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hint="default" w:ascii="方正小标宋简体" w:hAnsi="宋体" w:eastAsia="方正小标宋简体"/>
          <w:color w:val="000000"/>
          <w:sz w:val="72"/>
          <w:szCs w:val="72"/>
          <w:lang w:val="en-US" w:eastAsia="zh-CN"/>
        </w:rPr>
      </w:pPr>
      <w:bookmarkStart w:id="0" w:name="_Toc15306267"/>
      <w:r>
        <w:rPr>
          <w:rFonts w:hint="eastAsia" w:ascii="方正小标宋简体" w:hAnsi="宋体" w:eastAsia="方正小标宋简体"/>
          <w:color w:val="000000"/>
          <w:sz w:val="72"/>
          <w:szCs w:val="72"/>
          <w:lang w:val="en-US" w:eastAsia="zh-CN"/>
        </w:rPr>
        <w:t xml:space="preserve">   </w:t>
      </w: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7425"/>
      <w:bookmarkStart w:id="2" w:name="_Toc15378441"/>
      <w:bookmarkStart w:id="3" w:name="_Toc15396597"/>
      <w:bookmarkStart w:id="4" w:name="_Toc15396475"/>
      <w:bookmarkStart w:id="5" w:name="_Toc15377193"/>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96476"/>
      <w:bookmarkStart w:id="7" w:name="_Toc15377194"/>
      <w:bookmarkStart w:id="8" w:name="_Toc15378442"/>
      <w:bookmarkStart w:id="9" w:name="_Toc15377426"/>
      <w:bookmarkStart w:id="10" w:name="_Toc15396598"/>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lang w:val="en-US" w:eastAsia="zh-CN"/>
        </w:rPr>
        <w:t>红原县住房和城乡建设局</w:t>
      </w: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left"/>
        <w:rPr>
          <w:rFonts w:ascii="黑体" w:hAnsi="黑体" w:eastAsia="黑体"/>
          <w:bCs/>
          <w:kern w:val="44"/>
          <w:sz w:val="44"/>
          <w:szCs w:val="44"/>
        </w:rPr>
      </w:pPr>
      <w:r>
        <w:rPr>
          <w:rFonts w:ascii="方正小标宋简体" w:hAnsi="宋体" w:eastAsia="方正小标宋简体"/>
          <w:color w:val="000000"/>
          <w:sz w:val="36"/>
          <w:szCs w:val="36"/>
        </w:rPr>
        <w:br w:type="page"/>
      </w:r>
      <w:bookmarkStart w:id="12" w:name="_Toc15377196"/>
      <w:bookmarkStart w:id="13" w:name="_Toc15396599"/>
    </w:p>
    <w:p>
      <w:pPr>
        <w:widowControl/>
        <w:jc w:val="center"/>
        <w:rPr>
          <w:rFonts w:ascii="黑体" w:hAnsi="黑体" w:eastAsia="黑体"/>
          <w:color w:val="000000"/>
          <w:sz w:val="48"/>
          <w:szCs w:val="48"/>
        </w:rPr>
      </w:pPr>
      <w:r>
        <w:rPr>
          <w:rFonts w:hint="eastAsia" w:ascii="黑体" w:hAnsi="黑体" w:eastAsia="黑体"/>
          <w:color w:val="000000"/>
          <w:sz w:val="48"/>
          <w:szCs w:val="48"/>
        </w:rPr>
        <w:t>目录</w:t>
      </w:r>
    </w:p>
    <w:p>
      <w:pPr>
        <w:pStyle w:val="12"/>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
      <w:pPr>
        <w:pStyle w:val="12"/>
        <w:rPr>
          <w:rFonts w:cstheme="minorBidi"/>
        </w:rPr>
      </w:pPr>
      <w:r>
        <w:fldChar w:fldCharType="begin"/>
      </w:r>
      <w:r>
        <w:instrText xml:space="preserve"> HYPERLINK \l "_Toc15396599" </w:instrText>
      </w:r>
      <w:r>
        <w:fldChar w:fldCharType="separate"/>
      </w:r>
      <w:r>
        <w:rPr>
          <w:rStyle w:val="16"/>
          <w:rFonts w:hint="eastAsia"/>
        </w:rPr>
        <w:t>第一部分</w:t>
      </w:r>
      <w:r>
        <w:rPr>
          <w:rStyle w:val="16"/>
        </w:rPr>
        <w:t xml:space="preserve"> </w:t>
      </w:r>
      <w:r>
        <w:rPr>
          <w:rStyle w:val="16"/>
          <w:rFonts w:hint="eastAsia"/>
        </w:rPr>
        <w:t>部门概况</w:t>
      </w:r>
      <w:r>
        <w:rPr>
          <w:rFonts w:hint="eastAsia"/>
        </w:rPr>
        <w:fldChar w:fldCharType="end"/>
      </w:r>
    </w:p>
    <w:p>
      <w:pPr>
        <w:pStyle w:val="13"/>
        <w:rPr>
          <w:rFonts w:ascii="仿宋" w:hAnsi="仿宋" w:eastAsia="仿宋" w:cstheme="minorBidi"/>
          <w:sz w:val="28"/>
          <w:szCs w:val="28"/>
        </w:rPr>
      </w:pPr>
      <w:r>
        <w:fldChar w:fldCharType="begin"/>
      </w:r>
      <w:r>
        <w:instrText xml:space="preserve"> HYPERLINK \l "_Toc15396600" </w:instrText>
      </w:r>
      <w:r>
        <w:fldChar w:fldCharType="separate"/>
      </w:r>
      <w:r>
        <w:rPr>
          <w:rStyle w:val="16"/>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"_Toc15396601" </w:instrText>
      </w:r>
      <w:r>
        <w:fldChar w:fldCharType="separate"/>
      </w:r>
      <w:r>
        <w:rPr>
          <w:rStyle w:val="16"/>
          <w:rFonts w:hint="eastAsia" w:ascii="仿宋" w:hAnsi="仿宋" w:eastAsia="仿宋"/>
          <w:sz w:val="28"/>
          <w:szCs w:val="28"/>
        </w:rPr>
        <w:t>二、机构设置</w:t>
      </w:r>
      <w:r>
        <w:rPr>
          <w:rFonts w:ascii="仿宋" w:hAnsi="仿宋" w:eastAsia="仿宋"/>
          <w:sz w:val="28"/>
          <w:szCs w:val="28"/>
        </w:rPr>
        <w:fldChar w:fldCharType="end"/>
      </w:r>
    </w:p>
    <w:p>
      <w:pPr>
        <w:pStyle w:val="12"/>
      </w:pPr>
      <w:r>
        <w:fldChar w:fldCharType="begin"/>
      </w:r>
      <w:r>
        <w:instrText xml:space="preserve"> HYPERLINK \l "_Toc15396602" </w:instrText>
      </w:r>
      <w:r>
        <w:fldChar w:fldCharType="separate"/>
      </w:r>
      <w:r>
        <w:rPr>
          <w:rStyle w:val="16"/>
          <w:rFonts w:hint="eastAsia"/>
        </w:rPr>
        <w:t>第二部分</w:t>
      </w:r>
      <w:r>
        <w:rPr>
          <w:rStyle w:val="16"/>
        </w:rPr>
        <w:t xml:space="preserve"> 2018</w:t>
      </w:r>
      <w:r>
        <w:rPr>
          <w:rStyle w:val="16"/>
          <w:rFonts w:hint="eastAsia"/>
        </w:rPr>
        <w:t>年度部门决算情况说明</w:t>
      </w:r>
      <w:r>
        <w:fldChar w:fldCharType="end"/>
      </w:r>
    </w:p>
    <w:p>
      <w:pPr>
        <w:pStyle w:val="13"/>
        <w:rPr>
          <w:rFonts w:ascii="仿宋" w:hAnsi="仿宋" w:eastAsia="仿宋" w:cstheme="minorBidi"/>
          <w:sz w:val="28"/>
          <w:szCs w:val="28"/>
        </w:rPr>
      </w:pPr>
      <w:r>
        <w:fldChar w:fldCharType="begin"/>
      </w:r>
      <w:r>
        <w:instrText xml:space="preserve"> HYPERLINK \l "_Toc15396603" </w:instrText>
      </w:r>
      <w:r>
        <w:fldChar w:fldCharType="separate"/>
      </w:r>
      <w:r>
        <w:rPr>
          <w:rStyle w:val="16"/>
          <w:rFonts w:hint="eastAsia" w:ascii="仿宋" w:hAnsi="仿宋" w:eastAsia="仿宋" w:cstheme="majorBidi"/>
          <w:bCs/>
          <w:sz w:val="28"/>
          <w:szCs w:val="28"/>
        </w:rPr>
        <w:t>一、</w:t>
      </w:r>
      <w:r>
        <w:rPr>
          <w:rStyle w:val="16"/>
          <w:rFonts w:hint="eastAsia" w:ascii="仿宋" w:hAnsi="仿宋" w:eastAsia="仿宋"/>
          <w:sz w:val="28"/>
          <w:szCs w:val="28"/>
        </w:rPr>
        <w:t>收</w:t>
      </w:r>
      <w:r>
        <w:rPr>
          <w:rStyle w:val="16"/>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"_Toc15396604" </w:instrText>
      </w:r>
      <w:r>
        <w:fldChar w:fldCharType="separate"/>
      </w:r>
      <w:r>
        <w:rPr>
          <w:rStyle w:val="16"/>
          <w:rFonts w:hint="eastAsia" w:ascii="仿宋" w:hAnsi="仿宋" w:eastAsia="仿宋" w:cstheme="majorBidi"/>
          <w:bCs/>
          <w:sz w:val="28"/>
          <w:szCs w:val="28"/>
        </w:rPr>
        <w:t>二、</w:t>
      </w:r>
      <w:r>
        <w:rPr>
          <w:rStyle w:val="16"/>
          <w:rFonts w:hint="eastAsia" w:ascii="仿宋" w:hAnsi="仿宋" w:eastAsia="仿宋"/>
          <w:sz w:val="28"/>
          <w:szCs w:val="28"/>
        </w:rPr>
        <w:t>收</w:t>
      </w:r>
      <w:r>
        <w:rPr>
          <w:rStyle w:val="16"/>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"_Toc15396605" </w:instrText>
      </w:r>
      <w:r>
        <w:fldChar w:fldCharType="separate"/>
      </w:r>
      <w:r>
        <w:rPr>
          <w:rStyle w:val="16"/>
          <w:rFonts w:hint="eastAsia" w:ascii="仿宋" w:hAnsi="仿宋" w:eastAsia="仿宋" w:cstheme="majorBidi"/>
          <w:bCs/>
          <w:sz w:val="28"/>
          <w:szCs w:val="28"/>
        </w:rPr>
        <w:t>三、</w:t>
      </w:r>
      <w:r>
        <w:rPr>
          <w:rStyle w:val="16"/>
          <w:rFonts w:hint="eastAsia" w:ascii="仿宋" w:hAnsi="仿宋" w:eastAsia="仿宋"/>
          <w:sz w:val="28"/>
          <w:szCs w:val="28"/>
        </w:rPr>
        <w:t>支</w:t>
      </w:r>
      <w:r>
        <w:rPr>
          <w:rStyle w:val="16"/>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"_Toc15396606" </w:instrText>
      </w:r>
      <w:r>
        <w:fldChar w:fldCharType="separate"/>
      </w:r>
      <w:r>
        <w:rPr>
          <w:rStyle w:val="16"/>
          <w:rFonts w:hint="eastAsia" w:ascii="仿宋" w:hAnsi="仿宋" w:eastAsia="仿宋"/>
          <w:sz w:val="28"/>
          <w:szCs w:val="28"/>
        </w:rPr>
        <w:t>四、财</w:t>
      </w:r>
      <w:r>
        <w:rPr>
          <w:rStyle w:val="16"/>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"_Toc15396607" </w:instrText>
      </w:r>
      <w:r>
        <w:fldChar w:fldCharType="separate"/>
      </w:r>
      <w:r>
        <w:rPr>
          <w:rStyle w:val="16"/>
          <w:rFonts w:hint="eastAsia" w:ascii="仿宋" w:hAnsi="仿宋" w:eastAsia="仿宋"/>
          <w:sz w:val="28"/>
          <w:szCs w:val="28"/>
        </w:rPr>
        <w:t>五、一</w:t>
      </w:r>
      <w:r>
        <w:rPr>
          <w:rStyle w:val="16"/>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"_Toc15396608" </w:instrText>
      </w:r>
      <w:r>
        <w:fldChar w:fldCharType="separate"/>
      </w:r>
      <w:r>
        <w:rPr>
          <w:rStyle w:val="16"/>
          <w:rFonts w:hint="eastAsia" w:ascii="仿宋" w:hAnsi="仿宋" w:eastAsia="仿宋"/>
          <w:sz w:val="28"/>
          <w:szCs w:val="28"/>
        </w:rPr>
        <w:t>六、一</w:t>
      </w:r>
      <w:r>
        <w:rPr>
          <w:rStyle w:val="16"/>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"_Toc15396609" </w:instrText>
      </w:r>
      <w:r>
        <w:fldChar w:fldCharType="separate"/>
      </w:r>
      <w:r>
        <w:rPr>
          <w:rStyle w:val="16"/>
          <w:rFonts w:hint="eastAsia" w:ascii="仿宋" w:hAnsi="仿宋" w:eastAsia="仿宋"/>
          <w:sz w:val="28"/>
          <w:szCs w:val="28"/>
        </w:rPr>
        <w:t>七、</w:t>
      </w:r>
      <w:r>
        <w:rPr>
          <w:rStyle w:val="16"/>
          <w:rFonts w:ascii="仿宋" w:hAnsi="仿宋" w:eastAsia="仿宋"/>
          <w:sz w:val="28"/>
          <w:szCs w:val="28"/>
        </w:rPr>
        <w:t>“</w:t>
      </w:r>
      <w:r>
        <w:rPr>
          <w:rStyle w:val="16"/>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"_Toc15396610" </w:instrText>
      </w:r>
      <w:r>
        <w:fldChar w:fldCharType="separate"/>
      </w:r>
      <w:r>
        <w:rPr>
          <w:rStyle w:val="16"/>
          <w:rFonts w:hint="eastAsia" w:ascii="仿宋" w:hAnsi="仿宋" w:eastAsia="仿宋"/>
          <w:sz w:val="28"/>
          <w:szCs w:val="28"/>
        </w:rPr>
        <w:t>八、</w:t>
      </w:r>
      <w:r>
        <w:rPr>
          <w:rStyle w:val="16"/>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"_Toc15396611" </w:instrText>
      </w:r>
      <w:r>
        <w:fldChar w:fldCharType="separate"/>
      </w:r>
      <w:r>
        <w:rPr>
          <w:rStyle w:val="16"/>
          <w:rFonts w:hint="eastAsia" w:ascii="仿宋" w:hAnsi="仿宋" w:eastAsia="仿宋" w:cstheme="majorBidi"/>
          <w:bCs/>
          <w:sz w:val="28"/>
          <w:szCs w:val="28"/>
        </w:rPr>
        <w:t>九、</w:t>
      </w:r>
      <w:r>
        <w:rPr>
          <w:rStyle w:val="16"/>
          <w:rFonts w:hint="eastAsia" w:ascii="仿宋" w:hAnsi="仿宋" w:eastAsia="仿宋"/>
          <w:sz w:val="28"/>
          <w:szCs w:val="28"/>
        </w:rPr>
        <w:t xml:space="preserve"> 国</w:t>
      </w:r>
      <w:r>
        <w:rPr>
          <w:rStyle w:val="16"/>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"_Toc15396612" </w:instrText>
      </w:r>
      <w:r>
        <w:fldChar w:fldCharType="separate"/>
      </w:r>
      <w:r>
        <w:rPr>
          <w:rStyle w:val="16"/>
          <w:rFonts w:hint="eastAsia" w:ascii="仿宋" w:hAnsi="仿宋" w:eastAsia="仿宋"/>
          <w:sz w:val="28"/>
          <w:szCs w:val="28"/>
        </w:rPr>
        <w:t>十</w:t>
      </w:r>
      <w:r>
        <w:rPr>
          <w:rStyle w:val="16"/>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2"/>
        <w:rPr>
          <w:rFonts w:cstheme="minorBidi"/>
        </w:rPr>
      </w:pPr>
      <w:r>
        <w:fldChar w:fldCharType="begin"/>
      </w:r>
      <w:r>
        <w:instrText xml:space="preserve"> HYPERLINK \l "_Toc15396613" </w:instrText>
      </w:r>
      <w:r>
        <w:fldChar w:fldCharType="separate"/>
      </w:r>
      <w:r>
        <w:rPr>
          <w:rStyle w:val="16"/>
          <w:rFonts w:hint="eastAsia"/>
          <w:bCs/>
          <w:kern w:val="44"/>
        </w:rPr>
        <w:t>第三部分</w:t>
      </w:r>
      <w:r>
        <w:rPr>
          <w:rStyle w:val="16"/>
          <w:rFonts w:hint="eastAsia"/>
        </w:rPr>
        <w:t xml:space="preserve"> 名</w:t>
      </w:r>
      <w:r>
        <w:rPr>
          <w:rStyle w:val="16"/>
          <w:rFonts w:hint="eastAsia"/>
          <w:bCs/>
          <w:kern w:val="44"/>
        </w:rPr>
        <w:t>词解释</w:t>
      </w:r>
      <w:r>
        <w:fldChar w:fldCharType="end"/>
      </w:r>
    </w:p>
    <w:p>
      <w:pPr>
        <w:pStyle w:val="12"/>
        <w:rPr>
          <w:rFonts w:cstheme="minorBidi"/>
        </w:rPr>
      </w:pPr>
      <w:r>
        <w:fldChar w:fldCharType="begin"/>
      </w:r>
      <w:r>
        <w:instrText xml:space="preserve"> HYPERLINK \l "_Toc15396614" </w:instrText>
      </w:r>
      <w:r>
        <w:fldChar w:fldCharType="separate"/>
      </w:r>
      <w:r>
        <w:rPr>
          <w:rStyle w:val="16"/>
          <w:rFonts w:hint="eastAsia"/>
        </w:rPr>
        <w:t>第</w:t>
      </w:r>
      <w:r>
        <w:rPr>
          <w:rStyle w:val="16"/>
          <w:rFonts w:hint="eastAsia"/>
          <w:bCs/>
          <w:kern w:val="44"/>
        </w:rPr>
        <w:t>四部分</w:t>
      </w:r>
      <w:r>
        <w:rPr>
          <w:rStyle w:val="16"/>
          <w:bCs/>
          <w:kern w:val="44"/>
        </w:rPr>
        <w:t xml:space="preserve"> </w:t>
      </w:r>
      <w:r>
        <w:rPr>
          <w:rStyle w:val="16"/>
          <w:rFonts w:hint="eastAsia"/>
          <w:bCs/>
          <w:kern w:val="44"/>
        </w:rPr>
        <w:t>附件</w:t>
      </w:r>
      <w:r>
        <w:fldChar w:fldCharType="end"/>
      </w:r>
    </w:p>
    <w:p>
      <w:pPr>
        <w:pStyle w:val="13"/>
        <w:rPr>
          <w:rFonts w:ascii="仿宋" w:hAnsi="仿宋" w:eastAsia="仿宋" w:cstheme="minorBidi"/>
          <w:sz w:val="28"/>
          <w:szCs w:val="28"/>
        </w:rPr>
      </w:pPr>
      <w:r>
        <w:fldChar w:fldCharType="begin"/>
      </w:r>
      <w:r>
        <w:instrText xml:space="preserve"> HYPERLINK \l "_Toc15396615" </w:instrText>
      </w:r>
      <w:r>
        <w:fldChar w:fldCharType="separate"/>
      </w:r>
      <w:r>
        <w:rPr>
          <w:rStyle w:val="16"/>
          <w:rFonts w:hint="eastAsia" w:ascii="仿宋" w:hAnsi="仿宋" w:eastAsia="仿宋"/>
          <w:kern w:val="44"/>
          <w:sz w:val="28"/>
          <w:szCs w:val="28"/>
        </w:rPr>
        <w:t>附件</w:t>
      </w:r>
      <w:r>
        <w:rPr>
          <w:rStyle w:val="16"/>
          <w:rFonts w:ascii="仿宋" w:hAnsi="仿宋" w:eastAsia="仿宋"/>
          <w:kern w:val="44"/>
          <w:sz w:val="28"/>
          <w:szCs w:val="28"/>
        </w:rPr>
        <w:t>1</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"_Toc15396617" </w:instrText>
      </w:r>
      <w:r>
        <w:fldChar w:fldCharType="separate"/>
      </w:r>
      <w:r>
        <w:rPr>
          <w:rStyle w:val="16"/>
          <w:rFonts w:hint="eastAsia" w:ascii="仿宋" w:hAnsi="仿宋" w:eastAsia="仿宋"/>
          <w:kern w:val="44"/>
          <w:sz w:val="28"/>
          <w:szCs w:val="28"/>
        </w:rPr>
        <w:t>附件</w:t>
      </w:r>
      <w:r>
        <w:rPr>
          <w:rStyle w:val="16"/>
          <w:rFonts w:ascii="仿宋" w:hAnsi="仿宋" w:eastAsia="仿宋"/>
          <w:kern w:val="44"/>
          <w:sz w:val="28"/>
          <w:szCs w:val="28"/>
        </w:rPr>
        <w:t>2</w:t>
      </w:r>
      <w:r>
        <w:rPr>
          <w:rFonts w:ascii="仿宋" w:hAnsi="仿宋" w:eastAsia="仿宋"/>
          <w:sz w:val="28"/>
          <w:szCs w:val="28"/>
        </w:rPr>
        <w:fldChar w:fldCharType="end"/>
      </w:r>
    </w:p>
    <w:p>
      <w:pPr>
        <w:pStyle w:val="12"/>
        <w:rPr>
          <w:rFonts w:cstheme="minorBidi"/>
        </w:rPr>
      </w:pPr>
      <w:r>
        <w:fldChar w:fldCharType="begin"/>
      </w:r>
      <w:r>
        <w:instrText xml:space="preserve"> HYPERLINK \l "_Toc15396618" </w:instrText>
      </w:r>
      <w:r>
        <w:fldChar w:fldCharType="separate"/>
      </w:r>
      <w:r>
        <w:rPr>
          <w:rStyle w:val="16"/>
          <w:rFonts w:hint="eastAsia"/>
        </w:rPr>
        <w:t>第</w:t>
      </w:r>
      <w:r>
        <w:rPr>
          <w:rStyle w:val="16"/>
          <w:rFonts w:hint="eastAsia"/>
          <w:bCs/>
          <w:kern w:val="44"/>
        </w:rPr>
        <w:t>五部分</w:t>
      </w:r>
      <w:r>
        <w:rPr>
          <w:rStyle w:val="16"/>
          <w:bCs/>
          <w:kern w:val="44"/>
        </w:rPr>
        <w:t xml:space="preserve"> </w:t>
      </w:r>
      <w:r>
        <w:rPr>
          <w:rStyle w:val="16"/>
          <w:rFonts w:hint="eastAsia"/>
          <w:bCs/>
          <w:kern w:val="44"/>
        </w:rPr>
        <w:t>附表</w:t>
      </w:r>
      <w:r>
        <w:fldChar w:fldCharType="end"/>
      </w:r>
    </w:p>
    <w:p>
      <w:pPr>
        <w:pStyle w:val="13"/>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6"/>
          <w:rFonts w:hint="eastAsia" w:ascii="仿宋" w:hAnsi="仿宋" w:eastAsia="仿宋"/>
          <w:sz w:val="28"/>
          <w:szCs w:val="28"/>
        </w:rPr>
        <w:t>收入支出决算总表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6"/>
          <w:rFonts w:hint="eastAsia" w:ascii="仿宋" w:hAnsi="仿宋" w:eastAsia="仿宋"/>
          <w:sz w:val="28"/>
          <w:szCs w:val="28"/>
        </w:rPr>
        <w:t>收入总表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6"/>
          <w:rFonts w:hint="eastAsia" w:ascii="仿宋" w:hAnsi="仿宋" w:eastAsia="仿宋"/>
          <w:sz w:val="28"/>
          <w:szCs w:val="28"/>
        </w:rPr>
        <w:t>支出总表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6"/>
          <w:rFonts w:hint="eastAsia" w:ascii="仿宋" w:hAnsi="仿宋" w:eastAsia="仿宋"/>
          <w:sz w:val="28"/>
          <w:szCs w:val="28"/>
        </w:rPr>
        <w:t>财政拨款收入支出决算总表</w:t>
      </w:r>
      <w:r>
        <w:rPr>
          <w:rFonts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6"/>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6"/>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6"/>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6"/>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6"/>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6"/>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6"/>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6"/>
          <w:rFonts w:hint="eastAsia" w:ascii="仿宋" w:hAnsi="仿宋" w:eastAsia="仿宋"/>
          <w:sz w:val="28"/>
          <w:szCs w:val="28"/>
        </w:rPr>
        <w:t>国有资本经营预算支出决算表</w:t>
      </w:r>
      <w:r>
        <w:rPr>
          <w:rFonts w:ascii="仿宋" w:hAnsi="仿宋" w:eastAsia="仿宋"/>
          <w:sz w:val="28"/>
          <w:szCs w:val="28"/>
        </w:rPr>
        <w:fldChar w:fldCharType="end"/>
      </w:r>
    </w:p>
    <w:p>
      <w:pPr>
        <w:ind w:firstLine="320" w:firstLineChars="100"/>
        <w:rPr>
          <w:rStyle w:val="27"/>
          <w:rFonts w:hint="eastAsia" w:ascii="仿宋" w:hAnsi="仿宋" w:eastAsia="仿宋"/>
          <w:b w:val="0"/>
          <w:bCs w:val="0"/>
          <w:lang w:val="en-US" w:eastAsia="zh-CN"/>
        </w:rPr>
      </w:pPr>
      <w:r>
        <w:rPr>
          <w:rStyle w:val="27"/>
          <w:rFonts w:hint="eastAsia" w:ascii="仿宋" w:hAnsi="仿宋" w:eastAsia="仿宋"/>
          <w:b w:val="0"/>
          <w:bCs w:val="0"/>
          <w:lang w:val="en-US" w:eastAsia="zh-CN"/>
        </w:rPr>
        <w:t>十四、整体支出绩效评价打分表</w:t>
      </w:r>
    </w:p>
    <w:p>
      <w:pPr>
        <w:ind w:firstLine="320" w:firstLineChars="100"/>
        <w:rPr>
          <w:rStyle w:val="27"/>
          <w:rFonts w:hint="eastAsia" w:ascii="仿宋" w:hAnsi="仿宋" w:eastAsia="仿宋"/>
          <w:b w:val="0"/>
          <w:bCs w:val="0"/>
          <w:lang w:val="en-US" w:eastAsia="zh-CN"/>
        </w:rPr>
      </w:pPr>
      <w:r>
        <w:rPr>
          <w:rStyle w:val="27"/>
          <w:rFonts w:hint="eastAsia" w:ascii="仿宋" w:hAnsi="仿宋" w:eastAsia="仿宋"/>
          <w:b w:val="0"/>
          <w:bCs w:val="0"/>
          <w:lang w:val="en-US" w:eastAsia="zh-CN"/>
        </w:rPr>
        <w:t>十五、项目支出绩效评价打分表</w:t>
      </w:r>
    </w:p>
    <w:p/>
    <w:p>
      <w:pPr>
        <w:pStyle w:val="4"/>
        <w:jc w:val="center"/>
        <w:rPr>
          <w:rFonts w:hint="eastAsia" w:ascii="黑体" w:hAnsi="黑体" w:eastAsia="黑体"/>
          <w:b w:val="0"/>
        </w:rPr>
      </w:pPr>
      <w:r>
        <w:rPr>
          <w:rFonts w:ascii="仿宋" w:hAnsi="仿宋" w:eastAsia="仿宋"/>
          <w:color w:val="000000"/>
          <w:sz w:val="24"/>
        </w:rPr>
        <w:fldChar w:fldCharType="end"/>
      </w:r>
    </w:p>
    <w:p>
      <w:pPr>
        <w:pStyle w:val="4"/>
        <w:jc w:val="center"/>
        <w:rPr>
          <w:rFonts w:hint="eastAsia" w:ascii="黑体" w:hAnsi="黑体" w:eastAsia="黑体"/>
          <w:b w:val="0"/>
        </w:rPr>
      </w:pPr>
    </w:p>
    <w:p>
      <w:pPr>
        <w:pStyle w:val="4"/>
        <w:jc w:val="center"/>
        <w:rPr>
          <w:rFonts w:hint="eastAsia" w:ascii="黑体" w:hAnsi="黑体" w:eastAsia="黑体"/>
          <w:b w:val="0"/>
        </w:rPr>
      </w:pPr>
    </w:p>
    <w:p>
      <w:pPr>
        <w:pStyle w:val="4"/>
        <w:jc w:val="center"/>
        <w:rPr>
          <w:rStyle w:val="26"/>
          <w:rFonts w:ascii="黑体" w:hAnsi="黑体" w:eastAsia="黑体"/>
          <w:b/>
          <w:bCs w:val="0"/>
        </w:rPr>
      </w:pPr>
      <w:r>
        <w:rPr>
          <w:rFonts w:hint="eastAsia" w:ascii="黑体" w:hAnsi="黑体" w:eastAsia="黑体"/>
          <w:b w:val="0"/>
        </w:rPr>
        <w:t xml:space="preserve">第一部分 </w:t>
      </w:r>
      <w:r>
        <w:rPr>
          <w:rStyle w:val="26"/>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5"/>
        <w:rPr>
          <w:rStyle w:val="27"/>
          <w:rFonts w:ascii="仿宋" w:hAnsi="仿宋" w:eastAsia="仿宋"/>
          <w:b w:val="0"/>
          <w:bCs w:val="0"/>
        </w:rPr>
      </w:pPr>
      <w:bookmarkStart w:id="14" w:name="_Toc15396600"/>
      <w:bookmarkStart w:id="15" w:name="_Toc15377197"/>
      <w:r>
        <w:rPr>
          <w:rFonts w:hint="eastAsia" w:ascii="黑体" w:hAnsi="黑体" w:eastAsia="黑体"/>
          <w:b w:val="0"/>
          <w:color w:val="000000"/>
        </w:rPr>
        <w:t>一、基</w:t>
      </w:r>
      <w:r>
        <w:rPr>
          <w:rStyle w:val="27"/>
          <w:rFonts w:hint="eastAsia" w:ascii="黑体" w:hAnsi="黑体" w:eastAsia="黑体"/>
          <w:b w:val="0"/>
          <w:bCs w:val="0"/>
        </w:rPr>
        <w:t>本职能及主要工作</w:t>
      </w:r>
      <w:bookmarkEnd w:id="14"/>
      <w:bookmarkEnd w:id="15"/>
    </w:p>
    <w:p>
      <w:pPr>
        <w:keepNext w:val="0"/>
        <w:keepLines w:val="0"/>
        <w:pageBreakBefore w:val="0"/>
        <w:kinsoku/>
        <w:overflowPunct/>
        <w:topLinePunct w:val="0"/>
        <w:autoSpaceDE/>
        <w:autoSpaceDN/>
        <w:spacing w:line="560" w:lineRule="exact"/>
        <w:ind w:left="0" w:leftChars="0" w:right="0" w:rightChars="0"/>
        <w:jc w:val="both"/>
        <w:textAlignment w:val="auto"/>
        <w:rPr>
          <w:rFonts w:hint="eastAsia" w:ascii="仿宋_GB2312" w:hAnsi="仿宋_GB2312" w:eastAsia="仿宋_GB2312" w:cs="仿宋_GB2312"/>
          <w:b w:val="0"/>
          <w:sz w:val="32"/>
          <w:szCs w:val="32"/>
          <w:lang w:eastAsia="zh-CN"/>
        </w:rPr>
      </w:pPr>
      <w:bookmarkStart w:id="16" w:name="_Toc15377198"/>
      <w:bookmarkStart w:id="17" w:name="_Toc15378445"/>
      <w:r>
        <w:rPr>
          <w:rFonts w:hint="eastAsia" w:ascii="仿宋_GB2312" w:hAnsi="仿宋_GB2312" w:eastAsia="仿宋_GB2312" w:cs="仿宋_GB2312"/>
          <w:b w:val="0"/>
          <w:sz w:val="32"/>
          <w:szCs w:val="32"/>
          <w:lang w:eastAsia="zh-CN"/>
        </w:rPr>
        <w:t>（一）主要职能。</w:t>
      </w:r>
      <w:bookmarkEnd w:id="16"/>
      <w:bookmarkEnd w:id="17"/>
      <w:bookmarkStart w:id="18" w:name="_Toc15377199"/>
      <w:bookmarkStart w:id="19" w:name="_Toc15378446"/>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1、</w:t>
      </w:r>
      <w:r>
        <w:rPr>
          <w:rFonts w:hint="eastAsia" w:ascii="仿宋_GB2312" w:hAnsi="仿宋_GB2312" w:eastAsia="仿宋_GB2312" w:cs="仿宋_GB2312"/>
          <w:b w:val="0"/>
          <w:sz w:val="32"/>
          <w:szCs w:val="32"/>
          <w:lang w:eastAsia="zh-CN"/>
        </w:rPr>
        <w:t>贯彻执行国家、省、州有关住房和城乡建设、城市管理、市政园林工作的方针政策和法律、法规、规章，实施有关相对集中行政处罚权的地方性法规、规章和政策。</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2、</w:t>
      </w:r>
      <w:r>
        <w:rPr>
          <w:rFonts w:hint="eastAsia" w:ascii="仿宋_GB2312" w:hAnsi="仿宋_GB2312" w:eastAsia="仿宋_GB2312" w:cs="仿宋_GB2312"/>
          <w:b w:val="0"/>
          <w:sz w:val="32"/>
          <w:szCs w:val="32"/>
          <w:lang w:eastAsia="zh-CN"/>
        </w:rPr>
        <w:t>负责住房保障工作，拟订全县住房保障发展规划和年度规划并组织实施；会同有关部门加强住房保障资金的管理，推进住房改革与发展。</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3、</w:t>
      </w:r>
      <w:r>
        <w:rPr>
          <w:rFonts w:hint="eastAsia" w:ascii="仿宋_GB2312" w:hAnsi="仿宋_GB2312" w:eastAsia="仿宋_GB2312" w:cs="仿宋_GB2312"/>
          <w:b w:val="0"/>
          <w:sz w:val="32"/>
          <w:szCs w:val="32"/>
          <w:lang w:eastAsia="zh-CN"/>
        </w:rPr>
        <w:t>负责房地产市场监督管理工作，拟订房地产业的行业发展规划、发展计划和房地产市场监督管理措施，并监督执行。</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4、</w:t>
      </w:r>
      <w:r>
        <w:rPr>
          <w:rFonts w:hint="eastAsia" w:ascii="仿宋_GB2312" w:hAnsi="仿宋_GB2312" w:eastAsia="仿宋_GB2312" w:cs="仿宋_GB2312"/>
          <w:b w:val="0"/>
          <w:sz w:val="32"/>
          <w:szCs w:val="32"/>
          <w:lang w:eastAsia="zh-CN"/>
        </w:rPr>
        <w:t>负责建筑市场监督管理工作，指导全县建筑活动，核发《建设工程施工许可证》，指导监督建设工程标准定额的实施。</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5、</w:t>
      </w:r>
      <w:r>
        <w:rPr>
          <w:rFonts w:hint="eastAsia" w:ascii="仿宋_GB2312" w:hAnsi="仿宋_GB2312" w:eastAsia="仿宋_GB2312" w:cs="仿宋_GB2312"/>
          <w:b w:val="0"/>
          <w:sz w:val="32"/>
          <w:szCs w:val="32"/>
          <w:lang w:eastAsia="zh-CN"/>
        </w:rPr>
        <w:t>负责建设工程质量安全监督管理和竣工验收备案管理，组织或参与工程质量安全事故的调查处理。</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6、</w:t>
      </w:r>
      <w:r>
        <w:rPr>
          <w:rFonts w:hint="eastAsia" w:ascii="仿宋_GB2312" w:hAnsi="仿宋_GB2312" w:eastAsia="仿宋_GB2312" w:cs="仿宋_GB2312"/>
          <w:b w:val="0"/>
          <w:sz w:val="32"/>
          <w:szCs w:val="32"/>
          <w:lang w:eastAsia="zh-CN"/>
        </w:rPr>
        <w:t>指导农村住房建设及危房改造和村镇人居生态环境的改善工作。</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7、</w:t>
      </w:r>
      <w:r>
        <w:rPr>
          <w:rFonts w:hint="eastAsia" w:ascii="仿宋_GB2312" w:hAnsi="仿宋_GB2312" w:eastAsia="仿宋_GB2312" w:cs="仿宋_GB2312"/>
          <w:b w:val="0"/>
          <w:sz w:val="32"/>
          <w:szCs w:val="32"/>
          <w:lang w:eastAsia="zh-CN"/>
        </w:rPr>
        <w:t>负责县政府交办的建设工程的组织实施工作。</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8、</w:t>
      </w:r>
      <w:r>
        <w:rPr>
          <w:rFonts w:hint="eastAsia" w:ascii="仿宋_GB2312" w:hAnsi="仿宋_GB2312" w:eastAsia="仿宋_GB2312" w:cs="仿宋_GB2312"/>
          <w:b w:val="0"/>
          <w:sz w:val="32"/>
          <w:szCs w:val="32"/>
          <w:lang w:eastAsia="zh-CN"/>
        </w:rPr>
        <w:t>负责推进行业科学发展和建筑节能工作，推广应用新技术、新材料、新工艺。</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9、</w:t>
      </w:r>
      <w:r>
        <w:rPr>
          <w:rFonts w:hint="eastAsia" w:ascii="仿宋_GB2312" w:hAnsi="仿宋_GB2312" w:eastAsia="仿宋_GB2312" w:cs="仿宋_GB2312"/>
          <w:b w:val="0"/>
          <w:sz w:val="32"/>
          <w:szCs w:val="32"/>
          <w:lang w:eastAsia="zh-CN"/>
        </w:rPr>
        <w:t>负责房地产市场和建筑市场动态巡查工作，协助有关部门查处房地产市场和建筑市场违法案件。</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10、</w:t>
      </w:r>
      <w:r>
        <w:rPr>
          <w:rFonts w:hint="eastAsia" w:ascii="仿宋_GB2312" w:hAnsi="仿宋_GB2312" w:eastAsia="仿宋_GB2312" w:cs="仿宋_GB2312"/>
          <w:b w:val="0"/>
          <w:sz w:val="32"/>
          <w:szCs w:val="32"/>
          <w:lang w:eastAsia="zh-CN"/>
        </w:rPr>
        <w:t>指导城市建设档案管理。</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11、</w:t>
      </w:r>
      <w:r>
        <w:rPr>
          <w:rFonts w:hint="eastAsia" w:ascii="仿宋_GB2312" w:hAnsi="仿宋_GB2312" w:eastAsia="仿宋_GB2312" w:cs="仿宋_GB2312"/>
          <w:b w:val="0"/>
          <w:sz w:val="32"/>
          <w:szCs w:val="32"/>
          <w:lang w:eastAsia="zh-CN"/>
        </w:rPr>
        <w:t>行使市容环境卫生管理、城市规划管理、城市绿化管理、市政管理、城市燃气管理、供水管理、户外广告设施设置管理方面的法律、法规、规章规定的行政处罚权；</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12、</w:t>
      </w:r>
      <w:r>
        <w:rPr>
          <w:rFonts w:hint="eastAsia" w:ascii="仿宋_GB2312" w:hAnsi="仿宋_GB2312" w:eastAsia="仿宋_GB2312" w:cs="仿宋_GB2312"/>
          <w:b w:val="0"/>
          <w:sz w:val="32"/>
          <w:szCs w:val="32"/>
          <w:lang w:eastAsia="zh-CN"/>
        </w:rPr>
        <w:t>负责市政设施、园林绿化、环境卫生、城市照明、城市燃气和户外广告设施的行业管理，承担安全监督管理责任；指导协调市容市貌和环境卫生工作，组织协调专项治理等重大活动。</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13、</w:t>
      </w:r>
      <w:r>
        <w:rPr>
          <w:rFonts w:hint="eastAsia" w:ascii="仿宋_GB2312" w:hAnsi="仿宋_GB2312" w:eastAsia="仿宋_GB2312" w:cs="仿宋_GB2312"/>
          <w:b w:val="0"/>
          <w:sz w:val="32"/>
          <w:szCs w:val="32"/>
          <w:lang w:eastAsia="zh-CN"/>
        </w:rPr>
        <w:t>拟订城市维护费和专项经费的年度计划及资金划拨计划，并对使用情况实施监督。</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14、</w:t>
      </w:r>
      <w:r>
        <w:rPr>
          <w:rFonts w:hint="eastAsia" w:ascii="仿宋_GB2312" w:hAnsi="仿宋_GB2312" w:eastAsia="仿宋_GB2312" w:cs="仿宋_GB2312"/>
          <w:b w:val="0"/>
          <w:sz w:val="32"/>
          <w:szCs w:val="32"/>
          <w:lang w:eastAsia="zh-CN"/>
        </w:rPr>
        <w:t>组织实施市政、环卫、照明等城市基础设施的建设和维修改造，负责全县地下管线的综合协调工作。</w:t>
      </w:r>
    </w:p>
    <w:p>
      <w:pPr>
        <w:keepNext w:val="0"/>
        <w:keepLines w:val="0"/>
        <w:pageBreakBefore w:val="0"/>
        <w:kinsoku/>
        <w:overflowPunct/>
        <w:topLinePunct w:val="0"/>
        <w:autoSpaceDE/>
        <w:autoSpaceDN/>
        <w:spacing w:line="560" w:lineRule="exact"/>
        <w:ind w:left="0" w:leftChars="0" w:right="0" w:rightChars="0" w:firstLine="640" w:firstLineChars="200"/>
        <w:jc w:val="both"/>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val="0"/>
          <w:sz w:val="32"/>
          <w:szCs w:val="32"/>
          <w:lang w:val="en-US" w:eastAsia="zh-CN"/>
        </w:rPr>
        <w:t>15、</w:t>
      </w:r>
      <w:r>
        <w:rPr>
          <w:rFonts w:hint="eastAsia" w:ascii="仿宋_GB2312" w:hAnsi="仿宋_GB2312" w:eastAsia="仿宋_GB2312" w:cs="仿宋_GB2312"/>
          <w:b w:val="0"/>
          <w:sz w:val="32"/>
          <w:szCs w:val="32"/>
          <w:lang w:eastAsia="zh-CN"/>
        </w:rPr>
        <w:t>承办县政府和上级部门交办的其他事项。</w:t>
      </w:r>
    </w:p>
    <w:p>
      <w:pPr>
        <w:pStyle w:val="7"/>
        <w:adjustRightInd w:val="0"/>
        <w:snapToGrid w:val="0"/>
        <w:spacing w:before="93" w:line="600" w:lineRule="exact"/>
        <w:ind w:firstLine="640" w:firstLineChars="200"/>
        <w:outlineLvl w:val="2"/>
        <w:rPr>
          <w:rFonts w:hint="eastAsia" w:ascii="仿宋" w:hAnsi="仿宋" w:eastAsia="仿宋"/>
          <w:bCs/>
          <w:color w:val="000000"/>
          <w:sz w:val="32"/>
          <w:szCs w:val="32"/>
        </w:rPr>
      </w:pPr>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pPr>
        <w:keepNext w:val="0"/>
        <w:keepLines w:val="0"/>
        <w:pageBreakBefore w:val="0"/>
        <w:kinsoku/>
        <w:overflowPunct/>
        <w:topLinePunct w:val="0"/>
        <w:autoSpaceDE/>
        <w:autoSpaceDN/>
        <w:spacing w:line="560" w:lineRule="exact"/>
        <w:ind w:left="0" w:leftChars="0" w:right="0" w:rightChars="0" w:firstLine="643" w:firstLineChars="200"/>
        <w:jc w:val="both"/>
        <w:textAlignment w:val="auto"/>
        <w:rPr>
          <w:rFonts w:hint="eastAsia" w:ascii="仿宋_GB2312" w:hAnsi="仿宋_GB2312" w:eastAsia="仿宋_GB2312" w:cs="仿宋_GB2312"/>
          <w:sz w:val="32"/>
          <w:szCs w:val="32"/>
          <w:lang w:val="en-US" w:eastAsia="zh-CN"/>
        </w:rPr>
      </w:pPr>
      <w:bookmarkStart w:id="20" w:name="_Toc15396601"/>
      <w:bookmarkStart w:id="21" w:name="_Toc15377200"/>
      <w:r>
        <w:rPr>
          <w:rFonts w:hint="eastAsia" w:ascii="仿宋_GB2312" w:hAnsi="仿宋_GB2312" w:eastAsia="仿宋_GB2312" w:cs="仿宋_GB2312"/>
          <w:b/>
          <w:i w:val="0"/>
          <w:caps w:val="0"/>
          <w:color w:val="000000"/>
          <w:spacing w:val="0"/>
          <w:sz w:val="32"/>
          <w:szCs w:val="32"/>
          <w:shd w:val="clear" w:color="auto" w:fill="FFFFFF"/>
          <w:lang w:val="en-US" w:eastAsia="zh-CN"/>
        </w:rPr>
        <w:t>（1）全局重点项目推进情况。</w:t>
      </w:r>
      <w:r>
        <w:rPr>
          <w:rFonts w:hint="eastAsia" w:ascii="仿宋_GB2312" w:hAnsi="仿宋_GB2312" w:eastAsia="仿宋_GB2312" w:cs="仿宋_GB2312"/>
          <w:b/>
          <w:sz w:val="32"/>
          <w:szCs w:val="32"/>
          <w:lang w:val="en-US" w:eastAsia="zh-CN"/>
        </w:rPr>
        <w:t>一是</w:t>
      </w:r>
      <w:r>
        <w:rPr>
          <w:rFonts w:hint="eastAsia" w:ascii="仿宋_GB2312" w:hAnsi="仿宋_GB2312" w:eastAsia="仿宋_GB2312" w:cs="仿宋_GB2312"/>
          <w:sz w:val="32"/>
          <w:szCs w:val="32"/>
          <w:lang w:val="en-US" w:eastAsia="zh-CN"/>
        </w:rPr>
        <w:t>红原县县级干部职工周转宿舍工程建设项目，目前该项目六栋楼主体工程已全面完成，由于冬季气候原因，外墙粉刷停工，正在开展室内装饰装修，完成投资2500万左右；</w:t>
      </w:r>
      <w:r>
        <w:rPr>
          <w:rFonts w:hint="eastAsia" w:ascii="仿宋_GB2312" w:hAnsi="仿宋_GB2312" w:eastAsia="仿宋_GB2312" w:cs="仿宋_GB2312"/>
          <w:b/>
          <w:sz w:val="32"/>
          <w:szCs w:val="32"/>
          <w:lang w:val="en-US" w:eastAsia="zh-CN"/>
        </w:rPr>
        <w:t>二是</w:t>
      </w:r>
      <w:r>
        <w:rPr>
          <w:rFonts w:hint="eastAsia" w:ascii="仿宋_GB2312" w:hAnsi="仿宋_GB2312" w:eastAsia="仿宋_GB2312" w:cs="仿宋_GB2312"/>
          <w:sz w:val="32"/>
          <w:szCs w:val="32"/>
          <w:lang w:val="en-US" w:eastAsia="zh-CN"/>
        </w:rPr>
        <w:t>红原县旧城区道路提升改造工程建设项目，已全面竣工验收，完成投资3500万元左右；</w:t>
      </w:r>
      <w:r>
        <w:rPr>
          <w:rFonts w:hint="eastAsia" w:ascii="仿宋_GB2312" w:hAnsi="仿宋_GB2312" w:eastAsia="仿宋_GB2312" w:cs="仿宋_GB2312"/>
          <w:b/>
          <w:sz w:val="32"/>
          <w:szCs w:val="32"/>
          <w:lang w:val="en-US" w:eastAsia="zh-CN"/>
        </w:rPr>
        <w:t>三是</w:t>
      </w:r>
      <w:r>
        <w:rPr>
          <w:rFonts w:hint="eastAsia" w:ascii="仿宋_GB2312" w:hAnsi="仿宋_GB2312" w:eastAsia="仿宋_GB2312" w:cs="仿宋_GB2312"/>
          <w:sz w:val="32"/>
          <w:szCs w:val="32"/>
          <w:lang w:val="en-US" w:eastAsia="zh-CN"/>
        </w:rPr>
        <w:t>红橙蓝街区公共区域打造，蓝街、橙街主体修建完成75%工程量，桥梁工程已完成财政评审待挂网招标；</w:t>
      </w:r>
      <w:r>
        <w:rPr>
          <w:rFonts w:hint="eastAsia" w:ascii="仿宋_GB2312" w:hAnsi="仿宋_GB2312" w:eastAsia="仿宋_GB2312" w:cs="仿宋_GB2312"/>
          <w:b/>
          <w:sz w:val="32"/>
          <w:szCs w:val="32"/>
          <w:lang w:val="en-US" w:eastAsia="zh-CN"/>
        </w:rPr>
        <w:t>四是</w:t>
      </w:r>
      <w:r>
        <w:rPr>
          <w:rFonts w:hint="eastAsia" w:ascii="仿宋_GB2312" w:hAnsi="仿宋_GB2312" w:eastAsia="仿宋_GB2312" w:cs="仿宋_GB2312"/>
          <w:sz w:val="32"/>
          <w:szCs w:val="32"/>
          <w:lang w:val="en-US" w:eastAsia="zh-CN"/>
        </w:rPr>
        <w:t>红原县财富广场建设项目，已完成1-3层主体建设；</w:t>
      </w:r>
      <w:r>
        <w:rPr>
          <w:rFonts w:hint="eastAsia" w:ascii="仿宋_GB2312" w:hAnsi="仿宋_GB2312" w:eastAsia="仿宋_GB2312" w:cs="仿宋_GB2312"/>
          <w:b/>
          <w:sz w:val="32"/>
          <w:szCs w:val="32"/>
          <w:lang w:val="en-US" w:eastAsia="zh-CN"/>
        </w:rPr>
        <w:t>五是</w:t>
      </w:r>
      <w:r>
        <w:rPr>
          <w:rFonts w:hint="eastAsia" w:ascii="仿宋_GB2312" w:hAnsi="仿宋_GB2312" w:eastAsia="仿宋_GB2312" w:cs="仿宋_GB2312"/>
          <w:sz w:val="32"/>
          <w:szCs w:val="32"/>
          <w:lang w:val="en-US" w:eastAsia="zh-CN"/>
        </w:rPr>
        <w:t>红原县城市生活污水处理工程（二期）—设备设施及厂内基础设施扩建工程项目，已完成厂房主体建设80%工程量，完成投资1000万元左右；</w:t>
      </w:r>
      <w:r>
        <w:rPr>
          <w:rFonts w:hint="eastAsia" w:ascii="仿宋_GB2312" w:hAnsi="仿宋_GB2312" w:eastAsia="仿宋_GB2312" w:cs="仿宋_GB2312"/>
          <w:b/>
          <w:sz w:val="32"/>
          <w:szCs w:val="32"/>
          <w:lang w:val="en-US" w:eastAsia="zh-CN"/>
        </w:rPr>
        <w:t>六是</w:t>
      </w:r>
      <w:r>
        <w:rPr>
          <w:rFonts w:hint="eastAsia" w:ascii="仿宋_GB2312" w:hAnsi="仿宋_GB2312" w:eastAsia="仿宋_GB2312" w:cs="仿宋_GB2312"/>
          <w:sz w:val="32"/>
          <w:szCs w:val="32"/>
          <w:lang w:val="en-US" w:eastAsia="zh-CN"/>
        </w:rPr>
        <w:t>“吉祥天城”建设项目，B区完成主体建设、D区完成基础施工。</w:t>
      </w:r>
      <w:r>
        <w:rPr>
          <w:rFonts w:hint="eastAsia" w:ascii="仿宋_GB2312" w:hAnsi="仿宋_GB2312" w:eastAsia="仿宋_GB2312" w:cs="仿宋_GB2312"/>
          <w:b/>
          <w:sz w:val="32"/>
          <w:szCs w:val="32"/>
          <w:lang w:val="en-US" w:eastAsia="zh-CN"/>
        </w:rPr>
        <w:t>七是</w:t>
      </w:r>
      <w:r>
        <w:rPr>
          <w:rFonts w:hint="eastAsia" w:ascii="仿宋_GB2312" w:hAnsi="仿宋_GB2312" w:eastAsia="仿宋_GB2312" w:cs="仿宋_GB2312"/>
          <w:sz w:val="32"/>
          <w:szCs w:val="32"/>
          <w:lang w:val="en-US" w:eastAsia="zh-CN"/>
        </w:rPr>
        <w:t>红原县城及乡镇垃圾收运系统建设项目，该项目采购部分、基建部分已全面完成，待该项目厂房外通水通电工程完毕后立即实施垃圾压缩设备安装工作。</w:t>
      </w:r>
      <w:r>
        <w:rPr>
          <w:rFonts w:hint="eastAsia" w:ascii="仿宋_GB2312" w:hAnsi="仿宋_GB2312" w:eastAsia="仿宋_GB2312" w:cs="仿宋_GB2312"/>
          <w:b/>
          <w:sz w:val="32"/>
          <w:szCs w:val="32"/>
          <w:lang w:val="en-US" w:eastAsia="zh-CN"/>
        </w:rPr>
        <w:t>八是</w:t>
      </w:r>
      <w:r>
        <w:rPr>
          <w:rFonts w:hint="eastAsia" w:ascii="仿宋_GB2312" w:hAnsi="仿宋_GB2312" w:eastAsia="仿宋_GB2312" w:cs="仿宋_GB2312"/>
          <w:sz w:val="32"/>
          <w:szCs w:val="32"/>
          <w:lang w:val="en-US" w:eastAsia="zh-CN"/>
        </w:rPr>
        <w:t>2018年棚户区基础设施配套建设项目，已完成乳业公司和粮油公司招投标工作。</w:t>
      </w:r>
    </w:p>
    <w:p>
      <w:pPr>
        <w:keepNext w:val="0"/>
        <w:keepLines w:val="0"/>
        <w:pageBreakBefore w:val="0"/>
        <w:kinsoku/>
        <w:overflowPunct/>
        <w:topLinePunct w:val="0"/>
        <w:autoSpaceDE/>
        <w:autoSpaceDN/>
        <w:spacing w:line="560" w:lineRule="exact"/>
        <w:ind w:left="0" w:leftChars="0" w:right="0" w:rightChars="0"/>
        <w:jc w:val="both"/>
        <w:textAlignment w:val="auto"/>
        <w:rPr>
          <w:rFonts w:hint="eastAsia" w:ascii="仿宋_GB2312" w:eastAsia="仿宋_GB2312"/>
          <w:sz w:val="32"/>
          <w:szCs w:val="32"/>
          <w:lang w:val="en-US" w:eastAsia="zh-CN"/>
        </w:rPr>
      </w:pPr>
      <w:r>
        <w:rPr>
          <w:rFonts w:hint="eastAsia" w:ascii="楷体_GB2312" w:hAnsi="楷体_GB2312" w:eastAsia="楷体_GB2312" w:cs="楷体_GB2312"/>
          <w:b/>
          <w:i w:val="0"/>
          <w:caps w:val="0"/>
          <w:color w:val="000000"/>
          <w:spacing w:val="0"/>
          <w:sz w:val="32"/>
          <w:szCs w:val="32"/>
          <w:shd w:val="clear" w:color="auto" w:fill="FFFFFF"/>
          <w:lang w:val="en-US" w:eastAsia="zh-CN"/>
        </w:rPr>
        <w:t xml:space="preserve">  （2）坚持民生优先，持续构建和谐社会。</w:t>
      </w:r>
      <w:r>
        <w:rPr>
          <w:rFonts w:hint="eastAsia" w:ascii="楷体_GB2312" w:hAnsi="楷体_GB2312" w:eastAsia="楷体_GB2312" w:cs="楷体_GB2312"/>
          <w:b/>
          <w:color w:val="000000"/>
          <w:sz w:val="32"/>
          <w:szCs w:val="32"/>
          <w:shd w:val="clear" w:color="auto" w:fill="FFFFFF"/>
          <w:lang w:eastAsia="zh-CN"/>
        </w:rPr>
        <w:t>一是</w:t>
      </w:r>
      <w:r>
        <w:rPr>
          <w:rFonts w:hint="eastAsia" w:ascii="仿宋_GB2312" w:hAnsi="仿宋_GB2312" w:eastAsia="仿宋_GB2312" w:cs="仿宋_GB2312"/>
          <w:sz w:val="32"/>
          <w:szCs w:val="32"/>
        </w:rPr>
        <w:t>我县</w:t>
      </w:r>
      <w:r>
        <w:rPr>
          <w:rFonts w:hint="eastAsia" w:ascii="仿宋_GB2312" w:hAnsi="仿宋_GB2312" w:eastAsia="仿宋_GB2312" w:cs="仿宋_GB2312"/>
          <w:sz w:val="32"/>
          <w:szCs w:val="32"/>
          <w:lang w:eastAsia="zh-CN"/>
        </w:rPr>
        <w:t>今年</w:t>
      </w:r>
      <w:r>
        <w:rPr>
          <w:rFonts w:hint="eastAsia" w:ascii="仿宋_GB2312" w:hAnsi="仿宋_GB2312" w:eastAsia="仿宋_GB2312" w:cs="仿宋_GB2312"/>
          <w:sz w:val="32"/>
          <w:szCs w:val="32"/>
        </w:rPr>
        <w:t>藏区新居建设任务为48户，</w:t>
      </w:r>
      <w:r>
        <w:rPr>
          <w:rFonts w:hint="eastAsia" w:ascii="仿宋_GB2312" w:hAnsi="Times New Roman" w:eastAsia="仿宋_GB2312" w:cs="Times New Roman"/>
          <w:b w:val="0"/>
          <w:color w:val="auto"/>
          <w:kern w:val="2"/>
          <w:sz w:val="32"/>
          <w:szCs w:val="32"/>
          <w:lang w:val="en-US" w:eastAsia="zh-CN"/>
        </w:rPr>
        <w:t>截止9月中旬，48户藏区新居全面竣工验收合格并交付使用，完成投资144万元。</w:t>
      </w:r>
      <w:r>
        <w:rPr>
          <w:rFonts w:hint="eastAsia" w:ascii="仿宋_GB2312" w:hAnsi="仿宋_GB2312" w:eastAsia="仿宋_GB2312" w:cs="仿宋_GB2312"/>
          <w:b/>
          <w:sz w:val="32"/>
          <w:szCs w:val="32"/>
          <w:lang w:eastAsia="zh-CN"/>
        </w:rPr>
        <w:t>二是</w:t>
      </w:r>
      <w:r>
        <w:rPr>
          <w:rFonts w:hint="eastAsia" w:ascii="仿宋_GB2312" w:hAnsi="仿宋_GB2312" w:eastAsia="仿宋_GB2312" w:cs="仿宋_GB2312"/>
          <w:b w:val="0"/>
          <w:sz w:val="32"/>
          <w:szCs w:val="32"/>
          <w:lang w:eastAsia="zh-CN"/>
        </w:rPr>
        <w:t>今年改造农村土坯房任务数为17户，该项目无专项资金，与藏区新居项目捆绑使用，已全部完工。</w:t>
      </w:r>
      <w:r>
        <w:rPr>
          <w:rFonts w:hint="eastAsia" w:ascii="仿宋_GB2312" w:hAnsi="仿宋_GB2312" w:eastAsia="仿宋_GB2312" w:cs="仿宋_GB2312"/>
          <w:b/>
          <w:sz w:val="32"/>
          <w:szCs w:val="32"/>
          <w:lang w:eastAsia="zh-CN"/>
        </w:rPr>
        <w:t>三是</w:t>
      </w:r>
      <w:r>
        <w:rPr>
          <w:rFonts w:hint="eastAsia" w:ascii="仿宋_GB2312" w:hAnsi="仿宋_GB2312" w:eastAsia="仿宋_GB2312" w:cs="仿宋_GB2312"/>
          <w:b w:val="0"/>
          <w:sz w:val="32"/>
          <w:szCs w:val="32"/>
          <w:lang w:eastAsia="zh-CN"/>
        </w:rPr>
        <w:t>我县2018年“厕所革命”项目新建厕所任务数为5个，改建厕所任务数为11个，新建、改建厕所均无专项资金，与县扶贫移民局、县发改经信局和县旅游发展局统一整合项目和资金，已全部完工</w:t>
      </w:r>
      <w:r>
        <w:rPr>
          <w:rFonts w:hint="eastAsia" w:ascii="仿宋_GB2312" w:hAnsi="仿宋_GB2312" w:eastAsia="仿宋_GB2312" w:cs="仿宋_GB2312"/>
          <w:b/>
          <w:sz w:val="32"/>
          <w:szCs w:val="32"/>
          <w:lang w:eastAsia="zh-CN"/>
        </w:rPr>
        <w:t>。四是</w:t>
      </w:r>
      <w:r>
        <w:rPr>
          <w:rFonts w:hint="eastAsia" w:ascii="仿宋_GB2312" w:hAnsi="仿宋_GB2312" w:eastAsia="仿宋_GB2312" w:cs="仿宋_GB2312"/>
          <w:b w:val="0"/>
          <w:sz w:val="32"/>
          <w:szCs w:val="32"/>
          <w:lang w:eastAsia="zh-CN"/>
        </w:rPr>
        <w:t>乡村居民聚居点生活污水处理建设项目任务数8个，该项目无专项资金，与县扶贫移民局统一整合项目和资金，已全部完工。</w:t>
      </w:r>
      <w:r>
        <w:rPr>
          <w:rFonts w:hint="eastAsia" w:ascii="仿宋_GB2312" w:hAnsi="仿宋_GB2312" w:eastAsia="仿宋_GB2312" w:cs="仿宋_GB2312"/>
          <w:b/>
          <w:sz w:val="32"/>
          <w:szCs w:val="32"/>
          <w:lang w:eastAsia="zh-CN"/>
        </w:rPr>
        <w:t>五是</w:t>
      </w:r>
      <w:r>
        <w:rPr>
          <w:rFonts w:hint="eastAsia" w:ascii="仿宋_GB2312" w:hAnsi="仿宋_GB2312" w:eastAsia="仿宋_GB2312" w:cs="仿宋_GB2312"/>
          <w:b w:val="0"/>
          <w:color w:val="000000"/>
          <w:sz w:val="32"/>
          <w:szCs w:val="32"/>
          <w:lang w:val="en-US" w:eastAsia="zh-CN"/>
        </w:rPr>
        <w:t>我按照动态管理原则，在准确掌握全县</w:t>
      </w:r>
      <w:r>
        <w:rPr>
          <w:rFonts w:hint="eastAsia" w:ascii="仿宋_GB2312" w:eastAsia="仿宋_GB2312"/>
          <w:sz w:val="32"/>
          <w:szCs w:val="32"/>
        </w:rPr>
        <w:t>清房、分房、管房等数据</w:t>
      </w:r>
      <w:r>
        <w:rPr>
          <w:rFonts w:hint="eastAsia" w:ascii="仿宋_GB2312" w:eastAsia="仿宋_GB2312"/>
          <w:sz w:val="32"/>
          <w:szCs w:val="32"/>
          <w:lang w:eastAsia="zh-CN"/>
        </w:rPr>
        <w:t>的基础上，今年共召开两次分房大会，共解决了我县36户无房户职工住房问题</w:t>
      </w:r>
      <w:r>
        <w:rPr>
          <w:rFonts w:hint="eastAsia" w:ascii="仿宋_GB2312" w:eastAsia="仿宋_GB2312"/>
          <w:sz w:val="32"/>
          <w:szCs w:val="32"/>
          <w:lang w:val="en-US" w:eastAsia="zh-CN"/>
        </w:rPr>
        <w:t>；以</w:t>
      </w:r>
      <w:r>
        <w:rPr>
          <w:rFonts w:hint="eastAsia" w:ascii="仿宋_GB2312" w:eastAsia="仿宋_GB2312"/>
          <w:sz w:val="32"/>
          <w:szCs w:val="32"/>
          <w:lang w:eastAsia="zh-CN"/>
        </w:rPr>
        <w:t>“管理无空白、工作无追责”为工作目标，全面做好了干部职工房屋的维修维护及保障性住房（公租房、廉租房）房租收取等工作。</w:t>
      </w:r>
      <w:r>
        <w:rPr>
          <w:rFonts w:hint="eastAsia" w:ascii="仿宋_GB2312" w:eastAsia="仿宋_GB2312"/>
          <w:b/>
          <w:sz w:val="32"/>
          <w:szCs w:val="32"/>
          <w:lang w:eastAsia="zh-CN"/>
        </w:rPr>
        <w:t>六是</w:t>
      </w:r>
      <w:r>
        <w:rPr>
          <w:rFonts w:hint="eastAsia" w:ascii="仿宋_GB2312" w:hAnsi="Times New Roman" w:eastAsia="仿宋_GB2312" w:cs="Times New Roman"/>
          <w:kern w:val="2"/>
          <w:sz w:val="32"/>
          <w:szCs w:val="32"/>
          <w:lang w:val="en-US" w:eastAsia="zh-CN"/>
        </w:rPr>
        <w:t>2</w:t>
      </w:r>
      <w:r>
        <w:rPr>
          <w:rFonts w:hint="eastAsia" w:ascii="仿宋_GB2312" w:hAnsi="Times New Roman" w:eastAsia="仿宋_GB2312" w:cs="Times New Roman"/>
          <w:b w:val="0"/>
          <w:color w:val="auto"/>
          <w:kern w:val="2"/>
          <w:sz w:val="32"/>
          <w:szCs w:val="32"/>
          <w:lang w:val="en-US" w:eastAsia="zh-CN"/>
        </w:rPr>
        <w:t>017年棚户改造项目（续建）。</w:t>
      </w:r>
      <w:r>
        <w:rPr>
          <w:rFonts w:hint="eastAsia" w:ascii="仿宋_GB2312" w:hAnsi="Times New Roman" w:eastAsia="仿宋_GB2312" w:cs="Times New Roman"/>
          <w:kern w:val="2"/>
          <w:sz w:val="32"/>
          <w:szCs w:val="32"/>
          <w:lang w:val="en-US" w:eastAsia="zh-CN"/>
        </w:rPr>
        <w:t>我县2017年需完成危旧棚户区1068户改造任务（三年完成，2017年开工、2018年基本建成、2019年竣工），</w:t>
      </w:r>
      <w:r>
        <w:rPr>
          <w:rFonts w:hint="eastAsia" w:ascii="仿宋_GB2312" w:hAnsi="Times New Roman" w:eastAsia="仿宋_GB2312" w:cs="Times New Roman"/>
          <w:b w:val="0"/>
          <w:color w:val="auto"/>
          <w:kern w:val="2"/>
          <w:sz w:val="32"/>
          <w:szCs w:val="32"/>
          <w:lang w:val="en-US" w:eastAsia="zh-CN"/>
        </w:rPr>
        <w:t>截止目前，2017年最终开工建设了776户，其中：玉龙社145户、瑞庆社区375户、肉联厂棚户区130户、粮食局棚户区30户，截至目前，我县仍有还有292户目标任务无法确定改造对象，该项目到位补助资金为1901万元，完成资金拨付963万元。</w:t>
      </w:r>
      <w:r>
        <w:rPr>
          <w:rFonts w:hint="eastAsia" w:ascii="仿宋_GB2312" w:hAnsi="Times New Roman" w:eastAsia="仿宋_GB2312" w:cs="Times New Roman"/>
          <w:b/>
          <w:color w:val="auto"/>
          <w:kern w:val="2"/>
          <w:sz w:val="32"/>
          <w:szCs w:val="32"/>
          <w:lang w:val="en-US" w:eastAsia="zh-CN"/>
        </w:rPr>
        <w:t>七是</w:t>
      </w:r>
      <w:r>
        <w:rPr>
          <w:rFonts w:hint="eastAsia" w:ascii="仿宋_GB2312" w:hAnsi="Times New Roman" w:eastAsia="仿宋_GB2312" w:cs="Times New Roman"/>
          <w:b w:val="0"/>
          <w:color w:val="auto"/>
          <w:kern w:val="2"/>
          <w:sz w:val="32"/>
          <w:szCs w:val="32"/>
          <w:lang w:val="en-US" w:eastAsia="zh-CN"/>
        </w:rPr>
        <w:t>2018年棚户区改造项目。2018年省州下达我县棚户区改造任务210户，到位资金521万元。我局在与州城乡建设住房局多次请示对接后确定2018年棚户区改造以维修加固的方式推进实施，其中乳业公司维修改造162户，瑞庆社区维修改造42户，玉龙社区维修改造6户；截止目前，该项目已经完成80%的建设内容，完成资金拨付150万元左右。</w:t>
      </w:r>
      <w:r>
        <w:rPr>
          <w:rFonts w:hint="eastAsia" w:ascii="仿宋_GB2312" w:hAnsi="Times New Roman" w:eastAsia="仿宋_GB2312" w:cs="Times New Roman"/>
          <w:b/>
          <w:color w:val="auto"/>
          <w:kern w:val="2"/>
          <w:sz w:val="32"/>
          <w:szCs w:val="32"/>
          <w:lang w:val="en-US" w:eastAsia="zh-CN"/>
        </w:rPr>
        <w:t>八</w:t>
      </w:r>
      <w:r>
        <w:rPr>
          <w:rFonts w:hint="eastAsia" w:ascii="仿宋_GB2312" w:eastAsia="仿宋_GB2312"/>
          <w:b/>
          <w:sz w:val="32"/>
          <w:szCs w:val="32"/>
          <w:lang w:eastAsia="zh-CN"/>
        </w:rPr>
        <w:t>是</w:t>
      </w:r>
      <w:r>
        <w:rPr>
          <w:rFonts w:hint="eastAsia" w:ascii="仿宋_GB2312" w:eastAsia="仿宋_GB2312"/>
          <w:sz w:val="32"/>
          <w:szCs w:val="32"/>
          <w:lang w:eastAsia="zh-CN"/>
        </w:rPr>
        <w:t>按照全县脱贫攻坚目标任务，认真开展“五个一”驻村帮扶及“回头看、回头帮”工作，</w:t>
      </w:r>
      <w:r>
        <w:rPr>
          <w:rFonts w:hint="eastAsia" w:ascii="仿宋_GB2312" w:eastAsia="仿宋_GB2312"/>
          <w:sz w:val="32"/>
          <w:szCs w:val="32"/>
          <w:lang w:val="en-US" w:eastAsia="zh-CN"/>
        </w:rPr>
        <w:t>选派专人入驻邛溪镇热坤村驻村工作组，开展精准扶贫工作，并顺利迎接州检。</w:t>
      </w:r>
    </w:p>
    <w:p>
      <w:pPr>
        <w:keepNext w:val="0"/>
        <w:keepLines w:val="0"/>
        <w:pageBreakBefore w:val="0"/>
        <w:kinsoku/>
        <w:overflowPunct/>
        <w:topLinePunct w:val="0"/>
        <w:autoSpaceDE/>
        <w:autoSpaceDN/>
        <w:spacing w:line="560" w:lineRule="exact"/>
        <w:ind w:left="0" w:leftChars="0" w:right="0" w:rightChars="0" w:firstLine="643"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i w:val="0"/>
          <w:caps w:val="0"/>
          <w:color w:val="000000"/>
          <w:spacing w:val="0"/>
          <w:sz w:val="32"/>
          <w:szCs w:val="32"/>
          <w:shd w:val="clear" w:color="auto" w:fill="FFFFFF"/>
          <w:lang w:val="en-US" w:eastAsia="zh-CN"/>
        </w:rPr>
        <w:t>（3）规范工程建设，严格落实各项责任。</w:t>
      </w:r>
      <w:r>
        <w:rPr>
          <w:rFonts w:hint="eastAsia" w:ascii="仿宋_GB2312" w:hAnsi="仿宋_GB2312" w:eastAsia="仿宋_GB2312" w:cs="仿宋_GB2312"/>
          <w:b/>
          <w:sz w:val="32"/>
          <w:szCs w:val="32"/>
          <w:lang w:val="en-US" w:eastAsia="zh-CN"/>
        </w:rPr>
        <w:t>一是</w:t>
      </w:r>
      <w:r>
        <w:rPr>
          <w:rFonts w:hint="eastAsia" w:ascii="仿宋_GB2312" w:hAnsi="仿宋_GB2312" w:eastAsia="仿宋_GB2312" w:cs="仿宋_GB2312"/>
          <w:sz w:val="32"/>
          <w:szCs w:val="32"/>
          <w:lang w:val="en-US" w:eastAsia="zh-CN"/>
        </w:rPr>
        <w:t>加强行政审批，上半年办理《建设项目选址意见书》53份，《建设用地规划许可证》21份，《建设工程规划许可证》15份，下达规划条件函24份。截止10月底，共办理标后登记69件，其中监理标后登记24件，施工标后登记45件；共办理合同备案138件、项目报建38件、项目报监34件、施工许可证33件，总建筑面积76475.03㎡；进一步完善建筑市场规范化管理机制，简易私人投资建设项目程序，共办理私人投资建设项目2件，总建筑面积为3225.43㎡。</w:t>
      </w:r>
      <w:r>
        <w:rPr>
          <w:rFonts w:hint="eastAsia" w:ascii="仿宋_GB2312" w:hAnsi="仿宋_GB2312" w:eastAsia="仿宋_GB2312" w:cs="仿宋_GB2312"/>
          <w:b/>
          <w:sz w:val="32"/>
          <w:szCs w:val="32"/>
          <w:lang w:val="en-US" w:eastAsia="zh-CN"/>
        </w:rPr>
        <w:t>二是</w:t>
      </w:r>
      <w:r>
        <w:rPr>
          <w:rFonts w:hint="eastAsia" w:ascii="仿宋_GB2312" w:hAnsi="仿宋_GB2312" w:eastAsia="仿宋_GB2312" w:cs="仿宋_GB2312"/>
          <w:sz w:val="32"/>
          <w:szCs w:val="32"/>
          <w:lang w:val="en-US" w:eastAsia="zh-CN"/>
        </w:rPr>
        <w:t>严格落实安全生产责任制，狠抓安全生产检查和安全隐患排查工作。年初与建筑施工企业、燃气经营企业签订了安全生产目标责任书，健全了安全管理工作各项制度，完善施工安全评价制度。认真落实《阿坝州房屋建筑和市政工程施工现场主要管理人员管理办法》，深入开展开展“防汛、地灾安全检查”、施工现场安全文明标准化活动等安全生产专项行动，全县受监工程共38个，面积15.5万㎡，全县建筑工程报建项目质量监督报监率为100%、工程质量合格率为100%；建设工地受检率为100%，查出隐患95余处，填写监督记录81份，查出隐患已整改完毕。我局与人事局联合抽查全县在建项目6次/34个，受检率为100%，查处隐患28处，查处隐患已整改完毕并报我局备案。配合州住建局质安站抽查全县在建项目2次/7个，查处隐患16处，查处隐患已整改完毕并报我局及州质安站备案。组织全县在建项目工程安全教育培训3次，开展安全宣传1次；专项检查商混站3次、开展次燃气安全大检查6次，督促23个施工企业工建立防汛、扬尘责任制度，编制防汛、防尘实施方案与值班人员表，今年未发生一起安全责任事故发生。</w:t>
      </w:r>
      <w:r>
        <w:rPr>
          <w:rFonts w:hint="eastAsia" w:ascii="仿宋_GB2312" w:hAnsi="仿宋_GB2312" w:eastAsia="仿宋_GB2312" w:cs="仿宋_GB2312"/>
          <w:b/>
          <w:sz w:val="32"/>
          <w:szCs w:val="32"/>
          <w:lang w:val="en-US" w:eastAsia="zh-CN"/>
        </w:rPr>
        <w:t>三是</w:t>
      </w:r>
      <w:r>
        <w:rPr>
          <w:rFonts w:hint="eastAsia" w:ascii="仿宋_GB2312" w:hAnsi="仿宋_GB2312" w:eastAsia="仿宋_GB2312" w:cs="仿宋_GB2312"/>
          <w:sz w:val="32"/>
          <w:szCs w:val="32"/>
          <w:lang w:val="en-US" w:eastAsia="zh-CN"/>
        </w:rPr>
        <w:t>加强规划管理，整治违章建筑。今年，我县共组织召开3次规委会，会上审议了教育、旅游及本县招商引资项目共28个项目的规划方案。联合邛溪镇、县国土局等职能部门，对全县规划区内未批先建、少批多建、乱搭乱建行为进行坚决查处。</w:t>
      </w:r>
      <w:r>
        <w:rPr>
          <w:rFonts w:hint="eastAsia" w:ascii="仿宋_GB2312" w:hAnsi="仿宋_GB2312" w:eastAsia="仿宋_GB2312" w:cs="仿宋_GB2312"/>
          <w:kern w:val="2"/>
          <w:sz w:val="32"/>
          <w:szCs w:val="32"/>
          <w:lang w:val="en-US" w:eastAsia="zh-CN"/>
        </w:rPr>
        <w:t>按照县委县政府统一部署，</w:t>
      </w:r>
      <w:r>
        <w:rPr>
          <w:rFonts w:hint="eastAsia" w:ascii="仿宋_GB2312" w:hAnsi="仿宋_GB2312" w:eastAsia="仿宋_GB2312" w:cs="仿宋_GB2312"/>
          <w:sz w:val="32"/>
          <w:szCs w:val="32"/>
          <w:lang w:val="en-US" w:eastAsia="zh-CN"/>
        </w:rPr>
        <w:t>为保护</w:t>
      </w:r>
      <w:r>
        <w:rPr>
          <w:rFonts w:hint="eastAsia" w:ascii="仿宋_GB2312" w:eastAsia="仿宋_GB2312"/>
          <w:sz w:val="32"/>
          <w:szCs w:val="32"/>
        </w:rPr>
        <w:t>城市规划、</w:t>
      </w:r>
      <w:r>
        <w:rPr>
          <w:rFonts w:hint="eastAsia" w:ascii="仿宋_GB2312" w:eastAsia="仿宋_GB2312"/>
          <w:sz w:val="32"/>
          <w:szCs w:val="32"/>
          <w:lang w:eastAsia="zh-CN"/>
        </w:rPr>
        <w:t>提升</w:t>
      </w:r>
      <w:r>
        <w:rPr>
          <w:rFonts w:hint="eastAsia" w:ascii="仿宋_GB2312" w:eastAsia="仿宋_GB2312"/>
          <w:sz w:val="32"/>
          <w:szCs w:val="32"/>
        </w:rPr>
        <w:t>市容市貌、</w:t>
      </w:r>
      <w:r>
        <w:rPr>
          <w:rFonts w:hint="eastAsia" w:ascii="仿宋_GB2312" w:eastAsia="仿宋_GB2312"/>
          <w:sz w:val="32"/>
          <w:szCs w:val="32"/>
          <w:lang w:eastAsia="zh-CN"/>
        </w:rPr>
        <w:t>提高</w:t>
      </w:r>
      <w:r>
        <w:rPr>
          <w:rFonts w:hint="eastAsia" w:ascii="仿宋_GB2312" w:eastAsia="仿宋_GB2312"/>
          <w:sz w:val="32"/>
          <w:szCs w:val="32"/>
        </w:rPr>
        <w:t>城市品位</w:t>
      </w:r>
      <w:r>
        <w:rPr>
          <w:rFonts w:hint="eastAsia" w:ascii="仿宋_GB2312" w:eastAsia="仿宋_GB2312"/>
          <w:sz w:val="32"/>
          <w:szCs w:val="32"/>
          <w:lang w:eastAsia="zh-CN"/>
        </w:rPr>
        <w:t>，</w:t>
      </w:r>
      <w:r>
        <w:rPr>
          <w:rFonts w:hint="eastAsia" w:ascii="仿宋_GB2312" w:hAnsi="仿宋_GB2312" w:eastAsia="仿宋_GB2312" w:cs="仿宋_GB2312"/>
          <w:kern w:val="2"/>
          <w:sz w:val="32"/>
          <w:szCs w:val="32"/>
          <w:lang w:val="en-US" w:eastAsia="zh-CN"/>
        </w:rPr>
        <w:t>我局一是针</w:t>
      </w:r>
      <w:r>
        <w:rPr>
          <w:rFonts w:hint="eastAsia" w:ascii="仿宋_GB2312" w:hAnsi="仿宋_GB2312" w:eastAsia="仿宋_GB2312" w:cs="仿宋_GB2312"/>
          <w:sz w:val="32"/>
          <w:szCs w:val="32"/>
          <w:lang w:val="en-US" w:eastAsia="zh-CN"/>
        </w:rPr>
        <w:t>对全县规划区内未批先建、少批多建、乱搭乱建行为进行坚决查处，下达《限期拆除违法建设决定书》25份；二是</w:t>
      </w:r>
      <w:r>
        <w:rPr>
          <w:rFonts w:hint="eastAsia" w:ascii="仿宋_GB2312" w:hAnsi="仿宋_GB2312" w:eastAsia="仿宋_GB2312" w:cs="仿宋_GB2312"/>
          <w:kern w:val="2"/>
          <w:sz w:val="32"/>
          <w:szCs w:val="32"/>
          <w:lang w:val="en-US" w:eastAsia="zh-CN"/>
        </w:rPr>
        <w:t>在全县范围内拆除不规范柴火棚、彩钢棚15处1850平方米，</w:t>
      </w:r>
      <w:r>
        <w:rPr>
          <w:rFonts w:hint="eastAsia" w:ascii="仿宋_GB2312" w:hAnsi="仿宋" w:eastAsia="仿宋_GB2312" w:cs="仿宋"/>
          <w:kern w:val="0"/>
          <w:sz w:val="32"/>
          <w:szCs w:val="32"/>
          <w:lang w:val="en-US" w:eastAsia="zh-CN"/>
        </w:rPr>
        <w:t>乱打乱建</w:t>
      </w:r>
      <w:r>
        <w:rPr>
          <w:rFonts w:hint="eastAsia" w:ascii="仿宋_GB2312" w:hAnsi="仿宋_GB2312" w:eastAsia="仿宋_GB2312" w:cs="仿宋_GB2312"/>
          <w:kern w:val="2"/>
          <w:sz w:val="32"/>
          <w:szCs w:val="32"/>
          <w:lang w:val="en-US" w:eastAsia="zh-CN"/>
        </w:rPr>
        <w:t>网围栏65处2300米、围墙16处900米</w:t>
      </w:r>
      <w:r>
        <w:rPr>
          <w:rFonts w:hint="eastAsia" w:ascii="仿宋_GB2312" w:hAnsi="仿宋_GB2312" w:eastAsia="仿宋_GB2312" w:cs="仿宋_GB2312"/>
          <w:sz w:val="32"/>
          <w:szCs w:val="32"/>
          <w:lang w:val="en-US" w:eastAsia="zh-CN"/>
        </w:rPr>
        <w:t>、砖混房15处700余平米，柴火棚5处100余平米，拆除瑞庆中街违规搭建楼梯一处；三是联合国土局等相关部门下乡实地审核农牧民自建房、建房审批与宅基地使用情况10余次。</w:t>
      </w:r>
    </w:p>
    <w:p>
      <w:pPr>
        <w:keepNext w:val="0"/>
        <w:keepLines w:val="0"/>
        <w:pageBreakBefore w:val="0"/>
        <w:kinsoku/>
        <w:overflowPunct/>
        <w:topLinePunct w:val="0"/>
        <w:autoSpaceDE/>
        <w:autoSpaceDN/>
        <w:spacing w:line="560" w:lineRule="exact"/>
        <w:ind w:right="0" w:rightChars="0" w:firstLine="643"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i w:val="0"/>
          <w:caps w:val="0"/>
          <w:color w:val="000000"/>
          <w:spacing w:val="0"/>
          <w:sz w:val="32"/>
          <w:szCs w:val="32"/>
          <w:shd w:val="clear" w:color="auto" w:fill="FFFFFF"/>
          <w:lang w:val="en-US" w:eastAsia="zh-CN"/>
        </w:rPr>
        <w:t>（4）强化责任落实，深入推进精细化管理。</w:t>
      </w:r>
      <w:r>
        <w:rPr>
          <w:rFonts w:hint="eastAsia" w:ascii="仿宋_GB2312" w:hAnsi="仿宋_GB2312" w:eastAsia="仿宋_GB2312"/>
          <w:b/>
          <w:kern w:val="2"/>
          <w:sz w:val="32"/>
          <w:lang w:val="en-US" w:eastAsia="zh-CN"/>
        </w:rPr>
        <w:t>一是</w:t>
      </w:r>
      <w:r>
        <w:rPr>
          <w:rFonts w:hint="eastAsia" w:ascii="仿宋_GB2312" w:hAnsi="仿宋_GB2312" w:eastAsia="仿宋_GB2312"/>
          <w:kern w:val="2"/>
          <w:sz w:val="32"/>
          <w:lang w:val="en-US" w:eastAsia="zh-CN"/>
        </w:rPr>
        <w:t>建立健全县城精细化管理制度，</w:t>
      </w:r>
      <w:r>
        <w:rPr>
          <w:rFonts w:hint="eastAsia" w:ascii="仿宋_GB2312" w:hAnsi="仿宋_GB2312" w:eastAsia="仿宋_GB2312" w:cs="仿宋_GB2312"/>
          <w:sz w:val="32"/>
          <w:szCs w:val="32"/>
          <w:lang w:val="en-US" w:eastAsia="zh-CN"/>
        </w:rPr>
        <w:t>严格实行分片包干责任制。城区4个片区实行“定人、定岗、定责”管理，全面开展环境卫生、市政设施管护、垃圾收集清运、牛皮癣广告清理、店招店牌规范整治、占道经营管理、扬尘治理等各项工作，确保责任到人、工作应管尽管不留盲区、死角。</w:t>
      </w:r>
      <w:r>
        <w:rPr>
          <w:rFonts w:hint="eastAsia" w:ascii="仿宋_GB2312" w:hAnsi="仿宋_GB2312" w:eastAsia="仿宋_GB2312"/>
          <w:b/>
          <w:kern w:val="2"/>
          <w:sz w:val="32"/>
          <w:lang w:val="en-US" w:eastAsia="zh-CN"/>
        </w:rPr>
        <w:t>二是</w:t>
      </w:r>
      <w:r>
        <w:rPr>
          <w:rFonts w:hint="eastAsia" w:ascii="仿宋_GB2312" w:hAnsi="仿宋_GB2312" w:eastAsia="仿宋_GB2312" w:cs="仿宋_GB2312"/>
          <w:sz w:val="32"/>
          <w:szCs w:val="32"/>
          <w:lang w:val="en-US" w:eastAsia="zh-CN"/>
        </w:rPr>
        <w:t>综合执法工作小组全面规范城管理区市容市貌、车辆停放及临街面环境卫生，发放《给广大市民的一封信》800余份。</w:t>
      </w:r>
      <w:r>
        <w:rPr>
          <w:rFonts w:hint="eastAsia" w:ascii="仿宋_GB2312" w:hAnsi="仿宋_GB2312" w:eastAsia="仿宋_GB2312"/>
          <w:b/>
          <w:kern w:val="2"/>
          <w:sz w:val="32"/>
          <w:lang w:val="en-US" w:eastAsia="zh-CN"/>
        </w:rPr>
        <w:t>三是</w:t>
      </w:r>
      <w:r>
        <w:rPr>
          <w:rFonts w:hint="eastAsia" w:ascii="仿宋_GB2312" w:hAnsi="仿宋_GB2312" w:eastAsia="仿宋_GB2312" w:cs="仿宋_GB2312"/>
          <w:sz w:val="32"/>
          <w:szCs w:val="32"/>
          <w:lang w:val="en-US" w:eastAsia="zh-CN"/>
        </w:rPr>
        <w:t>深入开展物业管理试点工作。</w:t>
      </w:r>
      <w:r>
        <w:rPr>
          <w:rFonts w:hint="eastAsia" w:ascii="仿宋_GB2312" w:eastAsia="仿宋_GB2312"/>
          <w:sz w:val="32"/>
          <w:szCs w:val="32"/>
          <w:lang w:val="en-US" w:eastAsia="zh-CN"/>
        </w:rPr>
        <w:t>由3名城管队员全面督促3个小区的环卫工人常态开展环卫保洁、门卫管理及车辆乱停乱放管理等各项工作。</w:t>
      </w:r>
      <w:r>
        <w:rPr>
          <w:rFonts w:hint="eastAsia" w:ascii="仿宋_GB2312" w:hAnsi="仿宋_GB2312" w:eastAsia="仿宋_GB2312" w:cs="仿宋_GB2312"/>
          <w:sz w:val="32"/>
          <w:szCs w:val="32"/>
          <w:lang w:val="en-US" w:eastAsia="zh-CN"/>
        </w:rPr>
        <w:t>为规范各小区车辆停放，对金银珠小区及县委大院三个小区所有住户家门张贴</w:t>
      </w:r>
      <w:r>
        <w:rPr>
          <w:rFonts w:hint="eastAsia" w:ascii="仿宋_GB2312" w:eastAsia="仿宋_GB2312"/>
          <w:sz w:val="32"/>
          <w:szCs w:val="32"/>
          <w:lang w:val="en-US" w:eastAsia="zh-CN"/>
        </w:rPr>
        <w:t>《规范车辆停放告知书》，并通过党政内网下发通知，要求各单位务必教育本单位职工做好车辆规范停放工作，如出现单位职工不按规程乱停乱放车辆，将给予该单位在城乡环境综合治理目标考核上的处罚。</w:t>
      </w:r>
      <w:r>
        <w:rPr>
          <w:rFonts w:hint="eastAsia" w:ascii="仿宋_GB2312" w:eastAsia="仿宋_GB2312"/>
          <w:b/>
          <w:sz w:val="32"/>
          <w:szCs w:val="32"/>
          <w:lang w:val="en-US" w:eastAsia="zh-CN"/>
        </w:rPr>
        <w:t>四是</w:t>
      </w:r>
      <w:r>
        <w:rPr>
          <w:rFonts w:hint="eastAsia" w:ascii="仿宋_GB2312" w:hAnsi="仿宋_GB2312" w:eastAsia="仿宋_GB2312" w:cs="仿宋_GB2312"/>
          <w:sz w:val="32"/>
          <w:szCs w:val="32"/>
          <w:lang w:val="en-US" w:eastAsia="zh-CN"/>
        </w:rPr>
        <w:t>加大城区市政设施管理力度，实施动态管理。组织市政应急维修队更换井盖220余处、维修加固70余处，雨篦子加固50处、临街面喇叭口面积约1500平方米，修补人行道彩砖、梯步400平方米，过境路设置防撞杆400根，滨河路护栏维修加固约30米；更换路灯设备40余处、河道彩灯更换维修150根，指导临街单位完成亮化灯带安装并完成城区主要街道亮化灯带安装；对过境路沿线脏乱差的卷帘门喷漆面积约2200平方米，拆破旧的广告牌40处；全年出动吸污车对金珠小区、银珠小区、政府大院吸污共计9次，对全县各个主管网疏通3-4次；常态化对公共绿化区域的杂草进行清除、修剪，树木整形，并对树池缺损苗木补植、补栽，实现城区绿化全覆盖，保证了各类市政设施“无障碍”。</w:t>
      </w:r>
      <w:r>
        <w:rPr>
          <w:rFonts w:hint="eastAsia" w:ascii="仿宋_GB2312" w:hAnsi="仿宋_GB2312" w:eastAsia="仿宋_GB2312" w:cs="仿宋_GB2312"/>
          <w:b/>
          <w:sz w:val="32"/>
          <w:szCs w:val="32"/>
          <w:lang w:val="en-US" w:eastAsia="zh-CN"/>
        </w:rPr>
        <w:t>五是</w:t>
      </w:r>
      <w:r>
        <w:rPr>
          <w:rFonts w:hint="eastAsia" w:ascii="仿宋_GB2312" w:hAnsi="仿宋_GB2312" w:eastAsia="仿宋_GB2312" w:cs="仿宋_GB2312"/>
          <w:sz w:val="32"/>
          <w:szCs w:val="32"/>
          <w:lang w:val="en-US" w:eastAsia="zh-CN"/>
        </w:rPr>
        <w:t>持续深入开展商贸城入驻管理工作。联合县工质食药监局、交警大队、邛溪镇、红原商会等相关部门持续将S209线汽修汽配（加气补胎、摩托修理）门店分批次规范，签订合同51户，门店87间，11月30日前搬迁入驻率可达90%。</w:t>
      </w:r>
      <w:r>
        <w:rPr>
          <w:rFonts w:hint="eastAsia" w:ascii="仿宋_GB2312" w:hAnsi="仿宋_GB2312" w:eastAsia="仿宋_GB2312" w:cs="仿宋_GB2312"/>
          <w:b/>
          <w:sz w:val="32"/>
          <w:szCs w:val="32"/>
          <w:lang w:val="en-US" w:eastAsia="zh-CN"/>
        </w:rPr>
        <w:t>六是</w:t>
      </w:r>
      <w:r>
        <w:rPr>
          <w:rFonts w:hint="eastAsia" w:ascii="仿宋_GB2312" w:hAnsi="仿宋_GB2312" w:eastAsia="仿宋_GB2312" w:cs="仿宋_GB2312"/>
          <w:sz w:val="32"/>
          <w:szCs w:val="32"/>
          <w:lang w:val="en-US" w:eastAsia="zh-CN"/>
        </w:rPr>
        <w:t>加强城区综合管理水平。深入开展扬尘治理专项整治工作，常态化排查城区所有工地运输车辆的车厢覆盖及冲洗轮胎情况，每周定时对城区进行洒水降尘；组织环卫工人对城区背街小巷和城区周边的环境卫生集中整治共30余次；除冬季外常规使用扫地车对城区所有街道进行大扫除；收取城区个体户商铺装修及工地卫生抵押金21家，处罚12起不文明施工情况，查处运输车辆带泥上路50余起、乱倒垃圾30余起；加强垃圾处理厂日常填埋和消毒等各项工作，做到了垃圾日产日清和日常处理，并做好处理记录。</w:t>
      </w:r>
    </w:p>
    <w:p>
      <w:pPr>
        <w:keepNext w:val="0"/>
        <w:keepLines w:val="0"/>
        <w:pageBreakBefore w:val="0"/>
        <w:kinsoku/>
        <w:overflowPunct/>
        <w:topLinePunct w:val="0"/>
        <w:autoSpaceDE/>
        <w:autoSpaceDN/>
        <w:spacing w:line="560" w:lineRule="exact"/>
        <w:ind w:right="0" w:rightChars="0" w:firstLine="643" w:firstLineChars="200"/>
        <w:jc w:val="both"/>
        <w:textAlignment w:val="auto"/>
        <w:rPr>
          <w:rFonts w:hint="eastAsia" w:ascii="仿宋_GB2312" w:hAnsi="仿宋_GB2312" w:eastAsia="仿宋_GB2312" w:cs="仿宋_GB2312"/>
          <w:kern w:val="0"/>
          <w:sz w:val="32"/>
          <w:szCs w:val="32"/>
          <w:lang w:eastAsia="zh-CN"/>
        </w:rPr>
      </w:pPr>
      <w:r>
        <w:rPr>
          <w:rFonts w:hint="eastAsia" w:ascii="楷体_GB2312" w:hAnsi="楷体_GB2312" w:eastAsia="楷体_GB2312" w:cs="楷体_GB2312"/>
          <w:b/>
          <w:i w:val="0"/>
          <w:caps w:val="0"/>
          <w:color w:val="000000"/>
          <w:spacing w:val="0"/>
          <w:sz w:val="32"/>
          <w:szCs w:val="32"/>
          <w:shd w:val="clear" w:color="auto" w:fill="FFFFFF"/>
          <w:lang w:val="en-US" w:eastAsia="zh-CN"/>
        </w:rPr>
        <w:t>（5）真抓实干，纵深开展全域无垃圾创建。</w:t>
      </w:r>
      <w:r>
        <w:rPr>
          <w:rFonts w:hint="eastAsia" w:ascii="仿宋_GB2312" w:hAnsi="仿宋_GB2312" w:eastAsia="仿宋_GB2312"/>
          <w:b/>
          <w:kern w:val="2"/>
          <w:sz w:val="32"/>
          <w:lang w:val="en-US" w:eastAsia="zh-CN"/>
        </w:rPr>
        <w:t>一是</w:t>
      </w:r>
      <w:r>
        <w:rPr>
          <w:rFonts w:hint="eastAsia" w:ascii="仿宋_GB2312" w:hAnsi="仿宋_GB2312" w:eastAsia="仿宋_GB2312"/>
          <w:kern w:val="2"/>
          <w:sz w:val="32"/>
          <w:lang w:val="en-US" w:eastAsia="zh-CN"/>
        </w:rPr>
        <w:t>扎实深入开展“五乱”、“新三乱”“两线一部”等专项治理工作。今年清理卫生死角500余处、清理垃圾200余吨、清理建渣1000余吨、清除“牛皮癣”广告800余处、清理和规范流动商贩及越门占道经营300余次、清理和规范28处施工现场材料堆放、治理工地扬尘污染50余处、规范整治架空线缆60余处</w:t>
      </w:r>
      <w:r>
        <w:rPr>
          <w:rFonts w:hint="eastAsia" w:ascii="仿宋" w:hAnsi="仿宋" w:eastAsia="仿宋"/>
          <w:sz w:val="32"/>
          <w:lang w:eastAsia="zh-CN"/>
        </w:rPr>
        <w:t>。二</w:t>
      </w:r>
      <w:r>
        <w:rPr>
          <w:rFonts w:hint="eastAsia" w:ascii="仿宋_GB2312" w:hAnsi="仿宋_GB2312" w:eastAsia="仿宋_GB2312" w:cs="仿宋_GB2312"/>
          <w:b/>
          <w:sz w:val="32"/>
          <w:szCs w:val="32"/>
          <w:lang w:val="en-US" w:eastAsia="zh-CN"/>
        </w:rPr>
        <w:t>是</w:t>
      </w:r>
      <w:r>
        <w:rPr>
          <w:rFonts w:hint="eastAsia" w:ascii="仿宋_GB2312" w:hAnsi="仿宋_GB2312" w:eastAsia="仿宋_GB2312" w:cs="仿宋_GB2312"/>
          <w:b w:val="0"/>
          <w:sz w:val="32"/>
          <w:szCs w:val="32"/>
          <w:lang w:val="en-US" w:eastAsia="zh-CN"/>
        </w:rPr>
        <w:t>压实责任、健全机制</w:t>
      </w:r>
      <w:r>
        <w:rPr>
          <w:rFonts w:hint="eastAsia" w:ascii="仿宋_GB2312" w:hAnsi="仿宋_GB2312" w:eastAsia="仿宋_GB2312"/>
          <w:kern w:val="2"/>
          <w:sz w:val="32"/>
          <w:lang w:val="en-US" w:eastAsia="zh-CN"/>
        </w:rPr>
        <w:t>。年初与全县各乡镇、</w:t>
      </w:r>
      <w:r>
        <w:rPr>
          <w:rFonts w:hint="eastAsia" w:ascii="仿宋" w:hAnsi="仿宋" w:eastAsia="仿宋" w:cs="仿宋"/>
          <w:sz w:val="32"/>
          <w:szCs w:val="32"/>
          <w:lang w:eastAsia="zh-CN"/>
        </w:rPr>
        <w:t>机关企事业单位、省州驻县单位“一把手”</w:t>
      </w:r>
      <w:r>
        <w:rPr>
          <w:rFonts w:hint="eastAsia" w:ascii="仿宋_GB2312" w:hAnsi="仿宋_GB2312" w:eastAsia="仿宋_GB2312"/>
          <w:kern w:val="2"/>
          <w:sz w:val="32"/>
          <w:lang w:val="en-US" w:eastAsia="zh-CN"/>
        </w:rPr>
        <w:t>层层签订了《红原县2018年城乡环境综合治理目标考核责任书》及《保证书》，全县横到各部门、纵到各乡村已逐渐建立健全各项管理制度，制定长效管理机制，</w:t>
      </w:r>
      <w:r>
        <w:rPr>
          <w:rFonts w:hint="eastAsia" w:ascii="仿宋_GB2312" w:hAnsi="仿宋_GB2312" w:eastAsia="仿宋_GB2312" w:cs="仿宋_GB2312"/>
          <w:kern w:val="2"/>
          <w:sz w:val="32"/>
          <w:lang w:val="en-US" w:eastAsia="zh-CN"/>
        </w:rPr>
        <w:t>与各商户签订“门前六包”责任书共计600余份，做到行商归市坐商归店</w:t>
      </w:r>
      <w:r>
        <w:rPr>
          <w:rFonts w:hint="eastAsia" w:ascii="仿宋_GB2312" w:hAnsi="仿宋_GB2312" w:eastAsia="仿宋_GB2312"/>
          <w:kern w:val="2"/>
          <w:sz w:val="32"/>
          <w:lang w:val="en-US" w:eastAsia="zh-CN"/>
        </w:rPr>
        <w:t>，动员组织全县相关单位和城区15个环境卫生责任公区责任单位全面开展各项工作</w:t>
      </w:r>
      <w:r>
        <w:rPr>
          <w:rFonts w:hint="eastAsia" w:ascii="仿宋" w:hAnsi="仿宋" w:eastAsia="仿宋"/>
          <w:sz w:val="32"/>
          <w:lang w:eastAsia="zh-CN"/>
        </w:rPr>
        <w:t>。</w:t>
      </w:r>
      <w:r>
        <w:rPr>
          <w:rFonts w:hint="eastAsia" w:ascii="仿宋_GB2312" w:hAnsi="仿宋_GB2312" w:eastAsia="仿宋_GB2312" w:cs="仿宋_GB2312"/>
          <w:b w:val="0"/>
          <w:kern w:val="2"/>
          <w:sz w:val="32"/>
          <w:lang w:val="en-US" w:eastAsia="zh-CN"/>
        </w:rPr>
        <w:t>通过“微红原”微信公众号平台。在每周星期二和星期五定期</w:t>
      </w:r>
      <w:r>
        <w:rPr>
          <w:rFonts w:hint="eastAsia" w:ascii="仿宋_GB2312" w:hAnsi="仿宋_GB2312" w:eastAsia="仿宋_GB2312" w:cs="仿宋_GB2312"/>
          <w:b w:val="0"/>
          <w:w w:val="98"/>
          <w:kern w:val="2"/>
          <w:sz w:val="32"/>
          <w:lang w:val="en-US" w:eastAsia="zh-CN"/>
        </w:rPr>
        <w:t>更新全县各乡镇部门的城乡环境综合治理工作开展情况及工</w:t>
      </w:r>
      <w:r>
        <w:rPr>
          <w:rFonts w:hint="eastAsia" w:ascii="仿宋_GB2312" w:hAnsi="仿宋_GB2312" w:eastAsia="仿宋_GB2312" w:cs="仿宋_GB2312"/>
          <w:b w:val="0"/>
          <w:kern w:val="2"/>
          <w:sz w:val="32"/>
          <w:lang w:val="en-US" w:eastAsia="zh-CN"/>
        </w:rPr>
        <w:t>作成绩。</w:t>
      </w:r>
      <w:r>
        <w:rPr>
          <w:rFonts w:hint="eastAsia" w:ascii="仿宋_GB2312" w:hAnsi="仿宋_GB2312" w:eastAsia="仿宋_GB2312" w:cs="仿宋_GB2312"/>
          <w:b/>
          <w:kern w:val="2"/>
          <w:sz w:val="32"/>
          <w:lang w:val="en-US" w:eastAsia="zh-CN"/>
        </w:rPr>
        <w:t>三是</w:t>
      </w:r>
      <w:r>
        <w:rPr>
          <w:rFonts w:hint="eastAsia" w:ascii="仿宋_GB2312" w:hAnsi="仿宋_GB2312" w:eastAsia="仿宋_GB2312" w:cs="仿宋_GB2312"/>
          <w:b w:val="0"/>
          <w:w w:val="98"/>
          <w:kern w:val="2"/>
          <w:sz w:val="32"/>
          <w:lang w:val="en-US" w:eastAsia="zh-CN"/>
        </w:rPr>
        <w:t>深入开展</w:t>
      </w:r>
      <w:r>
        <w:rPr>
          <w:rFonts w:hint="eastAsia" w:ascii="仿宋_GB2312" w:hAnsi="仿宋_GB2312" w:eastAsia="仿宋_GB2312" w:cs="仿宋_GB2312"/>
          <w:b w:val="0"/>
          <w:kern w:val="2"/>
          <w:sz w:val="32"/>
          <w:lang w:val="en-US" w:eastAsia="zh-CN"/>
        </w:rPr>
        <w:t>城乡环境综合治理“九进”</w:t>
      </w:r>
      <w:r>
        <w:rPr>
          <w:rFonts w:hint="eastAsia" w:ascii="仿宋_GB2312" w:hAnsi="仿宋_GB2312" w:eastAsia="仿宋_GB2312" w:cs="仿宋_GB2312"/>
          <w:sz w:val="32"/>
          <w:szCs w:val="32"/>
          <w:lang w:eastAsia="zh-CN"/>
        </w:rPr>
        <w:t>及“全域无垃圾示范县创建”工作</w:t>
      </w:r>
      <w:r>
        <w:rPr>
          <w:rFonts w:hint="eastAsia" w:ascii="仿宋_GB2312" w:hAnsi="仿宋_GB2312" w:eastAsia="仿宋_GB2312" w:cs="仿宋_GB2312"/>
          <w:b w:val="0"/>
          <w:kern w:val="2"/>
          <w:sz w:val="32"/>
          <w:lang w:val="en-US" w:eastAsia="zh-CN"/>
        </w:rPr>
        <w:t>，督促各牵头部门按照方案</w:t>
      </w:r>
      <w:r>
        <w:rPr>
          <w:rFonts w:hint="eastAsia" w:ascii="仿宋_GB2312" w:hAnsi="仿宋_GB2312" w:eastAsia="仿宋_GB2312" w:cs="仿宋_GB2312"/>
          <w:sz w:val="32"/>
          <w:szCs w:val="32"/>
          <w:lang w:eastAsia="zh-CN"/>
        </w:rPr>
        <w:t>把创建“</w:t>
      </w:r>
      <w:r>
        <w:rPr>
          <w:rFonts w:hint="eastAsia" w:ascii="仿宋_GB2312" w:hAnsi="仿宋_GB2312" w:eastAsia="仿宋_GB2312" w:cs="仿宋_GB2312"/>
          <w:sz w:val="32"/>
          <w:szCs w:val="32"/>
        </w:rPr>
        <w:t>全域无</w:t>
      </w:r>
      <w:r>
        <w:rPr>
          <w:rFonts w:hint="eastAsia" w:ascii="仿宋_GB2312" w:hAnsi="仿宋_GB2312" w:eastAsia="仿宋_GB2312" w:cs="仿宋_GB2312"/>
          <w:sz w:val="32"/>
          <w:szCs w:val="32"/>
          <w:lang w:eastAsia="zh-CN"/>
        </w:rPr>
        <w:t>垃圾示范县”作</w:t>
      </w:r>
      <w:r>
        <w:rPr>
          <w:rFonts w:hint="eastAsia" w:ascii="仿宋_GB2312" w:hAnsi="仿宋_GB2312" w:eastAsia="仿宋_GB2312" w:cs="仿宋_GB2312"/>
          <w:sz w:val="32"/>
          <w:szCs w:val="32"/>
        </w:rPr>
        <w:t>为</w:t>
      </w:r>
      <w:r>
        <w:rPr>
          <w:rFonts w:hint="eastAsia" w:ascii="仿宋_GB2312" w:hAnsi="仿宋_GB2312" w:eastAsia="仿宋_GB2312" w:cs="仿宋_GB2312"/>
          <w:sz w:val="32"/>
          <w:szCs w:val="32"/>
          <w:lang w:eastAsia="zh-CN"/>
        </w:rPr>
        <w:t>总体工作</w:t>
      </w:r>
      <w:r>
        <w:rPr>
          <w:rFonts w:hint="eastAsia" w:ascii="仿宋_GB2312" w:hAnsi="仿宋_GB2312" w:eastAsia="仿宋_GB2312" w:cs="仿宋_GB2312"/>
          <w:sz w:val="32"/>
          <w:szCs w:val="32"/>
        </w:rPr>
        <w:t>目标</w:t>
      </w:r>
      <w:r>
        <w:rPr>
          <w:rFonts w:hint="eastAsia" w:ascii="仿宋_GB2312" w:hAnsi="仿宋_GB2312" w:eastAsia="仿宋_GB2312" w:cs="仿宋_GB2312"/>
          <w:sz w:val="32"/>
          <w:szCs w:val="32"/>
          <w:lang w:eastAsia="zh-CN"/>
        </w:rPr>
        <w:t>，有序推进将</w:t>
      </w:r>
      <w:r>
        <w:rPr>
          <w:rFonts w:hint="eastAsia" w:ascii="仿宋_GB2312" w:hAnsi="仿宋_GB2312" w:eastAsia="仿宋_GB2312" w:cs="仿宋_GB2312"/>
          <w:sz w:val="32"/>
          <w:szCs w:val="32"/>
        </w:rPr>
        <w:t>城乡环境综合治理工作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sz w:val="32"/>
          <w:szCs w:val="32"/>
          <w:lang w:val="en-US" w:eastAsia="zh-CN"/>
        </w:rPr>
        <w:t>四</w:t>
      </w:r>
      <w:r>
        <w:rPr>
          <w:rFonts w:hint="eastAsia" w:ascii="仿宋_GB2312" w:hAnsi="仿宋_GB2312" w:eastAsia="仿宋_GB2312"/>
          <w:b/>
          <w:kern w:val="2"/>
          <w:sz w:val="32"/>
          <w:lang w:val="en-US" w:eastAsia="zh-CN"/>
        </w:rPr>
        <w:t>是</w:t>
      </w:r>
      <w:r>
        <w:rPr>
          <w:rFonts w:hint="eastAsia" w:ascii="仿宋_GB2312" w:hAnsi="仿宋_GB2312" w:eastAsia="仿宋_GB2312"/>
          <w:kern w:val="2"/>
          <w:sz w:val="32"/>
          <w:lang w:val="en-US" w:eastAsia="zh-CN"/>
        </w:rPr>
        <w:t>严格考核，逗硬奖惩。</w:t>
      </w:r>
      <w:r>
        <w:rPr>
          <w:rFonts w:hint="eastAsia" w:ascii="仿宋_GB2312" w:hAnsi="仿宋_GB2312" w:eastAsia="仿宋_GB2312" w:cs="仿宋_GB2312"/>
          <w:kern w:val="0"/>
          <w:sz w:val="32"/>
          <w:szCs w:val="32"/>
        </w:rPr>
        <w:t>采取明察暗访、公开曝光和交叉检查、情况通报（周巡查、月联合督察和末位通报）等方式，加大督查力度</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县环境治理办对各单位进行考核，并将考核结果与各单位年终</w:t>
      </w:r>
      <w:r>
        <w:rPr>
          <w:rFonts w:hint="eastAsia" w:ascii="仿宋_GB2312" w:hAnsi="仿宋_GB2312" w:eastAsia="仿宋_GB2312" w:cs="仿宋_GB2312"/>
          <w:kern w:val="0"/>
          <w:sz w:val="32"/>
          <w:szCs w:val="32"/>
          <w:lang w:eastAsia="zh-CN"/>
        </w:rPr>
        <w:t>目标考核</w:t>
      </w:r>
      <w:r>
        <w:rPr>
          <w:rFonts w:hint="eastAsia" w:ascii="仿宋_GB2312" w:hAnsi="仿宋_GB2312" w:eastAsia="仿宋_GB2312" w:cs="仿宋_GB2312"/>
          <w:kern w:val="0"/>
          <w:sz w:val="32"/>
          <w:szCs w:val="32"/>
        </w:rPr>
        <w:t>挂钩</w:t>
      </w:r>
      <w:r>
        <w:rPr>
          <w:rFonts w:hint="eastAsia" w:ascii="仿宋_GB2312" w:hAnsi="仿宋_GB2312" w:eastAsia="仿宋_GB2312" w:cs="仿宋_GB2312"/>
          <w:kern w:val="0"/>
          <w:sz w:val="32"/>
          <w:szCs w:val="32"/>
          <w:lang w:eastAsia="zh-CN"/>
        </w:rPr>
        <w:t>。</w:t>
      </w:r>
    </w:p>
    <w:p>
      <w:pPr>
        <w:keepNext w:val="0"/>
        <w:keepLines w:val="0"/>
        <w:pageBreakBefore w:val="0"/>
        <w:widowControl w:val="0"/>
        <w:kinsoku/>
        <w:wordWrap/>
        <w:overflowPunct/>
        <w:topLinePunct w:val="0"/>
        <w:autoSpaceDE/>
        <w:autoSpaceDN/>
        <w:bidi w:val="0"/>
        <w:spacing w:line="560" w:lineRule="exact"/>
        <w:ind w:right="0" w:rightChars="0" w:firstLine="640" w:firstLineChars="200"/>
        <w:jc w:val="both"/>
        <w:textAlignment w:val="auto"/>
        <w:rPr>
          <w:rStyle w:val="27"/>
          <w:b w:val="0"/>
          <w:bCs w:val="0"/>
        </w:rPr>
      </w:pPr>
      <w:r>
        <w:rPr>
          <w:rStyle w:val="27"/>
          <w:rFonts w:hint="eastAsia" w:ascii="黑体" w:hAnsi="黑体" w:eastAsia="黑体"/>
          <w:b w:val="0"/>
          <w:bCs w:val="0"/>
        </w:rPr>
        <w:t>二、机构设置</w:t>
      </w:r>
      <w:bookmarkEnd w:id="20"/>
      <w:bookmarkEnd w:id="21"/>
    </w:p>
    <w:p>
      <w:pPr>
        <w:pageBreakBefore w:val="0"/>
        <w:widowControl w:val="0"/>
        <w:kinsoku/>
        <w:wordWrap/>
        <w:overflowPunct/>
        <w:topLinePunct w:val="0"/>
        <w:autoSpaceDE/>
        <w:autoSpaceDN/>
        <w:bidi w:val="0"/>
        <w:spacing w:line="560" w:lineRule="exact"/>
        <w:ind w:firstLine="800" w:firstLineChars="250"/>
        <w:textAlignment w:val="auto"/>
        <w:rPr>
          <w:rFonts w:ascii="仿宋" w:hAnsi="仿宋" w:eastAsia="仿宋"/>
          <w:sz w:val="32"/>
          <w:szCs w:val="32"/>
        </w:rPr>
      </w:pPr>
      <w:r>
        <w:rPr>
          <w:rFonts w:hint="eastAsia" w:ascii="仿宋" w:hAnsi="仿宋" w:eastAsia="仿宋"/>
          <w:sz w:val="32"/>
          <w:szCs w:val="32"/>
          <w:lang w:val="en-US" w:eastAsia="zh-CN"/>
        </w:rPr>
        <w:t>红原县住房和城乡建设局</w:t>
      </w:r>
      <w:r>
        <w:rPr>
          <w:rFonts w:hint="eastAsia" w:ascii="仿宋" w:hAnsi="仿宋" w:eastAsia="仿宋"/>
          <w:sz w:val="32"/>
          <w:szCs w:val="32"/>
        </w:rPr>
        <w:t>下属二级单位</w:t>
      </w:r>
      <w:r>
        <w:rPr>
          <w:rFonts w:hint="eastAsia" w:ascii="仿宋" w:hAnsi="仿宋" w:eastAsia="仿宋"/>
          <w:sz w:val="32"/>
          <w:szCs w:val="32"/>
          <w:lang w:val="en-US" w:eastAsia="zh-CN"/>
        </w:rPr>
        <w:t>1</w:t>
      </w:r>
      <w:r>
        <w:rPr>
          <w:rFonts w:hint="eastAsia" w:ascii="仿宋" w:hAnsi="仿宋" w:eastAsia="仿宋"/>
          <w:sz w:val="32"/>
          <w:szCs w:val="32"/>
        </w:rPr>
        <w:t>个，其中行政单位</w:t>
      </w:r>
      <w:r>
        <w:rPr>
          <w:rFonts w:hint="eastAsia" w:ascii="仿宋" w:hAnsi="仿宋" w:eastAsia="仿宋"/>
          <w:sz w:val="32"/>
          <w:szCs w:val="32"/>
          <w:lang w:val="en-US" w:eastAsia="zh-CN"/>
        </w:rPr>
        <w:t>0</w:t>
      </w:r>
      <w:r>
        <w:rPr>
          <w:rFonts w:hint="eastAsia" w:ascii="仿宋" w:hAnsi="仿宋" w:eastAsia="仿宋"/>
          <w:sz w:val="32"/>
          <w:szCs w:val="32"/>
        </w:rPr>
        <w:t>个，参照公务员法管理的事业单位</w:t>
      </w:r>
      <w:r>
        <w:rPr>
          <w:rFonts w:hint="eastAsia" w:ascii="仿宋" w:hAnsi="仿宋" w:eastAsia="仿宋"/>
          <w:bCs/>
          <w:sz w:val="32"/>
          <w:szCs w:val="32"/>
          <w:lang w:val="en-US" w:eastAsia="zh-CN"/>
        </w:rPr>
        <w:t>1</w:t>
      </w:r>
      <w:r>
        <w:rPr>
          <w:rFonts w:hint="eastAsia" w:ascii="仿宋" w:hAnsi="仿宋" w:eastAsia="仿宋"/>
          <w:sz w:val="32"/>
          <w:szCs w:val="32"/>
        </w:rPr>
        <w:t>个，其他事业单位</w:t>
      </w:r>
      <w:r>
        <w:rPr>
          <w:rFonts w:hint="eastAsia" w:ascii="仿宋" w:hAnsi="仿宋" w:eastAsia="仿宋"/>
          <w:sz w:val="32"/>
          <w:szCs w:val="32"/>
          <w:lang w:val="en-US" w:eastAsia="zh-CN"/>
        </w:rPr>
        <w:t>0</w:t>
      </w:r>
      <w:r>
        <w:rPr>
          <w:rFonts w:hint="eastAsia" w:ascii="仿宋" w:hAnsi="仿宋" w:eastAsia="仿宋"/>
          <w:sz w:val="32"/>
          <w:szCs w:val="32"/>
        </w:rPr>
        <w:t>个。</w:t>
      </w:r>
    </w:p>
    <w:p>
      <w:pPr>
        <w:pStyle w:val="7"/>
        <w:pageBreakBefore w:val="0"/>
        <w:widowControl w:val="0"/>
        <w:kinsoku/>
        <w:wordWrap/>
        <w:overflowPunct/>
        <w:topLinePunct w:val="0"/>
        <w:autoSpaceDE/>
        <w:autoSpaceDN/>
        <w:bidi w:val="0"/>
        <w:adjustRightInd w:val="0"/>
        <w:snapToGrid w:val="0"/>
        <w:spacing w:before="93" w:line="560" w:lineRule="exact"/>
        <w:ind w:firstLine="672" w:firstLineChars="210"/>
        <w:textAlignment w:val="auto"/>
        <w:rPr>
          <w:rFonts w:ascii="仿宋" w:hAnsi="仿宋" w:eastAsia="仿宋"/>
          <w:color w:val="000000"/>
          <w:sz w:val="32"/>
          <w:szCs w:val="32"/>
        </w:rPr>
      </w:pPr>
      <w:r>
        <w:rPr>
          <w:rFonts w:hint="eastAsia" w:ascii="仿宋" w:hAnsi="仿宋" w:eastAsia="仿宋"/>
          <w:color w:val="000000"/>
          <w:sz w:val="32"/>
          <w:szCs w:val="32"/>
        </w:rPr>
        <w:t>纳入</w:t>
      </w:r>
      <w:r>
        <w:rPr>
          <w:rFonts w:hint="eastAsia" w:ascii="仿宋" w:hAnsi="仿宋" w:eastAsia="仿宋"/>
          <w:sz w:val="32"/>
          <w:szCs w:val="32"/>
          <w:lang w:val="en-US" w:eastAsia="zh-CN"/>
        </w:rPr>
        <w:t>红原县住房和城乡建设局</w:t>
      </w:r>
      <w:r>
        <w:rPr>
          <w:rFonts w:hint="eastAsia" w:ascii="仿宋" w:hAnsi="仿宋" w:eastAsia="仿宋"/>
          <w:color w:val="000000"/>
          <w:sz w:val="32"/>
          <w:szCs w:val="32"/>
        </w:rPr>
        <w:t>2018年度部门决算编制范围的二级预算单位包括：</w:t>
      </w:r>
    </w:p>
    <w:p>
      <w:pPr>
        <w:pStyle w:val="7"/>
        <w:pageBreakBefore w:val="0"/>
        <w:widowControl w:val="0"/>
        <w:numPr>
          <w:ilvl w:val="0"/>
          <w:numId w:val="1"/>
        </w:numPr>
        <w:kinsoku/>
        <w:wordWrap/>
        <w:overflowPunct/>
        <w:topLinePunct w:val="0"/>
        <w:autoSpaceDE/>
        <w:autoSpaceDN/>
        <w:bidi w:val="0"/>
        <w:adjustRightInd w:val="0"/>
        <w:snapToGrid w:val="0"/>
        <w:spacing w:before="93" w:line="560" w:lineRule="exact"/>
        <w:textAlignment w:val="auto"/>
        <w:outlineLvl w:val="2"/>
        <w:rPr>
          <w:rFonts w:ascii="仿宋" w:hAnsi="仿宋" w:eastAsia="仿宋"/>
          <w:color w:val="000000"/>
          <w:sz w:val="32"/>
          <w:szCs w:val="32"/>
        </w:rPr>
      </w:pPr>
      <w:bookmarkStart w:id="22" w:name="_Toc15306276"/>
      <w:bookmarkStart w:id="23" w:name="_Toc15378449"/>
      <w:bookmarkStart w:id="24" w:name="_Toc15377202"/>
      <w:bookmarkStart w:id="25" w:name="_Toc15377433"/>
      <w:r>
        <w:rPr>
          <w:rFonts w:hint="eastAsia" w:ascii="仿宋" w:hAnsi="仿宋" w:eastAsia="仿宋"/>
          <w:color w:val="000000"/>
          <w:sz w:val="32"/>
          <w:szCs w:val="32"/>
          <w:lang w:val="en-US" w:eastAsia="zh-CN"/>
        </w:rPr>
        <w:t>红原县</w:t>
      </w:r>
      <w:bookmarkEnd w:id="22"/>
      <w:bookmarkEnd w:id="23"/>
      <w:bookmarkEnd w:id="24"/>
      <w:bookmarkEnd w:id="25"/>
      <w:r>
        <w:rPr>
          <w:rFonts w:hint="eastAsia" w:ascii="仿宋" w:hAnsi="仿宋" w:eastAsia="仿宋"/>
          <w:color w:val="000000"/>
          <w:sz w:val="32"/>
          <w:szCs w:val="32"/>
          <w:lang w:val="en-US" w:eastAsia="zh-CN"/>
        </w:rPr>
        <w:t>城乡公共服务管理局</w:t>
      </w:r>
    </w:p>
    <w:p>
      <w:pPr>
        <w:pStyle w:val="4"/>
        <w:pageBreakBefore w:val="0"/>
        <w:widowControl w:val="0"/>
        <w:kinsoku/>
        <w:wordWrap/>
        <w:overflowPunct/>
        <w:topLinePunct w:val="0"/>
        <w:autoSpaceDE/>
        <w:autoSpaceDN/>
        <w:bidi w:val="0"/>
        <w:spacing w:line="560" w:lineRule="exact"/>
        <w:ind w:right="440"/>
        <w:jc w:val="right"/>
        <w:textAlignment w:val="auto"/>
      </w:pPr>
      <w:bookmarkStart w:id="26" w:name="_Toc15396602"/>
      <w:bookmarkStart w:id="27" w:name="_Toc15377204"/>
      <w:r>
        <w:rPr>
          <w:rFonts w:hint="eastAsia" w:ascii="黑体" w:hAnsi="黑体" w:eastAsia="黑体"/>
          <w:b w:val="0"/>
          <w:color w:val="000000"/>
        </w:rPr>
        <w:t>第二部分</w:t>
      </w:r>
      <w:r>
        <w:rPr>
          <w:rFonts w:hint="eastAsia" w:ascii="黑体" w:hAnsi="黑体" w:eastAsia="黑体"/>
          <w:color w:val="000000"/>
        </w:rPr>
        <w:t xml:space="preserve"> </w:t>
      </w:r>
      <w:r>
        <w:rPr>
          <w:rStyle w:val="26"/>
          <w:rFonts w:hint="eastAsia" w:ascii="黑体" w:hAnsi="黑体" w:eastAsia="黑体"/>
          <w:b w:val="0"/>
          <w:bCs w:val="0"/>
        </w:rPr>
        <w:t>2018年度部门决算情况说明</w:t>
      </w:r>
      <w:bookmarkEnd w:id="26"/>
      <w:bookmarkEnd w:id="27"/>
    </w:p>
    <w:p>
      <w:pPr>
        <w:pStyle w:val="25"/>
        <w:pageBreakBefore w:val="0"/>
        <w:widowControl w:val="0"/>
        <w:numPr>
          <w:ilvl w:val="0"/>
          <w:numId w:val="2"/>
        </w:numPr>
        <w:kinsoku/>
        <w:wordWrap/>
        <w:overflowPunct/>
        <w:topLinePunct w:val="0"/>
        <w:autoSpaceDE/>
        <w:autoSpaceDN/>
        <w:bidi w:val="0"/>
        <w:spacing w:line="560" w:lineRule="exact"/>
        <w:ind w:firstLineChars="0"/>
        <w:textAlignment w:val="auto"/>
        <w:outlineLvl w:val="1"/>
        <w:rPr>
          <w:rStyle w:val="27"/>
          <w:rFonts w:ascii="黑体" w:hAnsi="黑体" w:eastAsia="黑体"/>
          <w:b w:val="0"/>
        </w:rPr>
      </w:pPr>
      <w:bookmarkStart w:id="28" w:name="_Toc15377205"/>
      <w:bookmarkStart w:id="29" w:name="_Toc15396603"/>
      <w:r>
        <w:rPr>
          <w:rFonts w:hint="eastAsia" w:ascii="黑体" w:hAnsi="黑体" w:eastAsia="黑体"/>
          <w:color w:val="000000"/>
          <w:sz w:val="32"/>
          <w:szCs w:val="32"/>
        </w:rPr>
        <w:t>收</w:t>
      </w:r>
      <w:r>
        <w:rPr>
          <w:rStyle w:val="27"/>
          <w:rFonts w:hint="eastAsia" w:ascii="黑体" w:hAnsi="黑体" w:eastAsia="黑体"/>
          <w:b w:val="0"/>
        </w:rPr>
        <w:t>入支出决算总体情况说明</w:t>
      </w:r>
      <w:bookmarkEnd w:id="28"/>
      <w:bookmarkEnd w:id="29"/>
    </w:p>
    <w:p>
      <w:pPr>
        <w:pageBreakBefore w:val="0"/>
        <w:widowControl w:val="0"/>
        <w:kinsoku/>
        <w:wordWrap/>
        <w:overflowPunct/>
        <w:topLinePunct w:val="0"/>
        <w:autoSpaceDE/>
        <w:autoSpaceDN/>
        <w:bidi w:val="0"/>
        <w:spacing w:line="560" w:lineRule="exact"/>
        <w:ind w:firstLine="640" w:firstLineChars="200"/>
        <w:textAlignment w:val="auto"/>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2018年度收</w:t>
      </w:r>
      <w:r>
        <w:rPr>
          <w:rFonts w:hint="eastAsia" w:ascii="仿宋" w:hAnsi="仿宋" w:eastAsia="仿宋"/>
          <w:color w:val="000000" w:themeColor="text1"/>
          <w:sz w:val="32"/>
          <w:szCs w:val="32"/>
          <w:lang w:val="en-US" w:eastAsia="zh-CN"/>
          <w14:textFill>
            <w14:solidFill>
              <w14:schemeClr w14:val="tx1"/>
            </w14:solidFill>
          </w14:textFill>
        </w:rPr>
        <w:t>入</w:t>
      </w:r>
      <w:r>
        <w:rPr>
          <w:rFonts w:hint="eastAsia" w:ascii="仿宋" w:hAnsi="仿宋" w:eastAsia="仿宋"/>
          <w:color w:val="000000" w:themeColor="text1"/>
          <w:sz w:val="32"/>
          <w:szCs w:val="32"/>
          <w14:textFill>
            <w14:solidFill>
              <w14:schemeClr w14:val="tx1"/>
            </w14:solidFill>
          </w14:textFill>
        </w:rPr>
        <w:t>总计</w:t>
      </w:r>
      <w:r>
        <w:rPr>
          <w:rFonts w:hint="eastAsia" w:ascii="仿宋" w:hAnsi="仿宋" w:eastAsia="仿宋"/>
          <w:color w:val="000000" w:themeColor="text1"/>
          <w:sz w:val="32"/>
          <w:szCs w:val="32"/>
          <w:lang w:val="en-US" w:eastAsia="zh-CN"/>
          <w14:textFill>
            <w14:solidFill>
              <w14:schemeClr w14:val="tx1"/>
            </w14:solidFill>
          </w14:textFill>
        </w:rPr>
        <w:t>11584.57</w:t>
      </w:r>
      <w:r>
        <w:rPr>
          <w:rFonts w:hint="eastAsia" w:ascii="仿宋" w:hAnsi="仿宋" w:eastAsia="仿宋"/>
          <w:color w:val="000000" w:themeColor="text1"/>
          <w:sz w:val="32"/>
          <w:szCs w:val="32"/>
          <w14:textFill>
            <w14:solidFill>
              <w14:schemeClr w14:val="tx1"/>
            </w14:solidFill>
          </w14:textFill>
        </w:rPr>
        <w:t>万元</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与2017年相比收</w:t>
      </w:r>
      <w:r>
        <w:rPr>
          <w:rFonts w:hint="eastAsia" w:ascii="仿宋" w:hAnsi="仿宋" w:eastAsia="仿宋"/>
          <w:color w:val="000000" w:themeColor="text1"/>
          <w:sz w:val="32"/>
          <w:szCs w:val="32"/>
          <w:lang w:val="en-US" w:eastAsia="zh-CN"/>
          <w14:textFill>
            <w14:solidFill>
              <w14:schemeClr w14:val="tx1"/>
            </w14:solidFill>
          </w14:textFill>
        </w:rPr>
        <w:t>入增加881.57万元</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val="en-US" w:eastAsia="zh-CN"/>
          <w14:textFill>
            <w14:solidFill>
              <w14:schemeClr w14:val="tx1"/>
            </w14:solidFill>
          </w14:textFill>
        </w:rPr>
        <w:t>增长7</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主要变动原因是</w:t>
      </w:r>
      <w:r>
        <w:rPr>
          <w:rFonts w:hint="eastAsia" w:ascii="仿宋" w:hAnsi="仿宋" w:eastAsia="仿宋"/>
          <w:color w:val="000000" w:themeColor="text1"/>
          <w:sz w:val="32"/>
          <w:szCs w:val="32"/>
          <w:lang w:val="en-US" w:eastAsia="zh-CN"/>
          <w14:textFill>
            <w14:solidFill>
              <w14:schemeClr w14:val="tx1"/>
            </w14:solidFill>
          </w14:textFill>
        </w:rPr>
        <w:t>2018年新建项目较多。</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仿宋" w:hAnsi="仿宋" w:eastAsia="仿宋"/>
          <w:color w:val="000000" w:themeColor="text1"/>
          <w:sz w:val="32"/>
          <w:szCs w:val="32"/>
          <w:lang w:eastAsia="zh-CN"/>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2018年度支</w:t>
      </w:r>
      <w:r>
        <w:rPr>
          <w:rFonts w:hint="eastAsia" w:ascii="仿宋" w:hAnsi="仿宋" w:eastAsia="仿宋"/>
          <w:color w:val="000000" w:themeColor="text1"/>
          <w:sz w:val="32"/>
          <w:szCs w:val="32"/>
          <w:lang w:val="en-US" w:eastAsia="zh-CN"/>
          <w14:textFill>
            <w14:solidFill>
              <w14:schemeClr w14:val="tx1"/>
            </w14:solidFill>
          </w14:textFill>
        </w:rPr>
        <w:t>出</w:t>
      </w:r>
      <w:r>
        <w:rPr>
          <w:rFonts w:hint="eastAsia" w:ascii="仿宋" w:hAnsi="仿宋" w:eastAsia="仿宋"/>
          <w:color w:val="000000" w:themeColor="text1"/>
          <w:sz w:val="32"/>
          <w:szCs w:val="32"/>
          <w14:textFill>
            <w14:solidFill>
              <w14:schemeClr w14:val="tx1"/>
            </w14:solidFill>
          </w14:textFill>
        </w:rPr>
        <w:t>总计</w:t>
      </w:r>
      <w:r>
        <w:rPr>
          <w:rFonts w:hint="eastAsia" w:ascii="仿宋" w:hAnsi="仿宋" w:eastAsia="仿宋"/>
          <w:color w:val="000000" w:themeColor="text1"/>
          <w:sz w:val="32"/>
          <w:szCs w:val="32"/>
          <w:lang w:val="en-US" w:eastAsia="zh-CN"/>
          <w14:textFill>
            <w14:solidFill>
              <w14:schemeClr w14:val="tx1"/>
            </w14:solidFill>
          </w14:textFill>
        </w:rPr>
        <w:t>8825.16万元，与2017年相比支出</w:t>
      </w:r>
      <w:r>
        <w:rPr>
          <w:rFonts w:hint="eastAsia" w:ascii="仿宋" w:hAnsi="仿宋" w:eastAsia="仿宋"/>
          <w:color w:val="000000" w:themeColor="text1"/>
          <w:sz w:val="32"/>
          <w:szCs w:val="32"/>
          <w14:textFill>
            <w14:solidFill>
              <w14:schemeClr w14:val="tx1"/>
            </w14:solidFill>
          </w14:textFill>
        </w:rPr>
        <w:t>减少</w:t>
      </w:r>
      <w:r>
        <w:rPr>
          <w:rFonts w:hint="eastAsia" w:ascii="仿宋" w:hAnsi="仿宋" w:eastAsia="仿宋"/>
          <w:color w:val="000000" w:themeColor="text1"/>
          <w:sz w:val="32"/>
          <w:szCs w:val="32"/>
          <w:lang w:val="en-US" w:eastAsia="zh-CN"/>
          <w14:textFill>
            <w14:solidFill>
              <w14:schemeClr w14:val="tx1"/>
            </w14:solidFill>
          </w14:textFill>
        </w:rPr>
        <w:t>1308.78</w:t>
      </w:r>
      <w:r>
        <w:rPr>
          <w:rFonts w:hint="eastAsia" w:ascii="仿宋" w:hAnsi="仿宋" w:eastAsia="仿宋"/>
          <w:color w:val="000000" w:themeColor="text1"/>
          <w:sz w:val="32"/>
          <w:szCs w:val="32"/>
          <w14:textFill>
            <w14:solidFill>
              <w14:schemeClr w14:val="tx1"/>
            </w14:solidFill>
          </w14:textFill>
        </w:rPr>
        <w:t>万元，下降</w:t>
      </w:r>
      <w:r>
        <w:rPr>
          <w:rFonts w:hint="eastAsia" w:ascii="仿宋" w:hAnsi="仿宋" w:eastAsia="仿宋"/>
          <w:color w:val="000000" w:themeColor="text1"/>
          <w:sz w:val="32"/>
          <w:szCs w:val="32"/>
          <w:lang w:val="en-US" w:eastAsia="zh-CN"/>
          <w14:textFill>
            <w14:solidFill>
              <w14:schemeClr w14:val="tx1"/>
            </w14:solidFill>
          </w14:textFill>
        </w:rPr>
        <w:t>3</w:t>
      </w:r>
      <w:r>
        <w:rPr>
          <w:rFonts w:hint="eastAsia" w:ascii="仿宋" w:hAnsi="仿宋" w:eastAsia="仿宋"/>
          <w:color w:val="000000" w:themeColor="text1"/>
          <w:sz w:val="32"/>
          <w:szCs w:val="32"/>
          <w14:textFill>
            <w14:solidFill>
              <w14:schemeClr w14:val="tx1"/>
            </w14:solidFill>
          </w14:textFill>
        </w:rPr>
        <w:t>%。主要变动原因是</w:t>
      </w:r>
      <w:r>
        <w:rPr>
          <w:rFonts w:hint="eastAsia" w:ascii="仿宋" w:hAnsi="仿宋" w:eastAsia="仿宋"/>
          <w:color w:val="000000" w:themeColor="text1"/>
          <w:sz w:val="32"/>
          <w:szCs w:val="32"/>
          <w:lang w:val="en-US" w:eastAsia="zh-CN"/>
          <w14:textFill>
            <w14:solidFill>
              <w14:schemeClr w14:val="tx1"/>
            </w14:solidFill>
          </w14:textFill>
        </w:rPr>
        <w:t>项目未竣工验收未支付完毕工程款。</w:t>
      </w:r>
      <w:r>
        <w:rPr>
          <w:rFonts w:hint="eastAsia" w:ascii="仿宋" w:hAnsi="仿宋" w:eastAsia="仿宋"/>
          <w:color w:val="000000" w:themeColor="text1"/>
          <w:sz w:val="32"/>
          <w:szCs w:val="32"/>
          <w14:textFill>
            <w14:solidFill>
              <w14:schemeClr w14:val="tx1"/>
            </w14:solidFill>
          </w14:textFill>
        </w:rPr>
        <w:t>（图1：收、支决算总计变动情况图）</w:t>
      </w:r>
    </w:p>
    <w:p>
      <w:pPr>
        <w:spacing w:line="600"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lang w:eastAsia="zh-CN"/>
        </w:rPr>
        <w:drawing>
          <wp:anchor distT="0" distB="0" distL="114300" distR="114300" simplePos="0" relativeHeight="251667456" behindDoc="0" locked="0" layoutInCell="1" allowOverlap="1">
            <wp:simplePos x="0" y="0"/>
            <wp:positionH relativeFrom="column">
              <wp:posOffset>59055</wp:posOffset>
            </wp:positionH>
            <wp:positionV relativeFrom="paragraph">
              <wp:posOffset>187325</wp:posOffset>
            </wp:positionV>
            <wp:extent cx="5080000" cy="2315210"/>
            <wp:effectExtent l="5080" t="4445" r="20320" b="23495"/>
            <wp:wrapNone/>
            <wp:docPr id="18" name="图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spacing w:line="600" w:lineRule="exact"/>
        <w:ind w:firstLine="640" w:firstLineChars="200"/>
        <w:jc w:val="left"/>
        <w:rPr>
          <w:rFonts w:hint="eastAsia" w:ascii="仿宋_GB2312" w:eastAsia="仿宋_GB2312"/>
          <w:color w:val="000000"/>
          <w:sz w:val="32"/>
          <w:szCs w:val="32"/>
          <w:lang w:eastAsia="zh-CN"/>
        </w:rPr>
      </w:pPr>
    </w:p>
    <w:p>
      <w:pPr>
        <w:spacing w:line="600" w:lineRule="exact"/>
        <w:ind w:firstLine="640" w:firstLineChars="200"/>
        <w:jc w:val="left"/>
        <w:rPr>
          <w:rFonts w:hint="eastAsia" w:ascii="仿宋_GB2312" w:eastAsia="仿宋_GB2312"/>
          <w:color w:val="000000"/>
          <w:sz w:val="32"/>
          <w:szCs w:val="32"/>
          <w:lang w:eastAsia="zh-CN"/>
        </w:rPr>
      </w:pPr>
    </w:p>
    <w:p>
      <w:pPr>
        <w:spacing w:line="600" w:lineRule="exact"/>
        <w:ind w:firstLine="640" w:firstLineChars="200"/>
        <w:jc w:val="left"/>
        <w:rPr>
          <w:rFonts w:hint="eastAsia" w:ascii="仿宋_GB2312" w:eastAsia="仿宋_GB2312"/>
          <w:color w:val="000000"/>
          <w:sz w:val="32"/>
          <w:szCs w:val="32"/>
          <w:lang w:eastAsia="zh-CN"/>
        </w:rPr>
      </w:pPr>
    </w:p>
    <w:p>
      <w:pPr>
        <w:spacing w:line="600" w:lineRule="exact"/>
        <w:ind w:firstLine="640" w:firstLineChars="200"/>
        <w:jc w:val="left"/>
        <w:rPr>
          <w:rFonts w:hint="eastAsia" w:ascii="仿宋_GB2312" w:eastAsia="仿宋_GB2312"/>
          <w:color w:val="000000"/>
          <w:sz w:val="32"/>
          <w:szCs w:val="32"/>
          <w:lang w:eastAsia="zh-CN"/>
        </w:rPr>
      </w:pPr>
    </w:p>
    <w:p>
      <w:pPr>
        <w:spacing w:line="600" w:lineRule="exact"/>
        <w:jc w:val="left"/>
        <w:rPr>
          <w:rFonts w:ascii="仿宋_GB2312" w:eastAsia="仿宋_GB2312"/>
          <w:color w:val="000000"/>
          <w:sz w:val="32"/>
          <w:szCs w:val="32"/>
        </w:rPr>
      </w:pPr>
    </w:p>
    <w:p>
      <w:pPr>
        <w:pStyle w:val="25"/>
        <w:numPr>
          <w:ilvl w:val="0"/>
          <w:numId w:val="0"/>
        </w:numPr>
        <w:spacing w:line="600" w:lineRule="exact"/>
        <w:ind w:firstLine="640" w:firstLineChars="200"/>
        <w:outlineLvl w:val="1"/>
        <w:rPr>
          <w:rFonts w:hint="eastAsia" w:ascii="黑体" w:hAnsi="黑体" w:eastAsia="黑体"/>
          <w:color w:val="000000"/>
          <w:sz w:val="32"/>
          <w:szCs w:val="32"/>
          <w:lang w:val="en-US" w:eastAsia="zh-CN"/>
        </w:rPr>
      </w:pPr>
      <w:bookmarkStart w:id="30" w:name="_Toc15377206"/>
      <w:bookmarkStart w:id="31" w:name="_Toc15396604"/>
    </w:p>
    <w:p>
      <w:pPr>
        <w:pStyle w:val="25"/>
        <w:numPr>
          <w:ilvl w:val="0"/>
          <w:numId w:val="0"/>
        </w:numPr>
        <w:spacing w:line="600" w:lineRule="exact"/>
        <w:ind w:firstLine="640" w:firstLineChars="200"/>
        <w:outlineLvl w:val="1"/>
        <w:rPr>
          <w:rStyle w:val="27"/>
          <w:rFonts w:ascii="黑体" w:hAnsi="黑体" w:eastAsia="黑体"/>
          <w:b w:val="0"/>
        </w:rPr>
      </w:pPr>
      <w:r>
        <w:rPr>
          <w:rFonts w:hint="eastAsia" w:ascii="黑体" w:hAnsi="黑体" w:eastAsia="黑体"/>
          <w:color w:val="000000"/>
          <w:sz w:val="32"/>
          <w:szCs w:val="32"/>
          <w:lang w:val="en-US" w:eastAsia="zh-CN"/>
        </w:rPr>
        <w:t>二、</w:t>
      </w:r>
      <w:r>
        <w:rPr>
          <w:rFonts w:hint="eastAsia" w:ascii="黑体" w:hAnsi="黑体" w:eastAsia="黑体"/>
          <w:color w:val="000000"/>
          <w:sz w:val="32"/>
          <w:szCs w:val="32"/>
        </w:rPr>
        <w:t>收</w:t>
      </w:r>
      <w:r>
        <w:rPr>
          <w:rStyle w:val="27"/>
          <w:rFonts w:hint="eastAsia" w:ascii="黑体" w:hAnsi="黑体" w:eastAsia="黑体"/>
          <w:b w:val="0"/>
        </w:rPr>
        <w:t>入决算情况说明</w:t>
      </w:r>
      <w:bookmarkEnd w:id="30"/>
      <w:bookmarkEnd w:id="31"/>
    </w:p>
    <w:p>
      <w:pPr>
        <w:spacing w:line="600" w:lineRule="exact"/>
        <w:ind w:firstLine="640" w:firstLineChars="200"/>
        <w:outlineLvl w:val="1"/>
        <w:rPr>
          <w:rFonts w:hint="default" w:ascii="仿宋" w:hAnsi="仿宋" w:eastAsia="仿宋"/>
          <w:color w:val="000000"/>
          <w:sz w:val="32"/>
          <w:szCs w:val="32"/>
          <w:lang w:val="en-US" w:eastAsia="zh-CN"/>
        </w:rPr>
      </w:pPr>
      <w:r>
        <w:rPr>
          <w:rFonts w:ascii="仿宋" w:hAnsi="仿宋" w:eastAsia="仿宋"/>
          <w:color w:val="000000"/>
          <w:sz w:val="32"/>
          <w:szCs w:val="32"/>
        </w:rPr>
        <w:t>201</w:t>
      </w:r>
      <w:r>
        <w:rPr>
          <w:rFonts w:hint="eastAsia" w:ascii="仿宋" w:hAnsi="仿宋" w:eastAsia="仿宋"/>
          <w:color w:val="000000"/>
          <w:sz w:val="32"/>
          <w:szCs w:val="32"/>
        </w:rPr>
        <w:t>8年本年收入合计11584.57万元，其中：一般公共预算财政拨款收入4252.33万元，占</w:t>
      </w:r>
      <w:r>
        <w:rPr>
          <w:rFonts w:hint="eastAsia" w:ascii="仿宋" w:hAnsi="仿宋" w:eastAsia="仿宋"/>
          <w:color w:val="000000"/>
          <w:sz w:val="32"/>
          <w:szCs w:val="32"/>
          <w:lang w:val="en-US" w:eastAsia="zh-CN"/>
        </w:rPr>
        <w:t>36</w:t>
      </w:r>
      <w:r>
        <w:rPr>
          <w:rFonts w:ascii="仿宋" w:hAnsi="仿宋" w:eastAsia="仿宋"/>
          <w:color w:val="000000"/>
          <w:sz w:val="32"/>
          <w:szCs w:val="32"/>
        </w:rPr>
        <w:t>%</w:t>
      </w:r>
      <w:r>
        <w:rPr>
          <w:rFonts w:hint="eastAsia" w:ascii="仿宋" w:hAnsi="仿宋" w:eastAsia="仿宋"/>
          <w:color w:val="000000"/>
          <w:sz w:val="32"/>
          <w:szCs w:val="32"/>
        </w:rPr>
        <w:t>；政府性基金预算财政拨款收入329.26万元，占</w:t>
      </w:r>
      <w:r>
        <w:rPr>
          <w:rFonts w:hint="eastAsia" w:ascii="仿宋" w:hAnsi="仿宋" w:eastAsia="仿宋"/>
          <w:color w:val="000000"/>
          <w:sz w:val="32"/>
          <w:szCs w:val="32"/>
          <w:lang w:val="en-US" w:eastAsia="zh-CN"/>
        </w:rPr>
        <w:t>3.8</w:t>
      </w:r>
      <w:r>
        <w:rPr>
          <w:rFonts w:ascii="仿宋" w:hAnsi="仿宋" w:eastAsia="仿宋"/>
          <w:color w:val="000000"/>
          <w:sz w:val="32"/>
          <w:szCs w:val="32"/>
        </w:rPr>
        <w:t>%</w:t>
      </w:r>
      <w:r>
        <w:rPr>
          <w:rFonts w:hint="eastAsia" w:ascii="仿宋" w:hAnsi="仿宋" w:eastAsia="仿宋"/>
          <w:color w:val="000000"/>
          <w:sz w:val="32"/>
          <w:szCs w:val="32"/>
        </w:rPr>
        <w:t>；国有资本经营预算财政拨款收入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万元；事业收入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万元；经营收入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万元；附属单位上缴收入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万元；其他收入</w:t>
      </w:r>
      <w:r>
        <w:rPr>
          <w:rFonts w:hint="eastAsia" w:ascii="仿宋" w:hAnsi="仿宋" w:eastAsia="仿宋"/>
          <w:color w:val="000000"/>
          <w:sz w:val="32"/>
          <w:szCs w:val="32"/>
          <w:lang w:val="en-US" w:eastAsia="zh-CN"/>
        </w:rPr>
        <w:t>0.05</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0.2</w:t>
      </w:r>
      <w:r>
        <w:rPr>
          <w:rFonts w:ascii="仿宋" w:hAnsi="仿宋" w:eastAsia="仿宋"/>
          <w:color w:val="000000"/>
          <w:sz w:val="32"/>
          <w:szCs w:val="32"/>
        </w:rPr>
        <w:t>%</w:t>
      </w:r>
      <w:r>
        <w:rPr>
          <w:rFonts w:hint="eastAsia" w:ascii="仿宋" w:hAnsi="仿宋" w:eastAsia="仿宋"/>
          <w:color w:val="000000"/>
          <w:sz w:val="32"/>
          <w:szCs w:val="32"/>
          <w:lang w:eastAsia="zh-CN"/>
        </w:rPr>
        <w:t>；年初结转和结余7002.93</w:t>
      </w:r>
      <w:r>
        <w:rPr>
          <w:rFonts w:hint="eastAsia" w:ascii="仿宋" w:hAnsi="仿宋" w:eastAsia="仿宋"/>
          <w:color w:val="000000"/>
          <w:sz w:val="32"/>
          <w:szCs w:val="32"/>
          <w:lang w:val="en-US" w:eastAsia="zh-CN"/>
        </w:rPr>
        <w:t>万元，占60%。</w:t>
      </w: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（图2：收入决算结构图）</w:t>
      </w:r>
    </w:p>
    <w:p>
      <w:pPr>
        <w:spacing w:line="600" w:lineRule="exact"/>
        <w:ind w:firstLine="640" w:firstLineChars="200"/>
        <w:rPr>
          <w:rFonts w:hint="eastAsia" w:ascii="仿宋_GB2312" w:eastAsia="仿宋_GB2312"/>
          <w:color w:val="FF0000"/>
          <w:sz w:val="32"/>
          <w:szCs w:val="32"/>
          <w:lang w:eastAsia="zh-CN"/>
        </w:rPr>
      </w:pPr>
      <w:r>
        <w:rPr>
          <w:rFonts w:hint="eastAsia" w:ascii="仿宋_GB2312" w:eastAsia="仿宋_GB2312"/>
          <w:color w:val="FF0000"/>
          <w:sz w:val="32"/>
          <w:szCs w:val="32"/>
          <w:lang w:eastAsia="zh-CN"/>
        </w:rPr>
        <w:drawing>
          <wp:anchor distT="0" distB="0" distL="114300" distR="114300" simplePos="0" relativeHeight="251658240" behindDoc="1" locked="0" layoutInCell="1" allowOverlap="1">
            <wp:simplePos x="0" y="0"/>
            <wp:positionH relativeFrom="column">
              <wp:posOffset>415290</wp:posOffset>
            </wp:positionH>
            <wp:positionV relativeFrom="paragraph">
              <wp:posOffset>144145</wp:posOffset>
            </wp:positionV>
            <wp:extent cx="4487545" cy="2551430"/>
            <wp:effectExtent l="4445" t="5080" r="22860" b="15240"/>
            <wp:wrapTight wrapText="bothSides">
              <wp:wrapPolygon>
                <wp:start x="-21" y="-43"/>
                <wp:lineTo x="-21" y="21406"/>
                <wp:lineTo x="21527" y="21406"/>
                <wp:lineTo x="21527" y="-43"/>
                <wp:lineTo x="-21" y="-43"/>
              </wp:wrapPolygon>
            </wp:wrapTight>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spacing w:line="600" w:lineRule="exact"/>
        <w:ind w:firstLine="640" w:firstLineChars="200"/>
        <w:rPr>
          <w:rFonts w:hint="eastAsia" w:ascii="仿宋_GB2312" w:eastAsia="仿宋_GB2312"/>
          <w:color w:val="FF0000"/>
          <w:sz w:val="32"/>
          <w:szCs w:val="32"/>
          <w:lang w:eastAsia="zh-CN"/>
        </w:rPr>
      </w:pPr>
    </w:p>
    <w:p>
      <w:pPr>
        <w:spacing w:line="600" w:lineRule="exact"/>
        <w:ind w:firstLine="640" w:firstLineChars="200"/>
        <w:rPr>
          <w:rFonts w:hint="eastAsia" w:ascii="仿宋_GB2312" w:eastAsia="仿宋_GB2312"/>
          <w:color w:val="FF0000"/>
          <w:sz w:val="32"/>
          <w:szCs w:val="32"/>
          <w:lang w:eastAsia="zh-CN"/>
        </w:rPr>
      </w:pPr>
    </w:p>
    <w:p>
      <w:pPr>
        <w:spacing w:line="600" w:lineRule="exact"/>
        <w:ind w:firstLine="640" w:firstLineChars="200"/>
        <w:rPr>
          <w:rFonts w:hint="eastAsia" w:ascii="仿宋_GB2312" w:eastAsia="仿宋_GB2312"/>
          <w:color w:val="FF0000"/>
          <w:sz w:val="32"/>
          <w:szCs w:val="32"/>
          <w:lang w:eastAsia="zh-CN"/>
        </w:rPr>
      </w:pPr>
    </w:p>
    <w:p>
      <w:pPr>
        <w:spacing w:line="600" w:lineRule="exact"/>
        <w:ind w:firstLine="640" w:firstLineChars="200"/>
        <w:rPr>
          <w:rFonts w:hint="eastAsia" w:ascii="仿宋_GB2312" w:eastAsia="仿宋_GB2312"/>
          <w:color w:val="FF0000"/>
          <w:sz w:val="32"/>
          <w:szCs w:val="32"/>
          <w:lang w:eastAsia="zh-CN"/>
        </w:rPr>
      </w:pPr>
    </w:p>
    <w:p>
      <w:pPr>
        <w:pStyle w:val="25"/>
        <w:numPr>
          <w:ilvl w:val="0"/>
          <w:numId w:val="0"/>
        </w:numPr>
        <w:spacing w:line="600" w:lineRule="exact"/>
        <w:ind w:left="640" w:leftChars="0"/>
        <w:outlineLvl w:val="1"/>
        <w:rPr>
          <w:rFonts w:hint="eastAsia" w:ascii="黑体" w:hAnsi="黑体" w:eastAsia="黑体"/>
          <w:color w:val="000000"/>
          <w:sz w:val="32"/>
          <w:szCs w:val="32"/>
          <w:lang w:val="en-US" w:eastAsia="zh-CN"/>
        </w:rPr>
      </w:pPr>
      <w:bookmarkStart w:id="32" w:name="_Toc15377207"/>
      <w:bookmarkStart w:id="33" w:name="_Toc15396605"/>
    </w:p>
    <w:p>
      <w:pPr>
        <w:pStyle w:val="25"/>
        <w:numPr>
          <w:ilvl w:val="0"/>
          <w:numId w:val="0"/>
        </w:numPr>
        <w:spacing w:line="600" w:lineRule="exact"/>
        <w:ind w:left="640" w:leftChars="0"/>
        <w:outlineLvl w:val="1"/>
        <w:rPr>
          <w:rFonts w:hint="eastAsia" w:ascii="黑体" w:hAnsi="黑体" w:eastAsia="黑体"/>
          <w:color w:val="000000"/>
          <w:sz w:val="32"/>
          <w:szCs w:val="32"/>
          <w:lang w:val="en-US" w:eastAsia="zh-CN"/>
        </w:rPr>
      </w:pPr>
    </w:p>
    <w:p>
      <w:pPr>
        <w:pStyle w:val="25"/>
        <w:numPr>
          <w:ilvl w:val="0"/>
          <w:numId w:val="0"/>
        </w:numPr>
        <w:spacing w:line="600" w:lineRule="exact"/>
        <w:ind w:left="640" w:leftChars="0"/>
        <w:outlineLvl w:val="1"/>
        <w:rPr>
          <w:rFonts w:hint="eastAsia" w:ascii="黑体" w:hAnsi="黑体" w:eastAsia="黑体"/>
          <w:color w:val="000000"/>
          <w:sz w:val="32"/>
          <w:szCs w:val="32"/>
          <w:lang w:val="en-US" w:eastAsia="zh-CN"/>
        </w:rPr>
      </w:pPr>
    </w:p>
    <w:p>
      <w:pPr>
        <w:pStyle w:val="25"/>
        <w:numPr>
          <w:ilvl w:val="0"/>
          <w:numId w:val="0"/>
        </w:numPr>
        <w:spacing w:line="600" w:lineRule="exact"/>
        <w:ind w:left="640" w:leftChars="0"/>
        <w:outlineLvl w:val="1"/>
        <w:rPr>
          <w:rStyle w:val="27"/>
          <w:rFonts w:ascii="黑体" w:hAnsi="黑体" w:eastAsia="黑体"/>
          <w:b w:val="0"/>
        </w:rPr>
      </w:pPr>
      <w:r>
        <w:rPr>
          <w:rFonts w:hint="eastAsia" w:ascii="黑体" w:hAnsi="黑体" w:eastAsia="黑体"/>
          <w:color w:val="000000"/>
          <w:sz w:val="32"/>
          <w:szCs w:val="32"/>
          <w:lang w:val="en-US" w:eastAsia="zh-CN"/>
        </w:rPr>
        <w:t>二、</w:t>
      </w:r>
      <w:r>
        <w:rPr>
          <w:rFonts w:hint="eastAsia" w:ascii="黑体" w:hAnsi="黑体" w:eastAsia="黑体"/>
          <w:color w:val="000000"/>
          <w:sz w:val="32"/>
          <w:szCs w:val="32"/>
        </w:rPr>
        <w:t>支</w:t>
      </w:r>
      <w:r>
        <w:rPr>
          <w:rStyle w:val="27"/>
          <w:rFonts w:hint="eastAsia" w:ascii="黑体" w:hAnsi="黑体" w:eastAsia="黑体"/>
          <w:b w:val="0"/>
        </w:rPr>
        <w:t>出决算情况说明</w:t>
      </w:r>
      <w:bookmarkEnd w:id="32"/>
      <w:bookmarkEnd w:id="33"/>
    </w:p>
    <w:p>
      <w:pPr>
        <w:spacing w:line="600" w:lineRule="exact"/>
        <w:ind w:firstLine="640"/>
        <w:rPr>
          <w:rFonts w:hint="eastAsia"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8年本年支出合计8825.16万元，其中：基本支出633.97万元，占</w:t>
      </w:r>
      <w:r>
        <w:rPr>
          <w:rFonts w:hint="eastAsia" w:ascii="仿宋" w:hAnsi="仿宋" w:eastAsia="仿宋"/>
          <w:color w:val="000000"/>
          <w:sz w:val="32"/>
          <w:szCs w:val="32"/>
          <w:lang w:val="en-US" w:eastAsia="zh-CN"/>
        </w:rPr>
        <w:t>8</w:t>
      </w:r>
      <w:r>
        <w:rPr>
          <w:rFonts w:ascii="仿宋" w:hAnsi="仿宋" w:eastAsia="仿宋"/>
          <w:color w:val="000000"/>
          <w:sz w:val="32"/>
          <w:szCs w:val="32"/>
        </w:rPr>
        <w:t>%</w:t>
      </w:r>
      <w:r>
        <w:rPr>
          <w:rFonts w:hint="eastAsia" w:ascii="仿宋" w:hAnsi="仿宋" w:eastAsia="仿宋"/>
          <w:color w:val="000000"/>
          <w:sz w:val="32"/>
          <w:szCs w:val="32"/>
        </w:rPr>
        <w:t>；项目支出8191.19万元，占</w:t>
      </w:r>
      <w:r>
        <w:rPr>
          <w:rFonts w:hint="eastAsia" w:ascii="仿宋" w:hAnsi="仿宋" w:eastAsia="仿宋"/>
          <w:color w:val="000000"/>
          <w:sz w:val="32"/>
          <w:szCs w:val="32"/>
          <w:lang w:val="en-US" w:eastAsia="zh-CN"/>
        </w:rPr>
        <w:t>92</w:t>
      </w:r>
      <w:r>
        <w:rPr>
          <w:rFonts w:ascii="仿宋" w:hAnsi="仿宋" w:eastAsia="仿宋"/>
          <w:color w:val="000000"/>
          <w:sz w:val="32"/>
          <w:szCs w:val="32"/>
        </w:rPr>
        <w:t>%</w:t>
      </w:r>
      <w:r>
        <w:rPr>
          <w:rFonts w:hint="eastAsia" w:ascii="仿宋" w:hAnsi="仿宋" w:eastAsia="仿宋"/>
          <w:color w:val="000000"/>
          <w:sz w:val="32"/>
          <w:szCs w:val="32"/>
        </w:rPr>
        <w:t>；上缴上级支出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万元；经营支出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万元；对附属单位补助支出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w:t>
      </w:r>
    </w:p>
    <w:p>
      <w:pPr>
        <w:spacing w:line="600" w:lineRule="exact"/>
        <w:ind w:firstLine="640" w:firstLineChars="200"/>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（图3：支出决算结构图）</w:t>
      </w:r>
    </w:p>
    <w:p>
      <w:pPr>
        <w:spacing w:line="600" w:lineRule="exact"/>
        <w:ind w:firstLine="640" w:firstLineChars="200"/>
        <w:rPr>
          <w:rFonts w:hint="eastAsia" w:ascii="黑体" w:hAnsi="黑体" w:eastAsia="黑体"/>
          <w:color w:val="000000"/>
          <w:sz w:val="32"/>
          <w:szCs w:val="32"/>
        </w:rPr>
      </w:pPr>
      <w:r>
        <w:rPr>
          <w:rFonts w:hint="eastAsia" w:ascii="仿宋" w:hAnsi="仿宋" w:eastAsia="仿宋"/>
          <w:color w:val="000000" w:themeColor="text1"/>
          <w:sz w:val="32"/>
          <w:szCs w:val="32"/>
          <w:lang w:eastAsia="zh-CN"/>
          <w14:textFill>
            <w14:solidFill>
              <w14:schemeClr w14:val="tx1"/>
            </w14:solidFill>
          </w14:textFill>
        </w:rPr>
        <w:drawing>
          <wp:anchor distT="0" distB="0" distL="114300" distR="114300" simplePos="0" relativeHeight="251685888" behindDoc="0" locked="0" layoutInCell="1" allowOverlap="1">
            <wp:simplePos x="0" y="0"/>
            <wp:positionH relativeFrom="column">
              <wp:posOffset>-53975</wp:posOffset>
            </wp:positionH>
            <wp:positionV relativeFrom="paragraph">
              <wp:posOffset>123190</wp:posOffset>
            </wp:positionV>
            <wp:extent cx="5211445" cy="2074545"/>
            <wp:effectExtent l="4445" t="4445" r="22860" b="16510"/>
            <wp:wrapSquare wrapText="bothSides"/>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bookmarkStart w:id="34" w:name="_Toc15396606"/>
      <w:bookmarkStart w:id="35" w:name="_Toc15377208"/>
    </w:p>
    <w:p>
      <w:pPr>
        <w:spacing w:line="600" w:lineRule="exact"/>
        <w:ind w:firstLine="640" w:firstLineChars="200"/>
        <w:outlineLvl w:val="1"/>
        <w:rPr>
          <w:rStyle w:val="27"/>
          <w:rFonts w:ascii="黑体" w:hAnsi="黑体" w:eastAsia="黑体"/>
          <w:b w:val="0"/>
        </w:rPr>
      </w:pPr>
      <w:r>
        <w:rPr>
          <w:rFonts w:hint="eastAsia" w:ascii="黑体" w:hAnsi="黑体" w:eastAsia="黑体"/>
          <w:color w:val="000000"/>
          <w:sz w:val="32"/>
          <w:szCs w:val="32"/>
        </w:rPr>
        <w:t>四、财</w:t>
      </w:r>
      <w:r>
        <w:rPr>
          <w:rStyle w:val="27"/>
          <w:rFonts w:hint="eastAsia" w:ascii="黑体" w:hAnsi="黑体" w:eastAsia="黑体"/>
          <w:b w:val="0"/>
        </w:rPr>
        <w:t>政拨款收入支出决算总体情况说明</w:t>
      </w:r>
      <w:bookmarkEnd w:id="34"/>
      <w:bookmarkEnd w:id="35"/>
    </w:p>
    <w:p>
      <w:pPr>
        <w:spacing w:line="600" w:lineRule="exact"/>
        <w:ind w:firstLine="640" w:firstLineChars="200"/>
        <w:rPr>
          <w:rFonts w:hint="eastAsia" w:ascii="仿宋" w:hAnsi="仿宋" w:eastAsia="仿宋"/>
          <w:color w:val="000000"/>
          <w:sz w:val="32"/>
          <w:szCs w:val="32"/>
          <w:lang w:val="en-US" w:eastAsia="zh-CN"/>
        </w:rPr>
      </w:pPr>
      <w:r>
        <w:rPr>
          <w:rFonts w:ascii="仿宋" w:hAnsi="仿宋" w:eastAsia="仿宋"/>
          <w:color w:val="000000"/>
          <w:sz w:val="32"/>
          <w:szCs w:val="32"/>
        </w:rPr>
        <w:t>201</w:t>
      </w:r>
      <w:r>
        <w:rPr>
          <w:rFonts w:hint="eastAsia" w:ascii="仿宋" w:hAnsi="仿宋" w:eastAsia="仿宋"/>
          <w:color w:val="000000"/>
          <w:sz w:val="32"/>
          <w:szCs w:val="32"/>
        </w:rPr>
        <w:t>8年财政拨款收</w:t>
      </w:r>
      <w:r>
        <w:rPr>
          <w:rFonts w:hint="eastAsia" w:ascii="仿宋" w:hAnsi="仿宋" w:eastAsia="仿宋"/>
          <w:color w:val="000000"/>
          <w:sz w:val="32"/>
          <w:szCs w:val="32"/>
          <w:lang w:val="en-US" w:eastAsia="zh-CN"/>
        </w:rPr>
        <w:t>入</w:t>
      </w:r>
      <w:r>
        <w:rPr>
          <w:rFonts w:hint="eastAsia" w:ascii="仿宋" w:hAnsi="仿宋" w:eastAsia="仿宋"/>
          <w:color w:val="000000"/>
          <w:sz w:val="32"/>
          <w:szCs w:val="32"/>
        </w:rPr>
        <w:t>总计11584.57万元。与</w:t>
      </w:r>
      <w:r>
        <w:rPr>
          <w:rFonts w:ascii="仿宋" w:hAnsi="仿宋" w:eastAsia="仿宋"/>
          <w:color w:val="000000"/>
          <w:sz w:val="32"/>
          <w:szCs w:val="32"/>
        </w:rPr>
        <w:t>201</w:t>
      </w:r>
      <w:r>
        <w:rPr>
          <w:rFonts w:hint="eastAsia" w:ascii="仿宋" w:hAnsi="仿宋" w:eastAsia="仿宋"/>
          <w:color w:val="000000"/>
          <w:sz w:val="32"/>
          <w:szCs w:val="32"/>
        </w:rPr>
        <w:t>7年相比，财政拨款收</w:t>
      </w:r>
      <w:r>
        <w:rPr>
          <w:rFonts w:hint="eastAsia" w:ascii="仿宋" w:hAnsi="仿宋" w:eastAsia="仿宋"/>
          <w:color w:val="000000"/>
          <w:sz w:val="32"/>
          <w:szCs w:val="32"/>
          <w:lang w:val="en-US" w:eastAsia="zh-CN"/>
        </w:rPr>
        <w:t>入</w:t>
      </w:r>
      <w:r>
        <w:rPr>
          <w:rFonts w:hint="eastAsia" w:ascii="仿宋" w:hAnsi="仿宋" w:eastAsia="仿宋"/>
          <w:color w:val="000000"/>
          <w:sz w:val="32"/>
          <w:szCs w:val="32"/>
        </w:rPr>
        <w:t>总计增加</w:t>
      </w:r>
      <w:r>
        <w:rPr>
          <w:rFonts w:hint="eastAsia" w:ascii="仿宋" w:hAnsi="仿宋" w:eastAsia="仿宋"/>
          <w:color w:val="000000"/>
          <w:sz w:val="32"/>
          <w:szCs w:val="32"/>
          <w:lang w:val="en-US" w:eastAsia="zh-CN"/>
        </w:rPr>
        <w:t>881.57</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7</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2018年新建项目较多。</w:t>
      </w:r>
    </w:p>
    <w:p>
      <w:pPr>
        <w:spacing w:line="600" w:lineRule="exact"/>
        <w:ind w:firstLine="640" w:firstLineChars="200"/>
        <w:rPr>
          <w:rFonts w:hint="default" w:ascii="仿宋" w:hAnsi="仿宋" w:eastAsia="仿宋"/>
          <w:color w:val="000000"/>
          <w:sz w:val="32"/>
          <w:szCs w:val="32"/>
          <w:lang w:val="en-US" w:eastAsia="zh-CN"/>
        </w:rPr>
      </w:pPr>
      <w:r>
        <w:rPr>
          <w:rFonts w:ascii="仿宋" w:hAnsi="仿宋" w:eastAsia="仿宋"/>
          <w:color w:val="000000"/>
          <w:sz w:val="32"/>
          <w:szCs w:val="32"/>
        </w:rPr>
        <w:t>201</w:t>
      </w:r>
      <w:r>
        <w:rPr>
          <w:rFonts w:hint="eastAsia" w:ascii="仿宋" w:hAnsi="仿宋" w:eastAsia="仿宋"/>
          <w:color w:val="000000"/>
          <w:sz w:val="32"/>
          <w:szCs w:val="32"/>
        </w:rPr>
        <w:t>8年财政拨款</w:t>
      </w:r>
      <w:r>
        <w:rPr>
          <w:rFonts w:hint="eastAsia" w:ascii="仿宋" w:hAnsi="仿宋" w:eastAsia="仿宋"/>
          <w:color w:val="000000"/>
          <w:sz w:val="32"/>
          <w:szCs w:val="32"/>
          <w:lang w:val="en-US" w:eastAsia="zh-CN"/>
        </w:rPr>
        <w:t>支出</w:t>
      </w:r>
      <w:r>
        <w:rPr>
          <w:rFonts w:hint="eastAsia" w:ascii="仿宋" w:hAnsi="仿宋" w:eastAsia="仿宋"/>
          <w:color w:val="000000"/>
          <w:sz w:val="32"/>
          <w:szCs w:val="32"/>
        </w:rPr>
        <w:t>总计8825.16万元。与</w:t>
      </w:r>
      <w:r>
        <w:rPr>
          <w:rFonts w:ascii="仿宋" w:hAnsi="仿宋" w:eastAsia="仿宋"/>
          <w:color w:val="000000"/>
          <w:sz w:val="32"/>
          <w:szCs w:val="32"/>
        </w:rPr>
        <w:t>201</w:t>
      </w:r>
      <w:r>
        <w:rPr>
          <w:rFonts w:hint="eastAsia" w:ascii="仿宋" w:hAnsi="仿宋" w:eastAsia="仿宋"/>
          <w:color w:val="000000"/>
          <w:sz w:val="32"/>
          <w:szCs w:val="32"/>
        </w:rPr>
        <w:t>7年相比，财政拨款</w:t>
      </w:r>
      <w:r>
        <w:rPr>
          <w:rFonts w:hint="eastAsia" w:ascii="仿宋" w:hAnsi="仿宋" w:eastAsia="仿宋"/>
          <w:color w:val="000000"/>
          <w:sz w:val="32"/>
          <w:szCs w:val="32"/>
          <w:lang w:val="en-US" w:eastAsia="zh-CN"/>
        </w:rPr>
        <w:t>支出</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减少1308.78</w:t>
      </w:r>
      <w:r>
        <w:rPr>
          <w:rFonts w:hint="eastAsia" w:ascii="仿宋" w:hAnsi="仿宋" w:eastAsia="仿宋"/>
          <w:color w:val="000000"/>
          <w:sz w:val="32"/>
          <w:szCs w:val="32"/>
        </w:rPr>
        <w:t>万元，</w:t>
      </w:r>
      <w:r>
        <w:rPr>
          <w:rFonts w:hint="eastAsia" w:ascii="仿宋" w:hAnsi="仿宋" w:eastAsia="仿宋"/>
          <w:color w:val="000000"/>
          <w:sz w:val="32"/>
          <w:szCs w:val="32"/>
          <w:lang w:val="en-US" w:eastAsia="zh-CN"/>
        </w:rPr>
        <w:t>减少14</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新建项目还未竣工验收，工程款未支付完毕。</w:t>
      </w:r>
    </w:p>
    <w:p>
      <w:pPr>
        <w:spacing w:line="600" w:lineRule="exact"/>
        <w:rPr>
          <w:rFonts w:hint="eastAsia" w:ascii="仿宋" w:hAnsi="仿宋" w:eastAsia="仿宋"/>
          <w:b/>
          <w:color w:val="00B050"/>
          <w:sz w:val="32"/>
          <w:szCs w:val="32"/>
          <w:lang w:val="en-US" w:eastAsia="zh-CN"/>
        </w:rPr>
      </w:pPr>
      <w:r>
        <w:rPr>
          <w:rFonts w:hint="eastAsia" w:ascii="仿宋" w:hAnsi="仿宋" w:eastAsia="仿宋"/>
          <w:color w:val="000000" w:themeColor="text1"/>
          <w:sz w:val="32"/>
          <w:szCs w:val="32"/>
          <w14:textFill>
            <w14:solidFill>
              <w14:schemeClr w14:val="tx1"/>
            </w14:solidFill>
          </w14:textFill>
        </w:rPr>
        <w:t>（图4：财政拨款收、支决算总计变动情况）</w:t>
      </w:r>
      <w:bookmarkStart w:id="36" w:name="_Toc15377209"/>
      <w:bookmarkStart w:id="37" w:name="_Toc15396607"/>
    </w:p>
    <w:p>
      <w:pPr>
        <w:spacing w:line="600" w:lineRule="exact"/>
        <w:ind w:firstLine="640"/>
        <w:rPr>
          <w:rFonts w:hint="eastAsia" w:ascii="仿宋" w:hAnsi="仿宋" w:eastAsia="仿宋"/>
          <w:b/>
          <w:color w:val="00B050"/>
          <w:sz w:val="32"/>
          <w:szCs w:val="32"/>
          <w:lang w:val="en-US" w:eastAsia="zh-CN"/>
        </w:rPr>
      </w:pPr>
      <w:r>
        <w:rPr>
          <w:rFonts w:hint="eastAsia" w:ascii="仿宋" w:hAnsi="仿宋" w:eastAsia="仿宋"/>
          <w:b/>
          <w:color w:val="00B050"/>
          <w:sz w:val="32"/>
          <w:szCs w:val="32"/>
          <w:lang w:eastAsia="zh-CN"/>
        </w:rPr>
        <w:drawing>
          <wp:anchor distT="0" distB="0" distL="114300" distR="114300" simplePos="0" relativeHeight="251670528" behindDoc="1" locked="0" layoutInCell="1" allowOverlap="1">
            <wp:simplePos x="0" y="0"/>
            <wp:positionH relativeFrom="column">
              <wp:posOffset>-91440</wp:posOffset>
            </wp:positionH>
            <wp:positionV relativeFrom="paragraph">
              <wp:posOffset>183515</wp:posOffset>
            </wp:positionV>
            <wp:extent cx="5042535" cy="2600960"/>
            <wp:effectExtent l="4445" t="4445" r="58420" b="23495"/>
            <wp:wrapThrough wrapText="bothSides">
              <wp:wrapPolygon>
                <wp:start x="-19" y="-37"/>
                <wp:lineTo x="-19" y="21479"/>
                <wp:lineTo x="21524" y="21479"/>
                <wp:lineTo x="21524" y="-37"/>
                <wp:lineTo x="-19" y="-37"/>
              </wp:wrapPolygon>
            </wp:wrapThrough>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spacing w:line="600" w:lineRule="exact"/>
        <w:ind w:firstLine="640"/>
        <w:rPr>
          <w:rFonts w:hint="eastAsia" w:ascii="仿宋" w:hAnsi="仿宋" w:eastAsia="仿宋"/>
          <w:b/>
          <w:color w:val="00B050"/>
          <w:sz w:val="32"/>
          <w:szCs w:val="32"/>
          <w:lang w:val="en-US" w:eastAsia="zh-CN"/>
        </w:rPr>
      </w:pPr>
    </w:p>
    <w:p>
      <w:pPr>
        <w:spacing w:line="600" w:lineRule="exact"/>
        <w:ind w:firstLine="640"/>
        <w:rPr>
          <w:rFonts w:hint="eastAsia" w:ascii="仿宋" w:hAnsi="仿宋" w:eastAsia="仿宋"/>
          <w:b/>
          <w:color w:val="00B050"/>
          <w:sz w:val="32"/>
          <w:szCs w:val="32"/>
          <w:lang w:val="en-US" w:eastAsia="zh-CN"/>
        </w:rPr>
      </w:pPr>
    </w:p>
    <w:p>
      <w:pPr>
        <w:spacing w:line="600" w:lineRule="exact"/>
        <w:ind w:firstLine="640"/>
        <w:rPr>
          <w:rFonts w:hint="eastAsia" w:ascii="仿宋" w:hAnsi="仿宋" w:eastAsia="仿宋"/>
          <w:b/>
          <w:color w:val="00B050"/>
          <w:sz w:val="32"/>
          <w:szCs w:val="32"/>
          <w:lang w:val="en-US" w:eastAsia="zh-CN"/>
        </w:rPr>
      </w:pPr>
      <w:r>
        <w:rPr>
          <w:rFonts w:hint="eastAsia" w:ascii="仿宋" w:hAnsi="仿宋" w:eastAsia="仿宋"/>
          <w:b/>
          <w:color w:val="00B050"/>
          <w:sz w:val="32"/>
          <w:szCs w:val="32"/>
          <w:lang w:val="en-US" w:eastAsia="zh-CN"/>
        </w:rPr>
        <w:t xml:space="preserve"> </w:t>
      </w:r>
    </w:p>
    <w:p>
      <w:pPr>
        <w:spacing w:line="600" w:lineRule="exact"/>
        <w:ind w:firstLine="640"/>
        <w:rPr>
          <w:rFonts w:hint="eastAsia" w:ascii="仿宋" w:hAnsi="仿宋" w:eastAsia="仿宋"/>
          <w:b/>
          <w:color w:val="00B050"/>
          <w:sz w:val="32"/>
          <w:szCs w:val="32"/>
          <w:lang w:val="en-US" w:eastAsia="zh-CN"/>
        </w:rPr>
      </w:pPr>
    </w:p>
    <w:p>
      <w:pPr>
        <w:spacing w:line="600" w:lineRule="exact"/>
        <w:ind w:firstLine="640"/>
        <w:rPr>
          <w:rFonts w:hint="eastAsia" w:ascii="仿宋" w:hAnsi="仿宋" w:eastAsia="仿宋"/>
          <w:b/>
          <w:color w:val="00B050"/>
          <w:sz w:val="32"/>
          <w:szCs w:val="32"/>
          <w:lang w:val="en-US" w:eastAsia="zh-CN"/>
        </w:rPr>
      </w:pPr>
    </w:p>
    <w:p>
      <w:pPr>
        <w:spacing w:line="600" w:lineRule="exact"/>
        <w:ind w:firstLine="640"/>
        <w:rPr>
          <w:rFonts w:hint="eastAsia" w:ascii="仿宋" w:hAnsi="仿宋" w:eastAsia="仿宋"/>
          <w:b/>
          <w:color w:val="00B050"/>
          <w:sz w:val="32"/>
          <w:szCs w:val="32"/>
          <w:lang w:val="en-US" w:eastAsia="zh-CN"/>
        </w:rPr>
      </w:pPr>
    </w:p>
    <w:p>
      <w:pPr>
        <w:spacing w:line="600" w:lineRule="exact"/>
        <w:ind w:firstLine="640"/>
        <w:rPr>
          <w:rFonts w:hint="eastAsia" w:ascii="黑体" w:hAnsi="黑体" w:eastAsia="黑体"/>
          <w:color w:val="000000"/>
          <w:sz w:val="32"/>
          <w:szCs w:val="32"/>
        </w:rPr>
      </w:pPr>
    </w:p>
    <w:p>
      <w:pPr>
        <w:spacing w:line="600" w:lineRule="exact"/>
        <w:ind w:firstLine="640"/>
        <w:rPr>
          <w:rStyle w:val="27"/>
          <w:rFonts w:ascii="黑体" w:hAnsi="黑体" w:eastAsia="黑体"/>
          <w:b w:val="0"/>
        </w:rPr>
      </w:pPr>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7"/>
          <w:rFonts w:hint="eastAsia" w:ascii="黑体" w:hAnsi="黑体" w:eastAsia="黑体"/>
          <w:b w:val="0"/>
        </w:rPr>
        <w:t>般公共预算财政拨款支出决算情况说明</w:t>
      </w:r>
      <w:bookmarkEnd w:id="36"/>
      <w:bookmarkEnd w:id="37"/>
    </w:p>
    <w:p>
      <w:pPr>
        <w:spacing w:line="600" w:lineRule="exact"/>
        <w:ind w:firstLine="643" w:firstLineChars="200"/>
        <w:outlineLvl w:val="2"/>
        <w:rPr>
          <w:rFonts w:ascii="仿宋" w:hAnsi="仿宋" w:eastAsia="仿宋"/>
          <w:b/>
          <w:color w:val="000000"/>
          <w:sz w:val="32"/>
          <w:szCs w:val="32"/>
        </w:rPr>
      </w:pPr>
      <w:bookmarkStart w:id="38" w:name="_Toc15377210"/>
      <w:r>
        <w:rPr>
          <w:rFonts w:hint="eastAsia" w:ascii="仿宋" w:hAnsi="仿宋" w:eastAsia="仿宋"/>
          <w:b/>
          <w:color w:val="000000"/>
          <w:sz w:val="32"/>
          <w:szCs w:val="32"/>
        </w:rPr>
        <w:t>（一）一般公共预算财政拨款支出决算总体情况</w:t>
      </w:r>
      <w:bookmarkEnd w:id="38"/>
    </w:p>
    <w:p>
      <w:pPr>
        <w:spacing w:line="600" w:lineRule="exact"/>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lang w:eastAsia="zh-CN"/>
          <w14:textFill>
            <w14:solidFill>
              <w14:schemeClr w14:val="tx1"/>
            </w14:solidFill>
          </w14:textFill>
        </w:rPr>
        <w:drawing>
          <wp:anchor distT="0" distB="0" distL="114300" distR="114300" simplePos="0" relativeHeight="251664384" behindDoc="0" locked="0" layoutInCell="1" allowOverlap="1">
            <wp:simplePos x="0" y="0"/>
            <wp:positionH relativeFrom="column">
              <wp:posOffset>2344420</wp:posOffset>
            </wp:positionH>
            <wp:positionV relativeFrom="paragraph">
              <wp:posOffset>1191260</wp:posOffset>
            </wp:positionV>
            <wp:extent cx="2919095" cy="1922145"/>
            <wp:effectExtent l="4445" t="4445" r="10160" b="16510"/>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ascii="仿宋" w:hAnsi="仿宋" w:eastAsia="仿宋"/>
          <w:color w:val="000000"/>
          <w:sz w:val="32"/>
          <w:szCs w:val="32"/>
        </w:rPr>
        <w:t>201</w:t>
      </w:r>
      <w:r>
        <w:rPr>
          <w:rFonts w:hint="eastAsia" w:ascii="仿宋" w:hAnsi="仿宋" w:eastAsia="仿宋"/>
          <w:color w:val="000000"/>
          <w:sz w:val="32"/>
          <w:szCs w:val="32"/>
        </w:rPr>
        <w:t>8年一般公共预算财政拨款支出8825.16万元，占本年支出合计的</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7年相比，一般公共预算财政拨款减少</w:t>
      </w:r>
      <w:r>
        <w:rPr>
          <w:rFonts w:hint="eastAsia" w:ascii="仿宋" w:hAnsi="仿宋" w:eastAsia="仿宋"/>
          <w:color w:val="000000"/>
          <w:sz w:val="32"/>
          <w:szCs w:val="32"/>
          <w:lang w:val="en-US" w:eastAsia="zh-CN"/>
        </w:rPr>
        <w:t>1308.78</w:t>
      </w:r>
      <w:r>
        <w:rPr>
          <w:rFonts w:hint="eastAsia" w:ascii="仿宋" w:hAnsi="仿宋" w:eastAsia="仿宋"/>
          <w:color w:val="000000"/>
          <w:sz w:val="32"/>
          <w:szCs w:val="32"/>
        </w:rPr>
        <w:t>万元，下降</w:t>
      </w:r>
      <w:r>
        <w:rPr>
          <w:rFonts w:hint="eastAsia" w:ascii="仿宋" w:hAnsi="仿宋" w:eastAsia="仿宋"/>
          <w:color w:val="000000"/>
          <w:sz w:val="32"/>
          <w:szCs w:val="32"/>
          <w:lang w:val="en-US" w:eastAsia="zh-CN"/>
        </w:rPr>
        <w:t>14</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新建项目还未竣工验收，工程款未支付完毕。</w:t>
      </w:r>
      <w:r>
        <w:rPr>
          <w:rFonts w:hint="eastAsia" w:ascii="仿宋" w:hAnsi="仿宋" w:eastAsia="仿宋"/>
          <w:color w:val="000000" w:themeColor="text1"/>
          <w:sz w:val="32"/>
          <w:szCs w:val="32"/>
          <w14:textFill>
            <w14:solidFill>
              <w14:schemeClr w14:val="tx1"/>
            </w14:solidFill>
          </w14:textFill>
        </w:rPr>
        <w:t>（图5：一般公共预算财政拨款支出决算变动情况）</w:t>
      </w:r>
    </w:p>
    <w:p>
      <w:pPr>
        <w:spacing w:line="600" w:lineRule="exact"/>
        <w:ind w:firstLine="643" w:firstLineChars="200"/>
        <w:outlineLvl w:val="2"/>
        <w:rPr>
          <w:rFonts w:hint="eastAsia" w:ascii="仿宋" w:hAnsi="仿宋" w:eastAsia="仿宋"/>
          <w:b/>
          <w:color w:val="000000"/>
          <w:sz w:val="32"/>
          <w:szCs w:val="32"/>
        </w:rPr>
      </w:pPr>
      <w:bookmarkStart w:id="39" w:name="_Toc15377211"/>
    </w:p>
    <w:p>
      <w:pPr>
        <w:spacing w:line="600" w:lineRule="exact"/>
        <w:ind w:firstLine="643" w:firstLineChars="200"/>
        <w:outlineLvl w:val="2"/>
        <w:rPr>
          <w:rFonts w:hint="eastAsia" w:ascii="仿宋" w:hAnsi="仿宋" w:eastAsia="仿宋"/>
          <w:b/>
          <w:color w:val="000000"/>
          <w:sz w:val="32"/>
          <w:szCs w:val="32"/>
        </w:rPr>
      </w:pP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（二）一般公共预算财政拨款支出决算结构情况</w:t>
      </w:r>
      <w:bookmarkEnd w:id="39"/>
    </w:p>
    <w:p>
      <w:pPr>
        <w:spacing w:line="600" w:lineRule="exact"/>
        <w:ind w:firstLine="640"/>
        <w:rPr>
          <w:rFonts w:hint="default" w:ascii="仿宋" w:hAnsi="仿宋" w:eastAsia="仿宋"/>
          <w:color w:val="000000" w:themeColor="text1"/>
          <w:sz w:val="32"/>
          <w:szCs w:val="32"/>
          <w:lang w:val="en-US"/>
          <w14:textFill>
            <w14:solidFill>
              <w14:schemeClr w14:val="tx1"/>
            </w14:solidFill>
          </w14:textFill>
        </w:rPr>
      </w:pPr>
      <w:r>
        <w:rPr>
          <w:rFonts w:hint="eastAsia" w:ascii="仿宋" w:hAnsi="仿宋" w:eastAsia="仿宋"/>
          <w:color w:val="000000"/>
          <w:sz w:val="32"/>
          <w:szCs w:val="32"/>
          <w:lang w:eastAsia="zh-CN"/>
        </w:rPr>
        <w:drawing>
          <wp:anchor distT="0" distB="0" distL="114300" distR="114300" simplePos="0" relativeHeight="251662336" behindDoc="0" locked="0" layoutInCell="1" allowOverlap="1">
            <wp:simplePos x="0" y="0"/>
            <wp:positionH relativeFrom="column">
              <wp:posOffset>2557145</wp:posOffset>
            </wp:positionH>
            <wp:positionV relativeFrom="paragraph">
              <wp:posOffset>2032000</wp:posOffset>
            </wp:positionV>
            <wp:extent cx="2978150" cy="2045335"/>
            <wp:effectExtent l="5080" t="4445" r="7620" b="7620"/>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ascii="仿宋" w:hAnsi="仿宋" w:eastAsia="仿宋"/>
          <w:color w:val="000000"/>
          <w:sz w:val="32"/>
          <w:szCs w:val="32"/>
        </w:rPr>
        <w:t>201</w:t>
      </w:r>
      <w:r>
        <w:rPr>
          <w:rFonts w:hint="eastAsia" w:ascii="仿宋" w:hAnsi="仿宋" w:eastAsia="仿宋"/>
          <w:color w:val="000000"/>
          <w:sz w:val="32"/>
          <w:szCs w:val="32"/>
        </w:rPr>
        <w:t>8年一般公共预算财</w:t>
      </w:r>
      <w:r>
        <w:rPr>
          <w:rFonts w:hint="eastAsia" w:ascii="仿宋" w:hAnsi="仿宋" w:eastAsia="仿宋"/>
          <w:color w:val="000000" w:themeColor="text1"/>
          <w:sz w:val="32"/>
          <w:szCs w:val="32"/>
          <w14:textFill>
            <w14:solidFill>
              <w14:schemeClr w14:val="tx1"/>
            </w14:solidFill>
          </w14:textFill>
        </w:rPr>
        <w:t>政拨款支出</w:t>
      </w:r>
      <w:r>
        <w:rPr>
          <w:rFonts w:hint="eastAsia" w:ascii="仿宋" w:hAnsi="仿宋" w:eastAsia="仿宋"/>
          <w:color w:val="000000"/>
          <w:sz w:val="32"/>
          <w:szCs w:val="32"/>
        </w:rPr>
        <w:t>8825.16</w:t>
      </w:r>
      <w:r>
        <w:rPr>
          <w:rFonts w:hint="eastAsia" w:ascii="仿宋" w:hAnsi="仿宋" w:eastAsia="仿宋"/>
          <w:color w:val="000000" w:themeColor="text1"/>
          <w:sz w:val="32"/>
          <w:szCs w:val="32"/>
          <w14:textFill>
            <w14:solidFill>
              <w14:schemeClr w14:val="tx1"/>
            </w14:solidFill>
          </w14:textFill>
        </w:rPr>
        <w:t>万元，主要用于以下方面</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val="en-US" w:eastAsia="zh-CN"/>
          <w14:textFill>
            <w14:solidFill>
              <w14:schemeClr w14:val="tx1"/>
            </w14:solidFill>
          </w14:textFill>
        </w:rPr>
        <w:t>一般公共服务</w:t>
      </w:r>
      <w:r>
        <w:rPr>
          <w:rFonts w:hint="eastAsia" w:ascii="仿宋" w:hAnsi="仿宋" w:eastAsia="仿宋"/>
          <w:color w:val="000000" w:themeColor="text1"/>
          <w:sz w:val="32"/>
          <w:szCs w:val="32"/>
          <w14:textFill>
            <w14:solidFill>
              <w14:schemeClr w14:val="tx1"/>
            </w14:solidFill>
          </w14:textFill>
        </w:rPr>
        <w:t>支出2114.94万元，占</w:t>
      </w:r>
      <w:r>
        <w:rPr>
          <w:rFonts w:hint="eastAsia" w:ascii="仿宋" w:hAnsi="仿宋" w:eastAsia="仿宋"/>
          <w:color w:val="000000" w:themeColor="text1"/>
          <w:sz w:val="32"/>
          <w:szCs w:val="32"/>
          <w:lang w:val="en-US" w:eastAsia="zh-CN"/>
          <w14:textFill>
            <w14:solidFill>
              <w14:schemeClr w14:val="tx1"/>
            </w14:solidFill>
          </w14:textFill>
        </w:rPr>
        <w:t>23</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val="en-US" w:eastAsia="zh-CN"/>
          <w14:textFill>
            <w14:solidFill>
              <w14:schemeClr w14:val="tx1"/>
            </w14:solidFill>
          </w14:textFill>
        </w:rPr>
        <w:t>社会保障和就业</w:t>
      </w:r>
      <w:r>
        <w:rPr>
          <w:rFonts w:hint="eastAsia" w:ascii="仿宋" w:hAnsi="仿宋" w:eastAsia="仿宋"/>
          <w:color w:val="000000" w:themeColor="text1"/>
          <w:sz w:val="32"/>
          <w:szCs w:val="32"/>
          <w14:textFill>
            <w14:solidFill>
              <w14:schemeClr w14:val="tx1"/>
            </w14:solidFill>
          </w14:textFill>
        </w:rPr>
        <w:t>支出87.38万元，占</w:t>
      </w:r>
      <w:r>
        <w:rPr>
          <w:rFonts w:hint="eastAsia" w:ascii="仿宋" w:hAnsi="仿宋" w:eastAsia="仿宋"/>
          <w:color w:val="000000" w:themeColor="text1"/>
          <w:sz w:val="32"/>
          <w:szCs w:val="32"/>
          <w:lang w:val="en-US" w:eastAsia="zh-CN"/>
          <w14:textFill>
            <w14:solidFill>
              <w14:schemeClr w14:val="tx1"/>
            </w14:solidFill>
          </w14:textFill>
        </w:rPr>
        <w:t>0.7</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；医疗卫生支出25.15万元，占</w:t>
      </w:r>
      <w:r>
        <w:rPr>
          <w:rFonts w:hint="eastAsia" w:ascii="仿宋" w:hAnsi="仿宋" w:eastAsia="仿宋"/>
          <w:color w:val="000000" w:themeColor="text1"/>
          <w:sz w:val="32"/>
          <w:szCs w:val="32"/>
          <w:lang w:val="en-US" w:eastAsia="zh-CN"/>
          <w14:textFill>
            <w14:solidFill>
              <w14:schemeClr w14:val="tx1"/>
            </w14:solidFill>
          </w14:textFill>
        </w:rPr>
        <w:t>0.3</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；住房保障支出478.77万元，占</w:t>
      </w:r>
      <w:r>
        <w:rPr>
          <w:rFonts w:hint="eastAsia" w:ascii="仿宋" w:hAnsi="仿宋" w:eastAsia="仿宋"/>
          <w:color w:val="000000" w:themeColor="text1"/>
          <w:sz w:val="32"/>
          <w:szCs w:val="32"/>
          <w:lang w:val="en-US" w:eastAsia="zh-CN"/>
          <w14:textFill>
            <w14:solidFill>
              <w14:schemeClr w14:val="tx1"/>
            </w14:solidFill>
          </w14:textFill>
        </w:rPr>
        <w:t>6</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val="en-US" w:eastAsia="zh-CN"/>
          <w14:textFill>
            <w14:solidFill>
              <w14:schemeClr w14:val="tx1"/>
            </w14:solidFill>
          </w14:textFill>
        </w:rPr>
        <w:t>节能环保支出421.11万元，占5%；城乡社区支出5586.46万元，占63%；农林水支出111.33万元，占2%.</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w:t>
      </w:r>
    </w:p>
    <w:p>
      <w:pPr>
        <w:spacing w:line="600" w:lineRule="exact"/>
        <w:ind w:firstLine="640" w:firstLineChars="200"/>
        <w:rPr>
          <w:rFonts w:ascii="仿宋" w:hAnsi="仿宋" w:eastAsia="仿宋"/>
          <w:color w:val="000000"/>
          <w:sz w:val="32"/>
          <w:szCs w:val="32"/>
        </w:rPr>
      </w:pPr>
    </w:p>
    <w:p>
      <w:pPr>
        <w:spacing w:line="600" w:lineRule="exact"/>
        <w:outlineLvl w:val="2"/>
        <w:rPr>
          <w:rFonts w:hint="eastAsia" w:ascii="仿宋" w:hAnsi="仿宋" w:eastAsia="仿宋"/>
          <w:b/>
          <w:color w:val="000000"/>
          <w:sz w:val="32"/>
          <w:szCs w:val="32"/>
        </w:rPr>
      </w:pPr>
      <w:bookmarkStart w:id="40" w:name="_Toc15377212"/>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（三）一般公共预算财政拨款支出决算具体情况</w:t>
      </w:r>
      <w:bookmarkEnd w:id="40"/>
    </w:p>
    <w:p>
      <w:pPr>
        <w:spacing w:line="600" w:lineRule="exact"/>
        <w:ind w:firstLine="643" w:firstLineChars="200"/>
        <w:outlineLvl w:val="2"/>
        <w:rPr>
          <w:rFonts w:ascii="仿宋" w:hAnsi="仿宋" w:eastAsia="仿宋"/>
          <w:color w:val="FF0000"/>
          <w:sz w:val="32"/>
          <w:szCs w:val="32"/>
        </w:rPr>
      </w:pPr>
      <w:bookmarkStart w:id="41" w:name="_Toc15377213"/>
      <w:bookmarkStart w:id="42" w:name="_Toc15378460"/>
      <w:bookmarkStart w:id="43" w:name="_Toc15377444"/>
      <w:r>
        <w:rPr>
          <w:rFonts w:hint="eastAsia" w:ascii="仿宋" w:hAnsi="仿宋" w:eastAsia="仿宋"/>
          <w:b/>
          <w:color w:val="000000" w:themeColor="text1"/>
          <w:sz w:val="32"/>
          <w:szCs w:val="32"/>
          <w14:textFill>
            <w14:solidFill>
              <w14:schemeClr w14:val="tx1"/>
            </w14:solidFill>
          </w14:textFill>
        </w:rPr>
        <w:t>2018年</w:t>
      </w:r>
      <w:r>
        <w:rPr>
          <w:rFonts w:hint="eastAsia" w:ascii="仿宋" w:hAnsi="仿宋" w:eastAsia="仿宋"/>
          <w:b/>
          <w:color w:val="000000" w:themeColor="text1"/>
          <w:sz w:val="32"/>
          <w:szCs w:val="32"/>
          <w:lang w:val="en-US" w:eastAsia="zh-CN"/>
          <w14:textFill>
            <w14:solidFill>
              <w14:schemeClr w14:val="tx1"/>
            </w14:solidFill>
          </w14:textFill>
        </w:rPr>
        <w:t>一</w:t>
      </w:r>
      <w:r>
        <w:rPr>
          <w:rFonts w:hint="eastAsia" w:ascii="仿宋" w:hAnsi="仿宋" w:eastAsia="仿宋"/>
          <w:b/>
          <w:color w:val="000000" w:themeColor="text1"/>
          <w:sz w:val="32"/>
          <w:szCs w:val="32"/>
          <w14:textFill>
            <w14:solidFill>
              <w14:schemeClr w14:val="tx1"/>
            </w14:solidFill>
          </w14:textFill>
        </w:rPr>
        <w:t>般公共预算支出决算数为</w:t>
      </w:r>
      <w:r>
        <w:rPr>
          <w:rFonts w:hint="eastAsia" w:ascii="仿宋" w:hAnsi="仿宋" w:eastAsia="仿宋"/>
          <w:b/>
          <w:color w:val="000000" w:themeColor="text1"/>
          <w:sz w:val="32"/>
          <w:szCs w:val="32"/>
          <w:lang w:val="en-US" w:eastAsia="zh-CN"/>
          <w14:textFill>
            <w14:solidFill>
              <w14:schemeClr w14:val="tx1"/>
            </w14:solidFill>
          </w14:textFill>
        </w:rPr>
        <w:t>8825.16</w:t>
      </w:r>
      <w:r>
        <w:rPr>
          <w:rFonts w:hint="eastAsia" w:ascii="仿宋" w:hAnsi="仿宋" w:eastAsia="仿宋"/>
          <w:color w:val="000000" w:themeColor="text1"/>
          <w:sz w:val="32"/>
          <w:szCs w:val="32"/>
          <w14:textFill>
            <w14:solidFill>
              <w14:schemeClr w14:val="tx1"/>
            </w14:solidFill>
          </w14:textFill>
        </w:rPr>
        <w:t>，</w:t>
      </w:r>
      <w:r>
        <w:rPr>
          <w:rStyle w:val="15"/>
          <w:rFonts w:hint="eastAsia" w:ascii="仿宋" w:hAnsi="仿宋" w:eastAsia="仿宋"/>
          <w:bCs/>
          <w:color w:val="000000" w:themeColor="text1"/>
          <w:sz w:val="32"/>
          <w:szCs w:val="32"/>
          <w14:textFill>
            <w14:solidFill>
              <w14:schemeClr w14:val="tx1"/>
            </w14:solidFill>
          </w14:textFill>
        </w:rPr>
        <w:t>完成</w:t>
      </w:r>
      <w:r>
        <w:rPr>
          <w:rStyle w:val="15"/>
          <w:rFonts w:hint="eastAsia" w:ascii="仿宋" w:hAnsi="仿宋" w:eastAsia="仿宋"/>
          <w:bCs/>
          <w:color w:val="000000"/>
          <w:sz w:val="32"/>
          <w:szCs w:val="32"/>
        </w:rPr>
        <w:t>预算</w:t>
      </w:r>
      <w:r>
        <w:rPr>
          <w:rStyle w:val="15"/>
          <w:rFonts w:hint="eastAsia" w:ascii="仿宋" w:hAnsi="仿宋" w:eastAsia="仿宋"/>
          <w:bCs/>
          <w:color w:val="000000"/>
          <w:sz w:val="32"/>
          <w:szCs w:val="32"/>
          <w:lang w:val="en-US" w:eastAsia="zh-CN"/>
        </w:rPr>
        <w:t>100</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。其中：</w:t>
      </w:r>
      <w:bookmarkEnd w:id="41"/>
      <w:bookmarkEnd w:id="42"/>
      <w:bookmarkEnd w:id="43"/>
    </w:p>
    <w:p>
      <w:pPr>
        <w:spacing w:line="600" w:lineRule="exact"/>
        <w:ind w:firstLine="643" w:firstLineChars="200"/>
        <w:rPr>
          <w:rFonts w:ascii="仿宋" w:hAnsi="仿宋" w:eastAsia="仿宋"/>
          <w:b/>
          <w:color w:val="000000"/>
          <w:sz w:val="32"/>
          <w:szCs w:val="32"/>
        </w:rPr>
      </w:pPr>
      <w:r>
        <w:rPr>
          <w:rStyle w:val="15"/>
          <w:rFonts w:ascii="仿宋" w:hAnsi="仿宋" w:eastAsia="仿宋"/>
          <w:bCs/>
          <w:color w:val="000000"/>
          <w:sz w:val="32"/>
          <w:szCs w:val="32"/>
        </w:rPr>
        <w:t>1.</w:t>
      </w:r>
      <w:r>
        <w:rPr>
          <w:rStyle w:val="15"/>
          <w:rFonts w:hint="eastAsia" w:ascii="仿宋" w:hAnsi="仿宋" w:eastAsia="仿宋"/>
          <w:bCs/>
          <w:color w:val="000000"/>
          <w:sz w:val="32"/>
          <w:szCs w:val="32"/>
        </w:rPr>
        <w:t>一般公共服务</w:t>
      </w:r>
      <w:r>
        <w:rPr>
          <w:rStyle w:val="15"/>
          <w:rFonts w:ascii="仿宋" w:hAnsi="仿宋" w:eastAsia="仿宋"/>
          <w:bCs/>
          <w:color w:val="000000"/>
          <w:sz w:val="32"/>
          <w:szCs w:val="32"/>
        </w:rPr>
        <w:t>:</w:t>
      </w:r>
      <w:r>
        <w:rPr>
          <w:rFonts w:hint="eastAsia" w:ascii="仿宋_GB2312" w:hAnsi="仿宋_GB2312" w:eastAsia="仿宋_GB2312" w:cs="仿宋_GB2312"/>
          <w:bCs/>
          <w:sz w:val="32"/>
          <w:szCs w:val="32"/>
        </w:rPr>
        <w:t>2012604</w:t>
      </w:r>
      <w:r>
        <w:rPr>
          <w:rStyle w:val="15"/>
          <w:rFonts w:ascii="仿宋" w:hAnsi="仿宋" w:eastAsia="仿宋"/>
          <w:b w:val="0"/>
          <w:bCs/>
          <w:color w:val="000000"/>
          <w:sz w:val="32"/>
          <w:szCs w:val="32"/>
        </w:rPr>
        <w:t xml:space="preserve"> </w:t>
      </w:r>
      <w:r>
        <w:rPr>
          <w:rFonts w:hint="eastAsia" w:ascii="仿宋_GB2312" w:hAnsi="仿宋_GB2312" w:eastAsia="仿宋_GB2312" w:cs="仿宋_GB2312"/>
          <w:bCs/>
          <w:sz w:val="32"/>
          <w:szCs w:val="32"/>
        </w:rPr>
        <w:t>-档案馆</w:t>
      </w:r>
      <w:r>
        <w:rPr>
          <w:rFonts w:hint="eastAsia" w:ascii="仿宋_GB2312" w:hAnsi="仿宋_GB2312" w:eastAsia="仿宋_GB2312" w:cs="仿宋_GB2312"/>
          <w:bCs/>
          <w:sz w:val="32"/>
          <w:szCs w:val="32"/>
          <w:lang w:val="en-US" w:eastAsia="zh-CN"/>
        </w:rPr>
        <w:t>支出25.69万元；2019999-其他一般公共服务支出2089.25万元，</w:t>
      </w:r>
      <w:r>
        <w:rPr>
          <w:rStyle w:val="15"/>
          <w:rFonts w:hint="eastAsia" w:ascii="仿宋" w:hAnsi="仿宋" w:eastAsia="仿宋"/>
          <w:b w:val="0"/>
          <w:bCs/>
          <w:color w:val="000000"/>
          <w:sz w:val="32"/>
          <w:szCs w:val="32"/>
        </w:rPr>
        <w:t>支出决算为2114.94万元，完成预算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，决算数等于预算数。</w:t>
      </w:r>
    </w:p>
    <w:p>
      <w:pPr>
        <w:spacing w:line="600" w:lineRule="exact"/>
        <w:ind w:firstLine="643" w:firstLineChars="200"/>
        <w:rPr>
          <w:rFonts w:ascii="仿宋" w:hAnsi="仿宋" w:eastAsia="仿宋"/>
          <w:b/>
          <w:color w:val="000000"/>
          <w:sz w:val="32"/>
          <w:szCs w:val="32"/>
        </w:rPr>
      </w:pPr>
      <w:r>
        <w:rPr>
          <w:rStyle w:val="15"/>
          <w:rFonts w:hint="eastAsia" w:ascii="仿宋" w:hAnsi="仿宋" w:eastAsia="仿宋"/>
          <w:bCs/>
          <w:color w:val="000000"/>
          <w:sz w:val="32"/>
          <w:szCs w:val="32"/>
          <w:lang w:val="en-US" w:eastAsia="zh-CN"/>
        </w:rPr>
        <w:t>2</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社会保障和就业</w:t>
      </w:r>
      <w:r>
        <w:rPr>
          <w:rStyle w:val="15"/>
          <w:rFonts w:ascii="仿宋" w:hAnsi="仿宋" w:eastAsia="仿宋"/>
          <w:bCs/>
          <w:color w:val="000000"/>
          <w:sz w:val="32"/>
          <w:szCs w:val="32"/>
        </w:rPr>
        <w:t>:</w:t>
      </w:r>
      <w:r>
        <w:rPr>
          <w:rStyle w:val="15"/>
          <w:rFonts w:hint="eastAsia" w:ascii="仿宋" w:hAnsi="仿宋" w:eastAsia="仿宋"/>
          <w:b w:val="0"/>
          <w:bCs/>
          <w:color w:val="000000"/>
          <w:sz w:val="32"/>
          <w:szCs w:val="32"/>
        </w:rPr>
        <w:t>2080505</w:t>
      </w:r>
      <w:r>
        <w:rPr>
          <w:rStyle w:val="15"/>
          <w:rFonts w:hint="eastAsia" w:ascii="仿宋" w:hAnsi="仿宋" w:eastAsia="仿宋"/>
          <w:bCs/>
          <w:color w:val="000000"/>
          <w:sz w:val="32"/>
          <w:szCs w:val="32"/>
          <w:lang w:val="en-US" w:eastAsia="zh-CN"/>
        </w:rPr>
        <w:t>-</w:t>
      </w:r>
      <w:r>
        <w:rPr>
          <w:rStyle w:val="15"/>
          <w:rFonts w:ascii="仿宋" w:hAnsi="仿宋" w:eastAsia="仿宋"/>
          <w:b w:val="0"/>
          <w:bCs/>
          <w:color w:val="000000"/>
          <w:sz w:val="32"/>
          <w:szCs w:val="32"/>
        </w:rPr>
        <w:t xml:space="preserve"> </w:t>
      </w:r>
      <w:r>
        <w:rPr>
          <w:rStyle w:val="15"/>
          <w:rFonts w:hint="eastAsia" w:ascii="仿宋" w:hAnsi="仿宋" w:eastAsia="仿宋"/>
          <w:b w:val="0"/>
          <w:bCs/>
          <w:color w:val="000000"/>
          <w:sz w:val="32"/>
          <w:szCs w:val="32"/>
        </w:rPr>
        <w:t>机关事业单位基本养老保险缴费支出62.45</w:t>
      </w:r>
      <w:r>
        <w:rPr>
          <w:rStyle w:val="15"/>
          <w:rFonts w:hint="eastAsia" w:ascii="仿宋" w:hAnsi="仿宋" w:eastAsia="仿宋"/>
          <w:b w:val="0"/>
          <w:bCs/>
          <w:color w:val="000000"/>
          <w:sz w:val="32"/>
          <w:szCs w:val="32"/>
          <w:lang w:val="en-US" w:eastAsia="zh-CN"/>
        </w:rPr>
        <w:t>万元；2080506-机关事业单位职业年金缴费支出24.94万元；</w:t>
      </w:r>
      <w:r>
        <w:rPr>
          <w:rStyle w:val="15"/>
          <w:rFonts w:hint="eastAsia" w:ascii="仿宋" w:hAnsi="仿宋" w:eastAsia="仿宋"/>
          <w:b w:val="0"/>
          <w:bCs/>
          <w:color w:val="000000"/>
          <w:sz w:val="32"/>
          <w:szCs w:val="32"/>
        </w:rPr>
        <w:t>支出决算为</w:t>
      </w:r>
      <w:r>
        <w:rPr>
          <w:rStyle w:val="15"/>
          <w:rFonts w:hint="eastAsia" w:ascii="仿宋" w:hAnsi="仿宋" w:eastAsia="仿宋"/>
          <w:b w:val="0"/>
          <w:bCs/>
          <w:color w:val="000000"/>
          <w:sz w:val="32"/>
          <w:szCs w:val="32"/>
          <w:lang w:val="en-US" w:eastAsia="zh-CN"/>
        </w:rPr>
        <w:t>87.39</w:t>
      </w:r>
      <w:r>
        <w:rPr>
          <w:rStyle w:val="15"/>
          <w:rFonts w:hint="eastAsia" w:ascii="仿宋" w:hAnsi="仿宋" w:eastAsia="仿宋"/>
          <w:b w:val="0"/>
          <w:bCs/>
          <w:color w:val="000000"/>
          <w:sz w:val="32"/>
          <w:szCs w:val="32"/>
        </w:rPr>
        <w:t>万元，完成预算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，决算数等于预算数。</w:t>
      </w:r>
    </w:p>
    <w:p>
      <w:pPr>
        <w:spacing w:line="600" w:lineRule="exact"/>
        <w:ind w:firstLine="643" w:firstLineChars="200"/>
        <w:rPr>
          <w:rStyle w:val="15"/>
          <w:rFonts w:hint="eastAsia" w:ascii="仿宋" w:hAnsi="仿宋" w:eastAsia="仿宋"/>
          <w:b w:val="0"/>
          <w:bCs/>
          <w:color w:val="000000"/>
          <w:sz w:val="32"/>
          <w:szCs w:val="32"/>
        </w:rPr>
      </w:pPr>
      <w:r>
        <w:rPr>
          <w:rStyle w:val="15"/>
          <w:rFonts w:hint="eastAsia" w:ascii="仿宋" w:hAnsi="仿宋" w:eastAsia="仿宋"/>
          <w:bCs/>
          <w:color w:val="000000"/>
          <w:sz w:val="32"/>
          <w:szCs w:val="32"/>
          <w:lang w:val="en-US" w:eastAsia="zh-CN"/>
        </w:rPr>
        <w:t>3</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医疗卫生与计划生育</w:t>
      </w:r>
      <w:r>
        <w:rPr>
          <w:rStyle w:val="15"/>
          <w:rFonts w:ascii="仿宋" w:hAnsi="仿宋" w:eastAsia="仿宋"/>
          <w:bCs/>
          <w:color w:val="000000"/>
          <w:sz w:val="32"/>
          <w:szCs w:val="32"/>
        </w:rPr>
        <w:t>:</w:t>
      </w:r>
      <w:r>
        <w:rPr>
          <w:rStyle w:val="15"/>
          <w:rFonts w:hint="eastAsia" w:ascii="仿宋" w:hAnsi="仿宋" w:eastAsia="仿宋"/>
          <w:b w:val="0"/>
          <w:bCs/>
          <w:color w:val="000000"/>
          <w:sz w:val="32"/>
          <w:szCs w:val="32"/>
          <w:lang w:val="en-US" w:eastAsia="zh-CN"/>
        </w:rPr>
        <w:t>2</w:t>
      </w:r>
      <w:r>
        <w:rPr>
          <w:rStyle w:val="15"/>
          <w:rFonts w:hint="eastAsia" w:ascii="仿宋" w:hAnsi="仿宋" w:eastAsia="仿宋"/>
          <w:b w:val="0"/>
          <w:bCs/>
          <w:color w:val="000000"/>
          <w:sz w:val="32"/>
          <w:szCs w:val="32"/>
        </w:rPr>
        <w:t>101101</w:t>
      </w:r>
      <w:r>
        <w:rPr>
          <w:rStyle w:val="15"/>
          <w:rFonts w:hint="eastAsia" w:ascii="仿宋" w:hAnsi="仿宋" w:eastAsia="仿宋"/>
          <w:b w:val="0"/>
          <w:bCs/>
          <w:color w:val="000000"/>
          <w:sz w:val="32"/>
          <w:szCs w:val="32"/>
          <w:lang w:val="en-US" w:eastAsia="zh-CN"/>
        </w:rPr>
        <w:t>-行政单位医疗支出9.37万元；2101102- 事业单位医疗支出11.57万元；2101103-公务员医疗补助支出1.88万元；2101199-其他行政事业单位医疗支出2.33万元，</w:t>
      </w:r>
      <w:r>
        <w:rPr>
          <w:rStyle w:val="15"/>
          <w:rFonts w:hint="eastAsia" w:ascii="仿宋" w:hAnsi="仿宋" w:eastAsia="仿宋"/>
          <w:b w:val="0"/>
          <w:bCs/>
          <w:color w:val="000000"/>
          <w:sz w:val="32"/>
          <w:szCs w:val="32"/>
        </w:rPr>
        <w:t>支出决算为</w:t>
      </w:r>
      <w:r>
        <w:rPr>
          <w:rStyle w:val="15"/>
          <w:rFonts w:hint="eastAsia" w:ascii="仿宋" w:hAnsi="仿宋" w:eastAsia="仿宋"/>
          <w:b w:val="0"/>
          <w:bCs/>
          <w:color w:val="000000"/>
          <w:sz w:val="32"/>
          <w:szCs w:val="32"/>
          <w:lang w:val="en-US" w:eastAsia="zh-CN"/>
        </w:rPr>
        <w:t>25.15</w:t>
      </w:r>
      <w:r>
        <w:rPr>
          <w:rStyle w:val="15"/>
          <w:rFonts w:hint="eastAsia" w:ascii="仿宋" w:hAnsi="仿宋" w:eastAsia="仿宋"/>
          <w:b w:val="0"/>
          <w:bCs/>
          <w:color w:val="000000"/>
          <w:sz w:val="32"/>
          <w:szCs w:val="32"/>
        </w:rPr>
        <w:t>万元，完成预算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，决算数等于预算数。</w:t>
      </w:r>
    </w:p>
    <w:p>
      <w:pPr>
        <w:spacing w:line="600" w:lineRule="exact"/>
        <w:ind w:firstLine="640" w:firstLineChars="200"/>
        <w:rPr>
          <w:rStyle w:val="15"/>
          <w:rFonts w:hint="eastAsia" w:ascii="仿宋" w:hAnsi="仿宋" w:eastAsia="仿宋"/>
          <w:b w:val="0"/>
          <w:bCs/>
          <w:color w:val="000000"/>
          <w:sz w:val="32"/>
          <w:szCs w:val="32"/>
          <w:lang w:val="en-US" w:eastAsia="zh-CN"/>
        </w:rPr>
      </w:pPr>
      <w:r>
        <w:rPr>
          <w:rStyle w:val="15"/>
          <w:rFonts w:hint="eastAsia" w:ascii="仿宋" w:hAnsi="仿宋" w:eastAsia="仿宋"/>
          <w:b w:val="0"/>
          <w:bCs/>
          <w:color w:val="000000"/>
          <w:sz w:val="32"/>
          <w:szCs w:val="32"/>
          <w:lang w:val="en-US" w:eastAsia="zh-CN"/>
        </w:rPr>
        <w:t>4.</w:t>
      </w:r>
      <w:r>
        <w:rPr>
          <w:rStyle w:val="15"/>
          <w:rFonts w:hint="eastAsia" w:ascii="仿宋" w:hAnsi="仿宋" w:eastAsia="仿宋"/>
          <w:bCs/>
          <w:color w:val="000000"/>
          <w:sz w:val="32"/>
          <w:szCs w:val="32"/>
          <w:lang w:val="en-US" w:eastAsia="zh-CN"/>
        </w:rPr>
        <w:t>节能环保支出：</w:t>
      </w:r>
      <w:r>
        <w:rPr>
          <w:rStyle w:val="15"/>
          <w:rFonts w:hint="eastAsia" w:ascii="仿宋" w:hAnsi="仿宋" w:eastAsia="仿宋"/>
          <w:b w:val="0"/>
          <w:bCs/>
          <w:color w:val="000000"/>
          <w:sz w:val="32"/>
          <w:szCs w:val="32"/>
          <w:lang w:val="en-US" w:eastAsia="zh-CN"/>
        </w:rPr>
        <w:t>2110401-生态保护支出421.11万元，</w:t>
      </w:r>
      <w:r>
        <w:rPr>
          <w:rStyle w:val="15"/>
          <w:rFonts w:hint="eastAsia" w:ascii="仿宋" w:hAnsi="仿宋" w:eastAsia="仿宋"/>
          <w:b w:val="0"/>
          <w:bCs/>
          <w:color w:val="000000"/>
          <w:sz w:val="32"/>
          <w:szCs w:val="32"/>
        </w:rPr>
        <w:t>支出决算为</w:t>
      </w:r>
      <w:r>
        <w:rPr>
          <w:rStyle w:val="15"/>
          <w:rFonts w:hint="eastAsia" w:ascii="仿宋" w:hAnsi="仿宋" w:eastAsia="仿宋"/>
          <w:b w:val="0"/>
          <w:bCs/>
          <w:color w:val="000000"/>
          <w:sz w:val="32"/>
          <w:szCs w:val="32"/>
          <w:lang w:val="en-US" w:eastAsia="zh-CN"/>
        </w:rPr>
        <w:t>421.11</w:t>
      </w:r>
      <w:r>
        <w:rPr>
          <w:rStyle w:val="15"/>
          <w:rFonts w:hint="eastAsia" w:ascii="仿宋" w:hAnsi="仿宋" w:eastAsia="仿宋"/>
          <w:b w:val="0"/>
          <w:bCs/>
          <w:color w:val="000000"/>
          <w:sz w:val="32"/>
          <w:szCs w:val="32"/>
        </w:rPr>
        <w:t>万元，完成预算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，决算数等于预算数。</w:t>
      </w:r>
    </w:p>
    <w:p>
      <w:pPr>
        <w:spacing w:line="600" w:lineRule="exact"/>
        <w:ind w:firstLine="643" w:firstLineChars="200"/>
        <w:rPr>
          <w:rFonts w:ascii="仿宋" w:hAnsi="仿宋" w:eastAsia="仿宋"/>
          <w:b/>
          <w:color w:val="000000"/>
          <w:sz w:val="32"/>
          <w:szCs w:val="32"/>
        </w:rPr>
      </w:pPr>
      <w:r>
        <w:rPr>
          <w:rStyle w:val="15"/>
          <w:rFonts w:hint="eastAsia" w:ascii="仿宋" w:hAnsi="仿宋" w:eastAsia="仿宋"/>
          <w:bCs/>
          <w:color w:val="000000"/>
          <w:sz w:val="32"/>
          <w:szCs w:val="32"/>
          <w:lang w:val="en-US" w:eastAsia="zh-CN"/>
        </w:rPr>
        <w:t>5.城乡社区支出：</w:t>
      </w:r>
      <w:r>
        <w:rPr>
          <w:rStyle w:val="15"/>
          <w:rFonts w:hint="eastAsia" w:ascii="仿宋" w:hAnsi="仿宋" w:eastAsia="仿宋"/>
          <w:b w:val="0"/>
          <w:bCs/>
          <w:color w:val="000000"/>
          <w:sz w:val="32"/>
          <w:szCs w:val="32"/>
          <w:lang w:val="en-US" w:eastAsia="zh-CN"/>
        </w:rPr>
        <w:t>2120101-行政运行215.18万元；2120104-城管执法265.65万元；2120201-城乡社区规划与管理152.3万元；2120303-小城镇基础设施建设213.2万元；2120399-其他城乡社区公共设施支出1685.29万元；2120501-城乡社区环境卫生1319.42万元；2129999-其他城乡社区支出1735.42万元，</w:t>
      </w:r>
      <w:r>
        <w:rPr>
          <w:rStyle w:val="15"/>
          <w:rFonts w:hint="eastAsia" w:ascii="仿宋" w:hAnsi="仿宋" w:eastAsia="仿宋"/>
          <w:b w:val="0"/>
          <w:bCs/>
          <w:color w:val="000000"/>
          <w:sz w:val="32"/>
          <w:szCs w:val="32"/>
        </w:rPr>
        <w:t>支出决算为5586.46万元，完成预算</w:t>
      </w:r>
      <w:r>
        <w:rPr>
          <w:rStyle w:val="15"/>
          <w:rFonts w:hint="eastAsia" w:ascii="仿宋" w:hAnsi="仿宋" w:eastAsia="仿宋"/>
          <w:b w:val="0"/>
          <w:bCs/>
          <w:color w:val="000000"/>
          <w:sz w:val="32"/>
          <w:szCs w:val="32"/>
          <w:lang w:val="en-US" w:eastAsia="zh-CN"/>
        </w:rPr>
        <w:t>94</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，决算数小于预算数的主要原因是</w:t>
      </w:r>
      <w:r>
        <w:rPr>
          <w:rStyle w:val="15"/>
          <w:rFonts w:hint="eastAsia" w:ascii="仿宋" w:hAnsi="仿宋" w:eastAsia="仿宋"/>
          <w:b w:val="0"/>
          <w:bCs/>
          <w:color w:val="000000"/>
          <w:sz w:val="32"/>
          <w:szCs w:val="32"/>
          <w:lang w:val="en-US" w:eastAsia="zh-CN"/>
        </w:rPr>
        <w:t>城市配套费补助资金未发生支出</w:t>
      </w:r>
      <w:r>
        <w:rPr>
          <w:rStyle w:val="15"/>
          <w:rFonts w:hint="eastAsia" w:ascii="仿宋" w:hAnsi="仿宋" w:eastAsia="仿宋"/>
          <w:b w:val="0"/>
          <w:bCs/>
          <w:color w:val="000000"/>
          <w:sz w:val="32"/>
          <w:szCs w:val="32"/>
        </w:rPr>
        <w:t>。</w:t>
      </w:r>
    </w:p>
    <w:p>
      <w:pPr>
        <w:spacing w:line="600" w:lineRule="exact"/>
        <w:ind w:firstLine="640" w:firstLineChars="200"/>
        <w:rPr>
          <w:rStyle w:val="15"/>
          <w:rFonts w:hint="eastAsia" w:ascii="仿宋" w:hAnsi="仿宋" w:eastAsia="仿宋"/>
          <w:b w:val="0"/>
          <w:bCs/>
          <w:color w:val="000000"/>
          <w:sz w:val="32"/>
          <w:szCs w:val="32"/>
          <w:lang w:val="en-US" w:eastAsia="zh-CN"/>
        </w:rPr>
      </w:pPr>
      <w:r>
        <w:rPr>
          <w:rStyle w:val="15"/>
          <w:rFonts w:hint="eastAsia" w:ascii="仿宋" w:hAnsi="仿宋" w:eastAsia="仿宋"/>
          <w:b w:val="0"/>
          <w:bCs/>
          <w:color w:val="000000"/>
          <w:sz w:val="32"/>
          <w:szCs w:val="32"/>
          <w:lang w:val="en-US" w:eastAsia="zh-CN"/>
        </w:rPr>
        <w:t>6.农林水支出：2130599-其他扶贫支出32.74万元；2139999-其他农林水支出78.59万元；</w:t>
      </w:r>
      <w:r>
        <w:rPr>
          <w:rStyle w:val="15"/>
          <w:rFonts w:hint="eastAsia" w:ascii="仿宋" w:hAnsi="仿宋" w:eastAsia="仿宋"/>
          <w:b w:val="0"/>
          <w:bCs/>
          <w:color w:val="000000"/>
          <w:sz w:val="32"/>
          <w:szCs w:val="32"/>
        </w:rPr>
        <w:t>支出决算为</w:t>
      </w:r>
      <w:r>
        <w:rPr>
          <w:rStyle w:val="15"/>
          <w:rFonts w:hint="eastAsia" w:ascii="仿宋" w:hAnsi="仿宋" w:eastAsia="仿宋"/>
          <w:b w:val="0"/>
          <w:bCs/>
          <w:color w:val="000000"/>
          <w:sz w:val="32"/>
          <w:szCs w:val="32"/>
          <w:lang w:val="en-US" w:eastAsia="zh-CN"/>
        </w:rPr>
        <w:t>111.33</w:t>
      </w:r>
      <w:r>
        <w:rPr>
          <w:rStyle w:val="15"/>
          <w:rFonts w:hint="eastAsia" w:ascii="仿宋" w:hAnsi="仿宋" w:eastAsia="仿宋"/>
          <w:b w:val="0"/>
          <w:bCs/>
          <w:color w:val="000000"/>
          <w:sz w:val="32"/>
          <w:szCs w:val="32"/>
        </w:rPr>
        <w:t>万元，完成预算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，决算数等于预算数。</w:t>
      </w:r>
    </w:p>
    <w:p>
      <w:pPr>
        <w:spacing w:line="600" w:lineRule="exact"/>
        <w:ind w:firstLine="640" w:firstLineChars="200"/>
        <w:rPr>
          <w:rStyle w:val="15"/>
          <w:rFonts w:hint="default" w:ascii="仿宋" w:hAnsi="仿宋" w:eastAsia="仿宋"/>
          <w:b w:val="0"/>
          <w:bCs/>
          <w:color w:val="000000"/>
          <w:sz w:val="32"/>
          <w:szCs w:val="32"/>
          <w:lang w:val="en-US" w:eastAsia="zh-CN"/>
        </w:rPr>
      </w:pPr>
      <w:r>
        <w:rPr>
          <w:rStyle w:val="15"/>
          <w:rFonts w:hint="eastAsia" w:ascii="仿宋" w:hAnsi="仿宋" w:eastAsia="仿宋"/>
          <w:b w:val="0"/>
          <w:bCs/>
          <w:color w:val="000000"/>
          <w:sz w:val="32"/>
          <w:szCs w:val="32"/>
          <w:lang w:val="en-US" w:eastAsia="zh-CN"/>
        </w:rPr>
        <w:t>7.住房保障支出：2210103-棚户区改造212.43万元；2210106-公共租赁住房11.87万元；2210199-其他保障性安居工程支出213.88万元；2210201-住房公积金40.6万元，</w:t>
      </w:r>
      <w:r>
        <w:rPr>
          <w:rStyle w:val="15"/>
          <w:rFonts w:hint="eastAsia" w:ascii="仿宋" w:hAnsi="仿宋" w:eastAsia="仿宋"/>
          <w:b w:val="0"/>
          <w:bCs/>
          <w:color w:val="000000"/>
          <w:sz w:val="32"/>
          <w:szCs w:val="32"/>
        </w:rPr>
        <w:t>支出决算为478.78万元，完成预算</w:t>
      </w:r>
      <w:r>
        <w:rPr>
          <w:rStyle w:val="15"/>
          <w:rFonts w:hint="eastAsia" w:ascii="仿宋" w:hAnsi="仿宋" w:eastAsia="仿宋"/>
          <w:b w:val="0"/>
          <w:bCs/>
          <w:color w:val="000000"/>
          <w:sz w:val="32"/>
          <w:szCs w:val="32"/>
          <w:lang w:val="en-US" w:eastAsia="zh-CN"/>
        </w:rPr>
        <w:t>16</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，决算数小于预算数的主要原因是</w:t>
      </w:r>
      <w:r>
        <w:rPr>
          <w:rStyle w:val="15"/>
          <w:rFonts w:hint="eastAsia" w:ascii="仿宋" w:hAnsi="仿宋" w:eastAsia="仿宋"/>
          <w:b w:val="0"/>
          <w:bCs/>
          <w:color w:val="000000"/>
          <w:sz w:val="32"/>
          <w:szCs w:val="32"/>
          <w:lang w:val="en-US" w:eastAsia="zh-CN"/>
        </w:rPr>
        <w:t>项目正在建设中，未支付全部工程款</w:t>
      </w:r>
      <w:r>
        <w:rPr>
          <w:rStyle w:val="15"/>
          <w:rFonts w:hint="eastAsia" w:ascii="仿宋" w:hAnsi="仿宋" w:eastAsia="仿宋"/>
          <w:b w:val="0"/>
          <w:bCs/>
          <w:color w:val="000000"/>
          <w:sz w:val="32"/>
          <w:szCs w:val="32"/>
        </w:rPr>
        <w:t>。</w:t>
      </w:r>
    </w:p>
    <w:p>
      <w:pPr>
        <w:tabs>
          <w:tab w:val="right" w:pos="8306"/>
        </w:tabs>
        <w:spacing w:line="600" w:lineRule="exact"/>
        <w:ind w:firstLine="640"/>
        <w:outlineLvl w:val="1"/>
        <w:rPr>
          <w:rStyle w:val="27"/>
        </w:rPr>
      </w:pPr>
      <w:bookmarkStart w:id="44" w:name="_Toc15377214"/>
      <w:bookmarkStart w:id="45"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7"/>
          <w:rFonts w:hint="eastAsia" w:ascii="黑体" w:hAnsi="黑体" w:eastAsia="黑体"/>
          <w:b w:val="0"/>
        </w:rPr>
        <w:t>般公共预算财政拨款基本支出决算情况说明</w:t>
      </w:r>
      <w:bookmarkEnd w:id="44"/>
      <w:bookmarkEnd w:id="45"/>
      <w:r>
        <w:rPr>
          <w:rStyle w:val="27"/>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8年一般公共预算财政拨款基本支出</w:t>
      </w:r>
      <w:r>
        <w:rPr>
          <w:rFonts w:hint="eastAsia" w:ascii="仿宋" w:hAnsi="仿宋" w:eastAsia="仿宋"/>
          <w:color w:val="000000"/>
          <w:sz w:val="32"/>
          <w:szCs w:val="32"/>
          <w:lang w:val="en-US" w:eastAsia="zh-CN"/>
        </w:rPr>
        <w:t>633.96</w:t>
      </w:r>
      <w:r>
        <w:rPr>
          <w:rFonts w:hint="eastAsia" w:ascii="仿宋" w:hAnsi="仿宋" w:eastAsia="仿宋"/>
          <w:color w:val="000000"/>
          <w:sz w:val="32"/>
          <w:szCs w:val="32"/>
        </w:rPr>
        <w:t>万元，其中：</w:t>
      </w:r>
    </w:p>
    <w:p>
      <w:pPr>
        <w:spacing w:line="600" w:lineRule="exact"/>
        <w:ind w:firstLine="645"/>
        <w:rPr>
          <w:rFonts w:ascii="仿宋" w:hAnsi="仿宋" w:eastAsia="仿宋"/>
          <w:b/>
          <w:color w:val="FF0000"/>
          <w:sz w:val="32"/>
          <w:szCs w:val="32"/>
        </w:rPr>
      </w:pPr>
      <w:r>
        <w:rPr>
          <w:rFonts w:hint="eastAsia" w:ascii="仿宋" w:hAnsi="仿宋" w:eastAsia="仿宋"/>
          <w:color w:val="000000"/>
          <w:sz w:val="32"/>
          <w:szCs w:val="32"/>
        </w:rPr>
        <w:t>人员经费</w:t>
      </w:r>
      <w:r>
        <w:rPr>
          <w:rFonts w:hint="eastAsia" w:ascii="仿宋" w:hAnsi="仿宋" w:eastAsia="仿宋"/>
          <w:color w:val="000000"/>
          <w:sz w:val="32"/>
          <w:szCs w:val="32"/>
          <w:lang w:val="en-US" w:eastAsia="zh-CN"/>
        </w:rPr>
        <w:t>580.69</w:t>
      </w:r>
      <w:r>
        <w:rPr>
          <w:rFonts w:hint="eastAsia" w:ascii="仿宋" w:hAnsi="仿宋" w:eastAsia="仿宋"/>
          <w:color w:val="000000"/>
          <w:sz w:val="32"/>
          <w:szCs w:val="32"/>
        </w:rPr>
        <w:t>万元，主要包括：基本工资107.2</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、津贴补贴203.98</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、奖金87.31</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、绩效工资18.26</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、机关事业单位基本养老保险缴费62.45</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、职业年金缴费24.94</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、职工基本医疗保险缴费20.94</w:t>
      </w:r>
      <w:r>
        <w:rPr>
          <w:rFonts w:hint="eastAsia" w:ascii="仿宋" w:hAnsi="仿宋" w:eastAsia="仿宋"/>
          <w:color w:val="000000"/>
          <w:sz w:val="32"/>
          <w:szCs w:val="32"/>
          <w:lang w:val="en-US" w:eastAsia="zh-CN"/>
        </w:rPr>
        <w:t>万元、公务员医疗补助缴费1.88万元、</w:t>
      </w:r>
      <w:r>
        <w:rPr>
          <w:rFonts w:hint="eastAsia" w:ascii="仿宋" w:hAnsi="仿宋" w:eastAsia="仿宋"/>
          <w:color w:val="000000"/>
          <w:sz w:val="32"/>
          <w:szCs w:val="32"/>
        </w:rPr>
        <w:t>其他社会保障缴费7.69</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、生活补助1.87</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、医疗费5.43</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、奖励金0.01</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、住房公积金40.6</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hint="eastAsia" w:ascii="仿宋" w:hAnsi="仿宋" w:eastAsia="仿宋"/>
          <w:color w:val="000000"/>
          <w:sz w:val="32"/>
          <w:szCs w:val="32"/>
          <w:lang w:val="en-US" w:eastAsia="zh-CN"/>
        </w:rPr>
        <w:t>51.4</w:t>
      </w:r>
      <w:r>
        <w:rPr>
          <w:rFonts w:hint="eastAsia" w:ascii="仿宋" w:hAnsi="仿宋" w:eastAsia="仿宋"/>
          <w:color w:val="000000"/>
          <w:sz w:val="32"/>
          <w:szCs w:val="32"/>
        </w:rPr>
        <w:t>万元，主要包括：办公费12.43</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、印刷费1.7</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、电费2.56</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、邮电费1.54</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、取暖费1.49</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、差旅费12.38</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、维修（护）费2.18</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、培训费1.92</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、公务接待费0.56</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、劳务费2.7</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公务用车运行维护费11.94</w:t>
      </w:r>
      <w:r>
        <w:rPr>
          <w:rFonts w:hint="eastAsia" w:ascii="仿宋" w:hAnsi="仿宋" w:eastAsia="仿宋"/>
          <w:color w:val="000000"/>
          <w:sz w:val="32"/>
          <w:szCs w:val="32"/>
          <w:lang w:val="en-US" w:eastAsia="zh-CN"/>
        </w:rPr>
        <w:t>万元</w:t>
      </w:r>
      <w:r>
        <w:rPr>
          <w:rFonts w:hint="eastAsia" w:ascii="仿宋" w:hAnsi="仿宋" w:eastAsia="仿宋"/>
          <w:color w:val="000000"/>
          <w:sz w:val="32"/>
          <w:szCs w:val="32"/>
        </w:rPr>
        <w:t>。</w:t>
      </w:r>
    </w:p>
    <w:p>
      <w:pPr>
        <w:spacing w:line="600" w:lineRule="exact"/>
        <w:ind w:firstLine="640"/>
        <w:outlineLvl w:val="1"/>
        <w:rPr>
          <w:rStyle w:val="27"/>
          <w:rFonts w:ascii="黑体" w:hAnsi="黑体" w:eastAsia="黑体"/>
          <w:b w:val="0"/>
        </w:rPr>
      </w:pPr>
      <w:bookmarkStart w:id="46" w:name="_Toc15396609"/>
      <w:bookmarkStart w:id="47" w:name="_Toc15377215"/>
      <w:r>
        <w:rPr>
          <w:rFonts w:hint="eastAsia" w:ascii="黑体" w:eastAsia="黑体"/>
          <w:color w:val="000000"/>
          <w:sz w:val="32"/>
          <w:szCs w:val="32"/>
        </w:rPr>
        <w:t>七、</w:t>
      </w:r>
      <w:r>
        <w:rPr>
          <w:rStyle w:val="27"/>
          <w:rFonts w:hint="eastAsia" w:ascii="黑体" w:hAnsi="黑体" w:eastAsia="黑体"/>
        </w:rPr>
        <w:t>“</w:t>
      </w:r>
      <w:r>
        <w:rPr>
          <w:rStyle w:val="27"/>
          <w:rFonts w:hint="eastAsia" w:ascii="黑体" w:hAnsi="黑体" w:eastAsia="黑体"/>
          <w:b w:val="0"/>
        </w:rPr>
        <w:t>三公”经费财政拨款支出决算情况说明</w:t>
      </w:r>
      <w:bookmarkEnd w:id="46"/>
      <w:bookmarkEnd w:id="47"/>
    </w:p>
    <w:p>
      <w:pPr>
        <w:spacing w:line="600" w:lineRule="exact"/>
        <w:ind w:firstLine="640"/>
        <w:outlineLvl w:val="2"/>
        <w:rPr>
          <w:rFonts w:ascii="仿宋" w:hAnsi="仿宋" w:eastAsia="仿宋"/>
          <w:b/>
          <w:color w:val="000000"/>
          <w:sz w:val="32"/>
          <w:szCs w:val="32"/>
        </w:rPr>
      </w:pPr>
      <w:bookmarkStart w:id="48" w:name="_Toc15377216"/>
      <w:r>
        <w:rPr>
          <w:rFonts w:hint="eastAsia" w:ascii="仿宋" w:hAnsi="仿宋" w:eastAsia="仿宋"/>
          <w:b/>
          <w:color w:val="000000"/>
          <w:sz w:val="32"/>
          <w:szCs w:val="32"/>
        </w:rPr>
        <w:t>（一）“三公”经费财政拨款支出决算总体情况说明</w:t>
      </w:r>
      <w:bookmarkEnd w:id="48"/>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hint="eastAsia" w:ascii="仿宋" w:hAnsi="仿宋" w:eastAsia="仿宋"/>
          <w:color w:val="000000"/>
          <w:sz w:val="32"/>
          <w:szCs w:val="32"/>
          <w:lang w:val="en-US" w:eastAsia="zh-CN"/>
        </w:rPr>
        <w:t>12.5</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，决算数与预算数持平。</w:t>
      </w:r>
    </w:p>
    <w:p>
      <w:pPr>
        <w:spacing w:line="600" w:lineRule="exact"/>
        <w:ind w:firstLine="640"/>
        <w:outlineLvl w:val="2"/>
        <w:rPr>
          <w:rFonts w:ascii="仿宋" w:hAnsi="仿宋" w:eastAsia="仿宋"/>
          <w:b/>
          <w:color w:val="000000"/>
          <w:sz w:val="32"/>
          <w:szCs w:val="32"/>
        </w:rPr>
      </w:pPr>
      <w:bookmarkStart w:id="49" w:name="_Toc15377217"/>
      <w:r>
        <w:rPr>
          <w:rFonts w:hint="eastAsia" w:ascii="仿宋" w:hAnsi="仿宋" w:eastAsia="仿宋"/>
          <w:b/>
          <w:color w:val="000000"/>
          <w:sz w:val="32"/>
          <w:szCs w:val="32"/>
        </w:rPr>
        <w:t>（二）“三公”经费财政拨款支出决算具体情况说明</w:t>
      </w:r>
      <w:bookmarkEnd w:id="49"/>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万元；公务用车购置及运行维护费支出决算</w:t>
      </w:r>
      <w:r>
        <w:rPr>
          <w:rFonts w:hint="eastAsia" w:ascii="仿宋" w:hAnsi="仿宋" w:eastAsia="仿宋"/>
          <w:color w:val="000000"/>
          <w:sz w:val="32"/>
          <w:szCs w:val="32"/>
          <w:lang w:val="en-US" w:eastAsia="zh-CN"/>
        </w:rPr>
        <w:t>11.94</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95</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0.56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5</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600" w:lineRule="exact"/>
        <w:ind w:firstLine="640"/>
        <w:rPr>
          <w:rFonts w:hint="eastAsia" w:ascii="仿宋" w:hAnsi="仿宋" w:eastAsia="仿宋"/>
          <w:color w:val="000000"/>
          <w:sz w:val="32"/>
          <w:szCs w:val="32"/>
          <w:lang w:eastAsia="zh-CN"/>
        </w:rPr>
      </w:pPr>
      <w:r>
        <w:rPr>
          <w:rFonts w:hint="eastAsia" w:ascii="仿宋" w:hAnsi="仿宋" w:eastAsia="仿宋"/>
          <w:color w:val="000000"/>
          <w:sz w:val="32"/>
          <w:szCs w:val="32"/>
        </w:rPr>
        <w:t>（图8：“三公”经费财政拨款支出结构）</w:t>
      </w:r>
    </w:p>
    <w:p>
      <w:pPr>
        <w:spacing w:line="600" w:lineRule="exact"/>
        <w:ind w:firstLine="640"/>
        <w:rPr>
          <w:rFonts w:ascii="仿宋_GB2312" w:eastAsia="仿宋_GB2312"/>
          <w:b/>
          <w:color w:val="000000"/>
          <w:sz w:val="32"/>
          <w:szCs w:val="32"/>
        </w:rPr>
      </w:pPr>
      <w:r>
        <w:rPr>
          <w:rFonts w:hint="eastAsia" w:ascii="仿宋" w:hAnsi="仿宋" w:eastAsia="仿宋"/>
          <w:color w:val="000000"/>
          <w:sz w:val="32"/>
          <w:szCs w:val="32"/>
          <w:lang w:eastAsia="zh-CN"/>
        </w:rPr>
        <w:drawing>
          <wp:anchor distT="0" distB="0" distL="114300" distR="114300" simplePos="0" relativeHeight="251665408" behindDoc="0" locked="0" layoutInCell="1" allowOverlap="1">
            <wp:simplePos x="0" y="0"/>
            <wp:positionH relativeFrom="column">
              <wp:posOffset>932180</wp:posOffset>
            </wp:positionH>
            <wp:positionV relativeFrom="paragraph">
              <wp:posOffset>253365</wp:posOffset>
            </wp:positionV>
            <wp:extent cx="3490595" cy="2103120"/>
            <wp:effectExtent l="4445" t="4445" r="10160" b="6985"/>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spacing w:line="600" w:lineRule="exact"/>
        <w:ind w:firstLine="640"/>
        <w:rPr>
          <w:rFonts w:ascii="仿宋_GB2312" w:eastAsia="仿宋_GB2312"/>
          <w:b/>
          <w:color w:val="000000"/>
          <w:sz w:val="32"/>
          <w:szCs w:val="32"/>
        </w:rPr>
      </w:pPr>
    </w:p>
    <w:p>
      <w:pPr>
        <w:spacing w:line="600" w:lineRule="exact"/>
        <w:ind w:firstLine="640"/>
        <w:rPr>
          <w:rFonts w:ascii="仿宋_GB2312" w:eastAsia="仿宋_GB2312"/>
          <w:b/>
          <w:color w:val="000000"/>
          <w:sz w:val="32"/>
          <w:szCs w:val="32"/>
        </w:rPr>
      </w:pPr>
    </w:p>
    <w:p>
      <w:pPr>
        <w:spacing w:line="600" w:lineRule="exact"/>
        <w:ind w:firstLine="640"/>
        <w:rPr>
          <w:rFonts w:ascii="仿宋_GB2312" w:eastAsia="仿宋_GB2312"/>
          <w:b/>
          <w:color w:val="000000"/>
          <w:sz w:val="32"/>
          <w:szCs w:val="32"/>
        </w:rPr>
      </w:pPr>
    </w:p>
    <w:p>
      <w:pPr>
        <w:spacing w:line="600" w:lineRule="exact"/>
        <w:ind w:firstLine="640"/>
        <w:rPr>
          <w:rFonts w:ascii="仿宋_GB2312" w:eastAsia="仿宋_GB2312"/>
          <w:b/>
          <w:color w:val="000000"/>
          <w:sz w:val="32"/>
          <w:szCs w:val="32"/>
        </w:rPr>
      </w:pPr>
    </w:p>
    <w:p>
      <w:pPr>
        <w:spacing w:line="600" w:lineRule="exact"/>
        <w:ind w:firstLine="640"/>
        <w:rPr>
          <w:rFonts w:ascii="仿宋_GB2312" w:eastAsia="仿宋_GB2312"/>
          <w:b/>
          <w:color w:val="000000"/>
          <w:sz w:val="32"/>
          <w:szCs w:val="32"/>
        </w:rPr>
      </w:pPr>
    </w:p>
    <w:p>
      <w:pPr>
        <w:spacing w:line="600" w:lineRule="exact"/>
        <w:ind w:firstLine="640"/>
        <w:rPr>
          <w:rFonts w:ascii="仿宋_GB2312" w:eastAsia="仿宋_GB2312"/>
          <w:b/>
          <w:color w:val="000000"/>
          <w:sz w:val="32"/>
          <w:szCs w:val="32"/>
        </w:rPr>
      </w:pPr>
    </w:p>
    <w:p>
      <w:pPr>
        <w:spacing w:line="600" w:lineRule="exact"/>
        <w:ind w:firstLine="640"/>
        <w:rPr>
          <w:rFonts w:ascii="仿宋_GB2312" w:eastAsia="仿宋_GB2312"/>
          <w:b/>
          <w:color w:val="000000"/>
          <w:sz w:val="32"/>
          <w:szCs w:val="32"/>
        </w:rPr>
      </w:pP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1</w:t>
      </w:r>
      <w:r>
        <w:rPr>
          <w:rFonts w:hint="eastAsia" w:ascii="仿宋_GB2312" w:eastAsia="仿宋_GB2312"/>
          <w:b/>
          <w:color w:val="000000"/>
          <w:sz w:val="32"/>
          <w:szCs w:val="32"/>
          <w:lang w:val="en-US" w:eastAsia="zh-CN"/>
        </w:rPr>
        <w:t>.</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lang w:val="en-US" w:eastAsia="zh-CN"/>
        </w:rPr>
        <w:t>11.94</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4.1</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34</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val="en-US" w:eastAsia="zh-CN"/>
        </w:rPr>
        <w:t>公务用车使用年限长，需维修维护次数增加</w:t>
      </w:r>
      <w:r>
        <w:rPr>
          <w:rFonts w:hint="eastAsia" w:ascii="仿宋_GB2312" w:eastAsia="仿宋_GB2312"/>
          <w:color w:val="000000"/>
          <w:sz w:val="32"/>
          <w:szCs w:val="32"/>
        </w:rPr>
        <w:t>。</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11.94</w:t>
      </w:r>
      <w:r>
        <w:rPr>
          <w:rFonts w:hint="eastAsia" w:ascii="仿宋_GB2312" w:eastAsia="仿宋_GB2312"/>
          <w:color w:val="000000"/>
          <w:sz w:val="32"/>
          <w:szCs w:val="32"/>
        </w:rPr>
        <w:t>万元。主要用于</w:t>
      </w:r>
      <w:r>
        <w:rPr>
          <w:rFonts w:hint="eastAsia" w:ascii="仿宋_GB2312" w:eastAsia="仿宋_GB2312"/>
          <w:color w:val="000000"/>
          <w:sz w:val="32"/>
          <w:szCs w:val="32"/>
          <w:lang w:val="en-US" w:eastAsia="zh-CN"/>
        </w:rPr>
        <w:t>县城各乡镇乡下检查工作、项目开标</w:t>
      </w:r>
      <w:r>
        <w:rPr>
          <w:rFonts w:hint="eastAsia" w:ascii="仿宋_GB2312" w:eastAsia="仿宋_GB2312"/>
          <w:color w:val="000000"/>
          <w:sz w:val="32"/>
          <w:szCs w:val="32"/>
        </w:rPr>
        <w:t>等所需的公务用车燃料费、维修费、过路过桥费、保险费等支出。</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0.56</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7年减少</w:t>
      </w:r>
      <w:r>
        <w:rPr>
          <w:rFonts w:hint="eastAsia" w:ascii="仿宋_GB2312" w:eastAsia="仿宋_GB2312"/>
          <w:color w:val="000000"/>
          <w:sz w:val="32"/>
          <w:szCs w:val="32"/>
          <w:lang w:val="en-US" w:eastAsia="zh-CN"/>
        </w:rPr>
        <w:t>0.33</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41</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val="en-US" w:eastAsia="zh-CN"/>
        </w:rPr>
        <w:t>接待次数减少</w:t>
      </w:r>
      <w:r>
        <w:rPr>
          <w:rFonts w:hint="eastAsia" w:ascii="仿宋_GB2312" w:eastAsia="仿宋_GB2312"/>
          <w:color w:val="000000"/>
          <w:sz w:val="32"/>
          <w:szCs w:val="32"/>
        </w:rPr>
        <w:t>。</w:t>
      </w:r>
    </w:p>
    <w:p>
      <w:pPr>
        <w:spacing w:line="600" w:lineRule="exact"/>
        <w:ind w:firstLine="640" w:firstLineChars="200"/>
        <w:rPr>
          <w:rFonts w:hint="default" w:ascii="仿宋_GB2312" w:eastAsia="仿宋_GB2312"/>
          <w:color w:val="000000"/>
          <w:sz w:val="32"/>
          <w:szCs w:val="32"/>
          <w:lang w:val="en-US" w:eastAsia="zh-CN"/>
        </w:rPr>
      </w:pPr>
      <w:r>
        <w:rPr>
          <w:rFonts w:hint="eastAsia" w:ascii="仿宋_GB2312" w:eastAsia="仿宋_GB2312"/>
          <w:color w:val="000000"/>
          <w:sz w:val="32"/>
          <w:szCs w:val="32"/>
        </w:rPr>
        <w:t>主要用于执行公务、开展业务活动开支的交通费、住宿费、用餐费等。国内公务接待</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33</w:t>
      </w:r>
      <w:r>
        <w:rPr>
          <w:rFonts w:hint="eastAsia" w:ascii="仿宋_GB2312" w:eastAsia="仿宋_GB2312"/>
          <w:color w:val="000000"/>
          <w:sz w:val="32"/>
          <w:szCs w:val="32"/>
        </w:rPr>
        <w:t>人次（不包括陪同人员），共计支出</w:t>
      </w:r>
      <w:r>
        <w:rPr>
          <w:rFonts w:hint="eastAsia" w:ascii="仿宋_GB2312" w:eastAsia="仿宋_GB2312"/>
          <w:color w:val="000000"/>
          <w:sz w:val="32"/>
          <w:szCs w:val="32"/>
          <w:lang w:val="en-US" w:eastAsia="zh-CN"/>
        </w:rPr>
        <w:t>0.56</w:t>
      </w:r>
      <w:r>
        <w:rPr>
          <w:rFonts w:hint="eastAsia" w:ascii="仿宋_GB2312" w:eastAsia="仿宋_GB2312"/>
          <w:color w:val="000000"/>
          <w:sz w:val="32"/>
          <w:szCs w:val="32"/>
        </w:rPr>
        <w:t>万元，具体内容包括：</w:t>
      </w:r>
      <w:r>
        <w:rPr>
          <w:rFonts w:hint="eastAsia" w:ascii="仿宋_GB2312" w:eastAsia="仿宋_GB2312"/>
          <w:color w:val="000000"/>
          <w:sz w:val="32"/>
          <w:szCs w:val="32"/>
          <w:lang w:val="en-US" w:eastAsia="zh-CN"/>
        </w:rPr>
        <w:t>若尔盖县城市管理局到我局调研学习城乡环境卫生综合治理工作先进管理办法，共支付接待费0.27万元；若尔盖县住房和城乡建设局考察我县污水处理厂、自来水厂等事宜，共支付接待费0.29万元。</w:t>
      </w:r>
    </w:p>
    <w:p>
      <w:pPr>
        <w:spacing w:line="600" w:lineRule="exact"/>
        <w:ind w:firstLine="640"/>
        <w:outlineLvl w:val="1"/>
        <w:rPr>
          <w:rStyle w:val="27"/>
          <w:rFonts w:ascii="黑体" w:hAnsi="黑体" w:eastAsia="黑体"/>
        </w:rPr>
      </w:pPr>
      <w:bookmarkStart w:id="50" w:name="_Toc15396610"/>
      <w:bookmarkStart w:id="51" w:name="_Toc15377218"/>
      <w:r>
        <w:rPr>
          <w:rFonts w:hint="eastAsia" w:ascii="黑体" w:eastAsia="黑体"/>
          <w:color w:val="000000"/>
          <w:sz w:val="32"/>
          <w:szCs w:val="32"/>
        </w:rPr>
        <w:t>八、</w:t>
      </w:r>
      <w:r>
        <w:rPr>
          <w:rStyle w:val="27"/>
          <w:rFonts w:hint="eastAsia" w:ascii="黑体" w:hAnsi="黑体" w:eastAsia="黑体"/>
          <w:b w:val="0"/>
        </w:rPr>
        <w:t>政府性基金预算支出决算情况说明</w:t>
      </w:r>
      <w:bookmarkEnd w:id="50"/>
      <w:bookmarkEnd w:id="51"/>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numPr>
          <w:ilvl w:val="0"/>
          <w:numId w:val="3"/>
        </w:numPr>
        <w:spacing w:line="600" w:lineRule="exact"/>
        <w:ind w:firstLine="640"/>
        <w:outlineLvl w:val="1"/>
        <w:rPr>
          <w:rStyle w:val="27"/>
          <w:rFonts w:ascii="黑体" w:hAnsi="黑体" w:eastAsia="黑体"/>
          <w:b w:val="0"/>
        </w:rPr>
      </w:pPr>
      <w:bookmarkStart w:id="52" w:name="_Toc15377219"/>
      <w:bookmarkStart w:id="53" w:name="_Toc15396611"/>
      <w:r>
        <w:rPr>
          <w:rStyle w:val="27"/>
          <w:rFonts w:hint="eastAsia" w:ascii="黑体" w:hAnsi="黑体" w:eastAsia="黑体"/>
          <w:b w:val="0"/>
        </w:rPr>
        <w:t>国有资本经营预算支出决算情况说明</w:t>
      </w:r>
      <w:bookmarkEnd w:id="52"/>
      <w:bookmarkEnd w:id="53"/>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pStyle w:val="25"/>
        <w:numPr>
          <w:ilvl w:val="0"/>
          <w:numId w:val="4"/>
        </w:numPr>
        <w:spacing w:line="580" w:lineRule="exact"/>
        <w:ind w:firstLineChars="0"/>
        <w:rPr>
          <w:rStyle w:val="27"/>
          <w:rFonts w:ascii="黑体" w:hAnsi="黑体" w:eastAsia="黑体"/>
          <w:b w:val="0"/>
        </w:rPr>
      </w:pPr>
      <w:r>
        <w:rPr>
          <w:rStyle w:val="27"/>
          <w:rFonts w:hint="eastAsia" w:ascii="黑体" w:hAnsi="黑体" w:eastAsia="黑体"/>
          <w:b w:val="0"/>
        </w:rPr>
        <w:t>预算绩效情况说明</w:t>
      </w:r>
    </w:p>
    <w:p>
      <w:pPr>
        <w:numPr>
          <w:ilvl w:val="0"/>
          <w:numId w:val="5"/>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根据预算绩效管理要求，本单位在年初预算编制阶段，组织对</w:t>
      </w:r>
      <w:r>
        <w:rPr>
          <w:rFonts w:hint="eastAsia" w:ascii="仿宋_GB2312" w:hAnsi="仿宋_GB2312" w:eastAsia="仿宋_GB2312" w:cs="仿宋_GB2312"/>
          <w:sz w:val="32"/>
          <w:szCs w:val="32"/>
          <w:lang w:val="en-US" w:eastAsia="zh-CN"/>
        </w:rPr>
        <w:t>4个</w:t>
      </w:r>
      <w:r>
        <w:rPr>
          <w:rFonts w:hint="eastAsia" w:ascii="仿宋_GB2312" w:hAnsi="仿宋_GB2312" w:eastAsia="仿宋_GB2312" w:cs="仿宋_GB2312"/>
          <w:sz w:val="32"/>
          <w:szCs w:val="32"/>
        </w:rPr>
        <w:t>项目开展了预算事前绩效评估，对</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个项目开展绩效监控，年终执行完毕后，对</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个项目开展了绩效目标完成情况梳理填报。</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本部门按要求对2018年部门整体支出开展绩效自评，从评价情况来看</w:t>
      </w:r>
      <w:r>
        <w:rPr>
          <w:rFonts w:hint="eastAsia" w:ascii="仿宋_GB2312" w:hAnsi="仿宋_GB2312" w:eastAsia="仿宋_GB2312" w:cs="仿宋_GB2312"/>
          <w:sz w:val="32"/>
          <w:szCs w:val="32"/>
          <w:lang w:val="en-US" w:eastAsia="zh-CN"/>
        </w:rPr>
        <w:t>整体支出达到预算比例支出完成情况较好</w:t>
      </w:r>
      <w:r>
        <w:rPr>
          <w:rFonts w:hint="eastAsia" w:ascii="仿宋_GB2312" w:hAnsi="仿宋_GB2312" w:eastAsia="仿宋_GB2312" w:cs="仿宋_GB2312"/>
          <w:sz w:val="32"/>
          <w:szCs w:val="32"/>
        </w:rPr>
        <w:t>。本部门还自行组织了</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个项目绩效评价，从评价情况来看</w:t>
      </w:r>
      <w:r>
        <w:rPr>
          <w:rFonts w:hint="eastAsia" w:ascii="仿宋_GB2312" w:hAnsi="仿宋_GB2312" w:eastAsia="仿宋_GB2312" w:cs="仿宋_GB2312"/>
          <w:sz w:val="32"/>
          <w:szCs w:val="32"/>
          <w:lang w:val="en-US" w:eastAsia="zh-CN"/>
        </w:rPr>
        <w:t>项目整体绩效目标达到预定目标完成时效达成预期目标</w:t>
      </w:r>
      <w:r>
        <w:rPr>
          <w:rFonts w:hint="eastAsia" w:ascii="仿宋_GB2312" w:hAnsi="仿宋_GB2312" w:eastAsia="仿宋_GB2312" w:cs="仿宋_GB2312"/>
          <w:sz w:val="32"/>
          <w:szCs w:val="32"/>
        </w:rPr>
        <w:t>。</w:t>
      </w:r>
    </w:p>
    <w:p>
      <w:pPr>
        <w:numPr>
          <w:ilvl w:val="0"/>
          <w:numId w:val="5"/>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本部门在2018年度部门决算中反映“</w:t>
      </w:r>
      <w:r>
        <w:rPr>
          <w:rFonts w:hint="eastAsia" w:ascii="仿宋_GB2312" w:hAnsi="宋体" w:eastAsia="仿宋_GB2312" w:cs="仿宋_GB2312"/>
          <w:kern w:val="2"/>
          <w:sz w:val="32"/>
          <w:szCs w:val="24"/>
          <w:lang w:val="en-US" w:eastAsia="zh-CN" w:bidi="ar"/>
        </w:rPr>
        <w:t>红原县绿色经济产业园区基础设施建设项目</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红原县</w:t>
      </w:r>
      <w:r>
        <w:rPr>
          <w:rFonts w:hint="eastAsia" w:ascii="仿宋_GB2312" w:hAnsi="宋体" w:eastAsia="仿宋_GB2312" w:cs="仿宋_GB2312"/>
          <w:kern w:val="2"/>
          <w:sz w:val="32"/>
          <w:szCs w:val="24"/>
          <w:lang w:val="en-US" w:eastAsia="zh-CN" w:bidi="ar"/>
        </w:rPr>
        <w:t>自来水厂、污水处理厂运营管理费用项目</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个项目绩效目标实际完成情况。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ascii="仿宋_GB2312" w:hAnsi="仿宋_GB2312" w:eastAsia="仿宋_GB2312" w:cs="仿宋_GB2312"/>
          <w:sz w:val="32"/>
          <w:szCs w:val="32"/>
        </w:rPr>
      </w:pPr>
      <w:r>
        <w:rPr>
          <w:rFonts w:hint="eastAsia" w:ascii="仿宋_GB2312" w:hAnsi="宋体" w:eastAsia="仿宋_GB2312" w:cs="仿宋_GB2312"/>
          <w:kern w:val="2"/>
          <w:sz w:val="32"/>
          <w:szCs w:val="24"/>
          <w:lang w:val="en-US" w:eastAsia="zh-CN" w:bidi="ar"/>
        </w:rPr>
        <w:t>1.红原县绿色经济产业园区基础设施建设项目</w:t>
      </w:r>
      <w:r>
        <w:rPr>
          <w:rFonts w:hint="eastAsia" w:ascii="仿宋_GB2312" w:hAnsi="仿宋_GB2312" w:eastAsia="仿宋_GB2312" w:cs="仿宋_GB2312"/>
          <w:sz w:val="32"/>
          <w:szCs w:val="32"/>
        </w:rPr>
        <w:t>绩效目标完成情况综述。项目全年预算数</w:t>
      </w:r>
      <w:r>
        <w:rPr>
          <w:rFonts w:hint="eastAsia" w:ascii="仿宋_GB2312" w:hAnsi="宋体" w:eastAsia="仿宋_GB2312" w:cs="仿宋_GB2312"/>
          <w:kern w:val="2"/>
          <w:sz w:val="32"/>
          <w:szCs w:val="24"/>
          <w:lang w:val="en-US" w:eastAsia="zh-CN" w:bidi="ar"/>
        </w:rPr>
        <w:t>175</w:t>
      </w:r>
      <w:r>
        <w:rPr>
          <w:rFonts w:hint="eastAsia" w:ascii="仿宋_GB2312" w:hAnsi="仿宋_GB2312" w:eastAsia="仿宋_GB2312" w:cs="仿宋_GB2312"/>
          <w:sz w:val="32"/>
          <w:szCs w:val="32"/>
        </w:rPr>
        <w:t>万元，执行数为</w:t>
      </w:r>
      <w:r>
        <w:rPr>
          <w:rFonts w:hint="eastAsia" w:ascii="仿宋_GB2312" w:hAnsi="宋体" w:eastAsia="仿宋_GB2312" w:cs="仿宋_GB2312"/>
          <w:kern w:val="2"/>
          <w:sz w:val="32"/>
          <w:szCs w:val="24"/>
          <w:lang w:val="en-US" w:eastAsia="zh-CN" w:bidi="ar"/>
        </w:rPr>
        <w:t>175</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r>
        <w:rPr>
          <w:rFonts w:hint="eastAsia" w:ascii="仿宋_GB2312" w:hAnsi="宋体" w:eastAsia="仿宋_GB2312" w:cs="仿宋_GB2312"/>
          <w:kern w:val="2"/>
          <w:sz w:val="32"/>
          <w:szCs w:val="24"/>
          <w:lang w:val="en-US" w:eastAsia="zh-CN" w:bidi="ar"/>
        </w:rPr>
        <w:t>红原县绿色经济产业园区基础设施建设</w:t>
      </w:r>
      <w:r>
        <w:rPr>
          <w:rFonts w:hint="eastAsia" w:ascii="仿宋_GB2312" w:hAnsi="宋体" w:eastAsia="仿宋_GB2312" w:cs="仿宋_GB2312"/>
          <w:kern w:val="2"/>
          <w:sz w:val="32"/>
          <w:szCs w:val="24"/>
          <w:lang w:val="zh-CN" w:eastAsia="zh-CN" w:bidi="ar"/>
        </w:rPr>
        <w:t>给道路沿线两边带来巨大的间接效益，对当地的旅游发展奠定良好基础；本工程最直接的好处是改善交通状况，给居民及游客创造一个良好的居住生活环境；改善投资环境，提供资金介入的基础环境的可能性，增加就业机会；符合现阶段国家当前扩大内需，加大基础工程建设的经济政策。</w:t>
      </w:r>
    </w:p>
    <w:p>
      <w:pPr>
        <w:keepNext w:val="0"/>
        <w:keepLines w:val="0"/>
        <w:pageBreakBefore w:val="0"/>
        <w:kinsoku/>
        <w:wordWrap/>
        <w:overflowPunct/>
        <w:topLinePunct w:val="0"/>
        <w:autoSpaceDE/>
        <w:autoSpaceDN/>
        <w:bidi w:val="0"/>
        <w:adjustRightInd w:val="0"/>
        <w:snapToGrid w:val="0"/>
        <w:spacing w:line="560" w:lineRule="exact"/>
        <w:ind w:firstLine="640" w:firstLineChars="200"/>
        <w:rPr>
          <w:rFonts w:hint="eastAsia" w:ascii="仿宋_GB2312" w:hAnsi="宋体" w:eastAsia="仿宋_GB2312" w:cs="仿宋_GB2312"/>
          <w:sz w:val="32"/>
          <w:lang w:val="zh-CN" w:bidi="ar"/>
        </w:rPr>
      </w:pPr>
    </w:p>
    <w:tbl>
      <w:tblPr>
        <w:tblStyle w:val="17"/>
        <w:tblW w:w="9369" w:type="dxa"/>
        <w:tblInd w:w="-373" w:type="dxa"/>
        <w:shd w:val="clear" w:color="auto" w:fill="auto"/>
        <w:tblLayout w:type="fixed"/>
        <w:tblCellMar>
          <w:top w:w="0" w:type="dxa"/>
          <w:left w:w="0" w:type="dxa"/>
          <w:bottom w:w="0" w:type="dxa"/>
          <w:right w:w="0" w:type="dxa"/>
        </w:tblCellMar>
      </w:tblPr>
      <w:tblGrid>
        <w:gridCol w:w="623"/>
        <w:gridCol w:w="1188"/>
        <w:gridCol w:w="1022"/>
        <w:gridCol w:w="737"/>
        <w:gridCol w:w="1155"/>
        <w:gridCol w:w="1711"/>
        <w:gridCol w:w="1586"/>
        <w:gridCol w:w="1347"/>
      </w:tblGrid>
      <w:tr>
        <w:tblPrEx>
          <w:shd w:val="clear" w:color="auto" w:fill="auto"/>
          <w:tblLayout w:type="fixed"/>
          <w:tblCellMar>
            <w:top w:w="0" w:type="dxa"/>
            <w:left w:w="0" w:type="dxa"/>
            <w:bottom w:w="0" w:type="dxa"/>
            <w:right w:w="0" w:type="dxa"/>
          </w:tblCellMar>
        </w:tblPrEx>
        <w:trPr>
          <w:trHeight w:val="555" w:hRule="atLeast"/>
        </w:trPr>
        <w:tc>
          <w:tcPr>
            <w:tcW w:w="9369" w:type="dxa"/>
            <w:gridSpan w:val="8"/>
            <w:tcBorders>
              <w:top w:val="nil"/>
              <w:left w:val="nil"/>
              <w:bottom w:val="nil"/>
              <w:right w:val="nil"/>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项目支出绩效目标完成情况表</w:t>
            </w:r>
          </w:p>
        </w:tc>
      </w:tr>
      <w:tr>
        <w:tblPrEx>
          <w:tblLayout w:type="fixed"/>
          <w:tblCellMar>
            <w:top w:w="0" w:type="dxa"/>
            <w:left w:w="0" w:type="dxa"/>
            <w:bottom w:w="0" w:type="dxa"/>
            <w:right w:w="0" w:type="dxa"/>
          </w:tblCellMar>
        </w:tblPrEx>
        <w:trPr>
          <w:trHeight w:val="555" w:hRule="atLeast"/>
        </w:trPr>
        <w:tc>
          <w:tcPr>
            <w:tcW w:w="28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项目名称</w:t>
            </w:r>
          </w:p>
        </w:tc>
        <w:tc>
          <w:tcPr>
            <w:tcW w:w="653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红原县绿色经济产业园区基础设施建设项目</w:t>
            </w:r>
          </w:p>
        </w:tc>
      </w:tr>
      <w:tr>
        <w:tblPrEx>
          <w:tblLayout w:type="fixed"/>
          <w:tblCellMar>
            <w:top w:w="0" w:type="dxa"/>
            <w:left w:w="0" w:type="dxa"/>
            <w:bottom w:w="0" w:type="dxa"/>
            <w:right w:w="0" w:type="dxa"/>
          </w:tblCellMar>
        </w:tblPrEx>
        <w:trPr>
          <w:trHeight w:val="555" w:hRule="atLeast"/>
        </w:trPr>
        <w:tc>
          <w:tcPr>
            <w:tcW w:w="28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预算单位</w:t>
            </w:r>
          </w:p>
        </w:tc>
        <w:tc>
          <w:tcPr>
            <w:tcW w:w="653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红原县住房和城乡建设局</w:t>
            </w:r>
          </w:p>
        </w:tc>
      </w:tr>
      <w:tr>
        <w:tblPrEx>
          <w:tblLayout w:type="fixed"/>
          <w:tblCellMar>
            <w:top w:w="0" w:type="dxa"/>
            <w:left w:w="0" w:type="dxa"/>
            <w:bottom w:w="0" w:type="dxa"/>
            <w:right w:w="0" w:type="dxa"/>
          </w:tblCellMar>
        </w:tblPrEx>
        <w:trPr>
          <w:trHeight w:val="555" w:hRule="atLeast"/>
        </w:trPr>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预算执行情况(万元</w:t>
            </w:r>
          </w:p>
        </w:tc>
        <w:tc>
          <w:tcPr>
            <w:tcW w:w="221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预算数:</w:t>
            </w:r>
          </w:p>
        </w:tc>
        <w:tc>
          <w:tcPr>
            <w:tcW w:w="18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175万元</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执行数:</w:t>
            </w:r>
          </w:p>
        </w:tc>
        <w:tc>
          <w:tcPr>
            <w:tcW w:w="29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175万元</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p>
        </w:tc>
        <w:tc>
          <w:tcPr>
            <w:tcW w:w="221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其中-财政拨款:</w:t>
            </w:r>
          </w:p>
        </w:tc>
        <w:tc>
          <w:tcPr>
            <w:tcW w:w="18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175万元</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其中-财政拨款:</w:t>
            </w:r>
          </w:p>
        </w:tc>
        <w:tc>
          <w:tcPr>
            <w:tcW w:w="29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175万元</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p>
        </w:tc>
        <w:tc>
          <w:tcPr>
            <w:tcW w:w="221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其它资金:</w:t>
            </w:r>
          </w:p>
        </w:tc>
        <w:tc>
          <w:tcPr>
            <w:tcW w:w="18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0</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其它资金:</w:t>
            </w:r>
          </w:p>
        </w:tc>
        <w:tc>
          <w:tcPr>
            <w:tcW w:w="29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0</w:t>
            </w:r>
          </w:p>
        </w:tc>
      </w:tr>
      <w:tr>
        <w:tblPrEx>
          <w:tblLayout w:type="fixed"/>
          <w:tblCellMar>
            <w:top w:w="0" w:type="dxa"/>
            <w:left w:w="0" w:type="dxa"/>
            <w:bottom w:w="0" w:type="dxa"/>
            <w:right w:w="0" w:type="dxa"/>
          </w:tblCellMar>
        </w:tblPrEx>
        <w:trPr>
          <w:trHeight w:val="555" w:hRule="atLeast"/>
        </w:trPr>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年度目标完成情况</w:t>
            </w:r>
          </w:p>
        </w:tc>
        <w:tc>
          <w:tcPr>
            <w:tcW w:w="294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预期目标</w:t>
            </w:r>
          </w:p>
        </w:tc>
        <w:tc>
          <w:tcPr>
            <w:tcW w:w="579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实际完成目标</w:t>
            </w:r>
          </w:p>
        </w:tc>
      </w:tr>
      <w:tr>
        <w:tblPrEx>
          <w:tblLayout w:type="fixed"/>
          <w:tblCellMar>
            <w:top w:w="0" w:type="dxa"/>
            <w:left w:w="0" w:type="dxa"/>
            <w:bottom w:w="0" w:type="dxa"/>
            <w:right w:w="0" w:type="dxa"/>
          </w:tblCellMar>
        </w:tblPrEx>
        <w:trPr>
          <w:trHeight w:val="19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p>
        </w:tc>
        <w:tc>
          <w:tcPr>
            <w:tcW w:w="294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本项目的建设能够改善城区的交通状况，提升项目周边土地商业价值，从而加速商贸流通，创造更多的就业机会，使藏区居民的收入水平得到提高。</w:t>
            </w:r>
          </w:p>
        </w:tc>
        <w:tc>
          <w:tcPr>
            <w:tcW w:w="579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红原县绿色经济产业园区基础设施建设项目建成后，红原县城市的整体形象得以提高，人居环境得以改善，也将显著改善道路条件和交通状况，燃油总成本降低，节能效益较明显。</w:t>
            </w:r>
          </w:p>
        </w:tc>
      </w:tr>
      <w:tr>
        <w:tblPrEx>
          <w:tblLayout w:type="fixed"/>
          <w:tblCellMar>
            <w:top w:w="0" w:type="dxa"/>
            <w:left w:w="0" w:type="dxa"/>
            <w:bottom w:w="0" w:type="dxa"/>
            <w:right w:w="0" w:type="dxa"/>
          </w:tblCellMar>
        </w:tblPrEx>
        <w:trPr>
          <w:trHeight w:val="555" w:hRule="atLeast"/>
        </w:trPr>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default" w:ascii="宋体" w:hAnsi="宋体" w:cs="宋体"/>
                <w:color w:val="000000"/>
                <w:kern w:val="0"/>
                <w:sz w:val="24"/>
                <w:lang w:val="en-US" w:eastAsia="zh-CN" w:bidi="ar"/>
              </w:rPr>
              <w:t>绩效指标完成情况</w:t>
            </w: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drawing>
                <wp:anchor distT="0" distB="0" distL="114300" distR="114300" simplePos="0" relativeHeight="251658240" behindDoc="0" locked="0" layoutInCell="1" allowOverlap="1">
                  <wp:simplePos x="0" y="0"/>
                  <wp:positionH relativeFrom="column">
                    <wp:posOffset>419100</wp:posOffset>
                  </wp:positionH>
                  <wp:positionV relativeFrom="paragraph">
                    <wp:posOffset>390525</wp:posOffset>
                  </wp:positionV>
                  <wp:extent cx="9525" cy="9525"/>
                  <wp:effectExtent l="0" t="0" r="0" b="0"/>
                  <wp:wrapNone/>
                  <wp:docPr id="8" name="直接连接符_10"/>
                  <wp:cNvGraphicFramePr/>
                  <a:graphic xmlns:a="http://schemas.openxmlformats.org/drawingml/2006/main">
                    <a:graphicData uri="http://schemas.openxmlformats.org/drawingml/2006/picture">
                      <pic:pic xmlns:pic="http://schemas.openxmlformats.org/drawingml/2006/picture">
                        <pic:nvPicPr>
                          <pic:cNvPr id="8" name="直接连接符_10"/>
                          <pic:cNvPicPr/>
                        </pic:nvPicPr>
                        <pic:blipFill>
                          <a:blip r:embed="rId13"/>
                          <a:stretch>
                            <a:fillRect/>
                          </a:stretch>
                        </pic:blipFill>
                        <pic:spPr>
                          <a:xfrm>
                            <a:off x="0" y="0"/>
                            <a:ext cx="9525" cy="9525"/>
                          </a:xfrm>
                          <a:prstGeom prst="rect">
                            <a:avLst/>
                          </a:prstGeom>
                          <a:noFill/>
                          <a:ln>
                            <a:noFill/>
                          </a:ln>
                        </pic:spPr>
                      </pic:pic>
                    </a:graphicData>
                  </a:graphic>
                </wp:anchor>
              </w:drawing>
            </w:r>
            <w:r>
              <w:rPr>
                <w:rFonts w:hint="eastAsia" w:ascii="宋体" w:hAnsi="宋体" w:cs="宋体"/>
                <w:color w:val="000000"/>
                <w:kern w:val="0"/>
                <w:sz w:val="24"/>
                <w:lang w:val="en-US" w:eastAsia="zh-CN" w:bidi="ar"/>
              </w:rPr>
              <w:drawing>
                <wp:anchor distT="0" distB="0" distL="114300" distR="114300" simplePos="0" relativeHeight="251658240" behindDoc="0" locked="0" layoutInCell="1" allowOverlap="1">
                  <wp:simplePos x="0" y="0"/>
                  <wp:positionH relativeFrom="column">
                    <wp:posOffset>419100</wp:posOffset>
                  </wp:positionH>
                  <wp:positionV relativeFrom="paragraph">
                    <wp:posOffset>390525</wp:posOffset>
                  </wp:positionV>
                  <wp:extent cx="9525" cy="9525"/>
                  <wp:effectExtent l="0" t="0" r="0" b="0"/>
                  <wp:wrapNone/>
                  <wp:docPr id="10" name="直接连接符_8"/>
                  <wp:cNvGraphicFramePr/>
                  <a:graphic xmlns:a="http://schemas.openxmlformats.org/drawingml/2006/main">
                    <a:graphicData uri="http://schemas.openxmlformats.org/drawingml/2006/picture">
                      <pic:pic xmlns:pic="http://schemas.openxmlformats.org/drawingml/2006/picture">
                        <pic:nvPicPr>
                          <pic:cNvPr id="10" name="直接连接符_8"/>
                          <pic:cNvPicPr/>
                        </pic:nvPicPr>
                        <pic:blipFill>
                          <a:blip r:embed="rId13"/>
                          <a:stretch>
                            <a:fillRect/>
                          </a:stretch>
                        </pic:blipFill>
                        <pic:spPr>
                          <a:xfrm>
                            <a:off x="0" y="0"/>
                            <a:ext cx="9525" cy="9525"/>
                          </a:xfrm>
                          <a:prstGeom prst="rect">
                            <a:avLst/>
                          </a:prstGeom>
                          <a:noFill/>
                          <a:ln>
                            <a:noFill/>
                          </a:ln>
                        </pic:spPr>
                      </pic:pic>
                    </a:graphicData>
                  </a:graphic>
                </wp:anchor>
              </w:drawing>
            </w:r>
            <w:r>
              <w:rPr>
                <w:rFonts w:hint="eastAsia" w:ascii="宋体" w:hAnsi="宋体" w:cs="宋体"/>
                <w:color w:val="000000"/>
                <w:kern w:val="0"/>
                <w:sz w:val="24"/>
                <w:lang w:val="en-US" w:eastAsia="zh-CN" w:bidi="ar"/>
              </w:rPr>
              <w:drawing>
                <wp:anchor distT="0" distB="0" distL="114300" distR="114300" simplePos="0" relativeHeight="251658240" behindDoc="0" locked="0" layoutInCell="1" allowOverlap="1">
                  <wp:simplePos x="0" y="0"/>
                  <wp:positionH relativeFrom="column">
                    <wp:posOffset>419100</wp:posOffset>
                  </wp:positionH>
                  <wp:positionV relativeFrom="paragraph">
                    <wp:posOffset>390525</wp:posOffset>
                  </wp:positionV>
                  <wp:extent cx="9525" cy="9525"/>
                  <wp:effectExtent l="0" t="0" r="0" b="0"/>
                  <wp:wrapNone/>
                  <wp:docPr id="11" name="直接连接符_9"/>
                  <wp:cNvGraphicFramePr/>
                  <a:graphic xmlns:a="http://schemas.openxmlformats.org/drawingml/2006/main">
                    <a:graphicData uri="http://schemas.openxmlformats.org/drawingml/2006/picture">
                      <pic:pic xmlns:pic="http://schemas.openxmlformats.org/drawingml/2006/picture">
                        <pic:nvPicPr>
                          <pic:cNvPr id="11" name="直接连接符_9"/>
                          <pic:cNvPicPr/>
                        </pic:nvPicPr>
                        <pic:blipFill>
                          <a:blip r:embed="rId13"/>
                          <a:stretch>
                            <a:fillRect/>
                          </a:stretch>
                        </pic:blipFill>
                        <pic:spPr>
                          <a:xfrm>
                            <a:off x="0" y="0"/>
                            <a:ext cx="9525" cy="9525"/>
                          </a:xfrm>
                          <a:prstGeom prst="rect">
                            <a:avLst/>
                          </a:prstGeom>
                          <a:noFill/>
                          <a:ln>
                            <a:noFill/>
                          </a:ln>
                        </pic:spPr>
                      </pic:pic>
                    </a:graphicData>
                  </a:graphic>
                </wp:anchor>
              </w:drawing>
            </w:r>
            <w:r>
              <w:rPr>
                <w:rFonts w:hint="eastAsia" w:ascii="宋体" w:hAnsi="宋体" w:cs="宋体"/>
                <w:color w:val="000000"/>
                <w:kern w:val="0"/>
                <w:sz w:val="24"/>
                <w:lang w:val="en-US" w:eastAsia="zh-CN" w:bidi="ar"/>
              </w:rPr>
              <w:drawing>
                <wp:anchor distT="0" distB="0" distL="114300" distR="114300" simplePos="0" relativeHeight="251658240" behindDoc="0" locked="0" layoutInCell="1" allowOverlap="1">
                  <wp:simplePos x="0" y="0"/>
                  <wp:positionH relativeFrom="column">
                    <wp:posOffset>419100</wp:posOffset>
                  </wp:positionH>
                  <wp:positionV relativeFrom="paragraph">
                    <wp:posOffset>390525</wp:posOffset>
                  </wp:positionV>
                  <wp:extent cx="9525" cy="9525"/>
                  <wp:effectExtent l="0" t="0" r="0" b="0"/>
                  <wp:wrapNone/>
                  <wp:docPr id="9" name="直接连接符_7"/>
                  <wp:cNvGraphicFramePr/>
                  <a:graphic xmlns:a="http://schemas.openxmlformats.org/drawingml/2006/main">
                    <a:graphicData uri="http://schemas.openxmlformats.org/drawingml/2006/picture">
                      <pic:pic xmlns:pic="http://schemas.openxmlformats.org/drawingml/2006/picture">
                        <pic:nvPicPr>
                          <pic:cNvPr id="9" name="直接连接符_7"/>
                          <pic:cNvPicPr/>
                        </pic:nvPicPr>
                        <pic:blipFill>
                          <a:blip r:embed="rId13"/>
                          <a:stretch>
                            <a:fillRect/>
                          </a:stretch>
                        </pic:blipFill>
                        <pic:spPr>
                          <a:xfrm>
                            <a:off x="0" y="0"/>
                            <a:ext cx="9525" cy="9525"/>
                          </a:xfrm>
                          <a:prstGeom prst="rect">
                            <a:avLst/>
                          </a:prstGeom>
                          <a:noFill/>
                          <a:ln>
                            <a:noFill/>
                          </a:ln>
                        </pic:spPr>
                      </pic:pic>
                    </a:graphicData>
                  </a:graphic>
                </wp:anchor>
              </w:drawing>
            </w:r>
            <w:r>
              <w:rPr>
                <w:rFonts w:hint="eastAsia" w:ascii="宋体" w:hAnsi="宋体" w:cs="宋体"/>
                <w:color w:val="000000"/>
                <w:kern w:val="0"/>
                <w:sz w:val="24"/>
                <w:lang w:val="en-US" w:eastAsia="zh-CN" w:bidi="ar"/>
              </w:rPr>
              <w:t>一级指标</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二级指标</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三级指标</w:t>
            </w:r>
          </w:p>
        </w:tc>
        <w:tc>
          <w:tcPr>
            <w:tcW w:w="286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指标评价内容</w:t>
            </w:r>
          </w:p>
        </w:tc>
        <w:tc>
          <w:tcPr>
            <w:tcW w:w="158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预期指标值(包含数字及文字描述)</w:t>
            </w:r>
          </w:p>
        </w:tc>
        <w:tc>
          <w:tcPr>
            <w:tcW w:w="134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实际完成指标值(包含数字及文字描述)</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28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58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r>
      <w:tr>
        <w:tblPrEx>
          <w:tblLayout w:type="fixed"/>
          <w:tblCellMar>
            <w:top w:w="0" w:type="dxa"/>
            <w:left w:w="0" w:type="dxa"/>
            <w:bottom w:w="0" w:type="dxa"/>
            <w:right w:w="0" w:type="dxa"/>
          </w:tblCellMar>
        </w:tblPrEx>
        <w:trPr>
          <w:trHeight w:val="1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28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58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r>
      <w:tr>
        <w:tblPrEx>
          <w:tblLayout w:type="fixed"/>
          <w:tblCellMar>
            <w:top w:w="0" w:type="dxa"/>
            <w:left w:w="0" w:type="dxa"/>
            <w:bottom w:w="0" w:type="dxa"/>
            <w:right w:w="0" w:type="dxa"/>
          </w:tblCellMar>
        </w:tblPrEx>
        <w:trPr>
          <w:trHeight w:val="76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道路总长3962米</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道路总长3962米</w:t>
            </w:r>
          </w:p>
        </w:tc>
      </w:tr>
      <w:tr>
        <w:tblPrEx>
          <w:tblLayout w:type="fixed"/>
          <w:tblCellMar>
            <w:top w:w="0" w:type="dxa"/>
            <w:left w:w="0" w:type="dxa"/>
            <w:bottom w:w="0" w:type="dxa"/>
            <w:right w:w="0" w:type="dxa"/>
          </w:tblCellMar>
        </w:tblPrEx>
        <w:trPr>
          <w:trHeight w:val="64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工期一年</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规定实行完成</w:t>
            </w:r>
          </w:p>
        </w:tc>
      </w:tr>
      <w:tr>
        <w:tblPrEx>
          <w:tblLayout w:type="fixed"/>
          <w:tblCellMar>
            <w:top w:w="0" w:type="dxa"/>
            <w:left w:w="0" w:type="dxa"/>
            <w:bottom w:w="0" w:type="dxa"/>
            <w:right w:w="0" w:type="dxa"/>
          </w:tblCellMar>
        </w:tblPrEx>
        <w:trPr>
          <w:trHeight w:val="69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Layout w:type="fixed"/>
          <w:tblCellMar>
            <w:top w:w="0" w:type="dxa"/>
            <w:left w:w="0" w:type="dxa"/>
            <w:bottom w:w="0" w:type="dxa"/>
            <w:right w:w="0" w:type="dxa"/>
          </w:tblCellMar>
        </w:tblPrEx>
        <w:trPr>
          <w:trHeight w:val="76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已制定</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已制定</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红原县项目资金管理办法</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已制定</w:t>
            </w:r>
          </w:p>
        </w:tc>
      </w:tr>
      <w:tr>
        <w:tblPrEx>
          <w:tblLayout w:type="fixed"/>
          <w:tblCellMar>
            <w:top w:w="0" w:type="dxa"/>
            <w:left w:w="0" w:type="dxa"/>
            <w:bottom w:w="0" w:type="dxa"/>
            <w:right w:w="0" w:type="dxa"/>
          </w:tblCellMar>
        </w:tblPrEx>
        <w:trPr>
          <w:trHeight w:val="75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82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76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1个</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1个</w:t>
            </w:r>
          </w:p>
        </w:tc>
      </w:tr>
      <w:tr>
        <w:tblPrEx>
          <w:tblLayout w:type="fixed"/>
          <w:tblCellMar>
            <w:top w:w="0" w:type="dxa"/>
            <w:left w:w="0" w:type="dxa"/>
            <w:bottom w:w="0" w:type="dxa"/>
            <w:right w:w="0" w:type="dxa"/>
          </w:tblCellMar>
        </w:tblPrEx>
        <w:trPr>
          <w:trHeight w:val="10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Layout w:type="fixed"/>
          <w:tblCellMar>
            <w:top w:w="0" w:type="dxa"/>
            <w:left w:w="0" w:type="dxa"/>
            <w:bottom w:w="0" w:type="dxa"/>
            <w:right w:w="0" w:type="dxa"/>
          </w:tblCellMar>
        </w:tblPrEx>
        <w:trPr>
          <w:trHeight w:val="73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p>
        </w:tc>
      </w:tr>
      <w:tr>
        <w:tblPrEx>
          <w:tblLayout w:type="fixed"/>
          <w:tblCellMar>
            <w:top w:w="0" w:type="dxa"/>
            <w:left w:w="0" w:type="dxa"/>
            <w:bottom w:w="0" w:type="dxa"/>
            <w:right w:w="0" w:type="dxa"/>
          </w:tblCellMar>
        </w:tblPrEx>
        <w:trPr>
          <w:trHeight w:val="54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11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按工程进度拨付</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按工程进度拨付</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Layout w:type="fixed"/>
          <w:tblCellMar>
            <w:top w:w="0" w:type="dxa"/>
            <w:left w:w="0" w:type="dxa"/>
            <w:bottom w:w="0" w:type="dxa"/>
            <w:right w:w="0" w:type="dxa"/>
          </w:tblCellMar>
        </w:tblPrEx>
        <w:trPr>
          <w:trHeight w:val="73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该项目未存在调整</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该项目未存在调整</w:t>
            </w:r>
          </w:p>
        </w:tc>
      </w:tr>
      <w:tr>
        <w:tblPrEx>
          <w:tblLayout w:type="fixed"/>
          <w:tblCellMar>
            <w:top w:w="0" w:type="dxa"/>
            <w:left w:w="0" w:type="dxa"/>
            <w:bottom w:w="0" w:type="dxa"/>
            <w:right w:w="0" w:type="dxa"/>
          </w:tblCellMar>
        </w:tblPrEx>
        <w:trPr>
          <w:trHeight w:val="8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该项目未存在调整</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该项目未存在调整</w:t>
            </w:r>
          </w:p>
        </w:tc>
      </w:tr>
      <w:tr>
        <w:tblPrEx>
          <w:tblLayout w:type="fixed"/>
          <w:tblCellMar>
            <w:top w:w="0" w:type="dxa"/>
            <w:left w:w="0" w:type="dxa"/>
            <w:bottom w:w="0" w:type="dxa"/>
            <w:right w:w="0" w:type="dxa"/>
          </w:tblCellMar>
        </w:tblPrEx>
        <w:trPr>
          <w:trHeight w:val="76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bdr w:val="single" w:color="000000" w:sz="4" w:space="0"/>
                <w:lang w:val="en-US" w:eastAsia="zh-CN" w:bidi="ar"/>
              </w:rPr>
              <w:drawing>
                <wp:anchor distT="0" distB="0" distL="114300" distR="114300" simplePos="0" relativeHeight="251658240" behindDoc="0" locked="0" layoutInCell="1" allowOverlap="1">
                  <wp:simplePos x="0" y="0"/>
                  <wp:positionH relativeFrom="column">
                    <wp:posOffset>0</wp:posOffset>
                  </wp:positionH>
                  <wp:positionV relativeFrom="paragraph">
                    <wp:posOffset>3432175</wp:posOffset>
                  </wp:positionV>
                  <wp:extent cx="28575" cy="9525"/>
                  <wp:effectExtent l="0" t="0" r="0" b="0"/>
                  <wp:wrapNone/>
                  <wp:docPr id="12" name="直接连接符_6"/>
                  <wp:cNvGraphicFramePr/>
                  <a:graphic xmlns:a="http://schemas.openxmlformats.org/drawingml/2006/main">
                    <a:graphicData uri="http://schemas.openxmlformats.org/drawingml/2006/picture">
                      <pic:pic xmlns:pic="http://schemas.openxmlformats.org/drawingml/2006/picture">
                        <pic:nvPicPr>
                          <pic:cNvPr id="12" name="直接连接符_6"/>
                          <pic:cNvPicPr/>
                        </pic:nvPicPr>
                        <pic:blipFill>
                          <a:blip r:embed="rId14"/>
                          <a:stretch>
                            <a:fillRect/>
                          </a:stretch>
                        </pic:blipFill>
                        <pic:spPr>
                          <a:xfrm>
                            <a:off x="0" y="0"/>
                            <a:ext cx="28575" cy="9525"/>
                          </a:xfrm>
                          <a:prstGeom prst="rect">
                            <a:avLst/>
                          </a:prstGeom>
                          <a:noFill/>
                          <a:ln>
                            <a:noFill/>
                          </a:ln>
                        </pic:spPr>
                      </pic:pic>
                    </a:graphicData>
                  </a:graphic>
                </wp:anchor>
              </w:drawing>
            </w:r>
            <w:r>
              <w:rPr>
                <w:rFonts w:hint="eastAsia" w:ascii="宋体" w:hAnsi="宋体" w:eastAsia="宋体" w:cs="宋体"/>
                <w:i w:val="0"/>
                <w:color w:val="000000"/>
                <w:kern w:val="0"/>
                <w:sz w:val="20"/>
                <w:szCs w:val="20"/>
                <w:u w:val="none"/>
                <w:bdr w:val="single" w:color="000000" w:sz="4" w:space="0"/>
                <w:lang w:val="en-US" w:eastAsia="zh-CN" w:bidi="ar"/>
              </w:rPr>
              <w:drawing>
                <wp:anchor distT="0" distB="0" distL="114300" distR="114300" simplePos="0" relativeHeight="251658240" behindDoc="0" locked="0" layoutInCell="1" allowOverlap="1">
                  <wp:simplePos x="0" y="0"/>
                  <wp:positionH relativeFrom="column">
                    <wp:posOffset>381000</wp:posOffset>
                  </wp:positionH>
                  <wp:positionV relativeFrom="paragraph">
                    <wp:posOffset>3432175</wp:posOffset>
                  </wp:positionV>
                  <wp:extent cx="9525" cy="9525"/>
                  <wp:effectExtent l="0" t="0" r="0" b="0"/>
                  <wp:wrapNone/>
                  <wp:docPr id="13" name="直接连接符_5"/>
                  <wp:cNvGraphicFramePr/>
                  <a:graphic xmlns:a="http://schemas.openxmlformats.org/drawingml/2006/main">
                    <a:graphicData uri="http://schemas.openxmlformats.org/drawingml/2006/picture">
                      <pic:pic xmlns:pic="http://schemas.openxmlformats.org/drawingml/2006/picture">
                        <pic:nvPicPr>
                          <pic:cNvPr id="13" name="直接连接符_5"/>
                          <pic:cNvPicPr/>
                        </pic:nvPicPr>
                        <pic:blipFill>
                          <a:blip r:embed="rId15"/>
                          <a:stretch>
                            <a:fillRect/>
                          </a:stretch>
                        </pic:blipFill>
                        <pic:spPr>
                          <a:xfrm>
                            <a:off x="0" y="0"/>
                            <a:ext cx="9525" cy="9525"/>
                          </a:xfrm>
                          <a:prstGeom prst="rect">
                            <a:avLst/>
                          </a:prstGeom>
                          <a:noFill/>
                          <a:ln>
                            <a:noFill/>
                          </a:ln>
                        </pic:spPr>
                      </pic:pic>
                    </a:graphicData>
                  </a:graphic>
                </wp:anchor>
              </w:drawing>
            </w:r>
            <w:r>
              <w:rPr>
                <w:rFonts w:hint="eastAsia" w:ascii="宋体" w:hAnsi="宋体" w:eastAsia="宋体" w:cs="宋体"/>
                <w:i w:val="0"/>
                <w:color w:val="000000"/>
                <w:kern w:val="0"/>
                <w:sz w:val="20"/>
                <w:szCs w:val="20"/>
                <w:u w:val="none"/>
                <w:lang w:val="en-US" w:eastAsia="zh-CN" w:bidi="ar"/>
              </w:rPr>
              <w:t>项目绩效</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Layout w:type="fixed"/>
          <w:tblCellMar>
            <w:top w:w="0" w:type="dxa"/>
            <w:left w:w="0" w:type="dxa"/>
            <w:bottom w:w="0" w:type="dxa"/>
            <w:right w:w="0" w:type="dxa"/>
          </w:tblCellMar>
        </w:tblPrEx>
        <w:trPr>
          <w:trHeight w:val="80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Layout w:type="fixed"/>
          <w:tblCellMar>
            <w:top w:w="0" w:type="dxa"/>
            <w:left w:w="0" w:type="dxa"/>
            <w:bottom w:w="0" w:type="dxa"/>
            <w:right w:w="0" w:type="dxa"/>
          </w:tblCellMar>
        </w:tblPrEx>
        <w:trPr>
          <w:trHeight w:val="7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改善道路条件和交通状况，燃油总成本降低，节能效益较明显</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改善道路条件和交通状况，燃油总成本降低，节能效益较明显</w:t>
            </w:r>
          </w:p>
        </w:tc>
      </w:tr>
      <w:tr>
        <w:tblPrEx>
          <w:tblLayout w:type="fixed"/>
          <w:tblCellMar>
            <w:top w:w="0" w:type="dxa"/>
            <w:left w:w="0" w:type="dxa"/>
            <w:bottom w:w="0" w:type="dxa"/>
            <w:right w:w="0" w:type="dxa"/>
          </w:tblCellMar>
        </w:tblPrEx>
        <w:trPr>
          <w:trHeight w:val="74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城市的整体形象得以提高，人居环境得以改善</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城市的整体形象得以提高，人居环境得以改善</w:t>
            </w:r>
          </w:p>
        </w:tc>
      </w:tr>
      <w:tr>
        <w:tblPrEx>
          <w:tblLayout w:type="fixed"/>
          <w:tblCellMar>
            <w:top w:w="0" w:type="dxa"/>
            <w:left w:w="0" w:type="dxa"/>
            <w:bottom w:w="0" w:type="dxa"/>
            <w:right w:w="0" w:type="dxa"/>
          </w:tblCellMar>
        </w:tblPrEx>
        <w:trPr>
          <w:trHeight w:val="7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城市的整体形象得以提高，人居环境得以改善</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城市的整体形象得以提高，人居环境得以改善</w:t>
            </w:r>
          </w:p>
        </w:tc>
      </w:tr>
      <w:tr>
        <w:tblPrEx>
          <w:tblLayout w:type="fixed"/>
          <w:tblCellMar>
            <w:top w:w="0" w:type="dxa"/>
            <w:left w:w="0" w:type="dxa"/>
            <w:bottom w:w="0" w:type="dxa"/>
            <w:right w:w="0" w:type="dxa"/>
          </w:tblCellMar>
        </w:tblPrEx>
        <w:trPr>
          <w:trHeight w:val="76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left"/>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改善道路条件和交通状况，燃油总成本降低，节能效益较明显</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left"/>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改善道路条件和交通状况，燃油总成本降低，节能效益较明显</w:t>
            </w:r>
          </w:p>
        </w:tc>
      </w:tr>
      <w:tr>
        <w:tblPrEx>
          <w:tblLayout w:type="fixed"/>
          <w:tblCellMar>
            <w:top w:w="0" w:type="dxa"/>
            <w:left w:w="0" w:type="dxa"/>
            <w:bottom w:w="0" w:type="dxa"/>
            <w:right w:w="0" w:type="dxa"/>
          </w:tblCellMar>
        </w:tblPrEx>
        <w:trPr>
          <w:trHeight w:val="108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群众满意度高，使用效益高</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群众满意度高，使用效益高</w:t>
            </w:r>
          </w:p>
        </w:tc>
      </w:tr>
    </w:tbl>
    <w:p>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2.红原县</w:t>
      </w:r>
      <w:r>
        <w:rPr>
          <w:rFonts w:hint="eastAsia" w:ascii="仿宋_GB2312" w:hAnsi="宋体" w:eastAsia="仿宋_GB2312" w:cs="仿宋_GB2312"/>
          <w:kern w:val="2"/>
          <w:sz w:val="32"/>
          <w:szCs w:val="24"/>
          <w:lang w:val="en-US" w:eastAsia="zh-CN" w:bidi="ar"/>
        </w:rPr>
        <w:t>自来水厂、污水处理厂运营管理费用项目</w:t>
      </w:r>
      <w:r>
        <w:rPr>
          <w:rFonts w:hint="eastAsia" w:ascii="仿宋_GB2312" w:hAnsi="仿宋_GB2312" w:eastAsia="仿宋_GB2312" w:cs="仿宋_GB2312"/>
          <w:sz w:val="32"/>
          <w:szCs w:val="32"/>
        </w:rPr>
        <w:t>绩效目标完成情况综述。项目全年预算数</w:t>
      </w:r>
      <w:r>
        <w:rPr>
          <w:rFonts w:hint="eastAsia" w:ascii="仿宋_GB2312" w:hAnsi="宋体" w:eastAsia="仿宋_GB2312" w:cs="仿宋_GB2312"/>
          <w:kern w:val="2"/>
          <w:sz w:val="32"/>
          <w:szCs w:val="24"/>
          <w:lang w:val="en-US" w:eastAsia="zh-CN" w:bidi="ar"/>
        </w:rPr>
        <w:t>870.2</w:t>
      </w:r>
      <w:r>
        <w:rPr>
          <w:rFonts w:hint="eastAsia" w:ascii="仿宋_GB2312" w:hAnsi="仿宋_GB2312" w:eastAsia="仿宋_GB2312" w:cs="仿宋_GB2312"/>
          <w:sz w:val="32"/>
          <w:szCs w:val="32"/>
        </w:rPr>
        <w:t>万元，执行数为</w:t>
      </w:r>
      <w:r>
        <w:rPr>
          <w:rFonts w:hint="eastAsia" w:ascii="仿宋_GB2312" w:hAnsi="宋体" w:eastAsia="仿宋_GB2312" w:cs="仿宋_GB2312"/>
          <w:kern w:val="2"/>
          <w:sz w:val="32"/>
          <w:szCs w:val="24"/>
          <w:lang w:val="en-US" w:eastAsia="zh-CN" w:bidi="ar"/>
        </w:rPr>
        <w:t>870.2</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自来</w:t>
      </w:r>
      <w:r>
        <w:rPr>
          <w:rFonts w:hint="eastAsia" w:ascii="仿宋_GB2312" w:hAnsi="仿宋_GB2312" w:eastAsia="仿宋_GB2312" w:cs="仿宋_GB2312"/>
          <w:sz w:val="32"/>
          <w:szCs w:val="32"/>
        </w:rPr>
        <w:t>水厂目前有2台净水设备，设计处理能力300t/h,现在实际处理能力为200t/h，一座尘沙池（主要用于暴气处理铁锰）等相关设备。经过自来水厂一期技改项目的实施，目前已重新设计更换了加药车间和加药装置，清水池和高位水池浮球控制阀已恢复完毕，整个厂区的流量监测、浊度监测、余氯度监测、水压监测、水量监测等监测设备和自动化控制设备已全部修复更换完毕。通过两个月的时间完成了自来水厂一期技改工作，目前自来水厂出厂水质已经达标</w:t>
      </w:r>
      <w:r>
        <w:rPr>
          <w:rFonts w:hint="eastAsia" w:ascii="仿宋_GB2312" w:hAnsi="仿宋_GB2312" w:eastAsia="仿宋_GB2312" w:cs="仿宋_GB2312"/>
          <w:sz w:val="32"/>
          <w:szCs w:val="32"/>
          <w:lang w:eastAsia="zh-CN"/>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en-US" w:eastAsia="zh-CN"/>
        </w:rPr>
      </w:pPr>
      <w:r>
        <w:rPr>
          <w:rFonts w:hint="eastAsia" w:ascii="仿宋_GB2312" w:eastAsia="仿宋_GB2312"/>
          <w:sz w:val="32"/>
          <w:szCs w:val="32"/>
          <w:lang w:val="en-US" w:eastAsia="zh-CN"/>
        </w:rPr>
        <w:t>污水处理厂</w:t>
      </w:r>
      <w:r>
        <w:rPr>
          <w:rFonts w:hint="eastAsia" w:ascii="仿宋_GB2312" w:eastAsia="仿宋_GB2312"/>
          <w:sz w:val="32"/>
          <w:szCs w:val="32"/>
          <w:lang w:eastAsia="zh-CN"/>
        </w:rPr>
        <w:t>既符合四川省西部大开发的战略也是</w:t>
      </w:r>
      <w:r>
        <w:rPr>
          <w:rFonts w:hint="eastAsia" w:ascii="仿宋_GB2312" w:eastAsia="仿宋_GB2312"/>
          <w:sz w:val="32"/>
          <w:szCs w:val="32"/>
          <w:lang w:val="en-US" w:eastAsia="zh-CN"/>
        </w:rPr>
        <w:t>我</w:t>
      </w:r>
      <w:r>
        <w:rPr>
          <w:rFonts w:hint="eastAsia" w:ascii="仿宋_GB2312" w:eastAsia="仿宋_GB2312"/>
          <w:sz w:val="32"/>
          <w:szCs w:val="32"/>
          <w:lang w:eastAsia="zh-CN"/>
        </w:rPr>
        <w:t>县经济发展的需要，有助于建设国家生态湿地保护区、维护藏区稳定、改善藏区群众的生活环境、保护旅游资源、提升城市形象、维护社会安定团结起到十分重要的作用。必将给红原县经济的腾飞，环境的改善，人民生活质量的提高带来新的变化。</w:t>
      </w:r>
    </w:p>
    <w:tbl>
      <w:tblPr>
        <w:tblStyle w:val="17"/>
        <w:tblW w:w="9369" w:type="dxa"/>
        <w:tblInd w:w="-373" w:type="dxa"/>
        <w:shd w:val="clear" w:color="auto" w:fill="auto"/>
        <w:tblLayout w:type="fixed"/>
        <w:tblCellMar>
          <w:top w:w="0" w:type="dxa"/>
          <w:left w:w="0" w:type="dxa"/>
          <w:bottom w:w="0" w:type="dxa"/>
          <w:right w:w="0" w:type="dxa"/>
        </w:tblCellMar>
      </w:tblPr>
      <w:tblGrid>
        <w:gridCol w:w="623"/>
        <w:gridCol w:w="1188"/>
        <w:gridCol w:w="1022"/>
        <w:gridCol w:w="737"/>
        <w:gridCol w:w="1155"/>
        <w:gridCol w:w="1711"/>
        <w:gridCol w:w="1586"/>
        <w:gridCol w:w="1347"/>
      </w:tblGrid>
      <w:tr>
        <w:tblPrEx>
          <w:shd w:val="clear" w:color="auto" w:fill="auto"/>
          <w:tblLayout w:type="fixed"/>
          <w:tblCellMar>
            <w:top w:w="0" w:type="dxa"/>
            <w:left w:w="0" w:type="dxa"/>
            <w:bottom w:w="0" w:type="dxa"/>
            <w:right w:w="0" w:type="dxa"/>
          </w:tblCellMar>
        </w:tblPrEx>
        <w:trPr>
          <w:trHeight w:val="555" w:hRule="atLeast"/>
        </w:trPr>
        <w:tc>
          <w:tcPr>
            <w:tcW w:w="9369" w:type="dxa"/>
            <w:gridSpan w:val="8"/>
            <w:tcBorders>
              <w:top w:val="nil"/>
              <w:left w:val="nil"/>
              <w:bottom w:val="nil"/>
              <w:right w:val="nil"/>
            </w:tcBorders>
            <w:shd w:val="clear" w:color="auto" w:fill="auto"/>
            <w:tcMar>
              <w:top w:w="15" w:type="dxa"/>
              <w:left w:w="15" w:type="dxa"/>
              <w:right w:w="15" w:type="dxa"/>
            </w:tcMar>
            <w:vAlign w:val="center"/>
          </w:tcPr>
          <w:p>
            <w:pPr>
              <w:widowControl/>
              <w:jc w:val="both"/>
              <w:textAlignment w:val="center"/>
              <w:rPr>
                <w:rFonts w:hint="eastAsia" w:ascii="宋体" w:hAnsi="宋体" w:cs="宋体"/>
                <w:color w:val="000000"/>
                <w:kern w:val="0"/>
                <w:sz w:val="24"/>
                <w:lang w:bidi="ar"/>
              </w:rPr>
            </w:pPr>
          </w:p>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项目支出绩效目标完成情况表</w:t>
            </w:r>
          </w:p>
        </w:tc>
      </w:tr>
      <w:tr>
        <w:tblPrEx>
          <w:tblLayout w:type="fixed"/>
          <w:tblCellMar>
            <w:top w:w="0" w:type="dxa"/>
            <w:left w:w="0" w:type="dxa"/>
            <w:bottom w:w="0" w:type="dxa"/>
            <w:right w:w="0" w:type="dxa"/>
          </w:tblCellMar>
        </w:tblPrEx>
        <w:trPr>
          <w:trHeight w:val="555" w:hRule="atLeast"/>
        </w:trPr>
        <w:tc>
          <w:tcPr>
            <w:tcW w:w="28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项目名称</w:t>
            </w:r>
          </w:p>
        </w:tc>
        <w:tc>
          <w:tcPr>
            <w:tcW w:w="653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红原县自来水厂、污水处理厂运营管理费用项目</w:t>
            </w:r>
          </w:p>
        </w:tc>
      </w:tr>
      <w:tr>
        <w:tblPrEx>
          <w:tblLayout w:type="fixed"/>
          <w:tblCellMar>
            <w:top w:w="0" w:type="dxa"/>
            <w:left w:w="0" w:type="dxa"/>
            <w:bottom w:w="0" w:type="dxa"/>
            <w:right w:w="0" w:type="dxa"/>
          </w:tblCellMar>
        </w:tblPrEx>
        <w:trPr>
          <w:trHeight w:val="555" w:hRule="atLeast"/>
        </w:trPr>
        <w:tc>
          <w:tcPr>
            <w:tcW w:w="283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预算单位</w:t>
            </w:r>
          </w:p>
        </w:tc>
        <w:tc>
          <w:tcPr>
            <w:tcW w:w="653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红原县住房和城乡建设局</w:t>
            </w:r>
          </w:p>
        </w:tc>
      </w:tr>
      <w:tr>
        <w:tblPrEx>
          <w:tblLayout w:type="fixed"/>
          <w:tblCellMar>
            <w:top w:w="0" w:type="dxa"/>
            <w:left w:w="0" w:type="dxa"/>
            <w:bottom w:w="0" w:type="dxa"/>
            <w:right w:w="0" w:type="dxa"/>
          </w:tblCellMar>
        </w:tblPrEx>
        <w:trPr>
          <w:trHeight w:val="555" w:hRule="atLeast"/>
        </w:trPr>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预算执行情况(万元</w:t>
            </w:r>
          </w:p>
        </w:tc>
        <w:tc>
          <w:tcPr>
            <w:tcW w:w="221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预算数:</w:t>
            </w:r>
          </w:p>
        </w:tc>
        <w:tc>
          <w:tcPr>
            <w:tcW w:w="18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870.2万元</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执行数:</w:t>
            </w:r>
          </w:p>
        </w:tc>
        <w:tc>
          <w:tcPr>
            <w:tcW w:w="29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870.2万元</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p>
        </w:tc>
        <w:tc>
          <w:tcPr>
            <w:tcW w:w="221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其中-财政拨款:</w:t>
            </w:r>
          </w:p>
        </w:tc>
        <w:tc>
          <w:tcPr>
            <w:tcW w:w="18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870.2万元</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其中-财政拨款:</w:t>
            </w:r>
          </w:p>
        </w:tc>
        <w:tc>
          <w:tcPr>
            <w:tcW w:w="29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870.2万元</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p>
        </w:tc>
        <w:tc>
          <w:tcPr>
            <w:tcW w:w="221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其它资金:</w:t>
            </w:r>
          </w:p>
        </w:tc>
        <w:tc>
          <w:tcPr>
            <w:tcW w:w="18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0</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其它资金:</w:t>
            </w:r>
          </w:p>
        </w:tc>
        <w:tc>
          <w:tcPr>
            <w:tcW w:w="29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0</w:t>
            </w:r>
          </w:p>
        </w:tc>
      </w:tr>
      <w:tr>
        <w:tblPrEx>
          <w:tblLayout w:type="fixed"/>
          <w:tblCellMar>
            <w:top w:w="0" w:type="dxa"/>
            <w:left w:w="0" w:type="dxa"/>
            <w:bottom w:w="0" w:type="dxa"/>
            <w:right w:w="0" w:type="dxa"/>
          </w:tblCellMar>
        </w:tblPrEx>
        <w:trPr>
          <w:trHeight w:val="555" w:hRule="atLeast"/>
        </w:trPr>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年度目标完成情况</w:t>
            </w:r>
          </w:p>
        </w:tc>
        <w:tc>
          <w:tcPr>
            <w:tcW w:w="294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预期目标</w:t>
            </w:r>
          </w:p>
        </w:tc>
        <w:tc>
          <w:tcPr>
            <w:tcW w:w="579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实际完成目标</w:t>
            </w:r>
          </w:p>
        </w:tc>
      </w:tr>
      <w:tr>
        <w:tblPrEx>
          <w:tblLayout w:type="fixed"/>
          <w:tblCellMar>
            <w:top w:w="0" w:type="dxa"/>
            <w:left w:w="0" w:type="dxa"/>
            <w:bottom w:w="0" w:type="dxa"/>
            <w:right w:w="0" w:type="dxa"/>
          </w:tblCellMar>
        </w:tblPrEx>
        <w:trPr>
          <w:trHeight w:val="19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p>
        </w:tc>
        <w:tc>
          <w:tcPr>
            <w:tcW w:w="294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自来水厂一期技改项目的实施，目前已重新设计更换了加药车间和加药装置，清水池和高位水池浮球控制阀已恢复完毕，整个厂区的流量监测、浊度监测、余氯度监测、水压监测、水量监测等监测设备和自动化控制设备已全部修复更换完毕</w:t>
            </w:r>
            <w:r>
              <w:rPr>
                <w:rFonts w:hint="eastAsia" w:ascii="宋体" w:hAnsi="宋体" w:cs="宋体"/>
                <w:color w:val="000000"/>
                <w:kern w:val="0"/>
                <w:sz w:val="24"/>
                <w:lang w:eastAsia="zh-CN" w:bidi="ar"/>
              </w:rPr>
              <w:t>，</w:t>
            </w:r>
            <w:r>
              <w:rPr>
                <w:rFonts w:hint="eastAsia" w:ascii="宋体" w:hAnsi="宋体" w:cs="宋体"/>
                <w:color w:val="000000"/>
                <w:kern w:val="0"/>
                <w:sz w:val="24"/>
                <w:lang w:val="en-US" w:eastAsia="zh-CN" w:bidi="ar"/>
              </w:rPr>
              <w:t>是水质达到安全标准。</w:t>
            </w:r>
          </w:p>
        </w:tc>
        <w:tc>
          <w:tcPr>
            <w:tcW w:w="579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通过两个月的时间完成了自来水厂一期技改工作，目前自来水厂出厂水质已经达标</w:t>
            </w:r>
            <w:r>
              <w:rPr>
                <w:rFonts w:hint="eastAsia" w:ascii="仿宋_GB2312" w:hAnsi="仿宋_GB2312" w:eastAsia="仿宋_GB2312" w:cs="仿宋_GB2312"/>
                <w:sz w:val="32"/>
                <w:szCs w:val="32"/>
                <w:lang w:eastAsia="zh-CN"/>
              </w:rPr>
              <w:t>。</w:t>
            </w:r>
          </w:p>
        </w:tc>
      </w:tr>
      <w:tr>
        <w:tblPrEx>
          <w:tblLayout w:type="fixed"/>
          <w:tblCellMar>
            <w:top w:w="0" w:type="dxa"/>
            <w:left w:w="0" w:type="dxa"/>
            <w:bottom w:w="0" w:type="dxa"/>
            <w:right w:w="0" w:type="dxa"/>
          </w:tblCellMar>
        </w:tblPrEx>
        <w:trPr>
          <w:trHeight w:val="555" w:hRule="atLeast"/>
        </w:trPr>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default" w:ascii="宋体" w:hAnsi="宋体" w:cs="宋体"/>
                <w:color w:val="000000"/>
                <w:kern w:val="0"/>
                <w:sz w:val="24"/>
                <w:lang w:val="en-US" w:eastAsia="zh-CN" w:bidi="ar"/>
              </w:rPr>
              <w:t>绩效指标完成情况</w:t>
            </w: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drawing>
                <wp:anchor distT="0" distB="0" distL="114300" distR="114300" simplePos="0" relativeHeight="251695104" behindDoc="0" locked="0" layoutInCell="1" allowOverlap="1">
                  <wp:simplePos x="0" y="0"/>
                  <wp:positionH relativeFrom="column">
                    <wp:posOffset>419100</wp:posOffset>
                  </wp:positionH>
                  <wp:positionV relativeFrom="paragraph">
                    <wp:posOffset>390525</wp:posOffset>
                  </wp:positionV>
                  <wp:extent cx="9525" cy="9525"/>
                  <wp:effectExtent l="0" t="0" r="0" b="0"/>
                  <wp:wrapNone/>
                  <wp:docPr id="26" name="直接连接符_10"/>
                  <wp:cNvGraphicFramePr/>
                  <a:graphic xmlns:a="http://schemas.openxmlformats.org/drawingml/2006/main">
                    <a:graphicData uri="http://schemas.openxmlformats.org/drawingml/2006/picture">
                      <pic:pic xmlns:pic="http://schemas.openxmlformats.org/drawingml/2006/picture">
                        <pic:nvPicPr>
                          <pic:cNvPr id="26" name="直接连接符_10"/>
                          <pic:cNvPicPr/>
                        </pic:nvPicPr>
                        <pic:blipFill>
                          <a:blip r:embed="rId13"/>
                          <a:stretch>
                            <a:fillRect/>
                          </a:stretch>
                        </pic:blipFill>
                        <pic:spPr>
                          <a:xfrm>
                            <a:off x="0" y="0"/>
                            <a:ext cx="9525" cy="9525"/>
                          </a:xfrm>
                          <a:prstGeom prst="rect">
                            <a:avLst/>
                          </a:prstGeom>
                          <a:noFill/>
                          <a:ln>
                            <a:noFill/>
                          </a:ln>
                        </pic:spPr>
                      </pic:pic>
                    </a:graphicData>
                  </a:graphic>
                </wp:anchor>
              </w:drawing>
            </w:r>
            <w:r>
              <w:rPr>
                <w:rFonts w:hint="eastAsia" w:ascii="宋体" w:hAnsi="宋体" w:cs="宋体"/>
                <w:color w:val="000000"/>
                <w:kern w:val="0"/>
                <w:sz w:val="24"/>
                <w:lang w:val="en-US" w:eastAsia="zh-CN" w:bidi="ar"/>
              </w:rPr>
              <w:drawing>
                <wp:anchor distT="0" distB="0" distL="114300" distR="114300" simplePos="0" relativeHeight="251695104" behindDoc="0" locked="0" layoutInCell="1" allowOverlap="1">
                  <wp:simplePos x="0" y="0"/>
                  <wp:positionH relativeFrom="column">
                    <wp:posOffset>419100</wp:posOffset>
                  </wp:positionH>
                  <wp:positionV relativeFrom="paragraph">
                    <wp:posOffset>390525</wp:posOffset>
                  </wp:positionV>
                  <wp:extent cx="9525" cy="9525"/>
                  <wp:effectExtent l="0" t="0" r="0" b="0"/>
                  <wp:wrapNone/>
                  <wp:docPr id="27" name="直接连接符_8"/>
                  <wp:cNvGraphicFramePr/>
                  <a:graphic xmlns:a="http://schemas.openxmlformats.org/drawingml/2006/main">
                    <a:graphicData uri="http://schemas.openxmlformats.org/drawingml/2006/picture">
                      <pic:pic xmlns:pic="http://schemas.openxmlformats.org/drawingml/2006/picture">
                        <pic:nvPicPr>
                          <pic:cNvPr id="27" name="直接连接符_8"/>
                          <pic:cNvPicPr/>
                        </pic:nvPicPr>
                        <pic:blipFill>
                          <a:blip r:embed="rId13"/>
                          <a:stretch>
                            <a:fillRect/>
                          </a:stretch>
                        </pic:blipFill>
                        <pic:spPr>
                          <a:xfrm>
                            <a:off x="0" y="0"/>
                            <a:ext cx="9525" cy="9525"/>
                          </a:xfrm>
                          <a:prstGeom prst="rect">
                            <a:avLst/>
                          </a:prstGeom>
                          <a:noFill/>
                          <a:ln>
                            <a:noFill/>
                          </a:ln>
                        </pic:spPr>
                      </pic:pic>
                    </a:graphicData>
                  </a:graphic>
                </wp:anchor>
              </w:drawing>
            </w:r>
            <w:r>
              <w:rPr>
                <w:rFonts w:hint="eastAsia" w:ascii="宋体" w:hAnsi="宋体" w:cs="宋体"/>
                <w:color w:val="000000"/>
                <w:kern w:val="0"/>
                <w:sz w:val="24"/>
                <w:lang w:val="en-US" w:eastAsia="zh-CN" w:bidi="ar"/>
              </w:rPr>
              <w:drawing>
                <wp:anchor distT="0" distB="0" distL="114300" distR="114300" simplePos="0" relativeHeight="251695104" behindDoc="0" locked="0" layoutInCell="1" allowOverlap="1">
                  <wp:simplePos x="0" y="0"/>
                  <wp:positionH relativeFrom="column">
                    <wp:posOffset>419100</wp:posOffset>
                  </wp:positionH>
                  <wp:positionV relativeFrom="paragraph">
                    <wp:posOffset>390525</wp:posOffset>
                  </wp:positionV>
                  <wp:extent cx="9525" cy="9525"/>
                  <wp:effectExtent l="0" t="0" r="0" b="0"/>
                  <wp:wrapNone/>
                  <wp:docPr id="28" name="直接连接符_9"/>
                  <wp:cNvGraphicFramePr/>
                  <a:graphic xmlns:a="http://schemas.openxmlformats.org/drawingml/2006/main">
                    <a:graphicData uri="http://schemas.openxmlformats.org/drawingml/2006/picture">
                      <pic:pic xmlns:pic="http://schemas.openxmlformats.org/drawingml/2006/picture">
                        <pic:nvPicPr>
                          <pic:cNvPr id="28" name="直接连接符_9"/>
                          <pic:cNvPicPr/>
                        </pic:nvPicPr>
                        <pic:blipFill>
                          <a:blip r:embed="rId13"/>
                          <a:stretch>
                            <a:fillRect/>
                          </a:stretch>
                        </pic:blipFill>
                        <pic:spPr>
                          <a:xfrm>
                            <a:off x="0" y="0"/>
                            <a:ext cx="9525" cy="9525"/>
                          </a:xfrm>
                          <a:prstGeom prst="rect">
                            <a:avLst/>
                          </a:prstGeom>
                          <a:noFill/>
                          <a:ln>
                            <a:noFill/>
                          </a:ln>
                        </pic:spPr>
                      </pic:pic>
                    </a:graphicData>
                  </a:graphic>
                </wp:anchor>
              </w:drawing>
            </w:r>
            <w:r>
              <w:rPr>
                <w:rFonts w:hint="eastAsia" w:ascii="宋体" w:hAnsi="宋体" w:cs="宋体"/>
                <w:color w:val="000000"/>
                <w:kern w:val="0"/>
                <w:sz w:val="24"/>
                <w:lang w:val="en-US" w:eastAsia="zh-CN" w:bidi="ar"/>
              </w:rPr>
              <w:drawing>
                <wp:anchor distT="0" distB="0" distL="114300" distR="114300" simplePos="0" relativeHeight="251695104" behindDoc="0" locked="0" layoutInCell="1" allowOverlap="1">
                  <wp:simplePos x="0" y="0"/>
                  <wp:positionH relativeFrom="column">
                    <wp:posOffset>419100</wp:posOffset>
                  </wp:positionH>
                  <wp:positionV relativeFrom="paragraph">
                    <wp:posOffset>390525</wp:posOffset>
                  </wp:positionV>
                  <wp:extent cx="9525" cy="9525"/>
                  <wp:effectExtent l="0" t="0" r="0" b="0"/>
                  <wp:wrapNone/>
                  <wp:docPr id="29" name="直接连接符_7"/>
                  <wp:cNvGraphicFramePr/>
                  <a:graphic xmlns:a="http://schemas.openxmlformats.org/drawingml/2006/main">
                    <a:graphicData uri="http://schemas.openxmlformats.org/drawingml/2006/picture">
                      <pic:pic xmlns:pic="http://schemas.openxmlformats.org/drawingml/2006/picture">
                        <pic:nvPicPr>
                          <pic:cNvPr id="29" name="直接连接符_7"/>
                          <pic:cNvPicPr/>
                        </pic:nvPicPr>
                        <pic:blipFill>
                          <a:blip r:embed="rId13"/>
                          <a:stretch>
                            <a:fillRect/>
                          </a:stretch>
                        </pic:blipFill>
                        <pic:spPr>
                          <a:xfrm>
                            <a:off x="0" y="0"/>
                            <a:ext cx="9525" cy="9525"/>
                          </a:xfrm>
                          <a:prstGeom prst="rect">
                            <a:avLst/>
                          </a:prstGeom>
                          <a:noFill/>
                          <a:ln>
                            <a:noFill/>
                          </a:ln>
                        </pic:spPr>
                      </pic:pic>
                    </a:graphicData>
                  </a:graphic>
                </wp:anchor>
              </w:drawing>
            </w:r>
            <w:r>
              <w:rPr>
                <w:rFonts w:hint="eastAsia" w:ascii="宋体" w:hAnsi="宋体" w:cs="宋体"/>
                <w:color w:val="000000"/>
                <w:kern w:val="0"/>
                <w:sz w:val="24"/>
                <w:lang w:val="en-US" w:eastAsia="zh-CN" w:bidi="ar"/>
              </w:rPr>
              <w:t>一级指标</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二级指标</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三级指标</w:t>
            </w:r>
          </w:p>
        </w:tc>
        <w:tc>
          <w:tcPr>
            <w:tcW w:w="286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指标评价内容</w:t>
            </w:r>
          </w:p>
        </w:tc>
        <w:tc>
          <w:tcPr>
            <w:tcW w:w="158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预期指标值(包含数字及文字描述)</w:t>
            </w:r>
          </w:p>
        </w:tc>
        <w:tc>
          <w:tcPr>
            <w:tcW w:w="134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实际完成指标值(包含数字及文字描述)</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28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58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r>
      <w:tr>
        <w:tblPrEx>
          <w:tblLayout w:type="fixed"/>
          <w:tblCellMar>
            <w:top w:w="0" w:type="dxa"/>
            <w:left w:w="0" w:type="dxa"/>
            <w:bottom w:w="0" w:type="dxa"/>
            <w:right w:w="0" w:type="dxa"/>
          </w:tblCellMar>
        </w:tblPrEx>
        <w:trPr>
          <w:trHeight w:val="1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28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58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b/>
                <w:i w:val="0"/>
                <w:color w:val="000000"/>
                <w:sz w:val="20"/>
                <w:szCs w:val="20"/>
                <w:u w:val="none"/>
              </w:rPr>
            </w:pPr>
          </w:p>
        </w:tc>
      </w:tr>
      <w:tr>
        <w:tblPrEx>
          <w:tblLayout w:type="fixed"/>
          <w:tblCellMar>
            <w:top w:w="0" w:type="dxa"/>
            <w:left w:w="0" w:type="dxa"/>
            <w:bottom w:w="0" w:type="dxa"/>
            <w:right w:w="0" w:type="dxa"/>
          </w:tblCellMar>
        </w:tblPrEx>
        <w:trPr>
          <w:trHeight w:val="76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自来水厂改造</w:t>
            </w:r>
          </w:p>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污水处理厂改造</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自来水厂改造</w:t>
            </w:r>
          </w:p>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污水处理厂改造</w:t>
            </w:r>
          </w:p>
        </w:tc>
      </w:tr>
      <w:tr>
        <w:tblPrEx>
          <w:tblLayout w:type="fixed"/>
          <w:tblCellMar>
            <w:top w:w="0" w:type="dxa"/>
            <w:left w:w="0" w:type="dxa"/>
            <w:bottom w:w="0" w:type="dxa"/>
            <w:right w:w="0" w:type="dxa"/>
          </w:tblCellMar>
        </w:tblPrEx>
        <w:trPr>
          <w:trHeight w:val="64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按照工期进度表进行</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按时完工</w:t>
            </w:r>
          </w:p>
        </w:tc>
      </w:tr>
      <w:tr>
        <w:tblPrEx>
          <w:tblLayout w:type="fixed"/>
          <w:tblCellMar>
            <w:top w:w="0" w:type="dxa"/>
            <w:left w:w="0" w:type="dxa"/>
            <w:bottom w:w="0" w:type="dxa"/>
            <w:right w:w="0" w:type="dxa"/>
          </w:tblCellMar>
        </w:tblPrEx>
        <w:trPr>
          <w:trHeight w:val="69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w:t>
            </w:r>
          </w:p>
        </w:tc>
      </w:tr>
      <w:tr>
        <w:tblPrEx>
          <w:tblLayout w:type="fixed"/>
          <w:tblCellMar>
            <w:top w:w="0" w:type="dxa"/>
            <w:left w:w="0" w:type="dxa"/>
            <w:bottom w:w="0" w:type="dxa"/>
            <w:right w:w="0" w:type="dxa"/>
          </w:tblCellMar>
        </w:tblPrEx>
        <w:trPr>
          <w:trHeight w:val="76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已制定</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已制定</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已制定</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已制定</w:t>
            </w:r>
          </w:p>
        </w:tc>
      </w:tr>
      <w:tr>
        <w:tblPrEx>
          <w:tblLayout w:type="fixed"/>
          <w:tblCellMar>
            <w:top w:w="0" w:type="dxa"/>
            <w:left w:w="0" w:type="dxa"/>
            <w:bottom w:w="0" w:type="dxa"/>
            <w:right w:w="0" w:type="dxa"/>
          </w:tblCellMar>
        </w:tblPrEx>
        <w:trPr>
          <w:trHeight w:val="75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82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76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2个</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2个</w:t>
            </w:r>
          </w:p>
        </w:tc>
      </w:tr>
      <w:tr>
        <w:tblPrEx>
          <w:tblLayout w:type="fixed"/>
          <w:tblCellMar>
            <w:top w:w="0" w:type="dxa"/>
            <w:left w:w="0" w:type="dxa"/>
            <w:bottom w:w="0" w:type="dxa"/>
            <w:right w:w="0" w:type="dxa"/>
          </w:tblCellMar>
        </w:tblPrEx>
        <w:trPr>
          <w:trHeight w:val="10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Layout w:type="fixed"/>
          <w:tblCellMar>
            <w:top w:w="0" w:type="dxa"/>
            <w:left w:w="0" w:type="dxa"/>
            <w:bottom w:w="0" w:type="dxa"/>
            <w:right w:w="0" w:type="dxa"/>
          </w:tblCellMar>
        </w:tblPrEx>
        <w:trPr>
          <w:trHeight w:val="73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4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744"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73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8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76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Layout w:type="fixed"/>
          <w:tblCellMar>
            <w:top w:w="0" w:type="dxa"/>
            <w:left w:w="0" w:type="dxa"/>
            <w:bottom w:w="0" w:type="dxa"/>
            <w:right w:w="0" w:type="dxa"/>
          </w:tblCellMar>
        </w:tblPrEx>
        <w:trPr>
          <w:trHeight w:val="555" w:hRule="atLeast"/>
        </w:trPr>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bdr w:val="single" w:color="000000" w:sz="4" w:space="0"/>
                <w:lang w:val="en-US" w:eastAsia="zh-CN" w:bidi="ar"/>
              </w:rPr>
              <w:drawing>
                <wp:anchor distT="0" distB="0" distL="114300" distR="114300" simplePos="0" relativeHeight="251715584" behindDoc="0" locked="0" layoutInCell="1" allowOverlap="1">
                  <wp:simplePos x="0" y="0"/>
                  <wp:positionH relativeFrom="column">
                    <wp:posOffset>0</wp:posOffset>
                  </wp:positionH>
                  <wp:positionV relativeFrom="paragraph">
                    <wp:posOffset>3432175</wp:posOffset>
                  </wp:positionV>
                  <wp:extent cx="28575" cy="9525"/>
                  <wp:effectExtent l="0" t="0" r="0" b="0"/>
                  <wp:wrapNone/>
                  <wp:docPr id="20" name="直接连接符_6"/>
                  <wp:cNvGraphicFramePr/>
                  <a:graphic xmlns:a="http://schemas.openxmlformats.org/drawingml/2006/main">
                    <a:graphicData uri="http://schemas.openxmlformats.org/drawingml/2006/picture">
                      <pic:pic xmlns:pic="http://schemas.openxmlformats.org/drawingml/2006/picture">
                        <pic:nvPicPr>
                          <pic:cNvPr id="20" name="直接连接符_6"/>
                          <pic:cNvPicPr/>
                        </pic:nvPicPr>
                        <pic:blipFill>
                          <a:blip r:embed="rId14"/>
                          <a:stretch>
                            <a:fillRect/>
                          </a:stretch>
                        </pic:blipFill>
                        <pic:spPr>
                          <a:xfrm>
                            <a:off x="0" y="0"/>
                            <a:ext cx="28575" cy="9525"/>
                          </a:xfrm>
                          <a:prstGeom prst="rect">
                            <a:avLst/>
                          </a:prstGeom>
                          <a:noFill/>
                          <a:ln>
                            <a:noFill/>
                          </a:ln>
                        </pic:spPr>
                      </pic:pic>
                    </a:graphicData>
                  </a:graphic>
                </wp:anchor>
              </w:drawing>
            </w:r>
            <w:r>
              <w:rPr>
                <w:rFonts w:hint="eastAsia" w:ascii="宋体" w:hAnsi="宋体" w:eastAsia="宋体" w:cs="宋体"/>
                <w:i w:val="0"/>
                <w:color w:val="000000"/>
                <w:kern w:val="0"/>
                <w:sz w:val="20"/>
                <w:szCs w:val="20"/>
                <w:u w:val="none"/>
                <w:bdr w:val="single" w:color="000000" w:sz="4" w:space="0"/>
                <w:lang w:val="en-US" w:eastAsia="zh-CN" w:bidi="ar"/>
              </w:rPr>
              <w:drawing>
                <wp:anchor distT="0" distB="0" distL="114300" distR="114300" simplePos="0" relativeHeight="251715584" behindDoc="0" locked="0" layoutInCell="1" allowOverlap="1">
                  <wp:simplePos x="0" y="0"/>
                  <wp:positionH relativeFrom="column">
                    <wp:posOffset>381000</wp:posOffset>
                  </wp:positionH>
                  <wp:positionV relativeFrom="paragraph">
                    <wp:posOffset>3432175</wp:posOffset>
                  </wp:positionV>
                  <wp:extent cx="9525" cy="9525"/>
                  <wp:effectExtent l="0" t="0" r="0" b="0"/>
                  <wp:wrapNone/>
                  <wp:docPr id="21" name="直接连接符_5"/>
                  <wp:cNvGraphicFramePr/>
                  <a:graphic xmlns:a="http://schemas.openxmlformats.org/drawingml/2006/main">
                    <a:graphicData uri="http://schemas.openxmlformats.org/drawingml/2006/picture">
                      <pic:pic xmlns:pic="http://schemas.openxmlformats.org/drawingml/2006/picture">
                        <pic:nvPicPr>
                          <pic:cNvPr id="21" name="直接连接符_5"/>
                          <pic:cNvPicPr/>
                        </pic:nvPicPr>
                        <pic:blipFill>
                          <a:blip r:embed="rId15"/>
                          <a:stretch>
                            <a:fillRect/>
                          </a:stretch>
                        </pic:blipFill>
                        <pic:spPr>
                          <a:xfrm>
                            <a:off x="0" y="0"/>
                            <a:ext cx="9525" cy="9525"/>
                          </a:xfrm>
                          <a:prstGeom prst="rect">
                            <a:avLst/>
                          </a:prstGeom>
                          <a:noFill/>
                          <a:ln>
                            <a:noFill/>
                          </a:ln>
                        </pic:spPr>
                      </pic:pic>
                    </a:graphicData>
                  </a:graphic>
                </wp:anchor>
              </w:drawing>
            </w:r>
            <w:r>
              <w:rPr>
                <w:rFonts w:hint="eastAsia" w:ascii="宋体" w:hAnsi="宋体" w:eastAsia="宋体" w:cs="宋体"/>
                <w:i w:val="0"/>
                <w:color w:val="000000"/>
                <w:kern w:val="0"/>
                <w:sz w:val="20"/>
                <w:szCs w:val="20"/>
                <w:u w:val="none"/>
                <w:lang w:val="en-US" w:eastAsia="zh-CN" w:bidi="ar"/>
              </w:rPr>
              <w:t>项目绩效</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Layout w:type="fixed"/>
          <w:tblCellMar>
            <w:top w:w="0" w:type="dxa"/>
            <w:left w:w="0" w:type="dxa"/>
            <w:bottom w:w="0" w:type="dxa"/>
            <w:right w:w="0" w:type="dxa"/>
          </w:tblCellMar>
        </w:tblPrEx>
        <w:trPr>
          <w:trHeight w:val="80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Layout w:type="fixed"/>
          <w:tblCellMar>
            <w:top w:w="0" w:type="dxa"/>
            <w:left w:w="0" w:type="dxa"/>
            <w:bottom w:w="0" w:type="dxa"/>
            <w:right w:w="0" w:type="dxa"/>
          </w:tblCellMar>
        </w:tblPrEx>
        <w:trPr>
          <w:trHeight w:val="555"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Layout w:type="fixed"/>
          <w:tblCellMar>
            <w:top w:w="0" w:type="dxa"/>
            <w:left w:w="0" w:type="dxa"/>
            <w:bottom w:w="0" w:type="dxa"/>
            <w:right w:w="0" w:type="dxa"/>
          </w:tblCellMar>
        </w:tblPrEx>
        <w:trPr>
          <w:trHeight w:val="7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default"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提升人居生活环境及生活质量</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提升人居生活环境及生活质量</w:t>
            </w:r>
          </w:p>
        </w:tc>
      </w:tr>
      <w:tr>
        <w:tblPrEx>
          <w:tblLayout w:type="fixed"/>
          <w:tblCellMar>
            <w:top w:w="0" w:type="dxa"/>
            <w:left w:w="0" w:type="dxa"/>
            <w:bottom w:w="0" w:type="dxa"/>
            <w:right w:w="0" w:type="dxa"/>
          </w:tblCellMar>
        </w:tblPrEx>
        <w:trPr>
          <w:trHeight w:val="1276"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城市的整体形象得以提高，人居</w:t>
            </w:r>
            <w:r>
              <w:rPr>
                <w:rFonts w:hint="eastAsia" w:ascii="宋体" w:hAnsi="宋体" w:cs="宋体"/>
                <w:i w:val="0"/>
                <w:color w:val="000000"/>
                <w:kern w:val="0"/>
                <w:sz w:val="20"/>
                <w:szCs w:val="20"/>
                <w:u w:val="none"/>
                <w:lang w:val="en-US" w:eastAsia="zh-CN" w:bidi="ar"/>
              </w:rPr>
              <w:t>生活条件</w:t>
            </w:r>
            <w:r>
              <w:rPr>
                <w:rFonts w:hint="eastAsia" w:ascii="宋体" w:hAnsi="宋体" w:eastAsia="宋体" w:cs="宋体"/>
                <w:i w:val="0"/>
                <w:color w:val="000000"/>
                <w:kern w:val="0"/>
                <w:sz w:val="20"/>
                <w:szCs w:val="20"/>
                <w:u w:val="none"/>
                <w:lang w:val="en-US" w:eastAsia="zh-CN" w:bidi="ar"/>
              </w:rPr>
              <w:t>得以改善</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城市的整体形象得以提高，人居</w:t>
            </w:r>
            <w:r>
              <w:rPr>
                <w:rFonts w:hint="eastAsia" w:ascii="宋体" w:hAnsi="宋体" w:cs="宋体"/>
                <w:i w:val="0"/>
                <w:color w:val="000000"/>
                <w:kern w:val="0"/>
                <w:sz w:val="20"/>
                <w:szCs w:val="20"/>
                <w:u w:val="none"/>
                <w:lang w:val="en-US" w:eastAsia="zh-CN" w:bidi="ar"/>
              </w:rPr>
              <w:t>生活条件</w:t>
            </w:r>
            <w:r>
              <w:rPr>
                <w:rFonts w:hint="eastAsia" w:ascii="宋体" w:hAnsi="宋体" w:eastAsia="宋体" w:cs="宋体"/>
                <w:i w:val="0"/>
                <w:color w:val="000000"/>
                <w:kern w:val="0"/>
                <w:sz w:val="20"/>
                <w:szCs w:val="20"/>
                <w:u w:val="none"/>
                <w:lang w:val="en-US" w:eastAsia="zh-CN" w:bidi="ar"/>
              </w:rPr>
              <w:t>得以改善</w:t>
            </w:r>
          </w:p>
        </w:tc>
      </w:tr>
      <w:tr>
        <w:tblPrEx>
          <w:tblLayout w:type="fixed"/>
          <w:tblCellMar>
            <w:top w:w="0" w:type="dxa"/>
            <w:left w:w="0" w:type="dxa"/>
            <w:bottom w:w="0" w:type="dxa"/>
            <w:right w:w="0" w:type="dxa"/>
          </w:tblCellMar>
        </w:tblPrEx>
        <w:trPr>
          <w:trHeight w:val="72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城市的整体形象得以提高，人居</w:t>
            </w:r>
            <w:r>
              <w:rPr>
                <w:rFonts w:hint="eastAsia" w:ascii="宋体" w:hAnsi="宋体" w:cs="宋体"/>
                <w:i w:val="0"/>
                <w:color w:val="000000"/>
                <w:kern w:val="0"/>
                <w:sz w:val="20"/>
                <w:szCs w:val="20"/>
                <w:u w:val="none"/>
                <w:lang w:val="en-US" w:eastAsia="zh-CN" w:bidi="ar"/>
              </w:rPr>
              <w:t>生活条件</w:t>
            </w:r>
            <w:r>
              <w:rPr>
                <w:rFonts w:hint="eastAsia" w:ascii="宋体" w:hAnsi="宋体" w:eastAsia="宋体" w:cs="宋体"/>
                <w:i w:val="0"/>
                <w:color w:val="000000"/>
                <w:kern w:val="0"/>
                <w:sz w:val="20"/>
                <w:szCs w:val="20"/>
                <w:u w:val="none"/>
                <w:lang w:val="en-US" w:eastAsia="zh-CN" w:bidi="ar"/>
              </w:rPr>
              <w:t>得以改善</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城市的整体形象得以提高，人居</w:t>
            </w:r>
            <w:r>
              <w:rPr>
                <w:rFonts w:hint="eastAsia" w:ascii="宋体" w:hAnsi="宋体" w:cs="宋体"/>
                <w:i w:val="0"/>
                <w:color w:val="000000"/>
                <w:kern w:val="0"/>
                <w:sz w:val="20"/>
                <w:szCs w:val="20"/>
                <w:u w:val="none"/>
                <w:lang w:val="en-US" w:eastAsia="zh-CN" w:bidi="ar"/>
              </w:rPr>
              <w:t>生活条件</w:t>
            </w:r>
            <w:r>
              <w:rPr>
                <w:rFonts w:hint="eastAsia" w:ascii="宋体" w:hAnsi="宋体" w:eastAsia="宋体" w:cs="宋体"/>
                <w:i w:val="0"/>
                <w:color w:val="000000"/>
                <w:kern w:val="0"/>
                <w:sz w:val="20"/>
                <w:szCs w:val="20"/>
                <w:u w:val="none"/>
                <w:lang w:val="en-US" w:eastAsia="zh-CN" w:bidi="ar"/>
              </w:rPr>
              <w:t>得以改善</w:t>
            </w:r>
          </w:p>
        </w:tc>
      </w:tr>
      <w:tr>
        <w:tblPrEx>
          <w:tblLayout w:type="fixed"/>
          <w:tblCellMar>
            <w:top w:w="0" w:type="dxa"/>
            <w:left w:w="0" w:type="dxa"/>
            <w:bottom w:w="0" w:type="dxa"/>
            <w:right w:w="0" w:type="dxa"/>
          </w:tblCellMar>
        </w:tblPrEx>
        <w:trPr>
          <w:trHeight w:val="76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bottom"/>
          </w:tcPr>
          <w:p>
            <w:pPr>
              <w:jc w:val="center"/>
              <w:rPr>
                <w:rFonts w:hint="eastAsia" w:ascii="宋体" w:hAnsi="宋体" w:eastAsia="宋体" w:cs="宋体"/>
                <w:i w:val="0"/>
                <w:color w:val="000000"/>
                <w:sz w:val="20"/>
                <w:szCs w:val="20"/>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left"/>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来水厂目前有2台净水设备，设计处理能力300t/h,现在实际处理能力为200t/h，一座尘沙池（主要用于暴气处理铁锰）等相关设备</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left"/>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来水厂目前有2台净水设备，设计处理能力300t/h,现在实际处理能力为200t/h，一座尘沙池（主要用于暴气处理铁锰）等相关设备</w:t>
            </w:r>
          </w:p>
        </w:tc>
      </w:tr>
      <w:tr>
        <w:tblPrEx>
          <w:tblLayout w:type="fixed"/>
          <w:tblCellMar>
            <w:top w:w="0" w:type="dxa"/>
            <w:left w:w="0" w:type="dxa"/>
            <w:bottom w:w="0" w:type="dxa"/>
            <w:right w:w="0" w:type="dxa"/>
          </w:tblCellMar>
        </w:tblPrEx>
        <w:trPr>
          <w:trHeight w:val="1080" w:hRule="atLeast"/>
        </w:trPr>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_GB2312" w:hAnsi="宋体" w:eastAsia="仿宋_GB2312" w:cs="仿宋_GB2312"/>
                <w:i w:val="0"/>
                <w:color w:val="000000"/>
                <w:sz w:val="24"/>
                <w:szCs w:val="24"/>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extDirection w:val="tbRlV"/>
            <w:vAlign w:val="center"/>
          </w:tcPr>
          <w:p>
            <w:pPr>
              <w:rPr>
                <w:rFonts w:hint="eastAsia" w:ascii="宋体" w:hAnsi="宋体" w:eastAsia="宋体" w:cs="宋体"/>
                <w:i w:val="0"/>
                <w:color w:val="000000"/>
                <w:sz w:val="20"/>
                <w:szCs w:val="20"/>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86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群众满意度高，使用效益高</w:t>
            </w:r>
          </w:p>
        </w:tc>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群众满意度高，使用效益高</w:t>
            </w:r>
          </w:p>
        </w:tc>
      </w:tr>
    </w:tbl>
    <w:p>
      <w:pPr>
        <w:numPr>
          <w:ilvl w:val="0"/>
          <w:numId w:val="0"/>
        </w:numPr>
        <w:spacing w:line="580" w:lineRule="exact"/>
        <w:rPr>
          <w:rFonts w:ascii="仿宋" w:hAnsi="仿宋" w:eastAsia="仿宋" w:cs="仿宋_GB2312"/>
          <w:sz w:val="32"/>
          <w:szCs w:val="32"/>
        </w:rPr>
      </w:pPr>
    </w:p>
    <w:p>
      <w:pPr>
        <w:numPr>
          <w:ilvl w:val="0"/>
          <w:numId w:val="5"/>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val="en-US" w:eastAsia="zh-CN"/>
        </w:rPr>
        <w:t>红原县城乡规划建设和住房保障局</w:t>
      </w:r>
      <w:r>
        <w:rPr>
          <w:rFonts w:hint="eastAsia" w:ascii="仿宋_GB2312" w:hAnsi="仿宋_GB2312" w:eastAsia="仿宋_GB2312" w:cs="仿宋_GB2312"/>
          <w:sz w:val="32"/>
          <w:szCs w:val="32"/>
        </w:rPr>
        <w:t>部门2018年部门整体支出绩效评价报告》见附件。</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本部门自行组织对</w:t>
      </w:r>
      <w:r>
        <w:rPr>
          <w:rFonts w:hint="eastAsia" w:ascii="仿宋_GB2312" w:hAnsi="仿宋_GB2312" w:eastAsia="仿宋_GB2312" w:cs="仿宋_GB2312"/>
          <w:sz w:val="32"/>
          <w:szCs w:val="32"/>
          <w:lang w:val="en-US" w:eastAsia="zh-CN"/>
        </w:rPr>
        <w:t>红原县绿色经济产业园区基础设施建设</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红原县自来水厂、污水处理厂运营管理费用</w:t>
      </w:r>
      <w:r>
        <w:rPr>
          <w:rFonts w:hint="eastAsia" w:ascii="仿宋_GB2312" w:hAnsi="仿宋_GB2312" w:eastAsia="仿宋_GB2312" w:cs="仿宋_GB2312"/>
          <w:sz w:val="32"/>
          <w:szCs w:val="32"/>
        </w:rPr>
        <w:t>项目开展了绩效评价，《</w:t>
      </w:r>
      <w:r>
        <w:rPr>
          <w:rFonts w:hint="eastAsia" w:ascii="仿宋_GB2312" w:hAnsi="仿宋_GB2312" w:eastAsia="仿宋_GB2312" w:cs="仿宋_GB2312"/>
          <w:sz w:val="32"/>
          <w:szCs w:val="32"/>
          <w:lang w:val="en-US" w:eastAsia="zh-CN"/>
        </w:rPr>
        <w:t>红原县绿色经济产业园区基础设施建设项目</w:t>
      </w:r>
      <w:r>
        <w:rPr>
          <w:rFonts w:hint="eastAsia" w:ascii="仿宋_GB2312" w:hAnsi="仿宋_GB2312" w:eastAsia="仿宋_GB2312" w:cs="仿宋_GB2312"/>
          <w:sz w:val="32"/>
          <w:szCs w:val="32"/>
        </w:rPr>
        <w:t>2018年绩效评价报告》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红原县红原县自来水厂、污水处理厂运营管理费用项目</w:t>
      </w:r>
      <w:r>
        <w:rPr>
          <w:rFonts w:hint="eastAsia" w:ascii="仿宋_GB2312" w:hAnsi="仿宋_GB2312" w:eastAsia="仿宋_GB2312" w:cs="仿宋_GB2312"/>
          <w:sz w:val="32"/>
          <w:szCs w:val="32"/>
        </w:rPr>
        <w:t>2018年绩效评价报告》见附件。</w:t>
      </w:r>
    </w:p>
    <w:p>
      <w:pPr>
        <w:spacing w:line="600" w:lineRule="exact"/>
        <w:ind w:firstLine="640" w:firstLineChars="200"/>
        <w:outlineLvl w:val="1"/>
        <w:rPr>
          <w:rStyle w:val="27"/>
          <w:rFonts w:ascii="黑体" w:hAnsi="黑体" w:eastAsia="黑体"/>
        </w:rPr>
      </w:pPr>
      <w:bookmarkStart w:id="54" w:name="_Toc15396612"/>
      <w:bookmarkStart w:id="55" w:name="_Toc15377221"/>
      <w:r>
        <w:rPr>
          <w:rFonts w:hint="eastAsia" w:ascii="黑体" w:hAnsi="黑体" w:eastAsia="黑体"/>
          <w:color w:val="000000"/>
          <w:sz w:val="32"/>
          <w:szCs w:val="32"/>
        </w:rPr>
        <w:t>十</w:t>
      </w:r>
      <w:r>
        <w:rPr>
          <w:rStyle w:val="27"/>
          <w:rFonts w:hint="eastAsia" w:ascii="黑体" w:hAnsi="黑体" w:eastAsia="黑体"/>
        </w:rPr>
        <w:t>一、</w:t>
      </w:r>
      <w:r>
        <w:rPr>
          <w:rStyle w:val="27"/>
          <w:rFonts w:hint="eastAsia" w:ascii="黑体" w:hAnsi="黑体" w:eastAsia="黑体"/>
          <w:b w:val="0"/>
        </w:rPr>
        <w:t>其他重要事项的情况说明</w:t>
      </w:r>
      <w:bookmarkEnd w:id="54"/>
      <w:bookmarkEnd w:id="55"/>
    </w:p>
    <w:p>
      <w:pPr>
        <w:spacing w:line="600" w:lineRule="exact"/>
        <w:ind w:firstLine="643" w:firstLineChars="200"/>
        <w:outlineLvl w:val="2"/>
        <w:rPr>
          <w:rFonts w:ascii="仿宋" w:hAnsi="仿宋" w:eastAsia="仿宋"/>
          <w:color w:val="000000"/>
          <w:sz w:val="32"/>
          <w:szCs w:val="32"/>
        </w:rPr>
      </w:pPr>
      <w:bookmarkStart w:id="56" w:name="_Toc15377222"/>
      <w:r>
        <w:rPr>
          <w:rFonts w:hint="eastAsia" w:ascii="仿宋" w:hAnsi="仿宋" w:eastAsia="仿宋"/>
          <w:b/>
          <w:color w:val="000000"/>
          <w:sz w:val="32"/>
          <w:szCs w:val="32"/>
        </w:rPr>
        <w:t>（一）机关运行经费支出情况</w:t>
      </w:r>
      <w:bookmarkEnd w:id="56"/>
    </w:p>
    <w:p>
      <w:pPr>
        <w:spacing w:line="600" w:lineRule="exact"/>
        <w:ind w:firstLine="640" w:firstLineChars="200"/>
        <w:rPr>
          <w:rFonts w:hint="default" w:ascii="仿宋_GB2312" w:eastAsia="仿宋_GB2312"/>
          <w:color w:val="000000" w:themeColor="text1"/>
          <w:sz w:val="32"/>
          <w:szCs w:val="32"/>
          <w:lang w:val="en-US" w:eastAsia="zh-CN"/>
          <w14:textFill>
            <w14:solidFill>
              <w14:schemeClr w14:val="tx1"/>
            </w14:solidFill>
          </w14:textFill>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val="en-US" w:eastAsia="zh-CN"/>
        </w:rPr>
        <w:t>红原县住房和城乡建设局</w:t>
      </w:r>
      <w:r>
        <w:rPr>
          <w:rFonts w:hint="eastAsia" w:ascii="仿宋_GB2312" w:eastAsia="仿宋_GB2312"/>
          <w:color w:val="000000"/>
          <w:sz w:val="32"/>
          <w:szCs w:val="32"/>
        </w:rPr>
        <w:t>机关运行经费支出</w:t>
      </w:r>
      <w:r>
        <w:rPr>
          <w:rFonts w:hint="eastAsia" w:ascii="仿宋_GB2312" w:eastAsia="仿宋_GB2312"/>
          <w:color w:val="000000"/>
          <w:sz w:val="32"/>
          <w:szCs w:val="32"/>
          <w:lang w:val="en-US" w:eastAsia="zh-CN"/>
        </w:rPr>
        <w:t>51.4</w:t>
      </w:r>
      <w:r>
        <w:rPr>
          <w:rFonts w:hint="eastAsia" w:ascii="仿宋_GB2312" w:eastAsia="仿宋_GB2312"/>
          <w:color w:val="000000"/>
          <w:sz w:val="32"/>
          <w:szCs w:val="32"/>
        </w:rPr>
        <w:t>万元，比</w:t>
      </w:r>
      <w:r>
        <w:rPr>
          <w:rFonts w:ascii="仿宋_GB2312" w:eastAsia="仿宋_GB2312"/>
          <w:color w:val="000000"/>
          <w:sz w:val="32"/>
          <w:szCs w:val="32"/>
        </w:rPr>
        <w:t>201</w:t>
      </w:r>
      <w:r>
        <w:rPr>
          <w:rFonts w:hint="eastAsia" w:ascii="仿宋_GB2312" w:eastAsia="仿宋_GB2312"/>
          <w:color w:val="000000"/>
          <w:sz w:val="32"/>
          <w:szCs w:val="32"/>
        </w:rPr>
        <w:t>7年减少</w:t>
      </w:r>
      <w:r>
        <w:rPr>
          <w:rFonts w:hint="eastAsia" w:ascii="仿宋_GB2312" w:eastAsia="仿宋_GB2312"/>
          <w:color w:val="000000"/>
          <w:sz w:val="32"/>
          <w:szCs w:val="32"/>
          <w:lang w:val="en-US" w:eastAsia="zh-CN"/>
        </w:rPr>
        <w:t>75.1</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131</w:t>
      </w:r>
      <w:r>
        <w:rPr>
          <w:rFonts w:ascii="仿宋_GB2312" w:eastAsia="仿宋_GB2312"/>
          <w:color w:val="000000"/>
          <w:sz w:val="32"/>
          <w:szCs w:val="32"/>
        </w:rPr>
        <w:t>%</w:t>
      </w:r>
      <w:r>
        <w:rPr>
          <w:rFonts w:hint="eastAsia" w:ascii="仿宋_GB2312" w:eastAsia="仿宋_GB2312"/>
          <w:color w:val="000000"/>
          <w:sz w:val="32"/>
          <w:szCs w:val="32"/>
        </w:rPr>
        <w:t>。</w:t>
      </w:r>
      <w:r>
        <w:rPr>
          <w:rFonts w:hint="eastAsia" w:ascii="仿宋_GB2312" w:eastAsia="仿宋_GB2312"/>
          <w:color w:val="000000" w:themeColor="text1"/>
          <w:sz w:val="32"/>
          <w:szCs w:val="32"/>
          <w14:textFill>
            <w14:solidFill>
              <w14:schemeClr w14:val="tx1"/>
            </w14:solidFill>
          </w14:textFill>
        </w:rPr>
        <w:t>主要原因是</w:t>
      </w:r>
      <w:r>
        <w:rPr>
          <w:rFonts w:hint="eastAsia" w:ascii="仿宋_GB2312" w:eastAsia="仿宋_GB2312"/>
          <w:color w:val="000000" w:themeColor="text1"/>
          <w:sz w:val="32"/>
          <w:szCs w:val="32"/>
          <w:lang w:val="en-US" w:eastAsia="zh-CN"/>
          <w14:textFill>
            <w14:solidFill>
              <w14:schemeClr w14:val="tx1"/>
            </w14:solidFill>
          </w14:textFill>
        </w:rPr>
        <w:t>委托业务费用支出减少。</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7" w:name="_Toc15377223"/>
      <w:r>
        <w:rPr>
          <w:rFonts w:hint="eastAsia" w:ascii="仿宋" w:hAnsi="仿宋" w:eastAsia="仿宋"/>
          <w:b/>
          <w:color w:val="000000"/>
          <w:sz w:val="32"/>
          <w:szCs w:val="32"/>
        </w:rPr>
        <w:t>（二）政府采购支出情况</w:t>
      </w:r>
      <w:bookmarkEnd w:id="57"/>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val="en-US" w:eastAsia="zh-CN"/>
        </w:rPr>
        <w:t>红原县住房和城乡建设局</w:t>
      </w:r>
      <w:r>
        <w:rPr>
          <w:rFonts w:hint="eastAsia" w:ascii="仿宋_GB2312" w:eastAsia="仿宋_GB2312"/>
          <w:color w:val="000000"/>
          <w:sz w:val="32"/>
          <w:szCs w:val="32"/>
        </w:rPr>
        <w:t>政府采购支出总额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8" w:name="_Toc15377224"/>
      <w:r>
        <w:rPr>
          <w:rFonts w:hint="eastAsia" w:ascii="仿宋" w:hAnsi="仿宋" w:eastAsia="仿宋"/>
          <w:b/>
          <w:color w:val="000000"/>
          <w:sz w:val="32"/>
          <w:szCs w:val="32"/>
        </w:rPr>
        <w:t>（三）国有资产占有使用情况</w:t>
      </w:r>
      <w:bookmarkEnd w:id="58"/>
    </w:p>
    <w:p>
      <w:pPr>
        <w:keepNext w:val="0"/>
        <w:keepLines w:val="0"/>
        <w:pageBreakBefore w:val="0"/>
        <w:kinsoku/>
        <w:wordWrap/>
        <w:overflowPunct/>
        <w:topLinePunct w:val="0"/>
        <w:bidi w:val="0"/>
        <w:spacing w:line="560" w:lineRule="exact"/>
        <w:ind w:left="0" w:leftChars="0" w:right="0" w:rightChars="0" w:firstLine="640"/>
        <w:textAlignment w:val="auto"/>
        <w:outlineLvl w:val="9"/>
        <w:rPr>
          <w:rFonts w:hint="eastAsia" w:ascii="仿宋_GB2312" w:hAnsi="仿宋_GB2312" w:eastAsia="仿宋_GB2312" w:cs="仿宋_GB2312"/>
          <w:bCs/>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hAnsi="仿宋_GB2312" w:eastAsia="仿宋_GB2312" w:cs="仿宋_GB2312"/>
          <w:bCs/>
          <w:sz w:val="32"/>
          <w:szCs w:val="32"/>
        </w:rPr>
        <w:t>我单位共有资产</w:t>
      </w:r>
      <w:r>
        <w:rPr>
          <w:rFonts w:hint="eastAsia" w:ascii="仿宋_GB2312" w:hAnsi="仿宋_GB2312" w:eastAsia="仿宋_GB2312" w:cs="仿宋_GB2312"/>
          <w:bCs/>
          <w:sz w:val="32"/>
          <w:szCs w:val="32"/>
          <w:lang w:eastAsia="zh-CN"/>
        </w:rPr>
        <w:t>708</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lang w:eastAsia="zh-CN"/>
        </w:rPr>
        <w:t>7</w:t>
      </w:r>
      <w:r>
        <w:rPr>
          <w:rFonts w:hint="eastAsia" w:ascii="仿宋_GB2312" w:hAnsi="仿宋_GB2312" w:eastAsia="仿宋_GB2312" w:cs="仿宋_GB2312"/>
          <w:bCs/>
          <w:sz w:val="32"/>
          <w:szCs w:val="32"/>
          <w:lang w:val="en-US" w:eastAsia="zh-CN"/>
        </w:rPr>
        <w:t>5万</w:t>
      </w:r>
      <w:r>
        <w:rPr>
          <w:rFonts w:hint="eastAsia" w:ascii="仿宋_GB2312" w:hAnsi="仿宋_GB2312" w:eastAsia="仿宋_GB2312" w:cs="仿宋_GB2312"/>
          <w:bCs/>
          <w:sz w:val="32"/>
          <w:szCs w:val="32"/>
        </w:rPr>
        <w:t>元，其中流动资产</w:t>
      </w:r>
      <w:r>
        <w:rPr>
          <w:rFonts w:hint="eastAsia" w:ascii="仿宋_GB2312" w:hAnsi="仿宋_GB2312" w:eastAsia="仿宋_GB2312" w:cs="仿宋_GB2312"/>
          <w:bCs/>
          <w:sz w:val="32"/>
          <w:szCs w:val="32"/>
          <w:lang w:val="en-US" w:eastAsia="zh-CN"/>
        </w:rPr>
        <w:t>0万</w:t>
      </w:r>
      <w:r>
        <w:rPr>
          <w:rFonts w:hint="eastAsia" w:ascii="仿宋_GB2312" w:hAnsi="仿宋_GB2312" w:eastAsia="仿宋_GB2312" w:cs="仿宋_GB2312"/>
          <w:bCs/>
          <w:sz w:val="32"/>
          <w:szCs w:val="32"/>
        </w:rPr>
        <w:t>元，固定资产</w:t>
      </w:r>
      <w:r>
        <w:rPr>
          <w:rFonts w:hint="eastAsia" w:ascii="仿宋_GB2312" w:hAnsi="仿宋_GB2312" w:eastAsia="仿宋_GB2312" w:cs="仿宋_GB2312"/>
          <w:bCs/>
          <w:sz w:val="32"/>
          <w:szCs w:val="32"/>
          <w:lang w:eastAsia="zh-CN"/>
        </w:rPr>
        <w:t>708</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lang w:eastAsia="zh-CN"/>
        </w:rPr>
        <w:t>7</w:t>
      </w:r>
      <w:r>
        <w:rPr>
          <w:rFonts w:hint="eastAsia" w:ascii="仿宋_GB2312" w:hAnsi="仿宋_GB2312" w:eastAsia="仿宋_GB2312" w:cs="仿宋_GB2312"/>
          <w:bCs/>
          <w:sz w:val="32"/>
          <w:szCs w:val="32"/>
          <w:lang w:val="en-US" w:eastAsia="zh-CN"/>
        </w:rPr>
        <w:t>5万</w:t>
      </w:r>
      <w:r>
        <w:rPr>
          <w:rFonts w:hint="eastAsia" w:ascii="仿宋_GB2312" w:hAnsi="仿宋_GB2312" w:eastAsia="仿宋_GB2312" w:cs="仿宋_GB2312"/>
          <w:bCs/>
          <w:sz w:val="32"/>
          <w:szCs w:val="32"/>
        </w:rPr>
        <w:t>元（房屋</w:t>
      </w:r>
      <w:r>
        <w:rPr>
          <w:rFonts w:hint="eastAsia" w:ascii="仿宋_GB2312" w:hAnsi="仿宋_GB2312" w:eastAsia="仿宋_GB2312" w:cs="仿宋_GB2312"/>
          <w:bCs/>
          <w:sz w:val="32"/>
          <w:szCs w:val="32"/>
          <w:lang w:val="en-US" w:eastAsia="zh-CN"/>
        </w:rPr>
        <w:t>78.88万元</w:t>
      </w:r>
      <w:r>
        <w:rPr>
          <w:rFonts w:hint="eastAsia" w:ascii="仿宋_GB2312" w:hAnsi="仿宋_GB2312" w:eastAsia="仿宋_GB2312" w:cs="仿宋_GB2312"/>
          <w:bCs/>
          <w:sz w:val="32"/>
          <w:szCs w:val="32"/>
        </w:rPr>
        <w:t>元，汽车</w:t>
      </w:r>
      <w:r>
        <w:rPr>
          <w:rFonts w:hint="eastAsia" w:ascii="仿宋_GB2312" w:hAnsi="仿宋_GB2312" w:eastAsia="仿宋_GB2312" w:cs="仿宋_GB2312"/>
          <w:bCs/>
          <w:sz w:val="32"/>
          <w:szCs w:val="32"/>
          <w:lang w:eastAsia="zh-CN"/>
        </w:rPr>
        <w:t>27</w:t>
      </w:r>
      <w:r>
        <w:rPr>
          <w:rFonts w:hint="eastAsia" w:ascii="仿宋_GB2312" w:hAnsi="仿宋_GB2312" w:eastAsia="仿宋_GB2312" w:cs="仿宋_GB2312"/>
          <w:bCs/>
          <w:sz w:val="32"/>
          <w:szCs w:val="32"/>
        </w:rPr>
        <w:t>辆，价值</w:t>
      </w:r>
      <w:r>
        <w:rPr>
          <w:rFonts w:hint="eastAsia" w:ascii="仿宋_GB2312" w:hAnsi="仿宋_GB2312" w:eastAsia="仿宋_GB2312" w:cs="仿宋_GB2312"/>
          <w:bCs/>
          <w:sz w:val="32"/>
          <w:szCs w:val="32"/>
          <w:lang w:eastAsia="zh-CN"/>
        </w:rPr>
        <w:t>459</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lang w:eastAsia="zh-CN"/>
        </w:rPr>
        <w:t>7</w:t>
      </w:r>
      <w:r>
        <w:rPr>
          <w:rFonts w:hint="eastAsia" w:ascii="仿宋_GB2312" w:hAnsi="仿宋_GB2312" w:eastAsia="仿宋_GB2312" w:cs="仿宋_GB2312"/>
          <w:bCs/>
          <w:sz w:val="32"/>
          <w:szCs w:val="32"/>
          <w:lang w:val="en-US" w:eastAsia="zh-CN"/>
        </w:rPr>
        <w:t>4万</w:t>
      </w:r>
      <w:r>
        <w:rPr>
          <w:rFonts w:hint="eastAsia" w:ascii="仿宋_GB2312" w:hAnsi="仿宋_GB2312" w:eastAsia="仿宋_GB2312" w:cs="仿宋_GB2312"/>
          <w:bCs/>
          <w:sz w:val="32"/>
          <w:szCs w:val="32"/>
        </w:rPr>
        <w:t>元，其他固定资产</w:t>
      </w:r>
      <w:r>
        <w:rPr>
          <w:rFonts w:hint="eastAsia" w:ascii="仿宋_GB2312" w:hAnsi="仿宋_GB2312" w:eastAsia="仿宋_GB2312" w:cs="仿宋_GB2312"/>
          <w:bCs/>
          <w:sz w:val="32"/>
          <w:szCs w:val="32"/>
          <w:lang w:val="en-US" w:eastAsia="zh-CN"/>
        </w:rPr>
        <w:t>170.13万</w:t>
      </w:r>
      <w:r>
        <w:rPr>
          <w:rFonts w:hint="eastAsia" w:ascii="仿宋_GB2312" w:hAnsi="仿宋_GB2312" w:eastAsia="仿宋_GB2312" w:cs="仿宋_GB2312"/>
          <w:bCs/>
          <w:sz w:val="32"/>
          <w:szCs w:val="32"/>
        </w:rPr>
        <w:t>元）。</w:t>
      </w:r>
    </w:p>
    <w:p>
      <w:pPr>
        <w:autoSpaceDE w:val="0"/>
        <w:autoSpaceDN w:val="0"/>
        <w:adjustRightInd w:val="0"/>
        <w:spacing w:line="600" w:lineRule="exact"/>
        <w:ind w:firstLine="640" w:firstLineChars="200"/>
        <w:jc w:val="left"/>
        <w:rPr>
          <w:rFonts w:ascii="仿宋_GB2312" w:eastAsia="仿宋_GB2312"/>
          <w:color w:val="000000"/>
          <w:sz w:val="32"/>
          <w:szCs w:val="32"/>
        </w:rPr>
      </w:pP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6"/>
        </w:numPr>
        <w:spacing w:line="600" w:lineRule="exact"/>
        <w:ind w:firstLine="663" w:firstLineChars="150"/>
        <w:jc w:val="center"/>
        <w:outlineLvl w:val="0"/>
        <w:rPr>
          <w:rStyle w:val="26"/>
          <w:rFonts w:ascii="黑体" w:hAnsi="黑体" w:eastAsia="黑体"/>
          <w:b w:val="0"/>
        </w:rPr>
      </w:pPr>
      <w:bookmarkStart w:id="59" w:name="_Toc15396613"/>
      <w:bookmarkStart w:id="60" w:name="_Toc15377225"/>
      <w:r>
        <w:rPr>
          <w:rFonts w:hint="eastAsia" w:ascii="黑体" w:hAnsi="黑体" w:eastAsia="黑体"/>
          <w:b/>
          <w:color w:val="000000"/>
          <w:sz w:val="44"/>
          <w:szCs w:val="44"/>
        </w:rPr>
        <w:t>名</w:t>
      </w:r>
      <w:r>
        <w:rPr>
          <w:rStyle w:val="26"/>
          <w:rFonts w:hint="eastAsia" w:ascii="黑体" w:hAnsi="黑体" w:eastAsia="黑体"/>
          <w:b w:val="0"/>
        </w:rPr>
        <w:t>词解释</w:t>
      </w:r>
      <w:bookmarkEnd w:id="59"/>
      <w:bookmarkEnd w:id="60"/>
    </w:p>
    <w:p>
      <w:pPr>
        <w:spacing w:line="600" w:lineRule="exact"/>
        <w:jc w:val="left"/>
        <w:rPr>
          <w:rFonts w:ascii="宋体"/>
          <w:b/>
          <w:color w:val="000000"/>
          <w:sz w:val="44"/>
          <w:szCs w:val="44"/>
        </w:rPr>
      </w:pPr>
    </w:p>
    <w:p>
      <w:pPr>
        <w:pStyle w:val="24"/>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4"/>
        <w:spacing w:line="560" w:lineRule="exact"/>
        <w:ind w:firstLine="640" w:firstLineChars="200"/>
        <w:rPr>
          <w:rFonts w:hint="eastAsia" w:ascii="仿宋_GB2312" w:eastAsia="仿宋_GB2312"/>
          <w:sz w:val="32"/>
          <w:szCs w:val="32"/>
          <w:lang w:eastAsia="zh-CN"/>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r>
        <w:rPr>
          <w:rFonts w:hint="eastAsia" w:ascii="仿宋_GB2312" w:eastAsia="仿宋_GB2312"/>
          <w:sz w:val="32"/>
          <w:szCs w:val="32"/>
          <w:lang w:eastAsia="zh-CN"/>
        </w:rPr>
        <w:t>。</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9</w:t>
      </w:r>
      <w:r>
        <w:rPr>
          <w:rFonts w:ascii="仿宋_GB2312" w:eastAsia="仿宋_GB2312"/>
          <w:color w:val="000000"/>
          <w:sz w:val="32"/>
          <w:szCs w:val="32"/>
        </w:rPr>
        <w:t>.</w:t>
      </w:r>
      <w:r>
        <w:rPr>
          <w:rFonts w:hint="eastAsia" w:ascii="仿宋_GB2312" w:eastAsia="仿宋_GB2312"/>
          <w:color w:val="000000"/>
          <w:sz w:val="32"/>
          <w:szCs w:val="32"/>
        </w:rPr>
        <w:t>社会保障和就业208</w:t>
      </w:r>
      <w:r>
        <w:rPr>
          <w:rFonts w:hint="eastAsia" w:ascii="仿宋_GB2312" w:eastAsia="仿宋_GB2312"/>
          <w:color w:val="000000"/>
          <w:sz w:val="32"/>
          <w:szCs w:val="32"/>
          <w:lang w:val="en-US" w:eastAsia="zh-CN"/>
        </w:rPr>
        <w:t>0506</w:t>
      </w:r>
      <w:r>
        <w:rPr>
          <w:rFonts w:hint="eastAsia" w:ascii="仿宋_GB2312" w:eastAsia="仿宋_GB2312"/>
          <w:color w:val="000000"/>
          <w:sz w:val="32"/>
          <w:szCs w:val="32"/>
        </w:rPr>
        <w:t>：指</w:t>
      </w:r>
      <w:r>
        <w:rPr>
          <w:rFonts w:hint="eastAsia" w:ascii="仿宋_GB2312" w:eastAsia="仿宋_GB2312"/>
          <w:color w:val="000000"/>
          <w:sz w:val="32"/>
          <w:szCs w:val="32"/>
          <w:lang w:val="en-US" w:eastAsia="zh-CN"/>
        </w:rPr>
        <w:t>反应机关事业单位养老保险、职业年金等缴费支出</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10</w:t>
      </w:r>
      <w:r>
        <w:rPr>
          <w:rFonts w:ascii="仿宋_GB2312" w:eastAsia="仿宋_GB2312"/>
          <w:color w:val="000000"/>
          <w:sz w:val="32"/>
          <w:szCs w:val="32"/>
        </w:rPr>
        <w:t>.</w:t>
      </w:r>
      <w:r>
        <w:rPr>
          <w:rFonts w:hint="eastAsia" w:ascii="仿宋_GB2312" w:eastAsia="仿宋_GB2312"/>
          <w:color w:val="000000"/>
          <w:sz w:val="32"/>
          <w:szCs w:val="32"/>
        </w:rPr>
        <w:t>医疗卫生与计划生育210</w:t>
      </w:r>
      <w:r>
        <w:rPr>
          <w:rFonts w:hint="eastAsia" w:ascii="仿宋_GB2312" w:eastAsia="仿宋_GB2312"/>
          <w:color w:val="000000"/>
          <w:sz w:val="32"/>
          <w:szCs w:val="32"/>
          <w:lang w:val="en-US" w:eastAsia="zh-CN"/>
        </w:rPr>
        <w:t>1101</w:t>
      </w:r>
      <w:r>
        <w:rPr>
          <w:rFonts w:hint="eastAsia" w:ascii="仿宋_GB2312" w:eastAsia="仿宋_GB2312"/>
          <w:color w:val="000000"/>
          <w:sz w:val="32"/>
          <w:szCs w:val="32"/>
        </w:rPr>
        <w:t>：指</w:t>
      </w:r>
      <w:r>
        <w:rPr>
          <w:rFonts w:hint="eastAsia" w:ascii="仿宋_GB2312" w:eastAsia="仿宋_GB2312"/>
          <w:color w:val="000000"/>
          <w:sz w:val="32"/>
          <w:szCs w:val="32"/>
          <w:lang w:val="en-US" w:eastAsia="zh-CN"/>
        </w:rPr>
        <w:t>反应行政单位医疗方面的支出</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11</w:t>
      </w:r>
      <w:r>
        <w:rPr>
          <w:rFonts w:ascii="仿宋_GB2312" w:eastAsia="仿宋_GB2312"/>
          <w:color w:val="000000"/>
          <w:sz w:val="32"/>
          <w:szCs w:val="32"/>
        </w:rPr>
        <w:t>.</w:t>
      </w:r>
      <w:r>
        <w:rPr>
          <w:rFonts w:hint="eastAsia" w:ascii="仿宋_GB2312" w:eastAsia="仿宋_GB2312"/>
          <w:color w:val="000000"/>
          <w:sz w:val="32"/>
          <w:szCs w:val="32"/>
        </w:rPr>
        <w:t>节能环保</w:t>
      </w:r>
      <w:r>
        <w:rPr>
          <w:rFonts w:hint="eastAsia" w:ascii="仿宋_GB2312" w:eastAsia="仿宋_GB2312"/>
          <w:color w:val="000000"/>
          <w:sz w:val="32"/>
          <w:szCs w:val="32"/>
          <w:lang w:val="en-US" w:eastAsia="zh-CN"/>
        </w:rPr>
        <w:t>2110401</w:t>
      </w:r>
      <w:r>
        <w:rPr>
          <w:rFonts w:hint="eastAsia" w:ascii="仿宋_GB2312" w:eastAsia="仿宋_GB2312"/>
          <w:color w:val="000000"/>
          <w:sz w:val="32"/>
          <w:szCs w:val="32"/>
        </w:rPr>
        <w:t>：指</w:t>
      </w:r>
      <w:r>
        <w:rPr>
          <w:rFonts w:hint="eastAsia" w:ascii="仿宋_GB2312" w:eastAsia="仿宋_GB2312"/>
          <w:color w:val="000000"/>
          <w:sz w:val="32"/>
          <w:szCs w:val="32"/>
          <w:lang w:val="en-US" w:eastAsia="zh-CN"/>
        </w:rPr>
        <w:t>反应用于生态保护区、生态示范区、生态省管理及能力建设日常管护、宣教、试点示范等支出，生态修复支出，资源开发生态监管等支出</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12</w:t>
      </w:r>
      <w:r>
        <w:rPr>
          <w:rFonts w:ascii="仿宋_GB2312" w:eastAsia="仿宋_GB2312"/>
          <w:color w:val="000000"/>
          <w:sz w:val="32"/>
          <w:szCs w:val="32"/>
        </w:rPr>
        <w:t>.</w:t>
      </w:r>
      <w:r>
        <w:rPr>
          <w:rFonts w:hint="eastAsia" w:ascii="仿宋_GB2312" w:eastAsia="仿宋_GB2312"/>
          <w:color w:val="000000"/>
          <w:sz w:val="32"/>
          <w:szCs w:val="32"/>
        </w:rPr>
        <w:t>城乡社区</w:t>
      </w:r>
      <w:r>
        <w:rPr>
          <w:rFonts w:hint="eastAsia" w:ascii="仿宋_GB2312" w:eastAsia="仿宋_GB2312"/>
          <w:color w:val="000000"/>
          <w:sz w:val="32"/>
          <w:szCs w:val="32"/>
          <w:lang w:val="en-US" w:eastAsia="zh-CN"/>
        </w:rPr>
        <w:t>2121399</w:t>
      </w:r>
      <w:r>
        <w:rPr>
          <w:rFonts w:hint="eastAsia" w:ascii="仿宋_GB2312" w:eastAsia="仿宋_GB2312"/>
          <w:color w:val="000000"/>
          <w:sz w:val="32"/>
          <w:szCs w:val="32"/>
        </w:rPr>
        <w:t>：指</w:t>
      </w:r>
      <w:r>
        <w:rPr>
          <w:rFonts w:hint="eastAsia" w:ascii="仿宋_GB2312" w:eastAsia="仿宋_GB2312"/>
          <w:color w:val="000000"/>
          <w:sz w:val="32"/>
          <w:szCs w:val="32"/>
          <w:lang w:val="en-US" w:eastAsia="zh-CN"/>
        </w:rPr>
        <w:t>反映行政单位的基本支出或未单独设置项级科目的其他项目支出</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13</w:t>
      </w:r>
      <w:r>
        <w:rPr>
          <w:rFonts w:ascii="仿宋_GB2312" w:eastAsia="仿宋_GB2312"/>
          <w:color w:val="000000"/>
          <w:sz w:val="32"/>
          <w:szCs w:val="32"/>
        </w:rPr>
        <w:t>.</w:t>
      </w:r>
      <w:r>
        <w:rPr>
          <w:rFonts w:hint="eastAsia" w:ascii="仿宋_GB2312" w:eastAsia="仿宋_GB2312"/>
          <w:color w:val="000000"/>
          <w:sz w:val="32"/>
          <w:szCs w:val="32"/>
        </w:rPr>
        <w:t>农林水</w:t>
      </w:r>
      <w:r>
        <w:rPr>
          <w:rFonts w:hint="eastAsia" w:ascii="仿宋_GB2312" w:eastAsia="仿宋_GB2312"/>
          <w:color w:val="000000"/>
          <w:sz w:val="32"/>
          <w:szCs w:val="32"/>
          <w:lang w:val="en-US" w:eastAsia="zh-CN"/>
        </w:rPr>
        <w:t>2139999</w:t>
      </w:r>
      <w:r>
        <w:rPr>
          <w:rFonts w:hint="eastAsia" w:ascii="仿宋_GB2312" w:eastAsia="仿宋_GB2312"/>
          <w:color w:val="000000"/>
          <w:sz w:val="32"/>
          <w:szCs w:val="32"/>
        </w:rPr>
        <w:t>：指</w:t>
      </w:r>
      <w:r>
        <w:rPr>
          <w:rFonts w:hint="eastAsia" w:ascii="仿宋_GB2312" w:eastAsia="仿宋_GB2312"/>
          <w:color w:val="000000"/>
          <w:sz w:val="32"/>
          <w:szCs w:val="32"/>
          <w:lang w:val="en-US" w:eastAsia="zh-CN"/>
        </w:rPr>
        <w:t>反映用于农村（包括国有农场、国有林场）扶贫开发等方面的支出</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14</w:t>
      </w:r>
      <w:r>
        <w:rPr>
          <w:rFonts w:ascii="仿宋_GB2312" w:eastAsia="仿宋_GB2312"/>
          <w:color w:val="000000"/>
          <w:sz w:val="32"/>
          <w:szCs w:val="32"/>
        </w:rPr>
        <w:t>.</w:t>
      </w:r>
      <w:r>
        <w:rPr>
          <w:rFonts w:hint="eastAsia" w:ascii="仿宋_GB2312" w:eastAsia="仿宋_GB2312"/>
          <w:color w:val="000000"/>
          <w:sz w:val="32"/>
          <w:szCs w:val="32"/>
        </w:rPr>
        <w:t>住房保障</w:t>
      </w:r>
      <w:r>
        <w:rPr>
          <w:rFonts w:hint="eastAsia" w:ascii="仿宋_GB2312" w:eastAsia="仿宋_GB2312"/>
          <w:color w:val="000000"/>
          <w:sz w:val="32"/>
          <w:szCs w:val="32"/>
          <w:lang w:val="en-US" w:eastAsia="zh-CN"/>
        </w:rPr>
        <w:t>2210103</w:t>
      </w:r>
      <w:r>
        <w:rPr>
          <w:rFonts w:hint="eastAsia" w:ascii="仿宋_GB2312" w:eastAsia="仿宋_GB2312"/>
          <w:color w:val="000000"/>
          <w:sz w:val="32"/>
          <w:szCs w:val="32"/>
        </w:rPr>
        <w:t>：指</w:t>
      </w:r>
      <w:r>
        <w:rPr>
          <w:rFonts w:hint="eastAsia" w:ascii="仿宋_GB2312" w:eastAsia="仿宋_GB2312"/>
          <w:color w:val="000000"/>
          <w:sz w:val="32"/>
          <w:szCs w:val="32"/>
          <w:lang w:val="en-US" w:eastAsia="zh-CN"/>
        </w:rPr>
        <w:t>反映用于保障性住房方面的支出或反映行政事业单位按人力资源和社会保障部、财政部规定的基本工资和津贴补贴以及规定比例为职工缴纳的住房公积金</w:t>
      </w:r>
      <w:r>
        <w:rPr>
          <w:rFonts w:hint="eastAsia" w:ascii="仿宋_GB2312" w:eastAsia="仿宋_GB2312"/>
          <w:color w:val="000000"/>
          <w:sz w:val="32"/>
          <w:szCs w:val="32"/>
        </w:rPr>
        <w:t>。</w:t>
      </w:r>
    </w:p>
    <w:p>
      <w:pPr>
        <w:ind w:firstLine="640" w:firstLineChars="200"/>
        <w:rPr>
          <w:rFonts w:hint="default" w:ascii="仿宋_GB2312" w:eastAsia="仿宋_GB2312"/>
          <w:color w:val="000000"/>
          <w:sz w:val="32"/>
          <w:szCs w:val="32"/>
          <w:lang w:val="en-US" w:eastAsia="zh-CN"/>
        </w:rPr>
      </w:pPr>
      <w:r>
        <w:rPr>
          <w:rFonts w:hint="eastAsia" w:ascii="仿宋_GB2312" w:eastAsia="仿宋_GB2312"/>
          <w:color w:val="000000"/>
          <w:sz w:val="32"/>
          <w:szCs w:val="32"/>
          <w:lang w:val="en-US" w:eastAsia="zh-CN"/>
        </w:rPr>
        <w:t>15.一般公共服务支出2019999：指行政单位未单独设置项级科目的其他项目支出。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16</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17</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pStyle w:val="24"/>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18</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4"/>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19</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4"/>
        <w:spacing w:line="560" w:lineRule="exact"/>
        <w:ind w:firstLine="640" w:firstLineChars="200"/>
        <w:rPr>
          <w:rFonts w:ascii="仿宋_GB2312" w:eastAsia="仿宋_GB2312" w:cs="黑体"/>
          <w:sz w:val="32"/>
          <w:szCs w:val="32"/>
        </w:rPr>
      </w:pPr>
    </w:p>
    <w:p>
      <w:pPr>
        <w:spacing w:line="600" w:lineRule="exact"/>
        <w:jc w:val="center"/>
        <w:outlineLvl w:val="0"/>
        <w:rPr>
          <w:rStyle w:val="26"/>
          <w:rFonts w:ascii="黑体" w:hAnsi="黑体" w:eastAsia="黑体"/>
          <w:b w:val="0"/>
        </w:rPr>
      </w:pPr>
      <w:bookmarkStart w:id="61" w:name="_Toc15377226"/>
      <w:r>
        <w:rPr>
          <w:rFonts w:ascii="宋体"/>
          <w:b/>
          <w:color w:val="000000"/>
          <w:sz w:val="44"/>
          <w:szCs w:val="44"/>
        </w:rPr>
        <w:br w:type="page"/>
      </w:r>
      <w:bookmarkStart w:id="62" w:name="_Toc15396614"/>
      <w:r>
        <w:rPr>
          <w:rFonts w:hint="eastAsia" w:ascii="黑体" w:hAnsi="黑体" w:eastAsia="黑体"/>
          <w:color w:val="000000"/>
          <w:sz w:val="44"/>
          <w:szCs w:val="44"/>
        </w:rPr>
        <w:t>第</w:t>
      </w:r>
      <w:r>
        <w:rPr>
          <w:rStyle w:val="26"/>
          <w:rFonts w:hint="eastAsia" w:ascii="黑体" w:hAnsi="黑体" w:eastAsia="黑体"/>
          <w:b w:val="0"/>
        </w:rPr>
        <w:t>四部分 附件</w:t>
      </w:r>
      <w:bookmarkEnd w:id="62"/>
    </w:p>
    <w:p>
      <w:pPr>
        <w:spacing w:line="600" w:lineRule="exact"/>
        <w:jc w:val="center"/>
        <w:outlineLvl w:val="0"/>
        <w:rPr>
          <w:rStyle w:val="26"/>
        </w:rPr>
      </w:pPr>
    </w:p>
    <w:p>
      <w:pPr>
        <w:pStyle w:val="5"/>
        <w:rPr>
          <w:rStyle w:val="26"/>
          <w:rFonts w:ascii="仿宋" w:hAnsi="仿宋" w:eastAsia="仿宋"/>
          <w:b w:val="0"/>
          <w:bCs w:val="0"/>
          <w:sz w:val="32"/>
          <w:szCs w:val="32"/>
        </w:rPr>
      </w:pPr>
      <w:bookmarkStart w:id="63" w:name="_Toc15396615"/>
      <w:r>
        <w:rPr>
          <w:rStyle w:val="26"/>
          <w:rFonts w:hint="eastAsia" w:ascii="仿宋" w:hAnsi="仿宋" w:eastAsia="仿宋"/>
          <w:b w:val="0"/>
          <w:bCs w:val="0"/>
          <w:sz w:val="32"/>
          <w:szCs w:val="32"/>
        </w:rPr>
        <w:t>附件1</w:t>
      </w:r>
      <w:bookmarkEnd w:id="63"/>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880" w:firstLineChars="200"/>
        <w:jc w:val="center"/>
        <w:textAlignment w:val="auto"/>
        <w:outlineLvl w:val="9"/>
        <w:rPr>
          <w:rFonts w:hint="eastAsia" w:ascii="方正小标宋简体" w:hAnsi="宋体" w:eastAsia="方正小标宋简体" w:cs="方正小标宋简体"/>
          <w:kern w:val="2"/>
          <w:sz w:val="44"/>
          <w:szCs w:val="44"/>
          <w:lang w:val="en-US" w:eastAsia="zh-CN" w:bidi="ar"/>
        </w:rPr>
      </w:pPr>
      <w:r>
        <w:rPr>
          <w:rFonts w:hint="eastAsia" w:ascii="方正小标宋简体" w:hAnsi="宋体" w:eastAsia="方正小标宋简体" w:cs="方正小标宋简体"/>
          <w:kern w:val="2"/>
          <w:sz w:val="44"/>
          <w:szCs w:val="44"/>
          <w:lang w:val="en-US" w:eastAsia="zh-CN" w:bidi="ar"/>
        </w:rPr>
        <w:t>2018年红原县城乡规划建设和住房</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880" w:firstLineChars="200"/>
        <w:jc w:val="center"/>
        <w:textAlignment w:val="auto"/>
        <w:outlineLvl w:val="9"/>
        <w:rPr>
          <w:rFonts w:hint="eastAsia" w:ascii="方正小标宋简体" w:hAnsi="宋体" w:eastAsia="方正小标宋简体" w:cs="方正小标宋简体"/>
          <w:sz w:val="44"/>
          <w:szCs w:val="44"/>
          <w:lang w:val="en-US"/>
        </w:rPr>
      </w:pPr>
      <w:r>
        <w:rPr>
          <w:rFonts w:hint="eastAsia" w:ascii="方正小标宋简体" w:hAnsi="宋体" w:eastAsia="方正小标宋简体" w:cs="方正小标宋简体"/>
          <w:kern w:val="2"/>
          <w:sz w:val="44"/>
          <w:szCs w:val="44"/>
          <w:lang w:val="en-US" w:eastAsia="zh-CN" w:bidi="ar"/>
        </w:rPr>
        <w:t>保障局整体支出绩效报告</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黑体" w:hAnsi="宋体" w:eastAsia="黑体" w:cs="宋体"/>
          <w:color w:val="000000"/>
          <w:kern w:val="0"/>
          <w:sz w:val="32"/>
          <w:szCs w:val="24"/>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en-US" w:eastAsia="zh-CN"/>
        </w:rPr>
        <w:t>一、</w:t>
      </w:r>
      <w:r>
        <w:rPr>
          <w:rFonts w:hint="eastAsia" w:ascii="仿宋_GB2312" w:hAnsi="仿宋_GB2312" w:eastAsia="仿宋_GB2312" w:cs="仿宋_GB2312"/>
          <w:bCs/>
          <w:sz w:val="32"/>
          <w:szCs w:val="32"/>
          <w:lang w:val="zh-CN" w:eastAsia="zh-CN"/>
        </w:rPr>
        <w:t>部门概况</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zh-CN" w:eastAsia="zh-CN"/>
        </w:rPr>
        <w:t>我局负责研究拟定全县城镇体系规划、工程建设、建筑业的规范性文件以及相关发展战略、中长期规划和年度计划并组织实施；负责城区规划区内规划的编制审批和管理；负责研究制定城市发展规划，承办城镇总体规划审查报批的有关工作，参与区域规划、土地利用总体规划的审查工作；负责城市规划区内勘察、市政工程测量工作。负责指导建制镇规划、村镇规划及其城市勘察、市政工程测量和城乡建设档案管理工作；负责指导和管理全县建筑活动，规范建筑市场；贯彻执行工程建设相关国家标准和、行业标准及相关管理制度，组织拟定具体实施办法；负责统一管理全县建筑业施工企业、工程监理单位、工程咨询单位、招标投标代理机构等的资和从业人员执业资格审查、报批工作，查处违法违规行为；负责研究拟定我县住宅建设规划，负责城区规划区房地产开发的综合监管，指导房地产开发项目的竣工验收；负责全县建筑节能工作的组织实施和执法监察，指导全县建筑节能工作等。</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zh-CN" w:eastAsia="zh-CN"/>
        </w:rPr>
        <w:t>本部门内设机构</w:t>
      </w:r>
      <w:r>
        <w:rPr>
          <w:rFonts w:hint="eastAsia" w:ascii="仿宋_GB2312" w:hAnsi="仿宋_GB2312" w:eastAsia="仿宋_GB2312" w:cs="仿宋_GB2312"/>
          <w:bCs/>
          <w:sz w:val="32"/>
          <w:szCs w:val="32"/>
          <w:lang w:val="en-US" w:eastAsia="zh-CN"/>
        </w:rPr>
        <w:t>9</w:t>
      </w:r>
      <w:r>
        <w:rPr>
          <w:rFonts w:hint="eastAsia" w:ascii="仿宋_GB2312" w:hAnsi="仿宋_GB2312" w:eastAsia="仿宋_GB2312" w:cs="仿宋_GB2312"/>
          <w:bCs/>
          <w:sz w:val="32"/>
          <w:szCs w:val="32"/>
          <w:lang w:val="zh-CN" w:eastAsia="zh-CN"/>
        </w:rPr>
        <w:t>个，为办公室、城乡规划股、</w:t>
      </w:r>
      <w:r>
        <w:rPr>
          <w:rFonts w:hint="eastAsia" w:ascii="仿宋_GB2312" w:hAnsi="仿宋_GB2312" w:eastAsia="仿宋_GB2312" w:cs="仿宋_GB2312"/>
          <w:bCs/>
          <w:sz w:val="32"/>
          <w:szCs w:val="32"/>
          <w:lang w:val="en-US" w:eastAsia="zh-CN"/>
        </w:rPr>
        <w:t>财务</w:t>
      </w:r>
      <w:r>
        <w:rPr>
          <w:rFonts w:hint="eastAsia" w:ascii="仿宋_GB2312" w:hAnsi="仿宋_GB2312" w:eastAsia="仿宋_GB2312" w:cs="仿宋_GB2312"/>
          <w:bCs/>
          <w:sz w:val="32"/>
          <w:szCs w:val="32"/>
          <w:lang w:val="zh-CN" w:eastAsia="zh-CN"/>
        </w:rPr>
        <w:t>股、</w:t>
      </w:r>
      <w:r>
        <w:rPr>
          <w:rFonts w:hint="eastAsia" w:ascii="仿宋_GB2312" w:hAnsi="仿宋_GB2312" w:eastAsia="仿宋_GB2312" w:cs="仿宋_GB2312"/>
          <w:bCs/>
          <w:sz w:val="32"/>
          <w:szCs w:val="32"/>
          <w:lang w:val="en-US" w:eastAsia="zh-CN"/>
        </w:rPr>
        <w:t>质监站</w:t>
      </w:r>
      <w:r>
        <w:rPr>
          <w:rFonts w:hint="eastAsia" w:ascii="仿宋_GB2312" w:hAnsi="仿宋_GB2312" w:eastAsia="仿宋_GB2312" w:cs="仿宋_GB2312"/>
          <w:bCs/>
          <w:sz w:val="32"/>
          <w:szCs w:val="32"/>
          <w:lang w:val="zh-CN" w:eastAsia="zh-CN"/>
        </w:rPr>
        <w:t>、</w:t>
      </w:r>
      <w:r>
        <w:rPr>
          <w:rFonts w:hint="eastAsia" w:ascii="仿宋_GB2312" w:hAnsi="仿宋_GB2312" w:eastAsia="仿宋_GB2312" w:cs="仿宋_GB2312"/>
          <w:bCs/>
          <w:sz w:val="32"/>
          <w:szCs w:val="32"/>
          <w:lang w:val="en-US" w:eastAsia="zh-CN"/>
        </w:rPr>
        <w:t>建管</w:t>
      </w:r>
      <w:r>
        <w:rPr>
          <w:rFonts w:hint="eastAsia" w:ascii="仿宋_GB2312" w:hAnsi="仿宋_GB2312" w:eastAsia="仿宋_GB2312" w:cs="仿宋_GB2312"/>
          <w:bCs/>
          <w:sz w:val="32"/>
          <w:szCs w:val="32"/>
          <w:lang w:val="zh-CN" w:eastAsia="zh-CN"/>
        </w:rPr>
        <w:t>股、</w:t>
      </w:r>
      <w:r>
        <w:rPr>
          <w:rFonts w:hint="eastAsia" w:ascii="仿宋_GB2312" w:hAnsi="仿宋_GB2312" w:eastAsia="仿宋_GB2312" w:cs="仿宋_GB2312"/>
          <w:bCs/>
          <w:sz w:val="32"/>
          <w:szCs w:val="32"/>
          <w:lang w:val="en-US" w:eastAsia="zh-CN"/>
        </w:rPr>
        <w:t>住房保障</w:t>
      </w:r>
      <w:r>
        <w:rPr>
          <w:rFonts w:hint="eastAsia" w:ascii="仿宋_GB2312" w:hAnsi="仿宋_GB2312" w:eastAsia="仿宋_GB2312" w:cs="仿宋_GB2312"/>
          <w:bCs/>
          <w:sz w:val="32"/>
          <w:szCs w:val="32"/>
          <w:lang w:val="zh-CN" w:eastAsia="zh-CN"/>
        </w:rPr>
        <w:t>股、</w:t>
      </w:r>
      <w:r>
        <w:rPr>
          <w:rFonts w:hint="eastAsia" w:ascii="仿宋_GB2312" w:hAnsi="仿宋_GB2312" w:eastAsia="仿宋_GB2312" w:cs="仿宋_GB2312"/>
          <w:bCs/>
          <w:sz w:val="32"/>
          <w:szCs w:val="32"/>
          <w:lang w:val="en-US" w:eastAsia="zh-CN"/>
        </w:rPr>
        <w:t>项目</w:t>
      </w:r>
      <w:r>
        <w:rPr>
          <w:rFonts w:hint="eastAsia" w:ascii="仿宋_GB2312" w:hAnsi="仿宋_GB2312" w:eastAsia="仿宋_GB2312" w:cs="仿宋_GB2312"/>
          <w:bCs/>
          <w:sz w:val="32"/>
          <w:szCs w:val="32"/>
          <w:lang w:val="zh-CN" w:eastAsia="zh-CN"/>
        </w:rPr>
        <w:t>股、</w:t>
      </w:r>
      <w:r>
        <w:rPr>
          <w:rFonts w:hint="eastAsia" w:ascii="仿宋_GB2312" w:hAnsi="仿宋_GB2312" w:eastAsia="仿宋_GB2312" w:cs="仿宋_GB2312"/>
          <w:bCs/>
          <w:sz w:val="32"/>
          <w:szCs w:val="32"/>
          <w:lang w:val="en-US" w:eastAsia="zh-CN"/>
        </w:rPr>
        <w:t>城乡环境管理治理办、城市管理大队</w:t>
      </w:r>
      <w:r>
        <w:rPr>
          <w:rFonts w:hint="eastAsia" w:ascii="仿宋_GB2312" w:hAnsi="仿宋_GB2312" w:eastAsia="仿宋_GB2312" w:cs="仿宋_GB2312"/>
          <w:bCs/>
          <w:sz w:val="32"/>
          <w:szCs w:val="32"/>
          <w:lang w:val="zh-CN" w:eastAsia="zh-CN"/>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仿宋_GB2312" w:hAnsi="宋体" w:eastAsia="仿宋_GB2312" w:cs="宋体"/>
          <w:color w:val="000000"/>
          <w:kern w:val="0"/>
          <w:sz w:val="32"/>
          <w:szCs w:val="24"/>
          <w:lang w:val="zh-CN" w:eastAsia="zh-CN" w:bidi="ar"/>
        </w:rPr>
      </w:pPr>
      <w:r>
        <w:rPr>
          <w:rFonts w:hint="eastAsia" w:ascii="仿宋_GB2312" w:hAnsi="仿宋_GB2312" w:eastAsia="仿宋_GB2312" w:cs="仿宋_GB2312"/>
          <w:bCs/>
          <w:sz w:val="32"/>
          <w:szCs w:val="32"/>
        </w:rPr>
        <w:t>截止201</w:t>
      </w:r>
      <w:r>
        <w:rPr>
          <w:rFonts w:hint="eastAsia" w:ascii="仿宋_GB2312" w:hAnsi="仿宋_GB2312" w:eastAsia="仿宋_GB2312" w:cs="仿宋_GB2312"/>
          <w:bCs/>
          <w:sz w:val="32"/>
          <w:szCs w:val="32"/>
          <w:lang w:val="en-US" w:eastAsia="zh-CN"/>
        </w:rPr>
        <w:t>8</w:t>
      </w:r>
      <w:r>
        <w:rPr>
          <w:rFonts w:hint="eastAsia" w:ascii="仿宋_GB2312" w:hAnsi="仿宋_GB2312" w:eastAsia="仿宋_GB2312" w:cs="仿宋_GB2312"/>
          <w:bCs/>
          <w:sz w:val="32"/>
          <w:szCs w:val="32"/>
        </w:rPr>
        <w:t>年底我单位共有编制</w:t>
      </w:r>
      <w:r>
        <w:rPr>
          <w:rFonts w:hint="eastAsia" w:ascii="仿宋_GB2312" w:hAnsi="仿宋_GB2312" w:eastAsia="仿宋_GB2312" w:cs="仿宋_GB2312"/>
          <w:bCs/>
          <w:sz w:val="32"/>
          <w:szCs w:val="32"/>
          <w:lang w:val="en-US" w:eastAsia="zh-CN"/>
        </w:rPr>
        <w:t>40</w:t>
      </w:r>
      <w:r>
        <w:rPr>
          <w:rFonts w:hint="eastAsia" w:ascii="仿宋_GB2312" w:hAnsi="仿宋_GB2312" w:eastAsia="仿宋_GB2312" w:cs="仿宋_GB2312"/>
          <w:bCs/>
          <w:sz w:val="32"/>
          <w:szCs w:val="32"/>
        </w:rPr>
        <w:t>个，其中公务员编制</w:t>
      </w:r>
      <w:r>
        <w:rPr>
          <w:rFonts w:hint="eastAsia" w:ascii="仿宋_GB2312" w:hAnsi="仿宋_GB2312" w:eastAsia="仿宋_GB2312" w:cs="仿宋_GB2312"/>
          <w:bCs/>
          <w:sz w:val="32"/>
          <w:szCs w:val="32"/>
          <w:lang w:val="en-US" w:eastAsia="zh-CN"/>
        </w:rPr>
        <w:t>8</w:t>
      </w:r>
      <w:r>
        <w:rPr>
          <w:rFonts w:hint="eastAsia" w:ascii="仿宋_GB2312" w:hAnsi="仿宋_GB2312" w:eastAsia="仿宋_GB2312" w:cs="仿宋_GB2312"/>
          <w:bCs/>
          <w:sz w:val="32"/>
          <w:szCs w:val="32"/>
        </w:rPr>
        <w:t>个，行政工勤编制</w:t>
      </w:r>
      <w:r>
        <w:rPr>
          <w:rFonts w:hint="eastAsia" w:ascii="仿宋_GB2312" w:hAnsi="仿宋_GB2312" w:eastAsia="仿宋_GB2312" w:cs="仿宋_GB2312"/>
          <w:bCs/>
          <w:sz w:val="32"/>
          <w:szCs w:val="32"/>
          <w:lang w:val="en-US" w:eastAsia="zh-CN"/>
        </w:rPr>
        <w:t>1</w:t>
      </w:r>
      <w:r>
        <w:rPr>
          <w:rFonts w:hint="eastAsia" w:ascii="仿宋_GB2312" w:hAnsi="仿宋_GB2312" w:eastAsia="仿宋_GB2312" w:cs="仿宋_GB2312"/>
          <w:bCs/>
          <w:sz w:val="32"/>
          <w:szCs w:val="32"/>
        </w:rPr>
        <w:t>个，参公编制</w:t>
      </w:r>
      <w:r>
        <w:rPr>
          <w:rFonts w:hint="eastAsia" w:ascii="仿宋_GB2312" w:hAnsi="仿宋_GB2312" w:eastAsia="仿宋_GB2312" w:cs="仿宋_GB2312"/>
          <w:bCs/>
          <w:sz w:val="32"/>
          <w:szCs w:val="32"/>
          <w:lang w:val="en-US" w:eastAsia="zh-CN"/>
        </w:rPr>
        <w:t>9</w:t>
      </w:r>
      <w:r>
        <w:rPr>
          <w:rFonts w:hint="eastAsia" w:ascii="仿宋_GB2312" w:hAnsi="仿宋_GB2312" w:eastAsia="仿宋_GB2312" w:cs="仿宋_GB2312"/>
          <w:bCs/>
          <w:sz w:val="32"/>
          <w:szCs w:val="32"/>
        </w:rPr>
        <w:t>人</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事业编制</w:t>
      </w:r>
      <w:r>
        <w:rPr>
          <w:rFonts w:hint="eastAsia" w:ascii="仿宋_GB2312" w:hAnsi="仿宋_GB2312" w:eastAsia="仿宋_GB2312" w:cs="仿宋_GB2312"/>
          <w:bCs/>
          <w:sz w:val="32"/>
          <w:szCs w:val="32"/>
          <w:lang w:val="en-US" w:eastAsia="zh-CN"/>
        </w:rPr>
        <w:t>22</w:t>
      </w:r>
      <w:r>
        <w:rPr>
          <w:rFonts w:hint="eastAsia" w:ascii="仿宋_GB2312" w:hAnsi="仿宋_GB2312" w:eastAsia="仿宋_GB2312" w:cs="仿宋_GB2312"/>
          <w:bCs/>
          <w:sz w:val="32"/>
          <w:szCs w:val="32"/>
        </w:rPr>
        <w:t>个，在职</w:t>
      </w:r>
      <w:r>
        <w:rPr>
          <w:rFonts w:hint="eastAsia" w:ascii="仿宋_GB2312" w:hAnsi="仿宋_GB2312" w:eastAsia="仿宋_GB2312" w:cs="仿宋_GB2312"/>
          <w:bCs/>
          <w:sz w:val="32"/>
          <w:szCs w:val="32"/>
          <w:lang w:val="en-US" w:eastAsia="zh-CN"/>
        </w:rPr>
        <w:t>38</w:t>
      </w:r>
      <w:r>
        <w:rPr>
          <w:rFonts w:hint="eastAsia" w:ascii="仿宋_GB2312" w:hAnsi="仿宋_GB2312" w:eastAsia="仿宋_GB2312" w:cs="仿宋_GB2312"/>
          <w:bCs/>
          <w:sz w:val="32"/>
          <w:szCs w:val="32"/>
        </w:rPr>
        <w:t>人，其中参公</w:t>
      </w:r>
      <w:r>
        <w:rPr>
          <w:rFonts w:hint="eastAsia" w:ascii="仿宋_GB2312" w:hAnsi="仿宋_GB2312" w:eastAsia="仿宋_GB2312" w:cs="仿宋_GB2312"/>
          <w:bCs/>
          <w:sz w:val="32"/>
          <w:szCs w:val="32"/>
          <w:lang w:val="en-US" w:eastAsia="zh-CN"/>
        </w:rPr>
        <w:t>8</w:t>
      </w:r>
      <w:r>
        <w:rPr>
          <w:rFonts w:hint="eastAsia" w:ascii="仿宋_GB2312" w:hAnsi="仿宋_GB2312" w:eastAsia="仿宋_GB2312" w:cs="仿宋_GB2312"/>
          <w:bCs/>
          <w:sz w:val="32"/>
          <w:szCs w:val="32"/>
        </w:rPr>
        <w:t>人，公务员</w:t>
      </w:r>
      <w:r>
        <w:rPr>
          <w:rFonts w:hint="eastAsia" w:ascii="仿宋_GB2312" w:hAnsi="仿宋_GB2312" w:eastAsia="仿宋_GB2312" w:cs="仿宋_GB2312"/>
          <w:bCs/>
          <w:sz w:val="32"/>
          <w:szCs w:val="32"/>
          <w:lang w:val="en-US" w:eastAsia="zh-CN"/>
        </w:rPr>
        <w:t>8</w:t>
      </w:r>
      <w:r>
        <w:rPr>
          <w:rFonts w:hint="eastAsia" w:ascii="仿宋_GB2312" w:hAnsi="仿宋_GB2312" w:eastAsia="仿宋_GB2312" w:cs="仿宋_GB2312"/>
          <w:bCs/>
          <w:sz w:val="32"/>
          <w:szCs w:val="32"/>
        </w:rPr>
        <w:t>人，事业</w:t>
      </w:r>
      <w:r>
        <w:rPr>
          <w:rFonts w:hint="eastAsia" w:ascii="仿宋_GB2312" w:hAnsi="仿宋_GB2312" w:eastAsia="仿宋_GB2312" w:cs="仿宋_GB2312"/>
          <w:bCs/>
          <w:sz w:val="32"/>
          <w:szCs w:val="32"/>
          <w:lang w:val="en-US" w:eastAsia="zh-CN"/>
        </w:rPr>
        <w:t>22</w:t>
      </w:r>
      <w:r>
        <w:rPr>
          <w:rFonts w:hint="eastAsia" w:ascii="仿宋_GB2312" w:hAnsi="仿宋_GB2312" w:eastAsia="仿宋_GB2312" w:cs="仿宋_GB2312"/>
          <w:bCs/>
          <w:sz w:val="32"/>
          <w:szCs w:val="32"/>
        </w:rPr>
        <w:t>人，退休</w:t>
      </w: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人。</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420" w:firstLineChars="200"/>
        <w:jc w:val="left"/>
        <w:textAlignment w:val="auto"/>
        <w:outlineLvl w:val="9"/>
        <w:rPr>
          <w:rFonts w:hint="eastAsia" w:ascii="仿宋_GB2312" w:hAnsi="宋体" w:eastAsia="仿宋_GB2312" w:cs="宋体"/>
          <w:color w:val="000000"/>
          <w:kern w:val="0"/>
          <w:lang w:val="zh-CN"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二、部门财政资金收支情况</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（一）部门财政资金收入情况。</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年收入合计107,029,972.80</w:t>
      </w:r>
      <w:r>
        <w:rPr>
          <w:rFonts w:hint="eastAsia" w:ascii="仿宋_GB2312" w:eastAsia="仿宋_GB2312"/>
          <w:color w:val="000000"/>
          <w:sz w:val="32"/>
          <w:szCs w:val="32"/>
          <w:lang w:eastAsia="zh-CN"/>
        </w:rPr>
        <w:t>元</w:t>
      </w:r>
      <w:r>
        <w:rPr>
          <w:rFonts w:hint="eastAsia" w:ascii="仿宋_GB2312" w:eastAsia="仿宋_GB2312"/>
          <w:color w:val="000000"/>
          <w:sz w:val="32"/>
          <w:szCs w:val="32"/>
        </w:rPr>
        <w:t>，其中：一般公共预算</w:t>
      </w:r>
      <w:r>
        <w:rPr>
          <w:rFonts w:hint="eastAsia" w:ascii="仿宋_GB2312" w:eastAsia="仿宋_GB2312"/>
          <w:color w:val="000000"/>
          <w:sz w:val="32"/>
          <w:szCs w:val="32"/>
          <w:lang w:val="en-US" w:eastAsia="zh-CN"/>
        </w:rPr>
        <w:t>财财政103，909，387.8</w:t>
      </w:r>
      <w:r>
        <w:rPr>
          <w:rFonts w:hint="eastAsia" w:ascii="仿宋_GB2312" w:eastAsia="仿宋_GB2312"/>
          <w:color w:val="000000"/>
          <w:sz w:val="32"/>
          <w:szCs w:val="32"/>
          <w:lang w:eastAsia="zh-CN"/>
        </w:rPr>
        <w:t>元</w:t>
      </w:r>
      <w:r>
        <w:rPr>
          <w:rFonts w:hint="eastAsia" w:ascii="仿宋_GB2312" w:eastAsia="仿宋_GB2312"/>
          <w:color w:val="000000"/>
          <w:sz w:val="32"/>
          <w:szCs w:val="32"/>
        </w:rPr>
        <w:t>；政府性基金预算财政拨款收入</w:t>
      </w:r>
      <w:r>
        <w:rPr>
          <w:rFonts w:hint="eastAsia" w:ascii="仿宋_GB2312" w:eastAsia="仿宋_GB2312"/>
          <w:color w:val="000000"/>
          <w:sz w:val="32"/>
          <w:szCs w:val="32"/>
          <w:lang w:val="en-US" w:eastAsia="zh-CN"/>
        </w:rPr>
        <w:t>3,120,585.00元</w:t>
      </w:r>
      <w:r>
        <w:rPr>
          <w:rFonts w:hint="eastAsia" w:ascii="仿宋_GB2312"/>
          <w:color w:val="000000"/>
          <w:sz w:val="32"/>
          <w:szCs w:val="32"/>
          <w:lang w:val="en-US" w:eastAsia="zh-CN"/>
        </w:rPr>
        <w:t>。</w:t>
      </w:r>
      <w:r>
        <w:rPr>
          <w:rFonts w:hint="eastAsia" w:ascii="仿宋_GB2312" w:eastAsia="仿宋_GB2312"/>
          <w:color w:val="000000"/>
          <w:sz w:val="32"/>
          <w:szCs w:val="32"/>
          <w:lang w:val="en-US" w:eastAsia="zh-CN"/>
        </w:rPr>
        <w:t>2018年收入合计121，998，217.47元，其中：经费收入57，772，666.48元，专项收入64，225，550.99元。</w:t>
      </w:r>
    </w:p>
    <w:p>
      <w:pPr>
        <w:keepNext w:val="0"/>
        <w:keepLines w:val="0"/>
        <w:pageBreakBefore w:val="0"/>
        <w:widowControl/>
        <w:numPr>
          <w:ilvl w:val="0"/>
          <w:numId w:val="7"/>
        </w:numPr>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部门财政资金支出情况。</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2018年支出合计101，339，429.14元，其中：基本支出6,354,718.67元（其中：行政单位医疗支出212,603.30元、机关事业单位基本养老保险、职业年金缴费支出857,716.16元、行政运行支出4,889,705.21元、住房公积金支出394,694.00元）；项目支出94,984,710.47元（其中：公共租赁住房支出251,250.00元、其他保障性安居工程支出5,632,077.40元、少数民族地区游牧民定居工程支出942,816.97元、棚户区改造支出264,871.66元、廉租住房支出5,600.00元、其他新型墙体材料专项基金支出17,624.15元、其他散装水泥专项资金支出20,000.00元、其他农林水支出411,840.00元、病虫害控制支出600,000.00元、其他城乡社区支出13,186,432.81元、廉租住房支出1,359,609.17元、城乡社区环境卫生支出2,552,887.85元、其他城乡社区公共设施支出33,362,536.53元、一般行政管理事务支出117,040.00元、其他节能环保支出5,000,000.00元、减排专项支出1,796,745.52元、生态保护支出9,931,486.00元、水体支出10,161,866.20元、其他一般公共服务支出7,194,601.36元、其他政府办公厅（室）及相关机构事务支出2,175,424.85元）。2018年支出43，281，912.77元，其中：经费支出27，538，782.5元，专项支出15，743，130.27元。</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三、部门财政支出管理情况</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zh-CN" w:eastAsia="zh-CN" w:bidi="ar"/>
        </w:rPr>
        <w:t>（一）资金组成情况分析</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主要由三公经费、项目支出、公用经费、</w:t>
      </w:r>
      <w:r>
        <w:rPr>
          <w:rFonts w:hint="eastAsia" w:ascii="仿宋_GB2312" w:eastAsia="仿宋_GB2312"/>
          <w:color w:val="000000"/>
          <w:sz w:val="32"/>
          <w:szCs w:val="32"/>
          <w:lang w:val="en-US" w:eastAsia="zh-CN"/>
        </w:rPr>
        <w:t>人员经费构成</w:t>
      </w:r>
      <w:r>
        <w:rPr>
          <w:rFonts w:hint="eastAsia" w:ascii="仿宋_GB2312" w:eastAsia="仿宋_GB2312"/>
          <w:color w:val="000000"/>
          <w:sz w:val="32"/>
          <w:szCs w:val="32"/>
          <w:lang w:val="zh-CN" w:eastAsia="zh-CN"/>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zh-CN" w:eastAsia="zh-CN" w:bidi="ar"/>
        </w:rPr>
        <w:t>（二）预算执行情况分析</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仿宋_GB2312" w:eastAsia="仿宋_GB2312"/>
          <w:color w:val="000000"/>
          <w:sz w:val="32"/>
          <w:szCs w:val="32"/>
        </w:rPr>
        <w:t>20</w:t>
      </w:r>
      <w:r>
        <w:rPr>
          <w:rFonts w:hint="eastAsia" w:ascii="仿宋_GB2312" w:eastAsia="仿宋_GB2312"/>
          <w:color w:val="000000"/>
          <w:sz w:val="32"/>
          <w:szCs w:val="32"/>
          <w:lang w:val="en-US" w:eastAsia="zh-CN"/>
        </w:rPr>
        <w:t>18</w:t>
      </w:r>
      <w:r>
        <w:rPr>
          <w:rFonts w:hint="eastAsia" w:ascii="仿宋_GB2312" w:eastAsia="仿宋_GB2312"/>
          <w:color w:val="000000"/>
          <w:sz w:val="32"/>
          <w:szCs w:val="32"/>
        </w:rPr>
        <w:t>年度“三公”经费财政拨款支出决算中，因公出国（境）费支出决算</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lang w:eastAsia="zh-CN"/>
        </w:rPr>
        <w:t>元</w:t>
      </w:r>
      <w:r>
        <w:rPr>
          <w:rFonts w:hint="eastAsia" w:ascii="仿宋_GB2312" w:eastAsia="仿宋_GB2312"/>
          <w:color w:val="000000"/>
          <w:sz w:val="32"/>
          <w:szCs w:val="32"/>
        </w:rPr>
        <w:t>；公务用车购置及运行维护费支出决算</w:t>
      </w:r>
      <w:r>
        <w:rPr>
          <w:rFonts w:hint="eastAsia" w:ascii="仿宋_GB2312" w:eastAsia="仿宋_GB2312"/>
          <w:color w:val="000000"/>
          <w:sz w:val="32"/>
          <w:szCs w:val="32"/>
          <w:lang w:val="en-US" w:eastAsia="zh-CN"/>
        </w:rPr>
        <w:t>78，390.52</w:t>
      </w:r>
      <w:r>
        <w:rPr>
          <w:rFonts w:hint="eastAsia" w:ascii="仿宋_GB2312" w:eastAsia="仿宋_GB2312"/>
          <w:color w:val="000000"/>
          <w:sz w:val="32"/>
          <w:szCs w:val="32"/>
          <w:lang w:eastAsia="zh-CN"/>
        </w:rPr>
        <w:t>元</w:t>
      </w:r>
      <w:r>
        <w:rPr>
          <w:rFonts w:hint="eastAsia" w:ascii="仿宋_GB2312" w:eastAsia="仿宋_GB2312"/>
          <w:color w:val="000000"/>
          <w:sz w:val="32"/>
          <w:szCs w:val="32"/>
        </w:rPr>
        <w:t>，占</w:t>
      </w:r>
      <w:r>
        <w:rPr>
          <w:rFonts w:hint="eastAsia" w:ascii="仿宋_GB2312" w:eastAsia="仿宋_GB2312"/>
          <w:color w:val="000000"/>
          <w:sz w:val="32"/>
          <w:szCs w:val="32"/>
          <w:lang w:val="en-US" w:eastAsia="zh-CN"/>
        </w:rPr>
        <w:t>89</w:t>
      </w:r>
      <w:r>
        <w:rPr>
          <w:rFonts w:hint="eastAsia" w:ascii="仿宋_GB2312" w:eastAsia="仿宋_GB2312"/>
          <w:color w:val="000000"/>
          <w:sz w:val="32"/>
          <w:szCs w:val="32"/>
        </w:rPr>
        <w:t>%；公务接待费支出决算</w:t>
      </w:r>
      <w:r>
        <w:rPr>
          <w:rFonts w:hint="eastAsia" w:ascii="仿宋_GB2312" w:eastAsia="仿宋_GB2312"/>
          <w:color w:val="000000"/>
          <w:sz w:val="32"/>
          <w:szCs w:val="32"/>
          <w:lang w:val="en-US" w:eastAsia="zh-CN"/>
        </w:rPr>
        <w:t>8，877</w:t>
      </w:r>
      <w:r>
        <w:rPr>
          <w:rFonts w:hint="eastAsia" w:ascii="仿宋_GB2312" w:eastAsia="仿宋_GB2312"/>
          <w:color w:val="000000"/>
          <w:sz w:val="32"/>
          <w:szCs w:val="32"/>
          <w:lang w:eastAsia="zh-CN"/>
        </w:rPr>
        <w:t>元</w:t>
      </w:r>
      <w:r>
        <w:rPr>
          <w:rFonts w:hint="eastAsia" w:ascii="仿宋_GB2312" w:eastAsia="仿宋_GB2312"/>
          <w:color w:val="000000"/>
          <w:sz w:val="32"/>
          <w:szCs w:val="32"/>
        </w:rPr>
        <w:t>，占</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zh-CN" w:eastAsia="zh-CN" w:bidi="ar"/>
        </w:rPr>
        <w:t>（三）预算管理情况</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lang w:val="zh-CN" w:eastAsia="zh-CN"/>
        </w:rPr>
        <w:t>年我单位严格执行新的《预算法》，切实按照中央八项规定、省委九项规定、市委十项规定的管理制度，坚决执行财经和财务规章制度，按照《财务管理规定》、《财产管理规定》、《公务接待费管理规定》、《差旅费、会议费、培训费管理规定》、《公务用车管理办法》等规章制度管理本单位的财务收支活动，进一步明确了本单位财政预算资金的审批手续和拨付程序、机关行政运行经费报审手续和报销程序，加强了财务管理，规范了收支行为，保证了本单位财务管理工作规范有序进行。</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en-US" w:eastAsia="zh-CN" w:bidi="ar"/>
        </w:rPr>
        <w:t>四</w:t>
      </w:r>
      <w:r>
        <w:rPr>
          <w:rFonts w:hint="eastAsia" w:ascii="楷体" w:hAnsi="楷体" w:eastAsia="楷体" w:cs="宋体"/>
          <w:color w:val="000000"/>
          <w:kern w:val="0"/>
          <w:sz w:val="32"/>
          <w:szCs w:val="24"/>
          <w:lang w:val="zh-CN" w:eastAsia="zh-CN" w:bidi="ar"/>
        </w:rPr>
        <w:t>、绩效情况</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zh-CN" w:eastAsia="zh-CN" w:bidi="ar"/>
        </w:rPr>
        <w:t>（一）部门职责履行情况分析</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lang w:val="zh-CN" w:eastAsia="zh-CN"/>
        </w:rPr>
        <w:t>年度我单位年初</w:t>
      </w:r>
      <w:r>
        <w:rPr>
          <w:rFonts w:hint="eastAsia" w:ascii="仿宋_GB2312" w:eastAsia="仿宋_GB2312"/>
          <w:color w:val="000000"/>
          <w:sz w:val="32"/>
          <w:szCs w:val="32"/>
          <w:lang w:val="en-US" w:eastAsia="zh-CN"/>
        </w:rPr>
        <w:t>根据</w:t>
      </w:r>
      <w:r>
        <w:rPr>
          <w:rFonts w:hint="eastAsia" w:ascii="仿宋_GB2312" w:eastAsia="仿宋_GB2312"/>
          <w:color w:val="000000"/>
          <w:sz w:val="32"/>
          <w:szCs w:val="32"/>
          <w:lang w:val="zh-CN" w:eastAsia="zh-CN"/>
        </w:rPr>
        <w:t>工作规划和重点工作</w:t>
      </w:r>
      <w:r>
        <w:rPr>
          <w:rFonts w:hint="eastAsia" w:ascii="仿宋_GB2312" w:eastAsia="仿宋_GB2312"/>
          <w:color w:val="000000"/>
          <w:sz w:val="32"/>
          <w:szCs w:val="32"/>
          <w:lang w:val="en-US" w:eastAsia="zh-CN"/>
        </w:rPr>
        <w:t>规划</w:t>
      </w:r>
      <w:r>
        <w:rPr>
          <w:rFonts w:hint="eastAsia" w:ascii="仿宋_GB2312" w:eastAsia="仿宋_GB2312"/>
          <w:color w:val="000000"/>
          <w:sz w:val="32"/>
          <w:szCs w:val="32"/>
          <w:lang w:val="zh-CN" w:eastAsia="zh-CN"/>
        </w:rPr>
        <w:t>，围绕全面建成小康社会的发展蓝图，积极履行职责，强化本单位预算管理，较好地完成了年初工作目标。通过加强预算收支管理，不断建立健全内部管理制度，梳理内部管理流程。部门整体预算支出管理情况得到提升。</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zh-CN" w:eastAsia="zh-CN" w:bidi="ar"/>
        </w:rPr>
        <w:t>（二）社会经济效益分析</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1、本年预算配置控制较好。财政供养人员控制在预算编制以内，编制内在职人员控制率为100%；“三公经费”控制在年初预算以内。</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2、预算执行情况控制较好。支出总额控制在年初预算总额以内，本年部门预算完成率达到了100%，未进行预算相关事项的调整，预算控制良好。</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仿宋_GB2312" w:eastAsia="仿宋_GB2312"/>
          <w:color w:val="000000"/>
          <w:sz w:val="32"/>
          <w:szCs w:val="32"/>
          <w:lang w:val="zh-CN" w:eastAsia="zh-CN"/>
        </w:rPr>
        <w:t>3、预算管理较为理想。由于严格执行财政相关法律、法规的规定，我单位的预算管理工作取得了较好的成绩，全年人员经费支出、日常用公用经费支出的控制率均达到了100%</w:t>
      </w:r>
      <w:r>
        <w:rPr>
          <w:rFonts w:hint="eastAsia" w:ascii="楷体" w:hAnsi="楷体" w:eastAsia="楷体" w:cs="宋体"/>
          <w:color w:val="000000"/>
          <w:kern w:val="0"/>
          <w:sz w:val="32"/>
          <w:szCs w:val="24"/>
          <w:lang w:val="zh-CN"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zh-CN" w:eastAsia="zh-CN" w:bidi="ar"/>
        </w:rPr>
        <w:t>（三）行政效能分析</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财政预算按排在很大程度上保障了本单位基本支出及公用经费支出的正常工作运转。预算按排的项目支出也是非常必要的。财政预算按排大大提财政资金的使用效率，财政资金的安全性得到了有效保障，我们在执行预算过程中是严格按照财政各项制度规定来办理，单位在项目资金的使用上也是安全的。</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zh-CN" w:eastAsia="zh-CN" w:bidi="ar"/>
        </w:rPr>
        <w:t>四、其他需要说明的问题</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zh-CN" w:eastAsia="zh-CN" w:bidi="ar"/>
        </w:rPr>
        <w:t>（一）存在的问题</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1、预算编制欠严谨</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预算编制欠全面，项目有临时追加不够完整、细化</w:t>
      </w:r>
      <w:r>
        <w:rPr>
          <w:rFonts w:hint="eastAsia" w:ascii="仿宋_GB2312"/>
          <w:color w:val="000000"/>
          <w:sz w:val="32"/>
          <w:szCs w:val="32"/>
          <w:lang w:val="zh-CN" w:eastAsia="zh-CN"/>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2、预算执行存在偏差</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在实际经费列支中，未严格按照预算科目进行列支，部分基本支出挤占了项目支出。</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3、会计核算欠规范</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经费支出核算过程中，部分存在部分大额办公支出无明细、发票内容填写不规范等现象。</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楷体" w:hAnsi="楷体" w:eastAsia="楷体" w:cs="宋体"/>
          <w:color w:val="000000"/>
          <w:kern w:val="0"/>
          <w:sz w:val="32"/>
          <w:szCs w:val="24"/>
          <w:lang w:val="zh-CN" w:eastAsia="zh-CN" w:bidi="ar"/>
        </w:rPr>
      </w:pPr>
      <w:r>
        <w:rPr>
          <w:rFonts w:hint="eastAsia" w:ascii="楷体" w:hAnsi="楷体" w:eastAsia="楷体" w:cs="宋体"/>
          <w:color w:val="000000"/>
          <w:kern w:val="0"/>
          <w:sz w:val="32"/>
          <w:szCs w:val="24"/>
          <w:lang w:val="zh-CN" w:eastAsia="zh-CN" w:bidi="ar"/>
        </w:rPr>
        <w:t>（二）改进措施和有关建议</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1、科学合理编制预算，严格执行预算</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建议按照《预算法》及其实施条例的相关规定，参考上一年的预算执行情况和年度的收支预测科学编制预算，避免年中大幅追加以及超预算。在预算执行中，严格按照预算科目支出，避免预算科目间的预算资金调剂，确需调剂的，按规定程序报经批准。</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2、规范账务处理，提高财务信息质量</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zh-CN" w:eastAsia="zh-CN"/>
        </w:rPr>
      </w:pPr>
      <w:r>
        <w:rPr>
          <w:rFonts w:hint="eastAsia" w:ascii="仿宋_GB2312" w:eastAsia="仿宋_GB2312"/>
          <w:color w:val="000000"/>
          <w:sz w:val="32"/>
          <w:szCs w:val="32"/>
          <w:lang w:val="zh-CN" w:eastAsia="zh-CN"/>
        </w:rPr>
        <w:t>严格按照《会计法》、《行政单位会计制度》、《行政单位财务规则》等规定，结合实际情况，科学设置支出科目，规范财务核算，完整披露相关信息。</w:t>
      </w:r>
    </w:p>
    <w:p>
      <w:pPr>
        <w:spacing w:line="580" w:lineRule="exact"/>
        <w:ind w:firstLine="640" w:firstLineChars="200"/>
        <w:rPr>
          <w:rFonts w:ascii="仿宋_GB2312" w:hAnsi="仿宋_GB2312" w:eastAsia="仿宋_GB2312" w:cs="仿宋_GB2312"/>
          <w:sz w:val="32"/>
          <w:szCs w:val="32"/>
        </w:rPr>
      </w:pPr>
    </w:p>
    <w:p>
      <w:pPr>
        <w:widowControl/>
        <w:jc w:val="left"/>
        <w:rPr>
          <w:rFonts w:ascii="仿宋_GB2312" w:hAnsi="仿宋_GB2312" w:eastAsia="仿宋_GB2312" w:cs="仿宋_GB2312"/>
          <w:sz w:val="32"/>
          <w:szCs w:val="32"/>
        </w:rPr>
      </w:pPr>
      <w:r>
        <w:rPr>
          <w:rFonts w:ascii="仿宋_GB2312" w:hAnsi="仿宋_GB2312" w:eastAsia="仿宋_GB2312" w:cs="仿宋_GB2312"/>
          <w:sz w:val="32"/>
          <w:szCs w:val="32"/>
        </w:rPr>
        <w:br w:type="page"/>
      </w:r>
    </w:p>
    <w:p>
      <w:pPr>
        <w:pStyle w:val="5"/>
        <w:rPr>
          <w:rStyle w:val="26"/>
          <w:rFonts w:ascii="仿宋" w:hAnsi="仿宋" w:eastAsia="仿宋"/>
          <w:b w:val="0"/>
          <w:bCs w:val="0"/>
          <w:sz w:val="32"/>
          <w:szCs w:val="32"/>
        </w:rPr>
      </w:pPr>
      <w:bookmarkStart w:id="64" w:name="_Toc15396617"/>
      <w:r>
        <w:rPr>
          <w:rStyle w:val="26"/>
          <w:rFonts w:hint="eastAsia" w:ascii="仿宋" w:hAnsi="仿宋" w:eastAsia="仿宋"/>
          <w:b w:val="0"/>
          <w:bCs w:val="0"/>
          <w:sz w:val="32"/>
          <w:szCs w:val="32"/>
        </w:rPr>
        <w:t>附件2</w:t>
      </w:r>
      <w:bookmarkEnd w:id="64"/>
    </w:p>
    <w:p>
      <w:pPr>
        <w:pStyle w:val="31"/>
        <w:keepNext w:val="0"/>
        <w:keepLines w:val="0"/>
        <w:pageBreakBefore w:val="0"/>
        <w:widowControl/>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b/>
          <w:bCs w:val="0"/>
          <w:sz w:val="44"/>
          <w:szCs w:val="44"/>
        </w:rPr>
      </w:pPr>
      <w:bookmarkStart w:id="65" w:name="_Toc15396618"/>
      <w:r>
        <w:rPr>
          <w:rFonts w:hint="eastAsia" w:ascii="宋体" w:hAnsi="宋体" w:cs="宋体"/>
          <w:b/>
          <w:bCs w:val="0"/>
          <w:sz w:val="44"/>
          <w:szCs w:val="44"/>
          <w:lang w:val="en-US" w:eastAsia="zh-CN"/>
        </w:rPr>
        <w:t>红原县城乡规划建设和住房保障局</w:t>
      </w:r>
      <w:r>
        <w:rPr>
          <w:rFonts w:hint="eastAsia" w:ascii="宋体" w:hAnsi="宋体" w:eastAsia="宋体" w:cs="宋体"/>
          <w:b/>
          <w:bCs w:val="0"/>
          <w:sz w:val="44"/>
          <w:szCs w:val="44"/>
        </w:rPr>
        <w:t>项目</w:t>
      </w:r>
    </w:p>
    <w:p>
      <w:pPr>
        <w:pStyle w:val="31"/>
        <w:keepNext w:val="0"/>
        <w:keepLines w:val="0"/>
        <w:pageBreakBefore w:val="0"/>
        <w:widowControl/>
        <w:kinsoku/>
        <w:wordWrap/>
        <w:overflowPunct/>
        <w:topLinePunct w:val="0"/>
        <w:autoSpaceDE/>
        <w:autoSpaceDN/>
        <w:bidi w:val="0"/>
        <w:adjustRightInd/>
        <w:snapToGrid/>
        <w:spacing w:line="560" w:lineRule="exact"/>
        <w:jc w:val="center"/>
        <w:textAlignment w:val="auto"/>
        <w:outlineLvl w:val="9"/>
        <w:rPr>
          <w:rFonts w:hint="eastAsia" w:ascii="仿宋_GB2312" w:hAnsi="宋体" w:eastAsia="仿宋_GB2312" w:cs="仿宋_GB2312"/>
          <w:color w:val="auto"/>
          <w:kern w:val="2"/>
          <w:sz w:val="32"/>
          <w:szCs w:val="32"/>
        </w:rPr>
      </w:pPr>
      <w:r>
        <w:rPr>
          <w:rFonts w:hint="eastAsia" w:ascii="宋体" w:hAnsi="宋体" w:eastAsia="宋体" w:cs="宋体"/>
          <w:b/>
          <w:bCs w:val="0"/>
          <w:sz w:val="44"/>
          <w:szCs w:val="44"/>
        </w:rPr>
        <w:t>支出绩效自评报告</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outlineLvl w:val="9"/>
        <w:rPr>
          <w:rFonts w:hint="eastAsia" w:ascii="仿宋_GB2312" w:hAnsi="宋体" w:eastAsia="仿宋_GB2312" w:cs="仿宋_GB2312"/>
          <w:lang w:val="en-US"/>
        </w:rPr>
      </w:pPr>
      <w:r>
        <w:rPr>
          <w:rFonts w:hint="eastAsia" w:ascii="仿宋_GB2312" w:hAnsi="宋体" w:eastAsia="仿宋_GB2312" w:cs="仿宋_GB2312"/>
          <w:kern w:val="2"/>
          <w:sz w:val="32"/>
          <w:szCs w:val="24"/>
          <w:lang w:val="en-US" w:eastAsia="zh-CN" w:bidi="ar"/>
        </w:rPr>
        <w:t>（红原县绿色经济产业园区基础设施建设项目）</w:t>
      </w:r>
    </w:p>
    <w:p>
      <w:pPr>
        <w:pStyle w:val="31"/>
        <w:keepNext w:val="0"/>
        <w:keepLines w:val="0"/>
        <w:pageBreakBefore w:val="0"/>
        <w:widowControl/>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auto"/>
          <w:kern w:val="2"/>
          <w:sz w:val="32"/>
          <w:szCs w:val="32"/>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黑体" w:hAnsi="宋体" w:eastAsia="黑体" w:cs="黑体"/>
          <w:lang w:val="zh-CN" w:eastAsia="zh-CN"/>
        </w:rPr>
      </w:pPr>
      <w:r>
        <w:rPr>
          <w:rFonts w:hint="eastAsia" w:ascii="黑体" w:hAnsi="宋体" w:eastAsia="黑体" w:cs="黑体"/>
          <w:kern w:val="2"/>
          <w:sz w:val="32"/>
          <w:szCs w:val="24"/>
          <w:lang w:val="en-US" w:eastAsia="zh-CN" w:bidi="ar"/>
        </w:rPr>
        <w:t>一、</w:t>
      </w:r>
      <w:r>
        <w:rPr>
          <w:rFonts w:hint="eastAsia" w:ascii="黑体" w:hAnsi="宋体" w:eastAsia="黑体" w:cs="黑体"/>
          <w:kern w:val="2"/>
          <w:sz w:val="32"/>
          <w:szCs w:val="24"/>
          <w:lang w:val="zh-CN" w:eastAsia="zh-CN" w:bidi="ar"/>
        </w:rPr>
        <w:t>项目概况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（一）项目基本情况。</w:t>
      </w:r>
    </w:p>
    <w:p>
      <w:pPr>
        <w:keepNext w:val="0"/>
        <w:keepLines w:val="0"/>
        <w:pageBreakBefore w:val="0"/>
        <w:widowControl w:val="0"/>
        <w:kinsoku/>
        <w:wordWrap/>
        <w:overflowPunct/>
        <w:topLinePunct w:val="0"/>
        <w:autoSpaceDE/>
        <w:autoSpaceDN/>
        <w:bidi w:val="0"/>
        <w:spacing w:line="480" w:lineRule="exact"/>
        <w:ind w:right="0" w:righ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宋体" w:eastAsia="仿宋_GB2312" w:cs="仿宋_GB2312"/>
          <w:kern w:val="2"/>
          <w:sz w:val="32"/>
          <w:szCs w:val="24"/>
          <w:lang w:val="en-US" w:eastAsia="zh-CN" w:bidi="ar"/>
        </w:rPr>
        <w:t>红原县绿色经济产业园区基础设施建设项目位于红原县邛溪镇，项目于2014年通过红原县发展改革和经济商务信息化局（红发改</w:t>
      </w:r>
      <w:r>
        <w:rPr>
          <w:rFonts w:hint="eastAsia" w:ascii="宋体" w:hAnsi="宋体" w:eastAsia="宋体" w:cs="宋体"/>
          <w:kern w:val="2"/>
          <w:sz w:val="32"/>
          <w:szCs w:val="24"/>
          <w:lang w:val="en-US" w:eastAsia="zh-CN" w:bidi="ar"/>
        </w:rPr>
        <w:t>〖</w:t>
      </w:r>
      <w:r>
        <w:rPr>
          <w:rFonts w:hint="eastAsia" w:ascii="仿宋_GB2312" w:hAnsi="宋体" w:eastAsia="仿宋_GB2312" w:cs="仿宋_GB2312"/>
          <w:kern w:val="2"/>
          <w:sz w:val="32"/>
          <w:szCs w:val="24"/>
          <w:lang w:val="en-US" w:eastAsia="zh-CN" w:bidi="ar"/>
        </w:rPr>
        <w:t>2014</w:t>
      </w:r>
      <w:r>
        <w:rPr>
          <w:rFonts w:hint="eastAsia" w:ascii="宋体" w:hAnsi="宋体" w:eastAsia="宋体" w:cs="宋体"/>
          <w:kern w:val="2"/>
          <w:sz w:val="32"/>
          <w:szCs w:val="24"/>
          <w:lang w:val="en-US" w:eastAsia="zh-CN" w:bidi="ar"/>
        </w:rPr>
        <w:t>〗</w:t>
      </w:r>
      <w:r>
        <w:rPr>
          <w:rFonts w:hint="eastAsia" w:ascii="仿宋_GB2312" w:hAnsi="宋体" w:eastAsia="仿宋_GB2312" w:cs="仿宋_GB2312"/>
          <w:kern w:val="2"/>
          <w:sz w:val="32"/>
          <w:szCs w:val="24"/>
          <w:lang w:val="en-US" w:eastAsia="zh-CN" w:bidi="ar"/>
        </w:rPr>
        <w:t>66号）批准立项，道路总长3962米，建设内容包括道路工程、桥梁工程、给排水工程、电力通信管网、照明工程及燃气工程。</w:t>
      </w:r>
      <w:r>
        <w:rPr>
          <w:rFonts w:hint="eastAsia" w:ascii="仿宋_GB2312" w:hAnsi="宋体" w:eastAsia="仿宋_GB2312" w:cs="宋体"/>
          <w:color w:val="000000"/>
          <w:kern w:val="0"/>
          <w:sz w:val="32"/>
          <w:szCs w:val="24"/>
          <w:lang w:val="zh-CN" w:eastAsia="zh-CN" w:bidi="ar"/>
        </w:rPr>
        <w:t>我局负责研究拟定</w:t>
      </w:r>
      <w:r>
        <w:rPr>
          <w:rFonts w:hint="eastAsia" w:ascii="仿宋_GB2312" w:hAnsi="宋体" w:eastAsia="仿宋_GB2312" w:cs="宋体"/>
          <w:color w:val="000000"/>
          <w:kern w:val="0"/>
          <w:sz w:val="32"/>
          <w:szCs w:val="24"/>
          <w:lang w:val="en-US" w:eastAsia="zh-CN" w:bidi="ar"/>
        </w:rPr>
        <w:t>道路</w:t>
      </w:r>
      <w:r>
        <w:rPr>
          <w:rFonts w:hint="eastAsia" w:ascii="仿宋_GB2312" w:hAnsi="宋体" w:eastAsia="仿宋_GB2312" w:cs="宋体"/>
          <w:color w:val="000000"/>
          <w:kern w:val="0"/>
          <w:sz w:val="32"/>
          <w:szCs w:val="24"/>
          <w:lang w:val="zh-CN" w:eastAsia="zh-CN" w:bidi="ar"/>
        </w:rPr>
        <w:t>规划、工程建设、负责规划区</w:t>
      </w:r>
      <w:r>
        <w:rPr>
          <w:rFonts w:hint="eastAsia" w:ascii="仿宋_GB2312" w:hAnsi="宋体" w:eastAsia="仿宋_GB2312" w:cs="宋体"/>
          <w:color w:val="000000"/>
          <w:kern w:val="0"/>
          <w:sz w:val="32"/>
          <w:szCs w:val="24"/>
          <w:lang w:val="en-US" w:eastAsia="zh-CN" w:bidi="ar"/>
        </w:rPr>
        <w:t>的</w:t>
      </w:r>
      <w:r>
        <w:rPr>
          <w:rFonts w:hint="eastAsia" w:ascii="仿宋_GB2312" w:hAnsi="宋体" w:eastAsia="仿宋_GB2312" w:cs="宋体"/>
          <w:color w:val="000000"/>
          <w:kern w:val="0"/>
          <w:sz w:val="32"/>
          <w:szCs w:val="24"/>
          <w:lang w:val="zh-CN" w:eastAsia="zh-CN" w:bidi="ar"/>
        </w:rPr>
        <w:t>规划编制审批和管理、负责统一管理全县建筑业施工企业、工程监理单位、工程咨询单位、招标投标代理机构等的资和从业人员执业资格审查、报批工作，查处违法违规行为。</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（二）项目绩效目标。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lang w:val="zh-CN" w:eastAsia="zh-CN"/>
        </w:rPr>
      </w:pPr>
      <w:r>
        <w:rPr>
          <w:rFonts w:hint="eastAsia" w:ascii="仿宋_GB2312" w:hAnsi="仿宋_GB2312" w:eastAsia="仿宋_GB2312" w:cs="仿宋_GB2312"/>
          <w:sz w:val="32"/>
          <w:szCs w:val="32"/>
          <w:lang w:val="zh-CN"/>
        </w:rPr>
        <w:t>本项目于</w:t>
      </w:r>
      <w:r>
        <w:rPr>
          <w:rFonts w:hint="eastAsia" w:ascii="仿宋_GB2312" w:hAnsi="仿宋_GB2312" w:eastAsia="仿宋_GB2312" w:cs="仿宋_GB2312"/>
          <w:sz w:val="32"/>
          <w:szCs w:val="32"/>
          <w:lang w:val="en-US" w:eastAsia="zh-CN"/>
        </w:rPr>
        <w:t>2014年经县人民政府批准，由县县发改局移交给红原县城乡规划建设和住房保障局作为业主单位进行管理，</w:t>
      </w:r>
      <w:r>
        <w:rPr>
          <w:rFonts w:hint="eastAsia" w:ascii="仿宋_GB2312" w:hAnsi="宋体" w:eastAsia="仿宋_GB2312" w:cs="仿宋_GB2312"/>
          <w:kern w:val="2"/>
          <w:sz w:val="32"/>
          <w:szCs w:val="24"/>
          <w:lang w:val="en-US" w:eastAsia="zh-CN" w:bidi="ar"/>
        </w:rPr>
        <w:t>该项目于2016年8月17日竣工验收合格并投入使用，</w:t>
      </w:r>
      <w:r>
        <w:rPr>
          <w:rFonts w:hint="eastAsia" w:ascii="仿宋_GB2312" w:hAnsi="宋体" w:eastAsia="仿宋_GB2312" w:cs="仿宋_GB2312"/>
          <w:kern w:val="2"/>
          <w:sz w:val="32"/>
          <w:szCs w:val="24"/>
          <w:lang w:val="zh-CN" w:eastAsia="zh-CN" w:bidi="ar"/>
        </w:rPr>
        <w:t>改善</w:t>
      </w:r>
      <w:r>
        <w:rPr>
          <w:rFonts w:hint="eastAsia" w:ascii="仿宋_GB2312" w:hAnsi="宋体" w:eastAsia="仿宋_GB2312" w:cs="仿宋_GB2312"/>
          <w:kern w:val="2"/>
          <w:sz w:val="32"/>
          <w:szCs w:val="24"/>
          <w:lang w:val="en-US" w:eastAsia="zh-CN" w:bidi="ar"/>
        </w:rPr>
        <w:t>了</w:t>
      </w:r>
      <w:r>
        <w:rPr>
          <w:rFonts w:hint="eastAsia" w:ascii="仿宋_GB2312" w:hAnsi="宋体" w:eastAsia="仿宋_GB2312" w:cs="仿宋_GB2312"/>
          <w:kern w:val="2"/>
          <w:sz w:val="32"/>
          <w:szCs w:val="24"/>
          <w:lang w:val="zh-CN" w:eastAsia="zh-CN" w:bidi="ar"/>
        </w:rPr>
        <w:t>交通状况，给居民创造一个良好的居住生活环境、</w:t>
      </w:r>
      <w:r>
        <w:rPr>
          <w:rFonts w:hint="eastAsia" w:ascii="仿宋_GB2312" w:hAnsi="宋体" w:eastAsia="仿宋_GB2312" w:cs="仿宋_GB2312"/>
          <w:kern w:val="2"/>
          <w:sz w:val="32"/>
          <w:szCs w:val="24"/>
          <w:lang w:val="en-US" w:eastAsia="zh-CN" w:bidi="ar"/>
        </w:rPr>
        <w:t>满足人民群众的出行要求，完善城市功能，提升城市形象；本项目的建设能够改善城区的交通状况，提升项目周边土地商业价值，从而加速商贸流通，创造更多的就业机会，使藏区居民的收入水平得到提高。</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（三）项目自评步骤及方法。</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ascii="仿宋_GB2312" w:hAnsi="宋体" w:eastAsia="仿宋_GB2312" w:cs="仿宋_GB2312"/>
          <w:i w:val="0"/>
          <w:caps w:val="0"/>
          <w:color w:val="000000"/>
          <w:spacing w:val="0"/>
          <w:sz w:val="32"/>
          <w:szCs w:val="32"/>
          <w:shd w:val="clear" w:color="auto" w:fill="FFFFFF"/>
        </w:rPr>
        <w:t>项目采取自评方式，成立项目自评</w:t>
      </w:r>
      <w:r>
        <w:rPr>
          <w:rFonts w:hint="eastAsia" w:ascii="仿宋_GB2312" w:hAnsi="宋体" w:eastAsia="仿宋_GB2312" w:cs="仿宋_GB2312"/>
          <w:i w:val="0"/>
          <w:caps w:val="0"/>
          <w:color w:val="000000"/>
          <w:spacing w:val="0"/>
          <w:sz w:val="32"/>
          <w:szCs w:val="32"/>
          <w:shd w:val="clear" w:color="auto" w:fill="FFFFFF"/>
          <w:lang w:val="en-US" w:eastAsia="zh-CN"/>
        </w:rPr>
        <w:t>领导</w:t>
      </w:r>
      <w:r>
        <w:rPr>
          <w:rFonts w:ascii="仿宋_GB2312" w:hAnsi="宋体" w:eastAsia="仿宋_GB2312" w:cs="仿宋_GB2312"/>
          <w:i w:val="0"/>
          <w:caps w:val="0"/>
          <w:color w:val="000000"/>
          <w:spacing w:val="0"/>
          <w:sz w:val="32"/>
          <w:szCs w:val="32"/>
          <w:shd w:val="clear" w:color="auto" w:fill="FFFFFF"/>
        </w:rPr>
        <w:t>小组，结合评价内容，做到有计划，有安排，扎实开展本次自评工作。按照上级下达的项目支出绩效评价指标体系，自评小组针对申报内容、实施情况、资金兑现、财务管理、社会效益等做出自我评价。</w:t>
      </w:r>
      <w:r>
        <w:rPr>
          <w:rFonts w:hint="eastAsia" w:ascii="仿宋_GB2312" w:hAnsi="宋体" w:eastAsia="仿宋_GB2312" w:cs="仿宋_GB2312"/>
          <w:i w:val="0"/>
          <w:caps w:val="0"/>
          <w:color w:val="000000"/>
          <w:spacing w:val="0"/>
          <w:sz w:val="32"/>
          <w:szCs w:val="32"/>
          <w:shd w:val="clear" w:color="auto" w:fill="FFFFFF"/>
          <w:lang w:val="en-US" w:eastAsia="zh-CN"/>
        </w:rPr>
        <w:t>领导小组如下：</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组  长：杨 彬      副局长</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副组长：杨 莉      副局长</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 xml:space="preserve">        俄邓学     副局长</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成  员：张尚斌、马国慧、李雷、李洋、王辉、周德云、阎肃</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办公室设在财务室</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黑体" w:hAnsi="宋体" w:eastAsia="黑体" w:cs="黑体"/>
          <w:lang w:val="en-US"/>
        </w:rPr>
      </w:pPr>
      <w:r>
        <w:rPr>
          <w:rFonts w:hint="eastAsia" w:ascii="黑体" w:hAnsi="宋体" w:eastAsia="黑体" w:cs="黑体"/>
          <w:kern w:val="2"/>
          <w:sz w:val="32"/>
          <w:szCs w:val="24"/>
          <w:lang w:val="en-US" w:eastAsia="zh-CN" w:bidi="ar"/>
        </w:rPr>
        <w:t>二、项目资金申报及使用情况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（一）项目资金申报及批复情况。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kern w:val="2"/>
          <w:sz w:val="32"/>
          <w:szCs w:val="24"/>
          <w:lang w:val="en-US" w:eastAsia="zh-CN" w:bidi="ar"/>
        </w:rPr>
      </w:pPr>
      <w:r>
        <w:rPr>
          <w:rFonts w:hint="eastAsia" w:ascii="仿宋_GB2312" w:hAnsi="宋体" w:eastAsia="仿宋_GB2312" w:cs="仿宋_GB2312"/>
          <w:kern w:val="2"/>
          <w:sz w:val="32"/>
          <w:szCs w:val="24"/>
          <w:lang w:val="en-US" w:eastAsia="zh-CN" w:bidi="ar"/>
        </w:rPr>
        <w:t>红原县绿色经济产业园区基础设施建设项目总投资：4126.22万元，</w:t>
      </w:r>
      <w:r>
        <w:rPr>
          <w:rFonts w:ascii="仿宋_GB2312" w:hAnsi="宋体" w:eastAsia="仿宋_GB2312" w:cs="仿宋_GB2312"/>
          <w:i w:val="0"/>
          <w:caps w:val="0"/>
          <w:color w:val="000000"/>
          <w:spacing w:val="0"/>
          <w:sz w:val="32"/>
          <w:szCs w:val="32"/>
          <w:shd w:val="clear" w:color="auto" w:fill="FFFFFF"/>
        </w:rPr>
        <w:t>经财政局批复下达后，全部用于</w:t>
      </w:r>
      <w:r>
        <w:rPr>
          <w:rFonts w:hint="eastAsia" w:ascii="仿宋_GB2312" w:hAnsi="宋体" w:eastAsia="仿宋_GB2312" w:cs="仿宋_GB2312"/>
          <w:kern w:val="2"/>
          <w:sz w:val="32"/>
          <w:szCs w:val="24"/>
          <w:lang w:val="en-US" w:eastAsia="zh-CN" w:bidi="ar"/>
        </w:rPr>
        <w:t>绿色经济产业园区基础设施建设项目。</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lang w:val="zh-CN" w:eastAsia="zh-CN"/>
        </w:rPr>
      </w:pPr>
      <w:r>
        <w:rPr>
          <w:rFonts w:hint="eastAsia" w:ascii="楷体_GB2312" w:hAnsi="宋体" w:eastAsia="楷体_GB2312" w:cs="楷体_GB2312"/>
          <w:b/>
          <w:bCs w:val="0"/>
          <w:kern w:val="2"/>
          <w:sz w:val="32"/>
          <w:szCs w:val="24"/>
          <w:lang w:val="zh-CN" w:eastAsia="zh-CN" w:bidi="ar"/>
        </w:rPr>
        <w:t>（二）资金计划、到位及使用情况（可用表格形式反映）。</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kern w:val="2"/>
          <w:sz w:val="32"/>
          <w:szCs w:val="24"/>
          <w:lang w:val="en-US" w:eastAsia="zh-CN" w:bidi="ar"/>
        </w:rPr>
      </w:pPr>
      <w:r>
        <w:rPr>
          <w:rFonts w:hint="eastAsia" w:ascii="楷体_GB2312" w:hAnsi="宋体" w:eastAsia="楷体_GB2312" w:cs="楷体_GB2312"/>
          <w:kern w:val="2"/>
          <w:sz w:val="32"/>
          <w:szCs w:val="24"/>
          <w:lang w:val="zh-CN" w:eastAsia="zh-CN" w:bidi="ar"/>
        </w:rPr>
        <w:t>1．资金计划</w:t>
      </w:r>
      <w:r>
        <w:rPr>
          <w:rFonts w:hint="eastAsia" w:ascii="楷体_GB2312" w:hAnsi="宋体" w:eastAsia="楷体_GB2312" w:cs="楷体_GB2312"/>
          <w:kern w:val="2"/>
          <w:sz w:val="32"/>
          <w:szCs w:val="24"/>
          <w:lang w:val="en-US" w:eastAsia="zh-CN" w:bidi="ar"/>
        </w:rPr>
        <w:t>及到位</w:t>
      </w:r>
      <w:r>
        <w:rPr>
          <w:rFonts w:hint="eastAsia" w:ascii="楷体_GB2312" w:hAnsi="宋体" w:eastAsia="楷体_GB2312" w:cs="楷体_GB2312"/>
          <w:kern w:val="2"/>
          <w:sz w:val="32"/>
          <w:szCs w:val="24"/>
          <w:lang w:val="zh-CN" w:eastAsia="zh-CN" w:bidi="ar"/>
        </w:rPr>
        <w:t>。</w:t>
      </w:r>
      <w:r>
        <w:rPr>
          <w:rFonts w:hint="eastAsia" w:ascii="仿宋_GB2312" w:hAnsi="宋体" w:eastAsia="仿宋_GB2312" w:cs="仿宋_GB2312"/>
          <w:kern w:val="2"/>
          <w:sz w:val="32"/>
          <w:szCs w:val="24"/>
          <w:lang w:val="en-US" w:eastAsia="zh-CN" w:bidi="ar"/>
        </w:rPr>
        <w:t xml:space="preserve">资金来源为专项援藏资金及地方配套资金；截止目前已全部到位，资金到位率100%到位及时。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楷体_GB2312" w:hAnsi="宋体" w:eastAsia="楷体_GB2312" w:cs="楷体_GB2312"/>
          <w:kern w:val="2"/>
          <w:sz w:val="32"/>
          <w:szCs w:val="24"/>
          <w:lang w:val="en-US" w:eastAsia="zh-CN" w:bidi="ar"/>
        </w:rPr>
      </w:pPr>
      <w:r>
        <w:rPr>
          <w:rFonts w:hint="eastAsia" w:ascii="楷体_GB2312" w:hAnsi="宋体" w:eastAsia="楷体_GB2312" w:cs="楷体_GB2312"/>
          <w:kern w:val="2"/>
          <w:sz w:val="32"/>
          <w:szCs w:val="24"/>
          <w:lang w:val="en-US" w:eastAsia="zh-CN" w:bidi="ar"/>
        </w:rPr>
        <w:t>2</w:t>
      </w:r>
      <w:r>
        <w:rPr>
          <w:rFonts w:hint="eastAsia" w:ascii="楷体_GB2312" w:hAnsi="宋体" w:eastAsia="楷体_GB2312" w:cs="楷体_GB2312"/>
          <w:kern w:val="2"/>
          <w:sz w:val="32"/>
          <w:szCs w:val="24"/>
          <w:lang w:val="zh-CN" w:eastAsia="zh-CN" w:bidi="ar"/>
        </w:rPr>
        <w:t>．资金使用。</w:t>
      </w:r>
      <w:r>
        <w:rPr>
          <w:rFonts w:hint="eastAsia" w:ascii="仿宋_GB2312" w:hAnsi="宋体" w:eastAsia="仿宋_GB2312" w:cs="仿宋_GB2312"/>
          <w:kern w:val="2"/>
          <w:sz w:val="32"/>
          <w:szCs w:val="24"/>
          <w:lang w:val="en-US" w:eastAsia="zh-CN" w:bidi="ar"/>
        </w:rPr>
        <w:t>2017年浙江援建资金175万元，已于2017年6月拨付四川万桁园林建筑工程有限公司，绿色经济产业园区基础设施建设项目二期工程。扣除质保金外所有工程款已拨付完毕。</w:t>
      </w:r>
      <w:r>
        <w:rPr>
          <w:rFonts w:hint="eastAsia" w:ascii="楷体_GB2312" w:hAnsi="宋体" w:eastAsia="楷体_GB2312" w:cs="楷体_GB2312"/>
          <w:kern w:val="2"/>
          <w:sz w:val="32"/>
          <w:szCs w:val="24"/>
          <w:lang w:val="en-US" w:eastAsia="zh-CN" w:bidi="ar"/>
        </w:rPr>
        <w:t xml:space="preserve">                                                                                                                                                                                                                                                                                                                                                                                                                                                                                                                                                                                                                                                                                                                                                                                                                                                                                                                                                                                                                                                                                                                                                                                                                                                                                                                                                                                                                                                                                                                                                                                                                                                                                                                                                                                                                                                                                                                                                                                                                                                                                                                                                                                                                                                                                                                                                                                                                                                                                                                                                                                                                                                                                                                                                                                                                                                                                                                                                                                                                                                                                                                                                                                                                                                                                                                                                                                                                                                                                                                                                                                                                                                                                                                                                                                                                                                                                                                                                                                                                                                                                                                                                                                                                </w:t>
      </w:r>
      <w:r>
        <w:rPr>
          <w:rFonts w:hint="eastAsia" w:ascii="楷体_GB2312" w:hAnsi="宋体" w:eastAsia="楷体_GB2312" w:cs="楷体_GB2312"/>
          <w:kern w:val="2"/>
          <w:sz w:val="32"/>
          <w:szCs w:val="24"/>
          <w:lang w:val="en-US" w:eastAsia="zh-CN" w:bidi="ar"/>
        </w:rPr>
        <w:t xml:space="preserve">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（三）项目财务管理情况。</w:t>
      </w:r>
    </w:p>
    <w:p>
      <w:pPr>
        <w:keepNext w:val="0"/>
        <w:keepLines w:val="0"/>
        <w:pageBreakBefore w:val="0"/>
        <w:kinsoku/>
        <w:wordWrap/>
        <w:overflowPunct/>
        <w:topLinePunct w:val="0"/>
        <w:autoSpaceDE/>
        <w:autoSpaceDN/>
        <w:bidi w:val="0"/>
        <w:adjustRightInd w:val="0"/>
        <w:snapToGrid w:val="0"/>
        <w:spacing w:line="480" w:lineRule="exact"/>
        <w:ind w:firstLine="720"/>
        <w:textAlignment w:val="auto"/>
        <w:rPr>
          <w:rFonts w:hint="eastAsia" w:ascii="仿宋_GB2312" w:hAnsi="仿宋_GB2312" w:eastAsia="仿宋_GB2312" w:cs="仿宋_GB2312"/>
          <w:sz w:val="32"/>
          <w:szCs w:val="32"/>
          <w:lang w:val="zh-CN"/>
        </w:rPr>
      </w:pPr>
      <w:r>
        <w:rPr>
          <w:rFonts w:hint="eastAsia" w:ascii="仿宋_GB2312" w:hAnsi="宋体" w:eastAsia="仿宋_GB2312" w:cs="仿宋_GB2312"/>
          <w:kern w:val="2"/>
          <w:sz w:val="32"/>
          <w:szCs w:val="24"/>
          <w:lang w:val="en-US" w:eastAsia="zh-CN" w:bidi="ar"/>
        </w:rPr>
        <w:t>红原县绿色经济产业园区基础设施建设项目我局</w:t>
      </w:r>
      <w:r>
        <w:rPr>
          <w:rFonts w:hint="eastAsia" w:ascii="仿宋_GB2312" w:hAnsi="宋体" w:eastAsia="仿宋_GB2312" w:cs="仿宋_GB2312"/>
          <w:kern w:val="2"/>
          <w:sz w:val="32"/>
          <w:szCs w:val="24"/>
          <w:lang w:val="zh-CN" w:eastAsia="zh-CN" w:bidi="ar"/>
        </w:rPr>
        <w:t>完善了</w:t>
      </w:r>
      <w:r>
        <w:rPr>
          <w:rFonts w:hint="eastAsia" w:ascii="仿宋_GB2312" w:hAnsi="宋体" w:eastAsia="仿宋_GB2312" w:cs="仿宋_GB2312"/>
          <w:kern w:val="2"/>
          <w:sz w:val="32"/>
          <w:szCs w:val="24"/>
          <w:lang w:val="en-US" w:eastAsia="zh-CN" w:bidi="ar"/>
        </w:rPr>
        <w:t>相关</w:t>
      </w:r>
      <w:r>
        <w:rPr>
          <w:rFonts w:hint="eastAsia" w:ascii="仿宋_GB2312" w:hAnsi="宋体" w:eastAsia="仿宋_GB2312" w:cs="仿宋_GB2312"/>
          <w:kern w:val="2"/>
          <w:sz w:val="32"/>
          <w:szCs w:val="24"/>
          <w:lang w:val="zh-CN" w:eastAsia="zh-CN" w:bidi="ar"/>
        </w:rPr>
        <w:t>财务工作制度。</w:t>
      </w:r>
      <w:r>
        <w:rPr>
          <w:rFonts w:hint="eastAsia" w:ascii="仿宋_GB2312" w:hAnsi="宋体" w:eastAsia="仿宋_GB2312" w:cs="仿宋_GB2312"/>
          <w:kern w:val="2"/>
          <w:sz w:val="32"/>
          <w:szCs w:val="24"/>
          <w:lang w:val="en-US" w:eastAsia="zh-CN" w:bidi="ar"/>
        </w:rPr>
        <w:t>一是</w:t>
      </w:r>
      <w:r>
        <w:rPr>
          <w:rFonts w:hint="eastAsia" w:ascii="仿宋_GB2312" w:hAnsi="宋体" w:eastAsia="仿宋_GB2312" w:cs="仿宋_GB2312"/>
          <w:kern w:val="2"/>
          <w:sz w:val="32"/>
          <w:szCs w:val="24"/>
          <w:lang w:val="zh-CN" w:eastAsia="zh-CN" w:bidi="ar"/>
        </w:rPr>
        <w:t>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w:t>
      </w:r>
      <w:r>
        <w:rPr>
          <w:rFonts w:hint="eastAsia" w:ascii="仿宋_GB2312" w:hAnsi="宋体" w:eastAsia="仿宋_GB2312" w:cs="仿宋_GB2312"/>
          <w:kern w:val="2"/>
          <w:sz w:val="32"/>
          <w:szCs w:val="24"/>
          <w:lang w:val="en-US" w:eastAsia="zh-CN" w:bidi="ar"/>
        </w:rPr>
        <w:t>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w:t>
      </w:r>
      <w:r>
        <w:rPr>
          <w:rFonts w:hint="eastAsia" w:ascii="仿宋_GB2312" w:hAnsi="宋体" w:eastAsia="仿宋_GB2312" w:cs="仿宋_GB2312"/>
          <w:kern w:val="2"/>
          <w:sz w:val="32"/>
          <w:szCs w:val="24"/>
          <w:lang w:val="zh-CN" w:eastAsia="zh-CN" w:bidi="ar"/>
        </w:rPr>
        <w:t>说明项目财务管理制度建设、机构设置、会计核算及账务处理等相关情况。对照项目资金管理办法，评价项目是否严格执行财务管理制度、财务处理是否及时、会计核算是否规范等。</w:t>
      </w:r>
      <w:r>
        <w:rPr>
          <w:rFonts w:hint="eastAsia" w:ascii="仿宋_GB2312" w:hAnsi="仿宋_GB2312" w:eastAsia="仿宋_GB2312" w:cs="仿宋_GB2312"/>
          <w:sz w:val="32"/>
          <w:szCs w:val="32"/>
          <w:lang w:val="zh-CN"/>
        </w:rPr>
        <w:t>项目</w:t>
      </w:r>
      <w:r>
        <w:rPr>
          <w:rFonts w:hint="eastAsia" w:ascii="仿宋_GB2312" w:hAnsi="仿宋_GB2312" w:eastAsia="仿宋_GB2312" w:cs="仿宋_GB2312"/>
          <w:sz w:val="32"/>
          <w:szCs w:val="32"/>
          <w:lang w:val="en-US" w:eastAsia="zh-CN"/>
        </w:rPr>
        <w:t>实施工程中</w:t>
      </w:r>
      <w:r>
        <w:rPr>
          <w:rFonts w:hint="eastAsia" w:ascii="仿宋_GB2312" w:hAnsi="仿宋_GB2312" w:eastAsia="仿宋_GB2312" w:cs="仿宋_GB2312"/>
          <w:sz w:val="32"/>
          <w:szCs w:val="32"/>
          <w:lang w:val="zh-CN"/>
        </w:rPr>
        <w:t>严格按照项目财务管理制度进行财务管理，专款专用，专人负责，严格对照资金管理办法，不拆借资金，规范会计核算程序。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黑体" w:hAnsi="宋体" w:eastAsia="黑体" w:cs="黑体"/>
          <w:lang w:val="en-US"/>
        </w:rPr>
      </w:pPr>
      <w:r>
        <w:rPr>
          <w:rFonts w:hint="eastAsia" w:ascii="黑体" w:hAnsi="宋体" w:eastAsia="黑体" w:cs="黑体"/>
          <w:kern w:val="2"/>
          <w:sz w:val="32"/>
          <w:szCs w:val="24"/>
          <w:lang w:val="en-US" w:eastAsia="zh-CN" w:bidi="ar"/>
        </w:rPr>
        <w:t>三、项目实施及管理情况</w:t>
      </w:r>
    </w:p>
    <w:p>
      <w:pPr>
        <w:keepNext w:val="0"/>
        <w:keepLines w:val="0"/>
        <w:pageBreakBefore w:val="0"/>
        <w:widowControl w:val="0"/>
        <w:kinsoku/>
        <w:wordWrap/>
        <w:overflowPunct/>
        <w:topLinePunct w:val="0"/>
        <w:autoSpaceDE/>
        <w:autoSpaceDN/>
        <w:bidi w:val="0"/>
        <w:adjustRightInd w:val="0"/>
        <w:snapToGrid w:val="0"/>
        <w:spacing w:line="480" w:lineRule="exact"/>
        <w:ind w:left="0" w:leftChars="0" w:right="0" w:rightChars="0" w:firstLine="72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en-US" w:eastAsia="zh-CN"/>
        </w:rPr>
        <w:t>项目实施阶段设置一名工作人员</w:t>
      </w:r>
      <w:r>
        <w:rPr>
          <w:rFonts w:hint="eastAsia" w:ascii="仿宋_GB2312" w:hAnsi="仿宋_GB2312" w:eastAsia="仿宋_GB2312" w:cs="仿宋_GB2312"/>
          <w:sz w:val="32"/>
          <w:szCs w:val="32"/>
          <w:lang w:val="zh-CN"/>
        </w:rPr>
        <w:t>专管本项目，严格招标投标程序，严格按发改部门批复的招投标程序进行招标，不拆分项目，不单列分包招标，保证项目招投标的严肃性。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lang w:val="zh-CN" w:eastAsia="zh-CN"/>
        </w:rPr>
      </w:pPr>
      <w:r>
        <w:rPr>
          <w:rFonts w:hint="eastAsia" w:ascii="黑体" w:hAnsi="宋体" w:eastAsia="黑体" w:cs="黑体"/>
          <w:kern w:val="2"/>
          <w:sz w:val="32"/>
          <w:szCs w:val="24"/>
          <w:lang w:val="en-US" w:eastAsia="zh-CN" w:bidi="ar"/>
        </w:rPr>
        <w:t>四、项目绩效情况</w:t>
      </w:r>
      <w:r>
        <w:rPr>
          <w:rFonts w:hint="eastAsia" w:ascii="仿宋_GB2312" w:hAnsi="宋体" w:eastAsia="仿宋_GB2312" w:cs="仿宋_GB2312"/>
          <w:kern w:val="2"/>
          <w:sz w:val="32"/>
          <w:szCs w:val="24"/>
          <w:lang w:val="zh-CN" w:eastAsia="zh-CN" w:bidi="ar"/>
        </w:rPr>
        <w:tab/>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楷体_GB2312" w:hAnsi="宋体" w:eastAsia="楷体_GB2312" w:cs="楷体_GB2312"/>
          <w:b/>
          <w:bCs w:val="0"/>
          <w:lang w:val="en-US" w:eastAsia="zh-CN"/>
        </w:rPr>
      </w:pPr>
      <w:r>
        <w:rPr>
          <w:rFonts w:hint="eastAsia" w:ascii="楷体_GB2312" w:hAnsi="宋体" w:eastAsia="楷体_GB2312" w:cs="楷体_GB2312"/>
          <w:b/>
          <w:bCs w:val="0"/>
          <w:kern w:val="2"/>
          <w:sz w:val="32"/>
          <w:szCs w:val="24"/>
          <w:lang w:val="zh-CN" w:eastAsia="zh-CN" w:bidi="ar"/>
        </w:rPr>
        <w:t>（一）项目完成情况。</w:t>
      </w:r>
      <w:r>
        <w:rPr>
          <w:rFonts w:hint="eastAsia" w:ascii="楷体_GB2312" w:hAnsi="宋体" w:eastAsia="楷体_GB2312" w:cs="楷体_GB2312"/>
          <w:b/>
          <w:bCs w:val="0"/>
          <w:kern w:val="2"/>
          <w:sz w:val="32"/>
          <w:szCs w:val="24"/>
          <w:lang w:val="en-US" w:eastAsia="zh-CN" w:bidi="ar"/>
        </w:rPr>
        <w:t xml:space="preserve">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kern w:val="2"/>
          <w:sz w:val="32"/>
          <w:szCs w:val="24"/>
          <w:lang w:val="zh-CN" w:eastAsia="zh-CN" w:bidi="ar"/>
        </w:rPr>
      </w:pPr>
      <w:r>
        <w:rPr>
          <w:rFonts w:hint="eastAsia" w:ascii="仿宋_GB2312" w:hAnsi="宋体" w:eastAsia="仿宋_GB2312" w:cs="仿宋_GB2312"/>
          <w:kern w:val="2"/>
          <w:sz w:val="32"/>
          <w:szCs w:val="24"/>
          <w:lang w:val="en-US" w:eastAsia="zh-CN" w:bidi="ar"/>
        </w:rPr>
        <w:t>该项目于2016年8月17日竣工验收合格，给水、强电工程、照明工程、通信工程等配套设施均已投入使用，极大的</w:t>
      </w:r>
      <w:r>
        <w:rPr>
          <w:rFonts w:hint="eastAsia" w:ascii="仿宋_GB2312" w:hAnsi="宋体" w:eastAsia="仿宋_GB2312" w:cs="仿宋_GB2312"/>
          <w:kern w:val="2"/>
          <w:sz w:val="32"/>
          <w:szCs w:val="24"/>
          <w:lang w:val="zh-CN" w:eastAsia="zh-CN" w:bidi="ar"/>
        </w:rPr>
        <w:t>改善</w:t>
      </w:r>
      <w:r>
        <w:rPr>
          <w:rFonts w:hint="eastAsia" w:ascii="仿宋_GB2312" w:hAnsi="宋体" w:eastAsia="仿宋_GB2312" w:cs="仿宋_GB2312"/>
          <w:kern w:val="2"/>
          <w:sz w:val="32"/>
          <w:szCs w:val="24"/>
          <w:lang w:val="en-US" w:eastAsia="zh-CN" w:bidi="ar"/>
        </w:rPr>
        <w:t>了</w:t>
      </w:r>
      <w:r>
        <w:rPr>
          <w:rFonts w:hint="eastAsia" w:ascii="仿宋_GB2312" w:hAnsi="宋体" w:eastAsia="仿宋_GB2312" w:cs="仿宋_GB2312"/>
          <w:kern w:val="2"/>
          <w:sz w:val="32"/>
          <w:szCs w:val="24"/>
          <w:lang w:val="zh-CN" w:eastAsia="zh-CN" w:bidi="ar"/>
        </w:rPr>
        <w:t>交通状况，</w:t>
      </w:r>
      <w:r>
        <w:rPr>
          <w:rFonts w:hint="eastAsia" w:ascii="仿宋_GB2312" w:hAnsi="宋体" w:eastAsia="仿宋_GB2312" w:cs="仿宋_GB2312"/>
          <w:kern w:val="2"/>
          <w:sz w:val="32"/>
          <w:szCs w:val="24"/>
          <w:lang w:val="en-US" w:eastAsia="zh-CN" w:bidi="ar"/>
        </w:rPr>
        <w:t>满足了人民群众的出行要求。</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（二）项目效益情况。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仿宋_GB2312" w:hAnsi="宋体" w:eastAsia="仿宋_GB2312" w:cs="仿宋_GB2312"/>
          <w:kern w:val="2"/>
          <w:sz w:val="32"/>
          <w:szCs w:val="24"/>
          <w:lang w:val="zh-CN" w:eastAsia="zh-CN" w:bidi="ar"/>
        </w:rPr>
      </w:pPr>
      <w:r>
        <w:rPr>
          <w:rFonts w:hint="eastAsia" w:ascii="仿宋_GB2312" w:hAnsi="宋体" w:eastAsia="仿宋_GB2312" w:cs="仿宋_GB2312"/>
          <w:kern w:val="2"/>
          <w:sz w:val="32"/>
          <w:szCs w:val="24"/>
          <w:lang w:val="en-US" w:eastAsia="zh-CN" w:bidi="ar"/>
        </w:rPr>
        <w:t>红原县绿色经济产业园区基础设施建设</w:t>
      </w:r>
      <w:r>
        <w:rPr>
          <w:rFonts w:hint="eastAsia" w:ascii="仿宋_GB2312" w:hAnsi="宋体" w:eastAsia="仿宋_GB2312" w:cs="仿宋_GB2312"/>
          <w:kern w:val="2"/>
          <w:sz w:val="32"/>
          <w:szCs w:val="24"/>
          <w:lang w:val="zh-CN" w:eastAsia="zh-CN" w:bidi="ar"/>
        </w:rPr>
        <w:t>给道路沿线两边带来巨大的间接效益，对当地的旅游发展奠定良好基础；本工程最直接的好处是改善交通状况，给居民及游客创造一个良好的居住生活环境；改善投资环境，提供资金介入的基础环境的可能性，增加就业机会；符合现阶段国家当前扩大内需，加大基础工程建设的经济政策。</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黑体" w:hAnsi="宋体" w:eastAsia="黑体" w:cs="黑体"/>
          <w:lang w:val="en-US"/>
        </w:rPr>
      </w:pPr>
      <w:r>
        <w:rPr>
          <w:rFonts w:hint="eastAsia" w:ascii="黑体" w:hAnsi="宋体" w:eastAsia="黑体" w:cs="黑体"/>
          <w:kern w:val="2"/>
          <w:sz w:val="32"/>
          <w:szCs w:val="24"/>
          <w:lang w:val="en-US" w:eastAsia="zh-CN" w:bidi="ar"/>
        </w:rPr>
        <w:t>五、评价结论及建议</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72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（一）评价结论。</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80" w:lineRule="exact"/>
        <w:ind w:right="0" w:firstLine="640" w:firstLineChars="200"/>
        <w:jc w:val="left"/>
        <w:textAlignment w:val="auto"/>
        <w:outlineLvl w:val="9"/>
        <w:rPr>
          <w:rFonts w:hint="eastAsia" w:ascii="仿宋_GB2312" w:eastAsia="仿宋_GB2312"/>
          <w:color w:val="000000"/>
          <w:sz w:val="32"/>
          <w:szCs w:val="32"/>
          <w:lang w:val="en-US" w:eastAsia="zh-CN"/>
        </w:rPr>
      </w:pPr>
      <w:r>
        <w:rPr>
          <w:rFonts w:hint="eastAsia" w:ascii="仿宋_GB2312" w:hAnsi="宋体" w:eastAsia="仿宋_GB2312" w:cs="仿宋_GB2312"/>
          <w:kern w:val="2"/>
          <w:sz w:val="32"/>
          <w:szCs w:val="24"/>
          <w:lang w:val="en-US" w:eastAsia="zh-CN" w:bidi="ar"/>
        </w:rPr>
        <w:t>红原县绿色经济产业园区基础设施建设项目建成后，红原县城市的整体形象得以提高，人居环境得以改善，也将显著改善道路条件和交通状况，燃油总成本降低，节能效益较明显。</w:t>
      </w: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pStyle w:val="31"/>
        <w:keepNext w:val="0"/>
        <w:keepLines w:val="0"/>
        <w:pageBreakBefore w:val="0"/>
        <w:widowControl/>
        <w:kinsoku/>
        <w:wordWrap/>
        <w:overflowPunct/>
        <w:topLinePunct w:val="0"/>
        <w:autoSpaceDE/>
        <w:autoSpaceDN/>
        <w:bidi w:val="0"/>
        <w:adjustRightInd/>
        <w:snapToGrid/>
        <w:spacing w:line="560" w:lineRule="exact"/>
        <w:ind w:firstLine="883" w:firstLineChars="200"/>
        <w:jc w:val="center"/>
        <w:textAlignment w:val="auto"/>
        <w:outlineLvl w:val="9"/>
        <w:rPr>
          <w:rFonts w:hint="eastAsia" w:ascii="宋体" w:hAnsi="宋体" w:cs="宋体"/>
          <w:b/>
          <w:bCs w:val="0"/>
          <w:sz w:val="44"/>
          <w:szCs w:val="44"/>
          <w:lang w:val="en-US" w:eastAsia="zh-CN"/>
        </w:rPr>
      </w:pPr>
      <w:r>
        <w:rPr>
          <w:rFonts w:hint="eastAsia" w:ascii="宋体" w:hAnsi="宋体" w:cs="宋体"/>
          <w:b/>
          <w:bCs w:val="0"/>
          <w:sz w:val="44"/>
          <w:szCs w:val="44"/>
          <w:lang w:val="en-US" w:eastAsia="zh-CN"/>
        </w:rPr>
        <w:t>红原县城乡规划建设和住房保障局</w:t>
      </w:r>
    </w:p>
    <w:p>
      <w:pPr>
        <w:pStyle w:val="31"/>
        <w:keepNext w:val="0"/>
        <w:keepLines w:val="0"/>
        <w:pageBreakBefore w:val="0"/>
        <w:widowControl/>
        <w:kinsoku/>
        <w:wordWrap/>
        <w:overflowPunct/>
        <w:topLinePunct w:val="0"/>
        <w:autoSpaceDE/>
        <w:autoSpaceDN/>
        <w:bidi w:val="0"/>
        <w:adjustRightInd/>
        <w:snapToGrid/>
        <w:spacing w:line="560" w:lineRule="exact"/>
        <w:ind w:firstLine="883" w:firstLineChars="200"/>
        <w:jc w:val="center"/>
        <w:textAlignment w:val="auto"/>
        <w:outlineLvl w:val="9"/>
        <w:rPr>
          <w:rFonts w:hint="eastAsia" w:ascii="仿宋_GB2312" w:hAnsi="宋体" w:eastAsia="仿宋_GB2312" w:cs="仿宋_GB2312"/>
          <w:color w:val="auto"/>
          <w:kern w:val="2"/>
          <w:sz w:val="32"/>
          <w:szCs w:val="32"/>
        </w:rPr>
      </w:pPr>
      <w:r>
        <w:rPr>
          <w:rFonts w:hint="eastAsia" w:ascii="宋体" w:hAnsi="宋体" w:eastAsia="宋体" w:cs="宋体"/>
          <w:b/>
          <w:bCs w:val="0"/>
          <w:sz w:val="44"/>
          <w:szCs w:val="44"/>
        </w:rPr>
        <w:t>项目支出绩效自评报告</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center"/>
        <w:textAlignment w:val="auto"/>
        <w:outlineLvl w:val="9"/>
        <w:rPr>
          <w:rFonts w:hint="eastAsia" w:ascii="仿宋_GB2312" w:hAnsi="宋体" w:eastAsia="仿宋_GB2312" w:cs="仿宋_GB2312"/>
          <w:lang w:val="en-US"/>
        </w:rPr>
      </w:pPr>
      <w:r>
        <w:rPr>
          <w:rFonts w:hint="eastAsia" w:ascii="仿宋_GB2312" w:hAnsi="宋体" w:eastAsia="仿宋_GB2312" w:cs="仿宋_GB2312"/>
          <w:kern w:val="2"/>
          <w:sz w:val="32"/>
          <w:szCs w:val="24"/>
          <w:lang w:val="en-US" w:eastAsia="zh-CN" w:bidi="ar"/>
        </w:rPr>
        <w:t>（红原县自来水厂、污水处理厂运营管理费用项目）</w:t>
      </w:r>
    </w:p>
    <w:p>
      <w:pPr>
        <w:pStyle w:val="31"/>
        <w:keepNext w:val="0"/>
        <w:keepLines w:val="0"/>
        <w:pageBreakBefore w:val="0"/>
        <w:widowControl/>
        <w:kinsoku/>
        <w:wordWrap/>
        <w:overflowPunct/>
        <w:topLinePunct w:val="0"/>
        <w:autoSpaceDE/>
        <w:autoSpaceDN/>
        <w:bidi w:val="0"/>
        <w:spacing w:line="560" w:lineRule="exact"/>
        <w:ind w:firstLine="640" w:firstLineChars="200"/>
        <w:jc w:val="center"/>
        <w:textAlignment w:val="auto"/>
        <w:rPr>
          <w:rFonts w:hint="eastAsia" w:ascii="宋体" w:hAnsi="宋体" w:eastAsia="宋体" w:cs="宋体"/>
          <w:color w:val="auto"/>
          <w:kern w:val="2"/>
          <w:sz w:val="32"/>
          <w:szCs w:val="32"/>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黑体" w:hAnsi="宋体" w:eastAsia="黑体" w:cs="黑体"/>
          <w:lang w:val="zh-CN" w:eastAsia="zh-CN"/>
        </w:rPr>
      </w:pPr>
      <w:r>
        <w:rPr>
          <w:rFonts w:hint="eastAsia" w:ascii="黑体" w:hAnsi="宋体" w:eastAsia="黑体" w:cs="黑体"/>
          <w:kern w:val="2"/>
          <w:sz w:val="32"/>
          <w:szCs w:val="24"/>
          <w:lang w:val="en-US" w:eastAsia="zh-CN" w:bidi="ar"/>
        </w:rPr>
        <w:t>一、</w:t>
      </w:r>
      <w:r>
        <w:rPr>
          <w:rFonts w:hint="eastAsia" w:ascii="黑体" w:hAnsi="宋体" w:eastAsia="黑体" w:cs="黑体"/>
          <w:kern w:val="2"/>
          <w:sz w:val="32"/>
          <w:szCs w:val="24"/>
          <w:lang w:val="zh-CN" w:eastAsia="zh-CN" w:bidi="ar"/>
        </w:rPr>
        <w:t>项目概况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（一）项目基本情况。</w:t>
      </w:r>
    </w:p>
    <w:p>
      <w:pPr>
        <w:keepNext w:val="0"/>
        <w:keepLines w:val="0"/>
        <w:pageBreakBefore w:val="0"/>
        <w:widowControl w:val="0"/>
        <w:kinsoku/>
        <w:wordWrap/>
        <w:overflowPunct/>
        <w:topLinePunct w:val="0"/>
        <w:autoSpaceDE/>
        <w:autoSpaceDN/>
        <w:bidi w:val="0"/>
        <w:spacing w:line="560" w:lineRule="exact"/>
        <w:ind w:right="0" w:righ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红原县工业污水处理项目</w:t>
      </w:r>
      <w:r>
        <w:rPr>
          <w:rFonts w:hint="eastAsia" w:ascii="仿宋_GB2312" w:hAnsi="仿宋_GB2312" w:eastAsia="仿宋_GB2312" w:cs="仿宋_GB2312"/>
          <w:sz w:val="32"/>
          <w:szCs w:val="32"/>
          <w:lang w:eastAsia="zh-CN"/>
        </w:rPr>
        <w:t>位于</w:t>
      </w:r>
      <w:r>
        <w:rPr>
          <w:rFonts w:hint="eastAsia" w:ascii="仿宋_GB2312" w:hAnsi="仿宋_GB2312" w:eastAsia="仿宋_GB2312" w:cs="仿宋_GB2312"/>
          <w:sz w:val="32"/>
          <w:szCs w:val="32"/>
        </w:rPr>
        <w:t>红原县邛溪镇</w:t>
      </w:r>
      <w:r>
        <w:rPr>
          <w:rFonts w:hint="eastAsia" w:ascii="仿宋_GB2312" w:hAnsi="仿宋_GB2312" w:eastAsia="仿宋_GB2312" w:cs="仿宋_GB2312"/>
          <w:sz w:val="32"/>
          <w:szCs w:val="32"/>
          <w:lang w:eastAsia="zh-CN"/>
        </w:rPr>
        <w:t>，总占地约131.25亩（合</w:t>
      </w:r>
      <w:r>
        <w:rPr>
          <w:rFonts w:hint="eastAsia" w:ascii="仿宋_GB2312" w:hAnsi="仿宋_GB2312" w:eastAsia="仿宋_GB2312" w:cs="仿宋_GB2312"/>
          <w:sz w:val="32"/>
          <w:szCs w:val="32"/>
          <w:lang w:val="en-US" w:eastAsia="zh-CN"/>
        </w:rPr>
        <w:t>8.73公顷</w:t>
      </w:r>
      <w:r>
        <w:rPr>
          <w:rFonts w:hint="eastAsia" w:ascii="仿宋_GB2312" w:hAnsi="仿宋_GB2312" w:eastAsia="仿宋_GB2312" w:cs="仿宋_GB2312"/>
          <w:sz w:val="32"/>
          <w:szCs w:val="32"/>
          <w:lang w:eastAsia="zh-CN"/>
        </w:rPr>
        <w:t>），分期建设。新建重力流污水管网总长度3480m，管径为dn600-dn800，管材为HDPE中空壁塑钢缠绕管；园区外压力流污水管道总长2800m，管径为DN500，管材为球墨铸铁管，壁厚K9级；倒虹管100m，管径为D630x9，管材为焊接钢管，矩形三通沉泥井1座，D800机D1000闸</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阀井各2座；；园区提升泵房一座，规模为11000吨/日，土建一次建成，设备分期安装，占地面积600m2；深度处理及人工湿地设计规模11000吨/日；进厂混凝土道路520m，宽度为4m。深度处理工艺为：调节池+浅层气浮池+人工湿地+污泥池+出水井+排水。</w:t>
      </w:r>
    </w:p>
    <w:p>
      <w:pPr>
        <w:keepNext w:val="0"/>
        <w:keepLines w:val="0"/>
        <w:pageBreakBefore w:val="0"/>
        <w:widowControl w:val="0"/>
        <w:kinsoku/>
        <w:wordWrap/>
        <w:overflowPunct/>
        <w:topLinePunct w:val="0"/>
        <w:autoSpaceDE/>
        <w:autoSpaceDN/>
        <w:bidi w:val="0"/>
        <w:spacing w:line="560" w:lineRule="exact"/>
        <w:ind w:left="0" w:leftChars="0" w:right="0" w:righ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红原县自来水厂</w:t>
      </w:r>
      <w:r>
        <w:rPr>
          <w:rFonts w:hint="eastAsia" w:ascii="仿宋_GB2312" w:hAnsi="仿宋_GB2312" w:eastAsia="仿宋_GB2312" w:cs="仿宋_GB2312"/>
          <w:sz w:val="32"/>
          <w:szCs w:val="32"/>
          <w:lang w:eastAsia="zh-CN"/>
        </w:rPr>
        <w:t>位于城市南端、龙壤柯西侧，规模</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000吨/，取地表水，目前供水干管150-200毫米，材料为PE管。</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（二）项目绩效目标。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经过自来水厂一期技改项目的实施，目前已重新设计更换了加药车间和加药装置，清水池和高位水池浮球控制阀已恢复完毕，整个厂区的流量监测、浊度监测、余氯度监测、水压监测、水量监测等监测设备和自动化控制设备已全部修复更换完毕。通过两个月的时间完成了自来水厂一期技改工作，目前自来水厂出厂水质已经达标</w:t>
      </w:r>
      <w:r>
        <w:rPr>
          <w:rFonts w:hint="eastAsia" w:ascii="仿宋_GB2312" w:hAnsi="仿宋_GB2312" w:eastAsia="仿宋_GB2312" w:cs="仿宋_GB2312"/>
          <w:sz w:val="32"/>
          <w:szCs w:val="32"/>
          <w:lang w:val="en-US"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（三）项目自评步骤及方法。</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ascii="仿宋_GB2312" w:hAnsi="宋体" w:eastAsia="仿宋_GB2312" w:cs="仿宋_GB2312"/>
          <w:i w:val="0"/>
          <w:caps w:val="0"/>
          <w:color w:val="000000"/>
          <w:spacing w:val="0"/>
          <w:sz w:val="32"/>
          <w:szCs w:val="32"/>
          <w:shd w:val="clear" w:color="auto" w:fill="FFFFFF"/>
        </w:rPr>
        <w:t>项目采取自评方式，成立项目自评</w:t>
      </w:r>
      <w:r>
        <w:rPr>
          <w:rFonts w:hint="eastAsia" w:ascii="仿宋_GB2312" w:hAnsi="宋体" w:eastAsia="仿宋_GB2312" w:cs="仿宋_GB2312"/>
          <w:i w:val="0"/>
          <w:caps w:val="0"/>
          <w:color w:val="000000"/>
          <w:spacing w:val="0"/>
          <w:sz w:val="32"/>
          <w:szCs w:val="32"/>
          <w:shd w:val="clear" w:color="auto" w:fill="FFFFFF"/>
          <w:lang w:val="en-US" w:eastAsia="zh-CN"/>
        </w:rPr>
        <w:t>领导</w:t>
      </w:r>
      <w:r>
        <w:rPr>
          <w:rFonts w:ascii="仿宋_GB2312" w:hAnsi="宋体" w:eastAsia="仿宋_GB2312" w:cs="仿宋_GB2312"/>
          <w:i w:val="0"/>
          <w:caps w:val="0"/>
          <w:color w:val="000000"/>
          <w:spacing w:val="0"/>
          <w:sz w:val="32"/>
          <w:szCs w:val="32"/>
          <w:shd w:val="clear" w:color="auto" w:fill="FFFFFF"/>
        </w:rPr>
        <w:t>小组，结合评价内容，做到有计划，有安排，扎实开展本次自评工作。按照上级下达的项目支出绩效评价指标体系，自评小组针对申报内容、实施情况、资金兑现、财务管理、社会效益等做出自我评价。</w:t>
      </w:r>
      <w:r>
        <w:rPr>
          <w:rFonts w:hint="eastAsia" w:ascii="仿宋_GB2312" w:hAnsi="宋体" w:eastAsia="仿宋_GB2312" w:cs="仿宋_GB2312"/>
          <w:i w:val="0"/>
          <w:caps w:val="0"/>
          <w:color w:val="000000"/>
          <w:spacing w:val="0"/>
          <w:sz w:val="32"/>
          <w:szCs w:val="32"/>
          <w:shd w:val="clear" w:color="auto" w:fill="FFFFFF"/>
          <w:lang w:val="en-US" w:eastAsia="zh-CN"/>
        </w:rPr>
        <w:t>领导小组如下：</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组  长：杨 彬      副局长</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副组长：杨 莉      副局长</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 xml:space="preserve">        俄邓学     副局长</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成  员：张尚斌、马国慧、李雷、李洋、王辉、周德云、阎肃</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caps w:val="0"/>
          <w:color w:val="000000"/>
          <w:spacing w:val="0"/>
          <w:sz w:val="32"/>
          <w:szCs w:val="32"/>
          <w:shd w:val="clear" w:color="auto" w:fill="FFFFFF"/>
          <w:lang w:val="en-US" w:eastAsia="zh-CN"/>
        </w:rPr>
      </w:pPr>
      <w:r>
        <w:rPr>
          <w:rFonts w:hint="eastAsia" w:ascii="仿宋_GB2312" w:hAnsi="宋体" w:eastAsia="仿宋_GB2312" w:cs="仿宋_GB2312"/>
          <w:i w:val="0"/>
          <w:caps w:val="0"/>
          <w:color w:val="000000"/>
          <w:spacing w:val="0"/>
          <w:sz w:val="32"/>
          <w:szCs w:val="32"/>
          <w:shd w:val="clear" w:color="auto" w:fill="FFFFFF"/>
          <w:lang w:val="en-US" w:eastAsia="zh-CN"/>
        </w:rPr>
        <w:t>办公室设在财务室</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黑体" w:hAnsi="宋体" w:eastAsia="黑体" w:cs="黑体"/>
          <w:lang w:val="en-US"/>
        </w:rPr>
      </w:pPr>
      <w:r>
        <w:rPr>
          <w:rFonts w:hint="eastAsia" w:ascii="黑体" w:hAnsi="宋体" w:eastAsia="黑体" w:cs="黑体"/>
          <w:kern w:val="2"/>
          <w:sz w:val="32"/>
          <w:szCs w:val="24"/>
          <w:lang w:val="en-US" w:eastAsia="zh-CN" w:bidi="ar"/>
        </w:rPr>
        <w:t>二、项目资金申报及使用情况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（一）项目资金申报及批复情况。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kern w:val="2"/>
          <w:sz w:val="32"/>
          <w:szCs w:val="24"/>
          <w:lang w:val="en-US" w:eastAsia="zh-CN" w:bidi="ar"/>
        </w:rPr>
      </w:pPr>
      <w:r>
        <w:rPr>
          <w:rFonts w:hint="eastAsia" w:ascii="仿宋_GB2312" w:hAnsi="宋体" w:eastAsia="仿宋_GB2312" w:cs="仿宋_GB2312"/>
          <w:kern w:val="2"/>
          <w:sz w:val="32"/>
          <w:szCs w:val="24"/>
          <w:lang w:val="en-US" w:eastAsia="zh-CN" w:bidi="ar"/>
        </w:rPr>
        <w:t>自来水厂、污水处理厂运营管理费用项目经县委县政府批准，财政部门审核通过，自来水厂、污水处理厂运营管理费用870.2万元全部用于运营管理不得挪为它用。</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仿宋_GB2312" w:hAnsi="宋体" w:eastAsia="仿宋_GB2312" w:cs="仿宋_GB2312"/>
          <w:lang w:val="zh-CN" w:eastAsia="zh-CN"/>
        </w:rPr>
      </w:pPr>
      <w:r>
        <w:rPr>
          <w:rFonts w:hint="eastAsia" w:ascii="楷体_GB2312" w:hAnsi="宋体" w:eastAsia="楷体_GB2312" w:cs="楷体_GB2312"/>
          <w:b/>
          <w:bCs w:val="0"/>
          <w:kern w:val="2"/>
          <w:sz w:val="32"/>
          <w:szCs w:val="24"/>
          <w:lang w:val="zh-CN" w:eastAsia="zh-CN" w:bidi="ar"/>
        </w:rPr>
        <w:t>（二）资金计划、到位及使用情况。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lang w:val="en-US" w:eastAsia="zh-CN"/>
        </w:rPr>
      </w:pPr>
      <w:r>
        <w:rPr>
          <w:rFonts w:hint="eastAsia" w:ascii="楷体_GB2312" w:hAnsi="宋体" w:eastAsia="楷体_GB2312" w:cs="楷体_GB2312"/>
          <w:kern w:val="2"/>
          <w:sz w:val="32"/>
          <w:szCs w:val="24"/>
          <w:lang w:val="zh-CN" w:eastAsia="zh-CN" w:bidi="ar"/>
        </w:rPr>
        <w:t>1．资金计划</w:t>
      </w:r>
      <w:r>
        <w:rPr>
          <w:rFonts w:hint="eastAsia" w:ascii="楷体_GB2312" w:hAnsi="宋体" w:eastAsia="楷体_GB2312" w:cs="楷体_GB2312"/>
          <w:kern w:val="2"/>
          <w:sz w:val="32"/>
          <w:szCs w:val="24"/>
          <w:lang w:val="en-US" w:eastAsia="zh-CN" w:bidi="ar"/>
        </w:rPr>
        <w:t>及到位</w:t>
      </w:r>
      <w:r>
        <w:rPr>
          <w:rFonts w:hint="eastAsia" w:ascii="楷体_GB2312" w:hAnsi="宋体" w:eastAsia="楷体_GB2312" w:cs="楷体_GB2312"/>
          <w:kern w:val="2"/>
          <w:sz w:val="32"/>
          <w:szCs w:val="24"/>
          <w:lang w:val="zh-CN" w:eastAsia="zh-CN" w:bidi="ar"/>
        </w:rPr>
        <w:t>。</w:t>
      </w:r>
      <w:r>
        <w:rPr>
          <w:rFonts w:hint="eastAsia" w:ascii="仿宋_GB2312" w:hAnsi="宋体" w:eastAsia="仿宋_GB2312" w:cs="仿宋_GB2312"/>
          <w:kern w:val="2"/>
          <w:sz w:val="32"/>
          <w:szCs w:val="24"/>
          <w:lang w:val="en-US" w:eastAsia="zh-CN" w:bidi="ar"/>
        </w:rPr>
        <w:t>红原县自来水厂、污水处理厂运营管理费用870.2万元，县财政局2017年以（红财预追[2017]489号)以及（红财预追[2017]578号 ）文件将资金870.2万元上在红原天域集成配套服务有限责任公司账户。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lang w:val="en-US" w:eastAsia="zh-CN"/>
        </w:rPr>
      </w:pPr>
      <w:r>
        <w:rPr>
          <w:rFonts w:hint="eastAsia" w:ascii="楷体_GB2312" w:hAnsi="宋体" w:eastAsia="楷体_GB2312" w:cs="楷体_GB2312"/>
          <w:kern w:val="2"/>
          <w:sz w:val="32"/>
          <w:szCs w:val="24"/>
          <w:lang w:val="en-US" w:eastAsia="zh-CN" w:bidi="ar"/>
        </w:rPr>
        <w:t>2</w:t>
      </w:r>
      <w:r>
        <w:rPr>
          <w:rFonts w:hint="eastAsia" w:ascii="楷体_GB2312" w:hAnsi="宋体" w:eastAsia="楷体_GB2312" w:cs="楷体_GB2312"/>
          <w:kern w:val="2"/>
          <w:sz w:val="32"/>
          <w:szCs w:val="24"/>
          <w:lang w:val="zh-CN" w:eastAsia="zh-CN" w:bidi="ar"/>
        </w:rPr>
        <w:t>．资金使用。</w:t>
      </w:r>
      <w:r>
        <w:rPr>
          <w:rFonts w:hint="eastAsia" w:ascii="仿宋_GB2312" w:hAnsi="宋体" w:eastAsia="仿宋_GB2312" w:cs="仿宋_GB2312"/>
          <w:kern w:val="2"/>
          <w:sz w:val="32"/>
          <w:szCs w:val="24"/>
          <w:lang w:val="en-US" w:eastAsia="zh-CN" w:bidi="ar"/>
        </w:rPr>
        <w:t>截止2018年8月已累计拨付6746296.94万元（其中：办公费用：25161元、差旅费：10375元、修理费：8775元、油费：10811元、材料费：91785元、管理人员工资：631821.88元、业务费用：1071347.6元、电费：412735.49元、固定资产：382300元、养老保险等：118140.02元、煤费：3500000元、通讯费：1224元、员工餐费补贴：22384元、手续费：200元、其他：485170元 ），拨付进度占预算的77.5%。</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（三）项目财务管理情况。</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项目</w:t>
      </w:r>
      <w:r>
        <w:rPr>
          <w:rFonts w:hint="eastAsia" w:ascii="仿宋_GB2312" w:hAnsi="仿宋_GB2312" w:eastAsia="仿宋_GB2312" w:cs="仿宋_GB2312"/>
          <w:sz w:val="32"/>
          <w:szCs w:val="32"/>
          <w:lang w:val="en-US" w:eastAsia="zh-CN"/>
        </w:rPr>
        <w:t>实施工程中</w:t>
      </w:r>
      <w:r>
        <w:rPr>
          <w:rFonts w:hint="eastAsia" w:ascii="仿宋_GB2312" w:hAnsi="仿宋_GB2312" w:eastAsia="仿宋_GB2312" w:cs="仿宋_GB2312"/>
          <w:sz w:val="32"/>
          <w:szCs w:val="32"/>
          <w:lang w:val="zh-CN"/>
        </w:rPr>
        <w:t>严格按照项目财务管理制度进行财务管理，专款专用，专人负责，严格对照资金管理办法，不拆借资金，规范会计核算程序。</w:t>
      </w:r>
    </w:p>
    <w:p>
      <w:pPr>
        <w:keepNext w:val="0"/>
        <w:keepLines w:val="0"/>
        <w:pageBreakBefore w:val="0"/>
        <w:widowControl w:val="0"/>
        <w:kinsoku/>
        <w:wordWrap/>
        <w:overflowPunct/>
        <w:topLinePunct w:val="0"/>
        <w:autoSpaceDE/>
        <w:autoSpaceDN/>
        <w:bidi w:val="0"/>
        <w:adjustRightInd w:val="0"/>
        <w:snapToGrid w:val="0"/>
        <w:spacing w:line="560" w:lineRule="exact"/>
        <w:ind w:right="0" w:rightChars="0" w:firstLine="640" w:firstLineChars="200"/>
        <w:jc w:val="both"/>
        <w:textAlignment w:val="auto"/>
        <w:rPr>
          <w:rFonts w:hint="eastAsia" w:ascii="黑体" w:hAnsi="宋体" w:eastAsia="黑体" w:cs="黑体"/>
          <w:lang w:val="en-US"/>
        </w:rPr>
      </w:pPr>
      <w:r>
        <w:rPr>
          <w:rFonts w:hint="eastAsia" w:ascii="黑体" w:hAnsi="宋体" w:eastAsia="黑体" w:cs="黑体"/>
          <w:kern w:val="2"/>
          <w:sz w:val="32"/>
          <w:szCs w:val="24"/>
          <w:lang w:val="en-US" w:eastAsia="zh-CN" w:bidi="ar"/>
        </w:rPr>
        <w:t>三、项目实施及管理情况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仿宋_GB2312" w:hAnsi="宋体" w:eastAsia="仿宋_GB2312" w:cs="仿宋_GB2312"/>
          <w:kern w:val="2"/>
          <w:sz w:val="32"/>
          <w:szCs w:val="24"/>
          <w:lang w:val="zh-CN" w:eastAsia="zh-CN" w:bidi="ar"/>
        </w:rPr>
      </w:pPr>
      <w:r>
        <w:rPr>
          <w:rFonts w:hint="eastAsia" w:ascii="楷体_GB2312" w:hAnsi="宋体" w:eastAsia="楷体_GB2312" w:cs="楷体_GB2312"/>
          <w:b/>
          <w:bCs w:val="0"/>
          <w:kern w:val="2"/>
          <w:sz w:val="32"/>
          <w:szCs w:val="24"/>
          <w:lang w:val="zh-CN" w:eastAsia="zh-CN" w:bidi="ar"/>
        </w:rPr>
        <w:t>（一）项目组织架构及实施流程。</w:t>
      </w:r>
      <w:r>
        <w:rPr>
          <w:rFonts w:hint="eastAsia" w:ascii="仿宋_GB2312" w:hAnsi="宋体" w:eastAsia="仿宋_GB2312" w:cs="仿宋_GB2312"/>
          <w:kern w:val="2"/>
          <w:sz w:val="32"/>
          <w:szCs w:val="24"/>
          <w:lang w:val="zh-CN" w:eastAsia="zh-CN" w:bidi="ar"/>
        </w:rPr>
        <w:t>加强城市基础设施建设、管理、维护工作，提升公共服务产品的运营效率及服务质量，依据国家发展和改革委员会、财政部、住房和城乡建设部、交通运输部、水利部、中国人民银行《基础设施和公用事业特许经营管理办法》之规定，红原县人民政府决定以特许经营的方式实施红原县城市污水、城市集中供暖、自来水厂、临时占道停车、市政道路应急维护项目。</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仿宋_GB2312" w:hAnsi="宋体" w:eastAsia="仿宋_GB2312" w:cs="仿宋_GB2312"/>
          <w:lang w:val="zh-CN" w:eastAsia="zh-CN"/>
        </w:rPr>
      </w:pPr>
      <w:r>
        <w:rPr>
          <w:rFonts w:hint="eastAsia" w:ascii="楷体_GB2312" w:hAnsi="宋体" w:eastAsia="楷体_GB2312" w:cs="楷体_GB2312"/>
          <w:b/>
          <w:bCs w:val="0"/>
          <w:kern w:val="2"/>
          <w:sz w:val="32"/>
          <w:szCs w:val="24"/>
          <w:lang w:val="zh-CN" w:eastAsia="zh-CN" w:bidi="ar"/>
        </w:rPr>
        <w:t>（二）项目管理情况。</w:t>
      </w:r>
      <w:r>
        <w:rPr>
          <w:rFonts w:hint="eastAsia" w:ascii="仿宋_GB2312" w:hAnsi="宋体" w:eastAsia="仿宋_GB2312" w:cs="仿宋_GB2312"/>
          <w:kern w:val="2"/>
          <w:sz w:val="32"/>
          <w:szCs w:val="24"/>
          <w:lang w:val="en-US" w:eastAsia="zh-CN" w:bidi="ar"/>
        </w:rPr>
        <w:t>自来水厂、污水处理厂运营管理费用</w:t>
      </w:r>
      <w:r>
        <w:rPr>
          <w:rFonts w:hint="eastAsia" w:ascii="仿宋_GB2312" w:hAnsi="宋体" w:eastAsia="仿宋_GB2312" w:cs="仿宋_GB2312"/>
          <w:kern w:val="2"/>
          <w:sz w:val="32"/>
          <w:szCs w:val="24"/>
          <w:lang w:val="zh-CN" w:eastAsia="zh-CN" w:bidi="ar"/>
        </w:rPr>
        <w:t>项目采取项目工作领导小组负责制。全体成员积</w:t>
      </w:r>
      <w:r>
        <w:rPr>
          <w:rFonts w:hint="eastAsia" w:ascii="仿宋_GB2312" w:hAnsi="宋体" w:eastAsia="仿宋_GB2312" w:cs="仿宋_GB2312"/>
          <w:kern w:val="2"/>
          <w:sz w:val="32"/>
          <w:szCs w:val="24"/>
          <w:lang w:val="en-US" w:eastAsia="zh-CN" w:bidi="ar"/>
        </w:rPr>
        <w:t>极</w:t>
      </w:r>
      <w:r>
        <w:rPr>
          <w:rFonts w:hint="eastAsia" w:ascii="仿宋_GB2312" w:hAnsi="宋体" w:eastAsia="仿宋_GB2312" w:cs="仿宋_GB2312"/>
          <w:kern w:val="2"/>
          <w:sz w:val="32"/>
          <w:szCs w:val="24"/>
          <w:lang w:val="zh-CN" w:eastAsia="zh-CN" w:bidi="ar"/>
        </w:rPr>
        <w:t>配合、通力合作。项目工作领导小组负责协调相关工作，项</w:t>
      </w:r>
      <w:r>
        <w:rPr>
          <w:rFonts w:hint="eastAsia" w:ascii="仿宋_GB2312" w:hAnsi="宋体" w:eastAsia="仿宋_GB2312" w:cs="仿宋_GB2312"/>
          <w:kern w:val="2"/>
          <w:sz w:val="32"/>
          <w:szCs w:val="24"/>
          <w:lang w:val="en-US" w:eastAsia="zh-CN" w:bidi="ar"/>
        </w:rPr>
        <w:t>目</w:t>
      </w:r>
      <w:r>
        <w:rPr>
          <w:rFonts w:hint="eastAsia" w:ascii="仿宋_GB2312" w:hAnsi="宋体" w:eastAsia="仿宋_GB2312" w:cs="仿宋_GB2312"/>
          <w:kern w:val="2"/>
          <w:sz w:val="32"/>
          <w:szCs w:val="24"/>
          <w:lang w:val="zh-CN" w:eastAsia="zh-CN" w:bidi="ar"/>
        </w:rPr>
        <w:t xml:space="preserve"> </w:t>
      </w:r>
      <w:r>
        <w:rPr>
          <w:rFonts w:hint="eastAsia" w:ascii="仿宋_GB2312" w:hAnsi="宋体" w:eastAsia="仿宋_GB2312" w:cs="仿宋_GB2312"/>
          <w:kern w:val="2"/>
          <w:sz w:val="32"/>
          <w:szCs w:val="24"/>
          <w:lang w:val="en-US" w:eastAsia="zh-CN" w:bidi="ar"/>
        </w:rPr>
        <w:t>的实施及资金管理工作</w:t>
      </w:r>
      <w:r>
        <w:rPr>
          <w:rFonts w:hint="eastAsia" w:ascii="仿宋_GB2312" w:hAnsi="宋体" w:eastAsia="仿宋_GB2312" w:cs="仿宋_GB2312"/>
          <w:kern w:val="2"/>
          <w:sz w:val="32"/>
          <w:szCs w:val="24"/>
          <w:lang w:val="zh-CN" w:eastAsia="zh-CN" w:bidi="ar"/>
        </w:rPr>
        <w:t>。</w:t>
      </w:r>
    </w:p>
    <w:p>
      <w:pPr>
        <w:pStyle w:val="7"/>
        <w:keepNext w:val="0"/>
        <w:keepLines w:val="0"/>
        <w:pageBreakBefore w:val="0"/>
        <w:kinsoku/>
        <w:wordWrap/>
        <w:overflowPunct/>
        <w:topLinePunct w:val="0"/>
        <w:autoSpaceDE/>
        <w:autoSpaceDN/>
        <w:bidi w:val="0"/>
        <w:spacing w:after="0" w:line="560" w:lineRule="exact"/>
        <w:ind w:firstLine="643" w:firstLineChars="200"/>
        <w:textAlignment w:val="auto"/>
        <w:rPr>
          <w:rFonts w:ascii="宋体" w:hAnsi="宋体" w:cs="仿宋"/>
          <w:sz w:val="24"/>
          <w:szCs w:val="24"/>
        </w:rPr>
      </w:pPr>
      <w:r>
        <w:rPr>
          <w:rFonts w:hint="eastAsia" w:ascii="楷体_GB2312" w:hAnsi="宋体" w:eastAsia="楷体_GB2312" w:cs="楷体_GB2312"/>
          <w:b/>
          <w:bCs w:val="0"/>
          <w:kern w:val="2"/>
          <w:sz w:val="32"/>
          <w:szCs w:val="24"/>
          <w:lang w:val="zh-CN" w:eastAsia="zh-CN" w:bidi="ar"/>
        </w:rPr>
        <w:t>（三）项目监管情况。</w:t>
      </w:r>
      <w:r>
        <w:rPr>
          <w:rFonts w:hint="eastAsia" w:ascii="仿宋_GB2312" w:hAnsi="宋体" w:eastAsia="仿宋_GB2312" w:cs="仿宋_GB2312"/>
          <w:kern w:val="2"/>
          <w:sz w:val="32"/>
          <w:szCs w:val="24"/>
          <w:lang w:val="zh-CN" w:eastAsia="zh-CN" w:bidi="ar"/>
        </w:rPr>
        <w:t xml:space="preserve"> 强化监督，项目的正常</w:t>
      </w:r>
      <w:r>
        <w:rPr>
          <w:rFonts w:hint="eastAsia" w:ascii="仿宋_GB2312" w:hAnsi="宋体" w:eastAsia="仿宋_GB2312" w:cs="仿宋_GB2312"/>
          <w:kern w:val="2"/>
          <w:sz w:val="32"/>
          <w:szCs w:val="24"/>
          <w:lang w:val="en-US" w:eastAsia="zh-CN" w:bidi="ar"/>
        </w:rPr>
        <w:t>实施</w:t>
      </w:r>
      <w:r>
        <w:rPr>
          <w:rFonts w:hint="eastAsia" w:ascii="仿宋_GB2312" w:hAnsi="宋体" w:eastAsia="仿宋_GB2312" w:cs="仿宋_GB2312"/>
          <w:kern w:val="2"/>
          <w:sz w:val="32"/>
          <w:szCs w:val="24"/>
          <w:lang w:val="zh-CN" w:eastAsia="zh-CN" w:bidi="ar"/>
        </w:rPr>
        <w:t>监督检查</w:t>
      </w:r>
      <w:r>
        <w:rPr>
          <w:rFonts w:hint="eastAsia" w:ascii="仿宋_GB2312" w:hAnsi="宋体" w:eastAsia="仿宋_GB2312" w:cs="仿宋_GB2312"/>
          <w:kern w:val="2"/>
          <w:sz w:val="32"/>
          <w:szCs w:val="24"/>
          <w:lang w:val="en-US" w:eastAsia="zh-CN" w:bidi="ar"/>
        </w:rPr>
        <w:t>是保障</w:t>
      </w:r>
      <w:r>
        <w:rPr>
          <w:rFonts w:hint="eastAsia" w:ascii="仿宋_GB2312" w:hAnsi="宋体" w:eastAsia="仿宋_GB2312" w:cs="仿宋_GB2312"/>
          <w:kern w:val="2"/>
          <w:sz w:val="32"/>
          <w:szCs w:val="24"/>
          <w:lang w:val="zh-CN" w:eastAsia="zh-CN" w:bidi="ar"/>
        </w:rPr>
        <w:t>。</w:t>
      </w:r>
      <w:r>
        <w:rPr>
          <w:rFonts w:hint="eastAsia" w:ascii="仿宋_GB2312" w:hAnsi="宋体" w:eastAsia="仿宋_GB2312" w:cs="仿宋_GB2312"/>
          <w:kern w:val="2"/>
          <w:sz w:val="32"/>
          <w:szCs w:val="24"/>
          <w:lang w:val="en-US" w:eastAsia="zh-CN" w:bidi="ar"/>
        </w:rPr>
        <w:t>指</w:t>
      </w:r>
      <w:r>
        <w:rPr>
          <w:rFonts w:hint="eastAsia" w:ascii="仿宋_GB2312" w:hAnsi="宋体" w:eastAsia="仿宋_GB2312" w:cs="仿宋_GB2312"/>
          <w:kern w:val="2"/>
          <w:sz w:val="32"/>
          <w:szCs w:val="24"/>
          <w:lang w:val="zh-CN" w:eastAsia="zh-CN" w:bidi="ar"/>
        </w:rPr>
        <w:t>派专人对项目的实施定期或不定期的进行检查和监督，及时协调解决困难和问题，保证</w:t>
      </w:r>
      <w:r>
        <w:rPr>
          <w:rFonts w:hint="eastAsia" w:ascii="仿宋_GB2312" w:hAnsi="宋体" w:eastAsia="仿宋_GB2312" w:cs="仿宋_GB2312"/>
          <w:kern w:val="2"/>
          <w:sz w:val="32"/>
          <w:szCs w:val="24"/>
          <w:lang w:val="en-US" w:eastAsia="zh-CN" w:bidi="ar"/>
        </w:rPr>
        <w:t>资金的正常运行</w:t>
      </w:r>
      <w:r>
        <w:rPr>
          <w:rFonts w:hint="eastAsia" w:ascii="仿宋_GB2312" w:hAnsi="宋体" w:eastAsia="仿宋_GB2312" w:cs="仿宋_GB2312"/>
          <w:kern w:val="2"/>
          <w:sz w:val="32"/>
          <w:szCs w:val="24"/>
          <w:lang w:val="zh-CN" w:eastAsia="zh-CN" w:bidi="ar"/>
        </w:rPr>
        <w:t>。</w:t>
      </w:r>
      <w:r>
        <w:rPr>
          <w:rFonts w:hint="eastAsia" w:ascii="仿宋_GB2312" w:hAnsi="宋体" w:eastAsia="仿宋_GB2312" w:cs="仿宋_GB2312"/>
          <w:kern w:val="2"/>
          <w:sz w:val="32"/>
          <w:szCs w:val="24"/>
          <w:lang w:val="en-US" w:eastAsia="zh-CN" w:bidi="ar"/>
        </w:rPr>
        <w:t>自来水厂、污水处理厂运营管理</w:t>
      </w:r>
      <w:r>
        <w:rPr>
          <w:rFonts w:hint="eastAsia" w:ascii="仿宋_GB2312" w:hAnsi="宋体" w:eastAsia="仿宋_GB2312" w:cs="仿宋_GB2312"/>
          <w:kern w:val="2"/>
          <w:sz w:val="32"/>
          <w:szCs w:val="24"/>
          <w:lang w:val="zh-CN" w:eastAsia="zh-CN" w:bidi="ar"/>
        </w:rPr>
        <w:t>所支付费用均由红原县人民政府收取及管理，</w:t>
      </w:r>
      <w:r>
        <w:rPr>
          <w:rFonts w:hint="eastAsia" w:ascii="仿宋_GB2312" w:hAnsi="宋体" w:eastAsia="仿宋_GB2312" w:cs="仿宋_GB2312"/>
          <w:kern w:val="2"/>
          <w:sz w:val="32"/>
          <w:szCs w:val="24"/>
          <w:lang w:val="en-US" w:eastAsia="zh-CN" w:bidi="ar"/>
        </w:rPr>
        <w:t>管理人员</w:t>
      </w:r>
      <w:r>
        <w:rPr>
          <w:rFonts w:hint="eastAsia" w:ascii="仿宋_GB2312" w:hAnsi="宋体" w:eastAsia="仿宋_GB2312" w:cs="仿宋_GB2312"/>
          <w:kern w:val="2"/>
          <w:sz w:val="32"/>
          <w:szCs w:val="24"/>
          <w:lang w:val="zh-CN" w:eastAsia="zh-CN" w:bidi="ar"/>
        </w:rPr>
        <w:t>不得直接要求</w:t>
      </w:r>
      <w:r>
        <w:rPr>
          <w:rFonts w:hint="eastAsia" w:ascii="仿宋_GB2312" w:hAnsi="宋体" w:eastAsia="仿宋_GB2312" w:cs="仿宋_GB2312"/>
          <w:kern w:val="2"/>
          <w:sz w:val="32"/>
          <w:szCs w:val="24"/>
          <w:lang w:val="en-US" w:eastAsia="zh-CN" w:bidi="ar"/>
        </w:rPr>
        <w:t>自来水厂、污水处理厂</w:t>
      </w:r>
      <w:r>
        <w:rPr>
          <w:rFonts w:hint="eastAsia" w:ascii="仿宋_GB2312" w:hAnsi="宋体" w:eastAsia="仿宋_GB2312" w:cs="仿宋_GB2312"/>
          <w:kern w:val="2"/>
          <w:sz w:val="32"/>
          <w:szCs w:val="24"/>
          <w:lang w:val="zh-CN" w:eastAsia="zh-CN" w:bidi="ar"/>
        </w:rPr>
        <w:t>支付使用费，而经由红原县人民政府依据合同的约定向</w:t>
      </w:r>
      <w:r>
        <w:rPr>
          <w:rFonts w:hint="eastAsia" w:ascii="仿宋_GB2312" w:hAnsi="宋体" w:eastAsia="仿宋_GB2312" w:cs="仿宋_GB2312"/>
          <w:kern w:val="2"/>
          <w:sz w:val="32"/>
          <w:szCs w:val="24"/>
          <w:lang w:val="en-US" w:eastAsia="zh-CN" w:bidi="ar"/>
        </w:rPr>
        <w:t>管理</w:t>
      </w:r>
      <w:r>
        <w:rPr>
          <w:rFonts w:hint="eastAsia" w:ascii="仿宋_GB2312" w:hAnsi="宋体" w:eastAsia="仿宋_GB2312" w:cs="仿宋_GB2312"/>
          <w:kern w:val="2"/>
          <w:sz w:val="32"/>
          <w:szCs w:val="24"/>
          <w:lang w:val="zh-CN" w:eastAsia="zh-CN" w:bidi="ar"/>
        </w:rPr>
        <w:t>方给付约定款项。</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宋体" w:eastAsia="仿宋_GB2312" w:cs="仿宋_GB2312"/>
          <w:lang w:val="zh-CN" w:eastAsia="zh-CN"/>
        </w:rPr>
      </w:pPr>
      <w:r>
        <w:rPr>
          <w:rFonts w:hint="eastAsia" w:ascii="黑体" w:hAnsi="宋体" w:eastAsia="黑体" w:cs="黑体"/>
          <w:kern w:val="2"/>
          <w:sz w:val="32"/>
          <w:szCs w:val="24"/>
          <w:lang w:val="en-US" w:eastAsia="zh-CN" w:bidi="ar"/>
        </w:rPr>
        <w:t>四、项目绩效情况</w:t>
      </w:r>
      <w:r>
        <w:rPr>
          <w:rFonts w:hint="eastAsia" w:ascii="仿宋_GB2312" w:hAnsi="宋体" w:eastAsia="仿宋_GB2312" w:cs="仿宋_GB2312"/>
          <w:kern w:val="2"/>
          <w:sz w:val="32"/>
          <w:szCs w:val="24"/>
          <w:lang w:val="zh-CN" w:eastAsia="zh-CN" w:bidi="ar"/>
        </w:rPr>
        <w:tab/>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right="0" w:firstLine="643" w:firstLineChars="20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（一）项目完成情况。</w:t>
      </w:r>
    </w:p>
    <w:p>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自来水厂</w:t>
      </w:r>
      <w:r>
        <w:rPr>
          <w:rFonts w:hint="eastAsia" w:ascii="仿宋_GB2312" w:hAnsi="仿宋_GB2312" w:eastAsia="仿宋_GB2312" w:cs="仿宋_GB2312"/>
          <w:sz w:val="32"/>
          <w:szCs w:val="32"/>
        </w:rPr>
        <w:t>到目前为止，总共修建了三套供水管网。第一套铸铁管网因国家命令强制报废已经基本废弃；第二套为玻钢管网，目前部分单位仍在使用中；第三套为2015年修建的PE管道，主管道基本覆盖了我县所有片区，但没有支管网和入户管网。</w:t>
      </w:r>
      <w:r>
        <w:rPr>
          <w:rFonts w:hint="eastAsia" w:ascii="仿宋_GB2312" w:hAnsi="仿宋_GB2312" w:eastAsia="仿宋_GB2312" w:cs="仿宋_GB2312"/>
          <w:sz w:val="32"/>
          <w:szCs w:val="32"/>
          <w:lang w:val="en-US" w:eastAsia="zh-CN"/>
        </w:rPr>
        <w:t>污水处理厂</w:t>
      </w:r>
      <w:r>
        <w:rPr>
          <w:rFonts w:hint="eastAsia" w:ascii="仿宋_GB2312" w:hAnsi="仿宋_GB2312" w:eastAsia="仿宋_GB2312" w:cs="仿宋_GB2312"/>
          <w:sz w:val="32"/>
          <w:szCs w:val="32"/>
          <w:lang w:eastAsia="zh-CN"/>
        </w:rPr>
        <w:t>提升泵房一座，规模为11000吨/日。</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（二）项目效益情况。</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污水处理厂</w:t>
      </w:r>
      <w:r>
        <w:rPr>
          <w:rFonts w:hint="eastAsia" w:ascii="仿宋_GB2312" w:hAnsi="仿宋_GB2312" w:eastAsia="仿宋_GB2312" w:cs="仿宋_GB2312"/>
          <w:sz w:val="32"/>
          <w:szCs w:val="32"/>
        </w:rPr>
        <w:t>处理水质达标标准：《城镇污水处理厂污染物排放标准》(GB 18918-2002)规定的一级B标准。污水日处理量不低于0.25万m³/天。</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自来水厂</w:t>
      </w:r>
      <w:r>
        <w:rPr>
          <w:rFonts w:hint="eastAsia" w:ascii="仿宋_GB2312" w:hAnsi="仿宋_GB2312" w:eastAsia="仿宋_GB2312" w:cs="仿宋_GB2312"/>
          <w:sz w:val="32"/>
          <w:szCs w:val="32"/>
        </w:rPr>
        <w:t>供水水压标准：≥</w:t>
      </w:r>
      <w:r>
        <w:rPr>
          <w:rFonts w:hint="eastAsia" w:ascii="仿宋_GB2312" w:hAnsi="仿宋_GB2312" w:eastAsia="仿宋_GB2312" w:cs="仿宋_GB2312"/>
          <w:sz w:val="32"/>
          <w:szCs w:val="32"/>
          <w:lang w:val="en-US" w:eastAsia="zh-CN"/>
        </w:rPr>
        <w:t>0.3</w:t>
      </w:r>
      <w:r>
        <w:rPr>
          <w:rFonts w:hint="eastAsia" w:ascii="仿宋_GB2312" w:hAnsi="仿宋_GB2312" w:eastAsia="仿宋_GB2312" w:cs="仿宋_GB2312"/>
          <w:sz w:val="32"/>
          <w:szCs w:val="32"/>
        </w:rPr>
        <w:t>MPa</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质量标准：符合《生活饮用水卫生标准》等相关规定。日实际供水不低于0.</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万吨/天。</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0" w:firstLineChars="200"/>
        <w:jc w:val="both"/>
        <w:textAlignment w:val="auto"/>
        <w:rPr>
          <w:rFonts w:hint="eastAsia" w:ascii="黑体" w:hAnsi="宋体" w:eastAsia="黑体" w:cs="黑体"/>
          <w:lang w:val="en-US"/>
        </w:rPr>
      </w:pPr>
      <w:r>
        <w:rPr>
          <w:rFonts w:hint="eastAsia" w:ascii="黑体" w:hAnsi="宋体" w:eastAsia="黑体" w:cs="黑体"/>
          <w:kern w:val="2"/>
          <w:sz w:val="32"/>
          <w:szCs w:val="24"/>
          <w:lang w:val="en-US" w:eastAsia="zh-CN" w:bidi="ar"/>
        </w:rPr>
        <w:t>五、评价结论及建议</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left="0" w:right="0" w:firstLine="643" w:firstLineChars="200"/>
        <w:jc w:val="both"/>
        <w:textAlignment w:val="auto"/>
        <w:rPr>
          <w:rFonts w:hint="eastAsia" w:ascii="楷体_GB2312" w:hAnsi="宋体" w:eastAsia="楷体_GB2312" w:cs="楷体_GB2312"/>
          <w:b/>
          <w:bCs w:val="0"/>
          <w:lang w:val="zh-CN" w:eastAsia="zh-CN"/>
        </w:rPr>
      </w:pPr>
      <w:r>
        <w:rPr>
          <w:rFonts w:hint="eastAsia" w:ascii="楷体_GB2312" w:hAnsi="宋体" w:eastAsia="楷体_GB2312" w:cs="楷体_GB2312"/>
          <w:b/>
          <w:bCs w:val="0"/>
          <w:kern w:val="2"/>
          <w:sz w:val="32"/>
          <w:szCs w:val="24"/>
          <w:lang w:val="zh-CN" w:eastAsia="zh-CN" w:bidi="ar"/>
        </w:rPr>
        <w:t>（一）评价结论。</w:t>
      </w:r>
    </w:p>
    <w:p>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自来</w:t>
      </w:r>
      <w:r>
        <w:rPr>
          <w:rFonts w:hint="eastAsia" w:ascii="仿宋_GB2312" w:hAnsi="仿宋_GB2312" w:eastAsia="仿宋_GB2312" w:cs="仿宋_GB2312"/>
          <w:sz w:val="32"/>
          <w:szCs w:val="32"/>
        </w:rPr>
        <w:t>水厂目前有2台净水设备，设计处理能力300t/h,现在实际处理能力为200t/h，一座尘沙池（主要用于暴气处理铁锰）等相关设备。经过自来水厂一期技改项目的实施，目前已重新设计更换了加药车间和加药装置，清水池和高位水池浮球控制阀已恢复完毕，整个厂区的流量监测、浊度监测、余氯度监测、水压监测、水量监测等监测设备和自动化控制设备已全部修复更换完毕。通过两个月的时间完成了自来水厂一期技改工作，目前自来水厂出厂水质已经达标</w:t>
      </w:r>
      <w:r>
        <w:rPr>
          <w:rFonts w:hint="eastAsia" w:ascii="仿宋_GB2312" w:hAnsi="仿宋_GB2312" w:eastAsia="仿宋_GB2312" w:cs="仿宋_GB2312"/>
          <w:sz w:val="32"/>
          <w:szCs w:val="32"/>
          <w:lang w:eastAsia="zh-CN"/>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right="0" w:firstLine="640" w:firstLineChars="200"/>
        <w:jc w:val="left"/>
        <w:textAlignment w:val="auto"/>
        <w:outlineLvl w:val="9"/>
        <w:rPr>
          <w:rFonts w:hint="eastAsia" w:ascii="仿宋_GB2312" w:eastAsia="仿宋_GB2312"/>
          <w:color w:val="000000"/>
          <w:sz w:val="32"/>
          <w:szCs w:val="32"/>
          <w:lang w:val="en-US" w:eastAsia="zh-CN"/>
        </w:rPr>
      </w:pPr>
      <w:r>
        <w:rPr>
          <w:rFonts w:hint="eastAsia" w:ascii="仿宋_GB2312" w:eastAsia="仿宋_GB2312"/>
          <w:sz w:val="32"/>
          <w:szCs w:val="32"/>
          <w:lang w:val="en-US" w:eastAsia="zh-CN"/>
        </w:rPr>
        <w:t>污水处理厂</w:t>
      </w:r>
      <w:r>
        <w:rPr>
          <w:rFonts w:hint="eastAsia" w:ascii="仿宋_GB2312" w:eastAsia="仿宋_GB2312"/>
          <w:sz w:val="32"/>
          <w:szCs w:val="32"/>
          <w:lang w:eastAsia="zh-CN"/>
        </w:rPr>
        <w:t>既符合四川省西部大开发的战略也是</w:t>
      </w:r>
      <w:r>
        <w:rPr>
          <w:rFonts w:hint="eastAsia" w:ascii="仿宋_GB2312" w:eastAsia="仿宋_GB2312"/>
          <w:sz w:val="32"/>
          <w:szCs w:val="32"/>
          <w:lang w:val="en-US" w:eastAsia="zh-CN"/>
        </w:rPr>
        <w:t>我</w:t>
      </w:r>
      <w:r>
        <w:rPr>
          <w:rFonts w:hint="eastAsia" w:ascii="仿宋_GB2312" w:eastAsia="仿宋_GB2312"/>
          <w:sz w:val="32"/>
          <w:szCs w:val="32"/>
          <w:lang w:eastAsia="zh-CN"/>
        </w:rPr>
        <w:t>县经济发展的需要，有助于建设国家生态湿地保护区、维护藏区稳定、改善藏区群众的生活环境、保护旅游资源、提升城市形象、维护社会安定团结起到十分重要的作用。必将给红原县经济的腾飞，环境的改善，人民生活质量的提高带来新的变化。</w:t>
      </w: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Style w:val="26"/>
          <w:rFonts w:ascii="黑体" w:hAnsi="黑体" w:eastAsia="黑体"/>
          <w:b w:val="0"/>
        </w:rPr>
      </w:pPr>
      <w:r>
        <w:rPr>
          <w:rFonts w:hint="eastAsia" w:ascii="黑体" w:hAnsi="黑体" w:eastAsia="黑体"/>
          <w:color w:val="000000"/>
          <w:sz w:val="44"/>
          <w:szCs w:val="44"/>
        </w:rPr>
        <w:t>第</w:t>
      </w:r>
      <w:r>
        <w:rPr>
          <w:rStyle w:val="26"/>
          <w:rFonts w:hint="eastAsia" w:ascii="黑体" w:hAnsi="黑体" w:eastAsia="黑体"/>
          <w:b w:val="0"/>
        </w:rPr>
        <w:t>五部分 附表</w:t>
      </w:r>
      <w:bookmarkEnd w:id="61"/>
      <w:bookmarkEnd w:id="65"/>
    </w:p>
    <w:p>
      <w:pPr>
        <w:spacing w:line="600" w:lineRule="exact"/>
        <w:jc w:val="center"/>
        <w:outlineLvl w:val="0"/>
        <w:rPr>
          <w:rFonts w:ascii="仿宋" w:hAnsi="仿宋" w:eastAsia="仿宋"/>
          <w:b/>
          <w:color w:val="000000"/>
          <w:sz w:val="44"/>
          <w:szCs w:val="44"/>
        </w:rPr>
      </w:pPr>
    </w:p>
    <w:p>
      <w:pPr>
        <w:pStyle w:val="5"/>
        <w:numPr>
          <w:ilvl w:val="0"/>
          <w:numId w:val="8"/>
        </w:numPr>
        <w:rPr>
          <w:rFonts w:hint="eastAsia" w:ascii="仿宋" w:hAnsi="仿宋" w:eastAsia="仿宋"/>
          <w:b w:val="0"/>
          <w:color w:val="000000"/>
        </w:rPr>
      </w:pPr>
      <w:bookmarkStart w:id="66" w:name="_Toc15396620"/>
      <w:r>
        <w:rPr>
          <w:rFonts w:hint="eastAsia" w:ascii="仿宋" w:hAnsi="仿宋" w:eastAsia="仿宋"/>
          <w:b w:val="0"/>
          <w:color w:val="000000"/>
        </w:rPr>
        <w:t>收入支出决算总表</w:t>
      </w:r>
    </w:p>
    <w:p>
      <w:pPr>
        <w:pStyle w:val="5"/>
        <w:numPr>
          <w:ilvl w:val="0"/>
          <w:numId w:val="0"/>
        </w:numPr>
        <w:rPr>
          <w:rFonts w:ascii="仿宋" w:hAnsi="仿宋" w:eastAsia="仿宋"/>
          <w:color w:val="000000"/>
        </w:rPr>
      </w:pPr>
      <w:r>
        <w:rPr>
          <w:rFonts w:hint="eastAsia" w:ascii="仿宋" w:hAnsi="仿宋" w:eastAsia="仿宋"/>
          <w:b w:val="0"/>
          <w:color w:val="000000"/>
        </w:rPr>
        <w:t>二、收</w:t>
      </w:r>
      <w:r>
        <w:rPr>
          <w:rStyle w:val="27"/>
          <w:rFonts w:hint="eastAsia" w:ascii="仿宋" w:hAnsi="仿宋" w:eastAsia="仿宋"/>
          <w:b w:val="0"/>
          <w:bCs w:val="0"/>
        </w:rPr>
        <w:t>入总表</w:t>
      </w:r>
      <w:bookmarkEnd w:id="66"/>
    </w:p>
    <w:p>
      <w:pPr>
        <w:pStyle w:val="5"/>
        <w:rPr>
          <w:rFonts w:ascii="仿宋" w:hAnsi="仿宋" w:eastAsia="仿宋"/>
          <w:color w:val="000000"/>
        </w:rPr>
      </w:pPr>
      <w:bookmarkStart w:id="67" w:name="_Toc15396621"/>
      <w:r>
        <w:rPr>
          <w:rStyle w:val="27"/>
          <w:rFonts w:hint="eastAsia" w:ascii="仿宋" w:hAnsi="仿宋" w:eastAsia="仿宋"/>
          <w:b w:val="0"/>
          <w:bCs w:val="0"/>
        </w:rPr>
        <w:t>三、</w:t>
      </w:r>
      <w:r>
        <w:rPr>
          <w:rFonts w:hint="eastAsia" w:ascii="仿宋" w:hAnsi="仿宋" w:eastAsia="仿宋"/>
          <w:b w:val="0"/>
          <w:color w:val="000000"/>
        </w:rPr>
        <w:t>支</w:t>
      </w:r>
      <w:r>
        <w:rPr>
          <w:rStyle w:val="27"/>
          <w:rFonts w:hint="eastAsia" w:ascii="仿宋" w:hAnsi="仿宋" w:eastAsia="仿宋"/>
          <w:b w:val="0"/>
          <w:bCs w:val="0"/>
        </w:rPr>
        <w:t>出总表</w:t>
      </w:r>
      <w:bookmarkEnd w:id="67"/>
    </w:p>
    <w:p>
      <w:pPr>
        <w:pStyle w:val="5"/>
        <w:rPr>
          <w:rFonts w:ascii="仿宋" w:hAnsi="仿宋" w:eastAsia="仿宋"/>
          <w:b w:val="0"/>
          <w:color w:val="000000"/>
        </w:rPr>
      </w:pPr>
      <w:bookmarkStart w:id="68" w:name="_Toc15396622"/>
      <w:r>
        <w:rPr>
          <w:rStyle w:val="27"/>
          <w:rFonts w:hint="eastAsia" w:ascii="仿宋" w:hAnsi="仿宋" w:eastAsia="仿宋"/>
          <w:b w:val="0"/>
          <w:bCs w:val="0"/>
        </w:rPr>
        <w:t>四、</w:t>
      </w:r>
      <w:r>
        <w:rPr>
          <w:rFonts w:hint="eastAsia" w:ascii="仿宋" w:hAnsi="仿宋" w:eastAsia="仿宋"/>
          <w:b w:val="0"/>
          <w:color w:val="000000"/>
        </w:rPr>
        <w:t>财</w:t>
      </w:r>
      <w:r>
        <w:rPr>
          <w:rStyle w:val="27"/>
          <w:rFonts w:hint="eastAsia" w:ascii="仿宋" w:hAnsi="仿宋" w:eastAsia="仿宋"/>
          <w:b w:val="0"/>
          <w:bCs w:val="0"/>
        </w:rPr>
        <w:t>政拨款收入支出决算总表</w:t>
      </w:r>
      <w:bookmarkEnd w:id="68"/>
    </w:p>
    <w:p>
      <w:pPr>
        <w:pStyle w:val="5"/>
        <w:rPr>
          <w:rFonts w:ascii="仿宋" w:hAnsi="仿宋" w:eastAsia="仿宋"/>
          <w:color w:val="000000"/>
        </w:rPr>
      </w:pPr>
      <w:bookmarkStart w:id="69" w:name="_Toc15396623"/>
      <w:r>
        <w:rPr>
          <w:rStyle w:val="27"/>
          <w:rFonts w:hint="eastAsia" w:ascii="仿宋" w:hAnsi="仿宋" w:eastAsia="仿宋"/>
          <w:b w:val="0"/>
          <w:bCs w:val="0"/>
        </w:rPr>
        <w:t>五、</w:t>
      </w:r>
      <w:r>
        <w:rPr>
          <w:rFonts w:hint="eastAsia" w:ascii="仿宋" w:hAnsi="仿宋" w:eastAsia="仿宋"/>
          <w:b w:val="0"/>
          <w:color w:val="000000"/>
        </w:rPr>
        <w:t>财</w:t>
      </w:r>
      <w:r>
        <w:rPr>
          <w:rStyle w:val="27"/>
          <w:rFonts w:hint="eastAsia" w:ascii="仿宋" w:hAnsi="仿宋" w:eastAsia="仿宋"/>
          <w:b w:val="0"/>
          <w:bCs w:val="0"/>
        </w:rPr>
        <w:t>政拨款支出决算明细表（政府经济分类科目）</w:t>
      </w:r>
      <w:bookmarkEnd w:id="69"/>
    </w:p>
    <w:p>
      <w:pPr>
        <w:pStyle w:val="5"/>
        <w:rPr>
          <w:rFonts w:ascii="仿宋" w:hAnsi="仿宋" w:eastAsia="仿宋"/>
          <w:color w:val="000000"/>
        </w:rPr>
      </w:pPr>
      <w:bookmarkStart w:id="70" w:name="_Toc15396624"/>
      <w:r>
        <w:rPr>
          <w:rStyle w:val="27"/>
          <w:rFonts w:hint="eastAsia" w:ascii="仿宋" w:hAnsi="仿宋" w:eastAsia="仿宋"/>
          <w:b w:val="0"/>
          <w:bCs w:val="0"/>
        </w:rPr>
        <w:t>六、</w:t>
      </w:r>
      <w:r>
        <w:rPr>
          <w:rFonts w:hint="eastAsia" w:ascii="仿宋" w:hAnsi="仿宋" w:eastAsia="仿宋"/>
          <w:b w:val="0"/>
          <w:color w:val="000000"/>
        </w:rPr>
        <w:t>一</w:t>
      </w:r>
      <w:r>
        <w:rPr>
          <w:rStyle w:val="27"/>
          <w:rFonts w:hint="eastAsia" w:ascii="仿宋" w:hAnsi="仿宋" w:eastAsia="仿宋"/>
          <w:b w:val="0"/>
          <w:bCs w:val="0"/>
        </w:rPr>
        <w:t>般公共预算财政拨款支出决算表</w:t>
      </w:r>
      <w:bookmarkEnd w:id="70"/>
    </w:p>
    <w:p>
      <w:pPr>
        <w:pStyle w:val="5"/>
        <w:rPr>
          <w:rFonts w:ascii="仿宋" w:hAnsi="仿宋" w:eastAsia="仿宋"/>
          <w:color w:val="000000"/>
        </w:rPr>
      </w:pPr>
      <w:bookmarkStart w:id="71" w:name="_Toc15396625"/>
      <w:r>
        <w:rPr>
          <w:rStyle w:val="27"/>
          <w:rFonts w:hint="eastAsia" w:ascii="仿宋" w:hAnsi="仿宋" w:eastAsia="仿宋"/>
          <w:b w:val="0"/>
          <w:bCs w:val="0"/>
        </w:rPr>
        <w:t>七、</w:t>
      </w:r>
      <w:r>
        <w:rPr>
          <w:rFonts w:hint="eastAsia" w:ascii="仿宋" w:hAnsi="仿宋" w:eastAsia="仿宋"/>
          <w:b w:val="0"/>
          <w:color w:val="000000"/>
        </w:rPr>
        <w:t>一</w:t>
      </w:r>
      <w:r>
        <w:rPr>
          <w:rStyle w:val="27"/>
          <w:rFonts w:hint="eastAsia" w:ascii="仿宋" w:hAnsi="仿宋" w:eastAsia="仿宋"/>
          <w:b w:val="0"/>
          <w:bCs w:val="0"/>
        </w:rPr>
        <w:t>般公共预算财政拨款支出决算明细表</w:t>
      </w:r>
      <w:bookmarkEnd w:id="71"/>
    </w:p>
    <w:p>
      <w:pPr>
        <w:pStyle w:val="5"/>
        <w:rPr>
          <w:rFonts w:ascii="仿宋" w:hAnsi="仿宋" w:eastAsia="仿宋"/>
          <w:color w:val="000000"/>
        </w:rPr>
      </w:pPr>
      <w:bookmarkStart w:id="72" w:name="_Toc15396626"/>
      <w:r>
        <w:rPr>
          <w:rStyle w:val="27"/>
          <w:rFonts w:hint="eastAsia" w:ascii="仿宋" w:hAnsi="仿宋" w:eastAsia="仿宋"/>
          <w:b w:val="0"/>
          <w:bCs w:val="0"/>
        </w:rPr>
        <w:t>八、</w:t>
      </w:r>
      <w:r>
        <w:rPr>
          <w:rFonts w:hint="eastAsia" w:ascii="仿宋" w:hAnsi="仿宋" w:eastAsia="仿宋"/>
          <w:b w:val="0"/>
          <w:color w:val="000000"/>
        </w:rPr>
        <w:t>一</w:t>
      </w:r>
      <w:r>
        <w:rPr>
          <w:rStyle w:val="27"/>
          <w:rFonts w:hint="eastAsia" w:ascii="仿宋" w:hAnsi="仿宋" w:eastAsia="仿宋"/>
          <w:b w:val="0"/>
          <w:bCs w:val="0"/>
        </w:rPr>
        <w:t>般公共预算财政拨款基本支出决算表</w:t>
      </w:r>
      <w:bookmarkEnd w:id="72"/>
    </w:p>
    <w:p>
      <w:pPr>
        <w:pStyle w:val="5"/>
        <w:rPr>
          <w:rFonts w:ascii="仿宋" w:hAnsi="仿宋" w:eastAsia="仿宋"/>
          <w:color w:val="000000"/>
        </w:rPr>
      </w:pPr>
      <w:bookmarkStart w:id="73" w:name="_Toc15396627"/>
      <w:r>
        <w:rPr>
          <w:rStyle w:val="27"/>
          <w:rFonts w:hint="eastAsia" w:ascii="仿宋" w:hAnsi="仿宋" w:eastAsia="仿宋"/>
          <w:b w:val="0"/>
          <w:bCs w:val="0"/>
        </w:rPr>
        <w:t>九、</w:t>
      </w:r>
      <w:r>
        <w:rPr>
          <w:rFonts w:hint="eastAsia" w:ascii="仿宋" w:hAnsi="仿宋" w:eastAsia="仿宋"/>
          <w:b w:val="0"/>
          <w:color w:val="000000"/>
        </w:rPr>
        <w:t>一</w:t>
      </w:r>
      <w:r>
        <w:rPr>
          <w:rStyle w:val="27"/>
          <w:rFonts w:hint="eastAsia" w:ascii="仿宋" w:hAnsi="仿宋" w:eastAsia="仿宋"/>
          <w:b w:val="0"/>
          <w:bCs w:val="0"/>
        </w:rPr>
        <w:t>般公共预算财政拨款项目支出决算表</w:t>
      </w:r>
      <w:bookmarkEnd w:id="73"/>
    </w:p>
    <w:p>
      <w:pPr>
        <w:pStyle w:val="5"/>
        <w:rPr>
          <w:rFonts w:ascii="仿宋" w:hAnsi="仿宋" w:eastAsia="仿宋"/>
          <w:color w:val="000000"/>
        </w:rPr>
      </w:pPr>
      <w:bookmarkStart w:id="74" w:name="_Toc15396628"/>
      <w:r>
        <w:rPr>
          <w:rStyle w:val="27"/>
          <w:rFonts w:hint="eastAsia" w:ascii="仿宋" w:hAnsi="仿宋" w:eastAsia="仿宋"/>
          <w:b w:val="0"/>
          <w:bCs w:val="0"/>
        </w:rPr>
        <w:t>十、</w:t>
      </w:r>
      <w:r>
        <w:rPr>
          <w:rFonts w:hint="eastAsia" w:ascii="仿宋" w:hAnsi="仿宋" w:eastAsia="仿宋"/>
          <w:b w:val="0"/>
          <w:color w:val="000000"/>
        </w:rPr>
        <w:t>一</w:t>
      </w:r>
      <w:r>
        <w:rPr>
          <w:rStyle w:val="27"/>
          <w:rFonts w:hint="eastAsia" w:ascii="仿宋" w:hAnsi="仿宋" w:eastAsia="仿宋"/>
          <w:b w:val="0"/>
          <w:bCs w:val="0"/>
        </w:rPr>
        <w:t>般公共预算财政拨款“三公”经费支出决算表</w:t>
      </w:r>
      <w:bookmarkEnd w:id="74"/>
    </w:p>
    <w:p>
      <w:pPr>
        <w:pStyle w:val="5"/>
        <w:rPr>
          <w:rFonts w:ascii="仿宋" w:hAnsi="仿宋" w:eastAsia="仿宋"/>
          <w:color w:val="000000"/>
        </w:rPr>
      </w:pPr>
      <w:bookmarkStart w:id="75" w:name="_Toc15396629"/>
      <w:r>
        <w:rPr>
          <w:rStyle w:val="27"/>
          <w:rFonts w:hint="eastAsia" w:ascii="仿宋" w:hAnsi="仿宋" w:eastAsia="仿宋"/>
          <w:b w:val="0"/>
          <w:bCs w:val="0"/>
        </w:rPr>
        <w:t>十一、</w:t>
      </w:r>
      <w:r>
        <w:rPr>
          <w:rFonts w:hint="eastAsia" w:ascii="仿宋" w:hAnsi="仿宋" w:eastAsia="仿宋"/>
          <w:b w:val="0"/>
          <w:color w:val="000000"/>
        </w:rPr>
        <w:t>政</w:t>
      </w:r>
      <w:r>
        <w:rPr>
          <w:rStyle w:val="27"/>
          <w:rFonts w:hint="eastAsia" w:ascii="仿宋" w:hAnsi="仿宋" w:eastAsia="仿宋"/>
          <w:b w:val="0"/>
          <w:bCs w:val="0"/>
        </w:rPr>
        <w:t>府性基金预算财政拨款收入支出决算表</w:t>
      </w:r>
      <w:bookmarkEnd w:id="75"/>
    </w:p>
    <w:p>
      <w:pPr>
        <w:pStyle w:val="5"/>
        <w:rPr>
          <w:rFonts w:ascii="仿宋" w:hAnsi="仿宋" w:eastAsia="仿宋"/>
          <w:color w:val="000000"/>
        </w:rPr>
      </w:pPr>
      <w:bookmarkStart w:id="76" w:name="_Toc15396630"/>
      <w:r>
        <w:rPr>
          <w:rStyle w:val="27"/>
          <w:rFonts w:hint="eastAsia" w:ascii="仿宋" w:hAnsi="仿宋" w:eastAsia="仿宋"/>
          <w:b w:val="0"/>
          <w:bCs w:val="0"/>
        </w:rPr>
        <w:t>十二、</w:t>
      </w:r>
      <w:r>
        <w:rPr>
          <w:rFonts w:hint="eastAsia" w:ascii="仿宋" w:hAnsi="仿宋" w:eastAsia="仿宋"/>
          <w:b w:val="0"/>
          <w:color w:val="000000"/>
        </w:rPr>
        <w:t>政</w:t>
      </w:r>
      <w:r>
        <w:rPr>
          <w:rStyle w:val="27"/>
          <w:rFonts w:hint="eastAsia" w:ascii="仿宋" w:hAnsi="仿宋" w:eastAsia="仿宋"/>
          <w:b w:val="0"/>
          <w:bCs w:val="0"/>
        </w:rPr>
        <w:t>府性基金预算财政拨款“三公”经费支出决算表</w:t>
      </w:r>
      <w:bookmarkEnd w:id="76"/>
    </w:p>
    <w:p>
      <w:pPr>
        <w:pStyle w:val="5"/>
        <w:rPr>
          <w:rStyle w:val="27"/>
          <w:rFonts w:hint="eastAsia" w:ascii="仿宋" w:hAnsi="仿宋" w:eastAsia="仿宋"/>
          <w:b w:val="0"/>
          <w:bCs w:val="0"/>
        </w:rPr>
      </w:pPr>
      <w:bookmarkStart w:id="77" w:name="_Toc15396631"/>
      <w:r>
        <w:rPr>
          <w:rStyle w:val="27"/>
          <w:rFonts w:hint="eastAsia" w:ascii="仿宋" w:hAnsi="仿宋" w:eastAsia="仿宋"/>
          <w:b w:val="0"/>
          <w:bCs w:val="0"/>
        </w:rPr>
        <w:t>十三、</w:t>
      </w:r>
      <w:r>
        <w:rPr>
          <w:rFonts w:hint="eastAsia" w:ascii="仿宋" w:hAnsi="仿宋" w:eastAsia="仿宋"/>
          <w:b w:val="0"/>
          <w:color w:val="000000"/>
        </w:rPr>
        <w:t>国</w:t>
      </w:r>
      <w:r>
        <w:rPr>
          <w:rStyle w:val="27"/>
          <w:rFonts w:hint="eastAsia" w:ascii="仿宋" w:hAnsi="仿宋" w:eastAsia="仿宋"/>
          <w:b w:val="0"/>
          <w:bCs w:val="0"/>
        </w:rPr>
        <w:t>有资本经营预算支出决算表</w:t>
      </w:r>
      <w:bookmarkEnd w:id="77"/>
    </w:p>
    <w:p>
      <w:pPr>
        <w:ind w:firstLine="320" w:firstLineChars="100"/>
        <w:rPr>
          <w:rStyle w:val="27"/>
          <w:rFonts w:hint="eastAsia" w:ascii="仿宋" w:hAnsi="仿宋" w:eastAsia="仿宋"/>
          <w:b w:val="0"/>
          <w:bCs w:val="0"/>
          <w:lang w:val="en-US" w:eastAsia="zh-CN"/>
        </w:rPr>
      </w:pPr>
      <w:r>
        <w:rPr>
          <w:rStyle w:val="27"/>
          <w:rFonts w:hint="eastAsia" w:ascii="仿宋" w:hAnsi="仿宋" w:eastAsia="仿宋"/>
          <w:b w:val="0"/>
          <w:bCs w:val="0"/>
          <w:lang w:val="en-US" w:eastAsia="zh-CN"/>
        </w:rPr>
        <w:t>十四、整体支出绩效评价打分表</w:t>
      </w:r>
    </w:p>
    <w:p>
      <w:pPr>
        <w:ind w:firstLine="320" w:firstLineChars="100"/>
        <w:rPr>
          <w:rStyle w:val="27"/>
          <w:rFonts w:hint="eastAsia" w:ascii="仿宋" w:hAnsi="仿宋" w:eastAsia="仿宋"/>
          <w:b w:val="0"/>
          <w:bCs w:val="0"/>
          <w:lang w:val="en-US" w:eastAsia="zh-CN"/>
        </w:rPr>
      </w:pPr>
      <w:r>
        <w:rPr>
          <w:rStyle w:val="27"/>
          <w:rFonts w:hint="eastAsia" w:ascii="仿宋" w:hAnsi="仿宋" w:eastAsia="仿宋"/>
          <w:b w:val="0"/>
          <w:bCs w:val="0"/>
          <w:lang w:val="en-US" w:eastAsia="zh-CN"/>
        </w:rPr>
        <w:t>十五、项目支出绩效评价打分表</w:t>
      </w:r>
    </w:p>
    <w:p>
      <w:bookmarkStart w:id="78" w:name="_GoBack"/>
      <w:bookmarkEnd w:id="78"/>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 w:name="Book Antiqua">
    <w:altName w:val="Segoe Print"/>
    <w:panose1 w:val="02040602050305030304"/>
    <w:charset w:val="00"/>
    <w:family w:val="auto"/>
    <w:pitch w:val="default"/>
    <w:sig w:usb0="00000000" w:usb1="00000000" w:usb2="00000000" w:usb3="00000000" w:csb0="2000009F" w:csb1="DFD7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Courier New">
    <w:panose1 w:val="020703090202050204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A00002EF" w:usb1="4000207B" w:usb2="00000000" w:usb3="00000000" w:csb0="2000019F" w:csb1="00000000"/>
  </w:font>
  <w:font w:name="等线">
    <w:altName w:val="微软雅黑"/>
    <w:panose1 w:val="00000000000000000000"/>
    <w:charset w:val="00"/>
    <w:family w:val="auto"/>
    <w:pitch w:val="default"/>
    <w:sig w:usb0="00000000" w:usb1="00000000" w:usb2="00000000" w:usb3="00000000" w:csb0="00000000" w:csb1="00000000"/>
  </w:font>
  <w:font w:name="方正仿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0"/>
          <w:jc w:val="center"/>
        </w:pPr>
        <w:r>
          <w:fldChar w:fldCharType="begin"/>
        </w:r>
        <w:r>
          <w:instrText xml:space="preserve">PAGE   \* MERGEFORMAT</w:instrText>
        </w:r>
        <w:r>
          <w:fldChar w:fldCharType="separate"/>
        </w:r>
        <w:r>
          <w:rPr>
            <w:lang w:val="zh-CN"/>
          </w:rPr>
          <w:t>10</w:t>
        </w:r>
        <w:r>
          <w:fldChar w:fldCharType="end"/>
        </w:r>
      </w:p>
    </w:sdtContent>
  </w:sdt>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E2FA047D"/>
    <w:multiLevelType w:val="singleLevel"/>
    <w:tmpl w:val="E2FA047D"/>
    <w:lvl w:ilvl="0" w:tentative="0">
      <w:start w:val="3"/>
      <w:numFmt w:val="chineseCounting"/>
      <w:suff w:val="space"/>
      <w:lvlText w:val="第%1部分"/>
      <w:lvlJc w:val="left"/>
      <w:rPr>
        <w:rFonts w:hint="eastAsia"/>
      </w:rPr>
    </w:lvl>
  </w:abstractNum>
  <w:abstractNum w:abstractNumId="2">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4">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5">
    <w:nsid w:val="32E3DEA8"/>
    <w:multiLevelType w:val="singleLevel"/>
    <w:tmpl w:val="32E3DEA8"/>
    <w:lvl w:ilvl="0" w:tentative="0">
      <w:start w:val="2"/>
      <w:numFmt w:val="chineseCounting"/>
      <w:suff w:val="nothing"/>
      <w:lvlText w:val="（%1）"/>
      <w:lvlJc w:val="left"/>
      <w:rPr>
        <w:rFonts w:hint="eastAsia"/>
      </w:rPr>
    </w:lvl>
  </w:abstractNum>
  <w:abstractNum w:abstractNumId="6">
    <w:nsid w:val="5D5382B5"/>
    <w:multiLevelType w:val="singleLevel"/>
    <w:tmpl w:val="5D5382B5"/>
    <w:lvl w:ilvl="0" w:tentative="0">
      <w:start w:val="1"/>
      <w:numFmt w:val="chineseCounting"/>
      <w:suff w:val="nothing"/>
      <w:lvlText w:val="%1、"/>
      <w:lvlJc w:val="left"/>
    </w:lvl>
  </w:abstractNum>
  <w:abstractNum w:abstractNumId="7">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7"/>
  </w:num>
  <w:num w:numId="2">
    <w:abstractNumId w:val="3"/>
  </w:num>
  <w:num w:numId="3">
    <w:abstractNumId w:val="0"/>
  </w:num>
  <w:num w:numId="4">
    <w:abstractNumId w:val="4"/>
  </w:num>
  <w:num w:numId="5">
    <w:abstractNumId w:val="2"/>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3E52393"/>
    <w:rsid w:val="0699640E"/>
    <w:rsid w:val="10C055FF"/>
    <w:rsid w:val="11794BA0"/>
    <w:rsid w:val="11C76E7E"/>
    <w:rsid w:val="169A2DF5"/>
    <w:rsid w:val="16BB723D"/>
    <w:rsid w:val="18543AF5"/>
    <w:rsid w:val="19CC532D"/>
    <w:rsid w:val="19F606D3"/>
    <w:rsid w:val="215B47DB"/>
    <w:rsid w:val="21763EE3"/>
    <w:rsid w:val="21C73B38"/>
    <w:rsid w:val="229E2A6C"/>
    <w:rsid w:val="240371BF"/>
    <w:rsid w:val="24E502E4"/>
    <w:rsid w:val="25731D92"/>
    <w:rsid w:val="25B36A9E"/>
    <w:rsid w:val="25B46BBD"/>
    <w:rsid w:val="27DE2613"/>
    <w:rsid w:val="29B2642B"/>
    <w:rsid w:val="29E11570"/>
    <w:rsid w:val="29FD04D3"/>
    <w:rsid w:val="2C4D5A82"/>
    <w:rsid w:val="2ED07815"/>
    <w:rsid w:val="30353944"/>
    <w:rsid w:val="319F7F4E"/>
    <w:rsid w:val="320E24CA"/>
    <w:rsid w:val="325E6D92"/>
    <w:rsid w:val="335D1AF2"/>
    <w:rsid w:val="36EF5906"/>
    <w:rsid w:val="38780233"/>
    <w:rsid w:val="39F91669"/>
    <w:rsid w:val="3D1A34EC"/>
    <w:rsid w:val="42DB6799"/>
    <w:rsid w:val="42F2544D"/>
    <w:rsid w:val="454D6320"/>
    <w:rsid w:val="465524D7"/>
    <w:rsid w:val="496B4F79"/>
    <w:rsid w:val="4B6C060B"/>
    <w:rsid w:val="4F8D6B06"/>
    <w:rsid w:val="51845BD6"/>
    <w:rsid w:val="56F311EF"/>
    <w:rsid w:val="5717560F"/>
    <w:rsid w:val="5AD442B0"/>
    <w:rsid w:val="5F154E83"/>
    <w:rsid w:val="5FD217D6"/>
    <w:rsid w:val="6358367D"/>
    <w:rsid w:val="64D30BDE"/>
    <w:rsid w:val="650950D2"/>
    <w:rsid w:val="6CDE5C0D"/>
    <w:rsid w:val="6E3E6671"/>
    <w:rsid w:val="6E6F1C3D"/>
    <w:rsid w:val="6EB97363"/>
    <w:rsid w:val="743A06E9"/>
    <w:rsid w:val="75071FD4"/>
    <w:rsid w:val="76746BC7"/>
    <w:rsid w:val="78C91C1F"/>
    <w:rsid w:val="79170626"/>
    <w:rsid w:val="7BC20167"/>
    <w:rsid w:val="7C2B1202"/>
    <w:rsid w:val="7CDF0145"/>
    <w:rsid w:val="7E865A62"/>
    <w:rsid w:val="7EAA55AA"/>
    <w:rsid w:val="7EAA75CA"/>
    <w:rsid w:val="7F527B5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0"/>
    <w:unhideWhenUsed/>
    <w:qFormat/>
    <w:uiPriority w:val="9"/>
    <w:pPr>
      <w:keepNext/>
      <w:keepLines/>
      <w:spacing w:before="260" w:after="260" w:line="416" w:lineRule="auto"/>
      <w:outlineLvl w:val="2"/>
    </w:pPr>
    <w:rPr>
      <w:b/>
      <w:bCs/>
      <w:sz w:val="32"/>
      <w:szCs w:val="32"/>
    </w:rPr>
  </w:style>
  <w:style w:type="character" w:default="1" w:styleId="14">
    <w:name w:val="Default Paragraph Font"/>
    <w:unhideWhenUsed/>
    <w:qFormat/>
    <w:uiPriority w:val="1"/>
  </w:style>
  <w:style w:type="table" w:default="1" w:styleId="17">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unhideWhenUsed/>
    <w:uiPriority w:val="99"/>
    <w:pPr>
      <w:ind w:firstLine="420" w:firstLineChars="200"/>
    </w:pPr>
  </w:style>
  <w:style w:type="paragraph" w:styleId="3">
    <w:name w:val="Body Text Indent"/>
    <w:basedOn w:val="1"/>
    <w:unhideWhenUsed/>
    <w:uiPriority w:val="99"/>
    <w:pPr>
      <w:spacing w:after="120"/>
      <w:ind w:left="420" w:leftChars="200"/>
    </w:pPr>
    <w:rPr>
      <w:szCs w:val="20"/>
    </w:rPr>
  </w:style>
  <w:style w:type="paragraph" w:styleId="7">
    <w:name w:val="Body Text"/>
    <w:basedOn w:val="1"/>
    <w:link w:val="23"/>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29"/>
    <w:unhideWhenUsed/>
    <w:qFormat/>
    <w:uiPriority w:val="99"/>
    <w:rPr>
      <w:sz w:val="18"/>
      <w:szCs w:val="18"/>
    </w:rPr>
  </w:style>
  <w:style w:type="paragraph" w:styleId="10">
    <w:name w:val="footer"/>
    <w:basedOn w:val="1"/>
    <w:link w:val="21"/>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19"/>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character" w:styleId="15">
    <w:name w:val="Strong"/>
    <w:basedOn w:val="14"/>
    <w:qFormat/>
    <w:uiPriority w:val="99"/>
    <w:rPr>
      <w:b/>
    </w:rPr>
  </w:style>
  <w:style w:type="character" w:styleId="16">
    <w:name w:val="Hyperlink"/>
    <w:basedOn w:val="14"/>
    <w:unhideWhenUsed/>
    <w:qFormat/>
    <w:uiPriority w:val="99"/>
    <w:rPr>
      <w:color w:val="0000FF" w:themeColor="hyperlink"/>
      <w:u w:val="single"/>
      <w14:textFill>
        <w14:solidFill>
          <w14:schemeClr w14:val="hlink"/>
        </w14:solidFill>
      </w14:textFill>
    </w:rPr>
  </w:style>
  <w:style w:type="character" w:customStyle="1" w:styleId="18">
    <w:name w:val="Header Char"/>
    <w:basedOn w:val="14"/>
    <w:semiHidden/>
    <w:qFormat/>
    <w:uiPriority w:val="99"/>
    <w:rPr>
      <w:rFonts w:ascii="Times New Roman" w:hAnsi="Times New Roman"/>
      <w:sz w:val="18"/>
      <w:szCs w:val="18"/>
    </w:rPr>
  </w:style>
  <w:style w:type="character" w:customStyle="1" w:styleId="19">
    <w:name w:val="页眉 Char"/>
    <w:link w:val="11"/>
    <w:semiHidden/>
    <w:qFormat/>
    <w:locked/>
    <w:uiPriority w:val="99"/>
    <w:rPr>
      <w:sz w:val="18"/>
    </w:rPr>
  </w:style>
  <w:style w:type="character" w:customStyle="1" w:styleId="20">
    <w:name w:val="Footer Char"/>
    <w:basedOn w:val="14"/>
    <w:semiHidden/>
    <w:qFormat/>
    <w:uiPriority w:val="99"/>
    <w:rPr>
      <w:rFonts w:ascii="Times New Roman" w:hAnsi="Times New Roman"/>
      <w:sz w:val="18"/>
      <w:szCs w:val="18"/>
    </w:rPr>
  </w:style>
  <w:style w:type="character" w:customStyle="1" w:styleId="21">
    <w:name w:val="页脚 Char"/>
    <w:link w:val="10"/>
    <w:qFormat/>
    <w:locked/>
    <w:uiPriority w:val="99"/>
    <w:rPr>
      <w:sz w:val="18"/>
    </w:rPr>
  </w:style>
  <w:style w:type="character" w:customStyle="1" w:styleId="22">
    <w:name w:val="Body Text Char"/>
    <w:basedOn w:val="14"/>
    <w:semiHidden/>
    <w:qFormat/>
    <w:uiPriority w:val="99"/>
    <w:rPr>
      <w:rFonts w:ascii="Times New Roman" w:hAnsi="Times New Roman"/>
      <w:szCs w:val="24"/>
    </w:rPr>
  </w:style>
  <w:style w:type="character" w:customStyle="1" w:styleId="23">
    <w:name w:val="正文文本 Char"/>
    <w:link w:val="7"/>
    <w:qFormat/>
    <w:locked/>
    <w:uiPriority w:val="99"/>
    <w:rPr>
      <w:rFonts w:ascii="仿宋_GB2312" w:hAnsi="Times New Roman" w:eastAsia="仿宋_GB2312"/>
      <w:sz w:val="24"/>
    </w:rPr>
  </w:style>
  <w:style w:type="paragraph" w:customStyle="1" w:styleId="2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25">
    <w:name w:val="List Paragraph"/>
    <w:basedOn w:val="1"/>
    <w:qFormat/>
    <w:uiPriority w:val="34"/>
    <w:pPr>
      <w:ind w:firstLine="420" w:firstLineChars="200"/>
    </w:pPr>
  </w:style>
  <w:style w:type="character" w:customStyle="1" w:styleId="26">
    <w:name w:val="标题 1 Char"/>
    <w:basedOn w:val="14"/>
    <w:link w:val="4"/>
    <w:qFormat/>
    <w:uiPriority w:val="9"/>
    <w:rPr>
      <w:rFonts w:ascii="Times New Roman" w:hAnsi="Times New Roman"/>
      <w:b/>
      <w:bCs/>
      <w:kern w:val="44"/>
      <w:sz w:val="44"/>
      <w:szCs w:val="44"/>
    </w:rPr>
  </w:style>
  <w:style w:type="character" w:customStyle="1" w:styleId="27">
    <w:name w:val="标题 2 Char"/>
    <w:basedOn w:val="14"/>
    <w:link w:val="5"/>
    <w:qFormat/>
    <w:uiPriority w:val="9"/>
    <w:rPr>
      <w:rFonts w:asciiTheme="majorHAnsi" w:hAnsiTheme="majorHAnsi" w:eastAsiaTheme="majorEastAsia" w:cstheme="majorBidi"/>
      <w:b/>
      <w:bCs/>
      <w:kern w:val="2"/>
      <w:sz w:val="32"/>
      <w:szCs w:val="32"/>
    </w:rPr>
  </w:style>
  <w:style w:type="paragraph" w:customStyle="1" w:styleId="28">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9">
    <w:name w:val="批注框文本 Char"/>
    <w:basedOn w:val="14"/>
    <w:link w:val="9"/>
    <w:semiHidden/>
    <w:qFormat/>
    <w:uiPriority w:val="99"/>
    <w:rPr>
      <w:rFonts w:ascii="Times New Roman" w:hAnsi="Times New Roman"/>
      <w:kern w:val="2"/>
      <w:sz w:val="18"/>
      <w:szCs w:val="18"/>
    </w:rPr>
  </w:style>
  <w:style w:type="character" w:customStyle="1" w:styleId="30">
    <w:name w:val="标题 3 Char"/>
    <w:basedOn w:val="14"/>
    <w:link w:val="6"/>
    <w:qFormat/>
    <w:uiPriority w:val="9"/>
    <w:rPr>
      <w:rFonts w:ascii="Times New Roman" w:hAnsi="Times New Roman"/>
      <w:b/>
      <w:bCs/>
      <w:kern w:val="2"/>
      <w:sz w:val="32"/>
      <w:szCs w:val="32"/>
    </w:rPr>
  </w:style>
  <w:style w:type="paragraph" w:customStyle="1" w:styleId="31">
    <w:name w:val="四号正文"/>
    <w:basedOn w:val="1"/>
    <w:qFormat/>
    <w:uiPriority w:val="0"/>
    <w:pPr>
      <w:keepNext w:val="0"/>
      <w:keepLines w:val="0"/>
      <w:widowControl w:val="0"/>
      <w:suppressLineNumbers w:val="0"/>
      <w:spacing w:before="0" w:beforeAutospacing="0" w:after="0" w:afterAutospacing="0" w:line="360" w:lineRule="auto"/>
      <w:ind w:left="0" w:right="0"/>
      <w:jc w:val="both"/>
    </w:pPr>
    <w:rPr>
      <w:rFonts w:hint="default" w:ascii="??" w:hAnsi="??" w:eastAsia="宋体" w:cs="Times New Roman"/>
      <w:color w:val="000000"/>
      <w:kern w:val="0"/>
      <w:sz w:val="28"/>
      <w:szCs w:val="21"/>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2018</a:t>
            </a:r>
            <a:r>
              <a:rPr altLang="en-US"/>
              <a:t>年、</a:t>
            </a:r>
            <a:r>
              <a:rPr lang="en-US" altLang="zh-CN"/>
              <a:t>2017</a:t>
            </a:r>
            <a:r>
              <a:rPr altLang="en-US"/>
              <a:t>年收支对比</a:t>
            </a:r>
            <a:endParaRPr lang="en-US" altLang="zh-CN"/>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2018年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Sheet1!$B$2:$B$3</c:f>
              <c:numCache>
                <c:formatCode>General</c:formatCode>
                <c:ptCount val="2"/>
                <c:pt idx="0">
                  <c:v>11584.57</c:v>
                </c:pt>
                <c:pt idx="1">
                  <c:v>8825.16</c:v>
                </c:pt>
              </c:numCache>
            </c:numRef>
          </c:val>
        </c:ser>
        <c:ser>
          <c:idx val="1"/>
          <c:order val="1"/>
          <c:tx>
            <c:strRef>
              <c:f>Sheet1!$C$1</c:f>
              <c:strCache>
                <c:ptCount val="1"/>
                <c:pt idx="0">
                  <c:v>2017年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Sheet1!$C$2:$C$3</c:f>
              <c:numCache>
                <c:formatCode>General</c:formatCode>
                <c:ptCount val="2"/>
                <c:pt idx="0">
                  <c:v>10703</c:v>
                </c:pt>
                <c:pt idx="1">
                  <c:v>10133.94</c:v>
                </c:pt>
              </c:numCache>
            </c:numRef>
          </c:val>
        </c:ser>
        <c:dLbls>
          <c:showLegendKey val="0"/>
          <c:showVal val="1"/>
          <c:showCatName val="0"/>
          <c:showSerName val="0"/>
          <c:showPercent val="0"/>
          <c:showBubbleSize val="0"/>
        </c:dLbls>
        <c:gapWidth val="219"/>
        <c:overlap val="-27"/>
        <c:axId val="911034669"/>
        <c:axId val="749028656"/>
      </c:barChart>
      <c:catAx>
        <c:axId val="91103466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9028656"/>
        <c:crosses val="autoZero"/>
        <c:auto val="1"/>
        <c:lblAlgn val="ctr"/>
        <c:lblOffset val="100"/>
        <c:noMultiLvlLbl val="0"/>
      </c:catAx>
      <c:valAx>
        <c:axId val="749028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1034669"/>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各类收入占比情况</a:t>
            </a:r>
          </a:p>
        </c:rich>
      </c:tx>
      <c:layout>
        <c:manualLayout>
          <c:xMode val="edge"/>
          <c:yMode val="edge"/>
          <c:x val="0.373851374986807"/>
          <c:y val="0.0170855239015671"/>
        </c:manualLayout>
      </c:layout>
      <c:overlay val="0"/>
      <c:spPr>
        <a:noFill/>
        <a:ln>
          <a:noFill/>
        </a:ln>
        <a:effectLst/>
      </c:spPr>
    </c:title>
    <c:autoTitleDeleted val="0"/>
    <c:plotArea>
      <c:layout>
        <c:manualLayout>
          <c:layoutTarget val="inner"/>
          <c:xMode val="edge"/>
          <c:yMode val="edge"/>
          <c:x val="0.244534757091493"/>
          <c:y val="0.20019670110911"/>
          <c:w val="0.609856535600425"/>
          <c:h val="0.598409801876955"/>
        </c:manualLayout>
      </c:layout>
      <c:pieChart>
        <c:varyColors val="1"/>
        <c:ser>
          <c:idx val="0"/>
          <c:order val="0"/>
          <c:tx>
            <c:strRef>
              <c:f>Sheet1!$B$1</c:f>
              <c:strCache>
                <c:ptCount val="1"/>
                <c:pt idx="0">
                  <c:v>销售额</c:v>
                </c:pt>
              </c:strCache>
            </c:strRef>
          </c:tx>
          <c:spPr/>
          <c:explosion val="0"/>
          <c:dPt>
            <c:idx val="0"/>
            <c:bubble3D val="0"/>
            <c:explosion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manualLayout>
                  <c:x val="0.0516293007568179"/>
                  <c:y val="0.10870030461632"/>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年初结转和结余60%</a:t>
                    </a:r>
                  </a:p>
                </c:rich>
              </c:tx>
              <c:dLblPos val="bestFit"/>
              <c:showLegendKey val="0"/>
              <c:showVal val="1"/>
              <c:showCatName val="1"/>
              <c:showSerName val="0"/>
              <c:showPercent val="1"/>
              <c:showBubbleSize val="0"/>
              <c:extLst>
                <c:ext xmlns:c15="http://schemas.microsoft.com/office/drawing/2012/chart" uri="{CE6537A1-D6FC-4f65-9D91-7224C49458BB}">
                  <c15:layout/>
                </c:ext>
              </c:extLst>
            </c:dLbl>
            <c:dLbl>
              <c:idx val="1"/>
              <c:layout>
                <c:manualLayout>
                  <c:x val="-0.00256286478519449"/>
                  <c:y val="0.270478091839422"/>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一般财政拨款收入 36%</a:t>
                    </a:r>
                  </a:p>
                </c:rich>
              </c:tx>
              <c:dLblPos val="bestFit"/>
              <c:showLegendKey val="0"/>
              <c:showVal val="1"/>
              <c:showCatName val="1"/>
              <c:showSerName val="0"/>
              <c:showPercent val="1"/>
              <c:showBubbleSize val="0"/>
              <c:extLst>
                <c:ext xmlns:c15="http://schemas.microsoft.com/office/drawing/2012/chart" uri="{CE6537A1-D6FC-4f65-9D91-7224C49458BB}">
                  <c15:layout/>
                </c:ext>
              </c:extLst>
            </c:dLbl>
            <c:dLbl>
              <c:idx val="2"/>
              <c:layout>
                <c:manualLayout>
                  <c:x val="-0.122218036082521"/>
                  <c:y val="-0.000898670224404663"/>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基金收入 </a:t>
                    </a:r>
                    <a:r>
                      <a:rPr lang="en-US" altLang="zh-CN"/>
                      <a:t>3.8</a:t>
                    </a:r>
                    <a:r>
                      <a:t>%</a:t>
                    </a:r>
                  </a:p>
                </c:rich>
              </c:tx>
              <c:dLblPos val="bestFit"/>
              <c:showLegendKey val="0"/>
              <c:showVal val="1"/>
              <c:showCatName val="1"/>
              <c:showSerName val="0"/>
              <c:showPercent val="1"/>
              <c:showBubbleSize val="0"/>
              <c:extLst>
                <c:ext xmlns:c15="http://schemas.microsoft.com/office/drawing/2012/chart" uri="{CE6537A1-D6FC-4f65-9D91-7224C49458BB}">
                  <c15:layout/>
                </c:ext>
              </c:extLst>
            </c:dLbl>
            <c:dLbl>
              <c:idx val="3"/>
              <c:layout>
                <c:manualLayout>
                  <c:x val="0.0171979131604254"/>
                  <c:y val="0.118355720870036"/>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其他收入</a:t>
                    </a:r>
                    <a:r>
                      <a:rPr lang="en-US" altLang="zh-CN"/>
                      <a:t>0.2</a:t>
                    </a:r>
                    <a:r>
                      <a:t>%</a:t>
                    </a:r>
                  </a:p>
                </c:rich>
              </c:tx>
              <c:dLblPos val="bestFit"/>
              <c:showLegendKey val="0"/>
              <c:showVal val="1"/>
              <c:showCatName val="1"/>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numCache>
            </c:numRef>
          </c:cat>
          <c:val>
            <c:numRef>
              <c:f>Sheet1!$B$2:$B$5</c:f>
              <c:numCache>
                <c:formatCode>General</c:formatCode>
                <c:ptCount val="4"/>
                <c:pt idx="0">
                  <c:v>60</c:v>
                </c:pt>
                <c:pt idx="1">
                  <c:v>36</c:v>
                </c:pt>
                <c:pt idx="2">
                  <c:v>3.8</c:v>
                </c:pt>
                <c:pt idx="3">
                  <c:v>0.02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支出占比情况</a:t>
            </a:r>
          </a:p>
        </c:rich>
      </c:tx>
      <c:layout>
        <c:manualLayout>
          <c:xMode val="edge"/>
          <c:yMode val="edge"/>
          <c:x val="0.36909758656873"/>
          <c:y val="0.0367309458218549"/>
        </c:manualLayout>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manualLayout>
                  <c:x val="-0.0382399484687335"/>
                  <c:y val="-0.208142026323844"/>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项目支出92%</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dLbl>
              <c:idx val="1"/>
              <c:layout>
                <c:manualLayout>
                  <c:x val="-0.152095272451833"/>
                  <c:y val="0.0217979426490149"/>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基本支出 8%</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项目</c:v>
                </c:pt>
                <c:pt idx="1">
                  <c:v>基本</c:v>
                </c:pt>
              </c:strCache>
            </c:strRef>
          </c:cat>
          <c:val>
            <c:numRef>
              <c:f>Sheet1!$B$2:$B$3</c:f>
              <c:numCache>
                <c:formatCode>General</c:formatCode>
                <c:ptCount val="2"/>
                <c:pt idx="0">
                  <c:v>92</c:v>
                </c:pt>
                <c:pt idx="1">
                  <c:v>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74134312696747"/>
          <c:y val="0.821548821548822"/>
          <c:w val="0.465634837355719"/>
          <c:h val="0.10192837465564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2018</a:t>
            </a:r>
            <a:r>
              <a:rPr altLang="en-US"/>
              <a:t>年</a:t>
            </a:r>
            <a:r>
              <a:rPr lang="en-US" altLang="zh-CN"/>
              <a:t>2017</a:t>
            </a:r>
            <a:r>
              <a:rPr altLang="en-US"/>
              <a:t>年</a:t>
            </a:r>
            <a:r>
              <a:t>收支对比</a:t>
            </a:r>
          </a:p>
        </c:rich>
      </c:tx>
      <c:layout>
        <c:manualLayout>
          <c:xMode val="edge"/>
          <c:yMode val="edge"/>
          <c:x val="0.370925684485007"/>
          <c:y val="0.0243178021162057"/>
        </c:manualLayout>
      </c:layout>
      <c:overlay val="0"/>
      <c:spPr>
        <a:noFill/>
        <a:ln>
          <a:noFill/>
        </a:ln>
        <a:effectLst/>
      </c:spPr>
    </c:title>
    <c:autoTitleDeleted val="0"/>
    <c:plotArea>
      <c:layout>
        <c:manualLayout>
          <c:layoutTarget val="inner"/>
          <c:xMode val="edge"/>
          <c:yMode val="edge"/>
          <c:x val="0.0645639659336013"/>
          <c:y val="0.158999448542208"/>
          <c:w val="0.931658172336138"/>
          <c:h val="0.684314089474661"/>
        </c:manualLayout>
      </c:layout>
      <c:barChart>
        <c:barDir val="col"/>
        <c:grouping val="clustered"/>
        <c:varyColors val="0"/>
        <c:ser>
          <c:idx val="0"/>
          <c:order val="0"/>
          <c:tx>
            <c:strRef>
              <c:f>Sheet1!$B$1</c:f>
              <c:strCache>
                <c:ptCount val="1"/>
                <c:pt idx="0">
                  <c:v>2017</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Sheet1!$B$2:$B$3</c:f>
              <c:numCache>
                <c:formatCode>General</c:formatCode>
                <c:ptCount val="2"/>
                <c:pt idx="0">
                  <c:v>93</c:v>
                </c:pt>
                <c:pt idx="1">
                  <c:v>100</c:v>
                </c:pt>
              </c:numCache>
            </c:numRef>
          </c:val>
        </c:ser>
        <c:ser>
          <c:idx val="1"/>
          <c:order val="1"/>
          <c:tx>
            <c:strRef>
              <c:f>Sheet1!$C$1</c:f>
              <c:strCache>
                <c:ptCount val="1"/>
                <c:pt idx="0">
                  <c:v>2018</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Sheet1!$C$2:$C$3</c:f>
              <c:numCache>
                <c:formatCode>General</c:formatCode>
                <c:ptCount val="2"/>
                <c:pt idx="0">
                  <c:v>100</c:v>
                </c:pt>
                <c:pt idx="1">
                  <c:v>86</c:v>
                </c:pt>
              </c:numCache>
            </c:numRef>
          </c:val>
        </c:ser>
        <c:dLbls>
          <c:showLegendKey val="0"/>
          <c:showVal val="0"/>
          <c:showCatName val="0"/>
          <c:showSerName val="0"/>
          <c:showPercent val="0"/>
          <c:showBubbleSize val="0"/>
        </c:dLbls>
        <c:gapWidth val="219"/>
        <c:overlap val="-27"/>
        <c:axId val="819112757"/>
        <c:axId val="479529240"/>
      </c:barChart>
      <c:catAx>
        <c:axId val="81911275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9529240"/>
        <c:crosses val="autoZero"/>
        <c:auto val="1"/>
        <c:lblAlgn val="ctr"/>
        <c:lblOffset val="100"/>
        <c:noMultiLvlLbl val="0"/>
      </c:catAx>
      <c:valAx>
        <c:axId val="479529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9112757"/>
        <c:crosses val="autoZero"/>
        <c:crossBetween val="between"/>
      </c:valAx>
      <c:spPr>
        <a:noFill/>
        <a:ln>
          <a:noFill/>
        </a:ln>
        <a:effectLst/>
      </c:spPr>
    </c:plotArea>
    <c:legend>
      <c:legendPos val="b"/>
      <c:layout>
        <c:manualLayout>
          <c:xMode val="edge"/>
          <c:yMode val="edge"/>
          <c:x val="0.358539765319426"/>
          <c:y val="0.902543159457954"/>
          <c:w val="0.385682114495674"/>
          <c:h val="0.062186745869686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一般公共预算财政拨款支出情况表</a:t>
            </a:r>
          </a:p>
        </c:rich>
      </c:tx>
      <c:layout>
        <c:manualLayout>
          <c:xMode val="edge"/>
          <c:yMode val="edge"/>
          <c:x val="0.122362410267566"/>
          <c:y val="0.0270538595184909"/>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2017</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支出</c:v>
                </c:pt>
              </c:strCache>
            </c:strRef>
          </c:cat>
          <c:val>
            <c:numRef>
              <c:f>Sheet1!$B$2</c:f>
              <c:numCache>
                <c:formatCode>General</c:formatCode>
                <c:ptCount val="1"/>
                <c:pt idx="0">
                  <c:v>100</c:v>
                </c:pt>
              </c:numCache>
            </c:numRef>
          </c:val>
        </c:ser>
        <c:ser>
          <c:idx val="1"/>
          <c:order val="1"/>
          <c:tx>
            <c:strRef>
              <c:f>Sheet1!$C$1</c:f>
              <c:strCache>
                <c:ptCount val="1"/>
                <c:pt idx="0">
                  <c:v>2018</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支出</c:v>
                </c:pt>
              </c:strCache>
            </c:strRef>
          </c:cat>
          <c:val>
            <c:numRef>
              <c:f>Sheet1!$C$2</c:f>
              <c:numCache>
                <c:formatCode>General</c:formatCode>
                <c:ptCount val="1"/>
                <c:pt idx="0">
                  <c:v>86</c:v>
                </c:pt>
              </c:numCache>
            </c:numRef>
          </c:val>
        </c:ser>
        <c:dLbls>
          <c:showLegendKey val="0"/>
          <c:showVal val="0"/>
          <c:showCatName val="0"/>
          <c:showSerName val="0"/>
          <c:showPercent val="0"/>
          <c:showBubbleSize val="0"/>
        </c:dLbls>
        <c:gapWidth val="219"/>
        <c:overlap val="-27"/>
        <c:axId val="430626544"/>
        <c:axId val="100841806"/>
      </c:barChart>
      <c:catAx>
        <c:axId val="430626544"/>
        <c:scaling>
          <c:orientation val="minMax"/>
        </c:scaling>
        <c:delete val="1"/>
        <c:axPos val="b"/>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0841806"/>
        <c:crosses val="autoZero"/>
        <c:auto val="1"/>
        <c:lblAlgn val="ctr"/>
        <c:lblOffset val="100"/>
        <c:noMultiLvlLbl val="0"/>
      </c:catAx>
      <c:valAx>
        <c:axId val="10084180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30626544"/>
        <c:crosses val="autoZero"/>
        <c:crossBetween val="between"/>
      </c:valAx>
      <c:spPr>
        <a:noFill/>
        <a:ln>
          <a:noFill/>
        </a:ln>
        <a:effectLst/>
      </c:spPr>
    </c:plotArea>
    <c:legend>
      <c:legendPos val="b"/>
      <c:layout>
        <c:manualLayout>
          <c:xMode val="edge"/>
          <c:yMode val="edge"/>
          <c:x val="0.357125"/>
          <c:y val="0.887265135699374"/>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tLang="en-US"/>
              <a:t>各项支出占比</a:t>
            </a:r>
            <a:endParaRPr lang="en-US" altLang="zh-CN"/>
          </a:p>
        </c:rich>
      </c:tx>
      <c:layout/>
      <c:overlay val="0"/>
      <c:spPr>
        <a:noFill/>
        <a:ln>
          <a:noFill/>
        </a:ln>
        <a:effectLst/>
      </c:spPr>
    </c:title>
    <c:autoTitleDeleted val="0"/>
    <c:plotArea>
      <c:layout>
        <c:manualLayout>
          <c:layoutTarget val="inner"/>
          <c:xMode val="edge"/>
          <c:yMode val="edge"/>
          <c:x val="0.185628997867804"/>
          <c:y val="0.332536479354238"/>
          <c:w val="0.353688699360341"/>
          <c:h val="0.514995343061161"/>
        </c:manualLayout>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 63%</a:t>
                    </a:r>
                  </a:p>
                </c:rich>
              </c:tx>
              <c:dLblPos val="bestFit"/>
              <c:showLegendKey val="0"/>
              <c:showVal val="1"/>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23%</a:t>
                    </a:r>
                  </a:p>
                </c:rich>
              </c:tx>
              <c:dLblPos val="bestFit"/>
              <c:showLegendKey val="0"/>
              <c:showVal val="1"/>
              <c:showCatName val="0"/>
              <c:showSerName val="0"/>
              <c:showPercent val="1"/>
              <c:showBubbleSize val="0"/>
              <c:extLst>
                <c:ext xmlns:c15="http://schemas.microsoft.com/office/drawing/2012/chart" uri="{CE6537A1-D6FC-4f65-9D91-7224C49458BB}"/>
              </c:extLst>
            </c:dLbl>
            <c:dLbl>
              <c:idx val="2"/>
              <c:layout>
                <c:manualLayout>
                  <c:x val="-0.0790440275581675"/>
                  <c:y val="0.027587467417724"/>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6%</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dLbl>
              <c:idx val="3"/>
              <c:layout>
                <c:manualLayout>
                  <c:x val="-0.237892720667807"/>
                  <c:y val="0.0207153421821756"/>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 5%</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dLbl>
              <c:idx val="4"/>
              <c:layout>
                <c:manualLayout>
                  <c:x val="-0.171887321648217"/>
                  <c:y val="-0.0256799329573579"/>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2%</a:t>
                    </a:r>
                  </a:p>
                </c:rich>
              </c:tx>
              <c:dLblPos val="bestFit"/>
              <c:showLegendKey val="0"/>
              <c:showVal val="1"/>
              <c:showCatName val="0"/>
              <c:showSerName val="0"/>
              <c:showPercent val="1"/>
              <c:showBubbleSize val="0"/>
              <c:extLst>
                <c:ext xmlns:c15="http://schemas.microsoft.com/office/drawing/2012/chart" uri="{CE6537A1-D6FC-4f65-9D91-7224C49458BB}">
                  <c15:layout>
                    <c:manualLayout>
                      <c:w val="0.119829424307036"/>
                      <c:h val="0.0863085998137224"/>
                    </c:manualLayout>
                  </c15:layout>
                </c:ext>
              </c:extLst>
            </c:dLbl>
            <c:dLbl>
              <c:idx val="5"/>
              <c:layout>
                <c:manualLayout>
                  <c:x val="0.177726501438702"/>
                  <c:y val="-0.0219304183708173"/>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0.7</a:t>
                    </a:r>
                    <a:r>
                      <a:t>%</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dLbl>
              <c:idx val="6"/>
              <c:layout>
                <c:manualLayout>
                  <c:x val="0.0422043249549637"/>
                  <c:y val="0.111175386838817"/>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0.3</a:t>
                    </a:r>
                    <a:r>
                      <a:t>%</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城乡社区支出</c:v>
                </c:pt>
                <c:pt idx="1">
                  <c:v>一般公共服务支出</c:v>
                </c:pt>
                <c:pt idx="2">
                  <c:v>住房保障支出</c:v>
                </c:pt>
                <c:pt idx="3">
                  <c:v>节能环保支出</c:v>
                </c:pt>
                <c:pt idx="4">
                  <c:v>农林水支出</c:v>
                </c:pt>
                <c:pt idx="5">
                  <c:v>社会保障和就业支出</c:v>
                </c:pt>
                <c:pt idx="6">
                  <c:v>医疗卫生支出</c:v>
                </c:pt>
              </c:strCache>
            </c:strRef>
          </c:cat>
          <c:val>
            <c:numRef>
              <c:f>Sheet1!$B$2:$B$8</c:f>
              <c:numCache>
                <c:formatCode>General</c:formatCode>
                <c:ptCount val="7"/>
                <c:pt idx="0">
                  <c:v>63</c:v>
                </c:pt>
                <c:pt idx="1">
                  <c:v>23</c:v>
                </c:pt>
                <c:pt idx="2">
                  <c:v>6</c:v>
                </c:pt>
                <c:pt idx="3">
                  <c:v>5</c:v>
                </c:pt>
                <c:pt idx="4">
                  <c:v>2</c:v>
                </c:pt>
                <c:pt idx="5">
                  <c:v>0.7</c:v>
                </c:pt>
                <c:pt idx="6">
                  <c:v>0.3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17467248908297"/>
          <c:y val="0.0327586206896552"/>
        </c:manualLayout>
      </c:layout>
      <c:overlay val="0"/>
      <c:spPr>
        <a:noFill/>
        <a:ln>
          <a:noFill/>
        </a:ln>
        <a:effectLst/>
      </c:spPr>
      <c:tx>
        <c:rich>
          <a:bodyPr/>
          <a:lstStyle/>
          <a:p>
            <a:pPr>
              <a:defRPr/>
            </a:pPr>
          </a:p>
        </c:rich>
      </c:tx>
    </c:title>
    <c:autoTitleDeleted val="0"/>
    <c:plotArea>
      <c:layout/>
      <c:pieChart>
        <c:varyColors val="1"/>
        <c:ser>
          <c:idx val="0"/>
          <c:order val="0"/>
          <c:tx>
            <c:strRef>
              <c:f>Sheet1!$B$1</c:f>
              <c:strCache>
                <c:ptCount val="1"/>
                <c:pt idx="0">
                  <c:v>销售额</c:v>
                </c:pt>
              </c:strCache>
            </c:strRef>
          </c:tx>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solidFill>
                        <a:latin typeface="+mn-lt"/>
                        <a:ea typeface="+mn-ea"/>
                        <a:cs typeface="+mn-cs"/>
                      </a:defRPr>
                    </a:pPr>
                    <a:r>
                      <a:t>95%</a:t>
                    </a:r>
                  </a:p>
                </c:rich>
              </c:tx>
              <c:dLblPos val="bestFit"/>
              <c:showLegendKey val="0"/>
              <c:showVal val="1"/>
              <c:showCatName val="0"/>
              <c:showSerName val="0"/>
              <c:showPercent val="1"/>
              <c:showBubbleSize val="0"/>
              <c:extLst>
                <c:ext xmlns:c15="http://schemas.microsoft.com/office/drawing/2012/chart" uri="{CE6537A1-D6FC-4f65-9D91-7224C49458BB}"/>
              </c:extLst>
            </c:dLbl>
            <c:dLbl>
              <c:idx val="1"/>
              <c:layout>
                <c:manualLayout>
                  <c:x val="-0.000935642209076452"/>
                  <c:y val="-0.0350030647621726"/>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solidFill>
                        <a:latin typeface="+mn-lt"/>
                        <a:ea typeface="+mn-ea"/>
                        <a:cs typeface="+mn-cs"/>
                      </a:defRPr>
                    </a:pPr>
                    <a:r>
                      <a:t> 5%</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Sheet1!$A$2:$A$3</c:f>
              <c:strCache>
                <c:ptCount val="2"/>
                <c:pt idx="0">
                  <c:v>公务用车购置及维护</c:v>
                </c:pt>
                <c:pt idx="1">
                  <c:v>公务接待</c:v>
                </c:pt>
              </c:strCache>
            </c:strRef>
          </c:cat>
          <c:val>
            <c:numRef>
              <c:f>Sheet1!$B$2:$B$3</c:f>
              <c:numCache>
                <c:formatCode>General</c:formatCode>
                <c:ptCount val="2"/>
                <c:pt idx="0">
                  <c:v>95</c:v>
                </c:pt>
                <c:pt idx="1">
                  <c:v>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1441</Words>
  <Characters>8219</Characters>
  <Lines>68</Lines>
  <Paragraphs>19</Paragraphs>
  <ScaleCrop>false</ScaleCrop>
  <LinksUpToDate>false</LinksUpToDate>
  <CharactersWithSpaces>9641</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LENOVO</cp:lastModifiedBy>
  <cp:lastPrinted>2019-08-01T00:48:00Z</cp:lastPrinted>
  <dcterms:modified xsi:type="dcterms:W3CDTF">2019-09-15T09:13:30Z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