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72"/>
          <w:szCs w:val="72"/>
        </w:rPr>
      </w:pPr>
      <w:bookmarkStart w:id="0" w:name="_Toc15378441"/>
      <w:bookmarkStart w:id="1" w:name="_Toc15377425"/>
      <w:bookmarkStart w:id="2" w:name="_Toc15377193"/>
      <w:bookmarkStart w:id="3" w:name="_Toc15306267"/>
      <w:bookmarkStart w:id="4" w:name="_Toc15396475"/>
      <w:bookmarkStart w:id="5" w:name="_Toc15396597"/>
    </w:p>
    <w:p>
      <w:pPr>
        <w:pageBreakBefore w:val="0"/>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72"/>
          <w:szCs w:val="72"/>
        </w:rPr>
      </w:pPr>
    </w:p>
    <w:p>
      <w:pPr>
        <w:pageBreakBefore w:val="0"/>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72"/>
          <w:szCs w:val="72"/>
        </w:rPr>
      </w:pPr>
    </w:p>
    <w:bookmarkEnd w:id="0"/>
    <w:bookmarkEnd w:id="1"/>
    <w:bookmarkEnd w:id="2"/>
    <w:bookmarkEnd w:id="3"/>
    <w:bookmarkEnd w:id="4"/>
    <w:bookmarkEnd w:id="5"/>
    <w:p>
      <w:pPr>
        <w:pStyle w:val="15"/>
        <w:pageBreakBefore w:val="0"/>
        <w:shd w:val="clear" w:color="auto" w:fill="FFFFFF"/>
        <w:kinsoku/>
        <w:wordWrap/>
        <w:overflowPunct/>
        <w:topLinePunct w:val="0"/>
        <w:bidi w:val="0"/>
        <w:spacing w:before="0" w:beforeAutospacing="0" w:after="0" w:afterAutospacing="0" w:line="576" w:lineRule="exact"/>
        <w:ind w:left="0" w:leftChars="0"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年度</w:t>
      </w:r>
    </w:p>
    <w:p>
      <w:pPr>
        <w:pStyle w:val="15"/>
        <w:pageBreakBefore w:val="0"/>
        <w:shd w:val="clear" w:color="auto" w:fill="FFFFFF"/>
        <w:kinsoku/>
        <w:wordWrap/>
        <w:overflowPunct/>
        <w:topLinePunct w:val="0"/>
        <w:bidi w:val="0"/>
        <w:spacing w:before="0" w:beforeAutospacing="0" w:after="0" w:afterAutospacing="0" w:line="576" w:lineRule="exact"/>
        <w:ind w:left="0" w:leftChars="0"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中共红原县纪律检查委员会</w:t>
      </w:r>
    </w:p>
    <w:p>
      <w:pPr>
        <w:pStyle w:val="15"/>
        <w:pageBreakBefore w:val="0"/>
        <w:shd w:val="clear" w:color="auto" w:fill="FFFFFF"/>
        <w:kinsoku/>
        <w:wordWrap/>
        <w:overflowPunct/>
        <w:topLinePunct w:val="0"/>
        <w:bidi w:val="0"/>
        <w:spacing w:before="0" w:beforeAutospacing="0" w:after="0" w:afterAutospacing="0" w:line="576" w:lineRule="exact"/>
        <w:ind w:left="0" w:leftChars="0" w:right="0"/>
        <w:jc w:val="center"/>
        <w:rPr>
          <w:rFonts w:hint="default" w:ascii="仿宋_GB2312" w:hAnsi="仿宋_GB2312" w:eastAsia="方正小标宋简体" w:cs="仿宋_GB2312"/>
          <w:sz w:val="36"/>
          <w:szCs w:val="36"/>
          <w:lang w:val="en-US" w:eastAsia="zh-CN"/>
        </w:rPr>
      </w:pPr>
      <w:r>
        <w:rPr>
          <w:rFonts w:hint="eastAsia" w:ascii="方正小标宋简体" w:hAnsi="方正小标宋简体" w:eastAsia="方正小标宋简体" w:cs="方正小标宋简体"/>
          <w:sz w:val="44"/>
          <w:szCs w:val="44"/>
        </w:rPr>
        <w:t>部门决算</w:t>
      </w:r>
      <w:r>
        <w:rPr>
          <w:rFonts w:hint="eastAsia" w:ascii="方正小标宋简体" w:hAnsi="方正小标宋简体" w:eastAsia="方正小标宋简体" w:cs="方正小标宋简体"/>
          <w:sz w:val="44"/>
          <w:szCs w:val="44"/>
          <w:lang w:val="en-US" w:eastAsia="zh-CN"/>
        </w:rPr>
        <w:t>公开编制说明</w:t>
      </w:r>
    </w:p>
    <w:p>
      <w:pPr>
        <w:pageBreakBefore w:val="0"/>
        <w:widowControl/>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36"/>
          <w:szCs w:val="36"/>
        </w:rPr>
      </w:pPr>
    </w:p>
    <w:p>
      <w:pPr>
        <w:pageBreakBefore w:val="0"/>
        <w:widowControl/>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36"/>
          <w:szCs w:val="36"/>
        </w:rPr>
      </w:pPr>
    </w:p>
    <w:p>
      <w:pPr>
        <w:pageBreakBefore w:val="0"/>
        <w:widowControl/>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36"/>
          <w:szCs w:val="36"/>
        </w:rPr>
      </w:pPr>
    </w:p>
    <w:p>
      <w:pPr>
        <w:pageBreakBefore w:val="0"/>
        <w:widowControl/>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36"/>
          <w:szCs w:val="36"/>
        </w:rPr>
      </w:pPr>
    </w:p>
    <w:p>
      <w:pPr>
        <w:pageBreakBefore w:val="0"/>
        <w:widowControl/>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36"/>
          <w:szCs w:val="36"/>
        </w:rPr>
      </w:pPr>
    </w:p>
    <w:p>
      <w:pPr>
        <w:pageBreakBefore w:val="0"/>
        <w:widowControl/>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36"/>
          <w:szCs w:val="36"/>
        </w:rPr>
      </w:pPr>
    </w:p>
    <w:p>
      <w:pPr>
        <w:pageBreakBefore w:val="0"/>
        <w:widowControl/>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36"/>
          <w:szCs w:val="36"/>
        </w:rPr>
      </w:pPr>
    </w:p>
    <w:p>
      <w:pPr>
        <w:pStyle w:val="7"/>
        <w:pageBreakBefore w:val="0"/>
        <w:kinsoku/>
        <w:wordWrap/>
        <w:overflowPunct/>
        <w:topLinePunct w:val="0"/>
        <w:bidi w:val="0"/>
        <w:spacing w:beforeAutospacing="0" w:after="0" w:afterAutospacing="0" w:line="576" w:lineRule="exact"/>
        <w:ind w:left="0" w:leftChars="0" w:right="0" w:firstLine="720"/>
        <w:rPr>
          <w:rFonts w:hint="eastAsia" w:ascii="仿宋_GB2312" w:hAnsi="仿宋_GB2312" w:eastAsia="仿宋_GB2312" w:cs="仿宋_GB2312"/>
          <w:sz w:val="36"/>
          <w:szCs w:val="36"/>
        </w:rPr>
      </w:pPr>
    </w:p>
    <w:p>
      <w:pPr>
        <w:pStyle w:val="8"/>
        <w:rPr>
          <w:rFonts w:hint="eastAsia" w:ascii="仿宋_GB2312" w:hAnsi="仿宋_GB2312" w:eastAsia="仿宋_GB2312" w:cs="仿宋_GB2312"/>
          <w:sz w:val="36"/>
          <w:szCs w:val="36"/>
        </w:rPr>
      </w:pPr>
    </w:p>
    <w:p>
      <w:pPr>
        <w:pStyle w:val="8"/>
        <w:rPr>
          <w:rFonts w:hint="eastAsia" w:ascii="仿宋_GB2312" w:hAnsi="仿宋_GB2312" w:eastAsia="仿宋_GB2312" w:cs="仿宋_GB2312"/>
          <w:sz w:val="36"/>
          <w:szCs w:val="36"/>
        </w:rPr>
      </w:pPr>
    </w:p>
    <w:p>
      <w:pPr>
        <w:pStyle w:val="8"/>
        <w:rPr>
          <w:rFonts w:hint="eastAsia" w:ascii="仿宋_GB2312" w:hAnsi="仿宋_GB2312" w:eastAsia="仿宋_GB2312" w:cs="仿宋_GB2312"/>
          <w:sz w:val="36"/>
          <w:szCs w:val="36"/>
        </w:rPr>
      </w:pPr>
    </w:p>
    <w:p>
      <w:pPr>
        <w:pStyle w:val="8"/>
        <w:rPr>
          <w:rFonts w:hint="eastAsia" w:ascii="仿宋_GB2312" w:hAnsi="仿宋_GB2312" w:eastAsia="仿宋_GB2312" w:cs="仿宋_GB2312"/>
          <w:sz w:val="36"/>
          <w:szCs w:val="36"/>
        </w:rPr>
      </w:pPr>
    </w:p>
    <w:p>
      <w:pPr>
        <w:pStyle w:val="8"/>
        <w:pageBreakBefore w:val="0"/>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6"/>
          <w:szCs w:val="36"/>
        </w:rPr>
      </w:pPr>
    </w:p>
    <w:p>
      <w:pPr>
        <w:pStyle w:val="8"/>
        <w:pageBreakBefore w:val="0"/>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6"/>
          <w:szCs w:val="36"/>
        </w:rPr>
      </w:pPr>
    </w:p>
    <w:p>
      <w:pPr>
        <w:pStyle w:val="15"/>
        <w:pageBreakBefore w:val="0"/>
        <w:widowControl/>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rPr>
      </w:pPr>
      <w:r>
        <w:rPr>
          <w:rFonts w:hint="eastAsia" w:ascii="仿宋_GB2312" w:hAnsi="仿宋_GB2312" w:eastAsia="仿宋_GB2312" w:cs="仿宋_GB2312"/>
          <w:shd w:val="clear" w:color="auto" w:fill="FFFFFF"/>
        </w:rPr>
        <w:t>保密审查情况：已审查，内容审定</w:t>
      </w:r>
    </w:p>
    <w:p>
      <w:pPr>
        <w:pStyle w:val="15"/>
        <w:pageBreakBefore w:val="0"/>
        <w:widowControl/>
        <w:kinsoku/>
        <w:wordWrap/>
        <w:overflowPunct/>
        <w:topLinePunct w:val="0"/>
        <w:bidi w:val="0"/>
        <w:spacing w:before="0" w:beforeAutospacing="0" w:after="0" w:afterAutospacing="0" w:line="576" w:lineRule="exact"/>
        <w:ind w:left="0" w:leftChars="0" w:right="0"/>
        <w:rPr>
          <w:rStyle w:val="18"/>
          <w:rFonts w:hint="eastAsia" w:ascii="仿宋_GB2312" w:hAnsi="仿宋_GB2312" w:eastAsia="仿宋_GB2312" w:cs="仿宋_GB2312"/>
          <w:sz w:val="30"/>
          <w:szCs w:val="30"/>
          <w:shd w:val="clear" w:color="auto" w:fill="FFFFFF"/>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shd w:val="clear" w:color="auto" w:fill="FFFFFF"/>
        </w:rPr>
        <w:t>部门主要负责人审签情况：已审签，同意对外公开</w:t>
      </w:r>
    </w:p>
    <w:p>
      <w:pPr>
        <w:pageBreakBefore w:val="0"/>
        <w:widowControl/>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48"/>
          <w:szCs w:val="48"/>
        </w:rPr>
      </w:pPr>
      <w:r>
        <w:rPr>
          <w:rFonts w:hint="eastAsia" w:ascii="仿宋_GB2312" w:hAnsi="仿宋_GB2312" w:eastAsia="仿宋_GB2312" w:cs="仿宋_GB2312"/>
          <w:sz w:val="48"/>
          <w:szCs w:val="48"/>
        </w:rPr>
        <w:t>目录</w:t>
      </w:r>
    </w:p>
    <w:p>
      <w:pPr>
        <w:pageBreakBefore w:val="0"/>
        <w:widowControl/>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28"/>
          <w:szCs w:val="28"/>
        </w:rPr>
      </w:pPr>
    </w:p>
    <w:p>
      <w:pPr>
        <w:pStyle w:val="13"/>
        <w:pageBreakBefore w:val="0"/>
        <w:kinsoku/>
        <w:wordWrap/>
        <w:overflowPunct/>
        <w:topLinePunct w:val="0"/>
        <w:bidi w:val="0"/>
        <w:spacing w:before="0" w:beforeAutospacing="0" w:afterAutospacing="0" w:line="576" w:lineRule="exact"/>
        <w:ind w:left="0" w:leftChars="0" w:right="0"/>
        <w:rPr>
          <w:rFonts w:hint="eastAsia" w:ascii="仿宋_GB2312" w:hAnsi="仿宋_GB2312" w:eastAsia="仿宋_GB2312" w:cs="仿宋_GB2312"/>
        </w:rPr>
      </w:pPr>
      <w:r>
        <w:rPr>
          <w:rFonts w:hint="eastAsia" w:ascii="仿宋_GB2312" w:hAnsi="仿宋_GB2312" w:eastAsia="仿宋_GB2312" w:cs="仿宋_GB2312"/>
        </w:rPr>
        <w:t>公开时间：202</w:t>
      </w:r>
      <w:r>
        <w:rPr>
          <w:rFonts w:hint="eastAsia" w:ascii="仿宋_GB2312" w:hAnsi="仿宋_GB2312" w:eastAsia="仿宋_GB2312" w:cs="仿宋_GB2312"/>
          <w:lang w:val="en-US" w:eastAsia="zh-CN"/>
        </w:rPr>
        <w:t>5</w:t>
      </w:r>
      <w:r>
        <w:rPr>
          <w:rFonts w:hint="eastAsia" w:ascii="仿宋_GB2312" w:hAnsi="仿宋_GB2312" w:eastAsia="仿宋_GB2312" w:cs="仿宋_GB2312"/>
        </w:rPr>
        <w:t>年</w:t>
      </w:r>
      <w:r>
        <w:rPr>
          <w:rFonts w:hint="eastAsia" w:ascii="仿宋_GB2312" w:hAnsi="仿宋_GB2312" w:eastAsia="仿宋_GB2312" w:cs="仿宋_GB2312"/>
          <w:lang w:val="en-US" w:eastAsia="zh-CN"/>
        </w:rPr>
        <w:t>9</w:t>
      </w:r>
      <w:r>
        <w:rPr>
          <w:rFonts w:hint="eastAsia" w:ascii="仿宋_GB2312" w:hAnsi="仿宋_GB2312" w:eastAsia="仿宋_GB2312" w:cs="仿宋_GB2312"/>
        </w:rPr>
        <w:t>月</w:t>
      </w:r>
      <w:r>
        <w:rPr>
          <w:rFonts w:hint="eastAsia" w:ascii="仿宋_GB2312" w:hAnsi="仿宋_GB2312" w:eastAsia="仿宋_GB2312" w:cs="仿宋_GB2312"/>
          <w:lang w:val="en-US" w:eastAsia="zh-CN"/>
        </w:rPr>
        <w:t>24</w:t>
      </w:r>
      <w:r>
        <w:rPr>
          <w:rFonts w:hint="eastAsia" w:ascii="仿宋_GB2312" w:hAnsi="仿宋_GB2312" w:eastAsia="仿宋_GB2312" w:cs="仿宋_GB2312"/>
        </w:rPr>
        <w:t>日</w:t>
      </w:r>
      <w:bookmarkStart w:id="147" w:name="_GoBack"/>
      <w:bookmarkEnd w:id="147"/>
    </w:p>
    <w:p>
      <w:pPr>
        <w:pageBreakBefore w:val="0"/>
        <w:kinsoku/>
        <w:wordWrap/>
        <w:overflowPunct/>
        <w:topLinePunct w:val="0"/>
        <w:bidi w:val="0"/>
        <w:spacing w:beforeAutospacing="0" w:afterAutospacing="0" w:line="576" w:lineRule="exact"/>
        <w:ind w:left="0" w:leftChars="0" w:right="0"/>
        <w:rPr>
          <w:rFonts w:hint="eastAsia" w:ascii="仿宋_GB2312" w:hAnsi="仿宋_GB2312" w:eastAsia="仿宋_GB2312" w:cs="仿宋_GB2312"/>
        </w:rPr>
      </w:pPr>
    </w:p>
    <w:sdt>
      <w:sdtPr>
        <w:rPr>
          <w:rFonts w:hint="eastAsia" w:ascii="仿宋_GB2312" w:hAnsi="仿宋_GB2312" w:eastAsia="仿宋_GB2312" w:cs="仿宋_GB2312"/>
        </w:rPr>
        <w:id w:val="147451071"/>
        <w:docPartObj>
          <w:docPartGallery w:val="Table of Contents"/>
          <w:docPartUnique/>
        </w:docPartObj>
      </w:sdtPr>
      <w:sdtEndPr>
        <w:rPr>
          <w:rFonts w:hint="eastAsia" w:ascii="仿宋_GB2312" w:hAnsi="仿宋_GB2312" w:eastAsia="仿宋_GB2312" w:cs="仿宋_GB2312"/>
          <w:b/>
        </w:rPr>
      </w:sdtEndPr>
      <w:sdtContent>
        <w:p>
          <w:pPr>
            <w:pageBreakBefore w:val="0"/>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rPr>
          </w:pPr>
          <w:bookmarkStart w:id="6" w:name="_Toc15377196"/>
          <w:bookmarkStart w:id="7" w:name="_Toc15396599"/>
        </w:p>
        <w:p>
          <w:pPr>
            <w:pStyle w:val="13"/>
            <w:pageBreakBefore w:val="0"/>
            <w:tabs>
              <w:tab w:val="right" w:leader="dot" w:pos="8306"/>
              <w:tab w:val="clear" w:pos="8296"/>
            </w:tabs>
            <w:kinsoku/>
            <w:wordWrap/>
            <w:overflowPunct/>
            <w:topLinePunct w:val="0"/>
            <w:bidi w:val="0"/>
            <w:spacing w:before="0"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TOC \o "1-2" \h \u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"_Toc10305"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_Toc10305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"_Toc5949"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一、 部门职责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_Toc5949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"_Toc6464"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"_Toc4287"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第二部分 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w:t>
          </w:r>
          <w:r>
            <w:rPr>
              <w:rFonts w:hint="eastAsia" w:ascii="仿宋_GB2312" w:hAnsi="仿宋_GB2312" w:eastAsia="仿宋_GB2312" w:cs="仿宋_GB2312"/>
              <w:bCs/>
              <w:sz w:val="32"/>
              <w:szCs w:val="32"/>
            </w:rPr>
            <w:t>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_Toc4287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"_Toc12888"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 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_Toc12888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"_Toc29497"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 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_Toc29497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"_Toc17859"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三、 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"_Toc18206"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_Toc18206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"_Toc29964"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_Toc29964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"_Toc29471"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_Toc29471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"_Toc16831"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七、财政拨款“三公”经费支出决算情况说明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_Toc16831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"_Toc6663"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_Toc6663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"_Toc10406"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九、 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_Toc10406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4"/>
            <w:pageBreakBefore w:val="0"/>
            <w:tabs>
              <w:tab w:val="right" w:leader="dot" w:pos="8306"/>
              <w:tab w:val="clear" w:pos="8296"/>
            </w:tabs>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"_Toc19090"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 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_Toc19090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3"/>
            <w:pageBreakBefore w:val="0"/>
            <w:tabs>
              <w:tab w:val="right" w:leader="dot" w:pos="8306"/>
              <w:tab w:val="clear" w:pos="8296"/>
            </w:tabs>
            <w:kinsoku/>
            <w:wordWrap/>
            <w:overflowPunct/>
            <w:topLinePunct w:val="0"/>
            <w:bidi w:val="0"/>
            <w:spacing w:before="0"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"_Toc32480"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_Toc32480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3"/>
            <w:pageBreakBefore w:val="0"/>
            <w:tabs>
              <w:tab w:val="right" w:leader="dot" w:pos="8306"/>
              <w:tab w:val="clear" w:pos="8296"/>
            </w:tabs>
            <w:kinsoku/>
            <w:wordWrap/>
            <w:overflowPunct/>
            <w:topLinePunct w:val="0"/>
            <w:bidi w:val="0"/>
            <w:spacing w:before="0" w:beforeAutospacing="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"_Toc2545"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_Toc2545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3"/>
            <w:pageBreakBefore w:val="0"/>
            <w:tabs>
              <w:tab w:val="right" w:leader="dot" w:pos="8306"/>
              <w:tab w:val="clear" w:pos="8296"/>
            </w:tabs>
            <w:kinsoku/>
            <w:wordWrap/>
            <w:overflowPunct/>
            <w:topLinePunct w:val="0"/>
            <w:bidi w:val="0"/>
            <w:spacing w:before="0" w:beforeAutospacing="0" w:afterAutospacing="0" w:line="576" w:lineRule="exact"/>
            <w:ind w:left="0" w:leftChars="0" w:right="0"/>
            <w:rPr>
              <w:rFonts w:hint="default" w:ascii="仿宋_GB2312" w:hAnsi="仿宋_GB2312" w:eastAsia="仿宋_GB2312" w:cs="仿宋_GB231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37</w:t>
          </w:r>
        </w:p>
        <w:p>
          <w:pPr>
            <w:pageBreakBefore w:val="0"/>
            <w:kinsoku/>
            <w:wordWrap/>
            <w:overflowPunct/>
            <w:topLinePunct w:val="0"/>
            <w:bidi w:val="0"/>
            <w:spacing w:beforeAutospacing="0" w:afterAutospacing="0" w:line="576" w:lineRule="exact"/>
            <w:ind w:left="0" w:leftChars="0" w:right="0"/>
            <w:rPr>
              <w:rFonts w:hint="eastAsia" w:ascii="仿宋_GB2312" w:hAnsi="仿宋_GB2312" w:eastAsia="仿宋_GB2312" w:cs="仿宋_GB2312"/>
            </w:rPr>
          </w:pPr>
          <w:r>
            <w:rPr>
              <w:rFonts w:hint="eastAsia" w:ascii="仿宋_GB2312" w:hAnsi="仿宋_GB2312" w:eastAsia="仿宋_GB2312" w:cs="仿宋_GB2312"/>
            </w:rPr>
            <w:fldChar w:fldCharType="end"/>
          </w:r>
        </w:p>
      </w:sdtContent>
    </w:sdt>
    <w:p>
      <w:pPr>
        <w:pStyle w:val="3"/>
        <w:pageBreakBefore w:val="0"/>
        <w:kinsoku/>
        <w:wordWrap/>
        <w:overflowPunct/>
        <w:topLinePunct w:val="0"/>
        <w:autoSpaceDE/>
        <w:autoSpaceDN/>
        <w:bidi w:val="0"/>
        <w:spacing w:before="0" w:beforeAutospacing="0" w:after="0" w:afterAutospacing="0" w:line="576" w:lineRule="exact"/>
        <w:ind w:left="0" w:leftChars="0" w:right="0"/>
        <w:jc w:val="center"/>
        <w:textAlignment w:val="auto"/>
        <w:rPr>
          <w:rStyle w:val="20"/>
          <w:rFonts w:hint="eastAsia" w:ascii="方正小标宋简体" w:hAnsi="方正小标宋简体" w:eastAsia="方正小标宋简体" w:cs="方正小标宋简体"/>
          <w:b/>
          <w:bCs w:val="0"/>
        </w:rPr>
      </w:pPr>
      <w:bookmarkStart w:id="8" w:name="_Toc10305"/>
      <w:r>
        <w:rPr>
          <w:rFonts w:hint="eastAsia" w:ascii="方正小标宋简体" w:hAnsi="方正小标宋简体" w:eastAsia="方正小标宋简体" w:cs="方正小标宋简体"/>
          <w:b w:val="0"/>
          <w:bCs/>
        </w:rPr>
        <w:t xml:space="preserve">第一部分 </w:t>
      </w:r>
      <w:r>
        <w:rPr>
          <w:rStyle w:val="20"/>
          <w:rFonts w:hint="eastAsia" w:ascii="方正小标宋简体" w:hAnsi="方正小标宋简体" w:eastAsia="方正小标宋简体" w:cs="方正小标宋简体"/>
          <w:b w:val="0"/>
          <w:bCs/>
        </w:rPr>
        <w:t>部门概况</w:t>
      </w:r>
      <w:bookmarkEnd w:id="6"/>
      <w:bookmarkEnd w:id="7"/>
      <w:bookmarkEnd w:id="8"/>
    </w:p>
    <w:p>
      <w:pPr>
        <w:pageBreakBefore w:val="0"/>
        <w:widowControl/>
        <w:kinsoku/>
        <w:wordWrap/>
        <w:overflowPunct/>
        <w:topLinePunct w:val="0"/>
        <w:autoSpaceDE/>
        <w:autoSpaceDN/>
        <w:bidi w:val="0"/>
        <w:spacing w:beforeAutospacing="0" w:afterAutospacing="0" w:line="576" w:lineRule="exact"/>
        <w:ind w:left="0" w:leftChars="0" w:right="0"/>
        <w:jc w:val="left"/>
        <w:textAlignment w:val="auto"/>
        <w:rPr>
          <w:rFonts w:hint="eastAsia" w:ascii="仿宋_GB2312" w:hAnsi="仿宋_GB2312" w:eastAsia="仿宋_GB2312" w:cs="仿宋_GB2312"/>
          <w:sz w:val="32"/>
          <w:szCs w:val="32"/>
        </w:rPr>
      </w:pPr>
    </w:p>
    <w:p>
      <w:pPr>
        <w:pStyle w:val="4"/>
        <w:pageBreakBefore w:val="0"/>
        <w:numPr>
          <w:ilvl w:val="0"/>
          <w:numId w:val="1"/>
        </w:numPr>
        <w:kinsoku/>
        <w:wordWrap/>
        <w:overflowPunct/>
        <w:topLinePunct w:val="0"/>
        <w:autoSpaceDE/>
        <w:autoSpaceDN/>
        <w:bidi w:val="0"/>
        <w:spacing w:before="0" w:beforeAutospacing="0" w:after="0" w:afterAutospacing="0" w:line="576" w:lineRule="exact"/>
        <w:ind w:left="0" w:leftChars="0" w:right="0"/>
        <w:textAlignment w:val="auto"/>
        <w:rPr>
          <w:rFonts w:hint="eastAsia" w:ascii="黑体" w:hAnsi="黑体" w:eastAsia="黑体" w:cs="黑体"/>
          <w:b w:val="0"/>
        </w:rPr>
      </w:pPr>
      <w:bookmarkStart w:id="9" w:name="_Toc5949"/>
      <w:r>
        <w:rPr>
          <w:rFonts w:hint="eastAsia" w:ascii="黑体" w:hAnsi="黑体" w:eastAsia="黑体" w:cs="黑体"/>
          <w:b w:val="0"/>
        </w:rPr>
        <w:t>部门职责</w:t>
      </w:r>
      <w:bookmarkEnd w:id="9"/>
    </w:p>
    <w:p>
      <w:pPr>
        <w:pStyle w:val="15"/>
        <w:pageBreakBefore w:val="0"/>
        <w:widowControl/>
        <w:numPr>
          <w:ilvl w:val="0"/>
          <w:numId w:val="2"/>
        </w:numPr>
        <w:kinsoku/>
        <w:wordWrap/>
        <w:overflowPunct/>
        <w:topLinePunct w:val="0"/>
        <w:autoSpaceDE/>
        <w:autoSpaceDN/>
        <w:bidi w:val="0"/>
        <w:spacing w:before="0" w:beforeAutospacing="0" w:after="0" w:afterAutospacing="0" w:line="576" w:lineRule="exact"/>
        <w:ind w:left="0" w:leftChars="0" w:right="0"/>
        <w:textAlignment w:val="auto"/>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主要职能。</w:t>
      </w:r>
    </w:p>
    <w:p>
      <w:pPr>
        <w:pStyle w:val="15"/>
        <w:pageBreakBefore w:val="0"/>
        <w:widowControl/>
        <w:kinsoku/>
        <w:wordWrap/>
        <w:overflowPunct/>
        <w:topLinePunct w:val="0"/>
        <w:autoSpaceDE/>
        <w:autoSpaceDN/>
        <w:bidi w:val="0"/>
        <w:spacing w:before="0" w:beforeAutospacing="0" w:after="0" w:afterAutospacing="0" w:line="576" w:lineRule="exact"/>
        <w:ind w:left="0" w:leftChars="0" w:right="0" w:firstLine="643" w:firstLineChars="200"/>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基本职能。</w:t>
      </w:r>
      <w:r>
        <w:rPr>
          <w:rFonts w:hint="eastAsia" w:ascii="仿宋_GB2312" w:hAnsi="仿宋_GB2312" w:eastAsia="仿宋_GB2312" w:cs="仿宋_GB2312"/>
          <w:color w:val="000000"/>
          <w:sz w:val="32"/>
          <w:szCs w:val="32"/>
          <w:shd w:val="clear" w:color="auto" w:fill="FFFFFF"/>
        </w:rPr>
        <w:t>红原县纪委是由中国共产党红原县代表大会选举产生；红原县监委是由红原县人民代表大会选举产生。县纪委与县监委合署办公，实行一套工作机构、两个机关名称，履行党的纪律检查和国家监察两项职责，在中共红原县委和州纪委监委双重领导下开展工作。</w:t>
      </w:r>
      <w:r>
        <w:rPr>
          <w:rFonts w:hint="eastAsia" w:ascii="仿宋_GB2312" w:hAnsi="仿宋_GB2312" w:eastAsia="仿宋_GB2312" w:cs="仿宋_GB2312"/>
          <w:b/>
          <w:color w:val="000000"/>
          <w:sz w:val="32"/>
          <w:szCs w:val="32"/>
          <w:shd w:val="clear" w:color="auto" w:fill="FFFFFF"/>
        </w:rPr>
        <w:t>其主要职责：一是</w:t>
      </w:r>
      <w:r>
        <w:rPr>
          <w:rFonts w:hint="eastAsia" w:ascii="仿宋_GB2312" w:hAnsi="仿宋_GB2312" w:eastAsia="仿宋_GB2312" w:cs="仿宋_GB2312"/>
          <w:color w:val="000000"/>
          <w:sz w:val="32"/>
          <w:szCs w:val="32"/>
          <w:shd w:val="clear" w:color="auto" w:fill="FFFFFF"/>
        </w:rPr>
        <w:t>负责全县党的纪律检查工作。贯彻党的章程和其他党内法规，检查党的路线方针政策和决议的执行情况，协助县委推进全面从严治党、加强党风廉政建设和组织协调反腐败工作。</w:t>
      </w:r>
      <w:r>
        <w:rPr>
          <w:rFonts w:hint="eastAsia" w:ascii="仿宋_GB2312" w:hAnsi="仿宋_GB2312" w:eastAsia="仿宋_GB2312" w:cs="仿宋_GB2312"/>
          <w:b/>
          <w:color w:val="000000"/>
          <w:sz w:val="32"/>
          <w:szCs w:val="32"/>
          <w:shd w:val="clear" w:color="auto" w:fill="FFFFFF"/>
        </w:rPr>
        <w:t>二是</w:t>
      </w:r>
      <w:r>
        <w:rPr>
          <w:rFonts w:hint="eastAsia" w:ascii="仿宋_GB2312" w:hAnsi="仿宋_GB2312" w:eastAsia="仿宋_GB2312" w:cs="仿宋_GB2312"/>
          <w:color w:val="000000"/>
          <w:sz w:val="32"/>
          <w:szCs w:val="32"/>
          <w:shd w:val="clear" w:color="auto" w:fill="FFFFFF"/>
        </w:rPr>
        <w:t>依照党的章程和其他党内法规履行监督、执纪、问责职责。负责经常对党员进行遵纪守法副教育，作出关于维护党纪的决定。对县委工作部门。县委批准设立的党组织（党委）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r>
        <w:rPr>
          <w:rFonts w:hint="eastAsia" w:ascii="仿宋_GB2312" w:hAnsi="仿宋_GB2312" w:eastAsia="仿宋_GB2312" w:cs="仿宋_GB2312"/>
          <w:b/>
          <w:color w:val="000000"/>
          <w:sz w:val="32"/>
          <w:szCs w:val="32"/>
          <w:shd w:val="clear" w:color="auto" w:fill="FFFFFF"/>
        </w:rPr>
        <w:t>三是</w:t>
      </w:r>
      <w:r>
        <w:rPr>
          <w:rFonts w:hint="eastAsia" w:ascii="仿宋_GB2312" w:hAnsi="仿宋_GB2312" w:eastAsia="仿宋_GB2312" w:cs="仿宋_GB2312"/>
          <w:color w:val="000000"/>
          <w:sz w:val="32"/>
          <w:szCs w:val="32"/>
          <w:shd w:val="clear" w:color="auto" w:fill="FFFFFF"/>
        </w:rPr>
        <w:t>负责全县监察工作。贯彻落实党中央、省委、州委县委关于监察工作的决定，维护宪法法律，依法对县委管理的行使公权力的公职人员进行监察，调查职务违法和职务犯罪，开展廉政建设和反腐败工作。</w:t>
      </w:r>
      <w:r>
        <w:rPr>
          <w:rFonts w:hint="eastAsia" w:ascii="仿宋_GB2312" w:hAnsi="仿宋_GB2312" w:eastAsia="仿宋_GB2312" w:cs="仿宋_GB2312"/>
          <w:b/>
          <w:color w:val="000000"/>
          <w:sz w:val="32"/>
          <w:szCs w:val="32"/>
          <w:shd w:val="clear" w:color="auto" w:fill="FFFFFF"/>
        </w:rPr>
        <w:t>四是</w:t>
      </w:r>
      <w:r>
        <w:rPr>
          <w:rFonts w:hint="eastAsia" w:ascii="仿宋_GB2312" w:hAnsi="仿宋_GB2312" w:eastAsia="仿宋_GB2312" w:cs="仿宋_GB2312"/>
          <w:color w:val="000000"/>
          <w:sz w:val="32"/>
          <w:szCs w:val="32"/>
          <w:shd w:val="clear" w:color="auto" w:fill="FFFFFF"/>
        </w:rPr>
        <w:t>依照法律规定履行监督、调查、处置职责。推动开展廉政教育，对县委管理的行使公权力的公职人员依法履职、秉公用权、亷洁从政从业以及道德操守情况进行监督检查。对涉嫌贪污贿赂、滥用职权、玩忽职守、杈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r>
        <w:rPr>
          <w:rFonts w:hint="eastAsia" w:ascii="仿宋_GB2312" w:hAnsi="仿宋_GB2312" w:eastAsia="仿宋_GB2312" w:cs="仿宋_GB2312"/>
          <w:b/>
          <w:color w:val="000000"/>
          <w:sz w:val="32"/>
          <w:szCs w:val="32"/>
          <w:shd w:val="clear" w:color="auto" w:fill="FFFFFF"/>
        </w:rPr>
        <w:t>五是</w:t>
      </w:r>
      <w:r>
        <w:rPr>
          <w:rFonts w:hint="eastAsia" w:ascii="仿宋_GB2312" w:hAnsi="仿宋_GB2312" w:eastAsia="仿宋_GB2312" w:cs="仿宋_GB2312"/>
          <w:color w:val="000000"/>
          <w:sz w:val="32"/>
          <w:szCs w:val="32"/>
          <w:shd w:val="clear" w:color="auto" w:fill="FFFFFF"/>
        </w:rPr>
        <w:t>负责组织协调全面从严治党、党风廉政建设和反腐败宣传教育工作。</w:t>
      </w:r>
      <w:r>
        <w:rPr>
          <w:rFonts w:hint="eastAsia" w:ascii="仿宋_GB2312" w:hAnsi="仿宋_GB2312" w:eastAsia="仿宋_GB2312" w:cs="仿宋_GB2312"/>
          <w:b/>
          <w:color w:val="000000"/>
          <w:sz w:val="32"/>
          <w:szCs w:val="32"/>
          <w:shd w:val="clear" w:color="auto" w:fill="FFFFFF"/>
        </w:rPr>
        <w:t>六是</w:t>
      </w:r>
      <w:r>
        <w:rPr>
          <w:rFonts w:hint="eastAsia" w:ascii="仿宋_GB2312" w:hAnsi="仿宋_GB2312" w:eastAsia="仿宋_GB2312" w:cs="仿宋_GB2312"/>
          <w:color w:val="000000"/>
          <w:sz w:val="32"/>
          <w:szCs w:val="32"/>
          <w:shd w:val="clear" w:color="auto" w:fill="FFFFFF"/>
        </w:rPr>
        <w:t>负责综合分析全面从严治党、党风廉政建设和反腐败工作情况，对纪检监察工作重要理论及实践问题进行调查研究参与起草我县规范性文件。</w:t>
      </w:r>
      <w:r>
        <w:rPr>
          <w:rFonts w:hint="eastAsia" w:ascii="仿宋_GB2312" w:hAnsi="仿宋_GB2312" w:eastAsia="仿宋_GB2312" w:cs="仿宋_GB2312"/>
          <w:b/>
          <w:color w:val="000000"/>
          <w:sz w:val="32"/>
          <w:szCs w:val="32"/>
          <w:shd w:val="clear" w:color="auto" w:fill="FFFFFF"/>
        </w:rPr>
        <w:t>七是</w:t>
      </w:r>
      <w:r>
        <w:rPr>
          <w:rFonts w:hint="eastAsia" w:ascii="仿宋_GB2312" w:hAnsi="仿宋_GB2312" w:eastAsia="仿宋_GB2312" w:cs="仿宋_GB2312"/>
          <w:color w:val="000000"/>
          <w:sz w:val="32"/>
          <w:szCs w:val="32"/>
          <w:shd w:val="clear" w:color="auto" w:fill="FFFFFF"/>
        </w:rPr>
        <w:t>在州纪委监委的领导下，加强对反腐败国际追逃追赃和防逃工作的组织协调，督促有关部门做好相关工作。</w:t>
      </w:r>
      <w:r>
        <w:rPr>
          <w:rFonts w:hint="eastAsia" w:ascii="仿宋_GB2312" w:hAnsi="仿宋_GB2312" w:eastAsia="仿宋_GB2312" w:cs="仿宋_GB2312"/>
          <w:b/>
          <w:color w:val="000000"/>
          <w:sz w:val="32"/>
          <w:szCs w:val="32"/>
          <w:shd w:val="clear" w:color="auto" w:fill="FFFFFF"/>
        </w:rPr>
        <w:t>八是</w:t>
      </w:r>
      <w:r>
        <w:rPr>
          <w:rFonts w:hint="eastAsia" w:ascii="仿宋_GB2312" w:hAnsi="仿宋_GB2312" w:eastAsia="仿宋_GB2312" w:cs="仿宋_GB2312"/>
          <w:color w:val="000000"/>
          <w:sz w:val="32"/>
          <w:szCs w:val="32"/>
          <w:shd w:val="clear" w:color="auto" w:fill="FFFFFF"/>
        </w:rPr>
        <w:t>根据干部管理权限，负责纪检监察系统领导班子建设干部队伍建设和组织建设的综合规划、政策研究、制度建设和业务指导。会同有关方面做好县纪委监委派驻机构、乡镇纪委监察室领导班子建设有关工作。组织和指导纪检监察系统干部教育培训工作等。</w:t>
      </w:r>
      <w:r>
        <w:rPr>
          <w:rFonts w:hint="eastAsia" w:ascii="仿宋_GB2312" w:hAnsi="仿宋_GB2312" w:eastAsia="仿宋_GB2312" w:cs="仿宋_GB2312"/>
          <w:b/>
          <w:color w:val="000000"/>
          <w:sz w:val="32"/>
          <w:szCs w:val="32"/>
          <w:shd w:val="clear" w:color="auto" w:fill="FFFFFF"/>
        </w:rPr>
        <w:t>九是</w:t>
      </w:r>
      <w:r>
        <w:rPr>
          <w:rFonts w:hint="eastAsia" w:ascii="仿宋_GB2312" w:hAnsi="仿宋_GB2312" w:eastAsia="仿宋_GB2312" w:cs="仿宋_GB2312"/>
          <w:color w:val="000000"/>
          <w:sz w:val="32"/>
          <w:szCs w:val="32"/>
          <w:shd w:val="clear" w:color="auto" w:fill="FFFFFF"/>
        </w:rPr>
        <w:t>完成县委和州纪委监委交办的其他任务。</w:t>
      </w:r>
    </w:p>
    <w:p>
      <w:pPr>
        <w:pStyle w:val="15"/>
        <w:pageBreakBefore w:val="0"/>
        <w:widowControl/>
        <w:kinsoku/>
        <w:wordWrap/>
        <w:overflowPunct/>
        <w:topLinePunct w:val="0"/>
        <w:autoSpaceDE/>
        <w:autoSpaceDN/>
        <w:bidi w:val="0"/>
        <w:spacing w:before="0" w:beforeAutospacing="0" w:after="0" w:afterAutospacing="0" w:line="576" w:lineRule="exact"/>
        <w:ind w:left="0" w:leftChars="0" w:right="0"/>
        <w:textAlignment w:val="auto"/>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（二）202</w:t>
      </w:r>
      <w:r>
        <w:rPr>
          <w:rFonts w:hint="eastAsia" w:ascii="楷体_GB2312" w:hAnsi="楷体_GB2312" w:eastAsia="楷体_GB2312" w:cs="楷体_GB2312"/>
          <w:b/>
          <w:bCs/>
          <w:sz w:val="32"/>
          <w:szCs w:val="32"/>
          <w:shd w:val="clear" w:color="auto" w:fill="FFFFFF"/>
          <w:lang w:val="en-US" w:eastAsia="zh-CN"/>
        </w:rPr>
        <w:t>4</w:t>
      </w:r>
      <w:r>
        <w:rPr>
          <w:rFonts w:hint="eastAsia" w:ascii="楷体_GB2312" w:hAnsi="楷体_GB2312" w:eastAsia="楷体_GB2312" w:cs="楷体_GB2312"/>
          <w:b/>
          <w:bCs/>
          <w:sz w:val="32"/>
          <w:szCs w:val="32"/>
          <w:shd w:val="clear" w:color="auto" w:fill="FFFFFF"/>
        </w:rPr>
        <w:t>年重点工作完成情况。</w:t>
      </w:r>
    </w:p>
    <w:p>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lang w:val="en-US" w:eastAsia="zh-CN"/>
        </w:rPr>
      </w:pPr>
      <w:bookmarkStart w:id="10" w:name="_Toc15377200"/>
      <w:bookmarkStart w:id="11" w:name="_Toc15396601"/>
      <w:bookmarkStart w:id="12" w:name="_Toc6464"/>
      <w:r>
        <w:rPr>
          <w:rFonts w:hint="eastAsia" w:ascii="仿宋_GB2312" w:hAnsi="仿宋_GB2312" w:eastAsia="仿宋_GB2312" w:cs="仿宋_GB2312"/>
          <w:b/>
          <w:bCs/>
          <w:sz w:val="32"/>
          <w:szCs w:val="32"/>
          <w:lang w:val="en-US" w:eastAsia="zh-CN"/>
        </w:rPr>
        <w:t>1.深化标本兼治，一体推进“三不腐”。</w:t>
      </w:r>
      <w:r>
        <w:rPr>
          <w:rFonts w:hint="eastAsia" w:ascii="仿宋_GB2312" w:hAnsi="仿宋_GB2312" w:eastAsia="仿宋_GB2312" w:cs="仿宋_GB2312"/>
          <w:sz w:val="32"/>
          <w:szCs w:val="32"/>
          <w:lang w:val="en-US" w:eastAsia="zh-CN"/>
        </w:rPr>
        <w:t>深入推进反腐败斗争，持续保持高压态势，做到零容忍的态度不变、猛药去疴的决心不减、刮骨疗毒的勇气不泄、严厉惩处的尺度不松。一是加大腐败惩治力度。</w:t>
      </w:r>
      <w:r>
        <w:rPr>
          <w:rFonts w:hint="eastAsia" w:ascii="仿宋_GB2312" w:hAnsi="仿宋_GB2312" w:eastAsia="仿宋_GB2312" w:cs="仿宋_GB2312"/>
          <w:sz w:val="32"/>
          <w:szCs w:val="32"/>
        </w:rPr>
        <w:t>坚持有腐必反、有案必查，保持</w:t>
      </w:r>
      <w:r>
        <w:rPr>
          <w:rFonts w:hint="eastAsia" w:ascii="仿宋_GB2312" w:hAnsi="仿宋_GB2312" w:eastAsia="仿宋_GB2312" w:cs="仿宋_GB2312"/>
          <w:sz w:val="32"/>
          <w:szCs w:val="32"/>
          <w:lang w:val="en-US" w:eastAsia="zh-CN"/>
        </w:rPr>
        <w:t>惩治腐败高压态势</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截至目前，受理问题线索139条139人，立案审查调查66件66人，给予党纪政务处分59件59人、移送司法机关4人，挽回经济损失556.84万元，在全县范围形成有力震慑。二是抓实案件查办“后半篇文章”。开展公开宣布纪律处分决定“四个面对面”警示教育活动27场，受教育480余人次；推动健全完善全县“三重一大”议事决策制度；指导公安系统认真开展“以案促改”工作，深入整治执法领域突出问题；用活我县查处的典型案例，打造廉政警示教育点位1处。三是打好廉政警示教育“组合拳”。分层分批组织县处级和部分乡科级领导干部赴廉洁教育基地开展廉政教育，组织重点领域、关键岗位党员干部500余人次观看警示教育录5部，旁听庭审现场2次，教育引导党员领导干部筑牢党纪法规底线，擦亮清廉底色，永葆政治本色。</w:t>
      </w:r>
    </w:p>
    <w:p>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强化执纪为民，坚决捍卫民生民利。集中整治部署以来，县纪委监委充分发挥监督保障执行、促进完善发展作用，以务实作风推动解决人民群众关切问题，把惠民生的事办实、暖民心的事办细、顺民意的事办好，不断增强人民群众获得感、幸福感、安全感。一是坚持高位部署，统筹“一盘棋”同向发力。中央、省、州集中整治动员部署会议召开后，红原县委第一时间召开常委会专题研究，部署安排全县集中整治群众身边不正之风和腐败问题工作，压实全县各级党委（党组）尤其是“一把手”责任。县纪委监委成立领导小组，抽调精干力量，组建工作专班，先后召开县纪委常委会、领导小组会、调度会、推进会10次，明确具体任务，发函督办重点问题11件，全面传导压力。推动形成上下联动、齐抓共管的工作格局。二是对标群众期盼，上下“一股绳”凝力聚势。坚持片区化、合成化思维，调整完善室组地和片区协作机制，督促乡镇党委全面落实“两专三兼”要求，将村务监督委员会纳入全县“微网实格”网格化服务体系，推动基层监督从“有形”向“有效”转变。创新开展“点题式”“穿透式”“过程式”监督，发现基层党委政府在服务群众中存在的问题27件，立案18件18人，有效护航牧区民生。深入基层一线访民生、问民利，对全县各乡镇开展实地调研，摸清基层实情，找准短板弱项，提出整改措施，利用村民大会、赛马会等时机向群众广泛宣讲政策，将“有事找纪检”声势全面造起来，组织纪检监察干部走村入户下访群众268批次5000余人次，发放联系卡5000余张，推动解决群众急难愁盼433余件，涉及资金900余万元，打响了“雅克草原扬清风 群众有事找纪检”品牌。三是瞄准关键破题，纵横“一张网”覆盖到底。将购牛、购马、购草、购菜等集体“三资”项目、“校园餐”项目和医疗卫生、民生保障、交通执法等群众最关心、最直接、最现实的领域作为专项整治重点，保持基调不动摇，以“小切口”破题，立案32件32人，运用容错纠错“三个区分开来”组织处理17人。按照快查快办的工作步调，坚持案件开道，锚定突出问题，建立“乡案县审”三级把关和审理提前介入工作机制，从严从快查处了一批有分量、有影响、有震慑的典型案件。</w:t>
      </w:r>
    </w:p>
    <w:p>
      <w:pPr>
        <w:keepNext w:val="0"/>
        <w:keepLines w:val="0"/>
        <w:pageBreakBefore w:val="0"/>
        <w:widowControl w:val="0"/>
        <w:pBdr>
          <w:bottom w:val="single" w:color="FFFFFF" w:sz="6" w:space="30"/>
        </w:pBdr>
        <w:tabs>
          <w:tab w:val="left" w:pos="6695"/>
          <w:tab w:val="left" w:pos="6725"/>
        </w:tabs>
        <w:kinsoku/>
        <w:wordWrap/>
        <w:overflowPunct/>
        <w:topLinePunct/>
        <w:autoSpaceDE/>
        <w:autoSpaceDN/>
        <w:bidi w:val="0"/>
        <w:adjustRightInd w:val="0"/>
        <w:snapToGrid w:val="0"/>
        <w:spacing w:beforeAutospacing="0" w:afterAutospacing="0" w:line="560" w:lineRule="exact"/>
        <w:ind w:firstLine="640" w:firstLineChars="200"/>
        <w:contextualSpacing/>
        <w:textAlignment w:val="top"/>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强化规范管理，夯实工作基础。为确保巡察工作有章可循、有规可依，县委巡察办公室不断完善制度机制，参照中央、省、州有关要求，进一步修订完善巡察工作流程、巡察机构内部管理制度等，明确了巡察工作的程序、职责和边界，进一步加大对巡察组的指导督导力度。坚持把巡中指导督导紧紧抓在手上，推广运用“四下基层”工作法，十三届县委第四轮、第五轮巡察期间，县委巡察办协调开展指导督导30余次，常态化深入各巡察组就巡察报告撰写、改进个别谈话方式、提升发现问题质效等方面进行业务指导。</w:t>
      </w:r>
    </w:p>
    <w:p>
      <w:pPr>
        <w:keepNext w:val="0"/>
        <w:keepLines w:val="0"/>
        <w:pageBreakBefore w:val="0"/>
        <w:widowControl w:val="0"/>
        <w:pBdr>
          <w:bottom w:val="single" w:color="FFFFFF" w:sz="6" w:space="30"/>
        </w:pBdr>
        <w:tabs>
          <w:tab w:val="left" w:pos="6695"/>
          <w:tab w:val="left" w:pos="6725"/>
        </w:tabs>
        <w:kinsoku/>
        <w:wordWrap/>
        <w:overflowPunct/>
        <w:topLinePunct/>
        <w:autoSpaceDE/>
        <w:autoSpaceDN/>
        <w:bidi w:val="0"/>
        <w:adjustRightInd w:val="0"/>
        <w:snapToGrid w:val="0"/>
        <w:spacing w:beforeAutospacing="0" w:afterAutospacing="0" w:line="560" w:lineRule="exact"/>
        <w:ind w:firstLine="640" w:firstLineChars="200"/>
        <w:contextualSpacing/>
        <w:textAlignment w:val="top"/>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整改提质增效，深化成果运用。进一步压实巡察反馈问题整改各方责任，完善反馈移交工作机制，现场巡察结束后，各巡察组就巡察反馈的问题与被巡察单位主要负责人面对面沟通，达成共识。严格落实好日常监督责任，将巡察反馈问题及时纳入日常监督重点内容，参加巡察反馈会议、指导制定巡察整改方案、列席指导巡察整改专题民主生活会等，有效推动巡察整改工作落实落细。制订《县委巡察反馈问题整改销号办法》《县委巡察整改成效评估实施办法（试行）》等措施，通过压紧压实被巡察党组织巡察整改主体责任、日常监督部门监督责任、相关职能部门巡察整改成果运用责任，抓牢抓实巡察整改工作。</w:t>
      </w:r>
    </w:p>
    <w:p>
      <w:pPr>
        <w:keepNext w:val="0"/>
        <w:keepLines w:val="0"/>
        <w:pageBreakBefore w:val="0"/>
        <w:widowControl w:val="0"/>
        <w:pBdr>
          <w:bottom w:val="single" w:color="FFFFFF" w:sz="6" w:space="30"/>
        </w:pBdr>
        <w:tabs>
          <w:tab w:val="left" w:pos="6695"/>
          <w:tab w:val="left" w:pos="6725"/>
        </w:tabs>
        <w:kinsoku/>
        <w:wordWrap/>
        <w:overflowPunct/>
        <w:topLinePunct/>
        <w:autoSpaceDE/>
        <w:autoSpaceDN/>
        <w:bidi w:val="0"/>
        <w:adjustRightInd w:val="0"/>
        <w:snapToGrid w:val="0"/>
        <w:spacing w:beforeAutospacing="0" w:afterAutospacing="0" w:line="560" w:lineRule="exact"/>
        <w:ind w:firstLine="640" w:firstLineChars="200"/>
        <w:contextualSpacing/>
        <w:textAlignment w:val="top"/>
        <w:rPr>
          <w:rStyle w:val="21"/>
          <w:rFonts w:hint="eastAsia" w:ascii="黑体" w:hAnsi="黑体" w:eastAsia="黑体" w:cs="黑体"/>
          <w:b w:val="0"/>
          <w:bCs/>
        </w:rPr>
      </w:pPr>
      <w:r>
        <w:rPr>
          <w:rStyle w:val="21"/>
          <w:rFonts w:hint="eastAsia" w:ascii="黑体" w:hAnsi="黑体" w:eastAsia="黑体" w:cs="黑体"/>
          <w:b w:val="0"/>
          <w:bCs/>
        </w:rPr>
        <w:t>二、机构设置</w:t>
      </w:r>
      <w:bookmarkEnd w:id="10"/>
      <w:bookmarkEnd w:id="11"/>
      <w:bookmarkEnd w:id="12"/>
    </w:p>
    <w:p>
      <w:pPr>
        <w:keepNext w:val="0"/>
        <w:keepLines w:val="0"/>
        <w:pageBreakBefore w:val="0"/>
        <w:widowControl w:val="0"/>
        <w:pBdr>
          <w:bottom w:val="single" w:color="FFFFFF" w:sz="6" w:space="30"/>
        </w:pBdr>
        <w:tabs>
          <w:tab w:val="left" w:pos="6695"/>
          <w:tab w:val="left" w:pos="6725"/>
        </w:tabs>
        <w:kinsoku/>
        <w:wordWrap/>
        <w:overflowPunct/>
        <w:topLinePunct/>
        <w:autoSpaceDE/>
        <w:autoSpaceDN/>
        <w:bidi w:val="0"/>
        <w:adjustRightInd w:val="0"/>
        <w:snapToGrid w:val="0"/>
        <w:spacing w:beforeAutospacing="0" w:afterAutospacing="0" w:line="560" w:lineRule="exact"/>
        <w:ind w:firstLine="640" w:firstLineChars="200"/>
        <w:contextualSpacing/>
        <w:textAlignment w:val="top"/>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中共阿坝州红原县纪律检查委员会下属二级预算单位2个，其中财政全额</w:t>
      </w:r>
      <w:r>
        <w:rPr>
          <w:rFonts w:hint="eastAsia" w:ascii="仿宋_GB2312" w:hAnsi="仿宋_GB2312" w:eastAsia="仿宋_GB2312" w:cs="仿宋_GB2312"/>
          <w:color w:val="000000"/>
          <w:sz w:val="32"/>
          <w:szCs w:val="32"/>
          <w:shd w:val="clear" w:color="auto" w:fill="FFFFFF"/>
          <w:lang w:eastAsia="zh-CN"/>
        </w:rPr>
        <w:t>拨款</w:t>
      </w:r>
      <w:r>
        <w:rPr>
          <w:rFonts w:hint="eastAsia" w:ascii="仿宋_GB2312" w:hAnsi="仿宋_GB2312" w:eastAsia="仿宋_GB2312" w:cs="仿宋_GB2312"/>
          <w:color w:val="000000"/>
          <w:sz w:val="32"/>
          <w:szCs w:val="32"/>
          <w:shd w:val="clear" w:color="auto" w:fill="FFFFFF"/>
        </w:rPr>
        <w:t>行政单位1个，公益性事业单位1个。本年度比上年增加0个，无变动。</w:t>
      </w:r>
    </w:p>
    <w:p>
      <w:pPr>
        <w:keepNext w:val="0"/>
        <w:keepLines w:val="0"/>
        <w:pageBreakBefore w:val="0"/>
        <w:widowControl w:val="0"/>
        <w:pBdr>
          <w:bottom w:val="single" w:color="FFFFFF" w:sz="6" w:space="30"/>
        </w:pBdr>
        <w:tabs>
          <w:tab w:val="left" w:pos="6695"/>
          <w:tab w:val="left" w:pos="6725"/>
        </w:tabs>
        <w:kinsoku/>
        <w:wordWrap/>
        <w:overflowPunct/>
        <w:topLinePunct/>
        <w:autoSpaceDE/>
        <w:autoSpaceDN/>
        <w:bidi w:val="0"/>
        <w:adjustRightInd w:val="0"/>
        <w:snapToGrid w:val="0"/>
        <w:spacing w:beforeAutospacing="0" w:afterAutospacing="0" w:line="560" w:lineRule="exact"/>
        <w:ind w:firstLine="640" w:firstLineChars="200"/>
        <w:contextualSpacing/>
        <w:textAlignment w:val="top"/>
        <w:rPr>
          <w:rStyle w:val="20"/>
          <w:rFonts w:hint="eastAsia" w:ascii="仿宋_GB2312" w:hAnsi="仿宋_GB2312" w:eastAsia="仿宋_GB2312" w:cs="仿宋_GB2312"/>
        </w:rPr>
      </w:pPr>
      <w:r>
        <w:rPr>
          <w:rFonts w:hint="eastAsia" w:ascii="仿宋_GB2312" w:hAnsi="仿宋_GB2312" w:eastAsia="仿宋_GB2312" w:cs="仿宋_GB2312"/>
          <w:bCs/>
          <w:sz w:val="32"/>
          <w:szCs w:val="32"/>
        </w:rPr>
        <w:t>截止202</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年底我单位共有</w:t>
      </w:r>
      <w:r>
        <w:rPr>
          <w:rFonts w:hint="eastAsia" w:ascii="仿宋_GB2312" w:hAnsi="仿宋_GB2312" w:eastAsia="仿宋_GB2312" w:cs="仿宋_GB2312"/>
          <w:sz w:val="32"/>
          <w:szCs w:val="32"/>
        </w:rPr>
        <w:t>在职人员</w:t>
      </w:r>
      <w:r>
        <w:rPr>
          <w:rFonts w:hint="eastAsia" w:ascii="仿宋_GB2312" w:hAnsi="仿宋_GB2312" w:eastAsia="仿宋_GB2312" w:cs="仿宋_GB2312"/>
          <w:sz w:val="32"/>
          <w:szCs w:val="32"/>
          <w:lang w:val="en-US" w:eastAsia="zh-CN"/>
        </w:rPr>
        <w:t>47</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42</w:t>
      </w:r>
      <w:r>
        <w:rPr>
          <w:rFonts w:hint="eastAsia" w:ascii="仿宋_GB2312" w:hAnsi="仿宋_GB2312" w:eastAsia="仿宋_GB2312" w:cs="仿宋_GB2312"/>
          <w:sz w:val="32"/>
          <w:szCs w:val="32"/>
        </w:rPr>
        <w:t>人，行政工勤4人，</w:t>
      </w:r>
      <w:r>
        <w:rPr>
          <w:rFonts w:hint="eastAsia" w:ascii="仿宋_GB2312" w:hAnsi="仿宋_GB2312" w:eastAsia="仿宋_GB2312" w:cs="仿宋_GB2312"/>
          <w:bCs/>
          <w:sz w:val="32"/>
          <w:szCs w:val="32"/>
        </w:rPr>
        <w:t>公益性</w:t>
      </w:r>
      <w:r>
        <w:rPr>
          <w:rFonts w:hint="eastAsia" w:ascii="仿宋_GB2312" w:hAnsi="仿宋_GB2312" w:eastAsia="仿宋_GB2312" w:cs="仿宋_GB2312"/>
          <w:sz w:val="32"/>
          <w:szCs w:val="32"/>
        </w:rPr>
        <w:t>事业人员</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w:t>
      </w:r>
      <w:r>
        <w:rPr>
          <w:rFonts w:hint="eastAsia" w:ascii="仿宋_GB2312" w:hAnsi="仿宋_GB2312" w:eastAsia="仿宋_GB2312" w:cs="仿宋_GB2312"/>
          <w:bCs/>
          <w:kern w:val="2"/>
          <w:sz w:val="32"/>
          <w:szCs w:val="32"/>
          <w:lang w:val="en-US" w:eastAsia="zh-CN" w:bidi="ar-SA"/>
        </w:rPr>
        <w:t>纳入中共红原县纪律检查委会</w:t>
      </w:r>
      <w:r>
        <w:rPr>
          <w:rFonts w:hint="eastAsia" w:ascii="仿宋_GB2312" w:hAnsi="仿宋_GB2312" w:eastAsia="仿宋_GB2312" w:cs="仿宋_GB2312"/>
          <w:kern w:val="2"/>
          <w:sz w:val="32"/>
          <w:szCs w:val="32"/>
          <w:lang w:val="en-US" w:eastAsia="zh-CN" w:bidi="ar-SA"/>
        </w:rPr>
        <w:t>202</w:t>
      </w:r>
      <w:r>
        <w:rPr>
          <w:rFonts w:hint="eastAsia" w:hAnsi="仿宋_GB2312" w:cs="仿宋_GB2312"/>
          <w:kern w:val="2"/>
          <w:sz w:val="32"/>
          <w:szCs w:val="32"/>
          <w:lang w:val="en-US" w:eastAsia="zh-CN" w:bidi="ar-SA"/>
        </w:rPr>
        <w:t>4</w:t>
      </w:r>
      <w:r>
        <w:rPr>
          <w:rFonts w:hint="eastAsia" w:ascii="仿宋_GB2312" w:hAnsi="仿宋_GB2312" w:eastAsia="仿宋_GB2312" w:cs="仿宋_GB2312"/>
          <w:kern w:val="2"/>
          <w:sz w:val="32"/>
          <w:szCs w:val="32"/>
          <w:lang w:val="en-US" w:eastAsia="zh-CN" w:bidi="ar-SA"/>
        </w:rPr>
        <w:t>年度部门决算编制</w:t>
      </w:r>
      <w:r>
        <w:rPr>
          <w:rFonts w:hint="eastAsia" w:ascii="仿宋_GB2312" w:hAnsi="仿宋_GB2312" w:eastAsia="仿宋_GB2312" w:cs="仿宋_GB2312"/>
          <w:bCs/>
          <w:kern w:val="2"/>
          <w:sz w:val="32"/>
          <w:szCs w:val="32"/>
          <w:lang w:val="en-US" w:eastAsia="zh-CN" w:bidi="ar-SA"/>
        </w:rPr>
        <w:t>范围的二级预算单位包括：</w:t>
      </w:r>
      <w:r>
        <w:rPr>
          <w:rFonts w:hint="eastAsia" w:ascii="仿宋_GB2312" w:hAnsi="仿宋_GB2312" w:eastAsia="仿宋_GB2312" w:cs="仿宋_GB2312"/>
          <w:sz w:val="32"/>
          <w:szCs w:val="32"/>
        </w:rPr>
        <w:t>中共红原县委巡察办服务保障中心</w:t>
      </w:r>
      <w:bookmarkStart w:id="13" w:name="_Toc15396602"/>
      <w:bookmarkStart w:id="14" w:name="_Toc15377204"/>
      <w:bookmarkStart w:id="15" w:name="_Toc4287"/>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883" w:firstLineChars="200"/>
        <w:jc w:val="left"/>
        <w:textAlignment w:val="auto"/>
        <w:rPr>
          <w:rStyle w:val="20"/>
          <w:rFonts w:hint="eastAsia" w:ascii="方正小标宋简体" w:hAnsi="方正小标宋简体" w:eastAsia="方正小标宋简体" w:cs="方正小标宋简体"/>
          <w:b w:val="0"/>
          <w:bCs w:val="0"/>
          <w:kern w:val="0"/>
          <w:sz w:val="44"/>
          <w:szCs w:val="44"/>
        </w:rPr>
      </w:pPr>
      <w:r>
        <w:rPr>
          <w:rStyle w:val="20"/>
          <w:rFonts w:hint="eastAsia" w:ascii="方正小标宋简体" w:hAnsi="方正小标宋简体" w:eastAsia="方正小标宋简体" w:cs="方正小标宋简体"/>
          <w:bCs w:val="0"/>
          <w:sz w:val="44"/>
          <w:szCs w:val="44"/>
        </w:rPr>
        <w:t>第二部分 202</w:t>
      </w:r>
      <w:r>
        <w:rPr>
          <w:rStyle w:val="20"/>
          <w:rFonts w:hint="eastAsia" w:ascii="方正小标宋简体" w:hAnsi="方正小标宋简体" w:eastAsia="方正小标宋简体" w:cs="方正小标宋简体"/>
          <w:bCs w:val="0"/>
          <w:sz w:val="44"/>
          <w:szCs w:val="44"/>
          <w:lang w:val="en-US"/>
        </w:rPr>
        <w:t>4</w:t>
      </w:r>
      <w:r>
        <w:rPr>
          <w:rStyle w:val="20"/>
          <w:rFonts w:hint="eastAsia" w:ascii="方正小标宋简体" w:hAnsi="方正小标宋简体" w:eastAsia="方正小标宋简体" w:cs="方正小标宋简体"/>
          <w:bCs w:val="0"/>
          <w:sz w:val="44"/>
          <w:szCs w:val="44"/>
        </w:rPr>
        <w:t>年度部门决算情况说明</w:t>
      </w:r>
      <w:bookmarkEnd w:id="13"/>
      <w:bookmarkEnd w:id="14"/>
      <w:bookmarkEnd w:id="15"/>
    </w:p>
    <w:p>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576" w:lineRule="exact"/>
        <w:ind w:right="0" w:rightChars="0"/>
        <w:textAlignment w:val="auto"/>
        <w:outlineLvl w:val="1"/>
        <w:rPr>
          <w:rFonts w:hint="eastAsia" w:ascii="黑体" w:hAnsi="黑体" w:eastAsia="黑体" w:cs="黑体"/>
          <w:b w:val="0"/>
          <w:bCs/>
          <w:kern w:val="2"/>
          <w:sz w:val="32"/>
          <w:szCs w:val="32"/>
          <w:lang w:val="en-US" w:eastAsia="zh-CN" w:bidi="ar-SA"/>
        </w:rPr>
      </w:pPr>
      <w:bookmarkStart w:id="16" w:name="_Toc12888"/>
      <w:bookmarkStart w:id="17" w:name="_Toc15396603"/>
      <w:bookmarkStart w:id="18" w:name="_Toc15377205"/>
    </w:p>
    <w:p>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576" w:lineRule="exact"/>
        <w:ind w:right="0" w:rightChars="0"/>
        <w:textAlignment w:val="auto"/>
        <w:outlineLvl w:val="1"/>
        <w:rPr>
          <w:rFonts w:hint="eastAsia"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en-US" w:eastAsia="zh-CN" w:bidi="ar-SA"/>
        </w:rPr>
        <w:t>一、收入支出决算总体情况说明</w:t>
      </w:r>
      <w:bookmarkEnd w:id="16"/>
      <w:bookmarkEnd w:id="17"/>
      <w:bookmarkEnd w:id="18"/>
    </w:p>
    <w:p>
      <w:pPr>
        <w:pStyle w:val="15"/>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 xml:space="preserve"> 202</w:t>
      </w:r>
      <w:r>
        <w:rPr>
          <w:rFonts w:hint="eastAsia" w:ascii="仿宋_GB2312" w:hAnsi="仿宋_GB2312" w:eastAsia="仿宋_GB2312" w:cs="仿宋_GB2312"/>
          <w:color w:val="000000"/>
          <w:sz w:val="32"/>
          <w:szCs w:val="32"/>
          <w:shd w:val="clear" w:color="auto" w:fill="FFFFFF"/>
          <w:lang w:val="en-US" w:eastAsia="zh-CN"/>
        </w:rPr>
        <w:t>4</w:t>
      </w:r>
      <w:r>
        <w:rPr>
          <w:rFonts w:hint="eastAsia" w:ascii="仿宋_GB2312" w:hAnsi="仿宋_GB2312" w:eastAsia="仿宋_GB2312" w:cs="仿宋_GB2312"/>
          <w:color w:val="000000"/>
          <w:sz w:val="32"/>
          <w:szCs w:val="32"/>
          <w:shd w:val="clear" w:color="auto" w:fill="FFFFFF"/>
        </w:rPr>
        <w:t>年度收</w:t>
      </w:r>
      <w:r>
        <w:rPr>
          <w:rFonts w:hint="eastAsia" w:ascii="仿宋_GB2312" w:hAnsi="仿宋_GB2312" w:eastAsia="仿宋_GB2312" w:cs="仿宋_GB2312"/>
          <w:color w:val="000000"/>
          <w:sz w:val="32"/>
          <w:szCs w:val="32"/>
          <w:shd w:val="clear" w:color="auto" w:fill="FFFFFF"/>
          <w:lang w:val="en-US" w:eastAsia="zh-CN"/>
        </w:rPr>
        <w:t>入2192.55</w:t>
      </w:r>
      <w:r>
        <w:rPr>
          <w:rFonts w:hint="eastAsia" w:ascii="仿宋_GB2312" w:hAnsi="仿宋_GB2312" w:eastAsia="仿宋_GB2312" w:cs="仿宋_GB2312"/>
          <w:color w:val="000000"/>
          <w:sz w:val="32"/>
          <w:szCs w:val="32"/>
          <w:shd w:val="clear" w:color="auto" w:fill="FFFFFF"/>
        </w:rPr>
        <w:t>万元，支出</w:t>
      </w:r>
      <w:r>
        <w:rPr>
          <w:rFonts w:hint="eastAsia" w:ascii="仿宋_GB2312" w:hAnsi="仿宋_GB2312" w:eastAsia="仿宋_GB2312" w:cs="仿宋_GB2312"/>
          <w:color w:val="000000"/>
          <w:sz w:val="32"/>
          <w:szCs w:val="32"/>
          <w:shd w:val="clear" w:color="auto" w:fill="FFFFFF"/>
          <w:lang w:val="en-US" w:eastAsia="zh-CN"/>
        </w:rPr>
        <w:t>2192.55</w:t>
      </w:r>
      <w:r>
        <w:rPr>
          <w:rFonts w:hint="eastAsia" w:ascii="仿宋_GB2312" w:hAnsi="仿宋_GB2312" w:eastAsia="仿宋_GB2312" w:cs="仿宋_GB2312"/>
          <w:color w:val="000000"/>
          <w:sz w:val="32"/>
          <w:szCs w:val="32"/>
          <w:shd w:val="clear" w:color="auto" w:fill="FFFFFF"/>
        </w:rPr>
        <w:t>万元。</w:t>
      </w:r>
      <w:r>
        <w:rPr>
          <w:rFonts w:hint="eastAsia" w:ascii="仿宋_GB2312" w:hAnsi="仿宋_GB2312" w:eastAsia="仿宋_GB2312" w:cs="仿宋_GB2312"/>
          <w:color w:val="000000"/>
          <w:sz w:val="32"/>
          <w:szCs w:val="32"/>
          <w:shd w:val="clear" w:color="auto" w:fill="FFFFFF"/>
          <w:lang w:val="en-US" w:eastAsia="zh-CN"/>
        </w:rPr>
        <w:t>资金</w:t>
      </w:r>
      <w:r>
        <w:rPr>
          <w:rFonts w:hint="eastAsia" w:ascii="仿宋_GB2312" w:hAnsi="仿宋_GB2312" w:eastAsia="仿宋_GB2312" w:cs="仿宋_GB2312"/>
          <w:color w:val="000000"/>
          <w:sz w:val="32"/>
          <w:szCs w:val="32"/>
          <w:shd w:val="clear" w:color="auto" w:fill="FFFFFF"/>
        </w:rPr>
        <w:t>与202</w:t>
      </w:r>
      <w:r>
        <w:rPr>
          <w:rFonts w:hint="eastAsia" w:ascii="仿宋_GB2312" w:hAnsi="仿宋_GB2312" w:eastAsia="仿宋_GB2312" w:cs="仿宋_GB2312"/>
          <w:color w:val="000000"/>
          <w:sz w:val="32"/>
          <w:szCs w:val="32"/>
          <w:shd w:val="clear" w:color="auto" w:fill="FFFFFF"/>
          <w:lang w:val="en-US" w:eastAsia="zh-CN"/>
        </w:rPr>
        <w:t>3</w:t>
      </w:r>
      <w:r>
        <w:rPr>
          <w:rFonts w:hint="eastAsia" w:ascii="仿宋_GB2312" w:hAnsi="仿宋_GB2312" w:eastAsia="仿宋_GB2312" w:cs="仿宋_GB2312"/>
          <w:color w:val="000000"/>
          <w:sz w:val="32"/>
          <w:szCs w:val="32"/>
          <w:shd w:val="clear" w:color="auto" w:fill="FFFFFF"/>
        </w:rPr>
        <w:t>年相比，收入增加</w:t>
      </w:r>
      <w:r>
        <w:rPr>
          <w:rFonts w:hint="eastAsia" w:ascii="仿宋_GB2312" w:hAnsi="仿宋_GB2312" w:eastAsia="仿宋_GB2312" w:cs="仿宋_GB2312"/>
          <w:color w:val="000000"/>
          <w:sz w:val="32"/>
          <w:szCs w:val="32"/>
          <w:shd w:val="clear" w:color="auto" w:fill="FFFFFF"/>
          <w:lang w:val="en-US" w:eastAsia="zh-CN"/>
        </w:rPr>
        <w:t>785.82</w:t>
      </w:r>
      <w:r>
        <w:rPr>
          <w:rFonts w:hint="eastAsia" w:ascii="仿宋_GB2312" w:hAnsi="仿宋_GB2312" w:eastAsia="仿宋_GB2312" w:cs="仿宋_GB2312"/>
          <w:color w:val="000000"/>
          <w:sz w:val="32"/>
          <w:szCs w:val="32"/>
          <w:shd w:val="clear" w:color="auto" w:fill="FFFFFF"/>
        </w:rPr>
        <w:t>万元，增长</w:t>
      </w:r>
      <w:r>
        <w:rPr>
          <w:rFonts w:hint="eastAsia" w:ascii="仿宋_GB2312" w:hAnsi="仿宋_GB2312" w:eastAsia="仿宋_GB2312" w:cs="仿宋_GB2312"/>
          <w:color w:val="000000"/>
          <w:sz w:val="32"/>
          <w:szCs w:val="32"/>
          <w:shd w:val="clear" w:color="auto" w:fill="FFFFFF"/>
          <w:lang w:val="en-US" w:eastAsia="zh-CN"/>
        </w:rPr>
        <w:t>55.86</w:t>
      </w:r>
      <w:r>
        <w:rPr>
          <w:rFonts w:hint="eastAsia" w:ascii="仿宋_GB2312" w:hAnsi="仿宋_GB2312" w:eastAsia="仿宋_GB2312" w:cs="仿宋_GB2312"/>
          <w:color w:val="000000"/>
          <w:sz w:val="32"/>
          <w:szCs w:val="32"/>
          <w:shd w:val="clear" w:color="auto" w:fill="FFFFFF"/>
        </w:rPr>
        <w:t>%，支出增加</w:t>
      </w:r>
      <w:r>
        <w:rPr>
          <w:rFonts w:hint="eastAsia" w:ascii="仿宋_GB2312" w:hAnsi="仿宋_GB2312" w:eastAsia="仿宋_GB2312" w:cs="仿宋_GB2312"/>
          <w:color w:val="000000"/>
          <w:sz w:val="32"/>
          <w:szCs w:val="32"/>
          <w:shd w:val="clear" w:color="auto" w:fill="FFFFFF"/>
          <w:lang w:val="en-US" w:eastAsia="zh-CN"/>
        </w:rPr>
        <w:t>558.11</w:t>
      </w:r>
      <w:r>
        <w:rPr>
          <w:rFonts w:hint="eastAsia" w:ascii="仿宋_GB2312" w:hAnsi="仿宋_GB2312" w:eastAsia="仿宋_GB2312" w:cs="仿宋_GB2312"/>
          <w:color w:val="000000"/>
          <w:sz w:val="32"/>
          <w:szCs w:val="32"/>
          <w:shd w:val="clear" w:color="auto" w:fill="FFFFFF"/>
        </w:rPr>
        <w:t>万元，增长</w:t>
      </w:r>
      <w:r>
        <w:rPr>
          <w:rFonts w:hint="eastAsia" w:ascii="仿宋_GB2312" w:hAnsi="仿宋_GB2312" w:eastAsia="仿宋_GB2312" w:cs="仿宋_GB2312"/>
          <w:color w:val="000000"/>
          <w:sz w:val="32"/>
          <w:szCs w:val="32"/>
          <w:shd w:val="clear" w:color="auto" w:fill="FFFFFF"/>
          <w:lang w:val="en-US" w:eastAsia="zh-CN"/>
        </w:rPr>
        <w:t>34.15</w:t>
      </w:r>
      <w:r>
        <w:rPr>
          <w:rFonts w:hint="eastAsia" w:ascii="仿宋_GB2312" w:hAnsi="仿宋_GB2312" w:eastAsia="仿宋_GB2312" w:cs="仿宋_GB2312"/>
          <w:color w:val="000000"/>
          <w:sz w:val="32"/>
          <w:szCs w:val="32"/>
          <w:shd w:val="clear" w:color="auto" w:fill="FFFFFF"/>
        </w:rPr>
        <w:t>%。收入支出均增加主要原因：一是202</w:t>
      </w:r>
      <w:r>
        <w:rPr>
          <w:rFonts w:hint="eastAsia" w:ascii="仿宋_GB2312" w:hAnsi="仿宋_GB2312" w:eastAsia="仿宋_GB2312" w:cs="仿宋_GB2312"/>
          <w:color w:val="000000"/>
          <w:sz w:val="32"/>
          <w:szCs w:val="32"/>
          <w:shd w:val="clear" w:color="auto" w:fill="FFFFFF"/>
          <w:lang w:val="en-US" w:eastAsia="zh-CN"/>
        </w:rPr>
        <w:t>4</w:t>
      </w:r>
      <w:r>
        <w:rPr>
          <w:rFonts w:hint="eastAsia" w:ascii="仿宋_GB2312" w:hAnsi="仿宋_GB2312" w:eastAsia="仿宋_GB2312" w:cs="仿宋_GB2312"/>
          <w:color w:val="000000"/>
          <w:sz w:val="32"/>
          <w:szCs w:val="32"/>
          <w:shd w:val="clear" w:color="auto" w:fill="FFFFFF"/>
        </w:rPr>
        <w:t>年办案业务增加，办案经费增加，相关执纪经费增加</w:t>
      </w:r>
      <w:r>
        <w:rPr>
          <w:rFonts w:hint="eastAsia" w:ascii="仿宋_GB2312" w:hAnsi="仿宋_GB2312" w:eastAsia="仿宋_GB2312" w:cs="仿宋_GB2312"/>
          <w:color w:val="000000"/>
          <w:sz w:val="32"/>
          <w:szCs w:val="32"/>
          <w:shd w:val="clear" w:color="auto" w:fill="FFFFFF"/>
          <w:lang w:eastAsia="zh-CN"/>
        </w:rPr>
        <w:t>；二是纪委业务用房改扩建项目经费增加</w:t>
      </w:r>
      <w:r>
        <w:rPr>
          <w:rFonts w:hint="eastAsia" w:ascii="仿宋_GB2312" w:hAnsi="仿宋_GB2312" w:eastAsia="仿宋_GB2312" w:cs="仿宋_GB2312"/>
          <w:color w:val="000000"/>
          <w:sz w:val="32"/>
          <w:szCs w:val="32"/>
          <w:shd w:val="clear" w:color="auto" w:fill="FFFFFF"/>
          <w:lang w:val="en-US" w:eastAsia="zh-CN"/>
        </w:rPr>
        <w:t>680.03万元；三</w:t>
      </w:r>
      <w:r>
        <w:rPr>
          <w:rFonts w:hint="eastAsia" w:ascii="仿宋_GB2312" w:hAnsi="仿宋_GB2312" w:eastAsia="仿宋_GB2312" w:cs="仿宋_GB2312"/>
          <w:color w:val="000000"/>
          <w:sz w:val="32"/>
          <w:szCs w:val="32"/>
          <w:shd w:val="clear" w:color="auto" w:fill="FFFFFF"/>
        </w:rPr>
        <w:t>是202</w:t>
      </w:r>
      <w:r>
        <w:rPr>
          <w:rFonts w:hint="eastAsia" w:ascii="仿宋_GB2312" w:hAnsi="仿宋_GB2312" w:eastAsia="仿宋_GB2312" w:cs="仿宋_GB2312"/>
          <w:color w:val="000000"/>
          <w:sz w:val="32"/>
          <w:szCs w:val="32"/>
          <w:shd w:val="clear" w:color="auto" w:fill="FFFFFF"/>
          <w:lang w:val="en-US" w:eastAsia="zh-CN"/>
        </w:rPr>
        <w:t>4</w:t>
      </w:r>
      <w:r>
        <w:rPr>
          <w:rFonts w:hint="eastAsia" w:ascii="仿宋_GB2312" w:hAnsi="仿宋_GB2312" w:eastAsia="仿宋_GB2312" w:cs="仿宋_GB2312"/>
          <w:color w:val="000000"/>
          <w:sz w:val="32"/>
          <w:szCs w:val="32"/>
          <w:shd w:val="clear" w:color="auto" w:fill="FFFFFF"/>
        </w:rPr>
        <w:t>年</w:t>
      </w:r>
      <w:r>
        <w:rPr>
          <w:rFonts w:hint="eastAsia" w:ascii="仿宋_GB2312" w:hAnsi="仿宋_GB2312" w:eastAsia="仿宋_GB2312" w:cs="仿宋_GB2312"/>
          <w:color w:val="000000"/>
          <w:sz w:val="32"/>
          <w:szCs w:val="32"/>
          <w:shd w:val="clear" w:color="auto" w:fill="FFFFFF"/>
          <w:lang w:val="en-US" w:eastAsia="zh-CN"/>
        </w:rPr>
        <w:t>退休5人</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对个人和家庭的补助增加8.59万</w:t>
      </w:r>
      <w:r>
        <w:rPr>
          <w:rFonts w:hint="eastAsia" w:ascii="仿宋_GB2312" w:hAnsi="仿宋_GB2312" w:eastAsia="仿宋_GB2312" w:cs="仿宋_GB2312"/>
          <w:color w:val="000000"/>
          <w:sz w:val="32"/>
          <w:szCs w:val="32"/>
          <w:shd w:val="clear" w:color="auto" w:fill="FFFFFF"/>
        </w:rPr>
        <w:t>元；</w:t>
      </w:r>
      <w:r>
        <w:rPr>
          <w:rFonts w:hint="eastAsia" w:ascii="仿宋_GB2312" w:hAnsi="仿宋_GB2312" w:eastAsia="仿宋_GB2312" w:cs="仿宋_GB2312"/>
          <w:color w:val="000000"/>
          <w:sz w:val="32"/>
          <w:szCs w:val="32"/>
          <w:shd w:val="clear" w:color="auto" w:fill="FFFFFF"/>
          <w:lang w:val="en-US" w:eastAsia="zh-CN"/>
        </w:rPr>
        <w:t>四是</w:t>
      </w:r>
      <w:r>
        <w:rPr>
          <w:rFonts w:hint="eastAsia" w:ascii="仿宋_GB2312" w:hAnsi="仿宋_GB2312" w:eastAsia="仿宋_GB2312" w:cs="仿宋_GB2312"/>
          <w:color w:val="000000"/>
          <w:sz w:val="32"/>
          <w:szCs w:val="32"/>
          <w:shd w:val="clear" w:color="auto" w:fill="FFFFFF"/>
        </w:rPr>
        <w:t>每年的工资、</w:t>
      </w:r>
      <w:r>
        <w:rPr>
          <w:rFonts w:hint="eastAsia" w:ascii="仿宋_GB2312" w:hAnsi="仿宋_GB2312" w:eastAsia="仿宋_GB2312" w:cs="仿宋_GB2312"/>
          <w:color w:val="000000"/>
          <w:sz w:val="32"/>
          <w:szCs w:val="32"/>
          <w:shd w:val="clear" w:color="auto" w:fill="FFFFFF"/>
          <w:lang w:val="en-US" w:eastAsia="zh-CN"/>
        </w:rPr>
        <w:t>各类</w:t>
      </w:r>
      <w:r>
        <w:rPr>
          <w:rFonts w:hint="eastAsia" w:ascii="仿宋_GB2312" w:hAnsi="仿宋_GB2312" w:eastAsia="仿宋_GB2312" w:cs="仿宋_GB2312"/>
          <w:color w:val="000000"/>
          <w:sz w:val="32"/>
          <w:szCs w:val="32"/>
          <w:shd w:val="clear" w:color="auto" w:fill="FFFFFF"/>
        </w:rPr>
        <w:t>保险</w:t>
      </w:r>
      <w:r>
        <w:rPr>
          <w:rFonts w:hint="eastAsia" w:ascii="仿宋_GB2312" w:hAnsi="仿宋_GB2312" w:eastAsia="仿宋_GB2312" w:cs="仿宋_GB2312"/>
          <w:color w:val="000000"/>
          <w:sz w:val="32"/>
          <w:szCs w:val="32"/>
          <w:shd w:val="clear" w:color="auto" w:fill="FFFFFF"/>
          <w:lang w:val="en-US" w:eastAsia="zh-CN"/>
        </w:rPr>
        <w:t>基数</w:t>
      </w:r>
      <w:r>
        <w:rPr>
          <w:rFonts w:hint="eastAsia" w:ascii="仿宋_GB2312" w:hAnsi="仿宋_GB2312" w:eastAsia="仿宋_GB2312" w:cs="仿宋_GB2312"/>
          <w:color w:val="000000"/>
          <w:sz w:val="32"/>
          <w:szCs w:val="32"/>
          <w:shd w:val="clear" w:color="auto" w:fill="FFFFFF"/>
        </w:rPr>
        <w:t>、公积金的变动</w:t>
      </w:r>
      <w:r>
        <w:rPr>
          <w:rFonts w:hint="eastAsia" w:ascii="仿宋_GB2312" w:hAnsi="仿宋_GB2312" w:eastAsia="仿宋_GB2312" w:cs="仿宋_GB2312"/>
          <w:color w:val="000000"/>
          <w:sz w:val="32"/>
          <w:szCs w:val="32"/>
          <w:shd w:val="clear" w:color="auto" w:fill="FFFFFF"/>
          <w:lang w:val="en-US" w:eastAsia="zh-CN"/>
        </w:rPr>
        <w:t>较大</w:t>
      </w:r>
      <w:r>
        <w:rPr>
          <w:rFonts w:hint="eastAsia" w:ascii="仿宋_GB2312" w:hAnsi="仿宋_GB2312" w:eastAsia="仿宋_GB2312" w:cs="仿宋_GB2312"/>
          <w:color w:val="000000"/>
          <w:sz w:val="32"/>
          <w:szCs w:val="32"/>
          <w:shd w:val="clear" w:color="auto" w:fill="FFFFFF"/>
        </w:rPr>
        <w:t>。</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（图1：收、支决算总计变动情况图）（柱状图）</w:t>
      </w:r>
    </w:p>
    <w:p>
      <w:pPr>
        <w:pStyle w:val="7"/>
        <w:pageBreakBefore w:val="0"/>
        <w:kinsoku/>
        <w:wordWrap/>
        <w:overflowPunct/>
        <w:topLinePunct w:val="0"/>
        <w:bidi w:val="0"/>
        <w:spacing w:beforeAutospacing="0" w:after="0" w:afterAutospacing="0" w:line="576" w:lineRule="exact"/>
        <w:ind w:left="0" w:leftChars="0" w:right="0" w:firstLine="640"/>
        <w:rPr>
          <w:rStyle w:val="21"/>
          <w:rFonts w:hint="eastAsia" w:ascii="仿宋_GB2312" w:hAnsi="仿宋_GB2312" w:eastAsia="仿宋_GB2312" w:cs="仿宋_GB2312"/>
          <w:b w:val="0"/>
          <w:lang w:val="en-US" w:eastAsia="zh-CN"/>
        </w:rPr>
      </w:pPr>
      <w:r>
        <w:rPr>
          <w:rStyle w:val="21"/>
          <w:rFonts w:hint="eastAsia" w:ascii="仿宋_GB2312" w:hAnsi="仿宋_GB2312" w:eastAsia="仿宋_GB2312" w:cs="仿宋_GB2312"/>
          <w:b w:val="0"/>
          <w:lang w:eastAsia="zh-CN"/>
        </w:rPr>
        <w:drawing>
          <wp:anchor distT="0" distB="0" distL="114300" distR="114300" simplePos="0" relativeHeight="251659264" behindDoc="0" locked="0" layoutInCell="1" allowOverlap="1">
            <wp:simplePos x="0" y="0"/>
            <wp:positionH relativeFrom="column">
              <wp:posOffset>76835</wp:posOffset>
            </wp:positionH>
            <wp:positionV relativeFrom="paragraph">
              <wp:posOffset>125095</wp:posOffset>
            </wp:positionV>
            <wp:extent cx="4914265" cy="2595880"/>
            <wp:effectExtent l="4445" t="4445" r="8890" b="1587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7"/>
        <w:keepNext w:val="0"/>
        <w:keepLines w:val="0"/>
        <w:pageBreakBefore w:val="0"/>
        <w:kinsoku/>
        <w:wordWrap/>
        <w:overflowPunct/>
        <w:topLinePunct w:val="0"/>
        <w:autoSpaceDE/>
        <w:autoSpaceDN/>
        <w:bidi w:val="0"/>
        <w:adjustRightInd/>
        <w:snapToGrid/>
        <w:spacing w:beforeAutospacing="0" w:after="0" w:afterAutospacing="0" w:line="576" w:lineRule="exact"/>
        <w:ind w:left="0" w:leftChars="0" w:right="0" w:firstLine="0" w:firstLineChars="0"/>
        <w:textAlignment w:val="auto"/>
        <w:rPr>
          <w:rStyle w:val="21"/>
          <w:rFonts w:hint="eastAsia" w:ascii="黑体" w:hAnsi="黑体" w:eastAsia="黑体" w:cs="黑体"/>
          <w:b w:val="0"/>
        </w:rPr>
      </w:pPr>
      <w:bookmarkStart w:id="19" w:name="_Toc29497"/>
      <w:bookmarkStart w:id="20" w:name="_Toc15396604"/>
      <w:bookmarkStart w:id="21" w:name="_Toc15377206"/>
      <w:r>
        <w:rPr>
          <w:rStyle w:val="21"/>
          <w:rFonts w:hint="eastAsia" w:ascii="黑体" w:hAnsi="黑体" w:eastAsia="黑体" w:cs="黑体"/>
          <w:b w:val="0"/>
          <w:lang w:val="en-US" w:eastAsia="zh-CN"/>
        </w:rPr>
        <w:t>二、</w:t>
      </w:r>
      <w:r>
        <w:rPr>
          <w:rFonts w:hint="eastAsia" w:ascii="黑体" w:hAnsi="黑体" w:eastAsia="黑体" w:cs="黑体"/>
          <w:sz w:val="32"/>
          <w:szCs w:val="32"/>
        </w:rPr>
        <w:t>收</w:t>
      </w:r>
      <w:r>
        <w:rPr>
          <w:rStyle w:val="21"/>
          <w:rFonts w:hint="eastAsia" w:ascii="黑体" w:hAnsi="黑体" w:eastAsia="黑体" w:cs="黑体"/>
          <w:b w:val="0"/>
        </w:rPr>
        <w:t>入决算情况说明</w:t>
      </w:r>
      <w:bookmarkEnd w:id="19"/>
      <w:bookmarkEnd w:id="20"/>
      <w:bookmarkEnd w:id="21"/>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年本年收入合计</w:t>
      </w:r>
      <w:r>
        <w:rPr>
          <w:rFonts w:hint="eastAsia" w:ascii="仿宋_GB2312" w:hAnsi="仿宋_GB2312" w:eastAsia="仿宋_GB2312" w:cs="仿宋_GB2312"/>
          <w:sz w:val="32"/>
          <w:szCs w:val="32"/>
          <w:lang w:val="en-US" w:eastAsia="zh-CN"/>
        </w:rPr>
        <w:t>2192.55</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2192.55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政府性基金预算财政拨款收入0.00万元，占0.00%；国有资本经营预算财政拨款收入0.00万元，占0.00%；上级补助收入0.00万元，占0.00%；事业收入0.00万元，占0.00%%；经营收入0.00万元，占0.00%%；附属单位上缴收入0.00万元，占0.00%（图2：收入决算结构图）（饼状图）</w:t>
      </w:r>
    </w:p>
    <w:p>
      <w:pPr>
        <w:pStyle w:val="27"/>
        <w:pageBreakBefore w:val="0"/>
        <w:numPr>
          <w:ilvl w:val="0"/>
          <w:numId w:val="0"/>
        </w:numPr>
        <w:kinsoku/>
        <w:wordWrap/>
        <w:overflowPunct/>
        <w:topLinePunct w:val="0"/>
        <w:bidi w:val="0"/>
        <w:spacing w:beforeAutospacing="0" w:afterAutospacing="0" w:line="576" w:lineRule="exact"/>
        <w:ind w:left="0" w:leftChars="0" w:right="0"/>
        <w:outlineLvl w:val="1"/>
        <w:rPr>
          <w:rFonts w:hint="eastAsia" w:ascii="仿宋_GB2312" w:hAnsi="仿宋_GB2312" w:eastAsia="仿宋_GB2312" w:cs="仿宋_GB2312"/>
          <w:sz w:val="32"/>
          <w:szCs w:val="32"/>
        </w:rPr>
      </w:pPr>
      <w:bookmarkStart w:id="22" w:name="_Toc17859"/>
      <w:bookmarkStart w:id="23" w:name="_Toc15377207"/>
      <w:bookmarkStart w:id="24" w:name="_Toc15396605"/>
      <w:r>
        <w:rPr>
          <w:rFonts w:hint="eastAsia" w:ascii="仿宋_GB2312" w:hAnsi="仿宋_GB2312" w:eastAsia="仿宋_GB2312" w:cs="仿宋_GB2312"/>
          <w:sz w:val="32"/>
          <w:szCs w:val="32"/>
          <w:lang w:eastAsia="zh-CN"/>
        </w:rPr>
        <w:drawing>
          <wp:anchor distT="0" distB="0" distL="114300" distR="114300" simplePos="0" relativeHeight="251660288" behindDoc="0" locked="0" layoutInCell="1" allowOverlap="1">
            <wp:simplePos x="0" y="0"/>
            <wp:positionH relativeFrom="column">
              <wp:posOffset>92710</wp:posOffset>
            </wp:positionH>
            <wp:positionV relativeFrom="paragraph">
              <wp:posOffset>90805</wp:posOffset>
            </wp:positionV>
            <wp:extent cx="4611370" cy="1933575"/>
            <wp:effectExtent l="4445" t="4445" r="6985" b="5080"/>
            <wp:wrapSquare wrapText="bothSides"/>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7"/>
        <w:pageBreakBefore w:val="0"/>
        <w:numPr>
          <w:ilvl w:val="0"/>
          <w:numId w:val="0"/>
        </w:numPr>
        <w:kinsoku/>
        <w:wordWrap/>
        <w:overflowPunct/>
        <w:topLinePunct w:val="0"/>
        <w:bidi w:val="0"/>
        <w:spacing w:beforeAutospacing="0" w:afterAutospacing="0" w:line="576" w:lineRule="exact"/>
        <w:ind w:left="0" w:leftChars="0" w:right="0"/>
        <w:outlineLvl w:val="1"/>
        <w:rPr>
          <w:rFonts w:hint="eastAsia" w:ascii="仿宋_GB2312" w:hAnsi="仿宋_GB2312" w:eastAsia="仿宋_GB2312" w:cs="仿宋_GB2312"/>
          <w:sz w:val="32"/>
          <w:szCs w:val="32"/>
        </w:rPr>
      </w:pPr>
    </w:p>
    <w:p>
      <w:pPr>
        <w:pStyle w:val="27"/>
        <w:pageBreakBefore w:val="0"/>
        <w:numPr>
          <w:ilvl w:val="0"/>
          <w:numId w:val="0"/>
        </w:numPr>
        <w:kinsoku/>
        <w:wordWrap/>
        <w:overflowPunct/>
        <w:topLinePunct w:val="0"/>
        <w:bidi w:val="0"/>
        <w:spacing w:beforeAutospacing="0" w:afterAutospacing="0" w:line="576" w:lineRule="exact"/>
        <w:ind w:left="0" w:leftChars="0" w:right="0"/>
        <w:outlineLvl w:val="1"/>
        <w:rPr>
          <w:rFonts w:hint="eastAsia" w:ascii="仿宋_GB2312" w:hAnsi="仿宋_GB2312" w:eastAsia="仿宋_GB2312" w:cs="仿宋_GB2312"/>
          <w:sz w:val="32"/>
          <w:szCs w:val="32"/>
          <w:lang w:val="en-US" w:eastAsia="zh-CN"/>
        </w:rPr>
      </w:pPr>
    </w:p>
    <w:p>
      <w:pPr>
        <w:pStyle w:val="27"/>
        <w:pageBreakBefore w:val="0"/>
        <w:numPr>
          <w:ilvl w:val="0"/>
          <w:numId w:val="0"/>
        </w:numPr>
        <w:kinsoku/>
        <w:wordWrap/>
        <w:overflowPunct/>
        <w:topLinePunct w:val="0"/>
        <w:bidi w:val="0"/>
        <w:spacing w:beforeAutospacing="0" w:afterAutospacing="0" w:line="576" w:lineRule="exact"/>
        <w:ind w:left="0" w:leftChars="0" w:right="0"/>
        <w:outlineLvl w:val="1"/>
        <w:rPr>
          <w:rFonts w:hint="eastAsia" w:ascii="仿宋_GB2312" w:hAnsi="仿宋_GB2312" w:eastAsia="仿宋_GB2312" w:cs="仿宋_GB2312"/>
          <w:sz w:val="32"/>
          <w:szCs w:val="32"/>
          <w:lang w:val="en-US" w:eastAsia="zh-CN"/>
        </w:rPr>
      </w:pPr>
    </w:p>
    <w:p>
      <w:pPr>
        <w:pStyle w:val="27"/>
        <w:pageBreakBefore w:val="0"/>
        <w:numPr>
          <w:ilvl w:val="0"/>
          <w:numId w:val="0"/>
        </w:numPr>
        <w:kinsoku/>
        <w:wordWrap/>
        <w:overflowPunct/>
        <w:topLinePunct w:val="0"/>
        <w:bidi w:val="0"/>
        <w:spacing w:beforeAutospacing="0" w:afterAutospacing="0" w:line="576" w:lineRule="exact"/>
        <w:ind w:left="0" w:leftChars="0" w:right="0"/>
        <w:outlineLvl w:val="1"/>
        <w:rPr>
          <w:rFonts w:hint="eastAsia" w:ascii="仿宋_GB2312" w:hAnsi="仿宋_GB2312" w:eastAsia="仿宋_GB2312" w:cs="仿宋_GB2312"/>
          <w:sz w:val="32"/>
          <w:szCs w:val="32"/>
          <w:lang w:val="en-US"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left="0" w:leftChars="0" w:right="0"/>
        <w:textAlignment w:val="auto"/>
        <w:outlineLvl w:val="1"/>
        <w:rPr>
          <w:rFonts w:hint="eastAsia" w:ascii="黑体" w:hAnsi="黑体" w:eastAsia="黑体" w:cs="黑体"/>
          <w:sz w:val="32"/>
          <w:szCs w:val="32"/>
          <w:lang w:val="en-US"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left="0" w:leftChars="0" w:right="0"/>
        <w:textAlignment w:val="auto"/>
        <w:outlineLvl w:val="1"/>
        <w:rPr>
          <w:rStyle w:val="21"/>
          <w:rFonts w:hint="eastAsia" w:ascii="黑体" w:hAnsi="黑体" w:eastAsia="黑体" w:cs="黑体"/>
          <w:b w:val="0"/>
        </w:rPr>
      </w:pPr>
      <w:r>
        <w:rPr>
          <w:rFonts w:hint="eastAsia" w:ascii="黑体" w:hAnsi="黑体" w:eastAsia="黑体" w:cs="黑体"/>
          <w:sz w:val="32"/>
          <w:szCs w:val="32"/>
          <w:lang w:val="en-US" w:eastAsia="zh-CN"/>
        </w:rPr>
        <w:t>三、</w:t>
      </w:r>
      <w:r>
        <w:rPr>
          <w:rFonts w:hint="eastAsia" w:ascii="黑体" w:hAnsi="黑体" w:eastAsia="黑体" w:cs="黑体"/>
          <w:sz w:val="32"/>
          <w:szCs w:val="32"/>
        </w:rPr>
        <w:t>支</w:t>
      </w:r>
      <w:r>
        <w:rPr>
          <w:rStyle w:val="21"/>
          <w:rFonts w:hint="eastAsia" w:ascii="黑体" w:hAnsi="黑体" w:eastAsia="黑体" w:cs="黑体"/>
          <w:b w:val="0"/>
        </w:rPr>
        <w:t>出决算情况说明</w:t>
      </w:r>
      <w:bookmarkEnd w:id="22"/>
      <w:bookmarkEnd w:id="23"/>
      <w:bookmarkEnd w:id="24"/>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2192.55</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1471.52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67.11</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721.03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32.89</w:t>
      </w:r>
      <w:r>
        <w:rPr>
          <w:rFonts w:hint="eastAsia" w:ascii="仿宋_GB2312" w:hAnsi="仿宋_GB2312" w:eastAsia="仿宋_GB2312" w:cs="仿宋_GB2312"/>
          <w:sz w:val="32"/>
          <w:szCs w:val="32"/>
        </w:rPr>
        <w:t>%；上缴上级支出0.00万元，占0.00%；经营支出0.00万元，占0.00万元，占 0.00%；对附属单位补助支出0.00万元，占0.00%。</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（图3：支出决算结构图）（饼状图）</w:t>
      </w:r>
    </w:p>
    <w:p>
      <w:pPr>
        <w:pStyle w:val="7"/>
        <w:pageBreakBefore w:val="0"/>
        <w:kinsoku/>
        <w:wordWrap/>
        <w:overflowPunct/>
        <w:topLinePunct w:val="0"/>
        <w:bidi w:val="0"/>
        <w:spacing w:beforeAutospacing="0" w:after="0" w:afterAutospacing="0" w:line="576" w:lineRule="exact"/>
        <w:ind w:left="0" w:leftChars="0" w:right="0" w:firstLine="640"/>
        <w:rPr>
          <w:rFonts w:hint="eastAsia" w:ascii="仿宋_GB2312" w:hAnsi="仿宋_GB2312" w:eastAsia="仿宋_GB2312" w:cs="仿宋_GB2312"/>
        </w:rPr>
      </w:pPr>
      <w:r>
        <w:rPr>
          <w:rFonts w:hint="eastAsia" w:ascii="仿宋_GB2312" w:hAnsi="仿宋_GB2312" w:eastAsia="仿宋_GB2312" w:cs="仿宋_GB2312"/>
          <w:sz w:val="32"/>
          <w:lang w:eastAsia="zh-CN"/>
        </w:rPr>
        <w:drawing>
          <wp:anchor distT="0" distB="0" distL="114300" distR="114300" simplePos="0" relativeHeight="251661312" behindDoc="0" locked="0" layoutInCell="1" allowOverlap="1">
            <wp:simplePos x="0" y="0"/>
            <wp:positionH relativeFrom="column">
              <wp:posOffset>122555</wp:posOffset>
            </wp:positionH>
            <wp:positionV relativeFrom="paragraph">
              <wp:posOffset>20955</wp:posOffset>
            </wp:positionV>
            <wp:extent cx="4845685" cy="2112645"/>
            <wp:effectExtent l="4445" t="4445" r="13970" b="16510"/>
            <wp:wrapSquare wrapText="bothSides"/>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textAlignment w:val="auto"/>
        <w:outlineLvl w:val="1"/>
        <w:rPr>
          <w:rStyle w:val="21"/>
          <w:rFonts w:hint="eastAsia" w:ascii="黑体" w:hAnsi="黑体" w:eastAsia="黑体" w:cs="黑体"/>
          <w:b w:val="0"/>
        </w:rPr>
      </w:pPr>
      <w:bookmarkStart w:id="25" w:name="_Toc18206"/>
      <w:bookmarkStart w:id="26" w:name="_Toc15377208"/>
      <w:bookmarkStart w:id="27" w:name="_Toc15396606"/>
      <w:r>
        <w:rPr>
          <w:rFonts w:hint="eastAsia" w:ascii="黑体" w:hAnsi="黑体" w:eastAsia="黑体" w:cs="黑体"/>
          <w:sz w:val="32"/>
          <w:szCs w:val="32"/>
        </w:rPr>
        <w:t>四、财</w:t>
      </w:r>
      <w:r>
        <w:rPr>
          <w:rStyle w:val="21"/>
          <w:rFonts w:hint="eastAsia" w:ascii="黑体" w:hAnsi="黑体" w:eastAsia="黑体" w:cs="黑体"/>
          <w:b w:val="0"/>
        </w:rPr>
        <w:t>政拨款收入支出决算总体情况说明</w:t>
      </w:r>
      <w:bookmarkEnd w:id="25"/>
      <w:bookmarkEnd w:id="26"/>
      <w:bookmarkEnd w:id="27"/>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firstLine="320" w:firstLineChars="100"/>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年财政拨款收、支总计</w:t>
      </w:r>
      <w:r>
        <w:rPr>
          <w:rFonts w:hint="eastAsia" w:ascii="仿宋_GB2312" w:hAnsi="仿宋_GB2312" w:eastAsia="仿宋_GB2312" w:cs="仿宋_GB2312"/>
          <w:sz w:val="32"/>
          <w:szCs w:val="32"/>
          <w:lang w:val="en-US" w:eastAsia="zh-CN"/>
        </w:rPr>
        <w:t>2192.55</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年相比，财政拨款</w:t>
      </w:r>
      <w:r>
        <w:rPr>
          <w:rFonts w:hint="eastAsia" w:ascii="仿宋_GB2312" w:hAnsi="仿宋_GB2312" w:eastAsia="仿宋_GB2312" w:cs="仿宋_GB2312"/>
          <w:sz w:val="32"/>
          <w:szCs w:val="32"/>
          <w:lang w:val="en-US" w:eastAsia="zh-CN"/>
        </w:rPr>
        <w:t>收入增加785.92万元，</w:t>
      </w:r>
      <w:r>
        <w:rPr>
          <w:rFonts w:hint="eastAsia" w:ascii="仿宋_GB2312" w:hAnsi="仿宋_GB2312" w:eastAsia="仿宋_GB2312" w:cs="仿宋_GB2312"/>
          <w:sz w:val="32"/>
          <w:szCs w:val="32"/>
        </w:rPr>
        <w:t>增长</w:t>
      </w:r>
      <w:r>
        <w:rPr>
          <w:rFonts w:hint="eastAsia" w:ascii="仿宋_GB2312" w:hAnsi="仿宋_GB2312" w:eastAsia="仿宋_GB2312" w:cs="仿宋_GB2312"/>
          <w:sz w:val="32"/>
          <w:szCs w:val="32"/>
          <w:lang w:val="en-US" w:eastAsia="zh-CN"/>
        </w:rPr>
        <w:t>55.86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增长</w:t>
      </w:r>
      <w:r>
        <w:rPr>
          <w:rFonts w:hint="eastAsia" w:ascii="仿宋_GB2312" w:hAnsi="仿宋_GB2312" w:eastAsia="仿宋_GB2312" w:cs="仿宋_GB2312"/>
          <w:sz w:val="32"/>
          <w:szCs w:val="32"/>
        </w:rPr>
        <w:t>支</w:t>
      </w:r>
      <w:r>
        <w:rPr>
          <w:rFonts w:hint="eastAsia" w:ascii="仿宋_GB2312" w:hAnsi="仿宋_GB2312" w:eastAsia="仿宋_GB2312" w:cs="仿宋_GB2312"/>
          <w:sz w:val="32"/>
          <w:szCs w:val="32"/>
          <w:lang w:val="en-US" w:eastAsia="zh-CN"/>
        </w:rPr>
        <w:t>出</w:t>
      </w:r>
      <w:r>
        <w:rPr>
          <w:rFonts w:hint="eastAsia" w:ascii="仿宋_GB2312" w:hAnsi="仿宋_GB2312" w:eastAsia="仿宋_GB2312" w:cs="仿宋_GB2312"/>
          <w:sz w:val="32"/>
          <w:szCs w:val="32"/>
        </w:rPr>
        <w:t>总计增加</w:t>
      </w:r>
      <w:r>
        <w:rPr>
          <w:rFonts w:hint="eastAsia" w:ascii="仿宋_GB2312" w:hAnsi="仿宋_GB2312" w:eastAsia="仿宋_GB2312" w:cs="仿宋_GB2312"/>
          <w:sz w:val="32"/>
          <w:szCs w:val="32"/>
          <w:lang w:val="en-US" w:eastAsia="zh-CN"/>
        </w:rPr>
        <w:t>558.11</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34.15</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color w:val="000000"/>
          <w:sz w:val="32"/>
          <w:szCs w:val="32"/>
          <w:shd w:val="clear" w:color="auto" w:fill="FFFFFF"/>
        </w:rPr>
        <w:t>一是202</w:t>
      </w:r>
      <w:r>
        <w:rPr>
          <w:rFonts w:hint="eastAsia" w:ascii="仿宋_GB2312" w:hAnsi="仿宋_GB2312" w:eastAsia="仿宋_GB2312" w:cs="仿宋_GB2312"/>
          <w:color w:val="000000"/>
          <w:sz w:val="32"/>
          <w:szCs w:val="32"/>
          <w:shd w:val="clear" w:color="auto" w:fill="FFFFFF"/>
          <w:lang w:val="en-US" w:eastAsia="zh-CN"/>
        </w:rPr>
        <w:t>4</w:t>
      </w:r>
      <w:r>
        <w:rPr>
          <w:rFonts w:hint="eastAsia" w:ascii="仿宋_GB2312" w:hAnsi="仿宋_GB2312" w:eastAsia="仿宋_GB2312" w:cs="仿宋_GB2312"/>
          <w:color w:val="000000"/>
          <w:sz w:val="32"/>
          <w:szCs w:val="32"/>
          <w:shd w:val="clear" w:color="auto" w:fill="FFFFFF"/>
        </w:rPr>
        <w:t>年办案业务增加，办案经费增加，相关执纪经费增加</w:t>
      </w:r>
      <w:r>
        <w:rPr>
          <w:rFonts w:hint="eastAsia" w:ascii="仿宋_GB2312" w:hAnsi="仿宋_GB2312" w:eastAsia="仿宋_GB2312" w:cs="仿宋_GB2312"/>
          <w:color w:val="000000"/>
          <w:sz w:val="32"/>
          <w:szCs w:val="32"/>
          <w:shd w:val="clear" w:color="auto" w:fill="FFFFFF"/>
          <w:lang w:eastAsia="zh-CN"/>
        </w:rPr>
        <w:t>，二是纪委业务用房改扩建项目经费增加</w:t>
      </w:r>
      <w:r>
        <w:rPr>
          <w:rFonts w:hint="eastAsia" w:ascii="仿宋_GB2312" w:hAnsi="仿宋_GB2312" w:eastAsia="仿宋_GB2312" w:cs="仿宋_GB2312"/>
          <w:color w:val="000000"/>
          <w:sz w:val="32"/>
          <w:szCs w:val="32"/>
          <w:shd w:val="clear" w:color="auto" w:fill="FFFFFF"/>
          <w:lang w:val="en-US" w:eastAsia="zh-CN"/>
        </w:rPr>
        <w:t>680.03万元</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val="en-US" w:eastAsia="zh-CN"/>
        </w:rPr>
        <w:t>三</w:t>
      </w:r>
      <w:r>
        <w:rPr>
          <w:rFonts w:hint="eastAsia" w:ascii="仿宋_GB2312" w:hAnsi="仿宋_GB2312" w:eastAsia="仿宋_GB2312" w:cs="仿宋_GB2312"/>
          <w:color w:val="000000"/>
          <w:sz w:val="32"/>
          <w:szCs w:val="32"/>
          <w:shd w:val="clear" w:color="auto" w:fill="FFFFFF"/>
        </w:rPr>
        <w:t>是202</w:t>
      </w:r>
      <w:r>
        <w:rPr>
          <w:rFonts w:hint="eastAsia" w:ascii="仿宋_GB2312" w:hAnsi="仿宋_GB2312" w:eastAsia="仿宋_GB2312" w:cs="仿宋_GB2312"/>
          <w:color w:val="000000"/>
          <w:sz w:val="32"/>
          <w:szCs w:val="32"/>
          <w:shd w:val="clear" w:color="auto" w:fill="FFFFFF"/>
          <w:lang w:val="en-US" w:eastAsia="zh-CN"/>
        </w:rPr>
        <w:t>4</w:t>
      </w:r>
      <w:r>
        <w:rPr>
          <w:rFonts w:hint="eastAsia" w:ascii="仿宋_GB2312" w:hAnsi="仿宋_GB2312" w:eastAsia="仿宋_GB2312" w:cs="仿宋_GB2312"/>
          <w:color w:val="000000"/>
          <w:sz w:val="32"/>
          <w:szCs w:val="32"/>
          <w:shd w:val="clear" w:color="auto" w:fill="FFFFFF"/>
        </w:rPr>
        <w:t>年</w:t>
      </w:r>
      <w:r>
        <w:rPr>
          <w:rFonts w:hint="eastAsia" w:ascii="仿宋_GB2312" w:hAnsi="仿宋_GB2312" w:eastAsia="仿宋_GB2312" w:cs="仿宋_GB2312"/>
          <w:color w:val="000000"/>
          <w:sz w:val="32"/>
          <w:szCs w:val="32"/>
          <w:shd w:val="clear" w:color="auto" w:fill="FFFFFF"/>
          <w:lang w:val="en-US" w:eastAsia="zh-CN"/>
        </w:rPr>
        <w:t>退休5人</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对个人和家庭的补助增加8.59万</w:t>
      </w:r>
      <w:r>
        <w:rPr>
          <w:rFonts w:hint="eastAsia" w:ascii="仿宋_GB2312" w:hAnsi="仿宋_GB2312" w:eastAsia="仿宋_GB2312" w:cs="仿宋_GB2312"/>
          <w:color w:val="000000"/>
          <w:sz w:val="32"/>
          <w:szCs w:val="32"/>
          <w:shd w:val="clear" w:color="auto" w:fill="FFFFFF"/>
        </w:rPr>
        <w:t>元；</w:t>
      </w:r>
      <w:r>
        <w:rPr>
          <w:rFonts w:hint="eastAsia" w:ascii="仿宋_GB2312" w:hAnsi="仿宋_GB2312" w:eastAsia="仿宋_GB2312" w:cs="仿宋_GB2312"/>
          <w:color w:val="000000"/>
          <w:sz w:val="32"/>
          <w:szCs w:val="32"/>
          <w:shd w:val="clear" w:color="auto" w:fill="FFFFFF"/>
          <w:lang w:val="en-US" w:eastAsia="zh-CN"/>
        </w:rPr>
        <w:t>四是</w:t>
      </w:r>
      <w:r>
        <w:rPr>
          <w:rFonts w:hint="eastAsia" w:ascii="仿宋_GB2312" w:hAnsi="仿宋_GB2312" w:eastAsia="仿宋_GB2312" w:cs="仿宋_GB2312"/>
          <w:color w:val="000000"/>
          <w:sz w:val="32"/>
          <w:szCs w:val="32"/>
          <w:shd w:val="clear" w:color="auto" w:fill="FFFFFF"/>
        </w:rPr>
        <w:t>每年的工资、</w:t>
      </w:r>
      <w:r>
        <w:rPr>
          <w:rFonts w:hint="eastAsia" w:ascii="仿宋_GB2312" w:hAnsi="仿宋_GB2312" w:eastAsia="仿宋_GB2312" w:cs="仿宋_GB2312"/>
          <w:color w:val="000000"/>
          <w:sz w:val="32"/>
          <w:szCs w:val="32"/>
          <w:shd w:val="clear" w:color="auto" w:fill="FFFFFF"/>
          <w:lang w:val="en-US" w:eastAsia="zh-CN"/>
        </w:rPr>
        <w:t>各类</w:t>
      </w:r>
      <w:r>
        <w:rPr>
          <w:rFonts w:hint="eastAsia" w:ascii="仿宋_GB2312" w:hAnsi="仿宋_GB2312" w:eastAsia="仿宋_GB2312" w:cs="仿宋_GB2312"/>
          <w:color w:val="000000"/>
          <w:sz w:val="32"/>
          <w:szCs w:val="32"/>
          <w:shd w:val="clear" w:color="auto" w:fill="FFFFFF"/>
        </w:rPr>
        <w:t>保险</w:t>
      </w:r>
      <w:r>
        <w:rPr>
          <w:rFonts w:hint="eastAsia" w:ascii="仿宋_GB2312" w:hAnsi="仿宋_GB2312" w:eastAsia="仿宋_GB2312" w:cs="仿宋_GB2312"/>
          <w:color w:val="000000"/>
          <w:sz w:val="32"/>
          <w:szCs w:val="32"/>
          <w:shd w:val="clear" w:color="auto" w:fill="FFFFFF"/>
          <w:lang w:val="en-US" w:eastAsia="zh-CN"/>
        </w:rPr>
        <w:t>基数</w:t>
      </w:r>
      <w:r>
        <w:rPr>
          <w:rFonts w:hint="eastAsia" w:ascii="仿宋_GB2312" w:hAnsi="仿宋_GB2312" w:eastAsia="仿宋_GB2312" w:cs="仿宋_GB2312"/>
          <w:color w:val="000000"/>
          <w:sz w:val="32"/>
          <w:szCs w:val="32"/>
          <w:shd w:val="clear" w:color="auto" w:fill="FFFFFF"/>
        </w:rPr>
        <w:t>、公积金的变动</w:t>
      </w:r>
      <w:r>
        <w:rPr>
          <w:rFonts w:hint="eastAsia" w:ascii="仿宋_GB2312" w:hAnsi="仿宋_GB2312" w:eastAsia="仿宋_GB2312" w:cs="仿宋_GB2312"/>
          <w:color w:val="000000"/>
          <w:sz w:val="32"/>
          <w:szCs w:val="32"/>
          <w:shd w:val="clear" w:color="auto" w:fill="FFFFFF"/>
          <w:lang w:val="en-US" w:eastAsia="zh-CN"/>
        </w:rPr>
        <w:t>较大</w:t>
      </w:r>
      <w:r>
        <w:rPr>
          <w:rFonts w:hint="eastAsia" w:ascii="仿宋_GB2312" w:hAnsi="仿宋_GB2312" w:eastAsia="仿宋_GB2312" w:cs="仿宋_GB2312"/>
          <w:color w:val="000000"/>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（图4：财政拨款收、支决算总计变动情况）（柱状图）</w:t>
      </w:r>
    </w:p>
    <w:p>
      <w:pPr>
        <w:pStyle w:val="11"/>
        <w:pageBreakBefore w:val="0"/>
        <w:kinsoku/>
        <w:wordWrap/>
        <w:overflowPunct/>
        <w:topLinePunct w:val="0"/>
        <w:bidi w:val="0"/>
        <w:spacing w:beforeAutospacing="0" w:afterAutospacing="0" w:line="576" w:lineRule="exact"/>
        <w:ind w:left="0" w:leftChars="0" w:right="0"/>
        <w:rPr>
          <w:rFonts w:hint="eastAsia" w:ascii="仿宋_GB2312" w:hAnsi="仿宋_GB2312" w:eastAsia="仿宋_GB2312" w:cs="仿宋_GB2312"/>
        </w:rPr>
      </w:pPr>
    </w:p>
    <w:p>
      <w:pPr>
        <w:pStyle w:val="8"/>
        <w:pageBreakBefore w:val="0"/>
        <w:kinsoku/>
        <w:wordWrap/>
        <w:overflowPunct/>
        <w:topLinePunct w:val="0"/>
        <w:bidi w:val="0"/>
        <w:spacing w:beforeAutospacing="0" w:afterAutospacing="0" w:line="576" w:lineRule="exact"/>
        <w:ind w:left="0" w:leftChars="0" w:right="0"/>
        <w:rPr>
          <w:rFonts w:hint="eastAsia" w:ascii="仿宋_GB2312" w:hAnsi="仿宋_GB2312" w:eastAsia="仿宋_GB2312" w:cs="仿宋_GB2312"/>
          <w:sz w:val="32"/>
          <w:szCs w:val="32"/>
        </w:rPr>
      </w:pPr>
    </w:p>
    <w:p>
      <w:pPr>
        <w:pStyle w:val="8"/>
        <w:pageBreakBefore w:val="0"/>
        <w:kinsoku/>
        <w:wordWrap/>
        <w:overflowPunct/>
        <w:topLinePunct w:val="0"/>
        <w:bidi w:val="0"/>
        <w:spacing w:beforeAutospacing="0" w:afterAutospacing="0" w:line="576" w:lineRule="exact"/>
        <w:ind w:left="0" w:leftChars="0" w:right="0"/>
        <w:rPr>
          <w:rStyle w:val="21"/>
          <w:rFonts w:hint="eastAsia" w:ascii="黑体" w:hAnsi="黑体" w:eastAsia="黑体" w:cs="黑体"/>
          <w:b w:val="0"/>
          <w:sz w:val="32"/>
          <w:szCs w:val="32"/>
        </w:rPr>
      </w:pPr>
      <w:r>
        <w:rPr>
          <w:rFonts w:hint="eastAsia" w:ascii="黑体" w:hAnsi="黑体" w:eastAsia="黑体" w:cs="黑体"/>
          <w:sz w:val="32"/>
          <w:szCs w:val="32"/>
          <w:lang w:eastAsia="zh-CN"/>
        </w:rPr>
        <w:drawing>
          <wp:anchor distT="0" distB="0" distL="114300" distR="114300" simplePos="0" relativeHeight="251662336" behindDoc="0" locked="0" layoutInCell="1" allowOverlap="1">
            <wp:simplePos x="0" y="0"/>
            <wp:positionH relativeFrom="column">
              <wp:posOffset>4445</wp:posOffset>
            </wp:positionH>
            <wp:positionV relativeFrom="paragraph">
              <wp:posOffset>62230</wp:posOffset>
            </wp:positionV>
            <wp:extent cx="5109210" cy="1588135"/>
            <wp:effectExtent l="4445" t="4445" r="17145" b="7620"/>
            <wp:wrapSquare wrapText="bothSides"/>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28" w:name="_Toc29964"/>
      <w:bookmarkStart w:id="29" w:name="_Toc15377209"/>
      <w:bookmarkStart w:id="30" w:name="_Toc15396607"/>
      <w:r>
        <w:rPr>
          <w:rFonts w:hint="eastAsia" w:ascii="黑体" w:hAnsi="黑体" w:eastAsia="黑体" w:cs="黑体"/>
          <w:sz w:val="32"/>
          <w:szCs w:val="32"/>
        </w:rPr>
        <w:t>五、</w:t>
      </w:r>
      <w:r>
        <w:rPr>
          <w:rFonts w:hint="eastAsia" w:ascii="黑体" w:hAnsi="黑体" w:eastAsia="黑体" w:cs="黑体"/>
          <w:b/>
          <w:sz w:val="32"/>
          <w:szCs w:val="32"/>
        </w:rPr>
        <w:t>一</w:t>
      </w:r>
      <w:r>
        <w:rPr>
          <w:rStyle w:val="21"/>
          <w:rFonts w:hint="eastAsia" w:ascii="黑体" w:hAnsi="黑体" w:eastAsia="黑体" w:cs="黑体"/>
          <w:b w:val="0"/>
          <w:sz w:val="32"/>
          <w:szCs w:val="32"/>
        </w:rPr>
        <w:t>般公共预算财政拨款支出决算情况说明</w:t>
      </w:r>
      <w:bookmarkEnd w:id="28"/>
      <w:bookmarkEnd w:id="29"/>
      <w:bookmarkEnd w:id="30"/>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textAlignment w:val="auto"/>
        <w:outlineLvl w:val="2"/>
        <w:rPr>
          <w:rFonts w:hint="eastAsia" w:ascii="楷体_GB2312" w:hAnsi="楷体_GB2312" w:eastAsia="楷体_GB2312" w:cs="楷体_GB2312"/>
          <w:b/>
          <w:sz w:val="32"/>
          <w:szCs w:val="32"/>
        </w:rPr>
      </w:pPr>
      <w:bookmarkStart w:id="31" w:name="_Toc15377210"/>
      <w:r>
        <w:rPr>
          <w:rFonts w:hint="eastAsia" w:ascii="楷体_GB2312" w:hAnsi="楷体_GB2312" w:eastAsia="楷体_GB2312" w:cs="楷体_GB2312"/>
          <w:b/>
          <w:sz w:val="32"/>
          <w:szCs w:val="32"/>
        </w:rPr>
        <w:t>（一）一般公共预算财政拨款支出决算总体情况</w:t>
      </w:r>
      <w:bookmarkEnd w:id="31"/>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2192.55</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年相比，一般公共预算财政拨款支出增加</w:t>
      </w:r>
      <w:r>
        <w:rPr>
          <w:rFonts w:hint="eastAsia" w:ascii="仿宋_GB2312" w:hAnsi="仿宋_GB2312" w:eastAsia="仿宋_GB2312" w:cs="仿宋_GB2312"/>
          <w:sz w:val="32"/>
          <w:szCs w:val="32"/>
          <w:lang w:val="en-US" w:eastAsia="zh-CN"/>
        </w:rPr>
        <w:t>558.11</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34.15</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color w:val="000000"/>
          <w:sz w:val="32"/>
          <w:szCs w:val="32"/>
          <w:shd w:val="clear" w:color="auto" w:fill="FFFFFF"/>
        </w:rPr>
        <w:t>一是202</w:t>
      </w:r>
      <w:r>
        <w:rPr>
          <w:rFonts w:hint="eastAsia" w:ascii="仿宋_GB2312" w:hAnsi="仿宋_GB2312" w:eastAsia="仿宋_GB2312" w:cs="仿宋_GB2312"/>
          <w:color w:val="000000"/>
          <w:sz w:val="32"/>
          <w:szCs w:val="32"/>
          <w:shd w:val="clear" w:color="auto" w:fill="FFFFFF"/>
          <w:lang w:val="en-US" w:eastAsia="zh-CN"/>
        </w:rPr>
        <w:t>4</w:t>
      </w:r>
      <w:r>
        <w:rPr>
          <w:rFonts w:hint="eastAsia" w:ascii="仿宋_GB2312" w:hAnsi="仿宋_GB2312" w:eastAsia="仿宋_GB2312" w:cs="仿宋_GB2312"/>
          <w:color w:val="000000"/>
          <w:sz w:val="32"/>
          <w:szCs w:val="32"/>
          <w:shd w:val="clear" w:color="auto" w:fill="FFFFFF"/>
        </w:rPr>
        <w:t>年办案业务增加，办案经费增加，相关执纪经费增加</w:t>
      </w:r>
      <w:r>
        <w:rPr>
          <w:rFonts w:hint="eastAsia" w:ascii="仿宋_GB2312" w:hAnsi="仿宋_GB2312" w:eastAsia="仿宋_GB2312" w:cs="仿宋_GB2312"/>
          <w:color w:val="000000"/>
          <w:sz w:val="32"/>
          <w:szCs w:val="32"/>
          <w:shd w:val="clear" w:color="auto" w:fill="FFFFFF"/>
          <w:lang w:eastAsia="zh-CN"/>
        </w:rPr>
        <w:t>，二是纪委业务用房改扩建项目经费增加</w:t>
      </w:r>
      <w:r>
        <w:rPr>
          <w:rFonts w:hint="eastAsia" w:ascii="仿宋_GB2312" w:hAnsi="仿宋_GB2312" w:eastAsia="仿宋_GB2312" w:cs="仿宋_GB2312"/>
          <w:color w:val="000000"/>
          <w:sz w:val="32"/>
          <w:szCs w:val="32"/>
          <w:shd w:val="clear" w:color="auto" w:fill="FFFFFF"/>
          <w:lang w:val="en-US" w:eastAsia="zh-CN"/>
        </w:rPr>
        <w:t>680.03万元</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val="en-US" w:eastAsia="zh-CN"/>
        </w:rPr>
        <w:t>三</w:t>
      </w:r>
      <w:r>
        <w:rPr>
          <w:rFonts w:hint="eastAsia" w:ascii="仿宋_GB2312" w:hAnsi="仿宋_GB2312" w:eastAsia="仿宋_GB2312" w:cs="仿宋_GB2312"/>
          <w:color w:val="000000"/>
          <w:sz w:val="32"/>
          <w:szCs w:val="32"/>
          <w:shd w:val="clear" w:color="auto" w:fill="FFFFFF"/>
        </w:rPr>
        <w:t>是202</w:t>
      </w:r>
      <w:r>
        <w:rPr>
          <w:rFonts w:hint="eastAsia" w:ascii="仿宋_GB2312" w:hAnsi="仿宋_GB2312" w:eastAsia="仿宋_GB2312" w:cs="仿宋_GB2312"/>
          <w:color w:val="000000"/>
          <w:sz w:val="32"/>
          <w:szCs w:val="32"/>
          <w:shd w:val="clear" w:color="auto" w:fill="FFFFFF"/>
          <w:lang w:val="en-US" w:eastAsia="zh-CN"/>
        </w:rPr>
        <w:t>4</w:t>
      </w:r>
      <w:r>
        <w:rPr>
          <w:rFonts w:hint="eastAsia" w:ascii="仿宋_GB2312" w:hAnsi="仿宋_GB2312" w:eastAsia="仿宋_GB2312" w:cs="仿宋_GB2312"/>
          <w:color w:val="000000"/>
          <w:sz w:val="32"/>
          <w:szCs w:val="32"/>
          <w:shd w:val="clear" w:color="auto" w:fill="FFFFFF"/>
        </w:rPr>
        <w:t>年</w:t>
      </w:r>
      <w:r>
        <w:rPr>
          <w:rFonts w:hint="eastAsia" w:ascii="仿宋_GB2312" w:hAnsi="仿宋_GB2312" w:eastAsia="仿宋_GB2312" w:cs="仿宋_GB2312"/>
          <w:color w:val="000000"/>
          <w:sz w:val="32"/>
          <w:szCs w:val="32"/>
          <w:shd w:val="clear" w:color="auto" w:fill="FFFFFF"/>
          <w:lang w:val="en-US" w:eastAsia="zh-CN"/>
        </w:rPr>
        <w:t>退休5人</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对个人和家庭的补助增加8.59万</w:t>
      </w:r>
      <w:r>
        <w:rPr>
          <w:rFonts w:hint="eastAsia" w:ascii="仿宋_GB2312" w:hAnsi="仿宋_GB2312" w:eastAsia="仿宋_GB2312" w:cs="仿宋_GB2312"/>
          <w:color w:val="000000"/>
          <w:sz w:val="32"/>
          <w:szCs w:val="32"/>
          <w:shd w:val="clear" w:color="auto" w:fill="FFFFFF"/>
        </w:rPr>
        <w:t>元；</w:t>
      </w:r>
      <w:r>
        <w:rPr>
          <w:rFonts w:hint="eastAsia" w:ascii="仿宋_GB2312" w:hAnsi="仿宋_GB2312" w:eastAsia="仿宋_GB2312" w:cs="仿宋_GB2312"/>
          <w:color w:val="000000"/>
          <w:sz w:val="32"/>
          <w:szCs w:val="32"/>
          <w:shd w:val="clear" w:color="auto" w:fill="FFFFFF"/>
          <w:lang w:val="en-US" w:eastAsia="zh-CN"/>
        </w:rPr>
        <w:t>四是</w:t>
      </w:r>
      <w:r>
        <w:rPr>
          <w:rFonts w:hint="eastAsia" w:ascii="仿宋_GB2312" w:hAnsi="仿宋_GB2312" w:eastAsia="仿宋_GB2312" w:cs="仿宋_GB2312"/>
          <w:color w:val="000000"/>
          <w:sz w:val="32"/>
          <w:szCs w:val="32"/>
          <w:shd w:val="clear" w:color="auto" w:fill="FFFFFF"/>
        </w:rPr>
        <w:t>每年的工资、</w:t>
      </w:r>
      <w:r>
        <w:rPr>
          <w:rFonts w:hint="eastAsia" w:ascii="仿宋_GB2312" w:hAnsi="仿宋_GB2312" w:eastAsia="仿宋_GB2312" w:cs="仿宋_GB2312"/>
          <w:color w:val="000000"/>
          <w:sz w:val="32"/>
          <w:szCs w:val="32"/>
          <w:shd w:val="clear" w:color="auto" w:fill="FFFFFF"/>
          <w:lang w:val="en-US" w:eastAsia="zh-CN"/>
        </w:rPr>
        <w:t>各类</w:t>
      </w:r>
      <w:r>
        <w:rPr>
          <w:rFonts w:hint="eastAsia" w:ascii="仿宋_GB2312" w:hAnsi="仿宋_GB2312" w:eastAsia="仿宋_GB2312" w:cs="仿宋_GB2312"/>
          <w:color w:val="000000"/>
          <w:sz w:val="32"/>
          <w:szCs w:val="32"/>
          <w:shd w:val="clear" w:color="auto" w:fill="FFFFFF"/>
        </w:rPr>
        <w:t>保险</w:t>
      </w:r>
      <w:r>
        <w:rPr>
          <w:rFonts w:hint="eastAsia" w:ascii="仿宋_GB2312" w:hAnsi="仿宋_GB2312" w:eastAsia="仿宋_GB2312" w:cs="仿宋_GB2312"/>
          <w:color w:val="000000"/>
          <w:sz w:val="32"/>
          <w:szCs w:val="32"/>
          <w:shd w:val="clear" w:color="auto" w:fill="FFFFFF"/>
          <w:lang w:val="en-US" w:eastAsia="zh-CN"/>
        </w:rPr>
        <w:t>基数</w:t>
      </w:r>
      <w:r>
        <w:rPr>
          <w:rFonts w:hint="eastAsia" w:ascii="仿宋_GB2312" w:hAnsi="仿宋_GB2312" w:eastAsia="仿宋_GB2312" w:cs="仿宋_GB2312"/>
          <w:color w:val="000000"/>
          <w:sz w:val="32"/>
          <w:szCs w:val="32"/>
          <w:shd w:val="clear" w:color="auto" w:fill="FFFFFF"/>
        </w:rPr>
        <w:t>、公积金的变动</w:t>
      </w:r>
      <w:r>
        <w:rPr>
          <w:rFonts w:hint="eastAsia" w:ascii="仿宋_GB2312" w:hAnsi="仿宋_GB2312" w:eastAsia="仿宋_GB2312" w:cs="仿宋_GB2312"/>
          <w:color w:val="000000"/>
          <w:sz w:val="32"/>
          <w:szCs w:val="32"/>
          <w:shd w:val="clear" w:color="auto" w:fill="FFFFFF"/>
          <w:lang w:val="en-US" w:eastAsia="zh-CN"/>
        </w:rPr>
        <w:t>较大</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lang w:eastAsia="zh-CN"/>
        </w:rPr>
        <w:drawing>
          <wp:anchor distT="0" distB="0" distL="114300" distR="114300" simplePos="0" relativeHeight="251663360" behindDoc="0" locked="0" layoutInCell="1" allowOverlap="1">
            <wp:simplePos x="0" y="0"/>
            <wp:positionH relativeFrom="column">
              <wp:posOffset>255270</wp:posOffset>
            </wp:positionH>
            <wp:positionV relativeFrom="paragraph">
              <wp:posOffset>838835</wp:posOffset>
            </wp:positionV>
            <wp:extent cx="4918075" cy="2474595"/>
            <wp:effectExtent l="4445" t="4445" r="5080" b="10160"/>
            <wp:wrapSquare wrapText="bothSides"/>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hAnsi="仿宋_GB2312" w:eastAsia="仿宋_GB2312" w:cs="仿宋_GB2312"/>
          <w:sz w:val="32"/>
          <w:szCs w:val="32"/>
        </w:rPr>
        <w:t>（图5：一般公共预算财政拨款支出决算变动情况）（柱状图）</w:t>
      </w:r>
      <w:bookmarkStart w:id="32" w:name="_Toc15377211"/>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textAlignment w:val="auto"/>
        <w:outlineLvl w:val="2"/>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（二）一般公共预算财政拨款支出决算结构情况</w:t>
      </w:r>
      <w:bookmarkEnd w:id="32"/>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2192.55</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sz w:val="32"/>
          <w:szCs w:val="32"/>
        </w:rPr>
        <w:t>一般公共服务（类）</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1787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81.5</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社会保障和就业（类）</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180.77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8.24</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卫生健康支出</w:t>
      </w:r>
      <w:r>
        <w:rPr>
          <w:rFonts w:hint="eastAsia" w:ascii="仿宋_GB2312" w:hAnsi="仿宋_GB2312" w:eastAsia="仿宋_GB2312" w:cs="仿宋_GB2312"/>
          <w:sz w:val="32"/>
          <w:szCs w:val="32"/>
          <w:lang w:val="en-US" w:eastAsia="zh-CN"/>
        </w:rPr>
        <w:t>75.14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3.43</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住房保障</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100.36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4.58</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42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lang w:eastAsia="zh-CN"/>
        </w:rPr>
        <w:drawing>
          <wp:anchor distT="0" distB="0" distL="114300" distR="114300" simplePos="0" relativeHeight="251664384" behindDoc="0" locked="0" layoutInCell="1" allowOverlap="1">
            <wp:simplePos x="0" y="0"/>
            <wp:positionH relativeFrom="column">
              <wp:posOffset>5080</wp:posOffset>
            </wp:positionH>
            <wp:positionV relativeFrom="paragraph">
              <wp:posOffset>681990</wp:posOffset>
            </wp:positionV>
            <wp:extent cx="5158740" cy="2214880"/>
            <wp:effectExtent l="4445" t="4445" r="5715" b="15875"/>
            <wp:wrapSquare wrapText="bothSides"/>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hAnsi="仿宋_GB2312" w:eastAsia="仿宋_GB2312" w:cs="仿宋_GB2312"/>
          <w:sz w:val="32"/>
          <w:szCs w:val="32"/>
        </w:rPr>
        <w:t>（图6：一般公共预算财政拨款支出决算结构）（饼状图）</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textAlignment w:val="auto"/>
        <w:outlineLvl w:val="2"/>
        <w:rPr>
          <w:rFonts w:hint="eastAsia" w:ascii="楷体_GB2312" w:hAnsi="楷体_GB2312" w:eastAsia="楷体_GB2312" w:cs="楷体_GB2312"/>
          <w:b/>
          <w:sz w:val="32"/>
          <w:szCs w:val="32"/>
        </w:rPr>
      </w:pPr>
      <w:bookmarkStart w:id="33" w:name="_Toc15377212"/>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textAlignment w:val="auto"/>
        <w:outlineLvl w:val="2"/>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（三）一般公共预算财政拨款支出决算具体情况</w:t>
      </w:r>
      <w:bookmarkEnd w:id="33"/>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outlineLvl w:val="2"/>
        <w:rPr>
          <w:rFonts w:hint="eastAsia" w:ascii="仿宋_GB2312" w:hAnsi="仿宋_GB2312" w:eastAsia="仿宋_GB2312" w:cs="仿宋_GB2312"/>
          <w:b w:val="0"/>
          <w:bCs/>
          <w:sz w:val="32"/>
          <w:szCs w:val="32"/>
        </w:rPr>
      </w:pPr>
      <w:bookmarkStart w:id="34" w:name="_Toc15377444"/>
      <w:bookmarkStart w:id="35" w:name="_Toc15377213"/>
      <w:bookmarkStart w:id="36" w:name="_Toc15378460"/>
      <w:r>
        <w:rPr>
          <w:rFonts w:hint="eastAsia" w:ascii="仿宋_GB2312" w:hAnsi="仿宋_GB2312" w:eastAsia="仿宋_GB2312" w:cs="仿宋_GB2312"/>
          <w:b w:val="0"/>
          <w:bCs/>
          <w:sz w:val="32"/>
          <w:szCs w:val="32"/>
        </w:rPr>
        <w:t>202</w:t>
      </w: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rPr>
        <w:t>年一般公共预算支出决算数为</w:t>
      </w:r>
      <w:r>
        <w:rPr>
          <w:rFonts w:hint="eastAsia" w:ascii="仿宋_GB2312" w:hAnsi="仿宋_GB2312" w:eastAsia="仿宋_GB2312" w:cs="仿宋_GB2312"/>
          <w:b w:val="0"/>
          <w:bCs/>
          <w:sz w:val="32"/>
          <w:szCs w:val="32"/>
          <w:lang w:val="en-US" w:eastAsia="zh-CN"/>
        </w:rPr>
        <w:t>2192.55</w:t>
      </w:r>
      <w:r>
        <w:rPr>
          <w:rFonts w:hint="eastAsia" w:ascii="仿宋_GB2312" w:hAnsi="仿宋_GB2312" w:eastAsia="仿宋_GB2312" w:cs="仿宋_GB2312"/>
          <w:b w:val="0"/>
          <w:bCs/>
          <w:sz w:val="32"/>
          <w:szCs w:val="32"/>
        </w:rPr>
        <w:t>，</w:t>
      </w:r>
      <w:r>
        <w:rPr>
          <w:rStyle w:val="18"/>
          <w:rFonts w:hint="eastAsia" w:ascii="仿宋_GB2312" w:hAnsi="仿宋_GB2312" w:eastAsia="仿宋_GB2312" w:cs="仿宋_GB2312"/>
          <w:b w:val="0"/>
          <w:bCs/>
          <w:sz w:val="32"/>
          <w:szCs w:val="32"/>
        </w:rPr>
        <w:t>完成预算100%。其中：</w:t>
      </w:r>
      <w:bookmarkEnd w:id="34"/>
      <w:bookmarkEnd w:id="35"/>
      <w:bookmarkEnd w:id="36"/>
    </w:p>
    <w:p>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576" w:lineRule="exact"/>
        <w:ind w:left="0" w:leftChars="0" w:right="0" w:firstLine="643" w:firstLineChars="200"/>
        <w:textAlignment w:val="auto"/>
        <w:rPr>
          <w:rFonts w:hint="eastAsia" w:ascii="仿宋_GB2312" w:hAnsi="仿宋_GB2312" w:eastAsia="仿宋_GB2312" w:cs="仿宋_GB2312"/>
          <w:b/>
          <w:color w:val="000000"/>
          <w:sz w:val="32"/>
          <w:szCs w:val="32"/>
        </w:rPr>
      </w:pPr>
      <w:r>
        <w:rPr>
          <w:rStyle w:val="18"/>
          <w:rFonts w:hint="eastAsia" w:ascii="仿宋_GB2312" w:hAnsi="仿宋_GB2312" w:eastAsia="仿宋_GB2312" w:cs="仿宋_GB2312"/>
          <w:bCs/>
          <w:sz w:val="32"/>
          <w:szCs w:val="32"/>
        </w:rPr>
        <w:t>一般公共服务支出:</w:t>
      </w:r>
      <w:r>
        <w:rPr>
          <w:rStyle w:val="18"/>
          <w:rFonts w:hint="eastAsia" w:ascii="仿宋_GB2312" w:hAnsi="仿宋_GB2312" w:eastAsia="仿宋_GB2312" w:cs="仿宋_GB2312"/>
          <w:b w:val="0"/>
          <w:bCs/>
          <w:sz w:val="32"/>
          <w:szCs w:val="32"/>
        </w:rPr>
        <w:t>2011101-行政运行支出决算为</w:t>
      </w:r>
      <w:r>
        <w:rPr>
          <w:rStyle w:val="18"/>
          <w:rFonts w:hint="eastAsia" w:ascii="仿宋_GB2312" w:hAnsi="仿宋_GB2312" w:eastAsia="仿宋_GB2312" w:cs="仿宋_GB2312"/>
          <w:b w:val="0"/>
          <w:bCs/>
          <w:sz w:val="32"/>
          <w:szCs w:val="32"/>
          <w:lang w:val="en-US" w:eastAsia="zh-CN"/>
        </w:rPr>
        <w:t>1065.98</w:t>
      </w:r>
      <w:r>
        <w:rPr>
          <w:rStyle w:val="18"/>
          <w:rFonts w:hint="eastAsia" w:ascii="仿宋_GB2312" w:hAnsi="仿宋_GB2312" w:eastAsia="仿宋_GB2312" w:cs="仿宋_GB2312"/>
          <w:b w:val="0"/>
          <w:bCs/>
          <w:sz w:val="32"/>
          <w:szCs w:val="32"/>
        </w:rPr>
        <w:t>万元，完成预算100%，主要用于开支日常公用经费及人员经费</w:t>
      </w:r>
      <w:r>
        <w:rPr>
          <w:rStyle w:val="18"/>
          <w:rFonts w:hint="eastAsia" w:ascii="仿宋_GB2312" w:hAnsi="仿宋_GB2312" w:eastAsia="仿宋_GB2312" w:cs="仿宋_GB2312"/>
          <w:b w:val="0"/>
          <w:bCs/>
          <w:sz w:val="32"/>
          <w:szCs w:val="32"/>
          <w:lang w:val="en-US" w:eastAsia="zh-CN"/>
        </w:rPr>
        <w:t>支出</w:t>
      </w:r>
      <w:r>
        <w:rPr>
          <w:rStyle w:val="18"/>
          <w:rFonts w:hint="eastAsia" w:ascii="仿宋_GB2312" w:hAnsi="仿宋_GB2312" w:eastAsia="仿宋_GB2312" w:cs="仿宋_GB2312"/>
          <w:b w:val="0"/>
          <w:bCs/>
          <w:sz w:val="32"/>
          <w:szCs w:val="32"/>
        </w:rPr>
        <w:t>；2011102-一般行政管理事务支出决算为</w:t>
      </w:r>
      <w:r>
        <w:rPr>
          <w:rStyle w:val="18"/>
          <w:rFonts w:hint="eastAsia" w:ascii="仿宋_GB2312" w:hAnsi="仿宋_GB2312" w:eastAsia="仿宋_GB2312" w:cs="仿宋_GB2312"/>
          <w:b w:val="0"/>
          <w:bCs/>
          <w:sz w:val="32"/>
          <w:szCs w:val="32"/>
          <w:lang w:val="en-US" w:eastAsia="zh-CN"/>
        </w:rPr>
        <w:t>680.03</w:t>
      </w:r>
      <w:r>
        <w:rPr>
          <w:rStyle w:val="18"/>
          <w:rFonts w:hint="eastAsia" w:ascii="仿宋_GB2312" w:hAnsi="仿宋_GB2312" w:eastAsia="仿宋_GB2312" w:cs="仿宋_GB2312"/>
          <w:b w:val="0"/>
          <w:bCs/>
          <w:sz w:val="32"/>
          <w:szCs w:val="32"/>
        </w:rPr>
        <w:t>万元，完成预算100%，主要用于</w:t>
      </w:r>
      <w:r>
        <w:rPr>
          <w:rStyle w:val="18"/>
          <w:rFonts w:hint="eastAsia" w:ascii="仿宋_GB2312" w:hAnsi="仿宋_GB2312" w:eastAsia="仿宋_GB2312" w:cs="仿宋_GB2312"/>
          <w:b w:val="0"/>
          <w:bCs/>
          <w:sz w:val="32"/>
          <w:szCs w:val="32"/>
          <w:lang w:val="en-US" w:eastAsia="zh-CN"/>
        </w:rPr>
        <w:t>纪委业务用房改扩建项目经费及其它</w:t>
      </w:r>
      <w:r>
        <w:rPr>
          <w:rStyle w:val="18"/>
          <w:rFonts w:hint="eastAsia" w:ascii="仿宋_GB2312" w:hAnsi="仿宋_GB2312" w:eastAsia="仿宋_GB2312" w:cs="仿宋_GB2312"/>
          <w:b w:val="0"/>
          <w:bCs/>
          <w:sz w:val="32"/>
          <w:szCs w:val="32"/>
        </w:rPr>
        <w:t>专项</w:t>
      </w:r>
      <w:r>
        <w:rPr>
          <w:rStyle w:val="18"/>
          <w:rFonts w:hint="eastAsia" w:ascii="仿宋_GB2312" w:hAnsi="仿宋_GB2312" w:eastAsia="仿宋_GB2312" w:cs="仿宋_GB2312"/>
          <w:b w:val="0"/>
          <w:bCs/>
          <w:sz w:val="32"/>
          <w:szCs w:val="32"/>
          <w:lang w:eastAsia="zh-CN"/>
        </w:rPr>
        <w:t>工作</w:t>
      </w:r>
      <w:r>
        <w:rPr>
          <w:rStyle w:val="18"/>
          <w:rFonts w:hint="eastAsia" w:ascii="仿宋_GB2312" w:hAnsi="仿宋_GB2312" w:eastAsia="仿宋_GB2312" w:cs="仿宋_GB2312"/>
          <w:b w:val="0"/>
          <w:bCs/>
          <w:sz w:val="32"/>
          <w:szCs w:val="32"/>
        </w:rPr>
        <w:t>经费</w:t>
      </w:r>
      <w:r>
        <w:rPr>
          <w:rStyle w:val="18"/>
          <w:rFonts w:hint="eastAsia" w:ascii="仿宋_GB2312" w:hAnsi="仿宋_GB2312" w:eastAsia="仿宋_GB2312" w:cs="仿宋_GB2312"/>
          <w:b w:val="0"/>
          <w:bCs/>
          <w:sz w:val="32"/>
          <w:szCs w:val="32"/>
          <w:lang w:val="en-US" w:eastAsia="zh-CN"/>
        </w:rPr>
        <w:t>支出</w:t>
      </w:r>
      <w:r>
        <w:rPr>
          <w:rStyle w:val="18"/>
          <w:rFonts w:hint="eastAsia" w:ascii="仿宋_GB2312" w:hAnsi="仿宋_GB2312" w:eastAsia="仿宋_GB2312" w:cs="仿宋_GB2312"/>
          <w:b w:val="0"/>
          <w:bCs/>
          <w:sz w:val="32"/>
          <w:szCs w:val="32"/>
        </w:rPr>
        <w:t>；2011199</w:t>
      </w:r>
      <w:r>
        <w:rPr>
          <w:rStyle w:val="18"/>
          <w:rFonts w:hint="eastAsia" w:ascii="仿宋_GB2312" w:hAnsi="仿宋_GB2312" w:eastAsia="仿宋_GB2312" w:cs="仿宋_GB2312"/>
          <w:b w:val="0"/>
          <w:bCs/>
          <w:sz w:val="32"/>
          <w:szCs w:val="32"/>
        </w:rPr>
        <w:tab/>
      </w:r>
      <w:r>
        <w:rPr>
          <w:rStyle w:val="18"/>
          <w:rFonts w:hint="eastAsia" w:ascii="仿宋_GB2312" w:hAnsi="仿宋_GB2312" w:eastAsia="仿宋_GB2312" w:cs="仿宋_GB2312"/>
          <w:b w:val="0"/>
          <w:bCs/>
          <w:sz w:val="32"/>
          <w:szCs w:val="32"/>
        </w:rPr>
        <w:t>-纪检监察事务支出</w:t>
      </w:r>
      <w:r>
        <w:rPr>
          <w:rStyle w:val="18"/>
          <w:rFonts w:hint="eastAsia" w:ascii="仿宋_GB2312" w:hAnsi="仿宋_GB2312" w:eastAsia="仿宋_GB2312" w:cs="仿宋_GB2312"/>
          <w:b w:val="0"/>
          <w:bCs/>
          <w:sz w:val="32"/>
          <w:szCs w:val="32"/>
          <w:lang w:val="en-US" w:eastAsia="zh-CN"/>
        </w:rPr>
        <w:t>41万元</w:t>
      </w:r>
      <w:r>
        <w:rPr>
          <w:rStyle w:val="18"/>
          <w:rFonts w:hint="eastAsia" w:ascii="仿宋_GB2312" w:hAnsi="仿宋_GB2312" w:eastAsia="仿宋_GB2312" w:cs="仿宋_GB2312"/>
          <w:b w:val="0"/>
          <w:bCs/>
          <w:sz w:val="32"/>
          <w:szCs w:val="32"/>
        </w:rPr>
        <w:t>，完成预算100%</w:t>
      </w:r>
      <w:r>
        <w:rPr>
          <w:rStyle w:val="18"/>
          <w:rFonts w:hint="eastAsia" w:ascii="仿宋_GB2312" w:hAnsi="仿宋_GB2312" w:eastAsia="仿宋_GB2312" w:cs="仿宋_GB2312"/>
          <w:b w:val="0"/>
          <w:bCs/>
          <w:sz w:val="32"/>
          <w:szCs w:val="32"/>
          <w:lang w:eastAsia="zh-CN"/>
        </w:rPr>
        <w:t>，</w:t>
      </w:r>
      <w:r>
        <w:rPr>
          <w:rStyle w:val="18"/>
          <w:rFonts w:hint="eastAsia" w:ascii="仿宋_GB2312" w:hAnsi="仿宋_GB2312" w:eastAsia="仿宋_GB2312" w:cs="仿宋_GB2312"/>
          <w:b w:val="0"/>
          <w:bCs/>
          <w:sz w:val="32"/>
          <w:szCs w:val="32"/>
          <w:lang w:val="en-US" w:eastAsia="zh-CN"/>
        </w:rPr>
        <w:t>主要</w:t>
      </w:r>
      <w:bookmarkStart w:id="37" w:name="_Toc29471"/>
      <w:bookmarkStart w:id="38" w:name="_Toc15396608"/>
      <w:bookmarkStart w:id="39" w:name="_Toc15377214"/>
      <w:r>
        <w:rPr>
          <w:rStyle w:val="18"/>
          <w:rFonts w:hint="eastAsia" w:ascii="仿宋_GB2312" w:hAnsi="仿宋_GB2312" w:eastAsia="仿宋_GB2312" w:cs="仿宋_GB2312"/>
          <w:b w:val="0"/>
          <w:bCs/>
          <w:sz w:val="32"/>
          <w:szCs w:val="32"/>
          <w:lang w:val="en-US" w:eastAsia="zh-CN"/>
        </w:rPr>
        <w:t>用于办案、执纪经费支出。</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left="0" w:leftChars="0" w:right="0" w:firstLine="643" w:firstLineChars="200"/>
        <w:textAlignment w:val="auto"/>
        <w:rPr>
          <w:rFonts w:hint="eastAsia" w:ascii="仿宋_GB2312" w:hAnsi="仿宋_GB2312" w:eastAsia="仿宋_GB2312" w:cs="仿宋_GB2312"/>
          <w:b/>
          <w:color w:val="000000"/>
          <w:sz w:val="32"/>
          <w:szCs w:val="32"/>
        </w:rPr>
      </w:pPr>
      <w:r>
        <w:rPr>
          <w:rStyle w:val="18"/>
          <w:rFonts w:hint="eastAsia" w:ascii="仿宋_GB2312" w:hAnsi="仿宋_GB2312" w:eastAsia="仿宋_GB2312" w:cs="仿宋_GB2312"/>
          <w:bCs/>
          <w:sz w:val="32"/>
          <w:szCs w:val="32"/>
          <w:lang w:val="en-US" w:eastAsia="zh-CN"/>
        </w:rPr>
        <w:t>2.</w:t>
      </w:r>
      <w:r>
        <w:rPr>
          <w:rStyle w:val="18"/>
          <w:rFonts w:hint="eastAsia" w:ascii="仿宋_GB2312" w:hAnsi="仿宋_GB2312" w:eastAsia="仿宋_GB2312" w:cs="仿宋_GB2312"/>
          <w:bCs/>
          <w:sz w:val="32"/>
          <w:szCs w:val="32"/>
        </w:rPr>
        <w:t>社会保障和就业</w:t>
      </w:r>
      <w:r>
        <w:rPr>
          <w:rStyle w:val="18"/>
          <w:rFonts w:hint="eastAsia" w:ascii="仿宋_GB2312" w:hAnsi="仿宋_GB2312" w:eastAsia="仿宋_GB2312" w:cs="仿宋_GB2312"/>
          <w:bCs/>
          <w:sz w:val="32"/>
          <w:szCs w:val="32"/>
          <w:lang w:eastAsia="zh-CN"/>
        </w:rPr>
        <w:t>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 xml:space="preserve"> </w:t>
      </w:r>
      <w:r>
        <w:rPr>
          <w:rStyle w:val="18"/>
          <w:rFonts w:hint="eastAsia" w:ascii="仿宋_GB2312" w:hAnsi="仿宋_GB2312" w:eastAsia="仿宋_GB2312" w:cs="仿宋_GB2312"/>
          <w:b w:val="0"/>
          <w:bCs/>
          <w:color w:val="000000"/>
          <w:sz w:val="32"/>
          <w:szCs w:val="32"/>
        </w:rPr>
        <w:t>2080505</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rPr>
        <w:t>机关事业单位基本养老保险缴费支出决算</w:t>
      </w:r>
      <w:r>
        <w:rPr>
          <w:rStyle w:val="18"/>
          <w:rFonts w:hint="eastAsia" w:ascii="仿宋_GB2312" w:hAnsi="仿宋_GB2312" w:eastAsia="仿宋_GB2312" w:cs="仿宋_GB2312"/>
          <w:b w:val="0"/>
          <w:bCs/>
          <w:color w:val="000000"/>
          <w:sz w:val="32"/>
          <w:szCs w:val="32"/>
          <w:lang w:val="en-US" w:eastAsia="zh-CN"/>
        </w:rPr>
        <w:t>120.52</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全部用于职工缴纳养老保险单位部分；2080506</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机关事业单位职业年金缴费支出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60.26</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全部用于职工缴纳职业年金单位部分。</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left="0" w:leftChars="0" w:right="0" w:firstLine="643" w:firstLineChars="200"/>
        <w:textAlignment w:val="auto"/>
        <w:rPr>
          <w:rStyle w:val="18"/>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卫生健康</w:t>
      </w:r>
      <w:r>
        <w:rPr>
          <w:rFonts w:hint="eastAsia" w:ascii="仿宋_GB2312" w:hAnsi="仿宋_GB2312" w:eastAsia="仿宋_GB2312" w:cs="仿宋_GB2312"/>
          <w:b/>
          <w:bCs/>
          <w:sz w:val="32"/>
          <w:szCs w:val="32"/>
          <w:lang w:eastAsia="zh-CN"/>
        </w:rPr>
        <w:t>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color w:val="000000"/>
          <w:sz w:val="32"/>
          <w:szCs w:val="32"/>
          <w:lang w:eastAsia="zh-CN"/>
        </w:rPr>
        <w:t>2101101</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行政单位医疗支出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61.3</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，全部用于行政在职职工缴纳医疗保险单位部分；2101102</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事业单位医疗支出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1.68</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，全部用于事业在职职工缴纳医疗保险单位部分；2101103</w:t>
      </w:r>
      <w:r>
        <w:rPr>
          <w:rStyle w:val="18"/>
          <w:rFonts w:hint="eastAsia" w:ascii="仿宋_GB2312" w:hAnsi="仿宋_GB2312" w:eastAsia="仿宋_GB2312" w:cs="仿宋_GB2312"/>
          <w:b w:val="0"/>
          <w:bCs/>
          <w:color w:val="000000"/>
          <w:sz w:val="32"/>
          <w:szCs w:val="32"/>
          <w:lang w:eastAsia="zh-CN"/>
        </w:rPr>
        <w:tab/>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公务员医疗补助支出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13.23</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，全部用于行政在职职工公务员补充医保；2101199</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其他行政事业单位医疗支出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0.33</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，全部用于缴纳事业在职职工补充医保。</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left="0" w:leftChars="0" w:right="0" w:firstLine="643" w:firstLineChars="200"/>
        <w:textAlignment w:val="auto"/>
        <w:rPr>
          <w:rStyle w:val="18"/>
          <w:rFonts w:hint="eastAsia" w:ascii="仿宋_GB2312" w:hAnsi="仿宋_GB2312" w:eastAsia="仿宋_GB2312" w:cs="仿宋_GB2312"/>
          <w:b w:val="0"/>
          <w:bCs/>
          <w:color w:val="000000"/>
          <w:sz w:val="32"/>
          <w:szCs w:val="32"/>
          <w:lang w:eastAsia="zh-CN"/>
        </w:rPr>
      </w:pPr>
      <w:r>
        <w:rPr>
          <w:rStyle w:val="18"/>
          <w:rFonts w:hint="eastAsia" w:ascii="仿宋_GB2312" w:hAnsi="仿宋_GB2312" w:eastAsia="仿宋_GB2312" w:cs="仿宋_GB2312"/>
          <w:b/>
          <w:bCs w:val="0"/>
          <w:color w:val="000000"/>
          <w:sz w:val="32"/>
          <w:szCs w:val="32"/>
          <w:lang w:val="en-US" w:eastAsia="zh-CN"/>
        </w:rPr>
        <w:t>4.住房保障支出：</w:t>
      </w:r>
      <w:r>
        <w:rPr>
          <w:rStyle w:val="18"/>
          <w:rFonts w:hint="eastAsia" w:ascii="仿宋_GB2312" w:hAnsi="仿宋_GB2312" w:eastAsia="仿宋_GB2312" w:cs="仿宋_GB2312"/>
          <w:b w:val="0"/>
          <w:bCs/>
          <w:color w:val="000000"/>
          <w:sz w:val="32"/>
          <w:szCs w:val="32"/>
          <w:lang w:val="en-US" w:eastAsia="zh-CN"/>
        </w:rPr>
        <w:t>2210201-住房公积金</w:t>
      </w:r>
      <w:r>
        <w:rPr>
          <w:rStyle w:val="18"/>
          <w:rFonts w:hint="eastAsia" w:ascii="仿宋_GB2312" w:hAnsi="仿宋_GB2312" w:eastAsia="仿宋_GB2312" w:cs="仿宋_GB2312"/>
          <w:b w:val="0"/>
          <w:bCs/>
          <w:color w:val="000000"/>
          <w:sz w:val="32"/>
          <w:szCs w:val="32"/>
          <w:lang w:eastAsia="zh-CN"/>
        </w:rPr>
        <w:t>支出决算为</w:t>
      </w:r>
      <w:r>
        <w:rPr>
          <w:rStyle w:val="18"/>
          <w:rFonts w:hint="eastAsia" w:ascii="仿宋_GB2312" w:hAnsi="仿宋_GB2312" w:eastAsia="仿宋_GB2312" w:cs="仿宋_GB2312"/>
          <w:b w:val="0"/>
          <w:bCs/>
          <w:color w:val="000000"/>
          <w:sz w:val="32"/>
          <w:szCs w:val="32"/>
          <w:lang w:val="en-US" w:eastAsia="zh-CN"/>
        </w:rPr>
        <w:t>103.01万元</w:t>
      </w:r>
      <w:r>
        <w:rPr>
          <w:rStyle w:val="18"/>
          <w:rFonts w:hint="eastAsia" w:ascii="仿宋_GB2312" w:hAnsi="仿宋_GB2312" w:eastAsia="仿宋_GB2312" w:cs="仿宋_GB2312"/>
          <w:b w:val="0"/>
          <w:bCs/>
          <w:color w:val="000000"/>
          <w:sz w:val="32"/>
          <w:szCs w:val="32"/>
          <w:lang w:eastAsia="zh-CN"/>
        </w:rPr>
        <w:t>，完成预算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lang w:eastAsia="zh-CN"/>
        </w:rPr>
        <w:t>%，全部用于行政事业职工缴纳住房公积金单位部分。</w:t>
      </w:r>
    </w:p>
    <w:p>
      <w:pPr>
        <w:keepNext w:val="0"/>
        <w:keepLines w:val="0"/>
        <w:pageBreakBefore w:val="0"/>
        <w:widowControl w:val="0"/>
        <w:tabs>
          <w:tab w:val="right" w:pos="8306"/>
        </w:tabs>
        <w:kinsoku/>
        <w:wordWrap/>
        <w:overflowPunct/>
        <w:topLinePunct w:val="0"/>
        <w:autoSpaceDE/>
        <w:autoSpaceDN/>
        <w:bidi w:val="0"/>
        <w:adjustRightInd/>
        <w:snapToGrid/>
        <w:spacing w:beforeAutospacing="0" w:afterAutospacing="0" w:line="576" w:lineRule="exact"/>
        <w:ind w:right="0"/>
        <w:textAlignment w:val="auto"/>
        <w:outlineLvl w:val="1"/>
        <w:rPr>
          <w:rStyle w:val="21"/>
          <w:rFonts w:hint="eastAsia" w:ascii="仿宋_GB2312" w:hAnsi="仿宋_GB2312" w:eastAsia="仿宋_GB2312" w:cs="仿宋_GB2312"/>
        </w:rPr>
      </w:pPr>
      <w:r>
        <w:rPr>
          <w:rFonts w:hint="eastAsia" w:ascii="黑体" w:hAnsi="黑体" w:eastAsia="黑体" w:cs="黑体"/>
          <w:sz w:val="32"/>
          <w:szCs w:val="32"/>
        </w:rPr>
        <w:t>六</w:t>
      </w:r>
      <w:r>
        <w:rPr>
          <w:rFonts w:hint="eastAsia" w:ascii="黑体" w:hAnsi="黑体" w:eastAsia="黑体" w:cs="黑体"/>
          <w:b/>
          <w:sz w:val="32"/>
          <w:szCs w:val="32"/>
        </w:rPr>
        <w:t>、一</w:t>
      </w:r>
      <w:r>
        <w:rPr>
          <w:rStyle w:val="21"/>
          <w:rFonts w:hint="eastAsia" w:ascii="黑体" w:hAnsi="黑体" w:eastAsia="黑体" w:cs="黑体"/>
          <w:b w:val="0"/>
        </w:rPr>
        <w:t>般公共预算财政拨款基本支出决算情况说明</w:t>
      </w:r>
      <w:bookmarkEnd w:id="37"/>
      <w:bookmarkEnd w:id="38"/>
      <w:bookmarkEnd w:id="39"/>
      <w:r>
        <w:rPr>
          <w:rStyle w:val="21"/>
          <w:rFonts w:hint="eastAsia" w:ascii="仿宋_GB2312" w:hAnsi="仿宋_GB2312" w:eastAsia="仿宋_GB2312" w:cs="仿宋_GB2312"/>
          <w:b w:val="0"/>
        </w:rPr>
        <w:tab/>
      </w:r>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1471.52</w:t>
      </w:r>
      <w:r>
        <w:rPr>
          <w:rFonts w:hint="eastAsia" w:ascii="仿宋_GB2312" w:hAnsi="仿宋_GB2312" w:eastAsia="仿宋_GB2312" w:cs="仿宋_GB2312"/>
          <w:sz w:val="32"/>
          <w:szCs w:val="32"/>
        </w:rPr>
        <w:t>万元，其中：</w:t>
      </w:r>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1310.69</w:t>
      </w:r>
      <w:r>
        <w:rPr>
          <w:rFonts w:hint="eastAsia" w:ascii="仿宋_GB2312" w:hAnsi="仿宋_GB2312" w:eastAsia="仿宋_GB2312" w:cs="仿宋_GB2312"/>
          <w:sz w:val="32"/>
          <w:szCs w:val="32"/>
        </w:rPr>
        <w:t>万元，主要包括：基本工资</w:t>
      </w:r>
      <w:r>
        <w:rPr>
          <w:rFonts w:hint="eastAsia" w:ascii="仿宋_GB2312" w:hAnsi="仿宋_GB2312" w:eastAsia="仿宋_GB2312" w:cs="仿宋_GB2312"/>
          <w:sz w:val="32"/>
          <w:szCs w:val="32"/>
          <w:lang w:val="en-US" w:eastAsia="zh-CN"/>
        </w:rPr>
        <w:t>222.31</w:t>
      </w:r>
      <w:r>
        <w:rPr>
          <w:rFonts w:hint="eastAsia" w:ascii="仿宋_GB2312" w:hAnsi="仿宋_GB2312" w:eastAsia="仿宋_GB2312" w:cs="仿宋_GB2312"/>
          <w:sz w:val="32"/>
          <w:szCs w:val="32"/>
        </w:rPr>
        <w:t>万元、津贴补贴</w:t>
      </w:r>
      <w:r>
        <w:rPr>
          <w:rFonts w:hint="eastAsia" w:ascii="仿宋_GB2312" w:hAnsi="仿宋_GB2312" w:eastAsia="仿宋_GB2312" w:cs="仿宋_GB2312"/>
          <w:sz w:val="32"/>
          <w:szCs w:val="32"/>
          <w:lang w:val="en-US" w:eastAsia="zh-CN"/>
        </w:rPr>
        <w:t>384.8</w:t>
      </w:r>
      <w:r>
        <w:rPr>
          <w:rFonts w:hint="eastAsia" w:ascii="仿宋_GB2312" w:hAnsi="仿宋_GB2312" w:eastAsia="仿宋_GB2312" w:cs="仿宋_GB2312"/>
          <w:sz w:val="32"/>
          <w:szCs w:val="32"/>
        </w:rPr>
        <w:t>万元、奖金</w:t>
      </w:r>
      <w:r>
        <w:rPr>
          <w:rFonts w:hint="eastAsia" w:ascii="仿宋_GB2312" w:hAnsi="仿宋_GB2312" w:eastAsia="仿宋_GB2312" w:cs="仿宋_GB2312"/>
          <w:sz w:val="32"/>
          <w:szCs w:val="32"/>
          <w:lang w:val="en-US" w:eastAsia="zh-CN"/>
        </w:rPr>
        <w:t>319.38</w:t>
      </w:r>
      <w:r>
        <w:rPr>
          <w:rFonts w:hint="eastAsia" w:ascii="仿宋_GB2312" w:hAnsi="仿宋_GB2312" w:eastAsia="仿宋_GB2312" w:cs="仿宋_GB2312"/>
          <w:sz w:val="32"/>
          <w:szCs w:val="32"/>
        </w:rPr>
        <w:t>万元、绩效工资</w:t>
      </w:r>
      <w:r>
        <w:rPr>
          <w:rFonts w:hint="eastAsia" w:ascii="仿宋_GB2312" w:hAnsi="仿宋_GB2312" w:eastAsia="仿宋_GB2312" w:cs="仿宋_GB2312"/>
          <w:sz w:val="32"/>
          <w:szCs w:val="32"/>
          <w:lang w:val="en-US" w:eastAsia="zh-CN"/>
        </w:rPr>
        <w:t>4.51</w:t>
      </w:r>
      <w:r>
        <w:rPr>
          <w:rFonts w:hint="eastAsia" w:ascii="仿宋_GB2312" w:hAnsi="仿宋_GB2312" w:eastAsia="仿宋_GB2312" w:cs="仿宋_GB2312"/>
          <w:sz w:val="32"/>
          <w:szCs w:val="32"/>
        </w:rPr>
        <w:t>万元、机关事业单位基本养老保险缴费</w:t>
      </w:r>
      <w:r>
        <w:rPr>
          <w:rFonts w:hint="eastAsia" w:ascii="仿宋_GB2312" w:hAnsi="仿宋_GB2312" w:eastAsia="仿宋_GB2312" w:cs="仿宋_GB2312"/>
          <w:sz w:val="32"/>
          <w:szCs w:val="32"/>
          <w:lang w:val="en-US" w:eastAsia="zh-CN"/>
        </w:rPr>
        <w:t>123.76</w:t>
      </w:r>
      <w:r>
        <w:rPr>
          <w:rFonts w:hint="eastAsia" w:ascii="仿宋_GB2312" w:hAnsi="仿宋_GB2312" w:eastAsia="仿宋_GB2312" w:cs="仿宋_GB2312"/>
          <w:sz w:val="32"/>
          <w:szCs w:val="32"/>
        </w:rPr>
        <w:t>万元、职业年金缴费</w:t>
      </w:r>
      <w:r>
        <w:rPr>
          <w:rFonts w:hint="eastAsia" w:ascii="仿宋_GB2312" w:hAnsi="仿宋_GB2312" w:eastAsia="仿宋_GB2312" w:cs="仿宋_GB2312"/>
          <w:sz w:val="32"/>
          <w:szCs w:val="32"/>
          <w:lang w:val="en-US" w:eastAsia="zh-CN"/>
        </w:rPr>
        <w:t>61.88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公务员医疗补助缴费</w:t>
      </w:r>
      <w:r>
        <w:rPr>
          <w:rFonts w:hint="eastAsia" w:ascii="仿宋_GB2312" w:hAnsi="仿宋_GB2312" w:eastAsia="仿宋_GB2312" w:cs="仿宋_GB2312"/>
          <w:sz w:val="32"/>
          <w:szCs w:val="32"/>
        </w:rPr>
        <w:t>14.17</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其他社会保障缴费</w:t>
      </w:r>
      <w:r>
        <w:rPr>
          <w:rFonts w:hint="eastAsia" w:ascii="仿宋_GB2312" w:hAnsi="仿宋_GB2312" w:eastAsia="仿宋_GB2312" w:cs="仿宋_GB2312"/>
          <w:sz w:val="32"/>
          <w:szCs w:val="32"/>
          <w:lang w:val="en-US" w:eastAsia="zh-CN"/>
        </w:rPr>
        <w:t>13.74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住房公积金103.01、职工基本医疗保险缴费62.98万元、</w:t>
      </w:r>
      <w:r>
        <w:rPr>
          <w:rFonts w:hint="eastAsia" w:ascii="仿宋_GB2312" w:hAnsi="仿宋_GB2312" w:eastAsia="仿宋_GB2312" w:cs="仿宋_GB2312"/>
          <w:sz w:val="32"/>
          <w:szCs w:val="32"/>
        </w:rPr>
        <w:t>生活补助11</w:t>
      </w:r>
      <w:r>
        <w:rPr>
          <w:rFonts w:hint="eastAsia" w:ascii="仿宋_GB2312" w:hAnsi="仿宋_GB2312" w:eastAsia="仿宋_GB2312" w:cs="仿宋_GB2312"/>
          <w:sz w:val="32"/>
          <w:szCs w:val="32"/>
          <w:lang w:val="en-US" w:eastAsia="zh-CN"/>
        </w:rPr>
        <w:t>5.62</w:t>
      </w:r>
      <w:r>
        <w:rPr>
          <w:rFonts w:hint="eastAsia" w:ascii="仿宋_GB2312" w:hAnsi="仿宋_GB2312" w:eastAsia="仿宋_GB2312" w:cs="仿宋_GB2312"/>
          <w:sz w:val="32"/>
          <w:szCs w:val="32"/>
        </w:rPr>
        <w:t>万元、医疗费</w:t>
      </w:r>
      <w:r>
        <w:rPr>
          <w:rFonts w:hint="eastAsia" w:ascii="仿宋_GB2312" w:hAnsi="仿宋_GB2312" w:eastAsia="仿宋_GB2312" w:cs="仿宋_GB2312"/>
          <w:sz w:val="32"/>
          <w:szCs w:val="32"/>
          <w:lang w:val="en-US" w:eastAsia="zh-CN"/>
        </w:rPr>
        <w:t>0.15</w:t>
      </w:r>
      <w:r>
        <w:rPr>
          <w:rFonts w:hint="eastAsia" w:ascii="仿宋_GB2312" w:hAnsi="仿宋_GB2312" w:eastAsia="仿宋_GB2312" w:cs="仿宋_GB2312"/>
          <w:sz w:val="32"/>
          <w:szCs w:val="32"/>
        </w:rPr>
        <w:t>万元、奖励金</w:t>
      </w:r>
      <w:r>
        <w:rPr>
          <w:rFonts w:hint="eastAsia" w:ascii="仿宋_GB2312" w:hAnsi="仿宋_GB2312" w:eastAsia="仿宋_GB2312" w:cs="仿宋_GB2312"/>
          <w:sz w:val="32"/>
          <w:szCs w:val="32"/>
          <w:lang w:val="en-US" w:eastAsia="zh-CN"/>
        </w:rPr>
        <w:t>0.05</w:t>
      </w:r>
      <w:r>
        <w:rPr>
          <w:rFonts w:hint="eastAsia" w:ascii="仿宋_GB2312" w:hAnsi="仿宋_GB2312" w:eastAsia="仿宋_GB2312" w:cs="仿宋_GB2312"/>
          <w:sz w:val="32"/>
          <w:szCs w:val="32"/>
        </w:rPr>
        <w:t>万元等。</w:t>
      </w:r>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512.81</w:t>
      </w:r>
      <w:r>
        <w:rPr>
          <w:rFonts w:hint="eastAsia" w:ascii="仿宋_GB2312" w:hAnsi="仿宋_GB2312" w:eastAsia="仿宋_GB2312" w:cs="仿宋_GB2312"/>
          <w:sz w:val="32"/>
          <w:szCs w:val="32"/>
        </w:rPr>
        <w:t>万元，主要包括：办公费</w:t>
      </w:r>
      <w:r>
        <w:rPr>
          <w:rFonts w:hint="eastAsia" w:ascii="仿宋_GB2312" w:hAnsi="仿宋_GB2312" w:eastAsia="仿宋_GB2312" w:cs="仿宋_GB2312"/>
          <w:sz w:val="32"/>
          <w:szCs w:val="32"/>
          <w:lang w:val="en-US" w:eastAsia="zh-CN"/>
        </w:rPr>
        <w:t>208.75</w:t>
      </w:r>
      <w:r>
        <w:rPr>
          <w:rFonts w:hint="eastAsia" w:ascii="仿宋_GB2312" w:hAnsi="仿宋_GB2312" w:eastAsia="仿宋_GB2312" w:cs="仿宋_GB2312"/>
          <w:sz w:val="32"/>
          <w:szCs w:val="32"/>
        </w:rPr>
        <w:t>万元、印刷费</w:t>
      </w:r>
      <w:r>
        <w:rPr>
          <w:rFonts w:hint="eastAsia" w:ascii="仿宋_GB2312" w:hAnsi="仿宋_GB2312" w:eastAsia="仿宋_GB2312" w:cs="仿宋_GB2312"/>
          <w:sz w:val="32"/>
          <w:szCs w:val="32"/>
          <w:lang w:val="en-US" w:eastAsia="zh-CN"/>
        </w:rPr>
        <w:t>4.09</w:t>
      </w:r>
      <w:r>
        <w:rPr>
          <w:rFonts w:hint="eastAsia" w:ascii="仿宋_GB2312" w:hAnsi="仿宋_GB2312" w:eastAsia="仿宋_GB2312" w:cs="仿宋_GB2312"/>
          <w:sz w:val="32"/>
          <w:szCs w:val="32"/>
        </w:rPr>
        <w:t>万元、电费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万元、邮电费</w:t>
      </w:r>
      <w:r>
        <w:rPr>
          <w:rFonts w:hint="eastAsia" w:ascii="仿宋_GB2312" w:hAnsi="仿宋_GB2312" w:eastAsia="仿宋_GB2312" w:cs="仿宋_GB2312"/>
          <w:sz w:val="32"/>
          <w:szCs w:val="32"/>
          <w:lang w:val="en-US" w:eastAsia="zh-CN"/>
        </w:rPr>
        <w:t>4.31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水费0.66万元、</w:t>
      </w:r>
      <w:r>
        <w:rPr>
          <w:rFonts w:hint="eastAsia" w:ascii="仿宋_GB2312" w:hAnsi="仿宋_GB2312" w:eastAsia="仿宋_GB2312" w:cs="仿宋_GB2312"/>
          <w:sz w:val="32"/>
          <w:szCs w:val="32"/>
        </w:rPr>
        <w:t>差旅费</w:t>
      </w:r>
      <w:r>
        <w:rPr>
          <w:rFonts w:hint="eastAsia" w:ascii="仿宋_GB2312" w:hAnsi="仿宋_GB2312" w:eastAsia="仿宋_GB2312" w:cs="仿宋_GB2312"/>
          <w:sz w:val="32"/>
          <w:szCs w:val="32"/>
          <w:lang w:val="en-US" w:eastAsia="zh-CN"/>
        </w:rPr>
        <w:t>49.43</w:t>
      </w:r>
      <w:r>
        <w:rPr>
          <w:rFonts w:hint="eastAsia" w:ascii="仿宋_GB2312" w:hAnsi="仿宋_GB2312" w:eastAsia="仿宋_GB2312" w:cs="仿宋_GB2312"/>
          <w:sz w:val="32"/>
          <w:szCs w:val="32"/>
        </w:rPr>
        <w:t>万元、维修（护）费</w:t>
      </w:r>
      <w:r>
        <w:rPr>
          <w:rFonts w:hint="eastAsia" w:ascii="仿宋_GB2312" w:hAnsi="仿宋_GB2312" w:eastAsia="仿宋_GB2312" w:cs="仿宋_GB2312"/>
          <w:sz w:val="32"/>
          <w:szCs w:val="32"/>
          <w:lang w:val="en-US" w:eastAsia="zh-CN"/>
        </w:rPr>
        <w:t>205.14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培训费</w:t>
      </w:r>
      <w:r>
        <w:rPr>
          <w:rFonts w:hint="eastAsia" w:ascii="仿宋_GB2312" w:hAnsi="仿宋_GB2312" w:eastAsia="仿宋_GB2312" w:cs="仿宋_GB2312"/>
          <w:sz w:val="32"/>
          <w:szCs w:val="32"/>
          <w:lang w:val="en-US" w:eastAsia="zh-CN"/>
        </w:rPr>
        <w:t>0.27万元、公务接待费0.28万元、</w:t>
      </w:r>
      <w:r>
        <w:rPr>
          <w:rFonts w:hint="eastAsia" w:ascii="仿宋_GB2312" w:hAnsi="仿宋_GB2312" w:eastAsia="仿宋_GB2312" w:cs="仿宋_GB2312"/>
          <w:sz w:val="32"/>
          <w:szCs w:val="32"/>
        </w:rPr>
        <w:t>工会经费</w:t>
      </w:r>
      <w:r>
        <w:rPr>
          <w:rFonts w:hint="eastAsia" w:ascii="仿宋_GB2312" w:hAnsi="仿宋_GB2312" w:eastAsia="仿宋_GB2312" w:cs="仿宋_GB2312"/>
          <w:sz w:val="32"/>
          <w:szCs w:val="32"/>
          <w:lang w:val="en-US" w:eastAsia="zh-CN"/>
        </w:rPr>
        <w:t>9.98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、劳务费0.68万元、</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sz w:val="32"/>
          <w:szCs w:val="32"/>
          <w:lang w:val="en-US" w:eastAsia="zh-CN"/>
        </w:rPr>
        <w:t>25.24</w:t>
      </w:r>
      <w:r>
        <w:rPr>
          <w:rFonts w:hint="eastAsia" w:ascii="仿宋_GB2312" w:hAnsi="仿宋_GB2312" w:eastAsia="仿宋_GB2312" w:cs="仿宋_GB2312"/>
          <w:sz w:val="32"/>
          <w:szCs w:val="32"/>
        </w:rPr>
        <w:t>万元等。</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textAlignment w:val="auto"/>
        <w:outlineLvl w:val="1"/>
        <w:rPr>
          <w:rStyle w:val="21"/>
          <w:rFonts w:hint="eastAsia" w:ascii="黑体" w:hAnsi="黑体" w:eastAsia="黑体" w:cs="黑体"/>
          <w:b w:val="0"/>
        </w:rPr>
      </w:pPr>
      <w:bookmarkStart w:id="40" w:name="_Toc15377215"/>
      <w:bookmarkStart w:id="41" w:name="_Toc15396609"/>
      <w:bookmarkStart w:id="42" w:name="_Toc16831"/>
      <w:r>
        <w:rPr>
          <w:rFonts w:hint="eastAsia" w:ascii="黑体" w:hAnsi="黑体" w:eastAsia="黑体" w:cs="黑体"/>
          <w:sz w:val="32"/>
          <w:szCs w:val="32"/>
        </w:rPr>
        <w:t>七、</w:t>
      </w:r>
      <w:r>
        <w:rPr>
          <w:rStyle w:val="21"/>
          <w:rFonts w:hint="eastAsia" w:ascii="黑体" w:hAnsi="黑体" w:eastAsia="黑体" w:cs="黑体"/>
          <w:b w:val="0"/>
        </w:rPr>
        <w:t>财政拨款</w:t>
      </w:r>
      <w:r>
        <w:rPr>
          <w:rStyle w:val="21"/>
          <w:rFonts w:hint="eastAsia" w:ascii="黑体" w:hAnsi="黑体" w:eastAsia="黑体" w:cs="黑体"/>
        </w:rPr>
        <w:t>“</w:t>
      </w:r>
      <w:r>
        <w:rPr>
          <w:rStyle w:val="21"/>
          <w:rFonts w:hint="eastAsia" w:ascii="黑体" w:hAnsi="黑体" w:eastAsia="黑体" w:cs="黑体"/>
          <w:b w:val="0"/>
        </w:rPr>
        <w:t>三公”经费支出决算情况说明</w:t>
      </w:r>
      <w:bookmarkEnd w:id="40"/>
      <w:bookmarkEnd w:id="41"/>
      <w:bookmarkEnd w:id="42"/>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firstLine="643" w:firstLineChars="200"/>
        <w:textAlignment w:val="auto"/>
        <w:outlineLvl w:val="2"/>
        <w:rPr>
          <w:rFonts w:hint="eastAsia" w:ascii="楷体_GB2312" w:hAnsi="楷体_GB2312" w:eastAsia="楷体_GB2312" w:cs="楷体_GB2312"/>
          <w:b/>
          <w:sz w:val="32"/>
          <w:szCs w:val="32"/>
        </w:rPr>
      </w:pPr>
      <w:bookmarkStart w:id="43" w:name="_Toc15377216"/>
      <w:r>
        <w:rPr>
          <w:rFonts w:hint="eastAsia" w:ascii="楷体_GB2312" w:hAnsi="楷体_GB2312" w:eastAsia="楷体_GB2312" w:cs="楷体_GB2312"/>
          <w:b/>
          <w:sz w:val="32"/>
          <w:szCs w:val="32"/>
        </w:rPr>
        <w:t>（一）“三公”经费财政拨款支出决算总体情况说明</w:t>
      </w:r>
      <w:bookmarkEnd w:id="43"/>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rPr>
        <w:t>年“三公”经费财政拨款支出决算为</w:t>
      </w:r>
      <w:r>
        <w:rPr>
          <w:rFonts w:hint="eastAsia" w:ascii="仿宋_GB2312" w:hAnsi="仿宋_GB2312" w:eastAsia="仿宋_GB2312" w:cs="仿宋_GB2312"/>
          <w:kern w:val="2"/>
          <w:sz w:val="32"/>
          <w:szCs w:val="32"/>
          <w:lang w:val="en-US" w:eastAsia="zh-CN"/>
        </w:rPr>
        <w:t>34.11</w:t>
      </w:r>
      <w:r>
        <w:rPr>
          <w:rFonts w:hint="eastAsia" w:ascii="仿宋_GB2312" w:hAnsi="仿宋_GB2312" w:eastAsia="仿宋_GB2312" w:cs="仿宋_GB2312"/>
          <w:kern w:val="2"/>
          <w:sz w:val="32"/>
          <w:szCs w:val="32"/>
        </w:rPr>
        <w:t>万元，完成预算100.00%，</w:t>
      </w:r>
      <w:r>
        <w:rPr>
          <w:rFonts w:hint="eastAsia" w:ascii="仿宋_GB2312" w:hAnsi="仿宋_GB2312" w:eastAsia="仿宋_GB2312" w:cs="仿宋_GB2312"/>
          <w:sz w:val="32"/>
          <w:szCs w:val="32"/>
        </w:rPr>
        <w:t>较上年</w:t>
      </w:r>
      <w:r>
        <w:rPr>
          <w:rFonts w:hint="eastAsia" w:ascii="仿宋_GB2312" w:hAnsi="仿宋_GB2312" w:eastAsia="仿宋_GB2312" w:cs="仿宋_GB2312"/>
          <w:sz w:val="32"/>
          <w:szCs w:val="32"/>
          <w:lang w:val="en-US" w:eastAsia="zh-CN"/>
        </w:rPr>
        <w:t>增加10.52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增加44.6</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color w:val="000000"/>
          <w:sz w:val="32"/>
          <w:szCs w:val="32"/>
          <w:shd w:val="clear" w:color="auto" w:fill="FFFFFF"/>
        </w:rPr>
        <w:t>办案业务</w:t>
      </w:r>
      <w:r>
        <w:rPr>
          <w:rFonts w:hint="eastAsia" w:ascii="仿宋_GB2312" w:hAnsi="仿宋_GB2312" w:eastAsia="仿宋_GB2312" w:cs="仿宋_GB2312"/>
          <w:color w:val="000000"/>
          <w:sz w:val="32"/>
          <w:szCs w:val="32"/>
          <w:shd w:val="clear" w:color="auto" w:fill="FFFFFF"/>
          <w:lang w:eastAsia="zh-CN"/>
        </w:rPr>
        <w:t>量</w:t>
      </w:r>
      <w:r>
        <w:rPr>
          <w:rFonts w:hint="eastAsia" w:ascii="仿宋_GB2312" w:hAnsi="仿宋_GB2312" w:eastAsia="仿宋_GB2312" w:cs="仿宋_GB2312"/>
          <w:color w:val="000000"/>
          <w:sz w:val="32"/>
          <w:szCs w:val="32"/>
          <w:shd w:val="clear" w:color="auto" w:fill="FFFFFF"/>
        </w:rPr>
        <w:t>增加，办案经费增加，相关执纪经费增加</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firstLine="643" w:firstLineChars="200"/>
        <w:textAlignment w:val="auto"/>
        <w:outlineLvl w:val="2"/>
        <w:rPr>
          <w:rFonts w:hint="eastAsia" w:ascii="楷体_GB2312" w:hAnsi="楷体_GB2312" w:eastAsia="楷体_GB2312" w:cs="楷体_GB2312"/>
          <w:b/>
          <w:sz w:val="32"/>
          <w:szCs w:val="32"/>
        </w:rPr>
      </w:pPr>
      <w:bookmarkStart w:id="44" w:name="_Toc15377217"/>
      <w:r>
        <w:rPr>
          <w:rFonts w:hint="eastAsia" w:ascii="楷体_GB2312" w:hAnsi="楷体_GB2312" w:eastAsia="楷体_GB2312" w:cs="楷体_GB2312"/>
          <w:b/>
          <w:sz w:val="32"/>
          <w:szCs w:val="32"/>
        </w:rPr>
        <w:t>（二）“三公”经费财政拨款支出决算具体情况说明</w:t>
      </w:r>
      <w:bookmarkEnd w:id="44"/>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left="0" w:leftChars="0" w:right="0"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rPr>
        <w:t>年“三公”经费财政拨款支出决算中，因公出国（境）费支出决算0.00万元，占0.00%；公务用车购置及运行维护费支出决算</w:t>
      </w:r>
      <w:r>
        <w:rPr>
          <w:rFonts w:hint="eastAsia" w:ascii="仿宋_GB2312" w:hAnsi="仿宋_GB2312" w:eastAsia="仿宋_GB2312" w:cs="仿宋_GB2312"/>
          <w:kern w:val="2"/>
          <w:sz w:val="32"/>
          <w:szCs w:val="32"/>
          <w:lang w:val="en-US" w:eastAsia="zh-CN"/>
        </w:rPr>
        <w:t>33.83</w:t>
      </w:r>
      <w:r>
        <w:rPr>
          <w:rFonts w:hint="eastAsia" w:ascii="仿宋_GB2312" w:hAnsi="仿宋_GB2312" w:eastAsia="仿宋_GB2312" w:cs="仿宋_GB2312"/>
          <w:kern w:val="2"/>
          <w:sz w:val="32"/>
          <w:szCs w:val="32"/>
        </w:rPr>
        <w:t>万元，占</w:t>
      </w:r>
      <w:r>
        <w:rPr>
          <w:rFonts w:hint="eastAsia" w:ascii="仿宋_GB2312" w:hAnsi="仿宋_GB2312" w:eastAsia="仿宋_GB2312" w:cs="仿宋_GB2312"/>
          <w:kern w:val="2"/>
          <w:sz w:val="32"/>
          <w:szCs w:val="32"/>
          <w:lang w:val="en-US" w:eastAsia="zh-CN"/>
        </w:rPr>
        <w:t>99.18</w:t>
      </w:r>
      <w:r>
        <w:rPr>
          <w:rFonts w:hint="eastAsia" w:ascii="仿宋_GB2312" w:hAnsi="仿宋_GB2312" w:eastAsia="仿宋_GB2312" w:cs="仿宋_GB2312"/>
          <w:kern w:val="2"/>
          <w:sz w:val="32"/>
          <w:szCs w:val="32"/>
        </w:rPr>
        <w:t>%；公务接待费支出决算</w:t>
      </w:r>
      <w:r>
        <w:rPr>
          <w:rFonts w:hint="eastAsia" w:ascii="仿宋_GB2312" w:hAnsi="仿宋_GB2312" w:eastAsia="仿宋_GB2312" w:cs="仿宋_GB2312"/>
          <w:kern w:val="2"/>
          <w:sz w:val="32"/>
          <w:szCs w:val="32"/>
          <w:lang w:val="en-US" w:eastAsia="zh-CN"/>
        </w:rPr>
        <w:t>0.28</w:t>
      </w:r>
      <w:r>
        <w:rPr>
          <w:rFonts w:hint="eastAsia" w:ascii="仿宋_GB2312" w:hAnsi="仿宋_GB2312" w:eastAsia="仿宋_GB2312" w:cs="仿宋_GB2312"/>
          <w:kern w:val="2"/>
          <w:sz w:val="32"/>
          <w:szCs w:val="32"/>
        </w:rPr>
        <w:t>万元，占</w:t>
      </w:r>
      <w:r>
        <w:rPr>
          <w:rFonts w:hint="eastAsia" w:ascii="仿宋_GB2312" w:hAnsi="仿宋_GB2312" w:eastAsia="仿宋_GB2312" w:cs="仿宋_GB2312"/>
          <w:kern w:val="2"/>
          <w:sz w:val="32"/>
          <w:szCs w:val="32"/>
          <w:lang w:val="en-US" w:eastAsia="zh-CN"/>
        </w:rPr>
        <w:t>0.82</w:t>
      </w:r>
      <w:r>
        <w:rPr>
          <w:rFonts w:hint="eastAsia" w:ascii="仿宋_GB2312" w:hAnsi="仿宋_GB2312" w:eastAsia="仿宋_GB2312" w:cs="仿宋_GB2312"/>
          <w:kern w:val="2"/>
          <w:sz w:val="32"/>
          <w:szCs w:val="32"/>
        </w:rPr>
        <w:t>%。具体情况如下：</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right="0" w:firstLine="64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eastAsia="zh-CN"/>
        </w:rPr>
        <w:drawing>
          <wp:anchor distT="0" distB="0" distL="114300" distR="114300" simplePos="0" relativeHeight="251665408" behindDoc="0" locked="0" layoutInCell="1" allowOverlap="1">
            <wp:simplePos x="0" y="0"/>
            <wp:positionH relativeFrom="column">
              <wp:posOffset>140970</wp:posOffset>
            </wp:positionH>
            <wp:positionV relativeFrom="paragraph">
              <wp:posOffset>462280</wp:posOffset>
            </wp:positionV>
            <wp:extent cx="5080000" cy="1806575"/>
            <wp:effectExtent l="4445" t="4445" r="8255" b="5080"/>
            <wp:wrapSquare wrapText="bothSides"/>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_GB2312" w:hAnsi="仿宋_GB2312" w:eastAsia="仿宋_GB2312" w:cs="仿宋_GB2312"/>
          <w:sz w:val="32"/>
          <w:szCs w:val="32"/>
        </w:rPr>
        <w:t>（图7：“三公”经费财政拨款支出结构）（饼状图）</w:t>
      </w:r>
    </w:p>
    <w:p>
      <w:pPr>
        <w:keepNext w:val="0"/>
        <w:keepLines w:val="0"/>
        <w:pageBreakBefore w:val="0"/>
        <w:kinsoku/>
        <w:wordWrap/>
        <w:overflowPunct/>
        <w:topLinePunct w:val="0"/>
        <w:bidi w:val="0"/>
        <w:spacing w:beforeAutospacing="0" w:afterAutospacing="0" w:line="576" w:lineRule="exact"/>
        <w:ind w:left="0" w:leftChars="0" w:right="0" w:firstLine="64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1.因公出国（境）经费支出</w:t>
      </w:r>
      <w:r>
        <w:rPr>
          <w:rFonts w:hint="eastAsia" w:ascii="仿宋_GB2312" w:hAnsi="仿宋_GB2312" w:eastAsia="仿宋_GB2312" w:cs="仿宋_GB2312"/>
          <w:sz w:val="32"/>
          <w:szCs w:val="32"/>
        </w:rPr>
        <w:t>0万元，</w:t>
      </w:r>
      <w:r>
        <w:rPr>
          <w:rStyle w:val="18"/>
          <w:rFonts w:hint="eastAsia" w:ascii="仿宋_GB2312" w:hAnsi="仿宋_GB2312" w:eastAsia="仿宋_GB2312" w:cs="仿宋_GB2312"/>
          <w:b w:val="0"/>
          <w:bCs/>
          <w:sz w:val="32"/>
          <w:szCs w:val="32"/>
        </w:rPr>
        <w:t>完成预算100%。</w:t>
      </w:r>
      <w:r>
        <w:rPr>
          <w:rFonts w:hint="eastAsia" w:ascii="仿宋_GB2312" w:hAnsi="仿宋_GB2312" w:eastAsia="仿宋_GB2312" w:cs="仿宋_GB2312"/>
          <w:sz w:val="32"/>
          <w:szCs w:val="32"/>
        </w:rPr>
        <w:t>全年安排因公出国（境）团组0次，出国（境）0人。因公出国（境）支出决算与上年持平。</w:t>
      </w:r>
    </w:p>
    <w:p>
      <w:pPr>
        <w:pStyle w:val="15"/>
        <w:keepNext w:val="0"/>
        <w:keepLines w:val="0"/>
        <w:pageBreakBefore w:val="0"/>
        <w:shd w:val="clear" w:color="auto" w:fill="FFFFFF"/>
        <w:kinsoku/>
        <w:wordWrap/>
        <w:overflowPunct/>
        <w:topLinePunct w:val="0"/>
        <w:bidi w:val="0"/>
        <w:spacing w:before="0" w:beforeAutospacing="0" w:after="0" w:afterAutospacing="0" w:line="576" w:lineRule="exact"/>
        <w:ind w:left="0" w:leftChars="0" w:right="0"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2.公务用车购置及运行维护费支出</w:t>
      </w:r>
      <w:r>
        <w:rPr>
          <w:rStyle w:val="18"/>
          <w:rFonts w:hint="eastAsia" w:ascii="仿宋_GB2312" w:hAnsi="仿宋_GB2312" w:eastAsia="仿宋_GB2312" w:cs="仿宋_GB2312"/>
          <w:b w:val="0"/>
          <w:bCs/>
          <w:sz w:val="32"/>
          <w:szCs w:val="32"/>
          <w:lang w:val="en-US" w:eastAsia="zh-CN"/>
        </w:rPr>
        <w:t>21.93</w:t>
      </w:r>
      <w:r>
        <w:rPr>
          <w:rFonts w:hint="eastAsia" w:ascii="仿宋_GB2312" w:hAnsi="仿宋_GB2312" w:eastAsia="仿宋_GB2312" w:cs="仿宋_GB2312"/>
          <w:sz w:val="32"/>
          <w:szCs w:val="32"/>
        </w:rPr>
        <w:t>万元,</w:t>
      </w:r>
      <w:r>
        <w:rPr>
          <w:rStyle w:val="18"/>
          <w:rFonts w:hint="eastAsia" w:ascii="仿宋_GB2312" w:hAnsi="仿宋_GB2312" w:eastAsia="仿宋_GB2312" w:cs="仿宋_GB2312"/>
          <w:b w:val="0"/>
          <w:bCs/>
          <w:sz w:val="32"/>
          <w:szCs w:val="32"/>
        </w:rPr>
        <w:t>完成预算100%。</w:t>
      </w:r>
      <w:r>
        <w:rPr>
          <w:rFonts w:hint="eastAsia" w:ascii="仿宋_GB2312" w:hAnsi="仿宋_GB2312" w:eastAsia="仿宋_GB2312" w:cs="仿宋_GB2312"/>
          <w:sz w:val="32"/>
          <w:szCs w:val="32"/>
        </w:rPr>
        <w:t>公务用车购置及运行维护费支出决算比202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增加11.9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增加54.26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主要原因是：2024年</w:t>
      </w:r>
      <w:r>
        <w:rPr>
          <w:rFonts w:hint="eastAsia" w:ascii="仿宋_GB2312" w:hAnsi="仿宋_GB2312" w:eastAsia="仿宋_GB2312" w:cs="仿宋_GB2312"/>
          <w:color w:val="000000"/>
          <w:sz w:val="32"/>
          <w:szCs w:val="32"/>
          <w:shd w:val="clear" w:color="auto" w:fill="FFFFFF"/>
        </w:rPr>
        <w:t>办案业务</w:t>
      </w:r>
      <w:r>
        <w:rPr>
          <w:rFonts w:hint="eastAsia" w:ascii="仿宋_GB2312" w:hAnsi="仿宋_GB2312" w:eastAsia="仿宋_GB2312" w:cs="仿宋_GB2312"/>
          <w:color w:val="000000"/>
          <w:sz w:val="32"/>
          <w:szCs w:val="32"/>
          <w:shd w:val="clear" w:color="auto" w:fill="FFFFFF"/>
          <w:lang w:eastAsia="zh-CN"/>
        </w:rPr>
        <w:t>量</w:t>
      </w:r>
      <w:r>
        <w:rPr>
          <w:rFonts w:hint="eastAsia" w:ascii="仿宋_GB2312" w:hAnsi="仿宋_GB2312" w:eastAsia="仿宋_GB2312" w:cs="仿宋_GB2312"/>
          <w:color w:val="000000"/>
          <w:sz w:val="32"/>
          <w:szCs w:val="32"/>
          <w:shd w:val="clear" w:color="auto" w:fill="FFFFFF"/>
        </w:rPr>
        <w:t>增加，办案经费增加，相关执纪经费增加</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beforeAutospacing="0" w:afterAutospacing="0" w:line="576" w:lineRule="exact"/>
        <w:ind w:left="0" w:leftChars="0" w:right="0"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其中：</w:t>
      </w:r>
      <w:r>
        <w:rPr>
          <w:rFonts w:hint="eastAsia" w:ascii="仿宋_GB2312" w:hAnsi="仿宋_GB2312" w:eastAsia="仿宋_GB2312" w:cs="仿宋_GB2312"/>
          <w:b/>
          <w:sz w:val="32"/>
          <w:szCs w:val="32"/>
        </w:rPr>
        <w:t>公务用车购置支出</w:t>
      </w:r>
      <w:r>
        <w:rPr>
          <w:rFonts w:hint="eastAsia" w:ascii="仿宋_GB2312" w:hAnsi="仿宋_GB2312" w:eastAsia="仿宋_GB2312" w:cs="仿宋_GB2312"/>
          <w:sz w:val="32"/>
          <w:szCs w:val="32"/>
        </w:rPr>
        <w:t>0万元。全年未更新购置公务用车。</w:t>
      </w:r>
    </w:p>
    <w:p>
      <w:pPr>
        <w:keepNext w:val="0"/>
        <w:keepLines w:val="0"/>
        <w:pageBreakBefore w:val="0"/>
        <w:kinsoku/>
        <w:wordWrap/>
        <w:overflowPunct/>
        <w:topLinePunct w:val="0"/>
        <w:bidi w:val="0"/>
        <w:spacing w:beforeAutospacing="0" w:afterAutospacing="0" w:line="576" w:lineRule="exact"/>
        <w:ind w:left="0" w:leftChars="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公务用车运行维护费支出</w:t>
      </w:r>
      <w:r>
        <w:rPr>
          <w:rFonts w:hint="eastAsia" w:ascii="仿宋_GB2312" w:hAnsi="仿宋_GB2312" w:eastAsia="仿宋_GB2312" w:cs="仿宋_GB2312"/>
          <w:sz w:val="32"/>
          <w:szCs w:val="32"/>
          <w:lang w:val="en-US" w:eastAsia="zh-CN"/>
        </w:rPr>
        <w:t>33.83</w:t>
      </w:r>
      <w:r>
        <w:rPr>
          <w:rFonts w:hint="eastAsia" w:ascii="仿宋_GB2312" w:hAnsi="仿宋_GB2312" w:eastAsia="仿宋_GB2312" w:cs="仿宋_GB2312"/>
          <w:sz w:val="32"/>
          <w:szCs w:val="32"/>
        </w:rPr>
        <w:t>万元。主要用于纪委</w:t>
      </w:r>
      <w:r>
        <w:rPr>
          <w:rFonts w:hint="eastAsia" w:ascii="仿宋_GB2312" w:hAnsi="仿宋_GB2312" w:eastAsia="仿宋_GB2312" w:cs="仿宋_GB2312"/>
          <w:sz w:val="32"/>
          <w:szCs w:val="32"/>
          <w:lang w:val="en-US" w:eastAsia="zh-CN"/>
        </w:rPr>
        <w:t>开展</w:t>
      </w:r>
      <w:r>
        <w:rPr>
          <w:rFonts w:hint="eastAsia" w:ascii="仿宋_GB2312" w:hAnsi="仿宋_GB2312" w:eastAsia="仿宋_GB2312" w:cs="仿宋_GB2312"/>
          <w:sz w:val="32"/>
          <w:szCs w:val="32"/>
        </w:rPr>
        <w:t>日常工作和案件办理工作中的出差、下乡等所需的公务用车燃料费、维修费、过路过桥费、保险费等支出。</w:t>
      </w:r>
    </w:p>
    <w:p>
      <w:pPr>
        <w:keepNext w:val="0"/>
        <w:keepLines w:val="0"/>
        <w:pageBreakBefore w:val="0"/>
        <w:kinsoku/>
        <w:wordWrap/>
        <w:overflowPunct/>
        <w:topLinePunct w:val="0"/>
        <w:bidi w:val="0"/>
        <w:spacing w:beforeAutospacing="0" w:afterAutospacing="0" w:line="576" w:lineRule="exact"/>
        <w:ind w:left="0" w:leftChars="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3.公务接待费支出</w:t>
      </w:r>
      <w:r>
        <w:rPr>
          <w:rFonts w:hint="eastAsia" w:ascii="仿宋_GB2312" w:hAnsi="仿宋_GB2312" w:eastAsia="仿宋_GB2312" w:cs="仿宋_GB2312"/>
          <w:sz w:val="32"/>
          <w:szCs w:val="32"/>
          <w:lang w:val="en-US" w:eastAsia="zh-CN"/>
        </w:rPr>
        <w:t>0.28</w:t>
      </w:r>
      <w:r>
        <w:rPr>
          <w:rFonts w:hint="eastAsia" w:ascii="仿宋_GB2312" w:hAnsi="仿宋_GB2312" w:eastAsia="仿宋_GB2312" w:cs="仿宋_GB2312"/>
          <w:sz w:val="32"/>
          <w:szCs w:val="32"/>
        </w:rPr>
        <w:t>万元，</w:t>
      </w:r>
      <w:r>
        <w:rPr>
          <w:rFonts w:hint="eastAsia" w:ascii="仿宋_GB2312" w:hAnsi="仿宋_GB2312" w:eastAsia="仿宋_GB2312" w:cs="仿宋_GB2312"/>
          <w:b/>
          <w:sz w:val="32"/>
          <w:szCs w:val="32"/>
        </w:rPr>
        <w:t>完成预算100%。</w:t>
      </w:r>
      <w:r>
        <w:rPr>
          <w:rFonts w:hint="eastAsia" w:ascii="仿宋_GB2312" w:hAnsi="仿宋_GB2312" w:eastAsia="仿宋_GB2312" w:cs="仿宋_GB2312"/>
          <w:sz w:val="32"/>
          <w:szCs w:val="32"/>
        </w:rPr>
        <w:t>公务接待费支出决算比202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1.29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82.17</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2024年，本委严格执行财经纪律，厉行节约、控制各项支出。</w:t>
      </w:r>
    </w:p>
    <w:p>
      <w:pPr>
        <w:keepNext w:val="0"/>
        <w:keepLines w:val="0"/>
        <w:pageBreakBefore w:val="0"/>
        <w:kinsoku/>
        <w:wordWrap/>
        <w:overflowPunct/>
        <w:topLinePunct w:val="0"/>
        <w:bidi w:val="0"/>
        <w:spacing w:beforeAutospacing="0" w:afterAutospacing="0" w:line="576" w:lineRule="exact"/>
        <w:ind w:left="0" w:leftChars="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外事接待支出</w:t>
      </w:r>
      <w:r>
        <w:rPr>
          <w:rFonts w:hint="eastAsia" w:ascii="仿宋_GB2312" w:hAnsi="仿宋_GB2312" w:eastAsia="仿宋_GB2312" w:cs="仿宋_GB2312"/>
          <w:sz w:val="32"/>
          <w:szCs w:val="32"/>
        </w:rPr>
        <w:t>0万元，外事接待0批次，0人次（不包括陪同人员），共计支出0万元。</w:t>
      </w:r>
    </w:p>
    <w:p>
      <w:pPr>
        <w:keepNext w:val="0"/>
        <w:keepLines w:val="0"/>
        <w:pageBreakBefore w:val="0"/>
        <w:kinsoku/>
        <w:wordWrap/>
        <w:overflowPunct/>
        <w:topLinePunct w:val="0"/>
        <w:bidi w:val="0"/>
        <w:spacing w:beforeAutospacing="0" w:afterAutospacing="0" w:line="576" w:lineRule="exact"/>
        <w:ind w:right="0"/>
        <w:textAlignment w:val="auto"/>
        <w:outlineLvl w:val="1"/>
        <w:rPr>
          <w:rStyle w:val="21"/>
          <w:rFonts w:hint="eastAsia" w:ascii="黑体" w:hAnsi="黑体" w:eastAsia="黑体" w:cs="黑体"/>
          <w:b/>
          <w:bCs/>
        </w:rPr>
      </w:pPr>
      <w:bookmarkStart w:id="45" w:name="_Toc6663"/>
      <w:bookmarkStart w:id="46" w:name="_Toc15377218"/>
      <w:bookmarkStart w:id="47" w:name="_Toc15396610"/>
      <w:r>
        <w:rPr>
          <w:rFonts w:hint="eastAsia" w:ascii="黑体" w:hAnsi="黑体" w:eastAsia="黑体" w:cs="黑体"/>
          <w:b/>
          <w:bCs/>
          <w:sz w:val="32"/>
          <w:szCs w:val="32"/>
        </w:rPr>
        <w:t>八、</w:t>
      </w:r>
      <w:r>
        <w:rPr>
          <w:rStyle w:val="21"/>
          <w:rFonts w:hint="eastAsia" w:ascii="黑体" w:hAnsi="黑体" w:eastAsia="黑体" w:cs="黑体"/>
          <w:b/>
          <w:bCs/>
        </w:rPr>
        <w:t>政府性基金预算支出决算情况说明</w:t>
      </w:r>
      <w:bookmarkEnd w:id="45"/>
      <w:bookmarkEnd w:id="46"/>
      <w:bookmarkEnd w:id="47"/>
    </w:p>
    <w:p>
      <w:pPr>
        <w:keepNext w:val="0"/>
        <w:keepLines w:val="0"/>
        <w:pageBreakBefore w:val="0"/>
        <w:kinsoku/>
        <w:wordWrap/>
        <w:overflowPunct/>
        <w:topLinePunct w:val="0"/>
        <w:bidi w:val="0"/>
        <w:spacing w:beforeAutospacing="0" w:afterAutospacing="0" w:line="576" w:lineRule="exact"/>
        <w:ind w:left="0" w:leftChars="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年政府性基金预算财政拨款支出0万元。</w:t>
      </w:r>
    </w:p>
    <w:p>
      <w:pPr>
        <w:keepNext w:val="0"/>
        <w:keepLines w:val="0"/>
        <w:pageBreakBefore w:val="0"/>
        <w:numPr>
          <w:ilvl w:val="0"/>
          <w:numId w:val="0"/>
        </w:numPr>
        <w:kinsoku/>
        <w:wordWrap/>
        <w:overflowPunct/>
        <w:topLinePunct w:val="0"/>
        <w:bidi w:val="0"/>
        <w:spacing w:beforeAutospacing="0" w:afterAutospacing="0" w:line="576" w:lineRule="exact"/>
        <w:ind w:right="0" w:rightChars="0"/>
        <w:textAlignment w:val="auto"/>
        <w:outlineLvl w:val="1"/>
        <w:rPr>
          <w:rStyle w:val="21"/>
          <w:rFonts w:hint="eastAsia" w:ascii="黑体" w:hAnsi="黑体" w:eastAsia="黑体" w:cs="黑体"/>
          <w:b/>
          <w:bCs w:val="0"/>
        </w:rPr>
      </w:pPr>
      <w:bookmarkStart w:id="48" w:name="_Toc15396611"/>
      <w:bookmarkStart w:id="49" w:name="_Toc15377219"/>
      <w:bookmarkStart w:id="50" w:name="_Toc10406"/>
      <w:r>
        <w:rPr>
          <w:rStyle w:val="21"/>
          <w:rFonts w:hint="eastAsia" w:ascii="黑体" w:hAnsi="黑体" w:eastAsia="黑体" w:cs="黑体"/>
          <w:b/>
          <w:bCs w:val="0"/>
          <w:lang w:val="en-US"/>
        </w:rPr>
        <w:t>九、</w:t>
      </w:r>
      <w:r>
        <w:rPr>
          <w:rStyle w:val="21"/>
          <w:rFonts w:hint="eastAsia" w:ascii="黑体" w:hAnsi="黑体" w:eastAsia="黑体" w:cs="黑体"/>
          <w:b/>
          <w:bCs w:val="0"/>
        </w:rPr>
        <w:t>国有资本经营预算支出决算情况说明</w:t>
      </w:r>
      <w:bookmarkEnd w:id="48"/>
      <w:bookmarkEnd w:id="49"/>
      <w:bookmarkEnd w:id="50"/>
    </w:p>
    <w:p>
      <w:pPr>
        <w:keepNext w:val="0"/>
        <w:keepLines w:val="0"/>
        <w:pageBreakBefore w:val="0"/>
        <w:kinsoku/>
        <w:wordWrap/>
        <w:overflowPunct/>
        <w:topLinePunct w:val="0"/>
        <w:bidi w:val="0"/>
        <w:spacing w:beforeAutospacing="0" w:afterAutospacing="0" w:line="576" w:lineRule="exact"/>
        <w:ind w:left="0" w:leftChars="0" w:right="0" w:firstLine="640"/>
        <w:textAlignment w:val="auto"/>
        <w:rPr>
          <w:rFonts w:hint="eastAsia" w:ascii="仿宋_GB2312" w:hAnsi="仿宋_GB2312" w:eastAsia="仿宋_GB2312" w:cs="仿宋_GB2312"/>
          <w:sz w:val="44"/>
          <w:szCs w:val="44"/>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年国有资本经营预算财政拨款支出0万元。</w:t>
      </w:r>
    </w:p>
    <w:p>
      <w:pPr>
        <w:keepNext w:val="0"/>
        <w:keepLines w:val="0"/>
        <w:pageBreakBefore w:val="0"/>
        <w:numPr>
          <w:ilvl w:val="0"/>
          <w:numId w:val="0"/>
        </w:numPr>
        <w:kinsoku/>
        <w:wordWrap/>
        <w:overflowPunct/>
        <w:topLinePunct w:val="0"/>
        <w:bidi w:val="0"/>
        <w:spacing w:beforeAutospacing="0" w:afterAutospacing="0" w:line="576" w:lineRule="exact"/>
        <w:ind w:right="0" w:rightChars="0"/>
        <w:textAlignment w:val="auto"/>
        <w:outlineLvl w:val="1"/>
        <w:rPr>
          <w:rStyle w:val="21"/>
          <w:rFonts w:hint="eastAsia" w:ascii="黑体" w:hAnsi="黑体" w:eastAsia="黑体" w:cs="黑体"/>
          <w:b/>
          <w:bCs w:val="0"/>
        </w:rPr>
      </w:pPr>
      <w:bookmarkStart w:id="51" w:name="_Toc15396612"/>
      <w:bookmarkStart w:id="52" w:name="_Toc15377221"/>
      <w:bookmarkStart w:id="53" w:name="_Toc19090"/>
      <w:r>
        <w:rPr>
          <w:rStyle w:val="21"/>
          <w:rFonts w:hint="eastAsia" w:ascii="黑体" w:hAnsi="黑体" w:eastAsia="黑体" w:cs="黑体"/>
          <w:b/>
          <w:bCs w:val="0"/>
          <w:lang w:val="en-US"/>
        </w:rPr>
        <w:t>十、</w:t>
      </w:r>
      <w:r>
        <w:rPr>
          <w:rStyle w:val="21"/>
          <w:rFonts w:hint="eastAsia" w:ascii="黑体" w:hAnsi="黑体" w:eastAsia="黑体" w:cs="黑体"/>
          <w:b/>
          <w:bCs w:val="0"/>
        </w:rPr>
        <w:t>其他重要事项的情况说明</w:t>
      </w:r>
      <w:bookmarkEnd w:id="51"/>
      <w:bookmarkEnd w:id="52"/>
      <w:bookmarkEnd w:id="53"/>
    </w:p>
    <w:p>
      <w:pPr>
        <w:keepNext w:val="0"/>
        <w:keepLines w:val="0"/>
        <w:pageBreakBefore w:val="0"/>
        <w:kinsoku/>
        <w:wordWrap/>
        <w:overflowPunct/>
        <w:topLinePunct w:val="0"/>
        <w:bidi w:val="0"/>
        <w:spacing w:beforeAutospacing="0" w:afterAutospacing="0" w:line="576" w:lineRule="exact"/>
        <w:ind w:left="0" w:leftChars="0" w:right="0" w:firstLine="643" w:firstLineChars="200"/>
        <w:textAlignment w:val="auto"/>
        <w:outlineLvl w:val="2"/>
        <w:rPr>
          <w:rFonts w:hint="eastAsia" w:ascii="楷体_GB2312" w:hAnsi="楷体_GB2312" w:eastAsia="楷体_GB2312" w:cs="楷体_GB2312"/>
          <w:sz w:val="32"/>
          <w:szCs w:val="32"/>
        </w:rPr>
      </w:pPr>
      <w:bookmarkStart w:id="54" w:name="_Toc15377222"/>
      <w:r>
        <w:rPr>
          <w:rFonts w:hint="eastAsia" w:ascii="楷体_GB2312" w:hAnsi="楷体_GB2312" w:eastAsia="楷体_GB2312" w:cs="楷体_GB2312"/>
          <w:b/>
          <w:sz w:val="32"/>
          <w:szCs w:val="32"/>
        </w:rPr>
        <w:t>（一）机关运行经费支出情况</w:t>
      </w:r>
      <w:bookmarkEnd w:id="54"/>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年，中共阿坝州红原县纪律检查委员会机关运行经费支出</w:t>
      </w:r>
      <w:r>
        <w:rPr>
          <w:rFonts w:hint="eastAsia" w:ascii="仿宋_GB2312" w:hAnsi="仿宋_GB2312" w:eastAsia="仿宋_GB2312" w:cs="仿宋_GB2312"/>
          <w:sz w:val="32"/>
          <w:szCs w:val="32"/>
          <w:lang w:val="en-US" w:eastAsia="zh-CN"/>
        </w:rPr>
        <w:t>512.81</w:t>
      </w:r>
      <w:r>
        <w:rPr>
          <w:rFonts w:hint="eastAsia" w:ascii="仿宋_GB2312" w:hAnsi="仿宋_GB2312" w:eastAsia="仿宋_GB2312" w:cs="仿宋_GB2312"/>
          <w:sz w:val="32"/>
          <w:szCs w:val="32"/>
        </w:rPr>
        <w:t>万元，比202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增加370.65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增加260.73</w:t>
      </w:r>
      <w:r>
        <w:rPr>
          <w:rFonts w:hint="eastAsia" w:ascii="仿宋_GB2312" w:hAnsi="仿宋_GB2312" w:eastAsia="仿宋_GB2312" w:cs="仿宋_GB2312"/>
          <w:sz w:val="32"/>
          <w:szCs w:val="32"/>
        </w:rPr>
        <w:t>%。主要原因是：</w:t>
      </w:r>
      <w:r>
        <w:rPr>
          <w:rFonts w:hint="eastAsia" w:ascii="仿宋_GB2312" w:hAnsi="仿宋_GB2312" w:eastAsia="仿宋_GB2312" w:cs="仿宋_GB2312"/>
          <w:color w:val="000000"/>
          <w:sz w:val="32"/>
          <w:szCs w:val="32"/>
          <w:shd w:val="clear" w:color="auto" w:fill="FFFFFF"/>
        </w:rPr>
        <w:t>一是202</w:t>
      </w:r>
      <w:r>
        <w:rPr>
          <w:rFonts w:hint="eastAsia" w:ascii="仿宋_GB2312" w:hAnsi="仿宋_GB2312" w:eastAsia="仿宋_GB2312" w:cs="仿宋_GB2312"/>
          <w:color w:val="000000"/>
          <w:sz w:val="32"/>
          <w:szCs w:val="32"/>
          <w:shd w:val="clear" w:color="auto" w:fill="FFFFFF"/>
          <w:lang w:val="en-US" w:eastAsia="zh-CN"/>
        </w:rPr>
        <w:t>4</w:t>
      </w:r>
      <w:r>
        <w:rPr>
          <w:rFonts w:hint="eastAsia" w:ascii="仿宋_GB2312" w:hAnsi="仿宋_GB2312" w:eastAsia="仿宋_GB2312" w:cs="仿宋_GB2312"/>
          <w:color w:val="000000"/>
          <w:sz w:val="32"/>
          <w:szCs w:val="32"/>
          <w:shd w:val="clear" w:color="auto" w:fill="FFFFFF"/>
        </w:rPr>
        <w:t>年办案业务增加，办案经费增加，相关执纪经费增加</w:t>
      </w:r>
      <w:r>
        <w:rPr>
          <w:rFonts w:hint="eastAsia" w:ascii="仿宋_GB2312" w:hAnsi="仿宋_GB2312" w:eastAsia="仿宋_GB2312" w:cs="仿宋_GB2312"/>
          <w:color w:val="000000"/>
          <w:sz w:val="32"/>
          <w:szCs w:val="32"/>
          <w:shd w:val="clear" w:color="auto" w:fill="FFFFFF"/>
          <w:lang w:eastAsia="zh-CN"/>
        </w:rPr>
        <w:t>，二是纪委业务用房改扩建项目经费增加</w:t>
      </w:r>
      <w:r>
        <w:rPr>
          <w:rFonts w:hint="eastAsia" w:ascii="仿宋_GB2312" w:hAnsi="仿宋_GB2312" w:eastAsia="仿宋_GB2312" w:cs="仿宋_GB2312"/>
          <w:color w:val="000000"/>
          <w:sz w:val="32"/>
          <w:szCs w:val="32"/>
          <w:shd w:val="clear" w:color="auto" w:fill="FFFFFF"/>
          <w:lang w:val="en-US" w:eastAsia="zh-CN"/>
        </w:rPr>
        <w:t>680.03万元</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val="en-US" w:eastAsia="zh-CN"/>
        </w:rPr>
        <w:t>三</w:t>
      </w:r>
      <w:r>
        <w:rPr>
          <w:rFonts w:hint="eastAsia" w:ascii="仿宋_GB2312" w:hAnsi="仿宋_GB2312" w:eastAsia="仿宋_GB2312" w:cs="仿宋_GB2312"/>
          <w:color w:val="000000"/>
          <w:sz w:val="32"/>
          <w:szCs w:val="32"/>
          <w:shd w:val="clear" w:color="auto" w:fill="FFFFFF"/>
        </w:rPr>
        <w:t>是202</w:t>
      </w:r>
      <w:r>
        <w:rPr>
          <w:rFonts w:hint="eastAsia" w:ascii="仿宋_GB2312" w:hAnsi="仿宋_GB2312" w:eastAsia="仿宋_GB2312" w:cs="仿宋_GB2312"/>
          <w:color w:val="000000"/>
          <w:sz w:val="32"/>
          <w:szCs w:val="32"/>
          <w:shd w:val="clear" w:color="auto" w:fill="FFFFFF"/>
          <w:lang w:val="en-US" w:eastAsia="zh-CN"/>
        </w:rPr>
        <w:t>4</w:t>
      </w:r>
      <w:r>
        <w:rPr>
          <w:rFonts w:hint="eastAsia" w:ascii="仿宋_GB2312" w:hAnsi="仿宋_GB2312" w:eastAsia="仿宋_GB2312" w:cs="仿宋_GB2312"/>
          <w:color w:val="000000"/>
          <w:sz w:val="32"/>
          <w:szCs w:val="32"/>
          <w:shd w:val="clear" w:color="auto" w:fill="FFFFFF"/>
        </w:rPr>
        <w:t>年</w:t>
      </w:r>
      <w:r>
        <w:rPr>
          <w:rFonts w:hint="eastAsia" w:ascii="仿宋_GB2312" w:hAnsi="仿宋_GB2312" w:eastAsia="仿宋_GB2312" w:cs="仿宋_GB2312"/>
          <w:color w:val="000000"/>
          <w:sz w:val="32"/>
          <w:szCs w:val="32"/>
          <w:shd w:val="clear" w:color="auto" w:fill="FFFFFF"/>
          <w:lang w:val="en-US" w:eastAsia="zh-CN"/>
        </w:rPr>
        <w:t>退休5人</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对个人和家庭的补助增加8.59万</w:t>
      </w:r>
      <w:r>
        <w:rPr>
          <w:rFonts w:hint="eastAsia" w:ascii="仿宋_GB2312" w:hAnsi="仿宋_GB2312" w:eastAsia="仿宋_GB2312" w:cs="仿宋_GB2312"/>
          <w:color w:val="000000"/>
          <w:sz w:val="32"/>
          <w:szCs w:val="32"/>
          <w:shd w:val="clear" w:color="auto" w:fill="FFFFFF"/>
        </w:rPr>
        <w:t>元；</w:t>
      </w:r>
      <w:r>
        <w:rPr>
          <w:rFonts w:hint="eastAsia" w:ascii="仿宋_GB2312" w:hAnsi="仿宋_GB2312" w:eastAsia="仿宋_GB2312" w:cs="仿宋_GB2312"/>
          <w:color w:val="000000"/>
          <w:sz w:val="32"/>
          <w:szCs w:val="32"/>
          <w:shd w:val="clear" w:color="auto" w:fill="FFFFFF"/>
          <w:lang w:val="en-US" w:eastAsia="zh-CN"/>
        </w:rPr>
        <w:t>四是</w:t>
      </w:r>
      <w:r>
        <w:rPr>
          <w:rFonts w:hint="eastAsia" w:ascii="仿宋_GB2312" w:hAnsi="仿宋_GB2312" w:eastAsia="仿宋_GB2312" w:cs="仿宋_GB2312"/>
          <w:color w:val="000000"/>
          <w:sz w:val="32"/>
          <w:szCs w:val="32"/>
          <w:shd w:val="clear" w:color="auto" w:fill="FFFFFF"/>
        </w:rPr>
        <w:t>每年的工资、</w:t>
      </w:r>
      <w:r>
        <w:rPr>
          <w:rFonts w:hint="eastAsia" w:ascii="仿宋_GB2312" w:hAnsi="仿宋_GB2312" w:eastAsia="仿宋_GB2312" w:cs="仿宋_GB2312"/>
          <w:color w:val="000000"/>
          <w:sz w:val="32"/>
          <w:szCs w:val="32"/>
          <w:shd w:val="clear" w:color="auto" w:fill="FFFFFF"/>
          <w:lang w:val="en-US" w:eastAsia="zh-CN"/>
        </w:rPr>
        <w:t>各类</w:t>
      </w:r>
      <w:r>
        <w:rPr>
          <w:rFonts w:hint="eastAsia" w:ascii="仿宋_GB2312" w:hAnsi="仿宋_GB2312" w:eastAsia="仿宋_GB2312" w:cs="仿宋_GB2312"/>
          <w:color w:val="000000"/>
          <w:sz w:val="32"/>
          <w:szCs w:val="32"/>
          <w:shd w:val="clear" w:color="auto" w:fill="FFFFFF"/>
        </w:rPr>
        <w:t>保险</w:t>
      </w:r>
      <w:r>
        <w:rPr>
          <w:rFonts w:hint="eastAsia" w:ascii="仿宋_GB2312" w:hAnsi="仿宋_GB2312" w:eastAsia="仿宋_GB2312" w:cs="仿宋_GB2312"/>
          <w:color w:val="000000"/>
          <w:sz w:val="32"/>
          <w:szCs w:val="32"/>
          <w:shd w:val="clear" w:color="auto" w:fill="FFFFFF"/>
          <w:lang w:val="en-US" w:eastAsia="zh-CN"/>
        </w:rPr>
        <w:t>基数</w:t>
      </w:r>
      <w:r>
        <w:rPr>
          <w:rFonts w:hint="eastAsia" w:ascii="仿宋_GB2312" w:hAnsi="仿宋_GB2312" w:eastAsia="仿宋_GB2312" w:cs="仿宋_GB2312"/>
          <w:color w:val="000000"/>
          <w:sz w:val="32"/>
          <w:szCs w:val="32"/>
          <w:shd w:val="clear" w:color="auto" w:fill="FFFFFF"/>
        </w:rPr>
        <w:t>、公积金的变动</w:t>
      </w:r>
      <w:r>
        <w:rPr>
          <w:rFonts w:hint="eastAsia" w:ascii="仿宋_GB2312" w:hAnsi="仿宋_GB2312" w:eastAsia="仿宋_GB2312" w:cs="仿宋_GB2312"/>
          <w:color w:val="000000"/>
          <w:sz w:val="32"/>
          <w:szCs w:val="32"/>
          <w:shd w:val="clear" w:color="auto" w:fill="FFFFFF"/>
          <w:lang w:val="en-US" w:eastAsia="zh-CN"/>
        </w:rPr>
        <w:t>较大</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val="0"/>
        <w:autoSpaceDN w:val="0"/>
        <w:bidi w:val="0"/>
        <w:adjustRightInd w:val="0"/>
        <w:spacing w:beforeAutospacing="0" w:afterAutospacing="0" w:line="576" w:lineRule="exact"/>
        <w:ind w:left="0" w:leftChars="0" w:right="0" w:firstLine="643" w:firstLineChars="200"/>
        <w:jc w:val="left"/>
        <w:textAlignment w:val="auto"/>
        <w:outlineLvl w:val="2"/>
        <w:rPr>
          <w:rFonts w:hint="eastAsia" w:ascii="楷体_GB2312" w:hAnsi="楷体_GB2312" w:eastAsia="楷体_GB2312" w:cs="楷体_GB2312"/>
          <w:b/>
          <w:sz w:val="32"/>
          <w:szCs w:val="32"/>
        </w:rPr>
      </w:pPr>
      <w:bookmarkStart w:id="55" w:name="_Toc15377223"/>
      <w:r>
        <w:rPr>
          <w:rFonts w:hint="eastAsia" w:ascii="楷体_GB2312" w:hAnsi="楷体_GB2312" w:eastAsia="楷体_GB2312" w:cs="楷体_GB2312"/>
          <w:b/>
          <w:sz w:val="32"/>
          <w:szCs w:val="32"/>
        </w:rPr>
        <w:t>（二）政府采购支出情况</w:t>
      </w:r>
      <w:bookmarkEnd w:id="55"/>
    </w:p>
    <w:p>
      <w:pPr>
        <w:pStyle w:val="15"/>
        <w:keepNext w:val="0"/>
        <w:keepLines w:val="0"/>
        <w:pageBreakBefore w:val="0"/>
        <w:shd w:val="clear" w:color="auto" w:fill="FFFFFF"/>
        <w:kinsoku/>
        <w:wordWrap/>
        <w:overflowPunct/>
        <w:topLinePunct w:val="0"/>
        <w:bidi w:val="0"/>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年，中共阿坝州红原县纪律检查委员会</w:t>
      </w:r>
      <w:r>
        <w:rPr>
          <w:rFonts w:hint="eastAsia" w:ascii="仿宋_GB2312" w:hAnsi="仿宋_GB2312" w:eastAsia="仿宋_GB2312" w:cs="仿宋_GB2312"/>
          <w:sz w:val="32"/>
          <w:szCs w:val="32"/>
          <w:lang w:val="en-US" w:eastAsia="zh-CN"/>
        </w:rPr>
        <w:t>未开展政府采购工作。</w:t>
      </w:r>
    </w:p>
    <w:p>
      <w:pPr>
        <w:keepNext w:val="0"/>
        <w:keepLines w:val="0"/>
        <w:pageBreakBefore w:val="0"/>
        <w:kinsoku/>
        <w:wordWrap/>
        <w:overflowPunct/>
        <w:topLinePunct w:val="0"/>
        <w:autoSpaceDE w:val="0"/>
        <w:autoSpaceDN w:val="0"/>
        <w:bidi w:val="0"/>
        <w:adjustRightInd w:val="0"/>
        <w:spacing w:beforeAutospacing="0" w:afterAutospacing="0" w:line="576" w:lineRule="exact"/>
        <w:ind w:left="0" w:leftChars="0" w:right="0" w:firstLine="643" w:firstLineChars="200"/>
        <w:jc w:val="left"/>
        <w:textAlignment w:val="auto"/>
        <w:outlineLvl w:val="2"/>
        <w:rPr>
          <w:rFonts w:hint="eastAsia" w:ascii="楷体_GB2312" w:hAnsi="楷体_GB2312" w:eastAsia="楷体_GB2312" w:cs="楷体_GB2312"/>
          <w:b/>
          <w:sz w:val="32"/>
          <w:szCs w:val="32"/>
        </w:rPr>
      </w:pPr>
      <w:bookmarkStart w:id="56" w:name="_Toc15377224"/>
      <w:r>
        <w:rPr>
          <w:rFonts w:hint="eastAsia" w:ascii="楷体_GB2312" w:hAnsi="楷体_GB2312" w:eastAsia="楷体_GB2312" w:cs="楷体_GB2312"/>
          <w:b/>
          <w:sz w:val="32"/>
          <w:szCs w:val="32"/>
        </w:rPr>
        <w:t>（三）国有资产占有使用情况</w:t>
      </w:r>
      <w:bookmarkEnd w:id="56"/>
    </w:p>
    <w:p>
      <w:pPr>
        <w:pStyle w:val="15"/>
        <w:keepNext w:val="0"/>
        <w:keepLines w:val="0"/>
        <w:pageBreakBefore w:val="0"/>
        <w:widowControl/>
        <w:kinsoku/>
        <w:wordWrap/>
        <w:overflowPunct/>
        <w:topLinePunct w:val="0"/>
        <w:bidi w:val="0"/>
        <w:spacing w:before="0" w:beforeAutospacing="0" w:after="0" w:afterAutospacing="0" w:line="576" w:lineRule="exact"/>
        <w:ind w:left="0" w:leftChars="0" w:right="0" w:firstLine="640" w:firstLineChars="200"/>
        <w:textAlignment w:val="auto"/>
        <w:rPr>
          <w:rStyle w:val="18"/>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年12月31日，我单位共有车辆5辆，全部执法用车4辆，巡察工作公务用车1辆。单价100万元以上专用设备0台（套）。截止年底共有资产400.23万元</w:t>
      </w:r>
      <w:r>
        <w:rPr>
          <w:rFonts w:hint="eastAsia" w:ascii="仿宋_GB2312" w:hAnsi="仿宋_GB2312" w:eastAsia="仿宋_GB2312" w:cs="仿宋_GB2312"/>
          <w:color w:val="000000"/>
          <w:sz w:val="32"/>
          <w:szCs w:val="32"/>
        </w:rPr>
        <w:t>（账面原值，下同）</w:t>
      </w:r>
      <w:r>
        <w:rPr>
          <w:rFonts w:hint="eastAsia" w:ascii="仿宋_GB2312" w:hAnsi="仿宋_GB2312" w:eastAsia="仿宋_GB2312" w:cs="仿宋_GB2312"/>
          <w:sz w:val="32"/>
          <w:szCs w:val="32"/>
        </w:rPr>
        <w:t>，其中固定资产395.74万元，占比98.88%，无形资产4.49万元，占比1.12%。</w:t>
      </w:r>
      <w:r>
        <w:rPr>
          <w:rFonts w:hint="eastAsia" w:ascii="仿宋_GB2312" w:hAnsi="仿宋_GB2312" w:eastAsia="仿宋_GB2312" w:cs="仿宋_GB2312"/>
          <w:color w:val="000000"/>
          <w:sz w:val="32"/>
          <w:szCs w:val="32"/>
        </w:rPr>
        <w:t>从资产类别分析，配置土地、房屋及构筑物0万元，占0%； 配置通用设备381.06万元，占95.21% ； 配置家具、用具、装具及动植物14.68万元，占3.67% ，无形资产4.49万元，占比1.12%。</w:t>
      </w:r>
    </w:p>
    <w:p>
      <w:pPr>
        <w:keepNext w:val="0"/>
        <w:keepLines w:val="0"/>
        <w:pageBreakBefore w:val="0"/>
        <w:kinsoku/>
        <w:wordWrap/>
        <w:overflowPunct/>
        <w:topLinePunct w:val="0"/>
        <w:autoSpaceDE w:val="0"/>
        <w:autoSpaceDN w:val="0"/>
        <w:bidi w:val="0"/>
        <w:adjustRightInd w:val="0"/>
        <w:spacing w:beforeAutospacing="0" w:afterAutospacing="0" w:line="576" w:lineRule="exact"/>
        <w:ind w:right="0" w:firstLine="643" w:firstLineChars="200"/>
        <w:jc w:val="left"/>
        <w:textAlignment w:val="auto"/>
        <w:outlineLvl w:val="2"/>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val="en-US" w:eastAsia="zh-CN"/>
        </w:rPr>
        <w:t>四</w:t>
      </w:r>
      <w:r>
        <w:rPr>
          <w:rFonts w:hint="eastAsia" w:ascii="楷体_GB2312" w:hAnsi="楷体_GB2312" w:eastAsia="楷体_GB2312" w:cs="楷体_GB2312"/>
          <w:b/>
          <w:sz w:val="32"/>
          <w:szCs w:val="32"/>
        </w:rPr>
        <w:t>）预算绩效管理情况</w:t>
      </w:r>
    </w:p>
    <w:p>
      <w:pPr>
        <w:keepNext w:val="0"/>
        <w:keepLines w:val="0"/>
        <w:pageBreakBefore w:val="0"/>
        <w:kinsoku/>
        <w:wordWrap/>
        <w:overflowPunct/>
        <w:topLinePunct w:val="0"/>
        <w:bidi w:val="0"/>
        <w:spacing w:beforeAutospacing="0" w:afterAutospacing="0" w:line="576" w:lineRule="exact"/>
        <w:ind w:left="0" w:leftChars="0" w:right="0"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根据预算绩效管理要求，本部门（单位）在年初预算编制阶段，组织对红原县纪委监委业务用房提升改造项目、纪委执纪审查工作经费、党纪学习教育活动经费、中央纪检监察转移支付资金等4个专项预算开展了预算事前绩效评估，对4个项目编制了绩效目标，预算执行过程中，选取4个项目开展绩效监控，年终执行完毕后，对4个项目开展了绩效目标完成情况自评。</w:t>
      </w:r>
    </w:p>
    <w:p>
      <w:pPr>
        <w:keepNext w:val="0"/>
        <w:keepLines w:val="0"/>
        <w:pageBreakBefore w:val="0"/>
        <w:kinsoku/>
        <w:wordWrap/>
        <w:overflowPunct/>
        <w:topLinePunct w:val="0"/>
        <w:bidi w:val="0"/>
        <w:spacing w:beforeAutospacing="0" w:afterAutospacing="0" w:line="576" w:lineRule="exact"/>
        <w:ind w:left="0" w:leftChars="0" w:right="0"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本部门按要求对2024年部门整体支出开展绩效自评，从评价情况来看本单位6个项目完成情况良好，严格按照本单位制定的目标绩效管理制度来开展绩效管理工作，项目资金为专项经费的，全部用于专项工作，2024年本部门未组织开展项目支出事后绩效评价。</w:t>
      </w:r>
    </w:p>
    <w:p>
      <w:pPr>
        <w:keepNext w:val="0"/>
        <w:keepLines w:val="0"/>
        <w:pageBreakBefore w:val="0"/>
        <w:kinsoku/>
        <w:wordWrap/>
        <w:overflowPunct/>
        <w:topLinePunct w:val="0"/>
        <w:bidi w:val="0"/>
        <w:spacing w:beforeAutospacing="0" w:afterAutospacing="0" w:line="576" w:lineRule="exact"/>
        <w:ind w:left="0" w:leftChars="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1.项目绩效目标完成情况。</w:t>
      </w:r>
      <w:r>
        <w:rPr>
          <w:rFonts w:hint="eastAsia" w:ascii="仿宋_GB2312" w:hAnsi="仿宋_GB2312" w:eastAsia="仿宋_GB2312" w:cs="仿宋_GB2312"/>
          <w:color w:val="FF0000"/>
          <w:sz w:val="32"/>
          <w:szCs w:val="32"/>
        </w:rPr>
        <w:br w:type="textWrapping"/>
      </w:r>
      <w:r>
        <w:rPr>
          <w:rFonts w:hint="eastAsia" w:ascii="仿宋_GB2312" w:hAnsi="仿宋_GB2312" w:eastAsia="仿宋_GB2312" w:cs="仿宋_GB2312"/>
          <w:color w:val="FF0000"/>
          <w:sz w:val="32"/>
          <w:szCs w:val="32"/>
        </w:rPr>
        <w:t xml:space="preserve">    </w:t>
      </w:r>
      <w:r>
        <w:rPr>
          <w:rFonts w:hint="eastAsia" w:ascii="仿宋_GB2312" w:hAnsi="仿宋_GB2312" w:eastAsia="仿宋_GB2312" w:cs="仿宋_GB2312"/>
          <w:sz w:val="32"/>
          <w:szCs w:val="32"/>
        </w:rPr>
        <w:t>本部门在202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红原县</w:t>
      </w:r>
      <w:r>
        <w:rPr>
          <w:rFonts w:hint="eastAsia" w:ascii="仿宋_GB2312" w:hAnsi="仿宋_GB2312" w:eastAsia="仿宋_GB2312" w:cs="仿宋_GB2312"/>
          <w:color w:val="000000"/>
          <w:kern w:val="0"/>
          <w:sz w:val="32"/>
          <w:szCs w:val="32"/>
          <w:lang w:val="en-US" w:eastAsia="zh-CN" w:bidi="ar-SA"/>
        </w:rPr>
        <w:t>纪委监委业务用房提升改造项目、纪委执纪审查工作经费、党纪学习教育活动经费、中央纪检监察转移支付资金4</w:t>
      </w:r>
      <w:r>
        <w:rPr>
          <w:rFonts w:hint="eastAsia" w:ascii="仿宋_GB2312" w:hAnsi="仿宋_GB2312" w:eastAsia="仿宋_GB2312" w:cs="仿宋_GB2312"/>
          <w:sz w:val="32"/>
          <w:szCs w:val="32"/>
        </w:rPr>
        <w:t>个项目绩效目标实际完成情况。</w:t>
      </w:r>
    </w:p>
    <w:p>
      <w:pPr>
        <w:keepNext w:val="0"/>
        <w:keepLines w:val="0"/>
        <w:pageBreakBefore w:val="0"/>
        <w:kinsoku/>
        <w:wordWrap/>
        <w:overflowPunct/>
        <w:topLinePunct w:val="0"/>
        <w:bidi w:val="0"/>
        <w:spacing w:beforeAutospacing="0" w:afterAutospacing="0" w:line="576" w:lineRule="exact"/>
        <w:ind w:left="0" w:leftChars="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（1）红原县纪委监委业务用房提升改造项目。</w:t>
      </w:r>
      <w:r>
        <w:rPr>
          <w:rFonts w:hint="eastAsia" w:ascii="仿宋_GB2312" w:hAnsi="仿宋_GB2312" w:eastAsia="仿宋_GB2312" w:cs="仿宋_GB2312"/>
          <w:sz w:val="32"/>
          <w:szCs w:val="32"/>
        </w:rPr>
        <w:t>项目全年预算</w:t>
      </w:r>
      <w:r>
        <w:rPr>
          <w:rFonts w:hint="eastAsia" w:ascii="仿宋_GB2312" w:hAnsi="仿宋_GB2312" w:eastAsia="仿宋_GB2312" w:cs="仿宋_GB2312"/>
          <w:sz w:val="32"/>
          <w:szCs w:val="32"/>
          <w:lang w:val="en-US" w:eastAsia="zh-CN"/>
        </w:rPr>
        <w:t>880.9</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554.99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63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因项目在</w:t>
      </w:r>
      <w:r>
        <w:rPr>
          <w:rFonts w:hint="eastAsia" w:ascii="仿宋_GB2312" w:hAnsi="仿宋_GB2312" w:eastAsia="仿宋_GB2312" w:cs="仿宋_GB2312"/>
          <w:sz w:val="32"/>
          <w:szCs w:val="32"/>
          <w:lang w:val="en-US" w:eastAsia="zh-CN"/>
        </w:rPr>
        <w:t>2024年未实施完成，</w:t>
      </w:r>
      <w:r>
        <w:rPr>
          <w:rFonts w:hint="eastAsia" w:ascii="仿宋_GB2312" w:hAnsi="仿宋_GB2312" w:eastAsia="仿宋_GB2312" w:cs="仿宋_GB2312"/>
          <w:sz w:val="32"/>
          <w:szCs w:val="32"/>
          <w:lang w:eastAsia="zh-CN"/>
        </w:rPr>
        <w:t>剩余部分将于</w:t>
      </w:r>
      <w:r>
        <w:rPr>
          <w:rFonts w:hint="eastAsia" w:ascii="仿宋_GB2312" w:hAnsi="仿宋_GB2312" w:eastAsia="仿宋_GB2312" w:cs="仿宋_GB2312"/>
          <w:sz w:val="32"/>
          <w:szCs w:val="32"/>
          <w:lang w:val="en-US" w:eastAsia="zh-CN"/>
        </w:rPr>
        <w:t>2025年严格按照项目合同要求拔付。</w:t>
      </w: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eastAsia="zh-CN"/>
        </w:rPr>
        <w:t>此</w:t>
      </w:r>
      <w:r>
        <w:rPr>
          <w:rFonts w:hint="eastAsia" w:ascii="仿宋_GB2312" w:hAnsi="仿宋_GB2312" w:eastAsia="仿宋_GB2312" w:cs="仿宋_GB2312"/>
          <w:sz w:val="32"/>
          <w:szCs w:val="32"/>
        </w:rPr>
        <w:t>项目实施，保障了</w:t>
      </w:r>
      <w:r>
        <w:rPr>
          <w:rFonts w:hint="eastAsia" w:ascii="仿宋_GB2312" w:hAnsi="仿宋_GB2312" w:eastAsia="仿宋_GB2312" w:cs="仿宋_GB2312"/>
          <w:sz w:val="32"/>
          <w:szCs w:val="32"/>
          <w:lang w:val="en-US" w:eastAsia="zh-CN"/>
        </w:rPr>
        <w:t>纪委监委办公用房的合理使用</w:t>
      </w:r>
      <w:r>
        <w:rPr>
          <w:rFonts w:hint="eastAsia" w:ascii="仿宋_GB2312" w:hAnsi="仿宋_GB2312" w:eastAsia="仿宋_GB2312" w:cs="仿宋_GB2312"/>
          <w:sz w:val="32"/>
          <w:szCs w:val="32"/>
        </w:rPr>
        <w:t>，在202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年支出执行基础上，细化预算编制，提高了预算编制的精准性。</w:t>
      </w:r>
    </w:p>
    <w:p>
      <w:pPr>
        <w:keepNext w:val="0"/>
        <w:keepLines w:val="0"/>
        <w:pageBreakBefore w:val="0"/>
        <w:kinsoku/>
        <w:wordWrap/>
        <w:overflowPunct/>
        <w:topLinePunct w:val="0"/>
        <w:bidi w:val="0"/>
        <w:spacing w:beforeAutospacing="0" w:afterAutospacing="0" w:line="576" w:lineRule="exact"/>
        <w:ind w:left="0" w:leftChars="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纪委执纪审查工作经费</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96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96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纪委安全办案提供了保障、增强了办案能力和案件质效，发现的主要问题：预算编制经济科目不够精准，后续将提高相关业务人员业务素养，加强学习，争取预算根据精准细化。</w:t>
      </w:r>
    </w:p>
    <w:p>
      <w:pPr>
        <w:keepNext w:val="0"/>
        <w:keepLines w:val="0"/>
        <w:pageBreakBefore w:val="0"/>
        <w:kinsoku/>
        <w:wordWrap/>
        <w:overflowPunct/>
        <w:topLinePunct w:val="0"/>
        <w:bidi w:val="0"/>
        <w:spacing w:beforeAutospacing="0" w:afterAutospacing="0" w:line="576"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年支出执行基础上，细化预算编制，提高了预算编制的精准性。</w:t>
      </w:r>
    </w:p>
    <w:p>
      <w:pPr>
        <w:keepNext w:val="0"/>
        <w:keepLines w:val="0"/>
        <w:pageBreakBefore w:val="0"/>
        <w:numPr>
          <w:ilvl w:val="0"/>
          <w:numId w:val="4"/>
        </w:numPr>
        <w:kinsoku/>
        <w:wordWrap/>
        <w:overflowPunct/>
        <w:topLinePunct w:val="0"/>
        <w:bidi w:val="0"/>
        <w:spacing w:beforeAutospacing="0" w:afterAutospacing="0" w:line="576" w:lineRule="exact"/>
        <w:ind w:left="-13" w:leftChars="0" w:right="0" w:firstLine="643"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党纪学习教育活动经费</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20.67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20.67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根据红原县党纪学习教育活动安排，纪委与组织部共同组织廉洁教育，县委警示教育等相关活动，确保全县的党纪宣传、监督、教育工作顺利开展，</w:t>
      </w:r>
      <w:r>
        <w:rPr>
          <w:rFonts w:hint="eastAsia" w:ascii="仿宋_GB2312" w:hAnsi="仿宋_GB2312" w:eastAsia="仿宋_GB2312" w:cs="仿宋_GB2312"/>
          <w:sz w:val="32"/>
          <w:szCs w:val="32"/>
        </w:rPr>
        <w:t>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年支出执行基础上，细化预算编制，提高了预算编制的精准性。</w:t>
      </w:r>
    </w:p>
    <w:p>
      <w:pPr>
        <w:keepNext w:val="0"/>
        <w:keepLines w:val="0"/>
        <w:pageBreakBefore w:val="0"/>
        <w:numPr>
          <w:ilvl w:val="0"/>
          <w:numId w:val="0"/>
        </w:numPr>
        <w:kinsoku/>
        <w:wordWrap/>
        <w:overflowPunct/>
        <w:topLinePunct w:val="0"/>
        <w:bidi w:val="0"/>
        <w:spacing w:beforeAutospacing="0" w:afterAutospacing="0" w:line="576" w:lineRule="exact"/>
        <w:ind w:right="0" w:rightChars="0" w:firstLine="643" w:firstLineChars="200"/>
        <w:textAlignment w:val="auto"/>
        <w:rPr>
          <w:rFonts w:hint="eastAsia"/>
          <w:b/>
          <w:bCs/>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color w:val="000000"/>
          <w:kern w:val="0"/>
          <w:sz w:val="32"/>
          <w:szCs w:val="32"/>
          <w:lang w:val="en-US" w:eastAsia="zh-CN" w:bidi="ar-SA"/>
        </w:rPr>
        <w:t>中央纪检监察转移支付资金</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按照二十届中央经委三次全会部署，坚持稳中求进，着力提升基层纪检监察机关监督能力，保障高效履行党章和宪法的职责，为基层纵深推进新征程纪监察工作高质量发展提供有力支撑，保障群众身边不正之风和腐败问题集中整治工作的正常运转。并</w:t>
      </w:r>
      <w:r>
        <w:rPr>
          <w:rFonts w:hint="eastAsia" w:ascii="仿宋_GB2312" w:hAnsi="仿宋_GB2312" w:eastAsia="仿宋_GB2312" w:cs="仿宋_GB2312"/>
          <w:sz w:val="32"/>
          <w:szCs w:val="32"/>
        </w:rPr>
        <w:t>细化预算编制，提高了预算编制的精准性。</w:t>
      </w:r>
    </w:p>
    <w:p>
      <w:pPr>
        <w:pageBreakBefore w:val="0"/>
        <w:kinsoku/>
        <w:wordWrap/>
        <w:overflowPunct/>
        <w:topLinePunct w:val="0"/>
        <w:bidi w:val="0"/>
        <w:spacing w:beforeAutospacing="0" w:afterAutospacing="0" w:line="576" w:lineRule="exact"/>
        <w:ind w:left="0" w:leftChars="0" w:right="0"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2.部门绩效评价结果。</w:t>
      </w:r>
    </w:p>
    <w:p>
      <w:pPr>
        <w:pageBreakBefore w:val="0"/>
        <w:kinsoku/>
        <w:wordWrap/>
        <w:overflowPunct/>
        <w:topLinePunct w:val="0"/>
        <w:bidi w:val="0"/>
        <w:spacing w:beforeAutospacing="0" w:afterAutospacing="0" w:line="576"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年部门整体支出绩效评价情况开展自评，整体支出得分</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分，情况良好，《中共红原县纪律检查委员会202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年部门整体支出绩效报告》详见附件。</w:t>
      </w:r>
    </w:p>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b/>
          <w:sz w:val="32"/>
          <w:szCs w:val="32"/>
        </w:rPr>
      </w:pPr>
    </w:p>
    <w:p>
      <w:pPr>
        <w:pageBreakBefore w:val="0"/>
        <w:kinsoku/>
        <w:wordWrap/>
        <w:overflowPunct/>
        <w:topLinePunct w:val="0"/>
        <w:bidi w:val="0"/>
        <w:spacing w:beforeAutospacing="0" w:afterAutospacing="0" w:line="576" w:lineRule="exact"/>
        <w:ind w:left="0" w:leftChars="0" w:right="0"/>
        <w:jc w:val="center"/>
        <w:outlineLvl w:val="0"/>
        <w:rPr>
          <w:rStyle w:val="20"/>
          <w:rFonts w:hint="eastAsia" w:ascii="方正小标宋简体" w:hAnsi="方正小标宋简体" w:eastAsia="方正小标宋简体" w:cs="方正小标宋简体"/>
          <w:b w:val="0"/>
          <w:sz w:val="44"/>
          <w:szCs w:val="44"/>
        </w:rPr>
      </w:pPr>
      <w:bookmarkStart w:id="57" w:name="_Toc15377225"/>
      <w:bookmarkStart w:id="58" w:name="_Toc32480"/>
      <w:bookmarkStart w:id="59" w:name="_Toc15396613"/>
      <w:r>
        <w:rPr>
          <w:rStyle w:val="20"/>
          <w:rFonts w:hint="eastAsia" w:ascii="方正小标宋简体" w:hAnsi="方正小标宋简体" w:eastAsia="方正小标宋简体" w:cs="方正小标宋简体"/>
          <w:b/>
          <w:bCs w:val="0"/>
          <w:sz w:val="44"/>
          <w:szCs w:val="44"/>
          <w:lang w:val="en-US"/>
        </w:rPr>
        <w:t xml:space="preserve">第三部分 </w:t>
      </w:r>
      <w:r>
        <w:rPr>
          <w:rStyle w:val="20"/>
          <w:rFonts w:hint="eastAsia" w:ascii="方正小标宋简体" w:hAnsi="方正小标宋简体" w:eastAsia="方正小标宋简体" w:cs="方正小标宋简体"/>
          <w:b/>
          <w:bCs w:val="0"/>
          <w:sz w:val="44"/>
          <w:szCs w:val="44"/>
        </w:rPr>
        <w:t>名词解释</w:t>
      </w:r>
      <w:bookmarkEnd w:id="57"/>
      <w:bookmarkEnd w:id="58"/>
      <w:bookmarkEnd w:id="59"/>
    </w:p>
    <w:p>
      <w:pPr>
        <w:pageBreakBefore w:val="0"/>
        <w:numPr>
          <w:ilvl w:val="0"/>
          <w:numId w:val="0"/>
        </w:numPr>
        <w:kinsoku/>
        <w:wordWrap/>
        <w:overflowPunct/>
        <w:topLinePunct w:val="0"/>
        <w:bidi w:val="0"/>
        <w:spacing w:beforeAutospacing="0" w:afterAutospacing="0" w:line="576" w:lineRule="exact"/>
        <w:ind w:right="0" w:rightChars="0" w:firstLine="640" w:firstLineChars="200"/>
        <w:jc w:val="both"/>
        <w:outlineLvl w:val="0"/>
        <w:rPr>
          <w:rFonts w:hint="eastAsia" w:ascii="仿宋_GB2312" w:hAnsi="仿宋_GB2312" w:eastAsia="仿宋_GB2312" w:cs="仿宋_GB2312"/>
          <w:sz w:val="32"/>
          <w:szCs w:val="32"/>
        </w:rPr>
      </w:pPr>
      <w:bookmarkStart w:id="60" w:name="_Toc27029"/>
      <w:bookmarkStart w:id="61" w:name="_Toc18803"/>
      <w:bookmarkStart w:id="62" w:name="_Toc15377226"/>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财政拨款收入：指单位从同级财政部门取得的财政预算资</w:t>
      </w:r>
      <w:bookmarkEnd w:id="60"/>
      <w:bookmarkEnd w:id="61"/>
      <w:bookmarkStart w:id="63" w:name="_Toc21049"/>
      <w:bookmarkStart w:id="64" w:name="_Toc704"/>
      <w:r>
        <w:rPr>
          <w:rFonts w:hint="eastAsia" w:ascii="仿宋_GB2312" w:hAnsi="仿宋_GB2312" w:eastAsia="仿宋_GB2312" w:cs="仿宋_GB2312"/>
          <w:sz w:val="32"/>
          <w:szCs w:val="32"/>
        </w:rPr>
        <w:t>金。</w:t>
      </w:r>
      <w:bookmarkEnd w:id="63"/>
      <w:bookmarkEnd w:id="64"/>
    </w:p>
    <w:p>
      <w:pPr>
        <w:pageBreakBefore w:val="0"/>
        <w:kinsoku/>
        <w:wordWrap/>
        <w:overflowPunct/>
        <w:topLinePunct w:val="0"/>
        <w:bidi w:val="0"/>
        <w:spacing w:beforeAutospacing="0" w:afterAutospacing="0" w:line="576" w:lineRule="exact"/>
        <w:ind w:left="0" w:leftChars="0" w:right="0" w:firstLine="640" w:firstLineChars="200"/>
        <w:outlineLvl w:val="0"/>
        <w:rPr>
          <w:rFonts w:hint="eastAsia" w:ascii="仿宋_GB2312" w:hAnsi="仿宋_GB2312" w:eastAsia="仿宋_GB2312" w:cs="仿宋_GB2312"/>
          <w:sz w:val="32"/>
          <w:szCs w:val="32"/>
        </w:rPr>
      </w:pPr>
      <w:bookmarkStart w:id="65" w:name="_Toc16486"/>
      <w:bookmarkStart w:id="66" w:name="_Toc24986"/>
      <w:r>
        <w:rPr>
          <w:rFonts w:hint="eastAsia" w:ascii="仿宋_GB2312" w:hAnsi="仿宋_GB2312" w:eastAsia="仿宋_GB2312" w:cs="仿宋_GB2312"/>
          <w:sz w:val="32"/>
          <w:szCs w:val="32"/>
        </w:rPr>
        <w:t>2.其他收入：指单位取得的除上述收入以外的各项收入。</w:t>
      </w:r>
      <w:bookmarkEnd w:id="65"/>
      <w:bookmarkEnd w:id="66"/>
      <w:r>
        <w:rPr>
          <w:rFonts w:hint="eastAsia" w:ascii="仿宋_GB2312" w:hAnsi="仿宋_GB2312" w:eastAsia="仿宋_GB2312" w:cs="仿宋_GB2312"/>
          <w:sz w:val="32"/>
          <w:szCs w:val="32"/>
        </w:rPr>
        <w:t xml:space="preserve"> </w:t>
      </w:r>
    </w:p>
    <w:p>
      <w:pPr>
        <w:pageBreakBefore w:val="0"/>
        <w:kinsoku/>
        <w:wordWrap/>
        <w:overflowPunct/>
        <w:topLinePunct w:val="0"/>
        <w:bidi w:val="0"/>
        <w:spacing w:beforeAutospacing="0" w:afterAutospacing="0" w:line="576" w:lineRule="exact"/>
        <w:ind w:left="0" w:leftChars="0" w:right="0"/>
        <w:jc w:val="center"/>
        <w:outlineLvl w:val="0"/>
        <w:rPr>
          <w:rFonts w:hint="eastAsia" w:ascii="仿宋_GB2312" w:hAnsi="仿宋_GB2312" w:eastAsia="仿宋_GB2312" w:cs="仿宋_GB2312"/>
          <w:sz w:val="32"/>
          <w:szCs w:val="32"/>
        </w:rPr>
      </w:pPr>
      <w:bookmarkStart w:id="67" w:name="_Toc19661"/>
      <w:bookmarkStart w:id="68" w:name="_Toc13744"/>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3.年初结转和结余：指以前年度尚未完成、结转到本年</w:t>
      </w:r>
    </w:p>
    <w:p>
      <w:pPr>
        <w:pageBreakBefore w:val="0"/>
        <w:kinsoku/>
        <w:wordWrap/>
        <w:overflowPunct/>
        <w:topLinePunct w:val="0"/>
        <w:bidi w:val="0"/>
        <w:spacing w:beforeAutospacing="0" w:afterAutospacing="0" w:line="576" w:lineRule="exact"/>
        <w:ind w:left="0" w:leftChars="0" w:right="0"/>
        <w:jc w:val="both"/>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按有</w:t>
      </w:r>
      <w:bookmarkEnd w:id="67"/>
      <w:bookmarkEnd w:id="68"/>
      <w:bookmarkStart w:id="69" w:name="_Toc11790"/>
      <w:bookmarkStart w:id="70" w:name="_Toc15327"/>
      <w:r>
        <w:rPr>
          <w:rFonts w:hint="eastAsia" w:ascii="仿宋_GB2312" w:hAnsi="仿宋_GB2312" w:eastAsia="仿宋_GB2312" w:cs="仿宋_GB2312"/>
          <w:sz w:val="32"/>
          <w:szCs w:val="32"/>
        </w:rPr>
        <w:t>关规定继续使用的资金。</w:t>
      </w:r>
      <w:bookmarkEnd w:id="69"/>
      <w:bookmarkEnd w:id="70"/>
      <w:r>
        <w:rPr>
          <w:rFonts w:hint="eastAsia" w:ascii="仿宋_GB2312" w:hAnsi="仿宋_GB2312" w:eastAsia="仿宋_GB2312" w:cs="仿宋_GB2312"/>
          <w:sz w:val="32"/>
          <w:szCs w:val="32"/>
        </w:rPr>
        <w:t xml:space="preserve"> </w:t>
      </w:r>
    </w:p>
    <w:p>
      <w:pPr>
        <w:pageBreakBefore w:val="0"/>
        <w:numPr>
          <w:ilvl w:val="0"/>
          <w:numId w:val="0"/>
        </w:numPr>
        <w:kinsoku/>
        <w:wordWrap/>
        <w:overflowPunct/>
        <w:topLinePunct w:val="0"/>
        <w:bidi w:val="0"/>
        <w:spacing w:beforeAutospacing="0" w:afterAutospacing="0" w:line="576" w:lineRule="exact"/>
        <w:ind w:right="0" w:rightChars="0" w:firstLine="640" w:firstLineChars="200"/>
        <w:jc w:val="both"/>
        <w:outlineLvl w:val="0"/>
        <w:rPr>
          <w:rFonts w:hint="eastAsia" w:ascii="仿宋_GB2312" w:hAnsi="仿宋_GB2312" w:eastAsia="仿宋_GB2312" w:cs="仿宋_GB2312"/>
          <w:sz w:val="32"/>
          <w:szCs w:val="32"/>
        </w:rPr>
      </w:pPr>
      <w:bookmarkStart w:id="71" w:name="_Toc9882"/>
      <w:bookmarkStart w:id="72" w:name="_Toc21359"/>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年末结转和结余：指单位按有关规定结转到下年或以</w:t>
      </w:r>
    </w:p>
    <w:p>
      <w:pPr>
        <w:pageBreakBefore w:val="0"/>
        <w:numPr>
          <w:ilvl w:val="0"/>
          <w:numId w:val="0"/>
        </w:numPr>
        <w:kinsoku/>
        <w:wordWrap/>
        <w:overflowPunct/>
        <w:topLinePunct w:val="0"/>
        <w:bidi w:val="0"/>
        <w:spacing w:beforeAutospacing="0" w:afterAutospacing="0" w:line="576" w:lineRule="exact"/>
        <w:ind w:right="0" w:rightChars="0"/>
        <w:jc w:val="both"/>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后</w:t>
      </w:r>
      <w:bookmarkEnd w:id="71"/>
      <w:bookmarkEnd w:id="72"/>
      <w:bookmarkStart w:id="73" w:name="_Toc12873"/>
      <w:bookmarkStart w:id="74" w:name="_Toc8387"/>
      <w:r>
        <w:rPr>
          <w:rFonts w:hint="eastAsia" w:ascii="仿宋_GB2312" w:hAnsi="仿宋_GB2312" w:eastAsia="仿宋_GB2312" w:cs="仿宋_GB2312"/>
          <w:sz w:val="32"/>
          <w:szCs w:val="32"/>
        </w:rPr>
        <w:t>年度继续使用的资金。</w:t>
      </w:r>
      <w:bookmarkEnd w:id="73"/>
      <w:bookmarkEnd w:id="74"/>
    </w:p>
    <w:p>
      <w:pPr>
        <w:pageBreakBefore w:val="0"/>
        <w:numPr>
          <w:ilvl w:val="0"/>
          <w:numId w:val="0"/>
        </w:numPr>
        <w:kinsoku/>
        <w:wordWrap/>
        <w:overflowPunct/>
        <w:topLinePunct w:val="0"/>
        <w:bidi w:val="0"/>
        <w:spacing w:beforeAutospacing="0" w:afterAutospacing="0" w:line="576" w:lineRule="exact"/>
        <w:ind w:right="0" w:rightChars="0" w:firstLine="640" w:firstLineChars="200"/>
        <w:jc w:val="both"/>
        <w:outlineLvl w:val="0"/>
        <w:rPr>
          <w:rFonts w:hint="eastAsia" w:ascii="仿宋_GB2312" w:hAnsi="仿宋_GB2312" w:eastAsia="仿宋_GB2312" w:cs="仿宋_GB2312"/>
          <w:sz w:val="32"/>
          <w:szCs w:val="32"/>
        </w:rPr>
      </w:pPr>
      <w:bookmarkStart w:id="75" w:name="_Toc7344"/>
      <w:bookmarkStart w:id="76" w:name="_Toc31094"/>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一般公共服务：2011101指行政运行，反映人员经费与日常公用经费的支出。2011102指</w:t>
      </w:r>
      <w:r>
        <w:rPr>
          <w:rStyle w:val="18"/>
          <w:rFonts w:hint="eastAsia" w:ascii="仿宋_GB2312" w:hAnsi="仿宋_GB2312" w:eastAsia="仿宋_GB2312" w:cs="仿宋_GB2312"/>
          <w:b w:val="0"/>
          <w:bCs/>
          <w:sz w:val="32"/>
          <w:szCs w:val="32"/>
        </w:rPr>
        <w:t>一般行政管理事务支出</w:t>
      </w:r>
      <w:r>
        <w:rPr>
          <w:rFonts w:hint="eastAsia" w:ascii="仿宋_GB2312" w:hAnsi="仿宋_GB2312" w:eastAsia="仿宋_GB2312" w:cs="仿宋_GB2312"/>
          <w:sz w:val="32"/>
          <w:szCs w:val="32"/>
        </w:rPr>
        <w:t>，反映纪检监察干部执纪、督查、执法工作经费的支出。2011199指纪委项目专项经费，反映纪委专项项目建设发生的</w:t>
      </w:r>
      <w:bookmarkEnd w:id="75"/>
      <w:bookmarkEnd w:id="76"/>
      <w:bookmarkStart w:id="77" w:name="_Toc23901"/>
      <w:bookmarkStart w:id="78" w:name="_Toc18095"/>
      <w:r>
        <w:rPr>
          <w:rFonts w:hint="eastAsia" w:ascii="仿宋_GB2312" w:hAnsi="仿宋_GB2312" w:eastAsia="仿宋_GB2312" w:cs="仿宋_GB2312"/>
          <w:sz w:val="32"/>
          <w:szCs w:val="32"/>
        </w:rPr>
        <w:t>各项支出。2100150指事业运行，反映纪委事业机构产生的人员经费及公用经费。</w:t>
      </w:r>
      <w:bookmarkEnd w:id="77"/>
      <w:bookmarkEnd w:id="78"/>
    </w:p>
    <w:p>
      <w:pPr>
        <w:pageBreakBefore w:val="0"/>
        <w:kinsoku/>
        <w:wordWrap/>
        <w:overflowPunct/>
        <w:topLinePunct w:val="0"/>
        <w:bidi w:val="0"/>
        <w:spacing w:beforeAutospacing="0" w:afterAutospacing="0" w:line="576" w:lineRule="exact"/>
        <w:ind w:left="0" w:leftChars="0" w:right="0"/>
        <w:jc w:val="center"/>
        <w:outlineLvl w:val="0"/>
        <w:rPr>
          <w:rFonts w:hint="eastAsia" w:ascii="仿宋_GB2312" w:hAnsi="仿宋_GB2312" w:eastAsia="仿宋_GB2312" w:cs="仿宋_GB2312"/>
          <w:sz w:val="32"/>
          <w:szCs w:val="32"/>
        </w:rPr>
      </w:pPr>
      <w:bookmarkStart w:id="79" w:name="_Toc19703"/>
      <w:bookmarkStart w:id="80" w:name="_Toc25321"/>
      <w:r>
        <w:rPr>
          <w:rFonts w:hint="eastAsia" w:ascii="仿宋_GB2312" w:hAnsi="仿宋_GB2312" w:eastAsia="仿宋_GB2312" w:cs="仿宋_GB2312"/>
          <w:sz w:val="32"/>
          <w:szCs w:val="32"/>
          <w:lang w:val="en-US" w:eastAsia="zh-CN"/>
        </w:rPr>
        <w:t xml:space="preserve">    6.</w:t>
      </w:r>
      <w:r>
        <w:rPr>
          <w:rFonts w:hint="eastAsia" w:ascii="仿宋_GB2312" w:hAnsi="仿宋_GB2312" w:eastAsia="仿宋_GB2312" w:cs="仿宋_GB2312"/>
          <w:sz w:val="32"/>
          <w:szCs w:val="32"/>
        </w:rPr>
        <w:t>社会保障和就业：2080505指机关事业单位基本养老保险缴费支出。2080506指机关事业单位职业年金缴费支出。</w:t>
      </w:r>
      <w:bookmarkEnd w:id="79"/>
      <w:bookmarkEnd w:id="80"/>
    </w:p>
    <w:p>
      <w:pPr>
        <w:pageBreakBefore w:val="0"/>
        <w:kinsoku/>
        <w:wordWrap/>
        <w:overflowPunct/>
        <w:topLinePunct w:val="0"/>
        <w:bidi w:val="0"/>
        <w:spacing w:beforeAutospacing="0" w:afterAutospacing="0" w:line="576" w:lineRule="exact"/>
        <w:ind w:left="0" w:leftChars="0" w:right="0" w:firstLine="640" w:firstLineChars="200"/>
        <w:outlineLvl w:val="0"/>
        <w:rPr>
          <w:rFonts w:hint="eastAsia" w:ascii="仿宋_GB2312" w:hAnsi="仿宋_GB2312" w:eastAsia="仿宋_GB2312" w:cs="仿宋_GB2312"/>
          <w:sz w:val="32"/>
          <w:szCs w:val="32"/>
        </w:rPr>
      </w:pPr>
      <w:bookmarkStart w:id="81" w:name="_Toc3261"/>
      <w:bookmarkStart w:id="82" w:name="_Toc11709"/>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医疗卫生与计划生育：2101101指行政单位医疗保险支出。2101102指事业单位医疗保险支出。2101103指公务员医疗补助。2101199指其他行政事业单位医疗支出，反映事业单位职工补充医保。</w:t>
      </w:r>
      <w:bookmarkEnd w:id="81"/>
      <w:bookmarkEnd w:id="82"/>
    </w:p>
    <w:p>
      <w:pPr>
        <w:pageBreakBefore w:val="0"/>
        <w:kinsoku/>
        <w:wordWrap/>
        <w:overflowPunct/>
        <w:topLinePunct w:val="0"/>
        <w:bidi w:val="0"/>
        <w:spacing w:beforeAutospacing="0" w:afterAutospacing="0" w:line="576" w:lineRule="exact"/>
        <w:ind w:left="0" w:leftChars="0" w:right="0" w:firstLine="640" w:firstLineChars="200"/>
        <w:outlineLvl w:val="0"/>
        <w:rPr>
          <w:rFonts w:hint="eastAsia" w:ascii="仿宋_GB2312" w:hAnsi="仿宋_GB2312" w:eastAsia="仿宋_GB2312" w:cs="仿宋_GB2312"/>
          <w:sz w:val="32"/>
          <w:szCs w:val="32"/>
        </w:rPr>
      </w:pPr>
      <w:bookmarkStart w:id="83" w:name="_Toc14400"/>
      <w:bookmarkStart w:id="84" w:name="_Toc27720"/>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住房保障：2210201指住房公积金。</w:t>
      </w:r>
      <w:bookmarkEnd w:id="83"/>
      <w:bookmarkEnd w:id="84"/>
    </w:p>
    <w:p>
      <w:pPr>
        <w:pageBreakBefore w:val="0"/>
        <w:kinsoku/>
        <w:wordWrap/>
        <w:overflowPunct/>
        <w:topLinePunct w:val="0"/>
        <w:bidi w:val="0"/>
        <w:spacing w:beforeAutospacing="0" w:afterAutospacing="0" w:line="576" w:lineRule="exact"/>
        <w:ind w:left="0" w:leftChars="0" w:right="0"/>
        <w:jc w:val="center"/>
        <w:outlineLvl w:val="0"/>
        <w:rPr>
          <w:rFonts w:hint="eastAsia" w:ascii="仿宋_GB2312" w:hAnsi="仿宋_GB2312" w:eastAsia="仿宋_GB2312" w:cs="仿宋_GB2312"/>
          <w:sz w:val="32"/>
          <w:szCs w:val="32"/>
        </w:rPr>
      </w:pPr>
      <w:bookmarkStart w:id="85" w:name="_Toc20801"/>
      <w:bookmarkStart w:id="86" w:name="_Toc15140"/>
      <w:r>
        <w:rPr>
          <w:rFonts w:hint="eastAsia" w:ascii="仿宋_GB2312" w:hAnsi="仿宋_GB2312" w:eastAsia="仿宋_GB2312" w:cs="仿宋_GB2312"/>
          <w:sz w:val="32"/>
          <w:szCs w:val="32"/>
          <w:lang w:val="en-US" w:eastAsia="zh-CN"/>
        </w:rPr>
        <w:t xml:space="preserve">    9.</w:t>
      </w:r>
      <w:r>
        <w:rPr>
          <w:rFonts w:hint="eastAsia" w:ascii="仿宋_GB2312" w:hAnsi="仿宋_GB2312" w:eastAsia="仿宋_GB2312" w:cs="仿宋_GB2312"/>
          <w:sz w:val="32"/>
          <w:szCs w:val="32"/>
        </w:rPr>
        <w:t>基本支出：指为保障机构正常运转、完成日常工作任</w:t>
      </w:r>
    </w:p>
    <w:p>
      <w:pPr>
        <w:pageBreakBefore w:val="0"/>
        <w:kinsoku/>
        <w:wordWrap/>
        <w:overflowPunct/>
        <w:topLinePunct w:val="0"/>
        <w:bidi w:val="0"/>
        <w:spacing w:beforeAutospacing="0" w:afterAutospacing="0" w:line="576" w:lineRule="exact"/>
        <w:ind w:left="0" w:leftChars="0" w:right="0"/>
        <w:jc w:val="both"/>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务而</w:t>
      </w:r>
      <w:bookmarkEnd w:id="85"/>
      <w:bookmarkEnd w:id="86"/>
      <w:bookmarkStart w:id="87" w:name="_Toc1908"/>
      <w:bookmarkStart w:id="88" w:name="_Toc4186"/>
      <w:r>
        <w:rPr>
          <w:rFonts w:hint="eastAsia" w:ascii="仿宋_GB2312" w:hAnsi="仿宋_GB2312" w:eastAsia="仿宋_GB2312" w:cs="仿宋_GB2312"/>
          <w:sz w:val="32"/>
          <w:szCs w:val="32"/>
        </w:rPr>
        <w:t>发生的人员支出和公用支出。</w:t>
      </w:r>
      <w:bookmarkEnd w:id="87"/>
      <w:bookmarkEnd w:id="88"/>
    </w:p>
    <w:p>
      <w:pPr>
        <w:pageBreakBefore w:val="0"/>
        <w:numPr>
          <w:ilvl w:val="0"/>
          <w:numId w:val="5"/>
        </w:numPr>
        <w:kinsoku/>
        <w:wordWrap/>
        <w:overflowPunct/>
        <w:topLinePunct w:val="0"/>
        <w:bidi w:val="0"/>
        <w:spacing w:beforeAutospacing="0" w:afterAutospacing="0" w:line="576" w:lineRule="exact"/>
        <w:ind w:left="713" w:leftChars="0" w:right="0" w:firstLine="0" w:firstLineChars="0"/>
        <w:jc w:val="center"/>
        <w:outlineLvl w:val="0"/>
        <w:rPr>
          <w:rFonts w:hint="eastAsia" w:ascii="仿宋_GB2312" w:hAnsi="仿宋_GB2312" w:eastAsia="仿宋_GB2312" w:cs="仿宋_GB2312"/>
          <w:sz w:val="32"/>
          <w:szCs w:val="32"/>
        </w:rPr>
      </w:pPr>
      <w:bookmarkStart w:id="89" w:name="_Toc9649"/>
      <w:bookmarkStart w:id="90" w:name="_Toc26501"/>
      <w:r>
        <w:rPr>
          <w:rFonts w:hint="eastAsia" w:ascii="仿宋_GB2312" w:hAnsi="仿宋_GB2312" w:eastAsia="仿宋_GB2312" w:cs="仿宋_GB2312"/>
          <w:sz w:val="32"/>
          <w:szCs w:val="32"/>
        </w:rPr>
        <w:t>项目支出：指在基本支出之外为完成特定行政任务</w:t>
      </w:r>
    </w:p>
    <w:p>
      <w:pPr>
        <w:pageBreakBefore w:val="0"/>
        <w:numPr>
          <w:ilvl w:val="0"/>
          <w:numId w:val="0"/>
        </w:numPr>
        <w:kinsoku/>
        <w:wordWrap/>
        <w:overflowPunct/>
        <w:topLinePunct w:val="0"/>
        <w:bidi w:val="0"/>
        <w:spacing w:beforeAutospacing="0" w:afterAutospacing="0" w:line="576" w:lineRule="exact"/>
        <w:ind w:right="0" w:rightChars="0"/>
        <w:jc w:val="both"/>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和事</w:t>
      </w:r>
      <w:bookmarkEnd w:id="89"/>
      <w:bookmarkEnd w:id="90"/>
      <w:bookmarkStart w:id="91" w:name="_Toc19535"/>
      <w:bookmarkStart w:id="92" w:name="_Toc30698"/>
      <w:r>
        <w:rPr>
          <w:rFonts w:hint="eastAsia" w:ascii="仿宋_GB2312" w:hAnsi="仿宋_GB2312" w:eastAsia="仿宋_GB2312" w:cs="仿宋_GB2312"/>
          <w:sz w:val="32"/>
          <w:szCs w:val="32"/>
        </w:rPr>
        <w:t>业发展目标所发生的支出。</w:t>
      </w:r>
      <w:bookmarkEnd w:id="91"/>
      <w:bookmarkEnd w:id="92"/>
      <w:r>
        <w:rPr>
          <w:rFonts w:hint="eastAsia" w:ascii="仿宋_GB2312" w:hAnsi="仿宋_GB2312" w:eastAsia="仿宋_GB2312" w:cs="仿宋_GB2312"/>
          <w:sz w:val="32"/>
          <w:szCs w:val="32"/>
        </w:rPr>
        <w:t xml:space="preserve"> </w:t>
      </w:r>
    </w:p>
    <w:p>
      <w:pPr>
        <w:pageBreakBefore w:val="0"/>
        <w:numPr>
          <w:ilvl w:val="0"/>
          <w:numId w:val="5"/>
        </w:numPr>
        <w:kinsoku/>
        <w:wordWrap/>
        <w:overflowPunct/>
        <w:topLinePunct w:val="0"/>
        <w:bidi w:val="0"/>
        <w:spacing w:beforeAutospacing="0" w:afterAutospacing="0" w:line="576" w:lineRule="exact"/>
        <w:ind w:left="713" w:leftChars="0" w:right="0" w:firstLine="0" w:firstLineChars="0"/>
        <w:jc w:val="center"/>
        <w:outlineLvl w:val="0"/>
        <w:rPr>
          <w:rFonts w:hint="eastAsia" w:ascii="仿宋_GB2312" w:hAnsi="仿宋_GB2312" w:eastAsia="仿宋_GB2312" w:cs="仿宋_GB2312"/>
          <w:sz w:val="32"/>
          <w:szCs w:val="32"/>
        </w:rPr>
      </w:pPr>
      <w:bookmarkStart w:id="93" w:name="_Toc27678"/>
      <w:bookmarkStart w:id="94" w:name="_Toc21244"/>
      <w:r>
        <w:rPr>
          <w:rFonts w:hint="eastAsia" w:ascii="仿宋_GB2312" w:hAnsi="仿宋_GB2312" w:eastAsia="仿宋_GB2312" w:cs="仿宋_GB2312"/>
          <w:sz w:val="32"/>
          <w:szCs w:val="32"/>
        </w:rPr>
        <w:t>“三公”经费：指部门用财政拨款安排的因公出国</w:t>
      </w:r>
    </w:p>
    <w:p>
      <w:pPr>
        <w:pageBreakBefore w:val="0"/>
        <w:numPr>
          <w:ilvl w:val="0"/>
          <w:numId w:val="0"/>
        </w:numPr>
        <w:kinsoku/>
        <w:wordWrap/>
        <w:overflowPunct/>
        <w:topLinePunct w:val="0"/>
        <w:bidi w:val="0"/>
        <w:spacing w:beforeAutospacing="0" w:afterAutospacing="0" w:line="576" w:lineRule="exact"/>
        <w:ind w:right="0" w:rightChars="0"/>
        <w:jc w:val="both"/>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w:t>
      </w:r>
    </w:p>
    <w:p>
      <w:pPr>
        <w:pageBreakBefore w:val="0"/>
        <w:numPr>
          <w:ilvl w:val="0"/>
          <w:numId w:val="0"/>
        </w:numPr>
        <w:kinsoku/>
        <w:wordWrap/>
        <w:overflowPunct/>
        <w:topLinePunct w:val="0"/>
        <w:bidi w:val="0"/>
        <w:spacing w:beforeAutospacing="0" w:afterAutospacing="0" w:line="576" w:lineRule="exact"/>
        <w:ind w:right="0" w:rightChars="0"/>
        <w:jc w:val="both"/>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定开支的各类公务接待（含</w:t>
      </w:r>
      <w:bookmarkEnd w:id="93"/>
      <w:bookmarkEnd w:id="94"/>
      <w:bookmarkStart w:id="95" w:name="_Toc1029"/>
      <w:bookmarkStart w:id="96" w:name="_Toc14809"/>
      <w:r>
        <w:rPr>
          <w:rFonts w:hint="eastAsia" w:ascii="仿宋_GB2312" w:hAnsi="仿宋_GB2312" w:eastAsia="仿宋_GB2312" w:cs="仿宋_GB2312"/>
          <w:sz w:val="32"/>
          <w:szCs w:val="32"/>
        </w:rPr>
        <w:t>外宾接待）支出。</w:t>
      </w:r>
      <w:bookmarkEnd w:id="95"/>
      <w:bookmarkEnd w:id="96"/>
    </w:p>
    <w:p>
      <w:pPr>
        <w:pageBreakBefore w:val="0"/>
        <w:numPr>
          <w:ilvl w:val="0"/>
          <w:numId w:val="5"/>
        </w:numPr>
        <w:kinsoku/>
        <w:wordWrap/>
        <w:overflowPunct/>
        <w:topLinePunct w:val="0"/>
        <w:bidi w:val="0"/>
        <w:spacing w:beforeAutospacing="0" w:afterAutospacing="0" w:line="576" w:lineRule="exact"/>
        <w:ind w:left="713" w:leftChars="0" w:right="0" w:firstLine="0" w:firstLineChars="0"/>
        <w:jc w:val="center"/>
        <w:outlineLvl w:val="0"/>
        <w:rPr>
          <w:rFonts w:hint="eastAsia" w:ascii="仿宋_GB2312" w:hAnsi="仿宋_GB2312" w:eastAsia="仿宋_GB2312" w:cs="仿宋_GB2312"/>
          <w:sz w:val="32"/>
          <w:szCs w:val="32"/>
        </w:rPr>
      </w:pPr>
      <w:bookmarkStart w:id="97" w:name="_Toc13615"/>
      <w:bookmarkStart w:id="98" w:name="_Toc20693"/>
      <w:r>
        <w:rPr>
          <w:rFonts w:hint="eastAsia" w:ascii="仿宋_GB2312" w:hAnsi="仿宋_GB2312" w:eastAsia="仿宋_GB2312" w:cs="仿宋_GB2312"/>
          <w:sz w:val="32"/>
          <w:szCs w:val="32"/>
        </w:rPr>
        <w:t>机关运行经费：为保障行政单位（含参照公务员法</w:t>
      </w:r>
    </w:p>
    <w:p>
      <w:pPr>
        <w:pageBreakBefore w:val="0"/>
        <w:numPr>
          <w:ilvl w:val="0"/>
          <w:numId w:val="0"/>
        </w:numPr>
        <w:kinsoku/>
        <w:wordWrap/>
        <w:overflowPunct/>
        <w:topLinePunct w:val="0"/>
        <w:bidi w:val="0"/>
        <w:spacing w:beforeAutospacing="0" w:afterAutospacing="0" w:line="576" w:lineRule="exact"/>
        <w:ind w:right="0" w:rightChars="0"/>
        <w:jc w:val="both"/>
        <w:outlineLvl w:val="0"/>
        <w:rPr>
          <w:rFonts w:hint="eastAsia" w:ascii="仿宋_GB2312" w:hAnsi="仿宋_GB2312" w:eastAsia="仿宋_GB2312" w:cs="仿宋_GB2312"/>
          <w:b/>
          <w:sz w:val="44"/>
          <w:szCs w:val="44"/>
        </w:rPr>
      </w:pPr>
      <w:r>
        <w:rPr>
          <w:rFonts w:hint="eastAsia" w:ascii="仿宋_GB2312" w:hAnsi="仿宋_GB2312" w:eastAsia="仿宋_GB2312" w:cs="仿宋_GB2312"/>
          <w:sz w:val="32"/>
          <w:szCs w:val="32"/>
        </w:rPr>
        <w:t>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w:t>
      </w:r>
      <w:bookmarkEnd w:id="97"/>
      <w:bookmarkEnd w:id="98"/>
      <w:bookmarkStart w:id="99" w:name="_Toc19910"/>
      <w:bookmarkStart w:id="100" w:name="_Toc23183"/>
      <w:r>
        <w:rPr>
          <w:rFonts w:hint="eastAsia" w:ascii="仿宋_GB2312" w:hAnsi="仿宋_GB2312" w:eastAsia="仿宋_GB2312" w:cs="仿宋_GB2312"/>
          <w:sz w:val="32"/>
          <w:szCs w:val="32"/>
        </w:rPr>
        <w:t>其他费用。</w:t>
      </w:r>
      <w:bookmarkEnd w:id="99"/>
      <w:bookmarkEnd w:id="100"/>
      <w:bookmarkStart w:id="101" w:name="_Toc2545"/>
      <w:bookmarkStart w:id="102" w:name="_Toc15396614"/>
    </w:p>
    <w:tbl>
      <w:tblPr>
        <w:tblStyle w:val="16"/>
        <w:tblpPr w:leftFromText="180" w:rightFromText="180" w:vertAnchor="text" w:horzAnchor="page" w:tblpX="1583" w:tblpY="728"/>
        <w:tblOverlap w:val="never"/>
        <w:tblW w:w="96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37"/>
        <w:gridCol w:w="945"/>
        <w:gridCol w:w="968"/>
        <w:gridCol w:w="1807"/>
        <w:gridCol w:w="780"/>
        <w:gridCol w:w="963"/>
        <w:gridCol w:w="900"/>
        <w:gridCol w:w="487"/>
        <w:gridCol w:w="788"/>
        <w:gridCol w:w="550"/>
        <w:gridCol w:w="362"/>
        <w:gridCol w:w="4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57" w:hRule="atLeast"/>
        </w:trPr>
        <w:tc>
          <w:tcPr>
            <w:tcW w:w="9625" w:type="dxa"/>
            <w:gridSpan w:val="1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黑体" w:eastAsia="黑体" w:cs="黑体"/>
                <w:b/>
                <w:i w:val="0"/>
                <w:color w:val="000000"/>
                <w:sz w:val="30"/>
                <w:szCs w:val="30"/>
                <w:u w:val="none"/>
              </w:rPr>
            </w:pPr>
            <w:r>
              <w:rPr>
                <w:rFonts w:hint="eastAsia" w:ascii="黑体" w:hAnsi="黑体" w:eastAsia="黑体" w:cs="黑体"/>
                <w:b/>
                <w:i w:val="0"/>
                <w:color w:val="000000"/>
                <w:kern w:val="0"/>
                <w:sz w:val="30"/>
                <w:szCs w:val="30"/>
                <w:u w:val="none"/>
                <w:lang w:val="en-US" w:eastAsia="zh-CN" w:bidi="ar"/>
              </w:rPr>
              <w:t>部门项目支出绩效目标表（2024年度）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1" w:hRule="atLeast"/>
        </w:trPr>
        <w:tc>
          <w:tcPr>
            <w:tcW w:w="637"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4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6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807"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80"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6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00"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487"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8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550"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6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438"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4"/>
                <w:szCs w:val="14"/>
                <w:u w:val="none"/>
              </w:rPr>
            </w:pPr>
            <w:r>
              <w:rPr>
                <w:rFonts w:hint="eastAsia" w:ascii="宋体" w:hAnsi="宋体" w:eastAsia="宋体" w:cs="宋体"/>
                <w:i w:val="0"/>
                <w:color w:val="000000"/>
                <w:kern w:val="0"/>
                <w:sz w:val="14"/>
                <w:szCs w:val="14"/>
                <w:u w:val="none"/>
                <w:lang w:val="en-US" w:eastAsia="zh-CN" w:bidi="ar"/>
              </w:rPr>
              <w:t>金额：万元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7" w:hRule="atLeast"/>
        </w:trPr>
        <w:tc>
          <w:tcPr>
            <w:tcW w:w="637"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单位</w:t>
            </w:r>
            <w:r>
              <w:rPr>
                <w:rFonts w:hint="eastAsia" w:ascii="宋体" w:hAnsi="宋体" w:eastAsia="宋体" w:cs="宋体"/>
                <w:b/>
                <w:i w:val="0"/>
                <w:color w:val="000000"/>
                <w:kern w:val="0"/>
                <w:sz w:val="18"/>
                <w:szCs w:val="18"/>
                <w:u w:val="none"/>
                <w:lang w:val="en-US" w:eastAsia="zh-CN" w:bidi="ar"/>
              </w:rPr>
              <w:t xml:space="preserve"> </w:t>
            </w:r>
            <w:r>
              <w:rPr>
                <w:rFonts w:ascii="宋体" w:hAnsi="宋体" w:eastAsia="宋体" w:cs="宋体"/>
                <w:b/>
                <w:i w:val="0"/>
                <w:color w:val="000000"/>
                <w:kern w:val="0"/>
                <w:sz w:val="18"/>
                <w:szCs w:val="18"/>
                <w:u w:val="none"/>
                <w:lang w:val="en-US" w:eastAsia="zh-CN" w:bidi="ar"/>
              </w:rPr>
              <w:t>名称</w:t>
            </w:r>
          </w:p>
        </w:tc>
        <w:tc>
          <w:tcPr>
            <w:tcW w:w="945"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项目名称</w:t>
            </w:r>
          </w:p>
        </w:tc>
        <w:tc>
          <w:tcPr>
            <w:tcW w:w="968"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预算数</w:t>
            </w:r>
          </w:p>
        </w:tc>
        <w:tc>
          <w:tcPr>
            <w:tcW w:w="1807"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年度目标</w:t>
            </w:r>
          </w:p>
        </w:tc>
        <w:tc>
          <w:tcPr>
            <w:tcW w:w="780"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一级指标</w:t>
            </w:r>
          </w:p>
        </w:tc>
        <w:tc>
          <w:tcPr>
            <w:tcW w:w="963"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二级指标</w:t>
            </w:r>
          </w:p>
        </w:tc>
        <w:tc>
          <w:tcPr>
            <w:tcW w:w="900"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三级指标</w:t>
            </w:r>
          </w:p>
        </w:tc>
        <w:tc>
          <w:tcPr>
            <w:tcW w:w="487"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指标性质</w:t>
            </w:r>
          </w:p>
        </w:tc>
        <w:tc>
          <w:tcPr>
            <w:tcW w:w="788"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指标值</w:t>
            </w:r>
          </w:p>
        </w:tc>
        <w:tc>
          <w:tcPr>
            <w:tcW w:w="550"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度量单位</w:t>
            </w:r>
          </w:p>
        </w:tc>
        <w:tc>
          <w:tcPr>
            <w:tcW w:w="362"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权重</w:t>
            </w:r>
          </w:p>
        </w:tc>
        <w:tc>
          <w:tcPr>
            <w:tcW w:w="438"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0" w:hRule="atLeast"/>
        </w:trPr>
        <w:tc>
          <w:tcPr>
            <w:tcW w:w="637"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119-红原县纪委</w:t>
            </w:r>
          </w:p>
        </w:tc>
        <w:tc>
          <w:tcPr>
            <w:tcW w:w="945"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rPr>
                <w:rFonts w:hint="eastAsia" w:ascii="黑体" w:hAnsi="黑体" w:eastAsia="黑体" w:cs="黑体"/>
                <w:i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2,535.88</w:t>
            </w:r>
          </w:p>
        </w:tc>
        <w:tc>
          <w:tcPr>
            <w:tcW w:w="1807"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rPr>
                <w:rFonts w:hint="eastAsia" w:ascii="黑体" w:hAnsi="黑体" w:eastAsia="黑体" w:cs="黑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rPr>
                <w:rFonts w:hint="eastAsia" w:ascii="黑体" w:hAnsi="黑体" w:eastAsia="黑体" w:cs="黑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rPr>
                <w:rFonts w:hint="eastAsia" w:ascii="黑体" w:hAnsi="黑体" w:eastAsia="黑体" w:cs="黑体"/>
                <w:i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rPr>
                <w:rFonts w:hint="eastAsia" w:ascii="黑体" w:hAnsi="黑体" w:eastAsia="黑体" w:cs="黑体"/>
                <w:i w:val="0"/>
                <w:color w:val="000000"/>
                <w:sz w:val="18"/>
                <w:szCs w:val="18"/>
                <w:u w:val="none"/>
              </w:rPr>
            </w:pPr>
          </w:p>
        </w:tc>
        <w:tc>
          <w:tcPr>
            <w:tcW w:w="487"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rPr>
                <w:rFonts w:hint="eastAsia" w:ascii="黑体" w:hAnsi="黑体" w:eastAsia="黑体" w:cs="黑体"/>
                <w:i w:val="0"/>
                <w:color w:val="000000"/>
                <w:sz w:val="18"/>
                <w:szCs w:val="18"/>
                <w:u w:val="none"/>
              </w:rPr>
            </w:pPr>
          </w:p>
        </w:tc>
        <w:tc>
          <w:tcPr>
            <w:tcW w:w="788"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rPr>
                <w:rFonts w:hint="eastAsia" w:ascii="黑体" w:hAnsi="黑体" w:eastAsia="黑体" w:cs="黑体"/>
                <w:i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rPr>
                <w:rFonts w:hint="eastAsia" w:ascii="黑体" w:hAnsi="黑体" w:eastAsia="黑体" w:cs="黑体"/>
                <w:i w:val="0"/>
                <w:color w:val="000000"/>
                <w:sz w:val="18"/>
                <w:szCs w:val="18"/>
                <w:u w:val="none"/>
              </w:rPr>
            </w:pPr>
          </w:p>
        </w:tc>
        <w:tc>
          <w:tcPr>
            <w:tcW w:w="362"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rPr>
                <w:rFonts w:hint="eastAsia" w:ascii="黑体" w:hAnsi="黑体" w:eastAsia="黑体" w:cs="黑体"/>
                <w:i w:val="0"/>
                <w:color w:val="000000"/>
                <w:sz w:val="18"/>
                <w:szCs w:val="18"/>
                <w:u w:val="none"/>
              </w:rPr>
            </w:pPr>
          </w:p>
        </w:tc>
        <w:tc>
          <w:tcPr>
            <w:tcW w:w="438" w:type="dxa"/>
            <w:tcBorders>
              <w:top w:val="single" w:color="000000" w:sz="4" w:space="0"/>
              <w:left w:val="single" w:color="000000" w:sz="4" w:space="0"/>
              <w:bottom w:val="single" w:color="000000" w:sz="4" w:space="0"/>
              <w:right w:val="single" w:color="000000" w:sz="4" w:space="0"/>
            </w:tcBorders>
            <w:shd w:val="clear" w:color="F7F7F7" w:fill="F7F7F7"/>
            <w:tcMar>
              <w:top w:w="15" w:type="dxa"/>
              <w:left w:w="15" w:type="dxa"/>
              <w:right w:w="15" w:type="dxa"/>
            </w:tcMar>
            <w:vAlign w:val="center"/>
          </w:tcPr>
          <w:p>
            <w:pPr>
              <w:rPr>
                <w:rFonts w:hint="eastAsia" w:ascii="黑体" w:hAnsi="黑体" w:eastAsia="黑体" w:cs="黑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119001-红原县纪委机关</w:t>
            </w: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51323321T000000102551-县纪委办案、巡察经费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项目资金严格按照项目资金绩效目标使用，用于办案、巡视办公经费支出，办案人员、巡视人员差旅费支出及办案、巡视公务用车运行维护费支出。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案件办理任务完成数</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52</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件</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保障办案顺利进行</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有效保障</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51323322Y000000274175-党建群众工作经费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8.05</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0"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51323323R000008370415-年度考核奖</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111.56</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51323324R000010090540-工资支出</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216.67</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51323324R000010091299-社会保障缴费—机关事业单位基本养老保险缴费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120.52</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51323324R000010091464-社会保障缴费—职业年金缴费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60.26</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51323324R000010091631-社会保障缴费—职工基本医疗保险缴费行政</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56.34</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51323324R000010092035-社会保障缴费—公务员医疗补助缴费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13.63</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51323324R000010092418-住房公积金缴费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100.36</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51323324R000010092593-社会保障缴费—其他社保缴费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13.16</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51323324R000010092775-在职人员体检费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7.85</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51323324R000010738493-退休人员经费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1.89</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51323324R000010744634-年终一次性奖金（新设）</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18.74</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51323324R000010744866-公务员规范津贴补贴（新设）</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162.90</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51323324R000010745063-公务员基础绩效奖（新设）</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193.19</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51323324R000010747689-艰苦边远地区津贴（新设）</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153.20</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51323324R000010748401-高海拔地区折算工龄补贴（新设）</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47.56</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51323324R000010749251-乡镇工作补贴（新设）</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0.10</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51323324R000010749420-机关人员职务与职级并行制度（新设）</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10.77</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51323324R000011023313-其他津贴（新设）</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4.20</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51323324T000011894984-监督执纪工作经费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96.00</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监督执纪经费主要用于留置点及监督执纪工作日常运行，监督执纪中办公费、差旅费、公车运行费等的支出。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全年完成52件立案任务数</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52</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件</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净化全县政治环境</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8"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增强案件质效，群众满意度高98%</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51323324T000011973823-红原县纪委监委业务用房提升改造项目</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880.09</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年内完成项目建设</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项目质量合格</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合格</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收缴违纪违法款</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投资额</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8800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51323324Y000010093360-单位非定额公用经费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121.06</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0"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51323324Y000010716868-工会经费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9.66</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0"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51323325R000012306376-年终一次性奖金（非）</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0.50</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8"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51323325R000012308065-社会保障缴费—公务员医疗补助缴费（非）</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0.22</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51323325R000012308478-社会保障缴费—职工基本医疗保险缴费行政（非）</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6.78</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0"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51323325T000012131808-党纪学习教育活动经费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20.67</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根据红原县党纪学习教育活动安排，纪委与组织部共同组织廉洁教育，县委警示教育等活动，所产生的办公费、租车费、物资采购费、宣传拍摄等费用支出。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开展相关教育培训、主题活动、巡演、巡讲、比赛等宣传活动质量达标率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8"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弘扬主旋律、传播正能力的影响或提升程度</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合格</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社会公众满意度</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8"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51323325T000012131858-中央纪检监察转移支付资金</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31.00</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按照二十届中央经委三次全会部署，坚持稳中求进，着力提升基层纪检监察机关监督能力，保障高效履行党章和宪法的职责，为基层纵深推进新征程纪监察工作高质量发展提供有力支撑。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完成群腐集中整治线索得置完成率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8"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通过集中整治群腐避免（挽回）经济损失</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340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8"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51323325T000013148839-退休人员一次性退休补贴</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4.77</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8"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51323325T000013188011-郑莉、许琼、泽郎基退休人员建房补帖</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3.60</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119002-红原县纪委事业</w:t>
            </w: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51323322Y000000274175-党建群众工作经费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0.27</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0"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51323323R000008370415-年度考核奖</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3.40</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51323323T000008154715-县委巡察办巡察工作专项经费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对标巡视巡察工作新部署要求，确保县委巡察工作有力有序开展。</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全年巡察单位任务数</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有效规范工作行为</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效果显著</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被巡察对象满意度</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51323324R000010090540-工资支出</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5.68</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51323324R000010091299-社会保障缴费—机关事业单位基本养老保险缴费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3.25</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51323324R000010091464-社会保障缴费—职业年金缴费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1.62</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51323324R000010091824-社会保障缴费—职工基本医疗保险缴费事业</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1.68</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51323324R000010092035-社会保障缴费—公务员医疗补助缴费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0.33</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51323324R000010092418-住房公积金缴费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2.65</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51323324R000010092593-社会保障缴费—其他社保缴费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0.58</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51323324R000010092775-在职人员体检费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0.30</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51323324R000010745063-公务员基础绩效奖（新设）</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4.71</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51323324R000010745617-事业单位绩效工资（新设）</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4.51</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51323324R000010747689-艰苦边远地区津贴（新设）</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4.42</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51323324R000010748401-高海拔地区折算工龄补贴（新设）</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1.51</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51323324R000011023313-其他津贴（新设）</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0.13</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51323324Y000010093360-单位非定额公用经费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4.82</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0"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51323324Y000010716868-工会经费</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0.32</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0"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51323325R000012306376-年终一次性奖金（非）</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0.40</w:t>
            </w:r>
          </w:p>
        </w:tc>
        <w:tc>
          <w:tcPr>
            <w:tcW w:w="18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8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bl>
    <w:p>
      <w:pPr>
        <w:pageBreakBefore w:val="0"/>
        <w:kinsoku/>
        <w:wordWrap/>
        <w:overflowPunct/>
        <w:topLinePunct w:val="0"/>
        <w:bidi w:val="0"/>
        <w:spacing w:beforeAutospacing="0" w:afterAutospacing="0" w:line="576" w:lineRule="exact"/>
        <w:ind w:left="0" w:leftChars="0" w:right="0"/>
        <w:outlineLvl w:val="0"/>
        <w:rPr>
          <w:rFonts w:hint="eastAsia" w:ascii="仿宋_GB2312" w:hAnsi="仿宋_GB2312" w:eastAsia="仿宋_GB2312" w:cs="仿宋_GB2312"/>
          <w:sz w:val="44"/>
          <w:szCs w:val="44"/>
        </w:rPr>
      </w:pPr>
    </w:p>
    <w:p>
      <w:pPr>
        <w:pageBreakBefore w:val="0"/>
        <w:kinsoku/>
        <w:wordWrap/>
        <w:overflowPunct/>
        <w:topLinePunct w:val="0"/>
        <w:bidi w:val="0"/>
        <w:spacing w:beforeAutospacing="0" w:afterAutospacing="0" w:line="576" w:lineRule="exact"/>
        <w:ind w:left="0" w:leftChars="0" w:right="0"/>
        <w:jc w:val="center"/>
        <w:outlineLvl w:val="0"/>
        <w:rPr>
          <w:rStyle w:val="20"/>
          <w:rFonts w:hint="eastAsia" w:ascii="方正小标宋简体" w:hAnsi="方正小标宋简体" w:eastAsia="方正小标宋简体" w:cs="方正小标宋简体"/>
          <w:b w:val="0"/>
          <w:bCs w:val="0"/>
          <w:kern w:val="2"/>
          <w:sz w:val="44"/>
          <w:szCs w:val="44"/>
        </w:rPr>
      </w:pPr>
      <w:r>
        <w:rPr>
          <w:rFonts w:hint="eastAsia" w:ascii="方正小标宋简体" w:hAnsi="方正小标宋简体" w:eastAsia="方正小标宋简体" w:cs="方正小标宋简体"/>
          <w:sz w:val="44"/>
          <w:szCs w:val="44"/>
        </w:rPr>
        <w:t>第</w:t>
      </w:r>
      <w:r>
        <w:rPr>
          <w:rStyle w:val="20"/>
          <w:rFonts w:hint="eastAsia" w:ascii="方正小标宋简体" w:hAnsi="方正小标宋简体" w:eastAsia="方正小标宋简体" w:cs="方正小标宋简体"/>
          <w:b w:val="0"/>
          <w:sz w:val="44"/>
          <w:szCs w:val="44"/>
        </w:rPr>
        <w:t>四部分 附件</w:t>
      </w:r>
      <w:bookmarkEnd w:id="101"/>
      <w:bookmarkEnd w:id="102"/>
    </w:p>
    <w:p>
      <w:pPr>
        <w:pageBreakBefore w:val="0"/>
        <w:widowControl/>
        <w:kinsoku/>
        <w:wordWrap/>
        <w:overflowPunct/>
        <w:topLinePunct w:val="0"/>
        <w:bidi w:val="0"/>
        <w:spacing w:beforeAutospacing="0" w:afterAutospacing="0" w:line="576" w:lineRule="exact"/>
        <w:ind w:left="0" w:leftChars="0" w:right="0"/>
        <w:contextualSpacing/>
        <w:jc w:val="center"/>
        <w:rPr>
          <w:rFonts w:hint="eastAsia" w:ascii="方正小标宋简体" w:hAnsi="方正小标宋简体" w:eastAsia="方正小标宋简体" w:cs="方正小标宋简体"/>
          <w:b w:val="0"/>
          <w:bCs/>
          <w:sz w:val="44"/>
          <w:szCs w:val="44"/>
          <w:shd w:val="clear" w:color="auto" w:fill="FFFFFF"/>
        </w:rPr>
      </w:pPr>
    </w:p>
    <w:p>
      <w:pPr>
        <w:pageBreakBefore w:val="0"/>
        <w:widowControl/>
        <w:kinsoku/>
        <w:wordWrap/>
        <w:overflowPunct/>
        <w:topLinePunct w:val="0"/>
        <w:bidi w:val="0"/>
        <w:spacing w:beforeAutospacing="0" w:afterAutospacing="0" w:line="576" w:lineRule="exact"/>
        <w:ind w:left="0" w:leftChars="0" w:right="0"/>
        <w:contextualSpacing/>
        <w:jc w:val="center"/>
        <w:rPr>
          <w:rFonts w:hint="eastAsia" w:ascii="方正小标宋简体" w:hAnsi="方正小标宋简体" w:eastAsia="方正小标宋简体" w:cs="方正小标宋简体"/>
          <w:b/>
          <w:bCs w:val="0"/>
          <w:sz w:val="44"/>
          <w:szCs w:val="44"/>
          <w:shd w:val="clear" w:color="auto" w:fill="FFFFFF"/>
        </w:rPr>
      </w:pPr>
      <w:r>
        <w:rPr>
          <w:rFonts w:hint="eastAsia" w:ascii="方正小标宋简体" w:hAnsi="方正小标宋简体" w:eastAsia="方正小标宋简体" w:cs="方正小标宋简体"/>
          <w:b/>
          <w:bCs w:val="0"/>
          <w:sz w:val="44"/>
          <w:szCs w:val="44"/>
          <w:shd w:val="clear" w:color="auto" w:fill="FFFFFF"/>
        </w:rPr>
        <w:t>中共红原县纪律检查委员会</w:t>
      </w:r>
    </w:p>
    <w:p>
      <w:pPr>
        <w:pageBreakBefore w:val="0"/>
        <w:widowControl/>
        <w:kinsoku/>
        <w:wordWrap/>
        <w:overflowPunct/>
        <w:topLinePunct w:val="0"/>
        <w:bidi w:val="0"/>
        <w:spacing w:beforeAutospacing="0" w:afterAutospacing="0" w:line="576" w:lineRule="exact"/>
        <w:ind w:left="0" w:leftChars="0" w:right="0"/>
        <w:contextualSpacing/>
        <w:jc w:val="center"/>
        <w:rPr>
          <w:rFonts w:hint="eastAsia" w:ascii="方正小标宋简体" w:hAnsi="方正小标宋简体" w:eastAsia="方正小标宋简体" w:cs="方正小标宋简体"/>
          <w:b/>
          <w:bCs w:val="0"/>
          <w:sz w:val="44"/>
          <w:szCs w:val="44"/>
          <w:shd w:val="clear" w:color="auto" w:fill="FFFFFF"/>
        </w:rPr>
      </w:pPr>
      <w:bookmarkStart w:id="103" w:name="_Toc63"/>
      <w:bookmarkStart w:id="104" w:name="_Toc15396618"/>
      <w:r>
        <w:rPr>
          <w:rFonts w:hint="eastAsia" w:ascii="方正小标宋简体" w:hAnsi="方正小标宋简体" w:eastAsia="方正小标宋简体" w:cs="方正小标宋简体"/>
          <w:b/>
          <w:bCs w:val="0"/>
          <w:sz w:val="44"/>
          <w:szCs w:val="44"/>
          <w:shd w:val="clear" w:color="auto" w:fill="FFFFFF"/>
          <w:lang w:eastAsia="zh-CN"/>
        </w:rPr>
        <w:t>关于</w:t>
      </w:r>
      <w:r>
        <w:rPr>
          <w:rFonts w:hint="eastAsia" w:ascii="方正小标宋简体" w:hAnsi="方正小标宋简体" w:eastAsia="方正小标宋简体" w:cs="方正小标宋简体"/>
          <w:b/>
          <w:bCs w:val="0"/>
          <w:sz w:val="44"/>
          <w:szCs w:val="44"/>
          <w:shd w:val="clear" w:color="auto" w:fill="FFFFFF"/>
        </w:rPr>
        <w:t>2</w:t>
      </w:r>
      <w:r>
        <w:rPr>
          <w:rFonts w:hint="eastAsia" w:ascii="方正小标宋简体" w:hAnsi="方正小标宋简体" w:eastAsia="方正小标宋简体" w:cs="方正小标宋简体"/>
          <w:b/>
          <w:bCs w:val="0"/>
          <w:sz w:val="44"/>
          <w:szCs w:val="44"/>
          <w:shd w:val="clear" w:color="auto" w:fill="FFFFFF"/>
          <w:lang w:val="en-US" w:eastAsia="zh-CN"/>
        </w:rPr>
        <w:t>024</w:t>
      </w:r>
      <w:r>
        <w:rPr>
          <w:rFonts w:hint="eastAsia" w:ascii="方正小标宋简体" w:hAnsi="方正小标宋简体" w:eastAsia="方正小标宋简体" w:cs="方正小标宋简体"/>
          <w:b/>
          <w:bCs w:val="0"/>
          <w:sz w:val="44"/>
          <w:szCs w:val="44"/>
          <w:shd w:val="clear" w:color="auto" w:fill="FFFFFF"/>
        </w:rPr>
        <w:t>年</w:t>
      </w:r>
      <w:r>
        <w:rPr>
          <w:rFonts w:hint="eastAsia" w:ascii="方正小标宋简体" w:hAnsi="方正小标宋简体" w:eastAsia="方正小标宋简体" w:cs="方正小标宋简体"/>
          <w:b/>
          <w:bCs w:val="0"/>
          <w:sz w:val="44"/>
          <w:szCs w:val="44"/>
          <w:shd w:val="clear" w:color="auto" w:fill="FFFFFF"/>
          <w:lang w:eastAsia="zh-CN"/>
        </w:rPr>
        <w:t>度</w:t>
      </w:r>
      <w:r>
        <w:rPr>
          <w:rFonts w:hint="eastAsia" w:ascii="方正小标宋简体" w:hAnsi="方正小标宋简体" w:eastAsia="方正小标宋简体" w:cs="方正小标宋简体"/>
          <w:b/>
          <w:bCs w:val="0"/>
          <w:sz w:val="44"/>
          <w:szCs w:val="44"/>
          <w:shd w:val="clear" w:color="auto" w:fill="FFFFFF"/>
        </w:rPr>
        <w:t>部门整体支出绩效评价</w:t>
      </w:r>
    </w:p>
    <w:p>
      <w:pPr>
        <w:pageBreakBefore w:val="0"/>
        <w:widowControl/>
        <w:kinsoku/>
        <w:wordWrap/>
        <w:overflowPunct/>
        <w:topLinePunct w:val="0"/>
        <w:bidi w:val="0"/>
        <w:spacing w:beforeAutospacing="0" w:afterAutospacing="0" w:line="576" w:lineRule="exact"/>
        <w:ind w:left="0" w:leftChars="0" w:right="0"/>
        <w:contextualSpacing/>
        <w:jc w:val="center"/>
        <w:rPr>
          <w:rFonts w:hint="eastAsia" w:ascii="仿宋_GB2312" w:hAnsi="仿宋_GB2312" w:eastAsia="仿宋_GB2312" w:cs="仿宋_GB2312"/>
          <w:b/>
          <w:bCs w:val="0"/>
          <w:color w:val="000000"/>
          <w:kern w:val="0"/>
          <w:sz w:val="24"/>
          <w:szCs w:val="32"/>
          <w:shd w:val="clear" w:color="auto" w:fill="FFFFFF"/>
        </w:rPr>
      </w:pPr>
      <w:r>
        <w:rPr>
          <w:rFonts w:hint="eastAsia" w:ascii="方正小标宋简体" w:hAnsi="方正小标宋简体" w:eastAsia="方正小标宋简体" w:cs="方正小标宋简体"/>
          <w:b/>
          <w:bCs w:val="0"/>
          <w:sz w:val="44"/>
          <w:szCs w:val="44"/>
          <w:shd w:val="clear" w:color="auto" w:fill="FFFFFF"/>
          <w:lang w:eastAsia="zh-CN"/>
        </w:rPr>
        <w:t>自评</w:t>
      </w:r>
      <w:r>
        <w:rPr>
          <w:rFonts w:hint="eastAsia" w:ascii="方正小标宋简体" w:hAnsi="方正小标宋简体" w:eastAsia="方正小标宋简体" w:cs="方正小标宋简体"/>
          <w:b/>
          <w:bCs w:val="0"/>
          <w:sz w:val="44"/>
          <w:szCs w:val="44"/>
          <w:shd w:val="clear" w:color="auto" w:fill="FFFFFF"/>
        </w:rPr>
        <w:t>报告</w:t>
      </w:r>
    </w:p>
    <w:p>
      <w:pPr>
        <w:pageBreakBefore w:val="0"/>
        <w:widowControl/>
        <w:kinsoku/>
        <w:wordWrap/>
        <w:overflowPunct/>
        <w:topLinePunct w:val="0"/>
        <w:autoSpaceDE/>
        <w:autoSpaceDN/>
        <w:bidi w:val="0"/>
        <w:adjustRightInd w:val="0"/>
        <w:snapToGrid w:val="0"/>
        <w:spacing w:line="570" w:lineRule="exact"/>
        <w:ind w:firstLine="640" w:firstLineChars="200"/>
        <w:contextualSpacing/>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zh-CN" w:eastAsia="zh-CN" w:bidi="ar-SA"/>
        </w:rPr>
        <w:t>一、部门（单位）基本情况</w:t>
      </w:r>
    </w:p>
    <w:p>
      <w:pPr>
        <w:keepNext w:val="0"/>
        <w:keepLines w:val="0"/>
        <w:pageBreakBefore w:val="0"/>
        <w:kinsoku/>
        <w:wordWrap/>
        <w:overflowPunct/>
        <w:topLinePunct w:val="0"/>
        <w:autoSpaceDE w:val="0"/>
        <w:autoSpaceDN w:val="0"/>
        <w:bidi w:val="0"/>
        <w:adjustRightInd w:val="0"/>
        <w:spacing w:beforeAutospacing="0" w:afterAutospacing="0" w:line="576" w:lineRule="exact"/>
        <w:ind w:right="0" w:firstLine="643" w:firstLineChars="200"/>
        <w:jc w:val="left"/>
        <w:textAlignment w:val="auto"/>
        <w:outlineLvl w:val="2"/>
        <w:rPr>
          <w:rFonts w:hint="eastAsia" w:ascii="楷体_GB2312" w:hAnsi="楷体_GB2312" w:eastAsia="楷体_GB2312" w:cs="楷体_GB2312"/>
          <w:b/>
          <w:sz w:val="32"/>
          <w:szCs w:val="32"/>
          <w:lang w:val="zh-CN" w:eastAsia="zh-CN"/>
        </w:rPr>
      </w:pPr>
      <w:r>
        <w:rPr>
          <w:rFonts w:hint="eastAsia" w:ascii="楷体_GB2312" w:hAnsi="楷体_GB2312" w:eastAsia="楷体_GB2312" w:cs="楷体_GB2312"/>
          <w:b/>
          <w:sz w:val="32"/>
          <w:szCs w:val="32"/>
          <w:lang w:val="zh-CN" w:eastAsia="zh-CN"/>
        </w:rPr>
        <w:t>（一）机构组成</w:t>
      </w:r>
    </w:p>
    <w:p>
      <w:pPr>
        <w:pageBreakBefore w:val="0"/>
        <w:widowControl/>
        <w:kinsoku/>
        <w:wordWrap/>
        <w:overflowPunct/>
        <w:topLinePunct w:val="0"/>
        <w:autoSpaceDE/>
        <w:autoSpaceDN/>
        <w:bidi w:val="0"/>
        <w:adjustRightInd w:val="0"/>
        <w:snapToGrid w:val="0"/>
        <w:spacing w:line="570" w:lineRule="exact"/>
        <w:ind w:firstLine="640" w:firstLineChars="200"/>
        <w:contextualSpacing/>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我单位为独立核算全额拨款行政单位，下</w:t>
      </w:r>
      <w:r>
        <w:rPr>
          <w:rFonts w:hint="eastAsia" w:ascii="Times New Roman" w:hAnsi="Times New Roman" w:eastAsia="仿宋_GB2312" w:cs="Times New Roman"/>
          <w:kern w:val="2"/>
          <w:sz w:val="32"/>
          <w:szCs w:val="32"/>
          <w:lang w:val="en-US" w:eastAsia="zh-CN" w:bidi="ar-SA"/>
        </w:rPr>
        <w:t>设</w:t>
      </w:r>
      <w:r>
        <w:rPr>
          <w:rFonts w:hint="default" w:ascii="Times New Roman" w:hAnsi="Times New Roman" w:eastAsia="仿宋_GB2312" w:cs="Times New Roman"/>
          <w:kern w:val="2"/>
          <w:sz w:val="32"/>
          <w:szCs w:val="32"/>
          <w:lang w:val="en-US" w:eastAsia="zh-CN" w:bidi="ar-SA"/>
        </w:rPr>
        <w:t>1个事业机构是：</w:t>
      </w:r>
      <w:r>
        <w:rPr>
          <w:rFonts w:hint="eastAsia" w:ascii="Times New Roman" w:hAnsi="Times New Roman" w:eastAsia="仿宋_GB2312" w:cs="Times New Roman"/>
          <w:kern w:val="2"/>
          <w:sz w:val="32"/>
          <w:szCs w:val="32"/>
          <w:lang w:val="en-US" w:eastAsia="zh-CN" w:bidi="ar-SA"/>
        </w:rPr>
        <w:t>中共红原县委巡察办服务保障中心（巡察办）。</w:t>
      </w:r>
    </w:p>
    <w:p>
      <w:pPr>
        <w:pageBreakBefore w:val="0"/>
        <w:widowControl/>
        <w:kinsoku/>
        <w:wordWrap/>
        <w:overflowPunct/>
        <w:topLinePunct w:val="0"/>
        <w:autoSpaceDE/>
        <w:autoSpaceDN/>
        <w:bidi w:val="0"/>
        <w:adjustRightInd w:val="0"/>
        <w:snapToGrid w:val="0"/>
        <w:spacing w:line="570" w:lineRule="exact"/>
        <w:ind w:firstLine="640" w:firstLineChars="200"/>
        <w:contextualSpacing/>
        <w:jc w:val="left"/>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机构职能</w:t>
      </w:r>
    </w:p>
    <w:p>
      <w:pPr>
        <w:pageBreakBefore w:val="0"/>
        <w:widowControl/>
        <w:kinsoku/>
        <w:wordWrap/>
        <w:overflowPunct/>
        <w:topLinePunct w:val="0"/>
        <w:autoSpaceDE/>
        <w:autoSpaceDN/>
        <w:bidi w:val="0"/>
        <w:adjustRightInd w:val="0"/>
        <w:snapToGrid w:val="0"/>
        <w:spacing w:line="570" w:lineRule="exact"/>
        <w:ind w:firstLine="640" w:firstLineChars="200"/>
        <w:contextualSpacing/>
        <w:jc w:val="left"/>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主要职能。主管全县的纪律检查工作。负责贯彻落实党中央、省、州、县委关于加强党风廉政建设的决定，维护党的章程和其他党内法规，检查党的路线、方针、政府和决议的执行情况。主管全县行政监察工作。负责中央、国务院、中纪委、监察部、省、州、县委、政府省监察厅、州监察局和县委、政府政府有关监察工作的决定，监督检查政府颁发的决议和命令的情况，维护行政纪律，保证政令畅通。负责调查处理县级党政机关各部门、各机关党委（支部）的党员干部违反党的章程及其它党内法规的案件，决定给予或取消对这案件中的党员和处分；处理党员的控告和申诉，查处违纪案件。按照州纪委、州监察局和县委、政府的要求，负责作出关于维护党纪的决定，制定全县的党风廉政建设、反腐败工作的计划，协助县委、县政府搞好党风廉政建设、反腐败工作计划，协助县委、县政府搞好党风廉政建设、反腐败工作和对党员的遵纪守法的教育工作。加强对领导干部的管理和监督，全同组织、人事部门搞好对新上任领导干部的监督检查。承办州纪委、州监察局和县委、县政府授权和交办的其它工作任务。负责党风廉政建设和反腐败斗争的组织协调工作职能。负责科级领导干部党风廉政情况的考察工作职能。负责乡镇纪检组织建设和考核工作职能。</w:t>
      </w:r>
    </w:p>
    <w:p>
      <w:pPr>
        <w:keepNext w:val="0"/>
        <w:keepLines w:val="0"/>
        <w:pageBreakBefore w:val="0"/>
        <w:kinsoku/>
        <w:wordWrap/>
        <w:overflowPunct/>
        <w:topLinePunct w:val="0"/>
        <w:autoSpaceDE w:val="0"/>
        <w:autoSpaceDN w:val="0"/>
        <w:bidi w:val="0"/>
        <w:adjustRightInd w:val="0"/>
        <w:spacing w:beforeAutospacing="0" w:afterAutospacing="0" w:line="576" w:lineRule="exact"/>
        <w:ind w:right="0" w:firstLine="643" w:firstLineChars="200"/>
        <w:jc w:val="left"/>
        <w:textAlignment w:val="auto"/>
        <w:outlineLvl w:val="2"/>
        <w:rPr>
          <w:rFonts w:hint="default" w:ascii="楷体_GB2312" w:hAnsi="楷体_GB2312" w:eastAsia="楷体_GB2312" w:cs="楷体_GB2312"/>
          <w:b/>
          <w:sz w:val="32"/>
          <w:szCs w:val="32"/>
          <w:lang w:val="zh-CN" w:eastAsia="zh-CN"/>
        </w:rPr>
      </w:pPr>
      <w:r>
        <w:rPr>
          <w:rFonts w:hint="default" w:ascii="楷体_GB2312" w:hAnsi="楷体_GB2312" w:eastAsia="楷体_GB2312" w:cs="楷体_GB2312"/>
          <w:b/>
          <w:sz w:val="32"/>
          <w:szCs w:val="32"/>
          <w:lang w:val="zh-CN" w:eastAsia="zh-CN"/>
        </w:rPr>
        <w:t>（</w:t>
      </w:r>
      <w:r>
        <w:rPr>
          <w:rFonts w:hint="eastAsia" w:ascii="楷体_GB2312" w:hAnsi="楷体_GB2312" w:eastAsia="楷体_GB2312" w:cs="楷体_GB2312"/>
          <w:b/>
          <w:sz w:val="32"/>
          <w:szCs w:val="32"/>
          <w:lang w:val="zh-CN" w:eastAsia="zh-CN"/>
        </w:rPr>
        <w:t>二</w:t>
      </w:r>
      <w:r>
        <w:rPr>
          <w:rFonts w:hint="default" w:ascii="楷体_GB2312" w:hAnsi="楷体_GB2312" w:eastAsia="楷体_GB2312" w:cs="楷体_GB2312"/>
          <w:b/>
          <w:sz w:val="32"/>
          <w:szCs w:val="32"/>
          <w:lang w:val="zh-CN" w:eastAsia="zh-CN"/>
        </w:rPr>
        <w:t>）人员概况</w:t>
      </w:r>
    </w:p>
    <w:p>
      <w:pPr>
        <w:pageBreakBefore w:val="0"/>
        <w:widowControl/>
        <w:kinsoku/>
        <w:wordWrap/>
        <w:overflowPunct/>
        <w:topLinePunct w:val="0"/>
        <w:autoSpaceDE/>
        <w:autoSpaceDN/>
        <w:bidi w:val="0"/>
        <w:adjustRightInd w:val="0"/>
        <w:snapToGrid w:val="0"/>
        <w:spacing w:line="570" w:lineRule="exact"/>
        <w:ind w:firstLine="640" w:firstLineChars="200"/>
        <w:contextualSpacing/>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红原县纪委监委、巡察办2024年公务员编制47人，工勤编制2人、事业编制3人。年末实有在职公务员46人，工勤4人、事业1人。</w:t>
      </w:r>
    </w:p>
    <w:p>
      <w:pPr>
        <w:pageBreakBefore w:val="0"/>
        <w:widowControl/>
        <w:kinsoku/>
        <w:wordWrap/>
        <w:overflowPunct/>
        <w:topLinePunct w:val="0"/>
        <w:autoSpaceDE/>
        <w:autoSpaceDN/>
        <w:bidi w:val="0"/>
        <w:adjustRightInd w:val="0"/>
        <w:snapToGrid w:val="0"/>
        <w:spacing w:line="570" w:lineRule="exact"/>
        <w:ind w:firstLine="640" w:firstLineChars="200"/>
        <w:contextualSpacing/>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二、部门资金收支情况</w:t>
      </w:r>
    </w:p>
    <w:p>
      <w:pPr>
        <w:keepNext w:val="0"/>
        <w:keepLines w:val="0"/>
        <w:pageBreakBefore w:val="0"/>
        <w:kinsoku/>
        <w:wordWrap/>
        <w:overflowPunct/>
        <w:topLinePunct w:val="0"/>
        <w:autoSpaceDE w:val="0"/>
        <w:autoSpaceDN w:val="0"/>
        <w:bidi w:val="0"/>
        <w:adjustRightInd w:val="0"/>
        <w:spacing w:beforeAutospacing="0" w:afterAutospacing="0" w:line="576" w:lineRule="exact"/>
        <w:ind w:right="0" w:firstLine="643" w:firstLineChars="200"/>
        <w:jc w:val="left"/>
        <w:textAlignment w:val="auto"/>
        <w:outlineLvl w:val="2"/>
        <w:rPr>
          <w:rFonts w:hint="default" w:ascii="楷体_GB2312" w:hAnsi="楷体_GB2312" w:eastAsia="楷体_GB2312" w:cs="楷体_GB2312"/>
          <w:b/>
          <w:sz w:val="32"/>
          <w:szCs w:val="32"/>
          <w:lang w:val="zh-CN" w:eastAsia="zh-CN"/>
        </w:rPr>
      </w:pPr>
      <w:r>
        <w:rPr>
          <w:rFonts w:hint="default" w:ascii="楷体_GB2312" w:hAnsi="楷体_GB2312" w:eastAsia="楷体_GB2312" w:cs="楷体_GB2312"/>
          <w:b/>
          <w:sz w:val="32"/>
          <w:szCs w:val="32"/>
          <w:lang w:val="zh-CN" w:eastAsia="zh-CN"/>
        </w:rPr>
        <w:t>（一）收入情况</w:t>
      </w:r>
    </w:p>
    <w:p>
      <w:pPr>
        <w:pageBreakBefore w:val="0"/>
        <w:widowControl/>
        <w:kinsoku/>
        <w:wordWrap/>
        <w:overflowPunct/>
        <w:topLinePunct w:val="0"/>
        <w:autoSpaceDE/>
        <w:autoSpaceDN/>
        <w:bidi w:val="0"/>
        <w:adjustRightInd w:val="0"/>
        <w:snapToGrid w:val="0"/>
        <w:spacing w:line="570" w:lineRule="exact"/>
        <w:ind w:firstLine="640" w:firstLineChars="200"/>
        <w:contextualSpacing/>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2024年我</w:t>
      </w:r>
      <w:r>
        <w:rPr>
          <w:rFonts w:hint="eastAsia" w:ascii="Times New Roman" w:hAnsi="Times New Roman" w:eastAsia="仿宋_GB2312" w:cs="Times New Roman"/>
          <w:kern w:val="2"/>
          <w:sz w:val="32"/>
          <w:szCs w:val="32"/>
          <w:lang w:val="en-US" w:eastAsia="zh-CN" w:bidi="ar-SA"/>
        </w:rPr>
        <w:t>委</w:t>
      </w:r>
      <w:r>
        <w:rPr>
          <w:rFonts w:hint="default" w:ascii="Times New Roman" w:hAnsi="Times New Roman" w:eastAsia="仿宋_GB2312" w:cs="Times New Roman"/>
          <w:kern w:val="2"/>
          <w:sz w:val="32"/>
          <w:szCs w:val="32"/>
          <w:lang w:val="en-US" w:eastAsia="zh-CN" w:bidi="ar-SA"/>
        </w:rPr>
        <w:t>本年决算收入合计</w:t>
      </w:r>
      <w:r>
        <w:rPr>
          <w:rFonts w:hint="eastAsia" w:ascii="Times New Roman" w:hAnsi="Times New Roman" w:eastAsia="仿宋_GB2312" w:cs="Times New Roman"/>
          <w:kern w:val="2"/>
          <w:sz w:val="32"/>
          <w:szCs w:val="32"/>
          <w:lang w:val="en-US" w:eastAsia="zh-CN" w:bidi="ar-SA"/>
        </w:rPr>
        <w:t>2192.55万元</w:t>
      </w:r>
      <w:r>
        <w:rPr>
          <w:rFonts w:hint="default" w:ascii="Times New Roman" w:hAnsi="Times New Roman" w:eastAsia="仿宋_GB2312" w:cs="Times New Roman"/>
          <w:kern w:val="2"/>
          <w:sz w:val="32"/>
          <w:szCs w:val="32"/>
          <w:lang w:val="en-US" w:eastAsia="zh-CN" w:bidi="ar-SA"/>
        </w:rPr>
        <w:t>万元，其中一般公共预算财政拔款收入</w:t>
      </w:r>
      <w:r>
        <w:rPr>
          <w:rFonts w:hint="eastAsia" w:ascii="Times New Roman" w:hAnsi="Times New Roman" w:eastAsia="仿宋_GB2312" w:cs="Times New Roman"/>
          <w:kern w:val="2"/>
          <w:sz w:val="32"/>
          <w:szCs w:val="32"/>
          <w:lang w:val="en-US" w:eastAsia="zh-CN" w:bidi="ar-SA"/>
        </w:rPr>
        <w:t>2192.55</w:t>
      </w:r>
      <w:r>
        <w:rPr>
          <w:rFonts w:hint="default" w:ascii="Times New Roman" w:hAnsi="Times New Roman" w:eastAsia="仿宋_GB2312" w:cs="Times New Roman"/>
          <w:kern w:val="2"/>
          <w:sz w:val="32"/>
          <w:szCs w:val="32"/>
          <w:lang w:val="en-US" w:eastAsia="zh-CN" w:bidi="ar-SA"/>
        </w:rPr>
        <w:t>万元。决算支出比上年增加</w:t>
      </w:r>
      <w:r>
        <w:rPr>
          <w:rFonts w:hint="eastAsia" w:ascii="Times New Roman" w:hAnsi="Times New Roman" w:eastAsia="仿宋_GB2312" w:cs="Times New Roman"/>
          <w:kern w:val="2"/>
          <w:sz w:val="32"/>
          <w:szCs w:val="32"/>
          <w:lang w:val="en-US" w:eastAsia="zh-CN" w:bidi="ar-SA"/>
        </w:rPr>
        <w:t>558.11</w:t>
      </w:r>
      <w:r>
        <w:rPr>
          <w:rFonts w:hint="default" w:ascii="Times New Roman" w:hAnsi="Times New Roman" w:eastAsia="仿宋_GB2312" w:cs="Times New Roman"/>
          <w:kern w:val="2"/>
          <w:sz w:val="32"/>
          <w:szCs w:val="32"/>
          <w:lang w:val="en-US" w:eastAsia="zh-CN" w:bidi="ar-SA"/>
        </w:rPr>
        <w:t>万元，增加</w:t>
      </w:r>
      <w:r>
        <w:rPr>
          <w:rFonts w:hint="eastAsia" w:ascii="Times New Roman" w:hAnsi="Times New Roman" w:eastAsia="仿宋_GB2312" w:cs="Times New Roman"/>
          <w:kern w:val="2"/>
          <w:sz w:val="32"/>
          <w:szCs w:val="32"/>
          <w:lang w:val="en-US" w:eastAsia="zh-CN" w:bidi="ar-SA"/>
        </w:rPr>
        <w:t>34.15</w:t>
      </w:r>
      <w:r>
        <w:rPr>
          <w:rFonts w:hint="default" w:ascii="Times New Roman" w:hAnsi="Times New Roman" w:eastAsia="仿宋_GB2312" w:cs="Times New Roman"/>
          <w:kern w:val="2"/>
          <w:sz w:val="32"/>
          <w:szCs w:val="32"/>
          <w:lang w:val="en-US" w:eastAsia="zh-CN" w:bidi="ar-SA"/>
        </w:rPr>
        <w:t>%，增加原因为</w:t>
      </w:r>
      <w:r>
        <w:rPr>
          <w:rFonts w:hint="eastAsia" w:ascii="Times New Roman" w:hAnsi="Times New Roman" w:eastAsia="仿宋_GB2312" w:cs="Times New Roman"/>
          <w:kern w:val="2"/>
          <w:sz w:val="32"/>
          <w:szCs w:val="32"/>
          <w:lang w:val="en-US" w:eastAsia="zh-CN" w:bidi="ar-SA"/>
        </w:rPr>
        <w:t>纪检监察中央转支付资金用于群腐工作31万元，红原县党纪学习教育经费20.67万元，纪委业委用房改扩建项目554.99万元</w:t>
      </w:r>
      <w:r>
        <w:rPr>
          <w:rFonts w:hint="default" w:ascii="Times New Roman" w:hAnsi="Times New Roman" w:eastAsia="仿宋_GB2312" w:cs="Times New Roman"/>
          <w:kern w:val="2"/>
          <w:sz w:val="32"/>
          <w:szCs w:val="32"/>
          <w:lang w:val="en-US" w:eastAsia="zh-CN" w:bidi="ar-SA"/>
        </w:rPr>
        <w:t>。</w:t>
      </w:r>
    </w:p>
    <w:p>
      <w:pPr>
        <w:keepNext w:val="0"/>
        <w:keepLines w:val="0"/>
        <w:pageBreakBefore w:val="0"/>
        <w:kinsoku/>
        <w:wordWrap/>
        <w:overflowPunct/>
        <w:topLinePunct w:val="0"/>
        <w:autoSpaceDE w:val="0"/>
        <w:autoSpaceDN w:val="0"/>
        <w:bidi w:val="0"/>
        <w:adjustRightInd w:val="0"/>
        <w:spacing w:beforeAutospacing="0" w:afterAutospacing="0" w:line="576" w:lineRule="exact"/>
        <w:ind w:right="0" w:firstLine="643" w:firstLineChars="200"/>
        <w:jc w:val="left"/>
        <w:textAlignment w:val="auto"/>
        <w:outlineLvl w:val="2"/>
        <w:rPr>
          <w:rFonts w:hint="default" w:ascii="楷体_GB2312" w:hAnsi="楷体_GB2312" w:eastAsia="楷体_GB2312" w:cs="楷体_GB2312"/>
          <w:b/>
          <w:sz w:val="32"/>
          <w:szCs w:val="32"/>
          <w:lang w:val="zh-CN" w:eastAsia="zh-CN"/>
        </w:rPr>
      </w:pPr>
      <w:r>
        <w:rPr>
          <w:rFonts w:hint="default" w:ascii="楷体_GB2312" w:hAnsi="楷体_GB2312" w:eastAsia="楷体_GB2312" w:cs="楷体_GB2312"/>
          <w:b/>
          <w:sz w:val="32"/>
          <w:szCs w:val="32"/>
          <w:lang w:val="zh-CN" w:eastAsia="zh-CN"/>
        </w:rPr>
        <w:t>（</w:t>
      </w:r>
      <w:r>
        <w:rPr>
          <w:rFonts w:hint="default" w:ascii="楷体_GB2312" w:hAnsi="楷体_GB2312" w:eastAsia="楷体_GB2312" w:cs="楷体_GB2312"/>
          <w:b/>
          <w:sz w:val="32"/>
          <w:szCs w:val="32"/>
          <w:lang w:val="en-US" w:eastAsia="zh-CN"/>
        </w:rPr>
        <w:t>二</w:t>
      </w:r>
      <w:r>
        <w:rPr>
          <w:rFonts w:hint="default" w:ascii="楷体_GB2312" w:hAnsi="楷体_GB2312" w:eastAsia="楷体_GB2312" w:cs="楷体_GB2312"/>
          <w:b/>
          <w:sz w:val="32"/>
          <w:szCs w:val="32"/>
          <w:lang w:val="zh-CN" w:eastAsia="zh-CN"/>
        </w:rPr>
        <w:t>）支出情况</w:t>
      </w:r>
    </w:p>
    <w:p>
      <w:pPr>
        <w:pageBreakBefore w:val="0"/>
        <w:widowControl/>
        <w:kinsoku/>
        <w:wordWrap/>
        <w:overflowPunct/>
        <w:topLinePunct w:val="0"/>
        <w:autoSpaceDE/>
        <w:autoSpaceDN/>
        <w:bidi w:val="0"/>
        <w:adjustRightInd w:val="0"/>
        <w:snapToGrid w:val="0"/>
        <w:spacing w:line="570" w:lineRule="exact"/>
        <w:ind w:firstLine="640" w:firstLineChars="200"/>
        <w:contextualSpacing/>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2024年我</w:t>
      </w:r>
      <w:r>
        <w:rPr>
          <w:rFonts w:hint="eastAsia" w:ascii="Times New Roman" w:hAnsi="Times New Roman" w:eastAsia="仿宋_GB2312" w:cs="Times New Roman"/>
          <w:kern w:val="2"/>
          <w:sz w:val="32"/>
          <w:szCs w:val="32"/>
          <w:lang w:val="en-US" w:eastAsia="zh-CN" w:bidi="ar-SA"/>
        </w:rPr>
        <w:t>委</w:t>
      </w:r>
      <w:r>
        <w:rPr>
          <w:rFonts w:hint="default" w:ascii="Times New Roman" w:hAnsi="Times New Roman" w:eastAsia="仿宋_GB2312" w:cs="Times New Roman"/>
          <w:kern w:val="2"/>
          <w:sz w:val="32"/>
          <w:szCs w:val="32"/>
          <w:lang w:val="en-US" w:eastAsia="zh-CN" w:bidi="ar-SA"/>
        </w:rPr>
        <w:t>决算支出</w:t>
      </w:r>
      <w:r>
        <w:rPr>
          <w:rFonts w:hint="eastAsia" w:ascii="Times New Roman" w:hAnsi="Times New Roman" w:eastAsia="仿宋_GB2312" w:cs="Times New Roman"/>
          <w:kern w:val="2"/>
          <w:sz w:val="32"/>
          <w:szCs w:val="32"/>
          <w:lang w:val="en-US" w:eastAsia="zh-CN" w:bidi="ar-SA"/>
        </w:rPr>
        <w:t>2192.55</w:t>
      </w:r>
      <w:r>
        <w:rPr>
          <w:rFonts w:hint="default" w:ascii="Times New Roman" w:hAnsi="Times New Roman" w:eastAsia="仿宋_GB2312" w:cs="Times New Roman"/>
          <w:kern w:val="2"/>
          <w:sz w:val="32"/>
          <w:szCs w:val="32"/>
          <w:lang w:val="en-US" w:eastAsia="zh-CN" w:bidi="ar-SA"/>
        </w:rPr>
        <w:t>万元，其中：一般公共服务支出</w:t>
      </w:r>
      <w:r>
        <w:rPr>
          <w:rFonts w:hint="eastAsia" w:ascii="Times New Roman" w:hAnsi="Times New Roman" w:eastAsia="仿宋_GB2312" w:cs="Times New Roman"/>
          <w:kern w:val="2"/>
          <w:sz w:val="32"/>
          <w:szCs w:val="32"/>
          <w:lang w:val="en-US" w:eastAsia="zh-CN" w:bidi="ar-SA"/>
        </w:rPr>
        <w:t>1826.74</w:t>
      </w:r>
      <w:r>
        <w:rPr>
          <w:rFonts w:hint="default" w:ascii="Times New Roman" w:hAnsi="Times New Roman" w:eastAsia="仿宋_GB2312" w:cs="Times New Roman"/>
          <w:kern w:val="2"/>
          <w:sz w:val="32"/>
          <w:szCs w:val="32"/>
          <w:lang w:val="en-US" w:eastAsia="zh-CN" w:bidi="ar-SA"/>
        </w:rPr>
        <w:t>万元</w:t>
      </w:r>
      <w:r>
        <w:rPr>
          <w:rFonts w:hint="eastAsia" w:ascii="Times New Roman" w:hAnsi="Times New Roman" w:eastAsia="仿宋_GB2312" w:cs="Times New Roman"/>
          <w:kern w:val="2"/>
          <w:sz w:val="32"/>
          <w:szCs w:val="32"/>
          <w:lang w:val="en-US" w:eastAsia="zh-CN" w:bidi="ar-SA"/>
        </w:rPr>
        <w:t>，占比83.32%</w:t>
      </w:r>
      <w:r>
        <w:rPr>
          <w:rFonts w:hint="default" w:ascii="Times New Roman" w:hAnsi="Times New Roman" w:eastAsia="仿宋_GB2312" w:cs="Times New Roman"/>
          <w:kern w:val="2"/>
          <w:sz w:val="32"/>
          <w:szCs w:val="32"/>
          <w:lang w:val="en-US" w:eastAsia="zh-CN" w:bidi="ar-SA"/>
        </w:rPr>
        <w:t>；社会保障和就业支出</w:t>
      </w:r>
      <w:r>
        <w:rPr>
          <w:rFonts w:hint="eastAsia" w:ascii="Times New Roman" w:hAnsi="Times New Roman" w:eastAsia="仿宋_GB2312" w:cs="Times New Roman"/>
          <w:kern w:val="2"/>
          <w:sz w:val="32"/>
          <w:szCs w:val="32"/>
          <w:lang w:val="en-US" w:eastAsia="zh-CN" w:bidi="ar-SA"/>
        </w:rPr>
        <w:t>185.64</w:t>
      </w:r>
      <w:r>
        <w:rPr>
          <w:rFonts w:hint="default" w:ascii="Times New Roman" w:hAnsi="Times New Roman" w:eastAsia="仿宋_GB2312" w:cs="Times New Roman"/>
          <w:kern w:val="2"/>
          <w:sz w:val="32"/>
          <w:szCs w:val="32"/>
          <w:lang w:val="en-US" w:eastAsia="zh-CN" w:bidi="ar-SA"/>
        </w:rPr>
        <w:t>万元</w:t>
      </w:r>
      <w:r>
        <w:rPr>
          <w:rFonts w:hint="eastAsia" w:ascii="Times New Roman" w:hAnsi="Times New Roman" w:eastAsia="仿宋_GB2312" w:cs="Times New Roman"/>
          <w:kern w:val="2"/>
          <w:sz w:val="32"/>
          <w:szCs w:val="32"/>
          <w:lang w:val="en-US" w:eastAsia="zh-CN" w:bidi="ar-SA"/>
        </w:rPr>
        <w:t>，占比8.47%</w:t>
      </w:r>
      <w:r>
        <w:rPr>
          <w:rFonts w:hint="default" w:ascii="Times New Roman" w:hAnsi="Times New Roman" w:eastAsia="仿宋_GB2312" w:cs="Times New Roman"/>
          <w:kern w:val="2"/>
          <w:sz w:val="32"/>
          <w:szCs w:val="32"/>
          <w:lang w:val="en-US" w:eastAsia="zh-CN" w:bidi="ar-SA"/>
        </w:rPr>
        <w:t>；卫生健康支出</w:t>
      </w:r>
      <w:r>
        <w:rPr>
          <w:rFonts w:hint="eastAsia" w:ascii="Times New Roman" w:hAnsi="Times New Roman" w:eastAsia="仿宋_GB2312" w:cs="Times New Roman"/>
          <w:kern w:val="2"/>
          <w:sz w:val="32"/>
          <w:szCs w:val="32"/>
          <w:lang w:val="en-US" w:eastAsia="zh-CN" w:bidi="ar-SA"/>
        </w:rPr>
        <w:t>77.16</w:t>
      </w:r>
      <w:r>
        <w:rPr>
          <w:rFonts w:hint="default" w:ascii="Times New Roman" w:hAnsi="Times New Roman" w:eastAsia="仿宋_GB2312" w:cs="Times New Roman"/>
          <w:kern w:val="2"/>
          <w:sz w:val="32"/>
          <w:szCs w:val="32"/>
          <w:lang w:val="en-US" w:eastAsia="zh-CN" w:bidi="ar-SA"/>
        </w:rPr>
        <w:t>万元</w:t>
      </w:r>
      <w:r>
        <w:rPr>
          <w:rFonts w:hint="eastAsia" w:ascii="Times New Roman" w:hAnsi="Times New Roman" w:eastAsia="仿宋_GB2312" w:cs="Times New Roman"/>
          <w:kern w:val="2"/>
          <w:sz w:val="32"/>
          <w:szCs w:val="32"/>
          <w:lang w:val="en-US" w:eastAsia="zh-CN" w:bidi="ar-SA"/>
        </w:rPr>
        <w:t>，占比3.52%</w:t>
      </w:r>
      <w:r>
        <w:rPr>
          <w:rFonts w:hint="default" w:ascii="Times New Roman" w:hAnsi="Times New Roman" w:eastAsia="仿宋_GB2312" w:cs="Times New Roman"/>
          <w:kern w:val="2"/>
          <w:sz w:val="32"/>
          <w:szCs w:val="32"/>
          <w:lang w:val="en-US" w:eastAsia="zh-CN" w:bidi="ar-SA"/>
        </w:rPr>
        <w:t>；住房保障支出</w:t>
      </w:r>
      <w:r>
        <w:rPr>
          <w:rFonts w:hint="eastAsia" w:ascii="Times New Roman" w:hAnsi="Times New Roman" w:eastAsia="仿宋_GB2312" w:cs="Times New Roman"/>
          <w:kern w:val="2"/>
          <w:sz w:val="32"/>
          <w:szCs w:val="32"/>
          <w:lang w:val="en-US" w:eastAsia="zh-CN" w:bidi="ar-SA"/>
        </w:rPr>
        <w:t>103.01</w:t>
      </w:r>
      <w:r>
        <w:rPr>
          <w:rFonts w:hint="default" w:ascii="Times New Roman" w:hAnsi="Times New Roman" w:eastAsia="仿宋_GB2312" w:cs="Times New Roman"/>
          <w:kern w:val="2"/>
          <w:sz w:val="32"/>
          <w:szCs w:val="32"/>
          <w:lang w:val="en-US" w:eastAsia="zh-CN" w:bidi="ar-SA"/>
        </w:rPr>
        <w:t>万元</w:t>
      </w:r>
      <w:r>
        <w:rPr>
          <w:rFonts w:hint="eastAsia" w:ascii="Times New Roman" w:hAnsi="Times New Roman" w:eastAsia="仿宋_GB2312" w:cs="Times New Roman"/>
          <w:kern w:val="2"/>
          <w:sz w:val="32"/>
          <w:szCs w:val="32"/>
          <w:lang w:val="en-US" w:eastAsia="zh-CN" w:bidi="ar-SA"/>
        </w:rPr>
        <w:t>，占比4.7%</w:t>
      </w:r>
      <w:r>
        <w:rPr>
          <w:rFonts w:hint="default" w:ascii="Times New Roman" w:hAnsi="Times New Roman" w:eastAsia="仿宋_GB2312" w:cs="Times New Roman"/>
          <w:kern w:val="2"/>
          <w:sz w:val="32"/>
          <w:szCs w:val="32"/>
          <w:lang w:val="en-US" w:eastAsia="zh-CN" w:bidi="ar-SA"/>
        </w:rPr>
        <w:t>。</w:t>
      </w:r>
    </w:p>
    <w:p>
      <w:pPr>
        <w:pStyle w:val="7"/>
        <w:pageBreakBefore w:val="0"/>
        <w:kinsoku/>
        <w:wordWrap/>
        <w:overflowPunct/>
        <w:topLinePunct w:val="0"/>
        <w:autoSpaceDE/>
        <w:autoSpaceDN/>
        <w:bidi w:val="0"/>
        <w:spacing w:after="0" w:line="570" w:lineRule="exact"/>
        <w:ind w:left="0" w:leftChars="0" w:firstLine="64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整体支出主要完成任务在</w:t>
      </w:r>
      <w:r>
        <w:rPr>
          <w:rFonts w:hint="eastAsia" w:ascii="Times New Roman" w:hAnsi="Times New Roman" w:eastAsia="仿宋_GB2312" w:cs="Times New Roman"/>
          <w:kern w:val="2"/>
          <w:sz w:val="32"/>
          <w:szCs w:val="32"/>
          <w:lang w:val="en-US" w:eastAsia="zh-CN" w:bidi="ar-SA"/>
        </w:rPr>
        <w:t>四</w:t>
      </w:r>
      <w:r>
        <w:rPr>
          <w:rFonts w:hint="default" w:ascii="Times New Roman" w:hAnsi="Times New Roman" w:eastAsia="仿宋_GB2312" w:cs="Times New Roman"/>
          <w:kern w:val="2"/>
          <w:sz w:val="32"/>
          <w:szCs w:val="32"/>
          <w:lang w:val="en-US" w:eastAsia="zh-CN" w:bidi="ar-SA"/>
        </w:rPr>
        <w:t>个方面：一是保障单位基本正常运转，其中人员经费支出</w:t>
      </w:r>
      <w:r>
        <w:rPr>
          <w:rFonts w:hint="eastAsia" w:ascii="Times New Roman" w:hAnsi="Times New Roman" w:eastAsia="仿宋_GB2312" w:cs="Times New Roman"/>
          <w:kern w:val="2"/>
          <w:sz w:val="32"/>
          <w:szCs w:val="32"/>
          <w:lang w:val="en-US" w:eastAsia="zh-CN" w:bidi="ar-SA"/>
        </w:rPr>
        <w:t>1310.69</w:t>
      </w:r>
      <w:r>
        <w:rPr>
          <w:rFonts w:hint="default" w:ascii="Times New Roman" w:hAnsi="Times New Roman" w:eastAsia="仿宋_GB2312" w:cs="Times New Roman"/>
          <w:kern w:val="2"/>
          <w:sz w:val="32"/>
          <w:szCs w:val="32"/>
          <w:lang w:val="en-US" w:eastAsia="zh-CN" w:bidi="ar-SA"/>
        </w:rPr>
        <w:t>万元</w:t>
      </w:r>
      <w:r>
        <w:rPr>
          <w:rFonts w:hint="eastAsia" w:ascii="Times New Roman" w:hAnsi="Times New Roman" w:cs="Times New Roman"/>
          <w:kern w:val="2"/>
          <w:sz w:val="32"/>
          <w:szCs w:val="32"/>
          <w:lang w:val="en-US" w:eastAsia="zh-CN" w:bidi="ar-SA"/>
        </w:rPr>
        <w:t>；二是</w:t>
      </w:r>
      <w:r>
        <w:rPr>
          <w:rFonts w:hint="default" w:ascii="Times New Roman" w:hAnsi="Times New Roman" w:eastAsia="仿宋_GB2312" w:cs="Times New Roman"/>
          <w:kern w:val="2"/>
          <w:sz w:val="32"/>
          <w:szCs w:val="32"/>
          <w:lang w:val="en-US" w:eastAsia="zh-CN" w:bidi="ar-SA"/>
        </w:rPr>
        <w:t>日常公用经费</w:t>
      </w:r>
      <w:r>
        <w:rPr>
          <w:rFonts w:hint="eastAsia" w:ascii="Times New Roman" w:hAnsi="Times New Roman" w:eastAsia="仿宋_GB2312" w:cs="Times New Roman"/>
          <w:kern w:val="2"/>
          <w:sz w:val="32"/>
          <w:szCs w:val="32"/>
          <w:lang w:val="en-US" w:eastAsia="zh-CN" w:bidi="ar-SA"/>
        </w:rPr>
        <w:t>150.83</w:t>
      </w:r>
      <w:r>
        <w:rPr>
          <w:rFonts w:hint="default" w:ascii="Times New Roman" w:hAnsi="Times New Roman" w:eastAsia="仿宋_GB2312" w:cs="Times New Roman"/>
          <w:kern w:val="2"/>
          <w:sz w:val="32"/>
          <w:szCs w:val="32"/>
          <w:lang w:val="en-US" w:eastAsia="zh-CN" w:bidi="ar-SA"/>
        </w:rPr>
        <w:t>万元</w:t>
      </w:r>
      <w:r>
        <w:rPr>
          <w:rFonts w:hint="eastAsia" w:ascii="Times New Roman" w:hAnsi="Times New Roman" w:cs="Times New Roman"/>
          <w:kern w:val="2"/>
          <w:sz w:val="32"/>
          <w:szCs w:val="32"/>
          <w:lang w:val="en-US" w:eastAsia="zh-CN" w:bidi="ar-SA"/>
        </w:rPr>
        <w:t>；三</w:t>
      </w:r>
      <w:r>
        <w:rPr>
          <w:rFonts w:hint="default" w:ascii="Times New Roman" w:hAnsi="Times New Roman" w:eastAsia="仿宋_GB2312" w:cs="Times New Roman"/>
          <w:kern w:val="2"/>
          <w:sz w:val="32"/>
          <w:szCs w:val="32"/>
          <w:lang w:val="en-US" w:eastAsia="zh-CN" w:bidi="ar-SA"/>
        </w:rPr>
        <w:t>是专项办公费支出</w:t>
      </w:r>
      <w:r>
        <w:rPr>
          <w:rFonts w:hint="eastAsia" w:ascii="Times New Roman" w:hAnsi="Times New Roman" w:eastAsia="仿宋_GB2312" w:cs="Times New Roman"/>
          <w:kern w:val="2"/>
          <w:sz w:val="32"/>
          <w:szCs w:val="32"/>
          <w:lang w:val="en-US" w:eastAsia="zh-CN" w:bidi="ar-SA"/>
        </w:rPr>
        <w:t>136.67</w:t>
      </w:r>
      <w:r>
        <w:rPr>
          <w:rFonts w:hint="default" w:ascii="Times New Roman" w:hAnsi="Times New Roman" w:eastAsia="仿宋_GB2312" w:cs="Times New Roman"/>
          <w:kern w:val="2"/>
          <w:sz w:val="32"/>
          <w:szCs w:val="32"/>
          <w:lang w:val="en-US" w:eastAsia="zh-CN" w:bidi="ar-SA"/>
        </w:rPr>
        <w:t>万元</w:t>
      </w:r>
      <w:r>
        <w:rPr>
          <w:rFonts w:hint="eastAsia" w:ascii="Times New Roman" w:hAnsi="Times New Roman" w:cs="Times New Roman"/>
          <w:kern w:val="2"/>
          <w:sz w:val="32"/>
          <w:szCs w:val="32"/>
          <w:lang w:val="en-US" w:eastAsia="zh-CN" w:bidi="ar-SA"/>
        </w:rPr>
        <w:t>；四</w:t>
      </w:r>
      <w:r>
        <w:rPr>
          <w:rFonts w:hint="default" w:ascii="Times New Roman" w:hAnsi="Times New Roman" w:eastAsia="仿宋_GB2312" w:cs="Times New Roman"/>
          <w:kern w:val="2"/>
          <w:sz w:val="32"/>
          <w:szCs w:val="32"/>
          <w:lang w:val="en-US" w:eastAsia="zh-CN" w:bidi="ar-SA"/>
        </w:rPr>
        <w:t>是红原县</w:t>
      </w:r>
      <w:r>
        <w:rPr>
          <w:rFonts w:hint="eastAsia" w:ascii="Times New Roman" w:hAnsi="Times New Roman" w:eastAsia="仿宋_GB2312" w:cs="Times New Roman"/>
          <w:kern w:val="2"/>
          <w:sz w:val="32"/>
          <w:szCs w:val="32"/>
          <w:lang w:val="en-US" w:eastAsia="zh-CN" w:bidi="ar-SA"/>
        </w:rPr>
        <w:t>纪委业务用房改扩建</w:t>
      </w:r>
      <w:r>
        <w:rPr>
          <w:rFonts w:hint="default" w:ascii="Times New Roman" w:hAnsi="Times New Roman" w:eastAsia="仿宋_GB2312" w:cs="Times New Roman"/>
          <w:kern w:val="2"/>
          <w:sz w:val="32"/>
          <w:szCs w:val="32"/>
          <w:lang w:val="en-US" w:eastAsia="zh-CN" w:bidi="ar-SA"/>
        </w:rPr>
        <w:t>项目</w:t>
      </w:r>
      <w:r>
        <w:rPr>
          <w:rFonts w:hint="eastAsia" w:ascii="Times New Roman" w:hAnsi="Times New Roman" w:eastAsia="仿宋_GB2312" w:cs="Times New Roman"/>
          <w:kern w:val="2"/>
          <w:sz w:val="32"/>
          <w:szCs w:val="32"/>
          <w:lang w:val="en-US" w:eastAsia="zh-CN" w:bidi="ar-SA"/>
        </w:rPr>
        <w:t>554.99</w:t>
      </w:r>
      <w:r>
        <w:rPr>
          <w:rFonts w:hint="default" w:ascii="Times New Roman" w:hAnsi="Times New Roman" w:eastAsia="仿宋_GB2312" w:cs="Times New Roman"/>
          <w:kern w:val="2"/>
          <w:sz w:val="32"/>
          <w:szCs w:val="32"/>
          <w:lang w:val="en-US" w:eastAsia="zh-CN" w:bidi="ar-SA"/>
        </w:rPr>
        <w:t>万元</w:t>
      </w:r>
      <w:r>
        <w:rPr>
          <w:rFonts w:hint="eastAsia" w:ascii="Times New Roman" w:hAnsi="Times New Roman" w:cs="Times New Roman"/>
          <w:kern w:val="2"/>
          <w:sz w:val="32"/>
          <w:szCs w:val="32"/>
          <w:lang w:val="en-US" w:eastAsia="zh-CN" w:bidi="ar-SA"/>
        </w:rPr>
        <w:t>；五是</w:t>
      </w:r>
      <w:r>
        <w:rPr>
          <w:rFonts w:hint="eastAsia" w:ascii="Times New Roman" w:hAnsi="Times New Roman" w:eastAsia="仿宋_GB2312" w:cs="Times New Roman"/>
          <w:kern w:val="2"/>
          <w:sz w:val="32"/>
          <w:szCs w:val="32"/>
          <w:lang w:val="en-US" w:eastAsia="zh-CN" w:bidi="ar-SA"/>
        </w:rPr>
        <w:t>中央纪检监察转移支付资金31万元</w:t>
      </w:r>
      <w:r>
        <w:rPr>
          <w:rFonts w:hint="eastAsia" w:ascii="Times New Roman" w:hAnsi="Times New Roman"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六是</w:t>
      </w:r>
      <w:r>
        <w:rPr>
          <w:rFonts w:hint="eastAsia" w:ascii="Times New Roman" w:hAnsi="Times New Roman" w:cs="Times New Roman"/>
          <w:kern w:val="2"/>
          <w:sz w:val="32"/>
          <w:szCs w:val="32"/>
          <w:lang w:val="en-US" w:eastAsia="zh-CN" w:bidi="ar-SA"/>
        </w:rPr>
        <w:t>郑莉、泽郎基、许琼及杨雪松、兰卡卓玛</w:t>
      </w:r>
      <w:r>
        <w:rPr>
          <w:rFonts w:hint="default" w:ascii="Times New Roman" w:hAnsi="Times New Roman" w:eastAsia="仿宋_GB2312" w:cs="Times New Roman"/>
          <w:kern w:val="2"/>
          <w:sz w:val="32"/>
          <w:szCs w:val="32"/>
          <w:lang w:val="en-US" w:eastAsia="zh-CN" w:bidi="ar-SA"/>
        </w:rPr>
        <w:t>同志退休建房补贴</w:t>
      </w:r>
      <w:r>
        <w:rPr>
          <w:rFonts w:hint="eastAsia" w:ascii="Times New Roman" w:hAnsi="Times New Roman" w:cs="Times New Roman"/>
          <w:kern w:val="2"/>
          <w:sz w:val="32"/>
          <w:szCs w:val="32"/>
          <w:lang w:val="en-US" w:eastAsia="zh-CN" w:bidi="ar-SA"/>
        </w:rPr>
        <w:t>和一次性补贴</w:t>
      </w:r>
      <w:r>
        <w:rPr>
          <w:rFonts w:hint="eastAsia" w:ascii="Times New Roman" w:hAnsi="Times New Roman" w:eastAsia="仿宋_GB2312" w:cs="Times New Roman"/>
          <w:kern w:val="2"/>
          <w:sz w:val="32"/>
          <w:szCs w:val="32"/>
          <w:lang w:val="en-US" w:eastAsia="zh-CN" w:bidi="ar-SA"/>
        </w:rPr>
        <w:t>8.37</w:t>
      </w:r>
      <w:r>
        <w:rPr>
          <w:rFonts w:hint="default" w:ascii="Times New Roman" w:hAnsi="Times New Roman" w:eastAsia="仿宋_GB2312" w:cs="Times New Roman"/>
          <w:kern w:val="2"/>
          <w:sz w:val="32"/>
          <w:szCs w:val="32"/>
          <w:lang w:val="en-US" w:eastAsia="zh-CN" w:bidi="ar-SA"/>
        </w:rPr>
        <w:t>万元。</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rPr>
      </w:pPr>
      <w:r>
        <w:rPr>
          <w:rFonts w:hint="eastAsia" w:ascii="仿宋_GB2312" w:hAnsi="仿宋_GB2312" w:eastAsia="仿宋_GB2312" w:cs="仿宋_GB2312"/>
          <w:sz w:val="32"/>
          <w:szCs w:val="32"/>
        </w:rPr>
        <w:t>“三公”经费支出情况：本单位本年度“三公”经费支出决算数为</w:t>
      </w:r>
      <w:r>
        <w:rPr>
          <w:rFonts w:hint="eastAsia" w:ascii="仿宋_GB2312" w:hAnsi="仿宋_GB2312" w:eastAsia="仿宋_GB2312" w:cs="仿宋_GB2312"/>
          <w:sz w:val="32"/>
          <w:szCs w:val="32"/>
          <w:lang w:val="en-US" w:eastAsia="zh-CN"/>
        </w:rPr>
        <w:t>27.68</w:t>
      </w:r>
      <w:r>
        <w:rPr>
          <w:rFonts w:hint="eastAsia" w:ascii="仿宋_GB2312" w:hAnsi="仿宋_GB2312" w:eastAsia="仿宋_GB2312" w:cs="仿宋_GB2312"/>
          <w:sz w:val="32"/>
          <w:szCs w:val="32"/>
        </w:rPr>
        <w:t>万元。其中:公务用车购置及运行维护费支出决算数为</w:t>
      </w:r>
      <w:r>
        <w:rPr>
          <w:rFonts w:hint="eastAsia" w:ascii="仿宋_GB2312" w:hAnsi="仿宋_GB2312" w:eastAsia="仿宋_GB2312" w:cs="仿宋_GB2312"/>
          <w:sz w:val="32"/>
          <w:szCs w:val="32"/>
          <w:lang w:val="en-US" w:eastAsia="zh-CN"/>
        </w:rPr>
        <w:t>25.24</w:t>
      </w:r>
      <w:r>
        <w:rPr>
          <w:rFonts w:hint="eastAsia" w:ascii="仿宋_GB2312" w:hAnsi="仿宋_GB2312" w:eastAsia="仿宋_GB2312" w:cs="仿宋_GB2312"/>
          <w:sz w:val="32"/>
          <w:szCs w:val="32"/>
        </w:rPr>
        <w:t>万元，相比上年度增加</w:t>
      </w:r>
      <w:r>
        <w:rPr>
          <w:rFonts w:hint="eastAsia" w:ascii="仿宋_GB2312" w:hAnsi="仿宋_GB2312" w:eastAsia="仿宋_GB2312" w:cs="仿宋_GB2312"/>
          <w:sz w:val="32"/>
          <w:szCs w:val="32"/>
          <w:lang w:val="en-US" w:eastAsia="zh-CN"/>
        </w:rPr>
        <w:t>1.74</w:t>
      </w:r>
      <w:r>
        <w:rPr>
          <w:rFonts w:hint="eastAsia" w:ascii="仿宋_GB2312" w:hAnsi="仿宋_GB2312" w:eastAsia="仿宋_GB2312" w:cs="仿宋_GB2312"/>
          <w:sz w:val="32"/>
          <w:szCs w:val="32"/>
        </w:rPr>
        <w:t>万元，主要原因为202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公务车辆维修费减少；公务接待费支出决算数为</w:t>
      </w:r>
      <w:r>
        <w:rPr>
          <w:rFonts w:hint="eastAsia" w:ascii="仿宋_GB2312" w:hAnsi="仿宋_GB2312" w:eastAsia="仿宋_GB2312" w:cs="仿宋_GB2312"/>
          <w:sz w:val="32"/>
          <w:szCs w:val="32"/>
          <w:lang w:val="en-US" w:eastAsia="zh-CN"/>
        </w:rPr>
        <w:t>0.28</w:t>
      </w:r>
      <w:r>
        <w:rPr>
          <w:rFonts w:hint="eastAsia" w:ascii="仿宋_GB2312" w:hAnsi="仿宋_GB2312" w:eastAsia="仿宋_GB2312" w:cs="仿宋_GB2312"/>
          <w:sz w:val="32"/>
          <w:szCs w:val="32"/>
        </w:rPr>
        <w:t>万元，相比上年度</w:t>
      </w:r>
      <w:r>
        <w:rPr>
          <w:rFonts w:hint="eastAsia" w:ascii="仿宋_GB2312" w:hAnsi="仿宋_GB2312" w:eastAsia="仿宋_GB2312" w:cs="仿宋_GB2312"/>
          <w:sz w:val="32"/>
          <w:szCs w:val="32"/>
          <w:lang w:val="en-US" w:eastAsia="zh-CN"/>
        </w:rPr>
        <w:t>减少</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万元，主要原因为</w:t>
      </w:r>
      <w:r>
        <w:rPr>
          <w:rFonts w:hint="eastAsia" w:ascii="仿宋_GB2312" w:hAnsi="仿宋_GB2312" w:eastAsia="仿宋_GB2312" w:cs="仿宋_GB2312"/>
          <w:sz w:val="32"/>
          <w:szCs w:val="32"/>
          <w:lang w:val="en-US" w:eastAsia="zh-CN"/>
        </w:rPr>
        <w:t>按照文件要求缩减经费,</w:t>
      </w:r>
      <w:r>
        <w:rPr>
          <w:rFonts w:hint="eastAsia" w:ascii="仿宋_GB2312" w:hAnsi="仿宋_GB2312" w:eastAsia="仿宋_GB2312" w:cs="仿宋_GB2312"/>
          <w:sz w:val="32"/>
          <w:szCs w:val="32"/>
        </w:rPr>
        <w:t>预算完成度为</w:t>
      </w:r>
      <w:r>
        <w:rPr>
          <w:rFonts w:hint="eastAsia" w:ascii="仿宋_GB2312" w:hAnsi="仿宋_GB2312" w:eastAsia="仿宋_GB2312" w:cs="仿宋_GB2312"/>
          <w:sz w:val="32"/>
          <w:szCs w:val="32"/>
          <w:lang w:val="en-US" w:eastAsia="zh-CN"/>
        </w:rPr>
        <w:t>91.18</w:t>
      </w:r>
      <w:r>
        <w:rPr>
          <w:rFonts w:hint="eastAsia" w:ascii="仿宋_GB2312" w:hAnsi="仿宋_GB2312" w:eastAsia="仿宋_GB2312" w:cs="仿宋_GB2312"/>
          <w:sz w:val="32"/>
          <w:szCs w:val="32"/>
        </w:rPr>
        <w:t>%，主要原因为</w:t>
      </w:r>
      <w:r>
        <w:rPr>
          <w:rFonts w:hint="eastAsia" w:ascii="仿宋_GB2312" w:hAnsi="仿宋_GB2312" w:eastAsia="仿宋_GB2312" w:cs="仿宋_GB2312"/>
          <w:sz w:val="32"/>
          <w:szCs w:val="32"/>
          <w:lang w:val="en-US" w:eastAsia="zh-CN"/>
        </w:rPr>
        <w:t>按照文件要求缩减经费</w:t>
      </w:r>
      <w:r>
        <w:rPr>
          <w:rFonts w:hint="eastAsia" w:ascii="仿宋_GB2312" w:hAnsi="仿宋_GB2312" w:eastAsia="仿宋_GB2312" w:cs="仿宋_GB2312"/>
          <w:sz w:val="32"/>
          <w:szCs w:val="32"/>
        </w:rPr>
        <w:t>。本年度因公务用车购置及运行维护费人均支出为</w:t>
      </w:r>
      <w:r>
        <w:rPr>
          <w:rFonts w:hint="eastAsia" w:ascii="仿宋_GB2312" w:hAnsi="仿宋_GB2312" w:eastAsia="仿宋_GB2312" w:cs="仿宋_GB2312"/>
          <w:sz w:val="32"/>
          <w:szCs w:val="32"/>
          <w:lang w:val="en-US" w:eastAsia="zh-CN"/>
        </w:rPr>
        <w:t>0.54</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autoSpaceDE w:val="0"/>
        <w:autoSpaceDN w:val="0"/>
        <w:bidi w:val="0"/>
        <w:adjustRightInd w:val="0"/>
        <w:spacing w:beforeAutospacing="0" w:afterAutospacing="0" w:line="576" w:lineRule="exact"/>
        <w:ind w:right="0" w:firstLine="643" w:firstLineChars="200"/>
        <w:jc w:val="left"/>
        <w:textAlignment w:val="auto"/>
        <w:outlineLvl w:val="2"/>
        <w:rPr>
          <w:rFonts w:hint="default" w:ascii="楷体_GB2312" w:hAnsi="楷体_GB2312" w:eastAsia="楷体_GB2312" w:cs="楷体_GB2312"/>
          <w:b/>
          <w:sz w:val="32"/>
          <w:szCs w:val="32"/>
          <w:lang w:val="en-US" w:eastAsia="zh-CN"/>
        </w:rPr>
      </w:pPr>
      <w:r>
        <w:rPr>
          <w:rFonts w:hint="eastAsia" w:ascii="楷体_GB2312" w:hAnsi="楷体_GB2312" w:eastAsia="楷体_GB2312" w:cs="楷体_GB2312"/>
          <w:b/>
          <w:sz w:val="32"/>
          <w:szCs w:val="32"/>
          <w:lang w:val="en-US" w:eastAsia="zh-CN"/>
        </w:rPr>
        <w:t>（三）</w:t>
      </w:r>
      <w:r>
        <w:rPr>
          <w:rFonts w:hint="default" w:ascii="楷体_GB2312" w:hAnsi="楷体_GB2312" w:eastAsia="楷体_GB2312" w:cs="楷体_GB2312"/>
          <w:b/>
          <w:sz w:val="32"/>
          <w:szCs w:val="32"/>
          <w:lang w:val="en-US" w:eastAsia="zh-CN"/>
        </w:rPr>
        <w:t>结余分配和结转结余情况</w:t>
      </w:r>
    </w:p>
    <w:p>
      <w:pPr>
        <w:pageBreakBefore w:val="0"/>
        <w:widowControl/>
        <w:kinsoku/>
        <w:wordWrap/>
        <w:overflowPunct/>
        <w:topLinePunct w:val="0"/>
        <w:autoSpaceDE/>
        <w:autoSpaceDN/>
        <w:bidi w:val="0"/>
        <w:adjustRightInd w:val="0"/>
        <w:snapToGrid w:val="0"/>
        <w:spacing w:line="570" w:lineRule="exact"/>
        <w:ind w:firstLine="640" w:firstLineChars="200"/>
        <w:contextualSpacing/>
        <w:jc w:val="left"/>
        <w:rPr>
          <w:rFonts w:hint="default" w:ascii="仿宋_GB2312" w:hAnsi="仿宋_GB2312" w:eastAsia="仿宋_GB2312" w:cs="仿宋_GB2312"/>
          <w:kern w:val="0"/>
          <w:sz w:val="32"/>
          <w:szCs w:val="32"/>
          <w:lang w:val="zh-CN" w:eastAsia="zh-CN" w:bidi="ar-SA"/>
        </w:rPr>
      </w:pPr>
      <w:r>
        <w:rPr>
          <w:rFonts w:hint="default" w:ascii="仿宋_GB2312" w:hAnsi="仿宋_GB2312" w:eastAsia="仿宋_GB2312" w:cs="仿宋_GB2312"/>
          <w:kern w:val="0"/>
          <w:sz w:val="32"/>
          <w:szCs w:val="32"/>
          <w:lang w:val="en-US" w:eastAsia="zh-CN" w:bidi="ar-SA"/>
        </w:rPr>
        <w:t>我</w:t>
      </w:r>
      <w:r>
        <w:rPr>
          <w:rFonts w:hint="eastAsia" w:ascii="仿宋_GB2312" w:hAnsi="仿宋_GB2312" w:eastAsia="仿宋_GB2312" w:cs="仿宋_GB2312"/>
          <w:kern w:val="0"/>
          <w:sz w:val="32"/>
          <w:szCs w:val="32"/>
          <w:lang w:val="en-US" w:eastAsia="zh-CN" w:bidi="ar-SA"/>
        </w:rPr>
        <w:t>委</w:t>
      </w:r>
      <w:r>
        <w:rPr>
          <w:rFonts w:hint="default" w:ascii="仿宋_GB2312" w:hAnsi="仿宋_GB2312" w:eastAsia="仿宋_GB2312" w:cs="仿宋_GB2312"/>
          <w:kern w:val="0"/>
          <w:sz w:val="32"/>
          <w:szCs w:val="32"/>
          <w:lang w:val="en-US" w:eastAsia="zh-CN" w:bidi="ar-SA"/>
        </w:rPr>
        <w:t>2024年无结转结余情况。</w:t>
      </w:r>
    </w:p>
    <w:p>
      <w:pPr>
        <w:pageBreakBefore w:val="0"/>
        <w:widowControl/>
        <w:kinsoku/>
        <w:wordWrap/>
        <w:overflowPunct/>
        <w:topLinePunct w:val="0"/>
        <w:autoSpaceDE/>
        <w:autoSpaceDN/>
        <w:bidi w:val="0"/>
        <w:adjustRightInd w:val="0"/>
        <w:snapToGrid w:val="0"/>
        <w:spacing w:line="570" w:lineRule="exact"/>
        <w:ind w:firstLine="643" w:firstLineChars="200"/>
        <w:contextualSpacing/>
        <w:jc w:val="left"/>
        <w:rPr>
          <w:rFonts w:hint="eastAsia" w:ascii="黑体" w:hAnsi="黑体" w:eastAsia="黑体" w:cs="黑体"/>
          <w:b/>
          <w:bCs/>
          <w:kern w:val="0"/>
          <w:sz w:val="32"/>
          <w:szCs w:val="32"/>
          <w:lang w:val="en-US" w:eastAsia="zh-CN" w:bidi="ar-SA"/>
        </w:rPr>
      </w:pPr>
      <w:r>
        <w:rPr>
          <w:rFonts w:hint="eastAsia" w:ascii="黑体" w:hAnsi="黑体" w:eastAsia="黑体" w:cs="黑体"/>
          <w:b/>
          <w:bCs/>
          <w:kern w:val="0"/>
          <w:sz w:val="32"/>
          <w:szCs w:val="32"/>
          <w:lang w:val="en-US" w:eastAsia="zh-CN" w:bidi="ar-SA"/>
        </w:rPr>
        <w:t>三、部门预算绩效分析</w:t>
      </w:r>
    </w:p>
    <w:p>
      <w:pPr>
        <w:pageBreakBefore w:val="0"/>
        <w:kinsoku/>
        <w:wordWrap/>
        <w:overflowPunct/>
        <w:topLinePunct w:val="0"/>
        <w:autoSpaceDE/>
        <w:autoSpaceDN/>
        <w:bidi w:val="0"/>
        <w:adjustRightInd w:val="0"/>
        <w:snapToGrid w:val="0"/>
        <w:spacing w:line="570" w:lineRule="exact"/>
        <w:ind w:firstLine="643" w:firstLineChars="200"/>
        <w:contextualSpacing/>
        <w:jc w:val="left"/>
        <w:rPr>
          <w:rFonts w:hint="default" w:ascii="仿宋_GB2312" w:hAnsi="仿宋_GB2312" w:eastAsia="仿宋_GB2312" w:cs="仿宋_GB2312"/>
          <w:kern w:val="0"/>
          <w:sz w:val="32"/>
          <w:szCs w:val="32"/>
          <w:lang w:val="zh-CN" w:eastAsia="zh-CN" w:bidi="ar-SA"/>
        </w:rPr>
      </w:pPr>
      <w:r>
        <w:rPr>
          <w:rFonts w:hint="default" w:ascii="楷体_GB2312" w:hAnsi="楷体_GB2312" w:eastAsia="楷体_GB2312" w:cs="楷体_GB2312"/>
          <w:b/>
          <w:sz w:val="32"/>
          <w:szCs w:val="32"/>
          <w:lang w:val="zh-CN" w:eastAsia="zh-CN"/>
        </w:rPr>
        <w:t>（一）部门预算总体绩效分析。</w:t>
      </w:r>
      <w:r>
        <w:rPr>
          <w:rFonts w:hint="default" w:ascii="仿宋_GB2312" w:hAnsi="仿宋_GB2312" w:eastAsia="仿宋_GB2312" w:cs="仿宋_GB2312"/>
          <w:kern w:val="0"/>
          <w:sz w:val="32"/>
          <w:szCs w:val="32"/>
          <w:lang w:val="zh-CN" w:eastAsia="zh-CN" w:bidi="ar-SA"/>
        </w:rPr>
        <w:t>根据部门预算绩效评价指标体系围绕履职效能、预算管理、财务管理、资产管理、采购管理等方面逐项分析：</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0"/>
          <w:sz w:val="32"/>
          <w:szCs w:val="32"/>
          <w:lang w:val="zh-CN" w:eastAsia="zh-CN" w:bidi="ar-SA"/>
        </w:rPr>
      </w:pPr>
      <w:r>
        <w:rPr>
          <w:rFonts w:hint="default" w:ascii="仿宋_GB2312" w:hAnsi="仿宋_GB2312" w:eastAsia="仿宋_GB2312" w:cs="仿宋_GB2312"/>
          <w:kern w:val="0"/>
          <w:sz w:val="32"/>
          <w:szCs w:val="32"/>
          <w:lang w:val="zh-CN" w:eastAsia="zh-CN" w:bidi="ar-SA"/>
        </w:rPr>
        <w:t xml:space="preserve">1. 履职效能（15分）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0"/>
          <w:sz w:val="32"/>
          <w:szCs w:val="32"/>
          <w:lang w:val="zh-CN" w:eastAsia="zh-CN" w:bidi="ar-SA"/>
        </w:rPr>
      </w:pPr>
      <w:r>
        <w:rPr>
          <w:rFonts w:hint="default" w:ascii="仿宋_GB2312" w:hAnsi="仿宋_GB2312" w:eastAsia="仿宋_GB2312" w:cs="仿宋_GB2312"/>
          <w:kern w:val="0"/>
          <w:sz w:val="32"/>
          <w:szCs w:val="32"/>
          <w:lang w:val="zh-CN" w:eastAsia="zh-CN" w:bidi="ar-SA"/>
        </w:rPr>
        <w:t>核心职能目标完成情况：</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0"/>
          <w:sz w:val="32"/>
          <w:szCs w:val="32"/>
          <w:lang w:val="zh-CN" w:eastAsia="zh-CN" w:bidi="ar-SA"/>
        </w:rPr>
      </w:pPr>
      <w:r>
        <w:rPr>
          <w:rFonts w:hint="default" w:ascii="仿宋_GB2312" w:hAnsi="仿宋_GB2312" w:eastAsia="仿宋_GB2312" w:cs="仿宋_GB2312"/>
          <w:kern w:val="0"/>
          <w:sz w:val="32"/>
          <w:szCs w:val="32"/>
          <w:lang w:val="zh-CN" w:eastAsia="zh-CN" w:bidi="ar-SA"/>
        </w:rPr>
        <w:t>（1）</w:t>
      </w:r>
      <w:r>
        <w:rPr>
          <w:rFonts w:hint="eastAsia" w:ascii="仿宋_GB2312" w:hAnsi="仿宋_GB2312" w:eastAsia="仿宋_GB2312" w:cs="仿宋_GB2312"/>
          <w:kern w:val="0"/>
          <w:sz w:val="32"/>
          <w:szCs w:val="32"/>
          <w:lang w:val="en-US" w:eastAsia="zh-CN" w:bidi="ar-SA"/>
        </w:rPr>
        <w:t>纪委日常监督、执纪、巡察</w:t>
      </w:r>
      <w:r>
        <w:rPr>
          <w:rFonts w:hint="default" w:ascii="仿宋_GB2312" w:hAnsi="仿宋_GB2312" w:eastAsia="仿宋_GB2312" w:cs="仿宋_GB2312"/>
          <w:kern w:val="0"/>
          <w:sz w:val="32"/>
          <w:szCs w:val="32"/>
          <w:lang w:val="en-US" w:eastAsia="zh-CN" w:bidi="ar-SA"/>
        </w:rPr>
        <w:t>等工作</w:t>
      </w:r>
      <w:r>
        <w:rPr>
          <w:rFonts w:hint="default" w:ascii="仿宋_GB2312" w:hAnsi="仿宋_GB2312" w:eastAsia="仿宋_GB2312" w:cs="仿宋_GB2312"/>
          <w:kern w:val="0"/>
          <w:sz w:val="32"/>
          <w:szCs w:val="32"/>
          <w:lang w:val="zh-CN" w:eastAsia="zh-CN" w:bidi="ar-SA"/>
        </w:rPr>
        <w:t>（</w:t>
      </w:r>
      <w:r>
        <w:rPr>
          <w:rFonts w:hint="default" w:ascii="仿宋_GB2312" w:hAnsi="仿宋_GB2312" w:eastAsia="仿宋_GB2312" w:cs="仿宋_GB2312"/>
          <w:kern w:val="0"/>
          <w:sz w:val="32"/>
          <w:szCs w:val="32"/>
          <w:lang w:val="en-US" w:eastAsia="zh-CN" w:bidi="ar-SA"/>
        </w:rPr>
        <w:t>10</w:t>
      </w:r>
      <w:r>
        <w:rPr>
          <w:rFonts w:hint="default" w:ascii="仿宋_GB2312" w:hAnsi="仿宋_GB2312" w:eastAsia="仿宋_GB2312" w:cs="仿宋_GB2312"/>
          <w:kern w:val="0"/>
          <w:sz w:val="32"/>
          <w:szCs w:val="32"/>
          <w:lang w:val="zh-CN" w:eastAsia="zh-CN" w:bidi="ar-SA"/>
        </w:rPr>
        <w:t xml:space="preserve">分）  </w:t>
      </w:r>
    </w:p>
    <w:p>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kern w:val="0"/>
          <w:sz w:val="32"/>
          <w:szCs w:val="32"/>
          <w:lang w:val="zh-CN" w:eastAsia="zh-CN" w:bidi="ar-SA"/>
        </w:rPr>
        <w:t>完成情况：</w:t>
      </w:r>
      <w:r>
        <w:rPr>
          <w:rFonts w:hint="eastAsia" w:ascii="仿宋_GB2312" w:hAnsi="仿宋_GB2312" w:eastAsia="仿宋_GB2312" w:cs="仿宋_GB2312"/>
          <w:kern w:val="0"/>
          <w:sz w:val="32"/>
          <w:szCs w:val="32"/>
          <w:lang w:val="en-US" w:eastAsia="zh-CN" w:bidi="ar-SA"/>
        </w:rPr>
        <w:t>一是加大腐败惩治力度。坚持有腐必反、有案必查，保持惩治腐败高压态势。截至目前，受理问题线索139条139人，立案审查调查66件66人，给予党纪政务处分59件59人、移送司法机关4人，挽回经济损失556.84万元，在全县范围形成有力震慑。二是抓实案件查办“后半篇文章”。开展公开宣布纪律处</w:t>
      </w:r>
      <w:r>
        <w:rPr>
          <w:rFonts w:hint="eastAsia" w:ascii="仿宋_GB2312" w:hAnsi="仿宋_GB2312" w:eastAsia="仿宋_GB2312" w:cs="仿宋_GB2312"/>
          <w:sz w:val="32"/>
          <w:szCs w:val="32"/>
          <w:lang w:val="en-US" w:eastAsia="zh-CN"/>
        </w:rPr>
        <w:t>分决定“四个面对面”警示教育活动27场，受教育480余人次；推动健全完善全县“三重一大”议事决策制度；指导公安系统认真开展“以案促改”工作，深入整治执法领域突出问题；用活我县查处的典型案例，打造廉政警示教育点位1处。三是打好廉政警示教育“组合拳”。分层分批组织县处级和部分乡科级领导干部赴廉洁教育基地开展廉政教育，组织重点领域、关键岗位党员干部500余人次观看警示教育录5部，旁听庭审现场2次，教育引导党员领导干部筑牢党纪法规底线，擦亮清廉底色，永葆政治本色。</w:t>
      </w:r>
    </w:p>
    <w:p>
      <w:pPr>
        <w:pStyle w:val="7"/>
        <w:keepNext w:val="0"/>
        <w:keepLines w:val="0"/>
        <w:pageBreakBefore w:val="0"/>
        <w:widowControl w:val="0"/>
        <w:kinsoku/>
        <w:wordWrap/>
        <w:overflowPunct/>
        <w:topLinePunct w:val="0"/>
        <w:autoSpaceDE/>
        <w:autoSpaceDN/>
        <w:bidi w:val="0"/>
        <w:adjustRightInd/>
        <w:snapToGrid/>
        <w:spacing w:after="0" w:line="576" w:lineRule="exact"/>
        <w:ind w:left="0" w:leftChars="0" w:firstLine="640"/>
        <w:textAlignment w:val="auto"/>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自</w:t>
      </w:r>
      <w:r>
        <w:rPr>
          <w:rFonts w:hint="default" w:ascii="仿宋_GB2312" w:hAnsi="仿宋_GB2312" w:eastAsia="仿宋_GB2312" w:cs="仿宋_GB2312"/>
          <w:kern w:val="2"/>
          <w:sz w:val="32"/>
          <w:szCs w:val="32"/>
          <w:lang w:val="zh-CN" w:eastAsia="zh-CN" w:bidi="ar-SA"/>
        </w:rPr>
        <w:t>评</w:t>
      </w:r>
      <w:r>
        <w:rPr>
          <w:rFonts w:hint="eastAsia" w:ascii="仿宋_GB2312" w:hAnsi="仿宋_GB2312" w:eastAsia="仿宋_GB2312" w:cs="仿宋_GB2312"/>
          <w:kern w:val="2"/>
          <w:sz w:val="32"/>
          <w:szCs w:val="32"/>
          <w:lang w:val="en-US" w:eastAsia="zh-CN" w:bidi="ar-SA"/>
        </w:rPr>
        <w:t>得分</w:t>
      </w:r>
      <w:r>
        <w:rPr>
          <w:rFonts w:hint="default" w:ascii="仿宋_GB2312" w:hAnsi="仿宋_GB2312" w:eastAsia="仿宋_GB2312" w:cs="仿宋_GB2312"/>
          <w:kern w:val="2"/>
          <w:sz w:val="32"/>
          <w:szCs w:val="32"/>
          <w:lang w:val="zh-CN" w:eastAsia="zh-CN" w:bidi="ar-SA"/>
        </w:rPr>
        <w:t>：</w:t>
      </w:r>
      <w:r>
        <w:rPr>
          <w:rFonts w:hint="default" w:ascii="仿宋_GB2312" w:hAnsi="仿宋_GB2312" w:eastAsia="仿宋_GB2312" w:cs="仿宋_GB2312"/>
          <w:kern w:val="2"/>
          <w:sz w:val="32"/>
          <w:szCs w:val="32"/>
          <w:lang w:val="en-US" w:eastAsia="zh-CN" w:bidi="ar-SA"/>
        </w:rPr>
        <w:t>10</w:t>
      </w:r>
      <w:r>
        <w:rPr>
          <w:rFonts w:hint="default" w:ascii="仿宋_GB2312" w:hAnsi="仿宋_GB2312" w:eastAsia="仿宋_GB2312" w:cs="仿宋_GB2312"/>
          <w:kern w:val="2"/>
          <w:sz w:val="32"/>
          <w:szCs w:val="32"/>
          <w:lang w:val="zh-CN" w:eastAsia="zh-CN" w:bidi="ar-SA"/>
        </w:rPr>
        <w:t xml:space="preserve">分  </w:t>
      </w:r>
    </w:p>
    <w:p>
      <w:pPr>
        <w:pStyle w:val="7"/>
        <w:keepNext w:val="0"/>
        <w:keepLines w:val="0"/>
        <w:pageBreakBefore w:val="0"/>
        <w:widowControl w:val="0"/>
        <w:kinsoku/>
        <w:wordWrap/>
        <w:overflowPunct/>
        <w:topLinePunct w:val="0"/>
        <w:autoSpaceDE/>
        <w:autoSpaceDN/>
        <w:bidi w:val="0"/>
        <w:adjustRightInd/>
        <w:snapToGrid/>
        <w:spacing w:after="0" w:line="576" w:lineRule="exact"/>
        <w:ind w:left="0" w:leftChars="0" w:firstLine="640"/>
        <w:textAlignment w:val="auto"/>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w:t>
      </w:r>
      <w:r>
        <w:rPr>
          <w:rFonts w:hint="default" w:ascii="仿宋_GB2312" w:hAnsi="仿宋_GB2312" w:eastAsia="仿宋_GB2312" w:cs="仿宋_GB2312"/>
          <w:kern w:val="2"/>
          <w:sz w:val="32"/>
          <w:szCs w:val="32"/>
          <w:lang w:val="en-US" w:eastAsia="zh-CN" w:bidi="ar-SA"/>
        </w:rPr>
        <w:t>2</w:t>
      </w:r>
      <w:r>
        <w:rPr>
          <w:rFonts w:hint="default" w:ascii="仿宋_GB2312" w:hAnsi="仿宋_GB2312" w:eastAsia="仿宋_GB2312" w:cs="仿宋_GB2312"/>
          <w:kern w:val="2"/>
          <w:sz w:val="32"/>
          <w:szCs w:val="32"/>
          <w:lang w:val="zh-CN" w:eastAsia="zh-CN" w:bidi="ar-SA"/>
        </w:rPr>
        <w:t>）</w:t>
      </w:r>
      <w:r>
        <w:rPr>
          <w:rFonts w:hint="default" w:ascii="仿宋_GB2312" w:hAnsi="仿宋_GB2312" w:eastAsia="仿宋_GB2312" w:cs="仿宋_GB2312"/>
          <w:kern w:val="2"/>
          <w:sz w:val="32"/>
          <w:szCs w:val="32"/>
          <w:lang w:val="en-US" w:eastAsia="zh-CN" w:bidi="ar-SA"/>
        </w:rPr>
        <w:t>做好日常工作及后勤工作</w:t>
      </w:r>
      <w:r>
        <w:rPr>
          <w:rFonts w:hint="default" w:ascii="仿宋_GB2312" w:hAnsi="仿宋_GB2312" w:eastAsia="仿宋_GB2312" w:cs="仿宋_GB2312"/>
          <w:kern w:val="2"/>
          <w:sz w:val="32"/>
          <w:szCs w:val="32"/>
          <w:lang w:val="zh-CN" w:eastAsia="zh-CN" w:bidi="ar-SA"/>
        </w:rPr>
        <w:t>（</w:t>
      </w:r>
      <w:r>
        <w:rPr>
          <w:rFonts w:hint="default" w:ascii="仿宋_GB2312" w:hAnsi="仿宋_GB2312" w:eastAsia="仿宋_GB2312" w:cs="仿宋_GB2312"/>
          <w:kern w:val="2"/>
          <w:sz w:val="32"/>
          <w:szCs w:val="32"/>
          <w:lang w:val="en-US" w:eastAsia="zh-CN" w:bidi="ar-SA"/>
        </w:rPr>
        <w:t>5</w:t>
      </w:r>
      <w:r>
        <w:rPr>
          <w:rFonts w:hint="default" w:ascii="仿宋_GB2312" w:hAnsi="仿宋_GB2312" w:eastAsia="仿宋_GB2312" w:cs="仿宋_GB2312"/>
          <w:kern w:val="2"/>
          <w:sz w:val="32"/>
          <w:szCs w:val="32"/>
          <w:lang w:val="zh-CN" w:eastAsia="zh-CN" w:bidi="ar-SA"/>
        </w:rPr>
        <w:t xml:space="preserve">分）  </w:t>
      </w:r>
    </w:p>
    <w:p>
      <w:pPr>
        <w:pStyle w:val="7"/>
        <w:keepNext w:val="0"/>
        <w:keepLines w:val="0"/>
        <w:pageBreakBefore w:val="0"/>
        <w:widowControl w:val="0"/>
        <w:kinsoku/>
        <w:wordWrap/>
        <w:overflowPunct/>
        <w:topLinePunct w:val="0"/>
        <w:autoSpaceDE/>
        <w:autoSpaceDN/>
        <w:bidi w:val="0"/>
        <w:adjustRightInd/>
        <w:snapToGrid/>
        <w:spacing w:after="0" w:line="576" w:lineRule="exact"/>
        <w:ind w:left="0" w:leftChars="0" w:firstLine="640"/>
        <w:textAlignment w:val="auto"/>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完成情况：</w:t>
      </w:r>
      <w:r>
        <w:rPr>
          <w:rFonts w:hint="default" w:ascii="仿宋_GB2312" w:hAnsi="仿宋_GB2312" w:eastAsia="仿宋_GB2312" w:cs="仿宋_GB2312"/>
          <w:kern w:val="2"/>
          <w:sz w:val="32"/>
          <w:szCs w:val="32"/>
          <w:lang w:val="en-US" w:eastAsia="zh-CN" w:bidi="ar-SA"/>
        </w:rPr>
        <w:t>2024年我</w:t>
      </w:r>
      <w:r>
        <w:rPr>
          <w:rFonts w:hint="eastAsia" w:ascii="仿宋_GB2312" w:hAnsi="仿宋_GB2312" w:eastAsia="仿宋_GB2312" w:cs="仿宋_GB2312"/>
          <w:kern w:val="2"/>
          <w:sz w:val="32"/>
          <w:szCs w:val="32"/>
          <w:lang w:val="en-US" w:eastAsia="zh-CN" w:bidi="ar-SA"/>
        </w:rPr>
        <w:t>委</w:t>
      </w:r>
      <w:r>
        <w:rPr>
          <w:rFonts w:hint="default" w:ascii="仿宋_GB2312" w:hAnsi="仿宋_GB2312" w:eastAsia="仿宋_GB2312" w:cs="仿宋_GB2312"/>
          <w:kern w:val="2"/>
          <w:sz w:val="32"/>
          <w:szCs w:val="32"/>
          <w:lang w:val="en-US" w:eastAsia="zh-CN" w:bidi="ar-SA"/>
        </w:rPr>
        <w:t>细心谋划，做好各项工作的后勤保障工作，完成</w:t>
      </w:r>
      <w:r>
        <w:rPr>
          <w:rFonts w:hint="default" w:ascii="仿宋_GB2312" w:hAnsi="仿宋_GB2312" w:eastAsia="仿宋_GB2312" w:cs="仿宋_GB2312"/>
          <w:kern w:val="2"/>
          <w:sz w:val="32"/>
          <w:szCs w:val="32"/>
          <w:lang w:val="zh-CN" w:eastAsia="zh-CN" w:bidi="ar-SA"/>
        </w:rPr>
        <w:t>接待任务</w:t>
      </w:r>
      <w:r>
        <w:rPr>
          <w:rFonts w:hint="eastAsia" w:ascii="仿宋_GB2312" w:hAnsi="仿宋_GB2312" w:eastAsia="仿宋_GB2312" w:cs="仿宋_GB2312"/>
          <w:kern w:val="2"/>
          <w:sz w:val="32"/>
          <w:szCs w:val="32"/>
          <w:lang w:val="en-US" w:eastAsia="zh-CN" w:bidi="ar-SA"/>
        </w:rPr>
        <w:t>4</w:t>
      </w:r>
      <w:r>
        <w:rPr>
          <w:rFonts w:hint="default" w:ascii="仿宋_GB2312" w:hAnsi="仿宋_GB2312" w:eastAsia="仿宋_GB2312" w:cs="仿宋_GB2312"/>
          <w:kern w:val="2"/>
          <w:sz w:val="32"/>
          <w:szCs w:val="32"/>
          <w:lang w:val="zh-CN" w:eastAsia="zh-CN" w:bidi="ar-SA"/>
        </w:rPr>
        <w:t>次，满意度达90%。</w:t>
      </w:r>
    </w:p>
    <w:p>
      <w:pPr>
        <w:pStyle w:val="7"/>
        <w:keepNext w:val="0"/>
        <w:keepLines w:val="0"/>
        <w:pageBreakBefore w:val="0"/>
        <w:widowControl w:val="0"/>
        <w:kinsoku/>
        <w:wordWrap/>
        <w:overflowPunct/>
        <w:topLinePunct w:val="0"/>
        <w:autoSpaceDE/>
        <w:autoSpaceDN/>
        <w:bidi w:val="0"/>
        <w:adjustRightInd/>
        <w:snapToGrid/>
        <w:spacing w:after="0" w:line="576" w:lineRule="exact"/>
        <w:ind w:left="0" w:leftChars="0" w:firstLine="64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zh-CN" w:eastAsia="zh-CN" w:bidi="ar-SA"/>
        </w:rPr>
        <w:t>自评得分</w:t>
      </w:r>
      <w:r>
        <w:rPr>
          <w:rFonts w:hint="default" w:ascii="仿宋_GB2312" w:hAnsi="仿宋_GB2312" w:eastAsia="仿宋_GB2312" w:cs="仿宋_GB2312"/>
          <w:kern w:val="2"/>
          <w:sz w:val="32"/>
          <w:szCs w:val="32"/>
          <w:lang w:val="zh-CN" w:eastAsia="zh-CN" w:bidi="ar-SA"/>
        </w:rPr>
        <w:t>：</w:t>
      </w:r>
      <w:r>
        <w:rPr>
          <w:rFonts w:hint="eastAsia" w:ascii="仿宋_GB2312" w:hAnsi="仿宋_GB2312" w:eastAsia="仿宋_GB2312" w:cs="仿宋_GB2312"/>
          <w:kern w:val="2"/>
          <w:sz w:val="32"/>
          <w:szCs w:val="32"/>
          <w:lang w:val="en-US" w:eastAsia="zh-CN" w:bidi="ar-SA"/>
        </w:rPr>
        <w:t>5</w:t>
      </w:r>
      <w:r>
        <w:rPr>
          <w:rFonts w:hint="default" w:ascii="仿宋_GB2312" w:hAnsi="仿宋_GB2312" w:eastAsia="仿宋_GB2312" w:cs="仿宋_GB2312"/>
          <w:kern w:val="2"/>
          <w:sz w:val="32"/>
          <w:szCs w:val="32"/>
          <w:lang w:val="zh-CN" w:eastAsia="zh-CN" w:bidi="ar-SA"/>
        </w:rPr>
        <w:t xml:space="preserve">分    </w:t>
      </w:r>
      <w:r>
        <w:rPr>
          <w:rFonts w:hint="default" w:ascii="仿宋_GB2312" w:hAnsi="仿宋_GB2312" w:eastAsia="仿宋_GB2312" w:cs="仿宋_GB2312"/>
          <w:kern w:val="2"/>
          <w:sz w:val="32"/>
          <w:szCs w:val="32"/>
          <w:lang w:val="en-US" w:eastAsia="zh-CN" w:bidi="ar-SA"/>
        </w:rPr>
        <w:t xml:space="preserve"> </w:t>
      </w:r>
    </w:p>
    <w:p>
      <w:pPr>
        <w:pStyle w:val="7"/>
        <w:keepNext w:val="0"/>
        <w:keepLines w:val="0"/>
        <w:pageBreakBefore w:val="0"/>
        <w:widowControl w:val="0"/>
        <w:kinsoku/>
        <w:wordWrap/>
        <w:overflowPunct/>
        <w:topLinePunct w:val="0"/>
        <w:autoSpaceDE/>
        <w:autoSpaceDN/>
        <w:bidi w:val="0"/>
        <w:adjustRightInd/>
        <w:snapToGrid/>
        <w:spacing w:after="0" w:line="576" w:lineRule="exact"/>
        <w:ind w:left="0" w:leftChars="0" w:firstLine="64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zh-CN" w:eastAsia="zh-CN" w:bidi="ar-SA"/>
        </w:rPr>
        <w:t>2. 预算管理（25分）</w:t>
      </w:r>
      <w:r>
        <w:rPr>
          <w:rFonts w:hint="default" w:ascii="仿宋_GB2312" w:hAnsi="仿宋_GB2312" w:eastAsia="仿宋_GB2312" w:cs="仿宋_GB2312"/>
          <w:kern w:val="2"/>
          <w:sz w:val="32"/>
          <w:szCs w:val="32"/>
          <w:lang w:val="en-US" w:eastAsia="zh-CN" w:bidi="ar-SA"/>
        </w:rPr>
        <w:t xml:space="preserve"> </w:t>
      </w:r>
    </w:p>
    <w:p>
      <w:pPr>
        <w:pStyle w:val="7"/>
        <w:keepNext w:val="0"/>
        <w:keepLines w:val="0"/>
        <w:pageBreakBefore w:val="0"/>
        <w:widowControl w:val="0"/>
        <w:kinsoku/>
        <w:wordWrap/>
        <w:overflowPunct/>
        <w:topLinePunct w:val="0"/>
        <w:autoSpaceDE/>
        <w:autoSpaceDN/>
        <w:bidi w:val="0"/>
        <w:adjustRightInd/>
        <w:snapToGrid/>
        <w:spacing w:after="0" w:line="576" w:lineRule="exact"/>
        <w:ind w:left="0" w:leftChars="0" w:firstLine="640"/>
        <w:textAlignment w:val="auto"/>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 xml:space="preserve">（1）预算编制质量（8分）  </w:t>
      </w:r>
    </w:p>
    <w:p>
      <w:pPr>
        <w:pStyle w:val="7"/>
        <w:keepNext w:val="0"/>
        <w:keepLines w:val="0"/>
        <w:pageBreakBefore w:val="0"/>
        <w:widowControl w:val="0"/>
        <w:kinsoku/>
        <w:wordWrap/>
        <w:overflowPunct/>
        <w:topLinePunct w:val="0"/>
        <w:autoSpaceDE/>
        <w:autoSpaceDN/>
        <w:bidi w:val="0"/>
        <w:adjustRightInd/>
        <w:snapToGrid/>
        <w:spacing w:after="0" w:line="576" w:lineRule="exact"/>
        <w:ind w:left="0" w:leftChars="0" w:firstLine="640"/>
        <w:textAlignment w:val="auto"/>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分析：</w:t>
      </w:r>
      <w:r>
        <w:rPr>
          <w:rFonts w:hint="default" w:ascii="仿宋_GB2312" w:hAnsi="仿宋_GB2312" w:eastAsia="仿宋_GB2312" w:cs="仿宋_GB2312"/>
          <w:kern w:val="2"/>
          <w:sz w:val="32"/>
          <w:szCs w:val="32"/>
          <w:lang w:val="en-US" w:eastAsia="zh-CN" w:bidi="ar-SA"/>
        </w:rPr>
        <w:t>2024年我</w:t>
      </w:r>
      <w:r>
        <w:rPr>
          <w:rFonts w:hint="eastAsia" w:ascii="仿宋_GB2312" w:hAnsi="仿宋_GB2312" w:eastAsia="仿宋_GB2312" w:cs="仿宋_GB2312"/>
          <w:kern w:val="2"/>
          <w:sz w:val="32"/>
          <w:szCs w:val="32"/>
          <w:lang w:val="en-US" w:eastAsia="zh-CN" w:bidi="ar-SA"/>
        </w:rPr>
        <w:t>委</w:t>
      </w:r>
      <w:r>
        <w:rPr>
          <w:rFonts w:hint="default" w:ascii="仿宋_GB2312" w:hAnsi="仿宋_GB2312" w:eastAsia="仿宋_GB2312" w:cs="仿宋_GB2312"/>
          <w:kern w:val="2"/>
          <w:sz w:val="32"/>
          <w:szCs w:val="32"/>
          <w:lang w:val="en-US" w:eastAsia="zh-CN" w:bidi="ar-SA"/>
        </w:rPr>
        <w:t>严格按照部门预算编制要求编制年初预算，统筹兼顾，科学谋划，较好的完成了2024年部门预算编制工作，但仍存在少量执行过程中部分经济支出科目无法预计调整的情况</w:t>
      </w:r>
      <w:r>
        <w:rPr>
          <w:rFonts w:hint="default" w:ascii="仿宋_GB2312" w:hAnsi="仿宋_GB2312" w:eastAsia="仿宋_GB2312" w:cs="仿宋_GB2312"/>
          <w:kern w:val="2"/>
          <w:sz w:val="32"/>
          <w:szCs w:val="32"/>
          <w:lang w:val="zh-CN" w:eastAsia="zh-CN" w:bidi="ar-SA"/>
        </w:rPr>
        <w:t>预算编制符合财政要求，</w:t>
      </w:r>
      <w:r>
        <w:rPr>
          <w:rFonts w:hint="default" w:ascii="仿宋_GB2312" w:hAnsi="仿宋_GB2312" w:eastAsia="仿宋_GB2312" w:cs="仿宋_GB2312"/>
          <w:kern w:val="2"/>
          <w:sz w:val="32"/>
          <w:szCs w:val="32"/>
          <w:lang w:val="en-US" w:eastAsia="zh-CN" w:bidi="ar-SA"/>
        </w:rPr>
        <w:t>部分科目</w:t>
      </w:r>
      <w:r>
        <w:rPr>
          <w:rFonts w:hint="default" w:ascii="仿宋_GB2312" w:hAnsi="仿宋_GB2312" w:eastAsia="仿宋_GB2312" w:cs="仿宋_GB2312"/>
          <w:kern w:val="2"/>
          <w:sz w:val="32"/>
          <w:szCs w:val="32"/>
          <w:lang w:val="zh-CN" w:eastAsia="zh-CN" w:bidi="ar-SA"/>
        </w:rPr>
        <w:t xml:space="preserve">未细化绩效目标。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自评得分</w:t>
      </w:r>
      <w:r>
        <w:rPr>
          <w:rFonts w:hint="default" w:ascii="仿宋_GB2312" w:hAnsi="仿宋_GB2312" w:eastAsia="仿宋_GB2312" w:cs="仿宋_GB2312"/>
          <w:kern w:val="2"/>
          <w:sz w:val="32"/>
          <w:szCs w:val="32"/>
          <w:lang w:val="zh-CN" w:eastAsia="zh-CN" w:bidi="ar-SA"/>
        </w:rPr>
        <w:t>：</w:t>
      </w:r>
      <w:r>
        <w:rPr>
          <w:rFonts w:hint="default" w:ascii="仿宋_GB2312" w:hAnsi="仿宋_GB2312" w:eastAsia="仿宋_GB2312" w:cs="仿宋_GB2312"/>
          <w:kern w:val="2"/>
          <w:sz w:val="32"/>
          <w:szCs w:val="32"/>
          <w:lang w:val="en-US" w:eastAsia="zh-CN" w:bidi="ar-SA"/>
        </w:rPr>
        <w:t>7</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（2）单位收入统筹（</w:t>
      </w:r>
      <w:r>
        <w:rPr>
          <w:rFonts w:hint="default" w:ascii="仿宋_GB2312" w:hAnsi="仿宋_GB2312" w:eastAsia="仿宋_GB2312" w:cs="仿宋_GB2312"/>
          <w:kern w:val="2"/>
          <w:sz w:val="32"/>
          <w:szCs w:val="32"/>
          <w:lang w:val="en-US" w:eastAsia="zh-CN" w:bidi="ar-SA"/>
        </w:rPr>
        <w:t>4</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分析：</w:t>
      </w:r>
      <w:r>
        <w:rPr>
          <w:rFonts w:hint="default" w:ascii="仿宋_GB2312" w:hAnsi="仿宋_GB2312" w:eastAsia="仿宋_GB2312" w:cs="仿宋_GB2312"/>
          <w:kern w:val="2"/>
          <w:sz w:val="32"/>
          <w:szCs w:val="32"/>
          <w:lang w:val="en-US" w:eastAsia="zh-CN" w:bidi="ar-SA"/>
        </w:rPr>
        <w:t>2024年我</w:t>
      </w:r>
      <w:r>
        <w:rPr>
          <w:rFonts w:hint="eastAsia" w:ascii="仿宋_GB2312" w:hAnsi="仿宋_GB2312" w:eastAsia="仿宋_GB2312" w:cs="仿宋_GB2312"/>
          <w:kern w:val="2"/>
          <w:sz w:val="32"/>
          <w:szCs w:val="32"/>
          <w:lang w:val="en-US" w:eastAsia="zh-CN" w:bidi="ar-SA"/>
        </w:rPr>
        <w:t>委</w:t>
      </w:r>
      <w:r>
        <w:rPr>
          <w:rFonts w:hint="default" w:ascii="仿宋_GB2312" w:hAnsi="仿宋_GB2312" w:eastAsia="仿宋_GB2312" w:cs="仿宋_GB2312"/>
          <w:kern w:val="2"/>
          <w:sz w:val="32"/>
          <w:szCs w:val="32"/>
          <w:lang w:val="zh-CN" w:eastAsia="zh-CN" w:bidi="ar-SA"/>
        </w:rPr>
        <w:t xml:space="preserve">收入全部来自财政拨款，无其他收入来源，统筹效率较高。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自评得分</w:t>
      </w:r>
      <w:r>
        <w:rPr>
          <w:rFonts w:hint="default" w:ascii="仿宋_GB2312" w:hAnsi="仿宋_GB2312" w:eastAsia="仿宋_GB2312" w:cs="仿宋_GB2312"/>
          <w:kern w:val="2"/>
          <w:sz w:val="32"/>
          <w:szCs w:val="32"/>
          <w:lang w:val="zh-CN" w:eastAsia="zh-CN" w:bidi="ar-SA"/>
        </w:rPr>
        <w:t>：</w:t>
      </w:r>
      <w:r>
        <w:rPr>
          <w:rFonts w:hint="default" w:ascii="仿宋_GB2312" w:hAnsi="仿宋_GB2312" w:eastAsia="仿宋_GB2312" w:cs="仿宋_GB2312"/>
          <w:kern w:val="2"/>
          <w:sz w:val="32"/>
          <w:szCs w:val="32"/>
          <w:lang w:val="en-US" w:eastAsia="zh-CN" w:bidi="ar-SA"/>
        </w:rPr>
        <w:t>4</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（3）支出执行进度（</w:t>
      </w:r>
      <w:r>
        <w:rPr>
          <w:rFonts w:hint="default" w:ascii="仿宋_GB2312" w:hAnsi="仿宋_GB2312" w:eastAsia="仿宋_GB2312" w:cs="仿宋_GB2312"/>
          <w:kern w:val="2"/>
          <w:sz w:val="32"/>
          <w:szCs w:val="32"/>
          <w:lang w:val="en-US" w:eastAsia="zh-CN" w:bidi="ar-SA"/>
        </w:rPr>
        <w:t>6</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jc w:val="left"/>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分析：全年支出进度</w:t>
      </w:r>
      <w:r>
        <w:rPr>
          <w:rFonts w:hint="eastAsia" w:ascii="仿宋_GB2312" w:hAnsi="仿宋_GB2312" w:eastAsia="仿宋_GB2312" w:cs="仿宋_GB2312"/>
          <w:kern w:val="2"/>
          <w:sz w:val="32"/>
          <w:szCs w:val="32"/>
          <w:lang w:val="en-US" w:eastAsia="zh-CN" w:bidi="ar-SA"/>
        </w:rPr>
        <w:t>86.46</w:t>
      </w:r>
      <w:r>
        <w:rPr>
          <w:rFonts w:hint="default" w:ascii="仿宋_GB2312" w:hAnsi="仿宋_GB2312" w:eastAsia="仿宋_GB2312" w:cs="仿宋_GB2312"/>
          <w:kern w:val="2"/>
          <w:sz w:val="32"/>
          <w:szCs w:val="32"/>
          <w:lang w:val="zh-CN" w:eastAsia="zh-CN" w:bidi="ar-SA"/>
        </w:rPr>
        <w:t>%，</w:t>
      </w:r>
      <w:r>
        <w:rPr>
          <w:rFonts w:hint="default" w:ascii="仿宋_GB2312" w:hAnsi="仿宋_GB2312" w:eastAsia="仿宋_GB2312" w:cs="仿宋_GB2312"/>
          <w:kern w:val="2"/>
          <w:sz w:val="32"/>
          <w:szCs w:val="32"/>
          <w:lang w:val="en-US" w:eastAsia="zh-CN" w:bidi="ar-SA"/>
        </w:rPr>
        <w:t>未达到100%原因为</w:t>
      </w:r>
      <w:r>
        <w:rPr>
          <w:rFonts w:hint="eastAsia" w:ascii="仿宋_GB2312" w:hAnsi="仿宋_GB2312" w:eastAsia="仿宋_GB2312" w:cs="仿宋_GB2312"/>
          <w:kern w:val="2"/>
          <w:sz w:val="32"/>
          <w:szCs w:val="32"/>
          <w:lang w:val="en-US" w:eastAsia="zh-CN" w:bidi="ar-SA"/>
        </w:rPr>
        <w:t>纪委业务用房改扩建项目资金未拔付完成</w:t>
      </w:r>
      <w:r>
        <w:rPr>
          <w:rFonts w:hint="default" w:ascii="仿宋_GB2312" w:hAnsi="仿宋_GB2312" w:eastAsia="仿宋_GB2312" w:cs="仿宋_GB2312"/>
          <w:kern w:val="2"/>
          <w:sz w:val="32"/>
          <w:szCs w:val="32"/>
          <w:lang w:val="zh-CN" w:eastAsia="zh-CN" w:bidi="ar-SA"/>
        </w:rPr>
        <w:t xml:space="preserve">。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自评得分</w:t>
      </w:r>
      <w:r>
        <w:rPr>
          <w:rFonts w:hint="default" w:ascii="仿宋_GB2312" w:hAnsi="仿宋_GB2312" w:eastAsia="仿宋_GB2312" w:cs="仿宋_GB2312"/>
          <w:kern w:val="2"/>
          <w:sz w:val="32"/>
          <w:szCs w:val="32"/>
          <w:lang w:val="zh-CN" w:eastAsia="zh-CN" w:bidi="ar-SA"/>
        </w:rPr>
        <w:t>：</w:t>
      </w:r>
      <w:r>
        <w:rPr>
          <w:rFonts w:hint="eastAsia" w:ascii="仿宋_GB2312" w:hAnsi="仿宋_GB2312" w:eastAsia="仿宋_GB2312" w:cs="仿宋_GB2312"/>
          <w:kern w:val="2"/>
          <w:sz w:val="32"/>
          <w:szCs w:val="32"/>
          <w:lang w:val="en-US" w:eastAsia="zh-CN" w:bidi="ar-SA"/>
        </w:rPr>
        <w:t>5</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（4）预算年终结余（</w:t>
      </w:r>
      <w:r>
        <w:rPr>
          <w:rFonts w:hint="default" w:ascii="仿宋_GB2312" w:hAnsi="仿宋_GB2312" w:eastAsia="仿宋_GB2312" w:cs="仿宋_GB2312"/>
          <w:kern w:val="2"/>
          <w:sz w:val="32"/>
          <w:szCs w:val="32"/>
          <w:lang w:val="en-US" w:eastAsia="zh-CN" w:bidi="ar-SA"/>
        </w:rPr>
        <w:t>2</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分析：</w:t>
      </w:r>
      <w:r>
        <w:rPr>
          <w:rFonts w:hint="default" w:ascii="仿宋_GB2312" w:hAnsi="仿宋_GB2312" w:eastAsia="仿宋_GB2312" w:cs="仿宋_GB2312"/>
          <w:kern w:val="2"/>
          <w:sz w:val="32"/>
          <w:szCs w:val="32"/>
          <w:lang w:val="en-US" w:eastAsia="zh-CN" w:bidi="ar-SA"/>
        </w:rPr>
        <w:t>2024年我</w:t>
      </w:r>
      <w:r>
        <w:rPr>
          <w:rFonts w:hint="eastAsia" w:ascii="仿宋_GB2312" w:hAnsi="仿宋_GB2312" w:eastAsia="仿宋_GB2312" w:cs="仿宋_GB2312"/>
          <w:kern w:val="2"/>
          <w:sz w:val="32"/>
          <w:szCs w:val="32"/>
          <w:lang w:val="en-US" w:eastAsia="zh-CN" w:bidi="ar-SA"/>
        </w:rPr>
        <w:t>委</w:t>
      </w:r>
      <w:r>
        <w:rPr>
          <w:rFonts w:hint="default" w:ascii="仿宋_GB2312" w:hAnsi="仿宋_GB2312" w:eastAsia="仿宋_GB2312" w:cs="仿宋_GB2312"/>
          <w:kern w:val="2"/>
          <w:sz w:val="32"/>
          <w:szCs w:val="32"/>
          <w:lang w:val="en-US" w:eastAsia="zh-CN" w:bidi="ar-SA"/>
        </w:rPr>
        <w:t>预算年终结余</w:t>
      </w:r>
      <w:r>
        <w:rPr>
          <w:rFonts w:hint="eastAsia" w:ascii="仿宋_GB2312" w:hAnsi="仿宋_GB2312" w:eastAsia="仿宋_GB2312" w:cs="仿宋_GB2312"/>
          <w:kern w:val="2"/>
          <w:sz w:val="32"/>
          <w:szCs w:val="32"/>
          <w:lang w:val="en-US" w:eastAsia="zh-CN" w:bidi="ar-SA"/>
        </w:rPr>
        <w:t>343.33</w:t>
      </w:r>
      <w:r>
        <w:rPr>
          <w:rFonts w:hint="default" w:ascii="仿宋_GB2312" w:hAnsi="仿宋_GB2312" w:eastAsia="仿宋_GB2312" w:cs="仿宋_GB2312"/>
          <w:kern w:val="2"/>
          <w:sz w:val="32"/>
          <w:szCs w:val="32"/>
          <w:lang w:val="en-US" w:eastAsia="zh-CN" w:bidi="ar-SA"/>
        </w:rPr>
        <w:t>万元，执行率</w:t>
      </w:r>
      <w:r>
        <w:rPr>
          <w:rFonts w:hint="eastAsia" w:ascii="仿宋_GB2312" w:hAnsi="仿宋_GB2312" w:eastAsia="仿宋_GB2312" w:cs="仿宋_GB2312"/>
          <w:kern w:val="2"/>
          <w:sz w:val="32"/>
          <w:szCs w:val="32"/>
          <w:lang w:val="en-US" w:eastAsia="zh-CN" w:bidi="ar-SA"/>
        </w:rPr>
        <w:t>86.46</w:t>
      </w:r>
      <w:r>
        <w:rPr>
          <w:rFonts w:hint="default" w:ascii="仿宋_GB2312" w:hAnsi="仿宋_GB2312" w:eastAsia="仿宋_GB2312" w:cs="仿宋_GB2312"/>
          <w:kern w:val="2"/>
          <w:sz w:val="32"/>
          <w:szCs w:val="32"/>
          <w:lang w:val="en-US" w:eastAsia="zh-CN" w:bidi="ar-SA"/>
        </w:rPr>
        <w:t>%，主要结余为</w:t>
      </w:r>
      <w:r>
        <w:rPr>
          <w:rFonts w:hint="eastAsia" w:ascii="仿宋_GB2312" w:hAnsi="仿宋_GB2312" w:eastAsia="仿宋_GB2312" w:cs="仿宋_GB2312"/>
          <w:kern w:val="2"/>
          <w:sz w:val="32"/>
          <w:szCs w:val="32"/>
          <w:lang w:val="en-US" w:eastAsia="zh-CN" w:bidi="ar-SA"/>
        </w:rPr>
        <w:t>纪委业务用房改扩建项目资金</w:t>
      </w:r>
      <w:r>
        <w:rPr>
          <w:rFonts w:hint="default" w:ascii="仿宋_GB2312" w:hAnsi="仿宋_GB2312" w:eastAsia="仿宋_GB2312" w:cs="仿宋_GB2312"/>
          <w:kern w:val="2"/>
          <w:sz w:val="32"/>
          <w:szCs w:val="32"/>
          <w:lang w:val="en-US" w:eastAsia="zh-CN" w:bidi="ar-SA"/>
        </w:rPr>
        <w:t>。</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自评得分</w:t>
      </w:r>
      <w:r>
        <w:rPr>
          <w:rFonts w:hint="default" w:ascii="仿宋_GB2312" w:hAnsi="仿宋_GB2312" w:eastAsia="仿宋_GB2312" w:cs="仿宋_GB2312"/>
          <w:kern w:val="2"/>
          <w:sz w:val="32"/>
          <w:szCs w:val="32"/>
          <w:lang w:val="zh-CN" w:eastAsia="zh-CN" w:bidi="ar-SA"/>
        </w:rPr>
        <w:t>：</w:t>
      </w:r>
      <w:r>
        <w:rPr>
          <w:rFonts w:hint="default"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kern w:val="2"/>
          <w:sz w:val="32"/>
          <w:szCs w:val="32"/>
          <w:lang w:val="en-US" w:eastAsia="zh-CN" w:bidi="ar-SA"/>
        </w:rPr>
        <w:t>.6</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（5）严控一般性支出（</w:t>
      </w:r>
      <w:r>
        <w:rPr>
          <w:rFonts w:hint="default" w:ascii="仿宋_GB2312" w:hAnsi="仿宋_GB2312" w:eastAsia="仿宋_GB2312" w:cs="仿宋_GB2312"/>
          <w:kern w:val="2"/>
          <w:sz w:val="32"/>
          <w:szCs w:val="32"/>
          <w:lang w:val="en-US" w:eastAsia="zh-CN" w:bidi="ar-SA"/>
        </w:rPr>
        <w:t>5</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分析：</w:t>
      </w:r>
      <w:r>
        <w:rPr>
          <w:rFonts w:hint="default" w:ascii="仿宋_GB2312" w:hAnsi="仿宋_GB2312" w:eastAsia="仿宋_GB2312" w:cs="仿宋_GB2312"/>
          <w:kern w:val="2"/>
          <w:sz w:val="32"/>
          <w:szCs w:val="32"/>
          <w:lang w:val="en-US" w:eastAsia="zh-CN" w:bidi="ar-SA"/>
        </w:rPr>
        <w:t xml:space="preserve"> 2024年我</w:t>
      </w:r>
      <w:r>
        <w:rPr>
          <w:rFonts w:hint="eastAsia" w:ascii="仿宋_GB2312" w:hAnsi="仿宋_GB2312" w:eastAsia="仿宋_GB2312" w:cs="仿宋_GB2312"/>
          <w:kern w:val="2"/>
          <w:sz w:val="32"/>
          <w:szCs w:val="32"/>
          <w:lang w:val="en-US" w:eastAsia="zh-CN" w:bidi="ar-SA"/>
        </w:rPr>
        <w:t>委</w:t>
      </w:r>
      <w:r>
        <w:rPr>
          <w:rFonts w:hint="default" w:ascii="仿宋_GB2312" w:hAnsi="仿宋_GB2312" w:eastAsia="仿宋_GB2312" w:cs="仿宋_GB2312"/>
          <w:kern w:val="2"/>
          <w:sz w:val="32"/>
          <w:szCs w:val="32"/>
          <w:lang w:val="en-US" w:eastAsia="zh-CN" w:bidi="ar-SA"/>
        </w:rPr>
        <w:t>按照节能型机关建设等要求，厉行节约、严控八项</w:t>
      </w:r>
      <w:r>
        <w:rPr>
          <w:rFonts w:hint="eastAsia" w:ascii="仿宋_GB2312" w:hAnsi="仿宋_GB2312" w:eastAsia="仿宋_GB2312" w:cs="仿宋_GB2312"/>
          <w:kern w:val="2"/>
          <w:sz w:val="32"/>
          <w:szCs w:val="32"/>
          <w:lang w:val="en-US" w:eastAsia="zh-CN" w:bidi="ar-SA"/>
        </w:rPr>
        <w:t>规定</w:t>
      </w:r>
      <w:r>
        <w:rPr>
          <w:rFonts w:hint="default" w:ascii="仿宋_GB2312" w:hAnsi="仿宋_GB2312" w:eastAsia="仿宋_GB2312" w:cs="仿宋_GB2312"/>
          <w:kern w:val="2"/>
          <w:sz w:val="32"/>
          <w:szCs w:val="32"/>
          <w:lang w:val="en-US" w:eastAsia="zh-CN" w:bidi="ar-SA"/>
        </w:rPr>
        <w:t>一般性支出，接待费等均未超出预算。较好的执行了一般性支出压减要求。</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自评得分</w:t>
      </w:r>
      <w:r>
        <w:rPr>
          <w:rFonts w:hint="eastAsia" w:ascii="仿宋_GB2312" w:hAnsi="仿宋_GB2312" w:eastAsia="仿宋_GB2312" w:cs="仿宋_GB2312"/>
          <w:kern w:val="2"/>
          <w:sz w:val="32"/>
          <w:szCs w:val="32"/>
          <w:lang w:val="en-US" w:eastAsia="zh-CN" w:bidi="ar-SA"/>
        </w:rPr>
        <w:t>:5</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 xml:space="preserve">3. 财务管理（10分）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 xml:space="preserve">（1）财务管理制度健全性（4分）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 xml:space="preserve">分析：内控制度完善，涵盖预算、收支、采购等环节。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自评得分</w:t>
      </w:r>
      <w:r>
        <w:rPr>
          <w:rFonts w:hint="default" w:ascii="仿宋_GB2312" w:hAnsi="仿宋_GB2312" w:eastAsia="仿宋_GB2312" w:cs="仿宋_GB2312"/>
          <w:kern w:val="2"/>
          <w:sz w:val="32"/>
          <w:szCs w:val="32"/>
          <w:lang w:val="zh-CN" w:eastAsia="zh-CN" w:bidi="ar-SA"/>
        </w:rPr>
        <w:t xml:space="preserve">：4分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（2）财务岗位设置合规性（</w:t>
      </w:r>
      <w:r>
        <w:rPr>
          <w:rFonts w:hint="default" w:ascii="仿宋_GB2312" w:hAnsi="仿宋_GB2312" w:eastAsia="仿宋_GB2312" w:cs="仿宋_GB2312"/>
          <w:kern w:val="2"/>
          <w:sz w:val="32"/>
          <w:szCs w:val="32"/>
          <w:lang w:val="en-US" w:eastAsia="zh-CN" w:bidi="ar-SA"/>
        </w:rPr>
        <w:t>2</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 xml:space="preserve">分析：会计、出纳岗位分离，职责明确。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自评得分</w:t>
      </w:r>
      <w:r>
        <w:rPr>
          <w:rFonts w:hint="default" w:ascii="仿宋_GB2312" w:hAnsi="仿宋_GB2312" w:eastAsia="仿宋_GB2312" w:cs="仿宋_GB2312"/>
          <w:kern w:val="2"/>
          <w:sz w:val="32"/>
          <w:szCs w:val="32"/>
          <w:lang w:val="zh-CN" w:eastAsia="zh-CN" w:bidi="ar-SA"/>
        </w:rPr>
        <w:t>：</w:t>
      </w:r>
      <w:r>
        <w:rPr>
          <w:rFonts w:hint="default" w:ascii="仿宋_GB2312" w:hAnsi="仿宋_GB2312" w:eastAsia="仿宋_GB2312" w:cs="仿宋_GB2312"/>
          <w:kern w:val="2"/>
          <w:sz w:val="32"/>
          <w:szCs w:val="32"/>
          <w:lang w:val="en-US" w:eastAsia="zh-CN" w:bidi="ar-SA"/>
        </w:rPr>
        <w:t>2</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（3）资金使用规范性（</w:t>
      </w:r>
      <w:r>
        <w:rPr>
          <w:rFonts w:hint="default" w:ascii="仿宋_GB2312" w:hAnsi="仿宋_GB2312" w:eastAsia="仿宋_GB2312" w:cs="仿宋_GB2312"/>
          <w:kern w:val="2"/>
          <w:sz w:val="32"/>
          <w:szCs w:val="32"/>
          <w:lang w:val="en-US" w:eastAsia="zh-CN" w:bidi="ar-SA"/>
        </w:rPr>
        <w:t>4</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分析：</w:t>
      </w:r>
      <w:r>
        <w:rPr>
          <w:rFonts w:hint="default" w:ascii="仿宋_GB2312" w:hAnsi="仿宋_GB2312" w:eastAsia="仿宋_GB2312" w:cs="仿宋_GB2312"/>
          <w:kern w:val="2"/>
          <w:sz w:val="32"/>
          <w:szCs w:val="32"/>
          <w:lang w:val="en-US" w:eastAsia="zh-CN" w:bidi="ar-SA"/>
        </w:rPr>
        <w:t>我</w:t>
      </w:r>
      <w:r>
        <w:rPr>
          <w:rFonts w:hint="eastAsia" w:ascii="仿宋_GB2312" w:hAnsi="仿宋_GB2312" w:eastAsia="仿宋_GB2312" w:cs="仿宋_GB2312"/>
          <w:kern w:val="2"/>
          <w:sz w:val="32"/>
          <w:szCs w:val="32"/>
          <w:lang w:val="en-US" w:eastAsia="zh-CN" w:bidi="ar-SA"/>
        </w:rPr>
        <w:t>委</w:t>
      </w:r>
      <w:r>
        <w:rPr>
          <w:rFonts w:hint="default" w:ascii="仿宋_GB2312" w:hAnsi="仿宋_GB2312" w:eastAsia="仿宋_GB2312" w:cs="仿宋_GB2312"/>
          <w:kern w:val="2"/>
          <w:sz w:val="32"/>
          <w:szCs w:val="32"/>
          <w:lang w:val="en-US" w:eastAsia="zh-CN" w:bidi="ar-SA"/>
        </w:rPr>
        <w:t>资金严格按照资金使用办法及范围开支，不存在不按照财务管理制度规定违规使用资金的情况</w:t>
      </w:r>
      <w:r>
        <w:rPr>
          <w:rFonts w:hint="default" w:ascii="仿宋_GB2312" w:hAnsi="仿宋_GB2312" w:eastAsia="仿宋_GB2312" w:cs="仿宋_GB2312"/>
          <w:kern w:val="2"/>
          <w:sz w:val="32"/>
          <w:szCs w:val="32"/>
          <w:lang w:val="zh-CN" w:eastAsia="zh-CN" w:bidi="ar-SA"/>
        </w:rPr>
        <w:t xml:space="preserve">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自评得分</w:t>
      </w:r>
      <w:r>
        <w:rPr>
          <w:rFonts w:hint="default" w:ascii="仿宋_GB2312" w:hAnsi="仿宋_GB2312" w:eastAsia="仿宋_GB2312" w:cs="仿宋_GB2312"/>
          <w:kern w:val="2"/>
          <w:sz w:val="32"/>
          <w:szCs w:val="32"/>
          <w:lang w:val="zh-CN" w:eastAsia="zh-CN" w:bidi="ar-SA"/>
        </w:rPr>
        <w:t>：</w:t>
      </w:r>
      <w:r>
        <w:rPr>
          <w:rFonts w:hint="default" w:ascii="仿宋_GB2312" w:hAnsi="仿宋_GB2312" w:eastAsia="仿宋_GB2312" w:cs="仿宋_GB2312"/>
          <w:kern w:val="2"/>
          <w:sz w:val="32"/>
          <w:szCs w:val="32"/>
          <w:lang w:val="en-US" w:eastAsia="zh-CN" w:bidi="ar-SA"/>
        </w:rPr>
        <w:t>4</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4. 资产管理（</w:t>
      </w:r>
      <w:r>
        <w:rPr>
          <w:rFonts w:hint="default" w:ascii="仿宋_GB2312" w:hAnsi="仿宋_GB2312" w:eastAsia="仿宋_GB2312" w:cs="仿宋_GB2312"/>
          <w:kern w:val="2"/>
          <w:sz w:val="32"/>
          <w:szCs w:val="32"/>
          <w:lang w:val="en-US" w:eastAsia="zh-CN" w:bidi="ar-SA"/>
        </w:rPr>
        <w:t>9</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（1）人均资产变化率（</w:t>
      </w:r>
      <w:r>
        <w:rPr>
          <w:rFonts w:hint="default"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分析：</w:t>
      </w:r>
      <w:r>
        <w:rPr>
          <w:rFonts w:hint="default" w:ascii="仿宋_GB2312" w:hAnsi="仿宋_GB2312" w:eastAsia="仿宋_GB2312" w:cs="仿宋_GB2312"/>
          <w:kern w:val="2"/>
          <w:sz w:val="32"/>
          <w:szCs w:val="32"/>
          <w:lang w:val="en-US" w:eastAsia="zh-CN" w:bidi="ar-SA"/>
        </w:rPr>
        <w:t>2024年</w:t>
      </w:r>
      <w:r>
        <w:rPr>
          <w:rFonts w:hint="eastAsia" w:ascii="仿宋_GB2312" w:hAnsi="仿宋_GB2312" w:eastAsia="仿宋_GB2312" w:cs="仿宋_GB2312"/>
          <w:kern w:val="2"/>
          <w:sz w:val="32"/>
          <w:szCs w:val="32"/>
          <w:lang w:val="en-US" w:eastAsia="zh-CN" w:bidi="ar-SA"/>
        </w:rPr>
        <w:t>无</w:t>
      </w:r>
      <w:r>
        <w:rPr>
          <w:rFonts w:hint="default" w:ascii="仿宋_GB2312" w:hAnsi="仿宋_GB2312" w:eastAsia="仿宋_GB2312" w:cs="仿宋_GB2312"/>
          <w:kern w:val="2"/>
          <w:sz w:val="32"/>
          <w:szCs w:val="32"/>
          <w:lang w:val="en-US" w:eastAsia="zh-CN" w:bidi="ar-SA"/>
        </w:rPr>
        <w:t>新增固定资产</w:t>
      </w:r>
      <w:r>
        <w:rPr>
          <w:rFonts w:hint="default" w:ascii="仿宋_GB2312" w:hAnsi="仿宋_GB2312" w:eastAsia="仿宋_GB2312" w:cs="仿宋_GB2312"/>
          <w:kern w:val="2"/>
          <w:sz w:val="32"/>
          <w:szCs w:val="32"/>
          <w:lang w:val="zh-CN" w:eastAsia="zh-CN" w:bidi="ar-SA"/>
        </w:rPr>
        <w:t>，</w:t>
      </w:r>
      <w:r>
        <w:rPr>
          <w:rFonts w:hint="eastAsia" w:ascii="仿宋_GB2312" w:hAnsi="仿宋_GB2312" w:eastAsia="仿宋_GB2312" w:cs="仿宋_GB2312"/>
          <w:kern w:val="2"/>
          <w:sz w:val="32"/>
          <w:szCs w:val="32"/>
          <w:lang w:val="en-US" w:eastAsia="zh-CN" w:bidi="ar-SA"/>
        </w:rPr>
        <w:t>我单位固定资产原值400.24元，</w:t>
      </w:r>
      <w:r>
        <w:rPr>
          <w:rFonts w:hint="default" w:ascii="仿宋_GB2312" w:hAnsi="仿宋_GB2312" w:eastAsia="仿宋_GB2312" w:cs="仿宋_GB2312"/>
          <w:kern w:val="2"/>
          <w:sz w:val="32"/>
          <w:szCs w:val="32"/>
          <w:lang w:val="en-US" w:eastAsia="zh-CN" w:bidi="ar-SA"/>
        </w:rPr>
        <w:t>其中，设备</w:t>
      </w:r>
      <w:r>
        <w:rPr>
          <w:rFonts w:hint="eastAsia" w:ascii="仿宋_GB2312" w:hAnsi="仿宋_GB2312" w:eastAsia="仿宋_GB2312" w:cs="仿宋_GB2312"/>
          <w:kern w:val="2"/>
          <w:sz w:val="32"/>
          <w:szCs w:val="32"/>
          <w:lang w:val="en-US" w:eastAsia="zh-CN" w:bidi="ar-SA"/>
        </w:rPr>
        <w:t>371.75</w:t>
      </w:r>
      <w:r>
        <w:rPr>
          <w:rFonts w:hint="default" w:ascii="仿宋_GB2312" w:hAnsi="仿宋_GB2312" w:eastAsia="仿宋_GB2312" w:cs="仿宋_GB2312"/>
          <w:kern w:val="2"/>
          <w:sz w:val="32"/>
          <w:szCs w:val="32"/>
          <w:lang w:val="en-US" w:eastAsia="zh-CN" w:bidi="ar-SA"/>
        </w:rPr>
        <w:t>万元，家具和用具</w:t>
      </w:r>
      <w:r>
        <w:rPr>
          <w:rFonts w:hint="eastAsia" w:ascii="仿宋_GB2312" w:hAnsi="仿宋_GB2312" w:eastAsia="仿宋_GB2312" w:cs="仿宋_GB2312"/>
          <w:kern w:val="2"/>
          <w:sz w:val="32"/>
          <w:szCs w:val="32"/>
          <w:lang w:val="en-US" w:eastAsia="zh-CN" w:bidi="ar-SA"/>
        </w:rPr>
        <w:t>24</w:t>
      </w:r>
      <w:r>
        <w:rPr>
          <w:rFonts w:hint="default" w:ascii="仿宋_GB2312" w:hAnsi="仿宋_GB2312" w:eastAsia="仿宋_GB2312" w:cs="仿宋_GB2312"/>
          <w:kern w:val="2"/>
          <w:sz w:val="32"/>
          <w:szCs w:val="32"/>
          <w:lang w:val="en-US" w:eastAsia="zh-CN" w:bidi="ar-SA"/>
        </w:rPr>
        <w:t>万元，无形资产</w:t>
      </w:r>
      <w:r>
        <w:rPr>
          <w:rFonts w:hint="eastAsia" w:ascii="仿宋_GB2312" w:hAnsi="仿宋_GB2312" w:eastAsia="仿宋_GB2312" w:cs="仿宋_GB2312"/>
          <w:kern w:val="2"/>
          <w:sz w:val="32"/>
          <w:szCs w:val="32"/>
          <w:lang w:val="en-US" w:eastAsia="zh-CN" w:bidi="ar-SA"/>
        </w:rPr>
        <w:t>4.5</w:t>
      </w:r>
      <w:r>
        <w:rPr>
          <w:rFonts w:hint="default" w:ascii="仿宋_GB2312" w:hAnsi="仿宋_GB2312" w:eastAsia="仿宋_GB2312" w:cs="仿宋_GB2312"/>
          <w:kern w:val="2"/>
          <w:sz w:val="32"/>
          <w:szCs w:val="32"/>
          <w:lang w:val="en-US" w:eastAsia="zh-CN" w:bidi="ar-SA"/>
        </w:rPr>
        <w:t>万元，</w:t>
      </w:r>
      <w:r>
        <w:rPr>
          <w:rFonts w:hint="eastAsia" w:ascii="仿宋_GB2312" w:hAnsi="仿宋_GB2312" w:eastAsia="仿宋_GB2312" w:cs="仿宋_GB2312"/>
          <w:kern w:val="2"/>
          <w:sz w:val="32"/>
          <w:szCs w:val="32"/>
          <w:lang w:val="en-US" w:eastAsia="zh-CN" w:bidi="ar-SA"/>
        </w:rPr>
        <w:t>本年累计折旧325.66万元，</w:t>
      </w:r>
      <w:r>
        <w:rPr>
          <w:rFonts w:hint="default" w:ascii="仿宋_GB2312" w:hAnsi="仿宋_GB2312" w:eastAsia="仿宋_GB2312" w:cs="仿宋_GB2312"/>
          <w:kern w:val="2"/>
          <w:sz w:val="32"/>
          <w:szCs w:val="32"/>
          <w:lang w:val="zh-CN" w:eastAsia="zh-CN" w:bidi="ar-SA"/>
        </w:rPr>
        <w:t xml:space="preserve">但未量化资产使用效率提升情况。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自评得分</w:t>
      </w:r>
      <w:r>
        <w:rPr>
          <w:rFonts w:hint="default" w:ascii="仿宋_GB2312" w:hAnsi="仿宋_GB2312" w:eastAsia="仿宋_GB2312" w:cs="仿宋_GB2312"/>
          <w:kern w:val="2"/>
          <w:sz w:val="32"/>
          <w:szCs w:val="32"/>
          <w:lang w:val="zh-CN" w:eastAsia="zh-CN" w:bidi="ar-SA"/>
        </w:rPr>
        <w:t>：</w:t>
      </w:r>
      <w:r>
        <w:rPr>
          <w:rFonts w:hint="eastAsia"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 xml:space="preserve">（2）资产利用率（3分）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 xml:space="preserve">分析：办公设备、车辆等使用正常，但未统计闲置率。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自评得分</w:t>
      </w:r>
      <w:r>
        <w:rPr>
          <w:rFonts w:hint="default" w:ascii="仿宋_GB2312" w:hAnsi="仿宋_GB2312" w:eastAsia="仿宋_GB2312" w:cs="仿宋_GB2312"/>
          <w:kern w:val="2"/>
          <w:sz w:val="32"/>
          <w:szCs w:val="32"/>
          <w:lang w:val="zh-CN" w:eastAsia="zh-CN" w:bidi="ar-SA"/>
        </w:rPr>
        <w:t>：</w:t>
      </w:r>
      <w:r>
        <w:rPr>
          <w:rFonts w:hint="eastAsia" w:ascii="仿宋_GB2312" w:hAnsi="仿宋_GB2312" w:eastAsia="仿宋_GB2312" w:cs="仿宋_GB2312"/>
          <w:kern w:val="2"/>
          <w:sz w:val="32"/>
          <w:szCs w:val="32"/>
          <w:lang w:val="en-US" w:eastAsia="zh-CN" w:bidi="ar-SA"/>
        </w:rPr>
        <w:t>2.5</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 xml:space="preserve">（3）资产盘活率（3分）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分析：</w:t>
      </w:r>
      <w:r>
        <w:rPr>
          <w:rFonts w:hint="default" w:ascii="仿宋_GB2312" w:hAnsi="仿宋_GB2312" w:eastAsia="仿宋_GB2312" w:cs="仿宋_GB2312"/>
          <w:kern w:val="2"/>
          <w:sz w:val="32"/>
          <w:szCs w:val="32"/>
          <w:lang w:val="en-US" w:eastAsia="zh-CN" w:bidi="ar-SA"/>
        </w:rPr>
        <w:t>2024年资产均在使用无闲置需要盘活的资产，资产使用率高</w:t>
      </w:r>
      <w:r>
        <w:rPr>
          <w:rFonts w:hint="default" w:ascii="仿宋_GB2312" w:hAnsi="仿宋_GB2312" w:eastAsia="仿宋_GB2312" w:cs="仿宋_GB2312"/>
          <w:kern w:val="2"/>
          <w:sz w:val="32"/>
          <w:szCs w:val="32"/>
          <w:lang w:val="zh-CN" w:eastAsia="zh-CN" w:bidi="ar-SA"/>
        </w:rPr>
        <w:t xml:space="preserve">。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自评得分</w:t>
      </w:r>
      <w:r>
        <w:rPr>
          <w:rFonts w:hint="default" w:ascii="仿宋_GB2312" w:hAnsi="仿宋_GB2312" w:eastAsia="仿宋_GB2312" w:cs="仿宋_GB2312"/>
          <w:kern w:val="2"/>
          <w:sz w:val="32"/>
          <w:szCs w:val="32"/>
          <w:lang w:val="zh-CN" w:eastAsia="zh-CN" w:bidi="ar-SA"/>
        </w:rPr>
        <w:t>：</w:t>
      </w:r>
      <w:r>
        <w:rPr>
          <w:rFonts w:hint="default"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5. 采购管理（</w:t>
      </w:r>
      <w:r>
        <w:rPr>
          <w:rFonts w:hint="default" w:ascii="仿宋_GB2312" w:hAnsi="仿宋_GB2312" w:eastAsia="仿宋_GB2312" w:cs="仿宋_GB2312"/>
          <w:kern w:val="2"/>
          <w:sz w:val="32"/>
          <w:szCs w:val="32"/>
          <w:lang w:val="en-US" w:eastAsia="zh-CN" w:bidi="ar-SA"/>
        </w:rPr>
        <w:t>6</w:t>
      </w:r>
      <w:r>
        <w:rPr>
          <w:rFonts w:hint="default" w:ascii="仿宋_GB2312" w:hAnsi="仿宋_GB2312" w:eastAsia="仿宋_GB2312" w:cs="仿宋_GB2312"/>
          <w:kern w:val="2"/>
          <w:sz w:val="32"/>
          <w:szCs w:val="32"/>
          <w:lang w:val="zh-CN" w:eastAsia="zh-CN" w:bidi="ar-SA"/>
        </w:rPr>
        <w:t xml:space="preserve">分） </w:t>
      </w:r>
      <w:r>
        <w:rPr>
          <w:rFonts w:hint="default" w:ascii="仿宋_GB2312" w:hAnsi="仿宋_GB2312" w:eastAsia="仿宋_GB2312" w:cs="仿宋_GB2312"/>
          <w:kern w:val="2"/>
          <w:sz w:val="32"/>
          <w:szCs w:val="32"/>
          <w:lang w:val="en-US" w:eastAsia="zh-CN" w:bidi="ar-SA"/>
        </w:rPr>
        <w:t xml:space="preserve">  </w:t>
      </w:r>
      <w:r>
        <w:rPr>
          <w:rFonts w:hint="default" w:ascii="仿宋_GB2312" w:hAnsi="仿宋_GB2312" w:eastAsia="仿宋_GB2312" w:cs="仿宋_GB2312"/>
          <w:kern w:val="2"/>
          <w:sz w:val="32"/>
          <w:szCs w:val="32"/>
          <w:lang w:val="zh-CN" w:eastAsia="zh-CN" w:bidi="ar-SA"/>
        </w:rPr>
        <w:t xml:space="preserve">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 xml:space="preserve">（1）支持中小企业发展（3分）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分析：</w:t>
      </w:r>
      <w:r>
        <w:rPr>
          <w:rFonts w:hint="default" w:ascii="仿宋_GB2312" w:hAnsi="仿宋_GB2312" w:eastAsia="仿宋_GB2312" w:cs="仿宋_GB2312"/>
          <w:kern w:val="2"/>
          <w:sz w:val="32"/>
          <w:szCs w:val="32"/>
          <w:lang w:val="en-US" w:eastAsia="zh-CN" w:bidi="ar-SA"/>
        </w:rPr>
        <w:t>2024年严格执行政府采购促进中小企业发展相关管理办法要求，采购均在中小企业。</w:t>
      </w:r>
      <w:r>
        <w:rPr>
          <w:rFonts w:hint="default" w:ascii="仿宋_GB2312" w:hAnsi="仿宋_GB2312" w:eastAsia="仿宋_GB2312" w:cs="仿宋_GB2312"/>
          <w:kern w:val="2"/>
          <w:sz w:val="32"/>
          <w:szCs w:val="32"/>
          <w:lang w:val="zh-CN" w:eastAsia="zh-CN" w:bidi="ar-SA"/>
        </w:rPr>
        <w:t xml:space="preserve">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自评得分</w:t>
      </w:r>
      <w:r>
        <w:rPr>
          <w:rFonts w:hint="default" w:ascii="仿宋_GB2312" w:hAnsi="仿宋_GB2312" w:eastAsia="仿宋_GB2312" w:cs="仿宋_GB2312"/>
          <w:kern w:val="2"/>
          <w:sz w:val="32"/>
          <w:szCs w:val="32"/>
          <w:lang w:val="zh-CN" w:eastAsia="zh-CN" w:bidi="ar-SA"/>
        </w:rPr>
        <w:t>：</w:t>
      </w:r>
      <w:r>
        <w:rPr>
          <w:rFonts w:hint="default"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（2）采购执行（</w:t>
      </w:r>
      <w:r>
        <w:rPr>
          <w:rFonts w:hint="default"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 xml:space="preserve">分析：全年采购计划完成率100%，流程合规。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自评得分</w:t>
      </w:r>
      <w:r>
        <w:rPr>
          <w:rFonts w:hint="default" w:ascii="仿宋_GB2312" w:hAnsi="仿宋_GB2312" w:eastAsia="仿宋_GB2312" w:cs="仿宋_GB2312"/>
          <w:kern w:val="2"/>
          <w:sz w:val="32"/>
          <w:szCs w:val="32"/>
          <w:lang w:val="zh-CN" w:eastAsia="zh-CN" w:bidi="ar-SA"/>
        </w:rPr>
        <w:t>：</w:t>
      </w:r>
      <w:r>
        <w:rPr>
          <w:rFonts w:hint="default"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zh-CN" w:eastAsia="zh-CN" w:bidi="ar-SA"/>
        </w:rPr>
        <w:t xml:space="preserve">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总体绩效自评得分汇总</w:t>
      </w:r>
    </w:p>
    <w:p>
      <w:pPr>
        <w:pStyle w:val="7"/>
        <w:pageBreakBefore w:val="0"/>
        <w:kinsoku/>
        <w:wordWrap/>
        <w:overflowPunct/>
        <w:topLinePunct w:val="0"/>
        <w:autoSpaceDE/>
        <w:autoSpaceDN/>
        <w:bidi w:val="0"/>
        <w:spacing w:after="0" w:line="570" w:lineRule="exact"/>
        <w:ind w:left="64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 一级指标 | 分值 | 自评得分 | 得分率 |</w:t>
      </w:r>
    </w:p>
    <w:p>
      <w:pPr>
        <w:pStyle w:val="7"/>
        <w:pageBreakBefore w:val="0"/>
        <w:kinsoku/>
        <w:wordWrap/>
        <w:overflowPunct/>
        <w:topLinePunct w:val="0"/>
        <w:autoSpaceDE/>
        <w:autoSpaceDN/>
        <w:bidi w:val="0"/>
        <w:spacing w:after="0" w:line="570" w:lineRule="exact"/>
        <w:ind w:left="64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w:t>
      </w:r>
    </w:p>
    <w:p>
      <w:pPr>
        <w:pStyle w:val="7"/>
        <w:pageBreakBefore w:val="0"/>
        <w:kinsoku/>
        <w:wordWrap/>
        <w:overflowPunct/>
        <w:topLinePunct w:val="0"/>
        <w:autoSpaceDE/>
        <w:autoSpaceDN/>
        <w:bidi w:val="0"/>
        <w:spacing w:after="0" w:line="570" w:lineRule="exact"/>
        <w:ind w:left="64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 履职效能 | 15   | 1</w:t>
      </w:r>
      <w:r>
        <w:rPr>
          <w:rFonts w:hint="eastAsia" w:ascii="仿宋_GB2312" w:hAnsi="仿宋_GB2312" w:eastAsia="仿宋_GB2312" w:cs="仿宋_GB2312"/>
          <w:kern w:val="2"/>
          <w:sz w:val="32"/>
          <w:szCs w:val="32"/>
          <w:lang w:val="en-US" w:eastAsia="zh-CN" w:bidi="ar-SA"/>
        </w:rPr>
        <w:t>5</w:t>
      </w:r>
      <w:r>
        <w:rPr>
          <w:rFonts w:hint="default" w:ascii="仿宋_GB2312" w:hAnsi="仿宋_GB2312" w:eastAsia="仿宋_GB2312" w:cs="仿宋_GB2312"/>
          <w:kern w:val="2"/>
          <w:sz w:val="32"/>
          <w:szCs w:val="32"/>
          <w:lang w:val="zh-CN" w:eastAsia="zh-CN" w:bidi="ar-SA"/>
        </w:rPr>
        <w:t xml:space="preserve">    </w:t>
      </w:r>
      <w:r>
        <w:rPr>
          <w:rFonts w:hint="eastAsia" w:ascii="仿宋_GB2312" w:hAnsi="仿宋_GB2312" w:eastAsia="仿宋_GB2312" w:cs="仿宋_GB2312"/>
          <w:kern w:val="2"/>
          <w:sz w:val="32"/>
          <w:szCs w:val="32"/>
          <w:lang w:val="en-US" w:eastAsia="zh-CN" w:bidi="ar-SA"/>
        </w:rPr>
        <w:t xml:space="preserve">  </w:t>
      </w:r>
      <w:r>
        <w:rPr>
          <w:rFonts w:hint="default" w:ascii="仿宋_GB2312" w:hAnsi="仿宋_GB2312" w:eastAsia="仿宋_GB2312" w:cs="仿宋_GB2312"/>
          <w:kern w:val="2"/>
          <w:sz w:val="32"/>
          <w:szCs w:val="32"/>
          <w:lang w:val="zh-CN" w:eastAsia="zh-CN" w:bidi="ar-SA"/>
        </w:rPr>
        <w:t xml:space="preserve"> | 93.3%  |</w:t>
      </w:r>
    </w:p>
    <w:p>
      <w:pPr>
        <w:pStyle w:val="7"/>
        <w:pageBreakBefore w:val="0"/>
        <w:kinsoku/>
        <w:wordWrap/>
        <w:overflowPunct/>
        <w:topLinePunct w:val="0"/>
        <w:autoSpaceDE/>
        <w:autoSpaceDN/>
        <w:bidi w:val="0"/>
        <w:spacing w:after="0" w:line="570" w:lineRule="exact"/>
        <w:ind w:left="64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 xml:space="preserve">| 预算管理 | 25   | </w:t>
      </w:r>
      <w:r>
        <w:rPr>
          <w:rFonts w:hint="eastAsia" w:ascii="仿宋_GB2312" w:hAnsi="仿宋_GB2312" w:eastAsia="仿宋_GB2312" w:cs="仿宋_GB2312"/>
          <w:kern w:val="2"/>
          <w:sz w:val="32"/>
          <w:szCs w:val="32"/>
          <w:lang w:val="en-US" w:eastAsia="zh-CN" w:bidi="ar-SA"/>
        </w:rPr>
        <w:t>22.6</w:t>
      </w:r>
      <w:r>
        <w:rPr>
          <w:rFonts w:hint="default" w:ascii="仿宋_GB2312" w:hAnsi="仿宋_GB2312" w:eastAsia="仿宋_GB2312" w:cs="仿宋_GB2312"/>
          <w:kern w:val="2"/>
          <w:sz w:val="32"/>
          <w:szCs w:val="32"/>
          <w:lang w:val="zh-CN" w:eastAsia="zh-CN" w:bidi="ar-SA"/>
        </w:rPr>
        <w:t xml:space="preserve">   </w:t>
      </w:r>
      <w:r>
        <w:rPr>
          <w:rFonts w:hint="eastAsia" w:ascii="仿宋_GB2312" w:hAnsi="仿宋_GB2312" w:eastAsia="仿宋_GB2312" w:cs="仿宋_GB2312"/>
          <w:kern w:val="2"/>
          <w:sz w:val="32"/>
          <w:szCs w:val="32"/>
          <w:lang w:val="en-US" w:eastAsia="zh-CN" w:bidi="ar-SA"/>
        </w:rPr>
        <w:t xml:space="preserve">  </w:t>
      </w:r>
      <w:r>
        <w:rPr>
          <w:rFonts w:hint="default" w:ascii="仿宋_GB2312" w:hAnsi="仿宋_GB2312" w:eastAsia="仿宋_GB2312" w:cs="仿宋_GB2312"/>
          <w:kern w:val="2"/>
          <w:sz w:val="32"/>
          <w:szCs w:val="32"/>
          <w:lang w:val="zh-CN" w:eastAsia="zh-CN" w:bidi="ar-SA"/>
        </w:rPr>
        <w:t xml:space="preserve"> </w:t>
      </w:r>
      <w:r>
        <w:rPr>
          <w:rFonts w:hint="default" w:ascii="仿宋_GB2312" w:hAnsi="仿宋_GB2312" w:eastAsia="仿宋_GB2312" w:cs="仿宋_GB2312"/>
          <w:kern w:val="2"/>
          <w:sz w:val="32"/>
          <w:szCs w:val="32"/>
          <w:lang w:val="en-US" w:eastAsia="zh-CN" w:bidi="ar-SA"/>
        </w:rPr>
        <w:t xml:space="preserve"> </w:t>
      </w:r>
      <w:r>
        <w:rPr>
          <w:rFonts w:hint="default" w:ascii="仿宋_GB2312" w:hAnsi="仿宋_GB2312" w:eastAsia="仿宋_GB2312" w:cs="仿宋_GB2312"/>
          <w:kern w:val="2"/>
          <w:sz w:val="32"/>
          <w:szCs w:val="32"/>
          <w:lang w:val="zh-CN" w:eastAsia="zh-CN" w:bidi="ar-SA"/>
        </w:rPr>
        <w:t xml:space="preserve">| </w:t>
      </w:r>
      <w:r>
        <w:rPr>
          <w:rFonts w:hint="default" w:ascii="仿宋_GB2312" w:hAnsi="仿宋_GB2312" w:eastAsia="仿宋_GB2312" w:cs="仿宋_GB2312"/>
          <w:kern w:val="2"/>
          <w:sz w:val="32"/>
          <w:szCs w:val="32"/>
          <w:lang w:val="en-US" w:eastAsia="zh-CN" w:bidi="ar-SA"/>
        </w:rPr>
        <w:t>8</w:t>
      </w:r>
      <w:r>
        <w:rPr>
          <w:rFonts w:hint="eastAsia" w:ascii="仿宋_GB2312" w:hAnsi="仿宋_GB2312" w:eastAsia="仿宋_GB2312" w:cs="仿宋_GB2312"/>
          <w:kern w:val="2"/>
          <w:sz w:val="32"/>
          <w:szCs w:val="32"/>
          <w:lang w:val="en-US" w:eastAsia="zh-CN" w:bidi="ar-SA"/>
        </w:rPr>
        <w:t>5.6</w:t>
      </w:r>
      <w:r>
        <w:rPr>
          <w:rFonts w:hint="default" w:ascii="仿宋_GB2312" w:hAnsi="仿宋_GB2312" w:eastAsia="仿宋_GB2312" w:cs="仿宋_GB2312"/>
          <w:kern w:val="2"/>
          <w:sz w:val="32"/>
          <w:szCs w:val="32"/>
          <w:lang w:val="zh-CN" w:eastAsia="zh-CN" w:bidi="ar-SA"/>
        </w:rPr>
        <w:t>%</w:t>
      </w:r>
      <w:r>
        <w:rPr>
          <w:rFonts w:hint="eastAsia" w:ascii="仿宋_GB2312" w:hAnsi="仿宋_GB2312" w:eastAsia="仿宋_GB2312" w:cs="仿宋_GB2312"/>
          <w:kern w:val="2"/>
          <w:sz w:val="32"/>
          <w:szCs w:val="32"/>
          <w:lang w:val="en-US" w:eastAsia="zh-CN" w:bidi="ar-SA"/>
        </w:rPr>
        <w:t xml:space="preserve"> </w:t>
      </w:r>
      <w:r>
        <w:rPr>
          <w:rFonts w:hint="default" w:ascii="仿宋_GB2312" w:hAnsi="仿宋_GB2312" w:eastAsia="仿宋_GB2312" w:cs="仿宋_GB2312"/>
          <w:kern w:val="2"/>
          <w:sz w:val="32"/>
          <w:szCs w:val="32"/>
          <w:lang w:val="zh-CN" w:eastAsia="zh-CN" w:bidi="ar-SA"/>
        </w:rPr>
        <w:t xml:space="preserve"> |</w:t>
      </w:r>
    </w:p>
    <w:p>
      <w:pPr>
        <w:pStyle w:val="7"/>
        <w:pageBreakBefore w:val="0"/>
        <w:kinsoku/>
        <w:wordWrap/>
        <w:overflowPunct/>
        <w:topLinePunct w:val="0"/>
        <w:autoSpaceDE/>
        <w:autoSpaceDN/>
        <w:bidi w:val="0"/>
        <w:spacing w:after="0" w:line="570" w:lineRule="exact"/>
        <w:ind w:left="64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 xml:space="preserve">| 财务管理 | 10   | 10      </w:t>
      </w:r>
      <w:r>
        <w:rPr>
          <w:rFonts w:hint="eastAsia" w:ascii="仿宋_GB2312" w:hAnsi="仿宋_GB2312" w:eastAsia="仿宋_GB2312" w:cs="仿宋_GB2312"/>
          <w:kern w:val="2"/>
          <w:sz w:val="32"/>
          <w:szCs w:val="32"/>
          <w:lang w:val="en-US" w:eastAsia="zh-CN" w:bidi="ar-SA"/>
        </w:rPr>
        <w:t xml:space="preserve">  </w:t>
      </w:r>
      <w:r>
        <w:rPr>
          <w:rFonts w:hint="default" w:ascii="仿宋_GB2312" w:hAnsi="仿宋_GB2312" w:eastAsia="仿宋_GB2312" w:cs="仿宋_GB2312"/>
          <w:kern w:val="2"/>
          <w:sz w:val="32"/>
          <w:szCs w:val="32"/>
          <w:lang w:val="zh-CN" w:eastAsia="zh-CN" w:bidi="ar-SA"/>
        </w:rPr>
        <w:t xml:space="preserve"> | 100%  |</w:t>
      </w:r>
    </w:p>
    <w:p>
      <w:pPr>
        <w:pStyle w:val="7"/>
        <w:pageBreakBefore w:val="0"/>
        <w:kinsoku/>
        <w:wordWrap/>
        <w:overflowPunct/>
        <w:topLinePunct w:val="0"/>
        <w:autoSpaceDE/>
        <w:autoSpaceDN/>
        <w:bidi w:val="0"/>
        <w:spacing w:after="0" w:line="570" w:lineRule="exact"/>
        <w:ind w:left="64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 xml:space="preserve">| 资产管理 | </w:t>
      </w:r>
      <w:r>
        <w:rPr>
          <w:rFonts w:hint="default" w:ascii="仿宋_GB2312" w:hAnsi="仿宋_GB2312" w:eastAsia="仿宋_GB2312" w:cs="仿宋_GB2312"/>
          <w:kern w:val="2"/>
          <w:sz w:val="32"/>
          <w:szCs w:val="32"/>
          <w:lang w:val="en-US" w:eastAsia="zh-CN" w:bidi="ar-SA"/>
        </w:rPr>
        <w:t xml:space="preserve">9   </w:t>
      </w:r>
      <w:r>
        <w:rPr>
          <w:rFonts w:hint="default" w:ascii="仿宋_GB2312" w:hAnsi="仿宋_GB2312" w:eastAsia="仿宋_GB2312" w:cs="仿宋_GB2312"/>
          <w:kern w:val="2"/>
          <w:sz w:val="32"/>
          <w:szCs w:val="32"/>
          <w:lang w:val="zh-CN" w:eastAsia="zh-CN" w:bidi="ar-SA"/>
        </w:rPr>
        <w:t xml:space="preserve"> | </w:t>
      </w:r>
      <w:r>
        <w:rPr>
          <w:rFonts w:hint="eastAsia" w:ascii="仿宋_GB2312" w:hAnsi="仿宋_GB2312" w:eastAsia="仿宋_GB2312" w:cs="仿宋_GB2312"/>
          <w:kern w:val="2"/>
          <w:sz w:val="32"/>
          <w:szCs w:val="32"/>
          <w:lang w:val="en-US" w:eastAsia="zh-CN" w:bidi="ar-SA"/>
        </w:rPr>
        <w:t>8.5</w:t>
      </w:r>
      <w:r>
        <w:rPr>
          <w:rFonts w:hint="default" w:ascii="仿宋_GB2312" w:hAnsi="仿宋_GB2312" w:eastAsia="仿宋_GB2312" w:cs="仿宋_GB2312"/>
          <w:kern w:val="2"/>
          <w:sz w:val="32"/>
          <w:szCs w:val="32"/>
          <w:lang w:val="zh-CN" w:eastAsia="zh-CN" w:bidi="ar-SA"/>
        </w:rPr>
        <w:t xml:space="preserve">     </w:t>
      </w:r>
      <w:r>
        <w:rPr>
          <w:rFonts w:hint="eastAsia" w:ascii="仿宋_GB2312" w:hAnsi="仿宋_GB2312" w:eastAsia="仿宋_GB2312" w:cs="仿宋_GB2312"/>
          <w:kern w:val="2"/>
          <w:sz w:val="32"/>
          <w:szCs w:val="32"/>
          <w:lang w:val="en-US" w:eastAsia="zh-CN" w:bidi="ar-SA"/>
        </w:rPr>
        <w:t xml:space="preserve">  </w:t>
      </w:r>
      <w:r>
        <w:rPr>
          <w:rFonts w:hint="default" w:ascii="仿宋_GB2312" w:hAnsi="仿宋_GB2312" w:eastAsia="仿宋_GB2312" w:cs="仿宋_GB2312"/>
          <w:kern w:val="2"/>
          <w:sz w:val="32"/>
          <w:szCs w:val="32"/>
          <w:lang w:val="zh-CN" w:eastAsia="zh-CN" w:bidi="ar-SA"/>
        </w:rPr>
        <w:t xml:space="preserve"> | </w:t>
      </w:r>
      <w:r>
        <w:rPr>
          <w:rFonts w:hint="eastAsia" w:ascii="仿宋_GB2312" w:hAnsi="仿宋_GB2312" w:eastAsia="仿宋_GB2312" w:cs="仿宋_GB2312"/>
          <w:kern w:val="2"/>
          <w:sz w:val="32"/>
          <w:szCs w:val="32"/>
          <w:lang w:val="en-US" w:eastAsia="zh-CN" w:bidi="ar-SA"/>
        </w:rPr>
        <w:t>83.3</w:t>
      </w:r>
      <w:r>
        <w:rPr>
          <w:rFonts w:hint="default" w:ascii="仿宋_GB2312" w:hAnsi="仿宋_GB2312" w:eastAsia="仿宋_GB2312" w:cs="仿宋_GB2312"/>
          <w:kern w:val="2"/>
          <w:sz w:val="32"/>
          <w:szCs w:val="32"/>
          <w:lang w:val="zh-CN" w:eastAsia="zh-CN" w:bidi="ar-SA"/>
        </w:rPr>
        <w:t>%  |</w:t>
      </w:r>
    </w:p>
    <w:p>
      <w:pPr>
        <w:pStyle w:val="7"/>
        <w:pageBreakBefore w:val="0"/>
        <w:kinsoku/>
        <w:wordWrap/>
        <w:overflowPunct/>
        <w:topLinePunct w:val="0"/>
        <w:autoSpaceDE/>
        <w:autoSpaceDN/>
        <w:bidi w:val="0"/>
        <w:spacing w:after="0" w:line="570" w:lineRule="exact"/>
        <w:ind w:left="64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 xml:space="preserve">| 采购管理 | </w:t>
      </w:r>
      <w:r>
        <w:rPr>
          <w:rFonts w:hint="default" w:ascii="仿宋_GB2312" w:hAnsi="仿宋_GB2312" w:eastAsia="仿宋_GB2312" w:cs="仿宋_GB2312"/>
          <w:kern w:val="2"/>
          <w:sz w:val="32"/>
          <w:szCs w:val="32"/>
          <w:lang w:val="en-US" w:eastAsia="zh-CN" w:bidi="ar-SA"/>
        </w:rPr>
        <w:t>6</w:t>
      </w:r>
      <w:r>
        <w:rPr>
          <w:rFonts w:hint="default" w:ascii="仿宋_GB2312" w:hAnsi="仿宋_GB2312" w:eastAsia="仿宋_GB2312" w:cs="仿宋_GB2312"/>
          <w:kern w:val="2"/>
          <w:sz w:val="32"/>
          <w:szCs w:val="32"/>
          <w:lang w:val="zh-CN" w:eastAsia="zh-CN" w:bidi="ar-SA"/>
        </w:rPr>
        <w:t xml:space="preserve">    | </w:t>
      </w:r>
      <w:r>
        <w:rPr>
          <w:rFonts w:hint="default" w:ascii="仿宋_GB2312" w:hAnsi="仿宋_GB2312" w:eastAsia="仿宋_GB2312" w:cs="仿宋_GB2312"/>
          <w:kern w:val="2"/>
          <w:sz w:val="32"/>
          <w:szCs w:val="32"/>
          <w:lang w:val="en-US" w:eastAsia="zh-CN" w:bidi="ar-SA"/>
        </w:rPr>
        <w:t>6</w:t>
      </w:r>
      <w:r>
        <w:rPr>
          <w:rFonts w:hint="default" w:ascii="仿宋_GB2312" w:hAnsi="仿宋_GB2312" w:eastAsia="仿宋_GB2312" w:cs="仿宋_GB2312"/>
          <w:kern w:val="2"/>
          <w:sz w:val="32"/>
          <w:szCs w:val="32"/>
          <w:lang w:val="zh-CN" w:eastAsia="zh-CN" w:bidi="ar-SA"/>
        </w:rPr>
        <w:t xml:space="preserve">       </w:t>
      </w:r>
      <w:r>
        <w:rPr>
          <w:rFonts w:hint="eastAsia" w:ascii="仿宋_GB2312" w:hAnsi="仿宋_GB2312" w:eastAsia="仿宋_GB2312" w:cs="仿宋_GB2312"/>
          <w:kern w:val="2"/>
          <w:sz w:val="32"/>
          <w:szCs w:val="32"/>
          <w:lang w:val="en-US" w:eastAsia="zh-CN" w:bidi="ar-SA"/>
        </w:rPr>
        <w:t xml:space="preserve">  </w:t>
      </w:r>
      <w:r>
        <w:rPr>
          <w:rFonts w:hint="default" w:ascii="仿宋_GB2312" w:hAnsi="仿宋_GB2312" w:eastAsia="仿宋_GB2312" w:cs="仿宋_GB2312"/>
          <w:kern w:val="2"/>
          <w:sz w:val="32"/>
          <w:szCs w:val="32"/>
          <w:lang w:val="zh-CN" w:eastAsia="zh-CN" w:bidi="ar-SA"/>
        </w:rPr>
        <w:t xml:space="preserve"> | </w:t>
      </w:r>
      <w:r>
        <w:rPr>
          <w:rFonts w:hint="default" w:ascii="仿宋_GB2312" w:hAnsi="仿宋_GB2312" w:eastAsia="仿宋_GB2312" w:cs="仿宋_GB2312"/>
          <w:kern w:val="2"/>
          <w:sz w:val="32"/>
          <w:szCs w:val="32"/>
          <w:lang w:val="en-US" w:eastAsia="zh-CN" w:bidi="ar-SA"/>
        </w:rPr>
        <w:t>100</w:t>
      </w:r>
      <w:r>
        <w:rPr>
          <w:rFonts w:hint="default" w:ascii="仿宋_GB2312" w:hAnsi="仿宋_GB2312" w:eastAsia="仿宋_GB2312" w:cs="仿宋_GB2312"/>
          <w:kern w:val="2"/>
          <w:sz w:val="32"/>
          <w:szCs w:val="32"/>
          <w:lang w:val="zh-CN" w:eastAsia="zh-CN" w:bidi="ar-SA"/>
        </w:rPr>
        <w:t>%  |</w:t>
      </w:r>
    </w:p>
    <w:p>
      <w:pPr>
        <w:pStyle w:val="7"/>
        <w:pageBreakBefore w:val="0"/>
        <w:kinsoku/>
        <w:wordWrap/>
        <w:overflowPunct/>
        <w:topLinePunct w:val="0"/>
        <w:autoSpaceDE/>
        <w:autoSpaceDN/>
        <w:bidi w:val="0"/>
        <w:spacing w:after="0" w:line="570" w:lineRule="exact"/>
        <w:ind w:left="64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 合</w:t>
      </w:r>
      <w:r>
        <w:rPr>
          <w:rFonts w:hint="default" w:ascii="仿宋_GB2312" w:hAnsi="仿宋_GB2312" w:eastAsia="仿宋_GB2312" w:cs="仿宋_GB2312"/>
          <w:kern w:val="2"/>
          <w:sz w:val="32"/>
          <w:szCs w:val="32"/>
          <w:lang w:val="en-US" w:eastAsia="zh-CN" w:bidi="ar-SA"/>
        </w:rPr>
        <w:t xml:space="preserve">     </w:t>
      </w:r>
      <w:r>
        <w:rPr>
          <w:rFonts w:hint="default" w:ascii="仿宋_GB2312" w:hAnsi="仿宋_GB2312" w:eastAsia="仿宋_GB2312" w:cs="仿宋_GB2312"/>
          <w:kern w:val="2"/>
          <w:sz w:val="32"/>
          <w:szCs w:val="32"/>
          <w:lang w:val="zh-CN" w:eastAsia="zh-CN" w:bidi="ar-SA"/>
        </w:rPr>
        <w:t>计| 6</w:t>
      </w:r>
      <w:r>
        <w:rPr>
          <w:rFonts w:hint="default" w:ascii="仿宋_GB2312" w:hAnsi="仿宋_GB2312" w:eastAsia="仿宋_GB2312" w:cs="仿宋_GB2312"/>
          <w:kern w:val="2"/>
          <w:sz w:val="32"/>
          <w:szCs w:val="32"/>
          <w:lang w:val="en-US" w:eastAsia="zh-CN" w:bidi="ar-SA"/>
        </w:rPr>
        <w:t xml:space="preserve">5  </w:t>
      </w:r>
      <w:r>
        <w:rPr>
          <w:rFonts w:hint="default" w:ascii="仿宋_GB2312" w:hAnsi="仿宋_GB2312" w:eastAsia="仿宋_GB2312" w:cs="仿宋_GB2312"/>
          <w:kern w:val="2"/>
          <w:sz w:val="32"/>
          <w:szCs w:val="32"/>
          <w:lang w:val="zh-CN" w:eastAsia="zh-CN" w:bidi="ar-SA"/>
        </w:rPr>
        <w:t xml:space="preserve"> |</w:t>
      </w:r>
      <w:r>
        <w:rPr>
          <w:rFonts w:hint="eastAsia" w:ascii="仿宋_GB2312" w:hAnsi="仿宋_GB2312" w:eastAsia="仿宋_GB2312" w:cs="仿宋_GB2312"/>
          <w:kern w:val="2"/>
          <w:sz w:val="32"/>
          <w:szCs w:val="32"/>
          <w:lang w:val="en-US" w:eastAsia="zh-CN" w:bidi="ar-SA"/>
        </w:rPr>
        <w:t>62.1</w:t>
      </w:r>
      <w:r>
        <w:rPr>
          <w:rFonts w:hint="default" w:ascii="仿宋_GB2312" w:hAnsi="仿宋_GB2312" w:eastAsia="仿宋_GB2312" w:cs="仿宋_GB2312"/>
          <w:kern w:val="2"/>
          <w:sz w:val="32"/>
          <w:szCs w:val="32"/>
          <w:lang w:val="en-US" w:eastAsia="zh-CN" w:bidi="ar-SA"/>
        </w:rPr>
        <w:t xml:space="preserve">      </w:t>
      </w:r>
      <w:r>
        <w:rPr>
          <w:rFonts w:hint="eastAsia" w:ascii="仿宋_GB2312" w:hAnsi="仿宋_GB2312" w:eastAsia="仿宋_GB2312" w:cs="仿宋_GB2312"/>
          <w:kern w:val="2"/>
          <w:sz w:val="32"/>
          <w:szCs w:val="32"/>
          <w:lang w:val="en-US" w:eastAsia="zh-CN" w:bidi="ar-SA"/>
        </w:rPr>
        <w:t xml:space="preserve">  </w:t>
      </w:r>
      <w:r>
        <w:rPr>
          <w:rFonts w:hint="default" w:ascii="仿宋_GB2312" w:hAnsi="仿宋_GB2312" w:eastAsia="仿宋_GB2312" w:cs="仿宋_GB2312"/>
          <w:kern w:val="2"/>
          <w:sz w:val="32"/>
          <w:szCs w:val="32"/>
          <w:lang w:val="zh-CN" w:eastAsia="zh-CN" w:bidi="ar-SA"/>
        </w:rPr>
        <w:t>| 9</w:t>
      </w:r>
      <w:r>
        <w:rPr>
          <w:rFonts w:hint="eastAsia" w:ascii="仿宋_GB2312" w:hAnsi="仿宋_GB2312" w:eastAsia="仿宋_GB2312" w:cs="仿宋_GB2312"/>
          <w:kern w:val="2"/>
          <w:sz w:val="32"/>
          <w:szCs w:val="32"/>
          <w:lang w:val="en-US" w:eastAsia="zh-CN" w:bidi="ar-SA"/>
        </w:rPr>
        <w:t>5.54</w:t>
      </w:r>
      <w:r>
        <w:rPr>
          <w:rFonts w:hint="default" w:ascii="仿宋_GB2312" w:hAnsi="仿宋_GB2312" w:eastAsia="仿宋_GB2312" w:cs="仿宋_GB2312"/>
          <w:kern w:val="2"/>
          <w:sz w:val="32"/>
          <w:szCs w:val="32"/>
          <w:lang w:val="zh-CN" w:eastAsia="zh-CN" w:bidi="ar-SA"/>
        </w:rPr>
        <w:t>%</w:t>
      </w:r>
      <w:r>
        <w:rPr>
          <w:rFonts w:hint="default" w:ascii="仿宋_GB2312" w:hAnsi="仿宋_GB2312" w:eastAsia="仿宋_GB2312" w:cs="仿宋_GB2312"/>
          <w:kern w:val="2"/>
          <w:sz w:val="32"/>
          <w:szCs w:val="32"/>
          <w:lang w:val="en-US" w:eastAsia="zh-CN" w:bidi="ar-SA"/>
        </w:rPr>
        <w:t xml:space="preserve"> </w:t>
      </w:r>
      <w:r>
        <w:rPr>
          <w:rFonts w:hint="default" w:ascii="仿宋_GB2312" w:hAnsi="仿宋_GB2312" w:eastAsia="仿宋_GB2312" w:cs="仿宋_GB2312"/>
          <w:kern w:val="2"/>
          <w:sz w:val="32"/>
          <w:szCs w:val="32"/>
          <w:lang w:val="zh-CN" w:eastAsia="zh-CN" w:bidi="ar-SA"/>
        </w:rPr>
        <w:t>|</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主要问题与改进方向</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1.履职效能：继续加强各项工作的统筹协调、细化管理，更好的保障各项工作的顺利推进。</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2</w:t>
      </w:r>
      <w:bookmarkStart w:id="105" w:name="OLE_LINK4"/>
      <w:bookmarkStart w:id="106" w:name="OLE_LINK3"/>
      <w:r>
        <w:rPr>
          <w:rFonts w:hint="default" w:ascii="仿宋_GB2312" w:hAnsi="仿宋_GB2312" w:eastAsia="仿宋_GB2312" w:cs="仿宋_GB2312"/>
          <w:kern w:val="2"/>
          <w:sz w:val="32"/>
          <w:szCs w:val="32"/>
          <w:lang w:val="zh-CN" w:eastAsia="zh-CN" w:bidi="ar-SA"/>
        </w:rPr>
        <w:t>.</w:t>
      </w:r>
      <w:bookmarkEnd w:id="105"/>
      <w:bookmarkEnd w:id="106"/>
      <w:r>
        <w:rPr>
          <w:rFonts w:hint="default" w:ascii="仿宋_GB2312" w:hAnsi="仿宋_GB2312" w:eastAsia="仿宋_GB2312" w:cs="仿宋_GB2312"/>
          <w:kern w:val="2"/>
          <w:sz w:val="32"/>
          <w:szCs w:val="32"/>
          <w:lang w:val="zh-CN" w:eastAsia="zh-CN" w:bidi="ar-SA"/>
        </w:rPr>
        <w:t xml:space="preserve">预算管理：科学谋划，统筹兼顾，细化预算，编制更加精准的预算。   </w:t>
      </w:r>
    </w:p>
    <w:p>
      <w:pPr>
        <w:pageBreakBefore w:val="0"/>
        <w:kinsoku/>
        <w:wordWrap/>
        <w:overflowPunct/>
        <w:topLinePunct w:val="0"/>
        <w:autoSpaceDE/>
        <w:autoSpaceDN/>
        <w:bidi w:val="0"/>
        <w:adjustRightInd w:val="0"/>
        <w:snapToGrid w:val="0"/>
        <w:spacing w:line="570" w:lineRule="exact"/>
        <w:ind w:firstLine="643" w:firstLineChars="200"/>
        <w:contextualSpacing/>
        <w:jc w:val="left"/>
        <w:rPr>
          <w:rFonts w:hint="default" w:ascii="楷体_GB2312" w:hAnsi="楷体_GB2312" w:eastAsia="楷体_GB2312" w:cs="楷体_GB2312"/>
          <w:b/>
          <w:sz w:val="32"/>
          <w:szCs w:val="32"/>
          <w:lang w:val="zh-CN" w:eastAsia="zh-CN"/>
        </w:rPr>
      </w:pPr>
      <w:r>
        <w:rPr>
          <w:rFonts w:hint="default" w:ascii="楷体_GB2312" w:hAnsi="楷体_GB2312" w:eastAsia="楷体_GB2312" w:cs="楷体_GB2312"/>
          <w:b/>
          <w:sz w:val="32"/>
          <w:szCs w:val="32"/>
          <w:lang w:val="zh-CN" w:eastAsia="zh-CN"/>
        </w:rPr>
        <w:t>（二）部门预算项目绩效分析</w:t>
      </w:r>
    </w:p>
    <w:p>
      <w:pPr>
        <w:pageBreakBefore w:val="0"/>
        <w:kinsoku/>
        <w:wordWrap/>
        <w:overflowPunct/>
        <w:topLinePunct w:val="0"/>
        <w:autoSpaceDE/>
        <w:autoSpaceDN/>
        <w:bidi w:val="0"/>
        <w:adjustRightInd w:val="0"/>
        <w:snapToGrid w:val="0"/>
        <w:spacing w:line="570" w:lineRule="exact"/>
        <w:ind w:firstLine="640" w:firstLineChars="200"/>
        <w:contextualSpacing/>
        <w:jc w:val="left"/>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en-US" w:eastAsia="zh-CN" w:bidi="ar-SA"/>
        </w:rPr>
        <w:t>常年项目绩效分析。</w:t>
      </w:r>
      <w:r>
        <w:rPr>
          <w:rFonts w:hint="default" w:ascii="仿宋_GB2312" w:hAnsi="仿宋_GB2312" w:eastAsia="仿宋_GB2312" w:cs="仿宋_GB2312"/>
          <w:kern w:val="2"/>
          <w:sz w:val="32"/>
          <w:szCs w:val="32"/>
          <w:lang w:val="zh-CN" w:eastAsia="zh-CN" w:bidi="ar-SA"/>
        </w:rPr>
        <w:t>该类项目总数</w:t>
      </w:r>
      <w:r>
        <w:rPr>
          <w:rFonts w:hint="eastAsia" w:ascii="仿宋_GB2312" w:hAnsi="仿宋_GB2312" w:eastAsia="仿宋_GB2312" w:cs="仿宋_GB2312"/>
          <w:kern w:val="2"/>
          <w:sz w:val="32"/>
          <w:szCs w:val="32"/>
          <w:lang w:val="en-US" w:eastAsia="zh-CN" w:bidi="ar-SA"/>
        </w:rPr>
        <w:t>2</w:t>
      </w:r>
      <w:r>
        <w:rPr>
          <w:rFonts w:hint="default" w:ascii="仿宋_GB2312" w:hAnsi="仿宋_GB2312" w:eastAsia="仿宋_GB2312" w:cs="仿宋_GB2312"/>
          <w:kern w:val="2"/>
          <w:sz w:val="32"/>
          <w:szCs w:val="32"/>
          <w:lang w:val="zh-CN" w:eastAsia="zh-CN" w:bidi="ar-SA"/>
        </w:rPr>
        <w:t>个，预算总金额</w:t>
      </w:r>
      <w:r>
        <w:rPr>
          <w:rFonts w:hint="eastAsia" w:ascii="仿宋_GB2312" w:hAnsi="仿宋_GB2312" w:eastAsia="仿宋_GB2312" w:cs="仿宋_GB2312"/>
          <w:kern w:val="2"/>
          <w:sz w:val="32"/>
          <w:szCs w:val="32"/>
          <w:lang w:val="en-US" w:eastAsia="zh-CN" w:bidi="ar-SA"/>
        </w:rPr>
        <w:t>30</w:t>
      </w:r>
      <w:r>
        <w:rPr>
          <w:rFonts w:hint="default" w:ascii="仿宋_GB2312" w:hAnsi="仿宋_GB2312" w:eastAsia="仿宋_GB2312" w:cs="仿宋_GB2312"/>
          <w:kern w:val="2"/>
          <w:sz w:val="32"/>
          <w:szCs w:val="32"/>
          <w:lang w:val="en-US" w:eastAsia="zh-CN" w:bidi="ar-SA"/>
        </w:rPr>
        <w:t>万元，1</w:t>
      </w:r>
      <w:r>
        <w:rPr>
          <w:rFonts w:hint="default" w:ascii="仿宋_GB2312" w:hAnsi="仿宋_GB2312" w:eastAsia="仿宋_GB2312" w:cs="仿宋_GB2312"/>
          <w:kern w:val="2"/>
          <w:sz w:val="32"/>
          <w:szCs w:val="32"/>
          <w:lang w:val="zh-CN" w:eastAsia="zh-CN" w:bidi="ar-SA"/>
        </w:rPr>
        <w:t>—1</w:t>
      </w:r>
      <w:r>
        <w:rPr>
          <w:rFonts w:hint="default" w:ascii="仿宋_GB2312" w:hAnsi="仿宋_GB2312" w:eastAsia="仿宋_GB2312" w:cs="仿宋_GB2312"/>
          <w:kern w:val="2"/>
          <w:sz w:val="32"/>
          <w:szCs w:val="32"/>
          <w:lang w:val="en-US" w:eastAsia="zh-CN" w:bidi="ar-SA"/>
        </w:rPr>
        <w:t>2</w:t>
      </w:r>
      <w:r>
        <w:rPr>
          <w:rFonts w:hint="default" w:ascii="仿宋_GB2312" w:hAnsi="仿宋_GB2312" w:eastAsia="仿宋_GB2312" w:cs="仿宋_GB2312"/>
          <w:kern w:val="2"/>
          <w:sz w:val="32"/>
          <w:szCs w:val="32"/>
          <w:lang w:val="zh-CN" w:eastAsia="zh-CN" w:bidi="ar-SA"/>
        </w:rPr>
        <w:t>月预算执行总体进度为</w:t>
      </w:r>
      <w:r>
        <w:rPr>
          <w:rFonts w:hint="default" w:ascii="仿宋_GB2312" w:hAnsi="仿宋_GB2312" w:eastAsia="仿宋_GB2312" w:cs="仿宋_GB2312"/>
          <w:kern w:val="2"/>
          <w:sz w:val="32"/>
          <w:szCs w:val="32"/>
          <w:lang w:val="en-US" w:eastAsia="zh-CN" w:bidi="ar-SA"/>
        </w:rPr>
        <w:t>100</w:t>
      </w:r>
      <w:r>
        <w:rPr>
          <w:rFonts w:hint="default" w:ascii="仿宋_GB2312" w:hAnsi="仿宋_GB2312" w:eastAsia="仿宋_GB2312" w:cs="仿宋_GB2312"/>
          <w:kern w:val="2"/>
          <w:sz w:val="32"/>
          <w:szCs w:val="32"/>
          <w:lang w:val="zh-CN" w:eastAsia="zh-CN" w:bidi="ar-SA"/>
        </w:rPr>
        <w:t>%。</w:t>
      </w:r>
    </w:p>
    <w:p>
      <w:pPr>
        <w:pageBreakBefore w:val="0"/>
        <w:kinsoku/>
        <w:wordWrap/>
        <w:overflowPunct/>
        <w:topLinePunct w:val="0"/>
        <w:autoSpaceDE/>
        <w:autoSpaceDN/>
        <w:bidi w:val="0"/>
        <w:adjustRightInd w:val="0"/>
        <w:snapToGrid w:val="0"/>
        <w:spacing w:line="570" w:lineRule="exact"/>
        <w:ind w:firstLine="640" w:firstLineChars="200"/>
        <w:contextualSpacing/>
        <w:jc w:val="left"/>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en-US" w:eastAsia="zh-CN" w:bidi="ar-SA"/>
        </w:rPr>
        <w:t>阶段（含一次性）项目绩效分析。</w:t>
      </w:r>
      <w:r>
        <w:rPr>
          <w:rFonts w:hint="default" w:ascii="仿宋_GB2312" w:hAnsi="仿宋_GB2312" w:eastAsia="仿宋_GB2312" w:cs="仿宋_GB2312"/>
          <w:kern w:val="2"/>
          <w:sz w:val="32"/>
          <w:szCs w:val="32"/>
          <w:lang w:val="zh-CN" w:eastAsia="zh-CN" w:bidi="ar-SA"/>
        </w:rPr>
        <w:t>该类项目总数</w:t>
      </w:r>
      <w:r>
        <w:rPr>
          <w:rFonts w:hint="eastAsia" w:ascii="仿宋_GB2312" w:hAnsi="仿宋_GB2312" w:eastAsia="仿宋_GB2312" w:cs="仿宋_GB2312"/>
          <w:kern w:val="2"/>
          <w:sz w:val="32"/>
          <w:szCs w:val="32"/>
          <w:lang w:val="en-US" w:eastAsia="zh-CN" w:bidi="ar-SA"/>
        </w:rPr>
        <w:t>8</w:t>
      </w:r>
      <w:r>
        <w:rPr>
          <w:rFonts w:hint="default" w:ascii="仿宋_GB2312" w:hAnsi="仿宋_GB2312" w:eastAsia="仿宋_GB2312" w:cs="仿宋_GB2312"/>
          <w:kern w:val="2"/>
          <w:sz w:val="32"/>
          <w:szCs w:val="32"/>
          <w:lang w:val="zh-CN" w:eastAsia="zh-CN" w:bidi="ar-SA"/>
        </w:rPr>
        <w:t>个，涉及预算总金额</w:t>
      </w:r>
      <w:r>
        <w:rPr>
          <w:rFonts w:hint="eastAsia" w:ascii="仿宋_GB2312" w:hAnsi="仿宋_GB2312" w:eastAsia="仿宋_GB2312" w:cs="仿宋_GB2312"/>
          <w:kern w:val="2"/>
          <w:sz w:val="32"/>
          <w:szCs w:val="32"/>
          <w:lang w:val="en-US" w:eastAsia="zh-CN" w:bidi="ar-SA"/>
        </w:rPr>
        <w:t>731.03</w:t>
      </w:r>
      <w:r>
        <w:rPr>
          <w:rFonts w:hint="default" w:ascii="仿宋_GB2312" w:hAnsi="仿宋_GB2312" w:eastAsia="仿宋_GB2312" w:cs="仿宋_GB2312"/>
          <w:kern w:val="2"/>
          <w:sz w:val="32"/>
          <w:szCs w:val="32"/>
          <w:lang w:val="zh-CN" w:eastAsia="zh-CN" w:bidi="ar-SA"/>
        </w:rPr>
        <w:t>万元，1—1</w:t>
      </w:r>
      <w:r>
        <w:rPr>
          <w:rFonts w:hint="default" w:ascii="仿宋_GB2312" w:hAnsi="仿宋_GB2312" w:eastAsia="仿宋_GB2312" w:cs="仿宋_GB2312"/>
          <w:kern w:val="2"/>
          <w:sz w:val="32"/>
          <w:szCs w:val="32"/>
          <w:lang w:val="en-US" w:eastAsia="zh-CN" w:bidi="ar-SA"/>
        </w:rPr>
        <w:t>2</w:t>
      </w:r>
      <w:r>
        <w:rPr>
          <w:rFonts w:hint="default" w:ascii="仿宋_GB2312" w:hAnsi="仿宋_GB2312" w:eastAsia="仿宋_GB2312" w:cs="仿宋_GB2312"/>
          <w:kern w:val="2"/>
          <w:sz w:val="32"/>
          <w:szCs w:val="32"/>
          <w:lang w:val="zh-CN" w:eastAsia="zh-CN" w:bidi="ar-SA"/>
        </w:rPr>
        <w:t>月预算执行总体进度为</w:t>
      </w:r>
      <w:r>
        <w:rPr>
          <w:rFonts w:hint="eastAsia" w:ascii="仿宋_GB2312" w:hAnsi="仿宋_GB2312" w:eastAsia="仿宋_GB2312" w:cs="仿宋_GB2312"/>
          <w:kern w:val="2"/>
          <w:sz w:val="32"/>
          <w:szCs w:val="32"/>
          <w:lang w:val="en-US" w:eastAsia="zh-CN" w:bidi="ar-SA"/>
        </w:rPr>
        <w:t>86.46</w:t>
      </w:r>
      <w:r>
        <w:rPr>
          <w:rFonts w:hint="default" w:ascii="仿宋_GB2312" w:hAnsi="仿宋_GB2312" w:eastAsia="仿宋_GB2312" w:cs="仿宋_GB2312"/>
          <w:kern w:val="2"/>
          <w:sz w:val="32"/>
          <w:szCs w:val="32"/>
          <w:lang w:val="zh-CN" w:eastAsia="zh-CN" w:bidi="ar-SA"/>
        </w:rPr>
        <w:t>%，其中：预算结余率大于</w:t>
      </w:r>
      <w:r>
        <w:rPr>
          <w:rFonts w:hint="default" w:ascii="仿宋_GB2312" w:hAnsi="仿宋_GB2312" w:eastAsia="仿宋_GB2312" w:cs="仿宋_GB2312"/>
          <w:kern w:val="2"/>
          <w:sz w:val="32"/>
          <w:szCs w:val="32"/>
          <w:lang w:val="en-US" w:eastAsia="zh-CN" w:bidi="ar-SA"/>
        </w:rPr>
        <w:t>10%</w:t>
      </w:r>
      <w:r>
        <w:rPr>
          <w:rFonts w:hint="default" w:ascii="仿宋_GB2312" w:hAnsi="仿宋_GB2312" w:eastAsia="仿宋_GB2312" w:cs="仿宋_GB2312"/>
          <w:kern w:val="2"/>
          <w:sz w:val="32"/>
          <w:szCs w:val="32"/>
          <w:lang w:val="zh-CN" w:eastAsia="zh-CN" w:bidi="ar-SA"/>
        </w:rPr>
        <w:t>的项目共计</w:t>
      </w:r>
      <w:r>
        <w:rPr>
          <w:rFonts w:hint="eastAsia" w:ascii="仿宋_GB2312" w:hAnsi="仿宋_GB2312" w:eastAsia="仿宋_GB2312" w:cs="仿宋_GB2312"/>
          <w:kern w:val="2"/>
          <w:sz w:val="32"/>
          <w:szCs w:val="32"/>
          <w:lang w:val="en-US" w:eastAsia="zh-CN" w:bidi="ar-SA"/>
        </w:rPr>
        <w:t>1</w:t>
      </w:r>
      <w:r>
        <w:rPr>
          <w:rFonts w:hint="default" w:ascii="仿宋_GB2312" w:hAnsi="仿宋_GB2312" w:eastAsia="仿宋_GB2312" w:cs="仿宋_GB2312"/>
          <w:kern w:val="2"/>
          <w:sz w:val="32"/>
          <w:szCs w:val="32"/>
          <w:lang w:val="zh-CN" w:eastAsia="zh-CN" w:bidi="ar-SA"/>
        </w:rPr>
        <w:t>个。</w:t>
      </w:r>
    </w:p>
    <w:p>
      <w:pPr>
        <w:pageBreakBefore w:val="0"/>
        <w:widowControl/>
        <w:kinsoku/>
        <w:wordWrap/>
        <w:overflowPunct/>
        <w:topLinePunct w:val="0"/>
        <w:autoSpaceDE/>
        <w:autoSpaceDN/>
        <w:bidi w:val="0"/>
        <w:adjustRightInd w:val="0"/>
        <w:snapToGrid w:val="0"/>
        <w:spacing w:line="570" w:lineRule="exact"/>
        <w:ind w:firstLine="640" w:firstLineChars="200"/>
        <w:contextualSpacing/>
        <w:jc w:val="left"/>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1. 项目决策（</w:t>
      </w:r>
      <w:r>
        <w:rPr>
          <w:rFonts w:hint="default" w:ascii="仿宋_GB2312" w:hAnsi="仿宋_GB2312" w:eastAsia="仿宋_GB2312" w:cs="仿宋_GB2312"/>
          <w:kern w:val="2"/>
          <w:sz w:val="32"/>
          <w:szCs w:val="32"/>
          <w:lang w:val="en-US" w:eastAsia="zh-CN" w:bidi="ar-SA"/>
        </w:rPr>
        <w:t>12分</w:t>
      </w:r>
      <w:r>
        <w:rPr>
          <w:rFonts w:hint="default" w:ascii="仿宋_GB2312" w:hAnsi="仿宋_GB2312" w:eastAsia="仿宋_GB2312" w:cs="仿宋_GB2312"/>
          <w:kern w:val="2"/>
          <w:sz w:val="32"/>
          <w:szCs w:val="32"/>
          <w:lang w:val="zh-CN" w:eastAsia="zh-CN" w:bidi="ar-SA"/>
        </w:rPr>
        <w:t>）</w:t>
      </w:r>
    </w:p>
    <w:p>
      <w:pPr>
        <w:pageBreakBefore w:val="0"/>
        <w:widowControl/>
        <w:kinsoku/>
        <w:wordWrap/>
        <w:overflowPunct/>
        <w:topLinePunct w:val="0"/>
        <w:autoSpaceDE/>
        <w:autoSpaceDN/>
        <w:bidi w:val="0"/>
        <w:adjustRightInd w:val="0"/>
        <w:snapToGrid w:val="0"/>
        <w:spacing w:line="570" w:lineRule="exact"/>
        <w:ind w:firstLine="640" w:firstLineChars="200"/>
        <w:contextualSpacing/>
        <w:jc w:val="left"/>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决策程序：项目立项符合部门规划，审批流程规范。（</w:t>
      </w:r>
      <w:r>
        <w:rPr>
          <w:rFonts w:hint="default" w:ascii="仿宋_GB2312" w:hAnsi="仿宋_GB2312" w:eastAsia="仿宋_GB2312" w:cs="仿宋_GB2312"/>
          <w:kern w:val="2"/>
          <w:sz w:val="32"/>
          <w:szCs w:val="32"/>
          <w:lang w:val="en-US" w:eastAsia="zh-CN" w:bidi="ar-SA"/>
        </w:rPr>
        <w:t>4分</w:t>
      </w:r>
      <w:r>
        <w:rPr>
          <w:rFonts w:hint="default" w:ascii="仿宋_GB2312" w:hAnsi="仿宋_GB2312" w:eastAsia="仿宋_GB2312" w:cs="仿宋_GB2312"/>
          <w:kern w:val="2"/>
          <w:sz w:val="32"/>
          <w:szCs w:val="32"/>
          <w:lang w:val="zh-CN" w:eastAsia="zh-CN" w:bidi="ar-SA"/>
        </w:rPr>
        <w:t>）</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自评得分</w:t>
      </w:r>
      <w:r>
        <w:rPr>
          <w:rFonts w:hint="default" w:ascii="仿宋_GB2312" w:hAnsi="仿宋_GB2312" w:eastAsia="仿宋_GB2312" w:cs="仿宋_GB2312"/>
          <w:kern w:val="2"/>
          <w:sz w:val="32"/>
          <w:szCs w:val="32"/>
          <w:lang w:val="zh-CN" w:eastAsia="zh-CN" w:bidi="ar-SA"/>
        </w:rPr>
        <w:t>：3分</w:t>
      </w:r>
    </w:p>
    <w:p>
      <w:pPr>
        <w:pageBreakBefore w:val="0"/>
        <w:widowControl/>
        <w:kinsoku/>
        <w:wordWrap/>
        <w:overflowPunct/>
        <w:topLinePunct w:val="0"/>
        <w:autoSpaceDE/>
        <w:autoSpaceDN/>
        <w:bidi w:val="0"/>
        <w:adjustRightInd w:val="0"/>
        <w:snapToGrid w:val="0"/>
        <w:spacing w:line="570" w:lineRule="exact"/>
        <w:ind w:firstLine="640" w:firstLineChars="200"/>
        <w:contextualSpacing/>
        <w:jc w:val="left"/>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目标设置：绩效目标清晰，</w:t>
      </w:r>
      <w:r>
        <w:rPr>
          <w:rFonts w:hint="default" w:ascii="仿宋_GB2312" w:hAnsi="仿宋_GB2312" w:eastAsia="仿宋_GB2312" w:cs="仿宋_GB2312"/>
          <w:kern w:val="2"/>
          <w:sz w:val="32"/>
          <w:szCs w:val="32"/>
          <w:lang w:val="en-US" w:eastAsia="zh-CN" w:bidi="ar-SA"/>
        </w:rPr>
        <w:t>均设置了一、二、三、级指标，</w:t>
      </w:r>
      <w:r>
        <w:rPr>
          <w:rFonts w:hint="default" w:ascii="仿宋_GB2312" w:hAnsi="仿宋_GB2312" w:eastAsia="仿宋_GB2312" w:cs="仿宋_GB2312"/>
          <w:kern w:val="2"/>
          <w:sz w:val="32"/>
          <w:szCs w:val="32"/>
          <w:lang w:val="zh-CN" w:eastAsia="zh-CN" w:bidi="ar-SA"/>
        </w:rPr>
        <w:t>但指标</w:t>
      </w:r>
      <w:r>
        <w:rPr>
          <w:rFonts w:hint="default" w:ascii="仿宋_GB2312" w:hAnsi="仿宋_GB2312" w:eastAsia="仿宋_GB2312" w:cs="仿宋_GB2312"/>
          <w:kern w:val="2"/>
          <w:sz w:val="32"/>
          <w:szCs w:val="32"/>
          <w:lang w:val="en-US" w:eastAsia="zh-CN" w:bidi="ar-SA"/>
        </w:rPr>
        <w:t>不够</w:t>
      </w:r>
      <w:r>
        <w:rPr>
          <w:rFonts w:hint="default" w:ascii="仿宋_GB2312" w:hAnsi="仿宋_GB2312" w:eastAsia="仿宋_GB2312" w:cs="仿宋_GB2312"/>
          <w:kern w:val="2"/>
          <w:sz w:val="32"/>
          <w:szCs w:val="32"/>
          <w:lang w:val="zh-CN" w:eastAsia="zh-CN" w:bidi="ar-SA"/>
        </w:rPr>
        <w:t>细化、</w:t>
      </w:r>
      <w:r>
        <w:rPr>
          <w:rFonts w:hint="default" w:ascii="仿宋_GB2312" w:hAnsi="仿宋_GB2312" w:eastAsia="仿宋_GB2312" w:cs="仿宋_GB2312"/>
          <w:kern w:val="2"/>
          <w:sz w:val="32"/>
          <w:szCs w:val="32"/>
          <w:lang w:val="en-US" w:eastAsia="zh-CN" w:bidi="ar-SA"/>
        </w:rPr>
        <w:t>完善</w:t>
      </w:r>
      <w:r>
        <w:rPr>
          <w:rFonts w:hint="default" w:ascii="仿宋_GB2312" w:hAnsi="仿宋_GB2312" w:eastAsia="仿宋_GB2312" w:cs="仿宋_GB2312"/>
          <w:kern w:val="2"/>
          <w:sz w:val="32"/>
          <w:szCs w:val="32"/>
          <w:lang w:val="zh-CN" w:eastAsia="zh-CN" w:bidi="ar-SA"/>
        </w:rPr>
        <w:t>。（</w:t>
      </w:r>
      <w:r>
        <w:rPr>
          <w:rFonts w:hint="default" w:ascii="仿宋_GB2312" w:hAnsi="仿宋_GB2312" w:eastAsia="仿宋_GB2312" w:cs="仿宋_GB2312"/>
          <w:kern w:val="2"/>
          <w:sz w:val="32"/>
          <w:szCs w:val="32"/>
          <w:lang w:val="en-US" w:eastAsia="zh-CN" w:bidi="ar-SA"/>
        </w:rPr>
        <w:t>4分</w:t>
      </w:r>
      <w:r>
        <w:rPr>
          <w:rFonts w:hint="default" w:ascii="仿宋_GB2312" w:hAnsi="仿宋_GB2312" w:eastAsia="仿宋_GB2312" w:cs="仿宋_GB2312"/>
          <w:kern w:val="2"/>
          <w:sz w:val="32"/>
          <w:szCs w:val="32"/>
          <w:lang w:val="zh-CN" w:eastAsia="zh-CN" w:bidi="ar-SA"/>
        </w:rPr>
        <w:t xml:space="preserve">）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自评得分</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en-US" w:eastAsia="zh-CN" w:bidi="ar-SA"/>
        </w:rPr>
        <w:t>分</w:t>
      </w:r>
    </w:p>
    <w:p>
      <w:pPr>
        <w:pageBreakBefore w:val="0"/>
        <w:widowControl/>
        <w:kinsoku/>
        <w:wordWrap/>
        <w:overflowPunct/>
        <w:topLinePunct w:val="0"/>
        <w:autoSpaceDE/>
        <w:autoSpaceDN/>
        <w:bidi w:val="0"/>
        <w:adjustRightInd w:val="0"/>
        <w:snapToGrid w:val="0"/>
        <w:spacing w:line="570" w:lineRule="exact"/>
        <w:ind w:firstLine="640" w:firstLineChars="200"/>
        <w:contextualSpacing/>
        <w:jc w:val="left"/>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项目入库：均纳入财政项目库管理，入库资料完整。（</w:t>
      </w:r>
      <w:r>
        <w:rPr>
          <w:rFonts w:hint="default" w:ascii="仿宋_GB2312" w:hAnsi="仿宋_GB2312" w:eastAsia="仿宋_GB2312" w:cs="仿宋_GB2312"/>
          <w:kern w:val="2"/>
          <w:sz w:val="32"/>
          <w:szCs w:val="32"/>
          <w:lang w:val="en-US" w:eastAsia="zh-CN" w:bidi="ar-SA"/>
        </w:rPr>
        <w:t>4分</w:t>
      </w:r>
      <w:r>
        <w:rPr>
          <w:rFonts w:hint="default" w:ascii="仿宋_GB2312" w:hAnsi="仿宋_GB2312" w:eastAsia="仿宋_GB2312" w:cs="仿宋_GB2312"/>
          <w:kern w:val="2"/>
          <w:sz w:val="32"/>
          <w:szCs w:val="32"/>
          <w:lang w:val="zh-CN" w:eastAsia="zh-CN" w:bidi="ar-SA"/>
        </w:rPr>
        <w:t xml:space="preserve">） </w:t>
      </w:r>
    </w:p>
    <w:p>
      <w:pPr>
        <w:pageBreakBefore w:val="0"/>
        <w:widowControl/>
        <w:kinsoku/>
        <w:wordWrap/>
        <w:overflowPunct/>
        <w:topLinePunct w:val="0"/>
        <w:autoSpaceDE/>
        <w:autoSpaceDN/>
        <w:bidi w:val="0"/>
        <w:adjustRightInd w:val="0"/>
        <w:snapToGrid w:val="0"/>
        <w:spacing w:line="570" w:lineRule="exact"/>
        <w:ind w:firstLine="640" w:firstLineChars="200"/>
        <w:contextualSpacing/>
        <w:jc w:val="left"/>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自评得分</w:t>
      </w:r>
      <w:r>
        <w:rPr>
          <w:rFonts w:hint="default" w:ascii="仿宋_GB2312" w:hAnsi="仿宋_GB2312" w:eastAsia="仿宋_GB2312" w:cs="仿宋_GB2312"/>
          <w:kern w:val="2"/>
          <w:sz w:val="32"/>
          <w:szCs w:val="32"/>
          <w:lang w:val="zh-CN" w:eastAsia="zh-CN" w:bidi="ar-SA"/>
        </w:rPr>
        <w:t>：</w:t>
      </w:r>
      <w:r>
        <w:rPr>
          <w:rFonts w:hint="eastAsia" w:ascii="仿宋_GB2312" w:hAnsi="仿宋_GB2312" w:eastAsia="仿宋_GB2312" w:cs="仿宋_GB2312"/>
          <w:kern w:val="2"/>
          <w:sz w:val="32"/>
          <w:szCs w:val="32"/>
          <w:lang w:val="en-US" w:eastAsia="zh-CN" w:bidi="ar-SA"/>
        </w:rPr>
        <w:t>4</w:t>
      </w:r>
      <w:r>
        <w:rPr>
          <w:rFonts w:hint="default" w:ascii="仿宋_GB2312" w:hAnsi="仿宋_GB2312" w:eastAsia="仿宋_GB2312" w:cs="仿宋_GB2312"/>
          <w:kern w:val="2"/>
          <w:sz w:val="32"/>
          <w:szCs w:val="32"/>
          <w:lang w:val="en-US" w:eastAsia="zh-CN" w:bidi="ar-SA"/>
        </w:rPr>
        <w:t>分</w:t>
      </w:r>
      <w:r>
        <w:rPr>
          <w:rFonts w:hint="default" w:ascii="仿宋_GB2312" w:hAnsi="仿宋_GB2312" w:eastAsia="仿宋_GB2312" w:cs="仿宋_GB2312"/>
          <w:kern w:val="2"/>
          <w:sz w:val="32"/>
          <w:szCs w:val="32"/>
          <w:lang w:val="zh-CN" w:eastAsia="zh-CN" w:bidi="ar-SA"/>
        </w:rPr>
        <w:t xml:space="preserve">  </w:t>
      </w:r>
    </w:p>
    <w:p>
      <w:pPr>
        <w:pageBreakBefore w:val="0"/>
        <w:widowControl/>
        <w:kinsoku/>
        <w:wordWrap/>
        <w:overflowPunct/>
        <w:topLinePunct w:val="0"/>
        <w:autoSpaceDE/>
        <w:autoSpaceDN/>
        <w:bidi w:val="0"/>
        <w:adjustRightInd w:val="0"/>
        <w:snapToGrid w:val="0"/>
        <w:spacing w:line="570" w:lineRule="exact"/>
        <w:ind w:firstLine="640" w:firstLineChars="200"/>
        <w:contextualSpacing/>
        <w:jc w:val="left"/>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2. 项目执行（权重：</w:t>
      </w:r>
      <w:r>
        <w:rPr>
          <w:rFonts w:hint="default" w:ascii="仿宋_GB2312" w:hAnsi="仿宋_GB2312" w:eastAsia="仿宋_GB2312" w:cs="仿宋_GB2312"/>
          <w:kern w:val="2"/>
          <w:sz w:val="32"/>
          <w:szCs w:val="32"/>
          <w:lang w:val="en-US" w:eastAsia="zh-CN" w:bidi="ar-SA"/>
        </w:rPr>
        <w:t>12分</w:t>
      </w:r>
      <w:r>
        <w:rPr>
          <w:rFonts w:hint="default" w:ascii="仿宋_GB2312" w:hAnsi="仿宋_GB2312" w:eastAsia="仿宋_GB2312" w:cs="仿宋_GB2312"/>
          <w:kern w:val="2"/>
          <w:sz w:val="32"/>
          <w:szCs w:val="32"/>
          <w:lang w:val="zh-CN" w:eastAsia="zh-CN" w:bidi="ar-SA"/>
        </w:rPr>
        <w:t xml:space="preserve">） </w:t>
      </w:r>
    </w:p>
    <w:p>
      <w:pPr>
        <w:pageBreakBefore w:val="0"/>
        <w:kinsoku/>
        <w:wordWrap/>
        <w:overflowPunct/>
        <w:topLinePunct w:val="0"/>
        <w:autoSpaceDE/>
        <w:autoSpaceDN/>
        <w:bidi w:val="0"/>
        <w:adjustRightInd w:val="0"/>
        <w:snapToGrid w:val="0"/>
        <w:spacing w:line="570" w:lineRule="exact"/>
        <w:ind w:firstLine="640" w:firstLineChars="200"/>
        <w:contextualSpacing/>
        <w:jc w:val="left"/>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（1）执行同向（</w:t>
      </w:r>
      <w:r>
        <w:rPr>
          <w:rFonts w:hint="default" w:ascii="仿宋_GB2312" w:hAnsi="仿宋_GB2312" w:eastAsia="仿宋_GB2312" w:cs="仿宋_GB2312"/>
          <w:kern w:val="2"/>
          <w:sz w:val="32"/>
          <w:szCs w:val="32"/>
          <w:lang w:val="en-US" w:eastAsia="zh-CN" w:bidi="ar-SA"/>
        </w:rPr>
        <w:t>4分</w:t>
      </w:r>
      <w:r>
        <w:rPr>
          <w:rFonts w:hint="default" w:ascii="仿宋_GB2312" w:hAnsi="仿宋_GB2312" w:eastAsia="仿宋_GB2312" w:cs="仿宋_GB2312"/>
          <w:kern w:val="2"/>
          <w:sz w:val="32"/>
          <w:szCs w:val="32"/>
          <w:lang w:val="zh-CN" w:eastAsia="zh-CN" w:bidi="ar-SA"/>
        </w:rPr>
        <w:t>）</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2024年我</w:t>
      </w:r>
      <w:r>
        <w:rPr>
          <w:rFonts w:hint="eastAsia" w:ascii="仿宋_GB2312" w:hAnsi="仿宋_GB2312" w:eastAsia="仿宋_GB2312" w:cs="仿宋_GB2312"/>
          <w:kern w:val="2"/>
          <w:sz w:val="32"/>
          <w:szCs w:val="32"/>
          <w:lang w:val="en-US" w:eastAsia="zh-CN" w:bidi="ar-SA"/>
        </w:rPr>
        <w:t>委8</w:t>
      </w:r>
      <w:r>
        <w:rPr>
          <w:rFonts w:hint="default" w:ascii="仿宋_GB2312" w:hAnsi="仿宋_GB2312" w:eastAsia="仿宋_GB2312" w:cs="仿宋_GB2312"/>
          <w:kern w:val="2"/>
          <w:sz w:val="32"/>
          <w:szCs w:val="32"/>
          <w:lang w:val="en-US" w:eastAsia="zh-CN" w:bidi="ar-SA"/>
        </w:rPr>
        <w:t xml:space="preserve">个项目资金开支范围均符合绩效目标设置。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自评得分</w:t>
      </w:r>
      <w:r>
        <w:rPr>
          <w:rFonts w:hint="default" w:ascii="仿宋_GB2312" w:hAnsi="仿宋_GB2312" w:eastAsia="仿宋_GB2312" w:cs="仿宋_GB2312"/>
          <w:kern w:val="2"/>
          <w:sz w:val="32"/>
          <w:szCs w:val="32"/>
          <w:lang w:val="en-US" w:eastAsia="zh-CN" w:bidi="ar-SA"/>
        </w:rPr>
        <w:t>：4分</w:t>
      </w:r>
    </w:p>
    <w:p>
      <w:pPr>
        <w:pageBreakBefore w:val="0"/>
        <w:kinsoku/>
        <w:wordWrap/>
        <w:overflowPunct/>
        <w:topLinePunct w:val="0"/>
        <w:autoSpaceDE/>
        <w:autoSpaceDN/>
        <w:bidi w:val="0"/>
        <w:adjustRightInd w:val="0"/>
        <w:snapToGrid w:val="0"/>
        <w:spacing w:line="570" w:lineRule="exact"/>
        <w:ind w:firstLine="640" w:firstLineChars="200"/>
        <w:contextualSpacing/>
        <w:jc w:val="left"/>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（2）项目调整（</w:t>
      </w:r>
      <w:r>
        <w:rPr>
          <w:rFonts w:hint="default" w:ascii="仿宋_GB2312" w:hAnsi="仿宋_GB2312" w:eastAsia="仿宋_GB2312" w:cs="仿宋_GB2312"/>
          <w:kern w:val="2"/>
          <w:sz w:val="32"/>
          <w:szCs w:val="32"/>
          <w:lang w:val="en-US" w:eastAsia="zh-CN" w:bidi="ar-SA"/>
        </w:rPr>
        <w:t>4分</w:t>
      </w:r>
      <w:r>
        <w:rPr>
          <w:rFonts w:hint="default" w:ascii="仿宋_GB2312" w:hAnsi="仿宋_GB2312" w:eastAsia="仿宋_GB2312" w:cs="仿宋_GB2312"/>
          <w:kern w:val="2"/>
          <w:sz w:val="32"/>
          <w:szCs w:val="32"/>
          <w:lang w:val="zh-CN" w:eastAsia="zh-CN" w:bidi="ar-SA"/>
        </w:rPr>
        <w:t>）</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2024年我</w:t>
      </w:r>
      <w:r>
        <w:rPr>
          <w:rFonts w:hint="eastAsia" w:ascii="仿宋_GB2312" w:hAnsi="仿宋_GB2312" w:eastAsia="仿宋_GB2312" w:cs="仿宋_GB2312"/>
          <w:kern w:val="2"/>
          <w:sz w:val="32"/>
          <w:szCs w:val="32"/>
          <w:lang w:val="en-US" w:eastAsia="zh-CN" w:bidi="ar-SA"/>
        </w:rPr>
        <w:t>委8</w:t>
      </w:r>
      <w:r>
        <w:rPr>
          <w:rFonts w:hint="default" w:ascii="仿宋_GB2312" w:hAnsi="仿宋_GB2312" w:eastAsia="仿宋_GB2312" w:cs="仿宋_GB2312"/>
          <w:kern w:val="2"/>
          <w:sz w:val="32"/>
          <w:szCs w:val="32"/>
          <w:lang w:val="en-US" w:eastAsia="zh-CN" w:bidi="ar-SA"/>
        </w:rPr>
        <w:t>个项目均按照预算要求及绩效目标设置执行，不存在项目调整的情况。</w:t>
      </w:r>
    </w:p>
    <w:p>
      <w:pPr>
        <w:pStyle w:val="8"/>
        <w:pageBreakBefore w:val="0"/>
        <w:kinsoku/>
        <w:wordWrap/>
        <w:overflowPunct/>
        <w:topLinePunct w:val="0"/>
        <w:autoSpaceDE/>
        <w:autoSpaceDN/>
        <w:bidi w:val="0"/>
        <w:spacing w:line="570" w:lineRule="exact"/>
        <w:ind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xml:space="preserve"> </w:t>
      </w:r>
      <w:r>
        <w:rPr>
          <w:rFonts w:hint="eastAsia" w:ascii="仿宋_GB2312" w:hAnsi="仿宋_GB2312" w:eastAsia="仿宋_GB2312" w:cs="仿宋_GB2312"/>
          <w:kern w:val="2"/>
          <w:sz w:val="32"/>
          <w:szCs w:val="32"/>
          <w:lang w:val="en-US" w:eastAsia="zh-CN" w:bidi="ar-SA"/>
        </w:rPr>
        <w:t>自评得分</w:t>
      </w:r>
      <w:r>
        <w:rPr>
          <w:rFonts w:hint="default" w:ascii="仿宋_GB2312" w:hAnsi="仿宋_GB2312" w:eastAsia="仿宋_GB2312" w:cs="仿宋_GB2312"/>
          <w:kern w:val="2"/>
          <w:sz w:val="32"/>
          <w:szCs w:val="32"/>
          <w:lang w:val="en-US" w:eastAsia="zh-CN" w:bidi="ar-SA"/>
        </w:rPr>
        <w:t>：4分</w:t>
      </w:r>
    </w:p>
    <w:p>
      <w:pPr>
        <w:pStyle w:val="8"/>
        <w:pageBreakBefore w:val="0"/>
        <w:kinsoku/>
        <w:wordWrap/>
        <w:overflowPunct/>
        <w:topLinePunct w:val="0"/>
        <w:autoSpaceDE/>
        <w:autoSpaceDN/>
        <w:bidi w:val="0"/>
        <w:spacing w:line="570" w:lineRule="exact"/>
        <w:ind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zh-CN" w:eastAsia="zh-CN" w:bidi="ar-SA"/>
        </w:rPr>
        <w:t>（3）执行结果（</w:t>
      </w:r>
      <w:r>
        <w:rPr>
          <w:rFonts w:hint="default" w:ascii="仿宋_GB2312" w:hAnsi="仿宋_GB2312" w:eastAsia="仿宋_GB2312" w:cs="仿宋_GB2312"/>
          <w:kern w:val="2"/>
          <w:sz w:val="32"/>
          <w:szCs w:val="32"/>
          <w:lang w:val="en-US" w:eastAsia="zh-CN" w:bidi="ar-SA"/>
        </w:rPr>
        <w:t>4分</w:t>
      </w:r>
      <w:r>
        <w:rPr>
          <w:rFonts w:hint="default" w:ascii="仿宋_GB2312" w:hAnsi="仿宋_GB2312" w:eastAsia="仿宋_GB2312" w:cs="仿宋_GB2312"/>
          <w:kern w:val="2"/>
          <w:sz w:val="32"/>
          <w:szCs w:val="32"/>
          <w:lang w:val="zh-CN" w:eastAsia="zh-CN" w:bidi="ar-SA"/>
        </w:rPr>
        <w:t>）</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2024年我</w:t>
      </w:r>
      <w:r>
        <w:rPr>
          <w:rFonts w:hint="eastAsia" w:ascii="仿宋_GB2312" w:hAnsi="仿宋_GB2312" w:eastAsia="仿宋_GB2312" w:cs="仿宋_GB2312"/>
          <w:kern w:val="2"/>
          <w:sz w:val="32"/>
          <w:szCs w:val="32"/>
          <w:lang w:val="en-US" w:eastAsia="zh-CN" w:bidi="ar-SA"/>
        </w:rPr>
        <w:t>委8</w:t>
      </w:r>
      <w:r>
        <w:rPr>
          <w:rFonts w:hint="default" w:ascii="仿宋_GB2312" w:hAnsi="仿宋_GB2312" w:eastAsia="仿宋_GB2312" w:cs="仿宋_GB2312"/>
          <w:kern w:val="2"/>
          <w:sz w:val="32"/>
          <w:szCs w:val="32"/>
          <w:lang w:val="en-US" w:eastAsia="zh-CN" w:bidi="ar-SA"/>
        </w:rPr>
        <w:t>个项目均按期支付，较好的实现了各项目标任务。</w:t>
      </w:r>
    </w:p>
    <w:p>
      <w:pPr>
        <w:pStyle w:val="8"/>
        <w:pageBreakBefore w:val="0"/>
        <w:kinsoku/>
        <w:wordWrap/>
        <w:overflowPunct/>
        <w:topLinePunct w:val="0"/>
        <w:autoSpaceDE/>
        <w:autoSpaceDN/>
        <w:bidi w:val="0"/>
        <w:spacing w:line="570" w:lineRule="exact"/>
        <w:ind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xml:space="preserve"> </w:t>
      </w:r>
      <w:r>
        <w:rPr>
          <w:rFonts w:hint="eastAsia" w:ascii="仿宋_GB2312" w:hAnsi="仿宋_GB2312" w:eastAsia="仿宋_GB2312" w:cs="仿宋_GB2312"/>
          <w:kern w:val="2"/>
          <w:sz w:val="32"/>
          <w:szCs w:val="32"/>
          <w:lang w:val="en-US" w:eastAsia="zh-CN" w:bidi="ar-SA"/>
        </w:rPr>
        <w:t>自评得分</w:t>
      </w:r>
      <w:r>
        <w:rPr>
          <w:rFonts w:hint="default" w:ascii="仿宋_GB2312" w:hAnsi="仿宋_GB2312" w:eastAsia="仿宋_GB2312" w:cs="仿宋_GB2312"/>
          <w:kern w:val="2"/>
          <w:sz w:val="32"/>
          <w:szCs w:val="32"/>
          <w:lang w:val="en-US" w:eastAsia="zh-CN" w:bidi="ar-SA"/>
        </w:rPr>
        <w:t>：4分</w:t>
      </w:r>
    </w:p>
    <w:p>
      <w:pPr>
        <w:pStyle w:val="8"/>
        <w:pageBreakBefore w:val="0"/>
        <w:kinsoku/>
        <w:wordWrap/>
        <w:overflowPunct/>
        <w:topLinePunct w:val="0"/>
        <w:autoSpaceDE/>
        <w:autoSpaceDN/>
        <w:bidi w:val="0"/>
        <w:spacing w:line="570" w:lineRule="exact"/>
        <w:ind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zh-CN" w:eastAsia="zh-CN" w:bidi="ar-SA"/>
        </w:rPr>
        <w:t xml:space="preserve"> 目标实现（</w:t>
      </w:r>
      <w:r>
        <w:rPr>
          <w:rFonts w:hint="default" w:ascii="仿宋_GB2312" w:hAnsi="仿宋_GB2312" w:eastAsia="仿宋_GB2312" w:cs="仿宋_GB2312"/>
          <w:kern w:val="2"/>
          <w:sz w:val="32"/>
          <w:szCs w:val="32"/>
          <w:lang w:val="en-US" w:eastAsia="zh-CN" w:bidi="ar-SA"/>
        </w:rPr>
        <w:t>11分</w:t>
      </w:r>
      <w:r>
        <w:rPr>
          <w:rFonts w:hint="default" w:ascii="仿宋_GB2312" w:hAnsi="仿宋_GB2312" w:eastAsia="仿宋_GB2312" w:cs="仿宋_GB2312"/>
          <w:kern w:val="2"/>
          <w:sz w:val="32"/>
          <w:szCs w:val="32"/>
          <w:lang w:val="zh-CN" w:eastAsia="zh-CN" w:bidi="ar-SA"/>
        </w:rPr>
        <w:t>）</w:t>
      </w:r>
    </w:p>
    <w:p>
      <w:pPr>
        <w:pStyle w:val="8"/>
        <w:pageBreakBefore w:val="0"/>
        <w:kinsoku/>
        <w:wordWrap/>
        <w:overflowPunct/>
        <w:topLinePunct w:val="0"/>
        <w:autoSpaceDE/>
        <w:autoSpaceDN/>
        <w:bidi w:val="0"/>
        <w:spacing w:line="570" w:lineRule="exact"/>
        <w:ind w:firstLine="640" w:firstLineChars="20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（1）目标完成（4分）</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2024年我</w:t>
      </w:r>
      <w:r>
        <w:rPr>
          <w:rFonts w:hint="eastAsia" w:ascii="仿宋_GB2312" w:hAnsi="仿宋_GB2312" w:eastAsia="仿宋_GB2312" w:cs="仿宋_GB2312"/>
          <w:kern w:val="2"/>
          <w:sz w:val="32"/>
          <w:szCs w:val="32"/>
          <w:lang w:val="en-US" w:eastAsia="zh-CN" w:bidi="ar-SA"/>
        </w:rPr>
        <w:t>委8</w:t>
      </w:r>
      <w:r>
        <w:rPr>
          <w:rFonts w:hint="default" w:ascii="仿宋_GB2312" w:hAnsi="仿宋_GB2312" w:eastAsia="仿宋_GB2312" w:cs="仿宋_GB2312"/>
          <w:kern w:val="2"/>
          <w:sz w:val="32"/>
          <w:szCs w:val="32"/>
          <w:lang w:val="en-US" w:eastAsia="zh-CN" w:bidi="ar-SA"/>
        </w:rPr>
        <w:t>个项目较好的完成了绩效目标，不存在偏离绩效指标的情况。</w:t>
      </w:r>
    </w:p>
    <w:p>
      <w:pPr>
        <w:pStyle w:val="8"/>
        <w:pageBreakBefore w:val="0"/>
        <w:kinsoku/>
        <w:wordWrap/>
        <w:overflowPunct/>
        <w:topLinePunct w:val="0"/>
        <w:autoSpaceDE/>
        <w:autoSpaceDN/>
        <w:bidi w:val="0"/>
        <w:spacing w:line="570" w:lineRule="exact"/>
        <w:ind w:firstLine="640" w:firstLineChars="20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自评得分</w:t>
      </w:r>
      <w:r>
        <w:rPr>
          <w:rFonts w:hint="default" w:ascii="仿宋_GB2312" w:hAnsi="仿宋_GB2312" w:eastAsia="仿宋_GB2312" w:cs="仿宋_GB2312"/>
          <w:kern w:val="2"/>
          <w:sz w:val="32"/>
          <w:szCs w:val="32"/>
          <w:lang w:val="en-US" w:eastAsia="zh-CN" w:bidi="ar-SA"/>
        </w:rPr>
        <w:t>：4分</w:t>
      </w:r>
    </w:p>
    <w:p>
      <w:pPr>
        <w:pStyle w:val="8"/>
        <w:pageBreakBefore w:val="0"/>
        <w:kinsoku/>
        <w:wordWrap/>
        <w:overflowPunct/>
        <w:topLinePunct w:val="0"/>
        <w:autoSpaceDE/>
        <w:autoSpaceDN/>
        <w:bidi w:val="0"/>
        <w:spacing w:line="570" w:lineRule="exact"/>
        <w:ind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zh-CN" w:eastAsia="zh-CN" w:bidi="ar-SA"/>
        </w:rPr>
        <w:t>（2）目标偏离（</w:t>
      </w:r>
      <w:r>
        <w:rPr>
          <w:rFonts w:hint="default" w:ascii="仿宋_GB2312" w:hAnsi="仿宋_GB2312" w:eastAsia="仿宋_GB2312" w:cs="仿宋_GB2312"/>
          <w:kern w:val="2"/>
          <w:sz w:val="32"/>
          <w:szCs w:val="32"/>
          <w:lang w:val="en-US" w:eastAsia="zh-CN" w:bidi="ar-SA"/>
        </w:rPr>
        <w:t>4分</w:t>
      </w:r>
      <w:r>
        <w:rPr>
          <w:rFonts w:hint="default" w:ascii="仿宋_GB2312" w:hAnsi="仿宋_GB2312" w:eastAsia="仿宋_GB2312" w:cs="仿宋_GB2312"/>
          <w:kern w:val="2"/>
          <w:sz w:val="32"/>
          <w:szCs w:val="32"/>
          <w:lang w:val="zh-CN" w:eastAsia="zh-CN" w:bidi="ar-SA"/>
        </w:rPr>
        <w:t>）</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2024年我</w:t>
      </w:r>
      <w:r>
        <w:rPr>
          <w:rFonts w:hint="eastAsia" w:ascii="仿宋_GB2312" w:hAnsi="仿宋_GB2312" w:eastAsia="仿宋_GB2312" w:cs="仿宋_GB2312"/>
          <w:kern w:val="2"/>
          <w:sz w:val="32"/>
          <w:szCs w:val="32"/>
          <w:lang w:val="en-US" w:eastAsia="zh-CN" w:bidi="ar-SA"/>
        </w:rPr>
        <w:t>委8</w:t>
      </w:r>
      <w:r>
        <w:rPr>
          <w:rFonts w:hint="default" w:ascii="仿宋_GB2312" w:hAnsi="仿宋_GB2312" w:eastAsia="仿宋_GB2312" w:cs="仿宋_GB2312"/>
          <w:kern w:val="2"/>
          <w:sz w:val="32"/>
          <w:szCs w:val="32"/>
          <w:lang w:val="en-US" w:eastAsia="zh-CN" w:bidi="ar-SA"/>
        </w:rPr>
        <w:t>个项目较好的完成了数量绩效目标，不存在偏离绩效指标的情况。</w:t>
      </w:r>
    </w:p>
    <w:p>
      <w:pPr>
        <w:pStyle w:val="8"/>
        <w:pageBreakBefore w:val="0"/>
        <w:kinsoku/>
        <w:wordWrap/>
        <w:overflowPunct/>
        <w:topLinePunct w:val="0"/>
        <w:autoSpaceDE/>
        <w:autoSpaceDN/>
        <w:bidi w:val="0"/>
        <w:spacing w:line="570" w:lineRule="exact"/>
        <w:ind w:firstLine="640" w:firstLineChars="200"/>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自评得分</w:t>
      </w:r>
      <w:r>
        <w:rPr>
          <w:rFonts w:hint="default" w:ascii="仿宋_GB2312" w:hAnsi="仿宋_GB2312" w:eastAsia="仿宋_GB2312" w:cs="仿宋_GB2312"/>
          <w:kern w:val="2"/>
          <w:sz w:val="32"/>
          <w:szCs w:val="32"/>
          <w:lang w:val="en-US" w:eastAsia="zh-CN" w:bidi="ar-SA"/>
        </w:rPr>
        <w:t>：4分</w:t>
      </w:r>
    </w:p>
    <w:p>
      <w:pPr>
        <w:pageBreakBefore w:val="0"/>
        <w:kinsoku/>
        <w:wordWrap/>
        <w:overflowPunct/>
        <w:topLinePunct w:val="0"/>
        <w:autoSpaceDE/>
        <w:autoSpaceDN/>
        <w:bidi w:val="0"/>
        <w:adjustRightInd w:val="0"/>
        <w:snapToGrid w:val="0"/>
        <w:spacing w:line="570" w:lineRule="exact"/>
        <w:ind w:firstLine="640" w:firstLineChars="200"/>
        <w:contextualSpacing/>
        <w:jc w:val="left"/>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（3）实现效果（</w:t>
      </w:r>
      <w:r>
        <w:rPr>
          <w:rFonts w:hint="default" w:ascii="仿宋_GB2312" w:hAnsi="仿宋_GB2312" w:eastAsia="仿宋_GB2312" w:cs="仿宋_GB2312"/>
          <w:kern w:val="2"/>
          <w:sz w:val="32"/>
          <w:szCs w:val="32"/>
          <w:lang w:val="en-US" w:eastAsia="zh-CN" w:bidi="ar-SA"/>
        </w:rPr>
        <w:t>3分</w:t>
      </w:r>
      <w:r>
        <w:rPr>
          <w:rFonts w:hint="default" w:ascii="仿宋_GB2312" w:hAnsi="仿宋_GB2312" w:eastAsia="仿宋_GB2312" w:cs="仿宋_GB2312"/>
          <w:kern w:val="2"/>
          <w:sz w:val="32"/>
          <w:szCs w:val="32"/>
          <w:lang w:val="zh-CN" w:eastAsia="zh-CN" w:bidi="ar-SA"/>
        </w:rPr>
        <w:t>）</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2024年我</w:t>
      </w:r>
      <w:r>
        <w:rPr>
          <w:rFonts w:hint="eastAsia" w:ascii="仿宋_GB2312" w:hAnsi="仿宋_GB2312" w:eastAsia="仿宋_GB2312" w:cs="仿宋_GB2312"/>
          <w:kern w:val="2"/>
          <w:sz w:val="32"/>
          <w:szCs w:val="32"/>
          <w:lang w:val="en-US" w:eastAsia="zh-CN" w:bidi="ar-SA"/>
        </w:rPr>
        <w:t>委监督、执纪、巡察工作</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营造红原风清气正的工作作风，将腐败问题消灭在萌芽阶段</w:t>
      </w:r>
      <w:r>
        <w:rPr>
          <w:rFonts w:hint="default" w:ascii="仿宋_GB2312" w:hAnsi="仿宋_GB2312" w:eastAsia="仿宋_GB2312" w:cs="仿宋_GB2312"/>
          <w:kern w:val="2"/>
          <w:sz w:val="32"/>
          <w:szCs w:val="32"/>
          <w:lang w:val="en-US" w:eastAsia="zh-CN" w:bidi="ar-SA"/>
        </w:rPr>
        <w:t>，为红原县高质量发展做好政务服务工作。</w:t>
      </w:r>
    </w:p>
    <w:p>
      <w:pPr>
        <w:pStyle w:val="8"/>
        <w:pageBreakBefore w:val="0"/>
        <w:kinsoku/>
        <w:wordWrap/>
        <w:overflowPunct/>
        <w:topLinePunct w:val="0"/>
        <w:autoSpaceDE/>
        <w:autoSpaceDN/>
        <w:bidi w:val="0"/>
        <w:spacing w:line="570" w:lineRule="exact"/>
        <w:ind w:firstLine="640" w:firstLineChars="200"/>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自评得分</w:t>
      </w:r>
      <w:r>
        <w:rPr>
          <w:rFonts w:hint="default" w:ascii="仿宋_GB2312" w:hAnsi="仿宋_GB2312" w:eastAsia="仿宋_GB2312" w:cs="仿宋_GB2312"/>
          <w:kern w:val="2"/>
          <w:sz w:val="32"/>
          <w:szCs w:val="32"/>
          <w:lang w:val="en-US" w:eastAsia="zh-CN" w:bidi="ar-SA"/>
        </w:rPr>
        <w:t>：3分</w:t>
      </w:r>
    </w:p>
    <w:p>
      <w:pPr>
        <w:pageBreakBefore w:val="0"/>
        <w:kinsoku/>
        <w:wordWrap/>
        <w:overflowPunct/>
        <w:topLinePunct w:val="0"/>
        <w:autoSpaceDE/>
        <w:autoSpaceDN/>
        <w:bidi w:val="0"/>
        <w:adjustRightInd w:val="0"/>
        <w:snapToGrid w:val="0"/>
        <w:spacing w:line="570" w:lineRule="exact"/>
        <w:ind w:firstLine="643" w:firstLineChars="200"/>
        <w:contextualSpacing/>
        <w:jc w:val="left"/>
        <w:rPr>
          <w:rFonts w:hint="default" w:ascii="楷体_GB2312" w:hAnsi="楷体_GB2312" w:eastAsia="楷体_GB2312" w:cs="楷体_GB2312"/>
          <w:b/>
          <w:sz w:val="32"/>
          <w:szCs w:val="32"/>
          <w:lang w:val="zh-CN" w:eastAsia="zh-CN"/>
        </w:rPr>
      </w:pPr>
      <w:r>
        <w:rPr>
          <w:rFonts w:hint="eastAsia" w:ascii="楷体_GB2312" w:hAnsi="楷体_GB2312" w:eastAsia="楷体_GB2312" w:cs="楷体_GB2312"/>
          <w:b/>
          <w:sz w:val="32"/>
          <w:szCs w:val="32"/>
          <w:lang w:val="zh-CN" w:eastAsia="zh-CN"/>
        </w:rPr>
        <w:t>（三）</w:t>
      </w:r>
      <w:r>
        <w:rPr>
          <w:rFonts w:hint="default" w:ascii="楷体_GB2312" w:hAnsi="楷体_GB2312" w:eastAsia="楷体_GB2312" w:cs="楷体_GB2312"/>
          <w:b/>
          <w:sz w:val="32"/>
          <w:szCs w:val="32"/>
          <w:lang w:val="zh-CN" w:eastAsia="zh-CN"/>
        </w:rPr>
        <w:t>绩效结果应用情况</w:t>
      </w:r>
    </w:p>
    <w:p>
      <w:pPr>
        <w:pageBreakBefore w:val="0"/>
        <w:kinsoku/>
        <w:wordWrap/>
        <w:overflowPunct/>
        <w:topLinePunct w:val="0"/>
        <w:autoSpaceDE/>
        <w:autoSpaceDN/>
        <w:bidi w:val="0"/>
        <w:snapToGrid w:val="0"/>
        <w:spacing w:line="570" w:lineRule="exact"/>
        <w:ind w:firstLine="640" w:firstLineChars="20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zh-CN" w:eastAsia="zh-CN" w:bidi="ar-SA"/>
        </w:rPr>
        <w:t>1.</w:t>
      </w:r>
      <w:r>
        <w:rPr>
          <w:rFonts w:hint="default" w:ascii="仿宋_GB2312" w:hAnsi="仿宋_GB2312" w:eastAsia="仿宋_GB2312" w:cs="仿宋_GB2312"/>
          <w:kern w:val="2"/>
          <w:sz w:val="32"/>
          <w:szCs w:val="32"/>
          <w:lang w:val="en-US" w:eastAsia="zh-CN" w:bidi="ar-SA"/>
        </w:rPr>
        <w:t xml:space="preserve">内部应用情况 </w:t>
      </w:r>
    </w:p>
    <w:p>
      <w:pPr>
        <w:pStyle w:val="8"/>
        <w:pageBreakBefore w:val="0"/>
        <w:kinsoku/>
        <w:wordWrap/>
        <w:overflowPunct/>
        <w:topLinePunct w:val="0"/>
        <w:autoSpaceDE/>
        <w:autoSpaceDN/>
        <w:bidi w:val="0"/>
        <w:spacing w:line="570" w:lineRule="exact"/>
        <w:ind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通过绩效评价找准了病根，如预算编制精准度不够，绩效指标设置不够细化全面。我</w:t>
      </w:r>
      <w:r>
        <w:rPr>
          <w:rFonts w:hint="eastAsia" w:ascii="仿宋_GB2312" w:hAnsi="仿宋_GB2312" w:eastAsia="仿宋_GB2312" w:cs="仿宋_GB2312"/>
          <w:kern w:val="2"/>
          <w:sz w:val="32"/>
          <w:szCs w:val="32"/>
          <w:lang w:val="en-US" w:eastAsia="zh-CN" w:bidi="ar-SA"/>
        </w:rPr>
        <w:t>委</w:t>
      </w:r>
      <w:r>
        <w:rPr>
          <w:rFonts w:hint="default" w:ascii="仿宋_GB2312" w:hAnsi="仿宋_GB2312" w:eastAsia="仿宋_GB2312" w:cs="仿宋_GB2312"/>
          <w:kern w:val="2"/>
          <w:sz w:val="32"/>
          <w:szCs w:val="32"/>
          <w:lang w:val="en-US" w:eastAsia="zh-CN" w:bidi="ar-SA"/>
        </w:rPr>
        <w:t>通过全面掌握预算需求，细心测算预算需求等办法，逐年提高了预算编制的精准度；通过加强学习，提升业务能力等办法，2025年我局绩效目标设置更加细化、合理。</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xml:space="preserve">2. 信息公开情况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公开范围：绩效自评报告、重点项目评价结果已在部门官</w:t>
      </w:r>
    </w:p>
    <w:p>
      <w:pPr>
        <w:pStyle w:val="7"/>
        <w:pageBreakBefore w:val="0"/>
        <w:kinsoku/>
        <w:wordWrap/>
        <w:overflowPunct/>
        <w:topLinePunct w:val="0"/>
        <w:autoSpaceDE/>
        <w:autoSpaceDN/>
        <w:bidi w:val="0"/>
        <w:spacing w:after="0" w:line="570" w:lineRule="exact"/>
        <w:ind w:left="0" w:leftChars="0" w:firstLine="0" w:firstLineChars="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xml:space="preserve">网公示，但报告未细化至三级指标得分。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xml:space="preserve">公开时效：按要求在预算批复后20日内公开。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xml:space="preserve">3. 整改反馈情况  </w:t>
      </w:r>
    </w:p>
    <w:p>
      <w:pPr>
        <w:pStyle w:val="7"/>
        <w:pageBreakBefore w:val="0"/>
        <w:kinsoku/>
        <w:wordWrap/>
        <w:overflowPunct/>
        <w:topLinePunct w:val="0"/>
        <w:autoSpaceDE/>
        <w:autoSpaceDN/>
        <w:bidi w:val="0"/>
        <w:spacing w:after="0" w:line="570" w:lineRule="exact"/>
        <w:ind w:left="0" w:leftChars="0" w:firstLine="0" w:firstLineChars="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w:t>
      </w:r>
      <w:r>
        <w:rPr>
          <w:rFonts w:hint="default" w:ascii="仿宋_GB2312" w:hAnsi="仿宋_GB2312" w:eastAsia="仿宋_GB2312" w:cs="仿宋_GB2312"/>
          <w:kern w:val="2"/>
          <w:sz w:val="32"/>
          <w:szCs w:val="32"/>
          <w:lang w:val="en-US" w:eastAsia="zh-CN" w:bidi="ar-SA"/>
        </w:rPr>
        <w:t>问题整改：针对2024年</w:t>
      </w:r>
      <w:r>
        <w:rPr>
          <w:rFonts w:hint="eastAsia" w:ascii="仿宋_GB2312" w:hAnsi="仿宋_GB2312" w:eastAsia="仿宋_GB2312" w:cs="仿宋_GB2312"/>
          <w:kern w:val="2"/>
          <w:sz w:val="32"/>
          <w:szCs w:val="32"/>
          <w:lang w:val="en-US" w:eastAsia="zh-CN" w:bidi="ar-SA"/>
        </w:rPr>
        <w:t>无整改问题</w:t>
      </w:r>
      <w:r>
        <w:rPr>
          <w:rFonts w:hint="default" w:ascii="仿宋_GB2312" w:hAnsi="仿宋_GB2312" w:eastAsia="仿宋_GB2312" w:cs="仿宋_GB2312"/>
          <w:kern w:val="2"/>
          <w:sz w:val="32"/>
          <w:szCs w:val="32"/>
          <w:lang w:val="en-US" w:eastAsia="zh-CN" w:bidi="ar-SA"/>
        </w:rPr>
        <w:t xml:space="preserve">。  </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长效机制：建立“评价-反馈-整改-回头看”闭环管理流程，</w:t>
      </w:r>
    </w:p>
    <w:p>
      <w:pPr>
        <w:pStyle w:val="7"/>
        <w:pageBreakBefore w:val="0"/>
        <w:kinsoku/>
        <w:wordWrap/>
        <w:overflowPunct/>
        <w:topLinePunct w:val="0"/>
        <w:autoSpaceDE/>
        <w:autoSpaceDN/>
        <w:bidi w:val="0"/>
        <w:spacing w:after="0" w:line="570" w:lineRule="exact"/>
        <w:ind w:left="0" w:leftChars="0" w:firstLine="0" w:firstLineChars="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xml:space="preserve">每季度开展执行督查。  </w:t>
      </w:r>
    </w:p>
    <w:p>
      <w:pPr>
        <w:pageBreakBefore w:val="0"/>
        <w:widowControl/>
        <w:kinsoku/>
        <w:wordWrap/>
        <w:overflowPunct/>
        <w:topLinePunct w:val="0"/>
        <w:autoSpaceDE/>
        <w:autoSpaceDN/>
        <w:bidi w:val="0"/>
        <w:adjustRightInd w:val="0"/>
        <w:snapToGrid w:val="0"/>
        <w:spacing w:line="570" w:lineRule="exact"/>
        <w:ind w:firstLine="640" w:firstLineChars="200"/>
        <w:contextualSpacing/>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四、评价结论及建议</w:t>
      </w:r>
    </w:p>
    <w:p>
      <w:pPr>
        <w:pageBreakBefore w:val="0"/>
        <w:kinsoku/>
        <w:wordWrap/>
        <w:overflowPunct/>
        <w:topLinePunct w:val="0"/>
        <w:autoSpaceDE/>
        <w:autoSpaceDN/>
        <w:bidi w:val="0"/>
        <w:adjustRightInd w:val="0"/>
        <w:snapToGrid w:val="0"/>
        <w:spacing w:line="570" w:lineRule="exact"/>
        <w:ind w:firstLine="643" w:firstLineChars="200"/>
        <w:contextualSpacing/>
        <w:jc w:val="left"/>
        <w:rPr>
          <w:rFonts w:hint="default" w:ascii="楷体_GB2312" w:hAnsi="楷体_GB2312" w:eastAsia="楷体_GB2312" w:cs="楷体_GB2312"/>
          <w:b/>
          <w:sz w:val="32"/>
          <w:szCs w:val="32"/>
          <w:lang w:val="zh-CN" w:eastAsia="zh-CN"/>
        </w:rPr>
      </w:pPr>
      <w:r>
        <w:rPr>
          <w:rFonts w:hint="default" w:ascii="楷体_GB2312" w:hAnsi="楷体_GB2312" w:eastAsia="楷体_GB2312" w:cs="楷体_GB2312"/>
          <w:b/>
          <w:sz w:val="32"/>
          <w:szCs w:val="32"/>
          <w:lang w:val="zh-CN" w:eastAsia="zh-CN"/>
        </w:rPr>
        <w:t>（一）评价结论</w:t>
      </w:r>
    </w:p>
    <w:p>
      <w:pPr>
        <w:pageBreakBefore w:val="0"/>
        <w:widowControl/>
        <w:kinsoku/>
        <w:wordWrap/>
        <w:overflowPunct/>
        <w:topLinePunct w:val="0"/>
        <w:autoSpaceDE/>
        <w:autoSpaceDN/>
        <w:bidi w:val="0"/>
        <w:adjustRightInd w:val="0"/>
        <w:snapToGrid w:val="0"/>
        <w:spacing w:line="570" w:lineRule="exact"/>
        <w:ind w:firstLine="640" w:firstLineChars="200"/>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en-US" w:eastAsia="zh-CN" w:bidi="ar-SA"/>
        </w:rPr>
        <w:t>根据《红原县部门整体支出绩效评价指标体系》自查得分</w:t>
      </w:r>
      <w:r>
        <w:rPr>
          <w:rFonts w:hint="eastAsia" w:ascii="仿宋_GB2312" w:hAnsi="仿宋_GB2312" w:eastAsia="仿宋_GB2312" w:cs="仿宋_GB2312"/>
          <w:kern w:val="2"/>
          <w:sz w:val="32"/>
          <w:szCs w:val="32"/>
          <w:lang w:val="en-US" w:eastAsia="zh-CN" w:bidi="ar-SA"/>
        </w:rPr>
        <w:t>95.1</w:t>
      </w:r>
      <w:r>
        <w:rPr>
          <w:rFonts w:hint="default" w:ascii="仿宋_GB2312" w:hAnsi="仿宋_GB2312" w:eastAsia="仿宋_GB2312" w:cs="仿宋_GB2312"/>
          <w:kern w:val="2"/>
          <w:sz w:val="32"/>
          <w:szCs w:val="32"/>
          <w:lang w:val="en-US" w:eastAsia="zh-CN" w:bidi="ar-SA"/>
        </w:rPr>
        <w:t>分，总体评价较好。</w:t>
      </w:r>
    </w:p>
    <w:p>
      <w:pPr>
        <w:pageBreakBefore w:val="0"/>
        <w:kinsoku/>
        <w:wordWrap/>
        <w:overflowPunct/>
        <w:topLinePunct w:val="0"/>
        <w:autoSpaceDE/>
        <w:autoSpaceDN/>
        <w:bidi w:val="0"/>
        <w:adjustRightInd w:val="0"/>
        <w:snapToGrid w:val="0"/>
        <w:spacing w:line="570" w:lineRule="exact"/>
        <w:ind w:firstLine="643" w:firstLineChars="200"/>
        <w:contextualSpacing/>
        <w:jc w:val="left"/>
        <w:rPr>
          <w:rFonts w:hint="default" w:ascii="楷体_GB2312" w:hAnsi="楷体_GB2312" w:eastAsia="楷体_GB2312" w:cs="楷体_GB2312"/>
          <w:b/>
          <w:sz w:val="32"/>
          <w:szCs w:val="32"/>
          <w:lang w:val="zh-CN" w:eastAsia="zh-CN"/>
        </w:rPr>
      </w:pPr>
      <w:r>
        <w:rPr>
          <w:rFonts w:hint="default" w:ascii="楷体_GB2312" w:hAnsi="楷体_GB2312" w:eastAsia="楷体_GB2312" w:cs="楷体_GB2312"/>
          <w:b/>
          <w:sz w:val="32"/>
          <w:szCs w:val="32"/>
          <w:lang w:val="zh-CN" w:eastAsia="zh-CN"/>
        </w:rPr>
        <w:t>（二）存在问题</w:t>
      </w:r>
    </w:p>
    <w:p>
      <w:pPr>
        <w:pageBreakBefore w:val="0"/>
        <w:widowControl/>
        <w:kinsoku/>
        <w:wordWrap/>
        <w:overflowPunct/>
        <w:topLinePunct w:val="0"/>
        <w:autoSpaceDE/>
        <w:autoSpaceDN/>
        <w:bidi w:val="0"/>
        <w:adjustRightInd w:val="0"/>
        <w:snapToGrid w:val="0"/>
        <w:spacing w:line="570" w:lineRule="exact"/>
        <w:ind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预算编制不够精准，绩效目标设置不够细化、合理。</w:t>
      </w:r>
    </w:p>
    <w:p>
      <w:pPr>
        <w:pageBreakBefore w:val="0"/>
        <w:kinsoku/>
        <w:wordWrap/>
        <w:overflowPunct/>
        <w:topLinePunct w:val="0"/>
        <w:autoSpaceDE/>
        <w:autoSpaceDN/>
        <w:bidi w:val="0"/>
        <w:adjustRightInd w:val="0"/>
        <w:snapToGrid w:val="0"/>
        <w:spacing w:line="570" w:lineRule="exact"/>
        <w:ind w:firstLine="643" w:firstLineChars="200"/>
        <w:contextualSpacing/>
        <w:jc w:val="left"/>
        <w:rPr>
          <w:rFonts w:hint="default" w:ascii="楷体_GB2312" w:hAnsi="楷体_GB2312" w:eastAsia="楷体_GB2312" w:cs="楷体_GB2312"/>
          <w:b/>
          <w:sz w:val="32"/>
          <w:szCs w:val="32"/>
          <w:lang w:val="zh-CN" w:eastAsia="zh-CN"/>
        </w:rPr>
      </w:pPr>
      <w:r>
        <w:rPr>
          <w:rFonts w:hint="eastAsia" w:ascii="楷体_GB2312" w:hAnsi="楷体_GB2312" w:eastAsia="楷体_GB2312" w:cs="楷体_GB2312"/>
          <w:b/>
          <w:sz w:val="32"/>
          <w:szCs w:val="32"/>
          <w:lang w:val="zh-CN" w:eastAsia="zh-CN"/>
        </w:rPr>
        <w:t>（三）</w:t>
      </w:r>
      <w:r>
        <w:rPr>
          <w:rFonts w:hint="default" w:ascii="楷体_GB2312" w:hAnsi="楷体_GB2312" w:eastAsia="楷体_GB2312" w:cs="楷体_GB2312"/>
          <w:b/>
          <w:sz w:val="32"/>
          <w:szCs w:val="32"/>
          <w:lang w:val="zh-CN" w:eastAsia="zh-CN"/>
        </w:rPr>
        <w:t>改进建议</w:t>
      </w:r>
      <w:bookmarkStart w:id="107" w:name="_Hlk110546638"/>
    </w:p>
    <w:p>
      <w:pPr>
        <w:pageBreakBefore w:val="0"/>
        <w:widowControl/>
        <w:kinsoku/>
        <w:wordWrap/>
        <w:overflowPunct/>
        <w:topLinePunct w:val="0"/>
        <w:autoSpaceDE/>
        <w:autoSpaceDN/>
        <w:bidi w:val="0"/>
        <w:adjustRightInd w:val="0"/>
        <w:snapToGrid w:val="0"/>
        <w:spacing w:line="570" w:lineRule="exact"/>
        <w:ind w:firstLine="640" w:firstLineChars="200"/>
        <w:contextualSpacing/>
        <w:jc w:val="left"/>
        <w:rPr>
          <w:rFonts w:hint="default" w:ascii="仿宋_GB2312" w:hAnsi="仿宋_GB2312" w:eastAsia="仿宋_GB2312" w:cs="仿宋_GB2312"/>
          <w:kern w:val="2"/>
          <w:sz w:val="32"/>
          <w:szCs w:val="32"/>
          <w:lang w:val="zh-CN" w:eastAsia="zh-CN" w:bidi="ar-SA"/>
        </w:rPr>
      </w:pPr>
      <w:r>
        <w:rPr>
          <w:rFonts w:hint="default" w:ascii="仿宋_GB2312" w:hAnsi="仿宋_GB2312" w:eastAsia="仿宋_GB2312" w:cs="仿宋_GB2312"/>
          <w:kern w:val="2"/>
          <w:sz w:val="32"/>
          <w:szCs w:val="32"/>
          <w:lang w:val="en-US" w:eastAsia="zh-CN" w:bidi="ar-SA"/>
        </w:rPr>
        <w:t>一是全面统筹规划，细心核算各项经济成本，提高预算</w:t>
      </w:r>
    </w:p>
    <w:p>
      <w:pPr>
        <w:pStyle w:val="7"/>
        <w:pageBreakBefore w:val="0"/>
        <w:kinsoku/>
        <w:wordWrap/>
        <w:overflowPunct/>
        <w:topLinePunct w:val="0"/>
        <w:autoSpaceDE/>
        <w:autoSpaceDN/>
        <w:bidi w:val="0"/>
        <w:spacing w:after="0" w:line="570" w:lineRule="exact"/>
        <w:ind w:left="0" w:leftChars="0" w:firstLine="64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编制精准度。二是加强业务学习、培训，提升绩效管理应用能力。</w:t>
      </w:r>
    </w:p>
    <w:bookmarkEnd w:id="107"/>
    <w:p>
      <w:pPr>
        <w:pageBreakBefore w:val="0"/>
        <w:widowControl/>
        <w:kinsoku/>
        <w:wordWrap/>
        <w:overflowPunct/>
        <w:topLinePunct w:val="0"/>
        <w:bidi w:val="0"/>
        <w:spacing w:beforeAutospacing="0" w:afterAutospacing="0" w:line="576" w:lineRule="exact"/>
        <w:ind w:left="0" w:leftChars="0" w:right="0"/>
        <w:jc w:val="left"/>
        <w:rPr>
          <w:rFonts w:hint="eastAsia" w:ascii="仿宋_GB2312" w:hAnsi="仿宋_GB2312" w:eastAsia="仿宋_GB2312" w:cs="仿宋_GB2312"/>
          <w:sz w:val="44"/>
          <w:szCs w:val="44"/>
        </w:rPr>
      </w:pPr>
    </w:p>
    <w:p>
      <w:pPr>
        <w:pageBreakBefore w:val="0"/>
        <w:widowControl/>
        <w:kinsoku/>
        <w:wordWrap/>
        <w:overflowPunct/>
        <w:topLinePunct w:val="0"/>
        <w:bidi w:val="0"/>
        <w:spacing w:beforeAutospacing="0" w:afterAutospacing="0" w:line="576" w:lineRule="exact"/>
        <w:ind w:left="0" w:leftChars="0" w:right="0"/>
        <w:jc w:val="center"/>
        <w:rPr>
          <w:rStyle w:val="20"/>
          <w:rFonts w:hint="eastAsia" w:ascii="仿宋_GB2312" w:hAnsi="仿宋_GB2312" w:eastAsia="仿宋_GB2312" w:cs="仿宋_GB2312"/>
          <w:b w:val="0"/>
        </w:rPr>
      </w:pPr>
      <w:r>
        <w:rPr>
          <w:rFonts w:hint="eastAsia" w:ascii="方正小标宋简体" w:hAnsi="方正小标宋简体" w:eastAsia="方正小标宋简体" w:cs="方正小标宋简体"/>
          <w:sz w:val="44"/>
          <w:szCs w:val="44"/>
        </w:rPr>
        <w:t>第</w:t>
      </w:r>
      <w:r>
        <w:rPr>
          <w:rStyle w:val="20"/>
          <w:rFonts w:hint="eastAsia" w:ascii="方正小标宋简体" w:hAnsi="方正小标宋简体" w:eastAsia="方正小标宋简体" w:cs="方正小标宋简体"/>
          <w:b w:val="0"/>
          <w:sz w:val="44"/>
          <w:szCs w:val="44"/>
        </w:rPr>
        <w:t>五部分 附表</w:t>
      </w:r>
      <w:bookmarkEnd w:id="62"/>
      <w:bookmarkEnd w:id="103"/>
      <w:bookmarkEnd w:id="104"/>
      <w:bookmarkStart w:id="108" w:name="_Toc15396619"/>
      <w:bookmarkStart w:id="109" w:name="_Toc7114"/>
      <w:bookmarkStart w:id="110" w:name="_Toc9836"/>
    </w:p>
    <w:p>
      <w:pPr>
        <w:pageBreakBefore w:val="0"/>
        <w:widowControl/>
        <w:kinsoku/>
        <w:wordWrap/>
        <w:overflowPunct/>
        <w:topLinePunct w:val="0"/>
        <w:bidi w:val="0"/>
        <w:spacing w:beforeAutospacing="0" w:afterAutospacing="0" w:line="576" w:lineRule="exact"/>
        <w:ind w:left="0" w:leftChars="0" w:right="0"/>
        <w:jc w:val="left"/>
        <w:rPr>
          <w:rStyle w:val="21"/>
          <w:rFonts w:hint="eastAsia" w:ascii="仿宋_GB2312" w:hAnsi="仿宋_GB2312" w:eastAsia="仿宋_GB2312" w:cs="仿宋_GB2312"/>
        </w:rPr>
      </w:pPr>
    </w:p>
    <w:p>
      <w:pPr>
        <w:pageBreakBefore w:val="0"/>
        <w:widowControl/>
        <w:kinsoku/>
        <w:wordWrap/>
        <w:overflowPunct/>
        <w:topLinePunct w:val="0"/>
        <w:bidi w:val="0"/>
        <w:spacing w:beforeAutospacing="0" w:afterAutospacing="0" w:line="576" w:lineRule="exact"/>
        <w:ind w:left="0" w:leftChars="0" w:right="0"/>
        <w:jc w:val="left"/>
        <w:rPr>
          <w:rStyle w:val="21"/>
          <w:rFonts w:hint="eastAsia" w:ascii="仿宋_GB2312" w:hAnsi="仿宋_GB2312" w:eastAsia="仿宋_GB2312" w:cs="仿宋_GB2312"/>
        </w:rPr>
      </w:pPr>
      <w:r>
        <w:rPr>
          <w:rStyle w:val="21"/>
          <w:rFonts w:hint="eastAsia" w:ascii="仿宋_GB2312" w:hAnsi="仿宋_GB2312" w:eastAsia="仿宋_GB2312" w:cs="仿宋_GB2312"/>
        </w:rPr>
        <w:t>一、收入支出决算总表</w:t>
      </w:r>
      <w:bookmarkEnd w:id="108"/>
      <w:bookmarkEnd w:id="109"/>
      <w:bookmarkEnd w:id="110"/>
      <w:bookmarkStart w:id="111" w:name="_Toc5275"/>
      <w:bookmarkStart w:id="112" w:name="_Toc15396620"/>
      <w:bookmarkStart w:id="113" w:name="_Toc31850"/>
    </w:p>
    <w:p>
      <w:pPr>
        <w:pageBreakBefore w:val="0"/>
        <w:widowControl/>
        <w:kinsoku/>
        <w:wordWrap/>
        <w:overflowPunct/>
        <w:topLinePunct w:val="0"/>
        <w:bidi w:val="0"/>
        <w:spacing w:beforeAutospacing="0" w:afterAutospacing="0" w:line="576" w:lineRule="exact"/>
        <w:ind w:left="0" w:leftChars="0" w:right="0"/>
        <w:jc w:val="left"/>
        <w:rPr>
          <w:rStyle w:val="21"/>
          <w:rFonts w:hint="eastAsia" w:ascii="仿宋_GB2312" w:hAnsi="仿宋_GB2312" w:eastAsia="仿宋_GB2312" w:cs="仿宋_GB2312"/>
        </w:rPr>
      </w:pPr>
      <w:r>
        <w:rPr>
          <w:rStyle w:val="21"/>
          <w:rFonts w:hint="eastAsia" w:ascii="仿宋_GB2312" w:hAnsi="仿宋_GB2312" w:eastAsia="仿宋_GB2312" w:cs="仿宋_GB2312"/>
        </w:rPr>
        <w:t>二、收入决算表</w:t>
      </w:r>
      <w:bookmarkEnd w:id="111"/>
      <w:bookmarkEnd w:id="112"/>
      <w:bookmarkEnd w:id="113"/>
      <w:bookmarkStart w:id="114" w:name="_Toc22743"/>
      <w:bookmarkStart w:id="115" w:name="_Toc15396621"/>
      <w:bookmarkStart w:id="116" w:name="_Toc15012"/>
    </w:p>
    <w:p>
      <w:pPr>
        <w:pageBreakBefore w:val="0"/>
        <w:widowControl/>
        <w:kinsoku/>
        <w:wordWrap/>
        <w:overflowPunct/>
        <w:topLinePunct w:val="0"/>
        <w:bidi w:val="0"/>
        <w:spacing w:beforeAutospacing="0" w:afterAutospacing="0" w:line="576" w:lineRule="exact"/>
        <w:ind w:left="0" w:leftChars="0" w:right="0"/>
        <w:jc w:val="left"/>
        <w:rPr>
          <w:rStyle w:val="21"/>
          <w:rFonts w:hint="eastAsia" w:ascii="仿宋_GB2312" w:hAnsi="仿宋_GB2312" w:eastAsia="仿宋_GB2312" w:cs="仿宋_GB2312"/>
        </w:rPr>
      </w:pPr>
      <w:r>
        <w:rPr>
          <w:rStyle w:val="21"/>
          <w:rFonts w:hint="eastAsia" w:ascii="仿宋_GB2312" w:hAnsi="仿宋_GB2312" w:eastAsia="仿宋_GB2312" w:cs="仿宋_GB2312"/>
        </w:rPr>
        <w:t>三、支出决算表</w:t>
      </w:r>
      <w:bookmarkEnd w:id="114"/>
      <w:bookmarkEnd w:id="115"/>
      <w:bookmarkEnd w:id="116"/>
      <w:bookmarkStart w:id="117" w:name="_Toc2325"/>
      <w:bookmarkStart w:id="118" w:name="_Toc3319"/>
      <w:bookmarkStart w:id="119" w:name="_Toc15396622"/>
    </w:p>
    <w:p>
      <w:pPr>
        <w:pageBreakBefore w:val="0"/>
        <w:widowControl/>
        <w:kinsoku/>
        <w:wordWrap/>
        <w:overflowPunct/>
        <w:topLinePunct w:val="0"/>
        <w:bidi w:val="0"/>
        <w:spacing w:beforeAutospacing="0" w:afterAutospacing="0" w:line="576" w:lineRule="exact"/>
        <w:ind w:left="0" w:leftChars="0" w:right="0"/>
        <w:jc w:val="left"/>
        <w:rPr>
          <w:rStyle w:val="21"/>
          <w:rFonts w:hint="eastAsia" w:ascii="仿宋_GB2312" w:hAnsi="仿宋_GB2312" w:eastAsia="仿宋_GB2312" w:cs="仿宋_GB2312"/>
          <w:bCs w:val="0"/>
        </w:rPr>
      </w:pPr>
      <w:r>
        <w:rPr>
          <w:rStyle w:val="21"/>
          <w:rFonts w:hint="eastAsia" w:ascii="仿宋_GB2312" w:hAnsi="仿宋_GB2312" w:eastAsia="仿宋_GB2312" w:cs="仿宋_GB2312"/>
          <w:bCs w:val="0"/>
        </w:rPr>
        <w:t>四、财政拨款收入支出决算总表</w:t>
      </w:r>
      <w:bookmarkEnd w:id="117"/>
      <w:bookmarkEnd w:id="118"/>
      <w:bookmarkEnd w:id="119"/>
      <w:bookmarkStart w:id="120" w:name="_Toc9871"/>
      <w:bookmarkStart w:id="121" w:name="_Toc17946"/>
      <w:bookmarkStart w:id="122" w:name="_Toc15396623"/>
    </w:p>
    <w:p>
      <w:pPr>
        <w:pageBreakBefore w:val="0"/>
        <w:widowControl/>
        <w:kinsoku/>
        <w:wordWrap/>
        <w:overflowPunct/>
        <w:topLinePunct w:val="0"/>
        <w:bidi w:val="0"/>
        <w:spacing w:beforeAutospacing="0" w:afterAutospacing="0" w:line="576" w:lineRule="exact"/>
        <w:ind w:left="0" w:leftChars="0" w:right="0"/>
        <w:jc w:val="left"/>
        <w:rPr>
          <w:rStyle w:val="21"/>
          <w:rFonts w:hint="eastAsia" w:ascii="仿宋_GB2312" w:hAnsi="仿宋_GB2312" w:eastAsia="仿宋_GB2312" w:cs="仿宋_GB2312"/>
          <w:bCs w:val="0"/>
        </w:rPr>
      </w:pPr>
      <w:r>
        <w:rPr>
          <w:rStyle w:val="21"/>
          <w:rFonts w:hint="eastAsia" w:ascii="仿宋_GB2312" w:hAnsi="仿宋_GB2312" w:eastAsia="仿宋_GB2312" w:cs="仿宋_GB2312"/>
          <w:bCs w:val="0"/>
        </w:rPr>
        <w:t>五、</w:t>
      </w:r>
      <w:r>
        <w:rPr>
          <w:rStyle w:val="21"/>
          <w:rFonts w:hint="eastAsia" w:ascii="仿宋_GB2312" w:hAnsi="仿宋_GB2312" w:eastAsia="仿宋_GB2312" w:cs="仿宋_GB2312"/>
        </w:rPr>
        <w:t>财</w:t>
      </w:r>
      <w:r>
        <w:rPr>
          <w:rStyle w:val="21"/>
          <w:rFonts w:hint="eastAsia" w:ascii="仿宋_GB2312" w:hAnsi="仿宋_GB2312" w:eastAsia="仿宋_GB2312" w:cs="仿宋_GB2312"/>
          <w:bCs w:val="0"/>
        </w:rPr>
        <w:t>政拨款支出决算明细表</w:t>
      </w:r>
      <w:bookmarkEnd w:id="120"/>
      <w:bookmarkEnd w:id="121"/>
      <w:bookmarkEnd w:id="122"/>
      <w:bookmarkStart w:id="123" w:name="_Toc2800"/>
      <w:bookmarkStart w:id="124" w:name="_Toc15396624"/>
      <w:bookmarkStart w:id="125" w:name="_Toc20117"/>
    </w:p>
    <w:p>
      <w:pPr>
        <w:pageBreakBefore w:val="0"/>
        <w:widowControl/>
        <w:kinsoku/>
        <w:wordWrap/>
        <w:overflowPunct/>
        <w:topLinePunct w:val="0"/>
        <w:bidi w:val="0"/>
        <w:spacing w:beforeAutospacing="0" w:afterAutospacing="0" w:line="576" w:lineRule="exact"/>
        <w:ind w:left="0" w:leftChars="0" w:right="0"/>
        <w:jc w:val="left"/>
        <w:rPr>
          <w:rStyle w:val="21"/>
          <w:rFonts w:hint="eastAsia" w:ascii="仿宋_GB2312" w:hAnsi="仿宋_GB2312" w:eastAsia="仿宋_GB2312" w:cs="仿宋_GB2312"/>
        </w:rPr>
      </w:pPr>
      <w:r>
        <w:rPr>
          <w:rStyle w:val="21"/>
          <w:rFonts w:hint="eastAsia" w:ascii="仿宋_GB2312" w:hAnsi="仿宋_GB2312" w:eastAsia="仿宋_GB2312" w:cs="仿宋_GB2312"/>
          <w:bCs w:val="0"/>
        </w:rPr>
        <w:t>六、</w:t>
      </w:r>
      <w:r>
        <w:rPr>
          <w:rStyle w:val="21"/>
          <w:rFonts w:hint="eastAsia" w:ascii="仿宋_GB2312" w:hAnsi="仿宋_GB2312" w:eastAsia="仿宋_GB2312" w:cs="仿宋_GB2312"/>
          <w:b w:val="0"/>
        </w:rPr>
        <w:t>一</w:t>
      </w:r>
      <w:r>
        <w:rPr>
          <w:rStyle w:val="21"/>
          <w:rFonts w:hint="eastAsia" w:ascii="仿宋_GB2312" w:hAnsi="仿宋_GB2312" w:eastAsia="仿宋_GB2312" w:cs="仿宋_GB2312"/>
          <w:bCs w:val="0"/>
        </w:rPr>
        <w:t>般公共预算财政拨款支出决算表</w:t>
      </w:r>
      <w:bookmarkEnd w:id="123"/>
      <w:bookmarkEnd w:id="124"/>
      <w:bookmarkEnd w:id="125"/>
    </w:p>
    <w:p>
      <w:pPr>
        <w:pStyle w:val="4"/>
        <w:pageBreakBefore w:val="0"/>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b w:val="0"/>
        </w:rPr>
      </w:pPr>
      <w:bookmarkStart w:id="126" w:name="_Toc10733"/>
      <w:bookmarkStart w:id="127" w:name="_Toc29704"/>
      <w:bookmarkStart w:id="128" w:name="_Toc15396625"/>
      <w:r>
        <w:rPr>
          <w:rStyle w:val="21"/>
          <w:rFonts w:hint="eastAsia" w:ascii="仿宋_GB2312" w:hAnsi="仿宋_GB2312" w:eastAsia="仿宋_GB2312" w:cs="仿宋_GB2312"/>
          <w:b/>
          <w:bCs w:val="0"/>
        </w:rPr>
        <w:t>七、</w:t>
      </w:r>
      <w:r>
        <w:rPr>
          <w:rFonts w:hint="eastAsia" w:ascii="仿宋_GB2312" w:hAnsi="仿宋_GB2312" w:eastAsia="仿宋_GB2312" w:cs="仿宋_GB2312"/>
          <w:b w:val="0"/>
        </w:rPr>
        <w:t>一</w:t>
      </w:r>
      <w:r>
        <w:rPr>
          <w:rStyle w:val="21"/>
          <w:rFonts w:hint="eastAsia" w:ascii="仿宋_GB2312" w:hAnsi="仿宋_GB2312" w:eastAsia="仿宋_GB2312" w:cs="仿宋_GB2312"/>
          <w:b/>
          <w:bCs w:val="0"/>
        </w:rPr>
        <w:t>般公共预算财政拨款支出决算明细表</w:t>
      </w:r>
      <w:bookmarkEnd w:id="126"/>
      <w:bookmarkEnd w:id="127"/>
      <w:bookmarkEnd w:id="128"/>
    </w:p>
    <w:p>
      <w:pPr>
        <w:pStyle w:val="4"/>
        <w:pageBreakBefore w:val="0"/>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b w:val="0"/>
        </w:rPr>
      </w:pPr>
      <w:bookmarkStart w:id="129" w:name="_Toc15396626"/>
      <w:bookmarkStart w:id="130" w:name="_Toc8432"/>
      <w:bookmarkStart w:id="131" w:name="_Toc30543"/>
      <w:r>
        <w:rPr>
          <w:rStyle w:val="21"/>
          <w:rFonts w:hint="eastAsia" w:ascii="仿宋_GB2312" w:hAnsi="仿宋_GB2312" w:eastAsia="仿宋_GB2312" w:cs="仿宋_GB2312"/>
          <w:b/>
          <w:bCs w:val="0"/>
        </w:rPr>
        <w:t>八、</w:t>
      </w:r>
      <w:r>
        <w:rPr>
          <w:rFonts w:hint="eastAsia" w:ascii="仿宋_GB2312" w:hAnsi="仿宋_GB2312" w:eastAsia="仿宋_GB2312" w:cs="仿宋_GB2312"/>
          <w:b w:val="0"/>
        </w:rPr>
        <w:t>一</w:t>
      </w:r>
      <w:r>
        <w:rPr>
          <w:rStyle w:val="21"/>
          <w:rFonts w:hint="eastAsia" w:ascii="仿宋_GB2312" w:hAnsi="仿宋_GB2312" w:eastAsia="仿宋_GB2312" w:cs="仿宋_GB2312"/>
          <w:b/>
          <w:bCs w:val="0"/>
        </w:rPr>
        <w:t>般公共预算财政拨款基本支出决算表</w:t>
      </w:r>
      <w:bookmarkEnd w:id="129"/>
      <w:bookmarkEnd w:id="130"/>
      <w:bookmarkEnd w:id="131"/>
    </w:p>
    <w:p>
      <w:pPr>
        <w:pStyle w:val="4"/>
        <w:pageBreakBefore w:val="0"/>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b w:val="0"/>
        </w:rPr>
      </w:pPr>
      <w:bookmarkStart w:id="132" w:name="_Toc10916"/>
      <w:bookmarkStart w:id="133" w:name="_Toc15396627"/>
      <w:bookmarkStart w:id="134" w:name="_Toc28168"/>
      <w:r>
        <w:rPr>
          <w:rStyle w:val="21"/>
          <w:rFonts w:hint="eastAsia" w:ascii="仿宋_GB2312" w:hAnsi="仿宋_GB2312" w:eastAsia="仿宋_GB2312" w:cs="仿宋_GB2312"/>
          <w:b/>
          <w:bCs w:val="0"/>
        </w:rPr>
        <w:t>九、</w:t>
      </w:r>
      <w:r>
        <w:rPr>
          <w:rFonts w:hint="eastAsia" w:ascii="仿宋_GB2312" w:hAnsi="仿宋_GB2312" w:eastAsia="仿宋_GB2312" w:cs="仿宋_GB2312"/>
          <w:b w:val="0"/>
        </w:rPr>
        <w:t>一</w:t>
      </w:r>
      <w:r>
        <w:rPr>
          <w:rStyle w:val="21"/>
          <w:rFonts w:hint="eastAsia" w:ascii="仿宋_GB2312" w:hAnsi="仿宋_GB2312" w:eastAsia="仿宋_GB2312" w:cs="仿宋_GB2312"/>
          <w:b/>
          <w:bCs w:val="0"/>
        </w:rPr>
        <w:t>般公共预算财政拨款项目支出决算表</w:t>
      </w:r>
      <w:bookmarkEnd w:id="132"/>
      <w:bookmarkEnd w:id="133"/>
      <w:bookmarkEnd w:id="134"/>
    </w:p>
    <w:p>
      <w:pPr>
        <w:pStyle w:val="4"/>
        <w:pageBreakBefore w:val="0"/>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b w:val="0"/>
        </w:rPr>
      </w:pPr>
      <w:bookmarkStart w:id="135" w:name="_Toc15396628"/>
      <w:bookmarkStart w:id="136" w:name="_Toc13791"/>
      <w:bookmarkStart w:id="137" w:name="_Toc16699"/>
      <w:r>
        <w:rPr>
          <w:rStyle w:val="21"/>
          <w:rFonts w:hint="eastAsia" w:ascii="仿宋_GB2312" w:hAnsi="仿宋_GB2312" w:eastAsia="仿宋_GB2312" w:cs="仿宋_GB2312"/>
          <w:b/>
          <w:bCs w:val="0"/>
        </w:rPr>
        <w:t>十、</w:t>
      </w:r>
      <w:bookmarkEnd w:id="135"/>
      <w:r>
        <w:rPr>
          <w:rFonts w:hint="eastAsia" w:ascii="仿宋_GB2312" w:hAnsi="仿宋_GB2312" w:eastAsia="仿宋_GB2312" w:cs="仿宋_GB2312"/>
        </w:rPr>
        <w:t>政</w:t>
      </w:r>
      <w:r>
        <w:rPr>
          <w:rStyle w:val="21"/>
          <w:rFonts w:hint="eastAsia" w:ascii="仿宋_GB2312" w:hAnsi="仿宋_GB2312" w:eastAsia="仿宋_GB2312" w:cs="仿宋_GB2312"/>
          <w:b/>
          <w:bCs w:val="0"/>
        </w:rPr>
        <w:t>府性基金预算财政拨款收入支出决算表</w:t>
      </w:r>
      <w:bookmarkEnd w:id="136"/>
      <w:bookmarkEnd w:id="137"/>
    </w:p>
    <w:p>
      <w:pPr>
        <w:pStyle w:val="4"/>
        <w:pageBreakBefore w:val="0"/>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b w:val="0"/>
        </w:rPr>
      </w:pPr>
      <w:bookmarkStart w:id="138" w:name="_Toc15396629"/>
      <w:bookmarkStart w:id="139" w:name="_Toc4423"/>
      <w:bookmarkStart w:id="140" w:name="_Toc8848"/>
      <w:r>
        <w:rPr>
          <w:rStyle w:val="21"/>
          <w:rFonts w:hint="eastAsia" w:ascii="仿宋_GB2312" w:hAnsi="仿宋_GB2312" w:eastAsia="仿宋_GB2312" w:cs="仿宋_GB2312"/>
          <w:b/>
          <w:bCs w:val="0"/>
        </w:rPr>
        <w:t>十一、</w:t>
      </w:r>
      <w:bookmarkEnd w:id="138"/>
      <w:r>
        <w:rPr>
          <w:rFonts w:hint="eastAsia" w:ascii="仿宋_GB2312" w:hAnsi="仿宋_GB2312" w:eastAsia="仿宋_GB2312" w:cs="仿宋_GB2312"/>
        </w:rPr>
        <w:t>国</w:t>
      </w:r>
      <w:r>
        <w:rPr>
          <w:rStyle w:val="21"/>
          <w:rFonts w:hint="eastAsia" w:ascii="仿宋_GB2312" w:hAnsi="仿宋_GB2312" w:eastAsia="仿宋_GB2312" w:cs="仿宋_GB2312"/>
          <w:b/>
          <w:bCs w:val="0"/>
        </w:rPr>
        <w:t>有资本经营预算财政拨款收入支出决算表</w:t>
      </w:r>
      <w:bookmarkEnd w:id="139"/>
      <w:bookmarkEnd w:id="140"/>
    </w:p>
    <w:p>
      <w:pPr>
        <w:pStyle w:val="4"/>
        <w:pageBreakBefore w:val="0"/>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b w:val="0"/>
        </w:rPr>
      </w:pPr>
      <w:bookmarkStart w:id="141" w:name="_Toc15396630"/>
      <w:bookmarkStart w:id="142" w:name="_Toc3767"/>
      <w:bookmarkStart w:id="143" w:name="_Toc375"/>
      <w:r>
        <w:rPr>
          <w:rStyle w:val="21"/>
          <w:rFonts w:hint="eastAsia" w:ascii="仿宋_GB2312" w:hAnsi="仿宋_GB2312" w:eastAsia="仿宋_GB2312" w:cs="仿宋_GB2312"/>
          <w:b/>
          <w:bCs w:val="0"/>
        </w:rPr>
        <w:t>十二、</w:t>
      </w:r>
      <w:bookmarkEnd w:id="141"/>
      <w:r>
        <w:rPr>
          <w:rStyle w:val="21"/>
          <w:rFonts w:hint="eastAsia" w:ascii="仿宋_GB2312" w:hAnsi="仿宋_GB2312" w:eastAsia="仿宋_GB2312" w:cs="仿宋_GB2312"/>
          <w:b/>
          <w:bCs w:val="0"/>
        </w:rPr>
        <w:t>国有资本经营预算财政拨款支出决算表</w:t>
      </w:r>
      <w:bookmarkEnd w:id="142"/>
      <w:bookmarkEnd w:id="143"/>
    </w:p>
    <w:p>
      <w:pPr>
        <w:pStyle w:val="4"/>
        <w:pageBreakBefore w:val="0"/>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b w:val="0"/>
        </w:rPr>
      </w:pPr>
      <w:bookmarkStart w:id="144" w:name="_Toc15396631"/>
      <w:bookmarkStart w:id="145" w:name="_Toc6173"/>
      <w:bookmarkStart w:id="146" w:name="_Toc23427"/>
      <w:r>
        <w:rPr>
          <w:rStyle w:val="21"/>
          <w:rFonts w:hint="eastAsia" w:ascii="仿宋_GB2312" w:hAnsi="仿宋_GB2312" w:eastAsia="仿宋_GB2312" w:cs="仿宋_GB2312"/>
          <w:b/>
          <w:bCs w:val="0"/>
        </w:rPr>
        <w:t>十三、</w:t>
      </w:r>
      <w:bookmarkEnd w:id="144"/>
      <w:r>
        <w:rPr>
          <w:rStyle w:val="21"/>
          <w:rFonts w:hint="eastAsia" w:ascii="仿宋_GB2312" w:hAnsi="仿宋_GB2312" w:eastAsia="仿宋_GB2312" w:cs="仿宋_GB2312"/>
          <w:b/>
          <w:bCs w:val="0"/>
        </w:rPr>
        <w:t>财政拨款“三公”经费支出决算表</w:t>
      </w:r>
      <w:bookmarkEnd w:id="145"/>
      <w:bookmarkEnd w:id="146"/>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1616354"/>
    </w:sdtPr>
    <w:sdtContent>
      <w:p>
        <w:pPr>
          <w:pStyle w:val="11"/>
          <w:jc w:val="center"/>
        </w:pPr>
        <w:r>
          <w:fldChar w:fldCharType="begin"/>
        </w:r>
        <w:r>
          <w:instrText xml:space="preserve">PAGE   \* MERGEFORMAT</w:instrText>
        </w:r>
        <w:r>
          <w:fldChar w:fldCharType="separate"/>
        </w:r>
        <w:r>
          <w:rPr>
            <w:lang w:val="zh-CN"/>
          </w:rPr>
          <w:t>41</w:t>
        </w:r>
        <w:r>
          <w:rPr>
            <w:lang w:val="zh-CN"/>
          </w:rP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CD83B3"/>
    <w:multiLevelType w:val="singleLevel"/>
    <w:tmpl w:val="A6CD83B3"/>
    <w:lvl w:ilvl="0" w:tentative="0">
      <w:start w:val="3"/>
      <w:numFmt w:val="decimal"/>
      <w:suff w:val="nothing"/>
      <w:lvlText w:val="（%1）"/>
      <w:lvlJc w:val="left"/>
      <w:pPr>
        <w:ind w:left="-13"/>
      </w:pPr>
      <w:rPr>
        <w:rFonts w:hint="default"/>
        <w:b w:val="0"/>
        <w:bCs w:val="0"/>
      </w:rPr>
    </w:lvl>
  </w:abstractNum>
  <w:abstractNum w:abstractNumId="1">
    <w:nsid w:val="C556A62E"/>
    <w:multiLevelType w:val="singleLevel"/>
    <w:tmpl w:val="C556A62E"/>
    <w:lvl w:ilvl="0" w:tentative="0">
      <w:start w:val="10"/>
      <w:numFmt w:val="decimal"/>
      <w:lvlText w:val="%1."/>
      <w:lvlJc w:val="left"/>
      <w:pPr>
        <w:tabs>
          <w:tab w:val="left" w:pos="312"/>
        </w:tabs>
        <w:ind w:left="713" w:leftChars="0" w:firstLine="0" w:firstLineChars="0"/>
      </w:pPr>
    </w:lvl>
  </w:abstractNum>
  <w:abstractNum w:abstractNumId="2">
    <w:nsid w:val="2748DCD5"/>
    <w:multiLevelType w:val="singleLevel"/>
    <w:tmpl w:val="2748DCD5"/>
    <w:lvl w:ilvl="0" w:tentative="0">
      <w:start w:val="1"/>
      <w:numFmt w:val="decimal"/>
      <w:lvlText w:val="%1."/>
      <w:lvlJc w:val="left"/>
      <w:pPr>
        <w:tabs>
          <w:tab w:val="left" w:pos="312"/>
        </w:tabs>
      </w:pPr>
    </w:lvl>
  </w:abstractNum>
  <w:abstractNum w:abstractNumId="3">
    <w:nsid w:val="355685C0"/>
    <w:multiLevelType w:val="singleLevel"/>
    <w:tmpl w:val="355685C0"/>
    <w:lvl w:ilvl="0" w:tentative="0">
      <w:start w:val="1"/>
      <w:numFmt w:val="chineseCounting"/>
      <w:suff w:val="nothing"/>
      <w:lvlText w:val="（%1）"/>
      <w:lvlJc w:val="left"/>
      <w:rPr>
        <w:rFonts w:hint="eastAsia"/>
      </w:rPr>
    </w:lvl>
  </w:abstractNum>
  <w:abstractNum w:abstractNumId="4">
    <w:nsid w:val="4B5E5050"/>
    <w:multiLevelType w:val="singleLevel"/>
    <w:tmpl w:val="4B5E5050"/>
    <w:lvl w:ilvl="0" w:tentative="0">
      <w:start w:val="1"/>
      <w:numFmt w:val="chineseCounting"/>
      <w:suff w:val="nothing"/>
      <w:lvlText w:val="%1、"/>
      <w:lvlJc w:val="left"/>
      <w:rPr>
        <w:rFonts w:hint="eastAsia"/>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4MjcyOTYyZDA5NDY1NWNjNTFiMzMxYzU1MGI5OTMifQ=="/>
  </w:docVars>
  <w:rsids>
    <w:rsidRoot w:val="005346C9"/>
    <w:rsid w:val="000A2A85"/>
    <w:rsid w:val="0012553C"/>
    <w:rsid w:val="00132658"/>
    <w:rsid w:val="001662D7"/>
    <w:rsid w:val="00166AF0"/>
    <w:rsid w:val="00172F1F"/>
    <w:rsid w:val="002268D5"/>
    <w:rsid w:val="00281B0C"/>
    <w:rsid w:val="00287C0F"/>
    <w:rsid w:val="002974AB"/>
    <w:rsid w:val="002C1B69"/>
    <w:rsid w:val="002C46A8"/>
    <w:rsid w:val="00363A17"/>
    <w:rsid w:val="003648C3"/>
    <w:rsid w:val="003711DC"/>
    <w:rsid w:val="00376B42"/>
    <w:rsid w:val="00395B29"/>
    <w:rsid w:val="003C23B0"/>
    <w:rsid w:val="003F22F1"/>
    <w:rsid w:val="003F4E06"/>
    <w:rsid w:val="00433CE9"/>
    <w:rsid w:val="00467236"/>
    <w:rsid w:val="0048005A"/>
    <w:rsid w:val="004D6E15"/>
    <w:rsid w:val="005008E7"/>
    <w:rsid w:val="005346C9"/>
    <w:rsid w:val="00547990"/>
    <w:rsid w:val="0055022C"/>
    <w:rsid w:val="00586402"/>
    <w:rsid w:val="005A32FC"/>
    <w:rsid w:val="005B2993"/>
    <w:rsid w:val="006100A8"/>
    <w:rsid w:val="006F6D05"/>
    <w:rsid w:val="00741B8C"/>
    <w:rsid w:val="00787105"/>
    <w:rsid w:val="007A5135"/>
    <w:rsid w:val="007C6D18"/>
    <w:rsid w:val="007D5FBD"/>
    <w:rsid w:val="007F05C1"/>
    <w:rsid w:val="008509E5"/>
    <w:rsid w:val="00860AD7"/>
    <w:rsid w:val="00874302"/>
    <w:rsid w:val="00877593"/>
    <w:rsid w:val="0091548A"/>
    <w:rsid w:val="009348A7"/>
    <w:rsid w:val="00936682"/>
    <w:rsid w:val="009376E7"/>
    <w:rsid w:val="00937BAA"/>
    <w:rsid w:val="0099491A"/>
    <w:rsid w:val="0099706C"/>
    <w:rsid w:val="009A1ABB"/>
    <w:rsid w:val="009B63BE"/>
    <w:rsid w:val="00B04FEA"/>
    <w:rsid w:val="00BA29E1"/>
    <w:rsid w:val="00BD043A"/>
    <w:rsid w:val="00BD15AE"/>
    <w:rsid w:val="00C5407F"/>
    <w:rsid w:val="00C6299F"/>
    <w:rsid w:val="00CF0940"/>
    <w:rsid w:val="00D54107"/>
    <w:rsid w:val="00DA4586"/>
    <w:rsid w:val="00DE1488"/>
    <w:rsid w:val="00E21D63"/>
    <w:rsid w:val="00E54145"/>
    <w:rsid w:val="00EA28F2"/>
    <w:rsid w:val="00EA3B8B"/>
    <w:rsid w:val="00EB56EB"/>
    <w:rsid w:val="00F1191B"/>
    <w:rsid w:val="024A3003"/>
    <w:rsid w:val="02810A7C"/>
    <w:rsid w:val="02A824AD"/>
    <w:rsid w:val="02C16A01"/>
    <w:rsid w:val="02F072F1"/>
    <w:rsid w:val="0305345B"/>
    <w:rsid w:val="04261CDD"/>
    <w:rsid w:val="04522421"/>
    <w:rsid w:val="04966BE4"/>
    <w:rsid w:val="049F6D49"/>
    <w:rsid w:val="05253F5F"/>
    <w:rsid w:val="070F74CD"/>
    <w:rsid w:val="0808742E"/>
    <w:rsid w:val="081128A2"/>
    <w:rsid w:val="08E07D65"/>
    <w:rsid w:val="09890A21"/>
    <w:rsid w:val="09C13E54"/>
    <w:rsid w:val="0A281ACE"/>
    <w:rsid w:val="0A2824F5"/>
    <w:rsid w:val="0AEF5D5B"/>
    <w:rsid w:val="0B81081E"/>
    <w:rsid w:val="0C272694"/>
    <w:rsid w:val="0C804E47"/>
    <w:rsid w:val="0CA912FB"/>
    <w:rsid w:val="0CF602B9"/>
    <w:rsid w:val="0E4D5CB6"/>
    <w:rsid w:val="0E632100"/>
    <w:rsid w:val="0F2033CB"/>
    <w:rsid w:val="106B4B1A"/>
    <w:rsid w:val="106D2640"/>
    <w:rsid w:val="10900A00"/>
    <w:rsid w:val="114E0781"/>
    <w:rsid w:val="116352D6"/>
    <w:rsid w:val="116E3A5D"/>
    <w:rsid w:val="11B36B4A"/>
    <w:rsid w:val="11B7759C"/>
    <w:rsid w:val="122A4C8C"/>
    <w:rsid w:val="12A6008B"/>
    <w:rsid w:val="12EA7589"/>
    <w:rsid w:val="133E02C4"/>
    <w:rsid w:val="13A0454D"/>
    <w:rsid w:val="144E60BD"/>
    <w:rsid w:val="149B0E8A"/>
    <w:rsid w:val="15121A08"/>
    <w:rsid w:val="15EA48D8"/>
    <w:rsid w:val="16AA2B82"/>
    <w:rsid w:val="18492692"/>
    <w:rsid w:val="18B659A4"/>
    <w:rsid w:val="19151713"/>
    <w:rsid w:val="196F1358"/>
    <w:rsid w:val="1A0758B3"/>
    <w:rsid w:val="1BD16179"/>
    <w:rsid w:val="1BF965F2"/>
    <w:rsid w:val="1C212A2B"/>
    <w:rsid w:val="1C6012AB"/>
    <w:rsid w:val="1D0C6A66"/>
    <w:rsid w:val="1D234B0A"/>
    <w:rsid w:val="1DCB431F"/>
    <w:rsid w:val="1E2F362A"/>
    <w:rsid w:val="1ECB3486"/>
    <w:rsid w:val="1EEE287B"/>
    <w:rsid w:val="1F855C4C"/>
    <w:rsid w:val="1F952C7C"/>
    <w:rsid w:val="207F70B2"/>
    <w:rsid w:val="20B25954"/>
    <w:rsid w:val="20CB7707"/>
    <w:rsid w:val="20F93D46"/>
    <w:rsid w:val="217F6677"/>
    <w:rsid w:val="21B856E5"/>
    <w:rsid w:val="223C144D"/>
    <w:rsid w:val="243E6375"/>
    <w:rsid w:val="25693679"/>
    <w:rsid w:val="25FB1098"/>
    <w:rsid w:val="260C30F7"/>
    <w:rsid w:val="276D1F43"/>
    <w:rsid w:val="27B54BA0"/>
    <w:rsid w:val="2AA077A9"/>
    <w:rsid w:val="2AFA0B1C"/>
    <w:rsid w:val="2B393A98"/>
    <w:rsid w:val="2B8266EC"/>
    <w:rsid w:val="2BF233C5"/>
    <w:rsid w:val="2BFB4ED7"/>
    <w:rsid w:val="2C025EDA"/>
    <w:rsid w:val="2C351E0C"/>
    <w:rsid w:val="2C3F4B36"/>
    <w:rsid w:val="2C8608B9"/>
    <w:rsid w:val="2CB14C50"/>
    <w:rsid w:val="2D2752E4"/>
    <w:rsid w:val="2D855015"/>
    <w:rsid w:val="2F0B5447"/>
    <w:rsid w:val="2FC11C09"/>
    <w:rsid w:val="2FEC353D"/>
    <w:rsid w:val="31495726"/>
    <w:rsid w:val="31CD6F8B"/>
    <w:rsid w:val="31D16A7B"/>
    <w:rsid w:val="31F40390"/>
    <w:rsid w:val="32015C68"/>
    <w:rsid w:val="32A44717"/>
    <w:rsid w:val="32F0738F"/>
    <w:rsid w:val="33920C6F"/>
    <w:rsid w:val="346C2A8B"/>
    <w:rsid w:val="35037A49"/>
    <w:rsid w:val="35B430FE"/>
    <w:rsid w:val="35EE6DF8"/>
    <w:rsid w:val="36A22794"/>
    <w:rsid w:val="36E93C13"/>
    <w:rsid w:val="370D7188"/>
    <w:rsid w:val="37203D70"/>
    <w:rsid w:val="3728247B"/>
    <w:rsid w:val="379F291A"/>
    <w:rsid w:val="38417D8A"/>
    <w:rsid w:val="384229D7"/>
    <w:rsid w:val="38896E55"/>
    <w:rsid w:val="38EE3768"/>
    <w:rsid w:val="38F452F3"/>
    <w:rsid w:val="39B27192"/>
    <w:rsid w:val="39DB3B32"/>
    <w:rsid w:val="39EA626D"/>
    <w:rsid w:val="3A72247D"/>
    <w:rsid w:val="3B16635B"/>
    <w:rsid w:val="3B313DD8"/>
    <w:rsid w:val="3C1D667F"/>
    <w:rsid w:val="3CF211DC"/>
    <w:rsid w:val="3E9207D0"/>
    <w:rsid w:val="3F1A6CC0"/>
    <w:rsid w:val="3FA05836"/>
    <w:rsid w:val="40464190"/>
    <w:rsid w:val="41DF5F5B"/>
    <w:rsid w:val="41FD0E53"/>
    <w:rsid w:val="42122365"/>
    <w:rsid w:val="42A74A51"/>
    <w:rsid w:val="42FE4D96"/>
    <w:rsid w:val="43656137"/>
    <w:rsid w:val="439F7ECC"/>
    <w:rsid w:val="43DD305D"/>
    <w:rsid w:val="44911445"/>
    <w:rsid w:val="45326705"/>
    <w:rsid w:val="45523641"/>
    <w:rsid w:val="45EC57D9"/>
    <w:rsid w:val="470E79D1"/>
    <w:rsid w:val="47426C3D"/>
    <w:rsid w:val="47F46BC7"/>
    <w:rsid w:val="480A3961"/>
    <w:rsid w:val="49634005"/>
    <w:rsid w:val="49DF11B1"/>
    <w:rsid w:val="4AC00FE3"/>
    <w:rsid w:val="4AC150E1"/>
    <w:rsid w:val="4ACA3C0F"/>
    <w:rsid w:val="4B8A2DBB"/>
    <w:rsid w:val="4C5D11DF"/>
    <w:rsid w:val="4D1A3604"/>
    <w:rsid w:val="4D7F6F33"/>
    <w:rsid w:val="4E4837C9"/>
    <w:rsid w:val="4E6E228E"/>
    <w:rsid w:val="4ECC5CC5"/>
    <w:rsid w:val="4F8C0F11"/>
    <w:rsid w:val="4FDD447E"/>
    <w:rsid w:val="50B0566A"/>
    <w:rsid w:val="50CA7228"/>
    <w:rsid w:val="5111753C"/>
    <w:rsid w:val="53CF5879"/>
    <w:rsid w:val="53D845EF"/>
    <w:rsid w:val="544B0D60"/>
    <w:rsid w:val="5527753F"/>
    <w:rsid w:val="55E95CE9"/>
    <w:rsid w:val="5672635F"/>
    <w:rsid w:val="573D2390"/>
    <w:rsid w:val="579C35B7"/>
    <w:rsid w:val="58577395"/>
    <w:rsid w:val="58B12A3E"/>
    <w:rsid w:val="591C792B"/>
    <w:rsid w:val="595349E6"/>
    <w:rsid w:val="59D32AE1"/>
    <w:rsid w:val="5A3A17F8"/>
    <w:rsid w:val="5A5654C0"/>
    <w:rsid w:val="5A673AE1"/>
    <w:rsid w:val="5A9D6525"/>
    <w:rsid w:val="5ADA7E9F"/>
    <w:rsid w:val="5AE94169"/>
    <w:rsid w:val="5AFC4F25"/>
    <w:rsid w:val="5B490B80"/>
    <w:rsid w:val="5B6F3FE4"/>
    <w:rsid w:val="5B77068B"/>
    <w:rsid w:val="5BA65138"/>
    <w:rsid w:val="5C0D1BAE"/>
    <w:rsid w:val="5CD94CAE"/>
    <w:rsid w:val="5D5F6439"/>
    <w:rsid w:val="5EC92704"/>
    <w:rsid w:val="5EE27322"/>
    <w:rsid w:val="5F357D99"/>
    <w:rsid w:val="5FF7243B"/>
    <w:rsid w:val="611D27A0"/>
    <w:rsid w:val="61954B1F"/>
    <w:rsid w:val="62314848"/>
    <w:rsid w:val="62E0626E"/>
    <w:rsid w:val="63A3408B"/>
    <w:rsid w:val="650773BA"/>
    <w:rsid w:val="657F5D22"/>
    <w:rsid w:val="65B61F12"/>
    <w:rsid w:val="66E2751B"/>
    <w:rsid w:val="67343515"/>
    <w:rsid w:val="67CB63B3"/>
    <w:rsid w:val="67F06526"/>
    <w:rsid w:val="691049E1"/>
    <w:rsid w:val="695452C0"/>
    <w:rsid w:val="69AA5C34"/>
    <w:rsid w:val="6A213895"/>
    <w:rsid w:val="6A226D8E"/>
    <w:rsid w:val="6BE7241B"/>
    <w:rsid w:val="6CEF6A2B"/>
    <w:rsid w:val="6D81111B"/>
    <w:rsid w:val="6DE85FD7"/>
    <w:rsid w:val="6E166FE8"/>
    <w:rsid w:val="6E1A4B6F"/>
    <w:rsid w:val="6E5354E0"/>
    <w:rsid w:val="6E612268"/>
    <w:rsid w:val="6FC7611F"/>
    <w:rsid w:val="6FE047F8"/>
    <w:rsid w:val="70493586"/>
    <w:rsid w:val="70C858DB"/>
    <w:rsid w:val="70F829D5"/>
    <w:rsid w:val="712579D1"/>
    <w:rsid w:val="7194581F"/>
    <w:rsid w:val="71E73B2D"/>
    <w:rsid w:val="73055389"/>
    <w:rsid w:val="736B3932"/>
    <w:rsid w:val="736C0702"/>
    <w:rsid w:val="73EC25BF"/>
    <w:rsid w:val="74DB737D"/>
    <w:rsid w:val="75BA7A8F"/>
    <w:rsid w:val="76227AC4"/>
    <w:rsid w:val="76982FF6"/>
    <w:rsid w:val="785250C1"/>
    <w:rsid w:val="785B34E0"/>
    <w:rsid w:val="787F19EA"/>
    <w:rsid w:val="78D67AA0"/>
    <w:rsid w:val="795B3AF3"/>
    <w:rsid w:val="7960461C"/>
    <w:rsid w:val="79780B57"/>
    <w:rsid w:val="7981755F"/>
    <w:rsid w:val="7ADB75EF"/>
    <w:rsid w:val="7B570946"/>
    <w:rsid w:val="7BF16B54"/>
    <w:rsid w:val="7CC226B2"/>
    <w:rsid w:val="7D380D29"/>
    <w:rsid w:val="7D71005D"/>
    <w:rsid w:val="7D853AE4"/>
    <w:rsid w:val="7DF32EA2"/>
    <w:rsid w:val="7E775881"/>
    <w:rsid w:val="7E8A58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uiPriority w:val="0"/>
    <w:pPr>
      <w:keepNext/>
      <w:keepLines/>
      <w:spacing w:before="340" w:after="330" w:line="578" w:lineRule="auto"/>
      <w:outlineLvl w:val="0"/>
    </w:pPr>
    <w:rPr>
      <w:b/>
      <w:bCs/>
      <w:kern w:val="44"/>
      <w:sz w:val="44"/>
      <w:szCs w:val="44"/>
    </w:rPr>
  </w:style>
  <w:style w:type="paragraph" w:styleId="4">
    <w:name w:val="heading 2"/>
    <w:basedOn w:val="1"/>
    <w:next w:val="1"/>
    <w:link w:val="21"/>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hAnsi="仿宋_GB2312"/>
      <w:szCs w:val="32"/>
    </w:rPr>
  </w:style>
  <w:style w:type="paragraph" w:styleId="7">
    <w:name w:val="Body Text First Indent 2"/>
    <w:basedOn w:val="6"/>
    <w:next w:val="8"/>
    <w:qFormat/>
    <w:uiPriority w:val="0"/>
    <w:pPr>
      <w:ind w:firstLine="200" w:firstLineChars="200"/>
    </w:pPr>
  </w:style>
  <w:style w:type="paragraph" w:styleId="8">
    <w:name w:val="Plain Text"/>
    <w:basedOn w:val="1"/>
    <w:unhideWhenUsed/>
    <w:qFormat/>
    <w:uiPriority w:val="99"/>
    <w:rPr>
      <w:rFonts w:ascii="宋体" w:hAnsi="Courier New"/>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next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39"/>
    <w:pPr>
      <w:tabs>
        <w:tab w:val="right" w:leader="dot" w:pos="8296"/>
      </w:tabs>
      <w:spacing w:before="93"/>
      <w:jc w:val="center"/>
    </w:pPr>
    <w:rPr>
      <w:rFonts w:ascii="仿宋" w:eastAsia="仿宋"/>
      <w:sz w:val="28"/>
      <w:szCs w:val="28"/>
    </w:rPr>
  </w:style>
  <w:style w:type="paragraph" w:styleId="14">
    <w:name w:val="toc 2"/>
    <w:basedOn w:val="1"/>
    <w:next w:val="1"/>
    <w:qFormat/>
    <w:uiPriority w:val="39"/>
    <w:pPr>
      <w:tabs>
        <w:tab w:val="right" w:leader="dot" w:pos="8296"/>
      </w:tabs>
      <w:ind w:left="200" w:leftChars="200"/>
    </w:pPr>
  </w:style>
  <w:style w:type="paragraph" w:styleId="15">
    <w:name w:val="Normal (Web)"/>
    <w:basedOn w:val="1"/>
    <w:qFormat/>
    <w:uiPriority w:val="99"/>
    <w:pPr>
      <w:spacing w:before="100" w:beforeAutospacing="1" w:after="100" w:afterAutospacing="1"/>
      <w:jc w:val="left"/>
    </w:pPr>
    <w:rPr>
      <w:kern w:val="0"/>
      <w:sz w:val="24"/>
    </w:rPr>
  </w:style>
  <w:style w:type="character" w:styleId="18">
    <w:name w:val="Strong"/>
    <w:basedOn w:val="17"/>
    <w:qFormat/>
    <w:uiPriority w:val="22"/>
    <w:rPr>
      <w:b/>
    </w:rPr>
  </w:style>
  <w:style w:type="character" w:styleId="19">
    <w:name w:val="Hyperlink"/>
    <w:basedOn w:val="17"/>
    <w:qFormat/>
    <w:uiPriority w:val="99"/>
    <w:rPr>
      <w:color w:val="0000FF"/>
      <w:u w:val="single"/>
    </w:rPr>
  </w:style>
  <w:style w:type="character" w:customStyle="1" w:styleId="20">
    <w:name w:val="标题 1 Char"/>
    <w:basedOn w:val="17"/>
    <w:link w:val="3"/>
    <w:qFormat/>
    <w:uiPriority w:val="0"/>
    <w:rPr>
      <w:rFonts w:ascii="Times New Roman" w:hAnsi="Times New Roman" w:eastAsia="宋体" w:cs="Times New Roman"/>
      <w:b/>
      <w:bCs/>
      <w:kern w:val="44"/>
      <w:sz w:val="44"/>
      <w:szCs w:val="44"/>
      <w:lang w:val="en-US" w:eastAsia="zh-CN" w:bidi="ar-SA"/>
    </w:rPr>
  </w:style>
  <w:style w:type="character" w:customStyle="1" w:styleId="21">
    <w:name w:val="标题 2 Char"/>
    <w:basedOn w:val="17"/>
    <w:link w:val="4"/>
    <w:qFormat/>
    <w:uiPriority w:val="0"/>
    <w:rPr>
      <w:rFonts w:ascii="Cambria" w:hAnsi="Cambria" w:eastAsia="宋体" w:cs="Times New Roman"/>
      <w:b/>
      <w:bCs/>
      <w:kern w:val="2"/>
      <w:sz w:val="32"/>
      <w:szCs w:val="32"/>
      <w:lang w:val="en-US" w:eastAsia="zh-CN" w:bidi="ar-SA"/>
    </w:rPr>
  </w:style>
  <w:style w:type="paragraph" w:customStyle="1" w:styleId="22">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7"/>
    <w:qFormat/>
    <w:uiPriority w:val="0"/>
    <w:rPr>
      <w:rFonts w:ascii="Times New Roman" w:hAnsi="Times New Roman"/>
      <w:sz w:val="18"/>
      <w:szCs w:val="18"/>
    </w:rPr>
  </w:style>
  <w:style w:type="character" w:customStyle="1" w:styleId="24">
    <w:name w:val="Footer Char"/>
    <w:basedOn w:val="17"/>
    <w:qFormat/>
    <w:uiPriority w:val="0"/>
    <w:rPr>
      <w:rFonts w:ascii="Times New Roman" w:hAnsi="Times New Roman"/>
      <w:sz w:val="18"/>
      <w:szCs w:val="18"/>
    </w:rPr>
  </w:style>
  <w:style w:type="character" w:customStyle="1" w:styleId="25">
    <w:name w:val="Body Text Char"/>
    <w:basedOn w:val="17"/>
    <w:qFormat/>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qFormat/>
    <w:uiPriority w:val="0"/>
    <w:pPr>
      <w:ind w:firstLine="200" w:firstLineChars="200"/>
    </w:pPr>
  </w:style>
  <w:style w:type="paragraph" w:customStyle="1" w:styleId="28">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9">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0">
    <w:name w:val="四号正文"/>
    <w:basedOn w:val="1"/>
    <w:qFormat/>
    <w:uiPriority w:val="0"/>
    <w:pPr>
      <w:spacing w:line="360" w:lineRule="auto"/>
    </w:pPr>
    <w:rPr>
      <w:rFonts w:ascii="??" w:hAnsi="??"/>
      <w:color w:val="000000"/>
      <w:kern w:val="0"/>
      <w:sz w:val="28"/>
      <w:szCs w:val="21"/>
      <w:lang w:val="zh-CN"/>
    </w:rPr>
  </w:style>
  <w:style w:type="paragraph" w:customStyle="1" w:styleId="31">
    <w:name w:val="WPSOffice手动目录 1"/>
    <w:qFormat/>
    <w:uiPriority w:val="0"/>
    <w:rPr>
      <w:rFonts w:ascii="Times New Roman" w:hAnsi="Times New Roman" w:eastAsia="宋体" w:cs="Times New Roman"/>
      <w:lang w:val="en-US" w:eastAsia="zh-CN" w:bidi="ar-SA"/>
    </w:rPr>
  </w:style>
  <w:style w:type="paragraph" w:customStyle="1" w:styleId="32">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收入、支出上下年对比图</a:t>
            </a:r>
          </a:p>
        </c:rich>
      </c:tx>
      <c:layout>
        <c:manualLayout>
          <c:xMode val="edge"/>
          <c:yMode val="edge"/>
          <c:x val="0.233625"/>
          <c:y val="0.0298937511255178"/>
        </c:manualLayout>
      </c:layout>
      <c:overlay val="0"/>
      <c:spPr>
        <a:noFill/>
        <a:ln>
          <a:noFill/>
        </a:ln>
        <a:effectLst/>
      </c:spPr>
    </c:title>
    <c:autoTitleDeleted val="0"/>
    <c:plotArea>
      <c:layout>
        <c:manualLayout>
          <c:layoutTarget val="inner"/>
          <c:xMode val="edge"/>
          <c:yMode val="edge"/>
          <c:x val="0.0723090838609639"/>
          <c:y val="0.0389901823281907"/>
          <c:w val="0.8938"/>
          <c:h val="0.716566666666667"/>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1406.73</c:v>
                </c:pt>
                <c:pt idx="1">
                  <c:v>2192.55</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0">
                  <c:v>1634.44</c:v>
                </c:pt>
                <c:pt idx="1">
                  <c:v>2192.55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2023年</c:v>
                </c:pt>
                <c:pt idx="1">
                  <c:v>2024年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429430135"/>
        <c:axId val="367142446"/>
      </c:barChart>
      <c:catAx>
        <c:axId val="42943013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7142446"/>
        <c:crosses val="autoZero"/>
        <c:auto val="1"/>
        <c:lblAlgn val="ctr"/>
        <c:lblOffset val="100"/>
        <c:noMultiLvlLbl val="0"/>
      </c:catAx>
      <c:valAx>
        <c:axId val="36714244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943013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其他收入</c:v>
                </c:pt>
                <c:pt idx="2">
                  <c:v>政府性基金预算财政拨款收入</c:v>
                </c:pt>
                <c:pt idx="3">
                  <c:v>国有资本经营预算财政拨款收入</c:v>
                </c:pt>
              </c:strCache>
            </c:strRef>
          </c:cat>
          <c:val>
            <c:numRef>
              <c:f>Sheet1!$B$2:$B$5</c:f>
              <c:numCache>
                <c:formatCode>General</c:formatCode>
                <c:ptCount val="4"/>
                <c:pt idx="0">
                  <c:v>2192.55</c:v>
                </c:pt>
                <c:pt idx="1">
                  <c:v>0</c:v>
                </c:pt>
                <c:pt idx="2">
                  <c:v>0</c:v>
                </c:pt>
                <c:pt idx="3">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manualLayout>
          <c:xMode val="edge"/>
          <c:yMode val="edge"/>
          <c:x val="0.38"/>
          <c:y val="0.0215"/>
        </c:manualLayout>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pt idx="2">
                  <c:v>上缴上级支出</c:v>
                </c:pt>
                <c:pt idx="3">
                  <c:v>经营支出</c:v>
                </c:pt>
              </c:strCache>
            </c:strRef>
          </c:cat>
          <c:val>
            <c:numRef>
              <c:f>Sheet1!$B$2:$B$5</c:f>
              <c:numCache>
                <c:formatCode>General</c:formatCode>
                <c:ptCount val="4"/>
                <c:pt idx="0">
                  <c:v>1471.52</c:v>
                </c:pt>
                <c:pt idx="1">
                  <c:v>721.03</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财政拔款收支上下年变动图</a:t>
            </a:r>
          </a:p>
        </c:rich>
      </c:tx>
      <c:layout/>
      <c:overlay val="0"/>
      <c:spPr>
        <a:noFill/>
        <a:ln>
          <a:noFill/>
        </a:ln>
        <a:effectLst/>
      </c:spPr>
    </c:title>
    <c:autoTitleDeleted val="0"/>
    <c:plotArea>
      <c:layout>
        <c:manualLayout>
          <c:layoutTarget val="inner"/>
          <c:xMode val="edge"/>
          <c:yMode val="edge"/>
          <c:x val="0.0695500869997514"/>
          <c:y val="0.178988888888889"/>
          <c:w val="0.927925"/>
          <c:h val="0.716566666666667"/>
        </c:manualLayout>
      </c:layout>
      <c:barChart>
        <c:barDir val="col"/>
        <c:grouping val="clustered"/>
        <c:varyColors val="0"/>
        <c:ser>
          <c:idx val="0"/>
          <c:order val="0"/>
          <c:tx>
            <c:strRef>
              <c:f>Sheet1!$B$1</c:f>
              <c:strCache>
                <c:ptCount val="1"/>
                <c:pt idx="0">
                  <c:v>财政技款收入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1406.73</c:v>
                </c:pt>
                <c:pt idx="1">
                  <c:v>2192.55</c:v>
                </c:pt>
              </c:numCache>
            </c:numRef>
          </c:val>
        </c:ser>
        <c:ser>
          <c:idx val="1"/>
          <c:order val="1"/>
          <c:tx>
            <c:strRef>
              <c:f>Sheet1!$C$1</c:f>
              <c:strCache>
                <c:ptCount val="1"/>
                <c:pt idx="0">
                  <c:v>财政拔款支出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0">
                  <c:v>1634.44</c:v>
                </c:pt>
                <c:pt idx="1">
                  <c:v>2143.27</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2023年</c:v>
                </c:pt>
                <c:pt idx="1">
                  <c:v>2024年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401664844"/>
        <c:axId val="307858798"/>
      </c:barChart>
      <c:catAx>
        <c:axId val="40166484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7858798"/>
        <c:crosses val="autoZero"/>
        <c:auto val="1"/>
        <c:lblAlgn val="ctr"/>
        <c:lblOffset val="100"/>
        <c:noMultiLvlLbl val="0"/>
      </c:catAx>
      <c:valAx>
        <c:axId val="30785879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1664844"/>
        <c:crosses val="autoZero"/>
        <c:crossBetween val="between"/>
      </c:valAx>
      <c:spPr>
        <a:noFill/>
        <a:ln>
          <a:noFill/>
        </a:ln>
        <a:effectLst/>
      </c:spPr>
    </c:plotArea>
    <c:legend>
      <c:legendPos val="b"/>
      <c:legendEntry>
        <c:idx val="2"/>
        <c:delete val="1"/>
      </c:legendEntry>
      <c:layout>
        <c:manualLayout>
          <c:xMode val="edge"/>
          <c:yMode val="edge"/>
          <c:x val="0.2890625"/>
          <c:y val="0.88955152671755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一般公共预算财政拔款支出上下年变动图</a:t>
            </a:r>
            <a:endParaRPr lang="en-US" altLang="zh-CN"/>
          </a:p>
        </c:rich>
      </c:tx>
      <c:layout/>
      <c:overlay val="0"/>
      <c:spPr>
        <a:noFill/>
        <a:ln>
          <a:noFill/>
        </a:ln>
        <a:effectLst/>
      </c:spPr>
    </c:title>
    <c:autoTitleDeleted val="0"/>
    <c:plotArea>
      <c:layout>
        <c:manualLayout>
          <c:layoutTarget val="inner"/>
          <c:xMode val="edge"/>
          <c:yMode val="edge"/>
          <c:x val="0.0884766722878021"/>
          <c:y val="0.212454212454212"/>
          <c:w val="0.880607082630691"/>
          <c:h val="0.521386306001691"/>
        </c:manualLayout>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delete val="1"/>
          </c:dLbls>
          <c:cat>
            <c:strRef>
              <c:f>Sheet1!$A$2:$A$3</c:f>
              <c:strCache>
                <c:ptCount val="2"/>
                <c:pt idx="0">
                  <c:v>2023年</c:v>
                </c:pt>
                <c:pt idx="1">
                  <c:v>2024年</c:v>
                </c:pt>
              </c:strCache>
            </c:strRef>
          </c:cat>
          <c:val>
            <c:numRef>
              <c:f>Sheet1!#REF!</c:f>
              <c:numCache>
                <c:formatCode>General</c:formatCode>
                <c:ptCount val="1"/>
                <c:pt idx="0">
                  <c:v>1</c:v>
                </c:pt>
              </c:numCache>
            </c:numRef>
          </c:val>
        </c:ser>
        <c:ser>
          <c:idx val="1"/>
          <c:order val="1"/>
          <c:tx>
            <c:strRef>
              <c:f>Sheet1!$B$1</c:f>
              <c:strCache>
                <c:ptCount val="1"/>
                <c:pt idx="0">
                  <c:v>一般公共预算财政拔款支出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1634.44</c:v>
                </c:pt>
                <c:pt idx="1">
                  <c:v>2192.55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2023年</c:v>
                </c:pt>
                <c:pt idx="1">
                  <c:v>2024年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702320549"/>
        <c:axId val="839141337"/>
      </c:barChart>
      <c:catAx>
        <c:axId val="70232054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9141337"/>
        <c:crosses val="autoZero"/>
        <c:auto val="1"/>
        <c:lblAlgn val="ctr"/>
        <c:lblOffset val="100"/>
        <c:noMultiLvlLbl val="0"/>
      </c:catAx>
      <c:valAx>
        <c:axId val="8391413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2320549"/>
        <c:crosses val="autoZero"/>
        <c:crossBetween val="between"/>
      </c:valAx>
      <c:spPr>
        <a:noFill/>
        <a:ln>
          <a:noFill/>
        </a:ln>
        <a:effectLst/>
      </c:spPr>
    </c:plotArea>
    <c:legend>
      <c:legendPos val="b"/>
      <c:legendEntry>
        <c:idx val="0"/>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一般公共预算财政拔款支出构成图</a:t>
            </a:r>
            <a:endParaRPr lang="en-US" altLang="zh-CN"/>
          </a:p>
        </c:rich>
      </c:tx>
      <c:layout/>
      <c:overlay val="0"/>
      <c:spPr>
        <a:noFill/>
        <a:ln>
          <a:noFill/>
        </a:ln>
        <a:effectLst/>
      </c:spPr>
    </c:title>
    <c:autoTitleDeleted val="0"/>
    <c:plotArea>
      <c:layout/>
      <c:pieChart>
        <c:varyColors val="1"/>
        <c:ser>
          <c:idx val="0"/>
          <c:order val="0"/>
          <c:tx>
            <c:strRef>
              <c:f>Sheet1!$B$1</c:f>
              <c:strCache>
                <c:ptCount val="1"/>
                <c:pt idx="0">
                  <c:v>一般公共预算财政拔款支出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一般公共服务（类）支出</c:v>
                </c:pt>
                <c:pt idx="1">
                  <c:v>社会保障和就业（类）支出</c:v>
                </c:pt>
                <c:pt idx="2">
                  <c:v>卫生健康支出</c:v>
                </c:pt>
                <c:pt idx="3">
                  <c:v>住房保障</c:v>
                </c:pt>
              </c:strCache>
            </c:strRef>
          </c:cat>
          <c:val>
            <c:numRef>
              <c:f>Sheet1!$B$2:$B$5</c:f>
              <c:numCache>
                <c:formatCode>General</c:formatCode>
                <c:ptCount val="4"/>
                <c:pt idx="0">
                  <c:v>1787</c:v>
                </c:pt>
                <c:pt idx="1">
                  <c:v>180.77</c:v>
                </c:pt>
                <c:pt idx="2">
                  <c:v>75.14</c:v>
                </c:pt>
                <c:pt idx="3">
                  <c:v>100.36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 财政拔款“三公”经费支出构成图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33.83</c:v>
                </c:pt>
                <c:pt idx="2">
                  <c:v>0.28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38</Pages>
  <Words>14425</Words>
  <Characters>15751</Characters>
  <Lines>159</Lines>
  <Paragraphs>44</Paragraphs>
  <TotalTime>19</TotalTime>
  <ScaleCrop>false</ScaleCrop>
  <LinksUpToDate>false</LinksUpToDate>
  <CharactersWithSpaces>15840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2023-10-26T11:12:00Z</dcterms:created>
  <dc:creator>曹颖</dc:creator>
  <cp:lastModifiedBy>Administrator</cp:lastModifiedBy>
  <cp:lastPrinted>2025-09-24T05:33:17Z</cp:lastPrinted>
  <dcterms:modified xsi:type="dcterms:W3CDTF">2025-09-24T05:36:19Z</dcterms:modified>
  <dc:title>四川省***</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EBBFD45271F7446B9CFB182048B5F291_13</vt:lpwstr>
  </property>
</Properties>
</file>