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21"/>
          <w:szCs w:val="22"/>
          <w:lang w:val="en-US" w:eastAsia="zh-CN" w:bidi="ar-SA"/>
        </w:rPr>
        <w:id w:val="147455833"/>
        <w15:color w:val="DBDBDB"/>
        <w:docPartObj>
          <w:docPartGallery w:val="Table of Contents"/>
          <w:docPartUnique/>
        </w:docPartObj>
      </w:sdtPr>
      <w:sdtEndPr>
        <w:rPr>
          <w:rFonts w:hint="eastAsia" w:ascii="微软雅黑" w:hAnsi="微软雅黑" w:eastAsia="微软雅黑" w:cs="宋体"/>
          <w:b/>
          <w:bCs/>
          <w:color w:val="333333"/>
          <w:kern w:val="36"/>
          <w:sz w:val="21"/>
          <w:szCs w:val="38"/>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b/>
              <w:bCs/>
              <w:sz w:val="36"/>
              <w:szCs w:val="36"/>
            </w:rPr>
          </w:pPr>
          <w:r>
            <w:rPr>
              <w:rFonts w:ascii="宋体" w:hAnsi="宋体" w:eastAsia="宋体"/>
              <w:b/>
              <w:bCs/>
              <w:sz w:val="52"/>
              <w:szCs w:val="52"/>
            </w:rPr>
            <w:t>目</w:t>
          </w:r>
          <w:r>
            <w:rPr>
              <w:rFonts w:hint="eastAsia" w:ascii="宋体" w:hAnsi="宋体" w:eastAsia="宋体"/>
              <w:b/>
              <w:bCs/>
              <w:sz w:val="52"/>
              <w:szCs w:val="52"/>
              <w:lang w:val="en-US" w:eastAsia="zh-CN"/>
            </w:rPr>
            <w:t xml:space="preserve">   </w:t>
          </w:r>
          <w:r>
            <w:rPr>
              <w:rFonts w:ascii="宋体" w:hAnsi="宋体" w:eastAsia="宋体"/>
              <w:b/>
              <w:bCs/>
              <w:sz w:val="52"/>
              <w:szCs w:val="52"/>
            </w:rPr>
            <w:t>录</w:t>
          </w:r>
        </w:p>
        <w:p>
          <w:pPr>
            <w:spacing w:before="0" w:beforeLines="0" w:after="0" w:afterLines="0" w:line="240" w:lineRule="auto"/>
            <w:ind w:left="0" w:leftChars="0" w:right="0" w:rightChars="0" w:firstLine="0" w:firstLineChars="0"/>
            <w:jc w:val="center"/>
            <w:rPr>
              <w:rFonts w:ascii="宋体" w:hAnsi="宋体" w:eastAsia="宋体"/>
              <w:b/>
              <w:bCs/>
              <w:sz w:val="36"/>
              <w:szCs w:val="36"/>
            </w:rPr>
          </w:pPr>
        </w:p>
        <w:p>
          <w:pPr>
            <w:pStyle w:val="17"/>
            <w:tabs>
              <w:tab w:val="right" w:leader="dot" w:pos="8845"/>
            </w:tabs>
            <w:rPr>
              <w:b/>
            </w:rPr>
          </w:pPr>
          <w:r>
            <w:rPr>
              <w:rFonts w:hint="eastAsia" w:ascii="微软雅黑" w:hAnsi="微软雅黑" w:eastAsia="微软雅黑" w:cs="宋体"/>
              <w:b/>
              <w:bCs/>
              <w:color w:val="333333"/>
              <w:kern w:val="36"/>
              <w:sz w:val="38"/>
              <w:szCs w:val="38"/>
            </w:rPr>
            <w:fldChar w:fldCharType="begin"/>
          </w:r>
          <w:r>
            <w:rPr>
              <w:rFonts w:hint="eastAsia" w:ascii="微软雅黑" w:hAnsi="微软雅黑" w:eastAsia="微软雅黑" w:cs="宋体"/>
              <w:b/>
              <w:bCs/>
              <w:color w:val="333333"/>
              <w:kern w:val="36"/>
              <w:sz w:val="38"/>
              <w:szCs w:val="38"/>
            </w:rPr>
            <w:instrText xml:space="preserve">TOC \o "1-2" \h \u </w:instrText>
          </w:r>
          <w:r>
            <w:rPr>
              <w:rFonts w:hint="eastAsia" w:ascii="微软雅黑" w:hAnsi="微软雅黑" w:eastAsia="微软雅黑" w:cs="宋体"/>
              <w:b/>
              <w:bCs/>
              <w:color w:val="333333"/>
              <w:kern w:val="36"/>
              <w:sz w:val="38"/>
              <w:szCs w:val="38"/>
            </w:rPr>
            <w:fldChar w:fldCharType="separate"/>
          </w: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_Toc682 </w:instrText>
          </w:r>
          <w:r>
            <w:rPr>
              <w:rFonts w:hint="eastAsia" w:ascii="微软雅黑" w:hAnsi="微软雅黑" w:eastAsia="微软雅黑" w:cs="宋体"/>
              <w:b/>
              <w:bCs/>
              <w:kern w:val="36"/>
              <w:szCs w:val="38"/>
            </w:rPr>
            <w:fldChar w:fldCharType="separate"/>
          </w:r>
          <w:r>
            <w:rPr>
              <w:rFonts w:hint="eastAsia" w:ascii="微软雅黑" w:hAnsi="微软雅黑" w:eastAsia="微软雅黑" w:cs="宋体"/>
              <w:b/>
              <w:bCs/>
              <w:kern w:val="36"/>
              <w:szCs w:val="38"/>
            </w:rPr>
            <w:t>关于中共红原县纪律检查委员会202</w:t>
          </w:r>
          <w:r>
            <w:rPr>
              <w:rFonts w:hint="eastAsia" w:ascii="微软雅黑" w:hAnsi="微软雅黑" w:eastAsia="微软雅黑" w:cs="宋体"/>
              <w:b/>
              <w:bCs/>
              <w:kern w:val="36"/>
              <w:szCs w:val="38"/>
              <w:lang w:val="en-US" w:eastAsia="zh-CN"/>
            </w:rPr>
            <w:t>5</w:t>
          </w:r>
          <w:r>
            <w:rPr>
              <w:rFonts w:hint="eastAsia" w:ascii="微软雅黑" w:hAnsi="微软雅黑" w:eastAsia="微软雅黑" w:cs="宋体"/>
              <w:b/>
              <w:bCs/>
              <w:kern w:val="36"/>
              <w:szCs w:val="38"/>
            </w:rPr>
            <w:t>年部门</w:t>
          </w:r>
          <w:r>
            <w:rPr>
              <w:b/>
            </w:rPr>
            <w:tab/>
          </w:r>
          <w:r>
            <w:rPr>
              <w:b/>
            </w:rPr>
            <w:fldChar w:fldCharType="begin"/>
          </w:r>
          <w:r>
            <w:rPr>
              <w:b/>
            </w:rPr>
            <w:instrText xml:space="preserve"> PAGEREF _Toc682 \h </w:instrText>
          </w:r>
          <w:r>
            <w:rPr>
              <w:b/>
            </w:rPr>
            <w:fldChar w:fldCharType="separate"/>
          </w:r>
          <w:r>
            <w:rPr>
              <w:b/>
            </w:rPr>
            <w:t>1</w:t>
          </w:r>
          <w:r>
            <w:rPr>
              <w:b/>
            </w:rPr>
            <w:fldChar w:fldCharType="end"/>
          </w:r>
          <w:r>
            <w:rPr>
              <w:rFonts w:hint="eastAsia" w:ascii="微软雅黑" w:hAnsi="微软雅黑" w:eastAsia="微软雅黑" w:cs="宋体"/>
              <w:b/>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_Toc25153 </w:instrText>
          </w:r>
          <w:r>
            <w:rPr>
              <w:rFonts w:hint="eastAsia" w:ascii="微软雅黑" w:hAnsi="微软雅黑" w:eastAsia="微软雅黑" w:cs="宋体"/>
              <w:b/>
              <w:bCs/>
              <w:kern w:val="36"/>
              <w:szCs w:val="38"/>
            </w:rPr>
            <w:fldChar w:fldCharType="separate"/>
          </w:r>
          <w:r>
            <w:rPr>
              <w:rFonts w:hint="eastAsia" w:ascii="微软雅黑" w:hAnsi="微软雅黑" w:eastAsia="微软雅黑" w:cs="宋体"/>
              <w:b/>
              <w:bCs/>
              <w:kern w:val="36"/>
              <w:szCs w:val="38"/>
            </w:rPr>
            <w:t>预算编制的说明</w:t>
          </w:r>
          <w:r>
            <w:rPr>
              <w:b/>
            </w:rPr>
            <w:tab/>
          </w:r>
          <w:r>
            <w:rPr>
              <w:b/>
            </w:rPr>
            <w:fldChar w:fldCharType="begin"/>
          </w:r>
          <w:r>
            <w:rPr>
              <w:b/>
            </w:rPr>
            <w:instrText xml:space="preserve"> PAGEREF _Toc25153 \h </w:instrText>
          </w:r>
          <w:r>
            <w:rPr>
              <w:b/>
            </w:rPr>
            <w:fldChar w:fldCharType="separate"/>
          </w:r>
          <w:r>
            <w:rPr>
              <w:b/>
            </w:rPr>
            <w:t>1</w:t>
          </w:r>
          <w:r>
            <w:rPr>
              <w:b/>
            </w:rPr>
            <w:fldChar w:fldCharType="end"/>
          </w:r>
          <w:r>
            <w:rPr>
              <w:rFonts w:hint="eastAsia" w:ascii="微软雅黑" w:hAnsi="微软雅黑" w:eastAsia="微软雅黑" w:cs="宋体"/>
              <w:b/>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_Toc20617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rPr>
            <w:t>一、基本职能及主要工作</w:t>
          </w:r>
          <w:r>
            <w:rPr>
              <w:b/>
            </w:rPr>
            <w:tab/>
          </w:r>
          <w:r>
            <w:rPr>
              <w:b/>
            </w:rPr>
            <w:fldChar w:fldCharType="begin"/>
          </w:r>
          <w:r>
            <w:rPr>
              <w:b/>
            </w:rPr>
            <w:instrText xml:space="preserve"> PAGEREF _Toc20617 \h </w:instrText>
          </w:r>
          <w:r>
            <w:rPr>
              <w:b/>
            </w:rPr>
            <w:fldChar w:fldCharType="separate"/>
          </w:r>
          <w:r>
            <w:rPr>
              <w:b/>
            </w:rPr>
            <w:t>1</w:t>
          </w:r>
          <w:r>
            <w:rPr>
              <w:b/>
            </w:rPr>
            <w:fldChar w:fldCharType="end"/>
          </w:r>
          <w:r>
            <w:rPr>
              <w:rFonts w:hint="eastAsia" w:ascii="微软雅黑" w:hAnsi="微软雅黑" w:eastAsia="微软雅黑" w:cs="宋体"/>
              <w:b/>
              <w:bCs/>
              <w:color w:val="333333"/>
              <w:kern w:val="36"/>
              <w:szCs w:val="38"/>
            </w:rPr>
            <w:fldChar w:fldCharType="end"/>
          </w:r>
        </w:p>
        <w:p>
          <w:pPr>
            <w:pStyle w:val="18"/>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_Toc27833 </w:instrText>
          </w:r>
          <w:r>
            <w:rPr>
              <w:rFonts w:hint="eastAsia" w:ascii="微软雅黑" w:hAnsi="微软雅黑" w:eastAsia="微软雅黑" w:cs="宋体"/>
              <w:bCs/>
              <w:kern w:val="36"/>
              <w:szCs w:val="38"/>
            </w:rPr>
            <w:fldChar w:fldCharType="separate"/>
          </w:r>
          <w:r>
            <w:rPr>
              <w:rFonts w:hint="eastAsia"/>
              <w:bCs/>
              <w:szCs w:val="32"/>
            </w:rPr>
            <w:t>（一）基本职能</w:t>
          </w:r>
          <w:r>
            <w:tab/>
          </w:r>
          <w:r>
            <w:fldChar w:fldCharType="begin"/>
          </w:r>
          <w:r>
            <w:instrText xml:space="preserve"> PAGEREF _Toc27833 \h </w:instrText>
          </w:r>
          <w:r>
            <w:fldChar w:fldCharType="separate"/>
          </w:r>
          <w:r>
            <w:t>1</w:t>
          </w:r>
          <w:r>
            <w:fldChar w:fldCharType="end"/>
          </w:r>
          <w:r>
            <w:rPr>
              <w:rFonts w:hint="eastAsia" w:ascii="微软雅黑" w:hAnsi="微软雅黑" w:eastAsia="微软雅黑" w:cs="宋体"/>
              <w:bCs/>
              <w:color w:val="333333"/>
              <w:kern w:val="36"/>
              <w:szCs w:val="38"/>
            </w:rPr>
            <w:fldChar w:fldCharType="end"/>
          </w:r>
        </w:p>
        <w:p>
          <w:pPr>
            <w:pStyle w:val="18"/>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_Toc30852 </w:instrText>
          </w:r>
          <w:r>
            <w:rPr>
              <w:rFonts w:hint="eastAsia" w:ascii="微软雅黑" w:hAnsi="微软雅黑" w:eastAsia="微软雅黑" w:cs="宋体"/>
              <w:bCs/>
              <w:kern w:val="36"/>
              <w:szCs w:val="38"/>
            </w:rPr>
            <w:fldChar w:fldCharType="separate"/>
          </w:r>
          <w:r>
            <w:rPr>
              <w:rFonts w:hint="eastAsia"/>
              <w:bCs/>
              <w:szCs w:val="32"/>
            </w:rPr>
            <w:t>（二）202</w:t>
          </w:r>
          <w:r>
            <w:rPr>
              <w:rFonts w:hint="eastAsia"/>
              <w:bCs/>
              <w:szCs w:val="32"/>
              <w:lang w:val="en-US" w:eastAsia="zh-CN"/>
            </w:rPr>
            <w:t>5</w:t>
          </w:r>
          <w:r>
            <w:rPr>
              <w:rFonts w:hint="eastAsia"/>
              <w:bCs/>
              <w:szCs w:val="32"/>
            </w:rPr>
            <w:t>年重点工作任务</w:t>
          </w:r>
          <w:r>
            <w:tab/>
          </w:r>
          <w:r>
            <w:fldChar w:fldCharType="begin"/>
          </w:r>
          <w:r>
            <w:instrText xml:space="preserve"> PAGEREF _Toc30852 \h </w:instrText>
          </w:r>
          <w:r>
            <w:fldChar w:fldCharType="separate"/>
          </w:r>
          <w:r>
            <w:t>3</w:t>
          </w:r>
          <w:r>
            <w:fldChar w:fldCharType="end"/>
          </w:r>
          <w:r>
            <w:rPr>
              <w:rFonts w:hint="eastAsia" w:ascii="微软雅黑" w:hAnsi="微软雅黑" w:eastAsia="微软雅黑" w:cs="宋体"/>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_Toc13245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rPr>
            <w:t>二、部门预算单位构成</w:t>
          </w:r>
          <w:r>
            <w:rPr>
              <w:b/>
            </w:rPr>
            <w:tab/>
          </w:r>
          <w:r>
            <w:rPr>
              <w:b/>
            </w:rPr>
            <w:fldChar w:fldCharType="begin"/>
          </w:r>
          <w:r>
            <w:rPr>
              <w:b/>
            </w:rPr>
            <w:instrText xml:space="preserve"> PAGEREF _Toc13245 \h </w:instrText>
          </w:r>
          <w:r>
            <w:rPr>
              <w:b/>
            </w:rPr>
            <w:fldChar w:fldCharType="separate"/>
          </w:r>
          <w:r>
            <w:rPr>
              <w:b/>
            </w:rPr>
            <w:t>4</w:t>
          </w:r>
          <w:r>
            <w:rPr>
              <w:b/>
            </w:rPr>
            <w:fldChar w:fldCharType="end"/>
          </w:r>
          <w:r>
            <w:rPr>
              <w:rFonts w:hint="eastAsia" w:ascii="微软雅黑" w:hAnsi="微软雅黑" w:eastAsia="微软雅黑" w:cs="宋体"/>
              <w:b/>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_Toc10033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rPr>
            <w:t>三、收支预算总体情况</w:t>
          </w:r>
          <w:r>
            <w:rPr>
              <w:b/>
            </w:rPr>
            <w:tab/>
          </w:r>
          <w:r>
            <w:rPr>
              <w:b/>
            </w:rPr>
            <w:fldChar w:fldCharType="begin"/>
          </w:r>
          <w:r>
            <w:rPr>
              <w:b/>
            </w:rPr>
            <w:instrText xml:space="preserve"> PAGEREF _Toc10033 \h </w:instrText>
          </w:r>
          <w:r>
            <w:rPr>
              <w:b/>
            </w:rPr>
            <w:fldChar w:fldCharType="separate"/>
          </w:r>
          <w:r>
            <w:rPr>
              <w:b/>
            </w:rPr>
            <w:t>4</w:t>
          </w:r>
          <w:r>
            <w:rPr>
              <w:b/>
            </w:rPr>
            <w:fldChar w:fldCharType="end"/>
          </w:r>
          <w:r>
            <w:rPr>
              <w:rFonts w:hint="eastAsia" w:ascii="微软雅黑" w:hAnsi="微软雅黑" w:eastAsia="微软雅黑" w:cs="宋体"/>
              <w:b/>
              <w:bCs/>
              <w:color w:val="333333"/>
              <w:kern w:val="36"/>
              <w:szCs w:val="38"/>
            </w:rPr>
            <w:fldChar w:fldCharType="end"/>
          </w:r>
        </w:p>
        <w:p>
          <w:pPr>
            <w:pStyle w:val="17"/>
            <w:tabs>
              <w:tab w:val="right" w:leader="dot" w:pos="8845"/>
            </w:tabs>
            <w:rPr>
              <w:rFonts w:hint="eastAsia" w:ascii="微软雅黑" w:hAnsi="微软雅黑" w:eastAsia="微软雅黑" w:cs="宋体"/>
              <w:b/>
              <w:bCs/>
              <w:color w:val="333333"/>
              <w:kern w:val="36"/>
              <w:szCs w:val="38"/>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_Toc23214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rPr>
            <w:t>四、支出预算安排情况</w:t>
          </w:r>
          <w:r>
            <w:rPr>
              <w:b/>
            </w:rPr>
            <w:tab/>
          </w:r>
          <w:r>
            <w:rPr>
              <w:b/>
            </w:rPr>
            <w:fldChar w:fldCharType="begin"/>
          </w:r>
          <w:r>
            <w:rPr>
              <w:b/>
            </w:rPr>
            <w:instrText xml:space="preserve"> PAGEREF _Toc23214 \h </w:instrText>
          </w:r>
          <w:r>
            <w:rPr>
              <w:b/>
            </w:rPr>
            <w:fldChar w:fldCharType="separate"/>
          </w:r>
          <w:r>
            <w:rPr>
              <w:b/>
            </w:rPr>
            <w:t>4</w:t>
          </w:r>
          <w:r>
            <w:rPr>
              <w:b/>
            </w:rPr>
            <w:fldChar w:fldCharType="end"/>
          </w:r>
          <w:r>
            <w:rPr>
              <w:rFonts w:hint="eastAsia" w:ascii="微软雅黑" w:hAnsi="微软雅黑" w:eastAsia="微软雅黑" w:cs="宋体"/>
              <w:b/>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_Toc24353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五、较上年度增减变化</w:t>
          </w:r>
          <w:r>
            <w:rPr>
              <w:b/>
            </w:rPr>
            <w:tab/>
          </w:r>
          <w:r>
            <w:rPr>
              <w:b/>
            </w:rPr>
            <w:fldChar w:fldCharType="begin"/>
          </w:r>
          <w:r>
            <w:rPr>
              <w:b/>
            </w:rPr>
            <w:instrText xml:space="preserve"> PAGEREF _Toc24353 \h </w:instrText>
          </w:r>
          <w:r>
            <w:rPr>
              <w:b/>
            </w:rPr>
            <w:fldChar w:fldCharType="separate"/>
          </w:r>
          <w:r>
            <w:rPr>
              <w:b/>
            </w:rPr>
            <w:t>6</w:t>
          </w:r>
          <w:r>
            <w:rPr>
              <w:b/>
            </w:rPr>
            <w:fldChar w:fldCharType="end"/>
          </w:r>
          <w:r>
            <w:rPr>
              <w:rFonts w:hint="eastAsia" w:ascii="微软雅黑" w:hAnsi="微软雅黑" w:eastAsia="微软雅黑" w:cs="宋体"/>
              <w:b/>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_Toc23482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六、“三公”经费预算</w:t>
          </w:r>
          <w:r>
            <w:rPr>
              <w:b/>
            </w:rPr>
            <w:tab/>
          </w:r>
          <w:r>
            <w:rPr>
              <w:rFonts w:hint="eastAsia"/>
              <w:b/>
              <w:lang w:val="en-US" w:eastAsia="zh-CN"/>
            </w:rPr>
            <w:t>7</w:t>
          </w:r>
          <w:r>
            <w:rPr>
              <w:rFonts w:hint="eastAsia" w:ascii="微软雅黑" w:hAnsi="微软雅黑" w:eastAsia="微软雅黑" w:cs="宋体"/>
              <w:b/>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_Toc21511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七、政府性基金预算收支情况说明</w:t>
          </w:r>
          <w:r>
            <w:rPr>
              <w:b/>
            </w:rPr>
            <w:tab/>
          </w:r>
          <w:r>
            <w:rPr>
              <w:b/>
            </w:rPr>
            <w:fldChar w:fldCharType="begin"/>
          </w:r>
          <w:r>
            <w:rPr>
              <w:b/>
            </w:rPr>
            <w:instrText xml:space="preserve"> PAGEREF _Toc21511 \h </w:instrText>
          </w:r>
          <w:r>
            <w:rPr>
              <w:b/>
            </w:rPr>
            <w:fldChar w:fldCharType="separate"/>
          </w:r>
          <w:r>
            <w:rPr>
              <w:b/>
            </w:rPr>
            <w:t>7</w:t>
          </w:r>
          <w:r>
            <w:rPr>
              <w:b/>
            </w:rPr>
            <w:fldChar w:fldCharType="end"/>
          </w:r>
          <w:r>
            <w:rPr>
              <w:rFonts w:hint="eastAsia" w:ascii="微软雅黑" w:hAnsi="微软雅黑" w:eastAsia="微软雅黑" w:cs="宋体"/>
              <w:b/>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_Toc15619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八、国有资本经营预算收支情况说明</w:t>
          </w:r>
          <w:r>
            <w:rPr>
              <w:b/>
            </w:rPr>
            <w:tab/>
          </w:r>
          <w:r>
            <w:rPr>
              <w:b/>
            </w:rPr>
            <w:fldChar w:fldCharType="begin"/>
          </w:r>
          <w:r>
            <w:rPr>
              <w:b/>
            </w:rPr>
            <w:instrText xml:space="preserve"> PAGEREF _Toc15619 \h </w:instrText>
          </w:r>
          <w:r>
            <w:rPr>
              <w:b/>
            </w:rPr>
            <w:fldChar w:fldCharType="separate"/>
          </w:r>
          <w:r>
            <w:rPr>
              <w:b/>
            </w:rPr>
            <w:t>7</w:t>
          </w:r>
          <w:r>
            <w:rPr>
              <w:b/>
            </w:rPr>
            <w:fldChar w:fldCharType="end"/>
          </w:r>
          <w:r>
            <w:rPr>
              <w:rFonts w:hint="eastAsia" w:ascii="微软雅黑" w:hAnsi="微软雅黑" w:eastAsia="微软雅黑" w:cs="宋体"/>
              <w:b/>
              <w:bCs/>
              <w:color w:val="333333"/>
              <w:kern w:val="36"/>
              <w:szCs w:val="38"/>
            </w:rPr>
            <w:fldChar w:fldCharType="end"/>
          </w:r>
        </w:p>
        <w:p>
          <w:pPr>
            <w:pStyle w:val="18"/>
            <w:tabs>
              <w:tab w:val="right" w:leader="dot" w:pos="8845"/>
            </w:tabs>
            <w:ind w:left="0" w:leftChars="0" w:firstLine="0" w:firstLineChars="0"/>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_Toc30676 </w:instrText>
          </w:r>
          <w:r>
            <w:rPr>
              <w:rFonts w:hint="eastAsia" w:ascii="微软雅黑" w:hAnsi="微软雅黑" w:eastAsia="微软雅黑" w:cs="宋体"/>
              <w:bCs/>
              <w:kern w:val="36"/>
              <w:szCs w:val="38"/>
            </w:rPr>
            <w:fldChar w:fldCharType="separate"/>
          </w:r>
          <w:r>
            <w:rPr>
              <w:rFonts w:hint="eastAsia" w:ascii="黑体" w:hAnsi="黑体" w:eastAsia="黑体" w:cs="黑体"/>
              <w:b/>
              <w:bCs/>
              <w:sz w:val="20"/>
              <w:szCs w:val="32"/>
              <w:lang w:val="en-US" w:eastAsia="zh-CN"/>
            </w:rPr>
            <w:t>九、其他重要事项的情况说明</w:t>
          </w:r>
          <w:r>
            <w:tab/>
          </w:r>
          <w:r>
            <w:fldChar w:fldCharType="begin"/>
          </w:r>
          <w:r>
            <w:instrText xml:space="preserve"> PAGEREF _Toc30676 \h </w:instrText>
          </w:r>
          <w:r>
            <w:fldChar w:fldCharType="separate"/>
          </w:r>
          <w:r>
            <w:t>7</w:t>
          </w:r>
          <w:r>
            <w:fldChar w:fldCharType="end"/>
          </w:r>
          <w:r>
            <w:rPr>
              <w:rFonts w:hint="eastAsia" w:ascii="微软雅黑" w:hAnsi="微软雅黑" w:eastAsia="微软雅黑" w:cs="宋体"/>
              <w:bCs/>
              <w:color w:val="333333"/>
              <w:kern w:val="36"/>
              <w:szCs w:val="38"/>
            </w:rPr>
            <w:fldChar w:fldCharType="end"/>
          </w:r>
        </w:p>
        <w:p>
          <w:pPr>
            <w:pStyle w:val="18"/>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_Toc25541 </w:instrText>
          </w:r>
          <w:r>
            <w:rPr>
              <w:rFonts w:hint="eastAsia" w:ascii="微软雅黑" w:hAnsi="微软雅黑" w:eastAsia="微软雅黑" w:cs="宋体"/>
              <w:bCs/>
              <w:kern w:val="36"/>
              <w:szCs w:val="38"/>
            </w:rPr>
            <w:fldChar w:fldCharType="separate"/>
          </w:r>
          <w:r>
            <w:rPr>
              <w:rFonts w:hint="eastAsia"/>
              <w:bCs/>
              <w:szCs w:val="32"/>
            </w:rPr>
            <w:t>（一）政府采购预算情况</w:t>
          </w:r>
          <w:r>
            <w:rPr>
              <w:rFonts w:hint="eastAsia"/>
              <w:szCs w:val="32"/>
            </w:rPr>
            <w:t> </w:t>
          </w:r>
          <w:r>
            <w:tab/>
          </w:r>
          <w:r>
            <w:fldChar w:fldCharType="begin"/>
          </w:r>
          <w:r>
            <w:instrText xml:space="preserve"> PAGEREF _Toc25541 \h </w:instrText>
          </w:r>
          <w:r>
            <w:fldChar w:fldCharType="separate"/>
          </w:r>
          <w:r>
            <w:t>7</w:t>
          </w:r>
          <w:r>
            <w:fldChar w:fldCharType="end"/>
          </w:r>
          <w:r>
            <w:rPr>
              <w:rFonts w:hint="eastAsia" w:ascii="微软雅黑" w:hAnsi="微软雅黑" w:eastAsia="微软雅黑" w:cs="宋体"/>
              <w:bCs/>
              <w:color w:val="333333"/>
              <w:kern w:val="36"/>
              <w:szCs w:val="38"/>
            </w:rPr>
            <w:fldChar w:fldCharType="end"/>
          </w:r>
        </w:p>
        <w:p>
          <w:pPr>
            <w:pStyle w:val="18"/>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_Toc4532 </w:instrText>
          </w:r>
          <w:r>
            <w:rPr>
              <w:rFonts w:hint="eastAsia" w:ascii="微软雅黑" w:hAnsi="微软雅黑" w:eastAsia="微软雅黑" w:cs="宋体"/>
              <w:bCs/>
              <w:kern w:val="36"/>
              <w:szCs w:val="38"/>
            </w:rPr>
            <w:fldChar w:fldCharType="separate"/>
          </w:r>
          <w:r>
            <w:rPr>
              <w:rFonts w:hint="eastAsia"/>
              <w:bCs/>
              <w:szCs w:val="32"/>
            </w:rPr>
            <w:t>（二）政府财政国有资产占用情况</w:t>
          </w:r>
          <w:r>
            <w:rPr>
              <w:rFonts w:hint="eastAsia"/>
              <w:szCs w:val="32"/>
            </w:rPr>
            <w:t> </w:t>
          </w:r>
          <w:r>
            <w:tab/>
          </w:r>
          <w:r>
            <w:fldChar w:fldCharType="begin"/>
          </w:r>
          <w:r>
            <w:instrText xml:space="preserve"> PAGEREF _Toc4532 \h </w:instrText>
          </w:r>
          <w:r>
            <w:fldChar w:fldCharType="separate"/>
          </w:r>
          <w:r>
            <w:t>7</w:t>
          </w:r>
          <w:r>
            <w:fldChar w:fldCharType="end"/>
          </w:r>
          <w:r>
            <w:rPr>
              <w:rFonts w:hint="eastAsia" w:ascii="微软雅黑" w:hAnsi="微软雅黑" w:eastAsia="微软雅黑" w:cs="宋体"/>
              <w:bCs/>
              <w:color w:val="333333"/>
              <w:kern w:val="36"/>
              <w:szCs w:val="38"/>
            </w:rPr>
            <w:fldChar w:fldCharType="end"/>
          </w:r>
        </w:p>
        <w:p>
          <w:pPr>
            <w:pStyle w:val="18"/>
            <w:tabs>
              <w:tab w:val="right" w:leader="dot" w:pos="8845"/>
            </w:tabs>
          </w:pPr>
          <w:r>
            <w:rPr>
              <w:rFonts w:hint="eastAsia" w:ascii="微软雅黑" w:hAnsi="微软雅黑" w:eastAsia="微软雅黑" w:cs="宋体"/>
              <w:bCs/>
              <w:color w:val="333333"/>
              <w:kern w:val="36"/>
              <w:szCs w:val="38"/>
            </w:rPr>
            <w:fldChar w:fldCharType="begin"/>
          </w:r>
          <w:r>
            <w:rPr>
              <w:rFonts w:hint="eastAsia" w:ascii="微软雅黑" w:hAnsi="微软雅黑" w:eastAsia="微软雅黑" w:cs="宋体"/>
              <w:bCs/>
              <w:kern w:val="36"/>
              <w:szCs w:val="38"/>
            </w:rPr>
            <w:instrText xml:space="preserve"> HYPERLINK \l _Toc7635 </w:instrText>
          </w:r>
          <w:r>
            <w:rPr>
              <w:rFonts w:hint="eastAsia" w:ascii="微软雅黑" w:hAnsi="微软雅黑" w:eastAsia="微软雅黑" w:cs="宋体"/>
              <w:bCs/>
              <w:kern w:val="36"/>
              <w:szCs w:val="38"/>
            </w:rPr>
            <w:fldChar w:fldCharType="separate"/>
          </w:r>
          <w:r>
            <w:rPr>
              <w:rFonts w:hint="eastAsia"/>
              <w:bCs/>
              <w:szCs w:val="32"/>
            </w:rPr>
            <w:t>（三）绩效目标设置情况</w:t>
          </w:r>
          <w:r>
            <w:tab/>
          </w:r>
          <w:r>
            <w:rPr>
              <w:rFonts w:hint="eastAsia"/>
              <w:lang w:val="en-US" w:eastAsia="zh-CN"/>
            </w:rPr>
            <w:t>8</w:t>
          </w:r>
          <w:r>
            <w:rPr>
              <w:rFonts w:hint="eastAsia" w:ascii="微软雅黑" w:hAnsi="微软雅黑" w:eastAsia="微软雅黑" w:cs="宋体"/>
              <w:bCs/>
              <w:color w:val="333333"/>
              <w:kern w:val="36"/>
              <w:szCs w:val="38"/>
            </w:rPr>
            <w:fldChar w:fldCharType="end"/>
          </w:r>
        </w:p>
        <w:p>
          <w:pPr>
            <w:pStyle w:val="17"/>
            <w:tabs>
              <w:tab w:val="right" w:leader="dot" w:pos="8845"/>
            </w:tabs>
            <w:rPr>
              <w:b/>
            </w:rPr>
          </w:pPr>
          <w:r>
            <w:rPr>
              <w:rFonts w:hint="eastAsia" w:ascii="微软雅黑" w:hAnsi="微软雅黑" w:eastAsia="微软雅黑" w:cs="宋体"/>
              <w:b/>
              <w:bCs/>
              <w:color w:val="333333"/>
              <w:kern w:val="36"/>
              <w:szCs w:val="38"/>
            </w:rPr>
            <w:fldChar w:fldCharType="begin"/>
          </w:r>
          <w:r>
            <w:rPr>
              <w:rFonts w:hint="eastAsia" w:ascii="微软雅黑" w:hAnsi="微软雅黑" w:eastAsia="微软雅黑" w:cs="宋体"/>
              <w:b/>
              <w:bCs/>
              <w:kern w:val="36"/>
              <w:szCs w:val="38"/>
            </w:rPr>
            <w:instrText xml:space="preserve"> HYPERLINK \l _Toc13857 </w:instrText>
          </w:r>
          <w:r>
            <w:rPr>
              <w:rFonts w:hint="eastAsia" w:ascii="微软雅黑" w:hAnsi="微软雅黑" w:eastAsia="微软雅黑" w:cs="宋体"/>
              <w:b/>
              <w:bCs/>
              <w:kern w:val="36"/>
              <w:szCs w:val="38"/>
            </w:rPr>
            <w:fldChar w:fldCharType="separate"/>
          </w:r>
          <w:r>
            <w:rPr>
              <w:rFonts w:hint="eastAsia" w:ascii="黑体" w:hAnsi="黑体" w:eastAsia="黑体" w:cs="黑体"/>
              <w:b/>
              <w:bCs/>
              <w:szCs w:val="32"/>
              <w:lang w:val="en-US" w:eastAsia="zh-CN"/>
            </w:rPr>
            <w:t>十、名词解释</w:t>
          </w:r>
          <w:r>
            <w:rPr>
              <w:b/>
            </w:rPr>
            <w:tab/>
          </w:r>
          <w:r>
            <w:rPr>
              <w:rFonts w:hint="eastAsia"/>
              <w:b/>
              <w:lang w:val="en-US" w:eastAsia="zh-CN"/>
            </w:rPr>
            <w:t>8</w:t>
          </w:r>
          <w:r>
            <w:rPr>
              <w:rFonts w:hint="eastAsia" w:ascii="微软雅黑" w:hAnsi="微软雅黑" w:eastAsia="微软雅黑" w:cs="宋体"/>
              <w:b/>
              <w:bCs/>
              <w:color w:val="333333"/>
              <w:kern w:val="36"/>
              <w:szCs w:val="38"/>
            </w:rPr>
            <w:fldChar w:fldCharType="end"/>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微软雅黑" w:hAnsi="微软雅黑" w:eastAsia="微软雅黑" w:cs="宋体"/>
              <w:b/>
              <w:bCs/>
              <w:color w:val="333333"/>
              <w:kern w:val="36"/>
              <w:sz w:val="38"/>
              <w:szCs w:val="38"/>
            </w:rPr>
          </w:pPr>
          <w:r>
            <w:rPr>
              <w:rFonts w:hint="eastAsia" w:ascii="微软雅黑" w:hAnsi="微软雅黑" w:eastAsia="微软雅黑" w:cs="宋体"/>
              <w:b/>
              <w:bCs/>
              <w:color w:val="333333"/>
              <w:kern w:val="36"/>
              <w:szCs w:val="38"/>
            </w:rPr>
            <w:fldChar w:fldCharType="end"/>
          </w:r>
        </w:p>
      </w:sdtContent>
    </w:sdt>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微软雅黑" w:hAnsi="微软雅黑" w:eastAsia="微软雅黑" w:cs="宋体"/>
          <w:b/>
          <w:bCs/>
          <w:color w:val="333333"/>
          <w:kern w:val="36"/>
          <w:sz w:val="38"/>
          <w:szCs w:val="38"/>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微软雅黑" w:hAnsi="微软雅黑" w:eastAsia="微软雅黑" w:cs="宋体"/>
          <w:b/>
          <w:bCs/>
          <w:color w:val="333333"/>
          <w:kern w:val="36"/>
          <w:sz w:val="38"/>
          <w:szCs w:val="38"/>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微软雅黑" w:hAnsi="微软雅黑" w:eastAsia="微软雅黑" w:cs="宋体"/>
          <w:b/>
          <w:bCs/>
          <w:color w:val="333333"/>
          <w:kern w:val="36"/>
          <w:sz w:val="38"/>
          <w:szCs w:val="38"/>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微软雅黑" w:hAnsi="微软雅黑" w:eastAsia="微软雅黑" w:cs="宋体"/>
          <w:b/>
          <w:bCs/>
          <w:color w:val="333333"/>
          <w:kern w:val="36"/>
          <w:sz w:val="38"/>
          <w:szCs w:val="38"/>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微软雅黑" w:hAnsi="微软雅黑" w:eastAsia="微软雅黑" w:cs="宋体"/>
          <w:b/>
          <w:bCs/>
          <w:color w:val="333333"/>
          <w:kern w:val="36"/>
          <w:sz w:val="38"/>
          <w:szCs w:val="38"/>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微软雅黑" w:hAnsi="微软雅黑" w:eastAsia="微软雅黑" w:cs="宋体"/>
          <w:b/>
          <w:bCs/>
          <w:color w:val="333333"/>
          <w:kern w:val="36"/>
          <w:sz w:val="38"/>
          <w:szCs w:val="38"/>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微软雅黑" w:hAnsi="微软雅黑" w:eastAsia="微软雅黑" w:cs="宋体"/>
          <w:b/>
          <w:bCs/>
          <w:color w:val="333333"/>
          <w:kern w:val="36"/>
          <w:sz w:val="38"/>
          <w:szCs w:val="38"/>
        </w:rPr>
      </w:pPr>
    </w:p>
    <w:p>
      <w:pPr>
        <w:bidi w:val="0"/>
        <w:jc w:val="left"/>
        <w:rPr>
          <w:rFonts w:hint="eastAsia"/>
          <w:lang w:val="en-US" w:eastAsia="zh-CN"/>
        </w:rPr>
        <w:sectPr>
          <w:pgSz w:w="11906" w:h="16838"/>
          <w:pgMar w:top="2098" w:right="1474" w:bottom="1984" w:left="1587" w:header="851" w:footer="992" w:gutter="0"/>
          <w:pgNumType w:fmt="decimal" w:start="1"/>
          <w:cols w:space="425" w:num="1"/>
          <w:docGrid w:type="lines" w:linePitch="312" w:charSpace="0"/>
        </w:sectPr>
      </w:pPr>
      <w:bookmarkStart w:id="0" w:name="_Toc682"/>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微软雅黑" w:hAnsi="微软雅黑" w:eastAsia="微软雅黑" w:cs="宋体"/>
          <w:b/>
          <w:bCs/>
          <w:color w:val="333333"/>
          <w:kern w:val="36"/>
          <w:sz w:val="38"/>
          <w:szCs w:val="38"/>
        </w:rPr>
      </w:pPr>
      <w:r>
        <w:rPr>
          <w:rFonts w:hint="eastAsia" w:ascii="微软雅黑" w:hAnsi="微软雅黑" w:eastAsia="微软雅黑" w:cs="宋体"/>
          <w:b/>
          <w:bCs/>
          <w:color w:val="333333"/>
          <w:kern w:val="36"/>
          <w:sz w:val="38"/>
          <w:szCs w:val="38"/>
        </w:rPr>
        <w:t>关于中共红原县纪律检查委员会202</w:t>
      </w:r>
      <w:r>
        <w:rPr>
          <w:rFonts w:hint="eastAsia" w:ascii="微软雅黑" w:hAnsi="微软雅黑" w:eastAsia="微软雅黑" w:cs="宋体"/>
          <w:b/>
          <w:bCs/>
          <w:color w:val="333333"/>
          <w:kern w:val="36"/>
          <w:sz w:val="38"/>
          <w:szCs w:val="38"/>
          <w:lang w:val="en-US" w:eastAsia="zh-CN"/>
        </w:rPr>
        <w:t>5</w:t>
      </w:r>
      <w:r>
        <w:rPr>
          <w:rFonts w:hint="eastAsia" w:ascii="微软雅黑" w:hAnsi="微软雅黑" w:eastAsia="微软雅黑" w:cs="宋体"/>
          <w:b/>
          <w:bCs/>
          <w:color w:val="333333"/>
          <w:kern w:val="36"/>
          <w:sz w:val="38"/>
          <w:szCs w:val="38"/>
        </w:rPr>
        <w:t>年部门</w:t>
      </w:r>
      <w:bookmarkEnd w:id="0"/>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ascii="微软雅黑" w:hAnsi="微软雅黑" w:eastAsia="微软雅黑" w:cs="宋体"/>
          <w:b/>
          <w:bCs/>
          <w:color w:val="333333"/>
          <w:kern w:val="36"/>
          <w:sz w:val="38"/>
          <w:szCs w:val="38"/>
        </w:rPr>
      </w:pPr>
      <w:bookmarkStart w:id="1" w:name="_Toc25153"/>
      <w:r>
        <w:rPr>
          <w:rFonts w:hint="eastAsia" w:ascii="微软雅黑" w:hAnsi="微软雅黑" w:eastAsia="微软雅黑" w:cs="宋体"/>
          <w:b/>
          <w:bCs/>
          <w:color w:val="333333"/>
          <w:kern w:val="36"/>
          <w:sz w:val="38"/>
          <w:szCs w:val="38"/>
        </w:rPr>
        <w:t>预算编制的说明</w:t>
      </w:r>
      <w:bookmarkEnd w:id="1"/>
    </w:p>
    <w:p>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color w:val="333333"/>
        </w:rPr>
      </w:pPr>
    </w:p>
    <w:p>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rPr>
          <w:color w:val="333333"/>
          <w:sz w:val="32"/>
          <w:szCs w:val="32"/>
        </w:rPr>
      </w:pPr>
      <w:r>
        <w:rPr>
          <w:rFonts w:hint="eastAsia"/>
          <w:color w:val="333333"/>
          <w:sz w:val="32"/>
          <w:szCs w:val="32"/>
        </w:rPr>
        <w:t>按照预算管理有关规定，目前部门预算的编制实行综合预算制度，即全部收入和支出都反映在预算中。</w:t>
      </w:r>
    </w:p>
    <w:p>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outlineLvl w:val="0"/>
        <w:rPr>
          <w:rFonts w:hint="eastAsia" w:ascii="黑体" w:hAnsi="黑体" w:eastAsia="黑体" w:cs="黑体"/>
          <w:b/>
          <w:bCs/>
          <w:color w:val="333333"/>
          <w:sz w:val="32"/>
          <w:szCs w:val="32"/>
        </w:rPr>
      </w:pPr>
      <w:bookmarkStart w:id="2" w:name="_Toc20617"/>
      <w:r>
        <w:rPr>
          <w:rFonts w:hint="eastAsia" w:ascii="黑体" w:hAnsi="黑体" w:eastAsia="黑体" w:cs="黑体"/>
          <w:b/>
          <w:bCs/>
          <w:color w:val="333333"/>
          <w:sz w:val="32"/>
          <w:szCs w:val="32"/>
        </w:rPr>
        <w:t>一、基本职能及主要工作</w:t>
      </w:r>
      <w:bookmarkEnd w:id="2"/>
    </w:p>
    <w:p>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outlineLvl w:val="1"/>
        <w:rPr>
          <w:rFonts w:hint="eastAsia"/>
          <w:color w:val="333333"/>
          <w:sz w:val="32"/>
          <w:szCs w:val="32"/>
        </w:rPr>
      </w:pPr>
      <w:bookmarkStart w:id="3" w:name="_Toc27833"/>
      <w:r>
        <w:rPr>
          <w:rFonts w:hint="eastAsia"/>
          <w:b/>
          <w:bCs/>
          <w:color w:val="333333"/>
          <w:sz w:val="32"/>
          <w:szCs w:val="32"/>
        </w:rPr>
        <w:t>（一）基本职能</w:t>
      </w:r>
      <w:bookmarkEnd w:id="3"/>
    </w:p>
    <w:p>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rPr>
          <w:rFonts w:hint="eastAsia"/>
          <w:color w:val="333333"/>
          <w:sz w:val="32"/>
          <w:szCs w:val="32"/>
        </w:rPr>
      </w:pPr>
      <w:r>
        <w:rPr>
          <w:rFonts w:hint="eastAsia"/>
          <w:color w:val="333333"/>
          <w:sz w:val="32"/>
          <w:szCs w:val="32"/>
        </w:rPr>
        <w:t>红原县纪委是由中国共产党红原县代表大会选举产生；红原县监委是由红原县人民代表大会选举产生。县纪委与县监委合署办公，实行一套工作机构、两个机关名称，履行党的纪律检查和国家监察两项职责，在中共红原县委和州纪委监委双重领导下开展工作。其主要职责：</w:t>
      </w:r>
      <w:r>
        <w:rPr>
          <w:rFonts w:hint="eastAsia"/>
          <w:b/>
          <w:bCs/>
          <w:color w:val="333333"/>
          <w:sz w:val="32"/>
          <w:szCs w:val="32"/>
        </w:rPr>
        <w:t>一是</w:t>
      </w:r>
      <w:r>
        <w:rPr>
          <w:rFonts w:hint="eastAsia"/>
          <w:color w:val="333333"/>
          <w:sz w:val="32"/>
          <w:szCs w:val="32"/>
        </w:rPr>
        <w:t>负责全县党的纪律检查工作。贯彻党的章程和其他党内法规，检查党的路线方针政策和决议的执行情况，协助县委推进全面从严治党、加强党风廉政建设和组织协调反腐败工作。</w:t>
      </w:r>
      <w:r>
        <w:rPr>
          <w:rFonts w:hint="eastAsia"/>
          <w:b/>
          <w:bCs/>
          <w:color w:val="333333"/>
          <w:sz w:val="32"/>
          <w:szCs w:val="32"/>
        </w:rPr>
        <w:t>二是</w:t>
      </w:r>
      <w:r>
        <w:rPr>
          <w:rFonts w:hint="eastAsia"/>
          <w:color w:val="333333"/>
          <w:sz w:val="32"/>
          <w:szCs w:val="32"/>
        </w:rPr>
        <w:t>依照党的章程和其他党内法规履行监督、执纪、问责职责。负责经常对党员进行遵纪守法教育，作出关于维护党纪的决定。对县委工作部门。县委批准设立的党组织（党委）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r>
        <w:rPr>
          <w:rFonts w:hint="eastAsia"/>
          <w:b/>
          <w:bCs/>
          <w:color w:val="333333"/>
          <w:sz w:val="32"/>
          <w:szCs w:val="32"/>
        </w:rPr>
        <w:t>三是</w:t>
      </w:r>
      <w:r>
        <w:rPr>
          <w:rFonts w:hint="eastAsia"/>
          <w:color w:val="333333"/>
          <w:sz w:val="32"/>
          <w:szCs w:val="32"/>
        </w:rPr>
        <w:t>负责全县监察工作。贯彻落实党中央、省委、州委县委关于监察工作的决定，维护宪法法律，依法对县委管理的行使公权力的公职人员进行监察，调查职务违法和职务犯罪，开展廉政建设和反腐败工作。</w:t>
      </w:r>
      <w:r>
        <w:rPr>
          <w:rFonts w:hint="eastAsia"/>
          <w:b/>
          <w:bCs/>
          <w:color w:val="333333"/>
          <w:sz w:val="32"/>
          <w:szCs w:val="32"/>
        </w:rPr>
        <w:t>四是</w:t>
      </w:r>
      <w:r>
        <w:rPr>
          <w:rFonts w:hint="eastAsia"/>
          <w:color w:val="333333"/>
          <w:sz w:val="32"/>
          <w:szCs w:val="32"/>
        </w:rPr>
        <w:t>依照法律规定履行监督、调查、处置职责。推动开展廉政教育，对县委管理的行使公权力的公职人员依法履职、秉公用权、</w:t>
      </w:r>
      <w:r>
        <w:rPr>
          <w:rFonts w:hint="eastAsia"/>
          <w:color w:val="333333"/>
          <w:sz w:val="32"/>
          <w:szCs w:val="32"/>
          <w:lang w:val="en-US" w:eastAsia="zh-CN"/>
        </w:rPr>
        <w:t>廉</w:t>
      </w:r>
      <w:r>
        <w:rPr>
          <w:rFonts w:hint="eastAsia"/>
          <w:color w:val="333333"/>
          <w:sz w:val="32"/>
          <w:szCs w:val="32"/>
        </w:rPr>
        <w:t>洁从政从业以及道德操守情况进行监督检查。对涉嫌贪污贿赂、滥用职权、玩忽职守、</w:t>
      </w:r>
      <w:r>
        <w:rPr>
          <w:rFonts w:hint="eastAsia"/>
          <w:color w:val="333333"/>
          <w:sz w:val="32"/>
          <w:szCs w:val="32"/>
          <w:lang w:val="en-US" w:eastAsia="zh-CN"/>
        </w:rPr>
        <w:t>权</w:t>
      </w:r>
      <w:r>
        <w:rPr>
          <w:rFonts w:hint="eastAsia"/>
          <w:color w:val="333333"/>
          <w:sz w:val="32"/>
          <w:szCs w:val="32"/>
        </w:rPr>
        <w:t>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r>
        <w:rPr>
          <w:rFonts w:hint="eastAsia"/>
          <w:b/>
          <w:bCs/>
          <w:color w:val="333333"/>
          <w:sz w:val="32"/>
          <w:szCs w:val="32"/>
        </w:rPr>
        <w:t>五是</w:t>
      </w:r>
      <w:r>
        <w:rPr>
          <w:rFonts w:hint="eastAsia"/>
          <w:color w:val="333333"/>
          <w:sz w:val="32"/>
          <w:szCs w:val="32"/>
        </w:rPr>
        <w:t>负责组织协调全面从严治党、党风廉政建设和反腐败宣传教育工作。</w:t>
      </w:r>
      <w:r>
        <w:rPr>
          <w:rFonts w:hint="eastAsia"/>
          <w:b/>
          <w:bCs/>
          <w:color w:val="333333"/>
          <w:sz w:val="32"/>
          <w:szCs w:val="32"/>
        </w:rPr>
        <w:t>六是</w:t>
      </w:r>
      <w:r>
        <w:rPr>
          <w:rFonts w:hint="eastAsia"/>
          <w:color w:val="333333"/>
          <w:sz w:val="32"/>
          <w:szCs w:val="32"/>
        </w:rPr>
        <w:t>负责综合分析全面从严治党、党风廉政建设和反腐败工作情况，对纪检监察工作重要理论及实践问题进行调查研究参与起草我县规范性文件。</w:t>
      </w:r>
      <w:r>
        <w:rPr>
          <w:rFonts w:hint="eastAsia"/>
          <w:b/>
          <w:bCs/>
          <w:color w:val="333333"/>
          <w:sz w:val="32"/>
          <w:szCs w:val="32"/>
        </w:rPr>
        <w:t>七是</w:t>
      </w:r>
      <w:r>
        <w:rPr>
          <w:rFonts w:hint="eastAsia"/>
          <w:color w:val="333333"/>
          <w:sz w:val="32"/>
          <w:szCs w:val="32"/>
        </w:rPr>
        <w:t>在州纪委监委的领导下，加强对反腐败国际追逃追赃和防逃工作的组织协调，督促有关部门做好相关工作。</w:t>
      </w:r>
      <w:r>
        <w:rPr>
          <w:rFonts w:hint="eastAsia"/>
          <w:b/>
          <w:bCs/>
          <w:color w:val="333333"/>
          <w:sz w:val="32"/>
          <w:szCs w:val="32"/>
        </w:rPr>
        <w:t>八是</w:t>
      </w:r>
      <w:r>
        <w:rPr>
          <w:rFonts w:hint="eastAsia"/>
          <w:color w:val="333333"/>
          <w:sz w:val="32"/>
          <w:szCs w:val="32"/>
        </w:rPr>
        <w:t>根据干部管理权限，负责纪检监察系统领导班子建设干部队伍建设和组织建设的综合规划、政策研究、制度建设和业务指导。会同有关方面做好县纪委监委派驻机构、乡镇纪委监察室领导班子建设有关工作。组织和指导纪检监察系统干部教育培训工作等。</w:t>
      </w:r>
      <w:r>
        <w:rPr>
          <w:rFonts w:hint="eastAsia"/>
          <w:b/>
          <w:bCs/>
          <w:color w:val="333333"/>
          <w:sz w:val="32"/>
          <w:szCs w:val="32"/>
        </w:rPr>
        <w:t>九是</w:t>
      </w:r>
      <w:r>
        <w:rPr>
          <w:rFonts w:hint="eastAsia"/>
          <w:color w:val="333333"/>
          <w:sz w:val="32"/>
          <w:szCs w:val="32"/>
        </w:rPr>
        <w:t>完成县委和州纪委监委交办的其他任务。</w:t>
      </w:r>
    </w:p>
    <w:p>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outlineLvl w:val="1"/>
        <w:rPr>
          <w:rFonts w:hint="eastAsia"/>
          <w:color w:val="333333"/>
          <w:sz w:val="32"/>
          <w:szCs w:val="32"/>
        </w:rPr>
      </w:pPr>
      <w:bookmarkStart w:id="4" w:name="_Toc30852"/>
      <w:r>
        <w:rPr>
          <w:rFonts w:hint="eastAsia"/>
          <w:b/>
          <w:bCs/>
          <w:color w:val="333333"/>
          <w:sz w:val="32"/>
          <w:szCs w:val="32"/>
        </w:rPr>
        <w:t>（二）202</w:t>
      </w:r>
      <w:r>
        <w:rPr>
          <w:rFonts w:hint="eastAsia"/>
          <w:b/>
          <w:bCs/>
          <w:color w:val="333333"/>
          <w:sz w:val="32"/>
          <w:szCs w:val="32"/>
          <w:lang w:val="en-US" w:eastAsia="zh-CN"/>
        </w:rPr>
        <w:t>5</w:t>
      </w:r>
      <w:r>
        <w:rPr>
          <w:rFonts w:hint="eastAsia"/>
          <w:b/>
          <w:bCs/>
          <w:color w:val="333333"/>
          <w:sz w:val="32"/>
          <w:szCs w:val="32"/>
        </w:rPr>
        <w:t>年重点工作任务</w:t>
      </w:r>
      <w:bookmarkEnd w:id="4"/>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红原县纪委监委将进一步理清工作思路，聚焦县委中心工作，秉持严的主基调，列好任务清单，压实工作责任，抓好督促落实，切实发挥监督保障执行、促进完善发展作用，推动全县党风廉政建设和反腐败工作取得新的成效。</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1.坚持把政治监督放在首位，围绕党的二十届三中全会、</w:t>
      </w:r>
      <w:r>
        <w:rPr>
          <w:rFonts w:hint="default" w:ascii="宋体" w:hAnsi="宋体" w:eastAsia="宋体" w:cs="宋体"/>
          <w:color w:val="333333"/>
          <w:kern w:val="0"/>
          <w:sz w:val="32"/>
          <w:szCs w:val="32"/>
          <w:lang w:val="en-US" w:eastAsia="zh-CN" w:bidi="ar-SA"/>
        </w:rPr>
        <w:t>反分维稳、</w:t>
      </w:r>
      <w:r>
        <w:rPr>
          <w:rFonts w:hint="eastAsia" w:ascii="宋体" w:hAnsi="宋体" w:eastAsia="宋体" w:cs="宋体"/>
          <w:color w:val="333333"/>
          <w:kern w:val="0"/>
          <w:sz w:val="32"/>
          <w:szCs w:val="32"/>
          <w:lang w:val="en-US" w:eastAsia="zh-CN" w:bidi="ar-SA"/>
        </w:rPr>
        <w:t>控辍保学、</w:t>
      </w:r>
      <w:r>
        <w:rPr>
          <w:rFonts w:hint="default" w:ascii="宋体" w:hAnsi="宋体" w:eastAsia="宋体" w:cs="宋体"/>
          <w:color w:val="333333"/>
          <w:kern w:val="0"/>
          <w:sz w:val="32"/>
          <w:szCs w:val="32"/>
          <w:lang w:val="en-US" w:eastAsia="zh-CN" w:bidi="ar-SA"/>
        </w:rPr>
        <w:t>城乡环境质量提升、黄河流域生态保护和高质量发展等工作</w:t>
      </w:r>
      <w:r>
        <w:rPr>
          <w:rFonts w:hint="eastAsia" w:ascii="宋体" w:hAnsi="宋体" w:eastAsia="宋体" w:cs="宋体"/>
          <w:color w:val="333333"/>
          <w:kern w:val="0"/>
          <w:sz w:val="32"/>
          <w:szCs w:val="32"/>
          <w:lang w:val="en-US" w:eastAsia="zh-CN" w:bidi="ar-SA"/>
        </w:rPr>
        <w:t>的贯彻落实，持续深入</w:t>
      </w:r>
      <w:r>
        <w:rPr>
          <w:rFonts w:hint="default" w:ascii="宋体" w:hAnsi="宋体" w:eastAsia="宋体" w:cs="宋体"/>
          <w:color w:val="333333"/>
          <w:kern w:val="0"/>
          <w:sz w:val="32"/>
          <w:szCs w:val="32"/>
          <w:lang w:val="en-US" w:eastAsia="zh-CN" w:bidi="ar-SA"/>
        </w:rPr>
        <w:t>开展监督</w:t>
      </w:r>
      <w:r>
        <w:rPr>
          <w:rFonts w:hint="eastAsia" w:ascii="宋体" w:hAnsi="宋体" w:eastAsia="宋体" w:cs="宋体"/>
          <w:color w:val="333333"/>
          <w:kern w:val="0"/>
          <w:sz w:val="32"/>
          <w:szCs w:val="32"/>
          <w:lang w:val="en-US" w:eastAsia="zh-CN" w:bidi="ar-SA"/>
        </w:rPr>
        <w:t>检查</w:t>
      </w:r>
      <w:r>
        <w:rPr>
          <w:rFonts w:hint="default" w:ascii="宋体" w:hAnsi="宋体" w:eastAsia="宋体" w:cs="宋体"/>
          <w:color w:val="333333"/>
          <w:kern w:val="0"/>
          <w:sz w:val="32"/>
          <w:szCs w:val="32"/>
          <w:lang w:val="en-US" w:eastAsia="zh-CN" w:bidi="ar-SA"/>
        </w:rPr>
        <w:t>，</w:t>
      </w:r>
      <w:r>
        <w:rPr>
          <w:rFonts w:hint="eastAsia" w:ascii="宋体" w:hAnsi="宋体" w:eastAsia="宋体" w:cs="宋体"/>
          <w:color w:val="333333"/>
          <w:kern w:val="0"/>
          <w:sz w:val="32"/>
          <w:szCs w:val="32"/>
          <w:lang w:val="en-US" w:eastAsia="zh-CN" w:bidi="ar-SA"/>
        </w:rPr>
        <w:t>确保习近平总书记和党中央、省委、州委决策部署在红原落地落实。</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2.完善纪检监察专责监督体系，持续推进纪律监督、巡察监督、监察监督、派驻监督统筹衔接常态化制度化，完善以党委监督为主导，各类监督贯通协调机制。统筹用好县乡监督力量，推动加大基层办案力度。</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3.开展群众身边不正之风和腐败问题集中整治，坚持“人民至上”理念，以群众“点题式”监督为抓手，通过专项治理、阳光问廉、发函督办、专题会议、追责问责等纪检监察方式推动解决群众急难愁盼问题，实现群众信任监督，监督回报信任的良性循环。</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4.坚持办案引领，坚决查处重点领域腐败问题，深化“坝尚清风”行动，深入整治权力集中、资金密集、资源富集领域腐败问题，持续保持惩治腐败高压态势。</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5.结合案件查办工作，分阶段、分行业开展以案促改、以案促治工作，做好查办案件“后半篇文章”，督促协同有关部门开展专项治理。完善纪检监察建议提出、督办、反馈和回访机制，增强刚性约束，推动重点领域体制机制改革，持续深化招投标领域突出问题整治，促进相关领域运行机制，把权力关进制度的笼子。</w:t>
      </w:r>
      <w:bookmarkStart w:id="5" w:name="_Toc13245"/>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黑体" w:hAnsi="黑体" w:eastAsia="黑体" w:cs="黑体"/>
          <w:b/>
          <w:bCs/>
          <w:color w:val="333333"/>
          <w:sz w:val="32"/>
          <w:szCs w:val="32"/>
        </w:rPr>
      </w:pPr>
      <w:r>
        <w:rPr>
          <w:rFonts w:hint="eastAsia" w:ascii="黑体" w:hAnsi="黑体" w:eastAsia="黑体" w:cs="黑体"/>
          <w:b/>
          <w:bCs/>
          <w:color w:val="333333"/>
          <w:sz w:val="32"/>
          <w:szCs w:val="32"/>
        </w:rPr>
        <w:t>部门预算单位构成</w:t>
      </w:r>
      <w:bookmarkEnd w:id="5"/>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中共红原县纪律检查委员会内设办公室、信访室、党风室、案管室、第一至第四纪检监察室等8个科室及第一至第五派驻纪检监察组等5个纪检组。下设中共红原县巡察办保障服务中心（事业），我单位为独立核算全额拨款行政单位。截至2024年底我委共有在职人员47人，其中公务员42人，行政工勤4人，事业管理人员1人。</w:t>
      </w:r>
      <w:bookmarkStart w:id="6" w:name="_Toc10033"/>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ascii="黑体" w:hAnsi="黑体" w:eastAsia="黑体" w:cs="黑体"/>
          <w:b/>
          <w:bCs/>
          <w:color w:val="333333"/>
          <w:sz w:val="32"/>
          <w:szCs w:val="32"/>
        </w:rPr>
      </w:pPr>
      <w:r>
        <w:rPr>
          <w:rFonts w:hint="eastAsia" w:ascii="黑体" w:hAnsi="黑体" w:eastAsia="黑体" w:cs="黑体"/>
          <w:b/>
          <w:bCs/>
          <w:color w:val="333333"/>
          <w:sz w:val="32"/>
          <w:szCs w:val="32"/>
        </w:rPr>
        <w:t>收支预算总体情况</w:t>
      </w:r>
      <w:bookmarkEnd w:id="6"/>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2025年纪委收入预算总额为1367.39万元，其中：当年财政拨款收入1367.39万元。相应安排支出预算1367.39万元，其中：一般公共服务1031.94万元，社会保障和就业174.11万元，卫生健康支出64.71万元，住房保障支出96.62万元。</w:t>
      </w:r>
      <w:bookmarkStart w:id="7" w:name="_Toc23214"/>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ascii="黑体" w:hAnsi="黑体" w:eastAsia="黑体" w:cs="黑体"/>
          <w:b/>
          <w:bCs/>
          <w:color w:val="333333"/>
          <w:sz w:val="32"/>
          <w:szCs w:val="32"/>
        </w:rPr>
      </w:pPr>
      <w:r>
        <w:rPr>
          <w:rFonts w:hint="eastAsia" w:ascii="黑体" w:hAnsi="黑体" w:eastAsia="黑体" w:cs="黑体"/>
          <w:b/>
          <w:bCs/>
          <w:color w:val="333333"/>
          <w:sz w:val="32"/>
          <w:szCs w:val="32"/>
        </w:rPr>
        <w:t>支出预算安排情况</w:t>
      </w:r>
      <w:bookmarkEnd w:id="7"/>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纪委预算安排支出主要用于保障该部门机构正常运转、完成日常工作任务以及承担纪检监察事业发展相关工作。 </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基本支出1367.39万元。其中人员经费支出1334.84万元，机关运行经费198.09万元，其中：办公费60.63万元，差旅费43.5万元，工会经费8.71万元，公务用车运行维护费26万元，印刷费10.5万元，水费1万元，电费4.81万元，邮电费3万元，培训费1万元，公务接待费0.5万元，劳务费1万元、手续费0.07万元、福利费21.27万元、物业管理费2.5万元、其它交通费2万元、其它商品和服务支出11.6万元。</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按支出功能分类主要用于以下方面:</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b/>
          <w:bCs/>
          <w:color w:val="333333"/>
          <w:sz w:val="32"/>
          <w:szCs w:val="32"/>
        </w:rPr>
        <w:t>（一）</w:t>
      </w:r>
      <w:r>
        <w:rPr>
          <w:rFonts w:hint="eastAsia" w:ascii="宋体" w:hAnsi="宋体" w:eastAsia="宋体" w:cs="宋体"/>
          <w:b/>
          <w:bCs/>
          <w:i w:val="0"/>
          <w:caps w:val="0"/>
          <w:color w:val="333333"/>
          <w:spacing w:val="0"/>
          <w:sz w:val="32"/>
          <w:szCs w:val="32"/>
        </w:rPr>
        <w:t>201</w:t>
      </w:r>
      <w:r>
        <w:rPr>
          <w:rFonts w:hint="eastAsia" w:ascii="宋体" w:hAnsi="宋体" w:eastAsia="宋体" w:cs="宋体"/>
          <w:b/>
          <w:bCs/>
          <w:i w:val="0"/>
          <w:caps w:val="0"/>
          <w:color w:val="333333"/>
          <w:spacing w:val="0"/>
          <w:sz w:val="32"/>
          <w:szCs w:val="32"/>
          <w:lang w:val="en-US" w:eastAsia="zh-CN"/>
        </w:rPr>
        <w:t>1</w:t>
      </w:r>
      <w:r>
        <w:rPr>
          <w:rFonts w:hint="eastAsia" w:ascii="宋体" w:hAnsi="宋体" w:eastAsia="宋体" w:cs="宋体"/>
          <w:b/>
          <w:bCs/>
          <w:i w:val="0"/>
          <w:caps w:val="0"/>
          <w:color w:val="333333"/>
          <w:spacing w:val="0"/>
          <w:sz w:val="32"/>
          <w:szCs w:val="32"/>
        </w:rPr>
        <w:t>101-行政运行</w:t>
      </w:r>
      <w:r>
        <w:rPr>
          <w:rFonts w:hint="eastAsia"/>
          <w:b/>
          <w:bCs/>
          <w:color w:val="333333"/>
          <w:sz w:val="32"/>
          <w:szCs w:val="32"/>
          <w:lang w:val="en-US" w:eastAsia="zh-CN"/>
        </w:rPr>
        <w:t>971.9</w:t>
      </w:r>
      <w:r>
        <w:rPr>
          <w:rFonts w:hint="eastAsia"/>
          <w:b/>
          <w:bCs/>
          <w:color w:val="333333"/>
          <w:sz w:val="32"/>
          <w:szCs w:val="32"/>
        </w:rPr>
        <w:t>万元</w:t>
      </w:r>
      <w:r>
        <w:rPr>
          <w:rFonts w:hint="eastAsia"/>
          <w:b/>
          <w:bCs/>
          <w:color w:val="333333"/>
          <w:sz w:val="32"/>
          <w:szCs w:val="32"/>
          <w:lang w:eastAsia="zh-CN"/>
        </w:rPr>
        <w:t>。</w:t>
      </w:r>
      <w:r>
        <w:rPr>
          <w:rFonts w:hint="eastAsia" w:ascii="宋体" w:hAnsi="宋体" w:eastAsia="宋体" w:cs="宋体"/>
          <w:color w:val="333333"/>
          <w:kern w:val="0"/>
          <w:sz w:val="32"/>
          <w:szCs w:val="32"/>
          <w:lang w:val="en-US" w:eastAsia="zh-CN" w:bidi="ar-SA"/>
        </w:rPr>
        <w:t>主要用于机关单位人员工资、日常运转以及为完成特定行政工作任务目标而安排的年度项目支出。</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cs="宋体"/>
          <w:b/>
          <w:bCs/>
          <w:i w:val="0"/>
          <w:caps w:val="0"/>
          <w:color w:val="333333"/>
          <w:spacing w:val="0"/>
          <w:sz w:val="32"/>
          <w:szCs w:val="32"/>
          <w:lang w:val="en-US" w:eastAsia="zh-CN"/>
        </w:rPr>
        <w:t>(二）</w:t>
      </w:r>
      <w:r>
        <w:rPr>
          <w:rFonts w:hint="eastAsia" w:ascii="宋体" w:hAnsi="宋体" w:eastAsia="宋体" w:cs="宋体"/>
          <w:b/>
          <w:bCs/>
          <w:i w:val="0"/>
          <w:caps w:val="0"/>
          <w:color w:val="333333"/>
          <w:spacing w:val="0"/>
          <w:sz w:val="32"/>
          <w:szCs w:val="32"/>
        </w:rPr>
        <w:t>201</w:t>
      </w:r>
      <w:r>
        <w:rPr>
          <w:rFonts w:hint="eastAsia" w:ascii="宋体" w:hAnsi="宋体" w:eastAsia="宋体" w:cs="宋体"/>
          <w:b/>
          <w:bCs/>
          <w:i w:val="0"/>
          <w:caps w:val="0"/>
          <w:color w:val="333333"/>
          <w:spacing w:val="0"/>
          <w:sz w:val="32"/>
          <w:szCs w:val="32"/>
          <w:lang w:val="en-US" w:eastAsia="zh-CN"/>
        </w:rPr>
        <w:t>1</w:t>
      </w:r>
      <w:r>
        <w:rPr>
          <w:rFonts w:hint="eastAsia" w:ascii="宋体" w:hAnsi="宋体" w:eastAsia="宋体" w:cs="宋体"/>
          <w:b/>
          <w:bCs/>
          <w:i w:val="0"/>
          <w:caps w:val="0"/>
          <w:color w:val="333333"/>
          <w:spacing w:val="0"/>
          <w:sz w:val="32"/>
          <w:szCs w:val="32"/>
        </w:rPr>
        <w:t>150-事业运行</w:t>
      </w:r>
      <w:r>
        <w:rPr>
          <w:rFonts w:hint="eastAsia" w:cs="宋体"/>
          <w:b/>
          <w:bCs/>
          <w:i w:val="0"/>
          <w:caps w:val="0"/>
          <w:color w:val="333333"/>
          <w:spacing w:val="0"/>
          <w:sz w:val="32"/>
          <w:szCs w:val="32"/>
          <w:lang w:val="en-US" w:eastAsia="zh-CN"/>
        </w:rPr>
        <w:t>20.04</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color w:val="333333"/>
          <w:kern w:val="0"/>
          <w:sz w:val="32"/>
          <w:szCs w:val="32"/>
          <w:lang w:val="en-US" w:eastAsia="zh-CN" w:bidi="ar-SA"/>
        </w:rPr>
        <w:t>主要用于事业单位人员工资、日常运转、和事业发展等支出；</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cs="宋体"/>
          <w:b/>
          <w:bCs/>
          <w:i w:val="0"/>
          <w:caps w:val="0"/>
          <w:color w:val="333333"/>
          <w:spacing w:val="0"/>
          <w:sz w:val="32"/>
          <w:szCs w:val="32"/>
          <w:lang w:eastAsia="zh-CN"/>
        </w:rPr>
        <w:t>（</w:t>
      </w:r>
      <w:r>
        <w:rPr>
          <w:rFonts w:hint="eastAsia" w:cs="宋体"/>
          <w:b/>
          <w:bCs/>
          <w:i w:val="0"/>
          <w:caps w:val="0"/>
          <w:color w:val="333333"/>
          <w:spacing w:val="0"/>
          <w:sz w:val="32"/>
          <w:szCs w:val="32"/>
          <w:lang w:val="en-US" w:eastAsia="zh-CN"/>
        </w:rPr>
        <w:t>三）</w:t>
      </w:r>
      <w:r>
        <w:rPr>
          <w:rFonts w:hint="eastAsia" w:ascii="宋体" w:hAnsi="宋体" w:eastAsia="宋体" w:cs="宋体"/>
          <w:b/>
          <w:bCs/>
          <w:i w:val="0"/>
          <w:caps w:val="0"/>
          <w:color w:val="333333"/>
          <w:spacing w:val="0"/>
          <w:sz w:val="32"/>
          <w:szCs w:val="32"/>
        </w:rPr>
        <w:t>201</w:t>
      </w:r>
      <w:r>
        <w:rPr>
          <w:rFonts w:hint="eastAsia" w:ascii="宋体" w:hAnsi="宋体" w:eastAsia="宋体" w:cs="宋体"/>
          <w:b/>
          <w:bCs/>
          <w:i w:val="0"/>
          <w:caps w:val="0"/>
          <w:color w:val="333333"/>
          <w:spacing w:val="0"/>
          <w:sz w:val="32"/>
          <w:szCs w:val="32"/>
          <w:lang w:val="en-US" w:eastAsia="zh-CN"/>
        </w:rPr>
        <w:t>1</w:t>
      </w:r>
      <w:r>
        <w:rPr>
          <w:rFonts w:hint="eastAsia" w:ascii="宋体" w:hAnsi="宋体" w:eastAsia="宋体" w:cs="宋体"/>
          <w:b/>
          <w:bCs/>
          <w:i w:val="0"/>
          <w:caps w:val="0"/>
          <w:color w:val="333333"/>
          <w:spacing w:val="0"/>
          <w:sz w:val="32"/>
          <w:szCs w:val="32"/>
        </w:rPr>
        <w:t>1</w:t>
      </w:r>
      <w:r>
        <w:rPr>
          <w:rFonts w:hint="eastAsia" w:cs="宋体"/>
          <w:b/>
          <w:bCs/>
          <w:i w:val="0"/>
          <w:caps w:val="0"/>
          <w:color w:val="333333"/>
          <w:spacing w:val="0"/>
          <w:sz w:val="32"/>
          <w:szCs w:val="32"/>
          <w:lang w:val="en-US" w:eastAsia="zh-CN"/>
        </w:rPr>
        <w:t>99</w:t>
      </w:r>
      <w:r>
        <w:rPr>
          <w:rFonts w:hint="eastAsia" w:ascii="宋体" w:hAnsi="宋体" w:eastAsia="宋体" w:cs="宋体"/>
          <w:b/>
          <w:bCs/>
          <w:i w:val="0"/>
          <w:caps w:val="0"/>
          <w:color w:val="333333"/>
          <w:spacing w:val="0"/>
          <w:sz w:val="32"/>
          <w:szCs w:val="32"/>
        </w:rPr>
        <w:t>-</w:t>
      </w:r>
      <w:r>
        <w:rPr>
          <w:rFonts w:hint="eastAsia" w:cs="宋体"/>
          <w:b/>
          <w:bCs/>
          <w:i w:val="0"/>
          <w:caps w:val="0"/>
          <w:color w:val="333333"/>
          <w:spacing w:val="0"/>
          <w:sz w:val="32"/>
          <w:szCs w:val="32"/>
          <w:lang w:val="en-US" w:eastAsia="zh-CN"/>
        </w:rPr>
        <w:t>一般行政管理事务20</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color w:val="333333"/>
          <w:kern w:val="0"/>
          <w:sz w:val="32"/>
          <w:szCs w:val="32"/>
          <w:lang w:val="en-US" w:eastAsia="zh-CN" w:bidi="ar-SA"/>
        </w:rPr>
        <w:t>主要用于纪委执法、执纪、监督检查、办案等专项支出；</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b/>
          <w:bCs/>
          <w:color w:val="333333"/>
          <w:sz w:val="32"/>
          <w:szCs w:val="32"/>
        </w:rPr>
        <w:t>（</w:t>
      </w:r>
      <w:r>
        <w:rPr>
          <w:rFonts w:hint="eastAsia"/>
          <w:b/>
          <w:bCs/>
          <w:color w:val="333333"/>
          <w:sz w:val="32"/>
          <w:szCs w:val="32"/>
          <w:lang w:val="en-US" w:eastAsia="zh-CN"/>
        </w:rPr>
        <w:t>四</w:t>
      </w:r>
      <w:r>
        <w:rPr>
          <w:rFonts w:hint="eastAsia"/>
          <w:b/>
          <w:bCs/>
          <w:color w:val="333333"/>
          <w:sz w:val="32"/>
          <w:szCs w:val="32"/>
        </w:rPr>
        <w:t>）</w:t>
      </w:r>
      <w:r>
        <w:rPr>
          <w:rFonts w:hint="eastAsia"/>
          <w:b/>
          <w:bCs/>
          <w:color w:val="333333"/>
          <w:sz w:val="32"/>
          <w:szCs w:val="32"/>
          <w:lang w:val="en-US" w:eastAsia="zh-CN"/>
        </w:rPr>
        <w:t>2080505-</w:t>
      </w:r>
      <w:r>
        <w:rPr>
          <w:rFonts w:hint="eastAsia" w:ascii="宋体" w:hAnsi="宋体" w:eastAsia="宋体" w:cs="宋体"/>
          <w:b/>
          <w:bCs/>
          <w:i w:val="0"/>
          <w:caps w:val="0"/>
          <w:color w:val="333333"/>
          <w:spacing w:val="0"/>
          <w:sz w:val="32"/>
          <w:szCs w:val="32"/>
        </w:rPr>
        <w:t>机关事业单位基本养老保险缴费支出</w:t>
      </w:r>
      <w:r>
        <w:rPr>
          <w:rFonts w:hint="eastAsia" w:cs="宋体"/>
          <w:b/>
          <w:bCs/>
          <w:i w:val="0"/>
          <w:caps w:val="0"/>
          <w:color w:val="333333"/>
          <w:spacing w:val="0"/>
          <w:sz w:val="32"/>
          <w:szCs w:val="32"/>
          <w:lang w:val="en-US" w:eastAsia="zh-CN"/>
        </w:rPr>
        <w:t>116.07</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color w:val="333333"/>
          <w:kern w:val="0"/>
          <w:sz w:val="32"/>
          <w:szCs w:val="32"/>
          <w:lang w:val="en-US" w:eastAsia="zh-CN" w:bidi="ar-SA"/>
        </w:rPr>
        <w:t>全部用于行政及事业在职职工缴纳单位部分养老保险；</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i w:val="0"/>
          <w:caps w:val="0"/>
          <w:color w:val="333333"/>
          <w:spacing w:val="0"/>
          <w:sz w:val="32"/>
          <w:szCs w:val="32"/>
        </w:rPr>
      </w:pPr>
      <w:r>
        <w:rPr>
          <w:rFonts w:hint="eastAsia" w:cs="宋体"/>
          <w:b/>
          <w:bCs/>
          <w:i w:val="0"/>
          <w:caps w:val="0"/>
          <w:color w:val="333333"/>
          <w:spacing w:val="0"/>
          <w:sz w:val="32"/>
          <w:szCs w:val="32"/>
          <w:lang w:eastAsia="zh-CN"/>
        </w:rPr>
        <w:t>（</w:t>
      </w:r>
      <w:r>
        <w:rPr>
          <w:rFonts w:hint="eastAsia" w:cs="宋体"/>
          <w:b/>
          <w:bCs/>
          <w:i w:val="0"/>
          <w:caps w:val="0"/>
          <w:color w:val="333333"/>
          <w:spacing w:val="0"/>
          <w:sz w:val="32"/>
          <w:szCs w:val="32"/>
          <w:lang w:val="en-US" w:eastAsia="zh-CN"/>
        </w:rPr>
        <w:t>五）</w:t>
      </w:r>
      <w:r>
        <w:rPr>
          <w:rFonts w:hint="eastAsia" w:ascii="宋体" w:hAnsi="宋体" w:eastAsia="宋体" w:cs="宋体"/>
          <w:b/>
          <w:bCs/>
          <w:i w:val="0"/>
          <w:caps w:val="0"/>
          <w:color w:val="333333"/>
          <w:spacing w:val="0"/>
          <w:sz w:val="32"/>
          <w:szCs w:val="32"/>
        </w:rPr>
        <w:t>2080506-机关事业单位职业年金缴费支出</w:t>
      </w:r>
      <w:r>
        <w:rPr>
          <w:rFonts w:hint="eastAsia" w:cs="宋体"/>
          <w:b/>
          <w:bCs/>
          <w:i w:val="0"/>
          <w:caps w:val="0"/>
          <w:color w:val="333333"/>
          <w:spacing w:val="0"/>
          <w:sz w:val="32"/>
          <w:szCs w:val="32"/>
          <w:lang w:val="en-US" w:eastAsia="zh-CN"/>
        </w:rPr>
        <w:t>58.03</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i w:val="0"/>
          <w:caps w:val="0"/>
          <w:color w:val="333333"/>
          <w:spacing w:val="0"/>
          <w:sz w:val="32"/>
          <w:szCs w:val="32"/>
        </w:rPr>
        <w:t>全部用于行政及事业在职职工缴纳单位部分职业年金；</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i w:val="0"/>
          <w:caps w:val="0"/>
          <w:color w:val="333333"/>
          <w:spacing w:val="0"/>
          <w:sz w:val="32"/>
          <w:szCs w:val="32"/>
        </w:rPr>
      </w:pPr>
      <w:r>
        <w:rPr>
          <w:rFonts w:hint="eastAsia"/>
          <w:b/>
          <w:bCs/>
          <w:color w:val="333333"/>
          <w:sz w:val="32"/>
          <w:szCs w:val="32"/>
        </w:rPr>
        <w:t>（</w:t>
      </w:r>
      <w:r>
        <w:rPr>
          <w:rFonts w:hint="eastAsia"/>
          <w:b/>
          <w:bCs/>
          <w:color w:val="333333"/>
          <w:sz w:val="32"/>
          <w:szCs w:val="32"/>
          <w:lang w:val="en-US" w:eastAsia="zh-CN"/>
        </w:rPr>
        <w:t>六</w:t>
      </w:r>
      <w:r>
        <w:rPr>
          <w:rFonts w:hint="eastAsia"/>
          <w:b/>
          <w:bCs/>
          <w:color w:val="333333"/>
          <w:sz w:val="32"/>
          <w:szCs w:val="32"/>
        </w:rPr>
        <w:t>）</w:t>
      </w:r>
      <w:r>
        <w:rPr>
          <w:rFonts w:hint="eastAsia"/>
          <w:b/>
          <w:bCs/>
          <w:color w:val="333333"/>
          <w:sz w:val="32"/>
          <w:szCs w:val="32"/>
          <w:lang w:val="en-US" w:eastAsia="zh-CN"/>
        </w:rPr>
        <w:t>2101101-</w:t>
      </w:r>
      <w:r>
        <w:rPr>
          <w:rFonts w:hint="eastAsia" w:ascii="宋体" w:hAnsi="宋体" w:eastAsia="宋体" w:cs="宋体"/>
          <w:b/>
          <w:bCs/>
          <w:i w:val="0"/>
          <w:caps w:val="0"/>
          <w:color w:val="333333"/>
          <w:spacing w:val="0"/>
          <w:sz w:val="32"/>
          <w:szCs w:val="32"/>
        </w:rPr>
        <w:t>行政单位医疗</w:t>
      </w:r>
      <w:r>
        <w:rPr>
          <w:rFonts w:hint="eastAsia" w:cs="宋体"/>
          <w:b/>
          <w:bCs/>
          <w:i w:val="0"/>
          <w:caps w:val="0"/>
          <w:color w:val="333333"/>
          <w:spacing w:val="0"/>
          <w:sz w:val="32"/>
          <w:szCs w:val="32"/>
          <w:lang w:val="en-US" w:eastAsia="zh-CN"/>
        </w:rPr>
        <w:t>49.75</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i w:val="0"/>
          <w:caps w:val="0"/>
          <w:color w:val="333333"/>
          <w:spacing w:val="0"/>
          <w:sz w:val="32"/>
          <w:szCs w:val="32"/>
        </w:rPr>
        <w:t>全部用于缴纳行政在职职工单位部分医疗保险；</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i w:val="0"/>
          <w:caps w:val="0"/>
          <w:color w:val="333333"/>
          <w:spacing w:val="0"/>
          <w:sz w:val="32"/>
          <w:szCs w:val="32"/>
        </w:rPr>
      </w:pPr>
      <w:r>
        <w:rPr>
          <w:rFonts w:hint="eastAsia" w:ascii="宋体" w:hAnsi="宋体" w:eastAsia="宋体" w:cs="宋体"/>
          <w:b/>
          <w:bCs/>
          <w:i w:val="0"/>
          <w:caps w:val="0"/>
          <w:color w:val="333333"/>
          <w:spacing w:val="0"/>
          <w:sz w:val="32"/>
          <w:szCs w:val="32"/>
        </w:rPr>
        <w:t>（</w:t>
      </w:r>
      <w:r>
        <w:rPr>
          <w:rFonts w:hint="eastAsia" w:cs="宋体"/>
          <w:b/>
          <w:bCs/>
          <w:i w:val="0"/>
          <w:caps w:val="0"/>
          <w:color w:val="333333"/>
          <w:spacing w:val="0"/>
          <w:sz w:val="32"/>
          <w:szCs w:val="32"/>
          <w:lang w:val="en-US" w:eastAsia="zh-CN"/>
        </w:rPr>
        <w:t>七</w:t>
      </w:r>
      <w:r>
        <w:rPr>
          <w:rFonts w:hint="eastAsia" w:ascii="宋体" w:hAnsi="宋体" w:eastAsia="宋体" w:cs="宋体"/>
          <w:b/>
          <w:bCs/>
          <w:i w:val="0"/>
          <w:caps w:val="0"/>
          <w:color w:val="333333"/>
          <w:spacing w:val="0"/>
          <w:sz w:val="32"/>
          <w:szCs w:val="32"/>
        </w:rPr>
        <w:t>）2101102-事业单位医疗</w:t>
      </w:r>
      <w:r>
        <w:rPr>
          <w:rFonts w:hint="eastAsia" w:cs="宋体"/>
          <w:b/>
          <w:bCs/>
          <w:i w:val="0"/>
          <w:caps w:val="0"/>
          <w:color w:val="333333"/>
          <w:spacing w:val="0"/>
          <w:sz w:val="32"/>
          <w:szCs w:val="32"/>
          <w:lang w:val="en-US" w:eastAsia="zh-CN"/>
        </w:rPr>
        <w:t>1.03</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i w:val="0"/>
          <w:caps w:val="0"/>
          <w:color w:val="333333"/>
          <w:spacing w:val="0"/>
          <w:sz w:val="32"/>
          <w:szCs w:val="32"/>
        </w:rPr>
        <w:t>全部用于缴纳事业在职职工单位部分医疗保险；</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i w:val="0"/>
          <w:caps w:val="0"/>
          <w:color w:val="333333"/>
          <w:spacing w:val="0"/>
          <w:sz w:val="32"/>
          <w:szCs w:val="32"/>
        </w:rPr>
      </w:pPr>
      <w:r>
        <w:rPr>
          <w:rFonts w:hint="eastAsia" w:ascii="宋体" w:hAnsi="宋体" w:eastAsia="宋体" w:cs="宋体"/>
          <w:b/>
          <w:bCs/>
          <w:i w:val="0"/>
          <w:caps w:val="0"/>
          <w:color w:val="333333"/>
          <w:spacing w:val="0"/>
          <w:sz w:val="32"/>
          <w:szCs w:val="32"/>
        </w:rPr>
        <w:t>（</w:t>
      </w:r>
      <w:r>
        <w:rPr>
          <w:rFonts w:hint="eastAsia" w:cs="宋体"/>
          <w:b/>
          <w:bCs/>
          <w:i w:val="0"/>
          <w:caps w:val="0"/>
          <w:color w:val="333333"/>
          <w:spacing w:val="0"/>
          <w:sz w:val="32"/>
          <w:szCs w:val="32"/>
          <w:lang w:val="en-US" w:eastAsia="zh-CN"/>
        </w:rPr>
        <w:t>八</w:t>
      </w:r>
      <w:r>
        <w:rPr>
          <w:rFonts w:hint="eastAsia" w:ascii="宋体" w:hAnsi="宋体" w:eastAsia="宋体" w:cs="宋体"/>
          <w:b/>
          <w:bCs/>
          <w:i w:val="0"/>
          <w:caps w:val="0"/>
          <w:color w:val="333333"/>
          <w:spacing w:val="0"/>
          <w:sz w:val="32"/>
          <w:szCs w:val="32"/>
        </w:rPr>
        <w:t>）2101103-公务员医疗补助支出</w:t>
      </w:r>
      <w:r>
        <w:rPr>
          <w:rFonts w:hint="eastAsia" w:cs="宋体"/>
          <w:b/>
          <w:bCs/>
          <w:i w:val="0"/>
          <w:caps w:val="0"/>
          <w:color w:val="333333"/>
          <w:spacing w:val="0"/>
          <w:sz w:val="32"/>
          <w:szCs w:val="32"/>
          <w:lang w:val="en-US" w:eastAsia="zh-CN"/>
        </w:rPr>
        <w:t>13.71</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i w:val="0"/>
          <w:caps w:val="0"/>
          <w:color w:val="333333"/>
          <w:spacing w:val="0"/>
          <w:sz w:val="32"/>
          <w:szCs w:val="32"/>
        </w:rPr>
        <w:t>全部用于缴纳行政在职职工公务员医疗保险；</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i w:val="0"/>
          <w:caps w:val="0"/>
          <w:color w:val="333333"/>
          <w:spacing w:val="0"/>
          <w:sz w:val="32"/>
          <w:szCs w:val="32"/>
        </w:rPr>
      </w:pPr>
      <w:r>
        <w:rPr>
          <w:rFonts w:hint="eastAsia" w:ascii="宋体" w:hAnsi="宋体" w:eastAsia="宋体" w:cs="宋体"/>
          <w:b/>
          <w:bCs/>
          <w:i w:val="0"/>
          <w:caps w:val="0"/>
          <w:color w:val="333333"/>
          <w:spacing w:val="0"/>
          <w:sz w:val="32"/>
          <w:szCs w:val="32"/>
        </w:rPr>
        <w:t>（</w:t>
      </w:r>
      <w:r>
        <w:rPr>
          <w:rFonts w:hint="eastAsia" w:cs="宋体"/>
          <w:b/>
          <w:bCs/>
          <w:i w:val="0"/>
          <w:caps w:val="0"/>
          <w:color w:val="333333"/>
          <w:spacing w:val="0"/>
          <w:sz w:val="32"/>
          <w:szCs w:val="32"/>
          <w:lang w:val="en-US" w:eastAsia="zh-CN"/>
        </w:rPr>
        <w:t>九</w:t>
      </w:r>
      <w:r>
        <w:rPr>
          <w:rFonts w:hint="eastAsia" w:ascii="宋体" w:hAnsi="宋体" w:eastAsia="宋体" w:cs="宋体"/>
          <w:b/>
          <w:bCs/>
          <w:i w:val="0"/>
          <w:caps w:val="0"/>
          <w:color w:val="333333"/>
          <w:spacing w:val="0"/>
          <w:sz w:val="32"/>
          <w:szCs w:val="32"/>
        </w:rPr>
        <w:t>）2101199-其他行政事业单位医疗支出</w:t>
      </w:r>
      <w:r>
        <w:rPr>
          <w:rFonts w:hint="eastAsia" w:cs="宋体"/>
          <w:b/>
          <w:bCs/>
          <w:i w:val="0"/>
          <w:caps w:val="0"/>
          <w:color w:val="333333"/>
          <w:spacing w:val="0"/>
          <w:sz w:val="32"/>
          <w:szCs w:val="32"/>
          <w:lang w:val="en-US" w:eastAsia="zh-CN"/>
        </w:rPr>
        <w:t>0.22</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i w:val="0"/>
          <w:caps w:val="0"/>
          <w:color w:val="333333"/>
          <w:spacing w:val="0"/>
          <w:sz w:val="32"/>
          <w:szCs w:val="32"/>
        </w:rPr>
        <w:t>全部用于缴纳事业在职职工公务员医疗保险；</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color w:val="333333"/>
          <w:sz w:val="32"/>
          <w:szCs w:val="32"/>
        </w:rPr>
      </w:pPr>
      <w:r>
        <w:rPr>
          <w:rFonts w:hint="eastAsia"/>
          <w:b/>
          <w:bCs/>
          <w:color w:val="333333"/>
          <w:sz w:val="32"/>
          <w:szCs w:val="32"/>
        </w:rPr>
        <w:t>（</w:t>
      </w:r>
      <w:r>
        <w:rPr>
          <w:rFonts w:hint="eastAsia"/>
          <w:b/>
          <w:bCs/>
          <w:color w:val="333333"/>
          <w:sz w:val="32"/>
          <w:szCs w:val="32"/>
          <w:lang w:val="en-US" w:eastAsia="zh-CN"/>
        </w:rPr>
        <w:t>十</w:t>
      </w:r>
      <w:r>
        <w:rPr>
          <w:rFonts w:hint="eastAsia"/>
          <w:b/>
          <w:bCs/>
          <w:color w:val="333333"/>
          <w:sz w:val="32"/>
          <w:szCs w:val="32"/>
        </w:rPr>
        <w:t>）</w:t>
      </w:r>
      <w:r>
        <w:rPr>
          <w:rFonts w:hint="eastAsia" w:ascii="宋体" w:hAnsi="宋体" w:eastAsia="宋体" w:cs="宋体"/>
          <w:b/>
          <w:bCs/>
          <w:i w:val="0"/>
          <w:caps w:val="0"/>
          <w:color w:val="333333"/>
          <w:spacing w:val="0"/>
          <w:sz w:val="32"/>
          <w:szCs w:val="32"/>
        </w:rPr>
        <w:t>2210201-</w:t>
      </w:r>
      <w:r>
        <w:rPr>
          <w:rFonts w:hint="eastAsia"/>
          <w:b/>
          <w:bCs/>
          <w:color w:val="333333"/>
          <w:sz w:val="32"/>
          <w:szCs w:val="32"/>
        </w:rPr>
        <w:t>住房保障支出</w:t>
      </w:r>
      <w:r>
        <w:rPr>
          <w:rFonts w:hint="eastAsia"/>
          <w:b/>
          <w:bCs/>
          <w:color w:val="333333"/>
          <w:sz w:val="32"/>
          <w:szCs w:val="32"/>
          <w:lang w:val="en-US" w:eastAsia="zh-CN"/>
        </w:rPr>
        <w:t>96.63</w:t>
      </w:r>
      <w:r>
        <w:rPr>
          <w:rFonts w:hint="eastAsia"/>
          <w:b/>
          <w:bCs/>
          <w:color w:val="333333"/>
          <w:sz w:val="32"/>
          <w:szCs w:val="32"/>
        </w:rPr>
        <w:t>万元</w:t>
      </w:r>
      <w:r>
        <w:rPr>
          <w:rFonts w:hint="eastAsia"/>
          <w:b/>
          <w:bCs/>
          <w:color w:val="333333"/>
          <w:sz w:val="32"/>
          <w:szCs w:val="32"/>
          <w:lang w:eastAsia="zh-CN"/>
        </w:rPr>
        <w:t>。</w:t>
      </w:r>
      <w:r>
        <w:rPr>
          <w:rFonts w:hint="eastAsia"/>
          <w:color w:val="333333"/>
          <w:sz w:val="32"/>
          <w:szCs w:val="32"/>
        </w:rPr>
        <w:t>用于</w:t>
      </w:r>
      <w:r>
        <w:rPr>
          <w:rFonts w:hint="eastAsia" w:ascii="宋体" w:hAnsi="宋体" w:eastAsia="宋体" w:cs="宋体"/>
          <w:i w:val="0"/>
          <w:caps w:val="0"/>
          <w:color w:val="333333"/>
          <w:spacing w:val="0"/>
          <w:sz w:val="32"/>
          <w:szCs w:val="32"/>
        </w:rPr>
        <w:t>缴纳行政及事业在职职工单位部分住房公积金</w:t>
      </w:r>
      <w:r>
        <w:rPr>
          <w:rFonts w:hint="eastAsia"/>
          <w:color w:val="333333"/>
          <w:sz w:val="32"/>
          <w:szCs w:val="32"/>
        </w:rPr>
        <w:t>。</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ascii="宋体" w:hAnsi="宋体" w:eastAsia="宋体" w:cs="宋体"/>
          <w:i w:val="0"/>
          <w:caps w:val="0"/>
          <w:color w:val="333333"/>
          <w:spacing w:val="0"/>
          <w:sz w:val="32"/>
          <w:szCs w:val="32"/>
        </w:rPr>
      </w:pPr>
      <w:r>
        <w:rPr>
          <w:rFonts w:hint="eastAsia" w:cs="宋体"/>
          <w:b/>
          <w:bCs/>
          <w:i w:val="0"/>
          <w:caps w:val="0"/>
          <w:color w:val="333333"/>
          <w:spacing w:val="0"/>
          <w:sz w:val="32"/>
          <w:szCs w:val="32"/>
          <w:lang w:eastAsia="zh-CN"/>
        </w:rPr>
        <w:t>（</w:t>
      </w:r>
      <w:r>
        <w:rPr>
          <w:rFonts w:hint="eastAsia" w:cs="宋体"/>
          <w:b/>
          <w:bCs/>
          <w:i w:val="0"/>
          <w:caps w:val="0"/>
          <w:color w:val="333333"/>
          <w:spacing w:val="0"/>
          <w:sz w:val="32"/>
          <w:szCs w:val="32"/>
          <w:lang w:val="en-US" w:eastAsia="zh-CN"/>
        </w:rPr>
        <w:t>十一）</w:t>
      </w:r>
      <w:r>
        <w:rPr>
          <w:rFonts w:hint="eastAsia" w:ascii="宋体" w:hAnsi="宋体" w:eastAsia="宋体" w:cs="宋体"/>
          <w:b/>
          <w:bCs/>
          <w:i w:val="0"/>
          <w:caps w:val="0"/>
          <w:color w:val="333333"/>
          <w:spacing w:val="0"/>
          <w:sz w:val="32"/>
          <w:szCs w:val="32"/>
        </w:rPr>
        <w:t>201</w:t>
      </w:r>
      <w:r>
        <w:rPr>
          <w:rFonts w:hint="eastAsia" w:ascii="宋体" w:hAnsi="宋体" w:eastAsia="宋体" w:cs="宋体"/>
          <w:b/>
          <w:bCs/>
          <w:i w:val="0"/>
          <w:caps w:val="0"/>
          <w:color w:val="333333"/>
          <w:spacing w:val="0"/>
          <w:sz w:val="32"/>
          <w:szCs w:val="32"/>
          <w:lang w:val="en-US" w:eastAsia="zh-CN"/>
        </w:rPr>
        <w:t>1</w:t>
      </w:r>
      <w:r>
        <w:rPr>
          <w:rFonts w:hint="eastAsia" w:ascii="宋体" w:hAnsi="宋体" w:eastAsia="宋体" w:cs="宋体"/>
          <w:b/>
          <w:bCs/>
          <w:i w:val="0"/>
          <w:caps w:val="0"/>
          <w:color w:val="333333"/>
          <w:spacing w:val="0"/>
          <w:sz w:val="32"/>
          <w:szCs w:val="32"/>
        </w:rPr>
        <w:t>1</w:t>
      </w:r>
      <w:r>
        <w:rPr>
          <w:rFonts w:hint="eastAsia" w:cs="宋体"/>
          <w:b/>
          <w:bCs/>
          <w:i w:val="0"/>
          <w:caps w:val="0"/>
          <w:color w:val="333333"/>
          <w:spacing w:val="0"/>
          <w:sz w:val="32"/>
          <w:szCs w:val="32"/>
          <w:lang w:val="en-US" w:eastAsia="zh-CN"/>
        </w:rPr>
        <w:t>02</w:t>
      </w:r>
      <w:r>
        <w:rPr>
          <w:rFonts w:hint="eastAsia" w:ascii="宋体" w:hAnsi="宋体" w:eastAsia="宋体" w:cs="宋体"/>
          <w:b/>
          <w:bCs/>
          <w:i w:val="0"/>
          <w:caps w:val="0"/>
          <w:color w:val="333333"/>
          <w:spacing w:val="0"/>
          <w:sz w:val="32"/>
          <w:szCs w:val="32"/>
        </w:rPr>
        <w:t>-</w:t>
      </w:r>
      <w:r>
        <w:rPr>
          <w:rFonts w:hint="eastAsia" w:cs="宋体"/>
          <w:b/>
          <w:bCs/>
          <w:i w:val="0"/>
          <w:caps w:val="0"/>
          <w:color w:val="333333"/>
          <w:spacing w:val="0"/>
          <w:sz w:val="32"/>
          <w:szCs w:val="32"/>
          <w:lang w:val="en-US" w:eastAsia="zh-CN"/>
        </w:rPr>
        <w:t>基他纪检监察事务支出10</w:t>
      </w:r>
      <w:r>
        <w:rPr>
          <w:rFonts w:hint="eastAsia" w:ascii="宋体" w:hAnsi="宋体" w:eastAsia="宋体" w:cs="宋体"/>
          <w:b/>
          <w:bCs/>
          <w:i w:val="0"/>
          <w:caps w:val="0"/>
          <w:color w:val="333333"/>
          <w:spacing w:val="0"/>
          <w:sz w:val="32"/>
          <w:szCs w:val="32"/>
        </w:rPr>
        <w:t>万元</w:t>
      </w:r>
      <w:r>
        <w:rPr>
          <w:rFonts w:hint="eastAsia" w:cs="宋体"/>
          <w:b/>
          <w:bCs/>
          <w:i w:val="0"/>
          <w:caps w:val="0"/>
          <w:color w:val="333333"/>
          <w:spacing w:val="0"/>
          <w:sz w:val="32"/>
          <w:szCs w:val="32"/>
          <w:lang w:eastAsia="zh-CN"/>
        </w:rPr>
        <w:t>。</w:t>
      </w:r>
      <w:r>
        <w:rPr>
          <w:rFonts w:hint="eastAsia" w:ascii="宋体" w:hAnsi="宋体" w:eastAsia="宋体" w:cs="宋体"/>
          <w:i w:val="0"/>
          <w:caps w:val="0"/>
          <w:color w:val="333333"/>
          <w:spacing w:val="0"/>
          <w:sz w:val="32"/>
          <w:szCs w:val="32"/>
        </w:rPr>
        <w:t>主要用于</w:t>
      </w:r>
      <w:r>
        <w:rPr>
          <w:rFonts w:hint="eastAsia" w:cs="宋体"/>
          <w:i w:val="0"/>
          <w:caps w:val="0"/>
          <w:color w:val="333333"/>
          <w:spacing w:val="0"/>
          <w:sz w:val="32"/>
          <w:szCs w:val="32"/>
          <w:lang w:eastAsia="zh-CN"/>
        </w:rPr>
        <w:t>建设</w:t>
      </w:r>
      <w:r>
        <w:rPr>
          <w:rFonts w:hint="eastAsia" w:cs="宋体"/>
          <w:i w:val="0"/>
          <w:caps w:val="0"/>
          <w:color w:val="333333"/>
          <w:spacing w:val="0"/>
          <w:sz w:val="32"/>
          <w:szCs w:val="32"/>
          <w:lang w:val="en-US" w:eastAsia="zh-CN"/>
        </w:rPr>
        <w:t>纪委大数据查询室专项</w:t>
      </w:r>
      <w:r>
        <w:rPr>
          <w:rFonts w:hint="eastAsia" w:ascii="宋体" w:hAnsi="宋体" w:eastAsia="宋体" w:cs="宋体"/>
          <w:i w:val="0"/>
          <w:caps w:val="0"/>
          <w:color w:val="333333"/>
          <w:spacing w:val="0"/>
          <w:sz w:val="32"/>
          <w:szCs w:val="32"/>
        </w:rPr>
        <w:t>支出；</w:t>
      </w:r>
    </w:p>
    <w:p>
      <w:pPr>
        <w:keepNext w:val="0"/>
        <w:keepLines w:val="0"/>
        <w:pageBreakBefore w:val="0"/>
        <w:widowControl w:val="0"/>
        <w:numPr>
          <w:ilvl w:val="0"/>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firstLine="643" w:firstLineChars="200"/>
        <w:contextualSpacing/>
        <w:jc w:val="both"/>
        <w:textAlignment w:val="top"/>
        <w:rPr>
          <w:rFonts w:hint="eastAsia"/>
          <w:color w:val="333333"/>
          <w:sz w:val="32"/>
          <w:szCs w:val="32"/>
          <w:lang w:val="en-US" w:eastAsia="zh-CN"/>
        </w:rPr>
      </w:pPr>
      <w:r>
        <w:rPr>
          <w:rFonts w:hint="eastAsia"/>
          <w:b/>
          <w:bCs/>
          <w:color w:val="333333"/>
          <w:sz w:val="32"/>
          <w:szCs w:val="32"/>
        </w:rPr>
        <w:t>（</w:t>
      </w:r>
      <w:r>
        <w:rPr>
          <w:rFonts w:hint="eastAsia"/>
          <w:b/>
          <w:bCs/>
          <w:color w:val="333333"/>
          <w:sz w:val="32"/>
          <w:szCs w:val="32"/>
          <w:lang w:val="en-US" w:eastAsia="zh-CN"/>
        </w:rPr>
        <w:t>十二</w:t>
      </w:r>
      <w:r>
        <w:rPr>
          <w:rFonts w:hint="eastAsia"/>
          <w:b/>
          <w:bCs/>
          <w:color w:val="333333"/>
          <w:sz w:val="32"/>
          <w:szCs w:val="32"/>
        </w:rPr>
        <w:t>）</w:t>
      </w:r>
      <w:r>
        <w:rPr>
          <w:rFonts w:hint="eastAsia"/>
          <w:b/>
          <w:bCs/>
          <w:color w:val="333333"/>
          <w:sz w:val="32"/>
          <w:szCs w:val="32"/>
          <w:lang w:val="en-US" w:eastAsia="zh-CN"/>
        </w:rPr>
        <w:t>2011106-巡视工作10万元。</w:t>
      </w:r>
      <w:r>
        <w:rPr>
          <w:rFonts w:hint="eastAsia"/>
          <w:color w:val="333333"/>
          <w:sz w:val="32"/>
          <w:szCs w:val="32"/>
          <w:lang w:val="en-US" w:eastAsia="zh-CN"/>
        </w:rPr>
        <w:t>全部用于巡察工作专项检查和常规巡察过程中发生的各项费用支出。</w:t>
      </w:r>
      <w:bookmarkStart w:id="8" w:name="_Toc24353"/>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ascii="黑体" w:hAnsi="黑体" w:eastAsia="黑体" w:cs="黑体"/>
          <w:b/>
          <w:bCs/>
          <w:color w:val="333333"/>
          <w:sz w:val="32"/>
          <w:szCs w:val="32"/>
          <w:lang w:val="en-US" w:eastAsia="zh-CN"/>
        </w:rPr>
      </w:pPr>
      <w:r>
        <w:rPr>
          <w:rFonts w:hint="eastAsia" w:ascii="黑体" w:hAnsi="黑体" w:eastAsia="黑体" w:cs="黑体"/>
          <w:b/>
          <w:bCs/>
          <w:color w:val="333333"/>
          <w:sz w:val="32"/>
          <w:szCs w:val="32"/>
          <w:lang w:val="en-US" w:eastAsia="zh-CN"/>
        </w:rPr>
        <w:t>较上年度增减变化</w:t>
      </w:r>
      <w:bookmarkEnd w:id="8"/>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color w:val="333333"/>
          <w:sz w:val="32"/>
          <w:szCs w:val="32"/>
          <w:lang w:val="en-US" w:eastAsia="zh-CN"/>
        </w:rPr>
      </w:pPr>
      <w:r>
        <w:rPr>
          <w:rFonts w:hint="eastAsia"/>
          <w:color w:val="333333"/>
          <w:sz w:val="32"/>
          <w:szCs w:val="32"/>
          <w:lang w:val="en-US" w:eastAsia="zh-CN"/>
        </w:rPr>
        <w:t>本年度预算拨款收入1367.39万元较上年度预算1498.97万元减少了8.78%，其中基本行政运行经费预算1327.39万元，占全部总预算的97.07%，较上年1478.97万元减少了10.25%，原因为2024年年未在职人数比上年减少6人，相对应的各项保险、住房公积金、公用经费等减少；专项业务工作经费预算40万元，占总预算的2.93%，较上年预算20万元增加了100%，主要原因为纪委办案执纪过程中发生的各项费用支出增加10万元及大数据查询室建设费用增加10万元。  </w:t>
      </w:r>
      <w:bookmarkStart w:id="9" w:name="_Toc23482"/>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ascii="黑体" w:hAnsi="黑体" w:eastAsia="黑体" w:cs="黑体"/>
          <w:b/>
          <w:bCs/>
          <w:color w:val="333333"/>
          <w:sz w:val="32"/>
          <w:szCs w:val="32"/>
          <w:lang w:val="en-US" w:eastAsia="zh-CN"/>
        </w:rPr>
      </w:pPr>
      <w:r>
        <w:rPr>
          <w:rFonts w:hint="eastAsia" w:ascii="黑体" w:hAnsi="黑体" w:eastAsia="黑体" w:cs="黑体"/>
          <w:b/>
          <w:bCs/>
          <w:color w:val="333333"/>
          <w:sz w:val="32"/>
          <w:szCs w:val="32"/>
          <w:lang w:val="en-US" w:eastAsia="zh-CN"/>
        </w:rPr>
        <w:t>“三公”经费预算</w:t>
      </w:r>
      <w:bookmarkEnd w:id="9"/>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color w:val="333333"/>
          <w:sz w:val="32"/>
          <w:szCs w:val="32"/>
          <w:lang w:val="en-US" w:eastAsia="zh-CN"/>
        </w:rPr>
      </w:pPr>
      <w:r>
        <w:rPr>
          <w:rFonts w:hint="eastAsia"/>
          <w:color w:val="333333"/>
          <w:sz w:val="32"/>
          <w:szCs w:val="32"/>
          <w:lang w:val="en-US" w:eastAsia="zh-CN"/>
        </w:rPr>
        <w:t>本年度三公经费预算安排支出为26.5万元，比上年减少4.26%，主要原因为近年来纪委加大了监督检查力度，办案业务量增加。其中：出国费0万元，与上年持平，主要原因为未安排因公出国；公车购置费0元，与上年持平；公务用车维护费支出26万元，较上年度预算27.4万元略有减少，主要原因纪委加大了监督检查力度，办案业务量增加。公务接待费0.5万元，较上年度预算减少78.57%万元，主要原因为是近年来随着案件提质增效业务工作的开展，需接待上级纪检及兄弟市县纪检系统的调研及考察活动。在接待工作中严格执行“八项规定、六项禁令”,结合本年度工作需要，减少不必要的开支。</w:t>
      </w:r>
      <w:bookmarkStart w:id="10" w:name="_Toc21511"/>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ascii="黑体" w:hAnsi="黑体" w:eastAsia="黑体" w:cs="黑体"/>
          <w:b/>
          <w:bCs/>
          <w:color w:val="333333"/>
          <w:sz w:val="32"/>
          <w:szCs w:val="32"/>
          <w:lang w:val="en-US" w:eastAsia="zh-CN"/>
        </w:rPr>
      </w:pPr>
      <w:r>
        <w:rPr>
          <w:rFonts w:hint="eastAsia" w:ascii="黑体" w:hAnsi="黑体" w:eastAsia="黑体" w:cs="黑体"/>
          <w:b/>
          <w:bCs/>
          <w:color w:val="333333"/>
          <w:sz w:val="32"/>
          <w:szCs w:val="32"/>
          <w:lang w:val="en-US" w:eastAsia="zh-CN"/>
        </w:rPr>
        <w:t>政府性基金预算收支情况说明</w:t>
      </w:r>
      <w:bookmarkEnd w:id="10"/>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color w:val="333333"/>
          <w:sz w:val="32"/>
          <w:szCs w:val="32"/>
          <w:lang w:val="en-US" w:eastAsia="zh-CN"/>
        </w:rPr>
      </w:pPr>
      <w:r>
        <w:rPr>
          <w:rFonts w:hint="eastAsia"/>
          <w:color w:val="333333"/>
          <w:sz w:val="32"/>
          <w:szCs w:val="32"/>
          <w:lang w:val="en-US" w:eastAsia="zh-CN"/>
        </w:rPr>
        <w:t>2025年没有使用政府性基金预算拨款安排的支出。</w:t>
      </w:r>
      <w:bookmarkStart w:id="11" w:name="_Toc15619"/>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ascii="黑体" w:hAnsi="黑体" w:eastAsia="黑体" w:cs="黑体"/>
          <w:b/>
          <w:bCs/>
          <w:color w:val="333333"/>
          <w:sz w:val="32"/>
          <w:szCs w:val="32"/>
          <w:lang w:val="en-US" w:eastAsia="zh-CN"/>
        </w:rPr>
      </w:pPr>
      <w:r>
        <w:rPr>
          <w:rFonts w:hint="eastAsia" w:ascii="黑体" w:hAnsi="黑体" w:eastAsia="黑体" w:cs="黑体"/>
          <w:b/>
          <w:bCs/>
          <w:color w:val="333333"/>
          <w:sz w:val="32"/>
          <w:szCs w:val="32"/>
          <w:lang w:val="en-US" w:eastAsia="zh-CN"/>
        </w:rPr>
        <w:t>国有资本经营预算收支情况说明</w:t>
      </w:r>
      <w:bookmarkEnd w:id="11"/>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color w:val="333333"/>
          <w:sz w:val="32"/>
          <w:szCs w:val="32"/>
        </w:rPr>
      </w:pPr>
      <w:r>
        <w:rPr>
          <w:rFonts w:hint="eastAsia"/>
          <w:color w:val="333333"/>
          <w:sz w:val="32"/>
          <w:szCs w:val="32"/>
        </w:rPr>
        <w:t>202</w:t>
      </w:r>
      <w:r>
        <w:rPr>
          <w:rFonts w:hint="eastAsia"/>
          <w:color w:val="333333"/>
          <w:sz w:val="32"/>
          <w:szCs w:val="32"/>
          <w:lang w:val="en-US" w:eastAsia="zh-CN"/>
        </w:rPr>
        <w:t>5</w:t>
      </w:r>
      <w:r>
        <w:rPr>
          <w:rFonts w:hint="eastAsia"/>
          <w:color w:val="333333"/>
          <w:sz w:val="32"/>
          <w:szCs w:val="32"/>
        </w:rPr>
        <w:t>年没有使用国有资本经营预算拨款安排的支出。</w:t>
      </w:r>
      <w:bookmarkStart w:id="12" w:name="_Toc30676"/>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ascii="黑体" w:hAnsi="黑体" w:eastAsia="黑体" w:cs="黑体"/>
          <w:b/>
          <w:bCs/>
          <w:color w:val="333333"/>
          <w:sz w:val="32"/>
          <w:szCs w:val="32"/>
          <w:lang w:val="en-US" w:eastAsia="zh-CN"/>
        </w:rPr>
      </w:pPr>
      <w:r>
        <w:rPr>
          <w:rFonts w:hint="eastAsia" w:ascii="黑体" w:hAnsi="黑体" w:eastAsia="黑体" w:cs="黑体"/>
          <w:b/>
          <w:bCs/>
          <w:color w:val="333333"/>
          <w:sz w:val="32"/>
          <w:szCs w:val="32"/>
          <w:lang w:val="en-US" w:eastAsia="zh-CN"/>
        </w:rPr>
        <w:t>其他重要事项的情况说明</w:t>
      </w:r>
      <w:bookmarkEnd w:id="12"/>
      <w:bookmarkStart w:id="13" w:name="_Toc25541"/>
    </w:p>
    <w:p>
      <w:pPr>
        <w:keepNext w:val="0"/>
        <w:keepLines w:val="0"/>
        <w:pageBreakBefore w:val="0"/>
        <w:widowControl w:val="0"/>
        <w:numPr>
          <w:ilvl w:val="0"/>
          <w:numId w:val="2"/>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3" w:firstLineChars="200"/>
        <w:contextualSpacing/>
        <w:jc w:val="both"/>
        <w:textAlignment w:val="top"/>
        <w:rPr>
          <w:rFonts w:hint="eastAsia"/>
          <w:color w:val="333333"/>
          <w:sz w:val="32"/>
          <w:szCs w:val="32"/>
        </w:rPr>
      </w:pPr>
      <w:r>
        <w:rPr>
          <w:rFonts w:hint="eastAsia"/>
          <w:b/>
          <w:bCs/>
          <w:color w:val="333333"/>
          <w:sz w:val="32"/>
          <w:szCs w:val="32"/>
        </w:rPr>
        <w:t>政府采购预算情况</w:t>
      </w:r>
      <w:r>
        <w:rPr>
          <w:rFonts w:hint="eastAsia"/>
          <w:color w:val="333333"/>
          <w:sz w:val="32"/>
          <w:szCs w:val="32"/>
        </w:rPr>
        <w:t> </w:t>
      </w:r>
      <w:bookmarkEnd w:id="13"/>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color w:val="333333"/>
          <w:sz w:val="32"/>
          <w:szCs w:val="32"/>
        </w:rPr>
      </w:pPr>
      <w:r>
        <w:rPr>
          <w:rFonts w:hint="eastAsia"/>
          <w:color w:val="333333"/>
          <w:sz w:val="32"/>
          <w:szCs w:val="32"/>
        </w:rPr>
        <w:t>202</w:t>
      </w:r>
      <w:r>
        <w:rPr>
          <w:rFonts w:hint="eastAsia"/>
          <w:color w:val="333333"/>
          <w:sz w:val="32"/>
          <w:szCs w:val="32"/>
          <w:lang w:val="en-US" w:eastAsia="zh-CN"/>
        </w:rPr>
        <w:t>5</w:t>
      </w:r>
      <w:r>
        <w:rPr>
          <w:rFonts w:hint="eastAsia"/>
          <w:color w:val="333333"/>
          <w:sz w:val="32"/>
          <w:szCs w:val="32"/>
        </w:rPr>
        <w:t>年度安排政府采购预算0万元。</w:t>
      </w:r>
      <w:bookmarkStart w:id="14" w:name="_Toc4532"/>
    </w:p>
    <w:p>
      <w:pPr>
        <w:keepNext w:val="0"/>
        <w:keepLines w:val="0"/>
        <w:pageBreakBefore w:val="0"/>
        <w:widowControl w:val="0"/>
        <w:numPr>
          <w:ilvl w:val="0"/>
          <w:numId w:val="2"/>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color w:val="333333"/>
          <w:sz w:val="32"/>
          <w:szCs w:val="32"/>
        </w:rPr>
      </w:pPr>
      <w:r>
        <w:rPr>
          <w:rFonts w:hint="eastAsia"/>
          <w:b/>
          <w:bCs/>
          <w:color w:val="333333"/>
          <w:sz w:val="32"/>
          <w:szCs w:val="32"/>
        </w:rPr>
        <w:t>政府财政国有资产占用情况</w:t>
      </w:r>
      <w:r>
        <w:rPr>
          <w:rFonts w:hint="eastAsia"/>
          <w:color w:val="333333"/>
          <w:sz w:val="32"/>
          <w:szCs w:val="32"/>
        </w:rPr>
        <w:t> </w:t>
      </w:r>
      <w:bookmarkEnd w:id="14"/>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color w:val="333333"/>
          <w:sz w:val="32"/>
          <w:szCs w:val="32"/>
          <w:lang w:val="en-US" w:eastAsia="zh-CN"/>
        </w:rPr>
      </w:pPr>
      <w:r>
        <w:rPr>
          <w:rFonts w:hint="eastAsia"/>
          <w:color w:val="333333"/>
          <w:sz w:val="32"/>
          <w:szCs w:val="32"/>
          <w:lang w:val="en-US" w:eastAsia="zh-CN"/>
        </w:rPr>
        <w:t>截止2024年底，实际共有固定资产价值400.24万元：其中：公务用车174.47万元；家具和用具24万元，专用设备197.28无形资产4.49万元，无业务用房。</w:t>
      </w:r>
      <w:bookmarkStart w:id="15" w:name="_Toc7635"/>
    </w:p>
    <w:p>
      <w:pPr>
        <w:keepNext w:val="0"/>
        <w:keepLines w:val="0"/>
        <w:pageBreakBefore w:val="0"/>
        <w:widowControl w:val="0"/>
        <w:numPr>
          <w:ilvl w:val="0"/>
          <w:numId w:val="2"/>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b/>
          <w:bCs/>
          <w:color w:val="333333"/>
          <w:sz w:val="32"/>
          <w:szCs w:val="32"/>
        </w:rPr>
      </w:pPr>
      <w:r>
        <w:rPr>
          <w:rFonts w:hint="eastAsia"/>
          <w:b/>
          <w:bCs/>
          <w:color w:val="333333"/>
          <w:sz w:val="32"/>
          <w:szCs w:val="32"/>
        </w:rPr>
        <w:t>绩效目标设置情况</w:t>
      </w:r>
      <w:bookmarkEnd w:id="15"/>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firstLine="640" w:firstLineChars="200"/>
        <w:contextualSpacing/>
        <w:jc w:val="both"/>
        <w:textAlignment w:val="top"/>
        <w:rPr>
          <w:rFonts w:hint="eastAsia"/>
          <w:color w:val="333333"/>
          <w:sz w:val="32"/>
          <w:szCs w:val="32"/>
        </w:rPr>
      </w:pPr>
      <w:r>
        <w:rPr>
          <w:rFonts w:hint="eastAsia"/>
          <w:color w:val="333333"/>
          <w:sz w:val="32"/>
          <w:szCs w:val="32"/>
        </w:rPr>
        <w:t>绩效目标是预算编制的前提和基础，按照“费随事定”的原则，202</w:t>
      </w:r>
      <w:r>
        <w:rPr>
          <w:rFonts w:hint="eastAsia"/>
          <w:color w:val="333333"/>
          <w:sz w:val="32"/>
          <w:szCs w:val="32"/>
          <w:lang w:val="en-US" w:eastAsia="zh-CN"/>
        </w:rPr>
        <w:t>5</w:t>
      </w:r>
      <w:r>
        <w:rPr>
          <w:rFonts w:hint="eastAsia"/>
          <w:color w:val="333333"/>
          <w:sz w:val="32"/>
          <w:szCs w:val="32"/>
        </w:rPr>
        <w:t>年我单位项目支出按要求编制了绩效目标，从项目完成、项目效益、满意度。</w:t>
      </w:r>
      <w:bookmarkStart w:id="16" w:name="_Toc13857"/>
    </w:p>
    <w:p>
      <w:pPr>
        <w:keepNext w:val="0"/>
        <w:keepLines w:val="0"/>
        <w:pageBreakBefore w:val="0"/>
        <w:widowControl w:val="0"/>
        <w:numPr>
          <w:ilvl w:val="0"/>
          <w:numId w:val="1"/>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0" w:leftChars="0" w:firstLine="643" w:firstLineChars="200"/>
        <w:contextualSpacing/>
        <w:jc w:val="both"/>
        <w:textAlignment w:val="top"/>
        <w:rPr>
          <w:rFonts w:hint="eastAsia" w:ascii="黑体" w:hAnsi="黑体" w:eastAsia="黑体" w:cs="黑体"/>
          <w:b/>
          <w:bCs/>
          <w:color w:val="333333"/>
          <w:sz w:val="32"/>
          <w:szCs w:val="32"/>
          <w:lang w:val="en-US" w:eastAsia="zh-CN"/>
        </w:rPr>
      </w:pPr>
      <w:r>
        <w:rPr>
          <w:rFonts w:hint="eastAsia" w:ascii="黑体" w:hAnsi="黑体" w:eastAsia="黑体" w:cs="黑体"/>
          <w:b/>
          <w:bCs/>
          <w:color w:val="333333"/>
          <w:sz w:val="32"/>
          <w:szCs w:val="32"/>
          <w:lang w:val="en-US" w:eastAsia="zh-CN"/>
        </w:rPr>
        <w:t>名词解释</w:t>
      </w:r>
      <w:bookmarkEnd w:id="16"/>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Chars="0" w:firstLine="640" w:firstLineChars="200"/>
        <w:contextualSpacing/>
        <w:jc w:val="both"/>
        <w:textAlignment w:val="top"/>
        <w:rPr>
          <w:rFonts w:hint="eastAsia"/>
          <w:color w:val="333333"/>
          <w:sz w:val="32"/>
          <w:szCs w:val="32"/>
        </w:rPr>
      </w:pPr>
      <w:r>
        <w:rPr>
          <w:rFonts w:hint="eastAsia"/>
          <w:color w:val="333333"/>
          <w:sz w:val="32"/>
          <w:szCs w:val="32"/>
        </w:rPr>
        <w:t>1.财政拨款收入：指财政部门核拨给单位的财政预算资金。</w:t>
      </w:r>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Chars="0" w:firstLine="640" w:firstLineChars="200"/>
        <w:contextualSpacing/>
        <w:jc w:val="both"/>
        <w:textAlignment w:val="top"/>
        <w:rPr>
          <w:rFonts w:hint="eastAsia"/>
          <w:color w:val="333333"/>
          <w:sz w:val="32"/>
          <w:szCs w:val="32"/>
        </w:rPr>
      </w:pPr>
      <w:r>
        <w:rPr>
          <w:rFonts w:hint="eastAsia"/>
          <w:color w:val="333333"/>
          <w:sz w:val="32"/>
          <w:szCs w:val="32"/>
        </w:rPr>
        <w:t>2.其他收入：指除上述财政部门拨付单位以外的收入。</w:t>
      </w:r>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Chars="0" w:firstLine="640" w:firstLineChars="200"/>
        <w:contextualSpacing/>
        <w:jc w:val="both"/>
        <w:textAlignment w:val="top"/>
        <w:rPr>
          <w:rFonts w:hint="eastAsia"/>
          <w:color w:val="333333"/>
          <w:sz w:val="32"/>
          <w:szCs w:val="32"/>
        </w:rPr>
      </w:pPr>
      <w:r>
        <w:rPr>
          <w:rFonts w:hint="eastAsia"/>
          <w:color w:val="333333"/>
          <w:sz w:val="32"/>
          <w:szCs w:val="32"/>
        </w:rPr>
        <w:t>3.基本支出：指为保障单位机关正常运转、完成日常工作任务而发生的人员支出和公用支出。</w:t>
      </w:r>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Chars="0" w:firstLine="640" w:firstLineChars="200"/>
        <w:contextualSpacing/>
        <w:jc w:val="both"/>
        <w:textAlignment w:val="top"/>
        <w:rPr>
          <w:rFonts w:hint="eastAsia"/>
          <w:color w:val="333333"/>
          <w:sz w:val="32"/>
          <w:szCs w:val="32"/>
        </w:rPr>
      </w:pPr>
      <w:r>
        <w:rPr>
          <w:rFonts w:hint="eastAsia"/>
          <w:color w:val="333333"/>
          <w:sz w:val="32"/>
          <w:szCs w:val="32"/>
        </w:rPr>
        <w:t>4.项目支出：指在基本支出之外为完成特定行政任务和事业发展目标所发生的支出。</w:t>
      </w:r>
    </w:p>
    <w:p>
      <w:pPr>
        <w:keepNext w:val="0"/>
        <w:keepLines w:val="0"/>
        <w:pageBreakBefore w:val="0"/>
        <w:widowControl w:val="0"/>
        <w:numPr>
          <w:numId w:val="0"/>
        </w:numPr>
        <w:pBdr>
          <w:bottom w:val="single" w:color="FFFFFF" w:sz="6" w:space="30"/>
        </w:pBdr>
        <w:tabs>
          <w:tab w:val="left" w:pos="6695"/>
          <w:tab w:val="left" w:pos="6725"/>
        </w:tabs>
        <w:kinsoku/>
        <w:wordWrap w:val="0"/>
        <w:overflowPunct/>
        <w:topLinePunct/>
        <w:autoSpaceDE/>
        <w:autoSpaceDN/>
        <w:bidi w:val="0"/>
        <w:adjustRightInd w:val="0"/>
        <w:snapToGrid w:val="0"/>
        <w:spacing w:line="560" w:lineRule="exact"/>
        <w:ind w:leftChars="0" w:firstLine="640" w:firstLineChars="200"/>
        <w:contextualSpacing/>
        <w:jc w:val="both"/>
        <w:textAlignment w:val="top"/>
        <w:rPr>
          <w:rFonts w:hint="eastAsia" w:ascii="宋体" w:hAnsi="宋体" w:eastAsia="宋体" w:cs="宋体"/>
          <w:color w:val="333333"/>
          <w:kern w:val="0"/>
          <w:sz w:val="32"/>
          <w:szCs w:val="32"/>
          <w:lang w:val="en-US" w:eastAsia="zh-CN" w:bidi="ar-SA"/>
        </w:rPr>
      </w:pPr>
      <w:r>
        <w:rPr>
          <w:rFonts w:hint="eastAsia"/>
          <w:color w:val="333333"/>
          <w:sz w:val="32"/>
          <w:szCs w:val="32"/>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color w:val="333333"/>
          <w:kern w:val="0"/>
          <w:sz w:val="32"/>
          <w:szCs w:val="32"/>
          <w:lang w:val="en-US" w:eastAsia="zh-CN" w:bidi="ar-SA"/>
        </w:rPr>
      </w:pPr>
      <w:r>
        <w:rPr>
          <w:rFonts w:hint="eastAsia" w:ascii="宋体" w:hAnsi="宋体" w:eastAsia="宋体" w:cs="宋体"/>
          <w:color w:val="333333"/>
          <w:kern w:val="0"/>
          <w:sz w:val="32"/>
          <w:szCs w:val="32"/>
          <w:lang w:val="en-US" w:eastAsia="zh-CN" w:bidi="ar-SA"/>
        </w:rPr>
        <w:t>附件：</w:t>
      </w:r>
      <w:bookmarkStart w:id="17" w:name="_GoBack"/>
      <w:bookmarkEnd w:id="17"/>
      <w:r>
        <w:rPr>
          <w:rFonts w:hint="eastAsia" w:ascii="宋体" w:hAnsi="宋体" w:eastAsia="宋体" w:cs="宋体"/>
          <w:color w:val="333333"/>
          <w:kern w:val="0"/>
          <w:sz w:val="32"/>
          <w:szCs w:val="32"/>
          <w:lang w:val="en-US" w:eastAsia="zh-CN" w:bidi="ar-SA"/>
        </w:rPr>
        <w:t>纪委2025年部门预算公开报表（部门公开）。</w:t>
      </w:r>
    </w:p>
    <w:p>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rPr>
          <w:rFonts w:hint="default" w:ascii="宋体" w:hAnsi="宋体" w:eastAsia="宋体" w:cs="宋体"/>
          <w:color w:val="333333"/>
          <w:kern w:val="0"/>
          <w:sz w:val="32"/>
          <w:szCs w:val="32"/>
          <w:lang w:val="en-US" w:eastAsia="zh-CN" w:bidi="ar-SA"/>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195FD6"/>
    <w:multiLevelType w:val="singleLevel"/>
    <w:tmpl w:val="F4195FD6"/>
    <w:lvl w:ilvl="0" w:tentative="0">
      <w:start w:val="2"/>
      <w:numFmt w:val="chineseCounting"/>
      <w:suff w:val="nothing"/>
      <w:lvlText w:val="%1、"/>
      <w:lvlJc w:val="left"/>
      <w:rPr>
        <w:rFonts w:hint="eastAsia"/>
      </w:rPr>
    </w:lvl>
  </w:abstractNum>
  <w:abstractNum w:abstractNumId="1">
    <w:nsid w:val="42CCD2F8"/>
    <w:multiLevelType w:val="singleLevel"/>
    <w:tmpl w:val="42CCD2F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4MjcyOTYyZDA5NDY1NWNjNTFiMzMxYzU1MGI5OTMifQ=="/>
  </w:docVars>
  <w:rsids>
    <w:rsidRoot w:val="00DC6053"/>
    <w:rsid w:val="00234242"/>
    <w:rsid w:val="003C19F3"/>
    <w:rsid w:val="00DC6053"/>
    <w:rsid w:val="02734A43"/>
    <w:rsid w:val="0E9147B0"/>
    <w:rsid w:val="10B6615A"/>
    <w:rsid w:val="128C796C"/>
    <w:rsid w:val="1B46223B"/>
    <w:rsid w:val="2636754D"/>
    <w:rsid w:val="2DA03846"/>
    <w:rsid w:val="32B1481F"/>
    <w:rsid w:val="332806CE"/>
    <w:rsid w:val="33961B38"/>
    <w:rsid w:val="3A122B70"/>
    <w:rsid w:val="3E2C4A03"/>
    <w:rsid w:val="3FE0013B"/>
    <w:rsid w:val="41874CA8"/>
    <w:rsid w:val="42037502"/>
    <w:rsid w:val="4504730C"/>
    <w:rsid w:val="463A6A00"/>
    <w:rsid w:val="4D716D36"/>
    <w:rsid w:val="4EE52BF5"/>
    <w:rsid w:val="4F7A1E2B"/>
    <w:rsid w:val="51571E7C"/>
    <w:rsid w:val="535342BD"/>
    <w:rsid w:val="540D73C9"/>
    <w:rsid w:val="57A41DFE"/>
    <w:rsid w:val="59050552"/>
    <w:rsid w:val="5C0346B3"/>
    <w:rsid w:val="5C7D7BED"/>
    <w:rsid w:val="5D983317"/>
    <w:rsid w:val="63A50F31"/>
    <w:rsid w:val="665339F6"/>
    <w:rsid w:val="72F9461C"/>
    <w:rsid w:val="776D5739"/>
    <w:rsid w:val="7AF57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6"/>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uiPriority w:val="0"/>
    <w:pPr>
      <w:spacing w:line="520" w:lineRule="exact"/>
      <w:ind w:firstLine="717" w:firstLineChars="211"/>
    </w:pPr>
    <w:rPr>
      <w:rFonts w:eastAsia="仿宋_GB2312"/>
      <w:sz w:val="34"/>
      <w:szCs w:val="34"/>
    </w:rPr>
  </w:style>
  <w:style w:type="paragraph" w:styleId="5">
    <w:name w:val="Balloon Text"/>
    <w:basedOn w:val="1"/>
    <w:link w:val="15"/>
    <w:semiHidden/>
    <w:unhideWhenUsed/>
    <w:qFormat/>
    <w:uiPriority w:val="99"/>
    <w:pPr>
      <w:spacing w:line="240" w:lineRule="auto"/>
    </w:pPr>
    <w:rPr>
      <w:sz w:val="18"/>
      <w:szCs w:val="18"/>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paragraph" w:styleId="10">
    <w:name w:val="Normal (Web)"/>
    <w:basedOn w:val="1"/>
    <w:semiHidden/>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character" w:styleId="13">
    <w:name w:val="Hyperlink"/>
    <w:basedOn w:val="12"/>
    <w:semiHidden/>
    <w:unhideWhenUsed/>
    <w:qFormat/>
    <w:uiPriority w:val="99"/>
    <w:rPr>
      <w:color w:val="0000FF"/>
      <w:u w:val="single"/>
    </w:rPr>
  </w:style>
  <w:style w:type="paragraph" w:customStyle="1" w:styleId="14">
    <w:name w:val="Heading3"/>
    <w:basedOn w:val="1"/>
    <w:next w:val="1"/>
    <w:qFormat/>
    <w:uiPriority w:val="0"/>
    <w:pPr>
      <w:spacing w:before="104" w:after="104"/>
      <w:jc w:val="both"/>
      <w:textAlignment w:val="baseline"/>
    </w:pPr>
    <w:rPr>
      <w:rFonts w:ascii="Calibri" w:hAnsi="Calibri" w:eastAsia="黑体"/>
      <w:kern w:val="2"/>
      <w:sz w:val="21"/>
      <w:szCs w:val="24"/>
      <w:lang w:val="en-US" w:eastAsia="zh-CN" w:bidi="ar-SA"/>
    </w:rPr>
  </w:style>
  <w:style w:type="character" w:customStyle="1" w:styleId="15">
    <w:name w:val="批注框文本 Char"/>
    <w:basedOn w:val="12"/>
    <w:link w:val="5"/>
    <w:semiHidden/>
    <w:qFormat/>
    <w:uiPriority w:val="99"/>
    <w:rPr>
      <w:sz w:val="18"/>
      <w:szCs w:val="18"/>
    </w:rPr>
  </w:style>
  <w:style w:type="character" w:customStyle="1" w:styleId="16">
    <w:name w:val="标题 1 Char"/>
    <w:basedOn w:val="12"/>
    <w:link w:val="4"/>
    <w:qFormat/>
    <w:uiPriority w:val="9"/>
    <w:rPr>
      <w:rFonts w:ascii="宋体" w:hAnsi="宋体" w:eastAsia="宋体" w:cs="宋体"/>
      <w:b/>
      <w:bCs/>
      <w:kern w:val="36"/>
      <w:sz w:val="48"/>
      <w:szCs w:val="48"/>
    </w:rPr>
  </w:style>
  <w:style w:type="paragraph" w:customStyle="1" w:styleId="17">
    <w:name w:val="WPSOffice手动目录 1"/>
    <w:qFormat/>
    <w:uiPriority w:val="0"/>
    <w:pPr>
      <w:ind w:leftChars="0"/>
    </w:pPr>
    <w:rPr>
      <w:rFonts w:asciiTheme="minorHAnsi" w:hAnsiTheme="minorHAnsi" w:eastAsiaTheme="minorEastAsia" w:cstheme="minorBidi"/>
      <w:sz w:val="20"/>
      <w:szCs w:val="20"/>
    </w:rPr>
  </w:style>
  <w:style w:type="paragraph" w:customStyle="1" w:styleId="18">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516</Words>
  <Characters>2946</Characters>
  <Lines>24</Lines>
  <Paragraphs>6</Paragraphs>
  <TotalTime>9</TotalTime>
  <ScaleCrop>false</ScaleCrop>
  <LinksUpToDate>false</LinksUpToDate>
  <CharactersWithSpaces>3456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2023-06-06T05:59:00Z</dcterms:created>
  <dc:creator>Administrator</dc:creator>
  <cp:lastModifiedBy>Administrator</cp:lastModifiedBy>
  <cp:lastPrinted>2025-06-05T08:38:53Z</cp:lastPrinted>
  <dcterms:modified xsi:type="dcterms:W3CDTF">2025-06-05T09:05:35Z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FEE9EC39CDE34046BA4805F6746ABA91_13</vt:lpwstr>
  </property>
</Properties>
</file>