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eastAsia="方正小标宋简体"/>
          <w:sz w:val="72"/>
          <w:szCs w:val="72"/>
        </w:rPr>
      </w:pPr>
      <w:bookmarkStart w:id="149" w:name="_GoBack"/>
      <w:bookmarkEnd w:id="149"/>
      <w:bookmarkStart w:id="0" w:name="_Toc15377425"/>
      <w:bookmarkStart w:id="1" w:name="_Toc15306267"/>
      <w:bookmarkStart w:id="2" w:name="_Toc15396475"/>
      <w:bookmarkStart w:id="3" w:name="_Toc15377193"/>
      <w:bookmarkStart w:id="4" w:name="_Toc15378441"/>
      <w:bookmarkStart w:id="5" w:name="_Toc15396597"/>
    </w:p>
    <w:p>
      <w:pPr>
        <w:spacing w:line="600" w:lineRule="exact"/>
        <w:jc w:val="center"/>
        <w:rPr>
          <w:rFonts w:ascii="方正小标宋简体" w:eastAsia="方正小标宋简体"/>
          <w:sz w:val="72"/>
          <w:szCs w:val="72"/>
        </w:rPr>
      </w:pPr>
    </w:p>
    <w:p>
      <w:pPr>
        <w:spacing w:line="600" w:lineRule="exact"/>
        <w:jc w:val="center"/>
        <w:rPr>
          <w:rFonts w:ascii="方正小标宋简体" w:eastAsia="方正小标宋简体"/>
          <w:sz w:val="72"/>
          <w:szCs w:val="72"/>
        </w:rPr>
      </w:pPr>
    </w:p>
    <w:bookmarkEnd w:id="0"/>
    <w:bookmarkEnd w:id="1"/>
    <w:bookmarkEnd w:id="2"/>
    <w:bookmarkEnd w:id="3"/>
    <w:bookmarkEnd w:id="4"/>
    <w:bookmarkEnd w:id="5"/>
    <w:p>
      <w:pPr>
        <w:pStyle w:val="15"/>
        <w:shd w:val="clear" w:color="auto" w:fill="FFFFFF"/>
        <w:jc w:val="center"/>
      </w:pPr>
      <w:r>
        <w:rPr>
          <w:sz w:val="42"/>
          <w:szCs w:val="42"/>
        </w:rPr>
        <w:t>2022年度</w:t>
      </w:r>
    </w:p>
    <w:p>
      <w:pPr>
        <w:pStyle w:val="15"/>
        <w:shd w:val="clear" w:color="auto" w:fill="FFFFFF"/>
        <w:jc w:val="center"/>
        <w:rPr>
          <w:sz w:val="42"/>
          <w:szCs w:val="42"/>
        </w:rPr>
      </w:pPr>
      <w:r>
        <w:rPr>
          <w:sz w:val="42"/>
          <w:szCs w:val="42"/>
        </w:rPr>
        <w:t>中共阿坝州红原县纪律检查委员会</w:t>
      </w:r>
    </w:p>
    <w:p>
      <w:pPr>
        <w:pStyle w:val="15"/>
        <w:shd w:val="clear" w:color="auto" w:fill="FFFFFF"/>
        <w:jc w:val="center"/>
      </w:pPr>
      <w:r>
        <w:rPr>
          <w:sz w:val="42"/>
          <w:szCs w:val="42"/>
        </w:rPr>
        <w:t>部门决算</w:t>
      </w: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pStyle w:val="8"/>
        <w:ind w:left="420" w:firstLine="720"/>
        <w:rPr>
          <w:rFonts w:ascii="方正小标宋简体" w:eastAsia="方正小标宋简体"/>
          <w:sz w:val="36"/>
          <w:szCs w:val="36"/>
        </w:rPr>
      </w:pPr>
    </w:p>
    <w:p>
      <w:pPr>
        <w:pStyle w:val="9"/>
        <w:rPr>
          <w:rFonts w:ascii="方正小标宋简体" w:eastAsia="方正小标宋简体"/>
          <w:sz w:val="36"/>
          <w:szCs w:val="36"/>
        </w:rPr>
      </w:pPr>
    </w:p>
    <w:p>
      <w:pPr>
        <w:pStyle w:val="9"/>
        <w:rPr>
          <w:rFonts w:ascii="方正小标宋简体" w:eastAsia="方正小标宋简体"/>
          <w:sz w:val="36"/>
          <w:szCs w:val="36"/>
        </w:rPr>
      </w:pPr>
    </w:p>
    <w:p>
      <w:pPr>
        <w:pStyle w:val="15"/>
        <w:widowControl/>
        <w:ind w:right="75"/>
      </w:pPr>
      <w:r>
        <w:rPr>
          <w:shd w:val="clear" w:color="auto" w:fill="FFFFFF"/>
        </w:rPr>
        <w:t>保密审查情况：已审查，内容审定</w:t>
      </w:r>
    </w:p>
    <w:p>
      <w:pPr>
        <w:pStyle w:val="15"/>
        <w:widowControl/>
        <w:ind w:right="75"/>
        <w:rPr>
          <w:rStyle w:val="18"/>
          <w:sz w:val="30"/>
          <w:szCs w:val="30"/>
          <w:shd w:val="clear" w:color="auto" w:fill="FFFFFF"/>
        </w:rPr>
        <w:sectPr>
          <w:pgSz w:w="11906" w:h="16838"/>
          <w:pgMar w:top="1440" w:right="1800" w:bottom="1440" w:left="1800" w:header="851" w:footer="992" w:gutter="0"/>
          <w:cols w:space="720" w:num="1"/>
          <w:docGrid w:type="lines" w:linePitch="312" w:charSpace="0"/>
        </w:sectPr>
      </w:pPr>
      <w:r>
        <w:rPr>
          <w:shd w:val="clear" w:color="auto" w:fill="FFFFFF"/>
        </w:rPr>
        <w:t>部门主要负责人审签情况：已审签，同意对外公开</w:t>
      </w:r>
    </w:p>
    <w:p>
      <w:pPr>
        <w:widowControl/>
        <w:jc w:val="center"/>
        <w:rPr>
          <w:rFonts w:ascii="黑体" w:eastAsia="黑体"/>
          <w:sz w:val="48"/>
          <w:szCs w:val="48"/>
        </w:rPr>
      </w:pPr>
      <w:r>
        <w:rPr>
          <w:rFonts w:hint="eastAsia" w:ascii="黑体" w:eastAsia="黑体"/>
          <w:sz w:val="48"/>
          <w:szCs w:val="48"/>
        </w:rPr>
        <w:t>目录</w:t>
      </w:r>
    </w:p>
    <w:p>
      <w:pPr>
        <w:widowControl/>
        <w:jc w:val="center"/>
        <w:rPr>
          <w:rFonts w:ascii="黑体" w:eastAsia="黑体" w:cs="Arial"/>
          <w:sz w:val="28"/>
          <w:szCs w:val="28"/>
        </w:rPr>
      </w:pPr>
    </w:p>
    <w:p>
      <w:pPr>
        <w:pStyle w:val="13"/>
      </w:pPr>
      <w:r>
        <w:rPr>
          <w:rFonts w:hint="eastAsia"/>
        </w:rPr>
        <w:t>公开时间：2023年10月15日</w:t>
      </w:r>
    </w:p>
    <w:p/>
    <w:sdt>
      <w:sdtPr>
        <w:rPr>
          <w:rFonts w:ascii="宋体" w:hAnsi="宋体"/>
        </w:rPr>
        <w:id w:val="147451071"/>
        <w:docPartObj>
          <w:docPartGallery w:val="Table of Contents"/>
          <w:docPartUnique/>
        </w:docPartObj>
      </w:sdtPr>
      <w:sdtEndPr>
        <w:rPr>
          <w:rFonts w:ascii="宋体" w:hAnsi="宋体"/>
          <w:b/>
        </w:rPr>
      </w:sdtEndPr>
      <w:sdtContent>
        <w:p>
          <w:pPr>
            <w:jc w:val="center"/>
          </w:pPr>
          <w:bookmarkStart w:id="6" w:name="_Toc15396599"/>
          <w:bookmarkStart w:id="7" w:name="_Toc15377196"/>
        </w:p>
        <w:p>
          <w:pPr>
            <w:pStyle w:val="13"/>
            <w:tabs>
              <w:tab w:val="right" w:leader="dot" w:pos="8306"/>
              <w:tab w:val="clear" w:pos="8296"/>
            </w:tabs>
            <w:rPr>
              <w:rFonts w:ascii="仿宋_GB2312" w:hAnsi="仿宋_GB2312" w:eastAsia="仿宋_GB2312" w:cs="仿宋_GB2312"/>
              <w:sz w:val="30"/>
              <w:szCs w:val="30"/>
            </w:rPr>
          </w:pPr>
          <w:r>
            <w:fldChar w:fldCharType="begin"/>
          </w:r>
          <w:r>
            <w:instrText xml:space="preserve">TOC \o "1-2" \h \u </w:instrText>
          </w:r>
          <w:r>
            <w:fldChar w:fldCharType="separate"/>
          </w:r>
          <w:r>
            <w:fldChar w:fldCharType="begin"/>
          </w:r>
          <w:r>
            <w:instrText xml:space="preserve"> HYPERLINK \l "_Toc10305" </w:instrText>
          </w:r>
          <w:r>
            <w:fldChar w:fldCharType="separate"/>
          </w:r>
          <w:r>
            <w:rPr>
              <w:rFonts w:hint="eastAsia" w:ascii="仿宋_GB2312" w:hAnsi="仿宋_GB2312" w:eastAsia="仿宋_GB2312" w:cs="仿宋_GB2312"/>
              <w:sz w:val="30"/>
              <w:szCs w:val="30"/>
            </w:rPr>
            <w:t>第一部分 部门概况</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_Toc10305 \h </w:instrText>
          </w:r>
          <w:r>
            <w:rPr>
              <w:rFonts w:hint="eastAsia" w:ascii="仿宋_GB2312" w:hAnsi="仿宋_GB2312" w:eastAsia="仿宋_GB2312" w:cs="仿宋_GB2312"/>
              <w:sz w:val="30"/>
              <w:szCs w:val="30"/>
            </w:rPr>
            <w:fldChar w:fldCharType="separate"/>
          </w:r>
          <w:r>
            <w:rPr>
              <w:rFonts w:ascii="仿宋_GB2312" w:hAnsi="仿宋_GB2312" w:eastAsia="仿宋_GB2312" w:cs="仿宋_GB2312"/>
              <w:sz w:val="30"/>
              <w:szCs w:val="30"/>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ind w:left="420"/>
            <w:rPr>
              <w:rFonts w:ascii="仿宋_GB2312" w:hAnsi="仿宋_GB2312" w:eastAsia="仿宋_GB2312" w:cs="仿宋_GB2312"/>
              <w:sz w:val="30"/>
              <w:szCs w:val="30"/>
            </w:rPr>
          </w:pPr>
          <w:r>
            <w:fldChar w:fldCharType="begin"/>
          </w:r>
          <w:r>
            <w:instrText xml:space="preserve"> HYPERLINK \l "_Toc5949" </w:instrText>
          </w:r>
          <w:r>
            <w:fldChar w:fldCharType="separate"/>
          </w:r>
          <w:r>
            <w:rPr>
              <w:rFonts w:hint="eastAsia" w:ascii="仿宋_GB2312" w:hAnsi="仿宋_GB2312" w:eastAsia="仿宋_GB2312" w:cs="仿宋_GB2312"/>
              <w:bCs/>
              <w:sz w:val="30"/>
              <w:szCs w:val="30"/>
            </w:rPr>
            <w:t>一、 部门职责</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_Toc5949 \h </w:instrText>
          </w:r>
          <w:r>
            <w:rPr>
              <w:rFonts w:hint="eastAsia" w:ascii="仿宋_GB2312" w:hAnsi="仿宋_GB2312" w:eastAsia="仿宋_GB2312" w:cs="仿宋_GB2312"/>
              <w:sz w:val="30"/>
              <w:szCs w:val="30"/>
            </w:rPr>
            <w:fldChar w:fldCharType="separate"/>
          </w:r>
          <w:r>
            <w:rPr>
              <w:rFonts w:ascii="仿宋_GB2312" w:hAnsi="仿宋_GB2312" w:eastAsia="仿宋_GB2312" w:cs="仿宋_GB2312"/>
              <w:sz w:val="30"/>
              <w:szCs w:val="30"/>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ind w:left="420"/>
            <w:rPr>
              <w:rFonts w:ascii="仿宋_GB2312" w:hAnsi="仿宋_GB2312" w:eastAsia="仿宋_GB2312" w:cs="仿宋_GB2312"/>
              <w:sz w:val="30"/>
              <w:szCs w:val="30"/>
            </w:rPr>
          </w:pPr>
          <w:r>
            <w:fldChar w:fldCharType="begin"/>
          </w:r>
          <w:r>
            <w:instrText xml:space="preserve"> HYPERLINK \l "_Toc6464" </w:instrText>
          </w:r>
          <w:r>
            <w:fldChar w:fldCharType="separate"/>
          </w:r>
          <w:r>
            <w:rPr>
              <w:rFonts w:hint="eastAsia" w:ascii="仿宋_GB2312" w:hAnsi="仿宋_GB2312" w:eastAsia="仿宋_GB2312" w:cs="仿宋_GB2312"/>
              <w:bCs/>
              <w:sz w:val="30"/>
              <w:szCs w:val="30"/>
            </w:rPr>
            <w:t>二、机构设置</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_Toc6464 \h </w:instrText>
          </w:r>
          <w:r>
            <w:rPr>
              <w:rFonts w:hint="eastAsia" w:ascii="仿宋_GB2312" w:hAnsi="仿宋_GB2312" w:eastAsia="仿宋_GB2312" w:cs="仿宋_GB2312"/>
              <w:sz w:val="30"/>
              <w:szCs w:val="30"/>
            </w:rPr>
            <w:fldChar w:fldCharType="separate"/>
          </w:r>
          <w:r>
            <w:rPr>
              <w:rFonts w:ascii="仿宋_GB2312" w:hAnsi="仿宋_GB2312" w:eastAsia="仿宋_GB2312" w:cs="仿宋_GB2312"/>
              <w:sz w:val="30"/>
              <w:szCs w:val="30"/>
            </w:rPr>
            <w:t>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3"/>
            <w:tabs>
              <w:tab w:val="right" w:leader="dot" w:pos="8306"/>
              <w:tab w:val="clear" w:pos="8296"/>
            </w:tabs>
            <w:rPr>
              <w:rFonts w:ascii="仿宋_GB2312" w:hAnsi="仿宋_GB2312" w:eastAsia="仿宋_GB2312" w:cs="仿宋_GB2312"/>
              <w:sz w:val="30"/>
              <w:szCs w:val="30"/>
            </w:rPr>
          </w:pPr>
          <w:r>
            <w:fldChar w:fldCharType="begin"/>
          </w:r>
          <w:r>
            <w:instrText xml:space="preserve"> HYPERLINK \l "_Toc4287" </w:instrText>
          </w:r>
          <w:r>
            <w:fldChar w:fldCharType="separate"/>
          </w:r>
          <w:r>
            <w:rPr>
              <w:rFonts w:hint="eastAsia" w:ascii="仿宋_GB2312" w:hAnsi="仿宋_GB2312" w:eastAsia="仿宋_GB2312" w:cs="仿宋_GB2312"/>
              <w:sz w:val="30"/>
              <w:szCs w:val="30"/>
            </w:rPr>
            <w:t>第二部分 2022年度</w:t>
          </w:r>
          <w:r>
            <w:rPr>
              <w:rFonts w:hint="eastAsia" w:ascii="仿宋_GB2312" w:hAnsi="仿宋_GB2312" w:eastAsia="仿宋_GB2312" w:cs="仿宋_GB2312"/>
              <w:bCs/>
              <w:sz w:val="30"/>
              <w:szCs w:val="30"/>
            </w:rPr>
            <w:t>部门决算情况说明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_Toc4287 \h </w:instrText>
          </w:r>
          <w:r>
            <w:rPr>
              <w:rFonts w:hint="eastAsia" w:ascii="仿宋_GB2312" w:hAnsi="仿宋_GB2312" w:eastAsia="仿宋_GB2312" w:cs="仿宋_GB2312"/>
              <w:sz w:val="30"/>
              <w:szCs w:val="30"/>
            </w:rPr>
            <w:fldChar w:fldCharType="separate"/>
          </w:r>
          <w:r>
            <w:rPr>
              <w:rFonts w:ascii="仿宋_GB2312" w:hAnsi="仿宋_GB2312" w:eastAsia="仿宋_GB2312" w:cs="仿宋_GB2312"/>
              <w:sz w:val="30"/>
              <w:szCs w:val="30"/>
            </w:rPr>
            <w:t>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ind w:left="420"/>
            <w:rPr>
              <w:rFonts w:ascii="仿宋_GB2312" w:hAnsi="仿宋_GB2312" w:eastAsia="仿宋_GB2312" w:cs="仿宋_GB2312"/>
              <w:sz w:val="30"/>
              <w:szCs w:val="30"/>
            </w:rPr>
          </w:pPr>
          <w:r>
            <w:fldChar w:fldCharType="begin"/>
          </w:r>
          <w:r>
            <w:instrText xml:space="preserve"> HYPERLINK \l "_Toc12888" </w:instrText>
          </w:r>
          <w:r>
            <w:fldChar w:fldCharType="separate"/>
          </w:r>
          <w:r>
            <w:rPr>
              <w:rFonts w:hint="eastAsia" w:ascii="仿宋_GB2312" w:hAnsi="仿宋_GB2312" w:eastAsia="仿宋_GB2312" w:cs="仿宋_GB2312"/>
              <w:sz w:val="30"/>
              <w:szCs w:val="30"/>
            </w:rPr>
            <w:t>一、 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_Toc12888 \h </w:instrText>
          </w:r>
          <w:r>
            <w:rPr>
              <w:rFonts w:hint="eastAsia" w:ascii="仿宋_GB2312" w:hAnsi="仿宋_GB2312" w:eastAsia="仿宋_GB2312" w:cs="仿宋_GB2312"/>
              <w:sz w:val="30"/>
              <w:szCs w:val="30"/>
            </w:rPr>
            <w:fldChar w:fldCharType="separate"/>
          </w:r>
          <w:r>
            <w:rPr>
              <w:rFonts w:ascii="仿宋_GB2312" w:hAnsi="仿宋_GB2312" w:eastAsia="仿宋_GB2312" w:cs="仿宋_GB2312"/>
              <w:sz w:val="30"/>
              <w:szCs w:val="30"/>
            </w:rPr>
            <w:t>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ind w:left="420"/>
            <w:rPr>
              <w:rFonts w:ascii="仿宋_GB2312" w:hAnsi="仿宋_GB2312" w:eastAsia="仿宋_GB2312" w:cs="仿宋_GB2312"/>
              <w:sz w:val="30"/>
              <w:szCs w:val="30"/>
            </w:rPr>
          </w:pPr>
          <w:r>
            <w:fldChar w:fldCharType="begin"/>
          </w:r>
          <w:r>
            <w:instrText xml:space="preserve"> HYPERLINK \l "_Toc29497" </w:instrText>
          </w:r>
          <w:r>
            <w:fldChar w:fldCharType="separate"/>
          </w:r>
          <w:r>
            <w:rPr>
              <w:rFonts w:hint="eastAsia" w:ascii="仿宋_GB2312" w:hAnsi="仿宋_GB2312" w:eastAsia="仿宋_GB2312" w:cs="仿宋_GB2312"/>
              <w:sz w:val="30"/>
              <w:szCs w:val="30"/>
            </w:rPr>
            <w:t>二、 收入决算情况说明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_Toc29497 \h </w:instrText>
          </w:r>
          <w:r>
            <w:rPr>
              <w:rFonts w:hint="eastAsia" w:ascii="仿宋_GB2312" w:hAnsi="仿宋_GB2312" w:eastAsia="仿宋_GB2312" w:cs="仿宋_GB2312"/>
              <w:sz w:val="30"/>
              <w:szCs w:val="30"/>
            </w:rPr>
            <w:fldChar w:fldCharType="separate"/>
          </w:r>
          <w:r>
            <w:rPr>
              <w:rFonts w:ascii="仿宋_GB2312" w:hAnsi="仿宋_GB2312" w:eastAsia="仿宋_GB2312" w:cs="仿宋_GB2312"/>
              <w:sz w:val="30"/>
              <w:szCs w:val="30"/>
            </w:rPr>
            <w:t>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ind w:left="420"/>
            <w:rPr>
              <w:rFonts w:ascii="仿宋_GB2312" w:hAnsi="仿宋_GB2312" w:eastAsia="仿宋_GB2312" w:cs="仿宋_GB2312"/>
              <w:sz w:val="30"/>
              <w:szCs w:val="30"/>
            </w:rPr>
          </w:pPr>
          <w:r>
            <w:fldChar w:fldCharType="begin"/>
          </w:r>
          <w:r>
            <w:instrText xml:space="preserve"> HYPERLINK \l "_Toc17859" </w:instrText>
          </w:r>
          <w:r>
            <w:fldChar w:fldCharType="separate"/>
          </w:r>
          <w:r>
            <w:rPr>
              <w:rFonts w:hint="eastAsia" w:ascii="仿宋_GB2312" w:hAnsi="仿宋_GB2312" w:eastAsia="仿宋_GB2312" w:cs="仿宋_GB2312"/>
              <w:sz w:val="30"/>
              <w:szCs w:val="30"/>
            </w:rPr>
            <w:t>三、 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_Toc17859 \h </w:instrText>
          </w:r>
          <w:r>
            <w:rPr>
              <w:rFonts w:hint="eastAsia" w:ascii="仿宋_GB2312" w:hAnsi="仿宋_GB2312" w:eastAsia="仿宋_GB2312" w:cs="仿宋_GB2312"/>
              <w:sz w:val="30"/>
              <w:szCs w:val="30"/>
            </w:rPr>
            <w:fldChar w:fldCharType="separate"/>
          </w:r>
          <w:r>
            <w:rPr>
              <w:rFonts w:ascii="仿宋_GB2312" w:hAnsi="仿宋_GB2312" w:eastAsia="仿宋_GB2312" w:cs="仿宋_GB2312"/>
              <w:sz w:val="30"/>
              <w:szCs w:val="30"/>
            </w:rPr>
            <w:t>10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ind w:left="420"/>
            <w:rPr>
              <w:rFonts w:ascii="仿宋_GB2312" w:hAnsi="仿宋_GB2312" w:eastAsia="仿宋_GB2312" w:cs="仿宋_GB2312"/>
              <w:sz w:val="30"/>
              <w:szCs w:val="30"/>
            </w:rPr>
          </w:pPr>
          <w:r>
            <w:fldChar w:fldCharType="begin"/>
          </w:r>
          <w:r>
            <w:instrText xml:space="preserve"> HYPERLINK \l "_Toc18206" </w:instrText>
          </w:r>
          <w:r>
            <w:fldChar w:fldCharType="separate"/>
          </w:r>
          <w:r>
            <w:rPr>
              <w:rFonts w:hint="eastAsia" w:ascii="仿宋_GB2312" w:hAnsi="仿宋_GB2312" w:eastAsia="仿宋_GB2312" w:cs="仿宋_GB2312"/>
              <w:sz w:val="30"/>
              <w:szCs w:val="30"/>
            </w:rPr>
            <w:t>四、财政拨款收入支出决算总体情况说明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_Toc18206 \h </w:instrText>
          </w:r>
          <w:r>
            <w:rPr>
              <w:rFonts w:hint="eastAsia" w:ascii="仿宋_GB2312" w:hAnsi="仿宋_GB2312" w:eastAsia="仿宋_GB2312" w:cs="仿宋_GB2312"/>
              <w:sz w:val="30"/>
              <w:szCs w:val="30"/>
            </w:rPr>
            <w:fldChar w:fldCharType="separate"/>
          </w:r>
          <w:r>
            <w:rPr>
              <w:rFonts w:ascii="仿宋_GB2312" w:hAnsi="仿宋_GB2312" w:eastAsia="仿宋_GB2312" w:cs="仿宋_GB2312"/>
              <w:sz w:val="30"/>
              <w:szCs w:val="30"/>
            </w:rPr>
            <w:t>10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ind w:left="420"/>
            <w:rPr>
              <w:rFonts w:ascii="仿宋_GB2312" w:hAnsi="仿宋_GB2312" w:eastAsia="仿宋_GB2312" w:cs="仿宋_GB2312"/>
              <w:sz w:val="30"/>
              <w:szCs w:val="30"/>
            </w:rPr>
          </w:pPr>
          <w:r>
            <w:fldChar w:fldCharType="begin"/>
          </w:r>
          <w:r>
            <w:instrText xml:space="preserve"> HYPERLINK \l "_Toc29964" </w:instrText>
          </w:r>
          <w:r>
            <w:fldChar w:fldCharType="separate"/>
          </w:r>
          <w:r>
            <w:rPr>
              <w:rFonts w:hint="eastAsia" w:ascii="仿宋_GB2312" w:hAnsi="仿宋_GB2312" w:eastAsia="仿宋_GB2312" w:cs="仿宋_GB2312"/>
              <w:sz w:val="30"/>
              <w:szCs w:val="30"/>
            </w:rPr>
            <w:t>五、一般公共预算财政拨款支出决算情况说明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_Toc29964 \h </w:instrText>
          </w:r>
          <w:r>
            <w:rPr>
              <w:rFonts w:hint="eastAsia" w:ascii="仿宋_GB2312" w:hAnsi="仿宋_GB2312" w:eastAsia="仿宋_GB2312" w:cs="仿宋_GB2312"/>
              <w:sz w:val="30"/>
              <w:szCs w:val="30"/>
            </w:rPr>
            <w:fldChar w:fldCharType="separate"/>
          </w:r>
          <w:r>
            <w:rPr>
              <w:rFonts w:ascii="仿宋_GB2312" w:hAnsi="仿宋_GB2312" w:eastAsia="仿宋_GB2312" w:cs="仿宋_GB2312"/>
              <w:sz w:val="30"/>
              <w:szCs w:val="30"/>
            </w:rPr>
            <w:t>11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ind w:left="420"/>
            <w:rPr>
              <w:rFonts w:ascii="仿宋_GB2312" w:hAnsi="仿宋_GB2312" w:eastAsia="仿宋_GB2312" w:cs="仿宋_GB2312"/>
              <w:sz w:val="30"/>
              <w:szCs w:val="30"/>
            </w:rPr>
          </w:pPr>
          <w:r>
            <w:fldChar w:fldCharType="begin"/>
          </w:r>
          <w:r>
            <w:instrText xml:space="preserve"> HYPERLINK \l "_Toc29471" </w:instrText>
          </w:r>
          <w:r>
            <w:fldChar w:fldCharType="separate"/>
          </w:r>
          <w:r>
            <w:rPr>
              <w:rFonts w:hint="eastAsia" w:ascii="仿宋_GB2312" w:hAnsi="仿宋_GB2312" w:eastAsia="仿宋_GB2312" w:cs="仿宋_GB2312"/>
              <w:sz w:val="30"/>
              <w:szCs w:val="30"/>
            </w:rPr>
            <w:t>六、一般公共预算财政拨款基本支出决算情况说明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_Toc29471 \h </w:instrText>
          </w:r>
          <w:r>
            <w:rPr>
              <w:rFonts w:hint="eastAsia" w:ascii="仿宋_GB2312" w:hAnsi="仿宋_GB2312" w:eastAsia="仿宋_GB2312" w:cs="仿宋_GB2312"/>
              <w:sz w:val="30"/>
              <w:szCs w:val="30"/>
            </w:rPr>
            <w:fldChar w:fldCharType="separate"/>
          </w:r>
          <w:r>
            <w:rPr>
              <w:rFonts w:ascii="仿宋_GB2312" w:hAnsi="仿宋_GB2312" w:eastAsia="仿宋_GB2312" w:cs="仿宋_GB2312"/>
              <w:sz w:val="30"/>
              <w:szCs w:val="30"/>
            </w:rPr>
            <w:t>14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ind w:left="420"/>
            <w:rPr>
              <w:rFonts w:ascii="仿宋_GB2312" w:hAnsi="仿宋_GB2312" w:eastAsia="仿宋_GB2312" w:cs="仿宋_GB2312"/>
              <w:sz w:val="30"/>
              <w:szCs w:val="30"/>
            </w:rPr>
          </w:pPr>
          <w:r>
            <w:fldChar w:fldCharType="begin"/>
          </w:r>
          <w:r>
            <w:instrText xml:space="preserve"> HYPERLINK \l "_Toc16831" </w:instrText>
          </w:r>
          <w:r>
            <w:fldChar w:fldCharType="separate"/>
          </w:r>
          <w:r>
            <w:rPr>
              <w:rFonts w:hint="eastAsia" w:ascii="仿宋_GB2312" w:hAnsi="仿宋_GB2312" w:eastAsia="仿宋_GB2312" w:cs="仿宋_GB2312"/>
              <w:sz w:val="30"/>
              <w:szCs w:val="30"/>
            </w:rPr>
            <w:t>七、财政拨款“三公”经费支出决算情况说明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_Toc16831 \h </w:instrText>
          </w:r>
          <w:r>
            <w:rPr>
              <w:rFonts w:hint="eastAsia" w:ascii="仿宋_GB2312" w:hAnsi="仿宋_GB2312" w:eastAsia="仿宋_GB2312" w:cs="仿宋_GB2312"/>
              <w:sz w:val="30"/>
              <w:szCs w:val="30"/>
            </w:rPr>
            <w:fldChar w:fldCharType="separate"/>
          </w:r>
          <w:r>
            <w:rPr>
              <w:rFonts w:ascii="仿宋_GB2312" w:hAnsi="仿宋_GB2312" w:eastAsia="仿宋_GB2312" w:cs="仿宋_GB2312"/>
              <w:sz w:val="30"/>
              <w:szCs w:val="30"/>
            </w:rPr>
            <w:t>15</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ind w:left="420"/>
            <w:rPr>
              <w:rFonts w:ascii="仿宋_GB2312" w:hAnsi="仿宋_GB2312" w:eastAsia="仿宋_GB2312" w:cs="仿宋_GB2312"/>
              <w:sz w:val="30"/>
              <w:szCs w:val="30"/>
            </w:rPr>
          </w:pPr>
          <w:r>
            <w:fldChar w:fldCharType="begin"/>
          </w:r>
          <w:r>
            <w:instrText xml:space="preserve"> HYPERLINK \l "_Toc6663" </w:instrText>
          </w:r>
          <w:r>
            <w:fldChar w:fldCharType="separate"/>
          </w:r>
          <w:r>
            <w:rPr>
              <w:rFonts w:hint="eastAsia" w:ascii="仿宋_GB2312" w:hAnsi="仿宋_GB2312" w:eastAsia="仿宋_GB2312" w:cs="仿宋_GB2312"/>
              <w:sz w:val="30"/>
              <w:szCs w:val="30"/>
            </w:rPr>
            <w:t>八、政府性基金预算支出决算情况说明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_Toc6663 \h </w:instrText>
          </w:r>
          <w:r>
            <w:rPr>
              <w:rFonts w:hint="eastAsia" w:ascii="仿宋_GB2312" w:hAnsi="仿宋_GB2312" w:eastAsia="仿宋_GB2312" w:cs="仿宋_GB2312"/>
              <w:sz w:val="30"/>
              <w:szCs w:val="30"/>
            </w:rPr>
            <w:fldChar w:fldCharType="separate"/>
          </w:r>
          <w:r>
            <w:rPr>
              <w:rFonts w:ascii="仿宋_GB2312" w:hAnsi="仿宋_GB2312" w:eastAsia="仿宋_GB2312" w:cs="仿宋_GB2312"/>
              <w:sz w:val="30"/>
              <w:szCs w:val="30"/>
            </w:rPr>
            <w:t>17</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ind w:left="420"/>
            <w:rPr>
              <w:rFonts w:ascii="仿宋_GB2312" w:hAnsi="仿宋_GB2312" w:eastAsia="仿宋_GB2312" w:cs="仿宋_GB2312"/>
              <w:sz w:val="30"/>
              <w:szCs w:val="30"/>
            </w:rPr>
          </w:pPr>
          <w:r>
            <w:fldChar w:fldCharType="begin"/>
          </w:r>
          <w:r>
            <w:instrText xml:space="preserve"> HYPERLINK \l "_Toc10406" </w:instrText>
          </w:r>
          <w:r>
            <w:fldChar w:fldCharType="separate"/>
          </w:r>
          <w:r>
            <w:rPr>
              <w:rFonts w:hint="eastAsia" w:ascii="仿宋_GB2312" w:hAnsi="仿宋_GB2312" w:eastAsia="仿宋_GB2312" w:cs="仿宋_GB2312"/>
              <w:sz w:val="30"/>
              <w:szCs w:val="30"/>
            </w:rPr>
            <w:t>九、 国有资本经营预算支出决算情况说明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_Toc10406 \h </w:instrText>
          </w:r>
          <w:r>
            <w:rPr>
              <w:rFonts w:hint="eastAsia" w:ascii="仿宋_GB2312" w:hAnsi="仿宋_GB2312" w:eastAsia="仿宋_GB2312" w:cs="仿宋_GB2312"/>
              <w:sz w:val="30"/>
              <w:szCs w:val="30"/>
            </w:rPr>
            <w:fldChar w:fldCharType="separate"/>
          </w:r>
          <w:r>
            <w:rPr>
              <w:rFonts w:ascii="仿宋_GB2312" w:hAnsi="仿宋_GB2312" w:eastAsia="仿宋_GB2312" w:cs="仿宋_GB2312"/>
              <w:sz w:val="30"/>
              <w:szCs w:val="30"/>
            </w:rPr>
            <w:t>17</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ind w:left="420"/>
            <w:rPr>
              <w:rFonts w:ascii="仿宋_GB2312" w:hAnsi="仿宋_GB2312" w:eastAsia="仿宋_GB2312" w:cs="仿宋_GB2312"/>
              <w:sz w:val="30"/>
              <w:szCs w:val="30"/>
            </w:rPr>
          </w:pPr>
          <w:r>
            <w:fldChar w:fldCharType="begin"/>
          </w:r>
          <w:r>
            <w:instrText xml:space="preserve"> HYPERLINK \l "_Toc19090" </w:instrText>
          </w:r>
          <w:r>
            <w:fldChar w:fldCharType="separate"/>
          </w:r>
          <w:r>
            <w:rPr>
              <w:rFonts w:hint="eastAsia" w:ascii="仿宋_GB2312" w:hAnsi="仿宋_GB2312" w:eastAsia="仿宋_GB2312" w:cs="仿宋_GB2312"/>
              <w:sz w:val="30"/>
              <w:szCs w:val="30"/>
            </w:rPr>
            <w:t>十、 其他重要事项的情况说明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_Toc19090 \h </w:instrText>
          </w:r>
          <w:r>
            <w:rPr>
              <w:rFonts w:hint="eastAsia" w:ascii="仿宋_GB2312" w:hAnsi="仿宋_GB2312" w:eastAsia="仿宋_GB2312" w:cs="仿宋_GB2312"/>
              <w:sz w:val="30"/>
              <w:szCs w:val="30"/>
            </w:rPr>
            <w:fldChar w:fldCharType="separate"/>
          </w:r>
          <w:r>
            <w:rPr>
              <w:rFonts w:ascii="仿宋_GB2312" w:hAnsi="仿宋_GB2312" w:eastAsia="仿宋_GB2312" w:cs="仿宋_GB2312"/>
              <w:sz w:val="30"/>
              <w:szCs w:val="30"/>
            </w:rPr>
            <w:t>17</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3"/>
            <w:tabs>
              <w:tab w:val="right" w:leader="dot" w:pos="8306"/>
              <w:tab w:val="clear" w:pos="8296"/>
            </w:tabs>
            <w:rPr>
              <w:rFonts w:ascii="仿宋_GB2312" w:hAnsi="仿宋_GB2312" w:eastAsia="仿宋_GB2312" w:cs="仿宋_GB2312"/>
              <w:sz w:val="30"/>
              <w:szCs w:val="30"/>
            </w:rPr>
          </w:pPr>
          <w:r>
            <w:fldChar w:fldCharType="begin"/>
          </w:r>
          <w:r>
            <w:instrText xml:space="preserve"> HYPERLINK \l "_Toc32480" </w:instrText>
          </w:r>
          <w:r>
            <w:fldChar w:fldCharType="separate"/>
          </w:r>
          <w:r>
            <w:rPr>
              <w:rFonts w:hint="eastAsia" w:ascii="仿宋_GB2312" w:hAnsi="仿宋_GB2312" w:eastAsia="仿宋_GB2312" w:cs="仿宋_GB2312"/>
              <w:sz w:val="30"/>
              <w:szCs w:val="30"/>
            </w:rPr>
            <w:t>第三部分 名词解释</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_Toc32480 \h </w:instrText>
          </w:r>
          <w:r>
            <w:rPr>
              <w:rFonts w:hint="eastAsia" w:ascii="仿宋_GB2312" w:hAnsi="仿宋_GB2312" w:eastAsia="仿宋_GB2312" w:cs="仿宋_GB2312"/>
              <w:sz w:val="30"/>
              <w:szCs w:val="30"/>
            </w:rPr>
            <w:fldChar w:fldCharType="separate"/>
          </w:r>
          <w:r>
            <w:rPr>
              <w:rFonts w:ascii="仿宋_GB2312" w:hAnsi="仿宋_GB2312" w:eastAsia="仿宋_GB2312" w:cs="仿宋_GB2312"/>
              <w:sz w:val="30"/>
              <w:szCs w:val="30"/>
            </w:rPr>
            <w:t>32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3"/>
            <w:tabs>
              <w:tab w:val="right" w:leader="dot" w:pos="8306"/>
              <w:tab w:val="clear" w:pos="8296"/>
            </w:tabs>
            <w:rPr>
              <w:rFonts w:ascii="仿宋_GB2312" w:hAnsi="仿宋_GB2312" w:eastAsia="仿宋_GB2312" w:cs="仿宋_GB2312"/>
              <w:sz w:val="30"/>
              <w:szCs w:val="30"/>
            </w:rPr>
          </w:pPr>
          <w:r>
            <w:fldChar w:fldCharType="begin"/>
          </w:r>
          <w:r>
            <w:instrText xml:space="preserve"> HYPERLINK \l "_Toc2545" </w:instrText>
          </w:r>
          <w:r>
            <w:fldChar w:fldCharType="separate"/>
          </w:r>
          <w:r>
            <w:rPr>
              <w:rFonts w:hint="eastAsia" w:ascii="仿宋_GB2312" w:hAnsi="仿宋_GB2312" w:eastAsia="仿宋_GB2312" w:cs="仿宋_GB2312"/>
              <w:sz w:val="30"/>
              <w:szCs w:val="30"/>
            </w:rPr>
            <w:t>第四部分 附件</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_Toc2545 \h </w:instrText>
          </w:r>
          <w:r>
            <w:rPr>
              <w:rFonts w:hint="eastAsia" w:ascii="仿宋_GB2312" w:hAnsi="仿宋_GB2312" w:eastAsia="仿宋_GB2312" w:cs="仿宋_GB2312"/>
              <w:sz w:val="30"/>
              <w:szCs w:val="30"/>
            </w:rPr>
            <w:fldChar w:fldCharType="separate"/>
          </w:r>
          <w:r>
            <w:rPr>
              <w:rFonts w:ascii="仿宋_GB2312" w:hAnsi="仿宋_GB2312" w:eastAsia="仿宋_GB2312" w:cs="仿宋_GB2312"/>
              <w:sz w:val="30"/>
              <w:szCs w:val="30"/>
            </w:rPr>
            <w:t>34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3"/>
            <w:tabs>
              <w:tab w:val="right" w:leader="dot" w:pos="8306"/>
              <w:tab w:val="clear" w:pos="8296"/>
            </w:tabs>
          </w:pPr>
          <w:r>
            <w:fldChar w:fldCharType="begin"/>
          </w:r>
          <w:r>
            <w:instrText xml:space="preserve"> HYPERLINK \l "_Toc63" </w:instrText>
          </w:r>
          <w:r>
            <w:fldChar w:fldCharType="separate"/>
          </w:r>
          <w:r>
            <w:rPr>
              <w:rFonts w:hint="eastAsia" w:ascii="仿宋_GB2312" w:hAnsi="仿宋_GB2312" w:eastAsia="仿宋_GB2312" w:cs="仿宋_GB2312"/>
              <w:sz w:val="30"/>
              <w:szCs w:val="30"/>
            </w:rPr>
            <w:t>第五部分 附表</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_Toc63 \h </w:instrText>
          </w:r>
          <w:r>
            <w:rPr>
              <w:rFonts w:hint="eastAsia" w:ascii="仿宋_GB2312" w:hAnsi="仿宋_GB2312" w:eastAsia="仿宋_GB2312" w:cs="仿宋_GB2312"/>
              <w:sz w:val="30"/>
              <w:szCs w:val="30"/>
            </w:rPr>
            <w:fldChar w:fldCharType="separate"/>
          </w:r>
          <w:r>
            <w:rPr>
              <w:rFonts w:ascii="仿宋_GB2312" w:hAnsi="仿宋_GB2312" w:eastAsia="仿宋_GB2312" w:cs="仿宋_GB2312"/>
              <w:sz w:val="30"/>
              <w:szCs w:val="30"/>
            </w:rPr>
            <w:t>41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r>
            <w:fldChar w:fldCharType="end"/>
          </w:r>
        </w:p>
      </w:sdtContent>
    </w:sdt>
    <w:p>
      <w:pPr>
        <w:pStyle w:val="3"/>
        <w:jc w:val="center"/>
        <w:rPr>
          <w:rStyle w:val="20"/>
          <w:rFonts w:ascii="黑体" w:eastAsia="黑体"/>
          <w:b/>
          <w:bCs w:val="0"/>
        </w:rPr>
      </w:pPr>
      <w:bookmarkStart w:id="8" w:name="_Toc10305"/>
      <w:r>
        <w:rPr>
          <w:rFonts w:hint="eastAsia" w:ascii="黑体" w:eastAsia="黑体"/>
          <w:b w:val="0"/>
        </w:rPr>
        <w:t xml:space="preserve">第一部分 </w:t>
      </w:r>
      <w:r>
        <w:rPr>
          <w:rStyle w:val="20"/>
          <w:rFonts w:hint="eastAsia" w:ascii="黑体" w:eastAsia="黑体"/>
          <w:b w:val="0"/>
          <w:bCs w:val="0"/>
        </w:rPr>
        <w:t>部门概况</w:t>
      </w:r>
      <w:bookmarkEnd w:id="6"/>
      <w:bookmarkEnd w:id="7"/>
      <w:bookmarkEnd w:id="8"/>
    </w:p>
    <w:p>
      <w:pPr>
        <w:widowControl/>
        <w:jc w:val="left"/>
        <w:rPr>
          <w:rFonts w:ascii="黑体" w:eastAsia="黑体"/>
          <w:sz w:val="32"/>
          <w:szCs w:val="32"/>
        </w:rPr>
      </w:pPr>
    </w:p>
    <w:p>
      <w:pPr>
        <w:pStyle w:val="4"/>
        <w:numPr>
          <w:ilvl w:val="0"/>
          <w:numId w:val="1"/>
        </w:numPr>
        <w:rPr>
          <w:rFonts w:ascii="黑体" w:eastAsia="黑体"/>
          <w:b w:val="0"/>
        </w:rPr>
      </w:pPr>
      <w:bookmarkStart w:id="9" w:name="_Toc5949"/>
      <w:r>
        <w:rPr>
          <w:rFonts w:hint="eastAsia" w:ascii="黑体" w:eastAsia="黑体"/>
          <w:b w:val="0"/>
        </w:rPr>
        <w:t>部门职责</w:t>
      </w:r>
      <w:bookmarkEnd w:id="9"/>
    </w:p>
    <w:p>
      <w:pPr>
        <w:pStyle w:val="15"/>
        <w:widowControl/>
        <w:numPr>
          <w:ilvl w:val="0"/>
          <w:numId w:val="2"/>
        </w:numPr>
        <w:spacing w:line="576" w:lineRule="exact"/>
        <w:ind w:right="75"/>
        <w:rPr>
          <w:rFonts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主要职能。</w:t>
      </w:r>
    </w:p>
    <w:p>
      <w:pPr>
        <w:pStyle w:val="15"/>
        <w:widowControl/>
        <w:ind w:right="75" w:firstLine="643"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b/>
          <w:color w:val="000000"/>
          <w:sz w:val="32"/>
          <w:szCs w:val="32"/>
          <w:shd w:val="clear" w:color="auto" w:fill="FFFFFF"/>
        </w:rPr>
        <w:t>基本职能。</w:t>
      </w:r>
      <w:r>
        <w:rPr>
          <w:rFonts w:hint="eastAsia" w:ascii="仿宋_GB2312" w:hAnsi="仿宋_GB2312" w:eastAsia="仿宋_GB2312" w:cs="仿宋_GB2312"/>
          <w:color w:val="000000"/>
          <w:sz w:val="32"/>
          <w:szCs w:val="32"/>
          <w:shd w:val="clear" w:color="auto" w:fill="FFFFFF"/>
        </w:rPr>
        <w:t>红原县纪委是由中国共产党红原县代表大会选举产生；红原县监委是由红原县人民代表大会选举产生。县纪委与县监委合署办公，实行一套工作机构、两个机关名称，履行党的纪律检查和国家监察两项职责，在中共红原县委和州纪委监委双重领导下开展工作。</w:t>
      </w:r>
      <w:r>
        <w:rPr>
          <w:rFonts w:hint="eastAsia" w:ascii="仿宋_GB2312" w:hAnsi="仿宋_GB2312" w:eastAsia="仿宋_GB2312" w:cs="仿宋_GB2312"/>
          <w:b/>
          <w:color w:val="000000"/>
          <w:sz w:val="32"/>
          <w:szCs w:val="32"/>
          <w:shd w:val="clear" w:color="auto" w:fill="FFFFFF"/>
        </w:rPr>
        <w:t>其主要职责：一是</w:t>
      </w:r>
      <w:r>
        <w:rPr>
          <w:rFonts w:hint="eastAsia" w:ascii="仿宋_GB2312" w:hAnsi="仿宋_GB2312" w:eastAsia="仿宋_GB2312" w:cs="仿宋_GB2312"/>
          <w:color w:val="000000"/>
          <w:sz w:val="32"/>
          <w:szCs w:val="32"/>
          <w:shd w:val="clear" w:color="auto" w:fill="FFFFFF"/>
        </w:rPr>
        <w:t>负责全县党的纪律检查工作。贯彻党的章程和其他党内法规，检查党的路线方针政策和决议的执行情况，协助县委推进全面从严治党、加强党风廉政建设和组织协调反腐败工作。</w:t>
      </w:r>
      <w:r>
        <w:rPr>
          <w:rFonts w:hint="eastAsia" w:ascii="仿宋_GB2312" w:hAnsi="仿宋_GB2312" w:eastAsia="仿宋_GB2312" w:cs="仿宋_GB2312"/>
          <w:b/>
          <w:color w:val="000000"/>
          <w:sz w:val="32"/>
          <w:szCs w:val="32"/>
          <w:shd w:val="clear" w:color="auto" w:fill="FFFFFF"/>
        </w:rPr>
        <w:t>二是</w:t>
      </w:r>
      <w:r>
        <w:rPr>
          <w:rFonts w:hint="eastAsia" w:ascii="仿宋_GB2312" w:hAnsi="仿宋_GB2312" w:eastAsia="仿宋_GB2312" w:cs="仿宋_GB2312"/>
          <w:color w:val="000000"/>
          <w:sz w:val="32"/>
          <w:szCs w:val="32"/>
          <w:shd w:val="clear" w:color="auto" w:fill="FFFFFF"/>
        </w:rPr>
        <w:t>依照党的章程和其他党内法规履行监督、执纪、问责职责。负责经常对党员进行遵纪守法副教育，作出关于维护党纪的决定。对县委工作部门。县委批准设立的党组织（党委）的党员领导干部履行职责、行使权力进行监督，受理处置党员群众检举举报，开展谈话提醒、约谈函询。检查和处理上述党的组织和党员违反党的章程和其他党内法规的比较重要或者复杂的案件，决定或者取消对这些案件中的党员的处分。进行问责或者提出责任追究的建议。受理党员的控告和申诉。保障党员的权利。</w:t>
      </w:r>
      <w:r>
        <w:rPr>
          <w:rFonts w:hint="eastAsia" w:ascii="仿宋_GB2312" w:hAnsi="仿宋_GB2312" w:eastAsia="仿宋_GB2312" w:cs="仿宋_GB2312"/>
          <w:b/>
          <w:color w:val="000000"/>
          <w:sz w:val="32"/>
          <w:szCs w:val="32"/>
          <w:shd w:val="clear" w:color="auto" w:fill="FFFFFF"/>
        </w:rPr>
        <w:t>三是</w:t>
      </w:r>
      <w:r>
        <w:rPr>
          <w:rFonts w:hint="eastAsia" w:ascii="仿宋_GB2312" w:hAnsi="仿宋_GB2312" w:eastAsia="仿宋_GB2312" w:cs="仿宋_GB2312"/>
          <w:color w:val="000000"/>
          <w:sz w:val="32"/>
          <w:szCs w:val="32"/>
          <w:shd w:val="clear" w:color="auto" w:fill="FFFFFF"/>
        </w:rPr>
        <w:t>负责全县监察工作。贯彻落实党中央、省委、州委县委关于监察工作的决定，维护宪法法律，依法对县委管理的行使公权力的公职人员进行监察，调查职务违法和职务犯罪，开展廉政建设和反腐败工作。</w:t>
      </w:r>
      <w:r>
        <w:rPr>
          <w:rFonts w:hint="eastAsia" w:ascii="仿宋_GB2312" w:hAnsi="仿宋_GB2312" w:eastAsia="仿宋_GB2312" w:cs="仿宋_GB2312"/>
          <w:b/>
          <w:color w:val="000000"/>
          <w:sz w:val="32"/>
          <w:szCs w:val="32"/>
          <w:shd w:val="clear" w:color="auto" w:fill="FFFFFF"/>
        </w:rPr>
        <w:t>四是</w:t>
      </w:r>
      <w:r>
        <w:rPr>
          <w:rFonts w:hint="eastAsia" w:ascii="仿宋_GB2312" w:hAnsi="仿宋_GB2312" w:eastAsia="仿宋_GB2312" w:cs="仿宋_GB2312"/>
          <w:color w:val="000000"/>
          <w:sz w:val="32"/>
          <w:szCs w:val="32"/>
          <w:shd w:val="clear" w:color="auto" w:fill="FFFFFF"/>
        </w:rPr>
        <w:t>依照法律规定履行监督、调查、处置职责。推动开展廉政教育，对县委管理的行使公权力的公职人员依法履职、秉公用权、亷洁从政从业以及道德操守情况进行监督检查。对涉嫌贪污贿赂、滥用职权、玩忽职守、杈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w:t>
      </w:r>
      <w:r>
        <w:rPr>
          <w:rFonts w:hint="eastAsia" w:ascii="仿宋_GB2312" w:hAnsi="仿宋_GB2312" w:eastAsia="仿宋_GB2312" w:cs="仿宋_GB2312"/>
          <w:b/>
          <w:color w:val="000000"/>
          <w:sz w:val="32"/>
          <w:szCs w:val="32"/>
          <w:shd w:val="clear" w:color="auto" w:fill="FFFFFF"/>
        </w:rPr>
        <w:t>五是</w:t>
      </w:r>
      <w:r>
        <w:rPr>
          <w:rFonts w:hint="eastAsia" w:ascii="仿宋_GB2312" w:hAnsi="仿宋_GB2312" w:eastAsia="仿宋_GB2312" w:cs="仿宋_GB2312"/>
          <w:color w:val="000000"/>
          <w:sz w:val="32"/>
          <w:szCs w:val="32"/>
          <w:shd w:val="clear" w:color="auto" w:fill="FFFFFF"/>
        </w:rPr>
        <w:t>负责组织协调全面从严治党、党风廉政建设和反腐败宣传教育工作。</w:t>
      </w:r>
      <w:r>
        <w:rPr>
          <w:rFonts w:hint="eastAsia" w:ascii="仿宋_GB2312" w:hAnsi="仿宋_GB2312" w:eastAsia="仿宋_GB2312" w:cs="仿宋_GB2312"/>
          <w:b/>
          <w:color w:val="000000"/>
          <w:sz w:val="32"/>
          <w:szCs w:val="32"/>
          <w:shd w:val="clear" w:color="auto" w:fill="FFFFFF"/>
        </w:rPr>
        <w:t>六是</w:t>
      </w:r>
      <w:r>
        <w:rPr>
          <w:rFonts w:hint="eastAsia" w:ascii="仿宋_GB2312" w:hAnsi="仿宋_GB2312" w:eastAsia="仿宋_GB2312" w:cs="仿宋_GB2312"/>
          <w:color w:val="000000"/>
          <w:sz w:val="32"/>
          <w:szCs w:val="32"/>
          <w:shd w:val="clear" w:color="auto" w:fill="FFFFFF"/>
        </w:rPr>
        <w:t>负责综合分析全面从严治党、党风廉政建设和反腐败工作情况，对纪检监察工作重要理论及实践问题进行调查研究参与起草我县规范性文件。</w:t>
      </w:r>
      <w:r>
        <w:rPr>
          <w:rFonts w:hint="eastAsia" w:ascii="仿宋_GB2312" w:hAnsi="仿宋_GB2312" w:eastAsia="仿宋_GB2312" w:cs="仿宋_GB2312"/>
          <w:b/>
          <w:color w:val="000000"/>
          <w:sz w:val="32"/>
          <w:szCs w:val="32"/>
          <w:shd w:val="clear" w:color="auto" w:fill="FFFFFF"/>
        </w:rPr>
        <w:t>七是</w:t>
      </w:r>
      <w:r>
        <w:rPr>
          <w:rFonts w:hint="eastAsia" w:ascii="仿宋_GB2312" w:hAnsi="仿宋_GB2312" w:eastAsia="仿宋_GB2312" w:cs="仿宋_GB2312"/>
          <w:color w:val="000000"/>
          <w:sz w:val="32"/>
          <w:szCs w:val="32"/>
          <w:shd w:val="clear" w:color="auto" w:fill="FFFFFF"/>
        </w:rPr>
        <w:t>在州纪委监委的领导下，加强对反腐败国际追逃追赃和防逃工作的组织协调，督促有关部门做好相关工作。</w:t>
      </w:r>
      <w:r>
        <w:rPr>
          <w:rFonts w:hint="eastAsia" w:ascii="仿宋_GB2312" w:hAnsi="仿宋_GB2312" w:eastAsia="仿宋_GB2312" w:cs="仿宋_GB2312"/>
          <w:b/>
          <w:color w:val="000000"/>
          <w:sz w:val="32"/>
          <w:szCs w:val="32"/>
          <w:shd w:val="clear" w:color="auto" w:fill="FFFFFF"/>
        </w:rPr>
        <w:t>八是</w:t>
      </w:r>
      <w:r>
        <w:rPr>
          <w:rFonts w:hint="eastAsia" w:ascii="仿宋_GB2312" w:hAnsi="仿宋_GB2312" w:eastAsia="仿宋_GB2312" w:cs="仿宋_GB2312"/>
          <w:color w:val="000000"/>
          <w:sz w:val="32"/>
          <w:szCs w:val="32"/>
          <w:shd w:val="clear" w:color="auto" w:fill="FFFFFF"/>
        </w:rPr>
        <w:t>根据干部管理权限，负责纪检监察系统领导班子建设干部队伍建设和组织建设的综合规划、政策研究、制度建设和业务指导。会同有关方面做好县纪委监委派驻机构、乡镇纪委监察室领导班子建设有关工作。组织和指导纪检监察系统干部教育培训工作等。</w:t>
      </w:r>
      <w:r>
        <w:rPr>
          <w:rFonts w:hint="eastAsia" w:ascii="仿宋_GB2312" w:hAnsi="仿宋_GB2312" w:eastAsia="仿宋_GB2312" w:cs="仿宋_GB2312"/>
          <w:b/>
          <w:color w:val="000000"/>
          <w:sz w:val="32"/>
          <w:szCs w:val="32"/>
          <w:shd w:val="clear" w:color="auto" w:fill="FFFFFF"/>
        </w:rPr>
        <w:t>九是</w:t>
      </w:r>
      <w:r>
        <w:rPr>
          <w:rFonts w:hint="eastAsia" w:ascii="仿宋_GB2312" w:hAnsi="仿宋_GB2312" w:eastAsia="仿宋_GB2312" w:cs="仿宋_GB2312"/>
          <w:color w:val="000000"/>
          <w:sz w:val="32"/>
          <w:szCs w:val="32"/>
          <w:shd w:val="clear" w:color="auto" w:fill="FFFFFF"/>
        </w:rPr>
        <w:t>完成县委和州纪委监委交办的其他任务。</w:t>
      </w:r>
    </w:p>
    <w:p>
      <w:pPr>
        <w:pStyle w:val="15"/>
        <w:widowControl/>
        <w:ind w:right="75"/>
        <w:rPr>
          <w:rFonts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（二）2022年重点工作完成情况。</w:t>
      </w:r>
    </w:p>
    <w:p>
      <w:pPr>
        <w:ind w:firstLine="643" w:firstLineChars="200"/>
        <w:rPr>
          <w:rFonts w:ascii="仿宋_GB2312" w:hAnsi="仿宋_GB2312" w:eastAsia="仿宋_GB2312" w:cs="仿宋_GB2312"/>
          <w:color w:val="000000"/>
          <w:kern w:val="0"/>
          <w:sz w:val="32"/>
          <w:szCs w:val="32"/>
          <w:shd w:val="clear" w:color="auto" w:fill="FFFFFF"/>
        </w:rPr>
      </w:pPr>
      <w:bookmarkStart w:id="10" w:name="_Toc15396601"/>
      <w:bookmarkStart w:id="11" w:name="_Toc15377200"/>
      <w:bookmarkStart w:id="12" w:name="_Toc6464"/>
      <w:r>
        <w:rPr>
          <w:rFonts w:hint="eastAsia" w:ascii="仿宋_GB2312" w:hAnsi="仿宋_GB2312" w:cs="仿宋_GB2312" w:eastAsiaTheme="minorEastAsia"/>
          <w:b/>
          <w:color w:val="000000"/>
          <w:kern w:val="0"/>
          <w:sz w:val="32"/>
          <w:szCs w:val="32"/>
          <w:shd w:val="clear" w:color="auto" w:fill="FFFFFF"/>
        </w:rPr>
        <w:t>1.</w:t>
      </w:r>
      <w:r>
        <w:rPr>
          <w:rFonts w:hint="eastAsia" w:ascii="仿宋_GB2312" w:hAnsi="仿宋_GB2312" w:eastAsia="仿宋_GB2312" w:cs="仿宋_GB2312"/>
          <w:b/>
          <w:color w:val="000000"/>
          <w:kern w:val="0"/>
          <w:sz w:val="32"/>
          <w:szCs w:val="32"/>
          <w:shd w:val="clear" w:color="auto" w:fill="FFFFFF"/>
        </w:rPr>
        <w:t>坚定“两个维护”，做实政治监督。</w:t>
      </w:r>
      <w:r>
        <w:rPr>
          <w:rFonts w:hint="eastAsia" w:ascii="仿宋_GB2312" w:hAnsi="仿宋_GB2312" w:eastAsia="仿宋_GB2312" w:cs="仿宋_GB2312"/>
          <w:color w:val="000000"/>
          <w:kern w:val="0"/>
          <w:sz w:val="32"/>
          <w:szCs w:val="32"/>
          <w:shd w:val="clear" w:color="auto" w:fill="FFFFFF"/>
        </w:rPr>
        <w:t>把准监督内容。坚持把党的政治建设摆在首位，以习近平新时代中国特色社会主义思想为指导，把贯彻落实总书记系列讲话和指示批示精神，作为坚决拥护</w:t>
      </w:r>
      <w:r>
        <w:rPr>
          <w:rFonts w:ascii="仿宋_GB2312" w:hAnsi="仿宋_GB2312" w:eastAsia="仿宋_GB2312" w:cs="仿宋_GB2312"/>
          <w:color w:val="000000"/>
          <w:kern w:val="0"/>
          <w:sz w:val="32"/>
          <w:szCs w:val="32"/>
          <w:shd w:val="clear" w:color="auto" w:fill="FFFFFF"/>
        </w:rPr>
        <w:t>“</w:t>
      </w:r>
      <w:r>
        <w:rPr>
          <w:rFonts w:hint="eastAsia" w:ascii="仿宋_GB2312" w:hAnsi="仿宋_GB2312" w:eastAsia="仿宋_GB2312" w:cs="仿宋_GB2312"/>
          <w:color w:val="000000"/>
          <w:kern w:val="0"/>
          <w:sz w:val="32"/>
          <w:szCs w:val="32"/>
          <w:shd w:val="clear" w:color="auto" w:fill="FFFFFF"/>
        </w:rPr>
        <w:t>两个确立</w:t>
      </w:r>
      <w:r>
        <w:rPr>
          <w:rFonts w:ascii="仿宋_GB2312" w:hAnsi="仿宋_GB2312" w:eastAsia="仿宋_GB2312" w:cs="仿宋_GB2312"/>
          <w:color w:val="000000"/>
          <w:kern w:val="0"/>
          <w:sz w:val="32"/>
          <w:szCs w:val="32"/>
          <w:shd w:val="clear" w:color="auto" w:fill="FFFFFF"/>
        </w:rPr>
        <w:t>”</w:t>
      </w:r>
      <w:r>
        <w:rPr>
          <w:rFonts w:hint="eastAsia" w:ascii="仿宋_GB2312" w:hAnsi="仿宋_GB2312" w:eastAsia="仿宋_GB2312" w:cs="仿宋_GB2312"/>
          <w:color w:val="000000"/>
          <w:kern w:val="0"/>
          <w:sz w:val="32"/>
          <w:szCs w:val="32"/>
          <w:shd w:val="clear" w:color="auto" w:fill="FFFFFF"/>
        </w:rPr>
        <w:t>、坚定践行</w:t>
      </w:r>
      <w:r>
        <w:rPr>
          <w:rFonts w:ascii="仿宋_GB2312" w:hAnsi="仿宋_GB2312" w:eastAsia="仿宋_GB2312" w:cs="仿宋_GB2312"/>
          <w:color w:val="000000"/>
          <w:kern w:val="0"/>
          <w:sz w:val="32"/>
          <w:szCs w:val="32"/>
          <w:shd w:val="clear" w:color="auto" w:fill="FFFFFF"/>
        </w:rPr>
        <w:t>“</w:t>
      </w:r>
      <w:r>
        <w:rPr>
          <w:rFonts w:hint="eastAsia" w:ascii="仿宋_GB2312" w:hAnsi="仿宋_GB2312" w:eastAsia="仿宋_GB2312" w:cs="仿宋_GB2312"/>
          <w:color w:val="000000"/>
          <w:kern w:val="0"/>
          <w:sz w:val="32"/>
          <w:szCs w:val="32"/>
          <w:shd w:val="clear" w:color="auto" w:fill="FFFFFF"/>
        </w:rPr>
        <w:t>两个维护</w:t>
      </w:r>
      <w:r>
        <w:rPr>
          <w:rFonts w:ascii="仿宋_GB2312" w:hAnsi="仿宋_GB2312" w:eastAsia="仿宋_GB2312" w:cs="仿宋_GB2312"/>
          <w:color w:val="000000"/>
          <w:kern w:val="0"/>
          <w:sz w:val="32"/>
          <w:szCs w:val="32"/>
          <w:shd w:val="clear" w:color="auto" w:fill="FFFFFF"/>
        </w:rPr>
        <w:t>”</w:t>
      </w:r>
      <w:r>
        <w:rPr>
          <w:rFonts w:hint="eastAsia" w:ascii="仿宋_GB2312" w:hAnsi="仿宋_GB2312" w:eastAsia="仿宋_GB2312" w:cs="仿宋_GB2312"/>
          <w:color w:val="000000"/>
          <w:kern w:val="0"/>
          <w:sz w:val="32"/>
          <w:szCs w:val="32"/>
          <w:shd w:val="clear" w:color="auto" w:fill="FFFFFF"/>
        </w:rPr>
        <w:t>的具体行动，不断提升政治判断力、政治领悟力、政治执行力。深化政治监督。围绕习近平总书记重要指示批示和党中央重大决策部署，梳理完善政治监督清单，梳理疫情防控、森林草原防灭火等常态化监督10项，反分维稳、换届回头看、绿色低碳发展、优化营商环境、筑牢长江黄河上游生态屏障等专项监督7项。实践运用“五联四推”监督工作机制，统筹“委领导</w:t>
      </w:r>
      <w:r>
        <w:rPr>
          <w:rFonts w:ascii="仿宋_GB2312" w:hAnsi="仿宋_GB2312" w:eastAsia="仿宋_GB2312" w:cs="仿宋_GB2312"/>
          <w:color w:val="000000"/>
          <w:kern w:val="0"/>
          <w:sz w:val="32"/>
          <w:szCs w:val="32"/>
          <w:shd w:val="clear" w:color="auto" w:fill="FFFFFF"/>
        </w:rPr>
        <w:t>+</w:t>
      </w:r>
      <w:r>
        <w:rPr>
          <w:rFonts w:hint="eastAsia" w:ascii="仿宋_GB2312" w:hAnsi="仿宋_GB2312" w:eastAsia="仿宋_GB2312" w:cs="仿宋_GB2312"/>
          <w:color w:val="000000"/>
          <w:kern w:val="0"/>
          <w:sz w:val="32"/>
          <w:szCs w:val="32"/>
          <w:shd w:val="clear" w:color="auto" w:fill="FFFFFF"/>
        </w:rPr>
        <w:t>室组地”人力资源，分解任务，压实责任，开展监督检查14次，发现并反馈整改问题18个，处理疫情防控相关问题2件7人，下发通报1期。严明政治规矩。专题组织学习《中国共产党重大事项请示报告条例》、省州领导有关讲话精神和典型案件通报，带头严明请示报告纪律。将反分维稳</w:t>
      </w:r>
      <w:r>
        <w:rPr>
          <w:rFonts w:ascii="仿宋_GB2312" w:hAnsi="仿宋_GB2312" w:eastAsia="仿宋_GB2312" w:cs="仿宋_GB2312"/>
          <w:color w:val="000000"/>
          <w:kern w:val="0"/>
          <w:sz w:val="32"/>
          <w:szCs w:val="32"/>
          <w:shd w:val="clear" w:color="auto" w:fill="FFFFFF"/>
        </w:rPr>
        <w:t>“</w:t>
      </w:r>
      <w:r>
        <w:rPr>
          <w:rFonts w:hint="eastAsia" w:ascii="仿宋_GB2312" w:hAnsi="仿宋_GB2312" w:eastAsia="仿宋_GB2312" w:cs="仿宋_GB2312"/>
          <w:color w:val="000000"/>
          <w:kern w:val="0"/>
          <w:sz w:val="32"/>
          <w:szCs w:val="32"/>
          <w:shd w:val="clear" w:color="auto" w:fill="FFFFFF"/>
        </w:rPr>
        <w:t>修枝断根正形</w:t>
      </w:r>
      <w:r>
        <w:rPr>
          <w:rFonts w:ascii="仿宋_GB2312" w:hAnsi="仿宋_GB2312" w:eastAsia="仿宋_GB2312" w:cs="仿宋_GB2312"/>
          <w:color w:val="000000"/>
          <w:kern w:val="0"/>
          <w:sz w:val="32"/>
          <w:szCs w:val="32"/>
          <w:shd w:val="clear" w:color="auto" w:fill="FFFFFF"/>
        </w:rPr>
        <w:t>”</w:t>
      </w:r>
      <w:r>
        <w:rPr>
          <w:rFonts w:hint="eastAsia" w:ascii="仿宋_GB2312" w:hAnsi="仿宋_GB2312" w:eastAsia="仿宋_GB2312" w:cs="仿宋_GB2312"/>
          <w:color w:val="000000"/>
          <w:kern w:val="0"/>
          <w:sz w:val="32"/>
          <w:szCs w:val="32"/>
          <w:shd w:val="clear" w:color="auto" w:fill="FFFFFF"/>
        </w:rPr>
        <w:t>专项行动纳入巡察和重点督查内容，开展监督检查3轮。严把党风廉政意见回复关，回复党风廉政意见3549人次。</w:t>
      </w:r>
    </w:p>
    <w:p>
      <w:pPr>
        <w:ind w:firstLine="643"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cs="仿宋_GB2312" w:eastAsiaTheme="minorEastAsia"/>
          <w:b/>
          <w:color w:val="000000"/>
          <w:kern w:val="0"/>
          <w:sz w:val="32"/>
          <w:szCs w:val="32"/>
          <w:shd w:val="clear" w:color="auto" w:fill="FFFFFF"/>
        </w:rPr>
        <w:t>2.</w:t>
      </w:r>
      <w:r>
        <w:rPr>
          <w:rFonts w:hint="eastAsia" w:ascii="仿宋_GB2312" w:hAnsi="仿宋_GB2312" w:eastAsia="仿宋_GB2312" w:cs="仿宋_GB2312"/>
          <w:b/>
          <w:color w:val="000000"/>
          <w:kern w:val="0"/>
          <w:sz w:val="32"/>
          <w:szCs w:val="32"/>
          <w:shd w:val="clear" w:color="auto" w:fill="FFFFFF"/>
        </w:rPr>
        <w:t>提升案件质效，从严惩贪反腐。</w:t>
      </w:r>
      <w:r>
        <w:rPr>
          <w:rFonts w:hint="eastAsia" w:ascii="仿宋_GB2312" w:hAnsi="仿宋_GB2312" w:eastAsia="仿宋_GB2312" w:cs="仿宋_GB2312"/>
          <w:color w:val="000000"/>
          <w:kern w:val="0"/>
          <w:sz w:val="32"/>
          <w:szCs w:val="32"/>
          <w:shd w:val="clear" w:color="auto" w:fill="FFFFFF"/>
        </w:rPr>
        <w:t>坚持惩治腐败零容忍。持续加大权力集中、资金密集、资源富集、攸关民生的行业、系统和领域的反腐力度，深化粮食购销领域腐败问题专项整治，持续抓好“纪委书记盯粮库”活动。今年来，累计受理信访举报36件，处置问题线索</w:t>
      </w:r>
      <w:r>
        <w:rPr>
          <w:rFonts w:ascii="仿宋_GB2312" w:hAnsi="仿宋_GB2312" w:eastAsia="仿宋_GB2312" w:cs="仿宋_GB2312"/>
          <w:color w:val="000000"/>
          <w:kern w:val="0"/>
          <w:sz w:val="32"/>
          <w:szCs w:val="32"/>
          <w:shd w:val="clear" w:color="auto" w:fill="FFFFFF"/>
        </w:rPr>
        <w:t>86</w:t>
      </w:r>
      <w:r>
        <w:rPr>
          <w:rFonts w:hint="eastAsia" w:ascii="仿宋_GB2312" w:hAnsi="仿宋_GB2312" w:eastAsia="仿宋_GB2312" w:cs="仿宋_GB2312"/>
          <w:color w:val="000000"/>
          <w:kern w:val="0"/>
          <w:sz w:val="32"/>
          <w:szCs w:val="32"/>
          <w:shd w:val="clear" w:color="auto" w:fill="FFFFFF"/>
        </w:rPr>
        <w:t>件94人，立案审查调查43件，给予党纪政务处分31人、组织处理29人，挽回经济损失286.11万元。构筑案件质量共同体。加强信访举报分析，深化重复举报治理，提高初步核实成案率。完成长期未完结的7个问题线索和4个案件。及时调整充实2名办案经历丰富、具备法律专业干部至审理室，确保3名专职人员从事案件审理工作，全面落实“乡案县审”要求。加固廉洁思想防线。严格落实案件主办人到发案地区单位开展警示教育机制，强化对重大典型案件以案促改工作的督促指导，全程开展警示教育。及时制定《红原县青廉护航工程实施方案》，从加强教育引导、健全管理机制、强化监督惩治等方面明确11条工作措施。组织旁听职务犯罪案庭审现场1场次、200余人，零距离接受警示教育。</w:t>
      </w:r>
    </w:p>
    <w:p>
      <w:pPr>
        <w:ind w:firstLine="643"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cs="仿宋_GB2312" w:eastAsiaTheme="minorEastAsia"/>
          <w:b/>
          <w:color w:val="000000"/>
          <w:kern w:val="0"/>
          <w:sz w:val="32"/>
          <w:szCs w:val="32"/>
          <w:shd w:val="clear" w:color="auto" w:fill="FFFFFF"/>
        </w:rPr>
        <w:t>3.</w:t>
      </w:r>
      <w:r>
        <w:rPr>
          <w:rFonts w:hint="eastAsia" w:ascii="仿宋_GB2312" w:hAnsi="仿宋_GB2312" w:eastAsia="仿宋_GB2312" w:cs="仿宋_GB2312"/>
          <w:b/>
          <w:color w:val="000000"/>
          <w:kern w:val="0"/>
          <w:sz w:val="32"/>
          <w:szCs w:val="32"/>
          <w:shd w:val="clear" w:color="auto" w:fill="FFFFFF"/>
        </w:rPr>
        <w:t>加强廉政建设，培育新风正气。</w:t>
      </w:r>
      <w:r>
        <w:rPr>
          <w:rFonts w:hint="eastAsia" w:ascii="仿宋_GB2312" w:hAnsi="仿宋_GB2312" w:eastAsia="仿宋_GB2312" w:cs="仿宋_GB2312"/>
          <w:color w:val="000000"/>
          <w:kern w:val="0"/>
          <w:sz w:val="32"/>
          <w:szCs w:val="32"/>
          <w:shd w:val="clear" w:color="auto" w:fill="FFFFFF"/>
        </w:rPr>
        <w:t>持之以恒正风肃纪。紧盯重要节点和干部日常管理，开展监督检查7轮，下发通报7期、整改通知书1份。围绕全县各项重点任务，深化干部“四为”作风体检专项行动，深刻汲取瓦切中心派出所公安民警不文明执法事件教训，开展为期3个月全县干部队伍教育作风整顿活动。做实“</w:t>
      </w:r>
      <w:r>
        <w:rPr>
          <w:rFonts w:ascii="仿宋_GB2312" w:hAnsi="仿宋_GB2312" w:eastAsia="仿宋_GB2312" w:cs="仿宋_GB2312"/>
          <w:color w:val="000000"/>
          <w:kern w:val="0"/>
          <w:sz w:val="32"/>
          <w:szCs w:val="32"/>
          <w:shd w:val="clear" w:color="auto" w:fill="FFFFFF"/>
        </w:rPr>
        <w:t>三察三治</w:t>
      </w: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日常监督</w:t>
      </w:r>
      <w:r>
        <w:rPr>
          <w:rFonts w:hint="eastAsia" w:ascii="仿宋_GB2312" w:hAnsi="仿宋_GB2312" w:eastAsia="仿宋_GB2312" w:cs="仿宋_GB2312"/>
          <w:color w:val="000000"/>
          <w:kern w:val="0"/>
          <w:sz w:val="32"/>
          <w:szCs w:val="32"/>
          <w:shd w:val="clear" w:color="auto" w:fill="FFFFFF"/>
        </w:rPr>
        <w:t>，加大巩固拓展脱贫攻坚同乡村振兴有效衔等</w:t>
      </w:r>
      <w:r>
        <w:rPr>
          <w:rFonts w:ascii="仿宋_GB2312" w:hAnsi="仿宋_GB2312" w:eastAsia="仿宋_GB2312" w:cs="仿宋_GB2312"/>
          <w:color w:val="000000"/>
          <w:kern w:val="0"/>
          <w:sz w:val="32"/>
          <w:szCs w:val="32"/>
          <w:shd w:val="clear" w:color="auto" w:fill="FFFFFF"/>
        </w:rPr>
        <w:t>专项监督</w:t>
      </w:r>
      <w:r>
        <w:rPr>
          <w:rFonts w:hint="eastAsia" w:ascii="仿宋_GB2312" w:hAnsi="仿宋_GB2312" w:eastAsia="仿宋_GB2312" w:cs="仿宋_GB2312"/>
          <w:color w:val="000000"/>
          <w:kern w:val="0"/>
          <w:sz w:val="32"/>
          <w:szCs w:val="32"/>
          <w:shd w:val="clear" w:color="auto" w:fill="FFFFFF"/>
        </w:rPr>
        <w:t>和</w:t>
      </w:r>
      <w:r>
        <w:rPr>
          <w:rFonts w:ascii="仿宋_GB2312" w:hAnsi="仿宋_GB2312" w:eastAsia="仿宋_GB2312" w:cs="仿宋_GB2312"/>
          <w:color w:val="000000"/>
          <w:kern w:val="0"/>
          <w:sz w:val="32"/>
          <w:szCs w:val="32"/>
          <w:shd w:val="clear" w:color="auto" w:fill="FFFFFF"/>
        </w:rPr>
        <w:t>专项治理，制定“重点督察任务</w:t>
      </w:r>
      <w:r>
        <w:rPr>
          <w:rFonts w:hint="eastAsia" w:ascii="仿宋_GB2312" w:hAnsi="仿宋_GB2312" w:eastAsia="仿宋_GB2312" w:cs="仿宋_GB2312"/>
          <w:color w:val="000000"/>
          <w:kern w:val="0"/>
          <w:sz w:val="32"/>
          <w:szCs w:val="32"/>
          <w:shd w:val="clear" w:color="auto" w:fill="FFFFFF"/>
        </w:rPr>
        <w:t>清</w:t>
      </w:r>
      <w:r>
        <w:rPr>
          <w:rFonts w:ascii="仿宋_GB2312" w:hAnsi="仿宋_GB2312" w:eastAsia="仿宋_GB2312" w:cs="仿宋_GB2312"/>
          <w:color w:val="000000"/>
          <w:kern w:val="0"/>
          <w:sz w:val="32"/>
          <w:szCs w:val="32"/>
          <w:shd w:val="clear" w:color="auto" w:fill="FFFFFF"/>
        </w:rPr>
        <w:t>单”</w:t>
      </w:r>
      <w:r>
        <w:rPr>
          <w:rFonts w:hint="eastAsia" w:ascii="仿宋_GB2312" w:hAnsi="仿宋_GB2312" w:eastAsia="仿宋_GB2312" w:cs="仿宋_GB2312"/>
          <w:color w:val="000000"/>
          <w:kern w:val="0"/>
          <w:sz w:val="32"/>
          <w:szCs w:val="32"/>
          <w:shd w:val="clear" w:color="auto" w:fill="FFFFFF"/>
        </w:rPr>
        <w:t>7</w:t>
      </w:r>
      <w:r>
        <w:rPr>
          <w:rFonts w:ascii="仿宋_GB2312" w:hAnsi="仿宋_GB2312" w:eastAsia="仿宋_GB2312" w:cs="仿宋_GB2312"/>
          <w:color w:val="000000"/>
          <w:kern w:val="0"/>
          <w:sz w:val="32"/>
          <w:szCs w:val="32"/>
          <w:shd w:val="clear" w:color="auto" w:fill="FFFFFF"/>
        </w:rPr>
        <w:t>份，填写“一线督察记录单”</w:t>
      </w:r>
      <w:r>
        <w:rPr>
          <w:rFonts w:hint="eastAsia" w:ascii="仿宋_GB2312" w:hAnsi="仿宋_GB2312" w:eastAsia="仿宋_GB2312" w:cs="仿宋_GB2312"/>
          <w:color w:val="000000"/>
          <w:kern w:val="0"/>
          <w:sz w:val="32"/>
          <w:szCs w:val="32"/>
          <w:shd w:val="clear" w:color="auto" w:fill="FFFFFF"/>
        </w:rPr>
        <w:t>45</w:t>
      </w:r>
      <w:r>
        <w:rPr>
          <w:rFonts w:ascii="仿宋_GB2312" w:hAnsi="仿宋_GB2312" w:eastAsia="仿宋_GB2312" w:cs="仿宋_GB2312"/>
          <w:color w:val="000000"/>
          <w:kern w:val="0"/>
          <w:sz w:val="32"/>
          <w:szCs w:val="32"/>
          <w:shd w:val="clear" w:color="auto" w:fill="FFFFFF"/>
        </w:rPr>
        <w:t>张，制发“问题对照整改单”</w:t>
      </w:r>
      <w:r>
        <w:rPr>
          <w:rFonts w:hint="eastAsia" w:ascii="仿宋_GB2312" w:hAnsi="仿宋_GB2312" w:eastAsia="仿宋_GB2312" w:cs="仿宋_GB2312"/>
          <w:color w:val="000000"/>
          <w:kern w:val="0"/>
          <w:sz w:val="32"/>
          <w:szCs w:val="32"/>
          <w:shd w:val="clear" w:color="auto" w:fill="FFFFFF"/>
        </w:rPr>
        <w:t>7</w:t>
      </w:r>
      <w:r>
        <w:rPr>
          <w:rFonts w:ascii="仿宋_GB2312" w:hAnsi="仿宋_GB2312" w:eastAsia="仿宋_GB2312" w:cs="仿宋_GB2312"/>
          <w:color w:val="000000"/>
          <w:kern w:val="0"/>
          <w:sz w:val="32"/>
          <w:szCs w:val="32"/>
          <w:shd w:val="clear" w:color="auto" w:fill="FFFFFF"/>
        </w:rPr>
        <w:t>份</w:t>
      </w:r>
      <w:r>
        <w:rPr>
          <w:rFonts w:hint="eastAsia" w:ascii="仿宋_GB2312" w:hAnsi="仿宋_GB2312" w:eastAsia="仿宋_GB2312" w:cs="仿宋_GB2312"/>
          <w:color w:val="000000"/>
          <w:kern w:val="0"/>
          <w:sz w:val="32"/>
          <w:szCs w:val="32"/>
          <w:shd w:val="clear" w:color="auto" w:fill="FFFFFF"/>
        </w:rPr>
        <w:t>，反馈</w:t>
      </w:r>
      <w:r>
        <w:rPr>
          <w:rFonts w:ascii="仿宋_GB2312" w:hAnsi="仿宋_GB2312" w:eastAsia="仿宋_GB2312" w:cs="仿宋_GB2312"/>
          <w:color w:val="000000"/>
          <w:kern w:val="0"/>
          <w:sz w:val="32"/>
          <w:szCs w:val="32"/>
          <w:shd w:val="clear" w:color="auto" w:fill="FFFFFF"/>
        </w:rPr>
        <w:t>问题</w:t>
      </w:r>
      <w:r>
        <w:rPr>
          <w:rFonts w:hint="eastAsia" w:ascii="仿宋_GB2312" w:hAnsi="仿宋_GB2312" w:eastAsia="仿宋_GB2312" w:cs="仿宋_GB2312"/>
          <w:color w:val="000000"/>
          <w:kern w:val="0"/>
          <w:sz w:val="32"/>
          <w:szCs w:val="32"/>
          <w:shd w:val="clear" w:color="auto" w:fill="FFFFFF"/>
        </w:rPr>
        <w:t>42</w:t>
      </w:r>
      <w:r>
        <w:rPr>
          <w:rFonts w:ascii="仿宋_GB2312" w:hAnsi="仿宋_GB2312" w:eastAsia="仿宋_GB2312" w:cs="仿宋_GB2312"/>
          <w:color w:val="000000"/>
          <w:kern w:val="0"/>
          <w:sz w:val="32"/>
          <w:szCs w:val="32"/>
          <w:shd w:val="clear" w:color="auto" w:fill="FFFFFF"/>
        </w:rPr>
        <w:t>个，移交问题线索</w:t>
      </w:r>
      <w:r>
        <w:rPr>
          <w:rFonts w:hint="eastAsia" w:ascii="仿宋_GB2312" w:hAnsi="仿宋_GB2312" w:eastAsia="仿宋_GB2312" w:cs="仿宋_GB2312"/>
          <w:color w:val="000000"/>
          <w:kern w:val="0"/>
          <w:sz w:val="32"/>
          <w:szCs w:val="32"/>
          <w:shd w:val="clear" w:color="auto" w:fill="FFFFFF"/>
        </w:rPr>
        <w:t>1条</w:t>
      </w:r>
      <w:r>
        <w:rPr>
          <w:rFonts w:ascii="仿宋_GB2312" w:hAnsi="仿宋_GB2312" w:eastAsia="仿宋_GB2312" w:cs="仿宋_GB2312"/>
          <w:color w:val="000000"/>
          <w:kern w:val="0"/>
          <w:sz w:val="32"/>
          <w:szCs w:val="32"/>
          <w:shd w:val="clear" w:color="auto" w:fill="FFFFFF"/>
        </w:rPr>
        <w:t>，</w:t>
      </w:r>
      <w:r>
        <w:rPr>
          <w:rFonts w:hint="eastAsia" w:ascii="仿宋_GB2312" w:hAnsi="仿宋_GB2312" w:eastAsia="仿宋_GB2312" w:cs="仿宋_GB2312"/>
          <w:color w:val="000000"/>
          <w:kern w:val="0"/>
          <w:sz w:val="32"/>
          <w:szCs w:val="32"/>
          <w:shd w:val="clear" w:color="auto" w:fill="FFFFFF"/>
        </w:rPr>
        <w:t>给予</w:t>
      </w:r>
      <w:r>
        <w:rPr>
          <w:rFonts w:ascii="仿宋_GB2312" w:hAnsi="仿宋_GB2312" w:eastAsia="仿宋_GB2312" w:cs="仿宋_GB2312"/>
          <w:color w:val="000000"/>
          <w:kern w:val="0"/>
          <w:sz w:val="32"/>
          <w:szCs w:val="32"/>
          <w:shd w:val="clear" w:color="auto" w:fill="FFFFFF"/>
        </w:rPr>
        <w:t>党纪政务处分1人</w:t>
      </w:r>
      <w:r>
        <w:rPr>
          <w:rFonts w:hint="eastAsia" w:ascii="仿宋_GB2312" w:hAnsi="仿宋_GB2312" w:eastAsia="仿宋_GB2312" w:cs="仿宋_GB2312"/>
          <w:color w:val="000000"/>
          <w:kern w:val="0"/>
          <w:sz w:val="32"/>
          <w:szCs w:val="32"/>
          <w:shd w:val="clear" w:color="auto" w:fill="FFFFFF"/>
        </w:rPr>
        <w:t>。不断强化基层监督。探索制定乡镇纪检监察工作片区协作机制，由3名班子成员任组长，全面统筹协调指导督促片区联动开展监督检查和审查调查等工作。制发《红原县村（社区）监察信息员管理制度（试行）》，督促指导帮助村（社区）监察信息员正确履职尽责。</w:t>
      </w:r>
    </w:p>
    <w:p>
      <w:pPr>
        <w:ind w:firstLine="643"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cs="仿宋_GB2312" w:eastAsiaTheme="minorEastAsia"/>
          <w:b/>
          <w:color w:val="000000"/>
          <w:kern w:val="0"/>
          <w:sz w:val="32"/>
          <w:szCs w:val="32"/>
          <w:shd w:val="clear" w:color="auto" w:fill="FFFFFF"/>
        </w:rPr>
        <w:t>4.</w:t>
      </w:r>
      <w:r>
        <w:rPr>
          <w:rFonts w:hint="eastAsia" w:ascii="仿宋_GB2312" w:hAnsi="仿宋_GB2312" w:eastAsia="仿宋_GB2312" w:cs="仿宋_GB2312"/>
          <w:b/>
          <w:color w:val="000000"/>
          <w:kern w:val="0"/>
          <w:sz w:val="32"/>
          <w:szCs w:val="32"/>
          <w:shd w:val="clear" w:color="auto" w:fill="FFFFFF"/>
        </w:rPr>
        <w:t>深化队伍建设，打造高原铁军。</w:t>
      </w:r>
      <w:r>
        <w:rPr>
          <w:rFonts w:hint="eastAsia" w:ascii="仿宋_GB2312" w:hAnsi="仿宋_GB2312" w:eastAsia="仿宋_GB2312" w:cs="仿宋_GB2312"/>
          <w:color w:val="000000"/>
          <w:kern w:val="0"/>
          <w:sz w:val="32"/>
          <w:szCs w:val="32"/>
          <w:shd w:val="clear" w:color="auto" w:fill="FFFFFF"/>
        </w:rPr>
        <w:t>持续深化改革。完成县监察委员会首次向同级人大常委会报告专项工作，主动接受人大监督。建强专业队伍。补充配备纪检监察干部5名</w:t>
      </w:r>
      <w:r>
        <w:rPr>
          <w:rFonts w:ascii="仿宋_GB2312" w:hAnsi="仿宋_GB2312" w:eastAsia="仿宋_GB2312" w:cs="仿宋_GB2312"/>
          <w:color w:val="000000"/>
          <w:kern w:val="0"/>
          <w:sz w:val="32"/>
          <w:szCs w:val="32"/>
          <w:shd w:val="clear" w:color="auto" w:fill="FFFFFF"/>
        </w:rPr>
        <w:t>，</w:t>
      </w:r>
      <w:r>
        <w:rPr>
          <w:rFonts w:hint="eastAsia" w:ascii="仿宋_GB2312" w:hAnsi="仿宋_GB2312" w:eastAsia="仿宋_GB2312" w:cs="仿宋_GB2312"/>
          <w:color w:val="000000"/>
          <w:kern w:val="0"/>
          <w:sz w:val="32"/>
          <w:szCs w:val="32"/>
          <w:shd w:val="clear" w:color="auto" w:fill="FFFFFF"/>
        </w:rPr>
        <w:t>配备率提升至95.12%</w:t>
      </w:r>
      <w:r>
        <w:rPr>
          <w:rFonts w:ascii="仿宋_GB2312" w:hAnsi="仿宋_GB2312" w:eastAsia="仿宋_GB2312" w:cs="仿宋_GB2312"/>
          <w:color w:val="000000"/>
          <w:kern w:val="0"/>
          <w:sz w:val="32"/>
          <w:szCs w:val="32"/>
          <w:shd w:val="clear" w:color="auto" w:fill="FFFFFF"/>
        </w:rPr>
        <w:t>。</w:t>
      </w:r>
      <w:r>
        <w:rPr>
          <w:rFonts w:hint="eastAsia" w:ascii="仿宋_GB2312" w:hAnsi="仿宋_GB2312" w:eastAsia="仿宋_GB2312" w:cs="仿宋_GB2312"/>
          <w:color w:val="000000"/>
          <w:kern w:val="0"/>
          <w:sz w:val="32"/>
          <w:szCs w:val="32"/>
          <w:shd w:val="clear" w:color="auto" w:fill="FFFFFF"/>
        </w:rPr>
        <w:t>扎实开展全员培训，探索建立老新结合“专案组长+主办人”制度，全方位提升全县纪检监察干部业务素质和履职能力。坚持刀刃向内。压实系统内部“两个责任”，构建常态化警示教育机制，制定《红原县纪委监委问题线索处置及审查调查工作制度》，加强执纪执法流程规范化建设。严格执行办案安全各项制度措施，完善医疗急救等应急预案，坚决守住安全底线。召开案件保密专题培训会，强调办案纪律，严防“灯下黑”，切实维护纪检监察机关的先进性、纯洁性。</w:t>
      </w:r>
    </w:p>
    <w:p>
      <w:pPr>
        <w:ind w:firstLine="643" w:firstLineChars="200"/>
        <w:rPr>
          <w:rFonts w:hint="eastAsia" w:ascii="仿宋_GB2312" w:hAnsi="仿宋_GB2312" w:cs="仿宋_GB2312" w:eastAsiaTheme="minorEastAsia"/>
          <w:b/>
          <w:color w:val="000000"/>
          <w:kern w:val="0"/>
          <w:sz w:val="32"/>
          <w:szCs w:val="32"/>
          <w:shd w:val="clear" w:color="auto" w:fill="FFFFFF"/>
        </w:rPr>
      </w:pPr>
      <w:r>
        <w:rPr>
          <w:rFonts w:hint="eastAsia" w:ascii="仿宋_GB2312" w:hAnsi="仿宋_GB2312" w:cs="仿宋_GB2312" w:eastAsiaTheme="minorEastAsia"/>
          <w:b/>
          <w:color w:val="000000"/>
          <w:kern w:val="0"/>
          <w:sz w:val="32"/>
          <w:szCs w:val="32"/>
          <w:shd w:val="clear" w:color="auto" w:fill="FFFFFF"/>
        </w:rPr>
        <w:t>5.</w:t>
      </w:r>
      <w:r>
        <w:rPr>
          <w:rFonts w:hint="eastAsia" w:ascii="仿宋_GB2312" w:hAnsi="仿宋_GB2312" w:eastAsia="仿宋_GB2312" w:cs="仿宋_GB2312"/>
          <w:b/>
          <w:color w:val="000000"/>
          <w:kern w:val="0"/>
          <w:sz w:val="32"/>
          <w:szCs w:val="32"/>
          <w:shd w:val="clear" w:color="auto" w:fill="FFFFFF"/>
        </w:rPr>
        <w:t>提高政治站位，全面履行巡察监督政治责任</w:t>
      </w:r>
      <w:r>
        <w:rPr>
          <w:rFonts w:hint="eastAsia" w:ascii="仿宋_GB2312" w:hAnsi="仿宋_GB2312" w:cs="仿宋_GB2312" w:eastAsiaTheme="minorEastAsia"/>
          <w:b/>
          <w:color w:val="000000"/>
          <w:kern w:val="0"/>
          <w:sz w:val="32"/>
          <w:szCs w:val="32"/>
          <w:shd w:val="clear" w:color="auto" w:fill="FFFFFF"/>
        </w:rPr>
        <w:t>。</w:t>
      </w:r>
      <w:r>
        <w:rPr>
          <w:rFonts w:hint="eastAsia" w:ascii="仿宋_GB2312" w:hAnsi="仿宋_GB2312" w:eastAsia="仿宋_GB2312" w:cs="仿宋_GB2312"/>
          <w:color w:val="000000"/>
          <w:kern w:val="0"/>
          <w:sz w:val="32"/>
          <w:szCs w:val="32"/>
          <w:shd w:val="clear" w:color="auto" w:fill="FFFFFF"/>
        </w:rPr>
        <w:t>坚持以习近平新时代中国特色社会主义思想和党的二十大精神为指导，认真学习中央、省委、州委巡视巡察工作的新部署新要求，贯彻全国巡视巡察工作会议以及中央、省委、州委巡视工作动员会议精神，进一步统一思想、提高政治站位，自觉主动将巡察工作融入县委中心工作同部署同谋划。今年以来，县委巡察办积极履行统筹协调指导职责，召开十三届县委第一轮常规巡察工作动员部署会议1次、县委巡察工作领导小组专题会议1次、书记专题会1次，进一步明确巡察工作目标任务，凝聚共识、形成合力，为全面促进巡察工作顺利开展奠定基础。</w:t>
      </w:r>
    </w:p>
    <w:p>
      <w:pPr>
        <w:ind w:firstLine="643" w:firstLineChars="200"/>
        <w:rPr>
          <w:rFonts w:ascii="仿宋_GB2312" w:hAnsi="仿宋_GB2312" w:eastAsia="仿宋_GB2312" w:cs="仿宋_GB2312"/>
          <w:b/>
          <w:color w:val="000000"/>
          <w:kern w:val="0"/>
          <w:sz w:val="32"/>
          <w:szCs w:val="32"/>
          <w:shd w:val="clear" w:color="auto" w:fill="FFFFFF"/>
        </w:rPr>
      </w:pPr>
      <w:r>
        <w:rPr>
          <w:rFonts w:hint="eastAsia" w:ascii="仿宋_GB2312" w:hAnsi="仿宋_GB2312" w:cs="仿宋_GB2312" w:eastAsiaTheme="minorEastAsia"/>
          <w:b/>
          <w:color w:val="000000"/>
          <w:kern w:val="0"/>
          <w:sz w:val="32"/>
          <w:szCs w:val="32"/>
          <w:shd w:val="clear" w:color="auto" w:fill="FFFFFF"/>
        </w:rPr>
        <w:t>6.</w:t>
      </w:r>
      <w:r>
        <w:rPr>
          <w:rFonts w:hint="eastAsia" w:ascii="仿宋_GB2312" w:hAnsi="仿宋_GB2312" w:eastAsia="仿宋_GB2312" w:cs="仿宋_GB2312"/>
          <w:b/>
          <w:color w:val="000000"/>
          <w:kern w:val="0"/>
          <w:sz w:val="32"/>
          <w:szCs w:val="32"/>
          <w:shd w:val="clear" w:color="auto" w:fill="FFFFFF"/>
        </w:rPr>
        <w:t>扎实做好省委巡视办、省委第十巡视组反馈问题的整改工作。</w:t>
      </w:r>
      <w:r>
        <w:rPr>
          <w:rFonts w:hint="eastAsia" w:ascii="仿宋_GB2312" w:hAnsi="仿宋_GB2312" w:eastAsia="仿宋_GB2312" w:cs="仿宋_GB2312"/>
          <w:color w:val="000000"/>
          <w:kern w:val="0"/>
          <w:sz w:val="32"/>
          <w:szCs w:val="32"/>
          <w:shd w:val="clear" w:color="auto" w:fill="FFFFFF"/>
        </w:rPr>
        <w:t>9月，省委第十巡视组对我县开展了常规巡视，针对省委巡视组在巡视后所反馈“整改还不彻底，存在发现问题“共性问题多，个性问题少”等3个方面问题，为切实查漏补缺，进一步提升巡察工作质效，结合我县巡察工作实际，拟定《关于“边巡边改、以巡促改”的工作报告》在常委会上进行汇报并抓好问题整改，切实推进整改工作的有效落实。</w:t>
      </w:r>
    </w:p>
    <w:p>
      <w:pPr>
        <w:pStyle w:val="4"/>
        <w:spacing w:line="576" w:lineRule="exact"/>
        <w:rPr>
          <w:rStyle w:val="21"/>
          <w:b w:val="0"/>
          <w:bCs/>
        </w:rPr>
      </w:pPr>
      <w:r>
        <w:rPr>
          <w:rFonts w:hint="eastAsia" w:ascii="黑体" w:eastAsia="黑体"/>
          <w:b w:val="0"/>
        </w:rPr>
        <w:t>二、机</w:t>
      </w:r>
      <w:r>
        <w:rPr>
          <w:rStyle w:val="21"/>
          <w:rFonts w:hint="eastAsia" w:ascii="黑体" w:eastAsia="黑体"/>
          <w:b w:val="0"/>
          <w:bCs/>
        </w:rPr>
        <w:t>构设置</w:t>
      </w:r>
      <w:bookmarkEnd w:id="10"/>
      <w:bookmarkEnd w:id="11"/>
      <w:bookmarkEnd w:id="12"/>
    </w:p>
    <w:p>
      <w:pPr>
        <w:pStyle w:val="15"/>
        <w:shd w:val="clear" w:color="auto" w:fill="FFFFFF"/>
        <w:ind w:firstLine="640" w:firstLineChars="200"/>
        <w:rPr>
          <w:rFonts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中共阿坝州红原县纪律检查委员会</w:t>
      </w:r>
      <w:r>
        <w:rPr>
          <w:rFonts w:hint="eastAsia" w:ascii="仿宋_GB2312" w:hAnsi="仿宋_GB2312" w:cs="仿宋_GB2312" w:eastAsiaTheme="minorEastAsia"/>
          <w:color w:val="000000"/>
          <w:sz w:val="32"/>
          <w:szCs w:val="32"/>
          <w:shd w:val="clear" w:color="auto" w:fill="FFFFFF"/>
        </w:rPr>
        <w:t>下属二级预算单位</w:t>
      </w:r>
      <w:r>
        <w:rPr>
          <w:rFonts w:hint="eastAsia" w:ascii="仿宋_GB2312" w:hAnsi="仿宋_GB2312" w:eastAsia="仿宋_GB2312" w:cs="仿宋_GB2312"/>
          <w:color w:val="000000"/>
          <w:sz w:val="32"/>
          <w:szCs w:val="32"/>
          <w:shd w:val="clear" w:color="auto" w:fill="FFFFFF"/>
        </w:rPr>
        <w:t>2个，</w:t>
      </w:r>
      <w:r>
        <w:rPr>
          <w:rFonts w:ascii="仿宋_GB2312" w:hAnsi="仿宋_GB2312" w:eastAsia="仿宋_GB2312" w:cs="仿宋_GB2312"/>
          <w:color w:val="000000"/>
          <w:sz w:val="32"/>
          <w:szCs w:val="32"/>
          <w:shd w:val="clear" w:color="auto" w:fill="FFFFFF"/>
        </w:rPr>
        <w:t>其中</w:t>
      </w:r>
      <w:r>
        <w:rPr>
          <w:rFonts w:hint="eastAsia" w:ascii="仿宋_GB2312" w:hAnsi="仿宋_GB2312" w:cs="仿宋_GB2312" w:eastAsiaTheme="minorEastAsia"/>
          <w:color w:val="000000"/>
          <w:sz w:val="32"/>
          <w:szCs w:val="32"/>
          <w:shd w:val="clear" w:color="auto" w:fill="FFFFFF"/>
        </w:rPr>
        <w:t>财政全额</w:t>
      </w:r>
      <w:r>
        <w:rPr>
          <w:rFonts w:hint="eastAsia" w:ascii="仿宋_GB2312" w:hAnsi="仿宋_GB2312" w:cs="仿宋_GB2312" w:eastAsiaTheme="minorEastAsia"/>
          <w:color w:val="000000"/>
          <w:sz w:val="32"/>
          <w:szCs w:val="32"/>
          <w:shd w:val="clear" w:color="auto" w:fill="FFFFFF"/>
          <w:lang w:eastAsia="zh-CN"/>
        </w:rPr>
        <w:t>拨款</w:t>
      </w:r>
      <w:r>
        <w:rPr>
          <w:rFonts w:ascii="仿宋_GB2312" w:hAnsi="仿宋_GB2312" w:eastAsia="仿宋_GB2312" w:cs="仿宋_GB2312"/>
          <w:color w:val="000000"/>
          <w:sz w:val="32"/>
          <w:szCs w:val="32"/>
          <w:shd w:val="clear" w:color="auto" w:fill="FFFFFF"/>
        </w:rPr>
        <w:t>行政单位</w:t>
      </w:r>
      <w:r>
        <w:rPr>
          <w:rFonts w:hint="eastAsia" w:ascii="仿宋_GB2312" w:hAnsi="仿宋_GB2312" w:eastAsia="仿宋_GB2312" w:cs="仿宋_GB2312"/>
          <w:color w:val="000000"/>
          <w:sz w:val="32"/>
          <w:szCs w:val="32"/>
          <w:shd w:val="clear" w:color="auto" w:fill="FFFFFF"/>
        </w:rPr>
        <w:t>1</w:t>
      </w:r>
      <w:r>
        <w:rPr>
          <w:rFonts w:ascii="仿宋_GB2312" w:hAnsi="仿宋_GB2312" w:eastAsia="仿宋_GB2312" w:cs="仿宋_GB2312"/>
          <w:color w:val="000000"/>
          <w:sz w:val="32"/>
          <w:szCs w:val="32"/>
          <w:shd w:val="clear" w:color="auto" w:fill="FFFFFF"/>
        </w:rPr>
        <w:t>个，</w:t>
      </w:r>
      <w:r>
        <w:rPr>
          <w:rFonts w:hint="eastAsia" w:ascii="仿宋_GB2312" w:hAnsi="仿宋_GB2312" w:eastAsia="仿宋_GB2312" w:cs="仿宋_GB2312"/>
          <w:color w:val="000000"/>
          <w:sz w:val="32"/>
          <w:szCs w:val="32"/>
          <w:shd w:val="clear" w:color="auto" w:fill="FFFFFF"/>
        </w:rPr>
        <w:t>公益性</w:t>
      </w:r>
      <w:r>
        <w:rPr>
          <w:rFonts w:ascii="仿宋_GB2312" w:hAnsi="仿宋_GB2312" w:eastAsia="仿宋_GB2312" w:cs="仿宋_GB2312"/>
          <w:color w:val="000000"/>
          <w:sz w:val="32"/>
          <w:szCs w:val="32"/>
          <w:shd w:val="clear" w:color="auto" w:fill="FFFFFF"/>
        </w:rPr>
        <w:t>事业单位</w:t>
      </w:r>
      <w:r>
        <w:rPr>
          <w:rFonts w:hint="eastAsia" w:ascii="仿宋_GB2312" w:hAnsi="仿宋_GB2312" w:eastAsia="仿宋_GB2312" w:cs="仿宋_GB2312"/>
          <w:color w:val="000000"/>
          <w:sz w:val="32"/>
          <w:szCs w:val="32"/>
          <w:shd w:val="clear" w:color="auto" w:fill="FFFFFF"/>
        </w:rPr>
        <w:t>1</w:t>
      </w:r>
      <w:r>
        <w:rPr>
          <w:rFonts w:ascii="仿宋_GB2312" w:hAnsi="仿宋_GB2312" w:eastAsia="仿宋_GB2312" w:cs="仿宋_GB2312"/>
          <w:color w:val="000000"/>
          <w:sz w:val="32"/>
          <w:szCs w:val="32"/>
          <w:shd w:val="clear" w:color="auto" w:fill="FFFFFF"/>
        </w:rPr>
        <w:t>个。</w:t>
      </w:r>
      <w:r>
        <w:rPr>
          <w:rFonts w:hint="eastAsia" w:ascii="仿宋_GB2312" w:hAnsi="仿宋_GB2312" w:eastAsia="仿宋_GB2312" w:cs="仿宋_GB2312"/>
          <w:color w:val="000000"/>
          <w:sz w:val="32"/>
          <w:szCs w:val="32"/>
          <w:shd w:val="clear" w:color="auto" w:fill="FFFFFF"/>
        </w:rPr>
        <w:t>本年度比上年增加0个，无变动。</w:t>
      </w:r>
    </w:p>
    <w:p>
      <w:pPr>
        <w:ind w:firstLine="800" w:firstLineChars="250"/>
        <w:rPr>
          <w:sz w:val="32"/>
          <w:szCs w:val="32"/>
        </w:rPr>
      </w:pPr>
      <w:r>
        <w:rPr>
          <w:rFonts w:hint="eastAsia" w:ascii="仿宋_GB2312" w:hAnsi="仿宋_GB2312" w:eastAsia="仿宋_GB2312" w:cs="仿宋_GB2312"/>
          <w:bCs/>
          <w:sz w:val="32"/>
          <w:szCs w:val="32"/>
        </w:rPr>
        <w:t>截止2022年底我单位共有</w:t>
      </w:r>
      <w:r>
        <w:rPr>
          <w:rFonts w:hint="eastAsia" w:ascii="仿宋_GB2312" w:hAnsi="仿宋_GB2312" w:eastAsia="仿宋_GB2312" w:cs="仿宋_GB2312"/>
          <w:sz w:val="32"/>
          <w:szCs w:val="32"/>
        </w:rPr>
        <w:t>在职人员</w:t>
      </w:r>
      <w:r>
        <w:rPr>
          <w:rFonts w:hint="eastAsia" w:ascii="仿宋_GB2312" w:hAnsi="仿宋_GB2312" w:cs="仿宋_GB2312" w:eastAsiaTheme="minorEastAsia"/>
          <w:sz w:val="32"/>
          <w:szCs w:val="32"/>
        </w:rPr>
        <w:t>53</w:t>
      </w:r>
      <w:r>
        <w:rPr>
          <w:rFonts w:hint="eastAsia" w:ascii="仿宋_GB2312" w:hAnsi="仿宋_GB2312" w:eastAsia="仿宋_GB2312" w:cs="仿宋_GB2312"/>
          <w:sz w:val="32"/>
          <w:szCs w:val="32"/>
        </w:rPr>
        <w:t>人，其中公务员</w:t>
      </w:r>
      <w:r>
        <w:rPr>
          <w:rFonts w:hint="eastAsia" w:ascii="仿宋_GB2312" w:hAnsi="仿宋_GB2312" w:cs="仿宋_GB2312" w:eastAsiaTheme="minorEastAsia"/>
          <w:sz w:val="32"/>
          <w:szCs w:val="32"/>
        </w:rPr>
        <w:t>46</w:t>
      </w:r>
      <w:r>
        <w:rPr>
          <w:rFonts w:hint="eastAsia" w:ascii="仿宋_GB2312" w:hAnsi="仿宋_GB2312" w:eastAsia="仿宋_GB2312" w:cs="仿宋_GB2312"/>
          <w:sz w:val="32"/>
          <w:szCs w:val="32"/>
        </w:rPr>
        <w:t>人，行政工勤4人，</w:t>
      </w:r>
      <w:r>
        <w:rPr>
          <w:rFonts w:hint="eastAsia" w:ascii="仿宋_GB2312" w:hAnsi="仿宋_GB2312" w:cs="仿宋_GB2312" w:eastAsiaTheme="minorEastAsia"/>
          <w:sz w:val="32"/>
          <w:szCs w:val="32"/>
        </w:rPr>
        <w:t>公益性</w:t>
      </w:r>
      <w:r>
        <w:rPr>
          <w:rFonts w:hint="eastAsia" w:ascii="仿宋_GB2312" w:hAnsi="仿宋_GB2312" w:eastAsia="仿宋_GB2312" w:cs="仿宋_GB2312"/>
          <w:sz w:val="32"/>
          <w:szCs w:val="32"/>
        </w:rPr>
        <w:t>事业人员</w:t>
      </w:r>
      <w:r>
        <w:rPr>
          <w:rFonts w:hint="eastAsia" w:ascii="仿宋_GB2312" w:hAnsi="仿宋_GB2312" w:cs="仿宋_GB2312" w:eastAsiaTheme="minorEastAsia"/>
          <w:sz w:val="32"/>
          <w:szCs w:val="32"/>
        </w:rPr>
        <w:t>3</w:t>
      </w:r>
      <w:r>
        <w:rPr>
          <w:rFonts w:hint="eastAsia" w:ascii="仿宋_GB2312" w:hAnsi="仿宋_GB2312" w:eastAsia="仿宋_GB2312" w:cs="仿宋_GB2312"/>
          <w:sz w:val="32"/>
          <w:szCs w:val="32"/>
        </w:rPr>
        <w:t>人。</w:t>
      </w:r>
    </w:p>
    <w:p>
      <w:pPr>
        <w:pStyle w:val="6"/>
        <w:adjustRightInd w:val="0"/>
        <w:snapToGrid w:val="0"/>
        <w:spacing w:beforeLines="0" w:line="600" w:lineRule="exact"/>
        <w:ind w:firstLine="668" w:firstLineChars="209"/>
        <w:rPr>
          <w:rFonts w:hAnsi="仿宋_GB2312" w:cs="仿宋_GB2312"/>
          <w:sz w:val="32"/>
          <w:szCs w:val="32"/>
        </w:rPr>
      </w:pPr>
      <w:r>
        <w:rPr>
          <w:rFonts w:hint="eastAsia" w:hAnsi="仿宋_GB2312" w:cs="仿宋_GB2312"/>
          <w:sz w:val="32"/>
          <w:szCs w:val="32"/>
        </w:rPr>
        <w:t>纳入</w:t>
      </w:r>
      <w:r>
        <w:rPr>
          <w:rFonts w:hint="eastAsia" w:hAnsi="仿宋_GB2312" w:cs="仿宋_GB2312" w:eastAsiaTheme="minorEastAsia"/>
          <w:sz w:val="32"/>
          <w:szCs w:val="32"/>
        </w:rPr>
        <w:t>中共</w:t>
      </w:r>
      <w:r>
        <w:rPr>
          <w:rFonts w:hint="eastAsia" w:hAnsi="仿宋_GB2312" w:cs="仿宋_GB2312"/>
          <w:sz w:val="32"/>
          <w:szCs w:val="32"/>
        </w:rPr>
        <w:t>红原县</w:t>
      </w:r>
      <w:r>
        <w:rPr>
          <w:rFonts w:hint="eastAsia" w:hAnsi="仿宋_GB2312" w:cs="仿宋_GB2312" w:eastAsiaTheme="minorEastAsia"/>
          <w:sz w:val="32"/>
          <w:szCs w:val="32"/>
        </w:rPr>
        <w:t>纪律检查</w:t>
      </w:r>
      <w:r>
        <w:rPr>
          <w:rFonts w:hint="eastAsia" w:hAnsi="仿宋_GB2312" w:cs="仿宋_GB2312"/>
          <w:sz w:val="32"/>
          <w:szCs w:val="32"/>
        </w:rPr>
        <w:t>委会2022年度部门决算编制范围的二级预算单位包括：</w:t>
      </w:r>
    </w:p>
    <w:p>
      <w:pPr>
        <w:pStyle w:val="6"/>
        <w:adjustRightInd w:val="0"/>
        <w:snapToGrid w:val="0"/>
        <w:spacing w:beforeLines="0" w:line="600" w:lineRule="exact"/>
        <w:ind w:left="672"/>
        <w:outlineLvl w:val="2"/>
        <w:rPr>
          <w:rFonts w:hAnsi="仿宋_GB2312" w:cs="仿宋_GB2312"/>
          <w:sz w:val="32"/>
          <w:szCs w:val="32"/>
        </w:rPr>
      </w:pPr>
      <w:bookmarkStart w:id="13" w:name="_Toc15378449"/>
      <w:bookmarkStart w:id="14" w:name="_Toc15306276"/>
      <w:bookmarkStart w:id="15" w:name="_Toc15377433"/>
      <w:bookmarkStart w:id="16" w:name="_Toc15377202"/>
      <w:r>
        <w:rPr>
          <w:rFonts w:hint="eastAsia" w:hAnsi="仿宋_GB2312" w:cs="仿宋_GB2312"/>
          <w:sz w:val="32"/>
          <w:szCs w:val="32"/>
        </w:rPr>
        <w:t>1.</w:t>
      </w:r>
      <w:r>
        <w:rPr>
          <w:rFonts w:hint="eastAsia" w:hAnsi="仿宋_GB2312" w:cs="仿宋_GB2312" w:eastAsiaTheme="minorEastAsia"/>
          <w:sz w:val="32"/>
          <w:szCs w:val="32"/>
        </w:rPr>
        <w:t>中共红原县纪律检查委员会</w:t>
      </w:r>
      <w:r>
        <w:rPr>
          <w:rFonts w:hint="eastAsia" w:hAnsi="仿宋_GB2312" w:cs="仿宋_GB2312"/>
          <w:sz w:val="32"/>
          <w:szCs w:val="32"/>
        </w:rPr>
        <w:t>本级</w:t>
      </w:r>
    </w:p>
    <w:bookmarkEnd w:id="13"/>
    <w:bookmarkEnd w:id="14"/>
    <w:bookmarkEnd w:id="15"/>
    <w:bookmarkEnd w:id="16"/>
    <w:p>
      <w:pPr>
        <w:widowControl/>
        <w:ind w:firstLine="640" w:firstLineChars="200"/>
        <w:jc w:val="left"/>
        <w:rPr>
          <w:rFonts w:ascii="仿宋" w:eastAsia="仿宋"/>
          <w:sz w:val="32"/>
          <w:szCs w:val="32"/>
        </w:rPr>
      </w:pPr>
      <w:r>
        <w:rPr>
          <w:rFonts w:hint="eastAsia" w:ascii="仿宋_GB2312" w:hAnsi="仿宋_GB2312" w:eastAsia="仿宋_GB2312" w:cs="仿宋_GB2312"/>
          <w:sz w:val="32"/>
          <w:szCs w:val="32"/>
        </w:rPr>
        <w:t>2.</w:t>
      </w:r>
      <w:r>
        <w:rPr>
          <w:rFonts w:hint="eastAsia" w:ascii="仿宋_GB2312" w:hAnsi="仿宋_GB2312" w:cs="仿宋_GB2312" w:eastAsiaTheme="minorEastAsia"/>
          <w:sz w:val="32"/>
          <w:szCs w:val="32"/>
        </w:rPr>
        <w:t>中共</w:t>
      </w:r>
      <w:r>
        <w:rPr>
          <w:rFonts w:hint="eastAsia" w:ascii="仿宋_GB2312" w:hAnsi="仿宋_GB2312" w:eastAsia="仿宋_GB2312" w:cs="仿宋_GB2312"/>
          <w:sz w:val="32"/>
          <w:szCs w:val="32"/>
        </w:rPr>
        <w:t>红原县</w:t>
      </w:r>
      <w:r>
        <w:rPr>
          <w:rFonts w:hint="eastAsia" w:ascii="仿宋_GB2312" w:hAnsi="仿宋_GB2312" w:cs="仿宋_GB2312" w:eastAsiaTheme="minorEastAsia"/>
          <w:sz w:val="32"/>
          <w:szCs w:val="32"/>
        </w:rPr>
        <w:t>委巡察办服务保障中心</w:t>
      </w:r>
      <w:bookmarkStart w:id="17" w:name="_Toc15396602"/>
      <w:bookmarkStart w:id="18" w:name="_Toc15377204"/>
      <w:bookmarkStart w:id="19" w:name="_Toc4287"/>
    </w:p>
    <w:p>
      <w:pPr>
        <w:widowControl/>
        <w:ind w:firstLine="883" w:firstLineChars="200"/>
        <w:jc w:val="left"/>
        <w:rPr>
          <w:rStyle w:val="20"/>
          <w:rFonts w:ascii="黑体" w:eastAsia="黑体"/>
        </w:rPr>
      </w:pPr>
    </w:p>
    <w:p>
      <w:pPr>
        <w:widowControl/>
        <w:ind w:firstLine="883" w:firstLineChars="200"/>
        <w:jc w:val="left"/>
        <w:rPr>
          <w:rStyle w:val="20"/>
          <w:rFonts w:ascii="黑体" w:eastAsia="黑体"/>
        </w:rPr>
      </w:pPr>
    </w:p>
    <w:p>
      <w:pPr>
        <w:widowControl/>
        <w:ind w:firstLine="883" w:firstLineChars="200"/>
        <w:jc w:val="left"/>
        <w:rPr>
          <w:rStyle w:val="20"/>
          <w:rFonts w:ascii="仿宋" w:eastAsia="仿宋"/>
          <w:b w:val="0"/>
          <w:bCs w:val="0"/>
          <w:kern w:val="0"/>
          <w:sz w:val="32"/>
          <w:szCs w:val="32"/>
        </w:rPr>
      </w:pPr>
      <w:r>
        <w:rPr>
          <w:rStyle w:val="20"/>
          <w:rFonts w:hint="eastAsia" w:ascii="黑体" w:eastAsia="黑体"/>
        </w:rPr>
        <w:t>第</w:t>
      </w:r>
      <w:r>
        <w:rPr>
          <w:rStyle w:val="20"/>
          <w:rFonts w:hint="eastAsia" w:ascii="黑体" w:eastAsia="黑体"/>
          <w:b w:val="0"/>
        </w:rPr>
        <w:t>二部分 2022年度</w:t>
      </w:r>
      <w:r>
        <w:rPr>
          <w:rStyle w:val="20"/>
          <w:rFonts w:hint="eastAsia" w:ascii="黑体" w:eastAsia="黑体"/>
          <w:bCs w:val="0"/>
        </w:rPr>
        <w:t>部门决算情况说明</w:t>
      </w:r>
      <w:bookmarkEnd w:id="17"/>
      <w:bookmarkEnd w:id="18"/>
      <w:bookmarkEnd w:id="19"/>
    </w:p>
    <w:p/>
    <w:p>
      <w:pPr>
        <w:pStyle w:val="27"/>
        <w:numPr>
          <w:ilvl w:val="0"/>
          <w:numId w:val="3"/>
        </w:numPr>
        <w:spacing w:line="600" w:lineRule="exact"/>
        <w:ind w:firstLineChars="0"/>
        <w:outlineLvl w:val="1"/>
        <w:rPr>
          <w:rStyle w:val="21"/>
          <w:rFonts w:ascii="黑体" w:eastAsia="黑体"/>
          <w:b w:val="0"/>
        </w:rPr>
      </w:pPr>
      <w:bookmarkStart w:id="20" w:name="_Toc15377205"/>
      <w:bookmarkStart w:id="21" w:name="_Toc15396603"/>
      <w:bookmarkStart w:id="22" w:name="_Toc12888"/>
      <w:r>
        <w:rPr>
          <w:rFonts w:hint="eastAsia" w:ascii="黑体" w:eastAsia="黑体"/>
          <w:sz w:val="32"/>
          <w:szCs w:val="32"/>
        </w:rPr>
        <w:t>收</w:t>
      </w:r>
      <w:r>
        <w:rPr>
          <w:rStyle w:val="21"/>
          <w:rFonts w:hint="eastAsia" w:ascii="黑体" w:eastAsia="黑体"/>
          <w:b w:val="0"/>
        </w:rPr>
        <w:t>入支出决算总体情况说明</w:t>
      </w:r>
      <w:bookmarkEnd w:id="20"/>
      <w:bookmarkEnd w:id="21"/>
      <w:bookmarkEnd w:id="22"/>
    </w:p>
    <w:p>
      <w:pPr>
        <w:pStyle w:val="15"/>
        <w:shd w:val="clear" w:color="auto" w:fill="FFFFFF"/>
      </w:pPr>
      <w:r>
        <w:rPr>
          <w:rFonts w:hint="eastAsia" w:ascii="仿宋_GB2312" w:hAnsi="仿宋_GB2312" w:eastAsia="仿宋_GB2312" w:cs="仿宋_GB2312"/>
          <w:sz w:val="32"/>
          <w:szCs w:val="32"/>
        </w:rPr>
        <w:t xml:space="preserve"> </w:t>
      </w:r>
      <w:r>
        <w:rPr>
          <w:rFonts w:ascii="仿宋_GB2312" w:hAnsi="仿宋_GB2312" w:eastAsia="仿宋_GB2312" w:cs="仿宋_GB2312"/>
          <w:kern w:val="2"/>
          <w:sz w:val="32"/>
          <w:szCs w:val="32"/>
        </w:rPr>
        <w:t>2022年度收1,571.55万元</w:t>
      </w:r>
      <w:r>
        <w:rPr>
          <w:rFonts w:hint="eastAsia" w:ascii="仿宋_GB2312" w:hAnsi="仿宋_GB2312" w:cs="仿宋_GB2312" w:eastAsiaTheme="minorEastAsia"/>
          <w:kern w:val="2"/>
          <w:sz w:val="32"/>
          <w:szCs w:val="32"/>
        </w:rPr>
        <w:t>，</w:t>
      </w:r>
      <w:r>
        <w:rPr>
          <w:rFonts w:ascii="仿宋_GB2312" w:hAnsi="仿宋_GB2312" w:eastAsia="仿宋_GB2312" w:cs="仿宋_GB2312"/>
          <w:kern w:val="2"/>
          <w:sz w:val="32"/>
          <w:szCs w:val="32"/>
        </w:rPr>
        <w:t>支</w:t>
      </w:r>
      <w:r>
        <w:rPr>
          <w:rFonts w:hint="eastAsia" w:ascii="仿宋_GB2312" w:hAnsi="仿宋_GB2312" w:cs="仿宋_GB2312" w:eastAsiaTheme="minorEastAsia"/>
          <w:kern w:val="2"/>
          <w:sz w:val="32"/>
          <w:szCs w:val="32"/>
        </w:rPr>
        <w:t>出</w:t>
      </w:r>
      <w:r>
        <w:rPr>
          <w:rFonts w:ascii="仿宋_GB2312" w:hAnsi="仿宋_GB2312" w:eastAsia="仿宋_GB2312" w:cs="仿宋_GB2312"/>
          <w:kern w:val="2"/>
          <w:sz w:val="32"/>
          <w:szCs w:val="32"/>
        </w:rPr>
        <w:t>1,571.55万元。与2021年相比，收</w:t>
      </w:r>
      <w:r>
        <w:rPr>
          <w:rFonts w:hint="eastAsia" w:ascii="仿宋_GB2312" w:hAnsi="仿宋_GB2312" w:cs="仿宋_GB2312" w:eastAsiaTheme="minorEastAsia"/>
          <w:kern w:val="2"/>
          <w:sz w:val="32"/>
          <w:szCs w:val="32"/>
        </w:rPr>
        <w:t>入增加257.43万元，增长19.59%，</w:t>
      </w:r>
      <w:r>
        <w:rPr>
          <w:rFonts w:ascii="仿宋_GB2312" w:hAnsi="仿宋_GB2312" w:eastAsia="仿宋_GB2312" w:cs="仿宋_GB2312"/>
          <w:kern w:val="2"/>
          <w:sz w:val="32"/>
          <w:szCs w:val="32"/>
        </w:rPr>
        <w:t>支</w:t>
      </w:r>
      <w:r>
        <w:rPr>
          <w:rFonts w:hint="eastAsia" w:ascii="仿宋_GB2312" w:hAnsi="仿宋_GB2312" w:cs="仿宋_GB2312" w:eastAsiaTheme="minorEastAsia"/>
          <w:kern w:val="2"/>
          <w:sz w:val="32"/>
          <w:szCs w:val="32"/>
        </w:rPr>
        <w:t>出</w:t>
      </w:r>
      <w:r>
        <w:rPr>
          <w:rFonts w:ascii="仿宋_GB2312" w:hAnsi="仿宋_GB2312" w:eastAsia="仿宋_GB2312" w:cs="仿宋_GB2312"/>
          <w:kern w:val="2"/>
          <w:sz w:val="32"/>
          <w:szCs w:val="32"/>
        </w:rPr>
        <w:t>增加253.42万元，增长19.23%。</w:t>
      </w:r>
      <w:r>
        <w:rPr>
          <w:rFonts w:hint="eastAsia" w:ascii="仿宋_GB2312" w:hAnsi="仿宋_GB2312" w:eastAsia="仿宋_GB2312" w:cs="仿宋_GB2312"/>
          <w:sz w:val="32"/>
          <w:szCs w:val="32"/>
        </w:rPr>
        <w:t>收入支出均增加主要原因：</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2022年我单位</w:t>
      </w:r>
      <w:r>
        <w:rPr>
          <w:rFonts w:hint="eastAsia" w:ascii="仿宋_GB2312" w:hAnsi="仿宋_GB2312" w:cs="仿宋_GB2312" w:eastAsiaTheme="minorEastAsia"/>
          <w:sz w:val="32"/>
          <w:szCs w:val="32"/>
        </w:rPr>
        <w:t>职工人数增加2个。</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解决</w:t>
      </w:r>
      <w:r>
        <w:rPr>
          <w:rFonts w:hint="eastAsia" w:ascii="仿宋_GB2312" w:hAnsi="仿宋_GB2312" w:cs="仿宋_GB2312" w:eastAsiaTheme="minorEastAsia"/>
          <w:sz w:val="32"/>
          <w:szCs w:val="32"/>
        </w:rPr>
        <w:t>乡镇纪检监察谈话室规范化建设52.08</w:t>
      </w:r>
      <w:r>
        <w:rPr>
          <w:rFonts w:hint="eastAsia" w:ascii="仿宋_GB2312" w:hAnsi="仿宋_GB2312" w:eastAsia="仿宋_GB2312" w:cs="仿宋_GB2312"/>
          <w:sz w:val="32"/>
          <w:szCs w:val="32"/>
        </w:rPr>
        <w:t>万元，2021年无该项支出；</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2022年</w:t>
      </w:r>
      <w:r>
        <w:rPr>
          <w:rFonts w:hint="eastAsia" w:ascii="仿宋_GB2312" w:hAnsi="仿宋_GB2312" w:cs="仿宋_GB2312" w:eastAsiaTheme="minorEastAsia"/>
          <w:sz w:val="32"/>
          <w:szCs w:val="32"/>
        </w:rPr>
        <w:t>档案室规范化建设及办公区域维修维护等支出24.68万元</w:t>
      </w:r>
      <w:r>
        <w:rPr>
          <w:rFonts w:hint="eastAsia" w:ascii="仿宋_GB2312" w:hAnsi="仿宋_GB2312" w:eastAsia="仿宋_GB2312" w:cs="仿宋_GB2312"/>
          <w:sz w:val="32"/>
          <w:szCs w:val="32"/>
        </w:rPr>
        <w:t>，2021年无该项支出；</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2022年我</w:t>
      </w:r>
      <w:r>
        <w:rPr>
          <w:rFonts w:hint="eastAsia" w:ascii="仿宋_GB2312" w:hAnsi="仿宋_GB2312" w:cs="仿宋_GB2312" w:eastAsiaTheme="minorEastAsia"/>
          <w:sz w:val="32"/>
          <w:szCs w:val="32"/>
        </w:rPr>
        <w:t>委发放死亡职工丧葬费、抚恤金41.39万元，2021年无此项目</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五是</w:t>
      </w:r>
      <w:r>
        <w:rPr>
          <w:rFonts w:hint="eastAsia" w:ascii="仿宋_GB2312" w:hAnsi="仿宋_GB2312" w:eastAsia="仿宋_GB2312" w:cs="仿宋_GB2312"/>
          <w:sz w:val="32"/>
          <w:szCs w:val="32"/>
        </w:rPr>
        <w:t>2022年</w:t>
      </w:r>
      <w:r>
        <w:rPr>
          <w:rFonts w:hint="eastAsia" w:ascii="仿宋_GB2312" w:hAnsi="仿宋_GB2312" w:cs="仿宋_GB2312" w:eastAsiaTheme="minorEastAsia"/>
          <w:sz w:val="32"/>
          <w:szCs w:val="32"/>
        </w:rPr>
        <w:t>增加纪检监察干部赴浙江培训培训费30</w:t>
      </w:r>
      <w:r>
        <w:rPr>
          <w:rFonts w:hint="eastAsia" w:ascii="仿宋_GB2312" w:hAnsi="仿宋_GB2312" w:eastAsia="仿宋_GB2312" w:cs="仿宋_GB2312"/>
          <w:sz w:val="32"/>
          <w:szCs w:val="32"/>
        </w:rPr>
        <w:t>万元；</w:t>
      </w:r>
      <w:r>
        <w:rPr>
          <w:rFonts w:hint="eastAsia" w:ascii="仿宋_GB2312" w:hAnsi="仿宋_GB2312" w:eastAsia="仿宋_GB2312" w:cs="仿宋_GB2312"/>
          <w:b/>
          <w:bCs/>
          <w:sz w:val="32"/>
          <w:szCs w:val="32"/>
        </w:rPr>
        <w:t>六是</w:t>
      </w:r>
      <w:r>
        <w:rPr>
          <w:rFonts w:hint="eastAsia" w:ascii="仿宋_GB2312" w:hAnsi="仿宋_GB2312" w:eastAsia="仿宋_GB2312" w:cs="仿宋_GB2312"/>
          <w:sz w:val="32"/>
          <w:szCs w:val="32"/>
        </w:rPr>
        <w:t>每年的工资、保险、公积金的变动。</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（图1：收、支决算总计变动情况图）（柱状图）</w:t>
      </w:r>
    </w:p>
    <w:p>
      <w:pPr>
        <w:pStyle w:val="8"/>
        <w:ind w:left="420" w:firstLine="640"/>
        <w:rPr>
          <w:rFonts w:eastAsia="仿宋_GB2312"/>
          <w:sz w:val="32"/>
        </w:rPr>
      </w:pPr>
      <w:r>
        <w:rPr>
          <w:rFonts w:hint="eastAsia" w:ascii="仿宋" w:eastAsia="仿宋"/>
          <w:sz w:val="32"/>
        </w:rPr>
        <w:drawing>
          <wp:inline distT="0" distB="0" distL="114300" distR="114300">
            <wp:extent cx="4452620" cy="2129155"/>
            <wp:effectExtent l="4445" t="4445" r="19685" b="1905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7"/>
        <w:numPr>
          <w:ilvl w:val="0"/>
          <w:numId w:val="3"/>
        </w:numPr>
        <w:spacing w:line="600" w:lineRule="exact"/>
        <w:ind w:firstLineChars="0"/>
        <w:outlineLvl w:val="1"/>
        <w:rPr>
          <w:rStyle w:val="21"/>
          <w:rFonts w:ascii="黑体" w:eastAsia="黑体"/>
          <w:b w:val="0"/>
        </w:rPr>
      </w:pPr>
      <w:bookmarkStart w:id="23" w:name="_Toc29497"/>
      <w:bookmarkStart w:id="24" w:name="_Toc15377206"/>
      <w:bookmarkStart w:id="25" w:name="_Toc15396604"/>
      <w:r>
        <w:rPr>
          <w:rFonts w:hint="eastAsia" w:ascii="黑体" w:eastAsia="黑体"/>
          <w:sz w:val="32"/>
          <w:szCs w:val="32"/>
        </w:rPr>
        <w:t>收</w:t>
      </w:r>
      <w:r>
        <w:rPr>
          <w:rStyle w:val="21"/>
          <w:rFonts w:hint="eastAsia" w:ascii="黑体" w:eastAsia="黑体"/>
          <w:b w:val="0"/>
        </w:rPr>
        <w:t>入决算情况说明</w:t>
      </w:r>
      <w:bookmarkEnd w:id="23"/>
      <w:bookmarkEnd w:id="24"/>
      <w:bookmarkEnd w:id="25"/>
    </w:p>
    <w:p>
      <w:pPr>
        <w:pStyle w:val="15"/>
        <w:widowControl/>
        <w:ind w:right="75"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2022年本年收入合计</w:t>
      </w:r>
      <w:r>
        <w:rPr>
          <w:rFonts w:hint="eastAsia" w:ascii="仿宋_GB2312" w:hAnsi="仿宋_GB2312" w:cs="仿宋_GB2312" w:eastAsiaTheme="minorEastAsia"/>
          <w:sz w:val="32"/>
          <w:szCs w:val="32"/>
        </w:rPr>
        <w:t>1571.55</w:t>
      </w:r>
      <w:r>
        <w:rPr>
          <w:rFonts w:hint="eastAsia" w:ascii="仿宋_GB2312" w:hAnsi="仿宋_GB2312" w:eastAsia="仿宋_GB2312" w:cs="仿宋_GB2312"/>
          <w:sz w:val="32"/>
          <w:szCs w:val="32"/>
        </w:rPr>
        <w:t>万元，其中：一般公共预算财政拨款收入</w:t>
      </w:r>
      <w:r>
        <w:rPr>
          <w:rFonts w:hint="eastAsia" w:ascii="仿宋_GB2312" w:hAnsi="仿宋_GB2312" w:cs="仿宋_GB2312" w:eastAsiaTheme="minorEastAsia"/>
          <w:sz w:val="32"/>
          <w:szCs w:val="32"/>
        </w:rPr>
        <w:t>1551.93</w:t>
      </w:r>
      <w:r>
        <w:rPr>
          <w:rFonts w:hint="eastAsia" w:ascii="仿宋_GB2312" w:hAnsi="仿宋_GB2312" w:eastAsia="仿宋_GB2312" w:cs="仿宋_GB2312"/>
          <w:sz w:val="32"/>
          <w:szCs w:val="32"/>
        </w:rPr>
        <w:t>万元，占</w:t>
      </w:r>
      <w:r>
        <w:rPr>
          <w:rFonts w:hint="eastAsia" w:ascii="仿宋_GB2312" w:hAnsi="仿宋_GB2312" w:cs="仿宋_GB2312" w:eastAsiaTheme="minorEastAsia"/>
          <w:sz w:val="32"/>
          <w:szCs w:val="32"/>
        </w:rPr>
        <w:t>98.75</w:t>
      </w:r>
      <w:r>
        <w:rPr>
          <w:rFonts w:hint="eastAsia" w:ascii="仿宋_GB2312" w:hAnsi="仿宋_GB2312" w:eastAsia="仿宋_GB2312" w:cs="仿宋_GB2312"/>
          <w:sz w:val="32"/>
          <w:szCs w:val="32"/>
        </w:rPr>
        <w:t>%；其他收入</w:t>
      </w:r>
      <w:r>
        <w:rPr>
          <w:rFonts w:hint="eastAsia" w:ascii="仿宋_GB2312" w:hAnsi="仿宋_GB2312" w:cs="仿宋_GB2312" w:eastAsiaTheme="minorEastAsia"/>
          <w:sz w:val="32"/>
          <w:szCs w:val="32"/>
        </w:rPr>
        <w:t>19.62</w:t>
      </w:r>
      <w:r>
        <w:rPr>
          <w:rFonts w:hint="eastAsia" w:ascii="仿宋_GB2312" w:hAnsi="仿宋_GB2312" w:eastAsia="仿宋_GB2312" w:cs="仿宋_GB2312"/>
          <w:sz w:val="32"/>
          <w:szCs w:val="32"/>
        </w:rPr>
        <w:t>万元，占</w:t>
      </w:r>
      <w:r>
        <w:rPr>
          <w:rFonts w:hint="eastAsia" w:ascii="仿宋_GB2312" w:hAnsi="仿宋_GB2312" w:cs="仿宋_GB2312" w:eastAsiaTheme="minorEastAsia"/>
          <w:sz w:val="32"/>
          <w:szCs w:val="32"/>
        </w:rPr>
        <w:t>1.25</w:t>
      </w:r>
      <w:r>
        <w:rPr>
          <w:rFonts w:hint="eastAsia" w:ascii="仿宋_GB2312" w:hAnsi="仿宋_GB2312" w:eastAsia="仿宋_GB2312" w:cs="仿宋_GB2312"/>
          <w:sz w:val="32"/>
          <w:szCs w:val="32"/>
        </w:rPr>
        <w:t>%，</w:t>
      </w:r>
      <w:r>
        <w:rPr>
          <w:rFonts w:ascii="仿宋_GB2312" w:hAnsi="仿宋_GB2312" w:cs="仿宋_GB2312" w:eastAsiaTheme="minorEastAsia"/>
          <w:sz w:val="32"/>
          <w:szCs w:val="32"/>
        </w:rPr>
        <w:t>政府性基金预算财政拨款收入0.00万元，占0.00%；国有资本经营预算财政拨款收入0.00万元，占0.00%；上级补助收入0.00万元，占0.00%；事业收入0.00万元，占0.00%%；经营收入0.00万元，占0.00%%；附属单位上缴收入0.00万元，占0.00%</w:t>
      </w:r>
    </w:p>
    <w:p>
      <w:pPr>
        <w:pStyle w:val="15"/>
        <w:widowControl/>
        <w:ind w:left="1060" w:right="75" w:firstLine="320" w:firstLineChars="100"/>
        <w:rPr>
          <w:rFonts w:ascii="仿宋_GB2312" w:hAnsi="仿宋_GB2312" w:eastAsia="仿宋_GB2312" w:cs="仿宋_GB2312"/>
          <w:sz w:val="32"/>
          <w:szCs w:val="32"/>
        </w:rPr>
      </w:pPr>
      <w:r>
        <w:rPr>
          <w:rFonts w:hint="eastAsia" w:ascii="仿宋_GB2312" w:hAnsi="仿宋_GB2312" w:cs="仿宋_GB2312" w:eastAsiaTheme="minorEastAsia"/>
          <w:sz w:val="32"/>
          <w:szCs w:val="32"/>
        </w:rPr>
        <w:t>（</w:t>
      </w:r>
      <w:r>
        <w:rPr>
          <w:rFonts w:hint="eastAsia" w:ascii="仿宋_GB2312" w:hAnsi="仿宋_GB2312" w:eastAsia="仿宋_GB2312" w:cs="仿宋_GB2312"/>
          <w:sz w:val="32"/>
          <w:szCs w:val="32"/>
        </w:rPr>
        <w:t>图2：收入决算结构图）（饼状图）</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drawing>
          <wp:anchor distT="0" distB="0" distL="114300" distR="114300" simplePos="0" relativeHeight="251659264" behindDoc="1" locked="0" layoutInCell="1" allowOverlap="1">
            <wp:simplePos x="0" y="0"/>
            <wp:positionH relativeFrom="column">
              <wp:posOffset>521970</wp:posOffset>
            </wp:positionH>
            <wp:positionV relativeFrom="paragraph">
              <wp:posOffset>513715</wp:posOffset>
            </wp:positionV>
            <wp:extent cx="4563110" cy="2463165"/>
            <wp:effectExtent l="4445" t="4445" r="23495" b="46990"/>
            <wp:wrapTight wrapText="bothSides">
              <wp:wrapPolygon>
                <wp:start x="-21" y="-39"/>
                <wp:lineTo x="-21" y="21511"/>
                <wp:lineTo x="21531" y="21511"/>
                <wp:lineTo x="21531" y="-39"/>
                <wp:lineTo x="-21" y="-39"/>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9"/>
      </w:pPr>
    </w:p>
    <w:p>
      <w:pPr>
        <w:pStyle w:val="27"/>
        <w:numPr>
          <w:ilvl w:val="0"/>
          <w:numId w:val="3"/>
        </w:numPr>
        <w:spacing w:line="600" w:lineRule="exact"/>
        <w:ind w:firstLineChars="0"/>
        <w:outlineLvl w:val="1"/>
        <w:rPr>
          <w:rStyle w:val="21"/>
          <w:rFonts w:ascii="黑体" w:eastAsia="黑体"/>
          <w:b w:val="0"/>
        </w:rPr>
      </w:pPr>
      <w:bookmarkStart w:id="26" w:name="_Toc15396605"/>
      <w:bookmarkStart w:id="27" w:name="_Toc17859"/>
      <w:bookmarkStart w:id="28" w:name="_Toc15377207"/>
      <w:r>
        <w:rPr>
          <w:rFonts w:hint="eastAsia" w:ascii="黑体" w:eastAsia="黑体"/>
          <w:sz w:val="32"/>
          <w:szCs w:val="32"/>
        </w:rPr>
        <w:t>支</w:t>
      </w:r>
      <w:r>
        <w:rPr>
          <w:rStyle w:val="21"/>
          <w:rFonts w:hint="eastAsia" w:ascii="黑体" w:eastAsia="黑体"/>
          <w:b w:val="0"/>
        </w:rPr>
        <w:t>出决算情况说明</w:t>
      </w:r>
      <w:bookmarkEnd w:id="26"/>
      <w:bookmarkEnd w:id="27"/>
      <w:bookmarkEnd w:id="28"/>
    </w:p>
    <w:p>
      <w:pPr>
        <w:pStyle w:val="15"/>
        <w:shd w:val="clear" w:color="auto" w:fill="FFFFFF"/>
        <w:ind w:firstLine="640" w:firstLineChars="200"/>
        <w:rPr>
          <w:rFonts w:hint="eastAsia" w:ascii="仿宋_GB2312" w:hAnsi="仿宋_GB2312" w:cs="仿宋_GB2312" w:eastAsiaTheme="minorEastAsia"/>
          <w:sz w:val="32"/>
          <w:szCs w:val="32"/>
        </w:rPr>
      </w:pPr>
      <w:r>
        <w:rPr>
          <w:rFonts w:ascii="仿宋_GB2312" w:hAnsi="仿宋_GB2312" w:eastAsia="仿宋_GB2312" w:cs="仿宋_GB2312"/>
          <w:sz w:val="32"/>
          <w:szCs w:val="32"/>
        </w:rPr>
        <w:t>2022年本年支出合计1,571.55万元，其中：基本支出1,421.01万元，占90.42%；项目支出150.54万元，占9.58%；上缴上级支出0.00万元，占0.00%；经营支出0.00万元，占经营支出0.00万元，占 0.00%；对附属单位补助支出0.00万元，占0.00%。</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（图3：支出决算结构图）（饼状图）</w:t>
      </w:r>
    </w:p>
    <w:p>
      <w:pPr>
        <w:pStyle w:val="8"/>
        <w:ind w:left="420" w:firstLine="640"/>
        <w:rPr>
          <w:rFonts w:eastAsia="仿宋_GB2312"/>
          <w:sz w:val="32"/>
        </w:rPr>
      </w:pPr>
      <w:r>
        <w:rPr>
          <w:rFonts w:hint="eastAsia" w:eastAsia="仿宋_GB2312"/>
          <w:sz w:val="32"/>
        </w:rPr>
        <w:drawing>
          <wp:anchor distT="0" distB="0" distL="114300" distR="114300" simplePos="0" relativeHeight="251660288" behindDoc="1" locked="0" layoutInCell="1" allowOverlap="1">
            <wp:simplePos x="0" y="0"/>
            <wp:positionH relativeFrom="column">
              <wp:posOffset>147955</wp:posOffset>
            </wp:positionH>
            <wp:positionV relativeFrom="paragraph">
              <wp:posOffset>334645</wp:posOffset>
            </wp:positionV>
            <wp:extent cx="4756150" cy="2473325"/>
            <wp:effectExtent l="4445" t="5080" r="20955" b="17145"/>
            <wp:wrapTight wrapText="bothSides">
              <wp:wrapPolygon>
                <wp:start x="-20" y="-44"/>
                <wp:lineTo x="-20" y="21417"/>
                <wp:lineTo x="21522" y="21417"/>
                <wp:lineTo x="21522" y="-44"/>
                <wp:lineTo x="-20" y="-44"/>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9"/>
      </w:pPr>
    </w:p>
    <w:p>
      <w:pPr>
        <w:spacing w:line="600" w:lineRule="exact"/>
        <w:ind w:firstLine="640" w:firstLineChars="200"/>
        <w:outlineLvl w:val="1"/>
        <w:rPr>
          <w:rStyle w:val="21"/>
          <w:rFonts w:ascii="黑体" w:eastAsia="黑体"/>
          <w:b w:val="0"/>
        </w:rPr>
      </w:pPr>
      <w:bookmarkStart w:id="29" w:name="_Toc15377208"/>
      <w:bookmarkStart w:id="30" w:name="_Toc15396606"/>
      <w:bookmarkStart w:id="31" w:name="_Toc18206"/>
      <w:r>
        <w:rPr>
          <w:rFonts w:hint="eastAsia" w:ascii="黑体" w:eastAsia="黑体"/>
          <w:sz w:val="32"/>
          <w:szCs w:val="32"/>
        </w:rPr>
        <w:t>四、财</w:t>
      </w:r>
      <w:r>
        <w:rPr>
          <w:rStyle w:val="21"/>
          <w:rFonts w:hint="eastAsia" w:ascii="黑体" w:eastAsia="黑体"/>
          <w:b w:val="0"/>
        </w:rPr>
        <w:t>政拨款收入支出决算总体情况说明</w:t>
      </w:r>
      <w:bookmarkEnd w:id="29"/>
      <w:bookmarkEnd w:id="30"/>
      <w:bookmarkEnd w:id="31"/>
    </w:p>
    <w:p>
      <w:pPr>
        <w:pStyle w:val="15"/>
        <w:shd w:val="clear" w:color="auto" w:fill="FFFFFF"/>
        <w:rPr>
          <w:rFonts w:eastAsiaTheme="minorEastAsia"/>
        </w:rPr>
      </w:pPr>
      <w:r>
        <w:rPr>
          <w:rFonts w:hint="eastAsia" w:ascii="仿宋_GB2312" w:hAnsi="仿宋_GB2312" w:eastAsia="仿宋_GB2312" w:cs="仿宋_GB2312"/>
          <w:sz w:val="32"/>
          <w:szCs w:val="32"/>
        </w:rPr>
        <w:t xml:space="preserve"> </w:t>
      </w:r>
      <w:r>
        <w:rPr>
          <w:rFonts w:hint="eastAsia" w:ascii="仿宋_GB2312" w:hAnsi="仿宋_GB2312" w:cs="仿宋_GB2312" w:eastAsiaTheme="minorEastAsia"/>
          <w:sz w:val="32"/>
          <w:szCs w:val="32"/>
        </w:rPr>
        <w:t>　　</w:t>
      </w:r>
      <w:r>
        <w:rPr>
          <w:rFonts w:ascii="仿宋_GB2312" w:hAnsi="仿宋_GB2312" w:eastAsia="仿宋_GB2312" w:cs="仿宋_GB2312"/>
          <w:sz w:val="32"/>
          <w:szCs w:val="32"/>
        </w:rPr>
        <w:t>2022年财政拨款收、支总计1,551.93万元。与2021年相比，财政拨款收、支总计各增加/减少233.80万元，增长17.74%。主要变动原因是</w:t>
      </w:r>
      <w:r>
        <w:rPr>
          <w:rFonts w:hint="eastAsia" w:ascii="仿宋_GB2312" w:hAnsi="仿宋_GB2312" w:cs="仿宋_GB2312" w:eastAsiaTheme="minorEastAsia"/>
          <w:sz w:val="32"/>
          <w:szCs w:val="32"/>
        </w:rPr>
        <w:t>：</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2022年我单位</w:t>
      </w:r>
      <w:r>
        <w:rPr>
          <w:rFonts w:hint="eastAsia" w:ascii="仿宋_GB2312" w:hAnsi="仿宋_GB2312" w:cs="仿宋_GB2312" w:eastAsiaTheme="minorEastAsia"/>
          <w:sz w:val="32"/>
          <w:szCs w:val="32"/>
        </w:rPr>
        <w:t>职工人数增加2个。</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解决</w:t>
      </w:r>
      <w:r>
        <w:rPr>
          <w:rFonts w:hint="eastAsia" w:ascii="仿宋_GB2312" w:hAnsi="仿宋_GB2312" w:cs="仿宋_GB2312" w:eastAsiaTheme="minorEastAsia"/>
          <w:sz w:val="32"/>
          <w:szCs w:val="32"/>
        </w:rPr>
        <w:t>乡镇纪检监察谈话室规范化建设52.08</w:t>
      </w:r>
      <w:r>
        <w:rPr>
          <w:rFonts w:hint="eastAsia" w:ascii="仿宋_GB2312" w:hAnsi="仿宋_GB2312" w:eastAsia="仿宋_GB2312" w:cs="仿宋_GB2312"/>
          <w:sz w:val="32"/>
          <w:szCs w:val="32"/>
        </w:rPr>
        <w:t>万元，2021年无该项支出；</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2022年</w:t>
      </w:r>
      <w:r>
        <w:rPr>
          <w:rFonts w:hint="eastAsia" w:ascii="仿宋_GB2312" w:hAnsi="仿宋_GB2312" w:cs="仿宋_GB2312" w:eastAsiaTheme="minorEastAsia"/>
          <w:sz w:val="32"/>
          <w:szCs w:val="32"/>
        </w:rPr>
        <w:t>档案室规范化建设及办公区域维修维护等支出24.68万元</w:t>
      </w:r>
      <w:r>
        <w:rPr>
          <w:rFonts w:hint="eastAsia" w:ascii="仿宋_GB2312" w:hAnsi="仿宋_GB2312" w:eastAsia="仿宋_GB2312" w:cs="仿宋_GB2312"/>
          <w:sz w:val="32"/>
          <w:szCs w:val="32"/>
        </w:rPr>
        <w:t>，2021年无该项支出；</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2022年我</w:t>
      </w:r>
      <w:r>
        <w:rPr>
          <w:rFonts w:hint="eastAsia" w:ascii="仿宋_GB2312" w:hAnsi="仿宋_GB2312" w:cs="仿宋_GB2312" w:eastAsiaTheme="minorEastAsia"/>
          <w:sz w:val="32"/>
          <w:szCs w:val="32"/>
        </w:rPr>
        <w:t>委发放死亡职工丧葬费、抚恤金41.39万元，2021年无此项目</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五是</w:t>
      </w:r>
      <w:r>
        <w:rPr>
          <w:rFonts w:hint="eastAsia" w:ascii="仿宋_GB2312" w:hAnsi="仿宋_GB2312" w:eastAsia="仿宋_GB2312" w:cs="仿宋_GB2312"/>
          <w:sz w:val="32"/>
          <w:szCs w:val="32"/>
        </w:rPr>
        <w:t>2022年</w:t>
      </w:r>
      <w:r>
        <w:rPr>
          <w:rFonts w:hint="eastAsia" w:ascii="仿宋_GB2312" w:hAnsi="仿宋_GB2312" w:cs="仿宋_GB2312" w:eastAsiaTheme="minorEastAsia"/>
          <w:sz w:val="32"/>
          <w:szCs w:val="32"/>
        </w:rPr>
        <w:t>增加纪检监察干部赴浙江培训培训费30</w:t>
      </w:r>
      <w:r>
        <w:rPr>
          <w:rFonts w:hint="eastAsia" w:ascii="仿宋_GB2312" w:hAnsi="仿宋_GB2312" w:eastAsia="仿宋_GB2312" w:cs="仿宋_GB2312"/>
          <w:sz w:val="32"/>
          <w:szCs w:val="32"/>
        </w:rPr>
        <w:t>万元；</w:t>
      </w:r>
      <w:r>
        <w:rPr>
          <w:rFonts w:hint="eastAsia" w:ascii="仿宋_GB2312" w:hAnsi="仿宋_GB2312" w:eastAsia="仿宋_GB2312" w:cs="仿宋_GB2312"/>
          <w:b/>
          <w:bCs/>
          <w:sz w:val="32"/>
          <w:szCs w:val="32"/>
        </w:rPr>
        <w:t>六是</w:t>
      </w:r>
      <w:r>
        <w:rPr>
          <w:rFonts w:hint="eastAsia" w:ascii="仿宋_GB2312" w:hAnsi="仿宋_GB2312" w:eastAsia="仿宋_GB2312" w:cs="仿宋_GB2312"/>
          <w:sz w:val="32"/>
          <w:szCs w:val="32"/>
        </w:rPr>
        <w:t>每年的工资、保险、公积金的变动。</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（图4：财政拨款收、支决算总计变动情况）（柱状图）</w:t>
      </w:r>
    </w:p>
    <w:p>
      <w:pPr>
        <w:pStyle w:val="8"/>
        <w:ind w:left="420" w:firstLine="640"/>
        <w:rPr>
          <w:rFonts w:hint="eastAsia" w:ascii="仿宋" w:eastAsia="仿宋"/>
          <w:sz w:val="32"/>
        </w:rPr>
      </w:pPr>
    </w:p>
    <w:p>
      <w:pPr>
        <w:pStyle w:val="9"/>
        <w:rPr>
          <w:rFonts w:eastAsia="仿宋"/>
        </w:rPr>
      </w:pPr>
      <w:r>
        <w:rPr>
          <w:rFonts w:hint="eastAsia" w:eastAsia="仿宋"/>
        </w:rPr>
        <w:drawing>
          <wp:inline distT="0" distB="0" distL="114300" distR="114300">
            <wp:extent cx="4979035" cy="3212465"/>
            <wp:effectExtent l="4445" t="4445" r="7620" b="2159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rPr>
          <w:rFonts w:ascii="仿宋" w:eastAsia="仿宋"/>
          <w:b/>
          <w:sz w:val="32"/>
          <w:szCs w:val="32"/>
        </w:rPr>
      </w:pPr>
    </w:p>
    <w:p>
      <w:pPr>
        <w:spacing w:line="600" w:lineRule="exact"/>
        <w:ind w:firstLine="640" w:firstLineChars="200"/>
        <w:outlineLvl w:val="1"/>
        <w:rPr>
          <w:rStyle w:val="21"/>
          <w:rFonts w:ascii="黑体" w:eastAsia="黑体"/>
          <w:b w:val="0"/>
        </w:rPr>
      </w:pPr>
      <w:bookmarkStart w:id="32" w:name="_Toc15396607"/>
      <w:bookmarkStart w:id="33" w:name="_Toc29964"/>
      <w:bookmarkStart w:id="34" w:name="_Toc15377209"/>
      <w:r>
        <w:rPr>
          <w:rFonts w:hint="eastAsia" w:ascii="黑体" w:eastAsia="黑体"/>
          <w:sz w:val="32"/>
          <w:szCs w:val="32"/>
        </w:rPr>
        <w:t>五、</w:t>
      </w:r>
      <w:r>
        <w:rPr>
          <w:rFonts w:hint="eastAsia" w:ascii="黑体" w:eastAsia="黑体"/>
          <w:b/>
          <w:sz w:val="32"/>
          <w:szCs w:val="32"/>
        </w:rPr>
        <w:t>一</w:t>
      </w:r>
      <w:r>
        <w:rPr>
          <w:rStyle w:val="21"/>
          <w:rFonts w:hint="eastAsia" w:ascii="黑体" w:eastAsia="黑体"/>
          <w:b w:val="0"/>
        </w:rPr>
        <w:t>般公共预算财政拨款支出决算情况说明</w:t>
      </w:r>
      <w:bookmarkEnd w:id="32"/>
      <w:bookmarkEnd w:id="33"/>
      <w:bookmarkEnd w:id="34"/>
    </w:p>
    <w:p>
      <w:pPr>
        <w:spacing w:line="600" w:lineRule="exact"/>
        <w:ind w:firstLine="643" w:firstLineChars="200"/>
        <w:outlineLvl w:val="2"/>
        <w:rPr>
          <w:rFonts w:ascii="仿宋" w:eastAsia="仿宋"/>
          <w:b/>
          <w:sz w:val="32"/>
          <w:szCs w:val="32"/>
        </w:rPr>
      </w:pPr>
      <w:bookmarkStart w:id="35" w:name="_Toc15377210"/>
      <w:r>
        <w:rPr>
          <w:rFonts w:hint="eastAsia" w:ascii="仿宋" w:eastAsia="仿宋"/>
          <w:b/>
          <w:sz w:val="32"/>
          <w:szCs w:val="32"/>
        </w:rPr>
        <w:t>（一）一般公共预算财政拨款支出决算总体情况</w:t>
      </w:r>
      <w:bookmarkEnd w:id="35"/>
    </w:p>
    <w:p>
      <w:pPr>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2022年一般公共预算财政拨款支出1,551.93万元，占本年支出合计的98.75%。与2021年相比，一般公共预算财政拨款支出增加233.80万元，增长17.74%。</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2022年我单位</w:t>
      </w:r>
      <w:r>
        <w:rPr>
          <w:rFonts w:hint="eastAsia" w:ascii="仿宋_GB2312" w:hAnsi="仿宋_GB2312" w:cs="仿宋_GB2312" w:eastAsiaTheme="minorEastAsia"/>
          <w:sz w:val="32"/>
          <w:szCs w:val="32"/>
        </w:rPr>
        <w:t>职工人数增加2个。</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解决</w:t>
      </w:r>
      <w:r>
        <w:rPr>
          <w:rFonts w:hint="eastAsia" w:ascii="仿宋_GB2312" w:hAnsi="仿宋_GB2312" w:cs="仿宋_GB2312" w:eastAsiaTheme="minorEastAsia"/>
          <w:sz w:val="32"/>
          <w:szCs w:val="32"/>
        </w:rPr>
        <w:t>乡镇纪检监察谈话室规范化建设52.08</w:t>
      </w:r>
      <w:r>
        <w:rPr>
          <w:rFonts w:hint="eastAsia" w:ascii="仿宋_GB2312" w:hAnsi="仿宋_GB2312" w:eastAsia="仿宋_GB2312" w:cs="仿宋_GB2312"/>
          <w:sz w:val="32"/>
          <w:szCs w:val="32"/>
        </w:rPr>
        <w:t>万元，2021年无该项支出；</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2022年</w:t>
      </w:r>
      <w:r>
        <w:rPr>
          <w:rFonts w:hint="eastAsia" w:ascii="仿宋_GB2312" w:hAnsi="仿宋_GB2312" w:cs="仿宋_GB2312" w:eastAsiaTheme="minorEastAsia"/>
          <w:sz w:val="32"/>
          <w:szCs w:val="32"/>
        </w:rPr>
        <w:t>档案室规范化建设及办公区域维修维护等支出24.68万元</w:t>
      </w:r>
      <w:r>
        <w:rPr>
          <w:rFonts w:hint="eastAsia" w:ascii="仿宋_GB2312" w:hAnsi="仿宋_GB2312" w:eastAsia="仿宋_GB2312" w:cs="仿宋_GB2312"/>
          <w:sz w:val="32"/>
          <w:szCs w:val="32"/>
        </w:rPr>
        <w:t>，2021年无该项支出；</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2022年我</w:t>
      </w:r>
      <w:r>
        <w:rPr>
          <w:rFonts w:hint="eastAsia" w:ascii="仿宋_GB2312" w:hAnsi="仿宋_GB2312" w:cs="仿宋_GB2312" w:eastAsiaTheme="minorEastAsia"/>
          <w:sz w:val="32"/>
          <w:szCs w:val="32"/>
        </w:rPr>
        <w:t>委发放死亡职工丧葬费、抚恤金41.39万元，2021年无此项目</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五是</w:t>
      </w:r>
      <w:r>
        <w:rPr>
          <w:rFonts w:hint="eastAsia" w:ascii="仿宋_GB2312" w:hAnsi="仿宋_GB2312" w:eastAsia="仿宋_GB2312" w:cs="仿宋_GB2312"/>
          <w:sz w:val="32"/>
          <w:szCs w:val="32"/>
        </w:rPr>
        <w:t>2022年</w:t>
      </w:r>
      <w:r>
        <w:rPr>
          <w:rFonts w:hint="eastAsia" w:ascii="仿宋_GB2312" w:hAnsi="仿宋_GB2312" w:cs="仿宋_GB2312" w:eastAsiaTheme="minorEastAsia"/>
          <w:sz w:val="32"/>
          <w:szCs w:val="32"/>
        </w:rPr>
        <w:t>增加纪检监察干部赴浙江培训培训费30</w:t>
      </w:r>
      <w:r>
        <w:rPr>
          <w:rFonts w:hint="eastAsia" w:ascii="仿宋_GB2312" w:hAnsi="仿宋_GB2312" w:eastAsia="仿宋_GB2312" w:cs="仿宋_GB2312"/>
          <w:sz w:val="32"/>
          <w:szCs w:val="32"/>
        </w:rPr>
        <w:t>万元；</w:t>
      </w:r>
      <w:r>
        <w:rPr>
          <w:rFonts w:hint="eastAsia" w:ascii="仿宋_GB2312" w:hAnsi="仿宋_GB2312" w:eastAsia="仿宋_GB2312" w:cs="仿宋_GB2312"/>
          <w:b/>
          <w:bCs/>
          <w:sz w:val="32"/>
          <w:szCs w:val="32"/>
        </w:rPr>
        <w:t>六是</w:t>
      </w:r>
      <w:r>
        <w:rPr>
          <w:rFonts w:hint="eastAsia" w:ascii="仿宋_GB2312" w:hAnsi="仿宋_GB2312" w:eastAsia="仿宋_GB2312" w:cs="仿宋_GB2312"/>
          <w:sz w:val="32"/>
          <w:szCs w:val="32"/>
        </w:rPr>
        <w:t>每年的工资、保险、公积金的变动。</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（图5：一般公共预算财政拨款支出决算变动情况）（柱状图）</w:t>
      </w:r>
    </w:p>
    <w:p>
      <w:pPr>
        <w:pStyle w:val="8"/>
        <w:ind w:left="420" w:firstLine="420"/>
        <w:rPr>
          <w:rFonts w:hint="eastAsia" w:ascii="仿宋" w:eastAsia="仿宋"/>
          <w:sz w:val="32"/>
        </w:rPr>
      </w:pPr>
      <w:r>
        <w:rPr>
          <w:rFonts w:hint="eastAsia" w:eastAsia="仿宋"/>
        </w:rPr>
        <w:drawing>
          <wp:inline distT="0" distB="0" distL="114300" distR="114300">
            <wp:extent cx="4685665" cy="2878455"/>
            <wp:effectExtent l="4445" t="4445" r="15240" b="1270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rPr>
          <w:rFonts w:ascii="仿宋" w:eastAsia="仿宋"/>
          <w:sz w:val="32"/>
          <w:szCs w:val="32"/>
        </w:rPr>
      </w:pPr>
    </w:p>
    <w:p>
      <w:pPr>
        <w:spacing w:line="600" w:lineRule="exact"/>
        <w:ind w:firstLine="643" w:firstLineChars="200"/>
        <w:outlineLvl w:val="2"/>
        <w:rPr>
          <w:rFonts w:ascii="仿宋" w:eastAsia="仿宋"/>
          <w:b/>
          <w:sz w:val="32"/>
          <w:szCs w:val="32"/>
        </w:rPr>
      </w:pPr>
      <w:bookmarkStart w:id="36" w:name="_Toc15377211"/>
      <w:r>
        <w:rPr>
          <w:rFonts w:hint="eastAsia" w:ascii="仿宋" w:eastAsia="仿宋"/>
          <w:b/>
          <w:sz w:val="32"/>
          <w:szCs w:val="32"/>
        </w:rPr>
        <w:t>（二）一般公共预算财政拨款支出决算结构情况</w:t>
      </w:r>
      <w:bookmarkEnd w:id="36"/>
    </w:p>
    <w:p>
      <w:pPr>
        <w:spacing w:line="600" w:lineRule="exact"/>
        <w:ind w:firstLine="640"/>
        <w:rPr>
          <w:rFonts w:hint="eastAsia" w:ascii="仿宋_GB2312" w:hAnsi="仿宋_GB2312" w:cs="仿宋_GB2312" w:eastAsiaTheme="minorEastAsia"/>
          <w:sz w:val="32"/>
          <w:szCs w:val="32"/>
        </w:rPr>
      </w:pPr>
      <w:r>
        <w:rPr>
          <w:rFonts w:ascii="仿宋_GB2312" w:hAnsi="仿宋_GB2312" w:eastAsia="仿宋_GB2312" w:cs="仿宋_GB2312"/>
          <w:sz w:val="32"/>
          <w:szCs w:val="32"/>
        </w:rPr>
        <w:t>2022年一般公共预算财政拨款支出1,551.93万元，主要用于以下方面:</w:t>
      </w:r>
      <w:r>
        <w:rPr>
          <w:rFonts w:ascii="仿宋_GB2312" w:hAnsi="仿宋_GB2312" w:eastAsia="仿宋_GB2312" w:cs="仿宋_GB2312"/>
          <w:b/>
          <w:sz w:val="32"/>
          <w:szCs w:val="32"/>
        </w:rPr>
        <w:t>一般公共服务（类）</w:t>
      </w:r>
      <w:r>
        <w:rPr>
          <w:rFonts w:ascii="仿宋_GB2312" w:hAnsi="仿宋_GB2312" w:eastAsia="仿宋_GB2312" w:cs="仿宋_GB2312"/>
          <w:sz w:val="32"/>
          <w:szCs w:val="32"/>
        </w:rPr>
        <w:t>支出1,246.21万元，占80.30%；</w:t>
      </w:r>
      <w:r>
        <w:rPr>
          <w:rFonts w:ascii="仿宋_GB2312" w:hAnsi="仿宋_GB2312" w:eastAsia="仿宋_GB2312" w:cs="仿宋_GB2312"/>
          <w:b/>
          <w:sz w:val="32"/>
          <w:szCs w:val="32"/>
        </w:rPr>
        <w:t>教育支出（类）</w:t>
      </w:r>
      <w:r>
        <w:rPr>
          <w:rFonts w:ascii="仿宋_GB2312" w:hAnsi="仿宋_GB2312" w:eastAsia="仿宋_GB2312" w:cs="仿宋_GB2312"/>
          <w:sz w:val="32"/>
          <w:szCs w:val="32"/>
        </w:rPr>
        <w:t>0.00万元，占0.00%；</w:t>
      </w:r>
      <w:r>
        <w:rPr>
          <w:rFonts w:ascii="仿宋_GB2312" w:hAnsi="仿宋_GB2312" w:eastAsia="仿宋_GB2312" w:cs="仿宋_GB2312"/>
          <w:b/>
          <w:sz w:val="32"/>
          <w:szCs w:val="32"/>
        </w:rPr>
        <w:t>科学技术（类）</w:t>
      </w:r>
      <w:r>
        <w:rPr>
          <w:rFonts w:ascii="仿宋_GB2312" w:hAnsi="仿宋_GB2312" w:eastAsia="仿宋_GB2312" w:cs="仿宋_GB2312"/>
          <w:sz w:val="32"/>
          <w:szCs w:val="32"/>
        </w:rPr>
        <w:t>支出0.00万元，占0.00%；</w:t>
      </w:r>
      <w:r>
        <w:rPr>
          <w:rFonts w:ascii="仿宋_GB2312" w:hAnsi="仿宋_GB2312" w:eastAsia="仿宋_GB2312" w:cs="仿宋_GB2312"/>
          <w:b/>
          <w:sz w:val="32"/>
          <w:szCs w:val="32"/>
        </w:rPr>
        <w:t>文化旅游体育与传媒（类）支出0.00万元，占0.00%；社会保障和就业（类）</w:t>
      </w:r>
      <w:r>
        <w:rPr>
          <w:rFonts w:ascii="仿宋_GB2312" w:hAnsi="仿宋_GB2312" w:eastAsia="仿宋_GB2312" w:cs="仿宋_GB2312"/>
          <w:sz w:val="32"/>
          <w:szCs w:val="32"/>
        </w:rPr>
        <w:t>支出151.39万元，占9.75%；</w:t>
      </w:r>
      <w:r>
        <w:rPr>
          <w:rFonts w:ascii="仿宋_GB2312" w:hAnsi="仿宋_GB2312" w:eastAsia="仿宋_GB2312" w:cs="仿宋_GB2312"/>
          <w:b/>
          <w:sz w:val="32"/>
          <w:szCs w:val="32"/>
        </w:rPr>
        <w:t>卫生健康支出</w:t>
      </w:r>
      <w:r>
        <w:rPr>
          <w:rFonts w:ascii="仿宋_GB2312" w:hAnsi="仿宋_GB2312" w:eastAsia="仿宋_GB2312" w:cs="仿宋_GB2312"/>
          <w:sz w:val="32"/>
          <w:szCs w:val="32"/>
        </w:rPr>
        <w:t>68.41万元，占4.41%；</w:t>
      </w:r>
      <w:r>
        <w:rPr>
          <w:rFonts w:ascii="仿宋_GB2312" w:hAnsi="仿宋_GB2312" w:eastAsia="仿宋_GB2312" w:cs="仿宋_GB2312"/>
          <w:b/>
          <w:sz w:val="32"/>
          <w:szCs w:val="32"/>
        </w:rPr>
        <w:t>住房保障</w:t>
      </w:r>
      <w:r>
        <w:rPr>
          <w:rFonts w:ascii="仿宋_GB2312" w:hAnsi="仿宋_GB2312" w:eastAsia="仿宋_GB2312" w:cs="仿宋_GB2312"/>
          <w:sz w:val="32"/>
          <w:szCs w:val="32"/>
        </w:rPr>
        <w:t>支出85.92万元，占5.54%</w:t>
      </w:r>
      <w:r>
        <w:rPr>
          <w:rFonts w:hint="eastAsia" w:ascii="仿宋_GB2312" w:hAnsi="仿宋_GB2312" w:eastAsia="仿宋_GB2312" w:cs="仿宋_GB2312"/>
          <w:sz w:val="32"/>
          <w:szCs w:val="32"/>
        </w:rPr>
        <w:t>。</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（图6：一般公共预算财政拨款支出决算结构）（饼状图）</w:t>
      </w:r>
    </w:p>
    <w:p>
      <w:pPr>
        <w:pStyle w:val="9"/>
      </w:pPr>
    </w:p>
    <w:p>
      <w:pPr>
        <w:pStyle w:val="9"/>
      </w:pPr>
      <w:r>
        <w:rPr>
          <w:rFonts w:hint="eastAsia" w:ascii="仿宋" w:eastAsia="仿宋"/>
          <w:sz w:val="32"/>
          <w:szCs w:val="32"/>
        </w:rPr>
        <w:drawing>
          <wp:anchor distT="0" distB="0" distL="114300" distR="114300" simplePos="0" relativeHeight="251661312" behindDoc="1" locked="0" layoutInCell="1" allowOverlap="1">
            <wp:simplePos x="0" y="0"/>
            <wp:positionH relativeFrom="column">
              <wp:posOffset>298450</wp:posOffset>
            </wp:positionH>
            <wp:positionV relativeFrom="paragraph">
              <wp:posOffset>128270</wp:posOffset>
            </wp:positionV>
            <wp:extent cx="4858385" cy="2411730"/>
            <wp:effectExtent l="4445" t="5080" r="13970" b="21590"/>
            <wp:wrapTight wrapText="bothSides">
              <wp:wrapPolygon>
                <wp:start x="-20" y="-45"/>
                <wp:lineTo x="-20" y="21452"/>
                <wp:lineTo x="21577" y="21452"/>
                <wp:lineTo x="21577" y="-45"/>
                <wp:lineTo x="-20" y="-45"/>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9"/>
      </w:pPr>
    </w:p>
    <w:p>
      <w:pPr>
        <w:pStyle w:val="9"/>
      </w:pPr>
    </w:p>
    <w:p>
      <w:pPr>
        <w:spacing w:line="600" w:lineRule="exact"/>
        <w:rPr>
          <w:rFonts w:ascii="仿宋" w:eastAsia="仿宋"/>
          <w:b/>
          <w:sz w:val="32"/>
          <w:szCs w:val="32"/>
        </w:rPr>
      </w:pPr>
      <w:bookmarkStart w:id="37" w:name="_Toc15377212"/>
    </w:p>
    <w:p>
      <w:pPr>
        <w:pStyle w:val="8"/>
        <w:ind w:left="420" w:firstLine="420"/>
        <w:rPr>
          <w:rFonts w:hint="eastAsia"/>
        </w:rPr>
      </w:pPr>
    </w:p>
    <w:p>
      <w:pPr>
        <w:spacing w:line="600" w:lineRule="exact"/>
        <w:ind w:firstLine="643" w:firstLineChars="200"/>
        <w:outlineLvl w:val="2"/>
        <w:rPr>
          <w:rFonts w:ascii="仿宋" w:eastAsia="仿宋"/>
          <w:b/>
          <w:sz w:val="32"/>
          <w:szCs w:val="32"/>
        </w:rPr>
      </w:pPr>
      <w:r>
        <w:rPr>
          <w:rFonts w:hint="eastAsia" w:ascii="仿宋" w:eastAsia="仿宋"/>
          <w:b/>
          <w:sz w:val="32"/>
          <w:szCs w:val="32"/>
        </w:rPr>
        <w:t>（三）一般公共预算财政拨款支出决算具体情况</w:t>
      </w:r>
      <w:bookmarkEnd w:id="37"/>
    </w:p>
    <w:p>
      <w:pPr>
        <w:spacing w:line="600" w:lineRule="exact"/>
        <w:ind w:firstLine="643" w:firstLineChars="200"/>
        <w:outlineLvl w:val="2"/>
        <w:rPr>
          <w:rFonts w:ascii="仿宋_GB2312" w:hAnsi="仿宋_GB2312" w:eastAsia="仿宋_GB2312" w:cs="仿宋_GB2312"/>
          <w:sz w:val="32"/>
          <w:szCs w:val="32"/>
        </w:rPr>
      </w:pPr>
      <w:bookmarkStart w:id="38" w:name="_Toc15377444"/>
      <w:bookmarkStart w:id="39" w:name="_Toc15378460"/>
      <w:bookmarkStart w:id="40" w:name="_Toc15377213"/>
      <w:r>
        <w:rPr>
          <w:rFonts w:hint="eastAsia" w:ascii="仿宋_GB2312" w:hAnsi="仿宋_GB2312" w:eastAsia="仿宋_GB2312" w:cs="仿宋_GB2312"/>
          <w:b/>
          <w:sz w:val="32"/>
          <w:szCs w:val="32"/>
        </w:rPr>
        <w:t>2022年一般公共预算支出决算数为</w:t>
      </w:r>
      <w:r>
        <w:rPr>
          <w:rFonts w:hint="eastAsia" w:ascii="仿宋_GB2312" w:hAnsi="仿宋_GB2312" w:cs="仿宋_GB2312" w:eastAsiaTheme="minorEastAsia"/>
          <w:b/>
          <w:sz w:val="32"/>
          <w:szCs w:val="32"/>
        </w:rPr>
        <w:t>1551.93</w:t>
      </w:r>
      <w:r>
        <w:rPr>
          <w:rFonts w:hint="eastAsia" w:ascii="仿宋_GB2312" w:hAnsi="仿宋_GB2312" w:eastAsia="仿宋_GB2312" w:cs="仿宋_GB2312"/>
          <w:sz w:val="32"/>
          <w:szCs w:val="32"/>
        </w:rPr>
        <w:t>，</w:t>
      </w:r>
      <w:r>
        <w:rPr>
          <w:rStyle w:val="18"/>
          <w:rFonts w:hint="eastAsia" w:ascii="仿宋_GB2312" w:hAnsi="仿宋_GB2312" w:eastAsia="仿宋_GB2312" w:cs="仿宋_GB2312"/>
          <w:bCs/>
          <w:sz w:val="32"/>
          <w:szCs w:val="32"/>
        </w:rPr>
        <w:t>完成预算100%。其中：</w:t>
      </w:r>
      <w:bookmarkEnd w:id="38"/>
      <w:bookmarkEnd w:id="39"/>
      <w:bookmarkEnd w:id="40"/>
    </w:p>
    <w:p>
      <w:pPr>
        <w:numPr>
          <w:ilvl w:val="0"/>
          <w:numId w:val="4"/>
        </w:numPr>
        <w:spacing w:line="600" w:lineRule="exact"/>
        <w:ind w:firstLine="643" w:firstLineChars="200"/>
        <w:rPr>
          <w:rStyle w:val="18"/>
          <w:rFonts w:ascii="仿宋_GB2312" w:hAnsi="仿宋_GB2312" w:eastAsia="仿宋_GB2312" w:cs="仿宋_GB2312"/>
          <w:color w:val="000000"/>
          <w:sz w:val="32"/>
          <w:szCs w:val="32"/>
        </w:rPr>
      </w:pPr>
      <w:r>
        <w:rPr>
          <w:rStyle w:val="18"/>
          <w:rFonts w:hint="eastAsia" w:ascii="仿宋_GB2312" w:hAnsi="仿宋_GB2312" w:eastAsia="仿宋_GB2312" w:cs="仿宋_GB2312"/>
          <w:bCs/>
          <w:sz w:val="32"/>
          <w:szCs w:val="32"/>
        </w:rPr>
        <w:t>一般公共服务支出:</w:t>
      </w:r>
      <w:r>
        <w:rPr>
          <w:rStyle w:val="18"/>
          <w:rFonts w:hint="eastAsia" w:ascii="仿宋_GB2312" w:hAnsi="仿宋_GB2312" w:cs="仿宋_GB2312" w:eastAsiaTheme="minorEastAsia"/>
          <w:b w:val="0"/>
          <w:bCs/>
          <w:sz w:val="32"/>
          <w:szCs w:val="32"/>
        </w:rPr>
        <w:t>2011101</w:t>
      </w:r>
      <w:r>
        <w:rPr>
          <w:rStyle w:val="18"/>
          <w:rFonts w:hint="eastAsia" w:ascii="仿宋_GB2312" w:hAnsi="仿宋_GB2312" w:eastAsia="仿宋_GB2312" w:cs="仿宋_GB2312"/>
          <w:b w:val="0"/>
          <w:bCs/>
          <w:sz w:val="32"/>
          <w:szCs w:val="32"/>
        </w:rPr>
        <w:t>-行政运行支出决算为</w:t>
      </w:r>
      <w:r>
        <w:rPr>
          <w:rStyle w:val="18"/>
          <w:rFonts w:hint="eastAsia" w:ascii="仿宋_GB2312" w:hAnsi="仿宋_GB2312" w:cs="仿宋_GB2312" w:eastAsiaTheme="minorEastAsia"/>
          <w:b w:val="0"/>
          <w:bCs/>
          <w:sz w:val="32"/>
          <w:szCs w:val="32"/>
        </w:rPr>
        <w:t>1246.21</w:t>
      </w:r>
      <w:r>
        <w:rPr>
          <w:rStyle w:val="18"/>
          <w:rFonts w:hint="eastAsia" w:ascii="仿宋_GB2312" w:hAnsi="仿宋_GB2312" w:eastAsia="仿宋_GB2312" w:cs="仿宋_GB2312"/>
          <w:b w:val="0"/>
          <w:bCs/>
          <w:sz w:val="32"/>
          <w:szCs w:val="32"/>
        </w:rPr>
        <w:t>万元，完成预算100%，主要用于开支日常公用经费及人员经费；201</w:t>
      </w:r>
      <w:r>
        <w:rPr>
          <w:rStyle w:val="18"/>
          <w:rFonts w:hint="eastAsia" w:ascii="仿宋_GB2312" w:hAnsi="仿宋_GB2312" w:cs="仿宋_GB2312" w:eastAsiaTheme="minorEastAsia"/>
          <w:b w:val="0"/>
          <w:bCs/>
          <w:sz w:val="32"/>
          <w:szCs w:val="32"/>
        </w:rPr>
        <w:t>1</w:t>
      </w:r>
      <w:r>
        <w:rPr>
          <w:rStyle w:val="18"/>
          <w:rFonts w:hint="eastAsia" w:ascii="仿宋_GB2312" w:hAnsi="仿宋_GB2312" w:eastAsia="仿宋_GB2312" w:cs="仿宋_GB2312"/>
          <w:b w:val="0"/>
          <w:bCs/>
          <w:sz w:val="32"/>
          <w:szCs w:val="32"/>
        </w:rPr>
        <w:t>102-一般行政管理事务支出决算为</w:t>
      </w:r>
      <w:r>
        <w:rPr>
          <w:rStyle w:val="18"/>
          <w:rFonts w:hint="eastAsia" w:ascii="仿宋_GB2312" w:hAnsi="仿宋_GB2312" w:cs="仿宋_GB2312" w:eastAsiaTheme="minorEastAsia"/>
          <w:b w:val="0"/>
          <w:bCs/>
          <w:sz w:val="32"/>
          <w:szCs w:val="32"/>
        </w:rPr>
        <w:t>1065.34</w:t>
      </w:r>
      <w:r>
        <w:rPr>
          <w:rStyle w:val="18"/>
          <w:rFonts w:hint="eastAsia" w:ascii="仿宋_GB2312" w:hAnsi="仿宋_GB2312" w:eastAsia="仿宋_GB2312" w:cs="仿宋_GB2312"/>
          <w:b w:val="0"/>
          <w:bCs/>
          <w:sz w:val="32"/>
          <w:szCs w:val="32"/>
        </w:rPr>
        <w:t>万元，完成预算100%，主要用于专项公用经费；2</w:t>
      </w:r>
      <w:r>
        <w:rPr>
          <w:rStyle w:val="18"/>
          <w:rFonts w:hint="eastAsia" w:ascii="仿宋_GB2312" w:hAnsi="仿宋_GB2312" w:cs="仿宋_GB2312" w:eastAsiaTheme="minorEastAsia"/>
          <w:b w:val="0"/>
          <w:bCs/>
          <w:sz w:val="32"/>
          <w:szCs w:val="32"/>
        </w:rPr>
        <w:t>011199</w:t>
      </w:r>
      <w:r>
        <w:rPr>
          <w:rStyle w:val="18"/>
          <w:rFonts w:hint="eastAsia" w:ascii="仿宋_GB2312" w:hAnsi="仿宋_GB2312" w:eastAsia="仿宋_GB2312" w:cs="仿宋_GB2312"/>
          <w:b w:val="0"/>
          <w:bCs/>
          <w:sz w:val="32"/>
          <w:szCs w:val="32"/>
        </w:rPr>
        <w:tab/>
      </w:r>
      <w:r>
        <w:rPr>
          <w:rStyle w:val="18"/>
          <w:rFonts w:hint="eastAsia" w:ascii="仿宋_GB2312" w:hAnsi="仿宋_GB2312" w:eastAsia="仿宋_GB2312" w:cs="仿宋_GB2312"/>
          <w:b w:val="0"/>
          <w:bCs/>
          <w:sz w:val="32"/>
          <w:szCs w:val="32"/>
        </w:rPr>
        <w:t>-</w:t>
      </w:r>
      <w:r>
        <w:rPr>
          <w:rStyle w:val="18"/>
          <w:rFonts w:hint="eastAsia" w:ascii="仿宋_GB2312" w:hAnsi="仿宋_GB2312" w:cs="仿宋_GB2312" w:eastAsiaTheme="minorEastAsia"/>
          <w:b w:val="0"/>
          <w:bCs/>
          <w:sz w:val="32"/>
          <w:szCs w:val="32"/>
        </w:rPr>
        <w:t>纪检监察事务支出108.19</w:t>
      </w:r>
      <w:r>
        <w:rPr>
          <w:rStyle w:val="18"/>
          <w:rFonts w:hint="eastAsia" w:ascii="仿宋_GB2312" w:hAnsi="仿宋_GB2312" w:eastAsia="仿宋_GB2312" w:cs="仿宋_GB2312"/>
          <w:b w:val="0"/>
          <w:bCs/>
          <w:sz w:val="32"/>
          <w:szCs w:val="32"/>
        </w:rPr>
        <w:t>，完成预算100%，主要用于</w:t>
      </w:r>
      <w:r>
        <w:rPr>
          <w:rStyle w:val="18"/>
          <w:rFonts w:hint="eastAsia" w:ascii="仿宋_GB2312" w:hAnsi="仿宋_GB2312" w:cs="仿宋_GB2312" w:eastAsiaTheme="minorEastAsia"/>
          <w:b w:val="0"/>
          <w:bCs/>
          <w:sz w:val="32"/>
          <w:szCs w:val="32"/>
        </w:rPr>
        <w:t>纪检监察执纪、督查</w:t>
      </w:r>
      <w:r>
        <w:rPr>
          <w:rStyle w:val="18"/>
          <w:rFonts w:hint="eastAsia" w:ascii="仿宋_GB2312" w:hAnsi="仿宋_GB2312" w:eastAsia="仿宋_GB2312" w:cs="仿宋_GB2312"/>
          <w:b w:val="0"/>
          <w:bCs/>
          <w:sz w:val="32"/>
          <w:szCs w:val="32"/>
        </w:rPr>
        <w:t>等</w:t>
      </w:r>
      <w:r>
        <w:rPr>
          <w:rStyle w:val="18"/>
          <w:rFonts w:hint="eastAsia" w:ascii="仿宋_GB2312" w:hAnsi="仿宋_GB2312" w:cs="仿宋_GB2312" w:eastAsiaTheme="minorEastAsia"/>
          <w:b w:val="0"/>
          <w:bCs/>
          <w:sz w:val="32"/>
          <w:szCs w:val="32"/>
        </w:rPr>
        <w:t>工作经费</w:t>
      </w:r>
      <w:r>
        <w:rPr>
          <w:rStyle w:val="18"/>
          <w:rFonts w:hint="eastAsia" w:ascii="仿宋_GB2312" w:hAnsi="仿宋_GB2312" w:eastAsia="仿宋_GB2312" w:cs="仿宋_GB2312"/>
          <w:b w:val="0"/>
          <w:bCs/>
          <w:sz w:val="32"/>
          <w:szCs w:val="32"/>
        </w:rPr>
        <w:t>；</w:t>
      </w:r>
      <w:r>
        <w:rPr>
          <w:rStyle w:val="18"/>
          <w:rFonts w:hint="eastAsia" w:ascii="仿宋_GB2312" w:hAnsi="仿宋_GB2312" w:cs="仿宋_GB2312" w:eastAsiaTheme="minorEastAsia"/>
          <w:b w:val="0"/>
          <w:bCs/>
          <w:sz w:val="32"/>
          <w:szCs w:val="32"/>
        </w:rPr>
        <w:t>2011150</w:t>
      </w:r>
      <w:r>
        <w:rPr>
          <w:rStyle w:val="18"/>
          <w:rFonts w:hint="eastAsia" w:ascii="仿宋_GB2312" w:hAnsi="仿宋_GB2312" w:eastAsia="仿宋_GB2312" w:cs="仿宋_GB2312"/>
          <w:b w:val="0"/>
          <w:bCs/>
          <w:sz w:val="32"/>
          <w:szCs w:val="32"/>
        </w:rPr>
        <w:t>-</w:t>
      </w:r>
      <w:r>
        <w:rPr>
          <w:rStyle w:val="18"/>
          <w:rFonts w:hint="eastAsia" w:ascii="仿宋_GB2312" w:hAnsi="仿宋_GB2312" w:cs="仿宋_GB2312" w:eastAsiaTheme="minorEastAsia"/>
          <w:b w:val="0"/>
          <w:bCs/>
          <w:sz w:val="32"/>
          <w:szCs w:val="32"/>
        </w:rPr>
        <w:t>事业运行支出</w:t>
      </w:r>
      <w:r>
        <w:rPr>
          <w:rStyle w:val="18"/>
          <w:rFonts w:hint="eastAsia" w:ascii="仿宋_GB2312" w:hAnsi="仿宋_GB2312" w:eastAsia="仿宋_GB2312" w:cs="仿宋_GB2312"/>
          <w:b w:val="0"/>
          <w:bCs/>
          <w:sz w:val="32"/>
          <w:szCs w:val="32"/>
        </w:rPr>
        <w:t>为</w:t>
      </w:r>
      <w:r>
        <w:rPr>
          <w:rStyle w:val="18"/>
          <w:rFonts w:hint="eastAsia" w:ascii="仿宋_GB2312" w:hAnsi="仿宋_GB2312" w:cs="仿宋_GB2312" w:eastAsiaTheme="minorEastAsia"/>
          <w:b w:val="0"/>
          <w:bCs/>
          <w:sz w:val="32"/>
          <w:szCs w:val="32"/>
        </w:rPr>
        <w:t>49.95</w:t>
      </w:r>
      <w:r>
        <w:rPr>
          <w:rStyle w:val="18"/>
          <w:rFonts w:hint="eastAsia" w:ascii="仿宋_GB2312" w:hAnsi="仿宋_GB2312" w:eastAsia="仿宋_GB2312" w:cs="仿宋_GB2312"/>
          <w:b w:val="0"/>
          <w:bCs/>
          <w:sz w:val="32"/>
          <w:szCs w:val="32"/>
        </w:rPr>
        <w:t>万元，完成预算100%，主要用于</w:t>
      </w:r>
      <w:r>
        <w:rPr>
          <w:rFonts w:eastAsia="仿宋_GB2312"/>
          <w:sz w:val="32"/>
          <w:szCs w:val="32"/>
        </w:rPr>
        <w:t>主要用于事业人员的工资、奖金、其他社会保障、体检费、日常公用经费等支出</w:t>
      </w:r>
      <w:r>
        <w:rPr>
          <w:rStyle w:val="18"/>
          <w:rFonts w:hint="eastAsia" w:ascii="仿宋_GB2312" w:hAnsi="仿宋_GB2312" w:cs="仿宋_GB2312" w:eastAsiaTheme="minorEastAsia"/>
          <w:b w:val="0"/>
          <w:bCs/>
          <w:sz w:val="32"/>
          <w:szCs w:val="32"/>
        </w:rPr>
        <w:t>。　　　</w:t>
      </w:r>
      <w:r>
        <w:rPr>
          <w:rStyle w:val="18"/>
          <w:rFonts w:hint="eastAsia" w:ascii="仿宋_GB2312" w:hAnsi="仿宋_GB2312" w:eastAsia="仿宋_GB2312" w:cs="仿宋_GB2312"/>
          <w:bCs/>
          <w:sz w:val="32"/>
          <w:szCs w:val="32"/>
        </w:rPr>
        <w:t xml:space="preserve"> </w:t>
      </w:r>
      <w:r>
        <w:rPr>
          <w:rStyle w:val="18"/>
          <w:rFonts w:hint="eastAsia" w:ascii="仿宋_GB2312" w:hAnsi="仿宋_GB2312" w:cs="仿宋_GB2312" w:eastAsiaTheme="minorEastAsia"/>
          <w:bCs/>
          <w:sz w:val="32"/>
          <w:szCs w:val="32"/>
        </w:rPr>
        <w:t>　　　　　　</w:t>
      </w:r>
    </w:p>
    <w:p>
      <w:pPr>
        <w:spacing w:line="600" w:lineRule="exact"/>
        <w:ind w:firstLine="643" w:firstLineChars="200"/>
        <w:rPr>
          <w:rFonts w:ascii="仿宋_GB2312" w:hAnsi="仿宋_GB2312" w:eastAsia="仿宋_GB2312" w:cs="仿宋_GB2312"/>
          <w:b/>
          <w:color w:val="000000"/>
          <w:sz w:val="32"/>
          <w:szCs w:val="32"/>
        </w:rPr>
      </w:pPr>
      <w:r>
        <w:rPr>
          <w:rStyle w:val="18"/>
          <w:rFonts w:hint="eastAsia" w:ascii="仿宋_GB2312" w:hAnsi="仿宋_GB2312" w:eastAsia="仿宋_GB2312" w:cs="仿宋_GB2312"/>
          <w:bCs/>
          <w:sz w:val="32"/>
          <w:szCs w:val="32"/>
        </w:rPr>
        <w:t>2.社会保障和就业支出</w:t>
      </w:r>
      <w:r>
        <w:rPr>
          <w:rStyle w:val="18"/>
          <w:rFonts w:hint="eastAsia" w:ascii="仿宋_GB2312" w:hAnsi="仿宋_GB2312" w:eastAsia="仿宋_GB2312" w:cs="仿宋_GB2312"/>
          <w:b w:val="0"/>
          <w:bCs/>
          <w:sz w:val="32"/>
          <w:szCs w:val="32"/>
        </w:rPr>
        <w:t>:</w:t>
      </w:r>
      <w:r>
        <w:rPr>
          <w:rStyle w:val="18"/>
          <w:rFonts w:hint="eastAsia" w:ascii="仿宋_GB2312" w:hAnsi="仿宋_GB2312" w:eastAsia="仿宋_GB2312" w:cs="仿宋_GB2312"/>
          <w:b w:val="0"/>
          <w:bCs/>
          <w:color w:val="000000"/>
          <w:sz w:val="32"/>
          <w:szCs w:val="32"/>
        </w:rPr>
        <w:t xml:space="preserve"> 2080505-机关事业单位基本养老保险缴费支出决算为</w:t>
      </w:r>
      <w:r>
        <w:rPr>
          <w:rStyle w:val="18"/>
          <w:rFonts w:hint="eastAsia" w:ascii="仿宋_GB2312" w:hAnsi="仿宋_GB2312" w:cs="仿宋_GB2312" w:eastAsiaTheme="minorEastAsia"/>
          <w:b w:val="0"/>
          <w:bCs/>
          <w:color w:val="000000"/>
          <w:sz w:val="32"/>
          <w:szCs w:val="32"/>
        </w:rPr>
        <w:t>100.93</w:t>
      </w:r>
      <w:r>
        <w:rPr>
          <w:rStyle w:val="18"/>
          <w:rFonts w:hint="eastAsia" w:ascii="仿宋_GB2312" w:hAnsi="仿宋_GB2312" w:eastAsia="仿宋_GB2312" w:cs="仿宋_GB2312"/>
          <w:b w:val="0"/>
          <w:bCs/>
          <w:color w:val="000000"/>
          <w:sz w:val="32"/>
          <w:szCs w:val="32"/>
        </w:rPr>
        <w:t>万元，完成预算100%，全部用于职工缴纳养老保险单位部分；2080506-机关事业单位职业年金缴费支出决算为</w:t>
      </w:r>
      <w:r>
        <w:rPr>
          <w:rStyle w:val="18"/>
          <w:rFonts w:hint="eastAsia" w:ascii="仿宋_GB2312" w:hAnsi="仿宋_GB2312" w:cs="仿宋_GB2312" w:eastAsiaTheme="minorEastAsia"/>
          <w:b w:val="0"/>
          <w:bCs/>
          <w:color w:val="000000"/>
          <w:sz w:val="32"/>
          <w:szCs w:val="32"/>
        </w:rPr>
        <w:t>50.46</w:t>
      </w:r>
      <w:r>
        <w:rPr>
          <w:rStyle w:val="18"/>
          <w:rFonts w:hint="eastAsia" w:ascii="仿宋_GB2312" w:hAnsi="仿宋_GB2312" w:eastAsia="仿宋_GB2312" w:cs="仿宋_GB2312"/>
          <w:b w:val="0"/>
          <w:bCs/>
          <w:color w:val="000000"/>
          <w:sz w:val="32"/>
          <w:szCs w:val="32"/>
        </w:rPr>
        <w:t>万元，完成预算100%，全部用于职工缴纳职业年金单位部分</w:t>
      </w:r>
      <w:r>
        <w:rPr>
          <w:rStyle w:val="18"/>
          <w:rFonts w:hint="eastAsia" w:ascii="仿宋_GB2312" w:hAnsi="仿宋_GB2312" w:eastAsia="仿宋_GB2312" w:cs="仿宋_GB2312"/>
          <w:bCs/>
          <w:color w:val="000000"/>
          <w:sz w:val="32"/>
          <w:szCs w:val="32"/>
        </w:rPr>
        <w:t>。</w:t>
      </w:r>
    </w:p>
    <w:p>
      <w:pPr>
        <w:spacing w:line="600" w:lineRule="exact"/>
        <w:ind w:firstLine="643" w:firstLineChars="200"/>
        <w:rPr>
          <w:rStyle w:val="18"/>
          <w:rFonts w:ascii="仿宋_GB2312" w:hAnsi="仿宋_GB2312" w:eastAsia="仿宋_GB2312" w:cs="仿宋_GB2312"/>
          <w:b w:val="0"/>
          <w:bCs/>
          <w:color w:val="000000"/>
          <w:sz w:val="32"/>
          <w:szCs w:val="32"/>
        </w:rPr>
      </w:pPr>
      <w:r>
        <w:rPr>
          <w:rFonts w:hint="eastAsia" w:ascii="仿宋_GB2312" w:hAnsi="仿宋_GB2312" w:eastAsia="仿宋_GB2312" w:cs="仿宋_GB2312"/>
          <w:b/>
          <w:bCs/>
          <w:sz w:val="32"/>
          <w:szCs w:val="32"/>
        </w:rPr>
        <w:t>3.卫生健康支出</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color w:val="000000"/>
          <w:sz w:val="32"/>
          <w:szCs w:val="32"/>
        </w:rPr>
        <w:t>2101101-行政单位医疗支出决算为</w:t>
      </w:r>
      <w:r>
        <w:rPr>
          <w:rStyle w:val="18"/>
          <w:rFonts w:hint="eastAsia" w:ascii="仿宋_GB2312" w:hAnsi="仿宋_GB2312" w:cs="仿宋_GB2312" w:eastAsiaTheme="minorEastAsia"/>
          <w:b w:val="0"/>
          <w:bCs/>
          <w:color w:val="000000"/>
          <w:sz w:val="32"/>
          <w:szCs w:val="32"/>
        </w:rPr>
        <w:t>54.36</w:t>
      </w:r>
      <w:r>
        <w:rPr>
          <w:rStyle w:val="18"/>
          <w:rFonts w:hint="eastAsia" w:ascii="仿宋_GB2312" w:hAnsi="仿宋_GB2312" w:eastAsia="仿宋_GB2312" w:cs="仿宋_GB2312"/>
          <w:b w:val="0"/>
          <w:bCs/>
          <w:color w:val="000000"/>
          <w:sz w:val="32"/>
          <w:szCs w:val="32"/>
        </w:rPr>
        <w:t>万元，完成预算100%，全部用于行政在职职工缴纳医疗保险单位部分；2101102-事业单位医疗支出决算为</w:t>
      </w:r>
      <w:r>
        <w:rPr>
          <w:rStyle w:val="18"/>
          <w:rFonts w:hint="eastAsia" w:ascii="仿宋_GB2312" w:hAnsi="仿宋_GB2312" w:cs="仿宋_GB2312" w:eastAsiaTheme="minorEastAsia"/>
          <w:b w:val="0"/>
          <w:bCs/>
          <w:color w:val="000000"/>
          <w:sz w:val="32"/>
          <w:szCs w:val="32"/>
        </w:rPr>
        <w:t>2.99</w:t>
      </w:r>
      <w:r>
        <w:rPr>
          <w:rStyle w:val="18"/>
          <w:rFonts w:hint="eastAsia" w:ascii="仿宋_GB2312" w:hAnsi="仿宋_GB2312" w:eastAsia="仿宋_GB2312" w:cs="仿宋_GB2312"/>
          <w:b w:val="0"/>
          <w:bCs/>
          <w:color w:val="000000"/>
          <w:sz w:val="32"/>
          <w:szCs w:val="32"/>
        </w:rPr>
        <w:t>万元，完成预算100%，全部用于事业在职职工缴纳医疗保险单位部分；2101103</w:t>
      </w:r>
      <w:r>
        <w:rPr>
          <w:rStyle w:val="18"/>
          <w:rFonts w:hint="eastAsia" w:ascii="仿宋_GB2312" w:hAnsi="仿宋_GB2312" w:eastAsia="仿宋_GB2312" w:cs="仿宋_GB2312"/>
          <w:b w:val="0"/>
          <w:bCs/>
          <w:color w:val="000000"/>
          <w:sz w:val="32"/>
          <w:szCs w:val="32"/>
        </w:rPr>
        <w:tab/>
      </w:r>
      <w:r>
        <w:rPr>
          <w:rStyle w:val="18"/>
          <w:rFonts w:hint="eastAsia" w:ascii="仿宋_GB2312" w:hAnsi="仿宋_GB2312" w:eastAsia="仿宋_GB2312" w:cs="仿宋_GB2312"/>
          <w:b w:val="0"/>
          <w:bCs/>
          <w:color w:val="000000"/>
          <w:sz w:val="32"/>
          <w:szCs w:val="32"/>
        </w:rPr>
        <w:t>-公务员医疗补助支出决算为</w:t>
      </w:r>
      <w:r>
        <w:rPr>
          <w:rStyle w:val="18"/>
          <w:rFonts w:hint="eastAsia" w:ascii="仿宋_GB2312" w:hAnsi="仿宋_GB2312" w:cs="仿宋_GB2312" w:eastAsiaTheme="minorEastAsia"/>
          <w:b w:val="0"/>
          <w:bCs/>
          <w:color w:val="000000"/>
          <w:sz w:val="32"/>
          <w:szCs w:val="32"/>
        </w:rPr>
        <w:t>10.5</w:t>
      </w:r>
      <w:r>
        <w:rPr>
          <w:rStyle w:val="18"/>
          <w:rFonts w:hint="eastAsia" w:ascii="仿宋_GB2312" w:hAnsi="仿宋_GB2312" w:eastAsia="仿宋_GB2312" w:cs="仿宋_GB2312"/>
          <w:b w:val="0"/>
          <w:bCs/>
          <w:color w:val="000000"/>
          <w:sz w:val="32"/>
          <w:szCs w:val="32"/>
        </w:rPr>
        <w:t>万元，完成预算100%，全部用于行政在职职工公务员补充医保；2101199-其他行政事业单位医疗支出决算为</w:t>
      </w:r>
      <w:r>
        <w:rPr>
          <w:rStyle w:val="18"/>
          <w:rFonts w:hint="eastAsia" w:ascii="仿宋_GB2312" w:hAnsi="仿宋_GB2312" w:cs="仿宋_GB2312" w:eastAsiaTheme="minorEastAsia"/>
          <w:b w:val="0"/>
          <w:bCs/>
          <w:color w:val="000000"/>
          <w:sz w:val="32"/>
          <w:szCs w:val="32"/>
        </w:rPr>
        <w:t>0.55</w:t>
      </w:r>
      <w:r>
        <w:rPr>
          <w:rStyle w:val="18"/>
          <w:rFonts w:hint="eastAsia" w:ascii="仿宋_GB2312" w:hAnsi="仿宋_GB2312" w:eastAsia="仿宋_GB2312" w:cs="仿宋_GB2312"/>
          <w:b w:val="0"/>
          <w:bCs/>
          <w:color w:val="000000"/>
          <w:sz w:val="32"/>
          <w:szCs w:val="32"/>
        </w:rPr>
        <w:t>万元，完成预算100%，全部用于缴纳事业在职职工补充医保。</w:t>
      </w:r>
    </w:p>
    <w:p>
      <w:pPr>
        <w:spacing w:line="600" w:lineRule="exact"/>
        <w:ind w:firstLine="640" w:firstLineChars="200"/>
        <w:rPr>
          <w:rFonts w:hint="eastAsia" w:ascii="仿宋_GB2312" w:hAnsi="仿宋_GB2312" w:cs="仿宋_GB2312" w:eastAsiaTheme="minorEastAsia"/>
          <w:bCs/>
          <w:color w:val="000000"/>
          <w:sz w:val="32"/>
          <w:szCs w:val="32"/>
        </w:rPr>
      </w:pPr>
      <w:r>
        <w:rPr>
          <w:rStyle w:val="18"/>
          <w:rFonts w:hint="eastAsia" w:ascii="仿宋_GB2312" w:hAnsi="仿宋_GB2312" w:eastAsia="仿宋_GB2312" w:cs="仿宋_GB2312"/>
          <w:b w:val="0"/>
          <w:bCs/>
          <w:color w:val="000000"/>
          <w:sz w:val="32"/>
          <w:szCs w:val="32"/>
        </w:rPr>
        <w:t>4.住房保障支出：2210201-住房公积金支出决算为</w:t>
      </w:r>
      <w:r>
        <w:rPr>
          <w:rStyle w:val="18"/>
          <w:rFonts w:hint="eastAsia" w:ascii="仿宋_GB2312" w:hAnsi="仿宋_GB2312" w:cs="仿宋_GB2312" w:eastAsiaTheme="minorEastAsia"/>
          <w:b w:val="0"/>
          <w:bCs/>
          <w:color w:val="000000"/>
          <w:sz w:val="32"/>
          <w:szCs w:val="32"/>
        </w:rPr>
        <w:t>85.92</w:t>
      </w:r>
      <w:r>
        <w:rPr>
          <w:rStyle w:val="18"/>
          <w:rFonts w:hint="eastAsia" w:ascii="仿宋_GB2312" w:hAnsi="仿宋_GB2312" w:eastAsia="仿宋_GB2312" w:cs="仿宋_GB2312"/>
          <w:b w:val="0"/>
          <w:bCs/>
          <w:color w:val="000000"/>
          <w:sz w:val="32"/>
          <w:szCs w:val="32"/>
        </w:rPr>
        <w:t>万元，完成预算100%，全部用于行政事业职工缴纳住房公积金单位部分。</w:t>
      </w:r>
    </w:p>
    <w:p>
      <w:pPr>
        <w:tabs>
          <w:tab w:val="right" w:pos="8306"/>
        </w:tabs>
        <w:spacing w:line="600" w:lineRule="exact"/>
        <w:ind w:firstLine="640"/>
        <w:outlineLvl w:val="1"/>
        <w:rPr>
          <w:rStyle w:val="21"/>
        </w:rPr>
      </w:pPr>
      <w:bookmarkStart w:id="41" w:name="_Toc15396608"/>
      <w:bookmarkStart w:id="42" w:name="_Toc15377214"/>
      <w:bookmarkStart w:id="43" w:name="_Toc29471"/>
      <w:r>
        <w:rPr>
          <w:rFonts w:hint="eastAsia" w:ascii="黑体" w:eastAsia="黑体"/>
          <w:sz w:val="32"/>
          <w:szCs w:val="32"/>
        </w:rPr>
        <w:t>六</w:t>
      </w:r>
      <w:r>
        <w:rPr>
          <w:rFonts w:hint="eastAsia" w:ascii="黑体" w:eastAsia="黑体"/>
          <w:b/>
          <w:sz w:val="32"/>
          <w:szCs w:val="32"/>
        </w:rPr>
        <w:t>、一</w:t>
      </w:r>
      <w:r>
        <w:rPr>
          <w:rStyle w:val="21"/>
          <w:rFonts w:hint="eastAsia" w:ascii="黑体" w:eastAsia="黑体"/>
          <w:b w:val="0"/>
        </w:rPr>
        <w:t>般公共预算财政拨款基本支出决算情况说明</w:t>
      </w:r>
      <w:bookmarkEnd w:id="41"/>
      <w:bookmarkEnd w:id="42"/>
      <w:bookmarkEnd w:id="43"/>
      <w:r>
        <w:rPr>
          <w:rStyle w:val="21"/>
          <w:rFonts w:ascii="黑体" w:eastAsia="黑体"/>
          <w:b w:val="0"/>
        </w:rPr>
        <w:tab/>
      </w:r>
    </w:p>
    <w:p>
      <w:pPr>
        <w:pStyle w:val="15"/>
        <w:shd w:val="clear" w:color="auto" w:fill="FFFFFF"/>
        <w:rPr>
          <w:rFonts w:ascii="仿宋_GB2312" w:hAnsi="仿宋_GB2312" w:eastAsia="仿宋_GB2312" w:cs="仿宋_GB2312"/>
          <w:sz w:val="32"/>
          <w:szCs w:val="32"/>
        </w:rPr>
      </w:pPr>
      <w:r>
        <w:rPr>
          <w:rFonts w:hint="eastAsia" w:ascii="仿宋_GB2312" w:hAnsi="仿宋_GB2312" w:eastAsia="仿宋_GB2312" w:cs="仿宋_GB2312"/>
          <w:sz w:val="32"/>
          <w:szCs w:val="32"/>
        </w:rPr>
        <w:t>2022</w:t>
      </w:r>
      <w:r>
        <w:rPr>
          <w:rFonts w:ascii="仿宋_GB2312" w:hAnsi="仿宋_GB2312" w:eastAsia="仿宋_GB2312" w:cs="仿宋_GB2312"/>
          <w:sz w:val="32"/>
          <w:szCs w:val="32"/>
        </w:rPr>
        <w:t>2022年一般公共预算财政拨款基本支出1,421.01万元，其中：</w:t>
      </w:r>
    </w:p>
    <w:p>
      <w:pPr>
        <w:pStyle w:val="15"/>
        <w:shd w:val="clear" w:color="auto" w:fill="FFFFFF"/>
        <w:ind w:firstLine="640" w:firstLineChars="200"/>
        <w:rPr>
          <w:rFonts w:hint="eastAsia" w:ascii="仿宋_GB2312" w:hAnsi="仿宋_GB2312" w:cs="仿宋_GB2312" w:eastAsiaTheme="minorEastAsia"/>
          <w:sz w:val="32"/>
          <w:szCs w:val="32"/>
        </w:rPr>
      </w:pPr>
      <w:r>
        <w:rPr>
          <w:rFonts w:ascii="仿宋_GB2312" w:hAnsi="仿宋_GB2312" w:eastAsia="仿宋_GB2312" w:cs="仿宋_GB2312"/>
          <w:sz w:val="32"/>
          <w:szCs w:val="32"/>
        </w:rPr>
        <w:t>人员经费1,211.87万元，主要包括：基本工资</w:t>
      </w:r>
      <w:r>
        <w:rPr>
          <w:rFonts w:hint="eastAsia" w:ascii="仿宋_GB2312" w:hAnsi="仿宋_GB2312" w:cs="仿宋_GB2312" w:eastAsiaTheme="minorEastAsia"/>
          <w:sz w:val="32"/>
          <w:szCs w:val="32"/>
        </w:rPr>
        <w:t>220.36万元</w:t>
      </w:r>
      <w:r>
        <w:rPr>
          <w:rFonts w:ascii="仿宋_GB2312" w:hAnsi="仿宋_GB2312" w:eastAsia="仿宋_GB2312" w:cs="仿宋_GB2312"/>
          <w:sz w:val="32"/>
          <w:szCs w:val="32"/>
        </w:rPr>
        <w:t>、津贴补贴</w:t>
      </w:r>
      <w:r>
        <w:rPr>
          <w:rFonts w:hint="eastAsia" w:ascii="仿宋_GB2312" w:hAnsi="仿宋_GB2312" w:cs="仿宋_GB2312" w:eastAsiaTheme="minorEastAsia"/>
          <w:sz w:val="32"/>
          <w:szCs w:val="32"/>
        </w:rPr>
        <w:t>596.63万元</w:t>
      </w:r>
      <w:r>
        <w:rPr>
          <w:rFonts w:ascii="仿宋_GB2312" w:hAnsi="仿宋_GB2312" w:eastAsia="仿宋_GB2312" w:cs="仿宋_GB2312"/>
          <w:sz w:val="32"/>
          <w:szCs w:val="32"/>
        </w:rPr>
        <w:t>、奖金</w:t>
      </w:r>
      <w:r>
        <w:rPr>
          <w:rFonts w:hint="eastAsia" w:ascii="仿宋_GB2312" w:hAnsi="仿宋_GB2312" w:cs="仿宋_GB2312" w:eastAsiaTheme="minorEastAsia"/>
          <w:sz w:val="32"/>
          <w:szCs w:val="32"/>
        </w:rPr>
        <w:t>18.14万元</w:t>
      </w:r>
      <w:r>
        <w:rPr>
          <w:rFonts w:ascii="仿宋_GB2312" w:hAnsi="仿宋_GB2312" w:eastAsia="仿宋_GB2312" w:cs="仿宋_GB2312"/>
          <w:sz w:val="32"/>
          <w:szCs w:val="32"/>
        </w:rPr>
        <w:t>、绩效工资</w:t>
      </w:r>
      <w:r>
        <w:rPr>
          <w:rFonts w:hint="eastAsia" w:ascii="仿宋_GB2312" w:hAnsi="仿宋_GB2312" w:cs="仿宋_GB2312" w:eastAsiaTheme="minorEastAsia"/>
          <w:sz w:val="32"/>
          <w:szCs w:val="32"/>
        </w:rPr>
        <w:t>8.08万元</w:t>
      </w:r>
      <w:r>
        <w:rPr>
          <w:rFonts w:ascii="仿宋_GB2312" w:hAnsi="仿宋_GB2312" w:eastAsia="仿宋_GB2312" w:cs="仿宋_GB2312"/>
          <w:sz w:val="32"/>
          <w:szCs w:val="32"/>
        </w:rPr>
        <w:t>、机关事业单位基本养老保险缴费</w:t>
      </w:r>
      <w:r>
        <w:rPr>
          <w:rFonts w:hint="eastAsia" w:ascii="仿宋_GB2312" w:hAnsi="仿宋_GB2312" w:cs="仿宋_GB2312" w:eastAsiaTheme="minorEastAsia"/>
          <w:sz w:val="32"/>
          <w:szCs w:val="32"/>
        </w:rPr>
        <w:t>100.93万元</w:t>
      </w:r>
      <w:r>
        <w:rPr>
          <w:rFonts w:ascii="仿宋_GB2312" w:hAnsi="仿宋_GB2312" w:eastAsia="仿宋_GB2312" w:cs="仿宋_GB2312"/>
          <w:sz w:val="32"/>
          <w:szCs w:val="32"/>
        </w:rPr>
        <w:t>、职业年金缴费</w:t>
      </w:r>
      <w:r>
        <w:rPr>
          <w:rFonts w:hint="eastAsia" w:ascii="仿宋_GB2312" w:hAnsi="仿宋_GB2312" w:cs="仿宋_GB2312" w:eastAsiaTheme="minorEastAsia"/>
          <w:sz w:val="32"/>
          <w:szCs w:val="32"/>
        </w:rPr>
        <w:t>50.46万元</w:t>
      </w:r>
      <w:r>
        <w:rPr>
          <w:rFonts w:ascii="仿宋_GB2312" w:hAnsi="仿宋_GB2312" w:eastAsia="仿宋_GB2312" w:cs="仿宋_GB2312"/>
          <w:sz w:val="32"/>
          <w:szCs w:val="32"/>
        </w:rPr>
        <w:t>、其他社会保障缴费</w:t>
      </w:r>
      <w:r>
        <w:rPr>
          <w:rFonts w:hint="eastAsia" w:ascii="仿宋_GB2312" w:hAnsi="仿宋_GB2312" w:cs="仿宋_GB2312" w:eastAsiaTheme="minorEastAsia"/>
          <w:sz w:val="32"/>
          <w:szCs w:val="32"/>
        </w:rPr>
        <w:t>9.71万元</w:t>
      </w:r>
      <w:r>
        <w:rPr>
          <w:rFonts w:ascii="仿宋_GB2312" w:hAnsi="仿宋_GB2312" w:eastAsia="仿宋_GB2312" w:cs="仿宋_GB2312"/>
          <w:sz w:val="32"/>
          <w:szCs w:val="32"/>
        </w:rPr>
        <w:t>、抚恤金</w:t>
      </w:r>
      <w:r>
        <w:rPr>
          <w:rFonts w:hint="eastAsia" w:ascii="仿宋_GB2312" w:hAnsi="仿宋_GB2312" w:cs="仿宋_GB2312" w:eastAsiaTheme="minorEastAsia"/>
          <w:sz w:val="32"/>
          <w:szCs w:val="32"/>
        </w:rPr>
        <w:t>41.39万元</w:t>
      </w:r>
      <w:r>
        <w:rPr>
          <w:rFonts w:ascii="仿宋_GB2312" w:hAnsi="仿宋_GB2312" w:eastAsia="仿宋_GB2312" w:cs="仿宋_GB2312"/>
          <w:sz w:val="32"/>
          <w:szCs w:val="32"/>
        </w:rPr>
        <w:t>、生活补助</w:t>
      </w:r>
      <w:r>
        <w:rPr>
          <w:rFonts w:hint="eastAsia" w:ascii="仿宋_GB2312" w:hAnsi="仿宋_GB2312" w:cs="仿宋_GB2312" w:eastAsiaTheme="minorEastAsia"/>
          <w:sz w:val="32"/>
          <w:szCs w:val="32"/>
        </w:rPr>
        <w:t>11万元</w:t>
      </w:r>
      <w:r>
        <w:rPr>
          <w:rFonts w:ascii="仿宋_GB2312" w:hAnsi="仿宋_GB2312" w:eastAsia="仿宋_GB2312" w:cs="仿宋_GB2312"/>
          <w:sz w:val="32"/>
          <w:szCs w:val="32"/>
        </w:rPr>
        <w:t>、医疗费</w:t>
      </w:r>
      <w:r>
        <w:rPr>
          <w:rFonts w:hint="eastAsia" w:ascii="仿宋_GB2312" w:hAnsi="仿宋_GB2312" w:cs="仿宋_GB2312" w:eastAsiaTheme="minorEastAsia"/>
          <w:sz w:val="32"/>
          <w:szCs w:val="32"/>
        </w:rPr>
        <w:t>0.78万元</w:t>
      </w:r>
      <w:r>
        <w:rPr>
          <w:rFonts w:ascii="仿宋_GB2312" w:hAnsi="仿宋_GB2312" w:eastAsia="仿宋_GB2312" w:cs="仿宋_GB2312"/>
          <w:sz w:val="32"/>
          <w:szCs w:val="32"/>
        </w:rPr>
        <w:t>、奖励金</w:t>
      </w:r>
      <w:r>
        <w:rPr>
          <w:rFonts w:hint="eastAsia" w:ascii="仿宋_GB2312" w:hAnsi="仿宋_GB2312" w:cs="仿宋_GB2312" w:eastAsiaTheme="minorEastAsia"/>
          <w:sz w:val="32"/>
          <w:szCs w:val="32"/>
        </w:rPr>
        <w:t>0.06万元</w:t>
      </w:r>
      <w:r>
        <w:rPr>
          <w:rFonts w:ascii="仿宋_GB2312" w:hAnsi="仿宋_GB2312" w:eastAsia="仿宋_GB2312" w:cs="仿宋_GB2312"/>
          <w:sz w:val="32"/>
          <w:szCs w:val="32"/>
        </w:rPr>
        <w:t>、住房公积金</w:t>
      </w:r>
      <w:r>
        <w:rPr>
          <w:rFonts w:hint="eastAsia" w:ascii="仿宋_GB2312" w:hAnsi="仿宋_GB2312" w:cs="仿宋_GB2312" w:eastAsiaTheme="minorEastAsia"/>
          <w:sz w:val="32"/>
          <w:szCs w:val="32"/>
        </w:rPr>
        <w:t>85.92万元等</w:t>
      </w:r>
      <w:r>
        <w:rPr>
          <w:rFonts w:ascii="仿宋_GB2312" w:hAnsi="仿宋_GB2312" w:eastAsia="仿宋_GB2312" w:cs="仿宋_GB2312"/>
          <w:sz w:val="32"/>
          <w:szCs w:val="32"/>
        </w:rPr>
        <w:t>。</w:t>
      </w:r>
    </w:p>
    <w:p>
      <w:pPr>
        <w:pStyle w:val="15"/>
        <w:shd w:val="clear" w:color="auto" w:fill="FFFFFF"/>
        <w:rPr>
          <w:rFonts w:ascii="仿宋_GB2312" w:hAnsi="仿宋_GB2312" w:eastAsia="仿宋_GB2312" w:cs="仿宋_GB2312"/>
          <w:sz w:val="32"/>
          <w:szCs w:val="32"/>
        </w:rPr>
      </w:pPr>
      <w:r>
        <w:rPr>
          <w:rFonts w:ascii="仿宋_GB2312" w:hAnsi="仿宋_GB2312" w:eastAsia="仿宋_GB2312" w:cs="仿宋_GB2312"/>
          <w:sz w:val="32"/>
          <w:szCs w:val="32"/>
        </w:rPr>
        <w:t>　　公用经费209.14万元，主要包括：办公费</w:t>
      </w:r>
      <w:r>
        <w:rPr>
          <w:rFonts w:hint="eastAsia" w:ascii="仿宋_GB2312" w:hAnsi="仿宋_GB2312" w:cs="仿宋_GB2312" w:eastAsiaTheme="minorEastAsia"/>
          <w:sz w:val="32"/>
          <w:szCs w:val="32"/>
        </w:rPr>
        <w:t>153.04万元</w:t>
      </w:r>
      <w:r>
        <w:rPr>
          <w:rFonts w:ascii="仿宋_GB2312" w:hAnsi="仿宋_GB2312" w:eastAsia="仿宋_GB2312" w:cs="仿宋_GB2312"/>
          <w:sz w:val="32"/>
          <w:szCs w:val="32"/>
        </w:rPr>
        <w:t>、印刷费</w:t>
      </w:r>
      <w:r>
        <w:rPr>
          <w:rFonts w:hint="eastAsia" w:ascii="仿宋_GB2312" w:hAnsi="仿宋_GB2312" w:cs="仿宋_GB2312" w:eastAsiaTheme="minorEastAsia"/>
          <w:sz w:val="32"/>
          <w:szCs w:val="32"/>
        </w:rPr>
        <w:t>11.12万元</w:t>
      </w:r>
      <w:r>
        <w:rPr>
          <w:rFonts w:ascii="仿宋_GB2312" w:hAnsi="仿宋_GB2312" w:eastAsia="仿宋_GB2312" w:cs="仿宋_GB2312"/>
          <w:sz w:val="32"/>
          <w:szCs w:val="32"/>
        </w:rPr>
        <w:t>、电费</w:t>
      </w:r>
      <w:r>
        <w:rPr>
          <w:rFonts w:hint="eastAsia" w:ascii="仿宋_GB2312" w:hAnsi="仿宋_GB2312" w:cs="仿宋_GB2312" w:eastAsiaTheme="minorEastAsia"/>
          <w:sz w:val="32"/>
          <w:szCs w:val="32"/>
        </w:rPr>
        <w:t>2.17万元</w:t>
      </w:r>
      <w:r>
        <w:rPr>
          <w:rFonts w:ascii="仿宋_GB2312" w:hAnsi="仿宋_GB2312" w:eastAsia="仿宋_GB2312" w:cs="仿宋_GB2312"/>
          <w:sz w:val="32"/>
          <w:szCs w:val="32"/>
        </w:rPr>
        <w:t>、邮电费</w:t>
      </w:r>
      <w:r>
        <w:rPr>
          <w:rFonts w:hint="eastAsia" w:ascii="仿宋_GB2312" w:hAnsi="仿宋_GB2312" w:cs="仿宋_GB2312" w:eastAsiaTheme="minorEastAsia"/>
          <w:sz w:val="32"/>
          <w:szCs w:val="32"/>
        </w:rPr>
        <w:t>1.61万元</w:t>
      </w:r>
      <w:r>
        <w:rPr>
          <w:rFonts w:ascii="仿宋_GB2312" w:hAnsi="仿宋_GB2312" w:eastAsia="仿宋_GB2312" w:cs="仿宋_GB2312"/>
          <w:sz w:val="32"/>
          <w:szCs w:val="32"/>
        </w:rPr>
        <w:t>、取暖费</w:t>
      </w:r>
      <w:r>
        <w:rPr>
          <w:rFonts w:hint="eastAsia" w:ascii="仿宋_GB2312" w:hAnsi="仿宋_GB2312" w:cs="仿宋_GB2312" w:eastAsiaTheme="minorEastAsia"/>
          <w:sz w:val="32"/>
          <w:szCs w:val="32"/>
        </w:rPr>
        <w:t>1.07万元</w:t>
      </w:r>
      <w:r>
        <w:rPr>
          <w:rFonts w:ascii="仿宋_GB2312" w:hAnsi="仿宋_GB2312" w:eastAsia="仿宋_GB2312" w:cs="仿宋_GB2312"/>
          <w:sz w:val="32"/>
          <w:szCs w:val="32"/>
        </w:rPr>
        <w:t>、差旅费</w:t>
      </w:r>
      <w:r>
        <w:rPr>
          <w:rFonts w:hint="eastAsia" w:ascii="仿宋_GB2312" w:hAnsi="仿宋_GB2312" w:cs="仿宋_GB2312" w:eastAsiaTheme="minorEastAsia"/>
          <w:sz w:val="32"/>
          <w:szCs w:val="32"/>
        </w:rPr>
        <w:t>32.35万元</w:t>
      </w:r>
      <w:r>
        <w:rPr>
          <w:rFonts w:ascii="仿宋_GB2312" w:hAnsi="仿宋_GB2312" w:eastAsia="仿宋_GB2312" w:cs="仿宋_GB2312"/>
          <w:sz w:val="32"/>
          <w:szCs w:val="32"/>
        </w:rPr>
        <w:t>、维修（护）费</w:t>
      </w:r>
      <w:r>
        <w:rPr>
          <w:rFonts w:hint="eastAsia" w:ascii="仿宋_GB2312" w:hAnsi="仿宋_GB2312" w:cs="仿宋_GB2312" w:eastAsiaTheme="minorEastAsia"/>
          <w:sz w:val="32"/>
          <w:szCs w:val="32"/>
        </w:rPr>
        <w:t>20.55万元</w:t>
      </w:r>
      <w:r>
        <w:rPr>
          <w:rFonts w:ascii="仿宋_GB2312" w:hAnsi="仿宋_GB2312" w:eastAsia="仿宋_GB2312" w:cs="仿宋_GB2312"/>
          <w:sz w:val="32"/>
          <w:szCs w:val="32"/>
        </w:rPr>
        <w:t>、</w:t>
      </w:r>
      <w:r>
        <w:rPr>
          <w:rFonts w:hint="eastAsia" w:ascii="仿宋_GB2312" w:hAnsi="仿宋_GB2312" w:cs="仿宋_GB2312" w:eastAsiaTheme="minorEastAsia"/>
          <w:sz w:val="32"/>
          <w:szCs w:val="32"/>
        </w:rPr>
        <w:t>培训费31.22万元</w:t>
      </w:r>
      <w:r>
        <w:rPr>
          <w:rFonts w:ascii="仿宋_GB2312" w:hAnsi="仿宋_GB2312" w:eastAsia="仿宋_GB2312" w:cs="仿宋_GB2312"/>
          <w:sz w:val="32"/>
          <w:szCs w:val="32"/>
        </w:rPr>
        <w:t>、工会经费</w:t>
      </w:r>
      <w:r>
        <w:rPr>
          <w:rFonts w:hint="eastAsia" w:ascii="仿宋_GB2312" w:hAnsi="仿宋_GB2312" w:cs="仿宋_GB2312" w:eastAsiaTheme="minorEastAsia"/>
          <w:sz w:val="32"/>
          <w:szCs w:val="32"/>
        </w:rPr>
        <w:t>6.49万元</w:t>
      </w:r>
      <w:r>
        <w:rPr>
          <w:rFonts w:ascii="仿宋_GB2312" w:hAnsi="仿宋_GB2312" w:eastAsia="仿宋_GB2312" w:cs="仿宋_GB2312"/>
          <w:sz w:val="32"/>
          <w:szCs w:val="32"/>
        </w:rPr>
        <w:t>、公务用车运行维护费</w:t>
      </w:r>
      <w:r>
        <w:rPr>
          <w:rFonts w:hint="eastAsia" w:ascii="仿宋_GB2312" w:hAnsi="仿宋_GB2312" w:cs="仿宋_GB2312" w:eastAsiaTheme="minorEastAsia"/>
          <w:sz w:val="32"/>
          <w:szCs w:val="32"/>
        </w:rPr>
        <w:t>25.99万元</w:t>
      </w:r>
      <w:r>
        <w:rPr>
          <w:rFonts w:ascii="仿宋_GB2312" w:hAnsi="仿宋_GB2312" w:eastAsia="仿宋_GB2312" w:cs="仿宋_GB2312"/>
          <w:sz w:val="32"/>
          <w:szCs w:val="32"/>
        </w:rPr>
        <w:t>、专用设备购置</w:t>
      </w:r>
      <w:r>
        <w:rPr>
          <w:rFonts w:hint="eastAsia" w:ascii="仿宋_GB2312" w:hAnsi="仿宋_GB2312" w:cs="仿宋_GB2312" w:eastAsiaTheme="minorEastAsia"/>
          <w:sz w:val="32"/>
          <w:szCs w:val="32"/>
        </w:rPr>
        <w:t>4.12万元</w:t>
      </w:r>
      <w:r>
        <w:rPr>
          <w:rFonts w:ascii="仿宋_GB2312" w:hAnsi="仿宋_GB2312" w:eastAsia="仿宋_GB2312" w:cs="仿宋_GB2312"/>
          <w:sz w:val="32"/>
          <w:szCs w:val="32"/>
        </w:rPr>
        <w:t>、</w:t>
      </w:r>
      <w:r>
        <w:rPr>
          <w:rFonts w:hint="eastAsia" w:ascii="仿宋_GB2312" w:hAnsi="仿宋_GB2312" w:cs="仿宋_GB2312" w:eastAsiaTheme="minorEastAsia"/>
          <w:sz w:val="32"/>
          <w:szCs w:val="32"/>
        </w:rPr>
        <w:t>基础设施建设50.33万元</w:t>
      </w:r>
      <w:r>
        <w:rPr>
          <w:rFonts w:ascii="仿宋_GB2312" w:hAnsi="仿宋_GB2312" w:eastAsia="仿宋_GB2312" w:cs="仿宋_GB2312"/>
          <w:sz w:val="32"/>
          <w:szCs w:val="32"/>
        </w:rPr>
        <w:t>等。</w:t>
      </w:r>
    </w:p>
    <w:p>
      <w:pPr>
        <w:spacing w:line="600" w:lineRule="exact"/>
        <w:ind w:firstLine="640"/>
        <w:outlineLvl w:val="1"/>
        <w:rPr>
          <w:rStyle w:val="21"/>
          <w:rFonts w:ascii="黑体" w:eastAsia="黑体"/>
          <w:b w:val="0"/>
        </w:rPr>
      </w:pPr>
      <w:bookmarkStart w:id="44" w:name="_Toc16831"/>
      <w:bookmarkStart w:id="45" w:name="_Toc15396609"/>
      <w:bookmarkStart w:id="46" w:name="_Toc15377215"/>
      <w:r>
        <w:rPr>
          <w:rFonts w:hint="eastAsia" w:ascii="黑体" w:eastAsia="黑体"/>
          <w:sz w:val="32"/>
          <w:szCs w:val="32"/>
        </w:rPr>
        <w:t>七、</w:t>
      </w:r>
      <w:r>
        <w:rPr>
          <w:rStyle w:val="21"/>
          <w:rFonts w:hint="eastAsia" w:ascii="黑体" w:eastAsia="黑体"/>
          <w:b w:val="0"/>
        </w:rPr>
        <w:t>财政拨款</w:t>
      </w:r>
      <w:r>
        <w:rPr>
          <w:rStyle w:val="21"/>
          <w:rFonts w:hint="eastAsia" w:ascii="黑体" w:eastAsia="黑体"/>
        </w:rPr>
        <w:t>“</w:t>
      </w:r>
      <w:r>
        <w:rPr>
          <w:rStyle w:val="21"/>
          <w:rFonts w:hint="eastAsia" w:ascii="黑体" w:eastAsia="黑体"/>
          <w:b w:val="0"/>
        </w:rPr>
        <w:t>三公”经费支出决算情况说明</w:t>
      </w:r>
      <w:bookmarkEnd w:id="44"/>
      <w:bookmarkEnd w:id="45"/>
      <w:bookmarkEnd w:id="46"/>
    </w:p>
    <w:p>
      <w:pPr>
        <w:spacing w:line="600" w:lineRule="exact"/>
        <w:ind w:firstLine="640"/>
        <w:outlineLvl w:val="2"/>
        <w:rPr>
          <w:rFonts w:ascii="仿宋_GB2312" w:hAnsi="仿宋_GB2312" w:eastAsia="仿宋_GB2312" w:cs="仿宋_GB2312"/>
          <w:b/>
          <w:sz w:val="32"/>
          <w:szCs w:val="32"/>
        </w:rPr>
      </w:pPr>
      <w:bookmarkStart w:id="47" w:name="_Toc15377216"/>
      <w:r>
        <w:rPr>
          <w:rFonts w:hint="eastAsia" w:ascii="仿宋_GB2312" w:hAnsi="仿宋_GB2312" w:eastAsia="仿宋_GB2312" w:cs="仿宋_GB2312"/>
          <w:b/>
          <w:sz w:val="32"/>
          <w:szCs w:val="32"/>
        </w:rPr>
        <w:t>（一）“三公”经费财政拨款支出决算总体情况说明</w:t>
      </w:r>
      <w:bookmarkEnd w:id="47"/>
    </w:p>
    <w:p>
      <w:pPr>
        <w:pStyle w:val="15"/>
        <w:shd w:val="clear" w:color="auto" w:fill="FFFFFF"/>
        <w:ind w:firstLine="640" w:firstLineChars="200"/>
        <w:rPr>
          <w:rFonts w:ascii="仿宋_GB2312" w:hAnsi="仿宋_GB2312" w:eastAsia="仿宋_GB2312" w:cs="仿宋_GB2312"/>
          <w:kern w:val="2"/>
          <w:sz w:val="32"/>
          <w:szCs w:val="32"/>
        </w:rPr>
      </w:pPr>
      <w:r>
        <w:rPr>
          <w:rFonts w:ascii="仿宋_GB2312" w:hAnsi="仿宋_GB2312" w:eastAsia="仿宋_GB2312" w:cs="仿宋_GB2312"/>
          <w:kern w:val="2"/>
          <w:sz w:val="32"/>
          <w:szCs w:val="32"/>
        </w:rPr>
        <w:t>2022年“三公”经费财政拨款支出决算为25.99万元，完成预算100.00%，</w:t>
      </w:r>
      <w:r>
        <w:rPr>
          <w:rFonts w:hint="eastAsia" w:ascii="仿宋_GB2312" w:hAnsi="仿宋_GB2312" w:eastAsia="仿宋_GB2312" w:cs="仿宋_GB2312"/>
          <w:sz w:val="32"/>
          <w:szCs w:val="32"/>
        </w:rPr>
        <w:t>较上年</w:t>
      </w:r>
      <w:r>
        <w:rPr>
          <w:rFonts w:hint="eastAsia" w:ascii="仿宋_GB2312" w:hAnsi="仿宋_GB2312" w:cs="仿宋_GB2312" w:eastAsiaTheme="minorEastAsia"/>
          <w:sz w:val="32"/>
          <w:szCs w:val="32"/>
        </w:rPr>
        <w:t>增加9.81</w:t>
      </w:r>
      <w:r>
        <w:rPr>
          <w:rFonts w:hint="eastAsia" w:ascii="仿宋_GB2312" w:hAnsi="仿宋_GB2312" w:eastAsia="仿宋_GB2312" w:cs="仿宋_GB2312"/>
          <w:sz w:val="32"/>
          <w:szCs w:val="32"/>
        </w:rPr>
        <w:t>万元，</w:t>
      </w:r>
      <w:r>
        <w:rPr>
          <w:rFonts w:hint="eastAsia" w:ascii="仿宋_GB2312" w:hAnsi="仿宋_GB2312" w:cs="仿宋_GB2312" w:eastAsiaTheme="minorEastAsia"/>
          <w:sz w:val="32"/>
          <w:szCs w:val="32"/>
        </w:rPr>
        <w:t>增加60.63</w:t>
      </w:r>
      <w:r>
        <w:rPr>
          <w:rFonts w:hint="eastAsia" w:ascii="仿宋_GB2312" w:hAnsi="仿宋_GB2312" w:eastAsia="仿宋_GB2312" w:cs="仿宋_GB2312"/>
          <w:sz w:val="32"/>
          <w:szCs w:val="32"/>
        </w:rPr>
        <w:t>%</w:t>
      </w:r>
      <w:r>
        <w:rPr>
          <w:rFonts w:hint="eastAsia" w:ascii="仿宋_GB2312" w:hAnsi="仿宋_GB2312" w:cs="仿宋_GB2312" w:eastAsiaTheme="minorEastAsia"/>
          <w:sz w:val="32"/>
          <w:szCs w:val="32"/>
        </w:rPr>
        <w:t>，主要原因是：公务车辆增加1台，大案、要案办案任务数增加</w:t>
      </w:r>
      <w:r>
        <w:rPr>
          <w:rFonts w:hint="eastAsia" w:ascii="仿宋_GB2312" w:hAnsi="仿宋_GB2312" w:eastAsia="仿宋_GB2312" w:cs="仿宋_GB2312"/>
          <w:sz w:val="32"/>
          <w:szCs w:val="32"/>
        </w:rPr>
        <w:t>。</w:t>
      </w:r>
    </w:p>
    <w:p>
      <w:pPr>
        <w:spacing w:line="600" w:lineRule="exact"/>
        <w:ind w:firstLine="640"/>
        <w:outlineLvl w:val="2"/>
        <w:rPr>
          <w:rFonts w:ascii="仿宋_GB2312" w:hAnsi="仿宋_GB2312" w:eastAsia="仿宋_GB2312" w:cs="仿宋_GB2312"/>
          <w:b/>
          <w:sz w:val="32"/>
          <w:szCs w:val="32"/>
        </w:rPr>
      </w:pPr>
      <w:bookmarkStart w:id="48" w:name="_Toc15377217"/>
      <w:r>
        <w:rPr>
          <w:rFonts w:hint="eastAsia" w:ascii="仿宋_GB2312" w:hAnsi="仿宋_GB2312" w:eastAsia="仿宋_GB2312" w:cs="仿宋_GB2312"/>
          <w:b/>
          <w:sz w:val="32"/>
          <w:szCs w:val="32"/>
        </w:rPr>
        <w:t>（二）“三公”经费财政拨款支出决算具体情况说明</w:t>
      </w:r>
      <w:bookmarkEnd w:id="48"/>
    </w:p>
    <w:p>
      <w:pPr>
        <w:pStyle w:val="15"/>
        <w:shd w:val="clear" w:color="auto" w:fill="FFFFFF"/>
        <w:ind w:firstLine="640" w:firstLineChars="200"/>
        <w:rPr>
          <w:rFonts w:ascii="仿宋_GB2312" w:hAnsi="仿宋_GB2312" w:eastAsia="仿宋_GB2312" w:cs="仿宋_GB2312"/>
          <w:kern w:val="2"/>
          <w:sz w:val="32"/>
          <w:szCs w:val="32"/>
        </w:rPr>
      </w:pPr>
      <w:r>
        <w:rPr>
          <w:rFonts w:ascii="仿宋_GB2312" w:hAnsi="仿宋_GB2312" w:eastAsia="仿宋_GB2312" w:cs="仿宋_GB2312"/>
          <w:kern w:val="2"/>
          <w:sz w:val="32"/>
          <w:szCs w:val="32"/>
        </w:rPr>
        <w:t>2022年“三公”经费财政拨款支出决算中，因公出国（境）费支出决算0.00万元，占0.00%；公务用车购置及运行维护费支出决算25.99万元，占100.00%；公务接待费支出决算0.00万元，占0.00%。具体情况如下：</w:t>
      </w:r>
    </w:p>
    <w:p>
      <w:pPr>
        <w:spacing w:line="600" w:lineRule="exact"/>
        <w:ind w:firstLine="640"/>
        <w:rPr>
          <w:rFonts w:ascii="仿宋" w:eastAsia="仿宋"/>
          <w:sz w:val="32"/>
          <w:szCs w:val="32"/>
        </w:rPr>
      </w:pPr>
      <w:r>
        <w:rPr>
          <w:rFonts w:hint="eastAsia" w:ascii="仿宋_GB2312" w:hAnsi="仿宋_GB2312" w:eastAsia="仿宋_GB2312" w:cs="仿宋_GB2312"/>
          <w:sz w:val="32"/>
          <w:szCs w:val="32"/>
        </w:rPr>
        <w:t>（图7：“三公”经费财政拨款支出结构）（饼状</w:t>
      </w:r>
      <w:r>
        <w:rPr>
          <w:rFonts w:hint="eastAsia" w:ascii="仿宋" w:eastAsia="仿宋"/>
          <w:sz w:val="32"/>
          <w:szCs w:val="32"/>
        </w:rPr>
        <w:t>图）</w:t>
      </w:r>
    </w:p>
    <w:p>
      <w:pPr>
        <w:pStyle w:val="9"/>
        <w:rPr>
          <w:rFonts w:ascii="仿宋" w:eastAsia="仿宋"/>
          <w:sz w:val="32"/>
          <w:szCs w:val="32"/>
        </w:rPr>
      </w:pPr>
      <w:r>
        <w:rPr>
          <w:rFonts w:hint="eastAsia" w:ascii="仿宋" w:eastAsia="仿宋"/>
          <w:sz w:val="32"/>
          <w:szCs w:val="32"/>
        </w:rPr>
        <w:drawing>
          <wp:inline distT="0" distB="0" distL="114300" distR="114300">
            <wp:extent cx="4817110" cy="2473325"/>
            <wp:effectExtent l="4445" t="4445" r="17145" b="1778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_GB2312" w:eastAsia="仿宋_GB2312"/>
          <w:b/>
          <w:sz w:val="32"/>
          <w:szCs w:val="32"/>
        </w:rPr>
      </w:pPr>
    </w:p>
    <w:p>
      <w:pPr>
        <w:spacing w:line="600" w:lineRule="exact"/>
        <w:ind w:firstLine="640"/>
        <w:rPr>
          <w:rFonts w:ascii="仿宋_GB2312" w:hAnsi="仿宋_GB2312" w:eastAsia="仿宋_GB2312" w:cs="仿宋_GB2312"/>
          <w:b/>
          <w:sz w:val="32"/>
          <w:szCs w:val="32"/>
        </w:rPr>
      </w:pPr>
      <w:r>
        <w:rPr>
          <w:rFonts w:hint="eastAsia" w:ascii="仿宋_GB2312" w:hAnsi="仿宋_GB2312" w:eastAsia="仿宋_GB2312" w:cs="仿宋_GB2312"/>
          <w:b/>
          <w:sz w:val="32"/>
          <w:szCs w:val="32"/>
        </w:rPr>
        <w:t>1.因公出国（境）经费支出</w:t>
      </w:r>
      <w:r>
        <w:rPr>
          <w:rFonts w:hint="eastAsia" w:ascii="仿宋_GB2312" w:hAnsi="仿宋_GB2312" w:eastAsia="仿宋_GB2312" w:cs="仿宋_GB2312"/>
          <w:sz w:val="32"/>
          <w:szCs w:val="32"/>
        </w:rPr>
        <w:t>0万元，</w:t>
      </w:r>
      <w:r>
        <w:rPr>
          <w:rStyle w:val="18"/>
          <w:rFonts w:hint="eastAsia" w:ascii="仿宋_GB2312" w:hAnsi="仿宋_GB2312" w:eastAsia="仿宋_GB2312" w:cs="仿宋_GB2312"/>
          <w:b w:val="0"/>
          <w:bCs/>
          <w:sz w:val="32"/>
          <w:szCs w:val="32"/>
        </w:rPr>
        <w:t>完成预算100%。</w:t>
      </w:r>
      <w:r>
        <w:rPr>
          <w:rFonts w:hint="eastAsia" w:ascii="仿宋_GB2312" w:hAnsi="仿宋_GB2312" w:eastAsia="仿宋_GB2312" w:cs="仿宋_GB2312"/>
          <w:sz w:val="32"/>
          <w:szCs w:val="32"/>
        </w:rPr>
        <w:t>全年安排因公出国（境）团组0次，出国（境）0人。因公出国（境）支出决算与上年持平。</w:t>
      </w:r>
    </w:p>
    <w:p>
      <w:pPr>
        <w:spacing w:line="600" w:lineRule="exact"/>
        <w:ind w:firstLine="640"/>
        <w:rPr>
          <w:rFonts w:ascii="仿宋_GB2312" w:hAnsi="仿宋_GB2312" w:eastAsia="仿宋_GB2312" w:cs="仿宋_GB2312"/>
          <w:b/>
          <w:sz w:val="32"/>
          <w:szCs w:val="32"/>
        </w:rPr>
      </w:pPr>
      <w:r>
        <w:rPr>
          <w:rFonts w:hint="eastAsia" w:ascii="仿宋_GB2312" w:hAnsi="仿宋_GB2312" w:eastAsia="仿宋_GB2312" w:cs="仿宋_GB2312"/>
          <w:b/>
          <w:sz w:val="32"/>
          <w:szCs w:val="32"/>
        </w:rPr>
        <w:t>2.公务用车购置及运行维护费支出</w:t>
      </w:r>
      <w:r>
        <w:rPr>
          <w:rStyle w:val="18"/>
          <w:rFonts w:ascii="仿宋_GB2312" w:hAnsi="仿宋_GB2312" w:eastAsia="仿宋_GB2312" w:cs="仿宋_GB2312"/>
          <w:b w:val="0"/>
          <w:bCs/>
          <w:sz w:val="32"/>
          <w:szCs w:val="32"/>
        </w:rPr>
        <w:t>25.99</w:t>
      </w:r>
      <w:r>
        <w:rPr>
          <w:rFonts w:hint="eastAsia" w:ascii="仿宋_GB2312" w:hAnsi="仿宋_GB2312" w:eastAsia="仿宋_GB2312" w:cs="仿宋_GB2312"/>
          <w:sz w:val="32"/>
          <w:szCs w:val="32"/>
        </w:rPr>
        <w:t>万元,</w:t>
      </w:r>
      <w:r>
        <w:rPr>
          <w:rStyle w:val="18"/>
          <w:rFonts w:hint="eastAsia" w:ascii="仿宋_GB2312" w:hAnsi="仿宋_GB2312" w:eastAsia="仿宋_GB2312" w:cs="仿宋_GB2312"/>
          <w:b w:val="0"/>
          <w:bCs/>
          <w:sz w:val="32"/>
          <w:szCs w:val="32"/>
        </w:rPr>
        <w:t>完成预算100%。</w:t>
      </w:r>
      <w:r>
        <w:rPr>
          <w:rFonts w:hint="eastAsia" w:ascii="仿宋_GB2312" w:hAnsi="仿宋_GB2312" w:eastAsia="仿宋_GB2312" w:cs="仿宋_GB2312"/>
          <w:sz w:val="32"/>
          <w:szCs w:val="32"/>
        </w:rPr>
        <w:t>公务用车购置及运行维护费支出决算比2021年减少较上年</w:t>
      </w:r>
      <w:r>
        <w:rPr>
          <w:rFonts w:hint="eastAsia" w:ascii="仿宋_GB2312" w:hAnsi="仿宋_GB2312" w:cs="仿宋_GB2312" w:eastAsiaTheme="minorEastAsia"/>
          <w:sz w:val="32"/>
          <w:szCs w:val="32"/>
        </w:rPr>
        <w:t>增加9.81</w:t>
      </w:r>
      <w:r>
        <w:rPr>
          <w:rFonts w:hint="eastAsia" w:ascii="仿宋_GB2312" w:hAnsi="仿宋_GB2312" w:eastAsia="仿宋_GB2312" w:cs="仿宋_GB2312"/>
          <w:sz w:val="32"/>
          <w:szCs w:val="32"/>
        </w:rPr>
        <w:t>万元，</w:t>
      </w:r>
      <w:r>
        <w:rPr>
          <w:rFonts w:hint="eastAsia" w:ascii="仿宋_GB2312" w:hAnsi="仿宋_GB2312" w:cs="仿宋_GB2312" w:eastAsiaTheme="minorEastAsia"/>
          <w:sz w:val="32"/>
          <w:szCs w:val="32"/>
        </w:rPr>
        <w:t>增加60.63</w:t>
      </w:r>
      <w:r>
        <w:rPr>
          <w:rFonts w:hint="eastAsia" w:ascii="仿宋_GB2312" w:hAnsi="仿宋_GB2312" w:eastAsia="仿宋_GB2312" w:cs="仿宋_GB2312"/>
          <w:sz w:val="32"/>
          <w:szCs w:val="32"/>
        </w:rPr>
        <w:t>%。主要原因是</w:t>
      </w:r>
      <w:r>
        <w:rPr>
          <w:rFonts w:hint="eastAsia" w:ascii="仿宋_GB2312" w:hAnsi="仿宋_GB2312" w:cs="仿宋_GB2312" w:eastAsiaTheme="minorEastAsia"/>
          <w:sz w:val="32"/>
          <w:szCs w:val="32"/>
        </w:rPr>
        <w:t>公务车辆增加1台，大案、要案办案任务数增加</w:t>
      </w:r>
      <w:r>
        <w:rPr>
          <w:rFonts w:hint="eastAsia" w:ascii="仿宋_GB2312" w:hAnsi="仿宋_GB2312" w:eastAsia="仿宋_GB2312" w:cs="仿宋_GB2312"/>
          <w:sz w:val="32"/>
          <w:szCs w:val="32"/>
        </w:rPr>
        <w:t>。</w:t>
      </w:r>
    </w:p>
    <w:p>
      <w:pPr>
        <w:spacing w:line="60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sz w:val="32"/>
          <w:szCs w:val="32"/>
        </w:rPr>
        <w:t>其中：</w:t>
      </w:r>
      <w:r>
        <w:rPr>
          <w:rFonts w:hint="eastAsia" w:ascii="仿宋_GB2312" w:hAnsi="仿宋_GB2312" w:eastAsia="仿宋_GB2312" w:cs="仿宋_GB2312"/>
          <w:b/>
          <w:sz w:val="32"/>
          <w:szCs w:val="32"/>
        </w:rPr>
        <w:t>公务用车购置支出</w:t>
      </w:r>
      <w:r>
        <w:rPr>
          <w:rFonts w:hint="eastAsia" w:ascii="仿宋_GB2312" w:hAnsi="仿宋_GB2312" w:eastAsia="仿宋_GB2312" w:cs="仿宋_GB2312"/>
          <w:sz w:val="32"/>
          <w:szCs w:val="32"/>
        </w:rPr>
        <w:t>0万元。全年未更新购置公务用车。</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b/>
          <w:sz w:val="32"/>
          <w:szCs w:val="32"/>
        </w:rPr>
        <w:t>公务用车运行维护费支出</w:t>
      </w:r>
      <w:r>
        <w:rPr>
          <w:rFonts w:ascii="仿宋_GB2312" w:hAnsi="仿宋_GB2312" w:eastAsia="仿宋_GB2312" w:cs="仿宋_GB2312"/>
          <w:sz w:val="32"/>
          <w:szCs w:val="32"/>
        </w:rPr>
        <w:t>25.99</w:t>
      </w:r>
      <w:r>
        <w:rPr>
          <w:rFonts w:hint="eastAsia" w:ascii="仿宋_GB2312" w:hAnsi="仿宋_GB2312" w:eastAsia="仿宋_GB2312" w:cs="仿宋_GB2312"/>
          <w:sz w:val="32"/>
          <w:szCs w:val="32"/>
        </w:rPr>
        <w:t>万元。主要用于</w:t>
      </w:r>
      <w:r>
        <w:rPr>
          <w:rFonts w:hint="eastAsia" w:ascii="仿宋_GB2312" w:hAnsi="仿宋_GB2312" w:cs="仿宋_GB2312" w:eastAsiaTheme="minorEastAsia"/>
          <w:color w:val="000000"/>
          <w:sz w:val="32"/>
          <w:szCs w:val="32"/>
        </w:rPr>
        <w:t>纪委日常</w:t>
      </w:r>
      <w:r>
        <w:rPr>
          <w:rFonts w:hint="eastAsia" w:ascii="仿宋_GB2312" w:hAnsi="仿宋_GB2312" w:eastAsia="仿宋_GB2312" w:cs="仿宋_GB2312"/>
          <w:color w:val="000000"/>
          <w:sz w:val="32"/>
          <w:szCs w:val="32"/>
        </w:rPr>
        <w:t>工作</w:t>
      </w:r>
      <w:r>
        <w:rPr>
          <w:rFonts w:hint="eastAsia" w:ascii="仿宋_GB2312" w:hAnsi="仿宋_GB2312" w:cs="仿宋_GB2312" w:eastAsiaTheme="minorEastAsia"/>
          <w:color w:val="000000"/>
          <w:sz w:val="32"/>
          <w:szCs w:val="32"/>
        </w:rPr>
        <w:t>和案件办理工作中的</w:t>
      </w:r>
      <w:r>
        <w:rPr>
          <w:rFonts w:hint="eastAsia" w:ascii="仿宋_GB2312" w:hAnsi="仿宋_GB2312" w:eastAsia="仿宋_GB2312" w:cs="仿宋_GB2312"/>
          <w:color w:val="000000"/>
          <w:sz w:val="32"/>
          <w:szCs w:val="32"/>
        </w:rPr>
        <w:t>出差、下乡等所需的公务用车燃料费、维修费、过路过桥费、保险费等支出。</w:t>
      </w:r>
    </w:p>
    <w:p>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b/>
          <w:sz w:val="32"/>
          <w:szCs w:val="32"/>
        </w:rPr>
        <w:t>3.公务接待费支出</w:t>
      </w:r>
      <w:r>
        <w:rPr>
          <w:rFonts w:ascii="仿宋_GB2312" w:hAnsi="仿宋_GB2312" w:eastAsia="仿宋_GB2312" w:cs="仿宋_GB2312"/>
          <w:sz w:val="32"/>
          <w:szCs w:val="32"/>
        </w:rPr>
        <w:t>0.00万元，</w:t>
      </w:r>
      <w:r>
        <w:rPr>
          <w:rFonts w:ascii="仿宋_GB2312" w:hAnsi="仿宋_GB2312" w:eastAsia="仿宋_GB2312" w:cs="仿宋_GB2312"/>
          <w:b/>
          <w:sz w:val="32"/>
          <w:szCs w:val="32"/>
        </w:rPr>
        <w:t>完成预算100%。</w:t>
      </w:r>
      <w:r>
        <w:rPr>
          <w:rFonts w:ascii="仿宋_GB2312" w:hAnsi="仿宋_GB2312" w:eastAsia="仿宋_GB2312" w:cs="仿宋_GB2312"/>
          <w:sz w:val="32"/>
          <w:szCs w:val="32"/>
        </w:rPr>
        <w:t>公务接待费支出决算比2021年增加-0.90万元，增长-100.00%</w:t>
      </w:r>
      <w:r>
        <w:rPr>
          <w:rFonts w:hint="eastAsia" w:ascii="仿宋_GB2312" w:hAnsi="仿宋_GB2312" w:eastAsia="仿宋_GB2312" w:cs="仿宋_GB2312"/>
          <w:sz w:val="32"/>
          <w:szCs w:val="32"/>
        </w:rPr>
        <w:t>。主要原因是厉行节约减少不必要的开支。</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外事接待支出</w:t>
      </w:r>
      <w:r>
        <w:rPr>
          <w:rFonts w:hint="eastAsia" w:ascii="仿宋_GB2312" w:hAnsi="仿宋_GB2312" w:eastAsia="仿宋_GB2312" w:cs="仿宋_GB2312"/>
          <w:sz w:val="32"/>
          <w:szCs w:val="32"/>
        </w:rPr>
        <w:t>0万元，外事接待0批次，0人次（不包括陪同人员），共计支出0万元。</w:t>
      </w:r>
    </w:p>
    <w:p>
      <w:pPr>
        <w:spacing w:line="600" w:lineRule="exact"/>
        <w:ind w:firstLine="640"/>
        <w:rPr>
          <w:rFonts w:ascii="仿宋_GB2312" w:hAnsi="仿宋_GB2312" w:eastAsia="仿宋_GB2312" w:cs="仿宋_GB2312"/>
          <w:sz w:val="32"/>
          <w:szCs w:val="32"/>
        </w:rPr>
      </w:pPr>
      <w:bookmarkStart w:id="49" w:name="_Toc15377218"/>
      <w:bookmarkStart w:id="50" w:name="_Toc15396610"/>
    </w:p>
    <w:p>
      <w:pPr>
        <w:spacing w:line="600" w:lineRule="exact"/>
        <w:ind w:firstLine="640"/>
        <w:outlineLvl w:val="1"/>
        <w:rPr>
          <w:rStyle w:val="21"/>
          <w:rFonts w:ascii="黑体" w:eastAsia="黑体"/>
        </w:rPr>
      </w:pPr>
      <w:bookmarkStart w:id="51" w:name="_Toc6663"/>
      <w:r>
        <w:rPr>
          <w:rFonts w:hint="eastAsia" w:ascii="黑体" w:eastAsia="黑体"/>
          <w:sz w:val="32"/>
          <w:szCs w:val="32"/>
        </w:rPr>
        <w:t>八、</w:t>
      </w:r>
      <w:r>
        <w:rPr>
          <w:rStyle w:val="21"/>
          <w:rFonts w:hint="eastAsia" w:ascii="黑体" w:eastAsia="黑体"/>
          <w:b w:val="0"/>
        </w:rPr>
        <w:t>政府性基金预算支出决算情况说明</w:t>
      </w:r>
      <w:bookmarkEnd w:id="49"/>
      <w:bookmarkEnd w:id="50"/>
      <w:bookmarkEnd w:id="51"/>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22年政府性基金预算财政拨款支出0万元。</w:t>
      </w:r>
    </w:p>
    <w:p>
      <w:pPr>
        <w:spacing w:line="600" w:lineRule="exact"/>
        <w:ind w:firstLine="640"/>
        <w:rPr>
          <w:rFonts w:ascii="仿宋_GB2312" w:eastAsia="仿宋_GB2312"/>
          <w:sz w:val="32"/>
          <w:szCs w:val="32"/>
        </w:rPr>
      </w:pPr>
    </w:p>
    <w:p>
      <w:pPr>
        <w:numPr>
          <w:ilvl w:val="0"/>
          <w:numId w:val="5"/>
        </w:numPr>
        <w:spacing w:line="600" w:lineRule="exact"/>
        <w:ind w:firstLine="640"/>
        <w:outlineLvl w:val="1"/>
        <w:rPr>
          <w:rStyle w:val="21"/>
          <w:rFonts w:ascii="黑体" w:eastAsia="黑体"/>
          <w:b w:val="0"/>
        </w:rPr>
      </w:pPr>
      <w:bookmarkStart w:id="52" w:name="_Toc15396611"/>
      <w:bookmarkStart w:id="53" w:name="_Toc10406"/>
      <w:bookmarkStart w:id="54" w:name="_Toc15377219"/>
      <w:r>
        <w:rPr>
          <w:rStyle w:val="21"/>
          <w:rFonts w:hint="eastAsia" w:ascii="黑体" w:eastAsia="黑体"/>
          <w:b w:val="0"/>
        </w:rPr>
        <w:t>国有资本经营预算支出决算情况说明</w:t>
      </w:r>
      <w:bookmarkEnd w:id="52"/>
      <w:bookmarkEnd w:id="53"/>
      <w:bookmarkEnd w:id="54"/>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22年国有资本经营预算财政拨款支出0万元。</w:t>
      </w:r>
    </w:p>
    <w:p>
      <w:pPr>
        <w:spacing w:line="580" w:lineRule="exact"/>
        <w:jc w:val="center"/>
        <w:rPr>
          <w:rFonts w:ascii="方正小标宋简体" w:eastAsia="方正小标宋简体" w:cs="方正小标宋简体"/>
          <w:sz w:val="44"/>
          <w:szCs w:val="44"/>
        </w:rPr>
      </w:pPr>
    </w:p>
    <w:p>
      <w:pPr>
        <w:numPr>
          <w:ilvl w:val="0"/>
          <w:numId w:val="5"/>
        </w:numPr>
        <w:spacing w:line="600" w:lineRule="exact"/>
        <w:ind w:firstLine="640"/>
        <w:outlineLvl w:val="1"/>
        <w:rPr>
          <w:rStyle w:val="21"/>
          <w:rFonts w:ascii="黑体" w:eastAsia="黑体"/>
          <w:b w:val="0"/>
        </w:rPr>
      </w:pPr>
      <w:bookmarkStart w:id="55" w:name="_Toc19090"/>
      <w:bookmarkStart w:id="56" w:name="_Toc15377221"/>
      <w:bookmarkStart w:id="57" w:name="_Toc15396612"/>
      <w:r>
        <w:rPr>
          <w:rStyle w:val="21"/>
          <w:rFonts w:hint="eastAsia" w:ascii="黑体" w:eastAsia="黑体"/>
          <w:b w:val="0"/>
        </w:rPr>
        <w:t>其他重要事项的情况说明</w:t>
      </w:r>
      <w:bookmarkEnd w:id="55"/>
      <w:bookmarkEnd w:id="56"/>
      <w:bookmarkEnd w:id="57"/>
    </w:p>
    <w:p>
      <w:pPr>
        <w:spacing w:line="600" w:lineRule="exact"/>
        <w:ind w:firstLine="643" w:firstLineChars="200"/>
        <w:outlineLvl w:val="2"/>
        <w:rPr>
          <w:rFonts w:ascii="仿宋" w:eastAsia="仿宋"/>
          <w:sz w:val="32"/>
          <w:szCs w:val="32"/>
        </w:rPr>
      </w:pPr>
      <w:bookmarkStart w:id="58" w:name="_Toc15377222"/>
      <w:r>
        <w:rPr>
          <w:rFonts w:hint="eastAsia" w:ascii="仿宋" w:eastAsia="仿宋"/>
          <w:b/>
          <w:sz w:val="32"/>
          <w:szCs w:val="32"/>
        </w:rPr>
        <w:t>（一）机关运行经费支出情况</w:t>
      </w:r>
      <w:bookmarkEnd w:id="58"/>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中共阿坝州红原县纪律检查委员会</w:t>
      </w:r>
      <w:r>
        <w:rPr>
          <w:rFonts w:hint="eastAsia" w:ascii="仿宋_GB2312" w:eastAsia="仿宋_GB2312"/>
          <w:sz w:val="32"/>
          <w:szCs w:val="32"/>
        </w:rPr>
        <w:t>机关运行经费支出</w:t>
      </w:r>
      <w:r>
        <w:rPr>
          <w:rFonts w:hint="eastAsia" w:ascii="仿宋_GB2312" w:eastAsiaTheme="minorEastAsia"/>
          <w:sz w:val="32"/>
          <w:szCs w:val="32"/>
        </w:rPr>
        <w:t>201.69</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21年增加</w:t>
      </w:r>
      <w:r>
        <w:rPr>
          <w:rFonts w:hint="eastAsia" w:ascii="仿宋_GB2312" w:eastAsiaTheme="minorEastAsia"/>
          <w:sz w:val="32"/>
          <w:szCs w:val="32"/>
        </w:rPr>
        <w:t>20.39</w:t>
      </w:r>
      <w:r>
        <w:rPr>
          <w:rFonts w:hint="eastAsia" w:ascii="仿宋_GB2312" w:eastAsia="仿宋_GB2312"/>
          <w:sz w:val="32"/>
          <w:szCs w:val="32"/>
        </w:rPr>
        <w:t>万元，增长</w:t>
      </w:r>
      <w:r>
        <w:rPr>
          <w:rFonts w:hint="eastAsia" w:ascii="仿宋_GB2312" w:eastAsiaTheme="minorEastAsia"/>
          <w:sz w:val="32"/>
          <w:szCs w:val="32"/>
        </w:rPr>
        <w:t>11.24</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Theme="minorEastAsia"/>
          <w:sz w:val="32"/>
          <w:szCs w:val="32"/>
        </w:rPr>
        <w:t>2022年</w:t>
      </w:r>
      <w:r>
        <w:rPr>
          <w:rFonts w:hint="eastAsia" w:ascii="仿宋_GB2312" w:eastAsia="仿宋_GB2312"/>
          <w:sz w:val="32"/>
          <w:szCs w:val="32"/>
        </w:rPr>
        <w:t>单位职工人数、办案经费、巡察工作经费等增加。</w:t>
      </w:r>
    </w:p>
    <w:p>
      <w:pPr>
        <w:autoSpaceDE w:val="0"/>
        <w:autoSpaceDN w:val="0"/>
        <w:adjustRightInd w:val="0"/>
        <w:spacing w:line="600" w:lineRule="exact"/>
        <w:ind w:firstLine="643" w:firstLineChars="200"/>
        <w:jc w:val="left"/>
        <w:outlineLvl w:val="2"/>
        <w:rPr>
          <w:rFonts w:ascii="仿宋" w:eastAsia="仿宋"/>
          <w:b/>
          <w:sz w:val="32"/>
          <w:szCs w:val="32"/>
        </w:rPr>
      </w:pPr>
      <w:bookmarkStart w:id="59" w:name="_Toc15377223"/>
      <w:r>
        <w:rPr>
          <w:rFonts w:hint="eastAsia" w:ascii="仿宋" w:eastAsia="仿宋"/>
          <w:b/>
          <w:sz w:val="32"/>
          <w:szCs w:val="32"/>
        </w:rPr>
        <w:t>（二）政府采购支出情况</w:t>
      </w:r>
      <w:bookmarkEnd w:id="59"/>
    </w:p>
    <w:p>
      <w:pPr>
        <w:pStyle w:val="15"/>
        <w:shd w:val="clear" w:color="auto" w:fill="FFFFFF"/>
        <w:ind w:firstLine="640" w:firstLineChars="200"/>
      </w:pPr>
      <w:r>
        <w:rPr>
          <w:rFonts w:ascii="仿宋_GB2312" w:eastAsia="仿宋_GB2312"/>
          <w:sz w:val="32"/>
          <w:szCs w:val="32"/>
        </w:rPr>
        <w:t>2022年，中共阿坝州红原县纪律检查委员会（汇总）政府采购支出总额4.12万元，其中：政府采购货物支出4.12万元、政府采购工程支出0.00万元、政府采购服务支出0.00万元。主要用于</w:t>
      </w:r>
      <w:r>
        <w:rPr>
          <w:rFonts w:hint="eastAsia" w:ascii="仿宋_GB2312" w:eastAsiaTheme="minorEastAsia"/>
          <w:sz w:val="32"/>
          <w:szCs w:val="32"/>
        </w:rPr>
        <w:t>政务风普通涉密设备安装</w:t>
      </w:r>
      <w:r>
        <w:rPr>
          <w:rFonts w:ascii="仿宋_GB2312" w:eastAsia="仿宋_GB2312"/>
          <w:sz w:val="32"/>
          <w:szCs w:val="32"/>
        </w:rPr>
        <w:t>。授予中小企业合同金额4.12万元，占政府采购支出总额的100.00%，其中：授予小微企业合同金额0.00万元，占政府采购支出总额的0.00%</w:t>
      </w:r>
      <w:r>
        <w:t>。</w:t>
      </w:r>
    </w:p>
    <w:p>
      <w:pPr>
        <w:autoSpaceDE w:val="0"/>
        <w:autoSpaceDN w:val="0"/>
        <w:adjustRightInd w:val="0"/>
        <w:spacing w:line="600" w:lineRule="exact"/>
        <w:ind w:firstLine="643" w:firstLineChars="200"/>
        <w:jc w:val="left"/>
        <w:outlineLvl w:val="2"/>
        <w:rPr>
          <w:rFonts w:ascii="仿宋" w:eastAsia="仿宋"/>
          <w:b/>
          <w:sz w:val="32"/>
          <w:szCs w:val="32"/>
        </w:rPr>
      </w:pPr>
      <w:bookmarkStart w:id="60" w:name="_Toc15377224"/>
      <w:r>
        <w:rPr>
          <w:rFonts w:hint="eastAsia" w:ascii="仿宋" w:eastAsia="仿宋"/>
          <w:b/>
          <w:sz w:val="32"/>
          <w:szCs w:val="32"/>
        </w:rPr>
        <w:t>（三）国有资产占有使用情况</w:t>
      </w:r>
      <w:bookmarkEnd w:id="60"/>
    </w:p>
    <w:p>
      <w:pPr>
        <w:pStyle w:val="15"/>
        <w:widowControl/>
        <w:ind w:right="75" w:firstLine="640" w:firstLineChars="200"/>
        <w:rPr>
          <w:rStyle w:val="18"/>
          <w:rFonts w:ascii="仿宋_GB2312" w:hAnsi="仿宋_GB2312" w:eastAsia="仿宋_GB2312" w:cs="仿宋_GB2312"/>
          <w:sz w:val="32"/>
          <w:szCs w:val="32"/>
          <w:shd w:val="clear" w:color="auto" w:fill="FFFFFF"/>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日，我单位共有车辆</w:t>
      </w:r>
      <w:r>
        <w:rPr>
          <w:rFonts w:hint="eastAsia" w:ascii="仿宋_GB2312" w:eastAsiaTheme="minorEastAsia"/>
          <w:sz w:val="32"/>
          <w:szCs w:val="32"/>
        </w:rPr>
        <w:t>5</w:t>
      </w:r>
      <w:r>
        <w:rPr>
          <w:rFonts w:hint="eastAsia" w:ascii="仿宋_GB2312" w:eastAsia="仿宋_GB2312"/>
          <w:sz w:val="32"/>
          <w:szCs w:val="32"/>
        </w:rPr>
        <w:t>辆，全部</w:t>
      </w:r>
      <w:r>
        <w:rPr>
          <w:rFonts w:hint="eastAsia" w:ascii="仿宋_GB2312" w:eastAsiaTheme="minorEastAsia"/>
          <w:sz w:val="32"/>
          <w:szCs w:val="32"/>
        </w:rPr>
        <w:t>执法</w:t>
      </w:r>
      <w:r>
        <w:rPr>
          <w:rFonts w:hint="eastAsia" w:ascii="仿宋_GB2312" w:eastAsia="仿宋_GB2312"/>
          <w:sz w:val="32"/>
          <w:szCs w:val="32"/>
        </w:rPr>
        <w:t>用车</w:t>
      </w:r>
      <w:r>
        <w:rPr>
          <w:rFonts w:hint="eastAsia" w:ascii="仿宋_GB2312" w:eastAsiaTheme="minorEastAsia"/>
          <w:sz w:val="32"/>
          <w:szCs w:val="32"/>
        </w:rPr>
        <w:t>4辆，巡察工作公务用车1辆。</w:t>
      </w:r>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万元以上专用设备0台（套）。截止年底共有资产</w:t>
      </w:r>
      <w:r>
        <w:rPr>
          <w:rFonts w:hint="eastAsia" w:ascii="仿宋_GB2312" w:eastAsiaTheme="minorEastAsia"/>
          <w:sz w:val="32"/>
          <w:szCs w:val="32"/>
        </w:rPr>
        <w:t>400.23</w:t>
      </w:r>
      <w:r>
        <w:rPr>
          <w:rFonts w:hint="eastAsia" w:ascii="仿宋_GB2312" w:eastAsia="仿宋_GB2312"/>
          <w:sz w:val="32"/>
          <w:szCs w:val="32"/>
        </w:rPr>
        <w:t>万元</w:t>
      </w:r>
      <w:r>
        <w:rPr>
          <w:rFonts w:hint="eastAsia" w:ascii="仿宋_GB2312" w:eastAsia="仿宋_GB2312"/>
          <w:color w:val="000000"/>
          <w:sz w:val="32"/>
          <w:szCs w:val="32"/>
        </w:rPr>
        <w:t>（账面原值，下同）</w:t>
      </w:r>
      <w:r>
        <w:rPr>
          <w:rFonts w:hint="eastAsia" w:ascii="仿宋_GB2312" w:eastAsia="仿宋_GB2312"/>
          <w:sz w:val="32"/>
          <w:szCs w:val="32"/>
        </w:rPr>
        <w:t>，其中固定资产</w:t>
      </w:r>
      <w:r>
        <w:rPr>
          <w:rFonts w:hint="eastAsia" w:ascii="仿宋_GB2312" w:eastAsiaTheme="minorEastAsia"/>
          <w:sz w:val="32"/>
          <w:szCs w:val="32"/>
        </w:rPr>
        <w:t>395.74</w:t>
      </w:r>
      <w:r>
        <w:rPr>
          <w:rFonts w:hint="eastAsia" w:ascii="仿宋_GB2312" w:eastAsia="仿宋_GB2312"/>
          <w:sz w:val="32"/>
          <w:szCs w:val="32"/>
        </w:rPr>
        <w:t>万元，占比</w:t>
      </w:r>
      <w:r>
        <w:rPr>
          <w:rFonts w:hint="eastAsia" w:ascii="仿宋_GB2312" w:eastAsiaTheme="minorEastAsia"/>
          <w:sz w:val="32"/>
          <w:szCs w:val="32"/>
        </w:rPr>
        <w:t>98.88</w:t>
      </w:r>
      <w:r>
        <w:rPr>
          <w:rFonts w:hint="eastAsia" w:ascii="仿宋_GB2312" w:eastAsia="仿宋_GB2312"/>
          <w:sz w:val="32"/>
          <w:szCs w:val="32"/>
        </w:rPr>
        <w:t>%，无形资产</w:t>
      </w:r>
      <w:r>
        <w:rPr>
          <w:rFonts w:hint="eastAsia" w:ascii="仿宋_GB2312" w:eastAsiaTheme="minorEastAsia"/>
          <w:sz w:val="32"/>
          <w:szCs w:val="32"/>
        </w:rPr>
        <w:t>4.49</w:t>
      </w:r>
      <w:r>
        <w:rPr>
          <w:rFonts w:hint="eastAsia" w:ascii="仿宋_GB2312" w:eastAsia="仿宋_GB2312"/>
          <w:sz w:val="32"/>
          <w:szCs w:val="32"/>
        </w:rPr>
        <w:t>万元，占比</w:t>
      </w:r>
      <w:r>
        <w:rPr>
          <w:rFonts w:hint="eastAsia" w:ascii="仿宋_GB2312" w:eastAsiaTheme="minorEastAsia"/>
          <w:sz w:val="32"/>
          <w:szCs w:val="32"/>
        </w:rPr>
        <w:t>1.12</w:t>
      </w:r>
      <w:r>
        <w:rPr>
          <w:rFonts w:hint="eastAsia" w:ascii="仿宋_GB2312" w:eastAsia="仿宋_GB2312"/>
          <w:sz w:val="32"/>
          <w:szCs w:val="32"/>
        </w:rPr>
        <w:t>%。</w:t>
      </w:r>
      <w:r>
        <w:rPr>
          <w:rFonts w:hint="eastAsia" w:ascii="仿宋_GB2312" w:eastAsia="仿宋_GB2312"/>
          <w:color w:val="000000"/>
          <w:sz w:val="32"/>
          <w:szCs w:val="32"/>
        </w:rPr>
        <w:t>从资产类别分析，配置土地、房屋及构筑物</w:t>
      </w:r>
      <w:r>
        <w:rPr>
          <w:rFonts w:hint="eastAsia" w:ascii="仿宋_GB2312" w:eastAsiaTheme="minorEastAsia"/>
          <w:color w:val="000000"/>
          <w:sz w:val="32"/>
          <w:szCs w:val="32"/>
        </w:rPr>
        <w:t>0</w:t>
      </w:r>
      <w:r>
        <w:rPr>
          <w:rFonts w:hint="eastAsia" w:ascii="仿宋_GB2312" w:eastAsia="仿宋_GB2312"/>
          <w:color w:val="000000"/>
          <w:sz w:val="32"/>
          <w:szCs w:val="32"/>
        </w:rPr>
        <w:t>万元，占</w:t>
      </w:r>
      <w:r>
        <w:rPr>
          <w:rFonts w:hint="eastAsia" w:ascii="仿宋_GB2312" w:eastAsiaTheme="minorEastAsia"/>
          <w:color w:val="000000"/>
          <w:sz w:val="32"/>
          <w:szCs w:val="32"/>
        </w:rPr>
        <w:t>0</w:t>
      </w:r>
      <w:r>
        <w:rPr>
          <w:rFonts w:hint="eastAsia" w:ascii="仿宋_GB2312" w:eastAsia="仿宋_GB2312"/>
          <w:color w:val="000000"/>
          <w:sz w:val="32"/>
          <w:szCs w:val="32"/>
        </w:rPr>
        <w:t>%； 配置通用设备</w:t>
      </w:r>
      <w:r>
        <w:rPr>
          <w:rFonts w:hint="eastAsia" w:ascii="仿宋_GB2312" w:eastAsiaTheme="minorEastAsia"/>
          <w:color w:val="000000"/>
          <w:sz w:val="32"/>
          <w:szCs w:val="32"/>
        </w:rPr>
        <w:t>381.06</w:t>
      </w:r>
      <w:r>
        <w:rPr>
          <w:rFonts w:hint="eastAsia" w:ascii="仿宋_GB2312" w:eastAsia="仿宋_GB2312"/>
          <w:color w:val="000000"/>
          <w:sz w:val="32"/>
          <w:szCs w:val="32"/>
        </w:rPr>
        <w:t>万元，占</w:t>
      </w:r>
      <w:r>
        <w:rPr>
          <w:rFonts w:hint="eastAsia" w:ascii="仿宋_GB2312" w:eastAsiaTheme="minorEastAsia"/>
          <w:color w:val="000000"/>
          <w:sz w:val="32"/>
          <w:szCs w:val="32"/>
        </w:rPr>
        <w:t>95.21</w:t>
      </w:r>
      <w:r>
        <w:rPr>
          <w:rFonts w:hint="eastAsia" w:ascii="仿宋_GB2312" w:eastAsia="仿宋_GB2312"/>
          <w:color w:val="000000"/>
          <w:sz w:val="32"/>
          <w:szCs w:val="32"/>
        </w:rPr>
        <w:t>% ； 配置家具、用具、装具及动植物</w:t>
      </w:r>
      <w:r>
        <w:rPr>
          <w:rFonts w:hint="eastAsia" w:ascii="仿宋_GB2312" w:eastAsiaTheme="minorEastAsia"/>
          <w:color w:val="000000"/>
          <w:sz w:val="32"/>
          <w:szCs w:val="32"/>
        </w:rPr>
        <w:t>14.68</w:t>
      </w:r>
      <w:r>
        <w:rPr>
          <w:rFonts w:hint="eastAsia" w:ascii="仿宋_GB2312" w:eastAsia="仿宋_GB2312"/>
          <w:color w:val="000000"/>
          <w:sz w:val="32"/>
          <w:szCs w:val="32"/>
        </w:rPr>
        <w:t>万元，占</w:t>
      </w:r>
      <w:r>
        <w:rPr>
          <w:rFonts w:hint="eastAsia" w:ascii="仿宋_GB2312" w:eastAsiaTheme="minorEastAsia"/>
          <w:color w:val="000000"/>
          <w:sz w:val="32"/>
          <w:szCs w:val="32"/>
        </w:rPr>
        <w:t>3.67</w:t>
      </w:r>
      <w:r>
        <w:rPr>
          <w:rFonts w:hint="eastAsia" w:ascii="仿宋_GB2312" w:eastAsia="仿宋_GB2312"/>
          <w:color w:val="000000"/>
          <w:sz w:val="32"/>
          <w:szCs w:val="32"/>
        </w:rPr>
        <w:t>% ，无形资产</w:t>
      </w:r>
      <w:r>
        <w:rPr>
          <w:rFonts w:hint="eastAsia" w:ascii="仿宋_GB2312" w:eastAsiaTheme="minorEastAsia"/>
          <w:color w:val="000000"/>
          <w:sz w:val="32"/>
          <w:szCs w:val="32"/>
        </w:rPr>
        <w:t>4.49</w:t>
      </w:r>
      <w:r>
        <w:rPr>
          <w:rFonts w:hint="eastAsia" w:ascii="仿宋_GB2312" w:eastAsia="仿宋_GB2312"/>
          <w:color w:val="000000"/>
          <w:sz w:val="32"/>
          <w:szCs w:val="32"/>
        </w:rPr>
        <w:t>万元，占比</w:t>
      </w:r>
      <w:r>
        <w:rPr>
          <w:rFonts w:hint="eastAsia" w:ascii="仿宋_GB2312" w:eastAsiaTheme="minorEastAsia"/>
          <w:color w:val="000000"/>
          <w:sz w:val="32"/>
          <w:szCs w:val="32"/>
        </w:rPr>
        <w:t>1.12</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eastAsia="仿宋"/>
          <w:b/>
          <w:sz w:val="32"/>
          <w:szCs w:val="32"/>
        </w:rPr>
      </w:pPr>
      <w:r>
        <w:rPr>
          <w:rFonts w:hint="eastAsia" w:ascii="仿宋" w:eastAsia="仿宋"/>
          <w:b/>
          <w:sz w:val="32"/>
          <w:szCs w:val="32"/>
        </w:rPr>
        <w:t>（五）预算绩效管理情况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cs="仿宋_GB2312" w:eastAsiaTheme="minorEastAsia"/>
          <w:sz w:val="32"/>
          <w:szCs w:val="32"/>
        </w:rPr>
        <w:t>纪委办公区域和干部周转房维修维护</w:t>
      </w:r>
      <w:r>
        <w:rPr>
          <w:rFonts w:hint="eastAsia" w:ascii="仿宋_GB2312" w:hAnsi="仿宋_GB2312" w:eastAsia="仿宋_GB2312" w:cs="仿宋_GB2312"/>
          <w:sz w:val="32"/>
          <w:szCs w:val="32"/>
        </w:rPr>
        <w:t>、</w:t>
      </w:r>
      <w:r>
        <w:rPr>
          <w:rFonts w:hint="eastAsia" w:ascii="仿宋_GB2312" w:hAnsi="仿宋_GB2312" w:cs="仿宋_GB2312" w:eastAsiaTheme="minorEastAsia"/>
          <w:sz w:val="32"/>
          <w:szCs w:val="32"/>
        </w:rPr>
        <w:t>全县纪检监察干部赴浙江培训学习、涉密视频终端会议系统安装</w:t>
      </w:r>
      <w:r>
        <w:rPr>
          <w:rFonts w:hint="eastAsia" w:ascii="仿宋_GB2312" w:hAnsi="仿宋_GB2312" w:eastAsia="仿宋_GB2312" w:cs="仿宋_GB2312"/>
          <w:sz w:val="32"/>
          <w:szCs w:val="32"/>
        </w:rPr>
        <w:t>及</w:t>
      </w:r>
      <w:r>
        <w:rPr>
          <w:rFonts w:hint="eastAsia" w:ascii="仿宋_GB2312" w:hAnsi="仿宋_GB2312" w:cs="仿宋_GB2312" w:eastAsiaTheme="minorEastAsia"/>
          <w:sz w:val="32"/>
          <w:szCs w:val="32"/>
        </w:rPr>
        <w:t>乡镇纪委谈话室规范化建设4</w:t>
      </w:r>
      <w:r>
        <w:rPr>
          <w:rFonts w:hint="eastAsia" w:ascii="仿宋_GB2312" w:hAnsi="仿宋_GB2312" w:eastAsia="仿宋_GB2312" w:cs="仿宋_GB2312"/>
          <w:sz w:val="32"/>
          <w:szCs w:val="32"/>
        </w:rPr>
        <w:t>个专项预算开展了预算事前绩效评估，对</w:t>
      </w:r>
      <w:r>
        <w:rPr>
          <w:rFonts w:hint="eastAsia" w:ascii="仿宋_GB2312" w:hAnsi="仿宋_GB2312" w:cs="仿宋_GB2312" w:eastAsiaTheme="minorEastAsia"/>
          <w:sz w:val="32"/>
          <w:szCs w:val="32"/>
        </w:rPr>
        <w:t>4</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cs="仿宋_GB2312" w:eastAsiaTheme="minorEastAsia"/>
          <w:sz w:val="32"/>
          <w:szCs w:val="32"/>
        </w:rPr>
        <w:t>4</w:t>
      </w:r>
      <w:r>
        <w:rPr>
          <w:rFonts w:hint="eastAsia" w:ascii="仿宋_GB2312" w:hAnsi="仿宋_GB2312" w:eastAsia="仿宋_GB2312" w:cs="仿宋_GB2312"/>
          <w:sz w:val="32"/>
          <w:szCs w:val="32"/>
        </w:rPr>
        <w:t>个项目开展绩效监控，年终执行完毕后，对</w:t>
      </w:r>
      <w:r>
        <w:rPr>
          <w:rFonts w:hint="eastAsia" w:ascii="仿宋_GB2312" w:hAnsi="仿宋_GB2312" w:cs="仿宋_GB2312" w:eastAsiaTheme="minorEastAsia"/>
          <w:sz w:val="32"/>
          <w:szCs w:val="32"/>
        </w:rPr>
        <w:t>4</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w:t>
      </w:r>
      <w:r>
        <w:rPr>
          <w:rFonts w:hint="eastAsia" w:ascii="仿宋_GB2312" w:hAnsi="仿宋_GB2312" w:cs="仿宋_GB2312" w:eastAsiaTheme="minorEastAsia"/>
          <w:sz w:val="32"/>
          <w:szCs w:val="32"/>
        </w:rPr>
        <w:t>2</w:t>
      </w:r>
      <w:r>
        <w:rPr>
          <w:rFonts w:hint="eastAsia" w:ascii="仿宋_GB2312" w:hAnsi="仿宋_GB2312" w:eastAsia="仿宋_GB2312" w:cs="仿宋_GB2312"/>
          <w:sz w:val="32"/>
          <w:szCs w:val="32"/>
        </w:rPr>
        <w:t>年部门整体支出开展绩效自评，从评价情况来看本单位</w:t>
      </w:r>
      <w:r>
        <w:rPr>
          <w:rFonts w:hint="eastAsia" w:ascii="仿宋_GB2312" w:hAnsi="仿宋_GB2312" w:cs="仿宋_GB2312" w:eastAsiaTheme="minorEastAsia"/>
          <w:sz w:val="32"/>
          <w:szCs w:val="32"/>
        </w:rPr>
        <w:t>4</w:t>
      </w:r>
      <w:r>
        <w:rPr>
          <w:rFonts w:hint="eastAsia" w:ascii="仿宋_GB2312" w:hAnsi="仿宋_GB2312" w:eastAsia="仿宋_GB2312" w:cs="仿宋_GB2312"/>
          <w:sz w:val="32"/>
          <w:szCs w:val="32"/>
        </w:rPr>
        <w:t>个项目完成情况良好，严格按照本单位制定的目标绩效管理制度来开展绩效管理工作，项目资金为专项经费的，全部用于专项工2022年</w:t>
      </w:r>
      <w:r>
        <w:rPr>
          <w:rFonts w:hint="eastAsia" w:ascii="仿宋_GB2312" w:hAnsi="仿宋_GB2312" w:eastAsia="仿宋_GB2312" w:cs="仿宋_GB2312"/>
          <w:sz w:val="32"/>
          <w:szCs w:val="32"/>
          <w:shd w:val="clear" w:color="auto" w:fill="FFFFFF"/>
        </w:rPr>
        <w:t>本部门未组织开展项目支出事后绩效评价。</w:t>
      </w:r>
    </w:p>
    <w:p>
      <w:pPr>
        <w:spacing w:line="580" w:lineRule="exact"/>
        <w:ind w:firstLine="320" w:firstLineChars="100"/>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color w:val="FF0000"/>
          <w:sz w:val="32"/>
          <w:szCs w:val="32"/>
        </w:rPr>
        <w:br w:type="textWrapping"/>
      </w:r>
      <w:r>
        <w:rPr>
          <w:rFonts w:hint="eastAsia" w:ascii="仿宋_GB2312" w:hAnsi="仿宋_GB2312" w:eastAsia="仿宋_GB2312" w:cs="仿宋_GB2312"/>
          <w:color w:val="FF0000"/>
          <w:sz w:val="32"/>
          <w:szCs w:val="32"/>
        </w:rPr>
        <w:t xml:space="preserve">    </w:t>
      </w:r>
      <w:r>
        <w:rPr>
          <w:rFonts w:hint="eastAsia" w:ascii="仿宋_GB2312" w:hAnsi="仿宋_GB2312" w:eastAsia="仿宋_GB2312" w:cs="仿宋_GB2312"/>
          <w:sz w:val="32"/>
          <w:szCs w:val="32"/>
        </w:rPr>
        <w:t>本部门在2022年度部门决算中反映：</w:t>
      </w:r>
      <w:r>
        <w:rPr>
          <w:rFonts w:ascii="仿宋_GB2312" w:hAnsi="仿宋_GB2312" w:eastAsia="仿宋_GB2312" w:cs="仿宋_GB2312"/>
          <w:sz w:val="32"/>
          <w:szCs w:val="32"/>
        </w:rPr>
        <w:t>“</w:t>
      </w:r>
      <w:r>
        <w:rPr>
          <w:rFonts w:hint="eastAsia" w:ascii="仿宋_GB2312" w:hAnsi="仿宋_GB2312" w:cs="仿宋_GB2312" w:eastAsiaTheme="minorEastAsia"/>
          <w:sz w:val="32"/>
          <w:szCs w:val="32"/>
        </w:rPr>
        <w:t>纪委办公区域和干部周转房维修维护</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 xml:space="preserve"> “</w:t>
      </w:r>
      <w:r>
        <w:rPr>
          <w:rFonts w:hint="eastAsia" w:ascii="仿宋_GB2312" w:hAnsi="仿宋_GB2312" w:cs="仿宋_GB2312" w:eastAsiaTheme="minorEastAsia"/>
          <w:sz w:val="32"/>
          <w:szCs w:val="32"/>
        </w:rPr>
        <w:t>红原县纪检监察干部赴浙江考察学习</w:t>
      </w:r>
      <w:r>
        <w:rPr>
          <w:rFonts w:ascii="仿宋_GB2312" w:hAnsi="仿宋_GB2312" w:eastAsia="仿宋_GB2312" w:cs="仿宋_GB2312"/>
          <w:sz w:val="32"/>
          <w:szCs w:val="32"/>
        </w:rPr>
        <w:t>”</w:t>
      </w:r>
      <w:r>
        <w:rPr>
          <w:rFonts w:hint="eastAsia" w:ascii="仿宋_GB2312" w:hAnsi="仿宋_GB2312" w:cs="仿宋_GB2312" w:eastAsiaTheme="minorEastAsia"/>
          <w:sz w:val="32"/>
          <w:szCs w:val="32"/>
        </w:rPr>
        <w:t>、</w:t>
      </w:r>
      <w:r>
        <w:rPr>
          <w:rFonts w:ascii="仿宋_GB2312" w:hAnsi="仿宋_GB2312" w:eastAsia="仿宋_GB2312" w:cs="仿宋_GB2312"/>
          <w:sz w:val="32"/>
          <w:szCs w:val="32"/>
        </w:rPr>
        <w:t xml:space="preserve"> “</w:t>
      </w:r>
      <w:r>
        <w:rPr>
          <w:rFonts w:hint="eastAsia" w:ascii="仿宋_GB2312" w:hAnsi="仿宋_GB2312" w:cs="仿宋_GB2312" w:eastAsiaTheme="minorEastAsia"/>
          <w:sz w:val="32"/>
          <w:szCs w:val="32"/>
        </w:rPr>
        <w:t>涉密视频终端会议系统安装</w:t>
      </w:r>
      <w:r>
        <w:rPr>
          <w:rFonts w:ascii="仿宋_GB2312" w:hAnsi="仿宋_GB2312" w:eastAsia="仿宋_GB2312" w:cs="仿宋_GB2312"/>
          <w:sz w:val="32"/>
          <w:szCs w:val="32"/>
        </w:rPr>
        <w:t>”</w:t>
      </w:r>
      <w:r>
        <w:rPr>
          <w:rFonts w:hint="eastAsia" w:ascii="仿宋_GB2312" w:hAnsi="仿宋_GB2312" w:cs="仿宋_GB2312" w:eastAsiaTheme="minorEastAsia"/>
          <w:sz w:val="32"/>
          <w:szCs w:val="32"/>
        </w:rPr>
        <w:t>、</w:t>
      </w:r>
      <w:r>
        <w:rPr>
          <w:rFonts w:ascii="仿宋_GB2312" w:hAnsi="仿宋_GB2312" w:eastAsia="仿宋_GB2312" w:cs="仿宋_GB2312"/>
          <w:sz w:val="32"/>
          <w:szCs w:val="32"/>
        </w:rPr>
        <w:t xml:space="preserve"> “</w:t>
      </w:r>
      <w:r>
        <w:rPr>
          <w:rFonts w:hint="eastAsia" w:ascii="仿宋_GB2312" w:hAnsi="仿宋_GB2312" w:cs="仿宋_GB2312" w:eastAsiaTheme="minorEastAsia"/>
          <w:sz w:val="32"/>
          <w:szCs w:val="32"/>
        </w:rPr>
        <w:t>乡镇纪委谈话室规范化建设</w:t>
      </w:r>
      <w:r>
        <w:rPr>
          <w:rFonts w:ascii="仿宋_GB2312" w:hAnsi="仿宋_GB2312" w:eastAsia="仿宋_GB2312" w:cs="仿宋_GB2312"/>
          <w:sz w:val="32"/>
          <w:szCs w:val="32"/>
        </w:rPr>
        <w:t>”</w:t>
      </w:r>
      <w:r>
        <w:rPr>
          <w:rFonts w:hint="eastAsia" w:ascii="仿宋_GB2312" w:hAnsi="仿宋_GB2312" w:cs="仿宋_GB2312" w:eastAsiaTheme="minorEastAsia"/>
          <w:sz w:val="32"/>
          <w:szCs w:val="32"/>
        </w:rPr>
        <w:t>4</w:t>
      </w:r>
      <w:r>
        <w:rPr>
          <w:rFonts w:hint="eastAsia" w:ascii="仿宋_GB2312" w:hAnsi="仿宋_GB2312" w:eastAsia="仿宋_GB2312" w:cs="仿宋_GB2312"/>
          <w:sz w:val="32"/>
          <w:szCs w:val="32"/>
        </w:rPr>
        <w:t>个项目绩效目标实际完成情况。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cs="仿宋_GB2312" w:eastAsiaTheme="minorEastAsia"/>
          <w:sz w:val="32"/>
          <w:szCs w:val="32"/>
        </w:rPr>
        <w:t>纪委办公区域和干部周转房维修维护</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cs="仿宋_GB2312" w:eastAsiaTheme="minorEastAsia"/>
          <w:sz w:val="32"/>
          <w:szCs w:val="32"/>
        </w:rPr>
        <w:t>3.87</w:t>
      </w:r>
      <w:r>
        <w:rPr>
          <w:rFonts w:hint="eastAsia" w:ascii="仿宋_GB2312" w:hAnsi="仿宋_GB2312" w:eastAsia="仿宋_GB2312" w:cs="仿宋_GB2312"/>
          <w:sz w:val="32"/>
          <w:szCs w:val="32"/>
        </w:rPr>
        <w:t>万元，执行数为</w:t>
      </w:r>
      <w:r>
        <w:rPr>
          <w:rFonts w:hint="eastAsia" w:ascii="仿宋_GB2312" w:hAnsi="仿宋_GB2312" w:cs="仿宋_GB2312" w:eastAsiaTheme="minorEastAsia"/>
          <w:sz w:val="32"/>
          <w:szCs w:val="32"/>
        </w:rPr>
        <w:t>3.87</w:t>
      </w:r>
      <w:r>
        <w:rPr>
          <w:rFonts w:hint="eastAsia" w:ascii="仿宋_GB2312" w:hAnsi="仿宋_GB2312" w:eastAsia="仿宋_GB2312" w:cs="仿宋_GB2312"/>
          <w:sz w:val="32"/>
          <w:szCs w:val="32"/>
        </w:rPr>
        <w:t>万元，完成预算的100%。通过项目实施，保障了2022年</w:t>
      </w:r>
      <w:r>
        <w:rPr>
          <w:rFonts w:hint="eastAsia" w:ascii="仿宋_GB2312" w:hAnsi="仿宋_GB2312" w:cs="仿宋_GB2312" w:eastAsiaTheme="minorEastAsia"/>
          <w:sz w:val="32"/>
          <w:szCs w:val="32"/>
        </w:rPr>
        <w:t>干部职工住房、办公条件的改善</w:t>
      </w:r>
      <w:r>
        <w:rPr>
          <w:rFonts w:hint="eastAsia" w:ascii="仿宋_GB2312" w:hAnsi="仿宋_GB2312" w:eastAsia="仿宋_GB2312" w:cs="仿宋_GB2312"/>
          <w:sz w:val="32"/>
          <w:szCs w:val="32"/>
        </w:rPr>
        <w:t>，在2021年支出执行基础上，细化预算编制，提高了预算编制的精准性。</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cs="仿宋_GB2312" w:eastAsiaTheme="minorEastAsia"/>
          <w:sz w:val="32"/>
          <w:szCs w:val="32"/>
        </w:rPr>
        <w:t>红原县纪检监察干部赴浙江考察学习</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cs="仿宋_GB2312" w:eastAsiaTheme="minorEastAsia"/>
          <w:sz w:val="32"/>
          <w:szCs w:val="32"/>
        </w:rPr>
        <w:t>30</w:t>
      </w:r>
      <w:r>
        <w:rPr>
          <w:rFonts w:hint="eastAsia" w:ascii="仿宋_GB2312" w:hAnsi="仿宋_GB2312" w:eastAsia="仿宋_GB2312" w:cs="仿宋_GB2312"/>
          <w:sz w:val="32"/>
          <w:szCs w:val="32"/>
        </w:rPr>
        <w:t>万元，执行数为</w:t>
      </w:r>
      <w:r>
        <w:rPr>
          <w:rFonts w:hint="eastAsia" w:ascii="仿宋_GB2312" w:hAnsi="仿宋_GB2312" w:cs="仿宋_GB2312" w:eastAsiaTheme="minorEastAsia"/>
          <w:sz w:val="32"/>
          <w:szCs w:val="32"/>
        </w:rPr>
        <w:t>30</w:t>
      </w:r>
      <w:r>
        <w:rPr>
          <w:rFonts w:hint="eastAsia" w:ascii="仿宋_GB2312" w:hAnsi="仿宋_GB2312" w:eastAsia="仿宋_GB2312" w:cs="仿宋_GB2312"/>
          <w:sz w:val="32"/>
          <w:szCs w:val="32"/>
        </w:rPr>
        <w:t>万元，完成预算的100%。有效保障了</w:t>
      </w:r>
      <w:r>
        <w:rPr>
          <w:rFonts w:hint="eastAsia" w:ascii="仿宋_GB2312" w:hAnsi="仿宋_GB2312" w:cs="仿宋_GB2312" w:eastAsiaTheme="minorEastAsia"/>
          <w:sz w:val="32"/>
          <w:szCs w:val="32"/>
        </w:rPr>
        <w:t>全县纪检监察干部</w:t>
      </w:r>
      <w:r>
        <w:rPr>
          <w:rFonts w:hint="eastAsia" w:ascii="仿宋_GB2312" w:hAnsi="仿宋_GB2312" w:eastAsia="仿宋_GB2312" w:cs="仿宋_GB2312"/>
          <w:sz w:val="32"/>
          <w:szCs w:val="32"/>
        </w:rPr>
        <w:t>履职能力提升，</w:t>
      </w:r>
      <w:r>
        <w:rPr>
          <w:rFonts w:hint="eastAsia" w:ascii="仿宋_GB2312" w:hAnsi="仿宋_GB2312" w:cs="仿宋_GB2312" w:eastAsiaTheme="minorEastAsia"/>
          <w:sz w:val="32"/>
          <w:szCs w:val="32"/>
        </w:rPr>
        <w:t>加强了办案、监督、检查能力</w:t>
      </w:r>
      <w:r>
        <w:rPr>
          <w:rFonts w:hint="eastAsia" w:ascii="仿宋_GB2312" w:hAnsi="仿宋_GB2312" w:eastAsia="仿宋_GB2312" w:cs="仿宋_GB2312"/>
          <w:sz w:val="32"/>
          <w:szCs w:val="32"/>
        </w:rPr>
        <w:t>。发现的主要问题：预算编制还不够精准，下一步将根据上一年支出执行情况结合实际细化预算编制，提高预算编制的精准性。</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cs="仿宋_GB2312" w:eastAsiaTheme="minorEastAsia"/>
          <w:sz w:val="32"/>
          <w:szCs w:val="32"/>
        </w:rPr>
        <w:t>乡镇纪委谈话室规范化建设</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cs="仿宋_GB2312" w:eastAsiaTheme="minorEastAsia"/>
          <w:sz w:val="32"/>
          <w:szCs w:val="32"/>
        </w:rPr>
        <w:t>52.07</w:t>
      </w:r>
      <w:r>
        <w:rPr>
          <w:rFonts w:hint="eastAsia" w:ascii="仿宋_GB2312" w:hAnsi="仿宋_GB2312" w:eastAsia="仿宋_GB2312" w:cs="仿宋_GB2312"/>
          <w:sz w:val="32"/>
          <w:szCs w:val="32"/>
        </w:rPr>
        <w:t>万元，执行数为</w:t>
      </w:r>
      <w:r>
        <w:rPr>
          <w:rFonts w:hint="eastAsia" w:ascii="仿宋_GB2312" w:hAnsi="仿宋_GB2312" w:cs="仿宋_GB2312" w:eastAsiaTheme="minorEastAsia"/>
          <w:sz w:val="32"/>
          <w:szCs w:val="32"/>
        </w:rPr>
        <w:t>50.33</w:t>
      </w:r>
      <w:r>
        <w:rPr>
          <w:rFonts w:hint="eastAsia" w:ascii="仿宋_GB2312" w:hAnsi="仿宋_GB2312" w:eastAsia="仿宋_GB2312" w:cs="仿宋_GB2312"/>
          <w:sz w:val="32"/>
          <w:szCs w:val="32"/>
        </w:rPr>
        <w:t>万元，完成预算的</w:t>
      </w:r>
      <w:r>
        <w:rPr>
          <w:rFonts w:hint="eastAsia" w:ascii="仿宋_GB2312" w:hAnsi="仿宋_GB2312" w:cs="仿宋_GB2312" w:eastAsiaTheme="minorEastAsia"/>
          <w:sz w:val="32"/>
          <w:szCs w:val="32"/>
        </w:rPr>
        <w:t>96.64</w:t>
      </w:r>
      <w:r>
        <w:rPr>
          <w:rFonts w:hint="eastAsia" w:ascii="仿宋_GB2312" w:hAnsi="仿宋_GB2312" w:eastAsia="仿宋_GB2312" w:cs="仿宋_GB2312"/>
          <w:sz w:val="32"/>
          <w:szCs w:val="32"/>
        </w:rPr>
        <w:t>%，</w:t>
      </w:r>
      <w:r>
        <w:rPr>
          <w:rFonts w:hint="eastAsia" w:ascii="仿宋_GB2312" w:hAnsi="仿宋_GB2312" w:cs="仿宋_GB2312" w:eastAsiaTheme="minorEastAsia"/>
          <w:sz w:val="32"/>
          <w:szCs w:val="32"/>
        </w:rPr>
        <w:t>因按项目合同要求，扣留1.75万元的质保金，项目建成满1年后无质量问题返还施工方，</w:t>
      </w:r>
      <w:r>
        <w:rPr>
          <w:rFonts w:hint="eastAsia" w:ascii="仿宋_GB2312" w:hAnsi="仿宋_GB2312" w:eastAsia="仿宋_GB2312" w:cs="仿宋_GB2312"/>
          <w:sz w:val="32"/>
          <w:szCs w:val="32"/>
        </w:rPr>
        <w:t>为</w:t>
      </w:r>
      <w:r>
        <w:rPr>
          <w:rFonts w:hint="eastAsia" w:ascii="仿宋_GB2312" w:hAnsi="仿宋_GB2312" w:cs="仿宋_GB2312" w:eastAsiaTheme="minorEastAsia"/>
          <w:sz w:val="32"/>
          <w:szCs w:val="32"/>
        </w:rPr>
        <w:t>全县乡镇纪委安全办案提供了保障、增强了办案能力和案件质效，</w:t>
      </w:r>
      <w:r>
        <w:rPr>
          <w:rFonts w:hint="eastAsia" w:ascii="仿宋_GB2312" w:hAnsi="仿宋_GB2312" w:eastAsia="仿宋_GB2312" w:cs="仿宋_GB2312"/>
          <w:sz w:val="32"/>
          <w:szCs w:val="32"/>
        </w:rPr>
        <w:t>发现的主要问题：预算编制经济科目不够精准，后续将提高相关业务人员业务素养，加强学习，争取预算根据精准细化。</w:t>
      </w:r>
    </w:p>
    <w:p>
      <w:pPr>
        <w:pStyle w:val="2"/>
        <w:spacing w:line="580" w:lineRule="exact"/>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w:t>
      </w:r>
      <w:r>
        <w:rPr>
          <w:rFonts w:hint="eastAsia" w:ascii="仿宋_GB2312" w:hAnsi="仿宋_GB2312" w:cs="仿宋_GB2312" w:eastAsiaTheme="minorEastAsia"/>
          <w:kern w:val="2"/>
          <w:sz w:val="32"/>
          <w:szCs w:val="32"/>
        </w:rPr>
        <w:t>　</w:t>
      </w:r>
      <w:r>
        <w:rPr>
          <w:rFonts w:hint="eastAsia" w:ascii="仿宋_GB2312" w:hAnsi="仿宋_GB2312" w:eastAsia="仿宋_GB2312" w:cs="仿宋_GB2312"/>
          <w:kern w:val="2"/>
          <w:sz w:val="32"/>
          <w:szCs w:val="32"/>
        </w:rPr>
        <w:t>（4）涉密视频终端会议系统安装项目绩效目标完成情况综述。项目全年预算数7万元，执行数为4.12万元，完成预算的58.86%，有效保障了纪检监察网络涉密系统的安全性及保密性。发现的主要问题：因按上级密件要求预算金额，预算编制不够精准，下一步将根据结合实际细化预算编制，提高预算编制的精准性。</w:t>
      </w:r>
    </w:p>
    <w:tbl>
      <w:tblPr>
        <w:tblStyle w:val="16"/>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737"/>
        <w:gridCol w:w="853"/>
        <w:gridCol w:w="825"/>
        <w:gridCol w:w="1800"/>
        <w:gridCol w:w="1935"/>
        <w:gridCol w:w="2415"/>
      </w:tblGrid>
      <w:tr>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widowControl/>
              <w:textAlignment w:val="center"/>
              <w:rPr>
                <w:rFonts w:ascii="黑体" w:hAnsi="黑体" w:eastAsia="黑体" w:cs="宋体"/>
                <w:bCs/>
                <w:color w:val="000000"/>
                <w:kern w:val="0"/>
                <w:sz w:val="36"/>
                <w:szCs w:val="36"/>
              </w:rPr>
            </w:pPr>
          </w:p>
          <w:p>
            <w:pPr>
              <w:pStyle w:val="27"/>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(2022年度)</w:t>
            </w:r>
          </w:p>
        </w:tc>
      </w:tr>
      <w:tr>
        <w:tblPrEx>
          <w:tblCellMar>
            <w:top w:w="0" w:type="dxa"/>
            <w:left w:w="0" w:type="dxa"/>
            <w:bottom w:w="0" w:type="dxa"/>
            <w:right w:w="0" w:type="dxa"/>
          </w:tblCellMar>
        </w:tblPrEx>
        <w:trPr>
          <w:trHeight w:val="276" w:hRule="atLeast"/>
        </w:trPr>
        <w:tc>
          <w:tcPr>
            <w:tcW w:w="213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828"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cs="仿宋_GB2312" w:eastAsiaTheme="minorEastAsia"/>
                <w:sz w:val="32"/>
                <w:szCs w:val="32"/>
              </w:rPr>
              <w:t>纪委办公区域和干部周转房维修维护项目</w:t>
            </w:r>
          </w:p>
        </w:tc>
      </w:tr>
      <w:tr>
        <w:tblPrEx>
          <w:tblCellMar>
            <w:top w:w="0" w:type="dxa"/>
            <w:left w:w="0" w:type="dxa"/>
            <w:bottom w:w="0" w:type="dxa"/>
            <w:right w:w="0" w:type="dxa"/>
          </w:tblCellMar>
        </w:tblPrEx>
        <w:trPr>
          <w:trHeight w:val="276" w:hRule="atLeast"/>
        </w:trPr>
        <w:tc>
          <w:tcPr>
            <w:tcW w:w="213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828"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中共红原县纪律检查委员会</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174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8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3.87万元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3.87万元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74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8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3.87万元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3.87万元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74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8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改善干部职工住房、办公条件。</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保障了2022年干部职工住房、办公条件的改善。</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8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62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项目决策</w:t>
            </w:r>
          </w:p>
        </w:tc>
        <w:tc>
          <w:tcPr>
            <w:tcW w:w="737"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绩效目标</w:t>
            </w:r>
          </w:p>
        </w:tc>
        <w:tc>
          <w:tcPr>
            <w:tcW w:w="853"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目标内容</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对干部周转房及职工办公楼的维修维护。</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对干部周转房及办公室进行了粉刷、维修等工程。</w:t>
            </w: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进度计划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目标匹配</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737"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决策依据</w:t>
            </w: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政策依据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实施规划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管理制度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已制定按照相关文件执行</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737"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资金分配</w:t>
            </w:r>
          </w:p>
        </w:tc>
        <w:tc>
          <w:tcPr>
            <w:tcW w:w="853"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分配方法</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737"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分配过程</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737"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分配结果</w:t>
            </w: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审核把关</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2个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2个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资金集中</w:t>
            </w:r>
          </w:p>
        </w:tc>
        <w:tc>
          <w:tcPr>
            <w:tcW w:w="82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（均衡）</w:t>
            </w:r>
          </w:p>
        </w:tc>
        <w:tc>
          <w:tcPr>
            <w:tcW w:w="82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项目管理</w:t>
            </w:r>
          </w:p>
        </w:tc>
        <w:tc>
          <w:tcPr>
            <w:tcW w:w="737"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资金到位</w:t>
            </w:r>
          </w:p>
        </w:tc>
        <w:tc>
          <w:tcPr>
            <w:tcW w:w="853"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分配时效</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资金拨付</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项目完成后</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项目完成后</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737"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资金管理</w:t>
            </w: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使用范围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支付依据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开支标准</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737"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财务管理</w:t>
            </w: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财务制度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会计核算</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737"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组织实施</w:t>
            </w: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项目调整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投资变更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制度执行</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项目绩效</w:t>
            </w:r>
          </w:p>
        </w:tc>
        <w:tc>
          <w:tcPr>
            <w:tcW w:w="737"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项目完成</w:t>
            </w:r>
          </w:p>
        </w:tc>
        <w:tc>
          <w:tcPr>
            <w:tcW w:w="853"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完成数量</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完成质量</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完成时效</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完成成本</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737"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项目效益</w:t>
            </w: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产出指标</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改善干部职公办公条件。</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改善了干部职公办公条件。</w:t>
            </w:r>
          </w:p>
        </w:tc>
      </w:tr>
      <w:tr>
        <w:tblPrEx>
          <w:tblCellMar>
            <w:top w:w="0" w:type="dxa"/>
            <w:left w:w="0" w:type="dxa"/>
            <w:bottom w:w="0" w:type="dxa"/>
            <w:right w:w="0" w:type="dxa"/>
          </w:tblCellMar>
        </w:tblPrEx>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效益指标</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因工作场所及干部周转房部份墙面陨坏，长久使用，影响居住及办公。</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保障了干部周转房居住使用、办公室正常使用。</w:t>
            </w:r>
          </w:p>
        </w:tc>
      </w:tr>
      <w:tr>
        <w:tblPrEx>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产出指标</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反映相关产出对居住、办公带来的影响和效果，根据项目实际细化具体指标。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项目施工按照合同要求实施。</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项目验收合格。</w:t>
            </w:r>
          </w:p>
        </w:tc>
      </w:tr>
      <w:tr>
        <w:tblPrEx>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可持续影响效益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为因工作场所及干部周转房部份墙面陨坏，长久使用，影响居住及办公。</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保障了干部周转房居住使用、办公室正常使用。</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737"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w:t>
            </w:r>
          </w:p>
        </w:tc>
        <w:tc>
          <w:tcPr>
            <w:tcW w:w="853"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服务对象满意度</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98%</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98%</w:t>
            </w:r>
          </w:p>
        </w:tc>
      </w:tr>
    </w:tbl>
    <w:p>
      <w:pPr>
        <w:rPr>
          <w:rFonts w:ascii="Calibri" w:hAnsi="Calibri"/>
        </w:rPr>
      </w:pPr>
    </w:p>
    <w:tbl>
      <w:tblPr>
        <w:tblStyle w:val="16"/>
        <w:tblpPr w:leftFromText="180" w:rightFromText="180" w:vertAnchor="text" w:horzAnchor="page" w:tblpXSpec="center" w:tblpY="423"/>
        <w:tblOverlap w:val="never"/>
        <w:tblW w:w="9938" w:type="dxa"/>
        <w:tblInd w:w="0" w:type="dxa"/>
        <w:tblLayout w:type="fixed"/>
        <w:tblCellMar>
          <w:top w:w="0" w:type="dxa"/>
          <w:left w:w="0" w:type="dxa"/>
          <w:bottom w:w="0" w:type="dxa"/>
          <w:right w:w="0" w:type="dxa"/>
        </w:tblCellMar>
      </w:tblPr>
      <w:tblGrid>
        <w:gridCol w:w="390"/>
        <w:gridCol w:w="1005"/>
        <w:gridCol w:w="825"/>
        <w:gridCol w:w="705"/>
        <w:gridCol w:w="885"/>
        <w:gridCol w:w="1800"/>
        <w:gridCol w:w="1935"/>
        <w:gridCol w:w="2393"/>
      </w:tblGrid>
      <w:tr>
        <w:tblPrEx>
          <w:tblCellMar>
            <w:top w:w="0" w:type="dxa"/>
            <w:left w:w="0" w:type="dxa"/>
            <w:bottom w:w="0" w:type="dxa"/>
            <w:right w:w="0" w:type="dxa"/>
          </w:tblCellMar>
        </w:tblPrEx>
        <w:trPr>
          <w:trHeight w:val="1034" w:hRule="atLeast"/>
        </w:trPr>
        <w:tc>
          <w:tcPr>
            <w:tcW w:w="9938" w:type="dxa"/>
            <w:gridSpan w:val="8"/>
            <w:tcMar>
              <w:top w:w="15" w:type="dxa"/>
              <w:left w:w="15" w:type="dxa"/>
              <w:bottom w:w="0" w:type="dxa"/>
              <w:right w:w="15" w:type="dxa"/>
            </w:tcMar>
            <w:vAlign w:val="center"/>
          </w:tcPr>
          <w:p>
            <w:pPr>
              <w:pStyle w:val="27"/>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(2022年度)</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718"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eastAsiaTheme="minorEastAsia"/>
                <w:color w:val="000000"/>
                <w:sz w:val="24"/>
              </w:rPr>
            </w:pPr>
            <w:r>
              <w:rPr>
                <w:rFonts w:hint="eastAsia" w:ascii="仿宋_GB2312" w:hAnsi="仿宋_GB2312" w:cs="仿宋_GB2312" w:eastAsiaTheme="minorEastAsia"/>
                <w:sz w:val="32"/>
                <w:szCs w:val="32"/>
              </w:rPr>
              <w:t>红原县纪检监察干部赴浙江考察学习</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718"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中共红原县纪律检查委员会</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49.62万元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49.62万元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30万元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30万元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19.62</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19.62</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7013"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通过对全县纪检监察干部的各方面培训来提高纪检监察干部的综合能力。</w:t>
            </w:r>
          </w:p>
        </w:tc>
        <w:tc>
          <w:tcPr>
            <w:tcW w:w="7013"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2022年举办全县纪检监察干部综合能力提升培训班两期，通过对全县纪检监察干部的各方面培训提高了纪检监察干部的综合能力；组织全县纪检监察干部赴浙江学习考察1次，通过观摩学习浙江纪检系统的先进工作经验，提高了纪检监察干部的综合能力，同时纪委办公室为纪检干部考察学习等做好了后勤服务保障工作。</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68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预期指标值(包含数字及文字描述)</w:t>
            </w:r>
          </w:p>
        </w:tc>
        <w:tc>
          <w:tcPr>
            <w:tcW w:w="23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绩效目标</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目标内容</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2022年举办</w:t>
            </w:r>
            <w:r>
              <w:rPr>
                <w:rFonts w:hint="eastAsia" w:ascii="宋体" w:hAnsi="宋体" w:cs="宋体"/>
                <w:color w:val="000000"/>
                <w:sz w:val="24"/>
              </w:rPr>
              <w:t>全县纪</w:t>
            </w:r>
            <w:r>
              <w:rPr>
                <w:rFonts w:hint="eastAsia" w:ascii="宋体" w:hAnsi="宋体" w:cs="宋体"/>
                <w:color w:val="000000"/>
                <w:sz w:val="20"/>
                <w:szCs w:val="20"/>
              </w:rPr>
              <w:t>检监察干部综合能力提升培训班两期，通过对全县纪检监察干部的各方面培训提高了纪检监察干部的综合能力；组织全县纪检监察干部赴浙江学习考察1次，支付培训费。</w:t>
            </w:r>
          </w:p>
        </w:tc>
        <w:tc>
          <w:tcPr>
            <w:tcW w:w="2393"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2022年举办</w:t>
            </w:r>
            <w:r>
              <w:rPr>
                <w:rFonts w:hint="eastAsia" w:ascii="宋体" w:hAnsi="宋体" w:cs="宋体"/>
                <w:color w:val="000000"/>
                <w:sz w:val="24"/>
              </w:rPr>
              <w:t>全县纪</w:t>
            </w:r>
            <w:r>
              <w:rPr>
                <w:rFonts w:hint="eastAsia" w:ascii="宋体" w:hAnsi="宋体" w:cs="宋体"/>
                <w:color w:val="000000"/>
                <w:sz w:val="20"/>
                <w:szCs w:val="20"/>
              </w:rPr>
              <w:t>检监察干部综合能力提升培训班两期，通过对全县纪检监察干部的各方面培训提高了纪检监察干部的综合能力；组织全县纪检监察干部赴浙江学习考察1次，完成培训费支付。</w:t>
            </w: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进度计划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一年</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目标匹配</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决策依据</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政策依据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实施规划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已制定</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管理制度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项目资金管理办法</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资金分配</w:t>
            </w: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分配方法</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分配过程</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分配结果</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审核把关</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1个</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资金集中</w:t>
            </w:r>
          </w:p>
        </w:tc>
        <w:tc>
          <w:tcPr>
            <w:tcW w:w="88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（均衡）</w:t>
            </w:r>
          </w:p>
        </w:tc>
        <w:tc>
          <w:tcPr>
            <w:tcW w:w="88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393"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资金到位</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分配时效</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393"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资金拨付</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培训后</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培训后</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使用范围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支付依据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开支标准</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财务管理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财务制度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会计核算</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组织实施</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项目调整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未调整</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投资变更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未调整</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制度执行</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393"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项目完成</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完成数量</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c>
          <w:tcPr>
            <w:tcW w:w="2393"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完成质量</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完成时效</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完成成本</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项目效益</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经济效益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2022年举办</w:t>
            </w:r>
            <w:r>
              <w:rPr>
                <w:rFonts w:hint="eastAsia" w:ascii="宋体" w:hAnsi="宋体" w:cs="宋体"/>
                <w:color w:val="000000"/>
                <w:sz w:val="24"/>
              </w:rPr>
              <w:t>全县纪</w:t>
            </w:r>
            <w:r>
              <w:rPr>
                <w:rFonts w:hint="eastAsia" w:ascii="宋体" w:hAnsi="宋体" w:cs="宋体"/>
                <w:color w:val="000000"/>
                <w:sz w:val="20"/>
                <w:szCs w:val="20"/>
              </w:rPr>
              <w:t>检监察干部综合能力提升培训班两期，通过对全县纪检监察干部的各方面培训提高了纪检监察干部的综合能力；组织全县纪检监察干部赴浙江学习考察1次，支付培训费。</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2022年举办</w:t>
            </w:r>
            <w:r>
              <w:rPr>
                <w:rFonts w:hint="eastAsia" w:ascii="宋体" w:hAnsi="宋体" w:cs="宋体"/>
                <w:color w:val="000000"/>
                <w:sz w:val="24"/>
              </w:rPr>
              <w:t>全县纪</w:t>
            </w:r>
            <w:r>
              <w:rPr>
                <w:rFonts w:hint="eastAsia" w:ascii="宋体" w:hAnsi="宋体" w:cs="宋体"/>
                <w:color w:val="000000"/>
                <w:sz w:val="20"/>
                <w:szCs w:val="20"/>
              </w:rPr>
              <w:t>检监察干部综合能力提升培训班两期，通过对全县纪检监察干部的各方面培训提高了纪检监察干部的综合能力。组织全县纪检监察干部赴浙江学习考察1次，完成培训费支付。</w:t>
            </w:r>
          </w:p>
        </w:tc>
      </w:tr>
      <w:tr>
        <w:tblPrEx>
          <w:tblCellMar>
            <w:top w:w="0" w:type="dxa"/>
            <w:left w:w="0" w:type="dxa"/>
            <w:bottom w:w="0" w:type="dxa"/>
            <w:right w:w="0" w:type="dxa"/>
          </w:tblCellMar>
        </w:tblPrEx>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通过培训，提高纪检监察干部综合能力及办案能力。</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通过2022年培训，学习了浙江纪检系统先进工作方法，，提高了代表自身工作能力，为更好的履职打好了坚实的基础。</w:t>
            </w:r>
          </w:p>
        </w:tc>
      </w:tr>
      <w:tr>
        <w:tblPrEx>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生态效益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通过培训，提升全县纪检系统干部的综合能力。</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2022年举办</w:t>
            </w:r>
            <w:r>
              <w:rPr>
                <w:rFonts w:hint="eastAsia" w:ascii="宋体" w:hAnsi="宋体" w:cs="宋体"/>
                <w:color w:val="000000"/>
                <w:sz w:val="24"/>
              </w:rPr>
              <w:t>全县纪</w:t>
            </w:r>
            <w:r>
              <w:rPr>
                <w:rFonts w:hint="eastAsia" w:ascii="宋体" w:hAnsi="宋体" w:cs="宋体"/>
                <w:color w:val="000000"/>
                <w:sz w:val="20"/>
                <w:szCs w:val="20"/>
              </w:rPr>
              <w:t>检监察干部综合能力提升培训班两期，通过对全县纪检监察干部的各方面培训提高了纪检监察干部的综合能力。</w:t>
            </w:r>
          </w:p>
        </w:tc>
      </w:tr>
      <w:tr>
        <w:tblPrEx>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可持续效益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通过培训，增强全县纪检系统干部的综合能力。</w:t>
            </w:r>
          </w:p>
        </w:tc>
        <w:tc>
          <w:tcPr>
            <w:tcW w:w="239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通过2022年培训，学习了浙江纪检系统先进工作方法，，提高了代表自身工作能力，为更好的履职打好了坚实的基础。</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w:t>
            </w: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服务对象满意度</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c>
          <w:tcPr>
            <w:tcW w:w="2393"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r>
    </w:tbl>
    <w:p>
      <w:pPr>
        <w:spacing w:line="580" w:lineRule="exact"/>
        <w:ind w:left="630"/>
        <w:rPr>
          <w:rFonts w:ascii="仿宋_GB2312" w:hAnsi="仿宋_GB2312" w:eastAsia="仿宋_GB2312" w:cs="仿宋_GB2312"/>
          <w:sz w:val="32"/>
          <w:szCs w:val="32"/>
        </w:rPr>
      </w:pPr>
    </w:p>
    <w:tbl>
      <w:tblPr>
        <w:tblStyle w:val="16"/>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05"/>
        <w:gridCol w:w="885"/>
        <w:gridCol w:w="1800"/>
        <w:gridCol w:w="1935"/>
        <w:gridCol w:w="2415"/>
      </w:tblGrid>
      <w:tr>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27"/>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(2022年度)</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 xml:space="preserve"> </w:t>
            </w:r>
            <w:r>
              <w:rPr>
                <w:rFonts w:hint="eastAsia" w:ascii="仿宋_GB2312" w:hAnsi="仿宋_GB2312" w:cs="仿宋_GB2312" w:eastAsiaTheme="minorEastAsia"/>
                <w:sz w:val="32"/>
                <w:szCs w:val="32"/>
              </w:rPr>
              <w:t>乡镇纪委谈话室规范化建设</w:t>
            </w:r>
            <w:r>
              <w:rPr>
                <w:rFonts w:hint="eastAsia" w:ascii="仿宋_GB2312" w:hAnsi="仿宋_GB2312" w:eastAsia="仿宋_GB2312" w:cs="仿宋_GB2312"/>
                <w:sz w:val="32"/>
                <w:szCs w:val="32"/>
              </w:rPr>
              <w:t>项目</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中共红原县纪律检查委员会</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52.08万元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50.33万元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52.08万元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50.33万元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完善乡镇纪委谈话室规范化建设</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2022年保障乡镇纪委办案安全、增强了办案能力和案件质效</w:t>
            </w:r>
            <w:r>
              <w:rPr>
                <w:rFonts w:hint="eastAsia" w:ascii="仿宋_GB2312" w:hAnsi="仿宋_GB2312" w:cs="仿宋_GB2312" w:eastAsiaTheme="minorEastAsia"/>
                <w:sz w:val="32"/>
                <w:szCs w:val="32"/>
              </w:rPr>
              <w:t>。</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68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绩效目标</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目标内容</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4"/>
              </w:rPr>
              <w:t>2022年保障乡镇纪委办案安全、增强了办案能力和案件质效。</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4"/>
              </w:rPr>
              <w:t>2022年较好的保障了乡镇纪委办案安全、增强办案能力和案件质效等专项工作，圆满的完成了对乡镇纪委谈话室的装修、维修工程。</w:t>
            </w: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进度计划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目标匹配</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决策依据</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政策依据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实施规划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管理制度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资金分配</w:t>
            </w: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分配方法</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分配过程</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分配结果</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审核把关</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资金集中</w:t>
            </w:r>
          </w:p>
        </w:tc>
        <w:tc>
          <w:tcPr>
            <w:tcW w:w="88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（均衡）</w:t>
            </w:r>
          </w:p>
        </w:tc>
        <w:tc>
          <w:tcPr>
            <w:tcW w:w="88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资金到位</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分配时效</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资金拨付</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根据合同要求进度拨付</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0"/>
                <w:szCs w:val="20"/>
              </w:rPr>
            </w:pPr>
            <w:r>
              <w:rPr>
                <w:rFonts w:hint="eastAsia" w:ascii="宋体" w:hAnsi="宋体" w:cs="宋体"/>
                <w:color w:val="000000"/>
                <w:sz w:val="20"/>
                <w:szCs w:val="20"/>
              </w:rPr>
              <w:t>根据合同要求进度拨付</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使用范围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支付依据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开支标准</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财务管理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财务制度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会计核算</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组织实施</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项目调整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投资变更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制度执行</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项目完成</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完成数量</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完成质量</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完成时效</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完成成本</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项目效益</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经济效益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提高乡镇纪委办案安全。</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p>
        </w:tc>
      </w:tr>
      <w:tr>
        <w:tblPrEx>
          <w:tblCellMar>
            <w:top w:w="0" w:type="dxa"/>
            <w:left w:w="0" w:type="dxa"/>
            <w:bottom w:w="0" w:type="dxa"/>
            <w:right w:w="0" w:type="dxa"/>
          </w:tblCellMar>
        </w:tblPrEx>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通过规范乡镇办案谈话室的建设，</w:t>
            </w:r>
            <w:r>
              <w:rPr>
                <w:rFonts w:hint="eastAsia" w:ascii="宋体" w:hAnsi="宋体" w:cs="宋体"/>
                <w:color w:val="000000"/>
                <w:sz w:val="24"/>
              </w:rPr>
              <w:t>保障了乡镇纪委办案安全、增强了办案能力和案件质效。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color w:val="000000"/>
                <w:sz w:val="24"/>
              </w:rPr>
              <w:t>规范乡镇纪委办案谈话室建设，圆满的完成了对乡镇纪委谈话室的装修、维修工程，保障了乡镇纪委办案安全。</w:t>
            </w:r>
          </w:p>
        </w:tc>
      </w:tr>
      <w:tr>
        <w:tblPrEx>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生态效益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乡镇办案谈话室的建设，</w:t>
            </w:r>
            <w:r>
              <w:rPr>
                <w:rFonts w:hint="eastAsia" w:ascii="宋体" w:hAnsi="宋体" w:cs="宋体"/>
                <w:color w:val="000000"/>
                <w:sz w:val="24"/>
              </w:rPr>
              <w:t>保障了乡镇纪委办案安全、增强了办案能力和案件质效。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通过规范乡镇办案谈话室的建设，</w:t>
            </w:r>
            <w:r>
              <w:rPr>
                <w:rFonts w:hint="eastAsia" w:ascii="宋体" w:hAnsi="宋体" w:cs="宋体"/>
                <w:color w:val="000000"/>
                <w:sz w:val="24"/>
              </w:rPr>
              <w:t>保障了乡镇纪委办案安全、增强了办案能力和案件质效。</w:t>
            </w:r>
          </w:p>
        </w:tc>
      </w:tr>
      <w:tr>
        <w:tblPrEx>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可持续效益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为</w:t>
            </w:r>
            <w:r>
              <w:rPr>
                <w:rFonts w:hint="eastAsia" w:ascii="宋体" w:hAnsi="宋体" w:cs="宋体"/>
                <w:color w:val="000000"/>
                <w:sz w:val="24"/>
              </w:rPr>
              <w:t>乡镇纪委办案安全提供了保障。</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通过规范乡镇办案谈话室的建设，</w:t>
            </w:r>
            <w:r>
              <w:rPr>
                <w:rFonts w:hint="eastAsia" w:ascii="宋体" w:hAnsi="宋体" w:cs="宋体"/>
                <w:color w:val="000000"/>
                <w:sz w:val="24"/>
              </w:rPr>
              <w:t>保障了乡镇纪委办案安全、增强了办案能力和案件质效。</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w:t>
            </w: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服务对象满意度</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100%</w:t>
            </w:r>
          </w:p>
        </w:tc>
      </w:tr>
    </w:tbl>
    <w:p>
      <w:pPr>
        <w:spacing w:line="580" w:lineRule="exact"/>
        <w:rPr>
          <w:rFonts w:ascii="仿宋_GB2312" w:hAnsi="仿宋_GB2312" w:eastAsia="仿宋_GB2312" w:cs="仿宋_GB2312"/>
          <w:sz w:val="32"/>
          <w:szCs w:val="32"/>
        </w:rPr>
      </w:pPr>
    </w:p>
    <w:tbl>
      <w:tblPr>
        <w:tblStyle w:val="16"/>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05"/>
        <w:gridCol w:w="885"/>
        <w:gridCol w:w="1800"/>
        <w:gridCol w:w="1935"/>
        <w:gridCol w:w="2415"/>
      </w:tblGrid>
      <w:tr>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27"/>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(2022年度)</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 xml:space="preserve"> </w:t>
            </w:r>
            <w:r>
              <w:rPr>
                <w:rFonts w:hint="eastAsia" w:ascii="仿宋_GB2312" w:hAnsi="仿宋_GB2312" w:eastAsia="仿宋_GB2312" w:cs="仿宋_GB2312"/>
                <w:sz w:val="32"/>
                <w:szCs w:val="32"/>
              </w:rPr>
              <w:t>涉密视频终端会议系统安装项目</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中共红原县纪律检查委员会</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7万元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4.12万元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7万元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4.12万元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完善乡镇纪委谈话室规范化建设</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2022年有效保障了纪检监察网络涉密系统的安全性及保密性</w:t>
            </w:r>
            <w:r>
              <w:rPr>
                <w:rFonts w:hint="eastAsia" w:ascii="仿宋_GB2312" w:hAnsi="仿宋_GB2312" w:cs="仿宋_GB2312" w:eastAsiaTheme="minorEastAsia"/>
                <w:sz w:val="32"/>
                <w:szCs w:val="32"/>
              </w:rPr>
              <w:t>。</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68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绩效目标</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目标内容</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4"/>
              </w:rPr>
              <w:t>2022年有效保障了纪检监察网络涉密系统的安全性及保密性。</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4"/>
              </w:rPr>
              <w:t>2022年有效保障了纪检监察网络涉密系统的安全性及保密性，完成了对网络视频涉密系统的安装。</w:t>
            </w: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进度计划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目标匹配</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决策依据</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政策依据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实施规划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管理制度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资金分配</w:t>
            </w: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分配方法</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分配过程</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分配结果</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审核把关</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资金集中</w:t>
            </w:r>
          </w:p>
        </w:tc>
        <w:tc>
          <w:tcPr>
            <w:tcW w:w="88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58.86%</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（均衡）</w:t>
            </w:r>
          </w:p>
        </w:tc>
        <w:tc>
          <w:tcPr>
            <w:tcW w:w="88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资金到位</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分配时效</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资金拨付</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根据合同要求进度拨付</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0"/>
                <w:szCs w:val="20"/>
              </w:rPr>
            </w:pPr>
            <w:r>
              <w:rPr>
                <w:rFonts w:hint="eastAsia" w:ascii="宋体" w:hAnsi="宋体" w:cs="宋体"/>
                <w:color w:val="000000"/>
                <w:sz w:val="20"/>
                <w:szCs w:val="20"/>
              </w:rPr>
              <w:t>根据合同要求进度拨付</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使用范围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支付依据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开支标准</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按上级要求</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财务管理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财务制度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会计核算</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组织实施</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项目调整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投资变更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制度执行</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项目完成</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完成数量</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完成质量</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完成时效</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完成成本</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项目效益</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经济效益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提高纪检视频网络的安全性和密秘性。</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p>
        </w:tc>
      </w:tr>
      <w:tr>
        <w:tblPrEx>
          <w:tblCellMar>
            <w:top w:w="0" w:type="dxa"/>
            <w:left w:w="0" w:type="dxa"/>
            <w:bottom w:w="0" w:type="dxa"/>
            <w:right w:w="0" w:type="dxa"/>
          </w:tblCellMar>
        </w:tblPrEx>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通过安装涉密系统，保护纪检监察系统网络视频活动的开展</w:t>
            </w:r>
            <w:r>
              <w:rPr>
                <w:rFonts w:hint="eastAsia" w:ascii="宋体" w:hAnsi="宋体" w:cs="宋体"/>
                <w:color w:val="000000"/>
                <w:sz w:val="24"/>
              </w:rPr>
              <w:t>。</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color w:val="000000"/>
                <w:sz w:val="20"/>
                <w:szCs w:val="20"/>
              </w:rPr>
              <w:t>涉密终端网络视频设备的安装提高纪检视频网络的安全性和密秘性。</w:t>
            </w:r>
          </w:p>
        </w:tc>
      </w:tr>
      <w:tr>
        <w:tblPrEx>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生态效益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通过安装涉密系统，保护纪检监察系统网络视频活动的开展</w:t>
            </w:r>
            <w:r>
              <w:rPr>
                <w:rFonts w:hint="eastAsia" w:ascii="宋体" w:hAnsi="宋体" w:cs="宋体"/>
                <w:color w:val="000000"/>
                <w:sz w:val="24"/>
              </w:rPr>
              <w:t>。</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color w:val="000000"/>
                <w:sz w:val="20"/>
                <w:szCs w:val="20"/>
              </w:rPr>
              <w:t>涉密终端网络视频设备的安装提高纪检视频网络的安全性和密秘性。</w:t>
            </w:r>
          </w:p>
        </w:tc>
      </w:tr>
      <w:tr>
        <w:tblPrEx>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可持续效益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color w:val="000000"/>
                <w:sz w:val="20"/>
                <w:szCs w:val="20"/>
              </w:rPr>
              <w:t>提高纪检视频网络的安全性和密秘性。</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color w:val="000000"/>
                <w:sz w:val="20"/>
                <w:szCs w:val="20"/>
              </w:rPr>
              <w:t>涉密终端网络视频设备的安装提高纪检视频网络的安全性和密秘性。</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w:t>
            </w: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服务对象满意度</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100%</w:t>
            </w:r>
          </w:p>
        </w:tc>
      </w:tr>
    </w:tbl>
    <w:p>
      <w:pPr>
        <w:spacing w:line="580" w:lineRule="exact"/>
        <w:ind w:left="630"/>
        <w:rPr>
          <w:rFonts w:ascii="楷体_GB2312" w:hAnsi="楷体_GB2312" w:eastAsia="楷体_GB2312" w:cs="楷体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本部门按要求对2022年部门整体支出绩效评价情况开展自评，整体支出得分95.8分，情况良好，《</w:t>
      </w:r>
      <w:r>
        <w:rPr>
          <w:rFonts w:hint="eastAsia" w:ascii="仿宋_GB2312" w:hAnsi="仿宋_GB2312" w:cs="仿宋_GB2312" w:eastAsiaTheme="minorEastAsia"/>
          <w:sz w:val="32"/>
          <w:szCs w:val="32"/>
        </w:rPr>
        <w:t>中共</w:t>
      </w:r>
      <w:r>
        <w:rPr>
          <w:rFonts w:hint="eastAsia" w:ascii="仿宋_GB2312" w:hAnsi="仿宋_GB2312" w:eastAsia="仿宋_GB2312" w:cs="仿宋_GB2312"/>
          <w:sz w:val="32"/>
          <w:szCs w:val="32"/>
        </w:rPr>
        <w:t>红原县</w:t>
      </w:r>
      <w:r>
        <w:rPr>
          <w:rFonts w:hint="eastAsia" w:ascii="仿宋_GB2312" w:hAnsi="仿宋_GB2312" w:cs="仿宋_GB2312" w:eastAsiaTheme="minorEastAsia"/>
          <w:sz w:val="32"/>
          <w:szCs w:val="32"/>
        </w:rPr>
        <w:t>纪律检查委员会</w:t>
      </w:r>
      <w:r>
        <w:rPr>
          <w:rFonts w:hint="eastAsia" w:ascii="仿宋_GB2312" w:hAnsi="仿宋_GB2312" w:eastAsia="仿宋_GB2312" w:cs="仿宋_GB2312"/>
          <w:sz w:val="32"/>
          <w:szCs w:val="32"/>
        </w:rPr>
        <w:t>2022年部门整体支出绩效报告》详见附件。</w:t>
      </w:r>
    </w:p>
    <w:p>
      <w:pPr>
        <w:pStyle w:val="9"/>
        <w:rPr>
          <w:rFonts w:hint="eastAsia" w:ascii="仿宋_GB2312" w:hAnsi="仿宋_GB2312" w:cs="仿宋_GB2312" w:eastAsiaTheme="minorEastAsia"/>
          <w:sz w:val="32"/>
          <w:szCs w:val="32"/>
        </w:rPr>
      </w:pPr>
    </w:p>
    <w:p>
      <w:pPr>
        <w:widowControl/>
        <w:jc w:val="left"/>
        <w:rPr>
          <w:rFonts w:ascii="仿宋_GB2312" w:eastAsiaTheme="minorEastAsia"/>
          <w:b/>
          <w:sz w:val="32"/>
          <w:szCs w:val="32"/>
        </w:rPr>
      </w:pPr>
    </w:p>
    <w:p>
      <w:pPr>
        <w:numPr>
          <w:ilvl w:val="0"/>
          <w:numId w:val="6"/>
        </w:numPr>
        <w:spacing w:line="600" w:lineRule="exact"/>
        <w:ind w:firstLine="660" w:firstLineChars="150"/>
        <w:jc w:val="center"/>
        <w:outlineLvl w:val="0"/>
        <w:rPr>
          <w:rStyle w:val="20"/>
          <w:rFonts w:ascii="黑体" w:eastAsia="黑体"/>
          <w:b w:val="0"/>
        </w:rPr>
      </w:pPr>
      <w:bookmarkStart w:id="61" w:name="_Toc32480"/>
      <w:bookmarkStart w:id="62" w:name="_Toc15396613"/>
      <w:bookmarkStart w:id="63" w:name="_Toc15377225"/>
      <w:r>
        <w:rPr>
          <w:rFonts w:hint="eastAsia" w:ascii="黑体" w:eastAsia="黑体"/>
          <w:sz w:val="44"/>
          <w:szCs w:val="44"/>
        </w:rPr>
        <w:t>名</w:t>
      </w:r>
      <w:r>
        <w:rPr>
          <w:rStyle w:val="20"/>
          <w:rFonts w:hint="eastAsia" w:ascii="黑体" w:eastAsia="黑体"/>
          <w:b w:val="0"/>
        </w:rPr>
        <w:t>词解释</w:t>
      </w:r>
      <w:bookmarkEnd w:id="61"/>
      <w:bookmarkEnd w:id="62"/>
      <w:bookmarkEnd w:id="63"/>
    </w:p>
    <w:p>
      <w:pPr>
        <w:spacing w:line="600" w:lineRule="exact"/>
        <w:jc w:val="left"/>
        <w:rPr>
          <w:rFonts w:ascii="宋体"/>
          <w:b/>
          <w:sz w:val="44"/>
          <w:szCs w:val="44"/>
        </w:rPr>
      </w:pPr>
    </w:p>
    <w:p>
      <w:pPr>
        <w:numPr>
          <w:ilvl w:val="0"/>
          <w:numId w:val="7"/>
        </w:numPr>
        <w:spacing w:line="600" w:lineRule="exact"/>
        <w:jc w:val="center"/>
        <w:outlineLvl w:val="0"/>
        <w:rPr>
          <w:rFonts w:ascii="仿宋_GB2312" w:eastAsia="仿宋_GB2312"/>
          <w:sz w:val="32"/>
          <w:szCs w:val="32"/>
        </w:rPr>
      </w:pPr>
      <w:bookmarkStart w:id="64" w:name="_Toc27029"/>
      <w:bookmarkStart w:id="65" w:name="_Toc18803"/>
      <w:bookmarkStart w:id="66" w:name="_Toc15377226"/>
      <w:r>
        <w:rPr>
          <w:rFonts w:hint="eastAsia" w:ascii="仿宋_GB2312" w:eastAsia="仿宋_GB2312"/>
          <w:sz w:val="32"/>
          <w:szCs w:val="32"/>
        </w:rPr>
        <w:t>财政拨款收入：指单位从同级财政部门取得的财政预算资</w:t>
      </w:r>
      <w:bookmarkEnd w:id="64"/>
      <w:bookmarkEnd w:id="65"/>
    </w:p>
    <w:p>
      <w:pPr>
        <w:spacing w:line="600" w:lineRule="exact"/>
        <w:outlineLvl w:val="0"/>
        <w:rPr>
          <w:rFonts w:ascii="仿宋_GB2312" w:eastAsia="仿宋_GB2312"/>
          <w:sz w:val="32"/>
          <w:szCs w:val="32"/>
        </w:rPr>
      </w:pPr>
      <w:bookmarkStart w:id="67" w:name="_Toc21049"/>
      <w:bookmarkStart w:id="68" w:name="_Toc704"/>
      <w:r>
        <w:rPr>
          <w:rFonts w:hint="eastAsia" w:ascii="仿宋_GB2312" w:eastAsia="仿宋_GB2312"/>
          <w:sz w:val="32"/>
          <w:szCs w:val="32"/>
        </w:rPr>
        <w:t>金。</w:t>
      </w:r>
      <w:bookmarkEnd w:id="67"/>
      <w:bookmarkEnd w:id="68"/>
    </w:p>
    <w:p>
      <w:pPr>
        <w:spacing w:line="600" w:lineRule="exact"/>
        <w:outlineLvl w:val="0"/>
        <w:rPr>
          <w:rFonts w:ascii="仿宋_GB2312" w:eastAsia="仿宋_GB2312"/>
          <w:sz w:val="32"/>
          <w:szCs w:val="32"/>
        </w:rPr>
      </w:pPr>
      <w:bookmarkStart w:id="69" w:name="_Toc16486"/>
      <w:bookmarkStart w:id="70" w:name="_Toc24986"/>
      <w:r>
        <w:rPr>
          <w:rFonts w:hint="eastAsia" w:ascii="仿宋_GB2312" w:eastAsia="仿宋_GB2312"/>
          <w:sz w:val="32"/>
          <w:szCs w:val="32"/>
        </w:rPr>
        <w:t>2.其他收入：指单位取得的除上述收入以外的各项收入。</w:t>
      </w:r>
      <w:bookmarkEnd w:id="69"/>
      <w:bookmarkEnd w:id="70"/>
      <w:r>
        <w:rPr>
          <w:rFonts w:hint="eastAsia" w:ascii="仿宋_GB2312" w:eastAsia="仿宋_GB2312"/>
          <w:sz w:val="32"/>
          <w:szCs w:val="32"/>
        </w:rPr>
        <w:t xml:space="preserve"> </w:t>
      </w:r>
    </w:p>
    <w:p>
      <w:pPr>
        <w:spacing w:line="600" w:lineRule="exact"/>
        <w:jc w:val="center"/>
        <w:outlineLvl w:val="0"/>
        <w:rPr>
          <w:rFonts w:ascii="仿宋_GB2312" w:eastAsia="仿宋_GB2312"/>
          <w:sz w:val="32"/>
          <w:szCs w:val="32"/>
        </w:rPr>
      </w:pPr>
      <w:bookmarkStart w:id="71" w:name="_Toc19661"/>
      <w:bookmarkStart w:id="72" w:name="_Toc13744"/>
      <w:r>
        <w:rPr>
          <w:rFonts w:hint="eastAsia" w:ascii="仿宋_GB2312" w:eastAsia="仿宋_GB2312"/>
          <w:sz w:val="32"/>
          <w:szCs w:val="32"/>
        </w:rPr>
        <w:t>3.年初结转和结余：指以前年度尚未完成、结转到本年按有</w:t>
      </w:r>
      <w:bookmarkEnd w:id="71"/>
      <w:bookmarkEnd w:id="72"/>
    </w:p>
    <w:p>
      <w:pPr>
        <w:spacing w:line="600" w:lineRule="exact"/>
        <w:outlineLvl w:val="0"/>
        <w:rPr>
          <w:rFonts w:ascii="仿宋_GB2312" w:eastAsia="仿宋_GB2312"/>
          <w:sz w:val="32"/>
          <w:szCs w:val="32"/>
        </w:rPr>
      </w:pPr>
      <w:bookmarkStart w:id="73" w:name="_Toc15327"/>
      <w:bookmarkStart w:id="74" w:name="_Toc11790"/>
      <w:r>
        <w:rPr>
          <w:rFonts w:hint="eastAsia" w:ascii="仿宋_GB2312" w:eastAsia="仿宋_GB2312"/>
          <w:sz w:val="32"/>
          <w:szCs w:val="32"/>
        </w:rPr>
        <w:t>关规定继续使用的资金。</w:t>
      </w:r>
      <w:bookmarkEnd w:id="73"/>
      <w:bookmarkEnd w:id="74"/>
      <w:r>
        <w:rPr>
          <w:rFonts w:hint="eastAsia" w:ascii="仿宋_GB2312" w:eastAsia="仿宋_GB2312"/>
          <w:sz w:val="32"/>
          <w:szCs w:val="32"/>
        </w:rPr>
        <w:t xml:space="preserve"> </w:t>
      </w:r>
    </w:p>
    <w:p>
      <w:pPr>
        <w:spacing w:line="600" w:lineRule="exact"/>
        <w:jc w:val="center"/>
        <w:outlineLvl w:val="0"/>
        <w:rPr>
          <w:rFonts w:ascii="仿宋_GB2312" w:eastAsia="仿宋_GB2312"/>
          <w:sz w:val="32"/>
          <w:szCs w:val="32"/>
        </w:rPr>
      </w:pPr>
      <w:bookmarkStart w:id="75" w:name="_Toc9882"/>
      <w:bookmarkStart w:id="76" w:name="_Toc21359"/>
      <w:r>
        <w:rPr>
          <w:rFonts w:hint="eastAsia" w:ascii="仿宋_GB2312" w:eastAsia="仿宋_GB2312"/>
          <w:sz w:val="32"/>
          <w:szCs w:val="32"/>
        </w:rPr>
        <w:t>4、年末结转和结余：指单位按有关规定结转到下年或以后</w:t>
      </w:r>
      <w:bookmarkEnd w:id="75"/>
      <w:bookmarkEnd w:id="76"/>
    </w:p>
    <w:p>
      <w:pPr>
        <w:spacing w:line="600" w:lineRule="exact"/>
        <w:outlineLvl w:val="0"/>
        <w:rPr>
          <w:rFonts w:ascii="仿宋_GB2312" w:eastAsia="仿宋_GB2312"/>
          <w:sz w:val="32"/>
          <w:szCs w:val="32"/>
        </w:rPr>
      </w:pPr>
      <w:bookmarkStart w:id="77" w:name="_Toc12873"/>
      <w:bookmarkStart w:id="78" w:name="_Toc8387"/>
      <w:r>
        <w:rPr>
          <w:rFonts w:hint="eastAsia" w:ascii="仿宋_GB2312" w:eastAsia="仿宋_GB2312"/>
          <w:sz w:val="32"/>
          <w:szCs w:val="32"/>
        </w:rPr>
        <w:t>年度继续使用的资金。</w:t>
      </w:r>
      <w:bookmarkEnd w:id="77"/>
      <w:bookmarkEnd w:id="78"/>
    </w:p>
    <w:p>
      <w:pPr>
        <w:numPr>
          <w:ilvl w:val="0"/>
          <w:numId w:val="8"/>
        </w:numPr>
        <w:spacing w:line="600" w:lineRule="exact"/>
        <w:jc w:val="center"/>
        <w:outlineLvl w:val="0"/>
        <w:rPr>
          <w:rFonts w:ascii="仿宋_GB2312" w:eastAsia="仿宋_GB2312"/>
          <w:sz w:val="32"/>
          <w:szCs w:val="32"/>
        </w:rPr>
      </w:pPr>
      <w:bookmarkStart w:id="79" w:name="_Toc7344"/>
      <w:bookmarkStart w:id="80" w:name="_Toc31094"/>
      <w:r>
        <w:rPr>
          <w:rFonts w:hint="eastAsia" w:ascii="仿宋_GB2312" w:eastAsia="仿宋_GB2312"/>
          <w:sz w:val="32"/>
          <w:szCs w:val="32"/>
        </w:rPr>
        <w:t>一般公共服务：201</w:t>
      </w:r>
      <w:r>
        <w:rPr>
          <w:rFonts w:hint="eastAsia" w:ascii="仿宋_GB2312" w:eastAsiaTheme="minorEastAsia"/>
          <w:sz w:val="32"/>
          <w:szCs w:val="32"/>
        </w:rPr>
        <w:t>1</w:t>
      </w:r>
      <w:r>
        <w:rPr>
          <w:rFonts w:hint="eastAsia" w:ascii="仿宋_GB2312" w:eastAsia="仿宋_GB2312"/>
          <w:sz w:val="32"/>
          <w:szCs w:val="32"/>
        </w:rPr>
        <w:t>101指行政运行，反映人员经费与日常公用经费的支出。201</w:t>
      </w:r>
      <w:r>
        <w:rPr>
          <w:rFonts w:hint="eastAsia" w:ascii="仿宋_GB2312" w:eastAsiaTheme="minorEastAsia"/>
          <w:sz w:val="32"/>
          <w:szCs w:val="32"/>
        </w:rPr>
        <w:t>1102指</w:t>
      </w:r>
      <w:r>
        <w:rPr>
          <w:rStyle w:val="18"/>
          <w:rFonts w:hint="eastAsia" w:ascii="仿宋_GB2312" w:hAnsi="仿宋_GB2312" w:eastAsia="仿宋_GB2312" w:cs="仿宋_GB2312"/>
          <w:b w:val="0"/>
          <w:bCs/>
          <w:sz w:val="32"/>
          <w:szCs w:val="32"/>
        </w:rPr>
        <w:t>一般行政管理事务支出</w:t>
      </w:r>
      <w:r>
        <w:rPr>
          <w:rFonts w:hint="eastAsia" w:ascii="仿宋_GB2312" w:eastAsia="仿宋_GB2312"/>
          <w:sz w:val="32"/>
          <w:szCs w:val="32"/>
        </w:rPr>
        <w:t>，反映</w:t>
      </w:r>
      <w:r>
        <w:rPr>
          <w:rFonts w:hint="eastAsia" w:ascii="仿宋_GB2312" w:eastAsiaTheme="minorEastAsia"/>
          <w:sz w:val="32"/>
          <w:szCs w:val="32"/>
        </w:rPr>
        <w:t>纪检监察干部执纪、督查、执法工作经费</w:t>
      </w:r>
      <w:r>
        <w:rPr>
          <w:rFonts w:hint="eastAsia" w:ascii="仿宋_GB2312" w:eastAsia="仿宋_GB2312"/>
          <w:sz w:val="32"/>
          <w:szCs w:val="32"/>
        </w:rPr>
        <w:t>的支出。201</w:t>
      </w:r>
      <w:r>
        <w:rPr>
          <w:rFonts w:hint="eastAsia" w:ascii="仿宋_GB2312" w:eastAsiaTheme="minorEastAsia"/>
          <w:sz w:val="32"/>
          <w:szCs w:val="32"/>
        </w:rPr>
        <w:t>1199</w:t>
      </w:r>
    </w:p>
    <w:p>
      <w:pPr>
        <w:tabs>
          <w:tab w:val="left" w:pos="312"/>
        </w:tabs>
        <w:spacing w:line="600" w:lineRule="exact"/>
        <w:outlineLvl w:val="0"/>
        <w:rPr>
          <w:rFonts w:ascii="仿宋_GB2312" w:eastAsia="仿宋_GB2312"/>
          <w:sz w:val="32"/>
          <w:szCs w:val="32"/>
        </w:rPr>
      </w:pPr>
      <w:r>
        <w:rPr>
          <w:rFonts w:hint="eastAsia" w:ascii="仿宋_GB2312" w:eastAsia="仿宋_GB2312"/>
          <w:sz w:val="32"/>
          <w:szCs w:val="32"/>
        </w:rPr>
        <w:t>指</w:t>
      </w:r>
      <w:r>
        <w:rPr>
          <w:rFonts w:hint="eastAsia" w:ascii="仿宋_GB2312" w:eastAsiaTheme="minorEastAsia"/>
          <w:sz w:val="32"/>
          <w:szCs w:val="32"/>
        </w:rPr>
        <w:t>纪委项目专项经费</w:t>
      </w:r>
      <w:r>
        <w:rPr>
          <w:rFonts w:hint="eastAsia" w:ascii="仿宋_GB2312" w:eastAsia="仿宋_GB2312"/>
          <w:sz w:val="32"/>
          <w:szCs w:val="32"/>
        </w:rPr>
        <w:t>，反映</w:t>
      </w:r>
      <w:r>
        <w:rPr>
          <w:rFonts w:hint="eastAsia" w:ascii="仿宋_GB2312" w:eastAsiaTheme="minorEastAsia"/>
          <w:sz w:val="32"/>
          <w:szCs w:val="32"/>
        </w:rPr>
        <w:t>纪委专项项目建设</w:t>
      </w:r>
      <w:r>
        <w:rPr>
          <w:rFonts w:hint="eastAsia" w:ascii="仿宋_GB2312" w:eastAsia="仿宋_GB2312"/>
          <w:sz w:val="32"/>
          <w:szCs w:val="32"/>
        </w:rPr>
        <w:t>发生的</w:t>
      </w:r>
      <w:bookmarkEnd w:id="79"/>
      <w:bookmarkEnd w:id="80"/>
      <w:bookmarkStart w:id="81" w:name="_Toc23901"/>
      <w:bookmarkStart w:id="82" w:name="_Toc18095"/>
      <w:r>
        <w:rPr>
          <w:rFonts w:hint="eastAsia" w:ascii="仿宋_GB2312" w:eastAsia="仿宋_GB2312"/>
          <w:sz w:val="32"/>
          <w:szCs w:val="32"/>
        </w:rPr>
        <w:t>各项支出。2100150指事业运行，反映</w:t>
      </w:r>
      <w:r>
        <w:rPr>
          <w:rFonts w:hint="eastAsia" w:ascii="仿宋_GB2312" w:eastAsiaTheme="minorEastAsia"/>
          <w:sz w:val="32"/>
          <w:szCs w:val="32"/>
        </w:rPr>
        <w:t>纪委</w:t>
      </w:r>
      <w:r>
        <w:rPr>
          <w:rFonts w:hint="eastAsia" w:ascii="仿宋_GB2312" w:eastAsia="仿宋_GB2312"/>
          <w:sz w:val="32"/>
          <w:szCs w:val="32"/>
        </w:rPr>
        <w:t>事业机构产生的人员经费及公用经费。</w:t>
      </w:r>
      <w:bookmarkEnd w:id="81"/>
      <w:bookmarkEnd w:id="82"/>
    </w:p>
    <w:p>
      <w:pPr>
        <w:spacing w:line="600" w:lineRule="exact"/>
        <w:jc w:val="center"/>
        <w:outlineLvl w:val="0"/>
        <w:rPr>
          <w:rFonts w:ascii="仿宋_GB2312" w:eastAsia="仿宋_GB2312"/>
          <w:sz w:val="32"/>
          <w:szCs w:val="32"/>
        </w:rPr>
      </w:pPr>
      <w:bookmarkStart w:id="83" w:name="_Toc25321"/>
      <w:bookmarkStart w:id="84" w:name="_Toc19703"/>
      <w:r>
        <w:rPr>
          <w:rFonts w:hint="eastAsia" w:ascii="仿宋_GB2312" w:eastAsia="仿宋_GB2312"/>
          <w:sz w:val="32"/>
          <w:szCs w:val="32"/>
        </w:rPr>
        <w:t>6.社会保障和就业：2080505指机关事业单位基本养老保险缴费支出。2080506指机关事业单位职业年金缴费支出。</w:t>
      </w:r>
      <w:bookmarkEnd w:id="83"/>
      <w:bookmarkEnd w:id="84"/>
    </w:p>
    <w:p>
      <w:pPr>
        <w:spacing w:line="600" w:lineRule="exact"/>
        <w:outlineLvl w:val="0"/>
        <w:rPr>
          <w:rFonts w:ascii="仿宋_GB2312" w:eastAsia="仿宋_GB2312"/>
          <w:sz w:val="32"/>
          <w:szCs w:val="32"/>
        </w:rPr>
      </w:pPr>
      <w:bookmarkStart w:id="85" w:name="_Toc3261"/>
      <w:bookmarkStart w:id="86" w:name="_Toc11709"/>
      <w:r>
        <w:rPr>
          <w:rFonts w:hint="eastAsia" w:ascii="仿宋_GB2312" w:eastAsia="仿宋_GB2312"/>
          <w:sz w:val="32"/>
          <w:szCs w:val="32"/>
        </w:rPr>
        <w:t>7.医疗卫生与计划生育：2101101指行政单位医疗保险支出。2101102指事业单位医疗保险支出。2101103指公务员医疗补助。2101199指其他行政事业单位医疗支出，反映事业单位职工补充医保。</w:t>
      </w:r>
      <w:bookmarkEnd w:id="85"/>
      <w:bookmarkEnd w:id="86"/>
    </w:p>
    <w:p>
      <w:pPr>
        <w:spacing w:line="600" w:lineRule="exact"/>
        <w:outlineLvl w:val="0"/>
        <w:rPr>
          <w:rFonts w:ascii="仿宋_GB2312" w:eastAsia="仿宋_GB2312"/>
          <w:sz w:val="32"/>
          <w:szCs w:val="32"/>
        </w:rPr>
      </w:pPr>
      <w:bookmarkStart w:id="87" w:name="_Toc27720"/>
      <w:bookmarkStart w:id="88" w:name="_Toc14400"/>
      <w:r>
        <w:rPr>
          <w:rFonts w:hint="eastAsia" w:ascii="仿宋_GB2312" w:eastAsia="仿宋_GB2312"/>
          <w:sz w:val="32"/>
          <w:szCs w:val="32"/>
        </w:rPr>
        <w:t>8.住房保障：2210201指住房公积金。</w:t>
      </w:r>
      <w:bookmarkEnd w:id="87"/>
      <w:bookmarkEnd w:id="88"/>
    </w:p>
    <w:p>
      <w:pPr>
        <w:spacing w:line="600" w:lineRule="exact"/>
        <w:jc w:val="center"/>
        <w:outlineLvl w:val="0"/>
        <w:rPr>
          <w:rFonts w:ascii="仿宋_GB2312" w:eastAsia="仿宋_GB2312"/>
          <w:sz w:val="32"/>
          <w:szCs w:val="32"/>
        </w:rPr>
      </w:pPr>
      <w:bookmarkStart w:id="89" w:name="_Toc15140"/>
      <w:bookmarkStart w:id="90" w:name="_Toc20801"/>
      <w:r>
        <w:rPr>
          <w:rFonts w:hint="eastAsia" w:ascii="仿宋_GB2312" w:eastAsia="仿宋_GB2312"/>
          <w:sz w:val="32"/>
          <w:szCs w:val="32"/>
        </w:rPr>
        <w:t>9.基本支出：指为保障机构正常运转、完成日常工作任务而</w:t>
      </w:r>
      <w:bookmarkEnd w:id="89"/>
      <w:bookmarkEnd w:id="90"/>
    </w:p>
    <w:p>
      <w:pPr>
        <w:spacing w:line="600" w:lineRule="exact"/>
        <w:outlineLvl w:val="0"/>
        <w:rPr>
          <w:rFonts w:ascii="仿宋_GB2312" w:eastAsia="仿宋_GB2312"/>
          <w:sz w:val="32"/>
          <w:szCs w:val="32"/>
        </w:rPr>
      </w:pPr>
      <w:bookmarkStart w:id="91" w:name="_Toc4186"/>
      <w:bookmarkStart w:id="92" w:name="_Toc1908"/>
      <w:r>
        <w:rPr>
          <w:rFonts w:hint="eastAsia" w:ascii="仿宋_GB2312" w:eastAsia="仿宋_GB2312"/>
          <w:sz w:val="32"/>
          <w:szCs w:val="32"/>
        </w:rPr>
        <w:t>发生的人员支出和公用支出。</w:t>
      </w:r>
      <w:bookmarkEnd w:id="91"/>
      <w:bookmarkEnd w:id="92"/>
    </w:p>
    <w:p>
      <w:pPr>
        <w:spacing w:line="600" w:lineRule="exact"/>
        <w:jc w:val="center"/>
        <w:outlineLvl w:val="0"/>
        <w:rPr>
          <w:rFonts w:ascii="仿宋_GB2312" w:eastAsia="仿宋_GB2312"/>
          <w:sz w:val="32"/>
          <w:szCs w:val="32"/>
        </w:rPr>
      </w:pPr>
      <w:bookmarkStart w:id="93" w:name="_Toc9649"/>
      <w:bookmarkStart w:id="94" w:name="_Toc26501"/>
      <w:r>
        <w:rPr>
          <w:rFonts w:hint="eastAsia" w:ascii="仿宋_GB2312" w:eastAsia="仿宋_GB2312"/>
          <w:sz w:val="32"/>
          <w:szCs w:val="32"/>
        </w:rPr>
        <w:t>10.项目支出：指在基本支出之外为完成特定行政任务和事</w:t>
      </w:r>
      <w:bookmarkEnd w:id="93"/>
      <w:bookmarkEnd w:id="94"/>
    </w:p>
    <w:p>
      <w:pPr>
        <w:spacing w:line="600" w:lineRule="exact"/>
        <w:outlineLvl w:val="0"/>
        <w:rPr>
          <w:rFonts w:ascii="仿宋_GB2312" w:eastAsia="仿宋_GB2312"/>
          <w:sz w:val="32"/>
          <w:szCs w:val="32"/>
        </w:rPr>
      </w:pPr>
      <w:bookmarkStart w:id="95" w:name="_Toc19535"/>
      <w:bookmarkStart w:id="96" w:name="_Toc30698"/>
      <w:r>
        <w:rPr>
          <w:rFonts w:hint="eastAsia" w:ascii="仿宋_GB2312" w:eastAsia="仿宋_GB2312"/>
          <w:sz w:val="32"/>
          <w:szCs w:val="32"/>
        </w:rPr>
        <w:t>业发展目标所发生的支出。</w:t>
      </w:r>
      <w:bookmarkEnd w:id="95"/>
      <w:bookmarkEnd w:id="96"/>
      <w:r>
        <w:rPr>
          <w:rFonts w:hint="eastAsia" w:ascii="仿宋_GB2312" w:eastAsia="仿宋_GB2312"/>
          <w:sz w:val="32"/>
          <w:szCs w:val="32"/>
        </w:rPr>
        <w:t xml:space="preserve"> </w:t>
      </w:r>
    </w:p>
    <w:p>
      <w:pPr>
        <w:spacing w:line="600" w:lineRule="exact"/>
        <w:jc w:val="center"/>
        <w:outlineLvl w:val="0"/>
        <w:rPr>
          <w:rFonts w:ascii="仿宋_GB2312" w:eastAsia="仿宋_GB2312"/>
          <w:sz w:val="32"/>
          <w:szCs w:val="32"/>
        </w:rPr>
      </w:pPr>
      <w:bookmarkStart w:id="97" w:name="_Toc27678"/>
      <w:bookmarkStart w:id="98" w:name="_Toc21244"/>
      <w:r>
        <w:rPr>
          <w:rFonts w:hint="eastAsia" w:ascii="仿宋_GB2312" w:eastAsia="仿宋_GB2312"/>
          <w:sz w:val="32"/>
          <w:szCs w:val="32"/>
        </w:rPr>
        <w:t>11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w:t>
      </w:r>
      <w:bookmarkEnd w:id="97"/>
      <w:bookmarkEnd w:id="98"/>
    </w:p>
    <w:p>
      <w:pPr>
        <w:spacing w:line="600" w:lineRule="exact"/>
        <w:outlineLvl w:val="0"/>
        <w:rPr>
          <w:rFonts w:ascii="仿宋_GB2312" w:eastAsia="仿宋_GB2312"/>
          <w:sz w:val="32"/>
          <w:szCs w:val="32"/>
        </w:rPr>
      </w:pPr>
      <w:bookmarkStart w:id="99" w:name="_Toc1029"/>
      <w:bookmarkStart w:id="100" w:name="_Toc14809"/>
      <w:r>
        <w:rPr>
          <w:rFonts w:hint="eastAsia" w:ascii="仿宋_GB2312" w:eastAsia="仿宋_GB2312"/>
          <w:sz w:val="32"/>
          <w:szCs w:val="32"/>
        </w:rPr>
        <w:t>外宾接待）支出。</w:t>
      </w:r>
      <w:bookmarkEnd w:id="99"/>
      <w:bookmarkEnd w:id="100"/>
    </w:p>
    <w:p>
      <w:pPr>
        <w:spacing w:line="600" w:lineRule="exact"/>
        <w:jc w:val="center"/>
        <w:outlineLvl w:val="0"/>
        <w:rPr>
          <w:rFonts w:ascii="仿宋_GB2312" w:eastAsia="仿宋_GB2312"/>
          <w:sz w:val="32"/>
          <w:szCs w:val="32"/>
        </w:rPr>
      </w:pPr>
      <w:bookmarkStart w:id="101" w:name="_Toc20693"/>
      <w:bookmarkStart w:id="102" w:name="_Toc13615"/>
      <w:r>
        <w:rPr>
          <w:rFonts w:hint="eastAsia" w:ascii="仿宋_GB2312" w:eastAsia="仿宋_GB2312"/>
          <w:sz w:val="32"/>
          <w:szCs w:val="32"/>
        </w:rPr>
        <w:t>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w:t>
      </w:r>
      <w:bookmarkEnd w:id="101"/>
      <w:bookmarkEnd w:id="102"/>
    </w:p>
    <w:p>
      <w:pPr>
        <w:spacing w:line="600" w:lineRule="exact"/>
        <w:outlineLvl w:val="0"/>
        <w:rPr>
          <w:rFonts w:ascii="宋体"/>
          <w:b/>
          <w:sz w:val="44"/>
          <w:szCs w:val="44"/>
        </w:rPr>
      </w:pPr>
      <w:bookmarkStart w:id="103" w:name="_Toc19910"/>
      <w:bookmarkStart w:id="104" w:name="_Toc23183"/>
      <w:r>
        <w:rPr>
          <w:rFonts w:hint="eastAsia" w:ascii="仿宋_GB2312" w:eastAsia="仿宋_GB2312"/>
          <w:sz w:val="32"/>
          <w:szCs w:val="32"/>
        </w:rPr>
        <w:t>其他费用。</w:t>
      </w:r>
      <w:bookmarkEnd w:id="103"/>
      <w:bookmarkEnd w:id="104"/>
      <w:bookmarkStart w:id="105" w:name="_Toc15396614"/>
      <w:bookmarkStart w:id="106" w:name="_Toc2545"/>
    </w:p>
    <w:p>
      <w:pPr>
        <w:spacing w:line="600" w:lineRule="exact"/>
        <w:outlineLvl w:val="0"/>
        <w:rPr>
          <w:rFonts w:ascii="黑体" w:eastAsia="黑体"/>
          <w:sz w:val="44"/>
          <w:szCs w:val="44"/>
        </w:rPr>
      </w:pPr>
    </w:p>
    <w:p>
      <w:pPr>
        <w:spacing w:line="600" w:lineRule="exact"/>
        <w:outlineLvl w:val="0"/>
        <w:rPr>
          <w:rFonts w:ascii="黑体" w:eastAsia="黑体"/>
          <w:sz w:val="44"/>
          <w:szCs w:val="44"/>
        </w:rPr>
      </w:pPr>
    </w:p>
    <w:p>
      <w:pPr>
        <w:spacing w:line="600" w:lineRule="exact"/>
        <w:outlineLvl w:val="0"/>
        <w:rPr>
          <w:rFonts w:ascii="黑体" w:eastAsia="黑体"/>
          <w:sz w:val="44"/>
          <w:szCs w:val="44"/>
        </w:rPr>
      </w:pPr>
    </w:p>
    <w:p>
      <w:pPr>
        <w:spacing w:line="600" w:lineRule="exact"/>
        <w:jc w:val="center"/>
        <w:outlineLvl w:val="0"/>
        <w:rPr>
          <w:rStyle w:val="20"/>
          <w:rFonts w:ascii="仿宋_GB2312" w:eastAsia="仿宋_GB2312"/>
          <w:b w:val="0"/>
          <w:bCs w:val="0"/>
          <w:kern w:val="2"/>
          <w:sz w:val="32"/>
          <w:szCs w:val="32"/>
        </w:rPr>
      </w:pPr>
      <w:r>
        <w:rPr>
          <w:rFonts w:hint="eastAsia" w:ascii="黑体" w:eastAsia="黑体"/>
          <w:sz w:val="44"/>
          <w:szCs w:val="44"/>
        </w:rPr>
        <w:t>第</w:t>
      </w:r>
      <w:r>
        <w:rPr>
          <w:rStyle w:val="20"/>
          <w:rFonts w:hint="eastAsia" w:ascii="黑体" w:eastAsia="黑体"/>
          <w:b w:val="0"/>
        </w:rPr>
        <w:t>四部分 附件</w:t>
      </w:r>
      <w:bookmarkEnd w:id="105"/>
      <w:bookmarkEnd w:id="106"/>
    </w:p>
    <w:p>
      <w:pPr>
        <w:spacing w:line="572" w:lineRule="exact"/>
        <w:jc w:val="left"/>
        <w:outlineLvl w:val="0"/>
        <w:rPr>
          <w:rFonts w:ascii="方正小标宋简体" w:eastAsia="方正小标宋简体" w:cs="方正小标宋简体"/>
          <w:sz w:val="44"/>
          <w:szCs w:val="44"/>
        </w:rPr>
      </w:pPr>
      <w:bookmarkStart w:id="107" w:name="_Toc4715"/>
      <w:r>
        <w:rPr>
          <w:rFonts w:hint="eastAsia" w:ascii="黑体" w:eastAsia="黑体" w:cs="黑体"/>
          <w:sz w:val="32"/>
          <w:szCs w:val="32"/>
        </w:rPr>
        <w:t>附件</w:t>
      </w:r>
      <w:bookmarkEnd w:id="107"/>
    </w:p>
    <w:p>
      <w:pPr>
        <w:widowControl/>
        <w:spacing w:line="560" w:lineRule="exact"/>
        <w:contextualSpacing/>
        <w:jc w:val="center"/>
        <w:rPr>
          <w:rFonts w:ascii="宋体"/>
          <w:b/>
          <w:sz w:val="32"/>
          <w:szCs w:val="32"/>
          <w:shd w:val="clear" w:color="auto" w:fill="FFFFFF"/>
        </w:rPr>
      </w:pPr>
      <w:r>
        <w:rPr>
          <w:rFonts w:hint="eastAsia" w:ascii="宋体"/>
          <w:b/>
          <w:sz w:val="32"/>
          <w:szCs w:val="32"/>
          <w:shd w:val="clear" w:color="auto" w:fill="FFFFFF"/>
        </w:rPr>
        <w:t>中共红原县纪律检查委员会</w:t>
      </w:r>
    </w:p>
    <w:p>
      <w:pPr>
        <w:widowControl/>
        <w:spacing w:line="560" w:lineRule="exact"/>
        <w:contextualSpacing/>
        <w:jc w:val="center"/>
        <w:rPr>
          <w:rFonts w:ascii="宋体"/>
          <w:b/>
          <w:sz w:val="32"/>
          <w:szCs w:val="32"/>
          <w:shd w:val="clear" w:color="auto" w:fill="FFFFFF"/>
        </w:rPr>
      </w:pPr>
      <w:r>
        <w:rPr>
          <w:rFonts w:hint="eastAsia" w:ascii="宋体"/>
          <w:b/>
          <w:sz w:val="32"/>
          <w:szCs w:val="32"/>
          <w:shd w:val="clear" w:color="auto" w:fill="FFFFFF"/>
        </w:rPr>
        <w:t>2022年部门整体支出绩效报告</w:t>
      </w:r>
    </w:p>
    <w:p>
      <w:pPr>
        <w:widowControl/>
        <w:spacing w:line="560" w:lineRule="exact"/>
        <w:contextualSpacing/>
        <w:jc w:val="center"/>
        <w:rPr>
          <w:rFonts w:ascii="仿宋_GB2312" w:eastAsia="仿宋_GB2312" w:cs="仿宋_GB2312"/>
          <w:sz w:val="32"/>
          <w:szCs w:val="32"/>
          <w:shd w:val="clear" w:color="auto" w:fill="FFFFFF"/>
        </w:rPr>
      </w:pPr>
      <w:r>
        <w:rPr>
          <w:rFonts w:hint="eastAsia" w:ascii="仿宋_GB2312" w:eastAsia="仿宋_GB2312" w:cs="仿宋_GB2312"/>
          <w:sz w:val="32"/>
          <w:szCs w:val="32"/>
          <w:shd w:val="clear" w:color="auto" w:fill="FFFFFF"/>
        </w:rPr>
        <w:t>（报告范围包括机关和下属单位）</w:t>
      </w:r>
    </w:p>
    <w:p>
      <w:pPr>
        <w:pStyle w:val="8"/>
        <w:ind w:left="420" w:firstLine="643"/>
        <w:rPr>
          <w:rFonts w:eastAsia="仿宋_GB2312" w:cs="仿宋_GB2312"/>
          <w:b/>
          <w:bCs/>
          <w:sz w:val="32"/>
        </w:rPr>
      </w:pPr>
    </w:p>
    <w:p>
      <w:pPr>
        <w:widowControl/>
        <w:jc w:val="left"/>
        <w:rPr>
          <w:rFonts w:ascii="黑体" w:hAnsi="黑体" w:eastAsia="黑体" w:cs="黑体"/>
          <w:b/>
          <w:bCs/>
          <w:kern w:val="0"/>
          <w:sz w:val="32"/>
          <w:szCs w:val="32"/>
          <w:shd w:val="clear" w:color="auto" w:fill="FFFFFF"/>
        </w:rPr>
      </w:pPr>
      <w:r>
        <w:rPr>
          <w:rFonts w:hint="eastAsia" w:ascii="黑体" w:hAnsi="黑体" w:eastAsia="黑体" w:cs="黑体"/>
          <w:b/>
          <w:bCs/>
          <w:kern w:val="0"/>
          <w:sz w:val="32"/>
          <w:szCs w:val="32"/>
          <w:shd w:val="clear" w:color="auto" w:fill="FFFFFF"/>
        </w:rPr>
        <w:t>一、部门（单位）概况</w:t>
      </w:r>
    </w:p>
    <w:p>
      <w:pPr>
        <w:widowControl/>
        <w:jc w:val="left"/>
        <w:rPr>
          <w:rFonts w:ascii="楷体_GB2312" w:hAnsi="楷体_GB2312" w:eastAsia="楷体_GB2312" w:cs="楷体_GB2312"/>
          <w:b/>
          <w:bCs/>
          <w:kern w:val="0"/>
          <w:sz w:val="32"/>
          <w:szCs w:val="32"/>
          <w:shd w:val="clear" w:color="auto" w:fill="FFFFFF"/>
        </w:rPr>
      </w:pPr>
      <w:r>
        <w:rPr>
          <w:rFonts w:hint="eastAsia" w:ascii="楷体_GB2312" w:hAnsi="楷体_GB2312" w:eastAsia="楷体_GB2312" w:cs="楷体_GB2312"/>
          <w:b/>
          <w:bCs/>
          <w:kern w:val="0"/>
          <w:sz w:val="32"/>
          <w:szCs w:val="32"/>
          <w:shd w:val="clear" w:color="auto" w:fill="FFFFFF"/>
        </w:rPr>
        <w:t>（一）机构组成。</w:t>
      </w:r>
    </w:p>
    <w:p>
      <w:pPr>
        <w:adjustRightInd w:val="0"/>
        <w:snapToGrid w:val="0"/>
        <w:spacing w:line="560" w:lineRule="exact"/>
        <w:ind w:firstLine="640" w:firstLineChars="200"/>
        <w:contextualSpacing/>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县纪委为独立核算全额拨款行政单位，共设机构2个，即：中共红原县委巡察办服务保障中心（事业）。</w:t>
      </w:r>
    </w:p>
    <w:p>
      <w:pPr>
        <w:widowControl/>
        <w:jc w:val="left"/>
        <w:rPr>
          <w:rFonts w:ascii="楷体_GB2312" w:hAnsi="楷体_GB2312" w:eastAsia="楷体_GB2312" w:cs="楷体_GB2312"/>
          <w:b/>
          <w:bCs/>
          <w:kern w:val="0"/>
          <w:sz w:val="32"/>
          <w:szCs w:val="32"/>
          <w:shd w:val="clear" w:color="auto" w:fill="FFFFFF"/>
        </w:rPr>
      </w:pPr>
      <w:r>
        <w:rPr>
          <w:rFonts w:hint="eastAsia" w:ascii="楷体_GB2312" w:hAnsi="楷体_GB2312" w:eastAsia="楷体_GB2312" w:cs="楷体_GB2312"/>
          <w:b/>
          <w:bCs/>
          <w:kern w:val="0"/>
          <w:sz w:val="32"/>
          <w:szCs w:val="32"/>
          <w:shd w:val="clear" w:color="auto" w:fill="FFFFFF"/>
        </w:rPr>
        <w:t>（二）机构职能。</w:t>
      </w:r>
    </w:p>
    <w:p>
      <w:pPr>
        <w:adjustRightInd w:val="0"/>
        <w:snapToGrid w:val="0"/>
        <w:spacing w:line="560" w:lineRule="exact"/>
        <w:ind w:firstLine="640" w:firstLineChars="200"/>
        <w:contextualSpacing/>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主要职能。主管全县的纪律检查工作。负责贯彻落实党中央、省、州、县委关于加强党风廉政建设的决定，维护党的章程和其他党内法规，检查党的路线、方针、政府和决议的执行情况。主管全县行政监察工作。负责中央、国务院、中纪委、监察部、省、州、</w:t>
      </w:r>
      <w:r>
        <w:rPr>
          <w:rFonts w:hint="eastAsia" w:ascii="仿宋_GB2312" w:hAnsi="仿宋_GB2312" w:eastAsia="仿宋_GB2312" w:cs="仿宋_GB2312"/>
          <w:kern w:val="0"/>
          <w:sz w:val="32"/>
          <w:szCs w:val="32"/>
          <w:shd w:val="clear" w:color="auto" w:fill="FFFFFF"/>
          <w:lang w:eastAsia="zh-CN"/>
        </w:rPr>
        <w:t>县委、县政府</w:t>
      </w:r>
      <w:r>
        <w:rPr>
          <w:rFonts w:hint="eastAsia" w:ascii="仿宋_GB2312" w:hAnsi="仿宋_GB2312" w:eastAsia="仿宋_GB2312" w:cs="仿宋_GB2312"/>
          <w:kern w:val="0"/>
          <w:sz w:val="32"/>
          <w:szCs w:val="32"/>
          <w:shd w:val="clear" w:color="auto" w:fill="FFFFFF"/>
        </w:rPr>
        <w:t>省监察厅、州监察局和</w:t>
      </w:r>
      <w:r>
        <w:rPr>
          <w:rFonts w:hint="eastAsia" w:ascii="仿宋_GB2312" w:hAnsi="仿宋_GB2312" w:eastAsia="仿宋_GB2312" w:cs="仿宋_GB2312"/>
          <w:kern w:val="0"/>
          <w:sz w:val="32"/>
          <w:szCs w:val="32"/>
          <w:shd w:val="clear" w:color="auto" w:fill="FFFFFF"/>
          <w:lang w:eastAsia="zh-CN"/>
        </w:rPr>
        <w:t>县委、县政府</w:t>
      </w:r>
      <w:r>
        <w:rPr>
          <w:rFonts w:hint="eastAsia" w:ascii="仿宋_GB2312" w:hAnsi="仿宋_GB2312" w:eastAsia="仿宋_GB2312" w:cs="仿宋_GB2312"/>
          <w:kern w:val="0"/>
          <w:sz w:val="32"/>
          <w:szCs w:val="32"/>
          <w:shd w:val="clear" w:color="auto" w:fill="FFFFFF"/>
        </w:rPr>
        <w:t>政府有关监察工作的决定，监督检查政府颁发的决议和命令的情况，维护行政纪律，保证政令畅通。负责调查处理县级党政机关各部门、各机关党委（支部）的党员干部违反党的章程及其它党内法规的案件，决定给予或取消对这案件中的党员和处分；处理党员的控告和申诉，查处违纪案件。按照州纪委、州监察局和</w:t>
      </w:r>
      <w:r>
        <w:rPr>
          <w:rFonts w:hint="eastAsia" w:ascii="仿宋_GB2312" w:hAnsi="仿宋_GB2312" w:eastAsia="仿宋_GB2312" w:cs="仿宋_GB2312"/>
          <w:kern w:val="0"/>
          <w:sz w:val="32"/>
          <w:szCs w:val="32"/>
          <w:shd w:val="clear" w:color="auto" w:fill="FFFFFF"/>
          <w:lang w:eastAsia="zh-CN"/>
        </w:rPr>
        <w:t>县委、县政府</w:t>
      </w:r>
      <w:r>
        <w:rPr>
          <w:rFonts w:hint="eastAsia" w:ascii="仿宋_GB2312" w:hAnsi="仿宋_GB2312" w:eastAsia="仿宋_GB2312" w:cs="仿宋_GB2312"/>
          <w:kern w:val="0"/>
          <w:sz w:val="32"/>
          <w:szCs w:val="32"/>
          <w:shd w:val="clear" w:color="auto" w:fill="FFFFFF"/>
        </w:rPr>
        <w:t>的要求，负责作出关于维护党纪的决定，制定全县的党风廉政建设、反腐败工作的计划，协助县委、县政府搞好党风廉政建设、反腐败工作计划，协助县委、县政府搞好党风廉政建设、反腐败工作和对党员的遵纪守法的教育工作。加强对领导干部的管理和监督，全同组织、人事部门搞好对新上任领导干部的监督检查。承办州纪委、州监察局和县委、县政府授权和交办的其它工作任务。负责党风廉政建设和反腐败斗争的组织协调工作职能。负责科级领导干部党风廉政情况的考察工作职能。负责乡镇纪检组织建设和考核工作职能。</w:t>
      </w:r>
    </w:p>
    <w:p>
      <w:pPr>
        <w:widowControl/>
        <w:jc w:val="left"/>
        <w:rPr>
          <w:rFonts w:ascii="楷体_GB2312" w:hAnsi="楷体_GB2312" w:eastAsia="楷体_GB2312" w:cs="楷体_GB2312"/>
          <w:b/>
          <w:bCs/>
          <w:kern w:val="0"/>
          <w:sz w:val="32"/>
          <w:szCs w:val="32"/>
          <w:shd w:val="clear" w:color="auto" w:fill="FFFFFF"/>
        </w:rPr>
      </w:pPr>
      <w:r>
        <w:rPr>
          <w:rFonts w:hint="eastAsia" w:ascii="楷体_GB2312" w:hAnsi="楷体_GB2312" w:eastAsia="楷体_GB2312" w:cs="楷体_GB2312"/>
          <w:b/>
          <w:bCs/>
          <w:kern w:val="0"/>
          <w:sz w:val="32"/>
          <w:szCs w:val="32"/>
          <w:shd w:val="clear" w:color="auto" w:fill="FFFFFF"/>
        </w:rPr>
        <w:t>（三）人员概况。</w:t>
      </w:r>
    </w:p>
    <w:p>
      <w:pPr>
        <w:widowControl/>
        <w:ind w:firstLine="640" w:firstLineChars="200"/>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本单位截止2022年底共有在职职工</w:t>
      </w:r>
      <w:r>
        <w:rPr>
          <w:rFonts w:hint="eastAsia" w:ascii="仿宋_GB2312" w:hAnsi="仿宋_GB2312" w:cs="仿宋_GB2312" w:eastAsiaTheme="minorEastAsia"/>
          <w:kern w:val="0"/>
          <w:sz w:val="32"/>
          <w:szCs w:val="32"/>
          <w:shd w:val="clear" w:color="auto" w:fill="FFFFFF"/>
        </w:rPr>
        <w:t>53</w:t>
      </w:r>
      <w:r>
        <w:rPr>
          <w:rFonts w:hint="eastAsia" w:ascii="仿宋_GB2312" w:hAnsi="仿宋_GB2312" w:eastAsia="仿宋_GB2312" w:cs="仿宋_GB2312"/>
          <w:kern w:val="0"/>
          <w:sz w:val="32"/>
          <w:szCs w:val="32"/>
          <w:shd w:val="clear" w:color="auto" w:fill="FFFFFF"/>
        </w:rPr>
        <w:t>人，其中公务员</w:t>
      </w:r>
      <w:r>
        <w:rPr>
          <w:rFonts w:hint="eastAsia" w:ascii="仿宋_GB2312" w:hAnsi="仿宋_GB2312" w:cs="仿宋_GB2312" w:eastAsiaTheme="minorEastAsia"/>
          <w:kern w:val="0"/>
          <w:sz w:val="32"/>
          <w:szCs w:val="32"/>
          <w:shd w:val="clear" w:color="auto" w:fill="FFFFFF"/>
        </w:rPr>
        <w:t>46</w:t>
      </w:r>
      <w:r>
        <w:rPr>
          <w:rFonts w:hint="eastAsia" w:ascii="仿宋_GB2312" w:hAnsi="仿宋_GB2312" w:eastAsia="仿宋_GB2312" w:cs="仿宋_GB2312"/>
          <w:kern w:val="0"/>
          <w:sz w:val="32"/>
          <w:szCs w:val="32"/>
          <w:shd w:val="clear" w:color="auto" w:fill="FFFFFF"/>
        </w:rPr>
        <w:t>人，行政工勤4人，</w:t>
      </w:r>
      <w:r>
        <w:rPr>
          <w:rFonts w:hint="eastAsia" w:ascii="仿宋_GB2312" w:hAnsi="仿宋_GB2312" w:cs="仿宋_GB2312" w:eastAsiaTheme="minorEastAsia"/>
          <w:kern w:val="0"/>
          <w:sz w:val="32"/>
          <w:szCs w:val="32"/>
          <w:shd w:val="clear" w:color="auto" w:fill="FFFFFF"/>
        </w:rPr>
        <w:t>公益性</w:t>
      </w:r>
      <w:r>
        <w:rPr>
          <w:rFonts w:hint="eastAsia" w:ascii="仿宋_GB2312" w:hAnsi="仿宋_GB2312" w:eastAsia="仿宋_GB2312" w:cs="仿宋_GB2312"/>
          <w:kern w:val="0"/>
          <w:sz w:val="32"/>
          <w:szCs w:val="32"/>
          <w:shd w:val="clear" w:color="auto" w:fill="FFFFFF"/>
        </w:rPr>
        <w:t>事业人员</w:t>
      </w:r>
      <w:r>
        <w:rPr>
          <w:rFonts w:hint="eastAsia" w:ascii="仿宋_GB2312" w:hAnsi="仿宋_GB2312" w:cs="仿宋_GB2312" w:eastAsiaTheme="minorEastAsia"/>
          <w:kern w:val="0"/>
          <w:sz w:val="32"/>
          <w:szCs w:val="32"/>
          <w:shd w:val="clear" w:color="auto" w:fill="FFFFFF"/>
        </w:rPr>
        <w:t>3</w:t>
      </w:r>
      <w:r>
        <w:rPr>
          <w:rFonts w:hint="eastAsia" w:ascii="仿宋_GB2312" w:hAnsi="仿宋_GB2312" w:eastAsia="仿宋_GB2312" w:cs="仿宋_GB2312"/>
          <w:kern w:val="0"/>
          <w:sz w:val="32"/>
          <w:szCs w:val="32"/>
          <w:shd w:val="clear" w:color="auto" w:fill="FFFFFF"/>
        </w:rPr>
        <w:t>人。</w:t>
      </w:r>
    </w:p>
    <w:p>
      <w:pPr>
        <w:widowControl/>
        <w:jc w:val="left"/>
        <w:rPr>
          <w:rFonts w:ascii="黑体" w:hAnsi="黑体" w:eastAsia="黑体" w:cs="黑体"/>
          <w:b/>
          <w:bCs/>
          <w:kern w:val="0"/>
          <w:sz w:val="32"/>
          <w:szCs w:val="32"/>
          <w:shd w:val="clear" w:color="auto" w:fill="FFFFFF"/>
        </w:rPr>
      </w:pPr>
      <w:r>
        <w:rPr>
          <w:rFonts w:hint="eastAsia" w:ascii="黑体" w:hAnsi="黑体" w:eastAsia="黑体" w:cs="黑体"/>
          <w:b/>
          <w:bCs/>
          <w:kern w:val="0"/>
          <w:sz w:val="32"/>
          <w:szCs w:val="32"/>
          <w:shd w:val="clear" w:color="auto" w:fill="FFFFFF"/>
        </w:rPr>
        <w:t>二、部门财政资金收支情况</w:t>
      </w:r>
    </w:p>
    <w:p>
      <w:pPr>
        <w:widowControl/>
        <w:jc w:val="left"/>
        <w:rPr>
          <w:rFonts w:ascii="楷体_GB2312" w:hAnsi="楷体_GB2312" w:eastAsia="楷体_GB2312" w:cs="楷体_GB2312"/>
          <w:b/>
          <w:bCs/>
          <w:kern w:val="0"/>
          <w:sz w:val="32"/>
          <w:szCs w:val="32"/>
          <w:shd w:val="clear" w:color="auto" w:fill="FFFFFF"/>
        </w:rPr>
      </w:pPr>
      <w:r>
        <w:rPr>
          <w:rFonts w:hint="eastAsia" w:ascii="楷体_GB2312" w:hAnsi="楷体_GB2312" w:eastAsia="楷体_GB2312" w:cs="楷体_GB2312"/>
          <w:b/>
          <w:bCs/>
          <w:kern w:val="0"/>
          <w:sz w:val="32"/>
          <w:szCs w:val="32"/>
          <w:shd w:val="clear" w:color="auto" w:fill="FFFFFF"/>
        </w:rPr>
        <w:t>（一）部门财政资金收入情况</w:t>
      </w:r>
    </w:p>
    <w:p>
      <w:pPr>
        <w:widowControl/>
        <w:ind w:firstLine="640" w:firstLineChars="200"/>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2022年度财政拨款收入总计</w:t>
      </w:r>
      <w:r>
        <w:rPr>
          <w:rFonts w:hint="eastAsia" w:ascii="仿宋_GB2312" w:hAnsi="仿宋_GB2312" w:cs="仿宋_GB2312" w:eastAsiaTheme="minorEastAsia"/>
          <w:kern w:val="0"/>
          <w:sz w:val="32"/>
          <w:szCs w:val="32"/>
          <w:shd w:val="clear" w:color="auto" w:fill="FFFFFF"/>
        </w:rPr>
        <w:t>1571.55</w:t>
      </w:r>
      <w:r>
        <w:rPr>
          <w:rFonts w:hint="eastAsia" w:ascii="仿宋_GB2312" w:hAnsi="仿宋_GB2312" w:eastAsia="仿宋_GB2312" w:cs="仿宋_GB2312"/>
          <w:kern w:val="0"/>
          <w:sz w:val="32"/>
          <w:szCs w:val="32"/>
          <w:shd w:val="clear" w:color="auto" w:fill="FFFFFF"/>
        </w:rPr>
        <w:t xml:space="preserve"> 万元（其中：一般公共服务支出</w:t>
      </w:r>
      <w:r>
        <w:rPr>
          <w:rFonts w:hint="eastAsia" w:ascii="仿宋_GB2312" w:hAnsi="仿宋_GB2312" w:cs="仿宋_GB2312" w:eastAsiaTheme="minorEastAsia"/>
          <w:kern w:val="0"/>
          <w:sz w:val="32"/>
          <w:szCs w:val="32"/>
          <w:shd w:val="clear" w:color="auto" w:fill="FFFFFF"/>
        </w:rPr>
        <w:t>1265.83</w:t>
      </w:r>
      <w:r>
        <w:rPr>
          <w:rFonts w:hint="eastAsia" w:ascii="仿宋_GB2312" w:hAnsi="仿宋_GB2312" w:eastAsia="仿宋_GB2312" w:cs="仿宋_GB2312"/>
          <w:kern w:val="0"/>
          <w:sz w:val="32"/>
          <w:szCs w:val="32"/>
          <w:shd w:val="clear" w:color="auto" w:fill="FFFFFF"/>
        </w:rPr>
        <w:t>万元，主要为人员工资、体检费、工伤失业保险、会议费、差旅费、印刷费、培训费、公务用车运行维护费等；社会保障和就业支出</w:t>
      </w:r>
      <w:r>
        <w:rPr>
          <w:rFonts w:hint="eastAsia" w:ascii="仿宋_GB2312" w:hAnsi="仿宋_GB2312" w:cs="仿宋_GB2312" w:eastAsiaTheme="minorEastAsia"/>
          <w:kern w:val="0"/>
          <w:sz w:val="32"/>
          <w:szCs w:val="32"/>
          <w:shd w:val="clear" w:color="auto" w:fill="FFFFFF"/>
        </w:rPr>
        <w:t>151.39</w:t>
      </w:r>
      <w:r>
        <w:rPr>
          <w:rFonts w:hint="eastAsia" w:ascii="仿宋_GB2312" w:hAnsi="仿宋_GB2312" w:eastAsia="仿宋_GB2312" w:cs="仿宋_GB2312"/>
          <w:kern w:val="0"/>
          <w:sz w:val="32"/>
          <w:szCs w:val="32"/>
          <w:shd w:val="clear" w:color="auto" w:fill="FFFFFF"/>
        </w:rPr>
        <w:t>万元，主要为单位部分各项保险；医疗卫生与计划生育支出</w:t>
      </w:r>
      <w:r>
        <w:rPr>
          <w:rFonts w:hint="eastAsia" w:ascii="仿宋_GB2312" w:hAnsi="仿宋_GB2312" w:cs="仿宋_GB2312" w:eastAsiaTheme="minorEastAsia"/>
          <w:kern w:val="0"/>
          <w:sz w:val="32"/>
          <w:szCs w:val="32"/>
          <w:shd w:val="clear" w:color="auto" w:fill="FFFFFF"/>
        </w:rPr>
        <w:t>68.41</w:t>
      </w:r>
      <w:r>
        <w:rPr>
          <w:rFonts w:hint="eastAsia" w:ascii="仿宋_GB2312" w:hAnsi="仿宋_GB2312" w:eastAsia="仿宋_GB2312" w:cs="仿宋_GB2312"/>
          <w:kern w:val="0"/>
          <w:sz w:val="32"/>
          <w:szCs w:val="32"/>
          <w:shd w:val="clear" w:color="auto" w:fill="FFFFFF"/>
        </w:rPr>
        <w:t>万元，全部为单位部分医疗保险、公务员医疗补助；住房保障支出</w:t>
      </w:r>
      <w:r>
        <w:rPr>
          <w:rFonts w:hint="eastAsia" w:ascii="仿宋_GB2312" w:hAnsi="仿宋_GB2312" w:cs="仿宋_GB2312" w:eastAsiaTheme="minorEastAsia"/>
          <w:kern w:val="0"/>
          <w:sz w:val="32"/>
          <w:szCs w:val="32"/>
          <w:shd w:val="clear" w:color="auto" w:fill="FFFFFF"/>
        </w:rPr>
        <w:t>85.92</w:t>
      </w:r>
      <w:r>
        <w:rPr>
          <w:rFonts w:hint="eastAsia" w:ascii="仿宋_GB2312" w:hAnsi="仿宋_GB2312" w:eastAsia="仿宋_GB2312" w:cs="仿宋_GB2312"/>
          <w:kern w:val="0"/>
          <w:sz w:val="32"/>
          <w:szCs w:val="32"/>
          <w:shd w:val="clear" w:color="auto" w:fill="FFFFFF"/>
        </w:rPr>
        <w:t>万元，全部为单位部分住房公积金）。与2021年相比，收入增加了</w:t>
      </w:r>
      <w:r>
        <w:rPr>
          <w:rFonts w:hint="eastAsia" w:ascii="仿宋_GB2312" w:hAnsi="仿宋_GB2312" w:cs="仿宋_GB2312" w:eastAsiaTheme="minorEastAsia"/>
          <w:kern w:val="0"/>
          <w:sz w:val="32"/>
          <w:szCs w:val="32"/>
          <w:shd w:val="clear" w:color="auto" w:fill="FFFFFF"/>
        </w:rPr>
        <w:t>300.81</w:t>
      </w:r>
      <w:r>
        <w:rPr>
          <w:rFonts w:hint="eastAsia" w:ascii="仿宋_GB2312" w:hAnsi="仿宋_GB2312" w:eastAsia="仿宋_GB2312" w:cs="仿宋_GB2312"/>
          <w:kern w:val="0"/>
          <w:sz w:val="32"/>
          <w:szCs w:val="32"/>
          <w:shd w:val="clear" w:color="auto" w:fill="FFFFFF"/>
        </w:rPr>
        <w:t>万元，上升了</w:t>
      </w:r>
      <w:r>
        <w:rPr>
          <w:rFonts w:hint="eastAsia" w:ascii="仿宋_GB2312" w:hAnsi="仿宋_GB2312" w:cs="仿宋_GB2312" w:eastAsiaTheme="minorEastAsia"/>
          <w:kern w:val="0"/>
          <w:sz w:val="32"/>
          <w:szCs w:val="32"/>
          <w:shd w:val="clear" w:color="auto" w:fill="FFFFFF"/>
        </w:rPr>
        <w:t>23.67</w:t>
      </w:r>
      <w:r>
        <w:rPr>
          <w:rFonts w:hint="eastAsia" w:ascii="仿宋_GB2312" w:hAnsi="仿宋_GB2312" w:eastAsia="仿宋_GB2312" w:cs="仿宋_GB2312"/>
          <w:kern w:val="0"/>
          <w:sz w:val="32"/>
          <w:szCs w:val="32"/>
          <w:shd w:val="clear" w:color="auto" w:fill="FFFFFF"/>
        </w:rPr>
        <w:t>%，主要变动原因是22年支付</w:t>
      </w:r>
      <w:r>
        <w:rPr>
          <w:rFonts w:hint="eastAsia" w:ascii="仿宋_GB2312" w:hAnsi="仿宋_GB2312" w:cs="仿宋_GB2312" w:eastAsiaTheme="minorEastAsia"/>
          <w:kern w:val="0"/>
          <w:sz w:val="32"/>
          <w:szCs w:val="32"/>
          <w:shd w:val="clear" w:color="auto" w:fill="FFFFFF"/>
        </w:rPr>
        <w:t>乡镇纪委谈话室规范化建设，维修维护费、纪检涉密系统及全县纪检监察干部赴浙江考察</w:t>
      </w:r>
      <w:r>
        <w:rPr>
          <w:rFonts w:hint="eastAsia" w:ascii="仿宋_GB2312" w:hAnsi="仿宋_GB2312" w:eastAsia="仿宋_GB2312" w:cs="仿宋_GB2312"/>
          <w:kern w:val="0"/>
          <w:sz w:val="32"/>
          <w:szCs w:val="32"/>
          <w:shd w:val="clear" w:color="auto" w:fill="FFFFFF"/>
        </w:rPr>
        <w:t>培训</w:t>
      </w:r>
      <w:r>
        <w:rPr>
          <w:rFonts w:hint="eastAsia" w:ascii="仿宋_GB2312" w:hAnsi="仿宋_GB2312" w:cs="仿宋_GB2312" w:eastAsiaTheme="minorEastAsia"/>
          <w:kern w:val="0"/>
          <w:sz w:val="32"/>
          <w:szCs w:val="32"/>
          <w:shd w:val="clear" w:color="auto" w:fill="FFFFFF"/>
        </w:rPr>
        <w:t>学习等</w:t>
      </w:r>
      <w:r>
        <w:rPr>
          <w:rFonts w:hint="eastAsia" w:ascii="仿宋_GB2312" w:hAnsi="仿宋_GB2312" w:eastAsia="仿宋_GB2312" w:cs="仿宋_GB2312"/>
          <w:kern w:val="0"/>
          <w:sz w:val="32"/>
          <w:szCs w:val="32"/>
          <w:shd w:val="clear" w:color="auto" w:fill="FFFFFF"/>
        </w:rPr>
        <w:t>相关开支及保险基数调整。</w:t>
      </w:r>
    </w:p>
    <w:p>
      <w:pPr>
        <w:widowControl/>
        <w:jc w:val="left"/>
        <w:rPr>
          <w:rFonts w:ascii="楷体_GB2312" w:hAnsi="楷体_GB2312" w:eastAsia="楷体_GB2312" w:cs="楷体_GB2312"/>
          <w:b/>
          <w:bCs/>
          <w:kern w:val="0"/>
          <w:sz w:val="32"/>
          <w:szCs w:val="32"/>
          <w:shd w:val="clear" w:color="auto" w:fill="FFFFFF"/>
        </w:rPr>
      </w:pPr>
      <w:r>
        <w:rPr>
          <w:rFonts w:hint="eastAsia" w:ascii="楷体_GB2312" w:hAnsi="楷体_GB2312" w:eastAsia="楷体_GB2312" w:cs="楷体_GB2312"/>
          <w:b/>
          <w:bCs/>
          <w:kern w:val="0"/>
          <w:sz w:val="32"/>
          <w:szCs w:val="32"/>
          <w:shd w:val="clear" w:color="auto" w:fill="FFFFFF"/>
        </w:rPr>
        <w:t>（二）部门财政资金支出情况</w:t>
      </w:r>
    </w:p>
    <w:p>
      <w:pPr>
        <w:widowControl/>
        <w:ind w:firstLine="640" w:firstLineChars="200"/>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2022年度财政拨款支出</w:t>
      </w:r>
      <w:r>
        <w:rPr>
          <w:rFonts w:hint="eastAsia" w:ascii="仿宋_GB2312" w:hAnsi="仿宋_GB2312" w:cs="仿宋_GB2312" w:eastAsiaTheme="minorEastAsia"/>
          <w:kern w:val="0"/>
          <w:sz w:val="32"/>
          <w:szCs w:val="32"/>
          <w:shd w:val="clear" w:color="auto" w:fill="FFFFFF"/>
        </w:rPr>
        <w:t>1571.55</w:t>
      </w:r>
      <w:r>
        <w:rPr>
          <w:rFonts w:hint="eastAsia" w:ascii="仿宋_GB2312" w:hAnsi="仿宋_GB2312" w:eastAsia="仿宋_GB2312" w:cs="仿宋_GB2312"/>
          <w:kern w:val="0"/>
          <w:sz w:val="32"/>
          <w:szCs w:val="32"/>
          <w:shd w:val="clear" w:color="auto" w:fill="FFFFFF"/>
        </w:rPr>
        <w:t>万元，与2021年相比，支出增加了</w:t>
      </w:r>
      <w:r>
        <w:rPr>
          <w:rFonts w:hint="eastAsia" w:ascii="仿宋_GB2312" w:hAnsi="仿宋_GB2312" w:cs="仿宋_GB2312" w:eastAsiaTheme="minorEastAsia"/>
          <w:kern w:val="0"/>
          <w:sz w:val="32"/>
          <w:szCs w:val="32"/>
          <w:shd w:val="clear" w:color="auto" w:fill="FFFFFF"/>
        </w:rPr>
        <w:t>253.43</w:t>
      </w:r>
      <w:r>
        <w:rPr>
          <w:rFonts w:hint="eastAsia" w:ascii="仿宋_GB2312" w:hAnsi="仿宋_GB2312" w:eastAsia="仿宋_GB2312" w:cs="仿宋_GB2312"/>
          <w:kern w:val="0"/>
          <w:sz w:val="32"/>
          <w:szCs w:val="32"/>
          <w:shd w:val="clear" w:color="auto" w:fill="FFFFFF"/>
        </w:rPr>
        <w:t>万元，上升了4.38%，主要变动原因是22年支付付</w:t>
      </w:r>
      <w:r>
        <w:rPr>
          <w:rFonts w:hint="eastAsia" w:ascii="仿宋_GB2312" w:hAnsi="仿宋_GB2312" w:cs="仿宋_GB2312" w:eastAsiaTheme="minorEastAsia"/>
          <w:kern w:val="0"/>
          <w:sz w:val="32"/>
          <w:szCs w:val="32"/>
          <w:shd w:val="clear" w:color="auto" w:fill="FFFFFF"/>
        </w:rPr>
        <w:t>乡镇纪委谈话室规范化建设，维修维护费、纪检涉密系统及全县纪检监察干部赴浙江考察</w:t>
      </w:r>
      <w:r>
        <w:rPr>
          <w:rFonts w:hint="eastAsia" w:ascii="仿宋_GB2312" w:hAnsi="仿宋_GB2312" w:eastAsia="仿宋_GB2312" w:cs="仿宋_GB2312"/>
          <w:kern w:val="0"/>
          <w:sz w:val="32"/>
          <w:szCs w:val="32"/>
          <w:shd w:val="clear" w:color="auto" w:fill="FFFFFF"/>
        </w:rPr>
        <w:t>培训</w:t>
      </w:r>
      <w:r>
        <w:rPr>
          <w:rFonts w:hint="eastAsia" w:ascii="仿宋_GB2312" w:hAnsi="仿宋_GB2312" w:cs="仿宋_GB2312" w:eastAsiaTheme="minorEastAsia"/>
          <w:kern w:val="0"/>
          <w:sz w:val="32"/>
          <w:szCs w:val="32"/>
          <w:shd w:val="clear" w:color="auto" w:fill="FFFFFF"/>
        </w:rPr>
        <w:t>学习</w:t>
      </w:r>
      <w:r>
        <w:rPr>
          <w:rFonts w:hint="eastAsia" w:ascii="仿宋_GB2312" w:hAnsi="仿宋_GB2312" w:eastAsia="仿宋_GB2312" w:cs="仿宋_GB2312"/>
          <w:kern w:val="0"/>
          <w:sz w:val="32"/>
          <w:szCs w:val="32"/>
          <w:shd w:val="clear" w:color="auto" w:fill="FFFFFF"/>
        </w:rPr>
        <w:t>及保险基数调整。其中：一般公共服务支出</w:t>
      </w:r>
      <w:r>
        <w:rPr>
          <w:rFonts w:hint="eastAsia" w:ascii="仿宋_GB2312" w:hAnsi="仿宋_GB2312" w:cs="仿宋_GB2312" w:eastAsiaTheme="minorEastAsia"/>
          <w:kern w:val="0"/>
          <w:sz w:val="32"/>
          <w:szCs w:val="32"/>
          <w:shd w:val="clear" w:color="auto" w:fill="FFFFFF"/>
        </w:rPr>
        <w:t>1265.83</w:t>
      </w:r>
      <w:r>
        <w:rPr>
          <w:rFonts w:hint="eastAsia" w:ascii="仿宋_GB2312" w:hAnsi="仿宋_GB2312" w:eastAsia="仿宋_GB2312" w:cs="仿宋_GB2312"/>
          <w:kern w:val="0"/>
          <w:sz w:val="32"/>
          <w:szCs w:val="32"/>
          <w:shd w:val="clear" w:color="auto" w:fill="FFFFFF"/>
        </w:rPr>
        <w:t>万元，主要为人员工资、体检费、工伤失业保险、会议费、差旅费、印刷费、培训费、公务用车运行维护费等；社会保障和就业支出</w:t>
      </w:r>
      <w:r>
        <w:rPr>
          <w:rFonts w:hint="eastAsia" w:ascii="仿宋_GB2312" w:hAnsi="仿宋_GB2312" w:cs="仿宋_GB2312" w:eastAsiaTheme="minorEastAsia"/>
          <w:kern w:val="0"/>
          <w:sz w:val="32"/>
          <w:szCs w:val="32"/>
          <w:shd w:val="clear" w:color="auto" w:fill="FFFFFF"/>
        </w:rPr>
        <w:t>151.39</w:t>
      </w:r>
      <w:r>
        <w:rPr>
          <w:rFonts w:hint="eastAsia" w:ascii="仿宋_GB2312" w:hAnsi="仿宋_GB2312" w:eastAsia="仿宋_GB2312" w:cs="仿宋_GB2312"/>
          <w:kern w:val="0"/>
          <w:sz w:val="32"/>
          <w:szCs w:val="32"/>
          <w:shd w:val="clear" w:color="auto" w:fill="FFFFFF"/>
        </w:rPr>
        <w:t>万元，主要为单位部分各项保险；医疗卫生与计划生育支出</w:t>
      </w:r>
      <w:r>
        <w:rPr>
          <w:rFonts w:hint="eastAsia" w:ascii="仿宋_GB2312" w:hAnsi="仿宋_GB2312" w:cs="仿宋_GB2312" w:eastAsiaTheme="minorEastAsia"/>
          <w:kern w:val="0"/>
          <w:sz w:val="32"/>
          <w:szCs w:val="32"/>
          <w:shd w:val="clear" w:color="auto" w:fill="FFFFFF"/>
        </w:rPr>
        <w:t>68.41</w:t>
      </w:r>
      <w:r>
        <w:rPr>
          <w:rFonts w:hint="eastAsia" w:ascii="仿宋_GB2312" w:hAnsi="仿宋_GB2312" w:eastAsia="仿宋_GB2312" w:cs="仿宋_GB2312"/>
          <w:kern w:val="0"/>
          <w:sz w:val="32"/>
          <w:szCs w:val="32"/>
          <w:shd w:val="clear" w:color="auto" w:fill="FFFFFF"/>
        </w:rPr>
        <w:t>万元，全部为单位部分医疗保险、公务员医疗补助；住房保障支出</w:t>
      </w:r>
      <w:r>
        <w:rPr>
          <w:rFonts w:hint="eastAsia" w:ascii="仿宋_GB2312" w:hAnsi="仿宋_GB2312" w:cs="仿宋_GB2312" w:eastAsiaTheme="minorEastAsia"/>
          <w:kern w:val="0"/>
          <w:sz w:val="32"/>
          <w:szCs w:val="32"/>
          <w:shd w:val="clear" w:color="auto" w:fill="FFFFFF"/>
        </w:rPr>
        <w:t>85.92</w:t>
      </w:r>
      <w:r>
        <w:rPr>
          <w:rFonts w:hint="eastAsia" w:ascii="仿宋_GB2312" w:hAnsi="仿宋_GB2312" w:eastAsia="仿宋_GB2312" w:cs="仿宋_GB2312"/>
          <w:kern w:val="0"/>
          <w:sz w:val="32"/>
          <w:szCs w:val="32"/>
          <w:shd w:val="clear" w:color="auto" w:fill="FFFFFF"/>
        </w:rPr>
        <w:t>万元，全部为单位部分住房公积金。</w:t>
      </w:r>
    </w:p>
    <w:p>
      <w:pPr>
        <w:widowControl/>
        <w:jc w:val="left"/>
        <w:rPr>
          <w:rFonts w:ascii="黑体" w:hAnsi="黑体" w:eastAsia="黑体" w:cs="黑体"/>
          <w:b/>
          <w:bCs/>
          <w:kern w:val="0"/>
          <w:sz w:val="32"/>
          <w:szCs w:val="32"/>
          <w:shd w:val="clear" w:color="auto" w:fill="FFFFFF"/>
        </w:rPr>
      </w:pPr>
      <w:r>
        <w:rPr>
          <w:rFonts w:hint="eastAsia" w:ascii="黑体" w:hAnsi="黑体" w:eastAsia="黑体" w:cs="黑体"/>
          <w:b/>
          <w:bCs/>
          <w:kern w:val="0"/>
          <w:sz w:val="32"/>
          <w:szCs w:val="32"/>
          <w:shd w:val="clear" w:color="auto" w:fill="FFFFFF"/>
        </w:rPr>
        <w:t>三、部门整体预算绩效管理情况</w:t>
      </w:r>
    </w:p>
    <w:p>
      <w:pPr>
        <w:widowControl/>
        <w:jc w:val="left"/>
        <w:rPr>
          <w:rFonts w:ascii="楷体_GB2312" w:hAnsi="楷体_GB2312" w:eastAsia="楷体_GB2312" w:cs="楷体_GB2312"/>
          <w:b/>
          <w:bCs/>
          <w:kern w:val="0"/>
          <w:sz w:val="32"/>
          <w:szCs w:val="32"/>
          <w:shd w:val="clear" w:color="auto" w:fill="FFFFFF"/>
        </w:rPr>
      </w:pPr>
      <w:r>
        <w:rPr>
          <w:rFonts w:hint="eastAsia" w:ascii="楷体_GB2312" w:hAnsi="楷体_GB2312" w:eastAsia="楷体_GB2312" w:cs="楷体_GB2312"/>
          <w:b/>
          <w:bCs/>
          <w:kern w:val="0"/>
          <w:sz w:val="32"/>
          <w:szCs w:val="32"/>
          <w:shd w:val="clear" w:color="auto" w:fill="FFFFFF"/>
        </w:rPr>
        <w:t>（一）部门预算管理</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cs="仿宋_GB2312" w:eastAsiaTheme="minorEastAsia"/>
          <w:kern w:val="0"/>
          <w:sz w:val="32"/>
          <w:szCs w:val="32"/>
          <w:shd w:val="clear" w:color="auto" w:fill="FFFFFF"/>
        </w:rPr>
        <w:t>中共</w:t>
      </w:r>
      <w:r>
        <w:rPr>
          <w:rFonts w:hint="eastAsia" w:ascii="仿宋_GB2312" w:hAnsi="仿宋_GB2312" w:eastAsia="仿宋_GB2312" w:cs="仿宋_GB2312"/>
          <w:kern w:val="0"/>
          <w:sz w:val="32"/>
          <w:szCs w:val="32"/>
          <w:shd w:val="clear" w:color="auto" w:fill="FFFFFF"/>
        </w:rPr>
        <w:t>红原县</w:t>
      </w:r>
      <w:r>
        <w:rPr>
          <w:rFonts w:hint="eastAsia" w:ascii="仿宋_GB2312" w:hAnsi="仿宋_GB2312" w:cs="仿宋_GB2312" w:eastAsiaTheme="minorEastAsia"/>
          <w:kern w:val="0"/>
          <w:sz w:val="32"/>
          <w:szCs w:val="32"/>
          <w:shd w:val="clear" w:color="auto" w:fill="FFFFFF"/>
        </w:rPr>
        <w:t>纪律检查委员会</w:t>
      </w:r>
      <w:r>
        <w:rPr>
          <w:rFonts w:hint="eastAsia" w:ascii="仿宋_GB2312" w:hAnsi="仿宋_GB2312" w:eastAsia="仿宋_GB2312" w:cs="仿宋_GB2312"/>
          <w:kern w:val="0"/>
          <w:sz w:val="32"/>
          <w:szCs w:val="32"/>
          <w:shd w:val="clear" w:color="auto" w:fill="FFFFFF"/>
        </w:rPr>
        <w:t>预算编制严格按照《预算法》相关规定，结合全县预算编制口径，结合我单位实际情况编制，主要用于保障我单位正常运转、完成日常工作任务以及红原县人大事务发展相关工作而编制，预算编制目标明确。其中根据我单位职能职责编制三项专项部门预算，一是</w:t>
      </w:r>
      <w:r>
        <w:rPr>
          <w:rFonts w:hint="eastAsia" w:ascii="仿宋_GB2312" w:hAnsi="仿宋_GB2312" w:cs="仿宋_GB2312" w:eastAsiaTheme="minorEastAsia"/>
          <w:sz w:val="32"/>
          <w:szCs w:val="32"/>
        </w:rPr>
        <w:t>纪委办公区域和干部周转房维修维护</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cs="仿宋_GB2312" w:eastAsiaTheme="minorEastAsia"/>
          <w:sz w:val="32"/>
          <w:szCs w:val="32"/>
        </w:rPr>
        <w:t>3.87</w:t>
      </w:r>
      <w:r>
        <w:rPr>
          <w:rFonts w:hint="eastAsia" w:ascii="仿宋_GB2312" w:hAnsi="仿宋_GB2312" w:eastAsia="仿宋_GB2312" w:cs="仿宋_GB2312"/>
          <w:sz w:val="32"/>
          <w:szCs w:val="32"/>
        </w:rPr>
        <w:t>万元，执行数为</w:t>
      </w:r>
      <w:r>
        <w:rPr>
          <w:rFonts w:hint="eastAsia" w:ascii="仿宋_GB2312" w:hAnsi="仿宋_GB2312" w:cs="仿宋_GB2312" w:eastAsiaTheme="minorEastAsia"/>
          <w:sz w:val="32"/>
          <w:szCs w:val="32"/>
        </w:rPr>
        <w:t>3.87</w:t>
      </w:r>
      <w:r>
        <w:rPr>
          <w:rFonts w:hint="eastAsia" w:ascii="仿宋_GB2312" w:hAnsi="仿宋_GB2312" w:eastAsia="仿宋_GB2312" w:cs="仿宋_GB2312"/>
          <w:sz w:val="32"/>
          <w:szCs w:val="32"/>
        </w:rPr>
        <w:t>万元，完成预算的100%。通过项目实施，保障了2022年</w:t>
      </w:r>
      <w:r>
        <w:rPr>
          <w:rFonts w:hint="eastAsia" w:ascii="仿宋_GB2312" w:hAnsi="仿宋_GB2312" w:cs="仿宋_GB2312" w:eastAsiaTheme="minorEastAsia"/>
          <w:sz w:val="32"/>
          <w:szCs w:val="32"/>
        </w:rPr>
        <w:t>干部职工住房、办公条件的改善</w:t>
      </w:r>
      <w:r>
        <w:rPr>
          <w:rFonts w:hint="eastAsia" w:ascii="仿宋_GB2312" w:hAnsi="仿宋_GB2312" w:eastAsia="仿宋_GB2312" w:cs="仿宋_GB2312"/>
          <w:sz w:val="32"/>
          <w:szCs w:val="32"/>
        </w:rPr>
        <w:t>。</w:t>
      </w:r>
      <w:r>
        <w:rPr>
          <w:rFonts w:hint="eastAsia" w:ascii="仿宋_GB2312" w:hAnsi="仿宋_GB2312" w:cs="仿宋_GB2312" w:eastAsiaTheme="minorEastAsia"/>
          <w:sz w:val="32"/>
          <w:szCs w:val="32"/>
        </w:rPr>
        <w:t>二是红原县纪检监察干部赴浙江考察学习</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cs="仿宋_GB2312" w:eastAsiaTheme="minorEastAsia"/>
          <w:sz w:val="32"/>
          <w:szCs w:val="32"/>
        </w:rPr>
        <w:t>30</w:t>
      </w:r>
      <w:r>
        <w:rPr>
          <w:rFonts w:hint="eastAsia" w:ascii="仿宋_GB2312" w:hAnsi="仿宋_GB2312" w:eastAsia="仿宋_GB2312" w:cs="仿宋_GB2312"/>
          <w:sz w:val="32"/>
          <w:szCs w:val="32"/>
        </w:rPr>
        <w:t>万元，执行数为</w:t>
      </w:r>
      <w:r>
        <w:rPr>
          <w:rFonts w:hint="eastAsia" w:ascii="仿宋_GB2312" w:hAnsi="仿宋_GB2312" w:cs="仿宋_GB2312" w:eastAsiaTheme="minorEastAsia"/>
          <w:sz w:val="32"/>
          <w:szCs w:val="32"/>
        </w:rPr>
        <w:t>30</w:t>
      </w:r>
      <w:r>
        <w:rPr>
          <w:rFonts w:hint="eastAsia" w:ascii="仿宋_GB2312" w:hAnsi="仿宋_GB2312" w:eastAsia="仿宋_GB2312" w:cs="仿宋_GB2312"/>
          <w:sz w:val="32"/>
          <w:szCs w:val="32"/>
        </w:rPr>
        <w:t>万元，完成预算的100%。有效保障了</w:t>
      </w:r>
      <w:r>
        <w:rPr>
          <w:rFonts w:hint="eastAsia" w:ascii="仿宋_GB2312" w:hAnsi="仿宋_GB2312" w:cs="仿宋_GB2312" w:eastAsiaTheme="minorEastAsia"/>
          <w:sz w:val="32"/>
          <w:szCs w:val="32"/>
        </w:rPr>
        <w:t>全县纪检监察干部</w:t>
      </w:r>
      <w:r>
        <w:rPr>
          <w:rFonts w:hint="eastAsia" w:ascii="仿宋_GB2312" w:hAnsi="仿宋_GB2312" w:eastAsia="仿宋_GB2312" w:cs="仿宋_GB2312"/>
          <w:sz w:val="32"/>
          <w:szCs w:val="32"/>
        </w:rPr>
        <w:t>履职能力提升，</w:t>
      </w:r>
      <w:r>
        <w:rPr>
          <w:rFonts w:hint="eastAsia" w:ascii="仿宋_GB2312" w:hAnsi="仿宋_GB2312" w:cs="仿宋_GB2312" w:eastAsiaTheme="minorEastAsia"/>
          <w:sz w:val="32"/>
          <w:szCs w:val="32"/>
        </w:rPr>
        <w:t>加强了办案、监督、检查能力</w:t>
      </w:r>
      <w:r>
        <w:rPr>
          <w:rFonts w:hint="eastAsia" w:ascii="仿宋_GB2312" w:hAnsi="仿宋_GB2312" w:eastAsia="仿宋_GB2312" w:cs="仿宋_GB2312"/>
          <w:sz w:val="32"/>
          <w:szCs w:val="32"/>
        </w:rPr>
        <w:t>。</w:t>
      </w:r>
      <w:r>
        <w:rPr>
          <w:rFonts w:hint="eastAsia" w:ascii="仿宋_GB2312" w:hAnsi="仿宋_GB2312" w:cs="仿宋_GB2312" w:eastAsiaTheme="minorEastAsia"/>
          <w:sz w:val="32"/>
          <w:szCs w:val="32"/>
        </w:rPr>
        <w:t>三是乡镇纪委谈话室规范化建设</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cs="仿宋_GB2312" w:eastAsiaTheme="minorEastAsia"/>
          <w:sz w:val="32"/>
          <w:szCs w:val="32"/>
        </w:rPr>
        <w:t>52.07</w:t>
      </w:r>
      <w:r>
        <w:rPr>
          <w:rFonts w:hint="eastAsia" w:ascii="仿宋_GB2312" w:hAnsi="仿宋_GB2312" w:eastAsia="仿宋_GB2312" w:cs="仿宋_GB2312"/>
          <w:sz w:val="32"/>
          <w:szCs w:val="32"/>
        </w:rPr>
        <w:t>万元，执行数为</w:t>
      </w:r>
      <w:r>
        <w:rPr>
          <w:rFonts w:hint="eastAsia" w:ascii="仿宋_GB2312" w:hAnsi="仿宋_GB2312" w:cs="仿宋_GB2312" w:eastAsiaTheme="minorEastAsia"/>
          <w:sz w:val="32"/>
          <w:szCs w:val="32"/>
        </w:rPr>
        <w:t>50.33</w:t>
      </w:r>
      <w:r>
        <w:rPr>
          <w:rFonts w:hint="eastAsia" w:ascii="仿宋_GB2312" w:hAnsi="仿宋_GB2312" w:eastAsia="仿宋_GB2312" w:cs="仿宋_GB2312"/>
          <w:sz w:val="32"/>
          <w:szCs w:val="32"/>
        </w:rPr>
        <w:t>万元，完成预算的</w:t>
      </w:r>
      <w:r>
        <w:rPr>
          <w:rFonts w:hint="eastAsia" w:ascii="仿宋_GB2312" w:hAnsi="仿宋_GB2312" w:cs="仿宋_GB2312" w:eastAsiaTheme="minorEastAsia"/>
          <w:sz w:val="32"/>
          <w:szCs w:val="32"/>
        </w:rPr>
        <w:t>96.64</w:t>
      </w:r>
      <w:r>
        <w:rPr>
          <w:rFonts w:hint="eastAsia" w:ascii="仿宋_GB2312" w:hAnsi="仿宋_GB2312" w:eastAsia="仿宋_GB2312" w:cs="仿宋_GB2312"/>
          <w:sz w:val="32"/>
          <w:szCs w:val="32"/>
        </w:rPr>
        <w:t>%，</w:t>
      </w:r>
      <w:r>
        <w:rPr>
          <w:rFonts w:hint="eastAsia" w:ascii="仿宋_GB2312" w:hAnsi="仿宋_GB2312" w:cs="仿宋_GB2312" w:eastAsiaTheme="minorEastAsia"/>
          <w:sz w:val="32"/>
          <w:szCs w:val="32"/>
        </w:rPr>
        <w:t>因按项目合同要求，扣留1.75万元的质保金，项目建成满1年后无质量问题返还施工方，</w:t>
      </w:r>
      <w:r>
        <w:rPr>
          <w:rFonts w:hint="eastAsia" w:ascii="仿宋_GB2312" w:hAnsi="仿宋_GB2312" w:eastAsia="仿宋_GB2312" w:cs="仿宋_GB2312"/>
          <w:sz w:val="32"/>
          <w:szCs w:val="32"/>
        </w:rPr>
        <w:t>为</w:t>
      </w:r>
      <w:r>
        <w:rPr>
          <w:rFonts w:hint="eastAsia" w:ascii="仿宋_GB2312" w:hAnsi="仿宋_GB2312" w:cs="仿宋_GB2312" w:eastAsiaTheme="minorEastAsia"/>
          <w:sz w:val="32"/>
          <w:szCs w:val="32"/>
        </w:rPr>
        <w:t>全县乡镇纪委安全办案提供了保障、增强了办案能力和案件质效</w:t>
      </w:r>
      <w:r>
        <w:rPr>
          <w:rFonts w:hint="eastAsia" w:ascii="仿宋_GB2312" w:hAnsi="仿宋_GB2312" w:eastAsia="仿宋_GB2312" w:cs="仿宋_GB2312"/>
          <w:sz w:val="32"/>
          <w:szCs w:val="32"/>
        </w:rPr>
        <w:t>。</w:t>
      </w:r>
      <w:r>
        <w:rPr>
          <w:rFonts w:hint="eastAsia" w:ascii="仿宋_GB2312" w:hAnsi="仿宋_GB2312" w:cs="仿宋_GB2312" w:eastAsiaTheme="minorEastAsia"/>
          <w:sz w:val="32"/>
          <w:szCs w:val="32"/>
        </w:rPr>
        <w:t>四是</w:t>
      </w:r>
      <w:r>
        <w:rPr>
          <w:rFonts w:hint="eastAsia" w:ascii="仿宋_GB2312" w:hAnsi="仿宋_GB2312" w:eastAsia="仿宋_GB2312" w:cs="仿宋_GB2312"/>
          <w:sz w:val="32"/>
          <w:szCs w:val="32"/>
        </w:rPr>
        <w:t>涉密视频终端会议系统安装项目绩效目标完成情况综述。项目全年预算数7万元，执行数为4.12万元，完成预算的58.86%，有效保障了纪检监察网络涉密系统的安全性及保密性。</w:t>
      </w:r>
    </w:p>
    <w:p>
      <w:pPr>
        <w:widowControl/>
        <w:ind w:firstLine="640" w:firstLineChars="200"/>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2022年绩效目标执行率均达95%及以上完成度较</w:t>
      </w:r>
      <w:r>
        <w:rPr>
          <w:rFonts w:hint="eastAsia" w:ascii="仿宋_GB2312" w:hAnsi="仿宋_GB2312" w:cs="仿宋_GB2312" w:eastAsiaTheme="minorEastAsia"/>
          <w:kern w:val="0"/>
          <w:sz w:val="32"/>
          <w:szCs w:val="32"/>
          <w:shd w:val="clear" w:color="auto" w:fill="FFFFFF"/>
        </w:rPr>
        <w:t>，</w:t>
      </w:r>
      <w:r>
        <w:rPr>
          <w:rFonts w:hint="eastAsia" w:ascii="仿宋_GB2312" w:hAnsi="仿宋_GB2312" w:eastAsia="仿宋_GB2312" w:cs="仿宋_GB2312"/>
          <w:kern w:val="0"/>
          <w:sz w:val="32"/>
          <w:szCs w:val="32"/>
          <w:shd w:val="clear" w:color="auto" w:fill="FFFFFF"/>
        </w:rPr>
        <w:t>2023年我单位及时公开部门预算，绩效报告等，对预算编制进一步细化。</w:t>
      </w:r>
    </w:p>
    <w:p>
      <w:pPr>
        <w:widowControl/>
        <w:jc w:val="left"/>
        <w:rPr>
          <w:rFonts w:ascii="仿宋_GB2312" w:hAnsi="仿宋_GB2312" w:eastAsia="仿宋_GB2312" w:cs="仿宋_GB2312"/>
          <w:kern w:val="0"/>
          <w:sz w:val="32"/>
          <w:szCs w:val="32"/>
          <w:shd w:val="clear" w:color="auto" w:fill="FFFFFF"/>
        </w:rPr>
      </w:pPr>
      <w:r>
        <w:rPr>
          <w:rFonts w:hint="eastAsia" w:ascii="楷体_GB2312" w:hAnsi="楷体_GB2312" w:eastAsia="楷体_GB2312" w:cs="楷体_GB2312"/>
          <w:b/>
          <w:bCs/>
          <w:kern w:val="0"/>
          <w:sz w:val="32"/>
          <w:szCs w:val="32"/>
          <w:shd w:val="clear" w:color="auto" w:fill="FFFFFF"/>
        </w:rPr>
        <w:t>（二）三公经费执行管理情况。</w:t>
      </w:r>
      <w:r>
        <w:rPr>
          <w:rFonts w:hint="eastAsia" w:ascii="仿宋_GB2312" w:hAnsi="仿宋_GB2312" w:eastAsia="仿宋_GB2312" w:cs="仿宋_GB2312"/>
          <w:kern w:val="0"/>
          <w:sz w:val="32"/>
          <w:szCs w:val="32"/>
          <w:shd w:val="clear" w:color="auto" w:fill="FFFFFF"/>
        </w:rPr>
        <w:tab/>
      </w:r>
    </w:p>
    <w:p>
      <w:pPr>
        <w:widowControl/>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1.因公出国(境)经费</w:t>
      </w:r>
    </w:p>
    <w:p>
      <w:pPr>
        <w:widowControl/>
        <w:ind w:firstLine="640" w:firstLineChars="200"/>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2022年因公出国(境)费0.00元，因公出国(境) 0人，与上年持平。</w:t>
      </w:r>
    </w:p>
    <w:p>
      <w:pPr>
        <w:widowControl/>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2.公务接待费</w:t>
      </w:r>
    </w:p>
    <w:p>
      <w:pPr>
        <w:widowControl/>
        <w:ind w:firstLine="640" w:firstLineChars="200"/>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2022年公务接待费</w:t>
      </w:r>
      <w:r>
        <w:rPr>
          <w:rFonts w:hint="eastAsia" w:ascii="仿宋_GB2312" w:hAnsi="仿宋_GB2312" w:cs="仿宋_GB2312" w:eastAsiaTheme="minorEastAsia"/>
          <w:kern w:val="0"/>
          <w:sz w:val="32"/>
          <w:szCs w:val="32"/>
          <w:shd w:val="clear" w:color="auto" w:fill="FFFFFF"/>
        </w:rPr>
        <w:t>0</w:t>
      </w:r>
      <w:r>
        <w:rPr>
          <w:rFonts w:hint="eastAsia" w:ascii="仿宋_GB2312" w:hAnsi="仿宋_GB2312" w:eastAsia="仿宋_GB2312" w:cs="仿宋_GB2312"/>
          <w:kern w:val="0"/>
          <w:sz w:val="32"/>
          <w:szCs w:val="32"/>
          <w:shd w:val="clear" w:color="auto" w:fill="FFFFFF"/>
        </w:rPr>
        <w:t>万元。主要原因为2</w:t>
      </w:r>
      <w:r>
        <w:rPr>
          <w:rFonts w:hint="eastAsia" w:ascii="仿宋_GB2312" w:hAnsi="仿宋_GB2312" w:cs="仿宋_GB2312" w:eastAsiaTheme="minorEastAsia"/>
          <w:kern w:val="0"/>
          <w:sz w:val="32"/>
          <w:szCs w:val="32"/>
          <w:shd w:val="clear" w:color="auto" w:fill="FFFFFF"/>
        </w:rPr>
        <w:t>02</w:t>
      </w:r>
      <w:r>
        <w:rPr>
          <w:rFonts w:hint="eastAsia" w:ascii="仿宋_GB2312" w:hAnsi="仿宋_GB2312" w:eastAsia="仿宋_GB2312" w:cs="仿宋_GB2312"/>
          <w:kern w:val="0"/>
          <w:sz w:val="32"/>
          <w:szCs w:val="32"/>
          <w:shd w:val="clear" w:color="auto" w:fill="FFFFFF"/>
        </w:rPr>
        <w:t>2年厉性节约及疫情影响减少了</w:t>
      </w:r>
      <w:r>
        <w:rPr>
          <w:rFonts w:hint="eastAsia" w:ascii="仿宋_GB2312" w:hAnsi="仿宋_GB2312" w:cs="仿宋_GB2312" w:eastAsiaTheme="minorEastAsia"/>
          <w:kern w:val="0"/>
          <w:sz w:val="32"/>
          <w:szCs w:val="32"/>
          <w:shd w:val="clear" w:color="auto" w:fill="FFFFFF"/>
        </w:rPr>
        <w:t>相关</w:t>
      </w:r>
      <w:r>
        <w:rPr>
          <w:rFonts w:hint="eastAsia" w:ascii="仿宋_GB2312" w:hAnsi="仿宋_GB2312" w:eastAsia="仿宋_GB2312" w:cs="仿宋_GB2312"/>
          <w:kern w:val="0"/>
          <w:sz w:val="32"/>
          <w:szCs w:val="32"/>
          <w:shd w:val="clear" w:color="auto" w:fill="FFFFFF"/>
        </w:rPr>
        <w:t>的交流调研，本年度我们将严格执行“八项规定、六项禁令”，结合本年度工作需要，减少不必要的开支，严格审批管理接待费。</w:t>
      </w:r>
    </w:p>
    <w:p>
      <w:pPr>
        <w:widowControl/>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3.公务用车购置及运行维护费</w:t>
      </w:r>
    </w:p>
    <w:p>
      <w:pPr>
        <w:widowControl/>
        <w:ind w:firstLine="640" w:firstLineChars="200"/>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2022年公务用车购置及运行维护费</w:t>
      </w:r>
      <w:r>
        <w:rPr>
          <w:rFonts w:ascii="仿宋_GB2312" w:hAnsi="仿宋_GB2312" w:eastAsia="仿宋_GB2312" w:cs="仿宋_GB2312"/>
          <w:kern w:val="0"/>
          <w:sz w:val="32"/>
          <w:szCs w:val="32"/>
          <w:shd w:val="clear" w:color="auto" w:fill="FFFFFF"/>
        </w:rPr>
        <w:t>25.99</w:t>
      </w:r>
      <w:r>
        <w:rPr>
          <w:rFonts w:hint="eastAsia" w:ascii="仿宋_GB2312" w:hAnsi="仿宋_GB2312" w:eastAsia="仿宋_GB2312" w:cs="仿宋_GB2312"/>
          <w:kern w:val="0"/>
          <w:sz w:val="32"/>
          <w:szCs w:val="32"/>
          <w:shd w:val="clear" w:color="auto" w:fill="FFFFFF"/>
        </w:rPr>
        <w:t>万元。其中：</w:t>
      </w:r>
    </w:p>
    <w:p>
      <w:pPr>
        <w:widowControl/>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公务用车购置支出0万元（含税）。公务用车运行维护费支出</w:t>
      </w:r>
      <w:r>
        <w:rPr>
          <w:rFonts w:ascii="仿宋_GB2312" w:hAnsi="仿宋_GB2312" w:eastAsia="仿宋_GB2312" w:cs="仿宋_GB2312"/>
          <w:kern w:val="0"/>
          <w:sz w:val="32"/>
          <w:szCs w:val="32"/>
          <w:shd w:val="clear" w:color="auto" w:fill="FFFFFF"/>
        </w:rPr>
        <w:t>25.99</w:t>
      </w:r>
      <w:r>
        <w:rPr>
          <w:rFonts w:hint="eastAsia" w:ascii="仿宋_GB2312" w:hAnsi="仿宋_GB2312" w:eastAsia="仿宋_GB2312" w:cs="仿宋_GB2312"/>
          <w:kern w:val="0"/>
          <w:sz w:val="32"/>
          <w:szCs w:val="32"/>
          <w:shd w:val="clear" w:color="auto" w:fill="FFFFFF"/>
        </w:rPr>
        <w:t>万元。主要用于人大机关因公出差、下乡调研等所需的公务用车燃料费、维修费、过路过桥费、保险费等支出。</w:t>
      </w:r>
    </w:p>
    <w:p>
      <w:pPr>
        <w:widowControl/>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公务用车购置及运行维护费支出</w:t>
      </w:r>
      <w:r>
        <w:rPr>
          <w:rFonts w:ascii="仿宋_GB2312" w:hAnsi="仿宋_GB2312" w:eastAsia="仿宋_GB2312" w:cs="仿宋_GB2312"/>
          <w:kern w:val="0"/>
          <w:sz w:val="32"/>
          <w:szCs w:val="32"/>
          <w:shd w:val="clear" w:color="auto" w:fill="FFFFFF"/>
        </w:rPr>
        <w:t>25.99</w:t>
      </w:r>
      <w:r>
        <w:rPr>
          <w:rFonts w:hint="eastAsia" w:ascii="仿宋_GB2312" w:hAnsi="仿宋_GB2312" w:eastAsia="仿宋_GB2312" w:cs="仿宋_GB2312"/>
          <w:kern w:val="0"/>
          <w:sz w:val="32"/>
          <w:szCs w:val="32"/>
          <w:shd w:val="clear" w:color="auto" w:fill="FFFFFF"/>
        </w:rPr>
        <w:t>万元,完成预算100%。公务用车购置及运行维护费支出决算比2021年</w:t>
      </w:r>
      <w:r>
        <w:rPr>
          <w:rFonts w:hint="eastAsia" w:ascii="仿宋_GB2312" w:hAnsi="仿宋_GB2312" w:cs="仿宋_GB2312" w:eastAsiaTheme="minorEastAsia"/>
          <w:kern w:val="0"/>
          <w:sz w:val="32"/>
          <w:szCs w:val="32"/>
          <w:shd w:val="clear" w:color="auto" w:fill="FFFFFF"/>
        </w:rPr>
        <w:t>增加10.71</w:t>
      </w:r>
      <w:r>
        <w:rPr>
          <w:rFonts w:hint="eastAsia" w:ascii="仿宋_GB2312" w:hAnsi="仿宋_GB2312" w:eastAsia="仿宋_GB2312" w:cs="仿宋_GB2312"/>
          <w:kern w:val="0"/>
          <w:sz w:val="32"/>
          <w:szCs w:val="32"/>
          <w:shd w:val="clear" w:color="auto" w:fill="FFFFFF"/>
        </w:rPr>
        <w:t>万元，</w:t>
      </w:r>
      <w:r>
        <w:rPr>
          <w:rFonts w:hint="eastAsia" w:ascii="仿宋_GB2312" w:hAnsi="仿宋_GB2312" w:cs="仿宋_GB2312" w:eastAsiaTheme="minorEastAsia"/>
          <w:kern w:val="0"/>
          <w:sz w:val="32"/>
          <w:szCs w:val="32"/>
          <w:shd w:val="clear" w:color="auto" w:fill="FFFFFF"/>
        </w:rPr>
        <w:t>增加70.09</w:t>
      </w:r>
      <w:r>
        <w:rPr>
          <w:rFonts w:hint="eastAsia" w:ascii="仿宋_GB2312" w:hAnsi="仿宋_GB2312" w:eastAsia="仿宋_GB2312" w:cs="仿宋_GB2312"/>
          <w:kern w:val="0"/>
          <w:sz w:val="32"/>
          <w:szCs w:val="32"/>
          <w:shd w:val="clear" w:color="auto" w:fill="FFFFFF"/>
        </w:rPr>
        <w:t>%。主要原因是202</w:t>
      </w:r>
      <w:r>
        <w:rPr>
          <w:rFonts w:hint="eastAsia" w:ascii="仿宋_GB2312" w:hAnsi="仿宋_GB2312" w:cs="仿宋_GB2312" w:eastAsiaTheme="minorEastAsia"/>
          <w:kern w:val="0"/>
          <w:sz w:val="32"/>
          <w:szCs w:val="32"/>
          <w:shd w:val="clear" w:color="auto" w:fill="FFFFFF"/>
        </w:rPr>
        <w:t>2</w:t>
      </w:r>
      <w:r>
        <w:rPr>
          <w:rFonts w:hint="eastAsia" w:ascii="仿宋_GB2312" w:hAnsi="仿宋_GB2312" w:eastAsia="仿宋_GB2312" w:cs="仿宋_GB2312"/>
          <w:kern w:val="0"/>
          <w:sz w:val="32"/>
          <w:szCs w:val="32"/>
          <w:shd w:val="clear" w:color="auto" w:fill="FFFFFF"/>
        </w:rPr>
        <w:t>年新</w:t>
      </w:r>
      <w:r>
        <w:rPr>
          <w:rFonts w:hint="eastAsia" w:ascii="仿宋_GB2312" w:hAnsi="仿宋_GB2312" w:cs="仿宋_GB2312" w:eastAsiaTheme="minorEastAsia"/>
          <w:kern w:val="0"/>
          <w:sz w:val="32"/>
          <w:szCs w:val="32"/>
          <w:shd w:val="clear" w:color="auto" w:fill="FFFFFF"/>
        </w:rPr>
        <w:t>增公务车</w:t>
      </w:r>
      <w:r>
        <w:rPr>
          <w:rFonts w:hint="eastAsia" w:ascii="仿宋_GB2312" w:hAnsi="仿宋_GB2312" w:eastAsia="仿宋_GB2312" w:cs="仿宋_GB2312"/>
          <w:kern w:val="0"/>
          <w:sz w:val="32"/>
          <w:szCs w:val="32"/>
          <w:shd w:val="clear" w:color="auto" w:fill="FFFFFF"/>
        </w:rPr>
        <w:t>一辆，</w:t>
      </w:r>
      <w:r>
        <w:rPr>
          <w:rFonts w:hint="eastAsia" w:ascii="仿宋_GB2312" w:hAnsi="仿宋_GB2312" w:cs="仿宋_GB2312" w:eastAsiaTheme="minorEastAsia"/>
          <w:kern w:val="0"/>
          <w:sz w:val="32"/>
          <w:szCs w:val="32"/>
          <w:shd w:val="clear" w:color="auto" w:fill="FFFFFF"/>
        </w:rPr>
        <w:t>办案经费增加</w:t>
      </w:r>
      <w:r>
        <w:rPr>
          <w:rFonts w:hint="eastAsia" w:ascii="仿宋_GB2312" w:hAnsi="仿宋_GB2312" w:eastAsia="仿宋_GB2312" w:cs="仿宋_GB2312"/>
          <w:kern w:val="0"/>
          <w:sz w:val="32"/>
          <w:szCs w:val="32"/>
          <w:shd w:val="clear" w:color="auto" w:fill="FFFFFF"/>
        </w:rPr>
        <w:t>。</w:t>
      </w:r>
    </w:p>
    <w:p>
      <w:pPr>
        <w:widowControl/>
        <w:jc w:val="left"/>
        <w:rPr>
          <w:rFonts w:ascii="楷体_GB2312" w:hAnsi="楷体_GB2312" w:eastAsia="楷体_GB2312" w:cs="楷体_GB2312"/>
          <w:b/>
          <w:bCs/>
          <w:kern w:val="0"/>
          <w:sz w:val="32"/>
          <w:szCs w:val="32"/>
          <w:shd w:val="clear" w:color="auto" w:fill="FFFFFF"/>
        </w:rPr>
      </w:pPr>
      <w:r>
        <w:rPr>
          <w:rFonts w:hint="eastAsia" w:ascii="楷体_GB2312" w:hAnsi="楷体_GB2312" w:eastAsia="楷体_GB2312" w:cs="楷体_GB2312"/>
          <w:b/>
          <w:bCs/>
          <w:kern w:val="0"/>
          <w:sz w:val="32"/>
          <w:szCs w:val="32"/>
          <w:shd w:val="clear" w:color="auto" w:fill="FFFFFF"/>
        </w:rPr>
        <w:t>（三）综合管理情况。</w:t>
      </w:r>
    </w:p>
    <w:p>
      <w:pPr>
        <w:widowControl/>
        <w:ind w:firstLine="640" w:firstLineChars="200"/>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根据《会计法》</w:t>
      </w:r>
      <w:r>
        <w:rPr>
          <w:rFonts w:hint="eastAsia" w:ascii="仿宋_GB2312" w:hAnsi="仿宋_GB2312" w:cs="仿宋_GB2312" w:eastAsiaTheme="minorEastAsia"/>
          <w:kern w:val="0"/>
          <w:sz w:val="32"/>
          <w:szCs w:val="32"/>
          <w:shd w:val="clear" w:color="auto" w:fill="FFFFFF"/>
        </w:rPr>
        <w:t>、</w:t>
      </w:r>
      <w:r>
        <w:rPr>
          <w:rFonts w:hint="eastAsia" w:ascii="仿宋_GB2312" w:hAnsi="仿宋_GB2312" w:eastAsia="仿宋_GB2312" w:cs="仿宋_GB2312"/>
          <w:kern w:val="0"/>
          <w:sz w:val="32"/>
          <w:szCs w:val="32"/>
          <w:shd w:val="clear" w:color="auto" w:fill="FFFFFF"/>
        </w:rPr>
        <w:t>《预算法》、《行政单位会计制》等法律和财政部及其省财政厅有关财务规章的规定，明确了单位经费审批权限及程序，经费预算、核算管理、资产购置与处置、财务监督等相关规定。按规定对本单位财务信息依法进行公开。</w:t>
      </w:r>
    </w:p>
    <w:p>
      <w:pPr>
        <w:widowControl/>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1.资产管理</w:t>
      </w:r>
    </w:p>
    <w:p>
      <w:pPr>
        <w:widowControl/>
        <w:ind w:firstLine="640" w:firstLineChars="200"/>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 xml:space="preserve">由于现在的日常工作已逐步普及办公自动化，加快了办公设备淘汰更新，这就需要对固定资产进行年年清查盘点，使固定资产清查工作经常化、常态化，更好的从源头上对单位固定资产进行监控和管理。 </w:t>
      </w:r>
    </w:p>
    <w:p>
      <w:pPr>
        <w:widowControl/>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2.单位内控管理</w:t>
      </w:r>
    </w:p>
    <w:p>
      <w:pPr>
        <w:widowControl/>
        <w:ind w:firstLine="640" w:firstLineChars="200"/>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在财务管理过程中逐步建立健全财务管理制度、财务核算制度、财务报销制度等，严格按照《行政单位会计制度》和《行政单位财务规则》的规定设置会计科目，建立了科学有效的会计核算方式，各项经济活动均真实、合法、准确、及时的反应在会计账目上，建立健全内部控制制度，积极配合财政部门开展预算、决算考评工作。</w:t>
      </w:r>
    </w:p>
    <w:p>
      <w:pPr>
        <w:widowControl/>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3.部门预算管理</w:t>
      </w:r>
    </w:p>
    <w:p>
      <w:pPr>
        <w:widowControl/>
        <w:ind w:firstLine="640" w:firstLineChars="200"/>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 xml:space="preserve">严格按照综合预算原则。统一编制、统一管理、统筹安排资金，将单位所有安排的各项支出纳入综合预算，确保预算全面、真实反映单位实际的收支情况，使所有收支活动纳入预算管理与监督的范围。    </w:t>
      </w:r>
    </w:p>
    <w:p>
      <w:pPr>
        <w:widowControl/>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4.绩效管理</w:t>
      </w:r>
    </w:p>
    <w:p>
      <w:pPr>
        <w:widowControl/>
        <w:ind w:firstLine="640" w:firstLineChars="200"/>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我单位领导高度重视绩效评价工作，成立了绩效评价工作领导小组，采取座谈等方式听取相关情况，检查基本支出、专项办公费、会议费等支出有关账目，收集整理相关资料，并对资料进行分析，形成评价结论。</w:t>
      </w:r>
    </w:p>
    <w:p>
      <w:pPr>
        <w:widowControl/>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（1）部门预算严格按照上级部门预算编制通知和有关要求，结合单位具体工作及县级相关规定编制，按时完成基础、项目报送工作，单位预算按时在红原县门户网站公开。</w:t>
      </w:r>
    </w:p>
    <w:p>
      <w:pPr>
        <w:widowControl/>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（2）严格执行支出预算，</w:t>
      </w:r>
      <w:r>
        <w:rPr>
          <w:rFonts w:hint="eastAsia" w:ascii="仿宋_GB2312" w:hAnsi="仿宋_GB2312" w:eastAsia="仿宋_GB2312" w:cs="仿宋_GB2312"/>
          <w:kern w:val="0"/>
          <w:sz w:val="32"/>
          <w:szCs w:val="32"/>
          <w:shd w:val="clear" w:color="auto" w:fill="FFFFFF"/>
          <w:lang w:eastAsia="zh-CN"/>
        </w:rPr>
        <w:t>“三公”经费</w:t>
      </w:r>
      <w:r>
        <w:rPr>
          <w:rFonts w:hint="eastAsia" w:ascii="仿宋_GB2312" w:hAnsi="仿宋_GB2312" w:eastAsia="仿宋_GB2312" w:cs="仿宋_GB2312"/>
          <w:kern w:val="0"/>
          <w:sz w:val="32"/>
          <w:szCs w:val="32"/>
          <w:shd w:val="clear" w:color="auto" w:fill="FFFFFF"/>
        </w:rPr>
        <w:t>本着节约、高效的原则严格控制支出。</w:t>
      </w:r>
    </w:p>
    <w:p>
      <w:pPr>
        <w:widowControl/>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 xml:space="preserve">（3）认真开展部门绩效评价工作，绩效评价规章制度逐渐健全;严格按照相关法律、法规进行会计核算，严格资金管理，专款专用，资金拨付严格按相关程序报批后支付。认真开展部门整体绩效评价工作，绩效评价工作正逐步完善。    </w:t>
      </w:r>
    </w:p>
    <w:p>
      <w:pPr>
        <w:widowControl/>
        <w:jc w:val="left"/>
        <w:rPr>
          <w:rFonts w:ascii="楷体_GB2312" w:hAnsi="楷体_GB2312" w:eastAsia="楷体_GB2312" w:cs="楷体_GB2312"/>
          <w:b/>
          <w:bCs/>
          <w:kern w:val="0"/>
          <w:sz w:val="32"/>
          <w:szCs w:val="32"/>
          <w:shd w:val="clear" w:color="auto" w:fill="FFFFFF"/>
        </w:rPr>
      </w:pPr>
      <w:r>
        <w:rPr>
          <w:rFonts w:hint="eastAsia" w:ascii="楷体_GB2312" w:hAnsi="楷体_GB2312" w:eastAsia="楷体_GB2312" w:cs="楷体_GB2312"/>
          <w:b/>
          <w:bCs/>
          <w:kern w:val="0"/>
          <w:sz w:val="32"/>
          <w:szCs w:val="32"/>
          <w:shd w:val="clear" w:color="auto" w:fill="FFFFFF"/>
        </w:rPr>
        <w:t>（四）整体绩效。</w:t>
      </w:r>
    </w:p>
    <w:p>
      <w:pPr>
        <w:widowControl/>
        <w:ind w:firstLine="640" w:firstLineChars="200"/>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通过整体绩效自评，反映本部门能按照</w:t>
      </w:r>
      <w:r>
        <w:rPr>
          <w:rFonts w:hint="eastAsia" w:ascii="仿宋_GB2312" w:hAnsi="仿宋_GB2312" w:cs="仿宋_GB2312" w:eastAsiaTheme="minorEastAsia"/>
          <w:kern w:val="0"/>
          <w:sz w:val="32"/>
          <w:szCs w:val="32"/>
          <w:shd w:val="clear" w:color="auto" w:fill="FFFFFF"/>
        </w:rPr>
        <w:t>纪委</w:t>
      </w:r>
      <w:r>
        <w:rPr>
          <w:rFonts w:hint="eastAsia" w:ascii="仿宋_GB2312" w:hAnsi="仿宋_GB2312" w:eastAsia="仿宋_GB2312" w:cs="仿宋_GB2312"/>
          <w:kern w:val="0"/>
          <w:sz w:val="32"/>
          <w:szCs w:val="32"/>
          <w:shd w:val="clear" w:color="auto" w:fill="FFFFFF"/>
        </w:rPr>
        <w:t>相关职责要求有效履行职责，圆满完成了</w:t>
      </w:r>
      <w:r>
        <w:rPr>
          <w:rFonts w:hint="eastAsia" w:ascii="仿宋_GB2312" w:hAnsi="仿宋_GB2312" w:cs="仿宋_GB2312" w:eastAsiaTheme="minorEastAsia"/>
          <w:kern w:val="0"/>
          <w:sz w:val="32"/>
          <w:szCs w:val="32"/>
          <w:shd w:val="clear" w:color="auto" w:fill="FFFFFF"/>
        </w:rPr>
        <w:t>纪委</w:t>
      </w:r>
      <w:r>
        <w:rPr>
          <w:rFonts w:hint="eastAsia" w:ascii="仿宋_GB2312" w:hAnsi="仿宋_GB2312" w:eastAsia="仿宋_GB2312" w:cs="仿宋_GB2312"/>
          <w:kern w:val="0"/>
          <w:sz w:val="32"/>
          <w:szCs w:val="32"/>
          <w:shd w:val="clear" w:color="auto" w:fill="FFFFFF"/>
        </w:rPr>
        <w:t>各项工作任务，绩效评价结果为优，各级</w:t>
      </w:r>
      <w:r>
        <w:rPr>
          <w:rFonts w:hint="eastAsia" w:ascii="仿宋_GB2312" w:hAnsi="仿宋_GB2312" w:cs="仿宋_GB2312" w:eastAsiaTheme="minorEastAsia"/>
          <w:kern w:val="0"/>
          <w:sz w:val="32"/>
          <w:szCs w:val="32"/>
          <w:shd w:val="clear" w:color="auto" w:fill="FFFFFF"/>
        </w:rPr>
        <w:t>纪检系统及</w:t>
      </w:r>
      <w:r>
        <w:rPr>
          <w:rFonts w:hint="eastAsia" w:ascii="仿宋_GB2312" w:hAnsi="仿宋_GB2312" w:eastAsia="仿宋_GB2312" w:cs="仿宋_GB2312"/>
          <w:kern w:val="0"/>
          <w:sz w:val="32"/>
          <w:szCs w:val="32"/>
          <w:shd w:val="clear" w:color="auto" w:fill="FFFFFF"/>
        </w:rPr>
        <w:t>相关部门等对</w:t>
      </w:r>
      <w:r>
        <w:rPr>
          <w:rFonts w:hint="eastAsia" w:ascii="仿宋_GB2312" w:hAnsi="仿宋_GB2312" w:cs="仿宋_GB2312" w:eastAsiaTheme="minorEastAsia"/>
          <w:kern w:val="0"/>
          <w:sz w:val="32"/>
          <w:szCs w:val="32"/>
          <w:shd w:val="clear" w:color="auto" w:fill="FFFFFF"/>
        </w:rPr>
        <w:t>纪委</w:t>
      </w:r>
      <w:r>
        <w:rPr>
          <w:rFonts w:hint="eastAsia" w:ascii="仿宋_GB2312" w:hAnsi="仿宋_GB2312" w:eastAsia="仿宋_GB2312" w:cs="仿宋_GB2312"/>
          <w:kern w:val="0"/>
          <w:sz w:val="32"/>
          <w:szCs w:val="32"/>
          <w:shd w:val="clear" w:color="auto" w:fill="FFFFFF"/>
        </w:rPr>
        <w:t>的各项工作满意度较高。</w:t>
      </w:r>
    </w:p>
    <w:p>
      <w:pPr>
        <w:widowControl/>
        <w:jc w:val="left"/>
        <w:rPr>
          <w:rFonts w:ascii="楷体_GB2312" w:hAnsi="楷体_GB2312" w:eastAsia="楷体_GB2312" w:cs="楷体_GB2312"/>
          <w:b/>
          <w:bCs/>
          <w:kern w:val="0"/>
          <w:sz w:val="32"/>
          <w:szCs w:val="32"/>
          <w:shd w:val="clear" w:color="auto" w:fill="FFFFFF"/>
        </w:rPr>
      </w:pPr>
      <w:r>
        <w:rPr>
          <w:rFonts w:hint="eastAsia" w:ascii="楷体_GB2312" w:hAnsi="楷体_GB2312" w:eastAsia="楷体_GB2312" w:cs="楷体_GB2312"/>
          <w:b/>
          <w:bCs/>
          <w:kern w:val="0"/>
          <w:sz w:val="32"/>
          <w:szCs w:val="32"/>
          <w:shd w:val="clear" w:color="auto" w:fill="FFFFFF"/>
        </w:rPr>
        <w:t>（五）结果应用情况</w:t>
      </w:r>
    </w:p>
    <w:p>
      <w:pPr>
        <w:widowControl/>
        <w:ind w:firstLine="640" w:firstLineChars="200"/>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2022年我单位从收支执行，三公经费管理，预算管理，绩效管理等方面进行了详尽部门自评、22年预算绩效目标，项目预算绩效目标等均进行了公开，评价结果较好，对部门预算编制不够精准细化的问题将在后续工作中逐步改进。</w:t>
      </w:r>
    </w:p>
    <w:p>
      <w:pPr>
        <w:widowControl/>
        <w:jc w:val="left"/>
        <w:rPr>
          <w:rFonts w:ascii="黑体" w:hAnsi="黑体" w:eastAsia="黑体" w:cs="黑体"/>
          <w:b/>
          <w:bCs/>
          <w:kern w:val="0"/>
          <w:sz w:val="32"/>
          <w:szCs w:val="32"/>
          <w:shd w:val="clear" w:color="auto" w:fill="FFFFFF"/>
        </w:rPr>
      </w:pPr>
      <w:r>
        <w:rPr>
          <w:rFonts w:hint="eastAsia" w:ascii="黑体" w:hAnsi="黑体" w:eastAsia="黑体" w:cs="黑体"/>
          <w:b/>
          <w:bCs/>
          <w:kern w:val="0"/>
          <w:sz w:val="32"/>
          <w:szCs w:val="32"/>
          <w:shd w:val="clear" w:color="auto" w:fill="FFFFFF"/>
        </w:rPr>
        <w:t>四、评价结论及建议</w:t>
      </w:r>
    </w:p>
    <w:p>
      <w:pPr>
        <w:widowControl/>
        <w:jc w:val="left"/>
        <w:rPr>
          <w:rFonts w:ascii="仿宋_GB2312" w:hAnsi="仿宋_GB2312" w:eastAsia="仿宋_GB2312" w:cs="仿宋_GB2312"/>
          <w:b/>
          <w:kern w:val="0"/>
          <w:sz w:val="32"/>
          <w:szCs w:val="32"/>
          <w:shd w:val="clear" w:color="auto" w:fill="FFFFFF"/>
        </w:rPr>
      </w:pPr>
      <w:r>
        <w:rPr>
          <w:rFonts w:hint="eastAsia" w:ascii="仿宋_GB2312" w:hAnsi="仿宋_GB2312" w:eastAsia="仿宋_GB2312" w:cs="仿宋_GB2312"/>
          <w:b/>
          <w:kern w:val="0"/>
          <w:sz w:val="32"/>
          <w:szCs w:val="32"/>
          <w:shd w:val="clear" w:color="auto" w:fill="FFFFFF"/>
        </w:rPr>
        <w:t>（一）评价结论。</w:t>
      </w:r>
    </w:p>
    <w:p>
      <w:pPr>
        <w:widowControl/>
        <w:ind w:firstLine="640" w:firstLineChars="200"/>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根据《红原县部门支出绩效评价指标体系》自查得分95.8分，总体评价较好。</w:t>
      </w:r>
    </w:p>
    <w:p>
      <w:pPr>
        <w:widowControl/>
        <w:jc w:val="left"/>
        <w:rPr>
          <w:rFonts w:ascii="仿宋_GB2312" w:hAnsi="仿宋_GB2312" w:eastAsia="仿宋_GB2312" w:cs="仿宋_GB2312"/>
          <w:b/>
          <w:kern w:val="0"/>
          <w:sz w:val="32"/>
          <w:szCs w:val="32"/>
          <w:shd w:val="clear" w:color="auto" w:fill="FFFFFF"/>
        </w:rPr>
      </w:pPr>
      <w:r>
        <w:rPr>
          <w:rFonts w:hint="eastAsia" w:ascii="仿宋_GB2312" w:hAnsi="仿宋_GB2312" w:eastAsia="仿宋_GB2312" w:cs="仿宋_GB2312"/>
          <w:b/>
          <w:kern w:val="0"/>
          <w:sz w:val="32"/>
          <w:szCs w:val="32"/>
          <w:shd w:val="clear" w:color="auto" w:fill="FFFFFF"/>
        </w:rPr>
        <w:t>（二）存在问题。</w:t>
      </w:r>
    </w:p>
    <w:p>
      <w:pPr>
        <w:widowControl/>
        <w:ind w:firstLine="640" w:firstLineChars="200"/>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由于财政支出的多样性和复杂性，绩效评价指标体系设置难度大，即使可以量化，但实际操作中很多项目间缺乏可比性且指标本身也在逐步变化，需要逐步完善。</w:t>
      </w:r>
    </w:p>
    <w:p>
      <w:pPr>
        <w:widowControl/>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 xml:space="preserve">   存在的问题:在平时工作推进过程中，还应加强绩效管理，进一步细化管理，预算编制还需更加精准。</w:t>
      </w:r>
    </w:p>
    <w:p>
      <w:pPr>
        <w:widowControl/>
        <w:jc w:val="left"/>
        <w:rPr>
          <w:rFonts w:ascii="仿宋_GB2312" w:hAnsi="仿宋_GB2312" w:eastAsia="仿宋_GB2312" w:cs="仿宋_GB2312"/>
          <w:b/>
          <w:kern w:val="0"/>
          <w:sz w:val="32"/>
          <w:szCs w:val="32"/>
          <w:shd w:val="clear" w:color="auto" w:fill="FFFFFF"/>
        </w:rPr>
      </w:pPr>
      <w:r>
        <w:rPr>
          <w:rFonts w:hint="eastAsia" w:ascii="仿宋_GB2312" w:hAnsi="仿宋_GB2312" w:eastAsia="仿宋_GB2312" w:cs="仿宋_GB2312"/>
          <w:b/>
          <w:kern w:val="0"/>
          <w:sz w:val="32"/>
          <w:szCs w:val="32"/>
          <w:shd w:val="clear" w:color="auto" w:fill="FFFFFF"/>
        </w:rPr>
        <w:t>（二）改进建议。</w:t>
      </w:r>
    </w:p>
    <w:p>
      <w:pPr>
        <w:widowControl/>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1.通过各种途径加强绩效管理学习，科学合理编制预算，严格执行预算。</w:t>
      </w:r>
    </w:p>
    <w:p>
      <w:pPr>
        <w:widowControl/>
        <w:jc w:val="left"/>
        <w:rPr>
          <w:rStyle w:val="20"/>
          <w:rFonts w:ascii="黑体" w:eastAsia="黑体"/>
          <w:b w:val="0"/>
        </w:rPr>
      </w:pPr>
      <w:r>
        <w:rPr>
          <w:rFonts w:hint="eastAsia" w:ascii="仿宋_GB2312" w:hAnsi="仿宋_GB2312" w:eastAsia="仿宋_GB2312" w:cs="仿宋_GB2312"/>
          <w:kern w:val="0"/>
          <w:sz w:val="32"/>
          <w:szCs w:val="32"/>
          <w:shd w:val="clear" w:color="auto" w:fill="FFFFFF"/>
        </w:rPr>
        <w:t>2.规范账务处理，提高财务信息质量。</w:t>
      </w:r>
      <w:bookmarkStart w:id="108" w:name="_Toc63"/>
      <w:bookmarkStart w:id="109" w:name="_Toc15396618"/>
    </w:p>
    <w:p>
      <w:pPr>
        <w:widowControl/>
        <w:jc w:val="left"/>
        <w:rPr>
          <w:rFonts w:ascii="黑体" w:eastAsia="黑体"/>
          <w:sz w:val="44"/>
          <w:szCs w:val="44"/>
        </w:rPr>
      </w:pPr>
    </w:p>
    <w:p>
      <w:pPr>
        <w:widowControl/>
        <w:jc w:val="left"/>
        <w:rPr>
          <w:rFonts w:ascii="黑体" w:eastAsia="黑体"/>
          <w:sz w:val="44"/>
          <w:szCs w:val="44"/>
        </w:rPr>
      </w:pPr>
    </w:p>
    <w:p>
      <w:pPr>
        <w:widowControl/>
        <w:jc w:val="center"/>
        <w:rPr>
          <w:rStyle w:val="20"/>
          <w:rFonts w:ascii="黑体" w:eastAsia="黑体"/>
          <w:b w:val="0"/>
        </w:rPr>
      </w:pPr>
      <w:r>
        <w:rPr>
          <w:rFonts w:hint="eastAsia" w:ascii="黑体" w:eastAsia="黑体"/>
          <w:sz w:val="44"/>
          <w:szCs w:val="44"/>
        </w:rPr>
        <w:t>第</w:t>
      </w:r>
      <w:r>
        <w:rPr>
          <w:rStyle w:val="20"/>
          <w:rFonts w:hint="eastAsia" w:ascii="黑体" w:eastAsia="黑体"/>
          <w:b w:val="0"/>
        </w:rPr>
        <w:t>五部分 附表</w:t>
      </w:r>
      <w:bookmarkEnd w:id="66"/>
      <w:bookmarkEnd w:id="108"/>
      <w:bookmarkEnd w:id="109"/>
      <w:bookmarkStart w:id="110" w:name="_Toc9836"/>
      <w:bookmarkStart w:id="111" w:name="_Toc7114"/>
      <w:bookmarkStart w:id="112" w:name="_Toc15396619"/>
    </w:p>
    <w:p>
      <w:pPr>
        <w:widowControl/>
        <w:jc w:val="left"/>
        <w:rPr>
          <w:rStyle w:val="21"/>
          <w:rFonts w:ascii="仿宋" w:eastAsia="仿宋"/>
        </w:rPr>
      </w:pPr>
      <w:r>
        <w:rPr>
          <w:rStyle w:val="21"/>
          <w:rFonts w:hint="eastAsia" w:ascii="仿宋" w:eastAsia="仿宋"/>
        </w:rPr>
        <w:t>一、收入支出决算总表</w:t>
      </w:r>
      <w:bookmarkEnd w:id="110"/>
      <w:bookmarkEnd w:id="111"/>
      <w:bookmarkEnd w:id="112"/>
      <w:bookmarkStart w:id="113" w:name="_Toc5275"/>
      <w:bookmarkStart w:id="114" w:name="_Toc15396620"/>
      <w:bookmarkStart w:id="115" w:name="_Toc31850"/>
    </w:p>
    <w:p>
      <w:pPr>
        <w:widowControl/>
        <w:jc w:val="left"/>
        <w:rPr>
          <w:rStyle w:val="21"/>
          <w:rFonts w:ascii="仿宋" w:eastAsia="仿宋"/>
        </w:rPr>
      </w:pPr>
      <w:r>
        <w:rPr>
          <w:rStyle w:val="21"/>
          <w:rFonts w:hint="eastAsia" w:ascii="仿宋" w:eastAsia="仿宋"/>
        </w:rPr>
        <w:t>二、收入决算表</w:t>
      </w:r>
      <w:bookmarkEnd w:id="113"/>
      <w:bookmarkEnd w:id="114"/>
      <w:bookmarkEnd w:id="115"/>
      <w:bookmarkStart w:id="116" w:name="_Toc22743"/>
      <w:bookmarkStart w:id="117" w:name="_Toc15012"/>
      <w:bookmarkStart w:id="118" w:name="_Toc15396621"/>
    </w:p>
    <w:p>
      <w:pPr>
        <w:widowControl/>
        <w:jc w:val="left"/>
        <w:rPr>
          <w:rStyle w:val="21"/>
          <w:rFonts w:ascii="仿宋" w:eastAsia="仿宋"/>
        </w:rPr>
      </w:pPr>
      <w:r>
        <w:rPr>
          <w:rStyle w:val="21"/>
          <w:rFonts w:hint="eastAsia" w:ascii="仿宋" w:eastAsia="仿宋"/>
        </w:rPr>
        <w:t>三、支出决算表</w:t>
      </w:r>
      <w:bookmarkEnd w:id="116"/>
      <w:bookmarkEnd w:id="117"/>
      <w:bookmarkEnd w:id="118"/>
      <w:bookmarkStart w:id="119" w:name="_Toc3319"/>
      <w:bookmarkStart w:id="120" w:name="_Toc2325"/>
      <w:bookmarkStart w:id="121" w:name="_Toc15396622"/>
    </w:p>
    <w:p>
      <w:pPr>
        <w:widowControl/>
        <w:jc w:val="left"/>
        <w:rPr>
          <w:rStyle w:val="21"/>
          <w:rFonts w:ascii="仿宋" w:eastAsia="仿宋"/>
          <w:bCs w:val="0"/>
        </w:rPr>
      </w:pPr>
      <w:r>
        <w:rPr>
          <w:rStyle w:val="21"/>
          <w:rFonts w:hint="eastAsia" w:ascii="仿宋" w:eastAsia="仿宋"/>
          <w:bCs w:val="0"/>
        </w:rPr>
        <w:t>四、财政拨款收入支出决算总表</w:t>
      </w:r>
      <w:bookmarkEnd w:id="119"/>
      <w:bookmarkEnd w:id="120"/>
      <w:bookmarkEnd w:id="121"/>
      <w:bookmarkStart w:id="122" w:name="_Toc17946"/>
      <w:bookmarkStart w:id="123" w:name="_Toc9871"/>
      <w:bookmarkStart w:id="124" w:name="_Toc15396623"/>
    </w:p>
    <w:p>
      <w:pPr>
        <w:widowControl/>
        <w:jc w:val="left"/>
        <w:rPr>
          <w:rStyle w:val="21"/>
          <w:rFonts w:ascii="仿宋" w:eastAsia="仿宋"/>
          <w:bCs w:val="0"/>
        </w:rPr>
      </w:pPr>
      <w:r>
        <w:rPr>
          <w:rStyle w:val="21"/>
          <w:rFonts w:hint="eastAsia" w:ascii="仿宋" w:eastAsia="仿宋"/>
          <w:bCs w:val="0"/>
        </w:rPr>
        <w:t>五、</w:t>
      </w:r>
      <w:r>
        <w:rPr>
          <w:rStyle w:val="21"/>
          <w:rFonts w:hint="eastAsia" w:ascii="仿宋" w:eastAsia="仿宋"/>
        </w:rPr>
        <w:t>财</w:t>
      </w:r>
      <w:r>
        <w:rPr>
          <w:rStyle w:val="21"/>
          <w:rFonts w:hint="eastAsia" w:ascii="仿宋" w:eastAsia="仿宋"/>
          <w:bCs w:val="0"/>
        </w:rPr>
        <w:t>政拨款支出决算明细表</w:t>
      </w:r>
      <w:bookmarkEnd w:id="122"/>
      <w:bookmarkEnd w:id="123"/>
      <w:bookmarkEnd w:id="124"/>
      <w:bookmarkStart w:id="125" w:name="_Toc2800"/>
      <w:bookmarkStart w:id="126" w:name="_Toc20117"/>
      <w:bookmarkStart w:id="127" w:name="_Toc15396624"/>
    </w:p>
    <w:p>
      <w:pPr>
        <w:widowControl/>
        <w:jc w:val="left"/>
        <w:rPr>
          <w:rStyle w:val="21"/>
          <w:rFonts w:ascii="仿宋" w:eastAsia="仿宋"/>
        </w:rPr>
      </w:pPr>
      <w:r>
        <w:rPr>
          <w:rStyle w:val="21"/>
          <w:rFonts w:hint="eastAsia" w:ascii="仿宋" w:eastAsia="仿宋"/>
          <w:bCs w:val="0"/>
        </w:rPr>
        <w:t>六、</w:t>
      </w:r>
      <w:r>
        <w:rPr>
          <w:rStyle w:val="21"/>
          <w:rFonts w:hint="eastAsia" w:ascii="仿宋" w:eastAsia="仿宋"/>
          <w:b w:val="0"/>
        </w:rPr>
        <w:t>一</w:t>
      </w:r>
      <w:r>
        <w:rPr>
          <w:rStyle w:val="21"/>
          <w:rFonts w:hint="eastAsia" w:ascii="仿宋" w:eastAsia="仿宋"/>
          <w:bCs w:val="0"/>
        </w:rPr>
        <w:t>般公共预算财政拨款支出决算表</w:t>
      </w:r>
      <w:bookmarkEnd w:id="125"/>
      <w:bookmarkEnd w:id="126"/>
      <w:bookmarkEnd w:id="127"/>
    </w:p>
    <w:p>
      <w:pPr>
        <w:pStyle w:val="4"/>
        <w:rPr>
          <w:rFonts w:ascii="仿宋" w:eastAsia="仿宋"/>
          <w:b w:val="0"/>
        </w:rPr>
      </w:pPr>
      <w:bookmarkStart w:id="128" w:name="_Toc10733"/>
      <w:bookmarkStart w:id="129" w:name="_Toc29704"/>
      <w:bookmarkStart w:id="130" w:name="_Toc15396625"/>
      <w:r>
        <w:rPr>
          <w:rStyle w:val="21"/>
          <w:rFonts w:hint="eastAsia" w:ascii="仿宋" w:eastAsia="仿宋"/>
          <w:b/>
          <w:bCs w:val="0"/>
        </w:rPr>
        <w:t>七、</w:t>
      </w:r>
      <w:r>
        <w:rPr>
          <w:rFonts w:hint="eastAsia" w:ascii="仿宋" w:eastAsia="仿宋"/>
          <w:b w:val="0"/>
        </w:rPr>
        <w:t>一</w:t>
      </w:r>
      <w:r>
        <w:rPr>
          <w:rStyle w:val="21"/>
          <w:rFonts w:hint="eastAsia" w:ascii="仿宋" w:eastAsia="仿宋"/>
          <w:b/>
          <w:bCs w:val="0"/>
        </w:rPr>
        <w:t>般公共预算财政拨款支出决算明细表</w:t>
      </w:r>
      <w:bookmarkEnd w:id="128"/>
      <w:bookmarkEnd w:id="129"/>
      <w:bookmarkEnd w:id="130"/>
    </w:p>
    <w:p>
      <w:pPr>
        <w:pStyle w:val="4"/>
        <w:rPr>
          <w:rFonts w:ascii="仿宋" w:eastAsia="仿宋"/>
          <w:b w:val="0"/>
        </w:rPr>
      </w:pPr>
      <w:bookmarkStart w:id="131" w:name="_Toc30543"/>
      <w:bookmarkStart w:id="132" w:name="_Toc8432"/>
      <w:bookmarkStart w:id="133" w:name="_Toc15396626"/>
      <w:r>
        <w:rPr>
          <w:rStyle w:val="21"/>
          <w:rFonts w:hint="eastAsia" w:ascii="仿宋" w:eastAsia="仿宋"/>
          <w:b/>
          <w:bCs w:val="0"/>
        </w:rPr>
        <w:t>八、</w:t>
      </w:r>
      <w:r>
        <w:rPr>
          <w:rFonts w:hint="eastAsia" w:ascii="仿宋" w:eastAsia="仿宋"/>
          <w:b w:val="0"/>
        </w:rPr>
        <w:t>一</w:t>
      </w:r>
      <w:r>
        <w:rPr>
          <w:rStyle w:val="21"/>
          <w:rFonts w:hint="eastAsia" w:ascii="仿宋" w:eastAsia="仿宋"/>
          <w:b/>
          <w:bCs w:val="0"/>
        </w:rPr>
        <w:t>般公共预算财政拨款基本支出决算表</w:t>
      </w:r>
      <w:bookmarkEnd w:id="131"/>
      <w:bookmarkEnd w:id="132"/>
      <w:bookmarkEnd w:id="133"/>
    </w:p>
    <w:p>
      <w:pPr>
        <w:pStyle w:val="4"/>
        <w:rPr>
          <w:rFonts w:ascii="仿宋" w:eastAsia="仿宋"/>
          <w:b w:val="0"/>
        </w:rPr>
      </w:pPr>
      <w:bookmarkStart w:id="134" w:name="_Toc28168"/>
      <w:bookmarkStart w:id="135" w:name="_Toc10916"/>
      <w:bookmarkStart w:id="136" w:name="_Toc15396627"/>
      <w:r>
        <w:rPr>
          <w:rStyle w:val="21"/>
          <w:rFonts w:hint="eastAsia" w:ascii="仿宋" w:eastAsia="仿宋"/>
          <w:b/>
          <w:bCs w:val="0"/>
        </w:rPr>
        <w:t>九、</w:t>
      </w:r>
      <w:r>
        <w:rPr>
          <w:rFonts w:hint="eastAsia" w:ascii="仿宋" w:eastAsia="仿宋"/>
          <w:b w:val="0"/>
        </w:rPr>
        <w:t>一</w:t>
      </w:r>
      <w:r>
        <w:rPr>
          <w:rStyle w:val="21"/>
          <w:rFonts w:hint="eastAsia" w:ascii="仿宋" w:eastAsia="仿宋"/>
          <w:b/>
          <w:bCs w:val="0"/>
        </w:rPr>
        <w:t>般公共预算财政拨款项目支出决算表</w:t>
      </w:r>
      <w:bookmarkEnd w:id="134"/>
      <w:bookmarkEnd w:id="135"/>
      <w:bookmarkEnd w:id="136"/>
    </w:p>
    <w:p>
      <w:pPr>
        <w:pStyle w:val="4"/>
        <w:rPr>
          <w:rFonts w:ascii="仿宋" w:eastAsia="仿宋"/>
          <w:b w:val="0"/>
        </w:rPr>
      </w:pPr>
      <w:bookmarkStart w:id="137" w:name="_Toc15396628"/>
      <w:bookmarkStart w:id="138" w:name="_Toc13791"/>
      <w:bookmarkStart w:id="139" w:name="_Toc16699"/>
      <w:r>
        <w:rPr>
          <w:rStyle w:val="21"/>
          <w:rFonts w:hint="eastAsia" w:ascii="仿宋" w:eastAsia="仿宋"/>
          <w:b/>
          <w:bCs w:val="0"/>
        </w:rPr>
        <w:t>十、</w:t>
      </w:r>
      <w:bookmarkEnd w:id="137"/>
      <w:r>
        <w:rPr>
          <w:rFonts w:hint="eastAsia" w:ascii="仿宋" w:eastAsia="仿宋"/>
        </w:rPr>
        <w:t>政</w:t>
      </w:r>
      <w:r>
        <w:rPr>
          <w:rStyle w:val="21"/>
          <w:rFonts w:hint="eastAsia" w:ascii="仿宋" w:eastAsia="仿宋"/>
          <w:b/>
          <w:bCs w:val="0"/>
        </w:rPr>
        <w:t>府性基金预算财政拨款收入支出决算表</w:t>
      </w:r>
      <w:bookmarkEnd w:id="138"/>
      <w:bookmarkEnd w:id="139"/>
    </w:p>
    <w:p>
      <w:pPr>
        <w:pStyle w:val="4"/>
        <w:rPr>
          <w:rFonts w:ascii="仿宋" w:eastAsia="仿宋"/>
          <w:b w:val="0"/>
        </w:rPr>
      </w:pPr>
      <w:bookmarkStart w:id="140" w:name="_Toc15396629"/>
      <w:bookmarkStart w:id="141" w:name="_Toc4423"/>
      <w:bookmarkStart w:id="142" w:name="_Toc8848"/>
      <w:r>
        <w:rPr>
          <w:rStyle w:val="21"/>
          <w:rFonts w:hint="eastAsia" w:ascii="仿宋" w:eastAsia="仿宋"/>
          <w:b/>
          <w:bCs w:val="0"/>
        </w:rPr>
        <w:t>十一、</w:t>
      </w:r>
      <w:bookmarkEnd w:id="140"/>
      <w:r>
        <w:rPr>
          <w:rFonts w:hint="eastAsia" w:ascii="仿宋" w:eastAsia="仿宋"/>
        </w:rPr>
        <w:t>国</w:t>
      </w:r>
      <w:r>
        <w:rPr>
          <w:rStyle w:val="21"/>
          <w:rFonts w:hint="eastAsia" w:ascii="仿宋" w:eastAsia="仿宋"/>
          <w:b/>
          <w:bCs w:val="0"/>
        </w:rPr>
        <w:t>有资本经营预算财政拨款收入支出决算表</w:t>
      </w:r>
      <w:bookmarkEnd w:id="141"/>
      <w:bookmarkEnd w:id="142"/>
    </w:p>
    <w:p>
      <w:pPr>
        <w:pStyle w:val="4"/>
        <w:rPr>
          <w:rFonts w:ascii="仿宋" w:eastAsia="仿宋"/>
          <w:b w:val="0"/>
        </w:rPr>
      </w:pPr>
      <w:bookmarkStart w:id="143" w:name="_Toc15396630"/>
      <w:bookmarkStart w:id="144" w:name="_Toc375"/>
      <w:bookmarkStart w:id="145" w:name="_Toc3767"/>
      <w:r>
        <w:rPr>
          <w:rStyle w:val="21"/>
          <w:rFonts w:hint="eastAsia" w:ascii="仿宋" w:eastAsia="仿宋"/>
          <w:b/>
          <w:bCs w:val="0"/>
        </w:rPr>
        <w:t>十二、</w:t>
      </w:r>
      <w:bookmarkEnd w:id="143"/>
      <w:r>
        <w:rPr>
          <w:rStyle w:val="21"/>
          <w:rFonts w:hint="eastAsia" w:ascii="仿宋" w:eastAsia="仿宋"/>
          <w:b/>
          <w:bCs w:val="0"/>
        </w:rPr>
        <w:t>国有资本经营预算财政拨款支出决算表</w:t>
      </w:r>
      <w:bookmarkEnd w:id="144"/>
      <w:bookmarkEnd w:id="145"/>
    </w:p>
    <w:p>
      <w:pPr>
        <w:pStyle w:val="4"/>
        <w:rPr>
          <w:rFonts w:eastAsia="仿宋"/>
          <w:b w:val="0"/>
        </w:rPr>
      </w:pPr>
      <w:bookmarkStart w:id="146" w:name="_Toc15396631"/>
      <w:bookmarkStart w:id="147" w:name="_Toc6173"/>
      <w:bookmarkStart w:id="148" w:name="_Toc23427"/>
      <w:r>
        <w:rPr>
          <w:rStyle w:val="21"/>
          <w:rFonts w:hint="eastAsia" w:ascii="仿宋" w:eastAsia="仿宋"/>
          <w:b/>
          <w:bCs w:val="0"/>
        </w:rPr>
        <w:t>十三、</w:t>
      </w:r>
      <w:bookmarkEnd w:id="146"/>
      <w:r>
        <w:rPr>
          <w:rStyle w:val="21"/>
          <w:rFonts w:hint="eastAsia" w:ascii="仿宋" w:eastAsia="仿宋"/>
          <w:b/>
          <w:bCs w:val="0"/>
        </w:rPr>
        <w:t>财政拨款“三公”经费支出决算表</w:t>
      </w:r>
      <w:bookmarkEnd w:id="147"/>
      <w:bookmarkEnd w:id="148"/>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auto"/>
    <w:pitch w:val="default"/>
    <w:sig w:usb0="00000001" w:usb1="080E0000" w:usb2="00000000" w:usb3="00000000" w:csb0="00040000" w:csb1="00000000"/>
  </w:font>
  <w:font w:name="Courier New">
    <w:altName w:val="DejaVu Sans"/>
    <w:panose1 w:val="02070309020205020404"/>
    <w:charset w:val="00"/>
    <w:family w:val="modern"/>
    <w:pitch w:val="default"/>
    <w:sig w:usb0="00000000" w:usb1="00000000" w:usb2="00000009" w:usb3="00000000" w:csb0="000001FF"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Arial">
    <w:altName w:val="Times New Roman"/>
    <w:panose1 w:val="020B0604020202020204"/>
    <w:charset w:val="00"/>
    <w:family w:val="swiss"/>
    <w:pitch w:val="default"/>
    <w:sig w:usb0="00000000" w:usb1="00000000" w:usb2="00000009" w:usb3="00000000" w:csb0="000001FF" w:csb1="00000000"/>
  </w:font>
  <w:font w:name="方正黑体_GBK">
    <w:panose1 w:val="02000000000000000000"/>
    <w:charset w:val="86"/>
    <w:family w:val="auto"/>
    <w:pitch w:val="default"/>
    <w:sig w:usb0="00000001" w:usb1="0800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1616354"/>
    </w:sdtPr>
    <w:sdtContent>
      <w:p>
        <w:pPr>
          <w:pStyle w:val="2"/>
          <w:jc w:val="center"/>
        </w:pPr>
        <w:r>
          <w:fldChar w:fldCharType="begin"/>
        </w:r>
        <w:r>
          <w:instrText xml:space="preserve">PAGE   \* MERGEFORMAT</w:instrText>
        </w:r>
        <w:r>
          <w:fldChar w:fldCharType="separate"/>
        </w:r>
        <w:r>
          <w:rPr>
            <w:lang w:val="zh-CN"/>
          </w:rPr>
          <w:t>41</w:t>
        </w:r>
        <w:r>
          <w:rPr>
            <w:lang w:val="zh-CN"/>
          </w:rPr>
          <w:fldChar w:fldCharType="end"/>
        </w:r>
      </w:p>
    </w:sdtContent>
  </w:sdt>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847E0C"/>
    <w:multiLevelType w:val="singleLevel"/>
    <w:tmpl w:val="8B847E0C"/>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3">
    <w:nsid w:val="E6B5C037"/>
    <w:multiLevelType w:val="singleLevel"/>
    <w:tmpl w:val="E6B5C037"/>
    <w:lvl w:ilvl="0" w:tentative="0">
      <w:start w:val="1"/>
      <w:numFmt w:val="decimal"/>
      <w:lvlText w:val="%1."/>
      <w:lvlJc w:val="left"/>
      <w:pPr>
        <w:tabs>
          <w:tab w:val="left" w:pos="312"/>
        </w:tabs>
      </w:pPr>
    </w:lvl>
  </w:abstractNum>
  <w:abstractNum w:abstractNumId="4">
    <w:nsid w:val="EACD8409"/>
    <w:multiLevelType w:val="singleLevel"/>
    <w:tmpl w:val="EACD8409"/>
    <w:lvl w:ilvl="0" w:tentative="0">
      <w:start w:val="5"/>
      <w:numFmt w:val="decimal"/>
      <w:lvlText w:val="%1."/>
      <w:lvlJc w:val="left"/>
      <w:pPr>
        <w:tabs>
          <w:tab w:val="left" w:pos="312"/>
        </w:tabs>
      </w:p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355685C0"/>
    <w:multiLevelType w:val="singleLevel"/>
    <w:tmpl w:val="355685C0"/>
    <w:lvl w:ilvl="0" w:tentative="0">
      <w:start w:val="1"/>
      <w:numFmt w:val="chineseCounting"/>
      <w:suff w:val="nothing"/>
      <w:lvlText w:val="（%1）"/>
      <w:lvlJc w:val="left"/>
      <w:rPr>
        <w:rFonts w:hint="eastAsia"/>
      </w:rPr>
    </w:lvl>
  </w:abstractNum>
  <w:abstractNum w:abstractNumId="7">
    <w:nsid w:val="4B5E5050"/>
    <w:multiLevelType w:val="singleLevel"/>
    <w:tmpl w:val="4B5E5050"/>
    <w:lvl w:ilvl="0" w:tentative="0">
      <w:start w:val="1"/>
      <w:numFmt w:val="chineseCounting"/>
      <w:suff w:val="nothing"/>
      <w:lvlText w:val="%1、"/>
      <w:lvlJc w:val="left"/>
      <w:rPr>
        <w:rFonts w:hint="eastAsia"/>
      </w:rPr>
    </w:lvl>
  </w:abstractNum>
  <w:num w:numId="1">
    <w:abstractNumId w:val="7"/>
  </w:num>
  <w:num w:numId="2">
    <w:abstractNumId w:val="6"/>
  </w:num>
  <w:num w:numId="3">
    <w:abstractNumId w:val="5"/>
  </w:num>
  <w:num w:numId="4">
    <w:abstractNumId w:val="0"/>
  </w:num>
  <w:num w:numId="5">
    <w:abstractNumId w:val="1"/>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jBiOWIxN2FhMzAxNzRiNWJjMzA1YWY4MTVjNzk1NDcifQ=="/>
  </w:docVars>
  <w:rsids>
    <w:rsidRoot w:val="005346C9"/>
    <w:rsid w:val="000A2A85"/>
    <w:rsid w:val="0012553C"/>
    <w:rsid w:val="00132658"/>
    <w:rsid w:val="001662D7"/>
    <w:rsid w:val="00166AF0"/>
    <w:rsid w:val="00172F1F"/>
    <w:rsid w:val="002268D5"/>
    <w:rsid w:val="00281B0C"/>
    <w:rsid w:val="00287C0F"/>
    <w:rsid w:val="002974AB"/>
    <w:rsid w:val="002C1B69"/>
    <w:rsid w:val="002C46A8"/>
    <w:rsid w:val="00363A17"/>
    <w:rsid w:val="003648C3"/>
    <w:rsid w:val="003711DC"/>
    <w:rsid w:val="00376B42"/>
    <w:rsid w:val="00395B29"/>
    <w:rsid w:val="003C23B0"/>
    <w:rsid w:val="003F22F1"/>
    <w:rsid w:val="003F4E06"/>
    <w:rsid w:val="00433CE9"/>
    <w:rsid w:val="00467236"/>
    <w:rsid w:val="0048005A"/>
    <w:rsid w:val="004D6E15"/>
    <w:rsid w:val="005008E7"/>
    <w:rsid w:val="005346C9"/>
    <w:rsid w:val="00547990"/>
    <w:rsid w:val="0055022C"/>
    <w:rsid w:val="00586402"/>
    <w:rsid w:val="005A32FC"/>
    <w:rsid w:val="005B2993"/>
    <w:rsid w:val="006100A8"/>
    <w:rsid w:val="006F6D05"/>
    <w:rsid w:val="00741B8C"/>
    <w:rsid w:val="00787105"/>
    <w:rsid w:val="007A5135"/>
    <w:rsid w:val="007C6D18"/>
    <w:rsid w:val="007D5FBD"/>
    <w:rsid w:val="007F05C1"/>
    <w:rsid w:val="008509E5"/>
    <w:rsid w:val="00860AD7"/>
    <w:rsid w:val="00874302"/>
    <w:rsid w:val="00877593"/>
    <w:rsid w:val="0091548A"/>
    <w:rsid w:val="009348A7"/>
    <w:rsid w:val="00936682"/>
    <w:rsid w:val="009376E7"/>
    <w:rsid w:val="00937BAA"/>
    <w:rsid w:val="0099706C"/>
    <w:rsid w:val="009A1ABB"/>
    <w:rsid w:val="009B63BE"/>
    <w:rsid w:val="00B04FEA"/>
    <w:rsid w:val="00BA29E1"/>
    <w:rsid w:val="00BD043A"/>
    <w:rsid w:val="00BD15AE"/>
    <w:rsid w:val="00C5407F"/>
    <w:rsid w:val="00C6299F"/>
    <w:rsid w:val="00CF0940"/>
    <w:rsid w:val="00D54107"/>
    <w:rsid w:val="00DA4586"/>
    <w:rsid w:val="00DE1488"/>
    <w:rsid w:val="00E21D63"/>
    <w:rsid w:val="00E54145"/>
    <w:rsid w:val="00EA28F2"/>
    <w:rsid w:val="00EA3B8B"/>
    <w:rsid w:val="00EB56EB"/>
    <w:rsid w:val="00F1191B"/>
    <w:rsid w:val="02810A7C"/>
    <w:rsid w:val="02A824AD"/>
    <w:rsid w:val="02C16A01"/>
    <w:rsid w:val="02F072F1"/>
    <w:rsid w:val="0305345B"/>
    <w:rsid w:val="04522421"/>
    <w:rsid w:val="04966BE4"/>
    <w:rsid w:val="05253F5F"/>
    <w:rsid w:val="081128A2"/>
    <w:rsid w:val="08E07D65"/>
    <w:rsid w:val="09C13E54"/>
    <w:rsid w:val="0A281ACE"/>
    <w:rsid w:val="0AEF5D5B"/>
    <w:rsid w:val="0B81081E"/>
    <w:rsid w:val="0C272694"/>
    <w:rsid w:val="0CA912FB"/>
    <w:rsid w:val="0CF602B9"/>
    <w:rsid w:val="0E4D5CB6"/>
    <w:rsid w:val="0E632100"/>
    <w:rsid w:val="0F2033CB"/>
    <w:rsid w:val="106B4B1A"/>
    <w:rsid w:val="106D2640"/>
    <w:rsid w:val="10900A00"/>
    <w:rsid w:val="114E0781"/>
    <w:rsid w:val="116352D6"/>
    <w:rsid w:val="116E3A5D"/>
    <w:rsid w:val="11B36B4A"/>
    <w:rsid w:val="122A4C8C"/>
    <w:rsid w:val="12A6008B"/>
    <w:rsid w:val="12EA7589"/>
    <w:rsid w:val="133E02C4"/>
    <w:rsid w:val="144E60BD"/>
    <w:rsid w:val="149B0E8A"/>
    <w:rsid w:val="15121A08"/>
    <w:rsid w:val="19151713"/>
    <w:rsid w:val="196F1358"/>
    <w:rsid w:val="1A0758B3"/>
    <w:rsid w:val="1BD16179"/>
    <w:rsid w:val="1BF965F2"/>
    <w:rsid w:val="1C6012AB"/>
    <w:rsid w:val="1D0C6A66"/>
    <w:rsid w:val="1D234B0A"/>
    <w:rsid w:val="1E2F362A"/>
    <w:rsid w:val="1ECB3486"/>
    <w:rsid w:val="1EEE287B"/>
    <w:rsid w:val="207F70B2"/>
    <w:rsid w:val="217F6677"/>
    <w:rsid w:val="21B856E5"/>
    <w:rsid w:val="223C144D"/>
    <w:rsid w:val="243E6375"/>
    <w:rsid w:val="25693679"/>
    <w:rsid w:val="25FB1098"/>
    <w:rsid w:val="260C30F7"/>
    <w:rsid w:val="27B54BA0"/>
    <w:rsid w:val="2AA077A9"/>
    <w:rsid w:val="2AFA0B1C"/>
    <w:rsid w:val="2B8266EC"/>
    <w:rsid w:val="2BF233C5"/>
    <w:rsid w:val="2BFB4ED7"/>
    <w:rsid w:val="2C025EDA"/>
    <w:rsid w:val="2C351E0C"/>
    <w:rsid w:val="2C3F4B36"/>
    <w:rsid w:val="2C8608B9"/>
    <w:rsid w:val="2D855015"/>
    <w:rsid w:val="2F0B5447"/>
    <w:rsid w:val="2FC11C09"/>
    <w:rsid w:val="2FEC353D"/>
    <w:rsid w:val="31CD6F8B"/>
    <w:rsid w:val="31D16A7B"/>
    <w:rsid w:val="31F40390"/>
    <w:rsid w:val="32015C68"/>
    <w:rsid w:val="32A44717"/>
    <w:rsid w:val="32F0738F"/>
    <w:rsid w:val="33920C6F"/>
    <w:rsid w:val="346C2A8B"/>
    <w:rsid w:val="35037A49"/>
    <w:rsid w:val="35B430FE"/>
    <w:rsid w:val="36A22794"/>
    <w:rsid w:val="36E93C13"/>
    <w:rsid w:val="370D7188"/>
    <w:rsid w:val="37203D70"/>
    <w:rsid w:val="38417D8A"/>
    <w:rsid w:val="384229D7"/>
    <w:rsid w:val="38896E55"/>
    <w:rsid w:val="38EE3768"/>
    <w:rsid w:val="38F452F3"/>
    <w:rsid w:val="39B27192"/>
    <w:rsid w:val="39DB3B32"/>
    <w:rsid w:val="3A72247D"/>
    <w:rsid w:val="3B313DD8"/>
    <w:rsid w:val="3C1D667F"/>
    <w:rsid w:val="3CF211DC"/>
    <w:rsid w:val="3F1A6CC0"/>
    <w:rsid w:val="40464190"/>
    <w:rsid w:val="41FD0E53"/>
    <w:rsid w:val="42122365"/>
    <w:rsid w:val="42A74A51"/>
    <w:rsid w:val="42FE4D96"/>
    <w:rsid w:val="439F7ECC"/>
    <w:rsid w:val="43DD305D"/>
    <w:rsid w:val="44911445"/>
    <w:rsid w:val="45326705"/>
    <w:rsid w:val="45523641"/>
    <w:rsid w:val="45EC57D9"/>
    <w:rsid w:val="470E79D1"/>
    <w:rsid w:val="47F46BC7"/>
    <w:rsid w:val="49634005"/>
    <w:rsid w:val="49DF11B1"/>
    <w:rsid w:val="4AC00FE3"/>
    <w:rsid w:val="4ACA3C0F"/>
    <w:rsid w:val="4C5D11DF"/>
    <w:rsid w:val="4D1A3604"/>
    <w:rsid w:val="4D7F6F33"/>
    <w:rsid w:val="4E4837C9"/>
    <w:rsid w:val="4ECC5CC5"/>
    <w:rsid w:val="50B0566A"/>
    <w:rsid w:val="50CA7228"/>
    <w:rsid w:val="53CF5879"/>
    <w:rsid w:val="53D845EF"/>
    <w:rsid w:val="544B0D60"/>
    <w:rsid w:val="5527753F"/>
    <w:rsid w:val="55E95CE9"/>
    <w:rsid w:val="58577395"/>
    <w:rsid w:val="595349E6"/>
    <w:rsid w:val="59D32AE1"/>
    <w:rsid w:val="5A3A17F8"/>
    <w:rsid w:val="5A5654C0"/>
    <w:rsid w:val="5A673AE1"/>
    <w:rsid w:val="5A9D6525"/>
    <w:rsid w:val="5ADA7E9F"/>
    <w:rsid w:val="5AFC4F25"/>
    <w:rsid w:val="5B490B80"/>
    <w:rsid w:val="5B6F3FE4"/>
    <w:rsid w:val="5B77068B"/>
    <w:rsid w:val="5BA65138"/>
    <w:rsid w:val="5C0D1BAE"/>
    <w:rsid w:val="5CD94CAE"/>
    <w:rsid w:val="5D5F6439"/>
    <w:rsid w:val="5EC92704"/>
    <w:rsid w:val="5EE27322"/>
    <w:rsid w:val="5F357D99"/>
    <w:rsid w:val="61954B1F"/>
    <w:rsid w:val="62314848"/>
    <w:rsid w:val="62E0626E"/>
    <w:rsid w:val="63A3408B"/>
    <w:rsid w:val="650773BA"/>
    <w:rsid w:val="657F5D22"/>
    <w:rsid w:val="65B61F12"/>
    <w:rsid w:val="66E2751B"/>
    <w:rsid w:val="67343515"/>
    <w:rsid w:val="691049E1"/>
    <w:rsid w:val="695452C0"/>
    <w:rsid w:val="69AA5C34"/>
    <w:rsid w:val="6BE7241B"/>
    <w:rsid w:val="6CEF6A2B"/>
    <w:rsid w:val="6D81111B"/>
    <w:rsid w:val="6DE85FD7"/>
    <w:rsid w:val="6E166FE8"/>
    <w:rsid w:val="6E1A4B6F"/>
    <w:rsid w:val="6E5354E0"/>
    <w:rsid w:val="6E612268"/>
    <w:rsid w:val="6FC7611F"/>
    <w:rsid w:val="70C858DB"/>
    <w:rsid w:val="70F829D5"/>
    <w:rsid w:val="7194581F"/>
    <w:rsid w:val="71E73B2D"/>
    <w:rsid w:val="73055389"/>
    <w:rsid w:val="736B3932"/>
    <w:rsid w:val="736C0702"/>
    <w:rsid w:val="73EC25BF"/>
    <w:rsid w:val="74DB737D"/>
    <w:rsid w:val="757FFB23"/>
    <w:rsid w:val="75BA7A8F"/>
    <w:rsid w:val="76982FF6"/>
    <w:rsid w:val="785250C1"/>
    <w:rsid w:val="787F19EA"/>
    <w:rsid w:val="78D67AA0"/>
    <w:rsid w:val="795B3AF3"/>
    <w:rsid w:val="79780B57"/>
    <w:rsid w:val="7981755F"/>
    <w:rsid w:val="7ADB75EF"/>
    <w:rsid w:val="7B570946"/>
    <w:rsid w:val="7D380D29"/>
    <w:rsid w:val="7D71005D"/>
    <w:rsid w:val="7D853AE4"/>
    <w:rsid w:val="7DF32EA2"/>
    <w:rsid w:val="7E7758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0"/>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1"/>
    <w:qFormat/>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rFonts w:ascii="Calibri" w:hAnsi="Calibri"/>
      <w:kern w:val="0"/>
      <w:sz w:val="18"/>
      <w:szCs w:val="18"/>
    </w:rPr>
  </w:style>
  <w:style w:type="paragraph" w:styleId="6">
    <w:name w:val="Body Text"/>
    <w:basedOn w:val="1"/>
    <w:qFormat/>
    <w:uiPriority w:val="0"/>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hAnsi="仿宋_GB2312"/>
      <w:szCs w:val="32"/>
    </w:rPr>
  </w:style>
  <w:style w:type="paragraph" w:styleId="8">
    <w:name w:val="Body Text First Indent 2"/>
    <w:basedOn w:val="7"/>
    <w:next w:val="9"/>
    <w:qFormat/>
    <w:uiPriority w:val="0"/>
    <w:pPr>
      <w:ind w:firstLine="200" w:firstLineChars="200"/>
    </w:pPr>
  </w:style>
  <w:style w:type="paragraph" w:styleId="9">
    <w:name w:val="Plain Text"/>
    <w:basedOn w:val="1"/>
    <w:unhideWhenUsed/>
    <w:qFormat/>
    <w:uiPriority w:val="99"/>
    <w:rPr>
      <w:rFonts w:ascii="宋体" w:hAnsi="Courier New"/>
    </w:rPr>
  </w:style>
  <w:style w:type="paragraph" w:styleId="10">
    <w:name w:val="toc 3"/>
    <w:basedOn w:val="1"/>
    <w:next w:val="1"/>
    <w:qFormat/>
    <w:uiPriority w:val="0"/>
    <w:pPr>
      <w:tabs>
        <w:tab w:val="right" w:leader="dot" w:pos="8296"/>
      </w:tabs>
      <w:ind w:left="400" w:leftChars="400"/>
    </w:pPr>
  </w:style>
  <w:style w:type="paragraph" w:styleId="11">
    <w:name w:val="Balloon Text"/>
    <w:basedOn w:val="1"/>
    <w:qFormat/>
    <w:uiPriority w:val="0"/>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39"/>
    <w:pPr>
      <w:tabs>
        <w:tab w:val="right" w:leader="dot" w:pos="8296"/>
      </w:tabs>
      <w:spacing w:before="93"/>
      <w:jc w:val="center"/>
    </w:pPr>
    <w:rPr>
      <w:rFonts w:ascii="仿宋" w:eastAsia="仿宋"/>
      <w:sz w:val="28"/>
      <w:szCs w:val="28"/>
    </w:rPr>
  </w:style>
  <w:style w:type="paragraph" w:styleId="14">
    <w:name w:val="toc 2"/>
    <w:basedOn w:val="1"/>
    <w:next w:val="1"/>
    <w:qFormat/>
    <w:uiPriority w:val="39"/>
    <w:pPr>
      <w:tabs>
        <w:tab w:val="right" w:leader="dot" w:pos="8296"/>
      </w:tabs>
      <w:ind w:left="200" w:leftChars="200"/>
    </w:pPr>
  </w:style>
  <w:style w:type="paragraph" w:styleId="15">
    <w:name w:val="Normal (Web)"/>
    <w:basedOn w:val="1"/>
    <w:qFormat/>
    <w:uiPriority w:val="99"/>
    <w:pPr>
      <w:spacing w:before="100" w:beforeAutospacing="1" w:after="100" w:afterAutospacing="1"/>
      <w:jc w:val="left"/>
    </w:pPr>
    <w:rPr>
      <w:kern w:val="0"/>
      <w:sz w:val="24"/>
    </w:rPr>
  </w:style>
  <w:style w:type="character" w:styleId="18">
    <w:name w:val="Strong"/>
    <w:basedOn w:val="17"/>
    <w:qFormat/>
    <w:uiPriority w:val="22"/>
    <w:rPr>
      <w:b/>
    </w:rPr>
  </w:style>
  <w:style w:type="character" w:styleId="19">
    <w:name w:val="Hyperlink"/>
    <w:basedOn w:val="17"/>
    <w:qFormat/>
    <w:uiPriority w:val="99"/>
    <w:rPr>
      <w:color w:val="0000FF"/>
      <w:u w:val="single"/>
    </w:rPr>
  </w:style>
  <w:style w:type="character" w:customStyle="1" w:styleId="20">
    <w:name w:val="标题 1 Char"/>
    <w:basedOn w:val="17"/>
    <w:link w:val="3"/>
    <w:uiPriority w:val="0"/>
    <w:rPr>
      <w:rFonts w:ascii="Times New Roman" w:hAnsi="Times New Roman" w:eastAsia="宋体" w:cs="Times New Roman"/>
      <w:b/>
      <w:bCs/>
      <w:kern w:val="44"/>
      <w:sz w:val="44"/>
      <w:szCs w:val="44"/>
      <w:lang w:val="en-US" w:eastAsia="zh-CN" w:bidi="ar-SA"/>
    </w:rPr>
  </w:style>
  <w:style w:type="character" w:customStyle="1" w:styleId="21">
    <w:name w:val="标题 2 Char"/>
    <w:basedOn w:val="17"/>
    <w:link w:val="4"/>
    <w:uiPriority w:val="0"/>
    <w:rPr>
      <w:rFonts w:ascii="Cambria" w:hAnsi="Cambria" w:eastAsia="宋体" w:cs="Times New Roman"/>
      <w:b/>
      <w:bCs/>
      <w:kern w:val="2"/>
      <w:sz w:val="32"/>
      <w:szCs w:val="32"/>
      <w:lang w:val="en-US" w:eastAsia="zh-CN" w:bidi="ar-SA"/>
    </w:rPr>
  </w:style>
  <w:style w:type="paragraph" w:customStyle="1" w:styleId="22">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7"/>
    <w:qFormat/>
    <w:uiPriority w:val="0"/>
    <w:rPr>
      <w:rFonts w:ascii="Times New Roman" w:hAnsi="Times New Roman"/>
      <w:sz w:val="18"/>
      <w:szCs w:val="18"/>
    </w:rPr>
  </w:style>
  <w:style w:type="character" w:customStyle="1" w:styleId="24">
    <w:name w:val="Footer Char"/>
    <w:basedOn w:val="17"/>
    <w:qFormat/>
    <w:uiPriority w:val="0"/>
    <w:rPr>
      <w:rFonts w:ascii="Times New Roman" w:hAnsi="Times New Roman"/>
      <w:sz w:val="18"/>
      <w:szCs w:val="18"/>
    </w:rPr>
  </w:style>
  <w:style w:type="character" w:customStyle="1" w:styleId="25">
    <w:name w:val="Body Text Char"/>
    <w:basedOn w:val="17"/>
    <w:uiPriority w:val="0"/>
    <w:rPr>
      <w:rFonts w:ascii="Times New Roman" w:hAnsi="Times New Roman"/>
      <w:szCs w:val="24"/>
    </w:rPr>
  </w:style>
  <w:style w:type="paragraph" w:customStyle="1" w:styleId="26">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7">
    <w:name w:val="List Paragraph"/>
    <w:basedOn w:val="1"/>
    <w:uiPriority w:val="0"/>
    <w:pPr>
      <w:ind w:firstLine="200" w:firstLineChars="200"/>
    </w:pPr>
  </w:style>
  <w:style w:type="paragraph" w:customStyle="1" w:styleId="28">
    <w:name w:val="TOC 标题1"/>
    <w:basedOn w:val="3"/>
    <w:next w:val="1"/>
    <w:uiPriority w:val="0"/>
    <w:pPr>
      <w:widowControl/>
      <w:spacing w:before="480" w:after="0" w:line="276" w:lineRule="auto"/>
      <w:jc w:val="left"/>
      <w:outlineLvl w:val="9"/>
    </w:pPr>
    <w:rPr>
      <w:rFonts w:ascii="Cambria" w:hAnsi="Cambria"/>
      <w:color w:val="376092"/>
      <w:kern w:val="0"/>
      <w:sz w:val="28"/>
      <w:szCs w:val="28"/>
    </w:rPr>
  </w:style>
  <w:style w:type="paragraph" w:customStyle="1" w:styleId="29">
    <w:name w:val="TOC 标题2"/>
    <w:basedOn w:val="3"/>
    <w:next w:val="1"/>
    <w:uiPriority w:val="0"/>
    <w:pPr>
      <w:widowControl/>
      <w:spacing w:before="480" w:after="0" w:line="276" w:lineRule="auto"/>
      <w:jc w:val="left"/>
      <w:outlineLvl w:val="9"/>
    </w:pPr>
    <w:rPr>
      <w:rFonts w:ascii="Cambria" w:hAnsi="Cambria"/>
      <w:color w:val="376092"/>
      <w:kern w:val="0"/>
      <w:sz w:val="28"/>
      <w:szCs w:val="28"/>
    </w:rPr>
  </w:style>
  <w:style w:type="paragraph" w:customStyle="1" w:styleId="30">
    <w:name w:val="四号正文"/>
    <w:basedOn w:val="1"/>
    <w:qFormat/>
    <w:uiPriority w:val="0"/>
    <w:pPr>
      <w:spacing w:line="360" w:lineRule="auto"/>
    </w:pPr>
    <w:rPr>
      <w:rFonts w:ascii="??" w:hAnsi="??"/>
      <w:color w:val="000000"/>
      <w:kern w:val="0"/>
      <w:sz w:val="28"/>
      <w:szCs w:val="21"/>
      <w:lang w:val="zh-CN"/>
    </w:rPr>
  </w:style>
  <w:style w:type="paragraph" w:customStyle="1" w:styleId="31">
    <w:name w:val="WPSOffice手动目录 1"/>
    <w:qFormat/>
    <w:uiPriority w:val="0"/>
    <w:rPr>
      <w:rFonts w:ascii="Times New Roman" w:hAnsi="Times New Roman" w:eastAsia="宋体" w:cs="Times New Roman"/>
      <w:lang w:val="en-US" w:eastAsia="zh-CN" w:bidi="ar-SA"/>
    </w:rPr>
  </w:style>
  <w:style w:type="paragraph" w:customStyle="1" w:styleId="32">
    <w:name w:val="WPSOffice手动目录 2"/>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7.bin"/></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5.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收入支出上下年对比变动图</a:t>
            </a:r>
          </a:p>
        </c:rich>
      </c:tx>
      <c:layout/>
      <c:overlay val="0"/>
      <c:spPr>
        <a:noFill/>
        <a:ln>
          <a:noFill/>
        </a:ln>
        <a:effectLst/>
      </c:spPr>
    </c:title>
    <c:autoTitleDeleted val="0"/>
    <c:plotArea>
      <c:layout>
        <c:manualLayout>
          <c:layoutTarget val="inner"/>
          <c:xMode val="edge"/>
          <c:yMode val="edge"/>
          <c:x val="0.044575"/>
          <c:y val="0.124333333333333"/>
          <c:w val="0.927925"/>
          <c:h val="0.716566666666667"/>
        </c:manualLayout>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Sheet1!$B$2:$B$3</c:f>
              <c:numCache>
                <c:formatCode>General</c:formatCode>
                <c:ptCount val="2"/>
                <c:pt idx="0">
                  <c:v>1314.12</c:v>
                </c:pt>
                <c:pt idx="1">
                  <c:v>1571.55</c:v>
                </c:pt>
              </c:numCache>
            </c:numRef>
          </c:val>
        </c:ser>
        <c:ser>
          <c:idx val="1"/>
          <c:order val="1"/>
          <c:tx>
            <c:strRef>
              <c:f>Sheet1!$C$1</c:f>
              <c:strCache>
                <c:ptCount val="1"/>
                <c:pt idx="0">
                  <c:v>2022年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Sheet1!$C$2:$C$3</c:f>
              <c:numCache>
                <c:formatCode>General</c:formatCode>
                <c:ptCount val="2"/>
                <c:pt idx="0">
                  <c:v>1318.12</c:v>
                </c:pt>
                <c:pt idx="1">
                  <c:v>1571.55</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36278784"/>
        <c:axId val="136303744"/>
      </c:barChart>
      <c:catAx>
        <c:axId val="13627878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6303744"/>
        <c:crosses val="autoZero"/>
        <c:auto val="1"/>
        <c:lblAlgn val="ctr"/>
        <c:lblOffset val="100"/>
        <c:noMultiLvlLbl val="0"/>
      </c:catAx>
      <c:valAx>
        <c:axId val="13630374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6278784"/>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收入构成图</a:t>
            </a:r>
          </a:p>
        </c:rich>
      </c:tx>
      <c:layout/>
      <c:overlay val="0"/>
      <c:spPr>
        <a:noFill/>
        <a:ln>
          <a:noFill/>
        </a:ln>
        <a:effectLst/>
      </c:spPr>
    </c:title>
    <c:autoTitleDeleted val="0"/>
    <c:plotArea>
      <c:layout/>
      <c:pieChart>
        <c:varyColors val="1"/>
        <c:ser>
          <c:idx val="0"/>
          <c:order val="0"/>
          <c:tx>
            <c:strRef>
              <c:f>Sheet1!$B$1</c:f>
              <c:strCache>
                <c:ptCount val="1"/>
                <c:pt idx="0">
                  <c:v>收入组成情况图</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一般公共预算财政拨款收入</c:v>
                </c:pt>
                <c:pt idx="1">
                  <c:v>其他收入</c:v>
                </c:pt>
              </c:strCache>
            </c:strRef>
          </c:cat>
          <c:val>
            <c:numRef>
              <c:f>Sheet1!$B$2:$B$3</c:f>
              <c:numCache>
                <c:formatCode>General</c:formatCode>
                <c:ptCount val="2"/>
                <c:pt idx="0">
                  <c:v>1551.93</c:v>
                </c:pt>
                <c:pt idx="1">
                  <c:v>19.62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1909375"/>
          <c:y val="0.1455"/>
          <c:w val="0.570625000000001"/>
          <c:h val="0.760833333333334"/>
        </c:manualLayout>
      </c:layout>
      <c:pieChart>
        <c:varyColors val="1"/>
        <c:ser>
          <c:idx val="0"/>
          <c:order val="0"/>
          <c:tx>
            <c:strRef>
              <c:f>Sheet1!$B$1</c:f>
              <c:strCache>
                <c:ptCount val="1"/>
                <c:pt idx="0">
                  <c:v>支出决算结构图</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1421.01</c:v>
                </c:pt>
                <c:pt idx="1">
                  <c:v>150.54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财政拨款收支上下年变动图</a:t>
            </a:r>
          </a:p>
        </c:rich>
      </c:tx>
      <c:layout/>
      <c:overlay val="0"/>
      <c:spPr>
        <a:noFill/>
        <a:ln>
          <a:noFill/>
        </a:ln>
        <a:effectLst/>
      </c:spPr>
    </c:title>
    <c:autoTitleDeleted val="0"/>
    <c:plotArea>
      <c:layout>
        <c:manualLayout>
          <c:layoutTarget val="inner"/>
          <c:xMode val="edge"/>
          <c:yMode val="edge"/>
          <c:x val="0.028575"/>
          <c:y val="0.121666666666667"/>
          <c:w val="0.927925"/>
          <c:h val="0.716566666666667"/>
        </c:manualLayout>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财政拨款收入</c:v>
                </c:pt>
                <c:pt idx="1">
                  <c:v>财政拨款支出</c:v>
                </c:pt>
              </c:strCache>
            </c:strRef>
          </c:cat>
          <c:val>
            <c:numRef>
              <c:f>Sheet1!$B$2:$B$3</c:f>
              <c:numCache>
                <c:formatCode>General</c:formatCode>
                <c:ptCount val="2"/>
                <c:pt idx="0">
                  <c:v>1314.12</c:v>
                </c:pt>
                <c:pt idx="1">
                  <c:v>1318.12</c:v>
                </c:pt>
              </c:numCache>
            </c:numRef>
          </c:val>
        </c:ser>
        <c:ser>
          <c:idx val="1"/>
          <c:order val="1"/>
          <c:tx>
            <c:strRef>
              <c:f>Sheet1!$C$1</c:f>
              <c:strCache>
                <c:ptCount val="1"/>
                <c:pt idx="0">
                  <c:v>2022年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财政拨款收入</c:v>
                </c:pt>
                <c:pt idx="1">
                  <c:v>财政拨款支出</c:v>
                </c:pt>
              </c:strCache>
            </c:strRef>
          </c:cat>
          <c:val>
            <c:numRef>
              <c:f>Sheet1!$C$2:$C$3</c:f>
              <c:numCache>
                <c:formatCode>General</c:formatCode>
                <c:ptCount val="2"/>
                <c:pt idx="0">
                  <c:v>1551.93</c:v>
                </c:pt>
                <c:pt idx="1">
                  <c:v>1571.55</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财政拨款收入</c:v>
                </c:pt>
                <c:pt idx="1">
                  <c:v>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38062464"/>
        <c:axId val="138079232"/>
      </c:barChart>
      <c:catAx>
        <c:axId val="13806246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8079232"/>
        <c:crosses val="autoZero"/>
        <c:auto val="1"/>
        <c:lblAlgn val="ctr"/>
        <c:lblOffset val="100"/>
        <c:noMultiLvlLbl val="0"/>
      </c:catAx>
      <c:valAx>
        <c:axId val="13807923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8062464"/>
        <c:crosses val="autoZero"/>
        <c:crossBetween val="between"/>
      </c:valAx>
      <c:spPr>
        <a:noFill/>
        <a:ln>
          <a:noFill/>
        </a:ln>
        <a:effectLst/>
      </c:spPr>
    </c:plotArea>
    <c:legend>
      <c:legendPos val="b"/>
      <c:legendEntry>
        <c:idx val="2"/>
        <c:delete val="1"/>
      </c:legendEntry>
      <c:layout>
        <c:manualLayout>
          <c:xMode val="edge"/>
          <c:yMode val="edge"/>
          <c:x val="0.3541875"/>
          <c:y val="0.921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一般公共预算财政拨款支出上下年变动图</a:t>
            </a:r>
          </a:p>
        </c:rich>
      </c:tx>
      <c:layout/>
      <c:overlay val="0"/>
      <c:spPr>
        <a:noFill/>
        <a:ln>
          <a:noFill/>
        </a:ln>
        <a:effectLst/>
      </c:spPr>
    </c:title>
    <c:autoTitleDeleted val="0"/>
    <c:plotArea>
      <c:layout>
        <c:manualLayout>
          <c:layoutTarget val="inner"/>
          <c:xMode val="edge"/>
          <c:yMode val="edge"/>
          <c:x val="0.028575"/>
          <c:y val="0.121666666666667"/>
          <c:w val="0.927925"/>
          <c:h val="0.716566666666667"/>
        </c:manualLayout>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Sheet1!$B$2</c:f>
              <c:numCache>
                <c:formatCode>General</c:formatCode>
                <c:ptCount val="1"/>
                <c:pt idx="0">
                  <c:v>1318.12</c:v>
                </c:pt>
              </c:numCache>
            </c:numRef>
          </c:val>
        </c:ser>
        <c:ser>
          <c:idx val="1"/>
          <c:order val="1"/>
          <c:tx>
            <c:strRef>
              <c:f>Sheet1!$C$1</c:f>
              <c:strCache>
                <c:ptCount val="1"/>
                <c:pt idx="0">
                  <c:v>2022年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Sheet1!$C$2</c:f>
              <c:numCache>
                <c:formatCode>General</c:formatCode>
                <c:ptCount val="1"/>
                <c:pt idx="0">
                  <c:v>1551.93</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一般公共预算财政拨款支出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39296768"/>
        <c:axId val="139298688"/>
      </c:barChart>
      <c:catAx>
        <c:axId val="13929676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9298688"/>
        <c:crosses val="autoZero"/>
        <c:auto val="1"/>
        <c:lblAlgn val="ctr"/>
        <c:lblOffset val="100"/>
        <c:noMultiLvlLbl val="0"/>
      </c:catAx>
      <c:valAx>
        <c:axId val="13929868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9296768"/>
        <c:crosses val="autoZero"/>
        <c:crossBetween val="between"/>
      </c:valAx>
      <c:spPr>
        <a:noFill/>
        <a:ln>
          <a:noFill/>
        </a:ln>
        <a:effectLst/>
      </c:spPr>
    </c:plotArea>
    <c:legend>
      <c:legendPos val="b"/>
      <c:legendEntry>
        <c:idx val="2"/>
        <c:delete val="1"/>
      </c:legendEntry>
      <c:layout>
        <c:manualLayout>
          <c:xMode val="edge"/>
          <c:yMode val="edge"/>
          <c:x val="0.3541875"/>
          <c:y val="0.921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一般公共预算财政拨款支出构成图</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1246.21</c:v>
                </c:pt>
                <c:pt idx="1">
                  <c:v>151.39</c:v>
                </c:pt>
                <c:pt idx="2">
                  <c:v>68.41</c:v>
                </c:pt>
                <c:pt idx="3">
                  <c:v>85.92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财政拨款“三公经费”支出构成图</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因公出国</c:v>
                </c:pt>
                <c:pt idx="1">
                  <c:v>公务用车购置及运行维护费支出</c:v>
                </c:pt>
                <c:pt idx="2">
                  <c:v>公务接待</c:v>
                </c:pt>
              </c:strCache>
            </c:strRef>
          </c:cat>
          <c:val>
            <c:numRef>
              <c:f>Sheet1!$B$2:$B$4</c:f>
              <c:numCache>
                <c:formatCode>General</c:formatCode>
                <c:ptCount val="3"/>
                <c:pt idx="0">
                  <c:v>0</c:v>
                </c:pt>
                <c:pt idx="1">
                  <c:v>25.99</c:v>
                </c:pt>
                <c:pt idx="2">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43</Pages>
  <Words>3363</Words>
  <Characters>19170</Characters>
  <Lines>159</Lines>
  <Paragraphs>44</Paragraphs>
  <TotalTime>498</TotalTime>
  <ScaleCrop>false</ScaleCrop>
  <LinksUpToDate>false</LinksUpToDate>
  <CharactersWithSpaces>22489</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2023-10-26T11:12:00Z</dcterms:created>
  <dc:creator>曹颖</dc:creator>
  <cp:lastModifiedBy>ruijie</cp:lastModifiedBy>
  <cp:lastPrinted>2023-10-19T17:34:00Z</cp:lastPrinted>
  <dcterms:modified xsi:type="dcterms:W3CDTF">2025-04-11T12:34:58Z</dcterms:modified>
  <dc:title>四川省***</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EEBB459259A34692A3BE4F4236310D61</vt:lpwstr>
  </property>
</Properties>
</file>