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425"/>
      <w:bookmarkStart w:id="3" w:name="_Toc15396597"/>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476"/>
      <w:bookmarkStart w:id="8" w:name="_Toc15378442"/>
      <w:bookmarkStart w:id="9" w:name="_Toc15377194"/>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红原县民政局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rPr>
          <w:rStyle w:val="17"/>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Style w:val="17"/>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Style w:val="17"/>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rPr>
          <w:rStyle w:val="17"/>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Style w:val="17"/>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Style w:val="17"/>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Style w:val="17"/>
          <w:rFonts w:hint="eastAsia" w:ascii="仿宋" w:hAnsi="仿宋" w:eastAsia="仿宋" w:cstheme="majorBidi"/>
          <w:bCs/>
          <w:sz w:val="28"/>
          <w:szCs w:val="28"/>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"_Toc15396606" </w:instrText>
      </w:r>
      <w:r>
        <w:fldChar w:fldCharType="separate"/>
      </w:r>
      <w:r>
        <w:rPr>
          <w:rFonts w:hint="eastAsia" w:ascii="仿宋" w:hAnsi="仿宋" w:eastAsia="仿宋"/>
          <w:bCs/>
          <w:color w:val="000000"/>
          <w:sz w:val="32"/>
          <w:szCs w:val="32"/>
        </w:rPr>
        <w:t>四、财政拨款收入支出决算总体情况说明</w:t>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"_Toc15396607" </w:instrText>
      </w:r>
      <w:r>
        <w:fldChar w:fldCharType="separate"/>
      </w:r>
      <w:r>
        <w:rPr>
          <w:rFonts w:hint="eastAsia" w:ascii="仿宋" w:hAnsi="仿宋" w:eastAsia="仿宋"/>
          <w:bCs/>
          <w:color w:val="000000"/>
          <w:sz w:val="32"/>
          <w:szCs w:val="32"/>
        </w:rPr>
        <w:t>五、一般公共预算财政拨款支出决算情况说明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"_Toc15396608" </w:instrText>
      </w:r>
      <w:r>
        <w:fldChar w:fldCharType="separate"/>
      </w:r>
      <w:r>
        <w:rPr>
          <w:rFonts w:hint="eastAsia" w:ascii="仿宋" w:hAnsi="仿宋" w:eastAsia="仿宋"/>
          <w:bCs/>
          <w:color w:val="000000"/>
          <w:sz w:val="32"/>
          <w:szCs w:val="32"/>
        </w:rPr>
        <w:t>六、一般公共预算财政拨款基本支出决算情况说明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"_Toc15396609" </w:instrText>
      </w:r>
      <w:r>
        <w:fldChar w:fldCharType="separate"/>
      </w:r>
      <w:r>
        <w:rPr>
          <w:rFonts w:hint="eastAsia" w:ascii="仿宋" w:hAnsi="仿宋" w:eastAsia="仿宋"/>
          <w:bCs/>
          <w:color w:val="000000"/>
          <w:sz w:val="32"/>
          <w:szCs w:val="32"/>
        </w:rPr>
        <w:t>七、“三公”经费财政拨款支出决算情况说明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"_Toc15396610" </w:instrText>
      </w:r>
      <w:r>
        <w:fldChar w:fldCharType="separate"/>
      </w:r>
      <w:r>
        <w:rPr>
          <w:rFonts w:hint="eastAsia" w:ascii="仿宋" w:hAnsi="仿宋" w:eastAsia="仿宋"/>
          <w:bCs/>
          <w:color w:val="000000"/>
          <w:sz w:val="32"/>
          <w:szCs w:val="32"/>
        </w:rPr>
        <w:t>八、政府性基金预算支出决算情况说明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"_Toc15396611" </w:instrText>
      </w:r>
      <w:r>
        <w:fldChar w:fldCharType="separate"/>
      </w:r>
      <w:r>
        <w:rPr>
          <w:rFonts w:hint="eastAsia" w:ascii="仿宋" w:hAnsi="仿宋" w:eastAsia="仿宋"/>
          <w:bCs/>
          <w:color w:val="000000"/>
          <w:sz w:val="32"/>
          <w:szCs w:val="32"/>
        </w:rPr>
        <w:t>九、 国有资本经营预算支出决算情况说明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"_Toc15396612" </w:instrText>
      </w:r>
      <w:r>
        <w:fldChar w:fldCharType="separate"/>
      </w:r>
      <w:r>
        <w:rPr>
          <w:rFonts w:hint="eastAsia" w:ascii="仿宋" w:hAnsi="仿宋" w:eastAsia="仿宋"/>
          <w:bCs/>
          <w:color w:val="000000"/>
          <w:sz w:val="32"/>
          <w:szCs w:val="32"/>
        </w:rPr>
        <w:t>十一、其他重要事项的情况说明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"_Toc15396613" </w:instrText>
      </w:r>
      <w:r>
        <w:fldChar w:fldCharType="separate"/>
      </w:r>
      <w:r>
        <w:rPr>
          <w:rFonts w:hint="eastAsia" w:ascii="仿宋" w:hAnsi="仿宋" w:eastAsia="仿宋"/>
          <w:bCs/>
          <w:color w:val="000000"/>
          <w:sz w:val="32"/>
          <w:szCs w:val="32"/>
        </w:rPr>
        <w:t>第三部分 名词解释</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"_Toc15396614" </w:instrText>
      </w:r>
      <w:r>
        <w:fldChar w:fldCharType="separate"/>
      </w:r>
      <w:r>
        <w:rPr>
          <w:rFonts w:hint="eastAsia" w:ascii="仿宋" w:hAnsi="仿宋" w:eastAsia="仿宋"/>
          <w:bCs/>
          <w:color w:val="000000"/>
          <w:sz w:val="32"/>
          <w:szCs w:val="32"/>
        </w:rPr>
        <w:t>第四部分 附件</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"_Toc15396618" </w:instrText>
      </w:r>
      <w:r>
        <w:fldChar w:fldCharType="separate"/>
      </w:r>
      <w:r>
        <w:rPr>
          <w:rFonts w:hint="eastAsia" w:ascii="仿宋" w:hAnsi="仿宋" w:eastAsia="仿宋"/>
          <w:bCs/>
          <w:color w:val="000000"/>
          <w:sz w:val="32"/>
          <w:szCs w:val="32"/>
        </w:rPr>
        <w:t>第五部分 附表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一、</w:t>
      </w:r>
      <w:r>
        <w:fldChar w:fldCharType="begin"/>
      </w:r>
      <w:r>
        <w:instrText xml:space="preserve"> HYPERLINK \l "_Toc15396619" </w:instrText>
      </w:r>
      <w:r>
        <w:fldChar w:fldCharType="separate"/>
      </w:r>
      <w:r>
        <w:rPr>
          <w:rFonts w:hint="eastAsia" w:ascii="仿宋" w:hAnsi="仿宋" w:eastAsia="仿宋"/>
          <w:bCs/>
          <w:color w:val="000000"/>
          <w:sz w:val="32"/>
          <w:szCs w:val="32"/>
        </w:rPr>
        <w:t>收入支出决算总表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二、</w:t>
      </w:r>
      <w:r>
        <w:fldChar w:fldCharType="begin"/>
      </w:r>
      <w:r>
        <w:instrText xml:space="preserve"> HYPERLINK \l "_Toc15396620" </w:instrText>
      </w:r>
      <w:r>
        <w:fldChar w:fldCharType="separate"/>
      </w:r>
      <w:r>
        <w:rPr>
          <w:rFonts w:hint="eastAsia" w:ascii="仿宋" w:hAnsi="仿宋" w:eastAsia="仿宋"/>
          <w:bCs/>
          <w:color w:val="000000"/>
          <w:sz w:val="32"/>
          <w:szCs w:val="32"/>
        </w:rPr>
        <w:t>收入总表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三、</w:t>
      </w:r>
      <w:r>
        <w:fldChar w:fldCharType="begin"/>
      </w:r>
      <w:r>
        <w:instrText xml:space="preserve"> HYPERLINK \l "_Toc15396621" </w:instrText>
      </w:r>
      <w:r>
        <w:fldChar w:fldCharType="separate"/>
      </w:r>
      <w:r>
        <w:rPr>
          <w:rFonts w:hint="eastAsia" w:ascii="仿宋" w:hAnsi="仿宋" w:eastAsia="仿宋"/>
          <w:bCs/>
          <w:color w:val="000000"/>
          <w:sz w:val="32"/>
          <w:szCs w:val="32"/>
        </w:rPr>
        <w:t>支出总表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四、</w:t>
      </w:r>
      <w:r>
        <w:fldChar w:fldCharType="begin"/>
      </w:r>
      <w:r>
        <w:instrText xml:space="preserve"> HYPERLINK \l "_Toc15396622" </w:instrText>
      </w:r>
      <w:r>
        <w:fldChar w:fldCharType="separate"/>
      </w:r>
      <w:r>
        <w:rPr>
          <w:rFonts w:hint="eastAsia" w:ascii="仿宋" w:hAnsi="仿宋" w:eastAsia="仿宋"/>
          <w:bCs/>
          <w:color w:val="000000"/>
          <w:sz w:val="32"/>
          <w:szCs w:val="32"/>
        </w:rPr>
        <w:t>财政拨款收入支出决算总表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五、</w:t>
      </w:r>
      <w:r>
        <w:fldChar w:fldCharType="begin"/>
      </w:r>
      <w:r>
        <w:instrText xml:space="preserve"> HYPERLINK \l "_Toc15396623" </w:instrText>
      </w:r>
      <w:r>
        <w:fldChar w:fldCharType="separate"/>
      </w:r>
      <w:r>
        <w:rPr>
          <w:rFonts w:hint="eastAsia" w:ascii="仿宋" w:hAnsi="仿宋" w:eastAsia="仿宋"/>
          <w:bCs/>
          <w:color w:val="000000"/>
          <w:sz w:val="32"/>
          <w:szCs w:val="32"/>
        </w:rPr>
        <w:t>财政拨款支出决算明细表（政府经济分类科目）</w:t>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六、</w:t>
      </w:r>
      <w:r>
        <w:fldChar w:fldCharType="begin"/>
      </w:r>
      <w:r>
        <w:instrText xml:space="preserve"> HYPERLINK \l "_Toc15396624" </w:instrText>
      </w:r>
      <w:r>
        <w:fldChar w:fldCharType="separate"/>
      </w:r>
      <w:r>
        <w:rPr>
          <w:rFonts w:hint="eastAsia" w:ascii="仿宋" w:hAnsi="仿宋" w:eastAsia="仿宋"/>
          <w:bCs/>
          <w:color w:val="000000"/>
          <w:sz w:val="32"/>
          <w:szCs w:val="32"/>
        </w:rPr>
        <w:t>一般公共预算财政拨款支出决算表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七、</w:t>
      </w:r>
      <w:r>
        <w:fldChar w:fldCharType="begin"/>
      </w:r>
      <w:r>
        <w:instrText xml:space="preserve"> HYPERLINK \l "_Toc15396625" </w:instrText>
      </w:r>
      <w:r>
        <w:fldChar w:fldCharType="separate"/>
      </w:r>
      <w:r>
        <w:rPr>
          <w:rFonts w:hint="eastAsia" w:ascii="仿宋" w:hAnsi="仿宋" w:eastAsia="仿宋"/>
          <w:bCs/>
          <w:color w:val="000000"/>
          <w:sz w:val="32"/>
          <w:szCs w:val="32"/>
        </w:rPr>
        <w:t>一般公共预算财政拨款支出决算明细表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八、</w:t>
      </w:r>
      <w:r>
        <w:fldChar w:fldCharType="begin"/>
      </w:r>
      <w:r>
        <w:instrText xml:space="preserve"> HYPERLINK \l "_Toc15396626" </w:instrText>
      </w:r>
      <w:r>
        <w:fldChar w:fldCharType="separate"/>
      </w:r>
      <w:r>
        <w:rPr>
          <w:rFonts w:hint="eastAsia" w:ascii="仿宋" w:hAnsi="仿宋" w:eastAsia="仿宋"/>
          <w:bCs/>
          <w:color w:val="000000"/>
          <w:sz w:val="32"/>
          <w:szCs w:val="32"/>
        </w:rPr>
        <w:t>一般公共预算财政拨款基本支出决算表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九、</w:t>
      </w:r>
      <w:r>
        <w:fldChar w:fldCharType="begin"/>
      </w:r>
      <w:r>
        <w:instrText xml:space="preserve"> HYPERLINK \l "_Toc15396627" </w:instrText>
      </w:r>
      <w:r>
        <w:fldChar w:fldCharType="separate"/>
      </w:r>
      <w:r>
        <w:rPr>
          <w:rFonts w:hint="eastAsia" w:ascii="仿宋" w:hAnsi="仿宋" w:eastAsia="仿宋"/>
          <w:bCs/>
          <w:color w:val="000000"/>
          <w:sz w:val="32"/>
          <w:szCs w:val="32"/>
        </w:rPr>
        <w:t>一般公共预算财政拨款项目支出决算表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十、</w:t>
      </w:r>
      <w:r>
        <w:fldChar w:fldCharType="begin"/>
      </w:r>
      <w:r>
        <w:instrText xml:space="preserve"> HYPERLINK \l "_Toc15396628" </w:instrText>
      </w:r>
      <w:r>
        <w:fldChar w:fldCharType="separate"/>
      </w:r>
      <w:r>
        <w:rPr>
          <w:rFonts w:hint="eastAsia" w:ascii="仿宋" w:hAnsi="仿宋" w:eastAsia="仿宋"/>
          <w:bCs/>
          <w:color w:val="000000"/>
          <w:sz w:val="32"/>
          <w:szCs w:val="32"/>
        </w:rPr>
        <w:t>一般公共预算财政拨款“三公”经费支出决算表</w:t>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十一、</w:t>
      </w:r>
      <w:r>
        <w:fldChar w:fldCharType="begin"/>
      </w:r>
      <w:r>
        <w:instrText xml:space="preserve"> HYPERLINK \l "_Toc15396629" </w:instrText>
      </w:r>
      <w:r>
        <w:fldChar w:fldCharType="separate"/>
      </w:r>
      <w:r>
        <w:rPr>
          <w:rFonts w:hint="eastAsia" w:ascii="仿宋" w:hAnsi="仿宋" w:eastAsia="仿宋"/>
          <w:bCs/>
          <w:color w:val="000000"/>
          <w:sz w:val="32"/>
          <w:szCs w:val="32"/>
        </w:rPr>
        <w:t>政府性基金预算财政拨款收入支出决算表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十二、</w:t>
      </w:r>
      <w:r>
        <w:fldChar w:fldCharType="begin"/>
      </w:r>
      <w:r>
        <w:instrText xml:space="preserve"> HYPERLINK \l "_Toc15396630" </w:instrText>
      </w:r>
      <w:r>
        <w:fldChar w:fldCharType="separate"/>
      </w:r>
      <w:r>
        <w:rPr>
          <w:rFonts w:hint="eastAsia" w:ascii="仿宋" w:hAnsi="仿宋" w:eastAsia="仿宋"/>
          <w:bCs/>
          <w:color w:val="000000"/>
          <w:sz w:val="32"/>
          <w:szCs w:val="32"/>
        </w:rPr>
        <w:t>政府性基金预算财政拨款“三公”经费支出决算表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hint="eastAsia" w:ascii="仿宋" w:hAnsi="仿宋" w:eastAsia="仿宋"/>
          <w:bCs/>
          <w:color w:val="000000"/>
          <w:sz w:val="32"/>
          <w:szCs w:val="32"/>
        </w:rPr>
      </w:pPr>
      <w:r>
        <w:rPr>
          <w:rFonts w:hint="eastAsia" w:ascii="仿宋" w:hAnsi="仿宋" w:eastAsia="仿宋"/>
          <w:bCs/>
          <w:color w:val="000000"/>
          <w:sz w:val="32"/>
          <w:szCs w:val="32"/>
        </w:rPr>
        <w:t>十三、</w:t>
      </w:r>
      <w:r>
        <w:fldChar w:fldCharType="begin"/>
      </w:r>
      <w:r>
        <w:instrText xml:space="preserve"> HYPERLINK \l "_Toc15396631" </w:instrText>
      </w:r>
      <w:r>
        <w:fldChar w:fldCharType="separate"/>
      </w:r>
      <w:r>
        <w:rPr>
          <w:rFonts w:hint="eastAsia" w:ascii="仿宋" w:hAnsi="仿宋" w:eastAsia="仿宋"/>
          <w:bCs/>
          <w:color w:val="000000"/>
          <w:sz w:val="32"/>
          <w:szCs w:val="32"/>
        </w:rPr>
        <w:t>国有资本经营预算支出决算表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p>
      <w:pPr>
        <w:ind w:firstLine="640"/>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十五、项目支出绩效评价打分表</w:t>
      </w:r>
    </w:p>
    <w:p>
      <w:pPr>
        <w:ind w:firstLine="640" w:firstLineChars="200"/>
        <w:jc w:val="left"/>
        <w:rPr>
          <w:rFonts w:hint="eastAsia" w:ascii="仿宋" w:hAnsi="仿宋" w:eastAsia="仿宋"/>
          <w:bCs/>
          <w:color w:val="000000"/>
          <w:sz w:val="32"/>
          <w:szCs w:val="32"/>
        </w:rPr>
      </w:pP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ind w:firstLine="640" w:firstLineChars="200"/>
        <w:jc w:val="left"/>
        <w:rPr>
          <w:rFonts w:ascii="仿宋_GB2312" w:hAnsi="仿宋_GB2312" w:eastAsia="仿宋_GB2312" w:cs="仿宋_GB2312"/>
          <w:kern w:val="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r>
        <w:rPr>
          <w:rFonts w:hint="eastAsia" w:ascii="仿宋" w:hAnsi="仿宋" w:eastAsia="仿宋"/>
          <w:bCs/>
          <w:color w:val="000000"/>
          <w:sz w:val="32"/>
          <w:szCs w:val="32"/>
        </w:rPr>
        <w:t>：</w:t>
      </w:r>
      <w:r>
        <w:rPr>
          <w:rFonts w:hint="eastAsia" w:ascii="仿宋_GB2312" w:hAnsi="仿宋_GB2312" w:eastAsia="仿宋_GB2312" w:cs="仿宋_GB2312"/>
          <w:kern w:val="0"/>
          <w:sz w:val="32"/>
          <w:szCs w:val="32"/>
        </w:rPr>
        <w:t>贯彻落实国家关于民政事业方面的法律、法规、规章和政策，起草先关地方性法规草案、政府规章草案，并组织实施，拟定民政事业中长期发展规划和政策，并监督实施。</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snapToGrid w:val="0"/>
        <w:spacing w:line="520" w:lineRule="exact"/>
        <w:ind w:firstLine="640" w:firstLineChars="200"/>
        <w:rPr>
          <w:rFonts w:ascii="仿宋_GB2312" w:hAnsi="仿宋_GB2312" w:eastAsia="仿宋_GB2312" w:cs="仿宋_GB2312"/>
          <w:kern w:val="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r>
        <w:rPr>
          <w:rFonts w:hint="eastAsia" w:ascii="仿宋_GB2312" w:hAnsi="仿宋_GB2312" w:eastAsia="仿宋_GB2312" w:cs="仿宋_GB2312"/>
          <w:kern w:val="0"/>
          <w:sz w:val="32"/>
          <w:szCs w:val="32"/>
        </w:rPr>
        <w:t>（1）规范管理，强化服务，社会救助工作有序运行</w:t>
      </w:r>
    </w:p>
    <w:p>
      <w:pPr>
        <w:widowControl/>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为切实保障困难群众基本生活，准确掌握低保对象基本信息，规范低保制度实施，有效发挥兜底保障作用，确保低保对象精准、数据精确，实现精准扶贫、精准脱贫目标任务，我县对新申请低保家庭进行入户调查核实，不断加强城乡低保制度建设和管理机制建设，已初步形成“政府主导、民政主管、部门配合、社会参与”的工作格，实现了动态管理下的应保尽保、分类施保和低保金社会化发放。二是我县“城乡统筹、标准统一、类别齐全”的城乡医疗救助制度全面建立，三是全县纳入农村五保集中供养51人。</w:t>
      </w:r>
    </w:p>
    <w:p>
      <w:pPr>
        <w:spacing w:line="576"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（3）保障民权，维护民利，社会福利事务工作扎实推进</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对普查确定的22名孤儿，并定期了解孤儿学习生活情况。二是区划地名工作扎实开展。及时启动了第二次全国地名普查工作，成立相应的组织机构，抽调专人参加了全州地名普查工作培训，并与州民政局通过政府采购中标公司对乡镇人民政府、成员单位分管领导及民政助理员、成员单位联络员进行了地名普查业务培训，并积极准备前期工作。完成了边界年检任务。三是为了更好发挥福利设施作用，促进社会化养老服务体系建设，依照国务院《农村五保供养工作条例》、民政部《农村敬老院管理暂行办法》和《四川省&lt;农村五保供养工作条列&gt;实施办法》，按照“生活设施标准化、院容院貌田园化、内务管理宾馆化”的办院目标，对福利院管理进行委托服务，营造了良好的社会服务效果，降低了用工风险，减轻了财政压力，提高了服务效率。</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（4）健全机制，完善制度，基层民主管理显著提高</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积极开展村务公开和民主管理示范创建活动，不断规范村务公开和民主管理制度化、规范化。制定了村务公开检查制度，同县纪委、县委组织部一道定期对村务公开进行检查指导。二是为进一步加强社会管理创新，推进基层民主法制建设，维护农村社会和谐稳定，树立积极向上的村风民风，促进社会主义新农村建设，按照《村民委员会组织法》规定，积极指导村（居）委会对原有的村规民约（居民公约）进行修订完善；为及时掌握换届选举不稳定因素，对第十届村委会换届选举情况进行了摸底调查，切实要求乡镇加强村务公开工作。</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（5）落实政策，维护稳定，优抚双拥工作稳步推进</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及时兑现了73名优抚人员生活补助157.83万元，并对全县农村籍退役士兵及年满60周岁部分烈士子女的相关资料进行了收集，在全国联网优抚系统里面进行了录入和扫描，及时、准确的掌握了优抚对象的生活状况、思想状态，有效维护优抚群众的基本稳定。二是积极开展元旦、春节、建军节期间双拥慰问活动，投入慰问金5万元，巩固了省双拥先进县创建成果，增进“同呼吸、共命运、心连心”的军政军民关系。三是对全县退役军人进行摸底调查，建立退役军人台帐，落实针对性困难优抚对象帮扶措施，</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（6）健全机制，完善体系，老龄工作持续健康发展</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一是广泛开展“尊老、敬老、助老、优老”的宣传教育活动，大力营造良好氛围，；二是积极为全县困难失能老年人和80岁以上居家老人提供居家养老服务工作。</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（7）强化宣传，提升素质，民政依法依规工作有章可循</w:t>
      </w:r>
    </w:p>
    <w:p>
      <w:pPr>
        <w:spacing w:line="576"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为了适应新时期民政工作要求，</w:t>
      </w:r>
      <w:r>
        <w:rPr>
          <w:rFonts w:hint="eastAsia" w:ascii="仿宋_GB2312" w:hAnsi="仿宋_GB2312" w:eastAsia="仿宋_GB2312" w:cs="仿宋_GB2312"/>
          <w:kern w:val="0"/>
          <w:sz w:val="32"/>
          <w:szCs w:val="32"/>
          <w:lang w:eastAsia="zh-CN"/>
        </w:rPr>
        <w:t>红原</w:t>
      </w:r>
      <w:r>
        <w:rPr>
          <w:rFonts w:hint="eastAsia" w:ascii="仿宋_GB2312" w:hAnsi="仿宋_GB2312" w:eastAsia="仿宋_GB2312" w:cs="仿宋_GB2312"/>
          <w:kern w:val="0"/>
          <w:sz w:val="32"/>
          <w:szCs w:val="32"/>
        </w:rPr>
        <w:t>县高度重视民政和扶贫移民政策法规的学习宣传。一是为切实提升我县民政干部业务工作能力和综合素质，强化服务意识，提高工作效能，促进民政工作科学发展，在局机关开办“业务知识专题讲座”， 按照“缺什么补什么、干什么学什么”的原则，各股室负责人轮流上台进行业务授课，不断提升干部职工综合素质和工作能力。二是编辑、及时、准确、全面地反映了我县民政工作动态。三是利用第七个“防灾减灾日”及助残、安全生产等活动，通过张贴标语、悬挂横幅、发放宣传资料等方式，大力宣传民政政策法规，把法制宣传、严格执法、规范执法行为作为全面提高民政法制建设水平的重要内容，积极推进依法治县工作，各项活动宣传民政政策法规累计悬挂横幅20余条，制作宣传标语60余条，发放宣传资料4000余份，解答群众咨询10000余人次。</w:t>
      </w:r>
    </w:p>
    <w:p>
      <w:pPr>
        <w:spacing w:line="576"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（8）狠抓作风，强化纪律，廉洁自律意识不断增强</w:t>
      </w:r>
    </w:p>
    <w:p>
      <w:pPr>
        <w:pStyle w:val="5"/>
        <w:adjustRightInd w:val="0"/>
        <w:snapToGrid w:val="0"/>
        <w:spacing w:before="93" w:line="560" w:lineRule="exact"/>
        <w:ind w:firstLine="672" w:firstLineChars="210"/>
        <w:rPr>
          <w:rFonts w:ascii="宋体" w:hAnsi="宋体" w:eastAsia="宋体" w:cs="宋体"/>
          <w:b/>
          <w:bCs/>
          <w:sz w:val="32"/>
          <w:szCs w:val="32"/>
        </w:rPr>
      </w:pPr>
      <w:r>
        <w:rPr>
          <w:rFonts w:hint="eastAsia" w:hAnsi="仿宋_GB2312" w:cs="仿宋_GB2312"/>
          <w:sz w:val="32"/>
          <w:szCs w:val="32"/>
        </w:rPr>
        <w:t>一是为深入贯彻落实中央八项规定，进一步加强民政局干部职工纪律作风建设、提高工作执行力，全力保障民政工作任务落到实处，树立民政新形象，经局党组研究决定，在全县民政系统开展了严肃工作纪律整顿工作作风活动，通过集中开展整顿活动，促使全县民政系统干部职工作风明显好转、效能明显提升，干部队伍的思想政治素质得到提高、纪律观念得到强化、执纪执法意识得到增强，工作作风切实改进，服务群众、服务民政事业科学发展的能力和水平不断提升。二是以“夯实组织基础、发挥模范作用、促进科学发展”为主线，以“为民服务、为民解困”为目标，以 2018年民政党风廉政建设工作要点为手段，把“创铸树”活动与主责主业紧密结合，统筹推进全县民政系统党风廉政建设重点工作和纪检监察业务工作，迄今为止，未发生一例民政干部违纪违规事项，为营造良好政治生态提供坚强纪律保障。</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p>
    <w:p>
      <w:pPr>
        <w:pStyle w:val="3"/>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我单位为独立核算全额拨款行政（参公或行政或事业）单位，下设0机构。截止2018年底我单位共有编制38个，其中公务员编制7个，行政工勤编制1个，事业编制30个，在职36人，其中参公0人，公务员9人，事业编制27人。</w:t>
      </w:r>
    </w:p>
    <w:p>
      <w:pPr>
        <w:pStyle w:val="2"/>
        <w:ind w:right="440"/>
        <w:jc w:val="right"/>
        <w:rPr>
          <w:rStyle w:val="26"/>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2018年度收入总计2018.75万元，支总计</w:t>
      </w:r>
      <w:r>
        <w:rPr>
          <w:rFonts w:hint="eastAsia" w:ascii="仿宋_GB2312" w:hAnsi="仿宋_GB2312" w:eastAsia="仿宋_GB2312" w:cs="仿宋_GB2312"/>
          <w:color w:val="000000"/>
          <w:sz w:val="32"/>
          <w:szCs w:val="32"/>
        </w:rPr>
        <w:t>2058.6504</w:t>
      </w:r>
      <w:r>
        <w:rPr>
          <w:rFonts w:hint="eastAsia" w:ascii="仿宋" w:hAnsi="仿宋" w:eastAsia="仿宋"/>
          <w:color w:val="000000"/>
          <w:sz w:val="32"/>
          <w:szCs w:val="32"/>
        </w:rPr>
        <w:t>万元。与2017年相比，收入总计增加238.83万元，增长</w:t>
      </w:r>
      <w:r>
        <w:rPr>
          <w:rFonts w:hint="eastAsia" w:ascii="仿宋_GB2312" w:hAnsi="仿宋_GB2312" w:eastAsia="仿宋_GB2312" w:cs="仿宋_GB2312"/>
          <w:color w:val="000000"/>
          <w:sz w:val="32"/>
          <w:szCs w:val="32"/>
        </w:rPr>
        <w:t>11.8</w:t>
      </w:r>
      <w:r>
        <w:rPr>
          <w:rFonts w:ascii="仿宋" w:hAnsi="仿宋" w:eastAsia="仿宋"/>
          <w:color w:val="000000"/>
          <w:sz w:val="32"/>
          <w:szCs w:val="32"/>
        </w:rPr>
        <w:t>%</w:t>
      </w:r>
      <w:r>
        <w:rPr>
          <w:rFonts w:hint="eastAsia" w:ascii="仿宋" w:hAnsi="仿宋" w:eastAsia="仿宋"/>
          <w:color w:val="000000"/>
          <w:sz w:val="32"/>
          <w:szCs w:val="32"/>
        </w:rPr>
        <w:t>。支总计增加778.23万元，增长</w:t>
      </w:r>
      <w:r>
        <w:rPr>
          <w:rFonts w:hint="eastAsia" w:ascii="仿宋_GB2312" w:hAnsi="仿宋_GB2312" w:eastAsia="仿宋_GB2312" w:cs="仿宋_GB2312"/>
          <w:color w:val="000000"/>
          <w:sz w:val="32"/>
          <w:szCs w:val="32"/>
        </w:rPr>
        <w:t>37.8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人员和项目增加（项目主要为烈士陵园维修改造和自然灾害救灾）。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200025</wp:posOffset>
            </wp:positionH>
            <wp:positionV relativeFrom="paragraph">
              <wp:posOffset>148590</wp:posOffset>
            </wp:positionV>
            <wp:extent cx="4405630" cy="2652395"/>
            <wp:effectExtent l="0" t="0" r="13970" b="1460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405630" cy="2652395"/>
                    </a:xfrm>
                    <a:prstGeom prst="rect">
                      <a:avLst/>
                    </a:prstGeom>
                    <a:noFill/>
                    <a:ln>
                      <a:noFill/>
                    </a:ln>
                  </pic:spPr>
                </pic:pic>
              </a:graphicData>
            </a:graphic>
          </wp:anchor>
        </w:drawing>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8年本年收入合计2018.75万元，其中：一般公共预算财政拨款收入1940.95万元，占96</w:t>
      </w:r>
      <w:r>
        <w:rPr>
          <w:rFonts w:ascii="仿宋" w:hAnsi="仿宋" w:eastAsia="仿宋"/>
          <w:color w:val="000000"/>
          <w:sz w:val="32"/>
          <w:szCs w:val="32"/>
        </w:rPr>
        <w:t>%</w:t>
      </w:r>
      <w:r>
        <w:rPr>
          <w:rFonts w:hint="eastAsia" w:ascii="仿宋" w:hAnsi="仿宋" w:eastAsia="仿宋"/>
          <w:color w:val="000000"/>
          <w:sz w:val="32"/>
          <w:szCs w:val="32"/>
        </w:rPr>
        <w:t>；政府性基金预算财政拨款收入76.5万元，占3.9</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；其他收入1.3万元，占0.1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323850</wp:posOffset>
            </wp:positionH>
            <wp:positionV relativeFrom="paragraph">
              <wp:posOffset>285750</wp:posOffset>
            </wp:positionV>
            <wp:extent cx="4262755" cy="2770505"/>
            <wp:effectExtent l="0" t="0" r="4445" b="1079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262755" cy="2770505"/>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5"/>
        <w:numPr>
          <w:ilvl w:val="0"/>
          <w:numId w:val="1"/>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8年本年支出合计2058.65万元，其中：基本支出653.14万元，占31.7</w:t>
      </w:r>
      <w:r>
        <w:rPr>
          <w:rFonts w:ascii="仿宋" w:hAnsi="仿宋" w:eastAsia="仿宋"/>
          <w:color w:val="000000"/>
          <w:sz w:val="32"/>
          <w:szCs w:val="32"/>
        </w:rPr>
        <w:t>%</w:t>
      </w:r>
      <w:r>
        <w:rPr>
          <w:rFonts w:hint="eastAsia" w:ascii="仿宋" w:hAnsi="仿宋" w:eastAsia="仿宋"/>
          <w:color w:val="000000"/>
          <w:sz w:val="32"/>
          <w:szCs w:val="32"/>
        </w:rPr>
        <w:t>；项目支出1405.51万元，占68.3</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76200</wp:posOffset>
            </wp:positionH>
            <wp:positionV relativeFrom="paragraph">
              <wp:posOffset>133350</wp:posOffset>
            </wp:positionV>
            <wp:extent cx="4596130" cy="2987040"/>
            <wp:effectExtent l="0" t="0" r="13970" b="381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596130" cy="2987040"/>
                    </a:xfrm>
                    <a:prstGeom prst="rect">
                      <a:avLst/>
                    </a:prstGeom>
                    <a:noFill/>
                    <a:ln>
                      <a:noFill/>
                    </a:ln>
                  </pic:spPr>
                </pic:pic>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30" w:name="_Toc15396606"/>
      <w:bookmarkStart w:id="31" w:name="_Toc15377208"/>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rPr>
          <w:rFonts w:ascii="仿宋_GB2312" w:hAnsi="仿宋_GB2312" w:eastAsia="仿宋_GB2312" w:cs="仿宋_GB2312"/>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8年财政拨款收入总计</w:t>
      </w:r>
      <w:r>
        <w:rPr>
          <w:rFonts w:ascii="仿宋" w:hAnsi="仿宋" w:eastAsia="仿宋"/>
          <w:color w:val="000000"/>
          <w:sz w:val="32"/>
          <w:szCs w:val="32"/>
        </w:rPr>
        <w:t>2018.75</w:t>
      </w:r>
      <w:r>
        <w:rPr>
          <w:rFonts w:hint="eastAsia" w:ascii="仿宋" w:hAnsi="仿宋" w:eastAsia="仿宋"/>
          <w:color w:val="000000"/>
          <w:sz w:val="32"/>
          <w:szCs w:val="32"/>
        </w:rPr>
        <w:t>万元，支总计2058.65万元。与</w:t>
      </w:r>
      <w:r>
        <w:rPr>
          <w:rFonts w:ascii="仿宋" w:hAnsi="仿宋" w:eastAsia="仿宋"/>
          <w:color w:val="000000"/>
          <w:sz w:val="32"/>
          <w:szCs w:val="32"/>
        </w:rPr>
        <w:t>201</w:t>
      </w:r>
      <w:r>
        <w:rPr>
          <w:rFonts w:hint="eastAsia" w:ascii="仿宋" w:hAnsi="仿宋" w:eastAsia="仿宋"/>
          <w:color w:val="000000"/>
          <w:sz w:val="32"/>
          <w:szCs w:val="32"/>
        </w:rPr>
        <w:t>7年相比，收入总计增加238.83万元，增长</w:t>
      </w:r>
      <w:r>
        <w:rPr>
          <w:rFonts w:hint="eastAsia" w:ascii="仿宋_GB2312" w:hAnsi="仿宋_GB2312" w:eastAsia="仿宋_GB2312" w:cs="仿宋_GB2312"/>
          <w:color w:val="000000"/>
          <w:sz w:val="32"/>
          <w:szCs w:val="32"/>
        </w:rPr>
        <w:t>11.8</w:t>
      </w:r>
      <w:r>
        <w:rPr>
          <w:rFonts w:ascii="仿宋" w:hAnsi="仿宋" w:eastAsia="仿宋"/>
          <w:color w:val="000000"/>
          <w:sz w:val="32"/>
          <w:szCs w:val="32"/>
        </w:rPr>
        <w:t>%</w:t>
      </w:r>
      <w:r>
        <w:rPr>
          <w:rFonts w:hint="eastAsia" w:ascii="仿宋" w:hAnsi="仿宋" w:eastAsia="仿宋"/>
          <w:color w:val="000000"/>
          <w:sz w:val="32"/>
          <w:szCs w:val="32"/>
        </w:rPr>
        <w:t>。支总计增加778.23万元，增长</w:t>
      </w:r>
      <w:r>
        <w:rPr>
          <w:rFonts w:hint="eastAsia" w:ascii="仿宋_GB2312" w:hAnsi="仿宋_GB2312" w:eastAsia="仿宋_GB2312" w:cs="仿宋_GB2312"/>
          <w:color w:val="000000"/>
          <w:sz w:val="32"/>
          <w:szCs w:val="32"/>
        </w:rPr>
        <w:t>37.8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人员和项目增加（项目主要为烈士陵园维修改造和自然灾害救灾）</w:t>
      </w:r>
    </w:p>
    <w:p>
      <w:pPr>
        <w:spacing w:line="600" w:lineRule="exact"/>
        <w:ind w:firstLine="420" w:firstLineChars="20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180975</wp:posOffset>
            </wp:positionH>
            <wp:positionV relativeFrom="paragraph">
              <wp:posOffset>1270635</wp:posOffset>
            </wp:positionV>
            <wp:extent cx="4581525" cy="2752725"/>
            <wp:effectExtent l="0" t="0" r="9525" b="9525"/>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4581525" cy="2752725"/>
                    </a:xfrm>
                    <a:prstGeom prst="rect">
                      <a:avLst/>
                    </a:prstGeom>
                    <a:noFill/>
                    <a:ln>
                      <a:noFill/>
                    </a:ln>
                  </pic:spPr>
                </pic:pic>
              </a:graphicData>
            </a:graphic>
          </wp:anchor>
        </w:drawing>
      </w: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2018年一般公共预算财政拨款支出1957.11万元，占本年支出合计的95%。与2017年相比，一般公共预算财政拨款增加676.7万元，增长34%。主要变动原因是人员和项目增加(项目有烈士陵园维修改造和自然灾害救灾资金）</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（图5：一般公共预算财政拨款支出决算变动情况）（柱状图）</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drawing>
          <wp:anchor distT="0" distB="0" distL="114300" distR="114300" simplePos="0" relativeHeight="251664384" behindDoc="0" locked="0" layoutInCell="1" allowOverlap="1">
            <wp:simplePos x="0" y="0"/>
            <wp:positionH relativeFrom="column">
              <wp:posOffset>352425</wp:posOffset>
            </wp:positionH>
            <wp:positionV relativeFrom="paragraph">
              <wp:posOffset>111125</wp:posOffset>
            </wp:positionV>
            <wp:extent cx="4581525" cy="2752725"/>
            <wp:effectExtent l="0" t="0" r="9525" b="9525"/>
            <wp:wrapSquare wrapText="bothSides"/>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0"/>
                    <a:stretch>
                      <a:fillRect/>
                    </a:stretch>
                  </pic:blipFill>
                  <pic:spPr>
                    <a:xfrm>
                      <a:off x="0" y="0"/>
                      <a:ext cx="4581525" cy="2752725"/>
                    </a:xfrm>
                    <a:prstGeom prst="rect">
                      <a:avLst/>
                    </a:prstGeom>
                    <a:noFill/>
                    <a:ln>
                      <a:noFill/>
                    </a:ln>
                  </pic:spPr>
                </pic:pic>
              </a:graphicData>
            </a:graphic>
          </wp:anchor>
        </w:drawing>
      </w: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bookmarkStart w:id="35" w:name="_Toc15377211"/>
      <w:r>
        <w:rPr>
          <w:rStyle w:val="15"/>
          <w:rFonts w:hint="eastAsia" w:ascii="仿宋" w:hAnsi="仿宋" w:eastAsia="仿宋"/>
          <w:bCs/>
          <w:color w:val="000000"/>
          <w:sz w:val="32"/>
          <w:szCs w:val="32"/>
          <w:lang w:val="en-US" w:eastAsia="zh-CN"/>
        </w:rPr>
        <w:t>（（二）一般公共预算财政拨款支出决算结构情况</w:t>
      </w:r>
      <w:bookmarkEnd w:id="35"/>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2018年一般公共预算财政拨款支出1957.11万元，主要用于以下方面:一般公共服务支出59.6万元，占3.1%,完成预算100%，社会保障和就业支出1752.93万元，占89.5%,完成预算100%，医疗卫生支出30.75万元，占1.5%,完成预算100%，住房保障支出38.41万元，占1.96%；完成预算100%，其他支出福彩公益金75.42万元，占3.94%,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drawing>
          <wp:anchor distT="0" distB="0" distL="114300" distR="114300" simplePos="0" relativeHeight="251662336" behindDoc="0" locked="0" layoutInCell="1" allowOverlap="1">
            <wp:simplePos x="0" y="0"/>
            <wp:positionH relativeFrom="column">
              <wp:posOffset>-114300</wp:posOffset>
            </wp:positionH>
            <wp:positionV relativeFrom="paragraph">
              <wp:posOffset>809625</wp:posOffset>
            </wp:positionV>
            <wp:extent cx="4945380" cy="3448050"/>
            <wp:effectExtent l="19050" t="0" r="762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4945380" cy="3448050"/>
                    </a:xfrm>
                    <a:prstGeom prst="rect">
                      <a:avLst/>
                    </a:prstGeom>
                    <a:noFill/>
                    <a:ln>
                      <a:noFill/>
                    </a:ln>
                  </pic:spPr>
                </pic:pic>
              </a:graphicData>
            </a:graphic>
          </wp:anchor>
        </w:drawing>
      </w:r>
      <w:r>
        <w:rPr>
          <w:rStyle w:val="15"/>
          <w:rFonts w:hint="eastAsia" w:ascii="仿宋" w:hAnsi="仿宋" w:eastAsia="仿宋"/>
          <w:bCs/>
          <w:color w:val="000000"/>
          <w:sz w:val="32"/>
          <w:szCs w:val="32"/>
          <w:lang w:val="en-US" w:eastAsia="zh-CN"/>
        </w:rPr>
        <w:t>（图6：一般公共预算财政拨款支出决算结构）（饼状图）</w:t>
      </w: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bookmarkStart w:id="36" w:name="_Toc15377212"/>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(三）一般公共预算财政拨款支出决算具体情况</w:t>
      </w:r>
      <w:bookmarkEnd w:id="36"/>
    </w:p>
    <w:p>
      <w:pPr>
        <w:spacing w:line="600" w:lineRule="exact"/>
        <w:ind w:firstLine="643" w:firstLineChars="200"/>
        <w:rPr>
          <w:rStyle w:val="15"/>
          <w:rFonts w:hint="eastAsia" w:ascii="仿宋" w:hAnsi="仿宋" w:eastAsia="仿宋"/>
          <w:bCs/>
          <w:color w:val="000000"/>
          <w:sz w:val="32"/>
          <w:szCs w:val="32"/>
          <w:lang w:val="en-US" w:eastAsia="zh-CN"/>
        </w:rPr>
      </w:pPr>
      <w:bookmarkStart w:id="37" w:name="_Toc15377213"/>
      <w:bookmarkStart w:id="38" w:name="_Toc15377444"/>
      <w:bookmarkStart w:id="39" w:name="_Toc15378460"/>
      <w:r>
        <w:rPr>
          <w:rStyle w:val="15"/>
          <w:rFonts w:hint="eastAsia" w:ascii="仿宋" w:hAnsi="仿宋" w:eastAsia="仿宋"/>
          <w:bCs/>
          <w:color w:val="000000"/>
          <w:sz w:val="32"/>
          <w:szCs w:val="32"/>
          <w:lang w:val="en-US" w:eastAsia="zh-CN"/>
        </w:rPr>
        <w:t>2018年一般公共预算支出决算数为1957.11，完成预算100%。其中：</w:t>
      </w:r>
      <w:bookmarkEnd w:id="37"/>
      <w:bookmarkEnd w:id="38"/>
      <w:bookmarkEnd w:id="39"/>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1.一般公共服务2019999: 支出决算为59.6万元，完成预算100%，决算数等于预算数。</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2.行政运行2080201: 支出决算为165.94万元，完成预算100%。决算数大于预算数的主要原因是新增人员。</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3.拥军优属2080204: 支出决算为34.79万元，完成预算100%。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4.老龄事务2080205: 支出决算为327.19万元，完成预算100%。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5. 行政区划和地名管理2080207: 支出决算为4.4万元，完成预算100%。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6.其他民政管理事务支出2080299: 支出决算为61.09万元，完成预算100%。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7.  机关事业单位基本养老保险缴费支出2080505: 支出决算为64.71万元，完成预算100%，决算数大于预算数的主要原因是新增人员。</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8.  机关事业单位职业年金缴费支出2080506: 支出决算为25.89万元，完成预算100%，决算数大于预算数的主要原因是新增人员。</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9.死亡抚恤支出2080801: 支出决算为21.85万元，完成预算100%。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10.在乡复员退伍军人生活补助2080803：支出决算为10.96万元，完成预算100%。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11.  义务兵优待金2080805：支出决算为15.22万元，完成预算100%。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12.农村籍退役士兵老年生活补助2080806：支出决算为2.48万元，完成预算100%。</w:t>
      </w:r>
    </w:p>
    <w:p>
      <w:pPr>
        <w:spacing w:line="600" w:lineRule="exact"/>
        <w:ind w:firstLine="643" w:firstLineChars="200"/>
        <w:rPr>
          <w:rStyle w:val="15"/>
          <w:rFonts w:hint="default"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12.  其他优抚支出（烈士陵园维修维护）2080899：支出决算为107.32万元，完成预算100%。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13.  退役士兵安置2080901: 支出决算为2.4万元，完成预算100%。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14.   军队移交政府的离退休人员安置2080902: 支出决算为279.77万元，完成预算100%。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15  老年福利2081002: 支出决算为95.49万元，完成预算100%。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 xml:space="preserve"> 殡葬2081004: 支出决算为116.47万元，完成预算100%。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其他社会福利支出2081099：支出决算为271.58万元，完成预算100%。</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残疾人生活和护理补贴2081107：支出决算为10万元，完成预算100%。</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19</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中央自然灾害生活补助208151</w:t>
      </w:r>
      <w:r>
        <w:rPr>
          <w:rStyle w:val="15"/>
          <w:rFonts w:hint="eastAsia" w:ascii="仿宋" w:hAnsi="仿宋" w:eastAsia="仿宋"/>
          <w:bCs/>
          <w:color w:val="000000"/>
          <w:sz w:val="32"/>
          <w:szCs w:val="32"/>
          <w:lang w:val="en-US" w:eastAsia="zh-CN"/>
        </w:rPr>
        <w:t>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2.03</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地方自然灾害生活补助208151</w:t>
      </w:r>
      <w:r>
        <w:rPr>
          <w:rStyle w:val="15"/>
          <w:rFonts w:hint="eastAsia" w:ascii="仿宋" w:hAnsi="仿宋" w:eastAsia="仿宋"/>
          <w:bCs/>
          <w:color w:val="000000"/>
          <w:sz w:val="32"/>
          <w:szCs w:val="32"/>
          <w:lang w:val="en-US" w:eastAsia="zh-CN"/>
        </w:rPr>
        <w:t>02</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10.89</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农村最低生活保障金支出2081902</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支出决算为35.78万元，完成预算100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临时救助20820</w:t>
      </w:r>
      <w:r>
        <w:rPr>
          <w:rStyle w:val="15"/>
          <w:rFonts w:hint="eastAsia" w:ascii="仿宋" w:hAnsi="仿宋" w:eastAsia="仿宋"/>
          <w:bCs/>
          <w:color w:val="000000"/>
          <w:sz w:val="32"/>
          <w:szCs w:val="32"/>
          <w:lang w:val="en-US" w:eastAsia="zh-CN"/>
        </w:rPr>
        <w:t>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7.5</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临时救助</w:t>
      </w:r>
      <w:r>
        <w:rPr>
          <w:rStyle w:val="15"/>
          <w:rFonts w:hint="eastAsia" w:ascii="仿宋" w:hAnsi="仿宋" w:eastAsia="仿宋"/>
          <w:bCs/>
          <w:color w:val="000000"/>
          <w:sz w:val="32"/>
          <w:szCs w:val="32"/>
          <w:lang w:eastAsia="zh-CN"/>
        </w:rPr>
        <w:t>（流浪乞讨）</w:t>
      </w:r>
      <w:r>
        <w:rPr>
          <w:rStyle w:val="15"/>
          <w:rFonts w:hint="eastAsia" w:ascii="仿宋" w:hAnsi="仿宋" w:eastAsia="仿宋"/>
          <w:bCs/>
          <w:color w:val="000000"/>
          <w:sz w:val="32"/>
          <w:szCs w:val="32"/>
        </w:rPr>
        <w:t>20820</w:t>
      </w:r>
      <w:r>
        <w:rPr>
          <w:rStyle w:val="15"/>
          <w:rFonts w:hint="eastAsia" w:ascii="仿宋" w:hAnsi="仿宋" w:eastAsia="仿宋"/>
          <w:bCs/>
          <w:color w:val="000000"/>
          <w:sz w:val="32"/>
          <w:szCs w:val="32"/>
          <w:lang w:val="en-US" w:eastAsia="zh-CN"/>
        </w:rPr>
        <w:t>02</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13.92</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Style w:val="15"/>
          <w:rFonts w:ascii="仿宋" w:hAnsi="仿宋" w:eastAsia="仿宋"/>
          <w:b w:val="0"/>
          <w:bCs/>
          <w:color w:val="000000"/>
          <w:sz w:val="32"/>
          <w:szCs w:val="32"/>
        </w:rPr>
      </w:pP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 xml:space="preserve"> 农村特困人员救助供养2082102</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支出决算为31.33万元，完成预算100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25</w:t>
      </w:r>
      <w:r>
        <w:rPr>
          <w:rStyle w:val="15"/>
          <w:rFonts w:hint="eastAsia" w:ascii="仿宋" w:hAnsi="仿宋" w:eastAsia="仿宋"/>
          <w:bCs/>
          <w:color w:val="000000"/>
          <w:sz w:val="32"/>
          <w:szCs w:val="32"/>
        </w:rPr>
        <w:t>.  其他农村生活救助2082502</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支出决算为17.35万元，完成预算100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26</w:t>
      </w:r>
      <w:r>
        <w:rPr>
          <w:rStyle w:val="15"/>
          <w:rFonts w:hint="eastAsia" w:ascii="仿宋" w:hAnsi="仿宋" w:eastAsia="仿宋"/>
          <w:bCs/>
          <w:color w:val="000000"/>
          <w:sz w:val="32"/>
          <w:szCs w:val="32"/>
        </w:rPr>
        <w:t>.其他社会保障和就业支出2089901</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支出决算为16.56万元，完成预算100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27</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行政单位医疗210</w:t>
      </w:r>
      <w:r>
        <w:rPr>
          <w:rStyle w:val="15"/>
          <w:rFonts w:hint="eastAsia" w:ascii="仿宋" w:hAnsi="仿宋" w:eastAsia="仿宋"/>
          <w:bCs/>
          <w:color w:val="000000"/>
          <w:sz w:val="32"/>
          <w:szCs w:val="32"/>
          <w:lang w:val="en-US" w:eastAsia="zh-CN"/>
        </w:rPr>
        <w:t>1101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15.63</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2</w:t>
      </w:r>
      <w:r>
        <w:rPr>
          <w:rStyle w:val="15"/>
          <w:rFonts w:hint="eastAsia" w:ascii="仿宋" w:hAnsi="仿宋" w:eastAsia="仿宋"/>
          <w:bCs/>
          <w:color w:val="000000"/>
          <w:sz w:val="32"/>
          <w:szCs w:val="32"/>
          <w:lang w:val="en-US" w:eastAsia="zh-CN"/>
        </w:rPr>
        <w:t>8</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 xml:space="preserve"> 行政单位医疗2101101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支出决算为15.63万元，完成预算100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2</w:t>
      </w:r>
      <w:r>
        <w:rPr>
          <w:rStyle w:val="15"/>
          <w:rFonts w:hint="eastAsia" w:ascii="仿宋" w:hAnsi="仿宋" w:eastAsia="仿宋"/>
          <w:bCs/>
          <w:color w:val="000000"/>
          <w:sz w:val="32"/>
          <w:szCs w:val="32"/>
          <w:lang w:val="en-US" w:eastAsia="zh-CN"/>
        </w:rPr>
        <w:t>9</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 xml:space="preserve"> 事业单位医疗2101102</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支出决算为6.46万元，完成预算100</w:t>
      </w:r>
      <w:r>
        <w:rPr>
          <w:rStyle w:val="15"/>
          <w:rFonts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30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公务员医疗补助210110</w:t>
      </w:r>
      <w:r>
        <w:rPr>
          <w:rStyle w:val="15"/>
          <w:rFonts w:hint="eastAsia" w:ascii="仿宋" w:hAnsi="仿宋" w:eastAsia="仿宋"/>
          <w:bCs/>
          <w:color w:val="000000"/>
          <w:sz w:val="32"/>
          <w:szCs w:val="32"/>
          <w:lang w:val="en-US" w:eastAsia="zh-CN"/>
        </w:rPr>
        <w:t>3</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6.38</w:t>
      </w:r>
      <w:r>
        <w:rPr>
          <w:rStyle w:val="15"/>
          <w:rFonts w:hint="eastAsia" w:ascii="仿宋" w:hAnsi="仿宋" w:eastAsia="仿宋"/>
          <w:b w:val="0"/>
          <w:bCs/>
          <w:color w:val="000000"/>
          <w:sz w:val="32"/>
          <w:szCs w:val="32"/>
        </w:rPr>
        <w:t>万元，完成预算100</w:t>
      </w:r>
      <w:r>
        <w:rPr>
          <w:rStyle w:val="15"/>
          <w:rFonts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31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其他行政事业单位医疗支出2101199</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支出决算为1.23万元，完成预算100</w:t>
      </w:r>
      <w:r>
        <w:rPr>
          <w:rStyle w:val="15"/>
          <w:rFonts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32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优抚对象医疗2101401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支出决算为1.04万元，完成预算100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lang w:val="en-US" w:eastAsia="zh-CN"/>
        </w:rPr>
        <w:t>33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住房公积金2210201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支出决算为38.41万元，完成预算100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34</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其他支出</w:t>
      </w:r>
      <w:r>
        <w:rPr>
          <w:rStyle w:val="15"/>
          <w:rFonts w:hint="eastAsia" w:ascii="仿宋" w:hAnsi="仿宋" w:eastAsia="仿宋"/>
          <w:bCs/>
          <w:color w:val="000000"/>
          <w:sz w:val="32"/>
          <w:szCs w:val="32"/>
          <w:lang w:eastAsia="zh-CN"/>
        </w:rPr>
        <w:t>（福彩公益金）</w:t>
      </w:r>
      <w:r>
        <w:rPr>
          <w:rStyle w:val="15"/>
          <w:rFonts w:hint="eastAsia" w:ascii="仿宋" w:hAnsi="仿宋" w:eastAsia="仿宋"/>
          <w:bCs/>
          <w:color w:val="000000"/>
          <w:sz w:val="32"/>
          <w:szCs w:val="32"/>
        </w:rPr>
        <w:t>2299901</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支出决算为75.42万元，完成预算100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56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572.56万元，其中：人员经费572.56万元，主要包括：基本工资100.45万元、津贴补贴213.31万元、奖金65.75万元、绩效工资22.07万元、机关事业单位基本养老保险缴费64.71万元、职业年金缴费25.88万元、 职工基本医疗保险缴费22.1万元、 公务员医疗补助缴费6.39万元、其他社会保障缴费6.66万元、对个人和家庭的补助2.97万元、医疗费3.86万元、奖励金、住房公积金38.41万元。</w:t>
      </w:r>
    </w:p>
    <w:p>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　　公用经费79.26万元，主要包括：办公费12.78万元、印刷费0.79万元、手续费0.0037、水费0.5万元、电费1.1万元、邮电费2.82万元、取暖费16.2万元、差旅费14.18万元、维修（护）费2万元、培训费0.5万元、公务接待费0.59万元、劳务费23.2万元、公务用车运行维护费4.6万元。</w:t>
      </w:r>
    </w:p>
    <w:p>
      <w:pPr>
        <w:spacing w:line="600" w:lineRule="exact"/>
        <w:ind w:firstLine="640"/>
        <w:rPr>
          <w:rFonts w:ascii="仿宋" w:hAnsi="仿宋" w:eastAsia="仿宋"/>
          <w:b/>
          <w:color w:val="FF0000"/>
          <w:sz w:val="32"/>
          <w:szCs w:val="32"/>
        </w:rPr>
      </w:pPr>
    </w:p>
    <w:p>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8年“三公”经费财政拨款支出决算为5.1万元，完成预算100</w:t>
      </w:r>
      <w:r>
        <w:rPr>
          <w:rFonts w:ascii="仿宋" w:hAnsi="仿宋" w:eastAsia="仿宋"/>
          <w:color w:val="000000"/>
          <w:sz w:val="32"/>
          <w:szCs w:val="32"/>
        </w:rPr>
        <w:t>%</w:t>
      </w:r>
      <w:r>
        <w:rPr>
          <w:rFonts w:hint="eastAsia" w:ascii="仿宋_GB2312" w:hAnsi="仿宋_GB2312" w:eastAsia="仿宋_GB2312" w:cs="仿宋_GB2312"/>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；公务用车购置及运行维护费支出决算4.6万元，占91</w:t>
      </w:r>
      <w:r>
        <w:rPr>
          <w:rFonts w:ascii="仿宋" w:hAnsi="仿宋" w:eastAsia="仿宋"/>
          <w:color w:val="000000"/>
          <w:sz w:val="32"/>
          <w:szCs w:val="32"/>
        </w:rPr>
        <w:t>%</w:t>
      </w:r>
      <w:r>
        <w:rPr>
          <w:rFonts w:hint="eastAsia" w:ascii="仿宋" w:hAnsi="仿宋" w:eastAsia="仿宋"/>
          <w:color w:val="000000"/>
          <w:sz w:val="32"/>
          <w:szCs w:val="32"/>
        </w:rPr>
        <w:t>；公务接待费支出决算0.59万元，占9</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7年不变。</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4.6万元,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7年不变。</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月底，单位共有公务用车3辆，其中：轿车0辆、越野车3辆、载客汽车0辆。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4.6万元。主要用于公务用车燃料费、维修费、过路过桥费、保险费等支出。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0.59万元，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7年增加0.08万元，增长13</w:t>
      </w:r>
      <w:r>
        <w:rPr>
          <w:rFonts w:ascii="仿宋_GB2312" w:eastAsia="仿宋_GB2312"/>
          <w:color w:val="000000"/>
          <w:sz w:val="32"/>
          <w:szCs w:val="32"/>
        </w:rPr>
        <w:t>%</w:t>
      </w:r>
      <w:r>
        <w:rPr>
          <w:rFonts w:hint="eastAsia" w:ascii="仿宋_GB2312" w:eastAsia="仿宋_GB2312"/>
          <w:color w:val="000000"/>
          <w:sz w:val="32"/>
          <w:szCs w:val="32"/>
        </w:rPr>
        <w:t>。主要原因是开展脱贫攻坚工作接待次数增加。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8批次，50人次（不包括陪同人员），共计支出0.59万元，具体内容包括：（接待上级检查脱贫攻坚工作和临时救助流浪乞讨工作等、金额0.59万元）。</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，外事接待批次0次，0人，共计支出0万元。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0"/>
        <w:outlineLvl w:val="1"/>
        <w:rPr>
          <w:rFonts w:ascii="黑体" w:eastAsia="黑体"/>
          <w:color w:val="000000"/>
          <w:sz w:val="32"/>
          <w:szCs w:val="32"/>
        </w:rPr>
      </w:pPr>
      <w:bookmarkStart w:id="46" w:name="_Toc15377218"/>
      <w:bookmarkStart w:id="47" w:name="_Toc15396610"/>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8年政府性基金预算拨款支出100.25万元。</w:t>
      </w:r>
    </w:p>
    <w:p>
      <w:pPr>
        <w:numPr>
          <w:ilvl w:val="0"/>
          <w:numId w:val="3"/>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5"/>
        <w:numPr>
          <w:ilvl w:val="0"/>
          <w:numId w:val="4"/>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60" w:lineRule="exact"/>
        <w:ind w:firstLine="640" w:firstLineChars="200"/>
        <w:rPr>
          <w:rFonts w:ascii="仿宋_GB2312" w:hAnsi="宋体" w:eastAsia="仿宋_GB2312"/>
          <w:sz w:val="32"/>
          <w:lang w:val="zh-CN"/>
        </w:rPr>
      </w:pPr>
      <w:r>
        <w:rPr>
          <w:rFonts w:hint="eastAsia" w:ascii="仿宋_GB2312" w:hAnsi="仿宋_GB2312" w:eastAsia="仿宋_GB2312" w:cs="仿宋_GB2312"/>
          <w:sz w:val="32"/>
          <w:szCs w:val="32"/>
        </w:rPr>
        <w:t>根据预算绩效管理要求，本部门在年初预算编制阶段，组织、重度残疾人项目开展了预算事前绩效评估，对1个项目编制了绩效目标，预算执行过程中，选取1个项目开展绩效监控，年终执行完毕后，对1个项目开展了绩效目标完成情况梳理填报。本部门按要求对2018年部门整体支出开展绩效自评，从评价情况来看</w:t>
      </w:r>
      <w:r>
        <w:rPr>
          <w:rFonts w:hint="eastAsia" w:ascii="仿宋_GB2312" w:hAnsi="宋体" w:eastAsia="仿宋_GB2312"/>
          <w:sz w:val="32"/>
          <w:lang w:val="zh-CN"/>
        </w:rPr>
        <w:t>我局部门支出预算，保障了机关日常正常运转，专项资金保障了全县困难群众的基本生活，老百姓对此次项目的实施非常满意，实施本项目对保障困难群众的基本生活和贫困户脱贫等方面具有积极作用，同时在维护少数</w:t>
      </w:r>
      <w:r>
        <w:rPr>
          <w:rFonts w:hint="eastAsia" w:ascii="仿宋_GB2312" w:hAnsi="宋体" w:eastAsia="仿宋_GB2312"/>
          <w:sz w:val="32"/>
          <w:lang w:val="en-US" w:eastAsia="zh-CN"/>
        </w:rPr>
        <w:t>民</w:t>
      </w:r>
      <w:r>
        <w:rPr>
          <w:rFonts w:hint="eastAsia" w:ascii="仿宋_GB2312" w:hAnsi="宋体" w:eastAsia="仿宋_GB2312"/>
          <w:sz w:val="32"/>
          <w:lang w:val="zh-CN"/>
        </w:rPr>
        <w:t xml:space="preserve">族地区的社会稳定，提高人民生活水平，改善人民生活质量等方面有着极其重要的意义，有力促进了社会和谐发展，为全县及乡镇的经济发展作出了应有的贡献。部门整体支出绩效自评得良好 </w:t>
      </w:r>
    </w:p>
    <w:p>
      <w:pPr>
        <w:spacing w:line="580" w:lineRule="exact"/>
        <w:ind w:firstLine="640" w:firstLineChars="200"/>
        <w:rPr>
          <w:rFonts w:ascii="仿宋_GB2312" w:hAnsi="仿宋_GB2312" w:eastAsia="仿宋_GB2312" w:cs="仿宋_GB2312"/>
          <w:sz w:val="32"/>
          <w:szCs w:val="32"/>
        </w:rPr>
      </w:pP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本部门在2018年度部门决算中反映“优抚对象医疗补助、行政区划和地名管理、临时救助、流浪乞讨人员救助、农村特困人员救助供养支出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等5个项目绩效目标实际完成情况。（本单位部门项目绩效目标个数在5个以上的，选取5个项目进行公开，目标个数在5个以下的，全部进行公开，公开内容包括完成情况综述和完成情况表）。</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优抚对象医疗补助项目绩效目标完成情况综述。项目全年预算数2.61万元，执行数为1.04万元，完成预算的100%。通过项目实施，保障</w:t>
      </w:r>
      <w:r>
        <w:rPr>
          <w:rFonts w:hint="eastAsia" w:ascii="仿宋_GB2312" w:hAnsi="仿宋_GB2312" w:eastAsia="仿宋_GB2312" w:cs="仿宋_GB2312"/>
          <w:kern w:val="0"/>
          <w:sz w:val="32"/>
          <w:szCs w:val="32"/>
        </w:rPr>
        <w:t>落实政策，维护稳定，推进</w:t>
      </w:r>
      <w:r>
        <w:rPr>
          <w:rFonts w:hint="eastAsia" w:ascii="仿宋_GB2312" w:hAnsi="仿宋_GB2312" w:eastAsia="仿宋_GB2312" w:cs="仿宋_GB2312"/>
          <w:sz w:val="32"/>
          <w:szCs w:val="32"/>
        </w:rPr>
        <w:t>了全县优抚对象医疗健康体检工作</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843"/>
        <w:gridCol w:w="1541"/>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拥军优属</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2.61</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2.61</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1.04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063"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Cs w:val="21"/>
              </w:rPr>
              <w:t>及时完成了73名优抚人员医疗补助</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18"/>
                <w:szCs w:val="18"/>
              </w:rPr>
            </w:pPr>
            <w:r>
              <w:rPr>
                <w:rFonts w:hint="eastAsia" w:ascii="仿宋_GB2312" w:hAnsi="仿宋_GB2312" w:eastAsia="仿宋_GB2312" w:cs="仿宋_GB2312"/>
                <w:kern w:val="0"/>
                <w:szCs w:val="21"/>
              </w:rPr>
              <w:t>及时完成了73名优抚人员医疗补助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30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54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30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54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项目预期提供的产品、服务、效益或其他目标明确,即绩效目标实际明确个数/应当明确个数×100%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8"/>
                <w:szCs w:val="18"/>
              </w:rPr>
            </w:pPr>
            <w:r>
              <w:rPr>
                <w:rFonts w:hint="eastAsia" w:ascii="宋体" w:hAnsi="宋体" w:cs="宋体"/>
                <w:color w:val="000000"/>
                <w:sz w:val="18"/>
                <w:szCs w:val="18"/>
              </w:rPr>
              <w:t>73人</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8"/>
                <w:szCs w:val="18"/>
              </w:rPr>
            </w:pPr>
            <w:r>
              <w:rPr>
                <w:rFonts w:hint="eastAsia" w:ascii="宋体" w:hAnsi="宋体" w:cs="宋体"/>
                <w:color w:val="000000"/>
                <w:sz w:val="18"/>
                <w:szCs w:val="18"/>
              </w:rPr>
              <w:t>73人</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项目计划实施进度明确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color w:val="000000"/>
                <w:sz w:val="18"/>
                <w:szCs w:val="18"/>
              </w:rPr>
            </w:pPr>
            <w:r>
              <w:rPr>
                <w:rFonts w:hint="eastAsia" w:ascii="仿宋_GB2312" w:hAnsi="仿宋_GB2312" w:eastAsia="仿宋_GB2312" w:cs="仿宋_GB2312"/>
                <w:kern w:val="0"/>
                <w:sz w:val="18"/>
                <w:szCs w:val="18"/>
              </w:rPr>
              <w:t>及时完成了73名优抚人员医疗补助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18"/>
                <w:szCs w:val="18"/>
              </w:rPr>
            </w:pPr>
            <w:r>
              <w:rPr>
                <w:rFonts w:hint="eastAsia" w:ascii="仿宋_GB2312" w:hAnsi="仿宋_GB2312" w:eastAsia="仿宋_GB2312" w:cs="仿宋_GB2312"/>
                <w:kern w:val="0"/>
                <w:sz w:val="18"/>
                <w:szCs w:val="18"/>
              </w:rPr>
              <w:t>及时完成了73名优抚人员医疗补助</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绩效目标设定符合实际需求的抽样项目点个数/抽样项目点总数×100%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73名优抚人员医疗补助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73名优抚人员医疗补助</w:t>
            </w:r>
          </w:p>
        </w:tc>
      </w:tr>
      <w:tr>
        <w:tblPrEx>
          <w:tblCellMar>
            <w:top w:w="15" w:type="dxa"/>
            <w:left w:w="15" w:type="dxa"/>
            <w:bottom w:w="15" w:type="dxa"/>
            <w:right w:w="15" w:type="dxa"/>
          </w:tblCellMar>
        </w:tblPrEx>
        <w:trPr>
          <w:trHeight w:val="14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项目符合党中央、国务院和省委、省政府决策部署；符合当前经济社会发展需要</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 xml:space="preserve"> 阿坝州财政局    阿坝州民政局</w:t>
            </w:r>
          </w:p>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关于下达2018年优抚对象医疗保障</w:t>
            </w:r>
          </w:p>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的通知</w:t>
            </w:r>
          </w:p>
          <w:p>
            <w:pPr>
              <w:jc w:val="left"/>
              <w:rPr>
                <w:rFonts w:ascii="仿宋_GB2312" w:hAnsi="仿宋_GB2312" w:eastAsia="仿宋_GB2312" w:cs="仿宋_GB2312"/>
                <w:kern w:val="0"/>
                <w:sz w:val="18"/>
                <w:szCs w:val="18"/>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根据上级下达资金按时发放优抚医疗补助资金</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18"/>
                <w:szCs w:val="18"/>
              </w:rPr>
            </w:pPr>
            <w:r>
              <w:rPr>
                <w:rFonts w:hint="eastAsia" w:ascii="宋体" w:hAnsi="宋体" w:cs="宋体"/>
                <w:color w:val="000000"/>
                <w:kern w:val="0"/>
                <w:sz w:val="18"/>
                <w:szCs w:val="18"/>
              </w:rPr>
              <w:t>连续性项目根据需要制定中长期实施规划</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事实规划全县优抚对象73人</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事实规划全县优抚对象73人</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规划符合实际，暂无调整变化</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规划符合实际，暂无调整变化</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仿宋_GB2312" w:hAnsi="仿宋_GB2312" w:eastAsia="仿宋_GB2312" w:cs="仿宋_GB2312"/>
                <w:kern w:val="0"/>
                <w:sz w:val="16"/>
                <w:szCs w:val="16"/>
              </w:rPr>
              <w:t>阿坝州民政局关于下达2018年优抚对象医疗保障通知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6"/>
                <w:szCs w:val="16"/>
              </w:rPr>
              <w:t>阿坝州民政局关于下达2018年优抚对象医疗保障通知</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6"/>
                <w:szCs w:val="16"/>
              </w:rPr>
              <w:t>阿坝州民政局关于下达2018年优抚对象医疗保障通知</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6"/>
                <w:szCs w:val="16"/>
              </w:rPr>
              <w:t>阿坝州民政局关于下达2018年优抚对象医疗保障通知</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分配方法科学合理</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178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按实际分配结果选择客观因素测算验证资金分配方法制定、分配要素设定、基础数据应用、测算依据选取等是否科学合理（2分）</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仿宋_GB2312" w:hAnsi="仿宋_GB2312" w:eastAsia="仿宋_GB2312" w:cs="仿宋_GB2312"/>
                <w:kern w:val="0"/>
                <w:sz w:val="16"/>
                <w:szCs w:val="16"/>
              </w:rPr>
            </w:pPr>
            <w:r>
              <w:rPr>
                <w:rFonts w:hint="eastAsia" w:ascii="仿宋_GB2312" w:hAnsi="仿宋_GB2312" w:eastAsia="仿宋_GB2312" w:cs="仿宋_GB2312"/>
                <w:kern w:val="0"/>
                <w:sz w:val="16"/>
                <w:szCs w:val="16"/>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73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73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2018年12月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2018年12月</w:t>
            </w:r>
          </w:p>
        </w:tc>
      </w:tr>
      <w:tr>
        <w:tblPrEx>
          <w:tblCellMar>
            <w:top w:w="15" w:type="dxa"/>
            <w:left w:w="15" w:type="dxa"/>
            <w:bottom w:w="15" w:type="dxa"/>
            <w:right w:w="15" w:type="dxa"/>
          </w:tblCellMar>
        </w:tblPrEx>
        <w:trPr>
          <w:trHeight w:val="636"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资金拨付完成保障优抚对象医疗补助按时到位</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资金拨付完成保障优抚对象医疗补助按时到位</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000000"/>
                <w:sz w:val="20"/>
                <w:szCs w:val="20"/>
              </w:rPr>
            </w:pPr>
            <w:r>
              <w:rPr>
                <w:rFonts w:hint="eastAsia" w:ascii="宋体" w:hAnsi="宋体" w:cs="宋体"/>
                <w:color w:val="000000"/>
                <w:sz w:val="20"/>
                <w:szCs w:val="20"/>
              </w:rPr>
              <w:t>有效的保障优抚对象的健康体检</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有效的保障优抚对象的健康体检</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保障优抚对象医疗补助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保障优抚对象医疗补助</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3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5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ind w:firstLine="320" w:firstLineChars="100"/>
        <w:rPr>
          <w:rFonts w:ascii="Calibri" w:hAnsi="Calibri"/>
        </w:rPr>
      </w:pPr>
      <w:r>
        <w:rPr>
          <w:rFonts w:hint="eastAsia" w:ascii="仿宋_GB2312" w:hAnsi="仿宋_GB2312" w:eastAsia="仿宋_GB2312" w:cs="仿宋_GB2312"/>
          <w:sz w:val="32"/>
          <w:szCs w:val="32"/>
        </w:rPr>
        <w:t>2.行政区划和地名管理项目绩效目标完成情况综述。项目全年预算数4.4万元，执行数为4.4万元，完成预算的100%。通过项目实施，保障</w:t>
      </w:r>
      <w:r>
        <w:rPr>
          <w:rFonts w:hint="eastAsia" w:ascii="仿宋_GB2312" w:hAnsi="仿宋_GB2312" w:eastAsia="仿宋_GB2312" w:cs="仿宋_GB2312"/>
          <w:kern w:val="0"/>
          <w:sz w:val="32"/>
          <w:szCs w:val="32"/>
        </w:rPr>
        <w:t>区划地名工作扎实开展。及时启动全国地名普查工作，成立相应的组织机构，抽调专人参加了全州地名普查工作培训</w:t>
      </w:r>
      <w:r>
        <w:rPr>
          <w:rFonts w:hint="eastAsia" w:ascii="仿宋_GB2312" w:hAnsi="仿宋_GB2312" w:eastAsia="仿宋_GB2312" w:cs="仿宋_GB2312"/>
          <w:sz w:val="32"/>
          <w:szCs w:val="32"/>
        </w:rPr>
        <w:t>(按照项目总体目标简要描述项目成效），发现的主要问题：无。下一步改进措施：无。</w:t>
      </w: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sz w:val="32"/>
                <w:szCs w:val="32"/>
              </w:rPr>
              <w:t>行政区划和地名管理</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4.4</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4.4</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4.4</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 w:val="18"/>
                <w:szCs w:val="18"/>
              </w:rPr>
              <w:t>及时启动全国地名普查工作，成立相应的组织机构，抽调专人2人参加了全州地名普查工作培训，计划资金4.4万元</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仿宋_GB2312" w:hAnsi="仿宋_GB2312" w:eastAsia="仿宋_GB2312" w:cs="仿宋_GB2312"/>
                <w:kern w:val="0"/>
                <w:sz w:val="18"/>
                <w:szCs w:val="18"/>
              </w:rPr>
              <w:t>及时启动全国地名普查工作，成立相应的组织机构，抽调专人参加了全州地名普查工作培训，实际完成资金支付4.4万元</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抽调专人2人参加了全州地名普查工作培训等相关工作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抽调专人2人参加了全州地名普查工作培训等相关工作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200" w:firstLineChars="100"/>
              <w:jc w:val="center"/>
              <w:rPr>
                <w:rFonts w:ascii="宋体" w:hAnsi="宋体" w:cs="宋体"/>
                <w:color w:val="000000"/>
                <w:sz w:val="20"/>
                <w:szCs w:val="20"/>
              </w:rPr>
            </w:pPr>
            <w:r>
              <w:rPr>
                <w:rFonts w:hint="eastAsia" w:ascii="宋体" w:hAnsi="宋体" w:cs="宋体"/>
                <w:color w:val="000000"/>
                <w:sz w:val="20"/>
                <w:szCs w:val="20"/>
              </w:rPr>
              <w:t>阿州财社（2018）72号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阿州财社（2018）72号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事实规划全县区划工作按时完成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符合实际、无调整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符合实际、无调整</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阿州财社（2018）72号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阿州财社（2018）72号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资金分配明确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资金分配明确</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15"/>
                <w:szCs w:val="15"/>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区划工作实际完成资金支付4.4万元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区划工作实际完成资金支付4.4万元</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及时启动全国地名普查工作，成立相应的组织机构，抽调专人参加了全州地名普查工作培训</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及时启动全国地名普查工作，成立相应的组织机构，抽调专人参加了全州地名普查工作培训</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区划地名工作有序推进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区划地名工作有序推进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left="42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3.临时救助项目绩效目标完成情况综述。项目全年预算数3.5万元，执行数为7.5万元，完成预算的100%。通过项目实施，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困难群众基本生活</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临时救助</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7.5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3.5</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7.5</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救助因病因灾等导致的困难群众目标人数200-300人</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2018年实际完成目标人数救助330人</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预期指标值全年200-300人</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全年完成共救助困难群众330人</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阿州财社（2018）01号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阿州财社（2018）01号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事实规划全县临时救助工作按时完成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事实规划全县临时救助工作按时完成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阿州民政（2017）282号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阿州民政（2017）282号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1491"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资金分配方法制定、分配要素设定、基础数据应用、测算依据选取等科学合理</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09"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无变更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无变更</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保障困难群众救急难。确保资金安全发放，让群众及时领到资金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保障困难群众救急难。确保资金安全发放，让群众及时领到资金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临时救助对象中对符合“救急难”的对象按照程序实现最快、有效的救助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临时救助对象中对符合“救急难”的对象按照程序实现最快、有效的救助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临时救助对象中对符合“救急难”的对象按照程序实现最快、有效的救助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16"/>
                <w:szCs w:val="16"/>
              </w:rPr>
            </w:pPr>
            <w:r>
              <w:rPr>
                <w:rFonts w:hint="eastAsia" w:ascii="宋体" w:hAnsi="宋体" w:cs="宋体"/>
                <w:color w:val="000000"/>
                <w:sz w:val="16"/>
                <w:szCs w:val="16"/>
              </w:rPr>
              <w:t>临时救助对象中对符合“救急难”的对象按照程序实现最快、有效的救助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临时救助工作有序推进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临时救助工作有序推进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ind w:left="420" w:left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4.流浪乞讨项目绩效目标完成情况综述。项目全年预算数4.2万元，执行数为13.92万元，完成预算的100%。通过项目实施，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流浪乞讨人员基本生活衣食住行</w:t>
      </w:r>
      <w:r>
        <w:rPr>
          <w:rFonts w:hint="eastAsia" w:ascii="仿宋_GB2312" w:hAnsi="仿宋_GB2312" w:eastAsia="仿宋_GB2312" w:cs="仿宋_GB2312"/>
          <w:sz w:val="32"/>
          <w:szCs w:val="32"/>
        </w:rPr>
        <w:t>(按照项目总体目标简要描述项目成效），发现的主要问题：无。下一步改进措施：无</w:t>
      </w: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流浪乞讨</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13.92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4.2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13.92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救助流浪乞讨人员25人次民政工作顺利推进</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救助流浪乞讨人员23人，</w:t>
            </w:r>
          </w:p>
          <w:p>
            <w:pPr>
              <w:jc w:val="center"/>
              <w:rPr>
                <w:rFonts w:ascii="宋体" w:hAnsi="宋体" w:cs="宋体"/>
                <w:b/>
                <w:color w:val="000000"/>
                <w:sz w:val="24"/>
              </w:rPr>
            </w:pPr>
            <w:r>
              <w:rPr>
                <w:rFonts w:hint="eastAsia" w:ascii="宋体" w:hAnsi="宋体" w:cs="宋体"/>
                <w:b/>
                <w:color w:val="000000"/>
                <w:sz w:val="24"/>
              </w:rPr>
              <w:t>保障流浪乞讨人员有饭吃、有衣穿、有住的、患病人员得到及时救助</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救助流浪乞讨人员23人，</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保障流浪乞讨人员有饭吃、有衣穿、有住的、患病人员得到及时救助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救助流浪乞讨人员23人，</w:t>
            </w:r>
          </w:p>
          <w:p>
            <w:pPr>
              <w:jc w:val="center"/>
              <w:rPr>
                <w:rFonts w:ascii="宋体" w:hAnsi="宋体" w:cs="宋体"/>
                <w:color w:val="000000"/>
                <w:sz w:val="20"/>
                <w:szCs w:val="20"/>
              </w:rPr>
            </w:pPr>
            <w:r>
              <w:rPr>
                <w:rFonts w:hint="eastAsia" w:ascii="宋体" w:hAnsi="宋体" w:cs="宋体"/>
                <w:color w:val="000000"/>
                <w:kern w:val="0"/>
                <w:sz w:val="20"/>
                <w:szCs w:val="20"/>
              </w:rPr>
              <w:t>保障流浪乞讨人员有饭吃、有衣穿、有住的、患病人员得到及时救助</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ind w:firstLine="400" w:firstLineChars="200"/>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进度明确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进度明确</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川民发（2018）132号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川民发（2018）132号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事实规划全县流浪乞讨救助工作按时完成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事实规划全县流浪乞讨救助工作按时完成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川民发（2018）132号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川民发（2018）132号</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206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18"/>
                <w:szCs w:val="18"/>
              </w:rPr>
              <w:t>按实际分配结果选择客观因素测算验证资金分配方法制定、分配要素设定、基础数据应用、测算依据选取等是否科</w:t>
            </w:r>
            <w:r>
              <w:rPr>
                <w:rFonts w:hint="eastAsia" w:ascii="宋体" w:hAnsi="宋体" w:cs="宋体"/>
                <w:color w:val="000000"/>
                <w:kern w:val="0"/>
                <w:sz w:val="20"/>
                <w:szCs w:val="20"/>
              </w:rPr>
              <w:t>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bookmarkStart w:id="73" w:name="_GoBack"/>
            <w:bookmarkEnd w:id="73"/>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保障流浪乞讨人员按时救助。确保资金安全按时拨付。</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保障流浪乞讨人员按时救助。确保资金安全按时拨付。</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流浪乞讨人员救助对象中对符合对象按照程序实现最快、有效的救助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流浪乞讨救助工作有序推进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流浪乞讨救助工作有序推进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5.农村特困人员救助供养支出项目绩效目标完成情况综述。项目全年预算数31.33万元，执行数为31.33万元，完成预算的100%。通过项目实施，</w:t>
      </w:r>
      <w:r>
        <w:rPr>
          <w:rFonts w:hint="eastAsia" w:ascii="仿宋_GB2312" w:hAnsi="仿宋_GB2312" w:eastAsia="仿宋_GB2312" w:cs="仿宋_GB2312"/>
          <w:kern w:val="0"/>
          <w:sz w:val="32"/>
          <w:szCs w:val="32"/>
        </w:rPr>
        <w:t>切实</w:t>
      </w:r>
      <w:r>
        <w:rPr>
          <w:rFonts w:hint="eastAsia" w:ascii="仿宋_GB2312" w:hAnsi="仿宋_GB2312" w:eastAsia="仿宋_GB2312" w:cs="仿宋_GB2312"/>
          <w:sz w:val="32"/>
          <w:szCs w:val="32"/>
        </w:rPr>
        <w:t>保障</w:t>
      </w:r>
      <w:r>
        <w:rPr>
          <w:rFonts w:hint="eastAsia" w:ascii="仿宋_GB2312" w:hAnsi="仿宋_GB2312" w:eastAsia="仿宋_GB2312" w:cs="仿宋_GB2312"/>
          <w:kern w:val="0"/>
          <w:sz w:val="32"/>
          <w:szCs w:val="32"/>
        </w:rPr>
        <w:t>集中供养五保户基本生活</w:t>
      </w:r>
      <w:r>
        <w:rPr>
          <w:rFonts w:hint="eastAsia" w:ascii="仿宋_GB2312" w:hAnsi="仿宋_GB2312" w:eastAsia="仿宋_GB2312" w:cs="仿宋_GB2312"/>
          <w:sz w:val="32"/>
          <w:szCs w:val="32"/>
        </w:rPr>
        <w:t>(按照项目总体目标简要描述项目成效），发现的主要问题：无。下一步改进措施：无</w:t>
      </w:r>
    </w:p>
    <w:p>
      <w:pPr>
        <w:tabs>
          <w:tab w:val="left" w:pos="312"/>
        </w:tabs>
        <w:spacing w:line="580" w:lineRule="exact"/>
        <w:rPr>
          <w:rFonts w:ascii="仿宋_GB2312" w:hAnsi="仿宋_GB2312" w:eastAsia="仿宋_GB2312" w:cs="仿宋_GB2312"/>
          <w:sz w:val="32"/>
          <w:szCs w:val="32"/>
        </w:rPr>
      </w:pPr>
    </w:p>
    <w:p>
      <w:pPr>
        <w:rPr>
          <w:rFonts w:ascii="Calibri" w:hAnsi="Calibri"/>
        </w:rPr>
      </w:pPr>
    </w:p>
    <w:tbl>
      <w:tblPr>
        <w:tblStyle w:val="13"/>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CellMar>
            <w:top w:w="15" w:type="dxa"/>
            <w:left w:w="15" w:type="dxa"/>
            <w:bottom w:w="15" w:type="dxa"/>
            <w:right w:w="15" w:type="dxa"/>
          </w:tblCellMar>
        </w:tblPrEx>
        <w:trPr>
          <w:trHeight w:val="685" w:hRule="atLeast"/>
        </w:trPr>
        <w:tc>
          <w:tcPr>
            <w:tcW w:w="9522" w:type="dxa"/>
            <w:gridSpan w:val="8"/>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项目支出绩效目标完成情况表</w:t>
            </w:r>
          </w:p>
        </w:tc>
      </w:tr>
      <w:tr>
        <w:tblPrEx>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仿宋_GB2312" w:hAnsi="仿宋_GB2312" w:eastAsia="仿宋_GB2312" w:cs="仿宋_GB2312"/>
                <w:sz w:val="20"/>
                <w:szCs w:val="20"/>
              </w:rPr>
            </w:pPr>
          </w:p>
          <w:p>
            <w:pPr>
              <w:jc w:val="center"/>
              <w:rPr>
                <w:rFonts w:ascii="宋体" w:hAnsi="宋体" w:cs="宋体"/>
                <w:b/>
                <w:color w:val="000000"/>
                <w:sz w:val="24"/>
              </w:rPr>
            </w:pPr>
            <w:r>
              <w:rPr>
                <w:rFonts w:hint="eastAsia" w:ascii="仿宋_GB2312" w:hAnsi="仿宋_GB2312" w:eastAsia="仿宋_GB2312" w:cs="仿宋_GB2312"/>
                <w:sz w:val="20"/>
                <w:szCs w:val="20"/>
              </w:rPr>
              <w:t>农村特困人员救助供养</w:t>
            </w:r>
          </w:p>
        </w:tc>
      </w:tr>
      <w:tr>
        <w:tblPrEx>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红原县民政局</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31.33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31.33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31.33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31.33</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sz w:val="24"/>
              </w:rPr>
            </w:pPr>
            <w:r>
              <w:rPr>
                <w:rFonts w:hint="eastAsia" w:ascii="宋体" w:hAnsi="宋体" w:cs="宋体"/>
                <w:b/>
                <w:color w:val="000000"/>
                <w:sz w:val="24"/>
              </w:rPr>
              <w:t>0</w:t>
            </w:r>
          </w:p>
        </w:tc>
      </w:tr>
      <w:tr>
        <w:tblPrEx>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实际完成目标</w:t>
            </w:r>
          </w:p>
        </w:tc>
      </w:tr>
      <w:tr>
        <w:tblPrEx>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保障集中供养51名农村特困人员生活得到保障</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保障集中供养51名农村特困人员生活得到保障</w:t>
            </w:r>
          </w:p>
        </w:tc>
      </w:tr>
      <w:tr>
        <w:tblPrEx>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000000"/>
                <w:sz w:val="20"/>
                <w:szCs w:val="20"/>
              </w:rPr>
            </w:pPr>
            <w:r>
              <w:rPr>
                <w:rFonts w:hint="eastAsia" w:ascii="宋体" w:hAnsi="宋体" w:cs="宋体"/>
                <w:b/>
                <w:color w:val="000000"/>
                <w:kern w:val="0"/>
                <w:sz w:val="20"/>
                <w:szCs w:val="20"/>
              </w:rPr>
              <w:t>实际完成指标值(包含数字及文字描述)</w:t>
            </w: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000000"/>
                <w:sz w:val="20"/>
                <w:szCs w:val="20"/>
              </w:rPr>
            </w:pP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保障集中供养51名农村特困人员生活得到保障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保障集中供养51名农村特困人员生活得到保障</w:t>
            </w:r>
          </w:p>
        </w:tc>
      </w:tr>
      <w:tr>
        <w:tblPrEx>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川民发（2017）153号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川民发（2017）153号</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事实规划全县农村特困集中供养工作按时完成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仿宋_GB2312" w:hAnsi="仿宋_GB2312" w:eastAsia="仿宋_GB2312" w:cs="仿宋_GB2312"/>
                <w:kern w:val="0"/>
                <w:sz w:val="18"/>
                <w:szCs w:val="18"/>
              </w:rPr>
              <w:t>事实规划全县农村特困集中供养工作按时完成</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kern w:val="0"/>
                <w:sz w:val="20"/>
                <w:szCs w:val="20"/>
              </w:rPr>
              <w:t>100%</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2018.12</w:t>
            </w:r>
          </w:p>
        </w:tc>
      </w:tr>
      <w:tr>
        <w:tblPrEx>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保障农村特困人员供养确保资金安全发放，让群众及时领到资金</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保障农村特困人员供养确保资金安全发放，让群众及时领到资金</w:t>
            </w:r>
          </w:p>
        </w:tc>
      </w:tr>
      <w:tr>
        <w:tblPrEx>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r>
      <w:tr>
        <w:tblPrEx>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16"/>
                <w:szCs w:val="16"/>
              </w:rPr>
              <w:t>农村特困集中供养人员救助对象中对符合对象按照程序实现最快、有效的救助</w:t>
            </w:r>
          </w:p>
        </w:tc>
      </w:tr>
      <w:tr>
        <w:tblPrEx>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农村特困人员集中供养救助工作有序推进</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000000"/>
                <w:sz w:val="20"/>
                <w:szCs w:val="20"/>
              </w:rPr>
            </w:pPr>
            <w:r>
              <w:rPr>
                <w:rFonts w:hint="eastAsia" w:ascii="宋体" w:hAnsi="宋体" w:cs="宋体"/>
                <w:color w:val="000000"/>
                <w:sz w:val="20"/>
                <w:szCs w:val="20"/>
              </w:rPr>
              <w:t>农村特困人员集中供养救助工作有序推进</w:t>
            </w:r>
          </w:p>
        </w:tc>
      </w:tr>
      <w:tr>
        <w:tblPrEx>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bCs/>
                <w:color w:val="000000"/>
                <w:sz w:val="20"/>
                <w:szCs w:val="20"/>
              </w:rPr>
            </w:pPr>
            <w:r>
              <w:rPr>
                <w:rFonts w:hint="eastAsia" w:ascii="宋体" w:hAnsi="宋体" w:cs="宋体"/>
                <w:color w:val="000000"/>
                <w:sz w:val="20"/>
                <w:szCs w:val="20"/>
              </w:rPr>
              <w:t>对本项目事实满意度好。无异议</w:t>
            </w:r>
          </w:p>
        </w:tc>
      </w:tr>
    </w:tbl>
    <w:p>
      <w:pPr>
        <w:spacing w:line="580" w:lineRule="exact"/>
        <w:rPr>
          <w:rFonts w:ascii="仿宋_GB2312" w:hAnsi="仿宋_GB2312" w:eastAsia="仿宋_GB2312" w:cs="仿宋_GB2312"/>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本部门按要求对2018年部门整体支出绩效评价情况开展自评，《民政局2018年部门整体支出绩效评价报告》见附件。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本部门自行组织对重度残疾人项目、重度残疾人项目开展了绩效评价，《重度残疾人项目2018年绩效评价报告》见附件。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8年，民政局机关运行经费支出5.2万元，比</w:t>
      </w:r>
      <w:r>
        <w:rPr>
          <w:rFonts w:ascii="仿宋_GB2312" w:eastAsia="仿宋_GB2312"/>
          <w:color w:val="000000"/>
          <w:sz w:val="32"/>
          <w:szCs w:val="32"/>
        </w:rPr>
        <w:t>201</w:t>
      </w:r>
      <w:r>
        <w:rPr>
          <w:rFonts w:hint="eastAsia" w:ascii="仿宋_GB2312" w:eastAsia="仿宋_GB2312"/>
          <w:color w:val="000000"/>
          <w:sz w:val="32"/>
          <w:szCs w:val="32"/>
        </w:rPr>
        <w:t>7年增加万元，增长0.08万元，增长13</w:t>
      </w:r>
      <w:r>
        <w:rPr>
          <w:rFonts w:ascii="仿宋_GB2312" w:eastAsia="仿宋_GB2312"/>
          <w:color w:val="000000"/>
          <w:sz w:val="32"/>
          <w:szCs w:val="32"/>
        </w:rPr>
        <w:t>%</w:t>
      </w:r>
      <w:r>
        <w:rPr>
          <w:rFonts w:hint="eastAsia" w:ascii="仿宋_GB2312" w:eastAsia="仿宋_GB2312"/>
          <w:color w:val="000000"/>
          <w:sz w:val="32"/>
          <w:szCs w:val="32"/>
        </w:rPr>
        <w:t>。主要原因是开展脱贫攻坚工作接待次数增加。</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日，红原县民政局共有车辆2辆，其中：部级领导干部用车0辆、一般公务用车2辆、一般执法执勤用车0辆、特种专业技术用车0辆、其他用车0辆，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其他用车单价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万元以上通用设备2台（套），单价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7"/>
        </w:numPr>
        <w:spacing w:line="600" w:lineRule="exact"/>
        <w:ind w:firstLine="660" w:firstLineChars="150"/>
        <w:jc w:val="center"/>
        <w:outlineLvl w:val="0"/>
        <w:rPr>
          <w:rFonts w:hint="eastAsia" w:ascii="仿宋_GB2312" w:hAnsi="Calibri" w:eastAsia="仿宋_GB2312" w:cs="仿宋"/>
          <w:color w:val="000000"/>
          <w:kern w:val="0"/>
          <w:sz w:val="44"/>
          <w:szCs w:val="44"/>
          <w:lang w:val="en-US" w:eastAsia="zh-CN" w:bidi="ar-SA"/>
        </w:rPr>
      </w:pPr>
      <w:bookmarkStart w:id="55" w:name="_Toc15396613"/>
      <w:bookmarkStart w:id="56" w:name="_Toc15377225"/>
      <w:r>
        <w:rPr>
          <w:rFonts w:hint="eastAsia" w:ascii="仿宋_GB2312" w:hAnsi="Calibri" w:eastAsia="仿宋_GB2312" w:cs="仿宋"/>
          <w:color w:val="000000"/>
          <w:kern w:val="0"/>
          <w:sz w:val="44"/>
          <w:szCs w:val="44"/>
          <w:lang w:val="en-US" w:eastAsia="zh-CN" w:bidi="ar-SA"/>
        </w:rPr>
        <w:t>名词解释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w:t>
      </w:r>
      <w:r>
        <w:rPr>
          <w:rFonts w:hint="eastAsia" w:ascii="仿宋_GB2312" w:eastAsia="仿宋_GB2312"/>
          <w:sz w:val="32"/>
          <w:szCs w:val="32"/>
        </w:rPr>
        <w:t>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4结余分配：指事业单位按照事业单位会计制度的规定从非财政补助结余中分配的事业基金和职工福利基金等。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5、年末结转和结余：指单位按有关规定结转到下年或以后年度继续使用的资金。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r>
        <w:rPr>
          <w:rFonts w:hint="eastAsia" w:ascii="仿宋_GB2312" w:eastAsia="仿宋_GB2312"/>
          <w:color w:val="000000"/>
          <w:sz w:val="32"/>
          <w:szCs w:val="32"/>
          <w:lang w:eastAsia="zh-CN"/>
        </w:rPr>
        <w:t>其中（</w:t>
      </w:r>
      <w:r>
        <w:rPr>
          <w:rFonts w:hint="eastAsia" w:ascii="仿宋_GB2312" w:eastAsia="仿宋_GB2312"/>
          <w:color w:val="000000"/>
          <w:sz w:val="32"/>
          <w:szCs w:val="32"/>
          <w:lang w:val="en-US" w:eastAsia="zh-CN"/>
        </w:rPr>
        <w:t>1.拥军优属是指开展拥军优属活动支出，2老龄事务是指老龄事物方面支出，3.  行政区划和地名管理是指行政区划界线勘定、维护以及行政区划和地名管理支出。4.其他民政管理事务支出是指民政部门接待来访、法制建设、政策宣传方面的支出、以及开展优抚安置救灾减灾、社会救助、社会福利、婚姻登记、社会事务、信息化建设等专项业务的支出，5.死亡抚恤是指按规定用于烈士和牺牲病故人员家属的一次性和定期抚恤金以及丧葬补助费，6.在乡复员退伍军人生活补助是指在乡退伍红军老战士生活补助，7.义务兵优待是指用于义务兵优待方面的支出，8.农村籍退役士兵老年生活补助是指年龄在60周岁及以上未享受到国家定期抚恤补助的农村籍退役士兵老年生活补助，9.其他优抚支出是指除上述项目以外其他用于优抚方面的支出，10退役士兵安置是指按规定用于伤残义务兵的一次性建房补助、对符合条件的退役士兵和转业士官的安置支出，11.军队移交政府的离退休人员安置是指移交政府军队离退休人员安置支出，12.老年福利是指老年人提供福利服务方面支出，13.殡葬是指财政对民政及其他部门举办的火葬场等殡仪事业单位的补助支出，14.其他社会福利支出是指其他用于社会福利方面的支出，15.残疾人生活和护理补贴是指困难残疾人生活补贴残疾事业方面支出。16.  中央自然灾害生活补助是指中央预算对遭受特大自然灾害地区的地方政府在安排受灾群众吃、穿、住和抢救、转移、安置、治病等发生困难给予的专项补助、以及为抗御特大自然灾害而设立的中央级救灾物资储备资金，17地方自然灾害生活补助是指地方预算对遭受特大自然灾害地区的地方政府在安排受灾群众吃、穿、住和抢救、转移、安置、治病等发生困难给予的专项补助、以及为抗御特大自然灾害而设立的地方级救灾物资储备资金，18.农村最低生活保障金支出是指反映农村最低生活保障对象的最低生活保障资金，19.  临时救助支出是指用于城乡生活困难居民的临时救助，20  流浪乞讨人员救助支出是指生活无着落流浪乞讨人员的救助和救助管理机构运转支出，21.农村特困人员救助供养支出是指农村五保供养支出，22.其他农村生活救助是指除最低生活保障、临时救助、特困人员供养和自然灾害生活救助外、用于农村生活困难居民生活救助的其他支出，23.其他社会保障和就业支出是指其他用于社会保障合就业方面的支出，24.行政事业单位医疗是指医疗卫生等管理事务方面支出，25.优抚对象医疗补助是指优抚对象的医疗卫生方面支出，26其他支出用于社会福利的彩票公益金支出是指社会福利事业单位支出、以及对集体社会福利事业单位的补助费。</w:t>
      </w:r>
      <w:r>
        <w:rPr>
          <w:rFonts w:hint="eastAsia" w:ascii="仿宋_GB2312" w:eastAsia="仿宋_GB2312"/>
          <w:color w:val="000000"/>
          <w:sz w:val="32"/>
          <w:szCs w:val="32"/>
          <w:lang w:eastAsia="zh-CN"/>
        </w:rPr>
        <w:t>）</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center"/>
        <w:outlineLvl w:val="0"/>
        <w:rPr>
          <w:rStyle w:val="26"/>
        </w:rPr>
      </w:pPr>
    </w:p>
    <w:p>
      <w:pPr>
        <w:pStyle w:val="3"/>
        <w:rPr>
          <w:rStyle w:val="26"/>
          <w:rFonts w:ascii="仿宋" w:hAnsi="仿宋" w:eastAsia="仿宋"/>
          <w:b w:val="0"/>
          <w:bCs w:val="0"/>
          <w:sz w:val="32"/>
          <w:szCs w:val="32"/>
        </w:rPr>
      </w:pPr>
      <w:bookmarkStart w:id="59" w:name="_Toc15396615"/>
      <w:r>
        <w:rPr>
          <w:rStyle w:val="26"/>
          <w:rFonts w:hint="eastAsia" w:ascii="仿宋" w:hAnsi="仿宋" w:eastAsia="仿宋"/>
          <w:b w:val="0"/>
          <w:bCs w:val="0"/>
          <w:sz w:val="32"/>
          <w:szCs w:val="32"/>
        </w:rPr>
        <w:t>附件1</w:t>
      </w:r>
      <w:bookmarkEnd w:id="59"/>
    </w:p>
    <w:p>
      <w:pPr>
        <w:spacing w:line="600" w:lineRule="exact"/>
        <w:jc w:val="center"/>
        <w:rPr>
          <w:rFonts w:ascii="宋体" w:hAnsi="宋体"/>
          <w:b/>
          <w:color w:val="000000"/>
          <w:kern w:val="0"/>
          <w:sz w:val="44"/>
          <w:szCs w:val="44"/>
        </w:rPr>
      </w:pPr>
      <w:bookmarkStart w:id="60" w:name="_Toc15396618"/>
      <w:r>
        <w:rPr>
          <w:rFonts w:hint="eastAsia" w:ascii="宋体" w:hAnsi="宋体"/>
          <w:b/>
          <w:color w:val="000000"/>
          <w:kern w:val="0"/>
          <w:sz w:val="44"/>
          <w:szCs w:val="44"/>
          <w:lang w:eastAsia="zh-CN"/>
        </w:rPr>
        <w:t>红原县</w:t>
      </w:r>
      <w:r>
        <w:rPr>
          <w:rFonts w:hint="eastAsia" w:ascii="宋体" w:hAnsi="宋体"/>
          <w:b/>
          <w:color w:val="000000"/>
          <w:kern w:val="0"/>
          <w:sz w:val="44"/>
          <w:szCs w:val="44"/>
        </w:rPr>
        <w:t>民政局</w:t>
      </w:r>
    </w:p>
    <w:p>
      <w:pPr>
        <w:spacing w:line="600" w:lineRule="exact"/>
        <w:jc w:val="center"/>
        <w:rPr>
          <w:rFonts w:ascii="宋体" w:hAnsi="宋体"/>
          <w:b/>
          <w:color w:val="000000"/>
          <w:kern w:val="0"/>
          <w:sz w:val="44"/>
          <w:szCs w:val="44"/>
        </w:rPr>
      </w:pPr>
      <w:r>
        <w:rPr>
          <w:rFonts w:hint="eastAsia" w:ascii="宋体" w:hAnsi="宋体"/>
          <w:b/>
          <w:color w:val="000000"/>
          <w:kern w:val="0"/>
          <w:sz w:val="44"/>
          <w:szCs w:val="44"/>
        </w:rPr>
        <w:t>2018</w:t>
      </w:r>
      <w:r>
        <w:rPr>
          <w:rFonts w:hint="eastAsia" w:ascii="宋体" w:hAnsi="宋体"/>
          <w:b/>
          <w:color w:val="000000"/>
          <w:kern w:val="0"/>
          <w:sz w:val="44"/>
          <w:szCs w:val="44"/>
          <w:lang w:val="en-US" w:eastAsia="zh-CN"/>
        </w:rPr>
        <w:t>年至2019年1-6月</w:t>
      </w:r>
      <w:r>
        <w:rPr>
          <w:rFonts w:hint="eastAsia" w:ascii="宋体" w:hAnsi="宋体"/>
          <w:b/>
          <w:color w:val="000000"/>
          <w:kern w:val="0"/>
          <w:sz w:val="44"/>
          <w:szCs w:val="44"/>
        </w:rPr>
        <w:t>部门整体支出绩效报告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spacing w:line="560" w:lineRule="exact"/>
        <w:ind w:firstLine="640" w:firstLineChars="20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spacing w:line="560" w:lineRule="exact"/>
        <w:ind w:firstLine="1280" w:firstLineChars="400"/>
        <w:rPr>
          <w:rFonts w:ascii="仿宋_GB2312" w:hAnsi="宋体" w:eastAsia="仿宋_GB2312"/>
          <w:sz w:val="32"/>
          <w:lang w:val="zh-CN"/>
        </w:rPr>
      </w:pPr>
      <w:r>
        <w:rPr>
          <w:rFonts w:hint="eastAsia" w:ascii="仿宋_GB2312" w:hAnsi="宋体" w:eastAsia="仿宋_GB2312"/>
          <w:sz w:val="32"/>
          <w:lang w:val="zh-CN"/>
        </w:rPr>
        <w:t>红原县民政局是行政单位，执行行政单位会计制度</w:t>
      </w:r>
      <w:r>
        <w:rPr>
          <w:rFonts w:hint="eastAsia" w:ascii="仿宋_GB2312" w:hAnsi="宋体"/>
          <w:sz w:val="32"/>
          <w:lang w:val="en-US" w:eastAsia="zh-CN"/>
        </w:rPr>
        <w:t>,</w:t>
      </w:r>
      <w:r>
        <w:rPr>
          <w:rFonts w:hint="eastAsia" w:ascii="仿宋_GB2312" w:hAnsi="宋体" w:eastAsia="仿宋_GB2312"/>
          <w:sz w:val="32"/>
          <w:lang w:val="zh-CN"/>
        </w:rPr>
        <w:t xml:space="preserve">是独立核算的机构，是独立编报决算的单位。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pStyle w:val="5"/>
        <w:adjustRightInd w:val="0"/>
        <w:snapToGrid w:val="0"/>
        <w:spacing w:before="93" w:line="560" w:lineRule="exact"/>
        <w:ind w:firstLine="640" w:firstLineChars="200"/>
        <w:rPr>
          <w:rFonts w:hAnsi="宋体"/>
          <w:sz w:val="32"/>
          <w:lang w:val="zh-CN"/>
        </w:rPr>
      </w:pPr>
      <w:r>
        <w:rPr>
          <w:rFonts w:hint="eastAsia" w:hAnsi="宋体"/>
          <w:sz w:val="32"/>
          <w:lang w:val="zh-CN"/>
        </w:rPr>
        <w:t>民政局是政府主管社会行政事务的职能部门。履行着“上为政府分忧，下位群众解愁”的重要职能，主管救灾救济、双拥优抚安置、民间组织管理、基层政权建设、城乡医疗救助、城市农村居民最低生活保障、社会福利和社会事务、区划地名等工作。</w:t>
      </w:r>
    </w:p>
    <w:p>
      <w:pPr>
        <w:numPr>
          <w:ilvl w:val="0"/>
          <w:numId w:val="8"/>
        </w:numPr>
        <w:snapToGrid w:val="0"/>
        <w:spacing w:line="560" w:lineRule="exact"/>
        <w:ind w:left="0" w:leftChars="0" w:firstLine="720" w:firstLineChars="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人员概况。</w:t>
      </w:r>
    </w:p>
    <w:p>
      <w:pPr>
        <w:numPr>
          <w:ilvl w:val="0"/>
          <w:numId w:val="0"/>
        </w:numPr>
        <w:snapToGrid w:val="0"/>
        <w:spacing w:line="560" w:lineRule="exact"/>
        <w:ind w:firstLine="640" w:firstLineChars="200"/>
        <w:rPr>
          <w:rFonts w:hint="default" w:ascii="仿宋_GB2312" w:hAnsi="宋体" w:eastAsia="仿宋_GB2312"/>
          <w:sz w:val="32"/>
          <w:lang w:val="en-US" w:eastAsia="zh-CN"/>
        </w:rPr>
      </w:pPr>
      <w:r>
        <w:rPr>
          <w:rFonts w:hint="eastAsia" w:ascii="仿宋_GB2312" w:hAnsi="宋体" w:eastAsia="仿宋_GB2312"/>
          <w:sz w:val="32"/>
          <w:lang w:val="zh-CN"/>
        </w:rPr>
        <w:t>我局人事核定行政编制</w:t>
      </w:r>
      <w:r>
        <w:rPr>
          <w:rFonts w:hint="eastAsia" w:ascii="仿宋_GB2312" w:hAnsi="宋体" w:eastAsia="仿宋_GB2312"/>
          <w:sz w:val="32"/>
          <w:lang w:val="en-US" w:eastAsia="zh-CN"/>
        </w:rPr>
        <w:t>8</w:t>
      </w:r>
      <w:r>
        <w:rPr>
          <w:rFonts w:hint="eastAsia" w:ascii="仿宋_GB2312" w:hAnsi="宋体" w:eastAsia="仿宋_GB2312"/>
          <w:sz w:val="32"/>
          <w:lang w:val="zh-CN"/>
        </w:rPr>
        <w:t>人，其中：行政工勤编制1人。是独立核算的机构，是独立编报预算的单位。2018年年末在职行政人数</w:t>
      </w:r>
      <w:r>
        <w:rPr>
          <w:rFonts w:hint="eastAsia" w:ascii="仿宋_GB2312" w:hAnsi="宋体" w:eastAsia="仿宋_GB2312"/>
          <w:sz w:val="32"/>
          <w:lang w:val="en-US" w:eastAsia="zh-CN"/>
        </w:rPr>
        <w:t>9</w:t>
      </w:r>
      <w:r>
        <w:rPr>
          <w:rFonts w:hint="eastAsia" w:ascii="仿宋_GB2312" w:hAnsi="宋体" w:eastAsia="仿宋_GB2312"/>
          <w:sz w:val="32"/>
          <w:lang w:val="zh-CN"/>
        </w:rPr>
        <w:t>人，其中：行政工勤在职人数1人。事业编制人数</w:t>
      </w:r>
      <w:r>
        <w:rPr>
          <w:rFonts w:hint="eastAsia" w:ascii="仿宋_GB2312" w:hAnsi="宋体" w:eastAsia="仿宋_GB2312"/>
          <w:sz w:val="32"/>
          <w:lang w:val="en-US" w:eastAsia="zh-CN"/>
        </w:rPr>
        <w:t>30人，实有人数27人。</w:t>
      </w:r>
      <w:r>
        <w:rPr>
          <w:rFonts w:hint="eastAsia" w:ascii="仿宋_GB2312" w:hAnsi="宋体"/>
          <w:sz w:val="32"/>
          <w:lang w:val="en-US" w:eastAsia="zh-CN"/>
        </w:rPr>
        <w:t>2019年机构改革人员变动，2019年6月在职人数合计33人，其中：行政7人，事业26人。</w:t>
      </w:r>
    </w:p>
    <w:p>
      <w:pPr>
        <w:keepNext w:val="0"/>
        <w:keepLines w:val="0"/>
        <w:widowControl/>
        <w:suppressLineNumbers w:val="0"/>
        <w:adjustRightInd w:val="0"/>
        <w:snapToGrid w:val="0"/>
        <w:spacing w:before="0" w:beforeAutospacing="0" w:after="0" w:afterAutospacing="0" w:line="480" w:lineRule="exact"/>
        <w:ind w:right="0" w:firstLine="210" w:firstLineChars="100"/>
        <w:jc w:val="left"/>
        <w:rPr>
          <w:rFonts w:hint="eastAsia" w:ascii="仿宋_GB2312" w:hAnsi="宋体" w:eastAsia="仿宋_GB2312" w:cs="宋体"/>
          <w:color w:val="000000"/>
          <w:kern w:val="0"/>
          <w:lang w:val="zh-CN" w:eastAsia="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spacing w:line="560" w:lineRule="exact"/>
        <w:ind w:firstLine="640" w:firstLineChars="20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spacing w:line="560" w:lineRule="exact"/>
        <w:ind w:firstLine="960" w:firstLineChars="300"/>
        <w:rPr>
          <w:rFonts w:hint="eastAsia" w:ascii="仿宋_GB2312" w:hAnsi="宋体" w:eastAsia="仿宋_GB2312"/>
          <w:sz w:val="32"/>
          <w:lang w:val="zh-CN"/>
        </w:rPr>
      </w:pPr>
      <w:r>
        <w:rPr>
          <w:rFonts w:hint="eastAsia" w:ascii="仿宋_GB2312" w:hAnsi="宋体" w:eastAsia="仿宋_GB2312"/>
          <w:sz w:val="32"/>
          <w:lang w:val="en-US" w:eastAsia="zh-CN"/>
        </w:rPr>
        <w:t>1.</w:t>
      </w:r>
      <w:r>
        <w:rPr>
          <w:rFonts w:hint="eastAsia" w:ascii="仿宋_GB2312" w:hAnsi="宋体" w:eastAsia="仿宋_GB2312"/>
          <w:sz w:val="32"/>
          <w:lang w:val="zh-CN"/>
        </w:rPr>
        <w:t>2018年度总收入</w:t>
      </w:r>
      <w:r>
        <w:rPr>
          <w:rFonts w:hint="eastAsia" w:ascii="仿宋_GB2312" w:hAnsi="宋体" w:eastAsia="仿宋_GB2312"/>
          <w:sz w:val="32"/>
          <w:lang w:val="en-US" w:eastAsia="zh-CN"/>
        </w:rPr>
        <w:t>2018.75</w:t>
      </w:r>
      <w:r>
        <w:rPr>
          <w:rFonts w:hint="eastAsia" w:ascii="仿宋_GB2312" w:hAnsi="宋体" w:eastAsia="仿宋_GB2312"/>
          <w:sz w:val="32"/>
          <w:lang w:val="zh-CN"/>
        </w:rPr>
        <w:t>万元，其中：财政拨款收入</w:t>
      </w:r>
      <w:r>
        <w:rPr>
          <w:rFonts w:hint="eastAsia" w:ascii="仿宋_GB2312" w:hAnsi="宋体" w:eastAsia="仿宋_GB2312"/>
          <w:sz w:val="32"/>
          <w:lang w:val="en-US" w:eastAsia="zh-CN"/>
        </w:rPr>
        <w:t>1940.95</w:t>
      </w:r>
      <w:r>
        <w:rPr>
          <w:rFonts w:hint="eastAsia" w:ascii="仿宋_GB2312" w:hAnsi="宋体" w:eastAsia="仿宋_GB2312"/>
          <w:sz w:val="32"/>
          <w:lang w:val="zh-CN"/>
        </w:rPr>
        <w:t>万元，占</w:t>
      </w:r>
      <w:r>
        <w:rPr>
          <w:rFonts w:hint="eastAsia" w:ascii="仿宋_GB2312" w:hAnsi="宋体" w:eastAsia="仿宋_GB2312"/>
          <w:sz w:val="32"/>
          <w:lang w:val="en-US" w:eastAsia="zh-CN"/>
        </w:rPr>
        <w:t>96</w:t>
      </w:r>
      <w:r>
        <w:rPr>
          <w:rFonts w:hint="eastAsia" w:ascii="仿宋_GB2312" w:hAnsi="宋体" w:eastAsia="仿宋_GB2312"/>
          <w:sz w:val="32"/>
          <w:lang w:val="zh-CN"/>
        </w:rPr>
        <w:t>%；政府性基金预算财政拨款</w:t>
      </w:r>
      <w:r>
        <w:rPr>
          <w:rFonts w:hint="eastAsia" w:ascii="仿宋_GB2312" w:hAnsi="宋体" w:eastAsia="仿宋_GB2312"/>
          <w:sz w:val="32"/>
          <w:lang w:val="en-US" w:eastAsia="zh-CN"/>
        </w:rPr>
        <w:t>76.5</w:t>
      </w:r>
      <w:r>
        <w:rPr>
          <w:rFonts w:hint="eastAsia" w:ascii="仿宋_GB2312" w:hAnsi="宋体" w:eastAsia="仿宋_GB2312"/>
          <w:sz w:val="32"/>
          <w:lang w:val="zh-CN"/>
        </w:rPr>
        <w:t>万元，占</w:t>
      </w:r>
      <w:r>
        <w:rPr>
          <w:rFonts w:hint="eastAsia" w:ascii="仿宋_GB2312" w:hAnsi="宋体" w:eastAsia="仿宋_GB2312"/>
          <w:sz w:val="32"/>
          <w:lang w:val="en-US" w:eastAsia="zh-CN"/>
        </w:rPr>
        <w:t>3.6</w:t>
      </w:r>
      <w:r>
        <w:rPr>
          <w:rFonts w:hint="eastAsia" w:ascii="仿宋_GB2312" w:hAnsi="宋体" w:eastAsia="仿宋_GB2312"/>
          <w:sz w:val="32"/>
          <w:lang w:val="zh-CN"/>
        </w:rPr>
        <w:t>%；其他收入</w:t>
      </w:r>
      <w:r>
        <w:rPr>
          <w:rFonts w:hint="eastAsia" w:ascii="仿宋_GB2312" w:hAnsi="宋体" w:eastAsia="仿宋_GB2312"/>
          <w:sz w:val="32"/>
          <w:lang w:val="en-US" w:eastAsia="zh-CN"/>
        </w:rPr>
        <w:t>1.3</w:t>
      </w:r>
      <w:r>
        <w:rPr>
          <w:rFonts w:hint="eastAsia" w:ascii="仿宋_GB2312" w:hAnsi="宋体" w:eastAsia="仿宋_GB2312"/>
          <w:sz w:val="32"/>
          <w:lang w:val="zh-CN"/>
        </w:rPr>
        <w:t>万元利息，占</w:t>
      </w:r>
      <w:r>
        <w:rPr>
          <w:rFonts w:hint="eastAsia" w:ascii="仿宋_GB2312" w:hAnsi="宋体" w:eastAsia="仿宋_GB2312"/>
          <w:sz w:val="32"/>
          <w:lang w:val="en-US" w:eastAsia="zh-CN"/>
        </w:rPr>
        <w:t>0.4</w:t>
      </w:r>
      <w:r>
        <w:rPr>
          <w:rFonts w:hint="eastAsia" w:ascii="仿宋_GB2312" w:hAnsi="宋体" w:eastAsia="仿宋_GB2312"/>
          <w:sz w:val="32"/>
          <w:lang w:val="zh-CN"/>
        </w:rPr>
        <w:t>%；上级补助收入0万元，占0%；事业收入0万元，占0%；经营收入0万元，占0%；附属单位上缴收入0万元，占0%；上年项目支出结转和结余</w:t>
      </w:r>
      <w:r>
        <w:rPr>
          <w:rFonts w:hint="eastAsia" w:ascii="仿宋_GB2312" w:hAnsi="宋体" w:eastAsia="仿宋_GB2312"/>
          <w:sz w:val="32"/>
          <w:lang w:val="en-US" w:eastAsia="zh-CN"/>
        </w:rPr>
        <w:t>461.63</w:t>
      </w:r>
      <w:r>
        <w:rPr>
          <w:rFonts w:hint="eastAsia" w:ascii="仿宋_GB2312" w:hAnsi="宋体" w:eastAsia="仿宋_GB2312"/>
          <w:sz w:val="32"/>
          <w:lang w:val="zh-CN"/>
        </w:rPr>
        <w:t>万元，占</w:t>
      </w:r>
      <w:r>
        <w:rPr>
          <w:rFonts w:hint="eastAsia" w:ascii="仿宋_GB2312" w:hAnsi="宋体" w:eastAsia="仿宋_GB2312"/>
          <w:sz w:val="32"/>
          <w:lang w:val="en-US" w:eastAsia="zh-CN"/>
        </w:rPr>
        <w:t>22.03</w:t>
      </w:r>
      <w:r>
        <w:rPr>
          <w:rFonts w:hint="eastAsia" w:ascii="仿宋_GB2312" w:hAnsi="宋体" w:eastAsia="仿宋_GB2312"/>
          <w:sz w:val="32"/>
          <w:lang w:val="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hAnsi="宋体" w:eastAsia="仿宋_GB2312"/>
          <w:sz w:val="32"/>
          <w:lang w:val="en-US" w:eastAsia="zh-CN"/>
        </w:rPr>
        <w:t>2.2019年</w:t>
      </w:r>
      <w:r>
        <w:rPr>
          <w:rFonts w:hint="eastAsia" w:ascii="仿宋_GB2312" w:eastAsia="仿宋_GB2312"/>
          <w:sz w:val="32"/>
          <w:szCs w:val="32"/>
          <w:lang w:val="en-US" w:eastAsia="zh-CN"/>
        </w:rPr>
        <w:t>民政局</w:t>
      </w:r>
      <w:r>
        <w:rPr>
          <w:rFonts w:hint="eastAsia" w:ascii="仿宋_GB2312" w:eastAsia="仿宋_GB2312"/>
          <w:sz w:val="32"/>
          <w:szCs w:val="32"/>
        </w:rPr>
        <w:t>收入预算总额为</w:t>
      </w:r>
      <w:r>
        <w:rPr>
          <w:rFonts w:hint="eastAsia" w:ascii="仿宋_GB2312" w:eastAsia="仿宋_GB2312"/>
          <w:sz w:val="32"/>
          <w:szCs w:val="32"/>
          <w:lang w:val="en-US" w:eastAsia="zh-CN"/>
        </w:rPr>
        <w:t>765.35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765.34</w:t>
      </w:r>
      <w:r>
        <w:rPr>
          <w:rFonts w:hint="eastAsia" w:ascii="仿宋_GB2312" w:eastAsia="仿宋_GB2312"/>
          <w:sz w:val="32"/>
          <w:szCs w:val="32"/>
        </w:rPr>
        <w:t>万元。相应安排支出预算</w:t>
      </w:r>
      <w:r>
        <w:rPr>
          <w:rFonts w:hint="eastAsia" w:ascii="仿宋_GB2312" w:eastAsia="仿宋_GB2312"/>
          <w:sz w:val="32"/>
          <w:szCs w:val="32"/>
          <w:lang w:val="en-US" w:eastAsia="zh-CN"/>
        </w:rPr>
        <w:t>765.34</w:t>
      </w:r>
      <w:r>
        <w:rPr>
          <w:rFonts w:hint="eastAsia" w:ascii="仿宋_GB2312" w:eastAsia="仿宋_GB2312"/>
          <w:sz w:val="32"/>
          <w:szCs w:val="32"/>
        </w:rPr>
        <w:t>万元，其中：一般公共服务</w:t>
      </w:r>
      <w:r>
        <w:rPr>
          <w:rFonts w:hint="eastAsia" w:ascii="仿宋_GB2312" w:eastAsia="仿宋_GB2312"/>
          <w:sz w:val="32"/>
          <w:szCs w:val="32"/>
          <w:lang w:val="en-US" w:eastAsia="zh-CN"/>
        </w:rPr>
        <w:t>514.25</w:t>
      </w:r>
      <w:r>
        <w:rPr>
          <w:rFonts w:hint="eastAsia" w:ascii="仿宋_GB2312" w:eastAsia="仿宋_GB2312"/>
          <w:sz w:val="32"/>
          <w:szCs w:val="32"/>
        </w:rPr>
        <w:t>万元，社会保障和就业</w:t>
      </w:r>
      <w:r>
        <w:rPr>
          <w:rFonts w:hint="eastAsia" w:ascii="仿宋_GB2312" w:eastAsia="仿宋_GB2312"/>
          <w:sz w:val="32"/>
          <w:szCs w:val="32"/>
          <w:lang w:val="en-US" w:eastAsia="zh-CN"/>
        </w:rPr>
        <w:t>118.05</w:t>
      </w:r>
      <w:r>
        <w:rPr>
          <w:rFonts w:hint="eastAsia" w:ascii="仿宋_GB2312" w:eastAsia="仿宋_GB2312"/>
          <w:sz w:val="32"/>
          <w:szCs w:val="32"/>
        </w:rPr>
        <w:t>万元，医疗卫生</w:t>
      </w:r>
      <w:r>
        <w:rPr>
          <w:rFonts w:hint="eastAsia" w:ascii="仿宋_GB2312" w:eastAsia="仿宋_GB2312"/>
          <w:sz w:val="32"/>
          <w:szCs w:val="32"/>
          <w:lang w:val="en-US" w:eastAsia="zh-CN"/>
        </w:rPr>
        <w:t>3.34</w:t>
      </w:r>
      <w:r>
        <w:rPr>
          <w:rFonts w:hint="eastAsia" w:ascii="仿宋_GB2312" w:eastAsia="仿宋_GB2312"/>
          <w:sz w:val="32"/>
          <w:szCs w:val="32"/>
        </w:rPr>
        <w:t>万元，住房保障支出</w:t>
      </w:r>
      <w:r>
        <w:rPr>
          <w:rFonts w:hint="eastAsia" w:ascii="仿宋_GB2312" w:eastAsia="仿宋_GB2312"/>
          <w:sz w:val="32"/>
          <w:szCs w:val="32"/>
          <w:lang w:val="en-US" w:eastAsia="zh-CN"/>
        </w:rPr>
        <w:t>46.53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工会经费3.91万元，公务用车运行维护费4.6万元，</w:t>
      </w:r>
      <w:r>
        <w:rPr>
          <w:rFonts w:hint="eastAsia" w:ascii="仿宋_GB2312" w:eastAsia="仿宋_GB2312"/>
          <w:sz w:val="32"/>
          <w:szCs w:val="32"/>
          <w:lang w:eastAsia="zh-CN"/>
        </w:rPr>
        <w:t>党建经费</w:t>
      </w:r>
      <w:r>
        <w:rPr>
          <w:rFonts w:hint="eastAsia" w:ascii="仿宋_GB2312" w:eastAsia="仿宋_GB2312"/>
          <w:sz w:val="32"/>
          <w:szCs w:val="32"/>
          <w:lang w:val="en-US" w:eastAsia="zh-CN"/>
        </w:rPr>
        <w:t>3.17万元，</w:t>
      </w:r>
      <w:r>
        <w:rPr>
          <w:rFonts w:hint="eastAsia" w:ascii="仿宋_GB2312" w:eastAsia="仿宋_GB2312"/>
          <w:sz w:val="32"/>
          <w:szCs w:val="32"/>
          <w:lang w:eastAsia="zh-CN"/>
        </w:rPr>
        <w:t>经财网网费</w:t>
      </w:r>
      <w:r>
        <w:rPr>
          <w:rFonts w:hint="eastAsia" w:ascii="仿宋_GB2312" w:eastAsia="仿宋_GB2312"/>
          <w:sz w:val="32"/>
          <w:szCs w:val="32"/>
          <w:lang w:val="en-US" w:eastAsia="zh-CN"/>
        </w:rPr>
        <w:t>0.4万元，独子费0.007万元，离退休体检费0.86万元，遗属补助2.54万元，特困人员生活补助31.08万元，临时工工资36.6万元</w:t>
      </w:r>
      <w:r>
        <w:rPr>
          <w:rFonts w:hint="eastAsia" w:ascii="仿宋_GB2312" w:eastAsia="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numPr>
          <w:ilvl w:val="0"/>
          <w:numId w:val="9"/>
        </w:numPr>
        <w:spacing w:line="560" w:lineRule="exact"/>
        <w:ind w:firstLine="640" w:firstLineChars="20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numPr>
          <w:ilvl w:val="0"/>
          <w:numId w:val="0"/>
        </w:numPr>
        <w:spacing w:line="560" w:lineRule="exact"/>
        <w:ind w:firstLine="640" w:firstLineChars="200"/>
        <w:rPr>
          <w:rFonts w:hint="eastAsia" w:ascii="仿宋_GB2312" w:hAnsi="宋体" w:eastAsia="仿宋_GB2312"/>
          <w:sz w:val="32"/>
          <w:lang w:val="zh-CN"/>
        </w:rPr>
      </w:pPr>
      <w:r>
        <w:rPr>
          <w:rFonts w:hint="eastAsia" w:ascii="仿宋_GB2312" w:hAnsi="宋体" w:eastAsia="仿宋_GB2312"/>
          <w:sz w:val="32"/>
          <w:lang w:val="zh-CN"/>
        </w:rPr>
        <w:t>一、2018年支出合计</w:t>
      </w:r>
      <w:r>
        <w:rPr>
          <w:rFonts w:hint="eastAsia" w:ascii="仿宋_GB2312" w:hAnsi="宋体" w:eastAsia="仿宋_GB2312"/>
          <w:sz w:val="32"/>
          <w:lang w:val="en-US" w:eastAsia="zh-CN"/>
        </w:rPr>
        <w:t>2058.65</w:t>
      </w:r>
      <w:r>
        <w:rPr>
          <w:rFonts w:hint="eastAsia" w:ascii="仿宋_GB2312" w:hAnsi="宋体" w:eastAsia="仿宋_GB2312"/>
          <w:sz w:val="32"/>
          <w:lang w:val="zh-CN"/>
        </w:rPr>
        <w:t>万元，其中：一般公共服务支出</w:t>
      </w:r>
      <w:r>
        <w:rPr>
          <w:rFonts w:hint="eastAsia" w:ascii="仿宋_GB2312" w:hAnsi="宋体" w:eastAsia="仿宋_GB2312"/>
          <w:sz w:val="32"/>
          <w:lang w:val="en-US" w:eastAsia="zh-CN"/>
        </w:rPr>
        <w:t>59.6</w:t>
      </w:r>
      <w:r>
        <w:rPr>
          <w:rFonts w:hint="eastAsia" w:ascii="仿宋_GB2312" w:hAnsi="宋体" w:eastAsia="仿宋_GB2312"/>
          <w:sz w:val="32"/>
          <w:lang w:val="zh-CN"/>
        </w:rPr>
        <w:t>万元，占</w:t>
      </w:r>
      <w:r>
        <w:rPr>
          <w:rFonts w:hint="eastAsia" w:ascii="仿宋_GB2312" w:hAnsi="宋体" w:eastAsia="仿宋_GB2312"/>
          <w:sz w:val="32"/>
          <w:lang w:val="en-US" w:eastAsia="zh-CN"/>
        </w:rPr>
        <w:t>2.9</w:t>
      </w:r>
      <w:r>
        <w:rPr>
          <w:rFonts w:hint="eastAsia" w:ascii="仿宋_GB2312" w:hAnsi="宋体" w:eastAsia="仿宋_GB2312"/>
          <w:sz w:val="32"/>
          <w:lang w:val="zh-CN"/>
        </w:rPr>
        <w:t>%；社会保障和就业支出</w:t>
      </w:r>
      <w:r>
        <w:rPr>
          <w:rFonts w:hint="eastAsia" w:ascii="仿宋_GB2312" w:hAnsi="宋体" w:eastAsia="仿宋_GB2312"/>
          <w:sz w:val="32"/>
          <w:lang w:val="en-US" w:eastAsia="zh-CN"/>
        </w:rPr>
        <w:t>1754.22</w:t>
      </w:r>
      <w:r>
        <w:rPr>
          <w:rFonts w:hint="eastAsia" w:ascii="仿宋_GB2312" w:hAnsi="宋体" w:eastAsia="仿宋_GB2312"/>
          <w:sz w:val="32"/>
          <w:lang w:val="zh-CN"/>
        </w:rPr>
        <w:t>万元，占</w:t>
      </w:r>
      <w:r>
        <w:rPr>
          <w:rFonts w:hint="eastAsia" w:ascii="仿宋_GB2312" w:hAnsi="宋体" w:eastAsia="仿宋_GB2312"/>
          <w:sz w:val="32"/>
          <w:lang w:val="en-US" w:eastAsia="zh-CN"/>
        </w:rPr>
        <w:t>85.21</w:t>
      </w:r>
      <w:r>
        <w:rPr>
          <w:rFonts w:hint="eastAsia" w:ascii="仿宋_GB2312" w:hAnsi="宋体" w:eastAsia="仿宋_GB2312"/>
          <w:sz w:val="32"/>
          <w:lang w:val="zh-CN"/>
        </w:rPr>
        <w:t>%；医疗卫生与计划生育支出</w:t>
      </w:r>
      <w:r>
        <w:rPr>
          <w:rFonts w:hint="eastAsia" w:ascii="仿宋_GB2312" w:hAnsi="宋体" w:eastAsia="仿宋_GB2312"/>
          <w:sz w:val="32"/>
          <w:lang w:val="en-US" w:eastAsia="zh-CN"/>
        </w:rPr>
        <w:t>30.75</w:t>
      </w:r>
      <w:r>
        <w:rPr>
          <w:rFonts w:hint="eastAsia" w:ascii="仿宋_GB2312" w:hAnsi="宋体" w:eastAsia="仿宋_GB2312"/>
          <w:sz w:val="32"/>
          <w:lang w:val="zh-CN"/>
        </w:rPr>
        <w:t>万元，占</w:t>
      </w:r>
      <w:r>
        <w:rPr>
          <w:rFonts w:hint="eastAsia" w:ascii="仿宋_GB2312" w:hAnsi="宋体" w:eastAsia="仿宋_GB2312"/>
          <w:sz w:val="32"/>
          <w:lang w:val="en-US" w:eastAsia="zh-CN"/>
        </w:rPr>
        <w:t>1.5</w:t>
      </w:r>
      <w:r>
        <w:rPr>
          <w:rFonts w:hint="eastAsia" w:ascii="仿宋_GB2312" w:hAnsi="宋体" w:eastAsia="仿宋_GB2312"/>
          <w:sz w:val="32"/>
          <w:lang w:val="zh-CN"/>
        </w:rPr>
        <w:t>%；住房保障支出</w:t>
      </w:r>
      <w:r>
        <w:rPr>
          <w:rFonts w:hint="eastAsia" w:ascii="仿宋_GB2312" w:hAnsi="宋体" w:eastAsia="仿宋_GB2312"/>
          <w:sz w:val="32"/>
          <w:lang w:val="en-US" w:eastAsia="zh-CN"/>
        </w:rPr>
        <w:t>38.41</w:t>
      </w:r>
      <w:r>
        <w:rPr>
          <w:rFonts w:hint="eastAsia" w:ascii="仿宋_GB2312" w:hAnsi="宋体" w:eastAsia="仿宋_GB2312"/>
          <w:sz w:val="32"/>
          <w:lang w:val="zh-CN"/>
        </w:rPr>
        <w:t>万元，占</w:t>
      </w:r>
      <w:r>
        <w:rPr>
          <w:rFonts w:hint="eastAsia" w:ascii="仿宋_GB2312" w:hAnsi="宋体" w:eastAsia="仿宋_GB2312"/>
          <w:sz w:val="32"/>
          <w:lang w:val="en-US" w:eastAsia="zh-CN"/>
        </w:rPr>
        <w:t>1.9</w:t>
      </w:r>
      <w:r>
        <w:rPr>
          <w:rFonts w:hint="eastAsia" w:ascii="仿宋_GB2312" w:hAnsi="宋体" w:eastAsia="仿宋_GB2312"/>
          <w:sz w:val="32"/>
          <w:lang w:val="zh-CN"/>
        </w:rPr>
        <w:t>%；其他支出</w:t>
      </w:r>
      <w:r>
        <w:rPr>
          <w:rFonts w:hint="eastAsia" w:ascii="仿宋_GB2312" w:hAnsi="宋体" w:eastAsia="仿宋_GB2312"/>
          <w:sz w:val="32"/>
          <w:lang w:val="en-US" w:eastAsia="zh-CN"/>
        </w:rPr>
        <w:t>175.67</w:t>
      </w:r>
      <w:r>
        <w:rPr>
          <w:rFonts w:hint="eastAsia" w:ascii="仿宋_GB2312" w:hAnsi="宋体" w:eastAsia="仿宋_GB2312"/>
          <w:sz w:val="32"/>
          <w:lang w:val="zh-CN"/>
        </w:rPr>
        <w:t>万元，占</w:t>
      </w:r>
      <w:r>
        <w:rPr>
          <w:rFonts w:hint="eastAsia" w:ascii="仿宋_GB2312" w:hAnsi="宋体" w:eastAsia="仿宋_GB2312"/>
          <w:sz w:val="32"/>
          <w:lang w:val="en-US" w:eastAsia="zh-CN"/>
        </w:rPr>
        <w:t>8.53</w:t>
      </w:r>
      <w:r>
        <w:rPr>
          <w:rFonts w:hint="eastAsia" w:ascii="仿宋_GB2312" w:hAnsi="宋体" w:eastAsia="仿宋_GB2312"/>
          <w:sz w:val="32"/>
          <w:lang w:val="zh-CN"/>
        </w:rPr>
        <w:t>%。</w:t>
      </w:r>
    </w:p>
    <w:p>
      <w:pPr>
        <w:spacing w:line="560" w:lineRule="exact"/>
        <w:ind w:firstLine="640" w:firstLineChars="200"/>
        <w:rPr>
          <w:rFonts w:hint="default" w:ascii="仿宋_GB2312" w:eastAsia="仿宋_GB2312"/>
          <w:sz w:val="32"/>
          <w:szCs w:val="32"/>
          <w:lang w:val="en-US" w:eastAsia="zh-CN"/>
        </w:rPr>
      </w:pPr>
      <w:r>
        <w:rPr>
          <w:rFonts w:hint="eastAsia" w:ascii="仿宋_GB2312" w:hAnsi="宋体" w:eastAsia="仿宋_GB2312"/>
          <w:sz w:val="32"/>
          <w:lang w:val="zh-CN"/>
        </w:rPr>
        <w:t>二、</w:t>
      </w:r>
      <w:r>
        <w:rPr>
          <w:rFonts w:hint="eastAsia" w:ascii="仿宋_GB2312" w:hAnsi="宋体" w:eastAsia="仿宋_GB2312"/>
          <w:sz w:val="32"/>
          <w:lang w:val="en-US" w:eastAsia="zh-CN"/>
        </w:rPr>
        <w:t>2019年1至6月支出合计</w:t>
      </w:r>
      <w:r>
        <w:rPr>
          <w:rFonts w:hint="eastAsia" w:ascii="仿宋_GB2312" w:hAnsi="宋体"/>
          <w:sz w:val="32"/>
          <w:lang w:val="en-US" w:eastAsia="zh-CN"/>
        </w:rPr>
        <w:t>689.23</w:t>
      </w:r>
      <w:r>
        <w:rPr>
          <w:rFonts w:hint="eastAsia" w:ascii="仿宋_GB2312" w:eastAsia="仿宋_GB2312"/>
          <w:sz w:val="32"/>
          <w:szCs w:val="32"/>
        </w:rPr>
        <w:t>万元，其中：社会保障和就业</w:t>
      </w:r>
      <w:r>
        <w:rPr>
          <w:rFonts w:hint="eastAsia" w:ascii="仿宋_GB2312"/>
          <w:sz w:val="32"/>
          <w:szCs w:val="32"/>
          <w:lang w:val="en-US" w:eastAsia="zh-CN"/>
        </w:rPr>
        <w:t>131.82</w:t>
      </w:r>
      <w:r>
        <w:rPr>
          <w:rFonts w:hint="eastAsia" w:ascii="仿宋_GB2312" w:eastAsia="仿宋_GB2312"/>
          <w:sz w:val="32"/>
          <w:szCs w:val="32"/>
        </w:rPr>
        <w:t>万元</w:t>
      </w:r>
      <w:r>
        <w:rPr>
          <w:rFonts w:hint="eastAsia" w:ascii="仿宋_GB2312"/>
          <w:sz w:val="32"/>
          <w:szCs w:val="32"/>
          <w:lang w:eastAsia="zh-CN"/>
        </w:rPr>
        <w:t>，</w:t>
      </w:r>
      <w:r>
        <w:rPr>
          <w:rFonts w:hint="eastAsia" w:ascii="仿宋_GB2312" w:eastAsia="仿宋_GB2312"/>
          <w:sz w:val="32"/>
          <w:szCs w:val="32"/>
        </w:rPr>
        <w:t>医疗卫生</w:t>
      </w:r>
      <w:r>
        <w:rPr>
          <w:rFonts w:hint="eastAsia" w:ascii="仿宋_GB2312" w:eastAsia="仿宋_GB2312"/>
          <w:sz w:val="32"/>
          <w:szCs w:val="32"/>
          <w:lang w:val="en-US" w:eastAsia="zh-CN"/>
        </w:rPr>
        <w:t>4.76</w:t>
      </w:r>
      <w:r>
        <w:rPr>
          <w:rFonts w:hint="eastAsia" w:ascii="仿宋_GB2312" w:eastAsia="仿宋_GB2312"/>
          <w:sz w:val="32"/>
          <w:szCs w:val="32"/>
        </w:rPr>
        <w:t>万元，住房保障支出</w:t>
      </w:r>
      <w:r>
        <w:rPr>
          <w:rFonts w:hint="eastAsia" w:ascii="仿宋_GB2312" w:eastAsia="仿宋_GB2312"/>
          <w:sz w:val="32"/>
          <w:szCs w:val="32"/>
          <w:lang w:val="en-US" w:eastAsia="zh-CN"/>
        </w:rPr>
        <w:t>21.23</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特困人员生活补助22.82万元，临时工工资19.45万元</w:t>
      </w:r>
      <w:r>
        <w:rPr>
          <w:rFonts w:hint="eastAsia" w:ascii="仿宋_GB2312" w:eastAsia="仿宋_GB2312"/>
          <w:sz w:val="32"/>
          <w:szCs w:val="32"/>
        </w:rPr>
        <w:t>。</w:t>
      </w:r>
      <w:r>
        <w:rPr>
          <w:rFonts w:hint="eastAsia" w:ascii="仿宋_GB2312" w:eastAsia="仿宋_GB2312"/>
          <w:sz w:val="32"/>
          <w:szCs w:val="32"/>
          <w:lang w:eastAsia="zh-CN"/>
        </w:rPr>
        <w:t>重度残疾人护理费</w:t>
      </w:r>
      <w:r>
        <w:rPr>
          <w:rFonts w:hint="eastAsia" w:ascii="仿宋_GB2312" w:eastAsia="仿宋_GB2312"/>
          <w:sz w:val="32"/>
          <w:szCs w:val="32"/>
          <w:lang w:val="en-US" w:eastAsia="zh-CN"/>
        </w:rPr>
        <w:t>35.01万元，困难残疾人生活补贴25.71万元，</w:t>
      </w:r>
      <w:r>
        <w:rPr>
          <w:rFonts w:hint="eastAsia" w:ascii="仿宋_GB2312"/>
          <w:sz w:val="32"/>
          <w:szCs w:val="32"/>
          <w:lang w:val="en-US" w:eastAsia="zh-CN"/>
        </w:rPr>
        <w:t>农牧民特困群众生活救助资金107万元，军军休人员工资104.97万元，老年福利48.15万元，孤儿生活补助11.88万元，临时救助4万元，流浪乞讨2.86万元，遗属生活补助1.2万元，自然灾害21.18万元，项目支出104.28万元，春节慰问11.4万元，</w:t>
      </w:r>
      <w:r>
        <w:rPr>
          <w:rFonts w:hint="eastAsia" w:ascii="仿宋_GB2312" w:eastAsia="仿宋_GB2312"/>
          <w:sz w:val="32"/>
          <w:szCs w:val="32"/>
          <w:lang w:val="en-US" w:eastAsia="zh-CN"/>
        </w:rPr>
        <w:t>其他资金支出</w:t>
      </w:r>
      <w:r>
        <w:rPr>
          <w:rFonts w:hint="eastAsia" w:ascii="仿宋_GB2312"/>
          <w:sz w:val="32"/>
          <w:szCs w:val="32"/>
          <w:lang w:val="en-US" w:eastAsia="zh-CN"/>
        </w:rPr>
        <w:t>11.51</w:t>
      </w:r>
      <w:r>
        <w:rPr>
          <w:rFonts w:hint="eastAsia" w:ascii="仿宋_GB2312" w:eastAsia="仿宋_GB2312"/>
          <w:sz w:val="32"/>
          <w:szCs w:val="32"/>
          <w:lang w:val="en-US" w:eastAsia="zh-CN"/>
        </w:rPr>
        <w:t>万元</w:t>
      </w:r>
      <w:r>
        <w:rPr>
          <w:rFonts w:hint="eastAsia" w:ascii="仿宋_GB2312"/>
          <w:sz w:val="32"/>
          <w:szCs w:val="32"/>
          <w:lang w:val="en-US" w:eastAsia="zh-CN"/>
        </w:rPr>
        <w:t>（单位管理经费）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1、2018年度年初预算基本情况</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2018年，本部门年初预算收入</w:t>
      </w:r>
      <w:r>
        <w:rPr>
          <w:rFonts w:hint="eastAsia" w:ascii="仿宋_GB2312" w:eastAsia="仿宋_GB2312"/>
          <w:sz w:val="32"/>
          <w:szCs w:val="32"/>
          <w:lang w:val="en-US" w:eastAsia="zh-CN"/>
        </w:rPr>
        <w:t>565.22</w:t>
      </w:r>
      <w:r>
        <w:rPr>
          <w:rFonts w:hint="eastAsia" w:ascii="仿宋_GB2312" w:hAnsi="宋体" w:eastAsia="仿宋_GB2312" w:cs="Times New Roman"/>
          <w:kern w:val="2"/>
          <w:sz w:val="32"/>
          <w:lang w:val="zh-CN"/>
        </w:rPr>
        <w:t>万元，其中：财政拨款收入年初预算</w:t>
      </w:r>
      <w:r>
        <w:rPr>
          <w:rFonts w:hint="eastAsia" w:ascii="仿宋_GB2312" w:eastAsia="仿宋_GB2312"/>
          <w:sz w:val="32"/>
          <w:szCs w:val="32"/>
          <w:lang w:val="en-US" w:eastAsia="zh-CN"/>
        </w:rPr>
        <w:t>565.22</w:t>
      </w:r>
      <w:r>
        <w:rPr>
          <w:rFonts w:hint="eastAsia" w:ascii="仿宋_GB2312" w:hAnsi="宋体" w:eastAsia="仿宋_GB2312" w:cs="Times New Roman"/>
          <w:kern w:val="2"/>
          <w:sz w:val="32"/>
          <w:lang w:val="zh-CN"/>
        </w:rPr>
        <w:t>万元，占100%。</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宋体" w:eastAsia="仿宋_GB2312" w:cs="Times New Roman"/>
          <w:kern w:val="2"/>
          <w:sz w:val="32"/>
          <w:lang w:val="zh-CN"/>
        </w:rPr>
      </w:pPr>
      <w:r>
        <w:rPr>
          <w:rFonts w:hint="eastAsia" w:ascii="仿宋_GB2312" w:hAnsi="宋体" w:cs="Times New Roman"/>
          <w:kern w:val="2"/>
          <w:sz w:val="32"/>
          <w:lang w:val="en-US" w:eastAsia="zh-CN"/>
        </w:rPr>
        <w:t>2018年</w:t>
      </w:r>
      <w:r>
        <w:rPr>
          <w:rFonts w:hint="eastAsia" w:ascii="仿宋_GB2312" w:hAnsi="宋体" w:eastAsia="仿宋_GB2312" w:cs="Times New Roman"/>
          <w:kern w:val="2"/>
          <w:sz w:val="32"/>
          <w:lang w:val="zh-CN"/>
        </w:rPr>
        <w:t>支出预算</w:t>
      </w:r>
      <w:r>
        <w:rPr>
          <w:rFonts w:hint="eastAsia" w:ascii="仿宋_GB2312" w:hAnsi="宋体" w:eastAsia="仿宋_GB2312" w:cs="Times New Roman"/>
          <w:kern w:val="2"/>
          <w:sz w:val="32"/>
          <w:lang w:val="en-US" w:eastAsia="zh-CN"/>
        </w:rPr>
        <w:t>1057.88</w:t>
      </w:r>
      <w:r>
        <w:rPr>
          <w:rFonts w:hint="eastAsia" w:ascii="仿宋_GB2312" w:hAnsi="宋体" w:eastAsia="仿宋_GB2312" w:cs="Times New Roman"/>
          <w:kern w:val="2"/>
          <w:sz w:val="32"/>
          <w:lang w:val="zh-CN"/>
        </w:rPr>
        <w:t>万元中，基本支出</w:t>
      </w:r>
      <w:r>
        <w:rPr>
          <w:rFonts w:hint="eastAsia" w:ascii="仿宋_GB2312" w:eastAsia="仿宋_GB2312"/>
          <w:sz w:val="32"/>
          <w:szCs w:val="32"/>
          <w:lang w:val="en-US" w:eastAsia="zh-CN"/>
        </w:rPr>
        <w:t>492.67</w:t>
      </w:r>
      <w:r>
        <w:rPr>
          <w:rFonts w:hint="eastAsia" w:ascii="仿宋_GB2312" w:hAnsi="宋体" w:eastAsia="仿宋_GB2312" w:cs="Times New Roman"/>
          <w:kern w:val="2"/>
          <w:sz w:val="32"/>
          <w:lang w:val="zh-CN"/>
        </w:rPr>
        <w:t>万元占</w:t>
      </w:r>
      <w:r>
        <w:rPr>
          <w:rFonts w:hint="eastAsia" w:ascii="仿宋_GB2312" w:hAnsi="宋体" w:eastAsia="仿宋_GB2312" w:cs="Times New Roman"/>
          <w:kern w:val="2"/>
          <w:sz w:val="32"/>
          <w:lang w:val="en-US" w:eastAsia="zh-CN"/>
        </w:rPr>
        <w:t>46.57</w:t>
      </w:r>
      <w:r>
        <w:rPr>
          <w:rFonts w:hint="eastAsia" w:ascii="仿宋_GB2312" w:hAnsi="宋体" w:eastAsia="仿宋_GB2312" w:cs="Times New Roman"/>
          <w:kern w:val="2"/>
          <w:sz w:val="32"/>
          <w:lang w:val="zh-CN"/>
        </w:rPr>
        <w:t>%，</w:t>
      </w:r>
      <w:r>
        <w:rPr>
          <w:rFonts w:hint="eastAsia" w:ascii="仿宋_GB2312" w:eastAsia="仿宋_GB2312"/>
          <w:sz w:val="32"/>
          <w:szCs w:val="32"/>
        </w:rPr>
        <w:t>社会保障和就业</w:t>
      </w:r>
      <w:r>
        <w:rPr>
          <w:rFonts w:hint="eastAsia" w:ascii="仿宋_GB2312" w:eastAsia="仿宋_GB2312"/>
          <w:sz w:val="32"/>
          <w:szCs w:val="32"/>
          <w:lang w:val="en-US" w:eastAsia="zh-CN"/>
        </w:rPr>
        <w:t>507.16</w:t>
      </w:r>
      <w:r>
        <w:rPr>
          <w:rFonts w:hint="eastAsia" w:ascii="仿宋_GB2312" w:eastAsia="仿宋_GB2312"/>
          <w:sz w:val="32"/>
          <w:szCs w:val="32"/>
          <w:lang w:eastAsia="zh-CN"/>
        </w:rPr>
        <w:t>万元</w:t>
      </w:r>
      <w:r>
        <w:rPr>
          <w:rFonts w:hint="eastAsia" w:ascii="仿宋_GB2312" w:hAnsi="宋体" w:eastAsia="仿宋_GB2312" w:cs="Times New Roman"/>
          <w:kern w:val="2"/>
          <w:sz w:val="32"/>
          <w:lang w:val="zh-CN"/>
        </w:rPr>
        <w:t>占</w:t>
      </w:r>
      <w:r>
        <w:rPr>
          <w:rFonts w:hint="eastAsia" w:ascii="仿宋_GB2312" w:hAnsi="宋体" w:eastAsia="仿宋_GB2312" w:cs="Times New Roman"/>
          <w:kern w:val="2"/>
          <w:sz w:val="32"/>
          <w:lang w:val="en-US" w:eastAsia="zh-CN"/>
        </w:rPr>
        <w:t>47.94</w:t>
      </w:r>
      <w:r>
        <w:rPr>
          <w:rFonts w:hint="eastAsia" w:ascii="仿宋_GB2312" w:hAnsi="宋体" w:eastAsia="仿宋_GB2312" w:cs="Times New Roman"/>
          <w:kern w:val="2"/>
          <w:sz w:val="32"/>
          <w:lang w:val="zh-CN"/>
        </w:rPr>
        <w:t>%</w:t>
      </w:r>
      <w:r>
        <w:rPr>
          <w:rFonts w:hint="eastAsia" w:ascii="仿宋_GB2312" w:eastAsia="仿宋_GB2312"/>
          <w:sz w:val="32"/>
          <w:szCs w:val="32"/>
          <w:lang w:eastAsia="zh-CN"/>
        </w:rPr>
        <w:t>，</w:t>
      </w:r>
      <w:r>
        <w:rPr>
          <w:rFonts w:hint="eastAsia" w:ascii="仿宋_GB2312" w:eastAsia="仿宋_GB2312"/>
          <w:sz w:val="32"/>
          <w:szCs w:val="32"/>
        </w:rPr>
        <w:t>医疗卫生</w:t>
      </w:r>
      <w:r>
        <w:rPr>
          <w:rFonts w:hint="eastAsia" w:ascii="仿宋_GB2312" w:eastAsia="仿宋_GB2312"/>
          <w:sz w:val="32"/>
          <w:szCs w:val="32"/>
          <w:lang w:val="en-US" w:eastAsia="zh-CN"/>
        </w:rPr>
        <w:t>25.2万元</w:t>
      </w:r>
      <w:r>
        <w:rPr>
          <w:rFonts w:hint="eastAsia" w:ascii="仿宋_GB2312" w:hAnsi="宋体" w:eastAsia="仿宋_GB2312" w:cs="Times New Roman"/>
          <w:kern w:val="2"/>
          <w:sz w:val="32"/>
          <w:lang w:val="zh-CN"/>
        </w:rPr>
        <w:t>占</w:t>
      </w:r>
      <w:r>
        <w:rPr>
          <w:rFonts w:hint="eastAsia" w:ascii="仿宋_GB2312" w:hAnsi="宋体" w:eastAsia="仿宋_GB2312" w:cs="Times New Roman"/>
          <w:kern w:val="2"/>
          <w:sz w:val="32"/>
          <w:lang w:val="en-US" w:eastAsia="zh-CN"/>
        </w:rPr>
        <w:t>2.36</w:t>
      </w:r>
      <w:r>
        <w:rPr>
          <w:rFonts w:hint="eastAsia" w:ascii="仿宋_GB2312" w:hAnsi="宋体" w:eastAsia="仿宋_GB2312" w:cs="Times New Roman"/>
          <w:kern w:val="2"/>
          <w:sz w:val="32"/>
          <w:lang w:val="zh-CN"/>
        </w:rPr>
        <w:t>%</w:t>
      </w:r>
      <w:r>
        <w:rPr>
          <w:rFonts w:hint="eastAsia" w:ascii="仿宋_GB2312" w:eastAsia="仿宋_GB2312"/>
          <w:sz w:val="32"/>
          <w:szCs w:val="32"/>
          <w:lang w:val="en-US" w:eastAsia="zh-CN"/>
        </w:rPr>
        <w:t>，</w:t>
      </w:r>
      <w:r>
        <w:rPr>
          <w:rFonts w:hint="eastAsia" w:ascii="仿宋_GB2312" w:eastAsia="仿宋_GB2312"/>
          <w:sz w:val="32"/>
          <w:szCs w:val="32"/>
        </w:rPr>
        <w:t>住房保障支出</w:t>
      </w:r>
      <w:r>
        <w:rPr>
          <w:rFonts w:hint="eastAsia" w:ascii="仿宋_GB2312" w:eastAsia="仿宋_GB2312"/>
          <w:sz w:val="32"/>
          <w:szCs w:val="32"/>
          <w:lang w:val="en-US" w:eastAsia="zh-CN"/>
        </w:rPr>
        <w:t>32.85</w:t>
      </w:r>
      <w:r>
        <w:rPr>
          <w:rFonts w:hint="eastAsia" w:ascii="仿宋_GB2312" w:eastAsia="仿宋_GB2312"/>
          <w:sz w:val="32"/>
          <w:szCs w:val="32"/>
          <w:lang w:eastAsia="zh-CN"/>
        </w:rPr>
        <w:t>万元</w:t>
      </w:r>
      <w:r>
        <w:rPr>
          <w:rFonts w:hint="eastAsia" w:ascii="仿宋_GB2312" w:hAnsi="宋体" w:eastAsia="仿宋_GB2312" w:cs="Times New Roman"/>
          <w:kern w:val="2"/>
          <w:sz w:val="32"/>
          <w:lang w:val="zh-CN"/>
        </w:rPr>
        <w:t>占</w:t>
      </w:r>
      <w:r>
        <w:rPr>
          <w:rFonts w:hint="eastAsia" w:ascii="仿宋_GB2312" w:hAnsi="宋体" w:eastAsia="仿宋_GB2312" w:cs="Times New Roman"/>
          <w:kern w:val="2"/>
          <w:sz w:val="32"/>
          <w:lang w:val="en-US" w:eastAsia="zh-CN"/>
        </w:rPr>
        <w:t>3.13</w:t>
      </w:r>
      <w:r>
        <w:rPr>
          <w:rFonts w:hint="eastAsia" w:ascii="仿宋_GB2312" w:hAnsi="宋体" w:eastAsia="仿宋_GB2312" w:cs="Times New Roman"/>
          <w:kern w:val="2"/>
          <w:sz w:val="32"/>
          <w:lang w:val="zh-CN"/>
        </w:rPr>
        <w:t>%</w:t>
      </w:r>
      <w:r>
        <w:rPr>
          <w:rFonts w:hint="eastAsia" w:ascii="仿宋_GB2312" w:eastAsia="仿宋_GB2312"/>
          <w:sz w:val="32"/>
          <w:szCs w:val="32"/>
        </w:rPr>
        <w:t>，</w:t>
      </w:r>
      <w:r>
        <w:rPr>
          <w:rFonts w:hint="eastAsia" w:ascii="仿宋_GB2312" w:hAnsi="宋体" w:eastAsia="仿宋_GB2312" w:cs="Times New Roman"/>
          <w:kern w:val="2"/>
          <w:sz w:val="32"/>
          <w:lang w:val="zh-CN"/>
        </w:rPr>
        <w:t>其他支出0.00万元占</w:t>
      </w:r>
      <w:r>
        <w:rPr>
          <w:rFonts w:hint="eastAsia" w:ascii="仿宋_GB2312" w:hAnsi="宋体" w:eastAsia="仿宋_GB2312" w:cs="Times New Roman"/>
          <w:kern w:val="2"/>
          <w:sz w:val="32"/>
          <w:lang w:val="en-US" w:eastAsia="zh-CN"/>
        </w:rPr>
        <w:t>0.00</w:t>
      </w:r>
      <w:r>
        <w:rPr>
          <w:rFonts w:hint="eastAsia" w:ascii="仿宋_GB2312" w:hAnsi="宋体" w:eastAsia="仿宋_GB2312" w:cs="Times New Roman"/>
          <w:kern w:val="2"/>
          <w:sz w:val="32"/>
          <w:lang w:val="zh-CN"/>
        </w:rPr>
        <w:t>%。</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eastAsia="仿宋_GB2312"/>
          <w:sz w:val="32"/>
          <w:szCs w:val="32"/>
          <w:lang w:eastAsia="zh-CN"/>
        </w:rPr>
        <w:t>2019</w:t>
      </w:r>
      <w:r>
        <w:rPr>
          <w:rFonts w:hint="eastAsia" w:ascii="仿宋_GB2312" w:eastAsia="仿宋_GB2312"/>
          <w:sz w:val="32"/>
          <w:szCs w:val="32"/>
        </w:rPr>
        <w:t>年</w:t>
      </w:r>
      <w:r>
        <w:rPr>
          <w:rFonts w:hint="eastAsia" w:ascii="仿宋_GB2312" w:eastAsia="仿宋_GB2312"/>
          <w:sz w:val="32"/>
          <w:szCs w:val="32"/>
          <w:lang w:eastAsia="zh-CN"/>
        </w:rPr>
        <w:t>，</w:t>
      </w:r>
      <w:r>
        <w:rPr>
          <w:rFonts w:hint="eastAsia" w:ascii="仿宋_GB2312" w:eastAsia="仿宋_GB2312"/>
          <w:sz w:val="32"/>
          <w:szCs w:val="32"/>
          <w:lang w:val="en-US" w:eastAsia="zh-CN"/>
        </w:rPr>
        <w:t>民政局</w:t>
      </w:r>
      <w:r>
        <w:rPr>
          <w:rFonts w:hint="eastAsia" w:ascii="仿宋_GB2312" w:eastAsia="仿宋_GB2312"/>
          <w:sz w:val="32"/>
          <w:szCs w:val="32"/>
        </w:rPr>
        <w:t>收入预算总额为</w:t>
      </w:r>
      <w:r>
        <w:rPr>
          <w:rFonts w:hint="eastAsia" w:ascii="仿宋_GB2312" w:eastAsia="仿宋_GB2312"/>
          <w:sz w:val="32"/>
          <w:szCs w:val="32"/>
          <w:lang w:val="en-US" w:eastAsia="zh-CN"/>
        </w:rPr>
        <w:t>765.35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765.34</w:t>
      </w:r>
      <w:r>
        <w:rPr>
          <w:rFonts w:hint="eastAsia" w:ascii="仿宋_GB2312" w:eastAsia="仿宋_GB2312"/>
          <w:sz w:val="32"/>
          <w:szCs w:val="32"/>
        </w:rPr>
        <w:t>万元</w:t>
      </w:r>
      <w:r>
        <w:rPr>
          <w:rFonts w:hint="eastAsia" w:ascii="仿宋_GB2312"/>
          <w:sz w:val="32"/>
          <w:szCs w:val="32"/>
          <w:lang w:eastAsia="zh-CN"/>
        </w:rPr>
        <w:t>，</w:t>
      </w:r>
      <w:r>
        <w:rPr>
          <w:rFonts w:hint="eastAsia" w:ascii="仿宋_GB2312" w:hAnsi="宋体" w:eastAsia="仿宋_GB2312" w:cs="Times New Roman"/>
          <w:kern w:val="2"/>
          <w:sz w:val="32"/>
          <w:lang w:val="zh-CN"/>
        </w:rPr>
        <w:t>占100%。</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2、2018年度收支决算情况</w:t>
      </w:r>
    </w:p>
    <w:p>
      <w:pPr>
        <w:pStyle w:val="12"/>
        <w:shd w:val="clear" w:color="auto" w:fill="FFFFFF"/>
        <w:spacing w:line="560" w:lineRule="exact"/>
        <w:ind w:firstLine="640" w:firstLineChars="200"/>
        <w:jc w:val="both"/>
        <w:rPr>
          <w:rFonts w:hint="eastAsia" w:ascii="仿宋_GB2312" w:hAnsi="宋体" w:eastAsia="仿宋_GB2312" w:cs="Times New Roman"/>
          <w:kern w:val="2"/>
          <w:sz w:val="32"/>
          <w:lang w:val="en-US" w:eastAsia="zh-CN"/>
        </w:rPr>
      </w:pPr>
      <w:r>
        <w:rPr>
          <w:rFonts w:hint="eastAsia" w:ascii="仿宋_GB2312" w:hAnsi="宋体" w:eastAsia="仿宋_GB2312"/>
          <w:sz w:val="32"/>
          <w:lang w:val="zh-CN"/>
        </w:rPr>
        <w:t>2018年度总收入</w:t>
      </w:r>
      <w:r>
        <w:rPr>
          <w:rFonts w:hint="eastAsia" w:ascii="仿宋_GB2312" w:hAnsi="宋体"/>
          <w:sz w:val="32"/>
          <w:lang w:val="en-US" w:eastAsia="zh-CN"/>
        </w:rPr>
        <w:t>2480.38</w:t>
      </w:r>
      <w:r>
        <w:rPr>
          <w:rFonts w:hint="eastAsia" w:ascii="仿宋_GB2312" w:hAnsi="宋体" w:eastAsia="仿宋_GB2312"/>
          <w:sz w:val="32"/>
          <w:lang w:val="zh-CN"/>
        </w:rPr>
        <w:t>万元，其中：财政拨款收入</w:t>
      </w:r>
      <w:r>
        <w:rPr>
          <w:rFonts w:hint="eastAsia" w:ascii="仿宋_GB2312" w:hAnsi="宋体" w:eastAsia="仿宋_GB2312"/>
          <w:sz w:val="32"/>
          <w:lang w:val="en-US" w:eastAsia="zh-CN"/>
        </w:rPr>
        <w:t>1940.95</w:t>
      </w:r>
      <w:r>
        <w:rPr>
          <w:rFonts w:hint="eastAsia" w:ascii="仿宋_GB2312" w:hAnsi="宋体" w:eastAsia="仿宋_GB2312"/>
          <w:sz w:val="32"/>
          <w:lang w:val="zh-CN"/>
        </w:rPr>
        <w:t>万元占</w:t>
      </w:r>
      <w:r>
        <w:rPr>
          <w:rFonts w:hint="eastAsia" w:ascii="仿宋_GB2312" w:hAnsi="宋体" w:eastAsia="仿宋_GB2312"/>
          <w:sz w:val="32"/>
          <w:lang w:val="en-US" w:eastAsia="zh-CN"/>
        </w:rPr>
        <w:t>78.25</w:t>
      </w:r>
      <w:r>
        <w:rPr>
          <w:rFonts w:hint="eastAsia" w:ascii="仿宋_GB2312" w:hAnsi="宋体" w:eastAsia="仿宋_GB2312"/>
          <w:sz w:val="32"/>
          <w:lang w:val="zh-CN"/>
        </w:rPr>
        <w:t>%，政府性基金预算财政拨款</w:t>
      </w:r>
      <w:r>
        <w:rPr>
          <w:rFonts w:hint="eastAsia" w:ascii="仿宋_GB2312" w:hAnsi="宋体" w:eastAsia="仿宋_GB2312"/>
          <w:sz w:val="32"/>
          <w:lang w:val="en-US" w:eastAsia="zh-CN"/>
        </w:rPr>
        <w:t>76.5</w:t>
      </w:r>
      <w:r>
        <w:rPr>
          <w:rFonts w:hint="eastAsia" w:ascii="仿宋_GB2312" w:hAnsi="宋体" w:eastAsia="仿宋_GB2312"/>
          <w:sz w:val="32"/>
          <w:lang w:val="zh-CN"/>
        </w:rPr>
        <w:t>万元占</w:t>
      </w:r>
      <w:r>
        <w:rPr>
          <w:rFonts w:hint="eastAsia" w:ascii="仿宋_GB2312" w:hAnsi="宋体" w:eastAsia="仿宋_GB2312"/>
          <w:sz w:val="32"/>
          <w:lang w:val="en-US" w:eastAsia="zh-CN"/>
        </w:rPr>
        <w:t>3.1</w:t>
      </w:r>
      <w:r>
        <w:rPr>
          <w:rFonts w:hint="eastAsia" w:ascii="仿宋_GB2312" w:hAnsi="宋体" w:eastAsia="仿宋_GB2312"/>
          <w:sz w:val="32"/>
          <w:lang w:val="zh-CN"/>
        </w:rPr>
        <w:t>%；上年项目支出结转和结余</w:t>
      </w:r>
      <w:r>
        <w:rPr>
          <w:rFonts w:hint="eastAsia" w:ascii="仿宋_GB2312" w:hAnsi="宋体" w:eastAsia="仿宋_GB2312"/>
          <w:sz w:val="32"/>
          <w:lang w:val="en-US" w:eastAsia="zh-CN"/>
        </w:rPr>
        <w:t>461.63</w:t>
      </w:r>
      <w:r>
        <w:rPr>
          <w:rFonts w:hint="eastAsia" w:ascii="仿宋_GB2312" w:hAnsi="宋体" w:eastAsia="仿宋_GB2312"/>
          <w:sz w:val="32"/>
          <w:lang w:val="zh-CN"/>
        </w:rPr>
        <w:t>万元占</w:t>
      </w:r>
      <w:r>
        <w:rPr>
          <w:rFonts w:hint="eastAsia" w:ascii="仿宋_GB2312" w:hAnsi="宋体" w:eastAsia="仿宋_GB2312"/>
          <w:sz w:val="32"/>
          <w:lang w:val="en-US" w:eastAsia="zh-CN"/>
        </w:rPr>
        <w:t>18.6</w:t>
      </w:r>
      <w:r>
        <w:rPr>
          <w:rFonts w:hint="eastAsia" w:ascii="仿宋_GB2312" w:hAnsi="宋体" w:eastAsia="仿宋_GB2312"/>
          <w:sz w:val="32"/>
          <w:lang w:val="zh-CN"/>
        </w:rPr>
        <w:t>%。</w:t>
      </w:r>
      <w:r>
        <w:rPr>
          <w:rFonts w:hint="eastAsia" w:ascii="仿宋_GB2312" w:hAnsi="宋体" w:eastAsia="仿宋_GB2312" w:cs="Times New Roman"/>
          <w:kern w:val="2"/>
          <w:sz w:val="32"/>
          <w:lang w:val="zh-CN"/>
        </w:rPr>
        <w:t>其他收入</w:t>
      </w:r>
      <w:r>
        <w:rPr>
          <w:rFonts w:hint="eastAsia" w:ascii="仿宋_GB2312" w:hAnsi="宋体" w:eastAsia="仿宋_GB2312" w:cs="Times New Roman"/>
          <w:kern w:val="2"/>
          <w:sz w:val="32"/>
          <w:lang w:val="en-US" w:eastAsia="zh-CN"/>
        </w:rPr>
        <w:t>1.3</w:t>
      </w:r>
      <w:r>
        <w:rPr>
          <w:rFonts w:hint="eastAsia" w:ascii="仿宋_GB2312" w:hAnsi="宋体" w:eastAsia="仿宋_GB2312" w:cs="Times New Roman"/>
          <w:kern w:val="2"/>
          <w:sz w:val="32"/>
          <w:lang w:val="zh-CN"/>
        </w:rPr>
        <w:t>万元占</w:t>
      </w:r>
      <w:r>
        <w:rPr>
          <w:rFonts w:hint="eastAsia" w:ascii="仿宋_GB2312" w:hAnsi="宋体" w:eastAsia="仿宋_GB2312" w:cs="Times New Roman"/>
          <w:kern w:val="2"/>
          <w:sz w:val="32"/>
          <w:lang w:val="en-US" w:eastAsia="zh-CN"/>
        </w:rPr>
        <w:t>0.05</w:t>
      </w:r>
      <w:r>
        <w:rPr>
          <w:rFonts w:hint="eastAsia" w:ascii="仿宋_GB2312" w:hAnsi="宋体" w:eastAsia="仿宋_GB2312" w:cs="Times New Roman"/>
          <w:kern w:val="2"/>
          <w:sz w:val="32"/>
          <w:lang w:val="zh-CN"/>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1、2018年度支出决算情况</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2018年度总支出</w:t>
      </w:r>
      <w:r>
        <w:rPr>
          <w:rFonts w:hint="eastAsia" w:ascii="仿宋_GB2312" w:hAnsi="宋体" w:eastAsia="仿宋_GB2312" w:cs="Times New Roman"/>
          <w:kern w:val="2"/>
          <w:sz w:val="32"/>
          <w:lang w:val="en-US" w:eastAsia="zh-CN"/>
        </w:rPr>
        <w:t>2058.65</w:t>
      </w:r>
      <w:r>
        <w:rPr>
          <w:rFonts w:hint="eastAsia" w:ascii="仿宋_GB2312" w:hAnsi="宋体" w:eastAsia="仿宋_GB2312" w:cs="Times New Roman"/>
          <w:kern w:val="2"/>
          <w:sz w:val="32"/>
          <w:lang w:val="zh-CN"/>
        </w:rPr>
        <w:t>万元，其中基本支出</w:t>
      </w:r>
      <w:r>
        <w:rPr>
          <w:rFonts w:hint="eastAsia" w:ascii="仿宋_GB2312" w:hAnsi="宋体" w:eastAsia="仿宋_GB2312" w:cs="Times New Roman"/>
          <w:kern w:val="2"/>
          <w:sz w:val="32"/>
          <w:lang w:val="en-US" w:eastAsia="zh-CN"/>
        </w:rPr>
        <w:t>653.13</w:t>
      </w:r>
      <w:r>
        <w:rPr>
          <w:rFonts w:hint="eastAsia" w:ascii="仿宋_GB2312" w:hAnsi="宋体" w:eastAsia="仿宋_GB2312" w:cs="Times New Roman"/>
          <w:kern w:val="2"/>
          <w:sz w:val="32"/>
          <w:lang w:val="zh-CN"/>
        </w:rPr>
        <w:t>万元占总支出比例</w:t>
      </w:r>
      <w:r>
        <w:rPr>
          <w:rFonts w:hint="eastAsia" w:ascii="仿宋_GB2312" w:hAnsi="宋体" w:eastAsia="仿宋_GB2312" w:cs="Times New Roman"/>
          <w:kern w:val="2"/>
          <w:sz w:val="32"/>
          <w:lang w:val="en-US" w:eastAsia="zh-CN"/>
        </w:rPr>
        <w:t>31.73</w:t>
      </w:r>
      <w:r>
        <w:rPr>
          <w:rFonts w:hint="eastAsia" w:ascii="仿宋_GB2312" w:hAnsi="宋体" w:eastAsia="仿宋_GB2312" w:cs="Times New Roman"/>
          <w:kern w:val="2"/>
          <w:sz w:val="32"/>
          <w:lang w:val="zh-CN"/>
        </w:rPr>
        <w:t>%，项目支出</w:t>
      </w:r>
      <w:r>
        <w:rPr>
          <w:rFonts w:hint="eastAsia" w:ascii="仿宋_GB2312" w:hAnsi="宋体" w:eastAsia="仿宋_GB2312" w:cs="Times New Roman"/>
          <w:kern w:val="2"/>
          <w:sz w:val="32"/>
          <w:lang w:val="en-US" w:eastAsia="zh-CN"/>
        </w:rPr>
        <w:t>1405.52</w:t>
      </w:r>
      <w:r>
        <w:rPr>
          <w:rFonts w:hint="eastAsia" w:ascii="仿宋_GB2312" w:hAnsi="宋体" w:eastAsia="仿宋_GB2312" w:cs="Times New Roman"/>
          <w:kern w:val="2"/>
          <w:sz w:val="32"/>
          <w:lang w:val="zh-CN"/>
        </w:rPr>
        <w:t>万元占总支出比例</w:t>
      </w:r>
      <w:r>
        <w:rPr>
          <w:rFonts w:hint="eastAsia" w:ascii="仿宋_GB2312" w:hAnsi="宋体" w:eastAsia="仿宋_GB2312" w:cs="Times New Roman"/>
          <w:kern w:val="2"/>
          <w:sz w:val="32"/>
          <w:lang w:val="en-US" w:eastAsia="zh-CN"/>
        </w:rPr>
        <w:t>68.27</w:t>
      </w:r>
      <w:r>
        <w:rPr>
          <w:rFonts w:hint="eastAsia" w:ascii="仿宋_GB2312" w:hAnsi="宋体" w:eastAsia="仿宋_GB2312" w:cs="Times New Roman"/>
          <w:kern w:val="2"/>
          <w:sz w:val="32"/>
          <w:lang w:val="zh-CN"/>
        </w:rPr>
        <w:t>%。</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基本支出</w:t>
      </w:r>
      <w:r>
        <w:rPr>
          <w:rFonts w:hint="eastAsia" w:ascii="仿宋_GB2312" w:hAnsi="宋体" w:eastAsia="仿宋_GB2312" w:cs="Times New Roman"/>
          <w:kern w:val="2"/>
          <w:sz w:val="32"/>
          <w:lang w:val="en-US" w:eastAsia="zh-CN"/>
        </w:rPr>
        <w:t>653.13</w:t>
      </w:r>
      <w:r>
        <w:rPr>
          <w:rFonts w:hint="eastAsia" w:ascii="仿宋_GB2312" w:hAnsi="宋体" w:eastAsia="仿宋_GB2312" w:cs="Times New Roman"/>
          <w:kern w:val="2"/>
          <w:sz w:val="32"/>
          <w:lang w:val="zh-CN"/>
        </w:rPr>
        <w:t>万元，其中：工资福利支出</w:t>
      </w:r>
      <w:r>
        <w:rPr>
          <w:rFonts w:hint="eastAsia" w:ascii="仿宋_GB2312" w:hAnsi="宋体" w:eastAsia="仿宋_GB2312" w:cs="Times New Roman"/>
          <w:kern w:val="2"/>
          <w:sz w:val="32"/>
          <w:lang w:val="en-US" w:eastAsia="zh-CN"/>
        </w:rPr>
        <w:t>501.47</w:t>
      </w:r>
      <w:r>
        <w:rPr>
          <w:rFonts w:hint="eastAsia" w:ascii="仿宋_GB2312" w:hAnsi="宋体" w:eastAsia="仿宋_GB2312" w:cs="Times New Roman"/>
          <w:kern w:val="2"/>
          <w:sz w:val="32"/>
          <w:lang w:val="zh-CN"/>
        </w:rPr>
        <w:t>万元占基本支出比例</w:t>
      </w:r>
      <w:r>
        <w:rPr>
          <w:rFonts w:hint="eastAsia" w:ascii="仿宋_GB2312" w:hAnsi="宋体" w:eastAsia="仿宋_GB2312" w:cs="Times New Roman"/>
          <w:kern w:val="2"/>
          <w:sz w:val="32"/>
          <w:lang w:val="en-US" w:eastAsia="zh-CN"/>
        </w:rPr>
        <w:t>76.78</w:t>
      </w:r>
      <w:r>
        <w:rPr>
          <w:rFonts w:hint="eastAsia" w:ascii="仿宋_GB2312" w:hAnsi="宋体" w:eastAsia="仿宋_GB2312" w:cs="Times New Roman"/>
          <w:kern w:val="2"/>
          <w:sz w:val="32"/>
          <w:lang w:val="zh-CN"/>
        </w:rPr>
        <w:t>%，商品和服务支出</w:t>
      </w:r>
      <w:r>
        <w:rPr>
          <w:rFonts w:hint="eastAsia" w:ascii="仿宋_GB2312" w:hAnsi="宋体" w:eastAsia="仿宋_GB2312" w:cs="Times New Roman"/>
          <w:kern w:val="2"/>
          <w:sz w:val="32"/>
          <w:lang w:val="en-US" w:eastAsia="zh-CN"/>
        </w:rPr>
        <w:t>80.56</w:t>
      </w:r>
      <w:r>
        <w:rPr>
          <w:rFonts w:hint="eastAsia" w:ascii="仿宋_GB2312" w:hAnsi="宋体" w:eastAsia="仿宋_GB2312" w:cs="Times New Roman"/>
          <w:kern w:val="2"/>
          <w:sz w:val="32"/>
          <w:lang w:val="zh-CN"/>
        </w:rPr>
        <w:t>万元占基本支出比例</w:t>
      </w:r>
      <w:r>
        <w:rPr>
          <w:rFonts w:hint="eastAsia" w:ascii="仿宋_GB2312" w:hAnsi="宋体" w:eastAsia="仿宋_GB2312" w:cs="Times New Roman"/>
          <w:kern w:val="2"/>
          <w:sz w:val="32"/>
          <w:lang w:val="en-US" w:eastAsia="zh-CN"/>
        </w:rPr>
        <w:t>12.33</w:t>
      </w:r>
      <w:r>
        <w:rPr>
          <w:rFonts w:hint="eastAsia" w:ascii="仿宋_GB2312" w:hAnsi="宋体" w:eastAsia="仿宋_GB2312" w:cs="Times New Roman"/>
          <w:kern w:val="2"/>
          <w:sz w:val="32"/>
          <w:lang w:val="zh-CN"/>
        </w:rPr>
        <w:t>%、对个人和家庭的补助支出</w:t>
      </w:r>
      <w:r>
        <w:rPr>
          <w:rFonts w:hint="eastAsia" w:ascii="仿宋_GB2312" w:hAnsi="宋体" w:eastAsia="仿宋_GB2312" w:cs="Times New Roman"/>
          <w:kern w:val="2"/>
          <w:sz w:val="32"/>
          <w:lang w:val="en-US" w:eastAsia="zh-CN"/>
        </w:rPr>
        <w:t>71.1</w:t>
      </w:r>
      <w:r>
        <w:rPr>
          <w:rFonts w:hint="eastAsia" w:ascii="仿宋_GB2312" w:hAnsi="宋体" w:eastAsia="仿宋_GB2312" w:cs="Times New Roman"/>
          <w:kern w:val="2"/>
          <w:sz w:val="32"/>
          <w:lang w:val="zh-CN"/>
        </w:rPr>
        <w:t>万元占基本支出比例</w:t>
      </w:r>
      <w:r>
        <w:rPr>
          <w:rFonts w:hint="eastAsia" w:ascii="仿宋_GB2312" w:hAnsi="宋体" w:eastAsia="仿宋_GB2312" w:cs="Times New Roman"/>
          <w:kern w:val="2"/>
          <w:sz w:val="32"/>
          <w:lang w:val="en-US" w:eastAsia="zh-CN"/>
        </w:rPr>
        <w:t>10.89</w:t>
      </w:r>
      <w:r>
        <w:rPr>
          <w:rFonts w:hint="eastAsia" w:ascii="仿宋_GB2312" w:hAnsi="宋体" w:eastAsia="仿宋_GB2312" w:cs="Times New Roman"/>
          <w:kern w:val="2"/>
          <w:sz w:val="32"/>
          <w:lang w:val="zh-CN"/>
        </w:rPr>
        <w:t>%。</w:t>
      </w:r>
    </w:p>
    <w:p>
      <w:pPr>
        <w:pStyle w:val="12"/>
        <w:shd w:val="clear" w:color="auto" w:fill="FFFFFF"/>
        <w:spacing w:line="560" w:lineRule="exact"/>
        <w:ind w:firstLine="640" w:firstLineChars="200"/>
        <w:jc w:val="both"/>
        <w:rPr>
          <w:rFonts w:hint="default" w:ascii="仿宋_GB2312" w:hAnsi="宋体" w:eastAsia="仿宋_GB2312" w:cs="Times New Roman"/>
          <w:kern w:val="2"/>
          <w:sz w:val="32"/>
          <w:lang w:val="en-US" w:eastAsia="zh-CN"/>
        </w:rPr>
      </w:pPr>
      <w:r>
        <w:rPr>
          <w:rFonts w:hint="eastAsia" w:ascii="仿宋_GB2312" w:hAnsi="宋体" w:eastAsia="仿宋_GB2312" w:cs="Times New Roman"/>
          <w:kern w:val="2"/>
          <w:sz w:val="32"/>
          <w:lang w:val="zh-CN"/>
        </w:rPr>
        <w:t>项目支出</w:t>
      </w:r>
      <w:r>
        <w:rPr>
          <w:rFonts w:hint="eastAsia" w:ascii="仿宋_GB2312" w:hAnsi="宋体" w:eastAsia="仿宋_GB2312" w:cs="Times New Roman"/>
          <w:kern w:val="2"/>
          <w:sz w:val="32"/>
          <w:lang w:val="en-US" w:eastAsia="zh-CN"/>
        </w:rPr>
        <w:t>1405.5</w:t>
      </w:r>
      <w:r>
        <w:rPr>
          <w:rFonts w:hint="eastAsia" w:ascii="仿宋_GB2312" w:hAnsi="宋体" w:eastAsia="仿宋_GB2312" w:cs="Times New Roman"/>
          <w:kern w:val="2"/>
          <w:sz w:val="32"/>
          <w:lang w:val="zh-CN"/>
        </w:rPr>
        <w:t>万元，其中：一般公共服务支出</w:t>
      </w:r>
      <w:r>
        <w:rPr>
          <w:rFonts w:hint="eastAsia" w:ascii="仿宋_GB2312" w:hAnsi="宋体" w:eastAsia="仿宋_GB2312" w:cs="Times New Roman"/>
          <w:kern w:val="2"/>
          <w:sz w:val="32"/>
          <w:lang w:val="en-US" w:eastAsia="zh-CN"/>
        </w:rPr>
        <w:t>59.6</w:t>
      </w:r>
      <w:r>
        <w:rPr>
          <w:rFonts w:hint="eastAsia" w:ascii="仿宋_GB2312" w:hAnsi="宋体" w:eastAsia="仿宋_GB2312" w:cs="Times New Roman"/>
          <w:kern w:val="2"/>
          <w:sz w:val="32"/>
          <w:lang w:val="zh-CN"/>
        </w:rPr>
        <w:t>万元占项目支出比例</w:t>
      </w:r>
      <w:r>
        <w:rPr>
          <w:rFonts w:hint="eastAsia" w:ascii="仿宋_GB2312" w:hAnsi="宋体" w:eastAsia="仿宋_GB2312" w:cs="Times New Roman"/>
          <w:kern w:val="2"/>
          <w:sz w:val="32"/>
          <w:lang w:val="en-US" w:eastAsia="zh-CN"/>
        </w:rPr>
        <w:t>3.7</w:t>
      </w:r>
      <w:r>
        <w:rPr>
          <w:rFonts w:hint="eastAsia" w:ascii="仿宋_GB2312" w:hAnsi="宋体" w:eastAsia="仿宋_GB2312" w:cs="Times New Roman"/>
          <w:kern w:val="2"/>
          <w:sz w:val="32"/>
          <w:lang w:val="zh-CN"/>
        </w:rPr>
        <w:t>%、对个人和家庭的补助支出</w:t>
      </w:r>
      <w:r>
        <w:rPr>
          <w:rFonts w:hint="eastAsia" w:ascii="仿宋_GB2312" w:hAnsi="宋体" w:eastAsia="仿宋_GB2312" w:cs="Times New Roman"/>
          <w:kern w:val="2"/>
          <w:sz w:val="32"/>
          <w:lang w:val="en-US" w:eastAsia="zh-CN"/>
        </w:rPr>
        <w:t>655.62</w:t>
      </w:r>
      <w:r>
        <w:rPr>
          <w:rFonts w:hint="eastAsia" w:ascii="仿宋_GB2312" w:hAnsi="宋体" w:eastAsia="仿宋_GB2312" w:cs="Times New Roman"/>
          <w:kern w:val="2"/>
          <w:sz w:val="32"/>
          <w:lang w:val="zh-CN"/>
        </w:rPr>
        <w:t>万元占项目支出比例</w:t>
      </w:r>
      <w:r>
        <w:rPr>
          <w:rFonts w:hint="eastAsia" w:ascii="仿宋_GB2312" w:hAnsi="宋体" w:eastAsia="仿宋_GB2312" w:cs="Times New Roman"/>
          <w:kern w:val="2"/>
          <w:sz w:val="32"/>
          <w:lang w:val="en-US" w:eastAsia="zh-CN"/>
        </w:rPr>
        <w:t>46.65</w:t>
      </w:r>
      <w:r>
        <w:rPr>
          <w:rFonts w:hint="eastAsia" w:ascii="仿宋_GB2312" w:hAnsi="宋体" w:eastAsia="仿宋_GB2312" w:cs="Times New Roman"/>
          <w:kern w:val="2"/>
          <w:sz w:val="32"/>
          <w:lang w:val="zh-CN"/>
        </w:rPr>
        <w:t>%。资本性支出</w:t>
      </w:r>
      <w:r>
        <w:rPr>
          <w:rFonts w:hint="eastAsia" w:ascii="仿宋_GB2312" w:hAnsi="宋体" w:eastAsia="仿宋_GB2312" w:cs="Times New Roman"/>
          <w:kern w:val="2"/>
          <w:sz w:val="32"/>
          <w:lang w:val="en-US" w:eastAsia="zh-CN"/>
        </w:rPr>
        <w:t>216.72</w:t>
      </w:r>
      <w:r>
        <w:rPr>
          <w:rFonts w:hint="eastAsia" w:ascii="仿宋_GB2312" w:hAnsi="宋体" w:eastAsia="仿宋_GB2312" w:cs="Times New Roman"/>
          <w:kern w:val="2"/>
          <w:sz w:val="32"/>
          <w:lang w:val="zh-CN"/>
        </w:rPr>
        <w:t>万元占项目支出比例</w:t>
      </w:r>
      <w:r>
        <w:rPr>
          <w:rFonts w:hint="eastAsia" w:ascii="仿宋_GB2312" w:hAnsi="宋体" w:eastAsia="仿宋_GB2312" w:cs="Times New Roman"/>
          <w:kern w:val="2"/>
          <w:sz w:val="32"/>
          <w:lang w:val="en-US" w:eastAsia="zh-CN"/>
        </w:rPr>
        <w:t>15.42</w:t>
      </w:r>
      <w:r>
        <w:rPr>
          <w:rFonts w:hint="eastAsia" w:ascii="仿宋_GB2312" w:hAnsi="宋体" w:eastAsia="仿宋_GB2312" w:cs="Times New Roman"/>
          <w:kern w:val="2"/>
          <w:sz w:val="32"/>
          <w:lang w:val="zh-CN"/>
        </w:rPr>
        <w:t>%。</w:t>
      </w:r>
      <w:r>
        <w:rPr>
          <w:rFonts w:hint="eastAsia" w:ascii="仿宋_GB2312" w:hAnsi="宋体" w:eastAsia="仿宋_GB2312" w:cs="Times New Roman"/>
          <w:kern w:val="2"/>
          <w:sz w:val="32"/>
          <w:lang w:val="en-US" w:eastAsia="zh-CN"/>
        </w:rPr>
        <w:t xml:space="preserve">   </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2、节能降耗及“三公”经费预算执行情况</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（1） 2018年“三</w:t>
      </w:r>
      <w:r>
        <w:rPr>
          <w:rFonts w:hint="eastAsia" w:ascii="仿宋_GB2312" w:hAnsi="宋体" w:cs="Times New Roman"/>
          <w:kern w:val="2"/>
          <w:sz w:val="32"/>
          <w:lang w:val="en-US" w:eastAsia="zh-CN"/>
        </w:rPr>
        <w:t xml:space="preserve"> </w:t>
      </w:r>
      <w:r>
        <w:rPr>
          <w:rFonts w:hint="eastAsia" w:ascii="仿宋_GB2312" w:hAnsi="宋体" w:eastAsia="仿宋_GB2312" w:cs="Times New Roman"/>
          <w:kern w:val="2"/>
          <w:sz w:val="32"/>
          <w:lang w:val="zh-CN"/>
        </w:rPr>
        <w:t>公”经费预算情况</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本单位2018年“三公”经费预算（控制数）金额为</w:t>
      </w:r>
      <w:r>
        <w:rPr>
          <w:rFonts w:hint="eastAsia" w:ascii="仿宋_GB2312" w:hAnsi="宋体" w:cs="Times New Roman"/>
          <w:kern w:val="2"/>
          <w:sz w:val="32"/>
          <w:lang w:val="en-US" w:eastAsia="zh-CN"/>
        </w:rPr>
        <w:t>5.2</w:t>
      </w:r>
      <w:r>
        <w:rPr>
          <w:rFonts w:hint="eastAsia" w:ascii="仿宋_GB2312" w:hAnsi="宋体" w:eastAsia="仿宋_GB2312" w:cs="Times New Roman"/>
          <w:kern w:val="2"/>
          <w:sz w:val="32"/>
          <w:lang w:val="zh-CN"/>
        </w:rPr>
        <w:t>万元，其中公务接待费</w:t>
      </w:r>
      <w:r>
        <w:rPr>
          <w:rFonts w:hint="eastAsia" w:ascii="仿宋_GB2312" w:hAnsi="宋体" w:cs="Times New Roman"/>
          <w:kern w:val="2"/>
          <w:sz w:val="32"/>
          <w:lang w:val="en-US" w:eastAsia="zh-CN"/>
        </w:rPr>
        <w:t>0.59</w:t>
      </w:r>
      <w:r>
        <w:rPr>
          <w:rFonts w:hint="eastAsia" w:ascii="仿宋_GB2312" w:hAnsi="宋体" w:eastAsia="仿宋_GB2312" w:cs="Times New Roman"/>
          <w:kern w:val="2"/>
          <w:sz w:val="32"/>
          <w:lang w:val="zh-CN"/>
        </w:rPr>
        <w:t>万元，公车运行维护费</w:t>
      </w:r>
      <w:r>
        <w:rPr>
          <w:rFonts w:hint="eastAsia" w:ascii="仿宋_GB2312" w:hAnsi="宋体" w:cs="Times New Roman"/>
          <w:kern w:val="2"/>
          <w:sz w:val="32"/>
          <w:lang w:val="en-US" w:eastAsia="zh-CN"/>
        </w:rPr>
        <w:t>4.6</w:t>
      </w:r>
      <w:r>
        <w:rPr>
          <w:rFonts w:hint="eastAsia" w:ascii="仿宋_GB2312" w:hAnsi="宋体" w:eastAsia="仿宋_GB2312" w:cs="Times New Roman"/>
          <w:kern w:val="2"/>
          <w:sz w:val="32"/>
          <w:lang w:val="zh-CN"/>
        </w:rPr>
        <w:t>万元</w:t>
      </w:r>
    </w:p>
    <w:p>
      <w:pPr>
        <w:pStyle w:val="12"/>
        <w:shd w:val="clear" w:color="auto" w:fill="FFFFFF"/>
        <w:spacing w:line="560" w:lineRule="exact"/>
        <w:ind w:firstLine="640" w:firstLineChars="200"/>
        <w:jc w:val="both"/>
        <w:rPr>
          <w:rFonts w:ascii="仿宋_GB2312" w:hAnsi="宋体" w:eastAsia="仿宋_GB2312" w:cs="Times New Roman"/>
          <w:kern w:val="2"/>
          <w:sz w:val="32"/>
          <w:lang w:val="zh-CN"/>
        </w:rPr>
      </w:pPr>
      <w:r>
        <w:rPr>
          <w:rFonts w:hint="eastAsia" w:ascii="仿宋_GB2312" w:hAnsi="宋体" w:eastAsia="仿宋_GB2312" w:cs="Times New Roman"/>
          <w:kern w:val="2"/>
          <w:sz w:val="32"/>
          <w:lang w:val="zh-CN"/>
        </w:rPr>
        <w:t>（2）“三公”经费预算执行情况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Times New Roman"/>
          <w:kern w:val="2"/>
          <w:sz w:val="32"/>
          <w:lang w:val="zh-CN"/>
        </w:rPr>
      </w:pPr>
      <w:r>
        <w:rPr>
          <w:rFonts w:hint="eastAsia" w:ascii="仿宋_GB2312" w:hAnsi="宋体" w:eastAsia="仿宋_GB2312" w:cs="Times New Roman"/>
          <w:kern w:val="2"/>
          <w:sz w:val="32"/>
          <w:lang w:val="zh-CN"/>
        </w:rPr>
        <w:t>2018年，“三公”经费支出决算为</w:t>
      </w:r>
      <w:r>
        <w:rPr>
          <w:rFonts w:hint="eastAsia" w:ascii="仿宋_GB2312" w:hAnsi="宋体" w:cs="Times New Roman"/>
          <w:kern w:val="2"/>
          <w:sz w:val="32"/>
          <w:lang w:val="en-US" w:eastAsia="zh-CN"/>
        </w:rPr>
        <w:t>5.2</w:t>
      </w:r>
      <w:r>
        <w:rPr>
          <w:rFonts w:hint="eastAsia" w:ascii="仿宋_GB2312" w:hAnsi="宋体" w:eastAsia="仿宋_GB2312" w:cs="Times New Roman"/>
          <w:kern w:val="2"/>
          <w:sz w:val="32"/>
          <w:lang w:val="zh-CN"/>
        </w:rPr>
        <w:t>万元，比上年</w:t>
      </w:r>
      <w:r>
        <w:rPr>
          <w:rFonts w:hint="eastAsia" w:ascii="仿宋_GB2312" w:hAnsi="宋体" w:cs="Times New Roman"/>
          <w:kern w:val="2"/>
          <w:sz w:val="32"/>
          <w:lang w:val="zh-CN"/>
        </w:rPr>
        <w:t>减少</w:t>
      </w:r>
      <w:r>
        <w:rPr>
          <w:rFonts w:hint="eastAsia" w:ascii="仿宋_GB2312" w:hAnsi="宋体" w:cs="Times New Roman"/>
          <w:kern w:val="2"/>
          <w:sz w:val="32"/>
          <w:lang w:val="en-US" w:eastAsia="zh-CN"/>
        </w:rPr>
        <w:t>3.4万元</w:t>
      </w:r>
      <w:r>
        <w:rPr>
          <w:rFonts w:hint="eastAsia" w:ascii="仿宋_GB2312" w:hAnsi="宋体" w:eastAsia="仿宋_GB2312" w:cs="Times New Roman"/>
          <w:kern w:val="2"/>
          <w:sz w:val="32"/>
          <w:lang w:val="zh-CN"/>
        </w:rPr>
        <w:t>，完成预算的</w:t>
      </w:r>
      <w:r>
        <w:rPr>
          <w:rFonts w:hint="eastAsia" w:ascii="仿宋_GB2312" w:hAnsi="宋体" w:cs="Times New Roman"/>
          <w:kern w:val="2"/>
          <w:sz w:val="32"/>
          <w:lang w:val="en-US" w:eastAsia="zh-CN"/>
        </w:rPr>
        <w:t>100</w:t>
      </w:r>
      <w:r>
        <w:rPr>
          <w:rFonts w:hint="eastAsia" w:ascii="仿宋_GB2312" w:hAnsi="宋体" w:eastAsia="仿宋_GB2312" w:cs="Times New Roman"/>
          <w:kern w:val="2"/>
          <w:sz w:val="32"/>
          <w:lang w:val="zh-CN"/>
        </w:rPr>
        <w:t>%；公务接待费支出</w:t>
      </w:r>
      <w:r>
        <w:rPr>
          <w:rFonts w:hint="eastAsia" w:ascii="仿宋_GB2312" w:hAnsi="宋体" w:cs="Times New Roman"/>
          <w:kern w:val="2"/>
          <w:sz w:val="32"/>
          <w:lang w:val="en-US" w:eastAsia="zh-CN"/>
        </w:rPr>
        <w:t>0.59</w:t>
      </w:r>
      <w:r>
        <w:rPr>
          <w:rFonts w:hint="eastAsia" w:ascii="仿宋_GB2312" w:hAnsi="宋体" w:eastAsia="仿宋_GB2312" w:cs="Times New Roman"/>
          <w:kern w:val="2"/>
          <w:sz w:val="32"/>
          <w:lang w:val="zh-CN"/>
        </w:rPr>
        <w:t>万元，比上年</w:t>
      </w:r>
      <w:r>
        <w:rPr>
          <w:rFonts w:hint="eastAsia" w:ascii="仿宋_GB2312" w:hAnsi="宋体" w:cs="Times New Roman"/>
          <w:kern w:val="2"/>
          <w:sz w:val="32"/>
          <w:lang w:val="zh-CN"/>
        </w:rPr>
        <w:t>增加</w:t>
      </w:r>
      <w:r>
        <w:rPr>
          <w:rFonts w:hint="eastAsia" w:ascii="仿宋_GB2312" w:hAnsi="宋体" w:cs="Times New Roman"/>
          <w:kern w:val="2"/>
          <w:sz w:val="32"/>
          <w:lang w:val="en-US" w:eastAsia="zh-CN"/>
        </w:rPr>
        <w:t>0.08</w:t>
      </w:r>
      <w:r>
        <w:rPr>
          <w:rFonts w:hint="eastAsia" w:ascii="仿宋_GB2312" w:hAnsi="宋体" w:eastAsia="仿宋_GB2312" w:cs="Times New Roman"/>
          <w:kern w:val="2"/>
          <w:sz w:val="32"/>
          <w:lang w:val="zh-CN"/>
        </w:rPr>
        <w:t>万元，</w:t>
      </w:r>
      <w:r>
        <w:rPr>
          <w:rFonts w:hint="eastAsia" w:ascii="仿宋_GB2312" w:eastAsia="仿宋_GB2312"/>
          <w:sz w:val="32"/>
          <w:szCs w:val="32"/>
          <w:lang w:val="en-US" w:eastAsia="zh-CN"/>
        </w:rPr>
        <w:t>主要原因去年</w:t>
      </w:r>
      <w:r>
        <w:rPr>
          <w:rFonts w:hint="eastAsia" w:ascii="仿宋_GB2312"/>
          <w:sz w:val="32"/>
          <w:szCs w:val="32"/>
          <w:lang w:val="en-US" w:eastAsia="zh-CN"/>
        </w:rPr>
        <w:t>开展脱贫攻坚工作</w:t>
      </w:r>
      <w:r>
        <w:rPr>
          <w:rFonts w:hint="eastAsia" w:ascii="仿宋_GB2312" w:eastAsia="仿宋_GB2312"/>
          <w:sz w:val="32"/>
          <w:szCs w:val="32"/>
          <w:lang w:val="en-US" w:eastAsia="zh-CN"/>
        </w:rPr>
        <w:t>接待次数相比往年有所增加</w:t>
      </w:r>
      <w:r>
        <w:rPr>
          <w:rFonts w:hint="eastAsia" w:ascii="仿宋_GB2312" w:hAnsi="宋体" w:eastAsia="仿宋_GB2312" w:cs="Times New Roman"/>
          <w:kern w:val="2"/>
          <w:sz w:val="32"/>
          <w:lang w:val="zh-CN"/>
        </w:rPr>
        <w:t>，完成预算的100%；公务用车购置及运行维护费完成</w:t>
      </w:r>
      <w:r>
        <w:rPr>
          <w:rFonts w:hint="eastAsia" w:ascii="仿宋_GB2312" w:hAnsi="宋体" w:cs="Times New Roman"/>
          <w:kern w:val="2"/>
          <w:sz w:val="32"/>
          <w:lang w:val="en-US" w:eastAsia="zh-CN"/>
        </w:rPr>
        <w:t>4.6</w:t>
      </w:r>
      <w:r>
        <w:rPr>
          <w:rFonts w:hint="eastAsia" w:ascii="仿宋_GB2312" w:hAnsi="宋体" w:eastAsia="仿宋_GB2312" w:cs="Times New Roman"/>
          <w:kern w:val="2"/>
          <w:sz w:val="32"/>
          <w:lang w:val="zh-CN"/>
        </w:rPr>
        <w:t>元，比上年</w:t>
      </w:r>
      <w:r>
        <w:rPr>
          <w:rFonts w:hint="eastAsia" w:ascii="仿宋_GB2312" w:hAnsi="宋体" w:cs="Times New Roman"/>
          <w:kern w:val="2"/>
          <w:sz w:val="32"/>
          <w:lang w:val="zh-CN"/>
        </w:rPr>
        <w:t>减少</w:t>
      </w:r>
      <w:r>
        <w:rPr>
          <w:rFonts w:hint="eastAsia" w:ascii="仿宋_GB2312" w:hAnsi="宋体" w:cs="Times New Roman"/>
          <w:kern w:val="2"/>
          <w:sz w:val="32"/>
          <w:lang w:val="en-US" w:eastAsia="zh-CN"/>
        </w:rPr>
        <w:t>4万</w:t>
      </w:r>
      <w:r>
        <w:rPr>
          <w:rFonts w:hint="eastAsia" w:ascii="仿宋_GB2312" w:hAnsi="宋体" w:eastAsia="仿宋_GB2312" w:cs="Times New Roman"/>
          <w:kern w:val="2"/>
          <w:sz w:val="32"/>
          <w:lang w:val="zh-CN"/>
        </w:rPr>
        <w:t>元，。原因是2018年公务用车运行维护费年初预算</w:t>
      </w:r>
      <w:r>
        <w:rPr>
          <w:rFonts w:hint="eastAsia" w:ascii="仿宋_GB2312" w:hAnsi="宋体" w:cs="Times New Roman"/>
          <w:kern w:val="2"/>
          <w:sz w:val="32"/>
          <w:lang w:val="zh-CN"/>
        </w:rPr>
        <w:t>减少</w:t>
      </w:r>
      <w:r>
        <w:rPr>
          <w:rFonts w:hint="eastAsia" w:ascii="仿宋_GB2312" w:hAnsi="宋体" w:eastAsia="仿宋_GB2312" w:cs="Times New Roman"/>
          <w:kern w:val="2"/>
          <w:sz w:val="32"/>
          <w:lang w:val="zh-CN"/>
        </w:rPr>
        <w:t>，支出也</w:t>
      </w:r>
      <w:r>
        <w:rPr>
          <w:rFonts w:hint="eastAsia" w:ascii="仿宋_GB2312" w:hAnsi="宋体" w:cs="Times New Roman"/>
          <w:kern w:val="2"/>
          <w:sz w:val="32"/>
          <w:lang w:val="zh-CN"/>
        </w:rPr>
        <w:t>减少</w:t>
      </w:r>
      <w:r>
        <w:rPr>
          <w:rFonts w:hint="eastAsia" w:ascii="仿宋_GB2312" w:hAnsi="宋体" w:eastAsia="仿宋_GB2312" w:cs="Times New Roman"/>
          <w:kern w:val="2"/>
          <w:sz w:val="32"/>
          <w:lang w:val="zh-CN"/>
        </w:rPr>
        <w:t>，完成预算的100%。</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（1）政府性债务管理情况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截止目前我局不存在政府性债务。</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（2）非税收入执收情况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我局目前不涉及非税收入相关业务。</w:t>
      </w:r>
    </w:p>
    <w:p>
      <w:pPr>
        <w:autoSpaceDE w:val="0"/>
        <w:autoSpaceDN w:val="0"/>
        <w:adjustRightInd w:val="0"/>
        <w:spacing w:line="560" w:lineRule="exact"/>
        <w:ind w:firstLine="640" w:firstLineChars="200"/>
        <w:jc w:val="left"/>
        <w:rPr>
          <w:rFonts w:ascii="仿宋_GB2312" w:hAnsi="宋体" w:eastAsia="仿宋_GB2312"/>
          <w:sz w:val="32"/>
          <w:lang w:val="zh-CN"/>
        </w:rPr>
      </w:pPr>
      <w:r>
        <w:rPr>
          <w:rFonts w:hint="eastAsia" w:ascii="仿宋_GB2312" w:hAnsi="宋体" w:eastAsia="仿宋_GB2312"/>
          <w:sz w:val="32"/>
          <w:lang w:val="zh-CN"/>
        </w:rPr>
        <w:t>（3）政府采购支出情况</w:t>
      </w:r>
    </w:p>
    <w:p>
      <w:pPr>
        <w:spacing w:line="560" w:lineRule="exact"/>
        <w:ind w:firstLine="640" w:firstLineChars="200"/>
        <w:rPr>
          <w:rFonts w:hint="eastAsia" w:ascii="仿宋_GB2312" w:hAnsi="宋体" w:eastAsia="仿宋_GB2312"/>
          <w:sz w:val="32"/>
          <w:lang w:val="zh-CN"/>
        </w:rPr>
      </w:pPr>
      <w:r>
        <w:rPr>
          <w:rFonts w:hint="eastAsia" w:ascii="仿宋_GB2312" w:hAnsi="宋体" w:eastAsia="仿宋_GB2312"/>
          <w:sz w:val="32"/>
          <w:lang w:val="zh-CN"/>
        </w:rPr>
        <w:t>2018年度红原县民政局</w:t>
      </w:r>
      <w:r>
        <w:rPr>
          <w:rFonts w:hint="eastAsia" w:ascii="仿宋_GB2312" w:hAnsi="宋体"/>
          <w:sz w:val="32"/>
          <w:lang w:val="zh-CN"/>
        </w:rPr>
        <w:t>无</w:t>
      </w:r>
      <w:r>
        <w:rPr>
          <w:rFonts w:hint="eastAsia" w:ascii="仿宋_GB2312" w:hAnsi="宋体" w:eastAsia="仿宋_GB2312"/>
          <w:sz w:val="32"/>
          <w:lang w:val="zh-CN"/>
        </w:rPr>
        <w:t>政府采购</w:t>
      </w:r>
    </w:p>
    <w:p>
      <w:pPr>
        <w:numPr>
          <w:ilvl w:val="0"/>
          <w:numId w:val="10"/>
        </w:numPr>
        <w:spacing w:line="560" w:lineRule="exact"/>
        <w:ind w:firstLine="640" w:firstLineChars="200"/>
        <w:rPr>
          <w:rFonts w:hint="eastAsia" w:ascii="仿宋_GB2312" w:hAnsi="宋体" w:eastAsia="仿宋_GB2312"/>
          <w:sz w:val="32"/>
          <w:lang w:val="zh-CN"/>
        </w:rPr>
      </w:pPr>
      <w:r>
        <w:rPr>
          <w:rFonts w:hint="eastAsia" w:ascii="仿宋_GB2312" w:hAnsi="宋体" w:eastAsia="仿宋_GB2312"/>
          <w:sz w:val="32"/>
          <w:lang w:val="zh-CN"/>
        </w:rPr>
        <w:t>资产管理情况</w:t>
      </w:r>
    </w:p>
    <w:p>
      <w:pPr>
        <w:numPr>
          <w:ilvl w:val="0"/>
          <w:numId w:val="0"/>
        </w:num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（5）内控制度管理</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1、明确了记账人员与审批人员、经办人员的职责权限，使其相互分离、相互制约，以明确责任，防止舞弊，各项业务事项得以有序进行。</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2、明确了财务收支审批程序和审批人的权限和责任，规范了各项资金的使用，提高了资金使用效益。</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3、明确经费支出的范围和开支标准，采取各种有效措施控制经费开支，杜绝了浪费现象的发生。</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4、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(6)信息(三公及预算决算)公开情况。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根据县政府相关工作要求，及时依法在政府官方网站对“三公经费”及预算、决算进行公示，授受社会的监督。</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(7)财务财政监督情况。</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我局在县人民政府的坚强领导和省、州民政主管部门的关心指导下，真抓实干，开拓创新，各项工作均取得良好成效，确保了民政全年工作任务的顺利完成。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cs="宋体"/>
          <w:color w:val="000000"/>
          <w:kern w:val="0"/>
          <w:sz w:val="32"/>
          <w:szCs w:val="24"/>
          <w:lang w:val="zh-CN" w:eastAsia="zh-CN" w:bidi="ar"/>
        </w:rPr>
        <w:t>（一）评价结论。</w:t>
      </w:r>
      <w:r>
        <w:rPr>
          <w:rFonts w:hint="eastAsia" w:ascii="仿宋_GB2312" w:hAnsi="宋体" w:eastAsia="仿宋_GB2312"/>
          <w:sz w:val="32"/>
          <w:lang w:val="zh-CN"/>
        </w:rPr>
        <w:t>我局部门支出预算，保障了机关日常正常运转，专项资金保障了全县困难群众的基本生活，老百姓对此次项目的实施非常满意，实施本项目对保障困难群众的基本生活和贫困户脱贫等方面具有积极作用，同时在维护少数</w:t>
      </w:r>
      <w:r>
        <w:rPr>
          <w:rFonts w:hint="eastAsia" w:ascii="仿宋_GB2312" w:hAnsi="宋体" w:eastAsia="仿宋_GB2312"/>
          <w:sz w:val="32"/>
          <w:lang w:val="en-US" w:eastAsia="zh-CN"/>
        </w:rPr>
        <w:t>民</w:t>
      </w:r>
      <w:r>
        <w:rPr>
          <w:rFonts w:hint="eastAsia" w:ascii="仿宋_GB2312" w:hAnsi="宋体" w:eastAsia="仿宋_GB2312"/>
          <w:sz w:val="32"/>
          <w:lang w:val="zh-CN"/>
        </w:rPr>
        <w:t xml:space="preserve">族地区的社会稳定，提高人民生活水平，改善人民生活质量等方面有着极其重要的意义，有力促进了社会和谐发展，为全县及乡镇的经济发展作出了应有的贡献。部门整体支出绩效自评得良好 </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p>
    <w:p>
      <w:pPr>
        <w:numPr>
          <w:ilvl w:val="0"/>
          <w:numId w:val="9"/>
        </w:numPr>
        <w:spacing w:line="560" w:lineRule="exact"/>
        <w:ind w:left="0" w:leftChars="0" w:firstLine="640" w:firstLineChars="200"/>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存在问题。</w:t>
      </w:r>
    </w:p>
    <w:p>
      <w:pPr>
        <w:numPr>
          <w:ilvl w:val="0"/>
          <w:numId w:val="0"/>
        </w:numPr>
        <w:spacing w:line="560" w:lineRule="exact"/>
        <w:ind w:leftChars="200" w:firstLine="640" w:firstLineChars="200"/>
        <w:rPr>
          <w:rFonts w:ascii="仿宋_GB2312" w:hAnsi="宋体" w:eastAsia="仿宋_GB2312"/>
          <w:sz w:val="32"/>
          <w:lang w:val="zh-CN"/>
        </w:rPr>
      </w:pPr>
      <w:r>
        <w:rPr>
          <w:rFonts w:hint="eastAsia" w:ascii="仿宋_GB2312" w:hAnsi="宋体"/>
          <w:sz w:val="32"/>
          <w:lang w:val="zh-CN"/>
        </w:rPr>
        <w:t>；；；</w:t>
      </w:r>
      <w:r>
        <w:rPr>
          <w:rFonts w:hint="eastAsia" w:ascii="仿宋_GB2312" w:hAnsi="宋体" w:eastAsia="仿宋_GB2312"/>
          <w:sz w:val="32"/>
          <w:lang w:val="zh-CN"/>
        </w:rPr>
        <w:t>我局虽然在扶贫资金、惠民资金发放的工作中不断努力完善制度，但是由于我县的特殊环境仍然存在一定的不足，主要表现在：</w:t>
      </w:r>
    </w:p>
    <w:p>
      <w:pPr>
        <w:spacing w:line="560" w:lineRule="exact"/>
        <w:ind w:firstLine="640" w:firstLineChars="200"/>
        <w:rPr>
          <w:rFonts w:ascii="仿宋_GB2312" w:hAnsi="宋体" w:eastAsia="仿宋_GB2312"/>
          <w:sz w:val="32"/>
          <w:lang w:val="zh-CN"/>
        </w:rPr>
      </w:pPr>
      <w:r>
        <w:rPr>
          <w:rFonts w:hint="eastAsia" w:ascii="仿宋_GB2312" w:hAnsi="宋体" w:eastAsia="仿宋_GB2312"/>
          <w:sz w:val="32"/>
          <w:lang w:val="zh-CN"/>
        </w:rPr>
        <w:t>1、由于群众文化水平低等诸多原因，对部分扶贫和惠民政策的宣传达不到上级要求效果。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lang w:val="zh-CN" w:eastAsia="zh-CN"/>
        </w:rPr>
      </w:pPr>
      <w:r>
        <w:rPr>
          <w:rFonts w:hint="eastAsia" w:ascii="仿宋_GB2312" w:hAnsi="宋体" w:eastAsia="仿宋_GB2312"/>
          <w:sz w:val="32"/>
          <w:lang w:val="zh-CN"/>
        </w:rPr>
        <w:t>2、我县群众一卡通发放时提供的卡号因各种原因一次性打卡成功的数不多，个别群众甚至多次整改才能打卡成功。</w:t>
      </w:r>
    </w:p>
    <w:p>
      <w:pPr>
        <w:widowControl/>
        <w:adjustRightInd w:val="0"/>
        <w:snapToGrid w:val="0"/>
        <w:spacing w:line="560" w:lineRule="exact"/>
        <w:ind w:firstLine="640" w:firstLineChars="2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（三）改进建议。</w:t>
      </w:r>
    </w:p>
    <w:p>
      <w:pPr>
        <w:widowControl/>
        <w:adjustRightInd w:val="0"/>
        <w:snapToGrid w:val="0"/>
        <w:spacing w:line="560" w:lineRule="exact"/>
        <w:ind w:firstLine="640" w:firstLineChars="200"/>
        <w:jc w:val="left"/>
        <w:rPr>
          <w:rFonts w:ascii="仿宋_GB2312" w:hAnsi="宋体" w:eastAsia="仿宋_GB2312"/>
          <w:sz w:val="32"/>
          <w:lang w:val="zh-CN"/>
        </w:rPr>
      </w:pPr>
      <w:r>
        <w:rPr>
          <w:rFonts w:hint="eastAsia" w:ascii="仿宋_GB2312" w:hAnsi="宋体" w:eastAsia="仿宋_GB2312"/>
          <w:sz w:val="32"/>
          <w:lang w:val="zh-CN"/>
        </w:rPr>
        <w:t>进一步加强与财政、乡镇等部门的沟通联系，积极参加各类学习、培训，努力提高业务能力、服务意识和服务水平。</w:t>
      </w:r>
    </w:p>
    <w:p>
      <w:pPr>
        <w:spacing w:line="560" w:lineRule="exact"/>
        <w:ind w:firstLine="640" w:firstLineChars="200"/>
        <w:rPr>
          <w:rFonts w:ascii="仿宋_GB2312" w:hAnsi="宋体" w:eastAsia="仿宋_GB2312"/>
          <w:sz w:val="32"/>
          <w:lang w:val="zh-CN"/>
        </w:rPr>
      </w:pP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eastAsia="仿宋_GB2312" w:cs="仿宋_GB2312"/>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sz w:val="30"/>
          <w:szCs w:val="30"/>
          <w:lang w:val="en-US"/>
        </w:rPr>
      </w:pPr>
    </w:p>
    <w:p/>
    <w:p>
      <w:pPr>
        <w:snapToGrid w:val="0"/>
        <w:spacing w:line="580" w:lineRule="exact"/>
        <w:jc w:val="both"/>
        <w:rPr>
          <w:rFonts w:hint="eastAsia" w:ascii="方正小标宋简体" w:hAnsi="宋体" w:eastAsia="方正小标宋简体" w:cs="方正小标宋简体"/>
          <w:sz w:val="44"/>
          <w:szCs w:val="44"/>
          <w:lang w:val="en-US" w:eastAsia="zh-CN"/>
        </w:rPr>
      </w:pPr>
      <w:r>
        <w:rPr>
          <w:rFonts w:hint="eastAsia" w:ascii="方正小标宋简体" w:hAnsi="宋体" w:eastAsia="方正小标宋简体" w:cs="方正小标宋简体"/>
          <w:sz w:val="44"/>
          <w:szCs w:val="44"/>
          <w:lang w:val="en-US" w:eastAsia="zh-CN"/>
        </w:rPr>
        <w:t>附件2</w:t>
      </w:r>
    </w:p>
    <w:p>
      <w:pPr>
        <w:snapToGrid w:val="0"/>
        <w:spacing w:line="580" w:lineRule="exact"/>
        <w:jc w:val="center"/>
        <w:rPr>
          <w:rFonts w:hint="eastAsia" w:ascii="方正小标宋简体" w:hAnsi="宋体" w:eastAsia="方正小标宋简体" w:cs="方正小标宋简体"/>
          <w:sz w:val="44"/>
          <w:szCs w:val="44"/>
        </w:rPr>
      </w:pPr>
    </w:p>
    <w:p>
      <w:pPr>
        <w:snapToGrid w:val="0"/>
        <w:spacing w:line="58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项目支出绩效评价报告范本</w:t>
      </w:r>
    </w:p>
    <w:p>
      <w:pPr>
        <w:tabs>
          <w:tab w:val="left" w:pos="3885"/>
        </w:tabs>
        <w:snapToGrid w:val="0"/>
        <w:spacing w:line="580" w:lineRule="exact"/>
        <w:ind w:firstLine="640" w:firstLineChars="200"/>
        <w:jc w:val="center"/>
        <w:rPr>
          <w:rFonts w:hAnsi="宋体"/>
        </w:rPr>
      </w:pPr>
      <w:r>
        <w:rPr>
          <w:rFonts w:hint="eastAsia" w:hAnsi="宋体" w:eastAsia="仿宋_GB2312" w:cs="仿宋_GB2312"/>
          <w:sz w:val="32"/>
        </w:rPr>
        <w:t>（</w:t>
      </w:r>
      <w:r>
        <w:rPr>
          <w:rFonts w:hint="eastAsia" w:hAnsi="宋体" w:eastAsia="仿宋_GB2312"/>
          <w:sz w:val="32"/>
        </w:rPr>
        <w:t>重度残疾人</w:t>
      </w:r>
      <w:r>
        <w:rPr>
          <w:rFonts w:hint="eastAsia" w:hAnsi="宋体" w:eastAsia="仿宋_GB2312" w:cs="仿宋_GB2312"/>
          <w:sz w:val="32"/>
        </w:rPr>
        <w:t>项目）</w:t>
      </w:r>
    </w:p>
    <w:p>
      <w:pPr>
        <w:tabs>
          <w:tab w:val="left" w:pos="3885"/>
        </w:tabs>
        <w:snapToGrid w:val="0"/>
        <w:spacing w:line="580" w:lineRule="exact"/>
        <w:ind w:firstLine="422" w:firstLineChars="200"/>
        <w:jc w:val="left"/>
        <w:rPr>
          <w:rFonts w:ascii="宋体" w:hAnsi="宋体" w:eastAsia="仿宋_GB2312" w:cs="宋体"/>
          <w:b/>
          <w:szCs w:val="21"/>
        </w:rPr>
      </w:pPr>
    </w:p>
    <w:p>
      <w:pPr>
        <w:adjustRightInd w:val="0"/>
        <w:snapToGrid w:val="0"/>
        <w:spacing w:line="580" w:lineRule="exact"/>
        <w:ind w:firstLine="420" w:firstLineChars="200"/>
        <w:rPr>
          <w:rFonts w:hint="eastAsia" w:ascii="黑体" w:hAnsi="宋体" w:eastAsia="黑体"/>
        </w:rPr>
      </w:pPr>
      <w:r>
        <w:rPr>
          <w:rFonts w:hint="eastAsia" w:ascii="黑体" w:hAnsi="宋体" w:eastAsia="黑体"/>
        </w:rPr>
        <w:t>一、项目概况</w:t>
      </w:r>
    </w:p>
    <w:p>
      <w:pPr>
        <w:adjustRightInd w:val="0"/>
        <w:snapToGrid w:val="0"/>
        <w:spacing w:line="580" w:lineRule="exact"/>
        <w:ind w:firstLine="413" w:firstLineChars="196"/>
        <w:rPr>
          <w:rFonts w:hint="eastAsia" w:ascii="楷体_GB2312" w:hAnsi="宋体" w:eastAsia="楷体_GB2312"/>
          <w:b/>
          <w:lang w:val="zh-CN"/>
        </w:rPr>
      </w:pPr>
      <w:r>
        <w:rPr>
          <w:rFonts w:hint="eastAsia" w:ascii="楷体_GB2312" w:hAnsi="宋体" w:eastAsia="楷体_GB2312"/>
          <w:b/>
          <w:lang w:val="zh-CN"/>
        </w:rPr>
        <w:t>（一）项目资金申报及批复情况。</w:t>
      </w:r>
    </w:p>
    <w:p>
      <w:pPr>
        <w:pStyle w:val="12"/>
        <w:wordWrap w:val="0"/>
        <w:spacing w:line="420" w:lineRule="atLeast"/>
        <w:ind w:firstLine="640"/>
        <w:jc w:val="both"/>
        <w:rPr>
          <w:rFonts w:hint="eastAsia" w:ascii="仿宋_GB2312" w:cs="Times New Roman"/>
          <w:kern w:val="2"/>
          <w:sz w:val="21"/>
          <w:lang w:val="zh-CN"/>
        </w:rPr>
      </w:pPr>
      <w:r>
        <w:rPr>
          <w:rFonts w:hint="eastAsia" w:ascii="仿宋_GB2312" w:cs="Times New Roman"/>
          <w:kern w:val="2"/>
          <w:sz w:val="21"/>
          <w:lang w:val="zh-CN"/>
        </w:rPr>
        <w:t>1.重度残疾人生活补助项目配套资金是社会福利体系的一个重要组成部分，是传统的救济制度的改革与发展，其根本目的是保障残疾人生存发展权益。该项目为重度残疾人发放护理补贴，解决残疾人长期照护困难。涉及范围：具有文昌户籍、持有第二代《中华人民共和国残疾人证》且残疾等级被评定为一级、二级的重度残疾人。</w:t>
      </w:r>
    </w:p>
    <w:p>
      <w:pPr>
        <w:widowControl/>
        <w:adjustRightInd w:val="0"/>
        <w:snapToGrid w:val="0"/>
        <w:spacing w:line="560" w:lineRule="exact"/>
        <w:ind w:firstLine="420" w:firstLineChars="200"/>
        <w:jc w:val="left"/>
        <w:rPr>
          <w:rFonts w:hint="eastAsia" w:ascii="仿宋_GB2312" w:hAnsi="宋体"/>
          <w:lang w:val="zh-CN"/>
        </w:rPr>
      </w:pPr>
    </w:p>
    <w:p>
      <w:pPr>
        <w:widowControl/>
        <w:adjustRightInd w:val="0"/>
        <w:snapToGrid w:val="0"/>
        <w:spacing w:line="560" w:lineRule="exact"/>
        <w:ind w:firstLine="420" w:firstLineChars="200"/>
        <w:jc w:val="left"/>
        <w:rPr>
          <w:rFonts w:hint="eastAsia" w:ascii="仿宋_GB2312" w:hAnsi="宋体"/>
          <w:lang w:val="zh-CN"/>
        </w:rPr>
      </w:pPr>
      <w:r>
        <w:rPr>
          <w:rFonts w:hint="eastAsia" w:ascii="仿宋_GB2312" w:hAnsi="宋体"/>
        </w:rPr>
        <w:t>2.</w:t>
      </w:r>
      <w:r>
        <w:rPr>
          <w:rFonts w:hint="eastAsia" w:ascii="仿宋_GB2312" w:hAnsi="宋体"/>
          <w:lang w:val="zh-CN"/>
        </w:rPr>
        <w:t>.我局严格按照预决算资金管理办法和民政资金管理办法，来管理资金。2018年各级财政共配套重度残疾人资金</w:t>
      </w:r>
      <w:r>
        <w:rPr>
          <w:rFonts w:hint="eastAsia" w:ascii="仿宋_GB2312" w:hAnsi="宋体"/>
        </w:rPr>
        <w:t>15</w:t>
      </w:r>
      <w:r>
        <w:rPr>
          <w:rFonts w:hint="eastAsia" w:ascii="仿宋_GB2312" w:hAnsi="宋体"/>
          <w:lang w:val="zh-CN"/>
        </w:rPr>
        <w:t>万元，2018年我局共申报支付</w:t>
      </w:r>
      <w:r>
        <w:rPr>
          <w:rFonts w:hint="eastAsia" w:ascii="仿宋_GB2312" w:hAnsi="宋体"/>
        </w:rPr>
        <w:t>65.892</w:t>
      </w:r>
      <w:r>
        <w:rPr>
          <w:rFonts w:hint="eastAsia" w:ascii="仿宋_GB2312" w:hAnsi="宋体"/>
          <w:lang w:val="zh-CN"/>
        </w:rPr>
        <w:t>万元，财政批复支付</w:t>
      </w:r>
      <w:r>
        <w:rPr>
          <w:rFonts w:hint="eastAsia" w:ascii="仿宋_GB2312" w:hAnsi="宋体"/>
        </w:rPr>
        <w:t>65.73</w:t>
      </w:r>
      <w:r>
        <w:rPr>
          <w:rFonts w:hint="eastAsia" w:ascii="仿宋_GB2312" w:hAnsi="宋体"/>
          <w:lang w:val="zh-CN"/>
        </w:rPr>
        <w:t>万元。</w:t>
      </w:r>
    </w:p>
    <w:p>
      <w:pPr>
        <w:adjustRightInd w:val="0"/>
        <w:snapToGrid w:val="0"/>
        <w:spacing w:line="580" w:lineRule="exact"/>
        <w:ind w:firstLine="720"/>
        <w:rPr>
          <w:rFonts w:hint="eastAsia" w:ascii="楷体_GB2312" w:hAnsi="宋体" w:eastAsia="楷体_GB2312"/>
          <w:b/>
          <w:lang w:val="zh-CN"/>
        </w:rPr>
      </w:pPr>
      <w:r>
        <w:rPr>
          <w:rFonts w:hint="eastAsia" w:ascii="楷体_GB2312" w:hAnsi="宋体" w:eastAsia="楷体_GB2312"/>
          <w:b/>
          <w:lang w:val="zh-CN"/>
        </w:rPr>
        <w:t>（二）项目绩效目标。</w:t>
      </w:r>
    </w:p>
    <w:p>
      <w:pPr>
        <w:widowControl/>
        <w:adjustRightInd w:val="0"/>
        <w:snapToGrid w:val="0"/>
        <w:spacing w:line="560" w:lineRule="exact"/>
        <w:ind w:firstLine="420" w:firstLineChars="200"/>
        <w:jc w:val="left"/>
        <w:rPr>
          <w:rFonts w:hint="eastAsia" w:ascii="仿宋_GB2312" w:hAnsi="宋体"/>
          <w:lang w:val="zh-CN"/>
        </w:rPr>
      </w:pPr>
      <w:r>
        <w:rPr>
          <w:rFonts w:hint="eastAsia" w:ascii="仿宋_GB2312" w:hAnsi="宋体"/>
        </w:rPr>
        <w:t>其中一季度、二季度、三季度、四季度6.39万元、6.39万元、6.69万元、6.63</w:t>
      </w:r>
      <w:r>
        <w:rPr>
          <w:rFonts w:hint="eastAsia" w:ascii="仿宋_GB2312" w:hAnsi="宋体"/>
          <w:lang w:val="zh-CN"/>
        </w:rPr>
        <w:t>万元用于补助一级重度残疾人补助对象，人数为</w:t>
      </w:r>
      <w:r>
        <w:rPr>
          <w:rFonts w:hint="eastAsia" w:ascii="仿宋_GB2312" w:hAnsi="宋体"/>
        </w:rPr>
        <w:t>213人、213人、223人、221</w:t>
      </w:r>
      <w:r>
        <w:rPr>
          <w:rFonts w:hint="eastAsia" w:ascii="仿宋_GB2312" w:hAnsi="宋体"/>
          <w:lang w:val="zh-CN"/>
        </w:rPr>
        <w:t>人，为残疾人减少经济压力。</w:t>
      </w:r>
    </w:p>
    <w:p>
      <w:pPr>
        <w:widowControl/>
        <w:adjustRightInd w:val="0"/>
        <w:snapToGrid w:val="0"/>
        <w:spacing w:line="560" w:lineRule="exact"/>
        <w:ind w:firstLine="420" w:firstLineChars="200"/>
        <w:jc w:val="left"/>
        <w:rPr>
          <w:rFonts w:hint="eastAsia" w:ascii="仿宋_GB2312" w:hAnsi="宋体"/>
          <w:lang w:val="zh-CN"/>
        </w:rPr>
      </w:pPr>
      <w:r>
        <w:rPr>
          <w:rFonts w:hint="eastAsia" w:ascii="仿宋_GB2312" w:hAnsi="宋体"/>
        </w:rPr>
        <w:t>其中一季度、二季度、三季度、四季度9.429万元、9.429万元、10.332万元、8.589</w:t>
      </w:r>
      <w:r>
        <w:rPr>
          <w:rFonts w:hint="eastAsia" w:ascii="仿宋_GB2312" w:hAnsi="宋体"/>
          <w:lang w:val="zh-CN"/>
        </w:rPr>
        <w:t>万元用于补助二级重度残疾人补助对象，人数为</w:t>
      </w:r>
      <w:r>
        <w:rPr>
          <w:rFonts w:hint="eastAsia" w:ascii="仿宋_GB2312" w:hAnsi="宋体"/>
        </w:rPr>
        <w:t>449人、449人、492人、409</w:t>
      </w:r>
      <w:r>
        <w:rPr>
          <w:rFonts w:hint="eastAsia" w:ascii="仿宋_GB2312" w:hAnsi="宋体"/>
          <w:lang w:val="zh-CN"/>
        </w:rPr>
        <w:t>人，为贫困户减少经济压力。</w:t>
      </w:r>
    </w:p>
    <w:p>
      <w:pPr>
        <w:widowControl/>
        <w:adjustRightInd w:val="0"/>
        <w:snapToGrid w:val="0"/>
        <w:spacing w:line="560" w:lineRule="exact"/>
        <w:jc w:val="left"/>
        <w:rPr>
          <w:rFonts w:hint="eastAsia" w:ascii="仿宋_GB2312" w:hAnsi="宋体"/>
          <w:lang w:val="zh-CN"/>
        </w:rPr>
      </w:pPr>
    </w:p>
    <w:p>
      <w:pPr>
        <w:adjustRightInd w:val="0"/>
        <w:snapToGrid w:val="0"/>
        <w:spacing w:line="580" w:lineRule="exact"/>
        <w:ind w:firstLine="720"/>
        <w:rPr>
          <w:rFonts w:hint="eastAsia" w:ascii="楷体_GB2312" w:hAnsi="宋体" w:eastAsia="楷体_GB2312"/>
          <w:b/>
          <w:lang w:val="zh-CN"/>
        </w:rPr>
      </w:pPr>
      <w:r>
        <w:rPr>
          <w:rFonts w:hint="eastAsia" w:ascii="楷体_GB2312" w:hAnsi="宋体" w:eastAsia="楷体_GB2312"/>
          <w:b/>
          <w:lang w:val="zh-CN"/>
        </w:rPr>
        <w:t>（三）项目资金申报相符性。</w:t>
      </w:r>
    </w:p>
    <w:p>
      <w:pPr>
        <w:spacing w:line="560" w:lineRule="exact"/>
        <w:ind w:firstLine="420" w:firstLineChars="200"/>
        <w:rPr>
          <w:rFonts w:hint="eastAsia" w:ascii="仿宋_GB2312" w:hAnsi="宋体"/>
          <w:lang w:val="zh-CN"/>
        </w:rPr>
      </w:pPr>
      <w:r>
        <w:rPr>
          <w:rFonts w:hint="eastAsia" w:ascii="仿宋_GB2312" w:hAnsi="宋体"/>
          <w:lang w:val="zh-CN"/>
        </w:rPr>
        <w:t>我局2018年项目申报内容与具体实施内容相符，申报目标合理可行。</w:t>
      </w:r>
    </w:p>
    <w:p>
      <w:pPr>
        <w:adjustRightInd w:val="0"/>
        <w:snapToGrid w:val="0"/>
        <w:spacing w:line="580" w:lineRule="exact"/>
        <w:ind w:firstLine="420" w:firstLineChars="200"/>
        <w:rPr>
          <w:rFonts w:hint="eastAsia" w:ascii="黑体" w:hAnsi="宋体" w:eastAsia="黑体"/>
        </w:rPr>
      </w:pPr>
      <w:r>
        <w:rPr>
          <w:rFonts w:hint="eastAsia" w:ascii="黑体" w:hAnsi="宋体" w:eastAsia="黑体"/>
        </w:rPr>
        <w:t>二、项目实施及管理情况</w:t>
      </w:r>
    </w:p>
    <w:p>
      <w:pPr>
        <w:adjustRightInd w:val="0"/>
        <w:snapToGrid w:val="0"/>
        <w:spacing w:line="580" w:lineRule="exact"/>
        <w:ind w:firstLine="720"/>
        <w:rPr>
          <w:rFonts w:hint="eastAsia" w:ascii="楷体_GB2312" w:hAnsi="宋体" w:eastAsia="楷体_GB2312"/>
          <w:b/>
          <w:lang w:val="zh-CN"/>
        </w:rPr>
      </w:pPr>
      <w:r>
        <w:rPr>
          <w:rFonts w:hint="eastAsia" w:ascii="楷体_GB2312" w:hAnsi="宋体" w:eastAsia="楷体_GB2312"/>
          <w:b/>
          <w:lang w:val="zh-CN"/>
        </w:rPr>
        <w:t>（一）资金计划、到位及使用情况。</w:t>
      </w:r>
    </w:p>
    <w:p>
      <w:pPr>
        <w:spacing w:line="560" w:lineRule="exact"/>
        <w:ind w:firstLine="422" w:firstLineChars="200"/>
        <w:rPr>
          <w:rFonts w:ascii="仿宋_GB2312" w:hAnsi="宋体"/>
          <w:lang w:val="zh-CN"/>
        </w:rPr>
      </w:pPr>
      <w:r>
        <w:rPr>
          <w:rFonts w:hint="eastAsia" w:ascii="楷体_GB2312" w:hAnsi="宋体" w:eastAsia="楷体_GB2312"/>
          <w:b/>
          <w:lang w:val="zh-CN"/>
        </w:rPr>
        <w:t>1、资金计划及到位情况</w:t>
      </w:r>
      <w:r>
        <w:rPr>
          <w:rFonts w:hint="eastAsia" w:ascii="仿宋_GB2312" w:hAnsi="宋体"/>
          <w:lang w:val="zh-CN"/>
        </w:rPr>
        <w:t>。</w:t>
      </w:r>
    </w:p>
    <w:p>
      <w:pPr>
        <w:adjustRightInd w:val="0"/>
        <w:snapToGrid w:val="0"/>
        <w:spacing w:line="560" w:lineRule="exact"/>
        <w:ind w:firstLine="420" w:firstLineChars="200"/>
        <w:rPr>
          <w:rFonts w:hint="eastAsia" w:ascii="仿宋_GB2312" w:hAnsi="宋体"/>
          <w:lang w:val="zh-CN"/>
        </w:rPr>
      </w:pPr>
      <w:r>
        <w:rPr>
          <w:rFonts w:hint="eastAsia" w:ascii="仿宋_GB2312" w:hAnsi="宋体"/>
          <w:lang w:val="zh-CN"/>
        </w:rPr>
        <w:t>2018年共计收到重度残疾人救助资金</w:t>
      </w:r>
      <w:r>
        <w:rPr>
          <w:rFonts w:hint="eastAsia" w:ascii="仿宋_GB2312" w:hAnsi="宋体"/>
        </w:rPr>
        <w:t>65.892</w:t>
      </w:r>
      <w:r>
        <w:rPr>
          <w:rFonts w:hint="eastAsia" w:ascii="仿宋_GB2312" w:hAnsi="宋体"/>
          <w:lang w:val="zh-CN"/>
        </w:rPr>
        <w:t>万元，其中：阿州财社（2018）</w:t>
      </w:r>
      <w:r>
        <w:rPr>
          <w:rFonts w:hint="eastAsia" w:ascii="仿宋_GB2312" w:hAnsi="宋体"/>
        </w:rPr>
        <w:t>24</w:t>
      </w:r>
      <w:r>
        <w:rPr>
          <w:rFonts w:hint="eastAsia" w:ascii="仿宋_GB2312" w:hAnsi="宋体"/>
          <w:lang w:val="zh-CN"/>
        </w:rPr>
        <w:t>号下达</w:t>
      </w:r>
      <w:r>
        <w:rPr>
          <w:rFonts w:hint="eastAsia" w:ascii="仿宋_GB2312" w:hAnsi="宋体"/>
        </w:rPr>
        <w:t>65.892</w:t>
      </w:r>
      <w:r>
        <w:rPr>
          <w:rFonts w:hint="eastAsia" w:ascii="仿宋_GB2312" w:hAnsi="宋体"/>
          <w:lang w:val="zh-CN"/>
        </w:rPr>
        <w:t>万元（省级一般预算</w:t>
      </w:r>
      <w:r>
        <w:rPr>
          <w:rFonts w:hint="eastAsia" w:ascii="仿宋_GB2312" w:hAnsi="宋体"/>
        </w:rPr>
        <w:t>15</w:t>
      </w:r>
      <w:r>
        <w:rPr>
          <w:rFonts w:hint="eastAsia" w:ascii="仿宋_GB2312" w:hAnsi="宋体"/>
          <w:lang w:val="zh-CN"/>
        </w:rPr>
        <w:t>万元）；</w:t>
      </w:r>
    </w:p>
    <w:p>
      <w:pPr>
        <w:adjustRightInd w:val="0"/>
        <w:snapToGrid w:val="0"/>
        <w:spacing w:line="560" w:lineRule="exact"/>
        <w:ind w:firstLine="422" w:firstLineChars="200"/>
        <w:rPr>
          <w:rFonts w:hint="eastAsia" w:ascii="楷体_GB2312" w:hAnsi="宋体" w:eastAsia="楷体_GB2312"/>
          <w:b/>
          <w:lang w:val="zh-CN"/>
        </w:rPr>
      </w:pPr>
      <w:r>
        <w:rPr>
          <w:rFonts w:hint="eastAsia" w:ascii="楷体_GB2312" w:hAnsi="宋体" w:eastAsia="楷体_GB2312"/>
          <w:b/>
          <w:lang w:val="zh-CN"/>
        </w:rPr>
        <w:t>2、资金使用情况。</w:t>
      </w:r>
    </w:p>
    <w:p>
      <w:pPr>
        <w:widowControl/>
        <w:adjustRightInd w:val="0"/>
        <w:snapToGrid w:val="0"/>
        <w:spacing w:line="560" w:lineRule="exact"/>
        <w:ind w:firstLine="420" w:firstLineChars="200"/>
        <w:jc w:val="left"/>
        <w:rPr>
          <w:rFonts w:hint="eastAsia" w:ascii="仿宋_GB2312" w:hAnsi="宋体"/>
          <w:lang w:val="zh-CN"/>
        </w:rPr>
      </w:pPr>
      <w:r>
        <w:rPr>
          <w:rFonts w:hint="eastAsia" w:ascii="仿宋_GB2312" w:hAnsi="宋体"/>
          <w:lang w:val="zh-CN"/>
        </w:rPr>
        <w:t>2018年共计发放重度残疾人救助资金</w:t>
      </w:r>
      <w:r>
        <w:rPr>
          <w:rFonts w:hint="eastAsia" w:ascii="仿宋_GB2312" w:hAnsi="宋体"/>
        </w:rPr>
        <w:t>65.892</w:t>
      </w:r>
      <w:r>
        <w:rPr>
          <w:rFonts w:hint="eastAsia" w:ascii="仿宋_GB2312" w:hAnsi="宋体"/>
          <w:lang w:val="zh-CN"/>
        </w:rPr>
        <w:t>万元其中一级重度残疾人</w:t>
      </w:r>
      <w:r>
        <w:rPr>
          <w:rFonts w:hint="eastAsia" w:ascii="仿宋_GB2312" w:hAnsi="宋体"/>
        </w:rPr>
        <w:t>26.16</w:t>
      </w:r>
      <w:r>
        <w:rPr>
          <w:rFonts w:hint="eastAsia" w:ascii="仿宋_GB2312" w:hAnsi="宋体"/>
          <w:lang w:val="zh-CN"/>
        </w:rPr>
        <w:t>万元，人数</w:t>
      </w:r>
      <w:r>
        <w:rPr>
          <w:rFonts w:hint="eastAsia" w:ascii="仿宋_GB2312" w:hAnsi="宋体"/>
        </w:rPr>
        <w:t>872</w:t>
      </w:r>
      <w:r>
        <w:rPr>
          <w:rFonts w:hint="eastAsia" w:ascii="仿宋_GB2312" w:hAnsi="宋体"/>
          <w:lang w:val="zh-CN"/>
        </w:rPr>
        <w:t>人。二级残疾人</w:t>
      </w:r>
      <w:r>
        <w:rPr>
          <w:rFonts w:hint="eastAsia" w:ascii="仿宋_GB2312" w:hAnsi="宋体"/>
        </w:rPr>
        <w:t>39.732</w:t>
      </w:r>
      <w:r>
        <w:rPr>
          <w:rFonts w:hint="eastAsia" w:ascii="仿宋_GB2312" w:hAnsi="宋体"/>
          <w:lang w:val="zh-CN"/>
        </w:rPr>
        <w:t>万元，人数</w:t>
      </w:r>
      <w:r>
        <w:rPr>
          <w:rFonts w:hint="eastAsia" w:ascii="仿宋_GB2312" w:hAnsi="宋体"/>
        </w:rPr>
        <w:t>1892</w:t>
      </w:r>
      <w:r>
        <w:rPr>
          <w:rFonts w:hint="eastAsia" w:ascii="仿宋_GB2312" w:hAnsi="宋体"/>
          <w:lang w:val="zh-CN"/>
        </w:rPr>
        <w:t>人。</w:t>
      </w:r>
    </w:p>
    <w:p>
      <w:pPr>
        <w:adjustRightInd w:val="0"/>
        <w:snapToGrid w:val="0"/>
        <w:spacing w:line="560" w:lineRule="exact"/>
        <w:ind w:firstLine="422" w:firstLineChars="200"/>
        <w:rPr>
          <w:rFonts w:ascii="楷体_GB2312" w:hAnsi="宋体" w:eastAsia="楷体_GB2312"/>
          <w:b/>
          <w:lang w:val="zh-CN"/>
        </w:rPr>
      </w:pPr>
      <w:r>
        <w:rPr>
          <w:rFonts w:hint="eastAsia" w:ascii="楷体_GB2312" w:hAnsi="宋体" w:eastAsia="楷体_GB2312"/>
          <w:b/>
          <w:lang w:val="zh-CN"/>
        </w:rPr>
        <w:t>（二）项目财务管理情况。</w:t>
      </w:r>
    </w:p>
    <w:p>
      <w:pPr>
        <w:widowControl/>
        <w:adjustRightInd w:val="0"/>
        <w:snapToGrid w:val="0"/>
        <w:spacing w:line="560" w:lineRule="exact"/>
        <w:ind w:firstLine="420" w:firstLineChars="200"/>
        <w:jc w:val="left"/>
        <w:rPr>
          <w:rFonts w:hint="eastAsia" w:ascii="仿宋_GB2312" w:hAnsi="宋体"/>
          <w:lang w:val="zh-CN"/>
        </w:rPr>
      </w:pPr>
      <w:r>
        <w:rPr>
          <w:rFonts w:hint="eastAsia" w:ascii="仿宋_GB2312" w:hAnsi="宋体"/>
          <w:lang w:val="zh-CN"/>
        </w:rPr>
        <w:t>重度残疾人资金实行专账管理、专项核算、专款专用，严格财政规定设置会计账簿和会计核算，建立了收入、支出管理制度，对于财政资金使用，严格执行财政预算管理和财务会计制度规定，对于上级划拨等专项资金进行专款专用，确保跨级资料的真实性和完善性， 本单位城乡医疗救助资金项目根据实际发生的经济业务事项，及时、真实、准确的填制凭证登记会计帐薄，及时登记入账，不存在贪污侵占、截留挪用、虚报冒领、私存私分、克扣索要、发放不及时、未足额发放、未发放资金未按规定存放</w:t>
      </w:r>
      <w:r>
        <w:rPr>
          <w:rFonts w:hint="eastAsia" w:ascii="仿宋_GB2312" w:hAnsi="宋体"/>
          <w:lang w:val="zh-CN"/>
        </w:rPr>
        <w:tab/>
      </w:r>
      <w:r>
        <w:rPr>
          <w:rFonts w:hint="eastAsia" w:ascii="仿宋_GB2312" w:hAnsi="宋体"/>
          <w:lang w:val="zh-CN"/>
        </w:rPr>
        <w:t>、超范围超标准发放</w:t>
      </w:r>
      <w:r>
        <w:rPr>
          <w:rFonts w:hint="eastAsia" w:ascii="仿宋_GB2312" w:hAnsi="宋体"/>
          <w:lang w:val="zh-CN"/>
        </w:rPr>
        <w:tab/>
      </w:r>
      <w:r>
        <w:rPr>
          <w:rFonts w:hint="eastAsia" w:ascii="仿宋_GB2312" w:hAnsi="宋体"/>
          <w:lang w:val="zh-CN"/>
        </w:rPr>
        <w:t>、未按规定分配补助资金、应享受未享受</w:t>
      </w:r>
      <w:r>
        <w:rPr>
          <w:rFonts w:hint="eastAsia" w:ascii="仿宋_GB2312" w:hAnsi="宋体"/>
          <w:lang w:val="zh-CN"/>
        </w:rPr>
        <w:tab/>
      </w:r>
      <w:r>
        <w:rPr>
          <w:rFonts w:hint="eastAsia" w:ascii="仿宋_GB2312" w:hAnsi="宋体"/>
          <w:lang w:val="zh-CN"/>
        </w:rPr>
        <w:t>、其他等问题，较好地坚持财务“一支笔”的审批制度和复核制度，按照规定保管会计档案，并建立完善的内部控制制度和监督制度。</w:t>
      </w:r>
    </w:p>
    <w:p>
      <w:pPr>
        <w:adjustRightInd w:val="0"/>
        <w:snapToGrid w:val="0"/>
        <w:spacing w:line="560" w:lineRule="exact"/>
        <w:ind w:firstLine="422" w:firstLineChars="200"/>
        <w:rPr>
          <w:rFonts w:ascii="楷体_GB2312" w:hAnsi="宋体" w:eastAsia="楷体_GB2312"/>
          <w:b/>
          <w:lang w:val="zh-CN"/>
        </w:rPr>
      </w:pPr>
      <w:r>
        <w:rPr>
          <w:rFonts w:hint="eastAsia" w:ascii="楷体_GB2312" w:hAnsi="宋体" w:eastAsia="楷体_GB2312"/>
          <w:b/>
          <w:lang w:val="zh-CN"/>
        </w:rPr>
        <w:t>（三）项目组织实施情况。</w:t>
      </w:r>
    </w:p>
    <w:p>
      <w:pPr>
        <w:widowControl/>
        <w:adjustRightInd w:val="0"/>
        <w:snapToGrid w:val="0"/>
        <w:spacing w:line="560" w:lineRule="exact"/>
        <w:ind w:firstLine="420" w:firstLineChars="200"/>
        <w:jc w:val="left"/>
        <w:rPr>
          <w:rFonts w:hint="eastAsia" w:ascii="仿宋_GB2312" w:hAnsi="宋体"/>
          <w:lang w:val="zh-CN"/>
        </w:rPr>
      </w:pPr>
      <w:r>
        <w:rPr>
          <w:rFonts w:hint="eastAsia" w:ascii="仿宋_GB2312" w:hAnsi="宋体"/>
          <w:lang w:val="zh-CN"/>
        </w:rPr>
        <w:t>我局每月根据乡镇、个人提供的资料，严格按照上级下发的通知、资金管理办法等相关规定经办人严格审批乡镇、个人提交的资料，严格按照标准补助，算好应报金额，财务复审，分管财务领导终审，然后去财政审核拨付资金，最后去银行做代发发给个人。审核拨付资金过程严格按照相关规定执行。</w:t>
      </w:r>
    </w:p>
    <w:p>
      <w:pPr>
        <w:adjustRightInd w:val="0"/>
        <w:snapToGrid w:val="0"/>
        <w:spacing w:line="580" w:lineRule="exact"/>
        <w:ind w:firstLine="420" w:firstLineChars="200"/>
        <w:rPr>
          <w:rFonts w:hint="eastAsia" w:ascii="仿宋_GB2312" w:hAnsi="宋体"/>
          <w:lang w:val="zh-CN"/>
        </w:rPr>
      </w:pPr>
      <w:r>
        <w:rPr>
          <w:rFonts w:hint="eastAsia" w:ascii="黑体" w:hAnsi="宋体" w:eastAsia="黑体"/>
        </w:rPr>
        <w:t>三、项目绩效情况</w:t>
      </w:r>
      <w:r>
        <w:rPr>
          <w:rFonts w:hint="eastAsia" w:ascii="仿宋_GB2312" w:hAnsi="宋体"/>
          <w:lang w:val="zh-CN"/>
        </w:rPr>
        <w:tab/>
      </w:r>
    </w:p>
    <w:p>
      <w:pPr>
        <w:adjustRightInd w:val="0"/>
        <w:snapToGrid w:val="0"/>
        <w:spacing w:line="560" w:lineRule="exact"/>
        <w:ind w:firstLine="422" w:firstLineChars="200"/>
        <w:rPr>
          <w:rFonts w:hint="eastAsia" w:ascii="楷体_GB2312" w:hAnsi="宋体" w:eastAsia="楷体_GB2312"/>
          <w:b/>
          <w:lang w:val="zh-CN"/>
        </w:rPr>
      </w:pPr>
      <w:r>
        <w:rPr>
          <w:rFonts w:hint="eastAsia" w:ascii="楷体_GB2312" w:hAnsi="宋体" w:eastAsia="楷体_GB2312"/>
          <w:b/>
          <w:lang w:val="zh-CN"/>
        </w:rPr>
        <w:t>（一）项目完成情况。</w:t>
      </w:r>
    </w:p>
    <w:p>
      <w:pPr>
        <w:spacing w:line="560" w:lineRule="exact"/>
        <w:ind w:firstLine="420" w:firstLineChars="200"/>
        <w:rPr>
          <w:rFonts w:hint="eastAsia" w:ascii="仿宋_GB2312" w:hAnsi="宋体"/>
          <w:lang w:val="zh-CN"/>
        </w:rPr>
      </w:pPr>
      <w:r>
        <w:rPr>
          <w:rFonts w:hint="eastAsia" w:ascii="仿宋_GB2312" w:hAnsi="宋体"/>
          <w:lang w:val="zh-CN"/>
        </w:rPr>
        <w:t>截止2018年12月31日，该年度重度残疾人项目已按照相关要求全面完成。</w:t>
      </w:r>
    </w:p>
    <w:p>
      <w:pPr>
        <w:adjustRightInd w:val="0"/>
        <w:snapToGrid w:val="0"/>
        <w:spacing w:line="560" w:lineRule="exact"/>
        <w:ind w:firstLine="422" w:firstLineChars="200"/>
        <w:rPr>
          <w:rFonts w:hint="eastAsia" w:ascii="仿宋_GB2312" w:hAnsi="宋体"/>
          <w:lang w:val="zh-CN"/>
        </w:rPr>
      </w:pPr>
      <w:r>
        <w:rPr>
          <w:rFonts w:hint="eastAsia" w:ascii="楷体_GB2312" w:hAnsi="宋体" w:eastAsia="楷体_GB2312"/>
          <w:b/>
          <w:lang w:val="zh-CN"/>
        </w:rPr>
        <w:t>（二）项目效益情况。</w:t>
      </w:r>
    </w:p>
    <w:p>
      <w:pPr>
        <w:spacing w:line="560" w:lineRule="exact"/>
        <w:ind w:firstLine="420" w:firstLineChars="200"/>
        <w:rPr>
          <w:rFonts w:hint="eastAsia" w:ascii="仿宋_GB2312" w:hAnsi="宋体"/>
          <w:lang w:val="zh-CN"/>
        </w:rPr>
      </w:pPr>
      <w:r>
        <w:rPr>
          <w:rFonts w:hint="eastAsia" w:ascii="仿宋_GB2312" w:hAnsi="宋体"/>
          <w:lang w:val="zh-CN"/>
        </w:rPr>
        <w:t>1、社会效益：减轻了重度残疾人口的负担，提高农村贫困人口保障水平。</w:t>
      </w:r>
    </w:p>
    <w:p>
      <w:pPr>
        <w:spacing w:line="560" w:lineRule="exact"/>
        <w:ind w:firstLine="420" w:firstLineChars="200"/>
        <w:rPr>
          <w:rFonts w:ascii="仿宋_GB2312" w:hAnsi="宋体"/>
          <w:lang w:val="zh-CN"/>
        </w:rPr>
      </w:pPr>
      <w:r>
        <w:rPr>
          <w:rFonts w:hint="eastAsia" w:ascii="仿宋_GB2312" w:hAnsi="宋体"/>
          <w:lang w:val="zh-CN"/>
        </w:rPr>
        <w:t>2、可持续性影响：相关保障政策与政府承受能力相适宜、对健全社会救助体系有至关重要的作用。</w:t>
      </w:r>
    </w:p>
    <w:p>
      <w:pPr>
        <w:adjustRightInd w:val="0"/>
        <w:snapToGrid w:val="0"/>
        <w:spacing w:line="580" w:lineRule="exact"/>
        <w:ind w:firstLine="420" w:firstLineChars="200"/>
        <w:rPr>
          <w:rFonts w:hint="eastAsia" w:ascii="黑体" w:hAnsi="宋体" w:eastAsia="黑体"/>
        </w:rPr>
      </w:pPr>
      <w:r>
        <w:rPr>
          <w:rFonts w:hint="eastAsia" w:ascii="黑体" w:hAnsi="宋体" w:eastAsia="黑体"/>
        </w:rPr>
        <w:t>四、问题及建议</w:t>
      </w:r>
    </w:p>
    <w:p>
      <w:pPr>
        <w:adjustRightInd w:val="0"/>
        <w:snapToGrid w:val="0"/>
        <w:spacing w:line="560" w:lineRule="exact"/>
        <w:ind w:firstLine="422" w:firstLineChars="200"/>
        <w:rPr>
          <w:rFonts w:hint="eastAsia" w:ascii="楷体_GB2312" w:hAnsi="宋体" w:eastAsia="楷体_GB2312"/>
          <w:b/>
          <w:lang w:val="zh-CN"/>
        </w:rPr>
      </w:pPr>
      <w:r>
        <w:rPr>
          <w:rFonts w:hint="eastAsia" w:ascii="楷体_GB2312" w:hAnsi="宋体" w:eastAsia="楷体_GB2312"/>
          <w:b/>
          <w:lang w:val="zh-CN"/>
        </w:rPr>
        <w:t>（一）存在的问题。</w:t>
      </w:r>
    </w:p>
    <w:p>
      <w:pPr>
        <w:spacing w:line="560" w:lineRule="exact"/>
        <w:ind w:firstLine="420" w:firstLineChars="200"/>
        <w:rPr>
          <w:rFonts w:hint="eastAsia" w:ascii="仿宋_GB2312" w:hAnsi="宋体"/>
          <w:lang w:val="zh-CN"/>
        </w:rPr>
      </w:pPr>
      <w:r>
        <w:rPr>
          <w:rFonts w:hint="eastAsia" w:ascii="仿宋_GB2312" w:hAnsi="宋体"/>
          <w:lang w:val="zh-CN"/>
        </w:rPr>
        <w:t>发放过程中存在的困难是乡镇不能及时提供正确无误的卡号，导致打卡失败人数多，打卡失败次数多。</w:t>
      </w:r>
    </w:p>
    <w:p>
      <w:pPr>
        <w:spacing w:line="560" w:lineRule="exact"/>
        <w:ind w:firstLine="420" w:firstLineChars="200"/>
        <w:rPr>
          <w:rFonts w:hint="eastAsia" w:ascii="仿宋_GB2312" w:hAnsi="宋体"/>
          <w:lang w:val="zh-CN"/>
        </w:rPr>
      </w:pPr>
      <w:r>
        <w:rPr>
          <w:rFonts w:hint="eastAsia" w:ascii="仿宋_GB2312" w:hAnsi="宋体"/>
          <w:lang w:val="zh-CN"/>
        </w:rPr>
        <w:t>（</w:t>
      </w:r>
      <w:r>
        <w:rPr>
          <w:rFonts w:hint="eastAsia" w:ascii="楷体_GB2312" w:hAnsi="宋体" w:eastAsia="楷体_GB2312"/>
          <w:b/>
          <w:lang w:val="zh-CN"/>
        </w:rPr>
        <w:t>二）相关建议。</w:t>
      </w:r>
    </w:p>
    <w:p>
      <w:pPr>
        <w:spacing w:line="560" w:lineRule="exact"/>
        <w:ind w:firstLine="420" w:firstLineChars="200"/>
        <w:rPr>
          <w:rFonts w:hint="eastAsia" w:ascii="仿宋_GB2312" w:hAnsi="宋体"/>
          <w:lang w:val="zh-CN"/>
        </w:rPr>
      </w:pPr>
      <w:r>
        <w:rPr>
          <w:rFonts w:hint="eastAsia" w:ascii="仿宋_GB2312" w:hAnsi="宋体"/>
          <w:lang w:val="zh-CN"/>
        </w:rPr>
        <w:t>进一步加强自身建设，安排财务人员和分管财务领导参加各类培训，提高财务人员业务水平，提高业务技能，更好的服务广大农牧民群众。</w:t>
      </w:r>
    </w:p>
    <w:p>
      <w:pPr>
        <w:spacing w:line="560" w:lineRule="exact"/>
        <w:ind w:firstLine="420" w:firstLineChars="200"/>
        <w:rPr>
          <w:rFonts w:hint="eastAsia" w:ascii="仿宋_GB2312" w:hAnsi="宋体"/>
          <w:lang w:val="zh-CN"/>
        </w:rPr>
      </w:pPr>
    </w:p>
    <w:p>
      <w:pPr>
        <w:spacing w:line="600" w:lineRule="exact"/>
        <w:outlineLvl w:val="0"/>
        <w:rPr>
          <w:rFonts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60"/>
    </w:p>
    <w:p>
      <w:pPr>
        <w:spacing w:line="600" w:lineRule="exact"/>
        <w:jc w:val="center"/>
        <w:outlineLvl w:val="0"/>
        <w:rPr>
          <w:rFonts w:ascii="仿宋" w:hAnsi="仿宋" w:eastAsia="仿宋"/>
          <w:b/>
          <w:color w:val="000000"/>
          <w:sz w:val="44"/>
          <w:szCs w:val="44"/>
        </w:rPr>
      </w:pPr>
    </w:p>
    <w:p>
      <w:pPr>
        <w:pStyle w:val="3"/>
        <w:numPr>
          <w:ilvl w:val="0"/>
          <w:numId w:val="11"/>
        </w:numPr>
        <w:rPr>
          <w:rFonts w:ascii="仿宋" w:hAnsi="仿宋" w:eastAsia="仿宋"/>
          <w:b w:val="0"/>
          <w:color w:val="000000"/>
        </w:rPr>
      </w:pPr>
      <w:bookmarkStart w:id="61" w:name="_Toc15396620"/>
      <w:r>
        <w:rPr>
          <w:rFonts w:hint="eastAsia" w:ascii="仿宋" w:hAnsi="仿宋" w:eastAsia="仿宋"/>
          <w:b w:val="0"/>
          <w:color w:val="000000"/>
        </w:rPr>
        <w:t>收入支出决算总表</w:t>
      </w:r>
    </w:p>
    <w:p>
      <w:pPr>
        <w:pStyle w:val="3"/>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Fonts w:ascii="仿宋" w:hAnsi="仿宋" w:eastAsia="仿宋"/>
          <w:color w:val="00000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4"/>
    </w:p>
    <w:p>
      <w:pPr>
        <w:pStyle w:val="3"/>
        <w:rPr>
          <w:rFonts w:ascii="仿宋" w:hAnsi="仿宋" w:eastAsia="仿宋"/>
          <w:color w:val="000000"/>
        </w:rPr>
      </w:pPr>
      <w:bookmarkStart w:id="65"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Style w:val="27"/>
          <w:rFonts w:hint="eastAsia" w:ascii="仿宋" w:hAnsi="仿宋" w:eastAsia="仿宋"/>
          <w:b w:val="0"/>
          <w:bCs w:val="0"/>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p>
      <w:pPr>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十四、整体支出绩效评价打分表</w:t>
      </w:r>
    </w:p>
    <w:tbl>
      <w:tblPr>
        <w:tblStyle w:val="13"/>
        <w:tblW w:w="8336" w:type="dxa"/>
        <w:tblInd w:w="0" w:type="dxa"/>
        <w:shd w:val="clear" w:color="auto" w:fill="auto"/>
        <w:tblLayout w:type="fixed"/>
        <w:tblCellMar>
          <w:top w:w="0" w:type="dxa"/>
          <w:left w:w="0" w:type="dxa"/>
          <w:bottom w:w="0" w:type="dxa"/>
          <w:right w:w="0" w:type="dxa"/>
        </w:tblCellMar>
      </w:tblPr>
      <w:tblGrid>
        <w:gridCol w:w="475"/>
        <w:gridCol w:w="362"/>
        <w:gridCol w:w="507"/>
        <w:gridCol w:w="1119"/>
        <w:gridCol w:w="292"/>
        <w:gridCol w:w="5581"/>
      </w:tblGrid>
      <w:tr>
        <w:tblPrEx>
          <w:shd w:val="clear" w:color="auto" w:fill="auto"/>
          <w:tblCellMar>
            <w:top w:w="0" w:type="dxa"/>
            <w:left w:w="0" w:type="dxa"/>
            <w:bottom w:w="0" w:type="dxa"/>
            <w:right w:w="0" w:type="dxa"/>
          </w:tblCellMar>
        </w:tblPrEx>
        <w:trPr>
          <w:trHeight w:val="420" w:hRule="atLeast"/>
        </w:trPr>
        <w:tc>
          <w:tcPr>
            <w:tcW w:w="8336" w:type="dxa"/>
            <w:gridSpan w:val="6"/>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2018年红原县部门整体支出绩效评价得分情况表</w:t>
            </w:r>
          </w:p>
        </w:tc>
      </w:tr>
      <w:tr>
        <w:tblPrEx>
          <w:shd w:val="clear" w:color="auto" w:fill="auto"/>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一级指标</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二级指标</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三级指标</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指标解释</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得分</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13"/>
                <w:szCs w:val="13"/>
                <w:u w:val="none"/>
                <w:lang w:val="en-US" w:eastAsia="zh-CN" w:bidi="ar"/>
              </w:rPr>
              <w:t>计分标准（备注）</w:t>
            </w:r>
          </w:p>
        </w:tc>
      </w:tr>
      <w:tr>
        <w:tblPrEx>
          <w:shd w:val="clear" w:color="auto" w:fill="auto"/>
          <w:tblCellMar>
            <w:top w:w="0" w:type="dxa"/>
            <w:left w:w="0" w:type="dxa"/>
            <w:bottom w:w="0" w:type="dxa"/>
            <w:right w:w="0" w:type="dxa"/>
          </w:tblCellMar>
        </w:tblPrEx>
        <w:trPr>
          <w:trHeight w:val="420" w:hRule="atLeast"/>
        </w:trPr>
        <w:tc>
          <w:tcPr>
            <w:tcW w:w="47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预算编制（10分）</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报送时效（2分）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基础信息更新（1分）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部门是否按照县财政部门预算编制通知和有关要求，按时完成基础库、项目库报送工作</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超过规定5个工作日扣0.5分，10个工作日扣1分，以此类推，直至扣完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编制质量（3分）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预算编制准确（1分）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（预算资金总来源-中期评估调整取消资金-预算结余注销资金）÷预算资金总来源*指标分值</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其中：预算资金总来源是指县级年初预算与执行中追加预算（不含当年专款）总和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绩效目标（5分）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部门整体绩效目标（2分）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部门整体绩效目标编制完整、合理</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部门整体绩效目标能完整、合理反映部门年度职责履行情况的得分，否则不得分</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重点项目绩效目标（3分）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项目绩效目标编制明确、量化</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项目支出绩效目标编制不明确和量化的发现一个扣0.5分，直至扣完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预算执行（20分）</w:t>
            </w: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执行进度（10分）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财力专项预算分配时限（4分）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按规定及时分配财力专项预算</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按《预算法》规定时限完成分配的考核得分，否则不得分</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上级专款分配合规率（3分）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按《预算法》规定在一个月内分配上级专款</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（1-未按规定时间在1个月内分配的上级专款规模÷上级专款总规模）*指标分值</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部门预算执行进度（3分）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部门按要求严格预算执行管理</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部门预算实际列支数÷部门预算总额*指标分值</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预算调整（4分）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执行中期评估（4分）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部门中期评估调整取消资金÷(中期评估调整取消资金+预算结余注销资金）*指标分值</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3</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当中期评估调整取消资金与结余注销资金之和为零时，得满分</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行政成本（6分）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三公经费（6分）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严格执行“三公经费”预算</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6</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部门“三公”经费决算数一项超预算扣1分，两项超预算扣2分，以此类推，直至扣完</w:t>
            </w:r>
          </w:p>
        </w:tc>
      </w:tr>
      <w:tr>
        <w:tblPrEx>
          <w:shd w:val="clear" w:color="auto" w:fill="auto"/>
          <w:tblCellMar>
            <w:top w:w="0" w:type="dxa"/>
            <w:left w:w="0" w:type="dxa"/>
            <w:bottom w:w="0" w:type="dxa"/>
            <w:right w:w="0" w:type="dxa"/>
          </w:tblCellMar>
        </w:tblPrEx>
        <w:trPr>
          <w:trHeight w:val="420" w:hRule="atLeast"/>
        </w:trPr>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综合管理（40分）</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债务管理（2分）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债务还本付息（2）</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按规定做好政府性债务还本付息工作</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实际还本付息金额÷应付金额×指标分值</w:t>
            </w:r>
          </w:p>
        </w:tc>
      </w:tr>
      <w:tr>
        <w:tblPrEx>
          <w:shd w:val="clear" w:color="auto" w:fill="auto"/>
          <w:tblCellMar>
            <w:top w:w="0" w:type="dxa"/>
            <w:left w:w="0" w:type="dxa"/>
            <w:bottom w:w="0" w:type="dxa"/>
            <w:right w:w="0" w:type="dxa"/>
          </w:tblCellMar>
        </w:tblPrEx>
        <w:trPr>
          <w:trHeight w:val="63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非税收入执收情况（4分）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非税收入征收情况（2分）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是否按照规定的项目、标准、征收方式执收非税收入，非税收入项目设立的权限和缓减免的依据，对非税收入进行缓减免</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发现有未按规定的非税收入项目、标准执收非税收入或有违反规定缓减免非税收入的，发现一次扣0.5分，直至扣完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非税收入上缴情况（2分）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是否及时足额将非税收入缴入财政</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发现未及时足额将非税收入缴入财政的或者截留、挪用非税收入的，发现一次扣0.5分，直至扣完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政府采购实施计划（4分）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政府采购实施计划编制（2）</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实施计划与政府采购预算的一致性</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（1-调整或细化资金/政府采购预算资金）*分值</w:t>
            </w:r>
          </w:p>
        </w:tc>
      </w:tr>
      <w:tr>
        <w:tblPrEx>
          <w:shd w:val="clear" w:color="auto" w:fill="auto"/>
          <w:tblCellMar>
            <w:top w:w="0" w:type="dxa"/>
            <w:left w:w="0" w:type="dxa"/>
            <w:bottom w:w="0" w:type="dxa"/>
            <w:right w:w="0" w:type="dxa"/>
          </w:tblCellMar>
        </w:tblPrEx>
        <w:trPr>
          <w:trHeight w:val="21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政府采购实施计划的执行（2）</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执行的实施计划与备案的实施计划的一致性</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（1-实施计划备案后的调整或细化资金/实施计划备案后的资金）*分值</w:t>
            </w:r>
          </w:p>
        </w:tc>
      </w:tr>
      <w:tr>
        <w:tblPrEx>
          <w:shd w:val="clear" w:color="auto" w:fill="auto"/>
          <w:tblCellMar>
            <w:top w:w="0" w:type="dxa"/>
            <w:left w:w="0" w:type="dxa"/>
            <w:bottom w:w="0" w:type="dxa"/>
            <w:right w:w="0" w:type="dxa"/>
          </w:tblCellMar>
        </w:tblPrEx>
        <w:trPr>
          <w:trHeight w:val="63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资产管理（6分）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资产管理信息系统建设情况（2分）</w:t>
            </w:r>
          </w:p>
        </w:tc>
        <w:tc>
          <w:tcPr>
            <w:tcW w:w="1119" w:type="dxa"/>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考核部门和单位将国有资产纳入资产信息系统管理情况</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①未将所属单位国有资产纳入系统管理，每少一个单位扣1分。②未将资产变动情况及时录入系统，每次扣0.5分。③未落实人员负责管理系统，扣1分。</w:t>
            </w:r>
          </w:p>
        </w:tc>
      </w:tr>
      <w:tr>
        <w:tblPrEx>
          <w:shd w:val="clear" w:color="auto" w:fill="auto"/>
          <w:tblCellMar>
            <w:top w:w="0" w:type="dxa"/>
            <w:left w:w="0" w:type="dxa"/>
            <w:bottom w:w="0" w:type="dxa"/>
            <w:right w:w="0" w:type="dxa"/>
          </w:tblCellMar>
        </w:tblPrEx>
        <w:trPr>
          <w:trHeight w:val="8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行政事业单位资产清查开展情况（2分）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考核行政事业单位按要求及时、准确、全面开展资产清查工作情况</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shd w:val="clear" w:color="auto" w:fill="auto"/>
          <w:tblCellMar>
            <w:top w:w="0" w:type="dxa"/>
            <w:left w:w="0" w:type="dxa"/>
            <w:bottom w:w="0" w:type="dxa"/>
            <w:right w:w="0" w:type="dxa"/>
          </w:tblCellMar>
        </w:tblPrEx>
        <w:trPr>
          <w:trHeight w:val="63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行政事业单位资产报表上报情况（2分）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考核行政事业单位上报国有资产报表数据的真实性、准确性、全面性</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①未落实专人负责资产报表，未及时上报资产报表扣1分。②报表填报不规范，内容不完整，数据不真实，扣1分。③未提交分析报告，对资产变动情况未作分析说明，扣1分。</w:t>
            </w:r>
          </w:p>
        </w:tc>
      </w:tr>
      <w:tr>
        <w:tblPrEx>
          <w:shd w:val="clear" w:color="auto" w:fill="auto"/>
          <w:tblCellMar>
            <w:top w:w="0" w:type="dxa"/>
            <w:left w:w="0" w:type="dxa"/>
            <w:bottom w:w="0" w:type="dxa"/>
            <w:right w:w="0" w:type="dxa"/>
          </w:tblCellMar>
        </w:tblPrEx>
        <w:trPr>
          <w:trHeight w:val="63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内控制度管理（2分）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内部控制度健全完整（2分）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考核部门内部控制制度的设置和执行情况</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内部控制制度健全完整并执行良好的得分，否则不得分。在本年度内因内控制度不健全或执行不到位，造成单位出现廉政风险或发生重大责任事故的不得分。</w:t>
            </w:r>
          </w:p>
        </w:tc>
      </w:tr>
      <w:tr>
        <w:tblPrEx>
          <w:shd w:val="clear" w:color="auto" w:fill="auto"/>
          <w:tblCellMar>
            <w:top w:w="0" w:type="dxa"/>
            <w:left w:w="0" w:type="dxa"/>
            <w:bottom w:w="0" w:type="dxa"/>
            <w:right w:w="0" w:type="dxa"/>
          </w:tblCellMar>
        </w:tblPrEx>
        <w:trPr>
          <w:trHeight w:val="8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信息公开（6分）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预算公开（2分）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除涉密信息外，各部门要在财政部门批复后二十日内向社会公开本部门预算（含所有财政资金安排的“三公”经费、机关运行经费的安排、使用情况等）</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按县财政通知要求公开预算，未按要求公开的，发现一处扣0.5分，直至扣完</w:t>
            </w:r>
          </w:p>
        </w:tc>
      </w:tr>
      <w:tr>
        <w:tblPrEx>
          <w:shd w:val="clear" w:color="auto" w:fill="auto"/>
          <w:tblCellMar>
            <w:top w:w="0" w:type="dxa"/>
            <w:left w:w="0" w:type="dxa"/>
            <w:bottom w:w="0" w:type="dxa"/>
            <w:right w:w="0" w:type="dxa"/>
          </w:tblCellMar>
        </w:tblPrEx>
        <w:trPr>
          <w:trHeight w:val="63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决算公开（2分）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除涉密信息外，各部门要在财政部门批复二十日内向社会公开本部门决算（含所有财政资金安排的“三公”经费、机关运行经费的安排、使用情况等）</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未按要求公开的，发现一处问题0.5分，直至扣完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绩效信息公开（2分）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按要求公开部门整体支出绩效自评报告及其他按要求应公开的绩效信息</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未按要求公开的，发现一处问题0.5分，直至扣完</w:t>
            </w:r>
          </w:p>
        </w:tc>
      </w:tr>
      <w:tr>
        <w:tblPrEx>
          <w:shd w:val="clear" w:color="auto" w:fill="auto"/>
          <w:tblCellMar>
            <w:top w:w="0" w:type="dxa"/>
            <w:left w:w="0" w:type="dxa"/>
            <w:bottom w:w="0" w:type="dxa"/>
            <w:right w:w="0" w:type="dxa"/>
          </w:tblCellMar>
        </w:tblPrEx>
        <w:trPr>
          <w:trHeight w:val="84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绩效评价（10分）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评价项目覆盖率（2分）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部门实施绩效评价项目数量占部门管理专项预算项目数量的比重，部门申报绩效目标项目数量的比重，用以反映和考核部门实施绩效评价项目资金覆盖情况</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评价覆盖率=实施绩效评价项目数量/部门管理专项预算项目数量×100%</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评价层次（2分）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部门（单位）是否对下级预算单位开展整体绩效评价</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实施评价下级预算单位的得分，否则不得分</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评价结果报告（2分）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部门是否按要求向财政部门报告自评报告等相关绩效信息</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未按要求报送的，发现一处扣0.5分，直至扣完。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整改完成率（4分）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部门是否按要求针对绩效评价发现问题制定整改措施，并整改落实到位</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完成率=应制定整改措施的项目数量/部门实际制定整改措施项目数量×100%。</w:t>
            </w:r>
          </w:p>
        </w:tc>
      </w:tr>
      <w:tr>
        <w:tblPrEx>
          <w:shd w:val="clear" w:color="auto" w:fill="auto"/>
          <w:tblCellMar>
            <w:top w:w="0" w:type="dxa"/>
            <w:left w:w="0" w:type="dxa"/>
            <w:bottom w:w="0" w:type="dxa"/>
            <w:right w:w="0" w:type="dxa"/>
          </w:tblCellMar>
        </w:tblPrEx>
        <w:trPr>
          <w:trHeight w:val="63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依法接受财政监督（6分）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是否按要求开展自查自纠（2分）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根据相关自查自纠报告、报表报送时效和质量进行考核</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未在规定时间内报送自查自纠相关材料包括：纸质和电子版）的，扣0.5分；报告内容不完整，扣1分；报表质量差（如：数据、逻辑、勾稽关系错误）等扣0.5分；直至扣完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重点检查发现违规违纪问题（2分）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根据检查组提供的工作底稿、检查报告等资料进行考核</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专项检查发现的违纪违规问题，每个问题扣0.5分，直至扣完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存在问题整改是否到位（2分）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根据相关整改报告、凭证依据等相关证明材料进行考核</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未在规定时间内完成整改，并提供相关证明材料的，每个问题0.5分，直至扣完</w:t>
            </w:r>
          </w:p>
        </w:tc>
      </w:tr>
      <w:tr>
        <w:tblPrEx>
          <w:shd w:val="clear" w:color="auto" w:fill="auto"/>
          <w:tblCellMar>
            <w:top w:w="0" w:type="dxa"/>
            <w:left w:w="0" w:type="dxa"/>
            <w:bottom w:w="0" w:type="dxa"/>
            <w:right w:w="0" w:type="dxa"/>
          </w:tblCellMar>
        </w:tblPrEx>
        <w:trPr>
          <w:trHeight w:val="420" w:hRule="atLeast"/>
        </w:trPr>
        <w:tc>
          <w:tcPr>
            <w:tcW w:w="4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整体效益（30分）</w:t>
            </w:r>
          </w:p>
        </w:tc>
        <w:tc>
          <w:tcPr>
            <w:tcW w:w="3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部门整体绩效（30分）</w:t>
            </w: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重点项目绩效评价结果（10分）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部门实施重大项目的经济、社会效益</w:t>
            </w: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根据县财政组织实施项目绩效评价结果换算</w:t>
            </w:r>
          </w:p>
        </w:tc>
      </w:tr>
      <w:tr>
        <w:tblPrEx>
          <w:shd w:val="clear" w:color="auto" w:fill="auto"/>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部门职能完成情况特性指标（20分）</w:t>
            </w:r>
          </w:p>
        </w:tc>
        <w:tc>
          <w:tcPr>
            <w:tcW w:w="11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根据部门职能职责、州级级主管部门和县委县政府安排的各项专项工作任务及其他年度重点工作任务等，汇总梳理形成能够量化衡量且全面反映部门职能工作完成情况的若干指标。</w:t>
            </w:r>
          </w:p>
        </w:tc>
        <w:tc>
          <w:tcPr>
            <w:tcW w:w="29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19</w:t>
            </w:r>
          </w:p>
        </w:tc>
        <w:tc>
          <w:tcPr>
            <w:tcW w:w="55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部门和评价组根据部门实际设置</w:t>
            </w:r>
          </w:p>
        </w:tc>
      </w:tr>
      <w:tr>
        <w:tblPrEx>
          <w:tblCellMar>
            <w:top w:w="0" w:type="dxa"/>
            <w:left w:w="0" w:type="dxa"/>
            <w:bottom w:w="0" w:type="dxa"/>
            <w:right w:w="0" w:type="dxa"/>
          </w:tblCellMar>
        </w:tblPrEx>
        <w:trPr>
          <w:trHeight w:val="420" w:hRule="atLeast"/>
        </w:trPr>
        <w:tc>
          <w:tcPr>
            <w:tcW w:w="4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11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29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5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r>
      <w:tr>
        <w:tblPrEx>
          <w:tblCellMar>
            <w:top w:w="0" w:type="dxa"/>
            <w:left w:w="0" w:type="dxa"/>
            <w:bottom w:w="0" w:type="dxa"/>
            <w:right w:w="0" w:type="dxa"/>
          </w:tblCellMar>
        </w:tblPrEx>
        <w:trPr>
          <w:trHeight w:val="420" w:hRule="atLeast"/>
        </w:trPr>
        <w:tc>
          <w:tcPr>
            <w:tcW w:w="4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得分</w:t>
            </w:r>
          </w:p>
        </w:tc>
        <w:tc>
          <w:tcPr>
            <w:tcW w:w="3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3"/>
                <w:szCs w:val="13"/>
                <w:u w:val="none"/>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c>
          <w:tcPr>
            <w:tcW w:w="2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91</w:t>
            </w:r>
          </w:p>
        </w:tc>
        <w:tc>
          <w:tcPr>
            <w:tcW w:w="55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3"/>
                <w:szCs w:val="13"/>
                <w:u w:val="none"/>
              </w:rPr>
            </w:pPr>
          </w:p>
        </w:tc>
      </w:tr>
    </w:tbl>
    <w:p>
      <w:pPr>
        <w:rPr>
          <w:rStyle w:val="27"/>
          <w:rFonts w:hint="eastAsia" w:ascii="仿宋" w:hAnsi="仿宋" w:eastAsia="仿宋"/>
          <w:b w:val="0"/>
          <w:bCs w:val="0"/>
          <w:lang w:val="en-US" w:eastAsia="zh-CN"/>
        </w:rPr>
      </w:pPr>
    </w:p>
    <w:p>
      <w:pPr>
        <w:numPr>
          <w:ilvl w:val="0"/>
          <w:numId w:val="12"/>
        </w:numPr>
        <w:rPr>
          <w:rStyle w:val="27"/>
          <w:rFonts w:hint="eastAsia" w:ascii="仿宋" w:hAnsi="仿宋" w:eastAsia="仿宋"/>
          <w:b w:val="0"/>
          <w:bCs w:val="0"/>
          <w:lang w:val="en-US" w:eastAsia="zh-CN"/>
        </w:rPr>
      </w:pPr>
      <w:r>
        <w:rPr>
          <w:rStyle w:val="27"/>
          <w:rFonts w:hint="eastAsia" w:ascii="仿宋" w:hAnsi="仿宋" w:eastAsia="仿宋"/>
          <w:b w:val="0"/>
          <w:bCs w:val="0"/>
          <w:lang w:val="en-US" w:eastAsia="zh-CN"/>
        </w:rPr>
        <w:t>项目支出绩效评价打分表</w:t>
      </w:r>
    </w:p>
    <w:tbl>
      <w:tblPr>
        <w:tblStyle w:val="13"/>
        <w:tblW w:w="8220" w:type="dxa"/>
        <w:tblInd w:w="0" w:type="dxa"/>
        <w:shd w:val="clear" w:color="auto" w:fill="auto"/>
        <w:tblLayout w:type="fixed"/>
        <w:tblCellMar>
          <w:top w:w="0" w:type="dxa"/>
          <w:left w:w="0" w:type="dxa"/>
          <w:bottom w:w="0" w:type="dxa"/>
          <w:right w:w="0" w:type="dxa"/>
        </w:tblCellMar>
      </w:tblPr>
      <w:tblGrid>
        <w:gridCol w:w="673"/>
        <w:gridCol w:w="598"/>
        <w:gridCol w:w="556"/>
        <w:gridCol w:w="434"/>
        <w:gridCol w:w="1133"/>
        <w:gridCol w:w="1297"/>
        <w:gridCol w:w="486"/>
        <w:gridCol w:w="551"/>
        <w:gridCol w:w="720"/>
        <w:gridCol w:w="486"/>
        <w:gridCol w:w="711"/>
        <w:gridCol w:w="575"/>
      </w:tblGrid>
      <w:tr>
        <w:tblPrEx>
          <w:shd w:val="clear" w:color="auto" w:fill="auto"/>
          <w:tblCellMar>
            <w:top w:w="0" w:type="dxa"/>
            <w:left w:w="0" w:type="dxa"/>
            <w:bottom w:w="0" w:type="dxa"/>
            <w:right w:w="0" w:type="dxa"/>
          </w:tblCellMar>
        </w:tblPrEx>
        <w:trPr>
          <w:trHeight w:val="555" w:hRule="atLeast"/>
        </w:trPr>
        <w:tc>
          <w:tcPr>
            <w:tcW w:w="8220"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2018年红原县项目支出绩效评价得分情况表</w:t>
            </w:r>
          </w:p>
        </w:tc>
      </w:tr>
      <w:tr>
        <w:tblPrEx>
          <w:shd w:val="clear" w:color="auto" w:fill="auto"/>
          <w:tblCellMar>
            <w:top w:w="0" w:type="dxa"/>
            <w:left w:w="0" w:type="dxa"/>
            <w:bottom w:w="0" w:type="dxa"/>
            <w:right w:w="0" w:type="dxa"/>
          </w:tblCellMar>
        </w:tblPrEx>
        <w:trPr>
          <w:trHeight w:val="555"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24" name="直接连接符_10"/>
                  <wp:cNvGraphicFramePr/>
                  <a:graphic xmlns:a="http://schemas.openxmlformats.org/drawingml/2006/main">
                    <a:graphicData uri="http://schemas.openxmlformats.org/drawingml/2006/picture">
                      <pic:pic xmlns:pic="http://schemas.openxmlformats.org/drawingml/2006/picture">
                        <pic:nvPicPr>
                          <pic:cNvPr id="24" name="直接连接符_10"/>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20" name="直接连接符_8"/>
                  <wp:cNvGraphicFramePr/>
                  <a:graphic xmlns:a="http://schemas.openxmlformats.org/drawingml/2006/main">
                    <a:graphicData uri="http://schemas.openxmlformats.org/drawingml/2006/picture">
                      <pic:pic xmlns:pic="http://schemas.openxmlformats.org/drawingml/2006/picture">
                        <pic:nvPicPr>
                          <pic:cNvPr id="20" name="直接连接符_8"/>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19" name="直接连接符_9"/>
                  <wp:cNvGraphicFramePr/>
                  <a:graphic xmlns:a="http://schemas.openxmlformats.org/drawingml/2006/main">
                    <a:graphicData uri="http://schemas.openxmlformats.org/drawingml/2006/picture">
                      <pic:pic xmlns:pic="http://schemas.openxmlformats.org/drawingml/2006/picture">
                        <pic:nvPicPr>
                          <pic:cNvPr id="19" name="直接连接符_9"/>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0" cy="9525"/>
                  <wp:effectExtent l="0" t="0" r="0" b="0"/>
                  <wp:wrapNone/>
                  <wp:docPr id="21" name="直接连接符_7"/>
                  <wp:cNvGraphicFramePr/>
                  <a:graphic xmlns:a="http://schemas.openxmlformats.org/drawingml/2006/main">
                    <a:graphicData uri="http://schemas.openxmlformats.org/drawingml/2006/picture">
                      <pic:pic xmlns:pic="http://schemas.openxmlformats.org/drawingml/2006/picture">
                        <pic:nvPicPr>
                          <pic:cNvPr id="21" name="直接连接符_7"/>
                          <pic:cNvPicPr/>
                        </pic:nvPicPr>
                        <pic:blipFill>
                          <a:blip r:embed="rId12"/>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b/>
                <w:i w:val="0"/>
                <w:color w:val="000000"/>
                <w:kern w:val="0"/>
                <w:sz w:val="16"/>
                <w:szCs w:val="16"/>
                <w:u w:val="none"/>
                <w:lang w:val="en-US" w:eastAsia="zh-CN" w:bidi="ar"/>
              </w:rPr>
              <w:t>一级指标</w:t>
            </w: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二级指标</w:t>
            </w: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三级指标</w:t>
            </w: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分值</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指标评价内容</w:t>
            </w:r>
          </w:p>
        </w:tc>
        <w:tc>
          <w:tcPr>
            <w:tcW w:w="29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评分标准（得分比值）</w:t>
            </w:r>
          </w:p>
        </w:tc>
        <w:tc>
          <w:tcPr>
            <w:tcW w:w="5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得分</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24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（公式计算结果＝x）</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差</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较差</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一般</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较好</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好</w:t>
            </w:r>
          </w:p>
        </w:tc>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c>
          <w:tcPr>
            <w:tcW w:w="24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0.3</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0.6</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0.8</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lang w:val="en-US" w:eastAsia="zh-CN" w:bidi="ar"/>
              </w:rPr>
              <w:t>1</w:t>
            </w:r>
          </w:p>
        </w:tc>
        <w:tc>
          <w:tcPr>
            <w:tcW w:w="5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16"/>
                <w:szCs w:val="16"/>
                <w:u w:val="none"/>
              </w:rPr>
            </w:pPr>
          </w:p>
        </w:tc>
      </w:tr>
      <w:tr>
        <w:tblPrEx>
          <w:shd w:val="clear" w:color="auto" w:fill="auto"/>
          <w:tblCellMar>
            <w:top w:w="0" w:type="dxa"/>
            <w:left w:w="0" w:type="dxa"/>
            <w:bottom w:w="0" w:type="dxa"/>
            <w:right w:w="0" w:type="dxa"/>
          </w:tblCellMar>
        </w:tblPrEx>
        <w:trPr>
          <w:trHeight w:val="765"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项目决策（25分）</w:t>
            </w: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绩效目标（6分）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目标内容</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项目预期提供的产品、服务、效益或其他目标明确,即绩效目标实际明确个数/应当明确个数×100%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0%＜x＜30%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30%≤x＜60%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60%≤x＜100%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x＝100%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64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进度计划</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项目计划实施进度明确</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不明确</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基本明确</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明确</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69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目标匹配</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绩效目标设定符合实际需求的抽样项目点个数/抽样项目点总数×100%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x＜70%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70%≤x＜80%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80%≤x＜90%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90%≤x＜100%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x＝100%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76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决策依据（10分）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政策依据</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项目符合党中央、国务院和省委、省政府决策部署；符合当前经济社会发展需要</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不符合</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符合</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实施规划</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连续性项目根据需要制定中长期实施规划</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有</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实施规划符合实际，并根据情况变化适时调整</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不符合</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基本符合</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符合</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管理制度</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制定项目资金管理办法</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有</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75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项目资金分配决策程序明确</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不明确</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基本明确</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明确</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82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资金分配（4分）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分配方法</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资金分配方法是否科学合理</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否</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一般</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分配过程</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分配过程符合相关规定</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不符合</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符合</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76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分配结果（5分）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审核把关</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符合申报条件的抽样项目点个数/抽样项目点总数×100%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x＜70%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70%≤x＜80%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80%≤x＜90%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90%≤x＜100%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x＝100%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840"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资金集中</w:t>
            </w:r>
          </w:p>
        </w:tc>
        <w:tc>
          <w:tcPr>
            <w:tcW w:w="4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集中</w:t>
            </w:r>
          </w:p>
        </w:tc>
        <w:tc>
          <w:tcPr>
            <w:tcW w:w="12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财政资金占项目资金总额比重较小项目个数/项目总数×100%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x＞35%</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25%＜x≤35%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15%＜x≤25%</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5%＜x≤15%</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x≤5%</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73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（均衡）</w:t>
            </w:r>
          </w:p>
        </w:tc>
        <w:tc>
          <w:tcPr>
            <w:tcW w:w="4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均衡</w:t>
            </w:r>
          </w:p>
        </w:tc>
        <w:tc>
          <w:tcPr>
            <w:tcW w:w="12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按实际分配结果选择客观因素测算验证资金分配方法制定、分配要素设定、基础数据应用、测算依据选取等是否科学合理（2分）</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不合理</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较合理</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合理</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360"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项目管理（15分）</w:t>
            </w: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资金到位（4分）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分配时效</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县级主管部门按规定及时分配资金</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不及时</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及时</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11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资金拨付</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按规定及时拨付资金</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严重滞后</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滞后</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较滞后</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较及时</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及时</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资金管理 （3分） </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使用范围</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资金使用是否合规</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否</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是</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支付依据</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资金支付依据符合规定，即支付依旧合规资金量/资金总量×100%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x＜70%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70%≤x＜80%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80%≤x＜90%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90%≤x＜100%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x＝100%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开支标准</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资金开支标准符合规定，即开支标准合规资金量/资金总量×100%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x＜70%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70%≤x＜80%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80%≤x＜90%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90%≤x＜100%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x＝100%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73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财务管理（4分）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财务制度</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财务制度健全，管理规范</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不规范</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较规范</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规范</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会计核算</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会计核算规范</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不规范</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较规范</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规范</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组织实施（4分）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项目调整</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项目调整严格履行相关手续</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未履行</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履行</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8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投资变更</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项目投资变更额/项目总投入×100%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x＞20%</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20%≥x＞15%</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15%≥x＞10%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10%≥x＞5%</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x≤5%</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r>
      <w:tr>
        <w:tblPrEx>
          <w:shd w:val="clear" w:color="auto" w:fill="auto"/>
          <w:tblCellMar>
            <w:top w:w="0" w:type="dxa"/>
            <w:left w:w="0" w:type="dxa"/>
            <w:bottom w:w="0" w:type="dxa"/>
            <w:right w:w="0" w:type="dxa"/>
          </w:tblCellMar>
        </w:tblPrEx>
        <w:trPr>
          <w:trHeight w:val="76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制度执行</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严格执行项目有关制度规定</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不严格</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较严格</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2819400</wp:posOffset>
                  </wp:positionV>
                  <wp:extent cx="28575" cy="9525"/>
                  <wp:effectExtent l="0" t="0" r="0" b="0"/>
                  <wp:wrapNone/>
                  <wp:docPr id="22" name="直接连接符_6"/>
                  <wp:cNvGraphicFramePr/>
                  <a:graphic xmlns:a="http://schemas.openxmlformats.org/drawingml/2006/main">
                    <a:graphicData uri="http://schemas.openxmlformats.org/drawingml/2006/picture">
                      <pic:pic xmlns:pic="http://schemas.openxmlformats.org/drawingml/2006/picture">
                        <pic:nvPicPr>
                          <pic:cNvPr id="22"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000000"/>
                <w:kern w:val="0"/>
                <w:sz w:val="16"/>
                <w:szCs w:val="16"/>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2819400</wp:posOffset>
                  </wp:positionV>
                  <wp:extent cx="0" cy="9525"/>
                  <wp:effectExtent l="0" t="0" r="0" b="0"/>
                  <wp:wrapNone/>
                  <wp:docPr id="23" name="直接连接符_5"/>
                  <wp:cNvGraphicFramePr/>
                  <a:graphic xmlns:a="http://schemas.openxmlformats.org/drawingml/2006/main">
                    <a:graphicData uri="http://schemas.openxmlformats.org/drawingml/2006/picture">
                      <pic:pic xmlns:pic="http://schemas.openxmlformats.org/drawingml/2006/picture">
                        <pic:nvPicPr>
                          <pic:cNvPr id="23" name="直接连接符_5"/>
                          <pic:cNvPicPr/>
                        </pic:nvPicPr>
                        <pic:blipFill>
                          <a:blip r:embed="rId14"/>
                          <a:stretch>
                            <a:fillRect/>
                          </a:stretch>
                        </pic:blipFill>
                        <pic:spPr>
                          <a:xfrm>
                            <a:off x="0" y="0"/>
                            <a:ext cx="0" cy="9525"/>
                          </a:xfrm>
                          <a:prstGeom prst="rect">
                            <a:avLst/>
                          </a:prstGeom>
                          <a:noFill/>
                          <a:ln>
                            <a:noFill/>
                          </a:ln>
                        </pic:spPr>
                      </pic:pic>
                    </a:graphicData>
                  </a:graphic>
                </wp:anchor>
              </w:drawing>
            </w:r>
            <w:r>
              <w:rPr>
                <w:rFonts w:hint="eastAsia" w:ascii="宋体" w:hAnsi="宋体" w:eastAsia="宋体" w:cs="宋体"/>
                <w:i w:val="0"/>
                <w:color w:val="000000"/>
                <w:kern w:val="0"/>
                <w:sz w:val="16"/>
                <w:szCs w:val="16"/>
                <w:u w:val="none"/>
                <w:lang w:val="en-US" w:eastAsia="zh-CN" w:bidi="ar"/>
              </w:rPr>
              <w:t>项目绩效（特性指标60分）</w:t>
            </w: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项目完成（15分）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完成数量</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实际完成任务量/绩效目标设定任务量×100%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x＜85%</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85%≤x＜90%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90%≤x＜95%</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95%≤x＜100%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x＝100%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完成质量</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符合绩效目标设定的验收标准，达到行业基准水平</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不符合</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符合</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完成时效</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（实际完成时间-绩效目标设定完成时间）/绩效目标设定完成时间×100%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x＞15%</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15%≥x＞10%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10%≥x＞5%</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5%≥x＞0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完成成本</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（实际完成成本-预计完成成本）/预计完成成本×100%</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x＞15%</w:t>
            </w: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15%≥x＞10%</w:t>
            </w: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10%≥x＞5%</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5%≥x＞0</w:t>
            </w: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x≤0</w:t>
            </w: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项目效益（40分）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反映相关产出对经济社会发展带来的影响和效果，根据项目实际细化具体指标。</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反映相关产出对社会发展带来的影响和效果，根据项目实际细化具体指标。</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反映相关产出对自然环境带来的影响和效果，根据项目实际细化具体指标。</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r>
      <w:tr>
        <w:tblPrEx>
          <w:shd w:val="clear" w:color="auto" w:fill="auto"/>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可持续效益</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反映相关产出带来影响的可持续期限，根据项目实际细化具体指标。</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r>
      <w:tr>
        <w:tblPrEx>
          <w:tblCellMar>
            <w:top w:w="0" w:type="dxa"/>
            <w:left w:w="0" w:type="dxa"/>
            <w:bottom w:w="0" w:type="dxa"/>
            <w:right w:w="0" w:type="dxa"/>
          </w:tblCellMar>
        </w:tblPrEx>
        <w:trPr>
          <w:trHeight w:val="5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16"/>
                <w:szCs w:val="16"/>
                <w:u w:val="none"/>
              </w:rPr>
            </w:pPr>
          </w:p>
        </w:tc>
        <w:tc>
          <w:tcPr>
            <w:tcW w:w="59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满意度（5分）</w:t>
            </w:r>
          </w:p>
        </w:tc>
        <w:tc>
          <w:tcPr>
            <w:tcW w:w="5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4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反映服务对象或项目受益人对相关产出及其影响的认可程度，根据项目实际细化具体指标。</w:t>
            </w: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tblCellMar>
            <w:top w:w="0" w:type="dxa"/>
            <w:left w:w="0" w:type="dxa"/>
            <w:bottom w:w="0" w:type="dxa"/>
            <w:right w:w="0" w:type="dxa"/>
          </w:tblCellMar>
        </w:tblPrEx>
        <w:trPr>
          <w:trHeight w:val="555"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both"/>
              <w:textAlignment w:val="bottom"/>
              <w:rPr>
                <w:rFonts w:ascii="黑体" w:hAnsi="宋体" w:eastAsia="黑体" w:cs="黑体"/>
                <w:i w:val="0"/>
                <w:color w:val="000000"/>
                <w:sz w:val="16"/>
                <w:szCs w:val="16"/>
                <w:u w:val="none"/>
              </w:rPr>
            </w:pPr>
            <w:r>
              <w:rPr>
                <w:rFonts w:hint="eastAsia" w:ascii="黑体" w:hAnsi="宋体" w:eastAsia="黑体" w:cs="黑体"/>
                <w:i w:val="0"/>
                <w:color w:val="000000"/>
                <w:kern w:val="0"/>
                <w:sz w:val="16"/>
                <w:szCs w:val="16"/>
                <w:u w:val="none"/>
                <w:lang w:val="en-US" w:eastAsia="zh-CN" w:bidi="ar"/>
              </w:rPr>
              <w:t>得分</w:t>
            </w:r>
          </w:p>
        </w:tc>
        <w:tc>
          <w:tcPr>
            <w:tcW w:w="59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43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left"/>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5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6"/>
                <w:szCs w:val="16"/>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94</w:t>
            </w:r>
          </w:p>
        </w:tc>
      </w:tr>
    </w:tbl>
    <w:p>
      <w:pPr>
        <w:rPr>
          <w:sz w:val="13"/>
          <w:szCs w:val="13"/>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38</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6745471"/>
    <w:multiLevelType w:val="singleLevel"/>
    <w:tmpl w:val="D6745471"/>
    <w:lvl w:ilvl="0" w:tentative="0">
      <w:start w:val="15"/>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915B691"/>
    <w:multiLevelType w:val="singleLevel"/>
    <w:tmpl w:val="E915B691"/>
    <w:lvl w:ilvl="0" w:tentative="0">
      <w:start w:val="2"/>
      <w:numFmt w:val="chineseCounting"/>
      <w:suff w:val="nothing"/>
      <w:lvlText w:val="（%1）"/>
      <w:lvlJc w:val="left"/>
      <w:rPr>
        <w:rFonts w:hint="eastAsia"/>
      </w:rPr>
    </w:lvl>
  </w:abstractNum>
  <w:abstractNum w:abstractNumId="5">
    <w:nsid w:val="EAEFA1E5"/>
    <w:multiLevelType w:val="singleLevel"/>
    <w:tmpl w:val="EAEFA1E5"/>
    <w:lvl w:ilvl="0" w:tentative="0">
      <w:start w:val="2"/>
      <w:numFmt w:val="chineseCounting"/>
      <w:suff w:val="nothing"/>
      <w:lvlText w:val="（%1）"/>
      <w:lvlJc w:val="left"/>
      <w:rPr>
        <w:rFonts w:hint="eastAsia"/>
      </w:r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39272B34"/>
    <w:multiLevelType w:val="singleLevel"/>
    <w:tmpl w:val="39272B34"/>
    <w:lvl w:ilvl="0" w:tentative="0">
      <w:start w:val="1"/>
      <w:numFmt w:val="decimal"/>
      <w:lvlText w:val="%1."/>
      <w:lvlJc w:val="left"/>
      <w:pPr>
        <w:tabs>
          <w:tab w:val="left" w:pos="312"/>
        </w:tabs>
      </w:pPr>
    </w:lvl>
  </w:abstractNum>
  <w:abstractNum w:abstractNumId="10">
    <w:nsid w:val="3B257EB7"/>
    <w:multiLevelType w:val="singleLevel"/>
    <w:tmpl w:val="3B257EB7"/>
    <w:lvl w:ilvl="0" w:tentative="0">
      <w:start w:val="4"/>
      <w:numFmt w:val="decimal"/>
      <w:suff w:val="nothing"/>
      <w:lvlText w:val="（%1）"/>
      <w:lvlJc w:val="left"/>
    </w:lvl>
  </w:abstractNum>
  <w:abstractNum w:abstractNumId="11">
    <w:nsid w:val="5D5382B5"/>
    <w:multiLevelType w:val="singleLevel"/>
    <w:tmpl w:val="5D5382B5"/>
    <w:lvl w:ilvl="0" w:tentative="0">
      <w:start w:val="1"/>
      <w:numFmt w:val="chineseCounting"/>
      <w:suff w:val="nothing"/>
      <w:lvlText w:val="%1、"/>
      <w:lvlJc w:val="left"/>
    </w:lvl>
  </w:abstractNum>
  <w:num w:numId="1">
    <w:abstractNumId w:val="7"/>
  </w:num>
  <w:num w:numId="2">
    <w:abstractNumId w:val="9"/>
  </w:num>
  <w:num w:numId="3">
    <w:abstractNumId w:val="1"/>
  </w:num>
  <w:num w:numId="4">
    <w:abstractNumId w:val="8"/>
  </w:num>
  <w:num w:numId="5">
    <w:abstractNumId w:val="6"/>
  </w:num>
  <w:num w:numId="6">
    <w:abstractNumId w:val="0"/>
  </w:num>
  <w:num w:numId="7">
    <w:abstractNumId w:val="3"/>
  </w:num>
  <w:num w:numId="8">
    <w:abstractNumId w:val="4"/>
  </w:num>
  <w:num w:numId="9">
    <w:abstractNumId w:val="5"/>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iNjM1ODFlNTMzMDIwYmJjYTYyNTI3OWUzYjIwZDIifQ=="/>
  </w:docVars>
  <w:rsids>
    <w:rsidRoot w:val="00F1361C"/>
    <w:rsid w:val="000222C6"/>
    <w:rsid w:val="0002549F"/>
    <w:rsid w:val="00046047"/>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230DA"/>
    <w:rsid w:val="0014729F"/>
    <w:rsid w:val="00157BAB"/>
    <w:rsid w:val="001654D1"/>
    <w:rsid w:val="0018106D"/>
    <w:rsid w:val="001877A7"/>
    <w:rsid w:val="00191536"/>
    <w:rsid w:val="00193905"/>
    <w:rsid w:val="00196687"/>
    <w:rsid w:val="001C0962"/>
    <w:rsid w:val="001D7531"/>
    <w:rsid w:val="001E737D"/>
    <w:rsid w:val="001F0592"/>
    <w:rsid w:val="001F7506"/>
    <w:rsid w:val="002006CD"/>
    <w:rsid w:val="00202B36"/>
    <w:rsid w:val="00204B7A"/>
    <w:rsid w:val="0021101A"/>
    <w:rsid w:val="00220536"/>
    <w:rsid w:val="00235629"/>
    <w:rsid w:val="002523FE"/>
    <w:rsid w:val="00260C38"/>
    <w:rsid w:val="002616C0"/>
    <w:rsid w:val="002662AA"/>
    <w:rsid w:val="00280496"/>
    <w:rsid w:val="00295495"/>
    <w:rsid w:val="002B2613"/>
    <w:rsid w:val="002F1818"/>
    <w:rsid w:val="002F567B"/>
    <w:rsid w:val="003216A9"/>
    <w:rsid w:val="00342E2C"/>
    <w:rsid w:val="0037013F"/>
    <w:rsid w:val="00380C92"/>
    <w:rsid w:val="003A25E5"/>
    <w:rsid w:val="003A484F"/>
    <w:rsid w:val="003B0BE0"/>
    <w:rsid w:val="003B0C1B"/>
    <w:rsid w:val="003B688C"/>
    <w:rsid w:val="003C0291"/>
    <w:rsid w:val="003C0FEB"/>
    <w:rsid w:val="003C39AE"/>
    <w:rsid w:val="003C7B60"/>
    <w:rsid w:val="003D0442"/>
    <w:rsid w:val="003D1FB2"/>
    <w:rsid w:val="003D66DA"/>
    <w:rsid w:val="003E1310"/>
    <w:rsid w:val="003E6F55"/>
    <w:rsid w:val="00406254"/>
    <w:rsid w:val="004223DE"/>
    <w:rsid w:val="00434489"/>
    <w:rsid w:val="00437085"/>
    <w:rsid w:val="00443880"/>
    <w:rsid w:val="00443D22"/>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3E19"/>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57E00"/>
    <w:rsid w:val="0076182A"/>
    <w:rsid w:val="00767B7E"/>
    <w:rsid w:val="007770C3"/>
    <w:rsid w:val="00784D24"/>
    <w:rsid w:val="00785FBA"/>
    <w:rsid w:val="00786E4A"/>
    <w:rsid w:val="007875EB"/>
    <w:rsid w:val="00791F83"/>
    <w:rsid w:val="0079426B"/>
    <w:rsid w:val="007974B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674"/>
    <w:rsid w:val="008E1DE7"/>
    <w:rsid w:val="008E707C"/>
    <w:rsid w:val="008F23AF"/>
    <w:rsid w:val="008F6A6E"/>
    <w:rsid w:val="00900B08"/>
    <w:rsid w:val="00902155"/>
    <w:rsid w:val="00902FA3"/>
    <w:rsid w:val="00916227"/>
    <w:rsid w:val="00923564"/>
    <w:rsid w:val="0092392E"/>
    <w:rsid w:val="009315F9"/>
    <w:rsid w:val="00946945"/>
    <w:rsid w:val="00951248"/>
    <w:rsid w:val="0095152F"/>
    <w:rsid w:val="00954C49"/>
    <w:rsid w:val="0096074A"/>
    <w:rsid w:val="0097099F"/>
    <w:rsid w:val="00971997"/>
    <w:rsid w:val="00971FFC"/>
    <w:rsid w:val="0098660A"/>
    <w:rsid w:val="009931C3"/>
    <w:rsid w:val="009B08FD"/>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44F4"/>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D32B2"/>
    <w:rsid w:val="00BD5C41"/>
    <w:rsid w:val="00BF5BD6"/>
    <w:rsid w:val="00C026D2"/>
    <w:rsid w:val="00C03E31"/>
    <w:rsid w:val="00C33E72"/>
    <w:rsid w:val="00C354B2"/>
    <w:rsid w:val="00C35554"/>
    <w:rsid w:val="00C42709"/>
    <w:rsid w:val="00C50A0A"/>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A70FD"/>
    <w:rsid w:val="00DB1913"/>
    <w:rsid w:val="00DC410D"/>
    <w:rsid w:val="00DC68CA"/>
    <w:rsid w:val="00DC7CBA"/>
    <w:rsid w:val="00DD73B7"/>
    <w:rsid w:val="00DE6258"/>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0FF3FD6"/>
    <w:rsid w:val="037F2AFF"/>
    <w:rsid w:val="040967A9"/>
    <w:rsid w:val="04524AB1"/>
    <w:rsid w:val="045B5746"/>
    <w:rsid w:val="07CC6594"/>
    <w:rsid w:val="07DD3960"/>
    <w:rsid w:val="084A35E4"/>
    <w:rsid w:val="092D7D74"/>
    <w:rsid w:val="09974D50"/>
    <w:rsid w:val="09C96DE8"/>
    <w:rsid w:val="0A270A9F"/>
    <w:rsid w:val="0A9A561A"/>
    <w:rsid w:val="0B20222D"/>
    <w:rsid w:val="0B2F2B88"/>
    <w:rsid w:val="0E0318B7"/>
    <w:rsid w:val="0E11193D"/>
    <w:rsid w:val="0E1F7EE6"/>
    <w:rsid w:val="0ED62A80"/>
    <w:rsid w:val="0F0A1A29"/>
    <w:rsid w:val="0F987136"/>
    <w:rsid w:val="0FFB4EE3"/>
    <w:rsid w:val="10BD626C"/>
    <w:rsid w:val="10C055FF"/>
    <w:rsid w:val="10F529AD"/>
    <w:rsid w:val="123B5B60"/>
    <w:rsid w:val="12E10BD8"/>
    <w:rsid w:val="131005E6"/>
    <w:rsid w:val="13251D67"/>
    <w:rsid w:val="13544E98"/>
    <w:rsid w:val="13C0688F"/>
    <w:rsid w:val="14A441C6"/>
    <w:rsid w:val="16142A27"/>
    <w:rsid w:val="16675F63"/>
    <w:rsid w:val="16BB723D"/>
    <w:rsid w:val="16C374B4"/>
    <w:rsid w:val="19261A4E"/>
    <w:rsid w:val="19331C97"/>
    <w:rsid w:val="1A2763F5"/>
    <w:rsid w:val="1A30190B"/>
    <w:rsid w:val="1A850853"/>
    <w:rsid w:val="1AC42930"/>
    <w:rsid w:val="1B244F58"/>
    <w:rsid w:val="1C617AEA"/>
    <w:rsid w:val="1CBB024D"/>
    <w:rsid w:val="1DA47887"/>
    <w:rsid w:val="1E9A764D"/>
    <w:rsid w:val="1FB368DC"/>
    <w:rsid w:val="1FC15234"/>
    <w:rsid w:val="1FF254C2"/>
    <w:rsid w:val="20610C02"/>
    <w:rsid w:val="21A178CF"/>
    <w:rsid w:val="21F44CBB"/>
    <w:rsid w:val="22033CA1"/>
    <w:rsid w:val="22466AF3"/>
    <w:rsid w:val="2346679F"/>
    <w:rsid w:val="23947A44"/>
    <w:rsid w:val="23A63DFB"/>
    <w:rsid w:val="240371BF"/>
    <w:rsid w:val="2435196C"/>
    <w:rsid w:val="244F7783"/>
    <w:rsid w:val="24BD0200"/>
    <w:rsid w:val="25B46BBD"/>
    <w:rsid w:val="26414AB6"/>
    <w:rsid w:val="273F5295"/>
    <w:rsid w:val="278C7660"/>
    <w:rsid w:val="28754AFE"/>
    <w:rsid w:val="28A3456B"/>
    <w:rsid w:val="28D6712E"/>
    <w:rsid w:val="29A67594"/>
    <w:rsid w:val="29FD04D3"/>
    <w:rsid w:val="2A520E32"/>
    <w:rsid w:val="2BB843A2"/>
    <w:rsid w:val="2BEB6C4E"/>
    <w:rsid w:val="2BF34B27"/>
    <w:rsid w:val="2D691D79"/>
    <w:rsid w:val="2E127A32"/>
    <w:rsid w:val="2E67796D"/>
    <w:rsid w:val="2FE72695"/>
    <w:rsid w:val="30197800"/>
    <w:rsid w:val="302028FE"/>
    <w:rsid w:val="30355BBB"/>
    <w:rsid w:val="303F3049"/>
    <w:rsid w:val="305D1570"/>
    <w:rsid w:val="307E1861"/>
    <w:rsid w:val="3138131B"/>
    <w:rsid w:val="319F7F4E"/>
    <w:rsid w:val="322F44EB"/>
    <w:rsid w:val="32474B31"/>
    <w:rsid w:val="32553511"/>
    <w:rsid w:val="32D01C1A"/>
    <w:rsid w:val="33AE6756"/>
    <w:rsid w:val="349D0DD0"/>
    <w:rsid w:val="36221C5E"/>
    <w:rsid w:val="378963B4"/>
    <w:rsid w:val="38503B73"/>
    <w:rsid w:val="3990098F"/>
    <w:rsid w:val="3A523C74"/>
    <w:rsid w:val="3AD60D9A"/>
    <w:rsid w:val="3B417E35"/>
    <w:rsid w:val="3B8701E3"/>
    <w:rsid w:val="3B876718"/>
    <w:rsid w:val="3C1340C4"/>
    <w:rsid w:val="3CA04C7B"/>
    <w:rsid w:val="3D615791"/>
    <w:rsid w:val="3F347B97"/>
    <w:rsid w:val="3F4D7B3A"/>
    <w:rsid w:val="3FB27017"/>
    <w:rsid w:val="3FFA023E"/>
    <w:rsid w:val="402A3216"/>
    <w:rsid w:val="41C26CE9"/>
    <w:rsid w:val="42905126"/>
    <w:rsid w:val="43865433"/>
    <w:rsid w:val="44653E99"/>
    <w:rsid w:val="449222DF"/>
    <w:rsid w:val="451E7182"/>
    <w:rsid w:val="453E098F"/>
    <w:rsid w:val="456B296B"/>
    <w:rsid w:val="46057BEF"/>
    <w:rsid w:val="46A675C9"/>
    <w:rsid w:val="474461B1"/>
    <w:rsid w:val="47AA7D14"/>
    <w:rsid w:val="49133078"/>
    <w:rsid w:val="494B491C"/>
    <w:rsid w:val="49660B3B"/>
    <w:rsid w:val="497850E0"/>
    <w:rsid w:val="49EE27AA"/>
    <w:rsid w:val="4A304FBB"/>
    <w:rsid w:val="4AC475E8"/>
    <w:rsid w:val="4B642057"/>
    <w:rsid w:val="4B873840"/>
    <w:rsid w:val="4CF77066"/>
    <w:rsid w:val="4DCB1F1F"/>
    <w:rsid w:val="4DCB4BA4"/>
    <w:rsid w:val="4EBA41C9"/>
    <w:rsid w:val="4F5646D2"/>
    <w:rsid w:val="50353C5C"/>
    <w:rsid w:val="50561AAF"/>
    <w:rsid w:val="51E876E6"/>
    <w:rsid w:val="52801FDC"/>
    <w:rsid w:val="52BB6F47"/>
    <w:rsid w:val="53430B85"/>
    <w:rsid w:val="5379455D"/>
    <w:rsid w:val="53C11136"/>
    <w:rsid w:val="543D2C33"/>
    <w:rsid w:val="545E05B2"/>
    <w:rsid w:val="54815409"/>
    <w:rsid w:val="548627D1"/>
    <w:rsid w:val="54D023DB"/>
    <w:rsid w:val="56752F0A"/>
    <w:rsid w:val="570911F3"/>
    <w:rsid w:val="571E6852"/>
    <w:rsid w:val="57F83DA7"/>
    <w:rsid w:val="5A861D04"/>
    <w:rsid w:val="5ABB2197"/>
    <w:rsid w:val="5CB53414"/>
    <w:rsid w:val="5DDD547F"/>
    <w:rsid w:val="5F025CB4"/>
    <w:rsid w:val="5F1B22EC"/>
    <w:rsid w:val="5F2444A0"/>
    <w:rsid w:val="5F275199"/>
    <w:rsid w:val="5F7C64F9"/>
    <w:rsid w:val="60006797"/>
    <w:rsid w:val="60046FAB"/>
    <w:rsid w:val="60BF1300"/>
    <w:rsid w:val="62256442"/>
    <w:rsid w:val="62517468"/>
    <w:rsid w:val="62FA79AC"/>
    <w:rsid w:val="63C75B89"/>
    <w:rsid w:val="63F559FC"/>
    <w:rsid w:val="644A135A"/>
    <w:rsid w:val="64E87EE4"/>
    <w:rsid w:val="6556634D"/>
    <w:rsid w:val="662E682D"/>
    <w:rsid w:val="669A584A"/>
    <w:rsid w:val="66AD77AF"/>
    <w:rsid w:val="670E1611"/>
    <w:rsid w:val="67940BEF"/>
    <w:rsid w:val="68162F6B"/>
    <w:rsid w:val="68230E73"/>
    <w:rsid w:val="688226C1"/>
    <w:rsid w:val="68874A4F"/>
    <w:rsid w:val="68BB7FC3"/>
    <w:rsid w:val="6ACB4D5E"/>
    <w:rsid w:val="6B7F3207"/>
    <w:rsid w:val="6BC1546E"/>
    <w:rsid w:val="6BD660FC"/>
    <w:rsid w:val="6C396BFD"/>
    <w:rsid w:val="6C6930DF"/>
    <w:rsid w:val="6D3F3D4C"/>
    <w:rsid w:val="6D5977DF"/>
    <w:rsid w:val="6F38611A"/>
    <w:rsid w:val="6FA863DD"/>
    <w:rsid w:val="71E549E2"/>
    <w:rsid w:val="72AF713A"/>
    <w:rsid w:val="72F32D1C"/>
    <w:rsid w:val="74352026"/>
    <w:rsid w:val="75282356"/>
    <w:rsid w:val="7539710B"/>
    <w:rsid w:val="756667E1"/>
    <w:rsid w:val="7584732D"/>
    <w:rsid w:val="75B4465F"/>
    <w:rsid w:val="75BC46E3"/>
    <w:rsid w:val="760E7D1B"/>
    <w:rsid w:val="773B72E6"/>
    <w:rsid w:val="77AE0C27"/>
    <w:rsid w:val="7851570F"/>
    <w:rsid w:val="78B026F3"/>
    <w:rsid w:val="78F116F0"/>
    <w:rsid w:val="797F1A46"/>
    <w:rsid w:val="79D46D31"/>
    <w:rsid w:val="7ACB0DC0"/>
    <w:rsid w:val="7ADA6931"/>
    <w:rsid w:val="7B6502B6"/>
    <w:rsid w:val="7BB04C2C"/>
    <w:rsid w:val="7BC51927"/>
    <w:rsid w:val="7CBB7328"/>
    <w:rsid w:val="7CD61A2C"/>
    <w:rsid w:val="7DB146BC"/>
    <w:rsid w:val="7E231DD9"/>
    <w:rsid w:val="7E30268A"/>
    <w:rsid w:val="7EC947F4"/>
    <w:rsid w:val="7FAD5D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page number"/>
    <w:basedOn w:val="14"/>
    <w:unhideWhenUsed/>
    <w:qFormat/>
    <w:uiPriority w:val="99"/>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出段落1"/>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 w:type="paragraph" w:customStyle="1" w:styleId="3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D9DB-6737-4FB4-A705-C8638BA4318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57</Pages>
  <Words>25110</Words>
  <Characters>27564</Characters>
  <Lines>37</Lines>
  <Paragraphs>44</Paragraphs>
  <TotalTime>14</TotalTime>
  <ScaleCrop>false</ScaleCrop>
  <LinksUpToDate>false</LinksUpToDate>
  <CharactersWithSpaces>27697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邻居家的猫</cp:lastModifiedBy>
  <cp:lastPrinted>2019-08-01T00:48:00Z</cp:lastPrinted>
  <dcterms:modified xsi:type="dcterms:W3CDTF">2023-07-17T08:22:46Z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4B8E9BCB93EE4178BE8F661BB65C17B3</vt:lpwstr>
  </property>
</Properties>
</file>