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Theme="minorEastAsia" w:hAnsiTheme="minorEastAsia" w:eastAsiaTheme="minorEastAsia"/>
          <w:color w:val="000000"/>
          <w:sz w:val="72"/>
          <w:szCs w:val="72"/>
        </w:rPr>
      </w:pPr>
      <w:bookmarkStart w:id="1" w:name="_Toc15396475"/>
      <w:bookmarkStart w:id="2" w:name="_Toc14623"/>
      <w:bookmarkStart w:id="3" w:name="_Toc15377425"/>
      <w:bookmarkStart w:id="4" w:name="_Toc15378441"/>
      <w:bookmarkStart w:id="5" w:name="_Toc15396597"/>
      <w:bookmarkStart w:id="6" w:name="_Toc15377193"/>
      <w:r>
        <w:rPr>
          <w:rFonts w:asciiTheme="minorEastAsia" w:hAnsiTheme="minorEastAsia" w:eastAsiaTheme="minorEastAsia"/>
          <w:color w:val="000000"/>
          <w:sz w:val="72"/>
          <w:szCs w:val="72"/>
        </w:rPr>
        <w:t>201</w:t>
      </w:r>
      <w:r>
        <w:rPr>
          <w:rFonts w:hint="eastAsia" w:asciiTheme="minorEastAsia" w:hAnsiTheme="minorEastAsia" w:eastAsiaTheme="minorEastAsia"/>
          <w:color w:val="000000"/>
          <w:sz w:val="72"/>
          <w:szCs w:val="72"/>
          <w:lang w:val="en-US" w:eastAsia="zh-CN"/>
        </w:rPr>
        <w:t>9</w:t>
      </w:r>
      <w:r>
        <w:rPr>
          <w:rFonts w:hint="eastAsia" w:asciiTheme="minorEastAsia" w:hAnsiTheme="minorEastAsia" w:eastAsiaTheme="minorEastAsia"/>
          <w:color w:val="000000"/>
          <w:sz w:val="72"/>
          <w:szCs w:val="72"/>
        </w:rPr>
        <w:t>年度</w:t>
      </w:r>
      <w:bookmarkEnd w:id="1"/>
      <w:bookmarkEnd w:id="2"/>
      <w:bookmarkEnd w:id="3"/>
      <w:bookmarkEnd w:id="4"/>
      <w:bookmarkEnd w:id="5"/>
      <w:bookmarkEnd w:id="6"/>
    </w:p>
    <w:p>
      <w:pPr>
        <w:adjustRightInd w:val="0"/>
        <w:snapToGrid w:val="0"/>
        <w:spacing w:line="360" w:lineRule="auto"/>
        <w:jc w:val="center"/>
        <w:outlineLvl w:val="0"/>
        <w:rPr>
          <w:rFonts w:hint="eastAsia" w:asciiTheme="minorEastAsia" w:hAnsiTheme="minorEastAsia" w:eastAsiaTheme="minorEastAsia"/>
          <w:color w:val="000000"/>
          <w:sz w:val="72"/>
          <w:szCs w:val="72"/>
          <w:lang w:val="en-US" w:eastAsia="zh-CN"/>
        </w:rPr>
      </w:pPr>
      <w:bookmarkStart w:id="7" w:name="_Toc31507"/>
      <w:bookmarkStart w:id="8" w:name="_Toc15378442"/>
      <w:bookmarkStart w:id="9" w:name="_Toc15377194"/>
      <w:bookmarkStart w:id="10" w:name="_Toc15396476"/>
      <w:bookmarkStart w:id="11" w:name="_Toc15377426"/>
      <w:bookmarkStart w:id="12" w:name="_Toc15396598"/>
      <w:r>
        <w:rPr>
          <w:rFonts w:hint="eastAsia" w:asciiTheme="minorEastAsia" w:hAnsiTheme="minorEastAsia" w:eastAsiaTheme="minorEastAsia"/>
          <w:color w:val="000000"/>
          <w:sz w:val="72"/>
          <w:szCs w:val="72"/>
        </w:rPr>
        <w:t>四川省</w:t>
      </w:r>
      <w:bookmarkEnd w:id="0"/>
      <w:bookmarkStart w:id="13" w:name="_Toc15306268"/>
      <w:r>
        <w:rPr>
          <w:rFonts w:hint="eastAsia" w:asciiTheme="minorEastAsia" w:hAnsiTheme="minorEastAsia" w:eastAsiaTheme="minorEastAsia"/>
          <w:color w:val="000000"/>
          <w:sz w:val="72"/>
          <w:szCs w:val="72"/>
        </w:rPr>
        <w:t>阿坝州</w:t>
      </w:r>
      <w:r>
        <w:rPr>
          <w:rFonts w:hint="eastAsia" w:asciiTheme="minorEastAsia" w:hAnsiTheme="minorEastAsia" w:eastAsiaTheme="minorEastAsia"/>
          <w:color w:val="000000"/>
          <w:sz w:val="72"/>
          <w:szCs w:val="72"/>
          <w:lang w:val="en-US" w:eastAsia="zh-CN"/>
        </w:rPr>
        <w:t>红原县</w:t>
      </w:r>
      <w:bookmarkEnd w:id="7"/>
    </w:p>
    <w:p>
      <w:pPr>
        <w:adjustRightInd w:val="0"/>
        <w:snapToGrid w:val="0"/>
        <w:spacing w:line="360" w:lineRule="auto"/>
        <w:jc w:val="center"/>
        <w:outlineLvl w:val="0"/>
        <w:rPr>
          <w:rFonts w:hint="default" w:asciiTheme="minorEastAsia" w:hAnsiTheme="minorEastAsia" w:eastAsiaTheme="minorEastAsia"/>
          <w:color w:val="000000"/>
          <w:sz w:val="72"/>
          <w:szCs w:val="72"/>
          <w:lang w:val="en-US" w:eastAsia="zh-CN"/>
        </w:rPr>
      </w:pPr>
      <w:bookmarkStart w:id="14" w:name="_Toc21245"/>
      <w:r>
        <w:rPr>
          <w:rFonts w:hint="eastAsia" w:asciiTheme="minorEastAsia" w:hAnsiTheme="minorEastAsia" w:eastAsiaTheme="minorEastAsia"/>
          <w:color w:val="000000"/>
          <w:sz w:val="72"/>
          <w:szCs w:val="72"/>
        </w:rPr>
        <w:t>交通运输局部门决算</w:t>
      </w:r>
      <w:bookmarkEnd w:id="8"/>
      <w:bookmarkEnd w:id="9"/>
      <w:bookmarkEnd w:id="10"/>
      <w:bookmarkEnd w:id="11"/>
      <w:bookmarkEnd w:id="12"/>
      <w:bookmarkEnd w:id="13"/>
      <w:r>
        <w:rPr>
          <w:rFonts w:hint="eastAsia" w:asciiTheme="minorEastAsia" w:hAnsiTheme="minorEastAsia" w:eastAsiaTheme="minorEastAsia"/>
          <w:color w:val="000000"/>
          <w:sz w:val="72"/>
          <w:szCs w:val="72"/>
          <w:lang w:val="en-US" w:eastAsia="zh-CN"/>
        </w:rPr>
        <w:t>公开编制说明</w:t>
      </w:r>
      <w:bookmarkEnd w:id="14"/>
    </w:p>
    <w:p>
      <w:pPr>
        <w:widowControl/>
        <w:jc w:val="center"/>
        <w:rPr>
          <w:rFonts w:asciiTheme="minorEastAsia" w:hAnsiTheme="minorEastAsia" w:eastAsiaTheme="minorEastAsia"/>
          <w:color w:val="000000"/>
          <w:sz w:val="36"/>
          <w:szCs w:val="36"/>
        </w:rPr>
      </w:pPr>
    </w:p>
    <w:p>
      <w:pPr>
        <w:widowControl/>
        <w:jc w:val="center"/>
        <w:rPr>
          <w:rFonts w:asciiTheme="minorEastAsia" w:hAnsiTheme="minorEastAsia" w:eastAsiaTheme="minorEastAsia"/>
          <w:color w:val="000000"/>
          <w:sz w:val="36"/>
          <w:szCs w:val="36"/>
        </w:rPr>
      </w:pPr>
    </w:p>
    <w:p>
      <w:pPr>
        <w:widowControl/>
        <w:jc w:val="center"/>
        <w:rPr>
          <w:rFonts w:asciiTheme="minorEastAsia" w:hAnsiTheme="minorEastAsia" w:eastAsiaTheme="minorEastAsia"/>
          <w:color w:val="000000"/>
          <w:sz w:val="36"/>
          <w:szCs w:val="36"/>
        </w:rPr>
      </w:pPr>
    </w:p>
    <w:p>
      <w:pPr>
        <w:widowControl/>
        <w:jc w:val="center"/>
        <w:rPr>
          <w:rFonts w:asciiTheme="minorEastAsia" w:hAnsiTheme="minorEastAsia" w:eastAsiaTheme="minorEastAsia"/>
          <w:color w:val="000000"/>
          <w:sz w:val="36"/>
          <w:szCs w:val="36"/>
        </w:rPr>
      </w:pPr>
    </w:p>
    <w:p>
      <w:pPr>
        <w:widowControl/>
        <w:jc w:val="both"/>
        <w:rPr>
          <w:rFonts w:asciiTheme="minorEastAsia" w:hAnsiTheme="minorEastAsia" w:eastAsiaTheme="minorEastAsia"/>
          <w:color w:val="000000"/>
          <w:sz w:val="36"/>
          <w:szCs w:val="36"/>
        </w:rPr>
      </w:pPr>
    </w:p>
    <w:p>
      <w:pPr>
        <w:widowControl/>
        <w:jc w:val="center"/>
        <w:rPr>
          <w:rFonts w:asciiTheme="minorEastAsia" w:hAnsiTheme="minorEastAsia" w:eastAsiaTheme="minorEastAsia"/>
          <w:color w:val="000000"/>
          <w:sz w:val="36"/>
          <w:szCs w:val="36"/>
        </w:rPr>
      </w:pPr>
    </w:p>
    <w:p>
      <w:pPr>
        <w:widowControl/>
        <w:jc w:val="both"/>
        <w:rPr>
          <w:rFonts w:asciiTheme="minorEastAsia" w:hAnsiTheme="minorEastAsia" w:eastAsiaTheme="minorEastAsia"/>
          <w:color w:val="000000"/>
          <w:sz w:val="36"/>
          <w:szCs w:val="36"/>
        </w:rPr>
      </w:pPr>
    </w:p>
    <w:p>
      <w:pPr>
        <w:widowControl/>
        <w:jc w:val="center"/>
        <w:rPr>
          <w:rFonts w:hint="eastAsia" w:asciiTheme="minorEastAsia" w:hAnsiTheme="minorEastAsia" w:eastAsiaTheme="minorEastAsia"/>
          <w:color w:val="000000"/>
          <w:sz w:val="48"/>
          <w:szCs w:val="48"/>
        </w:rPr>
      </w:pPr>
    </w:p>
    <w:p>
      <w:pPr>
        <w:widowControl/>
        <w:jc w:val="center"/>
        <w:rPr>
          <w:rFonts w:hint="eastAsia" w:asciiTheme="minorEastAsia" w:hAnsiTheme="minorEastAsia" w:eastAsiaTheme="minorEastAsia"/>
          <w:color w:val="000000"/>
          <w:sz w:val="48"/>
          <w:szCs w:val="48"/>
        </w:rPr>
      </w:pPr>
    </w:p>
    <w:p>
      <w:pPr>
        <w:widowControl/>
        <w:jc w:val="center"/>
        <w:rPr>
          <w:rFonts w:asciiTheme="minorEastAsia" w:hAnsiTheme="minorEastAsia" w:eastAsiaTheme="minorEastAsia"/>
          <w:color w:val="000000"/>
          <w:sz w:val="48"/>
          <w:szCs w:val="48"/>
        </w:rPr>
      </w:pPr>
      <w:r>
        <w:rPr>
          <w:rFonts w:hint="eastAsia" w:asciiTheme="minorEastAsia" w:hAnsiTheme="minorEastAsia" w:eastAsiaTheme="minorEastAsia"/>
          <w:color w:val="000000"/>
          <w:sz w:val="48"/>
          <w:szCs w:val="48"/>
        </w:rPr>
        <w:t>目录</w:t>
      </w:r>
    </w:p>
    <w:p>
      <w:pPr>
        <w:pStyle w:val="12"/>
        <w:tabs>
          <w:tab w:val="right" w:leader="dot" w:pos="8306"/>
          <w:tab w:val="clear" w:pos="8296"/>
        </w:tabs>
      </w:pPr>
      <w:r>
        <w:rPr>
          <w:rFonts w:asciiTheme="minorEastAsia" w:hAnsiTheme="minorEastAsia" w:eastAsiaTheme="minorEastAsia"/>
          <w:color w:val="000000"/>
          <w:sz w:val="24"/>
        </w:rPr>
        <w:fldChar w:fldCharType="begin"/>
      </w:r>
      <w:r>
        <w:rPr>
          <w:rFonts w:asciiTheme="minorEastAsia" w:hAnsiTheme="minorEastAsia" w:eastAsiaTheme="minorEastAsia"/>
          <w:color w:val="000000"/>
          <w:sz w:val="24"/>
        </w:rPr>
        <w:instrText xml:space="preserve">TOC \o "1-2" \h \u </w:instrText>
      </w:r>
      <w:r>
        <w:rPr>
          <w:rFonts w:asciiTheme="minorEastAsia" w:hAnsiTheme="minorEastAsia" w:eastAsiaTheme="minorEastAsia"/>
          <w:color w:val="000000"/>
          <w:sz w:val="24"/>
        </w:rPr>
        <w:fldChar w:fldCharType="separate"/>
      </w:r>
    </w:p>
    <w:p>
      <w:pPr>
        <w:pStyle w:val="12"/>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_Toc31264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第一部分 </w:t>
      </w:r>
      <w:r>
        <w:rPr>
          <w:rFonts w:hint="eastAsia" w:ascii="仿宋_GB2312" w:hAnsi="仿宋_GB2312" w:eastAsia="仿宋_GB2312" w:cs="仿宋_GB2312"/>
          <w:bCs w:val="0"/>
          <w:sz w:val="32"/>
          <w:szCs w:val="32"/>
        </w:rPr>
        <w:t>部门概况</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_Toc31264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_Toc8062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一、基</w:t>
      </w:r>
      <w:r>
        <w:rPr>
          <w:rFonts w:hint="eastAsia" w:ascii="仿宋_GB2312" w:hAnsi="仿宋_GB2312" w:eastAsia="仿宋_GB2312" w:cs="仿宋_GB2312"/>
          <w:bCs w:val="0"/>
          <w:sz w:val="32"/>
          <w:szCs w:val="32"/>
        </w:rPr>
        <w:t>本职能及主要工作</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_Toc8062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_Toc10431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二、机</w:t>
      </w:r>
      <w:r>
        <w:rPr>
          <w:rFonts w:hint="eastAsia" w:ascii="仿宋_GB2312" w:hAnsi="仿宋_GB2312" w:eastAsia="仿宋_GB2312" w:cs="仿宋_GB2312"/>
          <w:bCs w:val="0"/>
          <w:sz w:val="32"/>
          <w:szCs w:val="32"/>
        </w:rPr>
        <w:t>构设置</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_Toc10431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2"/>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_Toc984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第二部分</w:t>
      </w:r>
      <w:r>
        <w:rPr>
          <w:rFonts w:hint="eastAsia" w:ascii="仿宋_GB2312" w:hAnsi="仿宋_GB2312" w:eastAsia="仿宋_GB2312" w:cs="仿宋_GB2312"/>
          <w:bCs w:val="0"/>
          <w:sz w:val="32"/>
          <w:szCs w:val="32"/>
        </w:rPr>
        <w:t>201</w:t>
      </w:r>
      <w:r>
        <w:rPr>
          <w:rFonts w:hint="eastAsia" w:ascii="仿宋_GB2312" w:hAnsi="仿宋_GB2312" w:eastAsia="仿宋_GB2312" w:cs="仿宋_GB2312"/>
          <w:bCs w:val="0"/>
          <w:sz w:val="32"/>
          <w:szCs w:val="32"/>
          <w:lang w:val="en-US" w:eastAsia="zh-CN"/>
        </w:rPr>
        <w:t>9</w:t>
      </w:r>
      <w:r>
        <w:rPr>
          <w:rFonts w:hint="eastAsia" w:ascii="仿宋_GB2312" w:hAnsi="仿宋_GB2312" w:eastAsia="仿宋_GB2312" w:cs="仿宋_GB2312"/>
          <w:bCs w:val="0"/>
          <w:sz w:val="32"/>
          <w:szCs w:val="32"/>
        </w:rPr>
        <w:t>年度部门决算情况说明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_Toc984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_Toc9514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一、 收入支出决算总体情况说明、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_Toc9514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_Toc9170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二、 收入决算情况说明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_Toc9170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_Toc23292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三、 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_Toc23292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_Toc4057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四、财政拨款收入支出决算总体情况说明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_Toc4057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_Toc30292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五、一般公共预算财政拨款支出决算情况说明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_Toc30292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_Toc30947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六、一般公共预算财政拨款基本支出决算情况说明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_Toc30947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_Toc16290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七、“三公”经费财政拨款支出决算情况说明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_Toc16290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14</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_Toc28369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八、政府性基金预算支出决算情况说明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_Toc28369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_Toc19183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九、 国有资本经营预算支出决算情况说明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_Toc19183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_Toc24002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十、其他重要事项的情况说明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_Toc24002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_Toc17199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 预算绩效情况说明</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_Toc17199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2"/>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_Toc432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第三部分 名词解释</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_Toc432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2"/>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_Toc28699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第四部分 附件</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_Toc28699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_Toc17224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rPr>
        <w:t>附件1</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_Toc17224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_Toc18536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rPr>
        <w:t>附件2</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_Toc18536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2"/>
        <w:tabs>
          <w:tab w:val="right" w:leader="dot" w:pos="8306"/>
          <w:tab w:val="clear" w:pos="8296"/>
        </w:tabs>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fldChar w:fldCharType="begin"/>
      </w:r>
      <w:r>
        <w:rPr>
          <w:rFonts w:hint="eastAsia" w:ascii="仿宋_GB2312" w:hAnsi="仿宋_GB2312" w:eastAsia="仿宋_GB2312" w:cs="仿宋_GB2312"/>
          <w:sz w:val="32"/>
          <w:szCs w:val="32"/>
        </w:rPr>
        <w:instrText xml:space="preserve"> HYPERLINK \l _Toc28484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第五部分 附表</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_Toc28484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48</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color w:val="000000"/>
          <w:sz w:val="32"/>
          <w:szCs w:val="32"/>
        </w:rPr>
        <w:fldChar w:fldCharType="end"/>
      </w:r>
    </w:p>
    <w:p>
      <w:pPr>
        <w:pStyle w:val="13"/>
        <w:tabs>
          <w:tab w:val="right" w:leader="dot" w:pos="8306"/>
          <w:tab w:val="clear" w:pos="8296"/>
        </w:tabs>
        <w:rPr>
          <w:rFonts w:hint="eastAsia" w:ascii="仿宋_GB2312" w:hAnsi="仿宋_GB2312" w:eastAsia="仿宋_GB2312" w:cs="仿宋_GB2312"/>
          <w:sz w:val="32"/>
          <w:szCs w:val="32"/>
        </w:rPr>
      </w:pPr>
    </w:p>
    <w:p>
      <w:pPr>
        <w:widowControl/>
        <w:jc w:val="left"/>
        <w:rPr>
          <w:rFonts w:asciiTheme="minorEastAsia" w:hAnsiTheme="minorEastAsia" w:eastAsiaTheme="minorEastAsia"/>
          <w:color w:val="000000"/>
          <w:sz w:val="24"/>
        </w:rPr>
      </w:pPr>
      <w:r>
        <w:rPr>
          <w:rFonts w:asciiTheme="minorEastAsia" w:hAnsiTheme="minorEastAsia" w:eastAsiaTheme="minorEastAsia"/>
          <w:color w:val="000000"/>
        </w:rPr>
        <w:fldChar w:fldCharType="end"/>
      </w:r>
    </w:p>
    <w:p>
      <w:pPr>
        <w:widowControl/>
        <w:jc w:val="left"/>
        <w:rPr>
          <w:rFonts w:asciiTheme="minorEastAsia" w:hAnsiTheme="minorEastAsia" w:eastAsiaTheme="minorEastAsia"/>
          <w:bCs/>
          <w:kern w:val="44"/>
          <w:sz w:val="44"/>
          <w:szCs w:val="44"/>
        </w:rPr>
      </w:pPr>
      <w:bookmarkStart w:id="15" w:name="_Toc15396599"/>
      <w:bookmarkStart w:id="16" w:name="_Toc15377196"/>
      <w:r>
        <w:rPr>
          <w:rFonts w:asciiTheme="minorEastAsia" w:hAnsiTheme="minorEastAsia" w:eastAsiaTheme="minorEastAsia"/>
          <w:b/>
        </w:rPr>
        <w:br w:type="page"/>
      </w:r>
    </w:p>
    <w:p>
      <w:pPr>
        <w:pStyle w:val="4"/>
        <w:jc w:val="center"/>
        <w:rPr>
          <w:rStyle w:val="27"/>
          <w:rFonts w:asciiTheme="minorEastAsia" w:hAnsiTheme="minorEastAsia" w:eastAsiaTheme="minorEastAsia"/>
          <w:b/>
          <w:bCs w:val="0"/>
        </w:rPr>
      </w:pPr>
      <w:bookmarkStart w:id="17" w:name="_Toc31264"/>
      <w:r>
        <w:rPr>
          <w:rFonts w:hint="eastAsia" w:asciiTheme="minorEastAsia" w:hAnsiTheme="minorEastAsia" w:eastAsiaTheme="minorEastAsia"/>
          <w:b w:val="0"/>
        </w:rPr>
        <w:t xml:space="preserve">第一部分 </w:t>
      </w:r>
      <w:r>
        <w:rPr>
          <w:rStyle w:val="27"/>
          <w:rFonts w:hint="eastAsia" w:asciiTheme="minorEastAsia" w:hAnsiTheme="minorEastAsia" w:eastAsiaTheme="minorEastAsia"/>
          <w:b w:val="0"/>
          <w:bCs w:val="0"/>
        </w:rPr>
        <w:t>部门概况</w:t>
      </w:r>
      <w:bookmarkEnd w:id="15"/>
      <w:bookmarkEnd w:id="16"/>
      <w:bookmarkEnd w:id="17"/>
    </w:p>
    <w:p>
      <w:pPr>
        <w:widowControl/>
        <w:jc w:val="left"/>
        <w:rPr>
          <w:rFonts w:asciiTheme="minorEastAsia" w:hAnsiTheme="minorEastAsia" w:eastAsiaTheme="minorEastAsia"/>
          <w:color w:val="000000"/>
          <w:sz w:val="32"/>
          <w:szCs w:val="32"/>
        </w:rPr>
      </w:pPr>
    </w:p>
    <w:p>
      <w:pPr>
        <w:pStyle w:val="5"/>
        <w:rPr>
          <w:rStyle w:val="28"/>
          <w:rFonts w:asciiTheme="minorEastAsia" w:hAnsiTheme="minorEastAsia" w:eastAsiaTheme="minorEastAsia"/>
          <w:b w:val="0"/>
          <w:bCs w:val="0"/>
        </w:rPr>
      </w:pPr>
      <w:bookmarkStart w:id="18" w:name="_Toc8062"/>
      <w:bookmarkStart w:id="19" w:name="_Toc15396600"/>
      <w:bookmarkStart w:id="20" w:name="_Toc15377197"/>
      <w:r>
        <w:rPr>
          <w:rFonts w:hint="eastAsia" w:asciiTheme="minorEastAsia" w:hAnsiTheme="minorEastAsia" w:eastAsiaTheme="minorEastAsia"/>
          <w:b w:val="0"/>
          <w:color w:val="000000"/>
        </w:rPr>
        <w:t>一、基</w:t>
      </w:r>
      <w:r>
        <w:rPr>
          <w:rStyle w:val="28"/>
          <w:rFonts w:hint="eastAsia" w:asciiTheme="minorEastAsia" w:hAnsiTheme="minorEastAsia" w:eastAsiaTheme="minorEastAsia"/>
          <w:b w:val="0"/>
          <w:bCs w:val="0"/>
        </w:rPr>
        <w:t>本职能及主要工作</w:t>
      </w:r>
      <w:bookmarkEnd w:id="18"/>
      <w:bookmarkEnd w:id="19"/>
      <w:bookmarkEnd w:id="20"/>
    </w:p>
    <w:p>
      <w:pPr>
        <w:pStyle w:val="7"/>
        <w:adjustRightInd w:val="0"/>
        <w:snapToGrid w:val="0"/>
        <w:spacing w:before="93" w:line="600" w:lineRule="exact"/>
        <w:ind w:firstLine="672" w:firstLineChars="210"/>
        <w:outlineLvl w:val="2"/>
        <w:rPr>
          <w:rFonts w:asciiTheme="minorEastAsia" w:hAnsiTheme="minorEastAsia" w:eastAsiaTheme="minorEastAsia"/>
          <w:bCs/>
          <w:color w:val="000000"/>
          <w:sz w:val="32"/>
          <w:szCs w:val="32"/>
        </w:rPr>
      </w:pPr>
      <w:bookmarkStart w:id="21" w:name="_Toc15377198"/>
      <w:bookmarkStart w:id="22" w:name="_Toc15378445"/>
      <w:r>
        <w:rPr>
          <w:rFonts w:hint="eastAsia" w:asciiTheme="minorEastAsia" w:hAnsiTheme="minorEastAsia" w:eastAsiaTheme="minorEastAsia"/>
          <w:bCs/>
          <w:color w:val="000000"/>
          <w:sz w:val="32"/>
          <w:szCs w:val="32"/>
        </w:rPr>
        <w:t>（一）主要职能。（职能参照省政府批准的三定方案）</w:t>
      </w:r>
      <w:bookmarkEnd w:id="21"/>
      <w:bookmarkEnd w:id="22"/>
    </w:p>
    <w:p>
      <w:pPr>
        <w:pStyle w:val="7"/>
        <w:adjustRightInd w:val="0"/>
        <w:snapToGrid w:val="0"/>
        <w:spacing w:before="93" w:line="580" w:lineRule="exact"/>
        <w:ind w:firstLine="640" w:firstLineChars="200"/>
        <w:rPr>
          <w:rFonts w:asciiTheme="minorEastAsia" w:hAnsiTheme="minorEastAsia" w:eastAsiaTheme="minorEastAsia"/>
          <w:bCs/>
          <w:sz w:val="32"/>
          <w:szCs w:val="32"/>
        </w:rPr>
      </w:pPr>
      <w:r>
        <w:rPr>
          <w:rFonts w:hint="eastAsia" w:asciiTheme="minorEastAsia" w:hAnsiTheme="minorEastAsia" w:eastAsiaTheme="minorEastAsia"/>
          <w:bCs/>
          <w:sz w:val="32"/>
          <w:szCs w:val="32"/>
        </w:rPr>
        <w:t>（1）贯彻执行国家有关交通运输行业的方针、政策和法律法规。</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（2）负责本系统、本部门依法行政工作，落实行政执法责任制。</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（3）承担全县道路，水路交通运输市场监管责任。</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（4）承担水上交通安全监管责任。</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（5）负责提出公路、水路固定资产投资规模和方向、县财政性资金安排建议，按照规定权限审批、核准省、州、县规划内和年度计划规模内固定资产投资项目。</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（6）承担公路、水路建设市场监管责任。</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（7）指导公路、水路行业安全生产和应急管理工作。</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（8）制定交通运输科技政策并监督实施，组织科技开发。</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（9）负责公路、水路有关涉外工作，开展对经济技术交流与合作，指导全县交通运输行业招商引资和利用外资工作。</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（10）指导交通行业的精神文明建设、廉政建设和职工队伍建设；指导交通系统的教育培训。</w:t>
      </w:r>
    </w:p>
    <w:p>
      <w:pPr>
        <w:pStyle w:val="7"/>
        <w:adjustRightInd w:val="0"/>
        <w:snapToGrid w:val="0"/>
        <w:spacing w:before="93" w:line="580" w:lineRule="exact"/>
        <w:ind w:firstLine="672" w:firstLineChars="210"/>
        <w:rPr>
          <w:rFonts w:asciiTheme="minorEastAsia" w:hAnsiTheme="minorEastAsia" w:eastAsiaTheme="minorEastAsia"/>
          <w:bCs/>
          <w:sz w:val="32"/>
          <w:szCs w:val="32"/>
        </w:rPr>
      </w:pPr>
      <w:r>
        <w:rPr>
          <w:rFonts w:hint="eastAsia" w:asciiTheme="minorEastAsia" w:hAnsiTheme="minorEastAsia" w:eastAsiaTheme="minorEastAsia"/>
          <w:bCs/>
          <w:sz w:val="32"/>
          <w:szCs w:val="32"/>
        </w:rPr>
        <w:t>（11）承办县委、县政府和上级主管部门交办的其他事项。</w:t>
      </w:r>
    </w:p>
    <w:p>
      <w:pPr>
        <w:pStyle w:val="7"/>
        <w:adjustRightInd w:val="0"/>
        <w:snapToGrid w:val="0"/>
        <w:spacing w:before="93" w:line="600" w:lineRule="exact"/>
        <w:ind w:firstLine="672" w:firstLineChars="210"/>
        <w:outlineLvl w:val="2"/>
        <w:rPr>
          <w:rFonts w:asciiTheme="minorEastAsia" w:hAnsiTheme="minorEastAsia" w:eastAsiaTheme="minorEastAsia"/>
          <w:bCs/>
          <w:color w:val="000000"/>
          <w:sz w:val="32"/>
          <w:szCs w:val="32"/>
        </w:rPr>
      </w:pPr>
      <w:bookmarkStart w:id="23" w:name="_Toc15377199"/>
      <w:bookmarkStart w:id="24" w:name="_Toc15378446"/>
      <w:r>
        <w:rPr>
          <w:rFonts w:hint="eastAsia" w:asciiTheme="minorEastAsia" w:hAnsiTheme="minorEastAsia" w:eastAsiaTheme="minorEastAsia"/>
          <w:bCs/>
          <w:color w:val="000000"/>
          <w:sz w:val="32"/>
          <w:szCs w:val="32"/>
        </w:rPr>
        <w:t>（二）</w:t>
      </w:r>
      <w:r>
        <w:rPr>
          <w:rFonts w:asciiTheme="minorEastAsia" w:hAnsiTheme="minorEastAsia" w:eastAsiaTheme="minorEastAsia"/>
          <w:bCs/>
          <w:color w:val="000000"/>
          <w:sz w:val="32"/>
          <w:szCs w:val="32"/>
        </w:rPr>
        <w:t>201</w:t>
      </w:r>
      <w:r>
        <w:rPr>
          <w:rFonts w:hint="eastAsia" w:asciiTheme="minorEastAsia" w:hAnsiTheme="minorEastAsia" w:eastAsiaTheme="minorEastAsia"/>
          <w:bCs/>
          <w:color w:val="000000"/>
          <w:sz w:val="32"/>
          <w:szCs w:val="32"/>
          <w:lang w:val="en-US" w:eastAsia="zh-CN"/>
        </w:rPr>
        <w:t>9</w:t>
      </w:r>
      <w:r>
        <w:rPr>
          <w:rFonts w:hint="eastAsia" w:asciiTheme="minorEastAsia" w:hAnsiTheme="minorEastAsia" w:eastAsiaTheme="minorEastAsia"/>
          <w:bCs/>
          <w:color w:val="000000"/>
          <w:sz w:val="32"/>
          <w:szCs w:val="32"/>
        </w:rPr>
        <w:t>年重点工作完成情况。</w:t>
      </w:r>
      <w:bookmarkEnd w:id="23"/>
      <w:bookmarkEnd w:id="24"/>
    </w:p>
    <w:p>
      <w:pPr>
        <w:keepNext w:val="0"/>
        <w:keepLines w:val="0"/>
        <w:pageBreakBefore w:val="0"/>
        <w:widowControl/>
        <w:kinsoku/>
        <w:wordWrap/>
        <w:overflowPunct/>
        <w:topLinePunct w:val="0"/>
        <w:autoSpaceDE/>
        <w:autoSpaceDN/>
        <w:bidi w:val="0"/>
        <w:adjustRightInd/>
        <w:snapToGrid/>
        <w:spacing w:line="560" w:lineRule="exact"/>
        <w:ind w:right="0" w:rightChars="0" w:firstLine="643" w:firstLineChars="200"/>
        <w:jc w:val="left"/>
        <w:textAlignment w:val="auto"/>
        <w:outlineLvl w:val="9"/>
        <w:rPr>
          <w:rFonts w:hint="default" w:ascii="仿宋_GB2312" w:hAnsi="仿宋_GB2312" w:eastAsia="仿宋_GB2312" w:cs="仿宋_GB2312"/>
          <w:color w:val="auto"/>
          <w:sz w:val="32"/>
          <w:szCs w:val="32"/>
          <w:lang w:val="en-US" w:eastAsia="zh-CN"/>
        </w:rPr>
      </w:pPr>
      <w:bookmarkStart w:id="25" w:name="_Toc15377200"/>
      <w:bookmarkStart w:id="26" w:name="_Toc15396601"/>
      <w:r>
        <w:rPr>
          <w:rFonts w:hint="eastAsia" w:ascii="仿宋_GB2312" w:hAnsi="仿宋_GB2312" w:eastAsia="仿宋_GB2312" w:cs="仿宋_GB2312"/>
          <w:b/>
          <w:bCs/>
          <w:color w:val="auto"/>
          <w:sz w:val="32"/>
          <w:szCs w:val="32"/>
          <w:lang w:val="en-US" w:eastAsia="zh-CN"/>
        </w:rPr>
        <w:t>1.红原县查江路达格则寺至江茸乡段建设工程。</w:t>
      </w:r>
      <w:r>
        <w:rPr>
          <w:rFonts w:hint="eastAsia" w:ascii="仿宋_GB2312" w:hAnsi="仿宋_GB2312" w:eastAsia="仿宋_GB2312" w:cs="仿宋_GB2312"/>
          <w:color w:val="auto"/>
          <w:sz w:val="32"/>
          <w:szCs w:val="32"/>
          <w:lang w:val="en-US" w:eastAsia="zh-CN"/>
        </w:rPr>
        <w:t>投入资金4807万元，建设全长32.677公里四级公路，已完成路基填筑及圆管涵安装工作，目前正在摊铺水稳层及挡防、桥涵水泥混凝砼浇筑。</w:t>
      </w:r>
    </w:p>
    <w:p>
      <w:pPr>
        <w:keepNext w:val="0"/>
        <w:keepLines w:val="0"/>
        <w:pageBreakBefore w:val="0"/>
        <w:kinsoku/>
        <w:wordWrap/>
        <w:overflowPunct/>
        <w:topLinePunct w:val="0"/>
        <w:autoSpaceDE/>
        <w:autoSpaceDN/>
        <w:bidi w:val="0"/>
        <w:adjustRightInd/>
        <w:snapToGrid/>
        <w:spacing w:line="500" w:lineRule="exact"/>
        <w:ind w:right="0" w:rightChars="0" w:firstLine="643" w:firstLineChars="200"/>
        <w:textAlignment w:val="auto"/>
        <w:outlineLvl w:val="9"/>
        <w:rPr>
          <w:rFonts w:hint="eastAsia" w:ascii="仿宋_GB2312" w:hAnsi="仿宋_GB2312" w:eastAsia="仿宋_GB2312" w:cs="仿宋_GB2312"/>
          <w:color w:val="auto"/>
          <w:sz w:val="32"/>
          <w:szCs w:val="32"/>
          <w:highlight w:val="none"/>
          <w:shd w:val="clear" w:color="auto" w:fill="auto"/>
          <w:lang w:val="en-US" w:eastAsia="zh-CN"/>
        </w:rPr>
      </w:pPr>
      <w:r>
        <w:rPr>
          <w:rFonts w:hint="eastAsia" w:ascii="仿宋_GB2312" w:hAnsi="仿宋_GB2312" w:eastAsia="仿宋_GB2312" w:cs="仿宋_GB2312"/>
          <w:b/>
          <w:bCs/>
          <w:color w:val="auto"/>
          <w:sz w:val="32"/>
          <w:szCs w:val="32"/>
          <w:lang w:val="en-US" w:eastAsia="zh-CN"/>
        </w:rPr>
        <w:t>2.红原县柯龙路(龙日乡至龙日坝段)畅返不畅工程。</w:t>
      </w:r>
      <w:r>
        <w:rPr>
          <w:rFonts w:hint="eastAsia" w:ascii="仿宋_GB2312" w:hAnsi="仿宋_GB2312" w:eastAsia="仿宋_GB2312" w:cs="仿宋_GB2312"/>
          <w:color w:val="auto"/>
          <w:sz w:val="32"/>
          <w:szCs w:val="32"/>
          <w:lang w:val="en-US" w:eastAsia="zh-CN"/>
        </w:rPr>
        <w:t>投入资金490万元，对柯龙路龙日乡至龙日坝段12.032公里进行路面改造，目前已全面完工，待第三方检测合格后验收</w:t>
      </w:r>
      <w:r>
        <w:rPr>
          <w:rFonts w:hint="eastAsia" w:ascii="仿宋" w:hAnsi="仿宋" w:eastAsia="仿宋"/>
          <w:color w:val="auto"/>
          <w:sz w:val="32"/>
          <w:szCs w:val="32"/>
          <w:highlight w:val="none"/>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00" w:lineRule="exact"/>
        <w:ind w:right="0" w:rightChars="0" w:firstLine="643" w:firstLineChars="200"/>
        <w:textAlignment w:val="auto"/>
        <w:outlineLvl w:val="9"/>
        <w:rPr>
          <w:rFonts w:hint="eastAsia" w:ascii="仿宋_GB2312" w:hAnsi="仿宋_GB2312" w:eastAsia="仿宋_GB2312" w:cs="仿宋_GB2312"/>
          <w:color w:val="000000"/>
          <w:sz w:val="32"/>
          <w:szCs w:val="32"/>
          <w:highlight w:val="none"/>
          <w:shd w:val="clear" w:color="auto" w:fill="auto"/>
          <w:lang w:val="en-US" w:eastAsia="zh-CN"/>
        </w:rPr>
      </w:pPr>
      <w:r>
        <w:rPr>
          <w:rFonts w:hint="eastAsia" w:ascii="仿宋_GB2312" w:hAnsi="仿宋_GB2312" w:eastAsia="仿宋_GB2312" w:cs="仿宋_GB2312"/>
          <w:b/>
          <w:bCs/>
          <w:sz w:val="32"/>
          <w:szCs w:val="32"/>
          <w:lang w:val="en-US" w:eastAsia="zh-CN"/>
        </w:rPr>
        <w:t>3.安曲镇夺龙村水毁桥梁建设恢复工程。</w:t>
      </w:r>
      <w:r>
        <w:rPr>
          <w:rFonts w:hint="eastAsia" w:ascii="仿宋_GB2312" w:hAnsi="仿宋_GB2312" w:eastAsia="仿宋_GB2312" w:cs="仿宋_GB2312"/>
          <w:sz w:val="32"/>
          <w:szCs w:val="32"/>
          <w:lang w:val="en-US" w:eastAsia="zh-CN"/>
        </w:rPr>
        <w:t>投入资金433万元，新建1座长52米、宽7.5米桥梁，目前主体完工，正在进工程扫尾。</w:t>
      </w:r>
    </w:p>
    <w:p>
      <w:pPr>
        <w:keepNext w:val="0"/>
        <w:keepLines w:val="0"/>
        <w:pageBreakBefore w:val="0"/>
        <w:kinsoku/>
        <w:wordWrap/>
        <w:overflowPunct/>
        <w:topLinePunct w:val="0"/>
        <w:autoSpaceDE/>
        <w:autoSpaceDN/>
        <w:bidi w:val="0"/>
        <w:adjustRightInd/>
        <w:snapToGrid/>
        <w:spacing w:line="500" w:lineRule="exact"/>
        <w:ind w:right="0" w:rightChars="0" w:firstLine="643" w:firstLineChars="200"/>
        <w:textAlignment w:val="auto"/>
        <w:outlineLvl w:val="9"/>
        <w:rPr>
          <w:rFonts w:hint="eastAsia" w:ascii="仿宋" w:hAnsi="仿宋" w:eastAsia="仿宋"/>
          <w:color w:val="000000"/>
          <w:sz w:val="32"/>
          <w:szCs w:val="32"/>
          <w:highlight w:val="none"/>
          <w:shd w:val="clear" w:color="auto" w:fill="auto"/>
          <w:lang w:val="en-US" w:eastAsia="zh-CN"/>
        </w:rPr>
      </w:pPr>
      <w:r>
        <w:rPr>
          <w:rFonts w:hint="eastAsia" w:ascii="仿宋_GB2312" w:hAnsi="仿宋_GB2312" w:eastAsia="仿宋_GB2312" w:cs="仿宋_GB2312"/>
          <w:b/>
          <w:bCs/>
          <w:sz w:val="32"/>
          <w:szCs w:val="32"/>
          <w:lang w:val="en-US" w:eastAsia="zh-CN"/>
        </w:rPr>
        <w:t>4.色地镇日西村水毁一号桥改建工程。</w:t>
      </w:r>
      <w:r>
        <w:rPr>
          <w:rFonts w:hint="eastAsia" w:ascii="仿宋_GB2312" w:hAnsi="仿宋_GB2312" w:eastAsia="仿宋_GB2312" w:cs="仿宋_GB2312"/>
          <w:sz w:val="32"/>
          <w:szCs w:val="32"/>
          <w:lang w:val="en-US" w:eastAsia="zh-CN"/>
        </w:rPr>
        <w:t>投入资金436万元，新建1座长52米、宽7.5米桥梁，目前主体完工，工程扫尾。</w:t>
      </w:r>
    </w:p>
    <w:p>
      <w:pPr>
        <w:keepNext w:val="0"/>
        <w:keepLines w:val="0"/>
        <w:pageBreakBefore w:val="0"/>
        <w:kinsoku/>
        <w:wordWrap/>
        <w:overflowPunct/>
        <w:topLinePunct w:val="0"/>
        <w:autoSpaceDE/>
        <w:autoSpaceDN/>
        <w:bidi w:val="0"/>
        <w:adjustRightInd/>
        <w:snapToGrid/>
        <w:spacing w:line="500" w:lineRule="exact"/>
        <w:ind w:right="0" w:rightChars="0"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5.色地镇日西村水毁二号桥改建工程。</w:t>
      </w:r>
      <w:r>
        <w:rPr>
          <w:rFonts w:hint="eastAsia" w:ascii="仿宋_GB2312" w:hAnsi="仿宋_GB2312" w:eastAsia="仿宋_GB2312" w:cs="仿宋_GB2312"/>
          <w:sz w:val="32"/>
          <w:szCs w:val="32"/>
          <w:lang w:val="en-US" w:eastAsia="zh-CN"/>
        </w:rPr>
        <w:t>投入资金170万元，新建1座长18米、宽7.5米桥梁，现已完工。</w:t>
      </w:r>
    </w:p>
    <w:p>
      <w:pPr>
        <w:pStyle w:val="14"/>
        <w:keepNext w:val="0"/>
        <w:keepLines w:val="0"/>
        <w:widowControl/>
        <w:suppressLineNumbers w:val="0"/>
        <w:spacing w:before="300" w:beforeAutospacing="0" w:after="0" w:afterAutospacing="0" w:line="480" w:lineRule="auto"/>
        <w:ind w:left="0" w:right="0"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6.久马高速。</w:t>
      </w:r>
      <w:r>
        <w:rPr>
          <w:rFonts w:hint="eastAsia" w:ascii="仿宋_GB2312" w:hAnsi="仿宋_GB2312" w:eastAsia="仿宋_GB2312" w:cs="仿宋_GB2312"/>
          <w:sz w:val="32"/>
          <w:szCs w:val="32"/>
          <w:lang w:val="en-US" w:eastAsia="zh-CN"/>
        </w:rPr>
        <w:t>2018年5月完成项目工可批复，9月初完成初勘工作，目前该项目初步设计已报送交通运输部审查，施工图设计已全部进场开展外业勘测工作，州交通运输局通过招标已确定了投资人（藏高公司、四川路桥、四川交投建设），9月26日已开工。</w:t>
      </w:r>
    </w:p>
    <w:p>
      <w:pPr>
        <w:numPr>
          <w:ilvl w:val="0"/>
          <w:numId w:val="0"/>
        </w:numPr>
        <w:spacing w:line="576" w:lineRule="exact"/>
        <w:ind w:firstLine="643" w:firstLineChars="200"/>
        <w:jc w:val="both"/>
        <w:rPr>
          <w:rFonts w:hint="eastAsia" w:ascii="仿宋_GB2312" w:hAnsi="仿宋_GB2312" w:eastAsia="仿宋_GB2312"/>
          <w:sz w:val="32"/>
          <w:szCs w:val="22"/>
        </w:rPr>
      </w:pPr>
      <w:r>
        <w:rPr>
          <w:rFonts w:hint="eastAsia" w:ascii="仿宋_GB2312" w:hAnsi="仿宋_GB2312" w:eastAsia="仿宋_GB2312"/>
          <w:b/>
          <w:bCs/>
          <w:sz w:val="32"/>
          <w:szCs w:val="22"/>
        </w:rPr>
        <w:t>7.S217线龙热路改（扩）建项目。</w:t>
      </w:r>
      <w:r>
        <w:rPr>
          <w:rFonts w:hint="eastAsia" w:ascii="仿宋_GB2312" w:hAnsi="仿宋" w:eastAsia="仿宋_GB2312"/>
          <w:sz w:val="32"/>
          <w:szCs w:val="32"/>
          <w:lang w:eastAsia="zh-CN"/>
        </w:rPr>
        <w:t>今年</w:t>
      </w:r>
      <w:r>
        <w:rPr>
          <w:rFonts w:hint="eastAsia" w:ascii="仿宋_GB2312" w:hAnsi="仿宋" w:eastAsia="仿宋_GB2312"/>
          <w:sz w:val="32"/>
          <w:szCs w:val="32"/>
          <w:lang w:val="en-US" w:eastAsia="zh-CN"/>
        </w:rPr>
        <w:t>7月初</w:t>
      </w:r>
      <w:r>
        <w:rPr>
          <w:rFonts w:hint="eastAsia" w:ascii="仿宋_GB2312" w:hAnsi="仿宋" w:eastAsia="仿宋_GB2312"/>
          <w:sz w:val="32"/>
          <w:szCs w:val="32"/>
          <w:lang w:eastAsia="zh-CN"/>
        </w:rPr>
        <w:t>该项目已完成</w:t>
      </w:r>
      <w:r>
        <w:rPr>
          <w:rFonts w:hint="eastAsia" w:ascii="仿宋_GB2312" w:hAnsi="仿宋_GB2312" w:eastAsia="仿宋_GB2312"/>
          <w:sz w:val="32"/>
          <w:lang w:eastAsia="zh-CN"/>
        </w:rPr>
        <w:t>行洪论证、地灾评估、压覆矿产批复、</w:t>
      </w:r>
      <w:r>
        <w:rPr>
          <w:rFonts w:hint="eastAsia" w:ascii="仿宋_GB2312" w:hAnsi="仿宋_GB2312" w:eastAsia="仿宋_GB2312"/>
          <w:sz w:val="32"/>
        </w:rPr>
        <w:t>节能减排评估报告</w:t>
      </w:r>
      <w:r>
        <w:rPr>
          <w:rFonts w:hint="eastAsia" w:ascii="仿宋_GB2312" w:hAnsi="仿宋_GB2312" w:eastAsia="仿宋_GB2312"/>
          <w:sz w:val="32"/>
          <w:lang w:eastAsia="zh-CN"/>
        </w:rPr>
        <w:t>和施工图设计所有前期要件，</w:t>
      </w:r>
      <w:bookmarkStart w:id="112" w:name="_GoBack"/>
      <w:bookmarkEnd w:id="112"/>
      <w:r>
        <w:rPr>
          <w:rFonts w:hint="eastAsia" w:ascii="仿宋_GB2312" w:hAnsi="仿宋_GB2312" w:eastAsia="仿宋_GB2312"/>
          <w:sz w:val="32"/>
          <w:szCs w:val="22"/>
          <w:lang w:eastAsia="zh-CN"/>
        </w:rPr>
        <w:t>县委、县政府</w:t>
      </w:r>
      <w:r>
        <w:rPr>
          <w:rFonts w:hint="eastAsia" w:ascii="仿宋_GB2312" w:hAnsi="仿宋_GB2312" w:eastAsia="仿宋_GB2312"/>
          <w:sz w:val="32"/>
          <w:szCs w:val="22"/>
        </w:rPr>
        <w:t>、人大、政协相关领导也多次在不同渠道积极争取</w:t>
      </w:r>
      <w:r>
        <w:rPr>
          <w:rFonts w:hint="eastAsia" w:ascii="仿宋_GB2312" w:hAnsi="仿宋_GB2312" w:eastAsia="仿宋_GB2312"/>
          <w:sz w:val="32"/>
          <w:szCs w:val="22"/>
          <w:lang w:eastAsia="zh-CN"/>
        </w:rPr>
        <w:t>，</w:t>
      </w:r>
      <w:r>
        <w:rPr>
          <w:rFonts w:hint="eastAsia" w:ascii="仿宋_GB2312" w:hAnsi="仿宋_GB2312" w:eastAsia="仿宋_GB2312"/>
          <w:sz w:val="32"/>
          <w:szCs w:val="22"/>
        </w:rPr>
        <w:t>现该项目已纳入省上项目规划。</w:t>
      </w:r>
    </w:p>
    <w:p>
      <w:pPr>
        <w:keepNext w:val="0"/>
        <w:keepLines w:val="0"/>
        <w:pageBreakBefore w:val="0"/>
        <w:kinsoku/>
        <w:wordWrap/>
        <w:overflowPunct/>
        <w:topLinePunct w:val="0"/>
        <w:autoSpaceDE/>
        <w:autoSpaceDN/>
        <w:bidi w:val="0"/>
        <w:spacing w:line="540" w:lineRule="exact"/>
        <w:ind w:firstLine="643"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宋体-18030"/>
          <w:b/>
          <w:bCs/>
          <w:sz w:val="32"/>
          <w:szCs w:val="32"/>
          <w:lang w:val="en-US" w:eastAsia="zh-CN"/>
        </w:rPr>
        <w:t>8.九红草地风光路。</w:t>
      </w:r>
      <w:r>
        <w:rPr>
          <w:rFonts w:hint="eastAsia" w:ascii="仿宋_GB2312" w:hAnsi="仿宋_GB2312" w:eastAsia="仿宋_GB2312" w:cs="仿宋_GB2312"/>
          <w:b w:val="0"/>
          <w:bCs/>
          <w:color w:val="auto"/>
          <w:sz w:val="32"/>
          <w:szCs w:val="32"/>
          <w:highlight w:val="none"/>
          <w:shd w:val="clear" w:color="auto" w:fill="auto"/>
          <w:lang w:val="en-US" w:eastAsia="zh-CN"/>
        </w:rPr>
        <w:t>一是大中修</w:t>
      </w:r>
      <w:r>
        <w:rPr>
          <w:rFonts w:hint="eastAsia" w:ascii="仿宋_GB2312" w:hAnsi="仿宋_GB2312" w:eastAsia="仿宋_GB2312" w:cs="仿宋_GB2312"/>
          <w:color w:val="auto"/>
          <w:sz w:val="32"/>
          <w:szCs w:val="32"/>
        </w:rPr>
        <w:t>S301线尕力台至麦洼乡70公里</w:t>
      </w:r>
      <w:r>
        <w:rPr>
          <w:rFonts w:hint="eastAsia" w:ascii="仿宋_GB2312" w:hAnsi="仿宋_GB2312" w:eastAsia="仿宋_GB2312" w:cs="仿宋_GB2312"/>
          <w:color w:val="auto"/>
          <w:sz w:val="32"/>
          <w:szCs w:val="32"/>
          <w:lang w:eastAsia="zh-CN"/>
        </w:rPr>
        <w:t>已完工，</w:t>
      </w:r>
      <w:r>
        <w:rPr>
          <w:rFonts w:hint="eastAsia" w:ascii="仿宋_GB2312" w:hAnsi="仿宋_GB2312" w:eastAsia="仿宋_GB2312" w:cs="仿宋_GB2312"/>
          <w:color w:val="auto"/>
          <w:sz w:val="32"/>
          <w:szCs w:val="32"/>
        </w:rPr>
        <w:t>S209线瓦切镇至红原机场</w:t>
      </w:r>
      <w:r>
        <w:rPr>
          <w:rFonts w:hint="eastAsia" w:ascii="仿宋_GB2312" w:hAnsi="仿宋_GB2312" w:eastAsia="仿宋_GB2312" w:cs="仿宋_GB2312"/>
          <w:color w:val="auto"/>
          <w:sz w:val="32"/>
          <w:szCs w:val="32"/>
          <w:lang w:val="en-US" w:eastAsia="zh-CN"/>
        </w:rPr>
        <w:t>84</w:t>
      </w:r>
      <w:r>
        <w:rPr>
          <w:rFonts w:hint="eastAsia" w:ascii="仿宋_GB2312" w:hAnsi="仿宋_GB2312" w:eastAsia="仿宋_GB2312" w:cs="仿宋_GB2312"/>
          <w:color w:val="auto"/>
          <w:sz w:val="32"/>
          <w:szCs w:val="32"/>
        </w:rPr>
        <w:t>公里</w:t>
      </w:r>
      <w:r>
        <w:rPr>
          <w:rFonts w:hint="eastAsia" w:ascii="仿宋_GB2312" w:hAnsi="仿宋_GB2312" w:eastAsia="仿宋_GB2312" w:cs="仿宋_GB2312"/>
          <w:color w:val="auto"/>
          <w:sz w:val="32"/>
          <w:szCs w:val="32"/>
          <w:lang w:eastAsia="zh-CN"/>
        </w:rPr>
        <w:t>已</w:t>
      </w:r>
      <w:r>
        <w:rPr>
          <w:rFonts w:hint="eastAsia" w:ascii="仿宋_GB2312" w:hAnsi="仿宋_GB2312" w:eastAsia="仿宋_GB2312" w:cs="仿宋_GB2312"/>
          <w:color w:val="auto"/>
          <w:sz w:val="32"/>
          <w:szCs w:val="32"/>
        </w:rPr>
        <w:t>完</w:t>
      </w:r>
      <w:r>
        <w:rPr>
          <w:rFonts w:hint="eastAsia" w:ascii="仿宋_GB2312" w:hAnsi="仿宋_GB2312" w:eastAsia="仿宋_GB2312" w:cs="仿宋_GB2312"/>
          <w:color w:val="auto"/>
          <w:sz w:val="32"/>
          <w:szCs w:val="32"/>
          <w:lang w:eastAsia="zh-CN"/>
        </w:rPr>
        <w:t>工；二是养护设施建设，红原</w:t>
      </w:r>
      <w:r>
        <w:rPr>
          <w:rFonts w:hint="eastAsia" w:ascii="仿宋_GB2312" w:hAnsi="仿宋_GB2312" w:eastAsia="仿宋_GB2312" w:cs="仿宋_GB2312"/>
          <w:b w:val="0"/>
          <w:bCs/>
          <w:color w:val="auto"/>
          <w:spacing w:val="-2"/>
          <w:sz w:val="32"/>
          <w:szCs w:val="32"/>
        </w:rPr>
        <w:t>公路应急保通中心</w:t>
      </w:r>
      <w:r>
        <w:rPr>
          <w:rFonts w:hint="eastAsia" w:ascii="仿宋_GB2312" w:hAnsi="仿宋_GB2312" w:eastAsia="仿宋_GB2312" w:cs="仿宋_GB2312"/>
          <w:b w:val="0"/>
          <w:bCs/>
          <w:color w:val="auto"/>
          <w:spacing w:val="-2"/>
          <w:sz w:val="32"/>
          <w:szCs w:val="32"/>
          <w:lang w:eastAsia="zh-CN"/>
        </w:rPr>
        <w:t>一期已完工，二期计划十月底主体完工，</w:t>
      </w:r>
      <w:r>
        <w:rPr>
          <w:rFonts w:hint="eastAsia" w:ascii="仿宋_GB2312" w:hAnsi="仿宋_GB2312" w:eastAsia="仿宋_GB2312" w:cs="仿宋_GB2312"/>
          <w:color w:val="auto"/>
          <w:sz w:val="32"/>
          <w:szCs w:val="32"/>
          <w:lang w:val="en-US" w:eastAsia="zh-CN"/>
        </w:rPr>
        <w:t>瓦切养护站正在进行设计及预算编制工作，麦洼养护管理站</w:t>
      </w:r>
      <w:r>
        <w:rPr>
          <w:rFonts w:hint="eastAsia" w:ascii="仿宋_GB2312" w:hAnsi="仿宋_GB2312" w:eastAsia="仿宋_GB2312" w:cs="仿宋_GB2312"/>
          <w:b w:val="0"/>
          <w:bCs/>
          <w:color w:val="auto"/>
          <w:spacing w:val="-2"/>
          <w:sz w:val="32"/>
          <w:szCs w:val="32"/>
          <w:lang w:eastAsia="zh-CN"/>
        </w:rPr>
        <w:t>计划十月底主体完工</w:t>
      </w:r>
      <w:r>
        <w:rPr>
          <w:rFonts w:hint="eastAsia" w:ascii="仿宋_GB2312" w:hAnsi="仿宋_GB2312" w:eastAsia="仿宋_GB2312" w:cs="仿宋_GB2312"/>
          <w:color w:val="auto"/>
          <w:sz w:val="32"/>
          <w:szCs w:val="32"/>
          <w:lang w:eastAsia="zh-CN"/>
        </w:rPr>
        <w:t>；三是旅游服务设施建设，</w:t>
      </w:r>
      <w:r>
        <w:rPr>
          <w:rFonts w:hint="eastAsia" w:ascii="仿宋_GB2312" w:hAnsi="仿宋_GB2312" w:eastAsia="仿宋_GB2312" w:cs="仿宋_GB2312"/>
          <w:b w:val="0"/>
          <w:bCs/>
          <w:color w:val="auto"/>
          <w:sz w:val="32"/>
          <w:szCs w:val="32"/>
        </w:rPr>
        <w:t>红原机场“七彩哈达”标志性建筑</w:t>
      </w:r>
      <w:r>
        <w:rPr>
          <w:rFonts w:hint="eastAsia" w:ascii="仿宋_GB2312" w:hAnsi="仿宋_GB2312" w:eastAsia="仿宋_GB2312" w:cs="仿宋_GB2312"/>
          <w:b w:val="0"/>
          <w:bCs/>
          <w:color w:val="auto"/>
          <w:sz w:val="32"/>
          <w:szCs w:val="32"/>
          <w:lang w:eastAsia="zh-CN"/>
        </w:rPr>
        <w:t>已基本完成安装，</w:t>
      </w:r>
      <w:r>
        <w:rPr>
          <w:rFonts w:hint="eastAsia" w:ascii="仿宋_GB2312" w:hAnsi="仿宋_GB2312" w:eastAsia="仿宋_GB2312" w:cs="仿宋_GB2312"/>
          <w:color w:val="auto"/>
          <w:sz w:val="32"/>
          <w:szCs w:val="32"/>
        </w:rPr>
        <w:t>“交通+旅游”特色</w:t>
      </w:r>
      <w:r>
        <w:rPr>
          <w:rFonts w:hint="eastAsia" w:ascii="仿宋_GB2312" w:hAnsi="仿宋_GB2312" w:eastAsia="仿宋_GB2312" w:cs="仿宋_GB2312"/>
          <w:color w:val="auto"/>
          <w:sz w:val="32"/>
          <w:szCs w:val="32"/>
          <w:lang w:eastAsia="zh-CN"/>
        </w:rPr>
        <w:t>标识已完工，</w:t>
      </w:r>
      <w:r>
        <w:rPr>
          <w:rFonts w:hint="eastAsia" w:ascii="仿宋_GB2312" w:hAnsi="仿宋_GB2312" w:eastAsia="仿宋_GB2312" w:cs="仿宋_GB2312"/>
          <w:color w:val="auto"/>
          <w:spacing w:val="-2"/>
          <w:sz w:val="32"/>
          <w:szCs w:val="32"/>
        </w:rPr>
        <w:t>交安设施</w:t>
      </w:r>
      <w:r>
        <w:rPr>
          <w:rFonts w:hint="eastAsia" w:ascii="仿宋_GB2312" w:hAnsi="仿宋_GB2312" w:eastAsia="仿宋_GB2312" w:cs="仿宋_GB2312"/>
          <w:color w:val="auto"/>
          <w:spacing w:val="-2"/>
          <w:sz w:val="32"/>
          <w:szCs w:val="32"/>
          <w:lang w:eastAsia="zh-CN"/>
        </w:rPr>
        <w:t>已</w:t>
      </w:r>
      <w:r>
        <w:rPr>
          <w:rFonts w:hint="eastAsia" w:ascii="仿宋_GB2312" w:hAnsi="仿宋_GB2312" w:eastAsia="仿宋_GB2312" w:cs="仿宋_GB2312"/>
          <w:color w:val="auto"/>
          <w:spacing w:val="-2"/>
          <w:sz w:val="32"/>
          <w:szCs w:val="32"/>
        </w:rPr>
        <w:t>完成</w:t>
      </w:r>
      <w:r>
        <w:rPr>
          <w:rFonts w:hint="eastAsia" w:ascii="仿宋_GB2312" w:hAnsi="仿宋_GB2312" w:eastAsia="仿宋_GB2312" w:cs="仿宋_GB2312"/>
          <w:color w:val="auto"/>
          <w:spacing w:val="-2"/>
          <w:sz w:val="32"/>
          <w:szCs w:val="32"/>
          <w:lang w:eastAsia="zh-CN"/>
        </w:rPr>
        <w:t>正在组织验收，</w:t>
      </w:r>
      <w:r>
        <w:rPr>
          <w:rFonts w:hint="eastAsia" w:ascii="仿宋_GB2312" w:hAnsi="仿宋_GB2312" w:eastAsia="仿宋_GB2312" w:cs="仿宋_GB2312"/>
          <w:color w:val="auto"/>
          <w:sz w:val="32"/>
          <w:szCs w:val="32"/>
        </w:rPr>
        <w:t>瓦切镇交通量观测站1套</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安曲镇安装可变情报板1套已投入使用</w:t>
      </w:r>
      <w:r>
        <w:rPr>
          <w:rFonts w:hint="eastAsia" w:ascii="仿宋_GB2312" w:hAnsi="仿宋_GB2312" w:eastAsia="仿宋_GB2312" w:cs="仿宋_GB2312"/>
          <w:color w:val="auto"/>
          <w:sz w:val="32"/>
          <w:szCs w:val="32"/>
          <w:lang w:eastAsia="zh-CN"/>
        </w:rPr>
        <w:t>，观景平台和观景点建设已完工。</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643" w:firstLineChars="200"/>
        <w:jc w:val="both"/>
        <w:textAlignment w:val="auto"/>
        <w:outlineLvl w:val="9"/>
        <w:rPr>
          <w:rFonts w:hint="eastAsia" w:ascii="楷体" w:hAnsi="楷体" w:eastAsia="楷体" w:cs="楷体_GB2312"/>
          <w:b/>
          <w:color w:val="000000"/>
          <w:sz w:val="32"/>
          <w:szCs w:val="32"/>
        </w:rPr>
      </w:pPr>
      <w:r>
        <w:rPr>
          <w:rFonts w:hint="eastAsia" w:ascii="仿宋_GB2312" w:hAnsi="仿宋_GB2312" w:eastAsia="仿宋_GB2312" w:cs="仿宋_GB2312"/>
          <w:b/>
          <w:bCs/>
          <w:color w:val="000000"/>
          <w:sz w:val="32"/>
          <w:szCs w:val="32"/>
          <w:highlight w:val="none"/>
          <w:shd w:val="clear" w:color="auto" w:fill="auto"/>
          <w:lang w:val="en-US" w:eastAsia="zh-CN"/>
        </w:rPr>
        <w:t>9.通组公路采集。</w:t>
      </w:r>
      <w:r>
        <w:rPr>
          <w:rFonts w:hint="eastAsia" w:ascii="仿宋_GB2312" w:hAnsi="仿宋_GB2312" w:eastAsia="仿宋_GB2312" w:cs="仿宋_GB2312"/>
          <w:color w:val="000000"/>
          <w:sz w:val="32"/>
          <w:szCs w:val="32"/>
          <w:highlight w:val="none"/>
          <w:shd w:val="clear" w:color="auto" w:fill="auto"/>
          <w:lang w:val="en-US" w:eastAsia="zh-CN"/>
        </w:rPr>
        <w:t>全县</w:t>
      </w:r>
      <w:r>
        <w:rPr>
          <w:rFonts w:hint="eastAsia" w:ascii="仿宋_GB2312" w:hAnsi="仿宋_GB2312" w:eastAsia="仿宋_GB2312" w:cs="仿宋_GB2312"/>
          <w:sz w:val="32"/>
          <w:szCs w:val="32"/>
          <w:lang w:val="en-US" w:eastAsia="zh-CN"/>
        </w:rPr>
        <w:t>共计采集11个乡镇77个村民小组，道路278条，全县共采集道路630.350公里，通过省级、州级审核确认612.034公里。</w:t>
      </w:r>
    </w:p>
    <w:p>
      <w:pPr>
        <w:pStyle w:val="5"/>
        <w:rPr>
          <w:rStyle w:val="28"/>
          <w:rFonts w:asciiTheme="minorEastAsia" w:hAnsiTheme="minorEastAsia" w:eastAsiaTheme="minorEastAsia"/>
          <w:b w:val="0"/>
          <w:bCs w:val="0"/>
        </w:rPr>
      </w:pPr>
      <w:bookmarkStart w:id="27" w:name="_Toc10431"/>
      <w:r>
        <w:rPr>
          <w:rFonts w:hint="eastAsia" w:asciiTheme="minorEastAsia" w:hAnsiTheme="minorEastAsia" w:eastAsiaTheme="minorEastAsia"/>
          <w:b w:val="0"/>
          <w:color w:val="000000"/>
        </w:rPr>
        <w:t>二、机</w:t>
      </w:r>
      <w:r>
        <w:rPr>
          <w:rStyle w:val="28"/>
          <w:rFonts w:hint="eastAsia" w:asciiTheme="minorEastAsia" w:hAnsiTheme="minorEastAsia" w:eastAsiaTheme="minorEastAsia"/>
          <w:b w:val="0"/>
          <w:bCs w:val="0"/>
        </w:rPr>
        <w:t>构设置</w:t>
      </w:r>
      <w:bookmarkEnd w:id="25"/>
      <w:bookmarkEnd w:id="26"/>
      <w:bookmarkEnd w:id="27"/>
    </w:p>
    <w:p>
      <w:pPr>
        <w:ind w:firstLine="640" w:firstLineChars="200"/>
        <w:rPr>
          <w:rFonts w:asciiTheme="minorEastAsia" w:hAnsiTheme="minorEastAsia" w:eastAsiaTheme="minorEastAsia"/>
          <w:color w:val="000000"/>
          <w:sz w:val="32"/>
          <w:szCs w:val="32"/>
        </w:rPr>
      </w:pPr>
      <w:r>
        <w:rPr>
          <w:rFonts w:hint="eastAsia" w:asciiTheme="minorEastAsia" w:hAnsiTheme="minorEastAsia" w:eastAsiaTheme="minorEastAsia"/>
          <w:sz w:val="32"/>
          <w:szCs w:val="32"/>
        </w:rPr>
        <w:t>我单位</w:t>
      </w:r>
      <w:r>
        <w:rPr>
          <w:rFonts w:hint="eastAsia" w:asciiTheme="minorEastAsia" w:hAnsiTheme="minorEastAsia" w:eastAsiaTheme="minorEastAsia"/>
          <w:sz w:val="32"/>
          <w:szCs w:val="32"/>
          <w:lang w:val="en-US" w:eastAsia="zh-CN"/>
        </w:rPr>
        <w:t>为全额拨款行政单位，</w:t>
      </w:r>
      <w:r>
        <w:rPr>
          <w:rFonts w:hint="eastAsia" w:asciiTheme="minorEastAsia" w:hAnsiTheme="minorEastAsia" w:eastAsiaTheme="minorEastAsia"/>
          <w:color w:val="000000"/>
          <w:sz w:val="32"/>
          <w:szCs w:val="32"/>
          <w:lang w:val="en-US" w:eastAsia="zh-CN"/>
        </w:rPr>
        <w:t>2019年</w:t>
      </w:r>
      <w:r>
        <w:rPr>
          <w:rFonts w:hint="eastAsia" w:asciiTheme="minorEastAsia" w:hAnsiTheme="minorEastAsia" w:eastAsiaTheme="minorEastAsia"/>
          <w:color w:val="000000"/>
          <w:sz w:val="32"/>
          <w:szCs w:val="32"/>
        </w:rPr>
        <w:t>纳入我</w:t>
      </w:r>
      <w:r>
        <w:rPr>
          <w:rFonts w:asciiTheme="minorEastAsia" w:hAnsiTheme="minorEastAsia" w:eastAsiaTheme="minorEastAsia"/>
          <w:color w:val="000000"/>
          <w:sz w:val="32"/>
          <w:szCs w:val="32"/>
        </w:rPr>
        <w:t>单位</w:t>
      </w:r>
      <w:r>
        <w:rPr>
          <w:rFonts w:hint="eastAsia" w:asciiTheme="minorEastAsia" w:hAnsiTheme="minorEastAsia" w:eastAsiaTheme="minorEastAsia"/>
          <w:color w:val="000000"/>
          <w:sz w:val="32"/>
          <w:szCs w:val="32"/>
        </w:rPr>
        <w:t>部门决算编制范围的单位包括：</w:t>
      </w:r>
    </w:p>
    <w:p>
      <w:pPr>
        <w:pStyle w:val="7"/>
        <w:numPr>
          <w:ilvl w:val="0"/>
          <w:numId w:val="0"/>
        </w:numPr>
        <w:adjustRightInd w:val="0"/>
        <w:snapToGrid w:val="0"/>
        <w:spacing w:before="93" w:line="600" w:lineRule="exact"/>
        <w:ind w:left="672" w:leftChars="0"/>
        <w:outlineLvl w:val="2"/>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lang w:val="en-US" w:eastAsia="zh-CN"/>
        </w:rPr>
        <w:t>1.</w:t>
      </w:r>
      <w:r>
        <w:rPr>
          <w:rFonts w:hint="eastAsia" w:asciiTheme="minorEastAsia" w:hAnsiTheme="minorEastAsia" w:eastAsiaTheme="minorEastAsia"/>
          <w:color w:val="000000"/>
          <w:sz w:val="32"/>
          <w:szCs w:val="32"/>
        </w:rPr>
        <w:t>红原县</w:t>
      </w:r>
      <w:r>
        <w:rPr>
          <w:rFonts w:asciiTheme="minorEastAsia" w:hAnsiTheme="minorEastAsia" w:eastAsiaTheme="minorEastAsia"/>
          <w:color w:val="000000"/>
          <w:sz w:val="32"/>
          <w:szCs w:val="32"/>
        </w:rPr>
        <w:t>交通运输局交通工程质量监督站</w:t>
      </w:r>
    </w:p>
    <w:p>
      <w:pPr>
        <w:spacing w:line="560" w:lineRule="exact"/>
        <w:ind w:left="672"/>
        <w:jc w:val="left"/>
        <w:rPr>
          <w:rFonts w:hint="default" w:cs="仿宋_GB2312" w:asciiTheme="minorEastAsia" w:hAnsiTheme="minorEastAsia" w:eastAsiaTheme="minorEastAsia"/>
          <w:bCs/>
          <w:sz w:val="32"/>
          <w:szCs w:val="32"/>
          <w:lang w:val="en-US" w:eastAsia="zh-CN"/>
        </w:rPr>
      </w:pPr>
      <w:r>
        <w:rPr>
          <w:rFonts w:hint="eastAsia" w:cs="仿宋_GB2312" w:asciiTheme="minorEastAsia" w:hAnsiTheme="minorEastAsia" w:eastAsiaTheme="minorEastAsia"/>
          <w:bCs/>
          <w:sz w:val="32"/>
          <w:szCs w:val="32"/>
          <w:lang w:val="en-US" w:eastAsia="zh-CN"/>
        </w:rPr>
        <w:t>2.交通局机关</w:t>
      </w:r>
    </w:p>
    <w:p>
      <w:pPr>
        <w:spacing w:line="560" w:lineRule="exact"/>
        <w:ind w:firstLine="640" w:firstLineChars="200"/>
        <w:jc w:val="left"/>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截止201</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年底我单位共有编制17个，其中公务员编制9个，行政工勤编制1个，事业编制7个，在职</w:t>
      </w:r>
      <w:r>
        <w:rPr>
          <w:rFonts w:hint="eastAsia" w:cs="仿宋_GB2312" w:asciiTheme="minorEastAsia" w:hAnsiTheme="minorEastAsia" w:eastAsiaTheme="minorEastAsia"/>
          <w:bCs/>
          <w:sz w:val="32"/>
          <w:szCs w:val="32"/>
          <w:lang w:val="en-US" w:eastAsia="zh-CN"/>
        </w:rPr>
        <w:t>15</w:t>
      </w:r>
      <w:r>
        <w:rPr>
          <w:rFonts w:hint="eastAsia" w:cs="仿宋_GB2312" w:asciiTheme="minorEastAsia" w:hAnsiTheme="minorEastAsia" w:eastAsiaTheme="minorEastAsia"/>
          <w:bCs/>
          <w:sz w:val="32"/>
          <w:szCs w:val="32"/>
        </w:rPr>
        <w:t>人，公务员</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人，事业编制6人。</w:t>
      </w:r>
    </w:p>
    <w:p>
      <w:pPr>
        <w:widowControl/>
        <w:jc w:val="left"/>
        <w:rPr>
          <w:rFonts w:asciiTheme="minorEastAsia" w:hAnsiTheme="minorEastAsia" w:eastAsiaTheme="minorEastAsia"/>
          <w:color w:val="000000"/>
          <w:kern w:val="0"/>
          <w:sz w:val="32"/>
          <w:szCs w:val="32"/>
        </w:rPr>
      </w:pPr>
      <w:r>
        <w:rPr>
          <w:rFonts w:asciiTheme="minorEastAsia" w:hAnsiTheme="minorEastAsia" w:eastAsiaTheme="minorEastAsia"/>
          <w:color w:val="000000"/>
          <w:sz w:val="32"/>
          <w:szCs w:val="32"/>
        </w:rPr>
        <w:br w:type="page"/>
      </w:r>
    </w:p>
    <w:p>
      <w:pPr>
        <w:pStyle w:val="4"/>
        <w:ind w:right="440"/>
        <w:jc w:val="right"/>
        <w:rPr>
          <w:rFonts w:asciiTheme="minorEastAsia" w:hAnsiTheme="minorEastAsia" w:eastAsiaTheme="minorEastAsia"/>
          <w:b w:val="0"/>
          <w:bCs w:val="0"/>
        </w:rPr>
      </w:pPr>
      <w:bookmarkStart w:id="28" w:name="_Toc984"/>
      <w:bookmarkStart w:id="29" w:name="_Toc15396602"/>
      <w:bookmarkStart w:id="30" w:name="_Toc15377204"/>
      <w:r>
        <w:rPr>
          <w:rFonts w:hint="eastAsia" w:asciiTheme="minorEastAsia" w:hAnsiTheme="minorEastAsia" w:eastAsiaTheme="minorEastAsia"/>
          <w:b w:val="0"/>
          <w:color w:val="000000"/>
        </w:rPr>
        <w:t>第二部分</w:t>
      </w:r>
      <w:r>
        <w:rPr>
          <w:rStyle w:val="27"/>
          <w:rFonts w:hint="eastAsia" w:asciiTheme="minorEastAsia" w:hAnsiTheme="minorEastAsia" w:eastAsiaTheme="minorEastAsia"/>
          <w:b w:val="0"/>
          <w:bCs w:val="0"/>
        </w:rPr>
        <w:t>201</w:t>
      </w:r>
      <w:r>
        <w:rPr>
          <w:rStyle w:val="27"/>
          <w:rFonts w:hint="eastAsia" w:asciiTheme="minorEastAsia" w:hAnsiTheme="minorEastAsia" w:eastAsiaTheme="minorEastAsia"/>
          <w:b w:val="0"/>
          <w:bCs w:val="0"/>
          <w:lang w:val="en-US" w:eastAsia="zh-CN"/>
        </w:rPr>
        <w:t>9</w:t>
      </w:r>
      <w:r>
        <w:rPr>
          <w:rStyle w:val="27"/>
          <w:rFonts w:hint="eastAsia" w:asciiTheme="minorEastAsia" w:hAnsiTheme="minorEastAsia" w:eastAsiaTheme="minorEastAsia"/>
          <w:b w:val="0"/>
          <w:bCs w:val="0"/>
        </w:rPr>
        <w:t>年度部门决算情况说明</w:t>
      </w:r>
      <w:bookmarkEnd w:id="28"/>
      <w:bookmarkEnd w:id="29"/>
      <w:bookmarkEnd w:id="30"/>
    </w:p>
    <w:p>
      <w:pPr>
        <w:pStyle w:val="26"/>
        <w:numPr>
          <w:ilvl w:val="0"/>
          <w:numId w:val="1"/>
        </w:numPr>
        <w:spacing w:line="600" w:lineRule="exact"/>
        <w:ind w:firstLineChars="0"/>
        <w:outlineLvl w:val="1"/>
        <w:rPr>
          <w:rStyle w:val="28"/>
          <w:rFonts w:asciiTheme="minorEastAsia" w:hAnsiTheme="minorEastAsia" w:eastAsiaTheme="minorEastAsia"/>
          <w:b w:val="0"/>
        </w:rPr>
      </w:pPr>
      <w:bookmarkStart w:id="31" w:name="_Toc15377205"/>
      <w:bookmarkStart w:id="32" w:name="_Toc15396603"/>
      <w:bookmarkStart w:id="33" w:name="_Toc9514"/>
      <w:r>
        <w:rPr>
          <w:rFonts w:hint="eastAsia" w:asciiTheme="minorEastAsia" w:hAnsiTheme="minorEastAsia" w:eastAsiaTheme="minorEastAsia"/>
          <w:color w:val="000000"/>
          <w:sz w:val="32"/>
          <w:szCs w:val="32"/>
        </w:rPr>
        <w:t>收</w:t>
      </w:r>
      <w:r>
        <w:rPr>
          <w:rStyle w:val="28"/>
          <w:rFonts w:hint="eastAsia" w:asciiTheme="minorEastAsia" w:hAnsiTheme="minorEastAsia" w:eastAsiaTheme="minorEastAsia"/>
          <w:b w:val="0"/>
        </w:rPr>
        <w:t>入支出决算总体情况说明</w:t>
      </w:r>
      <w:bookmarkEnd w:id="31"/>
      <w:bookmarkEnd w:id="32"/>
      <w:r>
        <w:rPr>
          <w:rStyle w:val="28"/>
          <w:rFonts w:hint="eastAsia" w:asciiTheme="minorEastAsia" w:hAnsiTheme="minorEastAsia" w:eastAsiaTheme="minorEastAsia"/>
          <w:b w:val="0"/>
        </w:rPr>
        <w:t>、</w:t>
      </w:r>
      <w:bookmarkEnd w:id="33"/>
    </w:p>
    <w:p>
      <w:pPr>
        <w:snapToGrid w:val="0"/>
        <w:spacing w:line="520" w:lineRule="exact"/>
        <w:ind w:firstLine="640" w:firstLineChars="200"/>
        <w:rPr>
          <w:rFonts w:asciiTheme="minorEastAsia" w:hAnsiTheme="minorEastAsia" w:eastAsiaTheme="minorEastAsia"/>
          <w:sz w:val="32"/>
          <w:szCs w:val="32"/>
        </w:rPr>
      </w:pPr>
      <w:r>
        <w:rPr>
          <w:rFonts w:hint="eastAsia" w:asciiTheme="minorEastAsia" w:hAnsiTheme="minorEastAsia" w:eastAsiaTheme="minorEastAsia"/>
          <w:sz w:val="32"/>
          <w:szCs w:val="32"/>
        </w:rPr>
        <w:t>本年度收入</w:t>
      </w:r>
      <w:r>
        <w:rPr>
          <w:rFonts w:hint="eastAsia" w:asciiTheme="minorEastAsia" w:hAnsiTheme="minorEastAsia" w:eastAsiaTheme="minorEastAsia"/>
          <w:sz w:val="32"/>
          <w:szCs w:val="32"/>
          <w:lang w:val="en-US" w:eastAsia="zh-CN"/>
        </w:rPr>
        <w:t>1360.16</w:t>
      </w:r>
      <w:r>
        <w:rPr>
          <w:rFonts w:hint="eastAsia" w:asciiTheme="minorEastAsia" w:hAnsiTheme="minorEastAsia" w:eastAsiaTheme="minorEastAsia"/>
          <w:sz w:val="32"/>
          <w:szCs w:val="32"/>
        </w:rPr>
        <w:t>万元，上年度收入</w:t>
      </w:r>
      <w:r>
        <w:rPr>
          <w:rFonts w:hint="eastAsia" w:asciiTheme="minorEastAsia" w:hAnsiTheme="minorEastAsia" w:eastAsiaTheme="minorEastAsia"/>
          <w:sz w:val="32"/>
          <w:szCs w:val="32"/>
          <w:lang w:val="en-US" w:eastAsia="zh-CN"/>
        </w:rPr>
        <w:t>5,649.44</w:t>
      </w:r>
      <w:r>
        <w:rPr>
          <w:rFonts w:hint="eastAsia" w:asciiTheme="minorEastAsia" w:hAnsiTheme="minorEastAsia" w:eastAsiaTheme="minorEastAsia"/>
          <w:sz w:val="32"/>
          <w:szCs w:val="32"/>
        </w:rPr>
        <w:t>万元，本年收入比上年收入</w:t>
      </w:r>
      <w:r>
        <w:rPr>
          <w:rFonts w:hint="eastAsia" w:asciiTheme="minorEastAsia" w:hAnsiTheme="minorEastAsia" w:eastAsiaTheme="minorEastAsia"/>
          <w:sz w:val="32"/>
          <w:szCs w:val="32"/>
          <w:lang w:val="en-US" w:eastAsia="zh-CN"/>
        </w:rPr>
        <w:t>减少4289.28</w:t>
      </w:r>
      <w:r>
        <w:rPr>
          <w:rFonts w:hint="eastAsia" w:asciiTheme="minorEastAsia" w:hAnsiTheme="minorEastAsia" w:eastAsiaTheme="minorEastAsia"/>
          <w:sz w:val="32"/>
          <w:szCs w:val="32"/>
        </w:rPr>
        <w:t>万元，</w:t>
      </w:r>
      <w:r>
        <w:rPr>
          <w:rFonts w:hint="eastAsia" w:asciiTheme="minorEastAsia" w:hAnsiTheme="minorEastAsia" w:eastAsiaTheme="minorEastAsia"/>
          <w:sz w:val="32"/>
          <w:szCs w:val="32"/>
          <w:lang w:val="en-US" w:eastAsia="zh-CN"/>
        </w:rPr>
        <w:t>下降75.92</w:t>
      </w:r>
      <w:r>
        <w:rPr>
          <w:rFonts w:hint="eastAsia" w:asciiTheme="minorEastAsia" w:hAnsiTheme="minorEastAsia" w:eastAsiaTheme="minorEastAsia"/>
          <w:sz w:val="32"/>
          <w:szCs w:val="32"/>
        </w:rPr>
        <w:t>%，</w:t>
      </w:r>
      <w:r>
        <w:rPr>
          <w:rFonts w:hint="eastAsia" w:asciiTheme="minorEastAsia" w:hAnsiTheme="minorEastAsia" w:eastAsiaTheme="minorEastAsia"/>
          <w:sz w:val="32"/>
          <w:szCs w:val="32"/>
          <w:lang w:val="en-US" w:eastAsia="zh-CN"/>
        </w:rPr>
        <w:t>下降原因是2018年项目支出拨款增加，2019年部分项目已经完工，仅拨付尾款导致本年收入大幅下降</w:t>
      </w:r>
      <w:r>
        <w:rPr>
          <w:rFonts w:hint="eastAsia" w:cs="仿宋_GB2312" w:asciiTheme="minorEastAsia" w:hAnsiTheme="minorEastAsia" w:eastAsiaTheme="minorEastAsia"/>
          <w:sz w:val="30"/>
          <w:szCs w:val="30"/>
        </w:rPr>
        <w:t>；本</w:t>
      </w:r>
      <w:r>
        <w:rPr>
          <w:rFonts w:hint="eastAsia" w:asciiTheme="minorEastAsia" w:hAnsiTheme="minorEastAsia" w:eastAsiaTheme="minorEastAsia"/>
          <w:sz w:val="32"/>
          <w:szCs w:val="32"/>
        </w:rPr>
        <w:t>年度支出</w:t>
      </w:r>
      <w:r>
        <w:rPr>
          <w:rFonts w:hint="eastAsia" w:asciiTheme="minorEastAsia" w:hAnsiTheme="minorEastAsia" w:eastAsiaTheme="minorEastAsia"/>
          <w:sz w:val="32"/>
          <w:szCs w:val="32"/>
          <w:lang w:val="en-US" w:eastAsia="zh-CN"/>
        </w:rPr>
        <w:t>3596.56</w:t>
      </w:r>
      <w:r>
        <w:rPr>
          <w:rFonts w:hint="eastAsia" w:asciiTheme="minorEastAsia" w:hAnsiTheme="minorEastAsia" w:eastAsiaTheme="minorEastAsia"/>
          <w:sz w:val="32"/>
          <w:szCs w:val="32"/>
        </w:rPr>
        <w:t>万元，上年度支出5,040.33万元，本年支出比上年支出减少</w:t>
      </w:r>
      <w:r>
        <w:rPr>
          <w:rFonts w:hint="eastAsia" w:asciiTheme="minorEastAsia" w:hAnsiTheme="minorEastAsia" w:eastAsiaTheme="minorEastAsia"/>
          <w:sz w:val="32"/>
          <w:szCs w:val="32"/>
          <w:lang w:val="en-US" w:eastAsia="zh-CN"/>
        </w:rPr>
        <w:t>1443.77</w:t>
      </w:r>
      <w:r>
        <w:rPr>
          <w:rFonts w:hint="eastAsia" w:asciiTheme="minorEastAsia" w:hAnsiTheme="minorEastAsia" w:eastAsiaTheme="minorEastAsia"/>
          <w:sz w:val="32"/>
          <w:szCs w:val="32"/>
        </w:rPr>
        <w:t>万元，减少</w:t>
      </w:r>
      <w:r>
        <w:rPr>
          <w:rFonts w:hint="eastAsia" w:asciiTheme="minorEastAsia" w:hAnsiTheme="minorEastAsia" w:eastAsiaTheme="minorEastAsia"/>
          <w:sz w:val="32"/>
          <w:szCs w:val="32"/>
          <w:lang w:val="en-US" w:eastAsia="zh-CN"/>
        </w:rPr>
        <w:t>28.64</w:t>
      </w:r>
      <w:r>
        <w:rPr>
          <w:rFonts w:hint="eastAsia" w:asciiTheme="minorEastAsia" w:hAnsiTheme="minorEastAsia" w:eastAsiaTheme="minorEastAsia"/>
          <w:sz w:val="32"/>
          <w:szCs w:val="32"/>
        </w:rPr>
        <w:t>%，减少原因是本年项目投资比上年度减少；本年度项目结转结余</w:t>
      </w:r>
      <w:r>
        <w:rPr>
          <w:rFonts w:hint="eastAsia" w:asciiTheme="minorEastAsia" w:hAnsiTheme="minorEastAsia" w:eastAsiaTheme="minorEastAsia"/>
          <w:sz w:val="32"/>
          <w:szCs w:val="32"/>
          <w:lang w:val="en-US" w:eastAsia="zh-CN"/>
        </w:rPr>
        <w:t>253.15</w:t>
      </w:r>
      <w:r>
        <w:rPr>
          <w:rFonts w:hint="eastAsia" w:asciiTheme="minorEastAsia" w:hAnsiTheme="minorEastAsia" w:eastAsiaTheme="minorEastAsia"/>
          <w:sz w:val="32"/>
          <w:szCs w:val="32"/>
        </w:rPr>
        <w:t>万元为</w:t>
      </w:r>
      <w:r>
        <w:rPr>
          <w:rFonts w:hint="eastAsia" w:asciiTheme="minorEastAsia" w:hAnsiTheme="minorEastAsia" w:eastAsiaTheme="minorEastAsia"/>
          <w:sz w:val="32"/>
          <w:szCs w:val="32"/>
          <w:lang w:val="en-US" w:eastAsia="zh-CN"/>
        </w:rPr>
        <w:t>农村基础设施建设</w:t>
      </w:r>
      <w:r>
        <w:rPr>
          <w:rFonts w:hint="eastAsia" w:asciiTheme="minorEastAsia" w:hAnsiTheme="minorEastAsia" w:eastAsiaTheme="minorEastAsia"/>
          <w:sz w:val="32"/>
          <w:szCs w:val="32"/>
        </w:rPr>
        <w:t>、公路新建、公路养护等项目；本年度基本支出结转2.72</w:t>
      </w:r>
      <w:r>
        <w:rPr>
          <w:rFonts w:hint="eastAsia" w:asciiTheme="minorEastAsia" w:hAnsiTheme="minorEastAsia" w:eastAsiaTheme="minorEastAsia"/>
          <w:sz w:val="32"/>
          <w:szCs w:val="32"/>
          <w:lang w:val="en-US" w:eastAsia="zh-CN"/>
        </w:rPr>
        <w:t>万</w:t>
      </w:r>
      <w:r>
        <w:rPr>
          <w:rFonts w:hint="eastAsia" w:asciiTheme="minorEastAsia" w:hAnsiTheme="minorEastAsia" w:eastAsiaTheme="minorEastAsia"/>
          <w:sz w:val="32"/>
          <w:szCs w:val="32"/>
        </w:rPr>
        <w:t>元为</w:t>
      </w:r>
      <w:r>
        <w:rPr>
          <w:rFonts w:hint="eastAsia" w:asciiTheme="minorEastAsia" w:hAnsiTheme="minorEastAsia" w:eastAsiaTheme="minorEastAsia"/>
          <w:sz w:val="32"/>
          <w:szCs w:val="32"/>
          <w:lang w:val="en-US" w:eastAsia="zh-CN"/>
        </w:rPr>
        <w:t>基本户代扣保险等</w:t>
      </w:r>
      <w:r>
        <w:rPr>
          <w:rFonts w:hint="eastAsia" w:asciiTheme="minorEastAsia" w:hAnsiTheme="minorEastAsia" w:eastAsiaTheme="minorEastAsia"/>
          <w:sz w:val="32"/>
          <w:szCs w:val="32"/>
        </w:rPr>
        <w:t>。</w:t>
      </w:r>
    </w:p>
    <w:p>
      <w:pPr>
        <w:spacing w:line="600" w:lineRule="exact"/>
        <w:ind w:firstLine="640" w:firstLineChars="200"/>
        <w:rPr>
          <w:rFonts w:hint="eastAsia" w:asciiTheme="minorEastAsia" w:hAnsiTheme="minorEastAsia" w:eastAsiaTheme="minorEastAsia"/>
          <w:color w:val="000000" w:themeColor="text1"/>
          <w:sz w:val="32"/>
          <w:szCs w:val="32"/>
          <w:lang w:eastAsia="zh-CN" w:bidi="bo-CN"/>
        </w:rPr>
      </w:pPr>
      <w:r>
        <w:rPr>
          <w:rFonts w:hint="eastAsia" w:asciiTheme="minorEastAsia" w:hAnsiTheme="minorEastAsia" w:eastAsiaTheme="minorEastAsia"/>
          <w:color w:val="000000" w:themeColor="text1"/>
          <w:sz w:val="32"/>
          <w:szCs w:val="32"/>
        </w:rPr>
        <w:t>（图</w:t>
      </w:r>
      <w:r>
        <w:rPr>
          <w:rFonts w:asciiTheme="minorEastAsia" w:hAnsiTheme="minorEastAsia" w:eastAsiaTheme="minorEastAsia"/>
          <w:color w:val="000000" w:themeColor="text1"/>
          <w:sz w:val="32"/>
          <w:szCs w:val="32"/>
        </w:rPr>
        <w:t>1</w:t>
      </w:r>
      <w:r>
        <w:rPr>
          <w:rFonts w:hint="eastAsia" w:asciiTheme="minorEastAsia" w:hAnsiTheme="minorEastAsia" w:eastAsiaTheme="minorEastAsia"/>
          <w:color w:val="000000" w:themeColor="text1"/>
          <w:sz w:val="32"/>
          <w:szCs w:val="32"/>
        </w:rPr>
        <w:t>：收、支决算总计变动情况图）（柱状图）</w:t>
      </w:r>
    </w:p>
    <w:p>
      <w:pPr>
        <w:spacing w:line="600" w:lineRule="exact"/>
        <w:rPr>
          <w:rFonts w:hint="eastAsia" w:asciiTheme="minorEastAsia" w:hAnsiTheme="minorEastAsia" w:eastAsiaTheme="minorEastAsia"/>
          <w:color w:val="000000" w:themeColor="text1"/>
          <w:sz w:val="32"/>
          <w:szCs w:val="32"/>
          <w:lang w:eastAsia="zh-CN" w:bidi="bo-CN"/>
        </w:rPr>
      </w:pPr>
    </w:p>
    <w:p>
      <w:pPr>
        <w:spacing w:line="600" w:lineRule="exact"/>
        <w:rPr>
          <w:rFonts w:hint="eastAsia" w:asciiTheme="minorEastAsia" w:hAnsiTheme="minorEastAsia" w:eastAsiaTheme="minorEastAsia"/>
          <w:color w:val="000000" w:themeColor="text1"/>
          <w:sz w:val="32"/>
          <w:szCs w:val="32"/>
          <w:lang w:eastAsia="zh-CN" w:bidi="bo-CN"/>
        </w:rPr>
      </w:pPr>
      <w:r>
        <w:rPr>
          <w:rFonts w:hint="eastAsia" w:asciiTheme="minorEastAsia" w:hAnsiTheme="minorEastAsia" w:eastAsiaTheme="minorEastAsia"/>
          <w:color w:val="000000" w:themeColor="text1"/>
          <w:sz w:val="32"/>
          <w:szCs w:val="32"/>
          <w:lang w:eastAsia="zh-CN" w:bidi="bo-CN"/>
        </w:rPr>
        <w:drawing>
          <wp:anchor distT="0" distB="0" distL="114300" distR="114300" simplePos="0" relativeHeight="251659264" behindDoc="1" locked="0" layoutInCell="1" allowOverlap="1">
            <wp:simplePos x="0" y="0"/>
            <wp:positionH relativeFrom="column">
              <wp:posOffset>210820</wp:posOffset>
            </wp:positionH>
            <wp:positionV relativeFrom="paragraph">
              <wp:posOffset>28575</wp:posOffset>
            </wp:positionV>
            <wp:extent cx="5080000" cy="2230755"/>
            <wp:effectExtent l="4445" t="4445" r="20955" b="69850"/>
            <wp:wrapTight wrapText="bothSides">
              <wp:wrapPolygon>
                <wp:start x="-19" y="-43"/>
                <wp:lineTo x="-19" y="21539"/>
                <wp:lineTo x="21527" y="21539"/>
                <wp:lineTo x="21527" y="-43"/>
                <wp:lineTo x="-19" y="-43"/>
              </wp:wrapPolygon>
            </wp:wrapTight>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26"/>
        <w:numPr>
          <w:ilvl w:val="0"/>
          <w:numId w:val="1"/>
        </w:numPr>
        <w:spacing w:line="600" w:lineRule="exact"/>
        <w:ind w:firstLineChars="0"/>
        <w:outlineLvl w:val="1"/>
        <w:rPr>
          <w:rStyle w:val="28"/>
          <w:rFonts w:asciiTheme="minorEastAsia" w:hAnsiTheme="minorEastAsia" w:eastAsiaTheme="minorEastAsia"/>
          <w:b w:val="0"/>
        </w:rPr>
      </w:pPr>
      <w:bookmarkStart w:id="34" w:name="_Toc15396604"/>
      <w:bookmarkStart w:id="35" w:name="_Toc9170"/>
      <w:bookmarkStart w:id="36" w:name="_Toc15377206"/>
      <w:r>
        <w:rPr>
          <w:rFonts w:hint="eastAsia" w:asciiTheme="minorEastAsia" w:hAnsiTheme="minorEastAsia" w:eastAsiaTheme="minorEastAsia"/>
          <w:color w:val="000000"/>
          <w:sz w:val="32"/>
          <w:szCs w:val="32"/>
        </w:rPr>
        <w:t>收</w:t>
      </w:r>
      <w:r>
        <w:rPr>
          <w:rStyle w:val="28"/>
          <w:rFonts w:hint="eastAsia" w:asciiTheme="minorEastAsia" w:hAnsiTheme="minorEastAsia" w:eastAsiaTheme="minorEastAsia"/>
          <w:b w:val="0"/>
        </w:rPr>
        <w:t>入决算情况说明</w:t>
      </w:r>
      <w:bookmarkEnd w:id="34"/>
      <w:bookmarkEnd w:id="35"/>
      <w:bookmarkEnd w:id="36"/>
    </w:p>
    <w:p>
      <w:pPr>
        <w:spacing w:line="600" w:lineRule="exact"/>
        <w:ind w:firstLine="640" w:firstLineChars="200"/>
        <w:outlineLvl w:val="1"/>
        <w:rPr>
          <w:rFonts w:hint="eastAsia" w:asciiTheme="minorEastAsia" w:hAnsiTheme="minorEastAsia" w:eastAsiaTheme="minorEastAsia"/>
          <w:color w:val="000000"/>
          <w:sz w:val="32"/>
          <w:szCs w:val="32"/>
          <w:lang w:eastAsia="zh-CN"/>
        </w:rPr>
      </w:pPr>
      <w:bookmarkStart w:id="37" w:name="_Toc20659"/>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年本年收入合计</w:t>
      </w:r>
      <w:r>
        <w:rPr>
          <w:rFonts w:hint="eastAsia" w:asciiTheme="minorEastAsia" w:hAnsiTheme="minorEastAsia" w:eastAsiaTheme="minorEastAsia"/>
          <w:sz w:val="32"/>
          <w:szCs w:val="32"/>
          <w:lang w:val="en-US" w:eastAsia="zh-CN"/>
        </w:rPr>
        <w:t>1360.16</w:t>
      </w:r>
      <w:r>
        <w:rPr>
          <w:rFonts w:hint="eastAsia" w:asciiTheme="minorEastAsia" w:hAnsiTheme="minorEastAsia" w:eastAsiaTheme="minorEastAsia"/>
          <w:color w:val="000000"/>
          <w:sz w:val="32"/>
          <w:szCs w:val="32"/>
        </w:rPr>
        <w:t>万元，其中：一般公共预算财政拨款收入</w:t>
      </w:r>
      <w:r>
        <w:rPr>
          <w:rFonts w:hint="eastAsia" w:asciiTheme="minorEastAsia" w:hAnsiTheme="minorEastAsia" w:eastAsiaTheme="minorEastAsia"/>
          <w:color w:val="000000"/>
          <w:sz w:val="32"/>
          <w:szCs w:val="32"/>
          <w:lang w:val="en-US" w:eastAsia="zh-CN"/>
        </w:rPr>
        <w:t>1360.16</w:t>
      </w:r>
      <w:r>
        <w:rPr>
          <w:rFonts w:hint="eastAsia" w:asciiTheme="minorEastAsia" w:hAnsiTheme="minorEastAsia" w:eastAsiaTheme="minorEastAsia"/>
          <w:color w:val="000000"/>
          <w:sz w:val="32"/>
          <w:szCs w:val="32"/>
        </w:rPr>
        <w:t>万元，占</w:t>
      </w:r>
      <w:r>
        <w:rPr>
          <w:rFonts w:hint="eastAsia" w:asciiTheme="minorEastAsia" w:hAnsiTheme="minorEastAsia" w:eastAsiaTheme="minorEastAsia"/>
          <w:color w:val="000000"/>
          <w:sz w:val="32"/>
          <w:szCs w:val="32"/>
          <w:lang w:val="en-US" w:eastAsia="zh-CN"/>
        </w:rPr>
        <w:t>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；政府性基金预算财政拨款收入0万元，占0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；国有资本经营预算财政拨款收入0万元，占0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；事业收入0万元，占0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；经营收入0万元，占0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；附属单位上缴收入0万元，占0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；其他收入2.72万元，占0.04</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lang w:eastAsia="zh-CN"/>
        </w:rPr>
        <w:t>，</w:t>
      </w:r>
      <w:bookmarkEnd w:id="37"/>
    </w:p>
    <w:p>
      <w:pPr>
        <w:spacing w:line="600" w:lineRule="exact"/>
        <w:ind w:firstLine="640" w:firstLineChars="200"/>
        <w:outlineLvl w:val="1"/>
        <w:rPr>
          <w:rFonts w:hint="eastAsia" w:asciiTheme="minorEastAsia" w:hAnsiTheme="minorEastAsia" w:eastAsiaTheme="minorEastAsia"/>
          <w:color w:val="000000"/>
          <w:sz w:val="32"/>
          <w:szCs w:val="32"/>
          <w:lang w:val="en-US" w:eastAsia="zh-CN"/>
        </w:rPr>
      </w:pPr>
      <w:bookmarkStart w:id="38" w:name="_Toc7536"/>
      <w:r>
        <w:rPr>
          <w:rFonts w:hint="eastAsia" w:asciiTheme="minorEastAsia" w:hAnsiTheme="minorEastAsia" w:eastAsiaTheme="minorEastAsia"/>
          <w:color w:val="000000"/>
          <w:sz w:val="32"/>
          <w:szCs w:val="32"/>
          <w:lang w:eastAsia="zh-CN"/>
        </w:rPr>
        <w:t>上年结转结余</w:t>
      </w:r>
      <w:r>
        <w:rPr>
          <w:rFonts w:hint="eastAsia" w:asciiTheme="minorEastAsia" w:hAnsiTheme="minorEastAsia" w:eastAsiaTheme="minorEastAsia"/>
          <w:color w:val="000000"/>
          <w:sz w:val="32"/>
          <w:szCs w:val="32"/>
          <w:lang w:val="en-US" w:eastAsia="zh-CN"/>
        </w:rPr>
        <w:t>2492.27万元</w:t>
      </w:r>
      <w:r>
        <w:rPr>
          <w:rFonts w:hint="eastAsia" w:asciiTheme="minorEastAsia" w:hAnsiTheme="minorEastAsia" w:eastAsiaTheme="minorEastAsia"/>
          <w:color w:val="000000"/>
          <w:sz w:val="32"/>
          <w:szCs w:val="32"/>
          <w:lang w:eastAsia="zh-CN"/>
        </w:rPr>
        <w:t>。</w:t>
      </w:r>
      <w:bookmarkEnd w:id="38"/>
    </w:p>
    <w:p>
      <w:pPr>
        <w:spacing w:line="600" w:lineRule="exact"/>
        <w:ind w:firstLine="640" w:firstLineChars="200"/>
        <w:outlineLvl w:val="1"/>
        <w:rPr>
          <w:rFonts w:asciiTheme="minorEastAsia" w:hAnsiTheme="minorEastAsia" w:eastAsiaTheme="minorEastAsia"/>
          <w:color w:val="000000" w:themeColor="text1"/>
          <w:sz w:val="32"/>
          <w:szCs w:val="32"/>
        </w:rPr>
      </w:pPr>
      <w:bookmarkStart w:id="39" w:name="_Toc4937"/>
      <w:r>
        <w:rPr>
          <w:rFonts w:hint="eastAsia" w:asciiTheme="minorEastAsia" w:hAnsiTheme="minorEastAsia" w:eastAsiaTheme="minorEastAsia"/>
          <w:color w:val="000000"/>
          <w:sz w:val="32"/>
          <w:szCs w:val="32"/>
          <w:lang w:eastAsia="zh-CN"/>
        </w:rPr>
        <w:t>（图</w:t>
      </w:r>
      <w:r>
        <w:rPr>
          <w:rFonts w:hint="eastAsia" w:asciiTheme="minorEastAsia" w:hAnsiTheme="minorEastAsia" w:eastAsiaTheme="minorEastAsia"/>
          <w:color w:val="000000"/>
          <w:sz w:val="32"/>
          <w:szCs w:val="32"/>
          <w:lang w:val="en-US" w:eastAsia="zh-CN"/>
        </w:rPr>
        <w:t>2：收入决算结构图</w:t>
      </w:r>
      <w:r>
        <w:rPr>
          <w:rFonts w:hint="eastAsia" w:asciiTheme="minorEastAsia" w:hAnsiTheme="minorEastAsia" w:eastAsiaTheme="minorEastAsia"/>
          <w:color w:val="000000"/>
          <w:sz w:val="32"/>
          <w:szCs w:val="32"/>
          <w:lang w:eastAsia="zh-CN"/>
        </w:rPr>
        <w:t>）（饼状图）</w:t>
      </w:r>
      <w:bookmarkEnd w:id="39"/>
    </w:p>
    <w:p>
      <w:pPr>
        <w:spacing w:line="600" w:lineRule="exact"/>
        <w:ind w:firstLine="640" w:firstLineChars="200"/>
        <w:rPr>
          <w:rFonts w:hint="eastAsia" w:asciiTheme="minorEastAsia" w:hAnsiTheme="minorEastAsia" w:eastAsiaTheme="minorEastAsia"/>
          <w:color w:val="000000" w:themeColor="text1"/>
          <w:sz w:val="32"/>
          <w:szCs w:val="32"/>
          <w:lang w:eastAsia="zh-CN"/>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60288" behindDoc="1" locked="0" layoutInCell="1" allowOverlap="1">
            <wp:simplePos x="0" y="0"/>
            <wp:positionH relativeFrom="column">
              <wp:posOffset>581660</wp:posOffset>
            </wp:positionH>
            <wp:positionV relativeFrom="paragraph">
              <wp:posOffset>285750</wp:posOffset>
            </wp:positionV>
            <wp:extent cx="4442460" cy="1826895"/>
            <wp:effectExtent l="4445" t="4445" r="18415" b="58420"/>
            <wp:wrapTight wrapText="bothSides">
              <wp:wrapPolygon>
                <wp:start x="-22" y="-53"/>
                <wp:lineTo x="-22" y="21570"/>
                <wp:lineTo x="21541" y="21570"/>
                <wp:lineTo x="21541" y="-53"/>
                <wp:lineTo x="-22" y="-53"/>
              </wp:wrapPolygon>
            </wp:wrapTight>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ind w:firstLine="640" w:firstLineChars="200"/>
        <w:rPr>
          <w:rFonts w:hint="eastAsia" w:asciiTheme="minorEastAsia" w:hAnsiTheme="minorEastAsia" w:eastAsiaTheme="minorEastAsia"/>
          <w:color w:val="000000" w:themeColor="text1"/>
          <w:sz w:val="32"/>
          <w:szCs w:val="32"/>
          <w:lang w:eastAsia="zh-CN"/>
        </w:rPr>
      </w:pPr>
    </w:p>
    <w:p>
      <w:pPr>
        <w:spacing w:line="600" w:lineRule="exact"/>
        <w:rPr>
          <w:rFonts w:hint="eastAsia" w:asciiTheme="minorEastAsia" w:hAnsiTheme="minorEastAsia" w:eastAsiaTheme="minorEastAsia"/>
          <w:color w:val="000000" w:themeColor="text1"/>
          <w:sz w:val="32"/>
          <w:szCs w:val="32"/>
          <w:lang w:eastAsia="zh-CN"/>
        </w:rPr>
      </w:pPr>
    </w:p>
    <w:p>
      <w:pPr>
        <w:pStyle w:val="26"/>
        <w:numPr>
          <w:ilvl w:val="0"/>
          <w:numId w:val="1"/>
        </w:numPr>
        <w:spacing w:line="600" w:lineRule="exact"/>
        <w:ind w:firstLineChars="0"/>
        <w:outlineLvl w:val="1"/>
        <w:rPr>
          <w:rStyle w:val="28"/>
          <w:rFonts w:asciiTheme="minorEastAsia" w:hAnsiTheme="minorEastAsia" w:eastAsiaTheme="minorEastAsia"/>
          <w:b w:val="0"/>
        </w:rPr>
      </w:pPr>
      <w:bookmarkStart w:id="40" w:name="_Toc15396605"/>
      <w:bookmarkStart w:id="41" w:name="_Toc15377207"/>
      <w:bookmarkStart w:id="42" w:name="_Toc23292"/>
      <w:r>
        <w:rPr>
          <w:rFonts w:hint="eastAsia" w:asciiTheme="minorEastAsia" w:hAnsiTheme="minorEastAsia" w:eastAsiaTheme="minorEastAsia"/>
          <w:color w:val="000000"/>
          <w:sz w:val="32"/>
          <w:szCs w:val="32"/>
        </w:rPr>
        <w:t>支</w:t>
      </w:r>
      <w:r>
        <w:rPr>
          <w:rStyle w:val="28"/>
          <w:rFonts w:hint="eastAsia" w:asciiTheme="minorEastAsia" w:hAnsiTheme="minorEastAsia" w:eastAsiaTheme="minorEastAsia"/>
          <w:b w:val="0"/>
        </w:rPr>
        <w:t>出决算情况说明</w:t>
      </w:r>
      <w:bookmarkEnd w:id="40"/>
      <w:bookmarkEnd w:id="41"/>
      <w:bookmarkEnd w:id="42"/>
    </w:p>
    <w:p>
      <w:pPr>
        <w:spacing w:line="600" w:lineRule="exact"/>
        <w:ind w:firstLine="640"/>
        <w:rPr>
          <w:rFonts w:hint="eastAsia"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年本年支出合计</w:t>
      </w:r>
      <w:r>
        <w:rPr>
          <w:rFonts w:hint="eastAsia" w:asciiTheme="minorEastAsia" w:hAnsiTheme="minorEastAsia" w:eastAsiaTheme="minorEastAsia"/>
          <w:color w:val="000000"/>
          <w:sz w:val="32"/>
          <w:szCs w:val="32"/>
          <w:lang w:val="en-US" w:eastAsia="zh-CN"/>
        </w:rPr>
        <w:t>3596.56</w:t>
      </w:r>
      <w:r>
        <w:rPr>
          <w:rFonts w:hint="eastAsia" w:asciiTheme="minorEastAsia" w:hAnsiTheme="minorEastAsia" w:eastAsiaTheme="minorEastAsia"/>
          <w:color w:val="000000"/>
          <w:sz w:val="32"/>
          <w:szCs w:val="32"/>
        </w:rPr>
        <w:t>万元，其中：基本支出</w:t>
      </w:r>
      <w:r>
        <w:rPr>
          <w:rFonts w:hint="eastAsia" w:asciiTheme="minorEastAsia" w:hAnsiTheme="minorEastAsia" w:eastAsiaTheme="minorEastAsia"/>
          <w:color w:val="000000"/>
          <w:sz w:val="32"/>
          <w:szCs w:val="32"/>
          <w:lang w:val="en-US" w:eastAsia="zh-CN"/>
        </w:rPr>
        <w:t>311.01</w:t>
      </w:r>
      <w:r>
        <w:rPr>
          <w:rFonts w:hint="eastAsia" w:asciiTheme="minorEastAsia" w:hAnsiTheme="minorEastAsia" w:eastAsiaTheme="minorEastAsia"/>
          <w:color w:val="000000"/>
          <w:sz w:val="32"/>
          <w:szCs w:val="32"/>
        </w:rPr>
        <w:t>万元，占</w:t>
      </w:r>
      <w:r>
        <w:rPr>
          <w:rFonts w:hint="eastAsia" w:asciiTheme="minorEastAsia" w:hAnsiTheme="minorEastAsia" w:eastAsiaTheme="minorEastAsia"/>
          <w:color w:val="000000"/>
          <w:sz w:val="32"/>
          <w:szCs w:val="32"/>
          <w:lang w:val="en-US" w:eastAsia="zh-CN"/>
        </w:rPr>
        <w:t>8.65</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；项目支出</w:t>
      </w:r>
      <w:r>
        <w:rPr>
          <w:rFonts w:hint="eastAsia" w:asciiTheme="minorEastAsia" w:hAnsiTheme="minorEastAsia" w:eastAsiaTheme="minorEastAsia"/>
          <w:color w:val="000000"/>
          <w:sz w:val="32"/>
          <w:szCs w:val="32"/>
          <w:lang w:val="en-US" w:eastAsia="zh-CN"/>
        </w:rPr>
        <w:t>3285.55</w:t>
      </w:r>
      <w:r>
        <w:rPr>
          <w:rFonts w:hint="eastAsia" w:asciiTheme="minorEastAsia" w:hAnsiTheme="minorEastAsia" w:eastAsiaTheme="minorEastAsia"/>
          <w:color w:val="000000"/>
          <w:sz w:val="32"/>
          <w:szCs w:val="32"/>
        </w:rPr>
        <w:t>万元，占</w:t>
      </w:r>
      <w:r>
        <w:rPr>
          <w:rFonts w:hint="eastAsia" w:asciiTheme="minorEastAsia" w:hAnsiTheme="minorEastAsia" w:eastAsiaTheme="minorEastAsia"/>
          <w:color w:val="000000"/>
          <w:sz w:val="32"/>
          <w:szCs w:val="32"/>
          <w:lang w:val="en-US" w:eastAsia="zh-CN"/>
        </w:rPr>
        <w:t>91.35</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；上缴上级支出0万元，占0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；经营支出0万元，占0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；对附属单位补助支出0万元，占0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w:t>
      </w:r>
    </w:p>
    <w:p>
      <w:pPr>
        <w:pStyle w:val="2"/>
        <w:rPr>
          <w:rFonts w:hint="default" w:eastAsiaTheme="minorEastAsia"/>
          <w:lang w:val="en-US" w:eastAsia="zh-CN"/>
        </w:rPr>
      </w:pPr>
      <w:r>
        <w:rPr>
          <w:rFonts w:hint="eastAsia" w:asciiTheme="minorEastAsia" w:hAnsiTheme="minorEastAsia" w:eastAsiaTheme="minorEastAsia"/>
          <w:color w:val="000000"/>
          <w:sz w:val="32"/>
          <w:szCs w:val="32"/>
          <w:lang w:val="en-US" w:eastAsia="zh-CN"/>
        </w:rPr>
        <w:t>结转下年255.87万元</w:t>
      </w:r>
    </w:p>
    <w:p>
      <w:pPr>
        <w:spacing w:line="600" w:lineRule="exact"/>
        <w:rPr>
          <w:rFonts w:hint="eastAsia" w:asciiTheme="minorEastAsia" w:hAnsiTheme="minorEastAsia" w:eastAsiaTheme="minorEastAsia"/>
          <w:color w:val="000000"/>
          <w:sz w:val="32"/>
          <w:szCs w:val="32"/>
          <w:lang w:val="en-US" w:eastAsia="zh-CN"/>
        </w:rPr>
      </w:pPr>
      <w:r>
        <w:rPr>
          <w:rFonts w:hint="eastAsia" w:asciiTheme="minorEastAsia" w:hAnsiTheme="minorEastAsia" w:eastAsiaTheme="minorEastAsia"/>
          <w:color w:val="000000"/>
          <w:sz w:val="32"/>
          <w:szCs w:val="32"/>
          <w:lang w:val="en-US" w:eastAsia="zh-CN"/>
        </w:rPr>
        <w:t xml:space="preserve">    （图3：支出决算结构图）（饼状图）</w:t>
      </w:r>
    </w:p>
    <w:p>
      <w:pPr>
        <w:spacing w:line="600" w:lineRule="exact"/>
        <w:ind w:firstLine="640" w:firstLineChars="200"/>
        <w:rPr>
          <w:rFonts w:asciiTheme="minorEastAsia" w:hAnsiTheme="minorEastAsia" w:eastAsiaTheme="minorEastAsia"/>
          <w:color w:val="FF0000"/>
          <w:sz w:val="32"/>
          <w:szCs w:val="32"/>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64384" behindDoc="1" locked="0" layoutInCell="1" allowOverlap="1">
            <wp:simplePos x="0" y="0"/>
            <wp:positionH relativeFrom="column">
              <wp:posOffset>859155</wp:posOffset>
            </wp:positionH>
            <wp:positionV relativeFrom="paragraph">
              <wp:posOffset>257810</wp:posOffset>
            </wp:positionV>
            <wp:extent cx="3968750" cy="1899285"/>
            <wp:effectExtent l="4445" t="4445" r="84455" b="58420"/>
            <wp:wrapTight wrapText="bothSides">
              <wp:wrapPolygon>
                <wp:start x="-24" y="-51"/>
                <wp:lineTo x="-24" y="21398"/>
                <wp:lineTo x="21541" y="21398"/>
                <wp:lineTo x="21541" y="-51"/>
                <wp:lineTo x="-24" y="-51"/>
              </wp:wrapPolygon>
            </wp:wrapTight>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spacing w:line="600" w:lineRule="exact"/>
        <w:ind w:firstLine="640" w:firstLineChars="200"/>
        <w:outlineLvl w:val="1"/>
        <w:rPr>
          <w:rFonts w:hint="eastAsia" w:asciiTheme="minorEastAsia" w:hAnsiTheme="minorEastAsia" w:eastAsiaTheme="minorEastAsia"/>
          <w:color w:val="000000"/>
          <w:sz w:val="32"/>
          <w:szCs w:val="32"/>
        </w:rPr>
      </w:pPr>
      <w:bookmarkStart w:id="43" w:name="_Toc15396606"/>
      <w:bookmarkStart w:id="44" w:name="_Toc15377208"/>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Style w:val="28"/>
          <w:rFonts w:asciiTheme="minorEastAsia" w:hAnsiTheme="minorEastAsia" w:eastAsiaTheme="minorEastAsia"/>
          <w:b w:val="0"/>
        </w:rPr>
      </w:pPr>
      <w:bookmarkStart w:id="45" w:name="_Toc4057"/>
      <w:r>
        <w:rPr>
          <w:rFonts w:hint="eastAsia" w:asciiTheme="minorEastAsia" w:hAnsiTheme="minorEastAsia" w:eastAsiaTheme="minorEastAsia"/>
          <w:color w:val="000000"/>
          <w:sz w:val="32"/>
          <w:szCs w:val="32"/>
        </w:rPr>
        <w:t>四、财</w:t>
      </w:r>
      <w:r>
        <w:rPr>
          <w:rStyle w:val="28"/>
          <w:rFonts w:hint="eastAsia" w:asciiTheme="minorEastAsia" w:hAnsiTheme="minorEastAsia" w:eastAsiaTheme="minorEastAsia"/>
          <w:b w:val="0"/>
        </w:rPr>
        <w:t>政拨款收入支出决算总体情况说明</w:t>
      </w:r>
      <w:bookmarkEnd w:id="43"/>
      <w:bookmarkEnd w:id="44"/>
      <w:bookmarkEnd w:id="45"/>
    </w:p>
    <w:p>
      <w:pPr>
        <w:spacing w:line="600" w:lineRule="exact"/>
        <w:ind w:firstLine="640" w:firstLineChars="200"/>
        <w:rPr>
          <w:rFonts w:hint="eastAsia" w:cs="仿宋_GB2312" w:asciiTheme="minorEastAsia" w:hAnsiTheme="minorEastAsia" w:eastAsiaTheme="minorEastAsia"/>
          <w:sz w:val="30"/>
          <w:szCs w:val="30"/>
          <w:lang w:val="en-US" w:eastAsia="zh-CN"/>
        </w:rPr>
      </w:pPr>
      <w:r>
        <w:rPr>
          <w:rFonts w:hint="eastAsia" w:asciiTheme="minorEastAsia" w:hAnsiTheme="minorEastAsia" w:eastAsiaTheme="minorEastAsia"/>
          <w:sz w:val="32"/>
          <w:szCs w:val="32"/>
        </w:rPr>
        <w:t>201</w:t>
      </w:r>
      <w:r>
        <w:rPr>
          <w:rFonts w:hint="eastAsia" w:asciiTheme="minorEastAsia" w:hAnsiTheme="minorEastAsia" w:eastAsiaTheme="minorEastAsia"/>
          <w:sz w:val="32"/>
          <w:szCs w:val="32"/>
          <w:lang w:val="en-US" w:eastAsia="zh-CN"/>
        </w:rPr>
        <w:t>9</w:t>
      </w:r>
      <w:r>
        <w:rPr>
          <w:rFonts w:hint="eastAsia" w:asciiTheme="minorEastAsia" w:hAnsiTheme="minorEastAsia" w:eastAsiaTheme="minorEastAsia"/>
          <w:sz w:val="32"/>
          <w:szCs w:val="32"/>
        </w:rPr>
        <w:t>年度财政拨款收入</w:t>
      </w:r>
      <w:r>
        <w:rPr>
          <w:rFonts w:hint="eastAsia" w:asciiTheme="minorEastAsia" w:hAnsiTheme="minorEastAsia" w:eastAsiaTheme="minorEastAsia"/>
          <w:sz w:val="32"/>
          <w:szCs w:val="32"/>
          <w:lang w:val="en-US" w:eastAsia="zh-CN"/>
        </w:rPr>
        <w:t>1360.16</w:t>
      </w:r>
      <w:r>
        <w:rPr>
          <w:rFonts w:hint="eastAsia" w:asciiTheme="minorEastAsia" w:hAnsiTheme="minorEastAsia" w:eastAsiaTheme="minorEastAsia"/>
          <w:sz w:val="32"/>
          <w:szCs w:val="32"/>
        </w:rPr>
        <w:t>万元，上年度收入5,646.72万元，本年收入比上年收入</w:t>
      </w:r>
      <w:r>
        <w:rPr>
          <w:rFonts w:hint="eastAsia" w:asciiTheme="minorEastAsia" w:hAnsiTheme="minorEastAsia" w:eastAsiaTheme="minorEastAsia"/>
          <w:sz w:val="32"/>
          <w:szCs w:val="32"/>
          <w:lang w:val="en-US" w:eastAsia="zh-CN"/>
        </w:rPr>
        <w:t>减少4286.56</w:t>
      </w:r>
      <w:r>
        <w:rPr>
          <w:rFonts w:hint="eastAsia" w:asciiTheme="minorEastAsia" w:hAnsiTheme="minorEastAsia" w:eastAsiaTheme="minorEastAsia"/>
          <w:sz w:val="32"/>
          <w:szCs w:val="32"/>
        </w:rPr>
        <w:t>万元，</w:t>
      </w:r>
      <w:r>
        <w:rPr>
          <w:rFonts w:hint="eastAsia" w:asciiTheme="minorEastAsia" w:hAnsiTheme="minorEastAsia" w:eastAsiaTheme="minorEastAsia"/>
          <w:sz w:val="32"/>
          <w:szCs w:val="32"/>
          <w:lang w:val="en-US" w:eastAsia="zh-CN"/>
        </w:rPr>
        <w:t>下降75.91</w:t>
      </w:r>
      <w:r>
        <w:rPr>
          <w:rFonts w:hint="eastAsia" w:asciiTheme="minorEastAsia" w:hAnsiTheme="minorEastAsia" w:eastAsiaTheme="minorEastAsia"/>
          <w:sz w:val="32"/>
          <w:szCs w:val="32"/>
        </w:rPr>
        <w:t>%，</w:t>
      </w:r>
      <w:r>
        <w:rPr>
          <w:rFonts w:hint="eastAsia" w:asciiTheme="minorEastAsia" w:hAnsiTheme="minorEastAsia" w:eastAsiaTheme="minorEastAsia"/>
          <w:sz w:val="32"/>
          <w:szCs w:val="32"/>
          <w:lang w:val="en-US" w:eastAsia="zh-CN"/>
        </w:rPr>
        <w:t>减少原因是2019年部分项目已经完工，仅拨付尾款导致本年收入大幅下降。</w:t>
      </w:r>
    </w:p>
    <w:p>
      <w:pPr>
        <w:spacing w:line="600" w:lineRule="exact"/>
        <w:ind w:firstLine="600" w:firstLineChars="200"/>
        <w:rPr>
          <w:rFonts w:hint="eastAsia" w:asciiTheme="minorEastAsia" w:hAnsiTheme="minorEastAsia" w:eastAsiaTheme="minorEastAsia"/>
          <w:sz w:val="32"/>
          <w:szCs w:val="32"/>
        </w:rPr>
      </w:pPr>
      <w:r>
        <w:rPr>
          <w:rFonts w:hint="eastAsia" w:cs="仿宋_GB2312" w:asciiTheme="minorEastAsia" w:hAnsiTheme="minorEastAsia" w:eastAsiaTheme="minorEastAsia"/>
          <w:sz w:val="30"/>
          <w:szCs w:val="30"/>
          <w:lang w:val="en-US" w:eastAsia="zh-CN"/>
        </w:rPr>
        <w:t>2019</w:t>
      </w:r>
      <w:r>
        <w:rPr>
          <w:rFonts w:hint="eastAsia" w:asciiTheme="minorEastAsia" w:hAnsiTheme="minorEastAsia" w:eastAsiaTheme="minorEastAsia"/>
          <w:sz w:val="32"/>
          <w:szCs w:val="32"/>
        </w:rPr>
        <w:t>年度支出</w:t>
      </w:r>
      <w:r>
        <w:rPr>
          <w:rFonts w:hint="eastAsia" w:asciiTheme="minorEastAsia" w:hAnsiTheme="minorEastAsia" w:eastAsiaTheme="minorEastAsia"/>
          <w:sz w:val="32"/>
          <w:szCs w:val="32"/>
          <w:lang w:val="en-US" w:eastAsia="zh-CN"/>
        </w:rPr>
        <w:t>3596.16</w:t>
      </w:r>
      <w:r>
        <w:rPr>
          <w:rFonts w:hint="eastAsia" w:asciiTheme="minorEastAsia" w:hAnsiTheme="minorEastAsia" w:eastAsiaTheme="minorEastAsia"/>
          <w:sz w:val="32"/>
          <w:szCs w:val="32"/>
        </w:rPr>
        <w:t>万元，上年度支出5,040.33万元，本年支出比上年支出减少</w:t>
      </w:r>
      <w:r>
        <w:rPr>
          <w:rFonts w:hint="eastAsia" w:asciiTheme="minorEastAsia" w:hAnsiTheme="minorEastAsia" w:eastAsiaTheme="minorEastAsia"/>
          <w:sz w:val="32"/>
          <w:szCs w:val="32"/>
          <w:lang w:val="en-US" w:eastAsia="zh-CN"/>
        </w:rPr>
        <w:t>1444.17</w:t>
      </w:r>
      <w:r>
        <w:rPr>
          <w:rFonts w:hint="eastAsia" w:asciiTheme="minorEastAsia" w:hAnsiTheme="minorEastAsia" w:eastAsiaTheme="minorEastAsia"/>
          <w:sz w:val="32"/>
          <w:szCs w:val="32"/>
        </w:rPr>
        <w:t>万元，</w:t>
      </w:r>
      <w:r>
        <w:rPr>
          <w:rFonts w:hint="eastAsia" w:asciiTheme="minorEastAsia" w:hAnsiTheme="minorEastAsia" w:eastAsiaTheme="minorEastAsia"/>
          <w:sz w:val="32"/>
          <w:szCs w:val="32"/>
          <w:lang w:val="en-US" w:eastAsia="zh-CN"/>
        </w:rPr>
        <w:t>下降28.65</w:t>
      </w:r>
      <w:r>
        <w:rPr>
          <w:rFonts w:hint="eastAsia" w:asciiTheme="minorEastAsia" w:hAnsiTheme="minorEastAsia" w:eastAsiaTheme="minorEastAsia"/>
          <w:sz w:val="32"/>
          <w:szCs w:val="32"/>
        </w:rPr>
        <w:t>%，减少原因是本年项目投资比上年度减少。</w:t>
      </w:r>
    </w:p>
    <w:p>
      <w:pPr>
        <w:spacing w:line="600" w:lineRule="exact"/>
        <w:ind w:firstLine="480" w:firstLineChars="15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lang w:eastAsia="zh-CN"/>
        </w:rPr>
        <w:drawing>
          <wp:anchor distT="0" distB="0" distL="114300" distR="114300" simplePos="0" relativeHeight="251661312" behindDoc="1" locked="0" layoutInCell="1" allowOverlap="1">
            <wp:simplePos x="0" y="0"/>
            <wp:positionH relativeFrom="column">
              <wp:posOffset>658495</wp:posOffset>
            </wp:positionH>
            <wp:positionV relativeFrom="paragraph">
              <wp:posOffset>628015</wp:posOffset>
            </wp:positionV>
            <wp:extent cx="4214495" cy="2524125"/>
            <wp:effectExtent l="4445" t="5080" r="48260" b="80645"/>
            <wp:wrapTight wrapText="bothSides">
              <wp:wrapPolygon>
                <wp:start x="-23" y="-43"/>
                <wp:lineTo x="-23" y="21475"/>
                <wp:lineTo x="21554" y="21475"/>
                <wp:lineTo x="21554" y="-43"/>
                <wp:lineTo x="-23" y="-43"/>
              </wp:wrapPolygon>
            </wp:wrapTight>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heme="minorEastAsia" w:hAnsiTheme="minorEastAsia" w:eastAsiaTheme="minorEastAsia"/>
          <w:color w:val="000000" w:themeColor="text1"/>
          <w:sz w:val="32"/>
          <w:szCs w:val="32"/>
        </w:rPr>
        <w:t>（图4：财政拨款收、支决算总计变动情况）（柱状图）</w:t>
      </w:r>
    </w:p>
    <w:p>
      <w:pPr>
        <w:spacing w:line="600" w:lineRule="exact"/>
        <w:ind w:firstLine="480" w:firstLineChars="150"/>
        <w:rPr>
          <w:rFonts w:asciiTheme="minorEastAsia" w:hAnsiTheme="minorEastAsia" w:eastAsiaTheme="minorEastAsia"/>
          <w:color w:val="000000" w:themeColor="text1"/>
          <w:sz w:val="32"/>
          <w:szCs w:val="32"/>
        </w:rPr>
      </w:pPr>
    </w:p>
    <w:p>
      <w:pPr>
        <w:spacing w:line="600" w:lineRule="exact"/>
        <w:ind w:firstLine="640" w:firstLineChars="200"/>
        <w:outlineLvl w:val="1"/>
        <w:rPr>
          <w:rFonts w:hint="eastAsia" w:asciiTheme="minorEastAsia" w:hAnsiTheme="minorEastAsia" w:eastAsiaTheme="minorEastAsia"/>
          <w:color w:val="000000"/>
          <w:sz w:val="32"/>
          <w:szCs w:val="32"/>
        </w:rPr>
      </w:pPr>
      <w:bookmarkStart w:id="46" w:name="_Toc15396607"/>
      <w:bookmarkStart w:id="47" w:name="_Toc15377209"/>
    </w:p>
    <w:p>
      <w:pPr>
        <w:spacing w:line="600" w:lineRule="exact"/>
        <w:ind w:firstLine="640" w:firstLineChars="200"/>
        <w:outlineLvl w:val="1"/>
        <w:rPr>
          <w:rFonts w:hint="eastAsia" w:asciiTheme="minorEastAsia" w:hAnsiTheme="minorEastAsia" w:eastAsiaTheme="minorEastAsia"/>
          <w:color w:val="000000"/>
          <w:sz w:val="32"/>
          <w:szCs w:val="32"/>
        </w:rPr>
      </w:pPr>
    </w:p>
    <w:p>
      <w:pPr>
        <w:spacing w:line="600" w:lineRule="exact"/>
        <w:ind w:firstLine="640" w:firstLineChars="200"/>
        <w:outlineLvl w:val="1"/>
        <w:rPr>
          <w:rStyle w:val="28"/>
          <w:rFonts w:asciiTheme="minorEastAsia" w:hAnsiTheme="minorEastAsia" w:eastAsiaTheme="minorEastAsia"/>
          <w:b w:val="0"/>
        </w:rPr>
      </w:pPr>
      <w:bookmarkStart w:id="48" w:name="_Toc30292"/>
      <w:r>
        <w:rPr>
          <w:rFonts w:hint="eastAsia" w:asciiTheme="minorEastAsia" w:hAnsiTheme="minorEastAsia" w:eastAsiaTheme="minorEastAsia"/>
          <w:color w:val="000000"/>
          <w:sz w:val="32"/>
          <w:szCs w:val="32"/>
        </w:rPr>
        <w:t>五、</w:t>
      </w:r>
      <w:r>
        <w:rPr>
          <w:rFonts w:hint="eastAsia" w:asciiTheme="minorEastAsia" w:hAnsiTheme="minorEastAsia" w:eastAsiaTheme="minorEastAsia"/>
          <w:b/>
          <w:color w:val="000000"/>
          <w:sz w:val="32"/>
          <w:szCs w:val="32"/>
        </w:rPr>
        <w:t>一</w:t>
      </w:r>
      <w:r>
        <w:rPr>
          <w:rStyle w:val="28"/>
          <w:rFonts w:hint="eastAsia" w:asciiTheme="minorEastAsia" w:hAnsiTheme="minorEastAsia" w:eastAsiaTheme="minorEastAsia"/>
          <w:b w:val="0"/>
        </w:rPr>
        <w:t>般公共预算财政拨款支出决算情况说明</w:t>
      </w:r>
      <w:bookmarkEnd w:id="46"/>
      <w:bookmarkEnd w:id="47"/>
      <w:bookmarkEnd w:id="48"/>
    </w:p>
    <w:p>
      <w:pPr>
        <w:spacing w:line="600" w:lineRule="exact"/>
        <w:ind w:firstLine="643" w:firstLineChars="200"/>
        <w:outlineLvl w:val="2"/>
        <w:rPr>
          <w:rFonts w:asciiTheme="minorEastAsia" w:hAnsiTheme="minorEastAsia" w:eastAsiaTheme="minorEastAsia"/>
          <w:b/>
          <w:color w:val="000000"/>
          <w:sz w:val="32"/>
          <w:szCs w:val="32"/>
        </w:rPr>
      </w:pPr>
      <w:bookmarkStart w:id="49" w:name="_Toc15377210"/>
      <w:r>
        <w:rPr>
          <w:rFonts w:hint="eastAsia" w:asciiTheme="minorEastAsia" w:hAnsiTheme="minorEastAsia" w:eastAsiaTheme="minorEastAsia"/>
          <w:b/>
          <w:color w:val="000000"/>
          <w:sz w:val="32"/>
          <w:szCs w:val="32"/>
        </w:rPr>
        <w:t>（一）一般公共预算财政拨款支出决算总体情况</w:t>
      </w:r>
      <w:bookmarkEnd w:id="49"/>
    </w:p>
    <w:p>
      <w:pPr>
        <w:spacing w:line="600" w:lineRule="exact"/>
        <w:ind w:firstLine="640" w:firstLineChars="20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年一般公共预算财政拨款支出</w:t>
      </w:r>
      <w:r>
        <w:rPr>
          <w:rFonts w:hint="eastAsia" w:asciiTheme="minorEastAsia" w:hAnsiTheme="minorEastAsia" w:eastAsiaTheme="minorEastAsia"/>
          <w:color w:val="000000"/>
          <w:sz w:val="32"/>
          <w:szCs w:val="32"/>
          <w:lang w:val="en-US" w:eastAsia="zh-CN"/>
        </w:rPr>
        <w:t>3596.56</w:t>
      </w:r>
      <w:r>
        <w:rPr>
          <w:rFonts w:hint="eastAsia" w:asciiTheme="minorEastAsia" w:hAnsiTheme="minorEastAsia" w:eastAsiaTheme="minorEastAsia"/>
          <w:color w:val="000000"/>
          <w:sz w:val="32"/>
          <w:szCs w:val="32"/>
        </w:rPr>
        <w:t>万元，占本年支出合计的100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。与</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8</w:t>
      </w:r>
      <w:r>
        <w:rPr>
          <w:rFonts w:hint="eastAsia" w:asciiTheme="minorEastAsia" w:hAnsiTheme="minorEastAsia" w:eastAsiaTheme="minorEastAsia"/>
          <w:color w:val="000000"/>
          <w:sz w:val="32"/>
          <w:szCs w:val="32"/>
        </w:rPr>
        <w:t>年相比，一般公共预算财政拨款</w:t>
      </w:r>
      <w:r>
        <w:rPr>
          <w:rFonts w:hint="eastAsia" w:asciiTheme="minorEastAsia" w:hAnsiTheme="minorEastAsia" w:eastAsiaTheme="minorEastAsia"/>
          <w:sz w:val="32"/>
          <w:szCs w:val="32"/>
        </w:rPr>
        <w:t>减少</w:t>
      </w:r>
      <w:r>
        <w:rPr>
          <w:rFonts w:hint="eastAsia" w:asciiTheme="minorEastAsia" w:hAnsiTheme="minorEastAsia" w:eastAsiaTheme="minorEastAsia"/>
          <w:sz w:val="32"/>
          <w:szCs w:val="32"/>
          <w:lang w:val="en-US" w:eastAsia="zh-CN"/>
        </w:rPr>
        <w:t>1444.17</w:t>
      </w:r>
      <w:r>
        <w:rPr>
          <w:rFonts w:hint="eastAsia" w:asciiTheme="minorEastAsia" w:hAnsiTheme="minorEastAsia" w:eastAsiaTheme="minorEastAsia"/>
          <w:sz w:val="32"/>
          <w:szCs w:val="32"/>
        </w:rPr>
        <w:t>万元，</w:t>
      </w:r>
      <w:r>
        <w:rPr>
          <w:rFonts w:hint="eastAsia" w:asciiTheme="minorEastAsia" w:hAnsiTheme="minorEastAsia" w:eastAsiaTheme="minorEastAsia"/>
          <w:sz w:val="32"/>
          <w:szCs w:val="32"/>
          <w:lang w:val="en-US" w:eastAsia="zh-CN"/>
        </w:rPr>
        <w:t>下降28.65</w:t>
      </w:r>
      <w:r>
        <w:rPr>
          <w:rFonts w:hint="eastAsia" w:asciiTheme="minorEastAsia" w:hAnsiTheme="minorEastAsia" w:eastAsiaTheme="minorEastAsia"/>
          <w:sz w:val="32"/>
          <w:szCs w:val="32"/>
        </w:rPr>
        <w:t>%</w:t>
      </w:r>
      <w:r>
        <w:rPr>
          <w:rFonts w:hint="eastAsia" w:asciiTheme="minorEastAsia" w:hAnsiTheme="minorEastAsia" w:eastAsiaTheme="minorEastAsia"/>
          <w:color w:val="000000"/>
          <w:sz w:val="32"/>
          <w:szCs w:val="32"/>
        </w:rPr>
        <w:t>。主要变动原因是</w:t>
      </w:r>
      <w:r>
        <w:rPr>
          <w:rFonts w:hint="eastAsia" w:asciiTheme="minorEastAsia" w:hAnsiTheme="minorEastAsia" w:eastAsiaTheme="minorEastAsia"/>
          <w:sz w:val="32"/>
          <w:szCs w:val="32"/>
        </w:rPr>
        <w:t>本年项目投资比上年度减少。</w:t>
      </w:r>
    </w:p>
    <w:p>
      <w:pPr>
        <w:spacing w:line="600" w:lineRule="exact"/>
        <w:ind w:firstLine="640" w:firstLineChars="200"/>
        <w:rPr>
          <w:rFonts w:asciiTheme="minorEastAsia" w:hAnsiTheme="minorEastAsia" w:eastAsiaTheme="minorEastAsia"/>
          <w:color w:val="000000" w:themeColor="text1"/>
          <w:sz w:val="32"/>
          <w:szCs w:val="32"/>
        </w:rPr>
      </w:pPr>
      <w:r>
        <w:rPr>
          <w:rFonts w:hint="eastAsia" w:asciiTheme="minorEastAsia" w:hAnsiTheme="minorEastAsia" w:eastAsiaTheme="minorEastAsia"/>
          <w:color w:val="000000" w:themeColor="text1"/>
          <w:sz w:val="32"/>
          <w:szCs w:val="32"/>
        </w:rPr>
        <w:t>（图5：一般公共预算财政拨款支出决算变动情况）（柱状图）</w:t>
      </w:r>
    </w:p>
    <w:p>
      <w:pPr>
        <w:spacing w:line="600" w:lineRule="exact"/>
        <w:rPr>
          <w:rFonts w:asciiTheme="minorEastAsia" w:hAnsiTheme="minorEastAsia" w:eastAsiaTheme="minorEastAsia"/>
          <w:color w:val="000000" w:themeColor="text1"/>
          <w:sz w:val="32"/>
          <w:szCs w:val="32"/>
        </w:rPr>
      </w:pPr>
    </w:p>
    <w:p>
      <w:pPr>
        <w:spacing w:line="600" w:lineRule="exact"/>
        <w:ind w:firstLine="640" w:firstLineChars="200"/>
        <w:rPr>
          <w:rFonts w:hint="eastAsia" w:asciiTheme="minorEastAsia" w:hAnsiTheme="minorEastAsia" w:eastAsiaTheme="minorEastAsia"/>
          <w:b/>
          <w:color w:val="000000"/>
          <w:sz w:val="32"/>
          <w:szCs w:val="32"/>
        </w:rPr>
      </w:pPr>
      <w:r>
        <w:rPr>
          <w:rFonts w:asciiTheme="minorEastAsia" w:hAnsiTheme="minorEastAsia" w:eastAsiaTheme="minorEastAsia"/>
          <w:color w:val="000000" w:themeColor="text1"/>
          <w:sz w:val="32"/>
          <w:szCs w:val="32"/>
          <w:lang w:bidi="bo-CN"/>
        </w:rPr>
        <w:drawing>
          <wp:anchor distT="0" distB="0" distL="0" distR="0" simplePos="0" relativeHeight="251662336" behindDoc="1" locked="0" layoutInCell="1" allowOverlap="1">
            <wp:simplePos x="0" y="0"/>
            <wp:positionH relativeFrom="column">
              <wp:posOffset>297815</wp:posOffset>
            </wp:positionH>
            <wp:positionV relativeFrom="paragraph">
              <wp:posOffset>13970</wp:posOffset>
            </wp:positionV>
            <wp:extent cx="5252085" cy="2704465"/>
            <wp:effectExtent l="4445" t="4445" r="77470" b="72390"/>
            <wp:wrapTight wrapText="bothSides">
              <wp:wrapPolygon>
                <wp:start x="-18" y="-36"/>
                <wp:lineTo x="-18" y="21417"/>
                <wp:lineTo x="21527" y="21417"/>
                <wp:lineTo x="21527" y="-36"/>
                <wp:lineTo x="-18" y="-36"/>
              </wp:wrapPolygon>
            </wp:wrapTight>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bookmarkStart w:id="50" w:name="_Toc15377211"/>
    </w:p>
    <w:p>
      <w:pPr>
        <w:spacing w:line="600" w:lineRule="exact"/>
        <w:ind w:firstLine="643" w:firstLineChars="200"/>
        <w:outlineLvl w:val="2"/>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（二）一般公共预算财政拨款支出决算结构情况</w:t>
      </w:r>
      <w:bookmarkEnd w:id="50"/>
    </w:p>
    <w:p>
      <w:pPr>
        <w:spacing w:line="600" w:lineRule="exact"/>
        <w:ind w:firstLine="640"/>
        <w:rPr>
          <w:rFonts w:hint="default" w:asciiTheme="minorEastAsia" w:hAnsiTheme="minorEastAsia" w:eastAsiaTheme="minorEastAsia"/>
          <w:color w:val="000000" w:themeColor="text1"/>
          <w:sz w:val="32"/>
          <w:szCs w:val="32"/>
          <w:lang w:val="en-US" w:eastAsia="zh-CN"/>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年一般公共预算财</w:t>
      </w:r>
      <w:r>
        <w:rPr>
          <w:rFonts w:hint="eastAsia" w:asciiTheme="minorEastAsia" w:hAnsiTheme="minorEastAsia" w:eastAsiaTheme="minorEastAsia"/>
          <w:color w:val="000000" w:themeColor="text1"/>
          <w:sz w:val="32"/>
          <w:szCs w:val="32"/>
        </w:rPr>
        <w:t>政拨款支出</w:t>
      </w:r>
      <w:r>
        <w:rPr>
          <w:rFonts w:hint="eastAsia" w:asciiTheme="minorEastAsia" w:hAnsiTheme="minorEastAsia" w:eastAsiaTheme="minorEastAsia"/>
          <w:color w:val="000000" w:themeColor="text1"/>
          <w:sz w:val="32"/>
          <w:szCs w:val="32"/>
          <w:lang w:val="en-US" w:eastAsia="zh-CN"/>
        </w:rPr>
        <w:t>3596.56</w:t>
      </w:r>
      <w:r>
        <w:rPr>
          <w:rFonts w:hint="eastAsia" w:asciiTheme="minorEastAsia" w:hAnsiTheme="minorEastAsia" w:eastAsiaTheme="minorEastAsia"/>
          <w:color w:val="000000" w:themeColor="text1"/>
          <w:sz w:val="32"/>
          <w:szCs w:val="32"/>
        </w:rPr>
        <w:t>万元，主要用于以下方面</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b/>
          <w:color w:val="000000" w:themeColor="text1"/>
          <w:sz w:val="32"/>
          <w:szCs w:val="32"/>
        </w:rPr>
        <w:t>社会保障和就业（类）</w:t>
      </w:r>
      <w:r>
        <w:rPr>
          <w:rFonts w:hint="eastAsia" w:asciiTheme="minorEastAsia" w:hAnsiTheme="minorEastAsia" w:eastAsiaTheme="minorEastAsia"/>
          <w:color w:val="000000" w:themeColor="text1"/>
          <w:sz w:val="32"/>
          <w:szCs w:val="32"/>
        </w:rPr>
        <w:t>支出</w:t>
      </w:r>
      <w:r>
        <w:rPr>
          <w:rFonts w:hint="eastAsia" w:asciiTheme="minorEastAsia" w:hAnsiTheme="minorEastAsia" w:eastAsiaTheme="minorEastAsia"/>
          <w:color w:val="000000" w:themeColor="text1"/>
          <w:sz w:val="32"/>
          <w:szCs w:val="32"/>
          <w:lang w:val="en-US" w:eastAsia="zh-CN"/>
        </w:rPr>
        <w:t>38.14</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1</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；医疗卫生与计划生育支出</w:t>
      </w:r>
      <w:r>
        <w:rPr>
          <w:rFonts w:hint="eastAsia" w:asciiTheme="minorEastAsia" w:hAnsiTheme="minorEastAsia" w:eastAsiaTheme="minorEastAsia"/>
          <w:color w:val="000000" w:themeColor="text1"/>
          <w:sz w:val="32"/>
          <w:szCs w:val="32"/>
          <w:lang w:val="en-US" w:eastAsia="zh-CN"/>
        </w:rPr>
        <w:t>16.81</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0.47</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；节能环保支出</w:t>
      </w:r>
      <w:r>
        <w:rPr>
          <w:rFonts w:hint="eastAsia" w:asciiTheme="minorEastAsia" w:hAnsiTheme="minorEastAsia" w:eastAsiaTheme="minorEastAsia"/>
          <w:color w:val="000000" w:themeColor="text1"/>
          <w:sz w:val="32"/>
          <w:szCs w:val="32"/>
          <w:lang w:val="en-US" w:eastAsia="zh-CN"/>
        </w:rPr>
        <w:t>2.68</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0.07</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；农林水支出</w:t>
      </w:r>
      <w:r>
        <w:rPr>
          <w:rFonts w:hint="eastAsia" w:asciiTheme="minorEastAsia" w:hAnsiTheme="minorEastAsia" w:eastAsiaTheme="minorEastAsia"/>
          <w:color w:val="000000" w:themeColor="text1"/>
          <w:sz w:val="32"/>
          <w:szCs w:val="32"/>
          <w:lang w:val="en-US" w:eastAsia="zh-CN"/>
        </w:rPr>
        <w:t>1708.25</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47.49</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；交通运输支出</w:t>
      </w:r>
      <w:r>
        <w:rPr>
          <w:rFonts w:hint="eastAsia" w:asciiTheme="minorEastAsia" w:hAnsiTheme="minorEastAsia" w:eastAsiaTheme="minorEastAsia"/>
          <w:color w:val="000000" w:themeColor="text1"/>
          <w:sz w:val="32"/>
          <w:szCs w:val="32"/>
          <w:lang w:val="en-US" w:eastAsia="zh-CN"/>
        </w:rPr>
        <w:t>1781.18</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49.52</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rPr>
        <w:t>；住房保障支出</w:t>
      </w:r>
      <w:r>
        <w:rPr>
          <w:rFonts w:hint="eastAsia" w:asciiTheme="minorEastAsia" w:hAnsiTheme="minorEastAsia" w:eastAsiaTheme="minorEastAsia"/>
          <w:color w:val="000000" w:themeColor="text1"/>
          <w:sz w:val="32"/>
          <w:szCs w:val="32"/>
          <w:lang w:val="en-US" w:eastAsia="zh-CN"/>
        </w:rPr>
        <w:t>21.59</w:t>
      </w:r>
      <w:r>
        <w:rPr>
          <w:rFonts w:hint="eastAsia" w:asciiTheme="minorEastAsia" w:hAnsiTheme="minorEastAsia" w:eastAsiaTheme="minorEastAsia"/>
          <w:color w:val="000000" w:themeColor="text1"/>
          <w:sz w:val="32"/>
          <w:szCs w:val="32"/>
        </w:rPr>
        <w:t>万元，占</w:t>
      </w:r>
      <w:r>
        <w:rPr>
          <w:rFonts w:hint="eastAsia" w:asciiTheme="minorEastAsia" w:hAnsiTheme="minorEastAsia" w:eastAsiaTheme="minorEastAsia"/>
          <w:color w:val="000000" w:themeColor="text1"/>
          <w:sz w:val="32"/>
          <w:szCs w:val="32"/>
          <w:lang w:val="en-US" w:eastAsia="zh-CN"/>
        </w:rPr>
        <w:t>0.6</w:t>
      </w:r>
      <w:r>
        <w:rPr>
          <w:rFonts w:asciiTheme="minorEastAsia" w:hAnsiTheme="minorEastAsia" w:eastAsiaTheme="minorEastAsia"/>
          <w:color w:val="000000" w:themeColor="text1"/>
          <w:sz w:val="32"/>
          <w:szCs w:val="32"/>
        </w:rPr>
        <w:t>%</w:t>
      </w:r>
      <w:r>
        <w:rPr>
          <w:rFonts w:hint="eastAsia" w:asciiTheme="minorEastAsia" w:hAnsiTheme="minorEastAsia" w:eastAsiaTheme="minorEastAsia"/>
          <w:color w:val="000000" w:themeColor="text1"/>
          <w:sz w:val="32"/>
          <w:szCs w:val="32"/>
          <w:lang w:eastAsia="zh-CN"/>
        </w:rPr>
        <w:t>，</w:t>
      </w:r>
      <w:r>
        <w:rPr>
          <w:rFonts w:hint="eastAsia" w:asciiTheme="minorEastAsia" w:hAnsiTheme="minorEastAsia" w:eastAsiaTheme="minorEastAsia"/>
          <w:color w:val="000000" w:themeColor="text1"/>
          <w:sz w:val="32"/>
          <w:szCs w:val="32"/>
          <w:lang w:val="en-US" w:eastAsia="zh-CN"/>
        </w:rPr>
        <w:t>其他支出27.91万元，占0.85%。</w:t>
      </w:r>
    </w:p>
    <w:p>
      <w:pPr>
        <w:spacing w:line="600" w:lineRule="exact"/>
        <w:ind w:firstLine="640" w:firstLineChars="200"/>
        <w:rPr>
          <w:rFonts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（图6：一般公共预算财政拨款支出决算结构）（饼状图）</w:t>
      </w:r>
    </w:p>
    <w:p>
      <w:pPr>
        <w:spacing w:line="600" w:lineRule="exact"/>
        <w:ind w:firstLine="640" w:firstLineChars="20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lang w:bidi="bo-CN"/>
        </w:rPr>
        <w:drawing>
          <wp:anchor distT="0" distB="0" distL="0" distR="0" simplePos="0" relativeHeight="251663360" behindDoc="1" locked="0" layoutInCell="1" allowOverlap="1">
            <wp:simplePos x="0" y="0"/>
            <wp:positionH relativeFrom="column">
              <wp:posOffset>259080</wp:posOffset>
            </wp:positionH>
            <wp:positionV relativeFrom="paragraph">
              <wp:posOffset>191135</wp:posOffset>
            </wp:positionV>
            <wp:extent cx="5346065" cy="3964940"/>
            <wp:effectExtent l="4445" t="4445" r="21590" b="12065"/>
            <wp:wrapTight wrapText="bothSides">
              <wp:wrapPolygon>
                <wp:start x="-18" y="-24"/>
                <wp:lineTo x="-18" y="21562"/>
                <wp:lineTo x="21533" y="21562"/>
                <wp:lineTo x="21533" y="-24"/>
                <wp:lineTo x="-18" y="-24"/>
              </wp:wrapPolygon>
            </wp:wrapTight>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3" w:firstLineChars="200"/>
        <w:outlineLvl w:val="2"/>
        <w:rPr>
          <w:rFonts w:asciiTheme="minorEastAsia" w:hAnsiTheme="minorEastAsia" w:eastAsiaTheme="minorEastAsia"/>
          <w:b/>
          <w:color w:val="000000"/>
          <w:sz w:val="32"/>
          <w:szCs w:val="32"/>
        </w:rPr>
      </w:pPr>
      <w:bookmarkStart w:id="51" w:name="_Toc15377212"/>
      <w:r>
        <w:rPr>
          <w:rFonts w:hint="eastAsia" w:asciiTheme="minorEastAsia" w:hAnsiTheme="minorEastAsia" w:eastAsiaTheme="minorEastAsia"/>
          <w:b/>
          <w:color w:val="000000"/>
          <w:sz w:val="32"/>
          <w:szCs w:val="32"/>
        </w:rPr>
        <w:t>（三）一般公共预算财政拨款支出决算具体情况</w:t>
      </w:r>
      <w:bookmarkEnd w:id="51"/>
    </w:p>
    <w:p>
      <w:pPr>
        <w:spacing w:line="600" w:lineRule="exact"/>
        <w:ind w:firstLine="643" w:firstLineChars="200"/>
        <w:outlineLvl w:val="2"/>
        <w:rPr>
          <w:rFonts w:asciiTheme="minorEastAsia" w:hAnsiTheme="minorEastAsia" w:eastAsiaTheme="minorEastAsia"/>
          <w:color w:val="FF0000"/>
          <w:sz w:val="32"/>
          <w:szCs w:val="32"/>
        </w:rPr>
      </w:pPr>
      <w:bookmarkStart w:id="52" w:name="_Toc15377444"/>
      <w:bookmarkStart w:id="53" w:name="_Toc15377213"/>
      <w:bookmarkStart w:id="54" w:name="_Toc15378460"/>
      <w:r>
        <w:rPr>
          <w:rFonts w:hint="eastAsia" w:asciiTheme="minorEastAsia" w:hAnsiTheme="minorEastAsia" w:eastAsiaTheme="minorEastAsia"/>
          <w:b/>
          <w:color w:val="000000" w:themeColor="text1"/>
          <w:sz w:val="32"/>
          <w:szCs w:val="32"/>
        </w:rPr>
        <w:t>201</w:t>
      </w:r>
      <w:r>
        <w:rPr>
          <w:rFonts w:hint="eastAsia" w:asciiTheme="minorEastAsia" w:hAnsiTheme="minorEastAsia" w:eastAsiaTheme="minorEastAsia"/>
          <w:b/>
          <w:color w:val="000000" w:themeColor="text1"/>
          <w:sz w:val="32"/>
          <w:szCs w:val="32"/>
          <w:lang w:val="en-US" w:eastAsia="zh-CN"/>
        </w:rPr>
        <w:t>9</w:t>
      </w:r>
      <w:r>
        <w:rPr>
          <w:rFonts w:hint="eastAsia" w:asciiTheme="minorEastAsia" w:hAnsiTheme="minorEastAsia" w:eastAsiaTheme="minorEastAsia"/>
          <w:b/>
          <w:color w:val="000000" w:themeColor="text1"/>
          <w:sz w:val="32"/>
          <w:szCs w:val="32"/>
        </w:rPr>
        <w:t>年般公共预算支出决算数为</w:t>
      </w:r>
      <w:r>
        <w:rPr>
          <w:rFonts w:hint="eastAsia" w:asciiTheme="minorEastAsia" w:hAnsiTheme="minorEastAsia" w:eastAsiaTheme="minorEastAsia"/>
          <w:b/>
          <w:color w:val="000000" w:themeColor="text1"/>
          <w:sz w:val="32"/>
          <w:szCs w:val="32"/>
          <w:lang w:val="en-US" w:eastAsia="zh-CN"/>
        </w:rPr>
        <w:t>3596.56万元</w:t>
      </w:r>
      <w:r>
        <w:rPr>
          <w:rFonts w:hint="eastAsia" w:asciiTheme="minorEastAsia" w:hAnsiTheme="minorEastAsia" w:eastAsiaTheme="minorEastAsia"/>
          <w:color w:val="000000" w:themeColor="text1"/>
          <w:sz w:val="32"/>
          <w:szCs w:val="32"/>
        </w:rPr>
        <w:t>，</w:t>
      </w:r>
      <w:r>
        <w:rPr>
          <w:rStyle w:val="17"/>
          <w:rFonts w:hint="eastAsia" w:asciiTheme="minorEastAsia" w:hAnsiTheme="minorEastAsia" w:eastAsiaTheme="minorEastAsia"/>
          <w:bCs/>
          <w:color w:val="000000" w:themeColor="text1"/>
          <w:sz w:val="32"/>
          <w:szCs w:val="32"/>
        </w:rPr>
        <w:t>完成</w:t>
      </w:r>
      <w:r>
        <w:rPr>
          <w:rStyle w:val="17"/>
          <w:rFonts w:hint="eastAsia" w:asciiTheme="minorEastAsia" w:hAnsiTheme="minorEastAsia" w:eastAsiaTheme="minorEastAsia"/>
          <w:bCs/>
          <w:color w:val="000000"/>
          <w:sz w:val="32"/>
          <w:szCs w:val="32"/>
        </w:rPr>
        <w:t>预算100</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Cs/>
          <w:color w:val="000000"/>
          <w:sz w:val="32"/>
          <w:szCs w:val="32"/>
        </w:rPr>
        <w:t>。其中：</w:t>
      </w:r>
      <w:bookmarkEnd w:id="52"/>
      <w:bookmarkEnd w:id="53"/>
      <w:bookmarkEnd w:id="54"/>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asciiTheme="minorEastAsia" w:hAnsiTheme="minorEastAsia" w:eastAsiaTheme="minorEastAsia"/>
          <w:bCs/>
          <w:color w:val="000000"/>
          <w:sz w:val="32"/>
          <w:szCs w:val="32"/>
        </w:rPr>
        <w:t>1.</w:t>
      </w:r>
      <w:r>
        <w:rPr>
          <w:rStyle w:val="17"/>
          <w:rFonts w:hint="eastAsia" w:asciiTheme="minorEastAsia" w:hAnsiTheme="minorEastAsia" w:eastAsiaTheme="minorEastAsia"/>
          <w:bCs/>
          <w:color w:val="000000"/>
          <w:sz w:val="32"/>
          <w:szCs w:val="32"/>
        </w:rPr>
        <w:t>社会保障和就业支出208</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38.14</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（1）机关事业单位基本养老保险缴费支出2080505：</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26.1</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（2）机关事业单位职业年金缴费支出2080506：</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12.04</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asciiTheme="minorEastAsia" w:hAnsiTheme="minorEastAsia" w:eastAsiaTheme="minorEastAsia"/>
          <w:bCs/>
          <w:color w:val="000000"/>
          <w:sz w:val="32"/>
          <w:szCs w:val="32"/>
        </w:rPr>
        <w:t>2.</w:t>
      </w:r>
      <w:r>
        <w:rPr>
          <w:rStyle w:val="17"/>
          <w:rFonts w:hint="eastAsia" w:asciiTheme="minorEastAsia" w:hAnsiTheme="minorEastAsia" w:eastAsiaTheme="minorEastAsia"/>
          <w:bCs/>
          <w:color w:val="000000"/>
          <w:sz w:val="32"/>
          <w:szCs w:val="32"/>
        </w:rPr>
        <w:t>医疗卫生与计划生育支出210</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16.81</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7"/>
          <w:rFonts w:hint="eastAsia" w:asciiTheme="minorEastAsia" w:hAnsiTheme="minorEastAsia" w:eastAsiaTheme="minorEastAsia"/>
          <w:color w:val="000000"/>
          <w:sz w:val="32"/>
          <w:szCs w:val="32"/>
        </w:rPr>
        <w:t>（1）行政单位医疗2101101:</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9.76</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（2）</w:t>
      </w:r>
      <w:r>
        <w:rPr>
          <w:rStyle w:val="17"/>
          <w:rFonts w:hint="eastAsia" w:asciiTheme="minorEastAsia" w:hAnsiTheme="minorEastAsia" w:eastAsiaTheme="minorEastAsia"/>
          <w:bCs/>
          <w:color w:val="000000"/>
          <w:sz w:val="32"/>
          <w:szCs w:val="32"/>
        </w:rPr>
        <w:t>事业单位医疗2101102:</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3.31</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（3）公务员医疗补助2101103：</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2.82</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（4）其他行政事业单位医疗支出2101199：</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0.92</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asciiTheme="minorEastAsia" w:hAnsiTheme="minorEastAsia" w:eastAsiaTheme="minorEastAsia"/>
          <w:bCs/>
          <w:color w:val="000000"/>
          <w:sz w:val="32"/>
          <w:szCs w:val="32"/>
        </w:rPr>
        <w:t>3.</w:t>
      </w:r>
      <w:r>
        <w:rPr>
          <w:rStyle w:val="17"/>
          <w:rFonts w:hint="eastAsia" w:asciiTheme="minorEastAsia" w:hAnsiTheme="minorEastAsia" w:eastAsiaTheme="minorEastAsia"/>
          <w:bCs/>
          <w:color w:val="000000"/>
          <w:sz w:val="32"/>
          <w:szCs w:val="32"/>
        </w:rPr>
        <w:t>节能环保支出211</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2.68</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color w:val="000000"/>
          <w:sz w:val="32"/>
          <w:szCs w:val="32"/>
        </w:rPr>
      </w:pPr>
      <w:r>
        <w:rPr>
          <w:rStyle w:val="17"/>
          <w:rFonts w:hint="eastAsia" w:asciiTheme="minorEastAsia" w:hAnsiTheme="minorEastAsia" w:eastAsiaTheme="minorEastAsia"/>
          <w:color w:val="000000"/>
          <w:sz w:val="32"/>
          <w:szCs w:val="32"/>
        </w:rPr>
        <w:t>（1）生态保护支出2110401：</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2.68</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hint="eastAsia" w:asciiTheme="minorEastAsia" w:hAnsiTheme="minorEastAsia" w:eastAsiaTheme="minorEastAsia"/>
          <w:bCs/>
          <w:color w:val="000000"/>
          <w:sz w:val="32"/>
          <w:szCs w:val="32"/>
          <w:lang w:val="en-US" w:eastAsia="zh-CN"/>
        </w:rPr>
        <w:t>4.</w:t>
      </w:r>
      <w:r>
        <w:rPr>
          <w:rStyle w:val="17"/>
          <w:rFonts w:hint="eastAsia" w:asciiTheme="minorEastAsia" w:hAnsiTheme="minorEastAsia" w:eastAsiaTheme="minorEastAsia"/>
          <w:bCs/>
          <w:color w:val="000000"/>
          <w:sz w:val="32"/>
          <w:szCs w:val="32"/>
        </w:rPr>
        <w:t>农林水支出213</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1708.25</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w:t>
      </w:r>
      <w:r>
        <w:rPr>
          <w:rFonts w:hint="eastAsia" w:asciiTheme="minorEastAsia" w:hAnsiTheme="minorEastAsia" w:eastAsiaTheme="minorEastAsia"/>
          <w:b/>
          <w:color w:val="000000"/>
          <w:sz w:val="32"/>
          <w:szCs w:val="32"/>
          <w:lang w:val="en-US" w:eastAsia="zh-CN"/>
        </w:rPr>
        <w:t>1</w:t>
      </w:r>
      <w:r>
        <w:rPr>
          <w:rFonts w:hint="eastAsia" w:asciiTheme="minorEastAsia" w:hAnsiTheme="minorEastAsia" w:eastAsiaTheme="minorEastAsia"/>
          <w:b/>
          <w:color w:val="000000"/>
          <w:sz w:val="32"/>
          <w:szCs w:val="32"/>
        </w:rPr>
        <w:t>）</w:t>
      </w:r>
      <w:r>
        <w:rPr>
          <w:rStyle w:val="17"/>
          <w:rFonts w:hint="eastAsia" w:asciiTheme="minorEastAsia" w:hAnsiTheme="minorEastAsia" w:eastAsiaTheme="minorEastAsia"/>
          <w:bCs/>
          <w:color w:val="000000"/>
          <w:sz w:val="32"/>
          <w:szCs w:val="32"/>
        </w:rPr>
        <w:t>农村基础设施建设2310504:</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1708.25</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hint="eastAsia" w:asciiTheme="minorEastAsia" w:hAnsiTheme="minorEastAsia" w:eastAsiaTheme="minorEastAsia"/>
          <w:bCs/>
          <w:color w:val="000000"/>
          <w:sz w:val="32"/>
          <w:szCs w:val="32"/>
          <w:lang w:val="en-US" w:eastAsia="zh-CN"/>
        </w:rPr>
        <w:t>5</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Cs/>
          <w:color w:val="000000"/>
          <w:sz w:val="32"/>
          <w:szCs w:val="32"/>
        </w:rPr>
        <w:t>交通运输支出214</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1781.18</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7"/>
          <w:rFonts w:hint="eastAsia" w:asciiTheme="minorEastAsia" w:hAnsiTheme="minorEastAsia" w:eastAsiaTheme="minorEastAsia"/>
          <w:color w:val="000000"/>
          <w:sz w:val="32"/>
          <w:szCs w:val="32"/>
        </w:rPr>
        <w:t>（1）行政运行支出2140101:</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160.99</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bCs/>
          <w:color w:val="000000"/>
          <w:sz w:val="32"/>
          <w:szCs w:val="32"/>
        </w:rPr>
        <w:t>（</w:t>
      </w:r>
      <w:r>
        <w:rPr>
          <w:rFonts w:hint="eastAsia" w:asciiTheme="minorEastAsia" w:hAnsiTheme="minorEastAsia" w:eastAsiaTheme="minorEastAsia"/>
          <w:b/>
          <w:bCs/>
          <w:color w:val="000000"/>
          <w:sz w:val="32"/>
          <w:szCs w:val="32"/>
          <w:lang w:val="en-US" w:eastAsia="zh-CN"/>
        </w:rPr>
        <w:t>2</w:t>
      </w:r>
      <w:r>
        <w:rPr>
          <w:rFonts w:hint="eastAsia" w:asciiTheme="minorEastAsia" w:hAnsiTheme="minorEastAsia" w:eastAsiaTheme="minorEastAsia"/>
          <w:b/>
          <w:bCs/>
          <w:color w:val="000000"/>
          <w:sz w:val="32"/>
          <w:szCs w:val="32"/>
        </w:rPr>
        <w:t>）公路建设支出2140104：</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494.8</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w:t>
      </w:r>
      <w:r>
        <w:rPr>
          <w:rFonts w:hint="eastAsia" w:asciiTheme="minorEastAsia" w:hAnsiTheme="minorEastAsia" w:eastAsiaTheme="minorEastAsia"/>
          <w:b/>
          <w:color w:val="000000"/>
          <w:sz w:val="32"/>
          <w:szCs w:val="32"/>
          <w:lang w:val="en-US" w:eastAsia="zh-CN"/>
        </w:rPr>
        <w:t>3</w:t>
      </w:r>
      <w:r>
        <w:rPr>
          <w:rFonts w:hint="eastAsia" w:asciiTheme="minorEastAsia" w:hAnsiTheme="minorEastAsia" w:eastAsiaTheme="minorEastAsia"/>
          <w:b/>
          <w:color w:val="000000"/>
          <w:sz w:val="32"/>
          <w:szCs w:val="32"/>
        </w:rPr>
        <w:t>）公路养护支出2140106：</w:t>
      </w:r>
      <w:r>
        <w:rPr>
          <w:rFonts w:hint="eastAsia" w:asciiTheme="minorEastAsia" w:hAnsiTheme="minorEastAsia" w:eastAsiaTheme="minorEastAsia"/>
          <w:bCs/>
          <w:color w:val="000000"/>
          <w:sz w:val="32"/>
          <w:szCs w:val="32"/>
        </w:rPr>
        <w:t>支出决算为</w:t>
      </w:r>
      <w:r>
        <w:rPr>
          <w:rFonts w:hint="eastAsia" w:asciiTheme="minorEastAsia" w:hAnsiTheme="minorEastAsia" w:eastAsiaTheme="minorEastAsia"/>
          <w:bCs/>
          <w:color w:val="000000"/>
          <w:sz w:val="32"/>
          <w:szCs w:val="32"/>
          <w:lang w:val="en-US" w:eastAsia="zh-CN"/>
        </w:rPr>
        <w:t>272.65</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Style w:val="17"/>
          <w:rFonts w:hint="eastAsia" w:asciiTheme="minorEastAsia" w:hAnsiTheme="minorEastAsia" w:eastAsiaTheme="minorEastAsia"/>
          <w:color w:val="000000"/>
          <w:sz w:val="32"/>
          <w:szCs w:val="32"/>
        </w:rPr>
        <w:t>（</w:t>
      </w:r>
      <w:r>
        <w:rPr>
          <w:rStyle w:val="17"/>
          <w:rFonts w:hint="eastAsia" w:asciiTheme="minorEastAsia" w:hAnsiTheme="minorEastAsia" w:eastAsiaTheme="minorEastAsia"/>
          <w:color w:val="000000"/>
          <w:sz w:val="32"/>
          <w:szCs w:val="32"/>
          <w:lang w:val="en-US" w:eastAsia="zh-CN"/>
        </w:rPr>
        <w:t>4</w:t>
      </w:r>
      <w:r>
        <w:rPr>
          <w:rStyle w:val="17"/>
          <w:rFonts w:hint="eastAsia" w:asciiTheme="minorEastAsia" w:hAnsiTheme="minorEastAsia" w:eastAsiaTheme="minorEastAsia"/>
          <w:color w:val="000000"/>
          <w:sz w:val="32"/>
          <w:szCs w:val="32"/>
        </w:rPr>
        <w:t>）其他公路水路运输支出2140199:</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114.97</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asciiTheme="minorEastAsia" w:hAnsiTheme="minorEastAsia" w:eastAsiaTheme="minorEastAsia"/>
          <w:bCs/>
          <w:color w:val="000000"/>
          <w:sz w:val="32"/>
          <w:szCs w:val="32"/>
        </w:rPr>
      </w:pPr>
      <w:r>
        <w:rPr>
          <w:rFonts w:hint="eastAsia" w:asciiTheme="minorEastAsia" w:hAnsiTheme="minorEastAsia" w:eastAsiaTheme="minorEastAsia"/>
          <w:b/>
          <w:color w:val="000000"/>
          <w:sz w:val="32"/>
          <w:szCs w:val="32"/>
        </w:rPr>
        <w:t>（</w:t>
      </w:r>
      <w:r>
        <w:rPr>
          <w:rFonts w:hint="eastAsia" w:asciiTheme="minorEastAsia" w:hAnsiTheme="minorEastAsia" w:eastAsiaTheme="minorEastAsia"/>
          <w:b/>
          <w:color w:val="000000"/>
          <w:sz w:val="32"/>
          <w:szCs w:val="32"/>
          <w:lang w:val="en-US" w:eastAsia="zh-CN"/>
        </w:rPr>
        <w:t>5</w:t>
      </w:r>
      <w:r>
        <w:rPr>
          <w:rFonts w:hint="eastAsia" w:asciiTheme="minorEastAsia" w:hAnsiTheme="minorEastAsia" w:eastAsiaTheme="minorEastAsia"/>
          <w:b/>
          <w:color w:val="000000"/>
          <w:sz w:val="32"/>
          <w:szCs w:val="32"/>
        </w:rPr>
        <w:t>）</w:t>
      </w:r>
      <w:r>
        <w:rPr>
          <w:rFonts w:hint="eastAsia" w:asciiTheme="minorEastAsia" w:hAnsiTheme="minorEastAsia" w:eastAsiaTheme="minorEastAsia"/>
          <w:b/>
          <w:color w:val="000000"/>
          <w:sz w:val="32"/>
          <w:szCs w:val="32"/>
          <w:lang w:val="en-US" w:eastAsia="zh-CN"/>
        </w:rPr>
        <w:t>交通运输信息化建设</w:t>
      </w:r>
      <w:r>
        <w:rPr>
          <w:rStyle w:val="17"/>
          <w:rFonts w:hint="eastAsia" w:asciiTheme="minorEastAsia" w:hAnsiTheme="minorEastAsia" w:eastAsiaTheme="minorEastAsia"/>
          <w:bCs/>
          <w:color w:val="000000"/>
          <w:sz w:val="32"/>
          <w:szCs w:val="32"/>
        </w:rPr>
        <w:t>214</w:t>
      </w:r>
      <w:r>
        <w:rPr>
          <w:rStyle w:val="17"/>
          <w:rFonts w:hint="eastAsia" w:asciiTheme="minorEastAsia" w:hAnsiTheme="minorEastAsia" w:eastAsiaTheme="minorEastAsia"/>
          <w:bCs/>
          <w:color w:val="000000"/>
          <w:sz w:val="32"/>
          <w:szCs w:val="32"/>
          <w:lang w:val="en-US" w:eastAsia="zh-CN"/>
        </w:rPr>
        <w:t>0109</w:t>
      </w:r>
      <w:r>
        <w:rPr>
          <w:rStyle w:val="17"/>
          <w:rFonts w:hint="eastAsia" w:asciiTheme="minorEastAsia" w:hAnsiTheme="minorEastAsia" w:eastAsiaTheme="minorEastAsia"/>
          <w:bCs/>
          <w:color w:val="000000"/>
          <w:sz w:val="32"/>
          <w:szCs w:val="32"/>
        </w:rPr>
        <w:t>：</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6.5</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Style w:val="17"/>
          <w:rFonts w:asciiTheme="minorEastAsia" w:hAnsiTheme="minorEastAsia" w:eastAsiaTheme="minorEastAsia"/>
          <w:b w:val="0"/>
          <w:bCs/>
          <w:color w:val="000000"/>
          <w:sz w:val="32"/>
          <w:szCs w:val="32"/>
        </w:rPr>
      </w:pPr>
      <w:r>
        <w:rPr>
          <w:rStyle w:val="17"/>
          <w:rFonts w:hint="eastAsia" w:asciiTheme="minorEastAsia" w:hAnsiTheme="minorEastAsia" w:eastAsiaTheme="minorEastAsia"/>
          <w:bCs/>
          <w:color w:val="000000"/>
          <w:sz w:val="32"/>
          <w:szCs w:val="32"/>
          <w:lang w:val="en-US" w:eastAsia="zh-CN"/>
        </w:rPr>
        <w:t>6</w:t>
      </w:r>
      <w:r>
        <w:rPr>
          <w:rStyle w:val="17"/>
          <w:rFonts w:hint="eastAsia" w:asciiTheme="minorEastAsia" w:hAnsiTheme="minorEastAsia" w:eastAsiaTheme="minorEastAsia"/>
          <w:bCs/>
          <w:color w:val="000000"/>
          <w:sz w:val="32"/>
          <w:szCs w:val="32"/>
        </w:rPr>
        <w:t>.住房保障支出221</w:t>
      </w:r>
      <w:r>
        <w:rPr>
          <w:rStyle w:val="17"/>
          <w:rFonts w:asciiTheme="minorEastAsia" w:hAnsiTheme="minorEastAsia" w:eastAsiaTheme="minorEastAsia"/>
          <w:bCs/>
          <w:color w:val="000000"/>
          <w:sz w:val="32"/>
          <w:szCs w:val="32"/>
        </w:rPr>
        <w:t>:</w:t>
      </w:r>
      <w:r>
        <w:rPr>
          <w:rStyle w:val="17"/>
          <w:rFonts w:hint="eastAsia" w:asciiTheme="minorEastAsia" w:hAnsiTheme="minorEastAsia" w:eastAsiaTheme="minorEastAsia"/>
          <w:b w:val="0"/>
          <w:bCs/>
          <w:color w:val="000000"/>
          <w:sz w:val="32"/>
          <w:szCs w:val="32"/>
        </w:rPr>
        <w:t>支出决算为</w:t>
      </w:r>
      <w:r>
        <w:rPr>
          <w:rStyle w:val="17"/>
          <w:rFonts w:hint="eastAsia" w:asciiTheme="minorEastAsia" w:hAnsiTheme="minorEastAsia" w:eastAsiaTheme="minorEastAsia"/>
          <w:b w:val="0"/>
          <w:bCs/>
          <w:color w:val="000000"/>
          <w:sz w:val="32"/>
          <w:szCs w:val="32"/>
          <w:lang w:val="en-US" w:eastAsia="zh-CN"/>
        </w:rPr>
        <w:t>21.59</w:t>
      </w:r>
      <w:r>
        <w:rPr>
          <w:rStyle w:val="17"/>
          <w:rFonts w:hint="eastAsia" w:asciiTheme="minorEastAsia" w:hAnsiTheme="minorEastAsia" w:eastAsiaTheme="minorEastAsia"/>
          <w:b w:val="0"/>
          <w:bCs/>
          <w:color w:val="000000"/>
          <w:sz w:val="32"/>
          <w:szCs w:val="32"/>
        </w:rPr>
        <w:t>万元，完成预算100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，决算数等于预算数。</w:t>
      </w:r>
    </w:p>
    <w:p>
      <w:pPr>
        <w:spacing w:line="600" w:lineRule="exact"/>
        <w:ind w:firstLine="643" w:firstLineChars="200"/>
        <w:rPr>
          <w:rFonts w:hint="eastAsia" w:asciiTheme="minorEastAsia" w:hAnsiTheme="minorEastAsia" w:eastAsiaTheme="minorEastAsia"/>
          <w:bCs/>
          <w:color w:val="000000"/>
          <w:sz w:val="32"/>
          <w:szCs w:val="32"/>
        </w:rPr>
      </w:pPr>
      <w:r>
        <w:rPr>
          <w:rStyle w:val="17"/>
          <w:rFonts w:hint="eastAsia" w:asciiTheme="minorEastAsia" w:hAnsiTheme="minorEastAsia" w:eastAsiaTheme="minorEastAsia"/>
          <w:color w:val="000000"/>
          <w:sz w:val="32"/>
          <w:szCs w:val="32"/>
        </w:rPr>
        <w:t>（1）住房公积金支出2210201:</w:t>
      </w:r>
      <w:r>
        <w:rPr>
          <w:rFonts w:hint="eastAsia" w:asciiTheme="minorEastAsia" w:hAnsiTheme="minorEastAsia" w:eastAsiaTheme="minorEastAsia"/>
          <w:bCs/>
          <w:color w:val="000000"/>
          <w:sz w:val="32"/>
          <w:szCs w:val="32"/>
        </w:rPr>
        <w:t xml:space="preserve"> 支出决算为</w:t>
      </w:r>
      <w:r>
        <w:rPr>
          <w:rFonts w:hint="eastAsia" w:asciiTheme="minorEastAsia" w:hAnsiTheme="minorEastAsia" w:eastAsiaTheme="minorEastAsia"/>
          <w:bCs/>
          <w:color w:val="000000"/>
          <w:sz w:val="32"/>
          <w:szCs w:val="32"/>
          <w:lang w:val="en-US" w:eastAsia="zh-CN"/>
        </w:rPr>
        <w:t>21.59</w:t>
      </w:r>
      <w:r>
        <w:rPr>
          <w:rFonts w:hint="eastAsia" w:asciiTheme="minorEastAsia" w:hAnsiTheme="minorEastAsia" w:eastAsiaTheme="minorEastAsia"/>
          <w:bCs/>
          <w:color w:val="000000"/>
          <w:sz w:val="32"/>
          <w:szCs w:val="32"/>
        </w:rPr>
        <w:t>万元，完成预算100%，决算数等于预算数。</w:t>
      </w:r>
    </w:p>
    <w:p>
      <w:pPr>
        <w:spacing w:line="600" w:lineRule="exact"/>
        <w:ind w:firstLine="643" w:firstLineChars="200"/>
        <w:rPr>
          <w:rFonts w:hint="default" w:eastAsiaTheme="minorEastAsia"/>
          <w:lang w:val="en-US" w:eastAsia="zh-CN"/>
        </w:rPr>
      </w:pPr>
      <w:r>
        <w:rPr>
          <w:rStyle w:val="17"/>
          <w:rFonts w:hint="eastAsia" w:cs="Times New Roman" w:asciiTheme="minorEastAsia" w:hAnsiTheme="minorEastAsia" w:eastAsiaTheme="minorEastAsia"/>
          <w:bCs/>
          <w:color w:val="000000"/>
          <w:sz w:val="32"/>
          <w:szCs w:val="32"/>
          <w:lang w:val="en-US" w:eastAsia="zh-CN"/>
        </w:rPr>
        <w:t>7.其他支出229：</w:t>
      </w:r>
      <w:r>
        <w:rPr>
          <w:rFonts w:hint="eastAsia" w:asciiTheme="minorEastAsia" w:hAnsiTheme="minorEastAsia" w:eastAsiaTheme="minorEastAsia"/>
          <w:bCs/>
          <w:color w:val="000000"/>
          <w:sz w:val="32"/>
          <w:szCs w:val="32"/>
          <w:lang w:val="en-US" w:eastAsia="zh-CN"/>
        </w:rPr>
        <w:t>支出决算为27.91万元，</w:t>
      </w:r>
      <w:r>
        <w:rPr>
          <w:rFonts w:hint="eastAsia" w:asciiTheme="minorEastAsia" w:hAnsiTheme="minorEastAsia" w:eastAsiaTheme="minorEastAsia"/>
          <w:bCs/>
          <w:color w:val="000000"/>
          <w:sz w:val="32"/>
          <w:szCs w:val="32"/>
        </w:rPr>
        <w:t>完成预算100%，决算数等于预算数。</w:t>
      </w:r>
    </w:p>
    <w:p>
      <w:pPr>
        <w:tabs>
          <w:tab w:val="right" w:pos="8306"/>
        </w:tabs>
        <w:spacing w:line="600" w:lineRule="exact"/>
        <w:ind w:firstLine="640"/>
        <w:outlineLvl w:val="1"/>
        <w:rPr>
          <w:rStyle w:val="28"/>
          <w:rFonts w:asciiTheme="minorEastAsia" w:hAnsiTheme="minorEastAsia" w:eastAsiaTheme="minorEastAsia"/>
        </w:rPr>
      </w:pPr>
      <w:bookmarkStart w:id="55" w:name="_Toc30947"/>
      <w:bookmarkStart w:id="56" w:name="_Toc15377214"/>
      <w:bookmarkStart w:id="57" w:name="_Toc15396608"/>
      <w:r>
        <w:rPr>
          <w:rFonts w:hint="eastAsia" w:asciiTheme="minorEastAsia" w:hAnsiTheme="minorEastAsia" w:eastAsiaTheme="minorEastAsia"/>
          <w:color w:val="000000"/>
          <w:sz w:val="32"/>
          <w:szCs w:val="32"/>
        </w:rPr>
        <w:t>六</w:t>
      </w:r>
      <w:r>
        <w:rPr>
          <w:rFonts w:hint="eastAsia" w:asciiTheme="minorEastAsia" w:hAnsiTheme="minorEastAsia" w:eastAsiaTheme="minorEastAsia"/>
          <w:b/>
          <w:color w:val="000000"/>
          <w:sz w:val="32"/>
          <w:szCs w:val="32"/>
        </w:rPr>
        <w:t>、一</w:t>
      </w:r>
      <w:r>
        <w:rPr>
          <w:rStyle w:val="28"/>
          <w:rFonts w:hint="eastAsia" w:asciiTheme="minorEastAsia" w:hAnsiTheme="minorEastAsia" w:eastAsiaTheme="minorEastAsia"/>
          <w:b w:val="0"/>
        </w:rPr>
        <w:t>般公共预算财政拨款基本支出决算情况说明</w:t>
      </w:r>
      <w:bookmarkEnd w:id="55"/>
      <w:bookmarkEnd w:id="56"/>
      <w:bookmarkEnd w:id="57"/>
      <w:r>
        <w:rPr>
          <w:rStyle w:val="28"/>
          <w:rFonts w:asciiTheme="minorEastAsia" w:hAnsiTheme="minorEastAsia" w:eastAsiaTheme="minorEastAsia"/>
          <w:b w:val="0"/>
        </w:rPr>
        <w:tab/>
      </w:r>
    </w:p>
    <w:p>
      <w:pPr>
        <w:spacing w:line="600" w:lineRule="exact"/>
        <w:ind w:firstLine="645"/>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年一般公共预算财政拨款基本支出</w:t>
      </w:r>
      <w:r>
        <w:rPr>
          <w:rFonts w:hint="eastAsia" w:asciiTheme="minorEastAsia" w:hAnsiTheme="minorEastAsia" w:eastAsiaTheme="minorEastAsia"/>
          <w:color w:val="000000"/>
          <w:sz w:val="32"/>
          <w:szCs w:val="32"/>
          <w:lang w:val="en-US" w:eastAsia="zh-CN"/>
        </w:rPr>
        <w:t>311.01</w:t>
      </w:r>
      <w:r>
        <w:rPr>
          <w:rFonts w:hint="eastAsia" w:asciiTheme="minorEastAsia" w:hAnsiTheme="minorEastAsia" w:eastAsiaTheme="minorEastAsia"/>
          <w:color w:val="000000"/>
          <w:sz w:val="32"/>
          <w:szCs w:val="32"/>
        </w:rPr>
        <w:t>万元，其中：人员经费</w:t>
      </w:r>
      <w:r>
        <w:rPr>
          <w:rFonts w:hint="eastAsia" w:asciiTheme="minorEastAsia" w:hAnsiTheme="minorEastAsia" w:eastAsiaTheme="minorEastAsia"/>
          <w:color w:val="000000"/>
          <w:sz w:val="32"/>
          <w:szCs w:val="32"/>
          <w:lang w:val="en-US" w:eastAsia="zh-CN"/>
        </w:rPr>
        <w:t>277.64</w:t>
      </w:r>
      <w:r>
        <w:rPr>
          <w:rFonts w:hint="eastAsia" w:asciiTheme="minorEastAsia" w:hAnsiTheme="minorEastAsia" w:eastAsiaTheme="minorEastAsia"/>
          <w:color w:val="000000"/>
          <w:sz w:val="32"/>
          <w:szCs w:val="32"/>
        </w:rPr>
        <w:t>万元，主要包括：主要包括：基本工资</w:t>
      </w:r>
      <w:r>
        <w:rPr>
          <w:rFonts w:hint="eastAsia" w:asciiTheme="minorEastAsia" w:hAnsiTheme="minorEastAsia" w:eastAsiaTheme="minorEastAsia"/>
          <w:color w:val="000000"/>
          <w:sz w:val="32"/>
          <w:szCs w:val="32"/>
          <w:lang w:val="en-US" w:eastAsia="zh-CN"/>
        </w:rPr>
        <w:t>56.6</w:t>
      </w:r>
      <w:r>
        <w:rPr>
          <w:rFonts w:hint="eastAsia" w:asciiTheme="minorEastAsia" w:hAnsiTheme="minorEastAsia" w:eastAsiaTheme="minorEastAsia"/>
          <w:color w:val="000000"/>
          <w:sz w:val="32"/>
          <w:szCs w:val="32"/>
        </w:rPr>
        <w:t>万元、津贴补贴</w:t>
      </w:r>
      <w:r>
        <w:rPr>
          <w:rFonts w:hint="eastAsia" w:asciiTheme="minorEastAsia" w:hAnsiTheme="minorEastAsia" w:eastAsiaTheme="minorEastAsia"/>
          <w:color w:val="000000"/>
          <w:sz w:val="32"/>
          <w:szCs w:val="32"/>
          <w:lang w:val="en-US" w:eastAsia="zh-CN"/>
        </w:rPr>
        <w:t>88.02</w:t>
      </w:r>
      <w:r>
        <w:rPr>
          <w:rFonts w:hint="eastAsia" w:asciiTheme="minorEastAsia" w:hAnsiTheme="minorEastAsia" w:eastAsiaTheme="minorEastAsia"/>
          <w:color w:val="000000"/>
          <w:sz w:val="32"/>
          <w:szCs w:val="32"/>
        </w:rPr>
        <w:t>万元、奖金</w:t>
      </w:r>
      <w:r>
        <w:rPr>
          <w:rFonts w:hint="eastAsia" w:asciiTheme="minorEastAsia" w:hAnsiTheme="minorEastAsia" w:eastAsiaTheme="minorEastAsia"/>
          <w:color w:val="000000"/>
          <w:sz w:val="32"/>
          <w:szCs w:val="32"/>
          <w:lang w:val="en-US" w:eastAsia="zh-CN"/>
        </w:rPr>
        <w:t>42.8</w:t>
      </w:r>
      <w:r>
        <w:rPr>
          <w:rFonts w:hint="eastAsia" w:asciiTheme="minorEastAsia" w:hAnsiTheme="minorEastAsia" w:eastAsiaTheme="minorEastAsia"/>
          <w:color w:val="000000"/>
          <w:sz w:val="32"/>
          <w:szCs w:val="32"/>
        </w:rPr>
        <w:t>万元、绩效工资</w:t>
      </w:r>
      <w:r>
        <w:rPr>
          <w:rFonts w:hint="eastAsia" w:asciiTheme="minorEastAsia" w:hAnsiTheme="minorEastAsia" w:eastAsiaTheme="minorEastAsia"/>
          <w:color w:val="000000"/>
          <w:sz w:val="32"/>
          <w:szCs w:val="32"/>
          <w:lang w:val="en-US" w:eastAsia="zh-CN"/>
        </w:rPr>
        <w:t>6.89</w:t>
      </w:r>
      <w:r>
        <w:rPr>
          <w:rFonts w:hint="eastAsia" w:asciiTheme="minorEastAsia" w:hAnsiTheme="minorEastAsia" w:eastAsiaTheme="minorEastAsia"/>
          <w:color w:val="000000"/>
          <w:sz w:val="32"/>
          <w:szCs w:val="32"/>
        </w:rPr>
        <w:t>万元、机关事业单位基本养老保险缴费</w:t>
      </w:r>
      <w:r>
        <w:rPr>
          <w:rFonts w:hint="eastAsia" w:asciiTheme="minorEastAsia" w:hAnsiTheme="minorEastAsia" w:eastAsiaTheme="minorEastAsia"/>
          <w:color w:val="000000"/>
          <w:sz w:val="32"/>
          <w:szCs w:val="32"/>
          <w:lang w:val="en-US" w:eastAsia="zh-CN"/>
        </w:rPr>
        <w:t>26.1</w:t>
      </w:r>
      <w:r>
        <w:rPr>
          <w:rFonts w:hint="eastAsia" w:asciiTheme="minorEastAsia" w:hAnsiTheme="minorEastAsia" w:eastAsiaTheme="minorEastAsia"/>
          <w:color w:val="000000"/>
          <w:sz w:val="32"/>
          <w:szCs w:val="32"/>
        </w:rPr>
        <w:t>万元、职业年金缴费</w:t>
      </w:r>
      <w:r>
        <w:rPr>
          <w:rFonts w:hint="eastAsia" w:asciiTheme="minorEastAsia" w:hAnsiTheme="minorEastAsia" w:eastAsiaTheme="minorEastAsia"/>
          <w:color w:val="000000"/>
          <w:sz w:val="32"/>
          <w:szCs w:val="32"/>
          <w:lang w:val="en-US" w:eastAsia="zh-CN"/>
        </w:rPr>
        <w:t>12.04</w:t>
      </w:r>
      <w:r>
        <w:rPr>
          <w:rFonts w:hint="eastAsia" w:asciiTheme="minorEastAsia" w:hAnsiTheme="minorEastAsia" w:eastAsiaTheme="minorEastAsia"/>
          <w:color w:val="000000"/>
          <w:sz w:val="32"/>
          <w:szCs w:val="32"/>
        </w:rPr>
        <w:t>万元、 职工基本医疗保险缴费</w:t>
      </w:r>
      <w:r>
        <w:rPr>
          <w:rFonts w:hint="eastAsia" w:asciiTheme="minorEastAsia" w:hAnsiTheme="minorEastAsia" w:eastAsiaTheme="minorEastAsia"/>
          <w:color w:val="000000"/>
          <w:sz w:val="32"/>
          <w:szCs w:val="32"/>
          <w:lang w:val="en-US" w:eastAsia="zh-CN"/>
        </w:rPr>
        <w:t>13.07</w:t>
      </w:r>
      <w:r>
        <w:rPr>
          <w:rFonts w:hint="eastAsia" w:asciiTheme="minorEastAsia" w:hAnsiTheme="minorEastAsia" w:eastAsiaTheme="minorEastAsia"/>
          <w:color w:val="000000"/>
          <w:sz w:val="32"/>
          <w:szCs w:val="32"/>
        </w:rPr>
        <w:t>万元、 公务员医疗补助缴费</w:t>
      </w:r>
      <w:r>
        <w:rPr>
          <w:rFonts w:hint="eastAsia" w:asciiTheme="minorEastAsia" w:hAnsiTheme="minorEastAsia" w:eastAsiaTheme="minorEastAsia"/>
          <w:color w:val="000000"/>
          <w:sz w:val="32"/>
          <w:szCs w:val="32"/>
          <w:lang w:val="en-US" w:eastAsia="zh-CN"/>
        </w:rPr>
        <w:t>3.73</w:t>
      </w:r>
      <w:r>
        <w:rPr>
          <w:rFonts w:hint="eastAsia" w:asciiTheme="minorEastAsia" w:hAnsiTheme="minorEastAsia" w:eastAsiaTheme="minorEastAsia"/>
          <w:color w:val="000000"/>
          <w:sz w:val="32"/>
          <w:szCs w:val="32"/>
        </w:rPr>
        <w:t>万元、其他社会保障缴费</w:t>
      </w:r>
      <w:r>
        <w:rPr>
          <w:rFonts w:hint="eastAsia" w:asciiTheme="minorEastAsia" w:hAnsiTheme="minorEastAsia" w:eastAsiaTheme="minorEastAsia"/>
          <w:color w:val="000000"/>
          <w:sz w:val="32"/>
          <w:szCs w:val="32"/>
          <w:lang w:val="en-US" w:eastAsia="zh-CN"/>
        </w:rPr>
        <w:t>3.16</w:t>
      </w:r>
      <w:r>
        <w:rPr>
          <w:rFonts w:hint="eastAsia" w:asciiTheme="minorEastAsia" w:hAnsiTheme="minorEastAsia" w:eastAsiaTheme="minorEastAsia"/>
          <w:color w:val="000000"/>
          <w:sz w:val="32"/>
          <w:szCs w:val="32"/>
        </w:rPr>
        <w:t>万元、对个人和家庭的补助</w:t>
      </w:r>
      <w:r>
        <w:rPr>
          <w:rFonts w:hint="eastAsia" w:asciiTheme="minorEastAsia" w:hAnsiTheme="minorEastAsia" w:eastAsiaTheme="minorEastAsia"/>
          <w:color w:val="000000"/>
          <w:sz w:val="32"/>
          <w:szCs w:val="32"/>
          <w:lang w:val="en-US" w:eastAsia="zh-CN"/>
        </w:rPr>
        <w:t>生活补助2.8</w:t>
      </w:r>
      <w:r>
        <w:rPr>
          <w:rFonts w:hint="eastAsia" w:asciiTheme="minorEastAsia" w:hAnsiTheme="minorEastAsia" w:eastAsiaTheme="minorEastAsia"/>
          <w:color w:val="000000"/>
          <w:sz w:val="32"/>
          <w:szCs w:val="32"/>
        </w:rPr>
        <w:t>万元、奖励金0.01、住房公积金</w:t>
      </w:r>
      <w:r>
        <w:rPr>
          <w:rFonts w:hint="eastAsia" w:asciiTheme="minorEastAsia" w:hAnsiTheme="minorEastAsia" w:eastAsiaTheme="minorEastAsia"/>
          <w:color w:val="000000"/>
          <w:sz w:val="32"/>
          <w:szCs w:val="32"/>
          <w:lang w:val="en-US" w:eastAsia="zh-CN"/>
        </w:rPr>
        <w:t>21.59</w:t>
      </w:r>
      <w:r>
        <w:rPr>
          <w:rFonts w:hint="eastAsia" w:asciiTheme="minorEastAsia" w:hAnsiTheme="minorEastAsia" w:eastAsiaTheme="minorEastAsia"/>
          <w:color w:val="000000"/>
          <w:sz w:val="32"/>
          <w:szCs w:val="32"/>
        </w:rPr>
        <w:t>万元。　　</w:t>
      </w:r>
    </w:p>
    <w:p>
      <w:pPr>
        <w:spacing w:line="600" w:lineRule="exact"/>
        <w:ind w:firstLine="645"/>
        <w:rPr>
          <w:rFonts w:hint="eastAsia" w:asciiTheme="minorEastAsia" w:hAnsiTheme="minorEastAsia" w:eastAsiaTheme="minorEastAsia"/>
          <w:b/>
          <w:color w:val="FF0000"/>
          <w:sz w:val="32"/>
          <w:szCs w:val="32"/>
          <w:lang w:eastAsia="zh-CN"/>
        </w:rPr>
      </w:pPr>
      <w:r>
        <w:rPr>
          <w:rFonts w:hint="eastAsia" w:asciiTheme="minorEastAsia" w:hAnsiTheme="minorEastAsia" w:eastAsiaTheme="minorEastAsia"/>
          <w:color w:val="000000"/>
          <w:sz w:val="32"/>
          <w:szCs w:val="32"/>
        </w:rPr>
        <w:t>公用经费</w:t>
      </w:r>
      <w:r>
        <w:rPr>
          <w:rFonts w:hint="eastAsia" w:asciiTheme="minorEastAsia" w:hAnsiTheme="minorEastAsia" w:eastAsiaTheme="minorEastAsia"/>
          <w:color w:val="000000"/>
          <w:sz w:val="32"/>
          <w:szCs w:val="32"/>
          <w:lang w:val="en-US" w:eastAsia="zh-CN"/>
        </w:rPr>
        <w:t>33.37</w:t>
      </w:r>
      <w:r>
        <w:rPr>
          <w:rFonts w:hint="eastAsia" w:asciiTheme="minorEastAsia" w:hAnsiTheme="minorEastAsia" w:eastAsiaTheme="minorEastAsia"/>
          <w:color w:val="000000"/>
          <w:sz w:val="32"/>
          <w:szCs w:val="32"/>
        </w:rPr>
        <w:t>万元，主要包括：办公费</w:t>
      </w:r>
      <w:r>
        <w:rPr>
          <w:rFonts w:hint="eastAsia" w:asciiTheme="minorEastAsia" w:hAnsiTheme="minorEastAsia" w:eastAsiaTheme="minorEastAsia"/>
          <w:color w:val="000000"/>
          <w:sz w:val="32"/>
          <w:szCs w:val="32"/>
          <w:lang w:val="en-US" w:eastAsia="zh-CN"/>
        </w:rPr>
        <w:t>12.07</w:t>
      </w:r>
      <w:r>
        <w:rPr>
          <w:rFonts w:hint="eastAsia" w:asciiTheme="minorEastAsia" w:hAnsiTheme="minorEastAsia" w:eastAsiaTheme="minorEastAsia"/>
          <w:color w:val="000000"/>
          <w:sz w:val="32"/>
          <w:szCs w:val="32"/>
        </w:rPr>
        <w:t>万元、电费</w:t>
      </w:r>
      <w:r>
        <w:rPr>
          <w:rFonts w:hint="eastAsia" w:asciiTheme="minorEastAsia" w:hAnsiTheme="minorEastAsia" w:eastAsiaTheme="minorEastAsia"/>
          <w:color w:val="000000"/>
          <w:sz w:val="32"/>
          <w:szCs w:val="32"/>
          <w:lang w:val="en-US" w:eastAsia="zh-CN"/>
        </w:rPr>
        <w:t>1</w:t>
      </w:r>
      <w:r>
        <w:rPr>
          <w:rFonts w:hint="eastAsia" w:asciiTheme="minorEastAsia" w:hAnsiTheme="minorEastAsia" w:eastAsiaTheme="minorEastAsia"/>
          <w:color w:val="000000"/>
          <w:sz w:val="32"/>
          <w:szCs w:val="32"/>
        </w:rPr>
        <w:t>万元、邮电费</w:t>
      </w:r>
      <w:r>
        <w:rPr>
          <w:rFonts w:hint="eastAsia" w:asciiTheme="minorEastAsia" w:hAnsiTheme="minorEastAsia" w:eastAsiaTheme="minorEastAsia"/>
          <w:color w:val="000000"/>
          <w:sz w:val="32"/>
          <w:szCs w:val="32"/>
          <w:lang w:val="en-US" w:eastAsia="zh-CN"/>
        </w:rPr>
        <w:t>2</w:t>
      </w:r>
      <w:r>
        <w:rPr>
          <w:rFonts w:hint="eastAsia" w:asciiTheme="minorEastAsia" w:hAnsiTheme="minorEastAsia" w:eastAsiaTheme="minorEastAsia"/>
          <w:color w:val="000000"/>
          <w:sz w:val="32"/>
          <w:szCs w:val="32"/>
        </w:rPr>
        <w:t>万元、取暖费</w:t>
      </w:r>
      <w:r>
        <w:rPr>
          <w:rFonts w:hint="eastAsia" w:asciiTheme="minorEastAsia" w:hAnsiTheme="minorEastAsia" w:eastAsiaTheme="minorEastAsia"/>
          <w:color w:val="000000"/>
          <w:sz w:val="32"/>
          <w:szCs w:val="32"/>
          <w:lang w:val="en-US" w:eastAsia="zh-CN"/>
        </w:rPr>
        <w:t>0.8</w:t>
      </w:r>
      <w:r>
        <w:rPr>
          <w:rFonts w:hint="eastAsia" w:asciiTheme="minorEastAsia" w:hAnsiTheme="minorEastAsia" w:eastAsiaTheme="minorEastAsia"/>
          <w:color w:val="000000"/>
          <w:sz w:val="32"/>
          <w:szCs w:val="32"/>
        </w:rPr>
        <w:t>万元、差旅费</w:t>
      </w:r>
      <w:r>
        <w:rPr>
          <w:rFonts w:hint="eastAsia" w:asciiTheme="minorEastAsia" w:hAnsiTheme="minorEastAsia" w:eastAsiaTheme="minorEastAsia"/>
          <w:color w:val="000000"/>
          <w:sz w:val="32"/>
          <w:szCs w:val="32"/>
          <w:lang w:val="en-US" w:eastAsia="zh-CN"/>
        </w:rPr>
        <w:t>12.4万元</w:t>
      </w:r>
      <w:r>
        <w:rPr>
          <w:rFonts w:hint="eastAsia" w:asciiTheme="minorEastAsia" w:hAnsiTheme="minorEastAsia" w:eastAsiaTheme="minorEastAsia"/>
          <w:color w:val="000000"/>
          <w:sz w:val="32"/>
          <w:szCs w:val="32"/>
          <w:lang w:eastAsia="zh-CN"/>
        </w:rPr>
        <w:t>、</w:t>
      </w:r>
      <w:r>
        <w:rPr>
          <w:rFonts w:hint="eastAsia" w:asciiTheme="minorEastAsia" w:hAnsiTheme="minorEastAsia" w:eastAsiaTheme="minorEastAsia"/>
          <w:color w:val="000000"/>
          <w:sz w:val="32"/>
          <w:szCs w:val="32"/>
        </w:rPr>
        <w:t>培训费</w:t>
      </w:r>
      <w:r>
        <w:rPr>
          <w:rFonts w:hint="eastAsia" w:asciiTheme="minorEastAsia" w:hAnsiTheme="minorEastAsia" w:eastAsiaTheme="minorEastAsia"/>
          <w:color w:val="000000"/>
          <w:sz w:val="32"/>
          <w:szCs w:val="32"/>
          <w:lang w:val="en-US" w:eastAsia="zh-CN"/>
        </w:rPr>
        <w:t>0.5万元</w:t>
      </w:r>
      <w:r>
        <w:rPr>
          <w:rFonts w:hint="eastAsia" w:asciiTheme="minorEastAsia" w:hAnsiTheme="minorEastAsia" w:eastAsiaTheme="minorEastAsia"/>
          <w:color w:val="000000"/>
          <w:sz w:val="32"/>
          <w:szCs w:val="32"/>
        </w:rPr>
        <w:t>、公务用车运行维护费4.60万元</w:t>
      </w:r>
      <w:r>
        <w:rPr>
          <w:rFonts w:hint="eastAsia" w:asciiTheme="minorEastAsia" w:hAnsiTheme="minorEastAsia" w:eastAsiaTheme="minorEastAsia"/>
          <w:color w:val="000000"/>
          <w:sz w:val="32"/>
          <w:szCs w:val="32"/>
          <w:lang w:eastAsia="zh-CN"/>
        </w:rPr>
        <w:t>。</w:t>
      </w:r>
    </w:p>
    <w:p>
      <w:pPr>
        <w:spacing w:line="600" w:lineRule="exact"/>
        <w:ind w:firstLine="640"/>
        <w:outlineLvl w:val="1"/>
        <w:rPr>
          <w:rStyle w:val="28"/>
          <w:rFonts w:asciiTheme="minorEastAsia" w:hAnsiTheme="minorEastAsia" w:eastAsiaTheme="minorEastAsia"/>
          <w:b w:val="0"/>
        </w:rPr>
      </w:pPr>
      <w:bookmarkStart w:id="58" w:name="_Toc16290"/>
      <w:bookmarkStart w:id="59" w:name="_Toc15396609"/>
      <w:bookmarkStart w:id="60" w:name="_Toc15377215"/>
      <w:r>
        <w:rPr>
          <w:rFonts w:hint="eastAsia" w:asciiTheme="minorEastAsia" w:hAnsiTheme="minorEastAsia" w:eastAsiaTheme="minorEastAsia"/>
          <w:color w:val="000000"/>
          <w:sz w:val="32"/>
          <w:szCs w:val="32"/>
        </w:rPr>
        <w:t>七、</w:t>
      </w:r>
      <w:r>
        <w:rPr>
          <w:rStyle w:val="28"/>
          <w:rFonts w:hint="eastAsia" w:asciiTheme="minorEastAsia" w:hAnsiTheme="minorEastAsia" w:eastAsiaTheme="minorEastAsia"/>
        </w:rPr>
        <w:t>“</w:t>
      </w:r>
      <w:r>
        <w:rPr>
          <w:rStyle w:val="28"/>
          <w:rFonts w:hint="eastAsia" w:asciiTheme="minorEastAsia" w:hAnsiTheme="minorEastAsia" w:eastAsiaTheme="minorEastAsia"/>
          <w:b w:val="0"/>
        </w:rPr>
        <w:t>三公”经费财政拨款支出决算情况说明</w:t>
      </w:r>
      <w:bookmarkEnd w:id="58"/>
      <w:bookmarkEnd w:id="59"/>
      <w:bookmarkEnd w:id="60"/>
    </w:p>
    <w:p>
      <w:pPr>
        <w:spacing w:line="600" w:lineRule="exact"/>
        <w:ind w:firstLine="640"/>
        <w:outlineLvl w:val="2"/>
        <w:rPr>
          <w:rFonts w:asciiTheme="minorEastAsia" w:hAnsiTheme="minorEastAsia" w:eastAsiaTheme="minorEastAsia"/>
          <w:b/>
          <w:color w:val="000000"/>
          <w:sz w:val="32"/>
          <w:szCs w:val="32"/>
        </w:rPr>
      </w:pPr>
      <w:bookmarkStart w:id="61" w:name="_Toc15377216"/>
      <w:r>
        <w:rPr>
          <w:rFonts w:hint="eastAsia" w:asciiTheme="minorEastAsia" w:hAnsiTheme="minorEastAsia" w:eastAsiaTheme="minorEastAsia"/>
          <w:b/>
          <w:color w:val="000000"/>
          <w:sz w:val="32"/>
          <w:szCs w:val="32"/>
        </w:rPr>
        <w:t>（一）“三公”经费财政拨款支出决算总体情况说明</w:t>
      </w:r>
      <w:bookmarkEnd w:id="61"/>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年“三公”经费财政拨款支出决算为</w:t>
      </w:r>
      <w:r>
        <w:rPr>
          <w:rFonts w:hint="eastAsia" w:asciiTheme="minorEastAsia" w:hAnsiTheme="minorEastAsia" w:eastAsiaTheme="minorEastAsia"/>
          <w:color w:val="000000"/>
          <w:sz w:val="32"/>
          <w:szCs w:val="32"/>
          <w:lang w:val="en-US" w:eastAsia="zh-CN"/>
        </w:rPr>
        <w:t>4.6</w:t>
      </w:r>
      <w:r>
        <w:rPr>
          <w:rFonts w:hint="eastAsia" w:asciiTheme="minorEastAsia" w:hAnsiTheme="minorEastAsia" w:eastAsiaTheme="minorEastAsia"/>
          <w:color w:val="000000"/>
          <w:sz w:val="32"/>
          <w:szCs w:val="32"/>
        </w:rPr>
        <w:t>万元，完成预算100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w:t>
      </w:r>
    </w:p>
    <w:p>
      <w:pPr>
        <w:spacing w:line="600" w:lineRule="exact"/>
        <w:ind w:firstLine="640"/>
        <w:outlineLvl w:val="2"/>
        <w:rPr>
          <w:rFonts w:asciiTheme="minorEastAsia" w:hAnsiTheme="minorEastAsia" w:eastAsiaTheme="minorEastAsia"/>
          <w:b/>
          <w:color w:val="000000"/>
          <w:sz w:val="32"/>
          <w:szCs w:val="32"/>
        </w:rPr>
      </w:pPr>
      <w:bookmarkStart w:id="62" w:name="_Toc15377217"/>
      <w:r>
        <w:rPr>
          <w:rFonts w:hint="eastAsia" w:asciiTheme="minorEastAsia" w:hAnsiTheme="minorEastAsia" w:eastAsiaTheme="minorEastAsia"/>
          <w:b/>
          <w:color w:val="000000"/>
          <w:sz w:val="32"/>
          <w:szCs w:val="32"/>
        </w:rPr>
        <w:t>（二）“三公”经费财政拨款支出决算具体情况说明</w:t>
      </w:r>
      <w:bookmarkEnd w:id="62"/>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年“三公”经费财政拨款支出决算中，因公出国（境）费支出决算0万元，占0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；公务用车购置及运行维护费支出决算4.6万元，占</w:t>
      </w:r>
      <w:r>
        <w:rPr>
          <w:rFonts w:hint="eastAsia" w:asciiTheme="minorEastAsia" w:hAnsiTheme="minorEastAsia" w:eastAsiaTheme="minorEastAsia"/>
          <w:color w:val="000000"/>
          <w:sz w:val="32"/>
          <w:szCs w:val="32"/>
          <w:lang w:val="en-US" w:eastAsia="zh-CN"/>
        </w:rPr>
        <w:t>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；公务接待费支出决算</w:t>
      </w:r>
      <w:r>
        <w:rPr>
          <w:rFonts w:hint="eastAsia" w:asciiTheme="minorEastAsia" w:hAnsiTheme="minorEastAsia" w:eastAsiaTheme="minorEastAsia"/>
          <w:color w:val="000000"/>
          <w:sz w:val="32"/>
          <w:szCs w:val="32"/>
          <w:lang w:val="en-US" w:eastAsia="zh-CN"/>
        </w:rPr>
        <w:t>0</w:t>
      </w:r>
      <w:r>
        <w:rPr>
          <w:rFonts w:hint="eastAsia" w:asciiTheme="minorEastAsia" w:hAnsiTheme="minorEastAsia" w:eastAsiaTheme="minorEastAsia"/>
          <w:color w:val="000000"/>
          <w:sz w:val="32"/>
          <w:szCs w:val="32"/>
        </w:rPr>
        <w:t>万元，占</w:t>
      </w:r>
      <w:r>
        <w:rPr>
          <w:rFonts w:hint="eastAsia" w:asciiTheme="minorEastAsia" w:hAnsiTheme="minorEastAsia" w:eastAsiaTheme="minorEastAsia"/>
          <w:color w:val="000000"/>
          <w:sz w:val="32"/>
          <w:szCs w:val="32"/>
          <w:lang w:val="en-US" w:eastAsia="zh-CN"/>
        </w:rPr>
        <w:t>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。具体情况如下：</w:t>
      </w:r>
    </w:p>
    <w:p>
      <w:pPr>
        <w:spacing w:line="600" w:lineRule="exact"/>
        <w:ind w:firstLine="640"/>
        <w:rPr>
          <w:rFonts w:hint="eastAsia"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（图</w:t>
      </w:r>
      <w:r>
        <w:rPr>
          <w:rFonts w:hint="eastAsia" w:asciiTheme="minorEastAsia" w:hAnsiTheme="minorEastAsia" w:eastAsiaTheme="minorEastAsia"/>
          <w:color w:val="000000"/>
          <w:sz w:val="32"/>
          <w:szCs w:val="32"/>
          <w:lang w:val="en-US" w:eastAsia="zh-CN"/>
        </w:rPr>
        <w:t>7</w:t>
      </w:r>
      <w:r>
        <w:rPr>
          <w:rFonts w:hint="eastAsia" w:asciiTheme="minorEastAsia" w:hAnsiTheme="minorEastAsia" w:eastAsiaTheme="minorEastAsia"/>
          <w:color w:val="000000"/>
          <w:sz w:val="32"/>
          <w:szCs w:val="32"/>
        </w:rPr>
        <w:t>：“三公”经费财政拨款支出结构）（饼状图）</w:t>
      </w:r>
    </w:p>
    <w:p>
      <w:pPr>
        <w:spacing w:line="600" w:lineRule="exact"/>
        <w:ind w:firstLine="640"/>
        <w:rPr>
          <w:rFonts w:hint="eastAsia"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lang w:eastAsia="zh-CN"/>
        </w:rPr>
        <w:drawing>
          <wp:anchor distT="0" distB="0" distL="114300" distR="114300" simplePos="0" relativeHeight="251665408" behindDoc="1" locked="0" layoutInCell="1" allowOverlap="1">
            <wp:simplePos x="0" y="0"/>
            <wp:positionH relativeFrom="column">
              <wp:posOffset>363220</wp:posOffset>
            </wp:positionH>
            <wp:positionV relativeFrom="paragraph">
              <wp:posOffset>370205</wp:posOffset>
            </wp:positionV>
            <wp:extent cx="4480560" cy="2362835"/>
            <wp:effectExtent l="4445" t="5080" r="67945" b="70485"/>
            <wp:wrapTight wrapText="bothSides">
              <wp:wrapPolygon>
                <wp:start x="-21" y="-46"/>
                <wp:lineTo x="-21" y="21548"/>
                <wp:lineTo x="21560" y="21548"/>
                <wp:lineTo x="21560" y="-46"/>
                <wp:lineTo x="-21" y="-46"/>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rPr>
      </w:pPr>
    </w:p>
    <w:p>
      <w:pPr>
        <w:spacing w:line="600" w:lineRule="exact"/>
        <w:ind w:firstLine="640"/>
        <w:rPr>
          <w:rFonts w:hint="eastAsia" w:asciiTheme="minorEastAsia" w:hAnsiTheme="minorEastAsia" w:eastAsiaTheme="minorEastAsia"/>
          <w:color w:val="000000"/>
          <w:sz w:val="32"/>
          <w:szCs w:val="32"/>
          <w:lang w:eastAsia="zh-CN"/>
        </w:rPr>
      </w:pPr>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b/>
          <w:color w:val="000000"/>
          <w:sz w:val="32"/>
          <w:szCs w:val="32"/>
        </w:rPr>
        <w:t>1.</w:t>
      </w:r>
      <w:r>
        <w:rPr>
          <w:rFonts w:hint="eastAsia" w:asciiTheme="minorEastAsia" w:hAnsiTheme="minorEastAsia" w:eastAsiaTheme="minorEastAsia"/>
          <w:b/>
          <w:color w:val="000000"/>
          <w:sz w:val="32"/>
          <w:szCs w:val="32"/>
        </w:rPr>
        <w:t>因公出国（境）经费支出</w:t>
      </w:r>
      <w:r>
        <w:rPr>
          <w:rFonts w:hint="eastAsia" w:asciiTheme="minorEastAsia" w:hAnsiTheme="minorEastAsia" w:eastAsiaTheme="minorEastAsia"/>
          <w:color w:val="000000"/>
          <w:sz w:val="32"/>
          <w:szCs w:val="32"/>
        </w:rPr>
        <w:t>0万元，</w:t>
      </w:r>
      <w:r>
        <w:rPr>
          <w:rStyle w:val="17"/>
          <w:rFonts w:hint="eastAsia" w:asciiTheme="minorEastAsia" w:hAnsiTheme="minorEastAsia" w:eastAsiaTheme="minorEastAsia"/>
          <w:b w:val="0"/>
          <w:bCs/>
          <w:color w:val="000000"/>
          <w:sz w:val="32"/>
          <w:szCs w:val="32"/>
        </w:rPr>
        <w:t>完成预算0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rPr>
        <w:t>全年安排因公出国（境）团组0次，出国（境）0人。因公出国（境）支出决算比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8</w:t>
      </w:r>
      <w:r>
        <w:rPr>
          <w:rFonts w:hint="eastAsia" w:asciiTheme="minorEastAsia" w:hAnsiTheme="minorEastAsia" w:eastAsiaTheme="minorEastAsia"/>
          <w:color w:val="000000"/>
          <w:sz w:val="32"/>
          <w:szCs w:val="32"/>
        </w:rPr>
        <w:t>年持平。</w:t>
      </w:r>
    </w:p>
    <w:p>
      <w:pPr>
        <w:spacing w:line="600" w:lineRule="exact"/>
        <w:ind w:firstLine="640"/>
        <w:rPr>
          <w:rFonts w:hint="default" w:asciiTheme="minorEastAsia" w:hAnsiTheme="minorEastAsia" w:eastAsiaTheme="minorEastAsia"/>
          <w:b/>
          <w:color w:val="000000"/>
          <w:sz w:val="32"/>
          <w:szCs w:val="32"/>
          <w:lang w:val="en-US" w:eastAsia="zh-CN"/>
        </w:rPr>
      </w:pPr>
      <w:r>
        <w:rPr>
          <w:rFonts w:asciiTheme="minorEastAsia" w:hAnsiTheme="minorEastAsia" w:eastAsiaTheme="minorEastAsia"/>
          <w:b/>
          <w:color w:val="000000"/>
          <w:sz w:val="32"/>
          <w:szCs w:val="32"/>
        </w:rPr>
        <w:t>2.</w:t>
      </w:r>
      <w:r>
        <w:rPr>
          <w:rFonts w:hint="eastAsia" w:asciiTheme="minorEastAsia" w:hAnsiTheme="minorEastAsia" w:eastAsiaTheme="minorEastAsia"/>
          <w:b/>
          <w:color w:val="000000"/>
          <w:sz w:val="32"/>
          <w:szCs w:val="32"/>
        </w:rPr>
        <w:t>公务用车购置及运行维护费支出</w:t>
      </w:r>
      <w:r>
        <w:rPr>
          <w:rFonts w:hint="eastAsia" w:asciiTheme="minorEastAsia" w:hAnsiTheme="minorEastAsia" w:eastAsiaTheme="minorEastAsia"/>
          <w:color w:val="000000"/>
          <w:sz w:val="32"/>
          <w:szCs w:val="32"/>
        </w:rPr>
        <w:t>4.6万元,</w:t>
      </w:r>
      <w:r>
        <w:rPr>
          <w:rStyle w:val="17"/>
          <w:rFonts w:hint="eastAsia" w:asciiTheme="minorEastAsia" w:hAnsiTheme="minorEastAsia" w:eastAsiaTheme="minorEastAsia"/>
          <w:b w:val="0"/>
          <w:bCs/>
          <w:color w:val="000000"/>
          <w:sz w:val="32"/>
          <w:szCs w:val="32"/>
        </w:rPr>
        <w:t>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lang w:val="en-US" w:eastAsia="zh-CN"/>
        </w:rPr>
        <w:t>与上年持平。</w:t>
      </w:r>
    </w:p>
    <w:p>
      <w:pPr>
        <w:spacing w:line="600" w:lineRule="exact"/>
        <w:ind w:firstLine="640" w:firstLineChars="200"/>
        <w:rPr>
          <w:rFonts w:asciiTheme="minorEastAsia" w:hAnsiTheme="minorEastAsia" w:eastAsiaTheme="minorEastAsia"/>
          <w:b/>
          <w:color w:val="000000"/>
          <w:sz w:val="32"/>
          <w:szCs w:val="32"/>
        </w:rPr>
      </w:pPr>
      <w:r>
        <w:rPr>
          <w:rFonts w:hint="eastAsia" w:asciiTheme="minorEastAsia" w:hAnsiTheme="minorEastAsia" w:eastAsiaTheme="minorEastAsia"/>
          <w:color w:val="000000"/>
          <w:sz w:val="32"/>
          <w:szCs w:val="32"/>
        </w:rPr>
        <w:t>其中：</w:t>
      </w:r>
      <w:r>
        <w:rPr>
          <w:rFonts w:hint="eastAsia" w:asciiTheme="minorEastAsia" w:hAnsiTheme="minorEastAsia" w:eastAsiaTheme="minorEastAsia"/>
          <w:b/>
          <w:color w:val="000000"/>
          <w:sz w:val="32"/>
          <w:szCs w:val="32"/>
        </w:rPr>
        <w:t>公务用车购置支出</w:t>
      </w:r>
      <w:r>
        <w:rPr>
          <w:rFonts w:hint="eastAsia" w:asciiTheme="minorEastAsia" w:hAnsiTheme="minorEastAsia" w:eastAsiaTheme="minorEastAsia"/>
          <w:color w:val="000000"/>
          <w:sz w:val="32"/>
          <w:szCs w:val="32"/>
        </w:rPr>
        <w:t>0万元。全年按规定更新购置公务用车0辆，其中：轿车0辆、金额0万元，越野车0辆、金额0万元，载客汽车0辆、金额0万元。截至</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w:t>
      </w:r>
      <w:r>
        <w:rPr>
          <w:rFonts w:asciiTheme="minorEastAsia" w:hAnsiTheme="minorEastAsia" w:eastAsiaTheme="minorEastAsia"/>
          <w:color w:val="000000"/>
          <w:sz w:val="32"/>
          <w:szCs w:val="32"/>
        </w:rPr>
        <w:t>12</w:t>
      </w:r>
      <w:r>
        <w:rPr>
          <w:rFonts w:hint="eastAsia" w:asciiTheme="minorEastAsia" w:hAnsiTheme="minorEastAsia" w:eastAsiaTheme="minorEastAsia"/>
          <w:color w:val="000000"/>
          <w:sz w:val="32"/>
          <w:szCs w:val="32"/>
        </w:rPr>
        <w:t>月底，单位共有公务用车1辆，其中：轿车0辆、越野车1辆、载客汽车0辆。</w:t>
      </w:r>
    </w:p>
    <w:p>
      <w:pPr>
        <w:spacing w:line="600" w:lineRule="exact"/>
        <w:ind w:firstLine="640"/>
        <w:rPr>
          <w:rFonts w:asciiTheme="minorEastAsia" w:hAnsiTheme="minorEastAsia" w:eastAsiaTheme="minorEastAsia"/>
          <w:color w:val="000000"/>
          <w:sz w:val="32"/>
          <w:szCs w:val="32"/>
        </w:rPr>
      </w:pPr>
      <w:r>
        <w:rPr>
          <w:rFonts w:hint="eastAsia" w:asciiTheme="minorEastAsia" w:hAnsiTheme="minorEastAsia" w:eastAsiaTheme="minorEastAsia"/>
          <w:b/>
          <w:color w:val="000000"/>
          <w:sz w:val="32"/>
          <w:szCs w:val="32"/>
        </w:rPr>
        <w:t>公务用车运行维护费支出</w:t>
      </w:r>
      <w:r>
        <w:rPr>
          <w:rFonts w:hint="eastAsia" w:asciiTheme="minorEastAsia" w:hAnsiTheme="minorEastAsia" w:eastAsiaTheme="minorEastAsia"/>
          <w:color w:val="000000"/>
          <w:sz w:val="32"/>
          <w:szCs w:val="32"/>
        </w:rPr>
        <w:t>4.6万元。主要用公务用车燃料费、维修费、过路过桥费、保险费等支出。</w:t>
      </w:r>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b/>
          <w:color w:val="000000"/>
          <w:sz w:val="32"/>
          <w:szCs w:val="32"/>
        </w:rPr>
        <w:t>3.</w:t>
      </w:r>
      <w:r>
        <w:rPr>
          <w:rFonts w:hint="eastAsia" w:asciiTheme="minorEastAsia" w:hAnsiTheme="minorEastAsia" w:eastAsiaTheme="minorEastAsia"/>
          <w:b/>
          <w:color w:val="000000"/>
          <w:sz w:val="32"/>
          <w:szCs w:val="32"/>
        </w:rPr>
        <w:t>公务接待费支出</w:t>
      </w:r>
      <w:r>
        <w:rPr>
          <w:rFonts w:hint="eastAsia" w:asciiTheme="minorEastAsia" w:hAnsiTheme="minorEastAsia" w:eastAsiaTheme="minorEastAsia"/>
          <w:color w:val="000000"/>
          <w:sz w:val="32"/>
          <w:szCs w:val="32"/>
          <w:lang w:val="en-US" w:eastAsia="zh-CN"/>
        </w:rPr>
        <w:t>0</w:t>
      </w:r>
      <w:r>
        <w:rPr>
          <w:rFonts w:hint="eastAsia" w:asciiTheme="minorEastAsia" w:hAnsiTheme="minorEastAsia" w:eastAsiaTheme="minorEastAsia"/>
          <w:color w:val="000000"/>
          <w:sz w:val="32"/>
          <w:szCs w:val="32"/>
        </w:rPr>
        <w:t>万元，</w:t>
      </w:r>
      <w:r>
        <w:rPr>
          <w:rStyle w:val="17"/>
          <w:rFonts w:hint="eastAsia" w:asciiTheme="minorEastAsia" w:hAnsiTheme="minorEastAsia" w:eastAsiaTheme="minorEastAsia"/>
          <w:b w:val="0"/>
          <w:bCs/>
          <w:color w:val="000000"/>
          <w:sz w:val="32"/>
          <w:szCs w:val="32"/>
        </w:rPr>
        <w:t>完成预算100</w:t>
      </w:r>
      <w:r>
        <w:rPr>
          <w:rStyle w:val="17"/>
          <w:rFonts w:asciiTheme="minorEastAsia" w:hAnsiTheme="minorEastAsia" w:eastAsiaTheme="minorEastAsia"/>
          <w:b w:val="0"/>
          <w:bCs/>
          <w:color w:val="000000"/>
          <w:sz w:val="32"/>
          <w:szCs w:val="32"/>
        </w:rPr>
        <w:t>%</w:t>
      </w:r>
      <w:r>
        <w:rPr>
          <w:rStyle w:val="17"/>
          <w:rFonts w:hint="eastAsia" w:asciiTheme="minorEastAsia" w:hAnsiTheme="minorEastAsia" w:eastAsiaTheme="minorEastAsia"/>
          <w:b w:val="0"/>
          <w:bCs/>
          <w:color w:val="000000"/>
          <w:sz w:val="32"/>
          <w:szCs w:val="32"/>
        </w:rPr>
        <w:t>。</w:t>
      </w:r>
      <w:r>
        <w:rPr>
          <w:rFonts w:hint="eastAsia" w:asciiTheme="minorEastAsia" w:hAnsiTheme="minorEastAsia" w:eastAsiaTheme="minorEastAsia"/>
          <w:color w:val="000000"/>
          <w:sz w:val="32"/>
          <w:szCs w:val="32"/>
        </w:rPr>
        <w:t>公务接待费支出决算比</w:t>
      </w: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8</w:t>
      </w:r>
      <w:r>
        <w:rPr>
          <w:rFonts w:hint="eastAsia" w:asciiTheme="minorEastAsia" w:hAnsiTheme="minorEastAsia" w:eastAsiaTheme="minorEastAsia"/>
          <w:color w:val="000000"/>
          <w:sz w:val="32"/>
          <w:szCs w:val="32"/>
        </w:rPr>
        <w:t>年减少</w:t>
      </w:r>
      <w:r>
        <w:rPr>
          <w:rFonts w:hint="eastAsia" w:asciiTheme="minorEastAsia" w:hAnsiTheme="minorEastAsia" w:eastAsiaTheme="minorEastAsia"/>
          <w:color w:val="000000"/>
          <w:sz w:val="32"/>
          <w:szCs w:val="32"/>
          <w:lang w:val="en-US" w:eastAsia="zh-CN"/>
        </w:rPr>
        <w:t>0.24</w:t>
      </w:r>
      <w:r>
        <w:rPr>
          <w:rFonts w:hint="eastAsia" w:asciiTheme="minorEastAsia" w:hAnsiTheme="minorEastAsia" w:eastAsiaTheme="minorEastAsia"/>
          <w:color w:val="000000"/>
          <w:sz w:val="32"/>
          <w:szCs w:val="32"/>
        </w:rPr>
        <w:t>万元，下降</w:t>
      </w:r>
      <w:r>
        <w:rPr>
          <w:rFonts w:hint="eastAsia" w:asciiTheme="minorEastAsia" w:hAnsiTheme="minorEastAsia" w:eastAsiaTheme="minorEastAsia"/>
          <w:color w:val="000000"/>
          <w:sz w:val="32"/>
          <w:szCs w:val="32"/>
          <w:lang w:val="en-US" w:eastAsia="zh-CN"/>
        </w:rPr>
        <w:t>100</w:t>
      </w:r>
      <w:r>
        <w:rPr>
          <w:rFonts w:asciiTheme="minorEastAsia" w:hAnsiTheme="minorEastAsia" w:eastAsiaTheme="minorEastAsia"/>
          <w:color w:val="000000"/>
          <w:sz w:val="32"/>
          <w:szCs w:val="32"/>
        </w:rPr>
        <w:t>%</w:t>
      </w:r>
      <w:r>
        <w:rPr>
          <w:rFonts w:hint="eastAsia" w:asciiTheme="minorEastAsia" w:hAnsiTheme="minorEastAsia" w:eastAsiaTheme="minorEastAsia"/>
          <w:color w:val="000000"/>
          <w:sz w:val="32"/>
          <w:szCs w:val="32"/>
        </w:rPr>
        <w:t>。主要原因是公务接待减少。</w:t>
      </w:r>
    </w:p>
    <w:p>
      <w:pPr>
        <w:spacing w:line="600" w:lineRule="exact"/>
        <w:ind w:firstLine="643" w:firstLineChars="200"/>
        <w:rPr>
          <w:rFonts w:asciiTheme="minorEastAsia" w:hAnsiTheme="minorEastAsia" w:eastAsiaTheme="minorEastAsia"/>
          <w:color w:val="000000"/>
          <w:sz w:val="32"/>
          <w:szCs w:val="32"/>
        </w:rPr>
      </w:pPr>
      <w:r>
        <w:rPr>
          <w:rFonts w:hint="eastAsia" w:asciiTheme="minorEastAsia" w:hAnsiTheme="minorEastAsia" w:eastAsiaTheme="minorEastAsia"/>
          <w:b/>
          <w:color w:val="000000"/>
          <w:sz w:val="32"/>
          <w:szCs w:val="32"/>
        </w:rPr>
        <w:t>外事接待支出</w:t>
      </w:r>
      <w:r>
        <w:rPr>
          <w:rFonts w:hint="eastAsia" w:asciiTheme="minorEastAsia" w:hAnsiTheme="minorEastAsia" w:eastAsiaTheme="minorEastAsia"/>
          <w:color w:val="000000"/>
          <w:sz w:val="32"/>
          <w:szCs w:val="32"/>
        </w:rPr>
        <w:t>0万元</w:t>
      </w:r>
      <w:r>
        <w:rPr>
          <w:rFonts w:hint="eastAsia" w:asciiTheme="minorEastAsia" w:hAnsiTheme="minorEastAsia" w:eastAsiaTheme="minorEastAsia"/>
          <w:color w:val="000000" w:themeColor="text1"/>
          <w:sz w:val="32"/>
          <w:szCs w:val="32"/>
        </w:rPr>
        <w:t>，外事接待0批次，0人，共计支出0万元。</w:t>
      </w:r>
      <w:bookmarkStart w:id="63" w:name="_Toc15377218"/>
      <w:bookmarkStart w:id="64" w:name="_Toc15396610"/>
    </w:p>
    <w:p>
      <w:pPr>
        <w:spacing w:line="600" w:lineRule="exact"/>
        <w:ind w:firstLine="640"/>
        <w:outlineLvl w:val="1"/>
        <w:rPr>
          <w:rStyle w:val="28"/>
          <w:rFonts w:asciiTheme="minorEastAsia" w:hAnsiTheme="minorEastAsia" w:eastAsiaTheme="minorEastAsia"/>
        </w:rPr>
      </w:pPr>
      <w:bookmarkStart w:id="65" w:name="_Toc28369"/>
      <w:r>
        <w:rPr>
          <w:rFonts w:hint="eastAsia" w:asciiTheme="minorEastAsia" w:hAnsiTheme="minorEastAsia" w:eastAsiaTheme="minorEastAsia"/>
          <w:color w:val="000000"/>
          <w:sz w:val="32"/>
          <w:szCs w:val="32"/>
        </w:rPr>
        <w:t>八、</w:t>
      </w:r>
      <w:r>
        <w:rPr>
          <w:rStyle w:val="28"/>
          <w:rFonts w:hint="eastAsia" w:asciiTheme="minorEastAsia" w:hAnsiTheme="minorEastAsia" w:eastAsiaTheme="minorEastAsia"/>
          <w:b w:val="0"/>
        </w:rPr>
        <w:t>政府性基金预算支出决算情况说明</w:t>
      </w:r>
      <w:bookmarkEnd w:id="63"/>
      <w:bookmarkEnd w:id="64"/>
      <w:bookmarkEnd w:id="65"/>
    </w:p>
    <w:p>
      <w:pPr>
        <w:spacing w:line="600" w:lineRule="exact"/>
        <w:ind w:firstLine="640"/>
        <w:rPr>
          <w:rFonts w:asciiTheme="minorEastAsia" w:hAnsiTheme="minorEastAsia" w:eastAsiaTheme="minorEastAsia"/>
          <w:color w:val="000000"/>
          <w:sz w:val="32"/>
          <w:szCs w:val="32"/>
        </w:rPr>
      </w:pPr>
      <w:r>
        <w:rPr>
          <w:rFonts w:asciiTheme="minorEastAsia" w:hAnsiTheme="minorEastAsia" w:eastAsiaTheme="minorEastAsia"/>
          <w:color w:val="000000"/>
          <w:sz w:val="32"/>
          <w:szCs w:val="32"/>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rPr>
        <w:t>年政府性基金预算拨款支出0万元。</w:t>
      </w:r>
    </w:p>
    <w:p>
      <w:pPr>
        <w:numPr>
          <w:ilvl w:val="0"/>
          <w:numId w:val="2"/>
        </w:numPr>
        <w:spacing w:line="600" w:lineRule="exact"/>
        <w:ind w:firstLine="640"/>
        <w:outlineLvl w:val="1"/>
        <w:rPr>
          <w:rStyle w:val="28"/>
          <w:rFonts w:asciiTheme="minorEastAsia" w:hAnsiTheme="minorEastAsia" w:eastAsiaTheme="minorEastAsia"/>
          <w:b w:val="0"/>
        </w:rPr>
      </w:pPr>
      <w:bookmarkStart w:id="66" w:name="_Toc19183"/>
      <w:bookmarkStart w:id="67" w:name="_Toc15377219"/>
      <w:bookmarkStart w:id="68" w:name="_Toc15396611"/>
      <w:r>
        <w:rPr>
          <w:rStyle w:val="28"/>
          <w:rFonts w:hint="eastAsia" w:asciiTheme="minorEastAsia" w:hAnsiTheme="minorEastAsia" w:eastAsiaTheme="minorEastAsia"/>
          <w:b w:val="0"/>
        </w:rPr>
        <w:t>国有资本经营预算支出决算情况说明</w:t>
      </w:r>
      <w:bookmarkEnd w:id="66"/>
      <w:bookmarkEnd w:id="67"/>
      <w:bookmarkEnd w:id="68"/>
    </w:p>
    <w:p>
      <w:pPr>
        <w:spacing w:line="600" w:lineRule="exact"/>
        <w:ind w:firstLine="640"/>
        <w:rPr>
          <w:rFonts w:hint="eastAsia" w:asciiTheme="minorEastAsia" w:hAnsiTheme="minorEastAsia" w:eastAsiaTheme="minorEastAsia"/>
          <w:color w:val="000000"/>
          <w:sz w:val="32"/>
          <w:szCs w:val="32"/>
        </w:rPr>
      </w:pPr>
      <w:r>
        <w:rPr>
          <w:rFonts w:asciiTheme="minorEastAsia" w:hAnsiTheme="minorEastAsia" w:eastAsiaTheme="minorEastAsia"/>
          <w:color w:val="000000"/>
          <w:sz w:val="32"/>
          <w:szCs w:val="32"/>
        </w:rPr>
        <w:t>20</w:t>
      </w:r>
      <w:r>
        <w:rPr>
          <w:rFonts w:hint="eastAsia" w:asciiTheme="minorEastAsia" w:hAnsiTheme="minorEastAsia" w:eastAsiaTheme="minorEastAsia"/>
          <w:color w:val="000000"/>
          <w:sz w:val="32"/>
          <w:szCs w:val="32"/>
          <w:lang w:val="en-US" w:eastAsia="zh-CN"/>
        </w:rPr>
        <w:t>19</w:t>
      </w:r>
      <w:r>
        <w:rPr>
          <w:rFonts w:hint="eastAsia" w:asciiTheme="minorEastAsia" w:hAnsiTheme="minorEastAsia" w:eastAsiaTheme="minorEastAsia"/>
          <w:color w:val="000000"/>
          <w:sz w:val="32"/>
          <w:szCs w:val="32"/>
        </w:rPr>
        <w:t>年国有资本经营预算拨款支出0万元。</w:t>
      </w:r>
    </w:p>
    <w:p>
      <w:pPr>
        <w:spacing w:line="600" w:lineRule="exact"/>
        <w:ind w:firstLine="800" w:firstLineChars="250"/>
        <w:outlineLvl w:val="1"/>
        <w:rPr>
          <w:rStyle w:val="33"/>
          <w:rFonts w:ascii="黑体" w:hAnsi="黑体" w:eastAsia="黑体"/>
        </w:rPr>
      </w:pPr>
      <w:bookmarkStart w:id="69" w:name="_Toc24002"/>
      <w:r>
        <w:rPr>
          <w:rFonts w:hint="eastAsia" w:ascii="黑体" w:hAnsi="黑体" w:eastAsia="黑体"/>
          <w:color w:val="000000"/>
          <w:sz w:val="32"/>
          <w:szCs w:val="32"/>
        </w:rPr>
        <w:t>十</w:t>
      </w:r>
      <w:r>
        <w:rPr>
          <w:rStyle w:val="33"/>
          <w:rFonts w:hint="eastAsia" w:ascii="黑体" w:hAnsi="黑体" w:eastAsia="黑体"/>
        </w:rPr>
        <w:t>、</w:t>
      </w:r>
      <w:r>
        <w:rPr>
          <w:rStyle w:val="33"/>
          <w:rFonts w:hint="eastAsia" w:ascii="黑体" w:hAnsi="黑体" w:eastAsia="黑体"/>
          <w:b w:val="0"/>
        </w:rPr>
        <w:t>其他重要事项的情况说明</w:t>
      </w:r>
      <w:bookmarkEnd w:id="69"/>
    </w:p>
    <w:p>
      <w:pPr>
        <w:spacing w:line="600" w:lineRule="exact"/>
        <w:ind w:firstLine="643" w:firstLineChars="200"/>
        <w:outlineLvl w:val="2"/>
        <w:rPr>
          <w:rFonts w:ascii="仿宋" w:hAnsi="仿宋" w:eastAsia="仿宋"/>
          <w:color w:val="000000"/>
          <w:sz w:val="32"/>
          <w:szCs w:val="32"/>
        </w:rPr>
      </w:pPr>
      <w:r>
        <w:rPr>
          <w:rFonts w:hint="eastAsia" w:ascii="仿宋" w:hAnsi="仿宋" w:eastAsia="仿宋"/>
          <w:b/>
          <w:color w:val="000000"/>
          <w:sz w:val="32"/>
          <w:szCs w:val="32"/>
        </w:rPr>
        <w:t>（一）机关运行经费支出情况</w:t>
      </w:r>
    </w:p>
    <w:p>
      <w:pPr>
        <w:spacing w:line="600" w:lineRule="exact"/>
        <w:ind w:firstLine="640" w:firstLineChars="200"/>
        <w:rPr>
          <w:rFonts w:ascii="仿宋_GB2312" w:eastAsia="仿宋_GB2312"/>
          <w:color w:val="000000" w:themeColor="text1"/>
          <w:sz w:val="32"/>
          <w:szCs w:val="32"/>
        </w:rPr>
      </w:pPr>
      <w:r>
        <w:rPr>
          <w:rFonts w:ascii="仿宋_GB2312" w:eastAsia="仿宋_GB2312"/>
          <w:color w:val="000000"/>
          <w:sz w:val="32"/>
          <w:szCs w:val="32"/>
        </w:rPr>
        <w:t>201</w:t>
      </w:r>
      <w:r>
        <w:rPr>
          <w:rFonts w:hint="eastAsia" w:ascii="仿宋_GB2312" w:eastAsia="仿宋_GB2312"/>
          <w:color w:val="000000"/>
          <w:sz w:val="32"/>
          <w:szCs w:val="32"/>
        </w:rPr>
        <w:t>9年，</w:t>
      </w:r>
      <w:r>
        <w:rPr>
          <w:rFonts w:hint="eastAsia" w:ascii="仿宋_GB2312" w:eastAsia="仿宋_GB2312"/>
          <w:color w:val="000000"/>
          <w:sz w:val="32"/>
          <w:szCs w:val="32"/>
          <w:lang w:val="en-US" w:eastAsia="zh-CN"/>
        </w:rPr>
        <w:t>交通局机关</w:t>
      </w:r>
      <w:r>
        <w:rPr>
          <w:rFonts w:hint="eastAsia" w:ascii="仿宋_GB2312" w:eastAsia="仿宋_GB2312"/>
          <w:color w:val="000000"/>
          <w:sz w:val="32"/>
          <w:szCs w:val="32"/>
        </w:rPr>
        <w:t>运行经费支出</w:t>
      </w:r>
      <w:r>
        <w:rPr>
          <w:rFonts w:hint="eastAsia" w:ascii="仿宋_GB2312" w:eastAsia="仿宋_GB2312"/>
          <w:color w:val="000000"/>
          <w:sz w:val="32"/>
          <w:szCs w:val="32"/>
          <w:lang w:val="en-US" w:eastAsia="zh-CN"/>
        </w:rPr>
        <w:t>27.5</w:t>
      </w:r>
      <w:r>
        <w:rPr>
          <w:rFonts w:hint="eastAsia" w:ascii="仿宋_GB2312" w:eastAsia="仿宋_GB2312"/>
          <w:color w:val="000000"/>
          <w:sz w:val="32"/>
          <w:szCs w:val="32"/>
        </w:rPr>
        <w:t>万元，比</w:t>
      </w:r>
      <w:r>
        <w:rPr>
          <w:rFonts w:ascii="仿宋_GB2312" w:eastAsia="仿宋_GB2312"/>
          <w:color w:val="000000"/>
          <w:sz w:val="32"/>
          <w:szCs w:val="32"/>
        </w:rPr>
        <w:t>201</w:t>
      </w:r>
      <w:r>
        <w:rPr>
          <w:rFonts w:hint="eastAsia" w:ascii="仿宋_GB2312" w:eastAsia="仿宋_GB2312"/>
          <w:color w:val="000000"/>
          <w:sz w:val="32"/>
          <w:szCs w:val="32"/>
        </w:rPr>
        <w:t>8年减少</w:t>
      </w:r>
      <w:r>
        <w:rPr>
          <w:rFonts w:hint="eastAsia" w:ascii="仿宋_GB2312" w:eastAsia="仿宋_GB2312"/>
          <w:color w:val="000000"/>
          <w:sz w:val="32"/>
          <w:szCs w:val="32"/>
          <w:lang w:val="en-US" w:eastAsia="zh-CN"/>
        </w:rPr>
        <w:t>27.93</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50.39</w:t>
      </w:r>
      <w:r>
        <w:rPr>
          <w:rFonts w:ascii="仿宋_GB2312" w:eastAsia="仿宋_GB2312"/>
          <w:color w:val="000000"/>
          <w:sz w:val="32"/>
          <w:szCs w:val="32"/>
        </w:rPr>
        <w:t>%</w:t>
      </w:r>
      <w:r>
        <w:rPr>
          <w:rFonts w:hint="eastAsia" w:ascii="仿宋_GB2312" w:eastAsia="仿宋_GB2312"/>
          <w:color w:val="000000"/>
          <w:sz w:val="32"/>
          <w:szCs w:val="32"/>
        </w:rPr>
        <w:t>。</w:t>
      </w:r>
      <w:r>
        <w:rPr>
          <w:rFonts w:hint="eastAsia" w:ascii="仿宋_GB2312" w:eastAsia="仿宋_GB2312"/>
          <w:color w:val="000000" w:themeColor="text1"/>
          <w:sz w:val="32"/>
          <w:szCs w:val="32"/>
        </w:rPr>
        <w:t>主要原因是</w:t>
      </w:r>
      <w:r>
        <w:rPr>
          <w:rFonts w:hint="eastAsia" w:ascii="仿宋_GB2312" w:eastAsia="仿宋_GB2312"/>
          <w:color w:val="000000" w:themeColor="text1"/>
          <w:sz w:val="32"/>
          <w:szCs w:val="32"/>
          <w:lang w:eastAsia="zh-CN"/>
        </w:rPr>
        <w:t>厉行节约减少不必要的开支。</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（二）政府采购支出情况</w:t>
      </w:r>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w:t>
      </w:r>
      <w:r>
        <w:rPr>
          <w:rFonts w:hint="eastAsia" w:ascii="仿宋_GB2312" w:eastAsia="仿宋_GB2312"/>
          <w:color w:val="000000"/>
          <w:sz w:val="32"/>
          <w:szCs w:val="32"/>
        </w:rPr>
        <w:t>9年，政府采购支出总额</w:t>
      </w:r>
      <w:r>
        <w:rPr>
          <w:rFonts w:hint="eastAsia" w:ascii="仿宋_GB2312" w:eastAsia="仿宋_GB2312"/>
          <w:color w:val="000000"/>
          <w:sz w:val="32"/>
          <w:szCs w:val="32"/>
          <w:lang w:val="en-US" w:eastAsia="zh-CN"/>
        </w:rPr>
        <w:t>18.2</w:t>
      </w:r>
      <w:r>
        <w:rPr>
          <w:rFonts w:hint="eastAsia" w:ascii="仿宋_GB2312" w:eastAsia="仿宋_GB2312"/>
          <w:color w:val="000000"/>
          <w:sz w:val="32"/>
          <w:szCs w:val="32"/>
        </w:rPr>
        <w:t>万元，其中：政府采购货物支出</w:t>
      </w:r>
      <w:r>
        <w:rPr>
          <w:rFonts w:hint="eastAsia" w:ascii="仿宋_GB2312" w:eastAsia="仿宋_GB2312"/>
          <w:color w:val="000000"/>
          <w:sz w:val="32"/>
          <w:szCs w:val="32"/>
          <w:lang w:val="en-US" w:eastAsia="zh-CN"/>
        </w:rPr>
        <w:t>18.2</w:t>
      </w:r>
      <w:r>
        <w:rPr>
          <w:rFonts w:hint="eastAsia" w:ascii="仿宋_GB2312" w:eastAsia="仿宋_GB2312"/>
          <w:color w:val="000000"/>
          <w:sz w:val="32"/>
          <w:szCs w:val="32"/>
        </w:rPr>
        <w:t>万元、政府采购工程支出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万元、政府采购服务支出</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万元</w:t>
      </w:r>
      <w:r>
        <w:rPr>
          <w:rFonts w:hint="eastAsia" w:ascii="仿宋_GB2312" w:eastAsia="仿宋_GB2312"/>
          <w:color w:val="000000"/>
          <w:sz w:val="32"/>
          <w:szCs w:val="32"/>
          <w:lang w:eastAsia="zh-CN"/>
        </w:rPr>
        <w:t>，</w:t>
      </w:r>
      <w:r>
        <w:rPr>
          <w:rFonts w:hint="eastAsia" w:ascii="仿宋_GB2312" w:eastAsia="仿宋_GB2312"/>
          <w:color w:val="000000"/>
          <w:sz w:val="32"/>
          <w:szCs w:val="32"/>
        </w:rPr>
        <w:t>授予中小企业合同金额</w:t>
      </w:r>
      <w:r>
        <w:rPr>
          <w:rFonts w:hint="eastAsia" w:ascii="仿宋_GB2312" w:eastAsia="仿宋_GB2312"/>
          <w:color w:val="000000"/>
          <w:sz w:val="32"/>
          <w:szCs w:val="32"/>
          <w:lang w:val="en-US" w:eastAsia="zh-CN"/>
        </w:rPr>
        <w:t>18.2</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，其中：授予小微企业合同金额</w:t>
      </w:r>
      <w:r>
        <w:rPr>
          <w:rFonts w:hint="eastAsia" w:ascii="仿宋_GB2312" w:eastAsia="仿宋_GB2312"/>
          <w:color w:val="000000"/>
          <w:sz w:val="32"/>
          <w:szCs w:val="32"/>
          <w:lang w:val="en-US" w:eastAsia="zh-CN"/>
        </w:rPr>
        <w:t>18.2</w:t>
      </w:r>
      <w:r>
        <w:rPr>
          <w:rFonts w:hint="eastAsia" w:ascii="仿宋_GB2312" w:eastAsia="仿宋_GB2312"/>
          <w:color w:val="000000"/>
          <w:sz w:val="32"/>
          <w:szCs w:val="32"/>
        </w:rPr>
        <w:t>万元，占政府采购支出总额的</w:t>
      </w:r>
      <w:r>
        <w:rPr>
          <w:rFonts w:hint="eastAsia" w:ascii="仿宋_GB2312" w:eastAsia="仿宋_GB2312"/>
          <w:color w:val="000000"/>
          <w:sz w:val="32"/>
          <w:szCs w:val="32"/>
          <w:lang w:val="en-US" w:eastAsia="zh-CN"/>
        </w:rPr>
        <w:t>100</w:t>
      </w:r>
      <w:r>
        <w:rPr>
          <w:rFonts w:ascii="仿宋_GB2312" w:eastAsia="仿宋_GB2312"/>
          <w:color w:val="000000"/>
          <w:sz w:val="32"/>
          <w:szCs w:val="32"/>
        </w:rPr>
        <w:t>%</w:t>
      </w:r>
      <w:r>
        <w:rPr>
          <w:rFonts w:hint="eastAsia" w:ascii="仿宋_GB2312" w:eastAsia="仿宋_GB2312"/>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r>
        <w:rPr>
          <w:rFonts w:hint="eastAsia" w:ascii="仿宋" w:hAnsi="仿宋" w:eastAsia="仿宋"/>
          <w:b/>
          <w:color w:val="000000"/>
          <w:sz w:val="32"/>
          <w:szCs w:val="32"/>
        </w:rPr>
        <w:t>（三）国有资产占有使用情况</w:t>
      </w:r>
    </w:p>
    <w:p>
      <w:pPr>
        <w:autoSpaceDE w:val="0"/>
        <w:autoSpaceDN w:val="0"/>
        <w:adjustRightInd w:val="0"/>
        <w:spacing w:line="600" w:lineRule="exact"/>
        <w:ind w:firstLine="640" w:firstLineChars="200"/>
        <w:jc w:val="left"/>
        <w:rPr>
          <w:rFonts w:hint="eastAsia" w:ascii="仿宋_GB2312" w:eastAsia="仿宋_GB2312"/>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9年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日，共有车辆</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辆，其中：主要领导干部用车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辆、机要通信用车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辆、应急保障用车</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辆、其他用车</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辆</w:t>
      </w:r>
      <w:r>
        <w:rPr>
          <w:rFonts w:hint="eastAsia" w:ascii="仿宋_GB2312" w:eastAsia="仿宋_GB2312"/>
          <w:color w:val="000000"/>
          <w:sz w:val="32"/>
          <w:szCs w:val="32"/>
          <w:lang w:val="en-US" w:eastAsia="zh-CN"/>
        </w:rPr>
        <w:t>.</w:t>
      </w:r>
      <w:r>
        <w:rPr>
          <w:rFonts w:hint="eastAsia" w:ascii="仿宋_GB2312" w:eastAsia="仿宋_GB2312"/>
          <w:color w:val="000000" w:themeColor="text1"/>
          <w:sz w:val="32"/>
          <w:szCs w:val="32"/>
        </w:rPr>
        <w:t>单价</w:t>
      </w:r>
      <w:r>
        <w:rPr>
          <w:rFonts w:ascii="仿宋_GB2312" w:eastAsia="仿宋_GB2312"/>
          <w:color w:val="000000" w:themeColor="text1"/>
          <w:sz w:val="32"/>
          <w:szCs w:val="32"/>
        </w:rPr>
        <w:t>50</w:t>
      </w:r>
      <w:r>
        <w:rPr>
          <w:rFonts w:hint="eastAsia" w:ascii="仿宋_GB2312" w:eastAsia="仿宋_GB2312"/>
          <w:color w:val="000000" w:themeColor="text1"/>
          <w:sz w:val="32"/>
          <w:szCs w:val="32"/>
        </w:rPr>
        <w:t>万元以上通用设备</w:t>
      </w:r>
      <w:r>
        <w:rPr>
          <w:rFonts w:hint="eastAsia" w:ascii="仿宋_GB2312" w:eastAsia="仿宋_GB2312"/>
          <w:color w:val="000000" w:themeColor="text1"/>
          <w:sz w:val="32"/>
          <w:szCs w:val="32"/>
          <w:lang w:val="en-US" w:eastAsia="zh-CN"/>
        </w:rPr>
        <w:t>0</w:t>
      </w:r>
      <w:r>
        <w:rPr>
          <w:rFonts w:hint="eastAsia" w:ascii="仿宋_GB2312" w:eastAsia="仿宋_GB2312"/>
          <w:color w:val="000000" w:themeColor="text1"/>
          <w:sz w:val="32"/>
          <w:szCs w:val="32"/>
        </w:rPr>
        <w:t>台（套），单价</w:t>
      </w:r>
      <w:r>
        <w:rPr>
          <w:rFonts w:ascii="仿宋_GB2312" w:eastAsia="仿宋_GB2312"/>
          <w:color w:val="000000" w:themeColor="text1"/>
          <w:sz w:val="32"/>
          <w:szCs w:val="32"/>
        </w:rPr>
        <w:t>100</w:t>
      </w:r>
      <w:r>
        <w:rPr>
          <w:rFonts w:hint="eastAsia" w:ascii="仿宋_GB2312" w:eastAsia="仿宋_GB2312"/>
          <w:color w:val="000000"/>
          <w:sz w:val="32"/>
          <w:szCs w:val="32"/>
        </w:rPr>
        <w:t>万元以上专用设备</w:t>
      </w:r>
      <w:r>
        <w:rPr>
          <w:rFonts w:hint="eastAsia" w:ascii="仿宋_GB2312" w:eastAsia="仿宋_GB2312"/>
          <w:color w:val="000000"/>
          <w:sz w:val="32"/>
          <w:szCs w:val="32"/>
          <w:lang w:val="en-US" w:eastAsia="zh-CN"/>
        </w:rPr>
        <w:t>0</w:t>
      </w:r>
      <w:r>
        <w:rPr>
          <w:rFonts w:hint="eastAsia" w:ascii="仿宋_GB2312" w:eastAsia="仿宋_GB2312"/>
          <w:color w:val="000000"/>
          <w:sz w:val="32"/>
          <w:szCs w:val="32"/>
        </w:rPr>
        <w:t>台（套）。</w:t>
      </w:r>
    </w:p>
    <w:p>
      <w:pPr>
        <w:pStyle w:val="2"/>
        <w:numPr>
          <w:ilvl w:val="0"/>
          <w:numId w:val="3"/>
        </w:numPr>
        <w:ind w:left="480" w:leftChars="0" w:firstLine="0" w:firstLineChars="0"/>
        <w:rPr>
          <w:rFonts w:hint="eastAsia" w:ascii="仿宋" w:hAnsi="仿宋" w:eastAsia="仿宋" w:cs="Times New Roman"/>
          <w:b/>
          <w:color w:val="000000"/>
          <w:kern w:val="2"/>
          <w:sz w:val="32"/>
          <w:szCs w:val="32"/>
          <w:lang w:val="en-US" w:eastAsia="zh-CN" w:bidi="ar-SA"/>
        </w:rPr>
      </w:pPr>
      <w:r>
        <w:rPr>
          <w:rFonts w:hint="eastAsia" w:ascii="仿宋" w:hAnsi="仿宋" w:eastAsia="仿宋" w:cs="Times New Roman"/>
          <w:b/>
          <w:color w:val="000000"/>
          <w:kern w:val="2"/>
          <w:sz w:val="32"/>
          <w:szCs w:val="32"/>
          <w:lang w:val="en-US" w:eastAsia="zh-CN" w:bidi="ar-SA"/>
        </w:rPr>
        <w:t>由养老保险机构发放养老金的退休人员</w:t>
      </w:r>
    </w:p>
    <w:p>
      <w:pPr>
        <w:pStyle w:val="2"/>
        <w:numPr>
          <w:ilvl w:val="0"/>
          <w:numId w:val="0"/>
        </w:numPr>
        <w:ind w:firstLine="640" w:firstLineChars="200"/>
        <w:rPr>
          <w:rFonts w:hint="default" w:ascii="仿宋_GB2312" w:eastAsia="仿宋_GB2312"/>
          <w:color w:val="000000"/>
          <w:sz w:val="32"/>
          <w:szCs w:val="32"/>
          <w:lang w:val="en-US" w:eastAsia="zh-CN"/>
        </w:rPr>
      </w:pPr>
      <w:r>
        <w:rPr>
          <w:rFonts w:hint="eastAsia" w:ascii="仿宋_GB2312" w:eastAsia="仿宋_GB2312"/>
          <w:color w:val="000000"/>
          <w:sz w:val="32"/>
          <w:szCs w:val="32"/>
        </w:rPr>
        <w:t>截至</w:t>
      </w:r>
      <w:r>
        <w:rPr>
          <w:rFonts w:ascii="仿宋_GB2312" w:eastAsia="仿宋_GB2312"/>
          <w:color w:val="000000"/>
          <w:sz w:val="32"/>
          <w:szCs w:val="32"/>
        </w:rPr>
        <w:t>201</w:t>
      </w:r>
      <w:r>
        <w:rPr>
          <w:rFonts w:hint="eastAsia" w:ascii="仿宋_GB2312" w:eastAsia="仿宋_GB2312"/>
          <w:color w:val="000000"/>
          <w:sz w:val="32"/>
          <w:szCs w:val="32"/>
        </w:rPr>
        <w:t>9年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本单位由养老保险机构发放养老金的退休人员11人，与上年保持不变。</w:t>
      </w:r>
    </w:p>
    <w:p>
      <w:pPr>
        <w:pStyle w:val="26"/>
        <w:numPr>
          <w:ilvl w:val="0"/>
          <w:numId w:val="4"/>
        </w:numPr>
        <w:spacing w:line="580" w:lineRule="exact"/>
        <w:ind w:firstLineChars="0"/>
        <w:rPr>
          <w:rStyle w:val="28"/>
          <w:rFonts w:asciiTheme="minorEastAsia" w:hAnsiTheme="minorEastAsia" w:eastAsiaTheme="minorEastAsia"/>
          <w:b w:val="0"/>
        </w:rPr>
      </w:pPr>
      <w:bookmarkStart w:id="70" w:name="_Toc17199"/>
      <w:r>
        <w:rPr>
          <w:rStyle w:val="28"/>
          <w:rFonts w:hint="eastAsia" w:asciiTheme="minorEastAsia" w:hAnsiTheme="minorEastAsia" w:eastAsiaTheme="minorEastAsia"/>
          <w:b w:val="0"/>
        </w:rPr>
        <w:t>预算绩效情况说明</w:t>
      </w:r>
    </w:p>
    <w:bookmarkEnd w:id="70"/>
    <w:p>
      <w:pPr>
        <w:pStyle w:val="26"/>
        <w:numPr>
          <w:ilvl w:val="0"/>
          <w:numId w:val="5"/>
        </w:numPr>
        <w:spacing w:line="580" w:lineRule="exact"/>
        <w:ind w:firstLineChars="0"/>
        <w:rPr>
          <w:rFonts w:cs="楷体_GB2312" w:asciiTheme="minorEastAsia" w:hAnsiTheme="minorEastAsia" w:eastAsiaTheme="minorEastAsia"/>
          <w:b/>
          <w:bCs/>
          <w:sz w:val="32"/>
          <w:szCs w:val="32"/>
        </w:rPr>
      </w:pPr>
      <w:r>
        <w:rPr>
          <w:rFonts w:hint="eastAsia" w:cs="楷体_GB2312" w:asciiTheme="minorEastAsia" w:hAnsiTheme="minorEastAsia" w:eastAsiaTheme="minorEastAsia"/>
          <w:b/>
          <w:bCs/>
          <w:sz w:val="32"/>
          <w:szCs w:val="32"/>
        </w:rPr>
        <w:t>预算绩效管理工作开展情况。</w:t>
      </w:r>
    </w:p>
    <w:p>
      <w:pPr>
        <w:snapToGrid w:val="0"/>
        <w:spacing w:line="520" w:lineRule="exact"/>
        <w:ind w:firstLine="640" w:firstLineChars="200"/>
        <w:rPr>
          <w:rFonts w:ascii="宋体" w:hAnsi="宋体"/>
          <w:sz w:val="32"/>
          <w:szCs w:val="32"/>
        </w:rPr>
      </w:pPr>
      <w:r>
        <w:rPr>
          <w:rFonts w:hint="eastAsia" w:ascii="宋体" w:hAnsi="宋体"/>
          <w:sz w:val="32"/>
          <w:szCs w:val="32"/>
        </w:rPr>
        <w:t>1.概述项目绩效目标完成情况。</w:t>
      </w:r>
    </w:p>
    <w:p>
      <w:pPr>
        <w:snapToGrid w:val="0"/>
        <w:spacing w:line="520" w:lineRule="exact"/>
        <w:ind w:firstLine="640" w:firstLineChars="200"/>
        <w:rPr>
          <w:rFonts w:ascii="宋体" w:hAnsi="宋体"/>
          <w:sz w:val="32"/>
          <w:szCs w:val="32"/>
        </w:rPr>
      </w:pPr>
      <w:r>
        <w:rPr>
          <w:rFonts w:hint="eastAsia" w:ascii="宋体" w:hAnsi="宋体"/>
          <w:sz w:val="32"/>
          <w:szCs w:val="32"/>
        </w:rPr>
        <w:t>单位进一步提高预算绩效管理认识，强化以“绩效</w:t>
      </w:r>
    </w:p>
    <w:p>
      <w:pPr>
        <w:snapToGrid w:val="0"/>
        <w:spacing w:line="520" w:lineRule="exact"/>
        <w:rPr>
          <w:rFonts w:ascii="宋体" w:hAnsi="宋体"/>
          <w:sz w:val="32"/>
          <w:szCs w:val="32"/>
        </w:rPr>
      </w:pPr>
      <w:r>
        <w:rPr>
          <w:rFonts w:hint="eastAsia" w:ascii="宋体" w:hAnsi="宋体"/>
          <w:sz w:val="32"/>
          <w:szCs w:val="32"/>
        </w:rPr>
        <w:t>为中心、对支出结果负责、对社会公众负责”的理念，在绩效目标编制方面，针对绩效目标设置指向不清、预算和目标匹配不足，数量目标和质量目标量化不细，效益目标编制不完整等方面加以了改善。加强预算绩效动态监控管理，加强相关人员的业务培训，进一步提高预算绩效评价质量。</w:t>
      </w:r>
    </w:p>
    <w:p>
      <w:pPr>
        <w:snapToGrid w:val="0"/>
        <w:spacing w:line="520" w:lineRule="exact"/>
        <w:ind w:firstLine="640" w:firstLineChars="200"/>
        <w:rPr>
          <w:rFonts w:ascii="宋体" w:hAnsi="宋体"/>
          <w:sz w:val="32"/>
          <w:szCs w:val="32"/>
        </w:rPr>
      </w:pPr>
      <w:r>
        <w:rPr>
          <w:rFonts w:hint="eastAsia" w:ascii="宋体" w:hAnsi="宋体"/>
          <w:sz w:val="32"/>
          <w:szCs w:val="32"/>
        </w:rPr>
        <w:t>2.概述本单位整体支出绩效目标实现情况</w:t>
      </w:r>
    </w:p>
    <w:p>
      <w:pPr>
        <w:snapToGrid w:val="0"/>
        <w:spacing w:line="520" w:lineRule="exact"/>
        <w:ind w:firstLine="640" w:firstLineChars="200"/>
        <w:rPr>
          <w:rFonts w:ascii="宋体" w:hAnsi="宋体"/>
          <w:sz w:val="32"/>
          <w:szCs w:val="32"/>
          <w:lang w:val="zh-CN"/>
        </w:rPr>
      </w:pPr>
      <w:r>
        <w:rPr>
          <w:rFonts w:hint="eastAsia" w:ascii="宋体" w:hAnsi="宋体"/>
          <w:sz w:val="32"/>
          <w:szCs w:val="32"/>
          <w:lang w:val="zh-CN"/>
        </w:rPr>
        <w:t>我单位年初</w:t>
      </w:r>
      <w:r>
        <w:rPr>
          <w:rFonts w:hint="eastAsia" w:ascii="宋体" w:hAnsi="宋体"/>
          <w:sz w:val="32"/>
          <w:szCs w:val="32"/>
        </w:rPr>
        <w:t>根据</w:t>
      </w:r>
      <w:r>
        <w:rPr>
          <w:rFonts w:hint="eastAsia" w:ascii="宋体" w:hAnsi="宋体"/>
          <w:sz w:val="32"/>
          <w:szCs w:val="32"/>
          <w:lang w:val="zh-CN"/>
        </w:rPr>
        <w:t>工作规划和重点工作</w:t>
      </w:r>
      <w:r>
        <w:rPr>
          <w:rFonts w:hint="eastAsia" w:ascii="宋体" w:hAnsi="宋体"/>
          <w:sz w:val="32"/>
          <w:szCs w:val="32"/>
        </w:rPr>
        <w:t>规划</w:t>
      </w:r>
      <w:r>
        <w:rPr>
          <w:rFonts w:hint="eastAsia" w:ascii="宋体" w:hAnsi="宋体"/>
          <w:sz w:val="32"/>
          <w:szCs w:val="32"/>
          <w:lang w:val="zh-CN"/>
        </w:rPr>
        <w:t>，积极履</w:t>
      </w:r>
    </w:p>
    <w:p>
      <w:pPr>
        <w:snapToGrid w:val="0"/>
        <w:spacing w:line="520" w:lineRule="exact"/>
        <w:rPr>
          <w:rFonts w:ascii="宋体" w:hAnsi="宋体"/>
          <w:sz w:val="32"/>
          <w:szCs w:val="32"/>
        </w:rPr>
      </w:pPr>
      <w:r>
        <w:rPr>
          <w:rFonts w:hint="eastAsia" w:ascii="宋体" w:hAnsi="宋体"/>
          <w:sz w:val="32"/>
          <w:szCs w:val="32"/>
          <w:lang w:val="zh-CN"/>
        </w:rPr>
        <w:t>行职责，强化本单位预算管理，</w:t>
      </w:r>
      <w:r>
        <w:rPr>
          <w:rFonts w:hint="eastAsia" w:ascii="宋体" w:hAnsi="宋体"/>
          <w:sz w:val="32"/>
          <w:szCs w:val="32"/>
        </w:rPr>
        <w:t>在绩效目标编制方面，针对绩效目标设置指向不清、预算和目标匹配不足，数量目标和质量目标量化不细，效益目标编制不完整等方面加以了改善。目前单位绩效评价结果还停留在反映情况、找问题、提建议层面，评价结果和预算安排有机结合的机制尚未真正建立。</w:t>
      </w:r>
    </w:p>
    <w:p>
      <w:pPr>
        <w:pStyle w:val="26"/>
        <w:numPr>
          <w:ilvl w:val="0"/>
          <w:numId w:val="5"/>
        </w:numPr>
        <w:spacing w:line="580" w:lineRule="exact"/>
        <w:ind w:firstLineChars="0"/>
        <w:rPr>
          <w:rFonts w:cs="楷体_GB2312" w:asciiTheme="minorEastAsia" w:hAnsiTheme="minorEastAsia" w:eastAsiaTheme="minorEastAsia"/>
          <w:b/>
          <w:bCs/>
          <w:sz w:val="32"/>
          <w:szCs w:val="32"/>
        </w:rPr>
      </w:pPr>
      <w:r>
        <w:rPr>
          <w:rFonts w:hint="eastAsia" w:cs="楷体_GB2312" w:asciiTheme="minorEastAsia" w:hAnsiTheme="minorEastAsia" w:eastAsiaTheme="minorEastAsia"/>
          <w:b/>
          <w:bCs/>
          <w:sz w:val="32"/>
          <w:szCs w:val="32"/>
        </w:rPr>
        <w:t>项目绩效目标完成情况。</w:t>
      </w:r>
    </w:p>
    <w:p>
      <w:pPr>
        <w:spacing w:line="580" w:lineRule="exact"/>
        <w:ind w:firstLine="640" w:firstLineChars="200"/>
        <w:rPr>
          <w:rFonts w:cs="仿宋_GB2312" w:asciiTheme="minorEastAsia" w:hAnsiTheme="minorEastAsia" w:eastAsiaTheme="minorEastAsia"/>
          <w:b w:val="0"/>
          <w:bCs w:val="0"/>
          <w:sz w:val="32"/>
          <w:szCs w:val="32"/>
        </w:rPr>
      </w:pPr>
      <w:r>
        <w:rPr>
          <w:rFonts w:hint="eastAsia" w:cs="仿宋_GB2312" w:asciiTheme="minorEastAsia" w:hAnsiTheme="minorEastAsia" w:eastAsiaTheme="minorEastAsia"/>
          <w:sz w:val="32"/>
          <w:szCs w:val="32"/>
        </w:rPr>
        <w:t>1.本部门在201</w:t>
      </w:r>
      <w:r>
        <w:rPr>
          <w:rFonts w:hint="eastAsia" w:cs="仿宋_GB2312" w:asciiTheme="minorEastAsia" w:hAnsiTheme="minorEastAsia" w:eastAsiaTheme="minorEastAsia"/>
          <w:sz w:val="32"/>
          <w:szCs w:val="32"/>
          <w:lang w:val="en-US" w:eastAsia="zh-CN"/>
        </w:rPr>
        <w:t>9</w:t>
      </w:r>
      <w:r>
        <w:rPr>
          <w:rFonts w:hint="eastAsia" w:cs="仿宋_GB2312" w:asciiTheme="minorEastAsia" w:hAnsiTheme="minorEastAsia" w:eastAsiaTheme="minorEastAsia"/>
          <w:sz w:val="32"/>
          <w:szCs w:val="32"/>
        </w:rPr>
        <w:t>年度部门决算中反映“</w:t>
      </w:r>
      <w:r>
        <w:rPr>
          <w:rFonts w:hint="eastAsia" w:ascii="仿宋" w:hAnsi="仿宋" w:eastAsia="仿宋" w:cs="仿宋"/>
          <w:b w:val="0"/>
          <w:bCs w:val="0"/>
          <w:sz w:val="32"/>
          <w:szCs w:val="32"/>
          <w:lang w:val="en-US" w:eastAsia="zh-CN"/>
        </w:rPr>
        <w:t>阿木柯种畜场桥改建工程</w:t>
      </w:r>
      <w:r>
        <w:rPr>
          <w:rFonts w:cs="仿宋_GB2312" w:asciiTheme="minorEastAsia" w:hAnsiTheme="minorEastAsia" w:eastAsiaTheme="minorEastAsia"/>
          <w:b w:val="0"/>
          <w:bCs w:val="0"/>
          <w:sz w:val="32"/>
          <w:szCs w:val="32"/>
        </w:rPr>
        <w:t>”</w:t>
      </w:r>
      <w:r>
        <w:rPr>
          <w:rFonts w:hint="eastAsia" w:cs="仿宋_GB2312" w:asciiTheme="minorEastAsia" w:hAnsiTheme="minorEastAsia" w:eastAsiaTheme="minorEastAsia"/>
          <w:b w:val="0"/>
          <w:bCs w:val="0"/>
          <w:sz w:val="32"/>
          <w:szCs w:val="32"/>
          <w:lang w:val="en-US" w:eastAsia="zh-CN"/>
        </w:rPr>
        <w:t>等5</w:t>
      </w:r>
      <w:r>
        <w:rPr>
          <w:rFonts w:hint="eastAsia" w:cs="仿宋_GB2312" w:asciiTheme="minorEastAsia" w:hAnsiTheme="minorEastAsia" w:eastAsiaTheme="minorEastAsia"/>
          <w:b w:val="0"/>
          <w:bCs w:val="0"/>
          <w:sz w:val="32"/>
          <w:szCs w:val="32"/>
        </w:rPr>
        <w:t>个项目绩效目标实际完成情况。</w:t>
      </w:r>
    </w:p>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（1）</w:t>
      </w:r>
      <w:r>
        <w:rPr>
          <w:rFonts w:hint="eastAsia" w:cs="仿宋_GB2312" w:asciiTheme="minorEastAsia" w:hAnsiTheme="minorEastAsia" w:eastAsiaTheme="minorEastAsia"/>
          <w:sz w:val="32"/>
          <w:szCs w:val="32"/>
          <w:lang w:val="en-US" w:eastAsia="zh-CN"/>
        </w:rPr>
        <w:t>阿木柯种畜场桥改建工程</w:t>
      </w:r>
      <w:r>
        <w:rPr>
          <w:rFonts w:hint="eastAsia" w:cs="仿宋_GB2312" w:asciiTheme="minorEastAsia" w:hAnsiTheme="minorEastAsia" w:eastAsiaTheme="minorEastAsia"/>
          <w:sz w:val="32"/>
          <w:szCs w:val="32"/>
        </w:rPr>
        <w:t>绩效目标完成情况综述。</w:t>
      </w:r>
    </w:p>
    <w:p>
      <w:pPr>
        <w:adjustRightInd w:val="0"/>
        <w:snapToGrid w:val="0"/>
        <w:spacing w:line="580" w:lineRule="exact"/>
        <w:ind w:firstLine="72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w:t>
      </w:r>
      <w:r>
        <w:rPr>
          <w:rFonts w:hint="eastAsia"/>
          <w:sz w:val="32"/>
          <w:szCs w:val="32"/>
          <w:lang w:val="en-US" w:eastAsia="zh-CN"/>
        </w:rPr>
        <w:t>634.7298</w:t>
      </w:r>
      <w:r>
        <w:rPr>
          <w:rFonts w:hint="eastAsia" w:cs="仿宋_GB2312" w:asciiTheme="minorEastAsia" w:hAnsiTheme="minorEastAsia" w:eastAsiaTheme="minorEastAsia"/>
          <w:sz w:val="32"/>
          <w:szCs w:val="32"/>
        </w:rPr>
        <w:t>万元，执行数为</w:t>
      </w:r>
      <w:r>
        <w:rPr>
          <w:rFonts w:hint="eastAsia"/>
          <w:sz w:val="32"/>
          <w:szCs w:val="32"/>
          <w:lang w:val="en-US" w:eastAsia="zh-CN"/>
        </w:rPr>
        <w:t>585.811205</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92.29</w:t>
      </w:r>
      <w:r>
        <w:rPr>
          <w:rFonts w:hint="eastAsia" w:cs="仿宋_GB2312" w:asciiTheme="minorEastAsia" w:hAnsiTheme="minorEastAsia" w:eastAsiaTheme="minorEastAsia"/>
          <w:sz w:val="32"/>
          <w:szCs w:val="32"/>
        </w:rPr>
        <w:t>%。通过项目实施</w:t>
      </w:r>
      <w:r>
        <w:rPr>
          <w:rFonts w:hint="eastAsia" w:cs="仿宋_GB2312" w:asciiTheme="minorEastAsia" w:hAnsiTheme="minorEastAsia" w:eastAsiaTheme="minorEastAsia"/>
          <w:sz w:val="32"/>
          <w:szCs w:val="32"/>
          <w:lang w:val="en-US" w:eastAsia="zh-CN"/>
        </w:rPr>
        <w:t>新建长 107.04延米,宽 7.5米大桥一座</w:t>
      </w: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方便群众出行，</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阿木柯种畜场桥改建工程</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634.7298</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585.811205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634.7298</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585.811205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cs="宋体" w:asciiTheme="minorEastAsia" w:hAnsiTheme="minorEastAsia" w:eastAsiaTheme="minorEastAsia"/>
                <w:b/>
                <w:color w:val="000000"/>
                <w:sz w:val="24"/>
              </w:rPr>
            </w:pPr>
            <w:r>
              <w:rPr>
                <w:rFonts w:hint="eastAsia" w:cs="仿宋_GB2312" w:asciiTheme="minorEastAsia" w:hAnsiTheme="minorEastAsia" w:eastAsiaTheme="minorEastAsia"/>
                <w:sz w:val="32"/>
                <w:szCs w:val="32"/>
                <w:lang w:val="en-US" w:eastAsia="zh-CN"/>
              </w:rPr>
              <w:t>新建长 107.04延米,宽 7.5米大桥一座</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580" w:lineRule="exact"/>
              <w:ind w:firstLine="720"/>
              <w:jc w:val="left"/>
              <w:rPr>
                <w:rFonts w:asciiTheme="minorEastAsia" w:hAnsiTheme="minorEastAsia" w:eastAsiaTheme="minorEastAsia"/>
                <w:b/>
                <w:bCs/>
                <w:lang w:val="zh-CN"/>
              </w:rPr>
            </w:pPr>
            <w:r>
              <w:rPr>
                <w:rFonts w:hint="eastAsia" w:cs="仿宋_GB2312" w:asciiTheme="minorEastAsia" w:hAnsiTheme="minorEastAsia" w:eastAsiaTheme="minorEastAsia"/>
                <w:sz w:val="32"/>
                <w:szCs w:val="32"/>
                <w:lang w:val="en-US" w:eastAsia="zh-CN"/>
              </w:rPr>
              <w:t>完成新建长 107.04延米,宽 7.5米大桥一座</w:t>
            </w:r>
          </w:p>
          <w:p>
            <w:pPr>
              <w:jc w:val="center"/>
              <w:rPr>
                <w:rFonts w:cs="宋体" w:asciiTheme="minorEastAsia" w:hAnsiTheme="minorEastAsia" w:eastAsiaTheme="minorEastAsia"/>
                <w:b/>
                <w:color w:val="000000"/>
                <w:sz w:val="18"/>
                <w:szCs w:val="18"/>
              </w:rPr>
            </w:pPr>
          </w:p>
        </w:tc>
      </w:tr>
      <w:tr>
        <w:tblPrEx>
          <w:tblCellMar>
            <w:top w:w="15" w:type="dxa"/>
            <w:left w:w="15" w:type="dxa"/>
            <w:bottom w:w="15" w:type="dxa"/>
            <w:right w:w="15" w:type="dxa"/>
          </w:tblCellMar>
        </w:tblPrEx>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blPrEx>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新建长 107.04延米,宽 7.5米大桥一座</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新建长 107.04延米,宽 7.5米大桥一座</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580" w:lineRule="exact"/>
              <w:jc w:val="left"/>
              <w:rPr>
                <w:rFonts w:asciiTheme="minorEastAsia" w:hAnsiTheme="minorEastAsia" w:eastAsiaTheme="minorEastAsia"/>
                <w:bCs/>
                <w:sz w:val="18"/>
                <w:szCs w:val="18"/>
                <w:lang w:val="zh-CN"/>
              </w:rPr>
            </w:pPr>
            <w:r>
              <w:rPr>
                <w:rFonts w:hint="eastAsia" w:cs="仿宋_GB2312" w:asciiTheme="minorEastAsia" w:hAnsiTheme="minorEastAsia" w:eastAsiaTheme="minorEastAsia"/>
                <w:sz w:val="32"/>
                <w:szCs w:val="32"/>
                <w:lang w:val="en-US" w:eastAsia="zh-CN"/>
              </w:rPr>
              <w:t>完成新建长 107.04延米,宽 7.5米大桥一座</w:t>
            </w: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完成新建长 107.04延米,宽 7.5米大桥一座</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sz w:val="32"/>
                <w:szCs w:val="32"/>
                <w:lang w:val="en-US" w:eastAsia="zh-CN"/>
              </w:rPr>
              <w:t>新建长 107.04延米,宽 7.5米大桥一座</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sz w:val="32"/>
                <w:szCs w:val="32"/>
                <w:lang w:val="en-US" w:eastAsia="zh-CN"/>
              </w:rPr>
              <w:t>新建长 107.04延米,宽 7.5米大桥一座</w:t>
            </w:r>
          </w:p>
        </w:tc>
      </w:tr>
      <w:tr>
        <w:tblPrEx>
          <w:tblCellMar>
            <w:top w:w="15" w:type="dxa"/>
            <w:left w:w="15" w:type="dxa"/>
            <w:bottom w:w="15" w:type="dxa"/>
            <w:right w:w="15" w:type="dxa"/>
          </w:tblCellMar>
        </w:tblPrEx>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rPr>
              <w:t>事实规划</w:t>
            </w:r>
            <w:r>
              <w:rPr>
                <w:rFonts w:cs="宋体" w:asciiTheme="minorEastAsia" w:hAnsiTheme="minorEastAsia" w:eastAsiaTheme="minorEastAsia"/>
                <w:bCs/>
                <w:color w:val="000000"/>
                <w:sz w:val="18"/>
                <w:szCs w:val="18"/>
              </w:rPr>
              <w:t>对</w:t>
            </w:r>
            <w:r>
              <w:rPr>
                <w:rFonts w:hint="eastAsia" w:cs="宋体" w:asciiTheme="minorEastAsia" w:hAnsiTheme="minorEastAsia" w:eastAsiaTheme="minorEastAsia"/>
                <w:bCs/>
                <w:color w:val="000000"/>
                <w:sz w:val="18"/>
                <w:szCs w:val="18"/>
                <w:lang w:val="en-US" w:eastAsia="zh-CN"/>
              </w:rPr>
              <w:t>阿木柯种蓄场</w:t>
            </w:r>
            <w:r>
              <w:rPr>
                <w:rFonts w:hint="eastAsia" w:cs="宋体" w:asciiTheme="minorEastAsia" w:hAnsiTheme="minorEastAsia" w:eastAsiaTheme="minorEastAsia"/>
                <w:bCs/>
                <w:color w:val="000000"/>
                <w:sz w:val="18"/>
                <w:szCs w:val="18"/>
              </w:rPr>
              <w:t>新建长 107.04延米,宽 7.5米大桥一座</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lang w:val="en-US" w:eastAsia="zh-CN"/>
              </w:rPr>
              <w:t>已完成目标</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cs="宋体" w:asciiTheme="minorEastAsia" w:hAnsiTheme="minorEastAsia" w:eastAsiaTheme="minorEastAsia"/>
                <w:color w:val="000000"/>
                <w:sz w:val="20"/>
                <w:szCs w:val="20"/>
                <w:lang w:eastAsia="zh-CN"/>
              </w:rPr>
            </w:pPr>
            <w:r>
              <w:rPr>
                <w:rFonts w:hint="eastAsia" w:cs="宋体" w:asciiTheme="minorEastAsia" w:hAnsiTheme="minorEastAsia" w:eastAsiaTheme="minorEastAsia"/>
                <w:color w:val="000000"/>
                <w:sz w:val="20"/>
                <w:szCs w:val="20"/>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宋体" w:asciiTheme="minorEastAsia" w:hAnsiTheme="minorEastAsia" w:eastAsiaTheme="minorEastAsia"/>
                <w:color w:val="000000"/>
                <w:sz w:val="20"/>
                <w:szCs w:val="20"/>
                <w:lang w:eastAsia="zh-CN"/>
              </w:rPr>
            </w:pPr>
            <w:r>
              <w:rPr>
                <w:rFonts w:hint="eastAsia" w:cs="仿宋_GB2312" w:asciiTheme="minorEastAsia" w:hAnsiTheme="minorEastAsia" w:eastAsiaTheme="minorEastAsia"/>
                <w:kern w:val="0"/>
                <w:sz w:val="16"/>
                <w:szCs w:val="16"/>
                <w:lang w:val="en-US" w:eastAsia="zh-CN"/>
              </w:rPr>
              <w:t>无</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r>
      <w:tr>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仿宋_GB2312" w:asciiTheme="minorEastAsia" w:hAnsiTheme="minorEastAsia" w:eastAsiaTheme="minorEastAsia"/>
                <w:kern w:val="0"/>
                <w:sz w:val="16"/>
                <w:szCs w:val="16"/>
                <w:lang w:eastAsia="zh-CN"/>
              </w:rPr>
            </w:pPr>
            <w:r>
              <w:rPr>
                <w:rFonts w:hint="eastAsia" w:cs="仿宋_GB2312" w:asciiTheme="minorEastAsia" w:hAnsiTheme="minorEastAsia" w:eastAsiaTheme="minorEastAsia"/>
                <w:kern w:val="0"/>
                <w:sz w:val="16"/>
                <w:szCs w:val="16"/>
                <w:lang w:val="en-US" w:eastAsia="zh-CN"/>
              </w:rPr>
              <w:t>无调整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lang w:val="en-US" w:eastAsia="zh-CN"/>
              </w:rPr>
              <w:t>无调整</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8"/>
                <w:szCs w:val="18"/>
              </w:rPr>
              <w:t>事实规划</w:t>
            </w:r>
            <w:r>
              <w:rPr>
                <w:rFonts w:cs="宋体" w:asciiTheme="minorEastAsia" w:hAnsiTheme="minorEastAsia" w:eastAsiaTheme="minorEastAsia"/>
                <w:bCs/>
                <w:color w:val="000000"/>
                <w:sz w:val="18"/>
                <w:szCs w:val="18"/>
              </w:rPr>
              <w:t>对</w:t>
            </w:r>
            <w:r>
              <w:rPr>
                <w:rFonts w:hint="eastAsia" w:cs="宋体" w:asciiTheme="minorEastAsia" w:hAnsiTheme="minorEastAsia" w:eastAsiaTheme="minorEastAsia"/>
                <w:bCs/>
                <w:color w:val="000000"/>
                <w:sz w:val="18"/>
                <w:szCs w:val="18"/>
                <w:lang w:val="en-US" w:eastAsia="zh-CN"/>
              </w:rPr>
              <w:t>阿木柯种蓄场</w:t>
            </w:r>
            <w:r>
              <w:rPr>
                <w:rFonts w:hint="eastAsia" w:cs="宋体" w:asciiTheme="minorEastAsia" w:hAnsiTheme="minorEastAsia" w:eastAsiaTheme="minorEastAsia"/>
                <w:bCs/>
                <w:color w:val="000000"/>
                <w:sz w:val="18"/>
                <w:szCs w:val="18"/>
              </w:rPr>
              <w:t>新建长 107.04延米,宽 7.5米大桥一座</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宋体" w:asciiTheme="minorEastAsia" w:hAnsiTheme="minorEastAsia" w:eastAsiaTheme="minorEastAsia"/>
                <w:color w:val="000000"/>
                <w:sz w:val="20"/>
                <w:szCs w:val="20"/>
                <w:lang w:val="en-US" w:eastAsia="zh-CN"/>
              </w:rPr>
            </w:pPr>
            <w:r>
              <w:rPr>
                <w:rFonts w:hint="eastAsia" w:cs="仿宋_GB2312" w:asciiTheme="minorEastAsia" w:hAnsiTheme="minorEastAsia" w:eastAsiaTheme="minorEastAsia"/>
                <w:kern w:val="0"/>
                <w:sz w:val="18"/>
                <w:szCs w:val="18"/>
                <w:lang w:val="en-US" w:eastAsia="zh-CN"/>
              </w:rPr>
              <w:t>已完成全部项目</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r>
      <w:tr>
        <w:tblPrEx>
          <w:tblCellMar>
            <w:top w:w="15" w:type="dxa"/>
            <w:left w:w="15" w:type="dxa"/>
            <w:bottom w:w="15" w:type="dxa"/>
            <w:right w:w="15" w:type="dxa"/>
          </w:tblCellMar>
        </w:tblPrEx>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default" w:cs="宋体" w:asciiTheme="minorEastAsia" w:hAnsiTheme="minorEastAsia" w:eastAsiaTheme="minorEastAsia"/>
                <w:color w:val="000000"/>
                <w:sz w:val="20"/>
                <w:szCs w:val="20"/>
                <w:lang w:val="en-US" w:eastAsia="zh-CN"/>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已完工有效的方便了农牧民群众的出行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spacing w:line="580" w:lineRule="exact"/>
        <w:rPr>
          <w:rFonts w:cs="仿宋_GB2312" w:asciiTheme="minorEastAsia" w:hAnsiTheme="minorEastAsia" w:eastAsiaTheme="minorEastAsia"/>
          <w:sz w:val="32"/>
          <w:szCs w:val="32"/>
        </w:rPr>
      </w:pPr>
    </w:p>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2</w:t>
      </w:r>
      <w:r>
        <w:rPr>
          <w:rFonts w:hint="eastAsia" w:cs="仿宋_GB2312" w:asciiTheme="minorEastAsia" w:hAnsiTheme="minorEastAsia" w:eastAsiaTheme="minorEastAsia"/>
          <w:sz w:val="32"/>
          <w:szCs w:val="32"/>
        </w:rPr>
        <w:t>）</w:t>
      </w:r>
      <w:r>
        <w:rPr>
          <w:rFonts w:hint="eastAsia"/>
          <w:sz w:val="32"/>
          <w:szCs w:val="32"/>
          <w:lang w:eastAsia="zh-CN"/>
        </w:rPr>
        <w:t>红原县查江路达格则寺至江茸乡段改建工程</w:t>
      </w:r>
      <w:r>
        <w:rPr>
          <w:rFonts w:hint="eastAsia" w:cs="仿宋_GB2312" w:asciiTheme="minorEastAsia" w:hAnsiTheme="minorEastAsia" w:eastAsiaTheme="minorEastAsia"/>
          <w:sz w:val="32"/>
          <w:szCs w:val="32"/>
        </w:rPr>
        <w:t>绩效目标完成情况综述。</w:t>
      </w:r>
    </w:p>
    <w:p>
      <w:pPr>
        <w:numPr>
          <w:ilvl w:val="0"/>
          <w:numId w:val="0"/>
        </w:numPr>
        <w:ind w:leftChars="0" w:firstLine="640" w:firstLineChars="20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w:t>
      </w:r>
      <w:r>
        <w:rPr>
          <w:rFonts w:hint="eastAsia"/>
          <w:sz w:val="32"/>
          <w:szCs w:val="32"/>
          <w:lang w:val="en-US" w:eastAsia="zh-CN"/>
        </w:rPr>
        <w:t>1112.52</w:t>
      </w:r>
      <w:r>
        <w:rPr>
          <w:rFonts w:hint="eastAsia" w:cs="仿宋_GB2312" w:asciiTheme="minorEastAsia" w:hAnsiTheme="minorEastAsia" w:eastAsiaTheme="minorEastAsia"/>
          <w:sz w:val="32"/>
          <w:szCs w:val="32"/>
        </w:rPr>
        <w:t>万元，执行数为</w:t>
      </w:r>
      <w:r>
        <w:rPr>
          <w:rFonts w:hint="eastAsia"/>
          <w:sz w:val="32"/>
          <w:szCs w:val="32"/>
          <w:lang w:val="en-US" w:eastAsia="zh-CN"/>
        </w:rPr>
        <w:t>1027.05</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92.32</w:t>
      </w:r>
      <w:r>
        <w:rPr>
          <w:rFonts w:hint="eastAsia" w:cs="仿宋_GB2312" w:asciiTheme="minorEastAsia" w:hAnsiTheme="minorEastAsia" w:eastAsiaTheme="minorEastAsia"/>
          <w:sz w:val="32"/>
          <w:szCs w:val="32"/>
        </w:rPr>
        <w:t>%。通过项目实施</w:t>
      </w:r>
      <w:r>
        <w:rPr>
          <w:rFonts w:hint="eastAsia"/>
          <w:sz w:val="32"/>
          <w:szCs w:val="32"/>
        </w:rPr>
        <w:t>改建32.676公里四级公路沥青路，路基宽6.5米，路面宽6.0米</w:t>
      </w: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方便群众出行，</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红原县查江路达格则寺至江茸乡段改建工程</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1112.52</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1027.05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1112.52</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1027.05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cs="宋体" w:asciiTheme="minorEastAsia" w:hAnsiTheme="minorEastAsia" w:eastAsiaTheme="minorEastAsia"/>
                <w:b/>
                <w:color w:val="000000"/>
                <w:sz w:val="24"/>
              </w:rPr>
            </w:pPr>
            <w:r>
              <w:rPr>
                <w:rFonts w:hint="eastAsia"/>
                <w:sz w:val="32"/>
                <w:szCs w:val="32"/>
              </w:rPr>
              <w:t>改建32.676公里四级公路沥青路，路基宽6.5米，路面宽6.0米</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18"/>
                <w:szCs w:val="18"/>
              </w:rPr>
            </w:pPr>
            <w:r>
              <w:rPr>
                <w:rFonts w:hint="eastAsia"/>
                <w:sz w:val="32"/>
                <w:szCs w:val="32"/>
                <w:lang w:val="en-US" w:eastAsia="zh-CN"/>
              </w:rPr>
              <w:t>完成</w:t>
            </w:r>
            <w:r>
              <w:rPr>
                <w:rFonts w:hint="eastAsia"/>
                <w:sz w:val="32"/>
                <w:szCs w:val="32"/>
              </w:rPr>
              <w:t>改建32.676公里四级公路沥青路，路基宽6.5米，路面宽6.0米</w:t>
            </w:r>
          </w:p>
        </w:tc>
      </w:tr>
      <w:tr>
        <w:tblPrEx>
          <w:tblCellMar>
            <w:top w:w="15" w:type="dxa"/>
            <w:left w:w="15" w:type="dxa"/>
            <w:bottom w:w="15" w:type="dxa"/>
            <w:right w:w="15" w:type="dxa"/>
          </w:tblCellMar>
        </w:tblPrEx>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blPrEx>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sz w:val="32"/>
                <w:szCs w:val="32"/>
              </w:rPr>
              <w:t>改建32.676公里四级公路沥青路，路基宽6.5米，路面宽6.0米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sz w:val="32"/>
                <w:szCs w:val="32"/>
              </w:rPr>
              <w:t>改建32.676公里四级公路沥青路，路基宽6.5米，路面宽6.0米</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jc w:val="left"/>
              <w:rPr>
                <w:rFonts w:cs="宋体" w:asciiTheme="minorEastAsia" w:hAnsiTheme="minorEastAsia" w:eastAsiaTheme="minorEastAsia"/>
                <w:bCs/>
                <w:color w:val="000000"/>
                <w:sz w:val="18"/>
                <w:szCs w:val="18"/>
              </w:rPr>
            </w:pPr>
            <w:r>
              <w:rPr>
                <w:rFonts w:hint="eastAsia"/>
                <w:sz w:val="32"/>
                <w:szCs w:val="32"/>
              </w:rPr>
              <w:t>改建32.676公里四级公路沥青路，路基宽6.5米，路面宽6.0米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完成</w:t>
            </w:r>
            <w:r>
              <w:rPr>
                <w:rFonts w:hint="eastAsia"/>
                <w:sz w:val="32"/>
                <w:szCs w:val="32"/>
              </w:rPr>
              <w:t>改建32.676公里四级公路沥青路，路基宽6.5米，路面宽6.0米</w:t>
            </w:r>
          </w:p>
        </w:tc>
      </w:tr>
      <w:tr>
        <w:tblPrEx>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rPr>
              <w:t>改建32.676公里四级公路沥青路，路基宽6.5米，路面宽6.0米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rPr>
              <w:t>改建32.676公里四级公路沥青路，路基宽6.5米，路面宽6.0米</w:t>
            </w:r>
          </w:p>
        </w:tc>
      </w:tr>
      <w:tr>
        <w:tblPrEx>
          <w:tblCellMar>
            <w:top w:w="15" w:type="dxa"/>
            <w:left w:w="15" w:type="dxa"/>
            <w:bottom w:w="15" w:type="dxa"/>
            <w:right w:w="15" w:type="dxa"/>
          </w:tblCellMar>
        </w:tblPrEx>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（阿州财建〔2018〕46号）文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rPr>
              <w:t>改建32.676公里四级公路沥青路，路基宽6.5米，路面宽6.0米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lang w:val="en-US" w:eastAsia="zh-CN"/>
              </w:rPr>
              <w:t>已完成目标</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cs="宋体" w:asciiTheme="minorEastAsia" w:hAnsiTheme="minorEastAsia" w:eastAsiaTheme="minorEastAsia"/>
                <w:color w:val="000000"/>
                <w:sz w:val="20"/>
                <w:szCs w:val="20"/>
                <w:lang w:eastAsia="zh-CN"/>
              </w:rPr>
            </w:pPr>
            <w:r>
              <w:rPr>
                <w:rFonts w:hint="eastAsia" w:cs="宋体" w:asciiTheme="minorEastAsia" w:hAnsiTheme="minorEastAsia" w:eastAsiaTheme="minorEastAsia"/>
                <w:color w:val="000000"/>
                <w:sz w:val="20"/>
                <w:szCs w:val="20"/>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宋体" w:asciiTheme="minorEastAsia" w:hAnsiTheme="minorEastAsia" w:eastAsiaTheme="minorEastAsia"/>
                <w:color w:val="000000"/>
                <w:sz w:val="20"/>
                <w:szCs w:val="20"/>
                <w:lang w:eastAsia="zh-CN"/>
              </w:rPr>
            </w:pPr>
            <w:r>
              <w:rPr>
                <w:rFonts w:hint="eastAsia" w:cs="仿宋_GB2312" w:asciiTheme="minorEastAsia" w:hAnsiTheme="minorEastAsia" w:eastAsiaTheme="minorEastAsia"/>
                <w:kern w:val="0"/>
                <w:sz w:val="16"/>
                <w:szCs w:val="16"/>
                <w:lang w:val="en-US" w:eastAsia="zh-CN"/>
              </w:rPr>
              <w:t>无</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（阿州财建〔2018〕46号）文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（阿州财建〔2018〕46号）文</w:t>
            </w:r>
          </w:p>
        </w:tc>
      </w:tr>
      <w:tr>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仿宋_GB2312" w:asciiTheme="minorEastAsia" w:hAnsiTheme="minorEastAsia" w:eastAsiaTheme="minorEastAsia"/>
                <w:kern w:val="0"/>
                <w:sz w:val="16"/>
                <w:szCs w:val="16"/>
                <w:lang w:eastAsia="zh-CN"/>
              </w:rPr>
            </w:pPr>
            <w:r>
              <w:rPr>
                <w:rFonts w:hint="eastAsia" w:cs="仿宋_GB2312" w:asciiTheme="minorEastAsia" w:hAnsiTheme="minorEastAsia" w:eastAsiaTheme="minorEastAsia"/>
                <w:kern w:val="0"/>
                <w:sz w:val="16"/>
                <w:szCs w:val="16"/>
                <w:lang w:val="en-US" w:eastAsia="zh-CN"/>
              </w:rPr>
              <w:t>无调整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lang w:val="en-US" w:eastAsia="zh-CN"/>
              </w:rPr>
              <w:t>无调整</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改建32.676公里四级公路沥青路，路基宽6.5米，路面宽6.0米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宋体" w:asciiTheme="minorEastAsia" w:hAnsiTheme="minorEastAsia" w:eastAsiaTheme="minorEastAsia"/>
                <w:color w:val="000000"/>
                <w:sz w:val="20"/>
                <w:szCs w:val="20"/>
                <w:lang w:val="en-US" w:eastAsia="zh-CN"/>
              </w:rPr>
            </w:pPr>
            <w:r>
              <w:rPr>
                <w:rFonts w:hint="eastAsia" w:cs="仿宋_GB2312" w:asciiTheme="minorEastAsia" w:hAnsiTheme="minorEastAsia" w:eastAsiaTheme="minorEastAsia"/>
                <w:kern w:val="0"/>
                <w:sz w:val="18"/>
                <w:szCs w:val="18"/>
                <w:lang w:val="en-US" w:eastAsia="zh-CN"/>
              </w:rPr>
              <w:t>已完成全部项目</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r>
      <w:tr>
        <w:tblPrEx>
          <w:tblCellMar>
            <w:top w:w="15" w:type="dxa"/>
            <w:left w:w="15" w:type="dxa"/>
            <w:bottom w:w="15" w:type="dxa"/>
            <w:right w:w="15" w:type="dxa"/>
          </w:tblCellMar>
        </w:tblPrEx>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default" w:cs="宋体" w:asciiTheme="minorEastAsia" w:hAnsiTheme="minorEastAsia" w:eastAsiaTheme="minorEastAsia"/>
                <w:color w:val="000000"/>
                <w:sz w:val="20"/>
                <w:szCs w:val="20"/>
                <w:lang w:val="en-US" w:eastAsia="zh-CN"/>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已完工有效的方便了农牧民群众的出行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3</w:t>
      </w:r>
      <w:r>
        <w:rPr>
          <w:rFonts w:hint="eastAsia" w:cs="仿宋_GB2312" w:asciiTheme="minorEastAsia" w:hAnsiTheme="minorEastAsia" w:eastAsiaTheme="minorEastAsia"/>
          <w:sz w:val="32"/>
          <w:szCs w:val="32"/>
        </w:rPr>
        <w:t>）</w:t>
      </w:r>
      <w:r>
        <w:rPr>
          <w:rFonts w:hint="eastAsia"/>
          <w:sz w:val="32"/>
          <w:szCs w:val="32"/>
          <w:lang w:eastAsia="zh-CN"/>
        </w:rPr>
        <w:t>红原县色地镇日西村水毁一号桥改建工程</w:t>
      </w:r>
      <w:r>
        <w:rPr>
          <w:rFonts w:hint="eastAsia" w:cs="仿宋_GB2312" w:asciiTheme="minorEastAsia" w:hAnsiTheme="minorEastAsia" w:eastAsiaTheme="minorEastAsia"/>
          <w:sz w:val="32"/>
          <w:szCs w:val="32"/>
        </w:rPr>
        <w:t>绩效目标完成情况综述。</w:t>
      </w:r>
    </w:p>
    <w:p>
      <w:pPr>
        <w:numPr>
          <w:ilvl w:val="0"/>
          <w:numId w:val="0"/>
        </w:numPr>
        <w:ind w:leftChars="0" w:firstLine="640" w:firstLineChars="20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w:t>
      </w:r>
      <w:r>
        <w:rPr>
          <w:rFonts w:hint="eastAsia"/>
          <w:sz w:val="32"/>
          <w:szCs w:val="32"/>
          <w:lang w:val="en-US" w:eastAsia="zh-CN"/>
        </w:rPr>
        <w:t>337.57282</w:t>
      </w:r>
      <w:r>
        <w:rPr>
          <w:rFonts w:hint="eastAsia" w:cs="仿宋_GB2312" w:asciiTheme="minorEastAsia" w:hAnsiTheme="minorEastAsia" w:eastAsiaTheme="minorEastAsia"/>
          <w:sz w:val="32"/>
          <w:szCs w:val="32"/>
        </w:rPr>
        <w:t>万元，执行数为</w:t>
      </w:r>
      <w:r>
        <w:rPr>
          <w:rFonts w:hint="eastAsia"/>
          <w:sz w:val="32"/>
          <w:szCs w:val="32"/>
          <w:lang w:val="en-US" w:eastAsia="zh-CN"/>
        </w:rPr>
        <w:t>320.694179</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95</w:t>
      </w:r>
      <w:r>
        <w:rPr>
          <w:rFonts w:hint="eastAsia" w:cs="仿宋_GB2312" w:asciiTheme="minorEastAsia" w:hAnsiTheme="minorEastAsia" w:eastAsiaTheme="minorEastAsia"/>
          <w:sz w:val="32"/>
          <w:szCs w:val="32"/>
        </w:rPr>
        <w:t>%。通过项目实施</w:t>
      </w:r>
      <w:r>
        <w:rPr>
          <w:rFonts w:hint="eastAsia"/>
          <w:sz w:val="32"/>
          <w:szCs w:val="32"/>
          <w:lang w:eastAsia="zh-CN"/>
        </w:rPr>
        <w:t>新建桥梁全长52.04米，桥梁全宽7.5米。</w:t>
      </w:r>
      <w:r>
        <w:rPr>
          <w:rFonts w:hint="eastAsia" w:cs="仿宋_GB2312" w:asciiTheme="minorEastAsia" w:hAnsiTheme="minorEastAsia" w:eastAsiaTheme="minorEastAsia"/>
          <w:sz w:val="32"/>
          <w:szCs w:val="32"/>
          <w:lang w:val="en-US" w:eastAsia="zh-CN"/>
        </w:rPr>
        <w:t>方便群众出行，</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lang w:eastAsia="zh-CN"/>
              </w:rPr>
              <w:t>红原县色地镇日西村水毁一号桥改建工程</w:t>
            </w:r>
          </w:p>
        </w:tc>
      </w:tr>
      <w:tr>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337.57282</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320.694179</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337.57282</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320.694179</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cs="宋体" w:asciiTheme="minorEastAsia" w:hAnsiTheme="minorEastAsia" w:eastAsiaTheme="minorEastAsia"/>
                <w:b/>
                <w:color w:val="000000"/>
                <w:sz w:val="24"/>
              </w:rPr>
            </w:pPr>
            <w:r>
              <w:rPr>
                <w:rFonts w:hint="eastAsia"/>
                <w:sz w:val="32"/>
                <w:szCs w:val="32"/>
                <w:lang w:eastAsia="zh-CN"/>
              </w:rPr>
              <w:t>新建桥梁全长52.04米，桥梁全宽7.5米。</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580" w:lineRule="exact"/>
              <w:ind w:firstLine="720"/>
              <w:jc w:val="left"/>
              <w:rPr>
                <w:rFonts w:asciiTheme="minorEastAsia" w:hAnsiTheme="minorEastAsia" w:eastAsiaTheme="minorEastAsia"/>
                <w:b/>
                <w:bCs/>
                <w:lang w:val="zh-CN"/>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新建桥梁全长52.04米，桥梁全宽7.5米。</w:t>
            </w:r>
          </w:p>
          <w:p>
            <w:pPr>
              <w:jc w:val="center"/>
              <w:rPr>
                <w:rFonts w:cs="宋体" w:asciiTheme="minorEastAsia" w:hAnsiTheme="minorEastAsia" w:eastAsiaTheme="minorEastAsia"/>
                <w:b/>
                <w:color w:val="000000"/>
                <w:sz w:val="18"/>
                <w:szCs w:val="18"/>
              </w:rPr>
            </w:pPr>
          </w:p>
        </w:tc>
      </w:tr>
      <w:tr>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sz w:val="32"/>
                <w:szCs w:val="32"/>
                <w:lang w:eastAsia="zh-CN"/>
              </w:rPr>
              <w:t>新建桥梁全长52.04米，桥梁全宽7.5米。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sz w:val="32"/>
                <w:szCs w:val="32"/>
                <w:lang w:eastAsia="zh-CN"/>
              </w:rPr>
              <w:t>新建桥梁全长52.04米，桥梁全宽7.5米。</w:t>
            </w:r>
          </w:p>
        </w:tc>
      </w:tr>
      <w:tr>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580" w:lineRule="exact"/>
              <w:jc w:val="left"/>
              <w:rPr>
                <w:rFonts w:asciiTheme="minorEastAsia" w:hAnsiTheme="minorEastAsia" w:eastAsiaTheme="minorEastAsia"/>
                <w:bCs/>
                <w:sz w:val="18"/>
                <w:szCs w:val="18"/>
                <w:lang w:val="zh-CN"/>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新建桥梁全长52.04米，桥梁全宽7.5米。</w:t>
            </w: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新建桥梁全长52.04米，桥梁全宽7.5米。</w:t>
            </w:r>
          </w:p>
        </w:tc>
      </w:tr>
      <w:tr>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lang w:eastAsia="zh-CN"/>
              </w:rPr>
              <w:t>新建桥梁全长52.04米，桥梁全宽7.5米。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lang w:eastAsia="zh-CN"/>
              </w:rPr>
              <w:t>新建桥梁全长52.04米，桥梁全宽7.5米。</w:t>
            </w:r>
          </w:p>
        </w:tc>
      </w:tr>
      <w:tr>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新建桥梁全长52.04米，桥梁全宽7.5米。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lang w:val="en-US" w:eastAsia="zh-CN"/>
              </w:rPr>
              <w:t>已完成目标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cs="宋体" w:asciiTheme="minorEastAsia" w:hAnsiTheme="minorEastAsia" w:eastAsiaTheme="minorEastAsia"/>
                <w:color w:val="000000"/>
                <w:sz w:val="20"/>
                <w:szCs w:val="20"/>
                <w:lang w:eastAsia="zh-CN"/>
              </w:rPr>
            </w:pPr>
            <w:r>
              <w:rPr>
                <w:rFonts w:hint="eastAsia" w:cs="宋体" w:asciiTheme="minorEastAsia" w:hAnsiTheme="minorEastAsia" w:eastAsiaTheme="minorEastAsia"/>
                <w:color w:val="000000"/>
                <w:sz w:val="20"/>
                <w:szCs w:val="20"/>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宋体" w:asciiTheme="minorEastAsia" w:hAnsiTheme="minorEastAsia" w:eastAsiaTheme="minorEastAsia"/>
                <w:color w:val="000000"/>
                <w:sz w:val="20"/>
                <w:szCs w:val="20"/>
                <w:lang w:eastAsia="zh-CN"/>
              </w:rPr>
            </w:pPr>
            <w:r>
              <w:rPr>
                <w:rFonts w:hint="eastAsia" w:cs="仿宋_GB2312" w:asciiTheme="minorEastAsia" w:hAnsiTheme="minorEastAsia" w:eastAsiaTheme="minorEastAsia"/>
                <w:kern w:val="0"/>
                <w:sz w:val="16"/>
                <w:szCs w:val="16"/>
                <w:lang w:val="en-US" w:eastAsia="zh-CN"/>
              </w:rPr>
              <w:t>无</w:t>
            </w:r>
          </w:p>
        </w:tc>
      </w:tr>
      <w:tr>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r>
      <w:tr>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仿宋_GB2312" w:asciiTheme="minorEastAsia" w:hAnsiTheme="minorEastAsia" w:eastAsiaTheme="minorEastAsia"/>
                <w:kern w:val="0"/>
                <w:sz w:val="16"/>
                <w:szCs w:val="16"/>
                <w:lang w:eastAsia="zh-CN"/>
              </w:rPr>
            </w:pPr>
            <w:r>
              <w:rPr>
                <w:rFonts w:hint="eastAsia" w:cs="仿宋_GB2312" w:asciiTheme="minorEastAsia" w:hAnsiTheme="minorEastAsia" w:eastAsiaTheme="minorEastAsia"/>
                <w:kern w:val="0"/>
                <w:sz w:val="16"/>
                <w:szCs w:val="16"/>
                <w:lang w:val="en-US" w:eastAsia="zh-CN"/>
              </w:rPr>
              <w:t>无调整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lang w:val="en-US" w:eastAsia="zh-CN"/>
              </w:rPr>
              <w:t>无调整</w:t>
            </w:r>
          </w:p>
        </w:tc>
      </w:tr>
      <w:tr>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新建桥梁全长52.04米，桥梁全宽7.5米。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宋体" w:asciiTheme="minorEastAsia" w:hAnsiTheme="minorEastAsia" w:eastAsiaTheme="minorEastAsia"/>
                <w:color w:val="000000"/>
                <w:sz w:val="20"/>
                <w:szCs w:val="20"/>
                <w:lang w:val="en-US" w:eastAsia="zh-CN"/>
              </w:rPr>
            </w:pPr>
            <w:r>
              <w:rPr>
                <w:rFonts w:hint="eastAsia" w:cs="仿宋_GB2312" w:asciiTheme="minorEastAsia" w:hAnsiTheme="minorEastAsia" w:eastAsiaTheme="minorEastAsia"/>
                <w:kern w:val="0"/>
                <w:sz w:val="18"/>
                <w:szCs w:val="18"/>
                <w:lang w:val="en-US" w:eastAsia="zh-CN"/>
              </w:rPr>
              <w:t>已完成全部项目</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r>
      <w:tr>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default" w:cs="宋体" w:asciiTheme="minorEastAsia" w:hAnsiTheme="minorEastAsia" w:eastAsiaTheme="minorEastAsia"/>
                <w:color w:val="000000"/>
                <w:sz w:val="20"/>
                <w:szCs w:val="20"/>
                <w:lang w:val="en-US" w:eastAsia="zh-CN"/>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r>
      <w:tr>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已完工有效的方便了农牧民群众的出行</w:t>
            </w:r>
          </w:p>
        </w:tc>
      </w:tr>
      <w:tr>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4</w:t>
      </w:r>
      <w:r>
        <w:rPr>
          <w:rFonts w:hint="eastAsia" w:cs="仿宋_GB2312" w:asciiTheme="minorEastAsia" w:hAnsiTheme="minorEastAsia" w:eastAsiaTheme="minorEastAsia"/>
          <w:sz w:val="32"/>
          <w:szCs w:val="32"/>
        </w:rPr>
        <w:t>）</w:t>
      </w:r>
      <w:r>
        <w:rPr>
          <w:rFonts w:hint="eastAsia"/>
          <w:sz w:val="32"/>
          <w:szCs w:val="32"/>
          <w:lang w:eastAsia="zh-CN"/>
        </w:rPr>
        <w:t>红原县色地镇日西村水毁二号桥改建工程</w:t>
      </w:r>
      <w:r>
        <w:rPr>
          <w:rFonts w:hint="eastAsia" w:cs="仿宋_GB2312" w:asciiTheme="minorEastAsia" w:hAnsiTheme="minorEastAsia" w:eastAsiaTheme="minorEastAsia"/>
          <w:sz w:val="32"/>
          <w:szCs w:val="32"/>
        </w:rPr>
        <w:t>绩效目标完成情况综述。</w:t>
      </w:r>
    </w:p>
    <w:p>
      <w:pPr>
        <w:adjustRightInd w:val="0"/>
        <w:snapToGrid w:val="0"/>
        <w:spacing w:line="580" w:lineRule="exact"/>
        <w:ind w:firstLine="72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w:t>
      </w:r>
      <w:r>
        <w:rPr>
          <w:rFonts w:hint="eastAsia"/>
          <w:sz w:val="32"/>
          <w:szCs w:val="32"/>
          <w:lang w:val="en-US" w:eastAsia="zh-CN"/>
        </w:rPr>
        <w:t>120.676924</w:t>
      </w:r>
      <w:r>
        <w:rPr>
          <w:rFonts w:hint="eastAsia" w:cs="仿宋_GB2312" w:asciiTheme="minorEastAsia" w:hAnsiTheme="minorEastAsia" w:eastAsiaTheme="minorEastAsia"/>
          <w:sz w:val="32"/>
          <w:szCs w:val="32"/>
        </w:rPr>
        <w:t>万元，执行数为</w:t>
      </w:r>
      <w:r>
        <w:rPr>
          <w:rFonts w:hint="eastAsia"/>
          <w:sz w:val="32"/>
          <w:szCs w:val="32"/>
          <w:lang w:val="en-US" w:eastAsia="zh-CN"/>
        </w:rPr>
        <w:t>114.643078</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95</w:t>
      </w:r>
      <w:r>
        <w:rPr>
          <w:rFonts w:hint="eastAsia" w:cs="仿宋_GB2312" w:asciiTheme="minorEastAsia" w:hAnsiTheme="minorEastAsia" w:eastAsiaTheme="minorEastAsia"/>
          <w:sz w:val="32"/>
          <w:szCs w:val="32"/>
        </w:rPr>
        <w:t>%。通过项目实施</w:t>
      </w:r>
      <w:r>
        <w:rPr>
          <w:rFonts w:hint="eastAsia" w:cs="仿宋_GB2312" w:asciiTheme="minorEastAsia" w:hAnsiTheme="minorEastAsia" w:eastAsiaTheme="minorEastAsia"/>
          <w:sz w:val="32"/>
          <w:szCs w:val="32"/>
          <w:lang w:val="en-US" w:eastAsia="zh-CN"/>
        </w:rPr>
        <w:t>新建长 107.04延米,宽 7.5米大桥一座</w:t>
      </w: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方便群众出行，</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红原县色地镇日西村水毁二号桥改建工程</w:t>
            </w:r>
          </w:p>
        </w:tc>
      </w:tr>
      <w:tr>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120.676924</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114.643078</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120.676924</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114.643078</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rPr>
                <w:rFonts w:cs="宋体" w:asciiTheme="minorEastAsia" w:hAnsiTheme="minorEastAsia" w:eastAsiaTheme="minorEastAsia"/>
                <w:b/>
                <w:color w:val="000000"/>
                <w:sz w:val="24"/>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jc w:val="center"/>
              <w:rPr>
                <w:rFonts w:cs="宋体" w:asciiTheme="minorEastAsia" w:hAnsiTheme="minorEastAsia" w:eastAsiaTheme="minorEastAsia"/>
                <w:b/>
                <w:color w:val="000000"/>
                <w:sz w:val="18"/>
                <w:szCs w:val="18"/>
              </w:rPr>
            </w:pPr>
          </w:p>
        </w:tc>
      </w:tr>
      <w:tr>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jc w:val="left"/>
              <w:rPr>
                <w:rFonts w:cs="宋体" w:asciiTheme="minorEastAsia" w:hAnsiTheme="minorEastAsia" w:eastAsiaTheme="minorEastAsia"/>
                <w:bCs/>
                <w:color w:val="000000"/>
                <w:sz w:val="18"/>
                <w:szCs w:val="18"/>
              </w:rPr>
            </w:pPr>
          </w:p>
        </w:tc>
      </w:tr>
      <w:tr>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numPr>
                <w:ilvl w:val="0"/>
                <w:numId w:val="0"/>
              </w:numPr>
              <w:ind w:leftChars="0" w:firstLine="640" w:firstLineChars="200"/>
              <w:rPr>
                <w:rFonts w:hint="eastAsia"/>
                <w:sz w:val="32"/>
                <w:szCs w:val="32"/>
                <w:lang w:eastAsia="zh-CN"/>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新建桥梁全长18.04米，桥梁全宽7.5米。</w:t>
            </w:r>
          </w:p>
          <w:p>
            <w:pPr>
              <w:adjustRightInd w:val="0"/>
              <w:snapToGrid w:val="0"/>
              <w:spacing w:line="580" w:lineRule="exact"/>
              <w:jc w:val="left"/>
              <w:rPr>
                <w:rFonts w:asciiTheme="minorEastAsia" w:hAnsiTheme="minorEastAsia" w:eastAsiaTheme="minorEastAsia"/>
                <w:bCs/>
                <w:sz w:val="18"/>
                <w:szCs w:val="18"/>
                <w:lang w:val="zh-CN"/>
              </w:rPr>
            </w:pP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ind w:leftChars="0" w:firstLine="640" w:firstLineChars="200"/>
              <w:rPr>
                <w:rFonts w:hint="eastAsia"/>
                <w:sz w:val="32"/>
                <w:szCs w:val="32"/>
                <w:lang w:eastAsia="zh-CN"/>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新建桥梁全长18.04米，桥梁全宽7.5米。</w:t>
            </w:r>
          </w:p>
          <w:p>
            <w:pPr>
              <w:jc w:val="left"/>
              <w:rPr>
                <w:rFonts w:cs="宋体" w:asciiTheme="minorEastAsia" w:hAnsiTheme="minorEastAsia" w:eastAsiaTheme="minorEastAsia"/>
                <w:bCs/>
                <w:color w:val="000000"/>
                <w:sz w:val="18"/>
                <w:szCs w:val="18"/>
              </w:rPr>
            </w:pPr>
          </w:p>
        </w:tc>
      </w:tr>
      <w:tr>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jc w:val="left"/>
              <w:rPr>
                <w:rFonts w:cs="仿宋_GB2312" w:asciiTheme="minorEastAsia" w:hAnsiTheme="minorEastAsia" w:eastAsiaTheme="minorEastAsia"/>
                <w:kern w:val="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numPr>
                <w:ilvl w:val="0"/>
                <w:numId w:val="0"/>
              </w:numPr>
              <w:ind w:leftChars="0" w:firstLine="640" w:firstLineChars="200"/>
              <w:rPr>
                <w:rFonts w:hint="eastAsia"/>
                <w:sz w:val="32"/>
                <w:szCs w:val="32"/>
                <w:lang w:eastAsia="zh-CN"/>
              </w:rPr>
            </w:pPr>
            <w:r>
              <w:rPr>
                <w:rFonts w:hint="eastAsia"/>
                <w:sz w:val="32"/>
                <w:szCs w:val="32"/>
                <w:lang w:eastAsia="zh-CN"/>
              </w:rPr>
              <w:t>新建桥梁全长18.04米，桥梁全宽7.5米。</w:t>
            </w:r>
          </w:p>
          <w:p>
            <w:pPr>
              <w:jc w:val="left"/>
              <w:rPr>
                <w:rFonts w:cs="仿宋_GB2312" w:asciiTheme="minorEastAsia" w:hAnsiTheme="minorEastAsia" w:eastAsiaTheme="minorEastAsia"/>
                <w:kern w:val="0"/>
                <w:sz w:val="18"/>
                <w:szCs w:val="18"/>
              </w:rPr>
            </w:pPr>
          </w:p>
        </w:tc>
      </w:tr>
      <w:tr>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新建桥梁全长18.04米，桥梁全宽7.5米。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lang w:val="en-US" w:eastAsia="zh-CN"/>
              </w:rPr>
              <w:t>已完成目标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cs="宋体" w:asciiTheme="minorEastAsia" w:hAnsiTheme="minorEastAsia" w:eastAsiaTheme="minorEastAsia"/>
                <w:color w:val="000000"/>
                <w:sz w:val="20"/>
                <w:szCs w:val="20"/>
                <w:lang w:eastAsia="zh-CN"/>
              </w:rPr>
            </w:pPr>
            <w:r>
              <w:rPr>
                <w:rFonts w:hint="eastAsia" w:cs="宋体" w:asciiTheme="minorEastAsia" w:hAnsiTheme="minorEastAsia" w:eastAsiaTheme="minorEastAsia"/>
                <w:color w:val="000000"/>
                <w:sz w:val="20"/>
                <w:szCs w:val="20"/>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宋体" w:asciiTheme="minorEastAsia" w:hAnsiTheme="minorEastAsia" w:eastAsiaTheme="minorEastAsia"/>
                <w:color w:val="000000"/>
                <w:sz w:val="20"/>
                <w:szCs w:val="20"/>
                <w:lang w:eastAsia="zh-CN"/>
              </w:rPr>
            </w:pPr>
            <w:r>
              <w:rPr>
                <w:rFonts w:hint="eastAsia" w:cs="仿宋_GB2312" w:asciiTheme="minorEastAsia" w:hAnsiTheme="minorEastAsia" w:eastAsiaTheme="minorEastAsia"/>
                <w:kern w:val="0"/>
                <w:sz w:val="16"/>
                <w:szCs w:val="16"/>
                <w:lang w:val="en-US" w:eastAsia="zh-CN"/>
              </w:rPr>
              <w:t>无</w:t>
            </w:r>
          </w:p>
        </w:tc>
      </w:tr>
      <w:tr>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（红财发（2018）240号</w:t>
            </w:r>
            <w:r>
              <w:rPr>
                <w:rFonts w:hint="eastAsia" w:cs="仿宋_GB2312" w:asciiTheme="minorEastAsia" w:hAnsiTheme="minorEastAsia" w:eastAsiaTheme="minorEastAsia"/>
                <w:kern w:val="0"/>
                <w:sz w:val="16"/>
                <w:szCs w:val="16"/>
                <w:lang w:eastAsia="zh-CN"/>
              </w:rPr>
              <w:t>，红脱贫办（2019）21号</w:t>
            </w:r>
            <w:r>
              <w:rPr>
                <w:rFonts w:hint="eastAsia" w:cs="仿宋_GB2312" w:asciiTheme="minorEastAsia" w:hAnsiTheme="minorEastAsia" w:eastAsiaTheme="minorEastAsia"/>
                <w:kern w:val="0"/>
                <w:sz w:val="16"/>
                <w:szCs w:val="16"/>
              </w:rPr>
              <w:t>）文</w:t>
            </w:r>
          </w:p>
        </w:tc>
      </w:tr>
      <w:tr>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仿宋_GB2312" w:asciiTheme="minorEastAsia" w:hAnsiTheme="minorEastAsia" w:eastAsiaTheme="minorEastAsia"/>
                <w:kern w:val="0"/>
                <w:sz w:val="16"/>
                <w:szCs w:val="16"/>
                <w:lang w:eastAsia="zh-CN"/>
              </w:rPr>
            </w:pPr>
            <w:r>
              <w:rPr>
                <w:rFonts w:hint="eastAsia" w:cs="仿宋_GB2312" w:asciiTheme="minorEastAsia" w:hAnsiTheme="minorEastAsia" w:eastAsiaTheme="minorEastAsia"/>
                <w:kern w:val="0"/>
                <w:sz w:val="16"/>
                <w:szCs w:val="16"/>
                <w:lang w:val="en-US" w:eastAsia="zh-CN"/>
              </w:rPr>
              <w:t>无调整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lang w:val="en-US" w:eastAsia="zh-CN"/>
              </w:rPr>
              <w:t>无调整</w:t>
            </w:r>
          </w:p>
        </w:tc>
      </w:tr>
      <w:tr>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新建桥梁全长18.04米，桥梁全宽7.5米。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宋体" w:asciiTheme="minorEastAsia" w:hAnsiTheme="minorEastAsia" w:eastAsiaTheme="minorEastAsia"/>
                <w:color w:val="000000"/>
                <w:sz w:val="20"/>
                <w:szCs w:val="20"/>
                <w:lang w:val="en-US" w:eastAsia="zh-CN"/>
              </w:rPr>
            </w:pPr>
            <w:r>
              <w:rPr>
                <w:rFonts w:hint="eastAsia" w:cs="仿宋_GB2312" w:asciiTheme="minorEastAsia" w:hAnsiTheme="minorEastAsia" w:eastAsiaTheme="minorEastAsia"/>
                <w:kern w:val="0"/>
                <w:sz w:val="18"/>
                <w:szCs w:val="18"/>
                <w:lang w:val="en-US" w:eastAsia="zh-CN"/>
              </w:rPr>
              <w:t>已完成全部项目</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r>
      <w:tr>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default" w:cs="宋体" w:asciiTheme="minorEastAsia" w:hAnsiTheme="minorEastAsia" w:eastAsiaTheme="minorEastAsia"/>
                <w:color w:val="000000"/>
                <w:sz w:val="20"/>
                <w:szCs w:val="20"/>
                <w:lang w:val="en-US" w:eastAsia="zh-CN"/>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r>
      <w:tr>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已完工有效的方便了农牧民群众的出行</w:t>
            </w:r>
          </w:p>
        </w:tc>
      </w:tr>
      <w:tr>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tabs>
          <w:tab w:val="left" w:pos="312"/>
        </w:tabs>
        <w:spacing w:line="580" w:lineRule="exact"/>
        <w:ind w:firstLine="480" w:firstLineChars="15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5</w:t>
      </w:r>
      <w:r>
        <w:rPr>
          <w:rFonts w:hint="eastAsia" w:cs="仿宋_GB2312" w:asciiTheme="minorEastAsia" w:hAnsiTheme="minorEastAsia" w:eastAsiaTheme="minorEastAsia"/>
          <w:sz w:val="32"/>
          <w:szCs w:val="32"/>
        </w:rPr>
        <w:t>）</w:t>
      </w:r>
      <w:r>
        <w:rPr>
          <w:rFonts w:hint="eastAsia"/>
          <w:sz w:val="32"/>
          <w:szCs w:val="32"/>
          <w:lang w:eastAsia="zh-CN"/>
        </w:rPr>
        <w:t>红原县安曲镇夺龙村水毁桥梁恢复工程</w:t>
      </w:r>
      <w:r>
        <w:rPr>
          <w:rFonts w:hint="eastAsia" w:cs="仿宋_GB2312" w:asciiTheme="minorEastAsia" w:hAnsiTheme="minorEastAsia" w:eastAsiaTheme="minorEastAsia"/>
          <w:sz w:val="32"/>
          <w:szCs w:val="32"/>
        </w:rPr>
        <w:t>绩效目标完成情况综述。</w:t>
      </w:r>
    </w:p>
    <w:p>
      <w:pPr>
        <w:adjustRightInd w:val="0"/>
        <w:snapToGrid w:val="0"/>
        <w:spacing w:line="580" w:lineRule="exact"/>
        <w:ind w:firstLine="720"/>
        <w:rPr>
          <w:rFonts w:asciiTheme="minorEastAsia" w:hAnsiTheme="minorEastAsia" w:eastAsiaTheme="minorEastAsia"/>
          <w:sz w:val="32"/>
          <w:szCs w:val="32"/>
          <w:lang w:val="zh-CN"/>
        </w:rPr>
      </w:pPr>
      <w:r>
        <w:rPr>
          <w:rFonts w:hint="eastAsia" w:cs="仿宋_GB2312" w:asciiTheme="minorEastAsia" w:hAnsiTheme="minorEastAsia" w:eastAsiaTheme="minorEastAsia"/>
          <w:sz w:val="32"/>
          <w:szCs w:val="32"/>
        </w:rPr>
        <w:t>项目全年预算数</w:t>
      </w:r>
      <w:r>
        <w:rPr>
          <w:rFonts w:hint="eastAsia"/>
          <w:sz w:val="32"/>
          <w:szCs w:val="32"/>
          <w:lang w:val="en-US" w:eastAsia="zh-CN"/>
        </w:rPr>
        <w:t>312.600669</w:t>
      </w:r>
      <w:r>
        <w:rPr>
          <w:rFonts w:hint="eastAsia" w:cs="仿宋_GB2312" w:asciiTheme="minorEastAsia" w:hAnsiTheme="minorEastAsia" w:eastAsiaTheme="minorEastAsia"/>
          <w:sz w:val="32"/>
          <w:szCs w:val="32"/>
        </w:rPr>
        <w:t>万元，执行数为</w:t>
      </w:r>
      <w:r>
        <w:rPr>
          <w:rFonts w:hint="eastAsia"/>
          <w:sz w:val="32"/>
          <w:szCs w:val="32"/>
          <w:lang w:val="en-US" w:eastAsia="zh-CN"/>
        </w:rPr>
        <w:t>296.9703635</w:t>
      </w:r>
      <w:r>
        <w:rPr>
          <w:rFonts w:hint="eastAsia" w:cs="仿宋_GB2312" w:asciiTheme="minorEastAsia" w:hAnsiTheme="minorEastAsia" w:eastAsiaTheme="minorEastAsia"/>
          <w:sz w:val="32"/>
          <w:szCs w:val="32"/>
        </w:rPr>
        <w:t>万元，完成预算的</w:t>
      </w:r>
      <w:r>
        <w:rPr>
          <w:rFonts w:hint="eastAsia" w:cs="仿宋_GB2312" w:asciiTheme="minorEastAsia" w:hAnsiTheme="minorEastAsia" w:eastAsiaTheme="minorEastAsia"/>
          <w:sz w:val="32"/>
          <w:szCs w:val="32"/>
          <w:lang w:val="en-US" w:eastAsia="zh-CN"/>
        </w:rPr>
        <w:t>95</w:t>
      </w:r>
      <w:r>
        <w:rPr>
          <w:rFonts w:hint="eastAsia" w:cs="仿宋_GB2312" w:asciiTheme="minorEastAsia" w:hAnsiTheme="minorEastAsia" w:eastAsiaTheme="minorEastAsia"/>
          <w:sz w:val="32"/>
          <w:szCs w:val="32"/>
        </w:rPr>
        <w:t>%。通过项目实施</w:t>
      </w:r>
      <w:r>
        <w:rPr>
          <w:rFonts w:hint="eastAsia"/>
          <w:sz w:val="32"/>
          <w:szCs w:val="32"/>
          <w:lang w:eastAsia="zh-CN"/>
        </w:rPr>
        <w:t>新建桥梁全长52.04米，桥梁全宽7.5米</w:t>
      </w:r>
      <w:r>
        <w:rPr>
          <w:rFonts w:hint="eastAsia" w:cs="仿宋_GB2312" w:asciiTheme="minorEastAsia" w:hAnsiTheme="minorEastAsia" w:eastAsiaTheme="minorEastAsia"/>
          <w:sz w:val="32"/>
          <w:szCs w:val="32"/>
        </w:rPr>
        <w:t>。</w:t>
      </w:r>
      <w:r>
        <w:rPr>
          <w:rFonts w:hint="eastAsia" w:cs="仿宋_GB2312" w:asciiTheme="minorEastAsia" w:hAnsiTheme="minorEastAsia" w:eastAsiaTheme="minorEastAsia"/>
          <w:sz w:val="32"/>
          <w:szCs w:val="32"/>
          <w:lang w:val="en-US" w:eastAsia="zh-CN"/>
        </w:rPr>
        <w:t>方便群众出行，</w:t>
      </w:r>
      <w:r>
        <w:rPr>
          <w:rFonts w:hint="eastAsia" w:cs="仿宋_GB2312" w:asciiTheme="minorEastAsia" w:hAnsiTheme="minorEastAsia" w:eastAsiaTheme="minorEastAsia"/>
          <w:sz w:val="32"/>
          <w:szCs w:val="32"/>
        </w:rPr>
        <w:t>发现的主要问题：无。下一步改进措施：无。</w:t>
      </w:r>
    </w:p>
    <w:p>
      <w:pPr>
        <w:tabs>
          <w:tab w:val="left" w:pos="2220"/>
        </w:tabs>
        <w:rPr>
          <w:rFonts w:asciiTheme="minorEastAsia" w:hAnsiTheme="minorEastAsia" w:eastAsiaTheme="minorEastAsia"/>
        </w:rPr>
      </w:pPr>
      <w:r>
        <w:rPr>
          <w:rFonts w:asciiTheme="minorEastAsia" w:hAnsiTheme="minorEastAsia" w:eastAsiaTheme="minorEastAsia"/>
        </w:rPr>
        <w:tab/>
      </w:r>
    </w:p>
    <w:tbl>
      <w:tblPr>
        <w:tblStyle w:val="15"/>
        <w:tblW w:w="9522" w:type="dxa"/>
        <w:tblInd w:w="0" w:type="dxa"/>
        <w:tblLayout w:type="fixed"/>
        <w:tblCellMar>
          <w:top w:w="15" w:type="dxa"/>
          <w:left w:w="15" w:type="dxa"/>
          <w:bottom w:w="15" w:type="dxa"/>
          <w:right w:w="15" w:type="dxa"/>
        </w:tblCellMar>
      </w:tblPr>
      <w:tblGrid>
        <w:gridCol w:w="449"/>
        <w:gridCol w:w="764"/>
        <w:gridCol w:w="1048"/>
        <w:gridCol w:w="764"/>
        <w:gridCol w:w="1182"/>
        <w:gridCol w:w="1843"/>
        <w:gridCol w:w="1541"/>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项目支出绩效目标完成情况表</w:t>
            </w:r>
          </w:p>
        </w:tc>
      </w:tr>
      <w:tr>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阿木柯种畜场桥改建工程</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红原县交通运输局</w:t>
            </w:r>
          </w:p>
        </w:tc>
      </w:tr>
      <w:tr>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312.600669</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执行数:</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296.9703635</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312.600669</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其中-财政拨款:</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sz w:val="32"/>
                <w:szCs w:val="32"/>
                <w:lang w:val="en-US" w:eastAsia="zh-CN"/>
              </w:rPr>
              <w:t>296.9703635</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lang w:eastAsia="zh-CN"/>
              </w:rPr>
              <w:t>其他资金</w:t>
            </w:r>
            <w:r>
              <w:rPr>
                <w:rFonts w:hint="eastAsia" w:cs="宋体" w:asciiTheme="minorEastAsia" w:hAnsiTheme="minorEastAsia" w:eastAsiaTheme="minorEastAsia"/>
                <w:b/>
                <w:color w:val="000000"/>
                <w:kern w:val="0"/>
                <w:sz w:val="24"/>
              </w:rPr>
              <w:t>:</w:t>
            </w:r>
          </w:p>
        </w:tc>
        <w:tc>
          <w:tcPr>
            <w:tcW w:w="3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0</w:t>
            </w:r>
          </w:p>
        </w:tc>
      </w:tr>
      <w:tr>
        <w:tblPrEx>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b/>
                <w:color w:val="000000"/>
                <w:sz w:val="24"/>
              </w:rPr>
            </w:pPr>
            <w:r>
              <w:rPr>
                <w:rFonts w:hint="eastAsia" w:cs="宋体" w:asciiTheme="minorEastAsia" w:hAnsiTheme="minorEastAsia" w:eastAsiaTheme="minorEastAsia"/>
                <w:b/>
                <w:color w:val="000000"/>
                <w:kern w:val="0"/>
                <w:sz w:val="24"/>
              </w:rPr>
              <w:t>实际完成目标</w:t>
            </w:r>
          </w:p>
        </w:tc>
      </w:tr>
      <w:tr>
        <w:trPr>
          <w:trHeight w:val="1063"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cs="宋体" w:asciiTheme="minorEastAsia" w:hAnsiTheme="minorEastAsia" w:eastAsiaTheme="minorEastAsia"/>
                <w:b/>
                <w:color w:val="000000"/>
                <w:sz w:val="24"/>
              </w:rPr>
            </w:pPr>
            <w:r>
              <w:rPr>
                <w:rFonts w:hint="eastAsia"/>
                <w:sz w:val="32"/>
                <w:szCs w:val="32"/>
                <w:lang w:eastAsia="zh-CN"/>
              </w:rPr>
              <w:t>新建桥梁全长52.04米，桥梁全宽7.5米。</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宋体" w:asciiTheme="minorEastAsia" w:hAnsiTheme="minorEastAsia" w:eastAsiaTheme="minorEastAsia"/>
                <w:b/>
                <w:color w:val="000000"/>
                <w:sz w:val="18"/>
                <w:szCs w:val="18"/>
              </w:rPr>
            </w:pPr>
            <w:r>
              <w:rPr>
                <w:rFonts w:hint="eastAsia"/>
                <w:sz w:val="32"/>
                <w:szCs w:val="32"/>
                <w:lang w:eastAsia="zh-CN"/>
              </w:rPr>
              <w:t>新建桥梁全长52.04米，桥梁全宽7.5米。</w:t>
            </w:r>
          </w:p>
        </w:tc>
      </w:tr>
      <w:tr>
        <w:tblPrEx>
          <w:tblCellMar>
            <w:top w:w="15" w:type="dxa"/>
            <w:left w:w="15" w:type="dxa"/>
            <w:bottom w:w="15" w:type="dxa"/>
            <w:right w:w="15" w:type="dxa"/>
          </w:tblCellMar>
        </w:tblPrEx>
        <w:trPr>
          <w:trHeight w:val="936"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三级指标</w:t>
            </w:r>
          </w:p>
        </w:tc>
        <w:tc>
          <w:tcPr>
            <w:tcW w:w="302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指标评价内容</w:t>
            </w:r>
          </w:p>
        </w:tc>
        <w:tc>
          <w:tcPr>
            <w:tcW w:w="154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b/>
                <w:color w:val="000000"/>
                <w:sz w:val="20"/>
                <w:szCs w:val="20"/>
              </w:rPr>
            </w:pPr>
            <w:r>
              <w:rPr>
                <w:rFonts w:hint="eastAsia" w:cs="宋体" w:asciiTheme="minorEastAsia" w:hAnsiTheme="minorEastAsia" w:eastAsiaTheme="minorEastAsia"/>
                <w:b/>
                <w:color w:val="000000"/>
                <w:kern w:val="0"/>
                <w:sz w:val="20"/>
                <w:szCs w:val="20"/>
              </w:rPr>
              <w:t>实际完成指标值(包含数字及文字描述)</w:t>
            </w:r>
          </w:p>
        </w:tc>
      </w:tr>
      <w:tr>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blPrEx>
          <w:tblCellMar>
            <w:top w:w="15" w:type="dxa"/>
            <w:left w:w="15" w:type="dxa"/>
            <w:bottom w:w="15" w:type="dxa"/>
            <w:right w:w="15" w:type="dxa"/>
          </w:tblCellMar>
        </w:tblPrEx>
        <w:trPr>
          <w:trHeight w:val="9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302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54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b/>
                <w:color w:val="000000"/>
                <w:sz w:val="20"/>
                <w:szCs w:val="20"/>
              </w:rPr>
            </w:pP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目标内容</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项目预期提供的产品、服务、效益或其他目标明确,即绩效目标实际明确个数/应当明确个数×100%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新</w:t>
            </w:r>
            <w:r>
              <w:rPr>
                <w:rFonts w:hint="eastAsia"/>
                <w:sz w:val="32"/>
                <w:szCs w:val="32"/>
                <w:lang w:eastAsia="zh-CN"/>
              </w:rPr>
              <w:t>新建桥梁全长52.04米，桥梁全宽7.5米。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sz w:val="32"/>
                <w:szCs w:val="32"/>
                <w:lang w:eastAsia="zh-CN"/>
              </w:rPr>
              <w:t>新建桥梁全长52.04米，桥梁全宽7.5米。</w:t>
            </w:r>
          </w:p>
        </w:tc>
      </w:tr>
      <w:tr>
        <w:tblPrEx>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进度计划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项目计划实施进度明确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580" w:lineRule="exact"/>
              <w:jc w:val="left"/>
              <w:rPr>
                <w:rFonts w:asciiTheme="minorEastAsia" w:hAnsiTheme="minorEastAsia" w:eastAsiaTheme="minorEastAsia"/>
                <w:bCs/>
                <w:sz w:val="18"/>
                <w:szCs w:val="18"/>
                <w:lang w:val="zh-CN"/>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新建桥梁全长52.04米，桥梁全宽7.5米。</w:t>
            </w:r>
          </w:p>
          <w:p>
            <w:pPr>
              <w:jc w:val="left"/>
              <w:rPr>
                <w:rFonts w:cs="宋体" w:asciiTheme="minorEastAsia" w:hAnsiTheme="minorEastAsia" w:eastAsiaTheme="minorEastAsia"/>
                <w:bCs/>
                <w:color w:val="000000"/>
                <w:sz w:val="18"/>
                <w:szCs w:val="18"/>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bCs/>
                <w:color w:val="000000"/>
                <w:sz w:val="18"/>
                <w:szCs w:val="18"/>
              </w:rPr>
            </w:pPr>
            <w:r>
              <w:rPr>
                <w:rFonts w:hint="eastAsia" w:cs="仿宋_GB2312" w:asciiTheme="minorEastAsia" w:hAnsiTheme="minorEastAsia" w:eastAsiaTheme="minorEastAsia"/>
                <w:sz w:val="32"/>
                <w:szCs w:val="32"/>
                <w:lang w:val="en-US" w:eastAsia="zh-CN"/>
              </w:rPr>
              <w:t>完成</w:t>
            </w:r>
            <w:r>
              <w:rPr>
                <w:rFonts w:hint="eastAsia"/>
                <w:sz w:val="32"/>
                <w:szCs w:val="32"/>
                <w:lang w:eastAsia="zh-CN"/>
              </w:rPr>
              <w:t>新建桥梁全长52.04米，桥梁全宽7.5米。</w:t>
            </w:r>
          </w:p>
        </w:tc>
      </w:tr>
      <w:tr>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目标匹配</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绩效目标设定符合实际需求的抽样项目点个数/抽样项目点总数×100%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lang w:eastAsia="zh-CN"/>
              </w:rPr>
              <w:t>新建桥梁全长52.04米，桥梁全宽7.5米。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sz w:val="32"/>
                <w:szCs w:val="32"/>
                <w:lang w:eastAsia="zh-CN"/>
              </w:rPr>
              <w:t>新建桥梁全长52.04米，桥梁全宽7.5米。</w:t>
            </w:r>
          </w:p>
        </w:tc>
      </w:tr>
      <w:tr>
        <w:tblPrEx>
          <w:tblCellMar>
            <w:top w:w="15" w:type="dxa"/>
            <w:left w:w="15" w:type="dxa"/>
            <w:bottom w:w="15" w:type="dxa"/>
            <w:right w:w="15" w:type="dxa"/>
          </w:tblCellMar>
        </w:tblPrEx>
        <w:trPr>
          <w:trHeight w:val="14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政策依据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项目符合党中央、国务院和省委、省政府决策部署；符合当前经济社会发展需要</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kern w:val="0"/>
                <w:sz w:val="18"/>
                <w:szCs w:val="18"/>
              </w:rPr>
              <w:t>连续性项目根据需要制定中长期实施规划</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新建桥梁全长52.04米，桥梁全宽7.5米。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仿宋_GB2312" w:asciiTheme="minorEastAsia" w:hAnsiTheme="minorEastAsia" w:eastAsiaTheme="minorEastAsia"/>
                <w:kern w:val="0"/>
                <w:sz w:val="18"/>
                <w:szCs w:val="18"/>
                <w:lang w:val="en-US" w:eastAsia="zh-CN"/>
              </w:rPr>
            </w:pPr>
            <w:r>
              <w:rPr>
                <w:rFonts w:hint="eastAsia" w:cs="仿宋_GB2312" w:asciiTheme="minorEastAsia" w:hAnsiTheme="minorEastAsia" w:eastAsiaTheme="minorEastAsia"/>
                <w:kern w:val="0"/>
                <w:sz w:val="18"/>
                <w:szCs w:val="18"/>
                <w:lang w:val="en-US" w:eastAsia="zh-CN"/>
              </w:rPr>
              <w:t>已完成目标</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仿宋_GB2312" w:asciiTheme="minorEastAsia" w:hAnsiTheme="minorEastAsia" w:eastAsiaTheme="minorEastAsia"/>
                <w:kern w:val="0"/>
                <w:sz w:val="18"/>
                <w:szCs w:val="18"/>
              </w:rPr>
            </w:pPr>
            <w:r>
              <w:rPr>
                <w:rFonts w:hint="eastAsia" w:cs="仿宋_GB2312" w:asciiTheme="minorEastAsia" w:hAnsiTheme="minorEastAsia" w:eastAsiaTheme="minorEastAsia"/>
                <w:kern w:val="0"/>
                <w:sz w:val="18"/>
                <w:szCs w:val="18"/>
              </w:rPr>
              <w:t>规划符合实际，暂无调整变化</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管理制度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制定项目资金管理办法</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cs="宋体" w:asciiTheme="minorEastAsia" w:hAnsiTheme="minorEastAsia" w:eastAsiaTheme="minorEastAsia"/>
                <w:color w:val="000000"/>
                <w:sz w:val="20"/>
                <w:szCs w:val="20"/>
                <w:lang w:eastAsia="zh-CN"/>
              </w:rPr>
            </w:pPr>
            <w:r>
              <w:rPr>
                <w:rFonts w:hint="eastAsia" w:cs="宋体" w:asciiTheme="minorEastAsia" w:hAnsiTheme="minorEastAsia" w:eastAsiaTheme="minorEastAsia"/>
                <w:color w:val="000000"/>
                <w:sz w:val="20"/>
                <w:szCs w:val="20"/>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宋体" w:asciiTheme="minorEastAsia" w:hAnsiTheme="minorEastAsia" w:eastAsiaTheme="minorEastAsia"/>
                <w:color w:val="000000"/>
                <w:sz w:val="20"/>
                <w:szCs w:val="20"/>
                <w:lang w:eastAsia="zh-CN"/>
              </w:rPr>
            </w:pPr>
            <w:r>
              <w:rPr>
                <w:rFonts w:hint="eastAsia" w:cs="仿宋_GB2312" w:asciiTheme="minorEastAsia" w:hAnsiTheme="minorEastAsia" w:eastAsiaTheme="minorEastAsia"/>
                <w:kern w:val="0"/>
                <w:sz w:val="16"/>
                <w:szCs w:val="16"/>
                <w:lang w:val="en-US" w:eastAsia="zh-CN"/>
              </w:rPr>
              <w:t>无</w:t>
            </w:r>
          </w:p>
        </w:tc>
      </w:tr>
      <w:tr>
        <w:tblPrEx>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项目资金分配决策程序明确</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6"/>
                <w:szCs w:val="16"/>
                <w:lang w:val="en-US" w:eastAsia="zh-CN"/>
              </w:rPr>
              <w:t>方便群众出行</w:t>
            </w:r>
            <w:r>
              <w:rPr>
                <w:rFonts w:hint="eastAsia" w:cs="仿宋_GB2312" w:asciiTheme="minorEastAsia" w:hAnsiTheme="minorEastAsia" w:eastAsiaTheme="minorEastAsia"/>
                <w:kern w:val="0"/>
                <w:sz w:val="16"/>
                <w:szCs w:val="16"/>
              </w:rPr>
              <w:t>（阿州财农〔2018〕148号）文</w:t>
            </w:r>
          </w:p>
        </w:tc>
      </w:tr>
      <w:tr>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分配方法</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资金分配方法是否科学合理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分配方法科学合理</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分配过程符合相关规定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审核把关</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符合申报条件的抽样项目点个数/抽样项目点总数×100%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1</w:t>
            </w:r>
          </w:p>
        </w:tc>
      </w:tr>
      <w:tr>
        <w:tblPrEx>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集中</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财政资金占项目资金总额比重较小项目个数/项目总数×100%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宋体" w:asciiTheme="minorEastAsia" w:hAnsiTheme="minorEastAsia" w:eastAsiaTheme="minorEastAsia"/>
                <w:color w:val="000000"/>
                <w:kern w:val="0"/>
                <w:sz w:val="20"/>
                <w:szCs w:val="20"/>
              </w:rPr>
              <w:t>100%</w:t>
            </w:r>
          </w:p>
        </w:tc>
      </w:tr>
      <w:tr>
        <w:trPr>
          <w:trHeight w:val="1781"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均衡</w:t>
            </w:r>
          </w:p>
        </w:tc>
        <w:tc>
          <w:tcPr>
            <w:tcW w:w="1843"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16"/>
                <w:szCs w:val="16"/>
              </w:rPr>
              <w:t>按实际分配结果选择客观因素测算验证资金分配方法制定、分配要素设定、基础数据应用、测算依据选取等是否科学合理（2分）</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分配时效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县级主管部门按规定及时分配资金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资金拨付</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按规定及时拨付资金</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使用范围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资金使用是否合规</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支付依据</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资金支付依据符合规定，即支付依旧合规资金量/资金总量×100%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开支标准</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资金开支标准符合规定，即开支标准合规资金量/资金总量×100%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财务制度健全，管理规范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会计核算规范</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rPr>
              <w:t>是</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项目调整严格履行相关手续</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cs="仿宋_GB2312" w:asciiTheme="minorEastAsia" w:hAnsiTheme="minorEastAsia" w:eastAsiaTheme="minorEastAsia"/>
                <w:kern w:val="0"/>
                <w:sz w:val="16"/>
                <w:szCs w:val="16"/>
                <w:lang w:eastAsia="zh-CN"/>
              </w:rPr>
            </w:pPr>
            <w:r>
              <w:rPr>
                <w:rFonts w:hint="eastAsia" w:cs="仿宋_GB2312" w:asciiTheme="minorEastAsia" w:hAnsiTheme="minorEastAsia" w:eastAsiaTheme="minorEastAsia"/>
                <w:kern w:val="0"/>
                <w:sz w:val="16"/>
                <w:szCs w:val="16"/>
                <w:lang w:val="en-US" w:eastAsia="zh-CN"/>
              </w:rPr>
              <w:t>无调整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仿宋_GB2312" w:asciiTheme="minorEastAsia" w:hAnsiTheme="minorEastAsia" w:eastAsiaTheme="minorEastAsia"/>
                <w:kern w:val="0"/>
                <w:sz w:val="16"/>
                <w:szCs w:val="16"/>
              </w:rPr>
            </w:pPr>
            <w:r>
              <w:rPr>
                <w:rFonts w:hint="eastAsia" w:cs="仿宋_GB2312" w:asciiTheme="minorEastAsia" w:hAnsiTheme="minorEastAsia" w:eastAsiaTheme="minorEastAsia"/>
                <w:kern w:val="0"/>
                <w:sz w:val="16"/>
                <w:szCs w:val="16"/>
                <w:lang w:val="en-US" w:eastAsia="zh-CN"/>
              </w:rPr>
              <w:t>无调整</w:t>
            </w:r>
          </w:p>
        </w:tc>
      </w:tr>
      <w:tr>
        <w:tblPrEx>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投资变更</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项目投资变更额/项目总投入×100%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制度执行</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严格执行项目有关制度规定</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完成数量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实际完成任务量/绩效目标设定任务量×100%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仿宋_GB2312" w:asciiTheme="minorEastAsia" w:hAnsiTheme="minorEastAsia" w:eastAsiaTheme="minorEastAsia"/>
                <w:kern w:val="0"/>
                <w:sz w:val="18"/>
                <w:szCs w:val="18"/>
              </w:rPr>
              <w:t>事实规划</w:t>
            </w:r>
            <w:r>
              <w:rPr>
                <w:rFonts w:hint="eastAsia" w:cs="宋体" w:asciiTheme="minorEastAsia" w:hAnsiTheme="minorEastAsia" w:eastAsiaTheme="minorEastAsia"/>
                <w:bCs/>
                <w:color w:val="000000"/>
                <w:sz w:val="18"/>
                <w:szCs w:val="18"/>
              </w:rPr>
              <w:t>新建桥梁全长52.04米，桥梁全宽7.5米。</w:t>
            </w:r>
            <w:r>
              <w:rPr>
                <w:rFonts w:hint="eastAsia" w:cs="宋体" w:asciiTheme="minorEastAsia" w:hAnsiTheme="minorEastAsia" w:eastAsiaTheme="minorEastAsia"/>
                <w:bCs/>
                <w:color w:val="000000"/>
                <w:sz w:val="18"/>
                <w:szCs w:val="18"/>
                <w:lang w:val="en-US" w:eastAsia="zh-CN"/>
              </w:rPr>
              <w:t>方便群众出行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default" w:cs="宋体" w:asciiTheme="minorEastAsia" w:hAnsiTheme="minorEastAsia" w:eastAsiaTheme="minorEastAsia"/>
                <w:color w:val="000000"/>
                <w:sz w:val="20"/>
                <w:szCs w:val="20"/>
                <w:lang w:val="en-US" w:eastAsia="zh-CN"/>
              </w:rPr>
            </w:pPr>
            <w:r>
              <w:rPr>
                <w:rFonts w:hint="eastAsia" w:cs="仿宋_GB2312" w:asciiTheme="minorEastAsia" w:hAnsiTheme="minorEastAsia" w:eastAsiaTheme="minorEastAsia"/>
                <w:kern w:val="0"/>
                <w:sz w:val="18"/>
                <w:szCs w:val="18"/>
                <w:lang w:val="en-US" w:eastAsia="zh-CN"/>
              </w:rPr>
              <w:t>已完成全部项目</w:t>
            </w:r>
          </w:p>
        </w:tc>
      </w:tr>
      <w:tr>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完成质量</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符合绩效目标设定的验收标准，达到行业基准水平</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是</w:t>
            </w:r>
          </w:p>
        </w:tc>
      </w:tr>
      <w:tr>
        <w:tblPrEx>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完成时效</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（实际完成时间-绩效目标设定完成时间）/绩效目标设定完成时间×100%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201</w:t>
            </w:r>
            <w:r>
              <w:rPr>
                <w:rFonts w:hint="eastAsia" w:cs="宋体" w:asciiTheme="minorEastAsia" w:hAnsiTheme="minorEastAsia" w:eastAsiaTheme="minorEastAsia"/>
                <w:color w:val="000000"/>
                <w:sz w:val="20"/>
                <w:szCs w:val="20"/>
                <w:lang w:val="en-US" w:eastAsia="zh-CN"/>
              </w:rPr>
              <w:t>9</w:t>
            </w:r>
            <w:r>
              <w:rPr>
                <w:rFonts w:hint="eastAsia" w:cs="宋体" w:asciiTheme="minorEastAsia" w:hAnsiTheme="minorEastAsia" w:eastAsiaTheme="minorEastAsia"/>
                <w:color w:val="000000"/>
                <w:sz w:val="20"/>
                <w:szCs w:val="20"/>
              </w:rPr>
              <w:t>年12月</w:t>
            </w:r>
          </w:p>
        </w:tc>
      </w:tr>
      <w:tr>
        <w:trPr>
          <w:trHeight w:val="636"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完成成本</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（实际完成成本-预计完成成本）/预计完成成本×100%</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100%</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经济效益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反映相关产出对经济社会发展带来的影响和效果，根据项目实际细化具体指标。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资金拨付完成保障建设资金按时到位</w:t>
            </w:r>
          </w:p>
        </w:tc>
      </w:tr>
      <w:tr>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社会效益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反映相关产出对社会发展带来的影响和效果，根据项目实际细化具体指标。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rPr>
                <w:rFonts w:hint="default" w:cs="宋体" w:asciiTheme="minorEastAsia" w:hAnsiTheme="minorEastAsia" w:eastAsiaTheme="minorEastAsia"/>
                <w:color w:val="000000"/>
                <w:sz w:val="20"/>
                <w:szCs w:val="20"/>
                <w:lang w:val="en-US" w:eastAsia="zh-CN"/>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r>
      <w:tr>
        <w:tblPrEx>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center"/>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生态效益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反映相关产出对自然环境带来的影响和效果，根据项目实际细化具体指标。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无</w:t>
            </w:r>
          </w:p>
        </w:tc>
      </w:tr>
      <w:tr>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cs="宋体" w:asciiTheme="minorEastAsia" w:hAnsiTheme="minorEastAsia" w:eastAsiaTheme="minorEastAsia"/>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可持续效益</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widowControl/>
              <w:jc w:val="left"/>
              <w:textAlignment w:val="bottom"/>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反映相关产出带来影响的可持续期限，根据项目实际细化具体指标。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方便农牧民群众的出行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lang w:val="en-US" w:eastAsia="zh-CN"/>
              </w:rPr>
              <w:t>已完工有效的方便了农牧民群众的出行</w:t>
            </w:r>
          </w:p>
        </w:tc>
      </w:tr>
      <w:tr>
        <w:tblPrEx>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cs="仿宋_GB2312" w:asciiTheme="minorEastAsia" w:hAnsiTheme="minorEastAsia" w:eastAsiaTheme="minorEastAsia"/>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cs="宋体" w:asciiTheme="minorEastAsia" w:hAnsiTheme="minorEastAsia" w:eastAsiaTheme="minorEastAsia"/>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服务对象满意度</w:t>
            </w:r>
          </w:p>
        </w:tc>
        <w:tc>
          <w:tcPr>
            <w:tcW w:w="3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kern w:val="0"/>
                <w:sz w:val="20"/>
                <w:szCs w:val="20"/>
              </w:rPr>
              <w:t>反映服务对象或项目受益人对相关产出及其影响的认可程度，根据项目实际细化具体指标。</w:t>
            </w:r>
          </w:p>
        </w:tc>
        <w:tc>
          <w:tcPr>
            <w:tcW w:w="154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cs="宋体" w:asciiTheme="minorEastAsia" w:hAnsiTheme="minorEastAsia" w:eastAsiaTheme="minorEastAsia"/>
                <w:color w:val="000000"/>
                <w:sz w:val="20"/>
                <w:szCs w:val="20"/>
              </w:rPr>
            </w:pPr>
            <w:r>
              <w:rPr>
                <w:rFonts w:hint="eastAsia" w:cs="宋体" w:asciiTheme="minorEastAsia" w:hAnsiTheme="minorEastAsia" w:eastAsiaTheme="minorEastAsia"/>
                <w:color w:val="000000"/>
                <w:sz w:val="20"/>
                <w:szCs w:val="20"/>
              </w:rPr>
              <w:t>对本项目事实满意度好。无异议</w:t>
            </w:r>
          </w:p>
        </w:tc>
      </w:tr>
    </w:tbl>
    <w:p>
      <w:pPr>
        <w:spacing w:line="580" w:lineRule="exact"/>
        <w:rPr>
          <w:rFonts w:cs="仿宋_GB2312" w:asciiTheme="minorEastAsia" w:hAnsiTheme="minorEastAsia" w:eastAsiaTheme="minorEastAsia"/>
          <w:sz w:val="32"/>
          <w:szCs w:val="32"/>
        </w:rPr>
      </w:pPr>
    </w:p>
    <w:p>
      <w:pPr>
        <w:numPr>
          <w:ilvl w:val="0"/>
          <w:numId w:val="0"/>
        </w:numPr>
        <w:spacing w:line="580" w:lineRule="exact"/>
        <w:ind w:firstLine="321" w:firstLineChars="100"/>
        <w:rPr>
          <w:rFonts w:cs="仿宋_GB2312" w:asciiTheme="minorEastAsia" w:hAnsiTheme="minorEastAsia" w:eastAsiaTheme="minorEastAsia"/>
          <w:sz w:val="32"/>
          <w:szCs w:val="32"/>
        </w:rPr>
      </w:pPr>
      <w:r>
        <w:rPr>
          <w:rFonts w:hint="eastAsia" w:cs="楷体_GB2312" w:asciiTheme="minorEastAsia" w:hAnsiTheme="minorEastAsia" w:eastAsiaTheme="minorEastAsia"/>
          <w:b/>
          <w:bCs/>
          <w:sz w:val="32"/>
          <w:szCs w:val="32"/>
          <w:lang w:eastAsia="zh-CN"/>
        </w:rPr>
        <w:t>（</w:t>
      </w:r>
      <w:r>
        <w:rPr>
          <w:rFonts w:hint="eastAsia" w:cs="楷体_GB2312" w:asciiTheme="minorEastAsia" w:hAnsiTheme="minorEastAsia" w:eastAsiaTheme="minorEastAsia"/>
          <w:b/>
          <w:bCs/>
          <w:sz w:val="32"/>
          <w:szCs w:val="32"/>
          <w:lang w:val="en-US" w:eastAsia="zh-CN"/>
        </w:rPr>
        <w:t>三</w:t>
      </w:r>
      <w:r>
        <w:rPr>
          <w:rFonts w:hint="eastAsia" w:cs="楷体_GB2312" w:asciiTheme="minorEastAsia" w:hAnsiTheme="minorEastAsia" w:eastAsiaTheme="minorEastAsia"/>
          <w:b/>
          <w:bCs/>
          <w:sz w:val="32"/>
          <w:szCs w:val="32"/>
          <w:lang w:eastAsia="zh-CN"/>
        </w:rPr>
        <w:t>）</w:t>
      </w:r>
      <w:r>
        <w:rPr>
          <w:rFonts w:hint="eastAsia" w:cs="楷体_GB2312" w:asciiTheme="minorEastAsia" w:hAnsiTheme="minorEastAsia" w:eastAsiaTheme="minorEastAsia"/>
          <w:b/>
          <w:bCs/>
          <w:sz w:val="32"/>
          <w:szCs w:val="32"/>
        </w:rPr>
        <w:t>部门开展绩效评价结果。</w:t>
      </w:r>
    </w:p>
    <w:p>
      <w:pPr>
        <w:spacing w:line="580" w:lineRule="exact"/>
        <w:ind w:firstLine="640" w:firstLineChars="2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本部门按要求对201</w:t>
      </w:r>
      <w:r>
        <w:rPr>
          <w:rFonts w:hint="eastAsia" w:cs="仿宋_GB2312" w:asciiTheme="minorEastAsia" w:hAnsiTheme="minorEastAsia" w:eastAsiaTheme="minorEastAsia"/>
          <w:sz w:val="32"/>
          <w:szCs w:val="32"/>
          <w:lang w:val="en-US" w:eastAsia="zh-CN"/>
        </w:rPr>
        <w:t>9</w:t>
      </w:r>
      <w:r>
        <w:rPr>
          <w:rFonts w:hint="eastAsia" w:cs="仿宋_GB2312" w:asciiTheme="minorEastAsia" w:hAnsiTheme="minorEastAsia" w:eastAsiaTheme="minorEastAsia"/>
          <w:sz w:val="32"/>
          <w:szCs w:val="32"/>
        </w:rPr>
        <w:t>年部门整体支出绩效评价情况开展自评，《</w:t>
      </w:r>
      <w:r>
        <w:rPr>
          <w:rFonts w:hint="eastAsia" w:cs="仿宋_GB2312" w:asciiTheme="minorEastAsia" w:hAnsiTheme="minorEastAsia" w:eastAsiaTheme="minorEastAsia"/>
          <w:sz w:val="32"/>
          <w:szCs w:val="32"/>
          <w:lang w:val="en-US" w:eastAsia="zh-CN"/>
        </w:rPr>
        <w:t>红原县交通运输局</w:t>
      </w:r>
      <w:r>
        <w:rPr>
          <w:rFonts w:hint="eastAsia" w:cs="仿宋_GB2312" w:asciiTheme="minorEastAsia" w:hAnsiTheme="minorEastAsia" w:eastAsiaTheme="minorEastAsia"/>
          <w:sz w:val="32"/>
          <w:szCs w:val="32"/>
        </w:rPr>
        <w:t>部门201</w:t>
      </w:r>
      <w:r>
        <w:rPr>
          <w:rFonts w:hint="eastAsia" w:cs="仿宋_GB2312" w:asciiTheme="minorEastAsia" w:hAnsiTheme="minorEastAsia" w:eastAsiaTheme="minorEastAsia"/>
          <w:sz w:val="32"/>
          <w:szCs w:val="32"/>
          <w:lang w:val="en-US" w:eastAsia="zh-CN"/>
        </w:rPr>
        <w:t>9</w:t>
      </w:r>
      <w:r>
        <w:rPr>
          <w:rFonts w:hint="eastAsia" w:cs="仿宋_GB2312" w:asciiTheme="minorEastAsia" w:hAnsiTheme="minorEastAsia" w:eastAsiaTheme="minorEastAsia"/>
          <w:sz w:val="32"/>
          <w:szCs w:val="32"/>
        </w:rPr>
        <w:t>年部门整体支出绩效评价报告》见附件。</w:t>
      </w:r>
    </w:p>
    <w:p>
      <w:pPr>
        <w:spacing w:line="600" w:lineRule="exact"/>
        <w:ind w:firstLine="640" w:firstLineChars="200"/>
        <w:outlineLvl w:val="1"/>
        <w:rPr>
          <w:rFonts w:hint="eastAsia" w:cs="仿宋_GB2312" w:asciiTheme="minorEastAsia" w:hAnsiTheme="minorEastAsia" w:eastAsiaTheme="minorEastAsia"/>
          <w:sz w:val="32"/>
          <w:szCs w:val="32"/>
          <w:lang w:val="en-US" w:eastAsia="zh-CN"/>
        </w:rPr>
      </w:pPr>
      <w:bookmarkStart w:id="71" w:name="_Toc16104"/>
      <w:r>
        <w:rPr>
          <w:rFonts w:hint="eastAsia" w:cs="仿宋_GB2312" w:asciiTheme="minorEastAsia" w:hAnsiTheme="minorEastAsia" w:eastAsiaTheme="minorEastAsia"/>
          <w:sz w:val="32"/>
          <w:szCs w:val="32"/>
        </w:rPr>
        <w:t>本部门自行组织对</w:t>
      </w:r>
      <w:r>
        <w:rPr>
          <w:rFonts w:hint="eastAsia"/>
          <w:sz w:val="32"/>
          <w:szCs w:val="32"/>
          <w:lang w:eastAsia="zh-CN"/>
        </w:rPr>
        <w:t>红原县查江路达格则寺至江茸乡段改建工程</w:t>
      </w:r>
      <w:r>
        <w:rPr>
          <w:rFonts w:hint="eastAsia"/>
          <w:sz w:val="32"/>
          <w:szCs w:val="32"/>
          <w:lang w:val="en-US" w:eastAsia="zh-CN"/>
        </w:rPr>
        <w:t>等6个</w:t>
      </w:r>
      <w:r>
        <w:rPr>
          <w:rFonts w:hint="eastAsia" w:cs="仿宋_GB2312" w:asciiTheme="minorEastAsia" w:hAnsiTheme="minorEastAsia" w:eastAsiaTheme="minorEastAsia"/>
          <w:sz w:val="32"/>
          <w:szCs w:val="32"/>
        </w:rPr>
        <w:t>项目开展了绩效评价，《</w:t>
      </w:r>
      <w:r>
        <w:rPr>
          <w:rFonts w:hint="eastAsia" w:cs="仿宋_GB2312" w:asciiTheme="minorEastAsia" w:hAnsiTheme="minorEastAsia" w:eastAsiaTheme="minorEastAsia"/>
          <w:sz w:val="32"/>
          <w:szCs w:val="32"/>
          <w:lang w:val="en-US" w:eastAsia="zh-CN"/>
        </w:rPr>
        <w:t>红原县交通运输局</w:t>
      </w:r>
      <w:bookmarkEnd w:id="71"/>
    </w:p>
    <w:p>
      <w:pPr>
        <w:spacing w:line="600" w:lineRule="exact"/>
        <w:outlineLvl w:val="1"/>
        <w:rPr>
          <w:rFonts w:hint="eastAsia" w:cs="仿宋_GB2312" w:asciiTheme="minorEastAsia" w:hAnsiTheme="minorEastAsia" w:eastAsiaTheme="minorEastAsia"/>
          <w:sz w:val="32"/>
          <w:szCs w:val="32"/>
        </w:rPr>
      </w:pPr>
      <w:bookmarkStart w:id="72" w:name="_Toc30384"/>
      <w:r>
        <w:rPr>
          <w:rFonts w:hint="eastAsia" w:cs="仿宋_GB2312" w:asciiTheme="minorEastAsia" w:hAnsiTheme="minorEastAsia" w:eastAsiaTheme="minorEastAsia"/>
          <w:sz w:val="32"/>
          <w:szCs w:val="32"/>
          <w:lang w:val="en-US" w:eastAsia="zh-CN"/>
        </w:rPr>
        <w:t>2019年项目支出绩效自评报告</w:t>
      </w:r>
      <w:r>
        <w:rPr>
          <w:rFonts w:hint="eastAsia" w:cs="仿宋_GB2312" w:asciiTheme="minorEastAsia" w:hAnsiTheme="minorEastAsia" w:eastAsiaTheme="minorEastAsia"/>
          <w:sz w:val="32"/>
          <w:szCs w:val="32"/>
        </w:rPr>
        <w:t>》见附件。</w:t>
      </w:r>
      <w:bookmarkEnd w:id="72"/>
      <w:bookmarkStart w:id="73" w:name="_Toc15396612"/>
      <w:bookmarkStart w:id="74" w:name="_Toc15377221"/>
    </w:p>
    <w:bookmarkEnd w:id="73"/>
    <w:bookmarkEnd w:id="74"/>
    <w:p>
      <w:pPr>
        <w:widowControl/>
        <w:jc w:val="lef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br w:type="page"/>
      </w:r>
    </w:p>
    <w:p>
      <w:pPr>
        <w:numPr>
          <w:ilvl w:val="0"/>
          <w:numId w:val="6"/>
        </w:numPr>
        <w:spacing w:line="600" w:lineRule="exact"/>
        <w:ind w:firstLine="663" w:firstLineChars="150"/>
        <w:jc w:val="center"/>
        <w:outlineLvl w:val="0"/>
        <w:rPr>
          <w:rStyle w:val="27"/>
          <w:rFonts w:asciiTheme="minorEastAsia" w:hAnsiTheme="minorEastAsia" w:eastAsiaTheme="minorEastAsia"/>
          <w:b w:val="0"/>
        </w:rPr>
      </w:pPr>
      <w:bookmarkStart w:id="75" w:name="_Toc15377225"/>
      <w:bookmarkStart w:id="76" w:name="_Toc432"/>
      <w:bookmarkStart w:id="77" w:name="_Toc15396613"/>
      <w:r>
        <w:rPr>
          <w:rFonts w:hint="eastAsia" w:asciiTheme="minorEastAsia" w:hAnsiTheme="minorEastAsia" w:eastAsiaTheme="minorEastAsia"/>
          <w:b/>
          <w:color w:val="000000"/>
          <w:sz w:val="44"/>
          <w:szCs w:val="44"/>
        </w:rPr>
        <w:t>名</w:t>
      </w:r>
      <w:r>
        <w:rPr>
          <w:rStyle w:val="27"/>
          <w:rFonts w:hint="eastAsia" w:asciiTheme="minorEastAsia" w:hAnsiTheme="minorEastAsia" w:eastAsiaTheme="minorEastAsia"/>
          <w:b w:val="0"/>
        </w:rPr>
        <w:t>词解释</w:t>
      </w:r>
      <w:bookmarkEnd w:id="75"/>
      <w:bookmarkEnd w:id="76"/>
      <w:bookmarkEnd w:id="77"/>
    </w:p>
    <w:p>
      <w:pPr>
        <w:spacing w:line="600" w:lineRule="exact"/>
        <w:jc w:val="left"/>
        <w:rPr>
          <w:rFonts w:ascii="仿宋" w:hAnsi="仿宋" w:eastAsia="仿宋"/>
          <w:b/>
          <w:color w:val="000000"/>
          <w:sz w:val="32"/>
          <w:szCs w:val="32"/>
        </w:rPr>
      </w:pPr>
    </w:p>
    <w:p>
      <w:pPr>
        <w:pStyle w:val="25"/>
        <w:spacing w:line="560" w:lineRule="exact"/>
        <w:ind w:firstLine="640" w:firstLineChars="200"/>
        <w:rPr>
          <w:rFonts w:hAnsi="仿宋"/>
          <w:sz w:val="32"/>
          <w:szCs w:val="32"/>
        </w:rPr>
      </w:pPr>
      <w:r>
        <w:rPr>
          <w:rFonts w:hAnsi="仿宋"/>
          <w:sz w:val="32"/>
          <w:szCs w:val="32"/>
        </w:rPr>
        <w:t>1.</w:t>
      </w:r>
      <w:r>
        <w:rPr>
          <w:rFonts w:hint="eastAsia" w:hAnsi="仿宋"/>
          <w:sz w:val="32"/>
          <w:szCs w:val="32"/>
        </w:rPr>
        <w:t>财政拨款收入：指单位从同级财政部门取得的财政预算资金。</w:t>
      </w:r>
    </w:p>
    <w:p>
      <w:pPr>
        <w:pStyle w:val="25"/>
        <w:spacing w:line="560" w:lineRule="exact"/>
        <w:ind w:firstLine="640" w:firstLineChars="200"/>
        <w:rPr>
          <w:rFonts w:hAnsi="仿宋"/>
          <w:sz w:val="32"/>
          <w:szCs w:val="32"/>
        </w:rPr>
      </w:pPr>
      <w:r>
        <w:rPr>
          <w:rFonts w:hint="eastAsia" w:hAnsi="仿宋"/>
          <w:sz w:val="32"/>
          <w:szCs w:val="32"/>
          <w:lang w:val="en-US" w:eastAsia="zh-CN"/>
        </w:rPr>
        <w:t>2</w:t>
      </w:r>
      <w:r>
        <w:rPr>
          <w:rFonts w:hAnsi="仿宋"/>
          <w:sz w:val="32"/>
          <w:szCs w:val="32"/>
        </w:rPr>
        <w:t>.</w:t>
      </w:r>
      <w:r>
        <w:rPr>
          <w:rFonts w:hint="eastAsia" w:hAnsi="仿宋"/>
          <w:sz w:val="32"/>
          <w:szCs w:val="32"/>
        </w:rPr>
        <w:t>其他收入：</w:t>
      </w:r>
      <w:r>
        <w:rPr>
          <w:rFonts w:hint="eastAsia" w:hAnsi="仿宋"/>
          <w:sz w:val="32"/>
          <w:szCs w:val="32"/>
          <w:lang w:val="en-US" w:eastAsia="zh-CN"/>
        </w:rPr>
        <w:t>利息收入</w:t>
      </w:r>
      <w:r>
        <w:rPr>
          <w:rFonts w:hint="eastAsia" w:hAnsi="仿宋"/>
          <w:sz w:val="32"/>
          <w:szCs w:val="32"/>
        </w:rPr>
        <w:t>。</w:t>
      </w:r>
    </w:p>
    <w:p>
      <w:pPr>
        <w:pStyle w:val="25"/>
        <w:spacing w:line="560" w:lineRule="exact"/>
        <w:ind w:firstLine="640" w:firstLineChars="200"/>
        <w:rPr>
          <w:rFonts w:hAnsi="仿宋"/>
          <w:sz w:val="32"/>
          <w:szCs w:val="32"/>
        </w:rPr>
      </w:pPr>
      <w:r>
        <w:rPr>
          <w:rFonts w:hint="eastAsia" w:hAnsi="仿宋"/>
          <w:sz w:val="32"/>
          <w:szCs w:val="32"/>
          <w:lang w:val="en-US" w:eastAsia="zh-CN"/>
        </w:rPr>
        <w:t>3</w:t>
      </w:r>
      <w:r>
        <w:rPr>
          <w:rFonts w:hAnsi="仿宋"/>
          <w:sz w:val="32"/>
          <w:szCs w:val="32"/>
        </w:rPr>
        <w:t>.</w:t>
      </w:r>
      <w:r>
        <w:rPr>
          <w:rFonts w:hint="eastAsia" w:hAnsi="仿宋"/>
          <w:sz w:val="32"/>
          <w:szCs w:val="32"/>
        </w:rPr>
        <w:t>年初结转和结余：指以前年度尚未完成、结转到本年按有关规定继续使用的资金。</w:t>
      </w:r>
    </w:p>
    <w:p>
      <w:pPr>
        <w:pStyle w:val="25"/>
        <w:spacing w:line="560" w:lineRule="exact"/>
        <w:ind w:firstLine="640" w:firstLineChars="200"/>
        <w:rPr>
          <w:rFonts w:hAnsi="仿宋"/>
          <w:sz w:val="32"/>
          <w:szCs w:val="32"/>
        </w:rPr>
      </w:pPr>
      <w:r>
        <w:rPr>
          <w:rFonts w:hint="eastAsia" w:hAnsi="仿宋"/>
          <w:sz w:val="32"/>
          <w:szCs w:val="32"/>
          <w:lang w:val="en-US" w:eastAsia="zh-CN"/>
        </w:rPr>
        <w:t>4</w:t>
      </w:r>
      <w:r>
        <w:rPr>
          <w:rFonts w:hAnsi="仿宋"/>
          <w:sz w:val="32"/>
          <w:szCs w:val="32"/>
        </w:rPr>
        <w:t>.</w:t>
      </w:r>
      <w:r>
        <w:rPr>
          <w:rFonts w:hint="eastAsia" w:hAnsi="仿宋"/>
          <w:sz w:val="32"/>
          <w:szCs w:val="32"/>
        </w:rPr>
        <w:t>结余分配：指事业单位按照事业单位会计制度的规定从非财政补助结余中分配的事业基金和职工福利基金等。</w:t>
      </w:r>
    </w:p>
    <w:p>
      <w:pPr>
        <w:pStyle w:val="25"/>
        <w:spacing w:line="560" w:lineRule="exact"/>
        <w:ind w:firstLine="640" w:firstLineChars="200"/>
        <w:rPr>
          <w:rFonts w:hAnsi="仿宋"/>
          <w:sz w:val="32"/>
          <w:szCs w:val="32"/>
        </w:rPr>
      </w:pPr>
      <w:r>
        <w:rPr>
          <w:rFonts w:hint="eastAsia" w:hAnsi="仿宋"/>
          <w:sz w:val="32"/>
          <w:szCs w:val="32"/>
          <w:lang w:val="en-US" w:eastAsia="zh-CN"/>
        </w:rPr>
        <w:t>5</w:t>
      </w:r>
      <w:r>
        <w:rPr>
          <w:rFonts w:hint="eastAsia" w:hAnsi="仿宋"/>
          <w:sz w:val="32"/>
          <w:szCs w:val="32"/>
        </w:rPr>
        <w:t>、年末结转和结余：指单位按有关规定结转到下年或以后年度继续使用的资金。</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6</w:t>
      </w:r>
      <w:r>
        <w:rPr>
          <w:rFonts w:ascii="仿宋" w:hAnsi="仿宋" w:eastAsia="仿宋"/>
          <w:color w:val="000000"/>
          <w:sz w:val="32"/>
          <w:szCs w:val="32"/>
        </w:rPr>
        <w:t>.</w:t>
      </w:r>
      <w:r>
        <w:rPr>
          <w:rFonts w:hint="eastAsia" w:ascii="仿宋" w:hAnsi="仿宋" w:eastAsia="仿宋"/>
          <w:color w:val="000000"/>
          <w:sz w:val="32"/>
          <w:szCs w:val="32"/>
        </w:rPr>
        <w:t>社会保障和就业：指</w:t>
      </w:r>
      <w:r>
        <w:rPr>
          <w:rFonts w:hint="eastAsia" w:ascii="仿宋" w:hAnsi="仿宋" w:eastAsia="仿宋"/>
          <w:color w:val="000000"/>
          <w:sz w:val="32"/>
          <w:szCs w:val="32"/>
          <w:lang w:eastAsia="zh-CN"/>
        </w:rPr>
        <w:t>反映政府在社会保障与就业方面的支出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7</w:t>
      </w:r>
      <w:r>
        <w:rPr>
          <w:rFonts w:ascii="仿宋" w:hAnsi="仿宋" w:eastAsia="仿宋"/>
          <w:color w:val="000000"/>
          <w:sz w:val="32"/>
          <w:szCs w:val="32"/>
        </w:rPr>
        <w:t>.</w:t>
      </w:r>
      <w:r>
        <w:rPr>
          <w:rFonts w:hint="eastAsia" w:ascii="仿宋" w:hAnsi="仿宋" w:eastAsia="仿宋"/>
          <w:color w:val="000000"/>
          <w:sz w:val="32"/>
          <w:szCs w:val="32"/>
        </w:rPr>
        <w:t>医疗卫生与计划生育：指</w:t>
      </w:r>
      <w:r>
        <w:rPr>
          <w:rFonts w:hint="eastAsia" w:ascii="仿宋" w:hAnsi="仿宋" w:eastAsia="仿宋"/>
          <w:color w:val="000000"/>
          <w:sz w:val="32"/>
          <w:szCs w:val="32"/>
          <w:lang w:eastAsia="zh-CN"/>
        </w:rPr>
        <w:t>反映医疗卫生与计划生育管理方面的支出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8</w:t>
      </w:r>
      <w:r>
        <w:rPr>
          <w:rFonts w:ascii="仿宋" w:hAnsi="仿宋" w:eastAsia="仿宋"/>
          <w:color w:val="000000"/>
          <w:sz w:val="32"/>
          <w:szCs w:val="32"/>
        </w:rPr>
        <w:t>.</w:t>
      </w:r>
      <w:r>
        <w:rPr>
          <w:rFonts w:hint="eastAsia" w:ascii="仿宋" w:hAnsi="仿宋" w:eastAsia="仿宋"/>
          <w:color w:val="000000"/>
          <w:sz w:val="32"/>
          <w:szCs w:val="32"/>
        </w:rPr>
        <w:t>节能环保：指</w:t>
      </w:r>
      <w:r>
        <w:rPr>
          <w:rFonts w:hint="eastAsia" w:ascii="仿宋" w:hAnsi="仿宋" w:eastAsia="仿宋"/>
          <w:color w:val="000000"/>
          <w:sz w:val="32"/>
          <w:szCs w:val="32"/>
          <w:lang w:eastAsia="zh-CN"/>
        </w:rPr>
        <w:t>反映政府节能环保支出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9</w:t>
      </w:r>
      <w:r>
        <w:rPr>
          <w:rFonts w:ascii="仿宋" w:hAnsi="仿宋" w:eastAsia="仿宋"/>
          <w:color w:val="000000"/>
          <w:sz w:val="32"/>
          <w:szCs w:val="32"/>
        </w:rPr>
        <w:t>.</w:t>
      </w:r>
      <w:r>
        <w:rPr>
          <w:rFonts w:hint="eastAsia" w:ascii="仿宋" w:hAnsi="仿宋" w:eastAsia="仿宋"/>
          <w:color w:val="000000"/>
          <w:sz w:val="32"/>
          <w:szCs w:val="32"/>
        </w:rPr>
        <w:t>城乡社区：指</w:t>
      </w:r>
      <w:r>
        <w:rPr>
          <w:rFonts w:hint="eastAsia" w:ascii="仿宋" w:hAnsi="仿宋" w:eastAsia="仿宋"/>
          <w:color w:val="000000"/>
          <w:sz w:val="32"/>
          <w:szCs w:val="32"/>
          <w:lang w:eastAsia="zh-CN"/>
        </w:rPr>
        <w:t>反映政府城乡社区事务支出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10</w:t>
      </w:r>
      <w:r>
        <w:rPr>
          <w:rFonts w:ascii="仿宋" w:hAnsi="仿宋" w:eastAsia="仿宋"/>
          <w:color w:val="000000"/>
          <w:sz w:val="32"/>
          <w:szCs w:val="32"/>
        </w:rPr>
        <w:t>.</w:t>
      </w:r>
      <w:r>
        <w:rPr>
          <w:rFonts w:hint="eastAsia" w:ascii="仿宋" w:hAnsi="仿宋" w:eastAsia="仿宋"/>
          <w:color w:val="000000"/>
          <w:sz w:val="32"/>
          <w:szCs w:val="32"/>
        </w:rPr>
        <w:t>农林水：指</w:t>
      </w:r>
      <w:r>
        <w:rPr>
          <w:rFonts w:hint="eastAsia" w:ascii="仿宋" w:hAnsi="仿宋" w:eastAsia="仿宋"/>
          <w:color w:val="000000"/>
          <w:sz w:val="32"/>
          <w:szCs w:val="32"/>
          <w:lang w:eastAsia="zh-CN"/>
        </w:rPr>
        <w:t>反映正度农林水事务支出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11</w:t>
      </w:r>
      <w:r>
        <w:rPr>
          <w:rFonts w:ascii="仿宋" w:hAnsi="仿宋" w:eastAsia="仿宋"/>
          <w:color w:val="000000"/>
          <w:sz w:val="32"/>
          <w:szCs w:val="32"/>
        </w:rPr>
        <w:t>.</w:t>
      </w:r>
      <w:r>
        <w:rPr>
          <w:rFonts w:hint="eastAsia" w:ascii="仿宋" w:hAnsi="仿宋" w:eastAsia="仿宋"/>
          <w:color w:val="000000"/>
          <w:sz w:val="32"/>
          <w:szCs w:val="32"/>
        </w:rPr>
        <w:t>交通运输：</w:t>
      </w:r>
      <w:r>
        <w:rPr>
          <w:rFonts w:hint="eastAsia" w:ascii="仿宋" w:hAnsi="仿宋" w:eastAsia="仿宋"/>
          <w:color w:val="000000"/>
          <w:sz w:val="32"/>
          <w:szCs w:val="32"/>
          <w:lang w:eastAsia="zh-CN"/>
        </w:rPr>
        <w:t>反映交通运输和邮政业方面的支出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12</w:t>
      </w:r>
      <w:r>
        <w:rPr>
          <w:rFonts w:ascii="仿宋" w:hAnsi="仿宋" w:eastAsia="仿宋"/>
          <w:color w:val="000000"/>
          <w:sz w:val="32"/>
          <w:szCs w:val="32"/>
        </w:rPr>
        <w:t>.</w:t>
      </w:r>
      <w:r>
        <w:rPr>
          <w:rFonts w:hint="eastAsia" w:ascii="仿宋" w:hAnsi="仿宋" w:eastAsia="仿宋"/>
          <w:color w:val="000000"/>
          <w:sz w:val="32"/>
          <w:szCs w:val="32"/>
        </w:rPr>
        <w:t>住房保障：指</w:t>
      </w:r>
      <w:r>
        <w:rPr>
          <w:rFonts w:hint="eastAsia" w:ascii="仿宋" w:hAnsi="仿宋" w:eastAsia="仿宋"/>
          <w:color w:val="000000"/>
          <w:sz w:val="32"/>
          <w:szCs w:val="32"/>
          <w:lang w:eastAsia="zh-CN"/>
        </w:rPr>
        <w:t>集中反映政府用于住房方面的支出</w:t>
      </w:r>
      <w:r>
        <w:rPr>
          <w:rFonts w:hint="eastAsia" w:ascii="仿宋" w:hAnsi="仿宋" w:eastAsia="仿宋"/>
          <w:color w:val="000000"/>
          <w:sz w:val="32"/>
          <w:szCs w:val="32"/>
        </w:rPr>
        <w:t>。</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13</w:t>
      </w:r>
      <w:r>
        <w:rPr>
          <w:rFonts w:ascii="仿宋" w:hAnsi="仿宋" w:eastAsia="仿宋"/>
          <w:color w:val="000000"/>
          <w:sz w:val="32"/>
          <w:szCs w:val="32"/>
        </w:rPr>
        <w:t>.</w:t>
      </w:r>
      <w:r>
        <w:rPr>
          <w:rFonts w:hint="eastAsia" w:ascii="仿宋" w:hAnsi="仿宋" w:eastAsia="仿宋"/>
          <w:color w:val="000000"/>
          <w:sz w:val="32"/>
          <w:szCs w:val="32"/>
        </w:rPr>
        <w:t>基本支出：指为保障机构正常运转、完成日常工作任务而发生的人员支出和公用支出。</w:t>
      </w:r>
    </w:p>
    <w:p>
      <w:pPr>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14</w:t>
      </w:r>
      <w:r>
        <w:rPr>
          <w:rFonts w:ascii="仿宋" w:hAnsi="仿宋" w:eastAsia="仿宋"/>
          <w:color w:val="000000"/>
          <w:sz w:val="32"/>
          <w:szCs w:val="32"/>
        </w:rPr>
        <w:t>.</w:t>
      </w:r>
      <w:r>
        <w:rPr>
          <w:rFonts w:hint="eastAsia" w:ascii="仿宋" w:hAnsi="仿宋" w:eastAsia="仿宋"/>
          <w:color w:val="000000"/>
          <w:sz w:val="32"/>
          <w:szCs w:val="32"/>
        </w:rPr>
        <w:t>项目支出：指在基本支出之外为完成特定行政任务和事业发展目标所发生的支出。</w:t>
      </w:r>
    </w:p>
    <w:p>
      <w:pPr>
        <w:pStyle w:val="25"/>
        <w:spacing w:line="560" w:lineRule="exact"/>
        <w:ind w:firstLine="640" w:firstLineChars="200"/>
        <w:rPr>
          <w:rFonts w:hAnsi="仿宋"/>
          <w:sz w:val="32"/>
          <w:szCs w:val="32"/>
        </w:rPr>
      </w:pPr>
      <w:r>
        <w:rPr>
          <w:rFonts w:hint="eastAsia" w:hAnsi="仿宋"/>
          <w:sz w:val="32"/>
          <w:szCs w:val="32"/>
          <w:lang w:val="en-US" w:eastAsia="zh-CN"/>
        </w:rPr>
        <w:t>15</w:t>
      </w:r>
      <w:r>
        <w:rPr>
          <w:rFonts w:hAnsi="仿宋"/>
          <w:sz w:val="32"/>
          <w:szCs w:val="32"/>
        </w:rPr>
        <w:t>.</w:t>
      </w:r>
      <w:r>
        <w:rPr>
          <w:rFonts w:hint="eastAsia" w:hAnsi="仿宋"/>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5"/>
        <w:spacing w:line="560" w:lineRule="exact"/>
        <w:ind w:firstLine="640" w:firstLineChars="200"/>
        <w:rPr>
          <w:rFonts w:hAnsi="仿宋"/>
          <w:sz w:val="32"/>
          <w:szCs w:val="32"/>
        </w:rPr>
      </w:pPr>
      <w:r>
        <w:rPr>
          <w:rFonts w:hint="eastAsia" w:hAnsi="仿宋"/>
          <w:sz w:val="32"/>
          <w:szCs w:val="32"/>
          <w:lang w:val="en-US" w:eastAsia="zh-CN"/>
        </w:rPr>
        <w:t>16</w:t>
      </w:r>
      <w:r>
        <w:rPr>
          <w:rFonts w:hAnsi="仿宋"/>
          <w:sz w:val="32"/>
          <w:szCs w:val="32"/>
        </w:rPr>
        <w:t>.</w:t>
      </w:r>
      <w:r>
        <w:rPr>
          <w:rFonts w:hint="eastAsia" w:hAnsi="仿宋"/>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5"/>
        <w:spacing w:line="560" w:lineRule="exact"/>
        <w:ind w:firstLine="640" w:firstLineChars="200"/>
        <w:rPr>
          <w:rFonts w:hAnsi="仿宋" w:cs="黑体"/>
          <w:sz w:val="32"/>
          <w:szCs w:val="32"/>
        </w:rPr>
      </w:pPr>
    </w:p>
    <w:p>
      <w:pPr>
        <w:spacing w:line="600" w:lineRule="exact"/>
        <w:jc w:val="left"/>
        <w:rPr>
          <w:rFonts w:asciiTheme="minorEastAsia" w:hAnsiTheme="minorEastAsia" w:eastAsiaTheme="minorEastAsia"/>
          <w:b/>
          <w:color w:val="000000"/>
          <w:sz w:val="44"/>
          <w:szCs w:val="44"/>
        </w:rPr>
      </w:pPr>
    </w:p>
    <w:p>
      <w:pPr>
        <w:spacing w:line="600" w:lineRule="exact"/>
        <w:jc w:val="center"/>
        <w:outlineLvl w:val="0"/>
        <w:rPr>
          <w:rStyle w:val="27"/>
          <w:rFonts w:asciiTheme="minorEastAsia" w:hAnsiTheme="minorEastAsia" w:eastAsiaTheme="minorEastAsia"/>
          <w:b w:val="0"/>
        </w:rPr>
      </w:pPr>
      <w:bookmarkStart w:id="78" w:name="_Toc15377226"/>
      <w:r>
        <w:rPr>
          <w:rFonts w:asciiTheme="minorEastAsia" w:hAnsiTheme="minorEastAsia" w:eastAsiaTheme="minorEastAsia"/>
          <w:b/>
          <w:color w:val="000000"/>
          <w:sz w:val="44"/>
          <w:szCs w:val="44"/>
        </w:rPr>
        <w:br w:type="page"/>
      </w:r>
      <w:bookmarkStart w:id="79" w:name="_Toc28699"/>
      <w:bookmarkStart w:id="80" w:name="_Toc15396614"/>
      <w:r>
        <w:rPr>
          <w:rFonts w:hint="eastAsia" w:asciiTheme="minorEastAsia" w:hAnsiTheme="minorEastAsia" w:eastAsiaTheme="minorEastAsia"/>
          <w:color w:val="000000"/>
          <w:sz w:val="44"/>
          <w:szCs w:val="44"/>
        </w:rPr>
        <w:t>第</w:t>
      </w:r>
      <w:r>
        <w:rPr>
          <w:rStyle w:val="27"/>
          <w:rFonts w:hint="eastAsia" w:asciiTheme="minorEastAsia" w:hAnsiTheme="minorEastAsia" w:eastAsiaTheme="minorEastAsia"/>
          <w:b w:val="0"/>
        </w:rPr>
        <w:t>四部分 附件</w:t>
      </w:r>
      <w:bookmarkEnd w:id="79"/>
      <w:bookmarkEnd w:id="80"/>
    </w:p>
    <w:p>
      <w:pPr>
        <w:spacing w:line="600" w:lineRule="exact"/>
        <w:jc w:val="center"/>
        <w:outlineLvl w:val="0"/>
        <w:rPr>
          <w:rStyle w:val="27"/>
          <w:rFonts w:asciiTheme="minorEastAsia" w:hAnsiTheme="minorEastAsia" w:eastAsiaTheme="minorEastAsia"/>
        </w:rPr>
      </w:pPr>
    </w:p>
    <w:bookmarkEnd w:id="78"/>
    <w:p>
      <w:pPr>
        <w:pStyle w:val="5"/>
        <w:rPr>
          <w:rStyle w:val="27"/>
          <w:rFonts w:asciiTheme="minorEastAsia" w:hAnsiTheme="minorEastAsia" w:eastAsiaTheme="minorEastAsia"/>
          <w:b w:val="0"/>
          <w:bCs w:val="0"/>
          <w:sz w:val="32"/>
          <w:szCs w:val="32"/>
        </w:rPr>
      </w:pPr>
      <w:bookmarkStart w:id="81" w:name="_Toc15396615"/>
      <w:bookmarkStart w:id="82" w:name="_Toc17224"/>
      <w:r>
        <w:rPr>
          <w:rStyle w:val="27"/>
          <w:rFonts w:hint="eastAsia" w:asciiTheme="minorEastAsia" w:hAnsiTheme="minorEastAsia" w:eastAsiaTheme="minorEastAsia"/>
          <w:b w:val="0"/>
          <w:bCs w:val="0"/>
          <w:sz w:val="32"/>
          <w:szCs w:val="32"/>
        </w:rPr>
        <w:t>附件1</w:t>
      </w:r>
      <w:bookmarkEnd w:id="81"/>
      <w:bookmarkEnd w:id="82"/>
    </w:p>
    <w:p>
      <w:pPr>
        <w:widowControl/>
        <w:spacing w:line="560" w:lineRule="exact"/>
        <w:ind w:firstLine="880" w:firstLineChars="200"/>
        <w:jc w:val="center"/>
        <w:rPr>
          <w:rFonts w:hint="eastAsia" w:cs="方正小标宋简体" w:asciiTheme="minorEastAsia" w:hAnsiTheme="minorEastAsia" w:eastAsiaTheme="minorEastAsia"/>
          <w:sz w:val="44"/>
          <w:szCs w:val="44"/>
          <w:lang w:val="en-US" w:eastAsia="zh-CN"/>
        </w:rPr>
      </w:pPr>
      <w:r>
        <w:rPr>
          <w:rFonts w:hint="eastAsia" w:cs="方正小标宋简体" w:asciiTheme="minorEastAsia" w:hAnsiTheme="minorEastAsia" w:eastAsiaTheme="minorEastAsia"/>
          <w:sz w:val="44"/>
          <w:szCs w:val="44"/>
        </w:rPr>
        <w:t>201</w:t>
      </w:r>
      <w:r>
        <w:rPr>
          <w:rFonts w:hint="eastAsia" w:cs="方正小标宋简体" w:asciiTheme="minorEastAsia" w:hAnsiTheme="minorEastAsia" w:eastAsiaTheme="minorEastAsia"/>
          <w:sz w:val="44"/>
          <w:szCs w:val="44"/>
          <w:lang w:val="en-US" w:eastAsia="zh-CN"/>
        </w:rPr>
        <w:t>9</w:t>
      </w:r>
      <w:r>
        <w:rPr>
          <w:rFonts w:hint="eastAsia" w:cs="方正小标宋简体" w:asciiTheme="minorEastAsia" w:hAnsiTheme="minorEastAsia" w:eastAsiaTheme="minorEastAsia"/>
          <w:sz w:val="44"/>
          <w:szCs w:val="44"/>
        </w:rPr>
        <w:t>年红原县</w:t>
      </w:r>
      <w:r>
        <w:rPr>
          <w:rFonts w:hint="eastAsia" w:cs="方正小标宋简体" w:asciiTheme="minorEastAsia" w:hAnsiTheme="minorEastAsia" w:eastAsiaTheme="minorEastAsia"/>
          <w:sz w:val="44"/>
          <w:szCs w:val="44"/>
          <w:lang w:val="en-US" w:eastAsia="zh-CN"/>
        </w:rPr>
        <w:t>交通运输局</w:t>
      </w:r>
    </w:p>
    <w:p>
      <w:pPr>
        <w:widowControl/>
        <w:spacing w:line="560" w:lineRule="exact"/>
        <w:ind w:firstLine="880" w:firstLineChars="200"/>
        <w:jc w:val="center"/>
        <w:rPr>
          <w:rFonts w:cs="方正小标宋简体" w:asciiTheme="minorEastAsia" w:hAnsiTheme="minorEastAsia" w:eastAsiaTheme="minorEastAsia"/>
          <w:sz w:val="44"/>
          <w:szCs w:val="44"/>
        </w:rPr>
      </w:pPr>
      <w:r>
        <w:rPr>
          <w:rFonts w:hint="eastAsia" w:cs="方正小标宋简体" w:asciiTheme="minorEastAsia" w:hAnsiTheme="minorEastAsia" w:eastAsiaTheme="minorEastAsia"/>
          <w:sz w:val="44"/>
          <w:szCs w:val="44"/>
        </w:rPr>
        <w:t>整体支出绩效报告</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rPr>
      </w:pPr>
    </w:p>
    <w:p>
      <w:pPr>
        <w:widowControl/>
        <w:numPr>
          <w:ilvl w:val="0"/>
          <w:numId w:val="7"/>
        </w:numPr>
        <w:adjustRightInd w:val="0"/>
        <w:snapToGrid w:val="0"/>
        <w:spacing w:line="560" w:lineRule="exact"/>
        <w:ind w:firstLine="640" w:firstLineChars="200"/>
        <w:jc w:val="left"/>
        <w:rPr>
          <w:rFonts w:hint="eastAsia"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部门概况</w:t>
      </w:r>
    </w:p>
    <w:p>
      <w:pPr>
        <w:pStyle w:val="7"/>
        <w:adjustRightInd w:val="0"/>
        <w:snapToGrid w:val="0"/>
        <w:spacing w:before="93" w:line="580" w:lineRule="exact"/>
        <w:ind w:firstLine="640" w:firstLineChars="200"/>
        <w:rPr>
          <w:rFonts w:hint="eastAsia" w:cs="宋体" w:asciiTheme="minorEastAsia" w:hAnsiTheme="minorEastAsia" w:eastAsiaTheme="minorEastAsia"/>
          <w:color w:val="000000"/>
          <w:kern w:val="0"/>
          <w:sz w:val="32"/>
          <w:lang w:val="zh-CN"/>
        </w:rPr>
      </w:pPr>
      <w:r>
        <w:rPr>
          <w:rFonts w:hint="eastAsia" w:asciiTheme="minorEastAsia" w:hAnsiTheme="minorEastAsia" w:eastAsiaTheme="minorEastAsia"/>
          <w:bCs/>
          <w:sz w:val="32"/>
          <w:szCs w:val="32"/>
        </w:rPr>
        <w:t>贯彻执行国家有关交通运输行业的方针、政策和法律法规。负责本系统、本部门依法行政工作，落实行政执法责任制。承担全县道路，水路交通运输市场监管责任。承担水上交通安全监管责任。负责提出公路、水路固定资产投资规模和方向、县财政性资金安排建议，按照规定权限审批、核准省、州、县规划内和年度计划规模内固定资产投资项目。承担公路、水路建设市场监管责任。指导公路、水路行业安全生产和应急管理工作。制定交通运输科技政策并监督实施，组织科技开发。负责公路、水路有关涉外工作，开展对经济技术交流与合作，指导全县交通运输行业招商引资和利用外资工作。指导交通行业的精神文明建设、廉政建设和职工队伍建设；指导交通系统的教育培训。承办县委、县政府和上级主管部门交办的其他事项</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本部门内设机构</w:t>
      </w:r>
      <w:r>
        <w:rPr>
          <w:rFonts w:hint="eastAsia" w:cs="宋体" w:asciiTheme="minorEastAsia" w:hAnsiTheme="minorEastAsia" w:eastAsiaTheme="minorEastAsia"/>
          <w:color w:val="000000"/>
          <w:kern w:val="0"/>
          <w:sz w:val="32"/>
          <w:lang w:val="en-US" w:eastAsia="zh-CN"/>
        </w:rPr>
        <w:t>5</w:t>
      </w:r>
      <w:r>
        <w:rPr>
          <w:rFonts w:hint="eastAsia" w:cs="宋体" w:asciiTheme="minorEastAsia" w:hAnsiTheme="minorEastAsia" w:eastAsiaTheme="minorEastAsia"/>
          <w:color w:val="000000"/>
          <w:kern w:val="0"/>
          <w:sz w:val="32"/>
          <w:lang w:val="zh-CN"/>
        </w:rPr>
        <w:t>个，为办公室、</w:t>
      </w:r>
      <w:r>
        <w:rPr>
          <w:rFonts w:hint="eastAsia" w:cs="宋体" w:asciiTheme="minorEastAsia" w:hAnsiTheme="minorEastAsia" w:eastAsiaTheme="minorEastAsia"/>
          <w:color w:val="000000"/>
          <w:kern w:val="0"/>
          <w:sz w:val="32"/>
          <w:lang w:val="en-US" w:eastAsia="zh-CN"/>
        </w:rPr>
        <w:t>运安股</w:t>
      </w:r>
      <w:r>
        <w:rPr>
          <w:rFonts w:hint="eastAsia" w:cs="宋体" w:asciiTheme="minorEastAsia" w:hAnsiTheme="minorEastAsia" w:eastAsiaTheme="minorEastAsia"/>
          <w:color w:val="000000"/>
          <w:kern w:val="0"/>
          <w:sz w:val="32"/>
          <w:lang w:val="zh-CN"/>
        </w:rPr>
        <w:t>、</w:t>
      </w:r>
      <w:r>
        <w:rPr>
          <w:rFonts w:hint="eastAsia" w:cs="宋体" w:asciiTheme="minorEastAsia" w:hAnsiTheme="minorEastAsia" w:eastAsiaTheme="minorEastAsia"/>
          <w:color w:val="000000"/>
          <w:kern w:val="0"/>
          <w:sz w:val="32"/>
        </w:rPr>
        <w:t>财务</w:t>
      </w:r>
      <w:r>
        <w:rPr>
          <w:rFonts w:hint="eastAsia" w:cs="宋体" w:asciiTheme="minorEastAsia" w:hAnsiTheme="minorEastAsia" w:eastAsiaTheme="minorEastAsia"/>
          <w:color w:val="000000"/>
          <w:kern w:val="0"/>
          <w:sz w:val="32"/>
          <w:lang w:val="zh-CN"/>
        </w:rPr>
        <w:t>股、</w:t>
      </w:r>
      <w:r>
        <w:rPr>
          <w:rFonts w:hint="eastAsia" w:cs="宋体" w:asciiTheme="minorEastAsia" w:hAnsiTheme="minorEastAsia" w:eastAsiaTheme="minorEastAsia"/>
          <w:color w:val="000000"/>
          <w:kern w:val="0"/>
          <w:sz w:val="32"/>
        </w:rPr>
        <w:t>质监站</w:t>
      </w:r>
      <w:r>
        <w:rPr>
          <w:rFonts w:hint="eastAsia" w:cs="宋体" w:asciiTheme="minorEastAsia" w:hAnsiTheme="minorEastAsia" w:eastAsiaTheme="minorEastAsia"/>
          <w:color w:val="000000"/>
          <w:kern w:val="0"/>
          <w:sz w:val="32"/>
          <w:lang w:val="zh-CN"/>
        </w:rPr>
        <w:t>、</w:t>
      </w:r>
      <w:r>
        <w:rPr>
          <w:rFonts w:hint="eastAsia" w:cs="宋体" w:asciiTheme="minorEastAsia" w:hAnsiTheme="minorEastAsia" w:eastAsiaTheme="minorEastAsia"/>
          <w:color w:val="000000"/>
          <w:kern w:val="0"/>
          <w:sz w:val="32"/>
          <w:lang w:val="en-US" w:eastAsia="zh-CN"/>
        </w:rPr>
        <w:t>工程股</w:t>
      </w:r>
      <w:r>
        <w:rPr>
          <w:rFonts w:hint="eastAsia" w:cs="宋体" w:asciiTheme="minorEastAsia" w:hAnsiTheme="minorEastAsia" w:eastAsiaTheme="minorEastAsia"/>
          <w:color w:val="000000"/>
          <w:kern w:val="0"/>
          <w:sz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仿宋_GB2312" w:asciiTheme="minorEastAsia" w:hAnsiTheme="minorEastAsia" w:eastAsiaTheme="minorEastAsia"/>
          <w:bCs/>
          <w:sz w:val="32"/>
          <w:szCs w:val="32"/>
        </w:rPr>
        <w:t>截止201</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年底我单位共有编制</w:t>
      </w:r>
      <w:r>
        <w:rPr>
          <w:rFonts w:hint="eastAsia" w:cs="仿宋_GB2312" w:asciiTheme="minorEastAsia" w:hAnsiTheme="minorEastAsia" w:eastAsiaTheme="minorEastAsia"/>
          <w:bCs/>
          <w:sz w:val="32"/>
          <w:szCs w:val="32"/>
          <w:lang w:val="en-US" w:eastAsia="zh-CN"/>
        </w:rPr>
        <w:t>17</w:t>
      </w:r>
      <w:r>
        <w:rPr>
          <w:rFonts w:hint="eastAsia" w:cs="仿宋_GB2312" w:asciiTheme="minorEastAsia" w:hAnsiTheme="minorEastAsia" w:eastAsiaTheme="minorEastAsia"/>
          <w:bCs/>
          <w:sz w:val="32"/>
          <w:szCs w:val="32"/>
        </w:rPr>
        <w:t>个，其中公务员编制</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个，行政工勤编制1个，事业编制</w:t>
      </w:r>
      <w:r>
        <w:rPr>
          <w:rFonts w:hint="eastAsia" w:cs="仿宋_GB2312" w:asciiTheme="minorEastAsia" w:hAnsiTheme="minorEastAsia" w:eastAsiaTheme="minorEastAsia"/>
          <w:bCs/>
          <w:sz w:val="32"/>
          <w:szCs w:val="32"/>
          <w:lang w:val="en-US" w:eastAsia="zh-CN"/>
        </w:rPr>
        <w:t>7</w:t>
      </w:r>
      <w:r>
        <w:rPr>
          <w:rFonts w:hint="eastAsia" w:cs="仿宋_GB2312" w:asciiTheme="minorEastAsia" w:hAnsiTheme="minorEastAsia" w:eastAsiaTheme="minorEastAsia"/>
          <w:bCs/>
          <w:sz w:val="32"/>
          <w:szCs w:val="32"/>
        </w:rPr>
        <w:t>个</w:t>
      </w:r>
      <w:r>
        <w:rPr>
          <w:rFonts w:hint="eastAsia" w:cs="仿宋_GB2312" w:asciiTheme="minorEastAsia" w:hAnsiTheme="minorEastAsia" w:eastAsiaTheme="minorEastAsia"/>
          <w:bCs/>
          <w:sz w:val="32"/>
          <w:szCs w:val="32"/>
          <w:lang w:eastAsia="zh-CN"/>
        </w:rPr>
        <w:t>；</w:t>
      </w:r>
      <w:r>
        <w:rPr>
          <w:rFonts w:hint="eastAsia" w:cs="仿宋_GB2312" w:asciiTheme="minorEastAsia" w:hAnsiTheme="minorEastAsia" w:eastAsiaTheme="minorEastAsia"/>
          <w:bCs/>
          <w:sz w:val="32"/>
          <w:szCs w:val="32"/>
        </w:rPr>
        <w:t>在职</w:t>
      </w:r>
      <w:r>
        <w:rPr>
          <w:rFonts w:hint="eastAsia" w:cs="仿宋_GB2312" w:asciiTheme="minorEastAsia" w:hAnsiTheme="minorEastAsia" w:eastAsiaTheme="minorEastAsia"/>
          <w:bCs/>
          <w:sz w:val="32"/>
          <w:szCs w:val="32"/>
          <w:lang w:val="en-US" w:eastAsia="zh-CN"/>
        </w:rPr>
        <w:t>15</w:t>
      </w:r>
      <w:r>
        <w:rPr>
          <w:rFonts w:hint="eastAsia" w:cs="仿宋_GB2312" w:asciiTheme="minorEastAsia" w:hAnsiTheme="minorEastAsia" w:eastAsiaTheme="minorEastAsia"/>
          <w:bCs/>
          <w:sz w:val="32"/>
          <w:szCs w:val="32"/>
        </w:rPr>
        <w:t>人，其中，公务员</w:t>
      </w:r>
      <w:r>
        <w:rPr>
          <w:rFonts w:hint="eastAsia" w:cs="仿宋_GB2312" w:asciiTheme="minorEastAsia" w:hAnsiTheme="minorEastAsia" w:eastAsiaTheme="minorEastAsia"/>
          <w:bCs/>
          <w:sz w:val="32"/>
          <w:szCs w:val="32"/>
          <w:lang w:val="en-US" w:eastAsia="zh-CN"/>
        </w:rPr>
        <w:t>9</w:t>
      </w:r>
      <w:r>
        <w:rPr>
          <w:rFonts w:hint="eastAsia" w:cs="仿宋_GB2312" w:asciiTheme="minorEastAsia" w:hAnsiTheme="minorEastAsia" w:eastAsiaTheme="minorEastAsia"/>
          <w:bCs/>
          <w:sz w:val="32"/>
          <w:szCs w:val="32"/>
        </w:rPr>
        <w:t>人，事业</w:t>
      </w:r>
      <w:r>
        <w:rPr>
          <w:rFonts w:hint="eastAsia" w:cs="仿宋_GB2312" w:asciiTheme="minorEastAsia" w:hAnsiTheme="minorEastAsia" w:eastAsiaTheme="minorEastAsia"/>
          <w:bCs/>
          <w:sz w:val="32"/>
          <w:szCs w:val="32"/>
          <w:lang w:val="en-US" w:eastAsia="zh-CN"/>
        </w:rPr>
        <w:t>6人</w:t>
      </w:r>
      <w:r>
        <w:rPr>
          <w:rFonts w:hint="eastAsia" w:cs="仿宋_GB2312" w:asciiTheme="minorEastAsia" w:hAnsiTheme="minorEastAsia" w:eastAsiaTheme="minorEastAsia"/>
          <w:bCs/>
          <w:sz w:val="32"/>
          <w:szCs w:val="32"/>
        </w:rPr>
        <w:t>。</w:t>
      </w:r>
    </w:p>
    <w:p>
      <w:pPr>
        <w:widowControl/>
        <w:adjustRightInd w:val="0"/>
        <w:snapToGrid w:val="0"/>
        <w:spacing w:line="560" w:lineRule="exact"/>
        <w:ind w:firstLine="420" w:firstLineChars="200"/>
        <w:jc w:val="left"/>
        <w:rPr>
          <w:rFonts w:cs="宋体" w:asciiTheme="minorEastAsia" w:hAnsiTheme="minorEastAsia" w:eastAsiaTheme="minorEastAsia"/>
          <w:color w:val="000000"/>
          <w:kern w:val="0"/>
          <w:lang w:val="zh-CN"/>
        </w:rPr>
      </w:pP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rPr>
      </w:pPr>
      <w:r>
        <w:rPr>
          <w:rFonts w:hint="eastAsia" w:cs="宋体" w:asciiTheme="minorEastAsia" w:hAnsiTheme="minorEastAsia" w:eastAsiaTheme="minorEastAsia"/>
          <w:color w:val="000000"/>
          <w:kern w:val="0"/>
          <w:sz w:val="32"/>
        </w:rPr>
        <w:t>二、部门财政资金收支情况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（一）部门财政资金收入情况。</w:t>
      </w:r>
    </w:p>
    <w:p>
      <w:pPr>
        <w:snapToGrid w:val="0"/>
        <w:spacing w:line="520" w:lineRule="exact"/>
        <w:ind w:firstLine="640" w:firstLineChars="200"/>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rPr>
        <w:t>2019年度财政拨款收入1360.16万元，上年度收入5,646.72万元，本年收入比上年收入减少4286.56万元，下降75.91%，减少原因是2019年部分项目已经完工，仅拨付尾款导致本年收入大幅下降。</w:t>
      </w:r>
    </w:p>
    <w:p>
      <w:pPr>
        <w:widowControl/>
        <w:numPr>
          <w:ilvl w:val="0"/>
          <w:numId w:val="8"/>
        </w:numPr>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部门财政资金支出情况。</w:t>
      </w:r>
    </w:p>
    <w:p>
      <w:pPr>
        <w:widowControl/>
        <w:adjustRightInd w:val="0"/>
        <w:snapToGrid w:val="0"/>
        <w:spacing w:line="560" w:lineRule="exact"/>
        <w:ind w:firstLine="600" w:firstLineChars="200"/>
        <w:jc w:val="left"/>
        <w:rPr>
          <w:rFonts w:cs="宋体" w:asciiTheme="minorEastAsia" w:hAnsiTheme="minorEastAsia" w:eastAsiaTheme="minorEastAsia"/>
          <w:color w:val="000000"/>
          <w:kern w:val="0"/>
        </w:rPr>
      </w:pPr>
      <w:r>
        <w:rPr>
          <w:rFonts w:hint="eastAsia" w:cs="仿宋_GB2312" w:asciiTheme="minorEastAsia" w:hAnsiTheme="minorEastAsia" w:eastAsiaTheme="minorEastAsia"/>
          <w:sz w:val="30"/>
          <w:szCs w:val="30"/>
        </w:rPr>
        <w:t>2019年度支出3596.16万元，上年度支出5,040.33万元，本年支出比上年支出减少1444.17万元，下降28.65%，减少原因是本年项目投资比上年度减少。</w:t>
      </w:r>
      <w:r>
        <w:rPr>
          <w:rFonts w:hint="eastAsia" w:cs="宋体" w:asciiTheme="minorEastAsia" w:hAnsiTheme="minorEastAsia" w:eastAsiaTheme="minorEastAsia"/>
          <w:color w:val="000000"/>
          <w:kern w:val="0"/>
          <w:sz w:val="32"/>
        </w:rPr>
        <w:t>三、部门财政支出管理情况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（一）资金组成情况分析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主要由三公经费、项目支出、公用经费、</w:t>
      </w:r>
      <w:r>
        <w:rPr>
          <w:rFonts w:hint="eastAsia" w:asciiTheme="minorEastAsia" w:hAnsiTheme="minorEastAsia" w:eastAsiaTheme="minorEastAsia"/>
          <w:color w:val="000000"/>
          <w:sz w:val="32"/>
          <w:szCs w:val="32"/>
        </w:rPr>
        <w:t>人员经费构成</w:t>
      </w:r>
      <w:r>
        <w:rPr>
          <w:rFonts w:hint="eastAsia" w:asciiTheme="minorEastAsia" w:hAnsiTheme="minorEastAsia" w:eastAsiaTheme="minorEastAsia"/>
          <w:color w:val="000000"/>
          <w:sz w:val="32"/>
          <w:szCs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（二）预算执行情况分析</w:t>
      </w:r>
    </w:p>
    <w:p>
      <w:pPr>
        <w:widowControl/>
        <w:adjustRightInd w:val="0"/>
        <w:snapToGrid w:val="0"/>
        <w:spacing w:line="560" w:lineRule="exact"/>
        <w:ind w:firstLine="640" w:firstLineChars="200"/>
        <w:jc w:val="left"/>
        <w:rPr>
          <w:rFonts w:hint="eastAsia" w:asciiTheme="minorEastAsia" w:hAnsiTheme="minorEastAsia" w:eastAsiaTheme="minorEastAsia"/>
          <w:color w:val="000000"/>
          <w:sz w:val="32"/>
          <w:szCs w:val="32"/>
        </w:rPr>
      </w:pPr>
      <w:r>
        <w:rPr>
          <w:rFonts w:hint="eastAsia" w:asciiTheme="minorEastAsia" w:hAnsiTheme="minorEastAsia" w:eastAsiaTheme="minorEastAsia"/>
          <w:color w:val="000000"/>
          <w:sz w:val="32"/>
          <w:szCs w:val="32"/>
        </w:rPr>
        <w:t>2019年“三公”经费财政拨款支出决算中，因公出国（境）费支出决算0万元，占0%；公务用车购置及运行维护费支出决算4.6万元，占100%</w:t>
      </w:r>
      <w:r>
        <w:rPr>
          <w:rFonts w:hint="eastAsia" w:asciiTheme="minorEastAsia" w:hAnsiTheme="minorEastAsia" w:eastAsiaTheme="minorEastAsia"/>
          <w:color w:val="000000"/>
          <w:sz w:val="32"/>
          <w:szCs w:val="32"/>
          <w:lang w:eastAsia="zh-CN"/>
        </w:rPr>
        <w:t>，</w:t>
      </w:r>
      <w:r>
        <w:rPr>
          <w:rFonts w:hint="eastAsia" w:asciiTheme="minorEastAsia" w:hAnsiTheme="minorEastAsia" w:eastAsiaTheme="minorEastAsia"/>
          <w:color w:val="000000"/>
          <w:sz w:val="32"/>
          <w:szCs w:val="32"/>
          <w:lang w:val="en-US" w:eastAsia="zh-CN"/>
        </w:rPr>
        <w:t>与上年持平</w:t>
      </w:r>
      <w:r>
        <w:rPr>
          <w:rFonts w:hint="eastAsia" w:asciiTheme="minorEastAsia" w:hAnsiTheme="minorEastAsia" w:eastAsiaTheme="minorEastAsia"/>
          <w:color w:val="000000"/>
          <w:sz w:val="32"/>
          <w:szCs w:val="32"/>
        </w:rPr>
        <w:t>；公务接待费支出决算0万元，占0%</w:t>
      </w:r>
      <w:r>
        <w:rPr>
          <w:rFonts w:hint="eastAsia" w:asciiTheme="minorEastAsia" w:hAnsiTheme="minorEastAsia" w:eastAsiaTheme="minorEastAsia"/>
          <w:color w:val="000000"/>
          <w:sz w:val="32"/>
          <w:szCs w:val="32"/>
          <w:lang w:eastAsia="zh-CN"/>
        </w:rPr>
        <w:t>，</w:t>
      </w:r>
      <w:r>
        <w:rPr>
          <w:rFonts w:hint="eastAsia" w:asciiTheme="minorEastAsia" w:hAnsiTheme="minorEastAsia" w:eastAsiaTheme="minorEastAsia"/>
          <w:color w:val="000000"/>
          <w:sz w:val="32"/>
          <w:szCs w:val="32"/>
          <w:lang w:val="en-US" w:eastAsia="zh-CN"/>
        </w:rPr>
        <w:t>比上年减少0.24万元 ，减少原因是厉行节约减少不必要的接待开支</w:t>
      </w:r>
      <w:r>
        <w:rPr>
          <w:rFonts w:hint="eastAsia" w:asciiTheme="minorEastAsia" w:hAnsiTheme="minorEastAsia" w:eastAsiaTheme="minorEastAsia"/>
          <w:color w:val="000000"/>
          <w:sz w:val="32"/>
          <w:szCs w:val="32"/>
        </w:rPr>
        <w:t>。具体情况如下：</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（三）预算管理情况</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20</w:t>
      </w:r>
      <w:r>
        <w:rPr>
          <w:rFonts w:hint="eastAsia" w:asciiTheme="minorEastAsia" w:hAnsiTheme="minorEastAsia" w:eastAsiaTheme="minorEastAsia"/>
          <w:color w:val="000000"/>
          <w:sz w:val="32"/>
          <w:szCs w:val="32"/>
          <w:lang w:val="en-US" w:eastAsia="zh-CN"/>
        </w:rPr>
        <w:t>19</w:t>
      </w:r>
      <w:r>
        <w:rPr>
          <w:rFonts w:hint="eastAsia" w:asciiTheme="minorEastAsia" w:hAnsiTheme="minorEastAsia" w:eastAsiaTheme="minorEastAsia"/>
          <w:color w:val="000000"/>
          <w:sz w:val="32"/>
          <w:szCs w:val="32"/>
          <w:lang w:val="zh-CN"/>
        </w:rPr>
        <w:t>年我单位严格执行新的《预算法》，切实按照中央八项规定、省委九项规定、市委十项规定的管理制度，坚决执行财经和财务规章制度，按照《财务管理规定》、《财产管理规定》、《公务接待费管理规定》、《差旅费、会议费、培训费管理规定》、《公务用车管理办法》等规章制度管理本单位的财务收支活动，进一步明确了本单位财政预算资金的审批手续和拨付程序、机关行政运行经费报审手续和报销程序，加强了财务管理，规范了收支行为，保证了本单位财务管理工作规范有序进行。</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rPr>
        <w:t>四</w:t>
      </w:r>
      <w:r>
        <w:rPr>
          <w:rFonts w:hint="eastAsia" w:cs="宋体" w:asciiTheme="minorEastAsia" w:hAnsiTheme="minorEastAsia" w:eastAsiaTheme="minorEastAsia"/>
          <w:color w:val="000000"/>
          <w:kern w:val="0"/>
          <w:sz w:val="32"/>
          <w:lang w:val="zh-CN"/>
        </w:rPr>
        <w:t>、绩效情况</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（一）部门职责履行情况分析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201</w:t>
      </w:r>
      <w:r>
        <w:rPr>
          <w:rFonts w:hint="eastAsia" w:asciiTheme="minorEastAsia" w:hAnsiTheme="minorEastAsia" w:eastAsiaTheme="minorEastAsia"/>
          <w:color w:val="000000"/>
          <w:sz w:val="32"/>
          <w:szCs w:val="32"/>
          <w:lang w:val="en-US" w:eastAsia="zh-CN"/>
        </w:rPr>
        <w:t>9</w:t>
      </w:r>
      <w:r>
        <w:rPr>
          <w:rFonts w:hint="eastAsia" w:asciiTheme="minorEastAsia" w:hAnsiTheme="minorEastAsia" w:eastAsiaTheme="minorEastAsia"/>
          <w:color w:val="000000"/>
          <w:sz w:val="32"/>
          <w:szCs w:val="32"/>
          <w:lang w:val="zh-CN"/>
        </w:rPr>
        <w:t>年度我单位年初</w:t>
      </w:r>
      <w:r>
        <w:rPr>
          <w:rFonts w:hint="eastAsia" w:asciiTheme="minorEastAsia" w:hAnsiTheme="minorEastAsia" w:eastAsiaTheme="minorEastAsia"/>
          <w:color w:val="000000"/>
          <w:sz w:val="32"/>
          <w:szCs w:val="32"/>
        </w:rPr>
        <w:t>根据</w:t>
      </w:r>
      <w:r>
        <w:rPr>
          <w:rFonts w:hint="eastAsia" w:asciiTheme="minorEastAsia" w:hAnsiTheme="minorEastAsia" w:eastAsiaTheme="minorEastAsia"/>
          <w:color w:val="000000"/>
          <w:sz w:val="32"/>
          <w:szCs w:val="32"/>
          <w:lang w:val="zh-CN"/>
        </w:rPr>
        <w:t>工作规划和重点工作</w:t>
      </w:r>
      <w:r>
        <w:rPr>
          <w:rFonts w:hint="eastAsia" w:asciiTheme="minorEastAsia" w:hAnsiTheme="minorEastAsia" w:eastAsiaTheme="minorEastAsia"/>
          <w:color w:val="000000"/>
          <w:sz w:val="32"/>
          <w:szCs w:val="32"/>
        </w:rPr>
        <w:t>规划</w:t>
      </w:r>
      <w:r>
        <w:rPr>
          <w:rFonts w:hint="eastAsia" w:asciiTheme="minorEastAsia" w:hAnsiTheme="minorEastAsia" w:eastAsiaTheme="minorEastAsia"/>
          <w:color w:val="000000"/>
          <w:sz w:val="32"/>
          <w:szCs w:val="32"/>
          <w:lang w:val="zh-CN"/>
        </w:rPr>
        <w:t>，围绕全面建成小康社会的发展蓝图，积极履行职责，强化本单位预算管理，较好地完成了年初工作目标。通过加强预算收支管理，不断建立健全内部管理制度，梳理内部管理流程。部门整体预算支出管理情况得到提升。</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（二）社会经济效益分析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1、本年预算配置控制较好。财政供养人员控制在预算编制以内，编制内在职人员控制率为100%；“三公经费”控制在年初预算以内。</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2、预算执行情况控制较好。支出总额控制在年初预算总额以内，本年部门预算完成率达到了100%，未进行预算相关事项的调整，预算控制良好。</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asciiTheme="minorEastAsia" w:hAnsiTheme="minorEastAsia" w:eastAsiaTheme="minorEastAsia"/>
          <w:color w:val="000000"/>
          <w:sz w:val="32"/>
          <w:szCs w:val="32"/>
          <w:lang w:val="zh-CN"/>
        </w:rPr>
        <w:t>3、预算管理较为理想。由于严格执行财政相关法律、法规的规定，我单位的预算管理工作取得了较好的成绩，全年人员经费支出、日常用公用经费支出的控制率均达到了100%</w:t>
      </w:r>
      <w:r>
        <w:rPr>
          <w:rFonts w:hint="eastAsia" w:cs="宋体" w:asciiTheme="minorEastAsia" w:hAnsiTheme="minorEastAsia" w:eastAsiaTheme="minorEastAsia"/>
          <w:color w:val="000000"/>
          <w:kern w:val="0"/>
          <w:sz w:val="32"/>
          <w:lang w:val="zh-CN"/>
        </w:rPr>
        <w:t>。</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（三）行政效能分析</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财政预算安排在很大程度上保障了本单位基本支出及公用经费支出的正常工作运转。预算安排的项目支出也是非常必要的。财政预算安排大大提财政资金的使用效率，财政资金的安全性得到了有效保障，我们在执行预算过程中是严格按照财政各项制度规定来办理，单位在项目资金的使用上也是安全的。</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四、其他需要说明的问题</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（一）存在的问题</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1、预算编制欠严谨</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预算编制欠全面，项目有临时追加不够完整、细化。</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2、预算执行存在偏差</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在实际经费列支中，未严格按照</w:t>
      </w:r>
      <w:r>
        <w:rPr>
          <w:rFonts w:hint="eastAsia" w:asciiTheme="minorEastAsia" w:hAnsiTheme="minorEastAsia" w:eastAsiaTheme="minorEastAsia"/>
          <w:color w:val="000000"/>
          <w:sz w:val="32"/>
          <w:szCs w:val="32"/>
          <w:lang w:val="en-US" w:eastAsia="zh-CN"/>
        </w:rPr>
        <w:t>经济科目</w:t>
      </w:r>
      <w:r>
        <w:rPr>
          <w:rFonts w:hint="eastAsia" w:asciiTheme="minorEastAsia" w:hAnsiTheme="minorEastAsia" w:eastAsiaTheme="minorEastAsia"/>
          <w:color w:val="000000"/>
          <w:sz w:val="32"/>
          <w:szCs w:val="32"/>
          <w:lang w:val="zh-CN"/>
        </w:rPr>
        <w:t>进行列支，部分</w:t>
      </w:r>
      <w:r>
        <w:rPr>
          <w:rFonts w:hint="eastAsia" w:asciiTheme="minorEastAsia" w:hAnsiTheme="minorEastAsia" w:eastAsiaTheme="minorEastAsia"/>
          <w:color w:val="000000"/>
          <w:sz w:val="32"/>
          <w:szCs w:val="32"/>
          <w:lang w:val="en-US" w:eastAsia="zh-CN"/>
        </w:rPr>
        <w:t>经济科目执行时由于实际执行偏大，造成占用其他经济科目的资金</w:t>
      </w:r>
      <w:r>
        <w:rPr>
          <w:rFonts w:hint="eastAsia" w:asciiTheme="minorEastAsia" w:hAnsiTheme="minorEastAsia" w:eastAsiaTheme="minorEastAsia"/>
          <w:color w:val="000000"/>
          <w:sz w:val="32"/>
          <w:szCs w:val="32"/>
          <w:lang w:val="zh-CN"/>
        </w:rPr>
        <w:t>。</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3、会计核算欠规范</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经费支出核算过程中，部分存在发票内容填写不规范等现象。</w:t>
      </w:r>
    </w:p>
    <w:p>
      <w:pPr>
        <w:widowControl/>
        <w:adjustRightInd w:val="0"/>
        <w:snapToGrid w:val="0"/>
        <w:spacing w:line="560" w:lineRule="exact"/>
        <w:ind w:firstLine="640" w:firstLineChars="200"/>
        <w:jc w:val="left"/>
        <w:rPr>
          <w:rFonts w:cs="宋体" w:asciiTheme="minorEastAsia" w:hAnsiTheme="minorEastAsia" w:eastAsiaTheme="minorEastAsia"/>
          <w:color w:val="000000"/>
          <w:kern w:val="0"/>
          <w:sz w:val="32"/>
          <w:lang w:val="zh-CN"/>
        </w:rPr>
      </w:pPr>
      <w:r>
        <w:rPr>
          <w:rFonts w:hint="eastAsia" w:cs="宋体" w:asciiTheme="minorEastAsia" w:hAnsiTheme="minorEastAsia" w:eastAsiaTheme="minorEastAsia"/>
          <w:color w:val="000000"/>
          <w:kern w:val="0"/>
          <w:sz w:val="32"/>
          <w:lang w:val="zh-CN"/>
        </w:rPr>
        <w:t>（二）改进措施和有关建议</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1、科学合理编制预算，严格执行预算</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建议按照《预算法》及其实施条例的相关规定，参考上一年的预算执行情况和年度的收支预测科学编制预算，避免年中大幅追加以及超预算。在预算执行中，严格按照预算科目支出，避免预算科目间的预算资金调剂，确需调剂的，按规定程序报经批准。</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2、规范账务处理，提高财务信息质量</w:t>
      </w:r>
    </w:p>
    <w:p>
      <w:pPr>
        <w:widowControl/>
        <w:adjustRightInd w:val="0"/>
        <w:snapToGrid w:val="0"/>
        <w:spacing w:line="560" w:lineRule="exact"/>
        <w:ind w:firstLine="640" w:firstLineChars="200"/>
        <w:jc w:val="left"/>
        <w:rPr>
          <w:rFonts w:asciiTheme="minorEastAsia" w:hAnsiTheme="minorEastAsia" w:eastAsiaTheme="minorEastAsia"/>
          <w:color w:val="000000"/>
          <w:sz w:val="32"/>
          <w:szCs w:val="32"/>
          <w:lang w:val="zh-CN"/>
        </w:rPr>
      </w:pPr>
      <w:r>
        <w:rPr>
          <w:rFonts w:hint="eastAsia" w:asciiTheme="minorEastAsia" w:hAnsiTheme="minorEastAsia" w:eastAsiaTheme="minorEastAsia"/>
          <w:color w:val="000000"/>
          <w:sz w:val="32"/>
          <w:szCs w:val="32"/>
          <w:lang w:val="zh-CN"/>
        </w:rPr>
        <w:t>严格按照《会计法》、《行政单位会计制度》、《行政单位财务规则》等规定，结合实际情况，科学设置支出科目，规范财务核算，完整披露相关信息。</w:t>
      </w:r>
    </w:p>
    <w:p>
      <w:pPr>
        <w:spacing w:line="580" w:lineRule="exact"/>
        <w:ind w:firstLine="640" w:firstLineChars="200"/>
        <w:rPr>
          <w:rFonts w:cs="仿宋_GB2312" w:asciiTheme="minorEastAsia" w:hAnsiTheme="minorEastAsia" w:eastAsiaTheme="minorEastAsia"/>
          <w:sz w:val="32"/>
          <w:szCs w:val="32"/>
        </w:rPr>
      </w:pPr>
    </w:p>
    <w:p>
      <w:pPr>
        <w:widowControl/>
        <w:jc w:val="left"/>
        <w:rPr>
          <w:rFonts w:cs="仿宋_GB2312" w:asciiTheme="minorEastAsia" w:hAnsiTheme="minorEastAsia" w:eastAsiaTheme="minorEastAsia"/>
          <w:sz w:val="32"/>
          <w:szCs w:val="32"/>
        </w:rPr>
      </w:pPr>
      <w:r>
        <w:rPr>
          <w:rFonts w:cs="仿宋_GB2312" w:asciiTheme="minorEastAsia" w:hAnsiTheme="minorEastAsia" w:eastAsiaTheme="minorEastAsia"/>
          <w:sz w:val="32"/>
          <w:szCs w:val="32"/>
        </w:rPr>
        <w:br w:type="page"/>
      </w:r>
    </w:p>
    <w:p>
      <w:pPr>
        <w:pStyle w:val="5"/>
        <w:rPr>
          <w:rStyle w:val="27"/>
          <w:rFonts w:asciiTheme="minorEastAsia" w:hAnsiTheme="minorEastAsia" w:eastAsiaTheme="minorEastAsia"/>
          <w:b w:val="0"/>
          <w:bCs w:val="0"/>
          <w:sz w:val="32"/>
          <w:szCs w:val="32"/>
        </w:rPr>
      </w:pPr>
      <w:bookmarkStart w:id="83" w:name="_Toc18536"/>
      <w:bookmarkStart w:id="84" w:name="_Toc15396617"/>
      <w:r>
        <w:rPr>
          <w:rStyle w:val="27"/>
          <w:rFonts w:hint="eastAsia" w:asciiTheme="minorEastAsia" w:hAnsiTheme="minorEastAsia" w:eastAsiaTheme="minorEastAsia"/>
          <w:b w:val="0"/>
          <w:bCs w:val="0"/>
          <w:sz w:val="32"/>
          <w:szCs w:val="32"/>
        </w:rPr>
        <w:t>附件2</w:t>
      </w:r>
      <w:bookmarkEnd w:id="83"/>
      <w:bookmarkEnd w:id="84"/>
    </w:p>
    <w:p>
      <w:pPr>
        <w:adjustRightInd w:val="0"/>
        <w:snapToGrid w:val="0"/>
        <w:spacing w:line="580" w:lineRule="exact"/>
        <w:ind w:firstLine="720"/>
        <w:jc w:val="center"/>
        <w:rPr>
          <w:rFonts w:hint="eastAsia" w:ascii="方正小标宋简体" w:hAnsi="宋体" w:eastAsia="方正小标宋简体"/>
          <w:sz w:val="44"/>
          <w:szCs w:val="44"/>
          <w:lang w:eastAsia="zh-CN"/>
        </w:rPr>
      </w:pPr>
      <w:bookmarkStart w:id="85" w:name="_Toc15396618"/>
      <w:r>
        <w:rPr>
          <w:rFonts w:hint="eastAsia" w:ascii="方正小标宋简体" w:hAnsi="宋体" w:eastAsia="方正小标宋简体"/>
          <w:sz w:val="44"/>
          <w:szCs w:val="44"/>
          <w:lang w:eastAsia="zh-CN"/>
        </w:rPr>
        <w:t>红原县交通运输局</w:t>
      </w:r>
    </w:p>
    <w:p>
      <w:pPr>
        <w:adjustRightInd w:val="0"/>
        <w:snapToGrid w:val="0"/>
        <w:spacing w:line="580" w:lineRule="exact"/>
        <w:ind w:firstLine="720"/>
        <w:jc w:val="center"/>
        <w:rPr>
          <w:rFonts w:hint="eastAsia" w:ascii="方正小标宋简体" w:hAnsi="宋体" w:eastAsia="方正小标宋简体"/>
          <w:sz w:val="44"/>
          <w:szCs w:val="44"/>
        </w:rPr>
      </w:pPr>
      <w:r>
        <w:rPr>
          <w:rFonts w:hint="eastAsia" w:ascii="方正小标宋简体" w:hAnsi="宋体" w:eastAsia="方正小标宋简体"/>
          <w:sz w:val="44"/>
          <w:szCs w:val="44"/>
          <w:lang w:val="en-US" w:eastAsia="zh-CN"/>
        </w:rPr>
        <w:t>2019年</w:t>
      </w:r>
      <w:r>
        <w:rPr>
          <w:rFonts w:hint="eastAsia" w:ascii="方正小标宋简体" w:hAnsi="宋体" w:eastAsia="方正小标宋简体"/>
          <w:sz w:val="44"/>
          <w:szCs w:val="44"/>
        </w:rPr>
        <w:t>项目支出绩效自评报告</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zh-CN"/>
        </w:rPr>
        <w:t>项目概况</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（一）红原县查江路达格则寺至江茸乡段改建工程</w:t>
      </w:r>
      <w:r>
        <w:rPr>
          <w:rFonts w:hint="eastAsia" w:ascii="仿宋_GB2312" w:hAnsi="仿宋_GB2312" w:eastAsia="仿宋_GB2312" w:cs="仿宋_GB2312"/>
          <w:sz w:val="32"/>
          <w:szCs w:val="32"/>
        </w:rPr>
        <w:t>，改建32.676公里四级公路沥青路，路基宽6.5米，路面宽6.0米</w:t>
      </w:r>
      <w:r>
        <w:rPr>
          <w:rFonts w:hint="eastAsia" w:ascii="仿宋_GB2312" w:hAnsi="仿宋_GB2312" w:eastAsia="仿宋_GB2312" w:cs="仿宋_GB2312"/>
          <w:sz w:val="32"/>
          <w:szCs w:val="32"/>
          <w:lang w:eastAsia="zh-CN"/>
        </w:rPr>
        <w:t>。</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（二）红原县色地镇日西村水毁一号桥改建工程，新建桥梁全长52.04米，桥梁全宽7.5米。</w:t>
      </w:r>
    </w:p>
    <w:p>
      <w:pPr>
        <w:numPr>
          <w:ilvl w:val="0"/>
          <w:numId w:val="0"/>
        </w:numPr>
        <w:ind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（三）红原县色地镇日西村水毁二号桥改建工程，新建桥梁全长18.04米，桥梁全宽7.5米。</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（四）红原县安曲镇夺龙村水毁桥梁恢复工程，新建桥梁全长52.04米，桥梁全宽7.5米。</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（五）红原县柯龙路(龙日乡至龙日坝段)畅返不畅工程，路面维修整治12.02 公里。</w:t>
      </w:r>
    </w:p>
    <w:p>
      <w:pPr>
        <w:numPr>
          <w:ilvl w:val="0"/>
          <w:numId w:val="0"/>
        </w:numPr>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（六）红原县阿木柯种畜场桥改建工程，新建长 107.04延 米,宽 7.5米大桥一座。</w:t>
      </w:r>
    </w:p>
    <w:p>
      <w:pPr>
        <w:numPr>
          <w:ilvl w:val="0"/>
          <w:numId w:val="9"/>
        </w:num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b/>
          <w:sz w:val="32"/>
          <w:szCs w:val="32"/>
          <w:lang w:val="zh-CN"/>
        </w:rPr>
        <w:t>项目资金申报及批复情况。</w:t>
      </w:r>
      <w:r>
        <w:rPr>
          <w:rFonts w:hint="eastAsia" w:ascii="仿宋_GB2312" w:hAnsi="仿宋_GB2312" w:eastAsia="仿宋_GB2312" w:cs="仿宋_GB2312"/>
          <w:sz w:val="32"/>
          <w:szCs w:val="32"/>
          <w:lang w:val="zh-CN"/>
        </w:rPr>
        <w:t>对</w:t>
      </w:r>
      <w:r>
        <w:rPr>
          <w:rFonts w:hint="eastAsia" w:ascii="仿宋_GB2312" w:hAnsi="仿宋_GB2312" w:eastAsia="仿宋_GB2312" w:cs="仿宋_GB2312"/>
          <w:sz w:val="32"/>
          <w:szCs w:val="32"/>
          <w:lang w:val="zh-CN" w:eastAsia="zh-CN"/>
        </w:rPr>
        <w:t>整合下达的涉农</w:t>
      </w:r>
      <w:r>
        <w:rPr>
          <w:rFonts w:hint="eastAsia" w:ascii="仿宋_GB2312" w:hAnsi="仿宋_GB2312" w:eastAsia="仿宋_GB2312" w:cs="仿宋_GB2312"/>
          <w:sz w:val="32"/>
          <w:szCs w:val="32"/>
          <w:lang w:val="zh-CN"/>
        </w:rPr>
        <w:t>项目资金严格实行红原县财政局报账制相关规定。</w:t>
      </w:r>
    </w:p>
    <w:p>
      <w:pPr>
        <w:numPr>
          <w:ilvl w:val="0"/>
          <w:numId w:val="0"/>
        </w:numPr>
        <w:adjustRightInd w:val="0"/>
        <w:snapToGrid w:val="0"/>
        <w:spacing w:line="580" w:lineRule="exact"/>
        <w:ind w:firstLine="643"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b/>
          <w:sz w:val="32"/>
          <w:szCs w:val="32"/>
          <w:lang w:val="zh-CN"/>
        </w:rPr>
        <w:t>（二）项目绩效目标。</w:t>
      </w:r>
      <w:r>
        <w:rPr>
          <w:rFonts w:hint="eastAsia" w:ascii="仿宋_GB2312" w:hAnsi="仿宋_GB2312" w:eastAsia="仿宋_GB2312" w:cs="仿宋_GB2312"/>
          <w:sz w:val="32"/>
          <w:szCs w:val="32"/>
          <w:lang w:val="zh-CN"/>
        </w:rPr>
        <w:t>依据设计文件及财评金额按招投标法规定进行公开招投标。在合同期限内完成了设计文件及合同约定的所有建设内容，达到预期脱贫攻坚基础设施建设成效，以上项目均进行了交竣工验收达到合格，资金拨付率除个别因审计结论未下达，资金拨付率均达到</w:t>
      </w:r>
      <w:r>
        <w:rPr>
          <w:rFonts w:hint="eastAsia" w:ascii="仿宋_GB2312" w:hAnsi="仿宋_GB2312" w:eastAsia="仿宋_GB2312" w:cs="仿宋_GB2312"/>
          <w:sz w:val="32"/>
          <w:szCs w:val="32"/>
          <w:lang w:val="en-US" w:eastAsia="zh-CN"/>
        </w:rPr>
        <w:t>95%</w:t>
      </w:r>
      <w:r>
        <w:rPr>
          <w:rFonts w:hint="eastAsia" w:ascii="仿宋_GB2312" w:hAnsi="仿宋_GB2312" w:eastAsia="仿宋_GB2312" w:cs="仿宋_GB2312"/>
          <w:sz w:val="32"/>
          <w:szCs w:val="32"/>
          <w:lang w:val="zh-CN"/>
        </w:rPr>
        <w:t>。</w:t>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（三）项目资金申报相符性。</w:t>
      </w:r>
      <w:r>
        <w:rPr>
          <w:rFonts w:hint="eastAsia" w:ascii="仿宋_GB2312" w:hAnsi="仿宋_GB2312" w:eastAsia="仿宋_GB2312" w:cs="仿宋_GB2312"/>
          <w:sz w:val="32"/>
          <w:szCs w:val="32"/>
          <w:lang w:val="zh-CN"/>
        </w:rPr>
        <w:t>所有项目均根据实际建设内容进行勘察设计及预算编制，下达资金量与建设规模相符，申报目标合理可行</w:t>
      </w:r>
      <w:r>
        <w:rPr>
          <w:rFonts w:hint="eastAsia" w:ascii="仿宋_GB2312" w:hAnsi="仿宋_GB2312" w:eastAsia="仿宋_GB2312" w:cs="仿宋_GB2312"/>
          <w:b/>
          <w:sz w:val="32"/>
          <w:szCs w:val="32"/>
          <w:lang w:val="zh-CN"/>
        </w:rPr>
        <w:t>。</w:t>
      </w:r>
    </w:p>
    <w:p>
      <w:pPr>
        <w:adjustRightInd w:val="0"/>
        <w:snapToGrid w:val="0"/>
        <w:spacing w:line="580" w:lineRule="exact"/>
        <w:ind w:firstLine="7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二、项目实施及管理情况</w:t>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sz w:val="32"/>
          <w:szCs w:val="32"/>
          <w:lang w:val="zh-CN"/>
        </w:rPr>
        <w:tab/>
      </w:r>
      <w:r>
        <w:rPr>
          <w:rFonts w:hint="eastAsia" w:ascii="仿宋_GB2312" w:hAnsi="仿宋_GB2312" w:eastAsia="仿宋_GB2312" w:cs="仿宋_GB2312"/>
          <w:b/>
          <w:sz w:val="32"/>
          <w:szCs w:val="32"/>
          <w:lang w:val="zh-CN"/>
        </w:rPr>
        <w:t>（一）资金计划、到位及使用情况。</w:t>
      </w:r>
    </w:p>
    <w:p>
      <w:pPr>
        <w:adjustRightInd w:val="0"/>
        <w:snapToGrid w:val="0"/>
        <w:spacing w:line="580" w:lineRule="exact"/>
        <w:ind w:firstLine="72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zh-CN"/>
        </w:rPr>
        <w:t>1．资金计划及到位。红原县交通局</w:t>
      </w:r>
      <w:r>
        <w:rPr>
          <w:rFonts w:hint="eastAsia" w:ascii="仿宋_GB2312" w:hAnsi="仿宋_GB2312" w:eastAsia="仿宋_GB2312" w:cs="仿宋_GB2312"/>
          <w:sz w:val="32"/>
          <w:szCs w:val="32"/>
          <w:lang w:val="en-US" w:eastAsia="zh-CN"/>
        </w:rPr>
        <w:t>6个项目资金为中央车购税及涉农整合资金。（1）</w:t>
      </w:r>
      <w:r>
        <w:rPr>
          <w:rFonts w:hint="eastAsia" w:ascii="仿宋_GB2312" w:hAnsi="仿宋_GB2312" w:eastAsia="仿宋_GB2312" w:cs="仿宋_GB2312"/>
          <w:sz w:val="32"/>
          <w:szCs w:val="32"/>
          <w:lang w:eastAsia="zh-CN"/>
        </w:rPr>
        <w:t>红原县查江路达格则寺至江茸乡段改建工程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阿州财建</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4000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阿州财建</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110</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800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）红原县色地镇日西村水毁一号桥改建工程</w:t>
      </w:r>
      <w:r>
        <w:rPr>
          <w:rFonts w:hint="eastAsia" w:ascii="仿宋_GB2312" w:hAnsi="仿宋_GB2312" w:eastAsia="仿宋_GB2312" w:cs="仿宋_GB2312"/>
          <w:sz w:val="32"/>
          <w:szCs w:val="32"/>
          <w:lang w:val="en-US" w:eastAsia="zh-CN"/>
        </w:rPr>
        <w:t>,红财发（2018）240号资金下达80万元,红脱贫办（2019）21号下达资金356万元;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）红原县色地镇日西村水毁二号桥改建工程，</w:t>
      </w:r>
      <w:r>
        <w:rPr>
          <w:rFonts w:hint="eastAsia" w:ascii="仿宋_GB2312" w:hAnsi="仿宋_GB2312" w:eastAsia="仿宋_GB2312" w:cs="仿宋_GB2312"/>
          <w:sz w:val="32"/>
          <w:szCs w:val="32"/>
          <w:lang w:val="en-US" w:eastAsia="zh-CN"/>
        </w:rPr>
        <w:t>红财发（2018）240号资金下达80万元,红脱贫办（2019）21号下达资金90万元;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）红原县安曲镇夺龙村水毁桥梁恢复工程，</w:t>
      </w:r>
      <w:r>
        <w:rPr>
          <w:rFonts w:hint="eastAsia" w:ascii="仿宋_GB2312" w:hAnsi="仿宋_GB2312" w:eastAsia="仿宋_GB2312" w:cs="仿宋_GB2312"/>
          <w:sz w:val="32"/>
          <w:szCs w:val="32"/>
          <w:lang w:val="en-US" w:eastAsia="zh-CN"/>
        </w:rPr>
        <w:t>红财发（2018）240号资金下达80万元,红脱贫办（2019）21号下达资金353万元;（5）</w:t>
      </w:r>
      <w:r>
        <w:rPr>
          <w:rFonts w:hint="eastAsia" w:ascii="仿宋_GB2312" w:hAnsi="仿宋_GB2312" w:eastAsia="仿宋_GB2312" w:cs="仿宋_GB2312"/>
          <w:sz w:val="32"/>
          <w:szCs w:val="32"/>
          <w:lang w:eastAsia="zh-CN"/>
        </w:rPr>
        <w:t>红原县柯龙路(龙日乡至龙日坝段)畅返不畅工程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阿州财建</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110</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360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红原县阿木柯种畜场桥改建工程，</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红财预追</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387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红原县财政局涉农整合资金</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红脱贫办</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400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p>
    <w:p>
      <w:pPr>
        <w:adjustRightInd w:val="0"/>
        <w:snapToGrid w:val="0"/>
        <w:spacing w:line="580" w:lineRule="exact"/>
        <w:ind w:firstLine="7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rPr>
        <w:t>2．资金使用。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）红原县查江路达格则寺至江茸乡段改建工程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阿州财建</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4000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4807.90万元。</w:t>
      </w:r>
      <w:r>
        <w:rPr>
          <w:rFonts w:hint="eastAsia" w:ascii="仿宋_GB2312" w:hAnsi="仿宋_GB2312" w:eastAsia="仿宋_GB2312" w:cs="仿宋_GB2312"/>
          <w:sz w:val="32"/>
          <w:szCs w:val="32"/>
          <w:lang w:eastAsia="zh-CN"/>
        </w:rPr>
        <w:t>于</w:t>
      </w:r>
      <w:r>
        <w:rPr>
          <w:rFonts w:hint="eastAsia" w:ascii="仿宋_GB2312" w:hAnsi="仿宋_GB2312" w:eastAsia="仿宋_GB2312" w:cs="仿宋_GB2312"/>
          <w:sz w:val="32"/>
          <w:szCs w:val="32"/>
          <w:lang w:val="en-US" w:eastAsia="zh-CN"/>
        </w:rPr>
        <w:t>2018年预付工程款1442.37万元，2018年底县财政局调整使用1445.11万元，2018年底县交通局大平台资金结余1112.52万元,2019年支付工程款1027.05万元，2018年底县交通局大平台资金结余1112.52万元，2019年底县交通局大平台资金结余85.47万元（2）红原县色地镇日西村水毁一号桥改建工程，</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337.852816万元，审定金额337.57282万元。于2019年支付工程款320.694179万元;（3）红原县色地镇日西村水毁二号桥改建工程，</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120.896573万元，审定金额120.676924万元。于2019年支付工程款114.643078万元；（4）红原县安曲镇夺龙村水毁桥梁恢复工程，</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315.355533万元，审定金额312.600669万元。于2019年支付工程款296.9703635万元;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）红原县柯龙路(龙日乡至龙日坝段)畅返不畅工程</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阿州财建</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110</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360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426.72万元，审定金额425.95万元。于2019年支付工程款320.04万元;（6）红原县阿木柯种畜场桥改建工程，</w:t>
      </w:r>
      <w:r>
        <w:rPr>
          <w:rFonts w:hint="eastAsia" w:ascii="仿宋_GB2312" w:hAnsi="仿宋_GB2312" w:eastAsia="仿宋_GB2312" w:cs="仿宋_GB2312"/>
          <w:sz w:val="32"/>
          <w:szCs w:val="32"/>
          <w:lang w:eastAsia="zh-CN"/>
        </w:rPr>
        <w:t>资金</w:t>
      </w:r>
      <w:r>
        <w:rPr>
          <w:rFonts w:hint="eastAsia" w:ascii="仿宋_GB2312" w:hAnsi="仿宋_GB2312" w:eastAsia="仿宋_GB2312" w:cs="仿宋_GB2312"/>
          <w:sz w:val="32"/>
          <w:szCs w:val="32"/>
        </w:rPr>
        <w:t>下达文号（</w:t>
      </w:r>
      <w:r>
        <w:rPr>
          <w:rFonts w:hint="eastAsia" w:ascii="仿宋_GB2312" w:hAnsi="仿宋_GB2312" w:eastAsia="仿宋_GB2312" w:cs="仿宋_GB2312"/>
          <w:sz w:val="32"/>
          <w:szCs w:val="32"/>
          <w:lang w:val="en-US" w:eastAsia="zh-CN"/>
        </w:rPr>
        <w:t>红财预追</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387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。工程合同价</w:t>
      </w:r>
      <w:r>
        <w:rPr>
          <w:rFonts w:hint="eastAsia" w:ascii="仿宋_GB2312" w:hAnsi="仿宋_GB2312" w:eastAsia="仿宋_GB2312" w:cs="仿宋_GB2312"/>
          <w:sz w:val="32"/>
          <w:szCs w:val="32"/>
          <w:lang w:val="en-US" w:eastAsia="zh-CN"/>
        </w:rPr>
        <w:t>634.7298万元。于2019年支付工程款248.98万元，2019年底县交通局大平台资金结余138.02万元。红原县财政局涉农整合资金</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红脱贫办</w:t>
      </w:r>
      <w:r>
        <w:rPr>
          <w:rFonts w:hint="eastAsia" w:ascii="仿宋_GB2312" w:hAnsi="仿宋_GB2312" w:eastAsia="仿宋_GB2312" w:cs="仿宋_GB2312"/>
          <w:sz w:val="32"/>
          <w:szCs w:val="32"/>
        </w:rPr>
        <w:t>〔201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下达</w:t>
      </w:r>
      <w:r>
        <w:rPr>
          <w:rFonts w:hint="eastAsia" w:ascii="仿宋_GB2312" w:hAnsi="仿宋_GB2312" w:eastAsia="仿宋_GB2312" w:cs="仿宋_GB2312"/>
          <w:sz w:val="32"/>
          <w:szCs w:val="32"/>
        </w:rPr>
        <w:t>资金</w:t>
      </w:r>
      <w:r>
        <w:rPr>
          <w:rFonts w:hint="eastAsia" w:ascii="仿宋_GB2312" w:hAnsi="仿宋_GB2312" w:eastAsia="仿宋_GB2312" w:cs="仿宋_GB2312"/>
          <w:sz w:val="32"/>
          <w:szCs w:val="32"/>
          <w:lang w:val="en-US" w:eastAsia="zh-CN"/>
        </w:rPr>
        <w:t>400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于2019年财政报账支付工程款336.831205万元。</w:t>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（二）项目财务管理情况。</w:t>
      </w:r>
    </w:p>
    <w:p>
      <w:pPr>
        <w:spacing w:line="540" w:lineRule="exact"/>
        <w:ind w:firstLine="56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交通扶贫建设项目资金均为涉农资金，按照“渠道不变、充分授权、重点突出、各司其职”的原则，由县财政局对涉农整合资金进行重点监管，在资金使用时由红原县交通运输局提供计量支付单据及拨付资金的请示向财政局申请资金指标，待财政局批准后由红原县财政局支付中心将计量工程款直接拨付到施工单位账户，红原县交通运输局作拨款账务处理，实行财政报账制有效的保障了财政扶贫资金的安全。</w:t>
      </w:r>
    </w:p>
    <w:p>
      <w:pPr>
        <w:adjustRightInd w:val="0"/>
        <w:snapToGrid w:val="0"/>
        <w:spacing w:line="580" w:lineRule="exact"/>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对照项目资金管理办法，评价项目严格执行财务管理制度、财务处理及时、会计核算规范。</w:t>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（三）项目组织实施情况。</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在项目实施过程中实行项目法人制，社会监理制，公开公示。在项目管理过程中建立参建单位的微信群（业主、监理、施工单位、质监站、所在乡镇等单位），各个项目成立由分管副局长为项目办主任，技术员为具体经办人的质量管理体系。严格从原材料把关，控制施工工艺、工序、进度、质量等。</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rPr>
        <w:t>四、项目绩效情况</w:t>
      </w:r>
      <w:r>
        <w:rPr>
          <w:rFonts w:hint="eastAsia" w:ascii="仿宋_GB2312" w:hAnsi="仿宋_GB2312" w:eastAsia="仿宋_GB2312" w:cs="仿宋_GB2312"/>
          <w:sz w:val="32"/>
          <w:szCs w:val="32"/>
          <w:lang w:val="zh-CN"/>
        </w:rPr>
        <w:tab/>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（一）项目完成情况。</w:t>
      </w:r>
    </w:p>
    <w:p>
      <w:pPr>
        <w:numPr>
          <w:ilvl w:val="0"/>
          <w:numId w:val="0"/>
        </w:numPr>
        <w:adjustRightInd w:val="0"/>
        <w:snapToGrid w:val="0"/>
        <w:spacing w:line="580" w:lineRule="exact"/>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在合同期限内完成了设计文件及合同约定的所有建设内容，达到预期脱贫攻坚基础设施建设成效，以上项目均进行了交竣工验收达到合格，资金拨付率除个别因审计结论未下达，资金拨付率均达到</w:t>
      </w:r>
      <w:r>
        <w:rPr>
          <w:rFonts w:hint="eastAsia" w:ascii="仿宋_GB2312" w:hAnsi="仿宋_GB2312" w:eastAsia="仿宋_GB2312" w:cs="仿宋_GB2312"/>
          <w:sz w:val="32"/>
          <w:szCs w:val="32"/>
          <w:lang w:val="en-US" w:eastAsia="zh-CN"/>
        </w:rPr>
        <w:t>95%</w:t>
      </w:r>
      <w:r>
        <w:rPr>
          <w:rFonts w:hint="eastAsia" w:ascii="仿宋_GB2312" w:hAnsi="仿宋_GB2312" w:eastAsia="仿宋_GB2312" w:cs="仿宋_GB2312"/>
          <w:sz w:val="32"/>
          <w:szCs w:val="32"/>
          <w:lang w:val="zh-CN"/>
        </w:rPr>
        <w:t>。</w:t>
      </w:r>
    </w:p>
    <w:p>
      <w:pPr>
        <w:numPr>
          <w:ilvl w:val="0"/>
          <w:numId w:val="10"/>
        </w:numPr>
        <w:adjustRightInd w:val="0"/>
        <w:snapToGrid w:val="0"/>
        <w:spacing w:line="580" w:lineRule="exact"/>
        <w:ind w:firstLine="720"/>
        <w:rPr>
          <w:rFonts w:hint="eastAsia" w:ascii="仿宋_GB2312" w:hAnsi="仿宋_GB2312" w:eastAsia="仿宋_GB2312" w:cs="仿宋_GB2312"/>
          <w:b/>
          <w:sz w:val="32"/>
          <w:szCs w:val="32"/>
          <w:lang w:val="zh-CN" w:eastAsia="zh-CN"/>
        </w:rPr>
      </w:pPr>
      <w:r>
        <w:rPr>
          <w:rFonts w:hint="eastAsia" w:ascii="仿宋_GB2312" w:hAnsi="仿宋_GB2312" w:eastAsia="仿宋_GB2312" w:cs="仿宋_GB2312"/>
          <w:b/>
          <w:sz w:val="32"/>
          <w:szCs w:val="32"/>
          <w:lang w:val="zh-CN"/>
        </w:rPr>
        <w:t>项目效益情况。</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项目实施完成后方便了广大农牧民出行及生产效率提高，有效促进农牧民增收，确保脱贫攻坚成果。</w:t>
      </w:r>
    </w:p>
    <w:p>
      <w:pPr>
        <w:adjustRightInd w:val="0"/>
        <w:snapToGrid w:val="0"/>
        <w:spacing w:line="580" w:lineRule="exact"/>
        <w:ind w:firstLine="7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五、问题及建议</w:t>
      </w:r>
    </w:p>
    <w:p>
      <w:pPr>
        <w:adjustRightInd w:val="0"/>
        <w:snapToGrid w:val="0"/>
        <w:spacing w:line="580" w:lineRule="exact"/>
        <w:ind w:firstLine="72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（一）存在的问题。</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由于高原气候，有限施工期短，造成项目进度难以达到上级要求。</w:t>
      </w:r>
    </w:p>
    <w:p>
      <w:pPr>
        <w:numPr>
          <w:ilvl w:val="0"/>
          <w:numId w:val="0"/>
        </w:numPr>
        <w:adjustRightInd w:val="0"/>
        <w:snapToGrid w:val="0"/>
        <w:spacing w:line="580" w:lineRule="exact"/>
        <w:ind w:firstLine="643" w:firstLineChars="200"/>
        <w:rPr>
          <w:rFonts w:hint="eastAsia" w:ascii="仿宋_GB2312" w:hAnsi="仿宋_GB2312" w:eastAsia="仿宋_GB2312" w:cs="仿宋_GB2312"/>
          <w:b/>
          <w:sz w:val="32"/>
          <w:szCs w:val="32"/>
          <w:lang w:val="zh-CN"/>
        </w:rPr>
      </w:pPr>
      <w:r>
        <w:rPr>
          <w:rFonts w:hint="eastAsia" w:ascii="仿宋_GB2312" w:hAnsi="仿宋_GB2312" w:eastAsia="仿宋_GB2312" w:cs="仿宋_GB2312"/>
          <w:b/>
          <w:sz w:val="32"/>
          <w:szCs w:val="32"/>
          <w:lang w:val="zh-CN"/>
        </w:rPr>
        <w:t>（二）相关建议。</w:t>
      </w:r>
    </w:p>
    <w:p>
      <w:pPr>
        <w:adjustRightInd w:val="0"/>
        <w:snapToGrid w:val="0"/>
        <w:spacing w:line="580" w:lineRule="exact"/>
        <w:ind w:firstLine="720"/>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根据我县实际，制定确实可行的进度计划，确保工程质量。</w:t>
      </w:r>
    </w:p>
    <w:p>
      <w:pPr>
        <w:numPr>
          <w:ilvl w:val="0"/>
          <w:numId w:val="0"/>
        </w:numPr>
        <w:adjustRightInd w:val="0"/>
        <w:snapToGrid w:val="0"/>
        <w:spacing w:line="580" w:lineRule="exact"/>
        <w:rPr>
          <w:rFonts w:hint="eastAsia" w:ascii="仿宋_GB2312" w:hAnsi="仿宋_GB2312" w:eastAsia="仿宋_GB2312" w:cs="仿宋_GB2312"/>
          <w:b/>
          <w:sz w:val="32"/>
          <w:szCs w:val="32"/>
          <w:lang w:val="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hint="eastAsia" w:asciiTheme="minorEastAsia" w:hAnsiTheme="minorEastAsia" w:eastAsiaTheme="minorEastAsia"/>
          <w:color w:val="000000"/>
          <w:sz w:val="44"/>
          <w:szCs w:val="44"/>
          <w:lang w:val="en-US" w:eastAsia="zh-CN"/>
        </w:rPr>
      </w:pPr>
    </w:p>
    <w:p>
      <w:pPr>
        <w:spacing w:line="600" w:lineRule="exact"/>
        <w:jc w:val="center"/>
        <w:outlineLvl w:val="0"/>
        <w:rPr>
          <w:rFonts w:asciiTheme="minorEastAsia" w:hAnsiTheme="minorEastAsia" w:eastAsiaTheme="minorEastAsia"/>
          <w:color w:val="000000"/>
          <w:sz w:val="44"/>
          <w:szCs w:val="44"/>
        </w:rPr>
      </w:pPr>
      <w:r>
        <w:rPr>
          <w:rFonts w:hint="eastAsia" w:asciiTheme="minorEastAsia" w:hAnsiTheme="minorEastAsia" w:eastAsiaTheme="minorEastAsia"/>
          <w:color w:val="000000"/>
          <w:sz w:val="44"/>
          <w:szCs w:val="44"/>
          <w:lang w:val="en-US" w:eastAsia="zh-CN"/>
        </w:rPr>
        <w:t xml:space="preserve">  </w:t>
      </w:r>
    </w:p>
    <w:p>
      <w:pPr>
        <w:spacing w:line="600" w:lineRule="exact"/>
        <w:jc w:val="center"/>
        <w:outlineLvl w:val="0"/>
        <w:rPr>
          <w:rStyle w:val="27"/>
          <w:rFonts w:asciiTheme="minorEastAsia" w:hAnsiTheme="minorEastAsia" w:eastAsiaTheme="minorEastAsia"/>
          <w:b w:val="0"/>
        </w:rPr>
      </w:pPr>
      <w:bookmarkStart w:id="86" w:name="_Toc28484"/>
      <w:r>
        <w:rPr>
          <w:rFonts w:hint="eastAsia" w:asciiTheme="minorEastAsia" w:hAnsiTheme="minorEastAsia" w:eastAsiaTheme="minorEastAsia"/>
          <w:color w:val="000000"/>
          <w:sz w:val="44"/>
          <w:szCs w:val="44"/>
        </w:rPr>
        <w:t>第</w:t>
      </w:r>
      <w:r>
        <w:rPr>
          <w:rStyle w:val="27"/>
          <w:rFonts w:hint="eastAsia" w:asciiTheme="minorEastAsia" w:hAnsiTheme="minorEastAsia" w:eastAsiaTheme="minorEastAsia"/>
          <w:b w:val="0"/>
        </w:rPr>
        <w:t>五部分 附表</w:t>
      </w:r>
      <w:bookmarkEnd w:id="85"/>
      <w:bookmarkEnd w:id="86"/>
    </w:p>
    <w:p>
      <w:pPr>
        <w:spacing w:line="600" w:lineRule="exact"/>
        <w:jc w:val="center"/>
        <w:outlineLvl w:val="0"/>
        <w:rPr>
          <w:rFonts w:asciiTheme="minorEastAsia" w:hAnsiTheme="minorEastAsia" w:eastAsiaTheme="minorEastAsia"/>
          <w:b/>
          <w:color w:val="000000"/>
          <w:sz w:val="44"/>
          <w:szCs w:val="44"/>
        </w:rPr>
      </w:pPr>
    </w:p>
    <w:p>
      <w:pPr>
        <w:pStyle w:val="5"/>
        <w:numPr>
          <w:ilvl w:val="0"/>
          <w:numId w:val="11"/>
        </w:numPr>
        <w:rPr>
          <w:rFonts w:asciiTheme="minorEastAsia" w:hAnsiTheme="minorEastAsia" w:eastAsiaTheme="minorEastAsia"/>
          <w:b w:val="0"/>
          <w:color w:val="000000"/>
        </w:rPr>
      </w:pPr>
      <w:bookmarkStart w:id="87" w:name="_Toc364"/>
      <w:bookmarkStart w:id="88" w:name="_Toc15396620"/>
      <w:r>
        <w:rPr>
          <w:rFonts w:hint="eastAsia" w:asciiTheme="minorEastAsia" w:hAnsiTheme="minorEastAsia" w:eastAsiaTheme="minorEastAsia"/>
          <w:b w:val="0"/>
          <w:color w:val="000000"/>
        </w:rPr>
        <w:t>收入支出决算总表</w:t>
      </w:r>
      <w:bookmarkEnd w:id="87"/>
    </w:p>
    <w:p>
      <w:pPr>
        <w:pStyle w:val="5"/>
        <w:rPr>
          <w:rFonts w:asciiTheme="minorEastAsia" w:hAnsiTheme="minorEastAsia" w:eastAsiaTheme="minorEastAsia"/>
          <w:color w:val="000000"/>
        </w:rPr>
      </w:pPr>
      <w:bookmarkStart w:id="89" w:name="_Toc31340"/>
      <w:r>
        <w:rPr>
          <w:rFonts w:hint="eastAsia" w:asciiTheme="minorEastAsia" w:hAnsiTheme="minorEastAsia" w:eastAsiaTheme="minorEastAsia"/>
          <w:b w:val="0"/>
          <w:color w:val="000000"/>
        </w:rPr>
        <w:t>二、收</w:t>
      </w:r>
      <w:r>
        <w:rPr>
          <w:rStyle w:val="28"/>
          <w:rFonts w:hint="eastAsia" w:asciiTheme="minorEastAsia" w:hAnsiTheme="minorEastAsia" w:eastAsiaTheme="minorEastAsia"/>
          <w:b w:val="0"/>
          <w:bCs w:val="0"/>
        </w:rPr>
        <w:t>入总表</w:t>
      </w:r>
      <w:bookmarkEnd w:id="88"/>
      <w:bookmarkEnd w:id="89"/>
    </w:p>
    <w:p>
      <w:pPr>
        <w:pStyle w:val="5"/>
        <w:rPr>
          <w:rFonts w:asciiTheme="minorEastAsia" w:hAnsiTheme="minorEastAsia" w:eastAsiaTheme="minorEastAsia"/>
          <w:color w:val="000000"/>
        </w:rPr>
      </w:pPr>
      <w:bookmarkStart w:id="90" w:name="_Toc15396621"/>
      <w:bookmarkStart w:id="91" w:name="_Toc30195"/>
      <w:r>
        <w:rPr>
          <w:rStyle w:val="28"/>
          <w:rFonts w:hint="eastAsia" w:asciiTheme="minorEastAsia" w:hAnsiTheme="minorEastAsia" w:eastAsiaTheme="minorEastAsia"/>
          <w:b w:val="0"/>
          <w:bCs w:val="0"/>
        </w:rPr>
        <w:t>三、</w:t>
      </w:r>
      <w:r>
        <w:rPr>
          <w:rFonts w:hint="eastAsia" w:asciiTheme="minorEastAsia" w:hAnsiTheme="minorEastAsia" w:eastAsiaTheme="minorEastAsia"/>
          <w:b w:val="0"/>
          <w:color w:val="000000"/>
        </w:rPr>
        <w:t>支</w:t>
      </w:r>
      <w:r>
        <w:rPr>
          <w:rStyle w:val="28"/>
          <w:rFonts w:hint="eastAsia" w:asciiTheme="minorEastAsia" w:hAnsiTheme="minorEastAsia" w:eastAsiaTheme="minorEastAsia"/>
          <w:b w:val="0"/>
          <w:bCs w:val="0"/>
        </w:rPr>
        <w:t>出总表</w:t>
      </w:r>
      <w:bookmarkEnd w:id="90"/>
      <w:bookmarkEnd w:id="91"/>
    </w:p>
    <w:p>
      <w:pPr>
        <w:pStyle w:val="5"/>
        <w:rPr>
          <w:rFonts w:asciiTheme="minorEastAsia" w:hAnsiTheme="minorEastAsia" w:eastAsiaTheme="minorEastAsia"/>
          <w:b w:val="0"/>
          <w:color w:val="000000"/>
        </w:rPr>
      </w:pPr>
      <w:bookmarkStart w:id="92" w:name="_Toc12539"/>
      <w:bookmarkStart w:id="93" w:name="_Toc15396622"/>
      <w:r>
        <w:rPr>
          <w:rStyle w:val="28"/>
          <w:rFonts w:hint="eastAsia" w:asciiTheme="minorEastAsia" w:hAnsiTheme="minorEastAsia" w:eastAsiaTheme="minorEastAsia"/>
          <w:b w:val="0"/>
          <w:bCs w:val="0"/>
        </w:rPr>
        <w:t>四、</w:t>
      </w:r>
      <w:r>
        <w:rPr>
          <w:rFonts w:hint="eastAsia" w:asciiTheme="minorEastAsia" w:hAnsiTheme="minorEastAsia" w:eastAsiaTheme="minorEastAsia"/>
          <w:b w:val="0"/>
          <w:color w:val="000000"/>
        </w:rPr>
        <w:t>财</w:t>
      </w:r>
      <w:r>
        <w:rPr>
          <w:rStyle w:val="28"/>
          <w:rFonts w:hint="eastAsia" w:asciiTheme="minorEastAsia" w:hAnsiTheme="minorEastAsia" w:eastAsiaTheme="minorEastAsia"/>
          <w:b w:val="0"/>
          <w:bCs w:val="0"/>
        </w:rPr>
        <w:t>政拨款收入支出决算总表</w:t>
      </w:r>
      <w:bookmarkEnd w:id="92"/>
      <w:bookmarkEnd w:id="93"/>
    </w:p>
    <w:p>
      <w:pPr>
        <w:pStyle w:val="5"/>
        <w:rPr>
          <w:rFonts w:asciiTheme="minorEastAsia" w:hAnsiTheme="minorEastAsia" w:eastAsiaTheme="minorEastAsia"/>
          <w:color w:val="000000"/>
        </w:rPr>
      </w:pPr>
      <w:bookmarkStart w:id="94" w:name="_Toc15396623"/>
      <w:bookmarkStart w:id="95" w:name="_Toc4989"/>
      <w:r>
        <w:rPr>
          <w:rStyle w:val="28"/>
          <w:rFonts w:hint="eastAsia" w:asciiTheme="minorEastAsia" w:hAnsiTheme="minorEastAsia" w:eastAsiaTheme="minorEastAsia"/>
          <w:b w:val="0"/>
          <w:bCs w:val="0"/>
        </w:rPr>
        <w:t>五、</w:t>
      </w:r>
      <w:r>
        <w:rPr>
          <w:rFonts w:hint="eastAsia" w:asciiTheme="minorEastAsia" w:hAnsiTheme="minorEastAsia" w:eastAsiaTheme="minorEastAsia"/>
          <w:b w:val="0"/>
          <w:color w:val="000000"/>
        </w:rPr>
        <w:t>财</w:t>
      </w:r>
      <w:r>
        <w:rPr>
          <w:rStyle w:val="28"/>
          <w:rFonts w:hint="eastAsia" w:asciiTheme="minorEastAsia" w:hAnsiTheme="minorEastAsia" w:eastAsiaTheme="minorEastAsia"/>
          <w:b w:val="0"/>
          <w:bCs w:val="0"/>
        </w:rPr>
        <w:t>政拨款支出决算明细表（政府经济分类科目）</w:t>
      </w:r>
      <w:bookmarkEnd w:id="94"/>
      <w:bookmarkEnd w:id="95"/>
    </w:p>
    <w:p>
      <w:pPr>
        <w:pStyle w:val="5"/>
        <w:rPr>
          <w:rFonts w:asciiTheme="minorEastAsia" w:hAnsiTheme="minorEastAsia" w:eastAsiaTheme="minorEastAsia"/>
          <w:color w:val="000000"/>
        </w:rPr>
      </w:pPr>
      <w:bookmarkStart w:id="96" w:name="_Toc15396624"/>
      <w:bookmarkStart w:id="97" w:name="_Toc7127"/>
      <w:r>
        <w:rPr>
          <w:rStyle w:val="28"/>
          <w:rFonts w:hint="eastAsia" w:asciiTheme="minorEastAsia" w:hAnsiTheme="minorEastAsia" w:eastAsiaTheme="minorEastAsia"/>
          <w:b w:val="0"/>
          <w:bCs w:val="0"/>
        </w:rPr>
        <w:t>六、</w:t>
      </w:r>
      <w:r>
        <w:rPr>
          <w:rFonts w:hint="eastAsia" w:asciiTheme="minorEastAsia" w:hAnsiTheme="minorEastAsia" w:eastAsiaTheme="minorEastAsia"/>
          <w:b w:val="0"/>
          <w:color w:val="000000"/>
        </w:rPr>
        <w:t>一</w:t>
      </w:r>
      <w:r>
        <w:rPr>
          <w:rStyle w:val="28"/>
          <w:rFonts w:hint="eastAsia" w:asciiTheme="minorEastAsia" w:hAnsiTheme="minorEastAsia" w:eastAsiaTheme="minorEastAsia"/>
          <w:b w:val="0"/>
          <w:bCs w:val="0"/>
        </w:rPr>
        <w:t>般公共预算财政拨款支出决算表</w:t>
      </w:r>
      <w:bookmarkEnd w:id="96"/>
      <w:bookmarkEnd w:id="97"/>
    </w:p>
    <w:p>
      <w:pPr>
        <w:pStyle w:val="5"/>
        <w:rPr>
          <w:rFonts w:asciiTheme="minorEastAsia" w:hAnsiTheme="minorEastAsia" w:eastAsiaTheme="minorEastAsia"/>
          <w:color w:val="000000"/>
        </w:rPr>
      </w:pPr>
      <w:bookmarkStart w:id="98" w:name="_Toc29466"/>
      <w:bookmarkStart w:id="99" w:name="_Toc15396625"/>
      <w:r>
        <w:rPr>
          <w:rStyle w:val="28"/>
          <w:rFonts w:hint="eastAsia" w:asciiTheme="minorEastAsia" w:hAnsiTheme="minorEastAsia" w:eastAsiaTheme="minorEastAsia"/>
          <w:b w:val="0"/>
          <w:bCs w:val="0"/>
        </w:rPr>
        <w:t>七、</w:t>
      </w:r>
      <w:r>
        <w:rPr>
          <w:rFonts w:hint="eastAsia" w:asciiTheme="minorEastAsia" w:hAnsiTheme="minorEastAsia" w:eastAsiaTheme="minorEastAsia"/>
          <w:b w:val="0"/>
          <w:color w:val="000000"/>
        </w:rPr>
        <w:t>一</w:t>
      </w:r>
      <w:r>
        <w:rPr>
          <w:rStyle w:val="28"/>
          <w:rFonts w:hint="eastAsia" w:asciiTheme="minorEastAsia" w:hAnsiTheme="minorEastAsia" w:eastAsiaTheme="minorEastAsia"/>
          <w:b w:val="0"/>
          <w:bCs w:val="0"/>
        </w:rPr>
        <w:t>般公共预算财政拨款支出决算明细表</w:t>
      </w:r>
      <w:bookmarkEnd w:id="98"/>
      <w:bookmarkEnd w:id="99"/>
    </w:p>
    <w:p>
      <w:pPr>
        <w:pStyle w:val="5"/>
        <w:rPr>
          <w:rFonts w:asciiTheme="minorEastAsia" w:hAnsiTheme="minorEastAsia" w:eastAsiaTheme="minorEastAsia"/>
          <w:color w:val="000000"/>
        </w:rPr>
      </w:pPr>
      <w:bookmarkStart w:id="100" w:name="_Toc15396626"/>
      <w:bookmarkStart w:id="101" w:name="_Toc23690"/>
      <w:r>
        <w:rPr>
          <w:rStyle w:val="28"/>
          <w:rFonts w:hint="eastAsia" w:asciiTheme="minorEastAsia" w:hAnsiTheme="minorEastAsia" w:eastAsiaTheme="minorEastAsia"/>
          <w:b w:val="0"/>
          <w:bCs w:val="0"/>
        </w:rPr>
        <w:t>八、</w:t>
      </w:r>
      <w:r>
        <w:rPr>
          <w:rFonts w:hint="eastAsia" w:asciiTheme="minorEastAsia" w:hAnsiTheme="minorEastAsia" w:eastAsiaTheme="minorEastAsia"/>
          <w:b w:val="0"/>
          <w:color w:val="000000"/>
        </w:rPr>
        <w:t>一</w:t>
      </w:r>
      <w:r>
        <w:rPr>
          <w:rStyle w:val="28"/>
          <w:rFonts w:hint="eastAsia" w:asciiTheme="minorEastAsia" w:hAnsiTheme="minorEastAsia" w:eastAsiaTheme="minorEastAsia"/>
          <w:b w:val="0"/>
          <w:bCs w:val="0"/>
        </w:rPr>
        <w:t>般公共预算财政拨款基本支出决算表</w:t>
      </w:r>
      <w:bookmarkEnd w:id="100"/>
      <w:bookmarkEnd w:id="101"/>
    </w:p>
    <w:p>
      <w:pPr>
        <w:pStyle w:val="5"/>
        <w:rPr>
          <w:rFonts w:asciiTheme="minorEastAsia" w:hAnsiTheme="minorEastAsia" w:eastAsiaTheme="minorEastAsia"/>
          <w:color w:val="000000"/>
        </w:rPr>
      </w:pPr>
      <w:bookmarkStart w:id="102" w:name="_Toc20990"/>
      <w:bookmarkStart w:id="103" w:name="_Toc15396627"/>
      <w:r>
        <w:rPr>
          <w:rStyle w:val="28"/>
          <w:rFonts w:hint="eastAsia" w:asciiTheme="minorEastAsia" w:hAnsiTheme="minorEastAsia" w:eastAsiaTheme="minorEastAsia"/>
          <w:b w:val="0"/>
          <w:bCs w:val="0"/>
        </w:rPr>
        <w:t>九、</w:t>
      </w:r>
      <w:r>
        <w:rPr>
          <w:rFonts w:hint="eastAsia" w:asciiTheme="minorEastAsia" w:hAnsiTheme="minorEastAsia" w:eastAsiaTheme="minorEastAsia"/>
          <w:b w:val="0"/>
          <w:color w:val="000000"/>
        </w:rPr>
        <w:t>一</w:t>
      </w:r>
      <w:r>
        <w:rPr>
          <w:rStyle w:val="28"/>
          <w:rFonts w:hint="eastAsia" w:asciiTheme="minorEastAsia" w:hAnsiTheme="minorEastAsia" w:eastAsiaTheme="minorEastAsia"/>
          <w:b w:val="0"/>
          <w:bCs w:val="0"/>
        </w:rPr>
        <w:t>般公共预算财政拨款项目支出决算表</w:t>
      </w:r>
      <w:bookmarkEnd w:id="102"/>
      <w:bookmarkEnd w:id="103"/>
    </w:p>
    <w:p>
      <w:pPr>
        <w:pStyle w:val="5"/>
        <w:rPr>
          <w:rFonts w:asciiTheme="minorEastAsia" w:hAnsiTheme="minorEastAsia" w:eastAsiaTheme="minorEastAsia"/>
          <w:color w:val="000000"/>
        </w:rPr>
      </w:pPr>
      <w:bookmarkStart w:id="104" w:name="_Toc7686"/>
      <w:bookmarkStart w:id="105" w:name="_Toc15396628"/>
      <w:r>
        <w:rPr>
          <w:rStyle w:val="28"/>
          <w:rFonts w:hint="eastAsia" w:asciiTheme="minorEastAsia" w:hAnsiTheme="minorEastAsia" w:eastAsiaTheme="minorEastAsia"/>
          <w:b w:val="0"/>
          <w:bCs w:val="0"/>
        </w:rPr>
        <w:t>十、</w:t>
      </w:r>
      <w:r>
        <w:rPr>
          <w:rFonts w:hint="eastAsia" w:asciiTheme="minorEastAsia" w:hAnsiTheme="minorEastAsia" w:eastAsiaTheme="minorEastAsia"/>
          <w:b w:val="0"/>
          <w:color w:val="000000"/>
        </w:rPr>
        <w:t>一</w:t>
      </w:r>
      <w:r>
        <w:rPr>
          <w:rStyle w:val="28"/>
          <w:rFonts w:hint="eastAsia" w:asciiTheme="minorEastAsia" w:hAnsiTheme="minorEastAsia" w:eastAsiaTheme="minorEastAsia"/>
          <w:b w:val="0"/>
          <w:bCs w:val="0"/>
        </w:rPr>
        <w:t>般公共预算财政拨款“三公”经费支出决算表</w:t>
      </w:r>
      <w:bookmarkEnd w:id="104"/>
      <w:bookmarkEnd w:id="105"/>
    </w:p>
    <w:p>
      <w:pPr>
        <w:pStyle w:val="5"/>
        <w:rPr>
          <w:rFonts w:asciiTheme="minorEastAsia" w:hAnsiTheme="minorEastAsia" w:eastAsiaTheme="minorEastAsia"/>
          <w:color w:val="000000"/>
        </w:rPr>
      </w:pPr>
      <w:bookmarkStart w:id="106" w:name="_Toc15396629"/>
      <w:bookmarkStart w:id="107" w:name="_Toc12216"/>
      <w:r>
        <w:rPr>
          <w:rStyle w:val="28"/>
          <w:rFonts w:hint="eastAsia" w:asciiTheme="minorEastAsia" w:hAnsiTheme="minorEastAsia" w:eastAsiaTheme="minorEastAsia"/>
          <w:b w:val="0"/>
          <w:bCs w:val="0"/>
        </w:rPr>
        <w:t>十一、</w:t>
      </w:r>
      <w:r>
        <w:rPr>
          <w:rFonts w:hint="eastAsia" w:asciiTheme="minorEastAsia" w:hAnsiTheme="minorEastAsia" w:eastAsiaTheme="minorEastAsia"/>
          <w:b w:val="0"/>
          <w:color w:val="000000"/>
        </w:rPr>
        <w:t>政</w:t>
      </w:r>
      <w:r>
        <w:rPr>
          <w:rStyle w:val="28"/>
          <w:rFonts w:hint="eastAsia" w:asciiTheme="minorEastAsia" w:hAnsiTheme="minorEastAsia" w:eastAsiaTheme="minorEastAsia"/>
          <w:b w:val="0"/>
          <w:bCs w:val="0"/>
        </w:rPr>
        <w:t>府性基金预算财政拨款收入支出决算表</w:t>
      </w:r>
      <w:bookmarkEnd w:id="106"/>
      <w:bookmarkEnd w:id="107"/>
    </w:p>
    <w:p>
      <w:pPr>
        <w:pStyle w:val="5"/>
        <w:rPr>
          <w:rFonts w:asciiTheme="minorEastAsia" w:hAnsiTheme="minorEastAsia" w:eastAsiaTheme="minorEastAsia"/>
          <w:color w:val="000000"/>
        </w:rPr>
      </w:pPr>
      <w:bookmarkStart w:id="108" w:name="_Toc15396630"/>
      <w:bookmarkStart w:id="109" w:name="_Toc26739"/>
      <w:r>
        <w:rPr>
          <w:rStyle w:val="28"/>
          <w:rFonts w:hint="eastAsia" w:asciiTheme="minorEastAsia" w:hAnsiTheme="minorEastAsia" w:eastAsiaTheme="minorEastAsia"/>
          <w:b w:val="0"/>
          <w:bCs w:val="0"/>
        </w:rPr>
        <w:t>十二、</w:t>
      </w:r>
      <w:r>
        <w:rPr>
          <w:rFonts w:hint="eastAsia" w:asciiTheme="minorEastAsia" w:hAnsiTheme="minorEastAsia" w:eastAsiaTheme="minorEastAsia"/>
          <w:b w:val="0"/>
          <w:color w:val="000000"/>
        </w:rPr>
        <w:t>政</w:t>
      </w:r>
      <w:r>
        <w:rPr>
          <w:rStyle w:val="28"/>
          <w:rFonts w:hint="eastAsia" w:asciiTheme="minorEastAsia" w:hAnsiTheme="minorEastAsia" w:eastAsiaTheme="minorEastAsia"/>
          <w:b w:val="0"/>
          <w:bCs w:val="0"/>
        </w:rPr>
        <w:t>府性基金预算财政拨款“三公”经费支出决算表</w:t>
      </w:r>
      <w:bookmarkEnd w:id="108"/>
      <w:bookmarkEnd w:id="109"/>
    </w:p>
    <w:p>
      <w:pPr>
        <w:pStyle w:val="5"/>
        <w:rPr>
          <w:rFonts w:asciiTheme="minorEastAsia" w:hAnsiTheme="minorEastAsia" w:eastAsiaTheme="minorEastAsia"/>
          <w:color w:val="000000" w:themeColor="text1"/>
        </w:rPr>
      </w:pPr>
      <w:bookmarkStart w:id="110" w:name="_Toc15396631"/>
      <w:bookmarkStart w:id="111" w:name="_Toc18236"/>
      <w:r>
        <w:rPr>
          <w:rStyle w:val="28"/>
          <w:rFonts w:hint="eastAsia" w:asciiTheme="minorEastAsia" w:hAnsiTheme="minorEastAsia" w:eastAsiaTheme="minorEastAsia"/>
          <w:b w:val="0"/>
          <w:bCs w:val="0"/>
        </w:rPr>
        <w:t>十三、</w:t>
      </w:r>
      <w:r>
        <w:rPr>
          <w:rFonts w:hint="eastAsia" w:asciiTheme="minorEastAsia" w:hAnsiTheme="minorEastAsia" w:eastAsiaTheme="minorEastAsia"/>
          <w:b w:val="0"/>
          <w:color w:val="000000"/>
        </w:rPr>
        <w:t>国</w:t>
      </w:r>
      <w:r>
        <w:rPr>
          <w:rStyle w:val="28"/>
          <w:rFonts w:hint="eastAsia" w:asciiTheme="minorEastAsia" w:hAnsiTheme="minorEastAsia" w:eastAsiaTheme="minorEastAsia"/>
          <w:b w:val="0"/>
          <w:bCs w:val="0"/>
        </w:rPr>
        <w:t>有资本经营预算支出决算表</w:t>
      </w:r>
      <w:bookmarkEnd w:id="110"/>
      <w:bookmarkEnd w:id="111"/>
    </w:p>
    <w:p>
      <w:pPr>
        <w:pStyle w:val="5"/>
        <w:rPr>
          <w:rFonts w:asciiTheme="minorEastAsia" w:hAnsiTheme="minorEastAsia" w:eastAsiaTheme="minorEastAsia"/>
          <w:color w:val="000000" w:themeColor="text1"/>
        </w:rPr>
      </w:pP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Microsoft Himalaya">
    <w:altName w:val="DejaVu Math TeX Gyre"/>
    <w:panose1 w:val="01010100010101010101"/>
    <w:charset w:val="00"/>
    <w:family w:val="auto"/>
    <w:pitch w:val="default"/>
    <w:sig w:usb0="00000000" w:usb1="00000000" w:usb2="00000040" w:usb3="00000000" w:csb0="00000001" w:csb1="00000000"/>
  </w:font>
  <w:font w:name="DejaVu Math TeX Gyre">
    <w:panose1 w:val="02000503000000000000"/>
    <w:charset w:val="00"/>
    <w:family w:val="auto"/>
    <w:pitch w:val="default"/>
    <w:sig w:usb0="A10000EF" w:usb1="4201F9EE" w:usb2="02000000" w:usb3="00000000" w:csb0="60000193" w:csb1="0DD4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
    <w:altName w:val="Times New Roman"/>
    <w:panose1 w:val="00000000000000000000"/>
    <w:charset w:val="00"/>
    <w:family w:val="auto"/>
    <w:pitch w:val="default"/>
    <w:sig w:usb0="00000000" w:usb1="00000000" w:usb2="00000000" w:usb3="00000000" w:csb0="00040001" w:csb1="00000000"/>
  </w:font>
  <w:font w:name="Arial Unicode MS">
    <w:altName w:val="Times New Roman"/>
    <w:panose1 w:val="020B0604020202020204"/>
    <w:charset w:val="86"/>
    <w:family w:val="auto"/>
    <w:pitch w:val="default"/>
    <w:sig w:usb0="00000000" w:usb1="00000000" w:usb2="0000003F" w:usb3="00000000" w:csb0="603F01FF" w:csb1="FFFF0000"/>
  </w:font>
  <w:font w:name="方正小标宋简体">
    <w:panose1 w:val="02000000000000000000"/>
    <w:charset w:val="86"/>
    <w:family w:val="auto"/>
    <w:pitch w:val="default"/>
    <w:sig w:usb0="A00002BF" w:usb1="184F6CFA" w:usb2="00000012" w:usb3="00000000" w:csb0="00040001" w:csb1="00000000"/>
  </w:font>
  <w:font w:name="宋体-18030">
    <w:altName w:val="Droid Sans Fallback"/>
    <w:panose1 w:val="00000000000000000000"/>
    <w:charset w:val="86"/>
    <w:family w:val="modern"/>
    <w:pitch w:val="default"/>
    <w:sig w:usb0="00000000" w:usb1="00000000" w:usb2="000A005E" w:usb3="00000000" w:csb0="00040001" w:csb1="00000000"/>
  </w:font>
  <w:font w:name="Droid Sans Fallback">
    <w:panose1 w:val="020B0502000000000001"/>
    <w:charset w:val="86"/>
    <w:family w:val="auto"/>
    <w:pitch w:val="default"/>
    <w:sig w:usb0="910002FF" w:usb1="2BDFFCFB" w:usb2="00000036" w:usb3="00000000" w:csb0="203F01FF" w:csb1="D7FF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10"/>
          <w:jc w:val="center"/>
        </w:pPr>
        <w:r>
          <w:fldChar w:fldCharType="begin"/>
        </w:r>
        <w:r>
          <w:instrText xml:space="preserve">PAGE   \* MERGEFORMAT</w:instrText>
        </w:r>
        <w:r>
          <w:fldChar w:fldCharType="separate"/>
        </w:r>
        <w:r>
          <w:rPr>
            <w:lang w:val="zh-CN"/>
          </w:rPr>
          <w:t>12</w:t>
        </w:r>
        <w:r>
          <w:rPr>
            <w:lang w:val="zh-CN"/>
          </w:rP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343051"/>
    <w:multiLevelType w:val="singleLevel"/>
    <w:tmpl w:val="A0343051"/>
    <w:lvl w:ilvl="0" w:tentative="0">
      <w:start w:val="2"/>
      <w:numFmt w:val="chineseCounting"/>
      <w:suff w:val="nothing"/>
      <w:lvlText w:val="（%1）"/>
      <w:lvlJc w:val="left"/>
      <w:rPr>
        <w:rFonts w:hint="eastAsia"/>
      </w:rPr>
    </w:lvl>
  </w:abstractNum>
  <w:abstractNum w:abstractNumId="1">
    <w:nsid w:val="C03250A2"/>
    <w:multiLevelType w:val="singleLevel"/>
    <w:tmpl w:val="C03250A2"/>
    <w:lvl w:ilvl="0" w:tentative="0">
      <w:start w:val="4"/>
      <w:numFmt w:val="chineseCounting"/>
      <w:suff w:val="nothing"/>
      <w:lvlText w:val="（%1）"/>
      <w:lvlJc w:val="left"/>
      <w:pPr>
        <w:ind w:left="480" w:leftChars="0" w:firstLine="0" w:firstLineChars="0"/>
      </w:pPr>
      <w:rPr>
        <w:rFonts w:hint="eastAsia"/>
      </w:rPr>
    </w:lvl>
  </w:abstractNum>
  <w:abstractNum w:abstractNumId="2">
    <w:nsid w:val="C1D7B1DA"/>
    <w:multiLevelType w:val="singleLevel"/>
    <w:tmpl w:val="C1D7B1DA"/>
    <w:lvl w:ilvl="0" w:tentative="0">
      <w:start w:val="1"/>
      <w:numFmt w:val="chineseCounting"/>
      <w:suff w:val="nothing"/>
      <w:lvlText w:val="%1、"/>
      <w:lvlJc w:val="left"/>
      <w:rPr>
        <w:rFonts w:hint="eastAsia"/>
      </w:rPr>
    </w:lvl>
  </w:abstractNum>
  <w:abstractNum w:abstractNumId="3">
    <w:nsid w:val="CF652CEC"/>
    <w:multiLevelType w:val="singleLevel"/>
    <w:tmpl w:val="CF652CEC"/>
    <w:lvl w:ilvl="0" w:tentative="0">
      <w:start w:val="9"/>
      <w:numFmt w:val="chineseCounting"/>
      <w:suff w:val="nothing"/>
      <w:lvlText w:val="%1、"/>
      <w:lvlJc w:val="left"/>
      <w:rPr>
        <w:rFonts w:hint="eastAsia"/>
      </w:rPr>
    </w:lvl>
  </w:abstractNum>
  <w:abstractNum w:abstractNumId="4">
    <w:nsid w:val="E2FA047D"/>
    <w:multiLevelType w:val="singleLevel"/>
    <w:tmpl w:val="E2FA047D"/>
    <w:lvl w:ilvl="0" w:tentative="0">
      <w:start w:val="3"/>
      <w:numFmt w:val="chineseCounting"/>
      <w:suff w:val="space"/>
      <w:lvlText w:val="第%1部分"/>
      <w:lvlJc w:val="left"/>
      <w:rPr>
        <w:rFonts w:hint="eastAsia"/>
      </w:rPr>
    </w:lvl>
  </w:abstractNum>
  <w:abstractNum w:abstractNumId="5">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6">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7">
    <w:nsid w:val="1E441072"/>
    <w:multiLevelType w:val="singleLevel"/>
    <w:tmpl w:val="1E441072"/>
    <w:lvl w:ilvl="0" w:tentative="0">
      <w:start w:val="1"/>
      <w:numFmt w:val="chineseCounting"/>
      <w:suff w:val="nothing"/>
      <w:lvlText w:val="（%1）"/>
      <w:lvlJc w:val="left"/>
      <w:rPr>
        <w:rFonts w:hint="eastAsia"/>
      </w:rPr>
    </w:lvl>
  </w:abstractNum>
  <w:abstractNum w:abstractNumId="8">
    <w:nsid w:val="32E3DEA8"/>
    <w:multiLevelType w:val="singleLevel"/>
    <w:tmpl w:val="32E3DEA8"/>
    <w:lvl w:ilvl="0" w:tentative="0">
      <w:start w:val="2"/>
      <w:numFmt w:val="chineseCounting"/>
      <w:suff w:val="nothing"/>
      <w:lvlText w:val="（%1）"/>
      <w:lvlJc w:val="left"/>
      <w:rPr>
        <w:rFonts w:hint="eastAsia"/>
      </w:rPr>
    </w:lvl>
  </w:abstractNum>
  <w:abstractNum w:abstractNumId="9">
    <w:nsid w:val="5D5382B5"/>
    <w:multiLevelType w:val="singleLevel"/>
    <w:tmpl w:val="5D5382B5"/>
    <w:lvl w:ilvl="0" w:tentative="0">
      <w:start w:val="1"/>
      <w:numFmt w:val="chineseCounting"/>
      <w:suff w:val="nothing"/>
      <w:lvlText w:val="%1、"/>
      <w:lvlJc w:val="left"/>
    </w:lvl>
  </w:abstractNum>
  <w:abstractNum w:abstractNumId="10">
    <w:nsid w:val="739153D1"/>
    <w:multiLevelType w:val="multilevel"/>
    <w:tmpl w:val="739153D1"/>
    <w:lvl w:ilvl="0" w:tentative="0">
      <w:start w:val="1"/>
      <w:numFmt w:val="japaneseCounting"/>
      <w:lvlText w:val="（%1）"/>
      <w:lvlJc w:val="left"/>
      <w:pPr>
        <w:ind w:left="1549" w:hanging="1080"/>
      </w:pPr>
      <w:rPr>
        <w:rFonts w:hint="default"/>
      </w:rPr>
    </w:lvl>
    <w:lvl w:ilvl="1" w:tentative="0">
      <w:start w:val="1"/>
      <w:numFmt w:val="lowerLetter"/>
      <w:lvlText w:val="%2)"/>
      <w:lvlJc w:val="left"/>
      <w:pPr>
        <w:ind w:left="1309" w:hanging="420"/>
      </w:pPr>
    </w:lvl>
    <w:lvl w:ilvl="2" w:tentative="0">
      <w:start w:val="1"/>
      <w:numFmt w:val="lowerRoman"/>
      <w:lvlText w:val="%3."/>
      <w:lvlJc w:val="right"/>
      <w:pPr>
        <w:ind w:left="1729" w:hanging="420"/>
      </w:pPr>
    </w:lvl>
    <w:lvl w:ilvl="3" w:tentative="0">
      <w:start w:val="1"/>
      <w:numFmt w:val="decimal"/>
      <w:lvlText w:val="%4."/>
      <w:lvlJc w:val="left"/>
      <w:pPr>
        <w:ind w:left="2149" w:hanging="420"/>
      </w:pPr>
    </w:lvl>
    <w:lvl w:ilvl="4" w:tentative="0">
      <w:start w:val="1"/>
      <w:numFmt w:val="lowerLetter"/>
      <w:lvlText w:val="%5)"/>
      <w:lvlJc w:val="left"/>
      <w:pPr>
        <w:ind w:left="2569" w:hanging="420"/>
      </w:pPr>
    </w:lvl>
    <w:lvl w:ilvl="5" w:tentative="0">
      <w:start w:val="1"/>
      <w:numFmt w:val="lowerRoman"/>
      <w:lvlText w:val="%6."/>
      <w:lvlJc w:val="right"/>
      <w:pPr>
        <w:ind w:left="2989" w:hanging="420"/>
      </w:pPr>
    </w:lvl>
    <w:lvl w:ilvl="6" w:tentative="0">
      <w:start w:val="1"/>
      <w:numFmt w:val="decimal"/>
      <w:lvlText w:val="%7."/>
      <w:lvlJc w:val="left"/>
      <w:pPr>
        <w:ind w:left="3409" w:hanging="420"/>
      </w:pPr>
    </w:lvl>
    <w:lvl w:ilvl="7" w:tentative="0">
      <w:start w:val="1"/>
      <w:numFmt w:val="lowerLetter"/>
      <w:lvlText w:val="%8)"/>
      <w:lvlJc w:val="left"/>
      <w:pPr>
        <w:ind w:left="3829" w:hanging="420"/>
      </w:pPr>
    </w:lvl>
    <w:lvl w:ilvl="8" w:tentative="0">
      <w:start w:val="1"/>
      <w:numFmt w:val="lowerRoman"/>
      <w:lvlText w:val="%9."/>
      <w:lvlJc w:val="right"/>
      <w:pPr>
        <w:ind w:left="4249" w:hanging="420"/>
      </w:pPr>
    </w:lvl>
  </w:abstractNum>
  <w:num w:numId="1">
    <w:abstractNumId w:val="5"/>
  </w:num>
  <w:num w:numId="2">
    <w:abstractNumId w:val="3"/>
  </w:num>
  <w:num w:numId="3">
    <w:abstractNumId w:val="1"/>
  </w:num>
  <w:num w:numId="4">
    <w:abstractNumId w:val="6"/>
  </w:num>
  <w:num w:numId="5">
    <w:abstractNumId w:val="10"/>
  </w:num>
  <w:num w:numId="6">
    <w:abstractNumId w:val="4"/>
  </w:num>
  <w:num w:numId="7">
    <w:abstractNumId w:val="2"/>
  </w:num>
  <w:num w:numId="8">
    <w:abstractNumId w:val="8"/>
  </w:num>
  <w:num w:numId="9">
    <w:abstractNumId w:val="7"/>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1361C"/>
    <w:rsid w:val="000222C6"/>
    <w:rsid w:val="0002549F"/>
    <w:rsid w:val="00057766"/>
    <w:rsid w:val="0006487A"/>
    <w:rsid w:val="00065F8F"/>
    <w:rsid w:val="000768F2"/>
    <w:rsid w:val="0009184B"/>
    <w:rsid w:val="0009593C"/>
    <w:rsid w:val="000B047F"/>
    <w:rsid w:val="000B1C3B"/>
    <w:rsid w:val="000B5923"/>
    <w:rsid w:val="000B5A48"/>
    <w:rsid w:val="000B6FF3"/>
    <w:rsid w:val="000C3467"/>
    <w:rsid w:val="000C3CA6"/>
    <w:rsid w:val="000C3F6C"/>
    <w:rsid w:val="000D1267"/>
    <w:rsid w:val="000D1D50"/>
    <w:rsid w:val="000D5782"/>
    <w:rsid w:val="000E6613"/>
    <w:rsid w:val="000E7119"/>
    <w:rsid w:val="00114E9B"/>
    <w:rsid w:val="00116DC9"/>
    <w:rsid w:val="00140A01"/>
    <w:rsid w:val="0014729F"/>
    <w:rsid w:val="00147E7A"/>
    <w:rsid w:val="00157BAB"/>
    <w:rsid w:val="001654D1"/>
    <w:rsid w:val="001765B4"/>
    <w:rsid w:val="0018106D"/>
    <w:rsid w:val="0018394D"/>
    <w:rsid w:val="001877A7"/>
    <w:rsid w:val="00191536"/>
    <w:rsid w:val="00196687"/>
    <w:rsid w:val="001B3849"/>
    <w:rsid w:val="001C0962"/>
    <w:rsid w:val="001C7995"/>
    <w:rsid w:val="001D7531"/>
    <w:rsid w:val="001E737D"/>
    <w:rsid w:val="001F0592"/>
    <w:rsid w:val="001F7506"/>
    <w:rsid w:val="002006CD"/>
    <w:rsid w:val="00202B36"/>
    <w:rsid w:val="00204B7A"/>
    <w:rsid w:val="0021101A"/>
    <w:rsid w:val="00220536"/>
    <w:rsid w:val="002274C3"/>
    <w:rsid w:val="00235629"/>
    <w:rsid w:val="00237602"/>
    <w:rsid w:val="00256239"/>
    <w:rsid w:val="00260C38"/>
    <w:rsid w:val="002616C0"/>
    <w:rsid w:val="002662AA"/>
    <w:rsid w:val="00280496"/>
    <w:rsid w:val="00295495"/>
    <w:rsid w:val="00296472"/>
    <w:rsid w:val="002B2613"/>
    <w:rsid w:val="002D118E"/>
    <w:rsid w:val="002D1784"/>
    <w:rsid w:val="002D4DBC"/>
    <w:rsid w:val="002E174F"/>
    <w:rsid w:val="002F1818"/>
    <w:rsid w:val="002F567B"/>
    <w:rsid w:val="003216A9"/>
    <w:rsid w:val="0037013F"/>
    <w:rsid w:val="003775D0"/>
    <w:rsid w:val="00380C92"/>
    <w:rsid w:val="00394DAA"/>
    <w:rsid w:val="003A484F"/>
    <w:rsid w:val="003B0BE0"/>
    <w:rsid w:val="003B0C1B"/>
    <w:rsid w:val="003B688C"/>
    <w:rsid w:val="003C0291"/>
    <w:rsid w:val="003C39AE"/>
    <w:rsid w:val="003C7B60"/>
    <w:rsid w:val="003D1FB2"/>
    <w:rsid w:val="003D66DA"/>
    <w:rsid w:val="003E1310"/>
    <w:rsid w:val="003E6F55"/>
    <w:rsid w:val="00406254"/>
    <w:rsid w:val="004223DE"/>
    <w:rsid w:val="00433A06"/>
    <w:rsid w:val="00434489"/>
    <w:rsid w:val="00437085"/>
    <w:rsid w:val="00443880"/>
    <w:rsid w:val="004464F4"/>
    <w:rsid w:val="0046605A"/>
    <w:rsid w:val="00471401"/>
    <w:rsid w:val="00473F31"/>
    <w:rsid w:val="0048261F"/>
    <w:rsid w:val="0048263A"/>
    <w:rsid w:val="00487E5D"/>
    <w:rsid w:val="004975FE"/>
    <w:rsid w:val="004A711F"/>
    <w:rsid w:val="004B199D"/>
    <w:rsid w:val="004B4690"/>
    <w:rsid w:val="004C63D6"/>
    <w:rsid w:val="004E0A2D"/>
    <w:rsid w:val="004E206B"/>
    <w:rsid w:val="004E6DF7"/>
    <w:rsid w:val="004F0FBD"/>
    <w:rsid w:val="00505A47"/>
    <w:rsid w:val="00512FDA"/>
    <w:rsid w:val="00520DA0"/>
    <w:rsid w:val="00523178"/>
    <w:rsid w:val="0053515A"/>
    <w:rsid w:val="005368D7"/>
    <w:rsid w:val="005548E5"/>
    <w:rsid w:val="005663E6"/>
    <w:rsid w:val="005664BB"/>
    <w:rsid w:val="0057481D"/>
    <w:rsid w:val="00575C2A"/>
    <w:rsid w:val="005832B8"/>
    <w:rsid w:val="0058486E"/>
    <w:rsid w:val="00592640"/>
    <w:rsid w:val="005A5D4E"/>
    <w:rsid w:val="005D1C8B"/>
    <w:rsid w:val="005D5CED"/>
    <w:rsid w:val="005E1285"/>
    <w:rsid w:val="005E15AB"/>
    <w:rsid w:val="005F1A4C"/>
    <w:rsid w:val="00605688"/>
    <w:rsid w:val="006070AF"/>
    <w:rsid w:val="00607E6C"/>
    <w:rsid w:val="006101B1"/>
    <w:rsid w:val="00612EB5"/>
    <w:rsid w:val="00614E44"/>
    <w:rsid w:val="00616A14"/>
    <w:rsid w:val="0062053B"/>
    <w:rsid w:val="00622830"/>
    <w:rsid w:val="0062508E"/>
    <w:rsid w:val="00630AEF"/>
    <w:rsid w:val="006325F8"/>
    <w:rsid w:val="00634C9A"/>
    <w:rsid w:val="006440E4"/>
    <w:rsid w:val="006621F4"/>
    <w:rsid w:val="0066343B"/>
    <w:rsid w:val="00664777"/>
    <w:rsid w:val="006715B3"/>
    <w:rsid w:val="006748A4"/>
    <w:rsid w:val="00683E73"/>
    <w:rsid w:val="006A3141"/>
    <w:rsid w:val="006A5E34"/>
    <w:rsid w:val="006B2422"/>
    <w:rsid w:val="006B2B9A"/>
    <w:rsid w:val="006B62F5"/>
    <w:rsid w:val="006C1937"/>
    <w:rsid w:val="006C1CD0"/>
    <w:rsid w:val="006D3060"/>
    <w:rsid w:val="006F020C"/>
    <w:rsid w:val="006F451B"/>
    <w:rsid w:val="007003E1"/>
    <w:rsid w:val="007127B7"/>
    <w:rsid w:val="00730874"/>
    <w:rsid w:val="007416B6"/>
    <w:rsid w:val="00746F48"/>
    <w:rsid w:val="0075404D"/>
    <w:rsid w:val="00760F54"/>
    <w:rsid w:val="0076182A"/>
    <w:rsid w:val="00761D86"/>
    <w:rsid w:val="00767B7E"/>
    <w:rsid w:val="007770C3"/>
    <w:rsid w:val="00784D24"/>
    <w:rsid w:val="00785FBA"/>
    <w:rsid w:val="00786B6F"/>
    <w:rsid w:val="00786E4A"/>
    <w:rsid w:val="007875EB"/>
    <w:rsid w:val="0079426B"/>
    <w:rsid w:val="007A4BBA"/>
    <w:rsid w:val="007D312A"/>
    <w:rsid w:val="007D3F19"/>
    <w:rsid w:val="007E23B0"/>
    <w:rsid w:val="007F1664"/>
    <w:rsid w:val="007F1991"/>
    <w:rsid w:val="007F2C2F"/>
    <w:rsid w:val="007F55FC"/>
    <w:rsid w:val="007F5665"/>
    <w:rsid w:val="00800112"/>
    <w:rsid w:val="008253BB"/>
    <w:rsid w:val="0083706E"/>
    <w:rsid w:val="008423A5"/>
    <w:rsid w:val="00850625"/>
    <w:rsid w:val="00852148"/>
    <w:rsid w:val="00853718"/>
    <w:rsid w:val="00855221"/>
    <w:rsid w:val="00860645"/>
    <w:rsid w:val="00871F71"/>
    <w:rsid w:val="00885AF4"/>
    <w:rsid w:val="00891511"/>
    <w:rsid w:val="008939CD"/>
    <w:rsid w:val="008B768C"/>
    <w:rsid w:val="008C29D4"/>
    <w:rsid w:val="008C3A3E"/>
    <w:rsid w:val="008C4DB1"/>
    <w:rsid w:val="008C4EAF"/>
    <w:rsid w:val="008C5176"/>
    <w:rsid w:val="008C70A1"/>
    <w:rsid w:val="008C7FD0"/>
    <w:rsid w:val="008E1DE7"/>
    <w:rsid w:val="008E707C"/>
    <w:rsid w:val="00900B08"/>
    <w:rsid w:val="00902155"/>
    <w:rsid w:val="00902FA3"/>
    <w:rsid w:val="00911579"/>
    <w:rsid w:val="00923564"/>
    <w:rsid w:val="0092392E"/>
    <w:rsid w:val="009315F9"/>
    <w:rsid w:val="00946945"/>
    <w:rsid w:val="00951248"/>
    <w:rsid w:val="0095152F"/>
    <w:rsid w:val="00954C49"/>
    <w:rsid w:val="0095601B"/>
    <w:rsid w:val="00957F7E"/>
    <w:rsid w:val="009602B0"/>
    <w:rsid w:val="0097099F"/>
    <w:rsid w:val="00971997"/>
    <w:rsid w:val="00971FFC"/>
    <w:rsid w:val="0098660A"/>
    <w:rsid w:val="009931C3"/>
    <w:rsid w:val="009A6362"/>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454D5"/>
    <w:rsid w:val="00A56DF2"/>
    <w:rsid w:val="00A67AB5"/>
    <w:rsid w:val="00A71098"/>
    <w:rsid w:val="00A7415D"/>
    <w:rsid w:val="00A85E33"/>
    <w:rsid w:val="00A91760"/>
    <w:rsid w:val="00A93B00"/>
    <w:rsid w:val="00A93C21"/>
    <w:rsid w:val="00AC3C6A"/>
    <w:rsid w:val="00AC6EB8"/>
    <w:rsid w:val="00AD5620"/>
    <w:rsid w:val="00AD5C48"/>
    <w:rsid w:val="00AD7C1B"/>
    <w:rsid w:val="00AE16BA"/>
    <w:rsid w:val="00AE1EBE"/>
    <w:rsid w:val="00AF0B4C"/>
    <w:rsid w:val="00B0039E"/>
    <w:rsid w:val="00B03C9D"/>
    <w:rsid w:val="00B060AE"/>
    <w:rsid w:val="00B10517"/>
    <w:rsid w:val="00B14E76"/>
    <w:rsid w:val="00B161B8"/>
    <w:rsid w:val="00B2048C"/>
    <w:rsid w:val="00B310B9"/>
    <w:rsid w:val="00B35F3F"/>
    <w:rsid w:val="00B36725"/>
    <w:rsid w:val="00B36CBB"/>
    <w:rsid w:val="00B425E0"/>
    <w:rsid w:val="00B440AA"/>
    <w:rsid w:val="00B44B70"/>
    <w:rsid w:val="00B53C56"/>
    <w:rsid w:val="00B61507"/>
    <w:rsid w:val="00B77EA6"/>
    <w:rsid w:val="00B81598"/>
    <w:rsid w:val="00B841F1"/>
    <w:rsid w:val="00B944D6"/>
    <w:rsid w:val="00B9621B"/>
    <w:rsid w:val="00BB4DF0"/>
    <w:rsid w:val="00BC289F"/>
    <w:rsid w:val="00BC5361"/>
    <w:rsid w:val="00BC5460"/>
    <w:rsid w:val="00BC6B50"/>
    <w:rsid w:val="00BD0E25"/>
    <w:rsid w:val="00BE2DA5"/>
    <w:rsid w:val="00BF5BD6"/>
    <w:rsid w:val="00C03E31"/>
    <w:rsid w:val="00C23755"/>
    <w:rsid w:val="00C33E72"/>
    <w:rsid w:val="00C354B2"/>
    <w:rsid w:val="00C35554"/>
    <w:rsid w:val="00C42491"/>
    <w:rsid w:val="00C42547"/>
    <w:rsid w:val="00C42709"/>
    <w:rsid w:val="00C533CC"/>
    <w:rsid w:val="00C5751C"/>
    <w:rsid w:val="00C61BFC"/>
    <w:rsid w:val="00C62B85"/>
    <w:rsid w:val="00C65438"/>
    <w:rsid w:val="00C8241E"/>
    <w:rsid w:val="00C83BDC"/>
    <w:rsid w:val="00C91CBB"/>
    <w:rsid w:val="00CC09B6"/>
    <w:rsid w:val="00CC666F"/>
    <w:rsid w:val="00CD1E3F"/>
    <w:rsid w:val="00CE44F6"/>
    <w:rsid w:val="00CE49DA"/>
    <w:rsid w:val="00CE541C"/>
    <w:rsid w:val="00CE7B61"/>
    <w:rsid w:val="00D00095"/>
    <w:rsid w:val="00D17831"/>
    <w:rsid w:val="00D20620"/>
    <w:rsid w:val="00D26091"/>
    <w:rsid w:val="00D34E7C"/>
    <w:rsid w:val="00D35489"/>
    <w:rsid w:val="00D40A54"/>
    <w:rsid w:val="00D47672"/>
    <w:rsid w:val="00D51276"/>
    <w:rsid w:val="00D7035F"/>
    <w:rsid w:val="00DA2BA8"/>
    <w:rsid w:val="00DA65AC"/>
    <w:rsid w:val="00DA7D1F"/>
    <w:rsid w:val="00DB1913"/>
    <w:rsid w:val="00DC410D"/>
    <w:rsid w:val="00DC68CA"/>
    <w:rsid w:val="00DC7CBA"/>
    <w:rsid w:val="00DD0F9E"/>
    <w:rsid w:val="00DD73B7"/>
    <w:rsid w:val="00DF28BC"/>
    <w:rsid w:val="00DF34B9"/>
    <w:rsid w:val="00E01053"/>
    <w:rsid w:val="00E05E28"/>
    <w:rsid w:val="00E07ACF"/>
    <w:rsid w:val="00E331A1"/>
    <w:rsid w:val="00E33202"/>
    <w:rsid w:val="00E336A9"/>
    <w:rsid w:val="00E50624"/>
    <w:rsid w:val="00E568DF"/>
    <w:rsid w:val="00E64269"/>
    <w:rsid w:val="00E82267"/>
    <w:rsid w:val="00E8702A"/>
    <w:rsid w:val="00E877B5"/>
    <w:rsid w:val="00E95E17"/>
    <w:rsid w:val="00EA010F"/>
    <w:rsid w:val="00EC7665"/>
    <w:rsid w:val="00EC7A54"/>
    <w:rsid w:val="00ED1B63"/>
    <w:rsid w:val="00ED3C1F"/>
    <w:rsid w:val="00ED4085"/>
    <w:rsid w:val="00ED420E"/>
    <w:rsid w:val="00EE2F57"/>
    <w:rsid w:val="00EF47B8"/>
    <w:rsid w:val="00EF4C34"/>
    <w:rsid w:val="00EF77C6"/>
    <w:rsid w:val="00F05438"/>
    <w:rsid w:val="00F133D9"/>
    <w:rsid w:val="00F1361C"/>
    <w:rsid w:val="00F14DD6"/>
    <w:rsid w:val="00F160C7"/>
    <w:rsid w:val="00F36D8F"/>
    <w:rsid w:val="00F417B1"/>
    <w:rsid w:val="00F44891"/>
    <w:rsid w:val="00F44D2C"/>
    <w:rsid w:val="00F602DF"/>
    <w:rsid w:val="00F81FD9"/>
    <w:rsid w:val="00F841AA"/>
    <w:rsid w:val="00FA23E8"/>
    <w:rsid w:val="00FA3B06"/>
    <w:rsid w:val="00FC48B6"/>
    <w:rsid w:val="00FD19CB"/>
    <w:rsid w:val="00FD3CC1"/>
    <w:rsid w:val="00FE5492"/>
    <w:rsid w:val="00FF1E02"/>
    <w:rsid w:val="00FF30B4"/>
    <w:rsid w:val="010479ED"/>
    <w:rsid w:val="02CE5575"/>
    <w:rsid w:val="03772ED4"/>
    <w:rsid w:val="03D31320"/>
    <w:rsid w:val="055A434D"/>
    <w:rsid w:val="05793CD6"/>
    <w:rsid w:val="083E0658"/>
    <w:rsid w:val="08A44BEA"/>
    <w:rsid w:val="08F966E7"/>
    <w:rsid w:val="0A1704DB"/>
    <w:rsid w:val="0A4D6BE3"/>
    <w:rsid w:val="0ADD24D3"/>
    <w:rsid w:val="0B665487"/>
    <w:rsid w:val="0BBD4EDB"/>
    <w:rsid w:val="0C2969E7"/>
    <w:rsid w:val="0C834889"/>
    <w:rsid w:val="0DB443F4"/>
    <w:rsid w:val="0DD73B17"/>
    <w:rsid w:val="0E0932D7"/>
    <w:rsid w:val="0E357988"/>
    <w:rsid w:val="0ED62A80"/>
    <w:rsid w:val="0F670626"/>
    <w:rsid w:val="0F851843"/>
    <w:rsid w:val="0FD76DB8"/>
    <w:rsid w:val="10C055FF"/>
    <w:rsid w:val="10F529AD"/>
    <w:rsid w:val="111A3E75"/>
    <w:rsid w:val="114B6413"/>
    <w:rsid w:val="11DE610C"/>
    <w:rsid w:val="120D29CC"/>
    <w:rsid w:val="121F1C99"/>
    <w:rsid w:val="13195849"/>
    <w:rsid w:val="13674482"/>
    <w:rsid w:val="14FB2C58"/>
    <w:rsid w:val="154A2173"/>
    <w:rsid w:val="16BB723D"/>
    <w:rsid w:val="181A331B"/>
    <w:rsid w:val="18427D2F"/>
    <w:rsid w:val="186128B3"/>
    <w:rsid w:val="19206683"/>
    <w:rsid w:val="19324A20"/>
    <w:rsid w:val="1A4563A6"/>
    <w:rsid w:val="1A7B7916"/>
    <w:rsid w:val="1AE246FF"/>
    <w:rsid w:val="1B8D538F"/>
    <w:rsid w:val="1BEE3881"/>
    <w:rsid w:val="1D513774"/>
    <w:rsid w:val="1E6732B2"/>
    <w:rsid w:val="1F5B443E"/>
    <w:rsid w:val="1F8700FF"/>
    <w:rsid w:val="1F96217E"/>
    <w:rsid w:val="1FAB04CD"/>
    <w:rsid w:val="229D0C72"/>
    <w:rsid w:val="240371BF"/>
    <w:rsid w:val="24717A3F"/>
    <w:rsid w:val="247E3933"/>
    <w:rsid w:val="24806130"/>
    <w:rsid w:val="25B46BBD"/>
    <w:rsid w:val="281B1048"/>
    <w:rsid w:val="28790F14"/>
    <w:rsid w:val="29FD04D3"/>
    <w:rsid w:val="2A267864"/>
    <w:rsid w:val="2A903CD6"/>
    <w:rsid w:val="2A9465DB"/>
    <w:rsid w:val="2B801B5F"/>
    <w:rsid w:val="2B8B0124"/>
    <w:rsid w:val="2C1B5F32"/>
    <w:rsid w:val="2C2A346B"/>
    <w:rsid w:val="2C3C570C"/>
    <w:rsid w:val="2CB80FF7"/>
    <w:rsid w:val="2CD809C8"/>
    <w:rsid w:val="2D142E45"/>
    <w:rsid w:val="2DA56EAA"/>
    <w:rsid w:val="2DCA6B9A"/>
    <w:rsid w:val="2EE10593"/>
    <w:rsid w:val="301A2CC0"/>
    <w:rsid w:val="302144DE"/>
    <w:rsid w:val="31040B4D"/>
    <w:rsid w:val="317172FD"/>
    <w:rsid w:val="319F7F4E"/>
    <w:rsid w:val="31FD6D14"/>
    <w:rsid w:val="32C0633D"/>
    <w:rsid w:val="332C1733"/>
    <w:rsid w:val="360C2249"/>
    <w:rsid w:val="3618353D"/>
    <w:rsid w:val="36445116"/>
    <w:rsid w:val="371226C3"/>
    <w:rsid w:val="373649D5"/>
    <w:rsid w:val="38190913"/>
    <w:rsid w:val="38446D5D"/>
    <w:rsid w:val="39656480"/>
    <w:rsid w:val="3A465CE3"/>
    <w:rsid w:val="3ADE55F5"/>
    <w:rsid w:val="3B2757FB"/>
    <w:rsid w:val="3C005401"/>
    <w:rsid w:val="3D230DF9"/>
    <w:rsid w:val="3EE07496"/>
    <w:rsid w:val="3F912833"/>
    <w:rsid w:val="3FE47441"/>
    <w:rsid w:val="3FFC7591"/>
    <w:rsid w:val="415C36FE"/>
    <w:rsid w:val="42AA42AF"/>
    <w:rsid w:val="42CF5DB8"/>
    <w:rsid w:val="441F16A2"/>
    <w:rsid w:val="453E098F"/>
    <w:rsid w:val="46312780"/>
    <w:rsid w:val="473D3E20"/>
    <w:rsid w:val="482907A8"/>
    <w:rsid w:val="490C0AAC"/>
    <w:rsid w:val="49A07FD8"/>
    <w:rsid w:val="49B07A2A"/>
    <w:rsid w:val="49B75751"/>
    <w:rsid w:val="49F4270C"/>
    <w:rsid w:val="4ABC2D1C"/>
    <w:rsid w:val="4D596648"/>
    <w:rsid w:val="4E1B538C"/>
    <w:rsid w:val="4ED339DC"/>
    <w:rsid w:val="503F5909"/>
    <w:rsid w:val="54C66BBC"/>
    <w:rsid w:val="550245BC"/>
    <w:rsid w:val="55827EC7"/>
    <w:rsid w:val="55ED74DB"/>
    <w:rsid w:val="5666266F"/>
    <w:rsid w:val="573033B0"/>
    <w:rsid w:val="58FB256A"/>
    <w:rsid w:val="59406BE9"/>
    <w:rsid w:val="59513C7A"/>
    <w:rsid w:val="5AD93984"/>
    <w:rsid w:val="5B321EC5"/>
    <w:rsid w:val="5C567F7D"/>
    <w:rsid w:val="5CBA3DE7"/>
    <w:rsid w:val="5CD804C9"/>
    <w:rsid w:val="5D0B4EA2"/>
    <w:rsid w:val="5E8844F5"/>
    <w:rsid w:val="5F3C6CA2"/>
    <w:rsid w:val="5F8702A5"/>
    <w:rsid w:val="5FB546DE"/>
    <w:rsid w:val="60131971"/>
    <w:rsid w:val="60930123"/>
    <w:rsid w:val="60AB53EB"/>
    <w:rsid w:val="62EB4D37"/>
    <w:rsid w:val="633F5C0A"/>
    <w:rsid w:val="63945FEF"/>
    <w:rsid w:val="63EF186F"/>
    <w:rsid w:val="650C686A"/>
    <w:rsid w:val="659A03F2"/>
    <w:rsid w:val="68433C23"/>
    <w:rsid w:val="685B367D"/>
    <w:rsid w:val="68C60A7B"/>
    <w:rsid w:val="6A03009C"/>
    <w:rsid w:val="6A065645"/>
    <w:rsid w:val="6B30634B"/>
    <w:rsid w:val="6B503E8C"/>
    <w:rsid w:val="6B7F3207"/>
    <w:rsid w:val="6CA01120"/>
    <w:rsid w:val="6CE048D8"/>
    <w:rsid w:val="6DB0720D"/>
    <w:rsid w:val="6E1049A8"/>
    <w:rsid w:val="703610F8"/>
    <w:rsid w:val="70E90B42"/>
    <w:rsid w:val="722D6514"/>
    <w:rsid w:val="726E08EB"/>
    <w:rsid w:val="72762675"/>
    <w:rsid w:val="74252A63"/>
    <w:rsid w:val="747F200B"/>
    <w:rsid w:val="75282356"/>
    <w:rsid w:val="77105321"/>
    <w:rsid w:val="77754827"/>
    <w:rsid w:val="77E66FB2"/>
    <w:rsid w:val="78236109"/>
    <w:rsid w:val="78337C9C"/>
    <w:rsid w:val="78CF7BEC"/>
    <w:rsid w:val="7A375624"/>
    <w:rsid w:val="7B2B468F"/>
    <w:rsid w:val="7CFC2C17"/>
    <w:rsid w:val="7DB146BC"/>
    <w:rsid w:val="BEDB245D"/>
    <w:rsid w:val="EFB35B3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bidi="bo-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6"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7"/>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1"/>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next w:val="2"/>
    <w:qFormat/>
    <w:uiPriority w:val="6"/>
    <w:pPr>
      <w:ind w:firstLine="567"/>
      <w:jc w:val="both"/>
    </w:pPr>
    <w:rPr>
      <w:kern w:val="1"/>
      <w:sz w:val="28"/>
    </w:rPr>
  </w:style>
  <w:style w:type="paragraph" w:styleId="7">
    <w:name w:val="Body Text"/>
    <w:basedOn w:val="1"/>
    <w:link w:val="24"/>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0"/>
    <w:unhideWhenUsed/>
    <w:qFormat/>
    <w:uiPriority w:val="99"/>
    <w:rPr>
      <w:sz w:val="18"/>
      <w:szCs w:val="18"/>
    </w:rPr>
  </w:style>
  <w:style w:type="paragraph" w:styleId="10">
    <w:name w:val="footer"/>
    <w:basedOn w:val="1"/>
    <w:link w:val="22"/>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0"/>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rPr>
  </w:style>
  <w:style w:type="character" w:customStyle="1" w:styleId="19">
    <w:name w:val="Header Char"/>
    <w:basedOn w:val="16"/>
    <w:semiHidden/>
    <w:qFormat/>
    <w:uiPriority w:val="99"/>
    <w:rPr>
      <w:rFonts w:ascii="Times New Roman" w:hAnsi="Times New Roman"/>
      <w:sz w:val="18"/>
      <w:szCs w:val="18"/>
    </w:rPr>
  </w:style>
  <w:style w:type="character" w:customStyle="1" w:styleId="20">
    <w:name w:val="页眉 Char"/>
    <w:link w:val="11"/>
    <w:semiHidden/>
    <w:qFormat/>
    <w:locked/>
    <w:uiPriority w:val="99"/>
    <w:rPr>
      <w:sz w:val="18"/>
    </w:rPr>
  </w:style>
  <w:style w:type="character" w:customStyle="1" w:styleId="21">
    <w:name w:val="Footer Char"/>
    <w:basedOn w:val="16"/>
    <w:semiHidden/>
    <w:qFormat/>
    <w:uiPriority w:val="99"/>
    <w:rPr>
      <w:rFonts w:ascii="Times New Roman" w:hAnsi="Times New Roman"/>
      <w:sz w:val="18"/>
      <w:szCs w:val="18"/>
    </w:rPr>
  </w:style>
  <w:style w:type="character" w:customStyle="1" w:styleId="22">
    <w:name w:val="页脚 Char"/>
    <w:link w:val="10"/>
    <w:qFormat/>
    <w:locked/>
    <w:uiPriority w:val="99"/>
    <w:rPr>
      <w:sz w:val="18"/>
    </w:rPr>
  </w:style>
  <w:style w:type="character" w:customStyle="1" w:styleId="23">
    <w:name w:val="Body Text Char"/>
    <w:basedOn w:val="16"/>
    <w:semiHidden/>
    <w:qFormat/>
    <w:uiPriority w:val="99"/>
    <w:rPr>
      <w:rFonts w:ascii="Times New Roman" w:hAnsi="Times New Roman"/>
      <w:szCs w:val="24"/>
    </w:rPr>
  </w:style>
  <w:style w:type="character" w:customStyle="1" w:styleId="24">
    <w:name w:val="正文文本 Char"/>
    <w:link w:val="7"/>
    <w:qFormat/>
    <w:locked/>
    <w:uiPriority w:val="99"/>
    <w:rPr>
      <w:rFonts w:ascii="仿宋_GB2312" w:hAnsi="Times New Roman" w:eastAsia="仿宋_GB2312"/>
      <w:sz w:val="24"/>
    </w:rPr>
  </w:style>
  <w:style w:type="paragraph" w:customStyle="1" w:styleId="25">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6">
    <w:name w:val="List Paragraph"/>
    <w:basedOn w:val="1"/>
    <w:qFormat/>
    <w:uiPriority w:val="34"/>
    <w:pPr>
      <w:ind w:firstLine="420" w:firstLineChars="200"/>
    </w:pPr>
  </w:style>
  <w:style w:type="character" w:customStyle="1" w:styleId="27">
    <w:name w:val="标题 1 Char"/>
    <w:basedOn w:val="16"/>
    <w:link w:val="4"/>
    <w:qFormat/>
    <w:uiPriority w:val="9"/>
    <w:rPr>
      <w:rFonts w:ascii="Times New Roman" w:hAnsi="Times New Roman"/>
      <w:b/>
      <w:bCs/>
      <w:kern w:val="44"/>
      <w:sz w:val="44"/>
      <w:szCs w:val="44"/>
    </w:rPr>
  </w:style>
  <w:style w:type="character" w:customStyle="1" w:styleId="28">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2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0">
    <w:name w:val="批注框文本 Char"/>
    <w:basedOn w:val="16"/>
    <w:link w:val="9"/>
    <w:semiHidden/>
    <w:qFormat/>
    <w:uiPriority w:val="99"/>
    <w:rPr>
      <w:rFonts w:ascii="Times New Roman" w:hAnsi="Times New Roman"/>
      <w:kern w:val="2"/>
      <w:sz w:val="18"/>
      <w:szCs w:val="18"/>
    </w:rPr>
  </w:style>
  <w:style w:type="character" w:customStyle="1" w:styleId="31">
    <w:name w:val="标题 3 Char"/>
    <w:basedOn w:val="16"/>
    <w:link w:val="6"/>
    <w:qFormat/>
    <w:uiPriority w:val="9"/>
    <w:rPr>
      <w:rFonts w:ascii="Times New Roman" w:hAnsi="Times New Roman"/>
      <w:b/>
      <w:bCs/>
      <w:kern w:val="2"/>
      <w:sz w:val="32"/>
      <w:szCs w:val="32"/>
    </w:rPr>
  </w:style>
  <w:style w:type="paragraph" w:customStyle="1" w:styleId="32">
    <w:name w:val="四号正文"/>
    <w:basedOn w:val="1"/>
    <w:qFormat/>
    <w:uiPriority w:val="0"/>
    <w:pPr>
      <w:spacing w:line="360" w:lineRule="auto"/>
    </w:pPr>
    <w:rPr>
      <w:rFonts w:ascii="??" w:hAnsi="??" w:cs="Arial Unicode MS"/>
      <w:color w:val="000000"/>
      <w:kern w:val="0"/>
      <w:sz w:val="28"/>
      <w:szCs w:val="21"/>
      <w:lang w:bidi="bo-CN"/>
    </w:rPr>
  </w:style>
  <w:style w:type="character" w:customStyle="1" w:styleId="33">
    <w:name w:val="标题 2 字符"/>
    <w:basedOn w:val="16"/>
    <w:link w:val="5"/>
    <w:qFormat/>
    <w:uiPriority w:val="9"/>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2017</a:t>
            </a:r>
            <a:r>
              <a:rPr altLang="zh-CN"/>
              <a:t>年、</a:t>
            </a:r>
            <a:r>
              <a:rPr lang="en-US" altLang="zh-CN"/>
              <a:t>2018</a:t>
            </a:r>
            <a:r>
              <a:rPr altLang="en-US"/>
              <a:t>年收支对比</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2018年</c:v>
                </c:pt>
                <c:pt idx="1">
                  <c:v>2019年</c:v>
                </c:pt>
              </c:strCache>
            </c:strRef>
          </c:cat>
          <c:val>
            <c:numRef>
              <c:f>Sheet1!$B$2:$B$3</c:f>
              <c:numCache>
                <c:formatCode>#,##0.00</c:formatCode>
                <c:ptCount val="2"/>
                <c:pt idx="0">
                  <c:v>5649.44</c:v>
                </c:pt>
                <c:pt idx="1" c:formatCode="General">
                  <c:v>1360.16</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2018年</c:v>
                </c:pt>
                <c:pt idx="1">
                  <c:v>2019年</c:v>
                </c:pt>
              </c:strCache>
            </c:strRef>
          </c:cat>
          <c:val>
            <c:numRef>
              <c:f>Sheet1!$C$2:$C$3</c:f>
              <c:numCache>
                <c:formatCode>#,##0.00</c:formatCode>
                <c:ptCount val="2"/>
                <c:pt idx="0">
                  <c:v>5040.34</c:v>
                </c:pt>
                <c:pt idx="1" c:formatCode="General">
                  <c:v>3596.56</c:v>
                </c:pt>
              </c:numCache>
            </c:numRef>
          </c:val>
        </c:ser>
        <c:dLbls>
          <c:showLegendKey val="0"/>
          <c:showVal val="0"/>
          <c:showCatName val="0"/>
          <c:showSerName val="0"/>
          <c:showPercent val="0"/>
          <c:showBubbleSize val="0"/>
        </c:dLbls>
        <c:gapWidth val="219"/>
        <c:overlap val="-27"/>
        <c:axId val="80374744"/>
        <c:axId val="527456363"/>
      </c:barChart>
      <c:catAx>
        <c:axId val="8037474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27456363"/>
        <c:crosses val="autoZero"/>
        <c:auto val="1"/>
        <c:lblAlgn val="ctr"/>
        <c:lblOffset val="100"/>
        <c:noMultiLvlLbl val="0"/>
      </c:catAx>
      <c:valAx>
        <c:axId val="52745636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7474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dk1">
                    <a:lumMod val="75000"/>
                    <a:lumOff val="25000"/>
                  </a:schemeClr>
                </a:solidFill>
                <a:latin typeface="+mn-lt"/>
                <a:ea typeface="+mn-ea"/>
                <a:cs typeface="+mn-cs"/>
              </a:defRPr>
            </a:pPr>
            <a:r>
              <a:t>收入决算</a:t>
            </a:r>
          </a:p>
        </c:rich>
      </c:tx>
      <c:layout>
        <c:manualLayout>
          <c:xMode val="edge"/>
          <c:yMode val="edge"/>
          <c:x val="0.333564493758669"/>
          <c:y val="0.00718046912398277"/>
        </c:manualLayout>
      </c:layout>
      <c:overlay val="0"/>
      <c:spPr>
        <a:noFill/>
        <a:ln>
          <a:noFill/>
        </a:ln>
        <a:effectLst/>
      </c:spPr>
    </c:title>
    <c:autoTitleDeleted val="0"/>
    <c:plotArea>
      <c:layout/>
      <c:pieChart>
        <c:varyColors val="1"/>
        <c:ser>
          <c:idx val="0"/>
          <c:order val="0"/>
          <c:tx>
            <c:strRef>
              <c:f>Sheet1!$B$1</c:f>
              <c:strCache>
                <c:ptCount val="1"/>
                <c:pt idx="0">
                  <c:v>收入</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Sheet1!$A$2:$A$3</c:f>
              <c:strCache>
                <c:ptCount val="2"/>
                <c:pt idx="0">
                  <c:v>一般公共预算财政拨款收入73.37%</c:v>
                </c:pt>
                <c:pt idx="1">
                  <c:v>其他收入0.04%</c:v>
                </c:pt>
              </c:strCache>
            </c:strRef>
          </c:cat>
          <c:val>
            <c:numRef>
              <c:f>Sheet1!$B$2:$B$3</c:f>
              <c:numCache>
                <c:formatCode>General</c:formatCode>
                <c:ptCount val="2"/>
                <c:pt idx="0">
                  <c:v>100</c:v>
                </c:pt>
                <c:pt idx="1">
                  <c:v>0</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dk1">
                    <a:lumMod val="75000"/>
                    <a:lumOff val="2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tx>
            <c:strRef>
              <c:f>Sheet1!$B$1</c:f>
              <c:strCache>
                <c:ptCount val="1"/>
                <c:pt idx="0">
                  <c:v>支出</c:v>
                </c:pt>
              </c:strCache>
            </c:strRef>
          </c:tx>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Sheet1!$A$2:$A$3</c:f>
              <c:strCache>
                <c:ptCount val="2"/>
                <c:pt idx="0">
                  <c:v>基本支出8.65%</c:v>
                </c:pt>
                <c:pt idx="1">
                  <c:v>项目支出91.35%</c:v>
                </c:pt>
              </c:strCache>
            </c:strRef>
          </c:cat>
          <c:val>
            <c:numRef>
              <c:f>Sheet1!$B$2:$B$3</c:f>
              <c:numCache>
                <c:formatCode>General</c:formatCode>
                <c:ptCount val="2"/>
                <c:pt idx="0">
                  <c:v>311.01</c:v>
                </c:pt>
                <c:pt idx="1">
                  <c:v>3285.55</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4496"/>
          <c:y val="0.56452691407556"/>
        </c:manualLayout>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财政拨款收、支对比</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财政拨款收入</c:v>
                </c:pt>
              </c:strCache>
            </c:strRef>
          </c:tx>
          <c:spPr>
            <a:solidFill>
              <a:schemeClr val="accent1"/>
            </a:solidFill>
            <a:ln>
              <a:noFill/>
            </a:ln>
            <a:effectLst/>
          </c:spPr>
          <c:invertIfNegative val="0"/>
          <c:dLbls>
            <c:delete val="1"/>
          </c:dLbls>
          <c:cat>
            <c:strRef>
              <c:f>Sheet1!$A$2:$A$3</c:f>
              <c:strCache>
                <c:ptCount val="2"/>
                <c:pt idx="0">
                  <c:v>2019年</c:v>
                </c:pt>
                <c:pt idx="1">
                  <c:v>2018年</c:v>
                </c:pt>
              </c:strCache>
            </c:strRef>
          </c:cat>
          <c:val>
            <c:numRef>
              <c:f>Sheet1!$B$2:$B$3</c:f>
              <c:numCache>
                <c:formatCode>General</c:formatCode>
                <c:ptCount val="2"/>
                <c:pt idx="0">
                  <c:v>1360.16</c:v>
                </c:pt>
                <c:pt idx="1" c:formatCode="#,##0.00">
                  <c:v>5646.72</c:v>
                </c:pt>
              </c:numCache>
            </c:numRef>
          </c:val>
        </c:ser>
        <c:ser>
          <c:idx val="1"/>
          <c:order val="1"/>
          <c:tx>
            <c:strRef>
              <c:f>Sheet1!$C$1</c:f>
              <c:strCache>
                <c:ptCount val="1"/>
                <c:pt idx="0">
                  <c:v>财政拨款支出</c:v>
                </c:pt>
              </c:strCache>
            </c:strRef>
          </c:tx>
          <c:spPr>
            <a:solidFill>
              <a:schemeClr val="accent2"/>
            </a:solidFill>
            <a:ln>
              <a:noFill/>
            </a:ln>
            <a:effectLst/>
          </c:spPr>
          <c:invertIfNegative val="0"/>
          <c:dLbls>
            <c:delete val="1"/>
          </c:dLbls>
          <c:cat>
            <c:strRef>
              <c:f>Sheet1!$A$2:$A$3</c:f>
              <c:strCache>
                <c:ptCount val="2"/>
                <c:pt idx="0">
                  <c:v>2019年</c:v>
                </c:pt>
                <c:pt idx="1">
                  <c:v>2018年</c:v>
                </c:pt>
              </c:strCache>
            </c:strRef>
          </c:cat>
          <c:val>
            <c:numRef>
              <c:f>Sheet1!$C$2:$C$3</c:f>
              <c:numCache>
                <c:formatCode>General</c:formatCode>
                <c:ptCount val="2"/>
                <c:pt idx="0">
                  <c:v>3596.16</c:v>
                </c:pt>
                <c:pt idx="1" c:formatCode="#,##0.00">
                  <c:v>5040.33</c:v>
                </c:pt>
              </c:numCache>
            </c:numRef>
          </c:val>
        </c:ser>
        <c:dLbls>
          <c:showLegendKey val="0"/>
          <c:showVal val="0"/>
          <c:showCatName val="0"/>
          <c:showSerName val="0"/>
          <c:showPercent val="0"/>
          <c:showBubbleSize val="0"/>
        </c:dLbls>
        <c:gapWidth val="219"/>
        <c:overlap val="-27"/>
        <c:axId val="934189237"/>
        <c:axId val="11706235"/>
      </c:barChart>
      <c:catAx>
        <c:axId val="93418923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1706235"/>
        <c:crosses val="autoZero"/>
        <c:auto val="1"/>
        <c:lblAlgn val="ctr"/>
        <c:lblOffset val="100"/>
        <c:noMultiLvlLbl val="0"/>
      </c:catAx>
      <c:valAx>
        <c:axId val="117062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418923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一般公共预算财政拨款支出</a:t>
            </a:r>
          </a:p>
        </c:rich>
      </c:tx>
      <c:layout/>
      <c:overlay val="0"/>
    </c:title>
    <c:autoTitleDeleted val="0"/>
    <c:plotArea>
      <c:layout/>
      <c:barChart>
        <c:barDir val="col"/>
        <c:grouping val="clustered"/>
        <c:varyColors val="0"/>
        <c:ser>
          <c:idx val="0"/>
          <c:order val="0"/>
          <c:tx>
            <c:strRef>
              <c:f>Sheet1!$B$1</c:f>
              <c:strCache>
                <c:ptCount val="1"/>
                <c:pt idx="0">
                  <c:v>支出</c:v>
                </c:pt>
              </c:strCache>
            </c:strRef>
          </c:tx>
          <c:invertIfNegative val="0"/>
          <c:dLbls>
            <c:delete val="1"/>
          </c:dLbls>
          <c:cat>
            <c:strRef>
              <c:f>Sheet1!$A$2:$A$3</c:f>
              <c:strCache>
                <c:ptCount val="2"/>
                <c:pt idx="0">
                  <c:v>2018年一般公共预算财政拨款5,040.36</c:v>
                </c:pt>
                <c:pt idx="1">
                  <c:v>2019年一般公共预算财政拨款3596.56</c:v>
                </c:pt>
              </c:strCache>
            </c:strRef>
          </c:cat>
          <c:val>
            <c:numRef>
              <c:f>Sheet1!$B$2:$B$3</c:f>
              <c:numCache>
                <c:formatCode>#,##0.00</c:formatCode>
                <c:ptCount val="2"/>
                <c:pt idx="0">
                  <c:v>5040.36</c:v>
                </c:pt>
                <c:pt idx="1" c:formatCode="General">
                  <c:v>3596.56</c:v>
                </c:pt>
              </c:numCache>
            </c:numRef>
          </c:val>
        </c:ser>
        <c:dLbls>
          <c:showLegendKey val="0"/>
          <c:showVal val="0"/>
          <c:showCatName val="0"/>
          <c:showSerName val="0"/>
          <c:showPercent val="0"/>
          <c:showBubbleSize val="0"/>
        </c:dLbls>
        <c:gapWidth val="150"/>
        <c:axId val="165468032"/>
        <c:axId val="165469568"/>
      </c:barChart>
      <c:catAx>
        <c:axId val="165468032"/>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65469568"/>
        <c:crosses val="autoZero"/>
        <c:auto val="1"/>
        <c:lblAlgn val="ctr"/>
        <c:lblOffset val="100"/>
        <c:noMultiLvlLbl val="0"/>
      </c:catAx>
      <c:valAx>
        <c:axId val="165469568"/>
        <c:scaling>
          <c:orientation val="minMax"/>
        </c:scaling>
        <c:delete val="0"/>
        <c:axPos val="l"/>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65468032"/>
        <c:crosses val="autoZero"/>
        <c:crossBetween val="between"/>
      </c:valAx>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600" b="1" i="0" u="none" strike="noStrike" kern="1200" baseline="0">
              <a:solidFill>
                <a:schemeClr val="tx2"/>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c:v>
                </c:pt>
              </c:strCache>
            </c:strRef>
          </c:tx>
          <c:spPr/>
          <c:explosion val="0"/>
          <c:dPt>
            <c:idx val="0"/>
            <c:bubble3D val="0"/>
            <c:spPr>
              <a:gradFill rotWithShape="1">
                <a:gsLst>
                  <a:gs pos="0">
                    <a:schemeClr val="accent1">
                      <a:shade val="76667"/>
                      <a:shade val="51000"/>
                      <a:satMod val="130000"/>
                    </a:schemeClr>
                  </a:gs>
                  <a:gs pos="80000">
                    <a:schemeClr val="accent1">
                      <a:shade val="76667"/>
                      <a:shade val="93000"/>
                      <a:satMod val="130000"/>
                    </a:schemeClr>
                  </a:gs>
                  <a:gs pos="100000">
                    <a:schemeClr val="accent1">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1"/>
            <c:bubble3D val="0"/>
            <c:spPr>
              <a:gradFill rotWithShape="1">
                <a:gsLst>
                  <a:gs pos="0">
                    <a:schemeClr val="accent2">
                      <a:shade val="76667"/>
                      <a:shade val="51000"/>
                      <a:satMod val="130000"/>
                    </a:schemeClr>
                  </a:gs>
                  <a:gs pos="80000">
                    <a:schemeClr val="accent2">
                      <a:shade val="76667"/>
                      <a:shade val="93000"/>
                      <a:satMod val="130000"/>
                    </a:schemeClr>
                  </a:gs>
                  <a:gs pos="100000">
                    <a:schemeClr val="accent2">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2"/>
            <c:bubble3D val="0"/>
            <c:spPr>
              <a:gradFill rotWithShape="1">
                <a:gsLst>
                  <a:gs pos="0">
                    <a:schemeClr val="accent3">
                      <a:shade val="76667"/>
                      <a:shade val="51000"/>
                      <a:satMod val="130000"/>
                    </a:schemeClr>
                  </a:gs>
                  <a:gs pos="80000">
                    <a:schemeClr val="accent3">
                      <a:shade val="76667"/>
                      <a:shade val="93000"/>
                      <a:satMod val="130000"/>
                    </a:schemeClr>
                  </a:gs>
                  <a:gs pos="100000">
                    <a:schemeClr val="accent3">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3"/>
            <c:bubble3D val="0"/>
            <c:spPr>
              <a:gradFill rotWithShape="1">
                <a:gsLst>
                  <a:gs pos="0">
                    <a:schemeClr val="accent4">
                      <a:shade val="76667"/>
                      <a:shade val="51000"/>
                      <a:satMod val="130000"/>
                    </a:schemeClr>
                  </a:gs>
                  <a:gs pos="80000">
                    <a:schemeClr val="accent4">
                      <a:shade val="76667"/>
                      <a:shade val="93000"/>
                      <a:satMod val="130000"/>
                    </a:schemeClr>
                  </a:gs>
                  <a:gs pos="100000">
                    <a:schemeClr val="accent4">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4"/>
            <c:bubble3D val="0"/>
            <c:spPr>
              <a:gradFill rotWithShape="1">
                <a:gsLst>
                  <a:gs pos="0">
                    <a:schemeClr val="accent5">
                      <a:shade val="76667"/>
                      <a:shade val="51000"/>
                      <a:satMod val="130000"/>
                    </a:schemeClr>
                  </a:gs>
                  <a:gs pos="80000">
                    <a:schemeClr val="accent5">
                      <a:shade val="76667"/>
                      <a:shade val="93000"/>
                      <a:satMod val="130000"/>
                    </a:schemeClr>
                  </a:gs>
                  <a:gs pos="100000">
                    <a:schemeClr val="accent5">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5"/>
            <c:bubble3D val="0"/>
            <c:spPr>
              <a:gradFill rotWithShape="1">
                <a:gsLst>
                  <a:gs pos="0">
                    <a:schemeClr val="accent6">
                      <a:shade val="76667"/>
                      <a:shade val="51000"/>
                      <a:satMod val="130000"/>
                    </a:schemeClr>
                  </a:gs>
                  <a:gs pos="80000">
                    <a:schemeClr val="accent6">
                      <a:shade val="76667"/>
                      <a:shade val="93000"/>
                      <a:satMod val="130000"/>
                    </a:schemeClr>
                  </a:gs>
                  <a:gs pos="100000">
                    <a:schemeClr val="accent6">
                      <a:shade val="76667"/>
                      <a:shade val="94000"/>
                      <a:satMod val="135000"/>
                    </a:schemeClr>
                  </a:gs>
                </a:gsLst>
                <a:lin ang="16200000" scaled="0"/>
              </a:gradFill>
              <a:ln>
                <a:noFill/>
              </a:ln>
              <a:effectLst>
                <a:outerShdw blurRad="40000" dist="23000" dir="5400000" rotWithShape="0">
                  <a:srgbClr val="000000">
                    <a:alpha val="35000"/>
                  </a:srgbClr>
                </a:outerShdw>
              </a:effectLst>
            </c:spPr>
          </c:dPt>
          <c:dPt>
            <c:idx val="6"/>
            <c:bubble3D val="0"/>
            <c:spPr>
              <a:gradFill rotWithShape="1">
                <a:gsLst>
                  <a:gs pos="0">
                    <a:schemeClr val="accent1">
                      <a:tint val="76667"/>
                      <a:shade val="51000"/>
                      <a:satMod val="130000"/>
                    </a:schemeClr>
                  </a:gs>
                  <a:gs pos="80000">
                    <a:schemeClr val="accent1">
                      <a:tint val="76667"/>
                      <a:shade val="93000"/>
                      <a:satMod val="130000"/>
                    </a:schemeClr>
                  </a:gs>
                  <a:gs pos="100000">
                    <a:schemeClr val="accent1">
                      <a:tint val="76667"/>
                      <a:shade val="94000"/>
                      <a:satMod val="135000"/>
                    </a:schemeClr>
                  </a:gs>
                </a:gsLst>
                <a:lin ang="16200000" scaled="0"/>
              </a:gradFill>
              <a:ln>
                <a:noFill/>
              </a:ln>
              <a:effectLst>
                <a:outerShdw blurRad="40000" dist="23000" dir="5400000" rotWithShape="0">
                  <a:srgbClr val="000000">
                    <a:alpha val="35000"/>
                  </a:srgbClr>
                </a:outerShdw>
              </a:effectLst>
            </c:spPr>
          </c:dPt>
          <c:dLbls>
            <c:delete val="1"/>
          </c:dLbls>
          <c:cat>
            <c:strRef>
              <c:f>Sheet1!$A$2:$A$8</c:f>
              <c:strCache>
                <c:ptCount val="7"/>
                <c:pt idx="0">
                  <c:v>社会保障和就业支出</c:v>
                </c:pt>
                <c:pt idx="1">
                  <c:v>医疗卫生与计划生育支出</c:v>
                </c:pt>
                <c:pt idx="2">
                  <c:v>节能环保支出</c:v>
                </c:pt>
                <c:pt idx="3">
                  <c:v>农林水支出</c:v>
                </c:pt>
                <c:pt idx="4">
                  <c:v>交通运输支出</c:v>
                </c:pt>
                <c:pt idx="5">
                  <c:v>住房保障支出</c:v>
                </c:pt>
                <c:pt idx="6">
                  <c:v>其他</c:v>
                </c:pt>
              </c:strCache>
            </c:strRef>
          </c:cat>
          <c:val>
            <c:numRef>
              <c:f>Sheet1!$B$2:$B$8</c:f>
              <c:numCache>
                <c:formatCode>General</c:formatCode>
                <c:ptCount val="7"/>
                <c:pt idx="0">
                  <c:v>38.14</c:v>
                </c:pt>
                <c:pt idx="1">
                  <c:v>16.81</c:v>
                </c:pt>
                <c:pt idx="2">
                  <c:v>2.68</c:v>
                </c:pt>
                <c:pt idx="3">
                  <c:v>1708.25</c:v>
                </c:pt>
                <c:pt idx="4">
                  <c:v>1781.18</c:v>
                </c:pt>
                <c:pt idx="5">
                  <c:v>21.59</c:v>
                </c:pt>
                <c:pt idx="6">
                  <c:v>27.91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elete val="1"/>
          </c:dLbls>
          <c:cat>
            <c:strRef>
              <c:f>Sheet1!$A$2:$A$4</c:f>
              <c:strCache>
                <c:ptCount val="3"/>
                <c:pt idx="0">
                  <c:v>因公出国（境）0%</c:v>
                </c:pt>
                <c:pt idx="1">
                  <c:v>公务用车购置及运行费100%</c:v>
                </c:pt>
                <c:pt idx="2">
                  <c:v>公务接待费0%</c:v>
                </c:pt>
              </c:strCache>
            </c:strRef>
          </c:cat>
          <c:val>
            <c:numRef>
              <c:f>Sheet1!$B$2:$B$4</c:f>
              <c:numCache>
                <c:formatCode>General</c:formatCode>
                <c:ptCount val="3"/>
                <c:pt idx="0">
                  <c:v>0</c:v>
                </c:pt>
                <c:pt idx="1">
                  <c:v>4.6</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四川省财政厅</Company>
  <Pages>34</Pages>
  <Words>2392</Words>
  <Characters>13641</Characters>
  <Lines>113</Lines>
  <Paragraphs>32</Paragraphs>
  <TotalTime>4</TotalTime>
  <ScaleCrop>false</ScaleCrop>
  <LinksUpToDate>false</LinksUpToDate>
  <CharactersWithSpaces>16001</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2019-08-26T20:06:00Z</dcterms:created>
  <dc:creator>张彬茜</dc:creator>
  <cp:lastModifiedBy>ruijie</cp:lastModifiedBy>
  <cp:lastPrinted>2019-08-28T19:29:00Z</cp:lastPrinted>
  <dcterms:modified xsi:type="dcterms:W3CDTF">2023-07-21T11:18:55Z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F766249D63B672B8D7F8B9643C077D97</vt:lpwstr>
  </property>
</Properties>
</file>