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96475"/>
      <w:bookmarkStart w:id="4" w:name="_Toc15396597"/>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476"/>
      <w:bookmarkStart w:id="8" w:name="_Toc15378442"/>
      <w:bookmarkStart w:id="9" w:name="_Toc15396598"/>
      <w:bookmarkStart w:id="10" w:name="_Toc15377194"/>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rPr>
        <w:t>红原县公路运输管理所部门决算</w:t>
      </w:r>
      <w:bookmarkEnd w:id="6"/>
      <w:bookmarkEnd w:id="7"/>
      <w:bookmarkEnd w:id="8"/>
      <w:bookmarkEnd w:id="9"/>
      <w:bookmarkEnd w:id="10"/>
      <w:bookmarkEnd w:id="11"/>
    </w:p>
    <w:p>
      <w:pPr>
        <w:widowControl/>
        <w:jc w:val="center"/>
        <w:rPr>
          <w:rFonts w:hint="eastAsia" w:ascii="方正小标宋简体" w:hAnsi="宋体" w:eastAsia="方正小标宋简体"/>
          <w:color w:val="000000"/>
          <w:sz w:val="36"/>
          <w:szCs w:val="36"/>
          <w:lang w:val="en-US" w:eastAsia="zh-CN"/>
        </w:rPr>
      </w:pPr>
    </w:p>
    <w:p>
      <w:pPr>
        <w:widowControl/>
        <w:jc w:val="center"/>
        <w:rPr>
          <w:rFonts w:hint="eastAsia" w:ascii="方正小标宋简体" w:hAnsi="宋体" w:eastAsia="方正小标宋简体"/>
          <w:color w:val="000000"/>
          <w:sz w:val="36"/>
          <w:szCs w:val="36"/>
          <w:lang w:val="en-US" w:eastAsia="zh-CN"/>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sdt>
      <w:sdtPr>
        <w:rPr>
          <w:rFonts w:ascii="宋体" w:hAnsi="宋体" w:eastAsia="宋体" w:cs="Times New Roman"/>
          <w:kern w:val="2"/>
          <w:sz w:val="21"/>
          <w:szCs w:val="24"/>
          <w:lang w:val="en-US" w:eastAsia="zh-CN" w:bidi="ar-SA"/>
        </w:rPr>
        <w:id w:val="147461244"/>
        <w15:color w:val="DBDBDB"/>
        <w:docPartObj>
          <w:docPartGallery w:val="Table of Contents"/>
          <w:docPartUnique/>
        </w:docPartObj>
      </w:sdtPr>
      <w:sdtEndPr>
        <w:rPr>
          <w:rFonts w:ascii="Times New Roman" w:hAnsi="Times New Roman" w:eastAsia="宋体" w:cs="Times New Roman"/>
          <w:kern w:val="2"/>
          <w:sz w:val="20"/>
          <w:szCs w:val="20"/>
          <w:lang w:val="en-US" w:eastAsia="zh-CN" w:bidi="ar-SA"/>
        </w:rPr>
      </w:sdtEndPr>
      <w:sdtContent>
        <w:p>
          <w:pPr>
            <w:pStyle w:val="31"/>
            <w:tabs>
              <w:tab w:val="right" w:leader="dot" w:pos="8306"/>
            </w:tabs>
          </w:pPr>
          <w:bookmarkStart w:id="12" w:name="_Toc19239_WPSOffice_Type2"/>
          <w:bookmarkStart w:id="156" w:name="_GoBack"/>
          <w:bookmarkEnd w:id="156"/>
          <w:r>
            <w:rPr>
              <w:b/>
              <w:bCs/>
            </w:rPr>
            <w:fldChar w:fldCharType="begin"/>
          </w:r>
          <w:r>
            <w:instrText xml:space="preserve"> HYPERLINK \l _Toc1596_WPSOffice_Level1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61244"/>
              <w:placeholder>
                <w:docPart w:val="{9beab5fb-5193-48f0-8102-810ddf864df0}"/>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第一部分 部门概况</w:t>
              </w:r>
            </w:sdtContent>
          </w:sdt>
          <w:r>
            <w:rPr>
              <w:b/>
              <w:bCs/>
            </w:rPr>
            <w:tab/>
          </w:r>
          <w:bookmarkStart w:id="13" w:name="_Toc1596_WPSOffice_Level1Page"/>
          <w:r>
            <w:rPr>
              <w:b/>
              <w:bCs/>
            </w:rPr>
            <w:t>1</w:t>
          </w:r>
          <w:bookmarkEnd w:id="13"/>
          <w:r>
            <w:rPr>
              <w:b/>
              <w:bCs/>
            </w:rPr>
            <w:fldChar w:fldCharType="end"/>
          </w:r>
        </w:p>
        <w:p>
          <w:pPr>
            <w:pStyle w:val="32"/>
            <w:tabs>
              <w:tab w:val="right" w:leader="dot" w:pos="8306"/>
            </w:tabs>
          </w:pPr>
          <w:r>
            <w:fldChar w:fldCharType="begin"/>
          </w:r>
          <w:r>
            <w:instrText xml:space="preserve"> HYPERLINK \l _Toc19239_WPSOffice_Level2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09ff6551-f0e2-4b1e-9002-75a51e1b51b7}"/>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heme="majorBidi"/>
                </w:rPr>
                <w:t>一、基本职能及主要工作</w:t>
              </w:r>
            </w:sdtContent>
          </w:sdt>
          <w:r>
            <w:tab/>
          </w:r>
          <w:bookmarkStart w:id="14" w:name="_Toc19239_WPSOffice_Level2Page"/>
          <w:r>
            <w:t>1</w:t>
          </w:r>
          <w:bookmarkEnd w:id="14"/>
          <w:r>
            <w:fldChar w:fldCharType="end"/>
          </w:r>
        </w:p>
        <w:p>
          <w:pPr>
            <w:pStyle w:val="32"/>
            <w:tabs>
              <w:tab w:val="right" w:leader="dot" w:pos="8306"/>
            </w:tabs>
          </w:pPr>
          <w:r>
            <w:fldChar w:fldCharType="begin"/>
          </w:r>
          <w:r>
            <w:instrText xml:space="preserve"> HYPERLINK \l _Toc12128_WPSOffice_Level2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1b30784c-12b3-439f-a3d5-324723ae1baa}"/>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eastAsia="黑体" w:hAnsiTheme="majorHAnsi" w:cstheme="majorBidi"/>
                </w:rPr>
                <w:t>二、</w:t>
              </w:r>
              <w:r>
                <w:rPr>
                  <w:rFonts w:hint="eastAsia" w:ascii="黑体" w:hAnsi="黑体" w:eastAsia="黑体" w:cstheme="majorBidi"/>
                </w:rPr>
                <w:t>机构设置</w:t>
              </w:r>
            </w:sdtContent>
          </w:sdt>
          <w:r>
            <w:tab/>
          </w:r>
          <w:bookmarkStart w:id="15" w:name="_Toc12128_WPSOffice_Level2Page"/>
          <w:r>
            <w:t>7</w:t>
          </w:r>
          <w:bookmarkEnd w:id="15"/>
          <w:r>
            <w:fldChar w:fldCharType="end"/>
          </w:r>
        </w:p>
        <w:p>
          <w:pPr>
            <w:pStyle w:val="31"/>
            <w:tabs>
              <w:tab w:val="right" w:leader="dot" w:pos="8306"/>
            </w:tabs>
          </w:pPr>
          <w:r>
            <w:rPr>
              <w:b/>
              <w:bCs/>
            </w:rPr>
            <w:fldChar w:fldCharType="begin"/>
          </w:r>
          <w:r>
            <w:instrText xml:space="preserve"> HYPERLINK \l _Toc19239_WPSOffice_Level1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61244"/>
              <w:placeholder>
                <w:docPart w:val="{ba4ebf0c-09c3-4c70-a99e-a2a1a31fcf6a}"/>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第二部分 2019年度部门决算情况说明</w:t>
              </w:r>
            </w:sdtContent>
          </w:sdt>
          <w:r>
            <w:rPr>
              <w:b/>
              <w:bCs/>
            </w:rPr>
            <w:tab/>
          </w:r>
          <w:bookmarkStart w:id="16" w:name="_Toc19239_WPSOffice_Level1Page"/>
          <w:r>
            <w:rPr>
              <w:b/>
              <w:bCs/>
            </w:rPr>
            <w:t>7</w:t>
          </w:r>
          <w:bookmarkEnd w:id="16"/>
          <w:r>
            <w:rPr>
              <w:b/>
              <w:bCs/>
            </w:rPr>
            <w:fldChar w:fldCharType="end"/>
          </w:r>
        </w:p>
        <w:p>
          <w:pPr>
            <w:pStyle w:val="32"/>
            <w:tabs>
              <w:tab w:val="right" w:leader="dot" w:pos="8306"/>
            </w:tabs>
          </w:pPr>
          <w:r>
            <w:fldChar w:fldCharType="begin"/>
          </w:r>
          <w:r>
            <w:instrText xml:space="preserve"> HYPERLINK \l _Toc5114_WPSOffice_Level2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aa18a524-03d1-4f1a-be57-a064bafe7633}"/>
              </w:placeholder>
              <w15:color w:val="509DF3"/>
            </w:sdtPr>
            <w:sdtEndPr>
              <w:rPr>
                <w:rFonts w:ascii="Times New Roman" w:hAnsi="Times New Roman" w:eastAsia="宋体" w:cs="Times New Roman"/>
                <w:b/>
                <w:bCs/>
                <w:kern w:val="44"/>
                <w:sz w:val="44"/>
                <w:szCs w:val="44"/>
                <w:lang w:val="en-US" w:eastAsia="zh-CN" w:bidi="ar-SA"/>
              </w:rPr>
            </w:sdtEndPr>
            <w:sdtContent>
              <w:r>
                <w:rPr>
                  <w:rFonts w:hint="default" w:ascii="黑体" w:hAnsi="黑体" w:eastAsia="黑体" w:cstheme="majorBidi"/>
                </w:rPr>
                <w:t xml:space="preserve">一、 </w:t>
              </w:r>
              <w:r>
                <w:rPr>
                  <w:rFonts w:hint="eastAsia" w:ascii="黑体" w:hAnsi="黑体" w:eastAsia="黑体" w:cs="Times New Roman"/>
                </w:rPr>
                <w:t>收</w:t>
              </w:r>
              <w:r>
                <w:rPr>
                  <w:rFonts w:hint="eastAsia" w:ascii="黑体" w:hAnsi="黑体" w:eastAsia="黑体" w:cstheme="majorBidi"/>
                </w:rPr>
                <w:t>入支出决算总体情况说明</w:t>
              </w:r>
            </w:sdtContent>
          </w:sdt>
          <w:r>
            <w:tab/>
          </w:r>
          <w:bookmarkStart w:id="17" w:name="_Toc5114_WPSOffice_Level2Page"/>
          <w:r>
            <w:t>7</w:t>
          </w:r>
          <w:bookmarkEnd w:id="17"/>
          <w:r>
            <w:fldChar w:fldCharType="end"/>
          </w:r>
        </w:p>
        <w:p>
          <w:pPr>
            <w:pStyle w:val="32"/>
            <w:tabs>
              <w:tab w:val="right" w:leader="dot" w:pos="8306"/>
            </w:tabs>
          </w:pPr>
          <w:r>
            <w:fldChar w:fldCharType="begin"/>
          </w:r>
          <w:r>
            <w:instrText xml:space="preserve"> HYPERLINK \l _Toc1615_WPSOffice_Level2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e3ac9a0d-ca6a-4f88-9a81-447f0d41c397}"/>
              </w:placeholder>
              <w15:color w:val="509DF3"/>
            </w:sdtPr>
            <w:sdtEndPr>
              <w:rPr>
                <w:rFonts w:ascii="Times New Roman" w:hAnsi="Times New Roman" w:eastAsia="宋体" w:cs="Times New Roman"/>
                <w:b/>
                <w:bCs/>
                <w:kern w:val="44"/>
                <w:sz w:val="44"/>
                <w:szCs w:val="44"/>
                <w:lang w:val="en-US" w:eastAsia="zh-CN" w:bidi="ar-SA"/>
              </w:rPr>
            </w:sdtEndPr>
            <w:sdtContent>
              <w:r>
                <w:rPr>
                  <w:rFonts w:hint="default" w:ascii="黑体" w:hAnsi="黑体" w:eastAsia="黑体" w:cstheme="majorBidi"/>
                </w:rPr>
                <w:t xml:space="preserve">二、 </w:t>
              </w:r>
              <w:r>
                <w:rPr>
                  <w:rFonts w:hint="eastAsia" w:ascii="黑体" w:hAnsi="黑体" w:eastAsia="黑体" w:cs="Times New Roman"/>
                </w:rPr>
                <w:t>收</w:t>
              </w:r>
              <w:r>
                <w:rPr>
                  <w:rFonts w:hint="eastAsia" w:ascii="黑体" w:hAnsi="黑体" w:eastAsia="黑体" w:cstheme="majorBidi"/>
                </w:rPr>
                <w:t>入决算情况说明</w:t>
              </w:r>
            </w:sdtContent>
          </w:sdt>
          <w:r>
            <w:tab/>
          </w:r>
          <w:bookmarkStart w:id="18" w:name="_Toc1615_WPSOffice_Level2Page"/>
          <w:r>
            <w:t>8</w:t>
          </w:r>
          <w:bookmarkEnd w:id="18"/>
          <w:r>
            <w:fldChar w:fldCharType="end"/>
          </w:r>
        </w:p>
        <w:p>
          <w:pPr>
            <w:pStyle w:val="32"/>
            <w:tabs>
              <w:tab w:val="right" w:leader="dot" w:pos="8306"/>
            </w:tabs>
          </w:pPr>
          <w:r>
            <w:fldChar w:fldCharType="begin"/>
          </w:r>
          <w:r>
            <w:instrText xml:space="preserve"> HYPERLINK \l _Toc4887_WPSOffice_Level2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78c3c947-413f-48b7-ad93-f8026ae67a58}"/>
              </w:placeholder>
              <w15:color w:val="509DF3"/>
            </w:sdtPr>
            <w:sdtEndPr>
              <w:rPr>
                <w:rFonts w:ascii="Times New Roman" w:hAnsi="Times New Roman" w:eastAsia="宋体" w:cs="Times New Roman"/>
                <w:b/>
                <w:bCs/>
                <w:kern w:val="44"/>
                <w:sz w:val="44"/>
                <w:szCs w:val="44"/>
                <w:lang w:val="en-US" w:eastAsia="zh-CN" w:bidi="ar-SA"/>
              </w:rPr>
            </w:sdtEndPr>
            <w:sdtContent>
              <w:r>
                <w:rPr>
                  <w:rFonts w:hint="default" w:ascii="黑体" w:hAnsi="黑体" w:eastAsia="黑体" w:cstheme="majorBidi"/>
                </w:rPr>
                <w:t xml:space="preserve">三、 </w:t>
              </w:r>
              <w:r>
                <w:rPr>
                  <w:rFonts w:hint="eastAsia" w:ascii="黑体" w:hAnsi="黑体" w:eastAsia="黑体" w:cs="Times New Roman"/>
                </w:rPr>
                <w:t>支</w:t>
              </w:r>
              <w:r>
                <w:rPr>
                  <w:rFonts w:hint="eastAsia" w:ascii="黑体" w:hAnsi="黑体" w:eastAsia="黑体" w:cstheme="majorBidi"/>
                </w:rPr>
                <w:t>出决算情况说明</w:t>
              </w:r>
            </w:sdtContent>
          </w:sdt>
          <w:r>
            <w:tab/>
          </w:r>
          <w:bookmarkStart w:id="19" w:name="_Toc4887_WPSOffice_Level2Page"/>
          <w:r>
            <w:t>8</w:t>
          </w:r>
          <w:bookmarkEnd w:id="19"/>
          <w:r>
            <w:fldChar w:fldCharType="end"/>
          </w:r>
        </w:p>
        <w:p>
          <w:pPr>
            <w:pStyle w:val="32"/>
            <w:tabs>
              <w:tab w:val="right" w:leader="dot" w:pos="8306"/>
            </w:tabs>
          </w:pPr>
          <w:r>
            <w:fldChar w:fldCharType="begin"/>
          </w:r>
          <w:r>
            <w:instrText xml:space="preserve"> HYPERLINK \l _Toc13532_WPSOffice_Level2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6e2fb671-165f-4d98-8f88-ccaa4cb7331c}"/>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rPr>
                <w:t>四、财</w:t>
              </w:r>
              <w:r>
                <w:rPr>
                  <w:rFonts w:hint="eastAsia" w:ascii="黑体" w:hAnsi="黑体" w:eastAsia="黑体" w:cstheme="majorBidi"/>
                </w:rPr>
                <w:t>政拨款收入支出决算总体情况说明</w:t>
              </w:r>
            </w:sdtContent>
          </w:sdt>
          <w:r>
            <w:tab/>
          </w:r>
          <w:bookmarkStart w:id="20" w:name="_Toc13532_WPSOffice_Level2Page"/>
          <w:r>
            <w:t>9</w:t>
          </w:r>
          <w:bookmarkEnd w:id="20"/>
          <w:r>
            <w:fldChar w:fldCharType="end"/>
          </w:r>
        </w:p>
        <w:p>
          <w:pPr>
            <w:pStyle w:val="32"/>
            <w:tabs>
              <w:tab w:val="right" w:leader="dot" w:pos="8306"/>
            </w:tabs>
          </w:pPr>
          <w:r>
            <w:fldChar w:fldCharType="begin"/>
          </w:r>
          <w:r>
            <w:instrText xml:space="preserve"> HYPERLINK \l _Toc23780_WPSOffice_Level2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6743c6b6-b7cd-434e-8df9-5b2ce5d70ddd}"/>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rPr>
                <w:t>五、一</w:t>
              </w:r>
              <w:r>
                <w:rPr>
                  <w:rFonts w:hint="eastAsia" w:ascii="黑体" w:hAnsi="黑体" w:eastAsia="黑体" w:cstheme="majorBidi"/>
                </w:rPr>
                <w:t>般公共预算财政拨款支出决算情况说明</w:t>
              </w:r>
            </w:sdtContent>
          </w:sdt>
          <w:r>
            <w:tab/>
          </w:r>
          <w:bookmarkStart w:id="21" w:name="_Toc23780_WPSOffice_Level2Page"/>
          <w:r>
            <w:t>10</w:t>
          </w:r>
          <w:bookmarkEnd w:id="21"/>
          <w:r>
            <w:fldChar w:fldCharType="end"/>
          </w:r>
        </w:p>
        <w:p>
          <w:pPr>
            <w:pStyle w:val="32"/>
            <w:tabs>
              <w:tab w:val="right" w:leader="dot" w:pos="8306"/>
            </w:tabs>
          </w:pPr>
          <w:r>
            <w:fldChar w:fldCharType="begin"/>
          </w:r>
          <w:r>
            <w:instrText xml:space="preserve"> HYPERLINK \l _Toc19383_WPSOffice_Level2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ad8352b3-db4a-4d8a-bd8b-fd8cd091d614}"/>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Times New Roman" w:eastAsia="黑体" w:cs="Times New Roman"/>
                </w:rPr>
                <w:t>六、</w:t>
              </w:r>
              <w:r>
                <w:rPr>
                  <w:rFonts w:hint="eastAsia" w:ascii="黑体" w:hAnsi="黑体" w:eastAsia="黑体" w:cs="Times New Roman"/>
                </w:rPr>
                <w:t>一</w:t>
              </w:r>
              <w:r>
                <w:rPr>
                  <w:rFonts w:hint="eastAsia" w:ascii="黑体" w:hAnsi="黑体" w:eastAsia="黑体" w:cstheme="majorBidi"/>
                </w:rPr>
                <w:t>般公共预算财政拨款基本支出决算情况说明</w:t>
              </w:r>
            </w:sdtContent>
          </w:sdt>
          <w:r>
            <w:tab/>
          </w:r>
          <w:bookmarkStart w:id="22" w:name="_Toc19383_WPSOffice_Level2Page"/>
          <w:r>
            <w:t>12</w:t>
          </w:r>
          <w:bookmarkEnd w:id="22"/>
          <w:r>
            <w:fldChar w:fldCharType="end"/>
          </w:r>
        </w:p>
        <w:p>
          <w:pPr>
            <w:pStyle w:val="32"/>
            <w:tabs>
              <w:tab w:val="right" w:leader="dot" w:pos="8306"/>
            </w:tabs>
          </w:pPr>
          <w:r>
            <w:fldChar w:fldCharType="begin"/>
          </w:r>
          <w:r>
            <w:instrText xml:space="preserve"> HYPERLINK \l _Toc23979_WPSOffice_Level2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9e6470e5-d6b9-4228-8da4-f2851fe0088c}"/>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Times New Roman" w:eastAsia="黑体" w:cs="Times New Roman"/>
                </w:rPr>
                <w:t>七、</w:t>
              </w:r>
              <w:r>
                <w:rPr>
                  <w:rFonts w:hint="eastAsia" w:ascii="黑体" w:hAnsi="黑体" w:eastAsia="黑体" w:cstheme="majorBidi"/>
                </w:rPr>
                <w:t>“三公”经费财政拨款支出决算情况说明</w:t>
              </w:r>
            </w:sdtContent>
          </w:sdt>
          <w:r>
            <w:tab/>
          </w:r>
          <w:bookmarkStart w:id="23" w:name="_Toc23979_WPSOffice_Level2Page"/>
          <w:r>
            <w:t>12</w:t>
          </w:r>
          <w:bookmarkEnd w:id="23"/>
          <w:r>
            <w:fldChar w:fldCharType="end"/>
          </w:r>
        </w:p>
        <w:p>
          <w:pPr>
            <w:pStyle w:val="32"/>
            <w:tabs>
              <w:tab w:val="right" w:leader="dot" w:pos="8306"/>
            </w:tabs>
          </w:pPr>
          <w:r>
            <w:fldChar w:fldCharType="begin"/>
          </w:r>
          <w:r>
            <w:instrText xml:space="preserve"> HYPERLINK \l _Toc4851_WPSOffice_Level2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18e1a6c8-5237-46d0-bbfa-3c72235a119e}"/>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Times New Roman" w:eastAsia="黑体" w:cs="Times New Roman"/>
                </w:rPr>
                <w:t>八、</w:t>
              </w:r>
              <w:r>
                <w:rPr>
                  <w:rFonts w:hint="eastAsia" w:ascii="黑体" w:hAnsi="黑体" w:eastAsia="黑体" w:cstheme="majorBidi"/>
                </w:rPr>
                <w:t>政府性基金预算支出决算情况说明</w:t>
              </w:r>
            </w:sdtContent>
          </w:sdt>
          <w:r>
            <w:tab/>
          </w:r>
          <w:bookmarkStart w:id="24" w:name="_Toc4851_WPSOffice_Level2Page"/>
          <w:r>
            <w:t>13</w:t>
          </w:r>
          <w:bookmarkEnd w:id="24"/>
          <w:r>
            <w:fldChar w:fldCharType="end"/>
          </w:r>
        </w:p>
        <w:p>
          <w:pPr>
            <w:pStyle w:val="32"/>
            <w:tabs>
              <w:tab w:val="right" w:leader="dot" w:pos="8306"/>
            </w:tabs>
          </w:pPr>
          <w:r>
            <w:fldChar w:fldCharType="begin"/>
          </w:r>
          <w:r>
            <w:instrText xml:space="preserve"> HYPERLINK \l _Toc24160_WPSOffice_Level2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f3b8f373-50b2-4473-bd7c-c2ee504f5cd6}"/>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heme="majorBidi"/>
                </w:rPr>
                <w:t>九、 国有资本经营预算支出决算情况说明</w:t>
              </w:r>
            </w:sdtContent>
          </w:sdt>
          <w:r>
            <w:tab/>
          </w:r>
          <w:bookmarkStart w:id="25" w:name="_Toc24160_WPSOffice_Level2Page"/>
          <w:r>
            <w:t>13</w:t>
          </w:r>
          <w:bookmarkEnd w:id="25"/>
          <w:r>
            <w:fldChar w:fldCharType="end"/>
          </w:r>
        </w:p>
        <w:p>
          <w:pPr>
            <w:pStyle w:val="32"/>
            <w:tabs>
              <w:tab w:val="right" w:leader="dot" w:pos="8306"/>
            </w:tabs>
          </w:pPr>
          <w:r>
            <w:fldChar w:fldCharType="begin"/>
          </w:r>
          <w:r>
            <w:instrText xml:space="preserve"> HYPERLINK \l _Toc29752_WPSOffice_Level2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982063d6-1872-46cb-84c4-a4b90f9df9e1}"/>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rPr>
                <w:t>十</w:t>
              </w:r>
              <w:r>
                <w:rPr>
                  <w:rFonts w:hint="eastAsia" w:ascii="黑体" w:hAnsi="黑体" w:eastAsia="黑体" w:cstheme="majorBidi"/>
                </w:rPr>
                <w:t>、其他重要事项的情况说明</w:t>
              </w:r>
            </w:sdtContent>
          </w:sdt>
          <w:r>
            <w:tab/>
          </w:r>
          <w:bookmarkStart w:id="26" w:name="_Toc29752_WPSOffice_Level2Page"/>
          <w:r>
            <w:t>14</w:t>
          </w:r>
          <w:bookmarkEnd w:id="26"/>
          <w:r>
            <w:fldChar w:fldCharType="end"/>
          </w:r>
        </w:p>
        <w:p>
          <w:pPr>
            <w:pStyle w:val="31"/>
            <w:tabs>
              <w:tab w:val="right" w:leader="dot" w:pos="8306"/>
            </w:tabs>
          </w:pPr>
          <w:r>
            <w:rPr>
              <w:b/>
              <w:bCs/>
            </w:rPr>
            <w:fldChar w:fldCharType="begin"/>
          </w:r>
          <w:r>
            <w:instrText xml:space="preserve"> HYPERLINK \l _Toc12128_WPSOffice_Level1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61244"/>
              <w:placeholder>
                <w:docPart w:val="{9d9b2b8e-99ca-4058-b600-ce38ad44d9e9}"/>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第三部分 名词解释</w:t>
              </w:r>
            </w:sdtContent>
          </w:sdt>
          <w:r>
            <w:rPr>
              <w:b/>
              <w:bCs/>
            </w:rPr>
            <w:tab/>
          </w:r>
          <w:bookmarkStart w:id="27" w:name="_Toc12128_WPSOffice_Level1Page"/>
          <w:r>
            <w:rPr>
              <w:b/>
              <w:bCs/>
            </w:rPr>
            <w:t>20</w:t>
          </w:r>
          <w:bookmarkEnd w:id="27"/>
          <w:r>
            <w:rPr>
              <w:b/>
              <w:bCs/>
            </w:rPr>
            <w:fldChar w:fldCharType="end"/>
          </w:r>
        </w:p>
        <w:p>
          <w:pPr>
            <w:pStyle w:val="31"/>
            <w:tabs>
              <w:tab w:val="right" w:leader="dot" w:pos="8306"/>
            </w:tabs>
          </w:pPr>
          <w:r>
            <w:rPr>
              <w:b/>
              <w:bCs/>
            </w:rPr>
            <w:fldChar w:fldCharType="begin"/>
          </w:r>
          <w:r>
            <w:instrText xml:space="preserve"> HYPERLINK \l _Toc5114_WPSOffice_Level1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61244"/>
              <w:placeholder>
                <w:docPart w:val="{2dc9f08e-c3c5-43ed-9e21-b2d044c656be}"/>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第四部分 附件</w:t>
              </w:r>
            </w:sdtContent>
          </w:sdt>
          <w:r>
            <w:rPr>
              <w:b/>
              <w:bCs/>
            </w:rPr>
            <w:tab/>
          </w:r>
          <w:bookmarkStart w:id="28" w:name="_Toc5114_WPSOffice_Level1Page"/>
          <w:r>
            <w:rPr>
              <w:b/>
              <w:bCs/>
            </w:rPr>
            <w:t>23</w:t>
          </w:r>
          <w:bookmarkEnd w:id="28"/>
          <w:r>
            <w:rPr>
              <w:b/>
              <w:bCs/>
            </w:rPr>
            <w:fldChar w:fldCharType="end"/>
          </w:r>
        </w:p>
        <w:p>
          <w:pPr>
            <w:pStyle w:val="32"/>
            <w:tabs>
              <w:tab w:val="right" w:leader="dot" w:pos="8306"/>
            </w:tabs>
          </w:pPr>
          <w:r>
            <w:fldChar w:fldCharType="begin"/>
          </w:r>
          <w:r>
            <w:instrText xml:space="preserve"> HYPERLINK \l _Toc23684_WPSOffice_Level2 </w:instrText>
          </w:r>
          <w:r>
            <w:fldChar w:fldCharType="separate"/>
          </w:r>
          <w:sdt>
            <w:sdtPr>
              <w:rPr>
                <w:rFonts w:ascii="Times New Roman" w:hAnsi="Times New Roman" w:eastAsia="宋体" w:cs="Times New Roman"/>
                <w:b w:val="0"/>
                <w:bCs w:val="0"/>
                <w:kern w:val="44"/>
                <w:sz w:val="44"/>
                <w:szCs w:val="44"/>
                <w:lang w:val="en-US" w:eastAsia="zh-CN" w:bidi="ar-SA"/>
              </w:rPr>
              <w:id w:val="147461244"/>
              <w:placeholder>
                <w:docPart w:val="{e467b6eb-3df5-47c3-a538-f9a779d3a38c}"/>
              </w:placeholder>
              <w15:color w:val="509DF3"/>
            </w:sdtPr>
            <w:sdtEndPr>
              <w:rPr>
                <w:rFonts w:ascii="Times New Roman" w:hAnsi="Times New Roman" w:eastAsia="宋体" w:cs="Times New Roman"/>
                <w:b w:val="0"/>
                <w:bCs w:val="0"/>
                <w:kern w:val="44"/>
                <w:sz w:val="44"/>
                <w:szCs w:val="44"/>
                <w:lang w:val="en-US" w:eastAsia="zh-CN" w:bidi="ar-SA"/>
              </w:rPr>
            </w:sdtEndPr>
            <w:sdtContent>
              <w:r>
                <w:rPr>
                  <w:rFonts w:hint="eastAsia" w:cs="Times New Roman"/>
                  <w:b w:val="0"/>
                  <w:bCs w:val="0"/>
                  <w:kern w:val="44"/>
                  <w:sz w:val="21"/>
                  <w:szCs w:val="21"/>
                  <w:lang w:val="en-US" w:eastAsia="zh-CN" w:bidi="ar-SA"/>
                </w:rPr>
                <w:t>附件1</w:t>
              </w:r>
            </w:sdtContent>
          </w:sdt>
          <w:r>
            <w:tab/>
          </w:r>
          <w:bookmarkStart w:id="29" w:name="_Toc23684_WPSOffice_Level2Page"/>
          <w:r>
            <w:t>23</w:t>
          </w:r>
          <w:bookmarkEnd w:id="29"/>
          <w:r>
            <w:fldChar w:fldCharType="end"/>
          </w:r>
        </w:p>
        <w:p>
          <w:pPr>
            <w:pStyle w:val="32"/>
            <w:tabs>
              <w:tab w:val="right" w:leader="dot" w:pos="8306"/>
            </w:tabs>
          </w:pPr>
          <w:r>
            <w:fldChar w:fldCharType="begin"/>
          </w:r>
          <w:r>
            <w:instrText xml:space="preserve"> HYPERLINK \l _Toc425_WPSOffice_Level2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36ca84a8-62c6-4c1c-98bb-6c8791cf4164}"/>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方正小标宋简体" w:hAnsi="宋体" w:eastAsia="方正小标宋简体" w:cs="Times New Roman"/>
                  <w:lang w:eastAsia="zh-CN"/>
                </w:rPr>
                <w:t>附件</w:t>
              </w:r>
              <w:r>
                <w:rPr>
                  <w:rFonts w:hint="eastAsia" w:ascii="方正小标宋简体" w:hAnsi="宋体" w:eastAsia="方正小标宋简体" w:cs="Times New Roman"/>
                  <w:lang w:val="en-US" w:eastAsia="zh-CN"/>
                </w:rPr>
                <w:t>2</w:t>
              </w:r>
            </w:sdtContent>
          </w:sdt>
          <w:r>
            <w:tab/>
          </w:r>
          <w:bookmarkStart w:id="30" w:name="_Toc425_WPSOffice_Level2Page"/>
          <w:r>
            <w:t>28</w:t>
          </w:r>
          <w:bookmarkEnd w:id="30"/>
          <w:r>
            <w:fldChar w:fldCharType="end"/>
          </w:r>
        </w:p>
        <w:p>
          <w:pPr>
            <w:pStyle w:val="31"/>
            <w:tabs>
              <w:tab w:val="right" w:leader="dot" w:pos="8306"/>
            </w:tabs>
          </w:pPr>
          <w:r>
            <w:rPr>
              <w:b/>
              <w:bCs/>
            </w:rPr>
            <w:fldChar w:fldCharType="begin"/>
          </w:r>
          <w:r>
            <w:instrText xml:space="preserve"> HYPERLINK \l _Toc1615_WPSOffice_Level1 </w:instrText>
          </w:r>
          <w:r>
            <w:rPr>
              <w:b/>
              <w:bCs/>
            </w:rPr>
            <w:fldChar w:fldCharType="separate"/>
          </w:r>
          <w:sdt>
            <w:sdtPr>
              <w:rPr>
                <w:rFonts w:ascii="Times New Roman" w:hAnsi="Times New Roman" w:eastAsia="宋体" w:cs="Times New Roman"/>
                <w:b/>
                <w:bCs/>
                <w:kern w:val="44"/>
                <w:sz w:val="44"/>
                <w:szCs w:val="44"/>
                <w:lang w:val="en-US" w:eastAsia="zh-CN" w:bidi="ar-SA"/>
              </w:rPr>
              <w:id w:val="147461244"/>
              <w:placeholder>
                <w:docPart w:val="{bb99560a-48d7-459f-ae9f-6e17095e8f6d}"/>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黑体" w:hAnsi="黑体" w:eastAsia="黑体" w:cs="Times New Roman"/>
                  <w:b/>
                  <w:bCs/>
                </w:rPr>
                <w:t>第五部分 附表</w:t>
              </w:r>
            </w:sdtContent>
          </w:sdt>
          <w:r>
            <w:rPr>
              <w:b/>
              <w:bCs/>
            </w:rPr>
            <w:tab/>
          </w:r>
          <w:bookmarkStart w:id="31" w:name="_Toc1615_WPSOffice_Level1Page"/>
          <w:r>
            <w:rPr>
              <w:b/>
              <w:bCs/>
            </w:rPr>
            <w:t>33</w:t>
          </w:r>
          <w:bookmarkEnd w:id="31"/>
          <w:r>
            <w:rPr>
              <w:b/>
              <w:bCs/>
            </w:rPr>
            <w:fldChar w:fldCharType="end"/>
          </w:r>
        </w:p>
        <w:p>
          <w:pPr>
            <w:pStyle w:val="32"/>
            <w:tabs>
              <w:tab w:val="right" w:leader="dot" w:pos="8306"/>
            </w:tabs>
          </w:pPr>
          <w:r>
            <w:fldChar w:fldCharType="begin"/>
          </w:r>
          <w:r>
            <w:instrText xml:space="preserve"> HYPERLINK \l _Toc13579_WPSOffice_Level2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d8a35d9f-da9f-4fc8-9483-5c1355879f69}"/>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一、收入支出决算总表</w:t>
              </w:r>
            </w:sdtContent>
          </w:sdt>
          <w:r>
            <w:tab/>
          </w:r>
          <w:bookmarkStart w:id="32" w:name="_Toc13579_WPSOffice_Level2Page"/>
          <w:r>
            <w:t>33</w:t>
          </w:r>
          <w:bookmarkEnd w:id="32"/>
          <w:r>
            <w:fldChar w:fldCharType="end"/>
          </w:r>
        </w:p>
        <w:p>
          <w:pPr>
            <w:pStyle w:val="32"/>
            <w:tabs>
              <w:tab w:val="right" w:leader="dot" w:pos="8306"/>
            </w:tabs>
          </w:pPr>
          <w:r>
            <w:fldChar w:fldCharType="begin"/>
          </w:r>
          <w:r>
            <w:instrText xml:space="preserve"> HYPERLINK \l _Toc28864_WPSOffice_Level2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7631650b-0be2-4da4-9317-9499414857c9}"/>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二、收入决算表</w:t>
              </w:r>
            </w:sdtContent>
          </w:sdt>
          <w:r>
            <w:tab/>
          </w:r>
          <w:bookmarkStart w:id="33" w:name="_Toc28864_WPSOffice_Level2Page"/>
          <w:r>
            <w:t>33</w:t>
          </w:r>
          <w:bookmarkEnd w:id="33"/>
          <w:r>
            <w:fldChar w:fldCharType="end"/>
          </w:r>
        </w:p>
        <w:p>
          <w:pPr>
            <w:pStyle w:val="32"/>
            <w:tabs>
              <w:tab w:val="right" w:leader="dot" w:pos="8306"/>
            </w:tabs>
          </w:pPr>
          <w:r>
            <w:fldChar w:fldCharType="begin"/>
          </w:r>
          <w:r>
            <w:instrText xml:space="preserve"> HYPERLINK \l _Toc22072_WPSOffice_Level2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05dea995-fbe7-44d2-88d1-6dcffbd99048}"/>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三、支出决算表</w:t>
              </w:r>
            </w:sdtContent>
          </w:sdt>
          <w:r>
            <w:tab/>
          </w:r>
          <w:bookmarkStart w:id="34" w:name="_Toc22072_WPSOffice_Level2Page"/>
          <w:r>
            <w:t>33</w:t>
          </w:r>
          <w:bookmarkEnd w:id="34"/>
          <w:r>
            <w:fldChar w:fldCharType="end"/>
          </w:r>
        </w:p>
        <w:p>
          <w:pPr>
            <w:pStyle w:val="32"/>
            <w:tabs>
              <w:tab w:val="right" w:leader="dot" w:pos="8306"/>
            </w:tabs>
          </w:pPr>
          <w:r>
            <w:fldChar w:fldCharType="begin"/>
          </w:r>
          <w:r>
            <w:instrText xml:space="preserve"> HYPERLINK \l _Toc8693_WPSOffice_Level2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ee52d551-c48c-4781-812a-bee5f2f17579}"/>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四、财政拨款收入支出决算总表</w:t>
              </w:r>
            </w:sdtContent>
          </w:sdt>
          <w:r>
            <w:tab/>
          </w:r>
          <w:bookmarkStart w:id="35" w:name="_Toc8693_WPSOffice_Level2Page"/>
          <w:r>
            <w:t>33</w:t>
          </w:r>
          <w:bookmarkEnd w:id="35"/>
          <w:r>
            <w:fldChar w:fldCharType="end"/>
          </w:r>
        </w:p>
        <w:p>
          <w:pPr>
            <w:pStyle w:val="32"/>
            <w:tabs>
              <w:tab w:val="right" w:leader="dot" w:pos="8306"/>
            </w:tabs>
          </w:pPr>
          <w:r>
            <w:fldChar w:fldCharType="begin"/>
          </w:r>
          <w:r>
            <w:instrText xml:space="preserve"> HYPERLINK \l _Toc14461_WPSOffice_Level2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19ffbc5a-ecb8-469f-901a-4a9c8e68bd22}"/>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五、财政拨款支出决算明细表</w:t>
              </w:r>
            </w:sdtContent>
          </w:sdt>
          <w:r>
            <w:tab/>
          </w:r>
          <w:bookmarkStart w:id="36" w:name="_Toc14461_WPSOffice_Level2Page"/>
          <w:r>
            <w:t>33</w:t>
          </w:r>
          <w:bookmarkEnd w:id="36"/>
          <w:r>
            <w:fldChar w:fldCharType="end"/>
          </w:r>
        </w:p>
        <w:p>
          <w:pPr>
            <w:pStyle w:val="32"/>
            <w:tabs>
              <w:tab w:val="right" w:leader="dot" w:pos="8306"/>
            </w:tabs>
          </w:pPr>
          <w:r>
            <w:fldChar w:fldCharType="begin"/>
          </w:r>
          <w:r>
            <w:instrText xml:space="preserve"> HYPERLINK \l _Toc32025_WPSOffice_Level2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180a2d65-4383-4dfa-8424-a51d7a12667d}"/>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六、一般公共预算财政拨款支出决算表</w:t>
              </w:r>
            </w:sdtContent>
          </w:sdt>
          <w:r>
            <w:tab/>
          </w:r>
          <w:bookmarkStart w:id="37" w:name="_Toc32025_WPSOffice_Level2Page"/>
          <w:r>
            <w:t>33</w:t>
          </w:r>
          <w:bookmarkEnd w:id="37"/>
          <w:r>
            <w:fldChar w:fldCharType="end"/>
          </w:r>
        </w:p>
        <w:p>
          <w:pPr>
            <w:pStyle w:val="32"/>
            <w:tabs>
              <w:tab w:val="right" w:leader="dot" w:pos="8306"/>
            </w:tabs>
          </w:pPr>
          <w:r>
            <w:fldChar w:fldCharType="begin"/>
          </w:r>
          <w:r>
            <w:instrText xml:space="preserve"> HYPERLINK \l _Toc30298_WPSOffice_Level2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253ffafc-257d-4c94-9bba-b15b5db5cfa2}"/>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七、一般公共预算财政拨款支出决算明细表</w:t>
              </w:r>
            </w:sdtContent>
          </w:sdt>
          <w:r>
            <w:tab/>
          </w:r>
          <w:bookmarkStart w:id="38" w:name="_Toc30298_WPSOffice_Level2Page"/>
          <w:r>
            <w:t>33</w:t>
          </w:r>
          <w:bookmarkEnd w:id="38"/>
          <w:r>
            <w:fldChar w:fldCharType="end"/>
          </w:r>
        </w:p>
        <w:p>
          <w:pPr>
            <w:pStyle w:val="32"/>
            <w:tabs>
              <w:tab w:val="right" w:leader="dot" w:pos="8306"/>
            </w:tabs>
          </w:pPr>
          <w:r>
            <w:fldChar w:fldCharType="begin"/>
          </w:r>
          <w:r>
            <w:instrText xml:space="preserve"> HYPERLINK \l _Toc22091_WPSOffice_Level2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18581413-8768-47da-a110-9a9bc126a77a}"/>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八、一般公共预算财政拨款基本支出决算表</w:t>
              </w:r>
            </w:sdtContent>
          </w:sdt>
          <w:r>
            <w:tab/>
          </w:r>
          <w:bookmarkStart w:id="39" w:name="_Toc22091_WPSOffice_Level2Page"/>
          <w:r>
            <w:t>33</w:t>
          </w:r>
          <w:bookmarkEnd w:id="39"/>
          <w:r>
            <w:fldChar w:fldCharType="end"/>
          </w:r>
        </w:p>
        <w:p>
          <w:pPr>
            <w:pStyle w:val="32"/>
            <w:tabs>
              <w:tab w:val="right" w:leader="dot" w:pos="8306"/>
            </w:tabs>
          </w:pPr>
          <w:r>
            <w:fldChar w:fldCharType="begin"/>
          </w:r>
          <w:r>
            <w:instrText xml:space="preserve"> HYPERLINK \l _Toc12423_WPSOffice_Level2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57516235-ff5e-48a0-a1d1-ce9fd5a8eb60}"/>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九、一般公共预算财政拨款项目支出决算表</w:t>
              </w:r>
            </w:sdtContent>
          </w:sdt>
          <w:r>
            <w:tab/>
          </w:r>
          <w:bookmarkStart w:id="40" w:name="_Toc12423_WPSOffice_Level2Page"/>
          <w:r>
            <w:t>33</w:t>
          </w:r>
          <w:bookmarkEnd w:id="40"/>
          <w:r>
            <w:fldChar w:fldCharType="end"/>
          </w:r>
        </w:p>
        <w:p>
          <w:pPr>
            <w:pStyle w:val="32"/>
            <w:tabs>
              <w:tab w:val="right" w:leader="dot" w:pos="8306"/>
            </w:tabs>
          </w:pPr>
          <w:r>
            <w:fldChar w:fldCharType="begin"/>
          </w:r>
          <w:r>
            <w:instrText xml:space="preserve"> HYPERLINK \l _Toc23573_WPSOffice_Level2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b8f2cc52-5784-41ba-b91f-816731745ac0}"/>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十、一般公共预算财政拨款“三公”经费支出决算表</w:t>
              </w:r>
            </w:sdtContent>
          </w:sdt>
          <w:r>
            <w:tab/>
          </w:r>
          <w:bookmarkStart w:id="41" w:name="_Toc23573_WPSOffice_Level2Page"/>
          <w:r>
            <w:t>33</w:t>
          </w:r>
          <w:bookmarkEnd w:id="41"/>
          <w:r>
            <w:fldChar w:fldCharType="end"/>
          </w:r>
        </w:p>
        <w:p>
          <w:pPr>
            <w:pStyle w:val="32"/>
            <w:tabs>
              <w:tab w:val="right" w:leader="dot" w:pos="8306"/>
            </w:tabs>
          </w:pPr>
          <w:r>
            <w:fldChar w:fldCharType="begin"/>
          </w:r>
          <w:r>
            <w:instrText xml:space="preserve"> HYPERLINK \l _Toc29013_WPSOffice_Level2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88731c33-57ee-4229-8af0-ee5bce18e4af}"/>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十一、政府性基金预算财政拨款收入支出决算表</w:t>
              </w:r>
            </w:sdtContent>
          </w:sdt>
          <w:r>
            <w:tab/>
          </w:r>
          <w:bookmarkStart w:id="42" w:name="_Toc29013_WPSOffice_Level2Page"/>
          <w:r>
            <w:t>33</w:t>
          </w:r>
          <w:bookmarkEnd w:id="42"/>
          <w:r>
            <w:fldChar w:fldCharType="end"/>
          </w:r>
        </w:p>
        <w:p>
          <w:pPr>
            <w:pStyle w:val="32"/>
            <w:tabs>
              <w:tab w:val="right" w:leader="dot" w:pos="8306"/>
            </w:tabs>
          </w:pPr>
          <w:r>
            <w:fldChar w:fldCharType="begin"/>
          </w:r>
          <w:r>
            <w:instrText xml:space="preserve"> HYPERLINK \l _Toc21959_WPSOffice_Level2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14ee3d78-415b-4f01-93a0-322f2861845d}"/>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十二、政府性基金预算财政拨款“三公”经费支出决算表</w:t>
              </w:r>
            </w:sdtContent>
          </w:sdt>
          <w:r>
            <w:tab/>
          </w:r>
          <w:bookmarkStart w:id="43" w:name="_Toc21959_WPSOffice_Level2Page"/>
          <w:r>
            <w:t>33</w:t>
          </w:r>
          <w:bookmarkEnd w:id="43"/>
          <w:r>
            <w:fldChar w:fldCharType="end"/>
          </w:r>
        </w:p>
        <w:p>
          <w:pPr>
            <w:pStyle w:val="32"/>
            <w:tabs>
              <w:tab w:val="right" w:leader="dot" w:pos="8306"/>
            </w:tabs>
          </w:pPr>
          <w:r>
            <w:fldChar w:fldCharType="begin"/>
          </w:r>
          <w:r>
            <w:instrText xml:space="preserve"> HYPERLINK \l _Toc14350_WPSOffice_Level2 </w:instrText>
          </w:r>
          <w:r>
            <w:fldChar w:fldCharType="separate"/>
          </w:r>
          <w:sdt>
            <w:sdtPr>
              <w:rPr>
                <w:rFonts w:ascii="Times New Roman" w:hAnsi="Times New Roman" w:eastAsia="宋体" w:cs="Times New Roman"/>
                <w:b/>
                <w:bCs/>
                <w:kern w:val="44"/>
                <w:sz w:val="44"/>
                <w:szCs w:val="44"/>
                <w:lang w:val="en-US" w:eastAsia="zh-CN" w:bidi="ar-SA"/>
              </w:rPr>
              <w:id w:val="147461244"/>
              <w:placeholder>
                <w:docPart w:val="{a36bc19d-61c7-43aa-ae5e-281fc8e9c684}"/>
              </w:placeholder>
              <w15:color w:val="509DF3"/>
            </w:sdtPr>
            <w:sdtEndPr>
              <w:rPr>
                <w:rFonts w:ascii="Times New Roman" w:hAnsi="Times New Roman" w:eastAsia="宋体" w:cs="Times New Roman"/>
                <w:b/>
                <w:bCs/>
                <w:kern w:val="44"/>
                <w:sz w:val="44"/>
                <w:szCs w:val="44"/>
                <w:lang w:val="en-US" w:eastAsia="zh-CN" w:bidi="ar-SA"/>
              </w:rPr>
            </w:sdtEndPr>
            <w:sdtContent>
              <w:r>
                <w:rPr>
                  <w:rFonts w:hint="eastAsia" w:ascii="仿宋" w:hAnsi="仿宋" w:eastAsia="仿宋" w:cstheme="majorBidi"/>
                </w:rPr>
                <w:t>十三、国有资本经营预算支出决算表</w:t>
              </w:r>
            </w:sdtContent>
          </w:sdt>
          <w:r>
            <w:tab/>
          </w:r>
          <w:bookmarkStart w:id="44" w:name="_Toc14350_WPSOffice_Level2Page"/>
          <w:r>
            <w:t>33</w:t>
          </w:r>
          <w:bookmarkEnd w:id="44"/>
          <w:r>
            <w:fldChar w:fldCharType="end"/>
          </w:r>
          <w:bookmarkEnd w:id="12"/>
        </w:p>
      </w:sdtContent>
    </w:sdt>
    <w:p>
      <w:pPr>
        <w:pStyle w:val="2"/>
        <w:jc w:val="center"/>
        <w:rPr>
          <w:rFonts w:hint="eastAsia" w:ascii="黑体" w:hAnsi="黑体" w:eastAsia="黑体"/>
          <w:b w:val="0"/>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pStyle w:val="2"/>
        <w:jc w:val="center"/>
        <w:rPr>
          <w:rStyle w:val="25"/>
          <w:rFonts w:ascii="黑体" w:hAnsi="黑体" w:eastAsia="黑体"/>
          <w:b/>
          <w:bCs w:val="0"/>
        </w:rPr>
      </w:pPr>
      <w:bookmarkStart w:id="45" w:name="_Toc1596_WPSOffice_Level1"/>
      <w:r>
        <w:rPr>
          <w:rFonts w:hint="eastAsia" w:ascii="黑体" w:hAnsi="黑体" w:eastAsia="黑体"/>
          <w:b w:val="0"/>
        </w:rPr>
        <w:t xml:space="preserve">第一部分 </w:t>
      </w:r>
      <w:r>
        <w:rPr>
          <w:rStyle w:val="25"/>
          <w:rFonts w:hint="eastAsia" w:ascii="黑体" w:hAnsi="黑体" w:eastAsia="黑体"/>
          <w:b w:val="0"/>
          <w:bCs w:val="0"/>
        </w:rPr>
        <w:t>部门概况</w:t>
      </w:r>
      <w:bookmarkEnd w:id="45"/>
    </w:p>
    <w:p>
      <w:pPr>
        <w:widowControl/>
        <w:jc w:val="left"/>
        <w:rPr>
          <w:rFonts w:ascii="黑体" w:eastAsia="黑体"/>
          <w:color w:val="000000"/>
          <w:sz w:val="32"/>
          <w:szCs w:val="32"/>
        </w:rPr>
      </w:pPr>
    </w:p>
    <w:p>
      <w:pPr>
        <w:pStyle w:val="3"/>
        <w:rPr>
          <w:rStyle w:val="26"/>
          <w:rFonts w:ascii="仿宋" w:hAnsi="仿宋" w:eastAsia="仿宋"/>
          <w:b w:val="0"/>
          <w:bCs w:val="0"/>
        </w:rPr>
      </w:pPr>
      <w:bookmarkStart w:id="46" w:name="_Toc15396600"/>
      <w:bookmarkStart w:id="47" w:name="_Toc15377197"/>
      <w:bookmarkStart w:id="48" w:name="_Toc19239_WPSOffice_Level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46"/>
      <w:bookmarkEnd w:id="47"/>
      <w:bookmarkEnd w:id="48"/>
    </w:p>
    <w:p>
      <w:pPr>
        <w:pStyle w:val="5"/>
        <w:adjustRightInd w:val="0"/>
        <w:snapToGrid w:val="0"/>
        <w:spacing w:before="93" w:line="600" w:lineRule="exact"/>
        <w:ind w:firstLine="675" w:firstLineChars="210"/>
        <w:outlineLvl w:val="2"/>
        <w:rPr>
          <w:rFonts w:hint="eastAsia" w:ascii="仿宋" w:hAnsi="仿宋" w:eastAsia="仿宋"/>
          <w:b/>
          <w:bCs w:val="0"/>
          <w:color w:val="000000"/>
          <w:sz w:val="32"/>
          <w:szCs w:val="32"/>
        </w:rPr>
      </w:pPr>
      <w:bookmarkStart w:id="49" w:name="_Toc15378445"/>
      <w:bookmarkStart w:id="50" w:name="_Toc15377198"/>
      <w:r>
        <w:rPr>
          <w:rFonts w:hint="eastAsia" w:ascii="仿宋" w:hAnsi="仿宋" w:eastAsia="仿宋"/>
          <w:b/>
          <w:bCs w:val="0"/>
          <w:color w:val="000000"/>
          <w:sz w:val="32"/>
          <w:szCs w:val="32"/>
        </w:rPr>
        <w:t>（一）主要职能。</w:t>
      </w:r>
      <w:bookmarkEnd w:id="49"/>
      <w:bookmarkEnd w:id="50"/>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贯彻执行国家及省、州有关道路运输的方针、政策和法规，执行上级道路运输管理部门制定的有关规章、规范、标准和细则;负责全县道路客货运输、城市公交、出租汽车、车辆维修和检测、运输服务的管理监督、指导和协调;根据管理权限，审批道路客货运输、搬运装卸、汽车维修、运输服务的开业、停业及年度审验，核发经营许可证、道路运输证。指导、督促各乡（镇）落实农村客运源头管理责任;具体负责道路运输管理部门统一制定的证、照、牌、单及票据的分发、回收、管理，负责初核、申报工作;具体负责执行对道路运输市场的运输质量、经营行为、价格执行及使用的证、照、牌、单、票据等进行日常性监督检查，并对违章者进行处罚，调解日常性运输纠纷;具体组织实施重点物质、大宗物质的运输，具体组织实施重要节假日旅客运输，具体组织实施指令性的抢险、救灾、战备物质的运输;掌握本地运力与运量情况，按时向有关部门和上级交通运输部门提供需求信息，配合上级运政部门做好车辆投放、车辆结构和技术等级的调控工作，做好站点布局、建设、管理工作;负责运输市场源头管理，建立各种基础台账。负责各类统计数据的收集、整理和上报，组织日常性运输市场调查，收集各种基本信息，开展咨询和市场预测，制定本行业发展规划，为上级制定发展规划和综合平衡工作提供依据;组织指导兴办停车场、站点、洗车场等服务设施的设立，为旅客、货主及驾、乘、修理人员提供服务条件;组织本县运输行业工作的经验交流及推广，负责对运输业户进行指导。</w:t>
      </w:r>
    </w:p>
    <w:p>
      <w:pPr>
        <w:pStyle w:val="5"/>
        <w:adjustRightInd w:val="0"/>
        <w:snapToGrid w:val="0"/>
        <w:spacing w:before="93" w:line="600" w:lineRule="exact"/>
        <w:ind w:firstLine="675" w:firstLineChars="210"/>
        <w:outlineLvl w:val="2"/>
        <w:rPr>
          <w:rFonts w:hint="eastAsia" w:ascii="仿宋" w:hAnsi="仿宋" w:eastAsia="仿宋"/>
          <w:b/>
          <w:bCs w:val="0"/>
          <w:color w:val="auto"/>
          <w:sz w:val="32"/>
          <w:szCs w:val="32"/>
        </w:rPr>
      </w:pPr>
      <w:bookmarkStart w:id="51" w:name="_Toc15377199"/>
      <w:bookmarkStart w:id="52" w:name="_Toc15378446"/>
      <w:r>
        <w:rPr>
          <w:rFonts w:hint="eastAsia" w:ascii="仿宋" w:hAnsi="仿宋" w:eastAsia="仿宋"/>
          <w:b/>
          <w:bCs w:val="0"/>
          <w:color w:val="auto"/>
          <w:sz w:val="32"/>
          <w:szCs w:val="32"/>
        </w:rPr>
        <w:t>（二）</w:t>
      </w:r>
      <w:r>
        <w:rPr>
          <w:rFonts w:ascii="仿宋" w:hAnsi="仿宋" w:eastAsia="仿宋"/>
          <w:b/>
          <w:bCs w:val="0"/>
          <w:color w:val="auto"/>
          <w:sz w:val="32"/>
          <w:szCs w:val="32"/>
        </w:rPr>
        <w:t>201</w:t>
      </w:r>
      <w:r>
        <w:rPr>
          <w:rFonts w:hint="eastAsia" w:ascii="仿宋" w:hAnsi="仿宋" w:eastAsia="仿宋"/>
          <w:b/>
          <w:bCs w:val="0"/>
          <w:color w:val="auto"/>
          <w:sz w:val="32"/>
          <w:szCs w:val="32"/>
        </w:rPr>
        <w:t>9年重点工作完成情况。</w:t>
      </w:r>
      <w:bookmarkEnd w:id="51"/>
      <w:bookmarkEnd w:id="52"/>
    </w:p>
    <w:p>
      <w:pPr>
        <w:pageBreakBefore w:val="0"/>
        <w:kinsoku/>
        <w:overflowPunct/>
        <w:topLinePunct w:val="0"/>
        <w:bidi w:val="0"/>
        <w:spacing w:line="560" w:lineRule="exact"/>
        <w:ind w:firstLine="643" w:firstLineChars="200"/>
        <w:rPr>
          <w:rFonts w:ascii="仿宋_GB2312" w:eastAsia="仿宋_GB2312"/>
          <w:sz w:val="32"/>
        </w:rPr>
      </w:pPr>
      <w:r>
        <w:rPr>
          <w:rFonts w:hint="eastAsia" w:ascii="仿宋" w:hAnsi="仿宋" w:eastAsia="仿宋" w:cs="仿宋"/>
          <w:b/>
          <w:bCs/>
          <w:sz w:val="32"/>
        </w:rPr>
        <w:t>一是安全管理基本情况。</w:t>
      </w:r>
      <w:r>
        <w:rPr>
          <w:rFonts w:ascii="仿宋" w:hAnsi="仿宋" w:eastAsia="仿宋" w:cs="仿宋"/>
          <w:bCs/>
          <w:sz w:val="32"/>
          <w:szCs w:val="32"/>
        </w:rPr>
        <w:t>201</w:t>
      </w:r>
      <w:r>
        <w:rPr>
          <w:rFonts w:hint="eastAsia" w:ascii="仿宋" w:hAnsi="仿宋" w:eastAsia="仿宋" w:cs="仿宋"/>
          <w:bCs/>
          <w:sz w:val="32"/>
          <w:szCs w:val="32"/>
          <w:lang w:val="en-US" w:eastAsia="zh-CN"/>
        </w:rPr>
        <w:t>9</w:t>
      </w:r>
      <w:r>
        <w:rPr>
          <w:rFonts w:hint="eastAsia" w:ascii="仿宋" w:hAnsi="仿宋" w:eastAsia="仿宋" w:cs="仿宋"/>
          <w:bCs/>
          <w:sz w:val="32"/>
          <w:szCs w:val="32"/>
        </w:rPr>
        <w:t>年我县未出现道路运输安全事故，道路运输行业呈平稳上升态势。</w:t>
      </w:r>
    </w:p>
    <w:p>
      <w:pPr>
        <w:pageBreakBefore w:val="0"/>
        <w:kinsoku/>
        <w:overflowPunct/>
        <w:topLinePunct w:val="0"/>
        <w:bidi w:val="0"/>
        <w:spacing w:line="560" w:lineRule="exact"/>
        <w:ind w:firstLine="643" w:firstLineChars="200"/>
        <w:rPr>
          <w:rFonts w:ascii="仿宋" w:hAnsi="仿宋" w:eastAsia="仿宋"/>
          <w:bCs/>
          <w:sz w:val="32"/>
          <w:szCs w:val="32"/>
        </w:rPr>
      </w:pPr>
      <w:r>
        <w:rPr>
          <w:rFonts w:hint="eastAsia" w:ascii="仿宋" w:hAnsi="仿宋" w:eastAsia="仿宋" w:cs="仿宋"/>
          <w:b/>
          <w:sz w:val="32"/>
        </w:rPr>
        <w:t>二是安全生产组织保障。</w:t>
      </w:r>
      <w:r>
        <w:rPr>
          <w:rFonts w:hint="eastAsia" w:ascii="仿宋" w:hAnsi="仿宋" w:eastAsia="仿宋"/>
          <w:bCs/>
          <w:sz w:val="32"/>
          <w:szCs w:val="32"/>
        </w:rPr>
        <w:t>落实所领导班子成员“一岗双职”责任制，明确所主要领导、分管领导及其他领导安全生产责任；每季度至少召开</w:t>
      </w:r>
      <w:r>
        <w:rPr>
          <w:rFonts w:ascii="仿宋" w:hAnsi="仿宋" w:eastAsia="仿宋"/>
          <w:bCs/>
          <w:sz w:val="32"/>
          <w:szCs w:val="32"/>
        </w:rPr>
        <w:t>1</w:t>
      </w:r>
      <w:r>
        <w:rPr>
          <w:rFonts w:hint="eastAsia" w:ascii="仿宋" w:hAnsi="仿宋" w:eastAsia="仿宋"/>
          <w:bCs/>
          <w:sz w:val="32"/>
          <w:szCs w:val="32"/>
        </w:rPr>
        <w:t>次研究安全生产工作会议，形成会议纪要，并组织实施。所主要领导每季度至少</w:t>
      </w:r>
      <w:r>
        <w:rPr>
          <w:rFonts w:ascii="仿宋" w:hAnsi="仿宋" w:eastAsia="仿宋"/>
          <w:bCs/>
          <w:sz w:val="32"/>
          <w:szCs w:val="32"/>
        </w:rPr>
        <w:t>1</w:t>
      </w:r>
      <w:r>
        <w:rPr>
          <w:rFonts w:hint="eastAsia" w:ascii="仿宋" w:hAnsi="仿宋" w:eastAsia="仿宋"/>
          <w:bCs/>
          <w:sz w:val="32"/>
          <w:szCs w:val="32"/>
        </w:rPr>
        <w:t>次深入基层调研检查安全工作，其他领导每月对分管的安全生产工作进行检查、分析、总结、并报告；将安全生产作为领导干部政绩考核内容，将安全生产情况作为各级评先评优条件，并实施“一票否决”，取得一定成效。</w:t>
      </w:r>
    </w:p>
    <w:p>
      <w:pPr>
        <w:pageBreakBefore w:val="0"/>
        <w:kinsoku/>
        <w:overflowPunct/>
        <w:topLinePunct w:val="0"/>
        <w:bidi w:val="0"/>
        <w:spacing w:line="560" w:lineRule="exact"/>
        <w:ind w:firstLine="640"/>
        <w:rPr>
          <w:rFonts w:ascii="仿宋" w:hAnsi="仿宋" w:eastAsia="仿宋" w:cs="仿宋"/>
          <w:bCs/>
          <w:sz w:val="32"/>
          <w:szCs w:val="32"/>
        </w:rPr>
      </w:pPr>
      <w:r>
        <w:rPr>
          <w:rFonts w:hint="eastAsia" w:ascii="仿宋" w:hAnsi="仿宋" w:eastAsia="仿宋" w:cs="仿宋"/>
          <w:b/>
          <w:bCs/>
          <w:sz w:val="32"/>
          <w:szCs w:val="32"/>
        </w:rPr>
        <w:t>三是行业安全管理规范。</w:t>
      </w:r>
      <w:r>
        <w:rPr>
          <w:rFonts w:hint="eastAsia" w:ascii="仿宋" w:hAnsi="仿宋" w:eastAsia="仿宋" w:cs="仿宋"/>
          <w:b/>
          <w:sz w:val="32"/>
          <w:szCs w:val="32"/>
        </w:rPr>
        <w:t>安全生产制度建设，</w:t>
      </w:r>
      <w:r>
        <w:rPr>
          <w:rFonts w:hint="eastAsia" w:ascii="仿宋" w:hAnsi="仿宋" w:eastAsia="仿宋"/>
          <w:bCs/>
          <w:sz w:val="32"/>
          <w:szCs w:val="32"/>
        </w:rPr>
        <w:t>建立完善安全生产联席会议制度、联合执法制度、隐患排查治理制度、责任事故约谈制度、举报奖励制度、安全生产工作考核评价及激励约束制度等各项安全生产制度</w:t>
      </w:r>
      <w:r>
        <w:rPr>
          <w:rFonts w:hint="eastAsia" w:ascii="仿宋" w:hAnsi="仿宋" w:eastAsia="仿宋" w:cs="仿宋"/>
          <w:bCs/>
          <w:sz w:val="32"/>
          <w:szCs w:val="32"/>
        </w:rPr>
        <w:t>；并结合今年我县今年工作重点，根据维稳指挥部及平安车站建设要求，推广反恐防范标准，全面实行实名制登记及严格落实寄递物</w:t>
      </w:r>
      <w:r>
        <w:rPr>
          <w:rFonts w:hint="eastAsia" w:ascii="仿宋" w:hAnsi="仿宋" w:eastAsia="仿宋" w:cs="仿宋"/>
          <w:bCs/>
          <w:sz w:val="32"/>
          <w:szCs w:val="32"/>
          <w:lang w:eastAsia="zh-CN"/>
        </w:rPr>
        <w:t>“</w:t>
      </w:r>
      <w:r>
        <w:rPr>
          <w:rFonts w:hint="eastAsia" w:ascii="仿宋" w:hAnsi="仿宋" w:eastAsia="仿宋" w:cs="仿宋"/>
          <w:bCs/>
          <w:sz w:val="32"/>
          <w:szCs w:val="32"/>
        </w:rPr>
        <w:t>三个</w:t>
      </w:r>
      <w:r>
        <w:rPr>
          <w:rFonts w:ascii="仿宋" w:hAnsi="仿宋" w:eastAsia="仿宋" w:cs="仿宋"/>
          <w:bCs/>
          <w:sz w:val="32"/>
          <w:szCs w:val="32"/>
        </w:rPr>
        <w:t>100%</w:t>
      </w:r>
      <w:r>
        <w:rPr>
          <w:rFonts w:hint="eastAsia" w:ascii="仿宋" w:hAnsi="仿宋" w:eastAsia="仿宋" w:cs="仿宋"/>
          <w:bCs/>
          <w:sz w:val="32"/>
          <w:szCs w:val="32"/>
          <w:lang w:eastAsia="zh-CN"/>
        </w:rPr>
        <w:t>”</w:t>
      </w:r>
      <w:r>
        <w:rPr>
          <w:rFonts w:hint="eastAsia" w:ascii="仿宋" w:hAnsi="仿宋" w:eastAsia="仿宋" w:cs="仿宋"/>
          <w:bCs/>
          <w:sz w:val="32"/>
          <w:szCs w:val="32"/>
        </w:rPr>
        <w:t>制度</w:t>
      </w:r>
      <w:r>
        <w:rPr>
          <w:rFonts w:hint="eastAsia" w:ascii="仿宋" w:hAnsi="仿宋" w:eastAsia="仿宋"/>
          <w:bCs/>
          <w:sz w:val="32"/>
          <w:szCs w:val="32"/>
        </w:rPr>
        <w:t>。</w:t>
      </w:r>
      <w:r>
        <w:rPr>
          <w:rFonts w:hint="eastAsia" w:ascii="仿宋" w:hAnsi="仿宋" w:eastAsia="仿宋" w:cs="仿宋"/>
          <w:b/>
          <w:sz w:val="32"/>
          <w:szCs w:val="32"/>
        </w:rPr>
        <w:t>行业监督管理工作。</w:t>
      </w:r>
      <w:r>
        <w:rPr>
          <w:rFonts w:hint="eastAsia" w:ascii="仿宋" w:hAnsi="仿宋" w:eastAsia="仿宋"/>
          <w:bCs/>
          <w:sz w:val="32"/>
          <w:szCs w:val="32"/>
        </w:rPr>
        <w:t>全面加强应急保障措施及重点时段安全管理工作。年初结合我县实际情况，制定行之有效的应急预案，并开展道路运输应急演练，组织客运站开展今冬明春消防、防滑应急措施演练及汛期应急演练。加大站务管理人员及参营人员现场应急处理能力，为道路运输安全提供基本保障。在今年</w:t>
      </w:r>
      <w:r>
        <w:rPr>
          <w:rFonts w:ascii="仿宋" w:hAnsi="仿宋" w:eastAsia="仿宋"/>
          <w:bCs/>
          <w:sz w:val="32"/>
          <w:szCs w:val="32"/>
        </w:rPr>
        <w:t>7</w:t>
      </w:r>
      <w:r>
        <w:rPr>
          <w:rFonts w:hint="eastAsia" w:ascii="仿宋" w:hAnsi="仿宋" w:eastAsia="仿宋"/>
          <w:bCs/>
          <w:sz w:val="32"/>
          <w:szCs w:val="32"/>
        </w:rPr>
        <w:t>月汛期中</w:t>
      </w:r>
      <w:r>
        <w:rPr>
          <w:rFonts w:hint="eastAsia" w:ascii="仿宋" w:hAnsi="仿宋" w:eastAsia="仿宋"/>
          <w:sz w:val="32"/>
          <w:szCs w:val="32"/>
        </w:rPr>
        <w:t>确保预案启动后的高效运转，备齐车辆类型，备足储备运力，提高运输效率和保障能力。根据春运、“两会”、汛期、冬季重点时段特殊情况做好了提前谋划、事中监管、事后总结工作，制定落实维稳防范措施，维护了市场的稳定的发展，确保了道路运输行业和运政队伍稳定，通过不断强化沟通协调能力，未出现上访现象。</w:t>
      </w:r>
      <w:r>
        <w:rPr>
          <w:rFonts w:hint="eastAsia" w:ascii="仿宋" w:hAnsi="仿宋" w:eastAsia="仿宋"/>
          <w:b/>
          <w:sz w:val="32"/>
          <w:szCs w:val="32"/>
        </w:rPr>
        <w:t>扎实推进城乡一体化进程。</w:t>
      </w:r>
      <w:r>
        <w:rPr>
          <w:rFonts w:hint="eastAsia" w:ascii="仿宋" w:hAnsi="仿宋" w:eastAsia="仿宋"/>
          <w:bCs/>
          <w:sz w:val="32"/>
          <w:szCs w:val="32"/>
        </w:rPr>
        <w:t>根据上级部门的要求，为我县城乡农牧民群众提供优良出行条件，</w:t>
      </w:r>
      <w:r>
        <w:rPr>
          <w:rFonts w:hint="eastAsia" w:ascii="仿宋" w:hAnsi="仿宋" w:eastAsia="仿宋" w:cs="仿宋"/>
          <w:bCs/>
          <w:sz w:val="32"/>
          <w:szCs w:val="32"/>
        </w:rPr>
        <w:t>本年度完成客运站续建工作，新增通客车乡镇一个（色地镇），覆盖三个行政村，完成城乡一体化进程建设目标任务。并利用网络媒体、宣传手册、横幅、酒店大厅等资源加大汽车客运站联网售票宣传，并设立</w:t>
      </w:r>
      <w:r>
        <w:rPr>
          <w:rFonts w:ascii="仿宋" w:hAnsi="仿宋" w:eastAsia="仿宋" w:cs="仿宋"/>
          <w:bCs/>
          <w:sz w:val="32"/>
          <w:szCs w:val="32"/>
        </w:rPr>
        <w:t>5</w:t>
      </w:r>
      <w:r>
        <w:rPr>
          <w:rFonts w:hint="eastAsia" w:ascii="仿宋" w:hAnsi="仿宋" w:eastAsia="仿宋" w:cs="仿宋"/>
          <w:bCs/>
          <w:sz w:val="32"/>
          <w:szCs w:val="32"/>
        </w:rPr>
        <w:t>个联网售票点，为出行提供便捷服务。继续深化客运站站务系统建设，通过行业管理部门的审查核定，完成客运站等级评定工作。积极宣传落实《关于加快推进我省道路客运转型升级的实施意见》，鼓励企业整合资源、兼并重组。</w:t>
      </w:r>
      <w:r>
        <w:rPr>
          <w:rFonts w:hint="eastAsia" w:ascii="仿宋" w:hAnsi="仿宋" w:eastAsia="仿宋" w:cs="仿宋"/>
          <w:b/>
          <w:sz w:val="32"/>
          <w:szCs w:val="32"/>
        </w:rPr>
        <w:t>提高客运服务质量。</w:t>
      </w:r>
      <w:r>
        <w:rPr>
          <w:rFonts w:hint="eastAsia" w:ascii="仿宋" w:hAnsi="仿宋" w:eastAsia="仿宋" w:cs="仿宋"/>
          <w:bCs/>
          <w:sz w:val="32"/>
          <w:szCs w:val="32"/>
        </w:rPr>
        <w:t>我所积极完成客运企业服务质量考核工作，严格按照考核办法强化监督管理（特别是对未定级客运站的管理）。并持续推进出租车行业深化改革，联合相关部门召开座谈会，组织人员开展调研工作，加快政策出台，有序推进网约车新政的全面落实。继续强化出租汽车行业提升服务质量工作，结合我县出租车行业的现状，加大不实行打表计价的处罚力度，组织召开</w:t>
      </w:r>
      <w:r>
        <w:rPr>
          <w:rFonts w:ascii="仿宋" w:hAnsi="仿宋" w:eastAsia="仿宋" w:cs="仿宋"/>
          <w:bCs/>
          <w:sz w:val="32"/>
          <w:szCs w:val="32"/>
        </w:rPr>
        <w:t>5</w:t>
      </w:r>
      <w:r>
        <w:rPr>
          <w:rFonts w:hint="eastAsia" w:ascii="仿宋" w:hAnsi="仿宋" w:eastAsia="仿宋" w:cs="仿宋"/>
          <w:bCs/>
          <w:sz w:val="32"/>
          <w:szCs w:val="32"/>
        </w:rPr>
        <w:t>次出租车行业管理工作会议，并联合公安、交通、交警、城建、市政等部门强化联动管理，在出租车规范经营上起到一定的积极作用。大力提倡新能源车的使用，通过“安全宣传月”、“环保日”等契机积极宣传，推动新能源车的投入使用率。</w:t>
      </w:r>
      <w:r>
        <w:rPr>
          <w:rFonts w:hint="eastAsia" w:ascii="仿宋" w:hAnsi="仿宋" w:eastAsia="仿宋" w:cs="仿宋"/>
          <w:b/>
          <w:sz w:val="32"/>
          <w:szCs w:val="32"/>
        </w:rPr>
        <w:t>强化驾培行业监督管理。</w:t>
      </w:r>
      <w:r>
        <w:rPr>
          <w:rFonts w:ascii="仿宋" w:hAnsi="仿宋" w:eastAsia="仿宋" w:cs="仿宋"/>
          <w:bCs/>
          <w:sz w:val="32"/>
          <w:szCs w:val="32"/>
        </w:rPr>
        <w:t>8</w:t>
      </w:r>
      <w:r>
        <w:rPr>
          <w:rFonts w:hint="eastAsia" w:ascii="仿宋" w:hAnsi="仿宋" w:eastAsia="仿宋" w:cs="仿宋"/>
          <w:bCs/>
          <w:sz w:val="32"/>
          <w:szCs w:val="32"/>
        </w:rPr>
        <w:t>月各驾培学校完成驾培机构培训系统升级工作，我县所有驾校完成每辆车计时系统的安装任务，全面启用驾驶培训监管服务平台，强化计时培训系统管理工作，认真贯彻落实《四川省道路营运驾驶员记分管理办法》。建立落实驾驶员“黑名单”制度，开展提高从业人员素质培训会，与我县所有驾培学校签订责任书，签订率达</w:t>
      </w:r>
      <w:r>
        <w:rPr>
          <w:rFonts w:ascii="仿宋" w:hAnsi="仿宋" w:eastAsia="仿宋" w:cs="仿宋"/>
          <w:bCs/>
          <w:sz w:val="32"/>
          <w:szCs w:val="32"/>
        </w:rPr>
        <w:t>100%</w:t>
      </w:r>
      <w:r>
        <w:rPr>
          <w:rFonts w:hint="eastAsia" w:ascii="仿宋" w:hAnsi="仿宋" w:eastAsia="仿宋" w:cs="仿宋"/>
          <w:bCs/>
          <w:sz w:val="32"/>
          <w:szCs w:val="32"/>
        </w:rPr>
        <w:t>，并要求驾培学校负责人与教练员层层签订责任书，严格实行层层监管制度。今年完成在我县岷江驾校二部由州公安局组织全州各县分管交警公安局副局长、各县交警队队长召开的为期两天的现场会，最终确定该驾培学校作为全州藏汉双语理论培训示范点。</w:t>
      </w:r>
      <w:r>
        <w:rPr>
          <w:rFonts w:hint="eastAsia" w:ascii="仿宋" w:hAnsi="仿宋" w:eastAsia="仿宋" w:cs="仿宋"/>
          <w:b/>
          <w:sz w:val="32"/>
          <w:szCs w:val="32"/>
        </w:rPr>
        <w:t>加大货运市场的整治。</w:t>
      </w:r>
      <w:r>
        <w:rPr>
          <w:rFonts w:hint="eastAsia" w:ascii="仿宋" w:hAnsi="仿宋" w:eastAsia="仿宋" w:cs="仿宋"/>
          <w:bCs/>
          <w:sz w:val="32"/>
          <w:szCs w:val="32"/>
        </w:rPr>
        <w:t>扎实推进汽车电子健康档案系统建设，现已建立汽车电子健康</w:t>
      </w:r>
      <w:r>
        <w:rPr>
          <w:rFonts w:hint="eastAsia" w:ascii="仿宋" w:hAnsi="仿宋" w:eastAsia="仿宋" w:cs="仿宋"/>
          <w:bCs/>
          <w:color w:val="000000"/>
          <w:sz w:val="32"/>
          <w:szCs w:val="32"/>
        </w:rPr>
        <w:t>档案</w:t>
      </w:r>
      <w:r>
        <w:rPr>
          <w:rFonts w:ascii="仿宋" w:hAnsi="仿宋" w:eastAsia="仿宋" w:cs="仿宋"/>
          <w:bCs/>
          <w:color w:val="000000"/>
          <w:sz w:val="32"/>
          <w:szCs w:val="32"/>
        </w:rPr>
        <w:t>,</w:t>
      </w:r>
      <w:r>
        <w:rPr>
          <w:rFonts w:hint="eastAsia" w:ascii="仿宋" w:hAnsi="仿宋" w:eastAsia="仿宋" w:cs="仿宋"/>
          <w:bCs/>
          <w:sz w:val="32"/>
          <w:szCs w:val="32"/>
        </w:rPr>
        <w:t>实现了营运客车全覆盖。</w:t>
      </w:r>
      <w:r>
        <w:rPr>
          <w:rFonts w:hint="eastAsia" w:ascii="仿宋" w:hAnsi="仿宋" w:eastAsia="仿宋" w:cs="仿宋"/>
          <w:bCs/>
          <w:color w:val="000000"/>
          <w:sz w:val="32"/>
          <w:szCs w:val="32"/>
        </w:rPr>
        <w:t>全面完成落实我县</w:t>
      </w:r>
      <w:r>
        <w:rPr>
          <w:rFonts w:ascii="仿宋" w:hAnsi="仿宋" w:eastAsia="仿宋" w:cs="仿宋"/>
          <w:bCs/>
          <w:color w:val="000000"/>
          <w:sz w:val="32"/>
          <w:szCs w:val="32"/>
        </w:rPr>
        <w:t>22</w:t>
      </w:r>
      <w:r>
        <w:rPr>
          <w:rFonts w:hint="eastAsia" w:ascii="仿宋" w:hAnsi="仿宋" w:eastAsia="仿宋" w:cs="仿宋"/>
          <w:bCs/>
          <w:color w:val="000000"/>
          <w:sz w:val="32"/>
          <w:szCs w:val="32"/>
        </w:rPr>
        <w:t>辆</w:t>
      </w:r>
      <w:r>
        <w:rPr>
          <w:rFonts w:ascii="仿宋" w:hAnsi="仿宋" w:eastAsia="仿宋" w:cs="仿宋"/>
          <w:bCs/>
          <w:color w:val="000000"/>
          <w:sz w:val="32"/>
          <w:szCs w:val="32"/>
        </w:rPr>
        <w:t>12</w:t>
      </w:r>
      <w:r>
        <w:rPr>
          <w:rFonts w:hint="eastAsia" w:ascii="仿宋" w:hAnsi="仿宋" w:eastAsia="仿宋" w:cs="仿宋"/>
          <w:bCs/>
          <w:color w:val="000000"/>
          <w:sz w:val="32"/>
          <w:szCs w:val="32"/>
        </w:rPr>
        <w:t>吨及以上重型车和半挂牵引车安装卫星定位装置并接入全国货运平台。</w:t>
      </w:r>
      <w:r>
        <w:rPr>
          <w:rFonts w:hint="eastAsia" w:ascii="仿宋" w:hAnsi="仿宋" w:eastAsia="仿宋" w:cs="仿宋"/>
          <w:bCs/>
          <w:sz w:val="32"/>
          <w:szCs w:val="32"/>
        </w:rPr>
        <w:t>全力做好了中央环保督查后续整改落实。联合车管所全面完成不合规运输车辆淘汰退出目标。持续规范货运源头治理及货运市场秩序，建立了与交警联合巡查主要货运源头制度，形成监督检查常态化。做好货运源头超限治理，及时依法查处超限治理中抄告事项。</w:t>
      </w:r>
      <w:r>
        <w:rPr>
          <w:rFonts w:hint="eastAsia" w:ascii="仿宋" w:hAnsi="仿宋" w:eastAsia="仿宋" w:cs="仿宋"/>
          <w:b/>
          <w:sz w:val="32"/>
          <w:szCs w:val="32"/>
        </w:rPr>
        <w:t>加快完善农村物流服务体系建设。</w:t>
      </w:r>
      <w:r>
        <w:rPr>
          <w:rFonts w:hint="eastAsia" w:ascii="仿宋" w:hAnsi="仿宋" w:eastAsia="仿宋" w:cs="仿宋"/>
          <w:bCs/>
          <w:sz w:val="32"/>
          <w:szCs w:val="32"/>
        </w:rPr>
        <w:t>为建立完善我县物流体系网络，我所主动加大与相关部门的沟通协调工作，积极参与我县政府与绵阳援建上层对我县物流建设的规划设计，力求为建立一个集约化、规模化、信息化的物流体系做好前期准备工作。</w:t>
      </w:r>
      <w:r>
        <w:rPr>
          <w:rFonts w:hint="eastAsia" w:ascii="仿宋" w:hAnsi="仿宋" w:eastAsia="仿宋" w:cs="仿宋"/>
          <w:b/>
          <w:sz w:val="32"/>
          <w:szCs w:val="32"/>
        </w:rPr>
        <w:t>继续推进行政事项全部纳入政府服务一体化平台</w:t>
      </w:r>
      <w:r>
        <w:rPr>
          <w:rFonts w:hint="eastAsia" w:ascii="仿宋" w:hAnsi="仿宋" w:eastAsia="仿宋" w:cs="仿宋"/>
          <w:bCs/>
          <w:sz w:val="32"/>
          <w:szCs w:val="32"/>
        </w:rPr>
        <w:t>。目前认领行权事项</w:t>
      </w:r>
      <w:r>
        <w:rPr>
          <w:rFonts w:ascii="仿宋" w:hAnsi="仿宋" w:eastAsia="仿宋" w:cs="仿宋"/>
          <w:bCs/>
          <w:sz w:val="32"/>
          <w:szCs w:val="32"/>
        </w:rPr>
        <w:t>145</w:t>
      </w:r>
      <w:r>
        <w:rPr>
          <w:rFonts w:hint="eastAsia" w:ascii="仿宋" w:hAnsi="仿宋" w:eastAsia="仿宋" w:cs="仿宋"/>
          <w:bCs/>
          <w:sz w:val="32"/>
          <w:szCs w:val="32"/>
        </w:rPr>
        <w:t>项（其中</w:t>
      </w:r>
      <w:r>
        <w:rPr>
          <w:rFonts w:hint="eastAsia" w:ascii="仿宋" w:hAnsi="仿宋" w:eastAsia="仿宋" w:cs="仿宋"/>
          <w:kern w:val="0"/>
          <w:sz w:val="32"/>
          <w:szCs w:val="32"/>
        </w:rPr>
        <w:t>行政许可</w:t>
      </w:r>
      <w:r>
        <w:rPr>
          <w:rFonts w:ascii="仿宋" w:hAnsi="仿宋" w:eastAsia="仿宋" w:cs="仿宋"/>
          <w:kern w:val="0"/>
          <w:sz w:val="32"/>
          <w:szCs w:val="32"/>
        </w:rPr>
        <w:t>13</w:t>
      </w:r>
      <w:r>
        <w:rPr>
          <w:rFonts w:hint="eastAsia" w:ascii="仿宋" w:hAnsi="仿宋" w:eastAsia="仿宋" w:cs="仿宋"/>
          <w:kern w:val="0"/>
          <w:sz w:val="32"/>
          <w:szCs w:val="32"/>
        </w:rPr>
        <w:t>项、行政处罚</w:t>
      </w:r>
      <w:r>
        <w:rPr>
          <w:rFonts w:ascii="仿宋" w:hAnsi="仿宋" w:eastAsia="仿宋" w:cs="仿宋"/>
          <w:kern w:val="0"/>
          <w:sz w:val="32"/>
          <w:szCs w:val="32"/>
        </w:rPr>
        <w:t>120</w:t>
      </w:r>
      <w:r>
        <w:rPr>
          <w:rFonts w:hint="eastAsia" w:ascii="仿宋" w:hAnsi="仿宋" w:eastAsia="仿宋" w:cs="仿宋"/>
          <w:kern w:val="0"/>
          <w:sz w:val="32"/>
          <w:szCs w:val="32"/>
        </w:rPr>
        <w:t>项、行政强制</w:t>
      </w:r>
      <w:r>
        <w:rPr>
          <w:rFonts w:ascii="仿宋" w:hAnsi="仿宋" w:eastAsia="仿宋" w:cs="仿宋"/>
          <w:kern w:val="0"/>
          <w:sz w:val="32"/>
          <w:szCs w:val="32"/>
        </w:rPr>
        <w:t>5</w:t>
      </w:r>
      <w:r>
        <w:rPr>
          <w:rFonts w:hint="eastAsia" w:ascii="仿宋" w:hAnsi="仿宋" w:eastAsia="仿宋" w:cs="仿宋"/>
          <w:kern w:val="0"/>
          <w:sz w:val="32"/>
          <w:szCs w:val="32"/>
        </w:rPr>
        <w:t>项、行政裁决</w:t>
      </w:r>
      <w:r>
        <w:rPr>
          <w:rFonts w:ascii="仿宋" w:hAnsi="仿宋" w:eastAsia="仿宋" w:cs="仿宋"/>
          <w:kern w:val="0"/>
          <w:sz w:val="32"/>
          <w:szCs w:val="32"/>
        </w:rPr>
        <w:t>1</w:t>
      </w:r>
      <w:r>
        <w:rPr>
          <w:rFonts w:hint="eastAsia" w:ascii="仿宋" w:hAnsi="仿宋" w:eastAsia="仿宋" w:cs="仿宋"/>
          <w:kern w:val="0"/>
          <w:sz w:val="32"/>
          <w:szCs w:val="32"/>
        </w:rPr>
        <w:t>项、行政检查</w:t>
      </w:r>
      <w:r>
        <w:rPr>
          <w:rFonts w:ascii="仿宋" w:hAnsi="仿宋" w:eastAsia="仿宋" w:cs="仿宋"/>
          <w:kern w:val="0"/>
          <w:sz w:val="32"/>
          <w:szCs w:val="32"/>
        </w:rPr>
        <w:t>2</w:t>
      </w:r>
      <w:r>
        <w:rPr>
          <w:rFonts w:hint="eastAsia" w:ascii="仿宋" w:hAnsi="仿宋" w:eastAsia="仿宋" w:cs="仿宋"/>
          <w:kern w:val="0"/>
          <w:sz w:val="32"/>
          <w:szCs w:val="32"/>
        </w:rPr>
        <w:t>项、其他权利</w:t>
      </w:r>
      <w:r>
        <w:rPr>
          <w:rFonts w:ascii="仿宋" w:hAnsi="仿宋" w:eastAsia="仿宋" w:cs="仿宋"/>
          <w:kern w:val="0"/>
          <w:sz w:val="32"/>
          <w:szCs w:val="32"/>
        </w:rPr>
        <w:t>14</w:t>
      </w:r>
      <w:r>
        <w:rPr>
          <w:rFonts w:hint="eastAsia" w:ascii="仿宋" w:hAnsi="仿宋" w:eastAsia="仿宋" w:cs="仿宋"/>
          <w:kern w:val="0"/>
          <w:sz w:val="32"/>
          <w:szCs w:val="32"/>
        </w:rPr>
        <w:t>项</w:t>
      </w:r>
      <w:r>
        <w:rPr>
          <w:rFonts w:hint="eastAsia" w:ascii="仿宋" w:hAnsi="仿宋" w:eastAsia="仿宋" w:cs="仿宋"/>
          <w:bCs/>
          <w:sz w:val="32"/>
          <w:szCs w:val="32"/>
        </w:rPr>
        <w:t>）</w:t>
      </w:r>
      <w:r>
        <w:rPr>
          <w:rFonts w:hint="eastAsia" w:ascii="仿宋" w:hAnsi="仿宋" w:eastAsia="仿宋" w:cs="仿宋"/>
          <w:kern w:val="0"/>
          <w:sz w:val="32"/>
          <w:szCs w:val="32"/>
        </w:rPr>
        <w:t>，办理行政权力事项</w:t>
      </w:r>
      <w:r>
        <w:rPr>
          <w:rFonts w:ascii="仿宋" w:hAnsi="仿宋" w:eastAsia="仿宋" w:cs="仿宋"/>
          <w:kern w:val="0"/>
          <w:sz w:val="32"/>
          <w:szCs w:val="32"/>
        </w:rPr>
        <w:t>17</w:t>
      </w:r>
      <w:r>
        <w:rPr>
          <w:rFonts w:hint="eastAsia" w:ascii="仿宋" w:hAnsi="仿宋" w:eastAsia="仿宋" w:cs="仿宋"/>
          <w:kern w:val="0"/>
          <w:sz w:val="32"/>
          <w:szCs w:val="32"/>
        </w:rPr>
        <w:t>项。</w:t>
      </w:r>
      <w:r>
        <w:rPr>
          <w:rFonts w:hint="eastAsia" w:ascii="仿宋" w:hAnsi="仿宋" w:eastAsia="仿宋" w:cs="仿宋_GB2312"/>
          <w:color w:val="000000"/>
          <w:kern w:val="0"/>
          <w:sz w:val="32"/>
          <w:szCs w:val="32"/>
        </w:rPr>
        <w:t>并</w:t>
      </w:r>
      <w:r>
        <w:rPr>
          <w:rFonts w:hint="eastAsia" w:ascii="仿宋" w:hAnsi="仿宋" w:eastAsia="仿宋" w:cs="仿宋_GB2312"/>
          <w:color w:val="000000"/>
          <w:sz w:val="32"/>
          <w:szCs w:val="32"/>
        </w:rPr>
        <w:t>取消了</w:t>
      </w:r>
      <w:r>
        <w:rPr>
          <w:rFonts w:ascii="仿宋" w:hAnsi="仿宋" w:eastAsia="仿宋" w:cs="仿宋_GB2312"/>
          <w:color w:val="000000"/>
          <w:sz w:val="32"/>
          <w:szCs w:val="32"/>
        </w:rPr>
        <w:t>5</w:t>
      </w:r>
      <w:r>
        <w:rPr>
          <w:rFonts w:hint="eastAsia" w:ascii="仿宋" w:hAnsi="仿宋" w:eastAsia="仿宋" w:cs="仿宋_GB2312"/>
          <w:color w:val="000000"/>
          <w:sz w:val="32"/>
          <w:szCs w:val="32"/>
        </w:rPr>
        <w:t>项行政审批事项降本减负实事，</w:t>
      </w:r>
      <w:r>
        <w:rPr>
          <w:rFonts w:hint="eastAsia" w:ascii="仿宋" w:hAnsi="仿宋" w:eastAsia="仿宋" w:cs="仿宋_GB2312"/>
          <w:color w:val="000000"/>
          <w:kern w:val="0"/>
          <w:sz w:val="32"/>
          <w:szCs w:val="32"/>
        </w:rPr>
        <w:t>做</w:t>
      </w:r>
      <w:r>
        <w:rPr>
          <w:rFonts w:hint="eastAsia" w:ascii="仿宋" w:hAnsi="仿宋" w:eastAsia="仿宋" w:cs="仿宋_GB2312"/>
          <w:color w:val="000000"/>
          <w:sz w:val="32"/>
          <w:szCs w:val="32"/>
        </w:rPr>
        <w:t>有序推进了《四川省促进道路货运行业健康稳定发展实施方案（</w:t>
      </w:r>
      <w:r>
        <w:rPr>
          <w:rFonts w:ascii="仿宋" w:hAnsi="仿宋" w:eastAsia="仿宋" w:cs="仿宋_GB2312"/>
          <w:color w:val="000000"/>
          <w:sz w:val="32"/>
          <w:szCs w:val="32"/>
        </w:rPr>
        <w:t>2017-2020</w:t>
      </w:r>
      <w:r>
        <w:rPr>
          <w:rFonts w:hint="eastAsia" w:ascii="仿宋" w:hAnsi="仿宋" w:eastAsia="仿宋" w:cs="仿宋_GB2312"/>
          <w:color w:val="000000"/>
          <w:sz w:val="32"/>
          <w:szCs w:val="32"/>
        </w:rPr>
        <w:t>年）》落实工作。</w:t>
      </w:r>
    </w:p>
    <w:p>
      <w:pPr>
        <w:pageBreakBefore w:val="0"/>
        <w:kinsoku/>
        <w:overflowPunct/>
        <w:topLinePunct w:val="0"/>
        <w:bidi w:val="0"/>
        <w:spacing w:line="560" w:lineRule="exact"/>
        <w:ind w:firstLine="643" w:firstLineChars="200"/>
        <w:rPr>
          <w:rFonts w:ascii="仿宋" w:hAnsi="仿宋" w:eastAsia="仿宋"/>
          <w:bCs/>
          <w:sz w:val="32"/>
          <w:szCs w:val="32"/>
        </w:rPr>
      </w:pPr>
      <w:r>
        <w:rPr>
          <w:rFonts w:hint="eastAsia" w:ascii="仿宋" w:hAnsi="仿宋" w:eastAsia="仿宋" w:cs="仿宋"/>
          <w:b/>
          <w:sz w:val="32"/>
          <w:szCs w:val="32"/>
        </w:rPr>
        <w:t>四是行业专项整治建设。安全隐患治理排查。</w:t>
      </w:r>
      <w:r>
        <w:rPr>
          <w:rFonts w:hint="eastAsia" w:ascii="仿宋" w:hAnsi="仿宋" w:eastAsia="仿宋"/>
          <w:bCs/>
          <w:sz w:val="32"/>
          <w:szCs w:val="32"/>
        </w:rPr>
        <w:t>我所将安全隐患排查作为安全管理工作的重点来抓，加大对道路运输各个环节的隐患排查工作，推进安全隐患排查治理系统建设，及时汇总报送隐患排查治理信息统计，一般隐患整改率达到</w:t>
      </w:r>
      <w:r>
        <w:rPr>
          <w:rFonts w:ascii="仿宋" w:hAnsi="仿宋" w:eastAsia="仿宋"/>
          <w:bCs/>
          <w:sz w:val="32"/>
          <w:szCs w:val="32"/>
        </w:rPr>
        <w:t>100%</w:t>
      </w:r>
      <w:r>
        <w:rPr>
          <w:rFonts w:hint="eastAsia" w:ascii="仿宋" w:hAnsi="仿宋" w:eastAsia="仿宋"/>
          <w:bCs/>
          <w:sz w:val="32"/>
          <w:szCs w:val="32"/>
        </w:rPr>
        <w:t>。</w:t>
      </w:r>
      <w:r>
        <w:rPr>
          <w:rFonts w:hint="eastAsia" w:ascii="仿宋" w:hAnsi="仿宋" w:eastAsia="仿宋" w:cs="仿宋"/>
          <w:b/>
          <w:sz w:val="32"/>
          <w:szCs w:val="32"/>
        </w:rPr>
        <w:t>打击非法违法经营建设行为。</w:t>
      </w:r>
      <w:r>
        <w:rPr>
          <w:rFonts w:hint="eastAsia" w:ascii="仿宋" w:hAnsi="仿宋" w:eastAsia="仿宋"/>
          <w:bCs/>
          <w:sz w:val="32"/>
          <w:szCs w:val="32"/>
        </w:rPr>
        <w:t>进一步健全完善道路运输打非“一牵头，三联动”机制，常态化开展打击道路运输非法营运行为。本年度共开展</w:t>
      </w:r>
      <w:r>
        <w:rPr>
          <w:rFonts w:hint="eastAsia" w:ascii="仿宋" w:hAnsi="仿宋" w:eastAsia="仿宋" w:cs="宋体"/>
          <w:kern w:val="0"/>
          <w:sz w:val="32"/>
          <w:szCs w:val="32"/>
        </w:rPr>
        <w:t>打非治违工作，警告违规行为，整改车辆，维修、驾培、运输企业全面检查。</w:t>
      </w:r>
      <w:r>
        <w:rPr>
          <w:rFonts w:hint="eastAsia" w:ascii="仿宋" w:hAnsi="仿宋" w:eastAsia="仿宋"/>
          <w:bCs/>
          <w:sz w:val="32"/>
          <w:szCs w:val="32"/>
        </w:rPr>
        <w:t>建立并落实安全生产暗访督查工作机制，加大暗访督查工作力度，保质保量完成州处下达的安全与服务质量暗访任务，从源头治理企业生产经营过程中存在的隐患和问题。</w:t>
      </w:r>
    </w:p>
    <w:p>
      <w:pPr>
        <w:pageBreakBefore w:val="0"/>
        <w:kinsoku/>
        <w:overflowPunct/>
        <w:topLinePunct w:val="0"/>
        <w:bidi w:val="0"/>
        <w:spacing w:line="560" w:lineRule="exact"/>
        <w:ind w:firstLine="643" w:firstLineChars="200"/>
        <w:rPr>
          <w:rFonts w:ascii="仿宋" w:hAnsi="仿宋" w:eastAsia="仿宋"/>
          <w:bCs/>
          <w:sz w:val="32"/>
          <w:szCs w:val="32"/>
        </w:rPr>
      </w:pPr>
      <w:r>
        <w:rPr>
          <w:rFonts w:hint="eastAsia" w:ascii="仿宋" w:hAnsi="仿宋" w:eastAsia="仿宋" w:cs="仿宋"/>
          <w:b/>
          <w:sz w:val="32"/>
          <w:szCs w:val="32"/>
        </w:rPr>
        <w:t>五是安全生产宣传教育培训。</w:t>
      </w:r>
      <w:r>
        <w:rPr>
          <w:rFonts w:hint="eastAsia" w:ascii="仿宋" w:hAnsi="仿宋" w:eastAsia="仿宋"/>
          <w:bCs/>
          <w:sz w:val="32"/>
          <w:szCs w:val="32"/>
        </w:rPr>
        <w:t>为安全生产宣传工作能落到实处，我所积极督促行业有关单位、企业制定并落实了安全生产宣传教育培训工作年度计划专项计划。督促各企业严格按照安全生产例会召开要求，有针对性有目的的进行宣传教育。我所利用“安全生产月”等重要时段的群众性宣传教育活动。多措并举加大安全生产法规、政策和安全生产知识宣传力度。</w:t>
      </w:r>
    </w:p>
    <w:p>
      <w:pPr>
        <w:pageBreakBefore w:val="0"/>
        <w:kinsoku/>
        <w:overflowPunct/>
        <w:topLinePunct w:val="0"/>
        <w:bidi w:val="0"/>
        <w:spacing w:line="560" w:lineRule="exact"/>
        <w:ind w:firstLine="643" w:firstLineChars="200"/>
        <w:rPr>
          <w:rFonts w:ascii="仿宋" w:hAnsi="仿宋" w:eastAsia="仿宋"/>
          <w:bCs/>
          <w:sz w:val="32"/>
          <w:szCs w:val="32"/>
        </w:rPr>
      </w:pPr>
      <w:r>
        <w:rPr>
          <w:rFonts w:hint="eastAsia" w:ascii="仿宋" w:hAnsi="仿宋" w:eastAsia="仿宋" w:cs="仿宋"/>
          <w:b/>
          <w:sz w:val="32"/>
          <w:szCs w:val="32"/>
        </w:rPr>
        <w:t>六是强化日常工作处理能力。</w:t>
      </w:r>
      <w:r>
        <w:rPr>
          <w:rFonts w:hint="eastAsia" w:ascii="仿宋" w:hAnsi="仿宋" w:eastAsia="仿宋"/>
          <w:bCs/>
          <w:sz w:val="32"/>
          <w:szCs w:val="32"/>
        </w:rPr>
        <w:t>始终坚持“一岗双责”原则，全面落实主体责任，根据单位实际合理分工，形成各司其职，统筹协调，上下联动的工作机制。结合年初签订的党风廉政责任书，加大日常教育宣传工作，从精神形态上树立了“不敢腐、不能腐、不想腐”意识，确保了本年度无违纪违法案件发生。扎实开展了道路运输系统“作风年建设”。全面加强行业普法工作，落实领导干部带头学法的良好风气，</w:t>
      </w:r>
      <w:r>
        <w:rPr>
          <w:rFonts w:hint="eastAsia" w:ascii="仿宋" w:hAnsi="仿宋" w:eastAsia="仿宋"/>
          <w:sz w:val="32"/>
          <w:szCs w:val="32"/>
        </w:rPr>
        <w:t>为加强执法队伍建设，提高依法行政能力，开展系统开展法律法规知识教育，通过学习使职工做到知法、懂法、守法和正确执法，为依法管理道路运输市场奠定了基础。</w:t>
      </w:r>
      <w:r>
        <w:rPr>
          <w:rFonts w:ascii="仿宋" w:hAnsi="仿宋" w:eastAsia="仿宋"/>
          <w:sz w:val="32"/>
          <w:szCs w:val="32"/>
        </w:rPr>
        <w:t xml:space="preserve">  </w:t>
      </w:r>
    </w:p>
    <w:p>
      <w:pPr>
        <w:pageBreakBefore w:val="0"/>
        <w:kinsoku/>
        <w:overflowPunct/>
        <w:topLinePunct w:val="0"/>
        <w:bidi w:val="0"/>
        <w:spacing w:line="560" w:lineRule="exact"/>
        <w:rPr>
          <w:rFonts w:ascii="仿宋" w:hAnsi="仿宋" w:eastAsia="仿宋" w:cs="仿宋"/>
          <w:bCs/>
          <w:sz w:val="32"/>
          <w:szCs w:val="32"/>
        </w:rPr>
      </w:pPr>
      <w:r>
        <w:rPr>
          <w:rFonts w:ascii="仿宋" w:hAnsi="仿宋" w:eastAsia="仿宋" w:cs="仿宋"/>
          <w:b/>
          <w:sz w:val="32"/>
          <w:szCs w:val="32"/>
        </w:rPr>
        <w:t xml:space="preserve">  </w:t>
      </w:r>
      <w:r>
        <w:rPr>
          <w:rFonts w:hint="eastAsia" w:ascii="仿宋" w:hAnsi="仿宋" w:eastAsia="仿宋" w:cs="仿宋"/>
          <w:b/>
          <w:sz w:val="32"/>
          <w:szCs w:val="32"/>
        </w:rPr>
        <w:t>七是安全生产事故统计、查处及报送。</w:t>
      </w:r>
      <w:r>
        <w:rPr>
          <w:rFonts w:hint="eastAsia" w:ascii="仿宋" w:hAnsi="仿宋" w:eastAsia="仿宋" w:cs="仿宋"/>
          <w:bCs/>
          <w:sz w:val="32"/>
          <w:szCs w:val="32"/>
        </w:rPr>
        <w:t>按照行业管理要求严格执行各类统计工作报送。依据有关规定，参与职责范围内生产安全事故的调查处理，依法依规严肃查处每一起事故，严格追究相关单位和人员责任。开展事故警示教育活动，适时向社会公布事实查处情况，对吸取典型事故教训作深度剖析。按照“四不放过”原则，复查发生事故的地区或企业落实事故查处提出的各项整改措施和对责任人进行追究的情况。</w:t>
      </w:r>
    </w:p>
    <w:p>
      <w:pPr>
        <w:pStyle w:val="3"/>
        <w:ind w:firstLine="640" w:firstLineChars="200"/>
        <w:rPr>
          <w:rStyle w:val="26"/>
          <w:b w:val="0"/>
          <w:bCs w:val="0"/>
        </w:rPr>
      </w:pPr>
      <w:bookmarkStart w:id="53" w:name="_Toc12128_WPSOffice_Level2"/>
      <w:bookmarkStart w:id="54" w:name="_Toc15377200"/>
      <w:bookmarkStart w:id="55"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53"/>
      <w:bookmarkEnd w:id="54"/>
      <w:bookmarkEnd w:id="55"/>
    </w:p>
    <w:p>
      <w:pPr>
        <w:pStyle w:val="5"/>
        <w:pageBreakBefore w:val="0"/>
        <w:kinsoku/>
        <w:overflowPunct/>
        <w:topLinePunct w:val="0"/>
        <w:bidi w:val="0"/>
        <w:adjustRightInd w:val="0"/>
        <w:snapToGrid w:val="0"/>
        <w:spacing w:before="93" w:line="560" w:lineRule="exact"/>
        <w:ind w:firstLine="672" w:firstLineChars="210"/>
        <w:rPr>
          <w:rFonts w:hint="eastAsia" w:ascii="仿宋" w:hAnsi="仿宋" w:eastAsia="仿宋"/>
          <w:bCs/>
          <w:color w:val="000000"/>
          <w:sz w:val="32"/>
          <w:szCs w:val="32"/>
        </w:rPr>
      </w:pPr>
      <w:r>
        <w:rPr>
          <w:rFonts w:hint="eastAsia" w:ascii="仿宋" w:hAnsi="仿宋" w:eastAsia="仿宋"/>
          <w:sz w:val="32"/>
          <w:szCs w:val="32"/>
        </w:rPr>
        <w:t>我单位为独立核算全额拨款参照公务员管理的单位。截止</w:t>
      </w:r>
      <w:r>
        <w:rPr>
          <w:rFonts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年底我单位共有编制</w:t>
      </w:r>
      <w:r>
        <w:rPr>
          <w:rFonts w:ascii="仿宋" w:hAnsi="仿宋" w:eastAsia="仿宋"/>
          <w:sz w:val="32"/>
          <w:szCs w:val="32"/>
        </w:rPr>
        <w:t>8</w:t>
      </w:r>
      <w:r>
        <w:rPr>
          <w:rFonts w:hint="eastAsia" w:ascii="仿宋" w:hAnsi="仿宋" w:eastAsia="仿宋"/>
          <w:sz w:val="32"/>
          <w:szCs w:val="32"/>
        </w:rPr>
        <w:t>个，其中参照公务员管理编制</w:t>
      </w:r>
      <w:r>
        <w:rPr>
          <w:rFonts w:ascii="仿宋" w:hAnsi="仿宋" w:eastAsia="仿宋"/>
          <w:sz w:val="32"/>
          <w:szCs w:val="32"/>
        </w:rPr>
        <w:t>8</w:t>
      </w:r>
      <w:r>
        <w:rPr>
          <w:rFonts w:hint="eastAsia" w:ascii="仿宋" w:hAnsi="仿宋" w:eastAsia="仿宋"/>
          <w:sz w:val="32"/>
          <w:szCs w:val="32"/>
        </w:rPr>
        <w:t>个，在职</w:t>
      </w:r>
      <w:r>
        <w:rPr>
          <w:rFonts w:hint="eastAsia" w:ascii="仿宋" w:hAnsi="仿宋" w:eastAsia="仿宋"/>
          <w:sz w:val="32"/>
          <w:szCs w:val="32"/>
          <w:lang w:val="en-US" w:eastAsia="zh-CN"/>
        </w:rPr>
        <w:t>6</w:t>
      </w:r>
      <w:r>
        <w:rPr>
          <w:rFonts w:hint="eastAsia" w:ascii="仿宋" w:hAnsi="仿宋" w:eastAsia="仿宋"/>
          <w:sz w:val="32"/>
          <w:szCs w:val="32"/>
        </w:rPr>
        <w:t>人。退休人员</w:t>
      </w:r>
      <w:r>
        <w:rPr>
          <w:rFonts w:ascii="仿宋" w:hAnsi="仿宋" w:eastAsia="仿宋"/>
          <w:sz w:val="32"/>
          <w:szCs w:val="32"/>
        </w:rPr>
        <w:t>4</w:t>
      </w:r>
      <w:r>
        <w:rPr>
          <w:rFonts w:hint="eastAsia" w:ascii="仿宋" w:hAnsi="仿宋" w:eastAsia="仿宋"/>
          <w:sz w:val="32"/>
          <w:szCs w:val="32"/>
        </w:rPr>
        <w:t>人。</w:t>
      </w:r>
    </w:p>
    <w:p>
      <w:pPr>
        <w:pStyle w:val="2"/>
        <w:ind w:right="440"/>
        <w:jc w:val="right"/>
      </w:pPr>
      <w:bookmarkStart w:id="56" w:name="_Toc19239_WPSOffice_Level1"/>
      <w:bookmarkStart w:id="57" w:name="_Toc15377204"/>
      <w:bookmarkStart w:id="58"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56"/>
      <w:bookmarkEnd w:id="57"/>
      <w:bookmarkEnd w:id="58"/>
    </w:p>
    <w:p>
      <w:pPr>
        <w:pStyle w:val="24"/>
        <w:numPr>
          <w:ilvl w:val="0"/>
          <w:numId w:val="1"/>
        </w:numPr>
        <w:spacing w:line="600" w:lineRule="exact"/>
        <w:ind w:firstLineChars="0"/>
        <w:outlineLvl w:val="1"/>
        <w:rPr>
          <w:rStyle w:val="26"/>
          <w:rFonts w:ascii="黑体" w:hAnsi="黑体" w:eastAsia="黑体"/>
          <w:b w:val="0"/>
        </w:rPr>
      </w:pPr>
      <w:bookmarkStart w:id="59" w:name="_Toc15377205"/>
      <w:bookmarkStart w:id="60" w:name="_Toc5114_WPSOffice_Level2"/>
      <w:bookmarkStart w:id="61"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59"/>
      <w:bookmarkEnd w:id="60"/>
      <w:bookmarkEnd w:id="61"/>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年度收入总计</w:t>
      </w:r>
      <w:r>
        <w:rPr>
          <w:rFonts w:hint="eastAsia" w:ascii="仿宋" w:hAnsi="仿宋" w:eastAsia="仿宋"/>
          <w:color w:val="000000"/>
          <w:sz w:val="32"/>
          <w:szCs w:val="32"/>
          <w:lang w:val="en-US" w:eastAsia="zh-CN"/>
        </w:rPr>
        <w:t>227.9</w:t>
      </w:r>
      <w:r>
        <w:rPr>
          <w:rFonts w:hint="eastAsia" w:ascii="仿宋" w:hAnsi="仿宋" w:eastAsia="仿宋"/>
          <w:color w:val="000000"/>
          <w:sz w:val="32"/>
          <w:szCs w:val="32"/>
        </w:rPr>
        <w:t>万元。</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年总收入总计</w:t>
      </w:r>
      <w:r>
        <w:rPr>
          <w:rFonts w:hint="eastAsia" w:ascii="仿宋" w:hAnsi="仿宋" w:eastAsia="仿宋"/>
          <w:color w:val="000000"/>
          <w:sz w:val="32"/>
          <w:szCs w:val="32"/>
          <w:lang w:val="en-US" w:eastAsia="zh-CN"/>
        </w:rPr>
        <w:t>247.07</w:t>
      </w:r>
      <w:r>
        <w:rPr>
          <w:rFonts w:hint="eastAsia" w:ascii="仿宋" w:hAnsi="仿宋" w:eastAsia="仿宋"/>
          <w:color w:val="000000"/>
          <w:sz w:val="32"/>
          <w:szCs w:val="32"/>
        </w:rPr>
        <w:t>万元，相比</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19.17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8.41</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为</w:t>
      </w:r>
      <w:r>
        <w:rPr>
          <w:rFonts w:hint="eastAsia" w:ascii="仿宋" w:hAnsi="仿宋" w:eastAsia="仿宋"/>
          <w:color w:val="auto"/>
          <w:sz w:val="32"/>
          <w:szCs w:val="32"/>
          <w:lang w:eastAsia="zh-CN"/>
        </w:rPr>
        <w:t>人员减少、公共运输管理上级补助收入减少</w:t>
      </w:r>
      <w:r>
        <w:rPr>
          <w:rFonts w:hint="eastAsia" w:ascii="仿宋" w:hAnsi="仿宋" w:eastAsia="仿宋"/>
          <w:color w:val="auto"/>
          <w:sz w:val="32"/>
          <w:szCs w:val="32"/>
        </w:rPr>
        <w:t>。</w:t>
      </w:r>
    </w:p>
    <w:p>
      <w:pPr>
        <w:pageBreakBefore w:val="0"/>
        <w:kinsoku/>
        <w:overflowPunct/>
        <w:topLinePunct w:val="0"/>
        <w:bidi w:val="0"/>
        <w:snapToGrid w:val="0"/>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2019</w:t>
      </w:r>
      <w:r>
        <w:rPr>
          <w:rFonts w:hint="eastAsia" w:ascii="仿宋" w:hAnsi="仿宋" w:eastAsia="仿宋" w:cs="仿宋"/>
          <w:sz w:val="32"/>
          <w:szCs w:val="32"/>
        </w:rPr>
        <w:t>年度支出</w:t>
      </w:r>
      <w:r>
        <w:rPr>
          <w:rFonts w:hint="eastAsia" w:ascii="仿宋" w:hAnsi="仿宋" w:eastAsia="仿宋" w:cs="仿宋"/>
          <w:sz w:val="32"/>
          <w:szCs w:val="32"/>
          <w:lang w:val="en-US" w:eastAsia="zh-CN"/>
        </w:rPr>
        <w:t>227.9</w:t>
      </w:r>
      <w:r>
        <w:rPr>
          <w:rFonts w:hint="eastAsia" w:ascii="仿宋" w:hAnsi="仿宋" w:eastAsia="仿宋" w:cs="仿宋"/>
          <w:sz w:val="32"/>
          <w:szCs w:val="32"/>
        </w:rPr>
        <w:t>万元，</w:t>
      </w:r>
      <w:r>
        <w:rPr>
          <w:rFonts w:hint="eastAsia" w:ascii="仿宋" w:hAnsi="仿宋" w:eastAsia="仿宋" w:cs="仿宋"/>
          <w:sz w:val="32"/>
          <w:szCs w:val="32"/>
          <w:lang w:val="en-US" w:eastAsia="zh-CN"/>
        </w:rPr>
        <w:t>2018</w:t>
      </w:r>
      <w:r>
        <w:rPr>
          <w:rFonts w:hint="eastAsia" w:ascii="仿宋" w:hAnsi="仿宋" w:eastAsia="仿宋" w:cs="仿宋"/>
          <w:sz w:val="32"/>
          <w:szCs w:val="32"/>
        </w:rPr>
        <w:t>年度支出</w:t>
      </w:r>
      <w:r>
        <w:rPr>
          <w:rFonts w:hint="eastAsia" w:ascii="仿宋" w:hAnsi="仿宋" w:eastAsia="仿宋" w:cs="仿宋"/>
          <w:sz w:val="32"/>
          <w:szCs w:val="32"/>
          <w:lang w:val="en-US" w:eastAsia="zh-CN"/>
        </w:rPr>
        <w:t>203.23</w:t>
      </w:r>
      <w:r>
        <w:rPr>
          <w:rFonts w:hint="eastAsia" w:ascii="仿宋" w:hAnsi="仿宋" w:eastAsia="仿宋" w:cs="仿宋"/>
          <w:sz w:val="32"/>
          <w:szCs w:val="32"/>
        </w:rPr>
        <w:t>万元，本年支出比上年支出增加</w:t>
      </w:r>
      <w:r>
        <w:rPr>
          <w:rFonts w:hint="eastAsia" w:ascii="仿宋" w:hAnsi="仿宋" w:eastAsia="仿宋" w:cs="仿宋"/>
          <w:sz w:val="32"/>
          <w:szCs w:val="32"/>
          <w:lang w:val="en-US" w:eastAsia="zh-CN"/>
        </w:rPr>
        <w:t>24.67</w:t>
      </w:r>
      <w:r>
        <w:rPr>
          <w:rFonts w:hint="eastAsia" w:ascii="仿宋" w:hAnsi="仿宋" w:eastAsia="仿宋" w:cs="仿宋"/>
          <w:sz w:val="32"/>
          <w:szCs w:val="32"/>
        </w:rPr>
        <w:t>万元，增加</w:t>
      </w:r>
      <w:r>
        <w:rPr>
          <w:rFonts w:hint="eastAsia" w:ascii="仿宋" w:hAnsi="仿宋" w:eastAsia="仿宋" w:cs="仿宋"/>
          <w:sz w:val="32"/>
          <w:szCs w:val="32"/>
          <w:lang w:val="en-US" w:eastAsia="zh-CN"/>
        </w:rPr>
        <w:t>12.14</w:t>
      </w:r>
      <w:r>
        <w:rPr>
          <w:rFonts w:ascii="仿宋" w:hAnsi="仿宋" w:eastAsia="仿宋" w:cs="仿宋"/>
          <w:sz w:val="32"/>
          <w:szCs w:val="32"/>
        </w:rPr>
        <w:t>%</w:t>
      </w:r>
      <w:r>
        <w:rPr>
          <w:rFonts w:hint="eastAsia" w:ascii="仿宋" w:hAnsi="仿宋" w:eastAsia="仿宋" w:cs="仿宋"/>
          <w:sz w:val="32"/>
          <w:szCs w:val="32"/>
        </w:rPr>
        <w:t>，增加原因是</w:t>
      </w:r>
      <w:r>
        <w:rPr>
          <w:rFonts w:hint="eastAsia" w:ascii="仿宋" w:hAnsi="仿宋" w:eastAsia="仿宋" w:cs="仿宋"/>
          <w:sz w:val="32"/>
          <w:szCs w:val="32"/>
          <w:lang w:eastAsia="zh-CN"/>
        </w:rPr>
        <w:t>年初结转结余公共运营补助安排的支出</w:t>
      </w:r>
      <w:r>
        <w:rPr>
          <w:rFonts w:hint="eastAsia" w:ascii="仿宋" w:hAnsi="仿宋" w:eastAsia="仿宋" w:cs="仿宋"/>
          <w:sz w:val="32"/>
          <w:szCs w:val="32"/>
        </w:rPr>
        <w:t>；本年度项目结转结余</w:t>
      </w:r>
      <w:r>
        <w:rPr>
          <w:rFonts w:hint="eastAsia" w:ascii="仿宋" w:hAnsi="仿宋" w:eastAsia="仿宋" w:cs="仿宋"/>
          <w:sz w:val="32"/>
          <w:szCs w:val="32"/>
          <w:lang w:val="en-US" w:eastAsia="zh-CN"/>
        </w:rPr>
        <w:t>1.49</w:t>
      </w:r>
      <w:r>
        <w:rPr>
          <w:rFonts w:hint="eastAsia" w:ascii="仿宋" w:hAnsi="仿宋" w:eastAsia="仿宋" w:cs="仿宋"/>
          <w:sz w:val="32"/>
          <w:szCs w:val="32"/>
        </w:rPr>
        <w:t>万元，</w:t>
      </w:r>
      <w:r>
        <w:rPr>
          <w:rFonts w:hint="eastAsia" w:ascii="仿宋" w:hAnsi="仿宋" w:eastAsia="仿宋" w:cs="仿宋"/>
          <w:sz w:val="32"/>
          <w:szCs w:val="32"/>
          <w:lang w:eastAsia="zh-CN"/>
        </w:rPr>
        <w:t>公路运输安全和公路运输管理上级补助。</w:t>
      </w:r>
    </w:p>
    <w:p>
      <w:pPr>
        <w:pageBreakBefore w:val="0"/>
        <w:kinsoku/>
        <w:overflowPunct/>
        <w:topLinePunct w:val="0"/>
        <w:bidi w:val="0"/>
        <w:snapToGrid w:val="0"/>
        <w:spacing w:line="560" w:lineRule="exact"/>
        <w:ind w:firstLine="640" w:firstLineChars="200"/>
        <w:rPr>
          <w:rFonts w:hint="eastAsia" w:ascii="仿宋" w:hAnsi="仿宋" w:eastAsia="仿宋" w:cs="仿宋"/>
          <w:sz w:val="32"/>
          <w:szCs w:val="32"/>
          <w:lang w:eastAsia="zh-CN"/>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ageBreakBefore w:val="0"/>
        <w:kinsoku/>
        <w:overflowPunct/>
        <w:topLinePunct w:val="0"/>
        <w:bidi w:val="0"/>
        <w:snapToGrid w:val="0"/>
        <w:spacing w:line="560" w:lineRule="exact"/>
        <w:ind w:firstLine="420" w:firstLineChars="200"/>
        <w:rPr>
          <w:rFonts w:hint="eastAsia" w:ascii="仿宋" w:hAnsi="仿宋" w:eastAsia="仿宋" w:cs="仿宋"/>
          <w:sz w:val="32"/>
          <w:szCs w:val="32"/>
          <w:lang w:eastAsia="zh-CN"/>
        </w:rPr>
      </w:pPr>
      <w:r>
        <w:rPr>
          <w:rFonts w:hint="eastAsia" w:eastAsiaTheme="minorEastAsia"/>
          <w:lang w:eastAsia="zh-CN"/>
        </w:rPr>
        <w:drawing>
          <wp:anchor distT="0" distB="0" distL="114300" distR="114300" simplePos="0" relativeHeight="251658240" behindDoc="0" locked="0" layoutInCell="1" allowOverlap="1">
            <wp:simplePos x="0" y="0"/>
            <wp:positionH relativeFrom="column">
              <wp:posOffset>367665</wp:posOffset>
            </wp:positionH>
            <wp:positionV relativeFrom="paragraph">
              <wp:posOffset>228600</wp:posOffset>
            </wp:positionV>
            <wp:extent cx="3397250" cy="2804160"/>
            <wp:effectExtent l="4445" t="4445" r="8255" b="1079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pStyle w:val="24"/>
        <w:numPr>
          <w:ilvl w:val="0"/>
          <w:numId w:val="1"/>
        </w:numPr>
        <w:spacing w:line="600" w:lineRule="exact"/>
        <w:ind w:firstLineChars="0"/>
        <w:outlineLvl w:val="1"/>
        <w:rPr>
          <w:rStyle w:val="26"/>
          <w:rFonts w:ascii="黑体" w:hAnsi="黑体" w:eastAsia="黑体"/>
          <w:b w:val="0"/>
        </w:rPr>
      </w:pPr>
      <w:bookmarkStart w:id="62" w:name="_Toc15396604"/>
      <w:bookmarkStart w:id="63" w:name="_Toc15377206"/>
      <w:bookmarkStart w:id="64" w:name="_Toc1615_WPSOffice_Level2"/>
      <w:r>
        <w:rPr>
          <w:rFonts w:hint="eastAsia" w:ascii="黑体" w:hAnsi="黑体" w:eastAsia="黑体"/>
          <w:color w:val="000000"/>
          <w:sz w:val="32"/>
          <w:szCs w:val="32"/>
        </w:rPr>
        <w:t>收</w:t>
      </w:r>
      <w:r>
        <w:rPr>
          <w:rStyle w:val="26"/>
          <w:rFonts w:hint="eastAsia" w:ascii="黑体" w:hAnsi="黑体" w:eastAsia="黑体"/>
          <w:b w:val="0"/>
        </w:rPr>
        <w:t>入决算情况说明</w:t>
      </w:r>
      <w:bookmarkEnd w:id="62"/>
      <w:bookmarkEnd w:id="63"/>
      <w:bookmarkEnd w:id="64"/>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186.46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186.46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hint="eastAsia" w:ascii="仿宋" w:hAnsi="仿宋" w:eastAsia="仿宋"/>
          <w:color w:val="000000"/>
          <w:sz w:val="32"/>
          <w:szCs w:val="32"/>
        </w:rPr>
      </w:pPr>
      <w:r>
        <w:rPr>
          <w:rFonts w:hint="eastAsia" w:ascii="仿宋" w:hAnsi="仿宋" w:eastAsia="仿宋"/>
          <w:color w:val="000000"/>
          <w:sz w:val="32"/>
          <w:szCs w:val="32"/>
        </w:rPr>
        <w:t>（图2：收入决算结构图）（饼状图）</w:t>
      </w: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960120</wp:posOffset>
            </wp:positionH>
            <wp:positionV relativeFrom="paragraph">
              <wp:posOffset>208280</wp:posOffset>
            </wp:positionV>
            <wp:extent cx="3101340" cy="2116455"/>
            <wp:effectExtent l="4445" t="4445" r="18415" b="1270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pStyle w:val="24"/>
        <w:numPr>
          <w:ilvl w:val="0"/>
          <w:numId w:val="1"/>
        </w:numPr>
        <w:spacing w:line="600" w:lineRule="exact"/>
        <w:ind w:firstLineChars="0"/>
        <w:outlineLvl w:val="1"/>
        <w:rPr>
          <w:rStyle w:val="26"/>
          <w:rFonts w:ascii="黑体" w:hAnsi="黑体" w:eastAsia="黑体"/>
          <w:b w:val="0"/>
        </w:rPr>
      </w:pPr>
      <w:bookmarkStart w:id="65" w:name="_Toc15396605"/>
      <w:bookmarkStart w:id="66" w:name="_Toc15377207"/>
      <w:bookmarkStart w:id="67" w:name="_Toc4887_WPSOffice_Level2"/>
      <w:r>
        <w:rPr>
          <w:rFonts w:hint="eastAsia" w:ascii="黑体" w:hAnsi="黑体" w:eastAsia="黑体"/>
          <w:color w:val="000000"/>
          <w:sz w:val="32"/>
          <w:szCs w:val="32"/>
        </w:rPr>
        <w:t>支</w:t>
      </w:r>
      <w:r>
        <w:rPr>
          <w:rStyle w:val="26"/>
          <w:rFonts w:hint="eastAsia" w:ascii="黑体" w:hAnsi="黑体" w:eastAsia="黑体"/>
          <w:b w:val="0"/>
        </w:rPr>
        <w:t>出决算情况说明</w:t>
      </w:r>
      <w:bookmarkEnd w:id="65"/>
      <w:bookmarkEnd w:id="66"/>
      <w:bookmarkEnd w:id="6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226.41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139.82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61.76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86.58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38.24</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w:t>
      </w:r>
    </w:p>
    <w:p>
      <w:pPr>
        <w:spacing w:line="600" w:lineRule="exact"/>
        <w:ind w:firstLine="420" w:firstLineChars="200"/>
        <w:rPr>
          <w:rFonts w:ascii="仿宋_GB2312" w:eastAsia="仿宋_GB2312"/>
          <w:color w:val="FF0000"/>
          <w:sz w:val="32"/>
          <w:szCs w:val="32"/>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260350</wp:posOffset>
            </wp:positionH>
            <wp:positionV relativeFrom="paragraph">
              <wp:posOffset>224790</wp:posOffset>
            </wp:positionV>
            <wp:extent cx="4128770" cy="2148205"/>
            <wp:effectExtent l="4445" t="4445" r="19685" b="1905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68" w:name="_Toc15377208"/>
      <w:bookmarkStart w:id="69" w:name="_Toc13532_WPSOffice_Level2"/>
      <w:bookmarkStart w:id="70"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68"/>
      <w:bookmarkEnd w:id="69"/>
      <w:bookmarkEnd w:id="70"/>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年财政拨款收入总计</w:t>
      </w:r>
      <w:r>
        <w:rPr>
          <w:rFonts w:hint="eastAsia" w:ascii="仿宋" w:hAnsi="仿宋" w:eastAsia="仿宋"/>
          <w:color w:val="000000"/>
          <w:sz w:val="32"/>
          <w:szCs w:val="32"/>
          <w:lang w:val="en-US" w:eastAsia="zh-CN"/>
        </w:rPr>
        <w:t>227.43</w:t>
      </w:r>
      <w:r>
        <w:rPr>
          <w:rFonts w:hint="eastAsia" w:ascii="仿宋" w:hAnsi="仿宋" w:eastAsia="仿宋"/>
          <w:color w:val="000000"/>
          <w:sz w:val="32"/>
          <w:szCs w:val="32"/>
        </w:rPr>
        <w:t>万元,201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年财政拨款收入</w:t>
      </w:r>
      <w:r>
        <w:rPr>
          <w:rFonts w:hint="eastAsia" w:ascii="仿宋" w:hAnsi="仿宋" w:eastAsia="仿宋"/>
          <w:color w:val="000000"/>
          <w:sz w:val="32"/>
          <w:szCs w:val="32"/>
          <w:lang w:val="en-US" w:eastAsia="zh-CN"/>
        </w:rPr>
        <w:t>246.51</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19.08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7.74</w:t>
      </w:r>
      <w:r>
        <w:rPr>
          <w:rFonts w:hint="eastAsia" w:ascii="仿宋" w:hAnsi="仿宋" w:eastAsia="仿宋"/>
          <w:color w:val="000000"/>
          <w:sz w:val="32"/>
          <w:szCs w:val="32"/>
        </w:rPr>
        <w:t>%；主要变动原因</w:t>
      </w:r>
      <w:r>
        <w:rPr>
          <w:rFonts w:hint="eastAsia" w:ascii="仿宋" w:hAnsi="仿宋" w:eastAsia="仿宋"/>
          <w:color w:val="auto"/>
          <w:sz w:val="32"/>
          <w:szCs w:val="32"/>
          <w:lang w:eastAsia="zh-CN"/>
        </w:rPr>
        <w:t>人员减少、公共运输管理上级补助收入减少</w:t>
      </w:r>
      <w:r>
        <w:rPr>
          <w:rFonts w:hint="eastAsia" w:ascii="仿宋" w:hAnsi="仿宋" w:eastAsia="仿宋"/>
          <w:color w:val="000000"/>
          <w:sz w:val="32"/>
          <w:szCs w:val="32"/>
        </w:rPr>
        <w:t>。财政拨款支出总计</w:t>
      </w:r>
      <w:r>
        <w:rPr>
          <w:rFonts w:hint="eastAsia" w:ascii="仿宋" w:hAnsi="仿宋" w:eastAsia="仿宋"/>
          <w:color w:val="000000"/>
          <w:sz w:val="32"/>
          <w:szCs w:val="32"/>
          <w:lang w:val="en-US" w:eastAsia="zh-CN"/>
        </w:rPr>
        <w:t>226.41</w:t>
      </w:r>
      <w:r>
        <w:rPr>
          <w:rFonts w:hint="eastAsia" w:ascii="仿宋" w:hAnsi="仿宋" w:eastAsia="仿宋"/>
          <w:color w:val="000000"/>
          <w:sz w:val="32"/>
          <w:szCs w:val="32"/>
        </w:rPr>
        <w:t>万元，201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年度财政拨款支出为</w:t>
      </w:r>
      <w:r>
        <w:rPr>
          <w:rFonts w:hint="eastAsia" w:ascii="仿宋" w:hAnsi="仿宋" w:eastAsia="仿宋"/>
          <w:color w:val="000000"/>
          <w:sz w:val="32"/>
          <w:szCs w:val="32"/>
          <w:lang w:val="en-US" w:eastAsia="zh-CN"/>
        </w:rPr>
        <w:t>203.14</w:t>
      </w:r>
      <w:r>
        <w:rPr>
          <w:rFonts w:hint="eastAsia" w:ascii="仿宋" w:hAnsi="仿宋" w:eastAsia="仿宋"/>
          <w:color w:val="000000"/>
          <w:sz w:val="32"/>
          <w:szCs w:val="32"/>
        </w:rPr>
        <w:t>万元，增加</w:t>
      </w:r>
      <w:r>
        <w:rPr>
          <w:rFonts w:hint="eastAsia" w:ascii="仿宋" w:hAnsi="仿宋" w:eastAsia="仿宋"/>
          <w:color w:val="000000"/>
          <w:sz w:val="32"/>
          <w:szCs w:val="32"/>
          <w:lang w:val="en-US" w:eastAsia="zh-CN"/>
        </w:rPr>
        <w:t>23.27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11.46</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为</w:t>
      </w:r>
      <w:r>
        <w:rPr>
          <w:rFonts w:hint="eastAsia" w:ascii="仿宋" w:hAnsi="仿宋" w:eastAsia="仿宋" w:cs="仿宋"/>
          <w:sz w:val="32"/>
          <w:szCs w:val="32"/>
          <w:lang w:eastAsia="zh-CN"/>
        </w:rPr>
        <w:t>年初结转结余公共运营补助安排的支出</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w:t>
      </w:r>
      <w:r>
        <w:rPr>
          <w:rFonts w:hint="eastAsia" w:ascii="仿宋" w:hAnsi="仿宋" w:eastAsia="仿宋"/>
          <w:color w:val="000000"/>
          <w:sz w:val="32"/>
          <w:szCs w:val="32"/>
        </w:rPr>
        <w:t>图4：财政拨款收、支决算总计变动情况）（柱状图）</w:t>
      </w: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154305</wp:posOffset>
            </wp:positionH>
            <wp:positionV relativeFrom="paragraph">
              <wp:posOffset>95250</wp:posOffset>
            </wp:positionV>
            <wp:extent cx="4222750" cy="2477135"/>
            <wp:effectExtent l="4445" t="5080" r="20955" b="1333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rPr>
          <w:rFonts w:ascii="仿宋" w:hAnsi="仿宋" w:eastAsia="仿宋"/>
          <w:b/>
          <w:color w:val="00B050"/>
          <w:sz w:val="32"/>
          <w:szCs w:val="32"/>
        </w:rPr>
      </w:pPr>
    </w:p>
    <w:p>
      <w:pPr>
        <w:spacing w:line="600" w:lineRule="exact"/>
        <w:rPr>
          <w:rFonts w:ascii="仿宋" w:hAnsi="仿宋" w:eastAsia="仿宋"/>
          <w:b/>
          <w:color w:val="00B050"/>
          <w:sz w:val="32"/>
          <w:szCs w:val="32"/>
        </w:rPr>
      </w:pPr>
    </w:p>
    <w:p>
      <w:pPr>
        <w:spacing w:line="600" w:lineRule="exact"/>
        <w:rPr>
          <w:rFonts w:ascii="仿宋" w:hAnsi="仿宋" w:eastAsia="仿宋"/>
          <w:b/>
          <w:color w:val="00B050"/>
          <w:sz w:val="32"/>
          <w:szCs w:val="32"/>
        </w:rPr>
      </w:pPr>
    </w:p>
    <w:p>
      <w:pPr>
        <w:spacing w:line="600" w:lineRule="exact"/>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71" w:name="_Toc15396607"/>
      <w:bookmarkStart w:id="72" w:name="_Toc15377209"/>
      <w:bookmarkStart w:id="73" w:name="_Toc23780_WPSOffice_Level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71"/>
      <w:bookmarkEnd w:id="72"/>
      <w:bookmarkEnd w:id="73"/>
    </w:p>
    <w:p>
      <w:pPr>
        <w:spacing w:line="600" w:lineRule="exact"/>
        <w:ind w:firstLine="643" w:firstLineChars="200"/>
        <w:outlineLvl w:val="2"/>
        <w:rPr>
          <w:rFonts w:ascii="仿宋" w:hAnsi="仿宋" w:eastAsia="仿宋"/>
          <w:b/>
          <w:color w:val="000000"/>
          <w:sz w:val="32"/>
          <w:szCs w:val="32"/>
        </w:rPr>
      </w:pPr>
      <w:bookmarkStart w:id="74" w:name="_Toc15377210"/>
      <w:r>
        <w:rPr>
          <w:rFonts w:hint="eastAsia" w:ascii="仿宋" w:hAnsi="仿宋" w:eastAsia="仿宋"/>
          <w:b/>
          <w:color w:val="000000"/>
          <w:sz w:val="32"/>
          <w:szCs w:val="32"/>
        </w:rPr>
        <w:t>（一）一般公共预算财政拨款支出决算总体情况</w:t>
      </w:r>
      <w:bookmarkEnd w:id="74"/>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年一般公共预算财政拨款支出</w:t>
      </w:r>
      <w:r>
        <w:rPr>
          <w:rFonts w:hint="eastAsia" w:ascii="仿宋" w:hAnsi="仿宋" w:eastAsia="仿宋"/>
          <w:color w:val="000000" w:themeColor="text1"/>
          <w:sz w:val="32"/>
          <w:szCs w:val="32"/>
          <w:lang w:val="en-US" w:eastAsia="zh-CN"/>
          <w14:textFill>
            <w14:solidFill>
              <w14:schemeClr w14:val="tx1"/>
            </w14:solidFill>
          </w14:textFill>
        </w:rPr>
        <w:t>226.41</w:t>
      </w:r>
      <w:r>
        <w:rPr>
          <w:rFonts w:hint="eastAsia" w:ascii="仿宋" w:hAnsi="仿宋" w:eastAsia="仿宋"/>
          <w:color w:val="000000" w:themeColor="text1"/>
          <w:sz w:val="32"/>
          <w:szCs w:val="32"/>
          <w14:textFill>
            <w14:solidFill>
              <w14:schemeClr w14:val="tx1"/>
            </w14:solidFill>
          </w14:textFill>
        </w:rPr>
        <w:t>万元，占本年支出合计的</w:t>
      </w:r>
      <w:r>
        <w:rPr>
          <w:rFonts w:hint="eastAsia" w:ascii="仿宋" w:hAnsi="仿宋" w:eastAsia="仿宋"/>
          <w:color w:val="000000" w:themeColor="text1"/>
          <w:sz w:val="32"/>
          <w:szCs w:val="32"/>
          <w:lang w:val="en-US" w:eastAsia="zh-CN"/>
          <w14:textFill>
            <w14:solidFill>
              <w14:schemeClr w14:val="tx1"/>
            </w14:solidFill>
          </w14:textFill>
        </w:rPr>
        <w:t>100</w:t>
      </w:r>
      <w:r>
        <w:rPr>
          <w:rFonts w:hint="eastAsia"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年一般公共预算财政拨款支出</w:t>
      </w:r>
      <w:r>
        <w:rPr>
          <w:rFonts w:hint="eastAsia" w:ascii="仿宋" w:hAnsi="仿宋" w:eastAsia="仿宋"/>
          <w:color w:val="000000" w:themeColor="text1"/>
          <w:sz w:val="32"/>
          <w:szCs w:val="32"/>
          <w:lang w:val="en-US" w:eastAsia="zh-CN"/>
          <w14:textFill>
            <w14:solidFill>
              <w14:schemeClr w14:val="tx1"/>
            </w14:solidFill>
          </w14:textFill>
        </w:rPr>
        <w:t>203.14</w:t>
      </w:r>
      <w:r>
        <w:rPr>
          <w:rFonts w:hint="eastAsia" w:ascii="仿宋" w:hAnsi="仿宋" w:eastAsia="仿宋"/>
          <w:color w:val="000000" w:themeColor="text1"/>
          <w:sz w:val="32"/>
          <w:szCs w:val="32"/>
          <w14:textFill>
            <w14:solidFill>
              <w14:schemeClr w14:val="tx1"/>
            </w14:solidFill>
          </w14:textFill>
        </w:rPr>
        <w:t>万元，与201</w:t>
      </w: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年相比，一般公共预算财政拨款增加</w:t>
      </w:r>
      <w:r>
        <w:rPr>
          <w:rFonts w:hint="eastAsia" w:ascii="仿宋" w:hAnsi="仿宋" w:eastAsia="仿宋"/>
          <w:color w:val="000000" w:themeColor="text1"/>
          <w:sz w:val="32"/>
          <w:szCs w:val="32"/>
          <w:lang w:val="en-US" w:eastAsia="zh-CN"/>
          <w14:textFill>
            <w14:solidFill>
              <w14:schemeClr w14:val="tx1"/>
            </w14:solidFill>
          </w14:textFill>
        </w:rPr>
        <w:t>23.27</w:t>
      </w:r>
      <w:r>
        <w:rPr>
          <w:rFonts w:hint="eastAsia" w:ascii="仿宋" w:hAnsi="仿宋" w:eastAsia="仿宋"/>
          <w:color w:val="000000" w:themeColor="text1"/>
          <w:sz w:val="32"/>
          <w:szCs w:val="32"/>
          <w14:textFill>
            <w14:solidFill>
              <w14:schemeClr w14:val="tx1"/>
            </w14:solidFill>
          </w14:textFill>
        </w:rPr>
        <w:t>万元，增长</w:t>
      </w:r>
      <w:r>
        <w:rPr>
          <w:rFonts w:hint="eastAsia" w:ascii="仿宋" w:hAnsi="仿宋" w:eastAsia="仿宋"/>
          <w:color w:val="000000" w:themeColor="text1"/>
          <w:sz w:val="32"/>
          <w:szCs w:val="32"/>
          <w:lang w:val="en-US" w:eastAsia="zh-CN"/>
          <w14:textFill>
            <w14:solidFill>
              <w14:schemeClr w14:val="tx1"/>
            </w14:solidFill>
          </w14:textFill>
        </w:rPr>
        <w:t>11.46</w:t>
      </w:r>
      <w:r>
        <w:rPr>
          <w:rFonts w:hint="eastAsia" w:ascii="仿宋" w:hAnsi="仿宋" w:eastAsia="仿宋"/>
          <w:color w:val="000000" w:themeColor="text1"/>
          <w:sz w:val="32"/>
          <w:szCs w:val="32"/>
          <w14:textFill>
            <w14:solidFill>
              <w14:schemeClr w14:val="tx1"/>
            </w14:solidFill>
          </w14:textFill>
        </w:rPr>
        <w:t>%。主要变动原因</w:t>
      </w:r>
      <w:r>
        <w:rPr>
          <w:rFonts w:hint="eastAsia" w:ascii="仿宋" w:hAnsi="仿宋" w:eastAsia="仿宋"/>
          <w:color w:val="000000" w:themeColor="text1"/>
          <w:sz w:val="32"/>
          <w:szCs w:val="32"/>
          <w:lang w:val="en-US" w:eastAsia="zh-CN"/>
          <w14:textFill>
            <w14:solidFill>
              <w14:schemeClr w14:val="tx1"/>
            </w14:solidFill>
          </w14:textFill>
        </w:rPr>
        <w:t>为</w:t>
      </w:r>
      <w:r>
        <w:rPr>
          <w:rFonts w:hint="eastAsia" w:ascii="仿宋" w:hAnsi="仿宋" w:eastAsia="仿宋" w:cs="仿宋"/>
          <w:sz w:val="32"/>
          <w:szCs w:val="32"/>
          <w:lang w:eastAsia="zh-CN"/>
        </w:rPr>
        <w:t>年初结转结余公共运营补助安排的支出</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图</w:t>
      </w:r>
      <w:r>
        <w:rPr>
          <w:rFonts w:hint="eastAsia" w:ascii="仿宋" w:hAnsi="仿宋" w:eastAsia="仿宋"/>
          <w:color w:val="000000" w:themeColor="text1"/>
          <w:sz w:val="32"/>
          <w:szCs w:val="32"/>
          <w:lang w:val="en-US" w:eastAsia="zh-CN"/>
          <w14:textFill>
            <w14:solidFill>
              <w14:schemeClr w14:val="tx1"/>
            </w14:solidFill>
          </w14:textFill>
        </w:rPr>
        <w:t>5</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一</w:t>
      </w:r>
      <w:r>
        <w:rPr>
          <w:rFonts w:hint="eastAsia" w:ascii="仿宋" w:hAnsi="仿宋" w:eastAsia="仿宋"/>
          <w:color w:val="000000" w:themeColor="text1"/>
          <w:sz w:val="32"/>
          <w:szCs w:val="32"/>
          <w14:textFill>
            <w14:solidFill>
              <w14:schemeClr w14:val="tx1"/>
            </w14:solidFill>
          </w14:textFill>
        </w:rPr>
        <w:t>般公共预算财政拨款支出决算总体情况）（柱状图）</w:t>
      </w: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546735</wp:posOffset>
            </wp:positionH>
            <wp:positionV relativeFrom="paragraph">
              <wp:posOffset>177800</wp:posOffset>
            </wp:positionV>
            <wp:extent cx="3819525" cy="2053590"/>
            <wp:effectExtent l="4445" t="4445" r="5080" b="1841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hint="eastAsia" w:ascii="仿宋" w:hAnsi="仿宋" w:eastAsia="仿宋"/>
          <w:b/>
          <w:color w:val="000000"/>
          <w:sz w:val="32"/>
          <w:szCs w:val="32"/>
        </w:rPr>
      </w:pPr>
      <w:bookmarkStart w:id="75" w:name="_Toc15377211"/>
    </w:p>
    <w:p>
      <w:pPr>
        <w:spacing w:line="600" w:lineRule="exact"/>
        <w:ind w:firstLine="643" w:firstLineChars="200"/>
        <w:outlineLvl w:val="2"/>
        <w:rPr>
          <w:rFonts w:hint="eastAsia"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7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226.41</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文化旅游体育与传媒（类）</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0</w:t>
      </w:r>
      <w:r>
        <w:rPr>
          <w:rFonts w:hint="eastAsia" w:ascii="仿宋" w:hAnsi="仿宋" w:eastAsia="仿宋"/>
          <w:b w:val="0"/>
          <w:bCs w:val="0"/>
          <w:color w:val="000000" w:themeColor="text1"/>
          <w:sz w:val="32"/>
          <w:szCs w:val="32"/>
          <w14:textFill>
            <w14:solidFill>
              <w14:schemeClr w14:val="tx1"/>
            </w14:solidFill>
          </w14:textFill>
        </w:rPr>
        <w:t>万元，占</w:t>
      </w:r>
      <w:r>
        <w:rPr>
          <w:rFonts w:hint="eastAsia" w:ascii="仿宋" w:hAnsi="仿宋" w:eastAsia="仿宋"/>
          <w:b w:val="0"/>
          <w:bCs w:val="0"/>
          <w:color w:val="000000" w:themeColor="text1"/>
          <w:sz w:val="32"/>
          <w:szCs w:val="32"/>
          <w:lang w:val="en-US" w:eastAsia="zh-CN"/>
          <w14:textFill>
            <w14:solidFill>
              <w14:schemeClr w14:val="tx1"/>
            </w14:solidFill>
          </w14:textFill>
        </w:rPr>
        <w:t>0</w:t>
      </w:r>
      <w:r>
        <w:rPr>
          <w:rFonts w:ascii="仿宋" w:hAnsi="仿宋" w:eastAsia="仿宋"/>
          <w:b w:val="0"/>
          <w:bCs w:val="0"/>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17.43</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（其中机关养老保险缴费支出</w:t>
      </w:r>
      <w:r>
        <w:rPr>
          <w:rFonts w:hint="eastAsia" w:ascii="仿宋" w:hAnsi="仿宋" w:eastAsia="仿宋"/>
          <w:color w:val="000000" w:themeColor="text1"/>
          <w:sz w:val="32"/>
          <w:szCs w:val="32"/>
          <w:lang w:val="en-US" w:eastAsia="zh-CN"/>
          <w14:textFill>
            <w14:solidFill>
              <w14:schemeClr w14:val="tx1"/>
            </w14:solidFill>
          </w14:textFill>
        </w:rPr>
        <w:t>11.98万元，机关事业单位职业年金缴费支出5.45万元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7.7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9.69</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（其中住房公积金</w:t>
      </w:r>
      <w:r>
        <w:rPr>
          <w:rFonts w:hint="eastAsia" w:ascii="仿宋" w:hAnsi="仿宋" w:eastAsia="仿宋"/>
          <w:color w:val="000000" w:themeColor="text1"/>
          <w:sz w:val="32"/>
          <w:szCs w:val="32"/>
          <w:lang w:val="en-US" w:eastAsia="zh-CN"/>
          <w14:textFill>
            <w14:solidFill>
              <w14:schemeClr w14:val="tx1"/>
            </w14:solidFill>
          </w14:textFill>
        </w:rPr>
        <w:t>9.69万元</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4.28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7.36万元（其中行政单位医疗5.65万元，公务员医疗补助1.71万元），占3.25%；交通运输支出191.93万元（其中公路和运输安全支出2.98万元，公路运输管理支出107.38万元，对出租车的补贴支出38.93万元，公共交通运营补助支出42.64万元），占84.77%。</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rPr>
          <w:rFonts w:ascii="仿宋" w:hAnsi="仿宋" w:eastAsia="仿宋"/>
          <w:color w:val="000000"/>
          <w:sz w:val="32"/>
          <w:szCs w:val="32"/>
        </w:rPr>
      </w:pPr>
      <w:r>
        <w:rPr>
          <w:rFonts w:hint="eastAsia" w:eastAsiaTheme="minorEastAsia"/>
          <w:lang w:eastAsia="zh-CN"/>
        </w:rPr>
        <w:drawing>
          <wp:anchor distT="0" distB="0" distL="114300" distR="114300" simplePos="0" relativeHeight="251663360" behindDoc="0" locked="0" layoutInCell="1" allowOverlap="1">
            <wp:simplePos x="0" y="0"/>
            <wp:positionH relativeFrom="column">
              <wp:posOffset>405765</wp:posOffset>
            </wp:positionH>
            <wp:positionV relativeFrom="paragraph">
              <wp:posOffset>198120</wp:posOffset>
            </wp:positionV>
            <wp:extent cx="4084955" cy="2519680"/>
            <wp:effectExtent l="4445" t="4445" r="6350" b="952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hint="eastAsia" w:ascii="仿宋" w:hAnsi="仿宋" w:eastAsia="仿宋"/>
          <w:b/>
          <w:color w:val="000000"/>
          <w:sz w:val="32"/>
          <w:szCs w:val="32"/>
        </w:rPr>
      </w:pPr>
      <w:bookmarkStart w:id="76" w:name="_Toc15377212"/>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76"/>
    </w:p>
    <w:p>
      <w:pPr>
        <w:spacing w:line="600" w:lineRule="exact"/>
        <w:ind w:firstLine="643" w:firstLineChars="200"/>
        <w:outlineLvl w:val="2"/>
        <w:rPr>
          <w:rFonts w:ascii="仿宋" w:hAnsi="仿宋" w:eastAsia="仿宋"/>
          <w:color w:val="FF0000"/>
          <w:sz w:val="32"/>
          <w:szCs w:val="32"/>
        </w:rPr>
      </w:pPr>
      <w:bookmarkStart w:id="77" w:name="_Toc15377444"/>
      <w:bookmarkStart w:id="78" w:name="_Toc15378460"/>
      <w:bookmarkStart w:id="79" w:name="_Toc15377213"/>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226.41万元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99.55</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77"/>
      <w:bookmarkEnd w:id="78"/>
      <w:bookmarkEnd w:id="79"/>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val="en-US" w:eastAsia="zh-CN"/>
        </w:rPr>
        <w:t>208</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17.43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支出</w:t>
      </w:r>
      <w:r>
        <w:rPr>
          <w:rStyle w:val="15"/>
          <w:rFonts w:hint="eastAsia" w:ascii="仿宋" w:hAnsi="仿宋" w:eastAsia="仿宋"/>
          <w:bCs/>
          <w:color w:val="000000"/>
          <w:sz w:val="32"/>
          <w:szCs w:val="32"/>
          <w:lang w:val="en-US" w:eastAsia="zh-CN"/>
        </w:rPr>
        <w:t>210</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7.36</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hint="eastAsia" w:ascii="仿宋" w:hAnsi="仿宋" w:eastAsia="仿宋"/>
          <w:color w:val="000000"/>
          <w:sz w:val="32"/>
          <w:szCs w:val="32"/>
          <w:lang w:val="en-US" w:eastAsia="zh-CN"/>
        </w:rPr>
      </w:pPr>
      <w:r>
        <w:rPr>
          <w:rFonts w:hint="eastAsia" w:ascii="仿宋" w:hAnsi="仿宋" w:eastAsia="仿宋"/>
          <w:b/>
          <w:bCs/>
          <w:color w:val="000000"/>
          <w:sz w:val="32"/>
          <w:szCs w:val="32"/>
          <w:lang w:val="en-US" w:eastAsia="zh-CN"/>
        </w:rPr>
        <w:t>3.交通运输支出214</w:t>
      </w:r>
      <w:r>
        <w:rPr>
          <w:rFonts w:hint="eastAsia" w:ascii="仿宋" w:hAnsi="仿宋" w:eastAsia="仿宋"/>
          <w:color w:val="000000"/>
          <w:sz w:val="32"/>
          <w:szCs w:val="32"/>
          <w:lang w:val="en-US" w:eastAsia="zh-CN"/>
        </w:rPr>
        <w:t>：支出决算为191.93万元，完成预算99.47%，小于预算数的主要原因为公路和运输安全和公路运输管理支出项目支出结转结余。</w:t>
      </w:r>
    </w:p>
    <w:p>
      <w:pPr>
        <w:spacing w:line="600" w:lineRule="exact"/>
        <w:ind w:firstLine="643" w:firstLineChars="200"/>
        <w:rPr>
          <w:rFonts w:ascii="仿宋" w:hAnsi="仿宋" w:eastAsia="仿宋"/>
          <w:b/>
          <w:color w:val="000000"/>
          <w:sz w:val="32"/>
          <w:szCs w:val="32"/>
        </w:rPr>
      </w:pPr>
      <w:r>
        <w:rPr>
          <w:rFonts w:hint="eastAsia" w:ascii="仿宋" w:hAnsi="仿宋" w:eastAsia="仿宋"/>
          <w:b/>
          <w:bCs/>
          <w:color w:val="000000"/>
          <w:sz w:val="32"/>
          <w:szCs w:val="32"/>
          <w:lang w:val="en-US" w:eastAsia="zh-CN"/>
        </w:rPr>
        <w:t>4.住房保障支出221：</w:t>
      </w:r>
      <w:r>
        <w:rPr>
          <w:rFonts w:hint="eastAsia" w:ascii="仿宋" w:hAnsi="仿宋" w:eastAsia="仿宋"/>
          <w:color w:val="000000"/>
          <w:sz w:val="32"/>
          <w:szCs w:val="32"/>
          <w:lang w:val="en-US" w:eastAsia="zh-CN"/>
        </w:rPr>
        <w:t>支出决算为9.69万元，完成预算100%。</w:t>
      </w:r>
    </w:p>
    <w:p>
      <w:pPr>
        <w:tabs>
          <w:tab w:val="right" w:pos="8306"/>
        </w:tabs>
        <w:spacing w:line="600" w:lineRule="exact"/>
        <w:ind w:firstLine="640"/>
        <w:outlineLvl w:val="1"/>
        <w:rPr>
          <w:rStyle w:val="26"/>
        </w:rPr>
      </w:pPr>
      <w:bookmarkStart w:id="80" w:name="_Toc15396608"/>
      <w:bookmarkStart w:id="81" w:name="_Toc15377214"/>
      <w:bookmarkStart w:id="82" w:name="_Toc19383_WPSOffice_Level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80"/>
      <w:bookmarkEnd w:id="81"/>
      <w:bookmarkEnd w:id="82"/>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139.82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126.61</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27.13万元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41.99万元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19.52万元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11.98万元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5.45万元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职工医疗保险缴费</w:t>
      </w:r>
      <w:r>
        <w:rPr>
          <w:rFonts w:hint="eastAsia" w:ascii="仿宋" w:hAnsi="仿宋" w:eastAsia="仿宋"/>
          <w:color w:val="000000"/>
          <w:sz w:val="32"/>
          <w:szCs w:val="32"/>
          <w:lang w:val="en-US" w:eastAsia="zh-CN"/>
        </w:rPr>
        <w:t>5.65万元</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1.71万元、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1.51万元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1.55万元</w:t>
      </w:r>
      <w:r>
        <w:rPr>
          <w:rFonts w:hint="eastAsia" w:ascii="仿宋" w:hAnsi="仿宋" w:eastAsia="仿宋"/>
          <w:color w:val="000000"/>
          <w:sz w:val="32"/>
          <w:szCs w:val="32"/>
        </w:rPr>
        <w:t>、医疗费补助</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9.69万元</w:t>
      </w:r>
      <w:r>
        <w:rPr>
          <w:rFonts w:hint="eastAsia" w:ascii="仿宋" w:hAnsi="仿宋" w:eastAsia="仿宋"/>
          <w:color w:val="000000"/>
          <w:sz w:val="32"/>
          <w:szCs w:val="32"/>
        </w:rPr>
        <w:t>、其他对个人和家庭的补助支出等。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13.21</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2.48万元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0.05万元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1.2万元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1.27万元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0.32万元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培训费</w:t>
      </w:r>
      <w:r>
        <w:rPr>
          <w:rFonts w:hint="eastAsia" w:ascii="仿宋" w:hAnsi="仿宋" w:eastAsia="仿宋"/>
          <w:color w:val="000000"/>
          <w:sz w:val="32"/>
          <w:szCs w:val="32"/>
          <w:lang w:val="en-US" w:eastAsia="zh-CN"/>
        </w:rPr>
        <w:t>0.35万元、公务用车运行维护费5.8万元</w:t>
      </w:r>
      <w:r>
        <w:rPr>
          <w:rFonts w:hint="eastAsia" w:ascii="仿宋" w:hAnsi="仿宋" w:eastAsia="仿宋"/>
          <w:color w:val="000000"/>
          <w:sz w:val="32"/>
          <w:szCs w:val="32"/>
        </w:rPr>
        <w:t>等。</w:t>
      </w:r>
    </w:p>
    <w:p>
      <w:pPr>
        <w:spacing w:line="600" w:lineRule="exact"/>
        <w:ind w:firstLine="640"/>
        <w:outlineLvl w:val="1"/>
        <w:rPr>
          <w:rStyle w:val="26"/>
          <w:rFonts w:ascii="黑体" w:hAnsi="黑体" w:eastAsia="黑体"/>
          <w:b w:val="0"/>
        </w:rPr>
      </w:pPr>
      <w:bookmarkStart w:id="83" w:name="_Toc15396609"/>
      <w:bookmarkStart w:id="84" w:name="_Toc15377215"/>
      <w:bookmarkStart w:id="85" w:name="_Toc23979_WPSOffice_Level2"/>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83"/>
      <w:bookmarkEnd w:id="84"/>
      <w:bookmarkEnd w:id="85"/>
    </w:p>
    <w:p>
      <w:pPr>
        <w:spacing w:line="600" w:lineRule="exact"/>
        <w:ind w:firstLine="640"/>
        <w:outlineLvl w:val="2"/>
        <w:rPr>
          <w:rFonts w:ascii="仿宋" w:hAnsi="仿宋" w:eastAsia="仿宋"/>
          <w:b/>
          <w:color w:val="000000"/>
          <w:sz w:val="32"/>
          <w:szCs w:val="32"/>
        </w:rPr>
      </w:pPr>
      <w:bookmarkStart w:id="86" w:name="_Toc15377216"/>
      <w:r>
        <w:rPr>
          <w:rFonts w:hint="eastAsia" w:ascii="仿宋" w:hAnsi="仿宋" w:eastAsia="仿宋"/>
          <w:b/>
          <w:color w:val="000000"/>
          <w:sz w:val="32"/>
          <w:szCs w:val="32"/>
        </w:rPr>
        <w:t>（一）“三公”经费财政拨款支出决算总体情况说明</w:t>
      </w:r>
      <w:bookmarkEnd w:id="86"/>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5.8</w:t>
      </w:r>
      <w:r>
        <w:rPr>
          <w:rFonts w:hint="eastAsia" w:ascii="仿宋" w:hAnsi="仿宋" w:eastAsia="仿宋"/>
          <w:color w:val="000000"/>
          <w:sz w:val="32"/>
          <w:szCs w:val="32"/>
        </w:rPr>
        <w:t>万元。</w:t>
      </w:r>
    </w:p>
    <w:p>
      <w:pPr>
        <w:spacing w:line="600" w:lineRule="exact"/>
        <w:ind w:firstLine="640"/>
        <w:outlineLvl w:val="2"/>
        <w:rPr>
          <w:rFonts w:ascii="仿宋" w:hAnsi="仿宋" w:eastAsia="仿宋"/>
          <w:b/>
          <w:color w:val="000000"/>
          <w:sz w:val="32"/>
          <w:szCs w:val="32"/>
        </w:rPr>
      </w:pPr>
      <w:bookmarkStart w:id="87" w:name="_Toc15377217"/>
      <w:r>
        <w:rPr>
          <w:rFonts w:hint="eastAsia" w:ascii="仿宋" w:hAnsi="仿宋" w:eastAsia="仿宋"/>
          <w:b/>
          <w:color w:val="000000"/>
          <w:sz w:val="32"/>
          <w:szCs w:val="32"/>
        </w:rPr>
        <w:t>（二）“三公”经费财政拨款支出决算具体情况说明</w:t>
      </w:r>
      <w:bookmarkEnd w:id="8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持平，原因为厉行节约。</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5.8</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2.03</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53.84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开展下乡扶贫工作，巩固我单位脱贫成效。</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w:t>
      </w:r>
      <w:r>
        <w:rPr>
          <w:rFonts w:hint="eastAsia" w:ascii="仿宋_GB2312" w:eastAsia="仿宋_GB2312"/>
          <w:color w:val="000000"/>
          <w:sz w:val="32"/>
          <w:szCs w:val="32"/>
          <w:lang w:eastAsia="zh-CN"/>
        </w:rPr>
        <w:t>其他公务用车</w:t>
      </w:r>
      <w:r>
        <w:rPr>
          <w:rFonts w:hint="eastAsia" w:ascii="仿宋_GB2312" w:eastAsia="仿宋_GB2312"/>
          <w:color w:val="000000"/>
          <w:sz w:val="32"/>
          <w:szCs w:val="32"/>
          <w:lang w:val="en-US" w:eastAsia="zh-CN"/>
        </w:rPr>
        <w:t>2辆。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5.8</w:t>
      </w:r>
      <w:r>
        <w:rPr>
          <w:rFonts w:hint="eastAsia" w:ascii="仿宋_GB2312" w:eastAsia="仿宋_GB2312"/>
          <w:color w:val="000000"/>
          <w:sz w:val="32"/>
          <w:szCs w:val="32"/>
        </w:rPr>
        <w:t>万元。主要用于</w:t>
      </w:r>
      <w:r>
        <w:rPr>
          <w:rFonts w:hint="eastAsia" w:ascii="仿宋" w:hAnsi="仿宋" w:eastAsia="仿宋"/>
          <w:color w:val="000000"/>
          <w:sz w:val="32"/>
          <w:szCs w:val="32"/>
          <w:lang w:eastAsia="zh-CN"/>
        </w:rPr>
        <w:t>下乡开展脱贫</w:t>
      </w:r>
      <w:r>
        <w:rPr>
          <w:rFonts w:hint="eastAsia" w:ascii="仿宋" w:hAnsi="仿宋" w:eastAsia="仿宋"/>
          <w:color w:val="000000"/>
          <w:sz w:val="32"/>
          <w:szCs w:val="32"/>
        </w:rPr>
        <w:t>工作等</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持平。</w:t>
      </w:r>
    </w:p>
    <w:p>
      <w:pPr>
        <w:spacing w:line="600" w:lineRule="exact"/>
        <w:ind w:firstLine="640"/>
        <w:outlineLvl w:val="1"/>
        <w:rPr>
          <w:rStyle w:val="26"/>
          <w:rFonts w:ascii="黑体" w:hAnsi="黑体" w:eastAsia="黑体"/>
        </w:rPr>
      </w:pPr>
      <w:bookmarkStart w:id="88" w:name="_Toc15396610"/>
      <w:bookmarkStart w:id="89" w:name="_Toc15377218"/>
      <w:bookmarkStart w:id="90" w:name="_Toc4851_WPSOffice_Level2"/>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8"/>
      <w:bookmarkEnd w:id="89"/>
      <w:bookmarkEnd w:id="9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eastAsia="黑体"/>
          <w:b w:val="0"/>
        </w:rPr>
      </w:pPr>
      <w:bookmarkStart w:id="91" w:name="_Toc15377219"/>
      <w:bookmarkStart w:id="92" w:name="_Toc15396611"/>
      <w:bookmarkStart w:id="93" w:name="_Toc24160_WPSOffice_Level2"/>
      <w:r>
        <w:rPr>
          <w:rStyle w:val="26"/>
          <w:rFonts w:hint="eastAsia" w:ascii="黑体" w:hAnsi="黑体" w:eastAsia="黑体"/>
          <w:b w:val="0"/>
        </w:rPr>
        <w:t>国有资本经营预算支出决算情况说明</w:t>
      </w:r>
      <w:bookmarkEnd w:id="91"/>
      <w:bookmarkEnd w:id="92"/>
      <w:bookmarkEnd w:id="93"/>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94" w:name="_Toc15396612"/>
      <w:bookmarkStart w:id="95" w:name="_Toc15377221"/>
      <w:bookmarkStart w:id="96" w:name="_Toc29752_WPSOffice_Level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4"/>
      <w:bookmarkEnd w:id="95"/>
      <w:bookmarkEnd w:id="96"/>
    </w:p>
    <w:p>
      <w:pPr>
        <w:spacing w:line="600" w:lineRule="exact"/>
        <w:ind w:firstLine="643" w:firstLineChars="200"/>
        <w:outlineLvl w:val="2"/>
        <w:rPr>
          <w:rFonts w:ascii="仿宋" w:hAnsi="仿宋" w:eastAsia="仿宋"/>
          <w:color w:val="000000"/>
          <w:sz w:val="32"/>
          <w:szCs w:val="32"/>
        </w:rPr>
      </w:pPr>
      <w:bookmarkStart w:id="97" w:name="_Toc15377222"/>
      <w:r>
        <w:rPr>
          <w:rFonts w:hint="eastAsia" w:ascii="仿宋" w:hAnsi="仿宋" w:eastAsia="仿宋"/>
          <w:b/>
          <w:color w:val="000000"/>
          <w:sz w:val="32"/>
          <w:szCs w:val="32"/>
        </w:rPr>
        <w:t>（一）机关运行经费支出情况</w:t>
      </w:r>
      <w:bookmarkEnd w:id="97"/>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9年，机关运行经费支出</w:t>
      </w:r>
      <w:r>
        <w:rPr>
          <w:rFonts w:hint="eastAsia" w:ascii="仿宋_GB2312" w:eastAsia="仿宋_GB2312"/>
          <w:color w:val="000000"/>
          <w:sz w:val="32"/>
          <w:szCs w:val="32"/>
          <w:lang w:val="en-US" w:eastAsia="zh-CN"/>
        </w:rPr>
        <w:t>13.21</w:t>
      </w:r>
      <w:r>
        <w:rPr>
          <w:rFonts w:hint="eastAsia" w:ascii="仿宋_GB2312" w:eastAsia="仿宋_GB2312"/>
          <w:color w:val="000000"/>
          <w:sz w:val="32"/>
          <w:szCs w:val="32"/>
        </w:rPr>
        <w:t>万元，与</w:t>
      </w:r>
      <w:r>
        <w:rPr>
          <w:rFonts w:ascii="仿宋_GB2312" w:eastAsia="仿宋_GB2312"/>
          <w:color w:val="000000"/>
          <w:sz w:val="32"/>
          <w:szCs w:val="32"/>
        </w:rPr>
        <w:t>201</w:t>
      </w:r>
      <w:r>
        <w:rPr>
          <w:rFonts w:hint="eastAsia" w:ascii="仿宋_GB2312" w:eastAsia="仿宋_GB2312"/>
          <w:color w:val="000000"/>
          <w:sz w:val="32"/>
          <w:szCs w:val="32"/>
        </w:rPr>
        <w:t>8年决算数持平。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15377223"/>
      <w:r>
        <w:rPr>
          <w:rFonts w:hint="eastAsia" w:ascii="仿宋" w:hAnsi="仿宋" w:eastAsia="仿宋"/>
          <w:b/>
          <w:color w:val="000000"/>
          <w:sz w:val="32"/>
          <w:szCs w:val="32"/>
        </w:rPr>
        <w:t>（二）政府采购支出情况</w:t>
      </w:r>
      <w:bookmarkEnd w:id="9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9" w:name="_Toc15377224"/>
      <w:r>
        <w:rPr>
          <w:rFonts w:hint="eastAsia" w:ascii="仿宋" w:hAnsi="仿宋" w:eastAsia="仿宋"/>
          <w:b/>
          <w:color w:val="000000"/>
          <w:sz w:val="32"/>
          <w:szCs w:val="32"/>
        </w:rPr>
        <w:t>（三）国有资产占有使用情况</w:t>
      </w:r>
      <w:bookmarkEnd w:id="99"/>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公路运输管理所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在年初预算编制阶段，组织对成品油燃油补贴项目开展了预算事前绩效评估，对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按要求对2019年部门整体支出开展绩效自评，从评价情况来看</w:t>
      </w:r>
      <w:r>
        <w:rPr>
          <w:rFonts w:hint="eastAsia" w:ascii="仿宋_GB2312" w:hAnsi="仿宋_GB2312" w:eastAsia="仿宋_GB2312" w:cs="仿宋_GB2312"/>
          <w:sz w:val="32"/>
          <w:szCs w:val="32"/>
          <w:lang w:eastAsia="zh-CN"/>
        </w:rPr>
        <w:t>我单位积极完成年初工作规划和重点工作规划，积极履行职责，强化本单位预算管理，强有力的推动了我县道路运输管理事业的发展。</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eastAsia="zh-CN"/>
        </w:rPr>
        <w:t>及时完成我县出租车驾驶员和公交车驾驶员燃油补贴发放工作，为我县公共服务运转提供了强有力的支持</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“成品油燃油补贴”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成品油燃油补贴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42.63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42.63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%。通过实施</w:t>
      </w:r>
      <w:r>
        <w:rPr>
          <w:rFonts w:hint="eastAsia" w:ascii="仿宋_GB2312" w:hAnsi="仿宋_GB2312" w:eastAsia="仿宋_GB2312" w:cs="仿宋_GB2312"/>
          <w:sz w:val="32"/>
          <w:szCs w:val="32"/>
          <w:lang w:eastAsia="zh-CN"/>
        </w:rPr>
        <w:t>此项目</w:t>
      </w:r>
      <w:r>
        <w:rPr>
          <w:rFonts w:hint="eastAsia" w:ascii="仿宋_GB2312" w:hAnsi="仿宋_GB2312" w:eastAsia="仿宋_GB2312" w:cs="仿宋_GB2312"/>
          <w:sz w:val="32"/>
          <w:szCs w:val="32"/>
        </w:rPr>
        <w:t>，</w:t>
      </w:r>
      <w:r>
        <w:rPr>
          <w:rFonts w:hint="eastAsia" w:ascii="仿宋" w:hAnsi="仿宋" w:eastAsia="仿宋" w:cs="仿宋"/>
          <w:sz w:val="32"/>
          <w:szCs w:val="32"/>
        </w:rPr>
        <w:t>统筹考虑我县城市出租车和公交车和出租车购置和运营成本，在对城市公交行业和出租车补助总体水平相对稳定的前提下，调整优化财政补助支出结构，平衡传统燃油出租车、出租车和公交车和新能源出租车、出租车和公交车的使用成本，逐步形成新能源汽车的比较优势。循序渐进，分类实施，推动形成有利于城市出租车和公交行租车和公交行业平稳转型、健康发展</w:t>
      </w:r>
      <w:r>
        <w:rPr>
          <w:rFonts w:hint="eastAsia" w:ascii="仿宋" w:hAnsi="仿宋" w:eastAsia="仿宋" w:cs="仿宋"/>
          <w:sz w:val="32"/>
          <w:szCs w:val="32"/>
          <w:lang w:eastAsia="zh-CN"/>
        </w:rPr>
        <w:t>。</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sz w:val="24"/>
              </w:rPr>
              <w:t>成品油燃油补贴</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sz w:val="24"/>
              </w:rPr>
              <w:t>红原县道路运输管理所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42.63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42.63</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42.63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42.63</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仿宋_GB2312"/>
                <w:kern w:val="0"/>
                <w:szCs w:val="21"/>
                <w:lang w:eastAsia="zh-CN"/>
              </w:rPr>
              <w:t>对</w:t>
            </w:r>
            <w:r>
              <w:rPr>
                <w:rFonts w:hint="eastAsia" w:ascii="宋体" w:hAnsi="宋体" w:cs="仿宋_GB2312"/>
                <w:kern w:val="0"/>
                <w:szCs w:val="21"/>
              </w:rPr>
              <w:t>我县出租车和公交车的燃油</w:t>
            </w:r>
            <w:r>
              <w:rPr>
                <w:rFonts w:hint="eastAsia" w:ascii="宋体" w:hAnsi="宋体" w:cs="仿宋_GB2312"/>
                <w:kern w:val="0"/>
                <w:szCs w:val="21"/>
                <w:lang w:eastAsia="zh-CN"/>
              </w:rPr>
              <w:t>进行补贴</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仿宋_GB2312"/>
                <w:kern w:val="0"/>
                <w:szCs w:val="21"/>
                <w:lang w:eastAsia="zh-CN"/>
              </w:rPr>
              <w:t>按时按序完成</w:t>
            </w:r>
            <w:r>
              <w:rPr>
                <w:rFonts w:hint="eastAsia" w:ascii="宋体" w:hAnsi="宋体" w:cs="仿宋_GB2312"/>
                <w:kern w:val="0"/>
                <w:szCs w:val="21"/>
              </w:rPr>
              <w:t>我县出租车驾驶员和出租车和公交车驾驶员燃油补贴</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决策依据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目标内容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ascii="宋体" w:hAnsi="宋体" w:cs="宋体"/>
                <w:color w:val="000000"/>
                <w:sz w:val="24"/>
                <w:szCs w:val="24"/>
              </w:rPr>
              <w:t>2</w:t>
            </w:r>
            <w:r>
              <w:rPr>
                <w:rFonts w:hint="eastAsia" w:ascii="宋体" w:hAnsi="宋体" w:cs="宋体"/>
                <w:color w:val="000000"/>
                <w:sz w:val="24"/>
                <w:szCs w:val="24"/>
                <w:lang w:val="en-US" w:eastAsia="zh-CN"/>
              </w:rPr>
              <w:t>0</w:t>
            </w:r>
            <w:r>
              <w:rPr>
                <w:rFonts w:hint="eastAsia" w:ascii="宋体" w:hAnsi="宋体" w:cs="宋体"/>
                <w:color w:val="000000"/>
                <w:sz w:val="24"/>
                <w:szCs w:val="24"/>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ascii="宋体" w:hAnsi="宋体" w:cs="宋体"/>
                <w:color w:val="000000"/>
                <w:sz w:val="24"/>
                <w:szCs w:val="24"/>
              </w:rPr>
              <w:t>2</w:t>
            </w:r>
            <w:r>
              <w:rPr>
                <w:rFonts w:hint="eastAsia" w:ascii="宋体" w:hAnsi="宋体" w:cs="宋体"/>
                <w:color w:val="000000"/>
                <w:sz w:val="24"/>
                <w:szCs w:val="24"/>
                <w:lang w:val="en-US" w:eastAsia="zh-CN"/>
              </w:rPr>
              <w:t>0</w:t>
            </w:r>
            <w:r>
              <w:rPr>
                <w:rFonts w:hint="eastAsia" w:ascii="宋体" w:hAnsi="宋体" w:cs="宋体"/>
                <w:color w:val="000000"/>
                <w:sz w:val="24"/>
                <w:szCs w:val="24"/>
              </w:rPr>
              <w:t>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进度计划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ageBreakBefore w:val="0"/>
              <w:kinsoku/>
              <w:overflowPunct/>
              <w:topLinePunct w:val="0"/>
              <w:bidi w:val="0"/>
              <w:spacing w:line="560" w:lineRule="exact"/>
              <w:jc w:val="left"/>
              <w:rPr>
                <w:rFonts w:ascii="宋体" w:hAnsi="宋体" w:cs="宋体"/>
                <w:color w:val="000000"/>
                <w:sz w:val="24"/>
                <w:szCs w:val="24"/>
              </w:rPr>
            </w:pPr>
            <w:r>
              <w:rPr>
                <w:rFonts w:hint="eastAsia" w:ascii="宋体" w:hAnsi="宋体" w:cs="仿宋_GB2312"/>
                <w:kern w:val="0"/>
                <w:sz w:val="24"/>
                <w:szCs w:val="24"/>
              </w:rPr>
              <w:t>及时完成了</w:t>
            </w:r>
            <w:r>
              <w:rPr>
                <w:rFonts w:ascii="宋体" w:hAnsi="宋体" w:cs="仿宋_GB2312"/>
                <w:kern w:val="0"/>
                <w:sz w:val="24"/>
                <w:szCs w:val="24"/>
              </w:rPr>
              <w:t>2</w:t>
            </w:r>
            <w:r>
              <w:rPr>
                <w:rFonts w:hint="eastAsia" w:ascii="宋体" w:hAnsi="宋体" w:cs="仿宋_GB2312"/>
                <w:kern w:val="0"/>
                <w:sz w:val="24"/>
                <w:szCs w:val="24"/>
                <w:lang w:val="en-US" w:eastAsia="zh-CN"/>
              </w:rPr>
              <w:t>0</w:t>
            </w:r>
            <w:r>
              <w:rPr>
                <w:rFonts w:hint="eastAsia" w:ascii="宋体" w:hAnsi="宋体" w:cs="仿宋_GB2312"/>
                <w:kern w:val="0"/>
                <w:sz w:val="24"/>
                <w:szCs w:val="24"/>
              </w:rPr>
              <w:t>名出租车驾驶员的燃油补贴发放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hint="eastAsia" w:ascii="宋体" w:hAnsi="宋体" w:cs="仿宋_GB2312"/>
                <w:kern w:val="0"/>
                <w:sz w:val="24"/>
                <w:szCs w:val="24"/>
              </w:rPr>
              <w:t>及时完成了</w:t>
            </w:r>
            <w:r>
              <w:rPr>
                <w:rFonts w:ascii="宋体" w:hAnsi="宋体" w:cs="仿宋_GB2312"/>
                <w:kern w:val="0"/>
                <w:sz w:val="24"/>
                <w:szCs w:val="24"/>
              </w:rPr>
              <w:t>2</w:t>
            </w:r>
            <w:r>
              <w:rPr>
                <w:rFonts w:hint="eastAsia" w:ascii="宋体" w:hAnsi="宋体" w:cs="仿宋_GB2312"/>
                <w:kern w:val="0"/>
                <w:sz w:val="24"/>
                <w:szCs w:val="24"/>
                <w:lang w:val="en-US" w:eastAsia="zh-CN"/>
              </w:rPr>
              <w:t>0</w:t>
            </w:r>
            <w:r>
              <w:rPr>
                <w:rFonts w:hint="eastAsia" w:ascii="宋体" w:hAnsi="宋体" w:cs="仿宋_GB2312"/>
                <w:kern w:val="0"/>
                <w:sz w:val="24"/>
                <w:szCs w:val="24"/>
              </w:rPr>
              <w:t>名出租车驾驶员的燃油补贴发放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目标匹配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ascii="宋体" w:hAnsi="宋体" w:cs="仿宋_GB2312"/>
                <w:kern w:val="0"/>
                <w:sz w:val="24"/>
                <w:szCs w:val="24"/>
              </w:rPr>
              <w:t>2</w:t>
            </w:r>
            <w:r>
              <w:rPr>
                <w:rFonts w:hint="eastAsia" w:ascii="宋体" w:hAnsi="宋体" w:cs="仿宋_GB2312"/>
                <w:kern w:val="0"/>
                <w:sz w:val="24"/>
                <w:szCs w:val="24"/>
                <w:lang w:val="en-US" w:eastAsia="zh-CN"/>
              </w:rPr>
              <w:t>0</w:t>
            </w:r>
            <w:r>
              <w:rPr>
                <w:rFonts w:hint="eastAsia" w:ascii="宋体" w:hAnsi="宋体" w:cs="仿宋_GB2312"/>
                <w:kern w:val="0"/>
                <w:sz w:val="24"/>
                <w:szCs w:val="24"/>
              </w:rPr>
              <w:t>名出租车驾驶员的燃油补贴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ascii="宋体" w:hAnsi="宋体" w:cs="仿宋_GB2312"/>
                <w:kern w:val="0"/>
                <w:sz w:val="24"/>
                <w:szCs w:val="24"/>
              </w:rPr>
              <w:t>2</w:t>
            </w:r>
            <w:r>
              <w:rPr>
                <w:rFonts w:hint="eastAsia" w:ascii="宋体" w:hAnsi="宋体" w:cs="仿宋_GB2312"/>
                <w:kern w:val="0"/>
                <w:sz w:val="24"/>
                <w:szCs w:val="24"/>
                <w:lang w:val="en-US" w:eastAsia="zh-CN"/>
              </w:rPr>
              <w:t>0</w:t>
            </w:r>
            <w:r>
              <w:rPr>
                <w:rFonts w:hint="eastAsia" w:ascii="宋体" w:hAnsi="宋体" w:cs="仿宋_GB2312"/>
                <w:kern w:val="0"/>
                <w:sz w:val="24"/>
                <w:szCs w:val="24"/>
              </w:rPr>
              <w:t>名出租车驾驶员的燃油补贴</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仿宋" w:hAnsi="仿宋" w:eastAsia="仿宋" w:cs="仿宋"/>
                <w:sz w:val="32"/>
                <w:szCs w:val="32"/>
              </w:rPr>
              <w:t>业节能减排和新能源汽车产业发展的政策环境，确保城市出</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决策依据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4"/>
              </w:rPr>
            </w:pPr>
            <w:r>
              <w:rPr>
                <w:rFonts w:hint="eastAsia" w:ascii="宋体" w:hAnsi="宋体" w:cs="宋体"/>
                <w:color w:val="000000"/>
                <w:kern w:val="0"/>
                <w:sz w:val="20"/>
                <w:szCs w:val="20"/>
              </w:rPr>
              <w:t>政策依据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cs="仿宋_GB2312"/>
                <w:kern w:val="0"/>
                <w:sz w:val="24"/>
                <w:szCs w:val="24"/>
              </w:rPr>
            </w:pPr>
            <w:r>
              <w:rPr>
                <w:rFonts w:ascii="宋体" w:hAnsi="宋体" w:cs="仿宋_GB2312"/>
                <w:kern w:val="0"/>
                <w:sz w:val="24"/>
                <w:szCs w:val="24"/>
              </w:rPr>
              <w:t xml:space="preserve">  </w:t>
            </w:r>
            <w:r>
              <w:rPr>
                <w:rFonts w:hint="eastAsia" w:ascii="宋体" w:hAnsi="宋体" w:eastAsia="宋体" w:cs="宋体"/>
                <w:color w:val="000000" w:themeColor="text1"/>
                <w:kern w:val="0"/>
                <w:sz w:val="24"/>
                <w:szCs w:val="24"/>
                <w14:textFill>
                  <w14:solidFill>
                    <w14:schemeClr w14:val="tx1"/>
                  </w14:solidFill>
                </w14:textFill>
              </w:rPr>
              <w:t>阿州财</w:t>
            </w:r>
            <w:r>
              <w:rPr>
                <w:rFonts w:hint="eastAsia" w:ascii="宋体" w:hAnsi="宋体" w:cs="宋体"/>
                <w:color w:val="000000" w:themeColor="text1"/>
                <w:kern w:val="0"/>
                <w:sz w:val="24"/>
                <w:szCs w:val="24"/>
                <w:lang w:eastAsia="zh-CN"/>
                <w14:textFill>
                  <w14:solidFill>
                    <w14:schemeClr w14:val="tx1"/>
                  </w14:solidFill>
                </w14:textFill>
              </w:rPr>
              <w:t>建</w:t>
            </w:r>
            <w:r>
              <w:rPr>
                <w:rFonts w:hint="eastAsia" w:ascii="宋体" w:hAnsi="宋体" w:eastAsia="宋体" w:cs="宋体"/>
                <w:color w:val="000000" w:themeColor="text1"/>
                <w:kern w:val="0"/>
                <w:sz w:val="24"/>
                <w:szCs w:val="24"/>
                <w14:textFill>
                  <w14:solidFill>
                    <w14:schemeClr w14:val="tx1"/>
                  </w14:solidFill>
                </w14:textFill>
              </w:rPr>
              <w:t>【201</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104号/97</w:t>
            </w:r>
            <w:r>
              <w:rPr>
                <w:rFonts w:hint="eastAsia" w:ascii="宋体" w:hAnsi="宋体" w:eastAsia="宋体" w:cs="宋体"/>
                <w:color w:val="000000" w:themeColor="text1"/>
                <w:kern w:val="0"/>
                <w:sz w:val="24"/>
                <w:szCs w:val="24"/>
                <w14:textFill>
                  <w14:solidFill>
                    <w14:schemeClr w14:val="tx1"/>
                  </w14:solidFill>
                </w14:textFill>
              </w:rPr>
              <w:t>号</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关于下</w:t>
            </w:r>
            <w:r>
              <w:rPr>
                <w:rFonts w:hint="eastAsia" w:ascii="宋体" w:hAnsi="宋体" w:eastAsia="宋体" w:cs="宋体"/>
                <w:color w:val="000000" w:themeColor="text1"/>
                <w:kern w:val="0"/>
                <w:sz w:val="24"/>
                <w:szCs w:val="24"/>
                <w:lang w:eastAsia="zh-CN"/>
                <w14:textFill>
                  <w14:solidFill>
                    <w14:schemeClr w14:val="tx1"/>
                  </w14:solidFill>
                </w14:textFill>
              </w:rPr>
              <w:t>达</w:t>
            </w:r>
            <w:r>
              <w:rPr>
                <w:rFonts w:hint="eastAsia" w:ascii="宋体" w:hAnsi="宋体" w:eastAsia="宋体" w:cs="宋体"/>
                <w:color w:val="000000" w:themeColor="text1"/>
                <w:kern w:val="0"/>
                <w:sz w:val="24"/>
                <w:szCs w:val="24"/>
                <w14:textFill>
                  <w14:solidFill>
                    <w14:schemeClr w14:val="tx1"/>
                  </w14:solidFill>
                </w14:textFill>
              </w:rPr>
              <w:t>2018年</w:t>
            </w:r>
            <w:r>
              <w:rPr>
                <w:rFonts w:hint="eastAsia" w:ascii="宋体" w:hAnsi="宋体" w:eastAsia="宋体" w:cs="宋体"/>
                <w:color w:val="000000" w:themeColor="text1"/>
                <w:kern w:val="0"/>
                <w:sz w:val="24"/>
                <w:szCs w:val="24"/>
                <w:lang w:eastAsia="zh-CN"/>
                <w14:textFill>
                  <w14:solidFill>
                    <w14:schemeClr w14:val="tx1"/>
                  </w14:solidFill>
                </w14:textFill>
              </w:rPr>
              <w:t>农村客运</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出租车</w:t>
            </w:r>
            <w:r>
              <w:rPr>
                <w:rFonts w:hint="eastAsia" w:ascii="宋体" w:hAnsi="宋体" w:eastAsia="宋体" w:cs="宋体"/>
                <w:color w:val="000000" w:themeColor="text1"/>
                <w:kern w:val="0"/>
                <w:sz w:val="24"/>
                <w:szCs w:val="24"/>
                <w14:textFill>
                  <w14:solidFill>
                    <w14:schemeClr w14:val="tx1"/>
                  </w14:solidFill>
                </w14:textFill>
              </w:rPr>
              <w:t>成品油</w:t>
            </w:r>
            <w:r>
              <w:rPr>
                <w:rFonts w:hint="eastAsia" w:ascii="宋体" w:hAnsi="宋体" w:eastAsia="宋体" w:cs="宋体"/>
                <w:color w:val="000000" w:themeColor="text1"/>
                <w:kern w:val="0"/>
                <w:sz w:val="24"/>
                <w:szCs w:val="24"/>
                <w:lang w:eastAsia="zh-CN"/>
                <w14:textFill>
                  <w14:solidFill>
                    <w14:schemeClr w14:val="tx1"/>
                  </w14:solidFill>
                </w14:textFill>
              </w:rPr>
              <w:t>补助资金</w:t>
            </w:r>
            <w:r>
              <w:rPr>
                <w:rFonts w:hint="eastAsia" w:ascii="宋体" w:hAnsi="宋体" w:eastAsia="宋体" w:cs="宋体"/>
                <w:color w:val="000000" w:themeColor="text1"/>
                <w:kern w:val="0"/>
                <w:sz w:val="24"/>
                <w:szCs w:val="24"/>
                <w14:textFill>
                  <w14:solidFill>
                    <w14:schemeClr w14:val="tx1"/>
                  </w14:solidFill>
                </w14:textFill>
              </w:rPr>
              <w:t>的通知</w:t>
            </w:r>
          </w:p>
          <w:p>
            <w:pPr>
              <w:pageBreakBefore w:val="0"/>
              <w:kinsoku/>
              <w:overflowPunct/>
              <w:topLinePunct w:val="0"/>
              <w:bidi w:val="0"/>
              <w:spacing w:line="560" w:lineRule="exact"/>
              <w:jc w:val="left"/>
              <w:rPr>
                <w:rFonts w:ascii="宋体" w:hAnsi="宋体" w:cs="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hint="eastAsia" w:ascii="宋体" w:hAnsi="宋体" w:cs="仿宋_GB2312"/>
                <w:kern w:val="0"/>
                <w:sz w:val="24"/>
                <w:szCs w:val="24"/>
              </w:rPr>
              <w:t>根据上级下达资金按时发放成品油燃油补贴发放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vMerge w:val="restart"/>
            <w:tcBorders>
              <w:top w:val="single" w:color="000000" w:sz="4" w:space="0"/>
              <w:left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4"/>
              </w:rPr>
            </w:pPr>
            <w:r>
              <w:rPr>
                <w:rFonts w:hint="eastAsia" w:ascii="宋体" w:hAnsi="宋体" w:cs="宋体"/>
                <w:color w:val="000000"/>
                <w:kern w:val="0"/>
                <w:sz w:val="20"/>
                <w:szCs w:val="20"/>
              </w:rPr>
              <w:t>实施规划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hint="eastAsia" w:ascii="宋体" w:hAnsi="宋体" w:cs="仿宋_GB2312"/>
                <w:kern w:val="0"/>
                <w:sz w:val="24"/>
                <w:szCs w:val="24"/>
              </w:rPr>
              <w:t>事实规划全县出租车驾驶员</w:t>
            </w:r>
            <w:r>
              <w:rPr>
                <w:rFonts w:ascii="宋体" w:hAnsi="宋体" w:cs="仿宋_GB2312"/>
                <w:kern w:val="0"/>
                <w:sz w:val="24"/>
                <w:szCs w:val="24"/>
              </w:rPr>
              <w:t>2</w:t>
            </w:r>
            <w:r>
              <w:rPr>
                <w:rFonts w:hint="eastAsia" w:ascii="宋体" w:hAnsi="宋体" w:cs="仿宋_GB2312"/>
                <w:kern w:val="0"/>
                <w:sz w:val="24"/>
                <w:szCs w:val="24"/>
                <w:lang w:val="en-US" w:eastAsia="zh-CN"/>
              </w:rPr>
              <w:t>0</w:t>
            </w:r>
            <w:r>
              <w:rPr>
                <w:rFonts w:hint="eastAsia" w:ascii="宋体" w:hAnsi="宋体" w:cs="仿宋_GB2312"/>
                <w:kern w:val="0"/>
                <w:sz w:val="24"/>
                <w:szCs w:val="24"/>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ascii="宋体" w:hAnsi="宋体" w:cs="仿宋_GB2312"/>
                <w:kern w:val="0"/>
                <w:sz w:val="24"/>
                <w:szCs w:val="24"/>
              </w:rPr>
              <w:t xml:space="preserve"> </w:t>
            </w:r>
            <w:r>
              <w:rPr>
                <w:rFonts w:hint="eastAsia" w:ascii="宋体" w:hAnsi="宋体" w:cs="仿宋_GB2312"/>
                <w:kern w:val="0"/>
                <w:sz w:val="24"/>
                <w:szCs w:val="24"/>
              </w:rPr>
              <w:t>全县出租车驾驶员</w:t>
            </w:r>
            <w:r>
              <w:rPr>
                <w:rFonts w:ascii="宋体" w:hAnsi="宋体" w:cs="仿宋_GB2312"/>
                <w:kern w:val="0"/>
                <w:sz w:val="24"/>
                <w:szCs w:val="24"/>
              </w:rPr>
              <w:t>2</w:t>
            </w:r>
            <w:r>
              <w:rPr>
                <w:rFonts w:hint="eastAsia" w:ascii="宋体" w:hAnsi="宋体" w:cs="仿宋_GB2312"/>
                <w:kern w:val="0"/>
                <w:sz w:val="24"/>
                <w:szCs w:val="24"/>
                <w:lang w:val="en-US" w:eastAsia="zh-CN"/>
              </w:rPr>
              <w:t>0</w:t>
            </w:r>
            <w:r>
              <w:rPr>
                <w:rFonts w:hint="eastAsia" w:ascii="宋体" w:hAnsi="宋体" w:cs="仿宋_GB2312"/>
                <w:kern w:val="0"/>
                <w:sz w:val="24"/>
                <w:szCs w:val="24"/>
              </w:rPr>
              <w:t>人</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vMerge w:val="continue"/>
            <w:tcBorders>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hint="eastAsia" w:ascii="宋体" w:hAnsi="宋体" w:cs="仿宋_GB2312"/>
                <w:kern w:val="0"/>
                <w:sz w:val="24"/>
                <w:szCs w:val="24"/>
              </w:rPr>
              <w:t>规划符合实际，暂无调整变化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hint="eastAsia" w:ascii="宋体" w:hAnsi="宋体" w:cs="仿宋_GB2312"/>
                <w:kern w:val="0"/>
                <w:sz w:val="24"/>
                <w:szCs w:val="24"/>
              </w:rPr>
              <w:t>规划符合实际，暂无调整变化</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管理制度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4"/>
                <w:szCs w:val="24"/>
              </w:rPr>
            </w:pPr>
            <w:r>
              <w:rPr>
                <w:rFonts w:hint="eastAsia" w:ascii="宋体" w:hAnsi="宋体" w:eastAsia="宋体" w:cs="宋体"/>
                <w:color w:val="C00000"/>
                <w:kern w:val="0"/>
                <w:sz w:val="24"/>
                <w:szCs w:val="24"/>
              </w:rPr>
              <w:t xml:space="preserve"> </w:t>
            </w:r>
            <w:r>
              <w:rPr>
                <w:rFonts w:hint="eastAsia" w:ascii="宋体" w:hAnsi="宋体" w:eastAsia="宋体" w:cs="宋体"/>
                <w:color w:val="000000" w:themeColor="text1"/>
                <w:kern w:val="0"/>
                <w:sz w:val="24"/>
                <w:szCs w:val="24"/>
                <w14:textFill>
                  <w14:solidFill>
                    <w14:schemeClr w14:val="tx1"/>
                  </w14:solidFill>
                </w14:textFill>
              </w:rPr>
              <w:t>阿州财</w:t>
            </w:r>
            <w:r>
              <w:rPr>
                <w:rFonts w:hint="eastAsia" w:ascii="宋体" w:hAnsi="宋体" w:cs="宋体"/>
                <w:color w:val="000000" w:themeColor="text1"/>
                <w:kern w:val="0"/>
                <w:sz w:val="24"/>
                <w:szCs w:val="24"/>
                <w:lang w:eastAsia="zh-CN"/>
                <w14:textFill>
                  <w14:solidFill>
                    <w14:schemeClr w14:val="tx1"/>
                  </w14:solidFill>
                </w14:textFill>
              </w:rPr>
              <w:t>建</w:t>
            </w:r>
            <w:r>
              <w:rPr>
                <w:rFonts w:hint="eastAsia" w:ascii="宋体" w:hAnsi="宋体" w:eastAsia="宋体" w:cs="宋体"/>
                <w:color w:val="000000" w:themeColor="text1"/>
                <w:kern w:val="0"/>
                <w:sz w:val="24"/>
                <w:szCs w:val="24"/>
                <w14:textFill>
                  <w14:solidFill>
                    <w14:schemeClr w14:val="tx1"/>
                  </w14:solidFill>
                </w14:textFill>
              </w:rPr>
              <w:t>【201</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104号/97</w:t>
            </w:r>
            <w:r>
              <w:rPr>
                <w:rFonts w:hint="eastAsia" w:ascii="宋体" w:hAnsi="宋体" w:eastAsia="宋体" w:cs="宋体"/>
                <w:color w:val="000000" w:themeColor="text1"/>
                <w:kern w:val="0"/>
                <w:sz w:val="24"/>
                <w:szCs w:val="24"/>
                <w14:textFill>
                  <w14:solidFill>
                    <w14:schemeClr w14:val="tx1"/>
                  </w14:solidFill>
                </w14:textFill>
              </w:rPr>
              <w:t>号</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关于下</w:t>
            </w:r>
            <w:r>
              <w:rPr>
                <w:rFonts w:hint="eastAsia" w:ascii="宋体" w:hAnsi="宋体" w:eastAsia="宋体" w:cs="宋体"/>
                <w:color w:val="000000" w:themeColor="text1"/>
                <w:kern w:val="0"/>
                <w:sz w:val="24"/>
                <w:szCs w:val="24"/>
                <w:lang w:eastAsia="zh-CN"/>
                <w14:textFill>
                  <w14:solidFill>
                    <w14:schemeClr w14:val="tx1"/>
                  </w14:solidFill>
                </w14:textFill>
              </w:rPr>
              <w:t>达</w:t>
            </w:r>
            <w:r>
              <w:rPr>
                <w:rFonts w:hint="eastAsia" w:ascii="宋体" w:hAnsi="宋体" w:eastAsia="宋体" w:cs="宋体"/>
                <w:color w:val="000000" w:themeColor="text1"/>
                <w:kern w:val="0"/>
                <w:sz w:val="24"/>
                <w:szCs w:val="24"/>
                <w14:textFill>
                  <w14:solidFill>
                    <w14:schemeClr w14:val="tx1"/>
                  </w14:solidFill>
                </w14:textFill>
              </w:rPr>
              <w:t>2018年</w:t>
            </w:r>
            <w:r>
              <w:rPr>
                <w:rFonts w:hint="eastAsia" w:ascii="宋体" w:hAnsi="宋体" w:eastAsia="宋体" w:cs="宋体"/>
                <w:color w:val="000000" w:themeColor="text1"/>
                <w:kern w:val="0"/>
                <w:sz w:val="24"/>
                <w:szCs w:val="24"/>
                <w:lang w:eastAsia="zh-CN"/>
                <w14:textFill>
                  <w14:solidFill>
                    <w14:schemeClr w14:val="tx1"/>
                  </w14:solidFill>
                </w14:textFill>
              </w:rPr>
              <w:t>农村客运</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出租车</w:t>
            </w:r>
            <w:r>
              <w:rPr>
                <w:rFonts w:hint="eastAsia" w:ascii="宋体" w:hAnsi="宋体" w:eastAsia="宋体" w:cs="宋体"/>
                <w:color w:val="000000" w:themeColor="text1"/>
                <w:kern w:val="0"/>
                <w:sz w:val="24"/>
                <w:szCs w:val="24"/>
                <w14:textFill>
                  <w14:solidFill>
                    <w14:schemeClr w14:val="tx1"/>
                  </w14:solidFill>
                </w14:textFill>
              </w:rPr>
              <w:t>成品油</w:t>
            </w:r>
            <w:r>
              <w:rPr>
                <w:rFonts w:hint="eastAsia" w:ascii="宋体" w:hAnsi="宋体" w:eastAsia="宋体" w:cs="宋体"/>
                <w:color w:val="000000" w:themeColor="text1"/>
                <w:kern w:val="0"/>
                <w:sz w:val="24"/>
                <w:szCs w:val="24"/>
                <w:lang w:eastAsia="zh-CN"/>
                <w14:textFill>
                  <w14:solidFill>
                    <w14:schemeClr w14:val="tx1"/>
                  </w14:solidFill>
                </w14:textFill>
              </w:rPr>
              <w:t>补助资金</w:t>
            </w:r>
            <w:r>
              <w:rPr>
                <w:rFonts w:hint="eastAsia" w:ascii="宋体" w:hAnsi="宋体" w:eastAsia="宋体" w:cs="宋体"/>
                <w:color w:val="000000" w:themeColor="text1"/>
                <w:kern w:val="0"/>
                <w:sz w:val="24"/>
                <w:szCs w:val="24"/>
                <w14:textFill>
                  <w14:solidFill>
                    <w14:schemeClr w14:val="tx1"/>
                  </w14:solidFill>
                </w14:textFill>
              </w:rPr>
              <w:t>的通知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4"/>
                <w:szCs w:val="24"/>
              </w:rPr>
            </w:pPr>
            <w:r>
              <w:rPr>
                <w:rFonts w:hint="eastAsia" w:ascii="宋体" w:hAnsi="宋体" w:eastAsia="宋体" w:cs="宋体"/>
                <w:color w:val="000000" w:themeColor="text1"/>
                <w:kern w:val="0"/>
                <w:sz w:val="24"/>
                <w:szCs w:val="24"/>
                <w14:textFill>
                  <w14:solidFill>
                    <w14:schemeClr w14:val="tx1"/>
                  </w14:solidFill>
                </w14:textFill>
              </w:rPr>
              <w:t>阿州财</w:t>
            </w:r>
            <w:r>
              <w:rPr>
                <w:rFonts w:hint="eastAsia" w:ascii="宋体" w:hAnsi="宋体" w:cs="宋体"/>
                <w:color w:val="000000" w:themeColor="text1"/>
                <w:kern w:val="0"/>
                <w:sz w:val="24"/>
                <w:szCs w:val="24"/>
                <w:lang w:eastAsia="zh-CN"/>
                <w14:textFill>
                  <w14:solidFill>
                    <w14:schemeClr w14:val="tx1"/>
                  </w14:solidFill>
                </w14:textFill>
              </w:rPr>
              <w:t>建</w:t>
            </w:r>
            <w:r>
              <w:rPr>
                <w:rFonts w:hint="eastAsia" w:ascii="宋体" w:hAnsi="宋体" w:eastAsia="宋体" w:cs="宋体"/>
                <w:color w:val="000000" w:themeColor="text1"/>
                <w:kern w:val="0"/>
                <w:sz w:val="24"/>
                <w:szCs w:val="24"/>
                <w14:textFill>
                  <w14:solidFill>
                    <w14:schemeClr w14:val="tx1"/>
                  </w14:solidFill>
                </w14:textFill>
              </w:rPr>
              <w:t>【201</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104号/97</w:t>
            </w:r>
            <w:r>
              <w:rPr>
                <w:rFonts w:hint="eastAsia" w:ascii="宋体" w:hAnsi="宋体" w:eastAsia="宋体" w:cs="宋体"/>
                <w:color w:val="000000" w:themeColor="text1"/>
                <w:kern w:val="0"/>
                <w:sz w:val="24"/>
                <w:szCs w:val="24"/>
                <w14:textFill>
                  <w14:solidFill>
                    <w14:schemeClr w14:val="tx1"/>
                  </w14:solidFill>
                </w14:textFill>
              </w:rPr>
              <w:t>号</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关于下</w:t>
            </w:r>
            <w:r>
              <w:rPr>
                <w:rFonts w:hint="eastAsia" w:ascii="宋体" w:hAnsi="宋体" w:eastAsia="宋体" w:cs="宋体"/>
                <w:color w:val="000000" w:themeColor="text1"/>
                <w:kern w:val="0"/>
                <w:sz w:val="24"/>
                <w:szCs w:val="24"/>
                <w:lang w:eastAsia="zh-CN"/>
                <w14:textFill>
                  <w14:solidFill>
                    <w14:schemeClr w14:val="tx1"/>
                  </w14:solidFill>
                </w14:textFill>
              </w:rPr>
              <w:t>达</w:t>
            </w:r>
            <w:r>
              <w:rPr>
                <w:rFonts w:hint="eastAsia" w:ascii="宋体" w:hAnsi="宋体" w:eastAsia="宋体" w:cs="宋体"/>
                <w:color w:val="000000" w:themeColor="text1"/>
                <w:kern w:val="0"/>
                <w:sz w:val="24"/>
                <w:szCs w:val="24"/>
                <w14:textFill>
                  <w14:solidFill>
                    <w14:schemeClr w14:val="tx1"/>
                  </w14:solidFill>
                </w14:textFill>
              </w:rPr>
              <w:t>2018年</w:t>
            </w:r>
            <w:r>
              <w:rPr>
                <w:rFonts w:hint="eastAsia" w:ascii="宋体" w:hAnsi="宋体" w:eastAsia="宋体" w:cs="宋体"/>
                <w:color w:val="000000" w:themeColor="text1"/>
                <w:kern w:val="0"/>
                <w:sz w:val="24"/>
                <w:szCs w:val="24"/>
                <w:lang w:eastAsia="zh-CN"/>
                <w14:textFill>
                  <w14:solidFill>
                    <w14:schemeClr w14:val="tx1"/>
                  </w14:solidFill>
                </w14:textFill>
              </w:rPr>
              <w:t>农村客运</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出租车</w:t>
            </w:r>
            <w:r>
              <w:rPr>
                <w:rFonts w:hint="eastAsia" w:ascii="宋体" w:hAnsi="宋体" w:eastAsia="宋体" w:cs="宋体"/>
                <w:color w:val="000000" w:themeColor="text1"/>
                <w:kern w:val="0"/>
                <w:sz w:val="24"/>
                <w:szCs w:val="24"/>
                <w14:textFill>
                  <w14:solidFill>
                    <w14:schemeClr w14:val="tx1"/>
                  </w14:solidFill>
                </w14:textFill>
              </w:rPr>
              <w:t>成品油</w:t>
            </w:r>
            <w:r>
              <w:rPr>
                <w:rFonts w:hint="eastAsia" w:ascii="宋体" w:hAnsi="宋体" w:eastAsia="宋体" w:cs="宋体"/>
                <w:color w:val="000000" w:themeColor="text1"/>
                <w:kern w:val="0"/>
                <w:sz w:val="24"/>
                <w:szCs w:val="24"/>
                <w:lang w:eastAsia="zh-CN"/>
                <w14:textFill>
                  <w14:solidFill>
                    <w14:schemeClr w14:val="tx1"/>
                  </w14:solidFill>
                </w14:textFill>
              </w:rPr>
              <w:t>补助资金</w:t>
            </w:r>
            <w:r>
              <w:rPr>
                <w:rFonts w:hint="eastAsia" w:ascii="宋体" w:hAnsi="宋体" w:eastAsia="宋体" w:cs="宋体"/>
                <w:color w:val="000000" w:themeColor="text1"/>
                <w:kern w:val="0"/>
                <w:sz w:val="24"/>
                <w:szCs w:val="24"/>
                <w14:textFill>
                  <w14:solidFill>
                    <w14:schemeClr w14:val="tx1"/>
                  </w14:solidFill>
                </w14:textFill>
              </w:rPr>
              <w:t>的通知</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eastAsia="宋体" w:cs="宋体"/>
                <w:color w:val="000000" w:themeColor="text1"/>
                <w:kern w:val="0"/>
                <w:sz w:val="24"/>
                <w:szCs w:val="24"/>
                <w14:textFill>
                  <w14:solidFill>
                    <w14:schemeClr w14:val="tx1"/>
                  </w14:solidFill>
                </w14:textFill>
              </w:rPr>
              <w:t>阿州财</w:t>
            </w:r>
            <w:r>
              <w:rPr>
                <w:rFonts w:hint="eastAsia" w:ascii="宋体" w:hAnsi="宋体" w:cs="宋体"/>
                <w:color w:val="000000" w:themeColor="text1"/>
                <w:kern w:val="0"/>
                <w:sz w:val="24"/>
                <w:szCs w:val="24"/>
                <w:lang w:eastAsia="zh-CN"/>
                <w14:textFill>
                  <w14:solidFill>
                    <w14:schemeClr w14:val="tx1"/>
                  </w14:solidFill>
                </w14:textFill>
              </w:rPr>
              <w:t>建</w:t>
            </w:r>
            <w:r>
              <w:rPr>
                <w:rFonts w:hint="eastAsia" w:ascii="宋体" w:hAnsi="宋体" w:eastAsia="宋体" w:cs="宋体"/>
                <w:color w:val="000000" w:themeColor="text1"/>
                <w:kern w:val="0"/>
                <w:sz w:val="24"/>
                <w:szCs w:val="24"/>
                <w14:textFill>
                  <w14:solidFill>
                    <w14:schemeClr w14:val="tx1"/>
                  </w14:solidFill>
                </w14:textFill>
              </w:rPr>
              <w:t>【201</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104号/97</w:t>
            </w:r>
            <w:r>
              <w:rPr>
                <w:rFonts w:hint="eastAsia" w:ascii="宋体" w:hAnsi="宋体" w:eastAsia="宋体" w:cs="宋体"/>
                <w:color w:val="000000" w:themeColor="text1"/>
                <w:kern w:val="0"/>
                <w:sz w:val="24"/>
                <w:szCs w:val="24"/>
                <w14:textFill>
                  <w14:solidFill>
                    <w14:schemeClr w14:val="tx1"/>
                  </w14:solidFill>
                </w14:textFill>
              </w:rPr>
              <w:t>号</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关于下</w:t>
            </w:r>
            <w:r>
              <w:rPr>
                <w:rFonts w:hint="eastAsia" w:ascii="宋体" w:hAnsi="宋体" w:eastAsia="宋体" w:cs="宋体"/>
                <w:color w:val="000000" w:themeColor="text1"/>
                <w:kern w:val="0"/>
                <w:sz w:val="24"/>
                <w:szCs w:val="24"/>
                <w:lang w:eastAsia="zh-CN"/>
                <w14:textFill>
                  <w14:solidFill>
                    <w14:schemeClr w14:val="tx1"/>
                  </w14:solidFill>
                </w14:textFill>
              </w:rPr>
              <w:t>达</w:t>
            </w:r>
            <w:r>
              <w:rPr>
                <w:rFonts w:hint="eastAsia" w:ascii="宋体" w:hAnsi="宋体" w:eastAsia="宋体" w:cs="宋体"/>
                <w:color w:val="000000" w:themeColor="text1"/>
                <w:kern w:val="0"/>
                <w:sz w:val="24"/>
                <w:szCs w:val="24"/>
                <w14:textFill>
                  <w14:solidFill>
                    <w14:schemeClr w14:val="tx1"/>
                  </w14:solidFill>
                </w14:textFill>
              </w:rPr>
              <w:t>2018年</w:t>
            </w:r>
            <w:r>
              <w:rPr>
                <w:rFonts w:hint="eastAsia" w:ascii="宋体" w:hAnsi="宋体" w:eastAsia="宋体" w:cs="宋体"/>
                <w:color w:val="000000" w:themeColor="text1"/>
                <w:kern w:val="0"/>
                <w:sz w:val="24"/>
                <w:szCs w:val="24"/>
                <w:lang w:eastAsia="zh-CN"/>
                <w14:textFill>
                  <w14:solidFill>
                    <w14:schemeClr w14:val="tx1"/>
                  </w14:solidFill>
                </w14:textFill>
              </w:rPr>
              <w:t>农村客运</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出租车</w:t>
            </w:r>
            <w:r>
              <w:rPr>
                <w:rFonts w:hint="eastAsia" w:ascii="宋体" w:hAnsi="宋体" w:eastAsia="宋体" w:cs="宋体"/>
                <w:color w:val="000000" w:themeColor="text1"/>
                <w:kern w:val="0"/>
                <w:sz w:val="24"/>
                <w:szCs w:val="24"/>
                <w14:textFill>
                  <w14:solidFill>
                    <w14:schemeClr w14:val="tx1"/>
                  </w14:solidFill>
                </w14:textFill>
              </w:rPr>
              <w:t>成品油</w:t>
            </w:r>
            <w:r>
              <w:rPr>
                <w:rFonts w:hint="eastAsia" w:ascii="宋体" w:hAnsi="宋体" w:eastAsia="宋体" w:cs="宋体"/>
                <w:color w:val="000000" w:themeColor="text1"/>
                <w:kern w:val="0"/>
                <w:sz w:val="24"/>
                <w:szCs w:val="24"/>
                <w:lang w:eastAsia="zh-CN"/>
                <w14:textFill>
                  <w14:solidFill>
                    <w14:schemeClr w14:val="tx1"/>
                  </w14:solidFill>
                </w14:textFill>
              </w:rPr>
              <w:t>补助资金</w:t>
            </w:r>
            <w:r>
              <w:rPr>
                <w:rFonts w:hint="eastAsia" w:ascii="宋体" w:hAnsi="宋体" w:eastAsia="宋体" w:cs="宋体"/>
                <w:color w:val="000000" w:themeColor="text1"/>
                <w:kern w:val="0"/>
                <w:sz w:val="24"/>
                <w:szCs w:val="24"/>
                <w14:textFill>
                  <w14:solidFill>
                    <w14:schemeClr w14:val="tx1"/>
                  </w14:solidFill>
                </w14:textFill>
              </w:rPr>
              <w:t>的通知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eastAsia="宋体" w:cs="宋体"/>
                <w:color w:val="000000" w:themeColor="text1"/>
                <w:kern w:val="0"/>
                <w:sz w:val="24"/>
                <w:szCs w:val="24"/>
                <w14:textFill>
                  <w14:solidFill>
                    <w14:schemeClr w14:val="tx1"/>
                  </w14:solidFill>
                </w14:textFill>
              </w:rPr>
              <w:t>阿州财</w:t>
            </w:r>
            <w:r>
              <w:rPr>
                <w:rFonts w:hint="eastAsia" w:ascii="宋体" w:hAnsi="宋体" w:cs="宋体"/>
                <w:color w:val="000000" w:themeColor="text1"/>
                <w:kern w:val="0"/>
                <w:sz w:val="24"/>
                <w:szCs w:val="24"/>
                <w:lang w:eastAsia="zh-CN"/>
                <w14:textFill>
                  <w14:solidFill>
                    <w14:schemeClr w14:val="tx1"/>
                  </w14:solidFill>
                </w14:textFill>
              </w:rPr>
              <w:t>建</w:t>
            </w:r>
            <w:r>
              <w:rPr>
                <w:rFonts w:hint="eastAsia" w:ascii="宋体" w:hAnsi="宋体" w:eastAsia="宋体" w:cs="宋体"/>
                <w:color w:val="000000" w:themeColor="text1"/>
                <w:kern w:val="0"/>
                <w:sz w:val="24"/>
                <w:szCs w:val="24"/>
                <w14:textFill>
                  <w14:solidFill>
                    <w14:schemeClr w14:val="tx1"/>
                  </w14:solidFill>
                </w14:textFill>
              </w:rPr>
              <w:t>【201</w:t>
            </w:r>
            <w:r>
              <w:rPr>
                <w:rFonts w:hint="eastAsia" w:ascii="宋体" w:hAnsi="宋体" w:cs="宋体"/>
                <w:color w:val="000000" w:themeColor="text1"/>
                <w:kern w:val="0"/>
                <w:sz w:val="24"/>
                <w:szCs w:val="24"/>
                <w:lang w:val="en-US" w:eastAsia="zh-CN"/>
                <w14:textFill>
                  <w14:solidFill>
                    <w14:schemeClr w14:val="tx1"/>
                  </w14:solidFill>
                </w14:textFill>
              </w:rPr>
              <w:t>9</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104号/97</w:t>
            </w:r>
            <w:r>
              <w:rPr>
                <w:rFonts w:hint="eastAsia" w:ascii="宋体" w:hAnsi="宋体" w:eastAsia="宋体" w:cs="宋体"/>
                <w:color w:val="000000" w:themeColor="text1"/>
                <w:kern w:val="0"/>
                <w:sz w:val="24"/>
                <w:szCs w:val="24"/>
                <w14:textFill>
                  <w14:solidFill>
                    <w14:schemeClr w14:val="tx1"/>
                  </w14:solidFill>
                </w14:textFill>
              </w:rPr>
              <w:t>号</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关于下</w:t>
            </w:r>
            <w:r>
              <w:rPr>
                <w:rFonts w:hint="eastAsia" w:ascii="宋体" w:hAnsi="宋体" w:eastAsia="宋体" w:cs="宋体"/>
                <w:color w:val="000000" w:themeColor="text1"/>
                <w:kern w:val="0"/>
                <w:sz w:val="24"/>
                <w:szCs w:val="24"/>
                <w:lang w:eastAsia="zh-CN"/>
                <w14:textFill>
                  <w14:solidFill>
                    <w14:schemeClr w14:val="tx1"/>
                  </w14:solidFill>
                </w14:textFill>
              </w:rPr>
              <w:t>达</w:t>
            </w:r>
            <w:r>
              <w:rPr>
                <w:rFonts w:hint="eastAsia" w:ascii="宋体" w:hAnsi="宋体" w:eastAsia="宋体" w:cs="宋体"/>
                <w:color w:val="000000" w:themeColor="text1"/>
                <w:kern w:val="0"/>
                <w:sz w:val="24"/>
                <w:szCs w:val="24"/>
                <w14:textFill>
                  <w14:solidFill>
                    <w14:schemeClr w14:val="tx1"/>
                  </w14:solidFill>
                </w14:textFill>
              </w:rPr>
              <w:t>2018年</w:t>
            </w:r>
            <w:r>
              <w:rPr>
                <w:rFonts w:hint="eastAsia" w:ascii="宋体" w:hAnsi="宋体" w:eastAsia="宋体" w:cs="宋体"/>
                <w:color w:val="000000" w:themeColor="text1"/>
                <w:kern w:val="0"/>
                <w:sz w:val="24"/>
                <w:szCs w:val="24"/>
                <w:lang w:eastAsia="zh-CN"/>
                <w14:textFill>
                  <w14:solidFill>
                    <w14:schemeClr w14:val="tx1"/>
                  </w14:solidFill>
                </w14:textFill>
              </w:rPr>
              <w:t>农村客运</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出租车</w:t>
            </w:r>
            <w:r>
              <w:rPr>
                <w:rFonts w:hint="eastAsia" w:ascii="宋体" w:hAnsi="宋体" w:eastAsia="宋体" w:cs="宋体"/>
                <w:color w:val="000000" w:themeColor="text1"/>
                <w:kern w:val="0"/>
                <w:sz w:val="24"/>
                <w:szCs w:val="24"/>
                <w14:textFill>
                  <w14:solidFill>
                    <w14:schemeClr w14:val="tx1"/>
                  </w14:solidFill>
                </w14:textFill>
              </w:rPr>
              <w:t>成品油</w:t>
            </w:r>
            <w:r>
              <w:rPr>
                <w:rFonts w:hint="eastAsia" w:ascii="宋体" w:hAnsi="宋体" w:eastAsia="宋体" w:cs="宋体"/>
                <w:color w:val="000000" w:themeColor="text1"/>
                <w:kern w:val="0"/>
                <w:sz w:val="24"/>
                <w:szCs w:val="24"/>
                <w:lang w:eastAsia="zh-CN"/>
                <w14:textFill>
                  <w14:solidFill>
                    <w14:schemeClr w14:val="tx1"/>
                  </w14:solidFill>
                </w14:textFill>
              </w:rPr>
              <w:t>补助资金</w:t>
            </w:r>
            <w:r>
              <w:rPr>
                <w:rFonts w:hint="eastAsia" w:ascii="宋体" w:hAnsi="宋体" w:eastAsia="宋体" w:cs="宋体"/>
                <w:color w:val="000000" w:themeColor="text1"/>
                <w:kern w:val="0"/>
                <w:sz w:val="24"/>
                <w:szCs w:val="24"/>
                <w14:textFill>
                  <w14:solidFill>
                    <w14:schemeClr w14:val="tx1"/>
                  </w14:solidFill>
                </w14:textFill>
              </w:rPr>
              <w:t>的通知</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资金分配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分配方法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分配方法科学合理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分配方法科学合理</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分配过程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分配结果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审核把关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ascii="宋体" w:hAnsi="宋体" w:cs="仿宋_GB2312"/>
                <w:kern w:val="0"/>
                <w:sz w:val="28"/>
                <w:szCs w:val="28"/>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ascii="宋体" w:hAnsi="宋体" w:cs="仿宋_GB2312"/>
                <w:kern w:val="0"/>
                <w:sz w:val="28"/>
                <w:szCs w:val="28"/>
              </w:rPr>
              <w:t>1</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资金集中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ascii="宋体" w:hAnsi="宋体" w:cs="宋体"/>
                <w:color w:val="000000"/>
                <w:kern w:val="0"/>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ascii="宋体" w:hAnsi="宋体" w:cs="宋体"/>
                <w:color w:val="000000"/>
                <w:kern w:val="0"/>
                <w:sz w:val="28"/>
                <w:szCs w:val="28"/>
              </w:rPr>
              <w:t>100%</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均衡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资金到位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分配时效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资金管理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使用范围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支付依据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开支标准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财务管理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财务制度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会计核算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组织实施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项目调整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仿宋_GB2312"/>
                <w:kern w:val="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投资变更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无</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无</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制度执行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完成数量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ascii="宋体" w:hAnsi="宋体" w:cs="宋体"/>
                <w:color w:val="000000"/>
                <w:sz w:val="28"/>
                <w:szCs w:val="28"/>
              </w:rPr>
              <w:t>22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ascii="宋体" w:hAnsi="宋体" w:cs="宋体"/>
                <w:color w:val="000000"/>
                <w:sz w:val="28"/>
                <w:szCs w:val="28"/>
              </w:rPr>
              <w:t>22</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完成质量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是</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rPr>
                <w:rFonts w:ascii="宋体" w:hAnsi="宋体" w:cs="宋体"/>
                <w:color w:val="000000"/>
                <w:sz w:val="28"/>
                <w:szCs w:val="28"/>
              </w:rPr>
            </w:pPr>
            <w:r>
              <w:rPr>
                <w:rFonts w:ascii="宋体" w:hAnsi="宋体" w:cs="宋体"/>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年</w:t>
            </w:r>
            <w:r>
              <w:rPr>
                <w:rFonts w:ascii="宋体" w:hAnsi="宋体" w:cs="宋体"/>
                <w:color w:val="000000" w:themeColor="text1"/>
                <w:sz w:val="28"/>
                <w:szCs w:val="28"/>
                <w14:textFill>
                  <w14:solidFill>
                    <w14:schemeClr w14:val="tx1"/>
                  </w14:solidFill>
                </w14:textFill>
              </w:rPr>
              <w:t>12</w:t>
            </w:r>
            <w:r>
              <w:rPr>
                <w:rFonts w:hint="eastAsia" w:ascii="宋体" w:hAnsi="宋体" w:cs="宋体"/>
                <w:color w:val="000000" w:themeColor="text1"/>
                <w:sz w:val="28"/>
                <w:szCs w:val="28"/>
                <w14:textFill>
                  <w14:solidFill>
                    <w14:schemeClr w14:val="tx1"/>
                  </w14:solidFill>
                </w14:textFill>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ascii="宋体" w:hAnsi="宋体" w:cs="宋体"/>
                <w:color w:val="000000" w:themeColor="text1"/>
                <w:sz w:val="28"/>
                <w:szCs w:val="28"/>
                <w14:textFill>
                  <w14:solidFill>
                    <w14:schemeClr w14:val="tx1"/>
                  </w14:solidFill>
                </w14:textFill>
              </w:rPr>
              <w:t>2018</w:t>
            </w:r>
            <w:r>
              <w:rPr>
                <w:rFonts w:hint="eastAsia" w:ascii="宋体" w:hAnsi="宋体" w:cs="宋体"/>
                <w:color w:val="000000" w:themeColor="text1"/>
                <w:sz w:val="28"/>
                <w:szCs w:val="28"/>
                <w14:textFill>
                  <w14:solidFill>
                    <w14:schemeClr w14:val="tx1"/>
                  </w14:solidFill>
                </w14:textFill>
              </w:rPr>
              <w:t>年</w:t>
            </w:r>
            <w:r>
              <w:rPr>
                <w:rFonts w:ascii="宋体" w:hAnsi="宋体" w:cs="宋体"/>
                <w:color w:val="000000" w:themeColor="text1"/>
                <w:sz w:val="28"/>
                <w:szCs w:val="28"/>
                <w14:textFill>
                  <w14:solidFill>
                    <w14:schemeClr w14:val="tx1"/>
                  </w14:solidFill>
                </w14:textFill>
              </w:rPr>
              <w:t>12</w:t>
            </w:r>
            <w:r>
              <w:rPr>
                <w:rFonts w:hint="eastAsia" w:ascii="宋体" w:hAnsi="宋体" w:cs="宋体"/>
                <w:color w:val="000000" w:themeColor="text1"/>
                <w:sz w:val="28"/>
                <w:szCs w:val="28"/>
                <w14:textFill>
                  <w14:solidFill>
                    <w14:schemeClr w14:val="tx1"/>
                  </w14:solidFill>
                </w14:textFill>
              </w:rPr>
              <w:t>月</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完成成本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ascii="宋体" w:hAnsi="宋体" w:cs="宋体"/>
                <w:color w:val="000000"/>
                <w:sz w:val="28"/>
                <w:szCs w:val="2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ascii="宋体" w:hAnsi="宋体" w:cs="宋体"/>
                <w:color w:val="000000"/>
                <w:sz w:val="28"/>
                <w:szCs w:val="28"/>
              </w:rPr>
              <w:t>100%</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项目效益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经济效益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资金拨付完成保障</w:t>
            </w:r>
            <w:r>
              <w:rPr>
                <w:rFonts w:ascii="宋体" w:hAnsi="宋体" w:cs="仿宋_GB2312"/>
                <w:kern w:val="0"/>
                <w:sz w:val="28"/>
                <w:szCs w:val="28"/>
              </w:rPr>
              <w:t>2</w:t>
            </w:r>
            <w:r>
              <w:rPr>
                <w:rFonts w:hint="eastAsia" w:ascii="宋体" w:hAnsi="宋体" w:cs="仿宋_GB2312"/>
                <w:kern w:val="0"/>
                <w:sz w:val="28"/>
                <w:szCs w:val="28"/>
                <w:lang w:val="en-US" w:eastAsia="zh-CN"/>
              </w:rPr>
              <w:t>0</w:t>
            </w:r>
            <w:r>
              <w:rPr>
                <w:rFonts w:hint="eastAsia" w:ascii="宋体" w:hAnsi="宋体" w:cs="仿宋_GB2312"/>
                <w:kern w:val="0"/>
                <w:sz w:val="28"/>
                <w:szCs w:val="28"/>
              </w:rPr>
              <w:t>名出租车驾驶员的燃油补贴</w:t>
            </w:r>
            <w:r>
              <w:rPr>
                <w:rFonts w:hint="eastAsia" w:ascii="宋体" w:hAnsi="宋体" w:cs="宋体"/>
                <w:color w:val="000000"/>
                <w:sz w:val="28"/>
                <w:szCs w:val="28"/>
              </w:rPr>
              <w:t>补助按时到位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资金拨付完成保障</w:t>
            </w:r>
            <w:r>
              <w:rPr>
                <w:rFonts w:ascii="宋体" w:hAnsi="宋体" w:cs="仿宋_GB2312"/>
                <w:kern w:val="0"/>
                <w:sz w:val="28"/>
                <w:szCs w:val="28"/>
              </w:rPr>
              <w:t>2</w:t>
            </w:r>
            <w:r>
              <w:rPr>
                <w:rFonts w:hint="eastAsia" w:ascii="宋体" w:hAnsi="宋体" w:cs="仿宋_GB2312"/>
                <w:kern w:val="0"/>
                <w:sz w:val="28"/>
                <w:szCs w:val="28"/>
                <w:lang w:val="en-US" w:eastAsia="zh-CN"/>
              </w:rPr>
              <w:t>0</w:t>
            </w:r>
            <w:r>
              <w:rPr>
                <w:rFonts w:hint="eastAsia" w:ascii="宋体" w:hAnsi="宋体" w:cs="仿宋_GB2312"/>
                <w:kern w:val="0"/>
                <w:sz w:val="28"/>
                <w:szCs w:val="28"/>
              </w:rPr>
              <w:t>名出租驾驶员的燃油补贴</w:t>
            </w:r>
            <w:r>
              <w:rPr>
                <w:rFonts w:hint="eastAsia" w:ascii="宋体" w:hAnsi="宋体" w:cs="宋体"/>
                <w:color w:val="000000"/>
                <w:sz w:val="28"/>
                <w:szCs w:val="28"/>
              </w:rPr>
              <w:t>补助按时到位</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rPr>
                <w:rFonts w:ascii="宋体" w:hAnsi="宋体" w:cs="宋体"/>
                <w:color w:val="000000"/>
                <w:sz w:val="28"/>
                <w:szCs w:val="28"/>
              </w:rPr>
            </w:pPr>
            <w:r>
              <w:rPr>
                <w:rFonts w:hint="eastAsia" w:ascii="宋体" w:hAnsi="宋体" w:cs="宋体"/>
                <w:color w:val="000000"/>
                <w:sz w:val="28"/>
                <w:szCs w:val="28"/>
              </w:rPr>
              <w:t>有效的保障驾驶员燃油补贴到位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有效的保障驾驶员燃油补贴到位</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jc w:val="center"/>
              <w:textAlignment w:val="bottom"/>
              <w:rPr>
                <w:rFonts w:ascii="宋体" w:hAnsi="宋体" w:cs="宋体"/>
                <w:color w:val="000000"/>
                <w:sz w:val="28"/>
                <w:szCs w:val="28"/>
              </w:rPr>
            </w:pPr>
            <w:r>
              <w:rPr>
                <w:rFonts w:hint="eastAsia" w:ascii="宋体" w:hAnsi="宋体" w:cs="宋体"/>
                <w:color w:val="000000"/>
                <w:kern w:val="0"/>
                <w:sz w:val="28"/>
                <w:szCs w:val="28"/>
              </w:rPr>
              <w:t>生态效益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353535"/>
                <w:sz w:val="28"/>
                <w:szCs w:val="28"/>
              </w:rPr>
              <w:t>促进出租车和公交行业节能减排，为大气污染防治做出贡献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353535"/>
                <w:sz w:val="28"/>
                <w:szCs w:val="28"/>
              </w:rPr>
              <w:t>促进出租车和公交行业节能减排，为大气污染防治做出贡献</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widowControl/>
              <w:kinsoku/>
              <w:overflowPunct/>
              <w:topLinePunct w:val="0"/>
              <w:bidi w:val="0"/>
              <w:spacing w:line="560" w:lineRule="exact"/>
              <w:ind w:firstLine="560" w:firstLineChars="200"/>
              <w:jc w:val="left"/>
              <w:textAlignment w:val="bottom"/>
              <w:rPr>
                <w:rFonts w:ascii="宋体" w:hAnsi="宋体" w:cs="宋体"/>
                <w:color w:val="000000"/>
                <w:sz w:val="28"/>
                <w:szCs w:val="28"/>
              </w:rPr>
            </w:pPr>
            <w:r>
              <w:rPr>
                <w:rFonts w:hint="eastAsia" w:ascii="宋体" w:hAnsi="宋体" w:cs="宋体"/>
                <w:color w:val="000000"/>
                <w:kern w:val="0"/>
                <w:sz w:val="28"/>
                <w:szCs w:val="28"/>
              </w:rPr>
              <w:t>可持续效益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8"/>
                <w:szCs w:val="28"/>
              </w:rPr>
            </w:pPr>
            <w:r>
              <w:rPr>
                <w:rFonts w:hint="eastAsia" w:ascii="宋体" w:hAnsi="宋体" w:cs="宋体"/>
                <w:color w:val="000000"/>
                <w:sz w:val="28"/>
                <w:szCs w:val="28"/>
              </w:rPr>
              <w:t>保障驾驶员燃油补贴助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left"/>
              <w:rPr>
                <w:rFonts w:ascii="宋体" w:hAnsi="宋体" w:cs="宋体"/>
                <w:color w:val="000000"/>
                <w:sz w:val="28"/>
                <w:szCs w:val="28"/>
              </w:rPr>
            </w:pPr>
            <w:r>
              <w:rPr>
                <w:rFonts w:hint="eastAsia" w:ascii="宋体" w:hAnsi="宋体" w:cs="宋体"/>
                <w:color w:val="000000"/>
                <w:sz w:val="28"/>
                <w:szCs w:val="28"/>
              </w:rPr>
              <w:t>保障驾驶员燃油补贴助</w:t>
            </w:r>
          </w:p>
        </w:tc>
      </w:tr>
      <w:tr>
        <w:tblPrEx>
          <w:tblCellMar>
            <w:top w:w="0" w:type="dxa"/>
            <w:left w:w="0" w:type="dxa"/>
            <w:bottom w:w="0" w:type="dxa"/>
            <w:right w:w="0" w:type="dxa"/>
          </w:tblCellMar>
        </w:tblPrEx>
        <w:trPr>
          <w:trHeight w:val="1050" w:hRule="atLeast"/>
          <w:jc w:val="center"/>
        </w:trPr>
        <w:tc>
          <w:tcPr>
            <w:tcW w:w="390" w:type="dxa"/>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overflowPunct/>
              <w:topLinePunct w:val="0"/>
              <w:bidi w:val="0"/>
              <w:spacing w:line="560" w:lineRule="exact"/>
              <w:jc w:val="center"/>
              <w:textAlignment w:val="center"/>
              <w:rPr>
                <w:rFonts w:ascii="宋体" w:hAnsi="宋体" w:cs="宋体"/>
                <w:color w:val="000000"/>
                <w:sz w:val="28"/>
                <w:szCs w:val="28"/>
              </w:rPr>
            </w:pPr>
            <w:r>
              <w:rPr>
                <w:rFonts w:hint="eastAsia" w:ascii="宋体" w:hAnsi="宋体" w:cs="宋体"/>
                <w:color w:val="000000"/>
                <w:kern w:val="0"/>
                <w:sz w:val="28"/>
                <w:szCs w:val="28"/>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对本项目事实满意度好。无异议。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pageBreakBefore w:val="0"/>
              <w:kinsoku/>
              <w:overflowPunct/>
              <w:topLinePunct w:val="0"/>
              <w:bidi w:val="0"/>
              <w:spacing w:line="560" w:lineRule="exact"/>
              <w:jc w:val="center"/>
              <w:rPr>
                <w:rFonts w:ascii="宋体" w:hAnsi="宋体" w:cs="宋体"/>
                <w:color w:val="000000"/>
                <w:sz w:val="28"/>
                <w:szCs w:val="28"/>
              </w:rPr>
            </w:pPr>
            <w:r>
              <w:rPr>
                <w:rFonts w:hint="eastAsia" w:ascii="宋体" w:hAnsi="宋体" w:cs="宋体"/>
                <w:color w:val="000000"/>
                <w:sz w:val="28"/>
                <w:szCs w:val="28"/>
              </w:rPr>
              <w:t>对本项目事实满意度好。无异议</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红原县道路运输管理所</w:t>
      </w:r>
      <w:r>
        <w:rPr>
          <w:rFonts w:hint="eastAsia" w:ascii="仿宋_GB2312" w:hAnsi="仿宋_GB2312" w:eastAsia="仿宋_GB2312" w:cs="仿宋_GB2312"/>
          <w:sz w:val="32"/>
          <w:szCs w:val="32"/>
        </w:rPr>
        <w:t>部门2019年部门整体支出绩效评价报告》见附件（附件1）。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成品油价格补贴</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成品油价格补贴</w:t>
      </w:r>
      <w:r>
        <w:rPr>
          <w:rFonts w:hint="eastAsia" w:ascii="仿宋_GB2312" w:hAnsi="仿宋_GB2312" w:eastAsia="仿宋_GB2312" w:cs="仿宋_GB2312"/>
          <w:sz w:val="32"/>
          <w:szCs w:val="32"/>
        </w:rPr>
        <w:t>项目2019年绩效评价报告》见附件（附件2）。（非涉密部门均需公开部门整体支出评价报告，部门自行组织的绩效评价情况根据部门实际公开，若未组织项目绩效评价，则只需说明部门整体支出绩效评价情况）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5"/>
          <w:rFonts w:ascii="黑体" w:hAnsi="黑体" w:eastAsia="黑体"/>
          <w:b w:val="0"/>
        </w:rPr>
      </w:pPr>
      <w:bookmarkStart w:id="100" w:name="_Toc12128_WPSOffice_Level1"/>
      <w:bookmarkStart w:id="101" w:name="_Toc15377225"/>
      <w:bookmarkStart w:id="102"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100"/>
      <w:bookmarkEnd w:id="101"/>
      <w:bookmarkEnd w:id="102"/>
    </w:p>
    <w:p>
      <w:pPr>
        <w:spacing w:line="600" w:lineRule="exact"/>
        <w:jc w:val="left"/>
        <w:rPr>
          <w:rFonts w:ascii="宋体"/>
          <w:b/>
          <w:color w:val="000000"/>
          <w:sz w:val="44"/>
          <w:szCs w:val="44"/>
        </w:rPr>
      </w:pPr>
    </w:p>
    <w:p>
      <w:pPr>
        <w:pStyle w:val="23"/>
        <w:pageBreakBefore w:val="0"/>
        <w:kinsoku/>
        <w:overflowPunct/>
        <w:topLinePunct w:val="0"/>
        <w:bidi w:val="0"/>
        <w:spacing w:line="560" w:lineRule="exact"/>
        <w:ind w:firstLine="640" w:firstLineChars="200"/>
        <w:rPr>
          <w:rFonts w:hAnsi="仿宋"/>
          <w:sz w:val="32"/>
          <w:szCs w:val="32"/>
        </w:rPr>
      </w:pPr>
      <w:bookmarkStart w:id="103" w:name="_Toc15377226"/>
      <w:r>
        <w:rPr>
          <w:rFonts w:hAnsi="仿宋"/>
          <w:sz w:val="32"/>
          <w:szCs w:val="32"/>
        </w:rPr>
        <w:t>1.</w:t>
      </w:r>
      <w:r>
        <w:rPr>
          <w:rFonts w:hint="eastAsia" w:hAnsi="仿宋"/>
          <w:sz w:val="32"/>
          <w:szCs w:val="32"/>
        </w:rPr>
        <w:t>财政拨款收入：指单位从同级财政部门取得的财政预算资金。</w:t>
      </w:r>
    </w:p>
    <w:p>
      <w:pPr>
        <w:pStyle w:val="23"/>
        <w:pageBreakBefore w:val="0"/>
        <w:kinsoku/>
        <w:overflowPunct/>
        <w:topLinePunct w:val="0"/>
        <w:bidi w:val="0"/>
        <w:spacing w:line="560" w:lineRule="exact"/>
        <w:ind w:firstLine="640" w:firstLineChars="200"/>
        <w:rPr>
          <w:rFonts w:hAnsi="仿宋"/>
          <w:sz w:val="32"/>
          <w:szCs w:val="32"/>
        </w:rPr>
      </w:pPr>
      <w:r>
        <w:rPr>
          <w:rFonts w:hAnsi="仿宋"/>
          <w:sz w:val="32"/>
          <w:szCs w:val="32"/>
        </w:rPr>
        <w:t>2.</w:t>
      </w:r>
      <w:r>
        <w:rPr>
          <w:rFonts w:hint="eastAsia" w:hAnsi="仿宋"/>
          <w:sz w:val="32"/>
          <w:szCs w:val="32"/>
        </w:rPr>
        <w:t>事业收入：指事业单位开展专业业务活动及辅助活动取得的收入。</w:t>
      </w:r>
    </w:p>
    <w:p>
      <w:pPr>
        <w:pStyle w:val="23"/>
        <w:pageBreakBefore w:val="0"/>
        <w:kinsoku/>
        <w:overflowPunct/>
        <w:topLinePunct w:val="0"/>
        <w:bidi w:val="0"/>
        <w:spacing w:line="560" w:lineRule="exact"/>
        <w:ind w:firstLine="640" w:firstLineChars="200"/>
        <w:rPr>
          <w:rFonts w:hAnsi="仿宋"/>
          <w:sz w:val="32"/>
          <w:szCs w:val="32"/>
        </w:rPr>
      </w:pPr>
      <w:r>
        <w:rPr>
          <w:rFonts w:hAnsi="仿宋"/>
          <w:sz w:val="32"/>
          <w:szCs w:val="32"/>
        </w:rPr>
        <w:t>3.</w:t>
      </w:r>
      <w:r>
        <w:rPr>
          <w:rFonts w:hint="eastAsia" w:hAnsi="仿宋"/>
          <w:sz w:val="32"/>
          <w:szCs w:val="32"/>
        </w:rPr>
        <w:t>经营收入：指事业单位在专业业务活动及其辅助活动之外开展非独立核算经营活动取得的收入。</w:t>
      </w:r>
    </w:p>
    <w:p>
      <w:pPr>
        <w:pStyle w:val="23"/>
        <w:pageBreakBefore w:val="0"/>
        <w:kinsoku/>
        <w:overflowPunct/>
        <w:topLinePunct w:val="0"/>
        <w:bidi w:val="0"/>
        <w:spacing w:line="560" w:lineRule="exact"/>
        <w:ind w:firstLine="640" w:firstLineChars="200"/>
        <w:rPr>
          <w:rFonts w:hAnsi="仿宋"/>
          <w:sz w:val="32"/>
          <w:szCs w:val="32"/>
        </w:rPr>
      </w:pPr>
      <w:r>
        <w:rPr>
          <w:rFonts w:hAnsi="仿宋"/>
          <w:sz w:val="32"/>
          <w:szCs w:val="32"/>
        </w:rPr>
        <w:t>4.</w:t>
      </w:r>
      <w:r>
        <w:rPr>
          <w:rFonts w:hint="eastAsia" w:hAnsi="仿宋"/>
          <w:sz w:val="32"/>
          <w:szCs w:val="32"/>
        </w:rPr>
        <w:t>其他收入：指单位取得的除上述收入以外的各项收入。</w:t>
      </w:r>
    </w:p>
    <w:p>
      <w:pPr>
        <w:pStyle w:val="23"/>
        <w:pageBreakBefore w:val="0"/>
        <w:kinsoku/>
        <w:overflowPunct/>
        <w:topLinePunct w:val="0"/>
        <w:bidi w:val="0"/>
        <w:spacing w:line="560" w:lineRule="exact"/>
        <w:ind w:firstLine="640" w:firstLineChars="200"/>
        <w:rPr>
          <w:rFonts w:hAnsi="仿宋"/>
          <w:sz w:val="32"/>
          <w:szCs w:val="32"/>
        </w:rPr>
      </w:pPr>
      <w:r>
        <w:rPr>
          <w:rFonts w:hAnsi="仿宋"/>
          <w:sz w:val="32"/>
          <w:szCs w:val="32"/>
        </w:rPr>
        <w:t>5.</w:t>
      </w:r>
      <w:r>
        <w:rPr>
          <w:rFonts w:hint="eastAsia" w:hAnsi="仿宋"/>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pageBreakBefore w:val="0"/>
        <w:kinsoku/>
        <w:overflowPunct/>
        <w:topLinePunct w:val="0"/>
        <w:bidi w:val="0"/>
        <w:spacing w:line="560" w:lineRule="exact"/>
        <w:ind w:firstLine="640" w:firstLineChars="200"/>
        <w:rPr>
          <w:rFonts w:hAnsi="仿宋"/>
          <w:sz w:val="32"/>
          <w:szCs w:val="32"/>
        </w:rPr>
      </w:pPr>
      <w:r>
        <w:rPr>
          <w:rFonts w:hAnsi="仿宋"/>
          <w:sz w:val="32"/>
          <w:szCs w:val="32"/>
        </w:rPr>
        <w:t>6.</w:t>
      </w:r>
      <w:r>
        <w:rPr>
          <w:rFonts w:hint="eastAsia" w:hAnsi="仿宋"/>
          <w:sz w:val="32"/>
          <w:szCs w:val="32"/>
        </w:rPr>
        <w:t>年初结转和结余：指以前年度尚未完成、结转到本年按有关规定继续使用的资金。</w:t>
      </w:r>
    </w:p>
    <w:p>
      <w:pPr>
        <w:pStyle w:val="23"/>
        <w:pageBreakBefore w:val="0"/>
        <w:kinsoku/>
        <w:overflowPunct/>
        <w:topLinePunct w:val="0"/>
        <w:bidi w:val="0"/>
        <w:spacing w:line="560" w:lineRule="exact"/>
        <w:ind w:firstLine="640" w:firstLineChars="200"/>
        <w:rPr>
          <w:rFonts w:hAnsi="仿宋"/>
          <w:sz w:val="32"/>
          <w:szCs w:val="32"/>
        </w:rPr>
      </w:pPr>
      <w:r>
        <w:rPr>
          <w:rFonts w:hAnsi="仿宋"/>
          <w:sz w:val="32"/>
          <w:szCs w:val="32"/>
        </w:rPr>
        <w:t>7.</w:t>
      </w:r>
      <w:r>
        <w:rPr>
          <w:rFonts w:hint="eastAsia" w:hAnsi="仿宋"/>
          <w:sz w:val="32"/>
          <w:szCs w:val="32"/>
        </w:rPr>
        <w:t>结余分配：指事业单位按照事业单位会计制度的规定从非财政补助结余中分配的事业基金和职工福利基金等。</w:t>
      </w:r>
    </w:p>
    <w:p>
      <w:pPr>
        <w:pStyle w:val="23"/>
        <w:pageBreakBefore w:val="0"/>
        <w:kinsoku/>
        <w:overflowPunct/>
        <w:topLinePunct w:val="0"/>
        <w:bidi w:val="0"/>
        <w:spacing w:line="560" w:lineRule="exact"/>
        <w:ind w:firstLine="640" w:firstLineChars="200"/>
        <w:rPr>
          <w:rFonts w:hAnsi="仿宋"/>
          <w:sz w:val="32"/>
          <w:szCs w:val="32"/>
        </w:rPr>
      </w:pPr>
      <w:r>
        <w:rPr>
          <w:rFonts w:hAnsi="仿宋"/>
          <w:sz w:val="32"/>
          <w:szCs w:val="32"/>
        </w:rPr>
        <w:t>8</w:t>
      </w:r>
      <w:r>
        <w:rPr>
          <w:rFonts w:hint="eastAsia" w:hAnsi="仿宋"/>
          <w:sz w:val="32"/>
          <w:szCs w:val="32"/>
        </w:rPr>
        <w:t>、年末结转和结余：指单位按有关规定结转到下年或以后年度继续使用的资金。</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9.</w:t>
      </w:r>
      <w:r>
        <w:rPr>
          <w:rFonts w:hint="eastAsia" w:ascii="仿宋" w:hAnsi="仿宋" w:eastAsia="仿宋"/>
          <w:color w:val="000000"/>
          <w:sz w:val="32"/>
          <w:szCs w:val="32"/>
        </w:rPr>
        <w:t>一般公共服务：指反映政府提供一般公共服务的支出。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10.</w:t>
      </w:r>
      <w:r>
        <w:rPr>
          <w:rFonts w:hint="eastAsia" w:ascii="仿宋" w:hAnsi="仿宋" w:eastAsia="仿宋"/>
          <w:color w:val="000000"/>
          <w:sz w:val="32"/>
          <w:szCs w:val="32"/>
        </w:rPr>
        <w:t>外交：指反映政府外交事务支出。人大、政协、政府及所属各部门（除国家领导人、外交部门）的出国费、招待费列相关功能科目，不在本科目中反映。</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11.</w:t>
      </w:r>
      <w:r>
        <w:rPr>
          <w:rFonts w:hint="eastAsia" w:ascii="仿宋" w:hAnsi="仿宋" w:eastAsia="仿宋"/>
          <w:color w:val="000000"/>
          <w:sz w:val="32"/>
          <w:szCs w:val="32"/>
        </w:rPr>
        <w:t>公共安全：指反映政府维护社会公共安全方面的支出。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12.</w:t>
      </w:r>
      <w:r>
        <w:rPr>
          <w:rFonts w:hint="eastAsia" w:ascii="仿宋" w:hAnsi="仿宋" w:eastAsia="仿宋"/>
          <w:color w:val="000000"/>
          <w:sz w:val="32"/>
          <w:szCs w:val="32"/>
        </w:rPr>
        <w:t>教育：指反映政府教育事务支出。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13.</w:t>
      </w:r>
      <w:r>
        <w:rPr>
          <w:rFonts w:hint="eastAsia" w:ascii="仿宋" w:hAnsi="仿宋" w:eastAsia="仿宋"/>
          <w:color w:val="000000"/>
          <w:sz w:val="32"/>
          <w:szCs w:val="32"/>
        </w:rPr>
        <w:t>科学技术：指反映科学技术方面的支出。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14.</w:t>
      </w:r>
      <w:r>
        <w:rPr>
          <w:rFonts w:hint="eastAsia" w:ascii="仿宋" w:hAnsi="仿宋" w:eastAsia="仿宋"/>
          <w:color w:val="000000"/>
          <w:sz w:val="32"/>
          <w:szCs w:val="32"/>
        </w:rPr>
        <w:t>文化体育与传媒：指反映政府在文化、文物、体育、广播影视、新闻出版等方面的支出。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15.</w:t>
      </w:r>
      <w:r>
        <w:rPr>
          <w:rFonts w:hint="eastAsia" w:ascii="仿宋" w:hAnsi="仿宋" w:eastAsia="仿宋"/>
          <w:color w:val="000000"/>
          <w:sz w:val="32"/>
          <w:szCs w:val="32"/>
        </w:rPr>
        <w:t>社会保障和就业：指反映政府在社会保障与就业方面的支出。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16.</w:t>
      </w:r>
      <w:r>
        <w:rPr>
          <w:rFonts w:hint="eastAsia" w:ascii="仿宋" w:hAnsi="仿宋" w:eastAsia="仿宋"/>
          <w:color w:val="000000"/>
          <w:sz w:val="32"/>
          <w:szCs w:val="32"/>
        </w:rPr>
        <w:t>医疗卫生与计划生育：指反映医疗卫生与计划生育管理方面的支出。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17.</w:t>
      </w:r>
      <w:r>
        <w:rPr>
          <w:rFonts w:hint="eastAsia" w:ascii="仿宋" w:hAnsi="仿宋" w:eastAsia="仿宋"/>
          <w:color w:val="000000"/>
          <w:sz w:val="32"/>
          <w:szCs w:val="32"/>
        </w:rPr>
        <w:t>节能环保：指反映政府节能环保支出。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18.</w:t>
      </w:r>
      <w:r>
        <w:rPr>
          <w:rFonts w:hint="eastAsia" w:ascii="仿宋" w:hAnsi="仿宋" w:eastAsia="仿宋"/>
          <w:color w:val="000000"/>
          <w:sz w:val="32"/>
          <w:szCs w:val="32"/>
        </w:rPr>
        <w:t>城乡社区：指反映政府城乡社区事务支出。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19.</w:t>
      </w:r>
      <w:r>
        <w:rPr>
          <w:rFonts w:hint="eastAsia" w:ascii="仿宋" w:hAnsi="仿宋" w:eastAsia="仿宋"/>
          <w:color w:val="000000"/>
          <w:sz w:val="32"/>
          <w:szCs w:val="32"/>
        </w:rPr>
        <w:t>农林水：指反映正度农林水事务支出。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交通运输：反映交通运输和邮政业方面的支出。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21.</w:t>
      </w:r>
      <w:r>
        <w:rPr>
          <w:rFonts w:hint="eastAsia" w:ascii="仿宋" w:hAnsi="仿宋" w:eastAsia="仿宋"/>
          <w:color w:val="000000"/>
          <w:sz w:val="32"/>
          <w:szCs w:val="32"/>
        </w:rPr>
        <w:t>成品油价格改革对交通运输的补贴</w:t>
      </w:r>
      <w:r>
        <w:rPr>
          <w:rFonts w:ascii="仿宋" w:hAnsi="仿宋" w:eastAsia="仿宋"/>
          <w:color w:val="000000"/>
          <w:sz w:val="32"/>
          <w:szCs w:val="32"/>
        </w:rPr>
        <w:t>04</w:t>
      </w:r>
      <w:r>
        <w:rPr>
          <w:rFonts w:hint="eastAsia" w:ascii="仿宋" w:hAnsi="仿宋" w:eastAsia="仿宋"/>
          <w:color w:val="000000"/>
          <w:sz w:val="32"/>
          <w:szCs w:val="32"/>
        </w:rPr>
        <w:t>款：反映成品油价格改革财政对城市公交、农村道路客运和出租车的补贴。</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22.</w:t>
      </w:r>
      <w:r>
        <w:rPr>
          <w:rFonts w:hint="eastAsia" w:ascii="仿宋" w:hAnsi="仿宋" w:eastAsia="仿宋"/>
          <w:color w:val="000000"/>
          <w:sz w:val="32"/>
          <w:szCs w:val="32"/>
        </w:rPr>
        <w:t>资源勘探信息等：指反映用于资源勘探、制造业、建筑业、工业信息等方面支出。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23.</w:t>
      </w:r>
      <w:r>
        <w:rPr>
          <w:rFonts w:hint="eastAsia" w:ascii="仿宋" w:hAnsi="仿宋" w:eastAsia="仿宋"/>
          <w:color w:val="000000"/>
          <w:sz w:val="32"/>
          <w:szCs w:val="32"/>
        </w:rPr>
        <w:t>商业服务业：指反映商业服务业等方面的支出。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24.</w:t>
      </w:r>
      <w:r>
        <w:rPr>
          <w:rFonts w:hint="eastAsia" w:ascii="仿宋" w:hAnsi="仿宋" w:eastAsia="仿宋"/>
          <w:color w:val="000000"/>
          <w:sz w:val="32"/>
          <w:szCs w:val="32"/>
        </w:rPr>
        <w:t>金融：指反映金融方面的支出。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25.</w:t>
      </w:r>
      <w:r>
        <w:rPr>
          <w:rFonts w:hint="eastAsia" w:ascii="仿宋" w:hAnsi="仿宋" w:eastAsia="仿宋"/>
          <w:color w:val="000000"/>
          <w:sz w:val="32"/>
          <w:szCs w:val="32"/>
        </w:rPr>
        <w:t>国土海洋气象等：指反映政府用于国土资源、海洋、测绘、地震、气象等公益服务事业方面的支出。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26.</w:t>
      </w:r>
      <w:r>
        <w:rPr>
          <w:rFonts w:hint="eastAsia" w:ascii="仿宋" w:hAnsi="仿宋" w:eastAsia="仿宋"/>
          <w:color w:val="000000"/>
          <w:sz w:val="32"/>
          <w:szCs w:val="32"/>
        </w:rPr>
        <w:t>住房保障：指集中反映政府用于住房方面的支出。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27.</w:t>
      </w:r>
      <w:r>
        <w:rPr>
          <w:rFonts w:hint="eastAsia" w:ascii="仿宋" w:hAnsi="仿宋" w:eastAsia="仿宋"/>
          <w:color w:val="000000"/>
          <w:sz w:val="32"/>
          <w:szCs w:val="32"/>
        </w:rPr>
        <w:t>粮油物资储备：指反映政府用于粮油物资储备方面的支出。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28.</w:t>
      </w:r>
      <w:r>
        <w:rPr>
          <w:rFonts w:hint="eastAsia" w:ascii="仿宋" w:hAnsi="仿宋" w:eastAsia="仿宋"/>
          <w:color w:val="000000"/>
          <w:sz w:val="32"/>
          <w:szCs w:val="32"/>
        </w:rPr>
        <w:t>基本支出：指为保障机构正常运转、完成日常工作任务而发生的人员支出和公用支出。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29.</w:t>
      </w:r>
      <w:r>
        <w:rPr>
          <w:rFonts w:hint="eastAsia" w:ascii="仿宋" w:hAnsi="仿宋" w:eastAsia="仿宋"/>
          <w:color w:val="000000"/>
          <w:sz w:val="32"/>
          <w:szCs w:val="32"/>
        </w:rPr>
        <w:t>项目支出：指在基本支出之外为完成特定行政任务和事业发展目标所发生的支出。</w:t>
      </w:r>
    </w:p>
    <w:p>
      <w:pPr>
        <w:pageBreakBefore w:val="0"/>
        <w:kinsoku/>
        <w:overflowPunct/>
        <w:topLinePunct w:val="0"/>
        <w:bidi w:val="0"/>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30.</w:t>
      </w:r>
      <w:r>
        <w:rPr>
          <w:rFonts w:hint="eastAsia" w:ascii="仿宋" w:hAnsi="仿宋" w:eastAsia="仿宋"/>
          <w:color w:val="000000"/>
          <w:sz w:val="32"/>
          <w:szCs w:val="32"/>
        </w:rPr>
        <w:t>经营支出：指事业单位在专业业务活动及其辅助活动之外开展非独立核算经营活动发生的支出。</w:t>
      </w:r>
    </w:p>
    <w:p>
      <w:pPr>
        <w:pStyle w:val="23"/>
        <w:pageBreakBefore w:val="0"/>
        <w:kinsoku/>
        <w:overflowPunct/>
        <w:topLinePunct w:val="0"/>
        <w:bidi w:val="0"/>
        <w:spacing w:line="560" w:lineRule="exact"/>
        <w:ind w:firstLine="640" w:firstLineChars="200"/>
        <w:rPr>
          <w:rFonts w:hAnsi="仿宋"/>
          <w:sz w:val="32"/>
          <w:szCs w:val="32"/>
        </w:rPr>
      </w:pPr>
      <w:r>
        <w:rPr>
          <w:rFonts w:hAnsi="仿宋"/>
          <w:sz w:val="32"/>
          <w:szCs w:val="32"/>
        </w:rPr>
        <w:t>31.</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pageBreakBefore w:val="0"/>
        <w:kinsoku/>
        <w:overflowPunct/>
        <w:topLinePunct w:val="0"/>
        <w:bidi w:val="0"/>
        <w:spacing w:line="560" w:lineRule="exact"/>
        <w:ind w:firstLine="640" w:firstLineChars="200"/>
        <w:rPr>
          <w:rFonts w:hAnsi="仿宋"/>
          <w:sz w:val="32"/>
          <w:szCs w:val="32"/>
        </w:rPr>
      </w:pPr>
      <w:r>
        <w:rPr>
          <w:rFonts w:hAnsi="仿宋"/>
          <w:sz w:val="32"/>
          <w:szCs w:val="32"/>
        </w:rPr>
        <w:t>32.</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r>
        <w:rPr>
          <w:rFonts w:ascii="宋体"/>
          <w:b/>
          <w:color w:val="000000"/>
          <w:sz w:val="44"/>
          <w:szCs w:val="44"/>
        </w:rPr>
        <w:br w:type="page"/>
      </w:r>
      <w:bookmarkStart w:id="104" w:name="_Toc15396614"/>
      <w:bookmarkStart w:id="105" w:name="_Toc5114_WPSOffice_Level1"/>
      <w:r>
        <w:rPr>
          <w:rFonts w:hint="eastAsia" w:ascii="黑体" w:hAnsi="黑体" w:eastAsia="黑体"/>
          <w:color w:val="000000"/>
          <w:sz w:val="44"/>
          <w:szCs w:val="44"/>
        </w:rPr>
        <w:t>第</w:t>
      </w:r>
      <w:r>
        <w:rPr>
          <w:rStyle w:val="25"/>
          <w:rFonts w:hint="eastAsia" w:ascii="黑体" w:hAnsi="黑体" w:eastAsia="黑体"/>
          <w:b w:val="0"/>
        </w:rPr>
        <w:t>四部分 附件</w:t>
      </w:r>
      <w:bookmarkEnd w:id="104"/>
      <w:bookmarkEnd w:id="105"/>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bookmarkStart w:id="106" w:name="_Toc23684_WPSOffice_Level2"/>
      <w:r>
        <w:rPr>
          <w:rFonts w:hint="eastAsia" w:ascii="方正小标宋简体" w:hAnsi="宋体" w:eastAsia="方正小标宋简体"/>
          <w:color w:val="000000"/>
          <w:kern w:val="0"/>
          <w:sz w:val="40"/>
          <w:szCs w:val="44"/>
          <w:lang w:eastAsia="zh-CN"/>
        </w:rPr>
        <w:t>红原县道路运输管理所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bookmarkEnd w:id="106"/>
    </w:p>
    <w:p>
      <w:pPr>
        <w:widowControl/>
        <w:spacing w:line="580" w:lineRule="exact"/>
        <w:ind w:firstLine="640" w:firstLineChars="200"/>
        <w:contextualSpacing/>
        <w:jc w:val="both"/>
        <w:rPr>
          <w:rFonts w:ascii="仿宋_GB2312" w:hAnsi="宋体" w:eastAsia="仿宋_GB2312"/>
          <w:sz w:val="32"/>
          <w:szCs w:val="32"/>
          <w:shd w:val="clear" w:color="auto" w:fill="FFFFFF"/>
        </w:rPr>
      </w:pP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bookmarkStart w:id="107" w:name="_Toc12181_WPSOffice_Level2"/>
      <w:bookmarkStart w:id="108" w:name="_Toc24978_WPSOffice_Level2"/>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107"/>
      <w:bookmarkEnd w:id="108"/>
    </w:p>
    <w:p>
      <w:pPr>
        <w:pageBreakBefore w:val="0"/>
        <w:tabs>
          <w:tab w:val="left" w:pos="1440"/>
        </w:tabs>
        <w:kinsoku/>
        <w:overflowPunct/>
        <w:topLinePunct w:val="0"/>
        <w:bidi w:val="0"/>
        <w:spacing w:line="560" w:lineRule="exact"/>
        <w:ind w:firstLine="640" w:firstLineChars="200"/>
        <w:rPr>
          <w:rFonts w:ascii="宋体" w:cs="宋体"/>
          <w:color w:val="000000"/>
          <w:kern w:val="0"/>
          <w:sz w:val="32"/>
          <w:lang w:val="zh-CN"/>
        </w:rPr>
      </w:pPr>
      <w:r>
        <w:rPr>
          <w:rFonts w:hint="eastAsia" w:ascii="仿宋" w:hAnsi="仿宋" w:eastAsia="仿宋"/>
          <w:sz w:val="32"/>
          <w:szCs w:val="32"/>
        </w:rPr>
        <w:t>贯彻执行国家及省、州有关道路运输的方针、政策和法规，执行上级道路运输管理部门制定的有关规章、规范、标准和细则</w:t>
      </w:r>
      <w:r>
        <w:rPr>
          <w:rFonts w:ascii="仿宋" w:hAnsi="仿宋" w:eastAsia="仿宋"/>
          <w:sz w:val="32"/>
          <w:szCs w:val="32"/>
        </w:rPr>
        <w:t>;</w:t>
      </w:r>
      <w:r>
        <w:rPr>
          <w:rFonts w:hint="eastAsia" w:ascii="仿宋" w:hAnsi="仿宋" w:eastAsia="仿宋"/>
          <w:sz w:val="32"/>
          <w:szCs w:val="32"/>
        </w:rPr>
        <w:t>负责全县道路客货运输、城市公交、出租汽车、车辆维修和检测、运输服务的管理监督、指导和协调</w:t>
      </w:r>
      <w:r>
        <w:rPr>
          <w:rFonts w:ascii="仿宋" w:hAnsi="仿宋" w:eastAsia="仿宋"/>
          <w:sz w:val="32"/>
          <w:szCs w:val="32"/>
        </w:rPr>
        <w:t>;</w:t>
      </w:r>
      <w:r>
        <w:rPr>
          <w:rFonts w:hint="eastAsia" w:ascii="仿宋" w:hAnsi="仿宋" w:eastAsia="仿宋"/>
          <w:sz w:val="32"/>
          <w:szCs w:val="32"/>
        </w:rPr>
        <w:t>根据管理权限，审批道路客货运输、搬运装卸、汽车维修、运输服务的开业、停业及年度审验，核发经营许可证、道路运输证。指导、督促各乡（镇）落实农村客运源头管理责任</w:t>
      </w:r>
      <w:r>
        <w:rPr>
          <w:rFonts w:ascii="仿宋" w:hAnsi="仿宋" w:eastAsia="仿宋"/>
          <w:sz w:val="32"/>
          <w:szCs w:val="32"/>
        </w:rPr>
        <w:t>;</w:t>
      </w:r>
      <w:r>
        <w:rPr>
          <w:rFonts w:hint="eastAsia" w:ascii="仿宋" w:hAnsi="仿宋" w:eastAsia="仿宋"/>
          <w:sz w:val="32"/>
          <w:szCs w:val="32"/>
        </w:rPr>
        <w:t>具体负责道路运输管理部门统一制定的证、照、牌、单及票据的分发、回收、管理，负责初核、申报工作</w:t>
      </w:r>
      <w:r>
        <w:rPr>
          <w:rFonts w:ascii="仿宋" w:hAnsi="仿宋" w:eastAsia="仿宋"/>
          <w:sz w:val="32"/>
          <w:szCs w:val="32"/>
        </w:rPr>
        <w:t>;</w:t>
      </w:r>
      <w:r>
        <w:rPr>
          <w:rFonts w:hint="eastAsia" w:ascii="仿宋" w:hAnsi="仿宋" w:eastAsia="仿宋"/>
          <w:sz w:val="32"/>
          <w:szCs w:val="32"/>
        </w:rPr>
        <w:t>具体负责执行对道路运输市场的运输质量、经营行为、价格执行及使用的证、照、牌、单、票据等进行日常性监督检查，并对违章者进行处罚，调解日常性运输纠纷</w:t>
      </w:r>
      <w:r>
        <w:rPr>
          <w:rFonts w:ascii="仿宋" w:hAnsi="仿宋" w:eastAsia="仿宋"/>
          <w:sz w:val="32"/>
          <w:szCs w:val="32"/>
        </w:rPr>
        <w:t>;</w:t>
      </w:r>
      <w:r>
        <w:rPr>
          <w:rFonts w:hint="eastAsia" w:ascii="仿宋" w:hAnsi="仿宋" w:eastAsia="仿宋"/>
          <w:sz w:val="32"/>
          <w:szCs w:val="32"/>
        </w:rPr>
        <w:t>具体组织实施重点物质、大宗物质的运输，具体组织实施重要节假日旅客运输，具体组织实施指令性的抢险、救灾、战备物质的运输</w:t>
      </w:r>
      <w:r>
        <w:rPr>
          <w:rFonts w:ascii="仿宋" w:hAnsi="仿宋" w:eastAsia="仿宋"/>
          <w:sz w:val="32"/>
          <w:szCs w:val="32"/>
        </w:rPr>
        <w:t>;</w:t>
      </w:r>
      <w:r>
        <w:rPr>
          <w:rFonts w:hint="eastAsia" w:ascii="仿宋" w:hAnsi="仿宋" w:eastAsia="仿宋"/>
          <w:sz w:val="32"/>
          <w:szCs w:val="32"/>
        </w:rPr>
        <w:t>掌握本地运力与运量情况，按时向有关部门和上级交通运输部门提供需求信息，配合上级运政部门做好车辆投放、车辆结构和技术等级的调控工作，做好站点布局、建设、管理工作</w:t>
      </w:r>
      <w:r>
        <w:rPr>
          <w:rFonts w:ascii="仿宋" w:hAnsi="仿宋" w:eastAsia="仿宋"/>
          <w:sz w:val="32"/>
          <w:szCs w:val="32"/>
        </w:rPr>
        <w:t>;</w:t>
      </w:r>
      <w:r>
        <w:rPr>
          <w:rFonts w:hint="eastAsia" w:ascii="仿宋" w:hAnsi="仿宋" w:eastAsia="仿宋"/>
          <w:sz w:val="32"/>
          <w:szCs w:val="32"/>
        </w:rPr>
        <w:t>负责运输市场源头管理，建立各种基础台账。负责各类统计数据的收集、整理和上报，组织日常性运输市场调查，收集各种基本信息，开展咨询和市场预测，制定本行业发展规划，为上级制定发展规划和综合平衡工作提供依据</w:t>
      </w:r>
      <w:r>
        <w:rPr>
          <w:rFonts w:ascii="仿宋" w:hAnsi="仿宋" w:eastAsia="仿宋"/>
          <w:sz w:val="32"/>
          <w:szCs w:val="32"/>
        </w:rPr>
        <w:t>;</w:t>
      </w:r>
      <w:r>
        <w:rPr>
          <w:rFonts w:hint="eastAsia" w:ascii="仿宋" w:hAnsi="仿宋" w:eastAsia="仿宋"/>
          <w:sz w:val="32"/>
          <w:szCs w:val="32"/>
        </w:rPr>
        <w:t>组织指导兴办停车场、站点、洗车场等服务设施的设立，为旅客、货主及驾、乘、修理人员提供服务条件</w:t>
      </w:r>
      <w:r>
        <w:rPr>
          <w:rFonts w:ascii="仿宋" w:hAnsi="仿宋" w:eastAsia="仿宋"/>
          <w:sz w:val="32"/>
          <w:szCs w:val="32"/>
        </w:rPr>
        <w:t>;</w:t>
      </w:r>
      <w:r>
        <w:rPr>
          <w:rFonts w:hint="eastAsia" w:ascii="仿宋" w:hAnsi="仿宋" w:eastAsia="仿宋"/>
          <w:sz w:val="32"/>
          <w:szCs w:val="32"/>
        </w:rPr>
        <w:t>组织本县运输行业工作的经验交流及推广，负责对运输业户进行指导。</w:t>
      </w:r>
    </w:p>
    <w:p>
      <w:pPr>
        <w:pStyle w:val="5"/>
        <w:pageBreakBefore w:val="0"/>
        <w:kinsoku/>
        <w:overflowPunct/>
        <w:topLinePunct w:val="0"/>
        <w:bidi w:val="0"/>
        <w:adjustRightInd w:val="0"/>
        <w:snapToGrid w:val="0"/>
        <w:spacing w:before="93" w:line="560" w:lineRule="exact"/>
        <w:ind w:firstLine="672" w:firstLineChars="210"/>
        <w:rPr>
          <w:rFonts w:hint="eastAsia" w:ascii="黑体" w:hAnsi="宋体" w:eastAsia="黑体" w:cs="宋体"/>
          <w:color w:val="000000"/>
          <w:kern w:val="0"/>
          <w:sz w:val="32"/>
          <w:szCs w:val="32"/>
          <w:shd w:val="clear" w:color="auto" w:fill="FFFFFF"/>
        </w:rPr>
      </w:pPr>
      <w:r>
        <w:rPr>
          <w:rFonts w:hint="eastAsia" w:ascii="仿宋" w:hAnsi="仿宋" w:eastAsia="仿宋"/>
          <w:sz w:val="32"/>
          <w:szCs w:val="32"/>
        </w:rPr>
        <w:t>我单位为独立核算全额拨款参照公务员管理的单位。截止</w:t>
      </w:r>
      <w:r>
        <w:rPr>
          <w:rFonts w:ascii="仿宋" w:hAnsi="仿宋" w:eastAsia="仿宋"/>
          <w:sz w:val="32"/>
          <w:szCs w:val="32"/>
        </w:rPr>
        <w:t>201</w:t>
      </w:r>
      <w:r>
        <w:rPr>
          <w:rFonts w:hint="eastAsia" w:ascii="仿宋" w:hAnsi="仿宋" w:eastAsia="仿宋"/>
          <w:sz w:val="32"/>
          <w:szCs w:val="32"/>
          <w:lang w:val="en-US" w:eastAsia="zh-CN"/>
        </w:rPr>
        <w:t>9</w:t>
      </w:r>
      <w:r>
        <w:rPr>
          <w:rFonts w:hint="eastAsia" w:ascii="仿宋" w:hAnsi="仿宋" w:eastAsia="仿宋"/>
          <w:sz w:val="32"/>
          <w:szCs w:val="32"/>
        </w:rPr>
        <w:t>年底我单位共有编制</w:t>
      </w:r>
      <w:r>
        <w:rPr>
          <w:rFonts w:ascii="仿宋" w:hAnsi="仿宋" w:eastAsia="仿宋"/>
          <w:sz w:val="32"/>
          <w:szCs w:val="32"/>
        </w:rPr>
        <w:t>8</w:t>
      </w:r>
      <w:r>
        <w:rPr>
          <w:rFonts w:hint="eastAsia" w:ascii="仿宋" w:hAnsi="仿宋" w:eastAsia="仿宋"/>
          <w:sz w:val="32"/>
          <w:szCs w:val="32"/>
        </w:rPr>
        <w:t>个，其中参照公务员管理编制</w:t>
      </w:r>
      <w:r>
        <w:rPr>
          <w:rFonts w:ascii="仿宋" w:hAnsi="仿宋" w:eastAsia="仿宋"/>
          <w:sz w:val="32"/>
          <w:szCs w:val="32"/>
        </w:rPr>
        <w:t>8</w:t>
      </w:r>
      <w:r>
        <w:rPr>
          <w:rFonts w:hint="eastAsia" w:ascii="仿宋" w:hAnsi="仿宋" w:eastAsia="仿宋"/>
          <w:sz w:val="32"/>
          <w:szCs w:val="32"/>
        </w:rPr>
        <w:t>个，在职</w:t>
      </w:r>
      <w:r>
        <w:rPr>
          <w:rFonts w:hint="eastAsia" w:ascii="仿宋" w:hAnsi="仿宋" w:eastAsia="仿宋"/>
          <w:sz w:val="32"/>
          <w:szCs w:val="32"/>
          <w:lang w:val="en-US" w:eastAsia="zh-CN"/>
        </w:rPr>
        <w:t>6</w:t>
      </w:r>
      <w:r>
        <w:rPr>
          <w:rFonts w:hint="eastAsia" w:ascii="仿宋" w:hAnsi="仿宋" w:eastAsia="仿宋"/>
          <w:sz w:val="32"/>
          <w:szCs w:val="32"/>
        </w:rPr>
        <w:t>人。退休人员</w:t>
      </w:r>
      <w:r>
        <w:rPr>
          <w:rFonts w:ascii="仿宋" w:hAnsi="仿宋" w:eastAsia="仿宋"/>
          <w:sz w:val="32"/>
          <w:szCs w:val="32"/>
        </w:rPr>
        <w:t>4</w:t>
      </w:r>
      <w:r>
        <w:rPr>
          <w:rFonts w:hint="eastAsia" w:ascii="仿宋" w:hAnsi="仿宋" w:eastAsia="仿宋"/>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bookmarkStart w:id="109" w:name="_Toc13876_WPSOffice_Level2"/>
      <w:bookmarkStart w:id="110" w:name="_Toc17229_WPSOffice_Level2"/>
      <w:r>
        <w:rPr>
          <w:rFonts w:hint="eastAsia" w:ascii="黑体" w:hAnsi="宋体" w:eastAsia="黑体" w:cs="宋体"/>
          <w:color w:val="000000"/>
          <w:kern w:val="0"/>
          <w:sz w:val="32"/>
          <w:szCs w:val="32"/>
          <w:shd w:val="clear" w:color="auto" w:fill="FFFFFF"/>
        </w:rPr>
        <w:t>二、部门财政资金收支情况</w:t>
      </w:r>
      <w:bookmarkEnd w:id="109"/>
      <w:bookmarkEnd w:id="110"/>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ageBreakBefore w:val="0"/>
        <w:widowControl/>
        <w:kinsoku/>
        <w:overflowPunct/>
        <w:topLinePunct w:val="0"/>
        <w:bidi w:val="0"/>
        <w:adjustRightInd w:val="0"/>
        <w:snapToGrid w:val="0"/>
        <w:spacing w:line="56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
          <w:color w:val="000000" w:themeColor="text1"/>
          <w:sz w:val="32"/>
          <w:szCs w:val="32"/>
          <w14:textFill>
            <w14:solidFill>
              <w14:schemeClr w14:val="tx1"/>
            </w14:solidFill>
          </w14:textFill>
        </w:rPr>
        <w:t>201</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年收入合计</w:t>
      </w:r>
      <w:r>
        <w:rPr>
          <w:rFonts w:hint="eastAsia" w:ascii="仿宋" w:hAnsi="仿宋" w:eastAsia="仿宋" w:cs="仿宋"/>
          <w:color w:val="000000" w:themeColor="text1"/>
          <w:sz w:val="32"/>
          <w:szCs w:val="32"/>
          <w:lang w:val="en-US" w:eastAsia="zh-CN"/>
          <w14:textFill>
            <w14:solidFill>
              <w14:schemeClr w14:val="tx1"/>
            </w14:solidFill>
          </w14:textFill>
        </w:rPr>
        <w:t>186.46</w:t>
      </w:r>
      <w:r>
        <w:rPr>
          <w:rFonts w:hint="eastAsia" w:ascii="仿宋" w:hAnsi="仿宋" w:eastAsia="仿宋" w:cs="仿宋"/>
          <w:color w:val="000000" w:themeColor="text1"/>
          <w:sz w:val="32"/>
          <w:szCs w:val="32"/>
          <w14:textFill>
            <w14:solidFill>
              <w14:schemeClr w14:val="tx1"/>
            </w14:solidFill>
          </w14:textFill>
        </w:rPr>
        <w:t>万元，其中：一般公共预算财政</w:t>
      </w:r>
      <w:r>
        <w:rPr>
          <w:rFonts w:hint="eastAsia" w:ascii="仿宋" w:hAnsi="仿宋" w:eastAsia="仿宋" w:cs="仿宋"/>
          <w:color w:val="000000" w:themeColor="text1"/>
          <w:sz w:val="32"/>
          <w:szCs w:val="32"/>
          <w:lang w:eastAsia="zh-CN"/>
          <w14:textFill>
            <w14:solidFill>
              <w14:schemeClr w14:val="tx1"/>
            </w14:solidFill>
          </w14:textFill>
        </w:rPr>
        <w:t>拨款</w:t>
      </w:r>
      <w:r>
        <w:rPr>
          <w:rFonts w:hint="eastAsia" w:ascii="仿宋" w:hAnsi="仿宋" w:eastAsia="仿宋" w:cs="仿宋"/>
          <w:color w:val="000000" w:themeColor="text1"/>
          <w:sz w:val="32"/>
          <w:szCs w:val="32"/>
          <w:lang w:val="en-US" w:eastAsia="zh-CN"/>
          <w14:textFill>
            <w14:solidFill>
              <w14:schemeClr w14:val="tx1"/>
            </w14:solidFill>
          </w14:textFill>
        </w:rPr>
        <w:t>186.46</w:t>
      </w:r>
      <w:r>
        <w:rPr>
          <w:rFonts w:hint="eastAsia" w:ascii="仿宋" w:hAnsi="仿宋" w:eastAsia="仿宋" w:cs="仿宋"/>
          <w:color w:val="000000" w:themeColor="text1"/>
          <w:sz w:val="32"/>
          <w:szCs w:val="32"/>
          <w14:textFill>
            <w14:solidFill>
              <w14:schemeClr w14:val="tx1"/>
            </w14:solidFill>
          </w14:textFill>
        </w:rPr>
        <w:t>万元；年初结转和结余</w:t>
      </w:r>
      <w:r>
        <w:rPr>
          <w:rFonts w:hint="eastAsia" w:ascii="仿宋" w:hAnsi="仿宋" w:eastAsia="仿宋" w:cs="仿宋"/>
          <w:color w:val="000000" w:themeColor="text1"/>
          <w:sz w:val="32"/>
          <w:szCs w:val="32"/>
          <w:lang w:val="en-US" w:eastAsia="zh-CN"/>
          <w14:textFill>
            <w14:solidFill>
              <w14:schemeClr w14:val="tx1"/>
            </w14:solidFill>
          </w14:textFill>
        </w:rPr>
        <w:t>41.44</w:t>
      </w:r>
      <w:r>
        <w:rPr>
          <w:rFonts w:hint="eastAsia" w:ascii="仿宋" w:hAnsi="仿宋" w:eastAsia="仿宋" w:cs="仿宋"/>
          <w:color w:val="000000" w:themeColor="text1"/>
          <w:sz w:val="32"/>
          <w:szCs w:val="32"/>
          <w14:textFill>
            <w14:solidFill>
              <w14:schemeClr w14:val="tx1"/>
            </w14:solidFill>
          </w14:textFill>
        </w:rPr>
        <w:t>万元。</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pStyle w:val="5"/>
        <w:pageBreakBefore w:val="0"/>
        <w:kinsoku/>
        <w:overflowPunct/>
        <w:topLinePunct w:val="0"/>
        <w:bidi w:val="0"/>
        <w:adjustRightInd w:val="0"/>
        <w:snapToGrid w:val="0"/>
        <w:spacing w:before="93" w:line="560" w:lineRule="exact"/>
        <w:ind w:firstLine="672" w:firstLineChars="210"/>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sz w:val="32"/>
          <w:szCs w:val="32"/>
          <w:lang w:val="zh-CN"/>
        </w:rPr>
        <w:t>201</w:t>
      </w:r>
      <w:r>
        <w:rPr>
          <w:rFonts w:hint="eastAsia" w:ascii="仿宋" w:hAnsi="仿宋" w:eastAsia="仿宋"/>
          <w:sz w:val="32"/>
          <w:szCs w:val="32"/>
          <w:lang w:val="en-US" w:eastAsia="zh-CN"/>
        </w:rPr>
        <w:t>9</w:t>
      </w:r>
      <w:r>
        <w:rPr>
          <w:rFonts w:hint="eastAsia" w:ascii="仿宋" w:hAnsi="仿宋" w:eastAsia="仿宋"/>
          <w:sz w:val="32"/>
          <w:szCs w:val="32"/>
          <w:lang w:val="zh-CN"/>
        </w:rPr>
        <w:t>年支出合计</w:t>
      </w:r>
      <w:r>
        <w:rPr>
          <w:rFonts w:hint="eastAsia" w:ascii="仿宋" w:hAnsi="仿宋" w:eastAsia="仿宋"/>
          <w:sz w:val="32"/>
          <w:szCs w:val="32"/>
          <w:lang w:val="en-US" w:eastAsia="zh-CN"/>
        </w:rPr>
        <w:t>226.41</w:t>
      </w:r>
      <w:r>
        <w:rPr>
          <w:rFonts w:hint="eastAsia" w:ascii="仿宋" w:hAnsi="仿宋" w:eastAsia="仿宋"/>
          <w:sz w:val="32"/>
          <w:szCs w:val="32"/>
          <w:lang w:val="zh-CN"/>
        </w:rPr>
        <w:t>万元，其中：社会保障和就业支出</w:t>
      </w:r>
      <w:r>
        <w:rPr>
          <w:rFonts w:hint="eastAsia" w:ascii="仿宋" w:hAnsi="仿宋" w:eastAsia="仿宋"/>
          <w:sz w:val="32"/>
          <w:szCs w:val="32"/>
          <w:lang w:val="en-US" w:eastAsia="zh-CN"/>
        </w:rPr>
        <w:t>17.43</w:t>
      </w:r>
      <w:r>
        <w:rPr>
          <w:rFonts w:hint="eastAsia" w:ascii="仿宋" w:hAnsi="仿宋" w:eastAsia="仿宋"/>
          <w:sz w:val="32"/>
          <w:szCs w:val="32"/>
          <w:lang w:val="zh-CN"/>
        </w:rPr>
        <w:t>万元，卫生健康支出</w:t>
      </w:r>
      <w:r>
        <w:rPr>
          <w:rFonts w:hint="eastAsia" w:ascii="仿宋" w:hAnsi="仿宋" w:eastAsia="仿宋"/>
          <w:sz w:val="32"/>
          <w:szCs w:val="32"/>
          <w:lang w:val="en-US" w:eastAsia="zh-CN"/>
        </w:rPr>
        <w:t>7.37</w:t>
      </w:r>
      <w:r>
        <w:rPr>
          <w:rFonts w:hint="eastAsia" w:ascii="仿宋" w:hAnsi="仿宋" w:eastAsia="仿宋"/>
          <w:sz w:val="32"/>
          <w:szCs w:val="32"/>
          <w:lang w:val="zh-CN"/>
        </w:rPr>
        <w:t>万元；交通运输支出</w:t>
      </w:r>
      <w:r>
        <w:rPr>
          <w:rFonts w:hint="eastAsia" w:ascii="仿宋" w:hAnsi="仿宋" w:eastAsia="仿宋"/>
          <w:sz w:val="32"/>
          <w:szCs w:val="32"/>
          <w:lang w:val="en-US" w:eastAsia="zh-CN"/>
        </w:rPr>
        <w:t>191.92</w:t>
      </w:r>
      <w:r>
        <w:rPr>
          <w:rFonts w:hint="eastAsia" w:ascii="仿宋" w:hAnsi="仿宋" w:eastAsia="仿宋"/>
          <w:sz w:val="32"/>
          <w:szCs w:val="32"/>
          <w:lang w:val="zh-CN"/>
        </w:rPr>
        <w:t>万元；住房保障支出</w:t>
      </w:r>
      <w:r>
        <w:rPr>
          <w:rFonts w:hint="eastAsia" w:ascii="仿宋" w:hAnsi="仿宋" w:eastAsia="仿宋"/>
          <w:sz w:val="32"/>
          <w:szCs w:val="32"/>
          <w:lang w:val="en-US" w:eastAsia="zh-CN"/>
        </w:rPr>
        <w:t>9.69</w:t>
      </w:r>
      <w:r>
        <w:rPr>
          <w:rFonts w:hint="eastAsia" w:ascii="仿宋" w:hAnsi="仿宋" w:eastAsia="仿宋"/>
          <w:sz w:val="32"/>
          <w:szCs w:val="32"/>
          <w:lang w:val="zh-CN"/>
        </w:rPr>
        <w:t>万元；年末结转结余</w:t>
      </w:r>
      <w:r>
        <w:rPr>
          <w:rFonts w:hint="eastAsia" w:ascii="仿宋" w:hAnsi="仿宋" w:eastAsia="仿宋"/>
          <w:sz w:val="32"/>
          <w:szCs w:val="32"/>
          <w:lang w:val="en-US" w:eastAsia="zh-CN"/>
        </w:rPr>
        <w:t>1.49万元</w:t>
      </w:r>
      <w:r>
        <w:rPr>
          <w:rFonts w:hint="eastAsia" w:ascii="仿宋" w:hAnsi="仿宋" w:eastAsia="仿宋"/>
          <w:sz w:val="32"/>
          <w:szCs w:val="32"/>
          <w:lang w:val="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bookmarkStart w:id="111" w:name="_Toc11430_WPSOffice_Level2"/>
      <w:bookmarkStart w:id="112" w:name="_Toc30677_WPSOffice_Level2"/>
      <w:r>
        <w:rPr>
          <w:rFonts w:hint="eastAsia" w:ascii="黑体" w:hAnsi="宋体" w:eastAsia="黑体" w:cs="宋体"/>
          <w:color w:val="000000"/>
          <w:kern w:val="0"/>
          <w:sz w:val="32"/>
          <w:szCs w:val="32"/>
          <w:shd w:val="clear" w:color="auto" w:fill="FFFFFF"/>
        </w:rPr>
        <w:t>三、部门整体预算绩效管理情况</w:t>
      </w:r>
      <w:bookmarkEnd w:id="111"/>
      <w:bookmarkEnd w:id="112"/>
    </w:p>
    <w:p>
      <w:pPr>
        <w:widowControl/>
        <w:adjustRightInd w:val="0"/>
        <w:snapToGrid w:val="0"/>
        <w:spacing w:line="58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2019年我单位严格按照《预算实施条例》执行预算，严格按照《预算法》相关规定开展我单位财务工作，切实严控“三公”经费的使用，加强单位财政预算资金的审批手续和拨付程序、机关行政运行经费报审手续和报销程序，规范收支行为，保障单位工作有序开展。</w:t>
      </w:r>
    </w:p>
    <w:p>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本单位严格按照《红原县关于开展绩效评价工作的通知》相关要求开展绩效自评公开工作、根据上年度评价结果开展整改工作，并形成整改报告向县财政局反馈。</w:t>
      </w:r>
    </w:p>
    <w:p>
      <w:pPr>
        <w:pageBreakBefore w:val="0"/>
        <w:widowControl/>
        <w:kinsoku/>
        <w:overflowPunct/>
        <w:topLinePunct w:val="0"/>
        <w:bidi w:val="0"/>
        <w:adjustRightInd w:val="0"/>
        <w:snapToGrid w:val="0"/>
        <w:spacing w:line="560" w:lineRule="exact"/>
        <w:ind w:firstLine="640" w:firstLineChars="200"/>
        <w:jc w:val="left"/>
        <w:rPr>
          <w:rFonts w:hint="eastAsia" w:ascii="黑体" w:hAnsi="黑体" w:eastAsia="黑体" w:cs="黑体"/>
          <w:color w:val="000000"/>
          <w:kern w:val="0"/>
          <w:sz w:val="32"/>
          <w:lang w:val="zh-CN"/>
        </w:rPr>
      </w:pPr>
      <w:bookmarkStart w:id="113" w:name="_Toc12526_WPSOffice_Level2"/>
      <w:bookmarkStart w:id="114" w:name="_Toc29607_WPSOffice_Level2"/>
      <w:r>
        <w:rPr>
          <w:rFonts w:hint="eastAsia" w:ascii="黑体" w:hAnsi="黑体" w:eastAsia="黑体" w:cs="黑体"/>
          <w:color w:val="000000"/>
          <w:kern w:val="0"/>
          <w:sz w:val="32"/>
        </w:rPr>
        <w:t>四</w:t>
      </w:r>
      <w:r>
        <w:rPr>
          <w:rFonts w:hint="eastAsia" w:ascii="黑体" w:hAnsi="黑体" w:eastAsia="黑体" w:cs="黑体"/>
          <w:color w:val="000000"/>
          <w:kern w:val="0"/>
          <w:sz w:val="32"/>
          <w:lang w:val="zh-CN"/>
        </w:rPr>
        <w:t>、绩效情况</w:t>
      </w:r>
      <w:bookmarkEnd w:id="113"/>
      <w:bookmarkEnd w:id="114"/>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kern w:val="0"/>
          <w:sz w:val="32"/>
          <w:lang w:val="zh-CN"/>
        </w:rPr>
      </w:pPr>
      <w:r>
        <w:rPr>
          <w:rFonts w:hint="eastAsia" w:ascii="仿宋" w:hAnsi="仿宋" w:eastAsia="仿宋" w:cs="仿宋"/>
          <w:b/>
          <w:bCs/>
          <w:color w:val="000000"/>
          <w:kern w:val="0"/>
          <w:sz w:val="32"/>
          <w:lang w:val="zh-CN"/>
        </w:rPr>
        <w:t>（一）部门职责履行情况分析</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ascii="仿宋" w:hAnsi="仿宋" w:eastAsia="仿宋" w:cs="仿宋"/>
          <w:color w:val="000000"/>
          <w:sz w:val="32"/>
          <w:szCs w:val="32"/>
          <w:lang w:val="zh-CN"/>
        </w:rPr>
        <w:t>201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lang w:val="zh-CN"/>
        </w:rPr>
        <w:t>年度我单位年初</w:t>
      </w:r>
      <w:r>
        <w:rPr>
          <w:rFonts w:hint="eastAsia" w:ascii="仿宋" w:hAnsi="仿宋" w:eastAsia="仿宋" w:cs="仿宋"/>
          <w:color w:val="000000"/>
          <w:sz w:val="32"/>
          <w:szCs w:val="32"/>
        </w:rPr>
        <w:t>根据</w:t>
      </w:r>
      <w:r>
        <w:rPr>
          <w:rFonts w:hint="eastAsia" w:ascii="仿宋" w:hAnsi="仿宋" w:eastAsia="仿宋" w:cs="仿宋"/>
          <w:color w:val="000000"/>
          <w:sz w:val="32"/>
          <w:szCs w:val="32"/>
          <w:lang w:val="zh-CN"/>
        </w:rPr>
        <w:t>工作规划和重点工作</w:t>
      </w:r>
      <w:r>
        <w:rPr>
          <w:rFonts w:hint="eastAsia" w:ascii="仿宋" w:hAnsi="仿宋" w:eastAsia="仿宋" w:cs="仿宋"/>
          <w:color w:val="000000"/>
          <w:sz w:val="32"/>
          <w:szCs w:val="32"/>
        </w:rPr>
        <w:t>规划</w:t>
      </w:r>
      <w:r>
        <w:rPr>
          <w:rFonts w:hint="eastAsia" w:ascii="仿宋" w:hAnsi="仿宋" w:eastAsia="仿宋" w:cs="仿宋"/>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lang w:val="zh-CN"/>
        </w:rPr>
        <w:t>（二）社会经济效益分析</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ascii="仿宋" w:hAnsi="仿宋" w:eastAsia="仿宋" w:cs="仿宋"/>
          <w:color w:val="000000"/>
          <w:sz w:val="32"/>
          <w:szCs w:val="32"/>
          <w:lang w:val="zh-CN"/>
        </w:rPr>
        <w:t>1</w:t>
      </w:r>
      <w:r>
        <w:rPr>
          <w:rFonts w:hint="eastAsia" w:ascii="仿宋" w:hAnsi="仿宋" w:eastAsia="仿宋" w:cs="仿宋"/>
          <w:color w:val="000000"/>
          <w:sz w:val="32"/>
          <w:szCs w:val="32"/>
          <w:lang w:val="zh-CN"/>
        </w:rPr>
        <w:t>、本年预算配置控制较好。财政供养人员控制在预算编制以内，编制内在职人员控制率为</w:t>
      </w:r>
      <w:r>
        <w:rPr>
          <w:rFonts w:ascii="仿宋" w:hAnsi="仿宋" w:eastAsia="仿宋" w:cs="仿宋"/>
          <w:color w:val="000000"/>
          <w:sz w:val="32"/>
          <w:szCs w:val="32"/>
          <w:lang w:val="zh-CN"/>
        </w:rPr>
        <w:t>100%</w:t>
      </w:r>
      <w:r>
        <w:rPr>
          <w:rFonts w:hint="eastAsia" w:ascii="仿宋" w:hAnsi="仿宋" w:eastAsia="仿宋" w:cs="仿宋"/>
          <w:color w:val="000000"/>
          <w:sz w:val="32"/>
          <w:szCs w:val="32"/>
          <w:lang w:val="zh-CN"/>
        </w:rPr>
        <w:t>；“三公经费”控制在年初预算以内。</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ascii="仿宋" w:hAnsi="仿宋" w:eastAsia="仿宋" w:cs="仿宋"/>
          <w:color w:val="000000"/>
          <w:sz w:val="32"/>
          <w:szCs w:val="32"/>
          <w:lang w:val="zh-CN"/>
        </w:rPr>
        <w:t>2</w:t>
      </w:r>
      <w:r>
        <w:rPr>
          <w:rFonts w:hint="eastAsia" w:ascii="仿宋" w:hAnsi="仿宋" w:eastAsia="仿宋" w:cs="仿宋"/>
          <w:color w:val="000000"/>
          <w:sz w:val="32"/>
          <w:szCs w:val="32"/>
          <w:lang w:val="zh-CN"/>
        </w:rPr>
        <w:t>、预算执行情况控制较好。支出总额控制在年初预算总额以内，本年部门预算完成率达到了</w:t>
      </w:r>
      <w:r>
        <w:rPr>
          <w:rFonts w:ascii="仿宋" w:hAnsi="仿宋" w:eastAsia="仿宋" w:cs="仿宋"/>
          <w:color w:val="000000"/>
          <w:sz w:val="32"/>
          <w:szCs w:val="32"/>
          <w:lang w:val="zh-CN"/>
        </w:rPr>
        <w:t>100%</w:t>
      </w:r>
      <w:r>
        <w:rPr>
          <w:rFonts w:hint="eastAsia" w:ascii="仿宋" w:hAnsi="仿宋" w:eastAsia="仿宋" w:cs="仿宋"/>
          <w:color w:val="000000"/>
          <w:sz w:val="32"/>
          <w:szCs w:val="32"/>
          <w:lang w:val="zh-CN"/>
        </w:rPr>
        <w:t>，未进行预算相关事项的调整，预算控制良好。</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kern w:val="0"/>
          <w:sz w:val="32"/>
          <w:lang w:val="zh-CN"/>
        </w:rPr>
      </w:pPr>
      <w:r>
        <w:rPr>
          <w:rFonts w:ascii="仿宋" w:hAnsi="仿宋" w:eastAsia="仿宋" w:cs="仿宋"/>
          <w:color w:val="000000"/>
          <w:sz w:val="32"/>
          <w:szCs w:val="32"/>
          <w:lang w:val="zh-CN"/>
        </w:rPr>
        <w:t>3</w:t>
      </w:r>
      <w:r>
        <w:rPr>
          <w:rFonts w:hint="eastAsia" w:ascii="仿宋" w:hAnsi="仿宋" w:eastAsia="仿宋" w:cs="仿宋"/>
          <w:color w:val="000000"/>
          <w:sz w:val="32"/>
          <w:szCs w:val="32"/>
          <w:lang w:val="zh-CN"/>
        </w:rPr>
        <w:t>、预算管理较为理想。由于严格执行财政相关法律、法规的规定，我单位的预算管理工作取得了较好的成绩，全年人员经费支出、日常用公用经费支出的控制率均达到了</w:t>
      </w:r>
      <w:r>
        <w:rPr>
          <w:rFonts w:ascii="仿宋" w:hAnsi="仿宋" w:eastAsia="仿宋" w:cs="仿宋"/>
          <w:color w:val="000000"/>
          <w:sz w:val="32"/>
          <w:szCs w:val="32"/>
          <w:lang w:val="zh-CN"/>
        </w:rPr>
        <w:t>100%</w:t>
      </w:r>
      <w:r>
        <w:rPr>
          <w:rFonts w:hint="eastAsia" w:ascii="仿宋" w:hAnsi="仿宋" w:eastAsia="仿宋" w:cs="仿宋"/>
          <w:color w:val="000000"/>
          <w:kern w:val="0"/>
          <w:sz w:val="32"/>
          <w:lang w:val="zh-CN"/>
        </w:rPr>
        <w:t>。</w:t>
      </w:r>
    </w:p>
    <w:p>
      <w:pPr>
        <w:pageBreakBefore w:val="0"/>
        <w:widowControl/>
        <w:kinsoku/>
        <w:overflowPunct/>
        <w:topLinePunct w:val="0"/>
        <w:bidi w:val="0"/>
        <w:adjustRightInd w:val="0"/>
        <w:snapToGrid w:val="0"/>
        <w:spacing w:line="560" w:lineRule="exact"/>
        <w:ind w:firstLine="643" w:firstLineChars="200"/>
        <w:jc w:val="left"/>
        <w:rPr>
          <w:rFonts w:ascii="仿宋" w:hAnsi="仿宋" w:eastAsia="仿宋" w:cs="仿宋"/>
          <w:b/>
          <w:bCs/>
          <w:color w:val="000000"/>
          <w:kern w:val="0"/>
          <w:sz w:val="32"/>
          <w:lang w:val="zh-CN"/>
        </w:rPr>
      </w:pPr>
      <w:r>
        <w:rPr>
          <w:rFonts w:hint="eastAsia" w:ascii="仿宋" w:hAnsi="仿宋" w:eastAsia="仿宋" w:cs="仿宋"/>
          <w:b/>
          <w:bCs/>
          <w:color w:val="000000"/>
          <w:kern w:val="0"/>
          <w:sz w:val="32"/>
          <w:lang w:val="zh-CN"/>
        </w:rPr>
        <w:t>（三）行政效能分析</w:t>
      </w:r>
    </w:p>
    <w:p>
      <w:pPr>
        <w:pageBreakBefore w:val="0"/>
        <w:widowControl/>
        <w:kinsoku/>
        <w:overflowPunct/>
        <w:topLinePunct w:val="0"/>
        <w:bidi w:val="0"/>
        <w:adjustRightInd w:val="0"/>
        <w:snapToGrid w:val="0"/>
        <w:spacing w:line="560" w:lineRule="exact"/>
        <w:ind w:firstLine="640" w:firstLineChars="200"/>
        <w:jc w:val="left"/>
        <w:rPr>
          <w:rFonts w:ascii="仿宋" w:hAnsi="仿宋" w:eastAsia="仿宋" w:cs="仿宋"/>
          <w:color w:val="000000"/>
          <w:sz w:val="32"/>
          <w:szCs w:val="32"/>
          <w:lang w:val="zh-CN"/>
        </w:rPr>
      </w:pPr>
      <w:r>
        <w:rPr>
          <w:rFonts w:hint="eastAsia" w:ascii="仿宋" w:hAnsi="仿宋" w:eastAsia="仿宋" w:cs="仿宋"/>
          <w:color w:val="000000"/>
          <w:sz w:val="32"/>
          <w:szCs w:val="32"/>
          <w:lang w:val="zh-CN"/>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bookmarkStart w:id="115" w:name="_Toc24402_WPSOffice_Level2"/>
      <w:bookmarkStart w:id="116" w:name="_Toc14978_WPSOffice_Level2"/>
      <w:r>
        <w:rPr>
          <w:rFonts w:hint="eastAsia" w:ascii="黑体" w:hAnsi="宋体" w:eastAsia="黑体" w:cs="宋体"/>
          <w:color w:val="000000"/>
          <w:kern w:val="0"/>
          <w:sz w:val="32"/>
          <w:szCs w:val="32"/>
          <w:shd w:val="clear" w:color="auto" w:fill="FFFFFF"/>
          <w:lang w:eastAsia="zh-CN"/>
        </w:rPr>
        <w:t>五</w:t>
      </w:r>
      <w:r>
        <w:rPr>
          <w:rFonts w:hint="eastAsia" w:ascii="黑体" w:hAnsi="宋体" w:eastAsia="黑体" w:cs="宋体"/>
          <w:color w:val="000000"/>
          <w:kern w:val="0"/>
          <w:sz w:val="32"/>
          <w:szCs w:val="32"/>
          <w:shd w:val="clear" w:color="auto" w:fill="FFFFFF"/>
        </w:rPr>
        <w:t>、评价结论及建议</w:t>
      </w:r>
      <w:bookmarkEnd w:id="115"/>
      <w:bookmarkEnd w:id="116"/>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zh-CN"/>
        </w:rPr>
        <w:t>本单位严格依据调整预算安排使用经费，预算完成率达</w:t>
      </w:r>
      <w:r>
        <w:rPr>
          <w:rFonts w:hint="eastAsia" w:ascii="仿宋_GB2312" w:hAnsi="宋体" w:eastAsia="仿宋_GB2312" w:cs="宋体"/>
          <w:color w:val="000000"/>
          <w:kern w:val="0"/>
          <w:sz w:val="32"/>
          <w:szCs w:val="32"/>
          <w:shd w:val="clear" w:color="auto" w:fill="FFFFFF"/>
          <w:lang w:val="en-US" w:eastAsia="zh-CN"/>
        </w:rPr>
        <w:t>100%，有效保障了我县道路运输管理工作，对我县出租车运营、公交车运营等燃油提供了强有力的支持。</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1、预算编制欠严谨</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预算编制欠全面，项目有临时追加不够完整、细化</w:t>
      </w:r>
      <w:r>
        <w:rPr>
          <w:rFonts w:hint="eastAsia" w:ascii="仿宋_GB2312"/>
          <w:color w:val="000000" w:themeColor="text1"/>
          <w:sz w:val="32"/>
          <w:szCs w:val="32"/>
          <w:lang w:val="zh-CN"/>
          <w14:textFill>
            <w14:solidFill>
              <w14:schemeClr w14:val="tx1"/>
            </w14:solidFill>
          </w14:textFill>
        </w:rPr>
        <w:t>。</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2、预算执行存在偏差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在实际经费列支中，未严格按照预算科目进行列支，部分基本支出挤占了项目支出。</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3、会计核算欠规范</w:t>
      </w:r>
    </w:p>
    <w:p>
      <w:pPr>
        <w:widowControl/>
        <w:adjustRightInd w:val="0"/>
        <w:snapToGrid w:val="0"/>
        <w:spacing w:line="560" w:lineRule="exact"/>
        <w:ind w:firstLine="640" w:firstLineChars="200"/>
        <w:jc w:val="left"/>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color w:val="000000" w:themeColor="text1"/>
          <w:sz w:val="32"/>
          <w:szCs w:val="32"/>
          <w:lang w:val="zh-CN"/>
          <w14:textFill>
            <w14:solidFill>
              <w14:schemeClr w14:val="tx1"/>
            </w14:solidFill>
          </w14:textFill>
        </w:rPr>
        <w:t>经费支出核算过程中，部分存在部分大额办公支出无明细、发票内容填写不规范等现象。</w:t>
      </w:r>
    </w:p>
    <w:p>
      <w:pPr>
        <w:widowControl/>
        <w:adjustRightInd w:val="0"/>
        <w:snapToGrid w:val="0"/>
        <w:spacing w:line="580" w:lineRule="exact"/>
        <w:ind w:firstLine="643"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1、科学合理编制预算，严格执行预算</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2、规范账务处理，提高财务信息质量</w:t>
      </w:r>
    </w:p>
    <w:p>
      <w:pPr>
        <w:widowControl/>
        <w:adjustRightInd w:val="0"/>
        <w:snapToGrid w:val="0"/>
        <w:spacing w:line="480" w:lineRule="exact"/>
        <w:ind w:firstLine="72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严格按照《会计法》、《行政单位会计制度》、《行政单位财务规则》等规定，结合实际情况，科学设置支出科目，规范财务核算，完整披露相关信息。</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bookmarkStart w:id="117" w:name="_Toc425_WPSOffice_Level2"/>
      <w:r>
        <w:rPr>
          <w:rFonts w:hint="eastAsia" w:ascii="方正小标宋简体" w:hAnsi="宋体" w:eastAsia="方正小标宋简体"/>
          <w:color w:val="000000"/>
          <w:kern w:val="0"/>
          <w:sz w:val="44"/>
          <w:szCs w:val="44"/>
          <w:lang w:eastAsia="zh-CN"/>
        </w:rPr>
        <w:t>成品油燃油补贴</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bookmarkEnd w:id="117"/>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bookmarkStart w:id="118" w:name="_Toc21167_WPSOffice_Level2"/>
      <w:bookmarkStart w:id="119" w:name="_Toc14590_WPSOffice_Level2"/>
      <w:r>
        <w:rPr>
          <w:rFonts w:hint="eastAsia" w:ascii="黑体" w:hAnsi="宋体" w:eastAsia="黑体"/>
          <w:sz w:val="32"/>
          <w:szCs w:val="32"/>
        </w:rPr>
        <w:t>一、</w:t>
      </w:r>
      <w:r>
        <w:rPr>
          <w:rFonts w:hint="eastAsia" w:ascii="黑体" w:hAnsi="宋体" w:eastAsia="黑体"/>
          <w:sz w:val="32"/>
          <w:szCs w:val="32"/>
          <w:lang w:val="zh-CN"/>
        </w:rPr>
        <w:t>项目概况</w:t>
      </w:r>
      <w:bookmarkEnd w:id="118"/>
      <w:bookmarkEnd w:id="119"/>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 w:hAnsi="仿宋" w:eastAsia="仿宋" w:cs="仿宋"/>
          <w:color w:val="000000"/>
          <w:sz w:val="32"/>
          <w:szCs w:val="32"/>
          <w:u w:val="none"/>
        </w:rPr>
        <w:t>为加强城乡道路客运成品油价格补助专项资金管理，促进城乡道路客运健康发展，保障国家成品油价格和税费改革顺利实施</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lang w:val="en-US" w:eastAsia="zh-CN"/>
        </w:rPr>
        <w:t>阿坝州财政局下发</w:t>
      </w:r>
      <w:r>
        <w:rPr>
          <w:rFonts w:hint="eastAsia" w:ascii="仿宋" w:hAnsi="仿宋" w:eastAsia="仿宋" w:cs="仿宋"/>
          <w:color w:val="000000" w:themeColor="text1"/>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关于下</w:t>
      </w:r>
      <w:r>
        <w:rPr>
          <w:rFonts w:hint="eastAsia" w:ascii="仿宋" w:hAnsi="仿宋" w:eastAsia="仿宋" w:cs="仿宋"/>
          <w:color w:val="000000" w:themeColor="text1"/>
          <w:kern w:val="0"/>
          <w:sz w:val="32"/>
          <w:szCs w:val="32"/>
          <w:lang w:eastAsia="zh-CN"/>
          <w14:textFill>
            <w14:solidFill>
              <w14:schemeClr w14:val="tx1"/>
            </w14:solidFill>
          </w14:textFill>
        </w:rPr>
        <w:t>达</w:t>
      </w:r>
      <w:r>
        <w:rPr>
          <w:rFonts w:hint="eastAsia" w:ascii="仿宋" w:hAnsi="仿宋" w:eastAsia="仿宋" w:cs="仿宋"/>
          <w:color w:val="000000" w:themeColor="text1"/>
          <w:kern w:val="0"/>
          <w:sz w:val="32"/>
          <w:szCs w:val="32"/>
          <w14:textFill>
            <w14:solidFill>
              <w14:schemeClr w14:val="tx1"/>
            </w14:solidFill>
          </w14:textFill>
        </w:rPr>
        <w:t>201</w:t>
      </w:r>
      <w:r>
        <w:rPr>
          <w:rFonts w:hint="eastAsia" w:ascii="仿宋" w:hAnsi="仿宋" w:eastAsia="仿宋" w:cs="仿宋"/>
          <w:color w:val="000000" w:themeColor="text1"/>
          <w:kern w:val="0"/>
          <w:sz w:val="32"/>
          <w:szCs w:val="32"/>
          <w:lang w:val="en-US" w:eastAsia="zh-CN"/>
          <w14:textFill>
            <w14:solidFill>
              <w14:schemeClr w14:val="tx1"/>
            </w14:solidFill>
          </w14:textFill>
        </w:rPr>
        <w:t>9</w:t>
      </w:r>
      <w:r>
        <w:rPr>
          <w:rFonts w:hint="eastAsia" w:ascii="仿宋" w:hAnsi="仿宋" w:eastAsia="仿宋" w:cs="仿宋"/>
          <w:color w:val="000000" w:themeColor="text1"/>
          <w:kern w:val="0"/>
          <w:sz w:val="32"/>
          <w:szCs w:val="32"/>
          <w14:textFill>
            <w14:solidFill>
              <w14:schemeClr w14:val="tx1"/>
            </w14:solidFill>
          </w14:textFill>
        </w:rPr>
        <w:t>年</w:t>
      </w:r>
      <w:r>
        <w:rPr>
          <w:rFonts w:hint="eastAsia" w:ascii="仿宋" w:hAnsi="仿宋" w:eastAsia="仿宋" w:cs="仿宋"/>
          <w:color w:val="000000" w:themeColor="text1"/>
          <w:kern w:val="0"/>
          <w:sz w:val="32"/>
          <w:szCs w:val="32"/>
          <w:lang w:eastAsia="zh-CN"/>
          <w14:textFill>
            <w14:solidFill>
              <w14:schemeClr w14:val="tx1"/>
            </w14:solidFill>
          </w14:textFill>
        </w:rPr>
        <w:t>农村客运</w:t>
      </w:r>
      <w:r>
        <w:rPr>
          <w:rFonts w:hint="eastAsia" w:ascii="仿宋" w:hAnsi="仿宋" w:eastAsia="仿宋" w:cs="仿宋"/>
          <w:color w:val="000000" w:themeColor="text1"/>
          <w:kern w:val="0"/>
          <w:sz w:val="32"/>
          <w:szCs w:val="32"/>
          <w:lang w:val="en-US" w:eastAsia="zh-CN"/>
          <w14:textFill>
            <w14:solidFill>
              <w14:schemeClr w14:val="tx1"/>
            </w14:solidFill>
          </w14:textFill>
        </w:rPr>
        <w:t xml:space="preserve"> 出租车</w:t>
      </w:r>
      <w:r>
        <w:rPr>
          <w:rFonts w:hint="eastAsia" w:ascii="仿宋" w:hAnsi="仿宋" w:eastAsia="仿宋" w:cs="仿宋"/>
          <w:color w:val="000000" w:themeColor="text1"/>
          <w:kern w:val="0"/>
          <w:sz w:val="32"/>
          <w:szCs w:val="32"/>
          <w14:textFill>
            <w14:solidFill>
              <w14:schemeClr w14:val="tx1"/>
            </w14:solidFill>
          </w14:textFill>
        </w:rPr>
        <w:t>成品油</w:t>
      </w:r>
      <w:r>
        <w:rPr>
          <w:rFonts w:hint="eastAsia" w:ascii="仿宋" w:hAnsi="仿宋" w:eastAsia="仿宋" w:cs="仿宋"/>
          <w:color w:val="000000" w:themeColor="text1"/>
          <w:kern w:val="0"/>
          <w:sz w:val="32"/>
          <w:szCs w:val="32"/>
          <w:lang w:eastAsia="zh-CN"/>
          <w14:textFill>
            <w14:solidFill>
              <w14:schemeClr w14:val="tx1"/>
            </w14:solidFill>
          </w14:textFill>
        </w:rPr>
        <w:t>补助资金</w:t>
      </w:r>
      <w:r>
        <w:rPr>
          <w:rFonts w:hint="eastAsia" w:ascii="仿宋" w:hAnsi="仿宋" w:eastAsia="仿宋" w:cs="仿宋"/>
          <w:color w:val="000000" w:themeColor="text1"/>
          <w:kern w:val="0"/>
          <w:sz w:val="32"/>
          <w:szCs w:val="32"/>
          <w14:textFill>
            <w14:solidFill>
              <w14:schemeClr w14:val="tx1"/>
            </w14:solidFill>
          </w14:textFill>
        </w:rPr>
        <w:t>的通知</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阿州财</w:t>
      </w:r>
      <w:r>
        <w:rPr>
          <w:rFonts w:hint="eastAsia" w:ascii="仿宋" w:hAnsi="仿宋" w:eastAsia="仿宋" w:cs="仿宋"/>
          <w:color w:val="000000" w:themeColor="text1"/>
          <w:kern w:val="0"/>
          <w:sz w:val="32"/>
          <w:szCs w:val="32"/>
          <w:lang w:eastAsia="zh-CN"/>
          <w14:textFill>
            <w14:solidFill>
              <w14:schemeClr w14:val="tx1"/>
            </w14:solidFill>
          </w14:textFill>
        </w:rPr>
        <w:t>建</w:t>
      </w:r>
      <w:r>
        <w:rPr>
          <w:rFonts w:hint="eastAsia" w:ascii="仿宋" w:hAnsi="仿宋" w:eastAsia="仿宋" w:cs="仿宋"/>
          <w:color w:val="000000" w:themeColor="text1"/>
          <w:kern w:val="0"/>
          <w:sz w:val="32"/>
          <w:szCs w:val="32"/>
          <w14:textFill>
            <w14:solidFill>
              <w14:schemeClr w14:val="tx1"/>
            </w14:solidFill>
          </w14:textFill>
        </w:rPr>
        <w:t>【201</w:t>
      </w:r>
      <w:r>
        <w:rPr>
          <w:rFonts w:hint="eastAsia" w:ascii="仿宋" w:hAnsi="仿宋" w:eastAsia="仿宋" w:cs="仿宋"/>
          <w:color w:val="000000" w:themeColor="text1"/>
          <w:kern w:val="0"/>
          <w:sz w:val="32"/>
          <w:szCs w:val="32"/>
          <w:lang w:val="en-US" w:eastAsia="zh-CN"/>
          <w14:textFill>
            <w14:solidFill>
              <w14:schemeClr w14:val="tx1"/>
            </w14:solidFill>
          </w14:textFill>
        </w:rPr>
        <w:t>9</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97</w:t>
      </w:r>
      <w:r>
        <w:rPr>
          <w:rFonts w:hint="eastAsia" w:ascii="仿宋" w:hAnsi="仿宋" w:eastAsia="仿宋" w:cs="仿宋"/>
          <w:color w:val="000000" w:themeColor="text1"/>
          <w:kern w:val="0"/>
          <w:sz w:val="32"/>
          <w:szCs w:val="32"/>
          <w14:textFill>
            <w14:solidFill>
              <w14:schemeClr w14:val="tx1"/>
            </w14:solidFill>
          </w14:textFill>
        </w:rPr>
        <w:t>号</w:t>
      </w:r>
      <w:r>
        <w:rPr>
          <w:rFonts w:hint="eastAsia" w:ascii="仿宋" w:hAnsi="仿宋" w:eastAsia="仿宋" w:cs="仿宋"/>
          <w:color w:val="000000" w:themeColor="text1"/>
          <w:kern w:val="0"/>
          <w:sz w:val="32"/>
          <w:szCs w:val="32"/>
          <w:lang w:eastAsia="zh-CN"/>
          <w14:textFill>
            <w14:solidFill>
              <w14:schemeClr w14:val="tx1"/>
            </w14:solidFill>
          </w14:textFill>
        </w:rPr>
        <w:t>）精神，下拨</w:t>
      </w:r>
      <w:r>
        <w:rPr>
          <w:rFonts w:hint="eastAsia" w:ascii="仿宋" w:hAnsi="仿宋" w:eastAsia="仿宋" w:cs="仿宋"/>
          <w:color w:val="000000" w:themeColor="text1"/>
          <w:kern w:val="0"/>
          <w:sz w:val="32"/>
          <w:szCs w:val="32"/>
          <w:lang w:val="en-US" w:eastAsia="zh-CN"/>
          <w14:textFill>
            <w14:solidFill>
              <w14:schemeClr w14:val="tx1"/>
            </w14:solidFill>
          </w14:textFill>
        </w:rPr>
        <w:t>42.63万元燃油补贴经费。要求严格按照</w:t>
      </w:r>
      <w:r>
        <w:rPr>
          <w:rFonts w:hint="eastAsia" w:ascii="仿宋" w:hAnsi="仿宋" w:eastAsia="仿宋" w:cs="仿宋"/>
          <w:color w:val="000000" w:themeColor="text1"/>
          <w:kern w:val="0"/>
          <w:sz w:val="32"/>
          <w:szCs w:val="32"/>
          <w:shd w:val="clear" w:fill="FFFFFF"/>
          <w:lang w:val="en-US" w:eastAsia="zh-CN" w:bidi="ar"/>
          <w14:textFill>
            <w14:solidFill>
              <w14:schemeClr w14:val="tx1"/>
            </w14:solidFill>
          </w14:textFill>
        </w:rPr>
        <w:t>专户专账，专款专用的原则</w:t>
      </w:r>
      <w:r>
        <w:rPr>
          <w:rFonts w:hint="eastAsia" w:ascii="仿宋" w:hAnsi="仿宋" w:eastAsia="仿宋" w:cs="仿宋"/>
          <w:color w:val="000000" w:themeColor="text1"/>
          <w:kern w:val="0"/>
          <w:sz w:val="32"/>
          <w:szCs w:val="32"/>
          <w:lang w:val="en-US" w:eastAsia="zh-CN"/>
          <w14:textFill>
            <w14:solidFill>
              <w14:schemeClr w14:val="tx1"/>
            </w14:solidFill>
          </w14:textFill>
        </w:rPr>
        <w:t>及时拨付我县20辆出租车及2名</w:t>
      </w:r>
      <w:r>
        <w:rPr>
          <w:rFonts w:hint="eastAsia" w:ascii="仿宋" w:hAnsi="仿宋" w:eastAsia="仿宋" w:cs="仿宋"/>
          <w:b w:val="0"/>
          <w:bCs/>
          <w:color w:val="000000" w:themeColor="text1"/>
          <w:sz w:val="32"/>
          <w:szCs w:val="32"/>
          <w:shd w:val="clear" w:color="auto" w:fill="auto"/>
          <w:lang w:val="en-US" w:eastAsia="zh-CN"/>
          <w14:textFill>
            <w14:solidFill>
              <w14:schemeClr w14:val="tx1"/>
            </w14:solidFill>
          </w14:textFill>
        </w:rPr>
        <w:t>公交车驾驶员成品油价格补贴</w:t>
      </w:r>
      <w:r>
        <w:rPr>
          <w:rFonts w:hint="eastAsia" w:ascii="仿宋" w:hAnsi="仿宋" w:eastAsia="仿宋" w:cs="仿宋"/>
          <w:b/>
          <w:color w:val="000000" w:themeColor="text1"/>
          <w:sz w:val="32"/>
          <w:szCs w:val="32"/>
          <w:shd w:val="clear" w:color="auto" w:fill="auto"/>
          <w:lang w:val="en-US" w:eastAsia="zh-CN"/>
          <w14:textFill>
            <w14:solidFill>
              <w14:schemeClr w14:val="tx1"/>
            </w14:solidFill>
          </w14:textFill>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pStyle w:val="12"/>
        <w:pageBreakBefore w:val="0"/>
        <w:widowControl/>
        <w:kinsoku/>
        <w:overflowPunct/>
        <w:topLinePunct w:val="0"/>
        <w:bidi w:val="0"/>
        <w:spacing w:line="560"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统筹考虑各类城市出租车和公交车购置和运营成本，在对城市出租车和公交行业补助总体水平相对稳定的前提下，调整优化财政补助支出结构，平衡传统燃油出租车、出租车和公交车和新能源出租车、出租车和公交车的使用成本，逐步形成新能源汽车的比较优势。循序渐进，分类实施，推动形成有利于城市出租车和公交行业节能减排和新能源汽车产业发展的政策环境，确保出租车和公交行业平稳转型、健康发展。</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项目采取自评方式，成立项目自评领导小组，结合评价内容，做到有计划，有安排，扎实开展本次自评工作。按照上级下达的项目支出绩效评价指标体系，自评小组针对申报内容、实施情况、资金兑现、财务管理、社会效益等做出自我评价。领导小组如下：</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组</w:t>
      </w:r>
      <w:r>
        <w:rPr>
          <w:rFonts w:ascii="仿宋" w:hAnsi="仿宋" w:eastAsia="仿宋" w:cs="仿宋"/>
          <w:color w:val="000000"/>
          <w:sz w:val="32"/>
          <w:szCs w:val="32"/>
          <w:shd w:val="clear" w:color="auto" w:fill="FFFFFF"/>
        </w:rPr>
        <w:t xml:space="preserve">  </w:t>
      </w:r>
      <w:r>
        <w:rPr>
          <w:rFonts w:hint="eastAsia" w:ascii="仿宋" w:hAnsi="仿宋" w:eastAsia="仿宋" w:cs="仿宋"/>
          <w:color w:val="000000"/>
          <w:sz w:val="32"/>
          <w:szCs w:val="32"/>
          <w:shd w:val="clear" w:color="auto" w:fill="FFFFFF"/>
        </w:rPr>
        <w:t>长：吴宁</w:t>
      </w:r>
      <w:r>
        <w:rPr>
          <w:rFonts w:ascii="仿宋" w:hAnsi="仿宋" w:eastAsia="仿宋" w:cs="仿宋"/>
          <w:color w:val="000000"/>
          <w:sz w:val="32"/>
          <w:szCs w:val="32"/>
          <w:shd w:val="clear" w:color="auto" w:fill="FFFFFF"/>
        </w:rPr>
        <w:t xml:space="preserve">     </w:t>
      </w:r>
      <w:r>
        <w:rPr>
          <w:rFonts w:hint="eastAsia" w:ascii="仿宋" w:hAnsi="仿宋" w:eastAsia="仿宋" w:cs="仿宋"/>
          <w:color w:val="000000"/>
          <w:sz w:val="32"/>
          <w:szCs w:val="32"/>
          <w:shd w:val="clear" w:color="auto" w:fill="FFFFFF"/>
        </w:rPr>
        <w:t>所长</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副组长：泽让贡波</w:t>
      </w:r>
      <w:r>
        <w:rPr>
          <w:rFonts w:ascii="仿宋" w:hAnsi="仿宋" w:eastAsia="仿宋" w:cs="仿宋"/>
          <w:color w:val="000000"/>
          <w:sz w:val="32"/>
          <w:szCs w:val="32"/>
          <w:shd w:val="clear" w:color="auto" w:fill="FFFFFF"/>
        </w:rPr>
        <w:t xml:space="preserve">    </w:t>
      </w:r>
      <w:r>
        <w:rPr>
          <w:rFonts w:hint="eastAsia" w:ascii="仿宋" w:hAnsi="仿宋" w:eastAsia="仿宋" w:cs="仿宋"/>
          <w:color w:val="000000"/>
          <w:sz w:val="32"/>
          <w:szCs w:val="32"/>
          <w:shd w:val="clear" w:color="auto" w:fill="FFFFFF"/>
        </w:rPr>
        <w:t>副所长</w:t>
      </w:r>
      <w:r>
        <w:rPr>
          <w:rFonts w:ascii="仿宋" w:hAnsi="仿宋" w:eastAsia="仿宋" w:cs="仿宋"/>
          <w:color w:val="000000"/>
          <w:sz w:val="32"/>
          <w:szCs w:val="32"/>
          <w:shd w:val="clear" w:color="auto" w:fill="FFFFFF"/>
        </w:rPr>
        <w:t xml:space="preserve">    </w:t>
      </w:r>
    </w:p>
    <w:p>
      <w:pPr>
        <w:pageBreakBefore w:val="0"/>
        <w:kinsoku/>
        <w:overflowPunct/>
        <w:topLinePunct w:val="0"/>
        <w:bidi w:val="0"/>
        <w:adjustRightInd w:val="0"/>
        <w:snapToGrid w:val="0"/>
        <w:spacing w:line="560" w:lineRule="exact"/>
        <w:ind w:firstLine="72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成</w:t>
      </w:r>
      <w:r>
        <w:rPr>
          <w:rFonts w:ascii="仿宋" w:hAnsi="仿宋" w:eastAsia="仿宋" w:cs="仿宋"/>
          <w:color w:val="000000"/>
          <w:sz w:val="32"/>
          <w:szCs w:val="32"/>
          <w:shd w:val="clear" w:color="auto" w:fill="FFFFFF"/>
        </w:rPr>
        <w:t xml:space="preserve">  </w:t>
      </w:r>
      <w:r>
        <w:rPr>
          <w:rFonts w:hint="eastAsia" w:ascii="仿宋" w:hAnsi="仿宋" w:eastAsia="仿宋" w:cs="仿宋"/>
          <w:color w:val="000000"/>
          <w:sz w:val="32"/>
          <w:szCs w:val="32"/>
          <w:shd w:val="clear" w:color="auto" w:fill="FFFFFF"/>
        </w:rPr>
        <w:t>员：王辉、熊婷婷、杨碧凤、罗让、赵欣</w:t>
      </w:r>
      <w:r>
        <w:rPr>
          <w:rFonts w:ascii="仿宋" w:hAnsi="仿宋" w:eastAsia="仿宋" w:cs="仿宋"/>
          <w:color w:val="000000"/>
          <w:sz w:val="32"/>
          <w:szCs w:val="32"/>
          <w:shd w:val="clear" w:color="auto" w:fill="FFFFFF"/>
        </w:rPr>
        <w:t xml:space="preserve">  </w:t>
      </w:r>
    </w:p>
    <w:p>
      <w:pPr>
        <w:pageBreakBefore w:val="0"/>
        <w:kinsoku/>
        <w:overflowPunct/>
        <w:topLinePunct w:val="0"/>
        <w:bidi w:val="0"/>
        <w:adjustRightInd w:val="0"/>
        <w:snapToGrid w:val="0"/>
        <w:spacing w:line="560" w:lineRule="exact"/>
        <w:ind w:firstLine="720"/>
        <w:rPr>
          <w:rFonts w:ascii="仿宋_GB2312" w:hAnsi="宋体" w:eastAsia="仿宋_GB2312"/>
          <w:sz w:val="32"/>
          <w:szCs w:val="32"/>
          <w:lang w:val="zh-CN"/>
        </w:rPr>
      </w:pPr>
      <w:r>
        <w:rPr>
          <w:rFonts w:hint="eastAsia" w:ascii="仿宋" w:hAnsi="仿宋" w:eastAsia="仿宋" w:cs="仿宋"/>
          <w:color w:val="000000"/>
          <w:sz w:val="32"/>
          <w:szCs w:val="32"/>
          <w:shd w:val="clear" w:color="auto" w:fill="FFFFFF"/>
        </w:rPr>
        <w:t>办公室下设在运管所财务审计股</w:t>
      </w:r>
    </w:p>
    <w:p>
      <w:pPr>
        <w:adjustRightInd w:val="0"/>
        <w:snapToGrid w:val="0"/>
        <w:spacing w:line="600" w:lineRule="exact"/>
        <w:ind w:firstLine="720"/>
        <w:rPr>
          <w:rFonts w:ascii="黑体" w:hAnsi="宋体" w:eastAsia="黑体"/>
          <w:sz w:val="32"/>
          <w:szCs w:val="32"/>
        </w:rPr>
      </w:pPr>
      <w:bookmarkStart w:id="120" w:name="_Toc6590_WPSOffice_Level2"/>
      <w:bookmarkStart w:id="121" w:name="_Toc3281_WPSOffice_Level2"/>
      <w:r>
        <w:rPr>
          <w:rFonts w:hint="eastAsia" w:ascii="黑体" w:hAnsi="宋体" w:eastAsia="黑体"/>
          <w:sz w:val="32"/>
          <w:szCs w:val="32"/>
        </w:rPr>
        <w:t>二、项目资金申报及使用情况</w:t>
      </w:r>
      <w:bookmarkEnd w:id="120"/>
      <w:bookmarkEnd w:id="121"/>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pageBreakBefore w:val="0"/>
        <w:kinsoku/>
        <w:overflowPunct/>
        <w:topLinePunct w:val="0"/>
        <w:bidi w:val="0"/>
        <w:adjustRightInd w:val="0"/>
        <w:snapToGrid w:val="0"/>
        <w:spacing w:line="560" w:lineRule="exact"/>
        <w:ind w:firstLine="720"/>
        <w:rPr>
          <w:rFonts w:hint="eastAsia" w:ascii="仿宋" w:hAnsi="仿宋" w:eastAsia="仿宋" w:cs="仿宋"/>
          <w:color w:val="000000"/>
          <w:sz w:val="32"/>
          <w:szCs w:val="32"/>
          <w:shd w:val="clear" w:color="auto" w:fill="FFFFFF"/>
          <w:lang w:val="zh-CN"/>
        </w:rPr>
      </w:pPr>
      <w:r>
        <w:rPr>
          <w:rFonts w:hint="eastAsia" w:ascii="仿宋" w:hAnsi="仿宋" w:eastAsia="仿宋" w:cs="仿宋"/>
          <w:color w:val="000000"/>
          <w:sz w:val="32"/>
          <w:szCs w:val="32"/>
          <w:shd w:val="clear" w:color="auto" w:fill="FFFFFF"/>
          <w:lang w:val="zh-CN"/>
        </w:rPr>
        <w:t>每年度州级下达成品油燃油补贴至我单位。</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pageBreakBefore w:val="0"/>
        <w:kinsoku/>
        <w:overflowPunct/>
        <w:topLinePunct w:val="0"/>
        <w:bidi w:val="0"/>
        <w:adjustRightInd w:val="0"/>
        <w:snapToGrid w:val="0"/>
        <w:spacing w:line="560" w:lineRule="exact"/>
        <w:ind w:firstLine="720"/>
        <w:rPr>
          <w:rFonts w:ascii="仿宋" w:hAnsi="仿宋" w:eastAsia="仿宋" w:cs="仿宋"/>
          <w:sz w:val="32"/>
        </w:rPr>
      </w:pPr>
      <w:r>
        <w:rPr>
          <w:rFonts w:ascii="仿宋" w:hAnsi="仿宋" w:eastAsia="仿宋" w:cs="仿宋"/>
          <w:sz w:val="32"/>
          <w:lang w:val="zh-CN"/>
        </w:rPr>
        <w:t>1</w:t>
      </w:r>
      <w:r>
        <w:rPr>
          <w:rFonts w:hint="eastAsia" w:ascii="仿宋" w:hAnsi="仿宋" w:eastAsia="仿宋" w:cs="仿宋"/>
          <w:sz w:val="32"/>
          <w:lang w:val="zh-CN"/>
        </w:rPr>
        <w:t>．资金计划</w:t>
      </w:r>
      <w:r>
        <w:rPr>
          <w:rFonts w:hint="eastAsia" w:ascii="仿宋" w:hAnsi="仿宋" w:eastAsia="仿宋" w:cs="仿宋"/>
          <w:sz w:val="32"/>
        </w:rPr>
        <w:t>及到位</w:t>
      </w:r>
      <w:r>
        <w:rPr>
          <w:rFonts w:hint="eastAsia" w:ascii="仿宋" w:hAnsi="仿宋" w:eastAsia="仿宋" w:cs="仿宋"/>
          <w:sz w:val="32"/>
          <w:lang w:val="zh-CN"/>
        </w:rPr>
        <w:t>。</w:t>
      </w:r>
      <w:r>
        <w:rPr>
          <w:rFonts w:hint="eastAsia" w:ascii="仿宋" w:hAnsi="仿宋" w:eastAsia="仿宋" w:cs="仿宋"/>
          <w:sz w:val="32"/>
        </w:rPr>
        <w:t>资金来源为成品油价格补贴；截止目前已全部到位，资金到位率</w:t>
      </w:r>
      <w:r>
        <w:rPr>
          <w:rFonts w:ascii="仿宋" w:hAnsi="仿宋" w:eastAsia="仿宋" w:cs="仿宋"/>
          <w:sz w:val="32"/>
        </w:rPr>
        <w:t>100%</w:t>
      </w:r>
      <w:r>
        <w:rPr>
          <w:rFonts w:hint="eastAsia" w:ascii="仿宋" w:hAnsi="仿宋" w:eastAsia="仿宋" w:cs="仿宋"/>
          <w:sz w:val="32"/>
        </w:rPr>
        <w:t>到位及时。</w:t>
      </w:r>
      <w:r>
        <w:rPr>
          <w:rFonts w:ascii="仿宋" w:hAnsi="仿宋" w:eastAsia="仿宋" w:cs="仿宋"/>
          <w:sz w:val="32"/>
        </w:rPr>
        <w:t xml:space="preserve">    </w:t>
      </w:r>
    </w:p>
    <w:p>
      <w:pPr>
        <w:pageBreakBefore w:val="0"/>
        <w:kinsoku/>
        <w:overflowPunct/>
        <w:topLinePunct w:val="0"/>
        <w:bidi w:val="0"/>
        <w:adjustRightInd w:val="0"/>
        <w:snapToGrid w:val="0"/>
        <w:spacing w:line="560" w:lineRule="exact"/>
        <w:ind w:firstLine="720"/>
        <w:rPr>
          <w:rFonts w:hint="default" w:ascii="仿宋" w:hAnsi="仿宋" w:eastAsia="仿宋" w:cs="仿宋"/>
          <w:sz w:val="32"/>
          <w:lang w:val="en-US" w:eastAsia="zh-CN"/>
        </w:rPr>
      </w:pPr>
      <w:r>
        <w:rPr>
          <w:rFonts w:ascii="仿宋" w:hAnsi="仿宋" w:eastAsia="仿宋" w:cs="仿宋"/>
          <w:sz w:val="32"/>
        </w:rPr>
        <w:t>2</w:t>
      </w:r>
      <w:r>
        <w:rPr>
          <w:rFonts w:hint="eastAsia" w:ascii="仿宋" w:hAnsi="仿宋" w:eastAsia="仿宋" w:cs="仿宋"/>
          <w:sz w:val="32"/>
          <w:lang w:val="zh-CN"/>
        </w:rPr>
        <w:t>．资金使用。</w:t>
      </w:r>
      <w:r>
        <w:rPr>
          <w:rFonts w:hint="eastAsia" w:ascii="仿宋" w:hAnsi="仿宋" w:eastAsia="仿宋" w:cs="仿宋"/>
          <w:sz w:val="32"/>
        </w:rPr>
        <w:t>截止目前已向</w:t>
      </w:r>
      <w:r>
        <w:rPr>
          <w:rFonts w:ascii="仿宋" w:hAnsi="仿宋" w:eastAsia="仿宋" w:cs="仿宋"/>
          <w:sz w:val="32"/>
        </w:rPr>
        <w:t>2</w:t>
      </w:r>
      <w:r>
        <w:rPr>
          <w:rFonts w:hint="eastAsia" w:ascii="仿宋" w:hAnsi="仿宋" w:eastAsia="仿宋" w:cs="仿宋"/>
          <w:sz w:val="32"/>
          <w:lang w:val="en-US" w:eastAsia="zh-CN"/>
        </w:rPr>
        <w:t>0</w:t>
      </w:r>
      <w:r>
        <w:rPr>
          <w:rFonts w:hint="eastAsia" w:ascii="仿宋" w:hAnsi="仿宋" w:eastAsia="仿宋" w:cs="仿宋"/>
          <w:sz w:val="32"/>
        </w:rPr>
        <w:t>位出租车驾驶员拨付成品油价格补贴</w:t>
      </w:r>
      <w:r>
        <w:rPr>
          <w:rFonts w:hint="eastAsia" w:ascii="仿宋" w:hAnsi="仿宋" w:eastAsia="仿宋" w:cs="仿宋"/>
          <w:sz w:val="32"/>
          <w:lang w:val="en-US" w:eastAsia="zh-CN"/>
        </w:rPr>
        <w:t>.</w:t>
      </w:r>
      <w:r>
        <w:rPr>
          <w:rFonts w:hint="eastAsia" w:ascii="仿宋" w:hAnsi="仿宋" w:eastAsia="仿宋" w:cs="仿宋"/>
          <w:sz w:val="32"/>
          <w:lang w:eastAsia="zh-CN"/>
        </w:rPr>
        <w:t>由于公交车于</w:t>
      </w:r>
      <w:r>
        <w:rPr>
          <w:rFonts w:hint="eastAsia" w:ascii="仿宋" w:hAnsi="仿宋" w:eastAsia="仿宋" w:cs="仿宋"/>
          <w:sz w:val="32"/>
          <w:lang w:val="en-US" w:eastAsia="zh-CN"/>
        </w:rPr>
        <w:t>2018年处于报停状态，由于未参与营运因此为做到资金的合理利用未向2名驾驶员拨付成品油燃油补贴。</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pageBreakBefore w:val="0"/>
        <w:kinsoku/>
        <w:overflowPunct/>
        <w:topLinePunct w:val="0"/>
        <w:bidi w:val="0"/>
        <w:adjustRightInd w:val="0"/>
        <w:snapToGrid w:val="0"/>
        <w:spacing w:line="560" w:lineRule="exact"/>
        <w:ind w:firstLine="720"/>
        <w:rPr>
          <w:rFonts w:ascii="仿宋" w:hAnsi="仿宋" w:eastAsia="仿宋" w:cs="仿宋"/>
          <w:sz w:val="32"/>
          <w:szCs w:val="32"/>
          <w:lang w:val="zh-CN"/>
        </w:rPr>
      </w:pPr>
      <w:r>
        <w:rPr>
          <w:rFonts w:hint="eastAsia" w:ascii="仿宋" w:hAnsi="仿宋" w:eastAsia="仿宋" w:cs="仿宋"/>
          <w:sz w:val="32"/>
        </w:rPr>
        <w:t>成品油价格补贴项目我所</w:t>
      </w:r>
      <w:r>
        <w:rPr>
          <w:rFonts w:hint="eastAsia" w:ascii="仿宋" w:hAnsi="仿宋" w:eastAsia="仿宋" w:cs="仿宋"/>
          <w:sz w:val="32"/>
          <w:lang w:val="zh-CN"/>
        </w:rPr>
        <w:t>完善了</w:t>
      </w:r>
      <w:r>
        <w:rPr>
          <w:rFonts w:hint="eastAsia" w:ascii="仿宋" w:hAnsi="仿宋" w:eastAsia="仿宋" w:cs="仿宋"/>
          <w:sz w:val="32"/>
        </w:rPr>
        <w:t>相关</w:t>
      </w:r>
      <w:r>
        <w:rPr>
          <w:rFonts w:hint="eastAsia" w:ascii="仿宋" w:hAnsi="仿宋" w:eastAsia="仿宋" w:cs="仿宋"/>
          <w:sz w:val="32"/>
          <w:lang w:val="zh-CN"/>
        </w:rPr>
        <w:t>财务工作制度。</w:t>
      </w:r>
      <w:r>
        <w:rPr>
          <w:rFonts w:hint="eastAsia" w:ascii="仿宋" w:hAnsi="仿宋" w:eastAsia="仿宋" w:cs="仿宋"/>
          <w:b/>
          <w:bCs/>
          <w:sz w:val="32"/>
        </w:rPr>
        <w:t>一是</w:t>
      </w:r>
      <w:r>
        <w:rPr>
          <w:rFonts w:hint="eastAsia" w:ascii="仿宋" w:hAnsi="仿宋" w:eastAsia="仿宋" w:cs="仿宋"/>
          <w:sz w:val="32"/>
          <w:lang w:val="zh-CN"/>
        </w:rPr>
        <w:t>细化了工作流程，明确了工作任务和责任人，使之有了更强的可操作性和针对性。</w:t>
      </w:r>
      <w:r>
        <w:rPr>
          <w:rFonts w:hint="eastAsia" w:ascii="仿宋" w:hAnsi="仿宋" w:eastAsia="仿宋" w:cs="仿宋"/>
          <w:b/>
          <w:bCs/>
          <w:sz w:val="32"/>
          <w:lang w:val="zh-CN"/>
        </w:rPr>
        <w:t>二是</w:t>
      </w:r>
      <w:r>
        <w:rPr>
          <w:rFonts w:hint="eastAsia" w:ascii="仿宋" w:hAnsi="仿宋" w:eastAsia="仿宋" w:cs="仿宋"/>
          <w:sz w:val="32"/>
          <w:lang w:val="zh-CN"/>
        </w:rPr>
        <w:t>进一步规范了财务工作运行机制。结合工作内容和需要对现有各类自制原始凭证进行统一设计，规范填写。加强了凭证审核力度，坚持出纳填制凭证、</w:t>
      </w:r>
      <w:r>
        <w:rPr>
          <w:rFonts w:hint="eastAsia" w:ascii="仿宋" w:hAnsi="仿宋" w:eastAsia="仿宋" w:cs="仿宋"/>
          <w:sz w:val="32"/>
        </w:rPr>
        <w:t>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w:t>
      </w:r>
      <w:r>
        <w:rPr>
          <w:rFonts w:hint="eastAsia" w:ascii="仿宋" w:hAnsi="仿宋" w:eastAsia="仿宋" w:cs="仿宋"/>
          <w:sz w:val="32"/>
          <w:lang w:val="zh-CN"/>
        </w:rPr>
        <w:t>说明项目财务管理制度建设、机构设置、会计核算及账务处理等相关情况。对照项目资金管理办法，评价项目是否严格执行财务管理制度、财务处理是否及时、会计核算是否规范等。</w:t>
      </w:r>
      <w:r>
        <w:rPr>
          <w:rFonts w:hint="eastAsia" w:ascii="仿宋" w:hAnsi="仿宋" w:eastAsia="仿宋" w:cs="仿宋"/>
          <w:sz w:val="32"/>
          <w:szCs w:val="32"/>
          <w:lang w:val="zh-CN"/>
        </w:rPr>
        <w:t>项目</w:t>
      </w:r>
      <w:r>
        <w:rPr>
          <w:rFonts w:hint="eastAsia" w:ascii="仿宋" w:hAnsi="仿宋" w:eastAsia="仿宋" w:cs="仿宋"/>
          <w:sz w:val="32"/>
          <w:szCs w:val="32"/>
        </w:rPr>
        <w:t>实施工程中</w:t>
      </w:r>
      <w:r>
        <w:rPr>
          <w:rFonts w:hint="eastAsia" w:ascii="仿宋" w:hAnsi="仿宋" w:eastAsia="仿宋" w:cs="仿宋"/>
          <w:sz w:val="32"/>
          <w:szCs w:val="32"/>
          <w:lang w:val="zh-CN"/>
        </w:rPr>
        <w:t>严格按照项目财务管理制度进行财务管理，专款专用，专人负责，严格对照资金管理办法，不拆借资金，规范会计核算程序。</w:t>
      </w:r>
    </w:p>
    <w:p>
      <w:pPr>
        <w:adjustRightInd w:val="0"/>
        <w:snapToGrid w:val="0"/>
        <w:spacing w:line="600" w:lineRule="exact"/>
        <w:ind w:firstLine="720"/>
        <w:rPr>
          <w:rFonts w:ascii="黑体" w:hAnsi="宋体" w:eastAsia="黑体"/>
          <w:sz w:val="32"/>
          <w:szCs w:val="32"/>
        </w:rPr>
      </w:pPr>
      <w:bookmarkStart w:id="122" w:name="_Toc852_WPSOffice_Level2"/>
      <w:bookmarkStart w:id="123" w:name="_Toc12119_WPSOffice_Level2"/>
      <w:r>
        <w:rPr>
          <w:rFonts w:hint="eastAsia" w:ascii="黑体" w:hAnsi="宋体" w:eastAsia="黑体"/>
          <w:sz w:val="32"/>
          <w:szCs w:val="32"/>
        </w:rPr>
        <w:t>三、项目实施及管理情况</w:t>
      </w:r>
      <w:bookmarkEnd w:id="122"/>
      <w:bookmarkEnd w:id="123"/>
    </w:p>
    <w:p>
      <w:pPr>
        <w:pageBreakBefore w:val="0"/>
        <w:kinsoku/>
        <w:overflowPunct/>
        <w:topLinePunct w:val="0"/>
        <w:bidi w:val="0"/>
        <w:adjustRightInd w:val="0"/>
        <w:snapToGrid w:val="0"/>
        <w:spacing w:line="560" w:lineRule="exact"/>
        <w:ind w:firstLine="720"/>
        <w:rPr>
          <w:rFonts w:ascii="仿宋_GB2312" w:hAnsi="宋体" w:eastAsia="仿宋_GB2312"/>
          <w:sz w:val="32"/>
          <w:szCs w:val="32"/>
          <w:lang w:val="zh-CN"/>
        </w:rPr>
      </w:pPr>
      <w:r>
        <w:rPr>
          <w:rFonts w:hint="eastAsia" w:ascii="仿宋" w:hAnsi="仿宋" w:eastAsia="仿宋" w:cs="仿宋"/>
          <w:sz w:val="32"/>
          <w:szCs w:val="32"/>
        </w:rPr>
        <w:t>出租车和公交车运行情况（运行天数、公里数及耗油量统计情况）由我所财务股工作人员</w:t>
      </w:r>
      <w:r>
        <w:rPr>
          <w:rFonts w:hint="eastAsia" w:ascii="仿宋" w:hAnsi="仿宋" w:eastAsia="仿宋" w:cs="仿宋"/>
          <w:sz w:val="32"/>
          <w:szCs w:val="32"/>
          <w:lang w:val="zh-CN"/>
        </w:rPr>
        <w:t>专管本项目，严格核实出公交车和出租车</w:t>
      </w:r>
      <w:r>
        <w:rPr>
          <w:rFonts w:hint="eastAsia" w:ascii="仿宋" w:hAnsi="仿宋" w:eastAsia="仿宋" w:cs="仿宋"/>
          <w:sz w:val="32"/>
          <w:szCs w:val="32"/>
        </w:rPr>
        <w:t>运行天数、公里数及耗油量统计情况，并做好月、年报工作，并按照</w:t>
      </w:r>
      <w:r>
        <w:rPr>
          <w:rFonts w:hint="eastAsia" w:ascii="仿宋" w:hAnsi="仿宋" w:eastAsia="仿宋" w:cs="仿宋"/>
          <w:sz w:val="32"/>
          <w:szCs w:val="32"/>
          <w:lang w:val="zh-CN"/>
        </w:rPr>
        <w:t>燃油补贴发放程序进行资金下发。</w:t>
      </w:r>
    </w:p>
    <w:p>
      <w:pPr>
        <w:adjustRightInd w:val="0"/>
        <w:snapToGrid w:val="0"/>
        <w:spacing w:line="600" w:lineRule="exact"/>
        <w:ind w:firstLine="720"/>
        <w:rPr>
          <w:rFonts w:ascii="仿宋_GB2312" w:hAnsi="宋体" w:eastAsia="仿宋_GB2312"/>
          <w:sz w:val="32"/>
          <w:szCs w:val="32"/>
          <w:lang w:val="zh-CN"/>
        </w:rPr>
      </w:pPr>
      <w:bookmarkStart w:id="124" w:name="_Toc3247_WPSOffice_Level2"/>
      <w:bookmarkStart w:id="125" w:name="_Toc27524_WPSOffice_Level2"/>
      <w:r>
        <w:rPr>
          <w:rFonts w:hint="eastAsia" w:ascii="黑体" w:hAnsi="宋体" w:eastAsia="黑体"/>
          <w:sz w:val="32"/>
          <w:szCs w:val="32"/>
        </w:rPr>
        <w:t>四、项目绩效情况</w:t>
      </w:r>
      <w:bookmarkEnd w:id="124"/>
      <w:bookmarkEnd w:id="125"/>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pageBreakBefore w:val="0"/>
        <w:kinsoku/>
        <w:overflowPunct/>
        <w:topLinePunct w:val="0"/>
        <w:bidi w:val="0"/>
        <w:spacing w:line="560" w:lineRule="exact"/>
        <w:ind w:firstLine="640" w:firstLineChars="200"/>
        <w:rPr>
          <w:rFonts w:ascii="楷体_GB2312" w:hAnsi="宋体" w:eastAsia="楷体_GB2312"/>
          <w:b/>
          <w:sz w:val="32"/>
          <w:szCs w:val="32"/>
          <w:lang w:val="zh-CN"/>
        </w:rPr>
      </w:pPr>
      <w:r>
        <w:rPr>
          <w:rFonts w:hint="eastAsia" w:ascii="仿宋" w:hAnsi="仿宋" w:eastAsia="仿宋" w:cs="仿宋"/>
          <w:sz w:val="32"/>
        </w:rPr>
        <w:t>我所财务统计工作人员每个月做好运行天数、公里数和耗油量的审核统计工作，并及时做好上报工作，年底认真审核企业上报的年报工作。该项目于</w:t>
      </w:r>
      <w:r>
        <w:rPr>
          <w:rFonts w:ascii="仿宋" w:hAnsi="仿宋" w:eastAsia="仿宋" w:cs="仿宋"/>
          <w:sz w:val="32"/>
        </w:rPr>
        <w:t>201</w:t>
      </w:r>
      <w:r>
        <w:rPr>
          <w:rFonts w:hint="eastAsia" w:ascii="仿宋" w:hAnsi="仿宋" w:eastAsia="仿宋" w:cs="仿宋"/>
          <w:sz w:val="32"/>
          <w:lang w:val="en-US" w:eastAsia="zh-CN"/>
        </w:rPr>
        <w:t>9</w:t>
      </w:r>
      <w:r>
        <w:rPr>
          <w:rFonts w:hint="eastAsia" w:ascii="仿宋" w:hAnsi="仿宋" w:eastAsia="仿宋" w:cs="仿宋"/>
          <w:sz w:val="32"/>
        </w:rPr>
        <w:t>年</w:t>
      </w:r>
      <w:r>
        <w:rPr>
          <w:rFonts w:ascii="仿宋" w:hAnsi="仿宋" w:eastAsia="仿宋" w:cs="仿宋"/>
          <w:sz w:val="32"/>
        </w:rPr>
        <w:t>12</w:t>
      </w:r>
      <w:r>
        <w:rPr>
          <w:rFonts w:hint="eastAsia" w:ascii="仿宋" w:hAnsi="仿宋" w:eastAsia="仿宋" w:cs="仿宋"/>
          <w:sz w:val="32"/>
        </w:rPr>
        <w:t>月完成资金发放工作。</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加强对城市出租车和公交车成品油价格补助政策调整工作的监督检查，规范补助资金的申请和发放程序，加强资金管理。并将调整后的补助程序、补助对象、补助标准和金额等内容及时向社会公布。做好宣传工作，加强舆论引导，及时回应社会关切，争取社会各方理解和支持，确保政策调整平稳实施。加强公交行业动态信息监控，及时掌握改革动态;要充分考虑公共财政保障能力、公众承受能力和企业运营成本，加快建立城市公交成本票价制度，消化补助政策调整给企业增加的运营成本，维护城市公交行业健康稳定发展。</w:t>
      </w:r>
    </w:p>
    <w:p>
      <w:pPr>
        <w:adjustRightInd w:val="0"/>
        <w:snapToGrid w:val="0"/>
        <w:spacing w:line="600" w:lineRule="exact"/>
        <w:ind w:firstLine="720"/>
        <w:rPr>
          <w:rFonts w:ascii="黑体" w:hAnsi="宋体" w:eastAsia="黑体"/>
          <w:sz w:val="32"/>
          <w:szCs w:val="32"/>
        </w:rPr>
      </w:pPr>
      <w:bookmarkStart w:id="126" w:name="_Toc16114_WPSOffice_Level2"/>
      <w:bookmarkStart w:id="127" w:name="_Toc10934_WPSOffice_Level2"/>
      <w:r>
        <w:rPr>
          <w:rFonts w:hint="eastAsia" w:ascii="黑体" w:hAnsi="宋体" w:eastAsia="黑体"/>
          <w:sz w:val="32"/>
          <w:szCs w:val="32"/>
        </w:rPr>
        <w:t>五、评价结论及建议</w:t>
      </w:r>
      <w:bookmarkEnd w:id="126"/>
      <w:bookmarkEnd w:id="127"/>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pStyle w:val="12"/>
        <w:pageBreakBefore w:val="0"/>
        <w:widowControl/>
        <w:kinsoku/>
        <w:overflowPunct/>
        <w:topLinePunct w:val="0"/>
        <w:bidi w:val="0"/>
        <w:spacing w:line="560" w:lineRule="exact"/>
        <w:ind w:firstLine="960" w:firstLineChars="300"/>
        <w:rPr>
          <w:rFonts w:ascii="仿宋_GB2312" w:hAnsi="宋体" w:eastAsia="仿宋_GB2312"/>
          <w:sz w:val="32"/>
          <w:szCs w:val="32"/>
          <w:lang w:val="zh-CN"/>
        </w:rPr>
      </w:pPr>
      <w:r>
        <w:rPr>
          <w:rFonts w:hint="eastAsia" w:ascii="仿宋" w:hAnsi="仿宋" w:eastAsia="仿宋" w:cs="仿宋"/>
          <w:sz w:val="32"/>
          <w:szCs w:val="32"/>
        </w:rPr>
        <w:t>通过完善城市出租车和公交车成品油价格补助政策，进一步理顺补助对象和环节，加快新能源出租车和公交车替代燃油出租车和公交车步伐。一方面还原燃油出租车和公交车的真实使用成本，遏制燃油出租车和公交车数量增加势头，另一方面调动企业购买和使用新能源出租车和公交车的积极性，鼓励在新增和更新城市出租车和公交车时优先选择新能源出租车和公交车，推动新能源出租车和公交车规模化推广应用，促进公交行业节能减排，为大气污染防治做出贡献。</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（二）相关建议。</w:t>
      </w:r>
    </w:p>
    <w:p>
      <w:pPr>
        <w:adjustRightInd w:val="0"/>
        <w:snapToGrid w:val="0"/>
        <w:spacing w:line="600" w:lineRule="exact"/>
        <w:ind w:firstLine="720"/>
        <w:rPr>
          <w:rFonts w:ascii="仿宋" w:hAnsi="仿宋" w:eastAsia="仿宋"/>
          <w:color w:val="000000"/>
          <w:sz w:val="32"/>
          <w:szCs w:val="32"/>
        </w:rPr>
      </w:pPr>
      <w:r>
        <w:rPr>
          <w:rFonts w:hint="eastAsia" w:ascii="仿宋" w:hAnsi="仿宋" w:eastAsia="仿宋" w:cs="仿宋"/>
          <w:sz w:val="32"/>
          <w:szCs w:val="32"/>
        </w:rPr>
        <w:t>城市公交车和出租车成品油价格补助政策调整涉及城市公交和出租车企业和广大群众切身利益，实施新能源汽车替代燃油车是一个系统工程，要统一思想，精心组织，周密部署，做好有关工作，确保顺利实施。</w:t>
      </w:r>
    </w:p>
    <w:p>
      <w:pPr>
        <w:spacing w:line="580" w:lineRule="exact"/>
        <w:ind w:firstLine="64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128" w:name="_Toc15396618"/>
      <w:bookmarkStart w:id="129" w:name="_Toc1615_WPSOffice_Level1"/>
      <w:r>
        <w:rPr>
          <w:rFonts w:hint="eastAsia" w:ascii="黑体" w:hAnsi="黑体" w:eastAsia="黑体"/>
          <w:color w:val="000000"/>
          <w:sz w:val="44"/>
          <w:szCs w:val="44"/>
        </w:rPr>
        <w:t>第</w:t>
      </w:r>
      <w:r>
        <w:rPr>
          <w:rStyle w:val="25"/>
          <w:rFonts w:hint="eastAsia" w:ascii="黑体" w:hAnsi="黑体" w:eastAsia="黑体"/>
          <w:b w:val="0"/>
        </w:rPr>
        <w:t>五部分 附表</w:t>
      </w:r>
      <w:bookmarkEnd w:id="103"/>
      <w:bookmarkEnd w:id="128"/>
      <w:bookmarkEnd w:id="12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130" w:name="_Toc15396619"/>
      <w:bookmarkStart w:id="131" w:name="_Toc13579_WPSOffice_Level2"/>
      <w:r>
        <w:rPr>
          <w:rFonts w:hint="eastAsia" w:ascii="仿宋" w:hAnsi="仿宋" w:eastAsia="仿宋"/>
          <w:b w:val="0"/>
          <w:color w:val="000000"/>
        </w:rPr>
        <w:t>一、收</w:t>
      </w:r>
      <w:r>
        <w:rPr>
          <w:rStyle w:val="26"/>
          <w:rFonts w:hint="eastAsia" w:ascii="仿宋" w:hAnsi="仿宋" w:eastAsia="仿宋"/>
          <w:b w:val="0"/>
          <w:bCs w:val="0"/>
        </w:rPr>
        <w:t>入支出决算总表</w:t>
      </w:r>
      <w:bookmarkEnd w:id="130"/>
      <w:bookmarkEnd w:id="131"/>
    </w:p>
    <w:p>
      <w:pPr>
        <w:pStyle w:val="3"/>
        <w:rPr>
          <w:rFonts w:ascii="仿宋" w:hAnsi="仿宋" w:eastAsia="仿宋"/>
          <w:color w:val="000000"/>
        </w:rPr>
      </w:pPr>
      <w:bookmarkStart w:id="132" w:name="_Toc15396620"/>
      <w:bookmarkStart w:id="133" w:name="_Toc28864_WPSOffice_Level2"/>
      <w:r>
        <w:rPr>
          <w:rFonts w:hint="eastAsia" w:ascii="仿宋" w:hAnsi="仿宋" w:eastAsia="仿宋"/>
          <w:b w:val="0"/>
          <w:color w:val="000000"/>
        </w:rPr>
        <w:t>二、收</w:t>
      </w:r>
      <w:r>
        <w:rPr>
          <w:rStyle w:val="26"/>
          <w:rFonts w:hint="eastAsia" w:ascii="仿宋" w:hAnsi="仿宋" w:eastAsia="仿宋"/>
          <w:b w:val="0"/>
          <w:bCs w:val="0"/>
        </w:rPr>
        <w:t>入决算表</w:t>
      </w:r>
      <w:bookmarkEnd w:id="132"/>
      <w:bookmarkEnd w:id="133"/>
    </w:p>
    <w:p>
      <w:pPr>
        <w:pStyle w:val="3"/>
        <w:rPr>
          <w:rFonts w:ascii="仿宋" w:hAnsi="仿宋" w:eastAsia="仿宋"/>
          <w:color w:val="000000"/>
        </w:rPr>
      </w:pPr>
      <w:bookmarkStart w:id="134" w:name="_Toc15396621"/>
      <w:bookmarkStart w:id="135" w:name="_Toc22072_WPSOffice_Level2"/>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34"/>
      <w:bookmarkEnd w:id="135"/>
    </w:p>
    <w:p>
      <w:pPr>
        <w:pStyle w:val="3"/>
        <w:rPr>
          <w:rFonts w:ascii="仿宋" w:hAnsi="仿宋" w:eastAsia="仿宋"/>
          <w:b w:val="0"/>
          <w:color w:val="000000"/>
        </w:rPr>
      </w:pPr>
      <w:bookmarkStart w:id="136" w:name="_Toc15396622"/>
      <w:bookmarkStart w:id="137" w:name="_Toc8693_WPSOffice_Level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36"/>
      <w:bookmarkEnd w:id="137"/>
    </w:p>
    <w:p>
      <w:pPr>
        <w:pStyle w:val="3"/>
        <w:rPr>
          <w:rStyle w:val="26"/>
          <w:rFonts w:ascii="仿宋" w:hAnsi="仿宋" w:eastAsia="仿宋"/>
          <w:b w:val="0"/>
          <w:bCs w:val="0"/>
        </w:rPr>
      </w:pPr>
      <w:bookmarkStart w:id="138" w:name="_Toc15396623"/>
      <w:bookmarkStart w:id="139" w:name="_Toc14461_WPSOffice_Level2"/>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8"/>
      <w:bookmarkEnd w:id="139"/>
      <w:bookmarkStart w:id="140" w:name="_Toc15396624"/>
    </w:p>
    <w:p>
      <w:pPr>
        <w:pStyle w:val="3"/>
        <w:rPr>
          <w:rFonts w:ascii="仿宋" w:hAnsi="仿宋" w:eastAsia="仿宋"/>
          <w:color w:val="000000"/>
        </w:rPr>
      </w:pPr>
      <w:bookmarkStart w:id="141" w:name="_Toc32025_WPSOffice_Level2"/>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40"/>
      <w:bookmarkEnd w:id="141"/>
    </w:p>
    <w:p>
      <w:pPr>
        <w:pStyle w:val="3"/>
        <w:rPr>
          <w:rFonts w:ascii="仿宋" w:hAnsi="仿宋" w:eastAsia="仿宋"/>
          <w:color w:val="000000"/>
        </w:rPr>
      </w:pPr>
      <w:bookmarkStart w:id="142" w:name="_Toc15396625"/>
      <w:bookmarkStart w:id="143" w:name="_Toc30298_WPSOffice_Level2"/>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42"/>
      <w:bookmarkEnd w:id="143"/>
    </w:p>
    <w:p>
      <w:pPr>
        <w:pStyle w:val="3"/>
        <w:rPr>
          <w:rFonts w:ascii="仿宋" w:hAnsi="仿宋" w:eastAsia="仿宋"/>
          <w:color w:val="000000"/>
        </w:rPr>
      </w:pPr>
      <w:bookmarkStart w:id="144" w:name="_Toc15396626"/>
      <w:bookmarkStart w:id="145" w:name="_Toc22091_WPSOffice_Level2"/>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4"/>
      <w:bookmarkEnd w:id="145"/>
    </w:p>
    <w:p>
      <w:pPr>
        <w:pStyle w:val="3"/>
        <w:rPr>
          <w:rFonts w:ascii="仿宋" w:hAnsi="仿宋" w:eastAsia="仿宋"/>
          <w:color w:val="000000"/>
        </w:rPr>
      </w:pPr>
      <w:bookmarkStart w:id="146" w:name="_Toc15396627"/>
      <w:bookmarkStart w:id="147" w:name="_Toc12423_WPSOffice_Level2"/>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6"/>
      <w:bookmarkEnd w:id="147"/>
    </w:p>
    <w:p>
      <w:pPr>
        <w:pStyle w:val="3"/>
        <w:rPr>
          <w:rFonts w:ascii="仿宋" w:hAnsi="仿宋" w:eastAsia="仿宋"/>
          <w:color w:val="000000"/>
        </w:rPr>
      </w:pPr>
      <w:bookmarkStart w:id="148" w:name="_Toc15396628"/>
      <w:bookmarkStart w:id="149" w:name="_Toc23573_WPSOffice_Level2"/>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8"/>
      <w:bookmarkEnd w:id="149"/>
    </w:p>
    <w:p>
      <w:pPr>
        <w:pStyle w:val="3"/>
        <w:rPr>
          <w:rFonts w:ascii="仿宋" w:hAnsi="仿宋" w:eastAsia="仿宋"/>
          <w:color w:val="000000"/>
        </w:rPr>
      </w:pPr>
      <w:bookmarkStart w:id="150" w:name="_Toc15396629"/>
      <w:bookmarkStart w:id="151" w:name="_Toc29013_WPSOffice_Level2"/>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0"/>
      <w:bookmarkEnd w:id="151"/>
    </w:p>
    <w:p>
      <w:pPr>
        <w:pStyle w:val="3"/>
        <w:rPr>
          <w:rFonts w:ascii="仿宋" w:hAnsi="仿宋" w:eastAsia="仿宋"/>
          <w:color w:val="000000"/>
        </w:rPr>
      </w:pPr>
      <w:bookmarkStart w:id="152" w:name="_Toc15396630"/>
      <w:bookmarkStart w:id="153" w:name="_Toc21959_WPSOffice_Level2"/>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2"/>
      <w:bookmarkEnd w:id="153"/>
    </w:p>
    <w:p>
      <w:pPr>
        <w:pStyle w:val="3"/>
        <w:rPr>
          <w:rFonts w:ascii="仿宋" w:hAnsi="仿宋" w:eastAsia="仿宋"/>
          <w:color w:val="000000" w:themeColor="text1"/>
          <w14:textFill>
            <w14:solidFill>
              <w14:schemeClr w14:val="tx1"/>
            </w14:solidFill>
          </w14:textFill>
        </w:rPr>
      </w:pPr>
      <w:bookmarkStart w:id="154" w:name="_Toc15396631"/>
      <w:bookmarkStart w:id="155" w:name="_Toc14350_WPSOffice_Level2"/>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154"/>
      <w:bookmarkEnd w:id="155"/>
    </w:p>
    <w:sectPr>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83A196C"/>
    <w:rsid w:val="0888720A"/>
    <w:rsid w:val="09DC0D33"/>
    <w:rsid w:val="0C9968C3"/>
    <w:rsid w:val="0E4071FC"/>
    <w:rsid w:val="10C055FF"/>
    <w:rsid w:val="12843224"/>
    <w:rsid w:val="16BB723D"/>
    <w:rsid w:val="1B717F2E"/>
    <w:rsid w:val="206038E4"/>
    <w:rsid w:val="240371BF"/>
    <w:rsid w:val="25D82624"/>
    <w:rsid w:val="2672376B"/>
    <w:rsid w:val="29D26444"/>
    <w:rsid w:val="29FD04D3"/>
    <w:rsid w:val="319F7F4E"/>
    <w:rsid w:val="32171533"/>
    <w:rsid w:val="385F1058"/>
    <w:rsid w:val="3A811B5E"/>
    <w:rsid w:val="41685FD0"/>
    <w:rsid w:val="4B387A3A"/>
    <w:rsid w:val="4DBA5D98"/>
    <w:rsid w:val="4ECE2238"/>
    <w:rsid w:val="53ED1CAD"/>
    <w:rsid w:val="55E5388E"/>
    <w:rsid w:val="5F1C4857"/>
    <w:rsid w:val="656E16E8"/>
    <w:rsid w:val="6B7C0F63"/>
    <w:rsid w:val="6C63549F"/>
    <w:rsid w:val="6DDD194A"/>
    <w:rsid w:val="718F2CAE"/>
    <w:rsid w:val="72734D90"/>
    <w:rsid w:val="7B5E7BF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qFormat/>
    <w:uiPriority w:val="99"/>
    <w:pPr>
      <w:spacing w:beforeAutospacing="1" w:afterAutospacing="1"/>
      <w:jc w:val="left"/>
    </w:pPr>
    <w:rPr>
      <w:rFonts w:cs="Arial Unicode MS"/>
      <w:kern w:val="0"/>
      <w:sz w:val="24"/>
      <w:lang w:bidi="bo-CN"/>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 w:type="paragraph" w:customStyle="1" w:styleId="33">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收支决算对比情况</a:t>
            </a:r>
          </a:p>
        </c:rich>
      </c:tx>
      <c:layout>
        <c:manualLayout>
          <c:xMode val="edge"/>
          <c:yMode val="edge"/>
          <c:x val="0.28018691588785"/>
          <c:y val="0.00679347826086957"/>
        </c:manualLayout>
      </c:layout>
      <c:overlay val="0"/>
      <c:spPr>
        <a:noFill/>
        <a:ln>
          <a:noFill/>
        </a:ln>
        <a:effectLst/>
      </c:spPr>
    </c:title>
    <c:autoTitleDeleted val="0"/>
    <c:plotArea>
      <c:layout/>
      <c:barChart>
        <c:barDir val="col"/>
        <c:grouping val="clustered"/>
        <c:varyColors val="0"/>
        <c:ser>
          <c:idx val="0"/>
          <c:order val="0"/>
          <c:tx>
            <c:strRef>
              <c:f>Sheet1!$A$2</c:f>
              <c:strCache>
                <c:ptCount val="1"/>
                <c:pt idx="0">
                  <c:v>2018年</c:v>
                </c:pt>
              </c:strCache>
            </c:strRef>
          </c:tx>
          <c:spPr>
            <a:solidFill>
              <a:schemeClr val="accent1"/>
            </a:solidFill>
            <a:ln>
              <a:noFill/>
            </a:ln>
            <a:effectLst/>
          </c:spPr>
          <c:invertIfNegative val="0"/>
          <c:dLbls>
            <c:delete val="1"/>
          </c:dLbls>
          <c:cat>
            <c:strRef>
              <c:f>Sheet1!$B$1:$C$1</c:f>
              <c:strCache>
                <c:ptCount val="2"/>
                <c:pt idx="0">
                  <c:v>收入</c:v>
                </c:pt>
                <c:pt idx="1">
                  <c:v>支出</c:v>
                </c:pt>
              </c:strCache>
            </c:strRef>
          </c:cat>
          <c:val>
            <c:numRef>
              <c:f>Sheet1!$B$2:$C$2</c:f>
              <c:numCache>
                <c:formatCode>General</c:formatCode>
                <c:ptCount val="2"/>
                <c:pt idx="0">
                  <c:v>247.07</c:v>
                </c:pt>
                <c:pt idx="1">
                  <c:v>203.23</c:v>
                </c:pt>
              </c:numCache>
            </c:numRef>
          </c:val>
        </c:ser>
        <c:ser>
          <c:idx val="1"/>
          <c:order val="1"/>
          <c:tx>
            <c:strRef>
              <c:f>Sheet1!$A$3</c:f>
              <c:strCache>
                <c:ptCount val="1"/>
                <c:pt idx="0">
                  <c:v>2019年</c:v>
                </c:pt>
              </c:strCache>
            </c:strRef>
          </c:tx>
          <c:spPr>
            <a:solidFill>
              <a:schemeClr val="accent2"/>
            </a:solidFill>
            <a:ln>
              <a:noFill/>
            </a:ln>
            <a:effectLst/>
          </c:spPr>
          <c:invertIfNegative val="0"/>
          <c:dLbls>
            <c:delete val="1"/>
          </c:dLbls>
          <c:cat>
            <c:strRef>
              <c:f>Sheet1!$B$1:$C$1</c:f>
              <c:strCache>
                <c:ptCount val="2"/>
                <c:pt idx="0">
                  <c:v>收入</c:v>
                </c:pt>
                <c:pt idx="1">
                  <c:v>支出</c:v>
                </c:pt>
              </c:strCache>
            </c:strRef>
          </c:cat>
          <c:val>
            <c:numRef>
              <c:f>Sheet1!$B$3:$C$3</c:f>
              <c:numCache>
                <c:formatCode>General</c:formatCode>
                <c:ptCount val="2"/>
                <c:pt idx="0">
                  <c:v>227.9</c:v>
                </c:pt>
                <c:pt idx="1">
                  <c:v>227.9</c:v>
                </c:pt>
              </c:numCache>
            </c:numRef>
          </c:val>
        </c:ser>
        <c:dLbls>
          <c:showLegendKey val="0"/>
          <c:showVal val="0"/>
          <c:showCatName val="0"/>
          <c:showSerName val="0"/>
          <c:showPercent val="0"/>
          <c:showBubbleSize val="0"/>
        </c:dLbls>
        <c:gapWidth val="219"/>
        <c:overlap val="-27"/>
        <c:axId val="113681759"/>
        <c:axId val="397457112"/>
      </c:barChart>
      <c:catAx>
        <c:axId val="1136817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7457112"/>
        <c:crosses val="autoZero"/>
        <c:auto val="1"/>
        <c:lblAlgn val="ctr"/>
        <c:lblOffset val="100"/>
        <c:noMultiLvlLbl val="0"/>
      </c:catAx>
      <c:valAx>
        <c:axId val="397457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3681759"/>
        <c:crosses val="autoZero"/>
        <c:crossBetween val="between"/>
      </c:valAx>
      <c:spPr>
        <a:noFill/>
        <a:ln>
          <a:noFill/>
        </a:ln>
        <a:effectLst/>
      </c:spPr>
    </c:plotArea>
    <c:legend>
      <c:legendPos val="b"/>
      <c:layout>
        <c:manualLayout>
          <c:xMode val="edge"/>
          <c:yMode val="edge"/>
          <c:x val="0.351869158878505"/>
          <c:y val="0.89334239130434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manualLayout>
          <c:xMode val="edge"/>
          <c:yMode val="edge"/>
          <c:x val="0.357438345266508"/>
          <c:y val="0.0263291139240506"/>
        </c:manualLayout>
      </c:layout>
      <c:overlay val="0"/>
      <c:spPr>
        <a:noFill/>
        <a:ln>
          <a:noFill/>
        </a:ln>
        <a:effectLst/>
      </c:spPr>
    </c:title>
    <c:autoTitleDeleted val="0"/>
    <c:plotArea>
      <c:layout/>
      <c:pieChart>
        <c:varyColors val="1"/>
        <c:ser>
          <c:idx val="0"/>
          <c:order val="0"/>
          <c:tx>
            <c:strRef>
              <c:f>Sheet1!$A$2</c:f>
              <c:strCache>
                <c:ptCount val="1"/>
                <c:pt idx="0">
                  <c:v>财政拨款收入</c:v>
                </c:pt>
              </c:strCache>
            </c:strRef>
          </c:tx>
          <c:spPr/>
          <c:explosion val="0"/>
          <c:dPt>
            <c:idx val="0"/>
            <c:bubble3D val="0"/>
            <c:explosion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2019年</c:v>
                </c:pt>
              </c:strCache>
            </c:strRef>
          </c:cat>
          <c:val>
            <c:numRef>
              <c:f>Sheet1!$B$2</c:f>
              <c:numCache>
                <c:formatCode>0%</c:formatCode>
                <c:ptCount val="1"/>
                <c:pt idx="0">
                  <c:v>1</c:v>
                </c:pt>
              </c:numCache>
            </c:numRef>
          </c:val>
        </c:ser>
        <c:ser>
          <c:idx val="1"/>
          <c:order val="1"/>
          <c:tx>
            <c:strRef>
              <c:f>Sheet1!$A$3</c:f>
              <c:strCache>
                <c:ptCount val="1"/>
                <c:pt idx="0">
                  <c:v>上级补助收入</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2019年</c:v>
                </c:pt>
              </c:strCache>
            </c:strRef>
          </c:cat>
          <c:val>
            <c:numRef>
              <c:f>Sheet1!$B$3</c:f>
              <c:numCache>
                <c:formatCode>0%</c:formatCode>
                <c:ptCount val="1"/>
                <c:pt idx="0">
                  <c:v>0</c:v>
                </c:pt>
              </c:numCache>
            </c:numRef>
          </c:val>
        </c:ser>
        <c:ser>
          <c:idx val="2"/>
          <c:order val="2"/>
          <c:tx>
            <c:strRef>
              <c:f>Sheet1!$A$4</c:f>
              <c:strCache>
                <c:ptCount val="1"/>
                <c:pt idx="0">
                  <c:v>经营收入</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2019年</c:v>
                </c:pt>
              </c:strCache>
            </c:strRef>
          </c:cat>
          <c:val>
            <c:numRef>
              <c:f>Sheet1!$B$4</c:f>
              <c:numCache>
                <c:formatCode>0%</c:formatCode>
                <c:ptCount val="1"/>
                <c:pt idx="0">
                  <c:v>0</c:v>
                </c:pt>
              </c:numCache>
            </c:numRef>
          </c:val>
        </c:ser>
        <c:ser>
          <c:idx val="3"/>
          <c:order val="3"/>
          <c:tx>
            <c:strRef>
              <c:f>Sheet1!$A$5</c:f>
              <c:strCache>
                <c:ptCount val="1"/>
                <c:pt idx="0">
                  <c:v>政府性基金收入</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2019年</c:v>
                </c:pt>
              </c:strCache>
            </c:strRef>
          </c:cat>
          <c:val>
            <c:numRef>
              <c:f>Sheet1!$B$5</c:f>
              <c:numCache>
                <c:formatCode>0%</c:formatCode>
                <c:ptCount val="1"/>
                <c:pt idx="0">
                  <c:v>0</c:v>
                </c:pt>
              </c:numCache>
            </c:numRef>
          </c:val>
        </c:ser>
        <c:ser>
          <c:idx val="4"/>
          <c:order val="4"/>
          <c:tx>
            <c:strRef>
              <c:f>Sheet1!$A$6</c:f>
              <c:strCache>
                <c:ptCount val="1"/>
                <c:pt idx="0">
                  <c:v>附属单位上缴收入</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2019年</c:v>
                </c:pt>
              </c:strCache>
            </c:strRef>
          </c:cat>
          <c:val>
            <c:numRef>
              <c:f>Sheet1!$B$6</c:f>
              <c:numCache>
                <c:formatCode>0%</c:formatCode>
                <c:ptCount val="1"/>
                <c:pt idx="0">
                  <c:v>0</c:v>
                </c:pt>
              </c:numCache>
            </c:numRef>
          </c:val>
        </c:ser>
        <c:ser>
          <c:idx val="5"/>
          <c:order val="5"/>
          <c:tx>
            <c:strRef>
              <c:f>Sheet1!$A$7</c:f>
              <c:strCache>
                <c:ptCount val="1"/>
                <c:pt idx="0">
                  <c:v>其他收入</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2019年</c:v>
                </c:pt>
              </c:strCache>
            </c:strRef>
          </c:cat>
          <c:val>
            <c:numRef>
              <c:f>Sheet1!$B$7</c:f>
              <c:numCache>
                <c:formatCode>0%</c:formatCode>
                <c:ptCount val="1"/>
                <c:pt idx="0">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309916419914683"/>
          <c:y val="0.0182338758288125"/>
        </c:manualLayout>
      </c:layout>
      <c:overlay val="0"/>
      <c:spPr>
        <a:noFill/>
        <a:ln>
          <a:noFill/>
        </a:ln>
        <a:effectLst/>
      </c:spPr>
    </c:title>
    <c:autoTitleDeleted val="0"/>
    <c:plotArea>
      <c:layout/>
      <c:pieChart>
        <c:varyColors val="1"/>
        <c:ser>
          <c:idx val="0"/>
          <c:order val="0"/>
          <c:tx>
            <c:strRef>
              <c:f>Sheet1!$B$1</c:f>
              <c:strCache>
                <c:ptCount val="1"/>
                <c:pt idx="0">
                  <c:v>2019年</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0.6176</c:v>
                </c:pt>
                <c:pt idx="1">
                  <c:v>0.3824</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财政收入</c:v>
                </c:pt>
              </c:strCache>
            </c:strRef>
          </c:tx>
          <c:spPr>
            <a:solidFill>
              <a:schemeClr val="accent1"/>
            </a:solidFill>
            <a:ln>
              <a:noFill/>
            </a:ln>
            <a:effectLst/>
          </c:spPr>
          <c:invertIfNegative val="0"/>
          <c:dLbls>
            <c:delete val="1"/>
          </c:dLbls>
          <c:cat>
            <c:numRef>
              <c:f>Sheet1!$A$2:$A$3</c:f>
              <c:numCache>
                <c:formatCode>General</c:formatCode>
                <c:ptCount val="2"/>
                <c:pt idx="0">
                  <c:v>2018</c:v>
                </c:pt>
                <c:pt idx="1">
                  <c:v>2019</c:v>
                </c:pt>
              </c:numCache>
            </c:numRef>
          </c:cat>
          <c:val>
            <c:numRef>
              <c:f>Sheet1!$B$2:$B$3</c:f>
              <c:numCache>
                <c:formatCode>General</c:formatCode>
                <c:ptCount val="2"/>
                <c:pt idx="0">
                  <c:v>246.51</c:v>
                </c:pt>
                <c:pt idx="1">
                  <c:v>227.43</c:v>
                </c:pt>
              </c:numCache>
            </c:numRef>
          </c:val>
        </c:ser>
        <c:ser>
          <c:idx val="1"/>
          <c:order val="1"/>
          <c:tx>
            <c:strRef>
              <c:f>Sheet1!$C$1</c:f>
              <c:strCache>
                <c:ptCount val="1"/>
                <c:pt idx="0">
                  <c:v>财政支出</c:v>
                </c:pt>
              </c:strCache>
            </c:strRef>
          </c:tx>
          <c:spPr>
            <a:solidFill>
              <a:schemeClr val="accent2"/>
            </a:solidFill>
            <a:ln>
              <a:noFill/>
            </a:ln>
            <a:effectLst/>
          </c:spPr>
          <c:invertIfNegative val="0"/>
          <c:dLbls>
            <c:delete val="1"/>
          </c:dLbls>
          <c:cat>
            <c:numRef>
              <c:f>Sheet1!$A$2:$A$3</c:f>
              <c:numCache>
                <c:formatCode>General</c:formatCode>
                <c:ptCount val="2"/>
                <c:pt idx="0">
                  <c:v>2018</c:v>
                </c:pt>
                <c:pt idx="1">
                  <c:v>2019</c:v>
                </c:pt>
              </c:numCache>
            </c:numRef>
          </c:cat>
          <c:val>
            <c:numRef>
              <c:f>Sheet1!$C$2:$C$3</c:f>
              <c:numCache>
                <c:formatCode>General</c:formatCode>
                <c:ptCount val="2"/>
                <c:pt idx="0">
                  <c:v>203.14</c:v>
                </c:pt>
                <c:pt idx="1">
                  <c:v>226.41</c:v>
                </c:pt>
              </c:numCache>
            </c:numRef>
          </c:val>
        </c:ser>
        <c:dLbls>
          <c:showLegendKey val="0"/>
          <c:showVal val="0"/>
          <c:showCatName val="0"/>
          <c:showSerName val="0"/>
          <c:showPercent val="0"/>
          <c:showBubbleSize val="0"/>
        </c:dLbls>
        <c:gapWidth val="219"/>
        <c:overlap val="-27"/>
        <c:axId val="447271659"/>
        <c:axId val="259073676"/>
      </c:barChart>
      <c:catAx>
        <c:axId val="4472716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9073676"/>
        <c:crosses val="autoZero"/>
        <c:auto val="1"/>
        <c:lblAlgn val="ctr"/>
        <c:lblOffset val="100"/>
        <c:noMultiLvlLbl val="0"/>
      </c:catAx>
      <c:valAx>
        <c:axId val="2590736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727165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财政拨款支出决算对比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delete val="1"/>
          </c:dLbls>
          <c:cat>
            <c:numRef>
              <c:f>Sheet1!$A$2:$A$3</c:f>
              <c:numCache>
                <c:formatCode>General</c:formatCode>
                <c:ptCount val="2"/>
                <c:pt idx="0">
                  <c:v>2018</c:v>
                </c:pt>
                <c:pt idx="1">
                  <c:v>2019</c:v>
                </c:pt>
              </c:numCache>
            </c:numRef>
          </c:cat>
          <c:val>
            <c:numRef>
              <c:f>Sheet1!$B$2:$B$3</c:f>
              <c:numCache>
                <c:formatCode>General</c:formatCode>
                <c:ptCount val="2"/>
                <c:pt idx="0">
                  <c:v>203.14</c:v>
                </c:pt>
                <c:pt idx="1">
                  <c:v>226.41</c:v>
                </c:pt>
              </c:numCache>
            </c:numRef>
          </c:val>
        </c:ser>
        <c:dLbls>
          <c:showLegendKey val="0"/>
          <c:showVal val="0"/>
          <c:showCatName val="0"/>
          <c:showSerName val="0"/>
          <c:showPercent val="0"/>
          <c:showBubbleSize val="0"/>
        </c:dLbls>
        <c:gapWidth val="219"/>
        <c:overlap val="-27"/>
        <c:axId val="551251424"/>
        <c:axId val="208797709"/>
      </c:barChart>
      <c:catAx>
        <c:axId val="5512514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8797709"/>
        <c:crosses val="autoZero"/>
        <c:auto val="1"/>
        <c:lblAlgn val="ctr"/>
        <c:lblOffset val="100"/>
        <c:noMultiLvlLbl val="0"/>
      </c:catAx>
      <c:valAx>
        <c:axId val="20879770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125142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财政拨款支出结构对比</a:t>
            </a:r>
          </a:p>
        </c:rich>
      </c:tx>
      <c:layout/>
      <c:overlay val="0"/>
      <c:spPr>
        <a:noFill/>
        <a:ln>
          <a:noFill/>
        </a:ln>
        <a:effectLst/>
      </c:spPr>
    </c:title>
    <c:autoTitleDeleted val="0"/>
    <c:plotArea>
      <c:layout/>
      <c:pieChart>
        <c:varyColors val="1"/>
        <c:ser>
          <c:idx val="0"/>
          <c:order val="0"/>
          <c:tx>
            <c:strRef>
              <c:f>Sheet1!$B$1</c:f>
              <c:strCache>
                <c:ptCount val="1"/>
                <c:pt idx="0">
                  <c:v>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社会保障和就业支出</c:v>
                </c:pt>
                <c:pt idx="1">
                  <c:v>卫生健康支出</c:v>
                </c:pt>
                <c:pt idx="2">
                  <c:v>交通运输支出</c:v>
                </c:pt>
                <c:pt idx="3">
                  <c:v>住房保障支出</c:v>
                </c:pt>
              </c:strCache>
            </c:strRef>
          </c:cat>
          <c:val>
            <c:numRef>
              <c:f>Sheet1!$B$2:$B$5</c:f>
              <c:numCache>
                <c:formatCode>General</c:formatCode>
                <c:ptCount val="4"/>
                <c:pt idx="0">
                  <c:v>17.43</c:v>
                </c:pt>
                <c:pt idx="1">
                  <c:v>7.36</c:v>
                </c:pt>
                <c:pt idx="2">
                  <c:v>191.93</c:v>
                </c:pt>
                <c:pt idx="3">
                  <c:v>9.69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beab5fb-5193-48f0-8102-810ddf864df0}"/>
        <w:style w:val=""/>
        <w:category>
          <w:name w:val="常规"/>
          <w:gallery w:val="placeholder"/>
        </w:category>
        <w:types>
          <w:type w:val="bbPlcHdr"/>
        </w:types>
        <w:behaviors>
          <w:behavior w:val="content"/>
        </w:behaviors>
        <w:description w:val=""/>
        <w:guid w:val="{9beab5fb-5193-48f0-8102-810ddf864df0}"/>
      </w:docPartPr>
      <w:docPartBody>
        <w:p>
          <w:r>
            <w:rPr>
              <w:color w:val="808080"/>
            </w:rPr>
            <w:t>单击此处输入文字。</w:t>
          </w:r>
        </w:p>
      </w:docPartBody>
    </w:docPart>
    <w:docPart>
      <w:docPartPr>
        <w:name w:val="{09ff6551-f0e2-4b1e-9002-75a51e1b51b7}"/>
        <w:style w:val=""/>
        <w:category>
          <w:name w:val="常规"/>
          <w:gallery w:val="placeholder"/>
        </w:category>
        <w:types>
          <w:type w:val="bbPlcHdr"/>
        </w:types>
        <w:behaviors>
          <w:behavior w:val="content"/>
        </w:behaviors>
        <w:description w:val=""/>
        <w:guid w:val="{09ff6551-f0e2-4b1e-9002-75a51e1b51b7}"/>
      </w:docPartPr>
      <w:docPartBody>
        <w:p>
          <w:r>
            <w:rPr>
              <w:color w:val="808080"/>
            </w:rPr>
            <w:t>单击此处输入文字。</w:t>
          </w:r>
        </w:p>
      </w:docPartBody>
    </w:docPart>
    <w:docPart>
      <w:docPartPr>
        <w:name w:val="{1b30784c-12b3-439f-a3d5-324723ae1baa}"/>
        <w:style w:val=""/>
        <w:category>
          <w:name w:val="常规"/>
          <w:gallery w:val="placeholder"/>
        </w:category>
        <w:types>
          <w:type w:val="bbPlcHdr"/>
        </w:types>
        <w:behaviors>
          <w:behavior w:val="content"/>
        </w:behaviors>
        <w:description w:val=""/>
        <w:guid w:val="{1b30784c-12b3-439f-a3d5-324723ae1baa}"/>
      </w:docPartPr>
      <w:docPartBody>
        <w:p>
          <w:r>
            <w:rPr>
              <w:color w:val="808080"/>
            </w:rPr>
            <w:t>单击此处输入文字。</w:t>
          </w:r>
        </w:p>
      </w:docPartBody>
    </w:docPart>
    <w:docPart>
      <w:docPartPr>
        <w:name w:val="{ba4ebf0c-09c3-4c70-a99e-a2a1a31fcf6a}"/>
        <w:style w:val=""/>
        <w:category>
          <w:name w:val="常规"/>
          <w:gallery w:val="placeholder"/>
        </w:category>
        <w:types>
          <w:type w:val="bbPlcHdr"/>
        </w:types>
        <w:behaviors>
          <w:behavior w:val="content"/>
        </w:behaviors>
        <w:description w:val=""/>
        <w:guid w:val="{ba4ebf0c-09c3-4c70-a99e-a2a1a31fcf6a}"/>
      </w:docPartPr>
      <w:docPartBody>
        <w:p>
          <w:r>
            <w:rPr>
              <w:color w:val="808080"/>
            </w:rPr>
            <w:t>单击此处输入文字。</w:t>
          </w:r>
        </w:p>
      </w:docPartBody>
    </w:docPart>
    <w:docPart>
      <w:docPartPr>
        <w:name w:val="{aa18a524-03d1-4f1a-be57-a064bafe7633}"/>
        <w:style w:val=""/>
        <w:category>
          <w:name w:val="常规"/>
          <w:gallery w:val="placeholder"/>
        </w:category>
        <w:types>
          <w:type w:val="bbPlcHdr"/>
        </w:types>
        <w:behaviors>
          <w:behavior w:val="content"/>
        </w:behaviors>
        <w:description w:val=""/>
        <w:guid w:val="{aa18a524-03d1-4f1a-be57-a064bafe7633}"/>
      </w:docPartPr>
      <w:docPartBody>
        <w:p>
          <w:r>
            <w:rPr>
              <w:color w:val="808080"/>
            </w:rPr>
            <w:t>单击此处输入文字。</w:t>
          </w:r>
        </w:p>
      </w:docPartBody>
    </w:docPart>
    <w:docPart>
      <w:docPartPr>
        <w:name w:val="{e3ac9a0d-ca6a-4f88-9a81-447f0d41c397}"/>
        <w:style w:val=""/>
        <w:category>
          <w:name w:val="常规"/>
          <w:gallery w:val="placeholder"/>
        </w:category>
        <w:types>
          <w:type w:val="bbPlcHdr"/>
        </w:types>
        <w:behaviors>
          <w:behavior w:val="content"/>
        </w:behaviors>
        <w:description w:val=""/>
        <w:guid w:val="{e3ac9a0d-ca6a-4f88-9a81-447f0d41c397}"/>
      </w:docPartPr>
      <w:docPartBody>
        <w:p>
          <w:r>
            <w:rPr>
              <w:color w:val="808080"/>
            </w:rPr>
            <w:t>单击此处输入文字。</w:t>
          </w:r>
        </w:p>
      </w:docPartBody>
    </w:docPart>
    <w:docPart>
      <w:docPartPr>
        <w:name w:val="{78c3c947-413f-48b7-ad93-f8026ae67a58}"/>
        <w:style w:val=""/>
        <w:category>
          <w:name w:val="常规"/>
          <w:gallery w:val="placeholder"/>
        </w:category>
        <w:types>
          <w:type w:val="bbPlcHdr"/>
        </w:types>
        <w:behaviors>
          <w:behavior w:val="content"/>
        </w:behaviors>
        <w:description w:val=""/>
        <w:guid w:val="{78c3c947-413f-48b7-ad93-f8026ae67a58}"/>
      </w:docPartPr>
      <w:docPartBody>
        <w:p>
          <w:r>
            <w:rPr>
              <w:color w:val="808080"/>
            </w:rPr>
            <w:t>单击此处输入文字。</w:t>
          </w:r>
        </w:p>
      </w:docPartBody>
    </w:docPart>
    <w:docPart>
      <w:docPartPr>
        <w:name w:val="{6e2fb671-165f-4d98-8f88-ccaa4cb7331c}"/>
        <w:style w:val=""/>
        <w:category>
          <w:name w:val="常规"/>
          <w:gallery w:val="placeholder"/>
        </w:category>
        <w:types>
          <w:type w:val="bbPlcHdr"/>
        </w:types>
        <w:behaviors>
          <w:behavior w:val="content"/>
        </w:behaviors>
        <w:description w:val=""/>
        <w:guid w:val="{6e2fb671-165f-4d98-8f88-ccaa4cb7331c}"/>
      </w:docPartPr>
      <w:docPartBody>
        <w:p>
          <w:r>
            <w:rPr>
              <w:color w:val="808080"/>
            </w:rPr>
            <w:t>单击此处输入文字。</w:t>
          </w:r>
        </w:p>
      </w:docPartBody>
    </w:docPart>
    <w:docPart>
      <w:docPartPr>
        <w:name w:val="{6743c6b6-b7cd-434e-8df9-5b2ce5d70ddd}"/>
        <w:style w:val=""/>
        <w:category>
          <w:name w:val="常规"/>
          <w:gallery w:val="placeholder"/>
        </w:category>
        <w:types>
          <w:type w:val="bbPlcHdr"/>
        </w:types>
        <w:behaviors>
          <w:behavior w:val="content"/>
        </w:behaviors>
        <w:description w:val=""/>
        <w:guid w:val="{6743c6b6-b7cd-434e-8df9-5b2ce5d70ddd}"/>
      </w:docPartPr>
      <w:docPartBody>
        <w:p>
          <w:r>
            <w:rPr>
              <w:color w:val="808080"/>
            </w:rPr>
            <w:t>单击此处输入文字。</w:t>
          </w:r>
        </w:p>
      </w:docPartBody>
    </w:docPart>
    <w:docPart>
      <w:docPartPr>
        <w:name w:val="{ad8352b3-db4a-4d8a-bd8b-fd8cd091d614}"/>
        <w:style w:val=""/>
        <w:category>
          <w:name w:val="常规"/>
          <w:gallery w:val="placeholder"/>
        </w:category>
        <w:types>
          <w:type w:val="bbPlcHdr"/>
        </w:types>
        <w:behaviors>
          <w:behavior w:val="content"/>
        </w:behaviors>
        <w:description w:val=""/>
        <w:guid w:val="{ad8352b3-db4a-4d8a-bd8b-fd8cd091d614}"/>
      </w:docPartPr>
      <w:docPartBody>
        <w:p>
          <w:r>
            <w:rPr>
              <w:color w:val="808080"/>
            </w:rPr>
            <w:t>单击此处输入文字。</w:t>
          </w:r>
        </w:p>
      </w:docPartBody>
    </w:docPart>
    <w:docPart>
      <w:docPartPr>
        <w:name w:val="{9e6470e5-d6b9-4228-8da4-f2851fe0088c}"/>
        <w:style w:val=""/>
        <w:category>
          <w:name w:val="常规"/>
          <w:gallery w:val="placeholder"/>
        </w:category>
        <w:types>
          <w:type w:val="bbPlcHdr"/>
        </w:types>
        <w:behaviors>
          <w:behavior w:val="content"/>
        </w:behaviors>
        <w:description w:val=""/>
        <w:guid w:val="{9e6470e5-d6b9-4228-8da4-f2851fe0088c}"/>
      </w:docPartPr>
      <w:docPartBody>
        <w:p>
          <w:r>
            <w:rPr>
              <w:color w:val="808080"/>
            </w:rPr>
            <w:t>单击此处输入文字。</w:t>
          </w:r>
        </w:p>
      </w:docPartBody>
    </w:docPart>
    <w:docPart>
      <w:docPartPr>
        <w:name w:val="{18e1a6c8-5237-46d0-bbfa-3c72235a119e}"/>
        <w:style w:val=""/>
        <w:category>
          <w:name w:val="常规"/>
          <w:gallery w:val="placeholder"/>
        </w:category>
        <w:types>
          <w:type w:val="bbPlcHdr"/>
        </w:types>
        <w:behaviors>
          <w:behavior w:val="content"/>
        </w:behaviors>
        <w:description w:val=""/>
        <w:guid w:val="{18e1a6c8-5237-46d0-bbfa-3c72235a119e}"/>
      </w:docPartPr>
      <w:docPartBody>
        <w:p>
          <w:r>
            <w:rPr>
              <w:color w:val="808080"/>
            </w:rPr>
            <w:t>单击此处输入文字。</w:t>
          </w:r>
        </w:p>
      </w:docPartBody>
    </w:docPart>
    <w:docPart>
      <w:docPartPr>
        <w:name w:val="{f3b8f373-50b2-4473-bd7c-c2ee504f5cd6}"/>
        <w:style w:val=""/>
        <w:category>
          <w:name w:val="常规"/>
          <w:gallery w:val="placeholder"/>
        </w:category>
        <w:types>
          <w:type w:val="bbPlcHdr"/>
        </w:types>
        <w:behaviors>
          <w:behavior w:val="content"/>
        </w:behaviors>
        <w:description w:val=""/>
        <w:guid w:val="{f3b8f373-50b2-4473-bd7c-c2ee504f5cd6}"/>
      </w:docPartPr>
      <w:docPartBody>
        <w:p>
          <w:r>
            <w:rPr>
              <w:color w:val="808080"/>
            </w:rPr>
            <w:t>单击此处输入文字。</w:t>
          </w:r>
        </w:p>
      </w:docPartBody>
    </w:docPart>
    <w:docPart>
      <w:docPartPr>
        <w:name w:val="{982063d6-1872-46cb-84c4-a4b90f9df9e1}"/>
        <w:style w:val=""/>
        <w:category>
          <w:name w:val="常规"/>
          <w:gallery w:val="placeholder"/>
        </w:category>
        <w:types>
          <w:type w:val="bbPlcHdr"/>
        </w:types>
        <w:behaviors>
          <w:behavior w:val="content"/>
        </w:behaviors>
        <w:description w:val=""/>
        <w:guid w:val="{982063d6-1872-46cb-84c4-a4b90f9df9e1}"/>
      </w:docPartPr>
      <w:docPartBody>
        <w:p>
          <w:r>
            <w:rPr>
              <w:color w:val="808080"/>
            </w:rPr>
            <w:t>单击此处输入文字。</w:t>
          </w:r>
        </w:p>
      </w:docPartBody>
    </w:docPart>
    <w:docPart>
      <w:docPartPr>
        <w:name w:val="{9d9b2b8e-99ca-4058-b600-ce38ad44d9e9}"/>
        <w:style w:val=""/>
        <w:category>
          <w:name w:val="常规"/>
          <w:gallery w:val="placeholder"/>
        </w:category>
        <w:types>
          <w:type w:val="bbPlcHdr"/>
        </w:types>
        <w:behaviors>
          <w:behavior w:val="content"/>
        </w:behaviors>
        <w:description w:val=""/>
        <w:guid w:val="{9d9b2b8e-99ca-4058-b600-ce38ad44d9e9}"/>
      </w:docPartPr>
      <w:docPartBody>
        <w:p>
          <w:r>
            <w:rPr>
              <w:color w:val="808080"/>
            </w:rPr>
            <w:t>单击此处输入文字。</w:t>
          </w:r>
        </w:p>
      </w:docPartBody>
    </w:docPart>
    <w:docPart>
      <w:docPartPr>
        <w:name w:val="{2dc9f08e-c3c5-43ed-9e21-b2d044c656be}"/>
        <w:style w:val=""/>
        <w:category>
          <w:name w:val="常规"/>
          <w:gallery w:val="placeholder"/>
        </w:category>
        <w:types>
          <w:type w:val="bbPlcHdr"/>
        </w:types>
        <w:behaviors>
          <w:behavior w:val="content"/>
        </w:behaviors>
        <w:description w:val=""/>
        <w:guid w:val="{2dc9f08e-c3c5-43ed-9e21-b2d044c656be}"/>
      </w:docPartPr>
      <w:docPartBody>
        <w:p>
          <w:r>
            <w:rPr>
              <w:color w:val="808080"/>
            </w:rPr>
            <w:t>单击此处输入文字。</w:t>
          </w:r>
        </w:p>
      </w:docPartBody>
    </w:docPart>
    <w:docPart>
      <w:docPartPr>
        <w:name w:val="{e467b6eb-3df5-47c3-a538-f9a779d3a38c}"/>
        <w:style w:val=""/>
        <w:category>
          <w:name w:val="常规"/>
          <w:gallery w:val="placeholder"/>
        </w:category>
        <w:types>
          <w:type w:val="bbPlcHdr"/>
        </w:types>
        <w:behaviors>
          <w:behavior w:val="content"/>
        </w:behaviors>
        <w:description w:val=""/>
        <w:guid w:val="{e467b6eb-3df5-47c3-a538-f9a779d3a38c}"/>
      </w:docPartPr>
      <w:docPartBody>
        <w:p>
          <w:r>
            <w:rPr>
              <w:color w:val="808080"/>
            </w:rPr>
            <w:t>单击此处输入文字。</w:t>
          </w:r>
        </w:p>
      </w:docPartBody>
    </w:docPart>
    <w:docPart>
      <w:docPartPr>
        <w:name w:val="{36ca84a8-62c6-4c1c-98bb-6c8791cf4164}"/>
        <w:style w:val=""/>
        <w:category>
          <w:name w:val="常规"/>
          <w:gallery w:val="placeholder"/>
        </w:category>
        <w:types>
          <w:type w:val="bbPlcHdr"/>
        </w:types>
        <w:behaviors>
          <w:behavior w:val="content"/>
        </w:behaviors>
        <w:description w:val=""/>
        <w:guid w:val="{36ca84a8-62c6-4c1c-98bb-6c8791cf4164}"/>
      </w:docPartPr>
      <w:docPartBody>
        <w:p>
          <w:r>
            <w:rPr>
              <w:color w:val="808080"/>
            </w:rPr>
            <w:t>单击此处输入文字。</w:t>
          </w:r>
        </w:p>
      </w:docPartBody>
    </w:docPart>
    <w:docPart>
      <w:docPartPr>
        <w:name w:val="{bb99560a-48d7-459f-ae9f-6e17095e8f6d}"/>
        <w:style w:val=""/>
        <w:category>
          <w:name w:val="常规"/>
          <w:gallery w:val="placeholder"/>
        </w:category>
        <w:types>
          <w:type w:val="bbPlcHdr"/>
        </w:types>
        <w:behaviors>
          <w:behavior w:val="content"/>
        </w:behaviors>
        <w:description w:val=""/>
        <w:guid w:val="{bb99560a-48d7-459f-ae9f-6e17095e8f6d}"/>
      </w:docPartPr>
      <w:docPartBody>
        <w:p>
          <w:r>
            <w:rPr>
              <w:color w:val="808080"/>
            </w:rPr>
            <w:t>单击此处输入文字。</w:t>
          </w:r>
        </w:p>
      </w:docPartBody>
    </w:docPart>
    <w:docPart>
      <w:docPartPr>
        <w:name w:val="{d8a35d9f-da9f-4fc8-9483-5c1355879f69}"/>
        <w:style w:val=""/>
        <w:category>
          <w:name w:val="常规"/>
          <w:gallery w:val="placeholder"/>
        </w:category>
        <w:types>
          <w:type w:val="bbPlcHdr"/>
        </w:types>
        <w:behaviors>
          <w:behavior w:val="content"/>
        </w:behaviors>
        <w:description w:val=""/>
        <w:guid w:val="{d8a35d9f-da9f-4fc8-9483-5c1355879f69}"/>
      </w:docPartPr>
      <w:docPartBody>
        <w:p>
          <w:r>
            <w:rPr>
              <w:color w:val="808080"/>
            </w:rPr>
            <w:t>单击此处输入文字。</w:t>
          </w:r>
        </w:p>
      </w:docPartBody>
    </w:docPart>
    <w:docPart>
      <w:docPartPr>
        <w:name w:val="{7631650b-0be2-4da4-9317-9499414857c9}"/>
        <w:style w:val=""/>
        <w:category>
          <w:name w:val="常规"/>
          <w:gallery w:val="placeholder"/>
        </w:category>
        <w:types>
          <w:type w:val="bbPlcHdr"/>
        </w:types>
        <w:behaviors>
          <w:behavior w:val="content"/>
        </w:behaviors>
        <w:description w:val=""/>
        <w:guid w:val="{7631650b-0be2-4da4-9317-9499414857c9}"/>
      </w:docPartPr>
      <w:docPartBody>
        <w:p>
          <w:r>
            <w:rPr>
              <w:color w:val="808080"/>
            </w:rPr>
            <w:t>单击此处输入文字。</w:t>
          </w:r>
        </w:p>
      </w:docPartBody>
    </w:docPart>
    <w:docPart>
      <w:docPartPr>
        <w:name w:val="{05dea995-fbe7-44d2-88d1-6dcffbd99048}"/>
        <w:style w:val=""/>
        <w:category>
          <w:name w:val="常规"/>
          <w:gallery w:val="placeholder"/>
        </w:category>
        <w:types>
          <w:type w:val="bbPlcHdr"/>
        </w:types>
        <w:behaviors>
          <w:behavior w:val="content"/>
        </w:behaviors>
        <w:description w:val=""/>
        <w:guid w:val="{05dea995-fbe7-44d2-88d1-6dcffbd99048}"/>
      </w:docPartPr>
      <w:docPartBody>
        <w:p>
          <w:r>
            <w:rPr>
              <w:color w:val="808080"/>
            </w:rPr>
            <w:t>单击此处输入文字。</w:t>
          </w:r>
        </w:p>
      </w:docPartBody>
    </w:docPart>
    <w:docPart>
      <w:docPartPr>
        <w:name w:val="{ee52d551-c48c-4781-812a-bee5f2f17579}"/>
        <w:style w:val=""/>
        <w:category>
          <w:name w:val="常规"/>
          <w:gallery w:val="placeholder"/>
        </w:category>
        <w:types>
          <w:type w:val="bbPlcHdr"/>
        </w:types>
        <w:behaviors>
          <w:behavior w:val="content"/>
        </w:behaviors>
        <w:description w:val=""/>
        <w:guid w:val="{ee52d551-c48c-4781-812a-bee5f2f17579}"/>
      </w:docPartPr>
      <w:docPartBody>
        <w:p>
          <w:r>
            <w:rPr>
              <w:color w:val="808080"/>
            </w:rPr>
            <w:t>单击此处输入文字。</w:t>
          </w:r>
        </w:p>
      </w:docPartBody>
    </w:docPart>
    <w:docPart>
      <w:docPartPr>
        <w:name w:val="{19ffbc5a-ecb8-469f-901a-4a9c8e68bd22}"/>
        <w:style w:val=""/>
        <w:category>
          <w:name w:val="常规"/>
          <w:gallery w:val="placeholder"/>
        </w:category>
        <w:types>
          <w:type w:val="bbPlcHdr"/>
        </w:types>
        <w:behaviors>
          <w:behavior w:val="content"/>
        </w:behaviors>
        <w:description w:val=""/>
        <w:guid w:val="{19ffbc5a-ecb8-469f-901a-4a9c8e68bd22}"/>
      </w:docPartPr>
      <w:docPartBody>
        <w:p>
          <w:r>
            <w:rPr>
              <w:color w:val="808080"/>
            </w:rPr>
            <w:t>单击此处输入文字。</w:t>
          </w:r>
        </w:p>
      </w:docPartBody>
    </w:docPart>
    <w:docPart>
      <w:docPartPr>
        <w:name w:val="{180a2d65-4383-4dfa-8424-a51d7a12667d}"/>
        <w:style w:val=""/>
        <w:category>
          <w:name w:val="常规"/>
          <w:gallery w:val="placeholder"/>
        </w:category>
        <w:types>
          <w:type w:val="bbPlcHdr"/>
        </w:types>
        <w:behaviors>
          <w:behavior w:val="content"/>
        </w:behaviors>
        <w:description w:val=""/>
        <w:guid w:val="{180a2d65-4383-4dfa-8424-a51d7a12667d}"/>
      </w:docPartPr>
      <w:docPartBody>
        <w:p>
          <w:r>
            <w:rPr>
              <w:color w:val="808080"/>
            </w:rPr>
            <w:t>单击此处输入文字。</w:t>
          </w:r>
        </w:p>
      </w:docPartBody>
    </w:docPart>
    <w:docPart>
      <w:docPartPr>
        <w:name w:val="{253ffafc-257d-4c94-9bba-b15b5db5cfa2}"/>
        <w:style w:val=""/>
        <w:category>
          <w:name w:val="常规"/>
          <w:gallery w:val="placeholder"/>
        </w:category>
        <w:types>
          <w:type w:val="bbPlcHdr"/>
        </w:types>
        <w:behaviors>
          <w:behavior w:val="content"/>
        </w:behaviors>
        <w:description w:val=""/>
        <w:guid w:val="{253ffafc-257d-4c94-9bba-b15b5db5cfa2}"/>
      </w:docPartPr>
      <w:docPartBody>
        <w:p>
          <w:r>
            <w:rPr>
              <w:color w:val="808080"/>
            </w:rPr>
            <w:t>单击此处输入文字。</w:t>
          </w:r>
        </w:p>
      </w:docPartBody>
    </w:docPart>
    <w:docPart>
      <w:docPartPr>
        <w:name w:val="{18581413-8768-47da-a110-9a9bc126a77a}"/>
        <w:style w:val=""/>
        <w:category>
          <w:name w:val="常规"/>
          <w:gallery w:val="placeholder"/>
        </w:category>
        <w:types>
          <w:type w:val="bbPlcHdr"/>
        </w:types>
        <w:behaviors>
          <w:behavior w:val="content"/>
        </w:behaviors>
        <w:description w:val=""/>
        <w:guid w:val="{18581413-8768-47da-a110-9a9bc126a77a}"/>
      </w:docPartPr>
      <w:docPartBody>
        <w:p>
          <w:r>
            <w:rPr>
              <w:color w:val="808080"/>
            </w:rPr>
            <w:t>单击此处输入文字。</w:t>
          </w:r>
        </w:p>
      </w:docPartBody>
    </w:docPart>
    <w:docPart>
      <w:docPartPr>
        <w:name w:val="{57516235-ff5e-48a0-a1d1-ce9fd5a8eb60}"/>
        <w:style w:val=""/>
        <w:category>
          <w:name w:val="常规"/>
          <w:gallery w:val="placeholder"/>
        </w:category>
        <w:types>
          <w:type w:val="bbPlcHdr"/>
        </w:types>
        <w:behaviors>
          <w:behavior w:val="content"/>
        </w:behaviors>
        <w:description w:val=""/>
        <w:guid w:val="{57516235-ff5e-48a0-a1d1-ce9fd5a8eb60}"/>
      </w:docPartPr>
      <w:docPartBody>
        <w:p>
          <w:r>
            <w:rPr>
              <w:color w:val="808080"/>
            </w:rPr>
            <w:t>单击此处输入文字。</w:t>
          </w:r>
        </w:p>
      </w:docPartBody>
    </w:docPart>
    <w:docPart>
      <w:docPartPr>
        <w:name w:val="{b8f2cc52-5784-41ba-b91f-816731745ac0}"/>
        <w:style w:val=""/>
        <w:category>
          <w:name w:val="常规"/>
          <w:gallery w:val="placeholder"/>
        </w:category>
        <w:types>
          <w:type w:val="bbPlcHdr"/>
        </w:types>
        <w:behaviors>
          <w:behavior w:val="content"/>
        </w:behaviors>
        <w:description w:val=""/>
        <w:guid w:val="{b8f2cc52-5784-41ba-b91f-816731745ac0}"/>
      </w:docPartPr>
      <w:docPartBody>
        <w:p>
          <w:r>
            <w:rPr>
              <w:color w:val="808080"/>
            </w:rPr>
            <w:t>单击此处输入文字。</w:t>
          </w:r>
        </w:p>
      </w:docPartBody>
    </w:docPart>
    <w:docPart>
      <w:docPartPr>
        <w:name w:val="{88731c33-57ee-4229-8af0-ee5bce18e4af}"/>
        <w:style w:val=""/>
        <w:category>
          <w:name w:val="常规"/>
          <w:gallery w:val="placeholder"/>
        </w:category>
        <w:types>
          <w:type w:val="bbPlcHdr"/>
        </w:types>
        <w:behaviors>
          <w:behavior w:val="content"/>
        </w:behaviors>
        <w:description w:val=""/>
        <w:guid w:val="{88731c33-57ee-4229-8af0-ee5bce18e4af}"/>
      </w:docPartPr>
      <w:docPartBody>
        <w:p>
          <w:r>
            <w:rPr>
              <w:color w:val="808080"/>
            </w:rPr>
            <w:t>单击此处输入文字。</w:t>
          </w:r>
        </w:p>
      </w:docPartBody>
    </w:docPart>
    <w:docPart>
      <w:docPartPr>
        <w:name w:val="{14ee3d78-415b-4f01-93a0-322f2861845d}"/>
        <w:style w:val=""/>
        <w:category>
          <w:name w:val="常规"/>
          <w:gallery w:val="placeholder"/>
        </w:category>
        <w:types>
          <w:type w:val="bbPlcHdr"/>
        </w:types>
        <w:behaviors>
          <w:behavior w:val="content"/>
        </w:behaviors>
        <w:description w:val=""/>
        <w:guid w:val="{14ee3d78-415b-4f01-93a0-322f2861845d}"/>
      </w:docPartPr>
      <w:docPartBody>
        <w:p>
          <w:r>
            <w:rPr>
              <w:color w:val="808080"/>
            </w:rPr>
            <w:t>单击此处输入文字。</w:t>
          </w:r>
        </w:p>
      </w:docPartBody>
    </w:docPart>
    <w:docPart>
      <w:docPartPr>
        <w:name w:val="{a36bc19d-61c7-43aa-ae5e-281fc8e9c684}"/>
        <w:style w:val=""/>
        <w:category>
          <w:name w:val="常规"/>
          <w:gallery w:val="placeholder"/>
        </w:category>
        <w:types>
          <w:type w:val="bbPlcHdr"/>
        </w:types>
        <w:behaviors>
          <w:behavior w:val="content"/>
        </w:behaviors>
        <w:description w:val=""/>
        <w:guid w:val="{a36bc19d-61c7-43aa-ae5e-281fc8e9c684}"/>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TotalTime>
  <ScaleCrop>false</ScaleCrop>
  <LinksUpToDate>false</LinksUpToDate>
  <CharactersWithSpaces>8587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2020-11-18T09:19:46Z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