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BACE5" w14:textId="77777777" w:rsidR="00F27157" w:rsidRDefault="00F27157">
      <w:pPr>
        <w:spacing w:line="600" w:lineRule="exact"/>
        <w:jc w:val="center"/>
        <w:outlineLvl w:val="0"/>
        <w:rPr>
          <w:rFonts w:ascii="方正小标宋简体" w:eastAsia="方正小标宋简体" w:hAnsi="宋体"/>
          <w:color w:val="000000"/>
          <w:sz w:val="72"/>
          <w:szCs w:val="72"/>
        </w:rPr>
      </w:pPr>
      <w:bookmarkStart w:id="0" w:name="_Toc15306267"/>
    </w:p>
    <w:p w14:paraId="10D4B45F" w14:textId="77777777" w:rsidR="00F27157" w:rsidRDefault="00F27157">
      <w:pPr>
        <w:spacing w:line="600" w:lineRule="exact"/>
        <w:jc w:val="center"/>
        <w:outlineLvl w:val="0"/>
        <w:rPr>
          <w:rFonts w:ascii="方正小标宋简体" w:eastAsia="方正小标宋简体" w:hAnsi="宋体"/>
          <w:color w:val="000000"/>
          <w:sz w:val="72"/>
          <w:szCs w:val="72"/>
        </w:rPr>
      </w:pPr>
    </w:p>
    <w:p w14:paraId="4B1858A2" w14:textId="77777777" w:rsidR="00F27157" w:rsidRDefault="00F27157">
      <w:pPr>
        <w:spacing w:line="600" w:lineRule="exact"/>
        <w:jc w:val="center"/>
        <w:outlineLvl w:val="0"/>
        <w:rPr>
          <w:rFonts w:ascii="方正小标宋简体" w:eastAsia="方正小标宋简体" w:hAnsi="宋体"/>
          <w:color w:val="000000"/>
          <w:sz w:val="72"/>
          <w:szCs w:val="72"/>
        </w:rPr>
      </w:pPr>
    </w:p>
    <w:p w14:paraId="000D1A91" w14:textId="77777777" w:rsidR="00F27157" w:rsidRDefault="00F27157">
      <w:pPr>
        <w:spacing w:line="600" w:lineRule="exact"/>
        <w:jc w:val="center"/>
        <w:outlineLvl w:val="0"/>
        <w:rPr>
          <w:rFonts w:ascii="方正小标宋简体" w:eastAsia="方正小标宋简体" w:hAnsi="宋体"/>
          <w:color w:val="000000"/>
          <w:sz w:val="72"/>
          <w:szCs w:val="72"/>
        </w:rPr>
      </w:pPr>
    </w:p>
    <w:p w14:paraId="11C0ECBE" w14:textId="77777777" w:rsidR="00F27157" w:rsidRDefault="00000000">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14:paraId="3146F41E" w14:textId="77777777" w:rsidR="00F27157" w:rsidRDefault="00000000">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96598"/>
      <w:bookmarkStart w:id="8" w:name="_Toc15396476"/>
      <w:bookmarkStart w:id="9" w:name="_Toc15377426"/>
      <w:bookmarkStart w:id="10" w:name="_Toc15378442"/>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红原县审计局部门决算</w:t>
      </w:r>
      <w:bookmarkEnd w:id="6"/>
      <w:bookmarkEnd w:id="7"/>
      <w:bookmarkEnd w:id="8"/>
      <w:bookmarkEnd w:id="9"/>
      <w:bookmarkEnd w:id="10"/>
      <w:bookmarkEnd w:id="11"/>
    </w:p>
    <w:p w14:paraId="0A0FE1C9" w14:textId="77777777" w:rsidR="00F27157" w:rsidRDefault="00000000">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14:paraId="1E5596D7" w14:textId="77777777" w:rsidR="00F27157" w:rsidRDefault="00000000">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14:paraId="54888022" w14:textId="77777777" w:rsidR="00F27157" w:rsidRDefault="00F27157"/>
    <w:p w14:paraId="13A883E0" w14:textId="77777777" w:rsidR="00F27157" w:rsidRDefault="00000000">
      <w:pPr>
        <w:pStyle w:val="TOC1"/>
        <w:rPr>
          <w:rFonts w:cstheme="minorBidi"/>
        </w:rPr>
      </w:pPr>
      <w:hyperlink w:anchor="_Toc15396599" w:history="1">
        <w:r>
          <w:rPr>
            <w:rStyle w:val="ae"/>
            <w:rFonts w:hint="eastAsia"/>
          </w:rPr>
          <w:t>第一部分</w:t>
        </w:r>
        <w:r>
          <w:rPr>
            <w:rStyle w:val="ae"/>
          </w:rPr>
          <w:t xml:space="preserve"> </w:t>
        </w:r>
        <w:r>
          <w:rPr>
            <w:rStyle w:val="ae"/>
            <w:rFonts w:hint="eastAsia"/>
          </w:rPr>
          <w:t>部门概况</w:t>
        </w:r>
      </w:hyperlink>
    </w:p>
    <w:p w14:paraId="42D7F4F4" w14:textId="77777777" w:rsidR="00F27157" w:rsidRDefault="00000000">
      <w:pPr>
        <w:pStyle w:val="TOC2"/>
        <w:rPr>
          <w:rFonts w:ascii="仿宋" w:eastAsia="仿宋" w:hAnsi="仿宋" w:cstheme="minorBidi"/>
          <w:sz w:val="28"/>
          <w:szCs w:val="28"/>
        </w:rPr>
      </w:pPr>
      <w:hyperlink w:anchor="_Toc15396600" w:history="1">
        <w:r>
          <w:rPr>
            <w:rStyle w:val="ae"/>
            <w:rFonts w:ascii="仿宋" w:eastAsia="仿宋" w:hAnsi="仿宋" w:hint="eastAsia"/>
            <w:sz w:val="28"/>
            <w:szCs w:val="28"/>
          </w:rPr>
          <w:t>一、基本职能及主要工作</w:t>
        </w:r>
      </w:hyperlink>
    </w:p>
    <w:p w14:paraId="71DD008A" w14:textId="77777777" w:rsidR="00F27157" w:rsidRDefault="00000000">
      <w:pPr>
        <w:pStyle w:val="TOC2"/>
        <w:rPr>
          <w:rFonts w:ascii="仿宋" w:eastAsia="仿宋" w:hAnsi="仿宋" w:cstheme="minorBidi"/>
          <w:sz w:val="28"/>
          <w:szCs w:val="28"/>
        </w:rPr>
      </w:pPr>
      <w:hyperlink w:anchor="_Toc15396601" w:history="1">
        <w:r>
          <w:rPr>
            <w:rStyle w:val="ae"/>
            <w:rFonts w:ascii="仿宋" w:eastAsia="仿宋" w:hAnsi="仿宋" w:hint="eastAsia"/>
            <w:sz w:val="28"/>
            <w:szCs w:val="28"/>
          </w:rPr>
          <w:t>二、机构设置</w:t>
        </w:r>
      </w:hyperlink>
    </w:p>
    <w:p w14:paraId="466AAE69" w14:textId="77777777" w:rsidR="00F27157" w:rsidRDefault="00000000">
      <w:pPr>
        <w:pStyle w:val="TOC1"/>
      </w:pPr>
      <w:hyperlink w:anchor="_Toc15396602" w:history="1">
        <w:r>
          <w:rPr>
            <w:rStyle w:val="ae"/>
            <w:rFonts w:hint="eastAsia"/>
          </w:rPr>
          <w:t>第二部分</w:t>
        </w:r>
        <w:r>
          <w:rPr>
            <w:rStyle w:val="ae"/>
          </w:rPr>
          <w:t xml:space="preserve"> 2018</w:t>
        </w:r>
        <w:r>
          <w:rPr>
            <w:rStyle w:val="ae"/>
            <w:rFonts w:hint="eastAsia"/>
          </w:rPr>
          <w:t>年度部门决算情况说明</w:t>
        </w:r>
      </w:hyperlink>
    </w:p>
    <w:p w14:paraId="05B1CACA" w14:textId="77777777" w:rsidR="00F27157" w:rsidRDefault="00000000">
      <w:pPr>
        <w:pStyle w:val="TOC2"/>
        <w:rPr>
          <w:rFonts w:ascii="仿宋" w:eastAsia="仿宋" w:hAnsi="仿宋" w:cstheme="minorBidi"/>
          <w:sz w:val="28"/>
          <w:szCs w:val="28"/>
        </w:rPr>
      </w:pPr>
      <w:hyperlink w:anchor="_Toc15396603" w:history="1">
        <w:r>
          <w:rPr>
            <w:rStyle w:val="ae"/>
            <w:rFonts w:ascii="仿宋" w:eastAsia="仿宋" w:hAnsi="仿宋" w:cstheme="majorBidi" w:hint="eastAsia"/>
            <w:bCs/>
            <w:sz w:val="28"/>
            <w:szCs w:val="28"/>
          </w:rPr>
          <w:t>一、</w:t>
        </w:r>
        <w:r>
          <w:rPr>
            <w:rStyle w:val="ae"/>
            <w:rFonts w:ascii="仿宋" w:eastAsia="仿宋" w:hAnsi="仿宋" w:hint="eastAsia"/>
            <w:sz w:val="28"/>
            <w:szCs w:val="28"/>
          </w:rPr>
          <w:t>收</w:t>
        </w:r>
        <w:r>
          <w:rPr>
            <w:rStyle w:val="ae"/>
            <w:rFonts w:ascii="仿宋" w:eastAsia="仿宋" w:hAnsi="仿宋" w:cstheme="majorBidi" w:hint="eastAsia"/>
            <w:bCs/>
            <w:sz w:val="28"/>
            <w:szCs w:val="28"/>
          </w:rPr>
          <w:t>入支出决算总体情况说明</w:t>
        </w:r>
      </w:hyperlink>
    </w:p>
    <w:p w14:paraId="10BD564B" w14:textId="77777777" w:rsidR="00F27157" w:rsidRDefault="00000000">
      <w:pPr>
        <w:pStyle w:val="TOC2"/>
        <w:rPr>
          <w:rFonts w:ascii="仿宋" w:eastAsia="仿宋" w:hAnsi="仿宋" w:cstheme="minorBidi"/>
          <w:sz w:val="28"/>
          <w:szCs w:val="28"/>
        </w:rPr>
      </w:pPr>
      <w:hyperlink w:anchor="_Toc15396604" w:history="1">
        <w:r>
          <w:rPr>
            <w:rStyle w:val="ae"/>
            <w:rFonts w:ascii="仿宋" w:eastAsia="仿宋" w:hAnsi="仿宋" w:cstheme="majorBidi" w:hint="eastAsia"/>
            <w:bCs/>
            <w:sz w:val="28"/>
            <w:szCs w:val="28"/>
          </w:rPr>
          <w:t>二、</w:t>
        </w:r>
        <w:r>
          <w:rPr>
            <w:rStyle w:val="ae"/>
            <w:rFonts w:ascii="仿宋" w:eastAsia="仿宋" w:hAnsi="仿宋" w:hint="eastAsia"/>
            <w:sz w:val="28"/>
            <w:szCs w:val="28"/>
          </w:rPr>
          <w:t>收</w:t>
        </w:r>
        <w:r>
          <w:rPr>
            <w:rStyle w:val="ae"/>
            <w:rFonts w:ascii="仿宋" w:eastAsia="仿宋" w:hAnsi="仿宋" w:cstheme="majorBidi" w:hint="eastAsia"/>
            <w:bCs/>
            <w:sz w:val="28"/>
            <w:szCs w:val="28"/>
          </w:rPr>
          <w:t>入决算情况说明</w:t>
        </w:r>
      </w:hyperlink>
    </w:p>
    <w:p w14:paraId="4AA4237B" w14:textId="77777777" w:rsidR="00F27157" w:rsidRDefault="00000000">
      <w:pPr>
        <w:pStyle w:val="TOC2"/>
        <w:rPr>
          <w:rFonts w:ascii="仿宋" w:eastAsia="仿宋" w:hAnsi="仿宋" w:cstheme="minorBidi"/>
          <w:sz w:val="28"/>
          <w:szCs w:val="28"/>
        </w:rPr>
      </w:pPr>
      <w:hyperlink w:anchor="_Toc15396605" w:history="1">
        <w:r>
          <w:rPr>
            <w:rStyle w:val="ae"/>
            <w:rFonts w:ascii="仿宋" w:eastAsia="仿宋" w:hAnsi="仿宋" w:cstheme="majorBidi" w:hint="eastAsia"/>
            <w:bCs/>
            <w:sz w:val="28"/>
            <w:szCs w:val="28"/>
          </w:rPr>
          <w:t>三、</w:t>
        </w:r>
        <w:r>
          <w:rPr>
            <w:rStyle w:val="ae"/>
            <w:rFonts w:ascii="仿宋" w:eastAsia="仿宋" w:hAnsi="仿宋" w:hint="eastAsia"/>
            <w:sz w:val="28"/>
            <w:szCs w:val="28"/>
          </w:rPr>
          <w:t>支</w:t>
        </w:r>
        <w:r>
          <w:rPr>
            <w:rStyle w:val="ae"/>
            <w:rFonts w:ascii="仿宋" w:eastAsia="仿宋" w:hAnsi="仿宋" w:cstheme="majorBidi" w:hint="eastAsia"/>
            <w:bCs/>
            <w:sz w:val="28"/>
            <w:szCs w:val="28"/>
          </w:rPr>
          <w:t>出决算情况说明</w:t>
        </w:r>
      </w:hyperlink>
    </w:p>
    <w:p w14:paraId="15F21448" w14:textId="77777777" w:rsidR="00F27157" w:rsidRDefault="00000000">
      <w:pPr>
        <w:pStyle w:val="TOC2"/>
        <w:rPr>
          <w:rFonts w:ascii="仿宋" w:eastAsia="仿宋" w:hAnsi="仿宋" w:cstheme="minorBidi"/>
          <w:sz w:val="28"/>
          <w:szCs w:val="28"/>
        </w:rPr>
      </w:pPr>
      <w:hyperlink w:anchor="_Toc15396606" w:history="1">
        <w:r>
          <w:rPr>
            <w:rStyle w:val="ae"/>
            <w:rFonts w:ascii="仿宋" w:eastAsia="仿宋" w:hAnsi="仿宋" w:hint="eastAsia"/>
            <w:sz w:val="28"/>
            <w:szCs w:val="28"/>
          </w:rPr>
          <w:t>四、财</w:t>
        </w:r>
        <w:r>
          <w:rPr>
            <w:rStyle w:val="ae"/>
            <w:rFonts w:ascii="仿宋" w:eastAsia="仿宋" w:hAnsi="仿宋" w:cstheme="majorBidi" w:hint="eastAsia"/>
            <w:bCs/>
            <w:sz w:val="28"/>
            <w:szCs w:val="28"/>
          </w:rPr>
          <w:t>政拨款收入支出决算总体情况说明</w:t>
        </w:r>
      </w:hyperlink>
    </w:p>
    <w:p w14:paraId="0300C588" w14:textId="77777777" w:rsidR="00F27157" w:rsidRDefault="00000000">
      <w:pPr>
        <w:pStyle w:val="TOC2"/>
        <w:rPr>
          <w:rFonts w:ascii="仿宋" w:eastAsia="仿宋" w:hAnsi="仿宋" w:cstheme="minorBidi"/>
          <w:sz w:val="28"/>
          <w:szCs w:val="28"/>
        </w:rPr>
      </w:pPr>
      <w:hyperlink w:anchor="_Toc15396607" w:history="1">
        <w:r>
          <w:rPr>
            <w:rStyle w:val="ae"/>
            <w:rFonts w:ascii="仿宋" w:eastAsia="仿宋" w:hAnsi="仿宋" w:hint="eastAsia"/>
            <w:sz w:val="28"/>
            <w:szCs w:val="28"/>
          </w:rPr>
          <w:t>五、一</w:t>
        </w:r>
        <w:r>
          <w:rPr>
            <w:rStyle w:val="ae"/>
            <w:rFonts w:ascii="仿宋" w:eastAsia="仿宋" w:hAnsi="仿宋" w:cstheme="majorBidi" w:hint="eastAsia"/>
            <w:bCs/>
            <w:sz w:val="28"/>
            <w:szCs w:val="28"/>
          </w:rPr>
          <w:t>般公共预算财政拨款支出决算情况说明</w:t>
        </w:r>
      </w:hyperlink>
    </w:p>
    <w:p w14:paraId="4FA6AECC" w14:textId="77777777" w:rsidR="00F27157" w:rsidRDefault="00000000">
      <w:pPr>
        <w:pStyle w:val="TOC2"/>
        <w:rPr>
          <w:rFonts w:ascii="仿宋" w:eastAsia="仿宋" w:hAnsi="仿宋" w:cstheme="minorBidi"/>
          <w:sz w:val="28"/>
          <w:szCs w:val="28"/>
        </w:rPr>
      </w:pPr>
      <w:hyperlink w:anchor="_Toc15396608" w:history="1">
        <w:r>
          <w:rPr>
            <w:rStyle w:val="ae"/>
            <w:rFonts w:ascii="仿宋" w:eastAsia="仿宋" w:hAnsi="仿宋" w:hint="eastAsia"/>
            <w:sz w:val="28"/>
            <w:szCs w:val="28"/>
          </w:rPr>
          <w:t>六、一</w:t>
        </w:r>
        <w:r>
          <w:rPr>
            <w:rStyle w:val="ae"/>
            <w:rFonts w:ascii="仿宋" w:eastAsia="仿宋" w:hAnsi="仿宋" w:cstheme="majorBidi" w:hint="eastAsia"/>
            <w:bCs/>
            <w:sz w:val="28"/>
            <w:szCs w:val="28"/>
          </w:rPr>
          <w:t>般公共预算财政拨款基本支出决算情况说明</w:t>
        </w:r>
      </w:hyperlink>
    </w:p>
    <w:p w14:paraId="488CB163" w14:textId="77777777" w:rsidR="00F27157" w:rsidRDefault="00000000">
      <w:pPr>
        <w:pStyle w:val="TOC2"/>
        <w:rPr>
          <w:rFonts w:ascii="仿宋" w:eastAsia="仿宋" w:hAnsi="仿宋" w:cstheme="minorBidi"/>
          <w:sz w:val="28"/>
          <w:szCs w:val="28"/>
        </w:rPr>
      </w:pPr>
      <w:hyperlink w:anchor="_Toc15396609" w:history="1">
        <w:r>
          <w:rPr>
            <w:rStyle w:val="ae"/>
            <w:rFonts w:ascii="仿宋" w:eastAsia="仿宋" w:hAnsi="仿宋" w:hint="eastAsia"/>
            <w:sz w:val="28"/>
            <w:szCs w:val="28"/>
          </w:rPr>
          <w:t>七、</w:t>
        </w:r>
        <w:r>
          <w:rPr>
            <w:rStyle w:val="ae"/>
            <w:rFonts w:ascii="仿宋" w:eastAsia="仿宋" w:hAnsi="仿宋"/>
            <w:sz w:val="28"/>
            <w:szCs w:val="28"/>
          </w:rPr>
          <w:t>“</w:t>
        </w:r>
        <w:r>
          <w:rPr>
            <w:rStyle w:val="ae"/>
            <w:rFonts w:ascii="仿宋" w:eastAsia="仿宋" w:hAnsi="仿宋" w:cstheme="majorBidi" w:hint="eastAsia"/>
            <w:bCs/>
            <w:sz w:val="28"/>
            <w:szCs w:val="28"/>
          </w:rPr>
          <w:t>三公”经费财政拨款支出决算情况说明</w:t>
        </w:r>
      </w:hyperlink>
    </w:p>
    <w:p w14:paraId="587DF54F" w14:textId="77777777" w:rsidR="00F27157" w:rsidRDefault="00000000">
      <w:pPr>
        <w:pStyle w:val="TOC2"/>
        <w:rPr>
          <w:rFonts w:ascii="仿宋" w:eastAsia="仿宋" w:hAnsi="仿宋" w:cstheme="minorBidi"/>
          <w:sz w:val="28"/>
          <w:szCs w:val="28"/>
        </w:rPr>
      </w:pPr>
      <w:hyperlink w:anchor="_Toc15396610" w:history="1">
        <w:r>
          <w:rPr>
            <w:rStyle w:val="ae"/>
            <w:rFonts w:ascii="仿宋" w:eastAsia="仿宋" w:hAnsi="仿宋" w:hint="eastAsia"/>
            <w:sz w:val="28"/>
            <w:szCs w:val="28"/>
          </w:rPr>
          <w:t>八、</w:t>
        </w:r>
        <w:r>
          <w:rPr>
            <w:rStyle w:val="ae"/>
            <w:rFonts w:ascii="仿宋" w:eastAsia="仿宋" w:hAnsi="仿宋" w:cstheme="majorBidi" w:hint="eastAsia"/>
            <w:bCs/>
            <w:sz w:val="28"/>
            <w:szCs w:val="28"/>
          </w:rPr>
          <w:t>政府性基金预算支出决算情况说明</w:t>
        </w:r>
      </w:hyperlink>
    </w:p>
    <w:p w14:paraId="7338C970" w14:textId="77777777" w:rsidR="00F27157" w:rsidRDefault="00000000">
      <w:pPr>
        <w:pStyle w:val="TOC2"/>
        <w:rPr>
          <w:rFonts w:ascii="仿宋" w:eastAsia="仿宋" w:hAnsi="仿宋" w:cstheme="minorBidi"/>
          <w:sz w:val="28"/>
          <w:szCs w:val="28"/>
        </w:rPr>
      </w:pPr>
      <w:hyperlink w:anchor="_Toc15396611" w:history="1">
        <w:r>
          <w:rPr>
            <w:rStyle w:val="ae"/>
            <w:rFonts w:ascii="仿宋" w:eastAsia="仿宋" w:hAnsi="仿宋" w:cstheme="majorBidi" w:hint="eastAsia"/>
            <w:bCs/>
            <w:sz w:val="28"/>
            <w:szCs w:val="28"/>
          </w:rPr>
          <w:t>九、</w:t>
        </w:r>
        <w:r>
          <w:rPr>
            <w:rStyle w:val="ae"/>
            <w:rFonts w:ascii="仿宋" w:eastAsia="仿宋" w:hAnsi="仿宋" w:hint="eastAsia"/>
            <w:sz w:val="28"/>
            <w:szCs w:val="28"/>
          </w:rPr>
          <w:t xml:space="preserve"> 国</w:t>
        </w:r>
        <w:r>
          <w:rPr>
            <w:rStyle w:val="ae"/>
            <w:rFonts w:ascii="仿宋" w:eastAsia="仿宋" w:hAnsi="仿宋" w:cstheme="majorBidi" w:hint="eastAsia"/>
            <w:bCs/>
            <w:sz w:val="28"/>
            <w:szCs w:val="28"/>
          </w:rPr>
          <w:t>有资本经营预算支出决算情况说明</w:t>
        </w:r>
      </w:hyperlink>
    </w:p>
    <w:p w14:paraId="6494C38C" w14:textId="77777777" w:rsidR="00F27157" w:rsidRDefault="00000000">
      <w:pPr>
        <w:pStyle w:val="TOC2"/>
        <w:rPr>
          <w:rFonts w:ascii="仿宋" w:eastAsia="仿宋" w:hAnsi="仿宋" w:cstheme="minorBidi"/>
          <w:sz w:val="28"/>
          <w:szCs w:val="28"/>
        </w:rPr>
      </w:pPr>
      <w:hyperlink w:anchor="_Toc15396612" w:history="1">
        <w:r>
          <w:rPr>
            <w:rStyle w:val="ae"/>
            <w:rFonts w:ascii="仿宋" w:eastAsia="仿宋" w:hAnsi="仿宋" w:hint="eastAsia"/>
            <w:sz w:val="28"/>
            <w:szCs w:val="28"/>
          </w:rPr>
          <w:t>十</w:t>
        </w:r>
        <w:r>
          <w:rPr>
            <w:rStyle w:val="ae"/>
            <w:rFonts w:ascii="仿宋" w:eastAsia="仿宋" w:hAnsi="仿宋" w:cstheme="majorBidi" w:hint="eastAsia"/>
            <w:bCs/>
            <w:sz w:val="28"/>
            <w:szCs w:val="28"/>
          </w:rPr>
          <w:t>一、其他重要事项的情况说明</w:t>
        </w:r>
      </w:hyperlink>
    </w:p>
    <w:p w14:paraId="3A1EC76C" w14:textId="77777777" w:rsidR="00F27157" w:rsidRDefault="00000000">
      <w:pPr>
        <w:pStyle w:val="TOC1"/>
        <w:rPr>
          <w:rFonts w:cstheme="minorBidi"/>
        </w:rPr>
      </w:pPr>
      <w:hyperlink w:anchor="_Toc15396613" w:history="1">
        <w:r>
          <w:rPr>
            <w:rStyle w:val="ae"/>
            <w:rFonts w:hint="eastAsia"/>
            <w:bCs/>
            <w:kern w:val="44"/>
          </w:rPr>
          <w:t>第三部分</w:t>
        </w:r>
        <w:r>
          <w:rPr>
            <w:rStyle w:val="ae"/>
            <w:rFonts w:hint="eastAsia"/>
          </w:rPr>
          <w:t xml:space="preserve"> 名</w:t>
        </w:r>
        <w:r>
          <w:rPr>
            <w:rStyle w:val="ae"/>
            <w:rFonts w:hint="eastAsia"/>
            <w:bCs/>
            <w:kern w:val="44"/>
          </w:rPr>
          <w:t>词解释</w:t>
        </w:r>
      </w:hyperlink>
    </w:p>
    <w:p w14:paraId="49D553D9" w14:textId="77777777" w:rsidR="00F27157" w:rsidRDefault="00000000">
      <w:pPr>
        <w:pStyle w:val="TOC1"/>
        <w:rPr>
          <w:rFonts w:cstheme="minorBidi"/>
        </w:rPr>
      </w:pPr>
      <w:hyperlink w:anchor="_Toc15396614" w:history="1">
        <w:r>
          <w:rPr>
            <w:rStyle w:val="ae"/>
            <w:rFonts w:hint="eastAsia"/>
          </w:rPr>
          <w:t>第</w:t>
        </w:r>
        <w:r>
          <w:rPr>
            <w:rStyle w:val="ae"/>
            <w:rFonts w:hint="eastAsia"/>
            <w:bCs/>
            <w:kern w:val="44"/>
          </w:rPr>
          <w:t>四部分</w:t>
        </w:r>
        <w:r>
          <w:rPr>
            <w:rStyle w:val="ae"/>
            <w:bCs/>
            <w:kern w:val="44"/>
          </w:rPr>
          <w:t xml:space="preserve"> </w:t>
        </w:r>
        <w:r>
          <w:rPr>
            <w:rStyle w:val="ae"/>
            <w:rFonts w:hint="eastAsia"/>
            <w:bCs/>
            <w:kern w:val="44"/>
          </w:rPr>
          <w:t>附件</w:t>
        </w:r>
      </w:hyperlink>
    </w:p>
    <w:p w14:paraId="17FE8EF7" w14:textId="77777777" w:rsidR="00F27157" w:rsidRDefault="00000000">
      <w:pPr>
        <w:pStyle w:val="TOC2"/>
        <w:rPr>
          <w:rFonts w:ascii="仿宋" w:eastAsia="仿宋" w:hAnsi="仿宋" w:cstheme="minorBidi"/>
          <w:sz w:val="28"/>
          <w:szCs w:val="28"/>
        </w:rPr>
      </w:pPr>
      <w:hyperlink w:anchor="_Toc15396615" w:history="1">
        <w:r>
          <w:rPr>
            <w:rStyle w:val="ae"/>
            <w:rFonts w:ascii="仿宋" w:eastAsia="仿宋" w:hAnsi="仿宋" w:hint="eastAsia"/>
            <w:kern w:val="44"/>
            <w:sz w:val="28"/>
            <w:szCs w:val="28"/>
          </w:rPr>
          <w:t>附件</w:t>
        </w:r>
        <w:r>
          <w:rPr>
            <w:rStyle w:val="ae"/>
            <w:rFonts w:ascii="仿宋" w:eastAsia="仿宋" w:hAnsi="仿宋"/>
            <w:kern w:val="44"/>
            <w:sz w:val="28"/>
            <w:szCs w:val="28"/>
          </w:rPr>
          <w:t>1</w:t>
        </w:r>
      </w:hyperlink>
    </w:p>
    <w:p w14:paraId="1BBF591F" w14:textId="77777777" w:rsidR="00F27157" w:rsidRDefault="00F27157">
      <w:pPr>
        <w:pStyle w:val="TOC2"/>
        <w:rPr>
          <w:rFonts w:ascii="仿宋" w:eastAsia="仿宋" w:hAnsi="仿宋" w:cstheme="minorBidi"/>
          <w:sz w:val="28"/>
          <w:szCs w:val="28"/>
        </w:rPr>
      </w:pPr>
    </w:p>
    <w:p w14:paraId="16CAC75E" w14:textId="77777777" w:rsidR="00F27157" w:rsidRDefault="00000000">
      <w:pPr>
        <w:pStyle w:val="TOC1"/>
        <w:rPr>
          <w:rFonts w:cstheme="minorBidi"/>
        </w:rPr>
      </w:pPr>
      <w:hyperlink w:anchor="_Toc15396618" w:history="1">
        <w:r>
          <w:rPr>
            <w:rStyle w:val="ae"/>
            <w:rFonts w:hint="eastAsia"/>
          </w:rPr>
          <w:t>第</w:t>
        </w:r>
        <w:r>
          <w:rPr>
            <w:rStyle w:val="ae"/>
            <w:rFonts w:hint="eastAsia"/>
            <w:bCs/>
            <w:kern w:val="44"/>
          </w:rPr>
          <w:t>五部分</w:t>
        </w:r>
        <w:r>
          <w:rPr>
            <w:rStyle w:val="ae"/>
            <w:bCs/>
            <w:kern w:val="44"/>
          </w:rPr>
          <w:t xml:space="preserve"> </w:t>
        </w:r>
        <w:r>
          <w:rPr>
            <w:rStyle w:val="ae"/>
            <w:rFonts w:hint="eastAsia"/>
            <w:bCs/>
            <w:kern w:val="44"/>
          </w:rPr>
          <w:t>附表</w:t>
        </w:r>
      </w:hyperlink>
    </w:p>
    <w:p w14:paraId="7C4F1119"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e"/>
            <w:rFonts w:ascii="仿宋" w:eastAsia="仿宋" w:hAnsi="仿宋" w:hint="eastAsia"/>
            <w:sz w:val="28"/>
            <w:szCs w:val="28"/>
          </w:rPr>
          <w:t>收入支出决算总表</w:t>
        </w:r>
      </w:hyperlink>
    </w:p>
    <w:p w14:paraId="004FF5E1"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e"/>
            <w:rFonts w:ascii="仿宋" w:eastAsia="仿宋" w:hAnsi="仿宋" w:hint="eastAsia"/>
            <w:sz w:val="28"/>
            <w:szCs w:val="28"/>
          </w:rPr>
          <w:t>收入总表</w:t>
        </w:r>
      </w:hyperlink>
    </w:p>
    <w:p w14:paraId="16986DB7"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e"/>
            <w:rFonts w:ascii="仿宋" w:eastAsia="仿宋" w:hAnsi="仿宋" w:hint="eastAsia"/>
            <w:sz w:val="28"/>
            <w:szCs w:val="28"/>
          </w:rPr>
          <w:t>支出总表</w:t>
        </w:r>
      </w:hyperlink>
    </w:p>
    <w:p w14:paraId="70B5C911"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e"/>
            <w:rFonts w:ascii="仿宋" w:eastAsia="仿宋" w:hAnsi="仿宋" w:hint="eastAsia"/>
            <w:sz w:val="28"/>
            <w:szCs w:val="28"/>
          </w:rPr>
          <w:t>财政拨款收入支出决算总表</w:t>
        </w:r>
      </w:hyperlink>
    </w:p>
    <w:p w14:paraId="08EF733E" w14:textId="77777777" w:rsidR="00F27157" w:rsidRDefault="00000000">
      <w:pPr>
        <w:pStyle w:val="TOC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hyperlink>
    </w:p>
    <w:p w14:paraId="6524C3F3"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e"/>
            <w:rFonts w:ascii="仿宋" w:eastAsia="仿宋" w:hAnsi="仿宋" w:hint="eastAsia"/>
            <w:sz w:val="28"/>
            <w:szCs w:val="28"/>
          </w:rPr>
          <w:t>一般公共预算财政拨款支出决算表</w:t>
        </w:r>
      </w:hyperlink>
    </w:p>
    <w:p w14:paraId="4E7E247B"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e"/>
            <w:rFonts w:ascii="仿宋" w:eastAsia="仿宋" w:hAnsi="仿宋" w:hint="eastAsia"/>
            <w:sz w:val="28"/>
            <w:szCs w:val="28"/>
          </w:rPr>
          <w:t>一般公共预算财政拨款支出决算明细表</w:t>
        </w:r>
      </w:hyperlink>
    </w:p>
    <w:p w14:paraId="584A6F67"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e"/>
            <w:rFonts w:ascii="仿宋" w:eastAsia="仿宋" w:hAnsi="仿宋" w:hint="eastAsia"/>
            <w:sz w:val="28"/>
            <w:szCs w:val="28"/>
          </w:rPr>
          <w:t>一般公共预算财政拨款基本支出决算表</w:t>
        </w:r>
      </w:hyperlink>
    </w:p>
    <w:p w14:paraId="3AA0B1C3"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e"/>
            <w:rFonts w:ascii="仿宋" w:eastAsia="仿宋" w:hAnsi="仿宋" w:hint="eastAsia"/>
            <w:sz w:val="28"/>
            <w:szCs w:val="28"/>
          </w:rPr>
          <w:t>一般公共预算财政拨款项目支出决算表</w:t>
        </w:r>
      </w:hyperlink>
    </w:p>
    <w:p w14:paraId="41D05C88"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e"/>
            <w:rFonts w:ascii="仿宋" w:eastAsia="仿宋" w:hAnsi="仿宋" w:hint="eastAsia"/>
            <w:sz w:val="28"/>
            <w:szCs w:val="28"/>
          </w:rPr>
          <w:t>一般公共预算财政拨款“三公”经费支出决算表</w:t>
        </w:r>
      </w:hyperlink>
    </w:p>
    <w:p w14:paraId="717AAD50"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e"/>
            <w:rFonts w:ascii="仿宋" w:eastAsia="仿宋" w:hAnsi="仿宋" w:hint="eastAsia"/>
            <w:sz w:val="28"/>
            <w:szCs w:val="28"/>
          </w:rPr>
          <w:t>政府性基金预算财政拨款收入支出决算表</w:t>
        </w:r>
      </w:hyperlink>
    </w:p>
    <w:p w14:paraId="0A57C316" w14:textId="77777777" w:rsidR="00F27157" w:rsidRDefault="00000000">
      <w:pPr>
        <w:pStyle w:val="TOC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e"/>
            <w:rFonts w:ascii="仿宋" w:eastAsia="仿宋" w:hAnsi="仿宋" w:hint="eastAsia"/>
            <w:sz w:val="28"/>
            <w:szCs w:val="28"/>
          </w:rPr>
          <w:t>政府性基金预算财政拨款“三公”经费支出决算表</w:t>
        </w:r>
      </w:hyperlink>
    </w:p>
    <w:p w14:paraId="63E3E18E" w14:textId="77777777" w:rsidR="00F27157" w:rsidRDefault="00000000">
      <w:pPr>
        <w:pStyle w:val="TOC2"/>
        <w:rPr>
          <w:rStyle w:val="ae"/>
          <w:rFonts w:ascii="仿宋" w:eastAsia="仿宋" w:hAnsi="仿宋"/>
          <w:sz w:val="28"/>
          <w:szCs w:val="28"/>
        </w:rPr>
      </w:pPr>
      <w:r>
        <w:rPr>
          <w:rFonts w:ascii="仿宋" w:eastAsia="仿宋" w:hAnsi="仿宋" w:hint="eastAsia"/>
          <w:sz w:val="28"/>
          <w:szCs w:val="28"/>
        </w:rPr>
        <w:t>十三、</w:t>
      </w:r>
      <w:hyperlink w:anchor="_Toc15396631" w:history="1">
        <w:r>
          <w:rPr>
            <w:rStyle w:val="ae"/>
            <w:rFonts w:ascii="仿宋" w:eastAsia="仿宋" w:hAnsi="仿宋" w:hint="eastAsia"/>
            <w:sz w:val="28"/>
            <w:szCs w:val="28"/>
          </w:rPr>
          <w:t>国有资本经营预算支出决算表</w:t>
        </w:r>
      </w:hyperlink>
    </w:p>
    <w:p w14:paraId="3850F820" w14:textId="77777777" w:rsidR="00F27157" w:rsidRDefault="00000000">
      <w:pPr>
        <w:ind w:firstLineChars="100" w:firstLine="320"/>
        <w:rPr>
          <w:rStyle w:val="20"/>
          <w:rFonts w:ascii="仿宋" w:eastAsia="仿宋" w:hAnsi="仿宋"/>
          <w:b w:val="0"/>
          <w:bCs w:val="0"/>
        </w:rPr>
      </w:pPr>
      <w:r>
        <w:rPr>
          <w:rStyle w:val="20"/>
          <w:rFonts w:ascii="仿宋" w:eastAsia="仿宋" w:hAnsi="仿宋" w:hint="eastAsia"/>
          <w:b w:val="0"/>
          <w:bCs w:val="0"/>
        </w:rPr>
        <w:t>十四、整体支出绩效评价打分表</w:t>
      </w:r>
    </w:p>
    <w:p w14:paraId="154BC0EA" w14:textId="77777777" w:rsidR="00F27157" w:rsidRDefault="00F27157"/>
    <w:p w14:paraId="163489F5" w14:textId="77777777" w:rsidR="00F27157" w:rsidRDefault="00000000">
      <w:pPr>
        <w:widowControl/>
        <w:jc w:val="left"/>
        <w:rPr>
          <w:rFonts w:ascii="仿宋" w:eastAsia="仿宋" w:hAnsi="仿宋"/>
          <w:color w:val="000000"/>
          <w:sz w:val="24"/>
        </w:rPr>
      </w:pPr>
      <w:r>
        <w:rPr>
          <w:rFonts w:ascii="仿宋" w:eastAsia="仿宋" w:hAnsi="仿宋"/>
          <w:color w:val="000000"/>
          <w:sz w:val="24"/>
        </w:rPr>
        <w:fldChar w:fldCharType="end"/>
      </w:r>
    </w:p>
    <w:p w14:paraId="789D3146" w14:textId="77777777" w:rsidR="00F27157" w:rsidRDefault="00000000">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14:paraId="41785040" w14:textId="77777777" w:rsidR="00F27157" w:rsidRDefault="00000000">
      <w:pPr>
        <w:pStyle w:val="1"/>
        <w:jc w:val="center"/>
        <w:rPr>
          <w:rStyle w:val="10"/>
          <w:rFonts w:ascii="黑体" w:eastAsia="黑体" w:hAnsi="黑体"/>
          <w:b/>
        </w:rPr>
      </w:pPr>
      <w:r>
        <w:rPr>
          <w:rFonts w:ascii="黑体" w:eastAsia="黑体" w:hAnsi="黑体" w:hint="eastAsia"/>
          <w:b w:val="0"/>
        </w:rPr>
        <w:lastRenderedPageBreak/>
        <w:t xml:space="preserve">第一部分 </w:t>
      </w:r>
      <w:r>
        <w:rPr>
          <w:rStyle w:val="10"/>
          <w:rFonts w:ascii="黑体" w:eastAsia="黑体" w:hAnsi="黑体" w:hint="eastAsia"/>
        </w:rPr>
        <w:t>部门概况</w:t>
      </w:r>
      <w:bookmarkEnd w:id="12"/>
      <w:bookmarkEnd w:id="13"/>
    </w:p>
    <w:p w14:paraId="3FAB90F9" w14:textId="77777777" w:rsidR="00F27157" w:rsidRDefault="00F27157">
      <w:pPr>
        <w:widowControl/>
        <w:jc w:val="left"/>
        <w:rPr>
          <w:rFonts w:ascii="黑体" w:eastAsia="黑体"/>
          <w:color w:val="000000"/>
          <w:sz w:val="32"/>
          <w:szCs w:val="32"/>
        </w:rPr>
      </w:pPr>
    </w:p>
    <w:p w14:paraId="33E5859C" w14:textId="77777777" w:rsidR="00F27157" w:rsidRDefault="00000000">
      <w:pPr>
        <w:pStyle w:val="2"/>
        <w:rPr>
          <w:rStyle w:val="20"/>
          <w:rFonts w:ascii="仿宋" w:eastAsia="仿宋" w:hAnsi="仿宋"/>
        </w:rPr>
      </w:pPr>
      <w:bookmarkStart w:id="14" w:name="_Toc15396600"/>
      <w:bookmarkStart w:id="15" w:name="_Toc15377197"/>
      <w:r>
        <w:rPr>
          <w:rFonts w:ascii="黑体" w:eastAsia="黑体" w:hAnsi="黑体" w:hint="eastAsia"/>
          <w:b w:val="0"/>
          <w:color w:val="000000"/>
        </w:rPr>
        <w:t>一、基</w:t>
      </w:r>
      <w:r>
        <w:rPr>
          <w:rStyle w:val="20"/>
          <w:rFonts w:ascii="黑体" w:eastAsia="黑体" w:hAnsi="黑体" w:hint="eastAsia"/>
        </w:rPr>
        <w:t>本职能及主要工作</w:t>
      </w:r>
      <w:bookmarkEnd w:id="14"/>
      <w:bookmarkEnd w:id="15"/>
    </w:p>
    <w:p w14:paraId="074393C2" w14:textId="77777777" w:rsidR="00F27157" w:rsidRDefault="00000000">
      <w:pPr>
        <w:pStyle w:val="a3"/>
        <w:adjustRightInd w:val="0"/>
        <w:snapToGrid w:val="0"/>
        <w:spacing w:before="93" w:line="600" w:lineRule="exact"/>
        <w:ind w:firstLineChars="150" w:firstLine="480"/>
        <w:outlineLvl w:val="2"/>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（一）主要职能。</w:t>
      </w:r>
    </w:p>
    <w:p w14:paraId="46882409" w14:textId="77777777" w:rsidR="00F27157" w:rsidRDefault="00000000">
      <w:pPr>
        <w:spacing w:line="560" w:lineRule="exact"/>
        <w:rPr>
          <w:rFonts w:ascii="仿宋" w:eastAsia="仿宋" w:hAnsi="仿宋"/>
          <w:bCs/>
          <w:color w:val="000000"/>
          <w:kern w:val="0"/>
          <w:sz w:val="32"/>
          <w:szCs w:val="32"/>
        </w:rPr>
      </w:pPr>
      <w:r>
        <w:rPr>
          <w:rFonts w:ascii="仿宋_GB2312" w:eastAsia="仿宋_GB2312" w:hint="eastAsia"/>
          <w:b/>
          <w:bCs/>
          <w:sz w:val="32"/>
          <w:szCs w:val="32"/>
        </w:rPr>
        <w:t xml:space="preserve">    </w:t>
      </w:r>
      <w:r>
        <w:rPr>
          <w:rFonts w:ascii="仿宋" w:eastAsia="仿宋" w:hAnsi="仿宋" w:hint="eastAsia"/>
          <w:bCs/>
          <w:color w:val="000000"/>
          <w:kern w:val="0"/>
          <w:sz w:val="32"/>
          <w:szCs w:val="32"/>
        </w:rPr>
        <w:t>1、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有关重大政策措施贯彻落实情况进行跟踪审计。对审计、专项审计调查和核查社会审计机构相关审计报告的结果承担责任,并负有督促被审计单位整改的责任。</w:t>
      </w:r>
    </w:p>
    <w:p w14:paraId="6FDB4DB3"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2、贯彻执行国家和省、州、县有关审计工作的方针政策和法律法规。起草审计规范性文件草案。对直接审计、调查和核查的事项依法进行审计评价,做出审计决定或提出审计建议。</w:t>
      </w:r>
    </w:p>
    <w:p w14:paraId="4B40C376"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3、向县委审计委员会提出年度预算执行和其他财政支出情况审计报告。向县政府和州审计局提出年度预算执行及其他财政收支情况的审计结果报告。受县政府委托向县人大常委会提出预算执行和其他财政收支情况的审计工作报告、审计查出问题整改情况报告。向县委、县政府报告对其他事项的审计和专项审计调查情况及结果。依法向社会公布审计结果。向县有关部门通报审计情况和审计结果。</w:t>
      </w:r>
    </w:p>
    <w:p w14:paraId="0E977464"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lastRenderedPageBreak/>
        <w:t xml:space="preserve">    4、直接审计下列事项,出具审计报告,在法定职权范围内做出审计决定,包括国家和省、州、县有关重大政策措施贯彻落实情况。县级预算执行和其他财政收支,县级各部门预算执行情况、决算草案和其他财政收支。使用县级财政资金的事业单位和社会团体的财务收支。县政府投资和以政府投资为主的建设项目的预算执行情况和决算。重大公共工程项目的资金管理使用和建设运营情况。自然资源管理、污染防治和生态保护与修复情况。国有企业和地方金融机构、国有资本占控股或主导地位的企业和金融机构境内外资产、负债和损益,县政府及有关部门驻外非经营性机构的财务收支。有关社会保障基金、社会捐赠资金、安全生产和职业健康财政资金及其他基金、资金的财务收支。国际组织和外国政府援助、贷款项目。法律法规规定的其他事项。</w:t>
      </w:r>
    </w:p>
    <w:p w14:paraId="6358D0BB"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5、按规定对县管党政主要领导干部及其他单位主要负责人实施经济责任审计和自然资源资产离任审计。</w:t>
      </w:r>
    </w:p>
    <w:p w14:paraId="614C7CCF"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6、组织实施对国家财经法律法规、规章、政策和宏观调控措施执行情况、财政预算管理及国有资产管理使用等与县级财政收支有关的特定事项进行专项审计调查。</w:t>
      </w:r>
    </w:p>
    <w:p w14:paraId="4E5CFA19"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7、依法检查审计决定执行情况,督促整改审计查出的问题,依法办理被审计单位对审计决定提请行政复议、行政诉讼或县政府裁决中的有关事项,协助配合有关部门查处相关重大案件。</w:t>
      </w:r>
    </w:p>
    <w:p w14:paraId="5FF3764F"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8、指导和监督内部审计工作,核查社会审计机构对依法属于审计监督对象的单位出具的相关审计报告。</w:t>
      </w:r>
    </w:p>
    <w:p w14:paraId="1A0E9DC0"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lastRenderedPageBreak/>
        <w:t xml:space="preserve">    9、组织开展审计领域内的交流与合作,指导和组织开展信息技术在审计领域的应用。</w:t>
      </w:r>
    </w:p>
    <w:p w14:paraId="3DC69B8D" w14:textId="77777777" w:rsidR="00F27157" w:rsidRDefault="00000000">
      <w:pPr>
        <w:spacing w:line="56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10、完成县委、县政府交办的其他任务</w:t>
      </w:r>
    </w:p>
    <w:p w14:paraId="074A5109" w14:textId="77777777" w:rsidR="00F27157" w:rsidRDefault="00000000">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11、职能转变。优化审计工作机制坚持科技强审,完善业务流程,改进工作方式,加强与有关部门的沟通协调,充分调动内部审计和社会审计力量,增强监督合力。</w:t>
      </w:r>
      <w:bookmarkStart w:id="18" w:name="_Toc15377199"/>
      <w:bookmarkStart w:id="19" w:name="_Toc15378446"/>
      <w:bookmarkEnd w:id="16"/>
      <w:bookmarkEnd w:id="17"/>
    </w:p>
    <w:p w14:paraId="49136D75" w14:textId="77777777" w:rsidR="00F27157" w:rsidRDefault="00000000">
      <w:pPr>
        <w:pStyle w:val="a3"/>
        <w:adjustRightInd w:val="0"/>
        <w:snapToGrid w:val="0"/>
        <w:spacing w:before="93" w:line="600" w:lineRule="exact"/>
        <w:ind w:firstLineChars="200" w:firstLine="640"/>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8"/>
      <w:bookmarkEnd w:id="19"/>
    </w:p>
    <w:p w14:paraId="095AFB46" w14:textId="77777777" w:rsidR="00F27157" w:rsidRDefault="00000000">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2018年，我局认真履行法定职能职责，完成了2017年财政预算执行及决算（草案）编制情况审计、红原县地方税务局2017年度税收征管情况及经费保障情况审计，部门预算执行审计2个（司法局、教育局），专项审计调查1个(城镇保障性安居工程跟踪审计)，国家重大政策跟踪审计1个，配合相关部门开展联合检查工作2项，自然资源资产审计1个，经济责任审计1个，查出违规金额8.6万元，管理不规范金额 971.93万元，审计发现非金额计量问题6个，上缴财政资金20.98万元。政府投资建设项目审计共送审项目197个，已完成结算审计102个，审减额1543.45万元，审减率9.86%。提出审计建议21条，共提交审计工作（综合）报告、信息等13余篇。为促进我县机关效能建设,促进各项事业又好又快发展,维护国家财经纪律和经济秩序发挥积极作用。</w:t>
      </w:r>
    </w:p>
    <w:p w14:paraId="026650C6" w14:textId="77777777" w:rsidR="00F27157" w:rsidRDefault="00000000">
      <w:pPr>
        <w:pStyle w:val="2"/>
        <w:rPr>
          <w:rStyle w:val="20"/>
        </w:rPr>
      </w:pPr>
      <w:bookmarkStart w:id="20" w:name="_Toc15396601"/>
      <w:bookmarkStart w:id="21" w:name="_Toc15377200"/>
      <w:r>
        <w:rPr>
          <w:rFonts w:ascii="黑体" w:eastAsia="黑体" w:hint="eastAsia"/>
          <w:b w:val="0"/>
          <w:color w:val="000000"/>
        </w:rPr>
        <w:t>二、</w:t>
      </w:r>
      <w:r>
        <w:rPr>
          <w:rFonts w:ascii="黑体" w:eastAsia="黑体" w:hAnsi="黑体" w:hint="eastAsia"/>
          <w:b w:val="0"/>
          <w:color w:val="000000"/>
        </w:rPr>
        <w:t>机</w:t>
      </w:r>
      <w:r>
        <w:rPr>
          <w:rStyle w:val="20"/>
          <w:rFonts w:ascii="黑体" w:eastAsia="黑体" w:hAnsi="黑体" w:hint="eastAsia"/>
        </w:rPr>
        <w:t>构设置</w:t>
      </w:r>
      <w:bookmarkEnd w:id="20"/>
      <w:bookmarkEnd w:id="21"/>
    </w:p>
    <w:p w14:paraId="2A357314" w14:textId="77777777" w:rsidR="00F27157" w:rsidRDefault="00000000">
      <w:pPr>
        <w:ind w:firstLineChars="250" w:firstLine="750"/>
        <w:rPr>
          <w:rFonts w:ascii="仿宋" w:eastAsia="仿宋" w:hAnsi="仿宋"/>
          <w:color w:val="0000FF"/>
          <w:sz w:val="32"/>
          <w:szCs w:val="32"/>
        </w:rPr>
      </w:pPr>
      <w:bookmarkStart w:id="22" w:name="_Toc15377204"/>
      <w:bookmarkStart w:id="23" w:name="_Toc15396602"/>
      <w:r>
        <w:rPr>
          <w:rFonts w:ascii="仿宋_GB2312" w:eastAsia="仿宋_GB2312" w:hint="eastAsia"/>
          <w:sz w:val="30"/>
          <w:szCs w:val="30"/>
        </w:rPr>
        <w:t>红原县审计局本级是独立核算、独立编报预算的单位。内</w:t>
      </w:r>
      <w:r>
        <w:rPr>
          <w:rFonts w:ascii="仿宋_GB2312" w:eastAsia="仿宋_GB2312" w:hint="eastAsia"/>
          <w:sz w:val="30"/>
          <w:szCs w:val="30"/>
        </w:rPr>
        <w:lastRenderedPageBreak/>
        <w:t>设办公室、审计一室、审计二室、法规复核股等职能股室，下设审计中心事业机构。</w:t>
      </w:r>
    </w:p>
    <w:p w14:paraId="5F8C941E" w14:textId="77777777" w:rsidR="00F27157" w:rsidRDefault="00000000">
      <w:pPr>
        <w:pStyle w:val="1"/>
        <w:jc w:val="center"/>
        <w:rPr>
          <w:rFonts w:ascii="黑体" w:eastAsia="黑体" w:hAnsi="黑体"/>
          <w:bCs w:val="0"/>
        </w:rPr>
      </w:pPr>
      <w:r>
        <w:rPr>
          <w:rFonts w:ascii="黑体" w:eastAsia="黑体" w:hAnsi="黑体" w:hint="eastAsia"/>
          <w:b w:val="0"/>
        </w:rPr>
        <w:t xml:space="preserve">第二部分 </w:t>
      </w:r>
      <w:r>
        <w:rPr>
          <w:rFonts w:hint="eastAsia"/>
          <w:bCs w:val="0"/>
        </w:rPr>
        <w:t>2018</w:t>
      </w:r>
      <w:r>
        <w:rPr>
          <w:rFonts w:hint="eastAsia"/>
          <w:bCs w:val="0"/>
        </w:rPr>
        <w:t>年度部门决算情况说明</w:t>
      </w:r>
      <w:bookmarkEnd w:id="22"/>
      <w:bookmarkEnd w:id="23"/>
    </w:p>
    <w:p w14:paraId="2F1B292D" w14:textId="77777777" w:rsidR="00F27157" w:rsidRDefault="00F27157"/>
    <w:p w14:paraId="40077ADD" w14:textId="77777777" w:rsidR="00F27157" w:rsidRDefault="00000000">
      <w:pPr>
        <w:pStyle w:val="af"/>
        <w:numPr>
          <w:ilvl w:val="0"/>
          <w:numId w:val="1"/>
        </w:numPr>
        <w:spacing w:line="600" w:lineRule="exact"/>
        <w:ind w:firstLineChars="0"/>
        <w:outlineLvl w:val="1"/>
        <w:rPr>
          <w:rStyle w:val="20"/>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0"/>
          <w:rFonts w:ascii="黑体" w:eastAsia="黑体" w:hAnsi="黑体" w:hint="eastAsia"/>
          <w:b w:val="0"/>
        </w:rPr>
        <w:t>入支出决算总体情况说明</w:t>
      </w:r>
      <w:bookmarkEnd w:id="24"/>
      <w:bookmarkEnd w:id="25"/>
    </w:p>
    <w:p w14:paraId="7A01501D" w14:textId="77777777" w:rsidR="00F27157" w:rsidRDefault="00000000">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2018年度收入总计263.21万元。与2017年相比，收入总计增加57.9万元，增长28.2</w:t>
      </w:r>
      <w:r>
        <w:rPr>
          <w:rFonts w:ascii="仿宋" w:eastAsia="仿宋" w:hAnsi="仿宋"/>
          <w:color w:val="000000"/>
          <w:sz w:val="32"/>
          <w:szCs w:val="32"/>
        </w:rPr>
        <w:t>%</w:t>
      </w:r>
      <w:r>
        <w:rPr>
          <w:rFonts w:ascii="仿宋" w:eastAsia="仿宋" w:hAnsi="仿宋" w:hint="eastAsia"/>
          <w:color w:val="000000"/>
          <w:sz w:val="32"/>
          <w:szCs w:val="32"/>
        </w:rPr>
        <w:t>。主要变动原因2018年调资和人员增加。</w:t>
      </w:r>
    </w:p>
    <w:p w14:paraId="1F6B74F4" w14:textId="77777777" w:rsidR="00F27157" w:rsidRDefault="00000000">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2018年度支出总计566.32万元。与2017年相比支出增加326.6万元，增长136</w:t>
      </w:r>
      <w:r>
        <w:rPr>
          <w:rFonts w:ascii="仿宋" w:eastAsia="仿宋" w:hAnsi="仿宋"/>
          <w:color w:val="000000"/>
          <w:sz w:val="32"/>
          <w:szCs w:val="32"/>
        </w:rPr>
        <w:t>%</w:t>
      </w:r>
      <w:r>
        <w:rPr>
          <w:rFonts w:ascii="仿宋" w:eastAsia="仿宋" w:hAnsi="仿宋" w:hint="eastAsia"/>
          <w:color w:val="000000"/>
          <w:sz w:val="32"/>
          <w:szCs w:val="32"/>
        </w:rPr>
        <w:t>。主要变动原因支付往年审计公司审计服务费。</w:t>
      </w:r>
    </w:p>
    <w:p w14:paraId="78727766" w14:textId="77777777" w:rsidR="00F27157" w:rsidRDefault="00000000">
      <w:pPr>
        <w:spacing w:line="600" w:lineRule="exact"/>
        <w:ind w:firstLineChars="200" w:firstLine="640"/>
        <w:rPr>
          <w:rFonts w:ascii="仿宋" w:eastAsia="仿宋" w:hAnsi="仿宋"/>
          <w:color w:val="000000"/>
          <w:sz w:val="32"/>
          <w:szCs w:val="32"/>
        </w:rPr>
      </w:pPr>
      <w:r>
        <w:rPr>
          <w:rFonts w:ascii="仿宋_GB2312" w:eastAsia="仿宋_GB2312" w:hint="eastAsia"/>
          <w:noProof/>
          <w:color w:val="000000"/>
          <w:sz w:val="32"/>
          <w:szCs w:val="32"/>
        </w:rPr>
        <w:drawing>
          <wp:anchor distT="0" distB="0" distL="114300" distR="114300" simplePos="0" relativeHeight="251667456" behindDoc="0" locked="0" layoutInCell="1" allowOverlap="1" wp14:anchorId="3840701E" wp14:editId="1B1A0239">
            <wp:simplePos x="0" y="0"/>
            <wp:positionH relativeFrom="column">
              <wp:posOffset>228600</wp:posOffset>
            </wp:positionH>
            <wp:positionV relativeFrom="paragraph">
              <wp:posOffset>208280</wp:posOffset>
            </wp:positionV>
            <wp:extent cx="5080000" cy="2315210"/>
            <wp:effectExtent l="5080" t="4445" r="20320" b="23495"/>
            <wp:wrapNone/>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A5B7E30" w14:textId="77777777" w:rsidR="00F27157" w:rsidRDefault="00F27157">
      <w:pPr>
        <w:spacing w:line="600" w:lineRule="exact"/>
        <w:ind w:firstLineChars="200" w:firstLine="640"/>
        <w:rPr>
          <w:rFonts w:ascii="仿宋" w:eastAsia="仿宋" w:hAnsi="仿宋"/>
          <w:color w:val="000000"/>
          <w:sz w:val="32"/>
          <w:szCs w:val="32"/>
        </w:rPr>
      </w:pPr>
    </w:p>
    <w:p w14:paraId="0304D447" w14:textId="77777777" w:rsidR="00F27157" w:rsidRDefault="00F27157">
      <w:pPr>
        <w:spacing w:line="600" w:lineRule="exact"/>
        <w:ind w:firstLineChars="200" w:firstLine="640"/>
        <w:rPr>
          <w:rFonts w:ascii="仿宋" w:eastAsia="仿宋" w:hAnsi="仿宋"/>
          <w:color w:val="000000"/>
          <w:sz w:val="32"/>
          <w:szCs w:val="32"/>
        </w:rPr>
      </w:pPr>
    </w:p>
    <w:p w14:paraId="6B505D4A" w14:textId="77777777" w:rsidR="00F27157" w:rsidRDefault="00F27157">
      <w:pPr>
        <w:spacing w:line="600" w:lineRule="exact"/>
        <w:ind w:firstLineChars="200" w:firstLine="640"/>
        <w:rPr>
          <w:rFonts w:ascii="仿宋" w:eastAsia="仿宋" w:hAnsi="仿宋"/>
          <w:color w:val="000000"/>
          <w:sz w:val="32"/>
          <w:szCs w:val="32"/>
        </w:rPr>
      </w:pPr>
    </w:p>
    <w:p w14:paraId="0517D441" w14:textId="77777777" w:rsidR="00F27157" w:rsidRDefault="00F27157">
      <w:pPr>
        <w:spacing w:line="600" w:lineRule="exact"/>
        <w:ind w:firstLineChars="200" w:firstLine="640"/>
        <w:rPr>
          <w:rFonts w:ascii="仿宋" w:eastAsia="仿宋" w:hAnsi="仿宋"/>
          <w:color w:val="000000"/>
          <w:sz w:val="32"/>
          <w:szCs w:val="32"/>
        </w:rPr>
      </w:pPr>
    </w:p>
    <w:p w14:paraId="7E366919" w14:textId="77777777" w:rsidR="00F27157" w:rsidRDefault="00F27157">
      <w:pPr>
        <w:spacing w:line="600" w:lineRule="exact"/>
        <w:ind w:firstLineChars="200" w:firstLine="640"/>
        <w:rPr>
          <w:rFonts w:ascii="仿宋" w:eastAsia="仿宋" w:hAnsi="仿宋"/>
          <w:color w:val="000000" w:themeColor="text1"/>
          <w:sz w:val="32"/>
          <w:szCs w:val="32"/>
        </w:rPr>
      </w:pPr>
    </w:p>
    <w:p w14:paraId="086AD9B9" w14:textId="77777777" w:rsidR="00F27157" w:rsidRDefault="00F27157">
      <w:pPr>
        <w:spacing w:line="600" w:lineRule="exact"/>
        <w:ind w:firstLineChars="200" w:firstLine="640"/>
        <w:rPr>
          <w:rFonts w:ascii="仿宋" w:eastAsia="仿宋" w:hAnsi="仿宋"/>
          <w:color w:val="000000" w:themeColor="text1"/>
          <w:sz w:val="32"/>
          <w:szCs w:val="32"/>
        </w:rPr>
      </w:pPr>
    </w:p>
    <w:p w14:paraId="062F4894" w14:textId="77777777" w:rsidR="00F27157" w:rsidRDefault="00000000">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w:t>
      </w:r>
      <w:r>
        <w:rPr>
          <w:rFonts w:ascii="仿宋" w:eastAsia="仿宋" w:hAnsi="仿宋"/>
          <w:color w:val="000000" w:themeColor="text1"/>
          <w:sz w:val="32"/>
          <w:szCs w:val="32"/>
        </w:rPr>
        <w:t>1</w:t>
      </w:r>
      <w:r>
        <w:rPr>
          <w:rFonts w:ascii="仿宋" w:eastAsia="仿宋" w:hAnsi="仿宋" w:hint="eastAsia"/>
          <w:color w:val="000000" w:themeColor="text1"/>
          <w:sz w:val="32"/>
          <w:szCs w:val="32"/>
        </w:rPr>
        <w:t>：收、支决算总计变动情况图）</w:t>
      </w:r>
      <w:bookmarkStart w:id="26" w:name="_Toc15396604"/>
      <w:bookmarkStart w:id="27" w:name="_Toc15377206"/>
    </w:p>
    <w:p w14:paraId="5F001C59" w14:textId="77777777" w:rsidR="00F27157" w:rsidRDefault="00000000">
      <w:pPr>
        <w:spacing w:line="600" w:lineRule="exact"/>
        <w:ind w:firstLineChars="200" w:firstLine="640"/>
        <w:rPr>
          <w:rStyle w:val="20"/>
          <w:rFonts w:ascii="黑体" w:eastAsia="黑体" w:hAnsi="黑体"/>
          <w:b w:val="0"/>
        </w:rPr>
      </w:pPr>
      <w:r>
        <w:rPr>
          <w:rFonts w:ascii="黑体" w:eastAsia="黑体" w:hAnsi="黑体" w:hint="eastAsia"/>
          <w:color w:val="000000"/>
          <w:sz w:val="32"/>
          <w:szCs w:val="32"/>
        </w:rPr>
        <w:t>二、</w:t>
      </w:r>
      <w:r>
        <w:rPr>
          <w:rStyle w:val="20"/>
          <w:rFonts w:ascii="黑体" w:eastAsia="黑体" w:hAnsi="黑体" w:hint="eastAsia"/>
          <w:b w:val="0"/>
        </w:rPr>
        <w:t>决算情况说明</w:t>
      </w:r>
      <w:bookmarkEnd w:id="26"/>
      <w:bookmarkEnd w:id="27"/>
    </w:p>
    <w:p w14:paraId="224C6038" w14:textId="77777777" w:rsidR="00F27157" w:rsidRDefault="00000000">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8年本年收入合计263.21万元，其中：一般公共预算财政拨款收入243.2万元，占92.4</w:t>
      </w:r>
      <w:r>
        <w:rPr>
          <w:rFonts w:ascii="仿宋" w:eastAsia="仿宋" w:hAnsi="仿宋"/>
          <w:color w:val="000000"/>
          <w:sz w:val="32"/>
          <w:szCs w:val="32"/>
        </w:rPr>
        <w:t>%</w:t>
      </w:r>
      <w:r>
        <w:rPr>
          <w:rFonts w:ascii="仿宋" w:eastAsia="仿宋" w:hAnsi="仿宋" w:hint="eastAsia"/>
          <w:color w:val="000000"/>
          <w:sz w:val="32"/>
          <w:szCs w:val="32"/>
        </w:rPr>
        <w:t>；政府性基金预算财</w:t>
      </w:r>
      <w:r>
        <w:rPr>
          <w:rFonts w:ascii="仿宋" w:eastAsia="仿宋" w:hAnsi="仿宋" w:hint="eastAsia"/>
          <w:color w:val="000000"/>
          <w:sz w:val="32"/>
          <w:szCs w:val="32"/>
        </w:rPr>
        <w:lastRenderedPageBreak/>
        <w:t>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；其他收入20.01万元，占7.6</w:t>
      </w:r>
      <w:r>
        <w:rPr>
          <w:rFonts w:ascii="仿宋" w:eastAsia="仿宋" w:hAnsi="仿宋"/>
          <w:color w:val="000000"/>
          <w:sz w:val="32"/>
          <w:szCs w:val="32"/>
        </w:rPr>
        <w:t>%</w:t>
      </w:r>
      <w:r>
        <w:rPr>
          <w:rFonts w:ascii="仿宋" w:eastAsia="仿宋" w:hAnsi="仿宋" w:hint="eastAsia"/>
          <w:color w:val="000000"/>
          <w:sz w:val="32"/>
          <w:szCs w:val="32"/>
        </w:rPr>
        <w:t>。</w:t>
      </w:r>
    </w:p>
    <w:p w14:paraId="67140EAC" w14:textId="77777777" w:rsidR="00F27157" w:rsidRDefault="00000000">
      <w:pPr>
        <w:spacing w:line="600" w:lineRule="exact"/>
        <w:ind w:firstLineChars="200" w:firstLine="640"/>
        <w:outlineLvl w:val="1"/>
        <w:rPr>
          <w:rFonts w:ascii="仿宋" w:eastAsia="仿宋" w:hAnsi="仿宋"/>
          <w:color w:val="000000"/>
          <w:sz w:val="32"/>
          <w:szCs w:val="32"/>
        </w:rPr>
      </w:pPr>
      <w:r>
        <w:rPr>
          <w:rFonts w:ascii="仿宋_GB2312" w:eastAsia="仿宋_GB2312" w:hint="eastAsia"/>
          <w:noProof/>
          <w:color w:val="FF0000"/>
          <w:sz w:val="32"/>
          <w:szCs w:val="32"/>
        </w:rPr>
        <w:drawing>
          <wp:anchor distT="0" distB="0" distL="114300" distR="114300" simplePos="0" relativeHeight="251668480" behindDoc="1" locked="0" layoutInCell="1" allowOverlap="1" wp14:anchorId="4FD3F795" wp14:editId="11CDF5C9">
            <wp:simplePos x="0" y="0"/>
            <wp:positionH relativeFrom="column">
              <wp:posOffset>71120</wp:posOffset>
            </wp:positionH>
            <wp:positionV relativeFrom="paragraph">
              <wp:posOffset>119380</wp:posOffset>
            </wp:positionV>
            <wp:extent cx="4487545" cy="2551430"/>
            <wp:effectExtent l="4445" t="5080" r="22860" b="15240"/>
            <wp:wrapTight wrapText="bothSides">
              <wp:wrapPolygon edited="0">
                <wp:start x="-21" y="-43"/>
                <wp:lineTo x="-21" y="21406"/>
                <wp:lineTo x="21527" y="21406"/>
                <wp:lineTo x="21527" y="-43"/>
                <wp:lineTo x="-21" y="-43"/>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783BD85" w14:textId="77777777" w:rsidR="00F27157" w:rsidRDefault="00F27157">
      <w:pPr>
        <w:spacing w:line="600" w:lineRule="exact"/>
        <w:ind w:firstLineChars="200" w:firstLine="640"/>
        <w:outlineLvl w:val="1"/>
        <w:rPr>
          <w:rFonts w:ascii="仿宋" w:eastAsia="仿宋" w:hAnsi="仿宋"/>
          <w:color w:val="000000"/>
          <w:sz w:val="32"/>
          <w:szCs w:val="32"/>
        </w:rPr>
      </w:pPr>
    </w:p>
    <w:p w14:paraId="640A5368" w14:textId="77777777" w:rsidR="00F27157" w:rsidRDefault="00F27157">
      <w:pPr>
        <w:spacing w:line="600" w:lineRule="exact"/>
        <w:ind w:firstLineChars="200" w:firstLine="640"/>
        <w:outlineLvl w:val="1"/>
        <w:rPr>
          <w:rFonts w:ascii="仿宋" w:eastAsia="仿宋" w:hAnsi="仿宋"/>
          <w:color w:val="000000"/>
          <w:sz w:val="32"/>
          <w:szCs w:val="32"/>
        </w:rPr>
      </w:pPr>
    </w:p>
    <w:p w14:paraId="7B2EB08B" w14:textId="77777777" w:rsidR="00F27157" w:rsidRDefault="00F27157">
      <w:pPr>
        <w:spacing w:line="600" w:lineRule="exact"/>
        <w:ind w:firstLineChars="200" w:firstLine="640"/>
        <w:outlineLvl w:val="1"/>
        <w:rPr>
          <w:rFonts w:ascii="仿宋" w:eastAsia="仿宋" w:hAnsi="仿宋"/>
          <w:color w:val="000000"/>
          <w:sz w:val="32"/>
          <w:szCs w:val="32"/>
        </w:rPr>
      </w:pPr>
    </w:p>
    <w:p w14:paraId="4937B6B0" w14:textId="77777777" w:rsidR="00F27157" w:rsidRDefault="00F27157">
      <w:pPr>
        <w:spacing w:line="600" w:lineRule="exact"/>
        <w:ind w:firstLineChars="200" w:firstLine="640"/>
        <w:outlineLvl w:val="1"/>
        <w:rPr>
          <w:rFonts w:ascii="仿宋" w:eastAsia="仿宋" w:hAnsi="仿宋"/>
          <w:color w:val="000000"/>
          <w:sz w:val="32"/>
          <w:szCs w:val="32"/>
        </w:rPr>
      </w:pPr>
    </w:p>
    <w:p w14:paraId="796850E1" w14:textId="77777777" w:rsidR="00F27157" w:rsidRDefault="00000000">
      <w:pPr>
        <w:spacing w:line="600" w:lineRule="exact"/>
        <w:ind w:firstLineChars="200" w:firstLine="640"/>
        <w:rPr>
          <w:rFonts w:ascii="仿宋_GB2312" w:eastAsia="仿宋_GB2312"/>
          <w:color w:val="FF0000"/>
          <w:sz w:val="32"/>
          <w:szCs w:val="32"/>
        </w:rPr>
      </w:pPr>
      <w:r>
        <w:rPr>
          <w:rFonts w:ascii="仿宋" w:eastAsia="仿宋" w:hAnsi="仿宋" w:hint="eastAsia"/>
          <w:color w:val="000000" w:themeColor="text1"/>
          <w:sz w:val="32"/>
          <w:szCs w:val="32"/>
        </w:rPr>
        <w:t>（图2：收入决算结构图）</w:t>
      </w:r>
    </w:p>
    <w:p w14:paraId="31F3CADD" w14:textId="77777777" w:rsidR="00F27157" w:rsidRDefault="00000000">
      <w:pPr>
        <w:pStyle w:val="af"/>
        <w:numPr>
          <w:ilvl w:val="0"/>
          <w:numId w:val="2"/>
        </w:numPr>
        <w:spacing w:line="600" w:lineRule="exact"/>
        <w:ind w:firstLineChars="0"/>
        <w:outlineLvl w:val="1"/>
        <w:rPr>
          <w:rStyle w:val="20"/>
          <w:rFonts w:ascii="黑体" w:eastAsia="黑体" w:hAnsi="黑体"/>
          <w:b w:val="0"/>
        </w:rPr>
      </w:pPr>
      <w:bookmarkStart w:id="28" w:name="_Toc15377207"/>
      <w:bookmarkStart w:id="29" w:name="_Toc15396605"/>
      <w:r>
        <w:rPr>
          <w:rStyle w:val="20"/>
          <w:rFonts w:ascii="黑体" w:eastAsia="黑体" w:hAnsi="黑体" w:hint="eastAsia"/>
          <w:b w:val="0"/>
        </w:rPr>
        <w:t>决算情况说明</w:t>
      </w:r>
      <w:bookmarkEnd w:id="28"/>
      <w:bookmarkEnd w:id="29"/>
    </w:p>
    <w:p w14:paraId="70BA5553" w14:textId="77777777" w:rsidR="00F27157" w:rsidRDefault="0000000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8年本年支出合计566.31万元，其中：基本支出219.52万元，占38.8</w:t>
      </w:r>
      <w:r>
        <w:rPr>
          <w:rFonts w:ascii="仿宋" w:eastAsia="仿宋" w:hAnsi="仿宋"/>
          <w:color w:val="000000"/>
          <w:sz w:val="32"/>
          <w:szCs w:val="32"/>
        </w:rPr>
        <w:t>%</w:t>
      </w:r>
      <w:r>
        <w:rPr>
          <w:rFonts w:ascii="仿宋" w:eastAsia="仿宋" w:hAnsi="仿宋" w:hint="eastAsia"/>
          <w:color w:val="000000"/>
          <w:sz w:val="32"/>
          <w:szCs w:val="32"/>
        </w:rPr>
        <w:t>；项目支出346.79万元，占61.2</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14:paraId="37685793" w14:textId="77777777" w:rsidR="00F27157" w:rsidRDefault="00000000">
      <w:pPr>
        <w:spacing w:line="600" w:lineRule="exact"/>
        <w:ind w:firstLineChars="200" w:firstLine="640"/>
        <w:rPr>
          <w:rFonts w:ascii="仿宋_GB2312" w:eastAsia="仿宋_GB2312"/>
          <w:color w:val="FF0000"/>
          <w:sz w:val="32"/>
          <w:szCs w:val="32"/>
        </w:rPr>
      </w:pPr>
      <w:r>
        <w:rPr>
          <w:rFonts w:ascii="仿宋" w:eastAsia="仿宋" w:hAnsi="仿宋" w:hint="eastAsia"/>
          <w:noProof/>
          <w:color w:val="000000" w:themeColor="text1"/>
          <w:sz w:val="32"/>
          <w:szCs w:val="32"/>
        </w:rPr>
        <w:lastRenderedPageBreak/>
        <w:drawing>
          <wp:anchor distT="0" distB="0" distL="114300" distR="114300" simplePos="0" relativeHeight="251697152" behindDoc="0" locked="0" layoutInCell="1" allowOverlap="1" wp14:anchorId="255ACDA7" wp14:editId="27904AE6">
            <wp:simplePos x="0" y="0"/>
            <wp:positionH relativeFrom="column">
              <wp:posOffset>-5080</wp:posOffset>
            </wp:positionH>
            <wp:positionV relativeFrom="paragraph">
              <wp:posOffset>189230</wp:posOffset>
            </wp:positionV>
            <wp:extent cx="5211445" cy="2074545"/>
            <wp:effectExtent l="4445" t="4445" r="22860" b="16510"/>
            <wp:wrapSquare wrapText="bothSides"/>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hAnsi="仿宋" w:hint="eastAsia"/>
          <w:color w:val="000000" w:themeColor="text1"/>
          <w:sz w:val="32"/>
          <w:szCs w:val="32"/>
        </w:rPr>
        <w:t>（图3：支出决算结构图）</w:t>
      </w:r>
    </w:p>
    <w:p w14:paraId="38F47726" w14:textId="77777777" w:rsidR="00F27157" w:rsidRDefault="00000000">
      <w:pPr>
        <w:spacing w:line="600" w:lineRule="exact"/>
        <w:ind w:firstLineChars="200" w:firstLine="640"/>
        <w:outlineLvl w:val="1"/>
        <w:rPr>
          <w:rStyle w:val="20"/>
          <w:rFonts w:ascii="黑体" w:eastAsia="黑体" w:hAnsi="黑体"/>
          <w:b w:val="0"/>
        </w:rPr>
      </w:pPr>
      <w:bookmarkStart w:id="30" w:name="_Toc15396606"/>
      <w:bookmarkStart w:id="31" w:name="_Toc15377208"/>
      <w:r>
        <w:rPr>
          <w:rFonts w:ascii="黑体" w:eastAsia="黑体" w:hAnsi="黑体" w:hint="eastAsia"/>
          <w:color w:val="000000"/>
          <w:sz w:val="32"/>
          <w:szCs w:val="32"/>
        </w:rPr>
        <w:t>四、财</w:t>
      </w:r>
      <w:r>
        <w:rPr>
          <w:rStyle w:val="20"/>
          <w:rFonts w:ascii="黑体" w:eastAsia="黑体" w:hAnsi="黑体" w:hint="eastAsia"/>
          <w:b w:val="0"/>
        </w:rPr>
        <w:t>政拨款收入支出决算总体情况说明</w:t>
      </w:r>
      <w:bookmarkEnd w:id="30"/>
      <w:bookmarkEnd w:id="31"/>
    </w:p>
    <w:p w14:paraId="158BB0FE" w14:textId="77777777" w:rsidR="00F27157" w:rsidRDefault="00000000">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8年财政拨款收入总计243.2万元。与</w:t>
      </w:r>
      <w:r>
        <w:rPr>
          <w:rFonts w:ascii="仿宋" w:eastAsia="仿宋" w:hAnsi="仿宋"/>
          <w:color w:val="000000"/>
          <w:sz w:val="32"/>
          <w:szCs w:val="32"/>
        </w:rPr>
        <w:t>201</w:t>
      </w:r>
      <w:r>
        <w:rPr>
          <w:rFonts w:ascii="仿宋" w:eastAsia="仿宋" w:hAnsi="仿宋" w:hint="eastAsia"/>
          <w:color w:val="000000"/>
          <w:sz w:val="32"/>
          <w:szCs w:val="32"/>
        </w:rPr>
        <w:t>7年相比，财政拨款收入增加37.9万元，增长18.5</w:t>
      </w:r>
      <w:r>
        <w:rPr>
          <w:rFonts w:ascii="仿宋" w:eastAsia="仿宋" w:hAnsi="仿宋"/>
          <w:color w:val="000000"/>
          <w:sz w:val="32"/>
          <w:szCs w:val="32"/>
        </w:rPr>
        <w:t>%</w:t>
      </w:r>
      <w:r>
        <w:rPr>
          <w:rFonts w:ascii="仿宋" w:eastAsia="仿宋" w:hAnsi="仿宋" w:hint="eastAsia"/>
          <w:color w:val="000000"/>
          <w:sz w:val="32"/>
          <w:szCs w:val="32"/>
        </w:rPr>
        <w:t>。主要变动原因是调资和人员增加。</w:t>
      </w:r>
    </w:p>
    <w:p w14:paraId="2B11BEFD" w14:textId="77777777" w:rsidR="00F27157" w:rsidRDefault="00000000">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20148年财政拨款支出总计566.32万元。与2017年相比，财政拨款支出增加326.6万元，增长136</w:t>
      </w:r>
      <w:r>
        <w:rPr>
          <w:rFonts w:ascii="仿宋" w:eastAsia="仿宋" w:hAnsi="仿宋"/>
          <w:color w:val="000000"/>
          <w:sz w:val="32"/>
          <w:szCs w:val="32"/>
        </w:rPr>
        <w:t>%</w:t>
      </w:r>
      <w:r>
        <w:rPr>
          <w:rFonts w:ascii="仿宋" w:eastAsia="仿宋" w:hAnsi="仿宋" w:hint="eastAsia"/>
          <w:color w:val="000000"/>
          <w:sz w:val="32"/>
          <w:szCs w:val="32"/>
        </w:rPr>
        <w:t>。主要变动原因支付往年审计公司审计服务费。</w:t>
      </w:r>
    </w:p>
    <w:p w14:paraId="62D8CB05" w14:textId="77777777" w:rsidR="00F27157" w:rsidRDefault="00000000">
      <w:pPr>
        <w:spacing w:line="600" w:lineRule="exact"/>
        <w:ind w:firstLineChars="200" w:firstLine="643"/>
        <w:rPr>
          <w:rFonts w:ascii="仿宋" w:eastAsia="仿宋" w:hAnsi="仿宋"/>
          <w:color w:val="000000" w:themeColor="text1"/>
          <w:sz w:val="32"/>
          <w:szCs w:val="32"/>
        </w:rPr>
      </w:pPr>
      <w:r>
        <w:rPr>
          <w:rFonts w:ascii="仿宋" w:eastAsia="仿宋" w:hAnsi="仿宋" w:hint="eastAsia"/>
          <w:b/>
          <w:noProof/>
          <w:color w:val="00B050"/>
          <w:sz w:val="32"/>
          <w:szCs w:val="32"/>
        </w:rPr>
        <w:drawing>
          <wp:anchor distT="0" distB="0" distL="114300" distR="114300" simplePos="0" relativeHeight="251710464" behindDoc="1" locked="0" layoutInCell="1" allowOverlap="1" wp14:anchorId="65961B1D" wp14:editId="4A9B2544">
            <wp:simplePos x="0" y="0"/>
            <wp:positionH relativeFrom="column">
              <wp:posOffset>223520</wp:posOffset>
            </wp:positionH>
            <wp:positionV relativeFrom="paragraph">
              <wp:posOffset>156845</wp:posOffset>
            </wp:positionV>
            <wp:extent cx="5042535" cy="2600960"/>
            <wp:effectExtent l="4445" t="4445" r="20320" b="23495"/>
            <wp:wrapThrough wrapText="bothSides">
              <wp:wrapPolygon edited="0">
                <wp:start x="-19" y="-37"/>
                <wp:lineTo x="-19" y="21479"/>
                <wp:lineTo x="21524" y="21479"/>
                <wp:lineTo x="21524" y="-37"/>
                <wp:lineTo x="-19" y="-37"/>
              </wp:wrapPolygon>
            </wp:wrapThrough>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eastAsia="仿宋" w:hAnsi="仿宋" w:hint="eastAsia"/>
          <w:color w:val="000000" w:themeColor="text1"/>
          <w:sz w:val="32"/>
          <w:szCs w:val="32"/>
        </w:rPr>
        <w:t>（图4：财政拨款收、支决算总计变动情况）</w:t>
      </w:r>
    </w:p>
    <w:p w14:paraId="31F17A39" w14:textId="77777777" w:rsidR="00F27157" w:rsidRDefault="00000000">
      <w:pPr>
        <w:spacing w:line="600" w:lineRule="exact"/>
        <w:ind w:firstLineChars="200" w:firstLine="640"/>
        <w:outlineLvl w:val="1"/>
        <w:rPr>
          <w:rStyle w:val="20"/>
          <w:rFonts w:ascii="黑体" w:eastAsia="黑体" w:hAnsi="黑体"/>
          <w:b w:val="0"/>
        </w:rPr>
      </w:pPr>
      <w:bookmarkStart w:id="32" w:name="_Toc15377209"/>
      <w:bookmarkStart w:id="33" w:name="_Toc15396607"/>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0"/>
          <w:rFonts w:ascii="黑体" w:eastAsia="黑体" w:hAnsi="黑体" w:hint="eastAsia"/>
          <w:b w:val="0"/>
        </w:rPr>
        <w:t>般公共预算财政拨款支出决算情况说明</w:t>
      </w:r>
      <w:bookmarkEnd w:id="32"/>
      <w:bookmarkEnd w:id="33"/>
    </w:p>
    <w:p w14:paraId="17EABCC5" w14:textId="77777777" w:rsidR="00F27157" w:rsidRDefault="00000000">
      <w:pPr>
        <w:spacing w:line="600" w:lineRule="exact"/>
        <w:ind w:firstLineChars="200" w:firstLine="640"/>
        <w:outlineLvl w:val="2"/>
        <w:rPr>
          <w:rFonts w:ascii="仿宋" w:eastAsia="仿宋" w:hAnsi="仿宋"/>
          <w:b/>
          <w:color w:val="000000"/>
          <w:sz w:val="32"/>
          <w:szCs w:val="32"/>
        </w:rPr>
      </w:pPr>
      <w:bookmarkStart w:id="34" w:name="_Toc15377210"/>
      <w:r>
        <w:rPr>
          <w:rFonts w:ascii="仿宋" w:eastAsia="仿宋" w:hAnsi="仿宋" w:hint="eastAsia"/>
          <w:noProof/>
          <w:color w:val="000000" w:themeColor="text1"/>
          <w:sz w:val="32"/>
          <w:szCs w:val="32"/>
        </w:rPr>
        <w:drawing>
          <wp:anchor distT="0" distB="0" distL="114300" distR="114300" simplePos="0" relativeHeight="251717632" behindDoc="0" locked="0" layoutInCell="1" allowOverlap="1" wp14:anchorId="3CF1739A" wp14:editId="15ECA2E1">
            <wp:simplePos x="0" y="0"/>
            <wp:positionH relativeFrom="column">
              <wp:posOffset>224790</wp:posOffset>
            </wp:positionH>
            <wp:positionV relativeFrom="paragraph">
              <wp:posOffset>634365</wp:posOffset>
            </wp:positionV>
            <wp:extent cx="4928870" cy="2245360"/>
            <wp:effectExtent l="4445" t="4445" r="19685"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hAnsi="仿宋" w:hint="eastAsia"/>
          <w:b/>
          <w:color w:val="000000"/>
          <w:sz w:val="32"/>
          <w:szCs w:val="32"/>
        </w:rPr>
        <w:t>（一）一般公共预算财政拨款支出决算总体情况</w:t>
      </w:r>
      <w:bookmarkEnd w:id="34"/>
    </w:p>
    <w:p w14:paraId="23587FCD" w14:textId="77777777" w:rsidR="00F27157" w:rsidRDefault="00000000">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8年一般公共预算财政拨款支出566.32万元，占本年支出合计的100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7年相比，一般公共预算财政拨款增加326.6万元，增长136</w:t>
      </w:r>
      <w:r>
        <w:rPr>
          <w:rFonts w:ascii="仿宋" w:eastAsia="仿宋" w:hAnsi="仿宋"/>
          <w:color w:val="000000"/>
          <w:sz w:val="32"/>
          <w:szCs w:val="32"/>
        </w:rPr>
        <w:t>%</w:t>
      </w:r>
      <w:r>
        <w:rPr>
          <w:rFonts w:ascii="仿宋" w:eastAsia="仿宋" w:hAnsi="仿宋" w:hint="eastAsia"/>
          <w:color w:val="000000"/>
          <w:sz w:val="32"/>
          <w:szCs w:val="32"/>
        </w:rPr>
        <w:t>。主要变动原因支付往年审计公司审计服务费。</w:t>
      </w:r>
    </w:p>
    <w:p w14:paraId="152B91B9" w14:textId="77777777" w:rsidR="00F27157" w:rsidRDefault="00000000">
      <w:pPr>
        <w:spacing w:line="600" w:lineRule="exact"/>
        <w:ind w:firstLineChars="200" w:firstLine="643"/>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14:paraId="43822D2A" w14:textId="77777777" w:rsidR="00F27157" w:rsidRDefault="00000000">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政拨款支出566.25万元，主要用于以下方面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Pr>
          <w:rFonts w:ascii="仿宋" w:eastAsia="仿宋" w:hAnsi="仿宋" w:hint="eastAsia"/>
          <w:color w:val="000000" w:themeColor="text1"/>
          <w:sz w:val="32"/>
          <w:szCs w:val="32"/>
        </w:rPr>
        <w:t>支出514.81万元，占90.9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w:t>
      </w:r>
      <w:r>
        <w:rPr>
          <w:rFonts w:ascii="仿宋" w:eastAsia="仿宋" w:hAnsi="仿宋" w:hint="eastAsia"/>
          <w:color w:val="000000" w:themeColor="text1"/>
          <w:sz w:val="32"/>
          <w:szCs w:val="32"/>
        </w:rPr>
        <w:t>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w:t>
      </w:r>
      <w:r>
        <w:rPr>
          <w:rFonts w:ascii="仿宋" w:eastAsia="仿宋" w:hAnsi="仿宋" w:hint="eastAsia"/>
          <w:color w:val="000000" w:themeColor="text1"/>
          <w:sz w:val="32"/>
          <w:szCs w:val="32"/>
        </w:rPr>
        <w:t>支出0万元，占0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Pr>
          <w:rFonts w:ascii="仿宋" w:eastAsia="仿宋" w:hAnsi="仿宋" w:hint="eastAsia"/>
          <w:color w:val="000000" w:themeColor="text1"/>
          <w:sz w:val="32"/>
          <w:szCs w:val="32"/>
        </w:rPr>
        <w:t>支出28.77万元，占5.1</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；医疗卫生支出9.08万元，占1.6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住房保障</w:t>
      </w:r>
      <w:r>
        <w:rPr>
          <w:rFonts w:ascii="仿宋" w:eastAsia="仿宋" w:hAnsi="仿宋" w:hint="eastAsia"/>
          <w:color w:val="000000" w:themeColor="text1"/>
          <w:sz w:val="32"/>
          <w:szCs w:val="32"/>
        </w:rPr>
        <w:t>支出13.59万元，占2.4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14:paraId="740B7E9E" w14:textId="77777777" w:rsidR="00F27157" w:rsidRDefault="00000000">
      <w:pPr>
        <w:spacing w:line="600" w:lineRule="exact"/>
        <w:ind w:firstLine="640"/>
        <w:rPr>
          <w:rFonts w:ascii="仿宋" w:eastAsia="仿宋" w:hAnsi="仿宋"/>
          <w:color w:val="000000" w:themeColor="text1"/>
          <w:sz w:val="32"/>
          <w:szCs w:val="32"/>
        </w:rPr>
      </w:pPr>
      <w:r>
        <w:rPr>
          <w:rFonts w:ascii="仿宋" w:eastAsia="仿宋" w:hAnsi="仿宋" w:hint="eastAsia"/>
          <w:noProof/>
          <w:color w:val="000000"/>
          <w:sz w:val="32"/>
          <w:szCs w:val="32"/>
        </w:rPr>
        <w:drawing>
          <wp:anchor distT="0" distB="0" distL="114300" distR="114300" simplePos="0" relativeHeight="251722752" behindDoc="0" locked="0" layoutInCell="1" allowOverlap="1" wp14:anchorId="3231539A" wp14:editId="296107D3">
            <wp:simplePos x="0" y="0"/>
            <wp:positionH relativeFrom="column">
              <wp:posOffset>519430</wp:posOffset>
            </wp:positionH>
            <wp:positionV relativeFrom="paragraph">
              <wp:posOffset>186055</wp:posOffset>
            </wp:positionV>
            <wp:extent cx="4130675" cy="2357755"/>
            <wp:effectExtent l="4445" t="4445" r="17780" b="1905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780575D8" w14:textId="77777777" w:rsidR="00F27157" w:rsidRDefault="00F27157">
      <w:pPr>
        <w:spacing w:line="600" w:lineRule="exact"/>
        <w:ind w:firstLine="640"/>
        <w:rPr>
          <w:rFonts w:ascii="仿宋" w:eastAsia="仿宋" w:hAnsi="仿宋"/>
          <w:color w:val="000000" w:themeColor="text1"/>
          <w:sz w:val="32"/>
          <w:szCs w:val="32"/>
        </w:rPr>
      </w:pPr>
    </w:p>
    <w:p w14:paraId="0486E8D1" w14:textId="77777777" w:rsidR="00F27157" w:rsidRDefault="00F27157">
      <w:pPr>
        <w:spacing w:line="600" w:lineRule="exact"/>
        <w:ind w:firstLineChars="200" w:firstLine="640"/>
        <w:rPr>
          <w:rFonts w:ascii="仿宋" w:eastAsia="仿宋" w:hAnsi="仿宋"/>
          <w:color w:val="000000"/>
          <w:sz w:val="32"/>
          <w:szCs w:val="32"/>
        </w:rPr>
      </w:pPr>
    </w:p>
    <w:p w14:paraId="469E4B74" w14:textId="77777777" w:rsidR="00F27157" w:rsidRDefault="00000000">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（图6：一般公共预算财政拨款支出决算结构）</w:t>
      </w:r>
    </w:p>
    <w:p w14:paraId="41C17D74" w14:textId="77777777" w:rsidR="00F27157" w:rsidRDefault="00000000">
      <w:pPr>
        <w:spacing w:line="600" w:lineRule="exact"/>
        <w:ind w:firstLineChars="200" w:firstLine="643"/>
        <w:outlineLvl w:val="2"/>
        <w:rPr>
          <w:rFonts w:ascii="仿宋" w:eastAsia="仿宋" w:hAnsi="仿宋"/>
          <w:b/>
          <w:color w:val="000000"/>
          <w:sz w:val="32"/>
          <w:szCs w:val="32"/>
        </w:rPr>
      </w:pPr>
      <w:bookmarkStart w:id="36" w:name="_Toc15377212"/>
      <w:r>
        <w:rPr>
          <w:rFonts w:ascii="仿宋" w:eastAsia="仿宋" w:hAnsi="仿宋" w:hint="eastAsia"/>
          <w:b/>
          <w:color w:val="000000"/>
          <w:sz w:val="32"/>
          <w:szCs w:val="32"/>
        </w:rPr>
        <w:t>（三）一般公共预算财政拨款支出决算具体情况</w:t>
      </w:r>
      <w:bookmarkEnd w:id="36"/>
    </w:p>
    <w:p w14:paraId="36F69C97" w14:textId="77777777" w:rsidR="00F27157" w:rsidRDefault="00000000">
      <w:pPr>
        <w:spacing w:line="600" w:lineRule="exact"/>
        <w:ind w:firstLineChars="200" w:firstLine="643"/>
        <w:outlineLvl w:val="2"/>
        <w:rPr>
          <w:rFonts w:ascii="仿宋" w:eastAsia="仿宋" w:hAnsi="仿宋"/>
          <w:color w:val="FF0000"/>
          <w:sz w:val="32"/>
          <w:szCs w:val="32"/>
        </w:rPr>
      </w:pPr>
      <w:bookmarkStart w:id="37" w:name="_Toc15377213"/>
      <w:bookmarkStart w:id="38" w:name="_Toc15377444"/>
      <w:bookmarkStart w:id="39" w:name="_Toc15378460"/>
      <w:r>
        <w:rPr>
          <w:rFonts w:ascii="仿宋" w:eastAsia="仿宋" w:hAnsi="仿宋" w:hint="eastAsia"/>
          <w:b/>
          <w:color w:val="000000" w:themeColor="text1"/>
          <w:sz w:val="32"/>
          <w:szCs w:val="32"/>
        </w:rPr>
        <w:t>2018年般公共预算支出决算数为566.25</w:t>
      </w:r>
      <w:r>
        <w:rPr>
          <w:rFonts w:ascii="仿宋" w:eastAsia="仿宋" w:hAnsi="仿宋" w:hint="eastAsia"/>
          <w:color w:val="000000" w:themeColor="text1"/>
          <w:sz w:val="32"/>
          <w:szCs w:val="32"/>
        </w:rPr>
        <w:t>，</w:t>
      </w:r>
      <w:r>
        <w:rPr>
          <w:rStyle w:val="ad"/>
          <w:rFonts w:ascii="仿宋" w:eastAsia="仿宋" w:hAnsi="仿宋" w:hint="eastAsia"/>
          <w:bCs/>
          <w:color w:val="000000" w:themeColor="text1"/>
          <w:sz w:val="32"/>
          <w:szCs w:val="32"/>
        </w:rPr>
        <w:t>完成</w:t>
      </w:r>
      <w:r>
        <w:rPr>
          <w:rStyle w:val="ad"/>
          <w:rFonts w:ascii="仿宋" w:eastAsia="仿宋" w:hAnsi="仿宋" w:hint="eastAsia"/>
          <w:bCs/>
          <w:color w:val="000000"/>
          <w:sz w:val="32"/>
          <w:szCs w:val="32"/>
        </w:rPr>
        <w:t>预算100</w:t>
      </w:r>
      <w:r>
        <w:rPr>
          <w:rStyle w:val="ad"/>
          <w:rFonts w:ascii="仿宋" w:eastAsia="仿宋" w:hAnsi="仿宋"/>
          <w:bCs/>
          <w:color w:val="000000"/>
          <w:sz w:val="32"/>
          <w:szCs w:val="32"/>
        </w:rPr>
        <w:t>%</w:t>
      </w:r>
      <w:r>
        <w:rPr>
          <w:rStyle w:val="ad"/>
          <w:rFonts w:ascii="仿宋" w:eastAsia="仿宋" w:hAnsi="仿宋" w:hint="eastAsia"/>
          <w:bCs/>
          <w:color w:val="000000"/>
          <w:sz w:val="32"/>
          <w:szCs w:val="32"/>
        </w:rPr>
        <w:t>。其中：</w:t>
      </w:r>
      <w:bookmarkEnd w:id="37"/>
      <w:bookmarkEnd w:id="38"/>
      <w:bookmarkEnd w:id="39"/>
    </w:p>
    <w:p w14:paraId="2DE21157" w14:textId="77777777" w:rsidR="00F27157" w:rsidRDefault="00000000">
      <w:pPr>
        <w:spacing w:line="600" w:lineRule="exact"/>
        <w:ind w:firstLineChars="200" w:firstLine="643"/>
        <w:rPr>
          <w:rFonts w:ascii="仿宋" w:eastAsia="仿宋" w:hAnsi="仿宋"/>
          <w:b/>
          <w:color w:val="000000"/>
          <w:sz w:val="32"/>
          <w:szCs w:val="32"/>
        </w:rPr>
      </w:pPr>
      <w:r>
        <w:rPr>
          <w:rStyle w:val="ad"/>
          <w:rFonts w:ascii="仿宋" w:eastAsia="仿宋" w:hAnsi="仿宋"/>
          <w:bCs/>
          <w:color w:val="000000"/>
          <w:sz w:val="32"/>
          <w:szCs w:val="32"/>
        </w:rPr>
        <w:t>1.</w:t>
      </w:r>
      <w:r>
        <w:rPr>
          <w:rStyle w:val="ad"/>
          <w:rFonts w:ascii="仿宋" w:eastAsia="仿宋" w:hAnsi="仿宋" w:hint="eastAsia"/>
          <w:bCs/>
          <w:color w:val="000000"/>
          <w:sz w:val="32"/>
          <w:szCs w:val="32"/>
        </w:rPr>
        <w:t>一般公共服务</w:t>
      </w:r>
      <w:r>
        <w:rPr>
          <w:rStyle w:val="ad"/>
          <w:rFonts w:ascii="仿宋" w:eastAsia="仿宋" w:hAnsi="仿宋"/>
          <w:bCs/>
          <w:color w:val="000000"/>
          <w:sz w:val="32"/>
          <w:szCs w:val="32"/>
        </w:rPr>
        <w:t>:</w:t>
      </w:r>
      <w:r>
        <w:rPr>
          <w:rStyle w:val="ad"/>
          <w:rFonts w:ascii="仿宋" w:eastAsia="仿宋" w:hAnsi="仿宋"/>
          <w:b w:val="0"/>
          <w:bCs/>
          <w:color w:val="000000"/>
          <w:sz w:val="32"/>
          <w:szCs w:val="32"/>
        </w:rPr>
        <w:t xml:space="preserve"> </w:t>
      </w:r>
      <w:r>
        <w:rPr>
          <w:rStyle w:val="ad"/>
          <w:rFonts w:ascii="仿宋" w:eastAsia="仿宋" w:hAnsi="仿宋" w:hint="eastAsia"/>
          <w:b w:val="0"/>
          <w:bCs/>
          <w:color w:val="000000"/>
          <w:sz w:val="32"/>
          <w:szCs w:val="32"/>
        </w:rPr>
        <w:t>2010801行政运行支出125.47万元；2010802一般行政管理事物支出13.15万元；2010804审计业务支出333.65万元；2010850事业运行支出42.54万元；支出决算为514.81万元，完成预算100</w:t>
      </w:r>
      <w:r>
        <w:rPr>
          <w:rStyle w:val="ad"/>
          <w:rFonts w:ascii="仿宋" w:eastAsia="仿宋" w:hAnsi="仿宋"/>
          <w:b w:val="0"/>
          <w:bCs/>
          <w:color w:val="000000"/>
          <w:sz w:val="32"/>
          <w:szCs w:val="32"/>
        </w:rPr>
        <w:t>%</w:t>
      </w:r>
      <w:r>
        <w:rPr>
          <w:rStyle w:val="ad"/>
          <w:rFonts w:ascii="仿宋" w:eastAsia="仿宋" w:hAnsi="仿宋" w:hint="eastAsia"/>
          <w:b w:val="0"/>
          <w:bCs/>
          <w:color w:val="000000"/>
          <w:sz w:val="32"/>
          <w:szCs w:val="32"/>
        </w:rPr>
        <w:t>，决算数等于预算数。</w:t>
      </w:r>
    </w:p>
    <w:p w14:paraId="54C01131" w14:textId="77777777" w:rsidR="00F27157" w:rsidRDefault="00000000">
      <w:pPr>
        <w:spacing w:line="600" w:lineRule="exact"/>
        <w:ind w:firstLineChars="200" w:firstLine="643"/>
        <w:rPr>
          <w:rFonts w:ascii="仿宋" w:eastAsia="仿宋" w:hAnsi="仿宋"/>
          <w:b/>
          <w:color w:val="000000"/>
          <w:sz w:val="32"/>
          <w:szCs w:val="32"/>
        </w:rPr>
      </w:pPr>
      <w:r>
        <w:rPr>
          <w:rStyle w:val="ad"/>
          <w:rFonts w:ascii="仿宋" w:eastAsia="仿宋" w:hAnsi="仿宋" w:hint="eastAsia"/>
          <w:bCs/>
          <w:color w:val="000000"/>
          <w:sz w:val="32"/>
          <w:szCs w:val="32"/>
        </w:rPr>
        <w:t>2</w:t>
      </w:r>
      <w:r>
        <w:rPr>
          <w:rStyle w:val="ad"/>
          <w:rFonts w:ascii="仿宋" w:eastAsia="仿宋" w:hAnsi="仿宋"/>
          <w:bCs/>
          <w:color w:val="000000"/>
          <w:sz w:val="32"/>
          <w:szCs w:val="32"/>
        </w:rPr>
        <w:t>.</w:t>
      </w:r>
      <w:r>
        <w:rPr>
          <w:rStyle w:val="ad"/>
          <w:rFonts w:ascii="仿宋" w:eastAsia="仿宋" w:hAnsi="仿宋" w:hint="eastAsia"/>
          <w:bCs/>
          <w:color w:val="000000"/>
          <w:sz w:val="32"/>
          <w:szCs w:val="32"/>
        </w:rPr>
        <w:t>社会保障和就业</w:t>
      </w:r>
      <w:r>
        <w:rPr>
          <w:rStyle w:val="ad"/>
          <w:rFonts w:ascii="仿宋" w:eastAsia="仿宋" w:hAnsi="仿宋"/>
          <w:bCs/>
          <w:color w:val="000000"/>
          <w:sz w:val="32"/>
          <w:szCs w:val="32"/>
        </w:rPr>
        <w:t>:</w:t>
      </w:r>
      <w:r>
        <w:rPr>
          <w:rStyle w:val="ad"/>
          <w:rFonts w:ascii="仿宋" w:eastAsia="仿宋" w:hAnsi="仿宋"/>
          <w:b w:val="0"/>
          <w:bCs/>
          <w:color w:val="000000"/>
          <w:sz w:val="32"/>
          <w:szCs w:val="32"/>
        </w:rPr>
        <w:t xml:space="preserve"> </w:t>
      </w:r>
      <w:r>
        <w:rPr>
          <w:rStyle w:val="ad"/>
          <w:rFonts w:ascii="仿宋" w:eastAsia="仿宋" w:hAnsi="仿宋" w:hint="eastAsia"/>
          <w:b w:val="0"/>
          <w:bCs/>
          <w:color w:val="000000"/>
          <w:sz w:val="32"/>
          <w:szCs w:val="32"/>
        </w:rPr>
        <w:t>2080505机关事业单位基本养老保险缴费支出20.55万元；2080506机关事业单位职业年金缴费支出8.22万元；决算为28.77万元，完成预算100</w:t>
      </w:r>
      <w:r>
        <w:rPr>
          <w:rStyle w:val="ad"/>
          <w:rFonts w:ascii="仿宋" w:eastAsia="仿宋" w:hAnsi="仿宋"/>
          <w:b w:val="0"/>
          <w:bCs/>
          <w:color w:val="000000"/>
          <w:sz w:val="32"/>
          <w:szCs w:val="32"/>
        </w:rPr>
        <w:t>%</w:t>
      </w:r>
      <w:r>
        <w:rPr>
          <w:rStyle w:val="ad"/>
          <w:rFonts w:ascii="仿宋" w:eastAsia="仿宋" w:hAnsi="仿宋" w:hint="eastAsia"/>
          <w:b w:val="0"/>
          <w:bCs/>
          <w:color w:val="000000"/>
          <w:sz w:val="32"/>
          <w:szCs w:val="32"/>
        </w:rPr>
        <w:t>，决算数等于预算数。</w:t>
      </w:r>
    </w:p>
    <w:p w14:paraId="676075CA" w14:textId="77777777" w:rsidR="00F27157" w:rsidRDefault="00000000">
      <w:pPr>
        <w:spacing w:line="600" w:lineRule="exact"/>
        <w:ind w:firstLineChars="200" w:firstLine="643"/>
        <w:rPr>
          <w:rFonts w:ascii="仿宋" w:eastAsia="仿宋" w:hAnsi="仿宋"/>
          <w:b/>
          <w:color w:val="000000"/>
          <w:sz w:val="32"/>
          <w:szCs w:val="32"/>
        </w:rPr>
      </w:pPr>
      <w:r>
        <w:rPr>
          <w:rStyle w:val="ad"/>
          <w:rFonts w:ascii="仿宋" w:eastAsia="仿宋" w:hAnsi="仿宋" w:hint="eastAsia"/>
          <w:bCs/>
          <w:color w:val="000000"/>
          <w:sz w:val="32"/>
          <w:szCs w:val="32"/>
        </w:rPr>
        <w:t>3</w:t>
      </w:r>
      <w:r>
        <w:rPr>
          <w:rStyle w:val="ad"/>
          <w:rFonts w:ascii="仿宋" w:eastAsia="仿宋" w:hAnsi="仿宋"/>
          <w:bCs/>
          <w:color w:val="000000"/>
          <w:sz w:val="32"/>
          <w:szCs w:val="32"/>
        </w:rPr>
        <w:t>.</w:t>
      </w:r>
      <w:r>
        <w:rPr>
          <w:rStyle w:val="ad"/>
          <w:rFonts w:ascii="仿宋" w:eastAsia="仿宋" w:hAnsi="仿宋" w:hint="eastAsia"/>
          <w:bCs/>
          <w:color w:val="000000"/>
          <w:sz w:val="32"/>
          <w:szCs w:val="32"/>
        </w:rPr>
        <w:t>医疗卫生与计划生育</w:t>
      </w:r>
      <w:r>
        <w:rPr>
          <w:rStyle w:val="ad"/>
          <w:rFonts w:ascii="仿宋" w:eastAsia="仿宋" w:hAnsi="仿宋"/>
          <w:bCs/>
          <w:color w:val="000000"/>
          <w:sz w:val="32"/>
          <w:szCs w:val="32"/>
        </w:rPr>
        <w:t>:</w:t>
      </w:r>
      <w:r>
        <w:rPr>
          <w:rStyle w:val="ad"/>
          <w:rFonts w:ascii="仿宋" w:eastAsia="仿宋" w:hAnsi="仿宋" w:hint="eastAsia"/>
          <w:b w:val="0"/>
          <w:bCs/>
          <w:color w:val="000000"/>
          <w:sz w:val="32"/>
          <w:szCs w:val="32"/>
        </w:rPr>
        <w:t>2101101行政单位医疗4.8万元；2101102事业单位医疗2.59万元2101103公务员医疗补助1.09万元；2101199其他行政事业单位医疗支出0.6万元；决算为9.08万元，完成预算100</w:t>
      </w:r>
      <w:r>
        <w:rPr>
          <w:rStyle w:val="ad"/>
          <w:rFonts w:ascii="仿宋" w:eastAsia="仿宋" w:hAnsi="仿宋"/>
          <w:b w:val="0"/>
          <w:bCs/>
          <w:color w:val="000000"/>
          <w:sz w:val="32"/>
          <w:szCs w:val="32"/>
        </w:rPr>
        <w:t>%</w:t>
      </w:r>
      <w:r>
        <w:rPr>
          <w:rStyle w:val="ad"/>
          <w:rFonts w:ascii="仿宋" w:eastAsia="仿宋" w:hAnsi="仿宋" w:hint="eastAsia"/>
          <w:b w:val="0"/>
          <w:bCs/>
          <w:color w:val="000000"/>
          <w:sz w:val="32"/>
          <w:szCs w:val="32"/>
        </w:rPr>
        <w:t>，决算数等于预算数。</w:t>
      </w:r>
    </w:p>
    <w:p w14:paraId="7A93C349" w14:textId="77777777" w:rsidR="00F27157" w:rsidRDefault="00000000">
      <w:pPr>
        <w:spacing w:line="600" w:lineRule="exact"/>
        <w:ind w:firstLine="640"/>
        <w:rPr>
          <w:rFonts w:ascii="仿宋" w:eastAsia="仿宋" w:hAnsi="仿宋"/>
          <w:color w:val="000000"/>
          <w:sz w:val="32"/>
          <w:szCs w:val="32"/>
        </w:rPr>
      </w:pPr>
      <w:r>
        <w:rPr>
          <w:rFonts w:ascii="仿宋" w:eastAsia="仿宋" w:hAnsi="仿宋" w:hint="eastAsia"/>
          <w:b/>
          <w:color w:val="000000"/>
          <w:sz w:val="32"/>
          <w:szCs w:val="32"/>
        </w:rPr>
        <w:t>4.住房保障：</w:t>
      </w:r>
      <w:r>
        <w:rPr>
          <w:rFonts w:ascii="仿宋" w:eastAsia="仿宋" w:hAnsi="仿宋" w:hint="eastAsia"/>
          <w:color w:val="000000"/>
          <w:sz w:val="32"/>
          <w:szCs w:val="32"/>
        </w:rPr>
        <w:t>2210201住房公积金13.59万元，决算为13.59万元，完成预算100%，决算数等于预算数。</w:t>
      </w:r>
    </w:p>
    <w:p w14:paraId="11B7BFDC" w14:textId="77777777" w:rsidR="00F27157" w:rsidRDefault="00000000">
      <w:pPr>
        <w:tabs>
          <w:tab w:val="right" w:pos="8306"/>
        </w:tabs>
        <w:spacing w:line="600" w:lineRule="exact"/>
        <w:ind w:firstLine="640"/>
        <w:outlineLvl w:val="1"/>
        <w:rPr>
          <w:rStyle w:val="20"/>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0"/>
          <w:rFonts w:ascii="黑体" w:eastAsia="黑体" w:hAnsi="黑体" w:hint="eastAsia"/>
          <w:b w:val="0"/>
        </w:rPr>
        <w:t>般公共预算财政拨款基本支出决算情况说明</w:t>
      </w:r>
      <w:bookmarkEnd w:id="40"/>
      <w:bookmarkEnd w:id="41"/>
      <w:r>
        <w:rPr>
          <w:rStyle w:val="20"/>
          <w:rFonts w:ascii="黑体" w:eastAsia="黑体" w:hAnsi="黑体"/>
          <w:b w:val="0"/>
        </w:rPr>
        <w:tab/>
      </w:r>
    </w:p>
    <w:p w14:paraId="5148039B" w14:textId="77777777" w:rsidR="00F27157" w:rsidRDefault="00000000">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8年一般公共预算财政拨款基本支出219.41万元，其中：</w:t>
      </w:r>
    </w:p>
    <w:p w14:paraId="52BF4359" w14:textId="77777777" w:rsidR="00F27157" w:rsidRDefault="00000000">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人员经费201.74万元，主要包括：基本工资36.83万</w:t>
      </w:r>
      <w:r>
        <w:rPr>
          <w:rFonts w:ascii="仿宋" w:eastAsia="仿宋" w:hAnsi="仿宋" w:hint="eastAsia"/>
          <w:color w:val="000000"/>
          <w:sz w:val="32"/>
          <w:szCs w:val="32"/>
        </w:rPr>
        <w:lastRenderedPageBreak/>
        <w:t>元、津贴补贴66.2万元、奖金32.2万元、绩效工资11.57万元、机关事业单位基本养老保险缴费20.55万元、职业年金缴费8.22万元、其他社会保障缴费2.11万元、奖励金0.02万元、职工基本医疗7.38万元、公务员医疗补助缴费1.09万元、住房公积金13.59万元、医疗费1.98万元。</w:t>
      </w:r>
      <w:r>
        <w:rPr>
          <w:rFonts w:ascii="仿宋" w:eastAsia="仿宋" w:hAnsi="仿宋"/>
          <w:color w:val="000000"/>
          <w:sz w:val="32"/>
          <w:szCs w:val="32"/>
        </w:rPr>
        <w:br/>
      </w:r>
      <w:r>
        <w:rPr>
          <w:rFonts w:ascii="仿宋" w:eastAsia="仿宋" w:hAnsi="仿宋" w:hint="eastAsia"/>
          <w:color w:val="000000"/>
          <w:sz w:val="32"/>
          <w:szCs w:val="32"/>
        </w:rPr>
        <w:t xml:space="preserve">　　公用经费17.69万元，主要包括：办公费4.7万元、印刷费0.5万元、手续费0.01万元、电费2.59万元、邮电费1.74万元、取暖费0.2万元、差旅费3.48万元、培训费0.07万元、公务接待费0.21万元、公务用车运行维护费4.19万元。</w:t>
      </w:r>
    </w:p>
    <w:p w14:paraId="0E8798B5" w14:textId="77777777" w:rsidR="00F27157" w:rsidRDefault="00F27157">
      <w:pPr>
        <w:spacing w:line="600" w:lineRule="exact"/>
        <w:ind w:firstLine="640"/>
        <w:rPr>
          <w:rFonts w:ascii="仿宋" w:eastAsia="仿宋" w:hAnsi="仿宋"/>
          <w:b/>
          <w:color w:val="FF0000"/>
          <w:sz w:val="32"/>
          <w:szCs w:val="32"/>
        </w:rPr>
      </w:pPr>
    </w:p>
    <w:p w14:paraId="02FA1666" w14:textId="77777777" w:rsidR="00F27157" w:rsidRDefault="00000000">
      <w:pPr>
        <w:spacing w:line="600" w:lineRule="exact"/>
        <w:ind w:firstLine="640"/>
        <w:outlineLvl w:val="1"/>
        <w:rPr>
          <w:rStyle w:val="20"/>
          <w:rFonts w:ascii="黑体" w:eastAsia="黑体" w:hAnsi="黑体"/>
          <w:b w:val="0"/>
        </w:rPr>
      </w:pPr>
      <w:bookmarkStart w:id="42" w:name="_Toc15377215"/>
      <w:bookmarkStart w:id="43" w:name="_Toc15396609"/>
      <w:r>
        <w:rPr>
          <w:rFonts w:ascii="黑体" w:eastAsia="黑体" w:hint="eastAsia"/>
          <w:color w:val="000000"/>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42"/>
      <w:bookmarkEnd w:id="43"/>
    </w:p>
    <w:p w14:paraId="4F39F4D6" w14:textId="77777777" w:rsidR="00F27157" w:rsidRDefault="00000000">
      <w:pPr>
        <w:spacing w:line="600" w:lineRule="exact"/>
        <w:ind w:firstLine="640"/>
        <w:outlineLvl w:val="2"/>
        <w:rPr>
          <w:rFonts w:ascii="仿宋" w:eastAsia="仿宋" w:hAnsi="仿宋"/>
          <w:b/>
          <w:color w:val="000000"/>
          <w:sz w:val="32"/>
          <w:szCs w:val="32"/>
        </w:rPr>
      </w:pPr>
      <w:bookmarkStart w:id="44" w:name="_Toc15377216"/>
      <w:r>
        <w:rPr>
          <w:rFonts w:ascii="仿宋" w:eastAsia="仿宋" w:hAnsi="仿宋" w:hint="eastAsia"/>
          <w:b/>
          <w:color w:val="000000"/>
          <w:sz w:val="32"/>
          <w:szCs w:val="32"/>
        </w:rPr>
        <w:t>（一）“三公”经费财政拨款支出决算总体情况说明</w:t>
      </w:r>
      <w:bookmarkEnd w:id="44"/>
    </w:p>
    <w:p w14:paraId="7D728EE8" w14:textId="77777777" w:rsidR="00F27157" w:rsidRDefault="00000000">
      <w:pPr>
        <w:spacing w:line="600" w:lineRule="exact"/>
        <w:ind w:firstLine="640"/>
        <w:rPr>
          <w:rFonts w:ascii="仿宋" w:eastAsia="仿宋" w:hAnsi="仿宋"/>
          <w:b/>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8年“三公”经费财政拨款支出决算为4.4万元，完成预算100</w:t>
      </w:r>
      <w:r>
        <w:rPr>
          <w:rFonts w:ascii="仿宋" w:eastAsia="仿宋" w:hAnsi="仿宋"/>
          <w:color w:val="000000"/>
          <w:sz w:val="32"/>
          <w:szCs w:val="32"/>
        </w:rPr>
        <w:t>%</w:t>
      </w:r>
      <w:r>
        <w:rPr>
          <w:rFonts w:ascii="仿宋" w:eastAsia="仿宋" w:hAnsi="仿宋" w:hint="eastAsia"/>
          <w:color w:val="000000"/>
          <w:sz w:val="32"/>
          <w:szCs w:val="32"/>
        </w:rPr>
        <w:t>。</w:t>
      </w:r>
    </w:p>
    <w:p w14:paraId="2EE150F8" w14:textId="77777777" w:rsidR="00F27157" w:rsidRDefault="00000000">
      <w:pPr>
        <w:spacing w:line="600" w:lineRule="exact"/>
        <w:ind w:firstLine="640"/>
        <w:outlineLvl w:val="2"/>
        <w:rPr>
          <w:rFonts w:ascii="仿宋" w:eastAsia="仿宋" w:hAnsi="仿宋"/>
          <w:b/>
          <w:color w:val="000000"/>
          <w:sz w:val="32"/>
          <w:szCs w:val="32"/>
        </w:rPr>
      </w:pPr>
      <w:bookmarkStart w:id="45" w:name="_Toc15377217"/>
      <w:r>
        <w:rPr>
          <w:rFonts w:ascii="仿宋" w:eastAsia="仿宋" w:hAnsi="仿宋" w:hint="eastAsia"/>
          <w:b/>
          <w:color w:val="000000"/>
          <w:sz w:val="32"/>
          <w:szCs w:val="32"/>
        </w:rPr>
        <w:t>（二）“三公”经费财政拨款支出决算具体情况说明</w:t>
      </w:r>
      <w:bookmarkEnd w:id="45"/>
    </w:p>
    <w:p w14:paraId="14EC0925" w14:textId="77777777" w:rsidR="00F27157" w:rsidRDefault="0000000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；公务用车购置及运行维护费支出决算4.19万元，占95.2</w:t>
      </w:r>
      <w:r>
        <w:rPr>
          <w:rFonts w:ascii="仿宋" w:eastAsia="仿宋" w:hAnsi="仿宋"/>
          <w:color w:val="000000"/>
          <w:sz w:val="32"/>
          <w:szCs w:val="32"/>
        </w:rPr>
        <w:t>%</w:t>
      </w:r>
      <w:r>
        <w:rPr>
          <w:rFonts w:ascii="仿宋" w:eastAsia="仿宋" w:hAnsi="仿宋" w:hint="eastAsia"/>
          <w:color w:val="000000"/>
          <w:sz w:val="32"/>
          <w:szCs w:val="32"/>
        </w:rPr>
        <w:t>；公务接待费支出决算0.21万元，占4.8</w:t>
      </w:r>
      <w:r>
        <w:rPr>
          <w:rFonts w:ascii="仿宋" w:eastAsia="仿宋" w:hAnsi="仿宋"/>
          <w:color w:val="000000"/>
          <w:sz w:val="32"/>
          <w:szCs w:val="32"/>
        </w:rPr>
        <w:t>%</w:t>
      </w:r>
      <w:r>
        <w:rPr>
          <w:rFonts w:ascii="仿宋" w:eastAsia="仿宋" w:hAnsi="仿宋" w:hint="eastAsia"/>
          <w:color w:val="000000"/>
          <w:sz w:val="32"/>
          <w:szCs w:val="32"/>
        </w:rPr>
        <w:t>。具体情况如下：</w:t>
      </w:r>
    </w:p>
    <w:p w14:paraId="3E279C1F" w14:textId="77777777" w:rsidR="00F27157" w:rsidRDefault="00000000">
      <w:pPr>
        <w:spacing w:line="600" w:lineRule="exact"/>
        <w:ind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730944" behindDoc="0" locked="0" layoutInCell="1" allowOverlap="1" wp14:anchorId="0A75EB11" wp14:editId="68C7B49A">
            <wp:simplePos x="0" y="0"/>
            <wp:positionH relativeFrom="column">
              <wp:posOffset>518795</wp:posOffset>
            </wp:positionH>
            <wp:positionV relativeFrom="paragraph">
              <wp:posOffset>55245</wp:posOffset>
            </wp:positionV>
            <wp:extent cx="3947795" cy="2103120"/>
            <wp:effectExtent l="4445" t="4445" r="10160" b="69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09D1646" w14:textId="77777777" w:rsidR="00F27157" w:rsidRDefault="00000000">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lastRenderedPageBreak/>
        <w:t>（图7：“三公”经费财政拨款支出结构）（饼状图）</w:t>
      </w:r>
    </w:p>
    <w:p w14:paraId="756C3A11" w14:textId="77777777" w:rsidR="00F27157" w:rsidRDefault="00000000">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因公出国（境）经费支出0万元。</w:t>
      </w:r>
    </w:p>
    <w:p w14:paraId="53FC98AF" w14:textId="77777777" w:rsidR="00F27157" w:rsidRDefault="00000000">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公务用车购置及运行维护费支出4.19万元</w:t>
      </w:r>
      <w:r>
        <w:rPr>
          <w:rFonts w:ascii="仿宋_GB2312" w:eastAsia="仿宋_GB2312" w:hint="eastAsia"/>
          <w:color w:val="000000"/>
          <w:sz w:val="32"/>
          <w:szCs w:val="32"/>
        </w:rPr>
        <w:t>,完成预算100</w:t>
      </w:r>
      <w:r>
        <w:rPr>
          <w:rFonts w:ascii="仿宋_GB2312" w:eastAsia="仿宋_GB2312"/>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7年增加1.24万元，增长29.6</w:t>
      </w:r>
      <w:r>
        <w:rPr>
          <w:rFonts w:ascii="仿宋_GB2312" w:eastAsia="仿宋_GB2312"/>
          <w:color w:val="000000"/>
          <w:sz w:val="32"/>
          <w:szCs w:val="32"/>
        </w:rPr>
        <w:t>%</w:t>
      </w:r>
      <w:r>
        <w:rPr>
          <w:rFonts w:ascii="仿宋_GB2312" w:eastAsia="仿宋_GB2312" w:hint="eastAsia"/>
          <w:color w:val="000000"/>
          <w:sz w:val="32"/>
          <w:szCs w:val="32"/>
        </w:rPr>
        <w:t>。主要原因是公务用车年限较长维修次数多。</w:t>
      </w:r>
    </w:p>
    <w:p w14:paraId="1C7A4AD1" w14:textId="77777777" w:rsidR="00F27157" w:rsidRDefault="00000000">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公务用车购置支出0万元。</w:t>
      </w:r>
    </w:p>
    <w:p w14:paraId="1A94F438" w14:textId="77777777" w:rsidR="00F27157" w:rsidRDefault="00000000">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4.19万元。主要用于县城周边、乡镇开展工作及县外出差等所需的公务用车燃料费、维修费、过路过桥费、保险费等支出。</w:t>
      </w:r>
    </w:p>
    <w:p w14:paraId="5F69B5F9" w14:textId="77777777" w:rsidR="00F27157" w:rsidRDefault="00000000">
      <w:pPr>
        <w:spacing w:line="600" w:lineRule="exact"/>
        <w:ind w:firstLine="640"/>
        <w:rPr>
          <w:rFonts w:ascii="仿宋_GB2312" w:eastAsia="仿宋_GB2312"/>
          <w:color w:val="FF0000"/>
          <w:sz w:val="32"/>
          <w:szCs w:val="32"/>
        </w:rPr>
      </w:pPr>
      <w:r>
        <w:rPr>
          <w:rFonts w:ascii="仿宋_GB2312" w:eastAsia="仿宋_GB2312" w:hint="eastAsia"/>
          <w:b/>
          <w:color w:val="000000"/>
          <w:sz w:val="32"/>
          <w:szCs w:val="32"/>
        </w:rPr>
        <w:t>3.公务接待费支出0.21万元</w:t>
      </w:r>
      <w:r>
        <w:rPr>
          <w:rFonts w:ascii="仿宋_GB2312" w:eastAsia="仿宋_GB2312" w:hint="eastAsia"/>
          <w:color w:val="000000"/>
          <w:sz w:val="32"/>
          <w:szCs w:val="32"/>
        </w:rPr>
        <w:t>，完成预算100%。公务接待费支出决算比2017年增加0.02万元，增长10%。主要原因是接待量增加，新增接待甘孜州审计组。</w:t>
      </w:r>
    </w:p>
    <w:p w14:paraId="7577030C" w14:textId="77777777" w:rsidR="00F27157" w:rsidRDefault="00000000">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2批次，17人次（不包括陪同人员），共计支出0.21万元，具体内容包括：接待甘孜州审计组一行12人，支付接待费0.14万元。接待茂县审计组一行5人支付接待费0.07万元。</w:t>
      </w:r>
    </w:p>
    <w:p w14:paraId="71BCCB48" w14:textId="77777777" w:rsidR="00F27157" w:rsidRDefault="00000000">
      <w:pPr>
        <w:spacing w:line="600" w:lineRule="exact"/>
        <w:ind w:firstLineChars="200" w:firstLine="640"/>
        <w:outlineLvl w:val="1"/>
        <w:rPr>
          <w:rStyle w:val="20"/>
          <w:rFonts w:ascii="黑体" w:eastAsia="黑体" w:hAnsi="黑体"/>
        </w:rPr>
      </w:pPr>
      <w:bookmarkStart w:id="46" w:name="_Toc15396610"/>
      <w:bookmarkStart w:id="47" w:name="_Toc15377218"/>
      <w:r>
        <w:rPr>
          <w:rFonts w:ascii="黑体" w:eastAsia="黑体" w:hint="eastAsia"/>
          <w:color w:val="000000"/>
          <w:sz w:val="32"/>
          <w:szCs w:val="32"/>
        </w:rPr>
        <w:t>八、</w:t>
      </w:r>
      <w:r>
        <w:rPr>
          <w:rStyle w:val="20"/>
          <w:rFonts w:ascii="黑体" w:eastAsia="黑体" w:hAnsi="黑体" w:hint="eastAsia"/>
          <w:b w:val="0"/>
        </w:rPr>
        <w:t>政府性基金预算支出决算情况说明</w:t>
      </w:r>
      <w:bookmarkEnd w:id="46"/>
      <w:bookmarkEnd w:id="47"/>
    </w:p>
    <w:p w14:paraId="72CF86F5" w14:textId="77777777" w:rsidR="00F27157" w:rsidRDefault="0000000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8年政府性基金预算拨款支出0元。</w:t>
      </w:r>
    </w:p>
    <w:p w14:paraId="1E79644F" w14:textId="77777777" w:rsidR="00F27157" w:rsidRDefault="00000000">
      <w:pPr>
        <w:numPr>
          <w:ilvl w:val="0"/>
          <w:numId w:val="3"/>
        </w:numPr>
        <w:spacing w:line="600" w:lineRule="exact"/>
        <w:ind w:firstLine="640"/>
        <w:outlineLvl w:val="1"/>
        <w:rPr>
          <w:rStyle w:val="20"/>
          <w:rFonts w:ascii="黑体" w:eastAsia="黑体" w:hAnsi="黑体"/>
          <w:b w:val="0"/>
        </w:rPr>
      </w:pPr>
      <w:bookmarkStart w:id="48" w:name="_Toc15396611"/>
      <w:bookmarkStart w:id="49" w:name="_Toc15377219"/>
      <w:r>
        <w:rPr>
          <w:rStyle w:val="20"/>
          <w:rFonts w:ascii="黑体" w:eastAsia="黑体" w:hAnsi="黑体" w:hint="eastAsia"/>
          <w:b w:val="0"/>
        </w:rPr>
        <w:t>国有资本经营预算支出决算情况说明</w:t>
      </w:r>
      <w:bookmarkEnd w:id="48"/>
      <w:bookmarkEnd w:id="49"/>
    </w:p>
    <w:p w14:paraId="3209F58E" w14:textId="77777777" w:rsidR="00F27157" w:rsidRDefault="0000000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8年国有资本经营预算拨款支出0元。</w:t>
      </w:r>
    </w:p>
    <w:p w14:paraId="431E0DAC" w14:textId="77777777" w:rsidR="00F27157" w:rsidRDefault="00000000">
      <w:pPr>
        <w:pStyle w:val="af"/>
        <w:numPr>
          <w:ilvl w:val="0"/>
          <w:numId w:val="4"/>
        </w:numPr>
        <w:spacing w:line="580" w:lineRule="exact"/>
        <w:ind w:firstLineChars="0"/>
        <w:rPr>
          <w:rStyle w:val="20"/>
          <w:rFonts w:ascii="黑体" w:eastAsia="黑体" w:hAnsi="黑体"/>
          <w:b w:val="0"/>
        </w:rPr>
      </w:pPr>
      <w:r>
        <w:rPr>
          <w:rStyle w:val="20"/>
          <w:rFonts w:ascii="黑体" w:eastAsia="黑体" w:hAnsi="黑体" w:hint="eastAsia"/>
          <w:b w:val="0"/>
        </w:rPr>
        <w:t>预算绩效情况说明</w:t>
      </w:r>
    </w:p>
    <w:p w14:paraId="72FF4517" w14:textId="77777777" w:rsidR="00F27157" w:rsidRDefault="00000000">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lastRenderedPageBreak/>
        <w:t>预算绩效管理工作开展情况。</w:t>
      </w:r>
    </w:p>
    <w:p w14:paraId="460A79BE" w14:textId="77777777" w:rsidR="00F27157" w:rsidRDefault="0000000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本部门按要求对2018年部门整体支出开展绩效自评，从评价情况来看整体支出达到预算比例支出完成情况较好,达到预期目标。</w:t>
      </w:r>
    </w:p>
    <w:p w14:paraId="1AED4791" w14:textId="77777777" w:rsidR="00F27157" w:rsidRDefault="00000000">
      <w:p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（二）部门开展绩效评价结果。</w:t>
      </w:r>
    </w:p>
    <w:p w14:paraId="1BDF3B7A" w14:textId="77777777" w:rsidR="00F27157" w:rsidRDefault="0000000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本部门按要求对2018年部门整体支出绩效评价情况开展自评，《红原县审计局2018年部门整体支出绩效评价报告》见附件。</w:t>
      </w:r>
    </w:p>
    <w:p w14:paraId="5DF97AD4" w14:textId="77777777" w:rsidR="00F27157" w:rsidRDefault="00000000">
      <w:pPr>
        <w:spacing w:line="600" w:lineRule="exact"/>
        <w:ind w:firstLineChars="200" w:firstLine="640"/>
        <w:outlineLvl w:val="1"/>
        <w:rPr>
          <w:rStyle w:val="20"/>
          <w:rFonts w:ascii="黑体" w:eastAsia="黑体" w:hAnsi="黑体"/>
        </w:rPr>
      </w:pPr>
      <w:bookmarkStart w:id="50" w:name="_Toc15396612"/>
      <w:bookmarkStart w:id="51" w:name="_Toc15377221"/>
      <w:r>
        <w:rPr>
          <w:rFonts w:ascii="黑体" w:eastAsia="黑体" w:hAnsi="黑体" w:hint="eastAsia"/>
          <w:color w:val="000000"/>
          <w:sz w:val="32"/>
          <w:szCs w:val="32"/>
        </w:rPr>
        <w:t>十</w:t>
      </w:r>
      <w:r>
        <w:rPr>
          <w:rStyle w:val="20"/>
          <w:rFonts w:ascii="黑体" w:eastAsia="黑体" w:hAnsi="黑体" w:hint="eastAsia"/>
        </w:rPr>
        <w:t>一、</w:t>
      </w:r>
      <w:r>
        <w:rPr>
          <w:rStyle w:val="20"/>
          <w:rFonts w:ascii="黑体" w:eastAsia="黑体" w:hAnsi="黑体" w:hint="eastAsia"/>
          <w:b w:val="0"/>
        </w:rPr>
        <w:t>其他重要事项的情况说明</w:t>
      </w:r>
      <w:bookmarkEnd w:id="50"/>
      <w:bookmarkEnd w:id="51"/>
    </w:p>
    <w:p w14:paraId="46EA0A1B" w14:textId="77777777" w:rsidR="00F27157" w:rsidRDefault="00000000">
      <w:pPr>
        <w:spacing w:line="600" w:lineRule="exact"/>
        <w:ind w:firstLineChars="200" w:firstLine="643"/>
        <w:outlineLvl w:val="2"/>
        <w:rPr>
          <w:rFonts w:ascii="仿宋" w:eastAsia="仿宋" w:hAnsi="仿宋"/>
          <w:color w:val="000000" w:themeColor="text1"/>
          <w:sz w:val="32"/>
          <w:szCs w:val="32"/>
        </w:rPr>
      </w:pPr>
      <w:bookmarkStart w:id="52" w:name="_Toc15377222"/>
      <w:r>
        <w:rPr>
          <w:rFonts w:ascii="仿宋" w:eastAsia="仿宋" w:hAnsi="仿宋" w:hint="eastAsia"/>
          <w:b/>
          <w:color w:val="000000" w:themeColor="text1"/>
          <w:sz w:val="32"/>
          <w:szCs w:val="32"/>
        </w:rPr>
        <w:t>（一）机关运行经费支出情况</w:t>
      </w:r>
      <w:bookmarkEnd w:id="52"/>
    </w:p>
    <w:p w14:paraId="1B9287A6" w14:textId="77777777" w:rsidR="00F27157" w:rsidRDefault="00000000">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201</w:t>
      </w:r>
      <w:r>
        <w:rPr>
          <w:rFonts w:ascii="仿宋_GB2312" w:eastAsia="仿宋_GB2312" w:hint="eastAsia"/>
          <w:color w:val="000000" w:themeColor="text1"/>
          <w:sz w:val="32"/>
          <w:szCs w:val="32"/>
        </w:rPr>
        <w:t>8年，红原县审计局机关运行经费支出14.53万元，比</w:t>
      </w:r>
      <w:r>
        <w:rPr>
          <w:rFonts w:ascii="仿宋_GB2312" w:eastAsia="仿宋_GB2312"/>
          <w:color w:val="000000" w:themeColor="text1"/>
          <w:sz w:val="32"/>
          <w:szCs w:val="32"/>
        </w:rPr>
        <w:t>201</w:t>
      </w:r>
      <w:r>
        <w:rPr>
          <w:rFonts w:ascii="仿宋_GB2312" w:eastAsia="仿宋_GB2312" w:hint="eastAsia"/>
          <w:color w:val="000000" w:themeColor="text1"/>
          <w:sz w:val="32"/>
          <w:szCs w:val="32"/>
        </w:rPr>
        <w:t>7年减少39.35万元，下降70</w:t>
      </w:r>
      <w:r>
        <w:rPr>
          <w:rFonts w:ascii="仿宋_GB2312" w:eastAsia="仿宋_GB2312"/>
          <w:color w:val="000000" w:themeColor="text1"/>
          <w:sz w:val="32"/>
          <w:szCs w:val="32"/>
        </w:rPr>
        <w:t>%</w:t>
      </w:r>
      <w:r>
        <w:rPr>
          <w:rFonts w:ascii="仿宋_GB2312" w:eastAsia="仿宋_GB2312" w:hint="eastAsia"/>
          <w:color w:val="000000" w:themeColor="text1"/>
          <w:sz w:val="32"/>
          <w:szCs w:val="32"/>
        </w:rPr>
        <w:t>。主要原因是17年网络信息化建设。</w:t>
      </w:r>
    </w:p>
    <w:p w14:paraId="5F6ABCFA" w14:textId="77777777" w:rsidR="00F27157" w:rsidRDefault="00000000">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3"/>
      <w:r>
        <w:rPr>
          <w:rFonts w:ascii="仿宋" w:eastAsia="仿宋" w:hAnsi="仿宋" w:hint="eastAsia"/>
          <w:b/>
          <w:color w:val="000000"/>
          <w:sz w:val="32"/>
          <w:szCs w:val="32"/>
        </w:rPr>
        <w:t>（二）政府采购支出情况</w:t>
      </w:r>
      <w:bookmarkEnd w:id="53"/>
    </w:p>
    <w:p w14:paraId="1CE09C36" w14:textId="77777777" w:rsidR="00F27157" w:rsidRDefault="00000000">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8年，红原县审计局政府采购支出总额0万元。</w:t>
      </w:r>
    </w:p>
    <w:p w14:paraId="6FD591D7" w14:textId="77777777" w:rsidR="00F27157" w:rsidRDefault="00000000">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4"/>
      <w:r>
        <w:rPr>
          <w:rFonts w:ascii="仿宋" w:eastAsia="仿宋" w:hAnsi="仿宋" w:hint="eastAsia"/>
          <w:b/>
          <w:color w:val="000000"/>
          <w:sz w:val="32"/>
          <w:szCs w:val="32"/>
        </w:rPr>
        <w:t>（三）国有资产占有使用情况</w:t>
      </w:r>
      <w:bookmarkEnd w:id="54"/>
    </w:p>
    <w:p w14:paraId="6F48D738" w14:textId="77777777" w:rsidR="00F27157" w:rsidRDefault="00000000">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日，红原县审计局共有车辆1辆，其中：部级领导干部用车0辆、一般公务用车1辆、一般执法执勤用车0辆、特种专业技术用车0辆、其他用车0辆，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14:paraId="587571C2" w14:textId="77777777" w:rsidR="00F27157" w:rsidRDefault="00F27157">
      <w:pPr>
        <w:spacing w:line="600" w:lineRule="atLeast"/>
        <w:ind w:firstLineChars="200" w:firstLine="643"/>
        <w:rPr>
          <w:rFonts w:ascii="仿宋_GB2312" w:eastAsia="仿宋_GB2312"/>
          <w:b/>
          <w:color w:val="000000"/>
          <w:sz w:val="32"/>
          <w:szCs w:val="32"/>
        </w:rPr>
      </w:pPr>
    </w:p>
    <w:p w14:paraId="2C9A0767" w14:textId="77777777" w:rsidR="00F27157" w:rsidRDefault="00000000">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2C1AD1C9" w14:textId="77777777" w:rsidR="00F27157" w:rsidRDefault="00000000">
      <w:pPr>
        <w:numPr>
          <w:ilvl w:val="0"/>
          <w:numId w:val="6"/>
        </w:numPr>
        <w:spacing w:line="600" w:lineRule="exact"/>
        <w:ind w:firstLineChars="150" w:firstLine="663"/>
        <w:jc w:val="center"/>
        <w:outlineLvl w:val="0"/>
        <w:rPr>
          <w:rStyle w:val="10"/>
          <w:rFonts w:ascii="黑体" w:eastAsia="黑体" w:hAnsi="黑体"/>
          <w:b w:val="0"/>
        </w:rPr>
      </w:pPr>
      <w:bookmarkStart w:id="55" w:name="_Toc15396613"/>
      <w:bookmarkStart w:id="56" w:name="_Toc15377225"/>
      <w:r>
        <w:rPr>
          <w:rFonts w:ascii="黑体" w:eastAsia="黑体" w:hAnsi="黑体" w:hint="eastAsia"/>
          <w:b/>
          <w:color w:val="000000"/>
          <w:sz w:val="44"/>
          <w:szCs w:val="44"/>
        </w:rPr>
        <w:lastRenderedPageBreak/>
        <w:t>名</w:t>
      </w:r>
      <w:r>
        <w:rPr>
          <w:rStyle w:val="10"/>
          <w:rFonts w:ascii="黑体" w:eastAsia="黑体" w:hAnsi="黑体" w:hint="eastAsia"/>
          <w:b w:val="0"/>
        </w:rPr>
        <w:t>词解释</w:t>
      </w:r>
      <w:bookmarkEnd w:id="55"/>
      <w:bookmarkEnd w:id="56"/>
    </w:p>
    <w:p w14:paraId="1BEEDDEB" w14:textId="77777777" w:rsidR="00F27157" w:rsidRDefault="00F27157">
      <w:pPr>
        <w:spacing w:line="600" w:lineRule="exact"/>
        <w:jc w:val="left"/>
        <w:rPr>
          <w:rFonts w:ascii="宋体"/>
          <w:b/>
          <w:color w:val="000000"/>
          <w:sz w:val="44"/>
          <w:szCs w:val="44"/>
        </w:rPr>
      </w:pPr>
    </w:p>
    <w:p w14:paraId="35C4484E"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14:paraId="46169A33"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14:paraId="6C266367"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14:paraId="17C04E32"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其他收入：指单位取得的除上述收入以外的各项收入。主要是利息收入等。</w:t>
      </w:r>
      <w:r>
        <w:rPr>
          <w:rFonts w:ascii="仿宋_GB2312" w:eastAsia="仿宋_GB2312"/>
          <w:sz w:val="32"/>
          <w:szCs w:val="32"/>
        </w:rPr>
        <w:t xml:space="preserve"> </w:t>
      </w:r>
    </w:p>
    <w:p w14:paraId="47849DAB"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45A18A3A"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14:paraId="6140BC7E"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14:paraId="0B8C1D6C"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14:paraId="19515E13" w14:textId="77777777" w:rsidR="00F27157" w:rsidRDefault="00F27157">
      <w:pPr>
        <w:pStyle w:val="Default"/>
        <w:spacing w:line="560" w:lineRule="exact"/>
        <w:ind w:firstLineChars="200" w:firstLine="640"/>
        <w:rPr>
          <w:rFonts w:ascii="仿宋_GB2312" w:eastAsia="仿宋_GB2312"/>
          <w:sz w:val="32"/>
          <w:szCs w:val="32"/>
        </w:rPr>
      </w:pPr>
    </w:p>
    <w:p w14:paraId="6192CE53"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sz w:val="32"/>
          <w:szCs w:val="32"/>
        </w:rPr>
        <w:t>.</w:t>
      </w:r>
      <w:r>
        <w:rPr>
          <w:rFonts w:ascii="仿宋_GB2312" w:eastAsia="仿宋_GB2312" w:hint="eastAsia"/>
          <w:sz w:val="32"/>
          <w:szCs w:val="32"/>
        </w:rPr>
        <w:t>一般公共服务支出2010801：指行政单位未单独设置项级科目的其他项目支出。</w:t>
      </w:r>
    </w:p>
    <w:p w14:paraId="580234AC"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10</w:t>
      </w:r>
      <w:r>
        <w:rPr>
          <w:rFonts w:ascii="仿宋_GB2312" w:eastAsia="仿宋_GB2312"/>
          <w:sz w:val="32"/>
          <w:szCs w:val="32"/>
        </w:rPr>
        <w:t>.</w:t>
      </w:r>
      <w:r>
        <w:rPr>
          <w:rFonts w:ascii="仿宋_GB2312" w:eastAsia="仿宋_GB2312" w:hint="eastAsia"/>
          <w:sz w:val="32"/>
          <w:szCs w:val="32"/>
        </w:rPr>
        <w:t>社会保障和就业</w:t>
      </w:r>
      <w:r>
        <w:rPr>
          <w:rStyle w:val="ad"/>
          <w:rFonts w:hAnsi="仿宋" w:hint="eastAsia"/>
          <w:b w:val="0"/>
          <w:bCs/>
          <w:sz w:val="32"/>
          <w:szCs w:val="32"/>
        </w:rPr>
        <w:t>2080505</w:t>
      </w:r>
      <w:r>
        <w:rPr>
          <w:rFonts w:ascii="仿宋_GB2312" w:eastAsia="仿宋_GB2312" w:hint="eastAsia"/>
          <w:sz w:val="32"/>
          <w:szCs w:val="32"/>
        </w:rPr>
        <w:t>：指反应机关事业单位养老保险、职业年金等缴费支出。</w:t>
      </w:r>
    </w:p>
    <w:p w14:paraId="67AB8140"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sz w:val="32"/>
          <w:szCs w:val="32"/>
        </w:rPr>
        <w:t>.</w:t>
      </w:r>
      <w:r>
        <w:rPr>
          <w:rFonts w:ascii="仿宋_GB2312" w:eastAsia="仿宋_GB2312" w:hint="eastAsia"/>
          <w:sz w:val="32"/>
          <w:szCs w:val="32"/>
        </w:rPr>
        <w:t>医疗卫生与计划生育</w:t>
      </w:r>
      <w:r>
        <w:rPr>
          <w:rStyle w:val="ad"/>
          <w:rFonts w:hAnsi="仿宋" w:hint="eastAsia"/>
          <w:b w:val="0"/>
          <w:bCs/>
          <w:sz w:val="32"/>
          <w:szCs w:val="32"/>
        </w:rPr>
        <w:t>2101101</w:t>
      </w:r>
      <w:r>
        <w:rPr>
          <w:rFonts w:ascii="仿宋_GB2312" w:eastAsia="仿宋_GB2312" w:hint="eastAsia"/>
          <w:sz w:val="32"/>
          <w:szCs w:val="32"/>
        </w:rPr>
        <w:t>：指反应行政单位医疗方面的支出。</w:t>
      </w:r>
    </w:p>
    <w:p w14:paraId="398A5B21"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sz w:val="32"/>
          <w:szCs w:val="32"/>
        </w:rPr>
        <w:t>.</w:t>
      </w:r>
      <w:r>
        <w:rPr>
          <w:rFonts w:ascii="仿宋_GB2312" w:eastAsia="仿宋_GB2312" w:hint="eastAsia"/>
          <w:sz w:val="32"/>
          <w:szCs w:val="32"/>
        </w:rPr>
        <w:t>住房保障支出</w:t>
      </w:r>
      <w:r>
        <w:rPr>
          <w:rFonts w:hAnsi="仿宋" w:hint="eastAsia"/>
          <w:sz w:val="32"/>
          <w:szCs w:val="32"/>
        </w:rPr>
        <w:t>2210201</w:t>
      </w:r>
      <w:r>
        <w:rPr>
          <w:rFonts w:ascii="仿宋_GB2312" w:eastAsia="仿宋_GB2312" w:hint="eastAsia"/>
          <w:sz w:val="32"/>
          <w:szCs w:val="32"/>
        </w:rPr>
        <w:t>：指指反映用于保障性住房方面的支出或反映行政事业单位按人力资源和社会保障部、财政部规定的基本工资和津贴补贴以及规定比例为职工缴纳的住房公积金。</w:t>
      </w:r>
    </w:p>
    <w:p w14:paraId="0BD6C387"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14:paraId="4917D0E8"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14.项目支出：指在基本支出之外为完成特定行政任务和事业发展目标所发生的支出。</w:t>
      </w:r>
      <w:r>
        <w:rPr>
          <w:rFonts w:ascii="仿宋_GB2312" w:eastAsia="仿宋_GB2312"/>
          <w:sz w:val="32"/>
          <w:szCs w:val="32"/>
        </w:rPr>
        <w:t xml:space="preserve"> </w:t>
      </w:r>
    </w:p>
    <w:p w14:paraId="31B63D55"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14:paraId="375BB2AE"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3E29E04" w14:textId="77777777" w:rsidR="00F27157" w:rsidRDefault="000000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w:t>
      </w:r>
      <w:r>
        <w:rPr>
          <w:rFonts w:ascii="仿宋_GB2312" w:eastAsia="仿宋_GB2312" w:hint="eastAsia"/>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14:paraId="37D4F35E" w14:textId="77777777" w:rsidR="00F27157" w:rsidRDefault="00F27157">
      <w:pPr>
        <w:pStyle w:val="Default"/>
        <w:spacing w:line="560" w:lineRule="exact"/>
        <w:ind w:firstLineChars="200" w:firstLine="640"/>
        <w:rPr>
          <w:rFonts w:ascii="仿宋_GB2312" w:eastAsia="仿宋_GB2312" w:cs="黑体"/>
          <w:sz w:val="32"/>
          <w:szCs w:val="32"/>
        </w:rPr>
      </w:pPr>
    </w:p>
    <w:p w14:paraId="7F8936E9" w14:textId="77777777" w:rsidR="00F27157" w:rsidRDefault="00000000">
      <w:pPr>
        <w:spacing w:line="600" w:lineRule="exact"/>
        <w:jc w:val="center"/>
        <w:outlineLvl w:val="0"/>
        <w:rPr>
          <w:rStyle w:val="10"/>
          <w:rFonts w:ascii="黑体" w:eastAsia="黑体" w:hAnsi="黑体"/>
          <w:b w:val="0"/>
        </w:rPr>
      </w:pPr>
      <w:bookmarkStart w:id="57" w:name="_Toc15377226"/>
      <w:r>
        <w:rPr>
          <w:rFonts w:ascii="宋体"/>
          <w:b/>
          <w:color w:val="000000"/>
          <w:sz w:val="44"/>
          <w:szCs w:val="44"/>
        </w:rPr>
        <w:br w:type="page"/>
      </w:r>
      <w:bookmarkStart w:id="58" w:name="_Toc15396614"/>
      <w:r>
        <w:rPr>
          <w:rFonts w:ascii="黑体" w:eastAsia="黑体" w:hAnsi="黑体" w:hint="eastAsia"/>
          <w:color w:val="000000"/>
          <w:sz w:val="44"/>
          <w:szCs w:val="44"/>
        </w:rPr>
        <w:lastRenderedPageBreak/>
        <w:t>第</w:t>
      </w:r>
      <w:r>
        <w:rPr>
          <w:rStyle w:val="10"/>
          <w:rFonts w:ascii="黑体" w:eastAsia="黑体" w:hAnsi="黑体" w:hint="eastAsia"/>
          <w:b w:val="0"/>
        </w:rPr>
        <w:t>四部分 附件</w:t>
      </w:r>
      <w:bookmarkEnd w:id="58"/>
    </w:p>
    <w:p w14:paraId="4E0C79B6" w14:textId="77777777" w:rsidR="00F27157" w:rsidRDefault="00F27157">
      <w:pPr>
        <w:spacing w:line="600" w:lineRule="exact"/>
        <w:jc w:val="center"/>
        <w:outlineLvl w:val="0"/>
        <w:rPr>
          <w:rStyle w:val="10"/>
        </w:rPr>
      </w:pPr>
    </w:p>
    <w:p w14:paraId="4FA618B4" w14:textId="77777777" w:rsidR="00F27157" w:rsidRDefault="00000000">
      <w:pPr>
        <w:pStyle w:val="2"/>
        <w:rPr>
          <w:rStyle w:val="10"/>
          <w:rFonts w:ascii="仿宋" w:eastAsia="仿宋" w:hAnsi="仿宋"/>
          <w:sz w:val="32"/>
          <w:szCs w:val="32"/>
        </w:rPr>
      </w:pPr>
      <w:bookmarkStart w:id="59" w:name="_Toc15396615"/>
      <w:r>
        <w:rPr>
          <w:rStyle w:val="10"/>
          <w:rFonts w:ascii="仿宋" w:eastAsia="仿宋" w:hAnsi="仿宋" w:hint="eastAsia"/>
          <w:sz w:val="32"/>
          <w:szCs w:val="32"/>
        </w:rPr>
        <w:t>附件1</w:t>
      </w:r>
      <w:bookmarkEnd w:id="59"/>
    </w:p>
    <w:p w14:paraId="320E8636" w14:textId="77777777" w:rsidR="00F27157" w:rsidRDefault="00000000">
      <w:pPr>
        <w:widowControl/>
        <w:spacing w:line="480" w:lineRule="exact"/>
        <w:jc w:val="center"/>
        <w:rPr>
          <w:rFonts w:ascii="方正小标宋简体" w:eastAsia="方正小标宋简体" w:hAnsi="宋体" w:cs="方正小标宋简体"/>
          <w:sz w:val="44"/>
          <w:szCs w:val="44"/>
        </w:rPr>
      </w:pPr>
      <w:bookmarkStart w:id="60" w:name="_Toc15396617"/>
      <w:r>
        <w:rPr>
          <w:rFonts w:ascii="方正小标宋简体" w:eastAsia="方正小标宋简体" w:hAnsi="宋体" w:cs="方正小标宋简体" w:hint="eastAsia"/>
          <w:sz w:val="44"/>
          <w:szCs w:val="44"/>
        </w:rPr>
        <w:t>部门整体支出绩效报告</w:t>
      </w:r>
    </w:p>
    <w:p w14:paraId="723F90C4" w14:textId="77777777" w:rsidR="00F27157" w:rsidRDefault="00000000">
      <w:pPr>
        <w:widowControl/>
        <w:spacing w:line="480" w:lineRule="exact"/>
        <w:jc w:val="center"/>
        <w:rPr>
          <w:rFonts w:ascii="黑体" w:eastAsia="黑体" w:hAnsi="宋体" w:cs="宋体"/>
          <w:color w:val="000000"/>
          <w:kern w:val="0"/>
        </w:rPr>
      </w:pPr>
      <w:r>
        <w:rPr>
          <w:rFonts w:ascii="仿宋_GB2312" w:eastAsia="仿宋_GB2312" w:hAnsi="宋体" w:cs="仿宋_GB2312" w:hint="eastAsia"/>
          <w:sz w:val="32"/>
        </w:rPr>
        <w:t>（报告范围包括机关和下属单位）</w:t>
      </w:r>
    </w:p>
    <w:p w14:paraId="0BA1B687" w14:textId="77777777" w:rsidR="00F27157" w:rsidRDefault="00000000">
      <w:pPr>
        <w:widowControl/>
        <w:adjustRightInd w:val="0"/>
        <w:snapToGrid w:val="0"/>
        <w:spacing w:line="480" w:lineRule="exact"/>
        <w:ind w:firstLine="720"/>
        <w:jc w:val="left"/>
        <w:rPr>
          <w:rFonts w:ascii="黑体" w:eastAsia="黑体" w:hAnsi="宋体" w:cs="宋体"/>
          <w:color w:val="000000"/>
          <w:kern w:val="0"/>
          <w:sz w:val="32"/>
          <w:lang w:val="zh-CN"/>
        </w:rPr>
      </w:pPr>
      <w:r>
        <w:rPr>
          <w:rFonts w:ascii="黑体" w:eastAsia="黑体" w:hAnsi="宋体" w:cs="宋体" w:hint="eastAsia"/>
          <w:color w:val="000000"/>
          <w:kern w:val="0"/>
          <w:sz w:val="32"/>
        </w:rPr>
        <w:t>一、</w:t>
      </w:r>
      <w:r>
        <w:rPr>
          <w:rFonts w:ascii="黑体" w:eastAsia="黑体" w:hAnsi="宋体" w:cs="宋体" w:hint="eastAsia"/>
          <w:color w:val="000000"/>
          <w:kern w:val="0"/>
          <w:sz w:val="32"/>
          <w:lang w:val="zh-CN"/>
        </w:rPr>
        <w:t>部门（单位）概况</w:t>
      </w:r>
    </w:p>
    <w:p w14:paraId="55E40E51" w14:textId="77777777" w:rsidR="00F27157" w:rsidRDefault="00000000">
      <w:pPr>
        <w:widowControl/>
        <w:adjustRightInd w:val="0"/>
        <w:snapToGrid w:val="0"/>
        <w:spacing w:line="480" w:lineRule="exact"/>
        <w:ind w:firstLine="720"/>
        <w:jc w:val="left"/>
        <w:rPr>
          <w:rFonts w:ascii="仿宋_GB2312" w:eastAsia="仿宋_GB2312" w:hAnsi="Calibri" w:cs="仿宋"/>
          <w:color w:val="000000"/>
          <w:kern w:val="0"/>
          <w:sz w:val="32"/>
          <w:szCs w:val="32"/>
          <w:lang w:val="zh-CN"/>
        </w:rPr>
      </w:pPr>
      <w:r>
        <w:rPr>
          <w:rFonts w:ascii="仿宋_GB2312" w:eastAsia="仿宋_GB2312" w:hAnsi="Calibri" w:cs="仿宋" w:hint="eastAsia"/>
          <w:color w:val="000000"/>
          <w:kern w:val="0"/>
          <w:sz w:val="32"/>
          <w:szCs w:val="32"/>
        </w:rPr>
        <w:t>红原县审计局本级是独立核算、独立编报预算的单位。内设办公室、审计一室、审计二室、法规复核股等职能股室，下设审计中心事业机构。人事核定行政编制7人，行政工勤1人,事业编制8人，年末在职职工13人，其中行政人员7人，行政工勤人员1人，事业人员5人。其主要职责：①贯彻执行国家有关审计工作的法律、法规和方针政策。②向县人民政府报告工作，向政府相关部门通报审计情况，提出制定和完善有关政策法规，宏观调控措施的建议。③依照《中华人民共和国审计法》和有关法律法规的规定，直接进行下列审计：一是县级财政预算执行情况和其他财政收支；二是县政府各行政、事业单位及其所属机构的财政收支；三是乡级财政预算执行情况、决算和其他财政收支；四是县级国有企业及国有资产占控股或主导地位的企业的资产、负债、损益和经营情况；五是县级国家重点建设项目概（预）算，决算和县级国家重大资金筹集、使用情况；六是其他法律法规规定的审计事项。④向县人民政府提交县级预算执行情况和其他财政收支情况的审计报告；受县人民政府委托向县人大常委会提出县级财政预算执行情况和其他财政收支的审计工作报告。⑤组织实施对贯彻执行国家财经方针政策和宏观调控措施情况的行业审计、专项审计和审计调查。⑥承办县人民政府交办的其他事项。</w:t>
      </w:r>
    </w:p>
    <w:p w14:paraId="290618E3" w14:textId="77777777" w:rsidR="00F27157" w:rsidRDefault="00000000">
      <w:pPr>
        <w:widowControl/>
        <w:adjustRightInd w:val="0"/>
        <w:snapToGrid w:val="0"/>
        <w:spacing w:line="480" w:lineRule="exact"/>
        <w:ind w:firstLine="720"/>
        <w:jc w:val="left"/>
        <w:rPr>
          <w:rFonts w:ascii="黑体" w:eastAsia="黑体" w:hAnsi="宋体" w:cs="宋体"/>
          <w:color w:val="000000"/>
          <w:kern w:val="0"/>
        </w:rPr>
      </w:pPr>
      <w:r>
        <w:rPr>
          <w:rFonts w:ascii="黑体" w:eastAsia="黑体" w:hAnsi="宋体" w:cs="宋体" w:hint="eastAsia"/>
          <w:color w:val="000000"/>
          <w:kern w:val="0"/>
          <w:sz w:val="32"/>
        </w:rPr>
        <w:lastRenderedPageBreak/>
        <w:t>二、部门财政资金收支情况</w:t>
      </w:r>
    </w:p>
    <w:p w14:paraId="69F57FAC" w14:textId="77777777" w:rsidR="00F27157" w:rsidRDefault="00000000">
      <w:pPr>
        <w:widowControl/>
        <w:adjustRightInd w:val="0"/>
        <w:snapToGrid w:val="0"/>
        <w:spacing w:line="56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（一）部门财政资金收入情况。</w:t>
      </w:r>
    </w:p>
    <w:p w14:paraId="0A2FE711" w14:textId="77777777" w:rsidR="00F27157" w:rsidRDefault="0000000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2018年收入263.21万元，其中：财政拨款收入243.2万元，占总收入的92.39%，其他收入20.01万元，占总收入的7.61%。</w:t>
      </w:r>
    </w:p>
    <w:p w14:paraId="6AC03B22" w14:textId="77777777" w:rsidR="00F27157" w:rsidRDefault="00000000">
      <w:pPr>
        <w:widowControl/>
        <w:adjustRightInd w:val="0"/>
        <w:snapToGrid w:val="0"/>
        <w:spacing w:line="480" w:lineRule="exact"/>
        <w:ind w:firstLineChars="200" w:firstLine="640"/>
        <w:jc w:val="left"/>
        <w:rPr>
          <w:rFonts w:ascii="仿宋_GB2312" w:eastAsia="仿宋_GB2312" w:hAnsi="宋体" w:cs="宋体"/>
          <w:color w:val="000000"/>
          <w:kern w:val="0"/>
          <w:sz w:val="32"/>
          <w:lang w:val="zh-CN"/>
        </w:rPr>
      </w:pPr>
      <w:r>
        <w:rPr>
          <w:rFonts w:ascii="仿宋_GB2312" w:eastAsia="仿宋_GB2312" w:hAnsi="宋体" w:cs="宋体" w:hint="eastAsia"/>
          <w:color w:val="000000"/>
          <w:kern w:val="0"/>
          <w:sz w:val="32"/>
          <w:lang w:val="zh-CN"/>
        </w:rPr>
        <w:t>（二）部门财政资金支出情况。</w:t>
      </w:r>
    </w:p>
    <w:p w14:paraId="6BA97DE3" w14:textId="77777777" w:rsidR="00F27157" w:rsidRDefault="00000000">
      <w:pPr>
        <w:widowControl/>
        <w:adjustRightInd w:val="0"/>
        <w:snapToGrid w:val="0"/>
        <w:spacing w:line="480" w:lineRule="exact"/>
        <w:ind w:firstLine="720"/>
        <w:jc w:val="left"/>
        <w:rPr>
          <w:rFonts w:ascii="仿宋_GB2312" w:eastAsia="仿宋_GB2312" w:hAnsi="仿宋"/>
          <w:sz w:val="32"/>
          <w:szCs w:val="32"/>
        </w:rPr>
      </w:pPr>
      <w:r>
        <w:rPr>
          <w:rFonts w:ascii="仿宋_GB2312" w:eastAsia="仿宋_GB2312" w:hAnsi="仿宋"/>
          <w:sz w:val="32"/>
          <w:szCs w:val="32"/>
        </w:rPr>
        <w:t>201</w:t>
      </w:r>
      <w:r>
        <w:rPr>
          <w:rFonts w:ascii="仿宋_GB2312" w:eastAsia="仿宋_GB2312" w:hAnsi="仿宋" w:hint="eastAsia"/>
          <w:sz w:val="32"/>
          <w:szCs w:val="32"/>
        </w:rPr>
        <w:t>8年支出合计566.24万元，其中：一般公共服务支出514.8万元，社会保障和就业支出28.77万元，医疗卫生与计划生育支出9.08万元，住房保障支出13.59万元。</w:t>
      </w:r>
    </w:p>
    <w:p w14:paraId="604F54F0" w14:textId="77777777" w:rsidR="00F27157" w:rsidRDefault="00000000">
      <w:pPr>
        <w:widowControl/>
        <w:adjustRightInd w:val="0"/>
        <w:snapToGrid w:val="0"/>
        <w:spacing w:line="480" w:lineRule="exact"/>
        <w:ind w:firstLine="720"/>
        <w:jc w:val="left"/>
        <w:rPr>
          <w:rFonts w:ascii="黑体" w:eastAsia="黑体" w:hAnsi="宋体" w:cs="宋体"/>
          <w:color w:val="000000"/>
          <w:kern w:val="0"/>
        </w:rPr>
      </w:pPr>
      <w:r>
        <w:rPr>
          <w:rFonts w:ascii="黑体" w:eastAsia="黑体" w:hAnsi="宋体" w:cs="宋体" w:hint="eastAsia"/>
          <w:color w:val="000000"/>
          <w:kern w:val="0"/>
          <w:sz w:val="32"/>
        </w:rPr>
        <w:t>三、部门财政支出管理情况</w:t>
      </w:r>
    </w:p>
    <w:p w14:paraId="5E7A758B" w14:textId="77777777" w:rsidR="00F27157" w:rsidRDefault="00000000">
      <w:pPr>
        <w:widowControl/>
        <w:adjustRightInd w:val="0"/>
        <w:snapToGrid w:val="0"/>
        <w:spacing w:line="560" w:lineRule="exact"/>
        <w:ind w:firstLineChars="200" w:firstLine="64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（一）资金组成情况分析</w:t>
      </w:r>
    </w:p>
    <w:p w14:paraId="1AFC4717" w14:textId="77777777" w:rsidR="00F27157" w:rsidRDefault="00000000">
      <w:pPr>
        <w:widowControl/>
        <w:adjustRightInd w:val="0"/>
        <w:snapToGrid w:val="0"/>
        <w:spacing w:line="560" w:lineRule="exact"/>
        <w:ind w:firstLineChars="200" w:firstLine="640"/>
        <w:jc w:val="left"/>
        <w:rPr>
          <w:rFonts w:ascii="??_GB2312" w:eastAsia="Times New Roman"/>
          <w:color w:val="000000"/>
          <w:sz w:val="32"/>
          <w:szCs w:val="32"/>
          <w:lang w:val="zh-CN"/>
        </w:rPr>
      </w:pPr>
      <w:r>
        <w:rPr>
          <w:rFonts w:ascii="仿宋_GB2312" w:eastAsia="仿宋_GB2312" w:hAnsi="仿宋" w:hint="eastAsia"/>
          <w:sz w:val="32"/>
          <w:szCs w:val="32"/>
          <w:lang w:val="zh-CN"/>
        </w:rPr>
        <w:t>主要由三公经费、项目支出、公用经费、</w:t>
      </w:r>
      <w:r>
        <w:rPr>
          <w:rFonts w:ascii="仿宋_GB2312" w:eastAsia="仿宋_GB2312" w:hAnsi="仿宋" w:hint="eastAsia"/>
          <w:sz w:val="32"/>
          <w:szCs w:val="32"/>
        </w:rPr>
        <w:t>人员经费构成</w:t>
      </w:r>
      <w:r>
        <w:rPr>
          <w:rFonts w:ascii="仿宋_GB2312" w:eastAsia="仿宋_GB2312" w:hAnsi="仿宋" w:hint="eastAsia"/>
          <w:sz w:val="32"/>
          <w:szCs w:val="32"/>
          <w:lang w:val="zh-CN"/>
        </w:rPr>
        <w:t>。</w:t>
      </w:r>
    </w:p>
    <w:p w14:paraId="5B3FFEEB" w14:textId="77777777" w:rsidR="00F27157" w:rsidRDefault="00000000">
      <w:pPr>
        <w:widowControl/>
        <w:adjustRightInd w:val="0"/>
        <w:snapToGrid w:val="0"/>
        <w:spacing w:line="560" w:lineRule="exact"/>
        <w:ind w:firstLineChars="200" w:firstLine="64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（二）预算执行情况分析</w:t>
      </w:r>
    </w:p>
    <w:p w14:paraId="412354BD"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2018年度“三公”经费财政拨款支出决算中，因公出国（境）费支出决算0元；公务用车购置及运行维护费支出决算4.19万元，占95.2%；公务接待费支出决算0.21万元，占4.8%。</w:t>
      </w:r>
    </w:p>
    <w:p w14:paraId="0376A890" w14:textId="77777777" w:rsidR="00F27157" w:rsidRDefault="00000000">
      <w:pPr>
        <w:widowControl/>
        <w:adjustRightInd w:val="0"/>
        <w:snapToGrid w:val="0"/>
        <w:spacing w:line="560" w:lineRule="exact"/>
        <w:ind w:firstLineChars="200" w:firstLine="64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（三）预算管理情况</w:t>
      </w:r>
    </w:p>
    <w:p w14:paraId="7A2D3DE1"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2018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w:t>
      </w:r>
      <w:r>
        <w:rPr>
          <w:rFonts w:ascii="仿宋_GB2312" w:eastAsia="仿宋_GB2312" w:hAnsi="仿宋" w:hint="eastAsia"/>
          <w:sz w:val="32"/>
          <w:szCs w:val="32"/>
          <w:lang w:val="zh-CN"/>
        </w:rPr>
        <w:lastRenderedPageBreak/>
        <w:t>程序，加强了财务管理，规范了收支行为，保证了本单位财务管理工作规范有序进行。</w:t>
      </w:r>
    </w:p>
    <w:p w14:paraId="34ABC8F7" w14:textId="77777777" w:rsidR="00F27157" w:rsidRDefault="00000000">
      <w:pPr>
        <w:widowControl/>
        <w:adjustRightInd w:val="0"/>
        <w:snapToGrid w:val="0"/>
        <w:spacing w:line="480" w:lineRule="exact"/>
        <w:ind w:firstLine="720"/>
        <w:jc w:val="left"/>
        <w:rPr>
          <w:rFonts w:ascii="黑体" w:eastAsia="黑体" w:hAnsi="宋体" w:cs="宋体"/>
          <w:color w:val="000000"/>
          <w:kern w:val="0"/>
          <w:sz w:val="32"/>
        </w:rPr>
      </w:pPr>
      <w:r>
        <w:rPr>
          <w:rFonts w:ascii="黑体" w:eastAsia="黑体" w:hAnsi="宋体" w:cs="宋体" w:hint="eastAsia"/>
          <w:color w:val="000000"/>
          <w:kern w:val="0"/>
          <w:sz w:val="32"/>
        </w:rPr>
        <w:t>四、绩效情况</w:t>
      </w:r>
    </w:p>
    <w:p w14:paraId="3D4978AF" w14:textId="77777777" w:rsidR="00F27157" w:rsidRDefault="00000000">
      <w:pPr>
        <w:widowControl/>
        <w:adjustRightInd w:val="0"/>
        <w:snapToGrid w:val="0"/>
        <w:spacing w:line="560" w:lineRule="exact"/>
        <w:ind w:firstLineChars="200" w:firstLine="64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（一）部门职责履行情况分析</w:t>
      </w:r>
    </w:p>
    <w:p w14:paraId="46A799F4"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2018年度我单位年初根据工作规划和重点工作规划，围绕全面建成小康社会的发展蓝图，积极履行职责，强化本单位预算管理，较好地完成了年初工作目标。通过加强预算收支管理，不断建立健全内部管理制度，梳理内部管理流程。部门整体预算支出管理情况得到提升。</w:t>
      </w:r>
    </w:p>
    <w:p w14:paraId="26CA1150" w14:textId="77777777" w:rsidR="00F27157" w:rsidRDefault="00000000">
      <w:pPr>
        <w:widowControl/>
        <w:adjustRightInd w:val="0"/>
        <w:snapToGrid w:val="0"/>
        <w:spacing w:line="560" w:lineRule="exact"/>
        <w:ind w:firstLineChars="150" w:firstLine="48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（二）社会经济效益分析</w:t>
      </w:r>
    </w:p>
    <w:p w14:paraId="31070494"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1、本年预算配置控制较好。财政供养人员控制在预算编制以内，编制内在职人员控制率为100%；“三公经费”控制在年初预算以内。</w:t>
      </w:r>
    </w:p>
    <w:p w14:paraId="7547656C"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2、预算执行情况控制较好。支出总额控制在年初预算总额以内，本年部门预算完成率达到了100%，未进行预算相关事项的调整，预算控制良好。</w:t>
      </w:r>
    </w:p>
    <w:p w14:paraId="4F0AE143"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3、预算管理较为理想。由于严格执行财政相关法律、法规的规定，我单位的预算管理工作取得了较好的成绩，全年人员经费支出、日常用公用经费支出的控制率均达到了100%。</w:t>
      </w:r>
    </w:p>
    <w:p w14:paraId="6F709916" w14:textId="77777777" w:rsidR="00F27157" w:rsidRDefault="00000000">
      <w:pPr>
        <w:widowControl/>
        <w:adjustRightInd w:val="0"/>
        <w:snapToGrid w:val="0"/>
        <w:spacing w:line="560" w:lineRule="exact"/>
        <w:ind w:firstLineChars="200" w:firstLine="64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（三）行政效能分析</w:t>
      </w:r>
    </w:p>
    <w:p w14:paraId="4DADC159" w14:textId="14AEEC2A"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财政预算</w:t>
      </w:r>
      <w:r w:rsidR="00031FE3">
        <w:rPr>
          <w:rFonts w:ascii="仿宋_GB2312" w:eastAsia="仿宋_GB2312" w:hAnsi="仿宋" w:hint="eastAsia"/>
          <w:sz w:val="32"/>
          <w:szCs w:val="32"/>
          <w:lang w:val="zh-CN"/>
        </w:rPr>
        <w:t>安</w:t>
      </w:r>
      <w:r>
        <w:rPr>
          <w:rFonts w:ascii="仿宋_GB2312" w:eastAsia="仿宋_GB2312" w:hAnsi="仿宋" w:hint="eastAsia"/>
          <w:sz w:val="32"/>
          <w:szCs w:val="32"/>
          <w:lang w:val="zh-CN"/>
        </w:rPr>
        <w:t>排在很大程度上保障了本单位基本支出及公用经费支出的正常工作运转。预算</w:t>
      </w:r>
      <w:r w:rsidR="00031FE3">
        <w:rPr>
          <w:rFonts w:ascii="仿宋_GB2312" w:eastAsia="仿宋_GB2312" w:hAnsi="仿宋" w:hint="eastAsia"/>
          <w:sz w:val="32"/>
          <w:szCs w:val="32"/>
          <w:lang w:val="zh-CN"/>
        </w:rPr>
        <w:t>安</w:t>
      </w:r>
      <w:r>
        <w:rPr>
          <w:rFonts w:ascii="仿宋_GB2312" w:eastAsia="仿宋_GB2312" w:hAnsi="仿宋" w:hint="eastAsia"/>
          <w:sz w:val="32"/>
          <w:szCs w:val="32"/>
          <w:lang w:val="zh-CN"/>
        </w:rPr>
        <w:t>排的项目支出也是非常必要的。财政预算</w:t>
      </w:r>
      <w:r w:rsidR="00031FE3">
        <w:rPr>
          <w:rFonts w:ascii="仿宋_GB2312" w:eastAsia="仿宋_GB2312" w:hAnsi="仿宋" w:hint="eastAsia"/>
          <w:sz w:val="32"/>
          <w:szCs w:val="32"/>
          <w:lang w:val="zh-CN"/>
        </w:rPr>
        <w:t>安</w:t>
      </w:r>
      <w:r>
        <w:rPr>
          <w:rFonts w:ascii="仿宋_GB2312" w:eastAsia="仿宋_GB2312" w:hAnsi="仿宋" w:hint="eastAsia"/>
          <w:sz w:val="32"/>
          <w:szCs w:val="32"/>
          <w:lang w:val="zh-CN"/>
        </w:rPr>
        <w:t>排大大提财政资金的使用效率，财政资金的安全性得到了有效保障，我们在执行预算过程中是严</w:t>
      </w:r>
      <w:r>
        <w:rPr>
          <w:rFonts w:ascii="仿宋_GB2312" w:eastAsia="仿宋_GB2312" w:hAnsi="仿宋" w:hint="eastAsia"/>
          <w:sz w:val="32"/>
          <w:szCs w:val="32"/>
          <w:lang w:val="zh-CN"/>
        </w:rPr>
        <w:lastRenderedPageBreak/>
        <w:t>格按照财政各项制度规定来办理，单位在项目资金的使用上也是安全的。</w:t>
      </w:r>
    </w:p>
    <w:p w14:paraId="1DDF63F4" w14:textId="77777777" w:rsidR="00F27157" w:rsidRDefault="00000000">
      <w:pPr>
        <w:widowControl/>
        <w:adjustRightInd w:val="0"/>
        <w:snapToGrid w:val="0"/>
        <w:spacing w:line="560" w:lineRule="exact"/>
        <w:ind w:firstLineChars="200" w:firstLine="64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四、其他需要说明的问题</w:t>
      </w:r>
    </w:p>
    <w:p w14:paraId="1E0A3B58" w14:textId="77777777" w:rsidR="00F27157" w:rsidRDefault="00000000">
      <w:pPr>
        <w:widowControl/>
        <w:adjustRightInd w:val="0"/>
        <w:snapToGrid w:val="0"/>
        <w:spacing w:line="560" w:lineRule="exact"/>
        <w:ind w:firstLineChars="200" w:firstLine="64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（一）存在的问题</w:t>
      </w:r>
    </w:p>
    <w:p w14:paraId="09935F30"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1、预算编制欠严谨</w:t>
      </w:r>
    </w:p>
    <w:p w14:paraId="75B75B19"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预算编制欠全面，项目有临时追加不够完整、细化。</w:t>
      </w:r>
    </w:p>
    <w:p w14:paraId="162EC3CC"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2、预算执行存在偏差</w:t>
      </w:r>
    </w:p>
    <w:p w14:paraId="1B1A2A60"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在实际经费列支中，未严格按照预算科目进行列支，部分基本支出挤占了项目支出。</w:t>
      </w:r>
    </w:p>
    <w:p w14:paraId="55D8605E"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3、会计核算欠规范</w:t>
      </w:r>
    </w:p>
    <w:p w14:paraId="68F5D887"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经费支出核算过程中，部分存在部分大额办公支出无明细、发票内容填写不规范等现象。</w:t>
      </w:r>
    </w:p>
    <w:p w14:paraId="3A809FD7" w14:textId="77777777" w:rsidR="00F27157" w:rsidRDefault="00000000">
      <w:pPr>
        <w:widowControl/>
        <w:adjustRightInd w:val="0"/>
        <w:snapToGrid w:val="0"/>
        <w:spacing w:line="560" w:lineRule="exact"/>
        <w:ind w:firstLineChars="150" w:firstLine="480"/>
        <w:jc w:val="left"/>
        <w:rPr>
          <w:rFonts w:ascii="楷体" w:eastAsia="楷体" w:hAnsi="楷体" w:cs="宋体"/>
          <w:color w:val="000000"/>
          <w:kern w:val="0"/>
          <w:sz w:val="32"/>
          <w:lang w:val="zh-CN"/>
        </w:rPr>
      </w:pPr>
      <w:r>
        <w:rPr>
          <w:rFonts w:ascii="楷体" w:eastAsia="楷体" w:hAnsi="楷体" w:cs="宋体" w:hint="eastAsia"/>
          <w:color w:val="000000"/>
          <w:kern w:val="0"/>
          <w:sz w:val="32"/>
          <w:lang w:val="zh-CN"/>
        </w:rPr>
        <w:t>（二）改进措施和有关建议</w:t>
      </w:r>
    </w:p>
    <w:p w14:paraId="7380CB0D"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1、科学合理编制预算，严格执行预算。</w:t>
      </w:r>
    </w:p>
    <w:p w14:paraId="2EFAAAA9"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14:paraId="6171CF76"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2、规范账务处理，提高财务信息质量。</w:t>
      </w:r>
    </w:p>
    <w:p w14:paraId="6630D94D" w14:textId="77777777" w:rsidR="00F27157" w:rsidRDefault="00000000">
      <w:pPr>
        <w:widowControl/>
        <w:adjustRightInd w:val="0"/>
        <w:snapToGrid w:val="0"/>
        <w:spacing w:line="560" w:lineRule="exact"/>
        <w:ind w:firstLineChars="200" w:firstLine="640"/>
        <w:jc w:val="left"/>
        <w:rPr>
          <w:rFonts w:ascii="仿宋_GB2312" w:eastAsia="仿宋_GB2312" w:hAnsi="仿宋"/>
          <w:sz w:val="32"/>
          <w:szCs w:val="32"/>
          <w:lang w:val="zh-CN"/>
        </w:rPr>
      </w:pPr>
      <w:r>
        <w:rPr>
          <w:rFonts w:ascii="仿宋_GB2312" w:eastAsia="仿宋_GB2312" w:hAnsi="仿宋" w:hint="eastAsia"/>
          <w:sz w:val="32"/>
          <w:szCs w:val="32"/>
          <w:lang w:val="zh-CN"/>
        </w:rPr>
        <w:t>严格按照《会计法》、《行政单位会计制度》、《行政单位财务规则》等规定，结合实际情况，科学设置支出科目，规范财务核算，完整披露相关信息。</w:t>
      </w:r>
    </w:p>
    <w:p w14:paraId="7B0D4D57" w14:textId="77777777" w:rsidR="00F27157" w:rsidRDefault="00F27157">
      <w:pPr>
        <w:spacing w:line="600" w:lineRule="exact"/>
        <w:outlineLvl w:val="0"/>
        <w:rPr>
          <w:rFonts w:ascii="黑体" w:eastAsia="黑体" w:hAnsi="黑体"/>
          <w:color w:val="000000"/>
          <w:sz w:val="44"/>
          <w:szCs w:val="44"/>
        </w:rPr>
      </w:pPr>
      <w:bookmarkStart w:id="61" w:name="_Toc15396618"/>
      <w:bookmarkEnd w:id="60"/>
    </w:p>
    <w:p w14:paraId="485CF1CD" w14:textId="77777777" w:rsidR="00F27157" w:rsidRDefault="00000000">
      <w:pPr>
        <w:spacing w:line="600" w:lineRule="exact"/>
        <w:jc w:val="center"/>
        <w:outlineLvl w:val="0"/>
        <w:rPr>
          <w:rStyle w:val="10"/>
          <w:rFonts w:ascii="黑体" w:eastAsia="黑体" w:hAnsi="黑体"/>
          <w:b w:val="0"/>
        </w:rPr>
      </w:pPr>
      <w:r>
        <w:rPr>
          <w:rFonts w:ascii="黑体" w:eastAsia="黑体" w:hAnsi="黑体" w:hint="eastAsia"/>
          <w:color w:val="000000"/>
          <w:sz w:val="44"/>
          <w:szCs w:val="44"/>
        </w:rPr>
        <w:lastRenderedPageBreak/>
        <w:t>第</w:t>
      </w:r>
      <w:r>
        <w:rPr>
          <w:rStyle w:val="10"/>
          <w:rFonts w:ascii="黑体" w:eastAsia="黑体" w:hAnsi="黑体" w:hint="eastAsia"/>
          <w:b w:val="0"/>
        </w:rPr>
        <w:t>五部分 附表</w:t>
      </w:r>
      <w:bookmarkEnd w:id="57"/>
      <w:bookmarkEnd w:id="61"/>
    </w:p>
    <w:p w14:paraId="30B50E3B" w14:textId="77777777" w:rsidR="00F27157" w:rsidRDefault="00F27157">
      <w:pPr>
        <w:spacing w:line="600" w:lineRule="exact"/>
        <w:jc w:val="center"/>
        <w:outlineLvl w:val="0"/>
        <w:rPr>
          <w:rFonts w:ascii="仿宋" w:eastAsia="仿宋" w:hAnsi="仿宋"/>
          <w:b/>
          <w:color w:val="000000"/>
          <w:sz w:val="44"/>
          <w:szCs w:val="44"/>
        </w:rPr>
      </w:pPr>
    </w:p>
    <w:p w14:paraId="2CEFAF39" w14:textId="77777777" w:rsidR="00F27157" w:rsidRDefault="00000000">
      <w:pPr>
        <w:pStyle w:val="2"/>
        <w:numPr>
          <w:ilvl w:val="0"/>
          <w:numId w:val="7"/>
        </w:numPr>
        <w:rPr>
          <w:rFonts w:ascii="仿宋" w:eastAsia="仿宋" w:hAnsi="仿宋"/>
          <w:b w:val="0"/>
          <w:color w:val="000000"/>
        </w:rPr>
      </w:pPr>
      <w:bookmarkStart w:id="62" w:name="_Toc15396620"/>
      <w:r>
        <w:rPr>
          <w:rFonts w:ascii="仿宋" w:eastAsia="仿宋" w:hAnsi="仿宋" w:hint="eastAsia"/>
          <w:b w:val="0"/>
          <w:color w:val="000000"/>
        </w:rPr>
        <w:t>收入支出决算总表</w:t>
      </w:r>
    </w:p>
    <w:p w14:paraId="0221E39F" w14:textId="77777777" w:rsidR="00F27157" w:rsidRDefault="00000000">
      <w:pPr>
        <w:pStyle w:val="2"/>
        <w:rPr>
          <w:rFonts w:ascii="仿宋" w:eastAsia="仿宋" w:hAnsi="仿宋"/>
          <w:color w:val="000000"/>
        </w:rPr>
      </w:pPr>
      <w:r>
        <w:rPr>
          <w:rFonts w:ascii="仿宋" w:eastAsia="仿宋" w:hAnsi="仿宋" w:hint="eastAsia"/>
          <w:b w:val="0"/>
          <w:color w:val="000000"/>
        </w:rPr>
        <w:t>二、收</w:t>
      </w:r>
      <w:r>
        <w:rPr>
          <w:rStyle w:val="20"/>
          <w:rFonts w:ascii="仿宋" w:eastAsia="仿宋" w:hAnsi="仿宋" w:hint="eastAsia"/>
        </w:rPr>
        <w:t>入总表</w:t>
      </w:r>
      <w:bookmarkEnd w:id="62"/>
    </w:p>
    <w:p w14:paraId="6925E9EE" w14:textId="77777777" w:rsidR="00F27157" w:rsidRDefault="00000000">
      <w:pPr>
        <w:pStyle w:val="2"/>
        <w:rPr>
          <w:rFonts w:ascii="仿宋" w:eastAsia="仿宋" w:hAnsi="仿宋"/>
          <w:color w:val="000000"/>
        </w:rPr>
      </w:pPr>
      <w:bookmarkStart w:id="63" w:name="_Toc15396621"/>
      <w:r>
        <w:rPr>
          <w:rStyle w:val="20"/>
          <w:rFonts w:ascii="仿宋" w:eastAsia="仿宋" w:hAnsi="仿宋" w:hint="eastAsia"/>
        </w:rPr>
        <w:t>三、</w:t>
      </w:r>
      <w:r>
        <w:rPr>
          <w:rFonts w:ascii="仿宋" w:eastAsia="仿宋" w:hAnsi="仿宋" w:hint="eastAsia"/>
          <w:b w:val="0"/>
          <w:color w:val="000000"/>
        </w:rPr>
        <w:t>支</w:t>
      </w:r>
      <w:r>
        <w:rPr>
          <w:rStyle w:val="20"/>
          <w:rFonts w:ascii="仿宋" w:eastAsia="仿宋" w:hAnsi="仿宋" w:hint="eastAsia"/>
        </w:rPr>
        <w:t>出总表</w:t>
      </w:r>
      <w:bookmarkEnd w:id="63"/>
    </w:p>
    <w:p w14:paraId="6E8C3EE1" w14:textId="77777777" w:rsidR="00F27157" w:rsidRDefault="00000000">
      <w:pPr>
        <w:pStyle w:val="2"/>
        <w:rPr>
          <w:rFonts w:ascii="仿宋" w:eastAsia="仿宋" w:hAnsi="仿宋"/>
          <w:b w:val="0"/>
          <w:color w:val="000000"/>
        </w:rPr>
      </w:pPr>
      <w:bookmarkStart w:id="64" w:name="_Toc15396622"/>
      <w:r>
        <w:rPr>
          <w:rStyle w:val="20"/>
          <w:rFonts w:ascii="仿宋" w:eastAsia="仿宋" w:hAnsi="仿宋" w:hint="eastAsia"/>
        </w:rPr>
        <w:t>四、</w:t>
      </w:r>
      <w:r>
        <w:rPr>
          <w:rFonts w:ascii="仿宋" w:eastAsia="仿宋" w:hAnsi="仿宋" w:hint="eastAsia"/>
          <w:b w:val="0"/>
          <w:color w:val="000000"/>
        </w:rPr>
        <w:t>财</w:t>
      </w:r>
      <w:r>
        <w:rPr>
          <w:rStyle w:val="20"/>
          <w:rFonts w:ascii="仿宋" w:eastAsia="仿宋" w:hAnsi="仿宋" w:hint="eastAsia"/>
        </w:rPr>
        <w:t>政拨款收入支出决算总表</w:t>
      </w:r>
      <w:bookmarkEnd w:id="64"/>
    </w:p>
    <w:p w14:paraId="15553268" w14:textId="77777777" w:rsidR="00F27157" w:rsidRDefault="00000000">
      <w:pPr>
        <w:pStyle w:val="2"/>
        <w:rPr>
          <w:rFonts w:ascii="仿宋" w:eastAsia="仿宋" w:hAnsi="仿宋"/>
          <w:color w:val="000000"/>
        </w:rPr>
      </w:pPr>
      <w:bookmarkStart w:id="65" w:name="_Toc15396623"/>
      <w:r>
        <w:rPr>
          <w:rStyle w:val="20"/>
          <w:rFonts w:ascii="仿宋" w:eastAsia="仿宋" w:hAnsi="仿宋" w:hint="eastAsia"/>
        </w:rPr>
        <w:t>五、</w:t>
      </w:r>
      <w:r>
        <w:rPr>
          <w:rFonts w:ascii="仿宋" w:eastAsia="仿宋" w:hAnsi="仿宋" w:hint="eastAsia"/>
          <w:b w:val="0"/>
          <w:color w:val="000000"/>
        </w:rPr>
        <w:t>财</w:t>
      </w:r>
      <w:r>
        <w:rPr>
          <w:rStyle w:val="20"/>
          <w:rFonts w:ascii="仿宋" w:eastAsia="仿宋" w:hAnsi="仿宋" w:hint="eastAsia"/>
        </w:rPr>
        <w:t>政拨款支出决算明细表（政府经济分类科目）</w:t>
      </w:r>
      <w:bookmarkEnd w:id="65"/>
    </w:p>
    <w:p w14:paraId="007B6C38" w14:textId="77777777" w:rsidR="00F27157" w:rsidRDefault="00000000">
      <w:pPr>
        <w:pStyle w:val="2"/>
        <w:rPr>
          <w:rFonts w:ascii="仿宋" w:eastAsia="仿宋" w:hAnsi="仿宋"/>
          <w:color w:val="000000"/>
        </w:rPr>
      </w:pPr>
      <w:bookmarkStart w:id="66" w:name="_Toc15396624"/>
      <w:r>
        <w:rPr>
          <w:rStyle w:val="20"/>
          <w:rFonts w:ascii="仿宋" w:eastAsia="仿宋" w:hAnsi="仿宋" w:hint="eastAsia"/>
        </w:rPr>
        <w:t>六、</w:t>
      </w:r>
      <w:r>
        <w:rPr>
          <w:rFonts w:ascii="仿宋" w:eastAsia="仿宋" w:hAnsi="仿宋" w:hint="eastAsia"/>
          <w:b w:val="0"/>
          <w:color w:val="000000"/>
        </w:rPr>
        <w:t>一</w:t>
      </w:r>
      <w:r>
        <w:rPr>
          <w:rStyle w:val="20"/>
          <w:rFonts w:ascii="仿宋" w:eastAsia="仿宋" w:hAnsi="仿宋" w:hint="eastAsia"/>
        </w:rPr>
        <w:t>般公共预算财政拨款支出决算表</w:t>
      </w:r>
      <w:bookmarkEnd w:id="66"/>
    </w:p>
    <w:p w14:paraId="19F348CF" w14:textId="77777777" w:rsidR="00F27157" w:rsidRDefault="00000000">
      <w:pPr>
        <w:pStyle w:val="2"/>
        <w:rPr>
          <w:rFonts w:ascii="仿宋" w:eastAsia="仿宋" w:hAnsi="仿宋"/>
          <w:color w:val="000000"/>
        </w:rPr>
      </w:pPr>
      <w:bookmarkStart w:id="67" w:name="_Toc15396625"/>
      <w:r>
        <w:rPr>
          <w:rStyle w:val="20"/>
          <w:rFonts w:ascii="仿宋" w:eastAsia="仿宋" w:hAnsi="仿宋" w:hint="eastAsia"/>
        </w:rPr>
        <w:t>七、</w:t>
      </w:r>
      <w:r>
        <w:rPr>
          <w:rFonts w:ascii="仿宋" w:eastAsia="仿宋" w:hAnsi="仿宋" w:hint="eastAsia"/>
          <w:b w:val="0"/>
          <w:color w:val="000000"/>
        </w:rPr>
        <w:t>一</w:t>
      </w:r>
      <w:r>
        <w:rPr>
          <w:rStyle w:val="20"/>
          <w:rFonts w:ascii="仿宋" w:eastAsia="仿宋" w:hAnsi="仿宋" w:hint="eastAsia"/>
        </w:rPr>
        <w:t>般公共预算财政拨款支出决算明细表</w:t>
      </w:r>
      <w:bookmarkEnd w:id="67"/>
    </w:p>
    <w:p w14:paraId="253CE3FA" w14:textId="77777777" w:rsidR="00F27157" w:rsidRDefault="00000000">
      <w:pPr>
        <w:pStyle w:val="2"/>
        <w:rPr>
          <w:rFonts w:ascii="仿宋" w:eastAsia="仿宋" w:hAnsi="仿宋"/>
          <w:color w:val="000000"/>
        </w:rPr>
      </w:pPr>
      <w:bookmarkStart w:id="68" w:name="_Toc15396626"/>
      <w:r>
        <w:rPr>
          <w:rStyle w:val="20"/>
          <w:rFonts w:ascii="仿宋" w:eastAsia="仿宋" w:hAnsi="仿宋" w:hint="eastAsia"/>
        </w:rPr>
        <w:t>八、</w:t>
      </w:r>
      <w:r>
        <w:rPr>
          <w:rFonts w:ascii="仿宋" w:eastAsia="仿宋" w:hAnsi="仿宋" w:hint="eastAsia"/>
          <w:b w:val="0"/>
          <w:color w:val="000000"/>
        </w:rPr>
        <w:t>一</w:t>
      </w:r>
      <w:r>
        <w:rPr>
          <w:rStyle w:val="20"/>
          <w:rFonts w:ascii="仿宋" w:eastAsia="仿宋" w:hAnsi="仿宋" w:hint="eastAsia"/>
        </w:rPr>
        <w:t>般公共预算财政拨款基本支出决算表</w:t>
      </w:r>
      <w:bookmarkEnd w:id="68"/>
    </w:p>
    <w:p w14:paraId="2C02A455" w14:textId="77777777" w:rsidR="00F27157" w:rsidRDefault="00000000">
      <w:pPr>
        <w:pStyle w:val="2"/>
        <w:rPr>
          <w:rFonts w:ascii="仿宋" w:eastAsia="仿宋" w:hAnsi="仿宋"/>
          <w:color w:val="000000"/>
        </w:rPr>
      </w:pPr>
      <w:bookmarkStart w:id="69" w:name="_Toc15396627"/>
      <w:r>
        <w:rPr>
          <w:rStyle w:val="20"/>
          <w:rFonts w:ascii="仿宋" w:eastAsia="仿宋" w:hAnsi="仿宋" w:hint="eastAsia"/>
        </w:rPr>
        <w:t>九、</w:t>
      </w:r>
      <w:r>
        <w:rPr>
          <w:rFonts w:ascii="仿宋" w:eastAsia="仿宋" w:hAnsi="仿宋" w:hint="eastAsia"/>
          <w:b w:val="0"/>
          <w:color w:val="000000"/>
        </w:rPr>
        <w:t>一</w:t>
      </w:r>
      <w:r>
        <w:rPr>
          <w:rStyle w:val="20"/>
          <w:rFonts w:ascii="仿宋" w:eastAsia="仿宋" w:hAnsi="仿宋" w:hint="eastAsia"/>
        </w:rPr>
        <w:t>般公共预算财政拨款项目支出决算表</w:t>
      </w:r>
      <w:bookmarkEnd w:id="69"/>
    </w:p>
    <w:p w14:paraId="7C671D0A" w14:textId="77777777" w:rsidR="00F27157" w:rsidRDefault="00000000">
      <w:pPr>
        <w:pStyle w:val="2"/>
        <w:rPr>
          <w:rFonts w:ascii="仿宋" w:eastAsia="仿宋" w:hAnsi="仿宋"/>
          <w:color w:val="000000"/>
        </w:rPr>
      </w:pPr>
      <w:bookmarkStart w:id="70" w:name="_Toc15396628"/>
      <w:r>
        <w:rPr>
          <w:rStyle w:val="20"/>
          <w:rFonts w:ascii="仿宋" w:eastAsia="仿宋" w:hAnsi="仿宋" w:hint="eastAsia"/>
        </w:rPr>
        <w:t>十、</w:t>
      </w:r>
      <w:r>
        <w:rPr>
          <w:rFonts w:ascii="仿宋" w:eastAsia="仿宋" w:hAnsi="仿宋" w:hint="eastAsia"/>
          <w:b w:val="0"/>
          <w:color w:val="000000"/>
        </w:rPr>
        <w:t>一</w:t>
      </w:r>
      <w:r>
        <w:rPr>
          <w:rStyle w:val="20"/>
          <w:rFonts w:ascii="仿宋" w:eastAsia="仿宋" w:hAnsi="仿宋" w:hint="eastAsia"/>
        </w:rPr>
        <w:t>般公共预算财政拨款“三公”经费支出决算表</w:t>
      </w:r>
      <w:bookmarkEnd w:id="70"/>
    </w:p>
    <w:p w14:paraId="1AD20E1F" w14:textId="77777777" w:rsidR="00F27157" w:rsidRDefault="00000000">
      <w:pPr>
        <w:pStyle w:val="2"/>
        <w:rPr>
          <w:rFonts w:ascii="仿宋" w:eastAsia="仿宋" w:hAnsi="仿宋"/>
          <w:color w:val="000000"/>
        </w:rPr>
      </w:pPr>
      <w:bookmarkStart w:id="71" w:name="_Toc15396629"/>
      <w:r>
        <w:rPr>
          <w:rStyle w:val="20"/>
          <w:rFonts w:ascii="仿宋" w:eastAsia="仿宋" w:hAnsi="仿宋" w:hint="eastAsia"/>
        </w:rPr>
        <w:t>十一、</w:t>
      </w:r>
      <w:r>
        <w:rPr>
          <w:rFonts w:ascii="仿宋" w:eastAsia="仿宋" w:hAnsi="仿宋" w:hint="eastAsia"/>
          <w:b w:val="0"/>
          <w:color w:val="000000"/>
        </w:rPr>
        <w:t>政</w:t>
      </w:r>
      <w:r>
        <w:rPr>
          <w:rStyle w:val="20"/>
          <w:rFonts w:ascii="仿宋" w:eastAsia="仿宋" w:hAnsi="仿宋" w:hint="eastAsia"/>
        </w:rPr>
        <w:t>府性基金预算财政拨款收入支出决算表</w:t>
      </w:r>
      <w:bookmarkEnd w:id="71"/>
    </w:p>
    <w:p w14:paraId="07747256" w14:textId="77777777" w:rsidR="00F27157" w:rsidRDefault="00000000">
      <w:pPr>
        <w:pStyle w:val="2"/>
        <w:rPr>
          <w:rFonts w:ascii="仿宋" w:eastAsia="仿宋" w:hAnsi="仿宋"/>
          <w:color w:val="000000"/>
        </w:rPr>
      </w:pPr>
      <w:bookmarkStart w:id="72" w:name="_Toc15396630"/>
      <w:r>
        <w:rPr>
          <w:rStyle w:val="20"/>
          <w:rFonts w:ascii="仿宋" w:eastAsia="仿宋" w:hAnsi="仿宋" w:hint="eastAsia"/>
        </w:rPr>
        <w:t>十二、</w:t>
      </w:r>
      <w:r>
        <w:rPr>
          <w:rFonts w:ascii="仿宋" w:eastAsia="仿宋" w:hAnsi="仿宋" w:hint="eastAsia"/>
          <w:b w:val="0"/>
          <w:color w:val="000000"/>
        </w:rPr>
        <w:t>政</w:t>
      </w:r>
      <w:r>
        <w:rPr>
          <w:rStyle w:val="20"/>
          <w:rFonts w:ascii="仿宋" w:eastAsia="仿宋" w:hAnsi="仿宋" w:hint="eastAsia"/>
        </w:rPr>
        <w:t>府性基金预算财政拨款“三公”经费支出决算表</w:t>
      </w:r>
      <w:bookmarkEnd w:id="72"/>
    </w:p>
    <w:p w14:paraId="19531421" w14:textId="77777777" w:rsidR="00F27157" w:rsidRDefault="00000000">
      <w:pPr>
        <w:pStyle w:val="2"/>
        <w:rPr>
          <w:rStyle w:val="20"/>
          <w:rFonts w:ascii="仿宋" w:eastAsia="仿宋" w:hAnsi="仿宋"/>
        </w:rPr>
      </w:pPr>
      <w:bookmarkStart w:id="73" w:name="_Toc15396631"/>
      <w:r>
        <w:rPr>
          <w:rStyle w:val="20"/>
          <w:rFonts w:ascii="仿宋" w:eastAsia="仿宋" w:hAnsi="仿宋" w:hint="eastAsia"/>
        </w:rPr>
        <w:t>十三、</w:t>
      </w:r>
      <w:r>
        <w:rPr>
          <w:rFonts w:ascii="仿宋" w:eastAsia="仿宋" w:hAnsi="仿宋" w:hint="eastAsia"/>
          <w:b w:val="0"/>
          <w:color w:val="000000"/>
        </w:rPr>
        <w:t>国</w:t>
      </w:r>
      <w:r>
        <w:rPr>
          <w:rStyle w:val="20"/>
          <w:rFonts w:ascii="仿宋" w:eastAsia="仿宋" w:hAnsi="仿宋" w:hint="eastAsia"/>
        </w:rPr>
        <w:t>有资本经营预算支出决算表</w:t>
      </w:r>
      <w:bookmarkEnd w:id="73"/>
    </w:p>
    <w:p w14:paraId="2337E306" w14:textId="77777777" w:rsidR="00F27157" w:rsidRDefault="00000000">
      <w:pPr>
        <w:rPr>
          <w:rStyle w:val="20"/>
          <w:rFonts w:ascii="仿宋" w:eastAsia="仿宋" w:hAnsi="仿宋"/>
          <w:b w:val="0"/>
          <w:bCs w:val="0"/>
        </w:rPr>
      </w:pPr>
      <w:r>
        <w:rPr>
          <w:rStyle w:val="20"/>
          <w:rFonts w:ascii="仿宋" w:eastAsia="仿宋" w:hAnsi="仿宋" w:hint="eastAsia"/>
          <w:b w:val="0"/>
          <w:bCs w:val="0"/>
        </w:rPr>
        <w:t>十四、整体支出绩效评价打分表</w:t>
      </w:r>
    </w:p>
    <w:p w14:paraId="320D1707" w14:textId="77777777" w:rsidR="00F27157" w:rsidRDefault="00F27157"/>
    <w:p w14:paraId="3B3923B6" w14:textId="77777777" w:rsidR="00F27157" w:rsidRDefault="00F27157"/>
    <w:p w14:paraId="1A1BD17D" w14:textId="77777777" w:rsidR="00F27157" w:rsidRDefault="00F27157"/>
    <w:sectPr w:rsidR="00F27157">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8C65" w14:textId="77777777" w:rsidR="00B434DF" w:rsidRDefault="00B434DF">
      <w:r>
        <w:separator/>
      </w:r>
    </w:p>
  </w:endnote>
  <w:endnote w:type="continuationSeparator" w:id="0">
    <w:p w14:paraId="784A68BF" w14:textId="77777777" w:rsidR="00B434DF" w:rsidRDefault="00B4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_GB2312">
    <w:altName w:val="Times New Roman"/>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781956"/>
    </w:sdtPr>
    <w:sdtContent>
      <w:p w14:paraId="223258A7" w14:textId="77777777" w:rsidR="00F27157" w:rsidRDefault="00000000">
        <w:pPr>
          <w:pStyle w:val="a9"/>
          <w:jc w:val="center"/>
        </w:pPr>
        <w:r>
          <w:fldChar w:fldCharType="begin"/>
        </w:r>
        <w:r>
          <w:instrText>PAGE   \* MERGEFORMAT</w:instrText>
        </w:r>
        <w:r>
          <w:fldChar w:fldCharType="separate"/>
        </w:r>
        <w:r>
          <w:rPr>
            <w:lang w:val="zh-CN"/>
          </w:rPr>
          <w:t>1</w:t>
        </w:r>
        <w:r>
          <w:rPr>
            <w:lang w:val="zh-CN"/>
          </w:rPr>
          <w:t>7</w:t>
        </w:r>
        <w:r>
          <w:rPr>
            <w:lang w:val="zh-CN"/>
          </w:rPr>
          <w:fldChar w:fldCharType="end"/>
        </w:r>
      </w:p>
    </w:sdtContent>
  </w:sdt>
  <w:p w14:paraId="007FBF7C" w14:textId="77777777" w:rsidR="00F27157" w:rsidRDefault="00F271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AF1C4" w14:textId="77777777" w:rsidR="00B434DF" w:rsidRDefault="00B434DF">
      <w:r>
        <w:separator/>
      </w:r>
    </w:p>
  </w:footnote>
  <w:footnote w:type="continuationSeparator" w:id="0">
    <w:p w14:paraId="566BFAC3" w14:textId="77777777" w:rsidR="00B434DF" w:rsidRDefault="00B43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DB62" w14:textId="77777777" w:rsidR="00F27157" w:rsidRDefault="00F27157">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hint="eastAsia"/>
      </w:rPr>
    </w:lvl>
  </w:abstractNum>
  <w:abstractNum w:abstractNumId="2" w15:restartNumberingAfterBreak="0">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145E0B8B"/>
    <w:multiLevelType w:val="multilevel"/>
    <w:tmpl w:val="145E0B8B"/>
    <w:lvl w:ilvl="0">
      <w:start w:val="3"/>
      <w:numFmt w:val="japaneseCounting"/>
      <w:lvlText w:val="%1、"/>
      <w:lvlJc w:val="left"/>
      <w:pPr>
        <w:ind w:left="1360" w:hanging="720"/>
      </w:pPr>
      <w:rPr>
        <w:rFonts w:cs="Times New Roman" w:hint="default"/>
        <w:color w:val="00000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15:restartNumberingAfterBreak="0">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15:restartNumberingAfterBreak="0">
    <w:nsid w:val="5D5382B5"/>
    <w:multiLevelType w:val="singleLevel"/>
    <w:tmpl w:val="5D5382B5"/>
    <w:lvl w:ilvl="0">
      <w:start w:val="1"/>
      <w:numFmt w:val="chineseCounting"/>
      <w:suff w:val="nothing"/>
      <w:lvlText w:val="%1、"/>
      <w:lvlJc w:val="left"/>
    </w:lvl>
  </w:abstractNum>
  <w:num w:numId="1" w16cid:durableId="351882119">
    <w:abstractNumId w:val="3"/>
  </w:num>
  <w:num w:numId="2" w16cid:durableId="1468353686">
    <w:abstractNumId w:val="4"/>
  </w:num>
  <w:num w:numId="3" w16cid:durableId="1325747065">
    <w:abstractNumId w:val="0"/>
  </w:num>
  <w:num w:numId="4" w16cid:durableId="526135614">
    <w:abstractNumId w:val="5"/>
  </w:num>
  <w:num w:numId="5" w16cid:durableId="102113136">
    <w:abstractNumId w:val="2"/>
  </w:num>
  <w:num w:numId="6" w16cid:durableId="1239288475">
    <w:abstractNumId w:val="1"/>
  </w:num>
  <w:num w:numId="7" w16cid:durableId="660161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F1361C"/>
    <w:rsid w:val="000222C6"/>
    <w:rsid w:val="0002549F"/>
    <w:rsid w:val="00031FE3"/>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31A12"/>
    <w:rsid w:val="0014729F"/>
    <w:rsid w:val="00151F7A"/>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53892"/>
    <w:rsid w:val="00260C38"/>
    <w:rsid w:val="002616C0"/>
    <w:rsid w:val="002662AA"/>
    <w:rsid w:val="00280496"/>
    <w:rsid w:val="002815CC"/>
    <w:rsid w:val="00295495"/>
    <w:rsid w:val="002B2613"/>
    <w:rsid w:val="002F1818"/>
    <w:rsid w:val="002F567B"/>
    <w:rsid w:val="003216A9"/>
    <w:rsid w:val="0037013F"/>
    <w:rsid w:val="003737DB"/>
    <w:rsid w:val="00380C92"/>
    <w:rsid w:val="003833E8"/>
    <w:rsid w:val="00386986"/>
    <w:rsid w:val="003A484F"/>
    <w:rsid w:val="003B0BE0"/>
    <w:rsid w:val="003B0C1B"/>
    <w:rsid w:val="003B688C"/>
    <w:rsid w:val="003C0291"/>
    <w:rsid w:val="003C39AE"/>
    <w:rsid w:val="003C75E1"/>
    <w:rsid w:val="003C7B60"/>
    <w:rsid w:val="003D1FB2"/>
    <w:rsid w:val="003D66DA"/>
    <w:rsid w:val="003E1310"/>
    <w:rsid w:val="003E6F55"/>
    <w:rsid w:val="00402E82"/>
    <w:rsid w:val="00406254"/>
    <w:rsid w:val="004223DE"/>
    <w:rsid w:val="004242A7"/>
    <w:rsid w:val="00434489"/>
    <w:rsid w:val="00437085"/>
    <w:rsid w:val="00443880"/>
    <w:rsid w:val="004464F4"/>
    <w:rsid w:val="00446636"/>
    <w:rsid w:val="00471401"/>
    <w:rsid w:val="00473F31"/>
    <w:rsid w:val="0048263A"/>
    <w:rsid w:val="00487E5D"/>
    <w:rsid w:val="004A711F"/>
    <w:rsid w:val="004B199D"/>
    <w:rsid w:val="004B4690"/>
    <w:rsid w:val="004B5A61"/>
    <w:rsid w:val="004E0A2D"/>
    <w:rsid w:val="004E206B"/>
    <w:rsid w:val="004E6DF7"/>
    <w:rsid w:val="004F0FBD"/>
    <w:rsid w:val="00505A47"/>
    <w:rsid w:val="00512FDA"/>
    <w:rsid w:val="00520DA0"/>
    <w:rsid w:val="00542D42"/>
    <w:rsid w:val="005664BB"/>
    <w:rsid w:val="0057481D"/>
    <w:rsid w:val="0058486E"/>
    <w:rsid w:val="005D1C8B"/>
    <w:rsid w:val="005D5CED"/>
    <w:rsid w:val="005F1A4C"/>
    <w:rsid w:val="006018B0"/>
    <w:rsid w:val="00602A85"/>
    <w:rsid w:val="00605688"/>
    <w:rsid w:val="006070AF"/>
    <w:rsid w:val="00607E6C"/>
    <w:rsid w:val="006101B1"/>
    <w:rsid w:val="00614E44"/>
    <w:rsid w:val="00622830"/>
    <w:rsid w:val="00630AEF"/>
    <w:rsid w:val="00631B64"/>
    <w:rsid w:val="006325F8"/>
    <w:rsid w:val="00634C9A"/>
    <w:rsid w:val="006354D4"/>
    <w:rsid w:val="006440E4"/>
    <w:rsid w:val="0066343B"/>
    <w:rsid w:val="00664777"/>
    <w:rsid w:val="006748A4"/>
    <w:rsid w:val="00683E73"/>
    <w:rsid w:val="006A3141"/>
    <w:rsid w:val="006A5E34"/>
    <w:rsid w:val="006B2422"/>
    <w:rsid w:val="006B2B9A"/>
    <w:rsid w:val="006C1937"/>
    <w:rsid w:val="006F020C"/>
    <w:rsid w:val="006F33AC"/>
    <w:rsid w:val="006F674C"/>
    <w:rsid w:val="007127B7"/>
    <w:rsid w:val="007416B6"/>
    <w:rsid w:val="00746F48"/>
    <w:rsid w:val="0075404D"/>
    <w:rsid w:val="0076182A"/>
    <w:rsid w:val="00767B7E"/>
    <w:rsid w:val="007770C3"/>
    <w:rsid w:val="007844D2"/>
    <w:rsid w:val="00784D24"/>
    <w:rsid w:val="00785FBA"/>
    <w:rsid w:val="00786E4A"/>
    <w:rsid w:val="007875EB"/>
    <w:rsid w:val="0079426B"/>
    <w:rsid w:val="007B21C1"/>
    <w:rsid w:val="007D312A"/>
    <w:rsid w:val="007D3F19"/>
    <w:rsid w:val="007E23B0"/>
    <w:rsid w:val="007F1991"/>
    <w:rsid w:val="007F2C2F"/>
    <w:rsid w:val="007F431F"/>
    <w:rsid w:val="007F55FC"/>
    <w:rsid w:val="007F5665"/>
    <w:rsid w:val="00800112"/>
    <w:rsid w:val="008240E0"/>
    <w:rsid w:val="008253BB"/>
    <w:rsid w:val="0083706E"/>
    <w:rsid w:val="008423A5"/>
    <w:rsid w:val="008430B9"/>
    <w:rsid w:val="00850625"/>
    <w:rsid w:val="00853718"/>
    <w:rsid w:val="00855221"/>
    <w:rsid w:val="00860645"/>
    <w:rsid w:val="00871F71"/>
    <w:rsid w:val="00885AF4"/>
    <w:rsid w:val="00885C8B"/>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62105"/>
    <w:rsid w:val="0096463A"/>
    <w:rsid w:val="0097099F"/>
    <w:rsid w:val="00971997"/>
    <w:rsid w:val="00971FFC"/>
    <w:rsid w:val="00980FFC"/>
    <w:rsid w:val="0098660A"/>
    <w:rsid w:val="009931C3"/>
    <w:rsid w:val="009B2161"/>
    <w:rsid w:val="009B2C43"/>
    <w:rsid w:val="009B4EAE"/>
    <w:rsid w:val="009B7573"/>
    <w:rsid w:val="009C22F4"/>
    <w:rsid w:val="009C2E98"/>
    <w:rsid w:val="009D3447"/>
    <w:rsid w:val="009D4711"/>
    <w:rsid w:val="009E136A"/>
    <w:rsid w:val="009E250F"/>
    <w:rsid w:val="009F1185"/>
    <w:rsid w:val="009F18CD"/>
    <w:rsid w:val="009F2A13"/>
    <w:rsid w:val="00A04EB0"/>
    <w:rsid w:val="00A130D3"/>
    <w:rsid w:val="00A13CC1"/>
    <w:rsid w:val="00A16847"/>
    <w:rsid w:val="00A237D8"/>
    <w:rsid w:val="00A268C4"/>
    <w:rsid w:val="00A307CD"/>
    <w:rsid w:val="00A40A00"/>
    <w:rsid w:val="00A4142F"/>
    <w:rsid w:val="00A56DF2"/>
    <w:rsid w:val="00A62569"/>
    <w:rsid w:val="00A67AB5"/>
    <w:rsid w:val="00A91760"/>
    <w:rsid w:val="00A93B00"/>
    <w:rsid w:val="00A93C21"/>
    <w:rsid w:val="00AB39C3"/>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34DF"/>
    <w:rsid w:val="00B440AA"/>
    <w:rsid w:val="00B44B70"/>
    <w:rsid w:val="00B53C56"/>
    <w:rsid w:val="00B57D91"/>
    <w:rsid w:val="00B77EA6"/>
    <w:rsid w:val="00B81598"/>
    <w:rsid w:val="00B841F1"/>
    <w:rsid w:val="00B90C7A"/>
    <w:rsid w:val="00B944D6"/>
    <w:rsid w:val="00BB4DF0"/>
    <w:rsid w:val="00BC289F"/>
    <w:rsid w:val="00BC5361"/>
    <w:rsid w:val="00BC5460"/>
    <w:rsid w:val="00BC6B50"/>
    <w:rsid w:val="00BD0E25"/>
    <w:rsid w:val="00BF2A4E"/>
    <w:rsid w:val="00BF5BD6"/>
    <w:rsid w:val="00C03E31"/>
    <w:rsid w:val="00C33E72"/>
    <w:rsid w:val="00C354B2"/>
    <w:rsid w:val="00C35554"/>
    <w:rsid w:val="00C42709"/>
    <w:rsid w:val="00C47265"/>
    <w:rsid w:val="00C533CC"/>
    <w:rsid w:val="00C5751C"/>
    <w:rsid w:val="00C61BFC"/>
    <w:rsid w:val="00C62B85"/>
    <w:rsid w:val="00C65438"/>
    <w:rsid w:val="00C91CBB"/>
    <w:rsid w:val="00CA728F"/>
    <w:rsid w:val="00CA74A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5186"/>
    <w:rsid w:val="00DD73B7"/>
    <w:rsid w:val="00DF28BC"/>
    <w:rsid w:val="00DF34B9"/>
    <w:rsid w:val="00E01053"/>
    <w:rsid w:val="00E07ACF"/>
    <w:rsid w:val="00E331A1"/>
    <w:rsid w:val="00E33202"/>
    <w:rsid w:val="00E336A9"/>
    <w:rsid w:val="00E50624"/>
    <w:rsid w:val="00E568DF"/>
    <w:rsid w:val="00E64269"/>
    <w:rsid w:val="00E717F2"/>
    <w:rsid w:val="00E82267"/>
    <w:rsid w:val="00E912A4"/>
    <w:rsid w:val="00EA010F"/>
    <w:rsid w:val="00EA29DA"/>
    <w:rsid w:val="00EB7F7C"/>
    <w:rsid w:val="00ED1B63"/>
    <w:rsid w:val="00ED3C1F"/>
    <w:rsid w:val="00ED4085"/>
    <w:rsid w:val="00ED420E"/>
    <w:rsid w:val="00EE2F57"/>
    <w:rsid w:val="00EF4C34"/>
    <w:rsid w:val="00EF77C6"/>
    <w:rsid w:val="00F05438"/>
    <w:rsid w:val="00F1361C"/>
    <w:rsid w:val="00F160C7"/>
    <w:rsid w:val="00F20301"/>
    <w:rsid w:val="00F27157"/>
    <w:rsid w:val="00F36D8F"/>
    <w:rsid w:val="00F417B1"/>
    <w:rsid w:val="00F602DF"/>
    <w:rsid w:val="00F81FD9"/>
    <w:rsid w:val="00F841AA"/>
    <w:rsid w:val="00FA23E8"/>
    <w:rsid w:val="00FD3CC1"/>
    <w:rsid w:val="00FF1E02"/>
    <w:rsid w:val="00FF30B4"/>
    <w:rsid w:val="047D654F"/>
    <w:rsid w:val="0B4966B4"/>
    <w:rsid w:val="0BBF0531"/>
    <w:rsid w:val="0ED62A80"/>
    <w:rsid w:val="10C055FF"/>
    <w:rsid w:val="10F529AD"/>
    <w:rsid w:val="128C0123"/>
    <w:rsid w:val="16BB723D"/>
    <w:rsid w:val="1EF9324C"/>
    <w:rsid w:val="226812DE"/>
    <w:rsid w:val="23E459D8"/>
    <w:rsid w:val="240371BF"/>
    <w:rsid w:val="24CF2F0D"/>
    <w:rsid w:val="25B46BBD"/>
    <w:rsid w:val="29FD04D3"/>
    <w:rsid w:val="2AC81874"/>
    <w:rsid w:val="2B9D3492"/>
    <w:rsid w:val="2D461DF2"/>
    <w:rsid w:val="2E03485B"/>
    <w:rsid w:val="319F7F4E"/>
    <w:rsid w:val="34231DB9"/>
    <w:rsid w:val="366165E2"/>
    <w:rsid w:val="3ABF06FE"/>
    <w:rsid w:val="3C0F561F"/>
    <w:rsid w:val="3DAF7D9D"/>
    <w:rsid w:val="3E273312"/>
    <w:rsid w:val="3EB079F2"/>
    <w:rsid w:val="44D54FD8"/>
    <w:rsid w:val="453E098F"/>
    <w:rsid w:val="4793477D"/>
    <w:rsid w:val="524B64EE"/>
    <w:rsid w:val="53FA310F"/>
    <w:rsid w:val="58D0713E"/>
    <w:rsid w:val="5DD47B11"/>
    <w:rsid w:val="66564BE2"/>
    <w:rsid w:val="69442B12"/>
    <w:rsid w:val="6B7F3207"/>
    <w:rsid w:val="6F8C748E"/>
    <w:rsid w:val="70D35E58"/>
    <w:rsid w:val="730E5D3F"/>
    <w:rsid w:val="75282356"/>
    <w:rsid w:val="752C5D4A"/>
    <w:rsid w:val="7CC37C36"/>
    <w:rsid w:val="7DB146BC"/>
    <w:rsid w:val="7F902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F314C4E"/>
  <w15:docId w15:val="{4E00C6D9-C11D-4FBF-A7FF-BA7A21E2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beforeLines="30"/>
    </w:pPr>
    <w:rPr>
      <w:rFonts w:ascii="仿宋_GB2312" w:eastAsia="仿宋_GB2312"/>
      <w:kern w:val="0"/>
      <w:sz w:val="30"/>
    </w:rPr>
  </w:style>
  <w:style w:type="paragraph" w:styleId="TOC3">
    <w:name w:val="toc 3"/>
    <w:basedOn w:val="a"/>
    <w:next w:val="a"/>
    <w:uiPriority w:val="39"/>
    <w:unhideWhenUsed/>
    <w:qFormat/>
    <w:pPr>
      <w:tabs>
        <w:tab w:val="right" w:leader="dot" w:pos="8296"/>
      </w:tabs>
      <w:ind w:leftChars="400" w:left="840"/>
    </w:pPr>
  </w:style>
  <w:style w:type="paragraph" w:styleId="a5">
    <w:name w:val="Plain Text"/>
    <w:basedOn w:val="a"/>
    <w:link w:val="a6"/>
    <w:qFormat/>
    <w:rPr>
      <w:rFonts w:ascii="宋体" w:hAnsi="Courier New"/>
      <w:szCs w:val="20"/>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kern w:val="0"/>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pPr>
      <w:tabs>
        <w:tab w:val="right" w:leader="dot" w:pos="8296"/>
      </w:tabs>
      <w:ind w:leftChars="200" w:left="420"/>
    </w:pPr>
  </w:style>
  <w:style w:type="character" w:styleId="ad">
    <w:name w:val="Strong"/>
    <w:basedOn w:val="a0"/>
    <w:uiPriority w:val="99"/>
    <w:qFormat/>
    <w:rPr>
      <w:b/>
    </w:rPr>
  </w:style>
  <w:style w:type="character" w:styleId="ae">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ac">
    <w:name w:val="页眉 字符"/>
    <w:link w:val="ab"/>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aa">
    <w:name w:val="页脚 字符"/>
    <w:link w:val="a9"/>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a4">
    <w:name w:val="正文文本 字符"/>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
    <w:name w:val="List Paragraph"/>
    <w:basedOn w:val="a"/>
    <w:uiPriority w:val="34"/>
    <w:qFormat/>
    <w:pPr>
      <w:ind w:firstLineChars="200" w:firstLine="420"/>
    </w:p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8">
    <w:name w:val="批注框文本 字符"/>
    <w:basedOn w:val="a0"/>
    <w:link w:val="a7"/>
    <w:uiPriority w:val="99"/>
    <w:semiHidden/>
    <w:qFormat/>
    <w:rPr>
      <w:rFonts w:ascii="Times New Roman" w:hAnsi="Times New Roman"/>
      <w:kern w:val="2"/>
      <w:sz w:val="18"/>
      <w:szCs w:val="18"/>
    </w:rPr>
  </w:style>
  <w:style w:type="character" w:customStyle="1" w:styleId="30">
    <w:name w:val="标题 3 字符"/>
    <w:basedOn w:val="a0"/>
    <w:link w:val="3"/>
    <w:uiPriority w:val="9"/>
    <w:qFormat/>
    <w:rPr>
      <w:rFonts w:ascii="Times New Roman" w:hAnsi="Times New Roman"/>
      <w:b/>
      <w:bCs/>
      <w:kern w:val="2"/>
      <w:sz w:val="32"/>
      <w:szCs w:val="32"/>
    </w:rPr>
  </w:style>
  <w:style w:type="character" w:customStyle="1" w:styleId="a6">
    <w:name w:val="纯文本 字符"/>
    <w:basedOn w:val="a0"/>
    <w:link w:val="a5"/>
    <w:qFormat/>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lang="zh-CN" altLang="en-US"/>
              <a:t>年、</a:t>
            </a:r>
            <a:r>
              <a:rPr lang="en-US" altLang="zh-CN"/>
              <a:t>2017</a:t>
            </a:r>
            <a:r>
              <a:rPr lang="zh-CN" altLang="en-US"/>
              <a:t>年收支对比</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263.20999999999998</c:v>
                </c:pt>
                <c:pt idx="1">
                  <c:v>566.32000000000005</c:v>
                </c:pt>
              </c:numCache>
            </c:numRef>
          </c:val>
          <c:extLst>
            <c:ext xmlns:c16="http://schemas.microsoft.com/office/drawing/2014/chart" uri="{C3380CC4-5D6E-409C-BE32-E72D297353CC}">
              <c16:uniqueId val="{00000000-4FE6-4C0D-B99F-6FED9901A3DB}"/>
            </c:ext>
          </c:extLst>
        </c:ser>
        <c:ser>
          <c:idx val="1"/>
          <c:order val="1"/>
          <c:tx>
            <c:strRef>
              <c:f>Sheet1!$C$1</c:f>
              <c:strCache>
                <c:ptCount val="1"/>
                <c:pt idx="0">
                  <c:v>2017年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205.31</c:v>
                </c:pt>
                <c:pt idx="1">
                  <c:v>239.72</c:v>
                </c:pt>
              </c:numCache>
            </c:numRef>
          </c:val>
          <c:extLst>
            <c:ext xmlns:c16="http://schemas.microsoft.com/office/drawing/2014/chart" uri="{C3380CC4-5D6E-409C-BE32-E72D297353CC}">
              <c16:uniqueId val="{00000001-4FE6-4C0D-B99F-6FED9901A3DB}"/>
            </c:ext>
          </c:extLst>
        </c:ser>
        <c:dLbls>
          <c:showLegendKey val="0"/>
          <c:showVal val="1"/>
          <c:showCatName val="0"/>
          <c:showSerName val="0"/>
          <c:showPercent val="0"/>
          <c:showBubbleSize val="0"/>
        </c:dLbls>
        <c:gapWidth val="219"/>
        <c:overlap val="-27"/>
        <c:axId val="911034669"/>
        <c:axId val="749028656"/>
      </c:barChart>
      <c:catAx>
        <c:axId val="91103466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49028656"/>
        <c:crosses val="autoZero"/>
        <c:auto val="1"/>
        <c:lblAlgn val="ctr"/>
        <c:lblOffset val="100"/>
        <c:noMultiLvlLbl val="0"/>
      </c:catAx>
      <c:valAx>
        <c:axId val="749028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11034669"/>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各类收入占比情况</a:t>
            </a:r>
          </a:p>
        </c:rich>
      </c:tx>
      <c:layout>
        <c:manualLayout>
          <c:xMode val="edge"/>
          <c:yMode val="edge"/>
          <c:x val="0.37385137498680698"/>
          <c:y val="1.7085523901567101E-2"/>
        </c:manualLayout>
      </c:layout>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244534757091493"/>
          <c:y val="0.20019670110911"/>
          <c:w val="0.60985653560042496"/>
          <c:h val="0.59840980187695503"/>
        </c:manualLayout>
      </c:layout>
      <c:pieChart>
        <c:varyColors val="1"/>
        <c:ser>
          <c:idx val="0"/>
          <c:order val="0"/>
          <c:tx>
            <c:strRef>
              <c:f>Sheet1!$B$1</c:f>
              <c:strCache>
                <c:ptCount val="1"/>
                <c:pt idx="0">
                  <c:v>列1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6B-4F7B-B71E-11DB04697C9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6B-4F7B-B71E-11DB04697C91}"/>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6B-4F7B-B71E-11DB04697C91}"/>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6B-4F7B-B71E-11DB04697C91}"/>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一般财政拨款收入</c:v>
                </c:pt>
                <c:pt idx="1">
                  <c:v>其他收入</c:v>
                </c:pt>
              </c:strCache>
            </c:strRef>
          </c:cat>
          <c:val>
            <c:numRef>
              <c:f>Sheet1!$B$2:$B$3</c:f>
              <c:numCache>
                <c:formatCode>0.00%</c:formatCode>
                <c:ptCount val="2"/>
                <c:pt idx="0">
                  <c:v>0.92400000000000004</c:v>
                </c:pt>
                <c:pt idx="1">
                  <c:v>7.5999999999999998E-2</c:v>
                </c:pt>
              </c:numCache>
            </c:numRef>
          </c:val>
          <c:extLst>
            <c:ext xmlns:c16="http://schemas.microsoft.com/office/drawing/2014/chart" uri="{C3380CC4-5D6E-409C-BE32-E72D297353CC}">
              <c16:uniqueId val="{00000004-476B-4F7B-B71E-11DB04697C9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支出占比情况</a:t>
            </a:r>
          </a:p>
        </c:rich>
      </c:tx>
      <c:layout>
        <c:manualLayout>
          <c:xMode val="edge"/>
          <c:yMode val="edge"/>
          <c:x val="0.36909758656872999"/>
          <c:y val="3.6730945821854898E-2"/>
        </c:manualLayout>
      </c:layout>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398125990008529"/>
          <c:y val="0.280661157024793"/>
          <c:w val="0.19643718776654101"/>
          <c:h val="0.493468013468013"/>
        </c:manualLayout>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3F-42EF-A337-723E03C4166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3F-42EF-A337-723E03C4166D}"/>
              </c:ext>
            </c:extLst>
          </c:dPt>
          <c:dLbls>
            <c:dLbl>
              <c:idx val="0"/>
              <c:layout>
                <c:manualLayout>
                  <c:x val="-4.5550780685134101E-2"/>
                  <c:y val="-0.196902986850232"/>
                </c:manualLayout>
              </c:layout>
              <c:tx>
                <c:rich>
                  <a:bodyPr/>
                  <a:lstStyle/>
                  <a:p>
                    <a:r>
                      <a:rPr lang="zh-CN" altLang="en-US"/>
                      <a:t>项目支出</a:t>
                    </a:r>
                    <a:r>
                      <a:rPr lang="en-US" altLang="zh-CN"/>
                      <a:t>61.2%</a:t>
                    </a:r>
                  </a:p>
                </c:rich>
              </c:tx>
              <c:dLblPos val="bestFit"/>
              <c:showLegendKey val="0"/>
              <c:showVal val="1"/>
              <c:showCatName val="0"/>
              <c:showSerName val="0"/>
              <c:showPercent val="1"/>
              <c:showBubbleSize val="0"/>
              <c:extLst>
                <c:ext xmlns:c15="http://schemas.microsoft.com/office/drawing/2012/chart" uri="{CE6537A1-D6FC-4f65-9D91-7224C49458BB}">
                  <c15:layout>
                    <c:manualLayout>
                      <c:w val="0.21359814792250501"/>
                      <c:h val="0.106519742883379"/>
                    </c:manualLayout>
                  </c15:layout>
                  <c15:showDataLabelsRange val="0"/>
                </c:ext>
                <c:ext xmlns:c16="http://schemas.microsoft.com/office/drawing/2014/chart" uri="{C3380CC4-5D6E-409C-BE32-E72D297353CC}">
                  <c16:uniqueId val="{00000001-513F-42EF-A337-723E03C4166D}"/>
                </c:ext>
              </c:extLst>
            </c:dLbl>
            <c:dLbl>
              <c:idx val="1"/>
              <c:tx>
                <c:rich>
                  <a:bodyPr/>
                  <a:lstStyle/>
                  <a:p>
                    <a:r>
                      <a:rPr lang="zh-CN" altLang="en-US"/>
                      <a:t>基本支出 </a:t>
                    </a:r>
                    <a:r>
                      <a:rPr lang="en-US" altLang="zh-CN"/>
                      <a:t>38.8%</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13F-42EF-A337-723E03C4166D}"/>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项目</c:v>
                </c:pt>
                <c:pt idx="1">
                  <c:v>基本</c:v>
                </c:pt>
              </c:strCache>
            </c:strRef>
          </c:cat>
          <c:val>
            <c:numRef>
              <c:f>Sheet1!$B$2:$B$3</c:f>
              <c:numCache>
                <c:formatCode>0.00%</c:formatCode>
                <c:ptCount val="2"/>
                <c:pt idx="0">
                  <c:v>0.61199999999999999</c:v>
                </c:pt>
                <c:pt idx="1">
                  <c:v>0.38800000000000001</c:v>
                </c:pt>
              </c:numCache>
            </c:numRef>
          </c:val>
          <c:extLst>
            <c:ext xmlns:c16="http://schemas.microsoft.com/office/drawing/2014/chart" uri="{C3380CC4-5D6E-409C-BE32-E72D297353CC}">
              <c16:uniqueId val="{00000004-513F-42EF-A337-723E03C4166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7413431269674698"/>
          <c:y val="0.82154882154882203"/>
          <c:w val="0.46563483735571898"/>
          <c:h val="0.10192837465564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lang="zh-CN" altLang="en-US"/>
              <a:t>年</a:t>
            </a:r>
            <a:r>
              <a:rPr lang="en-US" altLang="zh-CN"/>
              <a:t>2017</a:t>
            </a:r>
            <a:r>
              <a:rPr lang="zh-CN" altLang="en-US"/>
              <a:t>年收支对比</a:t>
            </a:r>
          </a:p>
        </c:rich>
      </c:tx>
      <c:layout>
        <c:manualLayout>
          <c:xMode val="edge"/>
          <c:yMode val="edge"/>
          <c:x val="0.37092568448500701"/>
          <c:y val="2.4317802116205701E-2"/>
        </c:manualLayout>
      </c:layout>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6.4563965933601294E-2"/>
          <c:y val="0.215197629275339"/>
          <c:w val="0.93165817233613801"/>
          <c:h val="0.68431408947466099"/>
        </c:manualLayout>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205.3</c:v>
                </c:pt>
                <c:pt idx="1">
                  <c:v>239.72</c:v>
                </c:pt>
              </c:numCache>
            </c:numRef>
          </c:val>
          <c:extLst>
            <c:ext xmlns:c16="http://schemas.microsoft.com/office/drawing/2014/chart" uri="{C3380CC4-5D6E-409C-BE32-E72D297353CC}">
              <c16:uniqueId val="{00000000-19F4-4E43-8DD2-6367FE0DD53C}"/>
            </c:ext>
          </c:extLst>
        </c:ser>
        <c:ser>
          <c:idx val="1"/>
          <c:order val="1"/>
          <c:tx>
            <c:strRef>
              <c:f>Sheet1!$C$1</c:f>
              <c:strCache>
                <c:ptCount val="1"/>
                <c:pt idx="0">
                  <c:v>2018</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243.2</c:v>
                </c:pt>
                <c:pt idx="1">
                  <c:v>566.32000000000005</c:v>
                </c:pt>
              </c:numCache>
            </c:numRef>
          </c:val>
          <c:extLst>
            <c:ext xmlns:c16="http://schemas.microsoft.com/office/drawing/2014/chart" uri="{C3380CC4-5D6E-409C-BE32-E72D297353CC}">
              <c16:uniqueId val="{00000001-19F4-4E43-8DD2-6367FE0DD53C}"/>
            </c:ext>
          </c:extLst>
        </c:ser>
        <c:dLbls>
          <c:showLegendKey val="0"/>
          <c:showVal val="0"/>
          <c:showCatName val="0"/>
          <c:showSerName val="0"/>
          <c:showPercent val="0"/>
          <c:showBubbleSize val="0"/>
        </c:dLbls>
        <c:gapWidth val="219"/>
        <c:overlap val="-27"/>
        <c:axId val="819112757"/>
        <c:axId val="479529240"/>
      </c:barChart>
      <c:catAx>
        <c:axId val="81911275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79529240"/>
        <c:crosses val="autoZero"/>
        <c:auto val="1"/>
        <c:lblAlgn val="ctr"/>
        <c:lblOffset val="100"/>
        <c:noMultiLvlLbl val="0"/>
      </c:catAx>
      <c:valAx>
        <c:axId val="479529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19112757"/>
        <c:crosses val="autoZero"/>
        <c:crossBetween val="between"/>
      </c:valAx>
      <c:spPr>
        <a:noFill/>
        <a:ln>
          <a:noFill/>
        </a:ln>
        <a:effectLst/>
      </c:spPr>
    </c:plotArea>
    <c:legend>
      <c:legendPos val="b"/>
      <c:layout>
        <c:manualLayout>
          <c:xMode val="edge"/>
          <c:yMode val="edge"/>
          <c:x val="0.358539765319426"/>
          <c:y val="0.90254315945795405"/>
          <c:w val="0.38568211449567402"/>
          <c:h val="6.2186745869686297E-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一般公共预算财政拨款支出情况表</a:t>
            </a:r>
          </a:p>
        </c:rich>
      </c:tx>
      <c:layout>
        <c:manualLayout>
          <c:xMode val="edge"/>
          <c:yMode val="edge"/>
          <c:x val="0.27068881450698001"/>
          <c:y val="6.94746739981289E-2"/>
        </c:manualLayout>
      </c:layout>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Sheet1!$B$2</c:f>
              <c:numCache>
                <c:formatCode>General</c:formatCode>
                <c:ptCount val="1"/>
                <c:pt idx="0">
                  <c:v>239.72</c:v>
                </c:pt>
              </c:numCache>
            </c:numRef>
          </c:val>
          <c:extLst>
            <c:ext xmlns:c16="http://schemas.microsoft.com/office/drawing/2014/chart" uri="{C3380CC4-5D6E-409C-BE32-E72D297353CC}">
              <c16:uniqueId val="{00000000-D244-403C-BAB5-A60139D437EA}"/>
            </c:ext>
          </c:extLst>
        </c:ser>
        <c:ser>
          <c:idx val="1"/>
          <c:order val="1"/>
          <c:tx>
            <c:strRef>
              <c:f>Sheet1!$C$1</c:f>
              <c:strCache>
                <c:ptCount val="1"/>
                <c:pt idx="0">
                  <c:v>2018</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支出</c:v>
                </c:pt>
              </c:strCache>
            </c:strRef>
          </c:cat>
          <c:val>
            <c:numRef>
              <c:f>Sheet1!$C$2</c:f>
              <c:numCache>
                <c:formatCode>General</c:formatCode>
                <c:ptCount val="1"/>
                <c:pt idx="0">
                  <c:v>566.32000000000005</c:v>
                </c:pt>
              </c:numCache>
            </c:numRef>
          </c:val>
          <c:extLst>
            <c:ext xmlns:c16="http://schemas.microsoft.com/office/drawing/2014/chart" uri="{C3380CC4-5D6E-409C-BE32-E72D297353CC}">
              <c16:uniqueId val="{00000001-D244-403C-BAB5-A60139D437EA}"/>
            </c:ext>
          </c:extLst>
        </c:ser>
        <c:dLbls>
          <c:showLegendKey val="0"/>
          <c:showVal val="0"/>
          <c:showCatName val="0"/>
          <c:showSerName val="0"/>
          <c:showPercent val="0"/>
          <c:showBubbleSize val="0"/>
        </c:dLbls>
        <c:gapWidth val="219"/>
        <c:overlap val="-27"/>
        <c:axId val="430626544"/>
        <c:axId val="100841806"/>
      </c:barChart>
      <c:catAx>
        <c:axId val="430626544"/>
        <c:scaling>
          <c:orientation val="minMax"/>
        </c:scaling>
        <c:delete val="1"/>
        <c:axPos val="b"/>
        <c:numFmt formatCode="General" sourceLinked="0"/>
        <c:majorTickMark val="none"/>
        <c:minorTickMark val="none"/>
        <c:tickLblPos val="nextTo"/>
        <c:crossAx val="100841806"/>
        <c:crosses val="autoZero"/>
        <c:auto val="1"/>
        <c:lblAlgn val="ctr"/>
        <c:lblOffset val="100"/>
        <c:noMultiLvlLbl val="0"/>
      </c:catAx>
      <c:valAx>
        <c:axId val="1008418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30626544"/>
        <c:crosses val="autoZero"/>
        <c:crossBetween val="between"/>
      </c:valAx>
      <c:spPr>
        <a:noFill/>
        <a:ln>
          <a:noFill/>
        </a:ln>
        <a:effectLst/>
      </c:spPr>
    </c:plotArea>
    <c:legend>
      <c:legendPos val="b"/>
      <c:layout>
        <c:manualLayout>
          <c:xMode val="edge"/>
          <c:yMode val="edge"/>
          <c:x val="0.35712500000000003"/>
          <c:y val="0.8872651356993740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各项支出占比</a:t>
            </a:r>
          </a:p>
        </c:rich>
      </c:tx>
      <c:overlay val="0"/>
      <c:spPr>
        <a:noFill/>
        <a:ln>
          <a:noFill/>
        </a:ln>
        <a:effectLst/>
      </c:spPr>
      <c:txPr>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18562899786780401"/>
          <c:y val="0.33253647935423802"/>
          <c:w val="0.35368869936034097"/>
          <c:h val="0.51499534306116102"/>
        </c:manualLayout>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374-4955-85BC-30DE852787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374-4955-85BC-30DE852787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74-4955-85BC-30DE852787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374-4955-85BC-30DE85278780}"/>
              </c:ext>
            </c:extLst>
          </c:dPt>
          <c:dLbls>
            <c:dLbl>
              <c:idx val="0"/>
              <c:tx>
                <c:rich>
                  <a:bodyPr/>
                  <a:lstStyle/>
                  <a:p>
                    <a:r>
                      <a:rPr lang="en-US" altLang="zh-CN"/>
                      <a:t> 90.9%</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374-4955-85BC-30DE85278780}"/>
                </c:ext>
              </c:extLst>
            </c:dLbl>
            <c:dLbl>
              <c:idx val="1"/>
              <c:layout>
                <c:manualLayout>
                  <c:x val="-0.18786299153449099"/>
                  <c:y val="0.142864870960696"/>
                </c:manualLayout>
              </c:layout>
              <c:tx>
                <c:rich>
                  <a:bodyPr/>
                  <a:lstStyle/>
                  <a:p>
                    <a:r>
                      <a:rPr lang="en-US" altLang="zh-CN"/>
                      <a:t>5.1</a:t>
                    </a:r>
                    <a:r>
                      <a:rPr lang="en-US"/>
                      <a:t>%</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374-4955-85BC-30DE85278780}"/>
                </c:ext>
              </c:extLst>
            </c:dLbl>
            <c:dLbl>
              <c:idx val="2"/>
              <c:layout>
                <c:manualLayout>
                  <c:x val="3.1640061604015397E-2"/>
                  <c:y val="-0.11784749083705701"/>
                </c:manualLayout>
              </c:layout>
              <c:tx>
                <c:rich>
                  <a:bodyPr/>
                  <a:lstStyle/>
                  <a:p>
                    <a:r>
                      <a:rPr lang="en-US" altLang="zh-CN"/>
                      <a:t>1.6</a:t>
                    </a:r>
                    <a:r>
                      <a:rPr lang="en-US"/>
                      <a:t>%</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374-4955-85BC-30DE85278780}"/>
                </c:ext>
              </c:extLst>
            </c:dLbl>
            <c:dLbl>
              <c:idx val="3"/>
              <c:layout>
                <c:manualLayout>
                  <c:x val="0.15872526549668201"/>
                  <c:y val="-1.9683257333041201E-2"/>
                </c:manualLayout>
              </c:layout>
              <c:tx>
                <c:rich>
                  <a:bodyPr/>
                  <a:lstStyle/>
                  <a:p>
                    <a:r>
                      <a:rPr lang="en-US" altLang="zh-CN"/>
                      <a:t> 2.4%</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F374-4955-85BC-30DE85278780}"/>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一般公共服务支出</c:v>
                </c:pt>
                <c:pt idx="1">
                  <c:v>社会保障和就业支出</c:v>
                </c:pt>
                <c:pt idx="2">
                  <c:v>医疗卫生支出</c:v>
                </c:pt>
                <c:pt idx="3">
                  <c:v>住房保障</c:v>
                </c:pt>
              </c:strCache>
            </c:strRef>
          </c:cat>
          <c:val>
            <c:numRef>
              <c:f>Sheet1!$B$2:$B$5</c:f>
              <c:numCache>
                <c:formatCode>General</c:formatCode>
                <c:ptCount val="4"/>
                <c:pt idx="0">
                  <c:v>90.9</c:v>
                </c:pt>
                <c:pt idx="1">
                  <c:v>5.0999999999999996</c:v>
                </c:pt>
                <c:pt idx="2">
                  <c:v>1.6</c:v>
                </c:pt>
                <c:pt idx="3">
                  <c:v>2.4</c:v>
                </c:pt>
              </c:numCache>
            </c:numRef>
          </c:val>
          <c:extLst>
            <c:ext xmlns:c16="http://schemas.microsoft.com/office/drawing/2014/chart" uri="{C3380CC4-5D6E-409C-BE32-E72D297353CC}">
              <c16:uniqueId val="{00000008-F374-4955-85BC-30DE8527878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zh-CN" altLang="en-US"/>
          </a:p>
        </c:rich>
      </c:tx>
      <c:layout>
        <c:manualLayout>
          <c:xMode val="edge"/>
          <c:yMode val="edge"/>
          <c:x val="0.31746724890829697"/>
          <c:y val="3.2758620689655203E-2"/>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7D7-4966-B790-F99841F3E8D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7D7-4966-B790-F99841F3E8D1}"/>
              </c:ext>
            </c:extLst>
          </c:dPt>
          <c:dLbls>
            <c:dLbl>
              <c:idx val="0"/>
              <c:tx>
                <c:rich>
                  <a:bodyPr/>
                  <a:lstStyle/>
                  <a:p>
                    <a:r>
                      <a:rPr lang="en-US" altLang="zh-CN"/>
                      <a:t>95.2%</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7D7-4966-B790-F99841F3E8D1}"/>
                </c:ext>
              </c:extLst>
            </c:dLbl>
            <c:dLbl>
              <c:idx val="1"/>
              <c:layout>
                <c:manualLayout>
                  <c:x val="-9.3564220907645199E-4"/>
                  <c:y val="-3.5003064762172603E-2"/>
                </c:manualLayout>
              </c:layout>
              <c:tx>
                <c:rich>
                  <a:bodyPr/>
                  <a:lstStyle/>
                  <a:p>
                    <a:r>
                      <a:rPr lang="en-US" altLang="zh-CN"/>
                      <a:t> 4.8%</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7D7-4966-B790-F99841F3E8D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1"/>
            <c:showBubbleSize val="0"/>
            <c:showLeaderLines val="1"/>
            <c:extLst>
              <c:ext xmlns:c15="http://schemas.microsoft.com/office/drawing/2012/chart" uri="{CE6537A1-D6FC-4f65-9D91-7224C49458BB}"/>
            </c:extLst>
          </c:dLbls>
          <c:cat>
            <c:strRef>
              <c:f>Sheet1!$A$2:$A$3</c:f>
              <c:strCache>
                <c:ptCount val="2"/>
                <c:pt idx="0">
                  <c:v>公务用车购置及维护</c:v>
                </c:pt>
                <c:pt idx="1">
                  <c:v>公务接待</c:v>
                </c:pt>
              </c:strCache>
            </c:strRef>
          </c:cat>
          <c:val>
            <c:numRef>
              <c:f>Sheet1!$B$2:$B$3</c:f>
              <c:numCache>
                <c:formatCode>General</c:formatCode>
                <c:ptCount val="2"/>
                <c:pt idx="0">
                  <c:v>95.2</c:v>
                </c:pt>
                <c:pt idx="1">
                  <c:v>4.8</c:v>
                </c:pt>
              </c:numCache>
            </c:numRef>
          </c:val>
          <c:extLst>
            <c:ext xmlns:c16="http://schemas.microsoft.com/office/drawing/2014/chart" uri="{C3380CC4-5D6E-409C-BE32-E72D297353CC}">
              <c16:uniqueId val="{00000004-07D7-4966-B790-F99841F3E8D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71674441048737"/>
          <c:y val="0.8632246376811589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D4B04C-7CFA-4EB8-A279-E9ED0A7A6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1436</Words>
  <Characters>8188</Characters>
  <Application>Microsoft Office Word</Application>
  <DocSecurity>0</DocSecurity>
  <Lines>68</Lines>
  <Paragraphs>19</Paragraphs>
  <ScaleCrop>false</ScaleCrop>
  <Company>四川省财政厅</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郭艳丽</cp:lastModifiedBy>
  <cp:revision>30</cp:revision>
  <cp:lastPrinted>2019-08-01T00:48:00Z</cp:lastPrinted>
  <dcterms:created xsi:type="dcterms:W3CDTF">2019-08-01T01:14:00Z</dcterms:created>
  <dcterms:modified xsi:type="dcterms:W3CDTF">2023-07-17T09:35:00Z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