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96475"/>
      <w:bookmarkStart w:id="3" w:name="_Toc15377193"/>
      <w:bookmarkStart w:id="4" w:name="_Toc15396597"/>
      <w:bookmarkStart w:id="5" w:name="_Toc15378441"/>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426"/>
      <w:bookmarkStart w:id="7" w:name="_Toc15396598"/>
      <w:bookmarkStart w:id="8" w:name="_Toc15378442"/>
      <w:bookmarkStart w:id="9" w:name="_Toc15377194"/>
      <w:bookmarkStart w:id="10" w:name="_Toc15396476"/>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rPr>
        <w:t>阿坝州</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红原县统计局部门决算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2"/>
        <w:rPr>
          <w:rFonts w:cstheme="minorBidi"/>
        </w:rPr>
      </w:pPr>
      <w:r>
        <w:fldChar w:fldCharType="begin"/>
      </w:r>
      <w:r>
        <w:instrText xml:space="preserve"> HYPERLINK \l "_Toc15396599" </w:instrText>
      </w:r>
      <w:r>
        <w:fldChar w:fldCharType="separate"/>
      </w:r>
      <w:r>
        <w:rPr>
          <w:rStyle w:val="18"/>
          <w:rFonts w:hint="eastAsia"/>
        </w:rPr>
        <w:t>第一部分</w:t>
      </w:r>
      <w:r>
        <w:rPr>
          <w:rStyle w:val="18"/>
        </w:rPr>
        <w:t xml:space="preserve"> </w:t>
      </w:r>
      <w:r>
        <w:rPr>
          <w:rStyle w:val="18"/>
          <w:rFonts w:hint="eastAsia"/>
        </w:rPr>
        <w:t>部门概况</w:t>
      </w:r>
      <w:r>
        <w:rPr>
          <w:rStyle w:val="18"/>
          <w:rFonts w:hint="eastAsia"/>
        </w:rPr>
        <w:fldChar w:fldCharType="end"/>
      </w:r>
    </w:p>
    <w:p>
      <w:pPr>
        <w:pStyle w:val="13"/>
        <w:rPr>
          <w:rFonts w:ascii="仿宋" w:hAnsi="仿宋" w:eastAsia="仿宋" w:cstheme="minorBidi"/>
          <w:sz w:val="28"/>
          <w:szCs w:val="28"/>
        </w:rPr>
      </w:pPr>
      <w:r>
        <w:fldChar w:fldCharType="begin"/>
      </w:r>
      <w:r>
        <w:instrText xml:space="preserve"> HYPERLINK \l "_Toc15396600" </w:instrText>
      </w:r>
      <w:r>
        <w:fldChar w:fldCharType="separate"/>
      </w:r>
      <w:r>
        <w:rPr>
          <w:rStyle w:val="18"/>
          <w:rFonts w:hint="eastAsia" w:ascii="仿宋" w:hAnsi="仿宋" w:eastAsia="仿宋"/>
          <w:sz w:val="28"/>
          <w:szCs w:val="28"/>
        </w:rPr>
        <w:t>一、基本职能及主要工作</w:t>
      </w:r>
      <w:r>
        <w:rPr>
          <w:rStyle w:val="18"/>
          <w:rFonts w:hint="eastAsia"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"_Toc15396601" </w:instrText>
      </w:r>
      <w:r>
        <w:fldChar w:fldCharType="separate"/>
      </w:r>
      <w:r>
        <w:rPr>
          <w:rStyle w:val="18"/>
          <w:rFonts w:hint="eastAsia" w:ascii="仿宋" w:hAnsi="仿宋" w:eastAsia="仿宋"/>
          <w:sz w:val="28"/>
          <w:szCs w:val="28"/>
        </w:rPr>
        <w:t>二、机构设置</w:t>
      </w:r>
      <w:r>
        <w:rPr>
          <w:rStyle w:val="18"/>
          <w:rFonts w:hint="eastAsia" w:ascii="仿宋" w:hAnsi="仿宋" w:eastAsia="仿宋"/>
          <w:sz w:val="28"/>
          <w:szCs w:val="28"/>
        </w:rPr>
        <w:fldChar w:fldCharType="end"/>
      </w:r>
    </w:p>
    <w:p>
      <w:pPr>
        <w:pStyle w:val="12"/>
      </w:pPr>
      <w:r>
        <w:fldChar w:fldCharType="begin"/>
      </w:r>
      <w:r>
        <w:instrText xml:space="preserve"> HYPERLINK \l "_Toc15396602" </w:instrText>
      </w:r>
      <w:r>
        <w:fldChar w:fldCharType="separate"/>
      </w:r>
      <w:r>
        <w:rPr>
          <w:rStyle w:val="18"/>
          <w:rFonts w:hint="eastAsia"/>
        </w:rPr>
        <w:t>第二部分</w:t>
      </w:r>
      <w:r>
        <w:rPr>
          <w:rStyle w:val="18"/>
        </w:rPr>
        <w:t xml:space="preserve"> 2018</w:t>
      </w:r>
      <w:r>
        <w:rPr>
          <w:rStyle w:val="18"/>
          <w:rFonts w:hint="eastAsia"/>
        </w:rPr>
        <w:t>年度部门决算情况说明</w:t>
      </w:r>
      <w:r>
        <w:rPr>
          <w:rStyle w:val="18"/>
          <w:rFonts w:hint="eastAsia"/>
        </w:rPr>
        <w:fldChar w:fldCharType="end"/>
      </w:r>
    </w:p>
    <w:p>
      <w:pPr>
        <w:pStyle w:val="13"/>
        <w:rPr>
          <w:rFonts w:ascii="仿宋" w:hAnsi="仿宋" w:eastAsia="仿宋" w:cstheme="minorBidi"/>
          <w:sz w:val="28"/>
          <w:szCs w:val="28"/>
        </w:rPr>
      </w:pPr>
      <w:r>
        <w:fldChar w:fldCharType="begin"/>
      </w:r>
      <w:r>
        <w:instrText xml:space="preserve"> HYPERLINK \l "_Toc15396603" </w:instrText>
      </w:r>
      <w:r>
        <w:fldChar w:fldCharType="separate"/>
      </w:r>
      <w:r>
        <w:rPr>
          <w:rStyle w:val="18"/>
          <w:rFonts w:hint="eastAsia" w:ascii="仿宋" w:hAnsi="仿宋" w:eastAsia="仿宋" w:cstheme="majorBidi"/>
          <w:bCs/>
          <w:sz w:val="28"/>
          <w:szCs w:val="28"/>
        </w:rPr>
        <w:t>一、</w:t>
      </w:r>
      <w:r>
        <w:rPr>
          <w:rStyle w:val="18"/>
          <w:rFonts w:hint="eastAsia" w:ascii="仿宋" w:hAnsi="仿宋" w:eastAsia="仿宋"/>
          <w:sz w:val="28"/>
          <w:szCs w:val="28"/>
        </w:rPr>
        <w:t>收</w:t>
      </w:r>
      <w:r>
        <w:rPr>
          <w:rStyle w:val="18"/>
          <w:rFonts w:hint="eastAsia" w:ascii="仿宋" w:hAnsi="仿宋" w:eastAsia="仿宋" w:cstheme="majorBidi"/>
          <w:bCs/>
          <w:sz w:val="28"/>
          <w:szCs w:val="28"/>
        </w:rPr>
        <w:t>入支出决算总体情况说明</w:t>
      </w:r>
      <w:r>
        <w:rPr>
          <w:rStyle w:val="18"/>
          <w:rFonts w:hint="eastAsia" w:ascii="仿宋" w:hAnsi="仿宋" w:eastAsia="仿宋" w:cstheme="majorBidi"/>
          <w:bCs/>
          <w:sz w:val="28"/>
          <w:szCs w:val="28"/>
        </w:rPr>
        <w:fldChar w:fldCharType="end"/>
      </w:r>
    </w:p>
    <w:p>
      <w:pPr>
        <w:pStyle w:val="13"/>
        <w:rPr>
          <w:rFonts w:ascii="仿宋" w:hAnsi="仿宋" w:eastAsia="仿宋" w:cstheme="minorBidi"/>
          <w:sz w:val="28"/>
          <w:szCs w:val="28"/>
        </w:rPr>
      </w:pPr>
      <w:r>
        <w:fldChar w:fldCharType="begin"/>
      </w:r>
      <w:r>
        <w:instrText xml:space="preserve"> HYPERLINK \l "_Toc15396604" </w:instrText>
      </w:r>
      <w:r>
        <w:fldChar w:fldCharType="separate"/>
      </w:r>
      <w:r>
        <w:rPr>
          <w:rStyle w:val="18"/>
          <w:rFonts w:hint="eastAsia" w:ascii="仿宋" w:hAnsi="仿宋" w:eastAsia="仿宋" w:cstheme="majorBidi"/>
          <w:bCs/>
          <w:sz w:val="28"/>
          <w:szCs w:val="28"/>
        </w:rPr>
        <w:t>二、</w:t>
      </w:r>
      <w:r>
        <w:rPr>
          <w:rStyle w:val="18"/>
          <w:rFonts w:hint="eastAsia" w:ascii="仿宋" w:hAnsi="仿宋" w:eastAsia="仿宋"/>
          <w:sz w:val="28"/>
          <w:szCs w:val="28"/>
        </w:rPr>
        <w:t>收</w:t>
      </w:r>
      <w:r>
        <w:rPr>
          <w:rStyle w:val="18"/>
          <w:rFonts w:hint="eastAsia" w:ascii="仿宋" w:hAnsi="仿宋" w:eastAsia="仿宋" w:cstheme="majorBidi"/>
          <w:bCs/>
          <w:sz w:val="28"/>
          <w:szCs w:val="28"/>
        </w:rPr>
        <w:t>入决算情况说明</w:t>
      </w:r>
      <w:r>
        <w:rPr>
          <w:rStyle w:val="18"/>
          <w:rFonts w:hint="eastAsia" w:ascii="仿宋" w:hAnsi="仿宋" w:eastAsia="仿宋" w:cstheme="majorBidi"/>
          <w:bCs/>
          <w:sz w:val="28"/>
          <w:szCs w:val="28"/>
        </w:rPr>
        <w:fldChar w:fldCharType="end"/>
      </w:r>
    </w:p>
    <w:p>
      <w:pPr>
        <w:pStyle w:val="13"/>
        <w:rPr>
          <w:rFonts w:ascii="仿宋" w:hAnsi="仿宋" w:eastAsia="仿宋" w:cstheme="minorBidi"/>
          <w:sz w:val="28"/>
          <w:szCs w:val="28"/>
        </w:rPr>
      </w:pPr>
      <w:r>
        <w:fldChar w:fldCharType="begin"/>
      </w:r>
      <w:r>
        <w:instrText xml:space="preserve"> HYPERLINK \l "_Toc15396605" </w:instrText>
      </w:r>
      <w:r>
        <w:fldChar w:fldCharType="separate"/>
      </w:r>
      <w:r>
        <w:rPr>
          <w:rStyle w:val="18"/>
          <w:rFonts w:hint="eastAsia" w:ascii="仿宋" w:hAnsi="仿宋" w:eastAsia="仿宋" w:cstheme="majorBidi"/>
          <w:bCs/>
          <w:sz w:val="28"/>
          <w:szCs w:val="28"/>
        </w:rPr>
        <w:t>三、</w:t>
      </w:r>
      <w:r>
        <w:rPr>
          <w:rStyle w:val="18"/>
          <w:rFonts w:hint="eastAsia" w:ascii="仿宋" w:hAnsi="仿宋" w:eastAsia="仿宋"/>
          <w:sz w:val="28"/>
          <w:szCs w:val="28"/>
        </w:rPr>
        <w:t>支</w:t>
      </w:r>
      <w:r>
        <w:rPr>
          <w:rStyle w:val="18"/>
          <w:rFonts w:hint="eastAsia" w:ascii="仿宋" w:hAnsi="仿宋" w:eastAsia="仿宋" w:cstheme="majorBidi"/>
          <w:bCs/>
          <w:sz w:val="28"/>
          <w:szCs w:val="28"/>
        </w:rPr>
        <w:t>出决算情况说明</w:t>
      </w:r>
      <w:r>
        <w:rPr>
          <w:rStyle w:val="18"/>
          <w:rFonts w:hint="eastAsia" w:ascii="仿宋" w:hAnsi="仿宋" w:eastAsia="仿宋" w:cstheme="majorBidi"/>
          <w:bCs/>
          <w:sz w:val="28"/>
          <w:szCs w:val="28"/>
        </w:rPr>
        <w:fldChar w:fldCharType="end"/>
      </w:r>
    </w:p>
    <w:p>
      <w:pPr>
        <w:pStyle w:val="13"/>
        <w:rPr>
          <w:rFonts w:ascii="仿宋" w:hAnsi="仿宋" w:eastAsia="仿宋" w:cstheme="minorBidi"/>
          <w:sz w:val="28"/>
          <w:szCs w:val="28"/>
        </w:rPr>
      </w:pPr>
      <w:r>
        <w:fldChar w:fldCharType="begin"/>
      </w:r>
      <w:r>
        <w:instrText xml:space="preserve"> HYPERLINK \l "_Toc15396606" </w:instrText>
      </w:r>
      <w:r>
        <w:fldChar w:fldCharType="separate"/>
      </w:r>
      <w:r>
        <w:rPr>
          <w:rStyle w:val="18"/>
          <w:rFonts w:hint="eastAsia" w:ascii="仿宋" w:hAnsi="仿宋" w:eastAsia="仿宋"/>
          <w:sz w:val="28"/>
          <w:szCs w:val="28"/>
        </w:rPr>
        <w:t>四、财</w:t>
      </w:r>
      <w:r>
        <w:rPr>
          <w:rStyle w:val="18"/>
          <w:rFonts w:hint="eastAsia" w:ascii="仿宋" w:hAnsi="仿宋" w:eastAsia="仿宋" w:cstheme="majorBidi"/>
          <w:bCs/>
          <w:sz w:val="28"/>
          <w:szCs w:val="28"/>
        </w:rPr>
        <w:t>政拨款收入支出决算总体情况说明</w:t>
      </w:r>
      <w:r>
        <w:rPr>
          <w:rStyle w:val="18"/>
          <w:rFonts w:hint="eastAsia" w:ascii="仿宋" w:hAnsi="仿宋" w:eastAsia="仿宋" w:cstheme="majorBidi"/>
          <w:bCs/>
          <w:sz w:val="28"/>
          <w:szCs w:val="28"/>
        </w:rPr>
        <w:fldChar w:fldCharType="end"/>
      </w:r>
    </w:p>
    <w:p>
      <w:pPr>
        <w:pStyle w:val="13"/>
        <w:rPr>
          <w:rFonts w:ascii="仿宋" w:hAnsi="仿宋" w:eastAsia="仿宋" w:cstheme="minorBidi"/>
          <w:sz w:val="28"/>
          <w:szCs w:val="28"/>
        </w:rPr>
      </w:pPr>
      <w:r>
        <w:fldChar w:fldCharType="begin"/>
      </w:r>
      <w:r>
        <w:instrText xml:space="preserve"> HYPERLINK \l "_Toc15396607" </w:instrText>
      </w:r>
      <w:r>
        <w:fldChar w:fldCharType="separate"/>
      </w:r>
      <w:r>
        <w:rPr>
          <w:rStyle w:val="18"/>
          <w:rFonts w:hint="eastAsia" w:ascii="仿宋" w:hAnsi="仿宋" w:eastAsia="仿宋"/>
          <w:sz w:val="28"/>
          <w:szCs w:val="28"/>
        </w:rPr>
        <w:t>五、一</w:t>
      </w:r>
      <w:r>
        <w:rPr>
          <w:rStyle w:val="18"/>
          <w:rFonts w:hint="eastAsia" w:ascii="仿宋" w:hAnsi="仿宋" w:eastAsia="仿宋" w:cstheme="majorBidi"/>
          <w:bCs/>
          <w:sz w:val="28"/>
          <w:szCs w:val="28"/>
        </w:rPr>
        <w:t>般公共预算财政拨款支出决算情况说明</w:t>
      </w:r>
      <w:r>
        <w:rPr>
          <w:rStyle w:val="18"/>
          <w:rFonts w:hint="eastAsia" w:ascii="仿宋" w:hAnsi="仿宋" w:eastAsia="仿宋" w:cstheme="majorBidi"/>
          <w:bCs/>
          <w:sz w:val="28"/>
          <w:szCs w:val="28"/>
        </w:rPr>
        <w:fldChar w:fldCharType="end"/>
      </w:r>
    </w:p>
    <w:p>
      <w:pPr>
        <w:pStyle w:val="13"/>
        <w:rPr>
          <w:rFonts w:ascii="仿宋" w:hAnsi="仿宋" w:eastAsia="仿宋" w:cstheme="minorBidi"/>
          <w:sz w:val="28"/>
          <w:szCs w:val="28"/>
        </w:rPr>
      </w:pPr>
      <w:r>
        <w:fldChar w:fldCharType="begin"/>
      </w:r>
      <w:r>
        <w:instrText xml:space="preserve"> HYPERLINK \l "_Toc15396608" </w:instrText>
      </w:r>
      <w:r>
        <w:fldChar w:fldCharType="separate"/>
      </w:r>
      <w:r>
        <w:rPr>
          <w:rStyle w:val="18"/>
          <w:rFonts w:hint="eastAsia" w:ascii="仿宋" w:hAnsi="仿宋" w:eastAsia="仿宋"/>
          <w:sz w:val="28"/>
          <w:szCs w:val="28"/>
        </w:rPr>
        <w:t>六、一</w:t>
      </w:r>
      <w:r>
        <w:rPr>
          <w:rStyle w:val="18"/>
          <w:rFonts w:hint="eastAsia" w:ascii="仿宋" w:hAnsi="仿宋" w:eastAsia="仿宋" w:cstheme="majorBidi"/>
          <w:bCs/>
          <w:sz w:val="28"/>
          <w:szCs w:val="28"/>
        </w:rPr>
        <w:t>般公共预算财政拨款基本支出决算情况说明</w:t>
      </w:r>
      <w:r>
        <w:rPr>
          <w:rStyle w:val="18"/>
          <w:rFonts w:hint="eastAsia" w:ascii="仿宋" w:hAnsi="仿宋" w:eastAsia="仿宋" w:cstheme="majorBidi"/>
          <w:bCs/>
          <w:sz w:val="28"/>
          <w:szCs w:val="28"/>
        </w:rPr>
        <w:fldChar w:fldCharType="end"/>
      </w:r>
    </w:p>
    <w:p>
      <w:pPr>
        <w:pStyle w:val="13"/>
        <w:rPr>
          <w:rFonts w:ascii="仿宋" w:hAnsi="仿宋" w:eastAsia="仿宋" w:cstheme="minorBidi"/>
          <w:sz w:val="28"/>
          <w:szCs w:val="28"/>
        </w:rPr>
      </w:pPr>
      <w:r>
        <w:fldChar w:fldCharType="begin"/>
      </w:r>
      <w:r>
        <w:instrText xml:space="preserve"> HYPERLINK \l "_Toc15396609" </w:instrText>
      </w:r>
      <w:r>
        <w:fldChar w:fldCharType="separate"/>
      </w:r>
      <w:r>
        <w:rPr>
          <w:rStyle w:val="18"/>
          <w:rFonts w:hint="eastAsia" w:ascii="仿宋" w:hAnsi="仿宋" w:eastAsia="仿宋"/>
          <w:sz w:val="28"/>
          <w:szCs w:val="28"/>
        </w:rPr>
        <w:t>七、</w:t>
      </w:r>
      <w:r>
        <w:rPr>
          <w:rStyle w:val="18"/>
          <w:rFonts w:ascii="仿宋" w:hAnsi="仿宋" w:eastAsia="仿宋"/>
          <w:sz w:val="28"/>
          <w:szCs w:val="28"/>
        </w:rPr>
        <w:t>“</w:t>
      </w:r>
      <w:r>
        <w:rPr>
          <w:rStyle w:val="18"/>
          <w:rFonts w:hint="eastAsia" w:ascii="仿宋" w:hAnsi="仿宋" w:eastAsia="仿宋" w:cstheme="majorBidi"/>
          <w:bCs/>
          <w:sz w:val="28"/>
          <w:szCs w:val="28"/>
        </w:rPr>
        <w:t>三公”经费财政拨款支出决算情况说明</w:t>
      </w:r>
      <w:r>
        <w:rPr>
          <w:rStyle w:val="18"/>
          <w:rFonts w:hint="eastAsia" w:ascii="仿宋" w:hAnsi="仿宋" w:eastAsia="仿宋" w:cstheme="majorBidi"/>
          <w:bCs/>
          <w:sz w:val="28"/>
          <w:szCs w:val="28"/>
        </w:rPr>
        <w:fldChar w:fldCharType="end"/>
      </w:r>
    </w:p>
    <w:p>
      <w:pPr>
        <w:pStyle w:val="13"/>
        <w:rPr>
          <w:rFonts w:ascii="仿宋" w:hAnsi="仿宋" w:eastAsia="仿宋" w:cstheme="minorBidi"/>
          <w:sz w:val="28"/>
          <w:szCs w:val="28"/>
        </w:rPr>
      </w:pPr>
      <w:r>
        <w:fldChar w:fldCharType="begin"/>
      </w:r>
      <w:r>
        <w:instrText xml:space="preserve"> HYPERLINK \l "_Toc15396610" </w:instrText>
      </w:r>
      <w:r>
        <w:fldChar w:fldCharType="separate"/>
      </w:r>
      <w:r>
        <w:rPr>
          <w:rStyle w:val="18"/>
          <w:rFonts w:hint="eastAsia" w:ascii="仿宋" w:hAnsi="仿宋" w:eastAsia="仿宋"/>
          <w:sz w:val="28"/>
          <w:szCs w:val="28"/>
        </w:rPr>
        <w:t>八、</w:t>
      </w:r>
      <w:r>
        <w:rPr>
          <w:rStyle w:val="18"/>
          <w:rFonts w:hint="eastAsia" w:ascii="仿宋" w:hAnsi="仿宋" w:eastAsia="仿宋" w:cstheme="majorBidi"/>
          <w:bCs/>
          <w:sz w:val="28"/>
          <w:szCs w:val="28"/>
        </w:rPr>
        <w:t>政府性基金预算支出决算情况说明</w:t>
      </w:r>
      <w:r>
        <w:rPr>
          <w:rStyle w:val="18"/>
          <w:rFonts w:hint="eastAsia" w:ascii="仿宋" w:hAnsi="仿宋" w:eastAsia="仿宋" w:cstheme="majorBidi"/>
          <w:bCs/>
          <w:sz w:val="28"/>
          <w:szCs w:val="28"/>
        </w:rPr>
        <w:fldChar w:fldCharType="end"/>
      </w:r>
    </w:p>
    <w:p>
      <w:pPr>
        <w:pStyle w:val="13"/>
        <w:rPr>
          <w:rFonts w:ascii="仿宋" w:hAnsi="仿宋" w:eastAsia="仿宋" w:cstheme="minorBidi"/>
          <w:sz w:val="28"/>
          <w:szCs w:val="28"/>
        </w:rPr>
      </w:pPr>
      <w:r>
        <w:fldChar w:fldCharType="begin"/>
      </w:r>
      <w:r>
        <w:instrText xml:space="preserve"> HYPERLINK \l "_Toc15396611" </w:instrText>
      </w:r>
      <w:r>
        <w:fldChar w:fldCharType="separate"/>
      </w:r>
      <w:r>
        <w:rPr>
          <w:rStyle w:val="18"/>
          <w:rFonts w:hint="eastAsia" w:ascii="仿宋" w:hAnsi="仿宋" w:eastAsia="仿宋" w:cstheme="majorBidi"/>
          <w:bCs/>
          <w:sz w:val="28"/>
          <w:szCs w:val="28"/>
        </w:rPr>
        <w:t>九、</w:t>
      </w:r>
      <w:r>
        <w:rPr>
          <w:rStyle w:val="18"/>
          <w:rFonts w:hint="eastAsia" w:ascii="仿宋" w:hAnsi="仿宋" w:eastAsia="仿宋"/>
          <w:sz w:val="28"/>
          <w:szCs w:val="28"/>
        </w:rPr>
        <w:t xml:space="preserve"> 国</w:t>
      </w:r>
      <w:r>
        <w:rPr>
          <w:rStyle w:val="18"/>
          <w:rFonts w:hint="eastAsia" w:ascii="仿宋" w:hAnsi="仿宋" w:eastAsia="仿宋" w:cstheme="majorBidi"/>
          <w:bCs/>
          <w:sz w:val="28"/>
          <w:szCs w:val="28"/>
        </w:rPr>
        <w:t>有资本经营预算支出决算情况说明</w:t>
      </w:r>
      <w:r>
        <w:rPr>
          <w:rStyle w:val="18"/>
          <w:rFonts w:hint="eastAsia" w:ascii="仿宋" w:hAnsi="仿宋" w:eastAsia="仿宋" w:cstheme="majorBidi"/>
          <w:bCs/>
          <w:sz w:val="28"/>
          <w:szCs w:val="28"/>
        </w:rPr>
        <w:fldChar w:fldCharType="end"/>
      </w:r>
    </w:p>
    <w:p>
      <w:pPr>
        <w:pStyle w:val="13"/>
        <w:rPr>
          <w:rFonts w:ascii="仿宋" w:hAnsi="仿宋" w:eastAsia="仿宋" w:cstheme="minorBidi"/>
          <w:sz w:val="28"/>
          <w:szCs w:val="28"/>
        </w:rPr>
      </w:pPr>
      <w:r>
        <w:fldChar w:fldCharType="begin"/>
      </w:r>
      <w:r>
        <w:instrText xml:space="preserve"> HYPERLINK \l "_Toc15396612" </w:instrText>
      </w:r>
      <w:r>
        <w:fldChar w:fldCharType="separate"/>
      </w:r>
      <w:r>
        <w:rPr>
          <w:rStyle w:val="18"/>
          <w:rFonts w:hint="eastAsia" w:ascii="仿宋" w:hAnsi="仿宋" w:eastAsia="仿宋"/>
          <w:sz w:val="28"/>
          <w:szCs w:val="28"/>
        </w:rPr>
        <w:t>十</w:t>
      </w:r>
      <w:r>
        <w:rPr>
          <w:rStyle w:val="18"/>
          <w:rFonts w:hint="eastAsia" w:ascii="仿宋" w:hAnsi="仿宋" w:eastAsia="仿宋" w:cstheme="majorBidi"/>
          <w:bCs/>
          <w:sz w:val="28"/>
          <w:szCs w:val="28"/>
        </w:rPr>
        <w:t>一、其他重要事项的情况说明</w:t>
      </w:r>
      <w:r>
        <w:rPr>
          <w:rStyle w:val="18"/>
          <w:rFonts w:hint="eastAsia" w:ascii="仿宋" w:hAnsi="仿宋" w:eastAsia="仿宋" w:cstheme="majorBidi"/>
          <w:bCs/>
          <w:sz w:val="28"/>
          <w:szCs w:val="28"/>
        </w:rPr>
        <w:fldChar w:fldCharType="end"/>
      </w:r>
    </w:p>
    <w:p>
      <w:pPr>
        <w:pStyle w:val="12"/>
        <w:rPr>
          <w:rFonts w:cstheme="minorBidi"/>
        </w:rPr>
      </w:pPr>
      <w:r>
        <w:fldChar w:fldCharType="begin"/>
      </w:r>
      <w:r>
        <w:instrText xml:space="preserve"> HYPERLINK \l "_Toc15396613" </w:instrText>
      </w:r>
      <w:r>
        <w:fldChar w:fldCharType="separate"/>
      </w:r>
      <w:r>
        <w:rPr>
          <w:rStyle w:val="18"/>
          <w:rFonts w:hint="eastAsia"/>
          <w:bCs/>
          <w:kern w:val="44"/>
        </w:rPr>
        <w:t>第三部分</w:t>
      </w:r>
      <w:r>
        <w:rPr>
          <w:rStyle w:val="18"/>
          <w:rFonts w:hint="eastAsia"/>
        </w:rPr>
        <w:t xml:space="preserve"> 名</w:t>
      </w:r>
      <w:r>
        <w:rPr>
          <w:rStyle w:val="18"/>
          <w:rFonts w:hint="eastAsia"/>
          <w:bCs/>
          <w:kern w:val="44"/>
        </w:rPr>
        <w:t>词解释</w:t>
      </w:r>
      <w:r>
        <w:rPr>
          <w:rStyle w:val="18"/>
          <w:rFonts w:hint="eastAsia"/>
          <w:bCs/>
          <w:kern w:val="44"/>
        </w:rPr>
        <w:fldChar w:fldCharType="end"/>
      </w:r>
    </w:p>
    <w:p>
      <w:pPr>
        <w:pStyle w:val="12"/>
        <w:rPr>
          <w:rFonts w:cstheme="minorBidi"/>
        </w:rPr>
      </w:pPr>
      <w:r>
        <w:fldChar w:fldCharType="begin"/>
      </w:r>
      <w:r>
        <w:instrText xml:space="preserve"> HYPERLINK \l "_Toc15396614" </w:instrText>
      </w:r>
      <w:r>
        <w:fldChar w:fldCharType="separate"/>
      </w:r>
      <w:r>
        <w:rPr>
          <w:rStyle w:val="18"/>
          <w:rFonts w:hint="eastAsia"/>
        </w:rPr>
        <w:t>第</w:t>
      </w:r>
      <w:r>
        <w:rPr>
          <w:rStyle w:val="18"/>
          <w:rFonts w:hint="eastAsia"/>
          <w:bCs/>
          <w:kern w:val="44"/>
        </w:rPr>
        <w:t>四部分</w:t>
      </w:r>
      <w:r>
        <w:rPr>
          <w:rStyle w:val="18"/>
          <w:bCs/>
          <w:kern w:val="44"/>
        </w:rPr>
        <w:t xml:space="preserve"> </w:t>
      </w:r>
      <w:r>
        <w:rPr>
          <w:rStyle w:val="18"/>
          <w:rFonts w:hint="eastAsia"/>
          <w:bCs/>
          <w:kern w:val="44"/>
        </w:rPr>
        <w:t>附件</w:t>
      </w:r>
      <w:r>
        <w:rPr>
          <w:rStyle w:val="18"/>
          <w:rFonts w:hint="eastAsia"/>
          <w:bCs/>
          <w:kern w:val="44"/>
        </w:rPr>
        <w:fldChar w:fldCharType="end"/>
      </w:r>
    </w:p>
    <w:p>
      <w:pPr>
        <w:pStyle w:val="13"/>
        <w:rPr>
          <w:rFonts w:ascii="仿宋" w:hAnsi="仿宋" w:eastAsia="仿宋" w:cstheme="minorBidi"/>
          <w:sz w:val="28"/>
          <w:szCs w:val="28"/>
        </w:rPr>
      </w:pPr>
      <w:r>
        <w:fldChar w:fldCharType="begin"/>
      </w:r>
      <w:r>
        <w:instrText xml:space="preserve"> HYPERLINK \l "_Toc15396615" </w:instrText>
      </w:r>
      <w:r>
        <w:fldChar w:fldCharType="separate"/>
      </w:r>
      <w:r>
        <w:rPr>
          <w:rStyle w:val="18"/>
          <w:rFonts w:hint="eastAsia" w:ascii="仿宋" w:hAnsi="仿宋" w:eastAsia="仿宋"/>
          <w:kern w:val="44"/>
          <w:sz w:val="28"/>
          <w:szCs w:val="28"/>
        </w:rPr>
        <w:t>附件</w:t>
      </w:r>
      <w:r>
        <w:rPr>
          <w:rStyle w:val="18"/>
          <w:rFonts w:ascii="仿宋" w:hAnsi="仿宋" w:eastAsia="仿宋"/>
          <w:kern w:val="44"/>
          <w:sz w:val="28"/>
          <w:szCs w:val="28"/>
        </w:rPr>
        <w:t>1</w:t>
      </w:r>
      <w:r>
        <w:rPr>
          <w:rStyle w:val="18"/>
          <w:rFonts w:ascii="仿宋" w:hAnsi="仿宋" w:eastAsia="仿宋"/>
          <w:kern w:val="44"/>
          <w:sz w:val="28"/>
          <w:szCs w:val="28"/>
        </w:rPr>
        <w:fldChar w:fldCharType="end"/>
      </w:r>
    </w:p>
    <w:p>
      <w:pPr>
        <w:pStyle w:val="13"/>
        <w:rPr>
          <w:rFonts w:ascii="仿宋" w:hAnsi="仿宋" w:eastAsia="仿宋" w:cstheme="minorBidi"/>
          <w:sz w:val="28"/>
          <w:szCs w:val="28"/>
        </w:rPr>
      </w:pPr>
      <w:r>
        <w:fldChar w:fldCharType="begin"/>
      </w:r>
      <w:r>
        <w:instrText xml:space="preserve"> HYPERLINK \l "_Toc15396617" </w:instrText>
      </w:r>
      <w:r>
        <w:fldChar w:fldCharType="separate"/>
      </w:r>
      <w:r>
        <w:rPr>
          <w:rStyle w:val="18"/>
          <w:rFonts w:hint="eastAsia" w:ascii="仿宋" w:hAnsi="仿宋" w:eastAsia="仿宋"/>
          <w:kern w:val="44"/>
          <w:sz w:val="28"/>
          <w:szCs w:val="28"/>
        </w:rPr>
        <w:t>附件</w:t>
      </w:r>
      <w:r>
        <w:rPr>
          <w:rStyle w:val="18"/>
          <w:rFonts w:ascii="仿宋" w:hAnsi="仿宋" w:eastAsia="仿宋"/>
          <w:kern w:val="44"/>
          <w:sz w:val="28"/>
          <w:szCs w:val="28"/>
        </w:rPr>
        <w:t>2</w:t>
      </w:r>
      <w:r>
        <w:rPr>
          <w:rStyle w:val="18"/>
          <w:rFonts w:ascii="仿宋" w:hAnsi="仿宋" w:eastAsia="仿宋"/>
          <w:kern w:val="44"/>
          <w:sz w:val="28"/>
          <w:szCs w:val="28"/>
        </w:rPr>
        <w:fldChar w:fldCharType="end"/>
      </w:r>
    </w:p>
    <w:p>
      <w:pPr>
        <w:pStyle w:val="12"/>
        <w:rPr>
          <w:rFonts w:cstheme="minorBidi"/>
        </w:rPr>
      </w:pPr>
      <w:r>
        <w:fldChar w:fldCharType="begin"/>
      </w:r>
      <w:r>
        <w:instrText xml:space="preserve"> HYPERLINK \l "_Toc15396618" </w:instrText>
      </w:r>
      <w:r>
        <w:fldChar w:fldCharType="separate"/>
      </w:r>
      <w:r>
        <w:rPr>
          <w:rStyle w:val="18"/>
          <w:rFonts w:hint="eastAsia"/>
        </w:rPr>
        <w:t>第</w:t>
      </w:r>
      <w:r>
        <w:rPr>
          <w:rStyle w:val="18"/>
          <w:rFonts w:hint="eastAsia"/>
          <w:bCs/>
          <w:kern w:val="44"/>
        </w:rPr>
        <w:t>五部分</w:t>
      </w:r>
      <w:r>
        <w:rPr>
          <w:rStyle w:val="18"/>
          <w:bCs/>
          <w:kern w:val="44"/>
        </w:rPr>
        <w:t xml:space="preserve"> </w:t>
      </w:r>
      <w:r>
        <w:rPr>
          <w:rStyle w:val="18"/>
          <w:rFonts w:hint="eastAsia"/>
          <w:bCs/>
          <w:kern w:val="44"/>
        </w:rPr>
        <w:t>附表</w:t>
      </w:r>
      <w:r>
        <w:rPr>
          <w:rStyle w:val="18"/>
          <w:rFonts w:hint="eastAsia"/>
          <w:bCs/>
          <w:kern w:val="44"/>
        </w:rPr>
        <w:fldChar w:fldCharType="end"/>
      </w:r>
    </w:p>
    <w:p>
      <w:pPr>
        <w:pStyle w:val="13"/>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8"/>
          <w:rFonts w:hint="eastAsia" w:ascii="仿宋" w:hAnsi="仿宋" w:eastAsia="仿宋"/>
          <w:sz w:val="28"/>
          <w:szCs w:val="28"/>
        </w:rPr>
        <w:t>收入支出决算总表</w:t>
      </w:r>
      <w:r>
        <w:rPr>
          <w:rStyle w:val="18"/>
          <w:rFonts w:hint="eastAsia"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8"/>
          <w:rFonts w:hint="eastAsia" w:ascii="仿宋" w:hAnsi="仿宋" w:eastAsia="仿宋"/>
          <w:sz w:val="28"/>
          <w:szCs w:val="28"/>
        </w:rPr>
        <w:t>收入总表</w:t>
      </w:r>
      <w:r>
        <w:rPr>
          <w:rStyle w:val="18"/>
          <w:rFonts w:hint="eastAsia"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8"/>
          <w:rFonts w:hint="eastAsia" w:ascii="仿宋" w:hAnsi="仿宋" w:eastAsia="仿宋"/>
          <w:sz w:val="28"/>
          <w:szCs w:val="28"/>
        </w:rPr>
        <w:t>支出总表</w:t>
      </w:r>
      <w:r>
        <w:rPr>
          <w:rStyle w:val="18"/>
          <w:rFonts w:hint="eastAsia"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8"/>
          <w:rFonts w:hint="eastAsia" w:ascii="仿宋" w:hAnsi="仿宋" w:eastAsia="仿宋"/>
          <w:sz w:val="28"/>
          <w:szCs w:val="28"/>
        </w:rPr>
        <w:t>财政拨款收入支出决算总表</w:t>
      </w:r>
      <w:r>
        <w:rPr>
          <w:rStyle w:val="18"/>
          <w:rFonts w:hint="eastAsia" w:ascii="仿宋" w:hAnsi="仿宋" w:eastAsia="仿宋"/>
          <w:sz w:val="28"/>
          <w:szCs w:val="28"/>
        </w:rPr>
        <w:fldChar w:fldCharType="end"/>
      </w:r>
    </w:p>
    <w:p>
      <w:pPr>
        <w:pStyle w:val="13"/>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hint="eastAsia"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8"/>
          <w:rFonts w:hint="eastAsia" w:ascii="仿宋" w:hAnsi="仿宋" w:eastAsia="仿宋"/>
          <w:sz w:val="28"/>
          <w:szCs w:val="28"/>
        </w:rPr>
        <w:t>一般公共预算财政拨款支出决算表</w:t>
      </w:r>
      <w:r>
        <w:rPr>
          <w:rStyle w:val="18"/>
          <w:rFonts w:hint="eastAsia"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8"/>
          <w:rFonts w:hint="eastAsia" w:ascii="仿宋" w:hAnsi="仿宋" w:eastAsia="仿宋"/>
          <w:sz w:val="28"/>
          <w:szCs w:val="28"/>
        </w:rPr>
        <w:t>一般公共预算财政拨款支出决算明细表</w:t>
      </w:r>
      <w:r>
        <w:rPr>
          <w:rStyle w:val="18"/>
          <w:rFonts w:hint="eastAsia"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8"/>
          <w:rFonts w:hint="eastAsia" w:ascii="仿宋" w:hAnsi="仿宋" w:eastAsia="仿宋"/>
          <w:sz w:val="28"/>
          <w:szCs w:val="28"/>
        </w:rPr>
        <w:t>一般公共预算财政拨款基本支出决算表</w:t>
      </w:r>
      <w:r>
        <w:rPr>
          <w:rStyle w:val="18"/>
          <w:rFonts w:hint="eastAsia"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8"/>
          <w:rFonts w:hint="eastAsia" w:ascii="仿宋" w:hAnsi="仿宋" w:eastAsia="仿宋"/>
          <w:sz w:val="28"/>
          <w:szCs w:val="28"/>
        </w:rPr>
        <w:t>一般公共预算财政拨款项目支出决算表</w:t>
      </w:r>
      <w:r>
        <w:rPr>
          <w:rStyle w:val="18"/>
          <w:rFonts w:hint="eastAsia"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8"/>
          <w:rFonts w:hint="eastAsia" w:ascii="仿宋" w:hAnsi="仿宋" w:eastAsia="仿宋"/>
          <w:sz w:val="28"/>
          <w:szCs w:val="28"/>
        </w:rPr>
        <w:t>一般公共预算财政拨款“三公”经费支出决算表</w:t>
      </w:r>
      <w:r>
        <w:rPr>
          <w:rStyle w:val="18"/>
          <w:rFonts w:hint="eastAsia"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8"/>
          <w:rFonts w:hint="eastAsia" w:ascii="仿宋" w:hAnsi="仿宋" w:eastAsia="仿宋"/>
          <w:sz w:val="28"/>
          <w:szCs w:val="28"/>
        </w:rPr>
        <w:t>政府性基金预算财政拨款收入支出决算表</w:t>
      </w:r>
      <w:r>
        <w:rPr>
          <w:rStyle w:val="18"/>
          <w:rFonts w:hint="eastAsia"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8"/>
          <w:rFonts w:hint="eastAsia" w:ascii="仿宋" w:hAnsi="仿宋" w:eastAsia="仿宋"/>
          <w:sz w:val="28"/>
          <w:szCs w:val="28"/>
        </w:rPr>
        <w:t>政府性基金预算财政拨款“三公”经费支出决算表</w:t>
      </w:r>
      <w:r>
        <w:rPr>
          <w:rStyle w:val="18"/>
          <w:rFonts w:hint="eastAsia" w:ascii="仿宋" w:hAnsi="仿宋" w:eastAsia="仿宋"/>
          <w:sz w:val="28"/>
          <w:szCs w:val="28"/>
        </w:rPr>
        <w:fldChar w:fldCharType="end"/>
      </w:r>
    </w:p>
    <w:p>
      <w:pPr>
        <w:pStyle w:val="13"/>
        <w:rPr>
          <w:rFonts w:ascii="仿宋" w:hAnsi="仿宋" w:eastAsia="仿宋"/>
          <w:sz w:val="28"/>
          <w:szCs w:val="28"/>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8"/>
          <w:rFonts w:hint="eastAsia" w:ascii="仿宋" w:hAnsi="仿宋" w:eastAsia="仿宋"/>
          <w:sz w:val="28"/>
          <w:szCs w:val="28"/>
        </w:rPr>
        <w:t>国有资本经营预算支出决算表</w:t>
      </w:r>
      <w:r>
        <w:rPr>
          <w:rStyle w:val="18"/>
          <w:rFonts w:hint="eastAsia" w:ascii="仿宋" w:hAnsi="仿宋" w:eastAsia="仿宋"/>
          <w:sz w:val="28"/>
          <w:szCs w:val="28"/>
        </w:rPr>
        <w:fldChar w:fldCharType="end"/>
      </w:r>
    </w:p>
    <w:p>
      <w:pPr>
        <w:ind w:firstLine="320" w:firstLineChars="100"/>
        <w:rPr>
          <w:rStyle w:val="29"/>
          <w:rFonts w:ascii="仿宋" w:hAnsi="仿宋" w:eastAsia="仿宋"/>
          <w:b w:val="0"/>
          <w:bCs w:val="0"/>
        </w:rPr>
      </w:pPr>
      <w:r>
        <w:rPr>
          <w:rStyle w:val="29"/>
          <w:rFonts w:hint="eastAsia" w:ascii="仿宋" w:hAnsi="仿宋" w:eastAsia="仿宋"/>
          <w:b w:val="0"/>
          <w:bCs w:val="0"/>
        </w:rPr>
        <w:t>十四、整体支出绩效评价打分表</w:t>
      </w:r>
    </w:p>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pPr>
        <w:pStyle w:val="4"/>
        <w:jc w:val="center"/>
        <w:rPr>
          <w:rStyle w:val="28"/>
          <w:rFonts w:ascii="黑体" w:hAnsi="黑体" w:eastAsia="黑体"/>
          <w:b/>
          <w:bCs w:val="0"/>
        </w:rPr>
      </w:pPr>
      <w:r>
        <w:rPr>
          <w:rFonts w:hint="eastAsia" w:ascii="黑体" w:hAnsi="黑体" w:eastAsia="黑体"/>
          <w:b w:val="0"/>
        </w:rPr>
        <w:t xml:space="preserve">第一部分 </w:t>
      </w:r>
      <w:r>
        <w:rPr>
          <w:rStyle w:val="28"/>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5"/>
        <w:rPr>
          <w:rStyle w:val="29"/>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9"/>
          <w:rFonts w:hint="eastAsia" w:ascii="黑体" w:hAnsi="黑体" w:eastAsia="黑体"/>
          <w:b w:val="0"/>
          <w:bCs w:val="0"/>
        </w:rPr>
        <w:t>本职能及主要工作</w:t>
      </w:r>
      <w:bookmarkEnd w:id="14"/>
      <w:bookmarkEnd w:id="15"/>
    </w:p>
    <w:p>
      <w:pPr>
        <w:pStyle w:val="7"/>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w:t>
      </w:r>
      <w:bookmarkEnd w:id="16"/>
      <w:bookmarkEnd w:id="17"/>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1、负责组织实施上级业务主管部门及县委、县政府规定和下达的统计调查任务，统计现代化建设规划；组织领导和综合协调各乡镇、各部门的统计和国民经济核算工作。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2、在县委、县政府统一领导下，会同有关部门组织实施重大的国情国力普查；负责组织协调各乡镇、各部门的统计调查、社会经济调查、社会监测；组织全县统计报表的管理工作。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3、搜集、整理、提供全县性的基本统计资料，并对国民经济、社会发展和科技进步情况进行统计分析、统计预测和统计监督，向县委、县政府及有关部门提供咨询建议；搜集、整理、提供全州各县基本统计资料，并进行对比、分析研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4、统一核定、管理、公布全县性的基本统计资料，定期发布全县国民经济和社会发展情况统计公报。</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5、逐步建立、健全和管理全县统计信息自动化系统和全县统计数据数据库体系；组织协调和统一管理各乡镇、各部门的统计数据库网络。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6、组织指导统计教育、统计干部培训工作，组织实施全县统计专业职务资格的统一考试和统计人员上岗培训及资格考试的有关工作；切实抓好对统计干部的教育培训工作；指导和管理统计专业技术人员继续教育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7、依照《统计法》和《统计法实施细则》及《四川省统计管理条例》的有关规定，监督检查统计法律法规在我县的贯彻实施，组织统计执法检查，查处统计违法案件。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8、承担国家统计局阿坝调查队交办的各项统计调查任务。</w:t>
      </w:r>
    </w:p>
    <w:p>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9、加强本机关的党建、廉政建设及精神文明建设等工作。</w:t>
      </w:r>
    </w:p>
    <w:p>
      <w:pPr>
        <w:ind w:firstLine="640"/>
        <w:rPr>
          <w:rFonts w:ascii="仿宋" w:hAnsi="仿宋" w:eastAsia="仿宋"/>
          <w:bCs/>
          <w:color w:val="000000"/>
          <w:sz w:val="32"/>
          <w:szCs w:val="32"/>
        </w:rPr>
      </w:pPr>
      <w:r>
        <w:rPr>
          <w:rFonts w:hint="eastAsia" w:ascii="仿宋_GB2312" w:hAnsi="仿宋_GB2312" w:eastAsia="仿宋_GB2312" w:cs="仿宋_GB2312"/>
          <w:sz w:val="32"/>
          <w:szCs w:val="32"/>
        </w:rPr>
        <w:t>10、承办县委、县政府和上级业务主管部门交办的其他事项。</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bookmarkStart w:id="18" w:name="_Toc15378446"/>
      <w:bookmarkStart w:id="19" w:name="_Toc15377199"/>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在县委、县政府的正确领导下，在州统计局、州调查队的精心指导下，红原县统计局始终以习近平新时代中国特色社会主义思想为指导，紧紧围绕“质量效益管理年”、加快实现“三地一时代”发展目标，坚持“用真实数据说话、为科学决策服务”求真务实，奋勇争先，不断强化统计监测预警，着力提升数据质量，有效夯实统计基础，切实加强队伍建设，各项工作稳步推进，准确反映了我县经济发展的新成果，为县委县政府科学决策提供优质的统计服务。</w:t>
      </w:r>
    </w:p>
    <w:p>
      <w:pPr>
        <w:pStyle w:val="7"/>
        <w:adjustRightInd w:val="0"/>
        <w:snapToGrid w:val="0"/>
        <w:spacing w:before="93" w:line="600" w:lineRule="exact"/>
        <w:ind w:firstLine="672" w:firstLineChars="210"/>
        <w:rPr>
          <w:rFonts w:ascii="仿宋" w:hAnsi="仿宋" w:eastAsia="仿宋"/>
          <w:bCs/>
          <w:color w:val="000000"/>
          <w:sz w:val="32"/>
          <w:szCs w:val="32"/>
        </w:rPr>
      </w:pPr>
      <w:r>
        <w:rPr>
          <w:rFonts w:hint="eastAsia" w:hAnsi="仿宋_GB2312" w:cs="仿宋_GB2312"/>
          <w:sz w:val="32"/>
          <w:szCs w:val="32"/>
        </w:rPr>
        <w:t>2018年，实现地区生产总值130626万元，同比增长0.6%，其中第一产业实现增加值44176万元，同比增长3.7%；实现第二产业增加值32294万元，同比下降7.3%；实现第三产增加值54156万元，同比增长4.1%。实现全社会工业增加值21935万元，同比下降8.8%，其中实现规模以上工业增加值16510万元，同比下降13.4%。实现全社会消费品零售总额36107万元，同比增长4.0%。全社会固定资产投资达123420万元，同比增长2.1%。实现地方财政一般预算收入4558万元，同比下降2.2%。城镇居民人均可支配达收入33396元，同比增长7.4%；农村居民人均可支配收入达13363元，同比增长9.6%。</w:t>
      </w:r>
    </w:p>
    <w:p>
      <w:pPr>
        <w:pStyle w:val="5"/>
        <w:rPr>
          <w:rStyle w:val="29"/>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20"/>
      <w:bookmarkEnd w:id="21"/>
    </w:p>
    <w:p>
      <w:pPr>
        <w:pStyle w:val="7"/>
        <w:adjustRightInd w:val="0"/>
        <w:snapToGrid w:val="0"/>
        <w:spacing w:before="93" w:line="600" w:lineRule="exact"/>
        <w:ind w:firstLine="672" w:firstLineChars="210"/>
        <w:rPr>
          <w:rFonts w:ascii="仿宋" w:hAnsi="仿宋" w:eastAsia="仿宋"/>
          <w:sz w:val="32"/>
          <w:szCs w:val="32"/>
        </w:rPr>
      </w:pPr>
      <w:r>
        <w:rPr>
          <w:rFonts w:hint="eastAsia" w:ascii="仿宋" w:hAnsi="仿宋" w:eastAsia="仿宋"/>
          <w:sz w:val="32"/>
          <w:szCs w:val="32"/>
        </w:rPr>
        <w:t>红原县统计局为</w:t>
      </w:r>
      <w:r>
        <w:rPr>
          <w:rFonts w:hint="eastAsia" w:hAnsi="仿宋"/>
          <w:kern w:val="2"/>
          <w:sz w:val="32"/>
          <w:szCs w:val="32"/>
        </w:rPr>
        <w:t>独立核算全额拨款行政单位。</w:t>
      </w:r>
      <w:r>
        <w:rPr>
          <w:rFonts w:hint="eastAsia" w:ascii="仿宋" w:hAnsi="仿宋" w:eastAsia="仿宋"/>
          <w:sz w:val="32"/>
          <w:szCs w:val="32"/>
        </w:rPr>
        <w:t>下属二级单位1个，红原县普查中心是参照公务员法管理的事业单位。</w:t>
      </w:r>
    </w:p>
    <w:p>
      <w:pPr>
        <w:pStyle w:val="7"/>
        <w:adjustRightInd w:val="0"/>
        <w:snapToGrid w:val="0"/>
        <w:spacing w:before="93" w:line="600" w:lineRule="exact"/>
        <w:ind w:firstLine="672" w:firstLineChars="210"/>
        <w:rPr>
          <w:rFonts w:ascii="仿宋" w:hAnsi="仿宋" w:eastAsia="仿宋"/>
          <w:color w:val="000000"/>
          <w:sz w:val="32"/>
          <w:szCs w:val="32"/>
        </w:rPr>
      </w:pPr>
      <w:r>
        <w:rPr>
          <w:rFonts w:hint="eastAsia" w:ascii="仿宋" w:hAnsi="仿宋" w:eastAsia="仿宋"/>
          <w:color w:val="000000"/>
          <w:sz w:val="32"/>
          <w:szCs w:val="32"/>
        </w:rPr>
        <w:t>纳入红原县统计局2018年度部门决算编制范围的二级预算单位包括：红原县普查中心</w:t>
      </w: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pStyle w:val="4"/>
        <w:ind w:right="440"/>
        <w:jc w:val="right"/>
        <w:rPr>
          <w:rStyle w:val="28"/>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8"/>
          <w:rFonts w:hint="eastAsia" w:ascii="黑体" w:hAnsi="黑体" w:eastAsia="黑体"/>
          <w:b w:val="0"/>
          <w:bCs w:val="0"/>
        </w:rPr>
        <w:t>2018年度部门决算情况说明</w:t>
      </w:r>
      <w:bookmarkEnd w:id="22"/>
      <w:bookmarkEnd w:id="23"/>
    </w:p>
    <w:p/>
    <w:p>
      <w:pPr>
        <w:pStyle w:val="27"/>
        <w:numPr>
          <w:ilvl w:val="0"/>
          <w:numId w:val="1"/>
        </w:numPr>
        <w:spacing w:line="600" w:lineRule="exact"/>
        <w:ind w:firstLineChars="0"/>
        <w:outlineLvl w:val="1"/>
        <w:rPr>
          <w:rStyle w:val="29"/>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9"/>
          <w:rFonts w:hint="eastAsia" w:ascii="黑体" w:hAnsi="黑体" w:eastAsia="黑体"/>
          <w:b w:val="0"/>
        </w:rPr>
        <w:t>入支出决算总体情况说明</w:t>
      </w:r>
      <w:bookmarkEnd w:id="24"/>
      <w:bookmarkEnd w:id="25"/>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2018年度收入总计309.47万元、支出总计308.17万元。与2017年相比，收入增加24.54万元，增长8.61%；支出增加31.33万元，增长11.32</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 w:hAnsi="仿宋" w:eastAsia="仿宋"/>
          <w:b/>
          <w:bCs/>
          <w:color w:val="000000"/>
          <w:sz w:val="32"/>
          <w:szCs w:val="32"/>
        </w:rPr>
        <w:t>一是</w:t>
      </w:r>
      <w:r>
        <w:rPr>
          <w:rFonts w:hint="eastAsia" w:ascii="仿宋" w:hAnsi="仿宋" w:eastAsia="仿宋"/>
          <w:color w:val="000000"/>
          <w:sz w:val="32"/>
          <w:szCs w:val="32"/>
        </w:rPr>
        <w:t>人员增加，</w:t>
      </w:r>
      <w:r>
        <w:rPr>
          <w:rFonts w:hint="eastAsia" w:ascii="仿宋" w:hAnsi="仿宋" w:eastAsia="仿宋"/>
          <w:b/>
          <w:bCs/>
          <w:color w:val="000000"/>
          <w:sz w:val="32"/>
          <w:szCs w:val="32"/>
        </w:rPr>
        <w:t>二是</w:t>
      </w:r>
      <w:r>
        <w:rPr>
          <w:rFonts w:hint="eastAsia" w:ascii="仿宋" w:hAnsi="仿宋" w:eastAsia="仿宋"/>
          <w:color w:val="000000"/>
          <w:sz w:val="32"/>
          <w:szCs w:val="32"/>
        </w:rPr>
        <w:t>上调了城乡一体化补助标准，</w:t>
      </w:r>
      <w:r>
        <w:rPr>
          <w:rFonts w:hint="eastAsia" w:ascii="仿宋" w:hAnsi="仿宋" w:eastAsia="仿宋"/>
          <w:b/>
          <w:bCs/>
          <w:color w:val="000000"/>
          <w:sz w:val="32"/>
          <w:szCs w:val="32"/>
        </w:rPr>
        <w:t>三是</w:t>
      </w:r>
      <w:r>
        <w:rPr>
          <w:rFonts w:hint="eastAsia" w:ascii="仿宋" w:hAnsi="仿宋" w:eastAsia="仿宋"/>
          <w:color w:val="000000"/>
          <w:sz w:val="32"/>
          <w:szCs w:val="32"/>
        </w:rPr>
        <w:t>增加了经济普查经费。</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pPr>
        <w:spacing w:line="600" w:lineRule="exact"/>
        <w:ind w:firstLine="420" w:firstLineChars="200"/>
        <w:rPr>
          <w:rFonts w:ascii="仿宋" w:hAnsi="仿宋" w:eastAsia="仿宋"/>
          <w:color w:val="000000" w:themeColor="text1"/>
          <w:sz w:val="32"/>
          <w:szCs w:val="32"/>
        </w:rPr>
      </w:pPr>
      <w:r>
        <w:drawing>
          <wp:anchor distT="0" distB="0" distL="114300" distR="114300" simplePos="0" relativeHeight="251658240" behindDoc="0" locked="0" layoutInCell="1" allowOverlap="1">
            <wp:simplePos x="0" y="0"/>
            <wp:positionH relativeFrom="column">
              <wp:posOffset>381000</wp:posOffset>
            </wp:positionH>
            <wp:positionV relativeFrom="paragraph">
              <wp:posOffset>179705</wp:posOffset>
            </wp:positionV>
            <wp:extent cx="4130675" cy="2753360"/>
            <wp:effectExtent l="0" t="0" r="3175" b="8890"/>
            <wp:wrapSquare wrapText="bothSides"/>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6"/>
                    <a:stretch>
                      <a:fillRect/>
                    </a:stretch>
                  </pic:blipFill>
                  <pic:spPr>
                    <a:xfrm>
                      <a:off x="0" y="0"/>
                      <a:ext cx="4130675" cy="2753360"/>
                    </a:xfrm>
                    <a:prstGeom prst="rect">
                      <a:avLst/>
                    </a:prstGeom>
                    <a:noFill/>
                    <a:ln>
                      <a:noFill/>
                    </a:ln>
                  </pic:spPr>
                </pic:pic>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jc w:val="left"/>
        <w:rPr>
          <w:rFonts w:ascii="仿宋_GB2312" w:eastAsia="仿宋_GB2312"/>
          <w:color w:val="000000"/>
          <w:sz w:val="32"/>
          <w:szCs w:val="32"/>
        </w:rPr>
      </w:pPr>
    </w:p>
    <w:p>
      <w:pPr>
        <w:pStyle w:val="27"/>
        <w:numPr>
          <w:ilvl w:val="0"/>
          <w:numId w:val="1"/>
        </w:numPr>
        <w:spacing w:line="600" w:lineRule="exact"/>
        <w:ind w:firstLineChars="0"/>
        <w:outlineLvl w:val="1"/>
        <w:rPr>
          <w:rStyle w:val="29"/>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9"/>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8年本年收入合计309.47万元，其中：一般公共预算财政拨款收入282.98万元，占91.44</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；其他收入26.49万元，占8.56</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（图2：收入决算结构图）（饼状图）</w:t>
      </w:r>
    </w:p>
    <w:p>
      <w:pPr>
        <w:spacing w:line="600" w:lineRule="exact"/>
        <w:ind w:firstLine="420" w:firstLineChars="200"/>
        <w:rPr>
          <w:rFonts w:ascii="仿宋" w:hAnsi="仿宋" w:eastAsia="仿宋"/>
          <w:color w:val="000000" w:themeColor="text1"/>
          <w:sz w:val="32"/>
          <w:szCs w:val="32"/>
        </w:rPr>
      </w:pPr>
      <w:r>
        <w:drawing>
          <wp:anchor distT="0" distB="0" distL="114300" distR="114300" simplePos="0" relativeHeight="251659264" behindDoc="0" locked="0" layoutInCell="1" allowOverlap="1">
            <wp:simplePos x="0" y="0"/>
            <wp:positionH relativeFrom="column">
              <wp:posOffset>133350</wp:posOffset>
            </wp:positionH>
            <wp:positionV relativeFrom="paragraph">
              <wp:posOffset>66675</wp:posOffset>
            </wp:positionV>
            <wp:extent cx="4138930" cy="2492375"/>
            <wp:effectExtent l="0" t="0" r="13970" b="3175"/>
            <wp:wrapSquare wrapText="bothSides"/>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7"/>
                    <a:stretch>
                      <a:fillRect/>
                    </a:stretch>
                  </pic:blipFill>
                  <pic:spPr>
                    <a:xfrm>
                      <a:off x="0" y="0"/>
                      <a:ext cx="4138930" cy="2492375"/>
                    </a:xfrm>
                    <a:prstGeom prst="rect">
                      <a:avLst/>
                    </a:prstGeom>
                    <a:noFill/>
                    <a:ln>
                      <a:noFill/>
                    </a:ln>
                  </pic:spPr>
                </pic:pic>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rPr>
          <w:rFonts w:ascii="仿宋_GB2312" w:eastAsia="仿宋_GB2312"/>
          <w:color w:val="FF0000"/>
          <w:sz w:val="32"/>
          <w:szCs w:val="32"/>
        </w:rPr>
      </w:pPr>
    </w:p>
    <w:p>
      <w:pPr>
        <w:pStyle w:val="27"/>
        <w:numPr>
          <w:ilvl w:val="0"/>
          <w:numId w:val="1"/>
        </w:numPr>
        <w:spacing w:line="600" w:lineRule="exact"/>
        <w:ind w:firstLineChars="0"/>
        <w:outlineLvl w:val="1"/>
        <w:rPr>
          <w:rStyle w:val="29"/>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9"/>
          <w:rFonts w:hint="eastAsia" w:ascii="黑体" w:hAnsi="黑体" w:eastAsia="黑体"/>
          <w:b w:val="0"/>
        </w:rPr>
        <w:t>出决算情况说明</w:t>
      </w:r>
      <w:bookmarkEnd w:id="28"/>
      <w:bookmarkEnd w:id="2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8年本年支出合计308.17万元，其中：基本支出277.96万元，占90.2</w:t>
      </w:r>
      <w:r>
        <w:rPr>
          <w:rFonts w:ascii="仿宋" w:hAnsi="仿宋" w:eastAsia="仿宋"/>
          <w:color w:val="000000"/>
          <w:sz w:val="32"/>
          <w:szCs w:val="32"/>
        </w:rPr>
        <w:t>%</w:t>
      </w:r>
      <w:r>
        <w:rPr>
          <w:rFonts w:hint="eastAsia" w:ascii="仿宋" w:hAnsi="仿宋" w:eastAsia="仿宋"/>
          <w:color w:val="000000"/>
          <w:sz w:val="32"/>
          <w:szCs w:val="32"/>
        </w:rPr>
        <w:t>；项目支出30.21万元，占9.8</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60288" behindDoc="0" locked="0" layoutInCell="1" allowOverlap="1">
            <wp:simplePos x="0" y="0"/>
            <wp:positionH relativeFrom="column">
              <wp:posOffset>85725</wp:posOffset>
            </wp:positionH>
            <wp:positionV relativeFrom="paragraph">
              <wp:posOffset>76200</wp:posOffset>
            </wp:positionV>
            <wp:extent cx="4225290" cy="2543810"/>
            <wp:effectExtent l="0" t="0" r="3810" b="8890"/>
            <wp:wrapSquare wrapText="bothSides"/>
            <wp:docPr id="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pic:cNvPicPr>
                      <a:picLocks noChangeAspect="1"/>
                    </pic:cNvPicPr>
                  </pic:nvPicPr>
                  <pic:blipFill>
                    <a:blip r:embed="rId8"/>
                    <a:stretch>
                      <a:fillRect/>
                    </a:stretch>
                  </pic:blipFill>
                  <pic:spPr>
                    <a:xfrm>
                      <a:off x="0" y="0"/>
                      <a:ext cx="4225290" cy="2543810"/>
                    </a:xfrm>
                    <a:prstGeom prst="rect">
                      <a:avLst/>
                    </a:prstGeom>
                    <a:noFill/>
                    <a:ln>
                      <a:noFill/>
                    </a:ln>
                  </pic:spPr>
                </pic:pic>
              </a:graphicData>
            </a:graphic>
          </wp:anchor>
        </w:drawing>
      </w:r>
    </w:p>
    <w:p>
      <w:pPr>
        <w:spacing w:line="600" w:lineRule="exact"/>
        <w:ind w:firstLine="640" w:firstLineChars="200"/>
        <w:outlineLvl w:val="1"/>
        <w:rPr>
          <w:rFonts w:ascii="黑体" w:hAnsi="黑体" w:eastAsia="黑体"/>
          <w:color w:val="000000"/>
          <w:sz w:val="32"/>
          <w:szCs w:val="32"/>
        </w:rPr>
      </w:pPr>
      <w:bookmarkStart w:id="30" w:name="_Toc15377208"/>
      <w:bookmarkStart w:id="31" w:name="_Toc15396606"/>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Style w:val="29"/>
          <w:rFonts w:ascii="黑体" w:hAnsi="黑体" w:eastAsia="黑体"/>
          <w:b w:val="0"/>
        </w:rPr>
      </w:pPr>
      <w:r>
        <w:rPr>
          <w:rFonts w:hint="eastAsia" w:ascii="黑体" w:hAnsi="黑体" w:eastAsia="黑体"/>
          <w:color w:val="000000"/>
          <w:sz w:val="32"/>
          <w:szCs w:val="32"/>
        </w:rPr>
        <w:t>四、财</w:t>
      </w:r>
      <w:r>
        <w:rPr>
          <w:rStyle w:val="29"/>
          <w:rFonts w:hint="eastAsia" w:ascii="黑体" w:hAnsi="黑体" w:eastAsia="黑体"/>
          <w:b w:val="0"/>
        </w:rPr>
        <w:t>政拨款收入支出决算总体情况说明</w:t>
      </w:r>
      <w:bookmarkEnd w:id="30"/>
      <w:bookmarkEnd w:id="31"/>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8年财政拨款收入282.98万元，与</w:t>
      </w:r>
      <w:r>
        <w:rPr>
          <w:rFonts w:ascii="仿宋" w:hAnsi="仿宋" w:eastAsia="仿宋"/>
          <w:color w:val="000000"/>
          <w:sz w:val="32"/>
          <w:szCs w:val="32"/>
        </w:rPr>
        <w:t>201</w:t>
      </w:r>
      <w:r>
        <w:rPr>
          <w:rFonts w:hint="eastAsia" w:ascii="仿宋" w:hAnsi="仿宋" w:eastAsia="仿宋"/>
          <w:color w:val="000000"/>
          <w:sz w:val="32"/>
          <w:szCs w:val="32"/>
        </w:rPr>
        <w:t>7年相比财政拨款收入总计增加38.87万元，增长15.92</w:t>
      </w:r>
      <w:r>
        <w:rPr>
          <w:rFonts w:ascii="仿宋" w:hAnsi="仿宋" w:eastAsia="仿宋"/>
          <w:color w:val="000000"/>
          <w:sz w:val="32"/>
          <w:szCs w:val="32"/>
        </w:rPr>
        <w:t>%</w:t>
      </w:r>
      <w:r>
        <w:rPr>
          <w:rFonts w:hint="eastAsia" w:ascii="仿宋" w:hAnsi="仿宋" w:eastAsia="仿宋"/>
          <w:color w:val="000000"/>
          <w:sz w:val="32"/>
          <w:szCs w:val="32"/>
        </w:rPr>
        <w:t>；财政拨款支出289.97万元，与</w:t>
      </w:r>
      <w:r>
        <w:rPr>
          <w:rFonts w:ascii="仿宋" w:hAnsi="仿宋" w:eastAsia="仿宋"/>
          <w:color w:val="000000"/>
          <w:sz w:val="32"/>
          <w:szCs w:val="32"/>
        </w:rPr>
        <w:t>201</w:t>
      </w:r>
      <w:r>
        <w:rPr>
          <w:rFonts w:hint="eastAsia" w:ascii="仿宋" w:hAnsi="仿宋" w:eastAsia="仿宋"/>
          <w:color w:val="000000"/>
          <w:sz w:val="32"/>
          <w:szCs w:val="32"/>
        </w:rPr>
        <w:t>7年相比财政拨款支出总计增加45.61万元，增长18.67</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 w:hAnsi="仿宋" w:eastAsia="仿宋"/>
          <w:b/>
          <w:bCs/>
          <w:color w:val="000000"/>
          <w:sz w:val="32"/>
          <w:szCs w:val="32"/>
        </w:rPr>
        <w:t>一是</w:t>
      </w:r>
      <w:r>
        <w:rPr>
          <w:rFonts w:hint="eastAsia" w:ascii="仿宋" w:hAnsi="仿宋" w:eastAsia="仿宋"/>
          <w:color w:val="000000"/>
          <w:sz w:val="32"/>
          <w:szCs w:val="32"/>
        </w:rPr>
        <w:t>人员增加，</w:t>
      </w:r>
      <w:r>
        <w:rPr>
          <w:rFonts w:hint="eastAsia" w:ascii="仿宋" w:hAnsi="仿宋" w:eastAsia="仿宋"/>
          <w:b/>
          <w:bCs/>
          <w:color w:val="000000"/>
          <w:sz w:val="32"/>
          <w:szCs w:val="32"/>
        </w:rPr>
        <w:t>二是</w:t>
      </w:r>
      <w:r>
        <w:rPr>
          <w:rFonts w:hint="eastAsia" w:ascii="仿宋" w:hAnsi="仿宋" w:eastAsia="仿宋"/>
          <w:color w:val="000000"/>
          <w:sz w:val="32"/>
          <w:szCs w:val="32"/>
        </w:rPr>
        <w:t>上调了城乡一体化补助标准，</w:t>
      </w:r>
      <w:r>
        <w:rPr>
          <w:rFonts w:hint="eastAsia" w:ascii="仿宋" w:hAnsi="仿宋" w:eastAsia="仿宋"/>
          <w:b/>
          <w:bCs/>
          <w:color w:val="000000"/>
          <w:sz w:val="32"/>
          <w:szCs w:val="32"/>
        </w:rPr>
        <w:t>三是</w:t>
      </w:r>
      <w:r>
        <w:rPr>
          <w:rFonts w:hint="eastAsia" w:ascii="仿宋" w:hAnsi="仿宋" w:eastAsia="仿宋"/>
          <w:color w:val="000000"/>
          <w:sz w:val="32"/>
          <w:szCs w:val="32"/>
        </w:rPr>
        <w:t>增加了经济普查经费。</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（图4：财政拨款收、支决算总计变动情况）（柱状图）</w:t>
      </w:r>
    </w:p>
    <w:p>
      <w:pPr>
        <w:spacing w:line="600" w:lineRule="exact"/>
        <w:ind w:firstLine="640"/>
        <w:rPr>
          <w:rFonts w:ascii="仿宋" w:hAnsi="仿宋" w:eastAsia="仿宋"/>
          <w:b/>
          <w:color w:val="000000" w:themeColor="text1"/>
          <w:sz w:val="32"/>
          <w:szCs w:val="32"/>
        </w:rPr>
      </w:pPr>
      <w:r>
        <w:rPr>
          <w:rFonts w:hint="eastAsia" w:ascii="仿宋" w:hAnsi="仿宋" w:eastAsia="仿宋"/>
          <w:b/>
          <w:color w:val="000000" w:themeColor="text1"/>
          <w:sz w:val="32"/>
          <w:szCs w:val="32"/>
        </w:rPr>
        <w:t>（除国有资本经营预算外，数据来源于财决</w:t>
      </w:r>
      <w:r>
        <w:rPr>
          <w:rFonts w:ascii="仿宋" w:hAnsi="仿宋" w:eastAsia="仿宋"/>
          <w:b/>
          <w:color w:val="000000" w:themeColor="text1"/>
          <w:sz w:val="32"/>
          <w:szCs w:val="32"/>
        </w:rPr>
        <w:t>Z01-1</w:t>
      </w:r>
      <w:r>
        <w:rPr>
          <w:rFonts w:hint="eastAsia" w:ascii="仿宋" w:hAnsi="仿宋" w:eastAsia="仿宋"/>
          <w:b/>
          <w:color w:val="000000" w:themeColor="text1"/>
          <w:sz w:val="32"/>
          <w:szCs w:val="32"/>
        </w:rPr>
        <w:t>表，口径为“总计”数+国有资本经营预算。）</w:t>
      </w:r>
    </w:p>
    <w:p>
      <w:pPr>
        <w:spacing w:line="600" w:lineRule="exact"/>
        <w:ind w:firstLine="640"/>
        <w:rPr>
          <w:rFonts w:ascii="仿宋" w:hAnsi="仿宋" w:eastAsia="仿宋"/>
          <w:b/>
          <w:color w:val="000000" w:themeColor="text1"/>
          <w:sz w:val="32"/>
          <w:szCs w:val="32"/>
        </w:rPr>
      </w:pPr>
      <w:r>
        <w:drawing>
          <wp:anchor distT="0" distB="0" distL="114300" distR="114300" simplePos="0" relativeHeight="251658240" behindDoc="0" locked="0" layoutInCell="1" allowOverlap="1">
            <wp:simplePos x="0" y="0"/>
            <wp:positionH relativeFrom="column">
              <wp:posOffset>273050</wp:posOffset>
            </wp:positionH>
            <wp:positionV relativeFrom="paragraph">
              <wp:posOffset>85725</wp:posOffset>
            </wp:positionV>
            <wp:extent cx="4072255" cy="2452370"/>
            <wp:effectExtent l="0" t="0" r="4445" b="5080"/>
            <wp:wrapSquare wrapText="bothSides"/>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9"/>
                    <a:stretch>
                      <a:fillRect/>
                    </a:stretch>
                  </pic:blipFill>
                  <pic:spPr>
                    <a:xfrm>
                      <a:off x="0" y="0"/>
                      <a:ext cx="4072255" cy="2452370"/>
                    </a:xfrm>
                    <a:prstGeom prst="rect">
                      <a:avLst/>
                    </a:prstGeom>
                    <a:noFill/>
                    <a:ln>
                      <a:noFill/>
                    </a:ln>
                  </pic:spPr>
                </pic:pic>
              </a:graphicData>
            </a:graphic>
          </wp:anchor>
        </w:drawing>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Fonts w:ascii="黑体" w:hAnsi="黑体" w:eastAsia="黑体"/>
          <w:color w:val="000000"/>
          <w:sz w:val="32"/>
          <w:szCs w:val="32"/>
        </w:rPr>
      </w:pPr>
      <w:bookmarkStart w:id="32" w:name="_Toc15396607"/>
      <w:bookmarkStart w:id="33" w:name="_Toc15377209"/>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outlineLvl w:val="1"/>
        <w:rPr>
          <w:rFonts w:ascii="黑体" w:hAnsi="黑体" w:eastAsia="黑体"/>
          <w:color w:val="000000"/>
          <w:sz w:val="32"/>
          <w:szCs w:val="32"/>
        </w:rPr>
      </w:pPr>
    </w:p>
    <w:p>
      <w:pPr>
        <w:spacing w:line="600" w:lineRule="exact"/>
        <w:ind w:firstLine="640" w:firstLineChars="200"/>
        <w:outlineLvl w:val="1"/>
        <w:rPr>
          <w:rStyle w:val="29"/>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8年一般公共预算财政拨款支出289.98万元，占本年支出合计的94</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7年相比，一般公共预算财政拨款增加45.61万元，增长18.67</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 w:hAnsi="仿宋" w:eastAsia="仿宋"/>
          <w:b/>
          <w:bCs/>
          <w:color w:val="000000"/>
          <w:sz w:val="32"/>
          <w:szCs w:val="32"/>
        </w:rPr>
        <w:t>一是</w:t>
      </w:r>
      <w:r>
        <w:rPr>
          <w:rFonts w:hint="eastAsia" w:ascii="仿宋" w:hAnsi="仿宋" w:eastAsia="仿宋"/>
          <w:color w:val="000000"/>
          <w:sz w:val="32"/>
          <w:szCs w:val="32"/>
        </w:rPr>
        <w:t>人员增加，</w:t>
      </w:r>
      <w:r>
        <w:rPr>
          <w:rFonts w:hint="eastAsia" w:ascii="仿宋" w:hAnsi="仿宋" w:eastAsia="仿宋"/>
          <w:b/>
          <w:bCs/>
          <w:color w:val="000000"/>
          <w:sz w:val="32"/>
          <w:szCs w:val="32"/>
        </w:rPr>
        <w:t>二是</w:t>
      </w:r>
      <w:r>
        <w:rPr>
          <w:rFonts w:hint="eastAsia" w:ascii="仿宋" w:hAnsi="仿宋" w:eastAsia="仿宋"/>
          <w:color w:val="000000"/>
          <w:sz w:val="32"/>
          <w:szCs w:val="32"/>
        </w:rPr>
        <w:t>上调了城乡一体化补助标准，</w:t>
      </w:r>
      <w:r>
        <w:rPr>
          <w:rFonts w:hint="eastAsia" w:ascii="仿宋" w:hAnsi="仿宋" w:eastAsia="仿宋"/>
          <w:b/>
          <w:bCs/>
          <w:color w:val="000000"/>
          <w:sz w:val="32"/>
          <w:szCs w:val="32"/>
        </w:rPr>
        <w:t>三是</w:t>
      </w:r>
      <w:r>
        <w:rPr>
          <w:rFonts w:hint="eastAsia" w:ascii="仿宋" w:hAnsi="仿宋" w:eastAsia="仿宋"/>
          <w:color w:val="000000"/>
          <w:sz w:val="32"/>
          <w:szCs w:val="32"/>
        </w:rPr>
        <w:t>增加了经济普查经费。</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pPr>
        <w:spacing w:line="600" w:lineRule="exact"/>
        <w:ind w:firstLine="420" w:firstLineChars="200"/>
        <w:rPr>
          <w:rFonts w:ascii="仿宋" w:hAnsi="仿宋" w:eastAsia="仿宋"/>
          <w:color w:val="000000" w:themeColor="text1"/>
          <w:sz w:val="32"/>
          <w:szCs w:val="32"/>
        </w:rPr>
      </w:pPr>
      <w:r>
        <w:drawing>
          <wp:anchor distT="0" distB="0" distL="114300" distR="114300" simplePos="0" relativeHeight="251662336" behindDoc="0" locked="0" layoutInCell="1" allowOverlap="1">
            <wp:simplePos x="0" y="0"/>
            <wp:positionH relativeFrom="column">
              <wp:posOffset>381000</wp:posOffset>
            </wp:positionH>
            <wp:positionV relativeFrom="paragraph">
              <wp:posOffset>57150</wp:posOffset>
            </wp:positionV>
            <wp:extent cx="4034790" cy="2429510"/>
            <wp:effectExtent l="0" t="0" r="3810" b="8890"/>
            <wp:wrapSquare wrapText="bothSides"/>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10"/>
                    <a:stretch>
                      <a:fillRect/>
                    </a:stretch>
                  </pic:blipFill>
                  <pic:spPr>
                    <a:xfrm>
                      <a:off x="0" y="0"/>
                      <a:ext cx="4034790" cy="2429510"/>
                    </a:xfrm>
                    <a:prstGeom prst="rect">
                      <a:avLst/>
                    </a:prstGeom>
                    <a:noFill/>
                    <a:ln>
                      <a:noFill/>
                    </a:ln>
                  </pic:spPr>
                </pic:pic>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outlineLvl w:val="2"/>
        <w:rPr>
          <w:rFonts w:ascii="仿宋" w:hAnsi="仿宋" w:eastAsia="仿宋"/>
          <w:b/>
          <w:color w:val="000000"/>
          <w:sz w:val="32"/>
          <w:szCs w:val="32"/>
        </w:rPr>
      </w:pPr>
      <w:bookmarkStart w:id="35" w:name="_Toc15377211"/>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b/>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rPr>
        <w:t>政拨款支出289.98万元，主要用于以下方面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支出228.05万元，占78.65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支出34.89万元，占12.03</w:t>
      </w:r>
      <w:r>
        <w:rPr>
          <w:rFonts w:ascii="仿宋" w:hAnsi="仿宋" w:eastAsia="仿宋"/>
          <w:color w:val="000000" w:themeColor="text1"/>
          <w:sz w:val="32"/>
          <w:szCs w:val="32"/>
        </w:rPr>
        <w:t>%</w:t>
      </w:r>
      <w:r>
        <w:rPr>
          <w:rFonts w:hint="eastAsia" w:ascii="仿宋" w:hAnsi="仿宋" w:eastAsia="仿宋"/>
          <w:color w:val="000000" w:themeColor="text1"/>
          <w:sz w:val="32"/>
          <w:szCs w:val="32"/>
        </w:rPr>
        <w:t>；医疗卫生支出10.27万元，占3.54</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；住房保障支出16.77万元，占5.78</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1312" behindDoc="0" locked="0" layoutInCell="1" allowOverlap="1">
            <wp:simplePos x="0" y="0"/>
            <wp:positionH relativeFrom="column">
              <wp:posOffset>200025</wp:posOffset>
            </wp:positionH>
            <wp:positionV relativeFrom="paragraph">
              <wp:posOffset>85725</wp:posOffset>
            </wp:positionV>
            <wp:extent cx="4167505" cy="2509520"/>
            <wp:effectExtent l="0" t="0" r="4445" b="5080"/>
            <wp:wrapSquare wrapText="bothSides"/>
            <wp:docPr id="1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pic:cNvPicPr>
                      <a:picLocks noChangeAspect="1"/>
                    </pic:cNvPicPr>
                  </pic:nvPicPr>
                  <pic:blipFill>
                    <a:blip r:embed="rId11"/>
                    <a:stretch>
                      <a:fillRect/>
                    </a:stretch>
                  </pic:blipFill>
                  <pic:spPr>
                    <a:xfrm>
                      <a:off x="0" y="0"/>
                      <a:ext cx="4167505" cy="2509520"/>
                    </a:xfrm>
                    <a:prstGeom prst="rect">
                      <a:avLst/>
                    </a:prstGeom>
                    <a:noFill/>
                    <a:ln>
                      <a:noFill/>
                    </a:ln>
                  </pic:spPr>
                </pic:pic>
              </a:graphicData>
            </a:graphic>
          </wp:anchor>
        </w:drawing>
      </w:r>
    </w:p>
    <w:p>
      <w:pPr>
        <w:spacing w:line="600" w:lineRule="exact"/>
        <w:ind w:firstLine="643" w:firstLineChars="200"/>
        <w:outlineLvl w:val="2"/>
        <w:rPr>
          <w:rFonts w:ascii="仿宋" w:hAnsi="仿宋" w:eastAsia="仿宋"/>
          <w:b/>
          <w:color w:val="000000"/>
          <w:sz w:val="32"/>
          <w:szCs w:val="32"/>
        </w:rPr>
      </w:pPr>
      <w:bookmarkStart w:id="36" w:name="_Toc15377212"/>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FF"/>
          <w:sz w:val="32"/>
          <w:szCs w:val="32"/>
        </w:rPr>
      </w:pPr>
    </w:p>
    <w:p>
      <w:pPr>
        <w:numPr>
          <w:ilvl w:val="0"/>
          <w:numId w:val="2"/>
        </w:numPr>
        <w:spacing w:line="600" w:lineRule="exact"/>
        <w:ind w:firstLine="643" w:firstLineChars="200"/>
        <w:outlineLvl w:val="2"/>
        <w:rPr>
          <w:rFonts w:ascii="仿宋" w:hAnsi="仿宋" w:eastAsia="仿宋"/>
          <w:b/>
          <w:sz w:val="32"/>
          <w:szCs w:val="32"/>
        </w:rPr>
      </w:pPr>
      <w:r>
        <w:rPr>
          <w:rFonts w:hint="eastAsia" w:ascii="仿宋" w:hAnsi="仿宋" w:eastAsia="仿宋"/>
          <w:b/>
          <w:sz w:val="32"/>
          <w:szCs w:val="32"/>
        </w:rPr>
        <w:t>一般公共预算财政拨款支出决算具体情况</w:t>
      </w:r>
      <w:bookmarkEnd w:id="36"/>
    </w:p>
    <w:p>
      <w:pPr>
        <w:spacing w:line="600" w:lineRule="exact"/>
        <w:ind w:firstLine="643" w:firstLineChars="200"/>
        <w:outlineLvl w:val="2"/>
        <w:rPr>
          <w:rFonts w:ascii="仿宋" w:hAnsi="仿宋" w:eastAsia="仿宋"/>
          <w:sz w:val="32"/>
          <w:szCs w:val="32"/>
        </w:rPr>
      </w:pPr>
      <w:bookmarkStart w:id="37" w:name="_Toc15378460"/>
      <w:bookmarkStart w:id="38" w:name="_Toc15377444"/>
      <w:bookmarkStart w:id="39" w:name="_Toc15377213"/>
      <w:r>
        <w:rPr>
          <w:rFonts w:hint="eastAsia" w:ascii="仿宋" w:hAnsi="仿宋" w:eastAsia="仿宋"/>
          <w:b/>
          <w:sz w:val="32"/>
          <w:szCs w:val="32"/>
        </w:rPr>
        <w:t>2018年一般公共预算支出决算数为289.98万元</w:t>
      </w:r>
      <w:r>
        <w:rPr>
          <w:rFonts w:hint="eastAsia" w:ascii="仿宋" w:hAnsi="仿宋" w:eastAsia="仿宋"/>
          <w:sz w:val="32"/>
          <w:szCs w:val="32"/>
        </w:rPr>
        <w:t>，</w:t>
      </w:r>
      <w:r>
        <w:rPr>
          <w:rStyle w:val="16"/>
          <w:rFonts w:hint="eastAsia" w:ascii="仿宋" w:hAnsi="仿宋" w:eastAsia="仿宋"/>
          <w:bCs/>
          <w:sz w:val="32"/>
          <w:szCs w:val="32"/>
        </w:rPr>
        <w:t>完成预算100</w:t>
      </w:r>
      <w:r>
        <w:rPr>
          <w:rStyle w:val="16"/>
          <w:rFonts w:ascii="仿宋" w:hAnsi="仿宋" w:eastAsia="仿宋"/>
          <w:bCs/>
          <w:sz w:val="32"/>
          <w:szCs w:val="32"/>
        </w:rPr>
        <w:t>%</w:t>
      </w:r>
      <w:r>
        <w:rPr>
          <w:rStyle w:val="16"/>
          <w:rFonts w:hint="eastAsia" w:ascii="仿宋" w:hAnsi="仿宋" w:eastAsia="仿宋"/>
          <w:bCs/>
          <w:sz w:val="32"/>
          <w:szCs w:val="32"/>
        </w:rPr>
        <w:t>。其中：</w:t>
      </w:r>
      <w:bookmarkEnd w:id="37"/>
      <w:bookmarkEnd w:id="38"/>
      <w:bookmarkEnd w:id="39"/>
    </w:p>
    <w:p>
      <w:pPr>
        <w:numPr>
          <w:ilvl w:val="0"/>
          <w:numId w:val="3"/>
        </w:numPr>
        <w:spacing w:line="600" w:lineRule="exact"/>
        <w:ind w:firstLine="643" w:firstLineChars="200"/>
        <w:rPr>
          <w:rStyle w:val="16"/>
          <w:rFonts w:ascii="仿宋" w:hAnsi="仿宋" w:eastAsia="仿宋"/>
          <w:b w:val="0"/>
          <w:bCs/>
          <w:sz w:val="32"/>
          <w:szCs w:val="32"/>
        </w:rPr>
      </w:pPr>
      <w:r>
        <w:rPr>
          <w:rStyle w:val="16"/>
          <w:rFonts w:hint="eastAsia" w:ascii="仿宋" w:hAnsi="仿宋" w:eastAsia="仿宋"/>
          <w:bCs/>
          <w:sz w:val="32"/>
          <w:szCs w:val="32"/>
        </w:rPr>
        <w:t>一般公共服务统计信息事务行政运行（2010501）</w:t>
      </w:r>
      <w:r>
        <w:rPr>
          <w:rStyle w:val="16"/>
          <w:rFonts w:ascii="仿宋" w:hAnsi="仿宋" w:eastAsia="仿宋"/>
          <w:bCs/>
          <w:sz w:val="32"/>
          <w:szCs w:val="32"/>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支出决算为197.84万元，完成预算100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pPr>
        <w:numPr>
          <w:ilvl w:val="0"/>
          <w:numId w:val="3"/>
        </w:numPr>
        <w:spacing w:line="600" w:lineRule="exact"/>
        <w:ind w:firstLine="643" w:firstLineChars="200"/>
        <w:rPr>
          <w:rStyle w:val="16"/>
          <w:rFonts w:ascii="仿宋" w:hAnsi="仿宋" w:eastAsia="仿宋"/>
          <w:b w:val="0"/>
          <w:bCs/>
          <w:sz w:val="32"/>
          <w:szCs w:val="32"/>
        </w:rPr>
      </w:pPr>
      <w:r>
        <w:rPr>
          <w:rStyle w:val="16"/>
          <w:rFonts w:hint="eastAsia" w:ascii="仿宋" w:hAnsi="仿宋" w:eastAsia="仿宋"/>
          <w:bCs/>
          <w:sz w:val="32"/>
          <w:szCs w:val="32"/>
        </w:rPr>
        <w:t>一般公共服务统计信息事务专项普查活动（2010507）：</w:t>
      </w:r>
      <w:r>
        <w:rPr>
          <w:rStyle w:val="16"/>
          <w:rFonts w:hint="eastAsia" w:ascii="仿宋" w:hAnsi="仿宋" w:eastAsia="仿宋"/>
          <w:b w:val="0"/>
          <w:bCs/>
          <w:sz w:val="32"/>
          <w:szCs w:val="32"/>
        </w:rPr>
        <w:t>支出决算为30.21万元，完成预算100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pPr>
        <w:spacing w:line="600" w:lineRule="exact"/>
        <w:ind w:firstLine="643" w:firstLineChars="200"/>
        <w:rPr>
          <w:rStyle w:val="16"/>
          <w:rFonts w:ascii="仿宋" w:hAnsi="仿宋" w:eastAsia="仿宋"/>
          <w:b w:val="0"/>
          <w:bCs/>
          <w:sz w:val="32"/>
          <w:szCs w:val="32"/>
        </w:rPr>
      </w:pPr>
      <w:r>
        <w:rPr>
          <w:rStyle w:val="16"/>
          <w:rFonts w:hint="eastAsia" w:ascii="仿宋" w:hAnsi="仿宋" w:eastAsia="仿宋"/>
          <w:bCs/>
          <w:sz w:val="32"/>
          <w:szCs w:val="32"/>
        </w:rPr>
        <w:t>3</w:t>
      </w:r>
      <w:r>
        <w:rPr>
          <w:rStyle w:val="16"/>
          <w:rFonts w:ascii="仿宋" w:hAnsi="仿宋" w:eastAsia="仿宋"/>
          <w:bCs/>
          <w:sz w:val="32"/>
          <w:szCs w:val="32"/>
        </w:rPr>
        <w:t>.</w:t>
      </w:r>
      <w:r>
        <w:rPr>
          <w:rStyle w:val="16"/>
          <w:rFonts w:hint="eastAsia" w:ascii="仿宋" w:hAnsi="仿宋" w:eastAsia="仿宋"/>
          <w:bCs/>
          <w:sz w:val="32"/>
          <w:szCs w:val="32"/>
        </w:rPr>
        <w:t>社会保障和就业</w:t>
      </w:r>
      <w:r>
        <w:rPr>
          <w:rFonts w:hint="eastAsia" w:ascii="仿宋" w:hAnsi="仿宋" w:eastAsia="仿宋"/>
          <w:b/>
          <w:sz w:val="32"/>
          <w:szCs w:val="32"/>
        </w:rPr>
        <w:t>行政事业单位离退休机关事业单位基本养老保险缴费（2080505）：支出</w:t>
      </w:r>
      <w:r>
        <w:rPr>
          <w:rStyle w:val="16"/>
          <w:rFonts w:hint="eastAsia" w:ascii="仿宋" w:hAnsi="仿宋" w:eastAsia="仿宋"/>
          <w:b w:val="0"/>
          <w:bCs/>
          <w:sz w:val="32"/>
          <w:szCs w:val="32"/>
        </w:rPr>
        <w:t>决算为</w:t>
      </w:r>
      <w:r>
        <w:rPr>
          <w:rFonts w:hint="eastAsia" w:ascii="仿宋" w:hAnsi="仿宋" w:eastAsia="仿宋"/>
          <w:b/>
          <w:sz w:val="32"/>
          <w:szCs w:val="32"/>
        </w:rPr>
        <w:t>24.92万元，</w:t>
      </w:r>
      <w:r>
        <w:rPr>
          <w:rStyle w:val="16"/>
          <w:rFonts w:hint="eastAsia" w:ascii="仿宋" w:hAnsi="仿宋" w:eastAsia="仿宋"/>
          <w:b w:val="0"/>
          <w:bCs/>
          <w:sz w:val="32"/>
          <w:szCs w:val="32"/>
        </w:rPr>
        <w:t>完成预算100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pPr>
        <w:spacing w:line="600" w:lineRule="exact"/>
        <w:ind w:firstLine="640" w:firstLineChars="200"/>
        <w:rPr>
          <w:rFonts w:ascii="仿宋" w:hAnsi="仿宋" w:eastAsia="仿宋"/>
          <w:b/>
          <w:sz w:val="32"/>
          <w:szCs w:val="32"/>
        </w:rPr>
      </w:pPr>
      <w:r>
        <w:rPr>
          <w:rStyle w:val="16"/>
          <w:rFonts w:hint="eastAsia" w:ascii="仿宋" w:hAnsi="仿宋" w:eastAsia="仿宋"/>
          <w:b w:val="0"/>
          <w:bCs/>
          <w:sz w:val="32"/>
          <w:szCs w:val="32"/>
        </w:rPr>
        <w:t>4.</w:t>
      </w:r>
      <w:r>
        <w:rPr>
          <w:rStyle w:val="16"/>
          <w:rFonts w:hint="eastAsia" w:ascii="仿宋" w:hAnsi="仿宋" w:eastAsia="仿宋"/>
          <w:bCs/>
          <w:sz w:val="32"/>
          <w:szCs w:val="32"/>
        </w:rPr>
        <w:t>社会保障和就业</w:t>
      </w:r>
      <w:r>
        <w:rPr>
          <w:rFonts w:hint="eastAsia" w:ascii="仿宋" w:hAnsi="仿宋" w:eastAsia="仿宋"/>
          <w:b/>
          <w:sz w:val="32"/>
          <w:szCs w:val="32"/>
        </w:rPr>
        <w:t>行政事业单位离退休机关事业单位职业年金缴费（2080506）：</w:t>
      </w:r>
      <w:r>
        <w:rPr>
          <w:rStyle w:val="16"/>
          <w:rFonts w:hint="eastAsia" w:ascii="仿宋" w:hAnsi="仿宋" w:eastAsia="仿宋"/>
          <w:b w:val="0"/>
          <w:bCs/>
          <w:sz w:val="32"/>
          <w:szCs w:val="32"/>
        </w:rPr>
        <w:t>支出决算为9.97万元，完成预算100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pPr>
        <w:spacing w:line="600" w:lineRule="exact"/>
        <w:ind w:firstLine="643" w:firstLineChars="200"/>
        <w:rPr>
          <w:rFonts w:ascii="仿宋" w:hAnsi="仿宋" w:eastAsia="仿宋"/>
          <w:b/>
          <w:sz w:val="32"/>
          <w:szCs w:val="32"/>
        </w:rPr>
      </w:pPr>
      <w:r>
        <w:rPr>
          <w:rStyle w:val="16"/>
          <w:rFonts w:hint="eastAsia" w:ascii="仿宋" w:hAnsi="仿宋" w:eastAsia="仿宋"/>
          <w:bCs/>
          <w:sz w:val="32"/>
          <w:szCs w:val="32"/>
        </w:rPr>
        <w:t>5</w:t>
      </w:r>
      <w:r>
        <w:rPr>
          <w:rStyle w:val="16"/>
          <w:rFonts w:ascii="仿宋" w:hAnsi="仿宋" w:eastAsia="仿宋"/>
          <w:bCs/>
          <w:sz w:val="32"/>
          <w:szCs w:val="32"/>
        </w:rPr>
        <w:t>.</w:t>
      </w:r>
      <w:r>
        <w:rPr>
          <w:rStyle w:val="16"/>
          <w:rFonts w:hint="eastAsia" w:ascii="仿宋" w:hAnsi="仿宋" w:eastAsia="仿宋"/>
          <w:bCs/>
          <w:sz w:val="32"/>
          <w:szCs w:val="32"/>
        </w:rPr>
        <w:t>医疗卫生与计划生育行政单位医疗（2101101）：</w:t>
      </w:r>
      <w:r>
        <w:rPr>
          <w:rStyle w:val="16"/>
          <w:rFonts w:hint="eastAsia" w:ascii="仿宋" w:hAnsi="仿宋" w:eastAsia="仿宋"/>
          <w:b w:val="0"/>
          <w:bCs/>
          <w:sz w:val="32"/>
          <w:szCs w:val="32"/>
        </w:rPr>
        <w:t>支出决算为8.18万元，完成预算100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pPr>
        <w:spacing w:line="600" w:lineRule="exact"/>
        <w:ind w:firstLine="643" w:firstLineChars="200"/>
        <w:rPr>
          <w:rStyle w:val="16"/>
          <w:rFonts w:ascii="仿宋" w:hAnsi="仿宋" w:eastAsia="仿宋"/>
          <w:b w:val="0"/>
          <w:bCs/>
          <w:sz w:val="32"/>
          <w:szCs w:val="32"/>
        </w:rPr>
      </w:pPr>
      <w:r>
        <w:rPr>
          <w:rStyle w:val="16"/>
          <w:rFonts w:ascii="仿宋" w:hAnsi="仿宋" w:eastAsia="仿宋"/>
          <w:bCs/>
          <w:sz w:val="32"/>
          <w:szCs w:val="32"/>
        </w:rPr>
        <w:t>6.</w:t>
      </w:r>
      <w:r>
        <w:rPr>
          <w:rStyle w:val="16"/>
          <w:rFonts w:hint="eastAsia" w:ascii="仿宋" w:hAnsi="仿宋" w:eastAsia="仿宋"/>
          <w:bCs/>
          <w:sz w:val="32"/>
          <w:szCs w:val="32"/>
        </w:rPr>
        <w:t>医疗卫生与计划生育公务员医疗补助（2101103）：</w:t>
      </w:r>
      <w:r>
        <w:rPr>
          <w:rStyle w:val="16"/>
          <w:rFonts w:hint="eastAsia" w:ascii="仿宋" w:hAnsi="仿宋" w:eastAsia="仿宋"/>
          <w:b w:val="0"/>
          <w:bCs/>
          <w:sz w:val="32"/>
          <w:szCs w:val="32"/>
        </w:rPr>
        <w:t>支出决算为2.09万元，完成预算100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pPr>
        <w:spacing w:line="600" w:lineRule="exact"/>
        <w:ind w:firstLine="643" w:firstLineChars="200"/>
        <w:rPr>
          <w:rFonts w:ascii="仿宋" w:hAnsi="仿宋" w:eastAsia="仿宋"/>
          <w:b/>
          <w:sz w:val="32"/>
          <w:szCs w:val="32"/>
        </w:rPr>
      </w:pPr>
      <w:r>
        <w:rPr>
          <w:rStyle w:val="16"/>
          <w:rFonts w:hint="eastAsia" w:ascii="仿宋" w:hAnsi="仿宋" w:eastAsia="仿宋"/>
          <w:bCs/>
          <w:sz w:val="32"/>
          <w:szCs w:val="32"/>
        </w:rPr>
        <w:t>7</w:t>
      </w:r>
      <w:r>
        <w:rPr>
          <w:rStyle w:val="16"/>
          <w:rFonts w:ascii="仿宋" w:hAnsi="仿宋" w:eastAsia="仿宋"/>
          <w:bCs/>
          <w:sz w:val="32"/>
          <w:szCs w:val="32"/>
        </w:rPr>
        <w:t>.</w:t>
      </w:r>
      <w:r>
        <w:rPr>
          <w:rStyle w:val="16"/>
          <w:rFonts w:hint="eastAsia" w:ascii="仿宋" w:hAnsi="仿宋" w:eastAsia="仿宋"/>
          <w:bCs/>
          <w:sz w:val="32"/>
          <w:szCs w:val="32"/>
        </w:rPr>
        <w:t>住房保障住房公积金（2210201）：</w:t>
      </w:r>
      <w:r>
        <w:rPr>
          <w:rStyle w:val="16"/>
          <w:rFonts w:hint="eastAsia" w:ascii="仿宋" w:hAnsi="仿宋" w:eastAsia="仿宋"/>
          <w:b w:val="0"/>
          <w:bCs/>
          <w:sz w:val="32"/>
          <w:szCs w:val="32"/>
        </w:rPr>
        <w:t>支出决算为16.77万元，完成预算100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pPr>
        <w:tabs>
          <w:tab w:val="right" w:pos="8306"/>
        </w:tabs>
        <w:spacing w:line="600" w:lineRule="exact"/>
        <w:ind w:firstLine="640"/>
        <w:outlineLvl w:val="1"/>
        <w:rPr>
          <w:rStyle w:val="29"/>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40"/>
      <w:bookmarkEnd w:id="41"/>
      <w:r>
        <w:rPr>
          <w:rStyle w:val="29"/>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8年一般公共预算财政拨款基本支出289.98万元，其中：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241.64万元，主要包括：基本工资47.13万元、津贴补贴90.73万元、奖金38.42万元、机关事业单位基本养老保险缴费24.92万元、职业年金缴费9.97万元、职工基本医疗保险8.18万元、公务员医疗补助缴费2.09万元、其他社会保障缴费2.4万元、住房公积金16.77万元、医疗费1万元、对个人和家庭的补助0.03万元等。</w:t>
      </w:r>
      <w:r>
        <w:rPr>
          <w:rFonts w:ascii="仿宋" w:hAnsi="仿宋" w:eastAsia="仿宋"/>
          <w:color w:val="000000"/>
          <w:sz w:val="32"/>
          <w:szCs w:val="32"/>
        </w:rPr>
        <w:br w:type="textWrapping"/>
      </w:r>
      <w:r>
        <w:rPr>
          <w:rFonts w:hint="eastAsia" w:ascii="仿宋" w:hAnsi="仿宋" w:eastAsia="仿宋"/>
          <w:color w:val="000000"/>
          <w:sz w:val="32"/>
          <w:szCs w:val="32"/>
        </w:rPr>
        <w:t>　　</w:t>
      </w:r>
      <w:r>
        <w:rPr>
          <w:rFonts w:hint="eastAsia" w:ascii="仿宋" w:hAnsi="仿宋" w:eastAsia="仿宋"/>
          <w:sz w:val="32"/>
          <w:szCs w:val="32"/>
        </w:rPr>
        <w:t>公用经费18.13万元，</w:t>
      </w:r>
      <w:r>
        <w:rPr>
          <w:rFonts w:hint="eastAsia" w:ascii="仿宋" w:hAnsi="仿宋" w:eastAsia="仿宋"/>
          <w:color w:val="000000"/>
          <w:sz w:val="32"/>
          <w:szCs w:val="32"/>
        </w:rPr>
        <w:t>主要包括：办公费4.76万元、邮电费2.62万元、差旅费5.13万元、公务接待费0.24万元、公务用车运行维护费4.27万元、办公设备购置1.11万元。</w:t>
      </w:r>
    </w:p>
    <w:p>
      <w:pPr>
        <w:spacing w:line="600" w:lineRule="exact"/>
        <w:ind w:firstLine="640"/>
        <w:outlineLvl w:val="1"/>
        <w:rPr>
          <w:rStyle w:val="29"/>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8年“三公”经费财政拨款支出决算为5.10万元，完成预算100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；公务用车购置及运行维护费支出决算4.86万元，占95.29</w:t>
      </w:r>
      <w:r>
        <w:rPr>
          <w:rFonts w:ascii="仿宋" w:hAnsi="仿宋" w:eastAsia="仿宋"/>
          <w:color w:val="000000"/>
          <w:sz w:val="32"/>
          <w:szCs w:val="32"/>
        </w:rPr>
        <w:t>%</w:t>
      </w:r>
      <w:r>
        <w:rPr>
          <w:rFonts w:hint="eastAsia" w:ascii="仿宋" w:hAnsi="仿宋" w:eastAsia="仿宋"/>
          <w:color w:val="000000"/>
          <w:sz w:val="32"/>
          <w:szCs w:val="32"/>
        </w:rPr>
        <w:t>；公务接待费支出决算0.24万元，占4.71</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spacing w:line="600" w:lineRule="exact"/>
        <w:ind w:firstLine="640"/>
        <w:rPr>
          <w:rFonts w:ascii="仿宋" w:hAnsi="仿宋" w:eastAsia="仿宋"/>
          <w:color w:val="000000"/>
          <w:sz w:val="32"/>
          <w:szCs w:val="32"/>
        </w:rPr>
      </w:pPr>
      <w:r>
        <w:drawing>
          <wp:anchor distT="0" distB="0" distL="114300" distR="114300" simplePos="0" relativeHeight="251663360" behindDoc="0" locked="0" layoutInCell="1" allowOverlap="1">
            <wp:simplePos x="0" y="0"/>
            <wp:positionH relativeFrom="column">
              <wp:posOffset>282575</wp:posOffset>
            </wp:positionH>
            <wp:positionV relativeFrom="paragraph">
              <wp:posOffset>257175</wp:posOffset>
            </wp:positionV>
            <wp:extent cx="3916680" cy="2358390"/>
            <wp:effectExtent l="0" t="0" r="7620" b="3810"/>
            <wp:wrapSquare wrapText="bothSides"/>
            <wp:docPr id="1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2"/>
                    <pic:cNvPicPr>
                      <a:picLocks noChangeAspect="1"/>
                    </pic:cNvPicPr>
                  </pic:nvPicPr>
                  <pic:blipFill>
                    <a:blip r:embed="rId12"/>
                    <a:stretch>
                      <a:fillRect/>
                    </a:stretch>
                  </pic:blipFill>
                  <pic:spPr>
                    <a:xfrm>
                      <a:off x="0" y="0"/>
                      <a:ext cx="3916680" cy="2358390"/>
                    </a:xfrm>
                    <a:prstGeom prst="rect">
                      <a:avLst/>
                    </a:prstGeom>
                    <a:noFill/>
                    <a:ln>
                      <a:noFill/>
                    </a:ln>
                  </pic:spPr>
                </pic:pic>
              </a:graphicData>
            </a:graphic>
          </wp:anchor>
        </w:drawing>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_GB2312" w:eastAsia="仿宋_GB2312"/>
          <w:b/>
          <w:color w:val="000000"/>
          <w:sz w:val="32"/>
          <w:szCs w:val="32"/>
        </w:rPr>
      </w:pPr>
    </w:p>
    <w:p>
      <w:pPr>
        <w:spacing w:line="600" w:lineRule="exact"/>
        <w:rPr>
          <w:rFonts w:ascii="仿宋_GB2312" w:eastAsia="仿宋_GB2312"/>
          <w:b/>
          <w:color w:val="000000"/>
          <w:sz w:val="32"/>
          <w:szCs w:val="32"/>
        </w:rPr>
      </w:pP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全年安排因公出国（境）团组0次，出国（境）0人。因公出国（境）支出决算与</w:t>
      </w:r>
      <w:r>
        <w:rPr>
          <w:rFonts w:ascii="仿宋_GB2312" w:eastAsia="仿宋_GB2312"/>
          <w:color w:val="000000"/>
          <w:sz w:val="32"/>
          <w:szCs w:val="32"/>
        </w:rPr>
        <w:t>201</w:t>
      </w:r>
      <w:r>
        <w:rPr>
          <w:rFonts w:hint="eastAsia" w:ascii="仿宋_GB2312" w:eastAsia="仿宋_GB2312"/>
          <w:color w:val="000000"/>
          <w:sz w:val="32"/>
          <w:szCs w:val="32"/>
        </w:rPr>
        <w:t>7年持平。</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4.86万元,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7年增加0.36万元，增长8</w:t>
      </w:r>
      <w:r>
        <w:rPr>
          <w:rFonts w:ascii="仿宋_GB2312" w:eastAsia="仿宋_GB2312"/>
          <w:color w:val="000000"/>
          <w:sz w:val="32"/>
          <w:szCs w:val="32"/>
        </w:rPr>
        <w:t>%</w:t>
      </w:r>
      <w:r>
        <w:rPr>
          <w:rFonts w:hint="eastAsia" w:ascii="仿宋_GB2312" w:eastAsia="仿宋_GB2312"/>
          <w:color w:val="000000"/>
          <w:sz w:val="32"/>
          <w:szCs w:val="32"/>
        </w:rPr>
        <w:t>。主要原因：</w:t>
      </w:r>
      <w:r>
        <w:rPr>
          <w:rFonts w:hint="eastAsia" w:ascii="仿宋_GB2312" w:eastAsia="仿宋_GB2312"/>
          <w:b/>
          <w:bCs/>
          <w:color w:val="000000"/>
          <w:sz w:val="32"/>
          <w:szCs w:val="32"/>
        </w:rPr>
        <w:t>一是</w:t>
      </w:r>
      <w:r>
        <w:rPr>
          <w:rFonts w:hint="eastAsia" w:ascii="仿宋_GB2312" w:eastAsia="仿宋_GB2312"/>
          <w:color w:val="000000"/>
          <w:sz w:val="32"/>
          <w:szCs w:val="32"/>
        </w:rPr>
        <w:t>车辆行驶公里数已超30万公里，增加了维修费用；</w:t>
      </w:r>
      <w:r>
        <w:rPr>
          <w:rFonts w:hint="eastAsia" w:ascii="仿宋_GB2312" w:eastAsia="仿宋_GB2312"/>
          <w:b/>
          <w:bCs/>
          <w:color w:val="000000"/>
          <w:sz w:val="32"/>
          <w:szCs w:val="32"/>
        </w:rPr>
        <w:t>二是</w:t>
      </w:r>
      <w:r>
        <w:rPr>
          <w:rFonts w:hint="eastAsia" w:ascii="仿宋_GB2312" w:eastAsia="仿宋_GB2312"/>
          <w:color w:val="000000"/>
          <w:sz w:val="32"/>
          <w:szCs w:val="32"/>
        </w:rPr>
        <w:t>经济普查工作增加了车辆运行费。</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0万元。全年按规定更新购置公务用车0辆，其中：轿车0辆、金额0万元，越野车0辆、金额0万元，载客汽车0辆、金额0万元0。截至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月底，单位共有公务用车1辆，其中：轿车0辆、越野车1辆、载客汽车0辆。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4.86万元。主要用于统计工作日常事务及专项普查等工作所需的公务用车燃料费、维修费、过路过桥费、保险费等支出。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rPr>
        <w:t>0.24万元，</w:t>
      </w:r>
      <w:r>
        <w:rPr>
          <w:rStyle w:val="16"/>
          <w:rFonts w:hint="eastAsia" w:ascii="仿宋" w:hAnsi="仿宋" w:eastAsia="仿宋"/>
          <w:b w:val="0"/>
          <w:bCs/>
          <w:sz w:val="32"/>
          <w:szCs w:val="32"/>
        </w:rPr>
        <w:t>完成预算100</w:t>
      </w:r>
      <w:r>
        <w:rPr>
          <w:rStyle w:val="16"/>
          <w:rFonts w:ascii="仿宋" w:hAnsi="仿宋" w:eastAsia="仿宋"/>
          <w:b w:val="0"/>
          <w:bCs/>
          <w:sz w:val="32"/>
          <w:szCs w:val="32"/>
        </w:rPr>
        <w:t>%</w:t>
      </w:r>
      <w:r>
        <w:rPr>
          <w:rStyle w:val="16"/>
          <w:rFonts w:hint="eastAsia" w:ascii="仿宋" w:hAns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201</w:t>
      </w:r>
      <w:r>
        <w:rPr>
          <w:rFonts w:hint="eastAsia" w:ascii="仿宋_GB2312" w:eastAsia="仿宋_GB2312"/>
          <w:sz w:val="32"/>
          <w:szCs w:val="32"/>
        </w:rPr>
        <w:t>7年减少0.13万元，下降35.14</w:t>
      </w:r>
      <w:r>
        <w:rPr>
          <w:rFonts w:ascii="仿宋_GB2312" w:eastAsia="仿宋_GB2312"/>
          <w:sz w:val="32"/>
          <w:szCs w:val="32"/>
        </w:rPr>
        <w:t>%</w:t>
      </w:r>
      <w:r>
        <w:rPr>
          <w:rFonts w:hint="eastAsia" w:ascii="仿宋_GB2312" w:eastAsia="仿宋_GB2312"/>
          <w:sz w:val="32"/>
          <w:szCs w:val="32"/>
        </w:rPr>
        <w:t>。主要原因是厉行节约。</w:t>
      </w:r>
    </w:p>
    <w:p>
      <w:pPr>
        <w:spacing w:line="600" w:lineRule="exact"/>
        <w:ind w:firstLine="640" w:firstLineChars="200"/>
        <w:rPr>
          <w:rFonts w:ascii="仿宋_GB2312" w:eastAsia="仿宋_GB2312"/>
          <w:color w:val="C0504D" w:themeColor="accent2"/>
          <w:sz w:val="32"/>
          <w:szCs w:val="32"/>
        </w:rPr>
      </w:pPr>
      <w:r>
        <w:rPr>
          <w:rFonts w:hint="eastAsia" w:ascii="仿宋_GB2312" w:eastAsia="仿宋_GB2312"/>
          <w:color w:val="000000"/>
          <w:sz w:val="32"/>
          <w:szCs w:val="32"/>
        </w:rPr>
        <w:t>国内公务接待2批次，11人次（不包括陪同人员），共计支出0.24万元，具体内容包括：规模以下服务业调查</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0.13万元</w:t>
      </w:r>
      <w:r>
        <w:rPr>
          <w:rFonts w:hint="eastAsia" w:ascii="仿宋_GB2312" w:eastAsia="仿宋_GB2312"/>
          <w:color w:val="000000"/>
          <w:sz w:val="32"/>
          <w:szCs w:val="32"/>
        </w:rPr>
        <w:t>、四经普督查及经济形势调研工作用餐</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0.11万元</w:t>
      </w:r>
      <w:r>
        <w:rPr>
          <w:rFonts w:hint="eastAsia" w:ascii="仿宋_GB2312" w:eastAsia="仿宋_GB2312"/>
          <w:color w:val="000000"/>
          <w:sz w:val="32"/>
          <w:szCs w:val="32"/>
        </w:rPr>
        <w:t>。</w:t>
      </w:r>
      <w:bookmarkStart w:id="74" w:name="_GoBack"/>
      <w:bookmarkEnd w:id="74"/>
    </w:p>
    <w:p>
      <w:pPr>
        <w:spacing w:line="600" w:lineRule="exact"/>
        <w:ind w:firstLine="640"/>
        <w:outlineLvl w:val="1"/>
        <w:rPr>
          <w:rStyle w:val="29"/>
          <w:rFonts w:ascii="黑体" w:hAnsi="黑体" w:eastAsia="黑体"/>
        </w:rPr>
      </w:pPr>
      <w:bookmarkStart w:id="46" w:name="_Toc15396610"/>
      <w:bookmarkStart w:id="47" w:name="_Toc15377218"/>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8年政府性基金预算拨款支出0万元。</w:t>
      </w:r>
    </w:p>
    <w:p>
      <w:pPr>
        <w:numPr>
          <w:ilvl w:val="0"/>
          <w:numId w:val="4"/>
        </w:numPr>
        <w:spacing w:line="600" w:lineRule="exact"/>
        <w:ind w:firstLine="640"/>
        <w:outlineLvl w:val="1"/>
        <w:rPr>
          <w:rStyle w:val="29"/>
          <w:rFonts w:ascii="黑体" w:hAnsi="黑体" w:eastAsia="黑体"/>
          <w:b w:val="0"/>
        </w:rPr>
      </w:pPr>
      <w:bookmarkStart w:id="48" w:name="_Toc15396611"/>
      <w:bookmarkStart w:id="49" w:name="_Toc15377219"/>
      <w:r>
        <w:rPr>
          <w:rStyle w:val="29"/>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8年国有资本经营预算拨款支出0万元。</w:t>
      </w:r>
    </w:p>
    <w:p>
      <w:pPr>
        <w:pStyle w:val="27"/>
        <w:numPr>
          <w:ilvl w:val="0"/>
          <w:numId w:val="5"/>
        </w:numPr>
        <w:spacing w:line="580" w:lineRule="exact"/>
        <w:ind w:firstLineChars="0"/>
        <w:rPr>
          <w:rStyle w:val="29"/>
          <w:rFonts w:ascii="黑体" w:hAnsi="黑体" w:eastAsia="黑体"/>
          <w:b w:val="0"/>
        </w:rPr>
      </w:pPr>
      <w:r>
        <w:rPr>
          <w:rStyle w:val="29"/>
          <w:rFonts w:hint="eastAsia" w:ascii="黑体" w:hAnsi="黑体" w:eastAsia="黑体"/>
          <w:b w:val="0"/>
        </w:rPr>
        <w:t>预算绩效情况说明</w:t>
      </w:r>
    </w:p>
    <w:p>
      <w:pPr>
        <w:numPr>
          <w:ilvl w:val="0"/>
          <w:numId w:val="6"/>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红原县统计局本部门在年初预算编制阶段，组织对单位整体支出开展了预算事前绩效评估，编制了绩效目标，预算执行过程中，选取整体支出开展绩效监控，年终执行完毕后，对整体支出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本部门按要求对2018年部门整体支出开展绩效自评，从评价情况来看我单位整体情况较好，但还存在一定问题：</w:t>
      </w:r>
      <w:r>
        <w:rPr>
          <w:rFonts w:hint="eastAsia" w:ascii="仿宋_GB2312" w:hAnsi="宋体" w:eastAsia="仿宋_GB2312" w:cs="仿宋_GB2312"/>
          <w:b/>
          <w:bCs/>
          <w:kern w:val="0"/>
          <w:sz w:val="32"/>
          <w:szCs w:val="32"/>
        </w:rPr>
        <w:t>一是</w:t>
      </w:r>
      <w:r>
        <w:rPr>
          <w:rFonts w:hint="eastAsia" w:ascii="仿宋_GB2312" w:hAnsi="宋体" w:eastAsia="仿宋_GB2312" w:cs="仿宋_GB2312"/>
          <w:kern w:val="0"/>
          <w:sz w:val="32"/>
          <w:szCs w:val="32"/>
        </w:rPr>
        <w:t>内部控制度还未健全完整，</w:t>
      </w:r>
      <w:r>
        <w:rPr>
          <w:rFonts w:hint="eastAsia" w:ascii="仿宋_GB2312" w:hAnsi="宋体" w:eastAsia="仿宋_GB2312" w:cs="仿宋_GB2312"/>
          <w:b/>
          <w:bCs/>
          <w:kern w:val="0"/>
          <w:sz w:val="32"/>
          <w:szCs w:val="32"/>
        </w:rPr>
        <w:t>二是</w:t>
      </w:r>
      <w:r>
        <w:rPr>
          <w:rFonts w:hint="eastAsia" w:ascii="仿宋_GB2312" w:hAnsi="宋体" w:eastAsia="仿宋_GB2312" w:cs="仿宋_GB2312"/>
          <w:kern w:val="0"/>
          <w:sz w:val="32"/>
          <w:szCs w:val="32"/>
        </w:rPr>
        <w:t>创新不够,</w:t>
      </w:r>
      <w:r>
        <w:rPr>
          <w:rFonts w:hint="eastAsia" w:ascii="仿宋_GB2312" w:hAnsi="宋体" w:eastAsia="仿宋_GB2312" w:cs="仿宋_GB2312"/>
          <w:b/>
          <w:bCs/>
          <w:kern w:val="0"/>
          <w:sz w:val="32"/>
          <w:szCs w:val="32"/>
        </w:rPr>
        <w:t>三是</w:t>
      </w:r>
      <w:r>
        <w:rPr>
          <w:rFonts w:hint="eastAsia" w:ascii="仿宋_GB2312" w:hAnsi="宋体" w:eastAsia="仿宋_GB2312" w:cs="仿宋_GB2312"/>
          <w:kern w:val="0"/>
          <w:sz w:val="32"/>
          <w:szCs w:val="32"/>
        </w:rPr>
        <w:t>执行中期评估及绩效目标动态监控不够。</w:t>
      </w:r>
    </w:p>
    <w:p>
      <w:pPr>
        <w:numPr>
          <w:ilvl w:val="0"/>
          <w:numId w:val="6"/>
        </w:numPr>
        <w:spacing w:line="580" w:lineRule="exact"/>
        <w:ind w:firstLine="643" w:firstLineChars="200"/>
        <w:rPr>
          <w:rFonts w:ascii="仿宋" w:hAnsi="仿宋" w:eastAsia="仿宋" w:cs="仿宋"/>
          <w:sz w:val="32"/>
          <w:szCs w:val="32"/>
        </w:rPr>
      </w:pPr>
      <w:r>
        <w:rPr>
          <w:rFonts w:hint="eastAsia" w:ascii="仿宋" w:hAnsi="仿宋" w:eastAsia="仿宋" w:cs="仿宋"/>
          <w:b/>
          <w:bCs/>
          <w:sz w:val="32"/>
          <w:szCs w:val="32"/>
        </w:rPr>
        <w:t>项目绩效目标完成情况。</w:t>
      </w:r>
      <w:r>
        <w:rPr>
          <w:rFonts w:hint="eastAsia" w:ascii="仿宋" w:hAnsi="仿宋" w:eastAsia="仿宋" w:cs="仿宋"/>
          <w:b/>
          <w:bCs/>
          <w:sz w:val="32"/>
          <w:szCs w:val="32"/>
        </w:rPr>
        <w:br w:type="textWrapping"/>
      </w:r>
      <w:r>
        <w:rPr>
          <w:rFonts w:hint="eastAsia" w:ascii="仿宋" w:hAnsi="仿宋" w:eastAsia="仿宋" w:cs="仿宋"/>
          <w:sz w:val="32"/>
          <w:szCs w:val="32"/>
        </w:rPr>
        <w:t xml:space="preserve">    本部门在2018年度部门决算中反映“专项普查活动”1个项目绩效目标实际完成情况。</w:t>
      </w:r>
    </w:p>
    <w:p>
      <w:pPr>
        <w:spacing w:line="580" w:lineRule="exact"/>
        <w:ind w:firstLine="640" w:firstLineChars="200"/>
        <w:rPr>
          <w:rFonts w:ascii="仿宋" w:hAnsi="仿宋" w:eastAsia="仿宋" w:cs="仿宋"/>
          <w:kern w:val="0"/>
          <w:sz w:val="32"/>
          <w:szCs w:val="32"/>
          <w:shd w:val="clear" w:color="auto" w:fill="FFFFFF"/>
        </w:rPr>
      </w:pPr>
      <w:r>
        <w:rPr>
          <w:rFonts w:hint="eastAsia" w:ascii="仿宋" w:hAnsi="仿宋" w:eastAsia="仿宋" w:cs="仿宋"/>
          <w:sz w:val="32"/>
          <w:szCs w:val="32"/>
        </w:rPr>
        <w:t>专项普查活动项目绩效目标完成情况综述。项目全年预算数23.21万元，执行数为30.21万元，完成预算的130.16%。通过项目实施，保障了红原县全国第四次经济普查工作及一体化住户调查工作的顺利开展，</w:t>
      </w:r>
      <w:r>
        <w:rPr>
          <w:rFonts w:hint="eastAsia" w:ascii="仿宋" w:hAnsi="仿宋" w:eastAsia="仿宋" w:cs="仿宋"/>
          <w:b/>
          <w:bCs/>
          <w:sz w:val="32"/>
          <w:szCs w:val="32"/>
        </w:rPr>
        <w:t>一是</w:t>
      </w:r>
      <w:r>
        <w:rPr>
          <w:rFonts w:hint="eastAsia" w:ascii="仿宋" w:hAnsi="仿宋" w:eastAsia="仿宋" w:cs="仿宋"/>
          <w:sz w:val="32"/>
          <w:szCs w:val="32"/>
        </w:rPr>
        <w:t>认真开展经济普查单位清查登记工作，通过短信平台已发送1766条短信，利用电视台、“中国红原”门户网站、微红原等媒体进行大势宣传，同时为了营造普查工作家喻户晓、人人参与的浓厚氛围，经普办印制了藏汉双语版“致调查户的一封信”；</w:t>
      </w:r>
      <w:r>
        <w:rPr>
          <w:rFonts w:hint="eastAsia" w:ascii="仿宋" w:hAnsi="仿宋" w:eastAsia="仿宋" w:cs="仿宋"/>
          <w:b/>
          <w:bCs/>
          <w:sz w:val="32"/>
          <w:szCs w:val="32"/>
        </w:rPr>
        <w:t>二是</w:t>
      </w:r>
      <w:r>
        <w:rPr>
          <w:rFonts w:hint="eastAsia" w:ascii="仿宋" w:hAnsi="仿宋" w:eastAsia="仿宋" w:cs="仿宋"/>
          <w:sz w:val="32"/>
          <w:szCs w:val="32"/>
        </w:rPr>
        <w:t>做好一体化住户调查工作培训，通过培训提高了记账水平，</w:t>
      </w:r>
      <w:r>
        <w:rPr>
          <w:rFonts w:hint="eastAsia" w:ascii="仿宋" w:hAnsi="仿宋" w:eastAsia="仿宋" w:cs="仿宋"/>
          <w:kern w:val="0"/>
          <w:sz w:val="32"/>
          <w:szCs w:val="32"/>
          <w:shd w:val="clear" w:color="auto" w:fill="FFFFFF"/>
        </w:rPr>
        <w:t>提升了收集样本的效率和缩短收集样本的时间，按时为150户及账户发放了补助。发现的主要问题</w:t>
      </w:r>
      <w:r>
        <w:rPr>
          <w:rFonts w:hint="eastAsia" w:ascii="仿宋" w:hAnsi="仿宋" w:eastAsia="仿宋" w:cs="仿宋"/>
          <w:b/>
          <w:bCs/>
          <w:kern w:val="0"/>
          <w:sz w:val="32"/>
          <w:szCs w:val="32"/>
          <w:shd w:val="clear" w:color="auto" w:fill="FFFFFF"/>
        </w:rPr>
        <w:t>一是</w:t>
      </w:r>
      <w:r>
        <w:rPr>
          <w:rFonts w:hint="eastAsia" w:ascii="仿宋" w:hAnsi="仿宋" w:eastAsia="仿宋" w:cs="仿宋"/>
          <w:kern w:val="0"/>
          <w:sz w:val="32"/>
          <w:szCs w:val="32"/>
          <w:shd w:val="clear" w:color="auto" w:fill="FFFFFF"/>
        </w:rPr>
        <w:t>预算支出指标体系有待进一步健全；</w:t>
      </w:r>
      <w:r>
        <w:rPr>
          <w:rFonts w:hint="eastAsia" w:ascii="仿宋" w:hAnsi="仿宋" w:eastAsia="仿宋" w:cs="仿宋"/>
          <w:b/>
          <w:bCs/>
          <w:kern w:val="0"/>
          <w:sz w:val="32"/>
          <w:szCs w:val="32"/>
          <w:shd w:val="clear" w:color="auto" w:fill="FFFFFF"/>
        </w:rPr>
        <w:t>二是</w:t>
      </w:r>
      <w:r>
        <w:rPr>
          <w:rFonts w:hint="eastAsia" w:ascii="仿宋" w:hAnsi="仿宋" w:eastAsia="仿宋" w:cs="仿宋"/>
          <w:kern w:val="0"/>
          <w:sz w:val="32"/>
          <w:szCs w:val="32"/>
          <w:shd w:val="clear" w:color="auto" w:fill="FFFFFF"/>
        </w:rPr>
        <w:t>评价结果应用有待进一步深入。下一步改进措施：</w:t>
      </w:r>
      <w:r>
        <w:rPr>
          <w:rFonts w:hint="eastAsia" w:ascii="仿宋" w:hAnsi="仿宋" w:eastAsia="仿宋" w:cs="仿宋"/>
          <w:b/>
          <w:bCs/>
          <w:kern w:val="0"/>
          <w:sz w:val="32"/>
          <w:szCs w:val="32"/>
          <w:shd w:val="clear" w:color="auto" w:fill="FFFFFF"/>
        </w:rPr>
        <w:t>一是</w:t>
      </w:r>
      <w:r>
        <w:rPr>
          <w:rFonts w:hint="eastAsia" w:ascii="仿宋" w:hAnsi="仿宋" w:eastAsia="仿宋" w:cs="仿宋"/>
          <w:kern w:val="0"/>
          <w:sz w:val="32"/>
          <w:szCs w:val="32"/>
          <w:shd w:val="clear" w:color="auto" w:fill="FFFFFF"/>
        </w:rPr>
        <w:t>加强制度建设，健全完善制度办法，对目标编制、绩效监控、绩效评价、结果应用等工作从制度上进行完善；</w:t>
      </w:r>
      <w:r>
        <w:rPr>
          <w:rFonts w:hint="eastAsia" w:ascii="仿宋" w:hAnsi="仿宋" w:eastAsia="仿宋" w:cs="仿宋"/>
          <w:b/>
          <w:bCs/>
          <w:kern w:val="0"/>
          <w:sz w:val="32"/>
          <w:szCs w:val="32"/>
          <w:shd w:val="clear" w:color="auto" w:fill="FFFFFF"/>
        </w:rPr>
        <w:t>二是</w:t>
      </w:r>
      <w:r>
        <w:rPr>
          <w:rFonts w:hint="eastAsia" w:ascii="仿宋" w:hAnsi="仿宋" w:eastAsia="仿宋" w:cs="仿宋"/>
          <w:kern w:val="0"/>
          <w:sz w:val="32"/>
          <w:szCs w:val="32"/>
          <w:shd w:val="clear" w:color="auto" w:fill="FFFFFF"/>
        </w:rPr>
        <w:t>强化结果应用。</w:t>
      </w:r>
    </w:p>
    <w:p>
      <w:pPr>
        <w:rPr>
          <w:rFonts w:ascii="Calibri" w:hAnsi="Calibri"/>
          <w:color w:val="0000FF"/>
        </w:rPr>
      </w:pPr>
    </w:p>
    <w:tbl>
      <w:tblPr>
        <w:tblStyle w:val="19"/>
        <w:tblW w:w="9525" w:type="dxa"/>
        <w:tblInd w:w="0" w:type="dxa"/>
        <w:tblLayout w:type="fixed"/>
        <w:tblCellMar>
          <w:top w:w="0" w:type="dxa"/>
          <w:left w:w="0" w:type="dxa"/>
          <w:bottom w:w="0" w:type="dxa"/>
          <w:right w:w="0" w:type="dxa"/>
        </w:tblCellMar>
      </w:tblPr>
      <w:tblGrid>
        <w:gridCol w:w="449"/>
        <w:gridCol w:w="834"/>
        <w:gridCol w:w="1042"/>
        <w:gridCol w:w="746"/>
        <w:gridCol w:w="1176"/>
        <w:gridCol w:w="1742"/>
        <w:gridCol w:w="1620"/>
        <w:gridCol w:w="1916"/>
      </w:tblGrid>
      <w:tr>
        <w:tblPrEx>
          <w:tblLayout w:type="fixed"/>
          <w:tblCellMar>
            <w:top w:w="0" w:type="dxa"/>
            <w:left w:w="0" w:type="dxa"/>
            <w:bottom w:w="0" w:type="dxa"/>
            <w:right w:w="0" w:type="dxa"/>
          </w:tblCellMar>
        </w:tblPrEx>
        <w:trPr>
          <w:trHeight w:val="555" w:hRule="atLeast"/>
        </w:trPr>
        <w:tc>
          <w:tcPr>
            <w:tcW w:w="9525" w:type="dxa"/>
            <w:gridSpan w:val="8"/>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项目支出绩效目标完成情况表</w:t>
            </w:r>
          </w:p>
        </w:tc>
      </w:tr>
      <w:tr>
        <w:tblPrEx>
          <w:tblLayout w:type="fixed"/>
          <w:tblCellMar>
            <w:top w:w="0" w:type="dxa"/>
            <w:left w:w="0" w:type="dxa"/>
            <w:bottom w:w="0" w:type="dxa"/>
            <w:right w:w="0" w:type="dxa"/>
          </w:tblCellMar>
        </w:tblPrEx>
        <w:trPr>
          <w:trHeight w:val="555" w:hRule="atLeast"/>
        </w:trPr>
        <w:tc>
          <w:tcPr>
            <w:tcW w:w="23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720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专项普查活动</w:t>
            </w:r>
          </w:p>
        </w:tc>
      </w:tr>
      <w:tr>
        <w:tblPrEx>
          <w:tblLayout w:type="fixed"/>
          <w:tblCellMar>
            <w:top w:w="0" w:type="dxa"/>
            <w:left w:w="0" w:type="dxa"/>
            <w:bottom w:w="0" w:type="dxa"/>
            <w:right w:w="0" w:type="dxa"/>
          </w:tblCellMar>
        </w:tblPrEx>
        <w:trPr>
          <w:trHeight w:val="555" w:hRule="atLeast"/>
        </w:trPr>
        <w:tc>
          <w:tcPr>
            <w:tcW w:w="23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720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红原县统计局</w:t>
            </w:r>
          </w:p>
        </w:tc>
      </w:tr>
      <w:tr>
        <w:tblPrEx>
          <w:tblLayout w:type="fixed"/>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23.21</w:t>
            </w: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30.21</w:t>
            </w:r>
          </w:p>
        </w:tc>
      </w:tr>
      <w:tr>
        <w:tblPrEx>
          <w:tblLayout w:type="fixed"/>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23.21</w:t>
            </w: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30.21</w:t>
            </w:r>
          </w:p>
        </w:tc>
      </w:tr>
      <w:tr>
        <w:tblPrEx>
          <w:tblLayout w:type="fixed"/>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3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p>
        </w:tc>
      </w:tr>
      <w:tr>
        <w:tblPrEx>
          <w:tblLayout w:type="fixed"/>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5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Layout w:type="fixed"/>
          <w:tblCellMar>
            <w:top w:w="0" w:type="dxa"/>
            <w:left w:w="0" w:type="dxa"/>
            <w:bottom w:w="0" w:type="dxa"/>
            <w:right w:w="0"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bCs/>
                <w:color w:val="000000"/>
                <w:sz w:val="24"/>
              </w:rPr>
              <w:t>按照省、州经普安排办做好全县四经普工作；做好调查数据的收集、审核、上报工作。做好城乡一体化调查工作。</w:t>
            </w:r>
          </w:p>
        </w:tc>
        <w:tc>
          <w:tcPr>
            <w:tcW w:w="645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bCs/>
                <w:color w:val="000000"/>
                <w:sz w:val="24"/>
              </w:rPr>
              <w:t>保质保量完成既定任务，较好实现年度目标。</w:t>
            </w:r>
          </w:p>
        </w:tc>
      </w:tr>
      <w:tr>
        <w:tblPrEx>
          <w:tblLayout w:type="fixed"/>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bdr w:val="single" w:color="000000" w:sz="4" w:space="0"/>
              </w:rPr>
              <w:drawing>
                <wp:anchor distT="0" distB="0" distL="114300" distR="114300" simplePos="0" relativeHeight="25165209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2" name="直接连接符_10"/>
                  <wp:cNvGraphicFramePr/>
                  <a:graphic xmlns:a="http://schemas.openxmlformats.org/drawingml/2006/main">
                    <a:graphicData uri="http://schemas.openxmlformats.org/drawingml/2006/picture">
                      <pic:pic xmlns:pic="http://schemas.openxmlformats.org/drawingml/2006/picture">
                        <pic:nvPicPr>
                          <pic:cNvPr id="12" name="直接连接符_10"/>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65312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0" name="直接连接符_8"/>
                  <wp:cNvGraphicFramePr/>
                  <a:graphic xmlns:a="http://schemas.openxmlformats.org/drawingml/2006/main">
                    <a:graphicData uri="http://schemas.openxmlformats.org/drawingml/2006/picture">
                      <pic:pic xmlns:pic="http://schemas.openxmlformats.org/drawingml/2006/picture">
                        <pic:nvPicPr>
                          <pic:cNvPr id="10" name="直接连接符_8"/>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65414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9" name="直接连接符_9"/>
                  <wp:cNvGraphicFramePr/>
                  <a:graphic xmlns:a="http://schemas.openxmlformats.org/drawingml/2006/main">
                    <a:graphicData uri="http://schemas.openxmlformats.org/drawingml/2006/picture">
                      <pic:pic xmlns:pic="http://schemas.openxmlformats.org/drawingml/2006/picture">
                        <pic:nvPicPr>
                          <pic:cNvPr id="9" name="直接连接符_9"/>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65516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8" name="直接连接符_7"/>
                  <wp:cNvGraphicFramePr/>
                  <a:graphic xmlns:a="http://schemas.openxmlformats.org/drawingml/2006/main">
                    <a:graphicData uri="http://schemas.openxmlformats.org/drawingml/2006/picture">
                      <pic:pic xmlns:pic="http://schemas.openxmlformats.org/drawingml/2006/picture">
                        <pic:nvPicPr>
                          <pic:cNvPr id="8" name="直接连接符_7"/>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rPr>
              <w:t>一级指标</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6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9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Layout w:type="fixed"/>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9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Layout w:type="fixed"/>
          <w:tblCellMar>
            <w:top w:w="0" w:type="dxa"/>
            <w:left w:w="0" w:type="dxa"/>
            <w:bottom w:w="0" w:type="dxa"/>
            <w:right w:w="0"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9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Layout w:type="fixed"/>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ind w:firstLine="4000" w:firstLineChars="2000"/>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一体化调查户150户</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150户</w:t>
            </w:r>
          </w:p>
        </w:tc>
      </w:tr>
      <w:tr>
        <w:tblPrEx>
          <w:tblLayout w:type="fixed"/>
          <w:tblCellMar>
            <w:top w:w="0" w:type="dxa"/>
            <w:left w:w="0" w:type="dxa"/>
            <w:bottom w:w="0" w:type="dxa"/>
            <w:right w:w="0"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明确</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明确</w:t>
            </w:r>
          </w:p>
        </w:tc>
      </w:tr>
      <w:tr>
        <w:tblPrEx>
          <w:tblLayout w:type="fixed"/>
          <w:tblCellMar>
            <w:top w:w="0" w:type="dxa"/>
            <w:left w:w="0" w:type="dxa"/>
            <w:bottom w:w="0" w:type="dxa"/>
            <w:right w:w="0"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150户调查户补助</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150户调查户补助</w:t>
            </w:r>
          </w:p>
        </w:tc>
      </w:tr>
      <w:tr>
        <w:tblPrEx>
          <w:tblLayout w:type="fixed"/>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Layout w:type="fixed"/>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sz w:val="20"/>
                <w:szCs w:val="20"/>
              </w:rPr>
              <w:t>有</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有</w:t>
            </w:r>
          </w:p>
        </w:tc>
      </w:tr>
      <w:tr>
        <w:tblPrEx>
          <w:tblLayout w:type="fixed"/>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符合实际，暂无调整</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符合实际，暂无调整</w:t>
            </w:r>
          </w:p>
        </w:tc>
      </w:tr>
      <w:tr>
        <w:tblPrEx>
          <w:tblLayout w:type="fixed"/>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Layout w:type="fixed"/>
          <w:tblCellMar>
            <w:top w:w="0" w:type="dxa"/>
            <w:left w:w="0" w:type="dxa"/>
            <w:bottom w:w="0" w:type="dxa"/>
            <w:right w:w="0"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明确</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明确</w:t>
            </w:r>
          </w:p>
        </w:tc>
      </w:tr>
      <w:tr>
        <w:tblPrEx>
          <w:tblLayout w:type="fixed"/>
          <w:tblCellMar>
            <w:top w:w="0" w:type="dxa"/>
            <w:left w:w="0" w:type="dxa"/>
            <w:bottom w:w="0" w:type="dxa"/>
            <w:right w:w="0"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合理</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合理</w:t>
            </w:r>
          </w:p>
        </w:tc>
      </w:tr>
      <w:tr>
        <w:tblPrEx>
          <w:tblLayout w:type="fixed"/>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Layout w:type="fixed"/>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Layout w:type="fixed"/>
          <w:tblCellMar>
            <w:top w:w="0" w:type="dxa"/>
            <w:left w:w="0" w:type="dxa"/>
            <w:bottom w:w="0" w:type="dxa"/>
            <w:right w:w="0"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Layout w:type="fixed"/>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Layout w:type="fixed"/>
          <w:tblCellMar>
            <w:top w:w="0" w:type="dxa"/>
            <w:left w:w="0" w:type="dxa"/>
            <w:bottom w:w="0" w:type="dxa"/>
            <w:right w:w="0"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Layout w:type="fixed"/>
          <w:tblCellMar>
            <w:top w:w="0" w:type="dxa"/>
            <w:left w:w="0" w:type="dxa"/>
            <w:bottom w:w="0" w:type="dxa"/>
            <w:right w:w="0"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Layout w:type="fixed"/>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Layout w:type="fixed"/>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Layout w:type="fixed"/>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Layout w:type="fixed"/>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Layout w:type="fixed"/>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Layout w:type="fixed"/>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Layout w:type="fixed"/>
          <w:tblCellMar>
            <w:top w:w="0" w:type="dxa"/>
            <w:left w:w="0" w:type="dxa"/>
            <w:bottom w:w="0" w:type="dxa"/>
            <w:right w:w="0"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r>
      <w:tr>
        <w:tblPrEx>
          <w:tblLayout w:type="fixed"/>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Layout w:type="fixed"/>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bdr w:val="single" w:color="000000" w:sz="4" w:space="0"/>
              </w:rPr>
              <w:drawing>
                <wp:anchor distT="0" distB="0" distL="114300" distR="114300" simplePos="0" relativeHeight="251656192"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6" name="直接连接符_6"/>
                  <wp:cNvGraphicFramePr/>
                  <a:graphic xmlns:a="http://schemas.openxmlformats.org/drawingml/2006/main">
                    <a:graphicData uri="http://schemas.openxmlformats.org/drawingml/2006/picture">
                      <pic:pic xmlns:pic="http://schemas.openxmlformats.org/drawingml/2006/picture">
                        <pic:nvPicPr>
                          <pic:cNvPr id="6" name="直接连接符_6"/>
                          <pic:cNvPicPr/>
                        </pic:nvPicPr>
                        <pic:blipFill>
                          <a:blip r:embed="rId14"/>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kern w:val="0"/>
                <w:sz w:val="20"/>
                <w:szCs w:val="20"/>
                <w:bdr w:val="single" w:color="000000" w:sz="4" w:space="0"/>
              </w:rPr>
              <w:drawing>
                <wp:anchor distT="0" distB="0" distL="114300" distR="114300" simplePos="0" relativeHeight="251657216"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5" name="直接连接符_5"/>
                  <wp:cNvGraphicFramePr/>
                  <a:graphic xmlns:a="http://schemas.openxmlformats.org/drawingml/2006/main">
                    <a:graphicData uri="http://schemas.openxmlformats.org/drawingml/2006/picture">
                      <pic:pic xmlns:pic="http://schemas.openxmlformats.org/drawingml/2006/picture">
                        <pic:nvPicPr>
                          <pic:cNvPr id="5" name="直接连接符_5"/>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0"/>
                <w:szCs w:val="20"/>
              </w:rPr>
              <w:t>项目绩效</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Layout w:type="fixed"/>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Layout w:type="fixed"/>
          <w:tblCellMar>
            <w:top w:w="0" w:type="dxa"/>
            <w:left w:w="0" w:type="dxa"/>
            <w:bottom w:w="0" w:type="dxa"/>
            <w:right w:w="0" w:type="dxa"/>
          </w:tblCellMar>
        </w:tblPrEx>
        <w:trPr>
          <w:trHeight w:val="80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2018年12月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2018年12月</w:t>
            </w:r>
          </w:p>
        </w:tc>
      </w:tr>
      <w:tr>
        <w:tblPrEx>
          <w:tblLayout w:type="fixed"/>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Layout w:type="fixed"/>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2"/>
                <w:szCs w:val="22"/>
              </w:rPr>
              <w:t>充分调查数据为县委县政府提供决策依据及咨询服务</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2"/>
                <w:szCs w:val="22"/>
              </w:rPr>
              <w:t>充分调查数据为县委县政府提供决策依据及咨询服务</w:t>
            </w:r>
          </w:p>
        </w:tc>
      </w:tr>
      <w:tr>
        <w:tblPrEx>
          <w:tblLayout w:type="fixed"/>
          <w:tblCellMar>
            <w:top w:w="0" w:type="dxa"/>
            <w:left w:w="0" w:type="dxa"/>
            <w:bottom w:w="0" w:type="dxa"/>
            <w:right w:w="0" w:type="dxa"/>
          </w:tblCellMar>
        </w:tblPrEx>
        <w:trPr>
          <w:trHeight w:val="7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2"/>
                <w:szCs w:val="22"/>
              </w:rPr>
              <w:t>充分调查数据为县委县政府提供决策依据及咨询服务向社会提供科学准确的统计数据</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2"/>
                <w:szCs w:val="22"/>
              </w:rPr>
              <w:t>充分调查数据为县委县政府提供决策依据及咨询服务向社会提供科学准确的统计数据</w:t>
            </w:r>
          </w:p>
        </w:tc>
      </w:tr>
      <w:tr>
        <w:tblPrEx>
          <w:tblLayout w:type="fixed"/>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r>
      <w:tr>
        <w:tblPrEx>
          <w:tblLayout w:type="fixed"/>
          <w:tblCellMar>
            <w:top w:w="0" w:type="dxa"/>
            <w:left w:w="0" w:type="dxa"/>
            <w:bottom w:w="0" w:type="dxa"/>
            <w:right w:w="0" w:type="dxa"/>
          </w:tblCellMar>
        </w:tblPrEx>
        <w:trPr>
          <w:trHeight w:val="76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r>
              <w:rPr>
                <w:rFonts w:hint="eastAsia" w:ascii="宋体" w:hAnsi="宋体" w:cs="宋体"/>
                <w:color w:val="000000"/>
                <w:kern w:val="0"/>
                <w:sz w:val="22"/>
                <w:szCs w:val="22"/>
              </w:rPr>
              <w:t>无</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r>
              <w:rPr>
                <w:rFonts w:hint="eastAsia" w:ascii="宋体" w:hAnsi="宋体" w:cs="宋体"/>
                <w:color w:val="000000"/>
                <w:kern w:val="0"/>
                <w:sz w:val="22"/>
                <w:szCs w:val="22"/>
              </w:rPr>
              <w:t>无</w:t>
            </w:r>
          </w:p>
        </w:tc>
      </w:tr>
      <w:tr>
        <w:tblPrEx>
          <w:tblLayout w:type="fixed"/>
          <w:tblCellMar>
            <w:top w:w="0" w:type="dxa"/>
            <w:left w:w="0" w:type="dxa"/>
            <w:bottom w:w="0" w:type="dxa"/>
            <w:right w:w="0"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满意</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满意</w:t>
            </w:r>
          </w:p>
        </w:tc>
      </w:tr>
    </w:tbl>
    <w:p>
      <w:pPr>
        <w:spacing w:line="580" w:lineRule="exact"/>
        <w:rPr>
          <w:rFonts w:ascii="仿宋_GB2312" w:hAnsi="仿宋_GB2312" w:eastAsia="仿宋_GB2312" w:cs="仿宋_GB2312"/>
          <w:color w:val="0000FF"/>
          <w:sz w:val="32"/>
          <w:szCs w:val="32"/>
        </w:rPr>
      </w:pPr>
    </w:p>
    <w:p>
      <w:pPr>
        <w:numPr>
          <w:ilvl w:val="0"/>
          <w:numId w:val="6"/>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本部门按要求对2018年部门整体支出绩效评价情况开展自评，《红原县统计局部门2018年部门整体支出绩效评价报告》见附件。</w:t>
      </w:r>
    </w:p>
    <w:p>
      <w:pPr>
        <w:spacing w:line="580" w:lineRule="exact"/>
        <w:ind w:firstLine="640" w:firstLineChars="200"/>
        <w:rPr>
          <w:rFonts w:ascii="方正小标宋简体" w:hAnsi="方正小标宋简体" w:eastAsia="方正小标宋简体" w:cs="方正小标宋简体"/>
          <w:sz w:val="44"/>
          <w:szCs w:val="44"/>
        </w:rPr>
      </w:pPr>
      <w:r>
        <w:rPr>
          <w:rFonts w:hint="eastAsia" w:ascii="仿宋_GB2312" w:hAnsi="仿宋_GB2312" w:eastAsia="仿宋_GB2312" w:cs="仿宋_GB2312"/>
          <w:sz w:val="32"/>
          <w:szCs w:val="32"/>
        </w:rPr>
        <w:t>本部门2018无自行组织开展的项目绩效评价。</w:t>
      </w:r>
    </w:p>
    <w:p>
      <w:pPr>
        <w:spacing w:line="600" w:lineRule="exact"/>
        <w:ind w:firstLine="800" w:firstLineChars="250"/>
        <w:outlineLvl w:val="1"/>
        <w:rPr>
          <w:rStyle w:val="29"/>
          <w:rFonts w:ascii="黑体" w:hAnsi="黑体" w:eastAsia="黑体"/>
        </w:rPr>
      </w:pPr>
      <w:bookmarkStart w:id="50" w:name="_Toc15377221"/>
      <w:bookmarkStart w:id="51" w:name="_Toc15396612"/>
      <w:r>
        <w:rPr>
          <w:rFonts w:hint="eastAsia" w:ascii="黑体" w:hAnsi="黑体" w:eastAsia="黑体"/>
          <w:sz w:val="32"/>
          <w:szCs w:val="32"/>
        </w:rPr>
        <w:t>十</w:t>
      </w:r>
      <w:r>
        <w:rPr>
          <w:rStyle w:val="29"/>
          <w:rFonts w:hint="eastAsia" w:ascii="黑体" w:hAnsi="黑体" w:eastAsia="黑体"/>
        </w:rPr>
        <w:t>一、</w:t>
      </w:r>
      <w:r>
        <w:rPr>
          <w:rStyle w:val="29"/>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sz w:val="32"/>
          <w:szCs w:val="32"/>
        </w:rPr>
      </w:pPr>
      <w:bookmarkStart w:id="52" w:name="_Toc15377222"/>
      <w:r>
        <w:rPr>
          <w:rFonts w:hint="eastAsia" w:ascii="仿宋" w:hAnsi="仿宋" w:eastAsia="仿宋"/>
          <w:b/>
          <w:sz w:val="32"/>
          <w:szCs w:val="32"/>
        </w:rPr>
        <w:t>（一）机关运行经费支出情况</w:t>
      </w:r>
      <w:bookmarkEnd w:id="52"/>
    </w:p>
    <w:p>
      <w:pPr>
        <w:spacing w:line="600" w:lineRule="exact"/>
        <w:ind w:firstLine="645"/>
        <w:rPr>
          <w:rFonts w:ascii="仿宋_GB2312" w:eastAsia="仿宋_GB2312"/>
          <w:sz w:val="32"/>
          <w:szCs w:val="32"/>
        </w:rPr>
      </w:pPr>
      <w:r>
        <w:rPr>
          <w:rFonts w:ascii="仿宋_GB2312" w:eastAsia="仿宋_GB2312"/>
          <w:sz w:val="32"/>
          <w:szCs w:val="32"/>
        </w:rPr>
        <w:t>201</w:t>
      </w:r>
      <w:r>
        <w:rPr>
          <w:rFonts w:hint="eastAsia" w:ascii="仿宋_GB2312" w:eastAsia="仿宋_GB2312"/>
          <w:sz w:val="32"/>
          <w:szCs w:val="32"/>
        </w:rPr>
        <w:t>8年，统计局机关运行经费支出</w:t>
      </w:r>
      <w:r>
        <w:rPr>
          <w:rFonts w:hint="eastAsia" w:ascii="仿宋" w:hAnsi="仿宋" w:eastAsia="仿宋"/>
          <w:sz w:val="32"/>
          <w:szCs w:val="32"/>
        </w:rPr>
        <w:t>48.35万元，</w:t>
      </w:r>
      <w:r>
        <w:rPr>
          <w:rFonts w:hint="eastAsia" w:ascii="仿宋_GB2312" w:eastAsia="仿宋_GB2312"/>
          <w:sz w:val="32"/>
          <w:szCs w:val="32"/>
        </w:rPr>
        <w:t>比</w:t>
      </w:r>
      <w:r>
        <w:rPr>
          <w:rFonts w:ascii="仿宋_GB2312" w:eastAsia="仿宋_GB2312"/>
          <w:sz w:val="32"/>
          <w:szCs w:val="32"/>
        </w:rPr>
        <w:t>201</w:t>
      </w:r>
      <w:r>
        <w:rPr>
          <w:rFonts w:hint="eastAsia" w:ascii="仿宋_GB2312" w:eastAsia="仿宋_GB2312"/>
          <w:sz w:val="32"/>
          <w:szCs w:val="32"/>
        </w:rPr>
        <w:t>7年增加0.23万元，增长4.72</w:t>
      </w:r>
      <w:r>
        <w:rPr>
          <w:rFonts w:ascii="仿宋_GB2312" w:eastAsia="仿宋_GB2312"/>
          <w:sz w:val="32"/>
          <w:szCs w:val="32"/>
        </w:rPr>
        <w:t>%</w:t>
      </w:r>
      <w:r>
        <w:rPr>
          <w:rFonts w:hint="eastAsia" w:ascii="仿宋_GB2312" w:eastAsia="仿宋_GB2312"/>
          <w:sz w:val="32"/>
          <w:szCs w:val="32"/>
        </w:rPr>
        <w:t>。主要原因</w:t>
      </w:r>
      <w:r>
        <w:rPr>
          <w:rFonts w:hint="eastAsia" w:ascii="仿宋_GB2312" w:eastAsia="仿宋_GB2312"/>
          <w:b/>
          <w:bCs/>
          <w:sz w:val="32"/>
          <w:szCs w:val="32"/>
        </w:rPr>
        <w:t>是</w:t>
      </w:r>
      <w:r>
        <w:rPr>
          <w:rFonts w:hint="eastAsia" w:ascii="仿宋_GB2312" w:eastAsia="仿宋_GB2312"/>
          <w:sz w:val="32"/>
          <w:szCs w:val="32"/>
        </w:rPr>
        <w:t>车辆行驶公里数已超30万公里，增加了车辆运行维护费。</w:t>
      </w:r>
      <w:r>
        <w:rPr>
          <w:rFonts w:hint="eastAsia" w:ascii="仿宋" w:hAnsi="仿宋" w:eastAsia="仿宋"/>
          <w:sz w:val="32"/>
          <w:szCs w:val="32"/>
        </w:rPr>
        <w:t>公用经费48.35万元，主要包括：办公费9.09万元、邮电费2.62万元、差旅费7.43万元、公务接待费0.24万元、劳务费22.99万元、公务用车运行维护费4.86万元、办公设备购置1.11万元。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8年，红原县统计局政府采购支出总额4.29万元，其中：政府采购货物支出4.29万元、政府采购工程支出0万元、政府采购服务支出0万元。主要用于采购办公桌椅及电脑设备以满足经济普查和统计日常工作顺利开展。</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日，红原县统计局共有一般公务用车1辆28万元；其他固定资产66.09万元；流动资产87.08万元。</w:t>
      </w:r>
    </w:p>
    <w:p>
      <w:pPr>
        <w:spacing w:line="600" w:lineRule="atLeast"/>
        <w:ind w:firstLine="643"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7"/>
        </w:numPr>
        <w:spacing w:line="600" w:lineRule="exact"/>
        <w:ind w:firstLine="663" w:firstLineChars="150"/>
        <w:jc w:val="center"/>
        <w:outlineLvl w:val="0"/>
        <w:rPr>
          <w:rStyle w:val="28"/>
          <w:rFonts w:ascii="黑体" w:hAnsi="黑体" w:eastAsia="黑体"/>
          <w:b w:val="0"/>
        </w:rPr>
      </w:pPr>
      <w:bookmarkStart w:id="55" w:name="_Toc15377225"/>
      <w:bookmarkStart w:id="56" w:name="_Toc15396613"/>
      <w:r>
        <w:rPr>
          <w:rFonts w:hint="eastAsia" w:ascii="黑体" w:hAnsi="黑体" w:eastAsia="黑体"/>
          <w:b/>
          <w:color w:val="000000"/>
          <w:sz w:val="44"/>
          <w:szCs w:val="44"/>
        </w:rPr>
        <w:t>名</w:t>
      </w:r>
      <w:r>
        <w:rPr>
          <w:rStyle w:val="28"/>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其他收入：指单位取得的除上述收入以外的各项收入。主要是利息收入等。</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sz w:val="32"/>
          <w:szCs w:val="32"/>
        </w:rPr>
      </w:pPr>
      <w:r>
        <w:rPr>
          <w:rFonts w:ascii="仿宋_GB2312" w:eastAsia="仿宋_GB2312"/>
          <w:sz w:val="32"/>
          <w:szCs w:val="32"/>
        </w:rPr>
        <w:t>9.</w:t>
      </w:r>
      <w:r>
        <w:rPr>
          <w:rFonts w:hint="eastAsia" w:ascii="仿宋_GB2312" w:eastAsia="仿宋_GB2312"/>
          <w:sz w:val="32"/>
          <w:szCs w:val="32"/>
        </w:rPr>
        <w:t>一般公共服务统计信息事务行政运行：指行政单位（包括实行公务员管理的事业单位）的基本支出。</w:t>
      </w:r>
    </w:p>
    <w:p>
      <w:pPr>
        <w:spacing w:line="600" w:lineRule="exact"/>
        <w:ind w:firstLine="640" w:firstLineChars="200"/>
        <w:rPr>
          <w:rStyle w:val="16"/>
          <w:rFonts w:ascii="仿宋" w:hAnsi="仿宋" w:eastAsia="仿宋" w:cs="仿宋"/>
          <w:b w:val="0"/>
          <w:bCs/>
          <w:sz w:val="32"/>
          <w:szCs w:val="32"/>
        </w:rPr>
      </w:pPr>
      <w:r>
        <w:rPr>
          <w:rFonts w:hint="eastAsia" w:ascii="仿宋" w:hAnsi="仿宋" w:eastAsia="仿宋" w:cs="仿宋"/>
          <w:sz w:val="32"/>
          <w:szCs w:val="32"/>
        </w:rPr>
        <w:t>10.</w:t>
      </w:r>
      <w:r>
        <w:rPr>
          <w:rStyle w:val="16"/>
          <w:rFonts w:hint="eastAsia" w:ascii="仿宋" w:hAnsi="仿宋" w:eastAsia="仿宋" w:cs="仿宋"/>
          <w:b w:val="0"/>
          <w:sz w:val="32"/>
          <w:szCs w:val="32"/>
        </w:rPr>
        <w:t>一般公共服务统计信息事务专项普查活动：</w:t>
      </w:r>
      <w:r>
        <w:rPr>
          <w:rStyle w:val="16"/>
          <w:rFonts w:hint="eastAsia" w:ascii="仿宋" w:hAnsi="仿宋" w:eastAsia="仿宋" w:cs="仿宋"/>
          <w:b w:val="0"/>
          <w:bCs/>
          <w:sz w:val="32"/>
          <w:szCs w:val="32"/>
        </w:rPr>
        <w:t>指统计部门开展人口普查、经济普查、农业普查、投入产出调查等周期性普查工作的支出。</w:t>
      </w:r>
    </w:p>
    <w:p>
      <w:pPr>
        <w:spacing w:line="600" w:lineRule="exact"/>
        <w:ind w:firstLine="640" w:firstLineChars="200"/>
        <w:rPr>
          <w:rStyle w:val="16"/>
          <w:rFonts w:ascii="仿宋" w:hAnsi="仿宋" w:eastAsia="仿宋" w:cs="仿宋"/>
          <w:b w:val="0"/>
          <w:sz w:val="32"/>
          <w:szCs w:val="32"/>
        </w:rPr>
      </w:pPr>
      <w:r>
        <w:rPr>
          <w:rStyle w:val="16"/>
          <w:rFonts w:hint="eastAsia" w:ascii="仿宋" w:hAnsi="仿宋" w:eastAsia="仿宋" w:cs="仿宋"/>
          <w:b w:val="0"/>
          <w:sz w:val="32"/>
          <w:szCs w:val="32"/>
        </w:rPr>
        <w:t>11.社会保障和就业</w:t>
      </w:r>
      <w:r>
        <w:rPr>
          <w:rFonts w:hint="eastAsia" w:ascii="仿宋" w:hAnsi="仿宋" w:eastAsia="仿宋" w:cs="仿宋"/>
          <w:sz w:val="32"/>
          <w:szCs w:val="32"/>
        </w:rPr>
        <w:t>行政事业单位离退休机关事业单位基本养老保险缴费：指机关事业单位实施养老保险制度由单位缴纳的基本养老保险支出</w:t>
      </w:r>
      <w:r>
        <w:rPr>
          <w:rStyle w:val="16"/>
          <w:rFonts w:hint="eastAsia" w:ascii="仿宋" w:hAnsi="仿宋" w:eastAsia="仿宋" w:cs="仿宋"/>
          <w:b w:val="0"/>
          <w:sz w:val="32"/>
          <w:szCs w:val="32"/>
        </w:rPr>
        <w:t>。</w:t>
      </w:r>
    </w:p>
    <w:p>
      <w:pPr>
        <w:spacing w:line="600" w:lineRule="exact"/>
        <w:ind w:firstLine="640" w:firstLineChars="200"/>
        <w:rPr>
          <w:rStyle w:val="16"/>
          <w:rFonts w:ascii="仿宋" w:hAnsi="仿宋" w:eastAsia="仿宋" w:cs="仿宋"/>
          <w:b w:val="0"/>
          <w:sz w:val="32"/>
          <w:szCs w:val="32"/>
        </w:rPr>
      </w:pPr>
      <w:r>
        <w:rPr>
          <w:rStyle w:val="16"/>
          <w:rFonts w:hint="eastAsia" w:ascii="仿宋" w:hAnsi="仿宋" w:eastAsia="仿宋" w:cs="仿宋"/>
          <w:b w:val="0"/>
          <w:sz w:val="32"/>
          <w:szCs w:val="32"/>
        </w:rPr>
        <w:t>12.社会保障和就业</w:t>
      </w:r>
      <w:r>
        <w:rPr>
          <w:rFonts w:hint="eastAsia" w:ascii="仿宋" w:hAnsi="仿宋" w:eastAsia="仿宋" w:cs="仿宋"/>
          <w:sz w:val="32"/>
          <w:szCs w:val="32"/>
        </w:rPr>
        <w:t>行政事业单位离退休机关事业单位职业年金缴费：指机关事业单位实施养老保险制度由单位实际缴纳的职业年金支出</w:t>
      </w:r>
      <w:r>
        <w:rPr>
          <w:rStyle w:val="16"/>
          <w:rFonts w:hint="eastAsia" w:ascii="仿宋" w:hAnsi="仿宋" w:eastAsia="仿宋" w:cs="仿宋"/>
          <w:b w:val="0"/>
          <w:sz w:val="32"/>
          <w:szCs w:val="32"/>
        </w:rPr>
        <w:t>。</w:t>
      </w:r>
    </w:p>
    <w:p>
      <w:pPr>
        <w:spacing w:line="600" w:lineRule="exact"/>
        <w:ind w:firstLine="640" w:firstLineChars="200"/>
        <w:rPr>
          <w:rStyle w:val="16"/>
          <w:rFonts w:ascii="仿宋" w:hAnsi="仿宋" w:eastAsia="仿宋" w:cs="仿宋"/>
          <w:b w:val="0"/>
          <w:sz w:val="32"/>
          <w:szCs w:val="32"/>
        </w:rPr>
      </w:pPr>
      <w:r>
        <w:rPr>
          <w:rStyle w:val="16"/>
          <w:rFonts w:hint="eastAsia" w:ascii="仿宋" w:hAnsi="仿宋" w:eastAsia="仿宋" w:cs="仿宋"/>
          <w:b w:val="0"/>
          <w:sz w:val="32"/>
          <w:szCs w:val="32"/>
        </w:rPr>
        <w:t>13.医疗卫生与计划生育行政单位医疗：指财政部门安排的行政单位（包括实行公务员管理的事业单位）基本医疗保险缴费经费，未参加医疗保险的行政单位的公费医疗经费，按国家规定享受离休人员、红军老战士待遇人员的医疗经费。</w:t>
      </w:r>
    </w:p>
    <w:p>
      <w:pPr>
        <w:spacing w:line="600" w:lineRule="exact"/>
        <w:ind w:firstLine="640" w:firstLineChars="200"/>
        <w:rPr>
          <w:rStyle w:val="16"/>
          <w:rFonts w:ascii="仿宋" w:hAnsi="仿宋" w:eastAsia="仿宋" w:cs="仿宋"/>
          <w:b w:val="0"/>
          <w:sz w:val="32"/>
          <w:szCs w:val="32"/>
        </w:rPr>
      </w:pPr>
      <w:r>
        <w:rPr>
          <w:rStyle w:val="16"/>
          <w:rFonts w:hint="eastAsia" w:ascii="仿宋" w:hAnsi="仿宋" w:eastAsia="仿宋" w:cs="仿宋"/>
          <w:b w:val="0"/>
          <w:sz w:val="32"/>
          <w:szCs w:val="32"/>
        </w:rPr>
        <w:t>14.医疗卫生与计划生育公务员医疗补助：指财政部门安排的公务员医疗补助经费。</w:t>
      </w:r>
    </w:p>
    <w:p>
      <w:pPr>
        <w:ind w:firstLine="640" w:firstLineChars="200"/>
        <w:rPr>
          <w:rFonts w:ascii="仿宋_GB2312" w:eastAsia="仿宋_GB2312"/>
          <w:color w:val="0000FF"/>
          <w:sz w:val="32"/>
          <w:szCs w:val="32"/>
        </w:rPr>
      </w:pPr>
      <w:r>
        <w:rPr>
          <w:rStyle w:val="16"/>
          <w:rFonts w:hint="eastAsia" w:ascii="仿宋" w:hAnsi="仿宋" w:eastAsia="仿宋" w:cs="仿宋"/>
          <w:b w:val="0"/>
          <w:sz w:val="32"/>
          <w:szCs w:val="32"/>
        </w:rPr>
        <w:t>15.住房保障住房公积：指行政事业单位按人力资源和社会保障部、财政部规定的基本工资和津贴补贴一级规定比例为职工缴纳的住房公积金。</w:t>
      </w:r>
    </w:p>
    <w:p>
      <w:pPr>
        <w:spacing w:line="52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spacing w:line="52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6"/>
        <w:spacing w:line="52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公务用车购置及运行费和公务接待费。其中，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20" w:lineRule="exact"/>
        <w:ind w:firstLine="640" w:firstLineChars="200"/>
        <w:rPr>
          <w:rFonts w:ascii="仿宋_GB2312" w:eastAsia="仿宋_GB2312" w:cs="黑体"/>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机关运行经费：为保障行政单位运行用于购买货物和服务的各项资金，包括办公费、印刷费、邮电费、差旅费、日常维修费、办公用房水电费、办公用房取暖费、公务用车运行维护费以及其他费用。</w:t>
      </w:r>
    </w:p>
    <w:p>
      <w:pPr>
        <w:pStyle w:val="26"/>
        <w:spacing w:line="560" w:lineRule="exact"/>
        <w:ind w:firstLine="640" w:firstLineChars="200"/>
        <w:rPr>
          <w:rFonts w:ascii="仿宋_GB2312" w:eastAsia="仿宋_GB2312" w:cs="黑体"/>
          <w:sz w:val="32"/>
          <w:szCs w:val="32"/>
        </w:rPr>
      </w:pPr>
    </w:p>
    <w:p>
      <w:pPr>
        <w:spacing w:line="600" w:lineRule="exact"/>
        <w:jc w:val="center"/>
        <w:outlineLvl w:val="0"/>
        <w:rPr>
          <w:rFonts w:ascii="黑体" w:hAnsi="黑体" w:eastAsia="黑体"/>
          <w:color w:val="000000"/>
          <w:sz w:val="44"/>
          <w:szCs w:val="44"/>
        </w:rPr>
      </w:pPr>
      <w:bookmarkStart w:id="57" w:name="_Toc15396614"/>
      <w:bookmarkStart w:id="58" w:name="_Toc15377226"/>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Style w:val="28"/>
          <w:rFonts w:ascii="黑体" w:hAnsi="黑体" w:eastAsia="黑体"/>
          <w:b w:val="0"/>
        </w:rPr>
      </w:pPr>
      <w:r>
        <w:rPr>
          <w:rFonts w:hint="eastAsia" w:ascii="黑体" w:hAnsi="黑体" w:eastAsia="黑体"/>
          <w:color w:val="000000"/>
          <w:sz w:val="44"/>
          <w:szCs w:val="44"/>
        </w:rPr>
        <w:t>第</w:t>
      </w:r>
      <w:r>
        <w:rPr>
          <w:rStyle w:val="28"/>
          <w:rFonts w:hint="eastAsia" w:ascii="黑体" w:hAnsi="黑体" w:eastAsia="黑体"/>
          <w:b w:val="0"/>
        </w:rPr>
        <w:t>四部分 附件</w:t>
      </w:r>
      <w:bookmarkEnd w:id="57"/>
    </w:p>
    <w:p>
      <w:pPr>
        <w:spacing w:line="600" w:lineRule="exact"/>
        <w:jc w:val="center"/>
        <w:outlineLvl w:val="0"/>
        <w:rPr>
          <w:rStyle w:val="28"/>
        </w:rPr>
      </w:pPr>
    </w:p>
    <w:p>
      <w:pPr>
        <w:pStyle w:val="5"/>
        <w:rPr>
          <w:rStyle w:val="28"/>
          <w:rFonts w:ascii="仿宋" w:hAnsi="仿宋" w:eastAsia="仿宋"/>
          <w:b w:val="0"/>
          <w:bCs w:val="0"/>
          <w:sz w:val="32"/>
          <w:szCs w:val="32"/>
        </w:rPr>
      </w:pPr>
      <w:bookmarkStart w:id="59" w:name="_Toc15396615"/>
      <w:r>
        <w:rPr>
          <w:rStyle w:val="28"/>
          <w:rFonts w:hint="eastAsia" w:ascii="仿宋" w:hAnsi="仿宋" w:eastAsia="仿宋"/>
          <w:b w:val="0"/>
          <w:bCs w:val="0"/>
          <w:sz w:val="32"/>
          <w:szCs w:val="32"/>
        </w:rPr>
        <w:t>附件1</w:t>
      </w:r>
      <w:bookmarkEnd w:id="59"/>
    </w:p>
    <w:p>
      <w:pPr>
        <w:spacing w:line="600" w:lineRule="exact"/>
        <w:jc w:val="center"/>
        <w:outlineLvl w:val="0"/>
        <w:rPr>
          <w:rFonts w:ascii="黑体" w:hAnsi="黑体" w:eastAsia="黑体" w:cs="方正小标宋简体"/>
          <w:sz w:val="36"/>
          <w:szCs w:val="36"/>
        </w:rPr>
      </w:pPr>
      <w:bookmarkStart w:id="60" w:name="_Toc15396616"/>
      <w:r>
        <w:rPr>
          <w:rFonts w:hint="eastAsia" w:ascii="黑体" w:hAnsi="黑体" w:eastAsia="黑体" w:cs="方正小标宋简体"/>
          <w:sz w:val="36"/>
          <w:szCs w:val="36"/>
        </w:rPr>
        <w:t>红原县统计局部门</w:t>
      </w:r>
    </w:p>
    <w:p>
      <w:pPr>
        <w:spacing w:line="600" w:lineRule="exact"/>
        <w:jc w:val="center"/>
        <w:outlineLvl w:val="0"/>
        <w:rPr>
          <w:rFonts w:ascii="黑体" w:hAnsi="黑体" w:eastAsia="黑体" w:cs="方正小标宋简体"/>
          <w:sz w:val="36"/>
          <w:szCs w:val="36"/>
        </w:rPr>
      </w:pPr>
      <w:r>
        <w:rPr>
          <w:rFonts w:hint="eastAsia" w:ascii="黑体" w:hAnsi="黑体" w:eastAsia="黑体" w:cs="方正小标宋简体"/>
          <w:sz w:val="36"/>
          <w:szCs w:val="36"/>
        </w:rPr>
        <w:t>2018年部门整体支出绩效评价报告</w:t>
      </w:r>
      <w:bookmarkEnd w:id="60"/>
    </w:p>
    <w:p>
      <w:pPr>
        <w:spacing w:line="580" w:lineRule="exact"/>
        <w:ind w:firstLine="640" w:firstLineChars="200"/>
        <w:rPr>
          <w:rFonts w:ascii="黑体" w:hAnsi="黑体" w:eastAsia="黑体" w:cs="黑体"/>
          <w:sz w:val="32"/>
          <w:szCs w:val="32"/>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ind w:firstLine="640" w:firstLineChars="200"/>
        <w:rPr>
          <w:rFonts w:ascii="仿宋" w:hAnsi="仿宋" w:eastAsia="仿宋" w:cs="仿宋_GB2312"/>
          <w:sz w:val="32"/>
          <w:szCs w:val="32"/>
        </w:rPr>
      </w:pPr>
      <w:r>
        <w:rPr>
          <w:rFonts w:ascii="仿宋" w:hAnsi="仿宋" w:eastAsia="仿宋" w:cs="仿宋_GB2312"/>
          <w:sz w:val="32"/>
          <w:szCs w:val="32"/>
        </w:rPr>
        <w:t>（一）机构组成。</w:t>
      </w:r>
    </w:p>
    <w:p>
      <w:pPr>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红原县统计局</w:t>
      </w:r>
      <w:r>
        <w:rPr>
          <w:rFonts w:hint="eastAsia" w:ascii="仿宋_GB2312" w:hAnsi="华文中宋" w:eastAsia="仿宋_GB2312"/>
          <w:bCs/>
          <w:sz w:val="32"/>
          <w:szCs w:val="32"/>
        </w:rPr>
        <w:t>是</w:t>
      </w:r>
      <w:r>
        <w:rPr>
          <w:rFonts w:hint="eastAsia" w:ascii="仿宋_GB2312" w:eastAsia="仿宋_GB2312"/>
          <w:sz w:val="32"/>
          <w:szCs w:val="32"/>
        </w:rPr>
        <w:t>独立核算的机构，是独立编报预算的单位。</w:t>
      </w:r>
      <w:r>
        <w:rPr>
          <w:rFonts w:hint="eastAsia" w:ascii="仿宋_GB2312" w:hAnsi="仿宋_GB2312" w:eastAsia="仿宋_GB2312" w:cs="仿宋_GB2312"/>
          <w:sz w:val="32"/>
          <w:szCs w:val="32"/>
        </w:rPr>
        <w:t>下设3个内设机构分别为：办公室（挂统计执法局牌子）、国民经济综合股、工农业股，一个参公事业单位为普查中心。</w:t>
      </w:r>
    </w:p>
    <w:p>
      <w:pPr>
        <w:numPr>
          <w:ilvl w:val="0"/>
          <w:numId w:val="8"/>
        </w:numPr>
        <w:ind w:firstLine="640" w:firstLineChars="200"/>
        <w:rPr>
          <w:rFonts w:ascii="仿宋" w:hAnsi="仿宋" w:eastAsia="仿宋" w:cs="仿宋_GB2312"/>
          <w:sz w:val="32"/>
          <w:szCs w:val="32"/>
        </w:rPr>
      </w:pPr>
      <w:r>
        <w:rPr>
          <w:rFonts w:ascii="仿宋" w:hAnsi="仿宋" w:eastAsia="仿宋" w:cs="仿宋_GB2312"/>
          <w:sz w:val="32"/>
          <w:szCs w:val="32"/>
        </w:rPr>
        <w:t>机构职能。</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1、负责组织实施上级业务主管部门及县委、县政府规定和下达的统计调查任务，统计现代化建设规划；组织领导和综合协调各乡镇、各部门的统计和国民经济核算工作。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2、在县委、县政府统一领导下，会同有关部门组织实施重大的国情国力普查；负责组织协调各乡镇、各部门的统计调查、社会经济调查、社会监测；组织全县统计报表的管理工作。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3、搜集、整理、提供全县性的基本统计资料，并对国民经济、社会发展和科技进步情况进行统计分析、统计预测和统计监督，向县委、县政府及有关部门提供咨询建议；搜集、整理、提供全州各县基本统计资料，并进行对比、分析研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4、统一核定、管理、公布全县性的基本统计资料，定期发布全县国民经济和社会发展情况统计公报。</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5、逐步建立、健全和管理全县统计信息自动化系统和全县统计数据数据库体系；组织协调和统一管理各乡镇、各部门的统计数据库网络。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6、组织指导统计教育、统计干部培训工作，组织实施全县统计专业职务资格的统一考试和统计人员上岗培训及资格考试的有关工作；切实抓好对统计干部的教育培训工作；指导和管理统计专业技术人员继续教育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7、依照《统计法》和《统计法实施细则》及《四川省统计管理条例》的有关规定，监督检查统计法律法规在我县的贯彻实施，组织统计执法检查，查处统计违法案件。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8、承担国家统计局阿坝调查队交办的各项统计调查任务。</w:t>
      </w:r>
    </w:p>
    <w:p>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9、加强本机关的党建、廉政建设及精神文明建设等工作。</w:t>
      </w:r>
    </w:p>
    <w:p>
      <w:pPr>
        <w:ind w:firstLine="640"/>
        <w:rPr>
          <w:rFonts w:ascii="仿宋" w:hAnsi="仿宋" w:eastAsia="仿宋"/>
          <w:bCs/>
          <w:color w:val="000000"/>
          <w:sz w:val="32"/>
          <w:szCs w:val="32"/>
        </w:rPr>
      </w:pPr>
      <w:r>
        <w:rPr>
          <w:rFonts w:hint="eastAsia" w:ascii="仿宋_GB2312" w:hAnsi="仿宋_GB2312" w:eastAsia="仿宋_GB2312" w:cs="仿宋_GB2312"/>
          <w:sz w:val="32"/>
          <w:szCs w:val="32"/>
        </w:rPr>
        <w:t>10、承办县委、县政府和上级业务主管部门交办的其他事项。</w:t>
      </w:r>
    </w:p>
    <w:p>
      <w:pPr>
        <w:spacing w:line="580" w:lineRule="exact"/>
        <w:ind w:firstLine="640" w:firstLineChars="200"/>
        <w:rPr>
          <w:rFonts w:ascii="仿宋" w:hAnsi="仿宋" w:eastAsia="仿宋" w:cs="仿宋_GB2312"/>
          <w:sz w:val="32"/>
          <w:szCs w:val="32"/>
        </w:rPr>
      </w:pPr>
    </w:p>
    <w:p>
      <w:pPr>
        <w:numPr>
          <w:ilvl w:val="0"/>
          <w:numId w:val="8"/>
        </w:numPr>
        <w:spacing w:line="580" w:lineRule="exact"/>
        <w:ind w:firstLine="640" w:firstLineChars="200"/>
        <w:rPr>
          <w:rFonts w:ascii="仿宋_GB2312" w:eastAsia="仿宋_GB2312"/>
          <w:sz w:val="32"/>
          <w:szCs w:val="32"/>
        </w:rPr>
      </w:pPr>
      <w:r>
        <w:rPr>
          <w:rFonts w:ascii="仿宋" w:hAnsi="仿宋" w:eastAsia="仿宋" w:cs="仿宋_GB2312"/>
          <w:sz w:val="32"/>
          <w:szCs w:val="32"/>
        </w:rPr>
        <w:t>人员概况。</w:t>
      </w:r>
    </w:p>
    <w:p>
      <w:pPr>
        <w:spacing w:line="580" w:lineRule="exact"/>
        <w:ind w:firstLine="640" w:firstLineChars="200"/>
        <w:rPr>
          <w:rFonts w:ascii="仿宋_GB2312" w:eastAsia="仿宋_GB2312"/>
          <w:sz w:val="32"/>
          <w:szCs w:val="32"/>
        </w:rPr>
      </w:pPr>
      <w:r>
        <w:rPr>
          <w:rFonts w:hint="eastAsia" w:ascii="仿宋_GB2312" w:hAnsi="华文中宋" w:eastAsia="仿宋_GB2312"/>
          <w:bCs/>
          <w:sz w:val="32"/>
          <w:szCs w:val="32"/>
        </w:rPr>
        <w:t>红原县统计局人事核定</w:t>
      </w:r>
      <w:r>
        <w:rPr>
          <w:rFonts w:hint="eastAsia" w:ascii="仿宋_GB2312" w:eastAsia="仿宋_GB2312"/>
          <w:sz w:val="32"/>
          <w:szCs w:val="32"/>
        </w:rPr>
        <w:t>人员编制15人（其中行政6人，行政工勤1人，参公事业8人），年末在职人员14人（其中行政6人，行政工勤1人，参公事业7人）。</w:t>
      </w:r>
    </w:p>
    <w:p>
      <w:pPr>
        <w:spacing w:line="580" w:lineRule="exact"/>
        <w:ind w:left="420" w:leftChars="200"/>
        <w:rPr>
          <w:rFonts w:ascii="仿宋" w:hAnsi="仿宋" w:eastAsia="仿宋" w:cs="仿宋_GB2312"/>
          <w:sz w:val="32"/>
          <w:szCs w:val="32"/>
        </w:rPr>
      </w:pPr>
      <w:r>
        <w:rPr>
          <w:rFonts w:hint="eastAsia" w:ascii="仿宋_GB2312" w:eastAsia="仿宋_GB2312"/>
          <w:sz w:val="32"/>
          <w:szCs w:val="32"/>
        </w:rPr>
        <w:t>本年比上年参公事业人员增加1人，原因是人员调入。</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二、部门财政资金收支情况</w:t>
      </w:r>
    </w:p>
    <w:p>
      <w:pPr>
        <w:spacing w:line="600" w:lineRule="exact"/>
        <w:ind w:firstLine="640" w:firstLineChars="200"/>
        <w:rPr>
          <w:rFonts w:ascii="仿宋" w:hAnsi="仿宋" w:eastAsia="仿宋" w:cs="仿宋_GB2312"/>
          <w:sz w:val="32"/>
          <w:szCs w:val="32"/>
        </w:rPr>
      </w:pPr>
      <w:r>
        <w:rPr>
          <w:rFonts w:ascii="仿宋" w:hAnsi="仿宋" w:eastAsia="仿宋" w:cs="仿宋_GB2312"/>
          <w:sz w:val="32"/>
          <w:szCs w:val="32"/>
        </w:rPr>
        <w:t>（一）部门财政资金收入情况。</w:t>
      </w:r>
    </w:p>
    <w:p>
      <w:pPr>
        <w:spacing w:line="600" w:lineRule="exact"/>
        <w:ind w:firstLine="640" w:firstLineChars="200"/>
        <w:rPr>
          <w:rFonts w:ascii="仿宋" w:hAnsi="仿宋" w:eastAsia="仿宋" w:cs="仿宋_GB2312"/>
          <w:sz w:val="32"/>
          <w:szCs w:val="32"/>
        </w:rPr>
      </w:pPr>
      <w:r>
        <w:rPr>
          <w:rFonts w:ascii="仿宋" w:hAnsi="仿宋" w:eastAsia="仿宋"/>
          <w:color w:val="000000"/>
          <w:sz w:val="32"/>
          <w:szCs w:val="32"/>
        </w:rPr>
        <w:t>201</w:t>
      </w:r>
      <w:r>
        <w:rPr>
          <w:rFonts w:hint="eastAsia" w:ascii="仿宋" w:hAnsi="仿宋" w:eastAsia="仿宋"/>
          <w:color w:val="000000"/>
          <w:sz w:val="32"/>
          <w:szCs w:val="32"/>
        </w:rPr>
        <w:t>8年财政拨款收入282.98万元，与</w:t>
      </w:r>
      <w:r>
        <w:rPr>
          <w:rFonts w:ascii="仿宋" w:hAnsi="仿宋" w:eastAsia="仿宋"/>
          <w:color w:val="000000"/>
          <w:sz w:val="32"/>
          <w:szCs w:val="32"/>
        </w:rPr>
        <w:t>201</w:t>
      </w:r>
      <w:r>
        <w:rPr>
          <w:rFonts w:hint="eastAsia" w:ascii="仿宋" w:hAnsi="仿宋" w:eastAsia="仿宋"/>
          <w:color w:val="000000"/>
          <w:sz w:val="32"/>
          <w:szCs w:val="32"/>
        </w:rPr>
        <w:t>7年相比，财政拨款收入总计增加38.87万元，增长15.92</w:t>
      </w:r>
      <w:r>
        <w:rPr>
          <w:rFonts w:ascii="仿宋" w:hAnsi="仿宋" w:eastAsia="仿宋"/>
          <w:color w:val="000000"/>
          <w:sz w:val="32"/>
          <w:szCs w:val="32"/>
        </w:rPr>
        <w:t>%</w:t>
      </w:r>
      <w:r>
        <w:rPr>
          <w:rFonts w:hint="eastAsia" w:ascii="仿宋" w:hAnsi="仿宋" w:eastAsia="仿宋"/>
          <w:color w:val="000000"/>
          <w:sz w:val="32"/>
          <w:szCs w:val="32"/>
        </w:rPr>
        <w:t>。</w:t>
      </w:r>
    </w:p>
    <w:p>
      <w:pPr>
        <w:numPr>
          <w:ilvl w:val="0"/>
          <w:numId w:val="9"/>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部门财政资金支出情况。</w:t>
      </w:r>
    </w:p>
    <w:p>
      <w:pPr>
        <w:spacing w:line="580" w:lineRule="exact"/>
        <w:ind w:firstLine="640" w:firstLineChars="200"/>
        <w:rPr>
          <w:rFonts w:ascii="仿宋" w:hAnsi="仿宋" w:eastAsia="仿宋" w:cs="仿宋_GB2312"/>
          <w:sz w:val="32"/>
          <w:szCs w:val="32"/>
        </w:rPr>
      </w:pPr>
      <w:r>
        <w:rPr>
          <w:rFonts w:ascii="仿宋" w:hAnsi="仿宋" w:eastAsia="仿宋"/>
          <w:color w:val="000000"/>
          <w:sz w:val="32"/>
          <w:szCs w:val="32"/>
        </w:rPr>
        <w:t>201</w:t>
      </w:r>
      <w:r>
        <w:rPr>
          <w:rFonts w:hint="eastAsia" w:ascii="仿宋" w:hAnsi="仿宋" w:eastAsia="仿宋"/>
          <w:color w:val="000000"/>
          <w:sz w:val="32"/>
          <w:szCs w:val="32"/>
        </w:rPr>
        <w:t>8年财政拨款支出总计289.98万元。与</w:t>
      </w:r>
      <w:r>
        <w:rPr>
          <w:rFonts w:ascii="仿宋" w:hAnsi="仿宋" w:eastAsia="仿宋"/>
          <w:color w:val="000000"/>
          <w:sz w:val="32"/>
          <w:szCs w:val="32"/>
        </w:rPr>
        <w:t>201</w:t>
      </w:r>
      <w:r>
        <w:rPr>
          <w:rFonts w:hint="eastAsia" w:ascii="仿宋" w:hAnsi="仿宋" w:eastAsia="仿宋"/>
          <w:color w:val="000000"/>
          <w:sz w:val="32"/>
          <w:szCs w:val="32"/>
        </w:rPr>
        <w:t>7年相比，财政拨款支出增加45.61万元，增长18.67</w:t>
      </w:r>
      <w:r>
        <w:rPr>
          <w:rFonts w:ascii="仿宋" w:hAnsi="仿宋" w:eastAsia="仿宋"/>
          <w:color w:val="000000"/>
          <w:sz w:val="32"/>
          <w:szCs w:val="32"/>
        </w:rPr>
        <w:t>%</w:t>
      </w:r>
      <w:r>
        <w:rPr>
          <w:rFonts w:hint="eastAsia" w:ascii="仿宋" w:hAnsi="仿宋" w:eastAsia="仿宋"/>
          <w:color w:val="000000"/>
          <w:sz w:val="32"/>
          <w:szCs w:val="32"/>
        </w:rPr>
        <w:t>。</w:t>
      </w:r>
    </w:p>
    <w:p>
      <w:pPr>
        <w:widowControl/>
        <w:adjustRightInd w:val="0"/>
        <w:snapToGrid w:val="0"/>
        <w:spacing w:line="560" w:lineRule="exact"/>
        <w:ind w:left="640"/>
        <w:jc w:val="left"/>
        <w:rPr>
          <w:rFonts w:ascii="黑体" w:hAnsi="黑体" w:eastAsia="黑体" w:cs="黑体"/>
          <w:sz w:val="32"/>
          <w:szCs w:val="32"/>
        </w:rPr>
      </w:pPr>
      <w:r>
        <w:rPr>
          <w:rFonts w:hint="eastAsia" w:ascii="黑体" w:hAnsi="黑体" w:eastAsia="黑体" w:cs="黑体"/>
          <w:sz w:val="32"/>
          <w:szCs w:val="32"/>
        </w:rPr>
        <w:t>三、</w:t>
      </w:r>
      <w:r>
        <w:rPr>
          <w:rFonts w:ascii="黑体" w:hAnsi="黑体" w:eastAsia="黑体" w:cs="黑体"/>
          <w:sz w:val="32"/>
          <w:szCs w:val="32"/>
        </w:rPr>
        <w:t>部门</w:t>
      </w:r>
      <w:r>
        <w:rPr>
          <w:rFonts w:hint="eastAsia" w:ascii="黑体" w:hAnsi="黑体" w:eastAsia="黑体" w:cs="黑体"/>
          <w:sz w:val="32"/>
          <w:szCs w:val="32"/>
        </w:rPr>
        <w:t>财政支出管理情况</w:t>
      </w:r>
    </w:p>
    <w:p>
      <w:pPr>
        <w:widowControl/>
        <w:adjustRightInd w:val="0"/>
        <w:snapToGrid w:val="0"/>
        <w:spacing w:line="560" w:lineRule="exact"/>
        <w:ind w:left="64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（一）预决算编制情况。</w:t>
      </w:r>
    </w:p>
    <w:p>
      <w:pPr>
        <w:spacing w:line="560" w:lineRule="exact"/>
        <w:ind w:firstLine="800" w:firstLineChars="25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根据全县部门编制预算口径和要求，确保我局部门机构正常运转、完成日常工作任务，编制2019年预算。基本支出，是用于保障我局正常运转的日常支出，包括基本工资、津贴补贴等人员经费以及办公费、印刷费、水电费、办公设备购置等日常公用经费。项目支出，是用于保障我局完成经济普查和城乡一体化工作的经费支出。</w:t>
      </w:r>
    </w:p>
    <w:p>
      <w:pPr>
        <w:widowControl/>
        <w:adjustRightInd w:val="0"/>
        <w:snapToGrid w:val="0"/>
        <w:spacing w:line="56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（二）执行管理情况。</w:t>
      </w:r>
    </w:p>
    <w:p>
      <w:pPr>
        <w:spacing w:line="560" w:lineRule="exact"/>
        <w:ind w:firstLine="800" w:firstLineChars="25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我局按照预算支出数进行预算数安排支出，财务管理坚持由领导审核，分管副局长签字报销原则。重大开支项目，由局党组会议集体研究决定，实行政府采购。经费支出由财务人员审核后签署意见，再报分管副院长签字报销；实行“办理（具体经办人）、审核（局长、会计）、审签（分管副局长）、报销（出纳）”四分离的财务管理办法。</w:t>
      </w:r>
    </w:p>
    <w:p>
      <w:pPr>
        <w:numPr>
          <w:ilvl w:val="0"/>
          <w:numId w:val="9"/>
        </w:num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综合管理情况</w:t>
      </w:r>
    </w:p>
    <w:p>
      <w:pPr>
        <w:ind w:firstLine="640" w:firstLineChars="200"/>
      </w:pPr>
      <w:r>
        <w:rPr>
          <w:rFonts w:hint="eastAsia" w:ascii="仿宋" w:hAnsi="仿宋" w:eastAsia="仿宋" w:cs="仿宋"/>
          <w:sz w:val="32"/>
          <w:szCs w:val="32"/>
        </w:rPr>
        <w:t>合理编制年度预算,统筹安排各项资金;定期编制财务报告,及时、准确反映预算执行情况,进行财务活动分析;建立健全财务管理制度,对财务活动进行监督;加强机关资产管理,防止资产流失。</w:t>
      </w:r>
      <w:r>
        <w:rPr>
          <w:rFonts w:hint="eastAsia"/>
          <w:sz w:val="32"/>
          <w:szCs w:val="32"/>
        </w:rPr>
        <w:t xml:space="preserve">      </w:t>
      </w:r>
    </w:p>
    <w:p>
      <w:pPr>
        <w:widowControl/>
        <w:adjustRightInd w:val="0"/>
        <w:snapToGrid w:val="0"/>
        <w:spacing w:line="56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（四）整体绩效。</w:t>
      </w:r>
    </w:p>
    <w:p>
      <w:pPr>
        <w:pStyle w:val="14"/>
        <w:widowControl/>
        <w:shd w:val="clear" w:color="auto" w:fill="FFFFFF"/>
        <w:spacing w:before="93" w:line="560" w:lineRule="exact"/>
        <w:ind w:firstLine="720"/>
        <w:rPr>
          <w:rFonts w:ascii="仿宋_GB2312" w:eastAsia="仿宋_GB2312" w:cs="仿宋"/>
          <w:color w:val="000000"/>
          <w:sz w:val="32"/>
          <w:szCs w:val="32"/>
        </w:rPr>
      </w:pPr>
      <w:r>
        <w:rPr>
          <w:rFonts w:hint="eastAsia" w:ascii="仿宋_GB2312" w:eastAsia="仿宋_GB2312" w:cs="仿宋"/>
          <w:color w:val="000000"/>
          <w:sz w:val="32"/>
          <w:szCs w:val="32"/>
        </w:rPr>
        <w:t>绩效管理严格按照上级部门要求，开展自评工作，对评价结果及时总结上报。</w:t>
      </w:r>
    </w:p>
    <w:p>
      <w:pPr>
        <w:widowControl/>
        <w:adjustRightInd w:val="0"/>
        <w:snapToGrid w:val="0"/>
        <w:spacing w:line="560" w:lineRule="exact"/>
        <w:ind w:firstLine="720"/>
        <w:jc w:val="left"/>
        <w:rPr>
          <w:rFonts w:ascii="黑体" w:hAnsi="黑体" w:eastAsia="黑体" w:cs="黑体"/>
          <w:b/>
          <w:bCs/>
          <w:color w:val="000000"/>
          <w:kern w:val="0"/>
          <w:sz w:val="32"/>
          <w:szCs w:val="32"/>
        </w:rPr>
      </w:pPr>
      <w:r>
        <w:rPr>
          <w:rFonts w:hint="eastAsia" w:ascii="黑体" w:hAnsi="黑体" w:eastAsia="黑体" w:cs="黑体"/>
          <w:b/>
          <w:bCs/>
          <w:color w:val="000000"/>
          <w:kern w:val="0"/>
          <w:sz w:val="32"/>
          <w:szCs w:val="32"/>
        </w:rPr>
        <w:t>四、评价结论及建议</w:t>
      </w:r>
    </w:p>
    <w:p>
      <w:pPr>
        <w:pStyle w:val="14"/>
        <w:widowControl/>
        <w:shd w:val="clear" w:color="auto" w:fill="FFFFFF"/>
        <w:spacing w:before="93" w:line="560" w:lineRule="exact"/>
        <w:ind w:firstLine="720"/>
        <w:rPr>
          <w:rFonts w:ascii="仿宋_GB2312" w:eastAsia="仿宋_GB2312" w:cs="仿宋"/>
          <w:color w:val="000000"/>
          <w:sz w:val="32"/>
          <w:szCs w:val="32"/>
        </w:rPr>
      </w:pPr>
      <w:r>
        <w:rPr>
          <w:rFonts w:hint="eastAsia" w:ascii="仿宋_GB2312" w:eastAsia="仿宋_GB2312" w:cs="仿宋"/>
          <w:color w:val="000000"/>
          <w:sz w:val="32"/>
          <w:szCs w:val="32"/>
        </w:rPr>
        <w:t>（一）评价结论。</w:t>
      </w:r>
    </w:p>
    <w:p>
      <w:pPr>
        <w:pStyle w:val="14"/>
        <w:widowControl/>
        <w:shd w:val="clear" w:color="auto" w:fill="FFFFFF"/>
        <w:spacing w:before="93" w:line="560" w:lineRule="exact"/>
        <w:ind w:firstLine="720"/>
        <w:rPr>
          <w:rFonts w:ascii="仿宋_GB2312" w:eastAsia="仿宋_GB2312" w:cs="仿宋"/>
          <w:color w:val="000000"/>
          <w:sz w:val="32"/>
          <w:szCs w:val="32"/>
        </w:rPr>
      </w:pPr>
      <w:r>
        <w:rPr>
          <w:rFonts w:hint="eastAsia" w:ascii="仿宋_GB2312" w:eastAsia="仿宋_GB2312" w:cs="仿宋"/>
          <w:color w:val="000000"/>
          <w:sz w:val="32"/>
          <w:szCs w:val="32"/>
        </w:rPr>
        <w:t>红原县统计局部门预算执行情况良好，整体评价得分为98分。无不良记录及违规违纪行为，预算支出和决算支出情况相符。</w:t>
      </w:r>
    </w:p>
    <w:p>
      <w:pPr>
        <w:pStyle w:val="14"/>
        <w:widowControl/>
        <w:shd w:val="clear" w:color="auto" w:fill="FFFFFF"/>
        <w:spacing w:before="93" w:line="560" w:lineRule="exact"/>
        <w:ind w:firstLine="640" w:firstLineChars="200"/>
        <w:rPr>
          <w:rFonts w:ascii="仿宋_GB2312" w:eastAsia="仿宋_GB2312" w:cs="仿宋"/>
          <w:color w:val="000000"/>
          <w:sz w:val="32"/>
          <w:szCs w:val="32"/>
        </w:rPr>
      </w:pPr>
      <w:r>
        <w:rPr>
          <w:rFonts w:hint="eastAsia" w:ascii="仿宋_GB2312" w:eastAsia="仿宋_GB2312" w:cs="仿宋"/>
          <w:color w:val="000000"/>
          <w:sz w:val="32"/>
          <w:szCs w:val="32"/>
        </w:rPr>
        <w:t xml:space="preserve">(二）存在问题。 </w:t>
      </w:r>
    </w:p>
    <w:p>
      <w:pPr>
        <w:pStyle w:val="14"/>
        <w:widowControl/>
        <w:shd w:val="clear" w:color="auto" w:fill="FFFFFF"/>
        <w:spacing w:before="93" w:line="560" w:lineRule="exact"/>
        <w:ind w:firstLine="640" w:firstLineChars="200"/>
        <w:rPr>
          <w:rFonts w:ascii="仿宋_GB2312" w:eastAsia="仿宋_GB2312" w:cs="仿宋"/>
          <w:color w:val="000000"/>
          <w:sz w:val="32"/>
          <w:szCs w:val="32"/>
        </w:rPr>
      </w:pPr>
      <w:r>
        <w:rPr>
          <w:rFonts w:hint="eastAsia" w:ascii="仿宋_GB2312" w:eastAsia="仿宋_GB2312" w:cs="仿宋"/>
          <w:color w:val="000000"/>
          <w:sz w:val="32"/>
          <w:szCs w:val="32"/>
        </w:rPr>
        <w:t>项目资金的使用未严格按照全年工作计划和步骤支出，前期支出进度缓慢。</w:t>
      </w:r>
    </w:p>
    <w:p>
      <w:pPr>
        <w:pStyle w:val="14"/>
        <w:widowControl/>
        <w:shd w:val="clear" w:color="auto" w:fill="FFFFFF"/>
        <w:spacing w:before="93" w:line="560" w:lineRule="exact"/>
        <w:ind w:firstLine="640" w:firstLineChars="200"/>
        <w:rPr>
          <w:rFonts w:ascii="仿宋_GB2312" w:eastAsia="仿宋_GB2312" w:cs="仿宋"/>
          <w:color w:val="000000"/>
          <w:sz w:val="32"/>
          <w:szCs w:val="32"/>
        </w:rPr>
      </w:pPr>
      <w:r>
        <w:rPr>
          <w:rFonts w:hint="eastAsia" w:ascii="仿宋_GB2312" w:eastAsia="仿宋_GB2312" w:cs="仿宋"/>
          <w:color w:val="000000"/>
          <w:sz w:val="32"/>
          <w:szCs w:val="32"/>
        </w:rPr>
        <w:t xml:space="preserve">（三）改进建议。 </w:t>
      </w:r>
    </w:p>
    <w:p>
      <w:pPr>
        <w:pStyle w:val="14"/>
        <w:widowControl/>
        <w:spacing w:before="93" w:after="150" w:line="560" w:lineRule="exact"/>
        <w:ind w:firstLine="800" w:firstLineChars="250"/>
        <w:rPr>
          <w:rFonts w:ascii="仿宋_GB2312" w:eastAsia="仿宋_GB2312" w:cs="仿宋"/>
          <w:color w:val="000000"/>
          <w:sz w:val="32"/>
          <w:szCs w:val="32"/>
        </w:rPr>
      </w:pPr>
      <w:r>
        <w:rPr>
          <w:rFonts w:hint="eastAsia" w:ascii="仿宋_GB2312" w:eastAsia="仿宋_GB2312" w:cs="仿宋"/>
          <w:color w:val="000000"/>
          <w:sz w:val="32"/>
          <w:szCs w:val="32"/>
        </w:rPr>
        <w:t>1、制定合理的年度工作计划和年度经费支出预算，确保全年经费支出均衡。对经费使用情况及时统计，并将统计情况反馈至各个股室，对不合理的支出及时进行调整，提高经费使用效益。</w:t>
      </w:r>
    </w:p>
    <w:p>
      <w:pPr>
        <w:pStyle w:val="14"/>
        <w:widowControl/>
        <w:spacing w:before="93" w:after="150" w:line="560" w:lineRule="exact"/>
        <w:ind w:firstLine="800" w:firstLineChars="250"/>
        <w:rPr>
          <w:rFonts w:ascii="仿宋_GB2312" w:eastAsia="仿宋_GB2312" w:cs="仿宋"/>
          <w:color w:val="000000"/>
          <w:sz w:val="32"/>
          <w:szCs w:val="32"/>
        </w:rPr>
      </w:pPr>
      <w:r>
        <w:rPr>
          <w:rFonts w:hint="eastAsia" w:ascii="仿宋_GB2312" w:eastAsia="仿宋_GB2312" w:cs="仿宋"/>
          <w:color w:val="000000"/>
          <w:sz w:val="32"/>
          <w:szCs w:val="32"/>
        </w:rPr>
        <w:t>2、建立和完善内部控制建设，形成系统的内部财务管理制度。加强对专项资金的管理，按工作要求加快专项资金使用进度，切实发挥资金效益。</w:t>
      </w:r>
    </w:p>
    <w:p>
      <w:pPr>
        <w:spacing w:line="580" w:lineRule="exact"/>
        <w:ind w:left="640"/>
        <w:rPr>
          <w:rFonts w:ascii="黑体" w:hAnsi="黑体" w:eastAsia="黑体" w:cs="黑体"/>
          <w:sz w:val="32"/>
          <w:szCs w:val="32"/>
        </w:rPr>
      </w:pPr>
    </w:p>
    <w:p>
      <w:pPr>
        <w:spacing w:line="580" w:lineRule="exact"/>
        <w:ind w:left="640"/>
        <w:rPr>
          <w:rFonts w:ascii="黑体" w:hAnsi="黑体" w:eastAsia="黑体" w:cs="黑体"/>
          <w:sz w:val="32"/>
          <w:szCs w:val="32"/>
        </w:rPr>
      </w:pPr>
    </w:p>
    <w:p>
      <w:pPr>
        <w:widowControl/>
        <w:jc w:val="left"/>
        <w:rPr>
          <w:rFonts w:ascii="仿宋_GB2312" w:hAnsi="仿宋_GB2312" w:eastAsia="仿宋_GB2312" w:cs="仿宋_GB2312"/>
          <w:color w:val="548DD4" w:themeColor="text2" w:themeTint="99"/>
          <w:sz w:val="32"/>
          <w:szCs w:val="32"/>
        </w:rPr>
      </w:pPr>
      <w:r>
        <w:rPr>
          <w:rFonts w:ascii="仿宋_GB2312" w:hAnsi="仿宋_GB2312" w:eastAsia="仿宋_GB2312" w:cs="仿宋_GB2312"/>
          <w:color w:val="548DD4" w:themeColor="text2" w:themeTint="99"/>
          <w:sz w:val="32"/>
          <w:szCs w:val="32"/>
        </w:rPr>
        <w:br w:type="page"/>
      </w:r>
    </w:p>
    <w:p>
      <w:pPr>
        <w:spacing w:line="600" w:lineRule="exact"/>
        <w:jc w:val="center"/>
        <w:outlineLvl w:val="0"/>
        <w:rPr>
          <w:rStyle w:val="28"/>
          <w:rFonts w:ascii="黑体" w:hAnsi="黑体" w:eastAsia="黑体"/>
          <w:b w:val="0"/>
        </w:rPr>
      </w:pPr>
      <w:bookmarkStart w:id="61" w:name="_Toc15396618"/>
      <w:r>
        <w:rPr>
          <w:rFonts w:hint="eastAsia" w:ascii="黑体" w:hAnsi="黑体" w:eastAsia="黑体"/>
          <w:color w:val="000000"/>
          <w:sz w:val="44"/>
          <w:szCs w:val="44"/>
        </w:rPr>
        <w:t>第</w:t>
      </w:r>
      <w:r>
        <w:rPr>
          <w:rStyle w:val="28"/>
          <w:rFonts w:hint="eastAsia" w:ascii="黑体" w:hAnsi="黑体" w:eastAsia="黑体"/>
          <w:b w:val="0"/>
        </w:rPr>
        <w:t>五部分 附表</w:t>
      </w:r>
      <w:bookmarkEnd w:id="58"/>
      <w:bookmarkEnd w:id="61"/>
    </w:p>
    <w:p>
      <w:pPr>
        <w:spacing w:line="600" w:lineRule="exact"/>
        <w:jc w:val="center"/>
        <w:outlineLvl w:val="0"/>
        <w:rPr>
          <w:rFonts w:ascii="仿宋" w:hAnsi="仿宋" w:eastAsia="仿宋"/>
          <w:b/>
          <w:color w:val="000000"/>
          <w:sz w:val="44"/>
          <w:szCs w:val="44"/>
        </w:rPr>
      </w:pPr>
    </w:p>
    <w:p>
      <w:pPr>
        <w:pStyle w:val="5"/>
        <w:numPr>
          <w:ilvl w:val="0"/>
          <w:numId w:val="10"/>
        </w:numPr>
        <w:rPr>
          <w:rFonts w:ascii="仿宋" w:hAnsi="仿宋" w:eastAsia="仿宋"/>
          <w:b w:val="0"/>
          <w:color w:val="000000"/>
        </w:rPr>
      </w:pPr>
      <w:bookmarkStart w:id="62" w:name="_Toc15396620"/>
      <w:r>
        <w:rPr>
          <w:rFonts w:hint="eastAsia" w:ascii="仿宋" w:hAnsi="仿宋" w:eastAsia="仿宋"/>
          <w:b w:val="0"/>
          <w:color w:val="000000"/>
        </w:rPr>
        <w:t>收入支出决算总表</w:t>
      </w:r>
    </w:p>
    <w:p>
      <w:pPr>
        <w:pStyle w:val="5"/>
        <w:rPr>
          <w:rFonts w:ascii="仿宋" w:hAnsi="仿宋" w:eastAsia="仿宋"/>
          <w:color w:val="000000"/>
        </w:rPr>
      </w:pPr>
      <w:r>
        <w:rPr>
          <w:rFonts w:hint="eastAsia" w:ascii="仿宋" w:hAnsi="仿宋" w:eastAsia="仿宋"/>
          <w:b w:val="0"/>
          <w:color w:val="000000"/>
        </w:rPr>
        <w:t>二、收</w:t>
      </w:r>
      <w:r>
        <w:rPr>
          <w:rStyle w:val="29"/>
          <w:rFonts w:hint="eastAsia" w:ascii="仿宋" w:hAnsi="仿宋" w:eastAsia="仿宋"/>
          <w:b w:val="0"/>
          <w:bCs w:val="0"/>
        </w:rPr>
        <w:t>入总表</w:t>
      </w:r>
      <w:bookmarkEnd w:id="62"/>
    </w:p>
    <w:p>
      <w:pPr>
        <w:pStyle w:val="5"/>
        <w:rPr>
          <w:rFonts w:ascii="仿宋" w:hAnsi="仿宋" w:eastAsia="仿宋"/>
          <w:color w:val="000000"/>
        </w:rPr>
      </w:pPr>
      <w:bookmarkStart w:id="63" w:name="_Toc15396621"/>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出总表</w:t>
      </w:r>
      <w:bookmarkEnd w:id="63"/>
    </w:p>
    <w:p>
      <w:pPr>
        <w:pStyle w:val="5"/>
        <w:rPr>
          <w:rFonts w:ascii="仿宋" w:hAnsi="仿宋" w:eastAsia="仿宋"/>
          <w:b w:val="0"/>
          <w:color w:val="000000"/>
        </w:rPr>
      </w:pPr>
      <w:bookmarkStart w:id="64" w:name="_Toc15396622"/>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64"/>
    </w:p>
    <w:p>
      <w:pPr>
        <w:pStyle w:val="5"/>
        <w:rPr>
          <w:rFonts w:ascii="仿宋" w:hAnsi="仿宋" w:eastAsia="仿宋"/>
          <w:color w:val="000000"/>
        </w:rPr>
      </w:pPr>
      <w:bookmarkStart w:id="65" w:name="_Toc15396623"/>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政拨款支出决算明细表（政府经济分类科目）</w:t>
      </w:r>
      <w:bookmarkEnd w:id="65"/>
    </w:p>
    <w:p>
      <w:pPr>
        <w:pStyle w:val="5"/>
        <w:rPr>
          <w:rFonts w:ascii="仿宋" w:hAnsi="仿宋" w:eastAsia="仿宋"/>
          <w:color w:val="000000"/>
        </w:rPr>
      </w:pPr>
      <w:bookmarkStart w:id="66" w:name="_Toc15396624"/>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66"/>
    </w:p>
    <w:p>
      <w:pPr>
        <w:pStyle w:val="5"/>
        <w:rPr>
          <w:rFonts w:ascii="仿宋" w:hAnsi="仿宋" w:eastAsia="仿宋"/>
          <w:color w:val="000000"/>
        </w:rPr>
      </w:pPr>
      <w:bookmarkStart w:id="67" w:name="_Toc15396625"/>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67"/>
    </w:p>
    <w:p>
      <w:pPr>
        <w:pStyle w:val="5"/>
        <w:rPr>
          <w:rFonts w:ascii="仿宋" w:hAnsi="仿宋" w:eastAsia="仿宋"/>
          <w:color w:val="000000"/>
        </w:rPr>
      </w:pPr>
      <w:bookmarkStart w:id="68" w:name="_Toc15396626"/>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68"/>
    </w:p>
    <w:p>
      <w:pPr>
        <w:pStyle w:val="5"/>
        <w:rPr>
          <w:rFonts w:ascii="仿宋" w:hAnsi="仿宋" w:eastAsia="仿宋"/>
          <w:color w:val="000000"/>
        </w:rPr>
      </w:pPr>
      <w:bookmarkStart w:id="69" w:name="_Toc15396627"/>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69"/>
    </w:p>
    <w:p>
      <w:pPr>
        <w:pStyle w:val="5"/>
        <w:rPr>
          <w:rFonts w:ascii="仿宋" w:hAnsi="仿宋" w:eastAsia="仿宋"/>
          <w:color w:val="000000"/>
        </w:rPr>
      </w:pPr>
      <w:bookmarkStart w:id="70" w:name="_Toc15396628"/>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70"/>
    </w:p>
    <w:p>
      <w:pPr>
        <w:pStyle w:val="5"/>
        <w:rPr>
          <w:rFonts w:ascii="仿宋" w:hAnsi="仿宋" w:eastAsia="仿宋"/>
          <w:color w:val="000000"/>
        </w:rPr>
      </w:pPr>
      <w:bookmarkStart w:id="71" w:name="_Toc15396629"/>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71"/>
    </w:p>
    <w:p>
      <w:pPr>
        <w:pStyle w:val="5"/>
        <w:rPr>
          <w:rFonts w:ascii="仿宋" w:hAnsi="仿宋" w:eastAsia="仿宋"/>
          <w:color w:val="000000"/>
        </w:rPr>
      </w:pPr>
      <w:bookmarkStart w:id="72" w:name="_Toc15396630"/>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72"/>
    </w:p>
    <w:p>
      <w:pPr>
        <w:pStyle w:val="5"/>
        <w:rPr>
          <w:rStyle w:val="29"/>
          <w:rFonts w:ascii="仿宋" w:hAnsi="仿宋" w:eastAsia="仿宋"/>
          <w:b w:val="0"/>
          <w:bCs w:val="0"/>
        </w:rPr>
      </w:pPr>
      <w:bookmarkStart w:id="73" w:name="_Toc15396631"/>
      <w:r>
        <w:rPr>
          <w:rStyle w:val="29"/>
          <w:rFonts w:hint="eastAsia" w:ascii="仿宋" w:hAnsi="仿宋" w:eastAsia="仿宋"/>
          <w:b w:val="0"/>
          <w:bCs w:val="0"/>
        </w:rPr>
        <w:t>十三、</w:t>
      </w:r>
      <w:r>
        <w:rPr>
          <w:rFonts w:hint="eastAsia" w:ascii="仿宋" w:hAnsi="仿宋" w:eastAsia="仿宋"/>
          <w:b w:val="0"/>
          <w:color w:val="000000"/>
        </w:rPr>
        <w:t>国</w:t>
      </w:r>
      <w:r>
        <w:rPr>
          <w:rStyle w:val="29"/>
          <w:rFonts w:hint="eastAsia" w:ascii="仿宋" w:hAnsi="仿宋" w:eastAsia="仿宋"/>
          <w:b w:val="0"/>
          <w:bCs w:val="0"/>
        </w:rPr>
        <w:t>有资本经营预算支出决算表</w:t>
      </w:r>
      <w:bookmarkEnd w:id="73"/>
    </w:p>
    <w:p>
      <w:pPr>
        <w:rPr>
          <w:rStyle w:val="29"/>
          <w:rFonts w:ascii="仿宋" w:hAnsi="仿宋" w:eastAsia="仿宋"/>
          <w:b w:val="0"/>
          <w:bCs w:val="0"/>
        </w:rPr>
      </w:pPr>
      <w:r>
        <w:rPr>
          <w:rStyle w:val="29"/>
          <w:rFonts w:hint="eastAsia" w:ascii="仿宋" w:hAnsi="仿宋" w:eastAsia="仿宋"/>
          <w:b w:val="0"/>
          <w:bCs w:val="0"/>
        </w:rPr>
        <w:t>十四、整体支出绩效评价打分表</w:t>
      </w:r>
    </w:p>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华文中宋">
    <w:altName w:val="宋体"/>
    <w:panose1 w:val="00000000000000000000"/>
    <w:charset w:val="86"/>
    <w:family w:val="auto"/>
    <w:pitch w:val="default"/>
    <w:sig w:usb0="00000000" w:usb1="00000000" w:usb2="00000000" w:usb3="00000000" w:csb0="0004009F" w:csb1="DFD7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22</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69F6AB1"/>
    <w:multiLevelType w:val="singleLevel"/>
    <w:tmpl w:val="A69F6AB1"/>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D5D81789"/>
    <w:multiLevelType w:val="singleLevel"/>
    <w:tmpl w:val="D5D81789"/>
    <w:lvl w:ilvl="0" w:tentative="0">
      <w:start w:val="3"/>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7">
    <w:nsid w:val="2617709E"/>
    <w:multiLevelType w:val="singleLevel"/>
    <w:tmpl w:val="2617709E"/>
    <w:lvl w:ilvl="0" w:tentative="0">
      <w:start w:val="2"/>
      <w:numFmt w:val="chineseCounting"/>
      <w:suff w:val="nothing"/>
      <w:lvlText w:val="（%1）"/>
      <w:lvlJc w:val="left"/>
      <w:rPr>
        <w:rFonts w:hint="eastAsia"/>
      </w:rPr>
    </w:lvl>
  </w:abstractNum>
  <w:abstractNum w:abstractNumId="8">
    <w:nsid w:val="5D5382B5"/>
    <w:multiLevelType w:val="singleLevel"/>
    <w:tmpl w:val="5D5382B5"/>
    <w:lvl w:ilvl="0" w:tentative="0">
      <w:start w:val="1"/>
      <w:numFmt w:val="chineseCounting"/>
      <w:suff w:val="nothing"/>
      <w:lvlText w:val="%1、"/>
      <w:lvlJc w:val="left"/>
    </w:lvl>
  </w:abstractNum>
  <w:abstractNum w:abstractNumId="9">
    <w:nsid w:val="7BB5599D"/>
    <w:multiLevelType w:val="singleLevel"/>
    <w:tmpl w:val="7BB5599D"/>
    <w:lvl w:ilvl="0" w:tentative="0">
      <w:start w:val="2"/>
      <w:numFmt w:val="chineseCounting"/>
      <w:suff w:val="nothing"/>
      <w:lvlText w:val="（%1）"/>
      <w:lvlJc w:val="left"/>
      <w:rPr>
        <w:rFonts w:hint="eastAsia"/>
      </w:rPr>
    </w:lvl>
  </w:abstractNum>
  <w:num w:numId="1">
    <w:abstractNumId w:val="5"/>
  </w:num>
  <w:num w:numId="2">
    <w:abstractNumId w:val="2"/>
  </w:num>
  <w:num w:numId="3">
    <w:abstractNumId w:val="0"/>
  </w:num>
  <w:num w:numId="4">
    <w:abstractNumId w:val="1"/>
  </w:num>
  <w:num w:numId="5">
    <w:abstractNumId w:val="6"/>
  </w:num>
  <w:num w:numId="6">
    <w:abstractNumId w:val="4"/>
  </w:num>
  <w:num w:numId="7">
    <w:abstractNumId w:val="3"/>
  </w:num>
  <w:num w:numId="8">
    <w:abstractNumId w:val="7"/>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940ED"/>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29BD"/>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17E22C7"/>
    <w:rsid w:val="027208B0"/>
    <w:rsid w:val="039D5FD1"/>
    <w:rsid w:val="043C3FF2"/>
    <w:rsid w:val="074E00F9"/>
    <w:rsid w:val="084B10EA"/>
    <w:rsid w:val="0A4177E0"/>
    <w:rsid w:val="0C8F0C8B"/>
    <w:rsid w:val="0F622C4F"/>
    <w:rsid w:val="10C055FF"/>
    <w:rsid w:val="11592FE3"/>
    <w:rsid w:val="16BB723D"/>
    <w:rsid w:val="18DD30BD"/>
    <w:rsid w:val="18EC3886"/>
    <w:rsid w:val="19940445"/>
    <w:rsid w:val="1CAF64DB"/>
    <w:rsid w:val="1D686AE0"/>
    <w:rsid w:val="240371BF"/>
    <w:rsid w:val="25B46BBD"/>
    <w:rsid w:val="26CF459A"/>
    <w:rsid w:val="276B08C7"/>
    <w:rsid w:val="29A7785F"/>
    <w:rsid w:val="29FD04D3"/>
    <w:rsid w:val="2AAC5860"/>
    <w:rsid w:val="2AD824DD"/>
    <w:rsid w:val="319F7F4E"/>
    <w:rsid w:val="42851A46"/>
    <w:rsid w:val="44590C90"/>
    <w:rsid w:val="45586EDD"/>
    <w:rsid w:val="4DA070EE"/>
    <w:rsid w:val="4DED0E5B"/>
    <w:rsid w:val="52C86439"/>
    <w:rsid w:val="54E01E7E"/>
    <w:rsid w:val="579346CF"/>
    <w:rsid w:val="59765701"/>
    <w:rsid w:val="5D42062A"/>
    <w:rsid w:val="67C435A4"/>
    <w:rsid w:val="698E3D51"/>
    <w:rsid w:val="6BC925D7"/>
    <w:rsid w:val="6CF26AFA"/>
    <w:rsid w:val="6D696F2C"/>
    <w:rsid w:val="6E593F7E"/>
    <w:rsid w:val="735E3AC1"/>
    <w:rsid w:val="73B73531"/>
    <w:rsid w:val="76812A06"/>
    <w:rsid w:val="78982DB7"/>
    <w:rsid w:val="78C64C10"/>
    <w:rsid w:val="79BD2F2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uiPriority w:val="1"/>
  </w:style>
  <w:style w:type="table" w:default="1" w:styleId="19">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rPr>
      <w:szCs w:val="20"/>
    </w:rPr>
  </w:style>
  <w:style w:type="paragraph" w:styleId="7">
    <w:name w:val="Body Text"/>
    <w:basedOn w:val="1"/>
    <w:link w:val="25"/>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unhideWhenUsed/>
    <w:qFormat/>
    <w:uiPriority w:val="99"/>
    <w:pPr>
      <w:jc w:val="left"/>
    </w:pPr>
    <w:rPr>
      <w:kern w:val="0"/>
      <w:sz w:val="24"/>
    </w:rPr>
  </w:style>
  <w:style w:type="character" w:styleId="16">
    <w:name w:val="Strong"/>
    <w:basedOn w:val="15"/>
    <w:qFormat/>
    <w:uiPriority w:val="99"/>
    <w:rPr>
      <w:b/>
    </w:rPr>
  </w:style>
  <w:style w:type="character" w:styleId="17">
    <w:name w:val="FollowedHyperlink"/>
    <w:basedOn w:val="15"/>
    <w:unhideWhenUsed/>
    <w:qFormat/>
    <w:uiPriority w:val="99"/>
    <w:rPr>
      <w:color w:val="232323"/>
      <w:u w:val="none"/>
    </w:rPr>
  </w:style>
  <w:style w:type="character" w:styleId="18">
    <w:name w:val="Hyperlink"/>
    <w:basedOn w:val="15"/>
    <w:unhideWhenUsed/>
    <w:qFormat/>
    <w:uiPriority w:val="99"/>
    <w:rPr>
      <w:color w:val="0000FF" w:themeColor="hyperlink"/>
      <w:u w:val="single"/>
    </w:rPr>
  </w:style>
  <w:style w:type="character" w:customStyle="1" w:styleId="20">
    <w:name w:val="Header Char"/>
    <w:basedOn w:val="15"/>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5"/>
    <w:semiHidden/>
    <w:qFormat/>
    <w:uiPriority w:val="99"/>
    <w:rPr>
      <w:rFonts w:ascii="Times New Roman" w:hAnsi="Times New Roman"/>
      <w:sz w:val="18"/>
      <w:szCs w:val="18"/>
    </w:rPr>
  </w:style>
  <w:style w:type="character" w:customStyle="1" w:styleId="23">
    <w:name w:val="页脚 Char"/>
    <w:link w:val="10"/>
    <w:qFormat/>
    <w:locked/>
    <w:uiPriority w:val="99"/>
    <w:rPr>
      <w:sz w:val="18"/>
    </w:rPr>
  </w:style>
  <w:style w:type="character" w:customStyle="1" w:styleId="24">
    <w:name w:val="Body Text Char"/>
    <w:basedOn w:val="15"/>
    <w:semiHidden/>
    <w:qFormat/>
    <w:uiPriority w:val="99"/>
    <w:rPr>
      <w:rFonts w:ascii="Times New Roman" w:hAnsi="Times New Roman"/>
      <w:szCs w:val="24"/>
    </w:rPr>
  </w:style>
  <w:style w:type="character" w:customStyle="1" w:styleId="25">
    <w:name w:val="正文文本 Char"/>
    <w:link w:val="7"/>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5"/>
    <w:link w:val="4"/>
    <w:qFormat/>
    <w:uiPriority w:val="9"/>
    <w:rPr>
      <w:rFonts w:ascii="Times New Roman" w:hAnsi="Times New Roman"/>
      <w:b/>
      <w:bCs/>
      <w:kern w:val="44"/>
      <w:sz w:val="44"/>
      <w:szCs w:val="44"/>
    </w:rPr>
  </w:style>
  <w:style w:type="character" w:customStyle="1" w:styleId="29">
    <w:name w:val="标题 2 Char"/>
    <w:basedOn w:val="15"/>
    <w:link w:val="5"/>
    <w:qFormat/>
    <w:uiPriority w:val="9"/>
    <w:rPr>
      <w:rFonts w:asciiTheme="majorHAnsi" w:hAnsiTheme="majorHAnsi" w:eastAsiaTheme="majorEastAsia" w:cstheme="majorBidi"/>
      <w:b/>
      <w:bCs/>
      <w:kern w:val="2"/>
      <w:sz w:val="32"/>
      <w:szCs w:val="32"/>
    </w:rPr>
  </w:style>
  <w:style w:type="paragraph" w:customStyle="1" w:styleId="30">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Char"/>
    <w:basedOn w:val="15"/>
    <w:link w:val="9"/>
    <w:semiHidden/>
    <w:qFormat/>
    <w:uiPriority w:val="99"/>
    <w:rPr>
      <w:rFonts w:ascii="Times New Roman" w:hAnsi="Times New Roman"/>
      <w:kern w:val="2"/>
      <w:sz w:val="18"/>
      <w:szCs w:val="18"/>
    </w:rPr>
  </w:style>
  <w:style w:type="character" w:customStyle="1" w:styleId="32">
    <w:name w:val="标题 3 Char"/>
    <w:basedOn w:val="15"/>
    <w:link w:val="6"/>
    <w:qFormat/>
    <w:uiPriority w:val="9"/>
    <w:rPr>
      <w:rFonts w:ascii="Times New Roman" w:hAnsi="Times New Roman"/>
      <w:b/>
      <w:bCs/>
      <w:kern w:val="2"/>
      <w:sz w:val="32"/>
      <w:szCs w:val="32"/>
    </w:rPr>
  </w:style>
  <w:style w:type="character" w:customStyle="1" w:styleId="33">
    <w:name w:val="tit"/>
    <w:basedOn w:val="15"/>
    <w:qFormat/>
    <w:uiPriority w:val="0"/>
    <w:rPr>
      <w:sz w:val="24"/>
      <w:szCs w:val="24"/>
    </w:rPr>
  </w:style>
  <w:style w:type="character" w:customStyle="1" w:styleId="34">
    <w:name w:val="more"/>
    <w:basedOn w:val="15"/>
    <w:qFormat/>
    <w:uiPriority w:val="0"/>
  </w:style>
  <w:style w:type="character" w:customStyle="1" w:styleId="35">
    <w:name w:val="hd-icon1"/>
    <w:basedOn w:val="15"/>
    <w:qFormat/>
    <w:uiPriority w:val="0"/>
  </w:style>
  <w:style w:type="character" w:customStyle="1" w:styleId="36">
    <w:name w:val="tit2"/>
    <w:basedOn w:val="15"/>
    <w:qFormat/>
    <w:uiPriority w:val="0"/>
    <w:rPr>
      <w:color w:val="BD090C"/>
      <w:sz w:val="30"/>
      <w:szCs w:val="30"/>
    </w:rPr>
  </w:style>
  <w:style w:type="character" w:customStyle="1" w:styleId="37">
    <w:name w:val="text"/>
    <w:basedOn w:val="15"/>
    <w:qFormat/>
    <w:uiPriority w:val="0"/>
    <w:rPr>
      <w:color w:val="FFFFFF"/>
      <w:sz w:val="24"/>
      <w:szCs w:val="24"/>
      <w:shd w:val="clear" w:color="auto" w:fill="CC0407"/>
    </w:rPr>
  </w:style>
  <w:style w:type="character" w:customStyle="1" w:styleId="38">
    <w:name w:val="hd-icon3"/>
    <w:basedOn w:val="15"/>
    <w:qFormat/>
    <w:uiPriority w:val="0"/>
  </w:style>
  <w:style w:type="character" w:customStyle="1" w:styleId="39">
    <w:name w:val="icon-hdjl"/>
    <w:basedOn w:val="15"/>
    <w:qFormat/>
    <w:uiPriority w:val="0"/>
  </w:style>
  <w:style w:type="character" w:customStyle="1" w:styleId="40">
    <w:name w:val="hd-icon2"/>
    <w:basedOn w:val="15"/>
    <w:qFormat/>
    <w:uiPriority w:val="0"/>
  </w:style>
  <w:style w:type="character" w:customStyle="1" w:styleId="41">
    <w:name w:val="hd-icon4"/>
    <w:basedOn w:val="15"/>
    <w:qFormat/>
    <w:uiPriority w:val="0"/>
  </w:style>
  <w:style w:type="character" w:customStyle="1" w:styleId="42">
    <w:name w:val="zxft-tit"/>
    <w:basedOn w:val="15"/>
    <w:qFormat/>
    <w:uiPriority w:val="0"/>
    <w:rPr>
      <w:b/>
      <w:color w:val="CB0306"/>
      <w:sz w:val="24"/>
      <w:szCs w:val="24"/>
    </w:rPr>
  </w:style>
  <w:style w:type="character" w:customStyle="1" w:styleId="43">
    <w:name w:val="icon-xxgk"/>
    <w:basedOn w:val="15"/>
    <w:qFormat/>
    <w:uiPriority w:val="0"/>
  </w:style>
  <w:style w:type="character" w:customStyle="1" w:styleId="44">
    <w:name w:val="icon-xxgk1"/>
    <w:basedOn w:val="15"/>
    <w:qFormat/>
    <w:uiPriority w:val="0"/>
  </w:style>
  <w:style w:type="character" w:customStyle="1" w:styleId="45">
    <w:name w:val="icon-bsfw"/>
    <w:basedOn w:val="15"/>
    <w:qFormat/>
    <w:uiPriority w:val="0"/>
  </w:style>
  <w:style w:type="character" w:customStyle="1" w:styleId="46">
    <w:name w:val="icon-bsfw1"/>
    <w:basedOn w:val="15"/>
    <w:qFormat/>
    <w:uiPriority w:val="0"/>
  </w:style>
  <w:style w:type="character" w:customStyle="1" w:styleId="47">
    <w:name w:val="dqwz"/>
    <w:basedOn w:val="15"/>
    <w:qFormat/>
    <w:uiPriority w:val="0"/>
  </w:style>
  <w:style w:type="character" w:customStyle="1" w:styleId="48">
    <w:name w:val="tex"/>
    <w:basedOn w:val="15"/>
    <w:qFormat/>
    <w:uiPriority w:val="0"/>
    <w:rPr>
      <w:color w:val="CC0407"/>
      <w:sz w:val="22"/>
      <w:szCs w:val="22"/>
    </w:rPr>
  </w:style>
  <w:style w:type="character" w:customStyle="1" w:styleId="49">
    <w:name w:val="more4"/>
    <w:basedOn w:val="15"/>
    <w:qFormat/>
    <w:uiPriority w:val="0"/>
  </w:style>
  <w:style w:type="character" w:customStyle="1" w:styleId="50">
    <w:name w:val="tit1"/>
    <w:basedOn w:val="15"/>
    <w:qFormat/>
    <w:uiPriority w:val="0"/>
    <w:rPr>
      <w:color w:val="BD090C"/>
      <w:sz w:val="30"/>
      <w:szCs w:val="30"/>
    </w:rPr>
  </w:style>
  <w:style w:type="character" w:customStyle="1" w:styleId="51">
    <w:name w:val="text2"/>
    <w:basedOn w:val="15"/>
    <w:qFormat/>
    <w:uiPriority w:val="0"/>
    <w:rPr>
      <w:color w:val="FFFFFF"/>
      <w:sz w:val="24"/>
      <w:szCs w:val="24"/>
      <w:shd w:val="clear" w:color="auto" w:fill="CC0407"/>
    </w:rPr>
  </w:style>
  <w:style w:type="paragraph" w:customStyle="1" w:styleId="52">
    <w:name w:val="正文1"/>
    <w:qFormat/>
    <w:uiPriority w:val="0"/>
    <w:pPr>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609C40-35C3-4BCA-A545-73D0E8EA62B2}">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27</Pages>
  <Words>9357</Words>
  <Characters>2481</Characters>
  <Lines>20</Lines>
  <Paragraphs>23</Paragraphs>
  <TotalTime>0</TotalTime>
  <ScaleCrop>false</ScaleCrop>
  <LinksUpToDate>false</LinksUpToDate>
  <CharactersWithSpaces>11815</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LENOVO</cp:lastModifiedBy>
  <cp:lastPrinted>2019-09-04T02:15:00Z</cp:lastPrinted>
  <dcterms:modified xsi:type="dcterms:W3CDTF">2019-09-06T01:11:00Z</dcterms:modified>
  <dc:title>四川省***</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