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B058D">
      <w:pPr>
        <w:pStyle w:val="13"/>
        <w:keepNext w:val="0"/>
        <w:keepLines w:val="0"/>
        <w:widowControl/>
        <w:suppressLineNumbers w:val="0"/>
        <w:ind w:left="0" w:right="75"/>
        <w:jc w:val="center"/>
        <w:rPr>
          <w:rFonts w:hint="eastAsia" w:ascii="方正小标宋简体" w:eastAsia="方正小标宋简体" w:cs="方正小标宋简体"/>
          <w:sz w:val="44"/>
          <w:szCs w:val="44"/>
        </w:rPr>
      </w:pPr>
      <w:r>
        <w:rPr>
          <w:rStyle w:val="16"/>
          <w:rFonts w:hint="eastAsia" w:ascii="方正小标宋简体" w:eastAsia="方正小标宋简体" w:cs="方正小标宋简体"/>
          <w:sz w:val="44"/>
          <w:szCs w:val="44"/>
          <w:shd w:val="clear" w:color="auto" w:fill="FFFFFF"/>
          <w:lang w:val="en-US" w:eastAsia="zh-CN"/>
        </w:rPr>
        <w:t>2026</w:t>
      </w:r>
      <w:r>
        <w:rPr>
          <w:rStyle w:val="16"/>
          <w:rFonts w:hint="eastAsia" w:ascii="方正小标宋简体" w:eastAsia="方正小标宋简体" w:cs="方正小标宋简体"/>
          <w:sz w:val="44"/>
          <w:szCs w:val="44"/>
          <w:shd w:val="clear" w:color="auto" w:fill="FFFFFF"/>
        </w:rPr>
        <w:t>年度</w:t>
      </w:r>
    </w:p>
    <w:p w14:paraId="32460B5F">
      <w:pPr>
        <w:pStyle w:val="13"/>
        <w:keepNext w:val="0"/>
        <w:keepLines w:val="0"/>
        <w:widowControl/>
        <w:suppressLineNumbers w:val="0"/>
        <w:ind w:left="0" w:right="75"/>
        <w:jc w:val="center"/>
        <w:rPr>
          <w:rStyle w:val="16"/>
          <w:rFonts w:hint="eastAsia" w:ascii="方正小标宋简体" w:eastAsia="方正小标宋简体" w:cs="方正小标宋简体"/>
          <w:sz w:val="44"/>
          <w:szCs w:val="44"/>
          <w:shd w:val="clear" w:color="auto" w:fill="FFFFFF"/>
          <w:lang w:val="en-US" w:eastAsia="zh-CN"/>
        </w:rPr>
      </w:pPr>
      <w:r>
        <w:rPr>
          <w:rStyle w:val="16"/>
          <w:rFonts w:hint="eastAsia" w:ascii="方正小标宋简体" w:eastAsia="方正小标宋简体" w:cs="方正小标宋简体"/>
          <w:sz w:val="44"/>
          <w:szCs w:val="44"/>
          <w:shd w:val="clear" w:color="auto" w:fill="FFFFFF"/>
          <w:lang w:val="en-US" w:eastAsia="zh-CN"/>
        </w:rPr>
        <w:t>中共红原县委员会统战部</w:t>
      </w:r>
    </w:p>
    <w:p w14:paraId="70995E74">
      <w:pPr>
        <w:pStyle w:val="13"/>
        <w:keepNext w:val="0"/>
        <w:keepLines w:val="0"/>
        <w:widowControl/>
        <w:suppressLineNumbers w:val="0"/>
        <w:ind w:left="0" w:right="75"/>
        <w:jc w:val="center"/>
        <w:rPr>
          <w:rFonts w:hint="eastAsia" w:ascii="方正小标宋简体" w:eastAsia="方正小标宋简体" w:cs="方正小标宋简体"/>
          <w:sz w:val="44"/>
          <w:szCs w:val="44"/>
          <w:lang w:eastAsia="zh-CN"/>
        </w:rPr>
      </w:pPr>
      <w:r>
        <w:rPr>
          <w:rStyle w:val="16"/>
          <w:rFonts w:hint="eastAsia" w:ascii="方正小标宋简体" w:eastAsia="方正小标宋简体" w:cs="方正小标宋简体"/>
          <w:sz w:val="44"/>
          <w:szCs w:val="44"/>
          <w:shd w:val="clear" w:color="auto" w:fill="FFFFFF"/>
        </w:rPr>
        <w:t>部门</w:t>
      </w:r>
      <w:r>
        <w:rPr>
          <w:rStyle w:val="16"/>
          <w:rFonts w:hint="eastAsia" w:ascii="方正小标宋简体" w:eastAsia="方正小标宋简体" w:cs="方正小标宋简体"/>
          <w:sz w:val="44"/>
          <w:szCs w:val="44"/>
          <w:shd w:val="clear" w:color="auto" w:fill="FFFFFF"/>
          <w:lang w:val="en-US" w:eastAsia="zh-CN"/>
        </w:rPr>
        <w:t>预算</w:t>
      </w:r>
      <w:r>
        <w:rPr>
          <w:rStyle w:val="16"/>
          <w:rFonts w:hint="eastAsia" w:ascii="方正小标宋简体" w:eastAsia="方正小标宋简体" w:cs="方正小标宋简体"/>
          <w:sz w:val="44"/>
          <w:szCs w:val="44"/>
          <w:shd w:val="clear" w:color="auto" w:fill="FFFFFF"/>
          <w:lang w:eastAsia="zh-CN"/>
        </w:rPr>
        <w:t>公开编制说明</w:t>
      </w:r>
    </w:p>
    <w:p w14:paraId="097F2064">
      <w:pPr>
        <w:pStyle w:val="13"/>
        <w:keepNext w:val="0"/>
        <w:keepLines w:val="0"/>
        <w:widowControl/>
        <w:suppressLineNumbers w:val="0"/>
        <w:ind w:left="0" w:right="75"/>
        <w:jc w:val="left"/>
        <w:rPr>
          <w:sz w:val="24"/>
          <w:szCs w:val="24"/>
          <w:shd w:val="clear" w:color="auto" w:fill="FFFFFF"/>
        </w:rPr>
      </w:pPr>
    </w:p>
    <w:p w14:paraId="66B3972C">
      <w:pPr>
        <w:pStyle w:val="13"/>
        <w:keepNext w:val="0"/>
        <w:keepLines w:val="0"/>
        <w:widowControl/>
        <w:suppressLineNumbers w:val="0"/>
        <w:ind w:left="0" w:right="75"/>
        <w:jc w:val="left"/>
        <w:rPr>
          <w:sz w:val="24"/>
          <w:szCs w:val="24"/>
          <w:shd w:val="clear" w:color="auto" w:fill="FFFFFF"/>
        </w:rPr>
      </w:pPr>
    </w:p>
    <w:p w14:paraId="49D94D3F">
      <w:pPr>
        <w:pStyle w:val="13"/>
        <w:keepNext w:val="0"/>
        <w:keepLines w:val="0"/>
        <w:widowControl/>
        <w:suppressLineNumbers w:val="0"/>
        <w:ind w:left="0" w:right="75"/>
        <w:jc w:val="left"/>
        <w:rPr>
          <w:sz w:val="24"/>
          <w:szCs w:val="24"/>
          <w:shd w:val="clear" w:color="auto" w:fill="FFFFFF"/>
        </w:rPr>
      </w:pPr>
    </w:p>
    <w:p w14:paraId="0249527E">
      <w:pPr>
        <w:pStyle w:val="13"/>
        <w:keepNext w:val="0"/>
        <w:keepLines w:val="0"/>
        <w:widowControl/>
        <w:suppressLineNumbers w:val="0"/>
        <w:ind w:left="0" w:right="75"/>
        <w:jc w:val="left"/>
        <w:rPr>
          <w:sz w:val="24"/>
          <w:szCs w:val="24"/>
          <w:shd w:val="clear" w:color="auto" w:fill="FFFFFF"/>
        </w:rPr>
      </w:pPr>
    </w:p>
    <w:p w14:paraId="7EB106C8">
      <w:pPr>
        <w:pStyle w:val="13"/>
        <w:keepNext w:val="0"/>
        <w:keepLines w:val="0"/>
        <w:widowControl/>
        <w:suppressLineNumbers w:val="0"/>
        <w:ind w:left="0" w:right="75"/>
        <w:jc w:val="left"/>
        <w:rPr>
          <w:sz w:val="24"/>
          <w:szCs w:val="24"/>
          <w:shd w:val="clear" w:color="auto" w:fill="FFFFFF"/>
        </w:rPr>
      </w:pPr>
    </w:p>
    <w:p w14:paraId="11AA6963">
      <w:pPr>
        <w:pStyle w:val="13"/>
        <w:keepNext w:val="0"/>
        <w:keepLines w:val="0"/>
        <w:widowControl/>
        <w:suppressLineNumbers w:val="0"/>
        <w:ind w:left="0" w:right="75"/>
        <w:jc w:val="left"/>
        <w:rPr>
          <w:sz w:val="24"/>
          <w:szCs w:val="24"/>
          <w:shd w:val="clear" w:color="auto" w:fill="FFFFFF"/>
        </w:rPr>
      </w:pPr>
    </w:p>
    <w:p w14:paraId="66297AC5">
      <w:pPr>
        <w:pStyle w:val="13"/>
        <w:keepNext w:val="0"/>
        <w:keepLines w:val="0"/>
        <w:widowControl/>
        <w:suppressLineNumbers w:val="0"/>
        <w:tabs>
          <w:tab w:val="left" w:pos="5278"/>
        </w:tabs>
        <w:ind w:left="0" w:right="75"/>
        <w:jc w:val="left"/>
        <w:rPr>
          <w:rFonts w:hint="eastAsia" w:eastAsia="宋体"/>
          <w:sz w:val="24"/>
          <w:szCs w:val="24"/>
          <w:shd w:val="clear" w:color="auto" w:fill="FFFFFF"/>
          <w:lang w:eastAsia="zh-CN"/>
        </w:rPr>
      </w:pPr>
      <w:r>
        <w:rPr>
          <w:rFonts w:hint="eastAsia"/>
          <w:sz w:val="24"/>
          <w:szCs w:val="24"/>
          <w:shd w:val="clear" w:color="auto" w:fill="FFFFFF"/>
          <w:lang w:eastAsia="zh-CN"/>
        </w:rPr>
        <w:tab/>
      </w:r>
      <w:bookmarkStart w:id="4" w:name="_GoBack"/>
      <w:bookmarkEnd w:id="4"/>
    </w:p>
    <w:p w14:paraId="73A180E6">
      <w:pPr>
        <w:pStyle w:val="13"/>
        <w:keepNext w:val="0"/>
        <w:keepLines w:val="0"/>
        <w:widowControl/>
        <w:suppressLineNumbers w:val="0"/>
        <w:ind w:left="0" w:right="75"/>
        <w:jc w:val="left"/>
        <w:rPr>
          <w:sz w:val="24"/>
          <w:szCs w:val="24"/>
          <w:shd w:val="clear" w:color="auto" w:fill="FFFFFF"/>
        </w:rPr>
      </w:pPr>
    </w:p>
    <w:p w14:paraId="409396A2">
      <w:pPr>
        <w:pStyle w:val="13"/>
        <w:keepNext w:val="0"/>
        <w:keepLines w:val="0"/>
        <w:widowControl/>
        <w:suppressLineNumbers w:val="0"/>
        <w:ind w:left="0" w:right="75"/>
        <w:jc w:val="left"/>
        <w:rPr>
          <w:sz w:val="24"/>
          <w:szCs w:val="24"/>
          <w:shd w:val="clear" w:color="auto" w:fill="FFFFFF"/>
        </w:rPr>
      </w:pPr>
    </w:p>
    <w:p w14:paraId="7C845E67">
      <w:pPr>
        <w:pStyle w:val="13"/>
        <w:keepNext w:val="0"/>
        <w:keepLines w:val="0"/>
        <w:widowControl/>
        <w:suppressLineNumbers w:val="0"/>
        <w:ind w:left="0" w:right="75"/>
        <w:jc w:val="left"/>
        <w:rPr>
          <w:sz w:val="24"/>
          <w:szCs w:val="24"/>
          <w:shd w:val="clear" w:color="auto" w:fill="FFFFFF"/>
        </w:rPr>
      </w:pPr>
    </w:p>
    <w:p w14:paraId="76E1D57B">
      <w:pPr>
        <w:pStyle w:val="13"/>
        <w:keepNext w:val="0"/>
        <w:keepLines w:val="0"/>
        <w:widowControl/>
        <w:suppressLineNumbers w:val="0"/>
        <w:ind w:left="0" w:right="75"/>
        <w:jc w:val="left"/>
        <w:rPr>
          <w:sz w:val="24"/>
          <w:szCs w:val="24"/>
          <w:shd w:val="clear" w:color="auto" w:fill="FFFFFF"/>
        </w:rPr>
      </w:pPr>
    </w:p>
    <w:p w14:paraId="4A5806ED">
      <w:pPr>
        <w:pStyle w:val="13"/>
        <w:keepNext w:val="0"/>
        <w:keepLines w:val="0"/>
        <w:widowControl/>
        <w:suppressLineNumbers w:val="0"/>
        <w:ind w:left="0" w:right="75"/>
        <w:jc w:val="left"/>
        <w:rPr>
          <w:sz w:val="24"/>
          <w:szCs w:val="24"/>
          <w:shd w:val="clear" w:color="auto" w:fill="FFFFFF"/>
        </w:rPr>
      </w:pPr>
    </w:p>
    <w:p w14:paraId="39D30E3E">
      <w:pPr>
        <w:pStyle w:val="13"/>
        <w:keepNext w:val="0"/>
        <w:keepLines w:val="0"/>
        <w:widowControl/>
        <w:suppressLineNumbers w:val="0"/>
        <w:ind w:left="0" w:right="75"/>
        <w:jc w:val="left"/>
        <w:rPr>
          <w:sz w:val="24"/>
          <w:szCs w:val="24"/>
          <w:shd w:val="clear" w:color="auto" w:fill="FFFFFF"/>
        </w:rPr>
      </w:pPr>
    </w:p>
    <w:p w14:paraId="131BD114">
      <w:pPr>
        <w:pStyle w:val="13"/>
        <w:keepNext w:val="0"/>
        <w:keepLines w:val="0"/>
        <w:widowControl/>
        <w:suppressLineNumbers w:val="0"/>
        <w:ind w:left="0" w:right="75"/>
        <w:jc w:val="left"/>
        <w:rPr>
          <w:sz w:val="24"/>
          <w:szCs w:val="24"/>
          <w:shd w:val="clear" w:color="auto" w:fill="FFFFFF"/>
        </w:rPr>
      </w:pPr>
    </w:p>
    <w:p w14:paraId="29384AB9">
      <w:pPr>
        <w:pStyle w:val="13"/>
        <w:keepNext w:val="0"/>
        <w:keepLines w:val="0"/>
        <w:widowControl/>
        <w:suppressLineNumbers w:val="0"/>
        <w:ind w:left="0" w:right="75"/>
        <w:jc w:val="left"/>
        <w:rPr>
          <w:sz w:val="24"/>
          <w:szCs w:val="24"/>
          <w:shd w:val="clear" w:color="auto" w:fill="FFFFFF"/>
        </w:rPr>
      </w:pPr>
    </w:p>
    <w:p w14:paraId="253050E4">
      <w:pPr>
        <w:pStyle w:val="13"/>
        <w:keepNext w:val="0"/>
        <w:keepLines w:val="0"/>
        <w:widowControl/>
        <w:suppressLineNumbers w:val="0"/>
        <w:ind w:left="0" w:right="75"/>
        <w:jc w:val="left"/>
      </w:pPr>
      <w:r>
        <w:rPr>
          <w:sz w:val="24"/>
          <w:szCs w:val="24"/>
          <w:shd w:val="clear" w:color="auto" w:fill="FFFFFF"/>
        </w:rPr>
        <w:t>保密审查情况：已审查，内容审定</w:t>
      </w:r>
    </w:p>
    <w:p w14:paraId="0BA535B2">
      <w:pPr>
        <w:pStyle w:val="13"/>
        <w:keepNext w:val="0"/>
        <w:keepLines w:val="0"/>
        <w:widowControl/>
        <w:suppressLineNumbers w:val="0"/>
        <w:ind w:left="0" w:right="75"/>
        <w:jc w:val="left"/>
      </w:pPr>
      <w:r>
        <w:rPr>
          <w:sz w:val="24"/>
          <w:szCs w:val="24"/>
          <w:shd w:val="clear" w:color="auto" w:fill="FFFFFF"/>
        </w:rPr>
        <w:t>部门主要负责人审签情况：已审签，同意对外公开</w:t>
      </w:r>
    </w:p>
    <w:p w14:paraId="235D497A">
      <w:pPr>
        <w:pStyle w:val="13"/>
        <w:keepNext w:val="0"/>
        <w:keepLines w:val="0"/>
        <w:widowControl/>
        <w:suppressLineNumbers w:val="0"/>
        <w:ind w:left="0" w:right="75"/>
        <w:jc w:val="both"/>
        <w:rPr>
          <w:rStyle w:val="16"/>
          <w:sz w:val="30"/>
          <w:szCs w:val="30"/>
          <w:shd w:val="clear" w:color="auto" w:fill="FFFFFF"/>
        </w:rPr>
        <w:sectPr>
          <w:pgSz w:w="11906" w:h="16838"/>
          <w:pgMar w:top="1440" w:right="1800" w:bottom="1440" w:left="1800" w:header="851" w:footer="992" w:gutter="0"/>
          <w:cols w:space="720" w:num="1"/>
          <w:docGrid w:type="lines" w:linePitch="312" w:charSpace="0"/>
        </w:sectPr>
      </w:pPr>
    </w:p>
    <w:p w14:paraId="41B15690">
      <w:pPr>
        <w:pStyle w:val="13"/>
        <w:keepNext w:val="0"/>
        <w:keepLines w:val="0"/>
        <w:widowControl/>
        <w:suppressLineNumbers w:val="0"/>
        <w:ind w:left="0" w:right="75"/>
        <w:jc w:val="center"/>
      </w:pPr>
      <w:r>
        <w:rPr>
          <w:rStyle w:val="16"/>
          <w:sz w:val="30"/>
          <w:szCs w:val="30"/>
          <w:shd w:val="clear" w:color="auto" w:fill="FFFFFF"/>
        </w:rPr>
        <w:t>目 录</w:t>
      </w:r>
    </w:p>
    <w:sdt>
      <w:sdtPr>
        <w:rPr>
          <w:rFonts w:ascii="宋体" w:eastAsia="宋体" w:cs="Times New Roman"/>
          <w:kern w:val="2"/>
          <w:sz w:val="21"/>
          <w:szCs w:val="24"/>
          <w:lang w:val="en-US" w:eastAsia="zh-CN" w:bidi="ar-SA"/>
        </w:rPr>
        <w:id w:val="-12636897"/>
        <w15:color w:val="DBDBDB"/>
        <w:docPartObj>
          <w:docPartGallery w:val="Table of Contents"/>
          <w:docPartUnique/>
        </w:docPartObj>
      </w:sdtPr>
      <w:sdtEndPr>
        <w:rPr>
          <w:rFonts w:ascii="宋体" w:eastAsia="宋体" w:cs="Times New Roman"/>
          <w:kern w:val="2"/>
          <w:sz w:val="21"/>
          <w:szCs w:val="24"/>
          <w:lang w:val="en-US" w:eastAsia="zh-CN" w:bidi="ar-SA"/>
        </w:rPr>
      </w:sdtEndPr>
      <w:sdtContent>
        <w:p w14:paraId="72595D11">
          <w:pPr>
            <w:spacing w:before="0" w:after="0" w:line="240" w:lineRule="auto"/>
            <w:ind w:left="0" w:right="0" w:firstLine="0"/>
            <w:jc w:val="center"/>
          </w:pPr>
        </w:p>
        <w:p w14:paraId="72A58551">
          <w:pPr>
            <w:pStyle w:val="11"/>
            <w:tabs>
              <w:tab w:val="right" w:leader="dot" w:pos="8306"/>
              <w:tab w:val="clear" w:pos="8296"/>
            </w:tabs>
            <w:rPr>
              <w:rFonts w:hint="eastAsia" w:ascii="仿宋_GB2312" w:eastAsia="仿宋_GB2312" w:cs="仿宋_GB2312"/>
              <w:sz w:val="30"/>
              <w:szCs w:val="30"/>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TOC \o "1-3" \h \u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_Toc27360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第一部分 部门概况</w:t>
          </w:r>
          <w:r>
            <w:rPr>
              <w:rFonts w:hint="eastAsia" w:ascii="仿宋_GB2312" w:eastAsia="仿宋_GB2312" w:cs="仿宋_GB2312"/>
              <w:sz w:val="30"/>
              <w:szCs w:val="30"/>
            </w:rPr>
            <w:tab/>
          </w: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PAGEREF _Toc27360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rPr>
            <w:t>2</w:t>
          </w:r>
          <w:r>
            <w:rPr>
              <w:rFonts w:hint="eastAsia" w:ascii="仿宋_GB2312" w:eastAsia="仿宋_GB2312" w:cs="仿宋_GB2312"/>
              <w:sz w:val="30"/>
              <w:szCs w:val="30"/>
            </w:rPr>
            <w:fldChar w:fldCharType="end"/>
          </w:r>
          <w:r>
            <w:rPr>
              <w:rFonts w:hint="eastAsia" w:ascii="仿宋_GB2312" w:eastAsia="仿宋_GB2312" w:cs="仿宋_GB2312"/>
              <w:sz w:val="30"/>
              <w:szCs w:val="30"/>
            </w:rPr>
            <w:fldChar w:fldCharType="end"/>
          </w:r>
        </w:p>
        <w:p w14:paraId="1D235282">
          <w:pPr>
            <w:pStyle w:val="12"/>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_Toc14224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一、基本职能及主要工作</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2</w:t>
          </w:r>
        </w:p>
        <w:p w14:paraId="5C557DAA">
          <w:pPr>
            <w:pStyle w:val="12"/>
            <w:tabs>
              <w:tab w:val="right" w:leader="dot" w:pos="8306"/>
              <w:tab w:val="clear" w:pos="8296"/>
            </w:tabs>
            <w:rPr>
              <w:rFonts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_Toc10295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二、机构设置</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4</w:t>
          </w:r>
        </w:p>
        <w:p w14:paraId="22F341FA">
          <w:pPr>
            <w:pStyle w:val="11"/>
            <w:tabs>
              <w:tab w:val="right" w:leader="dot" w:pos="8306"/>
              <w:tab w:val="clear" w:pos="8296"/>
            </w:tabs>
            <w:rPr>
              <w:rFonts w:hint="eastAsia" w:ascii="仿宋_GB2312" w:eastAsia="仿宋_GB2312" w:cs="仿宋_GB2312"/>
              <w:sz w:val="30"/>
              <w:szCs w:val="30"/>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_Toc6796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第二部分</w:t>
          </w:r>
          <w:r>
            <w:rPr>
              <w:rFonts w:hint="eastAsia" w:ascii="仿宋_GB2312" w:eastAsia="仿宋_GB2312" w:cs="仿宋_GB2312"/>
              <w:sz w:val="30"/>
              <w:szCs w:val="30"/>
              <w:shd w:val="clear" w:color="auto" w:fill="FFFFFF"/>
              <w:lang w:val="en-US" w:eastAsia="zh-CN"/>
            </w:rPr>
            <w:t>2026</w:t>
          </w:r>
          <w:r>
            <w:rPr>
              <w:rFonts w:hint="eastAsia" w:ascii="仿宋_GB2312" w:eastAsia="仿宋_GB2312" w:cs="仿宋_GB2312"/>
              <w:sz w:val="30"/>
              <w:szCs w:val="30"/>
              <w:shd w:val="clear" w:color="auto" w:fill="FFFFFF"/>
            </w:rPr>
            <w:t>年度部门</w:t>
          </w:r>
          <w:r>
            <w:rPr>
              <w:rFonts w:hint="eastAsia" w:ascii="仿宋_GB2312" w:eastAsia="仿宋_GB2312" w:cs="仿宋_GB2312"/>
              <w:sz w:val="30"/>
              <w:szCs w:val="30"/>
              <w:shd w:val="clear" w:color="auto" w:fill="FFFFFF"/>
              <w:lang w:val="en-US" w:eastAsia="zh-CN"/>
            </w:rPr>
            <w:t>预算</w:t>
          </w:r>
          <w:r>
            <w:rPr>
              <w:rFonts w:hint="eastAsia" w:ascii="仿宋_GB2312" w:eastAsia="仿宋_GB2312" w:cs="仿宋_GB2312"/>
              <w:sz w:val="30"/>
              <w:szCs w:val="30"/>
              <w:shd w:val="clear" w:color="auto" w:fill="FFFFFF"/>
            </w:rPr>
            <w:t>情况说明</w:t>
          </w:r>
          <w:r>
            <w:rPr>
              <w:rFonts w:hint="eastAsia" w:ascii="仿宋_GB2312" w:eastAsia="仿宋_GB2312" w:cs="仿宋_GB2312"/>
              <w:sz w:val="30"/>
              <w:szCs w:val="30"/>
            </w:rPr>
            <w:tab/>
          </w:r>
          <w:r>
            <w:rPr>
              <w:rFonts w:hint="eastAsia" w:ascii="仿宋_GB2312" w:eastAsia="仿宋_GB2312" w:cs="仿宋_GB2312"/>
              <w:sz w:val="30"/>
              <w:szCs w:val="30"/>
              <w:lang w:val="en-US" w:eastAsia="zh-CN"/>
            </w:rPr>
            <w:t>4</w:t>
          </w:r>
          <w:r>
            <w:rPr>
              <w:rFonts w:hint="eastAsia" w:ascii="仿宋_GB2312" w:eastAsia="仿宋_GB2312" w:cs="仿宋_GB2312"/>
              <w:sz w:val="30"/>
              <w:szCs w:val="30"/>
            </w:rPr>
            <w:fldChar w:fldCharType="end"/>
          </w:r>
        </w:p>
        <w:p w14:paraId="276B232F">
          <w:pPr>
            <w:pStyle w:val="12"/>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_Toc23902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一、 收支</w:t>
          </w:r>
          <w:r>
            <w:rPr>
              <w:rFonts w:hint="eastAsia" w:ascii="仿宋_GB2312" w:eastAsia="仿宋_GB2312" w:cs="仿宋_GB2312"/>
              <w:sz w:val="30"/>
              <w:szCs w:val="30"/>
              <w:shd w:val="clear" w:color="auto" w:fill="FFFFFF"/>
              <w:lang w:val="en-US" w:eastAsia="zh-CN"/>
            </w:rPr>
            <w:t>预算</w:t>
          </w:r>
          <w:r>
            <w:rPr>
              <w:rFonts w:hint="eastAsia" w:ascii="仿宋_GB2312" w:eastAsia="仿宋_GB2312" w:cs="仿宋_GB2312"/>
              <w:sz w:val="30"/>
              <w:szCs w:val="30"/>
              <w:shd w:val="clear" w:color="auto" w:fill="FFFFFF"/>
            </w:rPr>
            <w:t>总体情况说明</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4</w:t>
          </w:r>
        </w:p>
        <w:p w14:paraId="5C776C2A">
          <w:pPr>
            <w:pStyle w:val="12"/>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_Toc21346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lang w:eastAsia="zh-CN"/>
            </w:rPr>
            <w:t xml:space="preserve">二、 </w:t>
          </w:r>
          <w:r>
            <w:rPr>
              <w:rFonts w:hint="eastAsia" w:ascii="仿宋_GB2312" w:eastAsia="仿宋_GB2312" w:cs="仿宋_GB2312"/>
              <w:sz w:val="30"/>
              <w:szCs w:val="30"/>
              <w:shd w:val="clear" w:color="auto" w:fill="FFFFFF"/>
              <w:lang w:val="en-US" w:eastAsia="zh-CN"/>
            </w:rPr>
            <w:t>支出预算安排情况表</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4</w:t>
          </w:r>
        </w:p>
        <w:p w14:paraId="0C69343A">
          <w:pPr>
            <w:pStyle w:val="12"/>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_Toc21019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 xml:space="preserve">三、 </w:t>
          </w:r>
          <w:r>
            <w:rPr>
              <w:rFonts w:hint="eastAsia" w:ascii="仿宋_GB2312" w:eastAsia="仿宋_GB2312" w:cs="仿宋_GB2312"/>
              <w:sz w:val="30"/>
              <w:szCs w:val="30"/>
              <w:shd w:val="clear" w:color="auto" w:fill="FFFFFF"/>
              <w:lang w:val="en-US" w:eastAsia="zh-CN"/>
            </w:rPr>
            <w:t>较上度增减变化</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5</w:t>
          </w:r>
        </w:p>
        <w:p w14:paraId="58B91EF2">
          <w:pPr>
            <w:pStyle w:val="12"/>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_Toc7956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四、 “三公”经费</w:t>
          </w:r>
          <w:r>
            <w:rPr>
              <w:rFonts w:hint="eastAsia" w:ascii="仿宋_GB2312" w:eastAsia="仿宋_GB2312" w:cs="仿宋_GB2312"/>
              <w:sz w:val="30"/>
              <w:szCs w:val="30"/>
              <w:shd w:val="clear" w:color="auto" w:fill="FFFFFF"/>
              <w:lang w:val="en-US" w:eastAsia="zh-CN"/>
            </w:rPr>
            <w:t>预算</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5</w:t>
          </w:r>
        </w:p>
        <w:p w14:paraId="3B723EE0">
          <w:pPr>
            <w:pStyle w:val="12"/>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_Toc23149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五、</w:t>
          </w:r>
          <w:r>
            <w:rPr>
              <w:rFonts w:hint="eastAsia" w:ascii="仿宋_GB2312" w:eastAsia="仿宋_GB2312" w:cs="仿宋_GB2312"/>
              <w:sz w:val="30"/>
              <w:szCs w:val="30"/>
              <w:shd w:val="clear" w:color="auto" w:fill="FFFFFF"/>
              <w:lang w:val="en-US" w:eastAsia="zh-CN"/>
            </w:rPr>
            <w:t xml:space="preserve"> </w:t>
          </w:r>
          <w:r>
            <w:rPr>
              <w:rFonts w:hint="eastAsia" w:ascii="仿宋_GB2312" w:eastAsia="仿宋_GB2312" w:cs="仿宋_GB2312"/>
              <w:sz w:val="30"/>
              <w:szCs w:val="30"/>
              <w:shd w:val="clear" w:color="auto" w:fill="FFFFFF"/>
            </w:rPr>
            <w:t>政府性基金预算</w:t>
          </w:r>
          <w:r>
            <w:rPr>
              <w:rFonts w:hint="eastAsia" w:ascii="仿宋_GB2312" w:eastAsia="仿宋_GB2312" w:cs="仿宋_GB2312"/>
              <w:sz w:val="30"/>
              <w:szCs w:val="30"/>
              <w:shd w:val="clear" w:color="auto" w:fill="FFFFFF"/>
              <w:lang w:val="en-US" w:eastAsia="zh-CN"/>
            </w:rPr>
            <w:t>收支</w:t>
          </w:r>
          <w:r>
            <w:rPr>
              <w:rFonts w:hint="eastAsia" w:ascii="仿宋_GB2312" w:eastAsia="仿宋_GB2312" w:cs="仿宋_GB2312"/>
              <w:sz w:val="30"/>
              <w:szCs w:val="30"/>
              <w:shd w:val="clear" w:color="auto" w:fill="FFFFFF"/>
            </w:rPr>
            <w:t>情况说明</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6</w:t>
          </w:r>
        </w:p>
        <w:p w14:paraId="3D6C377B">
          <w:pPr>
            <w:pStyle w:val="12"/>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_Toc2180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lang w:eastAsia="zh-CN"/>
            </w:rPr>
            <w:t>六、</w:t>
          </w:r>
          <w:r>
            <w:rPr>
              <w:rFonts w:hint="eastAsia" w:ascii="仿宋_GB2312" w:eastAsia="仿宋_GB2312" w:cs="仿宋_GB2312"/>
              <w:sz w:val="30"/>
              <w:szCs w:val="30"/>
              <w:shd w:val="clear" w:color="auto" w:fill="FFFFFF"/>
            </w:rPr>
            <w:t>国有资本经营预算</w:t>
          </w:r>
          <w:r>
            <w:rPr>
              <w:rFonts w:hint="eastAsia" w:ascii="仿宋_GB2312" w:eastAsia="仿宋_GB2312" w:cs="仿宋_GB2312"/>
              <w:sz w:val="30"/>
              <w:szCs w:val="30"/>
              <w:shd w:val="clear" w:color="auto" w:fill="FFFFFF"/>
              <w:lang w:val="en-US" w:eastAsia="zh-CN"/>
            </w:rPr>
            <w:t>收支</w:t>
          </w:r>
          <w:r>
            <w:rPr>
              <w:rFonts w:hint="eastAsia" w:ascii="仿宋_GB2312" w:eastAsia="仿宋_GB2312" w:cs="仿宋_GB2312"/>
              <w:sz w:val="30"/>
              <w:szCs w:val="30"/>
              <w:shd w:val="clear" w:color="auto" w:fill="FFFFFF"/>
            </w:rPr>
            <w:t>情况说明</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6</w:t>
          </w:r>
        </w:p>
        <w:p w14:paraId="609C8356">
          <w:pPr>
            <w:pStyle w:val="12"/>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_Toc18699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七、其他重要事项的情况说明</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6</w:t>
          </w:r>
        </w:p>
        <w:p w14:paraId="7C001CD8">
          <w:pPr>
            <w:pStyle w:val="11"/>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_Toc26931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第三部分 名词解释</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7</w:t>
          </w:r>
        </w:p>
        <w:p w14:paraId="1B48F0AE">
          <w:pPr>
            <w:pStyle w:val="11"/>
            <w:tabs>
              <w:tab w:val="right" w:leader="dot" w:pos="8306"/>
              <w:tab w:val="clear" w:pos="8296"/>
            </w:tabs>
            <w:jc w:val="both"/>
            <w:rPr>
              <w:rFonts w:hint="default"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_Toc29972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第</w:t>
          </w:r>
          <w:r>
            <w:rPr>
              <w:rFonts w:hint="eastAsia" w:ascii="仿宋_GB2312" w:eastAsia="仿宋_GB2312" w:cs="仿宋_GB2312"/>
              <w:sz w:val="30"/>
              <w:szCs w:val="30"/>
              <w:shd w:val="clear" w:color="auto" w:fill="FFFFFF"/>
              <w:lang w:val="en-US" w:eastAsia="zh-CN"/>
            </w:rPr>
            <w:t>四</w:t>
          </w:r>
          <w:r>
            <w:rPr>
              <w:rFonts w:hint="eastAsia" w:ascii="仿宋_GB2312" w:eastAsia="仿宋_GB2312" w:cs="仿宋_GB2312"/>
              <w:sz w:val="30"/>
              <w:szCs w:val="30"/>
              <w:shd w:val="clear" w:color="auto" w:fill="FFFFFF"/>
            </w:rPr>
            <w:t>部分 附表</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9</w:t>
          </w:r>
        </w:p>
        <w:p w14:paraId="5802BA29">
          <w:r>
            <w:rPr>
              <w:rFonts w:hint="eastAsia" w:ascii="仿宋_GB2312" w:eastAsia="仿宋_GB2312" w:cs="仿宋_GB2312"/>
              <w:sz w:val="30"/>
              <w:szCs w:val="30"/>
            </w:rPr>
            <w:fldChar w:fldCharType="end"/>
          </w:r>
        </w:p>
      </w:sdtContent>
    </w:sdt>
    <w:p w14:paraId="00AEAAD8">
      <w:pPr>
        <w:pStyle w:val="13"/>
        <w:keepNext w:val="0"/>
        <w:keepLines w:val="0"/>
        <w:widowControl/>
        <w:suppressLineNumbers w:val="0"/>
        <w:ind w:left="0" w:right="75"/>
        <w:jc w:val="center"/>
        <w:outlineLvl w:val="0"/>
        <w:rPr>
          <w:rFonts w:hint="eastAsia" w:ascii="黑体" w:eastAsia="黑体" w:cs="黑体"/>
          <w:sz w:val="44"/>
          <w:szCs w:val="44"/>
          <w:shd w:val="clear" w:color="auto" w:fill="FFFFFF"/>
        </w:rPr>
      </w:pPr>
      <w:bookmarkStart w:id="0" w:name="_Toc27360"/>
    </w:p>
    <w:p w14:paraId="24F37FBB">
      <w:pPr>
        <w:pStyle w:val="13"/>
        <w:keepNext w:val="0"/>
        <w:keepLines w:val="0"/>
        <w:widowControl/>
        <w:suppressLineNumbers w:val="0"/>
        <w:ind w:left="0" w:right="75"/>
        <w:jc w:val="center"/>
        <w:outlineLvl w:val="0"/>
        <w:rPr>
          <w:rFonts w:hint="eastAsia" w:ascii="黑体" w:eastAsia="黑体" w:cs="黑体"/>
          <w:sz w:val="44"/>
          <w:szCs w:val="44"/>
          <w:shd w:val="clear" w:color="auto" w:fill="FFFFFF"/>
        </w:rPr>
      </w:pPr>
    </w:p>
    <w:p w14:paraId="28E3F7A6">
      <w:pPr>
        <w:pStyle w:val="13"/>
        <w:keepNext w:val="0"/>
        <w:keepLines w:val="0"/>
        <w:widowControl/>
        <w:suppressLineNumbers w:val="0"/>
        <w:ind w:left="0" w:right="75"/>
        <w:jc w:val="center"/>
        <w:outlineLvl w:val="0"/>
        <w:rPr>
          <w:rFonts w:hint="eastAsia" w:ascii="黑体" w:eastAsia="黑体" w:cs="黑体"/>
          <w:sz w:val="44"/>
          <w:szCs w:val="44"/>
          <w:shd w:val="clear" w:color="auto" w:fill="FFFFFF"/>
        </w:rPr>
      </w:pPr>
    </w:p>
    <w:p w14:paraId="6362EB24">
      <w:pPr>
        <w:pStyle w:val="13"/>
        <w:keepNext w:val="0"/>
        <w:keepLines w:val="0"/>
        <w:widowControl/>
        <w:suppressLineNumbers w:val="0"/>
        <w:ind w:left="0" w:right="75"/>
        <w:jc w:val="center"/>
        <w:outlineLvl w:val="0"/>
        <w:rPr>
          <w:rFonts w:hint="eastAsia" w:ascii="黑体" w:eastAsia="黑体" w:cs="黑体"/>
          <w:sz w:val="44"/>
          <w:szCs w:val="44"/>
          <w:shd w:val="clear" w:color="auto" w:fill="FFFFFF"/>
        </w:rPr>
      </w:pPr>
    </w:p>
    <w:p w14:paraId="7645AE24">
      <w:pPr>
        <w:pStyle w:val="13"/>
        <w:keepNext w:val="0"/>
        <w:keepLines w:val="0"/>
        <w:widowControl/>
        <w:suppressLineNumbers w:val="0"/>
        <w:ind w:left="0" w:right="75"/>
        <w:jc w:val="center"/>
        <w:outlineLvl w:val="0"/>
        <w:rPr>
          <w:rFonts w:hint="eastAsia" w:ascii="黑体" w:eastAsia="黑体" w:cs="黑体"/>
          <w:sz w:val="44"/>
          <w:szCs w:val="44"/>
        </w:rPr>
      </w:pPr>
      <w:r>
        <w:rPr>
          <w:rFonts w:hint="eastAsia" w:ascii="黑体" w:eastAsia="黑体" w:cs="黑体"/>
          <w:sz w:val="44"/>
          <w:szCs w:val="44"/>
          <w:shd w:val="clear" w:color="auto" w:fill="FFFFFF"/>
        </w:rPr>
        <w:t>第一部分 部门概况</w:t>
      </w:r>
      <w:bookmarkEnd w:id="0"/>
    </w:p>
    <w:p w14:paraId="7EF917A5">
      <w:pPr>
        <w:pStyle w:val="5"/>
        <w:adjustRightInd w:val="0"/>
        <w:snapToGrid w:val="0"/>
        <w:spacing w:before="0" w:beforeLines="0" w:line="560" w:lineRule="exact"/>
        <w:rPr>
          <w:rFonts w:ascii="黑体" w:eastAsia="黑体"/>
          <w:sz w:val="32"/>
          <w:szCs w:val="32"/>
        </w:rPr>
      </w:pPr>
      <w:r>
        <w:rPr>
          <w:rFonts w:hint="eastAsia" w:ascii="黑体" w:eastAsia="黑体"/>
          <w:sz w:val="32"/>
          <w:szCs w:val="32"/>
        </w:rPr>
        <w:t>一、基本职能及主要工作</w:t>
      </w:r>
    </w:p>
    <w:p w14:paraId="7E0FF793">
      <w:pPr>
        <w:pStyle w:val="5"/>
        <w:adjustRightInd w:val="0"/>
        <w:snapToGrid w:val="0"/>
        <w:spacing w:line="560" w:lineRule="exact"/>
        <w:ind w:firstLine="671" w:firstLineChars="209"/>
        <w:rPr>
          <w:rFonts w:ascii="楷体_GB2312" w:eastAsia="楷体_GB2312" w:cs="楷体_GB2312"/>
          <w:b/>
          <w:sz w:val="32"/>
          <w:szCs w:val="32"/>
        </w:rPr>
      </w:pPr>
      <w:r>
        <w:rPr>
          <w:rFonts w:hint="eastAsia" w:ascii="楷体_GB2312" w:eastAsia="楷体_GB2312" w:cs="楷体_GB2312"/>
          <w:b/>
          <w:sz w:val="32"/>
          <w:szCs w:val="32"/>
        </w:rPr>
        <w:t>（一）基本职能</w:t>
      </w:r>
    </w:p>
    <w:p w14:paraId="3A575471">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组织贯彻执行中央、省委、州委、县委关于统一战线的方针、政策；调查研究统一战线有关理论和政策；向县委反映情况，提出开展统战工作的意见和建议。</w:t>
      </w:r>
    </w:p>
    <w:p w14:paraId="1291B33B">
      <w:pPr>
        <w:spacing w:line="576" w:lineRule="exact"/>
        <w:ind w:firstLine="640" w:firstLineChars="200"/>
        <w:rPr>
          <w:rFonts w:ascii="仿宋_GB2312" w:eastAsia="仿宋_GB2312"/>
          <w:sz w:val="32"/>
          <w:szCs w:val="32"/>
        </w:rPr>
      </w:pPr>
      <w:r>
        <w:rPr>
          <w:rFonts w:hint="eastAsia" w:ascii="仿宋_GB2312" w:eastAsia="仿宋_GB2312"/>
          <w:sz w:val="32"/>
          <w:szCs w:val="32"/>
        </w:rPr>
        <w:t>负责联系我县无党派代表人士，及时通报情况、了解和反映他们的意见和建议；研究、贯彻、督促、检查党领导的多党合作、政治协商制度</w:t>
      </w:r>
      <w:r>
        <w:rPr>
          <w:rFonts w:ascii="仿宋_GB2312" w:eastAsia="仿宋_GB2312"/>
          <w:sz w:val="32"/>
          <w:szCs w:val="32"/>
        </w:rPr>
        <w:t>。</w:t>
      </w:r>
    </w:p>
    <w:p w14:paraId="4A0B411F">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负责联系工商界；调查、研究并反映我县非公有制</w:t>
      </w:r>
      <w:r>
        <w:rPr>
          <w:rFonts w:hint="eastAsia" w:ascii="仿宋_GB2312" w:eastAsia="仿宋_GB2312"/>
          <w:sz w:val="32"/>
          <w:szCs w:val="32"/>
          <w:lang w:val="en-US" w:eastAsia="zh-CN"/>
        </w:rPr>
        <w:t xml:space="preserve"> </w:t>
      </w:r>
      <w:r>
        <w:rPr>
          <w:rFonts w:hint="eastAsia" w:ascii="仿宋_GB2312" w:eastAsia="仿宋_GB2312"/>
          <w:sz w:val="32"/>
          <w:szCs w:val="32"/>
        </w:rPr>
        <w:t>经济代表人物的情况、协调关系、研究并提出政策性建议；组织和推动社会各界、工商联及统一战线各个方面积极为经济建设服务。</w:t>
      </w:r>
    </w:p>
    <w:p w14:paraId="383324EA">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调查研究我县党外知识分子的情况，反映意见、协调关系，提出建议，联系并积极培养党外知识分子的代表人物。</w:t>
      </w:r>
    </w:p>
    <w:p w14:paraId="1DA08E91">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指导县工商联的工作。</w:t>
      </w:r>
    </w:p>
    <w:p w14:paraId="73D347AE">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指导县佛教协会的工作。</w:t>
      </w:r>
    </w:p>
    <w:p w14:paraId="35AA6E24">
      <w:pPr>
        <w:pStyle w:val="5"/>
        <w:adjustRightInd w:val="0"/>
        <w:snapToGrid w:val="0"/>
        <w:spacing w:line="560" w:lineRule="exact"/>
        <w:ind w:firstLine="671" w:firstLineChars="209"/>
        <w:rPr>
          <w:rFonts w:ascii="楷体_GB2312" w:eastAsia="楷体_GB2312" w:cs="楷体_GB2312"/>
          <w:b/>
          <w:sz w:val="32"/>
          <w:szCs w:val="32"/>
        </w:rPr>
      </w:pPr>
      <w:r>
        <w:rPr>
          <w:rFonts w:hint="eastAsia" w:ascii="楷体_GB2312" w:eastAsia="楷体_GB2312" w:cs="楷体_GB2312"/>
          <w:b/>
          <w:sz w:val="32"/>
          <w:szCs w:val="32"/>
        </w:rPr>
        <w:t>（二）</w:t>
      </w:r>
      <w:r>
        <w:rPr>
          <w:rFonts w:hint="eastAsia" w:ascii="楷体_GB2312" w:eastAsia="楷体_GB2312" w:cs="楷体_GB2312"/>
          <w:b/>
          <w:sz w:val="32"/>
          <w:szCs w:val="32"/>
          <w:lang w:val="en-US" w:eastAsia="zh-CN"/>
        </w:rPr>
        <w:t>2026</w:t>
      </w:r>
      <w:r>
        <w:rPr>
          <w:rFonts w:hint="eastAsia" w:ascii="楷体_GB2312" w:eastAsia="楷体_GB2312" w:cs="楷体_GB2312"/>
          <w:b/>
          <w:sz w:val="32"/>
          <w:szCs w:val="32"/>
        </w:rPr>
        <w:t>年重点工作任务</w:t>
      </w:r>
    </w:p>
    <w:p w14:paraId="0B8F707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val="0"/>
          <w:kern w:val="0"/>
          <w:sz w:val="32"/>
          <w:szCs w:val="32"/>
          <w:lang w:bidi="ar-SA"/>
        </w:rPr>
      </w:pPr>
      <w:r>
        <w:rPr>
          <w:rFonts w:hint="default" w:ascii="Times New Roman" w:hAnsi="Times New Roman" w:eastAsia="仿宋_GB2312" w:cs="Times New Roman"/>
          <w:b/>
          <w:bCs w:val="0"/>
          <w:sz w:val="32"/>
          <w:szCs w:val="32"/>
          <w:lang w:val="en-US" w:eastAsia="zh-CN"/>
        </w:rPr>
        <w:t>一是党外干部管理规范有序</w:t>
      </w:r>
      <w:r>
        <w:rPr>
          <w:rFonts w:hint="default" w:ascii="Times New Roman" w:hAnsi="Times New Roman" w:eastAsia="仿宋_GB2312" w:cs="Times New Roman"/>
          <w:b w:val="0"/>
          <w:bCs/>
          <w:sz w:val="32"/>
          <w:szCs w:val="32"/>
          <w:lang w:val="en-US" w:eastAsia="zh-CN"/>
        </w:rPr>
        <w:t>。</w:t>
      </w:r>
      <w:r>
        <w:rPr>
          <w:rFonts w:hint="default" w:ascii="Times New Roman" w:hAnsi="Times New Roman" w:eastAsia="仿宋_GB2312" w:cs="Times New Roman"/>
          <w:b w:val="0"/>
          <w:kern w:val="0"/>
          <w:sz w:val="32"/>
          <w:szCs w:val="32"/>
          <w:lang w:bidi="ar-SA"/>
        </w:rPr>
        <w:t>按照“掌握政策、反映情况、协调关系、安排人事”原则，突出“团结、奋斗”两大主题，稳步推进党外代表人士培养、教育和管理。扎实做好党外干部选育管用工作，完成全县党外领导干部、副高级以上职称党外知识分子信息采集和人头档案建立工作，积极推荐党外干部参加省、州培训。全年组织党外人士开展调查研究，通过提案、议案等形式为全县经济社会发展建言献策，充分发挥其参政议政、维护社会稳定、促进高质量发展的积极作用。</w:t>
      </w:r>
    </w:p>
    <w:p w14:paraId="20EE8B14">
      <w:pPr>
        <w:spacing w:line="560" w:lineRule="exact"/>
        <w:ind w:firstLine="321" w:firstLineChars="100"/>
        <w:rPr>
          <w:rFonts w:hint="default" w:ascii="Times New Roman" w:hAnsi="Times New Roman" w:eastAsia="仿宋_GB2312" w:cs="Times New Roman"/>
          <w:b w:val="0"/>
          <w:kern w:val="0"/>
          <w:sz w:val="32"/>
          <w:szCs w:val="32"/>
          <w:lang w:bidi="ar-SA"/>
        </w:rPr>
      </w:pPr>
      <w:r>
        <w:rPr>
          <w:rFonts w:hint="default" w:ascii="Times New Roman" w:hAnsi="Times New Roman" w:eastAsia="仿宋_GB2312" w:cs="Times New Roman"/>
          <w:b/>
          <w:bCs w:val="0"/>
          <w:sz w:val="32"/>
          <w:szCs w:val="32"/>
          <w:lang w:val="en-US" w:eastAsia="zh-CN"/>
        </w:rPr>
        <w:t>二是非公有制经济工作有序推进</w:t>
      </w:r>
      <w:r>
        <w:rPr>
          <w:rFonts w:hint="default" w:ascii="Times New Roman" w:hAnsi="Times New Roman" w:eastAsia="仿宋_GB2312" w:cs="Times New Roman"/>
          <w:b w:val="0"/>
          <w:bCs/>
          <w:sz w:val="32"/>
          <w:szCs w:val="32"/>
          <w:lang w:val="en-US" w:eastAsia="zh-CN"/>
        </w:rPr>
        <w:t>。</w:t>
      </w:r>
      <w:r>
        <w:rPr>
          <w:rFonts w:hint="default" w:ascii="Times New Roman" w:hAnsi="Times New Roman" w:eastAsia="仿宋_GB2312" w:cs="Times New Roman"/>
          <w:b w:val="0"/>
          <w:kern w:val="0"/>
          <w:sz w:val="32"/>
          <w:szCs w:val="32"/>
          <w:lang w:bidi="ar-SA"/>
        </w:rPr>
        <w:t>充分发挥统战部与工商联联系非公有制经济人士的桥梁纽带作用和管理非公有制经济的助手作用，坚持 “团结、帮助、引导、教育” 工作方针，通过座谈、走访等形式与非公经济人士交心谈心，了解解决经营困难，促进民营经济 “两个健康” 发展。加强对非公经济人士的教育引导，全面完成非公经济企业各类数据收集。</w:t>
      </w:r>
    </w:p>
    <w:p w14:paraId="7C10B24A">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rPr>
          <w:rFonts w:hint="default" w:ascii="Times New Roman" w:hAnsi="Times New Roman" w:eastAsia="仿宋_GB2312" w:cs="Times New Roman"/>
          <w:b w:val="0"/>
          <w:spacing w:val="2"/>
          <w:sz w:val="32"/>
          <w:szCs w:val="32"/>
          <w:lang w:val="en-US" w:eastAsia="zh-CN"/>
        </w:rPr>
      </w:pPr>
      <w:r>
        <w:rPr>
          <w:rFonts w:hint="eastAsia" w:ascii="Times New Roman" w:hAnsi="Times New Roman" w:eastAsia="仿宋_GB2312" w:cs="Times New Roman"/>
          <w:b/>
          <w:bCs w:val="0"/>
          <w:sz w:val="32"/>
          <w:szCs w:val="32"/>
          <w:lang w:val="en-US" w:eastAsia="zh-CN"/>
        </w:rPr>
        <w:t>三</w:t>
      </w:r>
      <w:r>
        <w:rPr>
          <w:rFonts w:hint="default" w:ascii="Times New Roman" w:hAnsi="Times New Roman" w:eastAsia="仿宋_GB2312" w:cs="Times New Roman"/>
          <w:b/>
          <w:bCs w:val="0"/>
          <w:sz w:val="32"/>
          <w:szCs w:val="32"/>
          <w:lang w:val="en-US" w:eastAsia="zh-CN"/>
        </w:rPr>
        <w:t>是</w:t>
      </w:r>
      <w:r>
        <w:rPr>
          <w:rFonts w:hint="eastAsia" w:ascii="Times New Roman" w:hAnsi="Times New Roman" w:eastAsia="仿宋_GB2312" w:cs="Times New Roman"/>
          <w:b/>
          <w:bCs w:val="0"/>
          <w:sz w:val="32"/>
          <w:szCs w:val="32"/>
          <w:lang w:val="en-US" w:eastAsia="zh-CN"/>
        </w:rPr>
        <w:t>县佛协工作健全工作机制</w:t>
      </w:r>
      <w:r>
        <w:rPr>
          <w:rFonts w:hint="default" w:ascii="Times New Roman" w:hAnsi="Times New Roman" w:eastAsia="仿宋_GB2312" w:cs="Times New Roman"/>
          <w:b w:val="0"/>
          <w:bCs/>
          <w:sz w:val="32"/>
          <w:szCs w:val="32"/>
          <w:lang w:val="en-US" w:eastAsia="zh-CN"/>
        </w:rPr>
        <w:t>。</w:t>
      </w:r>
      <w:r>
        <w:rPr>
          <w:rFonts w:hint="default" w:ascii="Times New Roman" w:hAnsi="Times New Roman" w:eastAsia="仿宋_GB2312" w:cs="Times New Roman"/>
          <w:b w:val="0"/>
          <w:spacing w:val="2"/>
          <w:sz w:val="32"/>
          <w:szCs w:val="32"/>
          <w:lang w:eastAsia="zh-CN"/>
        </w:rPr>
        <w:t>我会成立教规戒律教育工作及高僧大德宣讲团领导小组，制定工作方案，明确责任分工。各寺庙与寺管会主责主力，层层压实责任，强化教内规范管理，推动佛教活动依法依规开展</w:t>
      </w:r>
      <w:r>
        <w:rPr>
          <w:rFonts w:hint="eastAsia" w:ascii="Times New Roman" w:hAnsi="Times New Roman" w:eastAsia="仿宋_GB2312" w:cs="Times New Roman"/>
          <w:b w:val="0"/>
          <w:spacing w:val="2"/>
          <w:sz w:val="32"/>
          <w:szCs w:val="32"/>
          <w:lang w:eastAsia="zh-CN"/>
        </w:rPr>
        <w:t>；</w:t>
      </w:r>
      <w:r>
        <w:rPr>
          <w:rFonts w:hint="default" w:ascii="Times New Roman" w:hAnsi="Times New Roman" w:eastAsia="仿宋_GB2312" w:cs="Times New Roman"/>
          <w:b w:val="0"/>
          <w:spacing w:val="2"/>
          <w:sz w:val="32"/>
          <w:szCs w:val="32"/>
          <w:lang w:eastAsia="zh-CN"/>
        </w:rPr>
        <w:t>县佛协年初在红原县经堂展会议室召开</w:t>
      </w:r>
      <w:r>
        <w:rPr>
          <w:rFonts w:hint="default" w:ascii="Times New Roman" w:hAnsi="Times New Roman" w:eastAsia="仿宋_GB2312" w:cs="Times New Roman"/>
          <w:b w:val="0"/>
          <w:spacing w:val="2"/>
          <w:sz w:val="32"/>
          <w:szCs w:val="32"/>
          <w:lang w:val="en-US" w:eastAsia="zh-CN"/>
        </w:rPr>
        <w:t>藏传佛教寺庙教规戒律</w:t>
      </w:r>
      <w:r>
        <w:rPr>
          <w:rFonts w:hint="default" w:ascii="Times New Roman" w:hAnsi="Times New Roman" w:eastAsia="仿宋_GB2312" w:cs="Times New Roman"/>
          <w:b w:val="0"/>
          <w:spacing w:val="2"/>
          <w:sz w:val="32"/>
          <w:szCs w:val="32"/>
          <w:lang w:eastAsia="zh-CN"/>
        </w:rPr>
        <w:t>教育活动启动仪式，全县10座寺庙民管会主任及寺庙主要负责人参会。</w:t>
      </w:r>
    </w:p>
    <w:p w14:paraId="4364CDE9">
      <w:pPr>
        <w:keepNext w:val="0"/>
        <w:keepLines w:val="0"/>
        <w:pageBreakBefore w:val="0"/>
        <w:widowControl w:val="0"/>
        <w:kinsoku/>
        <w:wordWrap/>
        <w:overflowPunct/>
        <w:topLinePunct w:val="0"/>
        <w:autoSpaceDE/>
        <w:autoSpaceDN/>
        <w:bidi w:val="0"/>
        <w:adjustRightInd/>
        <w:snapToGrid/>
        <w:spacing w:before="0" w:after="0" w:line="576" w:lineRule="exact"/>
        <w:ind w:left="0" w:leftChars="0" w:right="0" w:rightChars="0" w:firstLine="667" w:firstLineChars="200"/>
        <w:jc w:val="left"/>
        <w:textAlignment w:val="auto"/>
        <w:outlineLvl w:val="9"/>
        <w:rPr>
          <w:rFonts w:hint="default" w:ascii="Times New Roman" w:hAnsi="Times New Roman" w:eastAsia="仿宋_GB2312" w:cs="Times New Roman"/>
          <w:b w:val="0"/>
          <w:bCs/>
          <w:sz w:val="32"/>
          <w:szCs w:val="32"/>
          <w:lang w:val="en-US" w:eastAsia="zh-CN"/>
        </w:rPr>
      </w:pPr>
      <w:r>
        <w:rPr>
          <w:rFonts w:hint="eastAsia" w:ascii="Times New Roman" w:hAnsi="Times New Roman" w:eastAsia="仿宋_GB2312" w:cs="Times New Roman"/>
          <w:b/>
          <w:bCs w:val="0"/>
          <w:spacing w:val="6"/>
          <w:sz w:val="32"/>
          <w:szCs w:val="32"/>
          <w:lang w:val="en-US" w:eastAsia="zh-CN"/>
        </w:rPr>
        <w:t>四是</w:t>
      </w:r>
      <w:r>
        <w:rPr>
          <w:rFonts w:hint="default" w:ascii="Times New Roman" w:hAnsi="Times New Roman" w:eastAsia="仿宋_GB2312" w:cs="Times New Roman"/>
          <w:b/>
          <w:bCs w:val="0"/>
          <w:spacing w:val="6"/>
          <w:sz w:val="32"/>
          <w:szCs w:val="32"/>
          <w:lang w:val="en-US" w:eastAsia="zh-CN"/>
        </w:rPr>
        <w:t>藏胞工作方面</w:t>
      </w:r>
      <w:r>
        <w:rPr>
          <w:rFonts w:hint="default" w:ascii="Times New Roman" w:hAnsi="Times New Roman" w:eastAsia="仿宋_GB2312" w:cs="Times New Roman"/>
          <w:b/>
          <w:bCs w:val="0"/>
          <w:sz w:val="32"/>
          <w:szCs w:val="32"/>
          <w:lang w:val="en-US" w:eastAsia="zh-CN"/>
        </w:rPr>
        <w:t>优化流程</w:t>
      </w:r>
      <w:r>
        <w:rPr>
          <w:rFonts w:hint="default" w:ascii="Times New Roman" w:hAnsi="Times New Roman" w:eastAsia="仿宋_GB2312" w:cs="Times New Roman"/>
          <w:b w:val="0"/>
          <w:bCs/>
          <w:sz w:val="32"/>
          <w:szCs w:val="32"/>
          <w:lang w:val="en-US" w:eastAsia="zh-CN"/>
        </w:rPr>
        <w:t>，做细审核审批工作。</w:t>
      </w:r>
      <w:r>
        <w:rPr>
          <w:rFonts w:hint="default" w:ascii="Times New Roman" w:hAnsi="Times New Roman" w:eastAsia="仿宋_GB2312" w:cs="Times New Roman"/>
          <w:b w:val="0"/>
          <w:bCs/>
          <w:sz w:val="32"/>
          <w:szCs w:val="32"/>
          <w:lang w:eastAsia="zh-CN"/>
        </w:rPr>
        <w:t>我办</w:t>
      </w:r>
      <w:r>
        <w:rPr>
          <w:rFonts w:hint="default" w:ascii="Times New Roman" w:hAnsi="Times New Roman" w:eastAsia="仿宋_GB2312" w:cs="Times New Roman"/>
          <w:b w:val="0"/>
          <w:bCs/>
          <w:sz w:val="32"/>
          <w:szCs w:val="32"/>
        </w:rPr>
        <w:t>严格按照省藏胞办《关于贯彻落实中央统战部&lt;关于加强境外藏胞回国探访审批管理工作事&gt;的通知》要求，坚持“爱国一家、爱国不分先后”的方针和“区别对待、个别审批”“谁审批、谁负责”的审批管理原则，</w:t>
      </w:r>
      <w:r>
        <w:rPr>
          <w:rFonts w:hint="default" w:ascii="Times New Roman" w:hAnsi="Times New Roman" w:eastAsia="仿宋_GB2312" w:cs="Times New Roman"/>
          <w:b w:val="0"/>
          <w:bCs/>
          <w:sz w:val="32"/>
          <w:szCs w:val="32"/>
          <w:lang w:eastAsia="zh-CN"/>
        </w:rPr>
        <w:t>精准开展境外藏胞探访审批核查，加大审批同意率。</w:t>
      </w:r>
      <w:r>
        <w:rPr>
          <w:rFonts w:hint="default" w:ascii="Times New Roman" w:hAnsi="Times New Roman" w:eastAsia="仿宋_GB2312" w:cs="Times New Roman"/>
          <w:b w:val="0"/>
          <w:bCs/>
          <w:sz w:val="32"/>
          <w:szCs w:val="32"/>
        </w:rPr>
        <w:t>乡镇党委政府、乡镇派出所逐层签属意见，</w:t>
      </w:r>
      <w:r>
        <w:rPr>
          <w:rFonts w:hint="default" w:ascii="Times New Roman" w:hAnsi="Times New Roman" w:eastAsia="仿宋_GB2312" w:cs="Times New Roman"/>
          <w:b w:val="0"/>
          <w:bCs/>
          <w:sz w:val="32"/>
          <w:szCs w:val="32"/>
          <w:lang w:eastAsia="zh-CN"/>
        </w:rPr>
        <w:t>再联合公安部门进行分析研判</w:t>
      </w:r>
      <w:r>
        <w:rPr>
          <w:rFonts w:hint="default" w:ascii="Times New Roman" w:hAnsi="Times New Roman" w:eastAsia="仿宋_GB2312" w:cs="Times New Roman"/>
          <w:b w:val="0"/>
          <w:bCs/>
          <w:sz w:val="32"/>
          <w:szCs w:val="32"/>
        </w:rPr>
        <w:t>，</w:t>
      </w:r>
      <w:r>
        <w:rPr>
          <w:rFonts w:hint="default" w:ascii="Times New Roman" w:hAnsi="Times New Roman" w:eastAsia="仿宋_GB2312" w:cs="Times New Roman"/>
          <w:b w:val="0"/>
          <w:bCs/>
          <w:sz w:val="32"/>
          <w:szCs w:val="32"/>
          <w:lang w:eastAsia="zh-CN"/>
        </w:rPr>
        <w:t>把审定意见及时上报州藏胞办</w:t>
      </w:r>
      <w:r>
        <w:rPr>
          <w:rFonts w:hint="default" w:ascii="Times New Roman" w:hAnsi="Times New Roman" w:eastAsia="仿宋_GB2312" w:cs="Times New Roman"/>
          <w:b w:val="0"/>
          <w:bCs/>
          <w:sz w:val="32"/>
          <w:szCs w:val="32"/>
        </w:rPr>
        <w:t>，</w:t>
      </w:r>
      <w:r>
        <w:rPr>
          <w:rFonts w:hint="default" w:ascii="Times New Roman" w:hAnsi="Times New Roman" w:eastAsia="仿宋_GB2312" w:cs="Times New Roman"/>
          <w:b w:val="0"/>
          <w:bCs/>
          <w:sz w:val="32"/>
          <w:szCs w:val="32"/>
          <w:lang w:eastAsia="zh-CN"/>
        </w:rPr>
        <w:t>严格规范审批流程，做到层层深入、逐步核定。</w:t>
      </w:r>
      <w:r>
        <w:rPr>
          <w:rFonts w:hint="default" w:ascii="Times New Roman" w:hAnsi="Times New Roman" w:eastAsia="仿宋_GB2312" w:cs="Times New Roman"/>
          <w:b w:val="0"/>
          <w:bCs/>
          <w:sz w:val="32"/>
          <w:szCs w:val="32"/>
        </w:rPr>
        <w:t>坚持以人为本的原则，主动关心</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帮助藏胞，积极引导他们自觉维护祖国统一、民族团结和社会稳定。我办坚持深入基层，深入相关部门，进一步</w:t>
      </w:r>
      <w:r>
        <w:rPr>
          <w:rFonts w:hint="default" w:ascii="Times New Roman" w:hAnsi="Times New Roman" w:eastAsia="仿宋_GB2312" w:cs="Times New Roman"/>
          <w:b w:val="0"/>
          <w:bCs/>
          <w:sz w:val="32"/>
          <w:szCs w:val="32"/>
          <w:lang w:eastAsia="zh-CN"/>
        </w:rPr>
        <w:t>完善</w:t>
      </w:r>
      <w:r>
        <w:rPr>
          <w:rFonts w:hint="default" w:ascii="Times New Roman" w:hAnsi="Times New Roman" w:eastAsia="仿宋_GB2312" w:cs="Times New Roman"/>
          <w:b w:val="0"/>
          <w:bCs/>
          <w:sz w:val="32"/>
          <w:szCs w:val="32"/>
        </w:rPr>
        <w:t>境外藏胞的基础数据，建立健全人头档案。逢年过节，积极进行对回国定居藏胞和境外回国探访藏胞走访慰问，妥善处理他们</w:t>
      </w:r>
      <w:r>
        <w:rPr>
          <w:rFonts w:hint="default" w:ascii="Times New Roman" w:hAnsi="Times New Roman" w:eastAsia="仿宋_GB2312" w:cs="Times New Roman"/>
          <w:b w:val="0"/>
          <w:bCs/>
          <w:sz w:val="32"/>
          <w:szCs w:val="32"/>
          <w:lang w:eastAsia="zh-CN"/>
        </w:rPr>
        <w:t>的</w:t>
      </w:r>
      <w:r>
        <w:rPr>
          <w:rFonts w:hint="default" w:ascii="Times New Roman" w:hAnsi="Times New Roman" w:eastAsia="仿宋_GB2312" w:cs="Times New Roman"/>
          <w:b w:val="0"/>
          <w:bCs/>
          <w:sz w:val="32"/>
          <w:szCs w:val="32"/>
        </w:rPr>
        <w:t>合理诉求和实际困难，体现祖国的关怀与温暖。</w:t>
      </w:r>
    </w:p>
    <w:p w14:paraId="68939626">
      <w:pPr>
        <w:spacing w:line="560" w:lineRule="exact"/>
        <w:rPr>
          <w:rFonts w:hint="eastAsia" w:ascii="黑体" w:eastAsia="黑体"/>
          <w:sz w:val="32"/>
          <w:szCs w:val="32"/>
        </w:rPr>
      </w:pPr>
      <w:r>
        <w:rPr>
          <w:rFonts w:hint="eastAsia" w:ascii="黑体" w:eastAsia="黑体"/>
          <w:sz w:val="32"/>
          <w:szCs w:val="32"/>
        </w:rPr>
        <w:t>二、部门预算单位构成</w:t>
      </w:r>
    </w:p>
    <w:p w14:paraId="0769D245">
      <w:pPr>
        <w:pStyle w:val="2"/>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default" w:eastAsia="仿宋_GB2312"/>
          <w:b w:val="0"/>
          <w:bCs/>
          <w:lang w:val="en-US" w:eastAsia="zh-CN"/>
        </w:rPr>
      </w:pPr>
      <w:bookmarkStart w:id="1" w:name="_Toc6796"/>
      <w:r>
        <w:rPr>
          <w:rFonts w:hint="eastAsia" w:ascii="仿宋_GB2312" w:hAnsi="仿宋_GB2312" w:eastAsia="仿宋_GB2312" w:cs="仿宋_GB2312"/>
          <w:b w:val="0"/>
          <w:bCs/>
          <w:sz w:val="32"/>
          <w:szCs w:val="32"/>
        </w:rPr>
        <w:t>我</w:t>
      </w:r>
      <w:r>
        <w:rPr>
          <w:rFonts w:hint="eastAsia" w:ascii="仿宋_GB2312" w:hAnsi="仿宋_GB2312" w:eastAsia="仿宋_GB2312" w:cs="仿宋_GB2312"/>
          <w:b w:val="0"/>
          <w:bCs/>
          <w:sz w:val="32"/>
          <w:szCs w:val="32"/>
          <w:lang w:eastAsia="zh-CN"/>
        </w:rPr>
        <w:t>单位</w:t>
      </w:r>
      <w:r>
        <w:rPr>
          <w:rFonts w:hint="eastAsia" w:ascii="仿宋_GB2312" w:hAnsi="仿宋_GB2312" w:eastAsia="仿宋_GB2312" w:cs="仿宋_GB2312"/>
          <w:b w:val="0"/>
          <w:bCs/>
          <w:sz w:val="32"/>
          <w:szCs w:val="32"/>
        </w:rPr>
        <w:t>为独立核算全额拨款行政单位</w:t>
      </w:r>
      <w:r>
        <w:rPr>
          <w:rFonts w:hint="eastAsia" w:ascii="仿宋_GB2312" w:hAnsi="仿宋_GB2312" w:eastAsia="仿宋_GB2312" w:cs="仿宋_GB2312"/>
          <w:b w:val="0"/>
          <w:bCs/>
          <w:sz w:val="32"/>
          <w:szCs w:val="32"/>
          <w:lang w:val="en-US" w:eastAsia="zh-CN"/>
        </w:rPr>
        <w:t>和事业单位，</w:t>
      </w:r>
      <w:r>
        <w:rPr>
          <w:rFonts w:hint="eastAsia" w:ascii="仿宋_GB2312" w:hAnsi="仿宋_GB2312" w:eastAsia="仿宋_GB2312" w:cs="仿宋_GB2312"/>
          <w:b w:val="0"/>
          <w:bCs/>
          <w:sz w:val="32"/>
          <w:szCs w:val="32"/>
          <w:lang w:eastAsia="zh-CN"/>
        </w:rPr>
        <w:t>机构改革后县佛教协会归口统战部统一管理。单位行政编制</w:t>
      </w:r>
      <w:r>
        <w:rPr>
          <w:rFonts w:hint="eastAsia" w:ascii="仿宋_GB2312" w:hAnsi="仿宋_GB2312" w:eastAsia="仿宋_GB2312" w:cs="仿宋_GB2312"/>
          <w:b w:val="0"/>
          <w:bCs/>
          <w:sz w:val="32"/>
          <w:szCs w:val="32"/>
          <w:lang w:val="en-US" w:eastAsia="zh-CN"/>
        </w:rPr>
        <w:t>11</w:t>
      </w:r>
      <w:r>
        <w:rPr>
          <w:rFonts w:hint="eastAsia" w:ascii="仿宋_GB2312" w:hAnsi="仿宋_GB2312" w:eastAsia="仿宋_GB2312" w:cs="仿宋_GB2312"/>
          <w:b w:val="0"/>
          <w:bCs/>
          <w:sz w:val="32"/>
          <w:szCs w:val="32"/>
          <w:lang w:eastAsia="zh-CN"/>
        </w:rPr>
        <w:t>人，行政工勤编制</w:t>
      </w:r>
      <w:r>
        <w:rPr>
          <w:rFonts w:hint="eastAsia" w:ascii="仿宋_GB2312" w:hAnsi="仿宋_GB2312" w:eastAsia="仿宋_GB2312" w:cs="仿宋_GB2312"/>
          <w:b w:val="0"/>
          <w:bCs/>
          <w:sz w:val="32"/>
          <w:szCs w:val="32"/>
          <w:lang w:val="en-US"/>
        </w:rPr>
        <w:t>1</w:t>
      </w:r>
      <w:r>
        <w:rPr>
          <w:rFonts w:hint="eastAsia" w:ascii="仿宋_GB2312" w:hAnsi="仿宋_GB2312" w:eastAsia="仿宋_GB2312" w:cs="仿宋_GB2312"/>
          <w:b w:val="0"/>
          <w:bCs/>
          <w:sz w:val="32"/>
          <w:szCs w:val="32"/>
          <w:lang w:eastAsia="zh-CN"/>
        </w:rPr>
        <w:t>人，事业编制</w:t>
      </w:r>
      <w:r>
        <w:rPr>
          <w:rFonts w:hint="eastAsia" w:ascii="仿宋_GB2312" w:hAnsi="仿宋_GB2312" w:eastAsia="仿宋_GB2312" w:cs="仿宋_GB2312"/>
          <w:b w:val="0"/>
          <w:bCs/>
          <w:sz w:val="32"/>
          <w:szCs w:val="32"/>
          <w:lang w:val="en-US"/>
        </w:rPr>
        <w:t>2</w:t>
      </w:r>
      <w:r>
        <w:rPr>
          <w:rFonts w:hint="eastAsia" w:ascii="仿宋_GB2312" w:hAnsi="仿宋_GB2312" w:eastAsia="仿宋_GB2312" w:cs="仿宋_GB2312"/>
          <w:b w:val="0"/>
          <w:bCs/>
          <w:sz w:val="32"/>
          <w:szCs w:val="32"/>
          <w:lang w:eastAsia="zh-CN"/>
        </w:rPr>
        <w:t>人，佛协：行政编制</w:t>
      </w:r>
      <w:r>
        <w:rPr>
          <w:rFonts w:hint="eastAsia" w:ascii="仿宋_GB2312" w:hAnsi="仿宋_GB2312" w:eastAsia="仿宋_GB2312" w:cs="仿宋_GB2312"/>
          <w:b w:val="0"/>
          <w:bCs/>
          <w:sz w:val="32"/>
          <w:szCs w:val="32"/>
          <w:lang w:val="en-US"/>
        </w:rPr>
        <w:t>2</w:t>
      </w:r>
      <w:r>
        <w:rPr>
          <w:rFonts w:hint="eastAsia" w:ascii="仿宋_GB2312" w:hAnsi="仿宋_GB2312" w:eastAsia="仿宋_GB2312" w:cs="仿宋_GB2312"/>
          <w:b w:val="0"/>
          <w:bCs/>
          <w:sz w:val="32"/>
          <w:szCs w:val="32"/>
          <w:lang w:eastAsia="zh-CN"/>
        </w:rPr>
        <w:t>人，事业编制</w:t>
      </w:r>
      <w:r>
        <w:rPr>
          <w:rFonts w:hint="eastAsia" w:ascii="仿宋_GB2312" w:hAnsi="仿宋_GB2312" w:eastAsia="仿宋_GB2312" w:cs="仿宋_GB2312"/>
          <w:b w:val="0"/>
          <w:bCs/>
          <w:sz w:val="32"/>
          <w:szCs w:val="32"/>
          <w:lang w:val="en-US"/>
        </w:rPr>
        <w:t>2</w:t>
      </w:r>
      <w:r>
        <w:rPr>
          <w:rFonts w:hint="eastAsia" w:ascii="仿宋_GB2312" w:hAnsi="仿宋_GB2312" w:eastAsia="仿宋_GB2312" w:cs="仿宋_GB2312"/>
          <w:b w:val="0"/>
          <w:bCs/>
          <w:sz w:val="32"/>
          <w:szCs w:val="32"/>
          <w:lang w:eastAsia="zh-CN"/>
        </w:rPr>
        <w:t>人，事业工勤</w:t>
      </w:r>
      <w:r>
        <w:rPr>
          <w:rFonts w:hint="eastAsia" w:ascii="仿宋_GB2312" w:hAnsi="仿宋_GB2312" w:eastAsia="仿宋_GB2312" w:cs="仿宋_GB2312"/>
          <w:b w:val="0"/>
          <w:bCs/>
          <w:sz w:val="32"/>
          <w:szCs w:val="32"/>
          <w:lang w:val="en-US"/>
        </w:rPr>
        <w:t>1</w:t>
      </w:r>
      <w:r>
        <w:rPr>
          <w:rFonts w:hint="eastAsia" w:ascii="仿宋_GB2312" w:hAnsi="仿宋_GB2312" w:eastAsia="仿宋_GB2312" w:cs="仿宋_GB2312"/>
          <w:b w:val="0"/>
          <w:bCs/>
          <w:sz w:val="32"/>
          <w:szCs w:val="32"/>
          <w:lang w:eastAsia="zh-CN"/>
        </w:rPr>
        <w:t>人。</w:t>
      </w:r>
    </w:p>
    <w:p w14:paraId="497F15C6">
      <w:pPr>
        <w:spacing w:line="576" w:lineRule="exact"/>
        <w:jc w:val="center"/>
        <w:rPr>
          <w:rFonts w:ascii="黑体" w:eastAsia="黑体"/>
          <w:sz w:val="32"/>
          <w:szCs w:val="32"/>
        </w:rPr>
      </w:pPr>
      <w:r>
        <w:rPr>
          <w:rFonts w:hint="eastAsia" w:ascii="黑体" w:eastAsia="黑体" w:cs="黑体"/>
          <w:sz w:val="44"/>
          <w:szCs w:val="44"/>
          <w:lang w:val="en-US" w:eastAsia="zh-CN"/>
        </w:rPr>
        <w:t>第二部分</w:t>
      </w:r>
      <w:r>
        <w:rPr>
          <w:rFonts w:hint="eastAsia" w:ascii="黑体" w:eastAsia="黑体" w:cs="黑体"/>
          <w:sz w:val="44"/>
          <w:szCs w:val="44"/>
          <w:shd w:val="clear" w:color="auto" w:fill="FFFFFF"/>
          <w:lang w:val="en-US" w:eastAsia="zh-CN"/>
        </w:rPr>
        <w:t>2026</w:t>
      </w:r>
      <w:r>
        <w:rPr>
          <w:rFonts w:hint="eastAsia" w:ascii="黑体" w:eastAsia="黑体" w:cs="黑体"/>
          <w:sz w:val="44"/>
          <w:szCs w:val="44"/>
          <w:shd w:val="clear" w:color="auto" w:fill="FFFFFF"/>
        </w:rPr>
        <w:t>年度部门</w:t>
      </w:r>
      <w:r>
        <w:rPr>
          <w:rFonts w:hint="eastAsia" w:ascii="黑体" w:eastAsia="黑体" w:cs="黑体"/>
          <w:sz w:val="44"/>
          <w:szCs w:val="44"/>
          <w:shd w:val="clear" w:color="auto" w:fill="FFFFFF"/>
          <w:lang w:val="en-US" w:eastAsia="zh-CN"/>
        </w:rPr>
        <w:t>预算</w:t>
      </w:r>
      <w:r>
        <w:rPr>
          <w:rFonts w:hint="eastAsia" w:ascii="黑体" w:eastAsia="黑体" w:cs="黑体"/>
          <w:sz w:val="44"/>
          <w:szCs w:val="44"/>
          <w:shd w:val="clear" w:color="auto" w:fill="FFFFFF"/>
        </w:rPr>
        <w:t>情况说明</w:t>
      </w:r>
      <w:bookmarkEnd w:id="1"/>
    </w:p>
    <w:p w14:paraId="66125EC6">
      <w:pPr>
        <w:pStyle w:val="13"/>
        <w:keepNext w:val="0"/>
        <w:keepLines w:val="0"/>
        <w:widowControl/>
        <w:suppressLineNumbers w:val="0"/>
        <w:ind w:left="0" w:right="75" w:firstLine="640" w:firstLineChars="200"/>
        <w:jc w:val="both"/>
        <w:outlineLvl w:val="0"/>
        <w:rPr>
          <w:rFonts w:hint="eastAsia" w:ascii="黑体" w:eastAsia="黑体"/>
          <w:sz w:val="32"/>
          <w:szCs w:val="32"/>
        </w:rPr>
      </w:pPr>
      <w:r>
        <w:rPr>
          <w:rFonts w:hint="eastAsia" w:ascii="黑体" w:eastAsia="黑体"/>
          <w:sz w:val="32"/>
          <w:szCs w:val="32"/>
          <w:lang w:val="en-US" w:eastAsia="zh-CN"/>
        </w:rPr>
        <w:t>一</w:t>
      </w:r>
      <w:r>
        <w:rPr>
          <w:rFonts w:hint="eastAsia" w:ascii="黑体" w:eastAsia="黑体"/>
          <w:sz w:val="32"/>
          <w:szCs w:val="32"/>
        </w:rPr>
        <w:t>、收支预算总体情况</w:t>
      </w:r>
    </w:p>
    <w:p w14:paraId="520A3AD3">
      <w:pPr>
        <w:pStyle w:val="13"/>
        <w:keepNext w:val="0"/>
        <w:keepLines w:val="0"/>
        <w:widowControl/>
        <w:suppressLineNumbers w:val="0"/>
        <w:ind w:left="0" w:right="75" w:firstLine="640" w:firstLineChars="200"/>
        <w:jc w:val="both"/>
        <w:outlineLvl w:val="0"/>
        <w:rPr>
          <w:rFonts w:ascii="仿宋_GB2312" w:eastAsia="仿宋_GB2312"/>
          <w:sz w:val="32"/>
          <w:szCs w:val="32"/>
        </w:rPr>
      </w:pPr>
      <w:r>
        <w:rPr>
          <w:rFonts w:hint="eastAsia" w:ascii="仿宋_GB2312" w:eastAsia="仿宋_GB2312"/>
          <w:sz w:val="32"/>
          <w:szCs w:val="32"/>
          <w:lang w:val="en-US" w:eastAsia="zh-CN"/>
        </w:rPr>
        <w:t>2026</w:t>
      </w:r>
      <w:r>
        <w:rPr>
          <w:rFonts w:hint="eastAsia" w:ascii="仿宋_GB2312" w:eastAsia="仿宋_GB2312"/>
          <w:sz w:val="32"/>
          <w:szCs w:val="32"/>
        </w:rPr>
        <w:t>年中共红原县委员会统战部收入预算总额为</w:t>
      </w:r>
      <w:r>
        <w:rPr>
          <w:rFonts w:hint="eastAsia" w:ascii="仿宋_GB2312" w:eastAsia="仿宋_GB2312"/>
          <w:sz w:val="32"/>
          <w:szCs w:val="32"/>
          <w:lang w:val="en-US" w:eastAsia="zh-CN"/>
        </w:rPr>
        <w:t>549.96</w:t>
      </w:r>
      <w:r>
        <w:rPr>
          <w:rFonts w:hint="eastAsia" w:ascii="仿宋_GB2312" w:eastAsia="仿宋_GB2312"/>
          <w:sz w:val="32"/>
          <w:szCs w:val="32"/>
        </w:rPr>
        <w:t>万元，其中：当年财政拨款收549.96万元。相应安排支出预算</w:t>
      </w:r>
      <w:r>
        <w:rPr>
          <w:rFonts w:hint="eastAsia" w:ascii="仿宋_GB2312" w:eastAsia="仿宋_GB2312"/>
          <w:sz w:val="32"/>
          <w:szCs w:val="32"/>
          <w:lang w:val="en-US" w:eastAsia="zh-CN"/>
        </w:rPr>
        <w:t>549.96</w:t>
      </w:r>
      <w:r>
        <w:rPr>
          <w:rFonts w:hint="eastAsia" w:ascii="仿宋_GB2312" w:eastAsia="仿宋_GB2312"/>
          <w:sz w:val="32"/>
          <w:szCs w:val="32"/>
        </w:rPr>
        <w:t>万元，其中：一般公共服务</w:t>
      </w:r>
      <w:r>
        <w:rPr>
          <w:rFonts w:hint="eastAsia" w:ascii="仿宋_GB2312" w:eastAsia="仿宋_GB2312"/>
          <w:sz w:val="32"/>
          <w:szCs w:val="32"/>
          <w:lang w:val="en-US" w:eastAsia="zh-CN"/>
        </w:rPr>
        <w:t>415.59</w:t>
      </w:r>
      <w:r>
        <w:rPr>
          <w:rFonts w:hint="eastAsia" w:ascii="仿宋_GB2312" w:eastAsia="仿宋_GB2312"/>
          <w:sz w:val="32"/>
          <w:szCs w:val="32"/>
        </w:rPr>
        <w:t>万元，社会保障和就业69.39万元，医疗卫生26.87万元，住房保障支出38.11万元。</w:t>
      </w:r>
    </w:p>
    <w:p w14:paraId="7E034732">
      <w:pPr>
        <w:spacing w:line="560" w:lineRule="exact"/>
        <w:ind w:left="0" w:firstLine="640" w:firstLineChars="200"/>
        <w:rPr>
          <w:rFonts w:ascii="黑体" w:eastAsia="黑体"/>
          <w:sz w:val="32"/>
          <w:szCs w:val="32"/>
        </w:rPr>
      </w:pPr>
      <w:r>
        <w:rPr>
          <w:rFonts w:hint="eastAsia" w:ascii="黑体" w:eastAsia="黑体"/>
          <w:sz w:val="32"/>
          <w:szCs w:val="32"/>
          <w:lang w:val="en-US" w:eastAsia="zh-CN"/>
        </w:rPr>
        <w:t>二、</w:t>
      </w:r>
      <w:r>
        <w:rPr>
          <w:rFonts w:hint="eastAsia" w:ascii="黑体" w:eastAsia="黑体"/>
          <w:sz w:val="32"/>
          <w:szCs w:val="32"/>
        </w:rPr>
        <w:t>支出预算安排情况</w:t>
      </w:r>
    </w:p>
    <w:p w14:paraId="32AB291F">
      <w:pPr>
        <w:spacing w:line="560" w:lineRule="exact"/>
        <w:rPr>
          <w:rFonts w:ascii="仿宋_GB2312" w:eastAsia="仿宋_GB2312"/>
          <w:sz w:val="32"/>
          <w:szCs w:val="32"/>
        </w:rPr>
      </w:pPr>
      <w:r>
        <w:rPr>
          <w:rFonts w:hint="eastAsia" w:ascii="仿宋_GB2312" w:eastAsia="仿宋_GB2312"/>
          <w:sz w:val="32"/>
          <w:szCs w:val="32"/>
        </w:rPr>
        <w:t xml:space="preserve">    中共红原县委员会统战部预算安排支出主要用于保障该部门机构正常运转、完成日常工作任务以及承担统战事业发展相关工作。  </w:t>
      </w:r>
    </w:p>
    <w:p w14:paraId="469E299A">
      <w:pPr>
        <w:spacing w:line="560" w:lineRule="exact"/>
        <w:ind w:firstLine="640" w:firstLineChars="200"/>
        <w:jc w:val="left"/>
        <w:rPr>
          <w:rFonts w:hint="default" w:ascii="仿宋_GB2312" w:eastAsia="仿宋_GB2312"/>
          <w:sz w:val="32"/>
          <w:szCs w:val="32"/>
          <w:lang w:val="en-US" w:eastAsia="zh-CN"/>
        </w:rPr>
      </w:pPr>
      <w:r>
        <w:rPr>
          <w:rFonts w:hint="eastAsia" w:ascii="仿宋_GB2312" w:eastAsia="仿宋_GB2312"/>
          <w:sz w:val="32"/>
          <w:szCs w:val="32"/>
        </w:rPr>
        <w:t>基本支出</w:t>
      </w:r>
      <w:r>
        <w:rPr>
          <w:rFonts w:hint="eastAsia" w:ascii="仿宋_GB2312" w:eastAsia="仿宋_GB2312"/>
          <w:sz w:val="32"/>
          <w:szCs w:val="32"/>
          <w:lang w:val="en-US" w:eastAsia="zh-CN"/>
        </w:rPr>
        <w:t>533.91</w:t>
      </w:r>
      <w:r>
        <w:rPr>
          <w:rFonts w:hint="eastAsia" w:ascii="仿宋_GB2312" w:eastAsia="仿宋_GB2312"/>
          <w:sz w:val="32"/>
          <w:szCs w:val="32"/>
        </w:rPr>
        <w:t>万元。其中行政人员经费支出</w:t>
      </w:r>
      <w:r>
        <w:rPr>
          <w:rFonts w:hint="eastAsia" w:ascii="仿宋_GB2312" w:eastAsia="仿宋_GB2312"/>
          <w:sz w:val="32"/>
          <w:szCs w:val="32"/>
          <w:lang w:val="en-US" w:eastAsia="zh-CN"/>
        </w:rPr>
        <w:t>471.72</w:t>
      </w:r>
      <w:r>
        <w:rPr>
          <w:rFonts w:hint="eastAsia" w:ascii="仿宋_GB2312" w:eastAsia="仿宋_GB2312"/>
          <w:sz w:val="32"/>
          <w:szCs w:val="32"/>
        </w:rPr>
        <w:t>万元，机关运行经费</w:t>
      </w:r>
      <w:r>
        <w:rPr>
          <w:rFonts w:hint="eastAsia" w:ascii="仿宋_GB2312" w:eastAsia="仿宋_GB2312"/>
          <w:sz w:val="32"/>
          <w:szCs w:val="32"/>
          <w:lang w:val="en-US" w:eastAsia="zh-CN"/>
        </w:rPr>
        <w:t>62.19</w:t>
      </w:r>
      <w:r>
        <w:rPr>
          <w:rFonts w:hint="eastAsia" w:ascii="仿宋_GB2312" w:eastAsia="仿宋_GB2312"/>
          <w:sz w:val="32"/>
          <w:szCs w:val="32"/>
        </w:rPr>
        <w:t>万元，其中：办公费</w:t>
      </w:r>
      <w:r>
        <w:rPr>
          <w:rFonts w:hint="eastAsia" w:ascii="仿宋_GB2312" w:eastAsia="仿宋_GB2312"/>
          <w:sz w:val="32"/>
          <w:szCs w:val="32"/>
          <w:lang w:val="en-US" w:eastAsia="zh-CN"/>
        </w:rPr>
        <w:t>9.89</w:t>
      </w:r>
      <w:r>
        <w:rPr>
          <w:rFonts w:hint="eastAsia" w:ascii="仿宋_GB2312" w:eastAsia="仿宋_GB2312"/>
          <w:sz w:val="32"/>
          <w:szCs w:val="32"/>
        </w:rPr>
        <w:t>万元，印刷费</w:t>
      </w:r>
      <w:r>
        <w:rPr>
          <w:rFonts w:hint="eastAsia" w:ascii="仿宋_GB2312" w:eastAsia="仿宋_GB2312"/>
          <w:sz w:val="32"/>
          <w:szCs w:val="32"/>
          <w:lang w:val="en-US" w:eastAsia="zh-CN"/>
        </w:rPr>
        <w:t>6.88</w:t>
      </w:r>
      <w:r>
        <w:rPr>
          <w:rFonts w:hint="eastAsia" w:ascii="仿宋_GB2312" w:eastAsia="仿宋_GB2312"/>
          <w:sz w:val="32"/>
          <w:szCs w:val="32"/>
        </w:rPr>
        <w:t>万元，水费</w:t>
      </w:r>
      <w:r>
        <w:rPr>
          <w:rFonts w:hint="eastAsia" w:ascii="仿宋_GB2312" w:eastAsia="仿宋_GB2312"/>
          <w:sz w:val="32"/>
          <w:szCs w:val="32"/>
          <w:lang w:val="en-US" w:eastAsia="zh-CN"/>
        </w:rPr>
        <w:t>1.5</w:t>
      </w:r>
      <w:r>
        <w:rPr>
          <w:rFonts w:hint="eastAsia" w:ascii="仿宋_GB2312" w:eastAsia="仿宋_GB2312"/>
          <w:sz w:val="32"/>
          <w:szCs w:val="32"/>
        </w:rPr>
        <w:t>万元，电费</w:t>
      </w:r>
      <w:r>
        <w:rPr>
          <w:rFonts w:hint="eastAsia" w:ascii="仿宋_GB2312" w:eastAsia="仿宋_GB2312"/>
          <w:sz w:val="32"/>
          <w:szCs w:val="32"/>
          <w:lang w:val="en-US" w:eastAsia="zh-CN"/>
        </w:rPr>
        <w:t>2</w:t>
      </w:r>
      <w:r>
        <w:rPr>
          <w:rFonts w:hint="eastAsia" w:ascii="仿宋_GB2312" w:eastAsia="仿宋_GB2312"/>
          <w:sz w:val="32"/>
          <w:szCs w:val="32"/>
        </w:rPr>
        <w:t>万元，邮电费</w:t>
      </w:r>
      <w:r>
        <w:rPr>
          <w:rFonts w:hint="eastAsia" w:ascii="仿宋_GB2312" w:eastAsia="仿宋_GB2312"/>
          <w:sz w:val="32"/>
          <w:szCs w:val="32"/>
          <w:lang w:val="en-US" w:eastAsia="zh-CN"/>
        </w:rPr>
        <w:t>2</w:t>
      </w:r>
      <w:r>
        <w:rPr>
          <w:rFonts w:hint="eastAsia" w:ascii="仿宋_GB2312" w:eastAsia="仿宋_GB2312"/>
          <w:sz w:val="32"/>
          <w:szCs w:val="32"/>
        </w:rPr>
        <w:t>万元。取暖费</w:t>
      </w:r>
      <w:r>
        <w:rPr>
          <w:rFonts w:hint="eastAsia" w:ascii="仿宋_GB2312" w:eastAsia="仿宋_GB2312"/>
          <w:sz w:val="32"/>
          <w:szCs w:val="32"/>
          <w:lang w:val="en-US" w:eastAsia="zh-CN"/>
        </w:rPr>
        <w:t>2</w:t>
      </w:r>
      <w:r>
        <w:rPr>
          <w:rFonts w:hint="eastAsia" w:ascii="仿宋_GB2312" w:eastAsia="仿宋_GB2312"/>
          <w:sz w:val="32"/>
          <w:szCs w:val="32"/>
        </w:rPr>
        <w:t>万元，差旅费</w:t>
      </w:r>
      <w:r>
        <w:rPr>
          <w:rFonts w:hint="eastAsia" w:ascii="仿宋_GB2312" w:eastAsia="仿宋_GB2312"/>
          <w:sz w:val="32"/>
          <w:szCs w:val="32"/>
          <w:lang w:val="en-US" w:eastAsia="zh-CN"/>
        </w:rPr>
        <w:t>5</w:t>
      </w:r>
      <w:r>
        <w:rPr>
          <w:rFonts w:hint="eastAsia" w:ascii="仿宋_GB2312" w:eastAsia="仿宋_GB2312"/>
          <w:sz w:val="32"/>
          <w:szCs w:val="32"/>
        </w:rPr>
        <w:t>万元，会议费</w:t>
      </w:r>
      <w:r>
        <w:rPr>
          <w:rFonts w:hint="eastAsia" w:ascii="仿宋_GB2312" w:eastAsia="仿宋_GB2312"/>
          <w:sz w:val="32"/>
          <w:szCs w:val="32"/>
          <w:lang w:val="en-US" w:eastAsia="zh-CN"/>
        </w:rPr>
        <w:t>1.5</w:t>
      </w:r>
      <w:r>
        <w:rPr>
          <w:rFonts w:hint="eastAsia" w:ascii="仿宋_GB2312" w:eastAsia="仿宋_GB2312"/>
          <w:sz w:val="32"/>
          <w:szCs w:val="32"/>
        </w:rPr>
        <w:t>万元，培训费</w:t>
      </w:r>
      <w:r>
        <w:rPr>
          <w:rFonts w:hint="eastAsia" w:ascii="仿宋_GB2312" w:eastAsia="仿宋_GB2312"/>
          <w:sz w:val="32"/>
          <w:szCs w:val="32"/>
          <w:lang w:val="en-US" w:eastAsia="zh-CN"/>
        </w:rPr>
        <w:t>1.5</w:t>
      </w:r>
      <w:r>
        <w:rPr>
          <w:rFonts w:hint="eastAsia" w:ascii="仿宋_GB2312" w:eastAsia="仿宋_GB2312"/>
          <w:sz w:val="32"/>
          <w:szCs w:val="32"/>
        </w:rPr>
        <w:t>万元，公务接待费</w:t>
      </w:r>
      <w:r>
        <w:rPr>
          <w:rFonts w:hint="eastAsia" w:ascii="仿宋_GB2312" w:eastAsia="仿宋_GB2312"/>
          <w:sz w:val="32"/>
          <w:szCs w:val="32"/>
          <w:lang w:val="en-US" w:eastAsia="zh-CN"/>
        </w:rPr>
        <w:t>0.38</w:t>
      </w:r>
      <w:r>
        <w:rPr>
          <w:rFonts w:hint="eastAsia" w:ascii="仿宋_GB2312" w:eastAsia="仿宋_GB2312"/>
          <w:sz w:val="32"/>
          <w:szCs w:val="32"/>
        </w:rPr>
        <w:t>万元。工会经费</w:t>
      </w:r>
      <w:r>
        <w:rPr>
          <w:rFonts w:hint="eastAsia" w:ascii="仿宋_GB2312" w:eastAsia="仿宋_GB2312"/>
          <w:sz w:val="32"/>
          <w:szCs w:val="32"/>
          <w:lang w:val="en-US" w:eastAsia="zh-CN"/>
        </w:rPr>
        <w:t>3.47</w:t>
      </w:r>
      <w:r>
        <w:rPr>
          <w:rFonts w:hint="eastAsia" w:ascii="仿宋_GB2312" w:eastAsia="仿宋_GB2312"/>
          <w:sz w:val="32"/>
          <w:szCs w:val="32"/>
        </w:rPr>
        <w:t>万元，公务用车运行费</w:t>
      </w:r>
      <w:r>
        <w:rPr>
          <w:rFonts w:hint="eastAsia" w:ascii="仿宋_GB2312" w:eastAsia="仿宋_GB2312"/>
          <w:sz w:val="32"/>
          <w:szCs w:val="32"/>
          <w:lang w:val="en-US" w:eastAsia="zh-CN"/>
        </w:rPr>
        <w:t>12</w:t>
      </w:r>
      <w:r>
        <w:rPr>
          <w:rFonts w:hint="eastAsia" w:ascii="仿宋_GB2312" w:eastAsia="仿宋_GB2312"/>
          <w:sz w:val="32"/>
          <w:szCs w:val="32"/>
        </w:rPr>
        <w:t>万</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手续费1万元、其他商品和服务支出13.09万元。</w:t>
      </w:r>
    </w:p>
    <w:p w14:paraId="21A730A9">
      <w:pPr>
        <w:spacing w:line="560" w:lineRule="exact"/>
        <w:ind w:firstLine="640" w:firstLineChars="200"/>
        <w:rPr>
          <w:rFonts w:ascii="仿宋_GB2312" w:eastAsia="仿宋_GB2312"/>
          <w:sz w:val="32"/>
          <w:szCs w:val="32"/>
        </w:rPr>
      </w:pPr>
      <w:r>
        <w:rPr>
          <w:rFonts w:hint="eastAsia" w:ascii="仿宋_GB2312" w:eastAsia="仿宋_GB2312"/>
          <w:sz w:val="32"/>
          <w:szCs w:val="32"/>
        </w:rPr>
        <w:t>按支出功能分类主要用于以下方面:</w:t>
      </w:r>
    </w:p>
    <w:p w14:paraId="0462AD7A">
      <w:pPr>
        <w:spacing w:line="560" w:lineRule="exact"/>
        <w:ind w:firstLine="640" w:firstLineChars="200"/>
        <w:rPr>
          <w:rFonts w:ascii="仿宋_GB2312" w:eastAsia="仿宋_GB2312"/>
          <w:sz w:val="32"/>
          <w:szCs w:val="32"/>
        </w:rPr>
      </w:pPr>
      <w:r>
        <w:rPr>
          <w:rFonts w:hint="eastAsia" w:ascii="仿宋_GB2312" w:eastAsia="仿宋_GB2312"/>
          <w:sz w:val="32"/>
          <w:szCs w:val="32"/>
        </w:rPr>
        <w:t>（一）一般公共服务支出</w:t>
      </w:r>
      <w:r>
        <w:rPr>
          <w:rFonts w:hint="eastAsia" w:ascii="仿宋_GB2312" w:eastAsia="仿宋_GB2312"/>
          <w:sz w:val="32"/>
          <w:szCs w:val="32"/>
          <w:lang w:val="en-US" w:eastAsia="zh-CN"/>
        </w:rPr>
        <w:t>415.59</w:t>
      </w:r>
      <w:r>
        <w:rPr>
          <w:rFonts w:hint="eastAsia" w:ascii="仿宋_GB2312" w:eastAsia="仿宋_GB2312"/>
          <w:sz w:val="32"/>
          <w:szCs w:val="32"/>
        </w:rPr>
        <w:t>万元，主要用于机关及下属事业单位人员工资、日常运转以及为完成特定行政工作任务和事业发展目标而安排的年度项目支出。</w:t>
      </w:r>
    </w:p>
    <w:p w14:paraId="2309AE7A">
      <w:pPr>
        <w:spacing w:line="560" w:lineRule="exact"/>
        <w:ind w:firstLine="640" w:firstLineChars="200"/>
        <w:rPr>
          <w:rFonts w:ascii="仿宋_GB2312" w:eastAsia="仿宋_GB2312"/>
          <w:sz w:val="32"/>
          <w:szCs w:val="32"/>
        </w:rPr>
      </w:pPr>
      <w:r>
        <w:rPr>
          <w:rFonts w:hint="eastAsia" w:ascii="仿宋_GB2312" w:eastAsia="仿宋_GB2312"/>
          <w:sz w:val="32"/>
          <w:szCs w:val="32"/>
        </w:rPr>
        <w:t>（二）社会保障和就业69.39万元，主要用于机关及下属事业单位养老保险及职业年金缴费。</w:t>
      </w:r>
    </w:p>
    <w:p w14:paraId="3B29BD6B">
      <w:pPr>
        <w:spacing w:line="560" w:lineRule="exact"/>
        <w:ind w:firstLine="640" w:firstLineChars="200"/>
        <w:rPr>
          <w:rFonts w:ascii="仿宋_GB2312" w:eastAsia="仿宋_GB2312"/>
          <w:sz w:val="32"/>
          <w:szCs w:val="32"/>
        </w:rPr>
      </w:pPr>
      <w:r>
        <w:rPr>
          <w:rFonts w:hint="eastAsia" w:ascii="仿宋_GB2312" w:eastAsia="仿宋_GB2312"/>
          <w:sz w:val="32"/>
          <w:szCs w:val="32"/>
        </w:rPr>
        <w:t>（三）医疗卫生26.87万元，主要用于机关及下属事业单位按照规定标准为职工缴纳的基本医疗保险及公务员医疗补助等支出。</w:t>
      </w:r>
    </w:p>
    <w:p w14:paraId="2A688E91">
      <w:pPr>
        <w:spacing w:line="560" w:lineRule="exact"/>
        <w:ind w:firstLine="640" w:firstLineChars="200"/>
        <w:rPr>
          <w:rFonts w:ascii="仿宋_GB2312" w:eastAsia="仿宋_GB2312"/>
          <w:sz w:val="32"/>
          <w:szCs w:val="32"/>
        </w:rPr>
      </w:pPr>
      <w:r>
        <w:rPr>
          <w:rFonts w:hint="eastAsia" w:ascii="仿宋_GB2312" w:eastAsia="仿宋_GB2312"/>
          <w:sz w:val="32"/>
          <w:szCs w:val="32"/>
        </w:rPr>
        <w:t>（四）住房保障支出38.11万元，用于机关及下属事业单位按照规定标准为职工缴纳住房公积金等支出。</w:t>
      </w:r>
    </w:p>
    <w:p w14:paraId="5A0B5326">
      <w:pPr>
        <w:widowControl/>
        <w:shd w:val="clear" w:color="auto" w:fill="FFFFFF"/>
        <w:spacing w:line="560" w:lineRule="exact"/>
        <w:ind w:firstLine="480"/>
        <w:jc w:val="left"/>
        <w:rPr>
          <w:rFonts w:ascii="黑体" w:eastAsia="黑体" w:cs="黑体"/>
          <w:sz w:val="32"/>
          <w:szCs w:val="32"/>
        </w:rPr>
      </w:pPr>
      <w:r>
        <w:rPr>
          <w:rFonts w:hint="eastAsia" w:ascii="黑体" w:eastAsia="黑体" w:cs="黑体"/>
          <w:color w:val="333333"/>
          <w:kern w:val="0"/>
          <w:sz w:val="32"/>
          <w:szCs w:val="32"/>
          <w:shd w:val="clear" w:color="auto" w:fill="FFFFFF"/>
          <w:lang w:val="en-US" w:eastAsia="zh-CN"/>
        </w:rPr>
        <w:t>三</w:t>
      </w:r>
      <w:r>
        <w:rPr>
          <w:rFonts w:hint="eastAsia" w:ascii="黑体" w:eastAsia="黑体" w:cs="黑体"/>
          <w:color w:val="333333"/>
          <w:kern w:val="0"/>
          <w:sz w:val="32"/>
          <w:szCs w:val="32"/>
          <w:shd w:val="clear" w:color="auto" w:fill="FFFFFF"/>
        </w:rPr>
        <w:t xml:space="preserve">、较上年度增减变化 </w:t>
      </w:r>
    </w:p>
    <w:p w14:paraId="3969C396">
      <w:pPr>
        <w:spacing w:line="560" w:lineRule="exact"/>
        <w:ind w:firstLine="640" w:firstLineChars="200"/>
        <w:rPr>
          <w:rFonts w:ascii="仿宋_GB2312" w:eastAsia="仿宋_GB2312"/>
          <w:sz w:val="32"/>
          <w:szCs w:val="32"/>
        </w:rPr>
      </w:pPr>
      <w:r>
        <w:rPr>
          <w:rFonts w:hint="eastAsia" w:ascii="仿宋_GB2312" w:eastAsia="仿宋_GB2312"/>
          <w:sz w:val="32"/>
          <w:szCs w:val="32"/>
        </w:rPr>
        <w:t>本年度预算拨款收入549.96万元较上年度预算</w:t>
      </w:r>
      <w:r>
        <w:rPr>
          <w:rFonts w:hint="eastAsia" w:ascii="仿宋_GB2312" w:eastAsia="仿宋_GB2312"/>
          <w:sz w:val="32"/>
          <w:szCs w:val="32"/>
          <w:lang w:val="en-US" w:eastAsia="zh-CN"/>
        </w:rPr>
        <w:t>523.73</w:t>
      </w:r>
      <w:r>
        <w:rPr>
          <w:rFonts w:hint="eastAsia" w:ascii="仿宋_GB2312" w:eastAsia="仿宋_GB2312"/>
          <w:sz w:val="32"/>
          <w:szCs w:val="32"/>
        </w:rPr>
        <w:t>万元</w:t>
      </w:r>
      <w:r>
        <w:rPr>
          <w:rFonts w:hint="eastAsia" w:ascii="仿宋_GB2312" w:eastAsia="仿宋_GB2312"/>
          <w:sz w:val="32"/>
          <w:szCs w:val="32"/>
          <w:lang w:val="en-US" w:eastAsia="zh-CN"/>
        </w:rPr>
        <w:t>增加</w:t>
      </w:r>
      <w:r>
        <w:rPr>
          <w:rFonts w:hint="eastAsia" w:ascii="仿宋_GB2312" w:eastAsia="仿宋_GB2312"/>
          <w:sz w:val="32"/>
          <w:szCs w:val="32"/>
        </w:rPr>
        <w:t>了</w:t>
      </w:r>
      <w:r>
        <w:rPr>
          <w:rFonts w:hint="eastAsia" w:ascii="仿宋_GB2312" w:eastAsia="仿宋_GB2312"/>
          <w:sz w:val="32"/>
          <w:szCs w:val="32"/>
          <w:lang w:val="en-US" w:eastAsia="zh-CN"/>
        </w:rPr>
        <w:t>4.77</w:t>
      </w:r>
      <w:r>
        <w:rPr>
          <w:rFonts w:hint="eastAsia" w:ascii="仿宋_GB2312" w:eastAsia="仿宋_GB2312"/>
          <w:sz w:val="32"/>
          <w:szCs w:val="32"/>
        </w:rPr>
        <w:t>%，其中基本行政运行经费预算</w:t>
      </w:r>
      <w:r>
        <w:rPr>
          <w:rFonts w:hint="eastAsia" w:ascii="仿宋_GB2312" w:eastAsia="仿宋_GB2312"/>
          <w:sz w:val="32"/>
          <w:szCs w:val="32"/>
          <w:lang w:val="en-US" w:eastAsia="zh-CN"/>
        </w:rPr>
        <w:t>533.91</w:t>
      </w:r>
      <w:r>
        <w:rPr>
          <w:rFonts w:hint="eastAsia" w:ascii="仿宋_GB2312" w:eastAsia="仿宋_GB2312"/>
          <w:sz w:val="32"/>
          <w:szCs w:val="32"/>
        </w:rPr>
        <w:t>万元，占全部总预算的</w:t>
      </w:r>
      <w:r>
        <w:rPr>
          <w:rFonts w:hint="eastAsia" w:ascii="仿宋_GB2312" w:eastAsia="仿宋_GB2312"/>
          <w:sz w:val="32"/>
          <w:szCs w:val="32"/>
          <w:lang w:val="en-US" w:eastAsia="zh-CN"/>
        </w:rPr>
        <w:t>97.08</w:t>
      </w:r>
      <w:r>
        <w:rPr>
          <w:rFonts w:hint="eastAsia" w:ascii="仿宋_GB2312" w:eastAsia="仿宋_GB2312"/>
          <w:sz w:val="32"/>
          <w:szCs w:val="32"/>
        </w:rPr>
        <w:t>%，较上年508.36万元</w:t>
      </w:r>
      <w:r>
        <w:rPr>
          <w:rFonts w:hint="eastAsia" w:ascii="仿宋_GB2312" w:eastAsia="仿宋_GB2312"/>
          <w:sz w:val="32"/>
          <w:szCs w:val="32"/>
          <w:lang w:val="en-US" w:eastAsia="zh-CN"/>
        </w:rPr>
        <w:t>增加</w:t>
      </w:r>
      <w:r>
        <w:rPr>
          <w:rFonts w:hint="eastAsia" w:ascii="仿宋_GB2312" w:eastAsia="仿宋_GB2312"/>
          <w:sz w:val="32"/>
          <w:szCs w:val="32"/>
        </w:rPr>
        <w:t>了</w:t>
      </w:r>
      <w:r>
        <w:rPr>
          <w:rFonts w:hint="eastAsia" w:ascii="仿宋_GB2312" w:eastAsia="仿宋_GB2312"/>
          <w:sz w:val="32"/>
          <w:szCs w:val="32"/>
          <w:lang w:val="en-US" w:eastAsia="zh-CN"/>
        </w:rPr>
        <w:t>25.55</w:t>
      </w:r>
      <w:r>
        <w:rPr>
          <w:rFonts w:hint="eastAsia" w:ascii="仿宋_GB2312" w:eastAsia="仿宋_GB2312"/>
          <w:sz w:val="32"/>
          <w:szCs w:val="32"/>
        </w:rPr>
        <w:t>万元，原因</w:t>
      </w:r>
      <w:r>
        <w:rPr>
          <w:rFonts w:hint="eastAsia" w:ascii="仿宋_GB2312" w:eastAsia="仿宋_GB2312"/>
          <w:b/>
          <w:bCs/>
          <w:sz w:val="32"/>
          <w:szCs w:val="32"/>
          <w:lang w:val="en-US" w:eastAsia="zh-CN"/>
        </w:rPr>
        <w:t>一是</w:t>
      </w:r>
      <w:r>
        <w:rPr>
          <w:rFonts w:hint="eastAsia" w:ascii="仿宋_GB2312" w:eastAsia="仿宋_GB2312"/>
          <w:sz w:val="32"/>
          <w:szCs w:val="32"/>
          <w:lang w:val="en-US" w:eastAsia="zh-CN"/>
        </w:rPr>
        <w:t>本单位新增在岗工作人员，人员工资、津贴补贴、福利费等人员经费。</w:t>
      </w:r>
      <w:r>
        <w:rPr>
          <w:rFonts w:hint="eastAsia" w:ascii="仿宋_GB2312" w:eastAsia="仿宋_GB2312"/>
          <w:b/>
          <w:bCs/>
          <w:sz w:val="32"/>
          <w:szCs w:val="32"/>
          <w:lang w:val="en-US" w:eastAsia="zh-CN"/>
        </w:rPr>
        <w:t>二是</w:t>
      </w:r>
      <w:r>
        <w:rPr>
          <w:rFonts w:hint="eastAsia" w:ascii="仿宋_GB2312" w:eastAsia="仿宋_GB2312"/>
          <w:b w:val="0"/>
          <w:bCs w:val="0"/>
          <w:sz w:val="32"/>
          <w:szCs w:val="32"/>
          <w:lang w:val="en-US" w:eastAsia="zh-CN"/>
        </w:rPr>
        <w:t>严格按照国家及地方社保、住房公积金最新政策要求，同步调增缴费基数，单位承担的社保及住房公积金支出同比增加。一般公共预算项目支出</w:t>
      </w:r>
      <w:r>
        <w:rPr>
          <w:rFonts w:hint="eastAsia" w:ascii="仿宋_GB2312" w:eastAsia="仿宋_GB2312"/>
          <w:sz w:val="32"/>
          <w:szCs w:val="32"/>
        </w:rPr>
        <w:t>预算16.05万元，占总预算的</w:t>
      </w:r>
      <w:r>
        <w:rPr>
          <w:rFonts w:hint="eastAsia" w:ascii="仿宋_GB2312" w:eastAsia="仿宋_GB2312"/>
          <w:sz w:val="32"/>
          <w:szCs w:val="32"/>
          <w:lang w:val="en-US" w:eastAsia="zh-CN"/>
        </w:rPr>
        <w:t>2.91</w:t>
      </w:r>
      <w:r>
        <w:rPr>
          <w:rFonts w:hint="eastAsia" w:ascii="仿宋_GB2312" w:eastAsia="仿宋_GB2312"/>
          <w:sz w:val="32"/>
          <w:szCs w:val="32"/>
        </w:rPr>
        <w:t>%，较上年预算15.37万元</w:t>
      </w:r>
      <w:r>
        <w:rPr>
          <w:rFonts w:hint="eastAsia" w:ascii="仿宋_GB2312" w:eastAsia="仿宋_GB2312"/>
          <w:sz w:val="32"/>
          <w:szCs w:val="32"/>
          <w:lang w:val="en-US" w:eastAsia="zh-CN"/>
        </w:rPr>
        <w:t>增加了0.68万元</w:t>
      </w:r>
      <w:r>
        <w:rPr>
          <w:rFonts w:hint="eastAsia" w:ascii="仿宋_GB2312" w:eastAsia="仿宋_GB2312"/>
          <w:sz w:val="32"/>
          <w:szCs w:val="32"/>
        </w:rPr>
        <w:t>，主要</w:t>
      </w:r>
      <w:r>
        <w:rPr>
          <w:rFonts w:hint="eastAsia" w:ascii="仿宋_GB2312" w:eastAsia="仿宋_GB2312"/>
          <w:sz w:val="32"/>
          <w:szCs w:val="32"/>
          <w:lang w:eastAsia="zh-CN"/>
        </w:rPr>
        <w:t>专项有</w:t>
      </w:r>
      <w:r>
        <w:rPr>
          <w:rFonts w:hint="eastAsia" w:ascii="仿宋_GB2312" w:eastAsia="仿宋_GB2312"/>
          <w:sz w:val="32"/>
          <w:szCs w:val="32"/>
        </w:rPr>
        <w:t>  宗教领域爱国爱教教育经费</w:t>
      </w:r>
      <w:r>
        <w:rPr>
          <w:rFonts w:hint="eastAsia" w:ascii="仿宋_GB2312" w:eastAsia="仿宋_GB2312"/>
          <w:sz w:val="32"/>
          <w:szCs w:val="32"/>
          <w:lang w:val="en-US" w:eastAsia="zh-CN"/>
        </w:rPr>
        <w:t>10万元，宗教界代表人士培训费4万元，佛协会长和秘书长的生活补助1.37万元。  统战部电子政务内网专用电路费0.68万元。</w:t>
      </w:r>
      <w:r>
        <w:rPr>
          <w:rFonts w:hint="eastAsia" w:ascii="黑体" w:eastAsia="黑体" w:cs="黑体"/>
          <w:color w:val="333333"/>
          <w:kern w:val="0"/>
          <w:sz w:val="32"/>
          <w:szCs w:val="32"/>
          <w:shd w:val="clear" w:color="auto" w:fill="FFFFFF"/>
        </w:rPr>
        <w:t xml:space="preserve"> </w:t>
      </w:r>
      <w:r>
        <w:rPr>
          <w:rFonts w:hint="eastAsia" w:ascii="仿宋_GB2312" w:eastAsia="仿宋_GB2312"/>
          <w:sz w:val="32"/>
          <w:szCs w:val="32"/>
        </w:rPr>
        <w:t xml:space="preserve"> </w:t>
      </w:r>
    </w:p>
    <w:p w14:paraId="34559AA4">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w:t>
      </w:r>
      <w:r>
        <w:rPr>
          <w:rFonts w:hint="eastAsia" w:ascii="黑体" w:eastAsia="黑体" w:cs="黑体"/>
          <w:color w:val="333333"/>
          <w:kern w:val="0"/>
          <w:sz w:val="32"/>
          <w:szCs w:val="32"/>
          <w:shd w:val="clear" w:color="auto" w:fill="FFFFFF"/>
          <w:lang w:val="en-US" w:eastAsia="zh-CN"/>
        </w:rPr>
        <w:t>四、</w:t>
      </w:r>
      <w:r>
        <w:rPr>
          <w:rFonts w:hint="eastAsia" w:ascii="黑体" w:eastAsia="黑体" w:cs="黑体"/>
          <w:color w:val="333333"/>
          <w:kern w:val="0"/>
          <w:sz w:val="32"/>
          <w:szCs w:val="32"/>
          <w:shd w:val="clear" w:color="auto" w:fill="FFFFFF"/>
        </w:rPr>
        <w:t xml:space="preserve">“三公”经费预算 </w:t>
      </w:r>
    </w:p>
    <w:p w14:paraId="45C1BDED">
      <w:pPr>
        <w:spacing w:line="560" w:lineRule="exact"/>
        <w:ind w:firstLine="640" w:firstLineChars="200"/>
        <w:rPr>
          <w:rFonts w:ascii="仿宋_GB2312" w:eastAsia="仿宋_GB2312"/>
          <w:sz w:val="32"/>
          <w:szCs w:val="32"/>
        </w:rPr>
      </w:pPr>
      <w:r>
        <w:rPr>
          <w:rFonts w:hint="eastAsia" w:ascii="仿宋_GB2312" w:eastAsia="仿宋_GB2312"/>
          <w:sz w:val="32"/>
          <w:szCs w:val="32"/>
        </w:rPr>
        <w:t>本年度三公经费预算安排支出为12.3</w:t>
      </w:r>
      <w:r>
        <w:rPr>
          <w:rFonts w:hint="eastAsia" w:ascii="仿宋_GB2312" w:eastAsia="仿宋_GB2312"/>
          <w:sz w:val="32"/>
          <w:szCs w:val="32"/>
          <w:lang w:val="en-US" w:eastAsia="zh-CN"/>
        </w:rPr>
        <w:t>8</w:t>
      </w:r>
      <w:r>
        <w:rPr>
          <w:rFonts w:hint="eastAsia" w:ascii="仿宋_GB2312" w:eastAsia="仿宋_GB2312"/>
          <w:sz w:val="32"/>
          <w:szCs w:val="32"/>
        </w:rPr>
        <w:t>万元，其中：出国费0万元，与上年持平，主要原因为未安排因公出国；公车购置费0元，与上年持平；公务用车维护费支出</w:t>
      </w:r>
      <w:r>
        <w:rPr>
          <w:rFonts w:hint="eastAsia" w:ascii="仿宋_GB2312" w:eastAsia="仿宋_GB2312"/>
          <w:sz w:val="32"/>
          <w:szCs w:val="32"/>
          <w:lang w:val="en-US" w:eastAsia="zh-CN"/>
        </w:rPr>
        <w:t>12</w:t>
      </w:r>
      <w:r>
        <w:rPr>
          <w:rFonts w:hint="eastAsia" w:ascii="仿宋_GB2312" w:eastAsia="仿宋_GB2312"/>
          <w:sz w:val="32"/>
          <w:szCs w:val="32"/>
        </w:rPr>
        <w:t>万元，与上年持平</w:t>
      </w:r>
      <w:r>
        <w:rPr>
          <w:rFonts w:hint="eastAsia" w:ascii="仿宋_GB2312" w:eastAsia="仿宋_GB2312"/>
          <w:sz w:val="32"/>
          <w:szCs w:val="32"/>
          <w:lang w:eastAsia="zh-CN"/>
        </w:rPr>
        <w:t>；</w:t>
      </w:r>
      <w:r>
        <w:rPr>
          <w:rFonts w:hint="eastAsia" w:ascii="仿宋_GB2312" w:eastAsia="仿宋_GB2312"/>
          <w:sz w:val="32"/>
          <w:szCs w:val="32"/>
        </w:rPr>
        <w:t>公务接待费0.</w:t>
      </w:r>
      <w:r>
        <w:rPr>
          <w:rFonts w:hint="eastAsia" w:ascii="仿宋_GB2312" w:eastAsia="仿宋_GB2312"/>
          <w:sz w:val="32"/>
          <w:szCs w:val="32"/>
          <w:lang w:val="en-US" w:eastAsia="zh-CN"/>
        </w:rPr>
        <w:t>38</w:t>
      </w:r>
      <w:r>
        <w:rPr>
          <w:rFonts w:hint="eastAsia" w:ascii="仿宋_GB2312" w:eastAsia="仿宋_GB2312"/>
          <w:sz w:val="32"/>
          <w:szCs w:val="32"/>
        </w:rPr>
        <w:t>万元，较上年度预算</w:t>
      </w:r>
      <w:r>
        <w:rPr>
          <w:rFonts w:hint="eastAsia" w:ascii="仿宋_GB2312" w:eastAsia="仿宋_GB2312"/>
          <w:sz w:val="32"/>
          <w:szCs w:val="32"/>
          <w:lang w:val="en-US" w:eastAsia="zh-CN"/>
        </w:rPr>
        <w:t>0.08略有增加</w:t>
      </w:r>
      <w:r>
        <w:rPr>
          <w:rFonts w:hint="eastAsia" w:ascii="仿宋_GB2312" w:eastAsia="仿宋_GB2312"/>
          <w:sz w:val="32"/>
          <w:szCs w:val="32"/>
        </w:rPr>
        <w:t>，</w:t>
      </w:r>
      <w:r>
        <w:rPr>
          <w:rFonts w:hint="eastAsia" w:ascii="仿宋_GB2312" w:eastAsia="仿宋_GB2312"/>
          <w:sz w:val="32"/>
          <w:szCs w:val="32"/>
          <w:lang w:val="en-US" w:eastAsia="zh-CN"/>
        </w:rPr>
        <w:t>年度内上级检查督导、专项调研指导等公务活动批次有所提升，按标准保障的公务接待经费相应的增加</w:t>
      </w:r>
      <w:r>
        <w:rPr>
          <w:rFonts w:hint="eastAsia" w:ascii="仿宋_GB2312" w:eastAsia="仿宋_GB2312"/>
          <w:sz w:val="32"/>
          <w:szCs w:val="32"/>
        </w:rPr>
        <w:t xml:space="preserve">。 </w:t>
      </w:r>
    </w:p>
    <w:p w14:paraId="6CE3E839">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w:t>
      </w:r>
      <w:r>
        <w:rPr>
          <w:rFonts w:hint="eastAsia" w:ascii="黑体" w:eastAsia="黑体" w:cs="黑体"/>
          <w:color w:val="333333"/>
          <w:kern w:val="0"/>
          <w:sz w:val="32"/>
          <w:szCs w:val="32"/>
          <w:shd w:val="clear" w:color="auto" w:fill="FFFFFF"/>
          <w:lang w:val="en-US" w:eastAsia="zh-CN"/>
        </w:rPr>
        <w:t>五</w:t>
      </w:r>
      <w:r>
        <w:rPr>
          <w:rFonts w:hint="eastAsia" w:ascii="黑体" w:eastAsia="黑体" w:cs="黑体"/>
          <w:color w:val="333333"/>
          <w:kern w:val="0"/>
          <w:sz w:val="32"/>
          <w:szCs w:val="32"/>
          <w:shd w:val="clear" w:color="auto" w:fill="FFFFFF"/>
        </w:rPr>
        <w:t>、政府性基金预算收支情况说明</w:t>
      </w:r>
    </w:p>
    <w:p w14:paraId="0DFFC40B">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2025</w:t>
      </w:r>
      <w:r>
        <w:rPr>
          <w:rFonts w:hint="eastAsia" w:ascii="仿宋_GB2312" w:eastAsia="仿宋_GB2312"/>
          <w:sz w:val="32"/>
          <w:szCs w:val="32"/>
        </w:rPr>
        <w:t>年没有使用政府性基金预算拨款安排的支出。</w:t>
      </w:r>
    </w:p>
    <w:p w14:paraId="6678E642">
      <w:pPr>
        <w:widowControl/>
        <w:shd w:val="clear" w:color="auto" w:fill="FFFFFF"/>
        <w:spacing w:line="560" w:lineRule="exact"/>
        <w:ind w:left="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w:t>
      </w:r>
      <w:r>
        <w:rPr>
          <w:rFonts w:hint="eastAsia" w:ascii="黑体" w:eastAsia="黑体" w:cs="黑体"/>
          <w:color w:val="333333"/>
          <w:kern w:val="0"/>
          <w:sz w:val="32"/>
          <w:szCs w:val="32"/>
          <w:shd w:val="clear" w:color="auto" w:fill="FFFFFF"/>
          <w:lang w:val="en-US" w:eastAsia="zh-CN"/>
        </w:rPr>
        <w:t>六</w:t>
      </w:r>
      <w:r>
        <w:rPr>
          <w:rFonts w:hint="eastAsia" w:ascii="黑体" w:eastAsia="黑体" w:cs="黑体"/>
          <w:color w:val="333333"/>
          <w:kern w:val="0"/>
          <w:sz w:val="32"/>
          <w:szCs w:val="32"/>
          <w:shd w:val="clear" w:color="auto" w:fill="FFFFFF"/>
        </w:rPr>
        <w:t>、国有资本经营预算收支情况说明</w:t>
      </w:r>
    </w:p>
    <w:p w14:paraId="3C65EE6A">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2025</w:t>
      </w:r>
      <w:r>
        <w:rPr>
          <w:rFonts w:hint="eastAsia" w:ascii="仿宋_GB2312" w:eastAsia="仿宋_GB2312"/>
          <w:sz w:val="32"/>
          <w:szCs w:val="32"/>
        </w:rPr>
        <w:t>年没有使用国有资本经营预算拨款安排的支出。</w:t>
      </w:r>
    </w:p>
    <w:p w14:paraId="432EAA8B">
      <w:pPr>
        <w:widowControl/>
        <w:shd w:val="clear" w:color="auto" w:fill="FFFFFF"/>
        <w:spacing w:line="560" w:lineRule="exact"/>
        <w:ind w:left="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w:t>
      </w:r>
      <w:r>
        <w:rPr>
          <w:rFonts w:hint="eastAsia" w:ascii="黑体" w:eastAsia="黑体" w:cs="黑体"/>
          <w:color w:val="333333"/>
          <w:kern w:val="0"/>
          <w:sz w:val="32"/>
          <w:szCs w:val="32"/>
          <w:shd w:val="clear" w:color="auto" w:fill="FFFFFF"/>
          <w:lang w:val="en-US" w:eastAsia="zh-CN"/>
        </w:rPr>
        <w:t>七</w:t>
      </w:r>
      <w:r>
        <w:rPr>
          <w:rFonts w:hint="eastAsia" w:ascii="黑体" w:eastAsia="黑体" w:cs="黑体"/>
          <w:color w:val="333333"/>
          <w:kern w:val="0"/>
          <w:sz w:val="32"/>
          <w:szCs w:val="32"/>
          <w:shd w:val="clear" w:color="auto" w:fill="FFFFFF"/>
        </w:rPr>
        <w:t>、其他重要事项的情况说明</w:t>
      </w:r>
    </w:p>
    <w:p w14:paraId="52AACB78">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楷体_GB2312" w:eastAsia="楷体_GB2312" w:cs="楷体_GB2312"/>
          <w:b/>
          <w:bCs/>
          <w:color w:val="333333"/>
          <w:kern w:val="0"/>
          <w:sz w:val="32"/>
          <w:szCs w:val="32"/>
          <w:shd w:val="clear" w:color="auto" w:fill="FFFFFF"/>
        </w:rPr>
        <w:t xml:space="preserve"> （一）政府采购预算情况</w:t>
      </w:r>
      <w:r>
        <w:rPr>
          <w:rFonts w:hint="eastAsia" w:ascii="黑体" w:eastAsia="黑体" w:cs="黑体"/>
          <w:color w:val="333333"/>
          <w:kern w:val="0"/>
          <w:sz w:val="32"/>
          <w:szCs w:val="32"/>
          <w:shd w:val="clear" w:color="auto" w:fill="FFFFFF"/>
        </w:rPr>
        <w:t xml:space="preserve"> </w:t>
      </w:r>
    </w:p>
    <w:p w14:paraId="3E03B874">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2025</w:t>
      </w:r>
      <w:r>
        <w:rPr>
          <w:rFonts w:hint="eastAsia" w:ascii="仿宋_GB2312" w:eastAsia="仿宋_GB2312"/>
          <w:sz w:val="32"/>
          <w:szCs w:val="32"/>
        </w:rPr>
        <w:t>年度没有安排政府采购预算。</w:t>
      </w:r>
    </w:p>
    <w:p w14:paraId="19DD8AC0">
      <w:pPr>
        <w:widowControl/>
        <w:shd w:val="clear" w:color="auto" w:fill="FFFFFF"/>
        <w:spacing w:line="560" w:lineRule="exact"/>
        <w:ind w:left="480"/>
        <w:jc w:val="left"/>
      </w:pPr>
      <w:r>
        <w:rPr>
          <w:rFonts w:hint="eastAsia" w:ascii="楷体_GB2312" w:eastAsia="楷体_GB2312" w:cs="楷体_GB2312"/>
          <w:b/>
          <w:bCs/>
          <w:color w:val="333333"/>
          <w:kern w:val="0"/>
          <w:sz w:val="32"/>
          <w:szCs w:val="32"/>
          <w:shd w:val="clear" w:color="auto" w:fill="FFFFFF"/>
        </w:rPr>
        <w:t xml:space="preserve"> （二）政府财政国有资产占用情况</w:t>
      </w:r>
      <w:r>
        <w:rPr>
          <w:rFonts w:hint="eastAsia" w:ascii="微软雅黑" w:eastAsia="微软雅黑" w:cs="微软雅黑"/>
          <w:color w:val="333333"/>
          <w:kern w:val="0"/>
          <w:sz w:val="24"/>
          <w:shd w:val="clear" w:color="auto" w:fill="FFFFFF"/>
        </w:rPr>
        <w:t xml:space="preserve"> </w:t>
      </w:r>
    </w:p>
    <w:p w14:paraId="370305AF">
      <w:pPr>
        <w:spacing w:line="560" w:lineRule="exact"/>
        <w:ind w:firstLine="640" w:firstLineChars="200"/>
        <w:rPr>
          <w:rFonts w:ascii="仿宋_GB2312" w:eastAsia="仿宋_GB2312"/>
          <w:sz w:val="32"/>
          <w:szCs w:val="32"/>
        </w:rPr>
      </w:pPr>
      <w:r>
        <w:rPr>
          <w:rFonts w:hint="eastAsia" w:ascii="仿宋_GB2312" w:eastAsia="仿宋_GB2312"/>
          <w:sz w:val="32"/>
          <w:szCs w:val="32"/>
        </w:rPr>
        <w:t>截止</w:t>
      </w:r>
      <w:r>
        <w:rPr>
          <w:rFonts w:hint="eastAsia" w:ascii="仿宋_GB2312" w:eastAsia="仿宋_GB2312"/>
          <w:sz w:val="32"/>
          <w:szCs w:val="32"/>
          <w:lang w:val="en-US" w:eastAsia="zh-CN"/>
        </w:rPr>
        <w:t>2025</w:t>
      </w:r>
      <w:r>
        <w:rPr>
          <w:rFonts w:hint="eastAsia" w:ascii="仿宋_GB2312" w:eastAsia="仿宋_GB2312"/>
          <w:sz w:val="32"/>
          <w:szCs w:val="32"/>
        </w:rPr>
        <w:t>年底，实际共有固定资产价值</w:t>
      </w:r>
      <w:r>
        <w:rPr>
          <w:rFonts w:hint="eastAsia" w:ascii="仿宋_GB2312" w:eastAsia="仿宋_GB2312"/>
          <w:sz w:val="32"/>
          <w:szCs w:val="32"/>
          <w:lang w:val="en-US" w:eastAsia="zh-CN"/>
        </w:rPr>
        <w:t>76.55</w:t>
      </w:r>
      <w:r>
        <w:rPr>
          <w:rFonts w:hint="eastAsia" w:ascii="仿宋_GB2312" w:eastAsia="仿宋_GB2312"/>
          <w:sz w:val="32"/>
          <w:szCs w:val="32"/>
        </w:rPr>
        <w:t>万元：其中：公务用车</w:t>
      </w:r>
      <w:r>
        <w:rPr>
          <w:rFonts w:hint="eastAsia" w:ascii="仿宋_GB2312" w:eastAsia="仿宋_GB2312"/>
          <w:sz w:val="32"/>
          <w:szCs w:val="32"/>
          <w:lang w:val="en-US" w:eastAsia="zh-CN"/>
        </w:rPr>
        <w:t>59.99</w:t>
      </w:r>
      <w:r>
        <w:rPr>
          <w:rFonts w:hint="eastAsia" w:ascii="仿宋_GB2312" w:eastAsia="仿宋_GB2312"/>
          <w:sz w:val="32"/>
          <w:szCs w:val="32"/>
        </w:rPr>
        <w:t>万元；其他固定资产</w:t>
      </w:r>
      <w:r>
        <w:rPr>
          <w:rFonts w:hint="eastAsia" w:ascii="仿宋_GB2312" w:eastAsia="仿宋_GB2312"/>
          <w:sz w:val="32"/>
          <w:szCs w:val="32"/>
          <w:lang w:val="en-US" w:eastAsia="zh-CN"/>
        </w:rPr>
        <w:t>16.56</w:t>
      </w:r>
      <w:r>
        <w:rPr>
          <w:rFonts w:hint="eastAsia" w:ascii="仿宋_GB2312" w:eastAsia="仿宋_GB2312"/>
          <w:sz w:val="32"/>
          <w:szCs w:val="32"/>
        </w:rPr>
        <w:t>万元。</w:t>
      </w:r>
    </w:p>
    <w:p w14:paraId="1305330D">
      <w:pPr>
        <w:widowControl/>
        <w:shd w:val="clear" w:color="auto" w:fill="FFFFFF"/>
        <w:spacing w:line="560" w:lineRule="exact"/>
        <w:ind w:left="480"/>
        <w:jc w:val="left"/>
        <w:rPr>
          <w:rFonts w:ascii="楷体_GB2312" w:eastAsia="楷体_GB2312" w:cs="楷体_GB2312"/>
          <w:b/>
          <w:bCs/>
          <w:color w:val="333333"/>
          <w:kern w:val="0"/>
          <w:sz w:val="32"/>
          <w:szCs w:val="32"/>
          <w:shd w:val="clear" w:color="auto" w:fill="FFFFFF"/>
        </w:rPr>
      </w:pPr>
      <w:r>
        <w:rPr>
          <w:rFonts w:hint="eastAsia" w:ascii="楷体_GB2312" w:eastAsia="楷体_GB2312" w:cs="楷体_GB2312"/>
          <w:b/>
          <w:bCs/>
          <w:color w:val="333333"/>
          <w:kern w:val="0"/>
          <w:sz w:val="32"/>
          <w:szCs w:val="32"/>
          <w:shd w:val="clear" w:color="auto" w:fill="FFFFFF"/>
        </w:rPr>
        <w:t xml:space="preserve"> （三）绩效目标设置情况</w:t>
      </w:r>
    </w:p>
    <w:p w14:paraId="4A182C4D">
      <w:pPr>
        <w:pStyle w:val="8"/>
        <w:rPr>
          <w:rFonts w:hint="eastAsia" w:ascii="仿宋_GB2312" w:eastAsia="仿宋_GB2312"/>
          <w:sz w:val="32"/>
          <w:szCs w:val="32"/>
        </w:rPr>
      </w:pPr>
      <w:r>
        <w:rPr>
          <w:rFonts w:hint="eastAsia" w:ascii="仿宋_GB2312" w:eastAsia="仿宋_GB2312"/>
          <w:sz w:val="32"/>
          <w:szCs w:val="32"/>
        </w:rPr>
        <w:t xml:space="preserve"> 绩效项目规模：共开展</w:t>
      </w:r>
      <w:r>
        <w:rPr>
          <w:rFonts w:hint="eastAsia" w:ascii="仿宋_GB2312" w:eastAsia="仿宋_GB2312"/>
          <w:sz w:val="32"/>
          <w:szCs w:val="32"/>
          <w:lang w:val="en-US" w:eastAsia="zh-CN"/>
        </w:rPr>
        <w:t>47</w:t>
      </w:r>
      <w:r>
        <w:rPr>
          <w:rFonts w:hint="eastAsia" w:ascii="仿宋_GB2312" w:eastAsia="仿宋_GB2312"/>
          <w:sz w:val="32"/>
          <w:szCs w:val="32"/>
        </w:rPr>
        <w:t>个绩效目标管理项目，涉及总预算</w:t>
      </w:r>
      <w:r>
        <w:rPr>
          <w:rFonts w:hint="eastAsia" w:ascii="仿宋_GB2312" w:eastAsia="仿宋_GB2312"/>
          <w:sz w:val="32"/>
          <w:szCs w:val="32"/>
          <w:lang w:val="en-US" w:eastAsia="zh-CN"/>
        </w:rPr>
        <w:t>549.96</w:t>
      </w:r>
      <w:r>
        <w:rPr>
          <w:rFonts w:hint="eastAsia" w:ascii="仿宋_GB2312" w:eastAsia="仿宋_GB2312"/>
          <w:sz w:val="32"/>
          <w:szCs w:val="32"/>
        </w:rPr>
        <w:t>万元。</w:t>
      </w:r>
    </w:p>
    <w:p w14:paraId="596CB0FE">
      <w:pPr>
        <w:pStyle w:val="8"/>
        <w:rPr>
          <w:rFonts w:hint="eastAsia" w:ascii="仿宋_GB2312" w:eastAsia="仿宋_GB2312"/>
          <w:sz w:val="32"/>
          <w:szCs w:val="32"/>
        </w:rPr>
      </w:pPr>
      <w:r>
        <w:rPr>
          <w:rFonts w:hint="eastAsia" w:ascii="仿宋_GB2312" w:eastAsia="仿宋_GB2312"/>
          <w:sz w:val="32"/>
          <w:szCs w:val="32"/>
        </w:rPr>
        <w:t>项目类型与预算分布：</w:t>
      </w:r>
    </w:p>
    <w:p w14:paraId="5080056D">
      <w:pPr>
        <w:pStyle w:val="8"/>
        <w:rPr>
          <w:rFonts w:hint="eastAsia" w:ascii="仿宋_GB2312" w:eastAsia="仿宋_GB2312"/>
          <w:sz w:val="32"/>
          <w:szCs w:val="32"/>
        </w:rPr>
      </w:pPr>
      <w:r>
        <w:rPr>
          <w:rFonts w:hint="eastAsia" w:ascii="仿宋_GB2312" w:eastAsia="仿宋_GB2312"/>
          <w:sz w:val="32"/>
          <w:szCs w:val="32"/>
        </w:rPr>
        <w:t>人员类项目：</w:t>
      </w:r>
      <w:r>
        <w:rPr>
          <w:rFonts w:hint="eastAsia" w:ascii="仿宋_GB2312" w:eastAsia="仿宋_GB2312"/>
          <w:sz w:val="32"/>
          <w:szCs w:val="32"/>
          <w:lang w:val="en-US" w:eastAsia="zh-CN"/>
        </w:rPr>
        <w:t>33</w:t>
      </w:r>
      <w:r>
        <w:rPr>
          <w:rFonts w:hint="eastAsia" w:ascii="仿宋_GB2312" w:eastAsia="仿宋_GB2312"/>
          <w:sz w:val="32"/>
          <w:szCs w:val="32"/>
        </w:rPr>
        <w:t>个，预算471.72万元</w:t>
      </w:r>
    </w:p>
    <w:p w14:paraId="207E0304">
      <w:pPr>
        <w:pStyle w:val="8"/>
        <w:rPr>
          <w:rFonts w:hint="eastAsia" w:ascii="仿宋_GB2312" w:eastAsia="仿宋_GB2312"/>
          <w:sz w:val="32"/>
          <w:szCs w:val="32"/>
        </w:rPr>
      </w:pPr>
      <w:r>
        <w:rPr>
          <w:rFonts w:hint="eastAsia" w:ascii="仿宋_GB2312" w:eastAsia="仿宋_GB2312"/>
          <w:sz w:val="32"/>
          <w:szCs w:val="32"/>
        </w:rPr>
        <w:t>运转类项目：</w:t>
      </w:r>
      <w:r>
        <w:rPr>
          <w:rFonts w:hint="eastAsia" w:ascii="仿宋_GB2312" w:eastAsia="仿宋_GB2312"/>
          <w:sz w:val="32"/>
          <w:szCs w:val="32"/>
          <w:lang w:val="en-US" w:eastAsia="zh-CN"/>
        </w:rPr>
        <w:t>10</w:t>
      </w:r>
      <w:r>
        <w:rPr>
          <w:rFonts w:hint="eastAsia" w:ascii="仿宋_GB2312" w:eastAsia="仿宋_GB2312"/>
          <w:sz w:val="32"/>
          <w:szCs w:val="32"/>
        </w:rPr>
        <w:t>个，预算62.19万元</w:t>
      </w:r>
    </w:p>
    <w:p w14:paraId="01F42BD4">
      <w:pPr>
        <w:pStyle w:val="8"/>
        <w:rPr>
          <w:rFonts w:hint="eastAsia" w:ascii="仿宋_GB2312" w:eastAsia="仿宋_GB2312"/>
          <w:sz w:val="32"/>
          <w:szCs w:val="32"/>
        </w:rPr>
      </w:pPr>
      <w:r>
        <w:rPr>
          <w:rFonts w:hint="eastAsia" w:ascii="仿宋_GB2312" w:eastAsia="仿宋_GB2312"/>
          <w:sz w:val="32"/>
          <w:szCs w:val="32"/>
        </w:rPr>
        <w:t>特定目标类项目：</w:t>
      </w:r>
      <w:r>
        <w:rPr>
          <w:rFonts w:hint="eastAsia" w:ascii="仿宋_GB2312" w:eastAsia="仿宋_GB2312"/>
          <w:sz w:val="32"/>
          <w:szCs w:val="32"/>
          <w:lang w:val="en-US" w:eastAsia="zh-CN"/>
        </w:rPr>
        <w:t>4</w:t>
      </w:r>
      <w:r>
        <w:rPr>
          <w:rFonts w:hint="eastAsia" w:ascii="仿宋_GB2312" w:eastAsia="仿宋_GB2312"/>
          <w:sz w:val="32"/>
          <w:szCs w:val="32"/>
        </w:rPr>
        <w:t>个，预算</w:t>
      </w:r>
      <w:r>
        <w:rPr>
          <w:rFonts w:hint="eastAsia" w:ascii="仿宋_GB2312" w:eastAsia="仿宋_GB2312"/>
          <w:sz w:val="32"/>
          <w:szCs w:val="32"/>
          <w:lang w:val="en-US" w:eastAsia="zh-CN"/>
        </w:rPr>
        <w:t>16.05</w:t>
      </w:r>
      <w:r>
        <w:rPr>
          <w:rFonts w:hint="eastAsia" w:ascii="仿宋_GB2312" w:eastAsia="仿宋_GB2312"/>
          <w:sz w:val="32"/>
          <w:szCs w:val="32"/>
        </w:rPr>
        <w:t>万元</w:t>
      </w:r>
    </w:p>
    <w:p w14:paraId="01D036F7">
      <w:pPr>
        <w:pStyle w:val="8"/>
        <w:rPr>
          <w:rFonts w:ascii="仿宋_GB2312" w:eastAsia="仿宋_GB2312"/>
          <w:sz w:val="32"/>
          <w:szCs w:val="32"/>
        </w:rPr>
      </w:pPr>
    </w:p>
    <w:p w14:paraId="5FC0C94F">
      <w:pPr>
        <w:pStyle w:val="8"/>
        <w:rPr>
          <w:rFonts w:hint="eastAsia" w:ascii="仿宋_GB2312" w:eastAsia="仿宋_GB2312"/>
          <w:sz w:val="32"/>
          <w:szCs w:val="32"/>
        </w:rPr>
      </w:pPr>
    </w:p>
    <w:p w14:paraId="05352214">
      <w:pPr>
        <w:pStyle w:val="8"/>
        <w:rPr>
          <w:rFonts w:hint="eastAsia" w:ascii="仿宋_GB2312" w:eastAsia="仿宋_GB2312"/>
          <w:sz w:val="32"/>
          <w:szCs w:val="32"/>
        </w:rPr>
      </w:pPr>
    </w:p>
    <w:p w14:paraId="44B101FF">
      <w:pPr>
        <w:pStyle w:val="8"/>
        <w:rPr>
          <w:rFonts w:hint="eastAsia" w:ascii="仿宋_GB2312" w:eastAsia="仿宋_GB2312"/>
          <w:sz w:val="32"/>
          <w:szCs w:val="32"/>
        </w:rPr>
      </w:pPr>
    </w:p>
    <w:p w14:paraId="45758C06">
      <w:pPr>
        <w:pStyle w:val="8"/>
        <w:rPr>
          <w:rFonts w:hint="eastAsia" w:ascii="仿宋_GB2312" w:eastAsia="仿宋_GB2312"/>
          <w:sz w:val="32"/>
          <w:szCs w:val="32"/>
        </w:rPr>
      </w:pPr>
    </w:p>
    <w:p w14:paraId="37376EC8">
      <w:pPr>
        <w:pStyle w:val="8"/>
        <w:rPr>
          <w:rFonts w:hint="eastAsia" w:ascii="仿宋_GB2312" w:eastAsia="仿宋_GB2312"/>
          <w:sz w:val="32"/>
          <w:szCs w:val="32"/>
        </w:rPr>
      </w:pPr>
    </w:p>
    <w:p w14:paraId="6BF5651F">
      <w:pPr>
        <w:pStyle w:val="8"/>
        <w:rPr>
          <w:rFonts w:hint="eastAsia" w:ascii="仿宋_GB2312" w:eastAsia="仿宋_GB2312"/>
          <w:sz w:val="32"/>
          <w:szCs w:val="32"/>
        </w:rPr>
      </w:pPr>
    </w:p>
    <w:p w14:paraId="18F58A5B">
      <w:pPr>
        <w:pStyle w:val="8"/>
        <w:rPr>
          <w:rFonts w:hint="eastAsia" w:ascii="仿宋_GB2312" w:eastAsia="仿宋_GB2312"/>
          <w:sz w:val="32"/>
          <w:szCs w:val="32"/>
        </w:rPr>
      </w:pPr>
    </w:p>
    <w:p w14:paraId="69549FF1">
      <w:pPr>
        <w:pStyle w:val="8"/>
        <w:rPr>
          <w:rFonts w:hint="eastAsia" w:ascii="仿宋_GB2312" w:eastAsia="仿宋_GB2312"/>
          <w:sz w:val="32"/>
          <w:szCs w:val="32"/>
        </w:rPr>
      </w:pPr>
    </w:p>
    <w:p w14:paraId="088E7957">
      <w:pPr>
        <w:pStyle w:val="8"/>
        <w:rPr>
          <w:rFonts w:hint="eastAsia" w:ascii="仿宋_GB2312" w:eastAsia="仿宋_GB2312"/>
          <w:sz w:val="32"/>
          <w:szCs w:val="32"/>
        </w:rPr>
      </w:pPr>
    </w:p>
    <w:p w14:paraId="3E2BA50F">
      <w:pPr>
        <w:pStyle w:val="8"/>
        <w:rPr>
          <w:rFonts w:hint="eastAsia" w:ascii="仿宋_GB2312" w:eastAsia="仿宋_GB2312"/>
          <w:sz w:val="32"/>
          <w:szCs w:val="32"/>
        </w:rPr>
      </w:pPr>
    </w:p>
    <w:p w14:paraId="71D7E8D2">
      <w:pPr>
        <w:pStyle w:val="8"/>
        <w:rPr>
          <w:rFonts w:hint="eastAsia" w:ascii="仿宋_GB2312" w:eastAsia="仿宋_GB2312"/>
          <w:sz w:val="32"/>
          <w:szCs w:val="32"/>
        </w:rPr>
      </w:pPr>
    </w:p>
    <w:p w14:paraId="70764BDA">
      <w:pPr>
        <w:pStyle w:val="8"/>
        <w:rPr>
          <w:rFonts w:hint="eastAsia" w:ascii="仿宋_GB2312" w:eastAsia="仿宋_GB2312"/>
          <w:sz w:val="32"/>
          <w:szCs w:val="32"/>
        </w:rPr>
      </w:pPr>
    </w:p>
    <w:p w14:paraId="0135DD51">
      <w:pPr>
        <w:pStyle w:val="13"/>
        <w:keepNext w:val="0"/>
        <w:keepLines w:val="0"/>
        <w:widowControl/>
        <w:suppressLineNumbers w:val="0"/>
        <w:ind w:right="75"/>
        <w:jc w:val="center"/>
        <w:outlineLvl w:val="0"/>
        <w:rPr>
          <w:rFonts w:hint="eastAsia" w:ascii="宋体" w:cs="宋体"/>
          <w:sz w:val="28"/>
          <w:szCs w:val="28"/>
        </w:rPr>
      </w:pPr>
      <w:bookmarkStart w:id="2" w:name="_Toc26931"/>
      <w:r>
        <w:rPr>
          <w:rFonts w:hint="eastAsia" w:ascii="黑体" w:eastAsia="黑体" w:cs="黑体"/>
          <w:sz w:val="44"/>
          <w:szCs w:val="44"/>
          <w:shd w:val="clear" w:color="auto" w:fill="FFFFFF"/>
          <w:lang w:val="en-US" w:eastAsia="zh-CN"/>
        </w:rPr>
        <w:t xml:space="preserve">第三部分   </w:t>
      </w:r>
      <w:r>
        <w:rPr>
          <w:rFonts w:hint="eastAsia" w:ascii="黑体" w:eastAsia="黑体" w:cs="黑体"/>
          <w:sz w:val="44"/>
          <w:szCs w:val="44"/>
          <w:shd w:val="clear" w:color="auto" w:fill="FFFFFF"/>
        </w:rPr>
        <w:t>名词解释</w:t>
      </w:r>
      <w:bookmarkEnd w:id="2"/>
      <w:r>
        <w:rPr>
          <w:rFonts w:hint="eastAsia" w:ascii="宋体" w:cs="宋体"/>
          <w:sz w:val="28"/>
          <w:szCs w:val="28"/>
        </w:rPr>
        <w:br w:type="textWrapping"/>
      </w:r>
      <w:r>
        <w:rPr>
          <w:rFonts w:hint="eastAsia" w:ascii="宋体" w:cs="宋体"/>
          <w:sz w:val="28"/>
          <w:szCs w:val="28"/>
        </w:rPr>
        <w:t>　</w:t>
      </w:r>
    </w:p>
    <w:p w14:paraId="3FE91A46">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00BDBEAA">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14:paraId="4A949308">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35B5C0F0">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14:paraId="3ADA862D">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2010101</w:t>
      </w:r>
      <w:r>
        <w:rPr>
          <w:rFonts w:hint="eastAsia" w:ascii="仿宋_GB2312" w:eastAsia="仿宋_GB2312"/>
          <w:color w:val="000000"/>
          <w:sz w:val="32"/>
          <w:szCs w:val="32"/>
        </w:rPr>
        <w:t>指</w:t>
      </w:r>
      <w:r>
        <w:rPr>
          <w:rFonts w:ascii="仿宋_GB2312" w:eastAsia="仿宋_GB2312"/>
          <w:color w:val="000000"/>
          <w:sz w:val="32"/>
          <w:szCs w:val="32"/>
        </w:rPr>
        <w:t>统战部</w:t>
      </w:r>
      <w:r>
        <w:rPr>
          <w:rFonts w:hint="eastAsia" w:ascii="仿宋_GB2312" w:eastAsia="仿宋_GB2312"/>
          <w:color w:val="000000"/>
          <w:sz w:val="32"/>
          <w:szCs w:val="32"/>
          <w:lang w:eastAsia="zh-CN"/>
        </w:rPr>
        <w:t>行政运行，反映人员经费与日常公用经费的支出</w:t>
      </w:r>
      <w:r>
        <w:rPr>
          <w:rFonts w:hint="eastAsia" w:ascii="仿宋_GB2312" w:eastAsia="仿宋_GB2312"/>
          <w:color w:val="000000"/>
          <w:sz w:val="32"/>
          <w:szCs w:val="32"/>
        </w:rPr>
        <w:t>。</w:t>
      </w:r>
    </w:p>
    <w:p w14:paraId="7BB4114A">
      <w:pPr>
        <w:ind w:left="0" w:firstLine="640" w:firstLineChars="200"/>
        <w:rPr>
          <w:rFonts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14:paraId="71806254">
      <w:pPr>
        <w:ind w:left="0" w:firstLine="640" w:firstLineChars="200"/>
        <w:rPr>
          <w:rFonts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14:paraId="6D263877">
      <w:pPr>
        <w:ind w:firstLine="640" w:firstLineChars="200"/>
        <w:rPr>
          <w:rFonts w:asci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14:paraId="7103389D">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14:paraId="05C28B4B">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0FDA1BC5">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98104EC">
      <w:pPr>
        <w:pStyle w:val="13"/>
        <w:keepNext w:val="0"/>
        <w:keepLines w:val="0"/>
        <w:widowControl/>
        <w:suppressLineNumbers w:val="0"/>
        <w:shd w:val="clear" w:color="auto" w:fill="auto"/>
        <w:spacing w:before="100" w:beforeAutospacing="1" w:after="100" w:afterAutospacing="1"/>
        <w:ind w:right="75"/>
        <w:jc w:val="both"/>
        <w:rPr>
          <w:rFonts w:hint="eastAsia" w:ascii="黑体" w:eastAsia="黑体" w:cs="黑体"/>
          <w:sz w:val="44"/>
          <w:szCs w:val="44"/>
          <w:shd w:val="clear" w:color="auto" w:fill="FFFFFF"/>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p>
    <w:p w14:paraId="5E92ED22">
      <w:pPr>
        <w:pStyle w:val="13"/>
        <w:keepNext w:val="0"/>
        <w:keepLines w:val="0"/>
        <w:widowControl/>
        <w:suppressLineNumbers w:val="0"/>
        <w:ind w:right="75"/>
        <w:jc w:val="center"/>
        <w:outlineLvl w:val="0"/>
        <w:rPr>
          <w:rFonts w:hint="eastAsia" w:ascii="黑体" w:eastAsia="黑体" w:cs="黑体"/>
          <w:sz w:val="44"/>
          <w:szCs w:val="44"/>
        </w:rPr>
      </w:pPr>
      <w:bookmarkStart w:id="3" w:name="_Toc29972"/>
      <w:r>
        <w:rPr>
          <w:rFonts w:hint="eastAsia" w:ascii="黑体" w:eastAsia="黑体" w:cs="黑体"/>
          <w:sz w:val="44"/>
          <w:szCs w:val="44"/>
          <w:shd w:val="clear" w:color="auto" w:fill="FFFFFF"/>
        </w:rPr>
        <w:t>第五部分 附表</w:t>
      </w:r>
      <w:bookmarkEnd w:id="3"/>
    </w:p>
    <w:p w14:paraId="1DAFAEF6">
      <w:pPr>
        <w:spacing w:line="560" w:lineRule="exact"/>
        <w:ind w:firstLine="640" w:firstLineChars="200"/>
        <w:rPr>
          <w:rFonts w:ascii="仿宋_GB2312" w:eastAsia="仿宋_GB2312"/>
          <w:sz w:val="32"/>
          <w:szCs w:val="32"/>
        </w:rPr>
      </w:pPr>
      <w:r>
        <w:rPr>
          <w:rFonts w:hint="eastAsia" w:ascii="仿宋_GB2312" w:eastAsia="仿宋_GB2312"/>
          <w:sz w:val="32"/>
          <w:szCs w:val="32"/>
        </w:rPr>
        <w:t>附件：表1.财政拨款收支总表</w:t>
      </w:r>
    </w:p>
    <w:p w14:paraId="1DC7F6AF">
      <w:pPr>
        <w:spacing w:line="560" w:lineRule="exact"/>
        <w:ind w:firstLine="1600" w:firstLineChars="500"/>
        <w:rPr>
          <w:rFonts w:ascii="仿宋_GB2312" w:eastAsia="仿宋_GB2312"/>
          <w:sz w:val="32"/>
          <w:szCs w:val="32"/>
        </w:rPr>
      </w:pPr>
      <w:r>
        <w:rPr>
          <w:rFonts w:hint="eastAsia" w:ascii="仿宋_GB2312" w:eastAsia="仿宋_GB2312"/>
          <w:sz w:val="32"/>
          <w:szCs w:val="32"/>
        </w:rPr>
        <w:t>表2.一般公共预算支出表</w:t>
      </w:r>
    </w:p>
    <w:p w14:paraId="533817E6">
      <w:pPr>
        <w:spacing w:line="560" w:lineRule="exact"/>
        <w:ind w:firstLine="1600" w:firstLineChars="500"/>
        <w:rPr>
          <w:rFonts w:ascii="仿宋_GB2312" w:eastAsia="仿宋_GB2312"/>
          <w:sz w:val="32"/>
          <w:szCs w:val="32"/>
        </w:rPr>
      </w:pPr>
      <w:r>
        <w:rPr>
          <w:rFonts w:hint="eastAsia" w:ascii="仿宋_GB2312" w:eastAsia="仿宋_GB2312"/>
          <w:sz w:val="32"/>
          <w:szCs w:val="32"/>
        </w:rPr>
        <w:t>表3.一般公共预算基本支出表</w:t>
      </w:r>
    </w:p>
    <w:p w14:paraId="05223BA7">
      <w:pPr>
        <w:spacing w:line="560" w:lineRule="exact"/>
        <w:ind w:firstLine="1600" w:firstLineChars="500"/>
        <w:rPr>
          <w:rFonts w:ascii="仿宋_GB2312" w:eastAsia="仿宋_GB2312"/>
          <w:sz w:val="32"/>
          <w:szCs w:val="32"/>
        </w:rPr>
      </w:pPr>
      <w:r>
        <w:rPr>
          <w:rFonts w:hint="eastAsia" w:ascii="仿宋_GB2312" w:eastAsia="仿宋_GB2312"/>
          <w:sz w:val="32"/>
          <w:szCs w:val="32"/>
        </w:rPr>
        <w:t>表4.一般公共预算“三公”经费支出表</w:t>
      </w:r>
    </w:p>
    <w:p w14:paraId="5EA9999D">
      <w:pPr>
        <w:spacing w:line="560" w:lineRule="exact"/>
        <w:ind w:firstLine="1600" w:firstLineChars="500"/>
        <w:rPr>
          <w:rFonts w:ascii="仿宋_GB2312" w:eastAsia="仿宋_GB2312"/>
          <w:sz w:val="32"/>
          <w:szCs w:val="32"/>
        </w:rPr>
      </w:pPr>
      <w:r>
        <w:rPr>
          <w:rFonts w:hint="eastAsia" w:ascii="仿宋_GB2312" w:eastAsia="仿宋_GB2312"/>
          <w:sz w:val="32"/>
          <w:szCs w:val="32"/>
        </w:rPr>
        <w:t>表5.政府性基金预算支出表</w:t>
      </w:r>
    </w:p>
    <w:p w14:paraId="16E97D62">
      <w:pPr>
        <w:spacing w:line="560" w:lineRule="exact"/>
        <w:ind w:firstLine="1600" w:firstLineChars="500"/>
        <w:rPr>
          <w:rFonts w:ascii="仿宋_GB2312" w:eastAsia="仿宋_GB2312"/>
          <w:sz w:val="32"/>
          <w:szCs w:val="32"/>
        </w:rPr>
      </w:pPr>
      <w:r>
        <w:rPr>
          <w:rFonts w:hint="eastAsia" w:ascii="仿宋_GB2312" w:eastAsia="仿宋_GB2312"/>
          <w:sz w:val="32"/>
          <w:szCs w:val="32"/>
        </w:rPr>
        <w:t>表6.政府性基金预算“三公”经费支出表</w:t>
      </w:r>
    </w:p>
    <w:p w14:paraId="63F9A5FF">
      <w:pPr>
        <w:spacing w:line="560" w:lineRule="exact"/>
        <w:ind w:firstLine="1600" w:firstLineChars="500"/>
        <w:rPr>
          <w:rFonts w:ascii="仿宋_GB2312" w:eastAsia="仿宋_GB2312"/>
          <w:sz w:val="32"/>
          <w:szCs w:val="32"/>
        </w:rPr>
      </w:pPr>
      <w:r>
        <w:rPr>
          <w:rFonts w:hint="eastAsia" w:ascii="仿宋_GB2312" w:eastAsia="仿宋_GB2312"/>
          <w:sz w:val="32"/>
          <w:szCs w:val="32"/>
        </w:rPr>
        <w:t>表7.部门收支总表</w:t>
      </w:r>
    </w:p>
    <w:p w14:paraId="018B299C">
      <w:pPr>
        <w:spacing w:line="560" w:lineRule="exact"/>
        <w:ind w:firstLine="1600" w:firstLineChars="500"/>
        <w:rPr>
          <w:rFonts w:ascii="仿宋_GB2312" w:eastAsia="仿宋_GB2312"/>
          <w:sz w:val="32"/>
          <w:szCs w:val="32"/>
        </w:rPr>
      </w:pPr>
      <w:r>
        <w:rPr>
          <w:rFonts w:hint="eastAsia" w:ascii="仿宋_GB2312" w:eastAsia="仿宋_GB2312"/>
          <w:sz w:val="32"/>
          <w:szCs w:val="32"/>
        </w:rPr>
        <w:t>表8.部门收入总表</w:t>
      </w:r>
    </w:p>
    <w:p w14:paraId="64DCFE68">
      <w:pPr>
        <w:spacing w:line="560" w:lineRule="exact"/>
        <w:ind w:firstLine="1600" w:firstLineChars="500"/>
        <w:rPr>
          <w:rFonts w:ascii="仿宋_GB2312" w:eastAsia="仿宋_GB2312"/>
          <w:sz w:val="32"/>
          <w:szCs w:val="32"/>
        </w:rPr>
      </w:pPr>
      <w:r>
        <w:rPr>
          <w:rFonts w:hint="eastAsia" w:ascii="仿宋_GB2312" w:eastAsia="仿宋_GB2312"/>
          <w:sz w:val="32"/>
          <w:szCs w:val="32"/>
        </w:rPr>
        <w:t>表9.部门支出总表</w:t>
      </w:r>
    </w:p>
    <w:p w14:paraId="7682D2E3">
      <w:pPr>
        <w:rPr>
          <w:sz w:val="32"/>
          <w:szCs w:val="32"/>
        </w:rPr>
      </w:pP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47517">
    <w:pPr>
      <w:pStyle w:val="9"/>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785" cy="139700"/>
              <wp:effectExtent l="0" t="0" r="0" b="0"/>
              <wp:wrapNone/>
              <wp:docPr id="1" name="文本框 6"/>
              <wp:cNvGraphicFramePr/>
              <a:graphic xmlns:a="http://schemas.openxmlformats.org/drawingml/2006/main">
                <a:graphicData uri="http://schemas.microsoft.com/office/word/2010/wordprocessingShape">
                  <wps:wsp>
                    <wps:cNvSpPr/>
                    <wps:spPr>
                      <a:xfrm>
                        <a:off x="0" y="0"/>
                        <a:ext cx="57950" cy="139560"/>
                      </a:xfrm>
                      <a:prstGeom prst="rect">
                        <a:avLst/>
                      </a:prstGeom>
                      <a:noFill/>
                      <a:ln w="6350" cap="flat" cmpd="sng">
                        <a:noFill/>
                        <a:prstDash val="solid"/>
                        <a:round/>
                      </a:ln>
                    </wps:spPr>
                    <wps:txbx>
                      <w:txbxContent>
                        <w:p w14:paraId="4C9543F8">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id="文本框 6" o:spid="_x0000_s1026" o:spt="1" style="position:absolute;left:0pt;margin-top:0pt;height:11pt;width:4.55pt;mso-position-horizontal:center;mso-position-horizontal-relative:margin;mso-wrap-style:none;z-index:251659264;mso-width-relative:page;mso-height-relative:page;" filled="f" stroked="f" coordsize="21600,21600" o:gfxdata="UEsDBAoAAAAAAIdO4kAAAAAAAAAAAAAAAAAEAAAAZHJzL1BLAwQUAAAACACHTuJACk/3HdUAAAAC&#10;AQAADwAAAGRycy9kb3ducmV2LnhtbE2PQUvEMBCF74L/IYzgZXGT9iBam+5BUUH0YF0Eb9lmtinb&#10;TGqTbVd/veNe9DLweI/3vilXB9+LCcfYBdKQLRUIpCbYjloN67f7iysQMRmypg+EGr4wwqo6PSlN&#10;YcNMrzjVqRVcQrEwGlxKQyFlbBx6E5dhQGJvG0ZvEsuxlXY0M5f7XuZKXUpvOuIFZwa8ddjs6r3X&#10;8Hz38PG+cE8qf/lebMNcr6fPx53W52eZugGR8JD+wvCLz+hQMdMm7MlG0WvgR9LxsnedgdhoyHMF&#10;sirlf/TqB1BLAwQUAAAACACHTuJAsEVA/AICAADzAwAADgAAAGRycy9lMm9Eb2MueG1srVNLbtsw&#10;EN0X6B0I7mvZCew2guUgqJGiQNEGSHsAmqIsAvxhhrbkHqC9QVfddN9z+RwdUrITpJssspGG5PDN&#10;vDePy+veGrZXgNq7is8mU86Uk77Wblvxb19v37zjDKNwtTDeqYofFPLr1etXyy6U6sK33tQKGIE4&#10;LLtQ8TbGUBYFylZZgRMflKPDxoMVkZawLWoQHaFbU1xMp4ui81AH8FIh0u56OOQjIjwH0DeNlmrt&#10;5c4qFwdUUEZEooStDshXudumUTJ+aRpUkZmKE9OYv1SE4k36FqulKLcgQqvl2IJ4TgtPOFmhHRU9&#10;Q61FFGwH+j8oqyV49E2cSG+LgUhWhFjMpk+0uW9FUJkLSY3hLDq+HKz8vL8DpmtyAmdOWBr48dfP&#10;4++/xz8/2CLJ0wUsKes+3MG4QgoT174Bm/7EgvVZ0sNZUtVHJmlz/vZqTlpLOpldXs0XWfHi4W4A&#10;jB+UtywFFQcaWNZR7D9hpHqUekpJpZy/1cbkoRnHuoovLjO8ICM2ZACqZAORQbfNMI/yE8xaYMv2&#10;gryA3uh6mD74nauHUsZRxUR4oJii2G/6kffG1wcSi94Oddp6+M5ZR86puKOHwpn56GgwyWSnAE7B&#10;5hQIJ+lixanRIXwfBzPuAuhtS7jT3DeGm10krlmC1MZQe+yOvJCVGX2bzPZ4nbMe3urq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pP9x3VAAAAAgEAAA8AAAAAAAAAAQAgAAAAIgAAAGRycy9kb3du&#10;cmV2LnhtbFBLAQIUABQAAAAIAIdO4kCwRUD8AgIAAPMDAAAOAAAAAAAAAAEAIAAAACQBAABkcnMv&#10;ZTJvRG9jLnhtbFBLBQYAAAAABgAGAFkBAACYBQAAAAA=&#10;">
              <v:fill on="f" focussize="0,0"/>
              <v:stroke on="f" weight="0.5pt" joinstyle="round"/>
              <v:imagedata o:title=""/>
              <o:lock v:ext="edit" aspectratio="f"/>
              <v:textbox inset="0mm,0mm,0mm,0mm" style="mso-fit-shape-to-text:t;">
                <w:txbxContent>
                  <w:p w14:paraId="4C9543F8">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TRkOWVlZDU1Y2MzNTI1ZmI4MWU1NDUzMWRhYjEwZWUifQ=="/>
  </w:docVars>
  <w:rsids>
    <w:rsidRoot w:val="00000000"/>
    <w:rsid w:val="00BA7578"/>
    <w:rsid w:val="01643A87"/>
    <w:rsid w:val="04787C5D"/>
    <w:rsid w:val="082C0827"/>
    <w:rsid w:val="0E9C6A32"/>
    <w:rsid w:val="1339491F"/>
    <w:rsid w:val="183A263E"/>
    <w:rsid w:val="24257BFD"/>
    <w:rsid w:val="27255580"/>
    <w:rsid w:val="2D384F15"/>
    <w:rsid w:val="362F1FC2"/>
    <w:rsid w:val="398F7DAE"/>
    <w:rsid w:val="3B6C15C2"/>
    <w:rsid w:val="3C2C5EDC"/>
    <w:rsid w:val="3EA219AF"/>
    <w:rsid w:val="3EEB40A2"/>
    <w:rsid w:val="3F297CFD"/>
    <w:rsid w:val="468938F6"/>
    <w:rsid w:val="48834C73"/>
    <w:rsid w:val="4AC974FC"/>
    <w:rsid w:val="53E53868"/>
    <w:rsid w:val="5A93169A"/>
    <w:rsid w:val="5D523D0F"/>
    <w:rsid w:val="5EEF26E1"/>
    <w:rsid w:val="621C4D4F"/>
    <w:rsid w:val="6BB06A8C"/>
    <w:rsid w:val="6CCC5F61"/>
    <w:rsid w:val="6CCE3CD5"/>
    <w:rsid w:val="75A51D92"/>
    <w:rsid w:val="785E58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2">
    <w:name w:val="heading 2"/>
    <w:basedOn w:val="1"/>
    <w:next w:val="1"/>
    <w:qFormat/>
    <w:uiPriority w:val="0"/>
    <w:pPr>
      <w:shd w:val="clear" w:color="auto" w:fill="auto"/>
      <w:spacing w:before="100" w:beforeAutospacing="1" w:after="100" w:afterAutospacing="1"/>
      <w:jc w:val="left"/>
      <w:outlineLvl w:val="1"/>
    </w:pPr>
    <w:rPr>
      <w:rFonts w:ascii="宋体" w:eastAsia="宋体" w:cs="宋体"/>
      <w:b/>
      <w:kern w:val="0"/>
      <w:sz w:val="36"/>
      <w:szCs w:val="36"/>
      <w:shd w:val="clear" w:color="auto" w:fill="auto"/>
      <w:lang w:val="en-US" w:eastAsia="zh-CN"/>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sz w:val="30"/>
    </w:rPr>
  </w:style>
  <w:style w:type="paragraph" w:styleId="6">
    <w:name w:val="Body Text Indent"/>
    <w:basedOn w:val="1"/>
    <w:next w:val="7"/>
    <w:qFormat/>
    <w:uiPriority w:val="0"/>
    <w:pPr>
      <w:ind w:firstLine="567"/>
      <w:jc w:val="both"/>
    </w:pPr>
    <w:rPr>
      <w:kern w:val="2"/>
      <w:sz w:val="28"/>
    </w:rPr>
  </w:style>
  <w:style w:type="paragraph" w:styleId="7">
    <w:name w:val="Body Text First Indent 2"/>
    <w:basedOn w:val="6"/>
    <w:next w:val="8"/>
    <w:qFormat/>
    <w:uiPriority w:val="0"/>
    <w:pPr>
      <w:ind w:firstLine="200" w:firstLineChars="200"/>
    </w:pPr>
  </w:style>
  <w:style w:type="paragraph" w:styleId="8">
    <w:name w:val="Plain Text"/>
    <w:basedOn w:val="1"/>
    <w:qFormat/>
    <w:uiPriority w:val="0"/>
    <w:rPr>
      <w:rFonts w:ascii="宋体"/>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rPr>
  </w:style>
  <w:style w:type="character" w:styleId="16">
    <w:name w:val="Strong"/>
    <w:basedOn w:val="15"/>
    <w:qFormat/>
    <w:uiPriority w:val="0"/>
    <w:rPr>
      <w:b/>
    </w:rPr>
  </w:style>
  <w:style w:type="character" w:styleId="17">
    <w:name w:val="page number"/>
    <w:basedOn w:val="15"/>
    <w:qFormat/>
    <w:uiPriority w:val="0"/>
  </w:style>
  <w:style w:type="character" w:styleId="18">
    <w:name w:val="Hyperlink"/>
    <w:basedOn w:val="15"/>
    <w:qFormat/>
    <w:uiPriority w:val="0"/>
    <w:rPr>
      <w:color w:val="0000FF"/>
      <w:u w:val="none"/>
    </w:rPr>
  </w:style>
  <w:style w:type="paragraph" w:customStyle="1" w:styleId="19">
    <w:name w:val="Body Text Indent 2_2f75ddf9-7586-465d-b894-cacca03ef0a7"/>
    <w:basedOn w:val="1"/>
    <w:qFormat/>
    <w:uiPriority w:val="0"/>
    <w:pPr>
      <w:spacing w:after="120" w:line="19996" w:lineRule="auto"/>
      <w:ind w:left="200" w:leftChars="200"/>
    </w:pPr>
    <w:rPr>
      <w:rFonts w:ascii="Times New Roman" w:hAnsi="Times New Roman" w:eastAsia="宋体" w:cs="Times New Roman"/>
      <w:lang w:bidi="ar-SA"/>
    </w:rPr>
  </w:style>
  <w:style w:type="paragraph" w:styleId="20">
    <w:name w:val="List Paragraph"/>
    <w:basedOn w:val="1"/>
    <w:qFormat/>
    <w:uiPriority w:val="0"/>
    <w:pPr>
      <w:ind w:firstLine="200" w:firstLineChars="200"/>
    </w:p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2">
    <w:name w:val="No Spacing"/>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3">
    <w:name w:val="15"/>
    <w:basedOn w:val="15"/>
    <w:qFormat/>
    <w:uiPriority w:val="0"/>
    <w:rPr>
      <w:rFonts w:ascii="Calibri" w:hAnsi="Calibri" w:cs="Calibri"/>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4443</Words>
  <Characters>4704</Characters>
  <Lines>201</Lines>
  <Paragraphs>92</Paragraphs>
  <TotalTime>50</TotalTime>
  <ScaleCrop>false</ScaleCrop>
  <LinksUpToDate>false</LinksUpToDate>
  <CharactersWithSpaces>4788</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若能在一滴眼泪中闭关</cp:lastModifiedBy>
  <cp:lastPrinted>2026-02-09T03:55:17Z</cp:lastPrinted>
  <dcterms:modified xsi:type="dcterms:W3CDTF">2026-02-09T04:02:20Z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eyJoZGlkIjoiZDA4NGZmYTQxM2U4Y2VkNjYxNWQyYjRmNzU2NjI3NzEiLCJ1c2VySWQiOiIzNTQ3OTUxNTAifQ==</vt:lpwstr>
  </property>
  <property fmtid="{D5CDD505-2E9C-101B-9397-08002B2CF9AE}" pid="4" name="ICV">
    <vt:lpwstr>50B28BA92FF140289A1C4886D8541815_12</vt:lpwstr>
  </property>
</Properties>
</file>