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widowControl/>
        <w:suppressLineNumbers w:val="0"/>
        <w:ind w:left="0" w:right="75"/>
        <w:jc w:val="center"/>
        <w:rPr>
          <w:rFonts w:hint="eastAsia" w:ascii="方正小标宋简体" w:hAnsi="方正小标宋简体" w:eastAsia="方正小标宋简体" w:cs="方正小标宋简体"/>
          <w:sz w:val="44"/>
          <w:szCs w:val="44"/>
        </w:rPr>
      </w:pPr>
      <w:r>
        <w:rPr>
          <w:rStyle w:val="15"/>
          <w:rFonts w:hint="eastAsia" w:ascii="方正小标宋简体" w:hAnsi="方正小标宋简体" w:eastAsia="方正小标宋简体" w:cs="方正小标宋简体"/>
          <w:sz w:val="44"/>
          <w:szCs w:val="44"/>
          <w:shd w:val="clear" w:color="auto" w:fill="FFFFFF"/>
          <w:lang w:val="en-US" w:eastAsia="zh-CN"/>
        </w:rPr>
        <w:t>2024</w:t>
      </w:r>
      <w:r>
        <w:rPr>
          <w:rStyle w:val="15"/>
          <w:rFonts w:hint="eastAsia" w:ascii="方正小标宋简体" w:hAnsi="方正小标宋简体" w:eastAsia="方正小标宋简体" w:cs="方正小标宋简体"/>
          <w:sz w:val="44"/>
          <w:szCs w:val="44"/>
          <w:shd w:val="clear" w:color="auto" w:fill="FFFFFF"/>
        </w:rPr>
        <w:t>年度</w:t>
      </w:r>
    </w:p>
    <w:p>
      <w:pPr>
        <w:pStyle w:val="12"/>
        <w:keepNext w:val="0"/>
        <w:keepLines w:val="0"/>
        <w:widowControl/>
        <w:suppressLineNumbers w:val="0"/>
        <w:ind w:left="0" w:right="75"/>
        <w:jc w:val="center"/>
        <w:rPr>
          <w:rStyle w:val="15"/>
          <w:rFonts w:hint="default" w:ascii="方正小标宋简体" w:hAnsi="方正小标宋简体" w:eastAsia="方正小标宋简体" w:cs="方正小标宋简体"/>
          <w:sz w:val="44"/>
          <w:szCs w:val="44"/>
          <w:shd w:val="clear" w:color="auto" w:fill="FFFFFF"/>
          <w:lang w:val="en-US" w:eastAsia="zh-CN"/>
        </w:rPr>
      </w:pPr>
      <w:r>
        <w:rPr>
          <w:rStyle w:val="15"/>
          <w:rFonts w:hint="eastAsia" w:ascii="方正小标宋简体" w:hAnsi="方正小标宋简体" w:eastAsia="方正小标宋简体" w:cs="方正小标宋简体"/>
          <w:sz w:val="44"/>
          <w:szCs w:val="44"/>
          <w:shd w:val="clear" w:color="auto" w:fill="FFFFFF"/>
          <w:lang w:val="en-US" w:eastAsia="zh-CN"/>
        </w:rPr>
        <w:t>中共红原县委员会统战部(汇总)</w:t>
      </w:r>
    </w:p>
    <w:p>
      <w:pPr>
        <w:pStyle w:val="12"/>
        <w:keepNext w:val="0"/>
        <w:keepLines w:val="0"/>
        <w:widowControl/>
        <w:suppressLineNumbers w:val="0"/>
        <w:ind w:left="0" w:right="75"/>
        <w:jc w:val="center"/>
        <w:rPr>
          <w:rFonts w:hint="eastAsia" w:ascii="方正小标宋简体" w:hAnsi="方正小标宋简体" w:eastAsia="方正小标宋简体" w:cs="方正小标宋简体"/>
          <w:sz w:val="44"/>
          <w:szCs w:val="44"/>
          <w:lang w:eastAsia="zh-CN"/>
        </w:rPr>
      </w:pPr>
      <w:r>
        <w:rPr>
          <w:rStyle w:val="15"/>
          <w:rFonts w:hint="eastAsia" w:ascii="方正小标宋简体" w:hAnsi="方正小标宋简体" w:eastAsia="方正小标宋简体" w:cs="方正小标宋简体"/>
          <w:sz w:val="44"/>
          <w:szCs w:val="44"/>
          <w:shd w:val="clear" w:color="auto" w:fill="FFFFFF"/>
        </w:rPr>
        <w:t>部门决算</w:t>
      </w:r>
      <w:r>
        <w:rPr>
          <w:rStyle w:val="15"/>
          <w:rFonts w:hint="eastAsia" w:ascii="方正小标宋简体" w:hAnsi="方正小标宋简体" w:eastAsia="方正小标宋简体" w:cs="方正小标宋简体"/>
          <w:sz w:val="44"/>
          <w:szCs w:val="44"/>
          <w:shd w:val="clear" w:color="auto" w:fill="FFFFFF"/>
          <w:lang w:eastAsia="zh-CN"/>
        </w:rPr>
        <w:t>公开编制说明</w:t>
      </w: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rPr>
          <w:sz w:val="24"/>
          <w:szCs w:val="24"/>
          <w:shd w:val="clear" w:color="auto" w:fill="FFFFFF"/>
        </w:rPr>
      </w:pPr>
    </w:p>
    <w:p>
      <w:pPr>
        <w:pStyle w:val="12"/>
        <w:keepNext w:val="0"/>
        <w:keepLines w:val="0"/>
        <w:widowControl/>
        <w:suppressLineNumbers w:val="0"/>
        <w:ind w:left="0" w:right="75"/>
        <w:jc w:val="left"/>
      </w:pPr>
      <w:r>
        <w:rPr>
          <w:sz w:val="24"/>
          <w:szCs w:val="24"/>
          <w:shd w:val="clear" w:color="auto" w:fill="FFFFFF"/>
        </w:rPr>
        <w:t>保密审查情况：已审查，内容审定</w:t>
      </w:r>
    </w:p>
    <w:p>
      <w:pPr>
        <w:pStyle w:val="12"/>
        <w:keepNext w:val="0"/>
        <w:keepLines w:val="0"/>
        <w:widowControl/>
        <w:suppressLineNumbers w:val="0"/>
        <w:ind w:left="0" w:right="75"/>
        <w:jc w:val="left"/>
      </w:pPr>
      <w:r>
        <w:rPr>
          <w:sz w:val="24"/>
          <w:szCs w:val="24"/>
          <w:shd w:val="clear" w:color="auto" w:fill="FFFFFF"/>
        </w:rPr>
        <w:t>部门主要负责人审签情况：已审签，同意对外公开</w:t>
      </w:r>
    </w:p>
    <w:p>
      <w:pPr>
        <w:pStyle w:val="12"/>
        <w:keepNext w:val="0"/>
        <w:keepLines w:val="0"/>
        <w:widowControl/>
        <w:suppressLineNumbers w:val="0"/>
        <w:ind w:left="0" w:right="75"/>
        <w:jc w:val="both"/>
        <w:rPr>
          <w:rStyle w:val="15"/>
          <w:sz w:val="30"/>
          <w:szCs w:val="30"/>
          <w:shd w:val="clear" w:color="auto" w:fill="FFFFFF"/>
        </w:rPr>
        <w:sectPr>
          <w:pgSz w:w="11906" w:h="16838"/>
          <w:pgMar w:top="1440" w:right="1800" w:bottom="1440" w:left="1800" w:header="851" w:footer="992" w:gutter="0"/>
          <w:cols w:space="720" w:num="1"/>
          <w:docGrid w:type="lines" w:linePitch="312" w:charSpace="0"/>
        </w:sectPr>
      </w:pPr>
    </w:p>
    <w:p>
      <w:pPr>
        <w:pStyle w:val="12"/>
        <w:keepNext w:val="0"/>
        <w:keepLines w:val="0"/>
        <w:widowControl/>
        <w:suppressLineNumbers w:val="0"/>
        <w:ind w:left="0" w:right="75"/>
        <w:jc w:val="center"/>
      </w:pPr>
      <w:r>
        <w:rPr>
          <w:rStyle w:val="15"/>
          <w:sz w:val="30"/>
          <w:szCs w:val="30"/>
          <w:shd w:val="clear" w:color="auto" w:fill="FFFFFF"/>
        </w:rPr>
        <w:t>目 录</w:t>
      </w:r>
    </w:p>
    <w:sdt>
      <w:sdtPr>
        <w:rPr>
          <w:rFonts w:ascii="宋体" w:hAnsi="宋体" w:eastAsia="宋体" w:cs="Times New Roman"/>
          <w:kern w:val="2"/>
          <w:sz w:val="21"/>
          <w:szCs w:val="24"/>
          <w:lang w:val="en-US" w:eastAsia="zh-CN" w:bidi="ar-SA"/>
        </w:rPr>
        <w:id w:val="147458493"/>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10"/>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TOC \o "1-3" \h \u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_Toc27360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第一部分 部门概况</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_Toc27360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1"/>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_Toc14224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一、基本职能及主要工作</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_Toc14224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1"/>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_Toc10295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二、机构设置</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fldChar w:fldCharType="end"/>
          </w:r>
        </w:p>
        <w:p>
          <w:pPr>
            <w:pStyle w:val="10"/>
            <w:tabs>
              <w:tab w:val="right" w:leader="dot" w:pos="8306"/>
              <w:tab w:val="clear" w:pos="8296"/>
            </w:tabs>
            <w:jc w:val="both"/>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_Toc6796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 xml:space="preserve">第二部分 </w:t>
          </w:r>
          <w:r>
            <w:rPr>
              <w:rFonts w:hint="eastAsia" w:ascii="仿宋_GB2312" w:hAnsi="仿宋_GB2312" w:eastAsia="仿宋_GB2312" w:cs="仿宋_GB2312"/>
              <w:sz w:val="30"/>
              <w:szCs w:val="30"/>
              <w:shd w:val="clear" w:color="auto" w:fill="FFFFFF"/>
              <w:lang w:eastAsia="zh-CN"/>
            </w:rPr>
            <w:t>2024</w:t>
          </w:r>
          <w:r>
            <w:rPr>
              <w:rFonts w:hint="eastAsia" w:ascii="仿宋_GB2312" w:hAnsi="仿宋_GB2312" w:eastAsia="仿宋_GB2312" w:cs="仿宋_GB2312"/>
              <w:sz w:val="30"/>
              <w:szCs w:val="30"/>
              <w:shd w:val="clear" w:color="auto" w:fill="FFFFFF"/>
            </w:rPr>
            <w:t>年度部门决算情况说明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6</w:t>
          </w:r>
        </w:p>
        <w:p>
          <w:pPr>
            <w:pStyle w:val="11"/>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_Toc23902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一、 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fldChar w:fldCharType="end"/>
          </w:r>
        </w:p>
        <w:p>
          <w:pPr>
            <w:pStyle w:val="11"/>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_Toc21346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lang w:eastAsia="zh-CN"/>
            </w:rPr>
            <w:t xml:space="preserve">二、 </w:t>
          </w:r>
          <w:r>
            <w:rPr>
              <w:rFonts w:hint="eastAsia" w:ascii="仿宋_GB2312" w:hAnsi="仿宋_GB2312" w:eastAsia="仿宋_GB2312" w:cs="仿宋_GB2312"/>
              <w:sz w:val="30"/>
              <w:szCs w:val="30"/>
              <w:shd w:val="clear" w:color="auto" w:fill="FFFFFF"/>
            </w:rPr>
            <w:t>收入决算情况说明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fldChar w:fldCharType="end"/>
          </w:r>
        </w:p>
        <w:p>
          <w:pPr>
            <w:pStyle w:val="11"/>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_Toc21019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三、 </w:t>
          </w:r>
          <w:r>
            <w:rPr>
              <w:rFonts w:hint="eastAsia" w:ascii="仿宋_GB2312" w:hAnsi="仿宋_GB2312" w:eastAsia="仿宋_GB2312" w:cs="仿宋_GB2312"/>
              <w:sz w:val="30"/>
              <w:szCs w:val="30"/>
              <w:shd w:val="clear" w:color="auto" w:fill="FFFFFF"/>
            </w:rPr>
            <w:t>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fldChar w:fldCharType="end"/>
          </w:r>
        </w:p>
        <w:p>
          <w:pPr>
            <w:pStyle w:val="11"/>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_Toc7956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四、 </w:t>
          </w:r>
          <w:r>
            <w:rPr>
              <w:rFonts w:hint="eastAsia" w:ascii="仿宋_GB2312" w:hAnsi="仿宋_GB2312" w:eastAsia="仿宋_GB2312" w:cs="仿宋_GB2312"/>
              <w:sz w:val="30"/>
              <w:szCs w:val="30"/>
              <w:shd w:val="clear" w:color="auto" w:fill="FFFFFF"/>
            </w:rPr>
            <w:t>财政拨款收入支出决算总体情况说明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fldChar w:fldCharType="end"/>
          </w:r>
        </w:p>
        <w:p>
          <w:pPr>
            <w:pStyle w:val="11"/>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_Toc23149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五、一般公共预算财政拨款支出决算情况说明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9</w:t>
          </w:r>
          <w:r>
            <w:rPr>
              <w:rFonts w:hint="eastAsia" w:ascii="仿宋_GB2312" w:hAnsi="仿宋_GB2312" w:eastAsia="仿宋_GB2312" w:cs="仿宋_GB2312"/>
              <w:sz w:val="30"/>
              <w:szCs w:val="30"/>
            </w:rPr>
            <w:fldChar w:fldCharType="end"/>
          </w:r>
        </w:p>
        <w:p>
          <w:pPr>
            <w:pStyle w:val="11"/>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_Toc2180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lang w:eastAsia="zh-CN"/>
            </w:rPr>
            <w:t>六、</w:t>
          </w:r>
          <w:r>
            <w:rPr>
              <w:rFonts w:hint="eastAsia" w:ascii="仿宋_GB2312" w:hAnsi="仿宋_GB2312" w:eastAsia="仿宋_GB2312" w:cs="仿宋_GB2312"/>
              <w:sz w:val="30"/>
              <w:szCs w:val="30"/>
              <w:shd w:val="clear" w:color="auto" w:fill="FFFFFF"/>
            </w:rPr>
            <w:t>一般公共预算财政拨款基本支出决算情况说明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_Toc2180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1"/>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_Toc18699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七、“三公”经费财政拨款支出决算情况说明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3</w:t>
          </w:r>
        </w:p>
        <w:p>
          <w:pPr>
            <w:pStyle w:val="11"/>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_Toc9599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八、 </w:t>
          </w:r>
          <w:r>
            <w:rPr>
              <w:rFonts w:hint="eastAsia" w:ascii="仿宋_GB2312" w:hAnsi="仿宋_GB2312" w:eastAsia="仿宋_GB2312" w:cs="仿宋_GB2312"/>
              <w:sz w:val="30"/>
              <w:szCs w:val="30"/>
              <w:shd w:val="clear" w:color="auto" w:fill="FFFFFF"/>
            </w:rPr>
            <w:t>政府性基金预算支出决算情况说明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4</w:t>
          </w:r>
        </w:p>
        <w:p>
          <w:pPr>
            <w:pStyle w:val="11"/>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_Toc31416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九、 </w:t>
          </w:r>
          <w:r>
            <w:rPr>
              <w:rFonts w:hint="eastAsia" w:ascii="仿宋_GB2312" w:hAnsi="仿宋_GB2312" w:eastAsia="仿宋_GB2312" w:cs="仿宋_GB2312"/>
              <w:sz w:val="30"/>
              <w:szCs w:val="30"/>
              <w:shd w:val="clear" w:color="auto" w:fill="FFFFFF"/>
            </w:rPr>
            <w:t>国有资本经营预算支出决算情况说明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_Toc31416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1"/>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_Toc11587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十、其他重要事项的情况说明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_Toc11587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_Toc26931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第三部分 </w:t>
          </w:r>
          <w:r>
            <w:rPr>
              <w:rFonts w:hint="eastAsia" w:ascii="仿宋_GB2312" w:hAnsi="仿宋_GB2312" w:eastAsia="仿宋_GB2312" w:cs="仿宋_GB2312"/>
              <w:sz w:val="30"/>
              <w:szCs w:val="30"/>
              <w:shd w:val="clear" w:color="auto" w:fill="FFFFFF"/>
            </w:rPr>
            <w:t>名词解释</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9</w:t>
          </w:r>
        </w:p>
        <w:p>
          <w:pPr>
            <w:pStyle w:val="10"/>
            <w:tabs>
              <w:tab w:val="right" w:leader="dot" w:pos="8306"/>
              <w:tab w:val="clear" w:pos="8296"/>
            </w:tabs>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_Toc15389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第四部分 附</w:t>
          </w:r>
          <w:r>
            <w:rPr>
              <w:rFonts w:hint="eastAsia" w:ascii="仿宋_GB2312" w:hAnsi="仿宋_GB2312" w:eastAsia="仿宋_GB2312" w:cs="仿宋_GB2312"/>
              <w:sz w:val="30"/>
              <w:szCs w:val="30"/>
              <w:shd w:val="clear" w:color="auto" w:fill="FFFFFF"/>
              <w:lang w:eastAsia="zh-CN"/>
            </w:rPr>
            <w:t>表</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21</w:t>
          </w:r>
        </w:p>
        <w:p>
          <w:pPr>
            <w:pStyle w:val="10"/>
            <w:tabs>
              <w:tab w:val="right" w:leader="dot" w:pos="8306"/>
              <w:tab w:val="clear" w:pos="8296"/>
            </w:tabs>
            <w:jc w:val="both"/>
            <w:rPr>
              <w:rFonts w:hint="eastAsia" w:ascii="仿宋_GB2312" w:hAnsi="仿宋_GB2312" w:eastAsia="仿宋_GB2312" w:cs="仿宋_GB2312"/>
              <w:sz w:val="30"/>
              <w:szCs w:val="30"/>
              <w:lang w:val="en-US" w:eastAsia="zh-CN"/>
            </w:rPr>
          </w:pPr>
        </w:p>
        <w:p>
          <w:r>
            <w:rPr>
              <w:rFonts w:hint="eastAsia" w:ascii="仿宋_GB2312" w:hAnsi="仿宋_GB2312" w:eastAsia="仿宋_GB2312" w:cs="仿宋_GB2312"/>
              <w:sz w:val="30"/>
              <w:szCs w:val="30"/>
            </w:rPr>
            <w:fldChar w:fldCharType="end"/>
          </w:r>
        </w:p>
      </w:sdtContent>
    </w:sdt>
    <w:p>
      <w:pPr>
        <w:pStyle w:val="12"/>
        <w:keepNext w:val="0"/>
        <w:keepLines w:val="0"/>
        <w:widowControl/>
        <w:suppressLineNumbers w:val="0"/>
        <w:ind w:left="0" w:right="75"/>
        <w:jc w:val="center"/>
        <w:outlineLvl w:val="0"/>
        <w:rPr>
          <w:rFonts w:hint="eastAsia" w:ascii="方正大标宋_GBK" w:hAnsi="方正大标宋_GBK" w:eastAsia="方正大标宋_GBK" w:cs="方正大标宋_GBK"/>
          <w:b/>
          <w:bCs/>
          <w:sz w:val="44"/>
          <w:szCs w:val="44"/>
          <w:shd w:val="clear" w:color="auto" w:fill="FFFFFF"/>
        </w:rPr>
      </w:pPr>
      <w:bookmarkStart w:id="0" w:name="_Toc27360"/>
    </w:p>
    <w:p>
      <w:pPr>
        <w:pStyle w:val="12"/>
        <w:keepNext w:val="0"/>
        <w:keepLines w:val="0"/>
        <w:widowControl/>
        <w:suppressLineNumbers w:val="0"/>
        <w:ind w:left="0" w:right="75"/>
        <w:jc w:val="center"/>
        <w:outlineLvl w:val="0"/>
        <w:rPr>
          <w:rFonts w:hint="eastAsia" w:ascii="方正大标宋_GBK" w:hAnsi="方正大标宋_GBK" w:eastAsia="方正大标宋_GBK" w:cs="方正大标宋_GBK"/>
          <w:b/>
          <w:bCs/>
          <w:sz w:val="44"/>
          <w:szCs w:val="44"/>
        </w:rPr>
      </w:pPr>
      <w:r>
        <w:rPr>
          <w:rFonts w:hint="eastAsia" w:ascii="方正大标宋_GBK" w:hAnsi="方正大标宋_GBK" w:eastAsia="方正大标宋_GBK" w:cs="方正大标宋_GBK"/>
          <w:b/>
          <w:bCs/>
          <w:sz w:val="44"/>
          <w:szCs w:val="44"/>
          <w:shd w:val="clear" w:color="auto" w:fill="FFFFFF"/>
        </w:rPr>
        <w:t>第一部分 部门概况</w:t>
      </w:r>
      <w:bookmarkEnd w:id="0"/>
    </w:p>
    <w:p>
      <w:pPr>
        <w:pStyle w:val="12"/>
        <w:keepNext w:val="0"/>
        <w:keepLines w:val="0"/>
        <w:widowControl/>
        <w:suppressLineNumbers w:val="0"/>
        <w:ind w:left="0" w:right="75"/>
        <w:outlineLvl w:val="1"/>
        <w:rPr>
          <w:rFonts w:hint="eastAsia" w:ascii="仿宋_GB2312" w:hAnsi="仿宋_GB2312" w:eastAsia="仿宋_GB2312" w:cs="仿宋_GB2312"/>
          <w:b/>
          <w:bCs/>
          <w:sz w:val="32"/>
          <w:szCs w:val="32"/>
        </w:rPr>
      </w:pPr>
      <w:bookmarkStart w:id="1" w:name="_Toc14224"/>
      <w:r>
        <w:rPr>
          <w:rFonts w:hint="eastAsia" w:ascii="仿宋_GB2312" w:hAnsi="仿宋_GB2312" w:eastAsia="仿宋_GB2312" w:cs="仿宋_GB2312"/>
          <w:b/>
          <w:bCs/>
          <w:sz w:val="32"/>
          <w:szCs w:val="32"/>
          <w:shd w:val="clear" w:color="auto" w:fill="FFFFFF"/>
        </w:rPr>
        <w:t>一、基本职能及主要工作</w:t>
      </w:r>
      <w:bookmarkEnd w:id="1"/>
    </w:p>
    <w:p>
      <w:pPr>
        <w:pStyle w:val="12"/>
        <w:keepNext w:val="0"/>
        <w:keepLines w:val="0"/>
        <w:widowControl/>
        <w:suppressLineNumbers w:val="0"/>
        <w:ind w:left="0" w:right="75"/>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rPr>
        <w:t>（一）主要职能。</w:t>
      </w:r>
    </w:p>
    <w:p>
      <w:pPr>
        <w:snapToGrid w:val="0"/>
        <w:spacing w:line="520" w:lineRule="exact"/>
        <w:ind w:left="0"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lang w:eastAsia="zh-CN"/>
        </w:rPr>
        <w:t>．主要职能。</w:t>
      </w:r>
    </w:p>
    <w:p>
      <w:pPr>
        <w:spacing w:line="576" w:lineRule="exact"/>
        <w:ind w:left="0"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组织贯彻执行中央、省委、州委、县委关于统一战线的方针、政策；调查研究统一战线有关理论和政策；向县委反映情况，提出开展统战工作的意见和建议。</w:t>
      </w:r>
    </w:p>
    <w:p>
      <w:pPr>
        <w:spacing w:line="576" w:lineRule="exact"/>
        <w:ind w:left="0"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负责联系我县无党派代表人士，及时通报情况、了解和反映他们的意见和建议；研究、贯彻、督促、检查党领导的多党合作、政治协商制度</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lang w:eastAsia="zh-CN"/>
        </w:rPr>
        <w:t>发挥人民代表，政协委员参政议政和民主监督的职能。会同有关部门做好培养、选拔、推荐党外人士担任县政府、人大、政协及其工作部门行政领导的工作；做好党外后备干部的代表人物队伍建设工作。</w:t>
      </w:r>
    </w:p>
    <w:p>
      <w:pPr>
        <w:spacing w:line="576" w:lineRule="exact"/>
        <w:ind w:left="0"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负责联系工商界；调查、研究并反映我县非公有制经济代表人物的情况、协调关系、研究并提出政策性建议；组织和推动社会各界、工商联及统一战线各个方面积极为经济建设服务。</w:t>
      </w:r>
    </w:p>
    <w:p>
      <w:pPr>
        <w:spacing w:line="576" w:lineRule="exact"/>
        <w:ind w:left="0"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调查研究我县党外知识分子的情况，反映意见、协调关系，提出建议，联系并积极培养党外知识分子的代表人物。</w:t>
      </w:r>
    </w:p>
    <w:p>
      <w:pPr>
        <w:spacing w:line="576" w:lineRule="exact"/>
        <w:ind w:left="0"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指导县工商联的工作。</w:t>
      </w:r>
    </w:p>
    <w:p>
      <w:pPr>
        <w:spacing w:line="576" w:lineRule="exact"/>
        <w:ind w:left="0"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指导县佛教协会的工作。</w:t>
      </w:r>
    </w:p>
    <w:p>
      <w:pPr>
        <w:pStyle w:val="12"/>
        <w:keepNext w:val="0"/>
        <w:keepLines w:val="0"/>
        <w:widowControl/>
        <w:suppressLineNumbers w:val="0"/>
        <w:ind w:left="0" w:right="75"/>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rPr>
        <w:t>（二）</w:t>
      </w:r>
      <w:r>
        <w:rPr>
          <w:rFonts w:hint="eastAsia" w:ascii="仿宋_GB2312" w:hAnsi="仿宋_GB2312" w:eastAsia="仿宋_GB2312" w:cs="仿宋_GB2312"/>
          <w:b/>
          <w:bCs/>
          <w:sz w:val="32"/>
          <w:szCs w:val="32"/>
          <w:shd w:val="clear" w:color="auto" w:fill="FFFFFF"/>
          <w:lang w:val="en-US" w:eastAsia="zh-CN"/>
        </w:rPr>
        <w:t>2024</w:t>
      </w:r>
      <w:r>
        <w:rPr>
          <w:rFonts w:hint="eastAsia" w:ascii="仿宋_GB2312" w:hAnsi="仿宋_GB2312" w:eastAsia="仿宋_GB2312" w:cs="仿宋_GB2312"/>
          <w:b/>
          <w:bCs/>
          <w:sz w:val="32"/>
          <w:szCs w:val="32"/>
          <w:shd w:val="clear" w:color="auto" w:fill="FFFFFF"/>
        </w:rPr>
        <w:t>年重点工作完成情况。</w:t>
      </w:r>
    </w:p>
    <w:p>
      <w:pPr>
        <w:keepNext w:val="0"/>
        <w:keepLines w:val="0"/>
        <w:pageBreakBefore w:val="0"/>
        <w:widowControl w:val="0"/>
        <w:kinsoku/>
        <w:wordWrap/>
        <w:overflowPunct/>
        <w:topLinePunct w:val="0"/>
        <w:autoSpaceDE/>
        <w:autoSpaceDN/>
        <w:bidi w:val="0"/>
        <w:adjustRightInd/>
        <w:snapToGrid/>
        <w:spacing w:line="576" w:lineRule="exact"/>
        <w:ind w:firstLine="608" w:firstLineChars="200"/>
        <w:textAlignment w:val="auto"/>
        <w:outlineLvl w:val="9"/>
        <w:rPr>
          <w:rFonts w:eastAsia="方正黑体_GBK"/>
          <w:b/>
          <w:bCs/>
          <w:spacing w:val="2"/>
          <w:sz w:val="30"/>
          <w:szCs w:val="30"/>
        </w:rPr>
      </w:pPr>
      <w:bookmarkStart w:id="2" w:name="_Toc10295"/>
      <w:r>
        <w:rPr>
          <w:rFonts w:eastAsia="方正黑体_GBK"/>
          <w:b/>
          <w:bCs/>
          <w:spacing w:val="2"/>
          <w:sz w:val="30"/>
          <w:szCs w:val="30"/>
        </w:rPr>
        <w:t>一、工作开展情况</w:t>
      </w:r>
    </w:p>
    <w:p>
      <w:pPr>
        <w:keepNext w:val="0"/>
        <w:keepLines w:val="0"/>
        <w:pageBreakBefore w:val="0"/>
        <w:widowControl w:val="0"/>
        <w:kinsoku/>
        <w:wordWrap/>
        <w:overflowPunct/>
        <w:topLinePunct w:val="0"/>
        <w:autoSpaceDE/>
        <w:autoSpaceDN/>
        <w:adjustRightInd/>
        <w:snapToGrid/>
        <w:spacing w:line="576"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（一）加强政治引领，实现上下“一盘棋”。</w:t>
      </w:r>
    </w:p>
    <w:p>
      <w:pPr>
        <w:keepNext w:val="0"/>
        <w:keepLines w:val="0"/>
        <w:pageBreakBefore w:val="0"/>
        <w:widowControl w:val="0"/>
        <w:kinsoku/>
        <w:wordWrap/>
        <w:overflowPunct/>
        <w:topLinePunct w:val="0"/>
        <w:autoSpaceDE/>
        <w:autoSpaceDN/>
        <w:adjustRightInd/>
        <w:snapToGrid/>
        <w:spacing w:line="576"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1.凝聚思想共识。一是</w:t>
      </w:r>
      <w:r>
        <w:rPr>
          <w:rFonts w:hint="eastAsia" w:ascii="仿宋_GB2312" w:hAnsi="仿宋_GB2312" w:eastAsia="仿宋_GB2312" w:cs="仿宋_GB2312"/>
          <w:sz w:val="32"/>
          <w:szCs w:val="32"/>
        </w:rPr>
        <w:t>结合我县统战工作实际情况，制定印发《中共红原县委统一战线工作领导小组</w:t>
      </w: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年工作要点》，党委统一领导、统战部牵头协调、有关方面各负其责的大统战工作格局进一步巩固完善；主动向县委常委会、县委主要领导汇报统战情况，县委常委专题研究统战各领域工作。</w:t>
      </w: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年，县委主要领导先后6次听取专题汇报，先后召开县委常委会、县委专题会等会议11次，亲自谋划、亲自推动。</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召开了</w:t>
      </w:r>
      <w:r>
        <w:rPr>
          <w:rFonts w:hint="eastAsia" w:ascii="仿宋_GB2312" w:hAnsi="仿宋_GB2312" w:eastAsia="仿宋_GB2312" w:cs="仿宋_GB2312"/>
          <w:sz w:val="32"/>
          <w:szCs w:val="32"/>
          <w:lang w:eastAsia="zh-CN"/>
        </w:rPr>
        <w:t>红原</w:t>
      </w:r>
      <w:r>
        <w:rPr>
          <w:rFonts w:hint="eastAsia" w:ascii="仿宋_GB2312" w:hAnsi="仿宋_GB2312" w:eastAsia="仿宋_GB2312" w:cs="仿宋_GB2312"/>
          <w:sz w:val="32"/>
          <w:szCs w:val="32"/>
        </w:rPr>
        <w:t>县</w:t>
      </w: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年度统战工作会议，认真</w:t>
      </w:r>
      <w:r>
        <w:rPr>
          <w:rFonts w:hint="eastAsia" w:ascii="仿宋_GB2312" w:hAnsi="仿宋_GB2312" w:eastAsia="仿宋_GB2312" w:cs="仿宋_GB2312"/>
          <w:sz w:val="32"/>
          <w:szCs w:val="32"/>
          <w:lang w:val="en-US" w:eastAsia="zh-CN"/>
        </w:rPr>
        <w:t>学习</w:t>
      </w:r>
      <w:r>
        <w:rPr>
          <w:rFonts w:hint="eastAsia" w:ascii="仿宋_GB2312" w:hAnsi="仿宋_GB2312" w:eastAsia="仿宋_GB2312" w:cs="仿宋_GB2312"/>
          <w:sz w:val="32"/>
          <w:szCs w:val="32"/>
        </w:rPr>
        <w:t>传达</w:t>
      </w:r>
      <w:r>
        <w:rPr>
          <w:rFonts w:hint="eastAsia" w:ascii="仿宋_GB2312" w:hAnsi="仿宋_GB2312" w:eastAsia="仿宋_GB2312" w:cs="仿宋_GB2312"/>
          <w:sz w:val="32"/>
          <w:szCs w:val="32"/>
          <w:lang w:val="en-US" w:eastAsia="zh-CN"/>
        </w:rPr>
        <w:t>贯彻</w:t>
      </w:r>
      <w:r>
        <w:rPr>
          <w:rFonts w:hint="eastAsia" w:ascii="仿宋_GB2312" w:hAnsi="仿宋_GB2312" w:eastAsia="仿宋_GB2312" w:cs="仿宋_GB2312"/>
          <w:sz w:val="32"/>
          <w:szCs w:val="32"/>
        </w:rPr>
        <w:t>党的二十大精神和习近平总书记关于做好新时代党的统一战线工作的重要思想，全面落实中央、省委、州委统战工作会议部署要求，高举大团结大联合旗帜，牢牢把握团结奋斗的时代要求，坚持党的全面领导，总结经验、认清形势、明确任务，奋力推动新时代统战工作健康发展。</w:t>
      </w:r>
    </w:p>
    <w:p>
      <w:pPr>
        <w:keepNext w:val="0"/>
        <w:keepLines w:val="0"/>
        <w:pageBreakBefore w:val="0"/>
        <w:widowControl/>
        <w:kinsoku/>
        <w:wordWrap/>
        <w:overflowPunct/>
        <w:topLinePunct w:val="0"/>
        <w:autoSpaceDE/>
        <w:autoSpaceDN/>
        <w:bidi w:val="0"/>
        <w:adjustRightInd w:val="0"/>
        <w:snapToGrid w:val="0"/>
        <w:spacing w:after="0" w:line="576"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2.强化</w:t>
      </w:r>
      <w:r>
        <w:rPr>
          <w:rFonts w:hint="eastAsia" w:ascii="仿宋_GB2312" w:hAnsi="仿宋_GB2312" w:eastAsia="仿宋_GB2312" w:cs="仿宋_GB2312"/>
          <w:b/>
          <w:bCs/>
          <w:sz w:val="32"/>
          <w:szCs w:val="32"/>
        </w:rPr>
        <w:t>自身建设。</w:t>
      </w:r>
      <w:r>
        <w:rPr>
          <w:rFonts w:hint="eastAsia" w:ascii="仿宋_GB2312" w:hAnsi="仿宋_GB2312" w:eastAsia="仿宋_GB2312" w:cs="仿宋_GB2312"/>
          <w:sz w:val="32"/>
          <w:szCs w:val="32"/>
          <w:lang w:eastAsia="zh-CN"/>
        </w:rPr>
        <w:t>认真学习</w:t>
      </w:r>
      <w:r>
        <w:rPr>
          <w:rFonts w:hint="eastAsia" w:ascii="仿宋_GB2312" w:hAnsi="仿宋_GB2312" w:eastAsia="仿宋_GB2312" w:cs="仿宋_GB2312"/>
          <w:sz w:val="32"/>
          <w:szCs w:val="32"/>
        </w:rPr>
        <w:t>贯彻党的二十大精神和习近平总书记关于宗教工作的重要论述，认真落实中央、省委、州委关于宗教工作的决策部署，开展阶段性党员干部教育活动，坚持用“三个代表”重要思想统领统战工作。今年，</w:t>
      </w:r>
      <w:r>
        <w:rPr>
          <w:rFonts w:hint="eastAsia" w:ascii="仿宋_GB2312" w:hAnsi="仿宋_GB2312" w:eastAsia="仿宋_GB2312" w:cs="仿宋_GB2312"/>
          <w:sz w:val="32"/>
          <w:szCs w:val="32"/>
          <w:lang w:eastAsia="zh-CN"/>
        </w:rPr>
        <w:t>统战部</w:t>
      </w:r>
      <w:r>
        <w:rPr>
          <w:rFonts w:hint="eastAsia" w:ascii="仿宋_GB2312" w:hAnsi="仿宋_GB2312" w:eastAsia="仿宋_GB2312" w:cs="仿宋_GB2312"/>
          <w:sz w:val="32"/>
          <w:szCs w:val="32"/>
        </w:rPr>
        <w:t>牵头举办红原县</w:t>
      </w: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年度寺管系统干部</w:t>
      </w:r>
      <w:r>
        <w:rPr>
          <w:rFonts w:hint="eastAsia" w:ascii="仿宋_GB2312" w:hAnsi="仿宋_GB2312" w:eastAsia="仿宋_GB2312" w:cs="仿宋_GB2312"/>
          <w:sz w:val="32"/>
          <w:szCs w:val="32"/>
          <w:lang w:eastAsia="zh-CN"/>
        </w:rPr>
        <w:t>每季度总结大会暨</w:t>
      </w:r>
      <w:r>
        <w:rPr>
          <w:rFonts w:hint="eastAsia" w:ascii="仿宋_GB2312" w:hAnsi="仿宋_GB2312" w:eastAsia="仿宋_GB2312" w:cs="仿宋_GB2312"/>
          <w:sz w:val="32"/>
          <w:szCs w:val="32"/>
        </w:rPr>
        <w:t>专题培训班，</w:t>
      </w:r>
      <w:r>
        <w:rPr>
          <w:rFonts w:hint="eastAsia" w:ascii="仿宋_GB2312" w:hAnsi="仿宋_GB2312" w:eastAsia="仿宋_GB2312" w:cs="仿宋_GB2312"/>
          <w:sz w:val="32"/>
          <w:szCs w:val="32"/>
          <w:lang w:val="en-US" w:eastAsia="zh-CN"/>
        </w:rPr>
        <w:t>140余人次参训，</w:t>
      </w:r>
      <w:r>
        <w:rPr>
          <w:rFonts w:hint="eastAsia" w:ascii="仿宋_GB2312" w:hAnsi="仿宋_GB2312" w:eastAsia="仿宋_GB2312" w:cs="仿宋_GB2312"/>
          <w:sz w:val="32"/>
          <w:szCs w:val="32"/>
        </w:rPr>
        <w:t>培训内容丰富，讲解深入，受益匪浅，帮助各寺管干部补齐短板、补上弱项，切实提高在实际工作中破解难题、化解矛盾的能力。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adjustRightInd/>
        <w:snapToGrid/>
        <w:spacing w:before="0" w:after="0" w:line="576" w:lineRule="exact"/>
        <w:ind w:left="0" w:firstLine="643" w:firstLineChars="200"/>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kern w:val="2"/>
          <w:sz w:val="32"/>
          <w:szCs w:val="32"/>
          <w:lang w:val="en-US" w:eastAsia="zh-CN"/>
        </w:rPr>
        <w:t>3.</w:t>
      </w:r>
      <w:r>
        <w:rPr>
          <w:rFonts w:hint="eastAsia" w:ascii="仿宋_GB2312" w:hAnsi="仿宋_GB2312" w:eastAsia="仿宋_GB2312" w:cs="仿宋_GB2312"/>
          <w:kern w:val="2"/>
          <w:sz w:val="32"/>
          <w:szCs w:val="32"/>
        </w:rPr>
        <w:t>强化统战宣传。</w:t>
      </w:r>
      <w:r>
        <w:rPr>
          <w:rFonts w:hint="eastAsia" w:ascii="仿宋_GB2312" w:hAnsi="仿宋_GB2312" w:eastAsia="仿宋_GB2312" w:cs="仿宋_GB2312"/>
          <w:b w:val="0"/>
          <w:bCs w:val="0"/>
          <w:kern w:val="2"/>
          <w:sz w:val="32"/>
          <w:szCs w:val="32"/>
          <w:lang w:eastAsia="zh-CN"/>
        </w:rPr>
        <w:t>坚持通过深入调查、摸排调查、严格审批，精心选取政治立场坚定、综合素质高的宗教界代表人士，组建“</w:t>
      </w:r>
      <w:r>
        <w:rPr>
          <w:rFonts w:hint="eastAsia" w:ascii="仿宋_GB2312" w:hAnsi="仿宋_GB2312" w:eastAsia="仿宋_GB2312" w:cs="仿宋_GB2312"/>
          <w:b w:val="0"/>
          <w:bCs w:val="0"/>
          <w:kern w:val="2"/>
          <w:sz w:val="32"/>
          <w:szCs w:val="32"/>
        </w:rPr>
        <w:t>高僧大德宣讲团</w:t>
      </w:r>
      <w:r>
        <w:rPr>
          <w:rFonts w:hint="eastAsia" w:ascii="仿宋_GB2312" w:hAnsi="仿宋_GB2312" w:eastAsia="仿宋_GB2312" w:cs="仿宋_GB2312"/>
          <w:b w:val="0"/>
          <w:bCs w:val="0"/>
          <w:kern w:val="2"/>
          <w:sz w:val="32"/>
          <w:szCs w:val="32"/>
          <w:lang w:eastAsia="zh-CN"/>
        </w:rPr>
        <w:t>”，逐步建立健全</w:t>
      </w:r>
      <w:r>
        <w:rPr>
          <w:rFonts w:hint="eastAsia" w:ascii="仿宋_GB2312" w:hAnsi="仿宋_GB2312" w:eastAsia="仿宋_GB2312" w:cs="仿宋_GB2312"/>
          <w:b w:val="0"/>
          <w:bCs w:val="0"/>
          <w:kern w:val="2"/>
          <w:sz w:val="32"/>
          <w:szCs w:val="32"/>
        </w:rPr>
        <w:t>“高僧大德宣讲团”体制机制，围绕“突出现场宣讲、抓好现场</w:t>
      </w:r>
      <w:r>
        <w:rPr>
          <w:rFonts w:hint="eastAsia" w:ascii="仿宋_GB2312" w:hAnsi="仿宋_GB2312" w:eastAsia="仿宋_GB2312" w:cs="仿宋_GB2312"/>
          <w:b w:val="0"/>
          <w:bCs w:val="0"/>
          <w:kern w:val="2"/>
          <w:sz w:val="32"/>
          <w:szCs w:val="32"/>
          <w:lang w:eastAsia="zh-CN"/>
        </w:rPr>
        <w:t>教育</w:t>
      </w:r>
      <w:r>
        <w:rPr>
          <w:rFonts w:hint="eastAsia" w:ascii="仿宋_GB2312" w:hAnsi="仿宋_GB2312" w:eastAsia="仿宋_GB2312" w:cs="仿宋_GB2312"/>
          <w:b w:val="0"/>
          <w:bCs w:val="0"/>
          <w:kern w:val="2"/>
          <w:sz w:val="32"/>
          <w:szCs w:val="32"/>
        </w:rPr>
        <w:t>”原则，坚持</w:t>
      </w:r>
      <w:r>
        <w:rPr>
          <w:rFonts w:hint="eastAsia" w:ascii="仿宋_GB2312" w:hAnsi="仿宋_GB2312" w:eastAsia="仿宋_GB2312" w:cs="仿宋_GB2312"/>
          <w:b w:val="0"/>
          <w:bCs w:val="0"/>
          <w:kern w:val="2"/>
          <w:sz w:val="32"/>
          <w:szCs w:val="32"/>
          <w:lang w:val="en-US" w:eastAsia="zh-CN"/>
        </w:rPr>
        <w:t>一线宣讲、一线解惑、一线指导、一线服务，积累了较为丰富的实践经验，全力守好守牢基层一线的舆论阵地。截止目前，共开展各类</w:t>
      </w:r>
      <w:r>
        <w:rPr>
          <w:rFonts w:hint="eastAsia" w:ascii="仿宋_GB2312" w:hAnsi="仿宋_GB2312" w:eastAsia="仿宋_GB2312" w:cs="仿宋_GB2312"/>
          <w:b w:val="0"/>
          <w:bCs w:val="0"/>
          <w:kern w:val="2"/>
          <w:sz w:val="32"/>
          <w:szCs w:val="32"/>
        </w:rPr>
        <w:t>宣讲</w:t>
      </w:r>
      <w:r>
        <w:rPr>
          <w:rFonts w:hint="eastAsia" w:ascii="仿宋_GB2312" w:hAnsi="仿宋_GB2312" w:eastAsia="仿宋_GB2312" w:cs="仿宋_GB2312"/>
          <w:b w:val="0"/>
          <w:bCs w:val="0"/>
          <w:kern w:val="2"/>
          <w:sz w:val="32"/>
          <w:szCs w:val="32"/>
          <w:lang w:val="en-US" w:eastAsia="zh-CN"/>
        </w:rPr>
        <w:t>60余场次，</w:t>
      </w:r>
      <w:r>
        <w:rPr>
          <w:rFonts w:hint="eastAsia" w:ascii="仿宋_GB2312" w:hAnsi="仿宋_GB2312" w:eastAsia="仿宋_GB2312" w:cs="仿宋_GB2312"/>
          <w:b w:val="0"/>
          <w:bCs w:val="0"/>
          <w:kern w:val="2"/>
          <w:sz w:val="32"/>
          <w:szCs w:val="32"/>
        </w:rPr>
        <w:t>覆盖僧尼群众2.5万余人次。并</w:t>
      </w:r>
      <w:r>
        <w:rPr>
          <w:rFonts w:hint="eastAsia" w:ascii="仿宋_GB2312" w:hAnsi="仿宋_GB2312" w:eastAsia="仿宋_GB2312" w:cs="仿宋_GB2312"/>
          <w:b w:val="0"/>
          <w:bCs w:val="0"/>
          <w:kern w:val="2"/>
          <w:sz w:val="32"/>
          <w:szCs w:val="32"/>
          <w:lang w:val="en-US" w:eastAsia="zh-CN"/>
        </w:rPr>
        <w:t>对当地的困难群众进行了慰问，现场发放了大米、面粉、毛毯、被褥等生活物资30余套，价值7000余元。</w:t>
      </w:r>
    </w:p>
    <w:p>
      <w:pPr>
        <w:keepNext w:val="0"/>
        <w:keepLines w:val="0"/>
        <w:pageBreakBefore w:val="0"/>
        <w:widowControl w:val="0"/>
        <w:kinsoku/>
        <w:wordWrap/>
        <w:overflowPunct/>
        <w:topLinePunct w:val="0"/>
        <w:autoSpaceDE/>
        <w:autoSpaceDN/>
        <w:adjustRightInd/>
        <w:snapToGrid/>
        <w:spacing w:line="576"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）主动做好非公有制经济统战工作。一是</w:t>
      </w:r>
      <w:r>
        <w:rPr>
          <w:rFonts w:hint="eastAsia" w:ascii="仿宋_GB2312" w:hAnsi="仿宋_GB2312" w:eastAsia="仿宋_GB2312" w:cs="仿宋_GB2312"/>
          <w:sz w:val="32"/>
          <w:szCs w:val="32"/>
        </w:rPr>
        <w:t>积极发挥县委县政府联系、管理和服务广大非公经济（民营经济）助手作用，主动开展民营经济调查研究和参政议政工作，为县委县政府科学决策提出新的思路和好的建议。</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根据新形势、新任务、新要求，推荐一批非公有制经济人士担任各级人大代表和政协委员，民营企业家积极参政议政、建言献策，发挥了积极作用。截至目前，累计推荐2名非公经济人士担任州政协委员，9名非公经济人士担任县政协委员，州工商联会员代表3名、执委3名。</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加强与民营企业和民营经济人士沟通交流，发挥职能服务，助推“两个健康”。深入红原县牦牛乳业公司、高原综合商贸城、更攀合作社、遛遛牛有限责任公司、各酒店等民营企业，细致主动地开展联系服务工作。</w:t>
      </w:r>
    </w:p>
    <w:p>
      <w:pPr>
        <w:spacing w:line="576"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）持续做好党外代表人士队伍建设、党外知识分子和新的社会阶层人士统战工作。</w:t>
      </w:r>
      <w:r>
        <w:rPr>
          <w:rFonts w:hint="eastAsia" w:ascii="仿宋_GB2312" w:hAnsi="仿宋_GB2312" w:eastAsia="仿宋_GB2312" w:cs="仿宋_GB2312"/>
          <w:sz w:val="32"/>
          <w:szCs w:val="32"/>
        </w:rPr>
        <w:t>坚持紧密团结全县党外知识分子和新的社会阶层人士等多方力量，引导激励其在红原社会发展的各个方面发光发热。</w:t>
      </w:r>
      <w:r>
        <w:rPr>
          <w:rFonts w:hint="eastAsia" w:ascii="仿宋_GB2312" w:hAnsi="仿宋_GB2312" w:eastAsia="仿宋_GB2312" w:cs="仿宋_GB2312"/>
          <w:sz w:val="32"/>
          <w:szCs w:val="32"/>
          <w:lang w:val="en-US" w:eastAsia="zh-CN"/>
        </w:rPr>
        <w:t>一是坚持为我所用、做好政治安排。依托“</w:t>
      </w:r>
      <w:r>
        <w:rPr>
          <w:rFonts w:hint="eastAsia" w:ascii="仿宋_GB2312" w:hAnsi="仿宋_GB2312" w:eastAsia="仿宋_GB2312" w:cs="仿宋_GB2312"/>
          <w:sz w:val="32"/>
          <w:szCs w:val="32"/>
        </w:rPr>
        <w:t>人才强县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战略，稳步推进党外人士的培养、教育、管理和举荐使用工作，做好党外代表人士政治安排，细化充实党外人士基本信息采集，逐人建立档案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善党外干部资源库。截至目前，全县党外干部中，共有人大代表7名，政协委员11名，近年来提交各类议案、提案10余件。二是牵头搭建平台、落实联系措施。研究出台《关于加强和改进新形势下统战工作的实施意见》，对全县党外知识分子和新的社会阶层人士的发现培养、选拔使用和监督管理做出细致明确的规定。建立并落实党政领导干部与党外代表人士联系交友制度，2021年换届以来，县级领导各类走访座谈、谈心谈话累计13次，组织党外代表人士专题教育培训1次，60余人次参加。</w:t>
      </w:r>
    </w:p>
    <w:p>
      <w:pPr>
        <w:keepNext w:val="0"/>
        <w:keepLines w:val="0"/>
        <w:pageBreakBefore w:val="0"/>
        <w:widowControl w:val="0"/>
        <w:kinsoku/>
        <w:wordWrap/>
        <w:overflowPunct/>
        <w:topLinePunct w:val="0"/>
        <w:autoSpaceDE/>
        <w:autoSpaceDN/>
        <w:adjustRightInd/>
        <w:snapToGrid/>
        <w:spacing w:line="576"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）其他工作。一是</w:t>
      </w:r>
      <w:r>
        <w:rPr>
          <w:rFonts w:hint="eastAsia" w:ascii="仿宋_GB2312" w:hAnsi="仿宋_GB2312" w:eastAsia="仿宋_GB2312" w:cs="仿宋_GB2312"/>
          <w:sz w:val="32"/>
          <w:szCs w:val="32"/>
        </w:rPr>
        <w:t>党的建设方面。制发《</w:t>
      </w: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党建工作计划》，持续创建“党建+寺庙管理”同频共振党建品牌，不断强化基层党建工作，激励党员干部牢记使命责任，积极发挥先锋模范作用，不断推动机关党建走深走实。结合主题教育活动，带头做“两个确立”的坚决拥护者和“两个维护”的坚定践行者，学深悟透习近平新时代中国特色社会主义思想，坚持把党的政治建设摆在首位。通过组织集中学习、专家辅导、个人自学等方式，共计组织各类学习21次，其中组织干部职工学习12次，理论学习中心组9次。</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党风廉政方面。严格将党风廉政建设和反腐败宣传教育纳入县委统战部党员领导干部学习培训。把反腐倡廉宣传教育纳入部机关的年度重点工作，做到学习有计划、贯彻有部署、落实有痕迹。健全党风党纪和廉洁自律学习教育制度，纳入领导干部和机关党员干部学习培训计划。</w:t>
      </w: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年，党支部主要负责人做到与领导班子成员和干部职工廉洁谈话全覆盖。</w:t>
      </w:r>
    </w:p>
    <w:p>
      <w:pPr>
        <w:pStyle w:val="12"/>
        <w:keepNext w:val="0"/>
        <w:keepLines w:val="0"/>
        <w:widowControl/>
        <w:suppressLineNumbers w:val="0"/>
        <w:ind w:left="0" w:right="75"/>
        <w:outlineLvl w:val="1"/>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rPr>
        <w:t>二、机构设置</w:t>
      </w:r>
      <w:bookmarkEnd w:id="2"/>
    </w:p>
    <w:p>
      <w:pPr>
        <w:pStyle w:val="12"/>
        <w:keepNext w:val="0"/>
        <w:keepLines w:val="0"/>
        <w:widowControl/>
        <w:suppressLineNumbers w:val="0"/>
        <w:ind w:left="0" w:right="75" w:firstLine="640" w:firstLineChars="200"/>
        <w:outlineLvl w:val="1"/>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为独立核算全额拨款行政单位</w:t>
      </w:r>
      <w:r>
        <w:rPr>
          <w:rFonts w:hint="eastAsia" w:ascii="仿宋_GB2312" w:hAnsi="仿宋_GB2312" w:eastAsia="仿宋_GB2312" w:cs="仿宋_GB2312"/>
          <w:sz w:val="32"/>
          <w:szCs w:val="32"/>
          <w:lang w:val="en-US" w:eastAsia="zh-CN"/>
        </w:rPr>
        <w:t>和事业单位，</w:t>
      </w:r>
      <w:r>
        <w:rPr>
          <w:rFonts w:hint="eastAsia" w:ascii="仿宋_GB2312" w:hAnsi="仿宋_GB2312" w:eastAsia="仿宋_GB2312" w:cs="仿宋_GB2312"/>
          <w:sz w:val="32"/>
          <w:szCs w:val="32"/>
          <w:lang w:eastAsia="zh-CN"/>
        </w:rPr>
        <w:t>机构改革后县佛教协会归口统战部统一管理，单位行政编制</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人，行政工勤编制</w:t>
      </w: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lang w:eastAsia="zh-CN"/>
        </w:rPr>
        <w:t>人，事业编制</w:t>
      </w:r>
      <w:r>
        <w:rPr>
          <w:rFonts w:hint="eastAsia" w:ascii="仿宋_GB2312" w:hAnsi="仿宋_GB2312" w:eastAsia="仿宋_GB2312" w:cs="仿宋_GB2312"/>
          <w:sz w:val="32"/>
          <w:szCs w:val="32"/>
          <w:lang w:val="en-US"/>
        </w:rPr>
        <w:t>2</w:t>
      </w:r>
      <w:r>
        <w:rPr>
          <w:rFonts w:hint="eastAsia" w:ascii="仿宋_GB2312" w:hAnsi="仿宋_GB2312" w:eastAsia="仿宋_GB2312" w:cs="仿宋_GB2312"/>
          <w:sz w:val="32"/>
          <w:szCs w:val="32"/>
          <w:lang w:eastAsia="zh-CN"/>
        </w:rPr>
        <w:t>人，佛协：行政编制</w:t>
      </w:r>
      <w:r>
        <w:rPr>
          <w:rFonts w:hint="eastAsia" w:ascii="仿宋_GB2312" w:hAnsi="仿宋_GB2312" w:eastAsia="仿宋_GB2312" w:cs="仿宋_GB2312"/>
          <w:sz w:val="32"/>
          <w:szCs w:val="32"/>
          <w:lang w:val="en-US"/>
        </w:rPr>
        <w:t>2</w:t>
      </w:r>
      <w:r>
        <w:rPr>
          <w:rFonts w:hint="eastAsia" w:ascii="仿宋_GB2312" w:hAnsi="仿宋_GB2312" w:eastAsia="仿宋_GB2312" w:cs="仿宋_GB2312"/>
          <w:sz w:val="32"/>
          <w:szCs w:val="32"/>
          <w:lang w:eastAsia="zh-CN"/>
        </w:rPr>
        <w:t>人，事业编制</w:t>
      </w:r>
      <w:r>
        <w:rPr>
          <w:rFonts w:hint="eastAsia" w:ascii="仿宋_GB2312" w:hAnsi="仿宋_GB2312" w:eastAsia="仿宋_GB2312" w:cs="仿宋_GB2312"/>
          <w:sz w:val="32"/>
          <w:szCs w:val="32"/>
          <w:lang w:val="en-US"/>
        </w:rPr>
        <w:t>2</w:t>
      </w:r>
      <w:r>
        <w:rPr>
          <w:rFonts w:hint="eastAsia" w:ascii="仿宋_GB2312" w:hAnsi="仿宋_GB2312" w:eastAsia="仿宋_GB2312" w:cs="仿宋_GB2312"/>
          <w:sz w:val="32"/>
          <w:szCs w:val="32"/>
          <w:lang w:eastAsia="zh-CN"/>
        </w:rPr>
        <w:t>人，事业工勤</w:t>
      </w: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lang w:eastAsia="zh-CN"/>
        </w:rPr>
        <w:t>人。</w:t>
      </w:r>
      <w:bookmarkStart w:id="3" w:name="_Toc6796"/>
    </w:p>
    <w:p>
      <w:pPr>
        <w:pStyle w:val="12"/>
        <w:keepNext w:val="0"/>
        <w:keepLines w:val="0"/>
        <w:widowControl/>
        <w:suppressLineNumbers w:val="0"/>
        <w:ind w:right="75"/>
        <w:jc w:val="center"/>
        <w:outlineLvl w:val="1"/>
        <w:rPr>
          <w:rFonts w:hint="eastAsia" w:ascii="方正大标宋_GBK" w:hAnsi="方正大标宋_GBK" w:eastAsia="方正大标宋_GBK" w:cs="方正大标宋_GBK"/>
          <w:sz w:val="44"/>
          <w:szCs w:val="44"/>
        </w:rPr>
      </w:pPr>
      <w:r>
        <w:rPr>
          <w:rFonts w:hint="eastAsia" w:ascii="方正大标宋_GBK" w:hAnsi="方正大标宋_GBK" w:eastAsia="方正大标宋_GBK" w:cs="方正大标宋_GBK"/>
          <w:sz w:val="44"/>
          <w:szCs w:val="44"/>
          <w:shd w:val="clear" w:color="auto" w:fill="FFFFFF"/>
        </w:rPr>
        <w:t xml:space="preserve">第二部分 </w:t>
      </w:r>
      <w:r>
        <w:rPr>
          <w:rFonts w:hint="eastAsia" w:ascii="方正大标宋_GBK" w:hAnsi="方正大标宋_GBK" w:eastAsia="方正大标宋_GBK" w:cs="方正大标宋_GBK"/>
          <w:sz w:val="44"/>
          <w:szCs w:val="44"/>
          <w:shd w:val="clear" w:color="auto" w:fill="FFFFFF"/>
          <w:lang w:val="en-US" w:eastAsia="zh-CN"/>
        </w:rPr>
        <w:t>2024</w:t>
      </w:r>
      <w:r>
        <w:rPr>
          <w:rFonts w:hint="eastAsia" w:ascii="方正大标宋_GBK" w:hAnsi="方正大标宋_GBK" w:eastAsia="方正大标宋_GBK" w:cs="方正大标宋_GBK"/>
          <w:sz w:val="44"/>
          <w:szCs w:val="44"/>
          <w:shd w:val="clear" w:color="auto" w:fill="FFFFFF"/>
        </w:rPr>
        <w:t>年度部门决算情况说明</w:t>
      </w:r>
      <w:bookmarkEnd w:id="3"/>
    </w:p>
    <w:p>
      <w:pPr>
        <w:pStyle w:val="12"/>
        <w:keepNext w:val="0"/>
        <w:keepLines w:val="0"/>
        <w:widowControl/>
        <w:suppressLineNumbers w:val="0"/>
        <w:ind w:left="0" w:right="75"/>
        <w:outlineLvl w:val="1"/>
        <w:rPr>
          <w:rFonts w:hint="eastAsia" w:ascii="仿宋_GB2312" w:hAnsi="仿宋_GB2312" w:eastAsia="仿宋_GB2312" w:cs="仿宋_GB2312"/>
          <w:b/>
          <w:bCs/>
          <w:sz w:val="32"/>
          <w:szCs w:val="32"/>
          <w:shd w:val="clear" w:color="auto" w:fill="FFFFFF"/>
        </w:rPr>
      </w:pPr>
      <w:bookmarkStart w:id="4" w:name="_Toc23902"/>
      <w:r>
        <w:rPr>
          <w:rFonts w:hint="eastAsia" w:ascii="仿宋_GB2312" w:hAnsi="仿宋_GB2312" w:eastAsia="仿宋_GB2312" w:cs="仿宋_GB2312"/>
          <w:b/>
          <w:bCs/>
          <w:sz w:val="32"/>
          <w:szCs w:val="32"/>
          <w:shd w:val="clear" w:color="auto" w:fill="FFFFFF"/>
        </w:rPr>
        <w:t>一、 收入支出决算总体情况说明</w:t>
      </w:r>
      <w:bookmarkEnd w:id="4"/>
    </w:p>
    <w:p>
      <w:pPr>
        <w:spacing w:line="576" w:lineRule="exact"/>
        <w:ind w:left="0"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shd w:val="clear" w:fill="FFFFFF"/>
          <w:lang w:eastAsia="zh-CN"/>
        </w:rPr>
        <w:t>本单位本年度收入的年初预算数为</w:t>
      </w:r>
      <w:r>
        <w:rPr>
          <w:rFonts w:hint="eastAsia" w:ascii="仿宋_GB2312" w:hAnsi="仿宋_GB2312" w:eastAsia="仿宋_GB2312" w:cs="仿宋_GB2312"/>
          <w:sz w:val="32"/>
          <w:szCs w:val="32"/>
          <w:shd w:val="clear" w:fill="FFFFFF"/>
          <w:lang w:val="en-US" w:eastAsia="zh-CN"/>
        </w:rPr>
        <w:t>538.84</w:t>
      </w:r>
      <w:r>
        <w:rPr>
          <w:rFonts w:hint="eastAsia" w:ascii="仿宋_GB2312" w:hAnsi="仿宋_GB2312" w:eastAsia="仿宋_GB2312" w:cs="仿宋_GB2312"/>
          <w:sz w:val="32"/>
          <w:szCs w:val="32"/>
          <w:shd w:val="clear" w:fill="FFFFFF"/>
          <w:lang w:eastAsia="zh-CN"/>
        </w:rPr>
        <w:t>万元，</w:t>
      </w:r>
      <w:r>
        <w:rPr>
          <w:rFonts w:hint="eastAsia" w:ascii="仿宋_GB2312" w:hAnsi="仿宋_GB2312" w:eastAsia="仿宋_GB2312" w:cs="仿宋_GB2312"/>
          <w:sz w:val="32"/>
          <w:szCs w:val="32"/>
          <w:lang w:eastAsia="zh-CN"/>
        </w:rPr>
        <w:t>上年度收入的年初预算数为</w:t>
      </w:r>
      <w:r>
        <w:rPr>
          <w:rFonts w:hint="eastAsia" w:ascii="仿宋_GB2312" w:hAnsi="仿宋_GB2312" w:eastAsia="仿宋_GB2312" w:cs="仿宋_GB2312"/>
          <w:sz w:val="32"/>
          <w:szCs w:val="32"/>
          <w:shd w:val="clear" w:fill="FFFFFF"/>
          <w:lang w:val="en-US" w:eastAsia="zh-CN"/>
        </w:rPr>
        <w:t>459.45</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shd w:val="clear" w:fill="FFFFFF"/>
          <w:lang w:eastAsia="zh-CN"/>
        </w:rPr>
        <w:t>，增加了</w:t>
      </w:r>
      <w:r>
        <w:rPr>
          <w:rFonts w:hint="eastAsia" w:ascii="仿宋_GB2312" w:hAnsi="仿宋_GB2312" w:eastAsia="仿宋_GB2312" w:cs="仿宋_GB2312"/>
          <w:sz w:val="32"/>
          <w:szCs w:val="32"/>
          <w:shd w:val="clear" w:fill="FFFFFF"/>
          <w:lang w:val="en-US" w:eastAsia="zh-CN"/>
        </w:rPr>
        <w:t>79.39万元</w:t>
      </w:r>
      <w:r>
        <w:rPr>
          <w:rFonts w:hint="eastAsia" w:ascii="仿宋_GB2312" w:hAnsi="仿宋_GB2312" w:eastAsia="仿宋_GB2312" w:cs="仿宋_GB2312"/>
          <w:sz w:val="32"/>
          <w:szCs w:val="32"/>
          <w:shd w:val="clear" w:fill="FFFFFF"/>
          <w:lang w:eastAsia="zh-CN"/>
        </w:rPr>
        <w:t>；</w:t>
      </w:r>
      <w:r>
        <w:rPr>
          <w:rStyle w:val="20"/>
          <w:rFonts w:hint="eastAsia" w:ascii="仿宋_GB2312" w:hAnsi="仿宋_GB2312" w:eastAsia="仿宋_GB2312" w:cs="仿宋_GB2312"/>
          <w:b w:val="0"/>
          <w:sz w:val="32"/>
          <w:szCs w:val="32"/>
          <w:shd w:val="clear" w:fill="FFFFFF"/>
          <w:lang w:eastAsia="zh-CN"/>
        </w:rPr>
        <w:t>主要原因人员新增后增加了社会保障和就业支出、卫生健康支出、住房公积金</w:t>
      </w:r>
      <w:r>
        <w:rPr>
          <w:rFonts w:hint="eastAsia" w:ascii="仿宋_GB2312" w:hAnsi="仿宋_GB2312" w:eastAsia="仿宋_GB2312" w:cs="仿宋_GB2312"/>
          <w:sz w:val="32"/>
          <w:szCs w:val="32"/>
          <w:shd w:val="clear" w:fill="FFFFFF"/>
          <w:lang w:eastAsia="zh-CN"/>
        </w:rPr>
        <w:t>。本年度支出的年初预算数为</w:t>
      </w:r>
      <w:r>
        <w:rPr>
          <w:rFonts w:hint="eastAsia" w:ascii="仿宋_GB2312" w:hAnsi="仿宋_GB2312" w:eastAsia="仿宋_GB2312" w:cs="仿宋_GB2312"/>
          <w:sz w:val="32"/>
          <w:szCs w:val="32"/>
          <w:shd w:val="clear" w:fill="FFFFFF"/>
          <w:lang w:val="en-US" w:eastAsia="zh-CN"/>
        </w:rPr>
        <w:t>538.84</w:t>
      </w:r>
      <w:r>
        <w:rPr>
          <w:rFonts w:hint="eastAsia" w:ascii="仿宋_GB2312" w:hAnsi="仿宋_GB2312" w:eastAsia="仿宋_GB2312" w:cs="仿宋_GB2312"/>
          <w:sz w:val="32"/>
          <w:szCs w:val="32"/>
          <w:shd w:val="clear" w:fill="FFFFFF"/>
          <w:lang w:eastAsia="zh-CN"/>
        </w:rPr>
        <w:t>万元，上年度支出的年初预算数为</w:t>
      </w:r>
      <w:r>
        <w:rPr>
          <w:rFonts w:hint="eastAsia" w:ascii="仿宋_GB2312" w:hAnsi="仿宋_GB2312" w:eastAsia="仿宋_GB2312" w:cs="仿宋_GB2312"/>
          <w:sz w:val="32"/>
          <w:szCs w:val="32"/>
          <w:shd w:val="clear" w:fill="FFFFFF"/>
          <w:lang w:val="en-US" w:eastAsia="zh-CN"/>
        </w:rPr>
        <w:t>459.45</w:t>
      </w:r>
      <w:r>
        <w:rPr>
          <w:rFonts w:hint="eastAsia" w:ascii="仿宋_GB2312" w:hAnsi="仿宋_GB2312" w:eastAsia="仿宋_GB2312" w:cs="仿宋_GB2312"/>
          <w:sz w:val="32"/>
          <w:szCs w:val="32"/>
          <w:shd w:val="clear" w:fill="FFFFFF"/>
          <w:lang w:eastAsia="zh-CN"/>
        </w:rPr>
        <w:t>万元，增加了</w:t>
      </w:r>
      <w:r>
        <w:rPr>
          <w:rFonts w:hint="eastAsia" w:ascii="仿宋_GB2312" w:hAnsi="仿宋_GB2312" w:eastAsia="仿宋_GB2312" w:cs="仿宋_GB2312"/>
          <w:sz w:val="32"/>
          <w:szCs w:val="32"/>
          <w:shd w:val="clear" w:fill="FFFFFF"/>
          <w:lang w:val="en-US" w:eastAsia="zh-CN"/>
        </w:rPr>
        <w:t>79.39</w:t>
      </w:r>
      <w:r>
        <w:rPr>
          <w:rFonts w:hint="eastAsia" w:ascii="仿宋_GB2312" w:hAnsi="仿宋_GB2312" w:eastAsia="仿宋_GB2312" w:cs="仿宋_GB2312"/>
          <w:sz w:val="32"/>
          <w:szCs w:val="32"/>
          <w:shd w:val="clear" w:fill="FFFFFF"/>
          <w:lang w:eastAsia="zh-CN"/>
        </w:rPr>
        <w:t>万元；</w:t>
      </w:r>
      <w:r>
        <w:rPr>
          <w:rStyle w:val="20"/>
          <w:rFonts w:hint="eastAsia" w:ascii="仿宋_GB2312" w:hAnsi="仿宋_GB2312" w:eastAsia="仿宋_GB2312" w:cs="仿宋_GB2312"/>
          <w:b w:val="0"/>
          <w:sz w:val="32"/>
          <w:szCs w:val="32"/>
          <w:shd w:val="clear" w:fill="FFFFFF"/>
          <w:lang w:eastAsia="zh-CN"/>
        </w:rPr>
        <w:t>主要原因增加了项目支出和公用经费的支出</w:t>
      </w:r>
      <w:r>
        <w:rPr>
          <w:rFonts w:hint="eastAsia" w:ascii="仿宋_GB2312" w:hAnsi="仿宋_GB2312" w:eastAsia="仿宋_GB2312" w:cs="仿宋_GB2312"/>
          <w:sz w:val="32"/>
          <w:szCs w:val="32"/>
          <w:lang w:eastAsia="zh-CN"/>
        </w:rPr>
        <w:t>。</w:t>
      </w:r>
    </w:p>
    <w:p>
      <w:pPr>
        <w:spacing w:line="600" w:lineRule="exact"/>
        <w:ind w:firstLine="640" w:firstLineChars="200"/>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（图1：收、支决算变动情况图）（柱状图）</w:t>
      </w:r>
    </w:p>
    <w:p>
      <w:pPr>
        <w:pStyle w:val="7"/>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lang w:eastAsia="zh-CN"/>
        </w:rPr>
        <w:drawing>
          <wp:anchor distT="0" distB="0" distL="114300" distR="114300" simplePos="0" relativeHeight="251661312" behindDoc="0" locked="0" layoutInCell="1" allowOverlap="1">
            <wp:simplePos x="0" y="0"/>
            <wp:positionH relativeFrom="column">
              <wp:posOffset>96520</wp:posOffset>
            </wp:positionH>
            <wp:positionV relativeFrom="paragraph">
              <wp:posOffset>52070</wp:posOffset>
            </wp:positionV>
            <wp:extent cx="4803775" cy="1839595"/>
            <wp:effectExtent l="4445" t="5080" r="11430" b="22225"/>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pStyle w:val="7"/>
        <w:ind w:left="0" w:leftChars="0" w:firstLine="0" w:firstLineChars="0"/>
        <w:rPr>
          <w:rFonts w:hint="eastAsia" w:ascii="仿宋_GB2312" w:hAnsi="仿宋_GB2312" w:eastAsia="仿宋_GB2312" w:cs="仿宋_GB2312"/>
          <w:color w:val="000000"/>
          <w:sz w:val="32"/>
          <w:szCs w:val="32"/>
          <w:lang w:val="en-US" w:eastAsia="zh-CN"/>
        </w:rPr>
      </w:pPr>
    </w:p>
    <w:p>
      <w:pPr>
        <w:pStyle w:val="8"/>
        <w:rPr>
          <w:rFonts w:hint="eastAsia" w:ascii="仿宋_GB2312" w:hAnsi="仿宋_GB2312" w:eastAsia="仿宋_GB2312" w:cs="仿宋_GB2312"/>
          <w:color w:val="000000"/>
          <w:sz w:val="32"/>
          <w:szCs w:val="32"/>
          <w:lang w:val="en-US" w:eastAsia="zh-CN"/>
        </w:rPr>
      </w:pPr>
    </w:p>
    <w:p>
      <w:pPr>
        <w:pStyle w:val="8"/>
        <w:rPr>
          <w:rFonts w:hint="eastAsia" w:ascii="仿宋_GB2312" w:hAnsi="仿宋_GB2312" w:eastAsia="仿宋_GB2312" w:cs="仿宋_GB2312"/>
          <w:color w:val="000000"/>
          <w:sz w:val="32"/>
          <w:szCs w:val="32"/>
          <w:lang w:val="en-US" w:eastAsia="zh-CN"/>
        </w:rPr>
      </w:pPr>
    </w:p>
    <w:p>
      <w:pPr>
        <w:pStyle w:val="8"/>
        <w:rPr>
          <w:rFonts w:hint="eastAsia" w:ascii="仿宋_GB2312" w:hAnsi="仿宋_GB2312" w:eastAsia="仿宋_GB2312" w:cs="仿宋_GB2312"/>
          <w:color w:val="000000"/>
          <w:sz w:val="32"/>
          <w:szCs w:val="32"/>
          <w:lang w:val="en-US" w:eastAsia="zh-CN"/>
        </w:rPr>
      </w:pPr>
    </w:p>
    <w:p>
      <w:pPr>
        <w:pStyle w:val="8"/>
        <w:rPr>
          <w:rFonts w:hint="eastAsia" w:ascii="仿宋_GB2312" w:hAnsi="仿宋_GB2312" w:eastAsia="仿宋_GB2312" w:cs="仿宋_GB2312"/>
          <w:color w:val="000000"/>
          <w:sz w:val="32"/>
          <w:szCs w:val="32"/>
          <w:lang w:val="en-US" w:eastAsia="zh-CN"/>
        </w:rPr>
      </w:pPr>
    </w:p>
    <w:p>
      <w:pPr>
        <w:pStyle w:val="12"/>
        <w:keepNext w:val="0"/>
        <w:keepLines w:val="0"/>
        <w:widowControl/>
        <w:numPr>
          <w:ilvl w:val="0"/>
          <w:numId w:val="1"/>
        </w:numPr>
        <w:suppressLineNumbers w:val="0"/>
        <w:shd w:val="clear" w:color="auto" w:fill="auto"/>
        <w:ind w:left="0" w:right="75"/>
        <w:jc w:val="left"/>
        <w:outlineLvl w:val="1"/>
        <w:rPr>
          <w:rFonts w:hint="eastAsia" w:ascii="仿宋_GB2312" w:hAnsi="仿宋_GB2312" w:eastAsia="仿宋_GB2312" w:cs="仿宋_GB2312"/>
          <w:b/>
          <w:bCs/>
          <w:color w:val="000000"/>
          <w:sz w:val="32"/>
          <w:szCs w:val="32"/>
          <w:lang w:eastAsia="zh-CN"/>
        </w:rPr>
      </w:pPr>
      <w:bookmarkStart w:id="5" w:name="_Toc21346"/>
      <w:r>
        <w:rPr>
          <w:rFonts w:hint="eastAsia" w:ascii="仿宋_GB2312" w:hAnsi="仿宋_GB2312" w:eastAsia="仿宋_GB2312" w:cs="仿宋_GB2312"/>
          <w:b/>
          <w:bCs/>
          <w:sz w:val="32"/>
          <w:szCs w:val="32"/>
          <w:shd w:val="clear" w:color="auto" w:fill="FFFFFF"/>
        </w:rPr>
        <w:t>收入决算情况说明</w:t>
      </w:r>
      <w:bookmarkEnd w:id="5"/>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2024</w:t>
      </w:r>
      <w:r>
        <w:rPr>
          <w:rFonts w:hint="eastAsia" w:ascii="仿宋_GB2312" w:hAnsi="仿宋_GB2312" w:eastAsia="仿宋_GB2312" w:cs="仿宋_GB2312"/>
          <w:color w:val="000000"/>
          <w:sz w:val="32"/>
          <w:szCs w:val="32"/>
        </w:rPr>
        <w:t>年本年收入合计</w:t>
      </w:r>
      <w:r>
        <w:rPr>
          <w:rFonts w:hint="eastAsia" w:ascii="仿宋_GB2312" w:hAnsi="仿宋_GB2312" w:eastAsia="仿宋_GB2312" w:cs="仿宋_GB2312"/>
          <w:color w:val="000000"/>
          <w:sz w:val="32"/>
          <w:szCs w:val="32"/>
          <w:lang w:val="en-US" w:eastAsia="zh-CN"/>
        </w:rPr>
        <w:t>589.30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其中一般公共财政拨款收入</w:t>
      </w:r>
      <w:r>
        <w:rPr>
          <w:rFonts w:hint="eastAsia" w:ascii="仿宋_GB2312" w:hAnsi="仿宋_GB2312" w:eastAsia="仿宋_GB2312" w:cs="仿宋_GB2312"/>
          <w:color w:val="000000"/>
          <w:sz w:val="32"/>
          <w:szCs w:val="32"/>
          <w:lang w:val="en-US" w:eastAsia="zh-CN"/>
        </w:rPr>
        <w:t>583.56万元，其他收入5.73万元。</w:t>
      </w:r>
    </w:p>
    <w:p>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（图2：收入决算结构图）（饼状图）</w:t>
      </w:r>
    </w:p>
    <w:p>
      <w:pPr>
        <w:pStyle w:val="12"/>
        <w:keepNext w:val="0"/>
        <w:keepLines w:val="0"/>
        <w:widowControl/>
        <w:numPr>
          <w:ilvl w:val="0"/>
          <w:numId w:val="0"/>
        </w:numPr>
        <w:suppressLineNumbers w:val="0"/>
        <w:shd w:val="clear" w:color="auto" w:fill="auto"/>
        <w:ind w:right="75" w:rightChars="0" w:firstLine="640" w:firstLineChars="200"/>
        <w:jc w:val="lef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color w:val="000000"/>
          <w:sz w:val="32"/>
          <w:szCs w:val="32"/>
          <w:lang w:eastAsia="zh-CN"/>
        </w:rPr>
        <w:object>
          <v:shape id="_x0000_i1025" o:spt="75" type="#_x0000_t75" style="height:0.05pt;width:0.05pt;" o:ole="t" filled="f" stroked="f" coordsize="21600,21600">
            <v:path/>
            <v:fill on="f" focussize="0,0"/>
            <v:stroke on="f"/>
            <v:imagedata o:title=""/>
            <o:lock v:ext="edit" aspectratio="t"/>
            <w10:wrap type="none"/>
            <w10:anchorlock/>
          </v:shape>
          <o:OLEObject Type="Embed" ProgID="Excel.Chart.8" ShapeID="_x0000_i1025" DrawAspect="Content" ObjectID="_1468075725" r:id="rId6">
            <o:LockedField>false</o:LockedField>
          </o:OLEObject>
        </w:object>
      </w:r>
      <w:r>
        <w:rPr>
          <w:rFonts w:hint="eastAsia" w:ascii="仿宋_GB2312" w:hAnsi="仿宋_GB2312" w:eastAsia="仿宋_GB2312" w:cs="仿宋_GB2312"/>
          <w:color w:val="000000"/>
          <w:sz w:val="32"/>
          <w:szCs w:val="32"/>
          <w:lang w:eastAsia="zh-CN"/>
        </w:rPr>
        <w:object>
          <v:shape id="_x0000_i1026" o:spt="75" type="#_x0000_t75" style="height:0.05pt;width:0.05pt;" o:ole="t" filled="f" stroked="f" coordsize="21600,21600">
            <v:path/>
            <v:fill on="f" focussize="0,0"/>
            <v:stroke on="f"/>
            <v:imagedata o:title=""/>
            <o:lock v:ext="edit" aspectratio="t"/>
            <w10:wrap type="none"/>
            <w10:anchorlock/>
          </v:shape>
          <o:OLEObject Type="Embed" ProgID="Excel.Chart.8" ShapeID="_x0000_i1026" DrawAspect="Content" ObjectID="_1468075726" r:id="rId7">
            <o:LockedField>false</o:LockedField>
          </o:OLEObject>
        </w:object>
      </w:r>
      <w:r>
        <w:rPr>
          <w:rFonts w:hint="eastAsia" w:ascii="仿宋_GB2312" w:hAnsi="仿宋_GB2312" w:eastAsia="仿宋_GB2312" w:cs="仿宋_GB2312"/>
          <w:color w:val="000000"/>
          <w:sz w:val="32"/>
          <w:szCs w:val="32"/>
          <w:lang w:eastAsia="zh-CN"/>
        </w:rPr>
        <w:drawing>
          <wp:inline distT="0" distB="0" distL="114300" distR="114300">
            <wp:extent cx="4947285" cy="2461260"/>
            <wp:effectExtent l="4445" t="4445" r="20320" b="1079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12"/>
        <w:keepNext w:val="0"/>
        <w:keepLines w:val="0"/>
        <w:widowControl/>
        <w:numPr>
          <w:ilvl w:val="0"/>
          <w:numId w:val="1"/>
        </w:numPr>
        <w:suppressLineNumbers w:val="0"/>
        <w:shd w:val="clear" w:color="auto" w:fill="auto"/>
        <w:ind w:left="0" w:leftChars="0" w:right="75" w:firstLine="0" w:firstLineChars="0"/>
        <w:jc w:val="left"/>
        <w:outlineLvl w:val="1"/>
        <w:rPr>
          <w:rFonts w:hint="eastAsia" w:ascii="仿宋_GB2312" w:hAnsi="仿宋_GB2312" w:eastAsia="仿宋_GB2312" w:cs="仿宋_GB2312"/>
          <w:b/>
          <w:bCs/>
          <w:sz w:val="32"/>
          <w:szCs w:val="32"/>
          <w:shd w:val="clear" w:color="auto" w:fill="FFFFFF"/>
        </w:rPr>
      </w:pPr>
      <w:bookmarkStart w:id="6" w:name="_Toc21019"/>
      <w:r>
        <w:rPr>
          <w:rFonts w:hint="eastAsia" w:ascii="仿宋_GB2312" w:hAnsi="仿宋_GB2312" w:eastAsia="仿宋_GB2312" w:cs="仿宋_GB2312"/>
          <w:b/>
          <w:bCs/>
          <w:sz w:val="32"/>
          <w:szCs w:val="32"/>
          <w:shd w:val="clear" w:color="auto" w:fill="FFFFFF"/>
        </w:rPr>
        <w:t>支出决算情况说明</w:t>
      </w:r>
      <w:bookmarkEnd w:id="6"/>
    </w:p>
    <w:p>
      <w:pPr>
        <w:pStyle w:val="12"/>
        <w:spacing w:before="0" w:beforeAutospacing="0"/>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2024</w:t>
      </w:r>
      <w:r>
        <w:rPr>
          <w:rFonts w:hint="eastAsia" w:ascii="仿宋_GB2312" w:hAnsi="仿宋_GB2312" w:eastAsia="仿宋_GB2312" w:cs="仿宋_GB2312"/>
          <w:color w:val="000000"/>
          <w:sz w:val="32"/>
          <w:szCs w:val="32"/>
        </w:rPr>
        <w:t>年本年支出合计</w:t>
      </w:r>
      <w:r>
        <w:rPr>
          <w:rFonts w:hint="eastAsia" w:ascii="仿宋_GB2312" w:hAnsi="仿宋_GB2312" w:eastAsia="仿宋_GB2312" w:cs="仿宋_GB2312"/>
          <w:sz w:val="32"/>
          <w:szCs w:val="32"/>
          <w:shd w:val="clear" w:fill="FFFFFF"/>
          <w:lang w:eastAsia="zh-CN"/>
        </w:rPr>
        <w:t>为</w:t>
      </w:r>
      <w:r>
        <w:rPr>
          <w:rFonts w:hint="eastAsia" w:ascii="仿宋_GB2312" w:hAnsi="仿宋_GB2312" w:eastAsia="仿宋_GB2312" w:cs="仿宋_GB2312"/>
          <w:color w:val="000000"/>
          <w:sz w:val="32"/>
          <w:szCs w:val="32"/>
          <w:lang w:val="en-US" w:eastAsia="zh-CN"/>
        </w:rPr>
        <w:t>589.30</w:t>
      </w:r>
      <w:r>
        <w:rPr>
          <w:rFonts w:hint="eastAsia" w:ascii="仿宋_GB2312" w:hAnsi="仿宋_GB2312" w:eastAsia="仿宋_GB2312" w:cs="仿宋_GB2312"/>
          <w:sz w:val="32"/>
          <w:szCs w:val="32"/>
          <w:shd w:val="clear" w:fill="FFFFFF"/>
          <w:lang w:eastAsia="zh-CN"/>
        </w:rPr>
        <w:t>万元</w:t>
      </w:r>
      <w:r>
        <w:rPr>
          <w:rFonts w:hint="eastAsia" w:ascii="仿宋_GB2312" w:hAnsi="仿宋_GB2312" w:eastAsia="仿宋_GB2312" w:cs="仿宋_GB2312"/>
          <w:color w:val="000000"/>
          <w:sz w:val="32"/>
          <w:szCs w:val="32"/>
        </w:rPr>
        <w:t>，其中：基本支出</w:t>
      </w:r>
      <w:r>
        <w:rPr>
          <w:rFonts w:hint="eastAsia" w:ascii="仿宋_GB2312" w:hAnsi="仿宋_GB2312" w:eastAsia="仿宋_GB2312" w:cs="仿宋_GB2312"/>
          <w:color w:val="000000"/>
          <w:sz w:val="32"/>
          <w:szCs w:val="32"/>
          <w:lang w:val="en-US" w:eastAsia="zh-CN"/>
        </w:rPr>
        <w:t>518.36</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87.96</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70.94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12.04</w:t>
      </w:r>
      <w:r>
        <w:rPr>
          <w:rFonts w:hint="eastAsia" w:ascii="仿宋_GB2312" w:hAnsi="仿宋_GB2312" w:eastAsia="仿宋_GB2312" w:cs="仿宋_GB2312"/>
          <w:color w:val="000000"/>
          <w:sz w:val="32"/>
          <w:szCs w:val="32"/>
        </w:rPr>
        <w:t>%；上缴上级支出0.00万元，占0.00%；经营支出0.00万元，占经营支出0.00万元，占 0.00%；对附属单位补助支出0.00万元，占0.00%</w:t>
      </w:r>
    </w:p>
    <w:p>
      <w:pPr>
        <w:pStyle w:val="12"/>
        <w:keepNext w:val="0"/>
        <w:keepLines w:val="0"/>
        <w:widowControl/>
        <w:suppressLineNumbers w:val="0"/>
        <w:shd w:val="clear" w:color="auto" w:fill="auto"/>
        <w:ind w:left="0" w:right="75"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（图3：支出决算结构图）（饼状图）</w:t>
      </w:r>
    </w:p>
    <w:p>
      <w:pPr>
        <w:pStyle w:val="12"/>
        <w:keepNext w:val="0"/>
        <w:keepLines w:val="0"/>
        <w:widowControl/>
        <w:suppressLineNumbers w:val="0"/>
        <w:shd w:val="clear" w:color="auto" w:fill="auto"/>
        <w:ind w:left="0" w:right="75"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drawing>
          <wp:inline distT="0" distB="0" distL="114300" distR="114300">
            <wp:extent cx="5080000" cy="2918460"/>
            <wp:effectExtent l="4445" t="4445" r="20955" b="1079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12"/>
        <w:keepNext w:val="0"/>
        <w:keepLines w:val="0"/>
        <w:widowControl/>
        <w:numPr>
          <w:ilvl w:val="0"/>
          <w:numId w:val="1"/>
        </w:numPr>
        <w:suppressLineNumbers w:val="0"/>
        <w:shd w:val="clear" w:color="auto" w:fill="auto"/>
        <w:ind w:left="0" w:leftChars="0" w:right="75" w:firstLine="0" w:firstLineChars="0"/>
        <w:jc w:val="left"/>
        <w:outlineLvl w:val="1"/>
        <w:rPr>
          <w:rFonts w:hint="eastAsia" w:ascii="仿宋_GB2312" w:hAnsi="仿宋_GB2312" w:eastAsia="仿宋_GB2312" w:cs="仿宋_GB2312"/>
          <w:b/>
          <w:bCs/>
          <w:sz w:val="32"/>
          <w:szCs w:val="32"/>
          <w:shd w:val="clear" w:color="auto" w:fill="FFFFFF"/>
        </w:rPr>
      </w:pPr>
      <w:bookmarkStart w:id="7" w:name="_Toc7956"/>
      <w:r>
        <w:rPr>
          <w:rFonts w:hint="eastAsia" w:ascii="仿宋_GB2312" w:hAnsi="仿宋_GB2312" w:eastAsia="仿宋_GB2312" w:cs="仿宋_GB2312"/>
          <w:b/>
          <w:bCs/>
          <w:sz w:val="32"/>
          <w:szCs w:val="32"/>
          <w:shd w:val="clear" w:color="auto" w:fill="FFFFFF"/>
        </w:rPr>
        <w:t>财政拨款收入支出决算总体情况说明</w:t>
      </w:r>
      <w:bookmarkEnd w:id="7"/>
    </w:p>
    <w:p>
      <w:pPr>
        <w:pStyle w:val="12"/>
        <w:keepNext w:val="0"/>
        <w:keepLines w:val="0"/>
        <w:widowControl/>
        <w:suppressLineNumbers w:val="0"/>
        <w:ind w:left="0" w:right="75" w:firstLine="640" w:firstLineChars="20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lang w:val="en-US" w:eastAsia="zh-CN"/>
        </w:rPr>
        <w:t>2024</w:t>
      </w:r>
      <w:r>
        <w:rPr>
          <w:rFonts w:hint="eastAsia" w:ascii="仿宋_GB2312" w:hAnsi="仿宋_GB2312" w:eastAsia="仿宋_GB2312" w:cs="仿宋_GB2312"/>
          <w:color w:val="000000"/>
          <w:sz w:val="32"/>
          <w:szCs w:val="32"/>
        </w:rPr>
        <w:t>年度收入</w:t>
      </w:r>
      <w:r>
        <w:rPr>
          <w:rFonts w:hint="eastAsia" w:ascii="仿宋_GB2312" w:hAnsi="仿宋_GB2312" w:eastAsia="仿宋_GB2312" w:cs="仿宋_GB2312"/>
          <w:color w:val="000000"/>
          <w:sz w:val="32"/>
          <w:szCs w:val="32"/>
          <w:lang w:val="en-US" w:eastAsia="zh-CN"/>
        </w:rPr>
        <w:t>589.3</w:t>
      </w:r>
      <w:r>
        <w:rPr>
          <w:rFonts w:hint="eastAsia" w:ascii="仿宋_GB2312" w:hAnsi="仿宋_GB2312" w:eastAsia="仿宋_GB2312" w:cs="仿宋_GB2312"/>
          <w:color w:val="000000"/>
          <w:sz w:val="32"/>
          <w:szCs w:val="32"/>
        </w:rPr>
        <w:t>万元，支出</w:t>
      </w:r>
      <w:r>
        <w:rPr>
          <w:rFonts w:hint="eastAsia" w:ascii="仿宋_GB2312" w:hAnsi="仿宋_GB2312" w:eastAsia="仿宋_GB2312" w:cs="仿宋_GB2312"/>
          <w:color w:val="000000"/>
          <w:sz w:val="32"/>
          <w:szCs w:val="32"/>
          <w:lang w:val="en-US" w:eastAsia="zh-CN"/>
        </w:rPr>
        <w:t>589.3</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与</w:t>
      </w:r>
      <w:r>
        <w:rPr>
          <w:rFonts w:hint="eastAsia" w:ascii="仿宋_GB2312" w:hAnsi="仿宋_GB2312" w:eastAsia="仿宋_GB2312" w:cs="仿宋_GB2312"/>
          <w:color w:val="000000"/>
          <w:sz w:val="32"/>
          <w:szCs w:val="32"/>
          <w:lang w:val="en-US" w:eastAsia="zh-CN"/>
        </w:rPr>
        <w:t>2023</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收入714.60万元</w:t>
      </w:r>
      <w:r>
        <w:rPr>
          <w:rFonts w:hint="eastAsia" w:ascii="仿宋_GB2312" w:hAnsi="仿宋_GB2312" w:eastAsia="仿宋_GB2312" w:cs="仿宋_GB2312"/>
          <w:color w:val="000000"/>
          <w:sz w:val="32"/>
          <w:szCs w:val="32"/>
        </w:rPr>
        <w:t>相比，</w:t>
      </w:r>
      <w:r>
        <w:rPr>
          <w:rFonts w:hint="eastAsia" w:ascii="仿宋_GB2312" w:hAnsi="仿宋_GB2312" w:eastAsia="仿宋_GB2312" w:cs="仿宋_GB2312"/>
          <w:color w:val="000000"/>
          <w:sz w:val="32"/>
          <w:szCs w:val="32"/>
          <w:lang w:eastAsia="zh-CN"/>
        </w:rPr>
        <w:t>收入</w:t>
      </w:r>
      <w:r>
        <w:rPr>
          <w:rFonts w:hint="eastAsia" w:ascii="仿宋_GB2312" w:hAnsi="仿宋_GB2312" w:eastAsia="仿宋_GB2312" w:cs="仿宋_GB2312"/>
          <w:color w:val="000000"/>
          <w:sz w:val="32"/>
          <w:szCs w:val="32"/>
          <w:lang w:val="en-US" w:eastAsia="zh-CN"/>
        </w:rPr>
        <w:t>减少</w:t>
      </w:r>
      <w:r>
        <w:rPr>
          <w:rFonts w:hint="eastAsia" w:ascii="仿宋_GB2312" w:hAnsi="仿宋_GB2312" w:eastAsia="仿宋_GB2312" w:cs="仿宋_GB2312"/>
          <w:color w:val="000000"/>
          <w:sz w:val="32"/>
          <w:szCs w:val="32"/>
          <w:lang w:eastAsia="zh-CN"/>
        </w:rPr>
        <w:t>了</w:t>
      </w:r>
      <w:r>
        <w:rPr>
          <w:rFonts w:hint="eastAsia" w:ascii="仿宋_GB2312" w:hAnsi="仿宋_GB2312" w:eastAsia="仿宋_GB2312" w:cs="仿宋_GB2312"/>
          <w:color w:val="000000"/>
          <w:sz w:val="32"/>
          <w:szCs w:val="32"/>
          <w:lang w:val="en-US" w:eastAsia="zh-CN"/>
        </w:rPr>
        <w:t>125.3</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减少</w:t>
      </w:r>
      <w:r>
        <w:rPr>
          <w:rFonts w:hint="eastAsia" w:ascii="仿宋_GB2312" w:hAnsi="仿宋_GB2312" w:eastAsia="仿宋_GB2312" w:cs="仿宋_GB2312"/>
          <w:color w:val="000000"/>
          <w:sz w:val="32"/>
          <w:szCs w:val="32"/>
          <w:lang w:eastAsia="zh-CN"/>
        </w:rPr>
        <w:t>了</w:t>
      </w:r>
      <w:r>
        <w:rPr>
          <w:rFonts w:hint="eastAsia" w:ascii="仿宋_GB2312" w:hAnsi="仿宋_GB2312" w:eastAsia="仿宋_GB2312" w:cs="仿宋_GB2312"/>
          <w:color w:val="000000"/>
          <w:sz w:val="32"/>
          <w:szCs w:val="32"/>
          <w:lang w:val="en-US" w:eastAsia="zh-CN"/>
        </w:rPr>
        <w:t>21.26</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减少</w:t>
      </w:r>
      <w:r>
        <w:rPr>
          <w:rFonts w:hint="eastAsia" w:ascii="仿宋_GB2312" w:hAnsi="仿宋_GB2312" w:eastAsia="仿宋_GB2312" w:cs="仿宋_GB2312"/>
          <w:color w:val="000000"/>
          <w:sz w:val="32"/>
          <w:szCs w:val="32"/>
          <w:lang w:eastAsia="zh-CN"/>
        </w:rPr>
        <w:t>了</w:t>
      </w:r>
      <w:r>
        <w:rPr>
          <w:rFonts w:hint="eastAsia" w:ascii="仿宋_GB2312" w:hAnsi="仿宋_GB2312" w:eastAsia="仿宋_GB2312" w:cs="仿宋_GB2312"/>
          <w:color w:val="000000"/>
          <w:sz w:val="32"/>
          <w:szCs w:val="32"/>
          <w:lang w:val="en-US" w:eastAsia="zh-CN"/>
        </w:rPr>
        <w:t>125.3</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减少</w:t>
      </w:r>
      <w:r>
        <w:rPr>
          <w:rFonts w:hint="eastAsia" w:ascii="仿宋_GB2312" w:hAnsi="仿宋_GB2312" w:eastAsia="仿宋_GB2312" w:cs="仿宋_GB2312"/>
          <w:color w:val="000000"/>
          <w:sz w:val="32"/>
          <w:szCs w:val="32"/>
          <w:lang w:eastAsia="zh-CN"/>
        </w:rPr>
        <w:t>了</w:t>
      </w:r>
      <w:r>
        <w:rPr>
          <w:rFonts w:hint="eastAsia" w:ascii="仿宋_GB2312" w:hAnsi="仿宋_GB2312" w:eastAsia="仿宋_GB2312" w:cs="仿宋_GB2312"/>
          <w:color w:val="000000"/>
          <w:sz w:val="32"/>
          <w:szCs w:val="32"/>
          <w:lang w:val="en-US" w:eastAsia="zh-CN"/>
        </w:rPr>
        <w:t>21.26</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，收入支出均</w:t>
      </w:r>
      <w:r>
        <w:rPr>
          <w:rFonts w:hint="eastAsia" w:ascii="仿宋_GB2312" w:hAnsi="仿宋_GB2312" w:eastAsia="仿宋_GB2312" w:cs="仿宋_GB2312"/>
          <w:color w:val="000000"/>
          <w:sz w:val="32"/>
          <w:szCs w:val="32"/>
          <w:lang w:val="en-US" w:eastAsia="zh-CN"/>
        </w:rPr>
        <w:t>减少</w:t>
      </w:r>
      <w:r>
        <w:rPr>
          <w:rFonts w:hint="eastAsia" w:ascii="仿宋_GB2312" w:hAnsi="仿宋_GB2312" w:eastAsia="仿宋_GB2312" w:cs="仿宋_GB2312"/>
          <w:color w:val="000000"/>
          <w:sz w:val="32"/>
          <w:szCs w:val="32"/>
          <w:lang w:eastAsia="zh-CN"/>
        </w:rPr>
        <w:t>主要原因：</w:t>
      </w:r>
      <w:r>
        <w:rPr>
          <w:rFonts w:hint="eastAsia" w:ascii="仿宋_GB2312" w:hAnsi="仿宋_GB2312" w:eastAsia="仿宋_GB2312" w:cs="仿宋_GB2312"/>
          <w:b/>
          <w:bCs/>
          <w:color w:val="000000"/>
          <w:sz w:val="32"/>
          <w:szCs w:val="32"/>
          <w:lang w:eastAsia="zh-CN"/>
        </w:rPr>
        <w:t>一是</w:t>
      </w:r>
      <w:r>
        <w:rPr>
          <w:rFonts w:hint="eastAsia" w:ascii="仿宋_GB2312" w:hAnsi="仿宋_GB2312" w:eastAsia="仿宋_GB2312" w:cs="仿宋_GB2312"/>
          <w:b w:val="0"/>
          <w:bCs w:val="0"/>
          <w:color w:val="000000"/>
          <w:sz w:val="32"/>
          <w:szCs w:val="32"/>
          <w:lang w:val="en-US" w:eastAsia="zh-CN"/>
        </w:rPr>
        <w:t>项目和办公经费较上年有所减少；</w:t>
      </w:r>
      <w:r>
        <w:rPr>
          <w:rFonts w:hint="eastAsia" w:ascii="仿宋_GB2312" w:hAnsi="仿宋_GB2312" w:eastAsia="仿宋_GB2312" w:cs="仿宋_GB2312"/>
          <w:b/>
          <w:bCs/>
          <w:color w:val="000000"/>
          <w:sz w:val="32"/>
          <w:szCs w:val="32"/>
          <w:lang w:val="en-US" w:eastAsia="zh-CN"/>
        </w:rPr>
        <w:t>二是</w:t>
      </w:r>
      <w:r>
        <w:rPr>
          <w:rFonts w:hint="eastAsia" w:ascii="仿宋_GB2312" w:hAnsi="仿宋_GB2312" w:eastAsia="仿宋_GB2312" w:cs="仿宋_GB2312"/>
          <w:b w:val="0"/>
          <w:bCs w:val="0"/>
          <w:color w:val="000000"/>
          <w:sz w:val="32"/>
          <w:szCs w:val="32"/>
          <w:lang w:val="en-US" w:eastAsia="zh-CN"/>
        </w:rPr>
        <w:t>新增退休人员后减少</w:t>
      </w:r>
      <w:r>
        <w:rPr>
          <w:rStyle w:val="20"/>
          <w:rFonts w:hint="eastAsia" w:ascii="仿宋_GB2312" w:hAnsi="仿宋_GB2312" w:eastAsia="仿宋_GB2312" w:cs="仿宋_GB2312"/>
          <w:b w:val="0"/>
          <w:sz w:val="32"/>
          <w:szCs w:val="32"/>
          <w:shd w:val="clear" w:fill="FFFFFF"/>
          <w:lang w:eastAsia="zh-CN"/>
        </w:rPr>
        <w:t>了社会保障和就业支出、卫生健康支出、住房公积金</w:t>
      </w:r>
      <w:r>
        <w:rPr>
          <w:rFonts w:hint="eastAsia" w:ascii="仿宋_GB2312" w:hAnsi="仿宋_GB2312" w:eastAsia="仿宋_GB2312" w:cs="仿宋_GB2312"/>
          <w:sz w:val="32"/>
          <w:szCs w:val="32"/>
          <w:shd w:val="clear" w:fill="FFFFFF"/>
          <w:lang w:eastAsia="zh-CN"/>
        </w:rPr>
        <w:t>。</w:t>
      </w:r>
    </w:p>
    <w:p>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（图4：财政拨款收、支决算总计变动情况）（柱状图）</w:t>
      </w:r>
    </w:p>
    <w:p>
      <w:pPr>
        <w:pStyle w:val="12"/>
        <w:keepNext w:val="0"/>
        <w:keepLines w:val="0"/>
        <w:widowControl/>
        <w:numPr>
          <w:ilvl w:val="0"/>
          <w:numId w:val="0"/>
        </w:numPr>
        <w:suppressLineNumbers w:val="0"/>
        <w:shd w:val="clear" w:color="auto" w:fill="auto"/>
        <w:ind w:leftChars="0" w:right="75" w:rightChars="0"/>
        <w:jc w:val="left"/>
        <w:rPr>
          <w:rFonts w:hint="eastAsia" w:ascii="仿宋_GB2312" w:hAnsi="仿宋_GB2312" w:eastAsia="仿宋_GB2312" w:cs="仿宋_GB2312"/>
          <w:sz w:val="32"/>
          <w:szCs w:val="32"/>
          <w:shd w:val="clear" w:color="auto" w:fill="FFFFFF"/>
          <w:lang w:eastAsia="zh-CN"/>
        </w:rPr>
      </w:pPr>
      <w:r>
        <w:rPr>
          <w:rFonts w:hint="eastAsia" w:ascii="仿宋_GB2312" w:hAnsi="仿宋_GB2312" w:eastAsia="仿宋_GB2312" w:cs="仿宋_GB2312"/>
          <w:sz w:val="32"/>
          <w:szCs w:val="32"/>
          <w:shd w:val="clear" w:color="auto" w:fill="FFFFFF"/>
          <w:lang w:eastAsia="zh-CN"/>
        </w:rPr>
        <w:drawing>
          <wp:anchor distT="0" distB="0" distL="114300" distR="114300" simplePos="0" relativeHeight="251662336" behindDoc="0" locked="0" layoutInCell="1" allowOverlap="1">
            <wp:simplePos x="0" y="0"/>
            <wp:positionH relativeFrom="column">
              <wp:posOffset>309245</wp:posOffset>
            </wp:positionH>
            <wp:positionV relativeFrom="paragraph">
              <wp:posOffset>27305</wp:posOffset>
            </wp:positionV>
            <wp:extent cx="4898390" cy="2153920"/>
            <wp:effectExtent l="4445" t="4445" r="12065" b="13335"/>
            <wp:wrapSquare wrapText="bothSides"/>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12"/>
        <w:keepNext w:val="0"/>
        <w:keepLines w:val="0"/>
        <w:widowControl/>
        <w:suppressLineNumbers w:val="0"/>
        <w:shd w:val="clear" w:color="auto" w:fill="auto"/>
        <w:ind w:left="0" w:right="75"/>
        <w:jc w:val="left"/>
        <w:outlineLvl w:val="1"/>
        <w:rPr>
          <w:rFonts w:hint="eastAsia" w:ascii="仿宋_GB2312" w:hAnsi="仿宋_GB2312" w:eastAsia="仿宋_GB2312" w:cs="仿宋_GB2312"/>
          <w:b/>
          <w:bCs/>
          <w:sz w:val="32"/>
          <w:szCs w:val="32"/>
          <w:shd w:val="clear" w:color="auto" w:fill="FFFFFF"/>
        </w:rPr>
      </w:pPr>
      <w:bookmarkStart w:id="8" w:name="_Toc23149"/>
      <w:r>
        <w:rPr>
          <w:rFonts w:hint="eastAsia" w:ascii="仿宋_GB2312" w:hAnsi="仿宋_GB2312" w:eastAsia="仿宋_GB2312" w:cs="仿宋_GB2312"/>
          <w:b/>
          <w:bCs/>
          <w:sz w:val="32"/>
          <w:szCs w:val="32"/>
          <w:shd w:val="clear" w:color="auto" w:fill="FFFFFF"/>
        </w:rPr>
        <w:t>五、一般公共预算财政拨款支出决算情况说明</w:t>
      </w:r>
      <w:bookmarkEnd w:id="8"/>
    </w:p>
    <w:p>
      <w:pPr>
        <w:pStyle w:val="12"/>
        <w:keepNext w:val="0"/>
        <w:keepLines w:val="0"/>
        <w:widowControl/>
        <w:suppressLineNumbers w:val="0"/>
        <w:ind w:left="0" w:right="75"/>
        <w:rPr>
          <w:rStyle w:val="15"/>
          <w:rFonts w:hint="eastAsia" w:ascii="仿宋_GB2312" w:hAnsi="仿宋_GB2312" w:eastAsia="仿宋_GB2312" w:cs="仿宋_GB2312"/>
          <w:sz w:val="32"/>
          <w:szCs w:val="32"/>
          <w:shd w:val="clear" w:color="auto" w:fill="FFFFFF"/>
        </w:rPr>
      </w:pPr>
      <w:r>
        <w:rPr>
          <w:rStyle w:val="15"/>
          <w:rFonts w:hint="eastAsia" w:ascii="仿宋_GB2312" w:hAnsi="仿宋_GB2312" w:eastAsia="仿宋_GB2312" w:cs="仿宋_GB2312"/>
          <w:sz w:val="32"/>
          <w:szCs w:val="32"/>
          <w:shd w:val="clear" w:color="auto" w:fill="FFFFFF"/>
        </w:rPr>
        <w:t>（一）一般公共预算财政拨款支出决算总体情况</w:t>
      </w:r>
    </w:p>
    <w:p>
      <w:pPr>
        <w:pStyle w:val="12"/>
        <w:keepNext w:val="0"/>
        <w:keepLines w:val="0"/>
        <w:widowControl/>
        <w:suppressLineNumbers w:val="0"/>
        <w:ind w:left="0" w:right="75" w:firstLine="640" w:firstLineChars="200"/>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color w:val="000000"/>
          <w:sz w:val="32"/>
          <w:szCs w:val="32"/>
          <w:lang w:val="en-US" w:eastAsia="zh-CN"/>
        </w:rPr>
        <w:t>2024</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color w:val="000000"/>
          <w:sz w:val="32"/>
          <w:szCs w:val="32"/>
          <w:lang w:val="en-US" w:eastAsia="zh-CN"/>
        </w:rPr>
        <w:t>583.56</w:t>
      </w:r>
      <w:r>
        <w:rPr>
          <w:rFonts w:hint="eastAsia" w:ascii="仿宋_GB2312" w:hAnsi="仿宋_GB2312" w:eastAsia="仿宋_GB2312" w:cs="仿宋_GB2312"/>
          <w:color w:val="000000"/>
          <w:sz w:val="32"/>
          <w:szCs w:val="32"/>
        </w:rPr>
        <w:t>万元，与</w:t>
      </w:r>
      <w:r>
        <w:rPr>
          <w:rFonts w:hint="eastAsia" w:ascii="仿宋_GB2312" w:hAnsi="仿宋_GB2312" w:eastAsia="仿宋_GB2312" w:cs="仿宋_GB2312"/>
          <w:color w:val="000000"/>
          <w:sz w:val="32"/>
          <w:szCs w:val="32"/>
          <w:lang w:val="en-US" w:eastAsia="zh-CN"/>
        </w:rPr>
        <w:t>2023</w:t>
      </w:r>
      <w:r>
        <w:rPr>
          <w:rFonts w:hint="eastAsia" w:ascii="仿宋_GB2312" w:hAnsi="仿宋_GB2312" w:eastAsia="仿宋_GB2312" w:cs="仿宋_GB2312"/>
          <w:color w:val="000000"/>
          <w:sz w:val="32"/>
          <w:szCs w:val="32"/>
        </w:rPr>
        <w:t>年710.17</w:t>
      </w:r>
      <w:r>
        <w:rPr>
          <w:rFonts w:hint="eastAsia" w:ascii="仿宋_GB2312" w:hAnsi="仿宋_GB2312" w:eastAsia="仿宋_GB2312" w:cs="仿宋_GB2312"/>
          <w:color w:val="000000"/>
          <w:sz w:val="32"/>
          <w:szCs w:val="32"/>
          <w:lang w:val="en-US" w:eastAsia="zh-CN"/>
        </w:rPr>
        <w:t>万元</w:t>
      </w:r>
      <w:r>
        <w:rPr>
          <w:rFonts w:hint="eastAsia" w:ascii="仿宋_GB2312" w:hAnsi="仿宋_GB2312" w:eastAsia="仿宋_GB2312" w:cs="仿宋_GB2312"/>
          <w:color w:val="000000"/>
          <w:sz w:val="32"/>
          <w:szCs w:val="32"/>
        </w:rPr>
        <w:t>相比，</w:t>
      </w:r>
      <w:r>
        <w:rPr>
          <w:rFonts w:hint="eastAsia" w:ascii="仿宋_GB2312" w:hAnsi="仿宋_GB2312" w:eastAsia="仿宋_GB2312" w:cs="仿宋_GB2312"/>
          <w:color w:val="000000"/>
          <w:sz w:val="32"/>
          <w:szCs w:val="32"/>
          <w:lang w:val="en-US" w:eastAsia="zh-CN"/>
        </w:rPr>
        <w:t>支出减少了126.61</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下降</w:t>
      </w:r>
      <w:r>
        <w:rPr>
          <w:rFonts w:hint="eastAsia" w:ascii="仿宋_GB2312" w:hAnsi="仿宋_GB2312" w:eastAsia="仿宋_GB2312" w:cs="仿宋_GB2312"/>
          <w:color w:val="000000"/>
          <w:sz w:val="32"/>
          <w:szCs w:val="32"/>
          <w:lang w:eastAsia="zh-CN"/>
        </w:rPr>
        <w:t>了</w:t>
      </w:r>
      <w:r>
        <w:rPr>
          <w:rFonts w:hint="eastAsia" w:ascii="仿宋_GB2312" w:hAnsi="仿宋_GB2312" w:eastAsia="仿宋_GB2312" w:cs="仿宋_GB2312"/>
          <w:color w:val="000000"/>
          <w:sz w:val="32"/>
          <w:szCs w:val="32"/>
          <w:lang w:val="en-US" w:eastAsia="zh-CN"/>
        </w:rPr>
        <w:t>19.95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增加主要原因：主要原因：</w:t>
      </w:r>
      <w:r>
        <w:rPr>
          <w:rFonts w:hint="eastAsia" w:ascii="仿宋_GB2312" w:hAnsi="仿宋_GB2312" w:eastAsia="仿宋_GB2312" w:cs="仿宋_GB2312"/>
          <w:b/>
          <w:bCs/>
          <w:color w:val="000000"/>
          <w:sz w:val="32"/>
          <w:szCs w:val="32"/>
          <w:lang w:eastAsia="zh-CN"/>
        </w:rPr>
        <w:t>一是</w:t>
      </w:r>
      <w:r>
        <w:rPr>
          <w:rFonts w:hint="eastAsia" w:ascii="仿宋_GB2312" w:hAnsi="仿宋_GB2312" w:eastAsia="仿宋_GB2312" w:cs="仿宋_GB2312"/>
          <w:b w:val="0"/>
          <w:bCs w:val="0"/>
          <w:color w:val="000000"/>
          <w:sz w:val="32"/>
          <w:szCs w:val="32"/>
          <w:lang w:val="en-US" w:eastAsia="zh-CN"/>
        </w:rPr>
        <w:t>项目较上年有所减少；</w:t>
      </w:r>
      <w:r>
        <w:rPr>
          <w:rFonts w:hint="eastAsia" w:ascii="仿宋_GB2312" w:hAnsi="仿宋_GB2312" w:eastAsia="仿宋_GB2312" w:cs="仿宋_GB2312"/>
          <w:b/>
          <w:bCs/>
          <w:color w:val="000000"/>
          <w:sz w:val="32"/>
          <w:szCs w:val="32"/>
          <w:lang w:val="en-US" w:eastAsia="zh-CN"/>
        </w:rPr>
        <w:t>二是</w:t>
      </w:r>
      <w:r>
        <w:rPr>
          <w:rFonts w:hint="eastAsia" w:ascii="仿宋_GB2312" w:hAnsi="仿宋_GB2312" w:eastAsia="仿宋_GB2312" w:cs="仿宋_GB2312"/>
          <w:b w:val="0"/>
          <w:bCs w:val="0"/>
          <w:color w:val="000000"/>
          <w:sz w:val="32"/>
          <w:szCs w:val="32"/>
          <w:lang w:val="en-US" w:eastAsia="zh-CN"/>
        </w:rPr>
        <w:t>新增退休人员后减少</w:t>
      </w:r>
      <w:r>
        <w:rPr>
          <w:rStyle w:val="20"/>
          <w:rFonts w:hint="eastAsia" w:ascii="仿宋_GB2312" w:hAnsi="仿宋_GB2312" w:eastAsia="仿宋_GB2312" w:cs="仿宋_GB2312"/>
          <w:b w:val="0"/>
          <w:sz w:val="32"/>
          <w:szCs w:val="32"/>
          <w:shd w:val="clear" w:fill="FFFFFF"/>
          <w:lang w:eastAsia="zh-CN"/>
        </w:rPr>
        <w:t>了社会保障和就业支出、卫生健康支出、住房公积金</w:t>
      </w:r>
      <w:r>
        <w:rPr>
          <w:rFonts w:hint="eastAsia" w:ascii="仿宋_GB2312" w:hAnsi="仿宋_GB2312" w:eastAsia="仿宋_GB2312" w:cs="仿宋_GB2312"/>
          <w:sz w:val="32"/>
          <w:szCs w:val="32"/>
          <w:shd w:val="clear" w:fill="FFFFFF"/>
          <w:lang w:eastAsia="zh-CN"/>
        </w:rPr>
        <w:t>。</w:t>
      </w:r>
    </w:p>
    <w:p>
      <w:pPr>
        <w:pStyle w:val="12"/>
        <w:keepNext w:val="0"/>
        <w:keepLines w:val="0"/>
        <w:widowControl/>
        <w:suppressLineNumbers w:val="0"/>
        <w:ind w:left="0" w:right="75"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（图5：一般公共预算财政拨款支出决算变动情况）（柱状</w:t>
      </w:r>
      <w:r>
        <w:rPr>
          <w:rFonts w:hint="eastAsia" w:ascii="仿宋_GB2312" w:hAnsi="仿宋_GB2312" w:eastAsia="仿宋_GB2312" w:cs="仿宋_GB2312"/>
          <w:color w:val="000000" w:themeColor="text1"/>
          <w:sz w:val="32"/>
          <w:szCs w:val="32"/>
          <w:lang w:eastAsia="zh-CN"/>
          <w14:textFill>
            <w14:solidFill>
              <w14:schemeClr w14:val="tx1"/>
            </w14:solidFill>
          </w14:textFill>
        </w:rPr>
        <w:t>图）</w:t>
      </w:r>
    </w:p>
    <w:p>
      <w:pPr>
        <w:pStyle w:val="7"/>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drawing>
          <wp:inline distT="0" distB="0" distL="114300" distR="114300">
            <wp:extent cx="5080000" cy="2581275"/>
            <wp:effectExtent l="4445" t="4445" r="20955" b="50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12"/>
        <w:keepNext w:val="0"/>
        <w:keepLines w:val="0"/>
        <w:widowControl/>
        <w:numPr>
          <w:ilvl w:val="0"/>
          <w:numId w:val="2"/>
        </w:numPr>
        <w:suppressLineNumbers w:val="0"/>
        <w:ind w:left="0" w:right="75"/>
        <w:rPr>
          <w:rStyle w:val="15"/>
          <w:rFonts w:hint="eastAsia" w:ascii="仿宋_GB2312" w:hAnsi="仿宋_GB2312" w:eastAsia="仿宋_GB2312" w:cs="仿宋_GB2312"/>
          <w:sz w:val="32"/>
          <w:szCs w:val="32"/>
          <w:shd w:val="clear" w:color="auto" w:fill="FFFFFF"/>
        </w:rPr>
      </w:pPr>
      <w:r>
        <w:rPr>
          <w:rStyle w:val="15"/>
          <w:rFonts w:hint="eastAsia" w:ascii="仿宋_GB2312" w:hAnsi="仿宋_GB2312" w:eastAsia="仿宋_GB2312" w:cs="仿宋_GB2312"/>
          <w:sz w:val="32"/>
          <w:szCs w:val="32"/>
          <w:shd w:val="clear" w:color="auto" w:fill="FFFFFF"/>
        </w:rPr>
        <w:t>一般公共预算财政拨款支出决算结构情况</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0" w:afterAutospacing="0"/>
        <w:ind w:left="0" w:right="76" w:firstLine="640" w:firstLineChars="200"/>
        <w:jc w:val="left"/>
        <w:rPr>
          <w:rStyle w:val="15"/>
          <w:rFonts w:hint="eastAsia" w:ascii="仿宋_GB2312" w:hAnsi="仿宋_GB2312" w:eastAsia="仿宋_GB2312" w:cs="仿宋_GB2312"/>
          <w:b w:val="0"/>
          <w:bCs/>
          <w:color w:val="000000"/>
          <w:kern w:val="2"/>
          <w:sz w:val="32"/>
          <w:szCs w:val="32"/>
          <w:shd w:val="clear"/>
          <w:lang w:val="en-US" w:eastAsia="zh-CN" w:bidi="ar-SA"/>
        </w:rPr>
      </w:pPr>
      <w:r>
        <w:rPr>
          <w:rStyle w:val="15"/>
          <w:rFonts w:hint="eastAsia" w:ascii="仿宋_GB2312" w:hAnsi="仿宋_GB2312" w:eastAsia="仿宋_GB2312" w:cs="仿宋_GB2312"/>
          <w:b w:val="0"/>
          <w:bCs/>
          <w:color w:val="000000"/>
          <w:kern w:val="2"/>
          <w:sz w:val="32"/>
          <w:szCs w:val="32"/>
          <w:shd w:val="clear"/>
          <w:lang w:val="en-US" w:eastAsia="zh-CN" w:bidi="ar-SA"/>
        </w:rPr>
        <w:t>2024年一般公共预算财政拨款支出583.56万元，主要用于以下方面:一般公共服务（类）支出453.50万元，占77.71%；社会保险和就业支出65.91万元，占11.29%；卫生健康支出27.58万元，占4.73%；住房保障支出36.57万元，占6.26%。</w:t>
      </w:r>
    </w:p>
    <w:p>
      <w:pPr>
        <w:pStyle w:val="12"/>
        <w:keepNext w:val="0"/>
        <w:keepLines w:val="0"/>
        <w:widowControl/>
        <w:numPr>
          <w:ilvl w:val="0"/>
          <w:numId w:val="0"/>
        </w:numPr>
        <w:suppressLineNumbers w:val="0"/>
        <w:ind w:right="75" w:rightChars="0"/>
        <w:rPr>
          <w:rStyle w:val="15"/>
          <w:rFonts w:hint="eastAsia" w:ascii="仿宋_GB2312" w:hAnsi="仿宋_GB2312" w:eastAsia="仿宋_GB2312" w:cs="仿宋_GB2312"/>
          <w:sz w:val="32"/>
          <w:szCs w:val="32"/>
          <w:shd w:val="clear" w:color="auto" w:fill="FFFFFF"/>
          <w:lang w:eastAsia="zh-CN"/>
        </w:rPr>
      </w:pPr>
      <w:r>
        <w:rPr>
          <w:rFonts w:hint="eastAsia" w:ascii="仿宋_GB2312" w:hAnsi="仿宋_GB2312" w:eastAsia="仿宋_GB2312" w:cs="仿宋_GB2312"/>
          <w:color w:val="000000"/>
          <w:sz w:val="32"/>
          <w:szCs w:val="32"/>
          <w:lang w:eastAsia="zh-CN"/>
        </w:rPr>
        <w:drawing>
          <wp:anchor distT="0" distB="0" distL="114300" distR="114300" simplePos="0" relativeHeight="251660288" behindDoc="1" locked="0" layoutInCell="1" allowOverlap="1">
            <wp:simplePos x="0" y="0"/>
            <wp:positionH relativeFrom="column">
              <wp:posOffset>344170</wp:posOffset>
            </wp:positionH>
            <wp:positionV relativeFrom="paragraph">
              <wp:posOffset>627380</wp:posOffset>
            </wp:positionV>
            <wp:extent cx="4765040" cy="2182495"/>
            <wp:effectExtent l="4445" t="4445" r="12065" b="22860"/>
            <wp:wrapTight wrapText="bothSides">
              <wp:wrapPolygon>
                <wp:start x="-20" y="-44"/>
                <wp:lineTo x="-20" y="21449"/>
                <wp:lineTo x="21568" y="21449"/>
                <wp:lineTo x="21568" y="-44"/>
                <wp:lineTo x="-20" y="-44"/>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_GB2312" w:hAnsi="仿宋_GB2312" w:eastAsia="仿宋_GB2312" w:cs="仿宋_GB2312"/>
          <w:color w:val="000000"/>
          <w:sz w:val="32"/>
          <w:szCs w:val="32"/>
        </w:rPr>
        <w:t>（图6：一般公共预算财政拨款支出决算结构</w:t>
      </w:r>
      <w:r>
        <w:rPr>
          <w:rFonts w:hint="eastAsia" w:ascii="仿宋_GB2312" w:hAnsi="仿宋_GB2312" w:eastAsia="仿宋_GB2312" w:cs="仿宋_GB2312"/>
          <w:color w:val="000000"/>
          <w:sz w:val="32"/>
          <w:szCs w:val="32"/>
          <w:lang w:eastAsia="zh-CN"/>
        </w:rPr>
        <w:t>图</w:t>
      </w:r>
      <w:r>
        <w:rPr>
          <w:rFonts w:hint="eastAsia" w:ascii="仿宋_GB2312" w:hAnsi="仿宋_GB2312" w:eastAsia="仿宋_GB2312" w:cs="仿宋_GB2312"/>
          <w:color w:val="000000"/>
          <w:sz w:val="32"/>
          <w:szCs w:val="32"/>
        </w:rPr>
        <w:t>（饼状</w:t>
      </w:r>
      <w:r>
        <w:rPr>
          <w:rFonts w:hint="eastAsia" w:ascii="仿宋_GB2312" w:hAnsi="仿宋_GB2312" w:eastAsia="仿宋_GB2312" w:cs="仿宋_GB2312"/>
          <w:color w:val="000000"/>
          <w:sz w:val="32"/>
          <w:szCs w:val="32"/>
          <w:lang w:eastAsia="zh-CN"/>
        </w:rPr>
        <w:t>图）</w:t>
      </w:r>
    </w:p>
    <w:p>
      <w:pPr>
        <w:pStyle w:val="12"/>
        <w:keepNext w:val="0"/>
        <w:keepLines w:val="0"/>
        <w:widowControl/>
        <w:numPr>
          <w:ilvl w:val="0"/>
          <w:numId w:val="2"/>
        </w:numPr>
        <w:suppressLineNumbers w:val="0"/>
        <w:ind w:left="0" w:leftChars="0" w:right="75" w:firstLine="0" w:firstLineChars="0"/>
        <w:rPr>
          <w:rStyle w:val="15"/>
          <w:rFonts w:hint="eastAsia" w:ascii="仿宋_GB2312" w:hAnsi="仿宋_GB2312" w:eastAsia="仿宋_GB2312" w:cs="仿宋_GB2312"/>
          <w:sz w:val="32"/>
          <w:szCs w:val="32"/>
          <w:shd w:val="clear" w:color="auto" w:fill="FFFFFF"/>
        </w:rPr>
      </w:pPr>
      <w:r>
        <w:rPr>
          <w:rStyle w:val="15"/>
          <w:rFonts w:hint="eastAsia" w:ascii="仿宋_GB2312" w:hAnsi="仿宋_GB2312" w:eastAsia="仿宋_GB2312" w:cs="仿宋_GB2312"/>
          <w:sz w:val="32"/>
          <w:szCs w:val="32"/>
          <w:shd w:val="clear" w:color="auto" w:fill="FFFFFF"/>
        </w:rPr>
        <w:t>一般公共预算财政拨款支出决算具体情况</w:t>
      </w:r>
    </w:p>
    <w:p>
      <w:pPr>
        <w:spacing w:line="600" w:lineRule="exact"/>
        <w:ind w:firstLine="643" w:firstLineChars="200"/>
        <w:outlineLvl w:val="9"/>
        <w:rPr>
          <w:rFonts w:hint="eastAsia" w:ascii="仿宋_GB2312" w:hAnsi="仿宋_GB2312" w:eastAsia="仿宋_GB2312" w:cs="仿宋_GB2312"/>
          <w:color w:val="FF0000"/>
          <w:sz w:val="32"/>
          <w:szCs w:val="32"/>
        </w:rPr>
      </w:pPr>
      <w:bookmarkStart w:id="9" w:name="_Toc15378460"/>
      <w:bookmarkStart w:id="10" w:name="_Toc15377213"/>
      <w:bookmarkStart w:id="11" w:name="_Toc15377444"/>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2024</w:t>
      </w:r>
      <w:r>
        <w:rPr>
          <w:rFonts w:hint="eastAsia" w:ascii="仿宋_GB2312" w:hAnsi="仿宋_GB2312" w:eastAsia="仿宋_GB2312" w:cs="仿宋_GB2312"/>
          <w:b/>
          <w:color w:val="000000" w:themeColor="text1"/>
          <w:sz w:val="32"/>
          <w:szCs w:val="32"/>
          <w14:textFill>
            <w14:solidFill>
              <w14:schemeClr w14:val="tx1"/>
            </w14:solidFill>
          </w14:textFill>
        </w:rPr>
        <w:t>年</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一</w:t>
      </w:r>
      <w:r>
        <w:rPr>
          <w:rFonts w:hint="eastAsia" w:ascii="仿宋_GB2312" w:hAnsi="仿宋_GB2312" w:eastAsia="仿宋_GB2312" w:cs="仿宋_GB2312"/>
          <w:b/>
          <w:color w:val="000000" w:themeColor="text1"/>
          <w:sz w:val="32"/>
          <w:szCs w:val="32"/>
          <w14:textFill>
            <w14:solidFill>
              <w14:schemeClr w14:val="tx1"/>
            </w14:solidFill>
          </w14:textFill>
        </w:rPr>
        <w:t>般公共预算支出决算数为</w:t>
      </w: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583.56</w:t>
      </w:r>
      <w:r>
        <w:rPr>
          <w:rFonts w:hint="eastAsia" w:ascii="仿宋_GB2312" w:hAnsi="仿宋_GB2312" w:eastAsia="仿宋_GB2312" w:cs="仿宋_GB2312"/>
          <w:b/>
          <w:color w:val="000000" w:themeColor="text1"/>
          <w:sz w:val="32"/>
          <w:szCs w:val="32"/>
          <w:lang w:eastAsia="zh-CN"/>
          <w14:textFill>
            <w14:solidFill>
              <w14:schemeClr w14:val="tx1"/>
            </w14:solidFill>
          </w14:textFill>
        </w:rPr>
        <w:t>万元</w:t>
      </w:r>
      <w:r>
        <w:rPr>
          <w:rFonts w:hint="eastAsia" w:ascii="仿宋_GB2312" w:hAnsi="仿宋_GB2312" w:eastAsia="仿宋_GB2312" w:cs="仿宋_GB2312"/>
          <w:color w:val="000000" w:themeColor="text1"/>
          <w:sz w:val="32"/>
          <w:szCs w:val="32"/>
          <w14:textFill>
            <w14:solidFill>
              <w14:schemeClr w14:val="tx1"/>
            </w14:solidFill>
          </w14:textFill>
        </w:rPr>
        <w:t>，</w:t>
      </w:r>
      <w:r>
        <w:rPr>
          <w:rStyle w:val="15"/>
          <w:rFonts w:hint="eastAsia" w:ascii="仿宋_GB2312" w:hAnsi="仿宋_GB2312" w:eastAsia="仿宋_GB2312" w:cs="仿宋_GB2312"/>
          <w:bCs/>
          <w:color w:val="000000" w:themeColor="text1"/>
          <w:sz w:val="32"/>
          <w:szCs w:val="32"/>
          <w14:textFill>
            <w14:solidFill>
              <w14:schemeClr w14:val="tx1"/>
            </w14:solidFill>
          </w14:textFill>
        </w:rPr>
        <w:t>完成</w:t>
      </w:r>
      <w:r>
        <w:rPr>
          <w:rStyle w:val="15"/>
          <w:rFonts w:hint="eastAsia" w:ascii="仿宋_GB2312" w:hAnsi="仿宋_GB2312" w:eastAsia="仿宋_GB2312" w:cs="仿宋_GB2312"/>
          <w:bCs/>
          <w:color w:val="000000"/>
          <w:sz w:val="32"/>
          <w:szCs w:val="32"/>
        </w:rPr>
        <w:t>预算</w:t>
      </w:r>
      <w:r>
        <w:rPr>
          <w:rStyle w:val="15"/>
          <w:rFonts w:hint="eastAsia" w:ascii="仿宋_GB2312" w:hAnsi="仿宋_GB2312" w:eastAsia="仿宋_GB2312" w:cs="仿宋_GB2312"/>
          <w:bCs/>
          <w:color w:val="000000"/>
          <w:sz w:val="32"/>
          <w:szCs w:val="32"/>
          <w:lang w:val="en-US" w:eastAsia="zh-CN"/>
        </w:rPr>
        <w:t>100</w:t>
      </w:r>
      <w:r>
        <w:rPr>
          <w:rStyle w:val="15"/>
          <w:rFonts w:hint="eastAsia" w:ascii="仿宋_GB2312" w:hAnsi="仿宋_GB2312" w:eastAsia="仿宋_GB2312" w:cs="仿宋_GB2312"/>
          <w:bCs/>
          <w:color w:val="000000"/>
          <w:sz w:val="32"/>
          <w:szCs w:val="32"/>
        </w:rPr>
        <w:t>%。其中：</w:t>
      </w:r>
      <w:bookmarkEnd w:id="9"/>
      <w:bookmarkEnd w:id="10"/>
      <w:bookmarkEnd w:id="11"/>
    </w:p>
    <w:p>
      <w:pPr>
        <w:numPr>
          <w:ilvl w:val="0"/>
          <w:numId w:val="3"/>
        </w:numPr>
        <w:spacing w:line="600" w:lineRule="exact"/>
        <w:ind w:left="0" w:leftChars="0" w:firstLine="643" w:firstLineChars="200"/>
        <w:rPr>
          <w:rFonts w:hint="eastAsia" w:ascii="仿宋_GB2312" w:hAnsi="仿宋_GB2312" w:eastAsia="仿宋_GB2312" w:cs="仿宋_GB2312"/>
          <w:b/>
          <w:color w:val="000000"/>
          <w:sz w:val="32"/>
          <w:szCs w:val="32"/>
        </w:rPr>
      </w:pPr>
      <w:r>
        <w:rPr>
          <w:rStyle w:val="15"/>
          <w:rFonts w:hint="eastAsia" w:ascii="仿宋_GB2312" w:hAnsi="仿宋_GB2312" w:eastAsia="仿宋_GB2312" w:cs="仿宋_GB2312"/>
          <w:bCs/>
          <w:color w:val="000000"/>
          <w:sz w:val="32"/>
          <w:szCs w:val="32"/>
        </w:rPr>
        <w:t>一般公共服务:</w:t>
      </w:r>
      <w:r>
        <w:rPr>
          <w:rStyle w:val="15"/>
          <w:rFonts w:hint="eastAsia" w:ascii="仿宋_GB2312" w:hAnsi="仿宋_GB2312" w:eastAsia="仿宋_GB2312" w:cs="仿宋_GB2312"/>
          <w:b w:val="0"/>
          <w:bCs/>
          <w:color w:val="000000"/>
          <w:sz w:val="32"/>
          <w:szCs w:val="32"/>
        </w:rPr>
        <w:t xml:space="preserve"> </w:t>
      </w:r>
      <w:r>
        <w:rPr>
          <w:rStyle w:val="15"/>
          <w:rFonts w:hint="eastAsia" w:ascii="仿宋_GB2312" w:hAnsi="仿宋_GB2312" w:eastAsia="仿宋_GB2312" w:cs="仿宋_GB2312"/>
          <w:b w:val="0"/>
          <w:bCs/>
          <w:color w:val="000000"/>
          <w:sz w:val="32"/>
          <w:szCs w:val="32"/>
          <w:lang w:val="en-US" w:eastAsia="zh-CN"/>
        </w:rPr>
        <w:t>2013401-</w:t>
      </w:r>
      <w:r>
        <w:rPr>
          <w:rStyle w:val="15"/>
          <w:rFonts w:hint="eastAsia" w:ascii="仿宋_GB2312" w:hAnsi="仿宋_GB2312" w:eastAsia="仿宋_GB2312" w:cs="仿宋_GB2312"/>
          <w:b w:val="0"/>
          <w:bCs/>
          <w:color w:val="000000"/>
          <w:sz w:val="32"/>
          <w:szCs w:val="32"/>
        </w:rPr>
        <w:t>行政运行支出决算为</w:t>
      </w:r>
      <w:r>
        <w:rPr>
          <w:rStyle w:val="15"/>
          <w:rFonts w:hint="eastAsia" w:ascii="仿宋_GB2312" w:hAnsi="仿宋_GB2312" w:eastAsia="仿宋_GB2312" w:cs="仿宋_GB2312"/>
          <w:b w:val="0"/>
          <w:bCs/>
          <w:color w:val="000000"/>
          <w:sz w:val="32"/>
          <w:szCs w:val="32"/>
          <w:lang w:val="en-US" w:eastAsia="zh-CN"/>
        </w:rPr>
        <w:t>312.15</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lang w:eastAsia="zh-CN"/>
        </w:rPr>
        <w:t>，主要用于开支日常公用经费及人员经费；</w:t>
      </w:r>
      <w:r>
        <w:rPr>
          <w:rStyle w:val="15"/>
          <w:rFonts w:hint="eastAsia" w:ascii="仿宋_GB2312" w:hAnsi="仿宋_GB2312" w:eastAsia="仿宋_GB2312" w:cs="仿宋_GB2312"/>
          <w:b w:val="0"/>
          <w:bCs/>
          <w:color w:val="000000"/>
          <w:sz w:val="32"/>
          <w:szCs w:val="32"/>
          <w:lang w:val="en-US" w:eastAsia="zh-CN"/>
        </w:rPr>
        <w:t>2013402-</w:t>
      </w:r>
      <w:r>
        <w:rPr>
          <w:rStyle w:val="15"/>
          <w:rFonts w:hint="eastAsia" w:ascii="仿宋_GB2312" w:hAnsi="仿宋_GB2312" w:eastAsia="仿宋_GB2312" w:cs="仿宋_GB2312"/>
          <w:b w:val="0"/>
          <w:bCs/>
          <w:color w:val="000000"/>
          <w:sz w:val="32"/>
          <w:szCs w:val="32"/>
          <w:lang w:eastAsia="zh-CN"/>
        </w:rPr>
        <w:t>一般行政管理事务</w:t>
      </w:r>
      <w:r>
        <w:rPr>
          <w:rStyle w:val="15"/>
          <w:rFonts w:hint="eastAsia" w:ascii="仿宋_GB2312" w:hAnsi="仿宋_GB2312" w:eastAsia="仿宋_GB2312" w:cs="仿宋_GB2312"/>
          <w:b w:val="0"/>
          <w:bCs/>
          <w:color w:val="000000"/>
          <w:sz w:val="32"/>
          <w:szCs w:val="32"/>
        </w:rPr>
        <w:t>支出决算为</w:t>
      </w:r>
      <w:r>
        <w:rPr>
          <w:rStyle w:val="15"/>
          <w:rFonts w:hint="eastAsia" w:ascii="仿宋_GB2312" w:hAnsi="仿宋_GB2312" w:eastAsia="仿宋_GB2312" w:cs="仿宋_GB2312"/>
          <w:b w:val="0"/>
          <w:bCs/>
          <w:color w:val="000000"/>
          <w:sz w:val="32"/>
          <w:szCs w:val="32"/>
          <w:lang w:val="en-US" w:eastAsia="zh-CN"/>
        </w:rPr>
        <w:t>35.11</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lang w:eastAsia="zh-CN"/>
        </w:rPr>
        <w:t>，主要用于“百千万工程”和“千人计划”宗教界代表人士培训费</w:t>
      </w:r>
      <w:r>
        <w:rPr>
          <w:rStyle w:val="15"/>
          <w:rFonts w:hint="eastAsia" w:ascii="仿宋_GB2312" w:hAnsi="仿宋_GB2312" w:eastAsia="仿宋_GB2312" w:cs="仿宋_GB2312"/>
          <w:b w:val="0"/>
          <w:bCs/>
          <w:color w:val="000000"/>
          <w:sz w:val="32"/>
          <w:szCs w:val="32"/>
          <w:lang w:val="en-US" w:eastAsia="zh-CN"/>
        </w:rPr>
        <w:t>3.1万元、佛协会长副会长补助1.36万元、"微网实格"精准化管理系统升级服务费8.15万元、党外知识分子和新的社会阶层人士及民营企业家赴浙江考察学习21.3万元、德青同志建房补贴1.2万元</w:t>
      </w:r>
      <w:r>
        <w:rPr>
          <w:rStyle w:val="15"/>
          <w:rFonts w:hint="eastAsia" w:ascii="仿宋_GB2312" w:hAnsi="仿宋_GB2312" w:eastAsia="仿宋_GB2312" w:cs="仿宋_GB2312"/>
          <w:b w:val="0"/>
          <w:bCs/>
          <w:color w:val="000000"/>
          <w:sz w:val="32"/>
          <w:szCs w:val="32"/>
          <w:lang w:eastAsia="zh-CN"/>
        </w:rPr>
        <w:t>；</w:t>
      </w:r>
      <w:r>
        <w:rPr>
          <w:rStyle w:val="15"/>
          <w:rFonts w:hint="eastAsia" w:ascii="仿宋_GB2312" w:hAnsi="仿宋_GB2312" w:eastAsia="仿宋_GB2312" w:cs="仿宋_GB2312"/>
          <w:b w:val="0"/>
          <w:bCs/>
          <w:color w:val="000000"/>
          <w:sz w:val="32"/>
          <w:szCs w:val="32"/>
          <w:lang w:val="en-US" w:eastAsia="zh-CN"/>
        </w:rPr>
        <w:t>2013404-宗教事务</w:t>
      </w:r>
      <w:r>
        <w:rPr>
          <w:rStyle w:val="15"/>
          <w:rFonts w:hint="eastAsia" w:ascii="仿宋_GB2312" w:hAnsi="仿宋_GB2312" w:eastAsia="仿宋_GB2312" w:cs="仿宋_GB2312"/>
          <w:b w:val="0"/>
          <w:bCs/>
          <w:color w:val="000000"/>
          <w:sz w:val="32"/>
          <w:szCs w:val="32"/>
        </w:rPr>
        <w:t>支出决算为</w:t>
      </w:r>
      <w:r>
        <w:rPr>
          <w:rStyle w:val="15"/>
          <w:rFonts w:hint="eastAsia" w:ascii="仿宋_GB2312" w:hAnsi="仿宋_GB2312" w:eastAsia="仿宋_GB2312" w:cs="仿宋_GB2312"/>
          <w:b w:val="0"/>
          <w:bCs/>
          <w:color w:val="000000"/>
          <w:sz w:val="32"/>
          <w:szCs w:val="32"/>
          <w:lang w:val="en-US" w:eastAsia="zh-CN"/>
        </w:rPr>
        <w:t>35.82</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lang w:eastAsia="zh-CN"/>
        </w:rPr>
        <w:t>，主要用于经堂管理站项目</w:t>
      </w:r>
      <w:r>
        <w:rPr>
          <w:rStyle w:val="15"/>
          <w:rFonts w:hint="eastAsia" w:ascii="仿宋_GB2312" w:hAnsi="仿宋_GB2312" w:eastAsia="仿宋_GB2312" w:cs="仿宋_GB2312"/>
          <w:b w:val="0"/>
          <w:bCs/>
          <w:color w:val="000000"/>
          <w:sz w:val="32"/>
          <w:szCs w:val="32"/>
          <w:lang w:val="en-US" w:eastAsia="zh-CN"/>
        </w:rPr>
        <w:t>质保金</w:t>
      </w:r>
      <w:r>
        <w:rPr>
          <w:rStyle w:val="15"/>
          <w:rFonts w:hint="eastAsia" w:ascii="仿宋_GB2312" w:hAnsi="仿宋_GB2312" w:eastAsia="仿宋_GB2312" w:cs="仿宋_GB2312"/>
          <w:b w:val="0"/>
          <w:bCs/>
          <w:color w:val="000000"/>
          <w:sz w:val="32"/>
          <w:szCs w:val="32"/>
          <w:lang w:eastAsia="zh-CN"/>
        </w:rPr>
        <w:t>0.86</w:t>
      </w:r>
      <w:r>
        <w:rPr>
          <w:rStyle w:val="15"/>
          <w:rFonts w:hint="eastAsia" w:ascii="仿宋_GB2312" w:hAnsi="仿宋_GB2312" w:eastAsia="仿宋_GB2312" w:cs="仿宋_GB2312"/>
          <w:b w:val="0"/>
          <w:bCs/>
          <w:color w:val="000000"/>
          <w:sz w:val="32"/>
          <w:szCs w:val="32"/>
          <w:lang w:val="en-US" w:eastAsia="zh-CN"/>
        </w:rPr>
        <w:t>万元、领导联系寺庙和僧尼慰问5.11万元、宗教界代表人士培训29.85万元</w:t>
      </w:r>
      <w:r>
        <w:rPr>
          <w:rStyle w:val="15"/>
          <w:rFonts w:hint="eastAsia" w:ascii="仿宋_GB2312" w:hAnsi="仿宋_GB2312" w:eastAsia="仿宋_GB2312" w:cs="仿宋_GB2312"/>
          <w:b w:val="0"/>
          <w:bCs/>
          <w:color w:val="000000"/>
          <w:sz w:val="32"/>
          <w:szCs w:val="32"/>
          <w:lang w:eastAsia="zh-CN"/>
        </w:rPr>
        <w:t>。</w:t>
      </w:r>
    </w:p>
    <w:p>
      <w:pPr>
        <w:numPr>
          <w:ilvl w:val="0"/>
          <w:numId w:val="3"/>
        </w:numPr>
        <w:spacing w:line="600" w:lineRule="exact"/>
        <w:ind w:left="0" w:leftChars="0" w:firstLine="643" w:firstLineChars="200"/>
        <w:rPr>
          <w:rFonts w:hint="eastAsia" w:ascii="仿宋_GB2312" w:hAnsi="仿宋_GB2312" w:eastAsia="仿宋_GB2312" w:cs="仿宋_GB2312"/>
          <w:b/>
          <w:color w:val="000000"/>
          <w:sz w:val="32"/>
          <w:szCs w:val="32"/>
        </w:rPr>
      </w:pPr>
      <w:r>
        <w:rPr>
          <w:rStyle w:val="15"/>
          <w:rFonts w:hint="eastAsia" w:ascii="仿宋_GB2312" w:hAnsi="仿宋_GB2312" w:eastAsia="仿宋_GB2312" w:cs="仿宋_GB2312"/>
          <w:bCs/>
          <w:color w:val="000000"/>
          <w:sz w:val="32"/>
          <w:szCs w:val="32"/>
        </w:rPr>
        <w:t>社会保障和就业:</w:t>
      </w:r>
      <w:r>
        <w:rPr>
          <w:rStyle w:val="15"/>
          <w:rFonts w:hint="eastAsia" w:ascii="仿宋_GB2312" w:hAnsi="仿宋_GB2312" w:eastAsia="仿宋_GB2312" w:cs="仿宋_GB2312"/>
          <w:b w:val="0"/>
          <w:bCs/>
          <w:color w:val="000000"/>
          <w:sz w:val="32"/>
          <w:szCs w:val="32"/>
        </w:rPr>
        <w:t xml:space="preserve"> 2080505</w:t>
      </w:r>
      <w:r>
        <w:rPr>
          <w:rStyle w:val="15"/>
          <w:rFonts w:hint="eastAsia" w:ascii="仿宋_GB2312" w:hAnsi="仿宋_GB2312" w:eastAsia="仿宋_GB2312" w:cs="仿宋_GB2312"/>
          <w:b w:val="0"/>
          <w:bCs/>
          <w:color w:val="000000"/>
          <w:sz w:val="32"/>
          <w:szCs w:val="32"/>
          <w:lang w:val="en-US" w:eastAsia="zh-CN"/>
        </w:rPr>
        <w:t>-</w:t>
      </w:r>
      <w:r>
        <w:rPr>
          <w:rStyle w:val="15"/>
          <w:rFonts w:hint="eastAsia" w:ascii="仿宋_GB2312" w:hAnsi="仿宋_GB2312" w:eastAsia="仿宋_GB2312" w:cs="仿宋_GB2312"/>
          <w:b w:val="0"/>
          <w:bCs/>
          <w:color w:val="000000"/>
          <w:sz w:val="32"/>
          <w:szCs w:val="32"/>
        </w:rPr>
        <w:t>机关事业单位基本养老保险缴费支出决算为</w:t>
      </w:r>
      <w:r>
        <w:rPr>
          <w:rStyle w:val="15"/>
          <w:rFonts w:hint="eastAsia" w:ascii="仿宋_GB2312" w:hAnsi="仿宋_GB2312" w:eastAsia="仿宋_GB2312" w:cs="仿宋_GB2312"/>
          <w:b w:val="0"/>
          <w:bCs/>
          <w:color w:val="000000"/>
          <w:sz w:val="32"/>
          <w:szCs w:val="32"/>
          <w:lang w:val="en-US" w:eastAsia="zh-CN"/>
        </w:rPr>
        <w:t>43.94</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lang w:eastAsia="zh-CN"/>
        </w:rPr>
        <w:t>全部用于职工缴纳养老保险单位部分；2080506</w:t>
      </w:r>
      <w:r>
        <w:rPr>
          <w:rStyle w:val="15"/>
          <w:rFonts w:hint="eastAsia" w:ascii="仿宋_GB2312" w:hAnsi="仿宋_GB2312" w:eastAsia="仿宋_GB2312" w:cs="仿宋_GB2312"/>
          <w:b w:val="0"/>
          <w:bCs/>
          <w:color w:val="000000"/>
          <w:sz w:val="32"/>
          <w:szCs w:val="32"/>
          <w:lang w:val="en-US" w:eastAsia="zh-CN"/>
        </w:rPr>
        <w:t>-</w:t>
      </w:r>
      <w:r>
        <w:rPr>
          <w:rStyle w:val="15"/>
          <w:rFonts w:hint="eastAsia" w:ascii="仿宋_GB2312" w:hAnsi="仿宋_GB2312" w:eastAsia="仿宋_GB2312" w:cs="仿宋_GB2312"/>
          <w:b w:val="0"/>
          <w:bCs/>
          <w:color w:val="000000"/>
          <w:sz w:val="32"/>
          <w:szCs w:val="32"/>
          <w:lang w:eastAsia="zh-CN"/>
        </w:rPr>
        <w:t>机关事业单位职业年金缴费支出</w:t>
      </w:r>
      <w:r>
        <w:rPr>
          <w:rStyle w:val="15"/>
          <w:rFonts w:hint="eastAsia" w:ascii="仿宋_GB2312" w:hAnsi="仿宋_GB2312" w:eastAsia="仿宋_GB2312" w:cs="仿宋_GB2312"/>
          <w:b w:val="0"/>
          <w:bCs/>
          <w:color w:val="000000"/>
          <w:sz w:val="32"/>
          <w:szCs w:val="32"/>
        </w:rPr>
        <w:t>决算为</w:t>
      </w:r>
      <w:r>
        <w:rPr>
          <w:rStyle w:val="15"/>
          <w:rFonts w:hint="eastAsia" w:ascii="仿宋_GB2312" w:hAnsi="仿宋_GB2312" w:eastAsia="仿宋_GB2312" w:cs="仿宋_GB2312"/>
          <w:b w:val="0"/>
          <w:bCs/>
          <w:color w:val="000000"/>
          <w:sz w:val="32"/>
          <w:szCs w:val="32"/>
          <w:lang w:val="en-US" w:eastAsia="zh-CN"/>
        </w:rPr>
        <w:t>21.97</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lang w:eastAsia="zh-CN"/>
        </w:rPr>
        <w:t>全部用于职工缴纳职业年金单位部分。</w:t>
      </w:r>
    </w:p>
    <w:p>
      <w:pPr>
        <w:numPr>
          <w:ilvl w:val="0"/>
          <w:numId w:val="3"/>
        </w:numPr>
        <w:spacing w:line="600" w:lineRule="exact"/>
        <w:ind w:left="0" w:leftChars="0" w:firstLine="643" w:firstLineChars="200"/>
        <w:rPr>
          <w:rFonts w:hint="eastAsia" w:ascii="仿宋_GB2312" w:hAnsi="仿宋_GB2312" w:eastAsia="仿宋_GB2312" w:cs="仿宋_GB2312"/>
          <w:b/>
          <w:color w:val="000000"/>
          <w:sz w:val="32"/>
          <w:szCs w:val="32"/>
          <w:lang w:val="en-US"/>
        </w:rPr>
      </w:pPr>
      <w:r>
        <w:rPr>
          <w:rFonts w:hint="eastAsia" w:ascii="仿宋_GB2312" w:hAnsi="仿宋_GB2312" w:eastAsia="仿宋_GB2312" w:cs="仿宋_GB2312"/>
          <w:b/>
          <w:bCs/>
          <w:color w:val="000000" w:themeColor="text1"/>
          <w:sz w:val="32"/>
          <w:szCs w:val="32"/>
          <w14:textFill>
            <w14:solidFill>
              <w14:schemeClr w14:val="tx1"/>
            </w14:solidFill>
          </w14:textFill>
        </w:rPr>
        <w:t>卫生健康</w:t>
      </w:r>
      <w:r>
        <w:rPr>
          <w:rStyle w:val="15"/>
          <w:rFonts w:hint="eastAsia" w:ascii="仿宋_GB2312" w:hAnsi="仿宋_GB2312" w:eastAsia="仿宋_GB2312" w:cs="仿宋_GB2312"/>
          <w:bCs/>
          <w:color w:val="000000"/>
          <w:sz w:val="32"/>
          <w:szCs w:val="32"/>
        </w:rPr>
        <w:t>:</w:t>
      </w:r>
      <w:r>
        <w:rPr>
          <w:rStyle w:val="15"/>
          <w:rFonts w:hint="eastAsia" w:ascii="仿宋_GB2312" w:hAnsi="仿宋_GB2312" w:eastAsia="仿宋_GB2312" w:cs="仿宋_GB2312"/>
          <w:b w:val="0"/>
          <w:bCs/>
          <w:color w:val="000000"/>
          <w:sz w:val="32"/>
          <w:szCs w:val="32"/>
          <w:lang w:eastAsia="zh-CN"/>
        </w:rPr>
        <w:t>21011</w:t>
      </w:r>
      <w:r>
        <w:rPr>
          <w:rStyle w:val="15"/>
          <w:rFonts w:hint="eastAsia" w:ascii="仿宋_GB2312" w:hAnsi="仿宋_GB2312" w:eastAsia="仿宋_GB2312" w:cs="仿宋_GB2312"/>
          <w:b w:val="0"/>
          <w:bCs/>
          <w:color w:val="000000"/>
          <w:sz w:val="32"/>
          <w:szCs w:val="32"/>
          <w:lang w:val="en-US" w:eastAsia="zh-CN"/>
        </w:rPr>
        <w:t>01-</w:t>
      </w:r>
      <w:r>
        <w:rPr>
          <w:rStyle w:val="15"/>
          <w:rFonts w:hint="eastAsia" w:ascii="仿宋_GB2312" w:hAnsi="仿宋_GB2312" w:eastAsia="仿宋_GB2312" w:cs="仿宋_GB2312"/>
          <w:b w:val="0"/>
          <w:bCs/>
          <w:color w:val="000000"/>
          <w:sz w:val="32"/>
          <w:szCs w:val="32"/>
          <w:lang w:eastAsia="zh-CN"/>
        </w:rPr>
        <w:t>行政单位医疗支出</w:t>
      </w:r>
      <w:r>
        <w:rPr>
          <w:rStyle w:val="15"/>
          <w:rFonts w:hint="eastAsia" w:ascii="仿宋_GB2312" w:hAnsi="仿宋_GB2312" w:eastAsia="仿宋_GB2312" w:cs="仿宋_GB2312"/>
          <w:b w:val="0"/>
          <w:bCs/>
          <w:color w:val="000000"/>
          <w:sz w:val="32"/>
          <w:szCs w:val="32"/>
        </w:rPr>
        <w:t>决算为</w:t>
      </w:r>
      <w:r>
        <w:rPr>
          <w:rStyle w:val="15"/>
          <w:rFonts w:hint="eastAsia" w:ascii="仿宋_GB2312" w:hAnsi="仿宋_GB2312" w:eastAsia="仿宋_GB2312" w:cs="仿宋_GB2312"/>
          <w:b w:val="0"/>
          <w:bCs/>
          <w:color w:val="000000"/>
          <w:sz w:val="32"/>
          <w:szCs w:val="32"/>
          <w:lang w:val="en-US" w:eastAsia="zh-CN"/>
        </w:rPr>
        <w:t>16.85</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lang w:eastAsia="zh-CN"/>
        </w:rPr>
        <w:t>，全部用于</w:t>
      </w:r>
      <w:r>
        <w:rPr>
          <w:rStyle w:val="15"/>
          <w:rFonts w:hint="eastAsia" w:ascii="仿宋_GB2312" w:hAnsi="仿宋_GB2312" w:eastAsia="仿宋_GB2312" w:cs="仿宋_GB2312"/>
          <w:b w:val="0"/>
          <w:bCs/>
          <w:color w:val="000000"/>
          <w:sz w:val="32"/>
          <w:szCs w:val="32"/>
          <w:lang w:val="en-US" w:eastAsia="zh-CN"/>
        </w:rPr>
        <w:t>行政人员</w:t>
      </w:r>
      <w:r>
        <w:rPr>
          <w:rStyle w:val="15"/>
          <w:rFonts w:hint="eastAsia" w:ascii="仿宋_GB2312" w:hAnsi="仿宋_GB2312" w:eastAsia="仿宋_GB2312" w:cs="仿宋_GB2312"/>
          <w:b w:val="0"/>
          <w:bCs/>
          <w:color w:val="000000"/>
          <w:sz w:val="32"/>
          <w:szCs w:val="32"/>
          <w:lang w:eastAsia="zh-CN"/>
        </w:rPr>
        <w:t>缴纳医疗保险</w:t>
      </w:r>
      <w:r>
        <w:rPr>
          <w:rStyle w:val="15"/>
          <w:rFonts w:hint="eastAsia" w:ascii="仿宋_GB2312" w:hAnsi="仿宋_GB2312" w:eastAsia="仿宋_GB2312" w:cs="仿宋_GB2312"/>
          <w:b w:val="0"/>
          <w:bCs/>
          <w:color w:val="000000"/>
          <w:sz w:val="32"/>
          <w:szCs w:val="32"/>
          <w:lang w:val="en-US" w:eastAsia="zh-CN"/>
        </w:rPr>
        <w:t>和公务员医疗保险</w:t>
      </w:r>
      <w:r>
        <w:rPr>
          <w:rStyle w:val="15"/>
          <w:rFonts w:hint="eastAsia" w:ascii="仿宋_GB2312" w:hAnsi="仿宋_GB2312" w:eastAsia="仿宋_GB2312" w:cs="仿宋_GB2312"/>
          <w:b w:val="0"/>
          <w:bCs/>
          <w:color w:val="000000"/>
          <w:sz w:val="32"/>
          <w:szCs w:val="32"/>
          <w:lang w:eastAsia="zh-CN"/>
        </w:rPr>
        <w:t>单位部分；21011</w:t>
      </w:r>
      <w:r>
        <w:rPr>
          <w:rStyle w:val="15"/>
          <w:rFonts w:hint="eastAsia" w:ascii="仿宋_GB2312" w:hAnsi="仿宋_GB2312" w:eastAsia="仿宋_GB2312" w:cs="仿宋_GB2312"/>
          <w:b w:val="0"/>
          <w:bCs/>
          <w:color w:val="000000"/>
          <w:sz w:val="32"/>
          <w:szCs w:val="32"/>
          <w:lang w:val="en-US" w:eastAsia="zh-CN"/>
        </w:rPr>
        <w:t>02-</w:t>
      </w:r>
      <w:r>
        <w:rPr>
          <w:rStyle w:val="15"/>
          <w:rFonts w:hint="eastAsia" w:ascii="仿宋_GB2312" w:hAnsi="仿宋_GB2312" w:eastAsia="仿宋_GB2312" w:cs="仿宋_GB2312"/>
          <w:b w:val="0"/>
          <w:bCs/>
          <w:color w:val="000000"/>
          <w:sz w:val="32"/>
          <w:szCs w:val="32"/>
          <w:lang w:eastAsia="zh-CN"/>
        </w:rPr>
        <w:t>事业单位医疗支出</w:t>
      </w:r>
      <w:r>
        <w:rPr>
          <w:rStyle w:val="15"/>
          <w:rFonts w:hint="eastAsia" w:ascii="仿宋_GB2312" w:hAnsi="仿宋_GB2312" w:eastAsia="仿宋_GB2312" w:cs="仿宋_GB2312"/>
          <w:b w:val="0"/>
          <w:bCs/>
          <w:color w:val="000000"/>
          <w:sz w:val="32"/>
          <w:szCs w:val="32"/>
        </w:rPr>
        <w:t>决算为</w:t>
      </w:r>
      <w:r>
        <w:rPr>
          <w:rStyle w:val="15"/>
          <w:rFonts w:hint="eastAsia" w:ascii="仿宋_GB2312" w:hAnsi="仿宋_GB2312" w:eastAsia="仿宋_GB2312" w:cs="仿宋_GB2312"/>
          <w:b w:val="0"/>
          <w:bCs/>
          <w:color w:val="000000"/>
          <w:sz w:val="32"/>
          <w:szCs w:val="32"/>
          <w:lang w:val="en-US" w:eastAsia="zh-CN"/>
        </w:rPr>
        <w:t>4.63</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lang w:eastAsia="zh-CN"/>
        </w:rPr>
        <w:t>，全部用于</w:t>
      </w:r>
      <w:r>
        <w:rPr>
          <w:rStyle w:val="15"/>
          <w:rFonts w:hint="eastAsia" w:ascii="仿宋_GB2312" w:hAnsi="仿宋_GB2312" w:eastAsia="仿宋_GB2312" w:cs="仿宋_GB2312"/>
          <w:b w:val="0"/>
          <w:bCs/>
          <w:color w:val="000000"/>
          <w:sz w:val="32"/>
          <w:szCs w:val="32"/>
          <w:lang w:val="en-US" w:eastAsia="zh-CN"/>
        </w:rPr>
        <w:t>事业人员</w:t>
      </w:r>
      <w:r>
        <w:rPr>
          <w:rStyle w:val="15"/>
          <w:rFonts w:hint="eastAsia" w:ascii="仿宋_GB2312" w:hAnsi="仿宋_GB2312" w:eastAsia="仿宋_GB2312" w:cs="仿宋_GB2312"/>
          <w:b w:val="0"/>
          <w:bCs/>
          <w:color w:val="000000"/>
          <w:sz w:val="32"/>
          <w:szCs w:val="32"/>
          <w:lang w:eastAsia="zh-CN"/>
        </w:rPr>
        <w:t>缴纳医疗保险</w:t>
      </w:r>
      <w:r>
        <w:rPr>
          <w:rStyle w:val="15"/>
          <w:rFonts w:hint="eastAsia" w:ascii="仿宋_GB2312" w:hAnsi="仿宋_GB2312" w:eastAsia="仿宋_GB2312" w:cs="仿宋_GB2312"/>
          <w:b w:val="0"/>
          <w:bCs/>
          <w:color w:val="000000"/>
          <w:sz w:val="32"/>
          <w:szCs w:val="32"/>
          <w:lang w:val="en-US" w:eastAsia="zh-CN"/>
        </w:rPr>
        <w:t>和公务员医疗保险</w:t>
      </w:r>
      <w:r>
        <w:rPr>
          <w:rStyle w:val="15"/>
          <w:rFonts w:hint="eastAsia" w:ascii="仿宋_GB2312" w:hAnsi="仿宋_GB2312" w:eastAsia="仿宋_GB2312" w:cs="仿宋_GB2312"/>
          <w:b w:val="0"/>
          <w:bCs/>
          <w:color w:val="000000"/>
          <w:sz w:val="32"/>
          <w:szCs w:val="32"/>
          <w:lang w:eastAsia="zh-CN"/>
        </w:rPr>
        <w:t>单位部分；21011</w:t>
      </w:r>
      <w:r>
        <w:rPr>
          <w:rStyle w:val="15"/>
          <w:rFonts w:hint="eastAsia" w:ascii="仿宋_GB2312" w:hAnsi="仿宋_GB2312" w:eastAsia="仿宋_GB2312" w:cs="仿宋_GB2312"/>
          <w:b w:val="0"/>
          <w:bCs/>
          <w:color w:val="000000"/>
          <w:sz w:val="32"/>
          <w:szCs w:val="32"/>
          <w:lang w:val="en-US" w:eastAsia="zh-CN"/>
        </w:rPr>
        <w:t>03-</w:t>
      </w:r>
      <w:r>
        <w:rPr>
          <w:rStyle w:val="15"/>
          <w:rFonts w:hint="eastAsia" w:ascii="仿宋_GB2312" w:hAnsi="仿宋_GB2312" w:eastAsia="仿宋_GB2312" w:cs="仿宋_GB2312"/>
          <w:b w:val="0"/>
          <w:bCs/>
          <w:color w:val="000000"/>
          <w:sz w:val="32"/>
          <w:szCs w:val="32"/>
          <w:lang w:eastAsia="zh-CN"/>
        </w:rPr>
        <w:t>公务员医疗补助支出</w:t>
      </w:r>
      <w:r>
        <w:rPr>
          <w:rStyle w:val="15"/>
          <w:rFonts w:hint="eastAsia" w:ascii="仿宋_GB2312" w:hAnsi="仿宋_GB2312" w:eastAsia="仿宋_GB2312" w:cs="仿宋_GB2312"/>
          <w:b w:val="0"/>
          <w:bCs/>
          <w:color w:val="000000"/>
          <w:sz w:val="32"/>
          <w:szCs w:val="32"/>
        </w:rPr>
        <w:t>决算为</w:t>
      </w:r>
      <w:r>
        <w:rPr>
          <w:rStyle w:val="15"/>
          <w:rFonts w:hint="eastAsia" w:ascii="仿宋_GB2312" w:hAnsi="仿宋_GB2312" w:eastAsia="仿宋_GB2312" w:cs="仿宋_GB2312"/>
          <w:b w:val="0"/>
          <w:bCs/>
          <w:color w:val="000000"/>
          <w:sz w:val="32"/>
          <w:szCs w:val="32"/>
          <w:lang w:val="en-US" w:eastAsia="zh-CN"/>
        </w:rPr>
        <w:t>5.09</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lang w:eastAsia="zh-CN"/>
        </w:rPr>
        <w:t>，全部用于</w:t>
      </w:r>
      <w:r>
        <w:rPr>
          <w:rStyle w:val="15"/>
          <w:rFonts w:hint="eastAsia" w:ascii="仿宋_GB2312" w:hAnsi="仿宋_GB2312" w:eastAsia="仿宋_GB2312" w:cs="仿宋_GB2312"/>
          <w:b w:val="0"/>
          <w:bCs/>
          <w:color w:val="000000"/>
          <w:sz w:val="32"/>
          <w:szCs w:val="32"/>
          <w:lang w:val="en-US" w:eastAsia="zh-CN"/>
        </w:rPr>
        <w:t>行政人员</w:t>
      </w:r>
      <w:r>
        <w:rPr>
          <w:rStyle w:val="15"/>
          <w:rFonts w:hint="eastAsia" w:ascii="仿宋_GB2312" w:hAnsi="仿宋_GB2312" w:eastAsia="仿宋_GB2312" w:cs="仿宋_GB2312"/>
          <w:b w:val="0"/>
          <w:bCs/>
          <w:color w:val="000000"/>
          <w:sz w:val="32"/>
          <w:szCs w:val="32"/>
          <w:lang w:eastAsia="zh-CN"/>
        </w:rPr>
        <w:t>缴纳</w:t>
      </w:r>
      <w:r>
        <w:rPr>
          <w:rStyle w:val="15"/>
          <w:rFonts w:hint="eastAsia" w:ascii="仿宋_GB2312" w:hAnsi="仿宋_GB2312" w:eastAsia="仿宋_GB2312" w:cs="仿宋_GB2312"/>
          <w:b w:val="0"/>
          <w:bCs/>
          <w:color w:val="000000"/>
          <w:sz w:val="32"/>
          <w:szCs w:val="32"/>
          <w:lang w:val="en-US" w:eastAsia="zh-CN"/>
        </w:rPr>
        <w:t>公务员医疗保险</w:t>
      </w:r>
      <w:r>
        <w:rPr>
          <w:rStyle w:val="15"/>
          <w:rFonts w:hint="eastAsia" w:ascii="仿宋_GB2312" w:hAnsi="仿宋_GB2312" w:eastAsia="仿宋_GB2312" w:cs="仿宋_GB2312"/>
          <w:b w:val="0"/>
          <w:bCs/>
          <w:color w:val="000000"/>
          <w:sz w:val="32"/>
          <w:szCs w:val="32"/>
          <w:lang w:eastAsia="zh-CN"/>
        </w:rPr>
        <w:t>单位部分；210</w:t>
      </w:r>
      <w:r>
        <w:rPr>
          <w:rStyle w:val="15"/>
          <w:rFonts w:hint="eastAsia" w:ascii="仿宋_GB2312" w:hAnsi="仿宋_GB2312" w:eastAsia="仿宋_GB2312" w:cs="仿宋_GB2312"/>
          <w:b w:val="0"/>
          <w:bCs/>
          <w:color w:val="000000"/>
          <w:sz w:val="32"/>
          <w:szCs w:val="32"/>
          <w:lang w:val="en-US" w:eastAsia="zh-CN"/>
        </w:rPr>
        <w:t>1199-</w:t>
      </w:r>
      <w:r>
        <w:rPr>
          <w:rStyle w:val="15"/>
          <w:rFonts w:hint="eastAsia" w:ascii="仿宋_GB2312" w:hAnsi="仿宋_GB2312" w:eastAsia="仿宋_GB2312" w:cs="仿宋_GB2312"/>
          <w:b w:val="0"/>
          <w:bCs/>
          <w:color w:val="000000"/>
          <w:sz w:val="32"/>
          <w:szCs w:val="32"/>
          <w:lang w:eastAsia="zh-CN"/>
        </w:rPr>
        <w:t>其他行政事业单位医疗支出</w:t>
      </w:r>
      <w:r>
        <w:rPr>
          <w:rStyle w:val="15"/>
          <w:rFonts w:hint="eastAsia" w:ascii="仿宋_GB2312" w:hAnsi="仿宋_GB2312" w:eastAsia="仿宋_GB2312" w:cs="仿宋_GB2312"/>
          <w:b w:val="0"/>
          <w:bCs/>
          <w:color w:val="000000"/>
          <w:sz w:val="32"/>
          <w:szCs w:val="32"/>
        </w:rPr>
        <w:t>决算为</w:t>
      </w:r>
      <w:r>
        <w:rPr>
          <w:rStyle w:val="15"/>
          <w:rFonts w:hint="eastAsia" w:ascii="仿宋_GB2312" w:hAnsi="仿宋_GB2312" w:eastAsia="仿宋_GB2312" w:cs="仿宋_GB2312"/>
          <w:b w:val="0"/>
          <w:bCs/>
          <w:color w:val="000000"/>
          <w:sz w:val="32"/>
          <w:szCs w:val="32"/>
          <w:lang w:val="en-US" w:eastAsia="zh-CN"/>
        </w:rPr>
        <w:t>1.01</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lang w:eastAsia="zh-CN"/>
        </w:rPr>
        <w:t>，全部用于</w:t>
      </w:r>
      <w:r>
        <w:rPr>
          <w:rStyle w:val="15"/>
          <w:rFonts w:hint="eastAsia" w:ascii="仿宋_GB2312" w:hAnsi="仿宋_GB2312" w:eastAsia="仿宋_GB2312" w:cs="仿宋_GB2312"/>
          <w:b w:val="0"/>
          <w:bCs/>
          <w:color w:val="000000"/>
          <w:sz w:val="32"/>
          <w:szCs w:val="32"/>
          <w:lang w:val="en-US" w:eastAsia="zh-CN"/>
        </w:rPr>
        <w:t>行政人员和失业人员</w:t>
      </w:r>
      <w:r>
        <w:rPr>
          <w:rStyle w:val="15"/>
          <w:rFonts w:hint="eastAsia" w:ascii="仿宋_GB2312" w:hAnsi="仿宋_GB2312" w:eastAsia="仿宋_GB2312" w:cs="仿宋_GB2312"/>
          <w:b w:val="0"/>
          <w:bCs/>
          <w:color w:val="000000"/>
          <w:sz w:val="32"/>
          <w:szCs w:val="32"/>
          <w:lang w:eastAsia="zh-CN"/>
        </w:rPr>
        <w:t>缴纳</w:t>
      </w:r>
      <w:r>
        <w:rPr>
          <w:rStyle w:val="15"/>
          <w:rFonts w:hint="eastAsia" w:ascii="仿宋_GB2312" w:hAnsi="仿宋_GB2312" w:eastAsia="仿宋_GB2312" w:cs="仿宋_GB2312"/>
          <w:b w:val="0"/>
          <w:bCs/>
          <w:color w:val="000000"/>
          <w:sz w:val="32"/>
          <w:szCs w:val="32"/>
          <w:lang w:val="en-US" w:eastAsia="zh-CN"/>
        </w:rPr>
        <w:t>公务员医疗补助保险</w:t>
      </w:r>
      <w:r>
        <w:rPr>
          <w:rStyle w:val="15"/>
          <w:rFonts w:hint="eastAsia" w:ascii="仿宋_GB2312" w:hAnsi="仿宋_GB2312" w:eastAsia="仿宋_GB2312" w:cs="仿宋_GB2312"/>
          <w:b w:val="0"/>
          <w:bCs/>
          <w:color w:val="000000"/>
          <w:sz w:val="32"/>
          <w:szCs w:val="32"/>
          <w:lang w:eastAsia="zh-CN"/>
        </w:rPr>
        <w:t>单位部分。</w:t>
      </w:r>
    </w:p>
    <w:p>
      <w:pPr>
        <w:numPr>
          <w:ilvl w:val="0"/>
          <w:numId w:val="3"/>
        </w:numPr>
        <w:tabs>
          <w:tab w:val="clear" w:pos="312"/>
        </w:tabs>
        <w:spacing w:line="600" w:lineRule="exact"/>
        <w:ind w:left="0" w:leftChars="0" w:firstLine="643" w:firstLineChars="200"/>
        <w:rPr>
          <w:rStyle w:val="15"/>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color w:val="000000"/>
          <w:sz w:val="32"/>
          <w:szCs w:val="32"/>
          <w:lang w:val="en-US" w:eastAsia="zh-CN"/>
        </w:rPr>
        <w:t>住房保障支出：</w:t>
      </w:r>
      <w:r>
        <w:rPr>
          <w:rStyle w:val="15"/>
          <w:rFonts w:hint="eastAsia" w:ascii="仿宋_GB2312" w:hAnsi="仿宋_GB2312" w:eastAsia="仿宋_GB2312" w:cs="仿宋_GB2312"/>
          <w:b w:val="0"/>
          <w:bCs/>
          <w:color w:val="000000"/>
          <w:sz w:val="32"/>
          <w:szCs w:val="32"/>
          <w:lang w:val="en-US" w:eastAsia="zh-CN"/>
        </w:rPr>
        <w:t>2210201-住房公积金</w:t>
      </w:r>
      <w:r>
        <w:rPr>
          <w:rStyle w:val="15"/>
          <w:rFonts w:hint="eastAsia" w:ascii="仿宋_GB2312" w:hAnsi="仿宋_GB2312" w:eastAsia="仿宋_GB2312" w:cs="仿宋_GB2312"/>
          <w:b w:val="0"/>
          <w:bCs/>
          <w:color w:val="000000"/>
          <w:sz w:val="32"/>
          <w:szCs w:val="32"/>
          <w:lang w:eastAsia="zh-CN"/>
        </w:rPr>
        <w:t>支出决</w:t>
      </w:r>
      <w:r>
        <w:rPr>
          <w:rStyle w:val="15"/>
          <w:rFonts w:hint="eastAsia" w:ascii="仿宋_GB2312" w:hAnsi="仿宋_GB2312" w:eastAsia="仿宋_GB2312" w:cs="仿宋_GB2312"/>
          <w:b w:val="0"/>
          <w:bCs/>
          <w:color w:val="000000"/>
          <w:sz w:val="32"/>
          <w:szCs w:val="32"/>
        </w:rPr>
        <w:t>算为</w:t>
      </w:r>
      <w:r>
        <w:rPr>
          <w:rStyle w:val="15"/>
          <w:rFonts w:hint="eastAsia" w:ascii="仿宋_GB2312" w:hAnsi="仿宋_GB2312" w:eastAsia="仿宋_GB2312" w:cs="仿宋_GB2312"/>
          <w:b w:val="0"/>
          <w:bCs/>
          <w:color w:val="000000"/>
          <w:sz w:val="32"/>
          <w:szCs w:val="32"/>
          <w:lang w:val="en-US" w:eastAsia="zh-CN"/>
        </w:rPr>
        <w:t>36.57</w:t>
      </w:r>
      <w:r>
        <w:rPr>
          <w:rStyle w:val="15"/>
          <w:rFonts w:hint="eastAsia" w:ascii="仿宋_GB2312" w:hAnsi="仿宋_GB2312" w:eastAsia="仿宋_GB2312" w:cs="仿宋_GB2312"/>
          <w:b w:val="0"/>
          <w:bCs/>
          <w:color w:val="000000"/>
          <w:sz w:val="32"/>
          <w:szCs w:val="32"/>
        </w:rPr>
        <w:t>万元，完成预算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Style w:val="15"/>
          <w:rFonts w:hint="eastAsia" w:ascii="仿宋_GB2312" w:hAnsi="仿宋_GB2312" w:eastAsia="仿宋_GB2312" w:cs="仿宋_GB2312"/>
          <w:b w:val="0"/>
          <w:bCs/>
          <w:color w:val="000000"/>
          <w:sz w:val="32"/>
          <w:szCs w:val="32"/>
          <w:lang w:eastAsia="zh-CN"/>
        </w:rPr>
        <w:t>，全部用于职工缴纳住房公积金单位部分。</w:t>
      </w:r>
    </w:p>
    <w:p>
      <w:pPr>
        <w:pStyle w:val="7"/>
        <w:numPr>
          <w:ilvl w:val="0"/>
          <w:numId w:val="1"/>
        </w:numPr>
        <w:ind w:left="0" w:leftChars="0" w:firstLine="0" w:firstLineChars="0"/>
        <w:rPr>
          <w:rFonts w:hint="eastAsia" w:ascii="仿宋_GB2312" w:hAnsi="仿宋_GB2312" w:eastAsia="仿宋_GB2312" w:cs="仿宋_GB2312"/>
          <w:b/>
          <w:bCs/>
          <w:sz w:val="32"/>
          <w:szCs w:val="32"/>
          <w:shd w:val="clear" w:color="auto" w:fill="FFFFFF"/>
        </w:rPr>
      </w:pPr>
      <w:bookmarkStart w:id="12" w:name="_Toc2180"/>
      <w:r>
        <w:rPr>
          <w:rFonts w:hint="eastAsia" w:ascii="仿宋_GB2312" w:hAnsi="仿宋_GB2312" w:eastAsia="仿宋_GB2312" w:cs="仿宋_GB2312"/>
          <w:b/>
          <w:bCs/>
          <w:sz w:val="32"/>
          <w:szCs w:val="32"/>
          <w:shd w:val="clear" w:color="auto" w:fill="FFFFFF"/>
        </w:rPr>
        <w:t>一般公共预算财政拨款基本支出决算情况说明</w:t>
      </w:r>
      <w:bookmarkEnd w:id="12"/>
    </w:p>
    <w:p>
      <w:pPr>
        <w:spacing w:line="600" w:lineRule="exact"/>
        <w:ind w:firstLine="643" w:firstLineChars="200"/>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lang w:val="en-US" w:eastAsia="zh-CN"/>
        </w:rPr>
        <w:t>2024</w:t>
      </w:r>
      <w:r>
        <w:rPr>
          <w:rFonts w:hint="eastAsia" w:ascii="仿宋_GB2312" w:hAnsi="仿宋_GB2312" w:eastAsia="仿宋_GB2312" w:cs="仿宋_GB2312"/>
          <w:b/>
          <w:bCs/>
          <w:color w:val="000000"/>
          <w:sz w:val="32"/>
          <w:szCs w:val="32"/>
        </w:rPr>
        <w:t>年一般公共预算财政拨款基本支出</w:t>
      </w:r>
      <w:r>
        <w:rPr>
          <w:rFonts w:hint="eastAsia" w:ascii="仿宋_GB2312" w:hAnsi="仿宋_GB2312" w:eastAsia="仿宋_GB2312" w:cs="仿宋_GB2312"/>
          <w:b/>
          <w:bCs/>
          <w:color w:val="000000"/>
          <w:sz w:val="32"/>
          <w:szCs w:val="32"/>
          <w:lang w:val="en-US" w:eastAsia="zh-CN"/>
        </w:rPr>
        <w:t>512.63</w:t>
      </w:r>
      <w:r>
        <w:rPr>
          <w:rFonts w:hint="eastAsia" w:ascii="仿宋_GB2312" w:hAnsi="仿宋_GB2312" w:eastAsia="仿宋_GB2312" w:cs="仿宋_GB2312"/>
          <w:b/>
          <w:bCs/>
          <w:color w:val="000000"/>
          <w:sz w:val="32"/>
          <w:szCs w:val="32"/>
        </w:rPr>
        <w:t>万元，其中：</w:t>
      </w:r>
    </w:p>
    <w:p>
      <w:pPr>
        <w:spacing w:line="600" w:lineRule="exact"/>
        <w:ind w:firstLine="645"/>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rPr>
        <w:t>人员经费</w:t>
      </w:r>
      <w:r>
        <w:rPr>
          <w:rFonts w:hint="eastAsia" w:ascii="仿宋_GB2312" w:hAnsi="仿宋_GB2312" w:eastAsia="仿宋_GB2312" w:cs="仿宋_GB2312"/>
          <w:b/>
          <w:bCs/>
          <w:color w:val="000000"/>
          <w:sz w:val="32"/>
          <w:szCs w:val="32"/>
          <w:lang w:val="en-US" w:eastAsia="zh-CN"/>
        </w:rPr>
        <w:t>465.39</w:t>
      </w:r>
      <w:r>
        <w:rPr>
          <w:rFonts w:hint="eastAsia" w:ascii="仿宋_GB2312" w:hAnsi="仿宋_GB2312" w:eastAsia="仿宋_GB2312" w:cs="仿宋_GB2312"/>
          <w:b/>
          <w:bCs/>
          <w:color w:val="000000"/>
          <w:sz w:val="32"/>
          <w:szCs w:val="32"/>
        </w:rPr>
        <w:t>万元，</w:t>
      </w:r>
      <w:r>
        <w:rPr>
          <w:rFonts w:hint="eastAsia" w:ascii="仿宋_GB2312" w:hAnsi="仿宋_GB2312" w:eastAsia="仿宋_GB2312" w:cs="仿宋_GB2312"/>
          <w:color w:val="000000"/>
          <w:sz w:val="32"/>
          <w:szCs w:val="32"/>
        </w:rPr>
        <w:t>包括：基本工资</w:t>
      </w:r>
      <w:r>
        <w:rPr>
          <w:rFonts w:hint="eastAsia" w:ascii="仿宋_GB2312" w:hAnsi="仿宋_GB2312" w:eastAsia="仿宋_GB2312" w:cs="仿宋_GB2312"/>
          <w:color w:val="000000"/>
          <w:sz w:val="32"/>
          <w:szCs w:val="32"/>
          <w:lang w:val="en-US" w:eastAsia="zh-CN"/>
        </w:rPr>
        <w:t>80.34</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、津贴补贴</w:t>
      </w:r>
      <w:r>
        <w:rPr>
          <w:rFonts w:hint="eastAsia" w:ascii="仿宋_GB2312" w:hAnsi="仿宋_GB2312" w:eastAsia="仿宋_GB2312" w:cs="仿宋_GB2312"/>
          <w:color w:val="000000"/>
          <w:sz w:val="32"/>
          <w:szCs w:val="32"/>
          <w:lang w:val="en-US" w:eastAsia="zh-CN"/>
        </w:rPr>
        <w:t>121.04</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、奖金</w:t>
      </w:r>
      <w:r>
        <w:rPr>
          <w:rFonts w:hint="eastAsia" w:ascii="仿宋_GB2312" w:hAnsi="仿宋_GB2312" w:eastAsia="仿宋_GB2312" w:cs="仿宋_GB2312"/>
          <w:color w:val="000000"/>
          <w:sz w:val="32"/>
          <w:szCs w:val="32"/>
          <w:lang w:val="en-US" w:eastAsia="zh-CN"/>
        </w:rPr>
        <w:t>107.16</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绩效工资</w:t>
      </w:r>
      <w:r>
        <w:rPr>
          <w:rFonts w:hint="eastAsia" w:ascii="仿宋_GB2312" w:hAnsi="仿宋_GB2312" w:eastAsia="仿宋_GB2312" w:cs="仿宋_GB2312"/>
          <w:color w:val="000000"/>
          <w:sz w:val="32"/>
          <w:szCs w:val="32"/>
          <w:lang w:val="en-US" w:eastAsia="zh-CN"/>
        </w:rPr>
        <w:t>14.77万元、</w:t>
      </w:r>
      <w:r>
        <w:rPr>
          <w:rFonts w:hint="eastAsia" w:ascii="仿宋_GB2312" w:hAnsi="仿宋_GB2312" w:eastAsia="仿宋_GB2312" w:cs="仿宋_GB2312"/>
          <w:color w:val="000000"/>
          <w:sz w:val="32"/>
          <w:szCs w:val="32"/>
        </w:rPr>
        <w:t>机关事业单位基本养老保险缴费</w:t>
      </w:r>
      <w:r>
        <w:rPr>
          <w:rFonts w:hint="eastAsia" w:ascii="仿宋_GB2312" w:hAnsi="仿宋_GB2312" w:eastAsia="仿宋_GB2312" w:cs="仿宋_GB2312"/>
          <w:color w:val="000000"/>
          <w:sz w:val="32"/>
          <w:szCs w:val="32"/>
          <w:lang w:val="en-US" w:eastAsia="zh-CN"/>
        </w:rPr>
        <w:t>43.94</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、职业年金缴费</w:t>
      </w:r>
      <w:r>
        <w:rPr>
          <w:rFonts w:hint="eastAsia" w:ascii="仿宋_GB2312" w:hAnsi="仿宋_GB2312" w:eastAsia="仿宋_GB2312" w:cs="仿宋_GB2312"/>
          <w:color w:val="000000"/>
          <w:sz w:val="32"/>
          <w:szCs w:val="32"/>
          <w:lang w:val="en-US" w:eastAsia="zh-CN"/>
        </w:rPr>
        <w:t>21.97</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、其他社会保障缴费</w:t>
      </w:r>
      <w:r>
        <w:rPr>
          <w:rFonts w:hint="eastAsia" w:ascii="仿宋_GB2312" w:hAnsi="仿宋_GB2312" w:eastAsia="仿宋_GB2312" w:cs="仿宋_GB2312"/>
          <w:color w:val="000000"/>
          <w:sz w:val="32"/>
          <w:szCs w:val="32"/>
          <w:lang w:val="en-US" w:eastAsia="zh-CN"/>
        </w:rPr>
        <w:t>4.28</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rPr>
        <w:t>、职工基本医疗保险缴费</w:t>
      </w:r>
      <w:r>
        <w:rPr>
          <w:rFonts w:hint="eastAsia" w:ascii="仿宋_GB2312" w:hAnsi="仿宋_GB2312" w:eastAsia="仿宋_GB2312" w:cs="仿宋_GB2312"/>
          <w:color w:val="000000"/>
          <w:sz w:val="32"/>
          <w:szCs w:val="32"/>
          <w:lang w:val="en-US" w:eastAsia="zh-CN"/>
        </w:rPr>
        <w:t>21.48</w:t>
      </w:r>
      <w:r>
        <w:rPr>
          <w:rFonts w:hint="eastAsia" w:ascii="仿宋_GB2312" w:hAnsi="仿宋_GB2312" w:eastAsia="仿宋_GB2312" w:cs="仿宋_GB2312"/>
          <w:color w:val="000000"/>
          <w:sz w:val="32"/>
          <w:szCs w:val="32"/>
          <w:lang w:eastAsia="zh-CN"/>
        </w:rPr>
        <w:t>万元、公务员医疗补助缴费</w:t>
      </w:r>
      <w:r>
        <w:rPr>
          <w:rFonts w:hint="eastAsia" w:ascii="仿宋_GB2312" w:hAnsi="仿宋_GB2312" w:eastAsia="仿宋_GB2312" w:cs="仿宋_GB2312"/>
          <w:color w:val="000000"/>
          <w:sz w:val="32"/>
          <w:szCs w:val="32"/>
          <w:lang w:val="en-US" w:eastAsia="zh-CN"/>
        </w:rPr>
        <w:t>6.10</w:t>
      </w:r>
      <w:r>
        <w:rPr>
          <w:rFonts w:hint="eastAsia" w:ascii="仿宋_GB2312" w:hAnsi="仿宋_GB2312" w:eastAsia="仿宋_GB2312" w:cs="仿宋_GB2312"/>
          <w:color w:val="000000"/>
          <w:sz w:val="32"/>
          <w:szCs w:val="32"/>
          <w:lang w:eastAsia="zh-CN"/>
        </w:rPr>
        <w:t>万元、住房公积金</w:t>
      </w:r>
      <w:r>
        <w:rPr>
          <w:rFonts w:hint="eastAsia" w:ascii="仿宋_GB2312" w:hAnsi="仿宋_GB2312" w:eastAsia="仿宋_GB2312" w:cs="仿宋_GB2312"/>
          <w:color w:val="000000"/>
          <w:sz w:val="32"/>
          <w:szCs w:val="32"/>
          <w:lang w:val="en-US" w:eastAsia="zh-CN"/>
        </w:rPr>
        <w:t>36.57</w:t>
      </w:r>
      <w:r>
        <w:rPr>
          <w:rFonts w:hint="eastAsia" w:ascii="仿宋_GB2312" w:hAnsi="仿宋_GB2312" w:eastAsia="仿宋_GB2312" w:cs="仿宋_GB2312"/>
          <w:color w:val="000000"/>
          <w:sz w:val="32"/>
          <w:szCs w:val="32"/>
          <w:lang w:eastAsia="zh-CN"/>
        </w:rPr>
        <w:t>万元、医疗费补助</w:t>
      </w:r>
      <w:r>
        <w:rPr>
          <w:rFonts w:hint="eastAsia" w:ascii="仿宋_GB2312" w:hAnsi="仿宋_GB2312" w:eastAsia="仿宋_GB2312" w:cs="仿宋_GB2312"/>
          <w:color w:val="000000"/>
          <w:sz w:val="32"/>
          <w:szCs w:val="32"/>
          <w:lang w:val="en-US" w:eastAsia="zh-CN"/>
        </w:rPr>
        <w:t>1.80万元。</w:t>
      </w:r>
    </w:p>
    <w:p>
      <w:pPr>
        <w:spacing w:line="600" w:lineRule="exact"/>
        <w:ind w:firstLine="645"/>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rPr>
        <w:t>日常公用经费</w:t>
      </w:r>
      <w:r>
        <w:rPr>
          <w:rFonts w:hint="eastAsia" w:ascii="仿宋_GB2312" w:hAnsi="仿宋_GB2312" w:eastAsia="仿宋_GB2312" w:cs="仿宋_GB2312"/>
          <w:b/>
          <w:bCs/>
          <w:color w:val="000000"/>
          <w:sz w:val="32"/>
          <w:szCs w:val="32"/>
          <w:lang w:val="en-US" w:eastAsia="zh-CN"/>
        </w:rPr>
        <w:t>47.24</w:t>
      </w:r>
      <w:r>
        <w:rPr>
          <w:rFonts w:hint="eastAsia" w:ascii="仿宋_GB2312" w:hAnsi="仿宋_GB2312" w:eastAsia="仿宋_GB2312" w:cs="仿宋_GB2312"/>
          <w:b/>
          <w:bCs/>
          <w:color w:val="000000"/>
          <w:sz w:val="32"/>
          <w:szCs w:val="32"/>
        </w:rPr>
        <w:t>万元</w:t>
      </w:r>
      <w:r>
        <w:rPr>
          <w:rFonts w:hint="eastAsia" w:ascii="仿宋_GB2312" w:hAnsi="仿宋_GB2312" w:eastAsia="仿宋_GB2312" w:cs="仿宋_GB2312"/>
          <w:color w:val="000000"/>
          <w:sz w:val="32"/>
          <w:szCs w:val="32"/>
        </w:rPr>
        <w:t>，包括：办公费</w:t>
      </w:r>
      <w:r>
        <w:rPr>
          <w:rFonts w:hint="eastAsia" w:ascii="仿宋_GB2312" w:hAnsi="仿宋_GB2312" w:eastAsia="仿宋_GB2312" w:cs="仿宋_GB2312"/>
          <w:color w:val="000000"/>
          <w:sz w:val="32"/>
          <w:szCs w:val="32"/>
          <w:lang w:val="en-US" w:eastAsia="zh-CN"/>
        </w:rPr>
        <w:t>14.62</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lang w:val="en-US" w:eastAsia="zh-CN"/>
        </w:rPr>
        <w:t>印刷费3.80万元、</w:t>
      </w:r>
      <w:r>
        <w:rPr>
          <w:rFonts w:hint="eastAsia" w:ascii="仿宋_GB2312" w:hAnsi="仿宋_GB2312" w:eastAsia="仿宋_GB2312" w:cs="仿宋_GB2312"/>
          <w:color w:val="000000"/>
          <w:sz w:val="32"/>
          <w:szCs w:val="32"/>
          <w:lang w:eastAsia="zh-CN"/>
        </w:rPr>
        <w:t>水费</w:t>
      </w:r>
      <w:r>
        <w:rPr>
          <w:rFonts w:hint="eastAsia" w:ascii="仿宋_GB2312" w:hAnsi="仿宋_GB2312" w:eastAsia="仿宋_GB2312" w:cs="仿宋_GB2312"/>
          <w:color w:val="000000"/>
          <w:sz w:val="32"/>
          <w:szCs w:val="32"/>
          <w:lang w:val="en-US" w:eastAsia="zh-CN"/>
        </w:rPr>
        <w:t>0.21万元，电费0.40万元、</w:t>
      </w:r>
      <w:r>
        <w:rPr>
          <w:rFonts w:hint="eastAsia" w:ascii="仿宋_GB2312" w:hAnsi="仿宋_GB2312" w:eastAsia="仿宋_GB2312" w:cs="仿宋_GB2312"/>
          <w:color w:val="000000"/>
          <w:sz w:val="32"/>
          <w:szCs w:val="32"/>
          <w:lang w:eastAsia="zh-CN"/>
        </w:rPr>
        <w:t>邮电费</w:t>
      </w:r>
      <w:r>
        <w:rPr>
          <w:rFonts w:hint="eastAsia" w:ascii="仿宋_GB2312" w:hAnsi="仿宋_GB2312" w:eastAsia="仿宋_GB2312" w:cs="仿宋_GB2312"/>
          <w:color w:val="000000"/>
          <w:sz w:val="32"/>
          <w:szCs w:val="32"/>
          <w:lang w:val="en-US" w:eastAsia="zh-CN"/>
        </w:rPr>
        <w:t>0.58</w:t>
      </w:r>
      <w:r>
        <w:rPr>
          <w:rFonts w:hint="eastAsia" w:ascii="仿宋_GB2312" w:hAnsi="仿宋_GB2312" w:eastAsia="仿宋_GB2312" w:cs="仿宋_GB2312"/>
          <w:color w:val="000000"/>
          <w:sz w:val="32"/>
          <w:szCs w:val="32"/>
          <w:lang w:eastAsia="zh-CN"/>
        </w:rPr>
        <w:t>万元、</w:t>
      </w:r>
      <w:r>
        <w:rPr>
          <w:rFonts w:hint="eastAsia" w:ascii="仿宋_GB2312" w:hAnsi="仿宋_GB2312" w:eastAsia="仿宋_GB2312" w:cs="仿宋_GB2312"/>
          <w:color w:val="000000"/>
          <w:sz w:val="32"/>
          <w:szCs w:val="32"/>
          <w:lang w:val="en-US" w:eastAsia="zh-CN"/>
        </w:rPr>
        <w:t>取暖费0.94万元、</w:t>
      </w:r>
      <w:r>
        <w:rPr>
          <w:rFonts w:hint="eastAsia" w:ascii="仿宋_GB2312" w:hAnsi="仿宋_GB2312" w:eastAsia="仿宋_GB2312" w:cs="仿宋_GB2312"/>
          <w:color w:val="000000"/>
          <w:sz w:val="32"/>
          <w:szCs w:val="32"/>
          <w:lang w:eastAsia="zh-CN"/>
        </w:rPr>
        <w:t>差旅费</w:t>
      </w:r>
      <w:r>
        <w:rPr>
          <w:rFonts w:hint="eastAsia" w:ascii="仿宋_GB2312" w:hAnsi="仿宋_GB2312" w:eastAsia="仿宋_GB2312" w:cs="仿宋_GB2312"/>
          <w:color w:val="000000"/>
          <w:sz w:val="32"/>
          <w:szCs w:val="32"/>
          <w:lang w:val="en-US" w:eastAsia="zh-CN"/>
        </w:rPr>
        <w:t>7.73万元</w:t>
      </w:r>
      <w:r>
        <w:rPr>
          <w:rFonts w:hint="eastAsia" w:ascii="仿宋_GB2312" w:hAnsi="仿宋_GB2312" w:eastAsia="仿宋_GB2312" w:cs="仿宋_GB2312"/>
          <w:color w:val="000000"/>
          <w:sz w:val="32"/>
          <w:szCs w:val="32"/>
          <w:lang w:eastAsia="zh-CN"/>
        </w:rPr>
        <w:t>、培训费</w:t>
      </w:r>
      <w:r>
        <w:rPr>
          <w:rFonts w:hint="eastAsia" w:ascii="仿宋_GB2312" w:hAnsi="仿宋_GB2312" w:eastAsia="仿宋_GB2312" w:cs="仿宋_GB2312"/>
          <w:color w:val="000000"/>
          <w:sz w:val="32"/>
          <w:szCs w:val="32"/>
          <w:lang w:val="en-US" w:eastAsia="zh-CN"/>
        </w:rPr>
        <w:t>1.3</w:t>
      </w:r>
      <w:r>
        <w:rPr>
          <w:rFonts w:hint="eastAsia" w:ascii="仿宋_GB2312" w:hAnsi="仿宋_GB2312" w:eastAsia="仿宋_GB2312" w:cs="仿宋_GB2312"/>
          <w:color w:val="000000"/>
          <w:sz w:val="32"/>
          <w:szCs w:val="32"/>
          <w:lang w:eastAsia="zh-CN"/>
        </w:rPr>
        <w:t>万元、公务用车运行维护费</w:t>
      </w:r>
      <w:r>
        <w:rPr>
          <w:rFonts w:hint="eastAsia" w:ascii="仿宋_GB2312" w:hAnsi="仿宋_GB2312" w:eastAsia="仿宋_GB2312" w:cs="仿宋_GB2312"/>
          <w:color w:val="000000"/>
          <w:sz w:val="32"/>
          <w:szCs w:val="32"/>
          <w:lang w:val="en-US" w:eastAsia="zh-CN"/>
        </w:rPr>
        <w:t>13.86</w:t>
      </w:r>
      <w:r>
        <w:rPr>
          <w:rFonts w:hint="eastAsia" w:ascii="仿宋_GB2312" w:hAnsi="仿宋_GB2312" w:eastAsia="仿宋_GB2312" w:cs="仿宋_GB2312"/>
          <w:color w:val="000000"/>
          <w:sz w:val="32"/>
          <w:szCs w:val="32"/>
          <w:lang w:eastAsia="zh-CN"/>
        </w:rPr>
        <w:t>万元、工会经费</w:t>
      </w:r>
      <w:r>
        <w:rPr>
          <w:rFonts w:hint="eastAsia" w:ascii="仿宋_GB2312" w:hAnsi="仿宋_GB2312" w:eastAsia="仿宋_GB2312" w:cs="仿宋_GB2312"/>
          <w:color w:val="000000"/>
          <w:sz w:val="32"/>
          <w:szCs w:val="32"/>
          <w:lang w:val="en-US" w:eastAsia="zh-CN"/>
        </w:rPr>
        <w:t>3.45万元、劳务费0.05万元、会议费0.3万元。</w:t>
      </w:r>
    </w:p>
    <w:p>
      <w:pPr>
        <w:pStyle w:val="2"/>
        <w:rPr>
          <w:rFonts w:hint="default"/>
          <w:b w:val="0"/>
          <w:bCs/>
          <w:lang w:val="en-US"/>
        </w:rPr>
      </w:pPr>
      <w:r>
        <w:rPr>
          <w:rFonts w:hint="eastAsia" w:ascii="仿宋_GB2312" w:hAnsi="仿宋_GB2312" w:eastAsia="仿宋_GB2312" w:cs="仿宋_GB2312"/>
          <w:color w:val="000000"/>
          <w:sz w:val="32"/>
          <w:szCs w:val="32"/>
          <w:lang w:val="en-US" w:eastAsia="zh-CN"/>
        </w:rPr>
        <w:t xml:space="preserve">  </w:t>
      </w:r>
    </w:p>
    <w:p>
      <w:pPr>
        <w:pStyle w:val="12"/>
        <w:keepNext w:val="0"/>
        <w:keepLines w:val="0"/>
        <w:widowControl/>
        <w:suppressLineNumbers w:val="0"/>
        <w:shd w:val="clear" w:color="auto" w:fill="auto"/>
        <w:ind w:left="0" w:right="75"/>
        <w:jc w:val="left"/>
        <w:outlineLvl w:val="1"/>
        <w:rPr>
          <w:rFonts w:hint="eastAsia" w:ascii="仿宋_GB2312" w:hAnsi="仿宋_GB2312" w:eastAsia="仿宋_GB2312" w:cs="仿宋_GB2312"/>
          <w:sz w:val="32"/>
          <w:szCs w:val="32"/>
          <w:shd w:val="clear" w:color="auto" w:fill="FFFFFF"/>
        </w:rPr>
      </w:pPr>
      <w:bookmarkStart w:id="13" w:name="_Toc18699"/>
      <w:r>
        <w:rPr>
          <w:rFonts w:hint="eastAsia" w:ascii="仿宋_GB2312" w:hAnsi="仿宋_GB2312" w:eastAsia="仿宋_GB2312" w:cs="仿宋_GB2312"/>
          <w:sz w:val="32"/>
          <w:szCs w:val="32"/>
          <w:shd w:val="clear" w:color="auto" w:fill="FFFFFF"/>
        </w:rPr>
        <w:t>七、“三公”经费财政拨款支出决算情况说明</w:t>
      </w:r>
      <w:bookmarkEnd w:id="13"/>
    </w:p>
    <w:p>
      <w:pPr>
        <w:pStyle w:val="12"/>
        <w:keepNext w:val="0"/>
        <w:keepLines w:val="0"/>
        <w:widowControl/>
        <w:suppressLineNumbers w:val="0"/>
        <w:ind w:left="0" w:right="75"/>
        <w:rPr>
          <w:rStyle w:val="15"/>
          <w:rFonts w:hint="eastAsia" w:ascii="仿宋_GB2312" w:hAnsi="仿宋_GB2312" w:eastAsia="仿宋_GB2312" w:cs="仿宋_GB2312"/>
          <w:sz w:val="32"/>
          <w:szCs w:val="32"/>
          <w:shd w:val="clear" w:color="auto" w:fill="FFFFFF"/>
        </w:rPr>
      </w:pPr>
      <w:r>
        <w:rPr>
          <w:rStyle w:val="15"/>
          <w:rFonts w:hint="eastAsia" w:ascii="仿宋_GB2312" w:hAnsi="仿宋_GB2312" w:eastAsia="仿宋_GB2312" w:cs="仿宋_GB2312"/>
          <w:sz w:val="32"/>
          <w:szCs w:val="32"/>
          <w:shd w:val="clear" w:color="auto" w:fill="FFFFFF"/>
        </w:rPr>
        <w:t>（一）“三公”经费财政拨款支出决算总体情况说明</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2024</w:t>
      </w:r>
      <w:r>
        <w:rPr>
          <w:rFonts w:hint="eastAsia" w:ascii="仿宋_GB2312" w:hAnsi="仿宋_GB2312" w:eastAsia="仿宋_GB2312" w:cs="仿宋_GB2312"/>
          <w:color w:val="000000"/>
          <w:sz w:val="32"/>
          <w:szCs w:val="32"/>
        </w:rPr>
        <w:t>年“三公”经费财政拨款支出决算为</w:t>
      </w:r>
      <w:r>
        <w:rPr>
          <w:rFonts w:hint="eastAsia" w:ascii="仿宋_GB2312" w:hAnsi="仿宋_GB2312" w:eastAsia="仿宋_GB2312" w:cs="仿宋_GB2312"/>
          <w:color w:val="000000"/>
          <w:sz w:val="32"/>
          <w:szCs w:val="32"/>
          <w:lang w:val="en-US" w:eastAsia="zh-CN"/>
        </w:rPr>
        <w:t>13.86</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w:t>
      </w:r>
    </w:p>
    <w:p>
      <w:pPr>
        <w:pStyle w:val="12"/>
        <w:keepNext w:val="0"/>
        <w:keepLines w:val="0"/>
        <w:widowControl/>
        <w:numPr>
          <w:ilvl w:val="0"/>
          <w:numId w:val="0"/>
        </w:numPr>
        <w:suppressLineNumbers w:val="0"/>
        <w:ind w:right="75" w:rightChars="0"/>
        <w:rPr>
          <w:rStyle w:val="15"/>
          <w:rFonts w:hint="eastAsia" w:ascii="仿宋_GB2312" w:hAnsi="仿宋_GB2312" w:eastAsia="仿宋_GB2312" w:cs="仿宋_GB2312"/>
          <w:sz w:val="32"/>
          <w:szCs w:val="32"/>
          <w:shd w:val="clear" w:color="auto" w:fill="FFFFFF"/>
        </w:rPr>
      </w:pPr>
      <w:r>
        <w:rPr>
          <w:rStyle w:val="15"/>
          <w:rFonts w:hint="eastAsia" w:ascii="仿宋_GB2312" w:hAnsi="仿宋_GB2312" w:eastAsia="仿宋_GB2312" w:cs="仿宋_GB2312"/>
          <w:sz w:val="32"/>
          <w:szCs w:val="32"/>
          <w:shd w:val="clear" w:color="auto" w:fill="FFFFFF"/>
          <w:lang w:eastAsia="zh-CN"/>
        </w:rPr>
        <w:t>（</w:t>
      </w:r>
      <w:r>
        <w:rPr>
          <w:rStyle w:val="15"/>
          <w:rFonts w:hint="eastAsia" w:ascii="仿宋_GB2312" w:hAnsi="仿宋_GB2312" w:eastAsia="仿宋_GB2312" w:cs="仿宋_GB2312"/>
          <w:sz w:val="32"/>
          <w:szCs w:val="32"/>
          <w:shd w:val="clear" w:color="auto" w:fill="FFFFFF"/>
          <w:lang w:val="en-US" w:eastAsia="zh-CN"/>
        </w:rPr>
        <w:t>二</w:t>
      </w:r>
      <w:r>
        <w:rPr>
          <w:rStyle w:val="15"/>
          <w:rFonts w:hint="eastAsia" w:ascii="仿宋_GB2312" w:hAnsi="仿宋_GB2312" w:eastAsia="仿宋_GB2312" w:cs="仿宋_GB2312"/>
          <w:sz w:val="32"/>
          <w:szCs w:val="32"/>
          <w:shd w:val="clear" w:color="auto" w:fill="FFFFFF"/>
          <w:lang w:eastAsia="zh-CN"/>
        </w:rPr>
        <w:t>）</w:t>
      </w:r>
      <w:r>
        <w:rPr>
          <w:rStyle w:val="15"/>
          <w:rFonts w:hint="eastAsia" w:ascii="仿宋_GB2312" w:hAnsi="仿宋_GB2312" w:eastAsia="仿宋_GB2312" w:cs="仿宋_GB2312"/>
          <w:sz w:val="32"/>
          <w:szCs w:val="32"/>
          <w:shd w:val="clear" w:color="auto" w:fill="FFFFFF"/>
        </w:rPr>
        <w:t>“三公”经费财政拨款支出决算具体情况说明</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2024</w:t>
      </w:r>
      <w:r>
        <w:rPr>
          <w:rFonts w:hint="eastAsia" w:ascii="仿宋_GB2312" w:hAnsi="仿宋_GB2312" w:eastAsia="仿宋_GB2312" w:cs="仿宋_GB2312"/>
          <w:color w:val="000000"/>
          <w:sz w:val="32"/>
          <w:szCs w:val="32"/>
        </w:rPr>
        <w:t>年“三公”经费财政拨款支出决算中，因公出国（境）费支出决算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%；公务用车购置及运行维护费13.86</w:t>
      </w:r>
      <w:r>
        <w:rPr>
          <w:rFonts w:hint="eastAsia" w:ascii="仿宋_GB2312" w:hAnsi="仿宋_GB2312" w:eastAsia="仿宋_GB2312" w:cs="仿宋_GB2312"/>
          <w:color w:val="000000"/>
          <w:sz w:val="32"/>
          <w:szCs w:val="32"/>
          <w:lang w:val="en-US" w:eastAsia="zh-CN"/>
        </w:rPr>
        <w:t>万元</w:t>
      </w:r>
      <w:r>
        <w:rPr>
          <w:rFonts w:hint="eastAsia" w:ascii="仿宋_GB2312" w:hAnsi="仿宋_GB2312" w:eastAsia="仿宋_GB2312" w:cs="仿宋_GB2312"/>
          <w:color w:val="000000"/>
          <w:sz w:val="32"/>
          <w:szCs w:val="32"/>
        </w:rPr>
        <w:t>，占</w:t>
      </w:r>
      <w:r>
        <w:rPr>
          <w:rFonts w:hint="eastAsia" w:ascii="仿宋_GB2312" w:hAnsi="仿宋_GB2312" w:eastAsia="仿宋_GB2312" w:cs="仿宋_GB2312"/>
          <w:color w:val="000000"/>
          <w:sz w:val="32"/>
          <w:szCs w:val="32"/>
          <w:lang w:val="en-US" w:eastAsia="zh-CN"/>
        </w:rPr>
        <w:t>89.42</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%。具体情况如下：</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（图7：“三公”经费财政拨款支出结构）（饼状图）</w:t>
      </w:r>
    </w:p>
    <w:p>
      <w:pPr>
        <w:pStyle w:val="12"/>
        <w:keepNext w:val="0"/>
        <w:keepLines w:val="0"/>
        <w:widowControl/>
        <w:numPr>
          <w:ilvl w:val="0"/>
          <w:numId w:val="0"/>
        </w:numPr>
        <w:suppressLineNumbers w:val="0"/>
        <w:ind w:right="75" w:rightChars="0"/>
        <w:rPr>
          <w:rStyle w:val="15"/>
          <w:rFonts w:hint="eastAsia" w:ascii="仿宋_GB2312" w:hAnsi="仿宋_GB2312" w:eastAsia="仿宋_GB2312" w:cs="仿宋_GB2312"/>
          <w:sz w:val="32"/>
          <w:szCs w:val="32"/>
          <w:shd w:val="clear" w:color="auto" w:fill="FFFFFF"/>
          <w:lang w:eastAsia="zh-CN"/>
        </w:rPr>
      </w:pPr>
      <w:r>
        <w:rPr>
          <w:rStyle w:val="15"/>
          <w:rFonts w:hint="eastAsia" w:ascii="仿宋_GB2312" w:hAnsi="仿宋_GB2312" w:eastAsia="仿宋_GB2312" w:cs="仿宋_GB2312"/>
          <w:sz w:val="32"/>
          <w:szCs w:val="32"/>
          <w:shd w:val="clear" w:color="auto" w:fill="FFFFFF"/>
          <w:lang w:eastAsia="zh-CN"/>
        </w:rPr>
        <w:drawing>
          <wp:inline distT="0" distB="0" distL="114300" distR="114300">
            <wp:extent cx="5080000" cy="230505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numPr>
          <w:ilvl w:val="0"/>
          <w:numId w:val="0"/>
        </w:numPr>
        <w:spacing w:line="600" w:lineRule="exact"/>
        <w:ind w:firstLine="643"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color w:val="000000"/>
          <w:sz w:val="32"/>
          <w:szCs w:val="32"/>
          <w:lang w:val="en-US" w:eastAsia="zh-CN"/>
        </w:rPr>
        <w:t>1.</w:t>
      </w:r>
      <w:r>
        <w:rPr>
          <w:rFonts w:hint="eastAsia" w:ascii="仿宋_GB2312" w:hAnsi="仿宋_GB2312" w:eastAsia="仿宋_GB2312" w:cs="仿宋_GB2312"/>
          <w:b/>
          <w:color w:val="000000"/>
          <w:sz w:val="32"/>
          <w:szCs w:val="32"/>
        </w:rPr>
        <w:t>因公出国（境）经费支出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Style w:val="15"/>
          <w:rFonts w:hint="eastAsia" w:ascii="仿宋_GB2312" w:hAnsi="仿宋_GB2312" w:eastAsia="仿宋_GB2312" w:cs="仿宋_GB2312"/>
          <w:b w:val="0"/>
          <w:bCs/>
          <w:color w:val="000000"/>
          <w:sz w:val="32"/>
          <w:szCs w:val="32"/>
        </w:rPr>
        <w:t>完成预算</w:t>
      </w:r>
      <w:r>
        <w:rPr>
          <w:rStyle w:val="15"/>
          <w:rFonts w:hint="eastAsia" w:ascii="仿宋_GB2312" w:hAnsi="仿宋_GB2312" w:eastAsia="仿宋_GB2312" w:cs="仿宋_GB2312"/>
          <w:b w:val="0"/>
          <w:bCs/>
          <w:color w:val="000000"/>
          <w:sz w:val="32"/>
          <w:szCs w:val="32"/>
          <w:lang w:val="en-US" w:eastAsia="zh-CN"/>
        </w:rPr>
        <w:t>0</w:t>
      </w:r>
      <w:r>
        <w:rPr>
          <w:rStyle w:val="15"/>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全年安排因公出国（境）团组</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次，出国（境）</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人。因公出国（境）支出决算</w:t>
      </w:r>
      <w:r>
        <w:rPr>
          <w:rFonts w:hint="eastAsia" w:ascii="仿宋_GB2312" w:hAnsi="仿宋_GB2312" w:eastAsia="仿宋_GB2312" w:cs="仿宋_GB2312"/>
          <w:color w:val="000000"/>
          <w:sz w:val="32"/>
          <w:szCs w:val="32"/>
          <w:lang w:eastAsia="zh-CN"/>
        </w:rPr>
        <w:t>与</w:t>
      </w:r>
      <w:r>
        <w:rPr>
          <w:rFonts w:hint="eastAsia" w:ascii="仿宋_GB2312" w:hAnsi="仿宋_GB2312" w:eastAsia="仿宋_GB2312" w:cs="仿宋_GB2312"/>
          <w:color w:val="000000"/>
          <w:sz w:val="32"/>
          <w:szCs w:val="32"/>
          <w:lang w:val="en-US" w:eastAsia="zh-CN"/>
        </w:rPr>
        <w:t>2023</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持平。</w:t>
      </w:r>
    </w:p>
    <w:p>
      <w:pPr>
        <w:numPr>
          <w:ilvl w:val="0"/>
          <w:numId w:val="0"/>
        </w:numPr>
        <w:spacing w:line="600" w:lineRule="exact"/>
        <w:ind w:firstLine="643" w:firstLineChars="200"/>
        <w:rPr>
          <w:rFonts w:hint="default" w:ascii="仿宋_GB2312" w:hAnsi="仿宋_GB2312" w:eastAsia="仿宋_GB2312" w:cs="仿宋_GB2312"/>
          <w:b/>
          <w:color w:val="000000"/>
          <w:sz w:val="32"/>
          <w:szCs w:val="32"/>
          <w:lang w:val="en-US"/>
        </w:rPr>
      </w:pPr>
      <w:r>
        <w:rPr>
          <w:rFonts w:hint="eastAsia" w:ascii="仿宋_GB2312" w:hAnsi="仿宋_GB2312" w:eastAsia="仿宋_GB2312" w:cs="仿宋_GB2312"/>
          <w:b/>
          <w:color w:val="000000"/>
          <w:sz w:val="32"/>
          <w:szCs w:val="32"/>
          <w:lang w:val="en-US" w:eastAsia="zh-CN"/>
        </w:rPr>
        <w:t>2.</w:t>
      </w:r>
      <w:r>
        <w:rPr>
          <w:rFonts w:hint="eastAsia" w:ascii="仿宋_GB2312" w:hAnsi="仿宋_GB2312" w:eastAsia="仿宋_GB2312" w:cs="仿宋_GB2312"/>
          <w:b/>
          <w:color w:val="000000"/>
          <w:sz w:val="32"/>
          <w:szCs w:val="32"/>
        </w:rPr>
        <w:t>公务用车购置及运行维护费支出</w:t>
      </w:r>
      <w:r>
        <w:rPr>
          <w:rFonts w:hint="eastAsia" w:ascii="仿宋_GB2312" w:hAnsi="仿宋_GB2312" w:eastAsia="仿宋_GB2312" w:cs="仿宋_GB2312"/>
          <w:b/>
          <w:color w:val="000000"/>
          <w:sz w:val="32"/>
          <w:szCs w:val="32"/>
          <w:lang w:val="en-US" w:eastAsia="zh-CN"/>
        </w:rPr>
        <w:t>13.86</w:t>
      </w:r>
      <w:r>
        <w:rPr>
          <w:rFonts w:hint="eastAsia" w:ascii="仿宋_GB2312" w:hAnsi="仿宋_GB2312" w:eastAsia="仿宋_GB2312" w:cs="仿宋_GB2312"/>
          <w:color w:val="000000"/>
          <w:sz w:val="32"/>
          <w:szCs w:val="32"/>
        </w:rPr>
        <w:t>万元,</w:t>
      </w:r>
      <w:r>
        <w:rPr>
          <w:rStyle w:val="15"/>
          <w:rFonts w:hint="eastAsia" w:ascii="仿宋_GB2312" w:hAnsi="仿宋_GB2312" w:eastAsia="仿宋_GB2312" w:cs="仿宋_GB2312"/>
          <w:b w:val="0"/>
          <w:bCs/>
          <w:color w:val="000000"/>
          <w:sz w:val="32"/>
          <w:szCs w:val="32"/>
        </w:rPr>
        <w:t>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公务用车购置及运行维护费支出决算比</w:t>
      </w:r>
      <w:r>
        <w:rPr>
          <w:rFonts w:hint="eastAsia" w:ascii="仿宋_GB2312" w:hAnsi="仿宋_GB2312" w:eastAsia="仿宋_GB2312" w:cs="仿宋_GB2312"/>
          <w:color w:val="000000"/>
          <w:sz w:val="32"/>
          <w:szCs w:val="32"/>
          <w:lang w:val="en-US" w:eastAsia="zh-CN"/>
        </w:rPr>
        <w:t>2023</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减少了56.02</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主要原因是2024年没有公务用车购置费。</w:t>
      </w:r>
    </w:p>
    <w:p>
      <w:pPr>
        <w:spacing w:line="600" w:lineRule="exact"/>
        <w:ind w:firstLine="643"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color w:val="000000"/>
          <w:sz w:val="32"/>
          <w:szCs w:val="32"/>
          <w:lang w:val="en-US" w:eastAsia="zh-CN"/>
        </w:rPr>
        <w:t>3.</w:t>
      </w:r>
      <w:r>
        <w:rPr>
          <w:rFonts w:hint="eastAsia" w:ascii="仿宋_GB2312" w:hAnsi="仿宋_GB2312" w:eastAsia="仿宋_GB2312" w:cs="仿宋_GB2312"/>
          <w:b/>
          <w:color w:val="000000"/>
          <w:sz w:val="32"/>
          <w:szCs w:val="32"/>
        </w:rPr>
        <w:t>公务接待费支出</w:t>
      </w:r>
      <w:r>
        <w:rPr>
          <w:rFonts w:hint="eastAsia" w:ascii="仿宋_GB2312" w:hAnsi="仿宋_GB2312" w:eastAsia="仿宋_GB2312" w:cs="仿宋_GB2312"/>
          <w:b/>
          <w:color w:val="000000"/>
          <w:sz w:val="32"/>
          <w:szCs w:val="32"/>
          <w:lang w:val="en-US" w:eastAsia="zh-CN"/>
        </w:rPr>
        <w:t>0</w:t>
      </w:r>
      <w:r>
        <w:rPr>
          <w:rFonts w:hint="eastAsia" w:ascii="仿宋_GB2312" w:hAnsi="仿宋_GB2312" w:eastAsia="仿宋_GB2312" w:cs="仿宋_GB2312"/>
          <w:color w:val="000000"/>
          <w:sz w:val="32"/>
          <w:szCs w:val="32"/>
        </w:rPr>
        <w:t>万元，</w:t>
      </w:r>
      <w:r>
        <w:rPr>
          <w:rStyle w:val="15"/>
          <w:rFonts w:hint="eastAsia" w:ascii="仿宋_GB2312" w:hAnsi="仿宋_GB2312" w:eastAsia="仿宋_GB2312" w:cs="仿宋_GB2312"/>
          <w:b w:val="0"/>
          <w:bCs/>
          <w:color w:val="000000"/>
          <w:sz w:val="32"/>
          <w:szCs w:val="32"/>
        </w:rPr>
        <w:t>完成预算</w:t>
      </w:r>
      <w:r>
        <w:rPr>
          <w:rStyle w:val="15"/>
          <w:rFonts w:hint="eastAsia" w:ascii="仿宋_GB2312" w:hAnsi="仿宋_GB2312"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公务接待费支出决算比</w:t>
      </w:r>
      <w:r>
        <w:rPr>
          <w:rFonts w:hint="eastAsia" w:ascii="仿宋_GB2312" w:hAnsi="仿宋_GB2312" w:eastAsia="仿宋_GB2312" w:cs="仿宋_GB2312"/>
          <w:color w:val="000000"/>
          <w:sz w:val="32"/>
          <w:szCs w:val="32"/>
          <w:lang w:val="en-US" w:eastAsia="zh-CN"/>
        </w:rPr>
        <w:t>2023</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持平。</w:t>
      </w:r>
    </w:p>
    <w:p>
      <w:pPr>
        <w:spacing w:line="600" w:lineRule="exact"/>
        <w:ind w:firstLine="640" w:firstLineChars="200"/>
        <w:rPr>
          <w:rStyle w:val="15"/>
          <w:rFonts w:hint="eastAsia" w:ascii="仿宋_GB2312" w:hAnsi="仿宋_GB2312" w:eastAsia="仿宋_GB2312" w:cs="仿宋_GB2312"/>
          <w:sz w:val="32"/>
          <w:szCs w:val="32"/>
          <w:shd w:val="clear" w:color="auto" w:fill="FFFFFF"/>
          <w:lang w:eastAsia="zh-CN"/>
        </w:rPr>
      </w:pP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b/>
          <w:color w:val="000000"/>
          <w:sz w:val="32"/>
          <w:szCs w:val="32"/>
        </w:rPr>
        <w:t>外事接待支出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themeColor="text1"/>
          <w:sz w:val="32"/>
          <w:szCs w:val="32"/>
          <w14:textFill>
            <w14:solidFill>
              <w14:schemeClr w14:val="tx1"/>
            </w14:solidFill>
          </w14:textFill>
        </w:rPr>
        <w:t>，外事接待</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批次，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人，共计支出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pStyle w:val="12"/>
        <w:keepNext w:val="0"/>
        <w:keepLines w:val="0"/>
        <w:widowControl/>
        <w:numPr>
          <w:ilvl w:val="0"/>
          <w:numId w:val="4"/>
        </w:numPr>
        <w:suppressLineNumbers w:val="0"/>
        <w:shd w:val="clear" w:color="auto" w:fill="auto"/>
        <w:ind w:left="0" w:right="75"/>
        <w:jc w:val="left"/>
        <w:outlineLvl w:val="1"/>
        <w:rPr>
          <w:rFonts w:hint="eastAsia" w:ascii="仿宋_GB2312" w:hAnsi="仿宋_GB2312" w:eastAsia="仿宋_GB2312" w:cs="仿宋_GB2312"/>
          <w:b/>
          <w:bCs/>
          <w:sz w:val="32"/>
          <w:szCs w:val="32"/>
          <w:shd w:val="clear" w:color="auto" w:fill="FFFFFF"/>
        </w:rPr>
      </w:pPr>
      <w:bookmarkStart w:id="14" w:name="_Toc9599"/>
      <w:r>
        <w:rPr>
          <w:rFonts w:hint="eastAsia" w:ascii="仿宋_GB2312" w:hAnsi="仿宋_GB2312" w:eastAsia="仿宋_GB2312" w:cs="仿宋_GB2312"/>
          <w:b/>
          <w:bCs/>
          <w:sz w:val="32"/>
          <w:szCs w:val="32"/>
          <w:shd w:val="clear" w:color="auto" w:fill="FFFFFF"/>
        </w:rPr>
        <w:t>政府性基金预算支出决算情况说明</w:t>
      </w:r>
      <w:bookmarkEnd w:id="14"/>
    </w:p>
    <w:p>
      <w:pPr>
        <w:spacing w:line="600" w:lineRule="exact"/>
        <w:ind w:firstLine="640" w:firstLineChars="200"/>
        <w:rPr>
          <w:rFonts w:hint="eastAsia" w:ascii="仿宋_GB2312" w:hAnsi="仿宋_GB2312" w:eastAsia="仿宋_GB2312" w:cs="仿宋_GB2312"/>
          <w:sz w:val="32"/>
          <w:szCs w:val="32"/>
          <w:shd w:val="clear" w:color="auto" w:fill="FFFFFF"/>
          <w:lang w:eastAsia="zh-CN"/>
        </w:rPr>
      </w:pPr>
      <w:r>
        <w:rPr>
          <w:rFonts w:hint="eastAsia" w:ascii="仿宋_GB2312" w:hAnsi="仿宋_GB2312" w:eastAsia="仿宋_GB2312" w:cs="仿宋_GB2312"/>
          <w:color w:val="000000"/>
          <w:sz w:val="32"/>
          <w:szCs w:val="32"/>
          <w:lang w:val="en-US" w:eastAsia="zh-CN"/>
        </w:rPr>
        <w:t>2024</w:t>
      </w:r>
      <w:r>
        <w:rPr>
          <w:rFonts w:hint="eastAsia" w:ascii="仿宋_GB2312" w:hAnsi="仿宋_GB2312" w:eastAsia="仿宋_GB2312" w:cs="仿宋_GB2312"/>
          <w:color w:val="000000"/>
          <w:sz w:val="32"/>
          <w:szCs w:val="32"/>
        </w:rPr>
        <w:t>年政府性基金预算拨款支出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p>
    <w:p>
      <w:pPr>
        <w:pStyle w:val="12"/>
        <w:keepNext w:val="0"/>
        <w:keepLines w:val="0"/>
        <w:widowControl/>
        <w:numPr>
          <w:ilvl w:val="0"/>
          <w:numId w:val="4"/>
        </w:numPr>
        <w:suppressLineNumbers w:val="0"/>
        <w:shd w:val="clear" w:color="auto" w:fill="auto"/>
        <w:ind w:left="0" w:leftChars="0" w:right="75" w:firstLine="0" w:firstLineChars="0"/>
        <w:jc w:val="left"/>
        <w:outlineLvl w:val="1"/>
        <w:rPr>
          <w:rFonts w:hint="eastAsia" w:ascii="仿宋_GB2312" w:hAnsi="仿宋_GB2312" w:eastAsia="仿宋_GB2312" w:cs="仿宋_GB2312"/>
          <w:b/>
          <w:bCs/>
          <w:sz w:val="32"/>
          <w:szCs w:val="32"/>
          <w:shd w:val="clear" w:color="auto" w:fill="FFFFFF"/>
        </w:rPr>
      </w:pPr>
      <w:bookmarkStart w:id="15" w:name="_Toc31416"/>
      <w:r>
        <w:rPr>
          <w:rFonts w:hint="eastAsia" w:ascii="仿宋_GB2312" w:hAnsi="仿宋_GB2312" w:eastAsia="仿宋_GB2312" w:cs="仿宋_GB2312"/>
          <w:b/>
          <w:bCs/>
          <w:sz w:val="32"/>
          <w:szCs w:val="32"/>
          <w:shd w:val="clear" w:color="auto" w:fill="FFFFFF"/>
        </w:rPr>
        <w:t>国有资本经营预算支出决算情况说明</w:t>
      </w:r>
      <w:bookmarkEnd w:id="15"/>
    </w:p>
    <w:p>
      <w:pPr>
        <w:spacing w:line="600" w:lineRule="exact"/>
        <w:ind w:firstLine="64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color w:val="000000"/>
          <w:sz w:val="32"/>
          <w:szCs w:val="32"/>
          <w:lang w:val="en-US" w:eastAsia="zh-CN"/>
        </w:rPr>
        <w:t>2024</w:t>
      </w:r>
      <w:r>
        <w:rPr>
          <w:rFonts w:hint="eastAsia" w:ascii="仿宋_GB2312" w:hAnsi="仿宋_GB2312" w:eastAsia="仿宋_GB2312" w:cs="仿宋_GB2312"/>
          <w:color w:val="000000"/>
          <w:sz w:val="32"/>
          <w:szCs w:val="32"/>
        </w:rPr>
        <w:t>年国有资本经营预算拨款支出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p>
    <w:p>
      <w:pPr>
        <w:pStyle w:val="12"/>
        <w:keepNext w:val="0"/>
        <w:keepLines w:val="0"/>
        <w:widowControl/>
        <w:suppressLineNumbers w:val="0"/>
        <w:shd w:val="clear" w:color="auto" w:fill="auto"/>
        <w:ind w:left="0" w:right="75"/>
        <w:jc w:val="left"/>
        <w:outlineLvl w:val="1"/>
        <w:rPr>
          <w:rFonts w:hint="eastAsia" w:ascii="仿宋_GB2312" w:hAnsi="仿宋_GB2312" w:eastAsia="仿宋_GB2312" w:cs="仿宋_GB2312"/>
          <w:b/>
          <w:bCs/>
          <w:sz w:val="32"/>
          <w:szCs w:val="32"/>
          <w:shd w:val="clear" w:color="auto" w:fill="FFFFFF"/>
        </w:rPr>
      </w:pPr>
      <w:bookmarkStart w:id="16" w:name="_Toc11587"/>
      <w:r>
        <w:rPr>
          <w:rFonts w:hint="eastAsia" w:ascii="仿宋_GB2312" w:hAnsi="仿宋_GB2312" w:eastAsia="仿宋_GB2312" w:cs="仿宋_GB2312"/>
          <w:b/>
          <w:bCs/>
          <w:sz w:val="32"/>
          <w:szCs w:val="32"/>
          <w:shd w:val="clear" w:color="auto" w:fill="FFFFFF"/>
        </w:rPr>
        <w:t>十、其他重要事项的情况说明</w:t>
      </w:r>
      <w:bookmarkEnd w:id="16"/>
    </w:p>
    <w:p>
      <w:pPr>
        <w:pStyle w:val="12"/>
        <w:keepNext w:val="0"/>
        <w:keepLines w:val="0"/>
        <w:widowControl/>
        <w:suppressLineNumbers w:val="0"/>
        <w:ind w:left="0" w:right="75"/>
        <w:rPr>
          <w:rStyle w:val="15"/>
          <w:rFonts w:hint="eastAsia" w:ascii="仿宋_GB2312" w:hAnsi="仿宋_GB2312" w:eastAsia="仿宋_GB2312" w:cs="仿宋_GB2312"/>
          <w:sz w:val="32"/>
          <w:szCs w:val="32"/>
          <w:shd w:val="clear" w:color="auto" w:fill="FFFFFF"/>
        </w:rPr>
      </w:pPr>
      <w:r>
        <w:rPr>
          <w:rStyle w:val="15"/>
          <w:rFonts w:hint="eastAsia" w:ascii="仿宋_GB2312" w:hAnsi="仿宋_GB2312" w:eastAsia="仿宋_GB2312" w:cs="仿宋_GB2312"/>
          <w:sz w:val="32"/>
          <w:szCs w:val="32"/>
          <w:shd w:val="clear" w:color="auto" w:fill="FFFFFF"/>
        </w:rPr>
        <w:t>（一）机关运行经费支出情况</w:t>
      </w:r>
    </w:p>
    <w:p>
      <w:pPr>
        <w:pStyle w:val="12"/>
        <w:keepNext w:val="0"/>
        <w:keepLines w:val="0"/>
        <w:widowControl/>
        <w:suppressLineNumbers w:val="0"/>
        <w:ind w:left="0" w:right="75" w:firstLine="640" w:firstLineChars="200"/>
        <w:rPr>
          <w:rStyle w:val="15"/>
          <w:rFonts w:hint="eastAsia" w:ascii="仿宋_GB2312" w:hAnsi="仿宋_GB2312" w:eastAsia="仿宋_GB2312" w:cs="仿宋_GB2312"/>
          <w:sz w:val="32"/>
          <w:szCs w:val="32"/>
          <w:shd w:val="clear" w:color="auto" w:fill="FFFFFF"/>
          <w:lang w:val="en-US"/>
        </w:rPr>
      </w:pPr>
      <w:r>
        <w:rPr>
          <w:rFonts w:hint="eastAsia" w:ascii="仿宋_GB2312" w:hAnsi="仿宋_GB2312" w:eastAsia="仿宋_GB2312" w:cs="仿宋_GB2312"/>
          <w:color w:val="000000"/>
          <w:sz w:val="32"/>
          <w:szCs w:val="32"/>
          <w:lang w:val="en-US" w:eastAsia="zh-CN"/>
        </w:rPr>
        <w:t>2024</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统战部</w:t>
      </w:r>
      <w:r>
        <w:rPr>
          <w:rFonts w:hint="eastAsia" w:ascii="仿宋_GB2312" w:hAnsi="仿宋_GB2312" w:eastAsia="仿宋_GB2312" w:cs="仿宋_GB2312"/>
          <w:color w:val="000000"/>
          <w:sz w:val="32"/>
          <w:szCs w:val="32"/>
        </w:rPr>
        <w:t>机关运行经费支出</w:t>
      </w:r>
      <w:r>
        <w:rPr>
          <w:rFonts w:hint="eastAsia" w:ascii="仿宋_GB2312" w:hAnsi="仿宋_GB2312" w:eastAsia="仿宋_GB2312" w:cs="仿宋_GB2312"/>
          <w:color w:val="000000"/>
          <w:sz w:val="32"/>
          <w:szCs w:val="32"/>
          <w:lang w:val="en-US" w:eastAsia="zh-CN"/>
        </w:rPr>
        <w:t>44.57万元，</w:t>
      </w:r>
      <w:r>
        <w:rPr>
          <w:rFonts w:hint="eastAsia" w:ascii="仿宋_GB2312" w:hAnsi="仿宋_GB2312" w:eastAsia="仿宋_GB2312" w:cs="仿宋_GB2312"/>
          <w:color w:val="000000"/>
          <w:sz w:val="32"/>
          <w:szCs w:val="32"/>
        </w:rPr>
        <w:t>比</w:t>
      </w:r>
      <w:r>
        <w:rPr>
          <w:rFonts w:hint="eastAsia" w:ascii="仿宋_GB2312" w:hAnsi="仿宋_GB2312" w:eastAsia="仿宋_GB2312" w:cs="仿宋_GB2312"/>
          <w:color w:val="000000"/>
          <w:sz w:val="32"/>
          <w:szCs w:val="32"/>
          <w:lang w:val="en-US" w:eastAsia="zh-CN"/>
        </w:rPr>
        <w:t>2023</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增加9.82</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增长22.03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val="0"/>
          <w:bCs w:val="0"/>
          <w:color w:val="000000"/>
          <w:sz w:val="32"/>
          <w:szCs w:val="32"/>
          <w:lang w:val="en-US" w:eastAsia="zh-CN"/>
        </w:rPr>
        <w:t>。</w:t>
      </w:r>
    </w:p>
    <w:p>
      <w:pPr>
        <w:pStyle w:val="12"/>
        <w:keepNext w:val="0"/>
        <w:keepLines w:val="0"/>
        <w:widowControl/>
        <w:numPr>
          <w:ilvl w:val="0"/>
          <w:numId w:val="0"/>
        </w:numPr>
        <w:suppressLineNumbers w:val="0"/>
        <w:ind w:leftChars="0" w:right="75" w:rightChars="0"/>
        <w:rPr>
          <w:rStyle w:val="15"/>
          <w:rFonts w:hint="eastAsia" w:ascii="仿宋_GB2312" w:hAnsi="仿宋_GB2312" w:eastAsia="仿宋_GB2312" w:cs="仿宋_GB2312"/>
          <w:sz w:val="32"/>
          <w:szCs w:val="32"/>
          <w:shd w:val="clear" w:color="auto" w:fill="FFFFFF"/>
        </w:rPr>
      </w:pPr>
      <w:r>
        <w:rPr>
          <w:rStyle w:val="15"/>
          <w:rFonts w:hint="eastAsia" w:ascii="仿宋_GB2312" w:hAnsi="仿宋_GB2312" w:eastAsia="仿宋_GB2312" w:cs="仿宋_GB2312"/>
          <w:sz w:val="32"/>
          <w:szCs w:val="32"/>
          <w:shd w:val="clear" w:color="auto" w:fill="FFFFFF"/>
          <w:lang w:eastAsia="zh-CN"/>
        </w:rPr>
        <w:t>（二）</w:t>
      </w:r>
      <w:r>
        <w:rPr>
          <w:rStyle w:val="15"/>
          <w:rFonts w:hint="eastAsia" w:ascii="仿宋_GB2312" w:hAnsi="仿宋_GB2312" w:eastAsia="仿宋_GB2312" w:cs="仿宋_GB2312"/>
          <w:sz w:val="32"/>
          <w:szCs w:val="32"/>
          <w:shd w:val="clear" w:color="auto" w:fill="FFFFFF"/>
        </w:rPr>
        <w:t>政府采购支出情况</w:t>
      </w:r>
    </w:p>
    <w:p>
      <w:pPr>
        <w:numPr>
          <w:ilvl w:val="0"/>
          <w:numId w:val="0"/>
        </w:numPr>
        <w:spacing w:line="600" w:lineRule="exact"/>
        <w:ind w:firstLine="640" w:firstLineChars="200"/>
        <w:rPr>
          <w:rFonts w:hint="eastAsia" w:ascii="仿宋_GB2312" w:hAnsi="仿宋_GB2312" w:eastAsia="仿宋_GB2312" w:cs="仿宋_GB2312"/>
          <w:b/>
          <w:color w:val="000000"/>
          <w:sz w:val="32"/>
          <w:szCs w:val="32"/>
          <w:lang w:val="en-US"/>
        </w:rPr>
      </w:pPr>
      <w:r>
        <w:rPr>
          <w:rFonts w:hint="eastAsia" w:ascii="仿宋_GB2312" w:hAnsi="仿宋_GB2312" w:eastAsia="仿宋_GB2312" w:cs="仿宋_GB2312"/>
          <w:color w:val="000000"/>
          <w:sz w:val="32"/>
          <w:szCs w:val="32"/>
          <w:lang w:val="en-US" w:eastAsia="zh-CN"/>
        </w:rPr>
        <w:t>2024</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统战部</w:t>
      </w:r>
      <w:r>
        <w:rPr>
          <w:rFonts w:hint="eastAsia" w:ascii="仿宋_GB2312" w:hAnsi="仿宋_GB2312" w:eastAsia="仿宋_GB2312" w:cs="仿宋_GB2312"/>
          <w:color w:val="000000"/>
          <w:sz w:val="32"/>
          <w:szCs w:val="32"/>
        </w:rPr>
        <w:t>政府采购支出</w:t>
      </w:r>
      <w:r>
        <w:rPr>
          <w:rFonts w:hint="eastAsia" w:ascii="仿宋_GB2312" w:hAnsi="仿宋_GB2312" w:eastAsia="仿宋_GB2312" w:cs="仿宋_GB2312"/>
          <w:color w:val="000000"/>
          <w:sz w:val="32"/>
          <w:szCs w:val="32"/>
          <w:lang w:val="en-US" w:eastAsia="zh-CN"/>
        </w:rPr>
        <w:t>为0万元。</w:t>
      </w:r>
    </w:p>
    <w:p>
      <w:pPr>
        <w:pStyle w:val="12"/>
        <w:keepNext w:val="0"/>
        <w:keepLines w:val="0"/>
        <w:widowControl/>
        <w:numPr>
          <w:ilvl w:val="0"/>
          <w:numId w:val="0"/>
        </w:numPr>
        <w:suppressLineNumbers w:val="0"/>
        <w:ind w:leftChars="0" w:right="75" w:rightChars="0"/>
        <w:rPr>
          <w:rStyle w:val="15"/>
          <w:rFonts w:hint="eastAsia" w:ascii="仿宋_GB2312" w:hAnsi="仿宋_GB2312" w:eastAsia="仿宋_GB2312" w:cs="仿宋_GB2312"/>
          <w:sz w:val="32"/>
          <w:szCs w:val="32"/>
          <w:shd w:val="clear" w:color="auto" w:fill="FFFFFF"/>
        </w:rPr>
      </w:pPr>
      <w:r>
        <w:rPr>
          <w:rStyle w:val="15"/>
          <w:rFonts w:hint="eastAsia" w:ascii="仿宋_GB2312" w:hAnsi="仿宋_GB2312" w:eastAsia="仿宋_GB2312" w:cs="仿宋_GB2312"/>
          <w:sz w:val="32"/>
          <w:szCs w:val="32"/>
          <w:shd w:val="clear" w:color="auto" w:fill="FFFFFF"/>
          <w:lang w:eastAsia="zh-CN"/>
        </w:rPr>
        <w:t>（三）</w:t>
      </w:r>
      <w:r>
        <w:rPr>
          <w:rStyle w:val="15"/>
          <w:rFonts w:hint="eastAsia" w:ascii="仿宋_GB2312" w:hAnsi="仿宋_GB2312" w:eastAsia="仿宋_GB2312" w:cs="仿宋_GB2312"/>
          <w:sz w:val="32"/>
          <w:szCs w:val="32"/>
          <w:shd w:val="clear" w:color="auto" w:fill="FFFFFF"/>
        </w:rPr>
        <w:t>国有资产占有使用情况</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w:t>
      </w:r>
      <w:r>
        <w:rPr>
          <w:rFonts w:hint="eastAsia" w:ascii="仿宋_GB2312" w:hAnsi="仿宋_GB2312" w:eastAsia="仿宋_GB2312" w:cs="仿宋_GB2312"/>
          <w:color w:val="000000"/>
          <w:sz w:val="32"/>
          <w:szCs w:val="32"/>
          <w:lang w:val="en-US" w:eastAsia="zh-CN"/>
        </w:rPr>
        <w:t>2024</w:t>
      </w:r>
      <w:r>
        <w:rPr>
          <w:rFonts w:hint="eastAsia" w:ascii="仿宋_GB2312" w:hAnsi="仿宋_GB2312" w:eastAsia="仿宋_GB2312" w:cs="仿宋_GB2312"/>
          <w:color w:val="000000"/>
          <w:sz w:val="32"/>
          <w:szCs w:val="32"/>
        </w:rPr>
        <w:t>年12月31日，</w:t>
      </w:r>
      <w:r>
        <w:rPr>
          <w:rFonts w:hint="eastAsia" w:ascii="仿宋_GB2312" w:hAnsi="仿宋_GB2312" w:eastAsia="仿宋_GB2312" w:cs="仿宋_GB2312"/>
          <w:color w:val="000000"/>
          <w:sz w:val="32"/>
          <w:szCs w:val="32"/>
          <w:lang w:val="en-US" w:eastAsia="zh-CN"/>
        </w:rPr>
        <w:t>红原县统战部</w:t>
      </w:r>
      <w:r>
        <w:rPr>
          <w:rFonts w:hint="eastAsia" w:ascii="仿宋_GB2312" w:hAnsi="仿宋_GB2312" w:eastAsia="仿宋_GB2312" w:cs="仿宋_GB2312"/>
          <w:color w:val="000000"/>
          <w:sz w:val="32"/>
          <w:szCs w:val="32"/>
        </w:rPr>
        <w:t>共有车辆</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辆，其中：主要领导干部用车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辆、机要通信用车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辆、应急保障用车</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辆、其他用车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单价50万元以上通用设备</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台（套），单价100万元以上专用设备</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台（套）。</w:t>
      </w:r>
      <w:r>
        <w:rPr>
          <w:rFonts w:hint="eastAsia" w:ascii="仿宋_GB2312" w:hAnsi="仿宋_GB2312" w:eastAsia="仿宋_GB2312" w:cs="仿宋_GB2312"/>
          <w:color w:val="000000"/>
          <w:sz w:val="32"/>
          <w:szCs w:val="32"/>
          <w:lang w:val="en-US" w:eastAsia="zh-CN"/>
        </w:rPr>
        <w:t>2024</w:t>
      </w:r>
      <w:r>
        <w:rPr>
          <w:rFonts w:hint="eastAsia" w:ascii="仿宋_GB2312" w:hAnsi="仿宋_GB2312" w:eastAsia="仿宋_GB2312" w:cs="仿宋_GB2312"/>
          <w:color w:val="000000"/>
          <w:sz w:val="32"/>
          <w:szCs w:val="32"/>
        </w:rPr>
        <w:t>年度，我单位配置固定资产</w:t>
      </w:r>
      <w:r>
        <w:rPr>
          <w:rFonts w:hint="eastAsia" w:ascii="仿宋_GB2312" w:hAnsi="仿宋_GB2312" w:eastAsia="仿宋_GB2312" w:cs="仿宋_GB2312"/>
          <w:color w:val="000000"/>
          <w:sz w:val="32"/>
          <w:szCs w:val="32"/>
          <w:lang w:val="en-US" w:eastAsia="zh-CN"/>
        </w:rPr>
        <w:t>76.55</w:t>
      </w:r>
      <w:r>
        <w:rPr>
          <w:rFonts w:hint="eastAsia" w:ascii="仿宋_GB2312" w:hAnsi="仿宋_GB2312" w:eastAsia="仿宋_GB2312" w:cs="仿宋_GB2312"/>
          <w:color w:val="000000"/>
          <w:sz w:val="32"/>
          <w:szCs w:val="32"/>
        </w:rPr>
        <w:t>万元（账面原值，下同）。从资产类别分析，配置土地、房屋及构筑物</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 配置通用设备</w:t>
      </w:r>
      <w:r>
        <w:rPr>
          <w:rFonts w:hint="eastAsia" w:ascii="仿宋_GB2312" w:hAnsi="仿宋_GB2312" w:eastAsia="仿宋_GB2312" w:cs="仿宋_GB2312"/>
          <w:color w:val="000000"/>
          <w:sz w:val="32"/>
          <w:szCs w:val="32"/>
          <w:lang w:val="en-US" w:eastAsia="zh-CN"/>
        </w:rPr>
        <w:t>73.06</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93.84</w:t>
      </w:r>
      <w:r>
        <w:rPr>
          <w:rFonts w:hint="eastAsia" w:ascii="仿宋_GB2312" w:hAnsi="仿宋_GB2312" w:eastAsia="仿宋_GB2312" w:cs="仿宋_GB2312"/>
          <w:color w:val="000000"/>
          <w:sz w:val="32"/>
          <w:szCs w:val="32"/>
        </w:rPr>
        <w:t>% ； 配置家具、用具、装具及动植物</w:t>
      </w:r>
      <w:r>
        <w:rPr>
          <w:rFonts w:hint="eastAsia" w:ascii="仿宋_GB2312" w:hAnsi="仿宋_GB2312" w:eastAsia="仿宋_GB2312" w:cs="仿宋_GB2312"/>
          <w:color w:val="000000"/>
          <w:sz w:val="32"/>
          <w:szCs w:val="32"/>
          <w:lang w:val="en-US" w:eastAsia="zh-CN"/>
        </w:rPr>
        <w:t>3.49</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6.15</w:t>
      </w:r>
      <w:r>
        <w:rPr>
          <w:rFonts w:hint="eastAsia" w:ascii="仿宋_GB2312" w:hAnsi="仿宋_GB2312" w:eastAsia="仿宋_GB2312" w:cs="仿宋_GB2312"/>
          <w:color w:val="000000"/>
          <w:sz w:val="32"/>
          <w:szCs w:val="32"/>
        </w:rPr>
        <w:t>% 。</w:t>
      </w:r>
    </w:p>
    <w:p>
      <w:pPr>
        <w:pStyle w:val="12"/>
        <w:keepNext w:val="0"/>
        <w:keepLines w:val="0"/>
        <w:widowControl/>
        <w:numPr>
          <w:ilvl w:val="0"/>
          <w:numId w:val="5"/>
        </w:numPr>
        <w:suppressLineNumbers w:val="0"/>
        <w:shd w:val="clear" w:color="auto" w:fill="auto"/>
        <w:ind w:left="0" w:leftChars="0" w:right="75" w:firstLine="0" w:firstLineChars="0"/>
        <w:rPr>
          <w:rStyle w:val="15"/>
          <w:rFonts w:hint="eastAsia" w:ascii="仿宋_GB2312" w:hAnsi="仿宋_GB2312" w:eastAsia="仿宋_GB2312" w:cs="仿宋_GB2312"/>
          <w:sz w:val="32"/>
          <w:szCs w:val="32"/>
          <w:shd w:val="clear" w:color="auto" w:fill="FFFFFF"/>
          <w:lang w:val="en-US" w:eastAsia="zh-CN"/>
        </w:rPr>
      </w:pPr>
      <w:r>
        <w:rPr>
          <w:rStyle w:val="15"/>
          <w:rFonts w:hint="eastAsia" w:ascii="仿宋_GB2312" w:hAnsi="仿宋_GB2312" w:eastAsia="仿宋_GB2312" w:cs="仿宋_GB2312"/>
          <w:sz w:val="32"/>
          <w:szCs w:val="32"/>
          <w:shd w:val="clear" w:color="auto" w:fill="FFFFFF"/>
          <w:lang w:val="en-US" w:eastAsia="zh-CN"/>
        </w:rPr>
        <w:t>由养老保险机构发放养老金的退休人员</w:t>
      </w:r>
    </w:p>
    <w:p>
      <w:pPr>
        <w:pStyle w:val="7"/>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截至</w:t>
      </w:r>
      <w:r>
        <w:rPr>
          <w:rFonts w:hint="eastAsia" w:ascii="仿宋_GB2312" w:hAnsi="仿宋_GB2312" w:eastAsia="仿宋_GB2312" w:cs="仿宋_GB2312"/>
          <w:color w:val="000000"/>
          <w:sz w:val="32"/>
          <w:szCs w:val="32"/>
          <w:lang w:val="en-US" w:eastAsia="zh-CN"/>
        </w:rPr>
        <w:t>2024</w:t>
      </w:r>
      <w:r>
        <w:rPr>
          <w:rFonts w:hint="eastAsia" w:ascii="仿宋_GB2312" w:hAnsi="仿宋_GB2312" w:eastAsia="仿宋_GB2312" w:cs="仿宋_GB2312"/>
          <w:color w:val="000000"/>
          <w:sz w:val="32"/>
          <w:szCs w:val="32"/>
        </w:rPr>
        <w:t>年12月31日</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本单位由养老保险机构发放养老金的退休人员12人。</w:t>
      </w:r>
    </w:p>
    <w:p>
      <w:pPr>
        <w:pStyle w:val="12"/>
        <w:keepNext w:val="0"/>
        <w:keepLines w:val="0"/>
        <w:widowControl/>
        <w:numPr>
          <w:ilvl w:val="0"/>
          <w:numId w:val="5"/>
        </w:numPr>
        <w:suppressLineNumbers w:val="0"/>
        <w:ind w:left="0" w:leftChars="0" w:right="75" w:firstLine="0" w:firstLineChars="0"/>
        <w:rPr>
          <w:rStyle w:val="15"/>
          <w:rFonts w:hint="eastAsia" w:ascii="仿宋_GB2312" w:hAnsi="仿宋_GB2312" w:eastAsia="仿宋_GB2312" w:cs="仿宋_GB2312"/>
          <w:sz w:val="32"/>
          <w:szCs w:val="32"/>
          <w:shd w:val="clear" w:color="auto" w:fill="FFFFFF"/>
        </w:rPr>
      </w:pPr>
      <w:r>
        <w:rPr>
          <w:rStyle w:val="15"/>
          <w:rFonts w:hint="eastAsia" w:ascii="仿宋_GB2312" w:hAnsi="仿宋_GB2312" w:eastAsia="仿宋_GB2312" w:cs="仿宋_GB2312"/>
          <w:sz w:val="32"/>
          <w:szCs w:val="32"/>
          <w:shd w:val="clear" w:color="auto" w:fill="FFFFFF"/>
        </w:rPr>
        <w:t>预算绩效管理情况。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w:t>
      </w:r>
      <w:r>
        <w:rPr>
          <w:rFonts w:hint="eastAsia" w:ascii="仿宋_GB2312" w:hAnsi="仿宋_GB2312" w:eastAsia="仿宋_GB2312" w:cs="仿宋_GB2312"/>
          <w:sz w:val="32"/>
          <w:szCs w:val="32"/>
          <w:lang w:val="en-US" w:eastAsia="zh-CN"/>
        </w:rPr>
        <w:t>对宗教界代表认识培训费、佛协会长副会长补助2个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eastAsia="zh-CN"/>
        </w:rPr>
        <w:t>本单位</w:t>
      </w:r>
      <w:r>
        <w:rPr>
          <w:rFonts w:hint="eastAsia" w:ascii="仿宋_GB2312" w:hAnsi="仿宋_GB2312" w:eastAsia="仿宋_GB2312" w:cs="仿宋_GB2312"/>
          <w:sz w:val="32"/>
          <w:szCs w:val="32"/>
          <w:lang w:val="en-US" w:eastAsia="zh-CN"/>
        </w:rPr>
        <w:t>2个项目完成情况良好，严格按照本单位制定的目标绩效管理制度来开展绩效管理工作，项目资金为专项经费的，全部用于专项工作。整体工作开展良好经费全部按照相关管理办法使用。2024年</w:t>
      </w:r>
      <w:r>
        <w:rPr>
          <w:rFonts w:hint="eastAsia" w:ascii="仿宋_GB2312" w:hAnsi="仿宋_GB2312" w:eastAsia="仿宋_GB2312" w:cs="仿宋_GB2312"/>
          <w:sz w:val="32"/>
          <w:szCs w:val="32"/>
          <w:shd w:val="clear" w:color="auto" w:fill="FFFFFF"/>
        </w:rPr>
        <w:t>本部门未组织开展项目支出</w:t>
      </w:r>
      <w:r>
        <w:rPr>
          <w:rFonts w:hint="eastAsia" w:ascii="仿宋_GB2312" w:hAnsi="仿宋_GB2312" w:eastAsia="仿宋_GB2312" w:cs="仿宋_GB2312"/>
          <w:sz w:val="32"/>
          <w:szCs w:val="32"/>
          <w:shd w:val="clear" w:color="auto" w:fill="FFFFFF"/>
          <w:lang w:eastAsia="zh-CN"/>
        </w:rPr>
        <w:t>事后</w:t>
      </w:r>
      <w:r>
        <w:rPr>
          <w:rFonts w:hint="eastAsia" w:ascii="仿宋_GB2312" w:hAnsi="仿宋_GB2312" w:eastAsia="仿宋_GB2312" w:cs="仿宋_GB2312"/>
          <w:sz w:val="32"/>
          <w:szCs w:val="32"/>
          <w:shd w:val="clear" w:color="auto" w:fill="FFFFFF"/>
        </w:rPr>
        <w:t>绩效评价</w:t>
      </w:r>
      <w:r>
        <w:rPr>
          <w:rFonts w:hint="eastAsia" w:ascii="仿宋_GB2312" w:hAnsi="仿宋_GB2312" w:eastAsia="仿宋_GB2312" w:cs="仿宋_GB2312"/>
          <w:sz w:val="32"/>
          <w:szCs w:val="32"/>
          <w:shd w:val="clear" w:color="auto" w:fill="FFFFFF"/>
          <w:lang w:eastAsia="zh-CN"/>
        </w:rPr>
        <w:t>。</w:t>
      </w:r>
    </w:p>
    <w:p>
      <w:pPr>
        <w:numPr>
          <w:ilvl w:val="0"/>
          <w:numId w:val="6"/>
        </w:numPr>
        <w:spacing w:line="58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项目绩效目标完成情况。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统战部</w:t>
      </w:r>
      <w:r>
        <w:rPr>
          <w:rFonts w:hint="eastAsia" w:ascii="仿宋_GB2312" w:hAnsi="仿宋_GB2312" w:eastAsia="仿宋_GB2312" w:cs="仿宋_GB2312"/>
          <w:sz w:val="32"/>
          <w:szCs w:val="32"/>
        </w:rPr>
        <w:t>项目绩效目标完成情况综述。项目全年执行数为</w:t>
      </w:r>
      <w:r>
        <w:rPr>
          <w:rFonts w:hint="eastAsia" w:ascii="仿宋_GB2312" w:hAnsi="仿宋_GB2312" w:eastAsia="仿宋_GB2312" w:cs="仿宋_GB2312"/>
          <w:sz w:val="32"/>
          <w:szCs w:val="32"/>
          <w:lang w:val="en-US" w:eastAsia="zh-CN"/>
        </w:rPr>
        <w:t>15.75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val="en-US" w:eastAsia="zh-CN"/>
        </w:rPr>
        <w:t>2024年</w:t>
      </w:r>
      <w:r>
        <w:rPr>
          <w:rFonts w:hint="eastAsia" w:ascii="仿宋_GB2312" w:hAnsi="仿宋_GB2312" w:eastAsia="仿宋_GB2312" w:cs="仿宋_GB2312"/>
          <w:sz w:val="30"/>
          <w:szCs w:val="30"/>
        </w:rPr>
        <w:t>宗教界代表人士爱国主义教育北京考察团</w:t>
      </w:r>
      <w:r>
        <w:rPr>
          <w:rFonts w:hint="eastAsia" w:ascii="仿宋_GB2312" w:hAnsi="仿宋_GB2312" w:eastAsia="仿宋_GB2312" w:cs="仿宋_GB2312"/>
          <w:sz w:val="30"/>
          <w:szCs w:val="30"/>
          <w:lang w:val="en-US" w:eastAsia="zh-CN"/>
        </w:rPr>
        <w:t>和</w:t>
      </w:r>
      <w:r>
        <w:rPr>
          <w:rFonts w:hint="eastAsia" w:ascii="仿宋_GB2312" w:hAnsi="仿宋_GB2312" w:eastAsia="仿宋_GB2312" w:cs="仿宋_GB2312"/>
          <w:sz w:val="32"/>
          <w:szCs w:val="32"/>
          <w:lang w:val="en-US" w:eastAsia="zh-CN"/>
        </w:rPr>
        <w:t>佛协会长副会长补助发放的有相关工作的经费保障</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绩效指标编制还不太精准</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：提高绩效指标编制的精准度。</w:t>
      </w:r>
    </w:p>
    <w:tbl>
      <w:tblPr>
        <w:tblStyle w:val="13"/>
        <w:tblpPr w:leftFromText="180" w:rightFromText="180" w:vertAnchor="text" w:horzAnchor="page" w:tblpX="1492" w:tblpY="601"/>
        <w:tblOverlap w:val="never"/>
        <w:tblW w:w="9525" w:type="dxa"/>
        <w:tblInd w:w="0" w:type="dxa"/>
        <w:shd w:val="clear" w:color="auto" w:fill="auto"/>
        <w:tblLayout w:type="autofit"/>
        <w:tblCellMar>
          <w:top w:w="0" w:type="dxa"/>
          <w:left w:w="0" w:type="dxa"/>
          <w:bottom w:w="0" w:type="dxa"/>
          <w:right w:w="0" w:type="dxa"/>
        </w:tblCellMar>
      </w:tblPr>
      <w:tblGrid>
        <w:gridCol w:w="456"/>
        <w:gridCol w:w="1416"/>
        <w:gridCol w:w="1042"/>
        <w:gridCol w:w="1304"/>
        <w:gridCol w:w="1676"/>
        <w:gridCol w:w="977"/>
        <w:gridCol w:w="405"/>
        <w:gridCol w:w="1199"/>
        <w:gridCol w:w="1050"/>
      </w:tblGrid>
      <w:tr>
        <w:tblPrEx>
          <w:shd w:val="clear" w:color="auto" w:fill="auto"/>
          <w:tblCellMar>
            <w:top w:w="0" w:type="dxa"/>
            <w:left w:w="0" w:type="dxa"/>
            <w:bottom w:w="0" w:type="dxa"/>
            <w:right w:w="0" w:type="dxa"/>
          </w:tblCellMar>
        </w:tblPrEx>
        <w:trPr>
          <w:trHeight w:val="904" w:hRule="atLeast"/>
        </w:trPr>
        <w:tc>
          <w:tcPr>
            <w:tcW w:w="9529" w:type="dxa"/>
            <w:gridSpan w:val="9"/>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30"/>
                <w:szCs w:val="30"/>
                <w:u w:val="none"/>
              </w:rPr>
            </w:pPr>
            <w:r>
              <w:rPr>
                <w:rFonts w:hint="eastAsia" w:ascii="黑体" w:hAnsi="宋体" w:eastAsia="黑体" w:cs="黑体"/>
                <w:i w:val="0"/>
                <w:color w:val="000000"/>
                <w:kern w:val="0"/>
                <w:sz w:val="30"/>
                <w:szCs w:val="30"/>
                <w:u w:val="none"/>
                <w:lang w:val="en-US" w:eastAsia="zh-CN" w:bidi="ar"/>
              </w:rPr>
              <w:t>专项预算项目绩效目标申报表 (2024年度)</w:t>
            </w:r>
          </w:p>
        </w:tc>
      </w:tr>
      <w:tr>
        <w:tblPrEx>
          <w:shd w:val="clear" w:color="auto" w:fill="auto"/>
          <w:tblCellMar>
            <w:top w:w="0" w:type="dxa"/>
            <w:left w:w="0" w:type="dxa"/>
            <w:bottom w:w="0" w:type="dxa"/>
            <w:right w:w="0" w:type="dxa"/>
          </w:tblCellMar>
        </w:tblPrEx>
        <w:trPr>
          <w:trHeight w:val="569" w:hRule="atLeast"/>
        </w:trPr>
        <w:tc>
          <w:tcPr>
            <w:tcW w:w="42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“百千万工程”和“千人计划”宗教界代表人士培训费</w:t>
            </w:r>
          </w:p>
        </w:tc>
      </w:tr>
      <w:tr>
        <w:tblPrEx>
          <w:shd w:val="clear" w:color="auto" w:fill="auto"/>
          <w:tblCellMar>
            <w:top w:w="0" w:type="dxa"/>
            <w:left w:w="0" w:type="dxa"/>
            <w:bottom w:w="0" w:type="dxa"/>
            <w:right w:w="0" w:type="dxa"/>
          </w:tblCellMar>
        </w:tblPrEx>
        <w:trPr>
          <w:trHeight w:val="569" w:hRule="atLeast"/>
        </w:trPr>
        <w:tc>
          <w:tcPr>
            <w:tcW w:w="42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预算单位</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中共红原县委员会统战部机关</w:t>
            </w:r>
          </w:p>
        </w:tc>
      </w:tr>
      <w:tr>
        <w:tblPrEx>
          <w:shd w:val="clear" w:color="auto" w:fill="auto"/>
          <w:tblCellMar>
            <w:top w:w="0" w:type="dxa"/>
            <w:left w:w="0" w:type="dxa"/>
            <w:bottom w:w="0" w:type="dxa"/>
            <w:right w:w="0" w:type="dxa"/>
          </w:tblCellMar>
        </w:tblPrEx>
        <w:trPr>
          <w:trHeight w:val="569" w:hRule="atLeast"/>
        </w:trPr>
        <w:tc>
          <w:tcPr>
            <w:tcW w:w="42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项目类型</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保运转</w:t>
            </w:r>
          </w:p>
        </w:tc>
      </w:tr>
      <w:tr>
        <w:tblPrEx>
          <w:shd w:val="clear" w:color="auto" w:fill="auto"/>
          <w:tblCellMar>
            <w:top w:w="0" w:type="dxa"/>
            <w:left w:w="0" w:type="dxa"/>
            <w:bottom w:w="0" w:type="dxa"/>
            <w:right w:w="0" w:type="dxa"/>
          </w:tblCellMar>
        </w:tblPrEx>
        <w:trPr>
          <w:trHeight w:val="569" w:hRule="atLeast"/>
        </w:trPr>
        <w:tc>
          <w:tcPr>
            <w:tcW w:w="4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 目 概 况</w:t>
            </w:r>
          </w:p>
        </w:tc>
        <w:tc>
          <w:tcPr>
            <w:tcW w:w="37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中长期规划（名称、文号，仅指常年项目）</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48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7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资金管理办法（名称、文号）</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84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7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绩效分配方式</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因素法</w:t>
            </w:r>
          </w:p>
        </w:tc>
        <w:tc>
          <w:tcPr>
            <w:tcW w:w="13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项目法</w:t>
            </w:r>
          </w:p>
        </w:tc>
        <w:tc>
          <w:tcPr>
            <w:tcW w:w="1200"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据实据效</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因素法与项目法相结合</w:t>
            </w:r>
          </w:p>
        </w:tc>
      </w:tr>
      <w:tr>
        <w:tblPrEx>
          <w:shd w:val="clear" w:color="auto" w:fill="auto"/>
          <w:tblCellMar>
            <w:top w:w="0" w:type="dxa"/>
            <w:left w:w="0" w:type="dxa"/>
            <w:bottom w:w="0" w:type="dxa"/>
            <w:right w:w="0" w:type="dxa"/>
          </w:tblCellMar>
        </w:tblPrEx>
        <w:trPr>
          <w:trHeight w:val="56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7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立项依据</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56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7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使用范围</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56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7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申报（补助）条件</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56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7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项目起止年限</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2023</w:t>
            </w:r>
            <w:r>
              <w:rPr>
                <w:rFonts w:ascii="宋体" w:hAnsi="宋体" w:eastAsia="宋体" w:cs="宋体"/>
                <w:i w:val="0"/>
                <w:color w:val="000000"/>
                <w:kern w:val="0"/>
                <w:sz w:val="18"/>
                <w:szCs w:val="18"/>
                <w:u w:val="none"/>
                <w:lang w:val="en-US" w:eastAsia="zh-CN" w:bidi="ar"/>
              </w:rPr>
              <w:t>-9999</w:t>
            </w:r>
          </w:p>
        </w:tc>
      </w:tr>
      <w:tr>
        <w:tblPrEx>
          <w:shd w:val="clear" w:color="auto" w:fill="auto"/>
          <w:tblCellMar>
            <w:top w:w="0" w:type="dxa"/>
            <w:left w:w="0" w:type="dxa"/>
            <w:bottom w:w="0" w:type="dxa"/>
            <w:right w:w="0" w:type="dxa"/>
          </w:tblCellMar>
        </w:tblPrEx>
        <w:trPr>
          <w:trHeight w:val="569" w:hRule="atLeast"/>
        </w:trPr>
        <w:tc>
          <w:tcPr>
            <w:tcW w:w="187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项目资金（万元）</w:t>
            </w:r>
          </w:p>
        </w:tc>
        <w:tc>
          <w:tcPr>
            <w:tcW w:w="23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xml:space="preserve">  年度资金总额：</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4.00</w:t>
            </w:r>
          </w:p>
        </w:tc>
      </w:tr>
      <w:tr>
        <w:tblPrEx>
          <w:shd w:val="clear" w:color="auto" w:fill="auto"/>
          <w:tblCellMar>
            <w:top w:w="0" w:type="dxa"/>
            <w:left w:w="0" w:type="dxa"/>
            <w:bottom w:w="0" w:type="dxa"/>
            <w:right w:w="0" w:type="dxa"/>
          </w:tblCellMar>
        </w:tblPrEx>
        <w:trPr>
          <w:trHeight w:val="569" w:hRule="atLeast"/>
        </w:trPr>
        <w:tc>
          <w:tcPr>
            <w:tcW w:w="18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3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xml:space="preserve">       其中：财政拨款</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4.00</w:t>
            </w:r>
          </w:p>
        </w:tc>
      </w:tr>
      <w:tr>
        <w:tblPrEx>
          <w:shd w:val="clear" w:color="auto" w:fill="auto"/>
          <w:tblCellMar>
            <w:top w:w="0" w:type="dxa"/>
            <w:left w:w="0" w:type="dxa"/>
            <w:bottom w:w="0" w:type="dxa"/>
            <w:right w:w="0" w:type="dxa"/>
          </w:tblCellMar>
        </w:tblPrEx>
        <w:trPr>
          <w:trHeight w:val="569" w:hRule="atLeast"/>
        </w:trPr>
        <w:tc>
          <w:tcPr>
            <w:tcW w:w="18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3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xml:space="preserve">             其他资金</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r>
      <w:tr>
        <w:tblPrEx>
          <w:shd w:val="clear" w:color="auto" w:fill="auto"/>
          <w:tblCellMar>
            <w:top w:w="0" w:type="dxa"/>
            <w:left w:w="0" w:type="dxa"/>
            <w:bottom w:w="0" w:type="dxa"/>
            <w:right w:w="0" w:type="dxa"/>
          </w:tblCellMar>
        </w:tblPrEx>
        <w:trPr>
          <w:trHeight w:val="569" w:hRule="atLeast"/>
        </w:trPr>
        <w:tc>
          <w:tcPr>
            <w:tcW w:w="4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 体 目 标</w:t>
            </w:r>
          </w:p>
        </w:tc>
        <w:tc>
          <w:tcPr>
            <w:tcW w:w="907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年度目标</w:t>
            </w:r>
          </w:p>
        </w:tc>
      </w:tr>
      <w:tr>
        <w:tblPrEx>
          <w:shd w:val="clear" w:color="auto" w:fill="auto"/>
          <w:tblCellMar>
            <w:top w:w="0" w:type="dxa"/>
            <w:left w:w="0" w:type="dxa"/>
            <w:bottom w:w="0" w:type="dxa"/>
            <w:right w:w="0" w:type="dxa"/>
          </w:tblCellMar>
        </w:tblPrEx>
        <w:trPr>
          <w:trHeight w:val="940"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07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“百千万工程”和“千人计划”宗教界代表人士培训费</w:t>
            </w:r>
          </w:p>
        </w:tc>
      </w:tr>
      <w:tr>
        <w:tblPrEx>
          <w:shd w:val="clear" w:color="auto" w:fill="auto"/>
          <w:tblCellMar>
            <w:top w:w="0" w:type="dxa"/>
            <w:left w:w="0" w:type="dxa"/>
            <w:bottom w:w="0" w:type="dxa"/>
            <w:right w:w="0" w:type="dxa"/>
          </w:tblCellMar>
        </w:tblPrEx>
        <w:trPr>
          <w:trHeight w:val="1010" w:hRule="atLeast"/>
        </w:trPr>
        <w:tc>
          <w:tcPr>
            <w:tcW w:w="4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 效 指 标</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指标方向性</w:t>
            </w:r>
          </w:p>
        </w:tc>
      </w:tr>
      <w:tr>
        <w:tblPrEx>
          <w:shd w:val="clear" w:color="auto" w:fill="auto"/>
          <w:tblCellMar>
            <w:top w:w="0" w:type="dxa"/>
            <w:left w:w="0" w:type="dxa"/>
            <w:bottom w:w="0" w:type="dxa"/>
            <w:right w:w="0" w:type="dxa"/>
          </w:tblCellMar>
        </w:tblPrEx>
        <w:trPr>
          <w:trHeight w:val="618"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培训次数</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shd w:val="clear" w:color="auto" w:fill="auto"/>
          <w:tblCellMar>
            <w:top w:w="0" w:type="dxa"/>
            <w:left w:w="0" w:type="dxa"/>
            <w:bottom w:w="0" w:type="dxa"/>
            <w:right w:w="0" w:type="dxa"/>
          </w:tblCellMar>
        </w:tblPrEx>
        <w:trPr>
          <w:trHeight w:val="618"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服务效益</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shd w:val="clear" w:color="auto" w:fill="auto"/>
          <w:tblCellMar>
            <w:top w:w="0" w:type="dxa"/>
            <w:left w:w="0" w:type="dxa"/>
            <w:bottom w:w="0" w:type="dxa"/>
            <w:right w:w="0" w:type="dxa"/>
          </w:tblCellMar>
        </w:tblPrEx>
        <w:trPr>
          <w:trHeight w:val="618"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shd w:val="clear" w:color="auto" w:fill="auto"/>
          <w:tblCellMar>
            <w:top w:w="0" w:type="dxa"/>
            <w:left w:w="0" w:type="dxa"/>
            <w:bottom w:w="0" w:type="dxa"/>
            <w:right w:w="0" w:type="dxa"/>
          </w:tblCellMar>
        </w:tblPrEx>
        <w:trPr>
          <w:trHeight w:val="904" w:hRule="atLeast"/>
        </w:trPr>
        <w:tc>
          <w:tcPr>
            <w:tcW w:w="9529" w:type="dxa"/>
            <w:gridSpan w:val="9"/>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30"/>
                <w:szCs w:val="30"/>
                <w:u w:val="none"/>
              </w:rPr>
            </w:pPr>
            <w:r>
              <w:rPr>
                <w:rFonts w:hint="eastAsia" w:ascii="黑体" w:hAnsi="宋体" w:eastAsia="黑体" w:cs="黑体"/>
                <w:i w:val="0"/>
                <w:color w:val="000000"/>
                <w:kern w:val="0"/>
                <w:sz w:val="30"/>
                <w:szCs w:val="30"/>
                <w:u w:val="none"/>
                <w:lang w:val="en-US" w:eastAsia="zh-CN" w:bidi="ar"/>
              </w:rPr>
              <w:t>专项预算项目绩效目标申报表 (2024年度)</w:t>
            </w:r>
          </w:p>
        </w:tc>
      </w:tr>
      <w:tr>
        <w:tblPrEx>
          <w:shd w:val="clear" w:color="auto" w:fill="auto"/>
          <w:tblCellMar>
            <w:top w:w="0" w:type="dxa"/>
            <w:left w:w="0" w:type="dxa"/>
            <w:bottom w:w="0" w:type="dxa"/>
            <w:right w:w="0" w:type="dxa"/>
          </w:tblCellMar>
        </w:tblPrEx>
        <w:trPr>
          <w:trHeight w:val="569" w:hRule="atLeast"/>
        </w:trPr>
        <w:tc>
          <w:tcPr>
            <w:tcW w:w="42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佛协会长副会长补助</w:t>
            </w:r>
          </w:p>
        </w:tc>
      </w:tr>
      <w:tr>
        <w:tblPrEx>
          <w:shd w:val="clear" w:color="auto" w:fill="auto"/>
          <w:tblCellMar>
            <w:top w:w="0" w:type="dxa"/>
            <w:left w:w="0" w:type="dxa"/>
            <w:bottom w:w="0" w:type="dxa"/>
            <w:right w:w="0" w:type="dxa"/>
          </w:tblCellMar>
        </w:tblPrEx>
        <w:trPr>
          <w:trHeight w:val="569" w:hRule="atLeast"/>
        </w:trPr>
        <w:tc>
          <w:tcPr>
            <w:tcW w:w="42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预算单位</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中共红原县委员会统战部机关</w:t>
            </w:r>
          </w:p>
        </w:tc>
      </w:tr>
      <w:tr>
        <w:tblPrEx>
          <w:shd w:val="clear" w:color="auto" w:fill="auto"/>
          <w:tblCellMar>
            <w:top w:w="0" w:type="dxa"/>
            <w:left w:w="0" w:type="dxa"/>
            <w:bottom w:w="0" w:type="dxa"/>
            <w:right w:w="0" w:type="dxa"/>
          </w:tblCellMar>
        </w:tblPrEx>
        <w:trPr>
          <w:trHeight w:val="569" w:hRule="atLeast"/>
        </w:trPr>
        <w:tc>
          <w:tcPr>
            <w:tcW w:w="42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项目类型</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保运转</w:t>
            </w:r>
          </w:p>
        </w:tc>
      </w:tr>
      <w:tr>
        <w:tblPrEx>
          <w:shd w:val="clear" w:color="auto" w:fill="auto"/>
          <w:tblCellMar>
            <w:top w:w="0" w:type="dxa"/>
            <w:left w:w="0" w:type="dxa"/>
            <w:bottom w:w="0" w:type="dxa"/>
            <w:right w:w="0" w:type="dxa"/>
          </w:tblCellMar>
        </w:tblPrEx>
        <w:trPr>
          <w:trHeight w:val="569" w:hRule="atLeast"/>
        </w:trPr>
        <w:tc>
          <w:tcPr>
            <w:tcW w:w="4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 目 概 况</w:t>
            </w:r>
          </w:p>
        </w:tc>
        <w:tc>
          <w:tcPr>
            <w:tcW w:w="37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中长期规划（名称、文号，仅指常年项目）</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56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7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资金管理办法（名称、文号）</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56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7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绩效分配方式</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因素法</w:t>
            </w:r>
          </w:p>
        </w:tc>
        <w:tc>
          <w:tcPr>
            <w:tcW w:w="138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项目法</w:t>
            </w:r>
          </w:p>
        </w:tc>
        <w:tc>
          <w:tcPr>
            <w:tcW w:w="1200"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据实据效</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因素法与项目法相结合</w:t>
            </w:r>
          </w:p>
        </w:tc>
      </w:tr>
      <w:tr>
        <w:tblPrEx>
          <w:shd w:val="clear" w:color="auto" w:fill="auto"/>
          <w:tblCellMar>
            <w:top w:w="0" w:type="dxa"/>
            <w:left w:w="0" w:type="dxa"/>
            <w:bottom w:w="0" w:type="dxa"/>
            <w:right w:w="0" w:type="dxa"/>
          </w:tblCellMar>
        </w:tblPrEx>
        <w:trPr>
          <w:trHeight w:val="56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7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立项依据</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56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7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使用范围</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56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7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申报（补助）条件</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569"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37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项目起止年限</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2023</w:t>
            </w:r>
            <w:r>
              <w:rPr>
                <w:rFonts w:ascii="宋体" w:hAnsi="宋体" w:eastAsia="宋体" w:cs="宋体"/>
                <w:i w:val="0"/>
                <w:color w:val="000000"/>
                <w:kern w:val="0"/>
                <w:sz w:val="18"/>
                <w:szCs w:val="18"/>
                <w:u w:val="none"/>
                <w:lang w:val="en-US" w:eastAsia="zh-CN" w:bidi="ar"/>
              </w:rPr>
              <w:t>-9999</w:t>
            </w:r>
          </w:p>
        </w:tc>
      </w:tr>
      <w:tr>
        <w:tblPrEx>
          <w:shd w:val="clear" w:color="auto" w:fill="auto"/>
          <w:tblCellMar>
            <w:top w:w="0" w:type="dxa"/>
            <w:left w:w="0" w:type="dxa"/>
            <w:bottom w:w="0" w:type="dxa"/>
            <w:right w:w="0" w:type="dxa"/>
          </w:tblCellMar>
        </w:tblPrEx>
        <w:trPr>
          <w:trHeight w:val="569" w:hRule="atLeast"/>
        </w:trPr>
        <w:tc>
          <w:tcPr>
            <w:tcW w:w="187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项目资金（万元）</w:t>
            </w:r>
          </w:p>
        </w:tc>
        <w:tc>
          <w:tcPr>
            <w:tcW w:w="23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xml:space="preserve">  年度资金总额：</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1.37</w:t>
            </w:r>
          </w:p>
        </w:tc>
      </w:tr>
      <w:tr>
        <w:tblPrEx>
          <w:shd w:val="clear" w:color="auto" w:fill="auto"/>
          <w:tblCellMar>
            <w:top w:w="0" w:type="dxa"/>
            <w:left w:w="0" w:type="dxa"/>
            <w:bottom w:w="0" w:type="dxa"/>
            <w:right w:w="0" w:type="dxa"/>
          </w:tblCellMar>
        </w:tblPrEx>
        <w:trPr>
          <w:trHeight w:val="569" w:hRule="atLeast"/>
        </w:trPr>
        <w:tc>
          <w:tcPr>
            <w:tcW w:w="18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3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xml:space="preserve">       其中：财政拨款</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1.37</w:t>
            </w:r>
          </w:p>
        </w:tc>
      </w:tr>
      <w:tr>
        <w:tblPrEx>
          <w:shd w:val="clear" w:color="auto" w:fill="auto"/>
          <w:tblCellMar>
            <w:top w:w="0" w:type="dxa"/>
            <w:left w:w="0" w:type="dxa"/>
            <w:bottom w:w="0" w:type="dxa"/>
            <w:right w:w="0" w:type="dxa"/>
          </w:tblCellMar>
        </w:tblPrEx>
        <w:trPr>
          <w:trHeight w:val="569" w:hRule="atLeast"/>
        </w:trPr>
        <w:tc>
          <w:tcPr>
            <w:tcW w:w="18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3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 xml:space="preserve">             其他资金</w:t>
            </w:r>
          </w:p>
        </w:tc>
        <w:tc>
          <w:tcPr>
            <w:tcW w:w="53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r>
      <w:tr>
        <w:tblPrEx>
          <w:shd w:val="clear" w:color="auto" w:fill="auto"/>
          <w:tblCellMar>
            <w:top w:w="0" w:type="dxa"/>
            <w:left w:w="0" w:type="dxa"/>
            <w:bottom w:w="0" w:type="dxa"/>
            <w:right w:w="0" w:type="dxa"/>
          </w:tblCellMar>
        </w:tblPrEx>
        <w:trPr>
          <w:trHeight w:val="569" w:hRule="atLeast"/>
        </w:trPr>
        <w:tc>
          <w:tcPr>
            <w:tcW w:w="4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 体 目 标</w:t>
            </w:r>
          </w:p>
        </w:tc>
        <w:tc>
          <w:tcPr>
            <w:tcW w:w="907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年度目标</w:t>
            </w:r>
          </w:p>
        </w:tc>
      </w:tr>
      <w:tr>
        <w:tblPrEx>
          <w:shd w:val="clear" w:color="auto" w:fill="auto"/>
          <w:tblCellMar>
            <w:top w:w="0" w:type="dxa"/>
            <w:left w:w="0" w:type="dxa"/>
            <w:bottom w:w="0" w:type="dxa"/>
            <w:right w:w="0" w:type="dxa"/>
          </w:tblCellMar>
        </w:tblPrEx>
        <w:trPr>
          <w:trHeight w:val="3135"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07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佛协会长副会长补助</w:t>
            </w:r>
          </w:p>
        </w:tc>
      </w:tr>
      <w:tr>
        <w:tblPrEx>
          <w:shd w:val="clear" w:color="auto" w:fill="auto"/>
          <w:tblCellMar>
            <w:top w:w="0" w:type="dxa"/>
            <w:left w:w="0" w:type="dxa"/>
            <w:bottom w:w="0" w:type="dxa"/>
            <w:right w:w="0" w:type="dxa"/>
          </w:tblCellMar>
        </w:tblPrEx>
        <w:trPr>
          <w:trHeight w:val="1010" w:hRule="atLeast"/>
        </w:trPr>
        <w:tc>
          <w:tcPr>
            <w:tcW w:w="4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 效 指 标</w:t>
            </w: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指标方向性</w:t>
            </w:r>
          </w:p>
        </w:tc>
      </w:tr>
      <w:tr>
        <w:tblPrEx>
          <w:shd w:val="clear" w:color="auto" w:fill="auto"/>
          <w:tblCellMar>
            <w:top w:w="0" w:type="dxa"/>
            <w:left w:w="0" w:type="dxa"/>
            <w:bottom w:w="0" w:type="dxa"/>
            <w:right w:w="0" w:type="dxa"/>
          </w:tblCellMar>
        </w:tblPrEx>
        <w:trPr>
          <w:trHeight w:val="618"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补助人数</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shd w:val="clear" w:color="auto" w:fill="auto"/>
          <w:tblCellMar>
            <w:top w:w="0" w:type="dxa"/>
            <w:left w:w="0" w:type="dxa"/>
            <w:bottom w:w="0" w:type="dxa"/>
            <w:right w:w="0" w:type="dxa"/>
          </w:tblCellMar>
        </w:tblPrEx>
        <w:trPr>
          <w:trHeight w:val="618"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服务效益</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CellMar>
            <w:top w:w="0" w:type="dxa"/>
            <w:left w:w="0" w:type="dxa"/>
            <w:bottom w:w="0" w:type="dxa"/>
            <w:right w:w="0" w:type="dxa"/>
          </w:tblCellMar>
        </w:tblPrEx>
        <w:trPr>
          <w:trHeight w:val="618" w:hRule="atLeast"/>
        </w:trPr>
        <w:tc>
          <w:tcPr>
            <w:tcW w:w="4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正向指标</w:t>
            </w:r>
          </w:p>
        </w:tc>
      </w:tr>
      <w:tr>
        <w:tblPrEx>
          <w:tblCellMar>
            <w:top w:w="0" w:type="dxa"/>
            <w:left w:w="0" w:type="dxa"/>
            <w:bottom w:w="0" w:type="dxa"/>
            <w:right w:w="0" w:type="dxa"/>
          </w:tblCellMar>
        </w:tblPrEx>
        <w:trPr>
          <w:trHeight w:val="286" w:hRule="atLeast"/>
        </w:trPr>
        <w:tc>
          <w:tcPr>
            <w:tcW w:w="456"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17"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42"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305" w:type="dxa"/>
            <w:tcBorders>
              <w:top w:val="nil"/>
              <w:left w:val="nil"/>
              <w:bottom w:val="nil"/>
              <w:right w:val="nil"/>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pStyle w:val="12"/>
        <w:keepNext w:val="0"/>
        <w:keepLines w:val="0"/>
        <w:widowControl/>
        <w:numPr>
          <w:ilvl w:val="0"/>
          <w:numId w:val="0"/>
        </w:numPr>
        <w:suppressLineNumbers w:val="0"/>
        <w:ind w:leftChars="0" w:right="75" w:rightChars="0"/>
        <w:rPr>
          <w:rStyle w:val="15"/>
          <w:rFonts w:hint="eastAsia" w:ascii="仿宋_GB2312" w:hAnsi="仿宋_GB2312" w:eastAsia="仿宋_GB2312" w:cs="仿宋_GB2312"/>
          <w:sz w:val="32"/>
          <w:szCs w:val="32"/>
          <w:shd w:val="clear" w:color="auto" w:fill="FFFFFF"/>
        </w:rPr>
      </w:pPr>
    </w:p>
    <w:p>
      <w:pPr>
        <w:pStyle w:val="12"/>
        <w:keepNext w:val="0"/>
        <w:keepLines w:val="0"/>
        <w:widowControl/>
        <w:numPr>
          <w:ilvl w:val="0"/>
          <w:numId w:val="0"/>
        </w:numPr>
        <w:suppressLineNumbers w:val="0"/>
        <w:ind w:right="75" w:rightChars="0"/>
        <w:jc w:val="both"/>
        <w:outlineLvl w:val="0"/>
        <w:rPr>
          <w:rFonts w:hint="eastAsia" w:ascii="方正大标宋_GBK" w:hAnsi="方正大标宋_GBK" w:eastAsia="方正大标宋_GBK" w:cs="方正大标宋_GBK"/>
          <w:sz w:val="44"/>
          <w:szCs w:val="44"/>
          <w:shd w:val="clear" w:color="auto" w:fill="FFFFFF"/>
        </w:rPr>
      </w:pPr>
      <w:bookmarkStart w:id="17" w:name="_Toc26931"/>
    </w:p>
    <w:p>
      <w:pPr>
        <w:pStyle w:val="12"/>
        <w:keepNext w:val="0"/>
        <w:keepLines w:val="0"/>
        <w:widowControl/>
        <w:numPr>
          <w:ilvl w:val="0"/>
          <w:numId w:val="0"/>
        </w:numPr>
        <w:suppressLineNumbers w:val="0"/>
        <w:ind w:right="75" w:rightChars="0"/>
        <w:jc w:val="both"/>
        <w:outlineLvl w:val="0"/>
        <w:rPr>
          <w:rFonts w:hint="eastAsia" w:ascii="方正大标宋_GBK" w:hAnsi="方正大标宋_GBK" w:eastAsia="方正大标宋_GBK" w:cs="方正大标宋_GBK"/>
          <w:sz w:val="44"/>
          <w:szCs w:val="44"/>
          <w:shd w:val="clear" w:color="auto" w:fill="FFFFFF"/>
        </w:rPr>
      </w:pPr>
    </w:p>
    <w:p>
      <w:pPr>
        <w:pStyle w:val="12"/>
        <w:keepNext w:val="0"/>
        <w:keepLines w:val="0"/>
        <w:widowControl/>
        <w:numPr>
          <w:ilvl w:val="0"/>
          <w:numId w:val="0"/>
        </w:numPr>
        <w:suppressLineNumbers w:val="0"/>
        <w:ind w:right="75" w:rightChars="0"/>
        <w:jc w:val="both"/>
        <w:outlineLvl w:val="0"/>
        <w:rPr>
          <w:rFonts w:hint="eastAsia" w:ascii="方正大标宋_GBK" w:hAnsi="方正大标宋_GBK" w:eastAsia="方正大标宋_GBK" w:cs="方正大标宋_GBK"/>
          <w:sz w:val="44"/>
          <w:szCs w:val="44"/>
          <w:shd w:val="clear" w:color="auto" w:fill="FFFFFF"/>
        </w:rPr>
      </w:pPr>
      <w:bookmarkStart w:id="19" w:name="_GoBack"/>
      <w:bookmarkEnd w:id="19"/>
    </w:p>
    <w:p>
      <w:pPr>
        <w:pStyle w:val="12"/>
        <w:keepNext w:val="0"/>
        <w:keepLines w:val="0"/>
        <w:widowControl/>
        <w:numPr>
          <w:ilvl w:val="0"/>
          <w:numId w:val="0"/>
        </w:numPr>
        <w:suppressLineNumbers w:val="0"/>
        <w:ind w:right="75" w:rightChars="0"/>
        <w:jc w:val="both"/>
        <w:outlineLvl w:val="0"/>
        <w:rPr>
          <w:rFonts w:hint="eastAsia" w:ascii="方正大标宋_GBK" w:hAnsi="方正大标宋_GBK" w:eastAsia="方正大标宋_GBK" w:cs="方正大标宋_GBK"/>
          <w:sz w:val="44"/>
          <w:szCs w:val="44"/>
          <w:shd w:val="clear" w:color="auto" w:fill="FFFFFF"/>
        </w:rPr>
      </w:pPr>
    </w:p>
    <w:p>
      <w:pPr>
        <w:pStyle w:val="12"/>
        <w:keepNext w:val="0"/>
        <w:keepLines w:val="0"/>
        <w:widowControl/>
        <w:numPr>
          <w:ilvl w:val="0"/>
          <w:numId w:val="0"/>
        </w:numPr>
        <w:suppressLineNumbers w:val="0"/>
        <w:ind w:right="75" w:rightChars="0"/>
        <w:jc w:val="center"/>
        <w:outlineLvl w:val="0"/>
        <w:rPr>
          <w:rFonts w:hint="eastAsia" w:ascii="方正大标宋_GBK" w:hAnsi="方正大标宋_GBK" w:eastAsia="方正大标宋_GBK" w:cs="方正大标宋_GBK"/>
          <w:sz w:val="44"/>
          <w:szCs w:val="44"/>
          <w:shd w:val="clear" w:color="auto" w:fill="FFFFFF"/>
        </w:rPr>
      </w:pPr>
      <w:r>
        <w:rPr>
          <w:rFonts w:hint="eastAsia" w:ascii="方正大标宋_GBK" w:hAnsi="方正大标宋_GBK" w:eastAsia="方正大标宋_GBK" w:cs="方正大标宋_GBK"/>
          <w:sz w:val="44"/>
          <w:szCs w:val="44"/>
          <w:shd w:val="clear" w:color="auto" w:fill="FFFFFF"/>
          <w:lang w:eastAsia="zh-CN"/>
        </w:rPr>
        <w:t>第四部分</w:t>
      </w:r>
      <w:r>
        <w:rPr>
          <w:rFonts w:hint="eastAsia" w:ascii="方正大标宋_GBK" w:hAnsi="方正大标宋_GBK" w:eastAsia="方正大标宋_GBK" w:cs="方正大标宋_GBK"/>
          <w:sz w:val="44"/>
          <w:szCs w:val="44"/>
          <w:shd w:val="clear" w:color="auto" w:fill="FFFFFF"/>
          <w:lang w:val="en-US" w:eastAsia="zh-CN"/>
        </w:rPr>
        <w:t xml:space="preserve"> </w:t>
      </w:r>
      <w:r>
        <w:rPr>
          <w:rFonts w:hint="eastAsia" w:ascii="方正大标宋_GBK" w:hAnsi="方正大标宋_GBK" w:eastAsia="方正大标宋_GBK" w:cs="方正大标宋_GBK"/>
          <w:sz w:val="44"/>
          <w:szCs w:val="44"/>
          <w:shd w:val="clear" w:color="auto" w:fill="FFFFFF"/>
        </w:rPr>
        <w:t>名词解释</w:t>
      </w:r>
      <w:bookmarkEnd w:id="17"/>
    </w:p>
    <w:p>
      <w:pPr>
        <w:pStyle w:val="18"/>
        <w:spacing w:line="560" w:lineRule="exact"/>
        <w:ind w:firstLine="640" w:firstLineChars="200"/>
        <w:rPr>
          <w:rFonts w:ascii="仿宋_GB2312" w:eastAsia="仿宋_GB2312"/>
          <w:b w:val="0"/>
          <w:bCs w:val="0"/>
          <w:sz w:val="32"/>
          <w:szCs w:val="32"/>
        </w:rPr>
      </w:pPr>
      <w:r>
        <w:rPr>
          <w:rFonts w:ascii="仿宋_GB2312" w:eastAsia="仿宋_GB2312"/>
          <w:b w:val="0"/>
          <w:bCs w:val="0"/>
          <w:sz w:val="32"/>
          <w:szCs w:val="32"/>
        </w:rPr>
        <w:t>1.</w:t>
      </w:r>
      <w:r>
        <w:rPr>
          <w:rFonts w:hint="eastAsia" w:ascii="仿宋_GB2312" w:eastAsia="仿宋_GB2312"/>
          <w:b w:val="0"/>
          <w:bCs w:val="0"/>
          <w:sz w:val="32"/>
          <w:szCs w:val="32"/>
        </w:rPr>
        <w:t>财政拨款收入：指单位从同级财政部门取得的财政预算资金。</w:t>
      </w:r>
    </w:p>
    <w:p>
      <w:pPr>
        <w:pStyle w:val="18"/>
        <w:spacing w:line="560" w:lineRule="exact"/>
        <w:ind w:firstLine="640" w:firstLineChars="200"/>
        <w:rPr>
          <w:rFonts w:ascii="仿宋_GB2312" w:eastAsia="仿宋_GB2312"/>
          <w:b w:val="0"/>
          <w:bCs w:val="0"/>
          <w:sz w:val="32"/>
          <w:szCs w:val="32"/>
        </w:rPr>
      </w:pPr>
      <w:r>
        <w:rPr>
          <w:rFonts w:hint="eastAsia" w:ascii="仿宋_GB2312" w:eastAsia="仿宋_GB2312"/>
          <w:b w:val="0"/>
          <w:bCs w:val="0"/>
          <w:sz w:val="32"/>
          <w:szCs w:val="32"/>
          <w:lang w:val="en-US" w:eastAsia="zh-CN"/>
        </w:rPr>
        <w:t>2</w:t>
      </w:r>
      <w:r>
        <w:rPr>
          <w:rFonts w:ascii="仿宋_GB2312" w:eastAsia="仿宋_GB2312"/>
          <w:b w:val="0"/>
          <w:bCs w:val="0"/>
          <w:sz w:val="32"/>
          <w:szCs w:val="32"/>
        </w:rPr>
        <w:t>.</w:t>
      </w:r>
      <w:r>
        <w:rPr>
          <w:rFonts w:hint="eastAsia" w:ascii="仿宋_GB2312" w:eastAsia="仿宋_GB2312"/>
          <w:b w:val="0"/>
          <w:bCs w:val="0"/>
          <w:sz w:val="32"/>
          <w:szCs w:val="32"/>
        </w:rPr>
        <w:t>其他收入：指单位取得的除上述收入以外的各项收入。</w:t>
      </w:r>
      <w:r>
        <w:rPr>
          <w:rFonts w:ascii="仿宋_GB2312" w:eastAsia="仿宋_GB2312"/>
          <w:b w:val="0"/>
          <w:bCs w:val="0"/>
          <w:sz w:val="32"/>
          <w:szCs w:val="32"/>
        </w:rPr>
        <w:t xml:space="preserve"> </w:t>
      </w:r>
    </w:p>
    <w:p>
      <w:pPr>
        <w:pStyle w:val="18"/>
        <w:spacing w:line="560" w:lineRule="exact"/>
        <w:ind w:firstLine="640" w:firstLineChars="200"/>
        <w:rPr>
          <w:rFonts w:ascii="仿宋_GB2312" w:eastAsia="仿宋_GB2312"/>
          <w:b w:val="0"/>
          <w:bCs w:val="0"/>
          <w:sz w:val="32"/>
          <w:szCs w:val="32"/>
        </w:rPr>
      </w:pPr>
      <w:r>
        <w:rPr>
          <w:rFonts w:hint="eastAsia" w:ascii="仿宋_GB2312" w:eastAsia="仿宋_GB2312"/>
          <w:b w:val="0"/>
          <w:bCs w:val="0"/>
          <w:sz w:val="32"/>
          <w:szCs w:val="32"/>
          <w:lang w:val="en-US" w:eastAsia="zh-CN"/>
        </w:rPr>
        <w:t>3</w:t>
      </w:r>
      <w:r>
        <w:rPr>
          <w:rFonts w:ascii="仿宋_GB2312" w:eastAsia="仿宋_GB2312"/>
          <w:b w:val="0"/>
          <w:bCs w:val="0"/>
          <w:sz w:val="32"/>
          <w:szCs w:val="32"/>
        </w:rPr>
        <w:t>.</w:t>
      </w:r>
      <w:r>
        <w:rPr>
          <w:rFonts w:hint="eastAsia" w:ascii="仿宋_GB2312" w:eastAsia="仿宋_GB2312"/>
          <w:b w:val="0"/>
          <w:bCs w:val="0"/>
          <w:sz w:val="32"/>
          <w:szCs w:val="32"/>
        </w:rPr>
        <w:t>年初结转和结余：指以前年度尚未完成、结转到本年按有关规定继续使用的资金。</w:t>
      </w:r>
      <w:r>
        <w:rPr>
          <w:rFonts w:ascii="仿宋_GB2312" w:eastAsia="仿宋_GB2312"/>
          <w:b w:val="0"/>
          <w:bCs w:val="0"/>
          <w:sz w:val="32"/>
          <w:szCs w:val="32"/>
        </w:rPr>
        <w:t xml:space="preserve"> </w:t>
      </w:r>
    </w:p>
    <w:p>
      <w:pPr>
        <w:pStyle w:val="18"/>
        <w:spacing w:line="560" w:lineRule="exact"/>
        <w:ind w:firstLine="640" w:firstLineChars="200"/>
        <w:rPr>
          <w:rFonts w:ascii="仿宋_GB2312" w:eastAsia="仿宋_GB2312"/>
          <w:sz w:val="32"/>
          <w:szCs w:val="32"/>
        </w:rPr>
      </w:pPr>
      <w:r>
        <w:rPr>
          <w:rFonts w:hint="eastAsia" w:ascii="仿宋_GB2312" w:eastAsia="仿宋_GB2312"/>
          <w:b w:val="0"/>
          <w:bCs w:val="0"/>
          <w:sz w:val="32"/>
          <w:szCs w:val="32"/>
          <w:lang w:val="en-US" w:eastAsia="zh-CN"/>
        </w:rPr>
        <w:t>4</w:t>
      </w:r>
      <w:r>
        <w:rPr>
          <w:rFonts w:hint="eastAsia" w:ascii="仿宋_GB2312" w:eastAsia="仿宋_GB2312"/>
          <w:b w:val="0"/>
          <w:bCs w:val="0"/>
          <w:sz w:val="32"/>
          <w:szCs w:val="32"/>
        </w:rPr>
        <w:t>、年末结转和结余：指单位按有关规定结转到下年或以后年度继续使用的资金</w:t>
      </w:r>
      <w:r>
        <w:rPr>
          <w:rFonts w:hint="eastAsia" w:ascii="仿宋_GB2312" w:eastAsia="仿宋_GB2312"/>
          <w:sz w:val="32"/>
          <w:szCs w:val="32"/>
        </w:rPr>
        <w:t>。</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2013401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统战部行政运行，反映人员经费与日常公用经费的支出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2013402指县级领导联系寺庙和僧尼慰问金的支出。2013404指佛协会长和副会长每个月发放的补助等方面的支出。</w:t>
      </w:r>
    </w:p>
    <w:p>
      <w:pPr>
        <w:numPr>
          <w:ilvl w:val="0"/>
          <w:numId w:val="0"/>
        </w:num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2080505</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2080506指机关事业单位职业年金缴费支出。</w:t>
      </w:r>
    </w:p>
    <w:p>
      <w:pPr>
        <w:numPr>
          <w:ilvl w:val="0"/>
          <w:numId w:val="0"/>
        </w:num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2101101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行政单位医疗支出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2101103指公务员医疗补助。</w:t>
      </w:r>
    </w:p>
    <w:p>
      <w:pPr>
        <w:ind w:firstLine="640" w:firstLineChars="200"/>
        <w:rPr>
          <w:rFonts w:ascii="仿宋" w:hAnsi="仿宋" w:eastAsia="仿宋"/>
          <w:b/>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住房保障</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2210201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11.</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2"/>
        <w:keepNext w:val="0"/>
        <w:keepLines w:val="0"/>
        <w:widowControl/>
        <w:numPr>
          <w:ilvl w:val="0"/>
          <w:numId w:val="0"/>
        </w:numPr>
        <w:suppressLineNumbers w:val="0"/>
        <w:shd w:val="clear" w:color="auto" w:fill="auto"/>
        <w:spacing w:before="100" w:beforeAutospacing="1" w:after="100" w:afterAutospacing="1"/>
        <w:ind w:right="75" w:rightChars="0"/>
        <w:jc w:val="both"/>
        <w:rPr>
          <w:rFonts w:hint="eastAsia" w:ascii="黑体" w:hAnsi="黑体" w:eastAsia="黑体" w:cs="黑体"/>
          <w:sz w:val="30"/>
          <w:szCs w:val="30"/>
          <w:shd w:val="clear" w:color="auto" w:fill="FFFFFF"/>
        </w:rPr>
      </w:pPr>
      <w:r>
        <w:rPr>
          <w:rFonts w:hint="eastAsia" w:ascii="仿宋_GB2312" w:eastAsia="仿宋_GB2312"/>
          <w:sz w:val="32"/>
          <w:szCs w:val="32"/>
          <w:lang w:val="en-US" w:eastAsia="zh-CN"/>
        </w:rPr>
        <w:t>12.</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宋体"/>
          <w:b/>
          <w:color w:val="000000"/>
          <w:sz w:val="30"/>
          <w:szCs w:val="30"/>
        </w:rPr>
        <w:br w:type="page"/>
      </w:r>
    </w:p>
    <w:p>
      <w:pPr>
        <w:pStyle w:val="12"/>
        <w:keepNext w:val="0"/>
        <w:keepLines w:val="0"/>
        <w:widowControl/>
        <w:suppressLineNumbers w:val="0"/>
        <w:ind w:right="75"/>
        <w:jc w:val="center"/>
        <w:outlineLvl w:val="0"/>
        <w:rPr>
          <w:rFonts w:hint="eastAsia" w:ascii="黑体" w:hAnsi="黑体" w:eastAsia="黑体" w:cs="黑体"/>
          <w:sz w:val="44"/>
          <w:szCs w:val="44"/>
        </w:rPr>
      </w:pPr>
      <w:bookmarkStart w:id="18" w:name="_Toc29972"/>
      <w:r>
        <w:rPr>
          <w:rFonts w:hint="eastAsia" w:ascii="黑体" w:hAnsi="黑体" w:eastAsia="黑体" w:cs="黑体"/>
          <w:sz w:val="44"/>
          <w:szCs w:val="44"/>
          <w:shd w:val="clear" w:color="auto" w:fill="FFFFFF"/>
        </w:rPr>
        <w:t>第</w:t>
      </w:r>
      <w:r>
        <w:rPr>
          <w:rFonts w:hint="eastAsia" w:ascii="黑体" w:hAnsi="黑体" w:eastAsia="黑体" w:cs="黑体"/>
          <w:sz w:val="44"/>
          <w:szCs w:val="44"/>
          <w:shd w:val="clear" w:color="auto" w:fill="FFFFFF"/>
          <w:lang w:eastAsia="zh-CN"/>
        </w:rPr>
        <w:t>四</w:t>
      </w:r>
      <w:r>
        <w:rPr>
          <w:rFonts w:hint="eastAsia" w:ascii="黑体" w:hAnsi="黑体" w:eastAsia="黑体" w:cs="黑体"/>
          <w:sz w:val="44"/>
          <w:szCs w:val="44"/>
          <w:shd w:val="clear" w:color="auto" w:fill="FFFFFF"/>
        </w:rPr>
        <w:t>部分 附表</w:t>
      </w:r>
      <w:bookmarkEnd w:id="18"/>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一、收入支出决算总表</w:t>
      </w:r>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二、收入决算表</w:t>
      </w:r>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三、支出决算表</w:t>
      </w:r>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四、财政拨款收入支出决算总表</w:t>
      </w:r>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五、财政拨款支出决算明细表</w:t>
      </w:r>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六、一般公共预算财政拨款支出决算表</w:t>
      </w:r>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七、一般公共预算财政拨款支出决算明细表</w:t>
      </w:r>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八、一般公共预算财政拨款基本支出决算表</w:t>
      </w:r>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九、一般公共预算财政拨款项目支出决算表</w:t>
      </w:r>
    </w:p>
    <w:p>
      <w:pPr>
        <w:pStyle w:val="12"/>
        <w:keepNext w:val="0"/>
        <w:keepLines w:val="0"/>
        <w:widowControl/>
        <w:suppressLineNumbers w:val="0"/>
        <w:ind w:left="0" w:right="75"/>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十、一般公共预算财政拨款“三公”经费支出决算表</w:t>
      </w:r>
    </w:p>
    <w:p/>
    <w:sectPr>
      <w:footerReference r:id="rId3"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3000509000000000000"/>
    <w:charset w:val="86"/>
    <w:family w:val="auto"/>
    <w:pitch w:val="default"/>
    <w:sig w:usb0="00000000" w:usb1="00000000" w:usb2="00000000" w:usb3="00000000" w:csb0="00040000" w:csb1="00000000"/>
  </w:font>
  <w:font w:name="方正大标宋_GBK">
    <w:altName w:val="宋体"/>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9BF496"/>
    <w:multiLevelType w:val="singleLevel"/>
    <w:tmpl w:val="1A9BF496"/>
    <w:lvl w:ilvl="0" w:tentative="0">
      <w:start w:val="2"/>
      <w:numFmt w:val="chineseCounting"/>
      <w:suff w:val="space"/>
      <w:lvlText w:val="%1、"/>
      <w:lvlJc w:val="left"/>
      <w:rPr>
        <w:rFonts w:hint="eastAsia"/>
      </w:rPr>
    </w:lvl>
  </w:abstractNum>
  <w:abstractNum w:abstractNumId="1">
    <w:nsid w:val="3F606127"/>
    <w:multiLevelType w:val="singleLevel"/>
    <w:tmpl w:val="3F606127"/>
    <w:lvl w:ilvl="0" w:tentative="0">
      <w:start w:val="8"/>
      <w:numFmt w:val="chineseCounting"/>
      <w:suff w:val="nothing"/>
      <w:lvlText w:val="%1、"/>
      <w:lvlJc w:val="left"/>
      <w:rPr>
        <w:rFonts w:hint="eastAsia"/>
      </w:rPr>
    </w:lvl>
  </w:abstractNum>
  <w:abstractNum w:abstractNumId="2">
    <w:nsid w:val="5708D7AD"/>
    <w:multiLevelType w:val="singleLevel"/>
    <w:tmpl w:val="5708D7AD"/>
    <w:lvl w:ilvl="0" w:tentative="0">
      <w:start w:val="2"/>
      <w:numFmt w:val="chineseCounting"/>
      <w:suff w:val="nothing"/>
      <w:lvlText w:val="（%1）"/>
      <w:lvlJc w:val="left"/>
      <w:rPr>
        <w:rFonts w:hint="eastAsia"/>
      </w:rPr>
    </w:lvl>
  </w:abstractNum>
  <w:abstractNum w:abstractNumId="3">
    <w:nsid w:val="5F819D8E"/>
    <w:multiLevelType w:val="singleLevel"/>
    <w:tmpl w:val="5F819D8E"/>
    <w:lvl w:ilvl="0" w:tentative="0">
      <w:start w:val="1"/>
      <w:numFmt w:val="decimal"/>
      <w:lvlText w:val="%1."/>
      <w:lvlJc w:val="left"/>
      <w:pPr>
        <w:tabs>
          <w:tab w:val="left" w:pos="312"/>
        </w:tabs>
      </w:pPr>
    </w:lvl>
  </w:abstractNum>
  <w:abstractNum w:abstractNumId="4">
    <w:nsid w:val="5F81B4ED"/>
    <w:multiLevelType w:val="singleLevel"/>
    <w:tmpl w:val="5F81B4ED"/>
    <w:lvl w:ilvl="0" w:tentative="0">
      <w:start w:val="1"/>
      <w:numFmt w:val="decimal"/>
      <w:lvlText w:val="%1."/>
      <w:lvlJc w:val="left"/>
      <w:pPr>
        <w:tabs>
          <w:tab w:val="left" w:pos="312"/>
        </w:tabs>
      </w:pPr>
    </w:lvl>
  </w:abstractNum>
  <w:abstractNum w:abstractNumId="5">
    <w:nsid w:val="7AAC1CBD"/>
    <w:multiLevelType w:val="singleLevel"/>
    <w:tmpl w:val="7AAC1CBD"/>
    <w:lvl w:ilvl="0" w:tentative="0">
      <w:start w:val="2"/>
      <w:numFmt w:val="chineseCounting"/>
      <w:suff w:val="nothing"/>
      <w:lvlText w:val="（%1）"/>
      <w:lvlJc w:val="left"/>
      <w:rPr>
        <w:rFonts w:hint="eastAsia"/>
      </w:r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RkOWVlZDU1Y2MzNTI1ZmI4MWU1NDUzMWRhYjEwZWUifQ=="/>
  </w:docVars>
  <w:rsids>
    <w:rsidRoot w:val="00000000"/>
    <w:rsid w:val="00434707"/>
    <w:rsid w:val="00882313"/>
    <w:rsid w:val="00AE4F7F"/>
    <w:rsid w:val="00BF0852"/>
    <w:rsid w:val="01AA4EAC"/>
    <w:rsid w:val="01AB3A4C"/>
    <w:rsid w:val="01D82154"/>
    <w:rsid w:val="01DB0E98"/>
    <w:rsid w:val="020502B8"/>
    <w:rsid w:val="02346274"/>
    <w:rsid w:val="02537415"/>
    <w:rsid w:val="027D28AA"/>
    <w:rsid w:val="028316E6"/>
    <w:rsid w:val="031443F2"/>
    <w:rsid w:val="034F0B7A"/>
    <w:rsid w:val="03B10B2C"/>
    <w:rsid w:val="03E52A27"/>
    <w:rsid w:val="0421370F"/>
    <w:rsid w:val="0490450B"/>
    <w:rsid w:val="051E63A0"/>
    <w:rsid w:val="05253159"/>
    <w:rsid w:val="0536478E"/>
    <w:rsid w:val="05C6221A"/>
    <w:rsid w:val="05CA37E6"/>
    <w:rsid w:val="05D7599E"/>
    <w:rsid w:val="05DE2065"/>
    <w:rsid w:val="060415DA"/>
    <w:rsid w:val="061D2498"/>
    <w:rsid w:val="062705AF"/>
    <w:rsid w:val="0648585F"/>
    <w:rsid w:val="067611B1"/>
    <w:rsid w:val="06A51A29"/>
    <w:rsid w:val="06DF2C3C"/>
    <w:rsid w:val="070B26D8"/>
    <w:rsid w:val="073716F3"/>
    <w:rsid w:val="077C0152"/>
    <w:rsid w:val="07A66CD3"/>
    <w:rsid w:val="07AB12F0"/>
    <w:rsid w:val="07B54630"/>
    <w:rsid w:val="07C77358"/>
    <w:rsid w:val="07CC79AF"/>
    <w:rsid w:val="07D3114D"/>
    <w:rsid w:val="07E05898"/>
    <w:rsid w:val="082C4878"/>
    <w:rsid w:val="08B1427D"/>
    <w:rsid w:val="08D266EA"/>
    <w:rsid w:val="08E5531C"/>
    <w:rsid w:val="09201BFE"/>
    <w:rsid w:val="094712F2"/>
    <w:rsid w:val="0958647E"/>
    <w:rsid w:val="0963660A"/>
    <w:rsid w:val="09A4358F"/>
    <w:rsid w:val="09BF4822"/>
    <w:rsid w:val="09DA3F82"/>
    <w:rsid w:val="0A0B0C2D"/>
    <w:rsid w:val="0A1A2BF9"/>
    <w:rsid w:val="0B6775DA"/>
    <w:rsid w:val="0BE72A8C"/>
    <w:rsid w:val="0C1C28F1"/>
    <w:rsid w:val="0C5533EE"/>
    <w:rsid w:val="0C7557E1"/>
    <w:rsid w:val="0CB8599E"/>
    <w:rsid w:val="0CE63DEF"/>
    <w:rsid w:val="0D5709C4"/>
    <w:rsid w:val="0D986AD4"/>
    <w:rsid w:val="0DA32FF9"/>
    <w:rsid w:val="0E016246"/>
    <w:rsid w:val="0EB94B23"/>
    <w:rsid w:val="0EC07938"/>
    <w:rsid w:val="0EEF2024"/>
    <w:rsid w:val="0F396866"/>
    <w:rsid w:val="0F547819"/>
    <w:rsid w:val="0F690061"/>
    <w:rsid w:val="0F763753"/>
    <w:rsid w:val="0FBD1976"/>
    <w:rsid w:val="0FF22613"/>
    <w:rsid w:val="10DF26FC"/>
    <w:rsid w:val="110E5233"/>
    <w:rsid w:val="11142387"/>
    <w:rsid w:val="112A1720"/>
    <w:rsid w:val="118E4E05"/>
    <w:rsid w:val="119A0988"/>
    <w:rsid w:val="12394A8E"/>
    <w:rsid w:val="12474DC8"/>
    <w:rsid w:val="12A832B2"/>
    <w:rsid w:val="131721D3"/>
    <w:rsid w:val="132E4395"/>
    <w:rsid w:val="134D5D4F"/>
    <w:rsid w:val="137E4D53"/>
    <w:rsid w:val="138B30ED"/>
    <w:rsid w:val="13F47D19"/>
    <w:rsid w:val="14115F03"/>
    <w:rsid w:val="1444516F"/>
    <w:rsid w:val="14886F81"/>
    <w:rsid w:val="14B70C97"/>
    <w:rsid w:val="14B82E87"/>
    <w:rsid w:val="14C217F5"/>
    <w:rsid w:val="14E24DF8"/>
    <w:rsid w:val="15922051"/>
    <w:rsid w:val="16103683"/>
    <w:rsid w:val="16316871"/>
    <w:rsid w:val="168B7E06"/>
    <w:rsid w:val="16C15210"/>
    <w:rsid w:val="177E08EB"/>
    <w:rsid w:val="178664AD"/>
    <w:rsid w:val="178819C8"/>
    <w:rsid w:val="179E22FC"/>
    <w:rsid w:val="17A25E76"/>
    <w:rsid w:val="17AE4B25"/>
    <w:rsid w:val="180B7CE7"/>
    <w:rsid w:val="18212609"/>
    <w:rsid w:val="183068D9"/>
    <w:rsid w:val="18D93743"/>
    <w:rsid w:val="18E62C48"/>
    <w:rsid w:val="19C2220A"/>
    <w:rsid w:val="19D3533F"/>
    <w:rsid w:val="19E524F1"/>
    <w:rsid w:val="19F3214F"/>
    <w:rsid w:val="19F76004"/>
    <w:rsid w:val="1A1664F5"/>
    <w:rsid w:val="1A4E5F71"/>
    <w:rsid w:val="1AA22996"/>
    <w:rsid w:val="1AAF5697"/>
    <w:rsid w:val="1B3E1A8A"/>
    <w:rsid w:val="1B460B6A"/>
    <w:rsid w:val="1B585811"/>
    <w:rsid w:val="1BAB2C52"/>
    <w:rsid w:val="1BEB2F32"/>
    <w:rsid w:val="1BEF4D2F"/>
    <w:rsid w:val="1C48338F"/>
    <w:rsid w:val="1C5E0F45"/>
    <w:rsid w:val="1D207523"/>
    <w:rsid w:val="1D5303AD"/>
    <w:rsid w:val="1D5D797F"/>
    <w:rsid w:val="1D8F2651"/>
    <w:rsid w:val="1DA21552"/>
    <w:rsid w:val="1E987B24"/>
    <w:rsid w:val="1EE82024"/>
    <w:rsid w:val="1EF276F2"/>
    <w:rsid w:val="1FE7137A"/>
    <w:rsid w:val="1FF54367"/>
    <w:rsid w:val="20212729"/>
    <w:rsid w:val="20301BBB"/>
    <w:rsid w:val="20583D8E"/>
    <w:rsid w:val="20726215"/>
    <w:rsid w:val="20C1152C"/>
    <w:rsid w:val="20F6042F"/>
    <w:rsid w:val="210A7163"/>
    <w:rsid w:val="211C0ADF"/>
    <w:rsid w:val="21792825"/>
    <w:rsid w:val="222B40B1"/>
    <w:rsid w:val="223F7844"/>
    <w:rsid w:val="224A43EF"/>
    <w:rsid w:val="22731111"/>
    <w:rsid w:val="22AC0362"/>
    <w:rsid w:val="22B77DFC"/>
    <w:rsid w:val="233B7821"/>
    <w:rsid w:val="236F714F"/>
    <w:rsid w:val="23945201"/>
    <w:rsid w:val="23DE3E34"/>
    <w:rsid w:val="24007643"/>
    <w:rsid w:val="24175559"/>
    <w:rsid w:val="241755C0"/>
    <w:rsid w:val="246837AC"/>
    <w:rsid w:val="24C57EDA"/>
    <w:rsid w:val="24DD7B97"/>
    <w:rsid w:val="24EB4C10"/>
    <w:rsid w:val="2519214E"/>
    <w:rsid w:val="258520EB"/>
    <w:rsid w:val="258B34CC"/>
    <w:rsid w:val="25913412"/>
    <w:rsid w:val="25DE3EBC"/>
    <w:rsid w:val="25E847EB"/>
    <w:rsid w:val="25FA1985"/>
    <w:rsid w:val="262E222F"/>
    <w:rsid w:val="2637183E"/>
    <w:rsid w:val="26451A73"/>
    <w:rsid w:val="26710BB7"/>
    <w:rsid w:val="26BF635F"/>
    <w:rsid w:val="26C575ED"/>
    <w:rsid w:val="26E518CB"/>
    <w:rsid w:val="2790625B"/>
    <w:rsid w:val="282C4404"/>
    <w:rsid w:val="28716A14"/>
    <w:rsid w:val="28933F38"/>
    <w:rsid w:val="289878DC"/>
    <w:rsid w:val="28C55AD9"/>
    <w:rsid w:val="28D241CA"/>
    <w:rsid w:val="296D1C1C"/>
    <w:rsid w:val="297A12B6"/>
    <w:rsid w:val="29DE6E95"/>
    <w:rsid w:val="29E8073E"/>
    <w:rsid w:val="2AD0333C"/>
    <w:rsid w:val="2B0D641D"/>
    <w:rsid w:val="2B4D0B0B"/>
    <w:rsid w:val="2B553AD6"/>
    <w:rsid w:val="2BDD0703"/>
    <w:rsid w:val="2C255858"/>
    <w:rsid w:val="2C3C0AA3"/>
    <w:rsid w:val="2C515C43"/>
    <w:rsid w:val="2C625793"/>
    <w:rsid w:val="2C685E12"/>
    <w:rsid w:val="2C687D7E"/>
    <w:rsid w:val="2C962229"/>
    <w:rsid w:val="2D1202A0"/>
    <w:rsid w:val="2D7660A9"/>
    <w:rsid w:val="2D7B4423"/>
    <w:rsid w:val="2D966C65"/>
    <w:rsid w:val="2DAA33B4"/>
    <w:rsid w:val="2DBB4CD6"/>
    <w:rsid w:val="2DF35DE3"/>
    <w:rsid w:val="2E216696"/>
    <w:rsid w:val="2E4E3132"/>
    <w:rsid w:val="2ED35FEE"/>
    <w:rsid w:val="2F0837E9"/>
    <w:rsid w:val="2F0F38BF"/>
    <w:rsid w:val="300155EC"/>
    <w:rsid w:val="301B7656"/>
    <w:rsid w:val="30B32B6A"/>
    <w:rsid w:val="30F53504"/>
    <w:rsid w:val="311C73A5"/>
    <w:rsid w:val="31327FBF"/>
    <w:rsid w:val="31A01291"/>
    <w:rsid w:val="31BF2947"/>
    <w:rsid w:val="32310A70"/>
    <w:rsid w:val="32371862"/>
    <w:rsid w:val="32D95A0C"/>
    <w:rsid w:val="332E4AE7"/>
    <w:rsid w:val="33C806E8"/>
    <w:rsid w:val="33D76F63"/>
    <w:rsid w:val="340D57A7"/>
    <w:rsid w:val="34666631"/>
    <w:rsid w:val="34D825DC"/>
    <w:rsid w:val="35897E51"/>
    <w:rsid w:val="359840AF"/>
    <w:rsid w:val="35B725AC"/>
    <w:rsid w:val="362E2769"/>
    <w:rsid w:val="368D7CB3"/>
    <w:rsid w:val="36974F61"/>
    <w:rsid w:val="36EE35C7"/>
    <w:rsid w:val="370A6D37"/>
    <w:rsid w:val="372A5155"/>
    <w:rsid w:val="378679C0"/>
    <w:rsid w:val="37B620D9"/>
    <w:rsid w:val="380B19D2"/>
    <w:rsid w:val="38543E6C"/>
    <w:rsid w:val="38BA0F7B"/>
    <w:rsid w:val="38EF74E5"/>
    <w:rsid w:val="39236D35"/>
    <w:rsid w:val="394E3FF7"/>
    <w:rsid w:val="39BA735C"/>
    <w:rsid w:val="3A2D0421"/>
    <w:rsid w:val="3A6D6A8B"/>
    <w:rsid w:val="3ADB7C96"/>
    <w:rsid w:val="3BB04D60"/>
    <w:rsid w:val="3BED2C50"/>
    <w:rsid w:val="3BFC3FDB"/>
    <w:rsid w:val="3C011FE7"/>
    <w:rsid w:val="3C013AEF"/>
    <w:rsid w:val="3CCA6242"/>
    <w:rsid w:val="3D317CFB"/>
    <w:rsid w:val="3D333223"/>
    <w:rsid w:val="3D552E83"/>
    <w:rsid w:val="3DBD6105"/>
    <w:rsid w:val="3E6C046F"/>
    <w:rsid w:val="3E8B7104"/>
    <w:rsid w:val="3ED0469E"/>
    <w:rsid w:val="3ED567EC"/>
    <w:rsid w:val="3F0D4CDF"/>
    <w:rsid w:val="3F2B07ED"/>
    <w:rsid w:val="3F6B04FB"/>
    <w:rsid w:val="3FF37002"/>
    <w:rsid w:val="3FFC5AEC"/>
    <w:rsid w:val="40207691"/>
    <w:rsid w:val="40670939"/>
    <w:rsid w:val="40B94C7A"/>
    <w:rsid w:val="40C946F8"/>
    <w:rsid w:val="413D21FB"/>
    <w:rsid w:val="4194717D"/>
    <w:rsid w:val="41CF3D80"/>
    <w:rsid w:val="41FD7E19"/>
    <w:rsid w:val="420E53DF"/>
    <w:rsid w:val="425759EC"/>
    <w:rsid w:val="426129D8"/>
    <w:rsid w:val="429066C1"/>
    <w:rsid w:val="42FE1BA9"/>
    <w:rsid w:val="432510B5"/>
    <w:rsid w:val="43476B48"/>
    <w:rsid w:val="43573315"/>
    <w:rsid w:val="43907DB5"/>
    <w:rsid w:val="4392081E"/>
    <w:rsid w:val="439D249C"/>
    <w:rsid w:val="43A81AF1"/>
    <w:rsid w:val="43C52E54"/>
    <w:rsid w:val="43E40F93"/>
    <w:rsid w:val="441735B8"/>
    <w:rsid w:val="442268FD"/>
    <w:rsid w:val="445F11C3"/>
    <w:rsid w:val="445F5F22"/>
    <w:rsid w:val="4467423E"/>
    <w:rsid w:val="44D01669"/>
    <w:rsid w:val="44F2368F"/>
    <w:rsid w:val="458601C6"/>
    <w:rsid w:val="45CB0480"/>
    <w:rsid w:val="45CE4A1B"/>
    <w:rsid w:val="45E246F4"/>
    <w:rsid w:val="461B7925"/>
    <w:rsid w:val="461D0212"/>
    <w:rsid w:val="463C07F3"/>
    <w:rsid w:val="464756DB"/>
    <w:rsid w:val="467F754D"/>
    <w:rsid w:val="4692052E"/>
    <w:rsid w:val="46C0506A"/>
    <w:rsid w:val="470B61AF"/>
    <w:rsid w:val="471A7CA7"/>
    <w:rsid w:val="47621D3C"/>
    <w:rsid w:val="476E1465"/>
    <w:rsid w:val="47777BC1"/>
    <w:rsid w:val="479122C3"/>
    <w:rsid w:val="479F37B7"/>
    <w:rsid w:val="481C5609"/>
    <w:rsid w:val="481F5071"/>
    <w:rsid w:val="483B44C3"/>
    <w:rsid w:val="48C53338"/>
    <w:rsid w:val="4910453A"/>
    <w:rsid w:val="491D45E4"/>
    <w:rsid w:val="493F4F1F"/>
    <w:rsid w:val="49A55D01"/>
    <w:rsid w:val="49FA5C62"/>
    <w:rsid w:val="4A374A77"/>
    <w:rsid w:val="4B6C28F9"/>
    <w:rsid w:val="4C554CD8"/>
    <w:rsid w:val="4C791821"/>
    <w:rsid w:val="4D901930"/>
    <w:rsid w:val="4D9C1311"/>
    <w:rsid w:val="4DA13EFC"/>
    <w:rsid w:val="4DAA0ACB"/>
    <w:rsid w:val="4DCD369E"/>
    <w:rsid w:val="4E207F77"/>
    <w:rsid w:val="4E3B72FE"/>
    <w:rsid w:val="4E405E86"/>
    <w:rsid w:val="4E486F01"/>
    <w:rsid w:val="4F036525"/>
    <w:rsid w:val="4F1C2BA7"/>
    <w:rsid w:val="4F717B9B"/>
    <w:rsid w:val="4F7E44A1"/>
    <w:rsid w:val="4F990DCC"/>
    <w:rsid w:val="4FBD66D2"/>
    <w:rsid w:val="4FDE0035"/>
    <w:rsid w:val="503043E2"/>
    <w:rsid w:val="5050382B"/>
    <w:rsid w:val="50535FA7"/>
    <w:rsid w:val="506D097D"/>
    <w:rsid w:val="50A00073"/>
    <w:rsid w:val="51641EAD"/>
    <w:rsid w:val="51990B70"/>
    <w:rsid w:val="51A76A58"/>
    <w:rsid w:val="51D24C71"/>
    <w:rsid w:val="51DE596C"/>
    <w:rsid w:val="51EF6C78"/>
    <w:rsid w:val="51F40C70"/>
    <w:rsid w:val="520668F0"/>
    <w:rsid w:val="52AE51FA"/>
    <w:rsid w:val="52BF0260"/>
    <w:rsid w:val="52CC2690"/>
    <w:rsid w:val="530255AD"/>
    <w:rsid w:val="53143CF9"/>
    <w:rsid w:val="531F0D11"/>
    <w:rsid w:val="53322DCA"/>
    <w:rsid w:val="53733B7F"/>
    <w:rsid w:val="542F1EBF"/>
    <w:rsid w:val="545F1FF7"/>
    <w:rsid w:val="54657E0D"/>
    <w:rsid w:val="547E70F1"/>
    <w:rsid w:val="54AC51AF"/>
    <w:rsid w:val="54D10F28"/>
    <w:rsid w:val="550305C3"/>
    <w:rsid w:val="557D6DAD"/>
    <w:rsid w:val="55D83CEB"/>
    <w:rsid w:val="56384502"/>
    <w:rsid w:val="56A37AD8"/>
    <w:rsid w:val="56CC5979"/>
    <w:rsid w:val="57034B85"/>
    <w:rsid w:val="57153C07"/>
    <w:rsid w:val="57472184"/>
    <w:rsid w:val="57CB5604"/>
    <w:rsid w:val="58942581"/>
    <w:rsid w:val="589E16F5"/>
    <w:rsid w:val="589F63B4"/>
    <w:rsid w:val="58CE3EFA"/>
    <w:rsid w:val="58FF58FD"/>
    <w:rsid w:val="59905774"/>
    <w:rsid w:val="599E59E1"/>
    <w:rsid w:val="59C82306"/>
    <w:rsid w:val="59E1598B"/>
    <w:rsid w:val="5A07397F"/>
    <w:rsid w:val="5A233488"/>
    <w:rsid w:val="5AE561D2"/>
    <w:rsid w:val="5B0315D4"/>
    <w:rsid w:val="5B0E5F58"/>
    <w:rsid w:val="5B180F7F"/>
    <w:rsid w:val="5C164F06"/>
    <w:rsid w:val="5C2275B7"/>
    <w:rsid w:val="5C510837"/>
    <w:rsid w:val="5CA67364"/>
    <w:rsid w:val="5D8B09FB"/>
    <w:rsid w:val="5E3F1FA0"/>
    <w:rsid w:val="5E9B4D4C"/>
    <w:rsid w:val="5EE14150"/>
    <w:rsid w:val="5F061855"/>
    <w:rsid w:val="5F2239B1"/>
    <w:rsid w:val="5F584AF9"/>
    <w:rsid w:val="5F592FD8"/>
    <w:rsid w:val="5FDC4991"/>
    <w:rsid w:val="601D7135"/>
    <w:rsid w:val="60594271"/>
    <w:rsid w:val="606969FB"/>
    <w:rsid w:val="60FD6A51"/>
    <w:rsid w:val="61964204"/>
    <w:rsid w:val="621F016F"/>
    <w:rsid w:val="62641897"/>
    <w:rsid w:val="63143D27"/>
    <w:rsid w:val="632D6DFB"/>
    <w:rsid w:val="6363707C"/>
    <w:rsid w:val="639D589A"/>
    <w:rsid w:val="63A25134"/>
    <w:rsid w:val="63E45B69"/>
    <w:rsid w:val="63F41951"/>
    <w:rsid w:val="64BF65EF"/>
    <w:rsid w:val="64DD2406"/>
    <w:rsid w:val="65565234"/>
    <w:rsid w:val="662B20E6"/>
    <w:rsid w:val="66360F04"/>
    <w:rsid w:val="663E3F8E"/>
    <w:rsid w:val="66534FCB"/>
    <w:rsid w:val="67224A18"/>
    <w:rsid w:val="67E64DE1"/>
    <w:rsid w:val="681158B8"/>
    <w:rsid w:val="681E547B"/>
    <w:rsid w:val="6826003B"/>
    <w:rsid w:val="684A0535"/>
    <w:rsid w:val="685D50B9"/>
    <w:rsid w:val="68604028"/>
    <w:rsid w:val="68683189"/>
    <w:rsid w:val="6877527C"/>
    <w:rsid w:val="687C5B03"/>
    <w:rsid w:val="68BA38D2"/>
    <w:rsid w:val="68F84508"/>
    <w:rsid w:val="691A3E13"/>
    <w:rsid w:val="69400176"/>
    <w:rsid w:val="69597AAC"/>
    <w:rsid w:val="69B25200"/>
    <w:rsid w:val="69B727BE"/>
    <w:rsid w:val="69C21C8E"/>
    <w:rsid w:val="69F651A9"/>
    <w:rsid w:val="6A400F1A"/>
    <w:rsid w:val="6A557958"/>
    <w:rsid w:val="6A6A5E6B"/>
    <w:rsid w:val="6A8D6A74"/>
    <w:rsid w:val="6A8F42E7"/>
    <w:rsid w:val="6AA1155F"/>
    <w:rsid w:val="6ACE054E"/>
    <w:rsid w:val="6AF16947"/>
    <w:rsid w:val="6B2973E9"/>
    <w:rsid w:val="6B6F5E3A"/>
    <w:rsid w:val="6BB460E2"/>
    <w:rsid w:val="6BEB4471"/>
    <w:rsid w:val="6BF005B9"/>
    <w:rsid w:val="6C164FA6"/>
    <w:rsid w:val="6C311483"/>
    <w:rsid w:val="6C4130FD"/>
    <w:rsid w:val="6C44786E"/>
    <w:rsid w:val="6C4B028D"/>
    <w:rsid w:val="6C95291B"/>
    <w:rsid w:val="6C9B7DB3"/>
    <w:rsid w:val="6CAB2D78"/>
    <w:rsid w:val="6D970B37"/>
    <w:rsid w:val="6DAA7E7A"/>
    <w:rsid w:val="6E750E3C"/>
    <w:rsid w:val="6E915828"/>
    <w:rsid w:val="6EBE597D"/>
    <w:rsid w:val="6F1A5A2C"/>
    <w:rsid w:val="6F3C54D1"/>
    <w:rsid w:val="6F7F1BE6"/>
    <w:rsid w:val="6FBC358D"/>
    <w:rsid w:val="6FE710F1"/>
    <w:rsid w:val="70076BE8"/>
    <w:rsid w:val="7037710B"/>
    <w:rsid w:val="70743667"/>
    <w:rsid w:val="707849CA"/>
    <w:rsid w:val="70A54C4E"/>
    <w:rsid w:val="70A76EDF"/>
    <w:rsid w:val="70AD3EBF"/>
    <w:rsid w:val="70C43920"/>
    <w:rsid w:val="70F27B83"/>
    <w:rsid w:val="70F53323"/>
    <w:rsid w:val="70F66CB4"/>
    <w:rsid w:val="71785460"/>
    <w:rsid w:val="71D33F8D"/>
    <w:rsid w:val="71ED3EDE"/>
    <w:rsid w:val="72133397"/>
    <w:rsid w:val="725B06D5"/>
    <w:rsid w:val="727D450C"/>
    <w:rsid w:val="72C24F47"/>
    <w:rsid w:val="730C28BA"/>
    <w:rsid w:val="73133219"/>
    <w:rsid w:val="733F2E0A"/>
    <w:rsid w:val="73AB6FCB"/>
    <w:rsid w:val="73B63B41"/>
    <w:rsid w:val="73BC27AF"/>
    <w:rsid w:val="73FD0A4F"/>
    <w:rsid w:val="7499222A"/>
    <w:rsid w:val="74F37794"/>
    <w:rsid w:val="750B5416"/>
    <w:rsid w:val="756E6B34"/>
    <w:rsid w:val="75F82DC6"/>
    <w:rsid w:val="76191CEE"/>
    <w:rsid w:val="76400BEE"/>
    <w:rsid w:val="76A5521A"/>
    <w:rsid w:val="76E23986"/>
    <w:rsid w:val="770A5A76"/>
    <w:rsid w:val="775E62AF"/>
    <w:rsid w:val="779A2B2D"/>
    <w:rsid w:val="77D906E2"/>
    <w:rsid w:val="77DF6BBA"/>
    <w:rsid w:val="77EC1993"/>
    <w:rsid w:val="782920CD"/>
    <w:rsid w:val="78415904"/>
    <w:rsid w:val="784B3700"/>
    <w:rsid w:val="78934371"/>
    <w:rsid w:val="78B20FFE"/>
    <w:rsid w:val="78C5681C"/>
    <w:rsid w:val="78EF46BD"/>
    <w:rsid w:val="79750FA5"/>
    <w:rsid w:val="799034D8"/>
    <w:rsid w:val="79997DD2"/>
    <w:rsid w:val="79A807A2"/>
    <w:rsid w:val="79C95DCF"/>
    <w:rsid w:val="79D00547"/>
    <w:rsid w:val="79FA0E27"/>
    <w:rsid w:val="79FA5671"/>
    <w:rsid w:val="79FD5E30"/>
    <w:rsid w:val="7A320CF1"/>
    <w:rsid w:val="7A412946"/>
    <w:rsid w:val="7B61057E"/>
    <w:rsid w:val="7B772498"/>
    <w:rsid w:val="7B9C71D5"/>
    <w:rsid w:val="7BAB5164"/>
    <w:rsid w:val="7BAD01C9"/>
    <w:rsid w:val="7BC66859"/>
    <w:rsid w:val="7BE81934"/>
    <w:rsid w:val="7BED4403"/>
    <w:rsid w:val="7C08172E"/>
    <w:rsid w:val="7C3B6AD3"/>
    <w:rsid w:val="7C3D2061"/>
    <w:rsid w:val="7C3E4691"/>
    <w:rsid w:val="7C7846C0"/>
    <w:rsid w:val="7C956391"/>
    <w:rsid w:val="7D4B4B42"/>
    <w:rsid w:val="7D4E6070"/>
    <w:rsid w:val="7D6C38B7"/>
    <w:rsid w:val="7D741635"/>
    <w:rsid w:val="7D747F20"/>
    <w:rsid w:val="7DAA0228"/>
    <w:rsid w:val="7DE02EBA"/>
    <w:rsid w:val="7DE0615E"/>
    <w:rsid w:val="7E044AA8"/>
    <w:rsid w:val="7E3B1311"/>
    <w:rsid w:val="7EBD1473"/>
    <w:rsid w:val="7ED12811"/>
    <w:rsid w:val="7EDD18F9"/>
    <w:rsid w:val="7EE07871"/>
    <w:rsid w:val="7F6D495A"/>
    <w:rsid w:val="7F814722"/>
    <w:rsid w:val="7F9D0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6"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widowControl w:val="0"/>
      <w:spacing w:before="340" w:after="330" w:line="578" w:lineRule="auto"/>
      <w:jc w:val="both"/>
      <w:outlineLvl w:val="0"/>
    </w:pPr>
    <w:rPr>
      <w:rFonts w:ascii="Times New Roman" w:hAnsi="Times New Roman" w:eastAsia="宋体" w:cs="Times New Roman"/>
      <w:b/>
      <w:bCs/>
      <w:kern w:val="44"/>
      <w:sz w:val="44"/>
      <w:szCs w:val="24"/>
      <w:lang w:val="en-US" w:eastAsia="zh-CN" w:bidi="ar-SA"/>
    </w:rPr>
  </w:style>
  <w:style w:type="paragraph" w:styleId="2">
    <w:name w:val="heading 2"/>
    <w:basedOn w:val="1"/>
    <w:next w:val="1"/>
    <w:unhideWhenUsed/>
    <w:qFormat/>
    <w:uiPriority w:val="0"/>
    <w:pPr>
      <w:shd w:val="clear" w:color="auto" w:fill="auto"/>
      <w:spacing w:before="100" w:beforeAutospacing="1" w:after="100" w:afterAutospacing="1"/>
      <w:jc w:val="left"/>
    </w:pPr>
    <w:rPr>
      <w:rFonts w:hint="eastAsia" w:ascii="宋体" w:hAnsi="宋体" w:eastAsia="宋体" w:cs="宋体"/>
      <w:b/>
      <w:kern w:val="0"/>
      <w:sz w:val="36"/>
      <w:szCs w:val="36"/>
      <w:shd w:val="clear" w:color="auto" w:fill="auto"/>
      <w:lang w:val="en-US" w:eastAsia="zh-CN" w:bidi="ar"/>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pPr>
      <w:widowControl w:val="0"/>
      <w:jc w:val="both"/>
    </w:pPr>
    <w:rPr>
      <w:rFonts w:ascii="Calibri" w:hAnsi="Calibri" w:eastAsia="宋体" w:cs="Arial"/>
      <w:kern w:val="2"/>
      <w:sz w:val="21"/>
      <w:szCs w:val="24"/>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Body Text Indent"/>
    <w:basedOn w:val="1"/>
    <w:next w:val="7"/>
    <w:qFormat/>
    <w:uiPriority w:val="6"/>
    <w:pPr>
      <w:ind w:firstLine="567"/>
      <w:jc w:val="both"/>
    </w:pPr>
    <w:rPr>
      <w:kern w:val="1"/>
      <w:sz w:val="28"/>
    </w:rPr>
  </w:style>
  <w:style w:type="paragraph" w:styleId="7">
    <w:name w:val="Body Text First Indent 2"/>
    <w:basedOn w:val="6"/>
    <w:next w:val="8"/>
    <w:qFormat/>
    <w:uiPriority w:val="0"/>
    <w:pPr>
      <w:ind w:firstLine="420" w:firstLineChars="200"/>
    </w:pPr>
  </w:style>
  <w:style w:type="paragraph" w:styleId="8">
    <w:name w:val="Plain Text"/>
    <w:basedOn w:val="1"/>
    <w:unhideWhenUsed/>
    <w:qFormat/>
    <w:uiPriority w:val="99"/>
    <w:rPr>
      <w:rFonts w:ascii="宋体" w:hAnsi="Courier New"/>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15">
    <w:name w:val="Strong"/>
    <w:basedOn w:val="14"/>
    <w:qFormat/>
    <w:uiPriority w:val="0"/>
    <w:rPr>
      <w:b/>
    </w:rPr>
  </w:style>
  <w:style w:type="character" w:styleId="16">
    <w:name w:val="Hyperlink"/>
    <w:basedOn w:val="14"/>
    <w:qFormat/>
    <w:uiPriority w:val="0"/>
    <w:rPr>
      <w:color w:val="0000FF"/>
      <w:u w:val="none"/>
    </w:rPr>
  </w:style>
  <w:style w:type="paragraph" w:styleId="17">
    <w:name w:val="List Paragraph"/>
    <w:basedOn w:val="1"/>
    <w:qFormat/>
    <w:uiPriority w:val="34"/>
    <w:pPr>
      <w:ind w:firstLine="420" w:firstLineChars="200"/>
    </w:pPr>
  </w:style>
  <w:style w:type="paragraph" w:customStyle="1" w:styleId="1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9">
    <w:name w:val="No Spacing"/>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0">
    <w:name w:val="15"/>
    <w:basedOn w:val="14"/>
    <w:qFormat/>
    <w:uiPriority w:val="0"/>
    <w:rPr>
      <w:rFonts w:hint="default" w:ascii="Calibri" w:hAnsi="Calibri" w:cs="Calibri"/>
      <w:b/>
    </w:rPr>
  </w:style>
  <w:style w:type="paragraph" w:customStyle="1" w:styleId="21">
    <w:name w:val="p0"/>
    <w:basedOn w:val="1"/>
    <w:qFormat/>
    <w:uiPriority w:val="0"/>
    <w:pPr>
      <w:widowControl/>
    </w:pPr>
    <w:rPr>
      <w:rFonts w:eastAsia="宋体"/>
      <w:kern w:val="0"/>
      <w:sz w:val="21"/>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oleObject" Target="embeddings/oleObject2.bin"/><Relationship Id="rId6" Type="http://schemas.openxmlformats.org/officeDocument/2006/relationships/oleObject" Target="embeddings/oleObject1.bin"/><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财政拨款收支上下年变化图</a:t>
            </a:r>
            <a:endParaRPr altLang="en-US"/>
          </a:p>
        </c:rich>
      </c:tx>
      <c:layout>
        <c:manualLayout>
          <c:xMode val="edge"/>
          <c:yMode val="edge"/>
          <c:x val="0.303625"/>
          <c:y val="0.0471014492753623"/>
        </c:manualLayout>
      </c:layout>
      <c:overlay val="0"/>
      <c:spPr>
        <a:noFill/>
        <a:ln>
          <a:noFill/>
        </a:ln>
        <a:effectLst/>
      </c:spPr>
    </c:title>
    <c:autoTitleDeleted val="0"/>
    <c:plotArea>
      <c:layout>
        <c:manualLayout>
          <c:layoutTarget val="inner"/>
          <c:xMode val="edge"/>
          <c:yMode val="edge"/>
          <c:x val="0.0787"/>
          <c:y val="0.194927536231884"/>
          <c:w val="0.8938"/>
          <c:h val="0.589710144927536"/>
        </c:manualLayout>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538.84</c:v>
                </c:pt>
                <c:pt idx="1">
                  <c:v>535.84</c:v>
                </c:pt>
              </c:numCache>
            </c:numRef>
          </c:val>
        </c:ser>
        <c:ser>
          <c:idx val="1"/>
          <c:order val="1"/>
          <c:tx>
            <c:strRef>
              <c:f>Sheet1!$C$1</c:f>
              <c:strCache>
                <c:ptCount val="1"/>
                <c:pt idx="0">
                  <c:v>2023年</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459.45</c:v>
                </c:pt>
                <c:pt idx="1">
                  <c:v>459.45</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15094216"/>
        <c:axId val="912299255"/>
      </c:barChart>
      <c:catAx>
        <c:axId val="6150942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2299255"/>
        <c:crosses val="autoZero"/>
        <c:auto val="1"/>
        <c:lblAlgn val="ctr"/>
        <c:lblOffset val="100"/>
        <c:noMultiLvlLbl val="0"/>
      </c:catAx>
      <c:valAx>
        <c:axId val="9122992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509421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pieChart>
        <c:varyColors val="1"/>
        <c:ser>
          <c:idx val="0"/>
          <c:order val="0"/>
          <c:tx>
            <c:strRef>
              <c:f>Sheet1!$B$1</c:f>
              <c:strCache>
                <c:ptCount val="1"/>
                <c:pt idx="0">
                  <c:v>收入构成</c:v>
                </c:pt>
              </c:strCache>
            </c:strRef>
          </c:tx>
          <c:spPr>
            <a:solidFill>
              <a:schemeClr val="accent2"/>
            </a:solidFill>
          </c:spPr>
          <c:explosion val="0"/>
          <c:dPt>
            <c:idx val="0"/>
            <c:bubble3D val="0"/>
            <c:spPr>
              <a:gradFill>
                <a:gsLst>
                  <a:gs pos="0">
                    <a:srgbClr val="FE4444"/>
                  </a:gs>
                  <a:gs pos="100000">
                    <a:srgbClr val="832B2B"/>
                  </a:gs>
                </a:gsLst>
                <a:lin ang="5400000" scaled="0"/>
              </a:gradFill>
              <a:ln w="19050">
                <a:solidFill>
                  <a:schemeClr val="lt1"/>
                </a:solidFill>
              </a:ln>
              <a:effectLst/>
            </c:spPr>
          </c:dPt>
          <c:dPt>
            <c:idx val="1"/>
            <c:bubble3D val="0"/>
            <c:spPr>
              <a:solidFill>
                <a:schemeClr val="accent2"/>
              </a:solidFill>
              <a:ln w="19050">
                <a:solidFill>
                  <a:schemeClr val="lt1"/>
                </a:solidFill>
              </a:ln>
              <a:effectLst/>
            </c:spPr>
          </c:dPt>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一般公共财政拨款收入</c:v>
                </c:pt>
                <c:pt idx="1">
                  <c:v>其他收入</c:v>
                </c:pt>
              </c:strCache>
            </c:strRef>
          </c:cat>
          <c:val>
            <c:numRef>
              <c:f>Sheet1!$B$2:$B$3</c:f>
              <c:numCache>
                <c:formatCode>General</c:formatCode>
                <c:ptCount val="2"/>
                <c:pt idx="0">
                  <c:v>583.56</c:v>
                </c:pt>
                <c:pt idx="1">
                  <c:v>5.73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支出构成</c:v>
                </c:pt>
              </c:strCache>
            </c:strRef>
          </c:tx>
          <c:spPr>
            <a:solidFill>
              <a:schemeClr val="accent2"/>
            </a:solidFill>
          </c:spPr>
          <c:explosion val="0"/>
          <c:dPt>
            <c:idx val="0"/>
            <c:bubble3D val="0"/>
            <c:spPr>
              <a:solidFill>
                <a:schemeClr val="accent2"/>
              </a:solidFill>
              <a:ln w="19050">
                <a:solidFill>
                  <a:schemeClr val="lt1"/>
                </a:solidFill>
              </a:ln>
              <a:effectLst/>
            </c:spPr>
          </c:dPt>
          <c:dPt>
            <c:idx val="1"/>
            <c:bubble3D val="0"/>
            <c:spPr>
              <a:solidFill>
                <a:schemeClr val="accent1"/>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518.36</c:v>
                </c:pt>
                <c:pt idx="1">
                  <c:v>70.94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财政拨款收支变动情况表</a:t>
            </a:r>
            <a:endParaRPr altLang="en-US"/>
          </a:p>
        </c:rich>
      </c:tx>
      <c:layout>
        <c:manualLayout>
          <c:xMode val="edge"/>
          <c:yMode val="edge"/>
          <c:x val="0.303625"/>
          <c:y val="0.0471014492753623"/>
        </c:manualLayout>
      </c:layout>
      <c:overlay val="0"/>
      <c:spPr>
        <a:noFill/>
        <a:ln>
          <a:noFill/>
        </a:ln>
        <a:effectLst/>
      </c:spPr>
    </c:title>
    <c:autoTitleDeleted val="0"/>
    <c:plotArea>
      <c:layout>
        <c:manualLayout>
          <c:layoutTarget val="inner"/>
          <c:xMode val="edge"/>
          <c:yMode val="edge"/>
          <c:x val="0.0778056840713814"/>
          <c:y val="0.182602692440456"/>
          <c:w val="0.8938"/>
          <c:h val="0.589710144927536"/>
        </c:manualLayout>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714.6</c:v>
                </c:pt>
                <c:pt idx="1">
                  <c:v>714.6</c:v>
                </c:pt>
              </c:numCache>
            </c:numRef>
          </c:val>
        </c:ser>
        <c:ser>
          <c:idx val="1"/>
          <c:order val="1"/>
          <c:tx>
            <c:strRef>
              <c:f>Sheet1!$C$1</c:f>
              <c:strCache>
                <c:ptCount val="1"/>
                <c:pt idx="0">
                  <c:v>2024年</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589.3</c:v>
                </c:pt>
                <c:pt idx="1">
                  <c:v>589.3</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15094216"/>
        <c:axId val="912299255"/>
      </c:barChart>
      <c:catAx>
        <c:axId val="6150942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2299255"/>
        <c:crosses val="autoZero"/>
        <c:auto val="1"/>
        <c:lblAlgn val="ctr"/>
        <c:lblOffset val="100"/>
        <c:noMultiLvlLbl val="0"/>
      </c:catAx>
      <c:valAx>
        <c:axId val="9122992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509421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一般公共财政拨款支出决算上下年变动图</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elete val="1"/>
          </c:dLbls>
          <c:cat>
            <c:strRef>
              <c:f>Sheet1!$A$2</c:f>
              <c:strCache>
                <c:ptCount val="1"/>
                <c:pt idx="0">
                  <c:v>一般公共财政拨款支出</c:v>
                </c:pt>
              </c:strCache>
            </c:strRef>
          </c:cat>
          <c:val>
            <c:numRef>
              <c:f>Sheet1!$B$2</c:f>
              <c:numCache>
                <c:formatCode>General</c:formatCode>
                <c:ptCount val="1"/>
                <c:pt idx="0">
                  <c:v>710.17</c:v>
                </c:pt>
              </c:numCache>
            </c:numRef>
          </c:val>
        </c:ser>
        <c:ser>
          <c:idx val="1"/>
          <c:order val="1"/>
          <c:tx>
            <c:strRef>
              <c:f>Sheet1!$C$1</c:f>
              <c:strCache>
                <c:ptCount val="1"/>
                <c:pt idx="0">
                  <c:v>2024年</c:v>
                </c:pt>
              </c:strCache>
            </c:strRef>
          </c:tx>
          <c:spPr>
            <a:solidFill>
              <a:schemeClr val="accent2"/>
            </a:solidFill>
            <a:ln>
              <a:noFill/>
            </a:ln>
            <a:effectLst/>
          </c:spPr>
          <c:invertIfNegative val="0"/>
          <c:dLbls>
            <c:delete val="1"/>
          </c:dLbls>
          <c:cat>
            <c:strRef>
              <c:f>Sheet1!$A$2</c:f>
              <c:strCache>
                <c:ptCount val="1"/>
                <c:pt idx="0">
                  <c:v>一般公共财政拨款支出</c:v>
                </c:pt>
              </c:strCache>
            </c:strRef>
          </c:cat>
          <c:val>
            <c:numRef>
              <c:f>Sheet1!$C$2</c:f>
              <c:numCache>
                <c:formatCode>General</c:formatCode>
                <c:ptCount val="1"/>
                <c:pt idx="0">
                  <c:v>583.56</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85493246"/>
        <c:axId val="342343358"/>
      </c:barChart>
      <c:catAx>
        <c:axId val="68549324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2343358"/>
        <c:crosses val="autoZero"/>
        <c:auto val="1"/>
        <c:lblAlgn val="ctr"/>
        <c:lblOffset val="100"/>
        <c:noMultiLvlLbl val="0"/>
      </c:catAx>
      <c:valAx>
        <c:axId val="34234335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5493246"/>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46002132196162"/>
          <c:y val="0.0698283386674425"/>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一般公共财政拨款支出结构图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rgbClr val="FF0000"/>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一般公共服务支出</c:v>
                </c:pt>
                <c:pt idx="1">
                  <c:v>社会保障和就业支出</c:v>
                </c:pt>
                <c:pt idx="2">
                  <c:v>住房保障支出</c:v>
                </c:pt>
                <c:pt idx="3">
                  <c:v>卫生健康支出</c:v>
                </c:pt>
              </c:strCache>
            </c:strRef>
          </c:cat>
          <c:val>
            <c:numRef>
              <c:f>Sheet1!$B$2:$B$5</c:f>
              <c:numCache>
                <c:formatCode>General</c:formatCode>
                <c:ptCount val="4"/>
                <c:pt idx="0">
                  <c:v>453.5</c:v>
                </c:pt>
                <c:pt idx="1">
                  <c:v>65.91</c:v>
                </c:pt>
                <c:pt idx="2">
                  <c:v>36.57</c:v>
                </c:pt>
                <c:pt idx="3">
                  <c:v>27.58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rgbClr val="FFFF00"/>
              </a:solidFill>
              <a:ln w="19050">
                <a:solidFill>
                  <a:schemeClr val="lt1"/>
                </a:solidFill>
              </a:ln>
              <a:effectLst/>
            </c:spPr>
          </c:dPt>
          <c:dLbls>
            <c:delete val="1"/>
          </c:dLbls>
          <c:cat>
            <c:strRef>
              <c:f>Sheet1!$A$2:$A$4</c:f>
              <c:strCache>
                <c:ptCount val="3"/>
                <c:pt idx="0">
                  <c:v>因公出国</c:v>
                </c:pt>
                <c:pt idx="1">
                  <c:v>公务用车运行维护费及公务用车购置费</c:v>
                </c:pt>
                <c:pt idx="2">
                  <c:v>公务接待费</c:v>
                </c:pt>
              </c:strCache>
            </c:strRef>
          </c:cat>
          <c:val>
            <c:numRef>
              <c:f>Sheet1!$B$2:$B$4</c:f>
              <c:numCache>
                <c:formatCode>General</c:formatCode>
                <c:ptCount val="3"/>
                <c:pt idx="0">
                  <c:v>0</c:v>
                </c:pt>
                <c:pt idx="1">
                  <c:v>13.86</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7080</Words>
  <Characters>7864</Characters>
  <Lines>0</Lines>
  <Paragraphs>0</Paragraphs>
  <TotalTime>1052</TotalTime>
  <ScaleCrop>false</ScaleCrop>
  <LinksUpToDate>false</LinksUpToDate>
  <CharactersWithSpaces>8015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sb</cp:lastModifiedBy>
  <cp:lastPrinted>2024-01-25T02:44:00Z</cp:lastPrinted>
  <dcterms:modified xsi:type="dcterms:W3CDTF">2025-09-17T07:56:12Z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TemplateDocerSaveRecord">
    <vt:lpwstr>eyJoZGlkIjoiZDA4NGZmYTQxM2U4Y2VkNjYxNWQyYjRmNzU2NjI3NzEiLCJ1c2VySWQiOiIzNTQ3OTUxNTAifQ==</vt:lpwstr>
  </property>
  <property fmtid="{D5CDD505-2E9C-101B-9397-08002B2CF9AE}" pid="4" name="ICV">
    <vt:lpwstr>899A23DA8A514803ACBB99373E267E27_13</vt:lpwstr>
  </property>
</Properties>
</file>