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15"/>
          <w:rFonts w:hint="eastAsia" w:ascii="方正小标宋简体" w:hAnsi="方正小标宋简体" w:eastAsia="方正小标宋简体" w:cs="方正小标宋简体"/>
          <w:sz w:val="44"/>
          <w:szCs w:val="44"/>
          <w:shd w:val="clear" w:color="auto" w:fill="FFFFFF"/>
          <w:lang w:val="en-US" w:eastAsia="zh-CN"/>
        </w:rPr>
        <w:t>2023</w:t>
      </w:r>
      <w:r>
        <w:rPr>
          <w:rStyle w:val="15"/>
          <w:rFonts w:hint="eastAsia" w:ascii="方正小标宋简体" w:hAnsi="方正小标宋简体" w:eastAsia="方正小标宋简体" w:cs="方正小标宋简体"/>
          <w:sz w:val="44"/>
          <w:szCs w:val="44"/>
          <w:shd w:val="clear" w:color="auto" w:fill="FFFFFF"/>
        </w:rPr>
        <w:t>年度</w:t>
      </w:r>
    </w:p>
    <w:p>
      <w:pPr>
        <w:pStyle w:val="12"/>
        <w:keepNext w:val="0"/>
        <w:keepLines w:val="0"/>
        <w:widowControl/>
        <w:suppressLineNumbers w:val="0"/>
        <w:ind w:left="0" w:right="75"/>
        <w:jc w:val="center"/>
        <w:rPr>
          <w:rStyle w:val="15"/>
          <w:rFonts w:hint="default" w:ascii="方正小标宋简体" w:hAnsi="方正小标宋简体" w:eastAsia="方正小标宋简体" w:cs="方正小标宋简体"/>
          <w:sz w:val="44"/>
          <w:szCs w:val="44"/>
          <w:shd w:val="clear" w:color="auto" w:fill="FFFFFF"/>
          <w:lang w:val="en-US" w:eastAsia="zh-CN"/>
        </w:rPr>
      </w:pPr>
      <w:r>
        <w:rPr>
          <w:rStyle w:val="15"/>
          <w:rFonts w:hint="eastAsia" w:ascii="方正小标宋简体" w:hAnsi="方正小标宋简体" w:eastAsia="方正小标宋简体" w:cs="方正小标宋简体"/>
          <w:sz w:val="44"/>
          <w:szCs w:val="44"/>
          <w:shd w:val="clear" w:color="auto" w:fill="FFFFFF"/>
          <w:lang w:val="en-US" w:eastAsia="zh-CN"/>
        </w:rPr>
        <w:t>中共红原县委员会统战部(汇总)</w:t>
      </w:r>
    </w:p>
    <w:p>
      <w:pPr>
        <w:pStyle w:val="12"/>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15"/>
          <w:rFonts w:hint="eastAsia" w:ascii="方正小标宋简体" w:hAnsi="方正小标宋简体" w:eastAsia="方正小标宋简体" w:cs="方正小标宋简体"/>
          <w:sz w:val="44"/>
          <w:szCs w:val="44"/>
          <w:shd w:val="clear" w:color="auto" w:fill="FFFFFF"/>
        </w:rPr>
        <w:t>部门决算</w:t>
      </w:r>
      <w:r>
        <w:rPr>
          <w:rStyle w:val="15"/>
          <w:rFonts w:hint="eastAsia" w:ascii="方正小标宋简体" w:hAnsi="方正小标宋简体" w:eastAsia="方正小标宋简体" w:cs="方正小标宋简体"/>
          <w:sz w:val="44"/>
          <w:szCs w:val="44"/>
          <w:shd w:val="clear" w:color="auto" w:fill="FFFFFF"/>
          <w:lang w:eastAsia="zh-CN"/>
        </w:rPr>
        <w:t>公开编制说明</w:t>
      </w: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pPr>
      <w:r>
        <w:rPr>
          <w:sz w:val="24"/>
          <w:szCs w:val="24"/>
          <w:shd w:val="clear" w:color="auto" w:fill="FFFFFF"/>
        </w:rPr>
        <w:t>保密审查情况：已审查，内容审定</w:t>
      </w:r>
    </w:p>
    <w:p>
      <w:pPr>
        <w:pStyle w:val="12"/>
        <w:keepNext w:val="0"/>
        <w:keepLines w:val="0"/>
        <w:widowControl/>
        <w:suppressLineNumbers w:val="0"/>
        <w:ind w:left="0" w:right="75"/>
        <w:jc w:val="left"/>
      </w:pPr>
      <w:r>
        <w:rPr>
          <w:sz w:val="24"/>
          <w:szCs w:val="24"/>
          <w:shd w:val="clear" w:color="auto" w:fill="FFFFFF"/>
        </w:rPr>
        <w:t>部门主要负责人审签情况：已审签，同意对外公开</w:t>
      </w:r>
    </w:p>
    <w:p>
      <w:pPr>
        <w:pStyle w:val="12"/>
        <w:keepNext w:val="0"/>
        <w:keepLines w:val="0"/>
        <w:widowControl/>
        <w:suppressLineNumbers w:val="0"/>
        <w:ind w:left="0" w:right="75"/>
        <w:jc w:val="both"/>
        <w:rPr>
          <w:rStyle w:val="15"/>
          <w:sz w:val="30"/>
          <w:szCs w:val="30"/>
          <w:shd w:val="clear" w:color="auto" w:fill="FFFFFF"/>
        </w:rPr>
        <w:sectPr>
          <w:pgSz w:w="11906" w:h="16838"/>
          <w:pgMar w:top="1440" w:right="1800" w:bottom="1440" w:left="1800" w:header="851" w:footer="992" w:gutter="0"/>
          <w:cols w:space="720" w:num="1"/>
          <w:docGrid w:type="lines" w:linePitch="312" w:charSpace="0"/>
        </w:sectPr>
      </w:pPr>
    </w:p>
    <w:p>
      <w:pPr>
        <w:pStyle w:val="12"/>
        <w:keepNext w:val="0"/>
        <w:keepLines w:val="0"/>
        <w:widowControl/>
        <w:suppressLineNumbers w:val="0"/>
        <w:ind w:left="0" w:right="75"/>
        <w:jc w:val="center"/>
      </w:pPr>
      <w:r>
        <w:rPr>
          <w:rStyle w:val="15"/>
          <w:sz w:val="30"/>
          <w:szCs w:val="30"/>
          <w:shd w:val="clear" w:color="auto" w:fill="FFFFFF"/>
        </w:rPr>
        <w:t>目 录</w:t>
      </w:r>
    </w:p>
    <w:sdt>
      <w:sdtPr>
        <w:rPr>
          <w:rFonts w:ascii="宋体" w:hAnsi="宋体" w:eastAsia="宋体" w:cs="Times New Roman"/>
          <w:kern w:val="2"/>
          <w:sz w:val="21"/>
          <w:szCs w:val="24"/>
          <w:lang w:val="en-US" w:eastAsia="zh-CN" w:bidi="ar-SA"/>
        </w:rPr>
        <w:id w:val="14745849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TOC \o "1-3" \h \u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第一部分 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一、基本职能及主要工作</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_Toc10295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p>
        <w:p>
          <w:pPr>
            <w:pStyle w:val="10"/>
            <w:tabs>
              <w:tab w:val="right" w:leader="dot" w:pos="8306"/>
              <w:tab w:val="clear" w:pos="8296"/>
            </w:tabs>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 xml:space="preserve">第二部分 </w:t>
          </w:r>
          <w:r>
            <w:rPr>
              <w:rFonts w:hint="eastAsia" w:ascii="仿宋_GB2312" w:hAnsi="仿宋_GB2312" w:eastAsia="仿宋_GB2312" w:cs="仿宋_GB2312"/>
              <w:sz w:val="30"/>
              <w:szCs w:val="30"/>
              <w:shd w:val="clear" w:color="auto" w:fill="FFFFFF"/>
              <w:lang w:eastAsia="zh-CN"/>
            </w:rPr>
            <w:t>202</w:t>
          </w:r>
          <w:r>
            <w:rPr>
              <w:rFonts w:hint="eastAsia" w:ascii="仿宋_GB2312" w:hAnsi="仿宋_GB2312" w:eastAsia="仿宋_GB2312" w:cs="仿宋_GB2312"/>
              <w:sz w:val="30"/>
              <w:szCs w:val="30"/>
              <w:shd w:val="clear" w:color="auto" w:fill="FFFFFF"/>
              <w:lang w:val="en-US" w:eastAsia="zh-CN"/>
            </w:rPr>
            <w:t>3</w:t>
          </w:r>
          <w:r>
            <w:rPr>
              <w:rFonts w:hint="eastAsia" w:ascii="仿宋_GB2312" w:hAnsi="仿宋_GB2312" w:eastAsia="仿宋_GB2312" w:cs="仿宋_GB2312"/>
              <w:sz w:val="30"/>
              <w:szCs w:val="30"/>
              <w:shd w:val="clear" w:color="auto" w:fill="FFFFFF"/>
            </w:rPr>
            <w:t>年度部门决算情况说明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6</w:t>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 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lang w:eastAsia="zh-CN"/>
            </w:rPr>
            <w:t xml:space="preserve">二、 </w:t>
          </w:r>
          <w:r>
            <w:rPr>
              <w:rFonts w:hint="eastAsia" w:ascii="仿宋_GB2312" w:hAnsi="仿宋_GB2312" w:eastAsia="仿宋_GB2312" w:cs="仿宋_GB2312"/>
              <w:sz w:val="30"/>
              <w:szCs w:val="30"/>
              <w:shd w:val="clear" w:color="auto" w:fill="FFFFFF"/>
            </w:rPr>
            <w:t>收入决算情况说明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_Toc21019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三、 </w:t>
          </w:r>
          <w:r>
            <w:rPr>
              <w:rFonts w:hint="eastAsia" w:ascii="仿宋_GB2312" w:hAnsi="仿宋_GB2312" w:eastAsia="仿宋_GB2312" w:cs="仿宋_GB2312"/>
              <w:sz w:val="30"/>
              <w:szCs w:val="30"/>
              <w:shd w:val="clear" w:color="auto" w:fill="FFFFFF"/>
            </w:rPr>
            <w:t>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四、 </w:t>
          </w:r>
          <w:r>
            <w:rPr>
              <w:rFonts w:hint="eastAsia" w:ascii="仿宋_GB2312" w:hAnsi="仿宋_GB2312" w:eastAsia="仿宋_GB2312" w:cs="仿宋_GB2312"/>
              <w:sz w:val="30"/>
              <w:szCs w:val="30"/>
              <w:shd w:val="clear" w:color="auto" w:fill="FFFFFF"/>
            </w:rPr>
            <w:t>财政拨款收入支出决算总体情况说明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五、一般公共预算财政拨款支出决算情况说明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lang w:eastAsia="zh-CN"/>
            </w:rPr>
            <w:t>六、</w:t>
          </w:r>
          <w:r>
            <w:rPr>
              <w:rFonts w:hint="eastAsia" w:ascii="仿宋_GB2312" w:hAnsi="仿宋_GB2312" w:eastAsia="仿宋_GB2312" w:cs="仿宋_GB2312"/>
              <w:sz w:val="30"/>
              <w:szCs w:val="30"/>
              <w:shd w:val="clear" w:color="auto" w:fill="FFFFFF"/>
            </w:rPr>
            <w:t>一般公共预算财政拨款基本支出决算情况说明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_Toc18699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七、“三公”经费财政拨款支出决算情况说明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3</w:t>
          </w:r>
        </w:p>
        <w:p>
          <w:pPr>
            <w:pStyle w:val="11"/>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_Toc9599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八、 </w:t>
          </w:r>
          <w:r>
            <w:rPr>
              <w:rFonts w:hint="eastAsia" w:ascii="仿宋_GB2312" w:hAnsi="仿宋_GB2312" w:eastAsia="仿宋_GB2312" w:cs="仿宋_GB2312"/>
              <w:sz w:val="30"/>
              <w:szCs w:val="30"/>
              <w:shd w:val="clear" w:color="auto" w:fill="FFFFFF"/>
            </w:rPr>
            <w:t>政府性基金预算支出决算情况说明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4</w:t>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九、 </w:t>
          </w:r>
          <w:r>
            <w:rPr>
              <w:rFonts w:hint="eastAsia" w:ascii="仿宋_GB2312" w:hAnsi="仿宋_GB2312" w:eastAsia="仿宋_GB2312" w:cs="仿宋_GB2312"/>
              <w:sz w:val="30"/>
              <w:szCs w:val="30"/>
              <w:shd w:val="clear" w:color="auto" w:fill="FFFFFF"/>
            </w:rPr>
            <w:t>国有资本经营预算支出决算情况说明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十、其他重要事项的情况说明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_Toc26931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第三部分 </w:t>
          </w:r>
          <w:r>
            <w:rPr>
              <w:rFonts w:hint="eastAsia" w:ascii="仿宋_GB2312" w:hAnsi="仿宋_GB2312" w:eastAsia="仿宋_GB2312" w:cs="仿宋_GB2312"/>
              <w:sz w:val="30"/>
              <w:szCs w:val="30"/>
              <w:shd w:val="clear" w:color="auto" w:fill="FFFFFF"/>
            </w:rPr>
            <w:t>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9</w:t>
          </w:r>
        </w:p>
        <w:p>
          <w:pPr>
            <w:pStyle w:val="10"/>
            <w:tabs>
              <w:tab w:val="right" w:leader="dot" w:pos="8306"/>
              <w:tab w:val="clear" w:pos="8296"/>
            </w:tabs>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_Toc15389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第四部分 附</w:t>
          </w:r>
          <w:r>
            <w:rPr>
              <w:rFonts w:hint="eastAsia" w:ascii="仿宋_GB2312" w:hAnsi="仿宋_GB2312" w:eastAsia="仿宋_GB2312" w:cs="仿宋_GB2312"/>
              <w:sz w:val="30"/>
              <w:szCs w:val="30"/>
              <w:shd w:val="clear" w:color="auto" w:fill="FFFFFF"/>
              <w:lang w:eastAsia="zh-CN"/>
            </w:rPr>
            <w:t>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21</w:t>
          </w:r>
        </w:p>
        <w:p>
          <w:pPr>
            <w:pStyle w:val="10"/>
            <w:tabs>
              <w:tab w:val="right" w:leader="dot" w:pos="8306"/>
              <w:tab w:val="clear" w:pos="8296"/>
            </w:tabs>
            <w:jc w:val="both"/>
            <w:rPr>
              <w:rFonts w:hint="eastAsia" w:ascii="仿宋_GB2312" w:hAnsi="仿宋_GB2312" w:eastAsia="仿宋_GB2312" w:cs="仿宋_GB2312"/>
              <w:sz w:val="30"/>
              <w:szCs w:val="30"/>
              <w:lang w:val="en-US" w:eastAsia="zh-CN"/>
            </w:rPr>
          </w:pPr>
        </w:p>
        <w:p>
          <w:r>
            <w:rPr>
              <w:rFonts w:hint="eastAsia" w:ascii="仿宋_GB2312" w:hAnsi="仿宋_GB2312" w:eastAsia="仿宋_GB2312" w:cs="仿宋_GB2312"/>
              <w:sz w:val="30"/>
              <w:szCs w:val="30"/>
            </w:rPr>
            <w:fldChar w:fldCharType="end"/>
          </w:r>
        </w:p>
      </w:sdtContent>
    </w:sdt>
    <w:p>
      <w:pPr>
        <w:pStyle w:val="12"/>
        <w:keepNext w:val="0"/>
        <w:keepLines w:val="0"/>
        <w:widowControl/>
        <w:suppressLineNumbers w:val="0"/>
        <w:ind w:left="0" w:right="75"/>
        <w:jc w:val="center"/>
        <w:outlineLvl w:val="0"/>
        <w:rPr>
          <w:rFonts w:hint="eastAsia" w:ascii="方正大标宋_GBK" w:hAnsi="方正大标宋_GBK" w:eastAsia="方正大标宋_GBK" w:cs="方正大标宋_GBK"/>
          <w:b/>
          <w:bCs/>
          <w:sz w:val="44"/>
          <w:szCs w:val="44"/>
          <w:shd w:val="clear" w:color="auto" w:fill="FFFFFF"/>
        </w:rPr>
      </w:pPr>
      <w:bookmarkStart w:id="0" w:name="_Toc27360"/>
    </w:p>
    <w:p>
      <w:pPr>
        <w:pStyle w:val="12"/>
        <w:keepNext w:val="0"/>
        <w:keepLines w:val="0"/>
        <w:widowControl/>
        <w:suppressLineNumbers w:val="0"/>
        <w:ind w:left="0" w:right="75"/>
        <w:jc w:val="center"/>
        <w:outlineLvl w:val="0"/>
        <w:rPr>
          <w:rFonts w:hint="eastAsia" w:ascii="方正大标宋_GBK" w:hAnsi="方正大标宋_GBK" w:eastAsia="方正大标宋_GBK" w:cs="方正大标宋_GBK"/>
          <w:b/>
          <w:bCs/>
          <w:sz w:val="44"/>
          <w:szCs w:val="44"/>
        </w:rPr>
      </w:pPr>
      <w:r>
        <w:rPr>
          <w:rFonts w:hint="eastAsia" w:ascii="方正大标宋_GBK" w:hAnsi="方正大标宋_GBK" w:eastAsia="方正大标宋_GBK" w:cs="方正大标宋_GBK"/>
          <w:b/>
          <w:bCs/>
          <w:sz w:val="44"/>
          <w:szCs w:val="44"/>
          <w:shd w:val="clear" w:color="auto" w:fill="FFFFFF"/>
        </w:rPr>
        <w:t>第一部分 部门概况</w:t>
      </w:r>
      <w:bookmarkEnd w:id="0"/>
    </w:p>
    <w:p>
      <w:pPr>
        <w:pStyle w:val="12"/>
        <w:keepNext w:val="0"/>
        <w:keepLines w:val="0"/>
        <w:widowControl/>
        <w:suppressLineNumbers w:val="0"/>
        <w:ind w:left="0" w:right="75"/>
        <w:outlineLvl w:val="1"/>
        <w:rPr>
          <w:rFonts w:hint="eastAsia" w:ascii="仿宋_GB2312" w:hAnsi="仿宋_GB2312" w:eastAsia="仿宋_GB2312" w:cs="仿宋_GB2312"/>
          <w:b/>
          <w:bCs/>
          <w:sz w:val="32"/>
          <w:szCs w:val="32"/>
        </w:rPr>
      </w:pPr>
      <w:bookmarkStart w:id="1" w:name="_Toc14224"/>
      <w:r>
        <w:rPr>
          <w:rFonts w:hint="eastAsia" w:ascii="仿宋_GB2312" w:hAnsi="仿宋_GB2312" w:eastAsia="仿宋_GB2312" w:cs="仿宋_GB2312"/>
          <w:b/>
          <w:bCs/>
          <w:sz w:val="32"/>
          <w:szCs w:val="32"/>
          <w:shd w:val="clear" w:color="auto" w:fill="FFFFFF"/>
        </w:rPr>
        <w:t>一、基本职能及主要工作</w:t>
      </w:r>
      <w:bookmarkEnd w:id="1"/>
    </w:p>
    <w:p>
      <w:pPr>
        <w:pStyle w:val="12"/>
        <w:keepNext w:val="0"/>
        <w:keepLines w:val="0"/>
        <w:widowControl/>
        <w:suppressLineNumbers w:val="0"/>
        <w:ind w:left="0" w:right="75"/>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（一）主要职能。</w:t>
      </w:r>
    </w:p>
    <w:p>
      <w:pPr>
        <w:snapToGrid w:val="0"/>
        <w:spacing w:line="520"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eastAsia="zh-CN"/>
        </w:rPr>
        <w:t>．主要职能。</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组织贯彻执行中央、省委、州委、县委关于统一战线的方针、政策；调查研究统一战线有关理论和政策；向县委反映情况，提出开展统战工作的意见和建议。</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负责联系我县无党派代表人士，及时通报情况、了解和反映他们的意见和建议；研究、贯彻、督促、检查党领导的多党合作、政治协商制度</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eastAsia="zh-CN"/>
        </w:rPr>
        <w:t>发挥人民代表，政协委员参政议政和民主监督的职能。会同有关部门做好培养、选拔、推荐党外人士担任县政府、人大、政协及其工作部门行政领导的工作；做好党外后备干部的代表人物队伍建设工作。</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负责联系工商界；调查、研究并反映我县非公有制经济代表人物的情况、协调关系、研究并提出政策性建议；组织和推动社会各界、工商联及统一战线各个方面积极为经济建设服务。</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调查研究我县党外知识分子的情况，反映意见、协调关系，提出建议，联系并积极培养党外知识分子的代表人物。</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指导县工商联的工作。</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指导县佛教协会的工作。</w:t>
      </w:r>
    </w:p>
    <w:p>
      <w:pPr>
        <w:pStyle w:val="12"/>
        <w:keepNext w:val="0"/>
        <w:keepLines w:val="0"/>
        <w:widowControl/>
        <w:suppressLineNumbers w:val="0"/>
        <w:ind w:left="0" w:right="75"/>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（二）</w:t>
      </w:r>
      <w:r>
        <w:rPr>
          <w:rFonts w:hint="eastAsia" w:ascii="仿宋_GB2312" w:hAnsi="仿宋_GB2312" w:eastAsia="仿宋_GB2312" w:cs="仿宋_GB2312"/>
          <w:b/>
          <w:bCs/>
          <w:sz w:val="32"/>
          <w:szCs w:val="32"/>
          <w:shd w:val="clear" w:color="auto" w:fill="FFFFFF"/>
          <w:lang w:val="en-US" w:eastAsia="zh-CN"/>
        </w:rPr>
        <w:t>2023</w:t>
      </w:r>
      <w:r>
        <w:rPr>
          <w:rFonts w:hint="eastAsia" w:ascii="仿宋_GB2312" w:hAnsi="仿宋_GB2312" w:eastAsia="仿宋_GB2312" w:cs="仿宋_GB2312"/>
          <w:b/>
          <w:bCs/>
          <w:sz w:val="32"/>
          <w:szCs w:val="32"/>
          <w:shd w:val="clear" w:color="auto" w:fill="FFFFFF"/>
        </w:rPr>
        <w:t>年重点工作完成情况。</w:t>
      </w:r>
    </w:p>
    <w:p>
      <w:pPr>
        <w:keepNext w:val="0"/>
        <w:keepLines w:val="0"/>
        <w:pageBreakBefore w:val="0"/>
        <w:widowControl w:val="0"/>
        <w:kinsoku/>
        <w:wordWrap/>
        <w:overflowPunct/>
        <w:topLinePunct w:val="0"/>
        <w:autoSpaceDE/>
        <w:autoSpaceDN/>
        <w:bidi w:val="0"/>
        <w:adjustRightInd/>
        <w:snapToGrid/>
        <w:spacing w:line="576" w:lineRule="exact"/>
        <w:ind w:firstLine="608" w:firstLineChars="200"/>
        <w:textAlignment w:val="auto"/>
        <w:outlineLvl w:val="9"/>
        <w:rPr>
          <w:rFonts w:eastAsia="方正黑体_GBK"/>
          <w:b/>
          <w:bCs/>
          <w:spacing w:val="2"/>
          <w:sz w:val="30"/>
          <w:szCs w:val="30"/>
        </w:rPr>
      </w:pPr>
      <w:bookmarkStart w:id="2" w:name="_Toc10295"/>
      <w:r>
        <w:rPr>
          <w:rFonts w:eastAsia="方正黑体_GBK"/>
          <w:b/>
          <w:bCs/>
          <w:spacing w:val="2"/>
          <w:sz w:val="30"/>
          <w:szCs w:val="30"/>
        </w:rPr>
        <w:t>一、工作开展情况</w:t>
      </w:r>
    </w:p>
    <w:p>
      <w:pPr>
        <w:keepNext w:val="0"/>
        <w:keepLines w:val="0"/>
        <w:pageBreakBefore w:val="0"/>
        <w:widowControl w:val="0"/>
        <w:kinsoku/>
        <w:wordWrap/>
        <w:overflowPunct/>
        <w:topLinePunct w:val="0"/>
        <w:autoSpaceDE/>
        <w:autoSpaceDN/>
        <w:adjustRightInd/>
        <w:snapToGrid/>
        <w:spacing w:line="576"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（一）加强政治引领，实现上下“一盘棋”。</w:t>
      </w:r>
    </w:p>
    <w:p>
      <w:pPr>
        <w:keepNext w:val="0"/>
        <w:keepLines w:val="0"/>
        <w:pageBreakBefore w:val="0"/>
        <w:widowControl w:val="0"/>
        <w:kinsoku/>
        <w:wordWrap/>
        <w:overflowPunct/>
        <w:topLinePunct w:val="0"/>
        <w:autoSpaceDE/>
        <w:autoSpaceDN/>
        <w:adjustRightInd/>
        <w:snapToGrid/>
        <w:spacing w:line="576" w:lineRule="exact"/>
        <w:ind w:firstLine="602" w:firstLineChars="200"/>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1.凝聚思想共识。一是</w:t>
      </w:r>
      <w:r>
        <w:rPr>
          <w:rFonts w:hint="eastAsia" w:ascii="仿宋_GB2312" w:hAnsi="仿宋_GB2312" w:eastAsia="仿宋_GB2312" w:cs="仿宋_GB2312"/>
          <w:sz w:val="30"/>
          <w:szCs w:val="30"/>
        </w:rPr>
        <w:t>结合我县统战工作实际情况，制定印发《中共红原县委统一战线工作领导小组2023年工作要点》，党委统一领导、统战部牵头协调、有关方面各负其责的大统战工作格局进一步巩固完善；主动向县委常委会、县委主要领导汇报统战情况，县委常委专题研究统战各领域工作。2023年，县委主要领导先后6次听取专题汇报，先后召开县委常委会、县委专题会等会议11次，亲自谋划、亲自推动。</w:t>
      </w:r>
      <w:r>
        <w:rPr>
          <w:rFonts w:hint="eastAsia" w:ascii="仿宋_GB2312" w:hAnsi="仿宋_GB2312" w:eastAsia="仿宋_GB2312" w:cs="仿宋_GB2312"/>
          <w:b/>
          <w:bCs/>
          <w:sz w:val="30"/>
          <w:szCs w:val="30"/>
        </w:rPr>
        <w:t>二是</w:t>
      </w:r>
      <w:r>
        <w:rPr>
          <w:rFonts w:hint="eastAsia" w:ascii="仿宋_GB2312" w:hAnsi="仿宋_GB2312" w:eastAsia="仿宋_GB2312" w:cs="仿宋_GB2312"/>
          <w:sz w:val="30"/>
          <w:szCs w:val="30"/>
        </w:rPr>
        <w:t>召开了</w:t>
      </w:r>
      <w:r>
        <w:rPr>
          <w:rFonts w:hint="eastAsia" w:ascii="仿宋_GB2312" w:hAnsi="仿宋_GB2312" w:eastAsia="仿宋_GB2312" w:cs="仿宋_GB2312"/>
          <w:sz w:val="30"/>
          <w:szCs w:val="30"/>
          <w:lang w:eastAsia="zh-CN"/>
        </w:rPr>
        <w:t>红原</w:t>
      </w:r>
      <w:r>
        <w:rPr>
          <w:rFonts w:hint="eastAsia" w:ascii="仿宋_GB2312" w:hAnsi="仿宋_GB2312" w:eastAsia="仿宋_GB2312" w:cs="仿宋_GB2312"/>
          <w:sz w:val="30"/>
          <w:szCs w:val="30"/>
        </w:rPr>
        <w:t>县2023年度统战工作会议，认真</w:t>
      </w:r>
      <w:r>
        <w:rPr>
          <w:rFonts w:hint="eastAsia" w:ascii="仿宋_GB2312" w:hAnsi="仿宋_GB2312" w:eastAsia="仿宋_GB2312" w:cs="仿宋_GB2312"/>
          <w:sz w:val="30"/>
          <w:szCs w:val="30"/>
          <w:lang w:val="en-US" w:eastAsia="zh-CN"/>
        </w:rPr>
        <w:t>学习</w:t>
      </w:r>
      <w:r>
        <w:rPr>
          <w:rFonts w:hint="eastAsia" w:ascii="仿宋_GB2312" w:hAnsi="仿宋_GB2312" w:eastAsia="仿宋_GB2312" w:cs="仿宋_GB2312"/>
          <w:sz w:val="30"/>
          <w:szCs w:val="30"/>
        </w:rPr>
        <w:t>传达</w:t>
      </w:r>
      <w:r>
        <w:rPr>
          <w:rFonts w:hint="eastAsia" w:ascii="仿宋_GB2312" w:hAnsi="仿宋_GB2312" w:eastAsia="仿宋_GB2312" w:cs="仿宋_GB2312"/>
          <w:sz w:val="30"/>
          <w:szCs w:val="30"/>
          <w:lang w:val="en-US" w:eastAsia="zh-CN"/>
        </w:rPr>
        <w:t>贯彻</w:t>
      </w:r>
      <w:r>
        <w:rPr>
          <w:rFonts w:hint="eastAsia" w:ascii="仿宋_GB2312" w:hAnsi="仿宋_GB2312" w:eastAsia="仿宋_GB2312" w:cs="仿宋_GB2312"/>
          <w:sz w:val="30"/>
          <w:szCs w:val="30"/>
        </w:rPr>
        <w:t>党的二十大精神和习近平总书记关于做好新时代党的统一战线工作的重要思想，全面落实中央、省委、州委统战工作会议部署要求，高举大团结大联合旗帜，牢牢把握团结奋斗的时代要求，坚持党的全面领导，总结经验、认清形势、明确任务，奋力推动新时代红原统战工作健康发展。</w:t>
      </w:r>
      <w:r>
        <w:rPr>
          <w:rFonts w:hint="eastAsia" w:ascii="仿宋_GB2312" w:hAnsi="仿宋_GB2312" w:eastAsia="仿宋_GB2312" w:cs="仿宋_GB2312"/>
          <w:b/>
          <w:bCs/>
          <w:sz w:val="30"/>
          <w:szCs w:val="30"/>
        </w:rPr>
        <w:t>三是</w:t>
      </w:r>
      <w:r>
        <w:rPr>
          <w:rFonts w:hint="eastAsia" w:ascii="仿宋_GB2312" w:hAnsi="仿宋_GB2312" w:eastAsia="仿宋_GB2312" w:cs="仿宋_GB2312"/>
          <w:sz w:val="30"/>
          <w:szCs w:val="30"/>
        </w:rPr>
        <w:t>召开了红原县2022年度乡（镇）党委书记、乡（镇）长落实藏传佛教寺庙管理责任制述职会</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传达学习州委落实藏传佛教寺庙管理责任制述职会议精神。</w:t>
      </w:r>
      <w:r>
        <w:rPr>
          <w:rFonts w:hint="eastAsia" w:ascii="仿宋_GB2312" w:hAnsi="仿宋_GB2312" w:eastAsia="仿宋_GB2312" w:cs="仿宋_GB2312"/>
          <w:sz w:val="30"/>
          <w:szCs w:val="30"/>
          <w:lang w:eastAsia="zh-CN"/>
        </w:rPr>
        <w:t>要求</w:t>
      </w:r>
      <w:r>
        <w:rPr>
          <w:rFonts w:hint="eastAsia" w:ascii="仿宋_GB2312" w:hAnsi="仿宋_GB2312" w:eastAsia="仿宋_GB2312" w:cs="仿宋_GB2312"/>
          <w:sz w:val="30"/>
          <w:szCs w:val="30"/>
        </w:rPr>
        <w:t>时刻保持高度的政治清醒，切实增强做好藏传佛教管理工作的责任感、使命感和紧迫感，坚持问题导向、目标导向、结果导向，全力补短板、堵漏洞，依法依规加强寺庙管理服务，持续巩固全县民族团结、宗教和顺、社会和谐的良好局面。</w:t>
      </w:r>
    </w:p>
    <w:p>
      <w:pPr>
        <w:keepNext w:val="0"/>
        <w:keepLines w:val="0"/>
        <w:pageBreakBefore w:val="0"/>
        <w:widowControl/>
        <w:kinsoku/>
        <w:wordWrap/>
        <w:overflowPunct/>
        <w:topLinePunct w:val="0"/>
        <w:autoSpaceDE/>
        <w:autoSpaceDN/>
        <w:bidi w:val="0"/>
        <w:adjustRightInd w:val="0"/>
        <w:snapToGrid w:val="0"/>
        <w:spacing w:after="0" w:line="576" w:lineRule="exact"/>
        <w:ind w:firstLine="602"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lang w:eastAsia="zh-CN"/>
        </w:rPr>
        <w:t>2.强化</w:t>
      </w:r>
      <w:r>
        <w:rPr>
          <w:rFonts w:hint="eastAsia" w:ascii="仿宋_GB2312" w:hAnsi="仿宋_GB2312" w:eastAsia="仿宋_GB2312" w:cs="仿宋_GB2312"/>
          <w:b/>
          <w:bCs/>
          <w:sz w:val="30"/>
          <w:szCs w:val="30"/>
        </w:rPr>
        <w:t>自身建设。</w:t>
      </w:r>
      <w:r>
        <w:rPr>
          <w:rFonts w:hint="eastAsia" w:ascii="仿宋_GB2312" w:hAnsi="仿宋_GB2312" w:eastAsia="仿宋_GB2312" w:cs="仿宋_GB2312"/>
          <w:sz w:val="30"/>
          <w:szCs w:val="30"/>
          <w:lang w:eastAsia="zh-CN"/>
        </w:rPr>
        <w:t>认真学习</w:t>
      </w:r>
      <w:r>
        <w:rPr>
          <w:rFonts w:hint="eastAsia" w:ascii="仿宋_GB2312" w:hAnsi="仿宋_GB2312" w:eastAsia="仿宋_GB2312" w:cs="仿宋_GB2312"/>
          <w:sz w:val="30"/>
          <w:szCs w:val="30"/>
        </w:rPr>
        <w:t>贯彻党的二十大精神和习近平总书记关于宗教工作的重要论述，认真落实中央、省委、州委关于宗教工作的决策部署，开展阶段性党员干部教育活动，坚持用“三个代表”重要思想统领统战工作。今年，</w:t>
      </w:r>
      <w:r>
        <w:rPr>
          <w:rFonts w:hint="eastAsia" w:ascii="仿宋_GB2312" w:hAnsi="仿宋_GB2312" w:eastAsia="仿宋_GB2312" w:cs="仿宋_GB2312"/>
          <w:sz w:val="30"/>
          <w:szCs w:val="30"/>
          <w:lang w:eastAsia="zh-CN"/>
        </w:rPr>
        <w:t>统战部</w:t>
      </w:r>
      <w:r>
        <w:rPr>
          <w:rFonts w:hint="eastAsia" w:ascii="仿宋_GB2312" w:hAnsi="仿宋_GB2312" w:eastAsia="仿宋_GB2312" w:cs="仿宋_GB2312"/>
          <w:sz w:val="30"/>
          <w:szCs w:val="30"/>
        </w:rPr>
        <w:t>牵头举办红原县202</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年度寺管系统干部</w:t>
      </w:r>
      <w:r>
        <w:rPr>
          <w:rFonts w:hint="eastAsia" w:ascii="仿宋_GB2312" w:hAnsi="仿宋_GB2312" w:eastAsia="仿宋_GB2312" w:cs="仿宋_GB2312"/>
          <w:sz w:val="30"/>
          <w:szCs w:val="30"/>
          <w:lang w:eastAsia="zh-CN"/>
        </w:rPr>
        <w:t>每季度总结大会暨</w:t>
      </w:r>
      <w:r>
        <w:rPr>
          <w:rFonts w:hint="eastAsia" w:ascii="仿宋_GB2312" w:hAnsi="仿宋_GB2312" w:eastAsia="仿宋_GB2312" w:cs="仿宋_GB2312"/>
          <w:sz w:val="30"/>
          <w:szCs w:val="30"/>
        </w:rPr>
        <w:t>专题培训班，</w:t>
      </w:r>
      <w:r>
        <w:rPr>
          <w:rFonts w:hint="eastAsia" w:ascii="仿宋_GB2312" w:hAnsi="仿宋_GB2312" w:eastAsia="仿宋_GB2312" w:cs="仿宋_GB2312"/>
          <w:sz w:val="30"/>
          <w:szCs w:val="30"/>
          <w:lang w:val="en-US" w:eastAsia="zh-CN"/>
        </w:rPr>
        <w:t>140余人次参训，</w:t>
      </w:r>
      <w:r>
        <w:rPr>
          <w:rFonts w:hint="eastAsia" w:ascii="仿宋_GB2312" w:hAnsi="仿宋_GB2312" w:eastAsia="仿宋_GB2312" w:cs="仿宋_GB2312"/>
          <w:sz w:val="30"/>
          <w:szCs w:val="30"/>
        </w:rPr>
        <w:t>培训内容丰富，讲解深入，受益匪浅，帮助各寺管干部补齐短板、补上弱项，切实提高在实际工作中破解难题、化解矛盾的能力。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0" w:after="0" w:line="576" w:lineRule="exact"/>
        <w:ind w:left="0" w:firstLine="602" w:firstLineChars="200"/>
        <w:rPr>
          <w:rFonts w:hint="eastAsia" w:ascii="仿宋_GB2312" w:hAnsi="仿宋_GB2312" w:eastAsia="仿宋_GB2312" w:cs="仿宋_GB2312"/>
          <w:b w:val="0"/>
          <w:bCs w:val="0"/>
          <w:kern w:val="2"/>
          <w:sz w:val="30"/>
          <w:szCs w:val="30"/>
        </w:rPr>
      </w:pPr>
      <w:r>
        <w:rPr>
          <w:rFonts w:hint="eastAsia" w:ascii="仿宋_GB2312" w:hAnsi="仿宋_GB2312" w:eastAsia="仿宋_GB2312" w:cs="仿宋_GB2312"/>
          <w:kern w:val="2"/>
          <w:sz w:val="30"/>
          <w:szCs w:val="30"/>
          <w:lang w:val="en-US" w:eastAsia="zh-CN"/>
        </w:rPr>
        <w:t>3.</w:t>
      </w:r>
      <w:r>
        <w:rPr>
          <w:rFonts w:hint="eastAsia" w:ascii="仿宋_GB2312" w:hAnsi="仿宋_GB2312" w:eastAsia="仿宋_GB2312" w:cs="仿宋_GB2312"/>
          <w:kern w:val="2"/>
          <w:sz w:val="30"/>
          <w:szCs w:val="30"/>
        </w:rPr>
        <w:t>强化统战宣传。</w:t>
      </w:r>
      <w:r>
        <w:rPr>
          <w:rFonts w:hint="eastAsia" w:ascii="仿宋_GB2312" w:hAnsi="仿宋_GB2312" w:eastAsia="仿宋_GB2312" w:cs="仿宋_GB2312"/>
          <w:b w:val="0"/>
          <w:bCs w:val="0"/>
          <w:kern w:val="2"/>
          <w:sz w:val="30"/>
          <w:szCs w:val="30"/>
          <w:lang w:eastAsia="zh-CN"/>
        </w:rPr>
        <w:t>坚持通过深入调查、摸排调查、严格审批，精心选取政治立场坚定、综合素质高的宗教届代表人士，组建“</w:t>
      </w:r>
      <w:r>
        <w:rPr>
          <w:rFonts w:hint="eastAsia" w:ascii="仿宋_GB2312" w:hAnsi="仿宋_GB2312" w:eastAsia="仿宋_GB2312" w:cs="仿宋_GB2312"/>
          <w:b w:val="0"/>
          <w:bCs w:val="0"/>
          <w:kern w:val="2"/>
          <w:sz w:val="30"/>
          <w:szCs w:val="30"/>
        </w:rPr>
        <w:t>高僧大德宣讲团</w:t>
      </w:r>
      <w:r>
        <w:rPr>
          <w:rFonts w:hint="eastAsia" w:ascii="仿宋_GB2312" w:hAnsi="仿宋_GB2312" w:eastAsia="仿宋_GB2312" w:cs="仿宋_GB2312"/>
          <w:b w:val="0"/>
          <w:bCs w:val="0"/>
          <w:kern w:val="2"/>
          <w:sz w:val="30"/>
          <w:szCs w:val="30"/>
          <w:lang w:eastAsia="zh-CN"/>
        </w:rPr>
        <w:t>”，逐步建立健全</w:t>
      </w:r>
      <w:r>
        <w:rPr>
          <w:rFonts w:hint="eastAsia" w:ascii="仿宋_GB2312" w:hAnsi="仿宋_GB2312" w:eastAsia="仿宋_GB2312" w:cs="仿宋_GB2312"/>
          <w:b w:val="0"/>
          <w:bCs w:val="0"/>
          <w:kern w:val="2"/>
          <w:sz w:val="30"/>
          <w:szCs w:val="30"/>
        </w:rPr>
        <w:t>“高僧大德宣讲团”体制机制，围绕“突出现场宣讲、抓好现场</w:t>
      </w:r>
      <w:r>
        <w:rPr>
          <w:rFonts w:hint="eastAsia" w:ascii="仿宋_GB2312" w:hAnsi="仿宋_GB2312" w:eastAsia="仿宋_GB2312" w:cs="仿宋_GB2312"/>
          <w:b w:val="0"/>
          <w:bCs w:val="0"/>
          <w:kern w:val="2"/>
          <w:sz w:val="30"/>
          <w:szCs w:val="30"/>
          <w:lang w:eastAsia="zh-CN"/>
        </w:rPr>
        <w:t>教育</w:t>
      </w:r>
      <w:r>
        <w:rPr>
          <w:rFonts w:hint="eastAsia" w:ascii="仿宋_GB2312" w:hAnsi="仿宋_GB2312" w:eastAsia="仿宋_GB2312" w:cs="仿宋_GB2312"/>
          <w:b w:val="0"/>
          <w:bCs w:val="0"/>
          <w:kern w:val="2"/>
          <w:sz w:val="30"/>
          <w:szCs w:val="30"/>
        </w:rPr>
        <w:t>”原则，坚持</w:t>
      </w:r>
      <w:r>
        <w:rPr>
          <w:rFonts w:hint="eastAsia" w:ascii="仿宋_GB2312" w:hAnsi="仿宋_GB2312" w:eastAsia="仿宋_GB2312" w:cs="仿宋_GB2312"/>
          <w:b w:val="0"/>
          <w:bCs w:val="0"/>
          <w:kern w:val="2"/>
          <w:sz w:val="30"/>
          <w:szCs w:val="30"/>
          <w:lang w:val="en-US" w:eastAsia="zh-CN"/>
        </w:rPr>
        <w:t>一线宣讲、一线解惑、一线指导、一线服务，积累了较为丰富的实践经验，全力守好守牢基层一线的舆论阵地。截止目前，共开展各类</w:t>
      </w:r>
      <w:r>
        <w:rPr>
          <w:rFonts w:hint="eastAsia" w:ascii="仿宋_GB2312" w:hAnsi="仿宋_GB2312" w:eastAsia="仿宋_GB2312" w:cs="仿宋_GB2312"/>
          <w:b w:val="0"/>
          <w:bCs w:val="0"/>
          <w:kern w:val="2"/>
          <w:sz w:val="30"/>
          <w:szCs w:val="30"/>
        </w:rPr>
        <w:t>宣讲</w:t>
      </w:r>
      <w:r>
        <w:rPr>
          <w:rFonts w:hint="eastAsia" w:ascii="仿宋_GB2312" w:hAnsi="仿宋_GB2312" w:eastAsia="仿宋_GB2312" w:cs="仿宋_GB2312"/>
          <w:b w:val="0"/>
          <w:bCs w:val="0"/>
          <w:kern w:val="2"/>
          <w:sz w:val="30"/>
          <w:szCs w:val="30"/>
          <w:lang w:val="en-US" w:eastAsia="zh-CN"/>
        </w:rPr>
        <w:t>60余场次，</w:t>
      </w:r>
      <w:r>
        <w:rPr>
          <w:rFonts w:hint="eastAsia" w:ascii="仿宋_GB2312" w:hAnsi="仿宋_GB2312" w:eastAsia="仿宋_GB2312" w:cs="仿宋_GB2312"/>
          <w:b w:val="0"/>
          <w:bCs w:val="0"/>
          <w:kern w:val="2"/>
          <w:sz w:val="30"/>
          <w:szCs w:val="30"/>
        </w:rPr>
        <w:t>覆盖僧尼群众2.5万余人次。并</w:t>
      </w:r>
      <w:r>
        <w:rPr>
          <w:rFonts w:hint="eastAsia" w:ascii="仿宋_GB2312" w:hAnsi="仿宋_GB2312" w:eastAsia="仿宋_GB2312" w:cs="仿宋_GB2312"/>
          <w:b w:val="0"/>
          <w:bCs w:val="0"/>
          <w:kern w:val="2"/>
          <w:sz w:val="30"/>
          <w:szCs w:val="30"/>
          <w:lang w:val="en-US" w:eastAsia="zh-CN"/>
        </w:rPr>
        <w:t>对当地的困难群众进行了慰问，现场发放了大米、面粉、毛毯、被褥等生活物资30余套，价值7000余元。</w:t>
      </w:r>
    </w:p>
    <w:p>
      <w:pPr>
        <w:keepNext w:val="0"/>
        <w:keepLines w:val="0"/>
        <w:pageBreakBefore w:val="0"/>
        <w:widowControl w:val="0"/>
        <w:kinsoku/>
        <w:wordWrap/>
        <w:overflowPunct/>
        <w:topLinePunct w:val="0"/>
        <w:autoSpaceDE/>
        <w:autoSpaceDN/>
        <w:adjustRightInd/>
        <w:snapToGrid/>
        <w:spacing w:line="576" w:lineRule="exact"/>
        <w:ind w:firstLine="602" w:firstLineChars="200"/>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w:t>
      </w:r>
      <w:r>
        <w:rPr>
          <w:rFonts w:hint="eastAsia" w:ascii="仿宋_GB2312" w:hAnsi="仿宋_GB2312" w:eastAsia="仿宋_GB2312" w:cs="仿宋_GB2312"/>
          <w:b/>
          <w:bCs/>
          <w:sz w:val="30"/>
          <w:szCs w:val="30"/>
          <w:lang w:val="en-US" w:eastAsia="zh-CN"/>
        </w:rPr>
        <w:t>二</w:t>
      </w:r>
      <w:r>
        <w:rPr>
          <w:rFonts w:hint="eastAsia" w:ascii="仿宋_GB2312" w:hAnsi="仿宋_GB2312" w:eastAsia="仿宋_GB2312" w:cs="仿宋_GB2312"/>
          <w:b/>
          <w:bCs/>
          <w:sz w:val="30"/>
          <w:szCs w:val="30"/>
        </w:rPr>
        <w:t>）主动做好非公有制经济统战工作。一是</w:t>
      </w:r>
      <w:r>
        <w:rPr>
          <w:rFonts w:hint="eastAsia" w:ascii="仿宋_GB2312" w:hAnsi="仿宋_GB2312" w:eastAsia="仿宋_GB2312" w:cs="仿宋_GB2312"/>
          <w:sz w:val="30"/>
          <w:szCs w:val="30"/>
        </w:rPr>
        <w:t>积极发挥县委县政府联系、管理和服务广大非公经济（民营经济）助手作用，主动开展民营经济调查研究和参政议政工作，为县委县政府科学决策提出新的思路和好的建议。</w:t>
      </w:r>
      <w:r>
        <w:rPr>
          <w:rFonts w:hint="eastAsia" w:ascii="仿宋_GB2312" w:hAnsi="仿宋_GB2312" w:eastAsia="仿宋_GB2312" w:cs="仿宋_GB2312"/>
          <w:b/>
          <w:bCs/>
          <w:sz w:val="30"/>
          <w:szCs w:val="30"/>
        </w:rPr>
        <w:t>二是</w:t>
      </w:r>
      <w:r>
        <w:rPr>
          <w:rFonts w:hint="eastAsia" w:ascii="仿宋_GB2312" w:hAnsi="仿宋_GB2312" w:eastAsia="仿宋_GB2312" w:cs="仿宋_GB2312"/>
          <w:sz w:val="30"/>
          <w:szCs w:val="30"/>
        </w:rPr>
        <w:t>根据新形势、新任务、新要求，推荐一批非公有制经济人士担任各级人大代表和政协委员，民营企业家积极参政议政、建言献策，发挥了积极作用。截至目前，累计推荐2名非公经济人士担任州政协委员，9名非公经济人士担任县政协委员，州工商联会员代表3名、执委3名。</w:t>
      </w:r>
      <w:r>
        <w:rPr>
          <w:rFonts w:hint="eastAsia" w:ascii="仿宋_GB2312" w:hAnsi="仿宋_GB2312" w:eastAsia="仿宋_GB2312" w:cs="仿宋_GB2312"/>
          <w:b/>
          <w:bCs/>
          <w:sz w:val="30"/>
          <w:szCs w:val="30"/>
        </w:rPr>
        <w:t>三是</w:t>
      </w:r>
      <w:r>
        <w:rPr>
          <w:rFonts w:hint="eastAsia" w:ascii="仿宋_GB2312" w:hAnsi="仿宋_GB2312" w:eastAsia="仿宋_GB2312" w:cs="仿宋_GB2312"/>
          <w:sz w:val="30"/>
          <w:szCs w:val="30"/>
        </w:rPr>
        <w:t>加强与民营企业和民营经济人士沟通交流，发挥职能服务，助推“两个健康”。深入红原县牦牛乳业公司、高原综合商贸城、更攀合作社、遛遛牛有限责任公司、各酒店等民营企业，细致主动地开展联系服务工作。</w:t>
      </w:r>
    </w:p>
    <w:p>
      <w:pPr>
        <w:spacing w:line="576" w:lineRule="exact"/>
        <w:ind w:firstLine="602" w:firstLineChars="200"/>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w:t>
      </w:r>
      <w:r>
        <w:rPr>
          <w:rFonts w:hint="eastAsia" w:ascii="仿宋_GB2312" w:hAnsi="仿宋_GB2312" w:eastAsia="仿宋_GB2312" w:cs="仿宋_GB2312"/>
          <w:b/>
          <w:bCs/>
          <w:sz w:val="30"/>
          <w:szCs w:val="30"/>
          <w:lang w:eastAsia="zh-CN"/>
        </w:rPr>
        <w:t>三</w:t>
      </w:r>
      <w:r>
        <w:rPr>
          <w:rFonts w:hint="eastAsia" w:ascii="仿宋_GB2312" w:hAnsi="仿宋_GB2312" w:eastAsia="仿宋_GB2312" w:cs="仿宋_GB2312"/>
          <w:b/>
          <w:bCs/>
          <w:sz w:val="30"/>
          <w:szCs w:val="30"/>
        </w:rPr>
        <w:t>）持续做好党外代表人士队伍建设、党外知识分子和新的社会阶层人士统战工作。</w:t>
      </w:r>
      <w:r>
        <w:rPr>
          <w:rFonts w:hint="eastAsia" w:ascii="仿宋_GB2312" w:hAnsi="仿宋_GB2312" w:eastAsia="仿宋_GB2312" w:cs="仿宋_GB2312"/>
          <w:sz w:val="30"/>
          <w:szCs w:val="30"/>
        </w:rPr>
        <w:t>坚持紧密团结全县党外知识分子和新的社会阶层人士等多方力量，引导激励其在红原社会发展的各个方面发光发热。</w:t>
      </w:r>
      <w:r>
        <w:rPr>
          <w:rFonts w:hint="eastAsia" w:ascii="仿宋_GB2312" w:hAnsi="仿宋_GB2312" w:eastAsia="仿宋_GB2312" w:cs="仿宋_GB2312"/>
          <w:sz w:val="30"/>
          <w:szCs w:val="30"/>
          <w:lang w:val="en-US" w:eastAsia="zh-CN"/>
        </w:rPr>
        <w:t>一是坚持为我所用、做好政治安排。依托“</w:t>
      </w:r>
      <w:r>
        <w:rPr>
          <w:rFonts w:hint="eastAsia" w:ascii="仿宋_GB2312" w:hAnsi="仿宋_GB2312" w:eastAsia="仿宋_GB2312" w:cs="仿宋_GB2312"/>
          <w:sz w:val="30"/>
          <w:szCs w:val="30"/>
        </w:rPr>
        <w:t>人才强县</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战略，稳步推进党外人士的培养、教育、管理和举荐使用工作，做好党外代表人士政治安排，细化充实党外人士基本信息采集，逐人建立档案</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完善党外干部资源库。截至目前，全县党外干部中，共有人大代表7名，政协委员11名，近年来提交各类议案、提案10余件。二是牵头搭建平台、落实联系措施。研究出台《关于加强和改进新形势下统战工作的实施意见》，对全县党外知识分子和新的社会阶层人士的发现培养、选拔使用和监督管理做出细致明确的规定。建立并落实党政领导干部与党外代表人士联系交友制度，2021年换届以来，县级领导各类走访座谈、谈心谈话累计13次，组织党外代表人士专题教育培训1次，60余人次参加。</w:t>
      </w:r>
    </w:p>
    <w:p>
      <w:pPr>
        <w:keepNext w:val="0"/>
        <w:keepLines w:val="0"/>
        <w:pageBreakBefore w:val="0"/>
        <w:widowControl w:val="0"/>
        <w:kinsoku/>
        <w:wordWrap/>
        <w:overflowPunct/>
        <w:topLinePunct w:val="0"/>
        <w:autoSpaceDE/>
        <w:autoSpaceDN/>
        <w:adjustRightInd/>
        <w:snapToGrid/>
        <w:spacing w:line="576" w:lineRule="exact"/>
        <w:ind w:firstLine="602" w:firstLineChars="200"/>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w:t>
      </w:r>
      <w:r>
        <w:rPr>
          <w:rFonts w:hint="eastAsia" w:ascii="仿宋_GB2312" w:hAnsi="仿宋_GB2312" w:eastAsia="仿宋_GB2312" w:cs="仿宋_GB2312"/>
          <w:b/>
          <w:bCs/>
          <w:sz w:val="30"/>
          <w:szCs w:val="30"/>
          <w:lang w:eastAsia="zh-CN"/>
        </w:rPr>
        <w:t>四</w:t>
      </w:r>
      <w:r>
        <w:rPr>
          <w:rFonts w:hint="eastAsia" w:ascii="仿宋_GB2312" w:hAnsi="仿宋_GB2312" w:eastAsia="仿宋_GB2312" w:cs="仿宋_GB2312"/>
          <w:b/>
          <w:bCs/>
          <w:sz w:val="30"/>
          <w:szCs w:val="30"/>
        </w:rPr>
        <w:t>）其他工作。一是</w:t>
      </w:r>
      <w:r>
        <w:rPr>
          <w:rFonts w:hint="eastAsia" w:ascii="仿宋_GB2312" w:hAnsi="仿宋_GB2312" w:eastAsia="仿宋_GB2312" w:cs="仿宋_GB2312"/>
          <w:sz w:val="30"/>
          <w:szCs w:val="30"/>
        </w:rPr>
        <w:t>党的建设方面。制发《2023年党建工作计划》，持续创建“党建+寺庙管理”同频共振党建品牌，不断强化基层党建工作，激励党员干部牢记使命责任，积极发挥先锋模范作用，不断推动机关党建走深走实。结合主题教育活动，带头做“两个确立”的坚决拥护者和“两个维护”的坚定践行者，学深悟透习近平新时代中国特色社会主义思想，坚持把党的政治建设摆在首位。通过组织集中学习、专家辅导、个人自学等方式，共计组织各类学习21次，其中组织干部职工学习12次，理论学习中心组9次。</w:t>
      </w:r>
      <w:r>
        <w:rPr>
          <w:rFonts w:hint="eastAsia" w:ascii="仿宋_GB2312" w:hAnsi="仿宋_GB2312" w:eastAsia="仿宋_GB2312" w:cs="仿宋_GB2312"/>
          <w:b/>
          <w:bCs/>
          <w:sz w:val="30"/>
          <w:szCs w:val="30"/>
        </w:rPr>
        <w:t>二是</w:t>
      </w:r>
      <w:r>
        <w:rPr>
          <w:rFonts w:hint="eastAsia" w:ascii="仿宋_GB2312" w:hAnsi="仿宋_GB2312" w:eastAsia="仿宋_GB2312" w:cs="仿宋_GB2312"/>
          <w:sz w:val="30"/>
          <w:szCs w:val="30"/>
        </w:rPr>
        <w:t>党风廉政方面。严格将党风廉政建设和反腐败宣传教育纳入县委统战部党员领导干部学习培训。把反腐倡廉宣传教育纳入部机关的年度重点工作，做到学习有计划、贯彻有部署、落实有痕迹。健全党风党纪和廉洁自律学习教育制度，纳入领导干部和机关党员干部学习培训计划。2023年，党支部主要负责人做到与领导班子成员和干部职工廉洁谈话全覆盖。</w:t>
      </w:r>
    </w:p>
    <w:p>
      <w:pPr>
        <w:pStyle w:val="12"/>
        <w:keepNext w:val="0"/>
        <w:keepLines w:val="0"/>
        <w:widowControl/>
        <w:suppressLineNumbers w:val="0"/>
        <w:ind w:left="0" w:right="75"/>
        <w:outlineLvl w:val="1"/>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二、机构设置</w:t>
      </w:r>
      <w:bookmarkEnd w:id="2"/>
    </w:p>
    <w:p>
      <w:pPr>
        <w:pStyle w:val="12"/>
        <w:keepNext w:val="0"/>
        <w:keepLines w:val="0"/>
        <w:widowControl/>
        <w:suppressLineNumbers w:val="0"/>
        <w:ind w:left="0" w:right="75" w:firstLine="640" w:firstLineChars="200"/>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为独立核算全额拨款行政单位</w:t>
      </w:r>
      <w:r>
        <w:rPr>
          <w:rFonts w:hint="eastAsia" w:ascii="仿宋_GB2312" w:hAnsi="仿宋_GB2312" w:eastAsia="仿宋_GB2312" w:cs="仿宋_GB2312"/>
          <w:sz w:val="32"/>
          <w:szCs w:val="32"/>
          <w:lang w:val="en-US" w:eastAsia="zh-CN"/>
        </w:rPr>
        <w:t>和事业单位，</w:t>
      </w:r>
      <w:r>
        <w:rPr>
          <w:rFonts w:hint="eastAsia" w:ascii="仿宋_GB2312" w:hAnsi="仿宋_GB2312" w:eastAsia="仿宋_GB2312" w:cs="仿宋_GB2312"/>
          <w:sz w:val="32"/>
          <w:szCs w:val="32"/>
          <w:lang w:eastAsia="zh-CN"/>
        </w:rPr>
        <w:t>机构改革后县佛教协会归口统战部统一管理，单位行政编制</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人，行政工勤编制</w:t>
      </w: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eastAsia="zh-CN"/>
        </w:rPr>
        <w:t>人，事业编制</w:t>
      </w:r>
      <w:r>
        <w:rPr>
          <w:rFonts w:hint="eastAsia" w:ascii="仿宋_GB2312" w:hAnsi="仿宋_GB2312" w:eastAsia="仿宋_GB2312" w:cs="仿宋_GB2312"/>
          <w:sz w:val="32"/>
          <w:szCs w:val="32"/>
          <w:lang w:val="en-US"/>
        </w:rPr>
        <w:t>2</w:t>
      </w:r>
      <w:r>
        <w:rPr>
          <w:rFonts w:hint="eastAsia" w:ascii="仿宋_GB2312" w:hAnsi="仿宋_GB2312" w:eastAsia="仿宋_GB2312" w:cs="仿宋_GB2312"/>
          <w:sz w:val="32"/>
          <w:szCs w:val="32"/>
          <w:lang w:eastAsia="zh-CN"/>
        </w:rPr>
        <w:t>人，佛协：行政编制</w:t>
      </w:r>
      <w:r>
        <w:rPr>
          <w:rFonts w:hint="eastAsia" w:ascii="仿宋_GB2312" w:hAnsi="仿宋_GB2312" w:eastAsia="仿宋_GB2312" w:cs="仿宋_GB2312"/>
          <w:sz w:val="32"/>
          <w:szCs w:val="32"/>
          <w:lang w:val="en-US"/>
        </w:rPr>
        <w:t>2</w:t>
      </w:r>
      <w:r>
        <w:rPr>
          <w:rFonts w:hint="eastAsia" w:ascii="仿宋_GB2312" w:hAnsi="仿宋_GB2312" w:eastAsia="仿宋_GB2312" w:cs="仿宋_GB2312"/>
          <w:sz w:val="32"/>
          <w:szCs w:val="32"/>
          <w:lang w:eastAsia="zh-CN"/>
        </w:rPr>
        <w:t>人，事业编制</w:t>
      </w:r>
      <w:r>
        <w:rPr>
          <w:rFonts w:hint="eastAsia" w:ascii="仿宋_GB2312" w:hAnsi="仿宋_GB2312" w:eastAsia="仿宋_GB2312" w:cs="仿宋_GB2312"/>
          <w:sz w:val="32"/>
          <w:szCs w:val="32"/>
          <w:lang w:val="en-US"/>
        </w:rPr>
        <w:t>2</w:t>
      </w:r>
      <w:r>
        <w:rPr>
          <w:rFonts w:hint="eastAsia" w:ascii="仿宋_GB2312" w:hAnsi="仿宋_GB2312" w:eastAsia="仿宋_GB2312" w:cs="仿宋_GB2312"/>
          <w:sz w:val="32"/>
          <w:szCs w:val="32"/>
          <w:lang w:eastAsia="zh-CN"/>
        </w:rPr>
        <w:t>人，事业工勤</w:t>
      </w: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eastAsia="zh-CN"/>
        </w:rPr>
        <w:t>人。</w:t>
      </w:r>
    </w:p>
    <w:p>
      <w:pPr>
        <w:pStyle w:val="12"/>
        <w:keepNext w:val="0"/>
        <w:keepLines w:val="0"/>
        <w:widowControl/>
        <w:suppressLineNumbers w:val="0"/>
        <w:ind w:left="0" w:right="75" w:firstLine="640" w:firstLineChars="200"/>
        <w:outlineLvl w:val="1"/>
        <w:rPr>
          <w:rFonts w:hint="eastAsia" w:ascii="仿宋_GB2312" w:hAnsi="仿宋_GB2312" w:eastAsia="仿宋_GB2312" w:cs="仿宋_GB2312"/>
          <w:sz w:val="32"/>
          <w:szCs w:val="32"/>
          <w:lang w:eastAsia="zh-CN"/>
        </w:rPr>
      </w:pPr>
    </w:p>
    <w:p>
      <w:pPr>
        <w:pStyle w:val="12"/>
        <w:keepNext w:val="0"/>
        <w:keepLines w:val="0"/>
        <w:widowControl/>
        <w:suppressLineNumbers w:val="0"/>
        <w:ind w:left="0" w:right="75" w:firstLine="640" w:firstLineChars="200"/>
        <w:outlineLvl w:val="1"/>
        <w:rPr>
          <w:rFonts w:hint="eastAsia" w:ascii="仿宋_GB2312" w:hAnsi="仿宋_GB2312" w:eastAsia="仿宋_GB2312" w:cs="仿宋_GB2312"/>
          <w:sz w:val="32"/>
          <w:szCs w:val="32"/>
          <w:lang w:eastAsia="zh-CN"/>
        </w:rPr>
      </w:pPr>
    </w:p>
    <w:p>
      <w:pPr>
        <w:pStyle w:val="12"/>
        <w:keepNext w:val="0"/>
        <w:keepLines w:val="0"/>
        <w:widowControl/>
        <w:suppressLineNumbers w:val="0"/>
        <w:ind w:left="0" w:right="75" w:firstLine="640" w:firstLineChars="200"/>
        <w:outlineLvl w:val="1"/>
        <w:rPr>
          <w:rFonts w:hint="eastAsia" w:ascii="仿宋_GB2312" w:hAnsi="仿宋_GB2312" w:eastAsia="仿宋_GB2312" w:cs="仿宋_GB2312"/>
          <w:sz w:val="32"/>
          <w:szCs w:val="32"/>
          <w:lang w:eastAsia="zh-CN"/>
        </w:rPr>
      </w:pPr>
    </w:p>
    <w:p>
      <w:pPr>
        <w:pStyle w:val="12"/>
        <w:keepNext w:val="0"/>
        <w:keepLines w:val="0"/>
        <w:widowControl/>
        <w:suppressLineNumbers w:val="0"/>
        <w:ind w:left="0" w:right="75" w:firstLine="640" w:firstLineChars="200"/>
        <w:outlineLvl w:val="1"/>
        <w:rPr>
          <w:rFonts w:hint="eastAsia" w:ascii="仿宋_GB2312" w:hAnsi="仿宋_GB2312" w:eastAsia="仿宋_GB2312" w:cs="仿宋_GB2312"/>
          <w:sz w:val="32"/>
          <w:szCs w:val="32"/>
          <w:lang w:val="en-US" w:eastAsia="zh-CN"/>
        </w:rPr>
      </w:pPr>
      <w:bookmarkStart w:id="19" w:name="_GoBack"/>
      <w:bookmarkEnd w:id="19"/>
    </w:p>
    <w:p>
      <w:pPr>
        <w:pStyle w:val="12"/>
        <w:keepNext w:val="0"/>
        <w:keepLines w:val="0"/>
        <w:widowControl/>
        <w:suppressLineNumbers w:val="0"/>
        <w:ind w:right="75" w:firstLine="880" w:firstLineChars="200"/>
        <w:jc w:val="both"/>
        <w:outlineLvl w:val="0"/>
        <w:rPr>
          <w:rFonts w:hint="eastAsia" w:ascii="方正大标宋_GBK" w:hAnsi="方正大标宋_GBK" w:eastAsia="方正大标宋_GBK" w:cs="方正大标宋_GBK"/>
          <w:sz w:val="44"/>
          <w:szCs w:val="44"/>
        </w:rPr>
      </w:pPr>
      <w:bookmarkStart w:id="3" w:name="_Toc6796"/>
      <w:r>
        <w:rPr>
          <w:rFonts w:hint="eastAsia" w:ascii="方正大标宋_GBK" w:hAnsi="方正大标宋_GBK" w:eastAsia="方正大标宋_GBK" w:cs="方正大标宋_GBK"/>
          <w:sz w:val="44"/>
          <w:szCs w:val="44"/>
          <w:shd w:val="clear" w:color="auto" w:fill="FFFFFF"/>
        </w:rPr>
        <w:t xml:space="preserve">第二部分 </w:t>
      </w:r>
      <w:r>
        <w:rPr>
          <w:rFonts w:hint="eastAsia" w:ascii="方正大标宋_GBK" w:hAnsi="方正大标宋_GBK" w:eastAsia="方正大标宋_GBK" w:cs="方正大标宋_GBK"/>
          <w:sz w:val="44"/>
          <w:szCs w:val="44"/>
          <w:shd w:val="clear" w:color="auto" w:fill="FFFFFF"/>
          <w:lang w:val="en-US" w:eastAsia="zh-CN"/>
        </w:rPr>
        <w:t>2023</w:t>
      </w:r>
      <w:r>
        <w:rPr>
          <w:rFonts w:hint="eastAsia" w:ascii="方正大标宋_GBK" w:hAnsi="方正大标宋_GBK" w:eastAsia="方正大标宋_GBK" w:cs="方正大标宋_GBK"/>
          <w:sz w:val="44"/>
          <w:szCs w:val="44"/>
          <w:shd w:val="clear" w:color="auto" w:fill="FFFFFF"/>
        </w:rPr>
        <w:t>年度部门决算情况说明</w:t>
      </w:r>
      <w:bookmarkEnd w:id="3"/>
    </w:p>
    <w:p>
      <w:pPr>
        <w:pStyle w:val="12"/>
        <w:keepNext w:val="0"/>
        <w:keepLines w:val="0"/>
        <w:widowControl/>
        <w:suppressLineNumbers w:val="0"/>
        <w:ind w:left="0" w:right="75"/>
        <w:outlineLvl w:val="1"/>
        <w:rPr>
          <w:rFonts w:hint="eastAsia" w:ascii="仿宋_GB2312" w:hAnsi="仿宋_GB2312" w:eastAsia="仿宋_GB2312" w:cs="仿宋_GB2312"/>
          <w:b/>
          <w:bCs/>
          <w:sz w:val="32"/>
          <w:szCs w:val="32"/>
          <w:shd w:val="clear" w:color="auto" w:fill="FFFFFF"/>
        </w:rPr>
      </w:pPr>
      <w:bookmarkStart w:id="4" w:name="_Toc23902"/>
      <w:r>
        <w:rPr>
          <w:rFonts w:hint="eastAsia" w:ascii="仿宋_GB2312" w:hAnsi="仿宋_GB2312" w:eastAsia="仿宋_GB2312" w:cs="仿宋_GB2312"/>
          <w:b/>
          <w:bCs/>
          <w:sz w:val="32"/>
          <w:szCs w:val="32"/>
          <w:shd w:val="clear" w:color="auto" w:fill="FFFFFF"/>
        </w:rPr>
        <w:t>一、 收入支出决算总体情况说明</w:t>
      </w:r>
      <w:bookmarkEnd w:id="4"/>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shd w:val="clear" w:fill="FFFFFF"/>
          <w:lang w:eastAsia="zh-CN"/>
        </w:rPr>
        <w:t>本单位本年度收入的年初预算数为</w:t>
      </w:r>
      <w:r>
        <w:rPr>
          <w:rFonts w:hint="eastAsia" w:ascii="仿宋_GB2312" w:hAnsi="仿宋_GB2312" w:eastAsia="仿宋_GB2312" w:cs="仿宋_GB2312"/>
          <w:sz w:val="32"/>
          <w:szCs w:val="32"/>
          <w:shd w:val="clear" w:fill="FFFFFF"/>
          <w:lang w:val="en-US" w:eastAsia="zh-CN"/>
        </w:rPr>
        <w:t>459.45</w:t>
      </w:r>
      <w:r>
        <w:rPr>
          <w:rFonts w:hint="eastAsia" w:ascii="仿宋_GB2312" w:hAnsi="仿宋_GB2312" w:eastAsia="仿宋_GB2312" w:cs="仿宋_GB2312"/>
          <w:sz w:val="32"/>
          <w:szCs w:val="32"/>
          <w:shd w:val="clear" w:fill="FFFFFF"/>
          <w:lang w:eastAsia="zh-CN"/>
        </w:rPr>
        <w:t>万元，</w:t>
      </w:r>
      <w:r>
        <w:rPr>
          <w:rFonts w:hint="eastAsia" w:ascii="仿宋_GB2312" w:hAnsi="仿宋_GB2312" w:eastAsia="仿宋_GB2312" w:cs="仿宋_GB2312"/>
          <w:sz w:val="32"/>
          <w:szCs w:val="32"/>
          <w:lang w:eastAsia="zh-CN"/>
        </w:rPr>
        <w:t>上年度收入的年初预算数为</w:t>
      </w:r>
      <w:r>
        <w:rPr>
          <w:rFonts w:hint="eastAsia" w:ascii="仿宋_GB2312" w:hAnsi="仿宋_GB2312" w:eastAsia="仿宋_GB2312" w:cs="仿宋_GB2312"/>
          <w:sz w:val="32"/>
          <w:szCs w:val="32"/>
          <w:shd w:val="clear" w:fill="FFFFFF"/>
          <w:lang w:val="en-US" w:eastAsia="zh-CN"/>
        </w:rPr>
        <w:t>345.8</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shd w:val="clear" w:fill="FFFFFF"/>
          <w:lang w:eastAsia="zh-CN"/>
        </w:rPr>
        <w:t>，增加了</w:t>
      </w:r>
      <w:r>
        <w:rPr>
          <w:rFonts w:hint="eastAsia" w:ascii="仿宋_GB2312" w:hAnsi="仿宋_GB2312" w:eastAsia="仿宋_GB2312" w:cs="仿宋_GB2312"/>
          <w:sz w:val="32"/>
          <w:szCs w:val="32"/>
          <w:shd w:val="clear" w:fill="FFFFFF"/>
          <w:lang w:val="en-US" w:eastAsia="zh-CN"/>
        </w:rPr>
        <w:t>113.65万元</w:t>
      </w:r>
      <w:r>
        <w:rPr>
          <w:rFonts w:hint="eastAsia" w:ascii="仿宋_GB2312" w:hAnsi="仿宋_GB2312" w:eastAsia="仿宋_GB2312" w:cs="仿宋_GB2312"/>
          <w:sz w:val="32"/>
          <w:szCs w:val="32"/>
          <w:shd w:val="clear" w:fill="FFFFFF"/>
          <w:lang w:eastAsia="zh-CN"/>
        </w:rPr>
        <w:t>；</w:t>
      </w:r>
      <w:r>
        <w:rPr>
          <w:rStyle w:val="20"/>
          <w:rFonts w:hint="eastAsia" w:ascii="仿宋_GB2312" w:hAnsi="仿宋_GB2312" w:eastAsia="仿宋_GB2312" w:cs="仿宋_GB2312"/>
          <w:b w:val="0"/>
          <w:sz w:val="32"/>
          <w:szCs w:val="32"/>
          <w:shd w:val="clear" w:fill="FFFFFF"/>
          <w:lang w:eastAsia="zh-CN"/>
        </w:rPr>
        <w:t>主要原因人员新增后增加了社会保障和就业支出、卫生健康支出、住房公积金</w:t>
      </w:r>
      <w:r>
        <w:rPr>
          <w:rFonts w:hint="eastAsia" w:ascii="仿宋_GB2312" w:hAnsi="仿宋_GB2312" w:eastAsia="仿宋_GB2312" w:cs="仿宋_GB2312"/>
          <w:sz w:val="32"/>
          <w:szCs w:val="32"/>
          <w:shd w:val="clear" w:fill="FFFFFF"/>
          <w:lang w:eastAsia="zh-CN"/>
        </w:rPr>
        <w:t>。本年度支出的年初预算数为</w:t>
      </w:r>
      <w:r>
        <w:rPr>
          <w:rFonts w:hint="eastAsia" w:ascii="仿宋_GB2312" w:hAnsi="仿宋_GB2312" w:eastAsia="仿宋_GB2312" w:cs="仿宋_GB2312"/>
          <w:sz w:val="32"/>
          <w:szCs w:val="32"/>
          <w:shd w:val="clear" w:fill="FFFFFF"/>
          <w:lang w:val="en-US" w:eastAsia="zh-CN"/>
        </w:rPr>
        <w:t>459.45</w:t>
      </w:r>
      <w:r>
        <w:rPr>
          <w:rFonts w:hint="eastAsia" w:ascii="仿宋_GB2312" w:hAnsi="仿宋_GB2312" w:eastAsia="仿宋_GB2312" w:cs="仿宋_GB2312"/>
          <w:sz w:val="32"/>
          <w:szCs w:val="32"/>
          <w:shd w:val="clear" w:fill="FFFFFF"/>
          <w:lang w:eastAsia="zh-CN"/>
        </w:rPr>
        <w:t>万元，上年度支出的年初预算数为</w:t>
      </w:r>
      <w:r>
        <w:rPr>
          <w:rFonts w:hint="eastAsia" w:ascii="仿宋_GB2312" w:hAnsi="仿宋_GB2312" w:eastAsia="仿宋_GB2312" w:cs="仿宋_GB2312"/>
          <w:sz w:val="32"/>
          <w:szCs w:val="32"/>
          <w:shd w:val="clear" w:fill="FFFFFF"/>
          <w:lang w:val="en-US" w:eastAsia="zh-CN"/>
        </w:rPr>
        <w:t>345.8</w:t>
      </w:r>
      <w:r>
        <w:rPr>
          <w:rFonts w:hint="eastAsia" w:ascii="仿宋_GB2312" w:hAnsi="仿宋_GB2312" w:eastAsia="仿宋_GB2312" w:cs="仿宋_GB2312"/>
          <w:sz w:val="32"/>
          <w:szCs w:val="32"/>
          <w:shd w:val="clear" w:fill="FFFFFF"/>
          <w:lang w:eastAsia="zh-CN"/>
        </w:rPr>
        <w:t>万元，增加了</w:t>
      </w:r>
      <w:r>
        <w:rPr>
          <w:rFonts w:hint="eastAsia" w:ascii="仿宋_GB2312" w:hAnsi="仿宋_GB2312" w:eastAsia="仿宋_GB2312" w:cs="仿宋_GB2312"/>
          <w:sz w:val="32"/>
          <w:szCs w:val="32"/>
          <w:shd w:val="clear" w:fill="FFFFFF"/>
          <w:lang w:val="en-US" w:eastAsia="zh-CN"/>
        </w:rPr>
        <w:t>113.65</w:t>
      </w:r>
      <w:r>
        <w:rPr>
          <w:rFonts w:hint="eastAsia" w:ascii="仿宋_GB2312" w:hAnsi="仿宋_GB2312" w:eastAsia="仿宋_GB2312" w:cs="仿宋_GB2312"/>
          <w:sz w:val="32"/>
          <w:szCs w:val="32"/>
          <w:shd w:val="clear" w:fill="FFFFFF"/>
          <w:lang w:eastAsia="zh-CN"/>
        </w:rPr>
        <w:t>万元；</w:t>
      </w:r>
      <w:r>
        <w:rPr>
          <w:rStyle w:val="20"/>
          <w:rFonts w:hint="eastAsia" w:ascii="仿宋_GB2312" w:hAnsi="仿宋_GB2312" w:eastAsia="仿宋_GB2312" w:cs="仿宋_GB2312"/>
          <w:b w:val="0"/>
          <w:sz w:val="32"/>
          <w:szCs w:val="32"/>
          <w:shd w:val="clear" w:fill="FFFFFF"/>
          <w:lang w:eastAsia="zh-CN"/>
        </w:rPr>
        <w:t>主要原因增加了项目支出和公用经费的支出</w:t>
      </w:r>
      <w:r>
        <w:rPr>
          <w:rFonts w:hint="eastAsia" w:ascii="仿宋_GB2312" w:hAnsi="仿宋_GB2312" w:eastAsia="仿宋_GB2312" w:cs="仿宋_GB2312"/>
          <w:sz w:val="32"/>
          <w:szCs w:val="32"/>
          <w:lang w:eastAsia="zh-CN"/>
        </w:rPr>
        <w:t>。</w:t>
      </w:r>
    </w:p>
    <w:p>
      <w:pPr>
        <w:spacing w:line="600" w:lineRule="exact"/>
        <w:ind w:firstLine="640" w:firstLineChars="20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（图1：收、支决算变动情况图）（柱状图）</w:t>
      </w:r>
    </w:p>
    <w:p>
      <w:pPr>
        <w:pStyle w:val="7"/>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eastAsia="zh-CN"/>
        </w:rPr>
        <w:drawing>
          <wp:anchor distT="0" distB="0" distL="114300" distR="114300" simplePos="0" relativeHeight="251664384" behindDoc="0" locked="0" layoutInCell="1" allowOverlap="1">
            <wp:simplePos x="0" y="0"/>
            <wp:positionH relativeFrom="column">
              <wp:posOffset>96520</wp:posOffset>
            </wp:positionH>
            <wp:positionV relativeFrom="paragraph">
              <wp:posOffset>52070</wp:posOffset>
            </wp:positionV>
            <wp:extent cx="4803775" cy="1839595"/>
            <wp:effectExtent l="4445" t="5080" r="11430" b="2222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pStyle w:val="7"/>
        <w:ind w:left="0" w:leftChars="0" w:firstLine="0" w:firstLineChars="0"/>
        <w:rPr>
          <w:rFonts w:hint="eastAsia" w:ascii="仿宋_GB2312" w:hAnsi="仿宋_GB2312" w:eastAsia="仿宋_GB2312" w:cs="仿宋_GB2312"/>
          <w:color w:val="000000"/>
          <w:sz w:val="32"/>
          <w:szCs w:val="32"/>
          <w:lang w:val="en-US" w:eastAsia="zh-CN"/>
        </w:rPr>
      </w:pPr>
    </w:p>
    <w:p>
      <w:pPr>
        <w:pStyle w:val="8"/>
        <w:rPr>
          <w:rFonts w:hint="eastAsia" w:ascii="仿宋_GB2312" w:hAnsi="仿宋_GB2312" w:eastAsia="仿宋_GB2312" w:cs="仿宋_GB2312"/>
          <w:color w:val="000000"/>
          <w:sz w:val="32"/>
          <w:szCs w:val="32"/>
          <w:lang w:val="en-US" w:eastAsia="zh-CN"/>
        </w:rPr>
      </w:pPr>
    </w:p>
    <w:p>
      <w:pPr>
        <w:pStyle w:val="8"/>
        <w:rPr>
          <w:rFonts w:hint="eastAsia" w:ascii="仿宋_GB2312" w:hAnsi="仿宋_GB2312" w:eastAsia="仿宋_GB2312" w:cs="仿宋_GB2312"/>
          <w:color w:val="000000"/>
          <w:sz w:val="32"/>
          <w:szCs w:val="32"/>
          <w:lang w:val="en-US" w:eastAsia="zh-CN"/>
        </w:rPr>
      </w:pPr>
    </w:p>
    <w:p>
      <w:pPr>
        <w:pStyle w:val="8"/>
        <w:rPr>
          <w:rFonts w:hint="eastAsia" w:ascii="仿宋_GB2312" w:hAnsi="仿宋_GB2312" w:eastAsia="仿宋_GB2312" w:cs="仿宋_GB2312"/>
          <w:color w:val="000000"/>
          <w:sz w:val="32"/>
          <w:szCs w:val="32"/>
          <w:lang w:val="en-US" w:eastAsia="zh-CN"/>
        </w:rPr>
      </w:pPr>
    </w:p>
    <w:p>
      <w:pPr>
        <w:pStyle w:val="8"/>
        <w:rPr>
          <w:rFonts w:hint="eastAsia" w:ascii="仿宋_GB2312" w:hAnsi="仿宋_GB2312" w:eastAsia="仿宋_GB2312" w:cs="仿宋_GB2312"/>
          <w:color w:val="000000"/>
          <w:sz w:val="32"/>
          <w:szCs w:val="32"/>
          <w:lang w:val="en-US" w:eastAsia="zh-CN"/>
        </w:rPr>
      </w:pPr>
    </w:p>
    <w:p>
      <w:pPr>
        <w:pStyle w:val="12"/>
        <w:keepNext w:val="0"/>
        <w:keepLines w:val="0"/>
        <w:widowControl/>
        <w:numPr>
          <w:ilvl w:val="0"/>
          <w:numId w:val="1"/>
        </w:numPr>
        <w:suppressLineNumbers w:val="0"/>
        <w:shd w:val="clear" w:color="auto" w:fill="auto"/>
        <w:ind w:left="0" w:right="75"/>
        <w:jc w:val="left"/>
        <w:outlineLvl w:val="1"/>
        <w:rPr>
          <w:rFonts w:hint="eastAsia" w:ascii="仿宋_GB2312" w:hAnsi="仿宋_GB2312" w:eastAsia="仿宋_GB2312" w:cs="仿宋_GB2312"/>
          <w:b/>
          <w:bCs/>
          <w:color w:val="000000"/>
          <w:sz w:val="32"/>
          <w:szCs w:val="32"/>
          <w:lang w:eastAsia="zh-CN"/>
        </w:rPr>
      </w:pPr>
      <w:bookmarkStart w:id="5" w:name="_Toc21346"/>
      <w:r>
        <w:rPr>
          <w:rFonts w:hint="eastAsia" w:ascii="仿宋_GB2312" w:hAnsi="仿宋_GB2312" w:eastAsia="仿宋_GB2312" w:cs="仿宋_GB2312"/>
          <w:b/>
          <w:bCs/>
          <w:sz w:val="32"/>
          <w:szCs w:val="32"/>
          <w:shd w:val="clear" w:color="auto" w:fill="FFFFFF"/>
        </w:rPr>
        <w:t>收入决算情况说明</w:t>
      </w:r>
      <w:bookmarkEnd w:id="5"/>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714.60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其中一般公共财政拨款收入</w:t>
      </w:r>
      <w:r>
        <w:rPr>
          <w:rFonts w:hint="eastAsia" w:ascii="仿宋_GB2312" w:hAnsi="仿宋_GB2312" w:eastAsia="仿宋_GB2312" w:cs="仿宋_GB2312"/>
          <w:color w:val="000000"/>
          <w:sz w:val="32"/>
          <w:szCs w:val="32"/>
          <w:lang w:val="en-US" w:eastAsia="zh-CN"/>
        </w:rPr>
        <w:t>710.17万元，其他收入4.43万元。</w:t>
      </w:r>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（图2：收入决算结构图）（饼状图）</w:t>
      </w:r>
    </w:p>
    <w:p>
      <w:pPr>
        <w:pStyle w:val="12"/>
        <w:keepNext w:val="0"/>
        <w:keepLines w:val="0"/>
        <w:widowControl/>
        <w:numPr>
          <w:ilvl w:val="0"/>
          <w:numId w:val="0"/>
        </w:numPr>
        <w:suppressLineNumbers w:val="0"/>
        <w:shd w:val="clear" w:color="auto" w:fill="auto"/>
        <w:ind w:right="75" w:rightChars="0" w:firstLine="640" w:firstLineChars="200"/>
        <w:jc w:val="lef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color w:val="000000"/>
          <w:sz w:val="32"/>
          <w:szCs w:val="32"/>
          <w:lang w:eastAsia="zh-CN"/>
        </w:rPr>
        <w:object>
          <v:shape id="_x0000_i1025" o:spt="75" type="#_x0000_t75" style="height:0.05pt;width:0.05pt;" o:ole="t" filled="f" stroked="f" coordsize="21600,21600">
            <v:path/>
            <v:fill on="f" focussize="0,0"/>
            <v:stroke on="f"/>
            <v:imagedata o:title=""/>
            <o:lock v:ext="edit" aspectratio="t"/>
            <w10:wrap type="none"/>
            <w10:anchorlock/>
          </v:shape>
          <o:OLEObject Type="Embed" ProgID="Excel.Chart.8" ShapeID="_x0000_i1025" DrawAspect="Content" ObjectID="_1468075725" r:id="rId6">
            <o:LockedField>false</o:LockedField>
          </o:OLEObject>
        </w:object>
      </w:r>
      <w:r>
        <w:rPr>
          <w:rFonts w:hint="eastAsia" w:ascii="仿宋_GB2312" w:hAnsi="仿宋_GB2312" w:eastAsia="仿宋_GB2312" w:cs="仿宋_GB2312"/>
          <w:color w:val="000000"/>
          <w:sz w:val="32"/>
          <w:szCs w:val="32"/>
          <w:lang w:eastAsia="zh-CN"/>
        </w:rPr>
        <w:object>
          <v:shape id="_x0000_i1026" o:spt="75" type="#_x0000_t75" style="height:0.05pt;width:0.05pt;" o:ole="t" filled="f" stroked="f" coordsize="21600,21600">
            <v:path/>
            <v:fill on="f" focussize="0,0"/>
            <v:stroke on="f"/>
            <v:imagedata o:title=""/>
            <o:lock v:ext="edit" aspectratio="t"/>
            <w10:wrap type="none"/>
            <w10:anchorlock/>
          </v:shape>
          <o:OLEObject Type="Embed" ProgID="Excel.Chart.8" ShapeID="_x0000_i1026" DrawAspect="Content" ObjectID="_1468075726" r:id="rId7">
            <o:LockedField>false</o:LockedField>
          </o:OLEObject>
        </w:object>
      </w:r>
      <w:r>
        <w:rPr>
          <w:rFonts w:hint="eastAsia" w:ascii="仿宋_GB2312" w:hAnsi="仿宋_GB2312" w:eastAsia="仿宋_GB2312" w:cs="仿宋_GB2312"/>
          <w:color w:val="000000"/>
          <w:sz w:val="32"/>
          <w:szCs w:val="32"/>
          <w:lang w:eastAsia="zh-CN"/>
        </w:rPr>
        <w:drawing>
          <wp:inline distT="0" distB="0" distL="114300" distR="114300">
            <wp:extent cx="4947285" cy="2461260"/>
            <wp:effectExtent l="4445" t="4445" r="20320" b="1079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12"/>
        <w:keepNext w:val="0"/>
        <w:keepLines w:val="0"/>
        <w:widowControl/>
        <w:numPr>
          <w:ilvl w:val="0"/>
          <w:numId w:val="1"/>
        </w:numPr>
        <w:suppressLineNumbers w:val="0"/>
        <w:shd w:val="clear" w:color="auto" w:fill="auto"/>
        <w:ind w:left="0" w:leftChars="0" w:right="75" w:firstLine="0" w:firstLineChars="0"/>
        <w:jc w:val="left"/>
        <w:outlineLvl w:val="1"/>
        <w:rPr>
          <w:rFonts w:hint="eastAsia" w:ascii="仿宋_GB2312" w:hAnsi="仿宋_GB2312" w:eastAsia="仿宋_GB2312" w:cs="仿宋_GB2312"/>
          <w:b/>
          <w:bCs/>
          <w:sz w:val="32"/>
          <w:szCs w:val="32"/>
          <w:shd w:val="clear" w:color="auto" w:fill="FFFFFF"/>
        </w:rPr>
      </w:pPr>
      <w:bookmarkStart w:id="6" w:name="_Toc21019"/>
      <w:r>
        <w:rPr>
          <w:rFonts w:hint="eastAsia" w:ascii="仿宋_GB2312" w:hAnsi="仿宋_GB2312" w:eastAsia="仿宋_GB2312" w:cs="仿宋_GB2312"/>
          <w:b/>
          <w:bCs/>
          <w:sz w:val="32"/>
          <w:szCs w:val="32"/>
          <w:shd w:val="clear" w:color="auto" w:fill="FFFFFF"/>
        </w:rPr>
        <w:t>支出决算情况说明</w:t>
      </w:r>
      <w:bookmarkEnd w:id="6"/>
    </w:p>
    <w:p>
      <w:pPr>
        <w:pStyle w:val="12"/>
        <w:spacing w:before="0" w:beforeAutospacing="0"/>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sz w:val="32"/>
          <w:szCs w:val="32"/>
          <w:shd w:val="clear" w:fill="FFFFFF"/>
          <w:lang w:eastAsia="zh-CN"/>
        </w:rPr>
        <w:t>为</w:t>
      </w:r>
      <w:r>
        <w:rPr>
          <w:rFonts w:hint="eastAsia" w:ascii="仿宋_GB2312" w:hAnsi="仿宋_GB2312" w:eastAsia="仿宋_GB2312" w:cs="仿宋_GB2312"/>
          <w:color w:val="000000"/>
          <w:sz w:val="32"/>
          <w:szCs w:val="32"/>
          <w:lang w:val="en-US" w:eastAsia="zh-CN"/>
        </w:rPr>
        <w:t>714.60</w:t>
      </w:r>
      <w:r>
        <w:rPr>
          <w:rFonts w:hint="eastAsia" w:ascii="仿宋_GB2312" w:hAnsi="仿宋_GB2312" w:eastAsia="仿宋_GB2312" w:cs="仿宋_GB2312"/>
          <w:sz w:val="32"/>
          <w:szCs w:val="32"/>
          <w:shd w:val="clear" w:fill="FFFFFF"/>
          <w:lang w:eastAsia="zh-CN"/>
        </w:rPr>
        <w:t>万元</w:t>
      </w:r>
      <w:r>
        <w:rPr>
          <w:rFonts w:hint="eastAsia" w:ascii="仿宋_GB2312" w:hAnsi="仿宋_GB2312" w:eastAsia="仿宋_GB2312" w:cs="仿宋_GB2312"/>
          <w:color w:val="000000"/>
          <w:sz w:val="32"/>
          <w:szCs w:val="32"/>
        </w:rPr>
        <w:t>，其中：基本支出</w:t>
      </w:r>
      <w:r>
        <w:rPr>
          <w:rFonts w:hint="eastAsia" w:ascii="仿宋_GB2312" w:hAnsi="仿宋_GB2312" w:eastAsia="仿宋_GB2312" w:cs="仿宋_GB2312"/>
          <w:color w:val="000000"/>
          <w:sz w:val="32"/>
          <w:szCs w:val="32"/>
          <w:lang w:val="en-US" w:eastAsia="zh-CN"/>
        </w:rPr>
        <w:t>557.09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77.95</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157.51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22.04</w:t>
      </w:r>
      <w:r>
        <w:rPr>
          <w:rFonts w:hint="eastAsia" w:ascii="仿宋_GB2312" w:hAnsi="仿宋_GB2312" w:eastAsia="仿宋_GB2312" w:cs="仿宋_GB2312"/>
          <w:color w:val="000000"/>
          <w:sz w:val="32"/>
          <w:szCs w:val="32"/>
        </w:rPr>
        <w:t>%；上缴上级支出0.00万元，占0.00%；经营支出0.00万元，占经营支出0.00万元，占 0.00%；对附属单位补助支出0.00万元，占0.00%</w:t>
      </w:r>
    </w:p>
    <w:p>
      <w:pPr>
        <w:pStyle w:val="12"/>
        <w:keepNext w:val="0"/>
        <w:keepLines w:val="0"/>
        <w:widowControl/>
        <w:suppressLineNumbers w:val="0"/>
        <w:shd w:val="clear" w:color="auto" w:fill="auto"/>
        <w:ind w:left="0" w:right="75"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（图3：支出决算结构图）（饼状图）</w:t>
      </w:r>
    </w:p>
    <w:p>
      <w:pPr>
        <w:pStyle w:val="12"/>
        <w:keepNext w:val="0"/>
        <w:keepLines w:val="0"/>
        <w:widowControl/>
        <w:suppressLineNumbers w:val="0"/>
        <w:shd w:val="clear" w:color="auto" w:fill="auto"/>
        <w:ind w:left="0" w:right="75"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drawing>
          <wp:inline distT="0" distB="0" distL="114300" distR="114300">
            <wp:extent cx="5080000" cy="2918460"/>
            <wp:effectExtent l="4445" t="4445" r="20955" b="1079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12"/>
        <w:keepNext w:val="0"/>
        <w:keepLines w:val="0"/>
        <w:widowControl/>
        <w:numPr>
          <w:ilvl w:val="0"/>
          <w:numId w:val="1"/>
        </w:numPr>
        <w:suppressLineNumbers w:val="0"/>
        <w:shd w:val="clear" w:color="auto" w:fill="auto"/>
        <w:ind w:left="0" w:leftChars="0" w:right="75" w:firstLine="0" w:firstLineChars="0"/>
        <w:jc w:val="left"/>
        <w:outlineLvl w:val="1"/>
        <w:rPr>
          <w:rFonts w:hint="eastAsia" w:ascii="仿宋_GB2312" w:hAnsi="仿宋_GB2312" w:eastAsia="仿宋_GB2312" w:cs="仿宋_GB2312"/>
          <w:b/>
          <w:bCs/>
          <w:sz w:val="32"/>
          <w:szCs w:val="32"/>
          <w:shd w:val="clear" w:color="auto" w:fill="FFFFFF"/>
        </w:rPr>
      </w:pPr>
      <w:bookmarkStart w:id="7" w:name="_Toc7956"/>
      <w:r>
        <w:rPr>
          <w:rFonts w:hint="eastAsia" w:ascii="仿宋_GB2312" w:hAnsi="仿宋_GB2312" w:eastAsia="仿宋_GB2312" w:cs="仿宋_GB2312"/>
          <w:b/>
          <w:bCs/>
          <w:sz w:val="32"/>
          <w:szCs w:val="32"/>
          <w:shd w:val="clear" w:color="auto" w:fill="FFFFFF"/>
        </w:rPr>
        <w:t>财政拨款收入支出决算总体情况说明</w:t>
      </w:r>
      <w:bookmarkEnd w:id="7"/>
    </w:p>
    <w:p>
      <w:pPr>
        <w:pStyle w:val="12"/>
        <w:keepNext w:val="0"/>
        <w:keepLines w:val="0"/>
        <w:widowControl/>
        <w:suppressLineNumbers w:val="0"/>
        <w:ind w:left="0" w:right="75" w:firstLine="640" w:firstLineChars="20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年度收入</w:t>
      </w:r>
      <w:r>
        <w:rPr>
          <w:rFonts w:hint="eastAsia" w:ascii="仿宋_GB2312" w:hAnsi="仿宋_GB2312" w:eastAsia="仿宋_GB2312" w:cs="仿宋_GB2312"/>
          <w:color w:val="000000"/>
          <w:sz w:val="32"/>
          <w:szCs w:val="32"/>
          <w:lang w:val="en-US" w:eastAsia="zh-CN"/>
        </w:rPr>
        <w:t>710.17</w:t>
      </w:r>
      <w:r>
        <w:rPr>
          <w:rFonts w:hint="eastAsia" w:ascii="仿宋_GB2312" w:hAnsi="仿宋_GB2312" w:eastAsia="仿宋_GB2312" w:cs="仿宋_GB2312"/>
          <w:color w:val="000000"/>
          <w:sz w:val="32"/>
          <w:szCs w:val="32"/>
        </w:rPr>
        <w:t>万元，支出</w:t>
      </w:r>
      <w:r>
        <w:rPr>
          <w:rFonts w:hint="eastAsia" w:ascii="仿宋_GB2312" w:hAnsi="仿宋_GB2312" w:eastAsia="仿宋_GB2312" w:cs="仿宋_GB2312"/>
          <w:color w:val="000000"/>
          <w:sz w:val="32"/>
          <w:szCs w:val="32"/>
          <w:lang w:val="en-US" w:eastAsia="zh-CN"/>
        </w:rPr>
        <w:t>710.17</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与</w:t>
      </w:r>
      <w:r>
        <w:rPr>
          <w:rFonts w:hint="eastAsia" w:ascii="仿宋_GB2312" w:hAnsi="仿宋_GB2312" w:eastAsia="仿宋_GB2312" w:cs="仿宋_GB2312"/>
          <w:color w:val="000000"/>
          <w:sz w:val="32"/>
          <w:szCs w:val="32"/>
          <w:lang w:val="en-US" w:eastAsia="zh-CN"/>
        </w:rPr>
        <w:t>2022</w:t>
      </w:r>
      <w:r>
        <w:rPr>
          <w:rFonts w:hint="eastAsia" w:ascii="仿宋_GB2312" w:hAnsi="仿宋_GB2312" w:eastAsia="仿宋_GB2312" w:cs="仿宋_GB2312"/>
          <w:color w:val="000000"/>
          <w:sz w:val="32"/>
          <w:szCs w:val="32"/>
        </w:rPr>
        <w:t>年相比，</w:t>
      </w:r>
      <w:r>
        <w:rPr>
          <w:rFonts w:hint="eastAsia" w:ascii="仿宋_GB2312" w:hAnsi="仿宋_GB2312" w:eastAsia="仿宋_GB2312" w:cs="仿宋_GB2312"/>
          <w:color w:val="000000"/>
          <w:sz w:val="32"/>
          <w:szCs w:val="32"/>
          <w:lang w:eastAsia="zh-CN"/>
        </w:rPr>
        <w:t>收入增加了</w:t>
      </w:r>
      <w:r>
        <w:rPr>
          <w:rFonts w:hint="eastAsia" w:ascii="仿宋_GB2312" w:hAnsi="仿宋_GB2312" w:eastAsia="仿宋_GB2312" w:cs="仿宋_GB2312"/>
          <w:color w:val="000000"/>
          <w:sz w:val="32"/>
          <w:szCs w:val="32"/>
          <w:lang w:val="en-US" w:eastAsia="zh-CN"/>
        </w:rPr>
        <w:t>141.65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上升了</w:t>
      </w:r>
      <w:r>
        <w:rPr>
          <w:rFonts w:hint="eastAsia" w:ascii="仿宋_GB2312" w:hAnsi="仿宋_GB2312" w:eastAsia="仿宋_GB2312" w:cs="仿宋_GB2312"/>
          <w:color w:val="000000"/>
          <w:sz w:val="32"/>
          <w:szCs w:val="32"/>
          <w:lang w:val="en-US" w:eastAsia="zh-CN"/>
        </w:rPr>
        <w:t>19.95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支出增加</w:t>
      </w:r>
      <w:r>
        <w:rPr>
          <w:rFonts w:hint="eastAsia" w:ascii="仿宋_GB2312" w:hAnsi="仿宋_GB2312" w:eastAsia="仿宋_GB2312" w:cs="仿宋_GB2312"/>
          <w:color w:val="000000"/>
          <w:sz w:val="32"/>
          <w:szCs w:val="32"/>
          <w:lang w:val="en-US" w:eastAsia="zh-CN"/>
        </w:rPr>
        <w:t>141.65万元，</w:t>
      </w:r>
      <w:r>
        <w:rPr>
          <w:rFonts w:hint="eastAsia" w:ascii="仿宋_GB2312" w:hAnsi="仿宋_GB2312" w:eastAsia="仿宋_GB2312" w:cs="仿宋_GB2312"/>
          <w:color w:val="000000"/>
          <w:sz w:val="32"/>
          <w:szCs w:val="32"/>
          <w:lang w:eastAsia="zh-CN"/>
        </w:rPr>
        <w:t>上升了</w:t>
      </w:r>
      <w:r>
        <w:rPr>
          <w:rFonts w:hint="eastAsia" w:ascii="仿宋_GB2312" w:hAnsi="仿宋_GB2312" w:eastAsia="仿宋_GB2312" w:cs="仿宋_GB2312"/>
          <w:color w:val="000000"/>
          <w:sz w:val="32"/>
          <w:szCs w:val="32"/>
          <w:lang w:val="en-US" w:eastAsia="zh-CN"/>
        </w:rPr>
        <w:t>19.95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，收入支出均增加主要原因：</w:t>
      </w:r>
      <w:r>
        <w:rPr>
          <w:rFonts w:hint="eastAsia" w:ascii="仿宋_GB2312" w:hAnsi="仿宋_GB2312" w:eastAsia="仿宋_GB2312" w:cs="仿宋_GB2312"/>
          <w:b/>
          <w:bCs/>
          <w:color w:val="000000"/>
          <w:sz w:val="32"/>
          <w:szCs w:val="32"/>
          <w:lang w:eastAsia="zh-CN"/>
        </w:rPr>
        <w:t>一是</w:t>
      </w:r>
      <w:r>
        <w:rPr>
          <w:rFonts w:hint="eastAsia" w:ascii="仿宋_GB2312" w:hAnsi="仿宋_GB2312" w:eastAsia="仿宋_GB2312" w:cs="仿宋_GB2312"/>
          <w:b w:val="0"/>
          <w:bCs w:val="0"/>
          <w:color w:val="000000"/>
          <w:sz w:val="32"/>
          <w:szCs w:val="32"/>
          <w:lang w:val="en-US" w:eastAsia="zh-CN"/>
        </w:rPr>
        <w:t>项目和办公经费较上年有所增加；</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b w:val="0"/>
          <w:bCs w:val="0"/>
          <w:color w:val="000000"/>
          <w:sz w:val="32"/>
          <w:szCs w:val="32"/>
          <w:lang w:val="en-US" w:eastAsia="zh-CN"/>
        </w:rPr>
        <w:t>新增人员后</w:t>
      </w:r>
      <w:r>
        <w:rPr>
          <w:rStyle w:val="20"/>
          <w:rFonts w:hint="eastAsia" w:ascii="仿宋_GB2312" w:hAnsi="仿宋_GB2312" w:eastAsia="仿宋_GB2312" w:cs="仿宋_GB2312"/>
          <w:b w:val="0"/>
          <w:sz w:val="32"/>
          <w:szCs w:val="32"/>
          <w:shd w:val="clear" w:fill="FFFFFF"/>
          <w:lang w:eastAsia="zh-CN"/>
        </w:rPr>
        <w:t>增加了社会保障和就业支出、卫生健康支出、住房公积金</w:t>
      </w:r>
      <w:r>
        <w:rPr>
          <w:rFonts w:hint="eastAsia" w:ascii="仿宋_GB2312" w:hAnsi="仿宋_GB2312" w:eastAsia="仿宋_GB2312" w:cs="仿宋_GB2312"/>
          <w:sz w:val="32"/>
          <w:szCs w:val="32"/>
          <w:shd w:val="clear" w:fill="FFFFFF"/>
          <w:lang w:eastAsia="zh-CN"/>
        </w:rPr>
        <w:t>。</w:t>
      </w:r>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（图4：财政拨款收、支决算总计变动情况）（柱状图）</w:t>
      </w:r>
    </w:p>
    <w:p>
      <w:pPr>
        <w:pStyle w:val="12"/>
        <w:keepNext w:val="0"/>
        <w:keepLines w:val="0"/>
        <w:widowControl/>
        <w:numPr>
          <w:ilvl w:val="0"/>
          <w:numId w:val="0"/>
        </w:numPr>
        <w:suppressLineNumbers w:val="0"/>
        <w:shd w:val="clear" w:color="auto" w:fill="auto"/>
        <w:ind w:leftChars="0" w:right="75" w:rightChars="0"/>
        <w:jc w:val="left"/>
        <w:rPr>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sz w:val="32"/>
          <w:szCs w:val="32"/>
          <w:shd w:val="clear" w:color="auto" w:fill="FFFFFF"/>
          <w:lang w:eastAsia="zh-CN"/>
        </w:rPr>
        <w:drawing>
          <wp:anchor distT="0" distB="0" distL="114300" distR="114300" simplePos="0" relativeHeight="251671552" behindDoc="0" locked="0" layoutInCell="1" allowOverlap="1">
            <wp:simplePos x="0" y="0"/>
            <wp:positionH relativeFrom="column">
              <wp:posOffset>309245</wp:posOffset>
            </wp:positionH>
            <wp:positionV relativeFrom="paragraph">
              <wp:posOffset>27305</wp:posOffset>
            </wp:positionV>
            <wp:extent cx="4898390" cy="2153920"/>
            <wp:effectExtent l="4445" t="4445" r="12065" b="13335"/>
            <wp:wrapSquare wrapText="bothSides"/>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12"/>
        <w:keepNext w:val="0"/>
        <w:keepLines w:val="0"/>
        <w:widowControl/>
        <w:suppressLineNumbers w:val="0"/>
        <w:shd w:val="clear" w:color="auto" w:fill="auto"/>
        <w:ind w:left="0" w:right="75"/>
        <w:jc w:val="left"/>
        <w:outlineLvl w:val="1"/>
        <w:rPr>
          <w:rFonts w:hint="eastAsia" w:ascii="仿宋_GB2312" w:hAnsi="仿宋_GB2312" w:eastAsia="仿宋_GB2312" w:cs="仿宋_GB2312"/>
          <w:b/>
          <w:bCs/>
          <w:sz w:val="32"/>
          <w:szCs w:val="32"/>
          <w:shd w:val="clear" w:color="auto" w:fill="FFFFFF"/>
        </w:rPr>
      </w:pPr>
      <w:bookmarkStart w:id="8" w:name="_Toc23149"/>
      <w:r>
        <w:rPr>
          <w:rFonts w:hint="eastAsia" w:ascii="仿宋_GB2312" w:hAnsi="仿宋_GB2312" w:eastAsia="仿宋_GB2312" w:cs="仿宋_GB2312"/>
          <w:b/>
          <w:bCs/>
          <w:sz w:val="32"/>
          <w:szCs w:val="32"/>
          <w:shd w:val="clear" w:color="auto" w:fill="FFFFFF"/>
        </w:rPr>
        <w:t>五、一般公共预算财政拨款支出决算情况说明</w:t>
      </w:r>
      <w:bookmarkEnd w:id="8"/>
    </w:p>
    <w:p>
      <w:pPr>
        <w:pStyle w:val="12"/>
        <w:keepNext w:val="0"/>
        <w:keepLines w:val="0"/>
        <w:widowControl/>
        <w:suppressLineNumbers w:val="0"/>
        <w:ind w:left="0" w:right="75"/>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（一）一般公共预算财政拨款支出决算总体情况</w:t>
      </w:r>
    </w:p>
    <w:p>
      <w:pPr>
        <w:pStyle w:val="12"/>
        <w:keepNext w:val="0"/>
        <w:keepLines w:val="0"/>
        <w:widowControl/>
        <w:suppressLineNumbers w:val="0"/>
        <w:ind w:left="0" w:right="75" w:firstLine="640" w:firstLineChars="200"/>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710.17</w:t>
      </w:r>
      <w:r>
        <w:rPr>
          <w:rFonts w:hint="eastAsia" w:ascii="仿宋_GB2312" w:hAnsi="仿宋_GB2312" w:eastAsia="仿宋_GB2312" w:cs="仿宋_GB2312"/>
          <w:color w:val="000000"/>
          <w:sz w:val="32"/>
          <w:szCs w:val="32"/>
        </w:rPr>
        <w:t>万元，与</w:t>
      </w:r>
      <w:r>
        <w:rPr>
          <w:rFonts w:hint="eastAsia" w:ascii="仿宋_GB2312" w:hAnsi="仿宋_GB2312" w:eastAsia="仿宋_GB2312" w:cs="仿宋_GB2312"/>
          <w:color w:val="000000"/>
          <w:sz w:val="32"/>
          <w:szCs w:val="32"/>
          <w:lang w:val="en-US" w:eastAsia="zh-CN"/>
        </w:rPr>
        <w:t>2022</w:t>
      </w:r>
      <w:r>
        <w:rPr>
          <w:rFonts w:hint="eastAsia" w:ascii="仿宋_GB2312" w:hAnsi="仿宋_GB2312" w:eastAsia="仿宋_GB2312" w:cs="仿宋_GB2312"/>
          <w:color w:val="000000"/>
          <w:sz w:val="32"/>
          <w:szCs w:val="32"/>
        </w:rPr>
        <w:t>年相比，</w:t>
      </w:r>
      <w:r>
        <w:rPr>
          <w:rFonts w:hint="eastAsia" w:ascii="仿宋_GB2312" w:hAnsi="仿宋_GB2312" w:eastAsia="仿宋_GB2312" w:cs="仿宋_GB2312"/>
          <w:color w:val="000000"/>
          <w:sz w:val="32"/>
          <w:szCs w:val="32"/>
          <w:lang w:val="en-US" w:eastAsia="zh-CN"/>
        </w:rPr>
        <w:t>支出增加了141.65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上升了</w:t>
      </w:r>
      <w:r>
        <w:rPr>
          <w:rFonts w:hint="eastAsia" w:ascii="仿宋_GB2312" w:hAnsi="仿宋_GB2312" w:eastAsia="仿宋_GB2312" w:cs="仿宋_GB2312"/>
          <w:color w:val="000000"/>
          <w:sz w:val="32"/>
          <w:szCs w:val="32"/>
          <w:lang w:val="en-US" w:eastAsia="zh-CN"/>
        </w:rPr>
        <w:t>19.95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增加主要原因：主要原因：</w:t>
      </w:r>
      <w:r>
        <w:rPr>
          <w:rFonts w:hint="eastAsia" w:ascii="仿宋_GB2312" w:hAnsi="仿宋_GB2312" w:eastAsia="仿宋_GB2312" w:cs="仿宋_GB2312"/>
          <w:b/>
          <w:bCs/>
          <w:color w:val="000000"/>
          <w:sz w:val="32"/>
          <w:szCs w:val="32"/>
          <w:lang w:eastAsia="zh-CN"/>
        </w:rPr>
        <w:t>一是</w:t>
      </w:r>
      <w:r>
        <w:rPr>
          <w:rFonts w:hint="eastAsia" w:ascii="仿宋_GB2312" w:hAnsi="仿宋_GB2312" w:eastAsia="仿宋_GB2312" w:cs="仿宋_GB2312"/>
          <w:b w:val="0"/>
          <w:bCs w:val="0"/>
          <w:color w:val="000000"/>
          <w:sz w:val="32"/>
          <w:szCs w:val="32"/>
          <w:lang w:val="en-US" w:eastAsia="zh-CN"/>
        </w:rPr>
        <w:t>项目和办公经费较上年有所增加；</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b w:val="0"/>
          <w:bCs w:val="0"/>
          <w:color w:val="000000"/>
          <w:sz w:val="32"/>
          <w:szCs w:val="32"/>
          <w:lang w:val="en-US" w:eastAsia="zh-CN"/>
        </w:rPr>
        <w:t>新增人员后</w:t>
      </w:r>
      <w:r>
        <w:rPr>
          <w:rStyle w:val="20"/>
          <w:rFonts w:hint="eastAsia" w:ascii="仿宋_GB2312" w:hAnsi="仿宋_GB2312" w:eastAsia="仿宋_GB2312" w:cs="仿宋_GB2312"/>
          <w:b w:val="0"/>
          <w:sz w:val="32"/>
          <w:szCs w:val="32"/>
          <w:shd w:val="clear" w:fill="FFFFFF"/>
          <w:lang w:eastAsia="zh-CN"/>
        </w:rPr>
        <w:t>增加了社会保障和就业支出、卫生健康支出、住房公积金</w:t>
      </w:r>
      <w:r>
        <w:rPr>
          <w:rFonts w:hint="eastAsia" w:ascii="仿宋_GB2312" w:hAnsi="仿宋_GB2312" w:eastAsia="仿宋_GB2312" w:cs="仿宋_GB2312"/>
          <w:sz w:val="32"/>
          <w:szCs w:val="32"/>
          <w:shd w:val="clear" w:fill="FFFFFF"/>
          <w:lang w:eastAsia="zh-CN"/>
        </w:rPr>
        <w:t>。</w:t>
      </w:r>
    </w:p>
    <w:p>
      <w:pPr>
        <w:pStyle w:val="12"/>
        <w:keepNext w:val="0"/>
        <w:keepLines w:val="0"/>
        <w:widowControl/>
        <w:suppressLineNumbers w:val="0"/>
        <w:ind w:left="0" w:right="75"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（图5：一般公共预算财政拨款支出决算变动情况）（柱状</w:t>
      </w:r>
      <w:r>
        <w:rPr>
          <w:rFonts w:hint="eastAsia" w:ascii="仿宋_GB2312" w:hAnsi="仿宋_GB2312" w:eastAsia="仿宋_GB2312" w:cs="仿宋_GB2312"/>
          <w:color w:val="000000" w:themeColor="text1"/>
          <w:sz w:val="32"/>
          <w:szCs w:val="32"/>
          <w:lang w:eastAsia="zh-CN"/>
          <w14:textFill>
            <w14:solidFill>
              <w14:schemeClr w14:val="tx1"/>
            </w14:solidFill>
          </w14:textFill>
        </w:rPr>
        <w:t>图）</w:t>
      </w:r>
    </w:p>
    <w:p>
      <w:pPr>
        <w:pStyle w:val="7"/>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drawing>
          <wp:inline distT="0" distB="0" distL="114300" distR="114300">
            <wp:extent cx="5080000" cy="2581275"/>
            <wp:effectExtent l="4445" t="4445" r="20955"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12"/>
        <w:keepNext w:val="0"/>
        <w:keepLines w:val="0"/>
        <w:widowControl/>
        <w:numPr>
          <w:ilvl w:val="0"/>
          <w:numId w:val="2"/>
        </w:numPr>
        <w:suppressLineNumbers w:val="0"/>
        <w:ind w:left="0" w:right="75"/>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一般公共预算财政拨款支出决算结构情况</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ind w:left="0" w:right="76" w:firstLine="640" w:firstLineChars="200"/>
        <w:jc w:val="left"/>
        <w:rPr>
          <w:rStyle w:val="15"/>
          <w:rFonts w:hint="eastAsia" w:ascii="仿宋_GB2312" w:hAnsi="仿宋_GB2312" w:eastAsia="仿宋_GB2312" w:cs="仿宋_GB2312"/>
          <w:b w:val="0"/>
          <w:bCs/>
          <w:color w:val="000000"/>
          <w:kern w:val="2"/>
          <w:sz w:val="32"/>
          <w:szCs w:val="32"/>
          <w:shd w:val="clear"/>
          <w:lang w:val="en-US" w:eastAsia="zh-CN" w:bidi="ar-SA"/>
        </w:rPr>
      </w:pPr>
      <w:r>
        <w:rPr>
          <w:rStyle w:val="15"/>
          <w:rFonts w:hint="eastAsia" w:ascii="仿宋_GB2312" w:hAnsi="仿宋_GB2312" w:eastAsia="仿宋_GB2312" w:cs="仿宋_GB2312"/>
          <w:b w:val="0"/>
          <w:bCs/>
          <w:color w:val="000000"/>
          <w:kern w:val="2"/>
          <w:sz w:val="32"/>
          <w:szCs w:val="32"/>
          <w:shd w:val="clear"/>
          <w:lang w:val="en-US" w:eastAsia="zh-CN" w:bidi="ar-SA"/>
        </w:rPr>
        <w:t>2023年一般公共预算财政拨款支出710.17万元，主要用于以下方面:一般公共服务（类）支出593.92万元，占83.63%；社会保险和就业支出60.10万元，占8.46%；卫生健康支出25.21万元，占3.54%；住房保障支出30.94万元，占4.35%。</w:t>
      </w:r>
    </w:p>
    <w:p>
      <w:pPr>
        <w:pStyle w:val="12"/>
        <w:keepNext w:val="0"/>
        <w:keepLines w:val="0"/>
        <w:widowControl/>
        <w:numPr>
          <w:ilvl w:val="0"/>
          <w:numId w:val="0"/>
        </w:numPr>
        <w:suppressLineNumbers w:val="0"/>
        <w:ind w:right="75" w:rightChars="0"/>
        <w:rPr>
          <w:rStyle w:val="15"/>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color w:val="000000"/>
          <w:sz w:val="32"/>
          <w:szCs w:val="32"/>
          <w:lang w:eastAsia="zh-CN"/>
        </w:rPr>
        <w:drawing>
          <wp:anchor distT="0" distB="0" distL="114300" distR="114300" simplePos="0" relativeHeight="251663360" behindDoc="1" locked="0" layoutInCell="1" allowOverlap="1">
            <wp:simplePos x="0" y="0"/>
            <wp:positionH relativeFrom="column">
              <wp:posOffset>344170</wp:posOffset>
            </wp:positionH>
            <wp:positionV relativeFrom="paragraph">
              <wp:posOffset>627380</wp:posOffset>
            </wp:positionV>
            <wp:extent cx="4765040" cy="2182495"/>
            <wp:effectExtent l="4445" t="4445" r="12065" b="22860"/>
            <wp:wrapTight wrapText="bothSides">
              <wp:wrapPolygon>
                <wp:start x="-20" y="-44"/>
                <wp:lineTo x="-20" y="21449"/>
                <wp:lineTo x="21568" y="21449"/>
                <wp:lineTo x="21568" y="-44"/>
                <wp:lineTo x="-20" y="-44"/>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hAnsi="仿宋_GB2312" w:eastAsia="仿宋_GB2312" w:cs="仿宋_GB2312"/>
          <w:color w:val="000000"/>
          <w:sz w:val="32"/>
          <w:szCs w:val="32"/>
        </w:rPr>
        <w:t>（图6：一般公共预算财政拨款支出决算结构</w:t>
      </w:r>
      <w:r>
        <w:rPr>
          <w:rFonts w:hint="eastAsia" w:ascii="仿宋_GB2312" w:hAnsi="仿宋_GB2312" w:eastAsia="仿宋_GB2312" w:cs="仿宋_GB2312"/>
          <w:color w:val="000000"/>
          <w:sz w:val="32"/>
          <w:szCs w:val="32"/>
          <w:lang w:eastAsia="zh-CN"/>
        </w:rPr>
        <w:t>图</w:t>
      </w:r>
      <w:r>
        <w:rPr>
          <w:rFonts w:hint="eastAsia" w:ascii="仿宋_GB2312" w:hAnsi="仿宋_GB2312" w:eastAsia="仿宋_GB2312" w:cs="仿宋_GB2312"/>
          <w:color w:val="000000"/>
          <w:sz w:val="32"/>
          <w:szCs w:val="32"/>
        </w:rPr>
        <w:t>（饼状</w:t>
      </w:r>
      <w:r>
        <w:rPr>
          <w:rFonts w:hint="eastAsia" w:ascii="仿宋_GB2312" w:hAnsi="仿宋_GB2312" w:eastAsia="仿宋_GB2312" w:cs="仿宋_GB2312"/>
          <w:color w:val="000000"/>
          <w:sz w:val="32"/>
          <w:szCs w:val="32"/>
          <w:lang w:eastAsia="zh-CN"/>
        </w:rPr>
        <w:t>图）</w:t>
      </w:r>
    </w:p>
    <w:p>
      <w:pPr>
        <w:pStyle w:val="12"/>
        <w:keepNext w:val="0"/>
        <w:keepLines w:val="0"/>
        <w:widowControl/>
        <w:numPr>
          <w:ilvl w:val="0"/>
          <w:numId w:val="2"/>
        </w:numPr>
        <w:suppressLineNumbers w:val="0"/>
        <w:ind w:left="0" w:leftChars="0" w:right="75" w:firstLine="0" w:firstLineChars="0"/>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一般公共预算财政拨款支出决算具体情况</w:t>
      </w:r>
    </w:p>
    <w:p>
      <w:pPr>
        <w:spacing w:line="600" w:lineRule="exact"/>
        <w:ind w:firstLine="643" w:firstLineChars="200"/>
        <w:outlineLvl w:val="9"/>
        <w:rPr>
          <w:rFonts w:hint="eastAsia" w:ascii="仿宋_GB2312" w:hAnsi="仿宋_GB2312" w:eastAsia="仿宋_GB2312" w:cs="仿宋_GB2312"/>
          <w:color w:val="FF0000"/>
          <w:sz w:val="32"/>
          <w:szCs w:val="32"/>
        </w:rPr>
      </w:pPr>
      <w:bookmarkStart w:id="9" w:name="_Toc15378460"/>
      <w:bookmarkStart w:id="10" w:name="_Toc15377444"/>
      <w:bookmarkStart w:id="11" w:name="_Toc15377213"/>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b/>
          <w:color w:val="000000" w:themeColor="text1"/>
          <w:sz w:val="32"/>
          <w:szCs w:val="32"/>
          <w14:textFill>
            <w14:solidFill>
              <w14:schemeClr w14:val="tx1"/>
            </w14:solidFill>
          </w14:textFill>
        </w:rPr>
        <w:t>年</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b/>
          <w:color w:val="000000" w:themeColor="text1"/>
          <w:sz w:val="32"/>
          <w:szCs w:val="32"/>
          <w14:textFill>
            <w14:solidFill>
              <w14:schemeClr w14:val="tx1"/>
            </w14:solidFill>
          </w14:textFill>
        </w:rPr>
        <w:t>般公共预算支出决算数为</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710.17</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万元</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15"/>
          <w:rFonts w:hint="eastAsia" w:ascii="仿宋_GB2312" w:hAnsi="仿宋_GB2312" w:eastAsia="仿宋_GB2312" w:cs="仿宋_GB2312"/>
          <w:bCs/>
          <w:color w:val="000000" w:themeColor="text1"/>
          <w:sz w:val="32"/>
          <w:szCs w:val="32"/>
          <w14:textFill>
            <w14:solidFill>
              <w14:schemeClr w14:val="tx1"/>
            </w14:solidFill>
          </w14:textFill>
        </w:rPr>
        <w:t>完成</w:t>
      </w:r>
      <w:r>
        <w:rPr>
          <w:rStyle w:val="15"/>
          <w:rFonts w:hint="eastAsia" w:ascii="仿宋_GB2312" w:hAnsi="仿宋_GB2312" w:eastAsia="仿宋_GB2312" w:cs="仿宋_GB2312"/>
          <w:bCs/>
          <w:color w:val="000000"/>
          <w:sz w:val="32"/>
          <w:szCs w:val="32"/>
        </w:rPr>
        <w:t>预算</w:t>
      </w:r>
      <w:r>
        <w:rPr>
          <w:rStyle w:val="15"/>
          <w:rFonts w:hint="eastAsia" w:ascii="仿宋_GB2312" w:hAnsi="仿宋_GB2312" w:eastAsia="仿宋_GB2312" w:cs="仿宋_GB2312"/>
          <w:bCs/>
          <w:color w:val="000000"/>
          <w:sz w:val="32"/>
          <w:szCs w:val="32"/>
          <w:lang w:val="en-US" w:eastAsia="zh-CN"/>
        </w:rPr>
        <w:t>100</w:t>
      </w:r>
      <w:r>
        <w:rPr>
          <w:rStyle w:val="15"/>
          <w:rFonts w:hint="eastAsia" w:ascii="仿宋_GB2312" w:hAnsi="仿宋_GB2312" w:eastAsia="仿宋_GB2312" w:cs="仿宋_GB2312"/>
          <w:bCs/>
          <w:color w:val="000000"/>
          <w:sz w:val="32"/>
          <w:szCs w:val="32"/>
        </w:rPr>
        <w:t>%。其中：</w:t>
      </w:r>
      <w:bookmarkEnd w:id="9"/>
      <w:bookmarkEnd w:id="10"/>
      <w:bookmarkEnd w:id="11"/>
    </w:p>
    <w:p>
      <w:pPr>
        <w:numPr>
          <w:ilvl w:val="0"/>
          <w:numId w:val="3"/>
        </w:numPr>
        <w:spacing w:line="600" w:lineRule="exact"/>
        <w:ind w:left="0" w:leftChars="0" w:firstLine="643" w:firstLineChars="200"/>
        <w:rPr>
          <w:rFonts w:hint="eastAsia" w:ascii="仿宋_GB2312" w:hAnsi="仿宋_GB2312" w:eastAsia="仿宋_GB2312" w:cs="仿宋_GB2312"/>
          <w:b/>
          <w:color w:val="000000"/>
          <w:sz w:val="32"/>
          <w:szCs w:val="32"/>
        </w:rPr>
      </w:pPr>
      <w:r>
        <w:rPr>
          <w:rStyle w:val="15"/>
          <w:rFonts w:hint="eastAsia" w:ascii="仿宋_GB2312" w:hAnsi="仿宋_GB2312" w:eastAsia="仿宋_GB2312" w:cs="仿宋_GB2312"/>
          <w:bCs/>
          <w:color w:val="000000"/>
          <w:sz w:val="32"/>
          <w:szCs w:val="32"/>
        </w:rPr>
        <w:t>一般公共服务:</w:t>
      </w:r>
      <w:r>
        <w:rPr>
          <w:rStyle w:val="15"/>
          <w:rFonts w:hint="eastAsia" w:ascii="仿宋_GB2312" w:hAnsi="仿宋_GB2312" w:eastAsia="仿宋_GB2312" w:cs="仿宋_GB2312"/>
          <w:b w:val="0"/>
          <w:bCs/>
          <w:color w:val="000000"/>
          <w:sz w:val="32"/>
          <w:szCs w:val="32"/>
        </w:rPr>
        <w:t xml:space="preserve"> </w:t>
      </w:r>
      <w:r>
        <w:rPr>
          <w:rStyle w:val="15"/>
          <w:rFonts w:hint="eastAsia" w:ascii="仿宋_GB2312" w:hAnsi="仿宋_GB2312" w:eastAsia="仿宋_GB2312" w:cs="仿宋_GB2312"/>
          <w:b w:val="0"/>
          <w:bCs/>
          <w:color w:val="000000"/>
          <w:sz w:val="32"/>
          <w:szCs w:val="32"/>
          <w:lang w:val="en-US" w:eastAsia="zh-CN"/>
        </w:rPr>
        <w:t>2013401-</w:t>
      </w:r>
      <w:r>
        <w:rPr>
          <w:rStyle w:val="15"/>
          <w:rFonts w:hint="eastAsia" w:ascii="仿宋_GB2312" w:hAnsi="仿宋_GB2312" w:eastAsia="仿宋_GB2312" w:cs="仿宋_GB2312"/>
          <w:b w:val="0"/>
          <w:bCs/>
          <w:color w:val="000000"/>
          <w:sz w:val="32"/>
          <w:szCs w:val="32"/>
        </w:rPr>
        <w:t>行政运行支出决算为</w:t>
      </w:r>
      <w:r>
        <w:rPr>
          <w:rStyle w:val="15"/>
          <w:rFonts w:hint="eastAsia" w:ascii="仿宋_GB2312" w:hAnsi="仿宋_GB2312" w:eastAsia="仿宋_GB2312" w:cs="仿宋_GB2312"/>
          <w:b w:val="0"/>
          <w:bCs/>
          <w:color w:val="000000"/>
          <w:sz w:val="32"/>
          <w:szCs w:val="32"/>
          <w:lang w:val="en-US" w:eastAsia="zh-CN"/>
        </w:rPr>
        <w:t>368.79</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，主要用于开支日常公用经费及人员经费；</w:t>
      </w:r>
      <w:r>
        <w:rPr>
          <w:rStyle w:val="15"/>
          <w:rFonts w:hint="eastAsia" w:ascii="仿宋_GB2312" w:hAnsi="仿宋_GB2312" w:eastAsia="仿宋_GB2312" w:cs="仿宋_GB2312"/>
          <w:b w:val="0"/>
          <w:bCs/>
          <w:color w:val="000000"/>
          <w:sz w:val="32"/>
          <w:szCs w:val="32"/>
          <w:lang w:val="en-US" w:eastAsia="zh-CN"/>
        </w:rPr>
        <w:t>2013402-</w:t>
      </w:r>
      <w:r>
        <w:rPr>
          <w:rStyle w:val="15"/>
          <w:rFonts w:hint="eastAsia" w:ascii="仿宋_GB2312" w:hAnsi="仿宋_GB2312" w:eastAsia="仿宋_GB2312" w:cs="仿宋_GB2312"/>
          <w:b w:val="0"/>
          <w:bCs/>
          <w:color w:val="000000"/>
          <w:sz w:val="32"/>
          <w:szCs w:val="32"/>
          <w:lang w:eastAsia="zh-CN"/>
        </w:rPr>
        <w:t>一般行政管理事务</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4.45</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，主要用于专项公用经费县级领导联系寺庙和僧尼的慰问金费；</w:t>
      </w:r>
      <w:r>
        <w:rPr>
          <w:rStyle w:val="15"/>
          <w:rFonts w:hint="eastAsia" w:ascii="仿宋_GB2312" w:hAnsi="仿宋_GB2312" w:eastAsia="仿宋_GB2312" w:cs="仿宋_GB2312"/>
          <w:b w:val="0"/>
          <w:bCs/>
          <w:color w:val="000000"/>
          <w:sz w:val="32"/>
          <w:szCs w:val="32"/>
          <w:lang w:val="en-US" w:eastAsia="zh-CN"/>
        </w:rPr>
        <w:t>2013404-宗教事务</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58.45</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，主要用于佛协会长副会长补助、藏传佛教寺庙规范化、标椎化、制度化建设、宗教界代表人士爱国主义教育北京考察团支出；</w:t>
      </w:r>
      <w:r>
        <w:rPr>
          <w:rStyle w:val="15"/>
          <w:rFonts w:hint="eastAsia" w:ascii="仿宋_GB2312" w:hAnsi="仿宋_GB2312" w:eastAsia="仿宋_GB2312" w:cs="仿宋_GB2312"/>
          <w:b w:val="0"/>
          <w:bCs/>
          <w:color w:val="000000"/>
          <w:sz w:val="32"/>
          <w:szCs w:val="32"/>
          <w:lang w:val="en-US" w:eastAsia="zh-CN"/>
        </w:rPr>
        <w:t>2013499-</w:t>
      </w:r>
      <w:r>
        <w:rPr>
          <w:rStyle w:val="15"/>
          <w:rFonts w:hint="eastAsia" w:ascii="仿宋_GB2312" w:hAnsi="仿宋_GB2312" w:eastAsia="仿宋_GB2312" w:cs="仿宋_GB2312"/>
          <w:b w:val="0"/>
          <w:bCs/>
          <w:color w:val="000000"/>
          <w:sz w:val="32"/>
          <w:szCs w:val="32"/>
          <w:lang w:eastAsia="zh-CN"/>
        </w:rPr>
        <w:t>其他统战部事务</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94.61</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，主要用于爱国主义教育经费、公务车采购、藏传佛教寺庙维修经费等专项支出。</w:t>
      </w:r>
    </w:p>
    <w:p>
      <w:pPr>
        <w:numPr>
          <w:ilvl w:val="0"/>
          <w:numId w:val="3"/>
        </w:numPr>
        <w:spacing w:line="600" w:lineRule="exact"/>
        <w:ind w:left="0" w:leftChars="0" w:firstLine="643" w:firstLineChars="200"/>
        <w:rPr>
          <w:rFonts w:hint="eastAsia" w:ascii="仿宋_GB2312" w:hAnsi="仿宋_GB2312" w:eastAsia="仿宋_GB2312" w:cs="仿宋_GB2312"/>
          <w:b/>
          <w:color w:val="000000"/>
          <w:sz w:val="32"/>
          <w:szCs w:val="32"/>
        </w:rPr>
      </w:pPr>
      <w:r>
        <w:rPr>
          <w:rStyle w:val="15"/>
          <w:rFonts w:hint="eastAsia" w:ascii="仿宋_GB2312" w:hAnsi="仿宋_GB2312" w:eastAsia="仿宋_GB2312" w:cs="仿宋_GB2312"/>
          <w:bCs/>
          <w:color w:val="000000"/>
          <w:sz w:val="32"/>
          <w:szCs w:val="32"/>
        </w:rPr>
        <w:t>社会保障和就业:</w:t>
      </w:r>
      <w:r>
        <w:rPr>
          <w:rStyle w:val="15"/>
          <w:rFonts w:hint="eastAsia" w:ascii="仿宋_GB2312" w:hAnsi="仿宋_GB2312" w:eastAsia="仿宋_GB2312" w:cs="仿宋_GB2312"/>
          <w:b w:val="0"/>
          <w:bCs/>
          <w:color w:val="000000"/>
          <w:sz w:val="32"/>
          <w:szCs w:val="32"/>
        </w:rPr>
        <w:t xml:space="preserve"> 2080505</w:t>
      </w:r>
      <w:r>
        <w:rPr>
          <w:rStyle w:val="15"/>
          <w:rFonts w:hint="eastAsia" w:ascii="仿宋_GB2312" w:hAnsi="仿宋_GB2312" w:eastAsia="仿宋_GB2312" w:cs="仿宋_GB2312"/>
          <w:b w:val="0"/>
          <w:bCs/>
          <w:color w:val="000000"/>
          <w:sz w:val="32"/>
          <w:szCs w:val="32"/>
          <w:lang w:val="en-US" w:eastAsia="zh-CN"/>
        </w:rPr>
        <w:t>-</w:t>
      </w:r>
      <w:r>
        <w:rPr>
          <w:rStyle w:val="15"/>
          <w:rFonts w:hint="eastAsia" w:ascii="仿宋_GB2312" w:hAnsi="仿宋_GB2312" w:eastAsia="仿宋_GB2312" w:cs="仿宋_GB2312"/>
          <w:b w:val="0"/>
          <w:bCs/>
          <w:color w:val="000000"/>
          <w:sz w:val="32"/>
          <w:szCs w:val="32"/>
        </w:rPr>
        <w:t>机关事业单位基本养老保险缴费支出决算为</w:t>
      </w:r>
      <w:r>
        <w:rPr>
          <w:rStyle w:val="15"/>
          <w:rFonts w:hint="eastAsia" w:ascii="仿宋_GB2312" w:hAnsi="仿宋_GB2312" w:eastAsia="仿宋_GB2312" w:cs="仿宋_GB2312"/>
          <w:b w:val="0"/>
          <w:bCs/>
          <w:color w:val="000000"/>
          <w:sz w:val="32"/>
          <w:szCs w:val="32"/>
          <w:lang w:val="en-US" w:eastAsia="zh-CN"/>
        </w:rPr>
        <w:t>39.67</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全部用于职工缴纳养老保险单位部分；2080506</w:t>
      </w:r>
      <w:r>
        <w:rPr>
          <w:rStyle w:val="15"/>
          <w:rFonts w:hint="eastAsia" w:ascii="仿宋_GB2312" w:hAnsi="仿宋_GB2312" w:eastAsia="仿宋_GB2312" w:cs="仿宋_GB2312"/>
          <w:b w:val="0"/>
          <w:bCs/>
          <w:color w:val="000000"/>
          <w:sz w:val="32"/>
          <w:szCs w:val="32"/>
          <w:lang w:val="en-US" w:eastAsia="zh-CN"/>
        </w:rPr>
        <w:t>-</w:t>
      </w:r>
      <w:r>
        <w:rPr>
          <w:rStyle w:val="15"/>
          <w:rFonts w:hint="eastAsia" w:ascii="仿宋_GB2312" w:hAnsi="仿宋_GB2312" w:eastAsia="仿宋_GB2312" w:cs="仿宋_GB2312"/>
          <w:b w:val="0"/>
          <w:bCs/>
          <w:color w:val="000000"/>
          <w:sz w:val="32"/>
          <w:szCs w:val="32"/>
          <w:lang w:eastAsia="zh-CN"/>
        </w:rPr>
        <w:t>机关事业单位职业年金缴费支出</w:t>
      </w:r>
      <w:r>
        <w:rPr>
          <w:rStyle w:val="15"/>
          <w:rFonts w:hint="eastAsia" w:ascii="仿宋_GB2312" w:hAnsi="仿宋_GB2312" w:eastAsia="仿宋_GB2312" w:cs="仿宋_GB2312"/>
          <w:b w:val="0"/>
          <w:bCs/>
          <w:color w:val="000000"/>
          <w:sz w:val="32"/>
          <w:szCs w:val="32"/>
        </w:rPr>
        <w:t>决算为</w:t>
      </w:r>
      <w:r>
        <w:rPr>
          <w:rStyle w:val="15"/>
          <w:rFonts w:hint="eastAsia" w:ascii="仿宋_GB2312" w:hAnsi="仿宋_GB2312" w:eastAsia="仿宋_GB2312" w:cs="仿宋_GB2312"/>
          <w:b w:val="0"/>
          <w:bCs/>
          <w:color w:val="000000"/>
          <w:sz w:val="32"/>
          <w:szCs w:val="32"/>
          <w:lang w:val="en-US" w:eastAsia="zh-CN"/>
        </w:rPr>
        <w:t>20.43</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全部用于职工缴纳职业年金单位部分。</w:t>
      </w:r>
    </w:p>
    <w:p>
      <w:pPr>
        <w:numPr>
          <w:ilvl w:val="0"/>
          <w:numId w:val="3"/>
        </w:numPr>
        <w:spacing w:line="600" w:lineRule="exact"/>
        <w:ind w:left="0" w:leftChars="0" w:firstLine="643" w:firstLineChars="200"/>
        <w:rPr>
          <w:rFonts w:hint="eastAsia" w:ascii="仿宋_GB2312" w:hAnsi="仿宋_GB2312" w:eastAsia="仿宋_GB2312" w:cs="仿宋_GB2312"/>
          <w:b/>
          <w:color w:val="000000"/>
          <w:sz w:val="32"/>
          <w:szCs w:val="32"/>
          <w:lang w:val="en-US"/>
        </w:rPr>
      </w:pP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 w:val="0"/>
          <w:bCs/>
          <w:color w:val="000000"/>
          <w:sz w:val="32"/>
          <w:szCs w:val="32"/>
          <w:lang w:eastAsia="zh-CN"/>
        </w:rPr>
        <w:t>21011</w:t>
      </w:r>
      <w:r>
        <w:rPr>
          <w:rStyle w:val="15"/>
          <w:rFonts w:hint="eastAsia" w:ascii="仿宋_GB2312" w:hAnsi="仿宋_GB2312" w:eastAsia="仿宋_GB2312" w:cs="仿宋_GB2312"/>
          <w:b w:val="0"/>
          <w:bCs/>
          <w:color w:val="000000"/>
          <w:sz w:val="32"/>
          <w:szCs w:val="32"/>
          <w:lang w:val="en-US" w:eastAsia="zh-CN"/>
        </w:rPr>
        <w:t>01-</w:t>
      </w:r>
      <w:r>
        <w:rPr>
          <w:rStyle w:val="15"/>
          <w:rFonts w:hint="eastAsia" w:ascii="仿宋_GB2312" w:hAnsi="仿宋_GB2312" w:eastAsia="仿宋_GB2312" w:cs="仿宋_GB2312"/>
          <w:b w:val="0"/>
          <w:bCs/>
          <w:color w:val="000000"/>
          <w:sz w:val="32"/>
          <w:szCs w:val="32"/>
          <w:lang w:eastAsia="zh-CN"/>
        </w:rPr>
        <w:t>行政单位医疗支出</w:t>
      </w:r>
      <w:r>
        <w:rPr>
          <w:rStyle w:val="15"/>
          <w:rFonts w:hint="eastAsia" w:ascii="仿宋_GB2312" w:hAnsi="仿宋_GB2312" w:eastAsia="仿宋_GB2312" w:cs="仿宋_GB2312"/>
          <w:b w:val="0"/>
          <w:bCs/>
          <w:color w:val="000000"/>
          <w:sz w:val="32"/>
          <w:szCs w:val="32"/>
        </w:rPr>
        <w:t>决算为</w:t>
      </w:r>
      <w:r>
        <w:rPr>
          <w:rStyle w:val="15"/>
          <w:rFonts w:hint="eastAsia" w:ascii="仿宋_GB2312" w:hAnsi="仿宋_GB2312" w:eastAsia="仿宋_GB2312" w:cs="仿宋_GB2312"/>
          <w:b w:val="0"/>
          <w:bCs/>
          <w:color w:val="000000"/>
          <w:sz w:val="32"/>
          <w:szCs w:val="32"/>
          <w:lang w:val="en-US" w:eastAsia="zh-CN"/>
        </w:rPr>
        <w:t>16.27</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，全部用于</w:t>
      </w:r>
      <w:r>
        <w:rPr>
          <w:rStyle w:val="15"/>
          <w:rFonts w:hint="eastAsia" w:ascii="仿宋_GB2312" w:hAnsi="仿宋_GB2312" w:eastAsia="仿宋_GB2312" w:cs="仿宋_GB2312"/>
          <w:b w:val="0"/>
          <w:bCs/>
          <w:color w:val="000000"/>
          <w:sz w:val="32"/>
          <w:szCs w:val="32"/>
          <w:lang w:val="en-US" w:eastAsia="zh-CN"/>
        </w:rPr>
        <w:t>行政人员</w:t>
      </w:r>
      <w:r>
        <w:rPr>
          <w:rStyle w:val="15"/>
          <w:rFonts w:hint="eastAsia" w:ascii="仿宋_GB2312" w:hAnsi="仿宋_GB2312" w:eastAsia="仿宋_GB2312" w:cs="仿宋_GB2312"/>
          <w:b w:val="0"/>
          <w:bCs/>
          <w:color w:val="000000"/>
          <w:sz w:val="32"/>
          <w:szCs w:val="32"/>
          <w:lang w:eastAsia="zh-CN"/>
        </w:rPr>
        <w:t>缴纳医疗保险</w:t>
      </w:r>
      <w:r>
        <w:rPr>
          <w:rStyle w:val="15"/>
          <w:rFonts w:hint="eastAsia" w:ascii="仿宋_GB2312" w:hAnsi="仿宋_GB2312" w:eastAsia="仿宋_GB2312" w:cs="仿宋_GB2312"/>
          <w:b w:val="0"/>
          <w:bCs/>
          <w:color w:val="000000"/>
          <w:sz w:val="32"/>
          <w:szCs w:val="32"/>
          <w:lang w:val="en-US" w:eastAsia="zh-CN"/>
        </w:rPr>
        <w:t>和公务员医疗保险</w:t>
      </w:r>
      <w:r>
        <w:rPr>
          <w:rStyle w:val="15"/>
          <w:rFonts w:hint="eastAsia" w:ascii="仿宋_GB2312" w:hAnsi="仿宋_GB2312" w:eastAsia="仿宋_GB2312" w:cs="仿宋_GB2312"/>
          <w:b w:val="0"/>
          <w:bCs/>
          <w:color w:val="000000"/>
          <w:sz w:val="32"/>
          <w:szCs w:val="32"/>
          <w:lang w:eastAsia="zh-CN"/>
        </w:rPr>
        <w:t>单位部分；21011</w:t>
      </w:r>
      <w:r>
        <w:rPr>
          <w:rStyle w:val="15"/>
          <w:rFonts w:hint="eastAsia" w:ascii="仿宋_GB2312" w:hAnsi="仿宋_GB2312" w:eastAsia="仿宋_GB2312" w:cs="仿宋_GB2312"/>
          <w:b w:val="0"/>
          <w:bCs/>
          <w:color w:val="000000"/>
          <w:sz w:val="32"/>
          <w:szCs w:val="32"/>
          <w:lang w:val="en-US" w:eastAsia="zh-CN"/>
        </w:rPr>
        <w:t>02-</w:t>
      </w:r>
      <w:r>
        <w:rPr>
          <w:rStyle w:val="15"/>
          <w:rFonts w:hint="eastAsia" w:ascii="仿宋_GB2312" w:hAnsi="仿宋_GB2312" w:eastAsia="仿宋_GB2312" w:cs="仿宋_GB2312"/>
          <w:b w:val="0"/>
          <w:bCs/>
          <w:color w:val="000000"/>
          <w:sz w:val="32"/>
          <w:szCs w:val="32"/>
          <w:lang w:eastAsia="zh-CN"/>
        </w:rPr>
        <w:t>事业单位医疗支出</w:t>
      </w:r>
      <w:r>
        <w:rPr>
          <w:rStyle w:val="15"/>
          <w:rFonts w:hint="eastAsia" w:ascii="仿宋_GB2312" w:hAnsi="仿宋_GB2312" w:eastAsia="仿宋_GB2312" w:cs="仿宋_GB2312"/>
          <w:b w:val="0"/>
          <w:bCs/>
          <w:color w:val="000000"/>
          <w:sz w:val="32"/>
          <w:szCs w:val="32"/>
        </w:rPr>
        <w:t>决算为</w:t>
      </w:r>
      <w:r>
        <w:rPr>
          <w:rStyle w:val="15"/>
          <w:rFonts w:hint="eastAsia" w:ascii="仿宋_GB2312" w:hAnsi="仿宋_GB2312" w:eastAsia="仿宋_GB2312" w:cs="仿宋_GB2312"/>
          <w:b w:val="0"/>
          <w:bCs/>
          <w:color w:val="000000"/>
          <w:sz w:val="32"/>
          <w:szCs w:val="32"/>
          <w:lang w:val="en-US" w:eastAsia="zh-CN"/>
        </w:rPr>
        <w:t>3.33</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，全部用于</w:t>
      </w:r>
      <w:r>
        <w:rPr>
          <w:rStyle w:val="15"/>
          <w:rFonts w:hint="eastAsia" w:ascii="仿宋_GB2312" w:hAnsi="仿宋_GB2312" w:eastAsia="仿宋_GB2312" w:cs="仿宋_GB2312"/>
          <w:b w:val="0"/>
          <w:bCs/>
          <w:color w:val="000000"/>
          <w:sz w:val="32"/>
          <w:szCs w:val="32"/>
          <w:lang w:val="en-US" w:eastAsia="zh-CN"/>
        </w:rPr>
        <w:t>事业人员</w:t>
      </w:r>
      <w:r>
        <w:rPr>
          <w:rStyle w:val="15"/>
          <w:rFonts w:hint="eastAsia" w:ascii="仿宋_GB2312" w:hAnsi="仿宋_GB2312" w:eastAsia="仿宋_GB2312" w:cs="仿宋_GB2312"/>
          <w:b w:val="0"/>
          <w:bCs/>
          <w:color w:val="000000"/>
          <w:sz w:val="32"/>
          <w:szCs w:val="32"/>
          <w:lang w:eastAsia="zh-CN"/>
        </w:rPr>
        <w:t>缴纳医疗保险</w:t>
      </w:r>
      <w:r>
        <w:rPr>
          <w:rStyle w:val="15"/>
          <w:rFonts w:hint="eastAsia" w:ascii="仿宋_GB2312" w:hAnsi="仿宋_GB2312" w:eastAsia="仿宋_GB2312" w:cs="仿宋_GB2312"/>
          <w:b w:val="0"/>
          <w:bCs/>
          <w:color w:val="000000"/>
          <w:sz w:val="32"/>
          <w:szCs w:val="32"/>
          <w:lang w:val="en-US" w:eastAsia="zh-CN"/>
        </w:rPr>
        <w:t>和公务员医疗保险</w:t>
      </w:r>
      <w:r>
        <w:rPr>
          <w:rStyle w:val="15"/>
          <w:rFonts w:hint="eastAsia" w:ascii="仿宋_GB2312" w:hAnsi="仿宋_GB2312" w:eastAsia="仿宋_GB2312" w:cs="仿宋_GB2312"/>
          <w:b w:val="0"/>
          <w:bCs/>
          <w:color w:val="000000"/>
          <w:sz w:val="32"/>
          <w:szCs w:val="32"/>
          <w:lang w:eastAsia="zh-CN"/>
        </w:rPr>
        <w:t>单位部分；21011</w:t>
      </w:r>
      <w:r>
        <w:rPr>
          <w:rStyle w:val="15"/>
          <w:rFonts w:hint="eastAsia" w:ascii="仿宋_GB2312" w:hAnsi="仿宋_GB2312" w:eastAsia="仿宋_GB2312" w:cs="仿宋_GB2312"/>
          <w:b w:val="0"/>
          <w:bCs/>
          <w:color w:val="000000"/>
          <w:sz w:val="32"/>
          <w:szCs w:val="32"/>
          <w:lang w:val="en-US" w:eastAsia="zh-CN"/>
        </w:rPr>
        <w:t>03-</w:t>
      </w:r>
      <w:r>
        <w:rPr>
          <w:rStyle w:val="15"/>
          <w:rFonts w:hint="eastAsia" w:ascii="仿宋_GB2312" w:hAnsi="仿宋_GB2312" w:eastAsia="仿宋_GB2312" w:cs="仿宋_GB2312"/>
          <w:b w:val="0"/>
          <w:bCs/>
          <w:color w:val="000000"/>
          <w:sz w:val="32"/>
          <w:szCs w:val="32"/>
          <w:lang w:eastAsia="zh-CN"/>
        </w:rPr>
        <w:t>公务员医疗补助支出</w:t>
      </w:r>
      <w:r>
        <w:rPr>
          <w:rStyle w:val="15"/>
          <w:rFonts w:hint="eastAsia" w:ascii="仿宋_GB2312" w:hAnsi="仿宋_GB2312" w:eastAsia="仿宋_GB2312" w:cs="仿宋_GB2312"/>
          <w:b w:val="0"/>
          <w:bCs/>
          <w:color w:val="000000"/>
          <w:sz w:val="32"/>
          <w:szCs w:val="32"/>
        </w:rPr>
        <w:t>决算为</w:t>
      </w:r>
      <w:r>
        <w:rPr>
          <w:rStyle w:val="15"/>
          <w:rFonts w:hint="eastAsia" w:ascii="仿宋_GB2312" w:hAnsi="仿宋_GB2312" w:eastAsia="仿宋_GB2312" w:cs="仿宋_GB2312"/>
          <w:b w:val="0"/>
          <w:bCs/>
          <w:color w:val="000000"/>
          <w:sz w:val="32"/>
          <w:szCs w:val="32"/>
          <w:lang w:val="en-US" w:eastAsia="zh-CN"/>
        </w:rPr>
        <w:t>4.87</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，全部用于</w:t>
      </w:r>
      <w:r>
        <w:rPr>
          <w:rStyle w:val="15"/>
          <w:rFonts w:hint="eastAsia" w:ascii="仿宋_GB2312" w:hAnsi="仿宋_GB2312" w:eastAsia="仿宋_GB2312" w:cs="仿宋_GB2312"/>
          <w:b w:val="0"/>
          <w:bCs/>
          <w:color w:val="000000"/>
          <w:sz w:val="32"/>
          <w:szCs w:val="32"/>
          <w:lang w:val="en-US" w:eastAsia="zh-CN"/>
        </w:rPr>
        <w:t>行政人员</w:t>
      </w:r>
      <w:r>
        <w:rPr>
          <w:rStyle w:val="15"/>
          <w:rFonts w:hint="eastAsia" w:ascii="仿宋_GB2312" w:hAnsi="仿宋_GB2312" w:eastAsia="仿宋_GB2312" w:cs="仿宋_GB2312"/>
          <w:b w:val="0"/>
          <w:bCs/>
          <w:color w:val="000000"/>
          <w:sz w:val="32"/>
          <w:szCs w:val="32"/>
          <w:lang w:eastAsia="zh-CN"/>
        </w:rPr>
        <w:t>缴纳</w:t>
      </w:r>
      <w:r>
        <w:rPr>
          <w:rStyle w:val="15"/>
          <w:rFonts w:hint="eastAsia" w:ascii="仿宋_GB2312" w:hAnsi="仿宋_GB2312" w:eastAsia="仿宋_GB2312" w:cs="仿宋_GB2312"/>
          <w:b w:val="0"/>
          <w:bCs/>
          <w:color w:val="000000"/>
          <w:sz w:val="32"/>
          <w:szCs w:val="32"/>
          <w:lang w:val="en-US" w:eastAsia="zh-CN"/>
        </w:rPr>
        <w:t>公务员医疗保险</w:t>
      </w:r>
      <w:r>
        <w:rPr>
          <w:rStyle w:val="15"/>
          <w:rFonts w:hint="eastAsia" w:ascii="仿宋_GB2312" w:hAnsi="仿宋_GB2312" w:eastAsia="仿宋_GB2312" w:cs="仿宋_GB2312"/>
          <w:b w:val="0"/>
          <w:bCs/>
          <w:color w:val="000000"/>
          <w:sz w:val="32"/>
          <w:szCs w:val="32"/>
          <w:lang w:eastAsia="zh-CN"/>
        </w:rPr>
        <w:t>单位部分；210</w:t>
      </w:r>
      <w:r>
        <w:rPr>
          <w:rStyle w:val="15"/>
          <w:rFonts w:hint="eastAsia" w:ascii="仿宋_GB2312" w:hAnsi="仿宋_GB2312" w:eastAsia="仿宋_GB2312" w:cs="仿宋_GB2312"/>
          <w:b w:val="0"/>
          <w:bCs/>
          <w:color w:val="000000"/>
          <w:sz w:val="32"/>
          <w:szCs w:val="32"/>
          <w:lang w:val="en-US" w:eastAsia="zh-CN"/>
        </w:rPr>
        <w:t>1199-</w:t>
      </w:r>
      <w:r>
        <w:rPr>
          <w:rStyle w:val="15"/>
          <w:rFonts w:hint="eastAsia" w:ascii="仿宋_GB2312" w:hAnsi="仿宋_GB2312" w:eastAsia="仿宋_GB2312" w:cs="仿宋_GB2312"/>
          <w:b w:val="0"/>
          <w:bCs/>
          <w:color w:val="000000"/>
          <w:sz w:val="32"/>
          <w:szCs w:val="32"/>
          <w:lang w:eastAsia="zh-CN"/>
        </w:rPr>
        <w:t>其他行政事业单位医疗支出</w:t>
      </w:r>
      <w:r>
        <w:rPr>
          <w:rStyle w:val="15"/>
          <w:rFonts w:hint="eastAsia" w:ascii="仿宋_GB2312" w:hAnsi="仿宋_GB2312" w:eastAsia="仿宋_GB2312" w:cs="仿宋_GB2312"/>
          <w:b w:val="0"/>
          <w:bCs/>
          <w:color w:val="000000"/>
          <w:sz w:val="32"/>
          <w:szCs w:val="32"/>
        </w:rPr>
        <w:t>决算为</w:t>
      </w:r>
      <w:r>
        <w:rPr>
          <w:rStyle w:val="15"/>
          <w:rFonts w:hint="eastAsia" w:ascii="仿宋_GB2312" w:hAnsi="仿宋_GB2312" w:eastAsia="仿宋_GB2312" w:cs="仿宋_GB2312"/>
          <w:b w:val="0"/>
          <w:bCs/>
          <w:color w:val="000000"/>
          <w:sz w:val="32"/>
          <w:szCs w:val="32"/>
          <w:lang w:val="en-US" w:eastAsia="zh-CN"/>
        </w:rPr>
        <w:t>0.73</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，全部用于</w:t>
      </w:r>
      <w:r>
        <w:rPr>
          <w:rStyle w:val="15"/>
          <w:rFonts w:hint="eastAsia" w:ascii="仿宋_GB2312" w:hAnsi="仿宋_GB2312" w:eastAsia="仿宋_GB2312" w:cs="仿宋_GB2312"/>
          <w:b w:val="0"/>
          <w:bCs/>
          <w:color w:val="000000"/>
          <w:sz w:val="32"/>
          <w:szCs w:val="32"/>
          <w:lang w:val="en-US" w:eastAsia="zh-CN"/>
        </w:rPr>
        <w:t>行政人员和失业人员</w:t>
      </w:r>
      <w:r>
        <w:rPr>
          <w:rStyle w:val="15"/>
          <w:rFonts w:hint="eastAsia" w:ascii="仿宋_GB2312" w:hAnsi="仿宋_GB2312" w:eastAsia="仿宋_GB2312" w:cs="仿宋_GB2312"/>
          <w:b w:val="0"/>
          <w:bCs/>
          <w:color w:val="000000"/>
          <w:sz w:val="32"/>
          <w:szCs w:val="32"/>
          <w:lang w:eastAsia="zh-CN"/>
        </w:rPr>
        <w:t>缴纳</w:t>
      </w:r>
      <w:r>
        <w:rPr>
          <w:rStyle w:val="15"/>
          <w:rFonts w:hint="eastAsia" w:ascii="仿宋_GB2312" w:hAnsi="仿宋_GB2312" w:eastAsia="仿宋_GB2312" w:cs="仿宋_GB2312"/>
          <w:b w:val="0"/>
          <w:bCs/>
          <w:color w:val="000000"/>
          <w:sz w:val="32"/>
          <w:szCs w:val="32"/>
          <w:lang w:val="en-US" w:eastAsia="zh-CN"/>
        </w:rPr>
        <w:t>公务员医疗补助保险</w:t>
      </w:r>
      <w:r>
        <w:rPr>
          <w:rStyle w:val="15"/>
          <w:rFonts w:hint="eastAsia" w:ascii="仿宋_GB2312" w:hAnsi="仿宋_GB2312" w:eastAsia="仿宋_GB2312" w:cs="仿宋_GB2312"/>
          <w:b w:val="0"/>
          <w:bCs/>
          <w:color w:val="000000"/>
          <w:sz w:val="32"/>
          <w:szCs w:val="32"/>
          <w:lang w:eastAsia="zh-CN"/>
        </w:rPr>
        <w:t>单位部分。</w:t>
      </w:r>
    </w:p>
    <w:p>
      <w:pPr>
        <w:numPr>
          <w:ilvl w:val="0"/>
          <w:numId w:val="3"/>
        </w:numPr>
        <w:tabs>
          <w:tab w:val="clear" w:pos="312"/>
        </w:tabs>
        <w:spacing w:line="600" w:lineRule="exact"/>
        <w:ind w:left="0" w:leftChars="0" w:firstLine="643" w:firstLineChars="200"/>
        <w:rPr>
          <w:rStyle w:val="15"/>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color w:val="000000"/>
          <w:sz w:val="32"/>
          <w:szCs w:val="32"/>
          <w:lang w:val="en-US" w:eastAsia="zh-CN"/>
        </w:rPr>
        <w:t>住房保障支出：</w:t>
      </w:r>
      <w:r>
        <w:rPr>
          <w:rStyle w:val="15"/>
          <w:rFonts w:hint="eastAsia" w:ascii="仿宋_GB2312" w:hAnsi="仿宋_GB2312" w:eastAsia="仿宋_GB2312" w:cs="仿宋_GB2312"/>
          <w:b w:val="0"/>
          <w:bCs/>
          <w:color w:val="000000"/>
          <w:sz w:val="32"/>
          <w:szCs w:val="32"/>
          <w:lang w:val="en-US" w:eastAsia="zh-CN"/>
        </w:rPr>
        <w:t>2210201-住房公积金</w:t>
      </w:r>
      <w:r>
        <w:rPr>
          <w:rStyle w:val="15"/>
          <w:rFonts w:hint="eastAsia" w:ascii="仿宋_GB2312" w:hAnsi="仿宋_GB2312" w:eastAsia="仿宋_GB2312" w:cs="仿宋_GB2312"/>
          <w:b w:val="0"/>
          <w:bCs/>
          <w:color w:val="000000"/>
          <w:sz w:val="32"/>
          <w:szCs w:val="32"/>
          <w:lang w:eastAsia="zh-CN"/>
        </w:rPr>
        <w:t>支出决</w:t>
      </w:r>
      <w:r>
        <w:rPr>
          <w:rStyle w:val="15"/>
          <w:rFonts w:hint="eastAsia" w:ascii="仿宋_GB2312" w:hAnsi="仿宋_GB2312" w:eastAsia="仿宋_GB2312" w:cs="仿宋_GB2312"/>
          <w:b w:val="0"/>
          <w:bCs/>
          <w:color w:val="000000"/>
          <w:sz w:val="32"/>
          <w:szCs w:val="32"/>
        </w:rPr>
        <w:t>算为</w:t>
      </w:r>
      <w:r>
        <w:rPr>
          <w:rStyle w:val="15"/>
          <w:rFonts w:hint="eastAsia" w:ascii="仿宋_GB2312" w:hAnsi="仿宋_GB2312" w:eastAsia="仿宋_GB2312" w:cs="仿宋_GB2312"/>
          <w:b w:val="0"/>
          <w:bCs/>
          <w:color w:val="000000"/>
          <w:sz w:val="32"/>
          <w:szCs w:val="32"/>
          <w:lang w:val="en-US" w:eastAsia="zh-CN"/>
        </w:rPr>
        <w:t>30.94</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，全部用于职工缴纳住房公积金单位部分。</w:t>
      </w:r>
    </w:p>
    <w:p>
      <w:pPr>
        <w:pStyle w:val="7"/>
        <w:numPr>
          <w:ilvl w:val="0"/>
          <w:numId w:val="1"/>
        </w:numPr>
        <w:ind w:left="0" w:leftChars="0" w:firstLine="0" w:firstLineChars="0"/>
        <w:rPr>
          <w:rFonts w:hint="eastAsia" w:ascii="仿宋_GB2312" w:hAnsi="仿宋_GB2312" w:eastAsia="仿宋_GB2312" w:cs="仿宋_GB2312"/>
          <w:b/>
          <w:bCs/>
          <w:sz w:val="32"/>
          <w:szCs w:val="32"/>
          <w:shd w:val="clear" w:color="auto" w:fill="FFFFFF"/>
        </w:rPr>
      </w:pPr>
      <w:bookmarkStart w:id="12" w:name="_Toc2180"/>
      <w:r>
        <w:rPr>
          <w:rFonts w:hint="eastAsia" w:ascii="仿宋_GB2312" w:hAnsi="仿宋_GB2312" w:eastAsia="仿宋_GB2312" w:cs="仿宋_GB2312"/>
          <w:b/>
          <w:bCs/>
          <w:sz w:val="32"/>
          <w:szCs w:val="32"/>
          <w:shd w:val="clear" w:color="auto" w:fill="FFFFFF"/>
        </w:rPr>
        <w:t>一般公共预算财政拨款基本支出决算情况说明</w:t>
      </w:r>
      <w:bookmarkEnd w:id="12"/>
    </w:p>
    <w:p>
      <w:pPr>
        <w:spacing w:line="600" w:lineRule="exact"/>
        <w:ind w:firstLine="643" w:firstLineChars="2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2023</w:t>
      </w:r>
      <w:r>
        <w:rPr>
          <w:rFonts w:hint="eastAsia" w:ascii="仿宋_GB2312" w:hAnsi="仿宋_GB2312" w:eastAsia="仿宋_GB2312" w:cs="仿宋_GB2312"/>
          <w:b/>
          <w:bCs/>
          <w:color w:val="000000"/>
          <w:sz w:val="32"/>
          <w:szCs w:val="32"/>
        </w:rPr>
        <w:t>年一般公共预算财政拨款基本支出</w:t>
      </w:r>
      <w:r>
        <w:rPr>
          <w:rFonts w:hint="eastAsia" w:ascii="仿宋_GB2312" w:hAnsi="仿宋_GB2312" w:eastAsia="仿宋_GB2312" w:cs="仿宋_GB2312"/>
          <w:b/>
          <w:bCs/>
          <w:color w:val="000000"/>
          <w:sz w:val="32"/>
          <w:szCs w:val="32"/>
          <w:lang w:val="en-US" w:eastAsia="zh-CN"/>
        </w:rPr>
        <w:t>552.66</w:t>
      </w:r>
      <w:r>
        <w:rPr>
          <w:rFonts w:hint="eastAsia" w:ascii="仿宋_GB2312" w:hAnsi="仿宋_GB2312" w:eastAsia="仿宋_GB2312" w:cs="仿宋_GB2312"/>
          <w:b/>
          <w:bCs/>
          <w:color w:val="000000"/>
          <w:sz w:val="32"/>
          <w:szCs w:val="32"/>
        </w:rPr>
        <w:t>万元，其中：</w:t>
      </w:r>
    </w:p>
    <w:p>
      <w:pPr>
        <w:spacing w:line="600" w:lineRule="exact"/>
        <w:ind w:firstLine="645"/>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rPr>
        <w:t>人员经费</w:t>
      </w:r>
      <w:r>
        <w:rPr>
          <w:rFonts w:hint="eastAsia" w:ascii="仿宋_GB2312" w:hAnsi="仿宋_GB2312" w:eastAsia="仿宋_GB2312" w:cs="仿宋_GB2312"/>
          <w:b/>
          <w:bCs/>
          <w:color w:val="000000"/>
          <w:sz w:val="32"/>
          <w:szCs w:val="32"/>
          <w:lang w:val="en-US" w:eastAsia="zh-CN"/>
        </w:rPr>
        <w:t>441.68</w:t>
      </w:r>
      <w:r>
        <w:rPr>
          <w:rFonts w:hint="eastAsia" w:ascii="仿宋_GB2312" w:hAnsi="仿宋_GB2312" w:eastAsia="仿宋_GB2312" w:cs="仿宋_GB2312"/>
          <w:b/>
          <w:bCs/>
          <w:color w:val="000000"/>
          <w:sz w:val="32"/>
          <w:szCs w:val="32"/>
        </w:rPr>
        <w:t>万元，</w:t>
      </w:r>
      <w:r>
        <w:rPr>
          <w:rFonts w:hint="eastAsia" w:ascii="仿宋_GB2312" w:hAnsi="仿宋_GB2312" w:eastAsia="仿宋_GB2312" w:cs="仿宋_GB2312"/>
          <w:color w:val="000000"/>
          <w:sz w:val="32"/>
          <w:szCs w:val="32"/>
        </w:rPr>
        <w:t>包括：基本工资</w:t>
      </w:r>
      <w:r>
        <w:rPr>
          <w:rFonts w:hint="eastAsia" w:ascii="仿宋_GB2312" w:hAnsi="仿宋_GB2312" w:eastAsia="仿宋_GB2312" w:cs="仿宋_GB2312"/>
          <w:color w:val="000000"/>
          <w:sz w:val="32"/>
          <w:szCs w:val="32"/>
          <w:lang w:val="en-US" w:eastAsia="zh-CN"/>
        </w:rPr>
        <w:t>83.97</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、津贴补贴</w:t>
      </w:r>
      <w:r>
        <w:rPr>
          <w:rFonts w:hint="eastAsia" w:ascii="仿宋_GB2312" w:hAnsi="仿宋_GB2312" w:eastAsia="仿宋_GB2312" w:cs="仿宋_GB2312"/>
          <w:color w:val="000000"/>
          <w:sz w:val="32"/>
          <w:szCs w:val="32"/>
          <w:lang w:val="en-US" w:eastAsia="zh-CN"/>
        </w:rPr>
        <w:t>169.96</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、奖金</w:t>
      </w:r>
      <w:r>
        <w:rPr>
          <w:rFonts w:hint="eastAsia" w:ascii="仿宋_GB2312" w:hAnsi="仿宋_GB2312" w:eastAsia="仿宋_GB2312" w:cs="仿宋_GB2312"/>
          <w:color w:val="000000"/>
          <w:sz w:val="32"/>
          <w:szCs w:val="32"/>
          <w:lang w:val="en-US" w:eastAsia="zh-CN"/>
        </w:rPr>
        <w:t>50.32</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绩效工资</w:t>
      </w:r>
      <w:r>
        <w:rPr>
          <w:rFonts w:hint="eastAsia" w:ascii="仿宋_GB2312" w:hAnsi="仿宋_GB2312" w:eastAsia="仿宋_GB2312" w:cs="仿宋_GB2312"/>
          <w:color w:val="000000"/>
          <w:sz w:val="32"/>
          <w:szCs w:val="32"/>
          <w:lang w:val="en-US" w:eastAsia="zh-CN"/>
        </w:rPr>
        <w:t>12.38万元、</w:t>
      </w:r>
      <w:r>
        <w:rPr>
          <w:rFonts w:hint="eastAsia" w:ascii="仿宋_GB2312" w:hAnsi="仿宋_GB2312" w:eastAsia="仿宋_GB2312" w:cs="仿宋_GB2312"/>
          <w:color w:val="000000"/>
          <w:sz w:val="32"/>
          <w:szCs w:val="32"/>
        </w:rPr>
        <w:t>机关事业单位基本养老保险缴费</w:t>
      </w:r>
      <w:r>
        <w:rPr>
          <w:rFonts w:hint="eastAsia" w:ascii="仿宋_GB2312" w:hAnsi="仿宋_GB2312" w:eastAsia="仿宋_GB2312" w:cs="仿宋_GB2312"/>
          <w:color w:val="000000"/>
          <w:sz w:val="32"/>
          <w:szCs w:val="32"/>
          <w:lang w:val="en-US" w:eastAsia="zh-CN"/>
        </w:rPr>
        <w:t>41.16</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、职业年金缴费</w:t>
      </w:r>
      <w:r>
        <w:rPr>
          <w:rFonts w:hint="eastAsia" w:ascii="仿宋_GB2312" w:hAnsi="仿宋_GB2312" w:eastAsia="仿宋_GB2312" w:cs="仿宋_GB2312"/>
          <w:color w:val="000000"/>
          <w:sz w:val="32"/>
          <w:szCs w:val="32"/>
          <w:lang w:val="en-US" w:eastAsia="zh-CN"/>
        </w:rPr>
        <w:t>20.58</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4.21</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、职工基本医疗保险缴费</w:t>
      </w:r>
      <w:r>
        <w:rPr>
          <w:rFonts w:hint="eastAsia" w:ascii="仿宋_GB2312" w:hAnsi="仿宋_GB2312" w:eastAsia="仿宋_GB2312" w:cs="仿宋_GB2312"/>
          <w:color w:val="000000"/>
          <w:sz w:val="32"/>
          <w:szCs w:val="32"/>
          <w:lang w:val="en-US" w:eastAsia="zh-CN"/>
        </w:rPr>
        <w:t>20.40</w:t>
      </w:r>
      <w:r>
        <w:rPr>
          <w:rFonts w:hint="eastAsia" w:ascii="仿宋_GB2312" w:hAnsi="仿宋_GB2312" w:eastAsia="仿宋_GB2312" w:cs="仿宋_GB2312"/>
          <w:color w:val="000000"/>
          <w:sz w:val="32"/>
          <w:szCs w:val="32"/>
          <w:lang w:eastAsia="zh-CN"/>
        </w:rPr>
        <w:t>万元、公务员医疗补助缴费</w:t>
      </w:r>
      <w:r>
        <w:rPr>
          <w:rFonts w:hint="eastAsia" w:ascii="仿宋_GB2312" w:hAnsi="仿宋_GB2312" w:eastAsia="仿宋_GB2312" w:cs="仿宋_GB2312"/>
          <w:color w:val="000000"/>
          <w:sz w:val="32"/>
          <w:szCs w:val="32"/>
          <w:lang w:val="en-US" w:eastAsia="zh-CN"/>
        </w:rPr>
        <w:t>5.77</w:t>
      </w:r>
      <w:r>
        <w:rPr>
          <w:rFonts w:hint="eastAsia" w:ascii="仿宋_GB2312" w:hAnsi="仿宋_GB2312" w:eastAsia="仿宋_GB2312" w:cs="仿宋_GB2312"/>
          <w:color w:val="000000"/>
          <w:sz w:val="32"/>
          <w:szCs w:val="32"/>
          <w:lang w:eastAsia="zh-CN"/>
        </w:rPr>
        <w:t>万元、住房公积金</w:t>
      </w:r>
      <w:r>
        <w:rPr>
          <w:rFonts w:hint="eastAsia" w:ascii="仿宋_GB2312" w:hAnsi="仿宋_GB2312" w:eastAsia="仿宋_GB2312" w:cs="仿宋_GB2312"/>
          <w:color w:val="000000"/>
          <w:sz w:val="32"/>
          <w:szCs w:val="32"/>
          <w:lang w:val="en-US" w:eastAsia="zh-CN"/>
        </w:rPr>
        <w:t>30.94</w:t>
      </w:r>
      <w:r>
        <w:rPr>
          <w:rFonts w:hint="eastAsia" w:ascii="仿宋_GB2312" w:hAnsi="仿宋_GB2312" w:eastAsia="仿宋_GB2312" w:cs="仿宋_GB2312"/>
          <w:color w:val="000000"/>
          <w:sz w:val="32"/>
          <w:szCs w:val="32"/>
          <w:lang w:eastAsia="zh-CN"/>
        </w:rPr>
        <w:t>万元、医疗费补助</w:t>
      </w:r>
      <w:r>
        <w:rPr>
          <w:rFonts w:hint="eastAsia" w:ascii="仿宋_GB2312" w:hAnsi="仿宋_GB2312" w:eastAsia="仿宋_GB2312" w:cs="仿宋_GB2312"/>
          <w:color w:val="000000"/>
          <w:sz w:val="32"/>
          <w:szCs w:val="32"/>
          <w:lang w:val="en-US" w:eastAsia="zh-CN"/>
        </w:rPr>
        <w:t>1.99万元。</w:t>
      </w:r>
    </w:p>
    <w:p>
      <w:pPr>
        <w:spacing w:line="600" w:lineRule="exact"/>
        <w:ind w:firstLine="645"/>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rPr>
        <w:t>日常公用经费</w:t>
      </w:r>
      <w:r>
        <w:rPr>
          <w:rFonts w:hint="eastAsia" w:ascii="仿宋_GB2312" w:hAnsi="仿宋_GB2312" w:eastAsia="仿宋_GB2312" w:cs="仿宋_GB2312"/>
          <w:b/>
          <w:bCs/>
          <w:color w:val="000000"/>
          <w:sz w:val="32"/>
          <w:szCs w:val="32"/>
          <w:lang w:val="en-US" w:eastAsia="zh-CN"/>
        </w:rPr>
        <w:t>38.20</w:t>
      </w:r>
      <w:r>
        <w:rPr>
          <w:rFonts w:hint="eastAsia" w:ascii="仿宋_GB2312" w:hAnsi="仿宋_GB2312" w:eastAsia="仿宋_GB2312" w:cs="仿宋_GB2312"/>
          <w:b/>
          <w:bCs/>
          <w:color w:val="000000"/>
          <w:sz w:val="32"/>
          <w:szCs w:val="32"/>
        </w:rPr>
        <w:t>万元</w:t>
      </w:r>
      <w:r>
        <w:rPr>
          <w:rFonts w:hint="eastAsia" w:ascii="仿宋_GB2312" w:hAnsi="仿宋_GB2312" w:eastAsia="仿宋_GB2312" w:cs="仿宋_GB2312"/>
          <w:color w:val="000000"/>
          <w:sz w:val="32"/>
          <w:szCs w:val="32"/>
        </w:rPr>
        <w:t>，包括：办公费</w:t>
      </w:r>
      <w:r>
        <w:rPr>
          <w:rFonts w:hint="eastAsia" w:ascii="仿宋_GB2312" w:hAnsi="仿宋_GB2312" w:eastAsia="仿宋_GB2312" w:cs="仿宋_GB2312"/>
          <w:color w:val="000000"/>
          <w:sz w:val="32"/>
          <w:szCs w:val="32"/>
          <w:lang w:val="en-US" w:eastAsia="zh-CN"/>
        </w:rPr>
        <w:t>8.14</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lang w:val="en-US" w:eastAsia="zh-CN"/>
        </w:rPr>
        <w:t>印刷费1.11万元、</w:t>
      </w:r>
      <w:r>
        <w:rPr>
          <w:rFonts w:hint="eastAsia" w:ascii="仿宋_GB2312" w:hAnsi="仿宋_GB2312" w:eastAsia="仿宋_GB2312" w:cs="仿宋_GB2312"/>
          <w:color w:val="000000"/>
          <w:sz w:val="32"/>
          <w:szCs w:val="32"/>
          <w:lang w:eastAsia="zh-CN"/>
        </w:rPr>
        <w:t>水费</w:t>
      </w:r>
      <w:r>
        <w:rPr>
          <w:rFonts w:hint="eastAsia" w:ascii="仿宋_GB2312" w:hAnsi="仿宋_GB2312" w:eastAsia="仿宋_GB2312" w:cs="仿宋_GB2312"/>
          <w:color w:val="000000"/>
          <w:sz w:val="32"/>
          <w:szCs w:val="32"/>
          <w:lang w:val="en-US" w:eastAsia="zh-CN"/>
        </w:rPr>
        <w:t>0.3万元，电费1万元、</w:t>
      </w:r>
      <w:r>
        <w:rPr>
          <w:rFonts w:hint="eastAsia" w:ascii="仿宋_GB2312" w:hAnsi="仿宋_GB2312" w:eastAsia="仿宋_GB2312" w:cs="仿宋_GB2312"/>
          <w:color w:val="000000"/>
          <w:sz w:val="32"/>
          <w:szCs w:val="32"/>
          <w:lang w:eastAsia="zh-CN"/>
        </w:rPr>
        <w:t>邮电费</w:t>
      </w:r>
      <w:r>
        <w:rPr>
          <w:rFonts w:hint="eastAsia" w:ascii="仿宋_GB2312" w:hAnsi="仿宋_GB2312" w:eastAsia="仿宋_GB2312" w:cs="仿宋_GB2312"/>
          <w:color w:val="000000"/>
          <w:sz w:val="32"/>
          <w:szCs w:val="32"/>
          <w:lang w:val="en-US" w:eastAsia="zh-CN"/>
        </w:rPr>
        <w:t>4.27</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lang w:val="en-US" w:eastAsia="zh-CN"/>
        </w:rPr>
        <w:t>取暖费0.94万元、</w:t>
      </w:r>
      <w:r>
        <w:rPr>
          <w:rFonts w:hint="eastAsia" w:ascii="仿宋_GB2312" w:hAnsi="仿宋_GB2312" w:eastAsia="仿宋_GB2312" w:cs="仿宋_GB2312"/>
          <w:color w:val="000000"/>
          <w:sz w:val="32"/>
          <w:szCs w:val="32"/>
          <w:lang w:eastAsia="zh-CN"/>
        </w:rPr>
        <w:t>差旅费</w:t>
      </w:r>
      <w:r>
        <w:rPr>
          <w:rFonts w:hint="eastAsia" w:ascii="仿宋_GB2312" w:hAnsi="仿宋_GB2312" w:eastAsia="仿宋_GB2312" w:cs="仿宋_GB2312"/>
          <w:color w:val="000000"/>
          <w:sz w:val="32"/>
          <w:szCs w:val="32"/>
          <w:lang w:val="en-US" w:eastAsia="zh-CN"/>
        </w:rPr>
        <w:t>9.24万元</w:t>
      </w:r>
      <w:r>
        <w:rPr>
          <w:rFonts w:hint="eastAsia" w:ascii="仿宋_GB2312" w:hAnsi="仿宋_GB2312" w:eastAsia="仿宋_GB2312" w:cs="仿宋_GB2312"/>
          <w:color w:val="000000"/>
          <w:sz w:val="32"/>
          <w:szCs w:val="32"/>
          <w:lang w:eastAsia="zh-CN"/>
        </w:rPr>
        <w:t>、培训费</w:t>
      </w:r>
      <w:r>
        <w:rPr>
          <w:rFonts w:hint="eastAsia" w:ascii="仿宋_GB2312" w:hAnsi="仿宋_GB2312" w:eastAsia="仿宋_GB2312" w:cs="仿宋_GB2312"/>
          <w:color w:val="000000"/>
          <w:sz w:val="32"/>
          <w:szCs w:val="32"/>
          <w:lang w:val="en-US" w:eastAsia="zh-CN"/>
        </w:rPr>
        <w:t>0.26</w:t>
      </w:r>
      <w:r>
        <w:rPr>
          <w:rFonts w:hint="eastAsia" w:ascii="仿宋_GB2312" w:hAnsi="仿宋_GB2312" w:eastAsia="仿宋_GB2312" w:cs="仿宋_GB2312"/>
          <w:color w:val="000000"/>
          <w:sz w:val="32"/>
          <w:szCs w:val="32"/>
          <w:lang w:eastAsia="zh-CN"/>
        </w:rPr>
        <w:t>万元、公务用车运行维护费</w:t>
      </w:r>
      <w:r>
        <w:rPr>
          <w:rFonts w:hint="eastAsia" w:ascii="仿宋_GB2312" w:hAnsi="仿宋_GB2312" w:eastAsia="仿宋_GB2312" w:cs="仿宋_GB2312"/>
          <w:color w:val="000000"/>
          <w:sz w:val="32"/>
          <w:szCs w:val="32"/>
          <w:lang w:val="en-US" w:eastAsia="zh-CN"/>
        </w:rPr>
        <w:t>9.98</w:t>
      </w:r>
      <w:r>
        <w:rPr>
          <w:rFonts w:hint="eastAsia" w:ascii="仿宋_GB2312" w:hAnsi="仿宋_GB2312" w:eastAsia="仿宋_GB2312" w:cs="仿宋_GB2312"/>
          <w:color w:val="000000"/>
          <w:sz w:val="32"/>
          <w:szCs w:val="32"/>
          <w:lang w:eastAsia="zh-CN"/>
        </w:rPr>
        <w:t>万元、工会经费</w:t>
      </w:r>
      <w:r>
        <w:rPr>
          <w:rFonts w:hint="eastAsia" w:ascii="仿宋_GB2312" w:hAnsi="仿宋_GB2312" w:eastAsia="仿宋_GB2312" w:cs="仿宋_GB2312"/>
          <w:color w:val="000000"/>
          <w:sz w:val="32"/>
          <w:szCs w:val="32"/>
          <w:lang w:val="en-US" w:eastAsia="zh-CN"/>
        </w:rPr>
        <w:t>2.95万元。</w:t>
      </w:r>
    </w:p>
    <w:p>
      <w:pPr>
        <w:pStyle w:val="2"/>
        <w:rPr>
          <w:rFonts w:hint="default"/>
          <w:b w:val="0"/>
          <w:bCs/>
          <w:lang w:val="en-US"/>
        </w:rPr>
      </w:pPr>
      <w:r>
        <w:rPr>
          <w:rFonts w:hint="eastAsia" w:ascii="仿宋_GB2312" w:hAnsi="仿宋_GB2312" w:eastAsia="仿宋_GB2312" w:cs="仿宋_GB2312"/>
          <w:color w:val="000000"/>
          <w:sz w:val="32"/>
          <w:szCs w:val="32"/>
          <w:lang w:val="en-US" w:eastAsia="zh-CN"/>
        </w:rPr>
        <w:t xml:space="preserve">    对家庭和个人补助72.76万元，</w:t>
      </w:r>
      <w:r>
        <w:rPr>
          <w:rFonts w:hint="eastAsia" w:ascii="仿宋_GB2312" w:hAnsi="仿宋_GB2312" w:eastAsia="仿宋_GB2312" w:cs="仿宋_GB2312"/>
          <w:b w:val="0"/>
          <w:bCs/>
          <w:color w:val="000000"/>
          <w:sz w:val="32"/>
          <w:szCs w:val="32"/>
          <w:lang w:val="en-US" w:eastAsia="zh-CN"/>
        </w:rPr>
        <w:t>包括：生活补助71.07万元、医疗费补助0.22万元、奖励金0.02万元、其他队家庭和个人的补助1.44万元。</w:t>
      </w:r>
    </w:p>
    <w:p>
      <w:pPr>
        <w:pStyle w:val="12"/>
        <w:keepNext w:val="0"/>
        <w:keepLines w:val="0"/>
        <w:widowControl/>
        <w:suppressLineNumbers w:val="0"/>
        <w:shd w:val="clear" w:color="auto" w:fill="auto"/>
        <w:ind w:left="0" w:right="75"/>
        <w:jc w:val="left"/>
        <w:outlineLvl w:val="1"/>
        <w:rPr>
          <w:rFonts w:hint="eastAsia" w:ascii="仿宋_GB2312" w:hAnsi="仿宋_GB2312" w:eastAsia="仿宋_GB2312" w:cs="仿宋_GB2312"/>
          <w:sz w:val="32"/>
          <w:szCs w:val="32"/>
          <w:shd w:val="clear" w:color="auto" w:fill="FFFFFF"/>
        </w:rPr>
      </w:pPr>
      <w:bookmarkStart w:id="13" w:name="_Toc18699"/>
      <w:r>
        <w:rPr>
          <w:rFonts w:hint="eastAsia" w:ascii="仿宋_GB2312" w:hAnsi="仿宋_GB2312" w:eastAsia="仿宋_GB2312" w:cs="仿宋_GB2312"/>
          <w:sz w:val="32"/>
          <w:szCs w:val="32"/>
          <w:shd w:val="clear" w:color="auto" w:fill="FFFFFF"/>
        </w:rPr>
        <w:t>七、“三公”经费财政拨款支出决算情况说明</w:t>
      </w:r>
      <w:bookmarkEnd w:id="13"/>
    </w:p>
    <w:p>
      <w:pPr>
        <w:pStyle w:val="12"/>
        <w:keepNext w:val="0"/>
        <w:keepLines w:val="0"/>
        <w:widowControl/>
        <w:suppressLineNumbers w:val="0"/>
        <w:ind w:left="0" w:right="75"/>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（一）“三公”经费财政拨款支出决算总体情况说明</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color w:val="000000"/>
          <w:sz w:val="32"/>
          <w:szCs w:val="32"/>
          <w:lang w:val="en-US" w:eastAsia="zh-CN"/>
        </w:rPr>
        <w:t>69.88</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p>
    <w:p>
      <w:pPr>
        <w:pStyle w:val="12"/>
        <w:keepNext w:val="0"/>
        <w:keepLines w:val="0"/>
        <w:widowControl/>
        <w:numPr>
          <w:ilvl w:val="0"/>
          <w:numId w:val="0"/>
        </w:numPr>
        <w:suppressLineNumbers w:val="0"/>
        <w:ind w:right="75" w:rightChars="0"/>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lang w:eastAsia="zh-CN"/>
        </w:rPr>
        <w:t>（</w:t>
      </w:r>
      <w:r>
        <w:rPr>
          <w:rStyle w:val="15"/>
          <w:rFonts w:hint="eastAsia" w:ascii="仿宋_GB2312" w:hAnsi="仿宋_GB2312" w:eastAsia="仿宋_GB2312" w:cs="仿宋_GB2312"/>
          <w:sz w:val="32"/>
          <w:szCs w:val="32"/>
          <w:shd w:val="clear" w:color="auto" w:fill="FFFFFF"/>
          <w:lang w:val="en-US" w:eastAsia="zh-CN"/>
        </w:rPr>
        <w:t>二</w:t>
      </w:r>
      <w:r>
        <w:rPr>
          <w:rStyle w:val="15"/>
          <w:rFonts w:hint="eastAsia" w:ascii="仿宋_GB2312" w:hAnsi="仿宋_GB2312" w:eastAsia="仿宋_GB2312" w:cs="仿宋_GB2312"/>
          <w:sz w:val="32"/>
          <w:szCs w:val="32"/>
          <w:shd w:val="clear" w:color="auto" w:fill="FFFFFF"/>
          <w:lang w:eastAsia="zh-CN"/>
        </w:rPr>
        <w:t>）</w:t>
      </w:r>
      <w:r>
        <w:rPr>
          <w:rStyle w:val="15"/>
          <w:rFonts w:hint="eastAsia" w:ascii="仿宋_GB2312" w:hAnsi="仿宋_GB2312" w:eastAsia="仿宋_GB2312" w:cs="仿宋_GB2312"/>
          <w:sz w:val="32"/>
          <w:szCs w:val="32"/>
          <w:shd w:val="clear" w:color="auto" w:fill="FFFFFF"/>
        </w:rPr>
        <w:t>“三公”经费财政拨款支出决算具体情况说明</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年“三公”经费财政拨款支出决算中，因公出国（境）费支出决算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%；公务用车购置</w:t>
      </w:r>
      <w:r>
        <w:rPr>
          <w:rFonts w:hint="eastAsia" w:ascii="仿宋_GB2312" w:hAnsi="仿宋_GB2312" w:eastAsia="仿宋_GB2312" w:cs="仿宋_GB2312"/>
          <w:color w:val="000000"/>
          <w:sz w:val="32"/>
          <w:szCs w:val="32"/>
          <w:lang w:eastAsia="zh-CN"/>
        </w:rPr>
        <w:t>费</w:t>
      </w:r>
      <w:r>
        <w:rPr>
          <w:rFonts w:hint="eastAsia" w:ascii="仿宋_GB2312" w:hAnsi="仿宋_GB2312" w:eastAsia="仿宋_GB2312" w:cs="仿宋_GB2312"/>
          <w:color w:val="000000"/>
          <w:sz w:val="32"/>
          <w:szCs w:val="32"/>
          <w:lang w:val="en-US" w:eastAsia="zh-CN"/>
        </w:rPr>
        <w:t>59.9万元、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85.72</w:t>
      </w:r>
      <w:r>
        <w:rPr>
          <w:rFonts w:hint="eastAsia" w:ascii="仿宋_GB2312" w:hAnsi="仿宋_GB2312" w:eastAsia="仿宋_GB2312" w:cs="仿宋_GB2312"/>
          <w:color w:val="000000"/>
          <w:sz w:val="32"/>
          <w:szCs w:val="32"/>
        </w:rPr>
        <w:t>%及运行维护费支出决算</w:t>
      </w:r>
      <w:r>
        <w:rPr>
          <w:rFonts w:hint="eastAsia" w:ascii="仿宋_GB2312" w:hAnsi="仿宋_GB2312" w:eastAsia="仿宋_GB2312" w:cs="仿宋_GB2312"/>
          <w:color w:val="000000"/>
          <w:sz w:val="32"/>
          <w:szCs w:val="32"/>
          <w:lang w:val="en-US" w:eastAsia="zh-CN"/>
        </w:rPr>
        <w:t>9.98</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14.28</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%。具体情况如下：</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（图7：“三公”经费财政拨款支出结构）（饼状图）</w:t>
      </w:r>
    </w:p>
    <w:p>
      <w:pPr>
        <w:pStyle w:val="12"/>
        <w:keepNext w:val="0"/>
        <w:keepLines w:val="0"/>
        <w:widowControl/>
        <w:numPr>
          <w:ilvl w:val="0"/>
          <w:numId w:val="0"/>
        </w:numPr>
        <w:suppressLineNumbers w:val="0"/>
        <w:ind w:right="75" w:rightChars="0"/>
        <w:rPr>
          <w:rStyle w:val="15"/>
          <w:rFonts w:hint="eastAsia" w:ascii="仿宋_GB2312" w:hAnsi="仿宋_GB2312" w:eastAsia="仿宋_GB2312" w:cs="仿宋_GB2312"/>
          <w:sz w:val="32"/>
          <w:szCs w:val="32"/>
          <w:shd w:val="clear" w:color="auto" w:fill="FFFFFF"/>
          <w:lang w:eastAsia="zh-CN"/>
        </w:rPr>
      </w:pPr>
      <w:r>
        <w:rPr>
          <w:rStyle w:val="15"/>
          <w:rFonts w:hint="eastAsia" w:ascii="仿宋_GB2312" w:hAnsi="仿宋_GB2312" w:eastAsia="仿宋_GB2312" w:cs="仿宋_GB2312"/>
          <w:sz w:val="32"/>
          <w:szCs w:val="32"/>
          <w:shd w:val="clear" w:color="auto" w:fill="FFFFFF"/>
          <w:lang w:eastAsia="zh-CN"/>
        </w:rPr>
        <w:drawing>
          <wp:inline distT="0" distB="0" distL="114300" distR="114300">
            <wp:extent cx="5080000" cy="230505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numPr>
          <w:ilvl w:val="0"/>
          <w:numId w:val="0"/>
        </w:numPr>
        <w:spacing w:line="600" w:lineRule="exact"/>
        <w:ind w:firstLine="643"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color w:val="000000"/>
          <w:sz w:val="32"/>
          <w:szCs w:val="32"/>
          <w:lang w:val="en-US" w:eastAsia="zh-CN"/>
        </w:rPr>
        <w:t>1.</w:t>
      </w:r>
      <w:r>
        <w:rPr>
          <w:rFonts w:hint="eastAsia" w:ascii="仿宋_GB2312" w:hAnsi="仿宋_GB2312" w:eastAsia="仿宋_GB2312" w:cs="仿宋_GB2312"/>
          <w:b/>
          <w:color w:val="000000"/>
          <w:sz w:val="32"/>
          <w:szCs w:val="32"/>
        </w:rPr>
        <w:t>因公出国（境）经费支出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color w:val="000000"/>
          <w:sz w:val="32"/>
          <w:szCs w:val="32"/>
        </w:rPr>
        <w:t>完成预算</w:t>
      </w:r>
      <w:r>
        <w:rPr>
          <w:rStyle w:val="15"/>
          <w:rFonts w:hint="eastAsia" w:ascii="仿宋_GB2312" w:hAnsi="仿宋_GB2312" w:eastAsia="仿宋_GB2312" w:cs="仿宋_GB2312"/>
          <w:b w:val="0"/>
          <w:bCs/>
          <w:color w:val="000000"/>
          <w:sz w:val="32"/>
          <w:szCs w:val="32"/>
          <w:lang w:val="en-US" w:eastAsia="zh-CN"/>
        </w:rPr>
        <w:t>0</w:t>
      </w:r>
      <w:r>
        <w:rPr>
          <w:rStyle w:val="1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全年安排因公出国（境）团组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次，出国（境）</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人。因公出国（境）支出决算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2022</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持平。</w:t>
      </w:r>
    </w:p>
    <w:p>
      <w:pPr>
        <w:numPr>
          <w:ilvl w:val="0"/>
          <w:numId w:val="0"/>
        </w:numPr>
        <w:spacing w:line="600" w:lineRule="exact"/>
        <w:ind w:firstLine="643" w:firstLineChars="200"/>
        <w:rPr>
          <w:rFonts w:hint="eastAsia" w:ascii="仿宋_GB2312" w:hAnsi="仿宋_GB2312" w:eastAsia="仿宋_GB2312" w:cs="仿宋_GB2312"/>
          <w:b/>
          <w:color w:val="000000"/>
          <w:sz w:val="32"/>
          <w:szCs w:val="32"/>
          <w:lang w:val="en-US"/>
        </w:rPr>
      </w:pPr>
      <w:r>
        <w:rPr>
          <w:rFonts w:hint="eastAsia" w:ascii="仿宋_GB2312" w:hAnsi="仿宋_GB2312" w:eastAsia="仿宋_GB2312" w:cs="仿宋_GB2312"/>
          <w:b/>
          <w:color w:val="000000"/>
          <w:sz w:val="32"/>
          <w:szCs w:val="32"/>
          <w:lang w:val="en-US" w:eastAsia="zh-CN"/>
        </w:rPr>
        <w:t>2.</w:t>
      </w:r>
      <w:r>
        <w:rPr>
          <w:rFonts w:hint="eastAsia" w:ascii="仿宋_GB2312" w:hAnsi="仿宋_GB2312" w:eastAsia="仿宋_GB2312" w:cs="仿宋_GB2312"/>
          <w:b/>
          <w:color w:val="000000"/>
          <w:sz w:val="32"/>
          <w:szCs w:val="32"/>
        </w:rPr>
        <w:t>公务用车购置及运行维护费支出</w:t>
      </w:r>
      <w:r>
        <w:rPr>
          <w:rFonts w:hint="eastAsia" w:ascii="仿宋_GB2312" w:hAnsi="仿宋_GB2312" w:eastAsia="仿宋_GB2312" w:cs="仿宋_GB2312"/>
          <w:b/>
          <w:color w:val="000000"/>
          <w:sz w:val="32"/>
          <w:szCs w:val="32"/>
          <w:lang w:val="en-US" w:eastAsia="zh-CN"/>
        </w:rPr>
        <w:t>69.88</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color w:val="000000"/>
          <w:sz w:val="32"/>
          <w:szCs w:val="32"/>
        </w:rPr>
        <w:t>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公务用车购置及运行维护费支出决算比</w:t>
      </w:r>
      <w:r>
        <w:rPr>
          <w:rFonts w:hint="eastAsia" w:ascii="仿宋_GB2312" w:hAnsi="仿宋_GB2312" w:eastAsia="仿宋_GB2312" w:cs="仿宋_GB2312"/>
          <w:color w:val="000000"/>
          <w:sz w:val="32"/>
          <w:szCs w:val="32"/>
          <w:lang w:val="en-US" w:eastAsia="zh-CN"/>
        </w:rPr>
        <w:t>2022</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增加了61.07</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主要原因是统战部新购规格型号为丰田牌SCT6506GR的一台越野车。</w:t>
      </w:r>
    </w:p>
    <w:p>
      <w:pPr>
        <w:spacing w:line="600" w:lineRule="exact"/>
        <w:ind w:firstLine="643"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color w:val="000000"/>
          <w:sz w:val="32"/>
          <w:szCs w:val="32"/>
          <w:lang w:val="en-US" w:eastAsia="zh-CN"/>
        </w:rPr>
        <w:t>3.</w:t>
      </w:r>
      <w:r>
        <w:rPr>
          <w:rFonts w:hint="eastAsia" w:ascii="仿宋_GB2312" w:hAnsi="仿宋_GB2312" w:eastAsia="仿宋_GB2312" w:cs="仿宋_GB2312"/>
          <w:b/>
          <w:color w:val="000000"/>
          <w:sz w:val="32"/>
          <w:szCs w:val="32"/>
        </w:rPr>
        <w:t>公务接待费支出</w:t>
      </w:r>
      <w:r>
        <w:rPr>
          <w:rFonts w:hint="eastAsia" w:ascii="仿宋_GB2312" w:hAnsi="仿宋_GB2312" w:eastAsia="仿宋_GB2312" w:cs="仿宋_GB2312"/>
          <w:b/>
          <w:color w:val="000000"/>
          <w:sz w:val="32"/>
          <w:szCs w:val="32"/>
          <w:lang w:val="en-US" w:eastAsia="zh-CN"/>
        </w:rPr>
        <w:t>0</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color w:val="000000"/>
          <w:sz w:val="32"/>
          <w:szCs w:val="32"/>
        </w:rPr>
        <w:t>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公务接待费支出决算比</w:t>
      </w:r>
      <w:r>
        <w:rPr>
          <w:rFonts w:hint="eastAsia" w:ascii="仿宋_GB2312" w:hAnsi="仿宋_GB2312" w:eastAsia="仿宋_GB2312" w:cs="仿宋_GB2312"/>
          <w:color w:val="000000"/>
          <w:sz w:val="32"/>
          <w:szCs w:val="32"/>
          <w:lang w:val="en-US" w:eastAsia="zh-CN"/>
        </w:rPr>
        <w:t>2022</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减少0.07</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厉行节约，减少不必要的开支。</w:t>
      </w:r>
    </w:p>
    <w:p>
      <w:pPr>
        <w:spacing w:line="600" w:lineRule="exact"/>
        <w:ind w:firstLine="640" w:firstLineChars="200"/>
        <w:rPr>
          <w:rStyle w:val="15"/>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b/>
          <w:color w:val="000000"/>
          <w:sz w:val="32"/>
          <w:szCs w:val="32"/>
        </w:rPr>
        <w:t>外事接待支出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，外事接待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批次，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人，共计支出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pStyle w:val="12"/>
        <w:keepNext w:val="0"/>
        <w:keepLines w:val="0"/>
        <w:widowControl/>
        <w:numPr>
          <w:ilvl w:val="0"/>
          <w:numId w:val="4"/>
        </w:numPr>
        <w:suppressLineNumbers w:val="0"/>
        <w:shd w:val="clear" w:color="auto" w:fill="auto"/>
        <w:ind w:left="0" w:right="75"/>
        <w:jc w:val="left"/>
        <w:outlineLvl w:val="1"/>
        <w:rPr>
          <w:rFonts w:hint="eastAsia" w:ascii="仿宋_GB2312" w:hAnsi="仿宋_GB2312" w:eastAsia="仿宋_GB2312" w:cs="仿宋_GB2312"/>
          <w:b/>
          <w:bCs/>
          <w:sz w:val="32"/>
          <w:szCs w:val="32"/>
          <w:shd w:val="clear" w:color="auto" w:fill="FFFFFF"/>
        </w:rPr>
      </w:pPr>
      <w:bookmarkStart w:id="14" w:name="_Toc9599"/>
      <w:r>
        <w:rPr>
          <w:rFonts w:hint="eastAsia" w:ascii="仿宋_GB2312" w:hAnsi="仿宋_GB2312" w:eastAsia="仿宋_GB2312" w:cs="仿宋_GB2312"/>
          <w:b/>
          <w:bCs/>
          <w:sz w:val="32"/>
          <w:szCs w:val="32"/>
          <w:shd w:val="clear" w:color="auto" w:fill="FFFFFF"/>
        </w:rPr>
        <w:t>政府性基金预算支出决算情况说明</w:t>
      </w:r>
      <w:bookmarkEnd w:id="14"/>
    </w:p>
    <w:p>
      <w:pPr>
        <w:spacing w:line="600" w:lineRule="exact"/>
        <w:ind w:firstLine="640" w:firstLineChars="200"/>
        <w:rPr>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年政府性基金预算拨款支出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pStyle w:val="12"/>
        <w:keepNext w:val="0"/>
        <w:keepLines w:val="0"/>
        <w:widowControl/>
        <w:numPr>
          <w:ilvl w:val="0"/>
          <w:numId w:val="4"/>
        </w:numPr>
        <w:suppressLineNumbers w:val="0"/>
        <w:shd w:val="clear" w:color="auto" w:fill="auto"/>
        <w:ind w:left="0" w:leftChars="0" w:right="75" w:firstLine="0" w:firstLineChars="0"/>
        <w:jc w:val="left"/>
        <w:outlineLvl w:val="1"/>
        <w:rPr>
          <w:rFonts w:hint="eastAsia" w:ascii="仿宋_GB2312" w:hAnsi="仿宋_GB2312" w:eastAsia="仿宋_GB2312" w:cs="仿宋_GB2312"/>
          <w:b/>
          <w:bCs/>
          <w:sz w:val="32"/>
          <w:szCs w:val="32"/>
          <w:shd w:val="clear" w:color="auto" w:fill="FFFFFF"/>
        </w:rPr>
      </w:pPr>
      <w:bookmarkStart w:id="15" w:name="_Toc31416"/>
      <w:r>
        <w:rPr>
          <w:rFonts w:hint="eastAsia" w:ascii="仿宋_GB2312" w:hAnsi="仿宋_GB2312" w:eastAsia="仿宋_GB2312" w:cs="仿宋_GB2312"/>
          <w:b/>
          <w:bCs/>
          <w:sz w:val="32"/>
          <w:szCs w:val="32"/>
          <w:shd w:val="clear" w:color="auto" w:fill="FFFFFF"/>
        </w:rPr>
        <w:t>国有资本经营预算支出决算情况说明</w:t>
      </w:r>
      <w:bookmarkEnd w:id="15"/>
    </w:p>
    <w:p>
      <w:pPr>
        <w:spacing w:line="600" w:lineRule="exact"/>
        <w:ind w:firstLine="64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年国有资本经营预算拨款支出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pStyle w:val="12"/>
        <w:keepNext w:val="0"/>
        <w:keepLines w:val="0"/>
        <w:widowControl/>
        <w:suppressLineNumbers w:val="0"/>
        <w:shd w:val="clear" w:color="auto" w:fill="auto"/>
        <w:ind w:left="0" w:right="75"/>
        <w:jc w:val="left"/>
        <w:outlineLvl w:val="1"/>
        <w:rPr>
          <w:rFonts w:hint="eastAsia" w:ascii="仿宋_GB2312" w:hAnsi="仿宋_GB2312" w:eastAsia="仿宋_GB2312" w:cs="仿宋_GB2312"/>
          <w:b/>
          <w:bCs/>
          <w:sz w:val="32"/>
          <w:szCs w:val="32"/>
          <w:shd w:val="clear" w:color="auto" w:fill="FFFFFF"/>
        </w:rPr>
      </w:pPr>
      <w:bookmarkStart w:id="16" w:name="_Toc11587"/>
      <w:r>
        <w:rPr>
          <w:rFonts w:hint="eastAsia" w:ascii="仿宋_GB2312" w:hAnsi="仿宋_GB2312" w:eastAsia="仿宋_GB2312" w:cs="仿宋_GB2312"/>
          <w:b/>
          <w:bCs/>
          <w:sz w:val="32"/>
          <w:szCs w:val="32"/>
          <w:shd w:val="clear" w:color="auto" w:fill="FFFFFF"/>
        </w:rPr>
        <w:t>十、其他重要事项的情况说明</w:t>
      </w:r>
      <w:bookmarkEnd w:id="16"/>
    </w:p>
    <w:p>
      <w:pPr>
        <w:pStyle w:val="12"/>
        <w:keepNext w:val="0"/>
        <w:keepLines w:val="0"/>
        <w:widowControl/>
        <w:suppressLineNumbers w:val="0"/>
        <w:ind w:left="0" w:right="75"/>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（一）机关运行经费支出情况</w:t>
      </w:r>
    </w:p>
    <w:p>
      <w:pPr>
        <w:pStyle w:val="12"/>
        <w:keepNext w:val="0"/>
        <w:keepLines w:val="0"/>
        <w:widowControl/>
        <w:suppressLineNumbers w:val="0"/>
        <w:ind w:left="0" w:right="75" w:firstLine="640" w:firstLineChars="200"/>
        <w:rPr>
          <w:rStyle w:val="15"/>
          <w:rFonts w:hint="eastAsia" w:ascii="仿宋_GB2312" w:hAnsi="仿宋_GB2312" w:eastAsia="仿宋_GB2312" w:cs="仿宋_GB2312"/>
          <w:sz w:val="32"/>
          <w:szCs w:val="32"/>
          <w:shd w:val="clear" w:color="auto" w:fill="FFFFFF"/>
          <w:lang w:val="en-US"/>
        </w:rPr>
      </w:pP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统战部</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szCs w:val="32"/>
          <w:lang w:val="en-US" w:eastAsia="zh-CN"/>
        </w:rPr>
        <w:t>34.75万元，</w:t>
      </w:r>
      <w:r>
        <w:rPr>
          <w:rFonts w:hint="eastAsia" w:ascii="仿宋_GB2312" w:hAnsi="仿宋_GB2312" w:eastAsia="仿宋_GB2312" w:cs="仿宋_GB2312"/>
          <w:color w:val="000000"/>
          <w:sz w:val="32"/>
          <w:szCs w:val="32"/>
        </w:rPr>
        <w:t>比</w:t>
      </w:r>
      <w:r>
        <w:rPr>
          <w:rFonts w:hint="eastAsia" w:ascii="仿宋_GB2312" w:hAnsi="仿宋_GB2312" w:eastAsia="仿宋_GB2312" w:cs="仿宋_GB2312"/>
          <w:color w:val="000000"/>
          <w:sz w:val="32"/>
          <w:szCs w:val="32"/>
          <w:lang w:val="en-US" w:eastAsia="zh-CN"/>
        </w:rPr>
        <w:t>2022</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增加2.98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增长8.75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val="0"/>
          <w:bCs w:val="0"/>
          <w:color w:val="000000"/>
          <w:sz w:val="32"/>
          <w:szCs w:val="32"/>
          <w:lang w:val="en-US" w:eastAsia="zh-CN"/>
        </w:rPr>
        <w:t>。</w:t>
      </w:r>
    </w:p>
    <w:p>
      <w:pPr>
        <w:pStyle w:val="12"/>
        <w:keepNext w:val="0"/>
        <w:keepLines w:val="0"/>
        <w:widowControl/>
        <w:numPr>
          <w:ilvl w:val="0"/>
          <w:numId w:val="0"/>
        </w:numPr>
        <w:suppressLineNumbers w:val="0"/>
        <w:ind w:leftChars="0" w:right="75" w:rightChars="0"/>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lang w:eastAsia="zh-CN"/>
        </w:rPr>
        <w:t>（二）</w:t>
      </w:r>
      <w:r>
        <w:rPr>
          <w:rStyle w:val="15"/>
          <w:rFonts w:hint="eastAsia" w:ascii="仿宋_GB2312" w:hAnsi="仿宋_GB2312" w:eastAsia="仿宋_GB2312" w:cs="仿宋_GB2312"/>
          <w:sz w:val="32"/>
          <w:szCs w:val="32"/>
          <w:shd w:val="clear" w:color="auto" w:fill="FFFFFF"/>
        </w:rPr>
        <w:t>政府采购支出情况</w:t>
      </w:r>
    </w:p>
    <w:p>
      <w:pPr>
        <w:numPr>
          <w:ilvl w:val="0"/>
          <w:numId w:val="0"/>
        </w:numPr>
        <w:spacing w:line="600" w:lineRule="exact"/>
        <w:ind w:firstLine="640" w:firstLineChars="200"/>
        <w:rPr>
          <w:rFonts w:hint="eastAsia" w:ascii="仿宋_GB2312" w:hAnsi="仿宋_GB2312" w:eastAsia="仿宋_GB2312" w:cs="仿宋_GB2312"/>
          <w:b/>
          <w:color w:val="000000"/>
          <w:sz w:val="32"/>
          <w:szCs w:val="32"/>
          <w:lang w:val="en-US"/>
        </w:rPr>
      </w:pP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统战部</w:t>
      </w:r>
      <w:r>
        <w:rPr>
          <w:rFonts w:hint="eastAsia" w:ascii="仿宋_GB2312" w:hAnsi="仿宋_GB2312" w:eastAsia="仿宋_GB2312" w:cs="仿宋_GB2312"/>
          <w:color w:val="000000"/>
          <w:sz w:val="32"/>
          <w:szCs w:val="32"/>
        </w:rPr>
        <w:t>政府采购支出总额</w:t>
      </w:r>
      <w:r>
        <w:rPr>
          <w:rFonts w:hint="eastAsia" w:ascii="仿宋_GB2312" w:hAnsi="仿宋_GB2312" w:eastAsia="仿宋_GB2312" w:cs="仿宋_GB2312"/>
          <w:color w:val="000000"/>
          <w:sz w:val="32"/>
          <w:szCs w:val="32"/>
          <w:lang w:val="en-US" w:eastAsia="zh-CN"/>
        </w:rPr>
        <w:t>59.9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主要购买</w:t>
      </w:r>
      <w:r>
        <w:rPr>
          <w:rFonts w:hint="eastAsia" w:ascii="仿宋_GB2312" w:hAnsi="仿宋_GB2312" w:eastAsia="仿宋_GB2312" w:cs="仿宋_GB2312"/>
          <w:color w:val="000000"/>
          <w:sz w:val="32"/>
          <w:szCs w:val="32"/>
          <w:lang w:val="en-US" w:eastAsia="zh-CN"/>
        </w:rPr>
        <w:t>统战部新购规格型号为丰田牌SCT6506GR的一台越野车。</w:t>
      </w:r>
    </w:p>
    <w:p>
      <w:pPr>
        <w:pStyle w:val="12"/>
        <w:keepNext w:val="0"/>
        <w:keepLines w:val="0"/>
        <w:widowControl/>
        <w:numPr>
          <w:ilvl w:val="0"/>
          <w:numId w:val="0"/>
        </w:numPr>
        <w:suppressLineNumbers w:val="0"/>
        <w:ind w:leftChars="0" w:right="75" w:rightChars="0"/>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lang w:eastAsia="zh-CN"/>
        </w:rPr>
        <w:t>（三）</w:t>
      </w:r>
      <w:r>
        <w:rPr>
          <w:rStyle w:val="15"/>
          <w:rFonts w:hint="eastAsia" w:ascii="仿宋_GB2312" w:hAnsi="仿宋_GB2312" w:eastAsia="仿宋_GB2312" w:cs="仿宋_GB2312"/>
          <w:sz w:val="32"/>
          <w:szCs w:val="32"/>
          <w:shd w:val="clear" w:color="auto" w:fill="FFFFFF"/>
        </w:rPr>
        <w:t>国有资产占有使用情况</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w:t>
      </w: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年12月31日，</w:t>
      </w:r>
      <w:r>
        <w:rPr>
          <w:rFonts w:hint="eastAsia" w:ascii="仿宋_GB2312" w:hAnsi="仿宋_GB2312" w:eastAsia="仿宋_GB2312" w:cs="仿宋_GB2312"/>
          <w:color w:val="000000"/>
          <w:sz w:val="32"/>
          <w:szCs w:val="32"/>
          <w:lang w:val="en-US" w:eastAsia="zh-CN"/>
        </w:rPr>
        <w:t>红原县统战部</w:t>
      </w:r>
      <w:r>
        <w:rPr>
          <w:rFonts w:hint="eastAsia" w:ascii="仿宋_GB2312" w:hAnsi="仿宋_GB2312" w:eastAsia="仿宋_GB2312" w:cs="仿宋_GB2312"/>
          <w:color w:val="000000"/>
          <w:sz w:val="32"/>
          <w:szCs w:val="32"/>
        </w:rPr>
        <w:t>共有车辆</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辆，其中：主要领导干部用车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辆、机要通信用车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辆、应急保障用车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辆、其他用车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单价50万元以上通用设备</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台（套），单价100万元以上专用设备</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台（套）。</w:t>
      </w: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年度，我单位配置固定资产</w:t>
      </w:r>
      <w:r>
        <w:rPr>
          <w:rFonts w:hint="eastAsia" w:ascii="仿宋_GB2312" w:hAnsi="仿宋_GB2312" w:eastAsia="仿宋_GB2312" w:cs="仿宋_GB2312"/>
          <w:color w:val="000000"/>
          <w:sz w:val="32"/>
          <w:szCs w:val="32"/>
          <w:lang w:val="en-US" w:eastAsia="zh-CN"/>
        </w:rPr>
        <w:t>76.55</w:t>
      </w:r>
      <w:r>
        <w:rPr>
          <w:rFonts w:hint="eastAsia" w:ascii="仿宋_GB2312" w:hAnsi="仿宋_GB2312" w:eastAsia="仿宋_GB2312" w:cs="仿宋_GB2312"/>
          <w:color w:val="000000"/>
          <w:sz w:val="32"/>
          <w:szCs w:val="32"/>
        </w:rPr>
        <w:t>万元（账面原值，下同）。从资产类别分析，配置土地、房屋及构筑物</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 配置通用设备</w:t>
      </w:r>
      <w:r>
        <w:rPr>
          <w:rFonts w:hint="eastAsia" w:ascii="仿宋_GB2312" w:hAnsi="仿宋_GB2312" w:eastAsia="仿宋_GB2312" w:cs="仿宋_GB2312"/>
          <w:color w:val="000000"/>
          <w:sz w:val="32"/>
          <w:szCs w:val="32"/>
          <w:lang w:val="en-US" w:eastAsia="zh-CN"/>
        </w:rPr>
        <w:t>73.06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93.84</w:t>
      </w:r>
      <w:r>
        <w:rPr>
          <w:rFonts w:hint="eastAsia" w:ascii="仿宋_GB2312" w:hAnsi="仿宋_GB2312" w:eastAsia="仿宋_GB2312" w:cs="仿宋_GB2312"/>
          <w:color w:val="000000"/>
          <w:sz w:val="32"/>
          <w:szCs w:val="32"/>
        </w:rPr>
        <w:t>% ； 配置家具、用具、装具及动植物</w:t>
      </w:r>
      <w:r>
        <w:rPr>
          <w:rFonts w:hint="eastAsia" w:ascii="仿宋_GB2312" w:hAnsi="仿宋_GB2312" w:eastAsia="仿宋_GB2312" w:cs="仿宋_GB2312"/>
          <w:color w:val="000000"/>
          <w:sz w:val="32"/>
          <w:szCs w:val="32"/>
          <w:lang w:val="en-US" w:eastAsia="zh-CN"/>
        </w:rPr>
        <w:t>3.49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6.15</w:t>
      </w:r>
      <w:r>
        <w:rPr>
          <w:rFonts w:hint="eastAsia" w:ascii="仿宋_GB2312" w:hAnsi="仿宋_GB2312" w:eastAsia="仿宋_GB2312" w:cs="仿宋_GB2312"/>
          <w:color w:val="000000"/>
          <w:sz w:val="32"/>
          <w:szCs w:val="32"/>
        </w:rPr>
        <w:t>% 。</w:t>
      </w:r>
    </w:p>
    <w:p>
      <w:pPr>
        <w:pStyle w:val="12"/>
        <w:keepNext w:val="0"/>
        <w:keepLines w:val="0"/>
        <w:widowControl/>
        <w:numPr>
          <w:ilvl w:val="0"/>
          <w:numId w:val="5"/>
        </w:numPr>
        <w:suppressLineNumbers w:val="0"/>
        <w:shd w:val="clear" w:color="auto" w:fill="auto"/>
        <w:ind w:left="0" w:leftChars="0" w:right="75" w:firstLine="0" w:firstLineChars="0"/>
        <w:rPr>
          <w:rStyle w:val="15"/>
          <w:rFonts w:hint="eastAsia" w:ascii="仿宋_GB2312" w:hAnsi="仿宋_GB2312" w:eastAsia="仿宋_GB2312" w:cs="仿宋_GB2312"/>
          <w:sz w:val="32"/>
          <w:szCs w:val="32"/>
          <w:shd w:val="clear" w:color="auto" w:fill="FFFFFF"/>
          <w:lang w:val="en-US" w:eastAsia="zh-CN"/>
        </w:rPr>
      </w:pPr>
      <w:r>
        <w:rPr>
          <w:rStyle w:val="15"/>
          <w:rFonts w:hint="eastAsia" w:ascii="仿宋_GB2312" w:hAnsi="仿宋_GB2312" w:eastAsia="仿宋_GB2312" w:cs="仿宋_GB2312"/>
          <w:sz w:val="32"/>
          <w:szCs w:val="32"/>
          <w:shd w:val="clear" w:color="auto" w:fill="FFFFFF"/>
          <w:lang w:val="en-US" w:eastAsia="zh-CN"/>
        </w:rPr>
        <w:t>由养老保险机构发放养老金的退休人员</w:t>
      </w:r>
    </w:p>
    <w:p>
      <w:pPr>
        <w:pStyle w:val="7"/>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截至</w:t>
      </w: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年12月31日</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本单位由养老保险机构发放养老金的退休人员11人。</w:t>
      </w:r>
    </w:p>
    <w:p>
      <w:pPr>
        <w:pStyle w:val="12"/>
        <w:keepNext w:val="0"/>
        <w:keepLines w:val="0"/>
        <w:widowControl/>
        <w:numPr>
          <w:ilvl w:val="0"/>
          <w:numId w:val="5"/>
        </w:numPr>
        <w:suppressLineNumbers w:val="0"/>
        <w:ind w:left="0" w:leftChars="0" w:right="75" w:firstLine="0" w:firstLineChars="0"/>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预算绩效管理情况。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w:t>
      </w:r>
      <w:r>
        <w:rPr>
          <w:rFonts w:hint="eastAsia" w:ascii="仿宋_GB2312" w:hAnsi="仿宋_GB2312" w:eastAsia="仿宋_GB2312" w:cs="仿宋_GB2312"/>
          <w:sz w:val="32"/>
          <w:szCs w:val="32"/>
          <w:lang w:val="en-US" w:eastAsia="zh-CN"/>
        </w:rPr>
        <w:t>对宗教界代表认识培训费、佛协会长副会长补助2个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2个项目完成情况良好，严格按照本单位制定的目标绩效管理制度来开展绩效管理工作，项目资金为专项经费的，全部用于专项工作。整体工作开展良好经费全部按照相关管理办法使用。2023年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numPr>
          <w:ilvl w:val="0"/>
          <w:numId w:val="6"/>
        </w:numPr>
        <w:spacing w:line="58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项目绩效目标完成情况。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统战部</w:t>
      </w:r>
      <w:r>
        <w:rPr>
          <w:rFonts w:hint="eastAsia" w:ascii="仿宋_GB2312" w:hAnsi="仿宋_GB2312" w:eastAsia="仿宋_GB2312" w:cs="仿宋_GB2312"/>
          <w:sz w:val="32"/>
          <w:szCs w:val="32"/>
        </w:rPr>
        <w:t>项目绩效目标完成情况综述。项目全年执行数为</w:t>
      </w:r>
      <w:r>
        <w:rPr>
          <w:rFonts w:hint="eastAsia" w:ascii="仿宋_GB2312" w:hAnsi="仿宋_GB2312" w:eastAsia="仿宋_GB2312" w:cs="仿宋_GB2312"/>
          <w:sz w:val="32"/>
          <w:szCs w:val="32"/>
          <w:lang w:val="en-US" w:eastAsia="zh-CN"/>
        </w:rPr>
        <w:t>15.75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2023年</w:t>
      </w:r>
      <w:r>
        <w:rPr>
          <w:rFonts w:hint="eastAsia" w:ascii="仿宋_GB2312" w:hAnsi="仿宋_GB2312" w:eastAsia="仿宋_GB2312" w:cs="仿宋_GB2312"/>
          <w:sz w:val="30"/>
          <w:szCs w:val="30"/>
        </w:rPr>
        <w:t>宗教界代表人士爱国主义教育北京考察团</w:t>
      </w:r>
      <w:r>
        <w:rPr>
          <w:rFonts w:hint="eastAsia" w:ascii="仿宋_GB2312" w:hAnsi="仿宋_GB2312" w:eastAsia="仿宋_GB2312" w:cs="仿宋_GB2312"/>
          <w:sz w:val="30"/>
          <w:szCs w:val="30"/>
          <w:lang w:val="en-US" w:eastAsia="zh-CN"/>
        </w:rPr>
        <w:t>和</w:t>
      </w:r>
      <w:r>
        <w:rPr>
          <w:rFonts w:hint="eastAsia" w:ascii="仿宋_GB2312" w:hAnsi="仿宋_GB2312" w:eastAsia="仿宋_GB2312" w:cs="仿宋_GB2312"/>
          <w:sz w:val="32"/>
          <w:szCs w:val="32"/>
          <w:lang w:val="en-US" w:eastAsia="zh-CN"/>
        </w:rPr>
        <w:t>佛协会长副会长补助发放的有相关工作的经费保障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绩效指标编制还不太精准</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：提高绩效指标编制的精准度。</w:t>
      </w:r>
    </w:p>
    <w:tbl>
      <w:tblPr>
        <w:tblStyle w:val="13"/>
        <w:tblpPr w:leftFromText="180" w:rightFromText="180" w:vertAnchor="text" w:horzAnchor="page" w:tblpX="1492" w:tblpY="601"/>
        <w:tblOverlap w:val="never"/>
        <w:tblW w:w="9525" w:type="dxa"/>
        <w:tblInd w:w="0" w:type="dxa"/>
        <w:shd w:val="clear" w:color="auto" w:fill="auto"/>
        <w:tblLayout w:type="autofit"/>
        <w:tblCellMar>
          <w:top w:w="0" w:type="dxa"/>
          <w:left w:w="0" w:type="dxa"/>
          <w:bottom w:w="0" w:type="dxa"/>
          <w:right w:w="0" w:type="dxa"/>
        </w:tblCellMar>
      </w:tblPr>
      <w:tblGrid>
        <w:gridCol w:w="456"/>
        <w:gridCol w:w="1416"/>
        <w:gridCol w:w="1042"/>
        <w:gridCol w:w="1304"/>
        <w:gridCol w:w="1676"/>
        <w:gridCol w:w="977"/>
        <w:gridCol w:w="405"/>
        <w:gridCol w:w="1199"/>
        <w:gridCol w:w="1050"/>
      </w:tblGrid>
      <w:tr>
        <w:tblPrEx>
          <w:shd w:val="clear" w:color="auto" w:fill="auto"/>
          <w:tblCellMar>
            <w:top w:w="0" w:type="dxa"/>
            <w:left w:w="0" w:type="dxa"/>
            <w:bottom w:w="0" w:type="dxa"/>
            <w:right w:w="0" w:type="dxa"/>
          </w:tblCellMar>
        </w:tblPrEx>
        <w:trPr>
          <w:trHeight w:val="904" w:hRule="atLeast"/>
        </w:trPr>
        <w:tc>
          <w:tcPr>
            <w:tcW w:w="9529" w:type="dxa"/>
            <w:gridSpan w:val="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30"/>
                <w:szCs w:val="30"/>
                <w:u w:val="none"/>
              </w:rPr>
            </w:pPr>
            <w:r>
              <w:rPr>
                <w:rFonts w:hint="eastAsia" w:ascii="黑体" w:hAnsi="宋体" w:eastAsia="黑体" w:cs="黑体"/>
                <w:i w:val="0"/>
                <w:color w:val="000000"/>
                <w:kern w:val="0"/>
                <w:sz w:val="30"/>
                <w:szCs w:val="30"/>
                <w:u w:val="none"/>
                <w:lang w:val="en-US" w:eastAsia="zh-CN" w:bidi="ar"/>
              </w:rPr>
              <w:t>专项预算项目绩效目标申报表 (2023年度)</w:t>
            </w:r>
          </w:p>
        </w:tc>
      </w:tr>
      <w:tr>
        <w:tblPrEx>
          <w:tblCellMar>
            <w:top w:w="0" w:type="dxa"/>
            <w:left w:w="0" w:type="dxa"/>
            <w:bottom w:w="0" w:type="dxa"/>
            <w:right w:w="0" w:type="dxa"/>
          </w:tblCellMar>
        </w:tblPrEx>
        <w:trPr>
          <w:trHeight w:val="569" w:hRule="atLeast"/>
        </w:trPr>
        <w:tc>
          <w:tcPr>
            <w:tcW w:w="42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“百千万工程”和“千人计划”宗教界代表人士培训费</w:t>
            </w:r>
          </w:p>
        </w:tc>
      </w:tr>
      <w:tr>
        <w:tblPrEx>
          <w:tblCellMar>
            <w:top w:w="0" w:type="dxa"/>
            <w:left w:w="0" w:type="dxa"/>
            <w:bottom w:w="0" w:type="dxa"/>
            <w:right w:w="0" w:type="dxa"/>
          </w:tblCellMar>
        </w:tblPrEx>
        <w:trPr>
          <w:trHeight w:val="569" w:hRule="atLeast"/>
        </w:trPr>
        <w:tc>
          <w:tcPr>
            <w:tcW w:w="42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预算单位</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中共红原县委员会统战部机关</w:t>
            </w:r>
          </w:p>
        </w:tc>
      </w:tr>
      <w:tr>
        <w:tblPrEx>
          <w:tblCellMar>
            <w:top w:w="0" w:type="dxa"/>
            <w:left w:w="0" w:type="dxa"/>
            <w:bottom w:w="0" w:type="dxa"/>
            <w:right w:w="0" w:type="dxa"/>
          </w:tblCellMar>
        </w:tblPrEx>
        <w:trPr>
          <w:trHeight w:val="569" w:hRule="atLeast"/>
        </w:trPr>
        <w:tc>
          <w:tcPr>
            <w:tcW w:w="42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项目类型</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保运转</w:t>
            </w:r>
          </w:p>
        </w:tc>
      </w:tr>
      <w:tr>
        <w:tblPrEx>
          <w:tblCellMar>
            <w:top w:w="0" w:type="dxa"/>
            <w:left w:w="0" w:type="dxa"/>
            <w:bottom w:w="0" w:type="dxa"/>
            <w:right w:w="0" w:type="dxa"/>
          </w:tblCellMar>
        </w:tblPrEx>
        <w:trPr>
          <w:trHeight w:val="569"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 目 概 况</w:t>
            </w: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中长期规划（名称、文号，仅指常年项目）</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8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资金管理办法（名称、文号）</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84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绩效分配方式</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因素法</w:t>
            </w: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项目法</w:t>
            </w:r>
          </w:p>
        </w:tc>
        <w:tc>
          <w:tcPr>
            <w:tcW w:w="1200"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据实据效</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因素法与项目法相结合</w:t>
            </w:r>
          </w:p>
        </w:tc>
      </w:tr>
      <w:tr>
        <w:tblPrEx>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立项依据</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使用范围</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申报（补助）条件</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项目起止年限</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2022-9999</w:t>
            </w:r>
          </w:p>
        </w:tc>
      </w:tr>
      <w:tr>
        <w:tblPrEx>
          <w:tblCellMar>
            <w:top w:w="0" w:type="dxa"/>
            <w:left w:w="0" w:type="dxa"/>
            <w:bottom w:w="0" w:type="dxa"/>
            <w:right w:w="0" w:type="dxa"/>
          </w:tblCellMar>
        </w:tblPrEx>
        <w:trPr>
          <w:trHeight w:val="569" w:hRule="atLeast"/>
        </w:trPr>
        <w:tc>
          <w:tcPr>
            <w:tcW w:w="18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项目资金（万元）</w:t>
            </w:r>
          </w:p>
        </w:tc>
        <w:tc>
          <w:tcPr>
            <w:tcW w:w="2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xml:space="preserve">  年度资金总额：</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w:t>
            </w:r>
          </w:p>
        </w:tc>
      </w:tr>
      <w:tr>
        <w:tblPrEx>
          <w:tblCellMar>
            <w:top w:w="0" w:type="dxa"/>
            <w:left w:w="0" w:type="dxa"/>
            <w:bottom w:w="0" w:type="dxa"/>
            <w:right w:w="0" w:type="dxa"/>
          </w:tblCellMar>
        </w:tblPrEx>
        <w:trPr>
          <w:trHeight w:val="569" w:hRule="atLeast"/>
        </w:trPr>
        <w:tc>
          <w:tcPr>
            <w:tcW w:w="18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xml:space="preserve">       其中：财政拨款</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w:t>
            </w:r>
          </w:p>
        </w:tc>
      </w:tr>
      <w:tr>
        <w:tblPrEx>
          <w:tblCellMar>
            <w:top w:w="0" w:type="dxa"/>
            <w:left w:w="0" w:type="dxa"/>
            <w:bottom w:w="0" w:type="dxa"/>
            <w:right w:w="0" w:type="dxa"/>
          </w:tblCellMar>
        </w:tblPrEx>
        <w:trPr>
          <w:trHeight w:val="569" w:hRule="atLeast"/>
        </w:trPr>
        <w:tc>
          <w:tcPr>
            <w:tcW w:w="18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xml:space="preserve">             其他资金</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r>
      <w:tr>
        <w:tblPrEx>
          <w:tblCellMar>
            <w:top w:w="0" w:type="dxa"/>
            <w:left w:w="0" w:type="dxa"/>
            <w:bottom w:w="0" w:type="dxa"/>
            <w:right w:w="0" w:type="dxa"/>
          </w:tblCellMar>
        </w:tblPrEx>
        <w:trPr>
          <w:trHeight w:val="569"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 体 目 标</w:t>
            </w:r>
          </w:p>
        </w:tc>
        <w:tc>
          <w:tcPr>
            <w:tcW w:w="907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年度目标</w:t>
            </w:r>
          </w:p>
        </w:tc>
      </w:tr>
      <w:tr>
        <w:tblPrEx>
          <w:tblCellMar>
            <w:top w:w="0" w:type="dxa"/>
            <w:left w:w="0" w:type="dxa"/>
            <w:bottom w:w="0" w:type="dxa"/>
            <w:right w:w="0" w:type="dxa"/>
          </w:tblCellMar>
        </w:tblPrEx>
        <w:trPr>
          <w:trHeight w:val="94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7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“百千万工程”和“千人计划”宗教界代表人士培训费</w:t>
            </w:r>
          </w:p>
        </w:tc>
      </w:tr>
      <w:tr>
        <w:tblPrEx>
          <w:tblCellMar>
            <w:top w:w="0" w:type="dxa"/>
            <w:left w:w="0" w:type="dxa"/>
            <w:bottom w:w="0" w:type="dxa"/>
            <w:right w:w="0" w:type="dxa"/>
          </w:tblCellMar>
        </w:tblPrEx>
        <w:trPr>
          <w:trHeight w:val="1010"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 效 指 标</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指标方向性</w:t>
            </w:r>
          </w:p>
        </w:tc>
      </w:tr>
      <w:tr>
        <w:tblPrEx>
          <w:tblCellMar>
            <w:top w:w="0" w:type="dxa"/>
            <w:left w:w="0" w:type="dxa"/>
            <w:bottom w:w="0" w:type="dxa"/>
            <w:right w:w="0" w:type="dxa"/>
          </w:tblCellMar>
        </w:tblPrEx>
        <w:trPr>
          <w:trHeight w:val="618"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培训次数</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CellMar>
            <w:top w:w="0" w:type="dxa"/>
            <w:left w:w="0" w:type="dxa"/>
            <w:bottom w:w="0" w:type="dxa"/>
            <w:right w:w="0" w:type="dxa"/>
          </w:tblCellMar>
        </w:tblPrEx>
        <w:trPr>
          <w:trHeight w:val="618"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服务效益</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CellMar>
            <w:top w:w="0" w:type="dxa"/>
            <w:left w:w="0" w:type="dxa"/>
            <w:bottom w:w="0" w:type="dxa"/>
            <w:right w:w="0" w:type="dxa"/>
          </w:tblCellMar>
        </w:tblPrEx>
        <w:trPr>
          <w:trHeight w:val="618"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CellMar>
            <w:top w:w="0" w:type="dxa"/>
            <w:left w:w="0" w:type="dxa"/>
            <w:bottom w:w="0" w:type="dxa"/>
            <w:right w:w="0" w:type="dxa"/>
          </w:tblCellMar>
        </w:tblPrEx>
        <w:trPr>
          <w:trHeight w:val="904" w:hRule="atLeast"/>
        </w:trPr>
        <w:tc>
          <w:tcPr>
            <w:tcW w:w="9529" w:type="dxa"/>
            <w:gridSpan w:val="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30"/>
                <w:szCs w:val="30"/>
                <w:u w:val="none"/>
              </w:rPr>
            </w:pPr>
            <w:r>
              <w:rPr>
                <w:rFonts w:hint="eastAsia" w:ascii="黑体" w:hAnsi="宋体" w:eastAsia="黑体" w:cs="黑体"/>
                <w:i w:val="0"/>
                <w:color w:val="000000"/>
                <w:kern w:val="0"/>
                <w:sz w:val="30"/>
                <w:szCs w:val="30"/>
                <w:u w:val="none"/>
                <w:lang w:val="en-US" w:eastAsia="zh-CN" w:bidi="ar"/>
              </w:rPr>
              <w:t>专项预算项目绩效目标申报表 (2023年度)</w:t>
            </w:r>
          </w:p>
        </w:tc>
      </w:tr>
      <w:tr>
        <w:tblPrEx>
          <w:tblCellMar>
            <w:top w:w="0" w:type="dxa"/>
            <w:left w:w="0" w:type="dxa"/>
            <w:bottom w:w="0" w:type="dxa"/>
            <w:right w:w="0" w:type="dxa"/>
          </w:tblCellMar>
        </w:tblPrEx>
        <w:trPr>
          <w:trHeight w:val="569" w:hRule="atLeast"/>
        </w:trPr>
        <w:tc>
          <w:tcPr>
            <w:tcW w:w="42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佛协会长副会长补助</w:t>
            </w:r>
          </w:p>
        </w:tc>
      </w:tr>
      <w:tr>
        <w:tblPrEx>
          <w:tblCellMar>
            <w:top w:w="0" w:type="dxa"/>
            <w:left w:w="0" w:type="dxa"/>
            <w:bottom w:w="0" w:type="dxa"/>
            <w:right w:w="0" w:type="dxa"/>
          </w:tblCellMar>
        </w:tblPrEx>
        <w:trPr>
          <w:trHeight w:val="569" w:hRule="atLeast"/>
        </w:trPr>
        <w:tc>
          <w:tcPr>
            <w:tcW w:w="42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预算单位</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中共红原县委员会统战部机关</w:t>
            </w:r>
          </w:p>
        </w:tc>
      </w:tr>
      <w:tr>
        <w:tblPrEx>
          <w:tblCellMar>
            <w:top w:w="0" w:type="dxa"/>
            <w:left w:w="0" w:type="dxa"/>
            <w:bottom w:w="0" w:type="dxa"/>
            <w:right w:w="0" w:type="dxa"/>
          </w:tblCellMar>
        </w:tblPrEx>
        <w:trPr>
          <w:trHeight w:val="569" w:hRule="atLeast"/>
        </w:trPr>
        <w:tc>
          <w:tcPr>
            <w:tcW w:w="42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项目类型</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保运转</w:t>
            </w:r>
          </w:p>
        </w:tc>
      </w:tr>
      <w:tr>
        <w:tblPrEx>
          <w:tblCellMar>
            <w:top w:w="0" w:type="dxa"/>
            <w:left w:w="0" w:type="dxa"/>
            <w:bottom w:w="0" w:type="dxa"/>
            <w:right w:w="0" w:type="dxa"/>
          </w:tblCellMar>
        </w:tblPrEx>
        <w:trPr>
          <w:trHeight w:val="569"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 目 概 况</w:t>
            </w: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中长期规划（名称、文号，仅指常年项目）</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资金管理办法（名称、文号）</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绩效分配方式</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因素法</w:t>
            </w: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项目法</w:t>
            </w:r>
          </w:p>
        </w:tc>
        <w:tc>
          <w:tcPr>
            <w:tcW w:w="1200"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据实据效</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因素法与项目法相结合</w:t>
            </w:r>
          </w:p>
        </w:tc>
      </w:tr>
      <w:tr>
        <w:tblPrEx>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立项依据</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使用范围</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申报（补助）条件</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项目起止年限</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2022-9999</w:t>
            </w:r>
          </w:p>
        </w:tc>
      </w:tr>
      <w:tr>
        <w:tblPrEx>
          <w:tblCellMar>
            <w:top w:w="0" w:type="dxa"/>
            <w:left w:w="0" w:type="dxa"/>
            <w:bottom w:w="0" w:type="dxa"/>
            <w:right w:w="0" w:type="dxa"/>
          </w:tblCellMar>
        </w:tblPrEx>
        <w:trPr>
          <w:trHeight w:val="569" w:hRule="atLeast"/>
        </w:trPr>
        <w:tc>
          <w:tcPr>
            <w:tcW w:w="18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项目资金（万元）</w:t>
            </w:r>
          </w:p>
        </w:tc>
        <w:tc>
          <w:tcPr>
            <w:tcW w:w="2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xml:space="preserve">  年度资金总额：</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1.37</w:t>
            </w:r>
          </w:p>
        </w:tc>
      </w:tr>
      <w:tr>
        <w:tblPrEx>
          <w:tblCellMar>
            <w:top w:w="0" w:type="dxa"/>
            <w:left w:w="0" w:type="dxa"/>
            <w:bottom w:w="0" w:type="dxa"/>
            <w:right w:w="0" w:type="dxa"/>
          </w:tblCellMar>
        </w:tblPrEx>
        <w:trPr>
          <w:trHeight w:val="569" w:hRule="atLeast"/>
        </w:trPr>
        <w:tc>
          <w:tcPr>
            <w:tcW w:w="18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xml:space="preserve">       其中：财政拨款</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1.37</w:t>
            </w:r>
          </w:p>
        </w:tc>
      </w:tr>
      <w:tr>
        <w:tblPrEx>
          <w:tblCellMar>
            <w:top w:w="0" w:type="dxa"/>
            <w:left w:w="0" w:type="dxa"/>
            <w:bottom w:w="0" w:type="dxa"/>
            <w:right w:w="0" w:type="dxa"/>
          </w:tblCellMar>
        </w:tblPrEx>
        <w:trPr>
          <w:trHeight w:val="569" w:hRule="atLeast"/>
        </w:trPr>
        <w:tc>
          <w:tcPr>
            <w:tcW w:w="18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xml:space="preserve">             其他资金</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r>
      <w:tr>
        <w:tblPrEx>
          <w:tblCellMar>
            <w:top w:w="0" w:type="dxa"/>
            <w:left w:w="0" w:type="dxa"/>
            <w:bottom w:w="0" w:type="dxa"/>
            <w:right w:w="0" w:type="dxa"/>
          </w:tblCellMar>
        </w:tblPrEx>
        <w:trPr>
          <w:trHeight w:val="569"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 体 目 标</w:t>
            </w:r>
          </w:p>
        </w:tc>
        <w:tc>
          <w:tcPr>
            <w:tcW w:w="907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年度目标</w:t>
            </w:r>
          </w:p>
        </w:tc>
      </w:tr>
      <w:tr>
        <w:tblPrEx>
          <w:tblCellMar>
            <w:top w:w="0" w:type="dxa"/>
            <w:left w:w="0" w:type="dxa"/>
            <w:bottom w:w="0" w:type="dxa"/>
            <w:right w:w="0" w:type="dxa"/>
          </w:tblCellMar>
        </w:tblPrEx>
        <w:trPr>
          <w:trHeight w:val="3135"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7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佛协会长副会长补助</w:t>
            </w:r>
          </w:p>
        </w:tc>
      </w:tr>
      <w:tr>
        <w:tblPrEx>
          <w:tblCellMar>
            <w:top w:w="0" w:type="dxa"/>
            <w:left w:w="0" w:type="dxa"/>
            <w:bottom w:w="0" w:type="dxa"/>
            <w:right w:w="0" w:type="dxa"/>
          </w:tblCellMar>
        </w:tblPrEx>
        <w:trPr>
          <w:trHeight w:val="1010"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 效 指 标</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指标方向性</w:t>
            </w:r>
          </w:p>
        </w:tc>
      </w:tr>
      <w:tr>
        <w:tblPrEx>
          <w:tblCellMar>
            <w:top w:w="0" w:type="dxa"/>
            <w:left w:w="0" w:type="dxa"/>
            <w:bottom w:w="0" w:type="dxa"/>
            <w:right w:w="0" w:type="dxa"/>
          </w:tblCellMar>
        </w:tblPrEx>
        <w:trPr>
          <w:trHeight w:val="618"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补助人数</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CellMar>
            <w:top w:w="0" w:type="dxa"/>
            <w:left w:w="0" w:type="dxa"/>
            <w:bottom w:w="0" w:type="dxa"/>
            <w:right w:w="0" w:type="dxa"/>
          </w:tblCellMar>
        </w:tblPrEx>
        <w:trPr>
          <w:trHeight w:val="618"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服务效益</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CellMar>
            <w:top w:w="0" w:type="dxa"/>
            <w:left w:w="0" w:type="dxa"/>
            <w:bottom w:w="0" w:type="dxa"/>
            <w:right w:w="0" w:type="dxa"/>
          </w:tblCellMar>
        </w:tblPrEx>
        <w:trPr>
          <w:trHeight w:val="618"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CellMar>
            <w:top w:w="0" w:type="dxa"/>
            <w:left w:w="0" w:type="dxa"/>
            <w:bottom w:w="0" w:type="dxa"/>
            <w:right w:w="0" w:type="dxa"/>
          </w:tblCellMar>
        </w:tblPrEx>
        <w:trPr>
          <w:trHeight w:val="286" w:hRule="atLeast"/>
        </w:trPr>
        <w:tc>
          <w:tcPr>
            <w:tcW w:w="45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1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4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0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pStyle w:val="12"/>
        <w:keepNext w:val="0"/>
        <w:keepLines w:val="0"/>
        <w:widowControl/>
        <w:numPr>
          <w:ilvl w:val="0"/>
          <w:numId w:val="0"/>
        </w:numPr>
        <w:suppressLineNumbers w:val="0"/>
        <w:ind w:leftChars="0" w:right="75" w:rightChars="0"/>
        <w:rPr>
          <w:rStyle w:val="15"/>
          <w:rFonts w:hint="eastAsia" w:ascii="仿宋_GB2312" w:hAnsi="仿宋_GB2312" w:eastAsia="仿宋_GB2312" w:cs="仿宋_GB2312"/>
          <w:sz w:val="32"/>
          <w:szCs w:val="32"/>
          <w:shd w:val="clear" w:color="auto" w:fill="FFFFFF"/>
        </w:rPr>
      </w:pPr>
    </w:p>
    <w:p>
      <w:pPr>
        <w:pStyle w:val="12"/>
        <w:keepNext w:val="0"/>
        <w:keepLines w:val="0"/>
        <w:widowControl/>
        <w:numPr>
          <w:ilvl w:val="0"/>
          <w:numId w:val="0"/>
        </w:numPr>
        <w:suppressLineNumbers w:val="0"/>
        <w:ind w:right="75" w:rightChars="0"/>
        <w:jc w:val="both"/>
        <w:outlineLvl w:val="0"/>
        <w:rPr>
          <w:rFonts w:hint="eastAsia" w:ascii="方正大标宋_GBK" w:hAnsi="方正大标宋_GBK" w:eastAsia="方正大标宋_GBK" w:cs="方正大标宋_GBK"/>
          <w:sz w:val="44"/>
          <w:szCs w:val="44"/>
          <w:shd w:val="clear" w:color="auto" w:fill="FFFFFF"/>
        </w:rPr>
      </w:pPr>
      <w:bookmarkStart w:id="17" w:name="_Toc26931"/>
    </w:p>
    <w:p>
      <w:pPr>
        <w:pStyle w:val="12"/>
        <w:keepNext w:val="0"/>
        <w:keepLines w:val="0"/>
        <w:widowControl/>
        <w:numPr>
          <w:ilvl w:val="0"/>
          <w:numId w:val="0"/>
        </w:numPr>
        <w:suppressLineNumbers w:val="0"/>
        <w:ind w:right="75" w:rightChars="0"/>
        <w:jc w:val="center"/>
        <w:outlineLvl w:val="0"/>
        <w:rPr>
          <w:rFonts w:hint="eastAsia" w:ascii="方正大标宋_GBK" w:hAnsi="方正大标宋_GBK" w:eastAsia="方正大标宋_GBK" w:cs="方正大标宋_GBK"/>
          <w:sz w:val="44"/>
          <w:szCs w:val="44"/>
          <w:shd w:val="clear" w:color="auto" w:fill="FFFFFF"/>
        </w:rPr>
      </w:pPr>
      <w:r>
        <w:rPr>
          <w:rFonts w:hint="eastAsia" w:ascii="方正大标宋_GBK" w:hAnsi="方正大标宋_GBK" w:eastAsia="方正大标宋_GBK" w:cs="方正大标宋_GBK"/>
          <w:sz w:val="44"/>
          <w:szCs w:val="44"/>
          <w:shd w:val="clear" w:color="auto" w:fill="FFFFFF"/>
          <w:lang w:eastAsia="zh-CN"/>
        </w:rPr>
        <w:t>第四部分</w:t>
      </w:r>
      <w:r>
        <w:rPr>
          <w:rFonts w:hint="eastAsia" w:ascii="方正大标宋_GBK" w:hAnsi="方正大标宋_GBK" w:eastAsia="方正大标宋_GBK" w:cs="方正大标宋_GBK"/>
          <w:sz w:val="44"/>
          <w:szCs w:val="44"/>
          <w:shd w:val="clear" w:color="auto" w:fill="FFFFFF"/>
          <w:lang w:val="en-US" w:eastAsia="zh-CN"/>
        </w:rPr>
        <w:t xml:space="preserve"> </w:t>
      </w:r>
      <w:r>
        <w:rPr>
          <w:rFonts w:hint="eastAsia" w:ascii="方正大标宋_GBK" w:hAnsi="方正大标宋_GBK" w:eastAsia="方正大标宋_GBK" w:cs="方正大标宋_GBK"/>
          <w:sz w:val="44"/>
          <w:szCs w:val="44"/>
          <w:shd w:val="clear" w:color="auto" w:fill="FFFFFF"/>
        </w:rPr>
        <w:t>名词解释</w:t>
      </w:r>
      <w:bookmarkEnd w:id="17"/>
    </w:p>
    <w:p>
      <w:pPr>
        <w:pStyle w:val="18"/>
        <w:spacing w:line="560" w:lineRule="exact"/>
        <w:ind w:firstLine="640" w:firstLineChars="200"/>
        <w:rPr>
          <w:rFonts w:ascii="仿宋_GB2312" w:eastAsia="仿宋_GB2312"/>
          <w:b w:val="0"/>
          <w:bCs w:val="0"/>
          <w:sz w:val="32"/>
          <w:szCs w:val="32"/>
        </w:rPr>
      </w:pPr>
      <w:r>
        <w:rPr>
          <w:rFonts w:ascii="仿宋_GB2312" w:eastAsia="仿宋_GB2312"/>
          <w:b w:val="0"/>
          <w:bCs w:val="0"/>
          <w:sz w:val="32"/>
          <w:szCs w:val="32"/>
        </w:rPr>
        <w:t>1.</w:t>
      </w:r>
      <w:r>
        <w:rPr>
          <w:rFonts w:hint="eastAsia" w:ascii="仿宋_GB2312" w:eastAsia="仿宋_GB2312"/>
          <w:b w:val="0"/>
          <w:bCs w:val="0"/>
          <w:sz w:val="32"/>
          <w:szCs w:val="32"/>
        </w:rPr>
        <w:t>财政拨款收入：指单位从同级财政部门取得的财政预算资金。</w:t>
      </w:r>
    </w:p>
    <w:p>
      <w:pPr>
        <w:pStyle w:val="18"/>
        <w:spacing w:line="560" w:lineRule="exact"/>
        <w:ind w:firstLine="640" w:firstLineChars="200"/>
        <w:rPr>
          <w:rFonts w:ascii="仿宋_GB2312" w:eastAsia="仿宋_GB2312"/>
          <w:b w:val="0"/>
          <w:bCs w:val="0"/>
          <w:sz w:val="32"/>
          <w:szCs w:val="32"/>
        </w:rPr>
      </w:pPr>
      <w:r>
        <w:rPr>
          <w:rFonts w:hint="eastAsia" w:ascii="仿宋_GB2312" w:eastAsia="仿宋_GB2312"/>
          <w:b w:val="0"/>
          <w:bCs w:val="0"/>
          <w:sz w:val="32"/>
          <w:szCs w:val="32"/>
          <w:lang w:val="en-US" w:eastAsia="zh-CN"/>
        </w:rPr>
        <w:t>2</w:t>
      </w:r>
      <w:r>
        <w:rPr>
          <w:rFonts w:ascii="仿宋_GB2312" w:eastAsia="仿宋_GB2312"/>
          <w:b w:val="0"/>
          <w:bCs w:val="0"/>
          <w:sz w:val="32"/>
          <w:szCs w:val="32"/>
        </w:rPr>
        <w:t>.</w:t>
      </w:r>
      <w:r>
        <w:rPr>
          <w:rFonts w:hint="eastAsia" w:ascii="仿宋_GB2312" w:eastAsia="仿宋_GB2312"/>
          <w:b w:val="0"/>
          <w:bCs w:val="0"/>
          <w:sz w:val="32"/>
          <w:szCs w:val="32"/>
        </w:rPr>
        <w:t>其他收入：指单位取得的除上述收入以外的各项收入。</w:t>
      </w:r>
      <w:r>
        <w:rPr>
          <w:rFonts w:ascii="仿宋_GB2312" w:eastAsia="仿宋_GB2312"/>
          <w:b w:val="0"/>
          <w:bCs w:val="0"/>
          <w:sz w:val="32"/>
          <w:szCs w:val="32"/>
        </w:rPr>
        <w:t xml:space="preserve"> </w:t>
      </w:r>
    </w:p>
    <w:p>
      <w:pPr>
        <w:pStyle w:val="18"/>
        <w:spacing w:line="560" w:lineRule="exact"/>
        <w:ind w:firstLine="640" w:firstLineChars="200"/>
        <w:rPr>
          <w:rFonts w:ascii="仿宋_GB2312" w:eastAsia="仿宋_GB2312"/>
          <w:b w:val="0"/>
          <w:bCs w:val="0"/>
          <w:sz w:val="32"/>
          <w:szCs w:val="32"/>
        </w:rPr>
      </w:pPr>
      <w:r>
        <w:rPr>
          <w:rFonts w:hint="eastAsia" w:ascii="仿宋_GB2312" w:eastAsia="仿宋_GB2312"/>
          <w:b w:val="0"/>
          <w:bCs w:val="0"/>
          <w:sz w:val="32"/>
          <w:szCs w:val="32"/>
          <w:lang w:val="en-US" w:eastAsia="zh-CN"/>
        </w:rPr>
        <w:t>3</w:t>
      </w:r>
      <w:r>
        <w:rPr>
          <w:rFonts w:ascii="仿宋_GB2312" w:eastAsia="仿宋_GB2312"/>
          <w:b w:val="0"/>
          <w:bCs w:val="0"/>
          <w:sz w:val="32"/>
          <w:szCs w:val="32"/>
        </w:rPr>
        <w:t>.</w:t>
      </w:r>
      <w:r>
        <w:rPr>
          <w:rFonts w:hint="eastAsia" w:ascii="仿宋_GB2312" w:eastAsia="仿宋_GB2312"/>
          <w:b w:val="0"/>
          <w:bCs w:val="0"/>
          <w:sz w:val="32"/>
          <w:szCs w:val="32"/>
        </w:rPr>
        <w:t>年初结转和结余：指以前年度尚未完成、结转到本年按有关规定继续使用的资金。</w:t>
      </w:r>
      <w:r>
        <w:rPr>
          <w:rFonts w:ascii="仿宋_GB2312" w:eastAsia="仿宋_GB2312"/>
          <w:b w:val="0"/>
          <w:bCs w:val="0"/>
          <w:sz w:val="32"/>
          <w:szCs w:val="32"/>
        </w:rPr>
        <w:t xml:space="preserve"> </w:t>
      </w:r>
    </w:p>
    <w:p>
      <w:pPr>
        <w:pStyle w:val="18"/>
        <w:spacing w:line="560" w:lineRule="exact"/>
        <w:ind w:firstLine="640" w:firstLineChars="200"/>
        <w:rPr>
          <w:rFonts w:ascii="仿宋_GB2312" w:eastAsia="仿宋_GB2312"/>
          <w:sz w:val="32"/>
          <w:szCs w:val="32"/>
        </w:rPr>
      </w:pPr>
      <w:r>
        <w:rPr>
          <w:rFonts w:hint="eastAsia" w:ascii="仿宋_GB2312" w:eastAsia="仿宋_GB2312"/>
          <w:b w:val="0"/>
          <w:bCs w:val="0"/>
          <w:sz w:val="32"/>
          <w:szCs w:val="32"/>
          <w:lang w:val="en-US" w:eastAsia="zh-CN"/>
        </w:rPr>
        <w:t>4</w:t>
      </w:r>
      <w:r>
        <w:rPr>
          <w:rFonts w:hint="eastAsia" w:ascii="仿宋_GB2312" w:eastAsia="仿宋_GB2312"/>
          <w:b w:val="0"/>
          <w:bCs w:val="0"/>
          <w:sz w:val="32"/>
          <w:szCs w:val="32"/>
        </w:rPr>
        <w:t>、年末结转和结余：指单位按有关规定结转到下年或以后年度继续使用的资金</w:t>
      </w:r>
      <w:r>
        <w:rPr>
          <w:rFonts w:hint="eastAsia" w:ascii="仿宋_GB2312" w:eastAsia="仿宋_GB2312"/>
          <w:sz w:val="32"/>
          <w:szCs w:val="32"/>
        </w:rPr>
        <w:t>。</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2013401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统战部行政运行，反映人员经费与日常公用经费的支出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2013402指县级领导联系寺庙和僧尼慰问金的支出。2013404指佛协会长和副会长每个月发放的补助等方面的支出。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2101103指公务员医疗补助。</w:t>
      </w:r>
    </w:p>
    <w:p>
      <w:pPr>
        <w:ind w:firstLine="640" w:firstLineChars="200"/>
        <w:rPr>
          <w:rFonts w:ascii="仿宋" w:hAnsi="仿宋" w:eastAsia="仿宋"/>
          <w:b/>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2"/>
        <w:keepNext w:val="0"/>
        <w:keepLines w:val="0"/>
        <w:widowControl/>
        <w:numPr>
          <w:ilvl w:val="0"/>
          <w:numId w:val="0"/>
        </w:numPr>
        <w:suppressLineNumbers w:val="0"/>
        <w:shd w:val="clear" w:color="auto" w:fill="auto"/>
        <w:spacing w:before="100" w:beforeAutospacing="1" w:after="100" w:afterAutospacing="1"/>
        <w:ind w:right="75" w:rightChars="0"/>
        <w:jc w:val="both"/>
        <w:rPr>
          <w:rFonts w:hint="eastAsia" w:ascii="黑体" w:hAnsi="黑体" w:eastAsia="黑体" w:cs="黑体"/>
          <w:sz w:val="30"/>
          <w:szCs w:val="30"/>
          <w:shd w:val="clear" w:color="auto" w:fill="FFFFFF"/>
        </w:rPr>
      </w:pPr>
      <w:r>
        <w:rPr>
          <w:rFonts w:hint="eastAsia" w:ascii="仿宋_GB2312" w:eastAsia="仿宋_GB2312"/>
          <w:sz w:val="32"/>
          <w:szCs w:val="32"/>
          <w:lang w:val="en-US" w:eastAsia="zh-CN"/>
        </w:rPr>
        <w:t>12.</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b/>
          <w:color w:val="000000"/>
          <w:sz w:val="30"/>
          <w:szCs w:val="30"/>
        </w:rPr>
        <w:br w:type="page"/>
      </w:r>
    </w:p>
    <w:p>
      <w:pPr>
        <w:pStyle w:val="12"/>
        <w:keepNext w:val="0"/>
        <w:keepLines w:val="0"/>
        <w:widowControl/>
        <w:suppressLineNumbers w:val="0"/>
        <w:ind w:right="75"/>
        <w:jc w:val="center"/>
        <w:outlineLvl w:val="0"/>
        <w:rPr>
          <w:rFonts w:hint="eastAsia" w:ascii="黑体" w:hAnsi="黑体" w:eastAsia="黑体" w:cs="黑体"/>
          <w:sz w:val="44"/>
          <w:szCs w:val="44"/>
        </w:rPr>
      </w:pPr>
      <w:bookmarkStart w:id="18" w:name="_Toc29972"/>
      <w:r>
        <w:rPr>
          <w:rFonts w:hint="eastAsia" w:ascii="黑体" w:hAnsi="黑体" w:eastAsia="黑体" w:cs="黑体"/>
          <w:sz w:val="44"/>
          <w:szCs w:val="44"/>
          <w:shd w:val="clear" w:color="auto" w:fill="FFFFFF"/>
        </w:rPr>
        <w:t>第</w:t>
      </w:r>
      <w:r>
        <w:rPr>
          <w:rFonts w:hint="eastAsia" w:ascii="黑体" w:hAnsi="黑体" w:eastAsia="黑体" w:cs="黑体"/>
          <w:sz w:val="44"/>
          <w:szCs w:val="44"/>
          <w:shd w:val="clear" w:color="auto" w:fill="FFFFFF"/>
          <w:lang w:eastAsia="zh-CN"/>
        </w:rPr>
        <w:t>四</w:t>
      </w:r>
      <w:r>
        <w:rPr>
          <w:rFonts w:hint="eastAsia" w:ascii="黑体" w:hAnsi="黑体" w:eastAsia="黑体" w:cs="黑体"/>
          <w:sz w:val="44"/>
          <w:szCs w:val="44"/>
          <w:shd w:val="clear" w:color="auto" w:fill="FFFFFF"/>
        </w:rPr>
        <w:t>部分 附表</w:t>
      </w:r>
      <w:bookmarkEnd w:id="18"/>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一、收入支出决算总表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二、收入决算表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三、支出决算表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四、财政拨款收入支出决算总表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五、财政拨款支出决算明细表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六、一般公共预算财政拨款支出决算表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七、一般公共预算财政拨款支出决算明细表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八、一般公共预算财政拨款基本支出决算表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九、一般公共预算财政拨款项目支出决算表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十、一般公共预算财政拨款“三公”经费支出决算表</w:t>
      </w:r>
    </w:p>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BF496"/>
    <w:multiLevelType w:val="singleLevel"/>
    <w:tmpl w:val="1A9BF496"/>
    <w:lvl w:ilvl="0" w:tentative="0">
      <w:start w:val="2"/>
      <w:numFmt w:val="chineseCounting"/>
      <w:suff w:val="space"/>
      <w:lvlText w:val="%1、"/>
      <w:lvlJc w:val="left"/>
      <w:rPr>
        <w:rFonts w:hint="eastAsia"/>
      </w:rPr>
    </w:lvl>
  </w:abstractNum>
  <w:abstractNum w:abstractNumId="1">
    <w:nsid w:val="3F606127"/>
    <w:multiLevelType w:val="singleLevel"/>
    <w:tmpl w:val="3F606127"/>
    <w:lvl w:ilvl="0" w:tentative="0">
      <w:start w:val="8"/>
      <w:numFmt w:val="chineseCounting"/>
      <w:suff w:val="nothing"/>
      <w:lvlText w:val="%1、"/>
      <w:lvlJc w:val="left"/>
      <w:rPr>
        <w:rFonts w:hint="eastAsia"/>
      </w:rPr>
    </w:lvl>
  </w:abstractNum>
  <w:abstractNum w:abstractNumId="2">
    <w:nsid w:val="5708D7AD"/>
    <w:multiLevelType w:val="singleLevel"/>
    <w:tmpl w:val="5708D7AD"/>
    <w:lvl w:ilvl="0" w:tentative="0">
      <w:start w:val="2"/>
      <w:numFmt w:val="chineseCounting"/>
      <w:suff w:val="nothing"/>
      <w:lvlText w:val="（%1）"/>
      <w:lvlJc w:val="left"/>
      <w:rPr>
        <w:rFonts w:hint="eastAsia"/>
      </w:rPr>
    </w:lvl>
  </w:abstractNum>
  <w:abstractNum w:abstractNumId="3">
    <w:nsid w:val="5F819D8E"/>
    <w:multiLevelType w:val="singleLevel"/>
    <w:tmpl w:val="5F819D8E"/>
    <w:lvl w:ilvl="0" w:tentative="0">
      <w:start w:val="1"/>
      <w:numFmt w:val="decimal"/>
      <w:lvlText w:val="%1."/>
      <w:lvlJc w:val="left"/>
      <w:pPr>
        <w:tabs>
          <w:tab w:val="left" w:pos="312"/>
        </w:tabs>
      </w:pPr>
    </w:lvl>
  </w:abstractNum>
  <w:abstractNum w:abstractNumId="4">
    <w:nsid w:val="5F81B4ED"/>
    <w:multiLevelType w:val="singleLevel"/>
    <w:tmpl w:val="5F81B4ED"/>
    <w:lvl w:ilvl="0" w:tentative="0">
      <w:start w:val="1"/>
      <w:numFmt w:val="decimal"/>
      <w:lvlText w:val="%1."/>
      <w:lvlJc w:val="left"/>
      <w:pPr>
        <w:tabs>
          <w:tab w:val="left" w:pos="312"/>
        </w:tabs>
      </w:pPr>
    </w:lvl>
  </w:abstractNum>
  <w:abstractNum w:abstractNumId="5">
    <w:nsid w:val="7AAC1CBD"/>
    <w:multiLevelType w:val="singleLevel"/>
    <w:tmpl w:val="7AAC1CBD"/>
    <w:lvl w:ilvl="0" w:tentative="0">
      <w:start w:val="2"/>
      <w:numFmt w:val="chineseCounting"/>
      <w:suff w:val="nothing"/>
      <w:lvlText w:val="（%1）"/>
      <w:lvlJc w:val="left"/>
      <w:rPr>
        <w:rFonts w:hint="eastAsia"/>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34707"/>
    <w:rsid w:val="00882313"/>
    <w:rsid w:val="00AE4F7F"/>
    <w:rsid w:val="00BF0852"/>
    <w:rsid w:val="01AB3A4C"/>
    <w:rsid w:val="01D82154"/>
    <w:rsid w:val="01DB0E98"/>
    <w:rsid w:val="020502B8"/>
    <w:rsid w:val="02346274"/>
    <w:rsid w:val="02537415"/>
    <w:rsid w:val="027D28AA"/>
    <w:rsid w:val="028316E6"/>
    <w:rsid w:val="031443F2"/>
    <w:rsid w:val="03B10B2C"/>
    <w:rsid w:val="03E52A27"/>
    <w:rsid w:val="0421370F"/>
    <w:rsid w:val="051E63A0"/>
    <w:rsid w:val="05253159"/>
    <w:rsid w:val="0536478E"/>
    <w:rsid w:val="05C6221A"/>
    <w:rsid w:val="05CA37E6"/>
    <w:rsid w:val="05D7599E"/>
    <w:rsid w:val="05DE2065"/>
    <w:rsid w:val="060415DA"/>
    <w:rsid w:val="061D2498"/>
    <w:rsid w:val="062705AF"/>
    <w:rsid w:val="0648585F"/>
    <w:rsid w:val="067611B1"/>
    <w:rsid w:val="06A51A29"/>
    <w:rsid w:val="06DF2C3C"/>
    <w:rsid w:val="070B26D8"/>
    <w:rsid w:val="073716F3"/>
    <w:rsid w:val="077C0152"/>
    <w:rsid w:val="07A66CD3"/>
    <w:rsid w:val="07AB12F0"/>
    <w:rsid w:val="07B54630"/>
    <w:rsid w:val="07C77358"/>
    <w:rsid w:val="07CC79AF"/>
    <w:rsid w:val="07D3114D"/>
    <w:rsid w:val="07E05898"/>
    <w:rsid w:val="082C4878"/>
    <w:rsid w:val="08B1427D"/>
    <w:rsid w:val="08D266EA"/>
    <w:rsid w:val="08E5531C"/>
    <w:rsid w:val="09201BFE"/>
    <w:rsid w:val="094712F2"/>
    <w:rsid w:val="0958647E"/>
    <w:rsid w:val="0963660A"/>
    <w:rsid w:val="09A4358F"/>
    <w:rsid w:val="09BF4822"/>
    <w:rsid w:val="09DA3F82"/>
    <w:rsid w:val="0A0B0C2D"/>
    <w:rsid w:val="0A1A2BF9"/>
    <w:rsid w:val="0B6775DA"/>
    <w:rsid w:val="0BE72A8C"/>
    <w:rsid w:val="0C1C28F1"/>
    <w:rsid w:val="0C5533EE"/>
    <w:rsid w:val="0C7557E1"/>
    <w:rsid w:val="0CB8599E"/>
    <w:rsid w:val="0CE63DEF"/>
    <w:rsid w:val="0D5709C4"/>
    <w:rsid w:val="0D986AD4"/>
    <w:rsid w:val="0DA32FF9"/>
    <w:rsid w:val="0E016246"/>
    <w:rsid w:val="0EC07938"/>
    <w:rsid w:val="0EEF2024"/>
    <w:rsid w:val="0F396866"/>
    <w:rsid w:val="0F547819"/>
    <w:rsid w:val="0F690061"/>
    <w:rsid w:val="0F763753"/>
    <w:rsid w:val="0FBD1976"/>
    <w:rsid w:val="0FF22613"/>
    <w:rsid w:val="10DF26FC"/>
    <w:rsid w:val="110E5233"/>
    <w:rsid w:val="11142387"/>
    <w:rsid w:val="112A1720"/>
    <w:rsid w:val="118E4E05"/>
    <w:rsid w:val="119A0988"/>
    <w:rsid w:val="12474DC8"/>
    <w:rsid w:val="12A832B2"/>
    <w:rsid w:val="131721D3"/>
    <w:rsid w:val="132E4395"/>
    <w:rsid w:val="134D5D4F"/>
    <w:rsid w:val="137E4D53"/>
    <w:rsid w:val="138B30ED"/>
    <w:rsid w:val="13F47D19"/>
    <w:rsid w:val="14115F03"/>
    <w:rsid w:val="1444516F"/>
    <w:rsid w:val="14886F81"/>
    <w:rsid w:val="14B70C97"/>
    <w:rsid w:val="14B82E87"/>
    <w:rsid w:val="14C217F5"/>
    <w:rsid w:val="14E24DF8"/>
    <w:rsid w:val="15922051"/>
    <w:rsid w:val="16103683"/>
    <w:rsid w:val="16316871"/>
    <w:rsid w:val="168B7E06"/>
    <w:rsid w:val="177E08EB"/>
    <w:rsid w:val="178664AD"/>
    <w:rsid w:val="178819C8"/>
    <w:rsid w:val="179E22FC"/>
    <w:rsid w:val="17A25E76"/>
    <w:rsid w:val="17AE4B25"/>
    <w:rsid w:val="180B7CE7"/>
    <w:rsid w:val="18212609"/>
    <w:rsid w:val="183068D9"/>
    <w:rsid w:val="18D93743"/>
    <w:rsid w:val="18E62C48"/>
    <w:rsid w:val="19E524F1"/>
    <w:rsid w:val="19F3214F"/>
    <w:rsid w:val="19F76004"/>
    <w:rsid w:val="1A1664F5"/>
    <w:rsid w:val="1A4E5F71"/>
    <w:rsid w:val="1AA22996"/>
    <w:rsid w:val="1AAF5697"/>
    <w:rsid w:val="1B3E1A8A"/>
    <w:rsid w:val="1B460B6A"/>
    <w:rsid w:val="1B585811"/>
    <w:rsid w:val="1BAB2C52"/>
    <w:rsid w:val="1BEB2F32"/>
    <w:rsid w:val="1BEF4D2F"/>
    <w:rsid w:val="1C48338F"/>
    <w:rsid w:val="1C5E0F45"/>
    <w:rsid w:val="1D207523"/>
    <w:rsid w:val="1D5303AD"/>
    <w:rsid w:val="1D5D797F"/>
    <w:rsid w:val="1D8F2651"/>
    <w:rsid w:val="1DA21552"/>
    <w:rsid w:val="1E987B24"/>
    <w:rsid w:val="1EE82024"/>
    <w:rsid w:val="1EF276F2"/>
    <w:rsid w:val="1FE7137A"/>
    <w:rsid w:val="1FF54367"/>
    <w:rsid w:val="20212729"/>
    <w:rsid w:val="20301BBB"/>
    <w:rsid w:val="20583D8E"/>
    <w:rsid w:val="20726215"/>
    <w:rsid w:val="20C1152C"/>
    <w:rsid w:val="210A7163"/>
    <w:rsid w:val="211C0ADF"/>
    <w:rsid w:val="21792825"/>
    <w:rsid w:val="222B40B1"/>
    <w:rsid w:val="223F7844"/>
    <w:rsid w:val="224A43EF"/>
    <w:rsid w:val="22731111"/>
    <w:rsid w:val="22AC0362"/>
    <w:rsid w:val="22B77DFC"/>
    <w:rsid w:val="233B7821"/>
    <w:rsid w:val="236F714F"/>
    <w:rsid w:val="23945201"/>
    <w:rsid w:val="23DE3E34"/>
    <w:rsid w:val="24007643"/>
    <w:rsid w:val="24175559"/>
    <w:rsid w:val="241755C0"/>
    <w:rsid w:val="246837AC"/>
    <w:rsid w:val="24C57EDA"/>
    <w:rsid w:val="24DD7B97"/>
    <w:rsid w:val="24EB4C10"/>
    <w:rsid w:val="2519214E"/>
    <w:rsid w:val="258520EB"/>
    <w:rsid w:val="258B34CC"/>
    <w:rsid w:val="25913412"/>
    <w:rsid w:val="25DE3EBC"/>
    <w:rsid w:val="25FA1985"/>
    <w:rsid w:val="262E222F"/>
    <w:rsid w:val="2637183E"/>
    <w:rsid w:val="26451A73"/>
    <w:rsid w:val="26710BB7"/>
    <w:rsid w:val="26BF635F"/>
    <w:rsid w:val="26C575ED"/>
    <w:rsid w:val="26E518CB"/>
    <w:rsid w:val="2790625B"/>
    <w:rsid w:val="282C4404"/>
    <w:rsid w:val="28716A14"/>
    <w:rsid w:val="28933F38"/>
    <w:rsid w:val="289878DC"/>
    <w:rsid w:val="28C55AD9"/>
    <w:rsid w:val="28D241CA"/>
    <w:rsid w:val="296D1C1C"/>
    <w:rsid w:val="297A12B6"/>
    <w:rsid w:val="29DE6E95"/>
    <w:rsid w:val="29E8073E"/>
    <w:rsid w:val="2AD0333C"/>
    <w:rsid w:val="2B0D641D"/>
    <w:rsid w:val="2B4D0B0B"/>
    <w:rsid w:val="2BDD0703"/>
    <w:rsid w:val="2C255858"/>
    <w:rsid w:val="2C3C0AA3"/>
    <w:rsid w:val="2C515C43"/>
    <w:rsid w:val="2C625793"/>
    <w:rsid w:val="2C685E12"/>
    <w:rsid w:val="2C687D7E"/>
    <w:rsid w:val="2C962229"/>
    <w:rsid w:val="2D1202A0"/>
    <w:rsid w:val="2D7660A9"/>
    <w:rsid w:val="2D7B4423"/>
    <w:rsid w:val="2D966C65"/>
    <w:rsid w:val="2DAA33B4"/>
    <w:rsid w:val="2DBB4CD6"/>
    <w:rsid w:val="2DF35DE3"/>
    <w:rsid w:val="2E216696"/>
    <w:rsid w:val="2ED35FEE"/>
    <w:rsid w:val="2F0837E9"/>
    <w:rsid w:val="2F0F38BF"/>
    <w:rsid w:val="300155EC"/>
    <w:rsid w:val="30B32B6A"/>
    <w:rsid w:val="30F53504"/>
    <w:rsid w:val="311C73A5"/>
    <w:rsid w:val="31327FBF"/>
    <w:rsid w:val="31A01291"/>
    <w:rsid w:val="31BF2947"/>
    <w:rsid w:val="32310A70"/>
    <w:rsid w:val="32371862"/>
    <w:rsid w:val="32D95A0C"/>
    <w:rsid w:val="332E4AE7"/>
    <w:rsid w:val="33C806E8"/>
    <w:rsid w:val="33D76F63"/>
    <w:rsid w:val="340D57A7"/>
    <w:rsid w:val="34666631"/>
    <w:rsid w:val="34D825DC"/>
    <w:rsid w:val="35897E51"/>
    <w:rsid w:val="359840AF"/>
    <w:rsid w:val="35B725AC"/>
    <w:rsid w:val="362E2769"/>
    <w:rsid w:val="368D7CB3"/>
    <w:rsid w:val="36974F61"/>
    <w:rsid w:val="36EE35C7"/>
    <w:rsid w:val="370A6D37"/>
    <w:rsid w:val="372A5155"/>
    <w:rsid w:val="37B620D9"/>
    <w:rsid w:val="380B19D2"/>
    <w:rsid w:val="38543E6C"/>
    <w:rsid w:val="38BA0F7B"/>
    <w:rsid w:val="38EF74E5"/>
    <w:rsid w:val="39236D35"/>
    <w:rsid w:val="394E3FF7"/>
    <w:rsid w:val="39BA735C"/>
    <w:rsid w:val="3A2D0421"/>
    <w:rsid w:val="3A6D6A8B"/>
    <w:rsid w:val="3ADB7C96"/>
    <w:rsid w:val="3BB04D60"/>
    <w:rsid w:val="3BED2C50"/>
    <w:rsid w:val="3BFC3FDB"/>
    <w:rsid w:val="3C011FE7"/>
    <w:rsid w:val="3C013AEF"/>
    <w:rsid w:val="3CCA6242"/>
    <w:rsid w:val="3D317CFB"/>
    <w:rsid w:val="3D333223"/>
    <w:rsid w:val="3D552E83"/>
    <w:rsid w:val="3E6C046F"/>
    <w:rsid w:val="3E8B7104"/>
    <w:rsid w:val="3ED0469E"/>
    <w:rsid w:val="3ED567EC"/>
    <w:rsid w:val="3F0D4CDF"/>
    <w:rsid w:val="3F2B07ED"/>
    <w:rsid w:val="3F6B04FB"/>
    <w:rsid w:val="3FF37002"/>
    <w:rsid w:val="3FFC5AEC"/>
    <w:rsid w:val="40207691"/>
    <w:rsid w:val="40670939"/>
    <w:rsid w:val="40B94C7A"/>
    <w:rsid w:val="40C946F8"/>
    <w:rsid w:val="413D21FB"/>
    <w:rsid w:val="41CF3D80"/>
    <w:rsid w:val="41FD7E19"/>
    <w:rsid w:val="420E53DF"/>
    <w:rsid w:val="425759EC"/>
    <w:rsid w:val="426129D8"/>
    <w:rsid w:val="429066C1"/>
    <w:rsid w:val="42FE1BA9"/>
    <w:rsid w:val="432510B5"/>
    <w:rsid w:val="43476B48"/>
    <w:rsid w:val="43573315"/>
    <w:rsid w:val="43907DB5"/>
    <w:rsid w:val="4392081E"/>
    <w:rsid w:val="439D249C"/>
    <w:rsid w:val="43A81AF1"/>
    <w:rsid w:val="43C52E54"/>
    <w:rsid w:val="43E40F93"/>
    <w:rsid w:val="441735B8"/>
    <w:rsid w:val="442268FD"/>
    <w:rsid w:val="445F11C3"/>
    <w:rsid w:val="445F5F22"/>
    <w:rsid w:val="4467423E"/>
    <w:rsid w:val="44D01669"/>
    <w:rsid w:val="44F2368F"/>
    <w:rsid w:val="458601C6"/>
    <w:rsid w:val="45CB0480"/>
    <w:rsid w:val="45CE4A1B"/>
    <w:rsid w:val="45E246F4"/>
    <w:rsid w:val="461B7925"/>
    <w:rsid w:val="461D0212"/>
    <w:rsid w:val="463C07F3"/>
    <w:rsid w:val="464756DB"/>
    <w:rsid w:val="467F754D"/>
    <w:rsid w:val="4692052E"/>
    <w:rsid w:val="46C0506A"/>
    <w:rsid w:val="470B61AF"/>
    <w:rsid w:val="471A7CA7"/>
    <w:rsid w:val="47621D3C"/>
    <w:rsid w:val="476E1465"/>
    <w:rsid w:val="47777BC1"/>
    <w:rsid w:val="479122C3"/>
    <w:rsid w:val="479F37B7"/>
    <w:rsid w:val="481F5071"/>
    <w:rsid w:val="483B44C3"/>
    <w:rsid w:val="48C53338"/>
    <w:rsid w:val="4910453A"/>
    <w:rsid w:val="491D45E4"/>
    <w:rsid w:val="49A55D01"/>
    <w:rsid w:val="49FA5C62"/>
    <w:rsid w:val="4A374A77"/>
    <w:rsid w:val="4B6C28F9"/>
    <w:rsid w:val="4C554CD8"/>
    <w:rsid w:val="4C791821"/>
    <w:rsid w:val="4D901930"/>
    <w:rsid w:val="4D9C1311"/>
    <w:rsid w:val="4DA13EFC"/>
    <w:rsid w:val="4DAA0ACB"/>
    <w:rsid w:val="4DCD369E"/>
    <w:rsid w:val="4E207F77"/>
    <w:rsid w:val="4E405E86"/>
    <w:rsid w:val="4E486F01"/>
    <w:rsid w:val="4F036525"/>
    <w:rsid w:val="4F1C2BA7"/>
    <w:rsid w:val="4F717B9B"/>
    <w:rsid w:val="4F7E44A1"/>
    <w:rsid w:val="4F990DCC"/>
    <w:rsid w:val="4FBD66D2"/>
    <w:rsid w:val="4FDE0035"/>
    <w:rsid w:val="503043E2"/>
    <w:rsid w:val="5050382B"/>
    <w:rsid w:val="506D097D"/>
    <w:rsid w:val="50A00073"/>
    <w:rsid w:val="51641EAD"/>
    <w:rsid w:val="51D24C71"/>
    <w:rsid w:val="51DE596C"/>
    <w:rsid w:val="51EF6C78"/>
    <w:rsid w:val="51F40C70"/>
    <w:rsid w:val="520668F0"/>
    <w:rsid w:val="52AE51FA"/>
    <w:rsid w:val="52BF0260"/>
    <w:rsid w:val="52CC2690"/>
    <w:rsid w:val="530255AD"/>
    <w:rsid w:val="53143CF9"/>
    <w:rsid w:val="531F0D11"/>
    <w:rsid w:val="53322DCA"/>
    <w:rsid w:val="53733B7F"/>
    <w:rsid w:val="542F1EBF"/>
    <w:rsid w:val="545F1FF7"/>
    <w:rsid w:val="54657E0D"/>
    <w:rsid w:val="547E70F1"/>
    <w:rsid w:val="54D10F28"/>
    <w:rsid w:val="550305C3"/>
    <w:rsid w:val="557D6DAD"/>
    <w:rsid w:val="55D83CEB"/>
    <w:rsid w:val="56A37AD8"/>
    <w:rsid w:val="56CC5979"/>
    <w:rsid w:val="57034B85"/>
    <w:rsid w:val="57153C07"/>
    <w:rsid w:val="57472184"/>
    <w:rsid w:val="589E16F5"/>
    <w:rsid w:val="589F63B4"/>
    <w:rsid w:val="58CE3EFA"/>
    <w:rsid w:val="59905774"/>
    <w:rsid w:val="599E59E1"/>
    <w:rsid w:val="59C82306"/>
    <w:rsid w:val="59E1598B"/>
    <w:rsid w:val="5A07397F"/>
    <w:rsid w:val="5A233488"/>
    <w:rsid w:val="5AE561D2"/>
    <w:rsid w:val="5B0315D4"/>
    <w:rsid w:val="5B0E5F58"/>
    <w:rsid w:val="5B180F7F"/>
    <w:rsid w:val="5C2275B7"/>
    <w:rsid w:val="5C510837"/>
    <w:rsid w:val="5D8B09FB"/>
    <w:rsid w:val="5E3F1FA0"/>
    <w:rsid w:val="5E9B4D4C"/>
    <w:rsid w:val="5EE14150"/>
    <w:rsid w:val="5F061855"/>
    <w:rsid w:val="5F2239B1"/>
    <w:rsid w:val="5F584AF9"/>
    <w:rsid w:val="5F592FD8"/>
    <w:rsid w:val="5FDC4991"/>
    <w:rsid w:val="601D7135"/>
    <w:rsid w:val="60594271"/>
    <w:rsid w:val="606969FB"/>
    <w:rsid w:val="60FD6A51"/>
    <w:rsid w:val="61964204"/>
    <w:rsid w:val="621F016F"/>
    <w:rsid w:val="62641897"/>
    <w:rsid w:val="63143D27"/>
    <w:rsid w:val="632D6DFB"/>
    <w:rsid w:val="6363707C"/>
    <w:rsid w:val="639D589A"/>
    <w:rsid w:val="63A25134"/>
    <w:rsid w:val="63E45B69"/>
    <w:rsid w:val="63F41951"/>
    <w:rsid w:val="64BF65EF"/>
    <w:rsid w:val="64DD2406"/>
    <w:rsid w:val="65565234"/>
    <w:rsid w:val="662B20E6"/>
    <w:rsid w:val="66360F04"/>
    <w:rsid w:val="663E3F8E"/>
    <w:rsid w:val="66534FCB"/>
    <w:rsid w:val="67224A18"/>
    <w:rsid w:val="67E64DE1"/>
    <w:rsid w:val="681158B8"/>
    <w:rsid w:val="681E547B"/>
    <w:rsid w:val="6826003B"/>
    <w:rsid w:val="684A0535"/>
    <w:rsid w:val="685D50B9"/>
    <w:rsid w:val="68604028"/>
    <w:rsid w:val="68683189"/>
    <w:rsid w:val="6877527C"/>
    <w:rsid w:val="687C5B03"/>
    <w:rsid w:val="68BA38D2"/>
    <w:rsid w:val="68F84508"/>
    <w:rsid w:val="691A3E13"/>
    <w:rsid w:val="69400176"/>
    <w:rsid w:val="69597AAC"/>
    <w:rsid w:val="69B25200"/>
    <w:rsid w:val="69B727BE"/>
    <w:rsid w:val="69C21C8E"/>
    <w:rsid w:val="69F651A9"/>
    <w:rsid w:val="6A400F1A"/>
    <w:rsid w:val="6A557958"/>
    <w:rsid w:val="6A6A5E6B"/>
    <w:rsid w:val="6A8D6A74"/>
    <w:rsid w:val="6AA1155F"/>
    <w:rsid w:val="6ACE054E"/>
    <w:rsid w:val="6AF16947"/>
    <w:rsid w:val="6B2973E9"/>
    <w:rsid w:val="6B6F5E3A"/>
    <w:rsid w:val="6BB460E2"/>
    <w:rsid w:val="6BEB4471"/>
    <w:rsid w:val="6BF005B9"/>
    <w:rsid w:val="6C164FA6"/>
    <w:rsid w:val="6C311483"/>
    <w:rsid w:val="6C4130FD"/>
    <w:rsid w:val="6C4B028D"/>
    <w:rsid w:val="6C95291B"/>
    <w:rsid w:val="6C9B7DB3"/>
    <w:rsid w:val="6CAB2D78"/>
    <w:rsid w:val="6D970B37"/>
    <w:rsid w:val="6DAA7E7A"/>
    <w:rsid w:val="6E750E3C"/>
    <w:rsid w:val="6E915828"/>
    <w:rsid w:val="6EBE597D"/>
    <w:rsid w:val="6F1A5A2C"/>
    <w:rsid w:val="6F3C54D1"/>
    <w:rsid w:val="6F7F1BE6"/>
    <w:rsid w:val="6FBC358D"/>
    <w:rsid w:val="6FE710F1"/>
    <w:rsid w:val="7037710B"/>
    <w:rsid w:val="70743667"/>
    <w:rsid w:val="707849CA"/>
    <w:rsid w:val="70A54C4E"/>
    <w:rsid w:val="70A76EDF"/>
    <w:rsid w:val="70AD3EBF"/>
    <w:rsid w:val="70C43920"/>
    <w:rsid w:val="70F27B83"/>
    <w:rsid w:val="70F53323"/>
    <w:rsid w:val="70F66CB4"/>
    <w:rsid w:val="71785460"/>
    <w:rsid w:val="71D33F8D"/>
    <w:rsid w:val="71ED3EDE"/>
    <w:rsid w:val="72133397"/>
    <w:rsid w:val="725B06D5"/>
    <w:rsid w:val="727D450C"/>
    <w:rsid w:val="72C24F47"/>
    <w:rsid w:val="730C28BA"/>
    <w:rsid w:val="73133219"/>
    <w:rsid w:val="733F2E0A"/>
    <w:rsid w:val="73AB6FCB"/>
    <w:rsid w:val="73B63B41"/>
    <w:rsid w:val="73BC27AF"/>
    <w:rsid w:val="73FD0A4F"/>
    <w:rsid w:val="74F37794"/>
    <w:rsid w:val="756E6B34"/>
    <w:rsid w:val="75F82DC6"/>
    <w:rsid w:val="76191CEE"/>
    <w:rsid w:val="76400BEE"/>
    <w:rsid w:val="76A5521A"/>
    <w:rsid w:val="76E23986"/>
    <w:rsid w:val="770A5A76"/>
    <w:rsid w:val="775E62AF"/>
    <w:rsid w:val="779A2B2D"/>
    <w:rsid w:val="77D906E2"/>
    <w:rsid w:val="77DF6BBA"/>
    <w:rsid w:val="782920CD"/>
    <w:rsid w:val="78415904"/>
    <w:rsid w:val="784B3700"/>
    <w:rsid w:val="78934371"/>
    <w:rsid w:val="78B20FFE"/>
    <w:rsid w:val="78C5681C"/>
    <w:rsid w:val="79750FA5"/>
    <w:rsid w:val="799034D8"/>
    <w:rsid w:val="79997DD2"/>
    <w:rsid w:val="79A807A2"/>
    <w:rsid w:val="79C95DCF"/>
    <w:rsid w:val="79D00547"/>
    <w:rsid w:val="79FA0E27"/>
    <w:rsid w:val="79FA5671"/>
    <w:rsid w:val="79FD5E30"/>
    <w:rsid w:val="7A320CF1"/>
    <w:rsid w:val="7A412946"/>
    <w:rsid w:val="7B61057E"/>
    <w:rsid w:val="7B772498"/>
    <w:rsid w:val="7B9C71D5"/>
    <w:rsid w:val="7BAB5164"/>
    <w:rsid w:val="7BAD01C9"/>
    <w:rsid w:val="7BC66859"/>
    <w:rsid w:val="7BE81934"/>
    <w:rsid w:val="7BED4403"/>
    <w:rsid w:val="7C08172E"/>
    <w:rsid w:val="7C3B6AD3"/>
    <w:rsid w:val="7C3D2061"/>
    <w:rsid w:val="7C3E4691"/>
    <w:rsid w:val="7C7846C0"/>
    <w:rsid w:val="7C956391"/>
    <w:rsid w:val="7D4B4B42"/>
    <w:rsid w:val="7D4E6070"/>
    <w:rsid w:val="7D6C38B7"/>
    <w:rsid w:val="7D747F20"/>
    <w:rsid w:val="7DAA0228"/>
    <w:rsid w:val="7DE0615E"/>
    <w:rsid w:val="7E044AA8"/>
    <w:rsid w:val="7E3B1311"/>
    <w:rsid w:val="7EBD1473"/>
    <w:rsid w:val="7ED12811"/>
    <w:rsid w:val="7EDD18F9"/>
    <w:rsid w:val="7EE07871"/>
    <w:rsid w:val="7F6D495A"/>
    <w:rsid w:val="7F814722"/>
    <w:rsid w:val="7F9D0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24"/>
      <w:lang w:val="en-US" w:eastAsia="zh-CN" w:bidi="ar-SA"/>
    </w:rPr>
  </w:style>
  <w:style w:type="paragraph" w:styleId="2">
    <w:name w:val="heading 2"/>
    <w:basedOn w:val="1"/>
    <w:next w:val="1"/>
    <w:unhideWhenUsed/>
    <w:qFormat/>
    <w:uiPriority w:val="0"/>
    <w:pPr>
      <w:shd w:val="clear" w:color="auto" w:fill="auto"/>
      <w:spacing w:before="100" w:beforeAutospacing="1" w:after="100" w:afterAutospacing="1"/>
      <w:jc w:val="left"/>
    </w:pPr>
    <w:rPr>
      <w:rFonts w:hint="eastAsia" w:ascii="宋体" w:hAnsi="宋体" w:eastAsia="宋体" w:cs="宋体"/>
      <w:b/>
      <w:kern w:val="0"/>
      <w:sz w:val="36"/>
      <w:szCs w:val="36"/>
      <w:shd w:val="clear" w:color="auto" w:fill="auto"/>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widowControl w:val="0"/>
      <w:jc w:val="both"/>
    </w:pPr>
    <w:rPr>
      <w:rFonts w:ascii="Calibri" w:hAnsi="Calibri" w:eastAsia="宋体" w:cs="Arial"/>
      <w:kern w:val="2"/>
      <w:sz w:val="21"/>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Indent"/>
    <w:basedOn w:val="1"/>
    <w:next w:val="7"/>
    <w:qFormat/>
    <w:uiPriority w:val="6"/>
    <w:pPr>
      <w:ind w:firstLine="567"/>
      <w:jc w:val="both"/>
    </w:pPr>
    <w:rPr>
      <w:kern w:val="1"/>
      <w:sz w:val="28"/>
    </w:rPr>
  </w:style>
  <w:style w:type="paragraph" w:styleId="7">
    <w:name w:val="Body Text First Indent 2"/>
    <w:basedOn w:val="6"/>
    <w:next w:val="8"/>
    <w:qFormat/>
    <w:uiPriority w:val="0"/>
    <w:pPr>
      <w:ind w:firstLine="420" w:firstLineChars="200"/>
    </w:pPr>
  </w:style>
  <w:style w:type="paragraph" w:styleId="8">
    <w:name w:val="Plain Text"/>
    <w:basedOn w:val="1"/>
    <w:unhideWhenUsed/>
    <w:qFormat/>
    <w:uiPriority w:val="99"/>
    <w:rPr>
      <w:rFonts w:ascii="宋体" w:hAnsi="Courier New"/>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5">
    <w:name w:val="Strong"/>
    <w:basedOn w:val="14"/>
    <w:qFormat/>
    <w:uiPriority w:val="0"/>
    <w:rPr>
      <w:b/>
    </w:rPr>
  </w:style>
  <w:style w:type="character" w:styleId="16">
    <w:name w:val="Hyperlink"/>
    <w:basedOn w:val="14"/>
    <w:qFormat/>
    <w:uiPriority w:val="0"/>
    <w:rPr>
      <w:color w:val="0000FF"/>
      <w:u w:val="none"/>
    </w:rPr>
  </w:style>
  <w:style w:type="paragraph" w:styleId="17">
    <w:name w:val="List Paragraph"/>
    <w:basedOn w:val="1"/>
    <w:qFormat/>
    <w:uiPriority w:val="34"/>
    <w:pPr>
      <w:ind w:firstLine="420" w:firstLineChars="200"/>
    </w:pPr>
  </w:style>
  <w:style w:type="paragraph" w:customStyle="1" w:styleId="1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0">
    <w:name w:val="15"/>
    <w:basedOn w:val="14"/>
    <w:qFormat/>
    <w:uiPriority w:val="0"/>
    <w:rPr>
      <w:rFonts w:hint="default" w:ascii="Calibri" w:hAnsi="Calibri" w:cs="Calibri"/>
      <w:b/>
    </w:rPr>
  </w:style>
  <w:style w:type="paragraph" w:customStyle="1" w:styleId="21">
    <w:name w:val="p0"/>
    <w:basedOn w:val="1"/>
    <w:qFormat/>
    <w:uiPriority w:val="0"/>
    <w:pPr>
      <w:widowControl/>
    </w:pPr>
    <w:rPr>
      <w:rFonts w:eastAsia="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oleObject" Target="embeddings/oleObject2.bin"/><Relationship Id="rId6" Type="http://schemas.openxmlformats.org/officeDocument/2006/relationships/oleObject" Target="embeddings/oleObject1.bin"/><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财政拨款收支上下年变化图</a:t>
            </a:r>
            <a:endParaRPr altLang="en-US"/>
          </a:p>
        </c:rich>
      </c:tx>
      <c:layout>
        <c:manualLayout>
          <c:xMode val="edge"/>
          <c:yMode val="edge"/>
          <c:x val="0.303625"/>
          <c:y val="0.0471014492753623"/>
        </c:manualLayout>
      </c:layout>
      <c:overlay val="0"/>
      <c:spPr>
        <a:noFill/>
        <a:ln>
          <a:noFill/>
        </a:ln>
        <a:effectLst/>
      </c:spPr>
    </c:title>
    <c:autoTitleDeleted val="0"/>
    <c:plotArea>
      <c:layout>
        <c:manualLayout>
          <c:layoutTarget val="inner"/>
          <c:xMode val="edge"/>
          <c:yMode val="edge"/>
          <c:x val="0.0787"/>
          <c:y val="0.194927536231884"/>
          <c:w val="0.8938"/>
          <c:h val="0.589710144927536"/>
        </c:manualLayout>
      </c:layout>
      <c:barChart>
        <c:barDir val="col"/>
        <c:grouping val="clustered"/>
        <c:varyColors val="0"/>
        <c:ser>
          <c:idx val="0"/>
          <c:order val="0"/>
          <c:tx>
            <c:strRef>
              <c:f>Sheet1!$B$1</c:f>
              <c:strCache>
                <c:ptCount val="1"/>
                <c:pt idx="0">
                  <c:v>2022年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345.8</c:v>
                </c:pt>
                <c:pt idx="1">
                  <c:v>345.8</c:v>
                </c:pt>
              </c:numCache>
            </c:numRef>
          </c:val>
        </c:ser>
        <c:ser>
          <c:idx val="1"/>
          <c:order val="1"/>
          <c:tx>
            <c:strRef>
              <c:f>Sheet1!$C$1</c:f>
              <c:strCache>
                <c:ptCount val="1"/>
                <c:pt idx="0">
                  <c:v>2023年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459.45</c:v>
                </c:pt>
                <c:pt idx="1">
                  <c:v>459.45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15094216"/>
        <c:axId val="912299255"/>
      </c:barChart>
      <c:catAx>
        <c:axId val="615094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299255"/>
        <c:crosses val="autoZero"/>
        <c:auto val="1"/>
        <c:lblAlgn val="ctr"/>
        <c:lblOffset val="100"/>
        <c:noMultiLvlLbl val="0"/>
      </c:catAx>
      <c:valAx>
        <c:axId val="912299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509421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pieChart>
        <c:varyColors val="1"/>
        <c:ser>
          <c:idx val="0"/>
          <c:order val="0"/>
          <c:tx>
            <c:strRef>
              <c:f>Sheet1!$B$1</c:f>
              <c:strCache>
                <c:ptCount val="1"/>
                <c:pt idx="0">
                  <c:v>收入构成</c:v>
                </c:pt>
              </c:strCache>
            </c:strRef>
          </c:tx>
          <c:spPr>
            <a:solidFill>
              <a:schemeClr val="accent2"/>
            </a:solidFill>
          </c:spPr>
          <c:explosion val="0"/>
          <c:dPt>
            <c:idx val="0"/>
            <c:bubble3D val="0"/>
            <c:spPr>
              <a:gradFill>
                <a:gsLst>
                  <a:gs pos="0">
                    <a:srgbClr val="FE4444"/>
                  </a:gs>
                  <a:gs pos="100000">
                    <a:srgbClr val="832B2B"/>
                  </a:gs>
                </a:gsLst>
                <a:lin ang="5400000" scaled="0"/>
              </a:gradFill>
              <a:ln w="19050">
                <a:solidFill>
                  <a:schemeClr val="lt1"/>
                </a:solidFill>
              </a:ln>
              <a:effectLst/>
            </c:spPr>
          </c:dPt>
          <c:dPt>
            <c:idx val="1"/>
            <c:bubble3D val="0"/>
            <c:spPr>
              <a:solidFill>
                <a:schemeClr val="accent2"/>
              </a:solidFill>
              <a:ln w="19050">
                <a:solidFill>
                  <a:schemeClr val="lt1"/>
                </a:solidFill>
              </a:ln>
              <a:effectLst/>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一般公共财政拨款收入</c:v>
                </c:pt>
                <c:pt idx="1">
                  <c:v>其他收入</c:v>
                </c:pt>
              </c:strCache>
            </c:strRef>
          </c:cat>
          <c:val>
            <c:numRef>
              <c:f>Sheet1!$B$2:$B$3</c:f>
              <c:numCache>
                <c:formatCode>General</c:formatCode>
                <c:ptCount val="2"/>
                <c:pt idx="0">
                  <c:v>710.17</c:v>
                </c:pt>
                <c:pt idx="1">
                  <c:v>4.43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支出构成</c:v>
                </c:pt>
              </c:strCache>
            </c:strRef>
          </c:tx>
          <c:spPr>
            <a:solidFill>
              <a:schemeClr val="accent2"/>
            </a:solidFill>
          </c:spPr>
          <c:explosion val="0"/>
          <c:dPt>
            <c:idx val="0"/>
            <c:bubble3D val="0"/>
            <c:spPr>
              <a:solidFill>
                <a:schemeClr val="accent2"/>
              </a:solidFill>
              <a:ln w="19050">
                <a:solidFill>
                  <a:schemeClr val="lt1"/>
                </a:solidFill>
              </a:ln>
              <a:effectLst/>
            </c:spPr>
          </c:dPt>
          <c:dPt>
            <c:idx val="1"/>
            <c:bubble3D val="0"/>
            <c:spPr>
              <a:solidFill>
                <a:schemeClr val="accent1"/>
              </a:solidFill>
              <a:ln w="19050">
                <a:solidFill>
                  <a:schemeClr val="lt1"/>
                </a:solidFill>
              </a:ln>
              <a:effectLst/>
            </c:spPr>
          </c:dPt>
          <c:dLbls>
            <c:dLbl>
              <c:idx val="0"/>
              <c:layout>
                <c:manualLayout>
                  <c:x val="-0.239368381814824"/>
                  <c:y val="-0.396609416086846"/>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delete val="1"/>
            </c:dLbl>
            <c:spPr>
              <a:solidFill>
                <a:schemeClr val="accent2"/>
              </a:solid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557.09</c:v>
                </c:pt>
                <c:pt idx="1">
                  <c:v>157.51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财政拨款收支变动情况表</a:t>
            </a:r>
            <a:endParaRPr altLang="en-US"/>
          </a:p>
        </c:rich>
      </c:tx>
      <c:layout>
        <c:manualLayout>
          <c:xMode val="edge"/>
          <c:yMode val="edge"/>
          <c:x val="0.303625"/>
          <c:y val="0.0471014492753623"/>
        </c:manualLayout>
      </c:layout>
      <c:overlay val="0"/>
      <c:spPr>
        <a:noFill/>
        <a:ln>
          <a:noFill/>
        </a:ln>
        <a:effectLst/>
      </c:spPr>
    </c:title>
    <c:autoTitleDeleted val="0"/>
    <c:plotArea>
      <c:layout>
        <c:manualLayout>
          <c:layoutTarget val="inner"/>
          <c:xMode val="edge"/>
          <c:yMode val="edge"/>
          <c:x val="0.0778056840713814"/>
          <c:y val="0.182602692440456"/>
          <c:w val="0.8938"/>
          <c:h val="0.589710144927536"/>
        </c:manualLayout>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710.17</c:v>
                </c:pt>
                <c:pt idx="1">
                  <c:v>710.17</c:v>
                </c:pt>
              </c:numCache>
            </c:numRef>
          </c:val>
        </c:ser>
        <c:ser>
          <c:idx val="1"/>
          <c:order val="1"/>
          <c:tx>
            <c:strRef>
              <c:f>Sheet1!$C$1</c:f>
              <c:strCache>
                <c:ptCount val="1"/>
                <c:pt idx="0">
                  <c:v>2022年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568.52</c:v>
                </c:pt>
                <c:pt idx="1">
                  <c:v>568.52</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15094216"/>
        <c:axId val="912299255"/>
      </c:barChart>
      <c:catAx>
        <c:axId val="615094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299255"/>
        <c:crosses val="autoZero"/>
        <c:auto val="1"/>
        <c:lblAlgn val="ctr"/>
        <c:lblOffset val="100"/>
        <c:noMultiLvlLbl val="0"/>
      </c:catAx>
      <c:valAx>
        <c:axId val="912299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509421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一般公共财政拨款支出决算上下年变动图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c:f>
              <c:strCache>
                <c:ptCount val="1"/>
                <c:pt idx="0">
                  <c:v>一般公共财政拨款支出</c:v>
                </c:pt>
              </c:strCache>
            </c:strRef>
          </c:cat>
          <c:val>
            <c:numRef>
              <c:f>Sheet1!$B$2</c:f>
              <c:numCache>
                <c:formatCode>General</c:formatCode>
                <c:ptCount val="1"/>
                <c:pt idx="0">
                  <c:v>710.17</c:v>
                </c:pt>
              </c:numCache>
            </c:numRef>
          </c:val>
        </c:ser>
        <c:ser>
          <c:idx val="1"/>
          <c:order val="1"/>
          <c:tx>
            <c:strRef>
              <c:f>Sheet1!$C$1</c:f>
              <c:strCache>
                <c:ptCount val="1"/>
                <c:pt idx="0">
                  <c:v>2022年</c:v>
                </c:pt>
              </c:strCache>
            </c:strRef>
          </c:tx>
          <c:spPr>
            <a:solidFill>
              <a:schemeClr val="accent2"/>
            </a:solidFill>
            <a:ln>
              <a:noFill/>
            </a:ln>
            <a:effectLst/>
          </c:spPr>
          <c:invertIfNegative val="0"/>
          <c:dLbls>
            <c:delete val="1"/>
          </c:dLbls>
          <c:cat>
            <c:strRef>
              <c:f>Sheet1!$A$2</c:f>
              <c:strCache>
                <c:ptCount val="1"/>
                <c:pt idx="0">
                  <c:v>一般公共财政拨款支出</c:v>
                </c:pt>
              </c:strCache>
            </c:strRef>
          </c:cat>
          <c:val>
            <c:numRef>
              <c:f>Sheet1!$C$2</c:f>
              <c:numCache>
                <c:formatCode>General</c:formatCode>
                <c:ptCount val="1"/>
                <c:pt idx="0">
                  <c:v>568.52</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85493246"/>
        <c:axId val="342343358"/>
      </c:barChart>
      <c:catAx>
        <c:axId val="68549324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2343358"/>
        <c:crosses val="autoZero"/>
        <c:auto val="1"/>
        <c:lblAlgn val="ctr"/>
        <c:lblOffset val="100"/>
        <c:noMultiLvlLbl val="0"/>
      </c:catAx>
      <c:valAx>
        <c:axId val="3423433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549324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6002132196162"/>
          <c:y val="0.0698283386674425"/>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住房保障支出</c:v>
                </c:pt>
                <c:pt idx="3">
                  <c:v>卫生健康支出</c:v>
                </c:pt>
              </c:strCache>
            </c:strRef>
          </c:cat>
          <c:val>
            <c:numRef>
              <c:f>Sheet1!$B$2:$B$5</c:f>
              <c:numCache>
                <c:formatCode>General</c:formatCode>
                <c:ptCount val="4"/>
                <c:pt idx="0">
                  <c:v>593.92</c:v>
                </c:pt>
                <c:pt idx="1">
                  <c:v>60.1</c:v>
                </c:pt>
                <c:pt idx="2">
                  <c:v>30.94</c:v>
                </c:pt>
                <c:pt idx="3">
                  <c:v>25.21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rgbClr val="FFFF00"/>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因公出国</c:v>
                </c:pt>
                <c:pt idx="1">
                  <c:v>公务用车运行维护费</c:v>
                </c:pt>
                <c:pt idx="2">
                  <c:v>公务接待费</c:v>
                </c:pt>
                <c:pt idx="3">
                  <c:v>公务用车购置费</c:v>
                </c:pt>
              </c:strCache>
            </c:strRef>
          </c:cat>
          <c:val>
            <c:numRef>
              <c:f>Sheet1!$B$2:$B$5</c:f>
              <c:numCache>
                <c:formatCode>General</c:formatCode>
                <c:ptCount val="4"/>
                <c:pt idx="0">
                  <c:v>0</c:v>
                </c:pt>
                <c:pt idx="1">
                  <c:v>9.98</c:v>
                </c:pt>
                <c:pt idx="2">
                  <c:v>0</c:v>
                </c:pt>
                <c:pt idx="3">
                  <c:v>59.9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2024-01-25T02:44:00Z</cp:lastPrinted>
  <dcterms:modified xsi:type="dcterms:W3CDTF">2024-11-07T01:52:42Z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