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3"/>
          <w:rFonts w:hint="eastAsia" w:ascii="方正小标宋简体" w:hAnsi="方正小标宋简体" w:eastAsia="方正小标宋简体" w:cs="方正小标宋简体"/>
          <w:sz w:val="44"/>
          <w:szCs w:val="44"/>
          <w:shd w:val="clear" w:color="auto" w:fill="FFFFFF"/>
        </w:rPr>
        <w:t>202</w:t>
      </w:r>
      <w:r>
        <w:rPr>
          <w:rStyle w:val="13"/>
          <w:rFonts w:hint="eastAsia" w:ascii="方正小标宋简体" w:hAnsi="方正小标宋简体" w:eastAsia="方正小标宋简体" w:cs="方正小标宋简体"/>
          <w:sz w:val="44"/>
          <w:szCs w:val="44"/>
          <w:shd w:val="clear" w:color="auto" w:fill="FFFFFF"/>
          <w:lang w:val="en-US" w:eastAsia="zh-CN"/>
        </w:rPr>
        <w:t>1</w:t>
      </w:r>
      <w:r>
        <w:rPr>
          <w:rStyle w:val="13"/>
          <w:rFonts w:hint="eastAsia" w:ascii="方正小标宋简体" w:hAnsi="方正小标宋简体" w:eastAsia="方正小标宋简体" w:cs="方正小标宋简体"/>
          <w:sz w:val="44"/>
          <w:szCs w:val="44"/>
          <w:shd w:val="clear" w:color="auto" w:fill="FFFFFF"/>
        </w:rPr>
        <w:t>年度</w:t>
      </w:r>
    </w:p>
    <w:p>
      <w:pPr>
        <w:pStyle w:val="10"/>
        <w:keepNext w:val="0"/>
        <w:keepLines w:val="0"/>
        <w:widowControl/>
        <w:suppressLineNumbers w:val="0"/>
        <w:ind w:left="0" w:right="75"/>
        <w:jc w:val="center"/>
        <w:rPr>
          <w:rStyle w:val="13"/>
          <w:rFonts w:hint="eastAsia" w:ascii="方正小标宋简体" w:hAnsi="方正小标宋简体" w:eastAsia="方正小标宋简体" w:cs="方正小标宋简体"/>
          <w:sz w:val="44"/>
          <w:szCs w:val="44"/>
          <w:shd w:val="clear" w:color="auto" w:fill="FFFFFF"/>
          <w:lang w:val="en-US" w:eastAsia="zh-CN"/>
        </w:rPr>
      </w:pPr>
      <w:r>
        <w:rPr>
          <w:rStyle w:val="13"/>
          <w:rFonts w:hint="eastAsia" w:ascii="方正小标宋简体" w:hAnsi="方正小标宋简体" w:eastAsia="方正小标宋简体" w:cs="方正小标宋简体"/>
          <w:sz w:val="44"/>
          <w:szCs w:val="44"/>
          <w:shd w:val="clear" w:color="auto" w:fill="FFFFFF"/>
          <w:lang w:val="en-US" w:eastAsia="zh-CN"/>
        </w:rPr>
        <w:t>中共红原县委员会统战部</w:t>
      </w:r>
    </w:p>
    <w:p>
      <w:pPr>
        <w:pStyle w:val="10"/>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3"/>
          <w:rFonts w:hint="eastAsia" w:ascii="方正小标宋简体" w:hAnsi="方正小标宋简体" w:eastAsia="方正小标宋简体" w:cs="方正小标宋简体"/>
          <w:sz w:val="44"/>
          <w:szCs w:val="44"/>
          <w:shd w:val="clear" w:color="auto" w:fill="FFFFFF"/>
        </w:rPr>
        <w:t>部门决算</w:t>
      </w:r>
      <w:r>
        <w:rPr>
          <w:rStyle w:val="13"/>
          <w:rFonts w:hint="eastAsia" w:ascii="方正小标宋简体" w:hAnsi="方正小标宋简体" w:eastAsia="方正小标宋简体" w:cs="方正小标宋简体"/>
          <w:sz w:val="44"/>
          <w:szCs w:val="44"/>
          <w:shd w:val="clear" w:color="auto" w:fill="FFFFFF"/>
          <w:lang w:eastAsia="zh-CN"/>
        </w:rPr>
        <w:t>公开编制说明</w:t>
      </w: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pPr>
      <w:r>
        <w:rPr>
          <w:sz w:val="24"/>
          <w:szCs w:val="24"/>
          <w:shd w:val="clear" w:color="auto" w:fill="FFFFFF"/>
        </w:rPr>
        <w:t>保密审查情况：已审查，内容审定</w:t>
      </w:r>
    </w:p>
    <w:p>
      <w:pPr>
        <w:pStyle w:val="10"/>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0"/>
        <w:keepNext w:val="0"/>
        <w:keepLines w:val="0"/>
        <w:widowControl/>
        <w:suppressLineNumbers w:val="0"/>
        <w:ind w:left="0" w:right="75"/>
        <w:jc w:val="both"/>
        <w:rPr>
          <w:rStyle w:val="13"/>
          <w:sz w:val="30"/>
          <w:szCs w:val="30"/>
          <w:shd w:val="clear" w:color="auto" w:fill="FFFFFF"/>
        </w:rPr>
        <w:sectPr>
          <w:pgSz w:w="11906" w:h="16838"/>
          <w:pgMar w:top="1440" w:right="1800" w:bottom="1440" w:left="1800" w:header="851" w:footer="992" w:gutter="0"/>
          <w:cols w:space="720" w:num="1"/>
          <w:docGrid w:type="lines" w:linePitch="312" w:charSpace="0"/>
        </w:sectPr>
      </w:pPr>
    </w:p>
    <w:p>
      <w:pPr>
        <w:pStyle w:val="10"/>
        <w:keepNext w:val="0"/>
        <w:keepLines w:val="0"/>
        <w:widowControl/>
        <w:suppressLineNumbers w:val="0"/>
        <w:ind w:left="0" w:right="75"/>
        <w:jc w:val="center"/>
      </w:pPr>
      <w:r>
        <w:rPr>
          <w:rStyle w:val="13"/>
          <w:sz w:val="30"/>
          <w:szCs w:val="30"/>
          <w:shd w:val="clear" w:color="auto" w:fill="FFFFFF"/>
        </w:rPr>
        <w:t>目 录</w:t>
      </w:r>
    </w:p>
    <w:p>
      <w:pPr>
        <w:pStyle w:val="10"/>
        <w:keepNext w:val="0"/>
        <w:keepLines w:val="0"/>
        <w:widowControl/>
        <w:suppressLineNumbers w:val="0"/>
        <w:ind w:left="0" w:right="75"/>
        <w:jc w:val="center"/>
        <w:rPr>
          <w:rFonts w:hint="eastAsia"/>
        </w:rPr>
      </w:pPr>
      <w:r>
        <w:rPr>
          <w:sz w:val="24"/>
          <w:szCs w:val="24"/>
          <w:shd w:val="clear" w:color="auto" w:fill="FFFFFF"/>
        </w:rPr>
        <w:t xml:space="preserve">公开时间：2021年 </w:t>
      </w:r>
      <w:r>
        <w:rPr>
          <w:rFonts w:hint="eastAsia"/>
          <w:sz w:val="24"/>
          <w:szCs w:val="24"/>
          <w:shd w:val="clear" w:color="auto" w:fill="FFFFFF"/>
          <w:lang w:val="en-US" w:eastAsia="zh-CN"/>
        </w:rPr>
        <w:t>12</w:t>
      </w:r>
      <w:r>
        <w:rPr>
          <w:sz w:val="24"/>
          <w:szCs w:val="24"/>
          <w:shd w:val="clear" w:color="auto" w:fill="FFFFFF"/>
        </w:rPr>
        <w:t>月</w:t>
      </w:r>
      <w:r>
        <w:rPr>
          <w:rFonts w:hint="eastAsia"/>
          <w:sz w:val="24"/>
          <w:szCs w:val="24"/>
          <w:shd w:val="clear" w:color="auto" w:fill="FFFFFF"/>
          <w:lang w:val="en-US" w:eastAsia="zh-CN"/>
        </w:rPr>
        <w:t>7</w:t>
      </w:r>
      <w:r>
        <w:rPr>
          <w:sz w:val="24"/>
          <w:szCs w:val="24"/>
          <w:shd w:val="clear" w:color="auto" w:fill="FFFFFF"/>
        </w:rPr>
        <w:t>日</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第二部分 202</w:t>
          </w:r>
          <w:r>
            <w:rPr>
              <w:rFonts w:hint="eastAsia" w:ascii="仿宋_GB2312" w:hAnsi="仿宋_GB2312" w:eastAsia="仿宋_GB2312" w:cs="仿宋_GB2312"/>
              <w:sz w:val="30"/>
              <w:szCs w:val="30"/>
              <w:shd w:val="clear" w:color="auto" w:fill="FFFFFF"/>
              <w:lang w:val="en-US" w:eastAsia="zh-CN"/>
            </w:rPr>
            <w:t>1</w:t>
          </w:r>
          <w:r>
            <w:rPr>
              <w:rFonts w:hint="eastAsia" w:ascii="仿宋_GB2312" w:hAnsi="仿宋_GB2312" w:eastAsia="仿宋_GB2312" w:cs="仿宋_GB2312"/>
              <w:sz w:val="30"/>
              <w:szCs w:val="30"/>
              <w:shd w:val="clear" w:color="auto" w:fill="FFFFFF"/>
            </w:rPr>
            <w:t>年度部门决算情况说明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rPr>
            <w:t>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rPr>
            <w:t>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七、“三公”经费财政拨款支出决算情况说明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八、 </w:t>
          </w:r>
          <w:r>
            <w:rPr>
              <w:rFonts w:hint="eastAsia" w:ascii="仿宋_GB2312" w:hAnsi="仿宋_GB2312" w:eastAsia="仿宋_GB2312" w:cs="仿宋_GB2312"/>
              <w:sz w:val="30"/>
              <w:szCs w:val="30"/>
              <w:shd w:val="clear" w:color="auto" w:fill="FFFFFF"/>
            </w:rPr>
            <w:t>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九、 </w:t>
          </w:r>
          <w:r>
            <w:rPr>
              <w:rFonts w:hint="eastAsia" w:ascii="仿宋_GB2312" w:hAnsi="仿宋_GB2312" w:eastAsia="仿宋_GB2312" w:cs="仿宋_GB2312"/>
              <w:sz w:val="30"/>
              <w:szCs w:val="30"/>
              <w:shd w:val="clear" w:color="auto" w:fill="FFFFFF"/>
            </w:rPr>
            <w:t>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十、其他重要事项的情况说明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8"/>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0</w:t>
          </w: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8"/>
            <w:tabs>
              <w:tab w:val="right" w:leader="dot" w:pos="8306"/>
              <w:tab w:val="clear" w:pos="8296"/>
            </w:tabs>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8</w:t>
          </w:r>
          <w:bookmarkStart w:id="20" w:name="_GoBack"/>
          <w:bookmarkEnd w:id="20"/>
        </w:p>
        <w:p>
          <w:r>
            <w:rPr>
              <w:rFonts w:hint="eastAsia" w:ascii="仿宋_GB2312" w:hAnsi="仿宋_GB2312" w:eastAsia="仿宋_GB2312" w:cs="仿宋_GB2312"/>
              <w:sz w:val="30"/>
              <w:szCs w:val="30"/>
            </w:rPr>
            <w:fldChar w:fldCharType="end"/>
          </w:r>
        </w:p>
      </w:sdtContent>
    </w:sdt>
    <w:p>
      <w:pPr>
        <w:pStyle w:val="10"/>
        <w:keepNext w:val="0"/>
        <w:keepLines w:val="0"/>
        <w:widowControl/>
        <w:suppressLineNumbers w:val="0"/>
        <w:ind w:left="0" w:right="75"/>
        <w:jc w:val="center"/>
        <w:outlineLvl w:val="0"/>
        <w:rPr>
          <w:rFonts w:hint="eastAsia" w:ascii="黑体" w:hAnsi="黑体" w:eastAsia="黑体" w:cs="黑体"/>
          <w:sz w:val="44"/>
          <w:szCs w:val="44"/>
        </w:rPr>
      </w:pPr>
      <w:bookmarkStart w:id="0" w:name="_Toc27360"/>
      <w:r>
        <w:rPr>
          <w:rFonts w:hint="eastAsia" w:ascii="黑体" w:hAnsi="黑体" w:eastAsia="黑体" w:cs="黑体"/>
          <w:sz w:val="44"/>
          <w:szCs w:val="44"/>
          <w:shd w:val="clear" w:color="auto" w:fill="FFFFFF"/>
        </w:rPr>
        <w:t>第一部分 部门概况</w:t>
      </w:r>
      <w:bookmarkEnd w:id="0"/>
    </w:p>
    <w:p>
      <w:pPr>
        <w:pStyle w:val="10"/>
        <w:keepNext w:val="0"/>
        <w:keepLines w:val="0"/>
        <w:widowControl/>
        <w:suppressLineNumbers w:val="0"/>
        <w:ind w:left="0" w:right="75"/>
        <w:outlineLvl w:val="1"/>
        <w:rPr>
          <w:rFonts w:hint="eastAsia" w:ascii="黑体" w:hAnsi="黑体" w:eastAsia="黑体" w:cs="黑体"/>
          <w:sz w:val="32"/>
          <w:szCs w:val="32"/>
        </w:rPr>
      </w:pPr>
      <w:bookmarkStart w:id="1" w:name="_Toc14224"/>
      <w:r>
        <w:rPr>
          <w:rFonts w:hint="eastAsia" w:ascii="黑体" w:hAnsi="黑体" w:eastAsia="黑体" w:cs="黑体"/>
          <w:sz w:val="32"/>
          <w:szCs w:val="32"/>
          <w:shd w:val="clear" w:color="auto" w:fill="FFFFFF"/>
        </w:rPr>
        <w:t>一、基本职能及主要工作</w:t>
      </w:r>
      <w:bookmarkEnd w:id="1"/>
    </w:p>
    <w:p>
      <w:pPr>
        <w:pStyle w:val="10"/>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（一）主要职能。</w:t>
      </w:r>
    </w:p>
    <w:p>
      <w:pPr>
        <w:snapToGrid w:val="0"/>
        <w:spacing w:line="520"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eastAsia="zh-CN"/>
        </w:rPr>
        <w:t>．主要职能。</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组织贯彻执行中央、省委、州委、县委关于统一战线的方针、政策；调查研究统一战线有关理论和政策；向县委反映情况，提出开展统战工作的意见和建议。</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负责联系我县无党派代表人士，及时通报情况、了解和反映他们的意见和建议；研究、贯彻、督促、检查党领导的多党合作、政治协商制度</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eastAsia="zh-CN"/>
        </w:rPr>
        <w:t>发挥人民代表，政协委员参政议政和民主监督的职能。会同有关部门做好培养、选拔、推荐党外人士担任县政府、人大、政协及其工作部门行政领导的工作；做好党外后备干部的代表人物队伍建设工作。</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负责联系工商界；调查、研究并反映我县非公有制经济代表人物的情况、协调关系、研究并提出政策性建议；组织和推动社会各界、工商联及统一战线各个方面积极为经济建设服务。</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调查研究我县党外知识分子的情况，反映意见、协调关系，提出建议，联系并积极培养党外知识分子的代表人物。</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指导县工商联的工作。</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指导县佛教协会的工作。</w:t>
      </w:r>
    </w:p>
    <w:p>
      <w:pPr>
        <w:pStyle w:val="10"/>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w:t>
      </w:r>
      <w:r>
        <w:rPr>
          <w:rFonts w:hint="eastAsia" w:ascii="楷体_GB2312" w:hAnsi="楷体_GB2312" w:eastAsia="楷体_GB2312" w:cs="楷体_GB2312"/>
          <w:b/>
          <w:bCs/>
          <w:sz w:val="32"/>
          <w:szCs w:val="32"/>
          <w:shd w:val="clear" w:color="auto" w:fill="FFFFFF"/>
          <w:lang w:val="en-US" w:eastAsia="zh-CN"/>
        </w:rPr>
        <w:t>1</w:t>
      </w:r>
      <w:r>
        <w:rPr>
          <w:rFonts w:hint="eastAsia" w:ascii="楷体_GB2312" w:hAnsi="楷体_GB2312" w:eastAsia="楷体_GB2312" w:cs="楷体_GB2312"/>
          <w:b/>
          <w:bCs/>
          <w:sz w:val="32"/>
          <w:szCs w:val="32"/>
          <w:shd w:val="clear" w:color="auto" w:fill="FFFFFF"/>
        </w:rPr>
        <w:t>年重点工作完成情况。</w:t>
      </w:r>
    </w:p>
    <w:p>
      <w:pPr>
        <w:pStyle w:val="10"/>
        <w:keepNext w:val="0"/>
        <w:keepLines w:val="0"/>
        <w:widowControl/>
        <w:suppressLineNumbers w:val="0"/>
        <w:ind w:left="0" w:right="75" w:firstLine="643" w:firstLineChars="200"/>
        <w:rPr>
          <w:rFonts w:hint="eastAsia" w:ascii="仿宋_GB2312" w:eastAsia="仿宋_GB2312"/>
          <w:sz w:val="32"/>
          <w:szCs w:val="32"/>
        </w:rPr>
      </w:pPr>
      <w:r>
        <w:rPr>
          <w:rFonts w:hint="eastAsia" w:ascii="楷体_GB2312" w:eastAsia="楷体_GB2312"/>
          <w:b/>
          <w:bCs/>
          <w:sz w:val="32"/>
          <w:szCs w:val="32"/>
        </w:rPr>
        <w:t>常态开展宗教领域教育管理服务工作。</w:t>
      </w:r>
      <w:r>
        <w:rPr>
          <w:rFonts w:hint="eastAsia" w:ascii="仿宋_GB2312" w:eastAsia="仿宋_GB2312"/>
          <w:sz w:val="32"/>
          <w:szCs w:val="32"/>
        </w:rPr>
        <w:t>严格按照中央和省州县关于宗教工作部署与要求，常态化开展宗教领域教育管理服务工作。</w:t>
      </w:r>
      <w:r>
        <w:rPr>
          <w:rFonts w:hint="eastAsia" w:ascii="仿宋_GB2312" w:hAnsi="仿宋_GB2312" w:eastAsia="仿宋_GB2312"/>
          <w:b/>
          <w:sz w:val="32"/>
          <w:szCs w:val="32"/>
        </w:rPr>
        <w:t>一是强化宣传教育。</w:t>
      </w:r>
      <w:r>
        <w:rPr>
          <w:rFonts w:hint="eastAsia" w:ascii="仿宋_GB2312" w:eastAsia="仿宋_GB2312"/>
          <w:sz w:val="32"/>
          <w:szCs w:val="32"/>
        </w:rPr>
        <w:t>组织县法制政策宣讲团、高僧大德宣讲团和片区寺庙法制宣讲组，按照宣讲对象精准、人员精准、内容精准、方式精准的要求，</w:t>
      </w:r>
      <w:r>
        <w:rPr>
          <w:rFonts w:hint="eastAsia" w:ascii="仿宋_GB2312" w:hAnsi="仿宋" w:eastAsia="仿宋_GB2312"/>
          <w:sz w:val="32"/>
          <w:szCs w:val="32"/>
        </w:rPr>
        <w:t>多层次、多渠道、多角度宣传党的政策方针和法律法规，深入推进“法律政策进寺庙”活动，</w:t>
      </w:r>
      <w:r>
        <w:rPr>
          <w:rFonts w:hint="eastAsia" w:ascii="仿宋_GB2312" w:eastAsia="仿宋_GB2312"/>
          <w:sz w:val="32"/>
          <w:szCs w:val="32"/>
        </w:rPr>
        <w:t>实现寺庙</w:t>
      </w:r>
      <w:r>
        <w:rPr>
          <w:rFonts w:hint="eastAsia" w:ascii="仿宋_GB2312" w:hAnsi="仿宋" w:eastAsia="仿宋_GB2312"/>
          <w:sz w:val="32"/>
          <w:szCs w:val="32"/>
        </w:rPr>
        <w:t>法律政策宣传专栏、法律图书角等全覆盖。深入开展“百千万工程”，举办专题培训班1次，培训寺管干部和宗教界代表人士50余人次。</w:t>
      </w:r>
      <w:r>
        <w:rPr>
          <w:rFonts w:hint="eastAsia" w:ascii="仿宋_GB2312" w:eastAsia="仿宋_GB2312"/>
          <w:b/>
          <w:sz w:val="32"/>
          <w:szCs w:val="32"/>
        </w:rPr>
        <w:t>二是完善制度体系。</w:t>
      </w:r>
      <w:r>
        <w:rPr>
          <w:rFonts w:hint="eastAsia" w:ascii="仿宋_GB2312" w:eastAsia="仿宋_GB2312"/>
          <w:sz w:val="32"/>
          <w:szCs w:val="32"/>
        </w:rPr>
        <w:t>进一步制定完善《寺庙爱国公约》《僧尼行为守则》《寺庙及僧尼服务信教群众管理办法》《寺庙佛事活动管理细则》</w:t>
      </w:r>
      <w:r>
        <w:rPr>
          <w:rFonts w:hint="eastAsia" w:ascii="仿宋_GB2312" w:hAnsi="仿宋_GB2312" w:eastAsia="仿宋_GB2312"/>
          <w:sz w:val="32"/>
          <w:szCs w:val="32"/>
        </w:rPr>
        <w:t>等规章制度。</w:t>
      </w:r>
      <w:r>
        <w:rPr>
          <w:rFonts w:hint="eastAsia" w:ascii="仿宋_GB2312" w:eastAsia="仿宋_GB2312"/>
          <w:sz w:val="32"/>
          <w:szCs w:val="32"/>
        </w:rPr>
        <w:t>严格执行</w:t>
      </w:r>
      <w:r>
        <w:rPr>
          <w:rFonts w:hint="eastAsia" w:ascii="仿宋_GB2312" w:hAnsi="仿宋_GB2312" w:eastAsia="仿宋_GB2312"/>
          <w:sz w:val="32"/>
          <w:szCs w:val="32"/>
        </w:rPr>
        <w:t>《入寺为僧管理制度》、严格入寺程序，控制寺庙人数规模；建立《外出外来学经人员管理办法》，</w:t>
      </w:r>
      <w:r>
        <w:rPr>
          <w:rFonts w:hint="eastAsia" w:ascii="仿宋_GB2312" w:eastAsia="仿宋_GB2312"/>
          <w:sz w:val="32"/>
          <w:szCs w:val="32"/>
        </w:rPr>
        <w:t>加强对休假返乡、异地学经人员和外来流动僧尼的管理。</w:t>
      </w:r>
      <w:r>
        <w:rPr>
          <w:rFonts w:hint="eastAsia" w:ascii="仿宋_GB2312" w:eastAsia="仿宋_GB2312"/>
          <w:b/>
          <w:bCs/>
          <w:color w:val="000000"/>
          <w:spacing w:val="4"/>
          <w:kern w:val="0"/>
          <w:sz w:val="32"/>
          <w:szCs w:val="32"/>
          <w:lang w:val="en-US" w:eastAsia="zh-CN"/>
        </w:rPr>
        <w:t>三</w:t>
      </w:r>
      <w:r>
        <w:rPr>
          <w:rFonts w:hint="eastAsia" w:ascii="仿宋_GB2312" w:eastAsia="仿宋_GB2312"/>
          <w:b/>
          <w:bCs/>
          <w:color w:val="000000"/>
          <w:spacing w:val="4"/>
          <w:kern w:val="0"/>
          <w:sz w:val="32"/>
          <w:szCs w:val="32"/>
        </w:rPr>
        <w:t>是实行</w:t>
      </w:r>
      <w:r>
        <w:rPr>
          <w:rFonts w:hint="eastAsia" w:ascii="仿宋_GB2312" w:eastAsia="仿宋_GB2312"/>
          <w:b/>
          <w:sz w:val="32"/>
          <w:szCs w:val="32"/>
        </w:rPr>
        <w:t>服务式</w:t>
      </w:r>
      <w:r>
        <w:rPr>
          <w:rFonts w:hint="eastAsia" w:ascii="仿宋_GB2312" w:eastAsia="仿宋_GB2312"/>
          <w:b/>
          <w:bCs/>
          <w:color w:val="000000"/>
          <w:spacing w:val="4"/>
          <w:kern w:val="0"/>
          <w:sz w:val="32"/>
          <w:szCs w:val="32"/>
        </w:rPr>
        <w:t>管理</w:t>
      </w:r>
      <w:r>
        <w:rPr>
          <w:rFonts w:hint="eastAsia" w:ascii="仿宋_GB2312" w:eastAsia="仿宋_GB2312"/>
          <w:b/>
          <w:sz w:val="32"/>
          <w:szCs w:val="32"/>
        </w:rPr>
        <w:t>。</w:t>
      </w:r>
      <w:r>
        <w:rPr>
          <w:rFonts w:hint="eastAsia" w:ascii="仿宋_GB2312" w:hAnsi="仿宋_GB2312" w:eastAsia="仿宋_GB2312"/>
          <w:sz w:val="32"/>
          <w:szCs w:val="32"/>
        </w:rPr>
        <w:t>全面</w:t>
      </w:r>
      <w:r>
        <w:rPr>
          <w:rFonts w:hint="eastAsia" w:ascii="仿宋_GB2312" w:eastAsia="仿宋_GB2312"/>
          <w:sz w:val="32"/>
          <w:szCs w:val="32"/>
        </w:rPr>
        <w:t>落实“五个一”工程，</w:t>
      </w:r>
      <w:r>
        <w:rPr>
          <w:rFonts w:hint="eastAsia" w:ascii="仿宋_GB2312" w:hAnsi="仿宋_GB2312" w:eastAsia="仿宋_GB2312"/>
          <w:sz w:val="32"/>
          <w:szCs w:val="32"/>
        </w:rPr>
        <w:t>僧尼学修条件得到进一步改善。积极将贫困僧尼纳入脱贫攻坚对象，纳入农村低保、五保供养、大骨节病的补贴范围，切实提高了僧尼享受普惠政策的覆盖率。</w:t>
      </w:r>
      <w:r>
        <w:rPr>
          <w:rFonts w:hint="eastAsia" w:ascii="仿宋_GB2312" w:eastAsia="仿宋_GB2312"/>
          <w:sz w:val="32"/>
          <w:szCs w:val="32"/>
        </w:rPr>
        <w:t>实施“城乡环境综合治理进寺庙”，建设公共环卫设施，引导僧尼除陋习、树新风。</w:t>
      </w:r>
      <w:r>
        <w:rPr>
          <w:rFonts w:hint="eastAsia" w:ascii="仿宋_GB2312" w:eastAsia="仿宋_GB2312"/>
          <w:b/>
          <w:bCs/>
          <w:sz w:val="32"/>
          <w:szCs w:val="32"/>
          <w:lang w:val="en-US" w:eastAsia="zh-CN"/>
        </w:rPr>
        <w:t>四</w:t>
      </w:r>
      <w:r>
        <w:rPr>
          <w:rFonts w:hint="eastAsia" w:ascii="仿宋_GB2312" w:eastAsia="仿宋_GB2312"/>
          <w:b/>
          <w:bCs/>
          <w:sz w:val="32"/>
          <w:szCs w:val="32"/>
        </w:rPr>
        <w:t>是坚决做好宗教活动场所疫情防控工作。</w:t>
      </w:r>
      <w:r>
        <w:rPr>
          <w:rFonts w:hint="eastAsia" w:ascii="仿宋_GB2312" w:hAnsi="仿宋_GB2312" w:eastAsia="仿宋_GB2312" w:cs="仿宋_GB2312"/>
          <w:color w:val="000000"/>
          <w:sz w:val="32"/>
          <w:szCs w:val="32"/>
        </w:rPr>
        <w:t>坚决贯彻落实中央、省委、州委和县委关于新型冠状病毒感染肺炎疫情防控工作决策部署，结合我县实际，制定寺庙疫情防控工作方案、预案，通过微信群、电话、宣传册等多种方式进行宣传，</w:t>
      </w:r>
      <w:r>
        <w:rPr>
          <w:rFonts w:hint="eastAsia" w:ascii="仿宋_GB2312" w:eastAsia="仿宋_GB2312"/>
          <w:sz w:val="32"/>
          <w:szCs w:val="32"/>
        </w:rPr>
        <w:t>持续推广“四川天府健康通”和场所码，各寺庙设立疫情防控值班卡点</w:t>
      </w:r>
      <w:r>
        <w:rPr>
          <w:rFonts w:hint="eastAsia" w:ascii="仿宋_GB2312" w:hAnsi="仿宋_GB2312" w:eastAsia="仿宋_GB2312" w:cs="仿宋_GB2312"/>
          <w:color w:val="000000"/>
          <w:sz w:val="32"/>
          <w:szCs w:val="32"/>
        </w:rPr>
        <w:t>，加强外来人员清理管控，积级组织僧尼进行新冠疫苗接种，1159名僧尼接种疫苗。</w:t>
      </w:r>
    </w:p>
    <w:p>
      <w:pPr>
        <w:pStyle w:val="10"/>
        <w:keepNext w:val="0"/>
        <w:keepLines w:val="0"/>
        <w:widowControl/>
        <w:suppressLineNumbers w:val="0"/>
        <w:ind w:left="0" w:right="75"/>
        <w:outlineLvl w:val="1"/>
        <w:rPr>
          <w:rFonts w:hint="eastAsia" w:ascii="黑体" w:hAnsi="黑体" w:eastAsia="黑体" w:cs="黑体"/>
          <w:sz w:val="32"/>
          <w:szCs w:val="32"/>
          <w:shd w:val="clear" w:color="auto" w:fill="FFFFFF"/>
        </w:rPr>
      </w:pPr>
      <w:bookmarkStart w:id="2" w:name="_Toc10295"/>
      <w:r>
        <w:rPr>
          <w:rFonts w:hint="eastAsia" w:ascii="黑体" w:hAnsi="黑体" w:eastAsia="黑体" w:cs="黑体"/>
          <w:sz w:val="32"/>
          <w:szCs w:val="32"/>
          <w:shd w:val="clear" w:color="auto" w:fill="FFFFFF"/>
        </w:rPr>
        <w:t>二、机构设置</w:t>
      </w:r>
      <w:bookmarkEnd w:id="2"/>
    </w:p>
    <w:p>
      <w:pPr>
        <w:pStyle w:val="10"/>
        <w:keepNext w:val="0"/>
        <w:keepLines w:val="0"/>
        <w:widowControl/>
        <w:suppressLineNumbers w:val="0"/>
        <w:ind w:left="0" w:right="75" w:firstLine="640" w:firstLineChars="200"/>
        <w:outlineLvl w:val="1"/>
        <w:rPr>
          <w:rFonts w:hint="eastAsia" w:ascii="仿宋" w:hAnsi="仿宋" w:eastAsia="仿宋" w:cs="仿宋"/>
          <w:sz w:val="32"/>
          <w:szCs w:val="32"/>
          <w:lang w:val="en-US"/>
        </w:rPr>
      </w:pPr>
      <w:r>
        <w:rPr>
          <w:rFonts w:hint="eastAsia" w:ascii="仿宋" w:hAnsi="仿宋" w:eastAsia="仿宋" w:cs="仿宋"/>
          <w:sz w:val="32"/>
          <w:szCs w:val="32"/>
        </w:rPr>
        <w:t>我</w:t>
      </w:r>
      <w:r>
        <w:rPr>
          <w:rFonts w:hint="eastAsia" w:ascii="仿宋" w:hAnsi="仿宋" w:eastAsia="仿宋" w:cs="仿宋"/>
          <w:sz w:val="32"/>
          <w:szCs w:val="32"/>
          <w:lang w:eastAsia="zh-CN"/>
        </w:rPr>
        <w:t>单位</w:t>
      </w:r>
      <w:r>
        <w:rPr>
          <w:rFonts w:hint="eastAsia" w:ascii="仿宋" w:hAnsi="仿宋" w:eastAsia="仿宋" w:cs="仿宋"/>
          <w:sz w:val="32"/>
          <w:szCs w:val="32"/>
        </w:rPr>
        <w:t>为独立核算全额拨款行政单位</w:t>
      </w:r>
      <w:r>
        <w:rPr>
          <w:rFonts w:hint="eastAsia" w:ascii="仿宋" w:hAnsi="仿宋" w:eastAsia="仿宋" w:cs="仿宋"/>
          <w:sz w:val="32"/>
          <w:szCs w:val="32"/>
          <w:lang w:val="en-US" w:eastAsia="zh-CN"/>
        </w:rPr>
        <w:t>和事业单位，</w:t>
      </w:r>
      <w:r>
        <w:rPr>
          <w:rFonts w:hint="eastAsia" w:ascii="仿宋" w:hAnsi="仿宋" w:eastAsia="仿宋" w:cs="仿宋"/>
          <w:sz w:val="32"/>
          <w:szCs w:val="32"/>
          <w:lang w:eastAsia="zh-CN"/>
        </w:rPr>
        <w:t>机构改革后县佛教协会归口统战部统一管理，单位行政编制</w:t>
      </w:r>
      <w:r>
        <w:rPr>
          <w:rFonts w:hint="eastAsia" w:ascii="仿宋" w:hAnsi="仿宋" w:eastAsia="仿宋" w:cs="仿宋"/>
          <w:sz w:val="32"/>
          <w:szCs w:val="32"/>
          <w:lang w:val="en-US"/>
        </w:rPr>
        <w:t>11</w:t>
      </w:r>
      <w:r>
        <w:rPr>
          <w:rFonts w:hint="eastAsia" w:ascii="仿宋" w:hAnsi="仿宋" w:eastAsia="仿宋" w:cs="仿宋"/>
          <w:sz w:val="32"/>
          <w:szCs w:val="32"/>
          <w:lang w:eastAsia="zh-CN"/>
        </w:rPr>
        <w:t>人，行政工勤编制</w:t>
      </w:r>
      <w:r>
        <w:rPr>
          <w:rFonts w:hint="eastAsia" w:ascii="仿宋" w:hAnsi="仿宋" w:eastAsia="仿宋" w:cs="仿宋"/>
          <w:sz w:val="32"/>
          <w:szCs w:val="32"/>
          <w:lang w:val="en-US"/>
        </w:rPr>
        <w:t>1</w:t>
      </w:r>
      <w:r>
        <w:rPr>
          <w:rFonts w:hint="eastAsia" w:ascii="仿宋" w:hAnsi="仿宋" w:eastAsia="仿宋" w:cs="仿宋"/>
          <w:sz w:val="32"/>
          <w:szCs w:val="32"/>
          <w:lang w:eastAsia="zh-CN"/>
        </w:rPr>
        <w:t>人，事业编制</w:t>
      </w:r>
      <w:r>
        <w:rPr>
          <w:rFonts w:hint="eastAsia" w:ascii="仿宋" w:hAnsi="仿宋" w:eastAsia="仿宋" w:cs="仿宋"/>
          <w:sz w:val="32"/>
          <w:szCs w:val="32"/>
          <w:lang w:val="en-US"/>
        </w:rPr>
        <w:t>2</w:t>
      </w:r>
      <w:r>
        <w:rPr>
          <w:rFonts w:hint="eastAsia" w:ascii="仿宋" w:hAnsi="仿宋" w:eastAsia="仿宋" w:cs="仿宋"/>
          <w:sz w:val="32"/>
          <w:szCs w:val="32"/>
          <w:lang w:eastAsia="zh-CN"/>
        </w:rPr>
        <w:t>人，佛协：行政编制</w:t>
      </w:r>
      <w:r>
        <w:rPr>
          <w:rFonts w:hint="eastAsia" w:ascii="仿宋" w:hAnsi="仿宋" w:eastAsia="仿宋" w:cs="仿宋"/>
          <w:sz w:val="32"/>
          <w:szCs w:val="32"/>
          <w:lang w:val="en-US"/>
        </w:rPr>
        <w:t>2</w:t>
      </w:r>
      <w:r>
        <w:rPr>
          <w:rFonts w:hint="eastAsia" w:ascii="仿宋" w:hAnsi="仿宋" w:eastAsia="仿宋" w:cs="仿宋"/>
          <w:sz w:val="32"/>
          <w:szCs w:val="32"/>
          <w:lang w:eastAsia="zh-CN"/>
        </w:rPr>
        <w:t>人，事业编制</w:t>
      </w:r>
      <w:r>
        <w:rPr>
          <w:rFonts w:hint="eastAsia" w:ascii="仿宋" w:hAnsi="仿宋" w:eastAsia="仿宋" w:cs="仿宋"/>
          <w:sz w:val="32"/>
          <w:szCs w:val="32"/>
          <w:lang w:val="en-US"/>
        </w:rPr>
        <w:t>2</w:t>
      </w:r>
      <w:r>
        <w:rPr>
          <w:rFonts w:hint="eastAsia" w:ascii="仿宋" w:hAnsi="仿宋" w:eastAsia="仿宋" w:cs="仿宋"/>
          <w:sz w:val="32"/>
          <w:szCs w:val="32"/>
          <w:lang w:eastAsia="zh-CN"/>
        </w:rPr>
        <w:t>人，事业工勤</w:t>
      </w:r>
      <w:r>
        <w:rPr>
          <w:rFonts w:hint="eastAsia" w:ascii="仿宋" w:hAnsi="仿宋" w:eastAsia="仿宋" w:cs="仿宋"/>
          <w:sz w:val="32"/>
          <w:szCs w:val="32"/>
          <w:lang w:val="en-US"/>
        </w:rPr>
        <w:t>1</w:t>
      </w:r>
      <w:r>
        <w:rPr>
          <w:rFonts w:hint="eastAsia" w:ascii="仿宋" w:hAnsi="仿宋" w:eastAsia="仿宋" w:cs="仿宋"/>
          <w:sz w:val="32"/>
          <w:szCs w:val="32"/>
          <w:lang w:eastAsia="zh-CN"/>
        </w:rPr>
        <w:t>人。较上年度减少一人，主要原因为单位人事变动。</w:t>
      </w:r>
    </w:p>
    <w:p>
      <w:pPr>
        <w:pStyle w:val="10"/>
        <w:keepNext w:val="0"/>
        <w:keepLines w:val="0"/>
        <w:widowControl/>
        <w:suppressLineNumbers w:val="0"/>
        <w:ind w:right="75" w:firstLine="880" w:firstLineChars="200"/>
        <w:jc w:val="both"/>
        <w:outlineLvl w:val="0"/>
        <w:rPr>
          <w:rFonts w:hint="eastAsia" w:ascii="黑体" w:hAnsi="黑体" w:eastAsia="黑体" w:cs="黑体"/>
          <w:sz w:val="44"/>
          <w:szCs w:val="44"/>
        </w:rPr>
      </w:pPr>
      <w:bookmarkStart w:id="3" w:name="_Toc6796"/>
      <w:r>
        <w:rPr>
          <w:rFonts w:hint="eastAsia" w:ascii="黑体" w:hAnsi="黑体" w:eastAsia="黑体" w:cs="黑体"/>
          <w:sz w:val="44"/>
          <w:szCs w:val="44"/>
          <w:shd w:val="clear" w:color="auto" w:fill="FFFFFF"/>
        </w:rPr>
        <w:t>第二部分 202</w:t>
      </w:r>
      <w:r>
        <w:rPr>
          <w:rFonts w:hint="eastAsia" w:ascii="黑体" w:hAnsi="黑体" w:eastAsia="黑体" w:cs="黑体"/>
          <w:sz w:val="44"/>
          <w:szCs w:val="44"/>
          <w:shd w:val="clear" w:color="auto" w:fill="FFFFFF"/>
          <w:lang w:val="en-US" w:eastAsia="zh-CN"/>
        </w:rPr>
        <w:t>1</w:t>
      </w:r>
      <w:r>
        <w:rPr>
          <w:rFonts w:hint="eastAsia" w:ascii="黑体" w:hAnsi="黑体" w:eastAsia="黑体" w:cs="黑体"/>
          <w:sz w:val="44"/>
          <w:szCs w:val="44"/>
          <w:shd w:val="clear" w:color="auto" w:fill="FFFFFF"/>
        </w:rPr>
        <w:t>年度部门决算情况说明</w:t>
      </w:r>
      <w:bookmarkEnd w:id="3"/>
    </w:p>
    <w:p>
      <w:pPr>
        <w:pStyle w:val="10"/>
        <w:keepNext w:val="0"/>
        <w:keepLines w:val="0"/>
        <w:widowControl/>
        <w:suppressLineNumbers w:val="0"/>
        <w:ind w:left="0" w:right="75"/>
        <w:outlineLvl w:val="1"/>
        <w:rPr>
          <w:rFonts w:hint="eastAsia" w:ascii="黑体" w:hAnsi="黑体" w:eastAsia="黑体" w:cs="黑体"/>
          <w:sz w:val="32"/>
          <w:szCs w:val="32"/>
          <w:shd w:val="clear" w:color="auto" w:fill="FFFFFF"/>
        </w:rPr>
      </w:pPr>
      <w:bookmarkStart w:id="4" w:name="_Toc23902"/>
      <w:r>
        <w:rPr>
          <w:rFonts w:hint="eastAsia" w:ascii="黑体" w:hAnsi="黑体" w:eastAsia="黑体" w:cs="黑体"/>
          <w:sz w:val="32"/>
          <w:szCs w:val="32"/>
          <w:shd w:val="clear" w:color="auto" w:fill="FFFFFF"/>
        </w:rPr>
        <w:t>一、 收入支出决算总体情况说明</w:t>
      </w:r>
      <w:bookmarkEnd w:id="4"/>
    </w:p>
    <w:p>
      <w:pPr>
        <w:spacing w:line="576" w:lineRule="exact"/>
        <w:ind w:left="0" w:firstLine="640" w:firstLineChars="200"/>
        <w:rPr>
          <w:rFonts w:hint="eastAsia" w:ascii="仿宋" w:hAnsi="仿宋" w:eastAsia="仿宋" w:cs="仿宋"/>
          <w:sz w:val="32"/>
          <w:szCs w:val="32"/>
          <w:lang w:val="en-US"/>
        </w:rPr>
      </w:pPr>
      <w:r>
        <w:rPr>
          <w:rFonts w:hint="eastAsia" w:ascii="仿宋" w:hAnsi="仿宋" w:eastAsia="仿宋" w:cs="仿宋"/>
          <w:sz w:val="32"/>
          <w:szCs w:val="32"/>
          <w:shd w:val="clear" w:fill="FFFFFF"/>
          <w:lang w:eastAsia="zh-CN"/>
        </w:rPr>
        <w:t>本单位本年度收入的年初预算数为</w:t>
      </w:r>
      <w:r>
        <w:rPr>
          <w:rFonts w:hint="eastAsia" w:ascii="仿宋" w:hAnsi="仿宋" w:eastAsia="仿宋" w:cs="仿宋"/>
          <w:sz w:val="32"/>
          <w:szCs w:val="32"/>
          <w:shd w:val="clear" w:fill="FFFFFF"/>
          <w:lang w:val="en-US"/>
        </w:rPr>
        <w:t>363.16</w:t>
      </w:r>
      <w:r>
        <w:rPr>
          <w:rFonts w:hint="eastAsia" w:ascii="仿宋" w:hAnsi="仿宋" w:eastAsia="仿宋" w:cs="仿宋"/>
          <w:sz w:val="32"/>
          <w:szCs w:val="32"/>
          <w:shd w:val="clear" w:fill="FFFFFF"/>
          <w:lang w:eastAsia="zh-CN"/>
        </w:rPr>
        <w:t>万元，</w:t>
      </w:r>
      <w:r>
        <w:rPr>
          <w:rFonts w:hint="eastAsia" w:ascii="仿宋" w:hAnsi="仿宋" w:eastAsia="仿宋" w:cs="仿宋"/>
          <w:sz w:val="32"/>
          <w:szCs w:val="32"/>
          <w:lang w:eastAsia="zh-CN"/>
        </w:rPr>
        <w:t>上年度收入的年初预算数为</w:t>
      </w:r>
      <w:r>
        <w:rPr>
          <w:rFonts w:hint="eastAsia" w:ascii="仿宋" w:hAnsi="仿宋" w:eastAsia="仿宋" w:cs="仿宋"/>
          <w:sz w:val="32"/>
          <w:szCs w:val="32"/>
          <w:lang w:val="en-US"/>
        </w:rPr>
        <w:t>334.09</w:t>
      </w:r>
      <w:r>
        <w:rPr>
          <w:rFonts w:hint="eastAsia" w:ascii="仿宋" w:hAnsi="仿宋" w:eastAsia="仿宋" w:cs="仿宋"/>
          <w:sz w:val="32"/>
          <w:szCs w:val="32"/>
          <w:lang w:eastAsia="zh-CN"/>
        </w:rPr>
        <w:t>万元</w:t>
      </w:r>
      <w:r>
        <w:rPr>
          <w:rFonts w:hint="eastAsia" w:ascii="仿宋" w:hAnsi="仿宋" w:eastAsia="仿宋" w:cs="仿宋"/>
          <w:sz w:val="32"/>
          <w:szCs w:val="32"/>
          <w:shd w:val="clear" w:fill="FFFFFF"/>
          <w:lang w:eastAsia="zh-CN"/>
        </w:rPr>
        <w:t>，增加了</w:t>
      </w:r>
      <w:r>
        <w:rPr>
          <w:rFonts w:hint="eastAsia" w:ascii="仿宋" w:hAnsi="仿宋" w:eastAsia="仿宋" w:cs="仿宋"/>
          <w:sz w:val="32"/>
          <w:szCs w:val="32"/>
          <w:shd w:val="clear" w:fill="FFFFFF"/>
          <w:lang w:val="en-US"/>
        </w:rPr>
        <w:t>29.7</w:t>
      </w:r>
      <w:r>
        <w:rPr>
          <w:rFonts w:hint="eastAsia" w:ascii="仿宋" w:hAnsi="仿宋" w:eastAsia="仿宋" w:cs="仿宋"/>
          <w:sz w:val="32"/>
          <w:szCs w:val="32"/>
          <w:shd w:val="clear" w:fill="FFFFFF"/>
          <w:lang w:eastAsia="zh-CN"/>
        </w:rPr>
        <w:t>；</w:t>
      </w:r>
      <w:r>
        <w:rPr>
          <w:rStyle w:val="18"/>
          <w:rFonts w:hint="eastAsia" w:ascii="仿宋" w:hAnsi="仿宋" w:eastAsia="仿宋" w:cs="仿宋"/>
          <w:b w:val="0"/>
          <w:sz w:val="32"/>
          <w:szCs w:val="32"/>
          <w:shd w:val="clear" w:fill="FFFFFF"/>
          <w:lang w:eastAsia="zh-CN"/>
        </w:rPr>
        <w:t>主要原因增加上年结转结余资金</w:t>
      </w:r>
      <w:r>
        <w:rPr>
          <w:rStyle w:val="18"/>
          <w:rFonts w:hint="eastAsia" w:ascii="仿宋" w:hAnsi="仿宋" w:eastAsia="仿宋" w:cs="仿宋"/>
          <w:b w:val="0"/>
          <w:sz w:val="32"/>
          <w:szCs w:val="32"/>
          <w:shd w:val="clear" w:fill="FFFFFF"/>
          <w:lang w:val="en-US"/>
        </w:rPr>
        <w:t>31.06</w:t>
      </w:r>
      <w:r>
        <w:rPr>
          <w:rStyle w:val="18"/>
          <w:rFonts w:hint="eastAsia" w:ascii="仿宋" w:hAnsi="仿宋" w:eastAsia="仿宋" w:cs="仿宋"/>
          <w:b w:val="0"/>
          <w:sz w:val="32"/>
          <w:szCs w:val="32"/>
          <w:shd w:val="clear" w:fill="FFFFFF"/>
          <w:lang w:eastAsia="zh-CN"/>
        </w:rPr>
        <w:t>万元</w:t>
      </w:r>
      <w:r>
        <w:rPr>
          <w:rFonts w:hint="eastAsia" w:ascii="仿宋" w:hAnsi="仿宋" w:eastAsia="仿宋" w:cs="仿宋"/>
          <w:sz w:val="32"/>
          <w:szCs w:val="32"/>
          <w:shd w:val="clear" w:fill="FFFFFF"/>
          <w:lang w:eastAsia="zh-CN"/>
        </w:rPr>
        <w:t>。本年度支出的年初预算数为</w:t>
      </w:r>
      <w:r>
        <w:rPr>
          <w:rFonts w:hint="eastAsia" w:ascii="仿宋" w:hAnsi="仿宋" w:eastAsia="仿宋" w:cs="仿宋"/>
          <w:sz w:val="32"/>
          <w:szCs w:val="32"/>
          <w:shd w:val="clear" w:fill="FFFFFF"/>
          <w:lang w:val="en-US"/>
        </w:rPr>
        <w:t xml:space="preserve"> 394.23</w:t>
      </w:r>
      <w:r>
        <w:rPr>
          <w:rFonts w:hint="eastAsia" w:ascii="仿宋" w:hAnsi="仿宋" w:eastAsia="仿宋" w:cs="仿宋"/>
          <w:sz w:val="32"/>
          <w:szCs w:val="32"/>
          <w:shd w:val="clear" w:fill="FFFFFF"/>
          <w:lang w:eastAsia="zh-CN"/>
        </w:rPr>
        <w:t>万元，上年度支出的年初预算数为</w:t>
      </w:r>
      <w:r>
        <w:rPr>
          <w:rFonts w:hint="eastAsia" w:ascii="仿宋" w:hAnsi="仿宋" w:eastAsia="仿宋" w:cs="仿宋"/>
          <w:sz w:val="32"/>
          <w:szCs w:val="32"/>
          <w:shd w:val="clear" w:fill="FFFFFF"/>
          <w:lang w:val="en-US"/>
        </w:rPr>
        <w:t>334.09</w:t>
      </w:r>
      <w:r>
        <w:rPr>
          <w:rFonts w:hint="eastAsia" w:ascii="仿宋" w:hAnsi="仿宋" w:eastAsia="仿宋" w:cs="仿宋"/>
          <w:sz w:val="32"/>
          <w:szCs w:val="32"/>
          <w:shd w:val="clear" w:fill="FFFFFF"/>
          <w:lang w:eastAsia="zh-CN"/>
        </w:rPr>
        <w:t>万元，增加了</w:t>
      </w:r>
      <w:r>
        <w:rPr>
          <w:rFonts w:hint="eastAsia" w:ascii="仿宋" w:hAnsi="仿宋" w:eastAsia="仿宋" w:cs="仿宋"/>
          <w:sz w:val="32"/>
          <w:szCs w:val="32"/>
          <w:shd w:val="clear" w:fill="FFFFFF"/>
          <w:lang w:val="en-US"/>
        </w:rPr>
        <w:t>60.14</w:t>
      </w:r>
      <w:r>
        <w:rPr>
          <w:rFonts w:hint="eastAsia" w:ascii="仿宋" w:hAnsi="仿宋" w:eastAsia="仿宋" w:cs="仿宋"/>
          <w:sz w:val="32"/>
          <w:szCs w:val="32"/>
          <w:shd w:val="clear" w:fill="FFFFFF"/>
          <w:lang w:eastAsia="zh-CN"/>
        </w:rPr>
        <w:t>万元；</w:t>
      </w:r>
      <w:r>
        <w:rPr>
          <w:rStyle w:val="18"/>
          <w:rFonts w:hint="eastAsia" w:ascii="仿宋" w:hAnsi="仿宋" w:eastAsia="仿宋" w:cs="仿宋"/>
          <w:b w:val="0"/>
          <w:sz w:val="32"/>
          <w:szCs w:val="32"/>
          <w:shd w:val="clear" w:fill="FFFFFF"/>
          <w:lang w:eastAsia="zh-CN"/>
        </w:rPr>
        <w:t>主要原因为原因</w:t>
      </w:r>
      <w:r>
        <w:rPr>
          <w:rFonts w:hint="eastAsia" w:ascii="仿宋" w:hAnsi="仿宋" w:eastAsia="仿宋" w:cs="仿宋"/>
          <w:sz w:val="32"/>
          <w:szCs w:val="32"/>
          <w:lang w:eastAsia="zh-CN"/>
        </w:rPr>
        <w:t>主要变动原因是追加解决金堂管理站提升改造项目资金。增加了藏传佛教寺庙维修及爱国主义教育经费和中央卫生健康专项补助资金项目的支出。中央卫生健康专项补助资金。</w:t>
      </w:r>
    </w:p>
    <w:p>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：收、支决算变动情况图）（柱状图）</w:t>
      </w:r>
    </w:p>
    <w:p>
      <w:pPr>
        <w:pStyle w:val="2"/>
        <w:rPr>
          <w:rFonts w:hint="default" w:ascii="仿宋" w:hAnsi="仿宋" w:eastAsia="仿宋"/>
          <w:color w:val="000000"/>
          <w:sz w:val="32"/>
          <w:szCs w:val="32"/>
          <w:lang w:val="en-US" w:eastAsia="zh-CN"/>
        </w:rPr>
      </w:pPr>
      <w:r>
        <w:rPr>
          <w:rFonts w:hint="eastAsia" w:ascii="仿宋_GB2312" w:hAnsi="仿宋_GB2312" w:eastAsia="仿宋_GB2312" w:cs="仿宋_GB2312"/>
          <w:sz w:val="32"/>
          <w:szCs w:val="32"/>
          <w:lang w:val="en-US"/>
        </w:rPr>
        <w:drawing>
          <wp:inline distT="0" distB="0" distL="114300" distR="114300">
            <wp:extent cx="5343525" cy="2171700"/>
            <wp:effectExtent l="0" t="0" r="9525" b="0"/>
            <wp:docPr id="9" name="图片 3"/>
            <wp:cNvGraphicFramePr/>
            <a:graphic xmlns:a="http://schemas.openxmlformats.org/drawingml/2006/main">
              <a:graphicData uri="http://schemas.openxmlformats.org/drawingml/2006/picture">
                <pic:pic xmlns:pic="http://schemas.openxmlformats.org/drawingml/2006/picture">
                  <pic:nvPicPr>
                    <pic:cNvPr id="9" name="图片 3"/>
                    <pic:cNvPicPr/>
                  </pic:nvPicPr>
                  <pic:blipFill>
                    <a:blip r:embed="rId5"/>
                    <a:stretch>
                      <a:fillRect/>
                    </a:stretch>
                  </pic:blipFill>
                  <pic:spPr>
                    <a:xfrm>
                      <a:off x="0" y="0"/>
                      <a:ext cx="5343525" cy="2171700"/>
                    </a:xfrm>
                    <a:prstGeom prst="rect">
                      <a:avLst/>
                    </a:prstGeom>
                    <a:noFill/>
                    <a:ln>
                      <a:noFill/>
                    </a:ln>
                  </pic:spPr>
                </pic:pic>
              </a:graphicData>
            </a:graphic>
          </wp:inline>
        </w:drawing>
      </w:r>
    </w:p>
    <w:p>
      <w:pPr>
        <w:pStyle w:val="10"/>
        <w:keepNext w:val="0"/>
        <w:keepLines w:val="0"/>
        <w:widowControl/>
        <w:numPr>
          <w:ilvl w:val="0"/>
          <w:numId w:val="1"/>
        </w:numPr>
        <w:suppressLineNumbers w:val="0"/>
        <w:shd w:val="clear" w:color="auto" w:fill="auto"/>
        <w:ind w:left="0" w:right="75"/>
        <w:jc w:val="left"/>
        <w:outlineLvl w:val="1"/>
        <w:rPr>
          <w:rFonts w:hint="eastAsia" w:ascii="仿宋" w:hAnsi="仿宋" w:eastAsia="仿宋"/>
          <w:color w:val="000000"/>
          <w:sz w:val="32"/>
          <w:szCs w:val="32"/>
          <w:lang w:eastAsia="zh-CN"/>
        </w:rPr>
      </w:pPr>
      <w:bookmarkStart w:id="5" w:name="_Toc21346"/>
      <w:r>
        <w:rPr>
          <w:rFonts w:hint="eastAsia" w:ascii="黑体" w:hAnsi="黑体" w:eastAsia="黑体" w:cs="黑体"/>
          <w:sz w:val="32"/>
          <w:szCs w:val="32"/>
          <w:shd w:val="clear" w:color="auto" w:fill="FFFFFF"/>
        </w:rPr>
        <w:t>收入决算情况说明</w:t>
      </w:r>
      <w:bookmarkEnd w:id="5"/>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521.35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其中一般公共财政拨款收入</w:t>
      </w:r>
      <w:r>
        <w:rPr>
          <w:rFonts w:hint="eastAsia" w:ascii="仿宋" w:hAnsi="仿宋" w:eastAsia="仿宋"/>
          <w:color w:val="000000"/>
          <w:sz w:val="32"/>
          <w:szCs w:val="32"/>
          <w:lang w:val="en-US" w:eastAsia="zh-CN"/>
        </w:rPr>
        <w:t>521.35万元，无其他收入。</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0"/>
        <w:keepNext w:val="0"/>
        <w:keepLines w:val="0"/>
        <w:widowControl/>
        <w:numPr>
          <w:ilvl w:val="0"/>
          <w:numId w:val="0"/>
        </w:numPr>
        <w:suppressLineNumbers w:val="0"/>
        <w:shd w:val="clear" w:color="auto" w:fill="auto"/>
        <w:ind w:right="75" w:rightChars="0" w:firstLine="640" w:firstLineChars="200"/>
        <w:jc w:val="left"/>
        <w:rPr>
          <w:rFonts w:hint="eastAsia" w:ascii="黑体" w:hAnsi="黑体" w:eastAsia="黑体" w:cs="黑体"/>
          <w:sz w:val="32"/>
          <w:szCs w:val="32"/>
          <w:shd w:val="clear" w:color="auto" w:fill="FFFFFF"/>
        </w:rPr>
      </w:pPr>
      <w:r>
        <w:rPr>
          <w:rFonts w:hint="eastAsia" w:ascii="仿宋" w:hAnsi="仿宋" w:eastAsia="仿宋"/>
          <w:color w:val="000000"/>
          <w:sz w:val="32"/>
          <w:szCs w:val="32"/>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6">
            <o:LockedField>false</o:LockedField>
          </o:OLEObject>
        </w:object>
      </w:r>
      <w:r>
        <w:rPr>
          <w:rFonts w:hint="eastAsia" w:ascii="仿宋" w:hAnsi="仿宋" w:eastAsia="仿宋"/>
          <w:color w:val="000000"/>
          <w:sz w:val="32"/>
          <w:szCs w:val="32"/>
          <w:lang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7">
            <o:LockedField>false</o:LockedField>
          </o:OLEObject>
        </w:object>
      </w:r>
      <w:r>
        <w:rPr>
          <w:rFonts w:hint="eastAsia" w:ascii="仿宋" w:hAnsi="仿宋" w:eastAsia="仿宋"/>
          <w:color w:val="000000"/>
          <w:sz w:val="32"/>
          <w:szCs w:val="32"/>
          <w:lang w:eastAsia="zh-CN"/>
        </w:rPr>
        <w:drawing>
          <wp:inline distT="0" distB="0" distL="114300" distR="114300">
            <wp:extent cx="3890010" cy="1713865"/>
            <wp:effectExtent l="4445" t="5080" r="1079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0"/>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6" w:name="_Toc21019"/>
      <w:r>
        <w:rPr>
          <w:rFonts w:hint="eastAsia" w:ascii="黑体" w:hAnsi="黑体" w:eastAsia="黑体" w:cs="黑体"/>
          <w:sz w:val="32"/>
          <w:szCs w:val="32"/>
          <w:shd w:val="clear" w:color="auto" w:fill="FFFFFF"/>
        </w:rPr>
        <w:t>支出决算情况说明</w:t>
      </w:r>
      <w:bookmarkEnd w:id="6"/>
    </w:p>
    <w:p>
      <w:pPr>
        <w:pStyle w:val="10"/>
        <w:spacing w:before="0" w:beforeAutospacing="0"/>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2021年本年支出合计</w:t>
      </w:r>
      <w:r>
        <w:rPr>
          <w:rFonts w:hint="eastAsia" w:ascii="仿宋_GB2312" w:hAnsi="仿宋_GB2312" w:eastAsia="仿宋_GB2312" w:cs="仿宋_GB2312"/>
          <w:sz w:val="32"/>
          <w:szCs w:val="32"/>
          <w:shd w:val="clear" w:fill="FFFFFF"/>
          <w:lang w:eastAsia="zh-CN"/>
        </w:rPr>
        <w:t xml:space="preserve"> 为</w:t>
      </w:r>
      <w:r>
        <w:rPr>
          <w:rFonts w:hint="eastAsia" w:ascii="仿宋_GB2312" w:hAnsi="仿宋_GB2312" w:eastAsia="仿宋_GB2312" w:cs="仿宋_GB2312"/>
          <w:sz w:val="32"/>
          <w:szCs w:val="32"/>
          <w:shd w:val="clear" w:fill="FFFFFF"/>
          <w:lang w:val="en-US"/>
        </w:rPr>
        <w:t>551.88</w:t>
      </w:r>
      <w:r>
        <w:rPr>
          <w:rFonts w:hint="eastAsia" w:ascii="仿宋_GB2312" w:hAnsi="仿宋_GB2312" w:eastAsia="仿宋_GB2312" w:cs="仿宋_GB2312"/>
          <w:sz w:val="32"/>
          <w:szCs w:val="32"/>
          <w:shd w:val="clear" w:fill="FFFFFF"/>
          <w:lang w:eastAsia="zh-CN"/>
        </w:rPr>
        <w:t>万元</w:t>
      </w:r>
      <w:r>
        <w:rPr>
          <w:rFonts w:hint="eastAsia" w:ascii="仿宋" w:hAnsi="仿宋" w:eastAsia="仿宋"/>
          <w:color w:val="000000"/>
          <w:sz w:val="32"/>
          <w:szCs w:val="32"/>
        </w:rPr>
        <w:t>，其中：基本支出</w:t>
      </w:r>
      <w:r>
        <w:rPr>
          <w:rFonts w:hint="eastAsia" w:ascii="仿宋" w:hAnsi="仿宋" w:eastAsia="仿宋"/>
          <w:color w:val="000000"/>
          <w:sz w:val="32"/>
          <w:szCs w:val="32"/>
          <w:lang w:val="en-US" w:eastAsia="zh-CN"/>
        </w:rPr>
        <w:t>444.14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80.47</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107.74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19.52</w:t>
      </w:r>
      <w:r>
        <w:rPr>
          <w:rFonts w:hint="eastAsia" w:ascii="仿宋" w:hAnsi="仿宋" w:eastAsia="仿宋"/>
          <w:color w:val="000000"/>
          <w:sz w:val="32"/>
          <w:szCs w:val="32"/>
        </w:rPr>
        <w:t>%；上缴上级支出0.00万元，占0.00%；经营支出0.00万元，占经营支出0.00万元，占 0.00%；对附属单位补助支出0.00万元，占0.00%</w:t>
      </w:r>
    </w:p>
    <w:p>
      <w:pPr>
        <w:pStyle w:val="10"/>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rPr>
        <w:t>（图3：支出决算结构图）（饼状图）</w:t>
      </w:r>
    </w:p>
    <w:p>
      <w:pPr>
        <w:pStyle w:val="10"/>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080000" cy="2918460"/>
            <wp:effectExtent l="4445" t="4445" r="20955"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10"/>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7" w:name="_Toc7956"/>
      <w:r>
        <w:rPr>
          <w:rFonts w:hint="eastAsia" w:ascii="黑体" w:hAnsi="黑体" w:eastAsia="黑体" w:cs="黑体"/>
          <w:sz w:val="32"/>
          <w:szCs w:val="32"/>
          <w:shd w:val="clear" w:color="auto" w:fill="FFFFFF"/>
        </w:rPr>
        <w:t>财政拨款收入支出决算总体情况说明</w:t>
      </w:r>
      <w:bookmarkEnd w:id="7"/>
    </w:p>
    <w:p>
      <w:pPr>
        <w:pStyle w:val="10"/>
        <w:keepNext w:val="0"/>
        <w:keepLines w:val="0"/>
        <w:widowControl/>
        <w:suppressLineNumbers w:val="0"/>
        <w:ind w:left="0" w:right="75"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年度收入</w:t>
      </w:r>
      <w:r>
        <w:rPr>
          <w:rFonts w:hint="eastAsia" w:ascii="仿宋" w:hAnsi="仿宋" w:eastAsia="仿宋"/>
          <w:color w:val="000000"/>
          <w:sz w:val="32"/>
          <w:szCs w:val="32"/>
          <w:lang w:val="en-US" w:eastAsia="zh-CN"/>
        </w:rPr>
        <w:t>521.34</w:t>
      </w:r>
      <w:r>
        <w:rPr>
          <w:rFonts w:hint="eastAsia" w:ascii="仿宋" w:hAnsi="仿宋" w:eastAsia="仿宋"/>
          <w:color w:val="000000"/>
          <w:sz w:val="32"/>
          <w:szCs w:val="32"/>
        </w:rPr>
        <w:t>万元，支出</w:t>
      </w:r>
      <w:r>
        <w:rPr>
          <w:rFonts w:hint="eastAsia" w:ascii="仿宋" w:hAnsi="仿宋" w:eastAsia="仿宋"/>
          <w:color w:val="000000"/>
          <w:sz w:val="32"/>
          <w:szCs w:val="32"/>
          <w:lang w:val="en-US" w:eastAsia="zh-CN"/>
        </w:rPr>
        <w:t>551.88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与2</w:t>
      </w:r>
      <w:r>
        <w:rPr>
          <w:rFonts w:hint="eastAsia" w:ascii="仿宋" w:hAnsi="仿宋" w:eastAsia="仿宋"/>
          <w:color w:val="000000"/>
          <w:sz w:val="32"/>
          <w:szCs w:val="32"/>
          <w:lang w:val="en-US" w:eastAsia="zh-CN"/>
        </w:rPr>
        <w:t>020</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100.56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19.29</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128.21万元，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23.23</w:t>
      </w:r>
      <w:r>
        <w:rPr>
          <w:rFonts w:hint="eastAsia" w:ascii="仿宋" w:hAnsi="仿宋" w:eastAsia="仿宋"/>
          <w:color w:val="000000"/>
          <w:sz w:val="32"/>
          <w:szCs w:val="32"/>
        </w:rPr>
        <w:t>%</w:t>
      </w:r>
      <w:r>
        <w:rPr>
          <w:rFonts w:hint="eastAsia" w:ascii="仿宋" w:hAnsi="仿宋" w:eastAsia="仿宋"/>
          <w:color w:val="000000"/>
          <w:sz w:val="32"/>
          <w:szCs w:val="32"/>
          <w:lang w:eastAsia="zh-CN"/>
        </w:rPr>
        <w:t>，收入支出均增加主要原因：</w:t>
      </w:r>
      <w:r>
        <w:rPr>
          <w:rFonts w:hint="eastAsia" w:ascii="仿宋" w:hAnsi="仿宋" w:eastAsia="仿宋"/>
          <w:b/>
          <w:bCs/>
          <w:color w:val="000000"/>
          <w:sz w:val="32"/>
          <w:szCs w:val="32"/>
          <w:lang w:eastAsia="zh-CN"/>
        </w:rPr>
        <w:t>一是</w:t>
      </w:r>
      <w:r>
        <w:rPr>
          <w:rFonts w:hint="eastAsia" w:ascii="仿宋" w:hAnsi="仿宋" w:eastAsia="仿宋"/>
          <w:b w:val="0"/>
          <w:bCs w:val="0"/>
          <w:color w:val="000000"/>
          <w:sz w:val="32"/>
          <w:szCs w:val="32"/>
          <w:lang w:val="en-US" w:eastAsia="zh-CN"/>
        </w:rPr>
        <w:t>住房公积金和社会保险较上年有所增加，2021年项目支出比2020年项目支出增加了18.47万元；</w:t>
      </w:r>
      <w:r>
        <w:rPr>
          <w:rFonts w:hint="eastAsia" w:ascii="仿宋" w:hAnsi="仿宋" w:eastAsia="仿宋"/>
          <w:b/>
          <w:bCs/>
          <w:color w:val="000000"/>
          <w:sz w:val="32"/>
          <w:szCs w:val="32"/>
          <w:lang w:val="en-US" w:eastAsia="zh-CN"/>
        </w:rPr>
        <w:t>二是</w:t>
      </w:r>
      <w:r>
        <w:rPr>
          <w:rFonts w:hint="eastAsia" w:ascii="仿宋" w:hAnsi="仿宋" w:eastAsia="仿宋"/>
          <w:color w:val="000000"/>
          <w:sz w:val="32"/>
          <w:szCs w:val="32"/>
          <w:lang w:val="en-US" w:eastAsia="zh-CN"/>
        </w:rPr>
        <w:t>21年发放的20年目标奖较20年发放19年目标奖高。</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10"/>
        <w:keepNext w:val="0"/>
        <w:keepLines w:val="0"/>
        <w:widowControl/>
        <w:numPr>
          <w:ilvl w:val="0"/>
          <w:numId w:val="0"/>
        </w:numPr>
        <w:suppressLineNumbers w:val="0"/>
        <w:shd w:val="clear" w:color="auto" w:fill="auto"/>
        <w:ind w:leftChars="0" w:right="75" w:rightChars="0"/>
        <w:jc w:val="left"/>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drawing>
          <wp:inline distT="0" distB="0" distL="114300" distR="114300">
            <wp:extent cx="5080000" cy="26289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10"/>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8" w:name="_Toc23149"/>
      <w:r>
        <w:rPr>
          <w:rFonts w:hint="eastAsia" w:ascii="黑体" w:hAnsi="黑体" w:eastAsia="黑体" w:cs="黑体"/>
          <w:sz w:val="32"/>
          <w:szCs w:val="32"/>
          <w:shd w:val="clear" w:color="auto" w:fill="FFFFFF"/>
        </w:rPr>
        <w:t>五、一般公共预算财政拨款支出决算情况说明</w:t>
      </w:r>
      <w:bookmarkEnd w:id="8"/>
    </w:p>
    <w:p>
      <w:pPr>
        <w:pStyle w:val="10"/>
        <w:keepNext w:val="0"/>
        <w:keepLines w:val="0"/>
        <w:widowControl/>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（一）一般公共预算财政拨款支出决算总体情况</w:t>
      </w:r>
    </w:p>
    <w:p>
      <w:pPr>
        <w:pStyle w:val="10"/>
        <w:keepNext w:val="0"/>
        <w:keepLines w:val="0"/>
        <w:widowControl/>
        <w:suppressLineNumbers w:val="0"/>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551.88</w:t>
      </w:r>
      <w:r>
        <w:rPr>
          <w:rFonts w:hint="eastAsia" w:ascii="仿宋" w:hAnsi="仿宋" w:eastAsia="仿宋"/>
          <w:color w:val="000000"/>
          <w:sz w:val="32"/>
          <w:szCs w:val="32"/>
        </w:rPr>
        <w:t>万元，与2</w:t>
      </w:r>
      <w:r>
        <w:rPr>
          <w:rFonts w:hint="eastAsia" w:ascii="仿宋" w:hAnsi="仿宋" w:eastAsia="仿宋"/>
          <w:color w:val="000000"/>
          <w:sz w:val="32"/>
          <w:szCs w:val="32"/>
          <w:lang w:val="en-US" w:eastAsia="zh-CN"/>
        </w:rPr>
        <w:t>020</w:t>
      </w:r>
      <w:r>
        <w:rPr>
          <w:rFonts w:hint="eastAsia" w:ascii="仿宋" w:hAnsi="仿宋" w:eastAsia="仿宋"/>
          <w:color w:val="000000"/>
          <w:sz w:val="32"/>
          <w:szCs w:val="32"/>
        </w:rPr>
        <w:t>年相比，</w:t>
      </w:r>
      <w:r>
        <w:rPr>
          <w:rFonts w:hint="eastAsia" w:ascii="仿宋" w:hAnsi="仿宋" w:eastAsia="仿宋"/>
          <w:color w:val="000000"/>
          <w:sz w:val="32"/>
          <w:szCs w:val="32"/>
          <w:lang w:val="en-US" w:eastAsia="zh-CN"/>
        </w:rPr>
        <w:t>支出增加了128.21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23.23</w:t>
      </w:r>
      <w:r>
        <w:rPr>
          <w:rFonts w:hint="eastAsia" w:ascii="仿宋" w:hAnsi="仿宋" w:eastAsia="仿宋"/>
          <w:color w:val="000000"/>
          <w:sz w:val="32"/>
          <w:szCs w:val="32"/>
        </w:rPr>
        <w:t>%。</w:t>
      </w:r>
      <w:r>
        <w:rPr>
          <w:rFonts w:hint="eastAsia" w:ascii="仿宋" w:hAnsi="仿宋" w:eastAsia="仿宋"/>
          <w:color w:val="000000"/>
          <w:sz w:val="32"/>
          <w:szCs w:val="32"/>
          <w:lang w:eastAsia="zh-CN"/>
        </w:rPr>
        <w:t>增加主要原因：</w:t>
      </w:r>
      <w:r>
        <w:rPr>
          <w:rFonts w:hint="eastAsia" w:ascii="仿宋" w:hAnsi="仿宋" w:eastAsia="仿宋"/>
          <w:b/>
          <w:bCs/>
          <w:color w:val="000000"/>
          <w:sz w:val="32"/>
          <w:szCs w:val="32"/>
          <w:lang w:eastAsia="zh-CN"/>
        </w:rPr>
        <w:t>一是一是</w:t>
      </w:r>
      <w:r>
        <w:rPr>
          <w:rFonts w:hint="eastAsia" w:ascii="仿宋" w:hAnsi="仿宋" w:eastAsia="仿宋"/>
          <w:b w:val="0"/>
          <w:bCs w:val="0"/>
          <w:color w:val="000000"/>
          <w:sz w:val="32"/>
          <w:szCs w:val="32"/>
          <w:lang w:val="en-US" w:eastAsia="zh-CN"/>
        </w:rPr>
        <w:t>住房公积金和社会保险较上年有所增加，2021年项目支出比2020年项目支出增加了18.47万元；</w:t>
      </w:r>
      <w:r>
        <w:rPr>
          <w:rFonts w:hint="eastAsia" w:ascii="仿宋" w:hAnsi="仿宋" w:eastAsia="仿宋"/>
          <w:b/>
          <w:bCs/>
          <w:color w:val="000000"/>
          <w:sz w:val="32"/>
          <w:szCs w:val="32"/>
          <w:lang w:val="en-US" w:eastAsia="zh-CN"/>
        </w:rPr>
        <w:t>二是</w:t>
      </w:r>
      <w:r>
        <w:rPr>
          <w:rFonts w:hint="eastAsia" w:ascii="仿宋" w:hAnsi="仿宋" w:eastAsia="仿宋"/>
          <w:color w:val="000000"/>
          <w:sz w:val="32"/>
          <w:szCs w:val="32"/>
          <w:lang w:val="en-US" w:eastAsia="zh-CN"/>
        </w:rPr>
        <w:t>21年发放的20年目标奖较20年发放19年目标奖高。</w:t>
      </w: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w:t>
      </w:r>
      <w:r>
        <w:rPr>
          <w:rFonts w:hint="eastAsia" w:ascii="仿宋" w:hAnsi="仿宋" w:eastAsia="仿宋"/>
          <w:color w:val="000000" w:themeColor="text1"/>
          <w:sz w:val="32"/>
          <w:szCs w:val="32"/>
          <w:lang w:eastAsia="zh-CN"/>
          <w14:textFill>
            <w14:solidFill>
              <w14:schemeClr w14:val="tx1"/>
            </w14:solidFill>
          </w14:textFill>
        </w:rPr>
        <w:t>图）</w:t>
      </w:r>
    </w:p>
    <w:p>
      <w:pPr>
        <w:pStyle w:val="2"/>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2581275"/>
            <wp:effectExtent l="4445" t="4445" r="20955"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0"/>
        <w:keepNext w:val="0"/>
        <w:keepLines w:val="0"/>
        <w:widowControl/>
        <w:numPr>
          <w:ilvl w:val="0"/>
          <w:numId w:val="2"/>
        </w:numPr>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一般公共预算财政拨款支出决算结构情况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0" w:right="76" w:firstLine="640" w:firstLineChars="200"/>
        <w:jc w:val="left"/>
        <w:rPr>
          <w:rStyle w:val="13"/>
          <w:rFonts w:hint="default" w:ascii="仿宋" w:hAnsi="仿宋" w:eastAsia="仿宋" w:cs="Times New Roman"/>
          <w:b w:val="0"/>
          <w:bCs/>
          <w:color w:val="000000"/>
          <w:kern w:val="2"/>
          <w:sz w:val="32"/>
          <w:szCs w:val="32"/>
          <w:shd w:val="clear"/>
          <w:lang w:val="en-US" w:eastAsia="zh-CN" w:bidi="ar-SA"/>
        </w:rPr>
      </w:pPr>
      <w:r>
        <w:rPr>
          <w:rStyle w:val="13"/>
          <w:rFonts w:hint="default" w:ascii="仿宋" w:hAnsi="仿宋" w:eastAsia="仿宋" w:cs="Times New Roman"/>
          <w:b w:val="0"/>
          <w:bCs/>
          <w:color w:val="000000"/>
          <w:kern w:val="2"/>
          <w:sz w:val="32"/>
          <w:szCs w:val="32"/>
          <w:shd w:val="clear"/>
          <w:lang w:val="en-US" w:eastAsia="zh-CN" w:bidi="ar-SA"/>
        </w:rPr>
        <w:t>2021年一般公共预算财政拨款支出</w:t>
      </w:r>
      <w:r>
        <w:rPr>
          <w:rStyle w:val="13"/>
          <w:rFonts w:hint="eastAsia" w:ascii="仿宋" w:hAnsi="仿宋" w:eastAsia="仿宋" w:cs="Times New Roman"/>
          <w:b w:val="0"/>
          <w:bCs/>
          <w:color w:val="000000"/>
          <w:kern w:val="2"/>
          <w:sz w:val="32"/>
          <w:szCs w:val="32"/>
          <w:shd w:val="clear"/>
          <w:lang w:val="en-US" w:eastAsia="zh-CN" w:bidi="ar-SA"/>
        </w:rPr>
        <w:t>551.88</w:t>
      </w:r>
      <w:r>
        <w:rPr>
          <w:rStyle w:val="13"/>
          <w:rFonts w:hint="default" w:ascii="仿宋" w:hAnsi="仿宋" w:eastAsia="仿宋" w:cs="Times New Roman"/>
          <w:b w:val="0"/>
          <w:bCs/>
          <w:color w:val="000000"/>
          <w:kern w:val="2"/>
          <w:sz w:val="32"/>
          <w:szCs w:val="32"/>
          <w:shd w:val="clear"/>
          <w:lang w:val="en-US" w:eastAsia="zh-CN" w:bidi="ar-SA"/>
        </w:rPr>
        <w:t>万元，主要用于以下方面:一般公共服务（类）支出</w:t>
      </w:r>
      <w:r>
        <w:rPr>
          <w:rStyle w:val="13"/>
          <w:rFonts w:hint="eastAsia" w:ascii="仿宋" w:hAnsi="仿宋" w:eastAsia="仿宋" w:cs="Times New Roman"/>
          <w:b w:val="0"/>
          <w:bCs/>
          <w:color w:val="000000"/>
          <w:kern w:val="2"/>
          <w:sz w:val="32"/>
          <w:szCs w:val="32"/>
          <w:shd w:val="clear"/>
          <w:lang w:val="en-US" w:eastAsia="zh-CN" w:bidi="ar-SA"/>
        </w:rPr>
        <w:t>444.08</w:t>
      </w:r>
      <w:r>
        <w:rPr>
          <w:rStyle w:val="13"/>
          <w:rFonts w:hint="default" w:ascii="仿宋" w:hAnsi="仿宋" w:eastAsia="仿宋" w:cs="Times New Roman"/>
          <w:b w:val="0"/>
          <w:bCs/>
          <w:color w:val="000000"/>
          <w:kern w:val="2"/>
          <w:sz w:val="32"/>
          <w:szCs w:val="32"/>
          <w:shd w:val="clear"/>
          <w:lang w:val="en-US" w:eastAsia="zh-CN" w:bidi="ar-SA"/>
        </w:rPr>
        <w:t>万元，占</w:t>
      </w:r>
      <w:r>
        <w:rPr>
          <w:rStyle w:val="13"/>
          <w:rFonts w:hint="eastAsia" w:ascii="仿宋" w:hAnsi="仿宋" w:eastAsia="仿宋" w:cs="Times New Roman"/>
          <w:b w:val="0"/>
          <w:bCs/>
          <w:color w:val="000000"/>
          <w:kern w:val="2"/>
          <w:sz w:val="32"/>
          <w:szCs w:val="32"/>
          <w:shd w:val="clear"/>
          <w:lang w:val="en-US" w:eastAsia="zh-CN" w:bidi="ar-SA"/>
        </w:rPr>
        <w:t>80.46</w:t>
      </w:r>
      <w:r>
        <w:rPr>
          <w:rStyle w:val="13"/>
          <w:rFonts w:hint="default" w:ascii="仿宋" w:hAnsi="仿宋" w:eastAsia="仿宋" w:cs="Times New Roman"/>
          <w:b w:val="0"/>
          <w:bCs/>
          <w:color w:val="000000"/>
          <w:kern w:val="2"/>
          <w:sz w:val="32"/>
          <w:szCs w:val="32"/>
          <w:shd w:val="clear"/>
          <w:lang w:val="en-US" w:eastAsia="zh-CN" w:bidi="ar-SA"/>
        </w:rPr>
        <w:t>%；</w:t>
      </w:r>
      <w:r>
        <w:rPr>
          <w:rStyle w:val="13"/>
          <w:rFonts w:hint="eastAsia" w:ascii="仿宋" w:hAnsi="仿宋" w:eastAsia="仿宋" w:cs="Times New Roman"/>
          <w:b w:val="0"/>
          <w:bCs/>
          <w:color w:val="000000"/>
          <w:kern w:val="2"/>
          <w:sz w:val="32"/>
          <w:szCs w:val="32"/>
          <w:shd w:val="clear"/>
          <w:lang w:val="en-US" w:eastAsia="zh-CN" w:bidi="ar-SA"/>
        </w:rPr>
        <w:t>安全公共支出5.06万元，占0.9%；行政事业单位养老支出43.23</w:t>
      </w:r>
      <w:r>
        <w:rPr>
          <w:rStyle w:val="13"/>
          <w:rFonts w:hint="default" w:ascii="仿宋" w:hAnsi="仿宋" w:eastAsia="仿宋" w:cs="Times New Roman"/>
          <w:b w:val="0"/>
          <w:bCs/>
          <w:color w:val="000000"/>
          <w:kern w:val="2"/>
          <w:sz w:val="32"/>
          <w:szCs w:val="32"/>
          <w:shd w:val="clear"/>
          <w:lang w:val="en-US" w:eastAsia="zh-CN" w:bidi="ar-SA"/>
        </w:rPr>
        <w:t>万元，占</w:t>
      </w:r>
      <w:r>
        <w:rPr>
          <w:rStyle w:val="13"/>
          <w:rFonts w:hint="eastAsia" w:ascii="仿宋" w:hAnsi="仿宋" w:eastAsia="仿宋" w:cs="Times New Roman"/>
          <w:b w:val="0"/>
          <w:bCs/>
          <w:color w:val="000000"/>
          <w:kern w:val="2"/>
          <w:sz w:val="32"/>
          <w:szCs w:val="32"/>
          <w:shd w:val="clear"/>
          <w:lang w:val="en-US" w:eastAsia="zh-CN" w:bidi="ar-SA"/>
        </w:rPr>
        <w:t>7.83</w:t>
      </w:r>
      <w:r>
        <w:rPr>
          <w:rStyle w:val="13"/>
          <w:rFonts w:hint="default" w:ascii="仿宋" w:hAnsi="仿宋" w:eastAsia="仿宋" w:cs="Times New Roman"/>
          <w:b w:val="0"/>
          <w:bCs/>
          <w:color w:val="000000"/>
          <w:kern w:val="2"/>
          <w:sz w:val="32"/>
          <w:szCs w:val="32"/>
          <w:shd w:val="clear"/>
          <w:lang w:val="en-US" w:eastAsia="zh-CN" w:bidi="ar-SA"/>
        </w:rPr>
        <w:t>%；卫生健康支出</w:t>
      </w:r>
      <w:r>
        <w:rPr>
          <w:rStyle w:val="13"/>
          <w:rFonts w:hint="eastAsia" w:ascii="仿宋" w:hAnsi="仿宋" w:eastAsia="仿宋" w:cs="Times New Roman"/>
          <w:b w:val="0"/>
          <w:bCs/>
          <w:color w:val="000000"/>
          <w:kern w:val="2"/>
          <w:sz w:val="32"/>
          <w:szCs w:val="32"/>
          <w:shd w:val="clear"/>
          <w:lang w:val="en-US" w:eastAsia="zh-CN" w:bidi="ar-SA"/>
        </w:rPr>
        <w:t>29.18</w:t>
      </w:r>
      <w:r>
        <w:rPr>
          <w:rStyle w:val="13"/>
          <w:rFonts w:hint="default" w:ascii="仿宋" w:hAnsi="仿宋" w:eastAsia="仿宋" w:cs="Times New Roman"/>
          <w:b w:val="0"/>
          <w:bCs/>
          <w:color w:val="000000"/>
          <w:kern w:val="2"/>
          <w:sz w:val="32"/>
          <w:szCs w:val="32"/>
          <w:shd w:val="clear"/>
          <w:lang w:val="en-US" w:eastAsia="zh-CN" w:bidi="ar-SA"/>
        </w:rPr>
        <w:t>万元，占</w:t>
      </w:r>
      <w:r>
        <w:rPr>
          <w:rStyle w:val="13"/>
          <w:rFonts w:hint="eastAsia" w:ascii="仿宋" w:hAnsi="仿宋" w:eastAsia="仿宋" w:cs="Times New Roman"/>
          <w:b w:val="0"/>
          <w:bCs/>
          <w:color w:val="000000"/>
          <w:kern w:val="2"/>
          <w:sz w:val="32"/>
          <w:szCs w:val="32"/>
          <w:shd w:val="clear"/>
          <w:lang w:val="en-US" w:eastAsia="zh-CN" w:bidi="ar-SA"/>
        </w:rPr>
        <w:t>5.28</w:t>
      </w:r>
      <w:r>
        <w:rPr>
          <w:rStyle w:val="13"/>
          <w:rFonts w:hint="default" w:ascii="仿宋" w:hAnsi="仿宋" w:eastAsia="仿宋" w:cs="Times New Roman"/>
          <w:b w:val="0"/>
          <w:bCs/>
          <w:color w:val="000000"/>
          <w:kern w:val="2"/>
          <w:sz w:val="32"/>
          <w:szCs w:val="32"/>
          <w:shd w:val="clear"/>
          <w:lang w:val="en-US" w:eastAsia="zh-CN" w:bidi="ar-SA"/>
        </w:rPr>
        <w:t>%；住房保障支出</w:t>
      </w:r>
      <w:r>
        <w:rPr>
          <w:rStyle w:val="13"/>
          <w:rFonts w:hint="eastAsia" w:ascii="仿宋" w:hAnsi="仿宋" w:eastAsia="仿宋" w:cs="Times New Roman"/>
          <w:b w:val="0"/>
          <w:bCs/>
          <w:color w:val="000000"/>
          <w:kern w:val="2"/>
          <w:sz w:val="32"/>
          <w:szCs w:val="32"/>
          <w:shd w:val="clear"/>
          <w:lang w:val="en-US" w:eastAsia="zh-CN" w:bidi="ar-SA"/>
        </w:rPr>
        <w:t>30.32</w:t>
      </w:r>
      <w:r>
        <w:rPr>
          <w:rStyle w:val="13"/>
          <w:rFonts w:hint="default" w:ascii="仿宋" w:hAnsi="仿宋" w:eastAsia="仿宋" w:cs="Times New Roman"/>
          <w:b w:val="0"/>
          <w:bCs/>
          <w:color w:val="000000"/>
          <w:kern w:val="2"/>
          <w:sz w:val="32"/>
          <w:szCs w:val="32"/>
          <w:shd w:val="clear"/>
          <w:lang w:val="en-US" w:eastAsia="zh-CN" w:bidi="ar-SA"/>
        </w:rPr>
        <w:t>万元，占</w:t>
      </w:r>
      <w:r>
        <w:rPr>
          <w:rStyle w:val="13"/>
          <w:rFonts w:hint="eastAsia" w:ascii="仿宋" w:hAnsi="仿宋" w:eastAsia="仿宋" w:cs="Times New Roman"/>
          <w:b w:val="0"/>
          <w:bCs/>
          <w:color w:val="000000"/>
          <w:kern w:val="2"/>
          <w:sz w:val="32"/>
          <w:szCs w:val="32"/>
          <w:shd w:val="clear"/>
          <w:lang w:val="en-US" w:eastAsia="zh-CN" w:bidi="ar-SA"/>
        </w:rPr>
        <w:t>5.49</w:t>
      </w:r>
      <w:r>
        <w:rPr>
          <w:rStyle w:val="13"/>
          <w:rFonts w:hint="default" w:ascii="仿宋" w:hAnsi="仿宋" w:eastAsia="仿宋" w:cs="Times New Roman"/>
          <w:b w:val="0"/>
          <w:bCs/>
          <w:color w:val="000000"/>
          <w:kern w:val="2"/>
          <w:sz w:val="32"/>
          <w:szCs w:val="32"/>
          <w:shd w:val="clear"/>
          <w:lang w:val="en-US" w:eastAsia="zh-CN" w:bidi="ar-SA"/>
        </w:rPr>
        <w:t>%。</w:t>
      </w:r>
    </w:p>
    <w:p>
      <w:pPr>
        <w:pStyle w:val="10"/>
        <w:keepNext w:val="0"/>
        <w:keepLines w:val="0"/>
        <w:widowControl/>
        <w:numPr>
          <w:ilvl w:val="0"/>
          <w:numId w:val="0"/>
        </w:numPr>
        <w:suppressLineNumbers w:val="0"/>
        <w:ind w:right="75" w:rightChars="0"/>
        <w:rPr>
          <w:rStyle w:val="13"/>
          <w:rFonts w:hint="eastAsia" w:ascii="仿宋_GB2312" w:hAnsi="仿宋_GB2312" w:eastAsia="仿宋" w:cs="仿宋_GB2312"/>
          <w:sz w:val="32"/>
          <w:szCs w:val="32"/>
          <w:shd w:val="clear" w:color="auto" w:fill="FFFFFF"/>
          <w:lang w:eastAsia="zh-CN"/>
        </w:rPr>
      </w:pP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344170</wp:posOffset>
            </wp:positionH>
            <wp:positionV relativeFrom="paragraph">
              <wp:posOffset>627380</wp:posOffset>
            </wp:positionV>
            <wp:extent cx="4765040" cy="2182495"/>
            <wp:effectExtent l="4445" t="4445" r="12065" b="22860"/>
            <wp:wrapTight wrapText="bothSides">
              <wp:wrapPolygon>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（图6：一般公共预算财政拨款支出决算结构</w:t>
      </w:r>
      <w:r>
        <w:rPr>
          <w:rFonts w:hint="eastAsia" w:ascii="仿宋" w:hAnsi="仿宋" w:eastAsia="仿宋"/>
          <w:color w:val="000000"/>
          <w:sz w:val="32"/>
          <w:szCs w:val="32"/>
          <w:lang w:eastAsia="zh-CN"/>
        </w:rPr>
        <w:t>图</w:t>
      </w:r>
      <w:r>
        <w:rPr>
          <w:rFonts w:hint="eastAsia" w:ascii="仿宋" w:hAnsi="仿宋" w:eastAsia="仿宋"/>
          <w:color w:val="000000"/>
          <w:sz w:val="32"/>
          <w:szCs w:val="32"/>
        </w:rPr>
        <w:t>（饼状</w:t>
      </w:r>
      <w:r>
        <w:rPr>
          <w:rFonts w:hint="eastAsia" w:ascii="仿宋" w:hAnsi="仿宋" w:eastAsia="仿宋"/>
          <w:color w:val="000000"/>
          <w:sz w:val="32"/>
          <w:szCs w:val="32"/>
          <w:lang w:eastAsia="zh-CN"/>
        </w:rPr>
        <w:t>图）</w:t>
      </w:r>
    </w:p>
    <w:p>
      <w:pPr>
        <w:pStyle w:val="10"/>
        <w:keepNext w:val="0"/>
        <w:keepLines w:val="0"/>
        <w:widowControl/>
        <w:numPr>
          <w:ilvl w:val="0"/>
          <w:numId w:val="2"/>
        </w:numPr>
        <w:suppressLineNumbers w:val="0"/>
        <w:ind w:left="0" w:leftChars="0" w:right="75" w:firstLine="0" w:firstLine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一般公共预算财政拨款支出决算具体情况</w:t>
      </w:r>
    </w:p>
    <w:p>
      <w:pPr>
        <w:spacing w:line="600" w:lineRule="exact"/>
        <w:ind w:firstLine="643" w:firstLineChars="200"/>
        <w:outlineLvl w:val="9"/>
        <w:rPr>
          <w:rFonts w:ascii="仿宋" w:hAnsi="仿宋" w:eastAsia="仿宋"/>
          <w:color w:val="FF0000"/>
          <w:sz w:val="32"/>
          <w:szCs w:val="32"/>
        </w:rPr>
      </w:pPr>
      <w:bookmarkStart w:id="9" w:name="_Toc15378460"/>
      <w:bookmarkStart w:id="10" w:name="_Toc15377444"/>
      <w:bookmarkStart w:id="11" w:name="_Toc15377213"/>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21</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551.88</w:t>
      </w:r>
      <w:r>
        <w:rPr>
          <w:rFonts w:hint="eastAsia" w:ascii="仿宋" w:hAnsi="仿宋" w:eastAsia="仿宋"/>
          <w:b/>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3"/>
          <w:rFonts w:hint="eastAsia" w:ascii="仿宋" w:hAnsi="仿宋" w:eastAsia="仿宋"/>
          <w:bCs/>
          <w:color w:val="000000" w:themeColor="text1"/>
          <w:sz w:val="32"/>
          <w:szCs w:val="32"/>
          <w14:textFill>
            <w14:solidFill>
              <w14:schemeClr w14:val="tx1"/>
            </w14:solidFill>
          </w14:textFill>
        </w:rPr>
        <w:t>完成</w:t>
      </w:r>
      <w:r>
        <w:rPr>
          <w:rStyle w:val="13"/>
          <w:rFonts w:hint="eastAsia" w:ascii="仿宋" w:hAnsi="仿宋" w:eastAsia="仿宋"/>
          <w:bCs/>
          <w:color w:val="000000"/>
          <w:sz w:val="32"/>
          <w:szCs w:val="32"/>
        </w:rPr>
        <w:t>预算</w:t>
      </w:r>
      <w:r>
        <w:rPr>
          <w:rStyle w:val="13"/>
          <w:rFonts w:hint="eastAsia" w:ascii="仿宋" w:hAnsi="仿宋" w:eastAsia="仿宋"/>
          <w:bCs/>
          <w:color w:val="000000"/>
          <w:sz w:val="32"/>
          <w:szCs w:val="32"/>
          <w:lang w:val="en-US" w:eastAsia="zh-CN"/>
        </w:rPr>
        <w:t>100</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。其中：</w:t>
      </w:r>
      <w:bookmarkEnd w:id="9"/>
      <w:bookmarkEnd w:id="10"/>
      <w:bookmarkEnd w:id="11"/>
    </w:p>
    <w:p>
      <w:pPr>
        <w:numPr>
          <w:ilvl w:val="0"/>
          <w:numId w:val="3"/>
        </w:numPr>
        <w:spacing w:line="600" w:lineRule="exact"/>
        <w:ind w:left="0" w:leftChars="0"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一般公共服务</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lang w:val="en-US" w:eastAsia="zh-CN"/>
        </w:rPr>
        <w:t>2013401-</w:t>
      </w:r>
      <w:r>
        <w:rPr>
          <w:rStyle w:val="13"/>
          <w:rFonts w:hint="eastAsia" w:ascii="仿宋" w:hAnsi="仿宋" w:eastAsia="仿宋"/>
          <w:b w:val="0"/>
          <w:bCs/>
          <w:color w:val="000000"/>
          <w:sz w:val="32"/>
          <w:szCs w:val="32"/>
        </w:rPr>
        <w:t>行政运行支出决算为</w:t>
      </w:r>
      <w:r>
        <w:rPr>
          <w:rStyle w:val="13"/>
          <w:rFonts w:hint="eastAsia" w:ascii="仿宋" w:hAnsi="仿宋" w:eastAsia="仿宋"/>
          <w:b w:val="0"/>
          <w:bCs/>
          <w:color w:val="000000"/>
          <w:sz w:val="32"/>
          <w:szCs w:val="32"/>
          <w:lang w:val="en-US" w:eastAsia="zh-CN"/>
        </w:rPr>
        <w:t>293.26</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，主要用于开支日常公用经费及人员经费；</w:t>
      </w:r>
      <w:r>
        <w:rPr>
          <w:rStyle w:val="13"/>
          <w:rFonts w:hint="eastAsia" w:ascii="仿宋" w:hAnsi="仿宋" w:eastAsia="仿宋"/>
          <w:b w:val="0"/>
          <w:bCs/>
          <w:color w:val="000000"/>
          <w:sz w:val="32"/>
          <w:szCs w:val="32"/>
          <w:lang w:val="en-US" w:eastAsia="zh-CN"/>
        </w:rPr>
        <w:t>2013402-</w:t>
      </w:r>
      <w:r>
        <w:rPr>
          <w:rStyle w:val="13"/>
          <w:rFonts w:hint="eastAsia" w:ascii="仿宋" w:hAnsi="仿宋" w:eastAsia="仿宋"/>
          <w:b w:val="0"/>
          <w:bCs/>
          <w:color w:val="000000"/>
          <w:sz w:val="32"/>
          <w:szCs w:val="32"/>
          <w:lang w:eastAsia="zh-CN"/>
        </w:rPr>
        <w:t>一般行政管理事务</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20.89</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，主要用于专项公用经费；</w:t>
      </w:r>
      <w:r>
        <w:rPr>
          <w:rStyle w:val="13"/>
          <w:rFonts w:hint="eastAsia" w:ascii="仿宋" w:hAnsi="仿宋" w:eastAsia="仿宋"/>
          <w:b w:val="0"/>
          <w:bCs/>
          <w:color w:val="000000"/>
          <w:sz w:val="32"/>
          <w:szCs w:val="32"/>
          <w:lang w:val="en-US" w:eastAsia="zh-CN"/>
        </w:rPr>
        <w:t>2013404-宗教事务</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1.24</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，主要用于</w:t>
      </w:r>
      <w:r>
        <w:rPr>
          <w:rStyle w:val="13"/>
          <w:rFonts w:hint="eastAsia" w:ascii="仿宋" w:hAnsi="仿宋" w:eastAsia="仿宋"/>
          <w:b w:val="0"/>
          <w:bCs/>
          <w:color w:val="000000"/>
          <w:sz w:val="32"/>
          <w:szCs w:val="32"/>
          <w:lang w:val="en-US" w:eastAsia="zh-CN"/>
        </w:rPr>
        <w:t>宗教事务</w:t>
      </w:r>
      <w:r>
        <w:rPr>
          <w:rStyle w:val="13"/>
          <w:rFonts w:hint="eastAsia" w:ascii="仿宋" w:hAnsi="仿宋" w:eastAsia="仿宋"/>
          <w:b w:val="0"/>
          <w:bCs/>
          <w:color w:val="000000"/>
          <w:sz w:val="32"/>
          <w:szCs w:val="32"/>
          <w:lang w:eastAsia="zh-CN"/>
        </w:rPr>
        <w:t>办公费；</w:t>
      </w:r>
      <w:r>
        <w:rPr>
          <w:rStyle w:val="13"/>
          <w:rFonts w:hint="eastAsia" w:ascii="仿宋" w:hAnsi="仿宋" w:eastAsia="仿宋"/>
          <w:b w:val="0"/>
          <w:bCs/>
          <w:color w:val="000000"/>
          <w:sz w:val="32"/>
          <w:szCs w:val="32"/>
          <w:lang w:val="en-US" w:eastAsia="zh-CN"/>
        </w:rPr>
        <w:t>2013405-事业运行</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5</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，主要用于</w:t>
      </w:r>
      <w:r>
        <w:rPr>
          <w:rStyle w:val="13"/>
          <w:rFonts w:hint="eastAsia" w:ascii="仿宋" w:hAnsi="仿宋" w:eastAsia="仿宋"/>
          <w:b w:val="0"/>
          <w:bCs/>
          <w:color w:val="000000"/>
          <w:sz w:val="32"/>
          <w:szCs w:val="32"/>
          <w:lang w:val="en-US" w:eastAsia="zh-CN"/>
        </w:rPr>
        <w:t>统战部事业人员基本工资、社会保险、住房公积金、办公费、印刷费、水费、电费、邮电费、取暖费、差旅费、生活补助</w:t>
      </w:r>
      <w:r>
        <w:rPr>
          <w:rStyle w:val="13"/>
          <w:rFonts w:hint="eastAsia" w:ascii="仿宋" w:hAnsi="仿宋" w:eastAsia="仿宋"/>
          <w:b w:val="0"/>
          <w:bCs/>
          <w:color w:val="000000"/>
          <w:sz w:val="32"/>
          <w:szCs w:val="32"/>
          <w:lang w:eastAsia="zh-CN"/>
        </w:rPr>
        <w:t>等开支；</w:t>
      </w:r>
    </w:p>
    <w:p>
      <w:pPr>
        <w:numPr>
          <w:ilvl w:val="0"/>
          <w:numId w:val="3"/>
        </w:numPr>
        <w:spacing w:line="600" w:lineRule="exact"/>
        <w:ind w:left="0" w:leftChars="0"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社会保障和就业</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2080505</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rPr>
        <w:t>机关事业单位基本养老保险缴费支出决算为</w:t>
      </w:r>
      <w:r>
        <w:rPr>
          <w:rStyle w:val="13"/>
          <w:rFonts w:hint="eastAsia" w:ascii="仿宋" w:hAnsi="仿宋" w:eastAsia="仿宋"/>
          <w:b w:val="0"/>
          <w:bCs/>
          <w:color w:val="000000"/>
          <w:sz w:val="32"/>
          <w:szCs w:val="32"/>
          <w:lang w:val="en-US" w:eastAsia="zh-CN"/>
        </w:rPr>
        <w:t>28.82</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全部用于职工缴纳养老保险单位部分；2080506</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机关事业单位职业年金缴费支出</w:t>
      </w:r>
      <w:r>
        <w:rPr>
          <w:rStyle w:val="13"/>
          <w:rFonts w:hint="eastAsia" w:ascii="仿宋" w:hAnsi="仿宋" w:eastAsia="仿宋"/>
          <w:b w:val="0"/>
          <w:bCs/>
          <w:color w:val="000000"/>
          <w:sz w:val="32"/>
          <w:szCs w:val="32"/>
        </w:rPr>
        <w:t>决算为</w:t>
      </w:r>
      <w:r>
        <w:rPr>
          <w:rStyle w:val="13"/>
          <w:rFonts w:hint="eastAsia" w:ascii="仿宋" w:hAnsi="仿宋" w:eastAsia="仿宋"/>
          <w:b w:val="0"/>
          <w:bCs/>
          <w:color w:val="000000"/>
          <w:sz w:val="32"/>
          <w:szCs w:val="32"/>
          <w:lang w:val="en-US" w:eastAsia="zh-CN"/>
        </w:rPr>
        <w:t>14.41</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全部用于职工缴纳职业年金单位部分。</w:t>
      </w:r>
    </w:p>
    <w:p>
      <w:pPr>
        <w:numPr>
          <w:ilvl w:val="0"/>
          <w:numId w:val="3"/>
        </w:numPr>
        <w:spacing w:line="600" w:lineRule="exact"/>
        <w:ind w:left="0" w:leftChars="0" w:firstLine="643" w:firstLineChars="200"/>
        <w:rPr>
          <w:rFonts w:ascii="仿宋" w:hAnsi="仿宋" w:eastAsia="仿宋"/>
          <w:b/>
          <w:color w:val="000000"/>
          <w:sz w:val="32"/>
          <w:szCs w:val="32"/>
        </w:rPr>
      </w:pPr>
      <w:r>
        <w:rPr>
          <w:rFonts w:hint="eastAsia" w:ascii="仿宋" w:hAnsi="仿宋" w:eastAsia="仿宋"/>
          <w:b/>
          <w:bCs/>
          <w:color w:val="000000" w:themeColor="text1"/>
          <w:sz w:val="32"/>
          <w:szCs w:val="32"/>
          <w14:textFill>
            <w14:solidFill>
              <w14:schemeClr w14:val="tx1"/>
            </w14:solidFill>
          </w14:textFill>
        </w:rPr>
        <w:t>卫生健康</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lang w:eastAsia="zh-CN"/>
        </w:rPr>
        <w:t>21011</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行政单位医疗支出</w:t>
      </w:r>
      <w:r>
        <w:rPr>
          <w:rStyle w:val="13"/>
          <w:rFonts w:hint="eastAsia" w:ascii="仿宋" w:hAnsi="仿宋" w:eastAsia="仿宋"/>
          <w:b w:val="0"/>
          <w:bCs/>
          <w:color w:val="000000"/>
          <w:sz w:val="32"/>
          <w:szCs w:val="32"/>
        </w:rPr>
        <w:t>决算为</w:t>
      </w:r>
      <w:r>
        <w:rPr>
          <w:rStyle w:val="13"/>
          <w:rFonts w:hint="eastAsia" w:ascii="仿宋" w:hAnsi="仿宋" w:eastAsia="仿宋"/>
          <w:b w:val="0"/>
          <w:bCs/>
          <w:color w:val="000000"/>
          <w:sz w:val="32"/>
          <w:szCs w:val="32"/>
          <w:lang w:val="en-US" w:eastAsia="zh-CN"/>
        </w:rPr>
        <w:t>19.52</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w:t>
      </w:r>
      <w:r>
        <w:rPr>
          <w:rStyle w:val="13"/>
          <w:rFonts w:hint="eastAsia" w:ascii="仿宋" w:hAnsi="仿宋" w:eastAsia="仿宋"/>
          <w:b w:val="0"/>
          <w:bCs/>
          <w:color w:val="000000"/>
          <w:sz w:val="32"/>
          <w:szCs w:val="32"/>
          <w:lang w:val="en-US" w:eastAsia="zh-CN"/>
        </w:rPr>
        <w:t>行政和事业人员</w:t>
      </w:r>
      <w:r>
        <w:rPr>
          <w:rStyle w:val="13"/>
          <w:rFonts w:hint="eastAsia" w:ascii="仿宋" w:hAnsi="仿宋" w:eastAsia="仿宋"/>
          <w:b w:val="0"/>
          <w:bCs/>
          <w:color w:val="000000"/>
          <w:sz w:val="32"/>
          <w:szCs w:val="32"/>
          <w:lang w:eastAsia="zh-CN"/>
        </w:rPr>
        <w:t>缴纳医疗保险</w:t>
      </w:r>
      <w:r>
        <w:rPr>
          <w:rStyle w:val="13"/>
          <w:rFonts w:hint="eastAsia" w:ascii="仿宋" w:hAnsi="仿宋" w:eastAsia="仿宋"/>
          <w:b w:val="0"/>
          <w:bCs/>
          <w:color w:val="000000"/>
          <w:sz w:val="32"/>
          <w:szCs w:val="32"/>
          <w:lang w:val="en-US" w:eastAsia="zh-CN"/>
        </w:rPr>
        <w:t>和公务员医疗保险</w:t>
      </w:r>
      <w:r>
        <w:rPr>
          <w:rStyle w:val="13"/>
          <w:rFonts w:hint="eastAsia" w:ascii="仿宋" w:hAnsi="仿宋" w:eastAsia="仿宋"/>
          <w:b w:val="0"/>
          <w:bCs/>
          <w:color w:val="000000"/>
          <w:sz w:val="32"/>
          <w:szCs w:val="32"/>
          <w:lang w:eastAsia="zh-CN"/>
        </w:rPr>
        <w:t>单位部分；</w:t>
      </w:r>
      <w:r>
        <w:rPr>
          <w:rStyle w:val="13"/>
          <w:rFonts w:hint="eastAsia" w:ascii="仿宋" w:hAnsi="仿宋" w:eastAsia="仿宋"/>
          <w:b w:val="0"/>
          <w:bCs/>
          <w:color w:val="000000"/>
          <w:sz w:val="32"/>
          <w:szCs w:val="32"/>
          <w:lang w:val="en-US" w:eastAsia="zh-CN"/>
        </w:rPr>
        <w:t>2100499-其他公共卫生支出决算为9.65万元，完成预算100%，全部用于2021年重大公共卫生服务省级补助资金（包虫病防治）</w:t>
      </w:r>
    </w:p>
    <w:p>
      <w:pPr>
        <w:numPr>
          <w:ilvl w:val="0"/>
          <w:numId w:val="3"/>
        </w:numPr>
        <w:tabs>
          <w:tab w:val="clear" w:pos="312"/>
        </w:tabs>
        <w:spacing w:line="600" w:lineRule="exact"/>
        <w:ind w:left="0" w:leftChars="0" w:firstLine="643" w:firstLineChars="200"/>
        <w:rPr>
          <w:rStyle w:val="13"/>
          <w:rFonts w:hint="eastAsia" w:ascii="仿宋_GB2312" w:hAnsi="仿宋_GB2312" w:eastAsia="仿宋_GB2312" w:cs="仿宋_GB2312"/>
          <w:sz w:val="32"/>
          <w:szCs w:val="32"/>
          <w:shd w:val="clear" w:color="auto" w:fill="FFFFFF"/>
        </w:rPr>
      </w:pPr>
      <w:r>
        <w:rPr>
          <w:rFonts w:hint="eastAsia" w:ascii="仿宋" w:hAnsi="仿宋" w:eastAsia="仿宋"/>
          <w:b/>
          <w:color w:val="000000"/>
          <w:sz w:val="32"/>
          <w:szCs w:val="32"/>
          <w:lang w:val="en-US" w:eastAsia="zh-CN"/>
        </w:rPr>
        <w:t>住房保障支出：</w:t>
      </w:r>
      <w:r>
        <w:rPr>
          <w:rStyle w:val="13"/>
          <w:rFonts w:hint="eastAsia" w:ascii="仿宋" w:hAnsi="仿宋" w:eastAsia="仿宋"/>
          <w:b w:val="0"/>
          <w:bCs/>
          <w:color w:val="000000"/>
          <w:sz w:val="32"/>
          <w:szCs w:val="32"/>
          <w:lang w:val="en-US" w:eastAsia="zh-CN"/>
        </w:rPr>
        <w:t>2210201-住房公积金</w:t>
      </w:r>
      <w:r>
        <w:rPr>
          <w:rStyle w:val="13"/>
          <w:rFonts w:hint="eastAsia" w:ascii="仿宋" w:hAnsi="仿宋" w:eastAsia="仿宋"/>
          <w:b w:val="0"/>
          <w:bCs/>
          <w:color w:val="000000"/>
          <w:sz w:val="32"/>
          <w:szCs w:val="32"/>
          <w:lang w:eastAsia="zh-CN"/>
        </w:rPr>
        <w:t>支出决</w:t>
      </w:r>
      <w:r>
        <w:rPr>
          <w:rStyle w:val="13"/>
          <w:rFonts w:hint="eastAsia" w:ascii="仿宋" w:hAnsi="仿宋" w:eastAsia="仿宋"/>
          <w:b w:val="0"/>
          <w:bCs/>
          <w:color w:val="000000"/>
          <w:sz w:val="32"/>
          <w:szCs w:val="32"/>
        </w:rPr>
        <w:t>算为</w:t>
      </w:r>
      <w:r>
        <w:rPr>
          <w:rStyle w:val="13"/>
          <w:rFonts w:hint="eastAsia" w:ascii="仿宋" w:hAnsi="仿宋" w:eastAsia="仿宋"/>
          <w:b w:val="0"/>
          <w:bCs/>
          <w:color w:val="000000"/>
          <w:sz w:val="32"/>
          <w:szCs w:val="32"/>
          <w:lang w:val="en-US" w:eastAsia="zh-CN"/>
        </w:rPr>
        <w:t>30.32</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，全部用于职工缴纳住房公积金单位部分。</w:t>
      </w:r>
    </w:p>
    <w:p>
      <w:pPr>
        <w:pStyle w:val="2"/>
        <w:numPr>
          <w:ilvl w:val="0"/>
          <w:numId w:val="3"/>
        </w:numPr>
        <w:ind w:left="0" w:leftChars="0" w:firstLine="643" w:firstLineChars="200"/>
        <w:rPr>
          <w:rStyle w:val="13"/>
          <w:rFonts w:hint="eastAsia" w:ascii="仿宋" w:hAnsi="仿宋" w:eastAsia="仿宋"/>
          <w:b w:val="0"/>
          <w:bCs/>
          <w:color w:val="000000"/>
          <w:sz w:val="32"/>
          <w:szCs w:val="32"/>
          <w:lang w:val="en-US" w:eastAsia="zh-CN"/>
        </w:rPr>
      </w:pPr>
      <w:r>
        <w:rPr>
          <w:rStyle w:val="13"/>
          <w:rFonts w:hint="eastAsia" w:ascii="仿宋" w:hAnsi="仿宋" w:eastAsia="仿宋"/>
          <w:b/>
          <w:bCs w:val="0"/>
          <w:color w:val="000000"/>
          <w:sz w:val="32"/>
          <w:szCs w:val="32"/>
          <w:lang w:val="en-US" w:eastAsia="zh-CN"/>
        </w:rPr>
        <w:t>公共安全支出</w:t>
      </w:r>
      <w:r>
        <w:rPr>
          <w:rStyle w:val="13"/>
          <w:rFonts w:hint="eastAsia" w:ascii="仿宋" w:hAnsi="仿宋" w:eastAsia="仿宋"/>
          <w:b w:val="0"/>
          <w:bCs/>
          <w:color w:val="000000"/>
          <w:sz w:val="32"/>
          <w:szCs w:val="32"/>
          <w:lang w:val="en-US" w:eastAsia="zh-CN"/>
        </w:rPr>
        <w:t>；2049999-其他公共安全支出决算为5.06万元，完成预算100%，全部用于对个人和家庭的生活布置</w:t>
      </w:r>
      <w:bookmarkStart w:id="12" w:name="_Toc2180"/>
    </w:p>
    <w:p>
      <w:pPr>
        <w:pStyle w:val="2"/>
        <w:numPr>
          <w:ilvl w:val="0"/>
          <w:numId w:val="1"/>
        </w:numPr>
        <w:ind w:left="0" w:leftChars="0" w:firstLine="0" w:firstLineChars="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一般公共预算财政拨款基本支出决算情况说明</w:t>
      </w:r>
      <w:bookmarkEnd w:id="12"/>
    </w:p>
    <w:p>
      <w:pPr>
        <w:pStyle w:val="4"/>
        <w:numPr>
          <w:ilvl w:val="0"/>
          <w:numId w:val="0"/>
        </w:numPr>
        <w:ind w:leftChars="0"/>
        <w:rPr>
          <w:rFonts w:hint="eastAsia"/>
        </w:rPr>
      </w:pPr>
    </w:p>
    <w:p>
      <w:pPr>
        <w:spacing w:line="600" w:lineRule="exact"/>
        <w:ind w:firstLine="645"/>
        <w:rPr>
          <w:rFonts w:ascii="仿宋" w:hAnsi="仿宋" w:eastAsia="仿宋"/>
          <w:b/>
          <w:bCs/>
          <w:color w:val="000000"/>
          <w:sz w:val="32"/>
          <w:szCs w:val="32"/>
        </w:rPr>
      </w:pPr>
      <w:r>
        <w:rPr>
          <w:rFonts w:hint="eastAsia" w:ascii="仿宋" w:hAnsi="仿宋" w:eastAsia="仿宋"/>
          <w:b/>
          <w:bCs/>
          <w:color w:val="000000"/>
          <w:sz w:val="32"/>
          <w:szCs w:val="32"/>
          <w:lang w:val="en-US" w:eastAsia="zh-CN"/>
        </w:rPr>
        <w:t>2021</w:t>
      </w:r>
      <w:r>
        <w:rPr>
          <w:rFonts w:hint="eastAsia" w:ascii="仿宋" w:hAnsi="仿宋" w:eastAsia="仿宋"/>
          <w:b/>
          <w:bCs/>
          <w:color w:val="000000"/>
          <w:sz w:val="32"/>
          <w:szCs w:val="32"/>
        </w:rPr>
        <w:t>年一般公共预算财政拨款基本支出</w:t>
      </w:r>
      <w:r>
        <w:rPr>
          <w:rFonts w:hint="eastAsia" w:ascii="仿宋" w:hAnsi="仿宋" w:eastAsia="仿宋"/>
          <w:b/>
          <w:bCs/>
          <w:color w:val="000000"/>
          <w:sz w:val="32"/>
          <w:szCs w:val="32"/>
          <w:lang w:val="en-US" w:eastAsia="zh-CN"/>
        </w:rPr>
        <w:t>551.88</w:t>
      </w:r>
      <w:r>
        <w:rPr>
          <w:rFonts w:hint="eastAsia" w:ascii="仿宋" w:hAnsi="仿宋" w:eastAsia="仿宋"/>
          <w:b/>
          <w:bCs/>
          <w:color w:val="000000"/>
          <w:sz w:val="32"/>
          <w:szCs w:val="32"/>
        </w:rPr>
        <w:t>万元，其中：</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402.32</w:t>
      </w:r>
      <w:r>
        <w:rPr>
          <w:rFonts w:hint="eastAsia" w:ascii="仿宋" w:hAnsi="仿宋" w:eastAsia="仿宋"/>
          <w:color w:val="000000"/>
          <w:sz w:val="32"/>
          <w:szCs w:val="32"/>
        </w:rPr>
        <w:t>万元，包括：基本工资</w:t>
      </w:r>
      <w:r>
        <w:rPr>
          <w:rFonts w:hint="eastAsia" w:ascii="仿宋" w:hAnsi="仿宋" w:eastAsia="仿宋"/>
          <w:color w:val="000000"/>
          <w:sz w:val="32"/>
          <w:szCs w:val="32"/>
          <w:lang w:val="en-US" w:eastAsia="zh-CN"/>
        </w:rPr>
        <w:t>70.10</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20.87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5.88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28.82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14.41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2.67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14.48</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5.04</w:t>
      </w:r>
      <w:r>
        <w:rPr>
          <w:rFonts w:hint="eastAsia" w:ascii="仿宋" w:hAnsi="仿宋" w:eastAsia="仿宋"/>
          <w:color w:val="000000"/>
          <w:sz w:val="32"/>
          <w:szCs w:val="32"/>
          <w:lang w:eastAsia="zh-CN"/>
        </w:rPr>
        <w:t>万元、住房公积金</w:t>
      </w:r>
      <w:r>
        <w:rPr>
          <w:rFonts w:hint="eastAsia" w:ascii="仿宋" w:hAnsi="仿宋" w:eastAsia="仿宋"/>
          <w:color w:val="000000"/>
          <w:sz w:val="32"/>
          <w:szCs w:val="32"/>
          <w:lang w:val="en-US" w:eastAsia="zh-CN"/>
        </w:rPr>
        <w:t>30.32</w:t>
      </w:r>
      <w:r>
        <w:rPr>
          <w:rFonts w:hint="eastAsia" w:ascii="仿宋" w:hAnsi="仿宋" w:eastAsia="仿宋"/>
          <w:color w:val="000000"/>
          <w:sz w:val="32"/>
          <w:szCs w:val="32"/>
          <w:lang w:eastAsia="zh-CN"/>
        </w:rPr>
        <w:t>万元、医疗费</w:t>
      </w:r>
      <w:r>
        <w:rPr>
          <w:rFonts w:hint="eastAsia" w:ascii="仿宋" w:hAnsi="仿宋" w:eastAsia="仿宋"/>
          <w:color w:val="000000"/>
          <w:sz w:val="32"/>
          <w:szCs w:val="32"/>
          <w:lang w:val="en-US" w:eastAsia="zh-CN"/>
        </w:rPr>
        <w:t>2.04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　</w:t>
      </w:r>
    </w:p>
    <w:p>
      <w:pPr>
        <w:spacing w:line="600" w:lineRule="exact"/>
        <w:ind w:firstLine="645"/>
        <w:rPr>
          <w:rFonts w:hint="eastAsia" w:ascii="黑体" w:hAnsi="黑体" w:eastAsia="黑体" w:cs="黑体"/>
          <w:sz w:val="32"/>
          <w:szCs w:val="32"/>
          <w:shd w:val="clear" w:color="auto" w:fill="FFFFFF"/>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41.81</w:t>
      </w:r>
      <w:r>
        <w:rPr>
          <w:rFonts w:hint="eastAsia" w:ascii="仿宋" w:hAnsi="仿宋" w:eastAsia="仿宋"/>
          <w:color w:val="000000"/>
          <w:sz w:val="32"/>
          <w:szCs w:val="32"/>
        </w:rPr>
        <w:t>万元，包括：办公费</w:t>
      </w:r>
      <w:r>
        <w:rPr>
          <w:rFonts w:hint="eastAsia" w:ascii="仿宋" w:hAnsi="仿宋" w:eastAsia="仿宋"/>
          <w:color w:val="000000"/>
          <w:sz w:val="32"/>
          <w:szCs w:val="32"/>
          <w:lang w:val="en-US" w:eastAsia="zh-CN"/>
        </w:rPr>
        <w:t>23.66</w:t>
      </w:r>
      <w:r>
        <w:rPr>
          <w:rFonts w:hint="eastAsia" w:ascii="仿宋" w:hAnsi="仿宋" w:eastAsia="仿宋"/>
          <w:color w:val="000000"/>
          <w:sz w:val="32"/>
          <w:szCs w:val="32"/>
          <w:lang w:eastAsia="zh-CN"/>
        </w:rPr>
        <w:t>万元、</w:t>
      </w:r>
      <w:r>
        <w:rPr>
          <w:rFonts w:hint="eastAsia" w:ascii="仿宋" w:hAnsi="仿宋" w:eastAsia="仿宋"/>
          <w:color w:val="000000"/>
          <w:sz w:val="32"/>
          <w:szCs w:val="32"/>
          <w:lang w:val="en-US" w:eastAsia="zh-CN"/>
        </w:rPr>
        <w:t>印刷费7.59万元、</w:t>
      </w:r>
      <w:r>
        <w:rPr>
          <w:rFonts w:hint="eastAsia" w:ascii="仿宋" w:hAnsi="仿宋" w:eastAsia="仿宋"/>
          <w:color w:val="000000"/>
          <w:sz w:val="32"/>
          <w:szCs w:val="32"/>
          <w:lang w:eastAsia="zh-CN"/>
        </w:rPr>
        <w:t>水费</w:t>
      </w:r>
      <w:r>
        <w:rPr>
          <w:rFonts w:hint="eastAsia" w:ascii="仿宋" w:hAnsi="仿宋" w:eastAsia="仿宋"/>
          <w:color w:val="000000"/>
          <w:sz w:val="32"/>
          <w:szCs w:val="32"/>
          <w:lang w:val="en-US" w:eastAsia="zh-CN"/>
        </w:rPr>
        <w:t>0.79万元，</w:t>
      </w:r>
      <w:r>
        <w:rPr>
          <w:rFonts w:hint="eastAsia" w:ascii="仿宋" w:hAnsi="仿宋" w:eastAsia="仿宋"/>
          <w:color w:val="000000"/>
          <w:sz w:val="32"/>
          <w:szCs w:val="32"/>
          <w:lang w:eastAsia="zh-CN"/>
        </w:rPr>
        <w:t>邮电费</w:t>
      </w:r>
      <w:r>
        <w:rPr>
          <w:rFonts w:hint="eastAsia" w:ascii="仿宋" w:hAnsi="仿宋" w:eastAsia="仿宋"/>
          <w:color w:val="000000"/>
          <w:sz w:val="32"/>
          <w:szCs w:val="32"/>
          <w:lang w:val="en-US" w:eastAsia="zh-CN"/>
        </w:rPr>
        <w:t>2.5</w:t>
      </w:r>
      <w:r>
        <w:rPr>
          <w:rFonts w:hint="eastAsia" w:ascii="仿宋" w:hAnsi="仿宋" w:eastAsia="仿宋"/>
          <w:color w:val="000000"/>
          <w:sz w:val="32"/>
          <w:szCs w:val="32"/>
          <w:lang w:eastAsia="zh-CN"/>
        </w:rPr>
        <w:t>万元、</w:t>
      </w:r>
      <w:r>
        <w:rPr>
          <w:rFonts w:hint="eastAsia" w:ascii="仿宋" w:hAnsi="仿宋" w:eastAsia="仿宋"/>
          <w:color w:val="000000"/>
          <w:sz w:val="32"/>
          <w:szCs w:val="32"/>
          <w:lang w:val="en-US" w:eastAsia="zh-CN"/>
        </w:rPr>
        <w:t>取暖费2.5万元、</w:t>
      </w:r>
      <w:r>
        <w:rPr>
          <w:rFonts w:hint="eastAsia" w:ascii="仿宋" w:hAnsi="仿宋" w:eastAsia="仿宋"/>
          <w:color w:val="000000"/>
          <w:sz w:val="32"/>
          <w:szCs w:val="32"/>
          <w:lang w:eastAsia="zh-CN"/>
        </w:rPr>
        <w:t>差旅费</w:t>
      </w:r>
      <w:r>
        <w:rPr>
          <w:rFonts w:hint="eastAsia" w:ascii="仿宋" w:hAnsi="仿宋" w:eastAsia="仿宋"/>
          <w:color w:val="000000"/>
          <w:sz w:val="32"/>
          <w:szCs w:val="32"/>
          <w:lang w:val="en-US" w:eastAsia="zh-CN"/>
        </w:rPr>
        <w:t>6万元</w:t>
      </w:r>
      <w:r>
        <w:rPr>
          <w:rFonts w:hint="eastAsia" w:ascii="仿宋" w:hAnsi="仿宋" w:eastAsia="仿宋"/>
          <w:color w:val="000000"/>
          <w:sz w:val="32"/>
          <w:szCs w:val="32"/>
          <w:lang w:eastAsia="zh-CN"/>
        </w:rPr>
        <w:t>、培训费</w:t>
      </w:r>
      <w:r>
        <w:rPr>
          <w:rFonts w:hint="eastAsia" w:ascii="仿宋" w:hAnsi="仿宋" w:eastAsia="仿宋"/>
          <w:color w:val="000000"/>
          <w:sz w:val="32"/>
          <w:szCs w:val="32"/>
          <w:lang w:val="en-US" w:eastAsia="zh-CN"/>
        </w:rPr>
        <w:t>6.65</w:t>
      </w:r>
      <w:r>
        <w:rPr>
          <w:rFonts w:hint="eastAsia" w:ascii="仿宋" w:hAnsi="仿宋" w:eastAsia="仿宋"/>
          <w:color w:val="000000"/>
          <w:sz w:val="32"/>
          <w:szCs w:val="32"/>
          <w:lang w:eastAsia="zh-CN"/>
        </w:rPr>
        <w:t>万元、公务用车运行维护费</w:t>
      </w:r>
      <w:r>
        <w:rPr>
          <w:rFonts w:hint="eastAsia" w:ascii="仿宋" w:hAnsi="仿宋" w:eastAsia="仿宋"/>
          <w:color w:val="000000"/>
          <w:sz w:val="32"/>
          <w:szCs w:val="32"/>
          <w:lang w:val="en-US" w:eastAsia="zh-CN"/>
        </w:rPr>
        <w:t>8.6</w:t>
      </w:r>
      <w:r>
        <w:rPr>
          <w:rFonts w:hint="eastAsia" w:ascii="仿宋" w:hAnsi="仿宋" w:eastAsia="仿宋"/>
          <w:color w:val="000000"/>
          <w:sz w:val="32"/>
          <w:szCs w:val="32"/>
          <w:lang w:eastAsia="zh-CN"/>
        </w:rPr>
        <w:t>万元。</w:t>
      </w:r>
    </w:p>
    <w:p>
      <w:pPr>
        <w:pStyle w:val="10"/>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3" w:name="_Toc18699"/>
      <w:r>
        <w:rPr>
          <w:rFonts w:hint="eastAsia" w:ascii="黑体" w:hAnsi="黑体" w:eastAsia="黑体" w:cs="黑体"/>
          <w:sz w:val="32"/>
          <w:szCs w:val="32"/>
          <w:shd w:val="clear" w:color="auto" w:fill="FFFFFF"/>
        </w:rPr>
        <w:t>七、“三公”经费财政拨款支出决算情况说明</w:t>
      </w:r>
      <w:bookmarkEnd w:id="13"/>
    </w:p>
    <w:p>
      <w:pPr>
        <w:pStyle w:val="10"/>
        <w:keepNext w:val="0"/>
        <w:keepLines w:val="0"/>
        <w:widowControl/>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（一）“三公”经费财政拨款支出决算总体情况说明</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9.13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pStyle w:val="10"/>
        <w:keepNext w:val="0"/>
        <w:keepLines w:val="0"/>
        <w:widowControl/>
        <w:numPr>
          <w:numId w:val="0"/>
        </w:numPr>
        <w:suppressLineNumbers w:val="0"/>
        <w:ind w:right="75" w:right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lang w:eastAsia="zh-CN"/>
        </w:rPr>
        <w:t>（</w:t>
      </w:r>
      <w:r>
        <w:rPr>
          <w:rStyle w:val="13"/>
          <w:rFonts w:hint="eastAsia" w:ascii="仿宋_GB2312" w:hAnsi="仿宋_GB2312" w:eastAsia="仿宋_GB2312" w:cs="仿宋_GB2312"/>
          <w:sz w:val="32"/>
          <w:szCs w:val="32"/>
          <w:shd w:val="clear" w:color="auto" w:fill="FFFFFF"/>
          <w:lang w:val="en-US" w:eastAsia="zh-CN"/>
        </w:rPr>
        <w:t>二</w:t>
      </w:r>
      <w:r>
        <w:rPr>
          <w:rStyle w:val="13"/>
          <w:rFonts w:hint="eastAsia" w:ascii="仿宋_GB2312" w:hAnsi="仿宋_GB2312" w:eastAsia="仿宋_GB2312" w:cs="仿宋_GB2312"/>
          <w:sz w:val="32"/>
          <w:szCs w:val="32"/>
          <w:shd w:val="clear" w:color="auto" w:fill="FFFFFF"/>
          <w:lang w:eastAsia="zh-CN"/>
        </w:rPr>
        <w:t>）</w:t>
      </w:r>
      <w:r>
        <w:rPr>
          <w:rStyle w:val="13"/>
          <w:rFonts w:hint="eastAsia" w:ascii="仿宋_GB2312" w:hAnsi="仿宋_GB2312" w:eastAsia="仿宋_GB2312" w:cs="仿宋_GB2312"/>
          <w:sz w:val="32"/>
          <w:szCs w:val="32"/>
          <w:shd w:val="clear" w:color="auto" w:fill="FFFFFF"/>
        </w:rPr>
        <w:t>“三公”经费财政拨款支出决算具体情况说明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lang w:val="en-US" w:eastAsia="zh-CN"/>
        </w:rPr>
        <w:t>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8.62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94.41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0.50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0"/>
        <w:keepNext w:val="0"/>
        <w:keepLines w:val="0"/>
        <w:widowControl/>
        <w:numPr>
          <w:ilvl w:val="0"/>
          <w:numId w:val="0"/>
        </w:numPr>
        <w:suppressLineNumbers w:val="0"/>
        <w:ind w:right="75" w:rightChars="0"/>
        <w:rPr>
          <w:rStyle w:val="13"/>
          <w:rFonts w:hint="eastAsia" w:ascii="仿宋_GB2312" w:hAnsi="仿宋_GB2312" w:eastAsia="仿宋_GB2312" w:cs="仿宋_GB2312"/>
          <w:sz w:val="32"/>
          <w:szCs w:val="32"/>
          <w:shd w:val="clear" w:color="auto" w:fill="FFFFFF"/>
          <w:lang w:eastAsia="zh-CN"/>
        </w:rPr>
      </w:pPr>
      <w:r>
        <w:rPr>
          <w:rStyle w:val="13"/>
          <w:rFonts w:hint="eastAsia" w:ascii="仿宋_GB2312" w:hAnsi="仿宋_GB2312" w:eastAsia="仿宋_GB2312" w:cs="仿宋_GB2312"/>
          <w:sz w:val="32"/>
          <w:szCs w:val="32"/>
          <w:shd w:val="clear" w:color="auto" w:fill="FFFFFF"/>
          <w:lang w:eastAsia="zh-CN"/>
        </w:rPr>
        <w:drawing>
          <wp:inline distT="0" distB="0" distL="114300" distR="114300">
            <wp:extent cx="5080000" cy="23050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numPr>
          <w:ilvl w:val="0"/>
          <w:numId w:val="0"/>
        </w:numPr>
        <w:spacing w:line="600" w:lineRule="exact"/>
        <w:ind w:firstLine="643" w:firstLineChars="200"/>
        <w:rPr>
          <w:rFonts w:hint="eastAsia" w:ascii="仿宋_GB2312" w:hAnsi="仿宋_GB2312" w:eastAsia="仿宋_GB2312" w:cs="仿宋_GB2312"/>
          <w:color w:val="000000"/>
          <w:sz w:val="32"/>
          <w:szCs w:val="32"/>
          <w:lang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全年安排因公出</w:t>
      </w:r>
      <w:r>
        <w:rPr>
          <w:rFonts w:hint="eastAsia" w:ascii="仿宋_GB2312" w:hAnsi="仿宋_GB2312" w:eastAsia="仿宋_GB2312" w:cs="仿宋_GB2312"/>
          <w:color w:val="000000"/>
          <w:sz w:val="32"/>
          <w:szCs w:val="32"/>
        </w:rPr>
        <w:t>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p>
    <w:p>
      <w:pPr>
        <w:numPr>
          <w:ilvl w:val="0"/>
          <w:numId w:val="0"/>
        </w:numPr>
        <w:spacing w:line="600" w:lineRule="exact"/>
        <w:ind w:firstLine="643" w:firstLineChars="200"/>
        <w:rPr>
          <w:rFonts w:hint="eastAsia" w:ascii="仿宋_GB2312" w:hAnsi="仿宋_GB2312" w:eastAsia="仿宋_GB2312" w:cs="仿宋_GB2312"/>
          <w:b/>
          <w:color w:val="000000"/>
          <w:sz w:val="32"/>
          <w:szCs w:val="32"/>
          <w:lang w:val="en-US"/>
        </w:rPr>
      </w:pP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b/>
          <w:color w:val="000000"/>
          <w:sz w:val="32"/>
          <w:szCs w:val="32"/>
          <w:lang w:val="en-US" w:eastAsia="zh-CN"/>
        </w:rPr>
        <w:t>8.62</w:t>
      </w:r>
      <w:r>
        <w:rPr>
          <w:rFonts w:hint="eastAsia" w:ascii="仿宋_GB2312" w:hAnsi="仿宋_GB2312" w:eastAsia="仿宋_GB2312" w:cs="仿宋_GB2312"/>
          <w:color w:val="000000"/>
          <w:sz w:val="32"/>
          <w:szCs w:val="32"/>
        </w:rPr>
        <w:t>万元,</w:t>
      </w:r>
      <w:r>
        <w:rPr>
          <w:rStyle w:val="13"/>
          <w:rFonts w:hint="eastAsia" w:ascii="仿宋_GB2312" w:hAnsi="仿宋_GB2312" w:eastAsia="仿宋_GB2312" w:cs="仿宋_GB2312"/>
          <w:b w:val="0"/>
          <w:bCs/>
          <w:color w:val="000000"/>
          <w:sz w:val="32"/>
          <w:szCs w:val="32"/>
        </w:rPr>
        <w:t>完成预算</w:t>
      </w:r>
      <w:r>
        <w:rPr>
          <w:rStyle w:val="13"/>
          <w:rFonts w:hint="eastAsia" w:ascii="仿宋_GB2312" w:hAnsi="仿宋_GB2312" w:eastAsia="仿宋_GB2312" w:cs="仿宋_GB2312"/>
          <w:b w:val="0"/>
          <w:bCs/>
          <w:color w:val="000000"/>
          <w:sz w:val="32"/>
          <w:szCs w:val="32"/>
          <w:lang w:val="en-US" w:eastAsia="zh-CN"/>
        </w:rPr>
        <w:t>100</w:t>
      </w:r>
      <w:r>
        <w:rPr>
          <w:rStyle w:val="13"/>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公务用车购置及运行维护费支出决算比</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减少0.55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下降原因是厉行节约，减少不必要的开支。</w:t>
      </w:r>
    </w:p>
    <w:p>
      <w:pPr>
        <w:numPr>
          <w:ilvl w:val="0"/>
          <w:numId w:val="0"/>
        </w:numPr>
        <w:spacing w:line="600" w:lineRule="exact"/>
        <w:ind w:firstLine="643" w:firstLineChars="200"/>
        <w:rPr>
          <w:rFonts w:hint="default" w:ascii="仿宋_GB2312" w:hAnsi="仿宋_GB2312" w:eastAsia="仿宋_GB2312" w:cs="仿宋_GB2312"/>
          <w:sz w:val="32"/>
          <w:szCs w:val="32"/>
          <w:lang w:val="en-US"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hAnsi="仿宋_GB2312" w:eastAsia="仿宋_GB2312" w:cs="仿宋_GB2312"/>
          <w:color w:val="000000"/>
          <w:sz w:val="32"/>
          <w:szCs w:val="32"/>
          <w:lang w:val="en-US" w:eastAsia="zh-CN"/>
        </w:rPr>
        <w:t>0.50</w:t>
      </w:r>
      <w:r>
        <w:rPr>
          <w:rFonts w:hint="eastAsia" w:ascii="仿宋_GB2312" w:hAnsi="仿宋_GB2312" w:eastAsia="仿宋_GB2312" w:cs="仿宋_GB2312"/>
          <w:color w:val="000000"/>
          <w:sz w:val="32"/>
          <w:szCs w:val="32"/>
        </w:rPr>
        <w:t>万元，</w:t>
      </w:r>
      <w:r>
        <w:rPr>
          <w:rStyle w:val="13"/>
          <w:rFonts w:hint="eastAsia" w:ascii="仿宋_GB2312" w:hAnsi="仿宋_GB2312" w:eastAsia="仿宋_GB2312" w:cs="仿宋_GB2312"/>
          <w:b w:val="0"/>
          <w:bCs/>
          <w:color w:val="000000"/>
          <w:sz w:val="32"/>
          <w:szCs w:val="32"/>
        </w:rPr>
        <w:t>完成预算</w:t>
      </w:r>
      <w:r>
        <w:rPr>
          <w:rStyle w:val="13"/>
          <w:rFonts w:hint="eastAsia" w:ascii="仿宋_GB2312" w:hAnsi="仿宋_GB2312" w:eastAsia="仿宋_GB2312" w:cs="仿宋_GB2312"/>
          <w:b w:val="0"/>
          <w:bCs/>
          <w:color w:val="000000"/>
          <w:sz w:val="32"/>
          <w:szCs w:val="32"/>
          <w:lang w:val="en-US" w:eastAsia="zh-CN"/>
        </w:rPr>
        <w:t>100</w:t>
      </w:r>
      <w:r>
        <w:rPr>
          <w:rStyle w:val="13"/>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公务接待费支出决算比</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增加0.26</w:t>
      </w:r>
      <w:r>
        <w:rPr>
          <w:rFonts w:hint="eastAsia" w:ascii="仿宋_GB2312" w:hAnsi="仿宋_GB2312" w:eastAsia="仿宋_GB2312" w:cs="仿宋_GB2312"/>
          <w:color w:val="000000"/>
          <w:sz w:val="32"/>
          <w:szCs w:val="32"/>
        </w:rPr>
        <w:t>万元，主要原</w:t>
      </w:r>
      <w:r>
        <w:rPr>
          <w:rFonts w:hint="eastAsia" w:ascii="仿宋_GB2312" w:hAnsi="仿宋_GB2312" w:eastAsia="仿宋_GB2312" w:cs="仿宋_GB2312"/>
          <w:color w:val="000000"/>
          <w:sz w:val="32"/>
          <w:szCs w:val="32"/>
          <w:lang w:eastAsia="zh-CN"/>
        </w:rPr>
        <w:t>因</w:t>
      </w:r>
      <w:r>
        <w:rPr>
          <w:rFonts w:hint="eastAsia" w:ascii="仿宋_GB2312" w:hAnsi="仿宋_GB2312" w:eastAsia="仿宋_GB2312" w:cs="仿宋_GB2312"/>
          <w:sz w:val="32"/>
          <w:szCs w:val="32"/>
          <w:lang w:val="en-US" w:eastAsia="zh-CN"/>
        </w:rPr>
        <w:t>是接待上级部门及各县执行公务、开展业务活动、调研等开支的餐费。2021年国内公务接待14批次，69人次（不包括陪同人员），具体内容包括：接待各县来我县考察调研财税监管，藏胞交流座谈会等，在考察调研和座谈会中相互交流相关工作经验取长补短，让我部学习了其他县先进工作经验，为我县进一步做统战工作奠定了坚实的基础。</w:t>
      </w:r>
    </w:p>
    <w:p>
      <w:pPr>
        <w:spacing w:line="600" w:lineRule="exact"/>
        <w:ind w:firstLine="643" w:firstLineChars="200"/>
        <w:rPr>
          <w:rStyle w:val="13"/>
          <w:rFonts w:hint="eastAsia" w:ascii="仿宋_GB2312" w:hAnsi="仿宋_GB2312" w:eastAsia="仿宋_GB2312" w:cs="仿宋_GB2312"/>
          <w:sz w:val="32"/>
          <w:szCs w:val="32"/>
          <w:shd w:val="clear" w:color="auto" w:fill="FFFFFF"/>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pPr>
        <w:pStyle w:val="10"/>
        <w:keepNext w:val="0"/>
        <w:keepLines w:val="0"/>
        <w:widowControl/>
        <w:numPr>
          <w:ilvl w:val="0"/>
          <w:numId w:val="4"/>
        </w:numPr>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4" w:name="_Toc9599"/>
      <w:r>
        <w:rPr>
          <w:rFonts w:hint="eastAsia" w:ascii="黑体" w:hAnsi="黑体" w:eastAsia="黑体" w:cs="黑体"/>
          <w:sz w:val="32"/>
          <w:szCs w:val="32"/>
          <w:shd w:val="clear" w:color="auto" w:fill="FFFFFF"/>
        </w:rPr>
        <w:t>政府性基金预算支出决算情况说明</w:t>
      </w:r>
      <w:bookmarkEnd w:id="14"/>
    </w:p>
    <w:p>
      <w:pPr>
        <w:spacing w:line="600" w:lineRule="exact"/>
        <w:ind w:firstLine="640" w:firstLineChars="200"/>
        <w:rPr>
          <w:rFonts w:hint="eastAsia" w:ascii="黑体" w:hAnsi="黑体" w:eastAsia="仿宋_GB2312" w:cs="黑体"/>
          <w:sz w:val="32"/>
          <w:szCs w:val="32"/>
          <w:shd w:val="clear" w:color="auto" w:fill="FFFFFF"/>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0"/>
        <w:keepNext w:val="0"/>
        <w:keepLines w:val="0"/>
        <w:widowControl/>
        <w:numPr>
          <w:ilvl w:val="0"/>
          <w:numId w:val="4"/>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15" w:name="_Toc31416"/>
      <w:r>
        <w:rPr>
          <w:rFonts w:hint="eastAsia" w:ascii="黑体" w:hAnsi="黑体" w:eastAsia="黑体" w:cs="黑体"/>
          <w:sz w:val="32"/>
          <w:szCs w:val="32"/>
          <w:shd w:val="clear" w:color="auto" w:fill="FFFFFF"/>
        </w:rPr>
        <w:t>国有资本经营预算支出决算情况说明</w:t>
      </w:r>
      <w:bookmarkEnd w:id="15"/>
    </w:p>
    <w:p>
      <w:pPr>
        <w:spacing w:line="600" w:lineRule="exact"/>
        <w:ind w:firstLine="640"/>
        <w:rPr>
          <w:rFonts w:hint="eastAsia" w:ascii="黑体" w:hAnsi="黑体" w:eastAsia="黑体" w:cs="黑体"/>
          <w:sz w:val="32"/>
          <w:szCs w:val="32"/>
          <w:shd w:val="clear" w:color="auto" w:fill="FFFFFF"/>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0"/>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6" w:name="_Toc11587"/>
      <w:r>
        <w:rPr>
          <w:rFonts w:hint="eastAsia" w:ascii="黑体" w:hAnsi="黑体" w:eastAsia="黑体" w:cs="黑体"/>
          <w:sz w:val="32"/>
          <w:szCs w:val="32"/>
          <w:shd w:val="clear" w:color="auto" w:fill="FFFFFF"/>
        </w:rPr>
        <w:t>十、其他重要事项的情况说明</w:t>
      </w:r>
      <w:bookmarkEnd w:id="16"/>
    </w:p>
    <w:p>
      <w:pPr>
        <w:pStyle w:val="10"/>
        <w:keepNext w:val="0"/>
        <w:keepLines w:val="0"/>
        <w:widowControl/>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（一）机关运行经费支出情况</w:t>
      </w:r>
    </w:p>
    <w:p>
      <w:pPr>
        <w:pStyle w:val="10"/>
        <w:keepNext w:val="0"/>
        <w:keepLines w:val="0"/>
        <w:widowControl/>
        <w:suppressLineNumbers w:val="0"/>
        <w:ind w:left="0" w:right="75" w:firstLine="640" w:firstLineChars="200"/>
        <w:rPr>
          <w:rStyle w:val="13"/>
          <w:rFonts w:hint="default" w:ascii="仿宋_GB2312" w:hAnsi="仿宋_GB2312" w:eastAsia="仿宋_GB2312" w:cs="仿宋_GB2312"/>
          <w:sz w:val="32"/>
          <w:szCs w:val="32"/>
          <w:shd w:val="clear" w:color="auto" w:fill="FFFFFF"/>
          <w:lang w:val="en-US"/>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统战部</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30.45</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减少5.42</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下降13.61</w:t>
      </w:r>
      <w:r>
        <w:rPr>
          <w:rFonts w:ascii="仿宋_GB2312" w:eastAsia="仿宋_GB2312"/>
          <w:color w:val="000000"/>
          <w:sz w:val="32"/>
          <w:szCs w:val="32"/>
        </w:rPr>
        <w:t>%</w:t>
      </w:r>
      <w:r>
        <w:rPr>
          <w:rFonts w:hint="eastAsia" w:ascii="仿宋_GB2312" w:eastAsia="仿宋_GB2312"/>
          <w:color w:val="000000"/>
          <w:sz w:val="32"/>
          <w:szCs w:val="32"/>
          <w:lang w:eastAsia="zh-CN"/>
        </w:rPr>
        <w:t>，与上年</w:t>
      </w:r>
      <w:r>
        <w:rPr>
          <w:rFonts w:hint="eastAsia" w:ascii="仿宋_GB2312" w:eastAsia="仿宋_GB2312"/>
          <w:color w:val="000000"/>
          <w:sz w:val="32"/>
          <w:szCs w:val="32"/>
          <w:lang w:val="en-US" w:eastAsia="zh-CN"/>
        </w:rPr>
        <w:t>减少</w:t>
      </w:r>
      <w:r>
        <w:rPr>
          <w:rFonts w:hint="eastAsia" w:ascii="仿宋_GB2312" w:hAnsi="仿宋_GB2312" w:eastAsia="仿宋_GB2312" w:cs="仿宋_GB2312"/>
          <w:b w:val="0"/>
          <w:bCs w:val="0"/>
          <w:color w:val="000000"/>
          <w:sz w:val="32"/>
          <w:szCs w:val="32"/>
          <w:lang w:val="en-US" w:eastAsia="zh-CN"/>
        </w:rPr>
        <w:t>。</w:t>
      </w:r>
    </w:p>
    <w:p>
      <w:pPr>
        <w:pStyle w:val="10"/>
        <w:keepNext w:val="0"/>
        <w:keepLines w:val="0"/>
        <w:widowControl/>
        <w:numPr>
          <w:ilvl w:val="0"/>
          <w:numId w:val="0"/>
        </w:numPr>
        <w:suppressLineNumbers w:val="0"/>
        <w:ind w:leftChars="0" w:right="75" w:right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lang w:eastAsia="zh-CN"/>
        </w:rPr>
        <w:t>（二）</w:t>
      </w:r>
      <w:r>
        <w:rPr>
          <w:rStyle w:val="13"/>
          <w:rFonts w:hint="eastAsia" w:ascii="仿宋_GB2312" w:hAnsi="仿宋_GB2312" w:eastAsia="仿宋_GB2312" w:cs="仿宋_GB2312"/>
          <w:sz w:val="32"/>
          <w:szCs w:val="32"/>
          <w:shd w:val="clear" w:color="auto" w:fill="FFFFFF"/>
        </w:rPr>
        <w:t>政府采购支出情况</w:t>
      </w:r>
    </w:p>
    <w:p>
      <w:pPr>
        <w:spacing w:line="600" w:lineRule="exact"/>
        <w:ind w:firstLine="640" w:firstLineChars="200"/>
        <w:rPr>
          <w:rStyle w:val="13"/>
          <w:rFonts w:hint="eastAsia" w:ascii="仿宋_GB2312" w:hAnsi="仿宋_GB2312" w:eastAsia="仿宋_GB2312" w:cs="仿宋_GB2312"/>
          <w:sz w:val="32"/>
          <w:szCs w:val="32"/>
          <w:shd w:val="clear" w:color="auto" w:fill="FFFFFF"/>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统战部</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10"/>
        <w:keepNext w:val="0"/>
        <w:keepLines w:val="0"/>
        <w:widowControl/>
        <w:numPr>
          <w:ilvl w:val="0"/>
          <w:numId w:val="5"/>
        </w:numPr>
        <w:suppressLineNumbers w:val="0"/>
        <w:ind w:left="0" w:leftChars="0" w:right="75" w:firstLine="0" w:firstLine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国有资产占有使用情况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年12月31日，</w:t>
      </w:r>
      <w:r>
        <w:rPr>
          <w:rFonts w:hint="eastAsia" w:ascii="仿宋_GB2312" w:eastAsia="仿宋_GB2312"/>
          <w:color w:val="000000"/>
          <w:sz w:val="32"/>
          <w:szCs w:val="32"/>
          <w:lang w:val="en-US" w:eastAsia="zh-CN"/>
        </w:rPr>
        <w:t>红原县统战部</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年度，我单位配置固定资产</w:t>
      </w:r>
      <w:r>
        <w:rPr>
          <w:rFonts w:hint="eastAsia" w:ascii="仿宋_GB2312" w:eastAsia="仿宋_GB2312"/>
          <w:color w:val="000000"/>
          <w:sz w:val="32"/>
          <w:szCs w:val="32"/>
          <w:lang w:val="en-US" w:eastAsia="zh-CN"/>
        </w:rPr>
        <w:t>54.65</w:t>
      </w:r>
      <w:r>
        <w:rPr>
          <w:rFonts w:hint="eastAsia" w:ascii="仿宋_GB2312" w:eastAsia="仿宋_GB2312"/>
          <w:color w:val="000000"/>
          <w:sz w:val="32"/>
          <w:szCs w:val="32"/>
        </w:rPr>
        <w:t>万元（账面原值，下同）。从资产类别分析，配置土地、房屋及构筑物</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 配置通用设备</w:t>
      </w:r>
      <w:r>
        <w:rPr>
          <w:rFonts w:hint="eastAsia" w:ascii="仿宋_GB2312" w:eastAsia="仿宋_GB2312"/>
          <w:color w:val="000000"/>
          <w:sz w:val="32"/>
          <w:szCs w:val="32"/>
          <w:lang w:val="en-US" w:eastAsia="zh-CN"/>
        </w:rPr>
        <w:t>51.16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93.61</w:t>
      </w:r>
      <w:r>
        <w:rPr>
          <w:rFonts w:hint="eastAsia" w:ascii="仿宋_GB2312" w:eastAsia="仿宋_GB2312"/>
          <w:color w:val="000000"/>
          <w:sz w:val="32"/>
          <w:szCs w:val="32"/>
        </w:rPr>
        <w:t>% ； 配置家具、用具、装具及动植物</w:t>
      </w:r>
      <w:r>
        <w:rPr>
          <w:rFonts w:hint="eastAsia" w:ascii="仿宋_GB2312" w:eastAsia="仿宋_GB2312"/>
          <w:color w:val="000000"/>
          <w:sz w:val="32"/>
          <w:szCs w:val="32"/>
          <w:lang w:val="en-US" w:eastAsia="zh-CN"/>
        </w:rPr>
        <w:t>3.49</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6.38</w:t>
      </w:r>
      <w:r>
        <w:rPr>
          <w:rFonts w:hint="eastAsia" w:ascii="仿宋_GB2312" w:eastAsia="仿宋_GB2312"/>
          <w:color w:val="000000"/>
          <w:sz w:val="32"/>
          <w:szCs w:val="32"/>
        </w:rPr>
        <w:t>% 。</w:t>
      </w:r>
    </w:p>
    <w:p>
      <w:pPr>
        <w:pStyle w:val="10"/>
        <w:keepNext w:val="0"/>
        <w:keepLines w:val="0"/>
        <w:widowControl/>
        <w:numPr>
          <w:ilvl w:val="0"/>
          <w:numId w:val="5"/>
        </w:numPr>
        <w:suppressLineNumbers w:val="0"/>
        <w:shd w:val="clear" w:color="auto" w:fill="auto"/>
        <w:ind w:left="0" w:leftChars="0" w:right="75" w:firstLine="0" w:firstLineChars="0"/>
        <w:rPr>
          <w:rStyle w:val="13"/>
          <w:rFonts w:hint="eastAsia" w:ascii="仿宋_GB2312" w:hAnsi="仿宋_GB2312" w:eastAsia="仿宋_GB2312" w:cs="仿宋_GB2312"/>
          <w:sz w:val="32"/>
          <w:szCs w:val="32"/>
          <w:shd w:val="clear" w:color="auto" w:fill="FFFFFF"/>
          <w:lang w:val="en-US" w:eastAsia="zh-CN"/>
        </w:rPr>
      </w:pPr>
      <w:r>
        <w:rPr>
          <w:rStyle w:val="13"/>
          <w:rFonts w:hint="eastAsia" w:ascii="仿宋_GB2312" w:hAnsi="仿宋_GB2312" w:eastAsia="仿宋_GB2312" w:cs="仿宋_GB2312"/>
          <w:sz w:val="32"/>
          <w:szCs w:val="32"/>
          <w:shd w:val="clear" w:color="auto" w:fill="FFFFFF"/>
          <w:lang w:val="en-US" w:eastAsia="zh-CN"/>
        </w:rPr>
        <w:t>由养老保险机构发放养老金的退休人员</w:t>
      </w:r>
    </w:p>
    <w:p>
      <w:pPr>
        <w:pStyle w:val="2"/>
        <w:numPr>
          <w:ilvl w:val="0"/>
          <w:numId w:val="0"/>
        </w:numPr>
        <w:ind w:firstLine="640" w:firstLineChars="200"/>
        <w:rPr>
          <w:rFonts w:hint="eastAsia"/>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本单位由养老保险机构发放养老金的退休人员10人。</w:t>
      </w:r>
    </w:p>
    <w:p>
      <w:pPr>
        <w:pStyle w:val="10"/>
        <w:keepNext w:val="0"/>
        <w:keepLines w:val="0"/>
        <w:widowControl/>
        <w:numPr>
          <w:ilvl w:val="0"/>
          <w:numId w:val="5"/>
        </w:numPr>
        <w:suppressLineNumbers w:val="0"/>
        <w:ind w:left="0" w:leftChars="0" w:right="75" w:firstLine="0" w:firstLine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val="en-US" w:eastAsia="zh-CN"/>
        </w:rPr>
        <w:t>对宗教界代表认识培训费、佛协会长副会长补助2个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2个项目完成情况良好，严格按照本单位制定的目标绩效管理制度来开展绩效管理工作，项目资金为专项经费的，全部用于专项工作。整体工作开展良好经费全部按照相关管理办法使用。2021年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统战部</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31.06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107.7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2021年宗教界代表人士培训和佛协会长副会长补助发放的有相关工作的经费保障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预算经济科目编制还不太精准</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：提高预算编制的精准度。</w:t>
      </w:r>
    </w:p>
    <w:p>
      <w:pPr>
        <w:pStyle w:val="2"/>
      </w:pPr>
    </w:p>
    <w:tbl>
      <w:tblPr>
        <w:tblStyle w:val="11"/>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佛协会长副会长补助</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eastAsia="宋体" w:cs="宋体"/>
                <w:b/>
                <w:color w:val="000000"/>
                <w:sz w:val="24"/>
                <w:lang w:val="en-US" w:eastAsia="zh-CN"/>
              </w:rPr>
              <w:t>中共红原县委员会统战部</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1.36</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1.36</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1.36</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1.36</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ascii="仿宋_GB2312" w:hAnsi="仿宋_GB2312" w:eastAsia="仿宋_GB2312" w:cs="仿宋_GB2312"/>
                <w:sz w:val="24"/>
                <w:szCs w:val="24"/>
              </w:rPr>
              <w:t>绩效目标设置确保</w:t>
            </w:r>
            <w:r>
              <w:rPr>
                <w:rFonts w:hint="eastAsia" w:ascii="仿宋_GB2312" w:hAnsi="仿宋_GB2312" w:eastAsia="仿宋_GB2312" w:cs="仿宋_GB2312"/>
                <w:sz w:val="24"/>
                <w:szCs w:val="24"/>
                <w:lang w:val="zh-CN"/>
              </w:rPr>
              <w:t>佛协会长副会长补助</w:t>
            </w:r>
            <w:r>
              <w:rPr>
                <w:rFonts w:hint="eastAsia" w:ascii="仿宋_GB2312" w:hAnsi="仿宋_GB2312" w:eastAsia="仿宋_GB2312" w:cs="仿宋_GB2312"/>
                <w:sz w:val="24"/>
                <w:szCs w:val="24"/>
              </w:rPr>
              <w:t>的有效开展</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zh-CN"/>
              </w:rPr>
              <w:t>协助管理寺庙管理委员会负责人和乡镇寺庙管理所主要负责人</w:t>
            </w:r>
          </w:p>
        </w:tc>
      </w:tr>
      <w:tr>
        <w:tblPrEx>
          <w:tblLayout w:type="fixed"/>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完成生活补助的发放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佛协会长和副会长完成生活补助的发放合计金额为13680元</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val="en-US" w:eastAsia="zh-CN"/>
              </w:rPr>
              <w:t>年底</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val="en-US" w:eastAsia="zh-CN"/>
              </w:rPr>
              <w:t>年底</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未调整</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未调整</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val="en-US" w:eastAsia="zh-CN"/>
              </w:rPr>
              <w:t>未调整</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eastAsia="宋体" w:cs="宋体"/>
                <w:color w:val="000000"/>
                <w:sz w:val="20"/>
                <w:szCs w:val="20"/>
                <w:lang w:val="en-US" w:eastAsia="zh-CN"/>
              </w:rPr>
              <w:t>未调整</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eastAsia="宋体" w:cs="宋体"/>
                <w:color w:val="000000"/>
                <w:sz w:val="20"/>
                <w:szCs w:val="20"/>
                <w:lang w:val="en-US" w:eastAsia="zh-CN"/>
              </w:rPr>
              <w:t>提高了佛协工作质量</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提高了佛协工作质量</w:t>
            </w:r>
          </w:p>
        </w:tc>
      </w:tr>
      <w:tr>
        <w:tblPrEx>
          <w:tblLayout w:type="fixed"/>
          <w:tblCellMar>
            <w:top w:w="15" w:type="dxa"/>
            <w:left w:w="15" w:type="dxa"/>
            <w:bottom w:w="15" w:type="dxa"/>
            <w:right w:w="15" w:type="dxa"/>
          </w:tblCellMar>
        </w:tblPrEx>
        <w:trPr>
          <w:trHeight w:val="22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both"/>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both"/>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val="zh-CN"/>
              </w:rPr>
              <w:t>协助管理寺庙管理委员会负责人和乡镇寺庙管理所主要负责人</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val="zh-CN"/>
              </w:rPr>
              <w:t>协助管理寺庙管理委员会负责人和乡镇寺庙管理所主要负责人</w:t>
            </w:r>
          </w:p>
        </w:tc>
      </w:tr>
      <w:tr>
        <w:tblPrEx>
          <w:tblLayout w:type="fixed"/>
          <w:tblCellMar>
            <w:top w:w="15" w:type="dxa"/>
            <w:left w:w="15" w:type="dxa"/>
            <w:bottom w:w="15" w:type="dxa"/>
            <w:right w:w="15" w:type="dxa"/>
          </w:tblCellMar>
        </w:tblPrEx>
        <w:trPr>
          <w:trHeight w:val="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为管理寺庙重大抉择提供意见和建议</w:t>
            </w:r>
            <w:r>
              <w:rPr>
                <w:rFonts w:hint="eastAsia" w:ascii="仿宋_GB2312" w:hAnsi="仿宋_GB2312" w:eastAsia="仿宋_GB2312" w:cs="仿宋_GB2312"/>
                <w:sz w:val="24"/>
                <w:szCs w:val="24"/>
                <w:lang w:eastAsia="zh-CN"/>
              </w:rPr>
              <w:t>。</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为管理寺庙重大抉择提供意见和建议</w:t>
            </w:r>
            <w:r>
              <w:rPr>
                <w:rFonts w:hint="eastAsia" w:ascii="仿宋_GB2312" w:hAnsi="仿宋_GB2312" w:eastAsia="仿宋_GB2312" w:cs="仿宋_GB2312"/>
                <w:sz w:val="24"/>
                <w:szCs w:val="24"/>
                <w:lang w:eastAsia="zh-CN"/>
              </w:rPr>
              <w:t>。</w:t>
            </w:r>
          </w:p>
          <w:p>
            <w:pPr>
              <w:jc w:val="left"/>
              <w:rPr>
                <w:rFonts w:ascii="宋体" w:cs="宋体"/>
                <w:color w:val="000000"/>
                <w:sz w:val="20"/>
                <w:szCs w:val="20"/>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b/>
                <w:bCs/>
                <w:color w:val="000000"/>
                <w:sz w:val="20"/>
                <w:szCs w:val="20"/>
                <w:lang w:val="en-US" w:eastAsia="zh-CN"/>
              </w:rPr>
            </w:pPr>
            <w:r>
              <w:rPr>
                <w:rFonts w:hint="eastAsia" w:ascii="宋体" w:hAnsi="宋体" w:cs="宋体"/>
                <w:color w:val="000000"/>
                <w:sz w:val="20"/>
                <w:szCs w:val="20"/>
                <w:lang w:val="en-US" w:eastAsia="zh-CN"/>
              </w:rPr>
              <w:t>100%</w:t>
            </w:r>
          </w:p>
        </w:tc>
      </w:tr>
    </w:tbl>
    <w:p>
      <w:pPr>
        <w:pStyle w:val="2"/>
        <w:rPr>
          <w:rFonts w:hint="eastAsia" w:ascii="仿宋_GB2312" w:hAnsi="仿宋_GB2312" w:eastAsia="仿宋_GB2312" w:cs="仿宋_GB2312"/>
          <w:sz w:val="32"/>
          <w:szCs w:val="32"/>
          <w:lang w:eastAsia="zh-CN"/>
        </w:rPr>
      </w:pPr>
    </w:p>
    <w:tbl>
      <w:tblPr>
        <w:tblStyle w:val="11"/>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eastAsia="宋体" w:cs="宋体"/>
                <w:b/>
                <w:bCs/>
                <w:sz w:val="24"/>
                <w:szCs w:val="24"/>
                <w:lang w:val="zh-CN"/>
              </w:rPr>
              <w:t>“百千万工程”和“千人计划”宗教界代表人士培训费</w:t>
            </w:r>
            <w:r>
              <w:rPr>
                <w:rFonts w:hint="eastAsia" w:ascii="仿宋_GB2312" w:hAnsi="仿宋_GB2312" w:eastAsia="仿宋_GB2312" w:cs="仿宋_GB2312"/>
                <w:sz w:val="30"/>
                <w:szCs w:val="30"/>
                <w:lang w:val="zh-CN"/>
              </w:rPr>
              <w:t xml:space="preserve"> </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eastAsia="宋体" w:cs="宋体"/>
                <w:b/>
                <w:color w:val="000000"/>
                <w:sz w:val="24"/>
                <w:lang w:val="en-US" w:eastAsia="zh-CN"/>
              </w:rPr>
              <w:t>中共红原县委员会统战部</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4万元</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1.87万元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4</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4</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Layout w:type="fixed"/>
          <w:tblCellMar>
            <w:top w:w="15" w:type="dxa"/>
            <w:left w:w="15" w:type="dxa"/>
            <w:bottom w:w="15" w:type="dxa"/>
            <w:right w:w="15" w:type="dxa"/>
          </w:tblCellMar>
        </w:tblPrEx>
        <w:trPr>
          <w:trHeight w:val="14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ascii="仿宋_GB2312" w:hAnsi="宋体" w:eastAsia="仿宋_GB2312"/>
                <w:sz w:val="24"/>
                <w:szCs w:val="24"/>
                <w:lang w:eastAsia="zh-CN"/>
              </w:rPr>
              <w:t>指导新的社会阶层人士、宗教界代表人士、寺庙管理干部队伍开展工作</w:t>
            </w:r>
            <w:r>
              <w:rPr>
                <w:rFonts w:hint="eastAsia" w:ascii="仿宋_GB2312" w:hAnsi="宋体" w:eastAsia="仿宋_GB2312"/>
                <w:sz w:val="30"/>
                <w:szCs w:val="30"/>
                <w:lang w:eastAsia="zh-CN"/>
              </w:rPr>
              <w:t>。</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ascii="仿宋_GB2312" w:hAnsi="宋体" w:eastAsia="仿宋_GB2312"/>
                <w:sz w:val="24"/>
                <w:szCs w:val="24"/>
              </w:rPr>
              <w:t>加强</w:t>
            </w:r>
            <w:r>
              <w:rPr>
                <w:rFonts w:hint="eastAsia" w:ascii="仿宋_GB2312" w:hAnsi="仿宋_GB2312" w:eastAsia="仿宋_GB2312" w:cs="仿宋_GB2312"/>
                <w:sz w:val="24"/>
                <w:szCs w:val="24"/>
                <w:lang w:val="zh-CN"/>
              </w:rPr>
              <w:t>负责联系、培养新的社会阶层代表人士、宗教代表人士，寺庙管理干部队伍建设工作的方针、政策，支持、帮助加强自身建设、发挥作用</w:t>
            </w:r>
          </w:p>
        </w:tc>
      </w:tr>
      <w:tr>
        <w:tblPrEx>
          <w:tblLayout w:type="fixed"/>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numPr>
                <w:numId w:val="0"/>
              </w:numPr>
              <w:ind w:leftChars="0"/>
              <w:jc w:val="center"/>
              <w:textAlignment w:val="bottom"/>
              <w:rPr>
                <w:rFonts w:hint="eastAsia" w:ascii="仿宋_GB2312" w:hAnsi="仿宋_GB2312" w:eastAsia="仿宋_GB2312" w:cs="仿宋_GB2312"/>
                <w:b/>
                <w:color w:val="000000"/>
                <w:sz w:val="20"/>
                <w:szCs w:val="20"/>
              </w:rPr>
            </w:pPr>
            <w:r>
              <w:rPr>
                <w:rFonts w:hint="eastAsia" w:ascii="仿宋_GB2312" w:hAnsi="仿宋_GB2312" w:eastAsia="仿宋_GB2312" w:cs="仿宋_GB2312"/>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numPr>
                <w:numId w:val="0"/>
              </w:numPr>
              <w:ind w:leftChars="0"/>
              <w:jc w:val="center"/>
              <w:textAlignment w:val="bottom"/>
              <w:rPr>
                <w:rFonts w:hint="eastAsia" w:ascii="仿宋_GB2312" w:hAnsi="仿宋_GB2312" w:eastAsia="仿宋_GB2312" w:cs="仿宋_GB2312"/>
                <w:b/>
                <w:color w:val="000000"/>
                <w:sz w:val="20"/>
                <w:szCs w:val="20"/>
              </w:rPr>
            </w:pPr>
            <w:r>
              <w:rPr>
                <w:rFonts w:hint="eastAsia" w:ascii="仿宋_GB2312" w:hAnsi="仿宋_GB2312" w:eastAsia="仿宋_GB2312" w:cs="仿宋_GB2312"/>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numPr>
                <w:numId w:val="0"/>
              </w:numPr>
              <w:ind w:leftChars="0"/>
              <w:jc w:val="center"/>
              <w:textAlignment w:val="bottom"/>
              <w:rPr>
                <w:rFonts w:hint="eastAsia" w:ascii="仿宋_GB2312" w:hAnsi="仿宋_GB2312" w:eastAsia="仿宋_GB2312" w:cs="仿宋_GB2312"/>
                <w:b/>
                <w:color w:val="000000"/>
                <w:sz w:val="20"/>
                <w:szCs w:val="20"/>
              </w:rPr>
            </w:pPr>
            <w:r>
              <w:rPr>
                <w:rFonts w:hint="eastAsia" w:ascii="仿宋_GB2312" w:hAnsi="仿宋_GB2312" w:eastAsia="仿宋_GB2312" w:cs="仿宋_GB2312"/>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numPr>
                <w:numId w:val="0"/>
              </w:numPr>
              <w:ind w:leftChars="0"/>
              <w:jc w:val="center"/>
              <w:textAlignment w:val="bottom"/>
              <w:rPr>
                <w:rFonts w:hint="eastAsia" w:ascii="仿宋_GB2312" w:hAnsi="仿宋_GB2312" w:eastAsia="仿宋_GB2312" w:cs="仿宋_GB2312"/>
                <w:b/>
                <w:color w:val="000000"/>
                <w:sz w:val="20"/>
                <w:szCs w:val="20"/>
              </w:rPr>
            </w:pPr>
            <w:r>
              <w:rPr>
                <w:rFonts w:hint="eastAsia" w:ascii="仿宋_GB2312" w:hAnsi="仿宋_GB2312" w:eastAsia="仿宋_GB2312" w:cs="仿宋_GB2312"/>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numPr>
                <w:numId w:val="0"/>
              </w:numPr>
              <w:ind w:leftChars="0"/>
              <w:jc w:val="center"/>
              <w:textAlignment w:val="bottom"/>
              <w:rPr>
                <w:rFonts w:hint="eastAsia" w:ascii="仿宋_GB2312" w:hAnsi="仿宋_GB2312" w:eastAsia="仿宋_GB2312" w:cs="仿宋_GB2312"/>
                <w:b/>
                <w:color w:val="000000"/>
                <w:sz w:val="20"/>
                <w:szCs w:val="20"/>
              </w:rPr>
            </w:pPr>
            <w:r>
              <w:rPr>
                <w:rFonts w:hint="eastAsia" w:ascii="仿宋_GB2312" w:hAnsi="仿宋_GB2312" w:eastAsia="仿宋_GB2312" w:cs="仿宋_GB2312"/>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numPr>
                <w:numId w:val="0"/>
              </w:numPr>
              <w:ind w:leftChars="0"/>
              <w:jc w:val="center"/>
              <w:textAlignment w:val="bottom"/>
              <w:rPr>
                <w:rFonts w:hint="eastAsia" w:ascii="仿宋_GB2312" w:hAnsi="仿宋_GB2312" w:eastAsia="仿宋_GB2312" w:cs="仿宋_GB2312"/>
                <w:b/>
                <w:color w:val="000000"/>
                <w:sz w:val="20"/>
                <w:szCs w:val="20"/>
              </w:rPr>
            </w:pPr>
            <w:r>
              <w:rPr>
                <w:rFonts w:hint="eastAsia" w:ascii="仿宋_GB2312" w:hAnsi="仿宋_GB2312" w:eastAsia="仿宋_GB2312" w:cs="仿宋_GB2312"/>
                <w:b/>
                <w:color w:val="000000"/>
                <w:kern w:val="0"/>
                <w:sz w:val="20"/>
                <w:szCs w:val="20"/>
              </w:rPr>
              <w:t>实际完成指标值(包含数字及文字描述)</w:t>
            </w: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仿宋_GB2312" w:hAnsi="仿宋_GB2312" w:eastAsia="仿宋_GB2312" w:cs="仿宋_GB2312"/>
                <w:color w:val="000000"/>
                <w:sz w:val="24"/>
                <w:szCs w:val="24"/>
                <w:lang w:val="en-US" w:eastAsia="zh-CN"/>
              </w:rPr>
              <w:t>2021年举办宗教界代表人士培训班</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仿宋_GB2312" w:hAnsi="仿宋_GB2312" w:eastAsia="仿宋_GB2312" w:cs="仿宋_GB2312"/>
                <w:color w:val="000000"/>
                <w:sz w:val="24"/>
                <w:szCs w:val="24"/>
                <w:lang w:val="en-US" w:eastAsia="zh-CN"/>
              </w:rPr>
              <w:t>2021年举办宗教界代表人士培训班</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hAnsi="宋体" w:cs="宋体"/>
                <w:color w:val="000000"/>
                <w:sz w:val="20"/>
                <w:szCs w:val="20"/>
                <w:lang w:val="en-US" w:eastAsia="zh-CN"/>
              </w:rPr>
              <w:t>培训完成后</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hAnsi="宋体" w:cs="宋体"/>
                <w:color w:val="000000"/>
                <w:sz w:val="20"/>
                <w:szCs w:val="20"/>
                <w:lang w:val="en-US" w:eastAsia="zh-CN"/>
              </w:rPr>
              <w:t>培训完成后</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未调整</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未调整</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val="en-US" w:eastAsia="zh-CN"/>
              </w:rPr>
              <w:t>未调整</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eastAsia="宋体" w:cs="宋体"/>
                <w:color w:val="000000"/>
                <w:sz w:val="20"/>
                <w:szCs w:val="20"/>
                <w:lang w:val="en-US" w:eastAsia="zh-CN"/>
              </w:rPr>
              <w:t>未调整</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eastAsia="宋体" w:cs="宋体"/>
                <w:color w:val="000000"/>
                <w:sz w:val="20"/>
                <w:szCs w:val="20"/>
                <w:lang w:val="en-US" w:eastAsia="zh-CN"/>
              </w:rPr>
              <w:t>提高了宗教界工作质量</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提高宗教界工作质量</w:t>
            </w:r>
          </w:p>
        </w:tc>
      </w:tr>
      <w:tr>
        <w:tblPrEx>
          <w:tblLayout w:type="fixed"/>
          <w:tblCellMar>
            <w:top w:w="15" w:type="dxa"/>
            <w:left w:w="15" w:type="dxa"/>
            <w:bottom w:w="15" w:type="dxa"/>
            <w:right w:w="15" w:type="dxa"/>
          </w:tblCellMar>
        </w:tblPrEx>
        <w:trPr>
          <w:trHeight w:val="22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both"/>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both"/>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宋体" w:eastAsia="仿宋_GB2312"/>
                <w:sz w:val="24"/>
                <w:szCs w:val="24"/>
                <w:lang w:eastAsia="zh-CN"/>
              </w:rPr>
              <w:t>指导新的社会阶层人士、宗教界代表人士、寺庙管理干部队伍开展工作</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宋体" w:eastAsia="仿宋_GB2312"/>
                <w:sz w:val="24"/>
                <w:szCs w:val="24"/>
                <w:lang w:eastAsia="zh-CN"/>
              </w:rPr>
              <w:t>指导新的社会阶层人士、宗教界代表人士、寺庙管理干部队伍开展工作</w:t>
            </w:r>
          </w:p>
        </w:tc>
      </w:tr>
      <w:tr>
        <w:tblPrEx>
          <w:tblLayout w:type="fixed"/>
          <w:tblCellMar>
            <w:top w:w="15" w:type="dxa"/>
            <w:left w:w="15" w:type="dxa"/>
            <w:bottom w:w="15" w:type="dxa"/>
            <w:right w:w="15" w:type="dxa"/>
          </w:tblCellMar>
        </w:tblPrEx>
        <w:trPr>
          <w:trHeight w:val="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为管理寺庙重大抉择提供意见和建议</w:t>
            </w:r>
            <w:r>
              <w:rPr>
                <w:rFonts w:hint="eastAsia" w:ascii="仿宋_GB2312" w:hAnsi="仿宋_GB2312" w:eastAsia="仿宋_GB2312" w:cs="仿宋_GB2312"/>
                <w:sz w:val="24"/>
                <w:szCs w:val="24"/>
                <w:lang w:eastAsia="zh-CN"/>
              </w:rPr>
              <w:t>。</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为管理寺庙重大抉择提供意见和建议</w:t>
            </w:r>
            <w:r>
              <w:rPr>
                <w:rFonts w:hint="eastAsia" w:ascii="仿宋_GB2312" w:hAnsi="仿宋_GB2312" w:eastAsia="仿宋_GB2312" w:cs="仿宋_GB2312"/>
                <w:sz w:val="24"/>
                <w:szCs w:val="24"/>
                <w:lang w:eastAsia="zh-CN"/>
              </w:rPr>
              <w:t>。</w:t>
            </w:r>
          </w:p>
          <w:p>
            <w:pPr>
              <w:jc w:val="left"/>
              <w:rPr>
                <w:rFonts w:ascii="宋体" w:cs="宋体"/>
                <w:color w:val="000000"/>
                <w:sz w:val="20"/>
                <w:szCs w:val="20"/>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b/>
                <w:bCs/>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整体支出情况良好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中共红原县委员会统战部</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年部门整体支出绩效评价报告》</w:t>
      </w:r>
      <w:r>
        <w:rPr>
          <w:rFonts w:hint="eastAsia" w:ascii="仿宋_GB2312" w:hAnsi="仿宋_GB2312" w:eastAsia="仿宋_GB2312" w:cs="仿宋_GB2312"/>
          <w:sz w:val="32"/>
          <w:szCs w:val="32"/>
          <w:lang w:eastAsia="zh-CN"/>
        </w:rPr>
        <w:t>详</w:t>
      </w:r>
      <w:r>
        <w:rPr>
          <w:rFonts w:hint="eastAsia" w:ascii="仿宋_GB2312" w:hAnsi="仿宋_GB2312" w:eastAsia="仿宋_GB2312" w:cs="仿宋_GB2312"/>
          <w:sz w:val="32"/>
          <w:szCs w:val="32"/>
        </w:rPr>
        <w:t>见附件。</w:t>
      </w:r>
    </w:p>
    <w:p>
      <w:pPr>
        <w:pStyle w:val="10"/>
        <w:keepNext w:val="0"/>
        <w:keepLines w:val="0"/>
        <w:widowControl/>
        <w:numPr>
          <w:ilvl w:val="0"/>
          <w:numId w:val="0"/>
        </w:numPr>
        <w:suppressLineNumbers w:val="0"/>
        <w:ind w:leftChars="0" w:right="75" w:rightChars="0"/>
        <w:rPr>
          <w:rStyle w:val="13"/>
          <w:rFonts w:hint="eastAsia" w:ascii="仿宋_GB2312" w:hAnsi="仿宋_GB2312" w:eastAsia="仿宋_GB2312" w:cs="仿宋_GB2312"/>
          <w:sz w:val="32"/>
          <w:szCs w:val="32"/>
          <w:shd w:val="clear" w:color="auto" w:fill="FFFFFF"/>
        </w:rPr>
      </w:pPr>
    </w:p>
    <w:p>
      <w:pPr>
        <w:pStyle w:val="10"/>
        <w:keepNext w:val="0"/>
        <w:keepLines w:val="0"/>
        <w:widowControl/>
        <w:numPr>
          <w:ilvl w:val="0"/>
          <w:numId w:val="0"/>
        </w:numPr>
        <w:suppressLineNumbers w:val="0"/>
        <w:ind w:leftChars="0" w:right="75" w:rightChars="0"/>
        <w:rPr>
          <w:rStyle w:val="13"/>
          <w:rFonts w:hint="eastAsia" w:ascii="仿宋_GB2312" w:hAnsi="仿宋_GB2312" w:eastAsia="仿宋_GB2312" w:cs="仿宋_GB2312"/>
          <w:sz w:val="32"/>
          <w:szCs w:val="32"/>
          <w:shd w:val="clear" w:color="auto" w:fill="FFFFFF"/>
        </w:rPr>
      </w:pPr>
    </w:p>
    <w:p>
      <w:pPr>
        <w:pStyle w:val="10"/>
        <w:keepNext w:val="0"/>
        <w:keepLines w:val="0"/>
        <w:widowControl/>
        <w:numPr>
          <w:ilvl w:val="0"/>
          <w:numId w:val="7"/>
        </w:numPr>
        <w:suppressLineNumbers w:val="0"/>
        <w:ind w:left="0" w:right="75"/>
        <w:jc w:val="center"/>
        <w:outlineLvl w:val="0"/>
        <w:rPr>
          <w:rFonts w:hint="eastAsia" w:ascii="黑体" w:hAnsi="黑体" w:eastAsia="黑体" w:cs="黑体"/>
          <w:sz w:val="44"/>
          <w:szCs w:val="44"/>
          <w:shd w:val="clear" w:color="auto" w:fill="FFFFFF"/>
        </w:rPr>
      </w:pPr>
      <w:bookmarkStart w:id="17" w:name="_Toc26931"/>
      <w:r>
        <w:rPr>
          <w:rFonts w:hint="eastAsia" w:ascii="黑体" w:hAnsi="黑体" w:eastAsia="黑体" w:cs="黑体"/>
          <w:sz w:val="44"/>
          <w:szCs w:val="44"/>
          <w:shd w:val="clear" w:color="auto" w:fill="FFFFFF"/>
        </w:rPr>
        <w:t>名词解释</w:t>
      </w:r>
      <w:bookmarkEnd w:id="17"/>
    </w:p>
    <w:p>
      <w:pPr>
        <w:pStyle w:val="1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2010101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人大行政运行，反映人员经费与日常公用经费的支出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2010104指人大会议，反映县人大召开人民代表大会等专门会议的支出。2010108指代表工作，反映人大代表各类视察等方面的支出。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0"/>
        <w:keepNext w:val="0"/>
        <w:keepLines w:val="0"/>
        <w:widowControl/>
        <w:numPr>
          <w:ilvl w:val="0"/>
          <w:numId w:val="0"/>
        </w:numPr>
        <w:suppressLineNumbers w:val="0"/>
        <w:shd w:val="clear" w:color="auto" w:fill="auto"/>
        <w:spacing w:before="100" w:beforeAutospacing="1" w:after="100" w:afterAutospacing="1"/>
        <w:ind w:right="75" w:rightChars="0"/>
        <w:jc w:val="both"/>
        <w:rPr>
          <w:rFonts w:hint="eastAsia" w:ascii="黑体" w:hAnsi="黑体" w:eastAsia="黑体" w:cs="黑体"/>
          <w:sz w:val="44"/>
          <w:szCs w:val="44"/>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pPr>
        <w:pStyle w:val="10"/>
        <w:keepNext w:val="0"/>
        <w:keepLines w:val="0"/>
        <w:widowControl/>
        <w:suppressLineNumbers w:val="0"/>
        <w:ind w:left="0" w:right="75"/>
        <w:jc w:val="center"/>
        <w:outlineLvl w:val="0"/>
        <w:rPr>
          <w:rFonts w:hint="eastAsia" w:ascii="黑体" w:hAnsi="黑体" w:eastAsia="黑体" w:cs="黑体"/>
          <w:sz w:val="44"/>
          <w:szCs w:val="44"/>
        </w:rPr>
      </w:pPr>
      <w:bookmarkStart w:id="18" w:name="_Toc15389"/>
      <w:r>
        <w:rPr>
          <w:rFonts w:hint="eastAsia" w:ascii="黑体" w:hAnsi="黑体" w:eastAsia="黑体" w:cs="黑体"/>
          <w:sz w:val="44"/>
          <w:szCs w:val="44"/>
          <w:shd w:val="clear" w:color="auto" w:fill="FFFFFF"/>
        </w:rPr>
        <w:t>第四部分 附件</w:t>
      </w:r>
      <w:bookmarkEnd w:id="18"/>
    </w:p>
    <w:p>
      <w:pPr>
        <w:widowControl/>
        <w:spacing w:line="576" w:lineRule="exact"/>
        <w:ind w:firstLine="883" w:firstLineChars="200"/>
        <w:jc w:val="center"/>
        <w:rPr>
          <w:rFonts w:hint="eastAsia" w:ascii="方正小标宋简体" w:hAnsi="宋体" w:eastAsia="方正小标宋简体" w:cs="方正小标宋简体"/>
          <w:b/>
          <w:sz w:val="44"/>
          <w:szCs w:val="44"/>
        </w:rPr>
      </w:pPr>
      <w:r>
        <w:rPr>
          <w:rFonts w:hint="eastAsia" w:ascii="方正小标宋简体" w:hAnsi="宋体" w:eastAsia="方正小标宋简体" w:cs="方正小标宋简体"/>
          <w:b/>
          <w:sz w:val="44"/>
          <w:szCs w:val="44"/>
        </w:rPr>
        <w:t>中共红原县委统战部</w:t>
      </w:r>
    </w:p>
    <w:p>
      <w:pPr>
        <w:widowControl/>
        <w:spacing w:line="576" w:lineRule="exact"/>
        <w:ind w:firstLine="883" w:firstLineChars="200"/>
        <w:jc w:val="center"/>
        <w:rPr>
          <w:rFonts w:hint="eastAsia" w:ascii="方正小标宋简体" w:hAnsi="宋体" w:eastAsia="方正小标宋简体" w:cs="方正小标宋简体"/>
          <w:b/>
          <w:sz w:val="44"/>
          <w:szCs w:val="44"/>
        </w:rPr>
      </w:pPr>
      <w:r>
        <w:rPr>
          <w:rFonts w:hint="eastAsia" w:ascii="方正小标宋简体" w:hAnsi="宋体" w:eastAsia="方正小标宋简体" w:cs="方正小标宋简体"/>
          <w:b/>
          <w:sz w:val="44"/>
          <w:szCs w:val="44"/>
        </w:rPr>
        <w:t>关于2021年部门整体支出绩效报告</w:t>
      </w:r>
    </w:p>
    <w:p>
      <w:pPr>
        <w:spacing w:line="576" w:lineRule="exact"/>
        <w:ind w:firstLine="420" w:firstLineChars="200"/>
        <w:rPr>
          <w:rFonts w:hint="eastAsia" w:ascii="仿宋_GB2312"/>
          <w:color w:val="000000"/>
          <w:szCs w:val="32"/>
        </w:rPr>
      </w:pPr>
    </w:p>
    <w:p>
      <w:pPr>
        <w:spacing w:line="576" w:lineRule="exact"/>
        <w:ind w:firstLine="643" w:firstLineChars="20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rPr>
        <w:t>一、</w:t>
      </w:r>
      <w:r>
        <w:rPr>
          <w:rFonts w:hint="eastAsia" w:ascii="仿宋_GB2312" w:hAnsi="仿宋_GB2312" w:eastAsia="仿宋_GB2312" w:cs="仿宋_GB2312"/>
          <w:b/>
          <w:color w:val="000000"/>
          <w:sz w:val="32"/>
          <w:szCs w:val="32"/>
          <w:lang w:val="zh-CN"/>
        </w:rPr>
        <w:t>部门（单位）概况</w:t>
      </w:r>
    </w:p>
    <w:p>
      <w:pPr>
        <w:spacing w:line="576" w:lineRule="exact"/>
        <w:ind w:firstLine="643" w:firstLineChars="200"/>
        <w:rPr>
          <w:rFonts w:hint="eastAsia" w:ascii="仿宋_GB2312" w:hAnsi="仿宋_GB2312" w:eastAsia="仿宋_GB2312" w:cs="仿宋_GB2312"/>
          <w:b/>
          <w:bCs/>
          <w:color w:val="000000"/>
          <w:sz w:val="32"/>
          <w:szCs w:val="32"/>
          <w:lang w:val="zh-CN"/>
        </w:rPr>
      </w:pPr>
      <w:r>
        <w:rPr>
          <w:rFonts w:hint="eastAsia" w:ascii="仿宋_GB2312" w:hAnsi="仿宋_GB2312" w:eastAsia="仿宋_GB2312" w:cs="仿宋_GB2312"/>
          <w:b/>
          <w:bCs/>
          <w:color w:val="000000"/>
          <w:sz w:val="32"/>
          <w:szCs w:val="32"/>
          <w:lang w:val="zh-CN"/>
        </w:rPr>
        <w:t>（一）机构组成</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Cs/>
          <w:sz w:val="32"/>
          <w:szCs w:val="32"/>
        </w:rPr>
        <w:t>中共红原县委员会统战部下设：新阶层服务中心、佛协、金堂管理站。</w:t>
      </w:r>
    </w:p>
    <w:p>
      <w:pPr>
        <w:spacing w:line="576"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（二）机构职能</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1、组织贯彻执行中央、省委、州委、县委关于统一战线的方针、政策；调查研究统一战线有关理论和政策；向县委反映情况，提出开展统战工作的意见和建议。</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负责调研、协调我县有关民族、宗教工作的政策；检查督促民族宗教政策的贯彻执行；联系少数民族和宗教界的代表人物；协助有关部门做好少数民族干部的培养和举荐工作；协调有关部门对达赖集团等国内外敌对势力分裂祖国的活动进行坚决的斗争；提出民族、宗教工作的建议或意见。</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3、负责联系我县无党派代表人士，及时通报情况、了解和反映他们的意见和建议；研究、贯彻、督促、检查党领导的多党合作、政治协商制度;发挥人民代表，政协委员参政议政和民主监督的职能。会同有关部门做好培养、选拔、推荐党外人士担任县政府、人大、政协及其工作部门行政领导的工作；做好党外后备干部的代表人物队伍建设工作。</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4、负责联系工商界；调查、研究并反映我县非公有制经济代表人物的情况、协调关系、研究并提出政策性建议；组织和推动社会各界、工商联及统一战线各个方面积极为经济建设服务。</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5、调查研究我县党外知识分子的情况，反映意见、协调关系，提出建议，联系并积极培养党外知识分子的代表人物。</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6、管理县对台办公室的工作。</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7、负责对国外藏胞工作办公室的业务管理。</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8、指导县工商联的工作。</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9、指导县佛教协会的工作。</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10、完成县委和州委统战部交办的其他工作。</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w:t>
      </w:r>
      <w:r>
        <w:rPr>
          <w:rFonts w:hint="eastAsia" w:ascii="仿宋_GB2312" w:hAnsi="仿宋_GB2312" w:eastAsia="仿宋_GB2312" w:cs="仿宋_GB2312"/>
          <w:b/>
          <w:bCs/>
          <w:color w:val="000000"/>
          <w:sz w:val="32"/>
          <w:szCs w:val="32"/>
          <w:lang w:val="zh-CN"/>
        </w:rPr>
        <w:t>）人员概况</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 xml:space="preserve"> 截止2021年底我单位共有编制19个，其中公务员编制13个，行政工勤编制1个，事业事业编制4人，事业工勤1，在职13人，退12人。</w:t>
      </w:r>
    </w:p>
    <w:p>
      <w:pPr>
        <w:spacing w:line="576"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二、部门财政资金收支情况</w:t>
      </w:r>
    </w:p>
    <w:p>
      <w:pPr>
        <w:spacing w:line="576" w:lineRule="exact"/>
        <w:ind w:firstLine="643" w:firstLineChars="200"/>
        <w:rPr>
          <w:rFonts w:hint="eastAsia" w:ascii="仿宋_GB2312" w:hAnsi="仿宋_GB2312" w:eastAsia="仿宋_GB2312" w:cs="仿宋_GB2312"/>
          <w:b/>
          <w:bCs/>
          <w:color w:val="000000"/>
          <w:sz w:val="32"/>
          <w:szCs w:val="32"/>
          <w:lang w:val="zh-CN"/>
        </w:rPr>
      </w:pPr>
      <w:r>
        <w:rPr>
          <w:rFonts w:hint="eastAsia" w:ascii="仿宋_GB2312" w:hAnsi="仿宋_GB2312" w:eastAsia="仿宋_GB2312" w:cs="仿宋_GB2312"/>
          <w:b/>
          <w:bCs/>
          <w:color w:val="000000"/>
          <w:sz w:val="32"/>
          <w:szCs w:val="32"/>
          <w:lang w:val="zh-CN"/>
        </w:rPr>
        <w:t>（一）部门财政资金收入情况。</w:t>
      </w:r>
    </w:p>
    <w:p>
      <w:pP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2021年我部本年收入合计521.3万元，其中：一般公共预算财政拨款收入521.3元。</w:t>
      </w:r>
    </w:p>
    <w:p>
      <w:pPr>
        <w:spacing w:line="576" w:lineRule="exact"/>
        <w:ind w:firstLine="643" w:firstLineChars="200"/>
        <w:rPr>
          <w:rFonts w:hint="eastAsia" w:ascii="仿宋_GB2312" w:hAnsi="仿宋_GB2312" w:eastAsia="仿宋_GB2312" w:cs="仿宋_GB2312"/>
          <w:b/>
          <w:bCs/>
          <w:color w:val="000000"/>
          <w:sz w:val="32"/>
          <w:szCs w:val="32"/>
          <w:lang w:val="zh-CN"/>
        </w:rPr>
      </w:pPr>
      <w:r>
        <w:rPr>
          <w:rFonts w:hint="eastAsia" w:ascii="仿宋_GB2312" w:hAnsi="仿宋_GB2312" w:eastAsia="仿宋_GB2312" w:cs="仿宋_GB2312"/>
          <w:b/>
          <w:bCs/>
          <w:color w:val="000000"/>
          <w:sz w:val="32"/>
          <w:szCs w:val="32"/>
          <w:lang w:val="zh-CN"/>
        </w:rPr>
        <w:t>（二）部门财政资金支出情况。</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统战部预算安排支出主要用于保障该部门机构正常运转、完成日常工作任务以及承担统战事业发展相关工作。</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2021年我部本年支出合计551.8万元，其中：包括人员经费402.3.1万元，日常公用经费41.8万元元,项目支出107.7万元。</w:t>
      </w:r>
    </w:p>
    <w:p>
      <w:pPr>
        <w:spacing w:line="576" w:lineRule="exact"/>
        <w:ind w:firstLine="640"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rPr>
        <w:t>三、部门财政支出管理情况</w:t>
      </w:r>
    </w:p>
    <w:p>
      <w:pPr>
        <w:spacing w:line="576" w:lineRule="exact"/>
        <w:ind w:firstLine="643" w:firstLineChars="200"/>
        <w:rPr>
          <w:rFonts w:hint="eastAsia" w:ascii="仿宋_GB2312" w:hAnsi="仿宋_GB2312" w:eastAsia="仿宋_GB2312" w:cs="仿宋_GB2312"/>
          <w:b/>
          <w:bCs/>
          <w:color w:val="000000"/>
          <w:sz w:val="32"/>
          <w:szCs w:val="32"/>
          <w:lang w:val="zh-CN"/>
        </w:rPr>
      </w:pPr>
      <w:r>
        <w:rPr>
          <w:rFonts w:hint="eastAsia" w:ascii="仿宋_GB2312" w:hAnsi="仿宋_GB2312" w:eastAsia="仿宋_GB2312" w:cs="仿宋_GB2312"/>
          <w:b/>
          <w:bCs/>
          <w:color w:val="000000"/>
          <w:sz w:val="32"/>
          <w:szCs w:val="32"/>
          <w:lang w:val="zh-CN"/>
        </w:rPr>
        <w:t>（一）预算编制情况</w:t>
      </w:r>
    </w:p>
    <w:p>
      <w:pPr>
        <w:widowControl/>
        <w:shd w:val="clear" w:color="auto" w:fill="FFFFFF"/>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县级部门预算编制通知相关要求按时完成部门年初预算编制和报送工作，在财政部门批复后二十日内向社会进行了公开，在编制过程中，认真核实单位实际财政供养人数和单位是有编制情况，正确编制人员经费和公用经费登，做到尽量细化项目资金支出预算范围和科目。</w:t>
      </w:r>
    </w:p>
    <w:p>
      <w:pPr>
        <w:widowControl/>
        <w:shd w:val="clear" w:color="auto" w:fill="FFFFFF"/>
        <w:spacing w:line="576"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财政拨款支出主要用于保障我部部门机构正常运转、完成日常工作任务以及相关工作。  </w:t>
      </w:r>
    </w:p>
    <w:p>
      <w:pPr>
        <w:widowControl/>
        <w:shd w:val="clear" w:color="auto" w:fill="FFFFFF"/>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基本支出，是用于保障机构正常运转的日常支出，包括基本工资、津贴补贴等人员经费以及办公费、印刷费、水电费、办公设备购置等日常公用经费。</w:t>
      </w:r>
    </w:p>
    <w:p>
      <w:pPr>
        <w:widowControl/>
        <w:shd w:val="clear" w:color="auto" w:fill="FFFFFF"/>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项目支出，是用于保障机构为完成特定的行政工作任务或事业发展目标，用于专项业务工作的经费支出。</w:t>
      </w:r>
    </w:p>
    <w:p>
      <w:pPr>
        <w:widowControl/>
        <w:shd w:val="clear" w:color="auto" w:fill="FFFFFF"/>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按支出功能分类主要用于以下方面：一般公共服务，社会保障和就业，医疗卫生与计划生育支出，住房保障等支出。</w:t>
      </w:r>
    </w:p>
    <w:p>
      <w:pPr>
        <w:spacing w:line="576"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（二）执行管理情况。</w:t>
      </w:r>
    </w:p>
    <w:p>
      <w:pPr>
        <w:spacing w:line="576"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rPr>
        <w:t>1、</w:t>
      </w:r>
      <w:r>
        <w:rPr>
          <w:rFonts w:hint="eastAsia" w:ascii="仿宋_GB2312" w:hAnsi="仿宋_GB2312" w:eastAsia="仿宋_GB2312" w:cs="仿宋_GB2312"/>
          <w:b/>
          <w:bCs/>
          <w:color w:val="000000"/>
          <w:sz w:val="32"/>
          <w:szCs w:val="32"/>
          <w:lang w:val="zh-CN"/>
        </w:rPr>
        <w:t>部门预算执行进度情况及“三公”经费预算执行情况等。</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我部按照县财政的要求，及时分月、分季度上报相应计划，待财政审核通过后，严格按计划执行，各季度执行情况良好。</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基本支出2021年按月进行申报，其中人员工资按月申报并直接支付，日常公用经费按月进行申报并支付，。</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2021年我部本年支出合计551.8万元，其中：包括人员经费402.3.1万元，主要包括：基本工资、津贴补贴、奖金、绩效工资、机关事业单</w:t>
      </w:r>
      <w:r>
        <w:rPr>
          <w:rFonts w:hint="eastAsia" w:ascii="仿宋_GB2312" w:hAnsi="仿宋_GB2312" w:eastAsia="仿宋_GB2312" w:cs="仿宋_GB2312"/>
          <w:color w:val="000000"/>
          <w:sz w:val="32"/>
          <w:szCs w:val="32"/>
        </w:rPr>
        <w:t>位基本养老保险缴费、职业年金缴费、其他社会保障缴费、其他工资福利支出、离休费、退休费、生活补助、医疗费、奖励金、住房公积金、其他对个人和家庭的补助支出等，</w:t>
      </w:r>
      <w:r>
        <w:rPr>
          <w:rFonts w:hint="eastAsia" w:ascii="仿宋_GB2312" w:hAnsi="仿宋_GB2312" w:eastAsia="仿宋_GB2312" w:cs="仿宋_GB2312"/>
          <w:sz w:val="32"/>
          <w:szCs w:val="32"/>
        </w:rPr>
        <w:t>日常公用经费41.8万元，主要包括：办公费、印刷费、咨询费、手续费、水费、电费、</w:t>
      </w:r>
      <w:r>
        <w:rPr>
          <w:rFonts w:hint="eastAsia" w:ascii="仿宋_GB2312" w:hAnsi="仿宋_GB2312" w:eastAsia="仿宋_GB2312" w:cs="仿宋_GB2312"/>
          <w:color w:val="000000"/>
          <w:sz w:val="32"/>
          <w:szCs w:val="32"/>
        </w:rPr>
        <w:t>邮电费、取暖费、物业管理费、差旅费、维修（护）费、租赁费、会议费、培训费、公务接待费、劳务费、工会经费、福利费、公务用车运行维护费、其他交通费、其他商品和服务支出、办公设备购置、专用设备购置、其他资本性支出等。</w:t>
      </w:r>
    </w:p>
    <w:p>
      <w:pPr>
        <w:ind w:firstLine="566" w:firstLineChars="17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经费支出情况：本单位本年度“三公”经费支出决算数为9.13万元。其中：公务用车购置及运行维护费支出决算数为8.63万元，相比上年度增加0.55万元，主要原因为邮费上升、车辆老化耗油量加大。（2）公务接待费0.5万元，相比上年度减少0.26万元，主要原因接待批次14次，接待总人数为69人。</w:t>
      </w:r>
    </w:p>
    <w:p>
      <w:pPr>
        <w:spacing w:line="576" w:lineRule="exact"/>
        <w:ind w:firstLine="643" w:firstLineChars="200"/>
        <w:rPr>
          <w:rFonts w:hint="eastAsia" w:ascii="仿宋_GB2312" w:hAnsi="仿宋_GB2312" w:eastAsia="仿宋_GB2312" w:cs="仿宋_GB2312"/>
          <w:b/>
          <w:bCs/>
          <w:color w:val="000000"/>
          <w:sz w:val="32"/>
          <w:szCs w:val="32"/>
          <w:lang w:val="zh-CN"/>
        </w:rPr>
      </w:pPr>
      <w:r>
        <w:rPr>
          <w:rFonts w:hint="eastAsia" w:ascii="仿宋_GB2312" w:hAnsi="仿宋_GB2312" w:eastAsia="仿宋_GB2312" w:cs="仿宋_GB2312"/>
          <w:b/>
          <w:bCs/>
          <w:color w:val="000000"/>
          <w:sz w:val="32"/>
          <w:szCs w:val="32"/>
          <w:lang w:val="zh-CN"/>
        </w:rPr>
        <w:t>（三）综合管理情况。</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我部按照岗位职责，严格执行机关财务管理制度，及时进行会计核算，对项目资金、政府采购进行公开公示，接受群众监督。</w:t>
      </w:r>
    </w:p>
    <w:p>
      <w:pPr>
        <w:spacing w:line="576"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1、资产管理情况 。一是</w:t>
      </w:r>
      <w:r>
        <w:rPr>
          <w:rFonts w:hint="eastAsia" w:ascii="仿宋_GB2312" w:hAnsi="仿宋_GB2312" w:eastAsia="仿宋_GB2312" w:cs="仿宋_GB2312"/>
          <w:color w:val="000000"/>
          <w:sz w:val="32"/>
          <w:szCs w:val="32"/>
        </w:rPr>
        <w:t>严格执行财产管理制度，建立健全了财产管理规章制度，强化了内部财产管理和审计监督，对资产的完整和安全，最大程度发挥固定资产的效益。</w:t>
      </w:r>
      <w:r>
        <w:rPr>
          <w:rFonts w:hint="eastAsia" w:ascii="仿宋_GB2312" w:hAnsi="仿宋_GB2312" w:eastAsia="仿宋_GB2312" w:cs="仿宋_GB2312"/>
          <w:b/>
          <w:bCs/>
          <w:color w:val="000000"/>
          <w:sz w:val="32"/>
          <w:szCs w:val="32"/>
        </w:rPr>
        <w:t>二是</w:t>
      </w:r>
      <w:r>
        <w:rPr>
          <w:rFonts w:hint="eastAsia" w:ascii="仿宋_GB2312" w:hAnsi="仿宋_GB2312" w:eastAsia="仿宋_GB2312" w:cs="仿宋_GB2312"/>
          <w:color w:val="000000"/>
          <w:sz w:val="32"/>
          <w:szCs w:val="32"/>
        </w:rPr>
        <w:t>如有资产变动，定期在资产管理信息系统对资产进行登记，变更，盘点，并上报，确保账面数与实有数相符，使本单位资产情况的准确无误。</w:t>
      </w:r>
    </w:p>
    <w:p>
      <w:pPr>
        <w:spacing w:line="576"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2、内控管理制度情况。</w:t>
      </w:r>
      <w:r>
        <w:rPr>
          <w:rFonts w:hint="eastAsia" w:ascii="仿宋_GB2312" w:hAnsi="仿宋_GB2312" w:eastAsia="仿宋_GB2312" w:cs="仿宋_GB2312"/>
          <w:color w:val="000000"/>
          <w:sz w:val="32"/>
          <w:szCs w:val="32"/>
        </w:rPr>
        <w:t>有效制定行为准则和其他原则。明确制定可以接受的员工行为道德标准和处理方式，并确保这些准则和原则的有效执行。对员工精神规范、仪容仪表、工作纪律、待人接物、环境卫生以及组织管理及违反守则的处理办法等方面做出规定。推动内部员工对单位理念的理解和接受，使员工理解和把握单位文化和管理理念。</w:t>
      </w:r>
    </w:p>
    <w:p>
      <w:pPr>
        <w:spacing w:line="576"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3、</w:t>
      </w:r>
      <w:r>
        <w:rPr>
          <w:rFonts w:hint="eastAsia" w:ascii="仿宋_GB2312" w:hAnsi="仿宋_GB2312" w:eastAsia="仿宋_GB2312" w:cs="仿宋_GB2312"/>
          <w:b/>
          <w:bCs/>
          <w:color w:val="000000"/>
          <w:sz w:val="32"/>
          <w:szCs w:val="32"/>
          <w:lang w:val="zh-CN"/>
        </w:rPr>
        <w:t>绩效评价及依法接受财政监督情况。</w:t>
      </w:r>
      <w:r>
        <w:rPr>
          <w:rFonts w:hint="eastAsia" w:ascii="仿宋_GB2312" w:hAnsi="仿宋_GB2312" w:eastAsia="仿宋_GB2312" w:cs="仿宋_GB2312"/>
          <w:color w:val="000000"/>
          <w:sz w:val="32"/>
          <w:szCs w:val="32"/>
        </w:rPr>
        <w:t>保障了我部机构正常运转、完成了日常工作任务以及承担宗教寺庙事业发展相关工作。</w:t>
      </w:r>
      <w:r>
        <w:rPr>
          <w:rFonts w:hint="eastAsia" w:ascii="仿宋_GB2312" w:hAnsi="仿宋_GB2312" w:eastAsia="仿宋_GB2312" w:cs="仿宋_GB2312"/>
          <w:color w:val="000000"/>
          <w:sz w:val="32"/>
          <w:szCs w:val="32"/>
          <w:lang w:val="zh-CN"/>
        </w:rPr>
        <w:t>在执行过程中有计划进行资金申报使用，完善资金管理及内部控制制度，确保资金安全，做到帐款、帐帐、帐实相符。为我部经济和社会事业发展提供资金保障。</w:t>
      </w:r>
      <w:r>
        <w:rPr>
          <w:rFonts w:hint="eastAsia" w:ascii="仿宋_GB2312" w:hAnsi="仿宋_GB2312" w:eastAsia="仿宋_GB2312" w:cs="仿宋_GB2312"/>
          <w:color w:val="000000"/>
          <w:sz w:val="32"/>
          <w:szCs w:val="32"/>
        </w:rPr>
        <w:t xml:space="preserve">  </w:t>
      </w:r>
    </w:p>
    <w:p>
      <w:pPr>
        <w:spacing w:line="576" w:lineRule="exact"/>
        <w:ind w:firstLine="643" w:firstLineChars="200"/>
        <w:rPr>
          <w:rFonts w:hint="eastAsia" w:ascii="仿宋_GB2312" w:hAnsi="仿宋_GB2312" w:eastAsia="仿宋_GB2312" w:cs="仿宋_GB2312"/>
          <w:b/>
          <w:bCs/>
          <w:color w:val="000000"/>
          <w:sz w:val="32"/>
          <w:szCs w:val="32"/>
          <w:lang w:val="zh-CN"/>
        </w:rPr>
      </w:pPr>
      <w:r>
        <w:rPr>
          <w:rFonts w:hint="eastAsia" w:ascii="仿宋_GB2312" w:hAnsi="仿宋_GB2312" w:eastAsia="仿宋_GB2312" w:cs="仿宋_GB2312"/>
          <w:b/>
          <w:bCs/>
          <w:color w:val="000000"/>
          <w:sz w:val="32"/>
          <w:szCs w:val="32"/>
          <w:lang w:val="zh-CN"/>
        </w:rPr>
        <w:t>（四）整体绩效</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按照年初预算项目，实施完成后使全县环境更优美、经济更稳定、社会更和谐，达到预期经济、社会目标。</w:t>
      </w:r>
    </w:p>
    <w:p>
      <w:pPr>
        <w:spacing w:line="576"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我部绩效管理严格按照上级部门要求，开展自评工作，对评价结果及时总结上报。</w:t>
      </w:r>
    </w:p>
    <w:p>
      <w:pPr>
        <w:spacing w:line="576"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四、结果应用情况</w:t>
      </w:r>
    </w:p>
    <w:p>
      <w:pPr>
        <w:widowControl/>
        <w:adjustRightInd w:val="0"/>
        <w:snapToGrid w:val="0"/>
        <w:spacing w:line="576" w:lineRule="exact"/>
        <w:ind w:firstLine="640" w:firstLineChars="200"/>
        <w:jc w:val="left"/>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1、本年度预算配置控制较好，财政供养人员控制在预算范围以内。</w:t>
      </w:r>
    </w:p>
    <w:p>
      <w:pPr>
        <w:widowControl/>
        <w:adjustRightInd w:val="0"/>
        <w:snapToGrid w:val="0"/>
        <w:spacing w:line="576" w:lineRule="exact"/>
        <w:ind w:firstLine="640" w:firstLineChars="200"/>
        <w:jc w:val="left"/>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2、资产管理方面。建立了资产管理制度，定期进行盘点和资产清理，总体执行情况较好。</w:t>
      </w:r>
    </w:p>
    <w:p>
      <w:pPr>
        <w:widowControl/>
        <w:adjustRightInd w:val="0"/>
        <w:snapToGrid w:val="0"/>
        <w:spacing w:line="576" w:lineRule="exact"/>
        <w:ind w:firstLine="640" w:firstLineChars="200"/>
        <w:jc w:val="left"/>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3、根据部门整体支出绩效评价指标体系，2021年度评价得分95分</w:t>
      </w:r>
    </w:p>
    <w:p>
      <w:pPr>
        <w:widowControl/>
        <w:adjustRightInd w:val="0"/>
        <w:snapToGrid w:val="0"/>
        <w:spacing w:line="576" w:lineRule="exact"/>
        <w:ind w:firstLine="643" w:firstLineChars="200"/>
        <w:jc w:val="left"/>
        <w:rPr>
          <w:rFonts w:hint="eastAsia" w:ascii="仿宋_GB2312" w:hAnsi="仿宋_GB2312" w:eastAsia="仿宋_GB2312" w:cs="仿宋_GB2312"/>
          <w:b/>
          <w:bCs/>
          <w:color w:val="000000"/>
          <w:sz w:val="32"/>
          <w:szCs w:val="32"/>
          <w:lang w:val="zh-CN"/>
        </w:rPr>
      </w:pPr>
      <w:r>
        <w:rPr>
          <w:rFonts w:hint="eastAsia" w:ascii="仿宋_GB2312" w:hAnsi="仿宋_GB2312" w:eastAsia="仿宋_GB2312" w:cs="仿宋_GB2312"/>
          <w:b/>
          <w:bCs/>
          <w:color w:val="000000"/>
          <w:sz w:val="32"/>
          <w:szCs w:val="32"/>
          <w:lang w:val="zh-CN"/>
        </w:rPr>
        <w:t>（二）存在问题。</w:t>
      </w:r>
    </w:p>
    <w:p>
      <w:pPr>
        <w:snapToGrid w:val="0"/>
        <w:spacing w:line="52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bCs/>
          <w:sz w:val="32"/>
          <w:szCs w:val="32"/>
        </w:rPr>
        <w:t>预算执行规范性不强，随意性过大，导致预算资金在执行及支出上与原有编制计划不符，没有强化对预算执行过程的管理和监督，致使偏离了批复的预算，在相关责任落实上跟进不力，影响力预算执行的流畅性和规范性。</w:t>
      </w:r>
    </w:p>
    <w:p>
      <w:pPr>
        <w:spacing w:line="576"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（三）下一步改进措施</w:t>
      </w:r>
      <w:r>
        <w:rPr>
          <w:rFonts w:hint="eastAsia" w:ascii="仿宋_GB2312" w:hAnsi="仿宋_GB2312" w:eastAsia="仿宋_GB2312" w:cs="仿宋_GB2312"/>
          <w:color w:val="000000"/>
          <w:sz w:val="32"/>
          <w:szCs w:val="32"/>
        </w:rPr>
        <w:t>：强化对预算管理的重视程度，注重预算编制质量的提升，提升预算的执行力和控制力度。</w:t>
      </w:r>
    </w:p>
    <w:p>
      <w:pPr>
        <w:spacing w:line="576"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val="zh-CN"/>
        </w:rPr>
        <w:t>（四）改进建议</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b/>
          <w:bCs/>
          <w:color w:val="000000"/>
          <w:sz w:val="32"/>
          <w:szCs w:val="32"/>
          <w:lang w:val="zh-CN"/>
        </w:rPr>
        <w:t>一是</w:t>
      </w:r>
      <w:r>
        <w:rPr>
          <w:rFonts w:hint="eastAsia" w:ascii="仿宋_GB2312" w:hAnsi="仿宋_GB2312" w:eastAsia="仿宋_GB2312" w:cs="仿宋_GB2312"/>
          <w:color w:val="000000"/>
          <w:kern w:val="0"/>
          <w:sz w:val="32"/>
          <w:szCs w:val="32"/>
          <w:lang w:val="zh-CN"/>
        </w:rPr>
        <w:t>加强组织领导，增强预算编制的准确性，提高对预算编制与执行的认识，为绩效评价工作开展创造更好的条件；</w:t>
      </w:r>
      <w:r>
        <w:rPr>
          <w:rFonts w:hint="eastAsia" w:ascii="仿宋_GB2312" w:hAnsi="仿宋_GB2312" w:eastAsia="仿宋_GB2312" w:cs="仿宋_GB2312"/>
          <w:b/>
          <w:bCs/>
          <w:color w:val="000000"/>
          <w:kern w:val="0"/>
          <w:sz w:val="32"/>
          <w:szCs w:val="32"/>
          <w:lang w:val="zh-CN"/>
        </w:rPr>
        <w:t>二是</w:t>
      </w:r>
      <w:r>
        <w:rPr>
          <w:rFonts w:hint="eastAsia" w:ascii="仿宋_GB2312" w:hAnsi="仿宋_GB2312" w:eastAsia="仿宋_GB2312" w:cs="仿宋_GB2312"/>
          <w:color w:val="000000"/>
          <w:kern w:val="0"/>
          <w:sz w:val="32"/>
          <w:szCs w:val="32"/>
          <w:lang w:val="zh-CN"/>
        </w:rPr>
        <w:t>建立长效机制，加强管理提高部门支出的绩效成果，让财政资金发挥最大效益。</w:t>
      </w:r>
    </w:p>
    <w:p>
      <w:pPr>
        <w:spacing w:line="576" w:lineRule="exact"/>
        <w:ind w:firstLine="600" w:firstLineChars="200"/>
        <w:rPr>
          <w:rFonts w:hint="eastAsia" w:ascii="仿宋_GB2312" w:hAnsi="仿宋_GB2312" w:eastAsia="仿宋_GB2312" w:cs="仿宋_GB2312"/>
          <w:color w:val="000000"/>
          <w:sz w:val="30"/>
          <w:szCs w:val="30"/>
        </w:rPr>
      </w:pPr>
    </w:p>
    <w:p>
      <w:pPr>
        <w:pStyle w:val="2"/>
        <w:rPr>
          <w:rFonts w:hint="eastAsia" w:ascii="仿宋_GB2312" w:hAnsi="仿宋_GB2312" w:eastAsia="仿宋_GB2312" w:cs="仿宋_GB2312"/>
          <w:color w:val="000000"/>
          <w:sz w:val="30"/>
          <w:szCs w:val="30"/>
        </w:rPr>
      </w:pPr>
    </w:p>
    <w:p>
      <w:pPr>
        <w:pStyle w:val="4"/>
        <w:rPr>
          <w:rFonts w:hint="eastAsia" w:ascii="仿宋_GB2312" w:hAnsi="仿宋_GB2312" w:eastAsia="仿宋_GB2312" w:cs="仿宋_GB2312"/>
          <w:color w:val="000000"/>
          <w:sz w:val="30"/>
          <w:szCs w:val="30"/>
        </w:rPr>
      </w:pPr>
    </w:p>
    <w:p>
      <w:pPr>
        <w:pStyle w:val="4"/>
        <w:rPr>
          <w:rFonts w:hint="eastAsia" w:ascii="仿宋_GB2312" w:hAnsi="仿宋_GB2312" w:eastAsia="仿宋_GB2312" w:cs="仿宋_GB2312"/>
          <w:color w:val="000000"/>
          <w:sz w:val="30"/>
          <w:szCs w:val="30"/>
        </w:rPr>
      </w:pPr>
    </w:p>
    <w:p>
      <w:pPr>
        <w:pStyle w:val="4"/>
        <w:rPr>
          <w:rFonts w:hint="eastAsia" w:ascii="仿宋_GB2312" w:hAnsi="仿宋_GB2312" w:eastAsia="仿宋_GB2312" w:cs="仿宋_GB2312"/>
          <w:color w:val="000000"/>
          <w:sz w:val="30"/>
          <w:szCs w:val="30"/>
        </w:rPr>
      </w:pPr>
    </w:p>
    <w:p>
      <w:pPr>
        <w:pStyle w:val="10"/>
        <w:keepNext w:val="0"/>
        <w:keepLines w:val="0"/>
        <w:widowControl/>
        <w:suppressLineNumbers w:val="0"/>
        <w:ind w:right="75"/>
        <w:jc w:val="center"/>
        <w:outlineLvl w:val="0"/>
        <w:rPr>
          <w:rFonts w:hint="eastAsia" w:ascii="黑体" w:hAnsi="黑体" w:eastAsia="黑体" w:cs="黑体"/>
          <w:sz w:val="44"/>
          <w:szCs w:val="44"/>
        </w:rPr>
      </w:pPr>
      <w:bookmarkStart w:id="19" w:name="_Toc29972"/>
      <w:r>
        <w:rPr>
          <w:rFonts w:hint="eastAsia" w:ascii="黑体" w:hAnsi="黑体" w:eastAsia="黑体" w:cs="黑体"/>
          <w:sz w:val="44"/>
          <w:szCs w:val="44"/>
          <w:shd w:val="clear" w:color="auto" w:fill="FFFFFF"/>
        </w:rPr>
        <w:t>第五部分 附表</w:t>
      </w:r>
      <w:bookmarkEnd w:id="19"/>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一、收入支出决算总表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二、收入决算表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四、财政拨款收入支出决算总表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五、财政拨款支出决算明细表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六、一般公共预算财政拨款支出决算表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七、一般公共预算财政拨款支出决算明细表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八、一般公共预算财政拨款基本支出决算表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九、一般公共预算财政拨款项目支出决算表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十、一般公共预算财政拨款“三公”经费支出决算表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十一、政府性基金预算财政拨款收入支出决算表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十二、政府性基金预算财政拨款“三公”经费支出决算表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十三、国有资本经营预算财政拨款收入支出决算表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十四、国有资本经营预算财政拨款支出决算表</w:t>
      </w:r>
    </w:p>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6B91D5"/>
    <w:multiLevelType w:val="singleLevel"/>
    <w:tmpl w:val="916B91D5"/>
    <w:lvl w:ilvl="0" w:tentative="0">
      <w:start w:val="3"/>
      <w:numFmt w:val="chineseCounting"/>
      <w:suff w:val="space"/>
      <w:lvlText w:val="第%1部分"/>
      <w:lvlJc w:val="left"/>
      <w:rPr>
        <w:rFonts w:hint="eastAsia"/>
      </w:rPr>
    </w:lvl>
  </w:abstractNum>
  <w:abstractNum w:abstractNumId="1">
    <w:nsid w:val="1A9BF496"/>
    <w:multiLevelType w:val="singleLevel"/>
    <w:tmpl w:val="1A9BF496"/>
    <w:lvl w:ilvl="0" w:tentative="0">
      <w:start w:val="2"/>
      <w:numFmt w:val="chineseCounting"/>
      <w:suff w:val="space"/>
      <w:lvlText w:val="%1、"/>
      <w:lvlJc w:val="left"/>
      <w:rPr>
        <w:rFonts w:hint="eastAsia"/>
      </w:rPr>
    </w:lvl>
  </w:abstractNum>
  <w:abstractNum w:abstractNumId="2">
    <w:nsid w:val="3F606127"/>
    <w:multiLevelType w:val="singleLevel"/>
    <w:tmpl w:val="3F606127"/>
    <w:lvl w:ilvl="0" w:tentative="0">
      <w:start w:val="8"/>
      <w:numFmt w:val="chineseCounting"/>
      <w:suff w:val="nothing"/>
      <w:lvlText w:val="%1、"/>
      <w:lvlJc w:val="left"/>
      <w:rPr>
        <w:rFonts w:hint="eastAsia"/>
      </w:rPr>
    </w:lvl>
  </w:abstractNum>
  <w:abstractNum w:abstractNumId="3">
    <w:nsid w:val="5708D7AD"/>
    <w:multiLevelType w:val="singleLevel"/>
    <w:tmpl w:val="5708D7AD"/>
    <w:lvl w:ilvl="0" w:tentative="0">
      <w:start w:val="2"/>
      <w:numFmt w:val="chineseCounting"/>
      <w:suff w:val="nothing"/>
      <w:lvlText w:val="（%1）"/>
      <w:lvlJc w:val="left"/>
      <w:rPr>
        <w:rFonts w:hint="eastAsia"/>
      </w:rPr>
    </w:lvl>
  </w:abstractNum>
  <w:abstractNum w:abstractNumId="4">
    <w:nsid w:val="5F819D8E"/>
    <w:multiLevelType w:val="singleLevel"/>
    <w:tmpl w:val="5F819D8E"/>
    <w:lvl w:ilvl="0" w:tentative="0">
      <w:start w:val="1"/>
      <w:numFmt w:val="decimal"/>
      <w:lvlText w:val="%1."/>
      <w:lvlJc w:val="left"/>
      <w:pPr>
        <w:tabs>
          <w:tab w:val="left" w:pos="312"/>
        </w:tabs>
      </w:pPr>
    </w:lvl>
  </w:abstractNum>
  <w:abstractNum w:abstractNumId="5">
    <w:nsid w:val="5F81B4ED"/>
    <w:multiLevelType w:val="singleLevel"/>
    <w:tmpl w:val="5F81B4ED"/>
    <w:lvl w:ilvl="0" w:tentative="0">
      <w:start w:val="1"/>
      <w:numFmt w:val="decimal"/>
      <w:lvlText w:val="%1."/>
      <w:lvlJc w:val="left"/>
      <w:pPr>
        <w:tabs>
          <w:tab w:val="left" w:pos="312"/>
        </w:tabs>
      </w:pPr>
    </w:lvl>
  </w:abstractNum>
  <w:abstractNum w:abstractNumId="6">
    <w:nsid w:val="7AAC1CBD"/>
    <w:multiLevelType w:val="singleLevel"/>
    <w:tmpl w:val="7AAC1CBD"/>
    <w:lvl w:ilvl="0" w:tentative="0">
      <w:start w:val="2"/>
      <w:numFmt w:val="chineseCounting"/>
      <w:suff w:val="nothing"/>
      <w:lvlText w:val="（%1）"/>
      <w:lvlJc w:val="left"/>
      <w:rPr>
        <w:rFonts w:hint="eastAsia"/>
      </w:rPr>
    </w:lvl>
  </w:abstractNum>
  <w:num w:numId="1">
    <w:abstractNumId w:val="1"/>
  </w:num>
  <w:num w:numId="2">
    <w:abstractNumId w:val="6"/>
  </w:num>
  <w:num w:numId="3">
    <w:abstractNumId w:val="4"/>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34707"/>
    <w:rsid w:val="00882313"/>
    <w:rsid w:val="00BF0852"/>
    <w:rsid w:val="01AB3A4C"/>
    <w:rsid w:val="01D82154"/>
    <w:rsid w:val="01DB0E98"/>
    <w:rsid w:val="020502B8"/>
    <w:rsid w:val="02346274"/>
    <w:rsid w:val="02537415"/>
    <w:rsid w:val="027D28AA"/>
    <w:rsid w:val="028316E6"/>
    <w:rsid w:val="03B10B2C"/>
    <w:rsid w:val="03E52A27"/>
    <w:rsid w:val="0421370F"/>
    <w:rsid w:val="051E63A0"/>
    <w:rsid w:val="05253159"/>
    <w:rsid w:val="0536478E"/>
    <w:rsid w:val="05C6221A"/>
    <w:rsid w:val="05CA37E6"/>
    <w:rsid w:val="05DE2065"/>
    <w:rsid w:val="060415DA"/>
    <w:rsid w:val="061D2498"/>
    <w:rsid w:val="062705AF"/>
    <w:rsid w:val="0648585F"/>
    <w:rsid w:val="067611B1"/>
    <w:rsid w:val="06A51A29"/>
    <w:rsid w:val="06DF2C3C"/>
    <w:rsid w:val="070B26D8"/>
    <w:rsid w:val="073716F3"/>
    <w:rsid w:val="077C0152"/>
    <w:rsid w:val="07A66CD3"/>
    <w:rsid w:val="07AB12F0"/>
    <w:rsid w:val="07CC79AF"/>
    <w:rsid w:val="07E05898"/>
    <w:rsid w:val="08B1427D"/>
    <w:rsid w:val="08D266EA"/>
    <w:rsid w:val="08E5531C"/>
    <w:rsid w:val="09201BFE"/>
    <w:rsid w:val="094712F2"/>
    <w:rsid w:val="0958647E"/>
    <w:rsid w:val="0963660A"/>
    <w:rsid w:val="09A4358F"/>
    <w:rsid w:val="09BF4822"/>
    <w:rsid w:val="09DA3F82"/>
    <w:rsid w:val="0A0B0C2D"/>
    <w:rsid w:val="0A1A2BF9"/>
    <w:rsid w:val="0B6775DA"/>
    <w:rsid w:val="0BE72A8C"/>
    <w:rsid w:val="0C1C28F1"/>
    <w:rsid w:val="0C5533EE"/>
    <w:rsid w:val="0C7557E1"/>
    <w:rsid w:val="0CB8599E"/>
    <w:rsid w:val="0CE63DEF"/>
    <w:rsid w:val="0D5709C4"/>
    <w:rsid w:val="0DA32FF9"/>
    <w:rsid w:val="0E016246"/>
    <w:rsid w:val="0EEF2024"/>
    <w:rsid w:val="0F396866"/>
    <w:rsid w:val="0F547819"/>
    <w:rsid w:val="0F763753"/>
    <w:rsid w:val="0FBD1976"/>
    <w:rsid w:val="0FF22613"/>
    <w:rsid w:val="10DF26FC"/>
    <w:rsid w:val="110E5233"/>
    <w:rsid w:val="11142387"/>
    <w:rsid w:val="112A1720"/>
    <w:rsid w:val="118E4E05"/>
    <w:rsid w:val="119A0988"/>
    <w:rsid w:val="12474DC8"/>
    <w:rsid w:val="131721D3"/>
    <w:rsid w:val="134D5D4F"/>
    <w:rsid w:val="137E4D53"/>
    <w:rsid w:val="13F47D19"/>
    <w:rsid w:val="1444516F"/>
    <w:rsid w:val="14886F81"/>
    <w:rsid w:val="14B70C97"/>
    <w:rsid w:val="14B82E87"/>
    <w:rsid w:val="14C217F5"/>
    <w:rsid w:val="14E24DF8"/>
    <w:rsid w:val="15922051"/>
    <w:rsid w:val="16103683"/>
    <w:rsid w:val="16316871"/>
    <w:rsid w:val="168B7E06"/>
    <w:rsid w:val="177E08EB"/>
    <w:rsid w:val="178664AD"/>
    <w:rsid w:val="178819C8"/>
    <w:rsid w:val="179E22FC"/>
    <w:rsid w:val="17A25E76"/>
    <w:rsid w:val="17AE4B25"/>
    <w:rsid w:val="180B7CE7"/>
    <w:rsid w:val="18212609"/>
    <w:rsid w:val="183068D9"/>
    <w:rsid w:val="18D93743"/>
    <w:rsid w:val="19E524F1"/>
    <w:rsid w:val="19F3214F"/>
    <w:rsid w:val="19F76004"/>
    <w:rsid w:val="1A1664F5"/>
    <w:rsid w:val="1A4E5F71"/>
    <w:rsid w:val="1AA22996"/>
    <w:rsid w:val="1AAF5697"/>
    <w:rsid w:val="1B3E1A8A"/>
    <w:rsid w:val="1B460B6A"/>
    <w:rsid w:val="1B585811"/>
    <w:rsid w:val="1BAB2C52"/>
    <w:rsid w:val="1BEB2F32"/>
    <w:rsid w:val="1BEF4D2F"/>
    <w:rsid w:val="1C48338F"/>
    <w:rsid w:val="1C5E0F45"/>
    <w:rsid w:val="1D207523"/>
    <w:rsid w:val="1D5303AD"/>
    <w:rsid w:val="1D5D797F"/>
    <w:rsid w:val="1D8F2651"/>
    <w:rsid w:val="1DA21552"/>
    <w:rsid w:val="1EE82024"/>
    <w:rsid w:val="1FE7137A"/>
    <w:rsid w:val="1FF54367"/>
    <w:rsid w:val="20301BBB"/>
    <w:rsid w:val="20583D8E"/>
    <w:rsid w:val="20726215"/>
    <w:rsid w:val="20C1152C"/>
    <w:rsid w:val="210A7163"/>
    <w:rsid w:val="211C0ADF"/>
    <w:rsid w:val="21792825"/>
    <w:rsid w:val="222B40B1"/>
    <w:rsid w:val="223F7844"/>
    <w:rsid w:val="224A43EF"/>
    <w:rsid w:val="22AC0362"/>
    <w:rsid w:val="233B7821"/>
    <w:rsid w:val="23945201"/>
    <w:rsid w:val="24007643"/>
    <w:rsid w:val="24175559"/>
    <w:rsid w:val="241755C0"/>
    <w:rsid w:val="246837AC"/>
    <w:rsid w:val="24EB4C10"/>
    <w:rsid w:val="2519214E"/>
    <w:rsid w:val="258520EB"/>
    <w:rsid w:val="258B34CC"/>
    <w:rsid w:val="25913412"/>
    <w:rsid w:val="25DE3EBC"/>
    <w:rsid w:val="25FA1985"/>
    <w:rsid w:val="262E222F"/>
    <w:rsid w:val="2637183E"/>
    <w:rsid w:val="26451A73"/>
    <w:rsid w:val="26710BB7"/>
    <w:rsid w:val="26BF635F"/>
    <w:rsid w:val="26C575ED"/>
    <w:rsid w:val="26E518CB"/>
    <w:rsid w:val="2790625B"/>
    <w:rsid w:val="282C4404"/>
    <w:rsid w:val="28716A14"/>
    <w:rsid w:val="28933F38"/>
    <w:rsid w:val="289878DC"/>
    <w:rsid w:val="28C55AD9"/>
    <w:rsid w:val="28D241CA"/>
    <w:rsid w:val="296D1C1C"/>
    <w:rsid w:val="297A12B6"/>
    <w:rsid w:val="29DE6E95"/>
    <w:rsid w:val="29E8073E"/>
    <w:rsid w:val="2AD0333C"/>
    <w:rsid w:val="2B4D0B0B"/>
    <w:rsid w:val="2BDD0703"/>
    <w:rsid w:val="2C255858"/>
    <w:rsid w:val="2C3C0AA3"/>
    <w:rsid w:val="2C515C43"/>
    <w:rsid w:val="2C625793"/>
    <w:rsid w:val="2C685E12"/>
    <w:rsid w:val="2C687D7E"/>
    <w:rsid w:val="2C962229"/>
    <w:rsid w:val="2D1202A0"/>
    <w:rsid w:val="2D7660A9"/>
    <w:rsid w:val="2D966C65"/>
    <w:rsid w:val="2DBB4CD6"/>
    <w:rsid w:val="2DF35DE3"/>
    <w:rsid w:val="2E216696"/>
    <w:rsid w:val="2ED35FEE"/>
    <w:rsid w:val="300155EC"/>
    <w:rsid w:val="30B32B6A"/>
    <w:rsid w:val="30F53504"/>
    <w:rsid w:val="311C73A5"/>
    <w:rsid w:val="31BF2947"/>
    <w:rsid w:val="32310A70"/>
    <w:rsid w:val="33C806E8"/>
    <w:rsid w:val="340D57A7"/>
    <w:rsid w:val="34666631"/>
    <w:rsid w:val="34D825DC"/>
    <w:rsid w:val="35897E51"/>
    <w:rsid w:val="359840AF"/>
    <w:rsid w:val="35B725AC"/>
    <w:rsid w:val="362E2769"/>
    <w:rsid w:val="368D7CB3"/>
    <w:rsid w:val="36974F61"/>
    <w:rsid w:val="36EE35C7"/>
    <w:rsid w:val="370A6D37"/>
    <w:rsid w:val="372A5155"/>
    <w:rsid w:val="37B620D9"/>
    <w:rsid w:val="380B19D2"/>
    <w:rsid w:val="38BA0F7B"/>
    <w:rsid w:val="38EF74E5"/>
    <w:rsid w:val="39236D35"/>
    <w:rsid w:val="394E3FF7"/>
    <w:rsid w:val="39BA735C"/>
    <w:rsid w:val="3A2D0421"/>
    <w:rsid w:val="3A6D6A8B"/>
    <w:rsid w:val="3ADB7C96"/>
    <w:rsid w:val="3BB04D60"/>
    <w:rsid w:val="3BED2C50"/>
    <w:rsid w:val="3BFC3FDB"/>
    <w:rsid w:val="3C013AEF"/>
    <w:rsid w:val="3CCA6242"/>
    <w:rsid w:val="3D317CFB"/>
    <w:rsid w:val="3D333223"/>
    <w:rsid w:val="3E6C046F"/>
    <w:rsid w:val="3E8B7104"/>
    <w:rsid w:val="3ED0469E"/>
    <w:rsid w:val="3F0D4CDF"/>
    <w:rsid w:val="3F2B07ED"/>
    <w:rsid w:val="3F6B04FB"/>
    <w:rsid w:val="3FFC5AEC"/>
    <w:rsid w:val="40207691"/>
    <w:rsid w:val="40670939"/>
    <w:rsid w:val="40B94C7A"/>
    <w:rsid w:val="40C946F8"/>
    <w:rsid w:val="413D21FB"/>
    <w:rsid w:val="41CF3D80"/>
    <w:rsid w:val="420E53DF"/>
    <w:rsid w:val="425759EC"/>
    <w:rsid w:val="426129D8"/>
    <w:rsid w:val="429066C1"/>
    <w:rsid w:val="42FE1BA9"/>
    <w:rsid w:val="432510B5"/>
    <w:rsid w:val="43476B48"/>
    <w:rsid w:val="43573315"/>
    <w:rsid w:val="43907DB5"/>
    <w:rsid w:val="4392081E"/>
    <w:rsid w:val="439D249C"/>
    <w:rsid w:val="43C52E54"/>
    <w:rsid w:val="441735B8"/>
    <w:rsid w:val="442268FD"/>
    <w:rsid w:val="445F11C3"/>
    <w:rsid w:val="445F5F22"/>
    <w:rsid w:val="4467423E"/>
    <w:rsid w:val="44D01669"/>
    <w:rsid w:val="44F2368F"/>
    <w:rsid w:val="458601C6"/>
    <w:rsid w:val="45CE4A1B"/>
    <w:rsid w:val="45E246F4"/>
    <w:rsid w:val="461B7925"/>
    <w:rsid w:val="461D0212"/>
    <w:rsid w:val="463C07F3"/>
    <w:rsid w:val="464756DB"/>
    <w:rsid w:val="4692052E"/>
    <w:rsid w:val="46C0506A"/>
    <w:rsid w:val="470B61AF"/>
    <w:rsid w:val="471A7CA7"/>
    <w:rsid w:val="47621D3C"/>
    <w:rsid w:val="476E1465"/>
    <w:rsid w:val="47777BC1"/>
    <w:rsid w:val="479122C3"/>
    <w:rsid w:val="479F37B7"/>
    <w:rsid w:val="481F5071"/>
    <w:rsid w:val="483B44C3"/>
    <w:rsid w:val="48C53338"/>
    <w:rsid w:val="4910453A"/>
    <w:rsid w:val="491D45E4"/>
    <w:rsid w:val="49FA5C62"/>
    <w:rsid w:val="4A374A77"/>
    <w:rsid w:val="4C791821"/>
    <w:rsid w:val="4D901930"/>
    <w:rsid w:val="4D9C1311"/>
    <w:rsid w:val="4DA13EFC"/>
    <w:rsid w:val="4DAA0ACB"/>
    <w:rsid w:val="4DCD369E"/>
    <w:rsid w:val="4E207F77"/>
    <w:rsid w:val="4E405E86"/>
    <w:rsid w:val="4E486F01"/>
    <w:rsid w:val="4F1C2BA7"/>
    <w:rsid w:val="4F717B9B"/>
    <w:rsid w:val="4F7E44A1"/>
    <w:rsid w:val="4FBD66D2"/>
    <w:rsid w:val="4FDE0035"/>
    <w:rsid w:val="503043E2"/>
    <w:rsid w:val="5050382B"/>
    <w:rsid w:val="506D097D"/>
    <w:rsid w:val="51DE596C"/>
    <w:rsid w:val="520668F0"/>
    <w:rsid w:val="52AE51FA"/>
    <w:rsid w:val="52CC2690"/>
    <w:rsid w:val="53143CF9"/>
    <w:rsid w:val="531F0D11"/>
    <w:rsid w:val="53322DCA"/>
    <w:rsid w:val="542F1EBF"/>
    <w:rsid w:val="545F1FF7"/>
    <w:rsid w:val="54657E0D"/>
    <w:rsid w:val="547E70F1"/>
    <w:rsid w:val="54D10F28"/>
    <w:rsid w:val="550305C3"/>
    <w:rsid w:val="557D6DAD"/>
    <w:rsid w:val="55D83CEB"/>
    <w:rsid w:val="56A37AD8"/>
    <w:rsid w:val="56CC5979"/>
    <w:rsid w:val="57034B85"/>
    <w:rsid w:val="57472184"/>
    <w:rsid w:val="589E16F5"/>
    <w:rsid w:val="589F63B4"/>
    <w:rsid w:val="58CE3EFA"/>
    <w:rsid w:val="59905774"/>
    <w:rsid w:val="599E59E1"/>
    <w:rsid w:val="59C82306"/>
    <w:rsid w:val="59E1598B"/>
    <w:rsid w:val="5A07397F"/>
    <w:rsid w:val="5A233488"/>
    <w:rsid w:val="5AE561D2"/>
    <w:rsid w:val="5B0315D4"/>
    <w:rsid w:val="5B0E5F58"/>
    <w:rsid w:val="5B180F7F"/>
    <w:rsid w:val="5C510837"/>
    <w:rsid w:val="5D8B09FB"/>
    <w:rsid w:val="5E9B4D4C"/>
    <w:rsid w:val="5EE14150"/>
    <w:rsid w:val="5F2239B1"/>
    <w:rsid w:val="5F584AF9"/>
    <w:rsid w:val="5F592FD8"/>
    <w:rsid w:val="5FDC4991"/>
    <w:rsid w:val="601D7135"/>
    <w:rsid w:val="60594271"/>
    <w:rsid w:val="606969FB"/>
    <w:rsid w:val="60FD6A51"/>
    <w:rsid w:val="61964204"/>
    <w:rsid w:val="621F016F"/>
    <w:rsid w:val="62641897"/>
    <w:rsid w:val="63143D27"/>
    <w:rsid w:val="6363707C"/>
    <w:rsid w:val="639D589A"/>
    <w:rsid w:val="63A25134"/>
    <w:rsid w:val="63E45B69"/>
    <w:rsid w:val="63F41951"/>
    <w:rsid w:val="64BF65EF"/>
    <w:rsid w:val="64DD2406"/>
    <w:rsid w:val="65565234"/>
    <w:rsid w:val="66360F04"/>
    <w:rsid w:val="663E3F8E"/>
    <w:rsid w:val="66534FCB"/>
    <w:rsid w:val="67224A18"/>
    <w:rsid w:val="67E64DE1"/>
    <w:rsid w:val="681158B8"/>
    <w:rsid w:val="681E547B"/>
    <w:rsid w:val="6826003B"/>
    <w:rsid w:val="684A0535"/>
    <w:rsid w:val="685D50B9"/>
    <w:rsid w:val="68604028"/>
    <w:rsid w:val="6877527C"/>
    <w:rsid w:val="687C5B03"/>
    <w:rsid w:val="68BA38D2"/>
    <w:rsid w:val="68F84508"/>
    <w:rsid w:val="691A3E13"/>
    <w:rsid w:val="69400176"/>
    <w:rsid w:val="69597AAC"/>
    <w:rsid w:val="69B25200"/>
    <w:rsid w:val="69C21C8E"/>
    <w:rsid w:val="69F651A9"/>
    <w:rsid w:val="6A400F1A"/>
    <w:rsid w:val="6A557958"/>
    <w:rsid w:val="6A6A5E6B"/>
    <w:rsid w:val="6A8D6A74"/>
    <w:rsid w:val="6AA1155F"/>
    <w:rsid w:val="6ACE054E"/>
    <w:rsid w:val="6AF16947"/>
    <w:rsid w:val="6B2973E9"/>
    <w:rsid w:val="6B6F5E3A"/>
    <w:rsid w:val="6BB460E2"/>
    <w:rsid w:val="6BEB4471"/>
    <w:rsid w:val="6C164FA6"/>
    <w:rsid w:val="6C311483"/>
    <w:rsid w:val="6C4130FD"/>
    <w:rsid w:val="6C4B028D"/>
    <w:rsid w:val="6C95291B"/>
    <w:rsid w:val="6C9B7DB3"/>
    <w:rsid w:val="6CAB2D78"/>
    <w:rsid w:val="6DAA7E7A"/>
    <w:rsid w:val="6E750E3C"/>
    <w:rsid w:val="6E915828"/>
    <w:rsid w:val="6F1A5A2C"/>
    <w:rsid w:val="6F3C54D1"/>
    <w:rsid w:val="6FBC358D"/>
    <w:rsid w:val="6FE710F1"/>
    <w:rsid w:val="7037710B"/>
    <w:rsid w:val="70743667"/>
    <w:rsid w:val="707849CA"/>
    <w:rsid w:val="70A54C4E"/>
    <w:rsid w:val="70A76EDF"/>
    <w:rsid w:val="70AD3EBF"/>
    <w:rsid w:val="70C43920"/>
    <w:rsid w:val="70F27B83"/>
    <w:rsid w:val="70F53323"/>
    <w:rsid w:val="70F66CB4"/>
    <w:rsid w:val="71785460"/>
    <w:rsid w:val="71D33F8D"/>
    <w:rsid w:val="71ED3EDE"/>
    <w:rsid w:val="72133397"/>
    <w:rsid w:val="725B06D5"/>
    <w:rsid w:val="727D450C"/>
    <w:rsid w:val="730C28BA"/>
    <w:rsid w:val="73133219"/>
    <w:rsid w:val="73AB6FCB"/>
    <w:rsid w:val="73B63B41"/>
    <w:rsid w:val="73BC27AF"/>
    <w:rsid w:val="73FD0A4F"/>
    <w:rsid w:val="74F37794"/>
    <w:rsid w:val="756E6B34"/>
    <w:rsid w:val="75F82DC6"/>
    <w:rsid w:val="76191CEE"/>
    <w:rsid w:val="76A5521A"/>
    <w:rsid w:val="76E23986"/>
    <w:rsid w:val="770A5A76"/>
    <w:rsid w:val="775E62AF"/>
    <w:rsid w:val="779A2B2D"/>
    <w:rsid w:val="77D906E2"/>
    <w:rsid w:val="77DF6BBA"/>
    <w:rsid w:val="782920CD"/>
    <w:rsid w:val="78415904"/>
    <w:rsid w:val="784B3700"/>
    <w:rsid w:val="78934371"/>
    <w:rsid w:val="78B20FFE"/>
    <w:rsid w:val="78C5681C"/>
    <w:rsid w:val="79750FA5"/>
    <w:rsid w:val="799034D8"/>
    <w:rsid w:val="79997DD2"/>
    <w:rsid w:val="79A807A2"/>
    <w:rsid w:val="79C95DCF"/>
    <w:rsid w:val="79D00547"/>
    <w:rsid w:val="79FA0E27"/>
    <w:rsid w:val="79FA5671"/>
    <w:rsid w:val="79FD5E30"/>
    <w:rsid w:val="7A320CF1"/>
    <w:rsid w:val="7B772498"/>
    <w:rsid w:val="7B9C71D5"/>
    <w:rsid w:val="7BAB5164"/>
    <w:rsid w:val="7BAD01C9"/>
    <w:rsid w:val="7BC66859"/>
    <w:rsid w:val="7BE81934"/>
    <w:rsid w:val="7C08172E"/>
    <w:rsid w:val="7C3B6AD3"/>
    <w:rsid w:val="7C3D2061"/>
    <w:rsid w:val="7C3E4691"/>
    <w:rsid w:val="7C7846C0"/>
    <w:rsid w:val="7C956391"/>
    <w:rsid w:val="7D4B4B42"/>
    <w:rsid w:val="7D4E6070"/>
    <w:rsid w:val="7D6C38B7"/>
    <w:rsid w:val="7D747F20"/>
    <w:rsid w:val="7DAA0228"/>
    <w:rsid w:val="7DE0615E"/>
    <w:rsid w:val="7E044AA8"/>
    <w:rsid w:val="7E3B1311"/>
    <w:rsid w:val="7ED12811"/>
    <w:rsid w:val="7EDD18F9"/>
    <w:rsid w:val="7EE07871"/>
    <w:rsid w:val="7F6D495A"/>
    <w:rsid w:val="7F814722"/>
    <w:rsid w:val="7F9D0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Plain Text"/>
    <w:basedOn w:val="1"/>
    <w:unhideWhenUsed/>
    <w:qFormat/>
    <w:uiPriority w:val="99"/>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toc 2"/>
    <w:basedOn w:val="1"/>
    <w:next w:val="1"/>
    <w:unhideWhenUsed/>
    <w:qFormat/>
    <w:uiPriority w:val="39"/>
    <w:pPr>
      <w:tabs>
        <w:tab w:val="right" w:leader="dot" w:pos="8296"/>
      </w:tabs>
      <w:ind w:left="420" w:leftChars="200"/>
    </w:pPr>
  </w:style>
  <w:style w:type="paragraph" w:styleId="10">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3">
    <w:name w:val="Strong"/>
    <w:basedOn w:val="12"/>
    <w:qFormat/>
    <w:uiPriority w:val="0"/>
    <w:rPr>
      <w:b/>
    </w:rPr>
  </w:style>
  <w:style w:type="character" w:styleId="14">
    <w:name w:val="Hyperlink"/>
    <w:basedOn w:val="12"/>
    <w:qFormat/>
    <w:uiPriority w:val="0"/>
    <w:rPr>
      <w:color w:val="0000FF"/>
      <w:u w:val="none"/>
    </w:rPr>
  </w:style>
  <w:style w:type="paragraph" w:styleId="15">
    <w:name w:val="List Paragraph"/>
    <w:basedOn w:val="1"/>
    <w:qFormat/>
    <w:uiPriority w:val="34"/>
    <w:pPr>
      <w:ind w:firstLine="420" w:firstLineChars="200"/>
    </w:pPr>
  </w:style>
  <w:style w:type="paragraph" w:customStyle="1" w:styleId="1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7">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18">
    <w:name w:val="15"/>
    <w:basedOn w:val="12"/>
    <w:uiPriority w:val="0"/>
    <w:rPr>
      <w:rFonts w:hint="default" w:ascii="Calibri" w:hAnsi="Calibri" w:cs="Calibri"/>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oleObject" Target="embeddings/oleObject2.bin"/><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600" b="1" i="0" u="none" strike="noStrike" kern="1200" baseline="0">
              <a:solidFill>
                <a:schemeClr val="tx2"/>
              </a:solidFill>
              <a:latin typeface="+mn-lt"/>
              <a:ea typeface="+mn-ea"/>
              <a:cs typeface="+mn-cs"/>
            </a:defRPr>
          </a:pPr>
        </a:p>
      </c:txPr>
    </c:title>
    <c:autoTitleDeleted val="0"/>
    <c:plotArea>
      <c:layout/>
      <c:pieChart>
        <c:varyColors val="1"/>
        <c:ser>
          <c:idx val="0"/>
          <c:order val="0"/>
          <c:tx>
            <c:strRef>
              <c:f>Sheet1!$B$1</c:f>
              <c:strCache>
                <c:ptCount val="1"/>
                <c:pt idx="0">
                  <c:v>收入组成结构图</c:v>
                </c:pt>
              </c:strCache>
            </c:strRef>
          </c:tx>
          <c:spPr>
            <a:gradFill rotWithShape="1">
              <a:gsLst>
                <a:gs pos="0">
                  <a:schemeClr val="accent5"/>
                </a:gs>
                <a:gs pos="50000">
                  <a:schemeClr val="accent1">
                    <a:satMod val="110000"/>
                    <a:lumMod val="100000"/>
                    <a:shade val="100000"/>
                  </a:schemeClr>
                </a:gs>
                <a:gs pos="100000">
                  <a:schemeClr val="accent1">
                    <a:lumMod val="99000"/>
                    <a:satMod val="120000"/>
                    <a:shade val="78000"/>
                  </a:schemeClr>
                </a:gs>
              </a:gsLst>
              <a:lin ang="5400000" scaled="0"/>
            </a:gradFill>
          </c:spPr>
          <c:explosion val="0"/>
          <c:dPt>
            <c:idx val="0"/>
            <c:bubble3D val="0"/>
            <c:spPr>
              <a:gradFill rotWithShape="1">
                <a:gsLst>
                  <a:gs pos="0">
                    <a:schemeClr val="accent5"/>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t>521.35</a:t>
                    </a:r>
                  </a:p>
                </c:rich>
              </c:tx>
              <c:dLblPos val="ctr"/>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c:f>
              <c:strCache>
                <c:ptCount val="1"/>
                <c:pt idx="0">
                  <c:v>一般公共财政拨款</c:v>
                </c:pt>
              </c:strCache>
            </c:strRef>
          </c:cat>
          <c:val>
            <c:numRef>
              <c:f>Sheet1!$B$2</c:f>
              <c:numCache>
                <c:formatCode>General</c:formatCode>
                <c:ptCount val="1"/>
                <c:pt idx="0">
                  <c:v>521.34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95608880182827"/>
          <c:y val="0.86550574286772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支出构成</c:v>
                </c:pt>
              </c:strCache>
            </c:strRef>
          </c:tx>
          <c:spPr>
            <a:solidFill>
              <a:srgbClr val="7030A0"/>
            </a:solidFill>
          </c:spPr>
          <c:explosion val="0"/>
          <c:dPt>
            <c:idx val="0"/>
            <c:bubble3D val="0"/>
            <c:spPr>
              <a:solidFill>
                <a:srgbClr val="7030A0"/>
              </a:solidFill>
              <a:ln w="19050">
                <a:solidFill>
                  <a:schemeClr val="lt1"/>
                </a:solidFill>
              </a:ln>
              <a:effectLst/>
            </c:spPr>
          </c:dPt>
          <c:dPt>
            <c:idx val="1"/>
            <c:bubble3D val="0"/>
            <c:spPr>
              <a:solidFill>
                <a:schemeClr val="accent6"/>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80.47%</a:t>
                    </a:r>
                    <a:endParaRPr lang="en-US" altLang="zh-CN"/>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manualLayout>
                  <c:x val="0.063923197984177"/>
                  <c:y val="0.14803313064174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19.52%</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444.14</c:v>
                </c:pt>
                <c:pt idx="1">
                  <c:v>107.74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endParaRPr altLang="en-US"/>
          </a:p>
        </c:rich>
      </c:tx>
      <c:layout/>
      <c:overlay val="0"/>
      <c:spPr>
        <a:noFill/>
        <a:ln>
          <a:noFill/>
        </a:ln>
        <a:effectLst/>
      </c:spPr>
    </c:title>
    <c:autoTitleDeleted val="0"/>
    <c:plotArea>
      <c:layout>
        <c:manualLayout>
          <c:layoutTarget val="inner"/>
          <c:xMode val="edge"/>
          <c:yMode val="edge"/>
          <c:x val="0.0787"/>
          <c:y val="0.194927536231884"/>
          <c:w val="0.8938"/>
          <c:h val="0.589710144927536"/>
        </c:manualLayout>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420.78</c:v>
                </c:pt>
                <c:pt idx="1">
                  <c:v>423.67</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521.34</c:v>
                </c:pt>
                <c:pt idx="1">
                  <c:v>551.88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一般公共财政拨款支出决算上下年变动图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c:f>
              <c:strCache>
                <c:ptCount val="1"/>
                <c:pt idx="0">
                  <c:v>一般公共财政拨款支出</c:v>
                </c:pt>
              </c:strCache>
            </c:strRef>
          </c:cat>
          <c:val>
            <c:numRef>
              <c:f>Sheet1!$B$2</c:f>
              <c:numCache>
                <c:formatCode>General</c:formatCode>
                <c:ptCount val="1"/>
                <c:pt idx="0">
                  <c:v>423.67</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c:f>
              <c:strCache>
                <c:ptCount val="1"/>
                <c:pt idx="0">
                  <c:v>一般公共财政拨款支出</c:v>
                </c:pt>
              </c:strCache>
            </c:strRef>
          </c:cat>
          <c:val>
            <c:numRef>
              <c:f>Sheet1!$C$2</c:f>
              <c:numCache>
                <c:formatCode>General</c:formatCode>
                <c:ptCount val="1"/>
                <c:pt idx="0">
                  <c:v>551.88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85493246"/>
        <c:axId val="342343358"/>
      </c:barChart>
      <c:catAx>
        <c:axId val="6854932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2343358"/>
        <c:crosses val="autoZero"/>
        <c:auto val="1"/>
        <c:lblAlgn val="ctr"/>
        <c:lblOffset val="100"/>
        <c:noMultiLvlLbl val="0"/>
      </c:catAx>
      <c:valAx>
        <c:axId val="3423433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549324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一般公共服务支出</c:v>
                </c:pt>
                <c:pt idx="1">
                  <c:v>社会保障和就业支出</c:v>
                </c:pt>
                <c:pt idx="2">
                  <c:v>安全公共支出</c:v>
                </c:pt>
                <c:pt idx="3">
                  <c:v>住房保障支出</c:v>
                </c:pt>
                <c:pt idx="4">
                  <c:v>卫生健康支出</c:v>
                </c:pt>
              </c:strCache>
            </c:strRef>
          </c:cat>
          <c:val>
            <c:numRef>
              <c:f>Sheet1!$B$2:$B$6</c:f>
              <c:numCache>
                <c:formatCode>General</c:formatCode>
                <c:ptCount val="5"/>
                <c:pt idx="0">
                  <c:v>444.08</c:v>
                </c:pt>
                <c:pt idx="1">
                  <c:v>43.23</c:v>
                </c:pt>
                <c:pt idx="2">
                  <c:v>5.06</c:v>
                </c:pt>
                <c:pt idx="3">
                  <c:v>30.32</c:v>
                </c:pt>
                <c:pt idx="4">
                  <c:v>29.18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公务用车运行维护费</c:v>
                </c:pt>
                <c:pt idx="2">
                  <c:v>公务接待费</c:v>
                </c:pt>
              </c:strCache>
            </c:strRef>
          </c:cat>
          <c:val>
            <c:numRef>
              <c:f>Sheet1!$B$2:$B$4</c:f>
              <c:numCache>
                <c:formatCode>General</c:formatCode>
                <c:ptCount val="3"/>
                <c:pt idx="0">
                  <c:v>0</c:v>
                </c:pt>
                <c:pt idx="1">
                  <c:v>8.62</c:v>
                </c:pt>
                <c:pt idx="2">
                  <c:v>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2023-10-25T06:48:43Z</cp:lastPrinted>
  <dcterms:modified xsi:type="dcterms:W3CDTF">2023-10-25T06:55:53Z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