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4"/>
          <w:rFonts w:hint="eastAsia" w:ascii="方正小标宋简体" w:hAnsi="方正小标宋简体" w:eastAsia="方正小标宋简体" w:cs="方正小标宋简体"/>
          <w:sz w:val="44"/>
          <w:szCs w:val="44"/>
          <w:shd w:val="clear" w:color="auto" w:fill="FFFFFF"/>
        </w:rPr>
        <w:t>202</w:t>
      </w:r>
      <w:r>
        <w:rPr>
          <w:rStyle w:val="14"/>
          <w:rFonts w:hint="eastAsia" w:ascii="方正小标宋简体" w:hAnsi="方正小标宋简体" w:eastAsia="方正小标宋简体" w:cs="方正小标宋简体"/>
          <w:sz w:val="44"/>
          <w:szCs w:val="44"/>
          <w:shd w:val="clear" w:color="auto" w:fill="FFFFFF"/>
          <w:lang w:val="en-US" w:eastAsia="zh-CN"/>
        </w:rPr>
        <w:t>2</w:t>
      </w:r>
      <w:r>
        <w:rPr>
          <w:rStyle w:val="14"/>
          <w:rFonts w:hint="eastAsia" w:ascii="方正小标宋简体" w:hAnsi="方正小标宋简体" w:eastAsia="方正小标宋简体" w:cs="方正小标宋简体"/>
          <w:sz w:val="44"/>
          <w:szCs w:val="44"/>
          <w:shd w:val="clear" w:color="auto" w:fill="FFFFFF"/>
        </w:rPr>
        <w:t>年度</w:t>
      </w:r>
    </w:p>
    <w:p>
      <w:pPr>
        <w:pStyle w:val="11"/>
        <w:keepNext w:val="0"/>
        <w:keepLines w:val="0"/>
        <w:widowControl/>
        <w:suppressLineNumbers w:val="0"/>
        <w:ind w:left="0" w:right="75"/>
        <w:jc w:val="center"/>
        <w:rPr>
          <w:rStyle w:val="14"/>
          <w:rFonts w:hint="eastAsia" w:ascii="方正小标宋简体" w:hAnsi="方正小标宋简体" w:eastAsia="方正小标宋简体" w:cs="方正小标宋简体"/>
          <w:sz w:val="44"/>
          <w:szCs w:val="44"/>
          <w:shd w:val="clear" w:color="auto" w:fill="FFFFFF"/>
          <w:lang w:val="en-US" w:eastAsia="zh-CN"/>
        </w:rPr>
      </w:pPr>
      <w:r>
        <w:rPr>
          <w:rStyle w:val="14"/>
          <w:rFonts w:hint="eastAsia" w:ascii="方正小标宋简体" w:hAnsi="方正小标宋简体" w:eastAsia="方正小标宋简体" w:cs="方正小标宋简体"/>
          <w:sz w:val="44"/>
          <w:szCs w:val="44"/>
          <w:shd w:val="clear" w:color="auto" w:fill="FFFFFF"/>
          <w:lang w:val="en-US" w:eastAsia="zh-CN"/>
        </w:rPr>
        <w:t>中共红原县委员会统战部</w:t>
      </w:r>
    </w:p>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4"/>
          <w:rFonts w:hint="eastAsia" w:ascii="方正小标宋简体" w:hAnsi="方正小标宋简体" w:eastAsia="方正小标宋简体" w:cs="方正小标宋简体"/>
          <w:sz w:val="44"/>
          <w:szCs w:val="44"/>
          <w:shd w:val="clear" w:color="auto" w:fill="FFFFFF"/>
        </w:rPr>
        <w:t>部门</w:t>
      </w:r>
      <w:r>
        <w:rPr>
          <w:rStyle w:val="14"/>
          <w:rFonts w:hint="eastAsia" w:ascii="方正小标宋简体" w:hAnsi="方正小标宋简体" w:eastAsia="方正小标宋简体" w:cs="方正小标宋简体"/>
          <w:sz w:val="44"/>
          <w:szCs w:val="44"/>
          <w:shd w:val="clear" w:color="auto" w:fill="FFFFFF"/>
          <w:lang w:val="en-US" w:eastAsia="zh-CN"/>
        </w:rPr>
        <w:t>预算</w:t>
      </w:r>
      <w:r>
        <w:rPr>
          <w:rStyle w:val="14"/>
          <w:rFonts w:hint="eastAsia" w:ascii="方正小标宋简体" w:hAnsi="方正小标宋简体" w:eastAsia="方正小标宋简体" w:cs="方正小标宋简体"/>
          <w:sz w:val="44"/>
          <w:szCs w:val="44"/>
          <w:shd w:val="clear" w:color="auto" w:fill="FFFFFF"/>
          <w:lang w:eastAsia="zh-CN"/>
        </w:rPr>
        <w:t>公开编制说明</w:t>
      </w: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pPr>
      <w:r>
        <w:rPr>
          <w:sz w:val="24"/>
          <w:szCs w:val="24"/>
          <w:shd w:val="clear" w:color="auto" w:fill="FFFFFF"/>
        </w:rPr>
        <w:t>保密审查情况：已审查，内容审定</w:t>
      </w:r>
    </w:p>
    <w:p>
      <w:pPr>
        <w:pStyle w:val="11"/>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1"/>
        <w:keepNext w:val="0"/>
        <w:keepLines w:val="0"/>
        <w:widowControl/>
        <w:suppressLineNumbers w:val="0"/>
        <w:ind w:left="0" w:right="75"/>
        <w:jc w:val="both"/>
        <w:rPr>
          <w:rStyle w:val="14"/>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1"/>
        <w:keepNext w:val="0"/>
        <w:keepLines w:val="0"/>
        <w:widowControl/>
        <w:suppressLineNumbers w:val="0"/>
        <w:ind w:left="0" w:right="75"/>
        <w:jc w:val="center"/>
      </w:pPr>
      <w:r>
        <w:rPr>
          <w:rStyle w:val="14"/>
          <w:sz w:val="30"/>
          <w:szCs w:val="30"/>
          <w:shd w:val="clear" w:color="auto" w:fill="FFFFFF"/>
        </w:rPr>
        <w:t>目 录</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2</w:t>
          </w:r>
          <w:r>
            <w:rPr>
              <w:rFonts w:hint="eastAsia" w:ascii="仿宋_GB2312" w:hAnsi="仿宋_GB2312" w:eastAsia="仿宋_GB2312" w:cs="仿宋_GB2312"/>
              <w:sz w:val="30"/>
              <w:szCs w:val="30"/>
              <w:shd w:val="clear" w:color="auto" w:fill="FFFFFF"/>
            </w:rPr>
            <w:t>年度部门</w:t>
          </w:r>
          <w:r>
            <w:rPr>
              <w:rFonts w:hint="eastAsia" w:ascii="仿宋_GB2312" w:hAnsi="仿宋_GB2312" w:eastAsia="仿宋_GB2312" w:cs="仿宋_GB2312"/>
              <w:sz w:val="30"/>
              <w:szCs w:val="30"/>
              <w:shd w:val="clear" w:color="auto" w:fill="FFFFFF"/>
              <w:lang w:val="en-US" w:eastAsia="zh-CN"/>
            </w:rPr>
            <w:t>预算</w:t>
          </w:r>
          <w:r>
            <w:rPr>
              <w:rFonts w:hint="eastAsia" w:ascii="仿宋_GB2312" w:hAnsi="仿宋_GB2312" w:eastAsia="仿宋_GB2312" w:cs="仿宋_GB2312"/>
              <w:sz w:val="30"/>
              <w:szCs w:val="30"/>
              <w:shd w:val="clear" w:color="auto" w:fill="FFFFFF"/>
            </w:rPr>
            <w:t>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收支</w:t>
          </w:r>
          <w:r>
            <w:rPr>
              <w:rFonts w:hint="eastAsia" w:ascii="仿宋_GB2312" w:hAnsi="仿宋_GB2312" w:eastAsia="仿宋_GB2312" w:cs="仿宋_GB2312"/>
              <w:sz w:val="30"/>
              <w:szCs w:val="30"/>
              <w:shd w:val="clear" w:color="auto" w:fill="FFFFFF"/>
              <w:lang w:val="en-US" w:eastAsia="zh-CN"/>
            </w:rPr>
            <w:t>预算</w:t>
          </w:r>
          <w:r>
            <w:rPr>
              <w:rFonts w:hint="eastAsia" w:ascii="仿宋_GB2312" w:hAnsi="仿宋_GB2312" w:eastAsia="仿宋_GB2312" w:cs="仿宋_GB2312"/>
              <w:sz w:val="30"/>
              <w:szCs w:val="30"/>
              <w:shd w:val="clear" w:color="auto" w:fill="FFFFFF"/>
            </w:rPr>
            <w:t>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5</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lang w:val="en-US" w:eastAsia="zh-CN"/>
            </w:rPr>
            <w:t>支出预算安排情况表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5</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lang w:val="en-US" w:eastAsia="zh-CN"/>
            </w:rPr>
            <w:t>较上度增减变化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“三公”经费</w:t>
          </w:r>
          <w:r>
            <w:rPr>
              <w:rFonts w:hint="eastAsia" w:ascii="仿宋_GB2312" w:hAnsi="仿宋_GB2312" w:eastAsia="仿宋_GB2312" w:cs="仿宋_GB2312"/>
              <w:sz w:val="30"/>
              <w:szCs w:val="30"/>
              <w:shd w:val="clear" w:color="auto" w:fill="FFFFFF"/>
              <w:lang w:val="en-US" w:eastAsia="zh-CN"/>
            </w:rPr>
            <w:t>预算</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w:t>
          </w:r>
          <w:r>
            <w:rPr>
              <w:rFonts w:hint="eastAsia" w:ascii="仿宋_GB2312" w:hAnsi="仿宋_GB2312" w:eastAsia="仿宋_GB2312" w:cs="仿宋_GB2312"/>
              <w:sz w:val="30"/>
              <w:szCs w:val="30"/>
              <w:shd w:val="clear" w:color="auto" w:fill="FFFFFF"/>
              <w:lang w:val="en-US" w:eastAsia="zh-CN"/>
            </w:rPr>
            <w:t xml:space="preserve"> </w:t>
          </w:r>
          <w:r>
            <w:rPr>
              <w:rFonts w:hint="eastAsia" w:ascii="仿宋_GB2312" w:hAnsi="仿宋_GB2312" w:eastAsia="仿宋_GB2312" w:cs="仿宋_GB2312"/>
              <w:sz w:val="30"/>
              <w:szCs w:val="30"/>
              <w:shd w:val="clear" w:color="auto" w:fill="FFFFFF"/>
            </w:rPr>
            <w:t>政府性基金预算</w:t>
          </w:r>
          <w:r>
            <w:rPr>
              <w:rFonts w:hint="eastAsia" w:ascii="仿宋_GB2312" w:hAnsi="仿宋_GB2312" w:eastAsia="仿宋_GB2312" w:cs="仿宋_GB2312"/>
              <w:sz w:val="30"/>
              <w:szCs w:val="30"/>
              <w:shd w:val="clear" w:color="auto" w:fill="FFFFFF"/>
              <w:lang w:val="en-US" w:eastAsia="zh-CN"/>
            </w:rPr>
            <w:t>收支</w:t>
          </w:r>
          <w:r>
            <w:rPr>
              <w:rFonts w:hint="eastAsia" w:ascii="仿宋_GB2312" w:hAnsi="仿宋_GB2312" w:eastAsia="仿宋_GB2312" w:cs="仿宋_GB2312"/>
              <w:sz w:val="30"/>
              <w:szCs w:val="30"/>
              <w:shd w:val="clear" w:color="auto" w:fill="FFFFFF"/>
            </w:rPr>
            <w:t>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7</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国有资本经营预算</w:t>
          </w:r>
          <w:r>
            <w:rPr>
              <w:rFonts w:hint="eastAsia" w:ascii="仿宋_GB2312" w:hAnsi="仿宋_GB2312" w:eastAsia="仿宋_GB2312" w:cs="仿宋_GB2312"/>
              <w:sz w:val="30"/>
              <w:szCs w:val="30"/>
              <w:shd w:val="clear" w:color="auto" w:fill="FFFFFF"/>
              <w:lang w:val="en-US" w:eastAsia="zh-CN"/>
            </w:rPr>
            <w:t>收支</w:t>
          </w:r>
          <w:r>
            <w:rPr>
              <w:rFonts w:hint="eastAsia" w:ascii="仿宋_GB2312" w:hAnsi="仿宋_GB2312" w:eastAsia="仿宋_GB2312" w:cs="仿宋_GB2312"/>
              <w:sz w:val="30"/>
              <w:szCs w:val="30"/>
              <w:shd w:val="clear" w:color="auto" w:fill="FFFFFF"/>
            </w:rPr>
            <w:t>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7</w:t>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7</w:t>
          </w:r>
        </w:p>
        <w:p>
          <w:pPr>
            <w:pStyle w:val="9"/>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p>
        <w:p>
          <w:pPr>
            <w:pStyle w:val="9"/>
            <w:tabs>
              <w:tab w:val="right" w:leader="dot" w:pos="8306"/>
              <w:tab w:val="clear" w:pos="8296"/>
            </w:tabs>
            <w:jc w:val="both"/>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w:t>
          </w:r>
          <w:r>
            <w:rPr>
              <w:rFonts w:hint="eastAsia" w:ascii="仿宋_GB2312" w:hAnsi="仿宋_GB2312" w:eastAsia="仿宋_GB2312" w:cs="仿宋_GB2312"/>
              <w:sz w:val="30"/>
              <w:szCs w:val="30"/>
              <w:shd w:val="clear" w:color="auto" w:fill="FFFFFF"/>
              <w:lang w:val="en-US" w:eastAsia="zh-CN"/>
            </w:rPr>
            <w:t>四</w:t>
          </w:r>
          <w:r>
            <w:rPr>
              <w:rFonts w:hint="eastAsia" w:ascii="仿宋_GB2312" w:hAnsi="仿宋_GB2312" w:eastAsia="仿宋_GB2312" w:cs="仿宋_GB2312"/>
              <w:sz w:val="30"/>
              <w:szCs w:val="30"/>
              <w:shd w:val="clear" w:color="auto" w:fill="FFFFFF"/>
            </w:rPr>
            <w:t>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10</w:t>
          </w:r>
        </w:p>
        <w:p>
          <w:r>
            <w:rPr>
              <w:rFonts w:hint="eastAsia" w:ascii="仿宋_GB2312" w:hAnsi="仿宋_GB2312" w:eastAsia="仿宋_GB2312" w:cs="仿宋_GB2312"/>
              <w:sz w:val="30"/>
              <w:szCs w:val="30"/>
            </w:rPr>
            <w:fldChar w:fldCharType="end"/>
          </w:r>
        </w:p>
      </w:sdtContent>
    </w:sdt>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0" w:name="_Toc27360"/>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4" w:name="_GoBack"/>
      <w:bookmarkEnd w:id="4"/>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第一部分 部门概况</w:t>
      </w:r>
      <w:bookmarkEnd w:id="0"/>
    </w:p>
    <w:p>
      <w:pPr>
        <w:pStyle w:val="6"/>
        <w:adjustRightInd w:val="0"/>
        <w:snapToGrid w:val="0"/>
        <w:spacing w:before="0" w:beforeLines="0" w:line="560" w:lineRule="exact"/>
        <w:rPr>
          <w:rFonts w:ascii="黑体" w:eastAsia="黑体"/>
          <w:sz w:val="32"/>
          <w:szCs w:val="32"/>
        </w:rPr>
      </w:pPr>
      <w:r>
        <w:rPr>
          <w:rFonts w:hint="eastAsia" w:ascii="黑体" w:eastAsia="黑体"/>
          <w:sz w:val="32"/>
          <w:szCs w:val="32"/>
        </w:rPr>
        <w:t>一、基本职能及主要工作</w:t>
      </w:r>
    </w:p>
    <w:p>
      <w:pPr>
        <w:pStyle w:val="6"/>
        <w:adjustRightInd w:val="0"/>
        <w:snapToGrid w:val="0"/>
        <w:spacing w:line="560" w:lineRule="exact"/>
        <w:ind w:firstLine="675" w:firstLineChars="210"/>
        <w:rPr>
          <w:rFonts w:ascii="楷体_GB2312" w:hAnsi="楷体_GB2312" w:eastAsia="楷体_GB2312" w:cs="楷体_GB2312"/>
          <w:b/>
          <w:sz w:val="32"/>
          <w:szCs w:val="32"/>
        </w:rPr>
      </w:pPr>
      <w:r>
        <w:rPr>
          <w:rFonts w:hint="eastAsia" w:ascii="楷体_GB2312" w:hAnsi="楷体_GB2312" w:eastAsia="楷体_GB2312" w:cs="楷体_GB2312"/>
          <w:b/>
          <w:sz w:val="32"/>
          <w:szCs w:val="32"/>
        </w:rPr>
        <w:t>（一）基本职能</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组织贯彻执行中央、省委、州委、县委关于统一战线的方针、政策；调查研究统一战线有关理论和政策；向县委反映情况，提出开展统战工作的意见和建议。</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负责联系我县无党派代表人士，及时通报情况、了解和反映他们的意见和建议；研究、贯彻、督促、检查党领导的多党合作、政治协商制度;发挥人民代表，政协委员参政议政和民主监督的职能。会同有关部门做好培养、选拔、推荐党外人士担任县政府、人大、政协及其工作部门行政领导的工作；做好党外后备干部的代表人物队伍建设工作。</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负责联系工商界；调查、研究并反映我县非公有制经济代表人物的情况、协调关系、研究并提出政策性建议；组织和推动社会各界、工商联及统一战线各个方面积极为经济建设服务。</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调查研究我县党外知识分子的情况，反映意见、协调关系，提出建议，联系并积极培养党外知识分子的代表人物。</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指导县工商联的工作。</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指导县佛教协会的工作。</w:t>
      </w:r>
    </w:p>
    <w:p>
      <w:pPr>
        <w:pStyle w:val="6"/>
        <w:adjustRightInd w:val="0"/>
        <w:snapToGrid w:val="0"/>
        <w:spacing w:line="560" w:lineRule="exact"/>
        <w:ind w:firstLine="675" w:firstLineChars="210"/>
        <w:rPr>
          <w:rFonts w:ascii="楷体_GB2312" w:hAnsi="楷体_GB2312" w:eastAsia="楷体_GB2312" w:cs="楷体_GB2312"/>
          <w:b/>
          <w:sz w:val="32"/>
          <w:szCs w:val="32"/>
        </w:rPr>
      </w:pPr>
      <w:r>
        <w:rPr>
          <w:rFonts w:hint="eastAsia" w:ascii="楷体_GB2312" w:hAnsi="楷体_GB2312" w:eastAsia="楷体_GB2312" w:cs="楷体_GB2312"/>
          <w:b/>
          <w:sz w:val="32"/>
          <w:szCs w:val="32"/>
        </w:rPr>
        <w:t>（二）2022年重点工作任务</w:t>
      </w:r>
    </w:p>
    <w:p>
      <w:pPr>
        <w:pStyle w:val="6"/>
        <w:ind w:firstLine="643" w:firstLineChars="200"/>
        <w:rPr>
          <w:rFonts w:hint="eastAsia"/>
          <w:b/>
          <w:bCs/>
          <w:sz w:val="32"/>
          <w:szCs w:val="32"/>
        </w:rPr>
      </w:pPr>
      <w:r>
        <w:rPr>
          <w:rFonts w:hint="eastAsia"/>
          <w:b/>
          <w:bCs/>
          <w:sz w:val="32"/>
          <w:szCs w:val="32"/>
          <w:lang w:eastAsia="zh-CN"/>
        </w:rPr>
        <w:t>（</w:t>
      </w:r>
      <w:r>
        <w:rPr>
          <w:rFonts w:hint="eastAsia"/>
          <w:b/>
          <w:bCs/>
          <w:sz w:val="32"/>
          <w:szCs w:val="32"/>
          <w:lang w:val="en-US" w:eastAsia="zh-CN"/>
        </w:rPr>
        <w:t>一</w:t>
      </w:r>
      <w:r>
        <w:rPr>
          <w:rFonts w:hint="eastAsia"/>
          <w:b/>
          <w:bCs/>
          <w:sz w:val="32"/>
          <w:szCs w:val="32"/>
          <w:lang w:eastAsia="zh-CN"/>
        </w:rPr>
        <w:t>）</w:t>
      </w:r>
      <w:r>
        <w:rPr>
          <w:rFonts w:hint="eastAsia"/>
          <w:b/>
          <w:bCs/>
          <w:sz w:val="32"/>
          <w:szCs w:val="32"/>
        </w:rPr>
        <w:t>强化宗教领域社会管理创新，促进社会稳定</w:t>
      </w:r>
    </w:p>
    <w:p>
      <w:pPr>
        <w:pStyle w:val="6"/>
        <w:ind w:firstLine="1280" w:firstLineChars="400"/>
        <w:rPr>
          <w:sz w:val="32"/>
          <w:szCs w:val="32"/>
        </w:rPr>
      </w:pPr>
      <w:r>
        <w:rPr>
          <w:rFonts w:hint="eastAsia"/>
          <w:sz w:val="32"/>
          <w:szCs w:val="32"/>
        </w:rPr>
        <w:t>一是加强寺庙管委会（所）建设工作。要进一步建立完善寺庙管理系统干部管理制度，建立约束激励干部机制，为全县宗教工作不断开创新局面优化好软环境。要继续发挥好寺庙管理相关部门专兼职结合的作用，以达到整合人力和资源，事半功倍的效果。二是加强寺庙民管会建设。要结合寺庙开放式管理，加强寺庙民管会的队伍建设工作，建立完善寺庙社会监督评议机制和群众评议制度，及时清理调整软弱涣散的民管会班子，推进寺庙内部管理民主化进程，确保寺庙管理权掌握在爱国爱教僧尼手中，提升和巩固“和谐文明寺庙”创建工作所取得成果。三是强化宗教界代表人士的培养培训。要在僧尼中深入持续开展教育培训，提升僧尼的综合素质。年内由县委统战部、民宗局、佛协牵头，要完成举办2-3期宗教界代表人士培训班，各寺庙管委会也要举办3-4期僧尼培训班。四是加强对僧尼的宣传教育。要继续深入扎实的开展寺庙法制宣传教育工作，巩固、深化和发展已经取得的成果。今冬明春，要结合文明和谐寺庙创建活动，组建片区寺庙宣讲组，培养僧尼宣讲员，组织法制政策宣讲团、高僧大德宣讲团开展巡回宣讲活动。</w:t>
      </w:r>
    </w:p>
    <w:p>
      <w:pPr>
        <w:pStyle w:val="6"/>
        <w:rPr>
          <w:rFonts w:hint="eastAsia"/>
          <w:b/>
          <w:bCs/>
          <w:sz w:val="32"/>
          <w:szCs w:val="32"/>
        </w:rPr>
      </w:pPr>
      <w:r>
        <w:rPr>
          <w:rFonts w:hint="eastAsia"/>
          <w:b/>
          <w:bCs/>
          <w:sz w:val="32"/>
          <w:szCs w:val="32"/>
        </w:rPr>
        <w:t>（二）强化党外人士作用发挥，促进民主建设</w:t>
      </w:r>
    </w:p>
    <w:p>
      <w:pPr>
        <w:pStyle w:val="6"/>
        <w:ind w:firstLine="640" w:firstLineChars="200"/>
        <w:rPr>
          <w:rFonts w:hint="eastAsia"/>
          <w:sz w:val="32"/>
          <w:szCs w:val="32"/>
        </w:rPr>
      </w:pPr>
      <w:r>
        <w:rPr>
          <w:rFonts w:hint="eastAsia"/>
          <w:sz w:val="32"/>
          <w:szCs w:val="32"/>
        </w:rPr>
        <w:t>要按照突出“团结、民生”两大主题，努力做好新时期党外干部的培养、教育、举荐和使用工作，要进一步完善全县党外领导干部、中高级以上职称党外知识分子基本信息采集，加强对党外干部和党外人士的教育培训，广泛召开各层次、各类别党外人士座谈会，开展多种形式的调查研究，发挥好党外干部和党外人士在参政议政、维护社会稳定、经济发展中的积极作用。深入开展“六个之家”建设活动，把统战部建设成为党外人士之家、团结之家、民主之家、交友之家、建言献策之家、温馨之家，切实落实统一战线各项工作任务。</w:t>
      </w:r>
    </w:p>
    <w:p>
      <w:pPr>
        <w:pStyle w:val="6"/>
        <w:rPr>
          <w:rFonts w:hint="eastAsia"/>
          <w:b/>
          <w:bCs/>
          <w:sz w:val="32"/>
          <w:szCs w:val="32"/>
        </w:rPr>
      </w:pPr>
      <w:r>
        <w:rPr>
          <w:rFonts w:hint="eastAsia"/>
          <w:b/>
          <w:bCs/>
          <w:sz w:val="32"/>
          <w:szCs w:val="32"/>
        </w:rPr>
        <w:t>（三）强化非公有制经济人士教育创新，促进经济发展</w:t>
      </w:r>
    </w:p>
    <w:p>
      <w:pPr>
        <w:pStyle w:val="6"/>
        <w:ind w:firstLine="640" w:firstLineChars="200"/>
        <w:rPr>
          <w:rFonts w:hint="eastAsia"/>
          <w:sz w:val="32"/>
          <w:szCs w:val="32"/>
        </w:rPr>
      </w:pPr>
      <w:r>
        <w:rPr>
          <w:rFonts w:hint="eastAsia"/>
          <w:sz w:val="32"/>
          <w:szCs w:val="32"/>
        </w:rPr>
        <w:t>要发挥好工商联联系非公有制经济人士的桥梁、纽带和管理非公有制经济的助手作用，加强与各非公有制经济企业之间的沟通和联系，进一步加强对非公有制经济人士、工商业界人士的管理教育，做好非公有制经济代表人士的工作。要稳步推进商会会员发展，壮大非公有制积极分子队伍，积极开展“光彩事业”和“致富思源，富而思进”的教育活动。</w:t>
      </w:r>
    </w:p>
    <w:p>
      <w:pPr>
        <w:pStyle w:val="6"/>
        <w:rPr>
          <w:rFonts w:hint="eastAsia"/>
          <w:b/>
          <w:bCs/>
          <w:sz w:val="32"/>
          <w:szCs w:val="32"/>
        </w:rPr>
      </w:pPr>
      <w:r>
        <w:rPr>
          <w:rFonts w:hint="eastAsia"/>
          <w:b/>
          <w:bCs/>
          <w:sz w:val="32"/>
          <w:szCs w:val="32"/>
        </w:rPr>
        <w:t>（</w:t>
      </w:r>
      <w:r>
        <w:rPr>
          <w:rFonts w:hint="eastAsia"/>
          <w:b/>
          <w:bCs/>
          <w:sz w:val="32"/>
          <w:szCs w:val="32"/>
          <w:lang w:val="en-US" w:eastAsia="zh-CN"/>
        </w:rPr>
        <w:t>四</w:t>
      </w:r>
      <w:r>
        <w:rPr>
          <w:rFonts w:hint="eastAsia"/>
          <w:b/>
          <w:bCs/>
          <w:sz w:val="32"/>
          <w:szCs w:val="32"/>
        </w:rPr>
        <w:t>）强化机关日常管理，促进工作取得新成效</w:t>
      </w:r>
    </w:p>
    <w:p>
      <w:pPr>
        <w:pStyle w:val="6"/>
        <w:ind w:firstLine="640" w:firstLineChars="200"/>
        <w:rPr>
          <w:rFonts w:hint="eastAsia"/>
          <w:sz w:val="32"/>
          <w:szCs w:val="32"/>
        </w:rPr>
      </w:pPr>
      <w:r>
        <w:rPr>
          <w:rFonts w:hint="eastAsia"/>
          <w:sz w:val="32"/>
          <w:szCs w:val="32"/>
        </w:rPr>
        <w:t>一要进一步加强学习，提升干部职工素质。健全完善机关学习制度，坚持定期学习，不断提升干部业务能力和知识水平；二是进一步加强联系村色地镇让里村脱贫攻坚工作。按照省、州、县要求，不断加大机关干部联系帮扶贫困户力度，想方设法、采取切实有效的措施，确保让里村完成脱贫攻坚任务。三要继续做好宣传、调研及信息工作，努力形成有分量、有价值的调研成果，进一步展示我县统一战线各方面取得的成效；四要进一步加强部机关的管理工作。进一步完善机关内部管理制度，确保各项工作和领导交办事项圆满完成。加强目标管理工作，确保县委、政府中心工作落实到位。加强保密工作，防止泄密情况发生。</w:t>
      </w:r>
    </w:p>
    <w:p>
      <w:pPr>
        <w:spacing w:line="560" w:lineRule="exact"/>
        <w:ind w:firstLine="640" w:firstLineChars="200"/>
        <w:rPr>
          <w:rFonts w:hint="eastAsia" w:ascii="黑体" w:eastAsia="黑体"/>
          <w:sz w:val="32"/>
          <w:szCs w:val="32"/>
        </w:rPr>
      </w:pPr>
      <w:r>
        <w:rPr>
          <w:rFonts w:hint="eastAsia" w:ascii="黑体" w:eastAsia="黑体"/>
          <w:sz w:val="32"/>
          <w:szCs w:val="32"/>
        </w:rPr>
        <w:t>二、部门预算单位构成</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机构改革后县佛教协会归口统战部统一管理，单位行政编制11人，行政工勤编制1人，事业编制2人，佛协：行政编制2人，事业编制2人，事业工勤1人。</w:t>
      </w:r>
      <w:bookmarkStart w:id="1" w:name="_Toc6796"/>
    </w:p>
    <w:p>
      <w:pPr>
        <w:pStyle w:val="2"/>
        <w:rPr>
          <w:rFonts w:hint="eastAsia"/>
        </w:rPr>
      </w:pPr>
    </w:p>
    <w:p>
      <w:pPr>
        <w:spacing w:line="576" w:lineRule="exact"/>
        <w:jc w:val="center"/>
        <w:rPr>
          <w:rFonts w:ascii="黑体" w:eastAsia="黑体"/>
          <w:sz w:val="32"/>
          <w:szCs w:val="32"/>
        </w:rPr>
      </w:pPr>
      <w:r>
        <w:rPr>
          <w:rFonts w:hint="eastAsia" w:ascii="黑体" w:hAnsi="黑体" w:eastAsia="黑体" w:cs="黑体"/>
          <w:sz w:val="44"/>
          <w:szCs w:val="44"/>
          <w:lang w:val="en-US" w:eastAsia="zh-CN"/>
        </w:rPr>
        <w:t>第二部分</w:t>
      </w:r>
      <w:r>
        <w:rPr>
          <w:rFonts w:hint="eastAsia" w:ascii="黑体" w:hAnsi="黑体" w:eastAsia="黑体" w:cs="黑体"/>
          <w:sz w:val="44"/>
          <w:szCs w:val="44"/>
          <w:shd w:val="clear" w:color="auto" w:fill="FFFFFF"/>
        </w:rPr>
        <w:t>202</w:t>
      </w:r>
      <w:r>
        <w:rPr>
          <w:rFonts w:hint="eastAsia" w:ascii="黑体" w:hAnsi="黑体" w:eastAsia="黑体" w:cs="黑体"/>
          <w:sz w:val="44"/>
          <w:szCs w:val="44"/>
          <w:shd w:val="clear" w:color="auto" w:fill="FFFFFF"/>
          <w:lang w:val="en-US" w:eastAsia="zh-CN"/>
        </w:rPr>
        <w:t>2</w:t>
      </w:r>
      <w:r>
        <w:rPr>
          <w:rFonts w:hint="eastAsia" w:ascii="黑体" w:hAnsi="黑体" w:eastAsia="黑体" w:cs="黑体"/>
          <w:sz w:val="44"/>
          <w:szCs w:val="44"/>
          <w:shd w:val="clear" w:color="auto" w:fill="FFFFFF"/>
        </w:rPr>
        <w:t>年度部门</w:t>
      </w:r>
      <w:r>
        <w:rPr>
          <w:rFonts w:hint="eastAsia" w:ascii="黑体" w:hAnsi="黑体" w:eastAsia="黑体" w:cs="黑体"/>
          <w:sz w:val="44"/>
          <w:szCs w:val="44"/>
          <w:shd w:val="clear" w:color="auto" w:fill="FFFFFF"/>
          <w:lang w:val="en-US" w:eastAsia="zh-CN"/>
        </w:rPr>
        <w:t>预算</w:t>
      </w:r>
      <w:r>
        <w:rPr>
          <w:rFonts w:hint="eastAsia" w:ascii="黑体" w:hAnsi="黑体" w:eastAsia="黑体" w:cs="黑体"/>
          <w:sz w:val="44"/>
          <w:szCs w:val="44"/>
          <w:shd w:val="clear" w:color="auto" w:fill="FFFFFF"/>
        </w:rPr>
        <w:t>情况说明</w:t>
      </w:r>
      <w:bookmarkEnd w:id="1"/>
    </w:p>
    <w:p>
      <w:pPr>
        <w:pStyle w:val="11"/>
        <w:keepNext w:val="0"/>
        <w:keepLines w:val="0"/>
        <w:widowControl/>
        <w:numPr>
          <w:ilvl w:val="0"/>
          <w:numId w:val="0"/>
        </w:numPr>
        <w:suppressLineNumbers w:val="0"/>
        <w:ind w:right="75" w:rightChars="0" w:firstLine="640" w:firstLineChars="200"/>
        <w:jc w:val="both"/>
        <w:outlineLvl w:val="0"/>
        <w:rPr>
          <w:rFonts w:ascii="黑体" w:eastAsia="黑体"/>
          <w:sz w:val="32"/>
          <w:szCs w:val="32"/>
        </w:rPr>
      </w:pPr>
      <w:r>
        <w:rPr>
          <w:rFonts w:hint="eastAsia" w:ascii="黑体" w:eastAsia="黑体"/>
          <w:sz w:val="32"/>
          <w:szCs w:val="32"/>
          <w:lang w:val="en-US" w:eastAsia="zh-CN"/>
        </w:rPr>
        <w:t>一</w:t>
      </w:r>
      <w:r>
        <w:rPr>
          <w:rFonts w:hint="eastAsia" w:ascii="黑体" w:eastAsia="黑体"/>
          <w:sz w:val="32"/>
          <w:szCs w:val="32"/>
        </w:rPr>
        <w:t>、收支预算总体情况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中共红原县委员会统战部收入预算总额为349.79万元，其中：当年财政拨款收入349.79万元。相应安排支出预算349.79万元，其中：一般公共服务248.58万元，社会保障和就业45.49万元，医疗卫生18.38万元，住房保障支出33.34万元，结转下年4万元。</w:t>
      </w:r>
    </w:p>
    <w:p>
      <w:pPr>
        <w:numPr>
          <w:ilvl w:val="0"/>
          <w:numId w:val="0"/>
        </w:numPr>
        <w:spacing w:line="560" w:lineRule="exact"/>
        <w:ind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支出预算安排情况</w:t>
      </w:r>
    </w:p>
    <w:p>
      <w:pPr>
        <w:spacing w:line="560" w:lineRule="exact"/>
        <w:rPr>
          <w:rFonts w:ascii="仿宋_GB2312" w:eastAsia="仿宋_GB2312"/>
          <w:sz w:val="32"/>
          <w:szCs w:val="32"/>
        </w:rPr>
      </w:pPr>
      <w:r>
        <w:rPr>
          <w:rFonts w:hint="eastAsia" w:ascii="仿宋_GB2312" w:eastAsia="仿宋_GB2312"/>
          <w:sz w:val="32"/>
          <w:szCs w:val="32"/>
        </w:rPr>
        <w:t xml:space="preserve">    中共红原县委员会统战部预算安排支出主要用于保障该部门机构正常运转、完成日常工作任务以及承担统战事业发展相关工作。  </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基本支出340.42万元。其中行政人员经费支出293.5万元，机关运行经费46.92万元，其中：办公费10.14万元，印刷费6万元，水费0.8万元，电费3.7万元，邮电费2.5万元。取暖费2.5万元，差旅费6万元，会议费1万元，培训费2万元，公务接待费0.76万元。劳务费0.38万元，工会经费2.27万元，公务用车运行费8.87万。</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（一）一般公共服务支出248.58万元，主要用于机关及下属事业单位人员工资、日常运转以及为完成特定行政工作任务和事业发展目标而安排的年度项目支出。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（二）社会保障和就业45.59万元，主要用于机关及下属事业单位养老保险及职业年金缴费。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（三）医疗卫生18.38万元，主要用于机关及下属事业单位按照规定标准为职工缴纳的基本医疗保险及公务员医疗补助等支出。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（四）住房保障支出33.34万元，用于机关及下属事业单位按照规定标准为职工缴纳住房公积金等支出。</w:t>
      </w:r>
    </w:p>
    <w:p>
      <w:pPr>
        <w:widowControl/>
        <w:shd w:val="clear" w:color="auto" w:fill="FFFFFF"/>
        <w:spacing w:line="560" w:lineRule="exact"/>
        <w:ind w:firstLine="480"/>
        <w:jc w:val="left"/>
        <w:rPr>
          <w:rFonts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三</w:t>
      </w:r>
      <w:r>
        <w:rPr>
          <w:rFonts w:hint="eastAsia" w:ascii="黑体" w:hAnsi="黑体" w:eastAsia="黑体" w:cs="黑体"/>
          <w:color w:val="333333"/>
          <w:kern w:val="0"/>
          <w:sz w:val="32"/>
          <w:szCs w:val="32"/>
          <w:shd w:val="clear" w:color="auto" w:fill="FFFFFF"/>
          <w:lang w:bidi="ar"/>
        </w:rPr>
        <w:t xml:space="preserve">、较上年度增减变化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本年度预算拨款收入349.79万元较上年度预算363.16万元减少了3.6%，其中基本行政运行经费预算46.92万元，占全部总预算的13.4%，较上年44.72万元增加了2.2万元，原因为增加各项开支，专项业务工作经费预算5.37万元，占总预算的1.53%，较上年预算0万元增加了100%，主要原因为增加项目经费开支，增加相关支出。 </w:t>
      </w:r>
      <w:r>
        <w:rPr>
          <w:rFonts w:hint="eastAsia" w:ascii="黑体" w:hAnsi="黑体" w:eastAsia="黑体" w:cs="黑体"/>
          <w:color w:val="333333"/>
          <w:kern w:val="0"/>
          <w:sz w:val="32"/>
          <w:szCs w:val="32"/>
          <w:shd w:val="clear" w:color="auto" w:fill="FFFFFF"/>
          <w:lang w:bidi="ar"/>
        </w:rPr>
        <w:t xml:space="preserve"> </w:t>
      </w:r>
      <w:r>
        <w:rPr>
          <w:rFonts w:hint="eastAsia" w:ascii="仿宋_GB2312" w:eastAsia="仿宋_GB2312"/>
          <w:sz w:val="32"/>
          <w:szCs w:val="32"/>
        </w:rPr>
        <w:t xml:space="preserve"> </w:t>
      </w:r>
    </w:p>
    <w:p>
      <w:pPr>
        <w:widowControl/>
        <w:shd w:val="clear" w:color="auto" w:fill="FFFFFF"/>
        <w:spacing w:line="560" w:lineRule="exact"/>
        <w:ind w:firstLine="480"/>
        <w:jc w:val="left"/>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 xml:space="preserve"> </w:t>
      </w:r>
      <w:r>
        <w:rPr>
          <w:rFonts w:hint="eastAsia" w:ascii="黑体" w:hAnsi="黑体" w:eastAsia="黑体" w:cs="黑体"/>
          <w:color w:val="333333"/>
          <w:kern w:val="0"/>
          <w:sz w:val="32"/>
          <w:szCs w:val="32"/>
          <w:shd w:val="clear" w:color="auto" w:fill="FFFFFF"/>
          <w:lang w:val="en-US" w:eastAsia="zh-CN" w:bidi="ar"/>
        </w:rPr>
        <w:t>四、</w:t>
      </w:r>
      <w:r>
        <w:rPr>
          <w:rFonts w:hint="eastAsia" w:ascii="黑体" w:hAnsi="黑体" w:eastAsia="黑体" w:cs="黑体"/>
          <w:color w:val="333333"/>
          <w:kern w:val="0"/>
          <w:sz w:val="32"/>
          <w:szCs w:val="32"/>
          <w:shd w:val="clear" w:color="auto" w:fill="FFFFFF"/>
          <w:lang w:bidi="ar"/>
        </w:rPr>
        <w:t xml:space="preserve">“三公”经费预算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本年度三公经费预算安排支出为9.63万元，其中：出国费0万元，与上年持平，主要原因为未安排因公出国；公车购置费0元，与上年持平；公务用车维护费支出8.87万元，较上年度预算8.99万元略有减少，主要原因严格执行“八项规定、六项禁令”；二是将有关股室的工作有机地结合起来，减少不必要的资源浪费。公务接待费0.76万元，较上年度预算持平，主要原因为接待次数较少，减少相关支出，本年度我们将严格执行“八项规定、六项禁令”，结合本年度工作需要，减少不必要的开支。 </w:t>
      </w:r>
    </w:p>
    <w:p>
      <w:pPr>
        <w:widowControl/>
        <w:shd w:val="clear" w:color="auto" w:fill="FFFFFF"/>
        <w:spacing w:line="560" w:lineRule="exact"/>
        <w:ind w:firstLine="480"/>
        <w:jc w:val="left"/>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 xml:space="preserve"> </w:t>
      </w:r>
      <w:r>
        <w:rPr>
          <w:rFonts w:hint="eastAsia" w:ascii="黑体" w:hAnsi="黑体" w:eastAsia="黑体" w:cs="黑体"/>
          <w:color w:val="333333"/>
          <w:kern w:val="0"/>
          <w:sz w:val="32"/>
          <w:szCs w:val="32"/>
          <w:shd w:val="clear" w:color="auto" w:fill="FFFFFF"/>
          <w:lang w:val="en-US" w:eastAsia="zh-CN" w:bidi="ar"/>
        </w:rPr>
        <w:t>五</w:t>
      </w:r>
      <w:r>
        <w:rPr>
          <w:rFonts w:hint="eastAsia" w:ascii="黑体" w:hAnsi="黑体" w:eastAsia="黑体" w:cs="黑体"/>
          <w:color w:val="333333"/>
          <w:kern w:val="0"/>
          <w:sz w:val="32"/>
          <w:szCs w:val="32"/>
          <w:shd w:val="clear" w:color="auto" w:fill="FFFFFF"/>
          <w:lang w:bidi="ar"/>
        </w:rPr>
        <w:t>、政府性基金预算收支情况说明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2022年没有使用政府性基金预算拨款安排的支出。</w:t>
      </w:r>
    </w:p>
    <w:p>
      <w:pPr>
        <w:widowControl/>
        <w:shd w:val="clear" w:color="auto" w:fill="FFFFFF"/>
        <w:spacing w:line="560" w:lineRule="exact"/>
        <w:ind w:left="480"/>
        <w:jc w:val="left"/>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 xml:space="preserve"> </w:t>
      </w:r>
      <w:r>
        <w:rPr>
          <w:rFonts w:hint="eastAsia" w:ascii="黑体" w:hAnsi="黑体" w:eastAsia="黑体" w:cs="黑体"/>
          <w:color w:val="333333"/>
          <w:kern w:val="0"/>
          <w:sz w:val="32"/>
          <w:szCs w:val="32"/>
          <w:shd w:val="clear" w:color="auto" w:fill="FFFFFF"/>
          <w:lang w:val="en-US" w:eastAsia="zh-CN" w:bidi="ar"/>
        </w:rPr>
        <w:t>六</w:t>
      </w:r>
      <w:r>
        <w:rPr>
          <w:rFonts w:hint="eastAsia" w:ascii="黑体" w:hAnsi="黑体" w:eastAsia="黑体" w:cs="黑体"/>
          <w:color w:val="333333"/>
          <w:kern w:val="0"/>
          <w:sz w:val="32"/>
          <w:szCs w:val="32"/>
          <w:shd w:val="clear" w:color="auto" w:fill="FFFFFF"/>
          <w:lang w:bidi="ar"/>
        </w:rPr>
        <w:t>、国有资本经营预算收支情况说明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2022年没有使用国有资本经营预算拨款安排的支出。</w:t>
      </w:r>
    </w:p>
    <w:p>
      <w:pPr>
        <w:widowControl/>
        <w:shd w:val="clear" w:color="auto" w:fill="FFFFFF"/>
        <w:spacing w:line="560" w:lineRule="exact"/>
        <w:ind w:left="480"/>
        <w:jc w:val="left"/>
        <w:rPr>
          <w:rFonts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 xml:space="preserve"> </w:t>
      </w:r>
      <w:r>
        <w:rPr>
          <w:rFonts w:hint="eastAsia" w:ascii="黑体" w:hAnsi="黑体" w:eastAsia="黑体" w:cs="黑体"/>
          <w:color w:val="333333"/>
          <w:kern w:val="0"/>
          <w:sz w:val="32"/>
          <w:szCs w:val="32"/>
          <w:shd w:val="clear" w:color="auto" w:fill="FFFFFF"/>
          <w:lang w:val="en-US" w:eastAsia="zh-CN" w:bidi="ar"/>
        </w:rPr>
        <w:t>七</w:t>
      </w:r>
      <w:r>
        <w:rPr>
          <w:rFonts w:hint="eastAsia" w:ascii="黑体" w:hAnsi="黑体" w:eastAsia="黑体" w:cs="黑体"/>
          <w:color w:val="333333"/>
          <w:kern w:val="0"/>
          <w:sz w:val="32"/>
          <w:szCs w:val="32"/>
          <w:shd w:val="clear" w:color="auto" w:fill="FFFFFF"/>
          <w:lang w:bidi="ar"/>
        </w:rPr>
        <w:t>、其他重要事项的情况说明</w:t>
      </w:r>
    </w:p>
    <w:p>
      <w:pPr>
        <w:widowControl/>
        <w:shd w:val="clear" w:color="auto" w:fill="FFFFFF"/>
        <w:spacing w:line="560" w:lineRule="exact"/>
        <w:ind w:firstLine="480"/>
        <w:jc w:val="left"/>
        <w:rPr>
          <w:rFonts w:ascii="黑体" w:hAnsi="黑体" w:eastAsia="黑体" w:cs="黑体"/>
          <w:color w:val="333333"/>
          <w:kern w:val="0"/>
          <w:sz w:val="32"/>
          <w:szCs w:val="32"/>
          <w:shd w:val="clear" w:color="auto" w:fill="FFFFFF"/>
          <w:lang w:bidi="ar"/>
        </w:rPr>
      </w:pPr>
      <w:r>
        <w:rPr>
          <w:rFonts w:hint="eastAsia" w:ascii="楷体_GB2312" w:hAnsi="楷体_GB2312" w:eastAsia="楷体_GB2312" w:cs="楷体_GB2312"/>
          <w:b/>
          <w:bCs/>
          <w:color w:val="333333"/>
          <w:kern w:val="0"/>
          <w:sz w:val="32"/>
          <w:szCs w:val="32"/>
          <w:shd w:val="clear" w:color="auto" w:fill="FFFFFF"/>
          <w:lang w:bidi="ar"/>
        </w:rPr>
        <w:t xml:space="preserve"> （一）政府采购预算情况</w:t>
      </w:r>
      <w:r>
        <w:rPr>
          <w:rFonts w:hint="eastAsia" w:ascii="黑体" w:hAnsi="黑体" w:eastAsia="黑体" w:cs="黑体"/>
          <w:color w:val="333333"/>
          <w:kern w:val="0"/>
          <w:sz w:val="32"/>
          <w:szCs w:val="32"/>
          <w:shd w:val="clear" w:color="auto" w:fill="FFFFFF"/>
          <w:lang w:bidi="ar"/>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2022年度没有安排政府采购预算。</w:t>
      </w:r>
    </w:p>
    <w:p>
      <w:pPr>
        <w:widowControl/>
        <w:shd w:val="clear" w:color="auto" w:fill="FFFFFF"/>
        <w:spacing w:line="560" w:lineRule="exact"/>
        <w:ind w:left="480"/>
        <w:jc w:val="left"/>
      </w:pPr>
      <w:r>
        <w:rPr>
          <w:rFonts w:hint="eastAsia" w:ascii="楷体_GB2312" w:hAnsi="楷体_GB2312" w:eastAsia="楷体_GB2312" w:cs="楷体_GB2312"/>
          <w:b/>
          <w:bCs/>
          <w:color w:val="333333"/>
          <w:kern w:val="0"/>
          <w:sz w:val="32"/>
          <w:szCs w:val="32"/>
          <w:shd w:val="clear" w:color="auto" w:fill="FFFFFF"/>
          <w:lang w:bidi="ar"/>
        </w:rPr>
        <w:t xml:space="preserve"> （二）政府财政国有资产占用情况</w:t>
      </w:r>
      <w:r>
        <w:rPr>
          <w:rFonts w:hint="eastAsia" w:ascii="微软雅黑" w:hAnsi="微软雅黑" w:eastAsia="微软雅黑" w:cs="微软雅黑"/>
          <w:color w:val="333333"/>
          <w:kern w:val="0"/>
          <w:sz w:val="24"/>
          <w:shd w:val="clear" w:color="auto" w:fill="FFFFFF"/>
          <w:lang w:bidi="ar"/>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截止2021年底，实际共有固定资产价值66.49万元：其中：公务用车47.09万元；其他固定资产19.4万元。</w:t>
      </w:r>
    </w:p>
    <w:p>
      <w:pPr>
        <w:widowControl/>
        <w:shd w:val="clear" w:color="auto" w:fill="FFFFFF"/>
        <w:spacing w:line="560" w:lineRule="exact"/>
        <w:ind w:left="480"/>
        <w:jc w:val="left"/>
        <w:rPr>
          <w:rFonts w:ascii="楷体_GB2312" w:hAnsi="楷体_GB2312" w:eastAsia="楷体_GB2312" w:cs="楷体_GB2312"/>
          <w:b/>
          <w:bCs/>
          <w:color w:val="333333"/>
          <w:kern w:val="0"/>
          <w:sz w:val="32"/>
          <w:szCs w:val="32"/>
          <w:shd w:val="clear" w:color="auto" w:fill="FFFFFF"/>
          <w:lang w:bidi="ar"/>
        </w:rPr>
      </w:pPr>
      <w:r>
        <w:rPr>
          <w:rFonts w:hint="eastAsia" w:ascii="楷体_GB2312" w:hAnsi="楷体_GB2312" w:eastAsia="楷体_GB2312" w:cs="楷体_GB2312"/>
          <w:b/>
          <w:bCs/>
          <w:color w:val="333333"/>
          <w:kern w:val="0"/>
          <w:sz w:val="32"/>
          <w:szCs w:val="32"/>
          <w:shd w:val="clear" w:color="auto" w:fill="FFFFFF"/>
          <w:lang w:bidi="ar"/>
        </w:rPr>
        <w:t xml:space="preserve"> （三）绩效目标设置情况</w:t>
      </w:r>
    </w:p>
    <w:p>
      <w:pPr>
        <w:spacing w:line="560" w:lineRule="exact"/>
        <w:rPr>
          <w:rFonts w:hint="eastAsia" w:ascii="仿宋_GB2312" w:eastAsia="仿宋_GB2312"/>
          <w:sz w:val="32"/>
          <w:szCs w:val="32"/>
        </w:rPr>
      </w:pPr>
      <w:r>
        <w:rPr>
          <w:rFonts w:hint="eastAsia" w:ascii="仿宋_GB2312" w:eastAsia="仿宋_GB2312"/>
          <w:sz w:val="32"/>
          <w:szCs w:val="32"/>
        </w:rPr>
        <w:t xml:space="preserve">  绩效目标是预算编制的前提和基础，按照“费随事定”的原则，2022年我单位项目支出按要求编制了绩效目标，从项目完成、项目效益、满意度。</w:t>
      </w:r>
    </w:p>
    <w:p>
      <w:pPr>
        <w:pStyle w:val="2"/>
        <w:rPr>
          <w:rFonts w:hint="eastAsia" w:ascii="仿宋_GB2312" w:eastAsia="仿宋_GB2312"/>
          <w:sz w:val="32"/>
          <w:szCs w:val="32"/>
        </w:rPr>
      </w:pPr>
    </w:p>
    <w:p>
      <w:pPr>
        <w:pStyle w:val="4"/>
        <w:rPr>
          <w:rFonts w:hint="eastAsia" w:ascii="仿宋_GB2312" w:eastAsia="仿宋_GB2312"/>
          <w:sz w:val="32"/>
          <w:szCs w:val="32"/>
        </w:rPr>
      </w:pPr>
    </w:p>
    <w:p>
      <w:pPr>
        <w:pStyle w:val="4"/>
        <w:rPr>
          <w:rFonts w:hint="eastAsia" w:ascii="仿宋_GB2312" w:eastAsia="仿宋_GB2312"/>
          <w:sz w:val="32"/>
          <w:szCs w:val="32"/>
        </w:rPr>
      </w:pPr>
    </w:p>
    <w:p>
      <w:pPr>
        <w:pStyle w:val="11"/>
        <w:keepNext w:val="0"/>
        <w:keepLines w:val="0"/>
        <w:widowControl/>
        <w:numPr>
          <w:ilvl w:val="0"/>
          <w:numId w:val="0"/>
        </w:numPr>
        <w:suppressLineNumbers w:val="0"/>
        <w:ind w:right="75" w:rightChars="0"/>
        <w:jc w:val="center"/>
        <w:outlineLvl w:val="0"/>
        <w:rPr>
          <w:rFonts w:hint="eastAsia" w:ascii="宋体" w:hAnsi="宋体" w:cs="宋体"/>
          <w:sz w:val="28"/>
          <w:szCs w:val="28"/>
        </w:rPr>
      </w:pPr>
      <w:bookmarkStart w:id="2" w:name="_Toc26931"/>
      <w:r>
        <w:rPr>
          <w:rFonts w:hint="eastAsia" w:ascii="黑体" w:hAnsi="黑体" w:eastAsia="黑体" w:cs="黑体"/>
          <w:sz w:val="44"/>
          <w:szCs w:val="44"/>
          <w:shd w:val="clear" w:color="auto" w:fill="FFFFFF"/>
          <w:lang w:val="en-US" w:eastAsia="zh-CN"/>
        </w:rPr>
        <w:t xml:space="preserve">第三部分   </w:t>
      </w:r>
      <w:r>
        <w:rPr>
          <w:rFonts w:hint="eastAsia" w:ascii="黑体" w:hAnsi="黑体" w:eastAsia="黑体" w:cs="黑体"/>
          <w:sz w:val="44"/>
          <w:szCs w:val="44"/>
          <w:shd w:val="clear" w:color="auto" w:fill="FFFFFF"/>
        </w:rPr>
        <w:t>名词解释</w:t>
      </w:r>
      <w:bookmarkEnd w:id="2"/>
      <w:r>
        <w:rPr>
          <w:rFonts w:hint="eastAsia" w:ascii="宋体" w:hAnsi="宋体" w:cs="宋体"/>
          <w:sz w:val="28"/>
          <w:szCs w:val="28"/>
        </w:rPr>
        <w:br w:type="textWrapping"/>
      </w:r>
      <w:r>
        <w:rPr>
          <w:rFonts w:hint="eastAsia" w:ascii="宋体" w:hAnsi="宋体" w:cs="宋体"/>
          <w:sz w:val="28"/>
          <w:szCs w:val="28"/>
        </w:rPr>
        <w:t>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1"/>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1"/>
        <w:keepNext w:val="0"/>
        <w:keepLines w:val="0"/>
        <w:widowControl/>
        <w:suppressLineNumbers w:val="0"/>
        <w:ind w:right="75"/>
        <w:jc w:val="center"/>
        <w:outlineLvl w:val="0"/>
        <w:rPr>
          <w:rFonts w:hint="eastAsia" w:ascii="黑体" w:hAnsi="黑体" w:eastAsia="黑体" w:cs="黑体"/>
          <w:sz w:val="44"/>
          <w:szCs w:val="44"/>
        </w:rPr>
      </w:pPr>
      <w:bookmarkStart w:id="3" w:name="_Toc29972"/>
      <w:r>
        <w:rPr>
          <w:rFonts w:hint="eastAsia" w:ascii="黑体" w:hAnsi="黑体" w:eastAsia="黑体" w:cs="黑体"/>
          <w:sz w:val="44"/>
          <w:szCs w:val="44"/>
          <w:shd w:val="clear" w:color="auto" w:fill="FFFFFF"/>
        </w:rPr>
        <w:t>第五部分 附表</w:t>
      </w:r>
      <w:bookmarkEnd w:id="3"/>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附件：表1.财政拨款收支总表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表2.一般公共预算支出表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表3.一般公共预算基本支出表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表4.一般公共预算“三公”经费支出表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表5.政府性基金预算支出表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表6.政府性基金预算“三公”经费支出表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表7.部门收支总表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表8.部门收入总表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表9.部门支出总表</w:t>
      </w:r>
    </w:p>
    <w:p>
      <w:pPr>
        <w:rPr>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4707"/>
    <w:rsid w:val="00882313"/>
    <w:rsid w:val="00BF0852"/>
    <w:rsid w:val="01AB3A4C"/>
    <w:rsid w:val="01D82154"/>
    <w:rsid w:val="01DB0E98"/>
    <w:rsid w:val="020502B8"/>
    <w:rsid w:val="02346274"/>
    <w:rsid w:val="02537415"/>
    <w:rsid w:val="027D28AA"/>
    <w:rsid w:val="028316E6"/>
    <w:rsid w:val="03B10B2C"/>
    <w:rsid w:val="03E52A27"/>
    <w:rsid w:val="0421370F"/>
    <w:rsid w:val="051E63A0"/>
    <w:rsid w:val="05253159"/>
    <w:rsid w:val="0536478E"/>
    <w:rsid w:val="05C6221A"/>
    <w:rsid w:val="05CA37E6"/>
    <w:rsid w:val="05DE2065"/>
    <w:rsid w:val="060415DA"/>
    <w:rsid w:val="061D2498"/>
    <w:rsid w:val="062705AF"/>
    <w:rsid w:val="0648585F"/>
    <w:rsid w:val="067611B1"/>
    <w:rsid w:val="06A51A29"/>
    <w:rsid w:val="06DF2C3C"/>
    <w:rsid w:val="06E85492"/>
    <w:rsid w:val="070B26D8"/>
    <w:rsid w:val="073716F3"/>
    <w:rsid w:val="077C0152"/>
    <w:rsid w:val="07A66CD3"/>
    <w:rsid w:val="07AB12F0"/>
    <w:rsid w:val="07CC79AF"/>
    <w:rsid w:val="07E0589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8599E"/>
    <w:rsid w:val="0CE63DEF"/>
    <w:rsid w:val="0D5709C4"/>
    <w:rsid w:val="0DA32FF9"/>
    <w:rsid w:val="0E016246"/>
    <w:rsid w:val="0EEF2024"/>
    <w:rsid w:val="0F396866"/>
    <w:rsid w:val="0F547819"/>
    <w:rsid w:val="0F763753"/>
    <w:rsid w:val="0FBD1976"/>
    <w:rsid w:val="0FF22613"/>
    <w:rsid w:val="10DF26FC"/>
    <w:rsid w:val="110E5233"/>
    <w:rsid w:val="11142387"/>
    <w:rsid w:val="112A1720"/>
    <w:rsid w:val="118E4E05"/>
    <w:rsid w:val="119A0988"/>
    <w:rsid w:val="12474DC8"/>
    <w:rsid w:val="131721D3"/>
    <w:rsid w:val="134D5D4F"/>
    <w:rsid w:val="137E4D53"/>
    <w:rsid w:val="139474D4"/>
    <w:rsid w:val="13F47D19"/>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0B7CE7"/>
    <w:rsid w:val="18212609"/>
    <w:rsid w:val="183068D9"/>
    <w:rsid w:val="18D93743"/>
    <w:rsid w:val="19E524F1"/>
    <w:rsid w:val="19F3214F"/>
    <w:rsid w:val="19F76004"/>
    <w:rsid w:val="1A1664F5"/>
    <w:rsid w:val="1A4E5F71"/>
    <w:rsid w:val="1AA22996"/>
    <w:rsid w:val="1AAF5697"/>
    <w:rsid w:val="1AC1313B"/>
    <w:rsid w:val="1B3E1A8A"/>
    <w:rsid w:val="1B460B6A"/>
    <w:rsid w:val="1B585811"/>
    <w:rsid w:val="1BAB2C52"/>
    <w:rsid w:val="1BEB2F32"/>
    <w:rsid w:val="1BEF4D2F"/>
    <w:rsid w:val="1C48338F"/>
    <w:rsid w:val="1C5E0F45"/>
    <w:rsid w:val="1D207523"/>
    <w:rsid w:val="1D5303AD"/>
    <w:rsid w:val="1D5D797F"/>
    <w:rsid w:val="1D8F2651"/>
    <w:rsid w:val="1DA21552"/>
    <w:rsid w:val="1EE82024"/>
    <w:rsid w:val="1FE7137A"/>
    <w:rsid w:val="1FF54367"/>
    <w:rsid w:val="20301BBB"/>
    <w:rsid w:val="20583D8E"/>
    <w:rsid w:val="20726215"/>
    <w:rsid w:val="20C1152C"/>
    <w:rsid w:val="210A7163"/>
    <w:rsid w:val="211C0ADF"/>
    <w:rsid w:val="21792825"/>
    <w:rsid w:val="222B40B1"/>
    <w:rsid w:val="223F7844"/>
    <w:rsid w:val="224A43EF"/>
    <w:rsid w:val="22AC0362"/>
    <w:rsid w:val="233B7821"/>
    <w:rsid w:val="23945201"/>
    <w:rsid w:val="24007643"/>
    <w:rsid w:val="24175559"/>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933F38"/>
    <w:rsid w:val="289878DC"/>
    <w:rsid w:val="28C55AD9"/>
    <w:rsid w:val="28D241CA"/>
    <w:rsid w:val="296D1C1C"/>
    <w:rsid w:val="297A12B6"/>
    <w:rsid w:val="29DE6E95"/>
    <w:rsid w:val="29E8073E"/>
    <w:rsid w:val="2AD0333C"/>
    <w:rsid w:val="2B4D0B0B"/>
    <w:rsid w:val="2BDD0703"/>
    <w:rsid w:val="2C255858"/>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32B6A"/>
    <w:rsid w:val="30F53504"/>
    <w:rsid w:val="311C73A5"/>
    <w:rsid w:val="31BF2947"/>
    <w:rsid w:val="32310A70"/>
    <w:rsid w:val="33C806E8"/>
    <w:rsid w:val="340D57A7"/>
    <w:rsid w:val="346430D2"/>
    <w:rsid w:val="34666631"/>
    <w:rsid w:val="34D825DC"/>
    <w:rsid w:val="35897E51"/>
    <w:rsid w:val="359840AF"/>
    <w:rsid w:val="35B725AC"/>
    <w:rsid w:val="362E2769"/>
    <w:rsid w:val="368D7CB3"/>
    <w:rsid w:val="36974F61"/>
    <w:rsid w:val="36EE35C7"/>
    <w:rsid w:val="370A6D37"/>
    <w:rsid w:val="372A5155"/>
    <w:rsid w:val="37B620D9"/>
    <w:rsid w:val="380B19D2"/>
    <w:rsid w:val="38BA0F7B"/>
    <w:rsid w:val="38EF74E5"/>
    <w:rsid w:val="39236D35"/>
    <w:rsid w:val="394E3FF7"/>
    <w:rsid w:val="39BA735C"/>
    <w:rsid w:val="3A2D0421"/>
    <w:rsid w:val="3A6D6A8B"/>
    <w:rsid w:val="3ADB7C96"/>
    <w:rsid w:val="3BB04D60"/>
    <w:rsid w:val="3BED2C50"/>
    <w:rsid w:val="3BFC3FDB"/>
    <w:rsid w:val="3C013AEF"/>
    <w:rsid w:val="3CCA6242"/>
    <w:rsid w:val="3CEC0180"/>
    <w:rsid w:val="3D317CFB"/>
    <w:rsid w:val="3D333223"/>
    <w:rsid w:val="3E6C046F"/>
    <w:rsid w:val="3E8B7104"/>
    <w:rsid w:val="3ED0469E"/>
    <w:rsid w:val="3F0D4CDF"/>
    <w:rsid w:val="3F2B07ED"/>
    <w:rsid w:val="3F6B04FB"/>
    <w:rsid w:val="3FFC5AEC"/>
    <w:rsid w:val="40207691"/>
    <w:rsid w:val="40670939"/>
    <w:rsid w:val="40B94C7A"/>
    <w:rsid w:val="40C946F8"/>
    <w:rsid w:val="413D21FB"/>
    <w:rsid w:val="41CF3D80"/>
    <w:rsid w:val="420E53DF"/>
    <w:rsid w:val="425759EC"/>
    <w:rsid w:val="426129D8"/>
    <w:rsid w:val="429066C1"/>
    <w:rsid w:val="42FE1BA9"/>
    <w:rsid w:val="432510B5"/>
    <w:rsid w:val="43476B48"/>
    <w:rsid w:val="43573315"/>
    <w:rsid w:val="43907DB5"/>
    <w:rsid w:val="4392081E"/>
    <w:rsid w:val="439D249C"/>
    <w:rsid w:val="43C52E54"/>
    <w:rsid w:val="441735B8"/>
    <w:rsid w:val="442268FD"/>
    <w:rsid w:val="445F11C3"/>
    <w:rsid w:val="445F5F22"/>
    <w:rsid w:val="4467423E"/>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79F37B7"/>
    <w:rsid w:val="481F5071"/>
    <w:rsid w:val="483B44C3"/>
    <w:rsid w:val="48C53338"/>
    <w:rsid w:val="4910453A"/>
    <w:rsid w:val="491D45E4"/>
    <w:rsid w:val="49FA5C62"/>
    <w:rsid w:val="4A374A77"/>
    <w:rsid w:val="4C791821"/>
    <w:rsid w:val="4D901930"/>
    <w:rsid w:val="4D9C1311"/>
    <w:rsid w:val="4DA13EFC"/>
    <w:rsid w:val="4DAA0ACB"/>
    <w:rsid w:val="4DCD369E"/>
    <w:rsid w:val="4E207F77"/>
    <w:rsid w:val="4E405E86"/>
    <w:rsid w:val="4E486F01"/>
    <w:rsid w:val="4F1C2BA7"/>
    <w:rsid w:val="4F717B9B"/>
    <w:rsid w:val="4F7E44A1"/>
    <w:rsid w:val="4FBD66D2"/>
    <w:rsid w:val="4FDE0035"/>
    <w:rsid w:val="503043E2"/>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7D6DAD"/>
    <w:rsid w:val="55D83CEB"/>
    <w:rsid w:val="56A37AD8"/>
    <w:rsid w:val="56CC5979"/>
    <w:rsid w:val="57034B85"/>
    <w:rsid w:val="57472184"/>
    <w:rsid w:val="589E16F5"/>
    <w:rsid w:val="589F63B4"/>
    <w:rsid w:val="58CE3EFA"/>
    <w:rsid w:val="59905774"/>
    <w:rsid w:val="599E59E1"/>
    <w:rsid w:val="59C82306"/>
    <w:rsid w:val="59E1598B"/>
    <w:rsid w:val="5A07397F"/>
    <w:rsid w:val="5A233488"/>
    <w:rsid w:val="5AE561D2"/>
    <w:rsid w:val="5B0315D4"/>
    <w:rsid w:val="5B0E5F58"/>
    <w:rsid w:val="5B180F7F"/>
    <w:rsid w:val="5C510837"/>
    <w:rsid w:val="5D8B09FB"/>
    <w:rsid w:val="5E82196D"/>
    <w:rsid w:val="5E9B4D4C"/>
    <w:rsid w:val="5EE14150"/>
    <w:rsid w:val="5F2239B1"/>
    <w:rsid w:val="5F584AF9"/>
    <w:rsid w:val="5F592FD8"/>
    <w:rsid w:val="5FDC4991"/>
    <w:rsid w:val="601D7135"/>
    <w:rsid w:val="60594271"/>
    <w:rsid w:val="606969FB"/>
    <w:rsid w:val="60FD6A51"/>
    <w:rsid w:val="61964204"/>
    <w:rsid w:val="621F016F"/>
    <w:rsid w:val="624D3045"/>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8D6A74"/>
    <w:rsid w:val="6AA1155F"/>
    <w:rsid w:val="6ACE054E"/>
    <w:rsid w:val="6AF16947"/>
    <w:rsid w:val="6B2973E9"/>
    <w:rsid w:val="6B6F5E3A"/>
    <w:rsid w:val="6BB460E2"/>
    <w:rsid w:val="6BEB4471"/>
    <w:rsid w:val="6C164FA6"/>
    <w:rsid w:val="6C311483"/>
    <w:rsid w:val="6C4130FD"/>
    <w:rsid w:val="6C4B028D"/>
    <w:rsid w:val="6C95291B"/>
    <w:rsid w:val="6C9B7DB3"/>
    <w:rsid w:val="6CAB2D78"/>
    <w:rsid w:val="6DAA7E7A"/>
    <w:rsid w:val="6E750E3C"/>
    <w:rsid w:val="6E915828"/>
    <w:rsid w:val="6F1A5A2C"/>
    <w:rsid w:val="6F3C54D1"/>
    <w:rsid w:val="6FBC358D"/>
    <w:rsid w:val="6FE710F1"/>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30C28BA"/>
    <w:rsid w:val="73133219"/>
    <w:rsid w:val="73AB6FCB"/>
    <w:rsid w:val="73B63B41"/>
    <w:rsid w:val="73BC27AF"/>
    <w:rsid w:val="73FD0A4F"/>
    <w:rsid w:val="74F37794"/>
    <w:rsid w:val="756E6B34"/>
    <w:rsid w:val="75F82DC6"/>
    <w:rsid w:val="76191CEE"/>
    <w:rsid w:val="76A5521A"/>
    <w:rsid w:val="76E23986"/>
    <w:rsid w:val="770A5A76"/>
    <w:rsid w:val="775E62AF"/>
    <w:rsid w:val="779A2B2D"/>
    <w:rsid w:val="77D906E2"/>
    <w:rsid w:val="77DF6BBA"/>
    <w:rsid w:val="782920CD"/>
    <w:rsid w:val="78415904"/>
    <w:rsid w:val="784B3700"/>
    <w:rsid w:val="78934371"/>
    <w:rsid w:val="78B20FFE"/>
    <w:rsid w:val="78C5681C"/>
    <w:rsid w:val="79750FA5"/>
    <w:rsid w:val="799034D8"/>
    <w:rsid w:val="79997DD2"/>
    <w:rsid w:val="79A807A2"/>
    <w:rsid w:val="79C95DCF"/>
    <w:rsid w:val="79D00547"/>
    <w:rsid w:val="79FA0E27"/>
    <w:rsid w:val="79FA5671"/>
    <w:rsid w:val="79FD5E30"/>
    <w:rsid w:val="7A320CF1"/>
    <w:rsid w:val="7B772498"/>
    <w:rsid w:val="7B9C71D5"/>
    <w:rsid w:val="7BAB5164"/>
    <w:rsid w:val="7BAD01C9"/>
    <w:rsid w:val="7BC66859"/>
    <w:rsid w:val="7BE81934"/>
    <w:rsid w:val="7C08172E"/>
    <w:rsid w:val="7C3B6AD3"/>
    <w:rsid w:val="7C3D2061"/>
    <w:rsid w:val="7C3E4691"/>
    <w:rsid w:val="7C7846C0"/>
    <w:rsid w:val="7C956391"/>
    <w:rsid w:val="7CA80A80"/>
    <w:rsid w:val="7D4B4B42"/>
    <w:rsid w:val="7D4E6070"/>
    <w:rsid w:val="7D6C38B7"/>
    <w:rsid w:val="7D747F20"/>
    <w:rsid w:val="7DAA0228"/>
    <w:rsid w:val="7DE0615E"/>
    <w:rsid w:val="7E044AA8"/>
    <w:rsid w:val="7E3B1311"/>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Body Text"/>
    <w:basedOn w:val="1"/>
    <w:qFormat/>
    <w:uiPriority w:val="0"/>
    <w:pPr>
      <w:spacing w:before="93" w:beforeLines="30"/>
    </w:pPr>
    <w:rPr>
      <w:rFonts w:ascii="仿宋_GB2312" w:eastAsia="仿宋_GB2312"/>
      <w:sz w:val="3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color w:val="0000FF"/>
      <w:u w:val="none"/>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0">
    <w:name w:val="15"/>
    <w:basedOn w:val="13"/>
    <w:uiPriority w:val="0"/>
    <w:rPr>
      <w:rFonts w:hint="default" w:ascii="Calibri" w:hAnsi="Calibri" w:cs="Calibri"/>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2023-10-25T08:34:27Z</cp:lastPrinted>
  <dcterms:modified xsi:type="dcterms:W3CDTF">2023-10-25T08:44:12Z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