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bookmarkStart w:id="0" w:name="_Toc15306267"/>
    </w:p>
    <w:p/>
    <w:p/>
    <w:p/>
    <w:p>
      <w:pPr>
        <w:adjustRightInd w:val="0"/>
        <w:snapToGrid w:val="0"/>
        <w:spacing w:line="360" w:lineRule="auto"/>
        <w:ind w:firstLine="0" w:firstLineChars="0"/>
        <w:jc w:val="center"/>
        <w:outlineLvl w:val="0"/>
        <w:rPr>
          <w:rFonts w:ascii="方正小标宋简体" w:hAnsi="黑体" w:eastAsia="方正小标宋简体"/>
          <w:sz w:val="44"/>
          <w:szCs w:val="44"/>
        </w:rPr>
      </w:pPr>
      <w:bookmarkStart w:id="1" w:name="_Toc15396597"/>
      <w:bookmarkStart w:id="2" w:name="_Toc15377193"/>
      <w:bookmarkStart w:id="3" w:name="_Toc15377425"/>
      <w:bookmarkStart w:id="4" w:name="_Toc15378441"/>
      <w:bookmarkStart w:id="5" w:name="_Toc15396475"/>
      <w:r>
        <w:rPr>
          <w:rFonts w:hint="eastAsia" w:ascii="方正小标宋简体" w:hAnsi="黑体" w:eastAsia="方正小标宋简体"/>
          <w:sz w:val="44"/>
          <w:szCs w:val="44"/>
        </w:rPr>
        <w:t>2018年度</w:t>
      </w:r>
      <w:bookmarkEnd w:id="1"/>
      <w:bookmarkEnd w:id="2"/>
      <w:bookmarkEnd w:id="3"/>
      <w:bookmarkEnd w:id="4"/>
      <w:bookmarkEnd w:id="5"/>
    </w:p>
    <w:p>
      <w:pPr>
        <w:adjustRightInd w:val="0"/>
        <w:snapToGrid w:val="0"/>
        <w:spacing w:line="360" w:lineRule="auto"/>
        <w:ind w:firstLine="0" w:firstLineChars="0"/>
        <w:jc w:val="center"/>
        <w:outlineLvl w:val="0"/>
        <w:rPr>
          <w:rFonts w:ascii="方正小标宋简体" w:hAnsi="黑体" w:eastAsia="方正小标宋简体"/>
          <w:sz w:val="44"/>
          <w:szCs w:val="44"/>
        </w:rPr>
      </w:pPr>
      <w:bookmarkStart w:id="6" w:name="_Toc15377426"/>
      <w:bookmarkStart w:id="7" w:name="_Toc15377194"/>
      <w:bookmarkStart w:id="8" w:name="_Toc15396476"/>
      <w:bookmarkStart w:id="9" w:name="_Toc15396598"/>
      <w:bookmarkStart w:id="10" w:name="_Toc15378442"/>
      <w:r>
        <w:rPr>
          <w:rFonts w:hint="eastAsia" w:ascii="方正小标宋简体" w:hAnsi="黑体" w:eastAsia="方正小标宋简体"/>
          <w:sz w:val="44"/>
          <w:szCs w:val="44"/>
        </w:rPr>
        <w:t>四川省</w:t>
      </w:r>
      <w:bookmarkEnd w:id="0"/>
      <w:bookmarkStart w:id="11" w:name="_Toc15306268"/>
      <w:r>
        <w:rPr>
          <w:rFonts w:hint="eastAsia" w:ascii="方正小标宋简体" w:hAnsi="黑体" w:eastAsia="方正小标宋简体"/>
          <w:sz w:val="44"/>
          <w:szCs w:val="44"/>
        </w:rPr>
        <w:t>红原县委统一战线工作部</w:t>
      </w:r>
    </w:p>
    <w:p>
      <w:pPr>
        <w:adjustRightInd w:val="0"/>
        <w:snapToGrid w:val="0"/>
        <w:spacing w:line="360" w:lineRule="auto"/>
        <w:ind w:firstLine="0" w:firstLineChars="0"/>
        <w:jc w:val="center"/>
        <w:outlineLvl w:val="0"/>
        <w:rPr>
          <w:rFonts w:ascii="方正小标宋简体" w:hAnsi="黑体" w:eastAsia="方正小标宋简体"/>
          <w:sz w:val="44"/>
          <w:szCs w:val="44"/>
        </w:rPr>
      </w:pPr>
      <w:r>
        <w:rPr>
          <w:rFonts w:hint="eastAsia" w:ascii="方正小标宋简体" w:hAnsi="黑体" w:eastAsia="方正小标宋简体"/>
          <w:sz w:val="44"/>
          <w:szCs w:val="44"/>
        </w:rPr>
        <w:t>部门决算</w:t>
      </w:r>
      <w:bookmarkEnd w:id="6"/>
      <w:bookmarkEnd w:id="7"/>
      <w:bookmarkEnd w:id="8"/>
      <w:bookmarkEnd w:id="9"/>
      <w:bookmarkEnd w:id="10"/>
      <w:bookmarkEnd w:id="11"/>
    </w:p>
    <w:p>
      <w:pPr>
        <w:widowControl/>
        <w:spacing w:line="240" w:lineRule="auto"/>
        <w:ind w:firstLine="0" w:firstLineChars="0"/>
        <w:jc w:val="center"/>
        <w:rPr>
          <w:rFonts w:ascii="黑体" w:hAnsi="黑体" w:eastAsia="黑体"/>
          <w:sz w:val="30"/>
          <w:szCs w:val="30"/>
        </w:rPr>
      </w:pPr>
      <w:r>
        <w:rPr>
          <w:rFonts w:ascii="方正小标宋简体" w:hAnsi="宋体" w:eastAsia="方正小标宋简体"/>
          <w:sz w:val="36"/>
          <w:szCs w:val="36"/>
        </w:rPr>
        <w:br w:type="page"/>
      </w:r>
      <w:r>
        <w:rPr>
          <w:rFonts w:hint="eastAsia" w:ascii="黑体" w:hAnsi="黑体" w:eastAsia="黑体"/>
          <w:sz w:val="30"/>
          <w:szCs w:val="30"/>
        </w:rPr>
        <w:t>目   录</w:t>
      </w:r>
    </w:p>
    <w:p>
      <w:pPr>
        <w:widowControl/>
        <w:spacing w:line="240" w:lineRule="auto"/>
        <w:ind w:firstLine="0" w:firstLineChars="0"/>
        <w:rPr>
          <w:rFonts w:ascii="黑体" w:hAnsi="黑体" w:eastAsia="黑体"/>
          <w:sz w:val="30"/>
          <w:szCs w:val="30"/>
        </w:rPr>
      </w:pPr>
      <w:r>
        <w:rPr>
          <w:rFonts w:hint="eastAsia" w:ascii="黑体" w:hAnsi="黑体" w:eastAsia="黑体"/>
          <w:sz w:val="30"/>
          <w:szCs w:val="30"/>
        </w:rPr>
        <w:fldChar w:fldCharType="begin"/>
      </w:r>
      <w:r>
        <w:rPr>
          <w:rFonts w:hint="eastAsia" w:ascii="黑体" w:hAnsi="黑体" w:eastAsia="黑体"/>
          <w:sz w:val="30"/>
          <w:szCs w:val="30"/>
        </w:rPr>
        <w:instrText xml:space="preserve"> TOC \o "1-2" \h \z \u </w:instrText>
      </w:r>
      <w:r>
        <w:rPr>
          <w:rFonts w:hint="eastAsia" w:ascii="黑体" w:hAnsi="黑体" w:eastAsia="黑体"/>
          <w:sz w:val="30"/>
          <w:szCs w:val="30"/>
        </w:rPr>
        <w:fldChar w:fldCharType="separate"/>
      </w:r>
    </w:p>
    <w:p>
      <w:pPr>
        <w:pStyle w:val="12"/>
        <w:spacing w:line="240" w:lineRule="auto"/>
        <w:ind w:firstLine="0" w:firstLineChars="0"/>
        <w:jc w:val="left"/>
      </w:pPr>
    </w:p>
    <w:p>
      <w:pPr>
        <w:pStyle w:val="12"/>
        <w:spacing w:line="240" w:lineRule="auto"/>
        <w:ind w:firstLine="3200" w:firstLineChars="1000"/>
        <w:jc w:val="left"/>
        <w:rPr>
          <w:sz w:val="32"/>
          <w:szCs w:val="32"/>
        </w:rPr>
      </w:pPr>
      <w:r>
        <w:rPr>
          <w:sz w:val="32"/>
          <w:szCs w:val="32"/>
        </w:rPr>
        <w:fldChar w:fldCharType="begin"/>
      </w:r>
      <w:r>
        <w:rPr>
          <w:sz w:val="32"/>
          <w:szCs w:val="32"/>
        </w:rPr>
        <w:instrText xml:space="preserve"> HYPERLINK \l "_Toc15396599" </w:instrText>
      </w:r>
      <w:r>
        <w:rPr>
          <w:sz w:val="32"/>
          <w:szCs w:val="32"/>
        </w:rPr>
        <w:fldChar w:fldCharType="separate"/>
      </w:r>
      <w:r>
        <w:rPr>
          <w:rFonts w:hint="eastAsia"/>
          <w:sz w:val="32"/>
          <w:szCs w:val="32"/>
        </w:rPr>
        <w:t>第一部分 部门概况</w:t>
      </w:r>
      <w:r>
        <w:rPr>
          <w:rFonts w:hint="eastAsia"/>
          <w:sz w:val="32"/>
          <w:szCs w:val="32"/>
        </w:rPr>
        <w:fldChar w:fldCharType="end"/>
      </w:r>
    </w:p>
    <w:p>
      <w:pPr>
        <w:pStyle w:val="12"/>
        <w:tabs>
          <w:tab w:val="left" w:pos="6884"/>
          <w:tab w:val="clear" w:pos="8296"/>
        </w:tabs>
        <w:spacing w:line="240" w:lineRule="auto"/>
        <w:ind w:firstLine="0" w:firstLineChars="0"/>
        <w:jc w:val="left"/>
        <w:rPr>
          <w:sz w:val="32"/>
          <w:szCs w:val="32"/>
        </w:rPr>
      </w:pPr>
      <w:r>
        <w:rPr>
          <w:sz w:val="32"/>
          <w:szCs w:val="32"/>
        </w:rPr>
        <w:fldChar w:fldCharType="begin"/>
      </w:r>
      <w:r>
        <w:rPr>
          <w:sz w:val="32"/>
          <w:szCs w:val="32"/>
        </w:rPr>
        <w:instrText xml:space="preserve"> HYPERLINK \l "_Toc15396600" </w:instrText>
      </w:r>
      <w:r>
        <w:rPr>
          <w:sz w:val="32"/>
          <w:szCs w:val="32"/>
        </w:rPr>
        <w:fldChar w:fldCharType="separate"/>
      </w:r>
      <w:r>
        <w:rPr>
          <w:rFonts w:hint="eastAsia"/>
          <w:sz w:val="32"/>
          <w:szCs w:val="32"/>
        </w:rPr>
        <w:t>一、基本职能及主要工作</w:t>
      </w:r>
      <w:r>
        <w:rPr>
          <w:rFonts w:hint="eastAsia"/>
          <w:sz w:val="32"/>
          <w:szCs w:val="32"/>
        </w:rPr>
        <w:fldChar w:fldCharType="end"/>
      </w:r>
      <w:r>
        <w:rPr>
          <w:rFonts w:hint="eastAsia"/>
          <w:sz w:val="32"/>
          <w:szCs w:val="32"/>
        </w:rPr>
        <w:tab/>
      </w:r>
    </w:p>
    <w:p>
      <w:pPr>
        <w:widowControl/>
        <w:spacing w:line="240" w:lineRule="auto"/>
        <w:ind w:right="-1472" w:rightChars="-460" w:firstLine="0" w:firstLineChars="0"/>
        <w:rPr>
          <w:rStyle w:val="35"/>
          <w:rFonts w:ascii="仿宋" w:hAnsi="仿宋" w:eastAsia="仿宋"/>
          <w:b w:val="0"/>
          <w:bCs w:val="0"/>
        </w:rPr>
      </w:pPr>
      <w:r>
        <w:fldChar w:fldCharType="begin"/>
      </w:r>
      <w:r>
        <w:instrText xml:space="preserve"> HYPERLINK \l "_Toc15396601" </w:instrText>
      </w:r>
      <w:r>
        <w:fldChar w:fldCharType="separate"/>
      </w:r>
      <w:r>
        <w:rPr>
          <w:rStyle w:val="35"/>
          <w:rFonts w:hint="eastAsia" w:ascii="仿宋" w:hAnsi="仿宋" w:eastAsia="仿宋"/>
          <w:b w:val="0"/>
          <w:bCs w:val="0"/>
        </w:rPr>
        <w:t>二、机构设置</w:t>
      </w:r>
      <w:r>
        <w:rPr>
          <w:rStyle w:val="35"/>
          <w:rFonts w:hint="eastAsia" w:ascii="仿宋" w:hAnsi="仿宋" w:eastAsia="仿宋"/>
          <w:b w:val="0"/>
          <w:bCs w:val="0"/>
        </w:rPr>
        <w:fldChar w:fldCharType="end"/>
      </w:r>
    </w:p>
    <w:p>
      <w:pPr>
        <w:widowControl/>
        <w:spacing w:line="240" w:lineRule="auto"/>
        <w:ind w:firstLine="1600" w:firstLineChars="500"/>
        <w:rPr>
          <w:rStyle w:val="35"/>
          <w:rFonts w:ascii="仿宋" w:hAnsi="仿宋" w:eastAsia="仿宋"/>
          <w:b w:val="0"/>
          <w:bCs w:val="0"/>
        </w:rPr>
      </w:pPr>
      <w:r>
        <w:fldChar w:fldCharType="begin"/>
      </w:r>
      <w:r>
        <w:instrText xml:space="preserve"> HYPERLINK \l "_Toc15396602" </w:instrText>
      </w:r>
      <w:r>
        <w:fldChar w:fldCharType="separate"/>
      </w:r>
      <w:r>
        <w:rPr>
          <w:rStyle w:val="35"/>
          <w:rFonts w:hint="eastAsia" w:ascii="仿宋" w:hAnsi="仿宋" w:eastAsia="仿宋"/>
          <w:b w:val="0"/>
          <w:bCs w:val="0"/>
        </w:rPr>
        <w:t>第二部分 2018年度部门决算情况说明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"_Toc15396603" </w:instrText>
      </w:r>
      <w:r>
        <w:fldChar w:fldCharType="separate"/>
      </w:r>
      <w:r>
        <w:rPr>
          <w:rStyle w:val="35"/>
          <w:rFonts w:hint="eastAsia" w:ascii="仿宋" w:hAnsi="仿宋" w:eastAsia="仿宋"/>
          <w:b w:val="0"/>
          <w:bCs w:val="0"/>
        </w:rPr>
        <w:t>一、收入支出决算总体情况说明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"_Toc15396604" </w:instrText>
      </w:r>
      <w:r>
        <w:fldChar w:fldCharType="separate"/>
      </w:r>
      <w:r>
        <w:rPr>
          <w:rStyle w:val="35"/>
          <w:rFonts w:hint="eastAsia" w:ascii="仿宋" w:hAnsi="仿宋" w:eastAsia="仿宋"/>
          <w:b w:val="0"/>
          <w:bCs w:val="0"/>
        </w:rPr>
        <w:t>二、收入决算情况说明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"_Toc15396605" </w:instrText>
      </w:r>
      <w:r>
        <w:fldChar w:fldCharType="separate"/>
      </w:r>
      <w:r>
        <w:rPr>
          <w:rStyle w:val="35"/>
          <w:rFonts w:hint="eastAsia" w:ascii="仿宋" w:hAnsi="仿宋" w:eastAsia="仿宋"/>
          <w:b w:val="0"/>
          <w:bCs w:val="0"/>
        </w:rPr>
        <w:t>三、支出决算情况说明</w:t>
      </w:r>
      <w:r>
        <w:rPr>
          <w:rStyle w:val="35"/>
          <w:rFonts w:hint="eastAsia" w:ascii="仿宋" w:hAnsi="仿宋" w:eastAsia="仿宋"/>
          <w:b w:val="0"/>
          <w:bCs w:val="0"/>
        </w:rPr>
        <w:fldChar w:fldCharType="end"/>
      </w:r>
    </w:p>
    <w:p>
      <w:pPr>
        <w:widowControl/>
        <w:spacing w:line="240" w:lineRule="auto"/>
        <w:ind w:firstLine="0" w:firstLineChars="0"/>
        <w:jc w:val="both"/>
        <w:rPr>
          <w:rStyle w:val="35"/>
          <w:rFonts w:ascii="仿宋" w:hAnsi="仿宋" w:eastAsia="仿宋"/>
          <w:b w:val="0"/>
          <w:bCs w:val="0"/>
        </w:rPr>
      </w:pPr>
      <w:r>
        <w:fldChar w:fldCharType="begin"/>
      </w:r>
      <w:r>
        <w:instrText xml:space="preserve"> HYPERLINK \l "_Toc15396606" </w:instrText>
      </w:r>
      <w:r>
        <w:fldChar w:fldCharType="separate"/>
      </w:r>
      <w:r>
        <w:rPr>
          <w:rStyle w:val="35"/>
          <w:rFonts w:hint="eastAsia" w:ascii="仿宋" w:hAnsi="仿宋" w:eastAsia="仿宋"/>
          <w:b w:val="0"/>
          <w:bCs w:val="0"/>
        </w:rPr>
        <w:t>四、财政拨款收入支出决算总体情况说明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"_Toc15396607" </w:instrText>
      </w:r>
      <w:r>
        <w:fldChar w:fldCharType="separate"/>
      </w:r>
      <w:r>
        <w:rPr>
          <w:rStyle w:val="35"/>
          <w:rFonts w:hint="eastAsia" w:ascii="仿宋" w:hAnsi="仿宋" w:eastAsia="仿宋"/>
          <w:b w:val="0"/>
          <w:bCs w:val="0"/>
        </w:rPr>
        <w:t>五、一般公共预算财政拨款支出决算情况说明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"_Toc15396608" </w:instrText>
      </w:r>
      <w:r>
        <w:fldChar w:fldCharType="separate"/>
      </w:r>
      <w:r>
        <w:rPr>
          <w:rStyle w:val="35"/>
          <w:rFonts w:hint="eastAsia" w:ascii="仿宋" w:hAnsi="仿宋" w:eastAsia="仿宋"/>
          <w:b w:val="0"/>
          <w:bCs w:val="0"/>
        </w:rPr>
        <w:t>六、一般公共预算财政拨款基本支出决算情况说明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"_Toc15396609" </w:instrText>
      </w:r>
      <w:r>
        <w:fldChar w:fldCharType="separate"/>
      </w:r>
      <w:r>
        <w:rPr>
          <w:rStyle w:val="35"/>
          <w:rFonts w:hint="eastAsia" w:ascii="仿宋" w:hAnsi="仿宋" w:eastAsia="仿宋"/>
          <w:b w:val="0"/>
          <w:bCs w:val="0"/>
        </w:rPr>
        <w:t>七、“三公”经费财政拨款支出决算情况说明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"_Toc15396610" </w:instrText>
      </w:r>
      <w:r>
        <w:fldChar w:fldCharType="separate"/>
      </w:r>
      <w:r>
        <w:rPr>
          <w:rStyle w:val="35"/>
          <w:rFonts w:hint="eastAsia" w:ascii="仿宋" w:hAnsi="仿宋" w:eastAsia="仿宋"/>
          <w:b w:val="0"/>
          <w:bCs w:val="0"/>
        </w:rPr>
        <w:t>八、政府性基金预算支出决算情况说明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"_Toc15396611" </w:instrText>
      </w:r>
      <w:r>
        <w:fldChar w:fldCharType="separate"/>
      </w:r>
      <w:r>
        <w:rPr>
          <w:rStyle w:val="35"/>
          <w:rFonts w:hint="eastAsia" w:ascii="仿宋" w:hAnsi="仿宋" w:eastAsia="仿宋"/>
          <w:b w:val="0"/>
          <w:bCs w:val="0"/>
        </w:rPr>
        <w:t>九、 国有资本经营预算支出决算情况说明</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"_Toc15396612" </w:instrText>
      </w:r>
      <w:r>
        <w:fldChar w:fldCharType="separate"/>
      </w:r>
      <w:r>
        <w:rPr>
          <w:rStyle w:val="35"/>
          <w:rFonts w:hint="eastAsia" w:ascii="仿宋" w:hAnsi="仿宋" w:eastAsia="仿宋"/>
          <w:b w:val="0"/>
          <w:bCs w:val="0"/>
        </w:rPr>
        <w:t>十一、其他重要事项的情况说明</w:t>
      </w:r>
      <w:r>
        <w:rPr>
          <w:rStyle w:val="35"/>
          <w:rFonts w:hint="eastAsia" w:ascii="仿宋" w:hAnsi="仿宋" w:eastAsia="仿宋"/>
          <w:b w:val="0"/>
          <w:bCs w:val="0"/>
        </w:rPr>
        <w:fldChar w:fldCharType="end"/>
      </w:r>
    </w:p>
    <w:p>
      <w:pPr>
        <w:widowControl/>
        <w:spacing w:line="240" w:lineRule="auto"/>
        <w:ind w:left="0" w:leftChars="0" w:firstLine="0" w:firstLineChars="0"/>
        <w:rPr>
          <w:rStyle w:val="35"/>
          <w:rFonts w:ascii="仿宋" w:hAnsi="仿宋" w:eastAsia="仿宋"/>
          <w:b w:val="0"/>
          <w:bCs w:val="0"/>
        </w:rPr>
      </w:pPr>
      <w:r>
        <w:fldChar w:fldCharType="begin"/>
      </w:r>
      <w:r>
        <w:instrText xml:space="preserve"> HYPERLINK \l "_Toc15396613" </w:instrText>
      </w:r>
      <w:r>
        <w:fldChar w:fldCharType="separate"/>
      </w:r>
      <w:r>
        <w:rPr>
          <w:rStyle w:val="35"/>
          <w:rFonts w:hint="eastAsia" w:ascii="仿宋" w:hAnsi="仿宋" w:eastAsia="仿宋"/>
          <w:b w:val="0"/>
          <w:bCs w:val="0"/>
        </w:rPr>
        <w:t>第三部分 名词解释</w:t>
      </w:r>
      <w:r>
        <w:rPr>
          <w:rStyle w:val="35"/>
          <w:rFonts w:hint="eastAsia" w:ascii="仿宋" w:hAnsi="仿宋" w:eastAsia="仿宋"/>
          <w:b w:val="0"/>
          <w:bCs w:val="0"/>
        </w:rPr>
        <w:fldChar w:fldCharType="end"/>
      </w:r>
    </w:p>
    <w:p>
      <w:pPr>
        <w:widowControl/>
        <w:spacing w:line="240" w:lineRule="auto"/>
        <w:ind w:left="0" w:leftChars="0" w:firstLine="0" w:firstLineChars="0"/>
        <w:rPr>
          <w:rStyle w:val="35"/>
          <w:rFonts w:ascii="仿宋" w:hAnsi="仿宋" w:eastAsia="仿宋"/>
          <w:b w:val="0"/>
          <w:bCs w:val="0"/>
        </w:rPr>
      </w:pPr>
      <w:r>
        <w:fldChar w:fldCharType="begin"/>
      </w:r>
      <w:r>
        <w:instrText xml:space="preserve"> HYPERLINK \l "_Toc15396614" </w:instrText>
      </w:r>
      <w:r>
        <w:fldChar w:fldCharType="separate"/>
      </w:r>
      <w:r>
        <w:rPr>
          <w:rStyle w:val="35"/>
          <w:rFonts w:hint="eastAsia" w:ascii="仿宋" w:hAnsi="仿宋" w:eastAsia="仿宋"/>
          <w:b w:val="0"/>
          <w:bCs w:val="0"/>
        </w:rPr>
        <w:t>第四部分 附件</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"_Toc15396615" </w:instrText>
      </w:r>
      <w:r>
        <w:fldChar w:fldCharType="separate"/>
      </w:r>
      <w:r>
        <w:rPr>
          <w:rStyle w:val="35"/>
          <w:rFonts w:hint="eastAsia" w:ascii="仿宋" w:hAnsi="仿宋" w:eastAsia="仿宋"/>
          <w:b w:val="0"/>
          <w:bCs w:val="0"/>
        </w:rPr>
        <w:t>附件1</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fldChar w:fldCharType="begin"/>
      </w:r>
      <w:r>
        <w:instrText xml:space="preserve"> HYPERLINK \l "_Toc15396617" </w:instrText>
      </w:r>
      <w:r>
        <w:fldChar w:fldCharType="separate"/>
      </w:r>
      <w:r>
        <w:rPr>
          <w:rStyle w:val="35"/>
          <w:rFonts w:hint="eastAsia" w:ascii="仿宋" w:hAnsi="仿宋" w:eastAsia="仿宋"/>
          <w:b w:val="0"/>
          <w:bCs w:val="0"/>
        </w:rPr>
        <w:t>附件2</w:t>
      </w:r>
      <w:r>
        <w:rPr>
          <w:rStyle w:val="35"/>
          <w:rFonts w:hint="eastAsia" w:ascii="仿宋" w:hAnsi="仿宋" w:eastAsia="仿宋"/>
          <w:b w:val="0"/>
          <w:bCs w:val="0"/>
        </w:rPr>
        <w:fldChar w:fldCharType="end"/>
      </w:r>
    </w:p>
    <w:p>
      <w:pPr>
        <w:widowControl/>
        <w:spacing w:line="240" w:lineRule="auto"/>
        <w:ind w:left="0" w:leftChars="0" w:firstLine="0" w:firstLineChars="0"/>
        <w:rPr>
          <w:rStyle w:val="35"/>
          <w:rFonts w:ascii="仿宋" w:hAnsi="仿宋" w:eastAsia="仿宋"/>
          <w:b w:val="0"/>
          <w:bCs w:val="0"/>
        </w:rPr>
      </w:pPr>
      <w:r>
        <w:fldChar w:fldCharType="begin"/>
      </w:r>
      <w:r>
        <w:instrText xml:space="preserve"> HYPERLINK \l "_Toc15396618" </w:instrText>
      </w:r>
      <w:r>
        <w:fldChar w:fldCharType="separate"/>
      </w:r>
      <w:r>
        <w:rPr>
          <w:rStyle w:val="35"/>
          <w:rFonts w:hint="eastAsia" w:ascii="仿宋" w:hAnsi="仿宋" w:eastAsia="仿宋"/>
          <w:b w:val="0"/>
          <w:bCs w:val="0"/>
        </w:rPr>
        <w:t>第五部分 附表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一、</w:t>
      </w:r>
      <w:r>
        <w:fldChar w:fldCharType="begin"/>
      </w:r>
      <w:r>
        <w:instrText xml:space="preserve"> HYPERLINK \l "_Toc15396619" </w:instrText>
      </w:r>
      <w:r>
        <w:fldChar w:fldCharType="separate"/>
      </w:r>
      <w:r>
        <w:rPr>
          <w:rStyle w:val="35"/>
          <w:rFonts w:hint="eastAsia" w:ascii="仿宋" w:hAnsi="仿宋" w:eastAsia="仿宋"/>
          <w:b w:val="0"/>
          <w:bCs w:val="0"/>
        </w:rPr>
        <w:t>收入支出决算总表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二、</w:t>
      </w:r>
      <w:r>
        <w:fldChar w:fldCharType="begin"/>
      </w:r>
      <w:r>
        <w:instrText xml:space="preserve"> HYPERLINK \l "_Toc15396620" </w:instrText>
      </w:r>
      <w:r>
        <w:fldChar w:fldCharType="separate"/>
      </w:r>
      <w:r>
        <w:rPr>
          <w:rStyle w:val="35"/>
          <w:rFonts w:hint="eastAsia" w:ascii="仿宋" w:hAnsi="仿宋" w:eastAsia="仿宋"/>
          <w:b w:val="0"/>
          <w:bCs w:val="0"/>
        </w:rPr>
        <w:t>收入总表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三、</w:t>
      </w:r>
      <w:r>
        <w:fldChar w:fldCharType="begin"/>
      </w:r>
      <w:r>
        <w:instrText xml:space="preserve"> HYPERLINK \l "_Toc15396621" </w:instrText>
      </w:r>
      <w:r>
        <w:fldChar w:fldCharType="separate"/>
      </w:r>
      <w:r>
        <w:rPr>
          <w:rStyle w:val="35"/>
          <w:rFonts w:hint="eastAsia" w:ascii="仿宋" w:hAnsi="仿宋" w:eastAsia="仿宋"/>
          <w:b w:val="0"/>
          <w:bCs w:val="0"/>
        </w:rPr>
        <w:t>支出总表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四、</w:t>
      </w:r>
      <w:r>
        <w:fldChar w:fldCharType="begin"/>
      </w:r>
      <w:r>
        <w:instrText xml:space="preserve"> HYPERLINK \l "_Toc15396622" </w:instrText>
      </w:r>
      <w:r>
        <w:fldChar w:fldCharType="separate"/>
      </w:r>
      <w:r>
        <w:rPr>
          <w:rStyle w:val="35"/>
          <w:rFonts w:hint="eastAsia" w:ascii="仿宋" w:hAnsi="仿宋" w:eastAsia="仿宋"/>
          <w:b w:val="0"/>
          <w:bCs w:val="0"/>
        </w:rPr>
        <w:t>财政拨款收入支出决算总表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五、</w:t>
      </w:r>
      <w:r>
        <w:fldChar w:fldCharType="begin"/>
      </w:r>
      <w:r>
        <w:instrText xml:space="preserve"> HYPERLINK \l "_Toc15396623" </w:instrText>
      </w:r>
      <w:r>
        <w:fldChar w:fldCharType="separate"/>
      </w:r>
      <w:r>
        <w:rPr>
          <w:rStyle w:val="35"/>
          <w:rFonts w:hint="eastAsia" w:ascii="仿宋" w:hAnsi="仿宋" w:eastAsia="仿宋"/>
          <w:b w:val="0"/>
          <w:bCs w:val="0"/>
        </w:rPr>
        <w:t>财政拨款支出决算明细表（政府经济分类科目）</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六、</w:t>
      </w:r>
      <w:r>
        <w:fldChar w:fldCharType="begin"/>
      </w:r>
      <w:r>
        <w:instrText xml:space="preserve"> HYPERLINK \l "_Toc15396624" </w:instrText>
      </w:r>
      <w:r>
        <w:fldChar w:fldCharType="separate"/>
      </w:r>
      <w:r>
        <w:rPr>
          <w:rStyle w:val="35"/>
          <w:rFonts w:hint="eastAsia" w:ascii="仿宋" w:hAnsi="仿宋" w:eastAsia="仿宋"/>
          <w:b w:val="0"/>
          <w:bCs w:val="0"/>
        </w:rPr>
        <w:t>一般公共预算财政拨款支出决算表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七、</w:t>
      </w:r>
      <w:r>
        <w:fldChar w:fldCharType="begin"/>
      </w:r>
      <w:r>
        <w:instrText xml:space="preserve"> HYPERLINK \l "_Toc15396625" </w:instrText>
      </w:r>
      <w:r>
        <w:fldChar w:fldCharType="separate"/>
      </w:r>
      <w:r>
        <w:rPr>
          <w:rStyle w:val="35"/>
          <w:rFonts w:hint="eastAsia" w:ascii="仿宋" w:hAnsi="仿宋" w:eastAsia="仿宋"/>
          <w:b w:val="0"/>
          <w:bCs w:val="0"/>
        </w:rPr>
        <w:t>一般公共预算财政拨款支出决算明细表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八、</w:t>
      </w:r>
      <w:r>
        <w:fldChar w:fldCharType="begin"/>
      </w:r>
      <w:r>
        <w:instrText xml:space="preserve"> HYPERLINK \l "_Toc15396626" </w:instrText>
      </w:r>
      <w:r>
        <w:fldChar w:fldCharType="separate"/>
      </w:r>
      <w:r>
        <w:rPr>
          <w:rStyle w:val="35"/>
          <w:rFonts w:hint="eastAsia" w:ascii="仿宋" w:hAnsi="仿宋" w:eastAsia="仿宋"/>
          <w:b w:val="0"/>
          <w:bCs w:val="0"/>
        </w:rPr>
        <w:t>一般公共预算财政拨款基本支出决算表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九、</w:t>
      </w:r>
      <w:r>
        <w:fldChar w:fldCharType="begin"/>
      </w:r>
      <w:r>
        <w:instrText xml:space="preserve"> HYPERLINK \l "_Toc15396627" </w:instrText>
      </w:r>
      <w:r>
        <w:fldChar w:fldCharType="separate"/>
      </w:r>
      <w:r>
        <w:rPr>
          <w:rStyle w:val="35"/>
          <w:rFonts w:hint="eastAsia" w:ascii="仿宋" w:hAnsi="仿宋" w:eastAsia="仿宋"/>
          <w:b w:val="0"/>
          <w:bCs w:val="0"/>
        </w:rPr>
        <w:t>一般公共预算财政拨款项目支出决算表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十、</w:t>
      </w:r>
      <w:r>
        <w:fldChar w:fldCharType="begin"/>
      </w:r>
      <w:r>
        <w:instrText xml:space="preserve"> HYPERLINK \l "_Toc15396628" </w:instrText>
      </w:r>
      <w:r>
        <w:fldChar w:fldCharType="separate"/>
      </w:r>
      <w:r>
        <w:rPr>
          <w:rStyle w:val="35"/>
          <w:rFonts w:hint="eastAsia" w:ascii="仿宋" w:hAnsi="仿宋" w:eastAsia="仿宋"/>
          <w:b w:val="0"/>
          <w:bCs w:val="0"/>
        </w:rPr>
        <w:t>一般公共预算财政拨款“三公”经费支出决算表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十一、</w:t>
      </w:r>
      <w:r>
        <w:fldChar w:fldCharType="begin"/>
      </w:r>
      <w:r>
        <w:instrText xml:space="preserve"> HYPERLINK \l "_Toc15396629" </w:instrText>
      </w:r>
      <w:r>
        <w:fldChar w:fldCharType="separate"/>
      </w:r>
      <w:r>
        <w:rPr>
          <w:rStyle w:val="35"/>
          <w:rFonts w:hint="eastAsia" w:ascii="仿宋" w:hAnsi="仿宋" w:eastAsia="仿宋"/>
          <w:b w:val="0"/>
          <w:bCs w:val="0"/>
        </w:rPr>
        <w:t>政府性基金预算财政拨款收入支出决算表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十二、</w:t>
      </w:r>
      <w:r>
        <w:fldChar w:fldCharType="begin"/>
      </w:r>
      <w:r>
        <w:instrText xml:space="preserve"> HYPERLINK \l "_Toc15396630" </w:instrText>
      </w:r>
      <w:r>
        <w:fldChar w:fldCharType="separate"/>
      </w:r>
      <w:r>
        <w:rPr>
          <w:rStyle w:val="35"/>
          <w:rFonts w:hint="eastAsia" w:ascii="仿宋" w:hAnsi="仿宋" w:eastAsia="仿宋"/>
          <w:b w:val="0"/>
          <w:bCs w:val="0"/>
        </w:rPr>
        <w:t>政府性基金预算财政拨款“三公”经费支出决算表</w:t>
      </w:r>
      <w:r>
        <w:rPr>
          <w:rStyle w:val="35"/>
          <w:rFonts w:hint="eastAsia" w:ascii="仿宋" w:hAnsi="仿宋" w:eastAsia="仿宋"/>
          <w:b w:val="0"/>
          <w:bCs w:val="0"/>
        </w:rPr>
        <w:fldChar w:fldCharType="end"/>
      </w:r>
    </w:p>
    <w:p>
      <w:pPr>
        <w:widowControl/>
        <w:spacing w:line="240" w:lineRule="auto"/>
        <w:ind w:firstLine="0" w:firstLineChars="0"/>
        <w:rPr>
          <w:rStyle w:val="35"/>
          <w:rFonts w:ascii="仿宋" w:hAnsi="仿宋" w:eastAsia="仿宋"/>
          <w:b w:val="0"/>
          <w:bCs w:val="0"/>
        </w:rPr>
      </w:pPr>
      <w:r>
        <w:rPr>
          <w:rStyle w:val="35"/>
          <w:rFonts w:hint="eastAsia" w:ascii="仿宋" w:hAnsi="仿宋" w:eastAsia="仿宋"/>
          <w:b w:val="0"/>
          <w:bCs w:val="0"/>
        </w:rPr>
        <w:t>十三、</w:t>
      </w:r>
      <w:r>
        <w:fldChar w:fldCharType="begin"/>
      </w:r>
      <w:r>
        <w:instrText xml:space="preserve"> HYPERLINK \l "_Toc15396631" </w:instrText>
      </w:r>
      <w:r>
        <w:fldChar w:fldCharType="separate"/>
      </w:r>
      <w:r>
        <w:rPr>
          <w:rStyle w:val="35"/>
          <w:rFonts w:hint="eastAsia" w:ascii="仿宋" w:hAnsi="仿宋" w:eastAsia="仿宋"/>
          <w:b w:val="0"/>
          <w:bCs w:val="0"/>
        </w:rPr>
        <w:t>国有资本经营预算支出决算表</w:t>
      </w:r>
      <w:r>
        <w:rPr>
          <w:rStyle w:val="35"/>
          <w:rFonts w:hint="eastAsia" w:ascii="仿宋" w:hAnsi="仿宋" w:eastAsia="仿宋"/>
          <w:b w:val="0"/>
          <w:bCs w:val="0"/>
        </w:rPr>
        <w:fldChar w:fldCharType="end"/>
      </w:r>
    </w:p>
    <w:p>
      <w:pPr>
        <w:ind w:left="0" w:leftChars="0" w:firstLine="0" w:firstLineChars="0"/>
        <w:rPr>
          <w:rStyle w:val="35"/>
          <w:rFonts w:hint="eastAsia" w:ascii="仿宋" w:hAnsi="仿宋" w:eastAsia="仿宋"/>
          <w:b w:val="0"/>
          <w:bCs w:val="0"/>
          <w:lang w:val="en-US" w:eastAsia="zh-CN"/>
        </w:rPr>
      </w:pPr>
      <w:r>
        <w:rPr>
          <w:rStyle w:val="35"/>
          <w:rFonts w:hint="eastAsia" w:ascii="仿宋" w:hAnsi="仿宋" w:eastAsia="仿宋"/>
          <w:b w:val="0"/>
          <w:bCs w:val="0"/>
          <w:lang w:val="en-US" w:eastAsia="zh-CN"/>
        </w:rPr>
        <w:t>十四、整体支出绩效评价打分表</w:t>
      </w:r>
    </w:p>
    <w:p>
      <w:pPr>
        <w:ind w:left="0" w:leftChars="0" w:firstLine="0" w:firstLineChars="0"/>
        <w:rPr>
          <w:rStyle w:val="35"/>
          <w:rFonts w:hint="eastAsia" w:ascii="仿宋" w:hAnsi="仿宋" w:eastAsia="仿宋"/>
          <w:b w:val="0"/>
          <w:bCs w:val="0"/>
          <w:lang w:val="en-US" w:eastAsia="zh-CN"/>
        </w:rPr>
      </w:pPr>
      <w:r>
        <w:rPr>
          <w:rStyle w:val="35"/>
          <w:rFonts w:hint="eastAsia" w:ascii="仿宋" w:hAnsi="仿宋" w:eastAsia="仿宋"/>
          <w:b w:val="0"/>
          <w:bCs w:val="0"/>
          <w:lang w:val="en-US" w:eastAsia="zh-CN"/>
        </w:rPr>
        <w:t>十五、项目支出绩效评价打分表</w:t>
      </w:r>
    </w:p>
    <w:p>
      <w:pPr>
        <w:pStyle w:val="2"/>
        <w:ind w:left="0" w:leftChars="0" w:firstLine="0" w:firstLineChars="0"/>
      </w:pPr>
    </w:p>
    <w:p>
      <w:pPr>
        <w:widowControl/>
        <w:spacing w:line="240" w:lineRule="auto"/>
        <w:ind w:firstLine="0" w:firstLineChars="0"/>
        <w:jc w:val="center"/>
      </w:pPr>
      <w:r>
        <w:rPr>
          <w:rFonts w:hint="eastAsia" w:ascii="黑体" w:hAnsi="黑体" w:eastAsia="黑体"/>
          <w:sz w:val="30"/>
          <w:szCs w:val="30"/>
        </w:rPr>
        <w:fldChar w:fldCharType="end"/>
      </w:r>
    </w:p>
    <w:p>
      <w:pPr>
        <w:rPr>
          <w:kern w:val="44"/>
          <w:sz w:val="44"/>
          <w:szCs w:val="44"/>
        </w:rPr>
      </w:pPr>
      <w:bookmarkStart w:id="12" w:name="_Toc15377196"/>
      <w:bookmarkStart w:id="13" w:name="_Toc15396599"/>
      <w:r>
        <w:br w:type="page"/>
      </w:r>
    </w:p>
    <w:p>
      <w:pPr>
        <w:pStyle w:val="4"/>
        <w:pageBreakBefore w:val="0"/>
        <w:kinsoku/>
        <w:wordWrap/>
        <w:overflowPunct/>
        <w:topLinePunct w:val="0"/>
        <w:autoSpaceDE/>
        <w:bidi w:val="0"/>
        <w:spacing w:line="576" w:lineRule="exact"/>
        <w:ind w:left="0" w:leftChars="0" w:firstLine="880" w:firstLineChars="200"/>
        <w:jc w:val="center"/>
        <w:rPr>
          <w:rFonts w:hint="eastAsia" w:ascii="方正小标宋简体" w:hAnsi="方正小标宋简体" w:eastAsia="方正小标宋简体" w:cs="方正小标宋简体"/>
          <w:b w:val="0"/>
          <w:bCs/>
          <w:color w:val="auto"/>
        </w:rPr>
      </w:pPr>
      <w:r>
        <w:rPr>
          <w:rFonts w:hint="eastAsia" w:ascii="方正小标宋简体" w:hAnsi="方正小标宋简体" w:eastAsia="方正小标宋简体" w:cs="方正小标宋简体"/>
          <w:b w:val="0"/>
          <w:color w:val="auto"/>
        </w:rPr>
        <w:t xml:space="preserve">第一部分 </w:t>
      </w:r>
      <w:r>
        <w:rPr>
          <w:rFonts w:hint="eastAsia" w:ascii="方正小标宋简体" w:hAnsi="方正小标宋简体" w:eastAsia="方正小标宋简体" w:cs="方正小标宋简体"/>
          <w:b w:val="0"/>
          <w:bCs/>
          <w:color w:val="auto"/>
        </w:rPr>
        <w:t>部门概况</w:t>
      </w:r>
      <w:bookmarkEnd w:id="12"/>
      <w:bookmarkEnd w:id="13"/>
    </w:p>
    <w:p>
      <w:pPr>
        <w:pStyle w:val="5"/>
        <w:pageBreakBefore w:val="0"/>
        <w:widowControl w:val="0"/>
        <w:kinsoku/>
        <w:wordWrap/>
        <w:overflowPunct/>
        <w:topLinePunct w:val="0"/>
        <w:autoSpaceDE/>
        <w:autoSpaceDN/>
        <w:bidi w:val="0"/>
        <w:spacing w:before="0" w:after="0" w:line="576" w:lineRule="exact"/>
        <w:ind w:left="0" w:leftChars="0" w:firstLine="643" w:firstLineChars="200"/>
        <w:textAlignment w:val="auto"/>
        <w:rPr>
          <w:rStyle w:val="35"/>
          <w:rFonts w:ascii="仿宋" w:hAnsi="仿宋" w:eastAsia="仿宋"/>
          <w:b w:val="0"/>
          <w:bCs w:val="0"/>
        </w:rPr>
      </w:pPr>
      <w:bookmarkStart w:id="14" w:name="_Toc15396600"/>
      <w:bookmarkStart w:id="15" w:name="_Toc15377197"/>
      <w:r>
        <w:rPr>
          <w:rFonts w:hint="eastAsia"/>
        </w:rPr>
        <w:t>一、基</w:t>
      </w:r>
      <w:r>
        <w:rPr>
          <w:rStyle w:val="35"/>
          <w:rFonts w:hint="eastAsia" w:ascii="黑体" w:hAnsi="黑体" w:eastAsia="黑体"/>
          <w:b w:val="0"/>
          <w:bCs w:val="0"/>
        </w:rPr>
        <w:t>本职能及主要工作</w:t>
      </w:r>
      <w:bookmarkEnd w:id="14"/>
      <w:bookmarkEnd w:id="15"/>
    </w:p>
    <w:p>
      <w:pPr>
        <w:pStyle w:val="7"/>
        <w:pageBreakBefore w:val="0"/>
        <w:widowControl w:val="0"/>
        <w:kinsoku/>
        <w:wordWrap/>
        <w:overflowPunct/>
        <w:topLinePunct w:val="0"/>
        <w:autoSpaceDE/>
        <w:autoSpaceDN/>
        <w:bidi w:val="0"/>
        <w:adjustRightInd w:val="0"/>
        <w:snapToGrid w:val="0"/>
        <w:spacing w:beforeLines="0" w:line="576" w:lineRule="exact"/>
        <w:ind w:left="0" w:leftChars="0" w:firstLine="643" w:firstLineChars="200"/>
        <w:textAlignment w:val="auto"/>
        <w:rPr>
          <w:rFonts w:ascii="宋体" w:hAnsi="宋体" w:eastAsia="宋体" w:cs="宋体"/>
          <w:bCs/>
          <w:kern w:val="2"/>
          <w:sz w:val="32"/>
        </w:rPr>
      </w:pPr>
      <w:bookmarkStart w:id="16" w:name="_Toc15377200"/>
      <w:bookmarkStart w:id="17" w:name="_Toc15396601"/>
      <w:r>
        <w:rPr>
          <w:rFonts w:hint="eastAsia" w:ascii="楷体_GB2312" w:hAnsi="楷体_GB2312" w:eastAsia="楷体_GB2312" w:cs="楷体_GB2312"/>
          <w:b/>
          <w:sz w:val="32"/>
        </w:rPr>
        <w:t>（一）主要职能。</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1、组织贯彻执行中央、省委、州委、县委关于统一战线的方针、政策；调查研究统一战线有关理论和政策；向县委反映情况，提出开展统战工作的意见和建议。</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负责调研、协调我县有关民族、宗教工作的政策；检查督促民族宗教政策的贯彻执行；联系少数民族和宗教界的代表人物；协助有关部门做好少数民族干部的培养和举荐工作；协调有关部门对达赖集团等国内外敌对势力分裂祖国的活动进行坚决的斗争；提出民族、宗教工作的建议或意见。</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负责联系我县无党派代表人士，及时通报情况、了解和反映他们的意见和建议；研究、贯彻、督促、检查党领导的多党合作、政治协商制度;发挥人民代表，政协委员参政议政和民主监督的职能。会同有关部门做好培养、选拔、推荐党外人士担任县政府、人大、政协及其工作部门行政领导的工作；做好党外后备干部的代表人物队伍建设工作。</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4、负责联系工商界；调查、研究并反映我县非公有制经济代表人物的情况、协调关系、研究并提出政策性建议；组织和推动社会各界、工商联及统一战线各个方面积极为经济建设服务。</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5、调查研究我县党外知识分子的情况，反映意见、协调关系，提出建议，联系并积极培养党外知识分子的代表人物。</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6、管理县对台办公室的工作。</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7、负责对国外藏胞工作办公室的业务管理。</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8、指导县工商联的工作。</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9、指导县佛教协会的工作。</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10、完成县委和州委统战部交办的其他工作。</w:t>
      </w:r>
    </w:p>
    <w:p>
      <w:pPr>
        <w:pStyle w:val="7"/>
        <w:pageBreakBefore w:val="0"/>
        <w:kinsoku/>
        <w:wordWrap/>
        <w:overflowPunct/>
        <w:topLinePunct w:val="0"/>
        <w:autoSpaceDE/>
        <w:bidi w:val="0"/>
        <w:adjustRightInd w:val="0"/>
        <w:snapToGrid w:val="0"/>
        <w:spacing w:before="93" w:line="576" w:lineRule="exact"/>
        <w:ind w:left="0" w:leftChars="0" w:firstLine="643" w:firstLineChars="200"/>
        <w:rPr>
          <w:rFonts w:ascii="楷体_GB2312" w:hAnsi="楷体_GB2312" w:eastAsia="楷体_GB2312" w:cs="楷体_GB2312"/>
          <w:b/>
          <w:sz w:val="32"/>
        </w:rPr>
      </w:pPr>
      <w:r>
        <w:rPr>
          <w:rFonts w:hint="eastAsia" w:ascii="楷体_GB2312" w:hAnsi="楷体_GB2312" w:eastAsia="楷体_GB2312" w:cs="楷体_GB2312"/>
          <w:b/>
          <w:sz w:val="32"/>
        </w:rPr>
        <w:t>（二）2018年重点工作完成情况。</w:t>
      </w:r>
    </w:p>
    <w:p>
      <w:pPr>
        <w:pageBreakBefore w:val="0"/>
        <w:kinsoku/>
        <w:wordWrap/>
        <w:overflowPunct/>
        <w:topLinePunct w:val="0"/>
        <w:autoSpaceDE/>
        <w:bidi w:val="0"/>
        <w:spacing w:line="576" w:lineRule="exact"/>
        <w:ind w:left="0" w:leftChars="0" w:firstLine="640" w:firstLineChars="200"/>
        <w:rPr>
          <w:rFonts w:ascii="楷体_GB2312" w:hAnsi="宋体" w:eastAsia="楷体_GB2312"/>
          <w:b/>
          <w:bCs/>
        </w:rPr>
      </w:pPr>
      <w:r>
        <w:rPr>
          <w:rFonts w:hint="eastAsia" w:ascii="仿宋_GB2312" w:hAnsi="仿宋_GB2312" w:eastAsia="仿宋_GB2312" w:cs="仿宋_GB2312"/>
          <w:b w:val="0"/>
          <w:bCs w:val="0"/>
        </w:rPr>
        <w:t>宗教工作</w:t>
      </w:r>
      <w:r>
        <w:rPr>
          <w:rFonts w:hint="eastAsia" w:ascii="仿宋_GB2312" w:hAnsi="仿宋_GB2312" w:eastAsia="仿宋_GB2312" w:cs="仿宋_GB2312"/>
          <w:b w:val="0"/>
          <w:bCs w:val="0"/>
          <w:kern w:val="0"/>
        </w:rPr>
        <w:t>坚持运</w:t>
      </w:r>
      <w:r>
        <w:rPr>
          <w:rFonts w:hint="eastAsia" w:hAnsi="仿宋"/>
          <w:kern w:val="0"/>
        </w:rPr>
        <w:t>用法治思维、法治方式开展宗教工作，</w:t>
      </w:r>
      <w:r>
        <w:rPr>
          <w:rFonts w:hint="eastAsia"/>
        </w:rPr>
        <w:t>创新</w:t>
      </w:r>
      <w:r>
        <w:t>举措、</w:t>
      </w:r>
      <w:r>
        <w:rPr>
          <w:rFonts w:hint="eastAsia"/>
        </w:rPr>
        <w:t>主动</w:t>
      </w:r>
      <w:r>
        <w:t>作为</w:t>
      </w:r>
      <w:r>
        <w:rPr>
          <w:rFonts w:hint="eastAsia"/>
        </w:rPr>
        <w:t>，</w:t>
      </w:r>
      <w:r>
        <w:rPr>
          <w:rFonts w:hint="eastAsia" w:hAnsi="仿宋_GB2312"/>
        </w:rPr>
        <w:t>寺庙管理工作取得了明显成效，</w:t>
      </w:r>
      <w:r>
        <w:rPr>
          <w:rFonts w:hint="eastAsia"/>
        </w:rPr>
        <w:t>为实现红原宗教和顺、僧众和睦、社会和谐奠定了坚实的基础。</w:t>
      </w:r>
    </w:p>
    <w:p>
      <w:pPr>
        <w:pageBreakBefore w:val="0"/>
        <w:kinsoku/>
        <w:wordWrap/>
        <w:overflowPunct/>
        <w:topLinePunct w:val="0"/>
        <w:autoSpaceDE/>
        <w:bidi w:val="0"/>
        <w:spacing w:line="576" w:lineRule="exact"/>
        <w:ind w:left="0" w:leftChars="0" w:firstLine="643" w:firstLineChars="200"/>
        <w:rPr>
          <w:rFonts w:ascii="楷体_GB2312" w:hAnsi="黑体" w:eastAsia="楷体_GB2312"/>
          <w:b/>
        </w:rPr>
      </w:pPr>
      <w:r>
        <w:rPr>
          <w:rFonts w:hint="eastAsia" w:ascii="楷体_GB2312" w:hAnsi="黑体" w:eastAsia="楷体_GB2312"/>
          <w:b/>
        </w:rPr>
        <w:t>1.突出精准导向，加强寺庙网格管理</w:t>
      </w:r>
    </w:p>
    <w:p>
      <w:pPr>
        <w:pageBreakBefore w:val="0"/>
        <w:kinsoku/>
        <w:wordWrap/>
        <w:overflowPunct/>
        <w:topLinePunct w:val="0"/>
        <w:autoSpaceDE/>
        <w:bidi w:val="0"/>
        <w:spacing w:line="576" w:lineRule="exact"/>
        <w:ind w:left="0" w:leftChars="0" w:firstLine="656" w:firstLineChars="200"/>
        <w:rPr>
          <w:rFonts w:hAnsi="仿宋_GB2312"/>
          <w:b/>
        </w:rPr>
      </w:pPr>
      <w:r>
        <w:rPr>
          <w:rFonts w:hint="eastAsia"/>
          <w:spacing w:val="4"/>
          <w:kern w:val="0"/>
        </w:rPr>
        <w:t>坚持以网格化精准服务管理为龙头，在全县10座寺庙划分24个网格，选任72名僧尼担任网格管理员、联络员、宣讲员，明确职责任务，落实寺庙自控责任，发挥好网格化管理作用，强化寺庙自我管理，积极构建寺庙社会化管理新模式。自主编制完成“红原县藏传佛教寺庙精准化服务管理软件和数据库系统”、“红原县</w:t>
      </w:r>
      <w:r>
        <w:rPr>
          <w:spacing w:val="4"/>
          <w:kern w:val="0"/>
        </w:rPr>
        <w:t>藏传佛教寺庙开放式管理系统</w:t>
      </w:r>
      <w:r>
        <w:rPr>
          <w:rFonts w:hint="eastAsia"/>
          <w:spacing w:val="4"/>
          <w:kern w:val="0"/>
        </w:rPr>
        <w:t>”，建设完成统战民宗、寺管会、乡镇寺管所、</w:t>
      </w:r>
      <w:r>
        <w:rPr>
          <w:spacing w:val="4"/>
          <w:kern w:val="0"/>
        </w:rPr>
        <w:t>寺庙民管会</w:t>
      </w:r>
      <w:r>
        <w:rPr>
          <w:rFonts w:hint="eastAsia"/>
          <w:spacing w:val="4"/>
          <w:kern w:val="0"/>
        </w:rPr>
        <w:t>分级计算机网络平台，通过系统平台全方位、全天候掌握寺庙动态，对寺庙人、场所、活动、财务、公共服务、宣传教育等实施精准管理，进一步提升了我县寺庙工作水平。</w:t>
      </w:r>
    </w:p>
    <w:p>
      <w:pPr>
        <w:pageBreakBefore w:val="0"/>
        <w:kinsoku/>
        <w:wordWrap/>
        <w:overflowPunct/>
        <w:topLinePunct w:val="0"/>
        <w:autoSpaceDE/>
        <w:bidi w:val="0"/>
        <w:spacing w:line="576" w:lineRule="exact"/>
        <w:ind w:left="0" w:leftChars="0" w:firstLine="643" w:firstLineChars="200"/>
        <w:rPr>
          <w:rFonts w:ascii="楷体_GB2312" w:hAnsi="黑体" w:eastAsia="楷体_GB2312"/>
          <w:b/>
        </w:rPr>
      </w:pPr>
      <w:r>
        <w:rPr>
          <w:rFonts w:hint="eastAsia" w:ascii="楷体_GB2312" w:hAnsi="黑体" w:eastAsia="楷体_GB2312"/>
          <w:b/>
        </w:rPr>
        <w:t>2</w:t>
      </w:r>
      <w:r>
        <w:rPr>
          <w:rFonts w:ascii="楷体_GB2312" w:hAnsi="黑体" w:eastAsia="楷体_GB2312"/>
          <w:b/>
        </w:rPr>
        <w:t>.</w:t>
      </w:r>
      <w:r>
        <w:rPr>
          <w:rFonts w:hint="eastAsia" w:ascii="楷体_GB2312" w:hAnsi="黑体" w:eastAsia="楷体_GB2312"/>
          <w:b/>
        </w:rPr>
        <w:t>突出法治导向，加强寺庙规范管理</w:t>
      </w:r>
    </w:p>
    <w:p>
      <w:pPr>
        <w:pageBreakBefore w:val="0"/>
        <w:kinsoku/>
        <w:wordWrap/>
        <w:overflowPunct/>
        <w:topLinePunct w:val="0"/>
        <w:autoSpaceDE/>
        <w:bidi w:val="0"/>
        <w:spacing w:line="576" w:lineRule="exact"/>
        <w:ind w:left="0" w:leftChars="0" w:firstLine="656" w:firstLineChars="200"/>
        <w:rPr>
          <w:rFonts w:ascii="仿宋" w:hAnsi="仿宋" w:eastAsia="仿宋"/>
        </w:rPr>
      </w:pPr>
      <w:r>
        <w:rPr>
          <w:rFonts w:hint="eastAsia"/>
          <w:spacing w:val="4"/>
          <w:kern w:val="0"/>
        </w:rPr>
        <w:t>建立健全《僧尼行为守则》、《入寺为僧管理办法》、《藏传佛教寺庙及僧尼服务信教群众管理办法》、《规范</w:t>
      </w:r>
      <w:r>
        <w:rPr>
          <w:spacing w:val="4"/>
          <w:kern w:val="0"/>
        </w:rPr>
        <w:t>宗教界</w:t>
      </w:r>
      <w:r>
        <w:rPr>
          <w:rFonts w:hint="eastAsia"/>
          <w:spacing w:val="4"/>
          <w:kern w:val="0"/>
        </w:rPr>
        <w:t>人士从事公益</w:t>
      </w:r>
      <w:r>
        <w:rPr>
          <w:spacing w:val="4"/>
          <w:kern w:val="0"/>
        </w:rPr>
        <w:t>慈善活动</w:t>
      </w:r>
      <w:r>
        <w:rPr>
          <w:rFonts w:hint="eastAsia"/>
          <w:spacing w:val="4"/>
          <w:kern w:val="0"/>
        </w:rPr>
        <w:t>的</w:t>
      </w:r>
      <w:r>
        <w:rPr>
          <w:spacing w:val="4"/>
          <w:kern w:val="0"/>
        </w:rPr>
        <w:t>实施</w:t>
      </w:r>
      <w:r>
        <w:rPr>
          <w:rFonts w:hint="eastAsia"/>
          <w:spacing w:val="4"/>
          <w:kern w:val="0"/>
        </w:rPr>
        <w:t>意见》等规章制度，有效规范僧尼行为。开展寺庙“一标三实”工作，建立了僧尼“一人一册”档案和计算机图文数据，对宗教教职人员实行动态化管理。开展严密防范参加境外法会工作，加强对辖区内常住、休假返乡、外来流动僧尼的管理，完善外来学经人员和异地学经人员的管理办法，定期全面检查，随时掌握动向。坚持对全县寺庙场所“四至界限”进行全面复查，杜绝寺庙越界占地、无序扩张。完成寺庙地形图、平面图、扎康分布图和寺庙规划图的绘制。对寺庙建筑物进行照相登记，实行“一屋一号一像”标准化管理模式。全面完成寺庙“天网”建设，常态开展寺庙财务、消防、广电、治安等方面的执法监管。逐年逐寺建立常规性佛事活动台账，严格执行重大佛事活动和非常规性佛事活动申请、风险评估制度，加强对佛事活动的备案审批和日常监管。活动期间，统战、民宗、寺庙管理机构、乡镇党委政府和辖区派出所提前介入、全程参与，强化对活动的组织、管理和协调，确保佛事活动依法、有序、安全开展。指导寺庙完善财务监督制度和内部监督机制，统一印发寺庙财务收支明细账薄和收支票据，集中培训寺庙财务人员，实现寺庙</w:t>
      </w:r>
      <w:r>
        <w:rPr>
          <w:spacing w:val="4"/>
          <w:kern w:val="0"/>
        </w:rPr>
        <w:t>财务</w:t>
      </w:r>
      <w:r>
        <w:rPr>
          <w:rFonts w:hint="eastAsia"/>
          <w:spacing w:val="4"/>
          <w:kern w:val="0"/>
        </w:rPr>
        <w:t>审计</w:t>
      </w:r>
      <w:r>
        <w:rPr>
          <w:spacing w:val="4"/>
          <w:kern w:val="0"/>
        </w:rPr>
        <w:t>全覆盖。</w:t>
      </w:r>
      <w:r>
        <w:rPr>
          <w:rFonts w:hint="eastAsia"/>
          <w:spacing w:val="4"/>
          <w:kern w:val="0"/>
        </w:rPr>
        <w:t>通过制度执行、规范管理、热情服务，达到了依法治寺管僧目的。</w:t>
      </w:r>
    </w:p>
    <w:p>
      <w:pPr>
        <w:pageBreakBefore w:val="0"/>
        <w:kinsoku/>
        <w:wordWrap/>
        <w:overflowPunct/>
        <w:topLinePunct w:val="0"/>
        <w:autoSpaceDE/>
        <w:bidi w:val="0"/>
        <w:spacing w:line="576" w:lineRule="exact"/>
        <w:ind w:left="0" w:leftChars="0" w:firstLine="643" w:firstLineChars="200"/>
        <w:rPr>
          <w:rFonts w:ascii="楷体_GB2312" w:hAnsi="黑体" w:eastAsia="楷体_GB2312"/>
          <w:b/>
        </w:rPr>
      </w:pPr>
      <w:r>
        <w:rPr>
          <w:rFonts w:hint="eastAsia" w:ascii="楷体_GB2312" w:hAnsi="黑体" w:eastAsia="楷体_GB2312"/>
          <w:b/>
        </w:rPr>
        <w:t>3</w:t>
      </w:r>
      <w:r>
        <w:rPr>
          <w:rFonts w:ascii="楷体_GB2312" w:hAnsi="黑体" w:eastAsia="楷体_GB2312"/>
          <w:b/>
        </w:rPr>
        <w:t>.</w:t>
      </w:r>
      <w:r>
        <w:rPr>
          <w:rFonts w:hint="eastAsia" w:ascii="楷体_GB2312" w:hAnsi="黑体" w:eastAsia="楷体_GB2312"/>
          <w:b/>
        </w:rPr>
        <w:t>突出政策导向，加强寺庙教育管理</w:t>
      </w:r>
    </w:p>
    <w:p>
      <w:pPr>
        <w:pageBreakBefore w:val="0"/>
        <w:kinsoku/>
        <w:wordWrap/>
        <w:overflowPunct/>
        <w:topLinePunct w:val="0"/>
        <w:autoSpaceDE/>
        <w:bidi w:val="0"/>
        <w:spacing w:line="576" w:lineRule="exact"/>
        <w:ind w:left="0" w:leftChars="0" w:firstLine="656" w:firstLineChars="200"/>
        <w:rPr>
          <w:spacing w:val="4"/>
          <w:kern w:val="0"/>
        </w:rPr>
      </w:pPr>
      <w:r>
        <w:rPr>
          <w:rFonts w:hint="eastAsia"/>
          <w:spacing w:val="4"/>
          <w:kern w:val="0"/>
        </w:rPr>
        <w:t>采用僧众喜闻乐见、通俗易懂的形式，创新方法，因势利导、多层次、多渠道、多角度宣传党政策和法律法规，宣传红原翻天覆地的变化和美好前景，教育引导僧尼和信教群众做合格僧尼，做守法公民。今年我县已在寺庙开展集中宣讲活动40余次，受教育僧尼和信教群众上万人次。深入推进“法律进寺庙”工作，实现法治宣传专栏、法律图书角等寺庙法治阵地建设全覆盖。实施僧尼“百千万”工程、培养寺庙“法律明白人”、推行经师讲经前学法活动、选配律师担任寺庙法律顾问等工作，取得良好效果。今年，我县在各寺庙建立以党委政府为主导，以寺庙为单位、以寺管干部为群主的干僧微信群，将寺庙工作与微信等网络传播载体有效结合起来，不断丰富寺庙管理工作手段。同时，实施</w:t>
      </w:r>
      <w:r>
        <w:rPr>
          <w:spacing w:val="4"/>
          <w:kern w:val="0"/>
        </w:rPr>
        <w:t>寺庙视觉形象工程，</w:t>
      </w:r>
      <w:r>
        <w:rPr>
          <w:rFonts w:hint="eastAsia"/>
          <w:spacing w:val="4"/>
          <w:kern w:val="0"/>
        </w:rPr>
        <w:t>通过升国旗、悬挂领袖像、制作宣传道旗等方式，用社会主义核心价值观引领宗教，中华民族文化浸润宗教，积极引导宗教与社会主义社会相适应。全面贯彻落实领导干部联系寺庙和宗教界代表人士制度，以“领导联系、县乡结对、部门包寺”为主要方式，推进寺庙群众工作广覆盖。全县各级干部按照“讲政治，坚持原则；讲策略，方法灵活；讲朋友，团结合作”原则，广泛开展座谈交流、排忧解难活动，以润物无声的方式推动宗教关系和谐化。各乡镇党委书记、乡镇长、维稳副书记、宗教副乡长和派出所</w:t>
      </w:r>
      <w:r>
        <w:rPr>
          <w:rFonts w:hint="eastAsia"/>
          <w:spacing w:val="4"/>
          <w:kern w:val="0"/>
          <w:lang w:eastAsia="zh-CN"/>
        </w:rPr>
        <w:t>所</w:t>
      </w:r>
      <w:r>
        <w:rPr>
          <w:rFonts w:hint="eastAsia"/>
          <w:spacing w:val="4"/>
          <w:kern w:val="0"/>
        </w:rPr>
        <w:t>长均加入了两个以上当地群众微信群，开展政策宣讲、掌握舆情信息、化解矛盾纠纷。注重在佛事活动和群众集会中安排高僧大德参与宣讲，发挥其在法制宣传、公益事业、教规戒律宣讲等方面的积极作用。去年，在高僧大德的宣传动员下，我县各寺庙纷纷作出“不参与民间调解、不放高利贷、不收贫困群众布施”的三项承诺。今年，县委</w:t>
      </w:r>
      <w:r>
        <w:rPr>
          <w:spacing w:val="4"/>
          <w:kern w:val="0"/>
        </w:rPr>
        <w:t>提出看寺庙民管会作用发挥、看寺庙环境卫生、看僧尼投工投劳积极性、看僧尼听话守法“</w:t>
      </w:r>
      <w:r>
        <w:rPr>
          <w:rFonts w:hint="eastAsia"/>
          <w:spacing w:val="4"/>
          <w:kern w:val="0"/>
        </w:rPr>
        <w:t>四</w:t>
      </w:r>
      <w:r>
        <w:rPr>
          <w:spacing w:val="4"/>
          <w:kern w:val="0"/>
        </w:rPr>
        <w:t>看”</w:t>
      </w:r>
      <w:r>
        <w:rPr>
          <w:rFonts w:hint="eastAsia"/>
          <w:spacing w:val="4"/>
          <w:kern w:val="0"/>
        </w:rPr>
        <w:t>要求</w:t>
      </w:r>
      <w:r>
        <w:rPr>
          <w:spacing w:val="4"/>
          <w:kern w:val="0"/>
        </w:rPr>
        <w:t>，</w:t>
      </w:r>
      <w:r>
        <w:rPr>
          <w:rFonts w:hint="eastAsia"/>
          <w:spacing w:val="4"/>
          <w:kern w:val="0"/>
        </w:rPr>
        <w:t>各</w:t>
      </w:r>
      <w:r>
        <w:rPr>
          <w:spacing w:val="4"/>
          <w:kern w:val="0"/>
        </w:rPr>
        <w:t>寺庙</w:t>
      </w:r>
      <w:r>
        <w:rPr>
          <w:rFonts w:hint="eastAsia"/>
          <w:spacing w:val="4"/>
          <w:kern w:val="0"/>
        </w:rPr>
        <w:t>积极组织动员僧尼参加植树造林、环境治理、扶贫济困、服务社会等社会公益活动。县佛协发出以</w:t>
      </w:r>
      <w:r>
        <w:rPr>
          <w:spacing w:val="4"/>
          <w:kern w:val="0"/>
        </w:rPr>
        <w:t>“</w:t>
      </w:r>
      <w:r>
        <w:rPr>
          <w:rFonts w:hint="eastAsia"/>
          <w:spacing w:val="4"/>
          <w:kern w:val="0"/>
        </w:rPr>
        <w:t>我为脱贫攻坚做件事</w:t>
      </w:r>
      <w:r>
        <w:rPr>
          <w:spacing w:val="4"/>
          <w:kern w:val="0"/>
        </w:rPr>
        <w:t>”</w:t>
      </w:r>
      <w:r>
        <w:rPr>
          <w:rFonts w:hint="eastAsia"/>
          <w:spacing w:val="4"/>
          <w:kern w:val="0"/>
        </w:rPr>
        <w:t>、</w:t>
      </w:r>
      <w:r>
        <w:rPr>
          <w:spacing w:val="4"/>
          <w:kern w:val="0"/>
        </w:rPr>
        <w:t xml:space="preserve">“ </w:t>
      </w:r>
      <w:r>
        <w:rPr>
          <w:rFonts w:hint="eastAsia"/>
          <w:spacing w:val="4"/>
          <w:kern w:val="0"/>
        </w:rPr>
        <w:t>生态</w:t>
      </w:r>
      <w:r>
        <w:rPr>
          <w:spacing w:val="4"/>
          <w:kern w:val="0"/>
        </w:rPr>
        <w:t>保护我在行动”</w:t>
      </w:r>
      <w:r>
        <w:rPr>
          <w:rFonts w:hint="eastAsia"/>
          <w:spacing w:val="4"/>
          <w:kern w:val="0"/>
        </w:rPr>
        <w:t>为主题的倡议活动，得到了僧尼的积极响应，有效发挥佛协和民管会的桥梁纽带作用。在去年</w:t>
      </w:r>
      <w:r>
        <w:rPr>
          <w:spacing w:val="4"/>
          <w:kern w:val="0"/>
        </w:rPr>
        <w:t>5</w:t>
      </w:r>
      <w:r>
        <w:rPr>
          <w:rFonts w:hint="eastAsia"/>
          <w:spacing w:val="4"/>
          <w:kern w:val="0"/>
        </w:rPr>
        <w:t>月召开的全省藏区法律进寺庙现场推进会上，我县的工作得到了与会省州各级领导的高度评价和充分肯定。</w:t>
      </w:r>
    </w:p>
    <w:p>
      <w:pPr>
        <w:pageBreakBefore w:val="0"/>
        <w:kinsoku/>
        <w:wordWrap/>
        <w:overflowPunct/>
        <w:topLinePunct w:val="0"/>
        <w:autoSpaceDE/>
        <w:bidi w:val="0"/>
        <w:spacing w:line="576" w:lineRule="exact"/>
        <w:ind w:left="0" w:leftChars="0" w:firstLine="643" w:firstLineChars="200"/>
        <w:rPr>
          <w:rFonts w:ascii="楷体_GB2312" w:hAnsi="黑体" w:eastAsia="楷体_GB2312"/>
          <w:b/>
        </w:rPr>
      </w:pPr>
      <w:r>
        <w:rPr>
          <w:rFonts w:hint="eastAsia" w:ascii="楷体_GB2312" w:hAnsi="黑体" w:eastAsia="楷体_GB2312"/>
          <w:b/>
        </w:rPr>
        <w:t>4</w:t>
      </w:r>
      <w:r>
        <w:rPr>
          <w:rFonts w:ascii="楷体_GB2312" w:hAnsi="黑体" w:eastAsia="楷体_GB2312"/>
          <w:b/>
        </w:rPr>
        <w:t>.</w:t>
      </w:r>
      <w:r>
        <w:rPr>
          <w:rFonts w:hint="eastAsia" w:ascii="楷体_GB2312" w:hAnsi="黑体" w:eastAsia="楷体_GB2312"/>
          <w:b/>
        </w:rPr>
        <w:t>突出创新导向，加强寺庙民主管理</w:t>
      </w:r>
    </w:p>
    <w:p>
      <w:pPr>
        <w:pageBreakBefore w:val="0"/>
        <w:kinsoku/>
        <w:wordWrap/>
        <w:overflowPunct/>
        <w:topLinePunct w:val="0"/>
        <w:autoSpaceDE/>
        <w:bidi w:val="0"/>
        <w:spacing w:line="576" w:lineRule="exact"/>
        <w:ind w:left="0" w:leftChars="0" w:firstLine="656" w:firstLineChars="200"/>
        <w:rPr>
          <w:rFonts w:ascii="仿宋" w:hAnsi="仿宋" w:eastAsia="仿宋"/>
        </w:rPr>
      </w:pPr>
      <w:r>
        <w:rPr>
          <w:spacing w:val="4"/>
          <w:kern w:val="0"/>
        </w:rPr>
        <w:t>我县</w:t>
      </w:r>
      <w:r>
        <w:rPr>
          <w:rFonts w:hint="eastAsia"/>
          <w:spacing w:val="4"/>
          <w:kern w:val="0"/>
        </w:rPr>
        <w:t>在认真总结近年来寺庙管理成功经验做法的基础上，积极探索寺庙“自我管理、自我教育、自我服务”的路径方法</w:t>
      </w:r>
      <w:r>
        <w:rPr>
          <w:spacing w:val="4"/>
          <w:kern w:val="0"/>
        </w:rPr>
        <w:t>，创新</w:t>
      </w:r>
      <w:r>
        <w:rPr>
          <w:rFonts w:hint="eastAsia"/>
          <w:spacing w:val="4"/>
          <w:kern w:val="0"/>
        </w:rPr>
        <w:t>推行了</w:t>
      </w:r>
      <w:r>
        <w:rPr>
          <w:spacing w:val="4"/>
          <w:kern w:val="0"/>
        </w:rPr>
        <w:t>寺庙</w:t>
      </w:r>
      <w:r>
        <w:rPr>
          <w:rFonts w:hint="eastAsia"/>
          <w:spacing w:val="4"/>
          <w:kern w:val="0"/>
        </w:rPr>
        <w:t>开放式</w:t>
      </w:r>
      <w:r>
        <w:rPr>
          <w:spacing w:val="4"/>
          <w:kern w:val="0"/>
        </w:rPr>
        <w:t>管理模式</w:t>
      </w:r>
      <w:r>
        <w:rPr>
          <w:rFonts w:hint="eastAsia"/>
          <w:spacing w:val="4"/>
          <w:kern w:val="0"/>
        </w:rPr>
        <w:t>。这一模式通过发挥寺管会（所）主导监督作用、民管会民主管理作用、乡镇村属地管理作用和计算机网络系统作用，有效把寺庙管理工作落实到了最基层。经过一年多的实践探索，工作成效已日渐显现，</w:t>
      </w:r>
      <w:r>
        <w:rPr>
          <w:rFonts w:hint="eastAsia"/>
          <w:spacing w:val="4"/>
        </w:rPr>
        <w:t>营造了宗教领域爱国爱教、守法遵规、团结稳定、活动有序、教风端正的良好氛围。</w:t>
      </w:r>
      <w:r>
        <w:rPr>
          <w:rFonts w:hint="eastAsia"/>
          <w:spacing w:val="4"/>
          <w:kern w:val="0"/>
        </w:rPr>
        <w:t>目前，</w:t>
      </w:r>
      <w:r>
        <w:rPr>
          <w:spacing w:val="4"/>
          <w:kern w:val="0"/>
        </w:rPr>
        <w:t>我县</w:t>
      </w:r>
      <w:r>
        <w:rPr>
          <w:rFonts w:hint="eastAsia"/>
          <w:spacing w:val="4"/>
          <w:kern w:val="0"/>
        </w:rPr>
        <w:t>麦洼寺</w:t>
      </w:r>
      <w:r>
        <w:rPr>
          <w:spacing w:val="4"/>
          <w:kern w:val="0"/>
        </w:rPr>
        <w:t>、江宫寺、麻萨寺</w:t>
      </w:r>
      <w:r>
        <w:rPr>
          <w:rFonts w:hint="eastAsia"/>
          <w:spacing w:val="4"/>
          <w:kern w:val="0"/>
        </w:rPr>
        <w:t>、</w:t>
      </w:r>
      <w:r>
        <w:rPr>
          <w:spacing w:val="4"/>
          <w:kern w:val="0"/>
        </w:rPr>
        <w:t>康玛尔寺、达格则寺、龙壤寺</w:t>
      </w:r>
      <w:r>
        <w:rPr>
          <w:rFonts w:hint="eastAsia"/>
          <w:spacing w:val="4"/>
          <w:kern w:val="0"/>
        </w:rPr>
        <w:t>6座</w:t>
      </w:r>
      <w:r>
        <w:rPr>
          <w:spacing w:val="4"/>
          <w:kern w:val="0"/>
        </w:rPr>
        <w:t>省级文明和谐寺庙已</w:t>
      </w:r>
      <w:r>
        <w:rPr>
          <w:rFonts w:hint="eastAsia"/>
          <w:spacing w:val="4"/>
          <w:kern w:val="0"/>
        </w:rPr>
        <w:t>全部</w:t>
      </w:r>
      <w:r>
        <w:rPr>
          <w:spacing w:val="4"/>
          <w:kern w:val="0"/>
        </w:rPr>
        <w:t>实行开放式管理。</w:t>
      </w:r>
    </w:p>
    <w:p>
      <w:pPr>
        <w:pageBreakBefore w:val="0"/>
        <w:kinsoku/>
        <w:wordWrap/>
        <w:overflowPunct/>
        <w:topLinePunct w:val="0"/>
        <w:autoSpaceDE/>
        <w:bidi w:val="0"/>
        <w:spacing w:line="576" w:lineRule="exact"/>
        <w:ind w:left="0" w:leftChars="0" w:firstLine="643" w:firstLineChars="200"/>
        <w:rPr>
          <w:rFonts w:ascii="楷体_GB2312" w:hAnsi="黑体" w:eastAsia="楷体_GB2312"/>
          <w:b/>
        </w:rPr>
      </w:pPr>
      <w:r>
        <w:rPr>
          <w:rFonts w:hint="eastAsia" w:ascii="楷体_GB2312" w:hAnsi="黑体" w:eastAsia="楷体_GB2312"/>
          <w:b/>
        </w:rPr>
        <w:t>5.突出民生导向，加强寺庙公共服务</w:t>
      </w:r>
    </w:p>
    <w:p>
      <w:pPr>
        <w:pageBreakBefore w:val="0"/>
        <w:kinsoku/>
        <w:wordWrap/>
        <w:overflowPunct/>
        <w:topLinePunct w:val="0"/>
        <w:autoSpaceDE/>
        <w:bidi w:val="0"/>
        <w:spacing w:line="576" w:lineRule="exact"/>
        <w:ind w:left="0" w:leftChars="0" w:firstLine="640" w:firstLineChars="200"/>
        <w:rPr>
          <w:spacing w:val="4"/>
          <w:kern w:val="0"/>
        </w:rPr>
      </w:pPr>
      <w:r>
        <w:rPr>
          <w:rFonts w:hint="eastAsia"/>
        </w:rPr>
        <w:t>坚持“寺庙是基本社会单元，僧尼是基本群众”理念，精心制定、有力实施寺庙民生项目建设五年规划和年度计划。</w:t>
      </w:r>
      <w:r>
        <w:rPr>
          <w:rFonts w:hint="eastAsia"/>
          <w:spacing w:val="4"/>
          <w:kern w:val="0"/>
        </w:rPr>
        <w:t>今年我县以</w:t>
      </w:r>
      <w:r>
        <w:rPr>
          <w:spacing w:val="4"/>
          <w:kern w:val="0"/>
        </w:rPr>
        <w:t>寺庙</w:t>
      </w:r>
      <w:r>
        <w:rPr>
          <w:rFonts w:hint="eastAsia"/>
          <w:spacing w:val="4"/>
          <w:kern w:val="0"/>
        </w:rPr>
        <w:t>“大民生带小民生”建设</w:t>
      </w:r>
      <w:r>
        <w:rPr>
          <w:spacing w:val="4"/>
          <w:kern w:val="0"/>
        </w:rPr>
        <w:t>为抓手，</w:t>
      </w:r>
      <w:r>
        <w:rPr>
          <w:rFonts w:hint="eastAsia"/>
          <w:spacing w:val="4"/>
          <w:kern w:val="0"/>
        </w:rPr>
        <w:t>实施寺庙地灾治理、道路、饮水、电力等项目。重视寺庙在民生项目建设中的主体作用发挥，积极动员僧尼投工投劳，主动参与项目建设，不断改善寺庙面貌和僧尼生活修行条件。将寺庙纳入全域景区管理建设规划，推进文旅融合、旅禅融合发展。将贫困僧尼纳入脱贫攻坚对象，实行社会保障均等化，提高普惠性政策在僧尼中的覆盖率。实施关爱保障行动，坚持组织医疗卫生机构在寺庙和僧尼中开展义诊巡诊活动，积极开展“城乡环境综合治理进寺庙”活动，推进</w:t>
      </w:r>
      <w:r>
        <w:rPr>
          <w:spacing w:val="4"/>
          <w:kern w:val="0"/>
        </w:rPr>
        <w:t>寺庙“</w:t>
      </w:r>
      <w:r>
        <w:rPr>
          <w:rFonts w:hint="eastAsia"/>
          <w:spacing w:val="4"/>
          <w:kern w:val="0"/>
        </w:rPr>
        <w:t>四</w:t>
      </w:r>
      <w:r>
        <w:rPr>
          <w:spacing w:val="4"/>
          <w:kern w:val="0"/>
        </w:rPr>
        <w:t>化”</w:t>
      </w:r>
      <w:r>
        <w:rPr>
          <w:rFonts w:hint="eastAsia"/>
          <w:spacing w:val="4"/>
          <w:kern w:val="0"/>
        </w:rPr>
        <w:t>建设</w:t>
      </w:r>
      <w:r>
        <w:rPr>
          <w:spacing w:val="4"/>
          <w:kern w:val="0"/>
        </w:rPr>
        <w:t>，</w:t>
      </w:r>
      <w:r>
        <w:rPr>
          <w:rFonts w:hint="eastAsia"/>
          <w:spacing w:val="4"/>
          <w:kern w:val="0"/>
        </w:rPr>
        <w:t>发放价值13</w:t>
      </w:r>
      <w:r>
        <w:rPr>
          <w:spacing w:val="4"/>
          <w:kern w:val="0"/>
        </w:rPr>
        <w:t>0</w:t>
      </w:r>
      <w:r>
        <w:rPr>
          <w:rFonts w:hint="eastAsia"/>
          <w:spacing w:val="4"/>
          <w:kern w:val="0"/>
        </w:rPr>
        <w:t>余万元</w:t>
      </w:r>
      <w:r>
        <w:rPr>
          <w:spacing w:val="4"/>
          <w:kern w:val="0"/>
        </w:rPr>
        <w:t>的环卫设备，</w:t>
      </w:r>
      <w:r>
        <w:rPr>
          <w:rFonts w:hint="eastAsia"/>
          <w:spacing w:val="4"/>
          <w:kern w:val="0"/>
        </w:rPr>
        <w:t>建设</w:t>
      </w:r>
      <w:r>
        <w:rPr>
          <w:spacing w:val="4"/>
          <w:kern w:val="0"/>
        </w:rPr>
        <w:t>寺庙</w:t>
      </w:r>
      <w:r>
        <w:rPr>
          <w:rFonts w:hint="eastAsia"/>
          <w:spacing w:val="4"/>
          <w:kern w:val="0"/>
        </w:rPr>
        <w:t>公共浴室</w:t>
      </w:r>
      <w:r>
        <w:rPr>
          <w:spacing w:val="4"/>
          <w:kern w:val="0"/>
        </w:rPr>
        <w:t>、</w:t>
      </w:r>
      <w:r>
        <w:rPr>
          <w:rFonts w:hint="eastAsia"/>
          <w:spacing w:val="4"/>
          <w:kern w:val="0"/>
        </w:rPr>
        <w:t>厕所、消防池等公共设施，实施</w:t>
      </w:r>
      <w:r>
        <w:rPr>
          <w:spacing w:val="4"/>
          <w:kern w:val="0"/>
        </w:rPr>
        <w:t>寺庙“</w:t>
      </w:r>
      <w:r>
        <w:rPr>
          <w:rFonts w:hint="eastAsia"/>
          <w:spacing w:val="4"/>
          <w:kern w:val="0"/>
        </w:rPr>
        <w:t>五个一</w:t>
      </w:r>
      <w:r>
        <w:rPr>
          <w:spacing w:val="4"/>
          <w:kern w:val="0"/>
        </w:rPr>
        <w:t>”</w:t>
      </w:r>
      <w:r>
        <w:rPr>
          <w:rFonts w:hint="eastAsia"/>
          <w:spacing w:val="4"/>
          <w:kern w:val="0"/>
        </w:rPr>
        <w:t>工程</w:t>
      </w:r>
      <w:r>
        <w:rPr>
          <w:spacing w:val="4"/>
          <w:kern w:val="0"/>
        </w:rPr>
        <w:t>建设，</w:t>
      </w:r>
      <w:r>
        <w:rPr>
          <w:rFonts w:hint="eastAsia"/>
          <w:spacing w:val="4"/>
          <w:kern w:val="0"/>
        </w:rPr>
        <w:t>引导僧尼除陋习、树新风，</w:t>
      </w:r>
      <w:r>
        <w:rPr>
          <w:spacing w:val="4"/>
          <w:kern w:val="0"/>
        </w:rPr>
        <w:t>有效推动</w:t>
      </w:r>
      <w:r>
        <w:rPr>
          <w:rFonts w:hint="eastAsia"/>
          <w:spacing w:val="4"/>
          <w:kern w:val="0"/>
        </w:rPr>
        <w:t>僧尼</w:t>
      </w:r>
      <w:r>
        <w:rPr>
          <w:spacing w:val="4"/>
          <w:kern w:val="0"/>
        </w:rPr>
        <w:t>解放思想、转变观念、提升行为</w:t>
      </w:r>
      <w:r>
        <w:rPr>
          <w:rFonts w:hint="eastAsia"/>
          <w:spacing w:val="4"/>
          <w:kern w:val="0"/>
        </w:rPr>
        <w:t>。</w:t>
      </w:r>
    </w:p>
    <w:p>
      <w:pPr>
        <w:pStyle w:val="41"/>
        <w:pageBreakBefore w:val="0"/>
        <w:kinsoku/>
        <w:wordWrap/>
        <w:overflowPunct/>
        <w:topLinePunct w:val="0"/>
        <w:autoSpaceDE/>
        <w:autoSpaceDN w:val="0"/>
        <w:bidi w:val="0"/>
        <w:spacing w:line="576" w:lineRule="exact"/>
        <w:ind w:left="0" w:leftChars="0" w:firstLine="656" w:firstLineChars="200"/>
        <w:rPr>
          <w:rFonts w:ascii="仿宋_GB2312" w:eastAsia="仿宋_GB2312"/>
          <w:color w:val="000000"/>
          <w:spacing w:val="4"/>
          <w:sz w:val="32"/>
          <w:szCs w:val="32"/>
        </w:rPr>
      </w:pPr>
      <w:r>
        <w:rPr>
          <w:rFonts w:ascii="仿宋_GB2312" w:eastAsia="仿宋_GB2312"/>
          <w:color w:val="000000"/>
          <w:spacing w:val="4"/>
          <w:sz w:val="32"/>
          <w:szCs w:val="32"/>
        </w:rPr>
        <w:t>通过观念更新、工作创新和</w:t>
      </w:r>
      <w:r>
        <w:rPr>
          <w:rFonts w:hint="eastAsia" w:ascii="仿宋_GB2312" w:eastAsia="仿宋_GB2312"/>
          <w:color w:val="000000"/>
          <w:spacing w:val="4"/>
          <w:sz w:val="32"/>
          <w:szCs w:val="32"/>
        </w:rPr>
        <w:t>规范管理</w:t>
      </w:r>
      <w:r>
        <w:rPr>
          <w:rFonts w:ascii="仿宋_GB2312" w:eastAsia="仿宋_GB2312"/>
          <w:color w:val="000000"/>
          <w:spacing w:val="4"/>
          <w:sz w:val="32"/>
          <w:szCs w:val="32"/>
        </w:rPr>
        <w:t>，我县宗教管理工作逐步走向良性健康的发展轨道，宗教领域持续保持和谐稳定。</w:t>
      </w:r>
      <w:r>
        <w:rPr>
          <w:rFonts w:hint="eastAsia" w:ascii="仿宋_GB2312" w:eastAsia="仿宋_GB2312"/>
          <w:color w:val="000000"/>
          <w:spacing w:val="4"/>
          <w:sz w:val="32"/>
          <w:szCs w:val="32"/>
        </w:rPr>
        <w:t>实现</w:t>
      </w:r>
      <w:r>
        <w:rPr>
          <w:rFonts w:ascii="仿宋_GB2312" w:eastAsia="仿宋_GB2312"/>
          <w:color w:val="000000"/>
          <w:spacing w:val="4"/>
          <w:sz w:val="32"/>
          <w:szCs w:val="32"/>
        </w:rPr>
        <w:t>了</w:t>
      </w:r>
      <w:r>
        <w:rPr>
          <w:rFonts w:hint="eastAsia" w:ascii="仿宋_GB2312" w:eastAsia="仿宋_GB2312"/>
          <w:color w:val="000000"/>
          <w:spacing w:val="4"/>
          <w:sz w:val="32"/>
          <w:szCs w:val="32"/>
        </w:rPr>
        <w:t>全县10座寺庙全部达标升级为一类“靠得住”寺庙，10座寺庙全部创建为省州级文明和谐寺庙的</w:t>
      </w:r>
      <w:r>
        <w:rPr>
          <w:rFonts w:ascii="仿宋_GB2312" w:eastAsia="仿宋_GB2312"/>
          <w:color w:val="000000"/>
          <w:spacing w:val="4"/>
          <w:sz w:val="32"/>
          <w:szCs w:val="32"/>
        </w:rPr>
        <w:t>目标</w:t>
      </w:r>
      <w:r>
        <w:rPr>
          <w:rFonts w:hint="eastAsia" w:ascii="仿宋_GB2312" w:eastAsia="仿宋_GB2312"/>
          <w:color w:val="000000"/>
          <w:spacing w:val="4"/>
          <w:sz w:val="32"/>
          <w:szCs w:val="32"/>
        </w:rPr>
        <w:t>。</w:t>
      </w:r>
      <w:r>
        <w:rPr>
          <w:rFonts w:ascii="仿宋_GB2312" w:eastAsia="仿宋_GB2312"/>
          <w:kern w:val="2"/>
          <w:sz w:val="32"/>
          <w:szCs w:val="32"/>
        </w:rPr>
        <w:t>今年9月我县承办了 “全省藏传佛教寺庙管理工作现场会”，</w:t>
      </w:r>
      <w:r>
        <w:rPr>
          <w:rFonts w:ascii="仿宋_GB2312" w:eastAsia="仿宋_GB2312"/>
          <w:sz w:val="32"/>
          <w:szCs w:val="32"/>
        </w:rPr>
        <w:t>我县寺庙</w:t>
      </w:r>
      <w:r>
        <w:rPr>
          <w:rFonts w:ascii="仿宋_GB2312" w:eastAsia="仿宋_GB2312"/>
          <w:kern w:val="2"/>
          <w:sz w:val="32"/>
          <w:szCs w:val="32"/>
        </w:rPr>
        <w:t>工作得到了各级领导的肯定，一些做法和经验在全省、全州推广。</w:t>
      </w:r>
      <w:r>
        <w:rPr>
          <w:rFonts w:hint="eastAsia" w:ascii="仿宋_GB2312" w:eastAsia="仿宋_GB2312"/>
          <w:color w:val="000000"/>
          <w:spacing w:val="4"/>
          <w:sz w:val="32"/>
          <w:szCs w:val="32"/>
        </w:rPr>
        <w:t>在</w:t>
      </w:r>
      <w:r>
        <w:rPr>
          <w:rFonts w:ascii="仿宋_GB2312" w:eastAsia="仿宋_GB2312"/>
          <w:color w:val="000000"/>
          <w:spacing w:val="4"/>
          <w:sz w:val="32"/>
          <w:szCs w:val="32"/>
        </w:rPr>
        <w:t>党</w:t>
      </w:r>
      <w:r>
        <w:rPr>
          <w:rFonts w:hint="eastAsia" w:ascii="仿宋_GB2312" w:eastAsia="仿宋_GB2312"/>
          <w:color w:val="000000"/>
          <w:spacing w:val="4"/>
          <w:sz w:val="32"/>
          <w:szCs w:val="32"/>
        </w:rPr>
        <w:t>和</w:t>
      </w:r>
      <w:r>
        <w:rPr>
          <w:rFonts w:ascii="仿宋_GB2312" w:eastAsia="仿宋_GB2312"/>
          <w:color w:val="000000"/>
          <w:spacing w:val="4"/>
          <w:sz w:val="32"/>
          <w:szCs w:val="32"/>
        </w:rPr>
        <w:t>政府的</w:t>
      </w:r>
      <w:r>
        <w:rPr>
          <w:rFonts w:hint="eastAsia" w:ascii="仿宋_GB2312" w:eastAsia="仿宋_GB2312"/>
          <w:color w:val="000000"/>
          <w:spacing w:val="4"/>
          <w:sz w:val="32"/>
          <w:szCs w:val="32"/>
        </w:rPr>
        <w:t>引导</w:t>
      </w:r>
      <w:r>
        <w:rPr>
          <w:rFonts w:ascii="仿宋_GB2312" w:eastAsia="仿宋_GB2312"/>
          <w:color w:val="000000"/>
          <w:spacing w:val="4"/>
          <w:sz w:val="32"/>
          <w:szCs w:val="32"/>
        </w:rPr>
        <w:t>和感召下，</w:t>
      </w:r>
      <w:r>
        <w:rPr>
          <w:rFonts w:hint="eastAsia" w:ascii="仿宋_GB2312" w:eastAsia="仿宋_GB2312"/>
          <w:color w:val="000000"/>
          <w:spacing w:val="4"/>
          <w:sz w:val="32"/>
          <w:szCs w:val="32"/>
        </w:rPr>
        <w:t>我县各寺庙</w:t>
      </w:r>
      <w:r>
        <w:rPr>
          <w:rFonts w:hint="eastAsia" w:ascii="仿宋_GB2312" w:eastAsia="仿宋_GB2312"/>
          <w:kern w:val="2"/>
          <w:sz w:val="32"/>
          <w:szCs w:val="32"/>
        </w:rPr>
        <w:t>积极组织动员僧尼</w:t>
      </w:r>
      <w:r>
        <w:rPr>
          <w:rFonts w:ascii="仿宋_GB2312" w:eastAsia="仿宋_GB2312"/>
          <w:kern w:val="2"/>
          <w:sz w:val="32"/>
          <w:szCs w:val="32"/>
        </w:rPr>
        <w:t>参加植树造林</w:t>
      </w:r>
      <w:r>
        <w:rPr>
          <w:rFonts w:hint="eastAsia" w:ascii="仿宋_GB2312" w:eastAsia="仿宋_GB2312"/>
          <w:kern w:val="2"/>
          <w:sz w:val="32"/>
          <w:szCs w:val="32"/>
        </w:rPr>
        <w:t>、</w:t>
      </w:r>
      <w:r>
        <w:rPr>
          <w:rFonts w:ascii="仿宋_GB2312" w:eastAsia="仿宋_GB2312"/>
          <w:kern w:val="2"/>
          <w:sz w:val="32"/>
          <w:szCs w:val="32"/>
        </w:rPr>
        <w:t>环境</w:t>
      </w:r>
      <w:r>
        <w:rPr>
          <w:rFonts w:hint="eastAsia" w:ascii="仿宋_GB2312" w:eastAsia="仿宋_GB2312"/>
          <w:kern w:val="2"/>
          <w:sz w:val="32"/>
          <w:szCs w:val="32"/>
        </w:rPr>
        <w:t>治理、</w:t>
      </w:r>
      <w:r>
        <w:rPr>
          <w:rFonts w:ascii="仿宋_GB2312" w:eastAsia="仿宋_GB2312"/>
          <w:kern w:val="2"/>
          <w:sz w:val="32"/>
          <w:szCs w:val="32"/>
        </w:rPr>
        <w:t>服务社会等社会公益</w:t>
      </w:r>
      <w:r>
        <w:rPr>
          <w:rFonts w:hint="eastAsia" w:ascii="仿宋_GB2312" w:eastAsia="仿宋_GB2312"/>
          <w:kern w:val="2"/>
          <w:sz w:val="32"/>
          <w:szCs w:val="32"/>
        </w:rPr>
        <w:t>活动</w:t>
      </w:r>
      <w:r>
        <w:rPr>
          <w:rFonts w:hint="eastAsia" w:ascii="仿宋_GB2312" w:eastAsia="仿宋_GB2312"/>
          <w:color w:val="000000"/>
          <w:spacing w:val="4"/>
          <w:sz w:val="32"/>
          <w:szCs w:val="32"/>
        </w:rPr>
        <w:t>已成</w:t>
      </w:r>
      <w:r>
        <w:rPr>
          <w:rFonts w:ascii="仿宋_GB2312" w:eastAsia="仿宋_GB2312"/>
          <w:color w:val="000000"/>
          <w:spacing w:val="4"/>
          <w:sz w:val="32"/>
          <w:szCs w:val="32"/>
        </w:rPr>
        <w:t>常态</w:t>
      </w:r>
      <w:r>
        <w:rPr>
          <w:rFonts w:hint="eastAsia" w:ascii="仿宋_GB2312" w:eastAsia="仿宋_GB2312"/>
          <w:color w:val="000000"/>
          <w:spacing w:val="4"/>
          <w:sz w:val="32"/>
          <w:szCs w:val="32"/>
        </w:rPr>
        <w:t>，</w:t>
      </w:r>
      <w:r>
        <w:rPr>
          <w:rFonts w:ascii="仿宋_GB2312" w:eastAsia="仿宋_GB2312"/>
          <w:sz w:val="32"/>
          <w:szCs w:val="32"/>
        </w:rPr>
        <w:t>回馈社会、服务社会意识逐步形成。</w:t>
      </w:r>
      <w:r>
        <w:rPr>
          <w:rFonts w:hint="eastAsia" w:ascii="仿宋_GB2312" w:eastAsia="仿宋_GB2312"/>
          <w:color w:val="000000"/>
          <w:spacing w:val="4"/>
          <w:sz w:val="32"/>
          <w:szCs w:val="32"/>
        </w:rPr>
        <w:t>寺庙</w:t>
      </w:r>
      <w:r>
        <w:rPr>
          <w:rFonts w:ascii="仿宋_GB2312" w:eastAsia="仿宋_GB2312"/>
          <w:bCs/>
          <w:sz w:val="32"/>
          <w:szCs w:val="32"/>
        </w:rPr>
        <w:t>自我管理、自我教育</w:t>
      </w:r>
      <w:r>
        <w:rPr>
          <w:rFonts w:hint="eastAsia" w:ascii="仿宋_GB2312" w:eastAsia="仿宋_GB2312"/>
          <w:bCs/>
          <w:sz w:val="32"/>
          <w:szCs w:val="32"/>
        </w:rPr>
        <w:t>、</w:t>
      </w:r>
      <w:r>
        <w:rPr>
          <w:rFonts w:ascii="仿宋_GB2312" w:eastAsia="仿宋_GB2312"/>
          <w:bCs/>
          <w:sz w:val="32"/>
          <w:szCs w:val="32"/>
        </w:rPr>
        <w:t>自我服务</w:t>
      </w:r>
      <w:r>
        <w:rPr>
          <w:rFonts w:hint="eastAsia" w:ascii="仿宋_GB2312" w:eastAsia="仿宋_GB2312"/>
          <w:bCs/>
          <w:sz w:val="32"/>
          <w:szCs w:val="32"/>
        </w:rPr>
        <w:t>意识</w:t>
      </w:r>
      <w:r>
        <w:rPr>
          <w:rFonts w:ascii="仿宋_GB2312" w:eastAsia="仿宋_GB2312"/>
          <w:bCs/>
          <w:sz w:val="32"/>
          <w:szCs w:val="32"/>
        </w:rPr>
        <w:t>和能力</w:t>
      </w:r>
      <w:r>
        <w:rPr>
          <w:rFonts w:hint="eastAsia" w:ascii="仿宋_GB2312" w:eastAsia="仿宋_GB2312"/>
          <w:color w:val="000000"/>
          <w:spacing w:val="4"/>
          <w:sz w:val="32"/>
          <w:szCs w:val="32"/>
        </w:rPr>
        <w:t>得到</w:t>
      </w:r>
      <w:r>
        <w:rPr>
          <w:rFonts w:ascii="仿宋_GB2312" w:eastAsia="仿宋_GB2312"/>
          <w:bCs/>
          <w:sz w:val="32"/>
          <w:szCs w:val="32"/>
        </w:rPr>
        <w:t>有效提升，</w:t>
      </w:r>
      <w:r>
        <w:rPr>
          <w:rFonts w:ascii="仿宋_GB2312" w:eastAsia="仿宋_GB2312"/>
          <w:sz w:val="32"/>
          <w:szCs w:val="32"/>
        </w:rPr>
        <w:t>宗教界人士与党委政府的关系融洽，</w:t>
      </w:r>
      <w:r>
        <w:rPr>
          <w:rFonts w:hint="eastAsia" w:ascii="仿宋_GB2312" w:eastAsia="仿宋_GB2312"/>
          <w:sz w:val="32"/>
          <w:szCs w:val="32"/>
        </w:rPr>
        <w:t>干僧关系密切，</w:t>
      </w:r>
      <w:r>
        <w:rPr>
          <w:rFonts w:hint="eastAsia" w:ascii="仿宋_GB2312" w:eastAsia="仿宋_GB2312"/>
          <w:color w:val="000000"/>
          <w:spacing w:val="4"/>
          <w:sz w:val="32"/>
          <w:szCs w:val="32"/>
        </w:rPr>
        <w:t>营造了宗教领域爱国爱教、守法遵规、团结稳定、活动有序、教风端正的良好氛围。</w:t>
      </w:r>
    </w:p>
    <w:p>
      <w:pPr>
        <w:pageBreakBefore w:val="0"/>
        <w:kinsoku/>
        <w:wordWrap/>
        <w:overflowPunct/>
        <w:topLinePunct w:val="0"/>
        <w:autoSpaceDE/>
        <w:bidi w:val="0"/>
        <w:spacing w:line="576" w:lineRule="exact"/>
        <w:ind w:left="0" w:leftChars="0" w:firstLine="643" w:firstLineChars="200"/>
        <w:rPr>
          <w:rFonts w:ascii="楷体_GB2312" w:hAnsi="宋体" w:eastAsia="楷体_GB2312"/>
          <w:b/>
          <w:bCs/>
        </w:rPr>
      </w:pPr>
      <w:r>
        <w:rPr>
          <w:rFonts w:hint="eastAsia" w:ascii="楷体_GB2312" w:hAnsi="宋体" w:eastAsia="楷体_GB2312"/>
          <w:b/>
          <w:bCs/>
        </w:rPr>
        <w:t>（二）党外干部和党外人士工作</w:t>
      </w:r>
      <w:r>
        <w:rPr>
          <w:rFonts w:hint="eastAsia" w:hAnsi="仿宋_GB2312"/>
        </w:rPr>
        <w:t>坚持把党外代表人士队伍建设作为推进民主政治建设的重点来抓，开阔选拔视野，创新培养模式，拓宽安排渠道，健全管理机制，党外代表人士队伍建设工作取得了一些成效。</w:t>
      </w:r>
    </w:p>
    <w:p>
      <w:pPr>
        <w:pageBreakBefore w:val="0"/>
        <w:kinsoku/>
        <w:wordWrap/>
        <w:overflowPunct/>
        <w:topLinePunct w:val="0"/>
        <w:autoSpaceDE/>
        <w:bidi w:val="0"/>
        <w:spacing w:line="576" w:lineRule="exact"/>
        <w:ind w:left="0" w:leftChars="0" w:firstLine="643" w:firstLineChars="200"/>
        <w:rPr>
          <w:rFonts w:hAnsi="仿宋_GB2312"/>
          <w:b/>
        </w:rPr>
      </w:pPr>
      <w:r>
        <w:rPr>
          <w:rFonts w:hint="eastAsia" w:hAnsi="仿宋_GB2312"/>
          <w:b/>
        </w:rPr>
        <w:t>1.做好党外干部和党外人士的政治安排。</w:t>
      </w:r>
      <w:r>
        <w:rPr>
          <w:rFonts w:hint="eastAsia" w:hAnsi="仿宋_GB2312"/>
        </w:rPr>
        <w:t>统一战线配合实施人才强县战略，举贤荐能，稳步推进党外人士的培养、教育、管理和举荐使用工作，按要求做好党外代表人士的政治安排，建立党外干部资源库。全县已作政治安排的党外代表人士151人，其中党外副县级干部4人，党外科级领导干部49人，党外人大代表23名，政协委员75名。</w:t>
      </w:r>
      <w:r>
        <w:rPr>
          <w:rFonts w:hint="eastAsia"/>
        </w:rPr>
        <w:t>进一步开展党外领导干部、副高级以上党外知识分子基本信息采集工作，逐人建立档案。制定党外干部培训规划，利用多种途径开展党外干部教育培养工作。</w:t>
      </w:r>
    </w:p>
    <w:p>
      <w:pPr>
        <w:pageBreakBefore w:val="0"/>
        <w:kinsoku/>
        <w:wordWrap/>
        <w:overflowPunct/>
        <w:topLinePunct w:val="0"/>
        <w:autoSpaceDE/>
        <w:bidi w:val="0"/>
        <w:spacing w:line="576" w:lineRule="exact"/>
        <w:ind w:left="0" w:leftChars="0" w:firstLine="643" w:firstLineChars="200"/>
        <w:rPr>
          <w:rFonts w:hAnsi="仿宋_GB2312"/>
        </w:rPr>
      </w:pPr>
      <w:r>
        <w:rPr>
          <w:rFonts w:hint="eastAsia" w:hAnsi="仿宋_GB2312"/>
          <w:b/>
        </w:rPr>
        <w:t>2.畅通非</w:t>
      </w:r>
      <w:r>
        <w:rPr>
          <w:rFonts w:hint="eastAsia" w:hAnsi="仿宋_GB2312"/>
          <w:b/>
          <w:lang w:eastAsia="zh-CN"/>
        </w:rPr>
        <w:t>中共</w:t>
      </w:r>
      <w:r>
        <w:rPr>
          <w:rFonts w:hint="eastAsia" w:hAnsi="仿宋_GB2312"/>
          <w:b/>
        </w:rPr>
        <w:t>人士建言献策渠道。</w:t>
      </w:r>
      <w:r>
        <w:rPr>
          <w:rFonts w:hint="eastAsia" w:hAnsi="仿宋_GB2312"/>
        </w:rPr>
        <w:t>对县委政府的重大决策，以及群众反映的热点、难点、焦点问题，适时召开通报会、座谈会、协商会，邀请各阶层党外人士参加，广泛听取他们的意见建议。按照县委政府确定的调研课题，组织非党代表人士积极参与和撰写调研文章，为县委政府决策提供参考，充分发挥党外人士参政议政的积极作用。今年专门召开了党外知识分子座谈会，反响良好。</w:t>
      </w:r>
    </w:p>
    <w:p>
      <w:pPr>
        <w:pageBreakBefore w:val="0"/>
        <w:kinsoku/>
        <w:wordWrap/>
        <w:overflowPunct/>
        <w:topLinePunct w:val="0"/>
        <w:autoSpaceDE/>
        <w:bidi w:val="0"/>
        <w:spacing w:line="576" w:lineRule="exact"/>
        <w:ind w:left="0" w:leftChars="0" w:firstLine="643" w:firstLineChars="200"/>
        <w:rPr>
          <w:rFonts w:ascii="楷体_GB2312" w:hAnsi="楷体_GB2312" w:eastAsia="楷体_GB2312"/>
          <w:b/>
          <w:bCs/>
        </w:rPr>
      </w:pPr>
      <w:r>
        <w:rPr>
          <w:rFonts w:hint="eastAsia" w:ascii="楷体_GB2312" w:hAnsi="楷体_GB2312" w:eastAsia="楷体_GB2312"/>
          <w:b/>
          <w:bCs/>
        </w:rPr>
        <w:t>（三）非公有制经济工作</w:t>
      </w:r>
      <w:r>
        <w:rPr>
          <w:rFonts w:hint="eastAsia"/>
          <w:szCs w:val="24"/>
        </w:rPr>
        <w:t>围绕县委中心工作，不断加强与非公经济人士的联系，充分发挥非公有制经济人士参与政治与社会事务的主要渠道作用，全县非公经济代表人士为促进我县非公有制经济健康快速发展和构建和谐社会作出了积极贡献。</w:t>
      </w:r>
    </w:p>
    <w:p>
      <w:pPr>
        <w:pStyle w:val="41"/>
        <w:pageBreakBefore w:val="0"/>
        <w:kinsoku/>
        <w:wordWrap/>
        <w:overflowPunct/>
        <w:topLinePunct w:val="0"/>
        <w:autoSpaceDE/>
        <w:autoSpaceDN w:val="0"/>
        <w:bidi w:val="0"/>
        <w:spacing w:line="576" w:lineRule="exact"/>
        <w:ind w:left="0" w:leftChars="0" w:firstLine="643" w:firstLineChars="200"/>
        <w:textAlignment w:val="baseline"/>
        <w:rPr>
          <w:rFonts w:eastAsia="仿宋_GB2312"/>
          <w:kern w:val="2"/>
          <w:sz w:val="32"/>
          <w:szCs w:val="24"/>
        </w:rPr>
      </w:pPr>
      <w:r>
        <w:rPr>
          <w:rFonts w:hint="eastAsia" w:ascii="仿宋_GB2312" w:hAnsi="仿宋_GB2312" w:eastAsia="仿宋_GB2312"/>
          <w:b/>
          <w:kern w:val="2"/>
          <w:sz w:val="32"/>
          <w:szCs w:val="32"/>
        </w:rPr>
        <w:t>1.充分发挥工商联作用。</w:t>
      </w:r>
      <w:r>
        <w:rPr>
          <w:rFonts w:hint="eastAsia" w:ascii="仿宋_GB2312" w:eastAsia="仿宋_GB2312"/>
          <w:sz w:val="32"/>
          <w:szCs w:val="32"/>
        </w:rPr>
        <w:t>创新工作机制，</w:t>
      </w:r>
      <w:r>
        <w:rPr>
          <w:rFonts w:hint="eastAsia" w:ascii="仿宋_GB2312" w:hAnsi="仿宋_GB2312" w:eastAsia="仿宋_GB2312"/>
          <w:kern w:val="2"/>
          <w:sz w:val="32"/>
          <w:szCs w:val="32"/>
        </w:rPr>
        <w:t>进一步加强对非公有制经济人士、工商业界人士的管理教育和服务，积极开展非公企业</w:t>
      </w:r>
      <w:r>
        <w:rPr>
          <w:rFonts w:hint="eastAsia" w:ascii="仿宋_GB2312" w:eastAsia="仿宋_GB2312"/>
          <w:sz w:val="32"/>
          <w:szCs w:val="32"/>
        </w:rPr>
        <w:t>经营状况调研，</w:t>
      </w:r>
      <w:r>
        <w:rPr>
          <w:rFonts w:hint="eastAsia" w:eastAsia="仿宋_GB2312"/>
          <w:kern w:val="2"/>
          <w:sz w:val="32"/>
          <w:szCs w:val="24"/>
        </w:rPr>
        <w:t>积极争取政策和资金，为他们排忧解难。坚持召开非公经济代表人士座谈会，通报情况、听取意见建议，为他们建言献策、参政议政搭建平台。利用非公企业的行业特点，加强教育引导，在非公企业中开展自治自律、诚信守法活动，协助相关部门开展执法检查等工作，促进了我县非公有制经济健康发展和非公有制经济人士健康成长。</w:t>
      </w:r>
    </w:p>
    <w:p>
      <w:pPr>
        <w:pStyle w:val="41"/>
        <w:pageBreakBefore w:val="0"/>
        <w:kinsoku/>
        <w:wordWrap/>
        <w:overflowPunct/>
        <w:topLinePunct w:val="0"/>
        <w:autoSpaceDE/>
        <w:autoSpaceDN w:val="0"/>
        <w:bidi w:val="0"/>
        <w:spacing w:line="576" w:lineRule="exact"/>
        <w:ind w:left="0" w:leftChars="0" w:firstLine="643" w:firstLineChars="200"/>
        <w:textAlignment w:val="baseline"/>
        <w:rPr>
          <w:rFonts w:ascii="仿宋_GB2312" w:hAnsi="仿宋_GB2312" w:eastAsia="仿宋_GB2312"/>
          <w:sz w:val="32"/>
          <w:szCs w:val="32"/>
        </w:rPr>
      </w:pPr>
      <w:r>
        <w:rPr>
          <w:rFonts w:hint="eastAsia" w:ascii="仿宋_GB2312" w:eastAsia="仿宋_GB2312"/>
          <w:b/>
          <w:sz w:val="32"/>
          <w:szCs w:val="32"/>
        </w:rPr>
        <w:t>2.</w:t>
      </w:r>
      <w:r>
        <w:rPr>
          <w:rFonts w:hint="eastAsia" w:ascii="仿宋_GB2312" w:hAnsi="仿宋_GB2312" w:eastAsia="仿宋_GB2312"/>
          <w:b/>
          <w:sz w:val="32"/>
          <w:szCs w:val="32"/>
        </w:rPr>
        <w:t>积极引导、组织非公企业开展光彩事业。</w:t>
      </w:r>
      <w:r>
        <w:rPr>
          <w:rFonts w:hint="eastAsia" w:ascii="仿宋_GB2312" w:hAnsi="仿宋_GB2312" w:eastAsia="仿宋_GB2312"/>
          <w:sz w:val="32"/>
          <w:szCs w:val="32"/>
        </w:rPr>
        <w:t>认真开展“万</w:t>
      </w:r>
      <w:r>
        <w:rPr>
          <w:rFonts w:ascii="仿宋_GB2312" w:hAnsi="仿宋_GB2312" w:eastAsia="仿宋_GB2312"/>
          <w:sz w:val="32"/>
          <w:szCs w:val="32"/>
        </w:rPr>
        <w:t>企帮万村</w:t>
      </w:r>
      <w:r>
        <w:rPr>
          <w:rFonts w:hint="eastAsia" w:ascii="仿宋_GB2312" w:hAnsi="仿宋_GB2312" w:eastAsia="仿宋_GB2312"/>
          <w:sz w:val="32"/>
          <w:szCs w:val="32"/>
        </w:rPr>
        <w:t>”活动，</w:t>
      </w:r>
      <w:r>
        <w:rPr>
          <w:rFonts w:ascii="仿宋_GB2312" w:hAnsi="仿宋_GB2312" w:eastAsia="仿宋_GB2312"/>
          <w:sz w:val="32"/>
          <w:szCs w:val="32"/>
        </w:rPr>
        <w:t>助推脱贫攻坚工作。</w:t>
      </w:r>
      <w:r>
        <w:rPr>
          <w:rFonts w:hint="eastAsia" w:ascii="仿宋_GB2312" w:hAnsi="仿宋_GB2312" w:eastAsia="仿宋_GB2312"/>
          <w:sz w:val="32"/>
          <w:szCs w:val="32"/>
        </w:rPr>
        <w:t>在非公人士中开展“致富思源，富而思进”教育活动，积极组织非公人士参与光彩事业，为政府分忧，回报社会。全县非公人士踊跃为慈善基金、贫困学生、贫困僧尼和受灾地区捐款捐物，</w:t>
      </w:r>
      <w:r>
        <w:rPr>
          <w:rFonts w:ascii="仿宋_GB2312" w:hAnsi="仿宋_GB2312" w:eastAsia="仿宋_GB2312"/>
          <w:sz w:val="32"/>
          <w:szCs w:val="32"/>
        </w:rPr>
        <w:t>积极践行红原</w:t>
      </w:r>
      <w:r>
        <w:rPr>
          <w:rFonts w:hint="eastAsia" w:ascii="仿宋_GB2312" w:hAnsi="仿宋_GB2312" w:eastAsia="仿宋_GB2312"/>
          <w:sz w:val="32"/>
          <w:szCs w:val="32"/>
        </w:rPr>
        <w:t>“</w:t>
      </w:r>
      <w:r>
        <w:rPr>
          <w:rFonts w:ascii="仿宋_GB2312" w:hAnsi="仿宋_GB2312" w:eastAsia="仿宋_GB2312"/>
          <w:sz w:val="32"/>
          <w:szCs w:val="32"/>
        </w:rPr>
        <w:t>新民风</w:t>
      </w:r>
      <w:r>
        <w:rPr>
          <w:rFonts w:hint="eastAsia" w:ascii="仿宋_GB2312" w:hAnsi="仿宋_GB2312" w:eastAsia="仿宋_GB2312"/>
          <w:sz w:val="32"/>
          <w:szCs w:val="32"/>
        </w:rPr>
        <w:t>”。同时，积极协调组织外地商会、非公企业在我县开展捐资助学、</w:t>
      </w:r>
      <w:r>
        <w:rPr>
          <w:rFonts w:ascii="仿宋_GB2312" w:hAnsi="仿宋_GB2312" w:eastAsia="仿宋_GB2312"/>
          <w:sz w:val="32"/>
          <w:szCs w:val="32"/>
        </w:rPr>
        <w:t>扶贫帮困</w:t>
      </w:r>
      <w:r>
        <w:rPr>
          <w:rFonts w:hint="eastAsia" w:ascii="仿宋_GB2312" w:hAnsi="仿宋_GB2312" w:eastAsia="仿宋_GB2312"/>
          <w:sz w:val="32"/>
          <w:szCs w:val="32"/>
        </w:rPr>
        <w:t>等活动，取得良好</w:t>
      </w:r>
      <w:r>
        <w:rPr>
          <w:rFonts w:ascii="仿宋_GB2312" w:hAnsi="仿宋_GB2312" w:eastAsia="仿宋_GB2312"/>
          <w:sz w:val="32"/>
          <w:szCs w:val="32"/>
        </w:rPr>
        <w:t>效果</w:t>
      </w:r>
      <w:r>
        <w:rPr>
          <w:rFonts w:hint="eastAsia" w:ascii="仿宋_GB2312" w:hAnsi="仿宋_GB2312" w:eastAsia="仿宋_GB2312"/>
          <w:sz w:val="32"/>
          <w:szCs w:val="32"/>
        </w:rPr>
        <w:t>。</w:t>
      </w:r>
    </w:p>
    <w:p>
      <w:pPr>
        <w:pageBreakBefore w:val="0"/>
        <w:kinsoku/>
        <w:wordWrap/>
        <w:overflowPunct/>
        <w:topLinePunct w:val="0"/>
        <w:autoSpaceDE/>
        <w:bidi w:val="0"/>
        <w:spacing w:line="576" w:lineRule="exact"/>
        <w:ind w:left="0" w:leftChars="0" w:firstLine="643" w:firstLineChars="200"/>
        <w:rPr>
          <w:rFonts w:ascii="楷体_GB2312" w:hAnsi="宋体" w:eastAsia="楷体_GB2312"/>
          <w:b/>
        </w:rPr>
      </w:pPr>
      <w:r>
        <w:rPr>
          <w:rFonts w:hint="eastAsia" w:ascii="楷体_GB2312" w:hAnsi="宋体" w:eastAsia="楷体_GB2312"/>
          <w:b/>
          <w:bCs/>
        </w:rPr>
        <w:t>（四）回国</w:t>
      </w:r>
      <w:r>
        <w:rPr>
          <w:rFonts w:hint="eastAsia" w:ascii="楷体_GB2312" w:hAnsi="宋体" w:eastAsia="楷体_GB2312"/>
          <w:b/>
        </w:rPr>
        <w:t>藏胞工作</w:t>
      </w:r>
      <w:r>
        <w:rPr>
          <w:rFonts w:hint="eastAsia"/>
          <w:szCs w:val="24"/>
        </w:rPr>
        <w:t>进一步做好我县国外藏胞基础工作，有效开展国外藏胞回国申请、审批、接待、管理工作，有序推进藏胞工作。</w:t>
      </w:r>
    </w:p>
    <w:p>
      <w:pPr>
        <w:pageBreakBefore w:val="0"/>
        <w:kinsoku/>
        <w:wordWrap/>
        <w:overflowPunct/>
        <w:topLinePunct w:val="0"/>
        <w:autoSpaceDE/>
        <w:bidi w:val="0"/>
        <w:spacing w:line="576" w:lineRule="exact"/>
        <w:ind w:left="0" w:leftChars="0" w:firstLine="643" w:firstLineChars="200"/>
        <w:rPr>
          <w:rFonts w:hAnsi="仿宋_GB2312"/>
          <w:bCs/>
        </w:rPr>
      </w:pPr>
      <w:r>
        <w:rPr>
          <w:rFonts w:hint="eastAsia" w:hAnsi="楷体_GB2312"/>
          <w:b/>
        </w:rPr>
        <w:t>1.夯实国外藏胞基础工作。</w:t>
      </w:r>
      <w:r>
        <w:rPr>
          <w:rFonts w:hint="eastAsia" w:hAnsi="仿宋_GB2312"/>
          <w:bCs/>
        </w:rPr>
        <w:t>深入基层，深入相关部门，对全县国外藏胞情况进行再摸排、再核实，进一步夯实了国外藏胞的基础数据，建立健全了人头档案。</w:t>
      </w:r>
    </w:p>
    <w:p>
      <w:pPr>
        <w:pageBreakBefore w:val="0"/>
        <w:kinsoku/>
        <w:wordWrap/>
        <w:overflowPunct/>
        <w:topLinePunct w:val="0"/>
        <w:autoSpaceDE/>
        <w:bidi w:val="0"/>
        <w:spacing w:line="576" w:lineRule="exact"/>
        <w:ind w:left="0" w:leftChars="0" w:firstLine="643" w:firstLineChars="200"/>
        <w:rPr>
          <w:rFonts w:hint="eastAsia" w:hAnsi="仿宋_GB2312"/>
          <w:bCs/>
        </w:rPr>
      </w:pPr>
      <w:r>
        <w:rPr>
          <w:rFonts w:hint="eastAsia" w:hAnsi="仿宋_GB2312"/>
          <w:b/>
          <w:bCs/>
        </w:rPr>
        <w:t>2.</w:t>
      </w:r>
      <w:r>
        <w:rPr>
          <w:rFonts w:hint="eastAsia" w:hAnsi="楷体_GB2312"/>
          <w:b/>
        </w:rPr>
        <w:t>有效开展国外藏胞回国探亲、朝佛、旅游、捐赠的审批、接待、管理工作。</w:t>
      </w:r>
      <w:r>
        <w:rPr>
          <w:rFonts w:hint="eastAsia" w:hAnsi="仿宋_GB2312"/>
          <w:bCs/>
        </w:rPr>
        <w:t>今年以来共受理审批回国探亲申请1</w:t>
      </w:r>
      <w:r>
        <w:rPr>
          <w:rFonts w:hAnsi="仿宋_GB2312"/>
          <w:bCs/>
        </w:rPr>
        <w:t>4</w:t>
      </w:r>
      <w:r>
        <w:rPr>
          <w:rFonts w:hint="eastAsia" w:hAnsi="仿宋_GB2312"/>
          <w:bCs/>
        </w:rPr>
        <w:t>人，批准12人</w:t>
      </w:r>
      <w:r>
        <w:rPr>
          <w:rFonts w:hAnsi="仿宋_GB2312"/>
          <w:bCs/>
        </w:rPr>
        <w:t>，</w:t>
      </w:r>
      <w:r>
        <w:rPr>
          <w:rFonts w:hint="eastAsia" w:hAnsi="仿宋_GB2312"/>
          <w:bCs/>
        </w:rPr>
        <w:t>已回国</w:t>
      </w:r>
      <w:r>
        <w:rPr>
          <w:rFonts w:hAnsi="仿宋_GB2312"/>
          <w:bCs/>
        </w:rPr>
        <w:t>19</w:t>
      </w:r>
      <w:r>
        <w:rPr>
          <w:rFonts w:hint="eastAsia" w:hAnsi="仿宋_GB2312"/>
          <w:bCs/>
        </w:rPr>
        <w:t>人。受理审批过程中，分行业、分地区层层落实责任，分别由亲属所在地或探访地的村“两委”、乡党委政府、县公安局逐层</w:t>
      </w:r>
      <w:r>
        <w:rPr>
          <w:rFonts w:hint="eastAsia" w:hAnsi="仿宋_GB2312"/>
          <w:bCs/>
          <w:lang w:eastAsia="zh-CN"/>
        </w:rPr>
        <w:t>签署</w:t>
      </w:r>
      <w:r>
        <w:rPr>
          <w:rFonts w:hint="eastAsia" w:hAnsi="仿宋_GB2312"/>
          <w:bCs/>
        </w:rPr>
        <w:t>意见，再由藏胞办审定是否同意回国。对已回国的回国藏胞，均进行了接待，并多次召开座谈会，向他们宣传国家的相关政策法规和党的富民惠民政策，了解其在国外的生产、生活情况，并随时掌握其动态。</w:t>
      </w:r>
    </w:p>
    <w:p>
      <w:pPr>
        <w:pageBreakBefore w:val="0"/>
        <w:kinsoku/>
        <w:wordWrap/>
        <w:overflowPunct/>
        <w:topLinePunct w:val="0"/>
        <w:autoSpaceDE/>
        <w:bidi w:val="0"/>
        <w:spacing w:line="576" w:lineRule="exact"/>
        <w:ind w:left="0" w:leftChars="0" w:firstLine="643" w:firstLineChars="200"/>
        <w:rPr>
          <w:rFonts w:hAnsi="仿宋_GB2312"/>
          <w:bCs/>
        </w:rPr>
      </w:pPr>
      <w:r>
        <w:rPr>
          <w:rFonts w:hint="eastAsia" w:hAnsi="仿宋_GB2312"/>
          <w:b/>
          <w:bCs/>
        </w:rPr>
        <w:t>3.</w:t>
      </w:r>
      <w:r>
        <w:rPr>
          <w:rFonts w:hint="eastAsia" w:hAnsi="楷体_GB2312"/>
          <w:b/>
        </w:rPr>
        <w:t>加强回流人员的掌控。</w:t>
      </w:r>
      <w:r>
        <w:rPr>
          <w:rFonts w:hint="eastAsia" w:hAnsi="仿宋_GB2312"/>
          <w:bCs/>
        </w:rPr>
        <w:t>切实加强藏胞办、公安国保等部门的协同配合，充分发挥情报信息的作用，进一步了解和掌握了我县私自越境和非法回流人员情况，进一步健全了相关的档案信息。今年我县对生活困难、</w:t>
      </w:r>
      <w:r>
        <w:rPr>
          <w:rFonts w:hAnsi="仿宋_GB2312"/>
          <w:bCs/>
        </w:rPr>
        <w:t>因病去世</w:t>
      </w:r>
      <w:r>
        <w:rPr>
          <w:rFonts w:hint="eastAsia" w:hAnsi="仿宋_GB2312"/>
          <w:bCs/>
        </w:rPr>
        <w:t>的年老回国定居藏胞进行了慰问，对滞留藏胞分别进行了个别谈话，了解了他们在国外的生产、生活情况，严密掌握其动态。</w:t>
      </w:r>
    </w:p>
    <w:p>
      <w:pPr>
        <w:pageBreakBefore w:val="0"/>
        <w:kinsoku/>
        <w:wordWrap/>
        <w:overflowPunct/>
        <w:topLinePunct w:val="0"/>
        <w:autoSpaceDE/>
        <w:bidi w:val="0"/>
        <w:spacing w:line="576" w:lineRule="exact"/>
        <w:ind w:left="0" w:leftChars="0" w:firstLine="643" w:firstLineChars="200"/>
        <w:rPr>
          <w:rFonts w:ascii="楷体_GB2312" w:hAnsi="宋体" w:eastAsia="楷体_GB2312"/>
          <w:b/>
          <w:bCs/>
        </w:rPr>
      </w:pPr>
      <w:r>
        <w:rPr>
          <w:rFonts w:hint="eastAsia" w:ascii="楷体_GB2312" w:hAnsi="宋体" w:eastAsia="楷体_GB2312"/>
          <w:b/>
          <w:bCs/>
        </w:rPr>
        <w:t>（五）脱贫攻坚</w:t>
      </w:r>
      <w:r>
        <w:rPr>
          <w:rFonts w:ascii="楷体_GB2312" w:hAnsi="宋体" w:eastAsia="楷体_GB2312"/>
          <w:b/>
          <w:bCs/>
        </w:rPr>
        <w:t>工作</w:t>
      </w:r>
      <w:r>
        <w:rPr>
          <w:rFonts w:hint="eastAsia" w:hAnsi="楷体_GB2312"/>
          <w:b/>
        </w:rPr>
        <w:t>。</w:t>
      </w:r>
      <w:r>
        <w:rPr>
          <w:rFonts w:hint="eastAsia"/>
        </w:rPr>
        <w:t>县委统战部</w:t>
      </w:r>
      <w:r>
        <w:t>联系</w:t>
      </w:r>
      <w:r>
        <w:rPr>
          <w:rFonts w:hint="eastAsia"/>
        </w:rPr>
        <w:t>色地镇让里村，</w:t>
      </w:r>
      <w:r>
        <w:t>该村</w:t>
      </w:r>
      <w:r>
        <w:rPr>
          <w:rFonts w:hint="eastAsia" w:ascii="仿宋" w:hAnsi="仿宋" w:eastAsia="仿宋"/>
        </w:rPr>
        <w:t>共有</w:t>
      </w:r>
      <w:r>
        <w:rPr>
          <w:rFonts w:ascii="仿宋" w:hAnsi="仿宋" w:eastAsia="仿宋" w:cs="仿宋"/>
        </w:rPr>
        <w:t>580</w:t>
      </w:r>
      <w:r>
        <w:rPr>
          <w:rFonts w:hint="eastAsia" w:ascii="仿宋" w:hAnsi="仿宋" w:eastAsia="仿宋" w:cs="仿宋"/>
        </w:rPr>
        <w:t>户</w:t>
      </w:r>
      <w:r>
        <w:rPr>
          <w:rFonts w:ascii="仿宋" w:hAnsi="仿宋" w:eastAsia="仿宋" w:cs="仿宋"/>
        </w:rPr>
        <w:t>2507</w:t>
      </w:r>
      <w:r>
        <w:rPr>
          <w:rFonts w:hint="eastAsia" w:ascii="仿宋" w:hAnsi="仿宋" w:eastAsia="仿宋" w:cs="仿宋"/>
        </w:rPr>
        <w:t>人，</w:t>
      </w:r>
      <w:r>
        <w:rPr>
          <w:rFonts w:hint="eastAsia" w:ascii="仿宋" w:hAnsi="仿宋" w:eastAsia="仿宋"/>
        </w:rPr>
        <w:t>现有建档立卡贫困户142户（包括已脱贫66户），</w:t>
      </w:r>
      <w:r>
        <w:rPr>
          <w:rFonts w:ascii="仿宋" w:hAnsi="仿宋" w:eastAsia="仿宋"/>
        </w:rPr>
        <w:t>是我县建档立卡贫困户人数最多的村</w:t>
      </w:r>
      <w:r>
        <w:rPr>
          <w:rFonts w:hint="eastAsia" w:ascii="仿宋" w:hAnsi="仿宋" w:eastAsia="仿宋"/>
        </w:rPr>
        <w:t>。</w:t>
      </w:r>
      <w:r>
        <w:rPr>
          <w:rFonts w:hint="eastAsia"/>
        </w:rPr>
        <w:t>今年以来，按照省、州、县脱贫攻坚工作要求，我部多次召开专题会议，对脱贫攻坚工作进行安排部署，不断加大机关干部联系帮扶贫困户力度。十余次</w:t>
      </w:r>
      <w:r>
        <w:t>组织部机关干部职工</w:t>
      </w:r>
      <w:r>
        <w:rPr>
          <w:rFonts w:hint="eastAsia"/>
        </w:rPr>
        <w:t>深入贫困群众家中，实地了解情况，出方法、想对策，帮助贫困群众解决实际困难问题，一</w:t>
      </w:r>
      <w:r>
        <w:t>年来全部机关干部</w:t>
      </w:r>
      <w:r>
        <w:rPr>
          <w:rFonts w:hint="eastAsia"/>
        </w:rPr>
        <w:t>深入让里村开展走访慰问活动上百余人次，发放慰问资金</w:t>
      </w:r>
      <w:r>
        <w:rPr>
          <w:rFonts w:hint="eastAsia"/>
          <w:lang w:eastAsia="zh-CN"/>
        </w:rPr>
        <w:t>及</w:t>
      </w:r>
      <w:r>
        <w:rPr>
          <w:rFonts w:hint="eastAsia"/>
        </w:rPr>
        <w:t>物资。我部还选派1名优秀干部</w:t>
      </w:r>
      <w:r>
        <w:t>担任让里村</w:t>
      </w:r>
      <w:r>
        <w:rPr>
          <w:rFonts w:hint="eastAsia"/>
        </w:rPr>
        <w:t>第一书记，1名驻村工作组成员专职开展脱贫攻坚工作。</w:t>
      </w:r>
    </w:p>
    <w:p>
      <w:pPr>
        <w:pageBreakBefore w:val="0"/>
        <w:widowControl/>
        <w:kinsoku/>
        <w:wordWrap/>
        <w:overflowPunct/>
        <w:topLinePunct w:val="0"/>
        <w:autoSpaceDE/>
        <w:autoSpaceDN w:val="0"/>
        <w:bidi w:val="0"/>
        <w:spacing w:line="576" w:lineRule="exact"/>
        <w:ind w:left="0" w:leftChars="0" w:firstLine="643" w:firstLineChars="200"/>
        <w:rPr>
          <w:rFonts w:ascii="楷体_GB2312" w:eastAsia="楷体_GB2312"/>
          <w:b/>
          <w:kern w:val="0"/>
        </w:rPr>
      </w:pPr>
      <w:r>
        <w:rPr>
          <w:rFonts w:hint="eastAsia" w:ascii="楷体_GB2312" w:eastAsia="楷体_GB2312"/>
          <w:b/>
        </w:rPr>
        <w:t>（六）存在的主要问题和原因</w:t>
      </w:r>
    </w:p>
    <w:p>
      <w:pPr>
        <w:pStyle w:val="41"/>
        <w:pageBreakBefore w:val="0"/>
        <w:kinsoku/>
        <w:wordWrap/>
        <w:overflowPunct/>
        <w:topLinePunct w:val="0"/>
        <w:autoSpaceDE/>
        <w:bidi w:val="0"/>
        <w:spacing w:line="576" w:lineRule="exact"/>
        <w:ind w:left="0" w:leftChars="0" w:firstLine="643" w:firstLineChars="200"/>
        <w:rPr>
          <w:rFonts w:ascii="仿宋_GB2312" w:eastAsia="仿宋_GB2312"/>
          <w:kern w:val="2"/>
          <w:sz w:val="32"/>
          <w:szCs w:val="32"/>
        </w:rPr>
      </w:pPr>
      <w:r>
        <w:rPr>
          <w:rFonts w:hint="eastAsia" w:ascii="仿宋_GB2312" w:eastAsia="仿宋_GB2312"/>
          <w:b/>
          <w:bCs/>
          <w:sz w:val="32"/>
          <w:szCs w:val="32"/>
        </w:rPr>
        <w:t>1.宣传教育任重道远。</w:t>
      </w:r>
      <w:r>
        <w:rPr>
          <w:rFonts w:hint="eastAsia" w:ascii="仿宋_GB2312" w:eastAsia="仿宋_GB2312"/>
          <w:kern w:val="2"/>
          <w:sz w:val="32"/>
          <w:szCs w:val="32"/>
        </w:rPr>
        <w:t>爱国主义和法制宣传教育是一项长期的系统工程，一个阶段或一个时期的学习教育远不能解决牧民群众和僧尼在思想认识上存在的差距，加之宣传教育的手段和方法有限，其成效也受限。故需将此项工作长期贯穿于民族政策宣传、宗教管理服务的各项工作中，在广度和深度上下功夫。</w:t>
      </w:r>
    </w:p>
    <w:p>
      <w:pPr>
        <w:pageBreakBefore w:val="0"/>
        <w:kinsoku/>
        <w:wordWrap/>
        <w:overflowPunct/>
        <w:topLinePunct w:val="0"/>
        <w:autoSpaceDE/>
        <w:bidi w:val="0"/>
        <w:spacing w:line="576" w:lineRule="exact"/>
        <w:ind w:left="0" w:leftChars="0" w:firstLine="643" w:firstLineChars="200"/>
        <w:rPr>
          <w:rFonts w:ascii="楷体_GB2312" w:eastAsia="楷体_GB2312"/>
          <w:b/>
          <w:bCs/>
        </w:rPr>
      </w:pPr>
      <w:r>
        <w:rPr>
          <w:rFonts w:hint="eastAsia"/>
          <w:b/>
          <w:bCs/>
        </w:rPr>
        <w:t>2.寺庙基础设施建设</w:t>
      </w:r>
      <w:r>
        <w:rPr>
          <w:rFonts w:hint="eastAsia" w:hAnsi="仿宋_GB2312"/>
          <w:b/>
        </w:rPr>
        <w:t>仍需加强。</w:t>
      </w:r>
      <w:r>
        <w:rPr>
          <w:rFonts w:hint="eastAsia"/>
        </w:rPr>
        <w:t>近年来，涉及寺庙建设方面的项目资金不断增加，但离现实的需求还有一定差距。希望上级领导部门继续加大这方面的投入，将寺庙基础设施建设、公共服务项目纳入规划，给予项目和资金支持，加大寺庙规划、危房改建、社会化管理、社会保障等工作力度，不断增强党在寺庙和僧众中的凝聚力和感召力。</w:t>
      </w:r>
    </w:p>
    <w:p>
      <w:pPr>
        <w:pageBreakBefore w:val="0"/>
        <w:kinsoku/>
        <w:wordWrap/>
        <w:overflowPunct/>
        <w:topLinePunct w:val="0"/>
        <w:autoSpaceDE/>
        <w:bidi w:val="0"/>
        <w:spacing w:line="576" w:lineRule="exact"/>
        <w:ind w:left="0" w:leftChars="0" w:firstLine="643" w:firstLineChars="200"/>
        <w:rPr>
          <w:rFonts w:hint="eastAsia" w:hAnsi="仿宋_GB2312"/>
        </w:rPr>
      </w:pPr>
      <w:r>
        <w:rPr>
          <w:rFonts w:hint="eastAsia" w:hAnsi="楷体_GB2312"/>
          <w:b/>
          <w:bCs/>
        </w:rPr>
        <w:t>3.</w:t>
      </w:r>
      <w:r>
        <w:rPr>
          <w:rFonts w:hint="eastAsia" w:hAnsi="仿宋_GB2312"/>
          <w:b/>
        </w:rPr>
        <w:t>寺管干部队伍建设</w:t>
      </w:r>
      <w:r>
        <w:rPr>
          <w:rFonts w:hint="eastAsia"/>
          <w:b/>
          <w:bCs/>
        </w:rPr>
        <w:t>有待提高。</w:t>
      </w:r>
      <w:r>
        <w:rPr>
          <w:rFonts w:hint="eastAsia" w:hAnsi="楷体_GB2312"/>
          <w:bCs/>
        </w:rPr>
        <w:t>寺庙管理部门</w:t>
      </w:r>
      <w:r>
        <w:rPr>
          <w:rFonts w:hint="eastAsia" w:hAnsi="仿宋_GB2312"/>
        </w:rPr>
        <w:t>工作点多、面宽、量大，对干部素质提出了很高的要求，需进一步加强对宗教工作干部的培训培养力度，建立一支政治强、素质高、作风硬的宗教工作干部队伍。</w:t>
      </w:r>
    </w:p>
    <w:p>
      <w:pPr>
        <w:pageBreakBefore w:val="0"/>
        <w:kinsoku/>
        <w:wordWrap/>
        <w:overflowPunct/>
        <w:topLinePunct w:val="0"/>
        <w:autoSpaceDE/>
        <w:bidi w:val="0"/>
        <w:spacing w:line="576" w:lineRule="exact"/>
        <w:ind w:left="0" w:leftChars="0" w:firstLine="640" w:firstLineChars="200"/>
        <w:rPr>
          <w:rFonts w:hint="eastAsia" w:ascii="黑体" w:hAnsi="黑体" w:eastAsia="黑体" w:cs="黑体"/>
          <w:lang w:eastAsia="zh-CN"/>
        </w:rPr>
      </w:pPr>
      <w:r>
        <w:rPr>
          <w:rFonts w:hint="eastAsia" w:ascii="黑体" w:hAnsi="黑体" w:eastAsia="黑体" w:cs="黑体"/>
          <w:lang w:eastAsia="zh-CN"/>
        </w:rPr>
        <w:t>二、机构设置</w:t>
      </w:r>
    </w:p>
    <w:p>
      <w:pPr>
        <w:keepNext w:val="0"/>
        <w:keepLines w:val="0"/>
        <w:pageBreakBefore w:val="0"/>
        <w:widowControl w:val="0"/>
        <w:numPr>
          <w:ilvl w:val="0"/>
          <w:numId w:val="1"/>
        </w:numPr>
        <w:kinsoku/>
        <w:wordWrap/>
        <w:overflowPunct/>
        <w:topLinePunct w:val="0"/>
        <w:autoSpaceDE/>
        <w:autoSpaceDN/>
        <w:bidi w:val="0"/>
        <w:adjustRightInd/>
        <w:snapToGrid/>
        <w:spacing w:line="576" w:lineRule="exact"/>
        <w:ind w:left="0" w:leftChars="0" w:right="0" w:rightChars="0" w:firstLine="643"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办公室</w:t>
      </w:r>
      <w:r>
        <w:rPr>
          <w:rFonts w:hint="eastAsia" w:ascii="仿宋_GB2312" w:hAnsi="仿宋_GB2312" w:eastAsia="仿宋_GB2312" w:cs="仿宋_GB2312"/>
          <w:b w:val="0"/>
          <w:bCs w:val="0"/>
          <w:sz w:val="32"/>
          <w:szCs w:val="32"/>
          <w:lang w:val="en-US" w:eastAsia="zh-CN"/>
        </w:rPr>
        <w:t>负责内外联系，综合协调工作；负责公文处理和文书档案管理；负责会务、信息、信访、接待、财务、保密、安全、固定资产的管理工作；负责调查研究统战理论、方针、政策在我县的贯彻执行情况；负责本部重要文稿和部分综合性文稿的起草。</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组织、协调统战系统的大型调研活动；负责统战宣传、协调统战系统的宣传活动；负责征集、整理我县统战工作史料、资料，完成县委、</w:t>
      </w:r>
      <w:r>
        <w:rPr>
          <w:rFonts w:hint="eastAsia" w:hAnsi="仿宋_GB2312" w:cs="仿宋_GB2312"/>
          <w:b w:val="0"/>
          <w:bCs w:val="0"/>
          <w:sz w:val="32"/>
          <w:szCs w:val="32"/>
          <w:lang w:val="en-US" w:eastAsia="zh-CN"/>
        </w:rPr>
        <w:t>县</w:t>
      </w:r>
      <w:bookmarkStart w:id="70" w:name="_GoBack"/>
      <w:bookmarkEnd w:id="70"/>
      <w:r>
        <w:rPr>
          <w:rFonts w:hint="eastAsia" w:ascii="仿宋_GB2312" w:hAnsi="仿宋_GB2312" w:eastAsia="仿宋_GB2312" w:cs="仿宋_GB2312"/>
          <w:b w:val="0"/>
          <w:bCs w:val="0"/>
          <w:sz w:val="32"/>
          <w:szCs w:val="32"/>
          <w:lang w:val="en-US" w:eastAsia="zh-CN"/>
        </w:rPr>
        <w:t>政府和州委统战部交办的有关统战史志的编纂工作。</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会同有关部门做好对党外人士政治安排，担任政府及其部门领导职务的选拔，培养、推荐工作；负责县级党外后备干部和新的代表人物队伍建设；负责党外干部和统战干部的培训。</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负责联系有影响、有代表性的非党知识分子，调查我县党外知识分子的情况，反映其思想动态，提出对党外知识分子政策的意见和建议；参与县有关知识分子政策的制定。督促、检查落实情况；联系和指导国营企业、科教文卫中党外知识分子的统战工作。</w:t>
      </w:r>
    </w:p>
    <w:p>
      <w:pPr>
        <w:keepNext w:val="0"/>
        <w:keepLines w:val="0"/>
        <w:pageBreakBefore w:val="0"/>
        <w:widowControl w:val="0"/>
        <w:numPr>
          <w:ilvl w:val="0"/>
          <w:numId w:val="1"/>
        </w:numPr>
        <w:kinsoku/>
        <w:wordWrap/>
        <w:overflowPunct/>
        <w:topLinePunct w:val="0"/>
        <w:autoSpaceDE/>
        <w:autoSpaceDN/>
        <w:bidi w:val="0"/>
        <w:adjustRightInd/>
        <w:snapToGrid/>
        <w:spacing w:line="576" w:lineRule="exact"/>
        <w:ind w:left="0" w:leftChars="0" w:right="0" w:rightChars="0" w:firstLine="643"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楷体_GB2312" w:hAnsi="楷体_GB2312" w:eastAsia="楷体_GB2312" w:cs="楷体_GB2312"/>
          <w:b/>
          <w:bCs/>
          <w:sz w:val="32"/>
          <w:szCs w:val="32"/>
          <w:lang w:val="en-US" w:eastAsia="zh-CN"/>
        </w:rPr>
        <w:t>综合股</w:t>
      </w:r>
      <w:r>
        <w:rPr>
          <w:rFonts w:hint="eastAsia" w:ascii="仿宋_GB2312" w:hAnsi="仿宋_GB2312" w:eastAsia="仿宋_GB2312" w:cs="仿宋_GB2312"/>
          <w:b w:val="0"/>
          <w:bCs w:val="0"/>
          <w:sz w:val="32"/>
          <w:szCs w:val="32"/>
          <w:lang w:val="en-US" w:eastAsia="zh-CN"/>
        </w:rPr>
        <w:t>了解民族、宗教政策的贯彻执行情况，对民族、宗教方面的现实问题和理论问题进行待查研究并提出政策性建议，掌握民族宗教方面的基本情况；联系有影响、有代表性的少数民族人士和宗教界人士，协助有关部门做好民族、宗教界新的代表人物的培养考察和举荐工作，负责对宗教界的爱国主义和社会主义教育，协调有关部门对达赖集团等敌对势力分裂祖国的活动进行坚决的斗争，负责县委台湾工作领导小组办公室的日常事务工作。</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负责联系县工商联（商会）及工商经济界代表人士，开展对非公有经济代表人物情况的调查并提出政策性建议，做好非公制经济代表人士的思想政治工作。</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负责与县民族宗教局、县佛协、县工商联（商会）的工作联系。</w:t>
      </w:r>
    </w:p>
    <w:p>
      <w:pPr>
        <w:keepNext w:val="0"/>
        <w:keepLines w:val="0"/>
        <w:pageBreakBefore w:val="0"/>
        <w:widowControl w:val="0"/>
        <w:numPr>
          <w:ilvl w:val="0"/>
          <w:numId w:val="1"/>
        </w:numPr>
        <w:kinsoku/>
        <w:wordWrap/>
        <w:overflowPunct/>
        <w:topLinePunct w:val="0"/>
        <w:autoSpaceDE/>
        <w:autoSpaceDN/>
        <w:bidi w:val="0"/>
        <w:adjustRightInd/>
        <w:snapToGrid/>
        <w:spacing w:line="576" w:lineRule="exact"/>
        <w:ind w:left="0" w:leftChars="0" w:right="0" w:rightChars="0" w:firstLine="643" w:firstLineChars="200"/>
        <w:jc w:val="left"/>
        <w:textAlignment w:val="auto"/>
        <w:outlineLvl w:val="9"/>
        <w:rPr>
          <w:rFonts w:hint="eastAsia" w:ascii="仿宋_GB2312" w:hAnsi="仿宋_GB2312" w:eastAsia="仿宋_GB2312" w:cs="仿宋_GB2312"/>
          <w:b/>
          <w:bCs/>
          <w:sz w:val="32"/>
          <w:szCs w:val="32"/>
          <w:lang w:val="en-US" w:eastAsia="zh-CN"/>
        </w:rPr>
      </w:pPr>
      <w:r>
        <w:rPr>
          <w:rFonts w:hint="eastAsia" w:ascii="楷体_GB2312" w:hAnsi="楷体_GB2312" w:eastAsia="楷体_GB2312" w:cs="楷体_GB2312"/>
          <w:b/>
          <w:bCs/>
          <w:sz w:val="32"/>
          <w:szCs w:val="32"/>
          <w:lang w:val="en-US" w:eastAsia="zh-CN"/>
        </w:rPr>
        <w:t>对国外藏胞工作领导小组办公室</w:t>
      </w:r>
    </w:p>
    <w:p>
      <w:pPr>
        <w:keepNext w:val="0"/>
        <w:keepLines w:val="0"/>
        <w:pageBreakBefore w:val="0"/>
        <w:widowControl w:val="0"/>
        <w:numPr>
          <w:ilvl w:val="0"/>
          <w:numId w:val="0"/>
        </w:numPr>
        <w:kinsoku/>
        <w:wordWrap/>
        <w:overflowPunct/>
        <w:topLinePunct w:val="0"/>
        <w:autoSpaceDE/>
        <w:autoSpaceDN/>
        <w:bidi w:val="0"/>
        <w:adjustRightInd/>
        <w:snapToGrid/>
        <w:spacing w:line="576" w:lineRule="exact"/>
        <w:ind w:left="0" w:leftChars="0" w:right="0" w:rightChars="0" w:firstLine="640" w:firstLineChars="200"/>
        <w:jc w:val="left"/>
        <w:textAlignment w:val="auto"/>
        <w:outlineLvl w:val="9"/>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负责安排和参与归国探亲藏胞的接待和管理工作，调查研究达赖集团和国外藏胞动态；调查掌握境外分裂主义分子对我县渗透破坏活动的有关情况和动态；负责国外藏胞、定居藏胞、探亲藏胞的建档立卡工作和国外藏胞亲属的统计造册工作；负责掌握全县非法越境人员和国外转世活佛；负责安排专题调研课题；负责全县对国外藏胞的对外宣传教育工作；负责开展对国外藏胞及重点人物的争取、分化工作；妥善安置归国定居藏胞；负责协助定居藏胞的宣传教育及发展生产等工作。</w:t>
      </w:r>
    </w:p>
    <w:p>
      <w:pPr>
        <w:pageBreakBefore w:val="0"/>
        <w:kinsoku/>
        <w:wordWrap/>
        <w:overflowPunct/>
        <w:topLinePunct w:val="0"/>
        <w:autoSpaceDE/>
        <w:bidi w:val="0"/>
        <w:spacing w:line="576" w:lineRule="exact"/>
        <w:ind w:left="0" w:leftChars="0" w:firstLine="640" w:firstLineChars="200"/>
        <w:jc w:val="left"/>
        <w:rPr>
          <w:rFonts w:hint="eastAsia" w:ascii="仿宋_GB2312" w:hAnsi="仿宋_GB2312" w:eastAsia="仿宋_GB2312" w:cs="仿宋_GB2312"/>
          <w:bCs/>
          <w:sz w:val="32"/>
          <w:szCs w:val="32"/>
        </w:rPr>
      </w:pPr>
      <w:r>
        <w:rPr>
          <w:rFonts w:hint="eastAsia" w:ascii="仿宋_GB2312" w:hAnsi="仿宋_GB2312" w:eastAsia="仿宋_GB2312" w:cs="仿宋_GB2312"/>
          <w:bCs/>
          <w:sz w:val="32"/>
          <w:szCs w:val="32"/>
        </w:rPr>
        <w:t>单位共有编制1</w:t>
      </w:r>
      <w:r>
        <w:rPr>
          <w:rFonts w:hint="eastAsia" w:hAnsi="仿宋_GB2312" w:cs="仿宋_GB2312"/>
          <w:bCs/>
          <w:sz w:val="32"/>
          <w:szCs w:val="32"/>
          <w:lang w:val="en-US" w:eastAsia="zh-CN"/>
        </w:rPr>
        <w:t>3</w:t>
      </w:r>
      <w:r>
        <w:rPr>
          <w:rFonts w:hint="eastAsia" w:ascii="仿宋_GB2312" w:hAnsi="仿宋_GB2312" w:eastAsia="仿宋_GB2312" w:cs="仿宋_GB2312"/>
          <w:bCs/>
          <w:sz w:val="32"/>
          <w:szCs w:val="32"/>
        </w:rPr>
        <w:t>个，其中公务员编制12个，行政工勤编制1个，在职人1</w:t>
      </w:r>
      <w:r>
        <w:rPr>
          <w:rFonts w:hint="eastAsia" w:hAnsi="仿宋_GB2312" w:cs="仿宋_GB2312"/>
          <w:bCs/>
          <w:sz w:val="32"/>
          <w:szCs w:val="32"/>
          <w:lang w:val="en-US" w:eastAsia="zh-CN"/>
        </w:rPr>
        <w:t>2</w:t>
      </w:r>
      <w:r>
        <w:rPr>
          <w:rFonts w:hint="eastAsia" w:ascii="仿宋_GB2312" w:hAnsi="仿宋_GB2312" w:eastAsia="仿宋_GB2312" w:cs="仿宋_GB2312"/>
          <w:bCs/>
          <w:sz w:val="32"/>
          <w:szCs w:val="32"/>
        </w:rPr>
        <w:t>人，其中参公0人，公务员1</w:t>
      </w:r>
      <w:r>
        <w:rPr>
          <w:rFonts w:hint="eastAsia" w:hAnsi="仿宋_GB2312" w:cs="仿宋_GB2312"/>
          <w:bCs/>
          <w:sz w:val="32"/>
          <w:szCs w:val="32"/>
          <w:lang w:val="en-US" w:eastAsia="zh-CN"/>
        </w:rPr>
        <w:t>1</w:t>
      </w:r>
      <w:r>
        <w:rPr>
          <w:rFonts w:hint="eastAsia" w:ascii="仿宋_GB2312" w:hAnsi="仿宋_GB2312" w:eastAsia="仿宋_GB2312" w:cs="仿宋_GB2312"/>
          <w:bCs/>
          <w:sz w:val="32"/>
          <w:szCs w:val="32"/>
        </w:rPr>
        <w:t>人,行政工勤1人。</w:t>
      </w:r>
    </w:p>
    <w:p>
      <w:pPr>
        <w:pageBreakBefore w:val="0"/>
        <w:kinsoku/>
        <w:wordWrap/>
        <w:overflowPunct/>
        <w:topLinePunct w:val="0"/>
        <w:autoSpaceDE/>
        <w:bidi w:val="0"/>
        <w:spacing w:line="576" w:lineRule="exact"/>
        <w:ind w:left="0" w:leftChars="0" w:firstLine="640" w:firstLineChars="200"/>
        <w:rPr>
          <w:rFonts w:hAnsi="仿宋_GB2312" w:cs="仿宋_GB2312"/>
        </w:rPr>
      </w:pPr>
    </w:p>
    <w:p>
      <w:pPr>
        <w:pStyle w:val="7"/>
        <w:pageBreakBefore w:val="0"/>
        <w:kinsoku/>
        <w:wordWrap/>
        <w:overflowPunct/>
        <w:topLinePunct w:val="0"/>
        <w:autoSpaceDE/>
        <w:bidi w:val="0"/>
        <w:spacing w:before="93" w:line="576" w:lineRule="exact"/>
        <w:ind w:left="0" w:leftChars="0" w:firstLine="600" w:firstLineChars="200"/>
      </w:pPr>
      <w:r>
        <w:br w:type="page"/>
      </w:r>
    </w:p>
    <w:p>
      <w:pPr>
        <w:pStyle w:val="2"/>
        <w:pageBreakBefore w:val="0"/>
        <w:kinsoku/>
        <w:wordWrap/>
        <w:overflowPunct/>
        <w:topLinePunct w:val="0"/>
        <w:bidi w:val="0"/>
        <w:spacing w:line="576" w:lineRule="exact"/>
        <w:ind w:left="0" w:leftChars="0" w:firstLine="640" w:firstLineChars="200"/>
      </w:pPr>
    </w:p>
    <w:bookmarkEnd w:id="16"/>
    <w:bookmarkEnd w:id="17"/>
    <w:p>
      <w:pPr>
        <w:pStyle w:val="4"/>
        <w:pageBreakBefore w:val="0"/>
        <w:numPr>
          <w:ilvl w:val="0"/>
          <w:numId w:val="2"/>
        </w:numPr>
        <w:kinsoku/>
        <w:wordWrap/>
        <w:overflowPunct/>
        <w:topLinePunct w:val="0"/>
        <w:bidi w:val="0"/>
        <w:spacing w:line="576" w:lineRule="exact"/>
        <w:ind w:left="0" w:leftChars="0" w:firstLine="880" w:firstLineChars="200"/>
        <w:rPr>
          <w:rStyle w:val="34"/>
          <w:rFonts w:ascii="黑体" w:hAnsi="黑体" w:eastAsia="黑体"/>
          <w:b w:val="0"/>
          <w:bCs w:val="0"/>
        </w:rPr>
      </w:pPr>
      <w:bookmarkStart w:id="18" w:name="_Toc15396602"/>
      <w:bookmarkStart w:id="19" w:name="_Toc15377204"/>
      <w:r>
        <w:rPr>
          <w:rStyle w:val="34"/>
          <w:rFonts w:hint="eastAsia" w:ascii="黑体" w:hAnsi="黑体" w:eastAsia="黑体"/>
          <w:b w:val="0"/>
          <w:bCs w:val="0"/>
        </w:rPr>
        <w:t>2018年度部门决算情况说明</w:t>
      </w:r>
      <w:bookmarkEnd w:id="18"/>
      <w:bookmarkEnd w:id="19"/>
      <w:bookmarkStart w:id="20" w:name="_Toc15396603"/>
      <w:bookmarkStart w:id="21" w:name="_Toc15377205"/>
    </w:p>
    <w:p>
      <w:pPr>
        <w:pStyle w:val="4"/>
        <w:pageBreakBefore w:val="0"/>
        <w:kinsoku/>
        <w:wordWrap/>
        <w:overflowPunct/>
        <w:topLinePunct w:val="0"/>
        <w:bidi w:val="0"/>
        <w:spacing w:before="0" w:after="0" w:line="576" w:lineRule="exact"/>
        <w:ind w:left="0" w:leftChars="0" w:firstLine="640" w:firstLineChars="200"/>
        <w:rPr>
          <w:rStyle w:val="35"/>
          <w:rFonts w:ascii="黑体" w:hAnsi="黑体" w:eastAsia="黑体"/>
          <w:b w:val="0"/>
          <w:bCs/>
        </w:rPr>
      </w:pPr>
      <w:r>
        <w:rPr>
          <w:rStyle w:val="35"/>
          <w:rFonts w:hint="eastAsia" w:ascii="黑体" w:hAnsi="黑体" w:eastAsia="黑体"/>
          <w:b w:val="0"/>
          <w:bCs/>
        </w:rPr>
        <w:t>一、收入支出决算总体情况说明</w:t>
      </w:r>
      <w:bookmarkEnd w:id="20"/>
      <w:bookmarkEnd w:id="21"/>
    </w:p>
    <w:p>
      <w:pPr>
        <w:pageBreakBefore w:val="0"/>
        <w:kinsoku/>
        <w:wordWrap/>
        <w:overflowPunct/>
        <w:topLinePunct w:val="0"/>
        <w:bidi w:val="0"/>
        <w:spacing w:line="576" w:lineRule="exact"/>
        <w:ind w:left="0" w:leftChars="0" w:firstLine="640" w:firstLineChars="200"/>
        <w:rPr>
          <w:rFonts w:hint="eastAsia" w:hAnsi="仿宋_GB2312" w:cs="仿宋_GB2312"/>
        </w:rPr>
      </w:pPr>
      <w:r>
        <w:rPr>
          <w:rFonts w:hint="eastAsia" w:hAnsi="仿宋_GB2312" w:cs="仿宋_GB2312"/>
        </w:rPr>
        <w:t>2018年度收入总计301.19万元。与2017年相比，收入总计减少0.67万元，减少0.01%。主要变动原因是厉行节约原则。2018年度支出总计336.34万元。与2017年相比，支出总计各增加65.96万元，增长0.65%。主要变动原因是人员工资福利增加。</w:t>
      </w:r>
    </w:p>
    <w:p>
      <w:pPr>
        <w:pageBreakBefore w:val="0"/>
        <w:kinsoku/>
        <w:wordWrap/>
        <w:overflowPunct/>
        <w:topLinePunct w:val="0"/>
        <w:bidi w:val="0"/>
        <w:spacing w:line="576" w:lineRule="exact"/>
        <w:jc w:val="center"/>
      </w:pPr>
      <w:r>
        <w:rPr>
          <w:rFonts w:hint="eastAsia" w:hAnsi="仿宋_GB2312" w:cs="仿宋_GB2312"/>
          <w:color w:val="00B0F0"/>
        </w:rPr>
        <w:drawing>
          <wp:anchor distT="0" distB="0" distL="114300" distR="114300" simplePos="0" relativeHeight="251658240" behindDoc="1" locked="0" layoutInCell="1" allowOverlap="1">
            <wp:simplePos x="0" y="0"/>
            <wp:positionH relativeFrom="column">
              <wp:posOffset>357505</wp:posOffset>
            </wp:positionH>
            <wp:positionV relativeFrom="paragraph">
              <wp:posOffset>153035</wp:posOffset>
            </wp:positionV>
            <wp:extent cx="5080000" cy="3810000"/>
            <wp:effectExtent l="4445" t="4445" r="20955" b="14605"/>
            <wp:wrapThrough wrapText="bothSides">
              <wp:wrapPolygon>
                <wp:start x="-19" y="-25"/>
                <wp:lineTo x="-19" y="21575"/>
                <wp:lineTo x="21527" y="21575"/>
                <wp:lineTo x="21527" y="-25"/>
                <wp:lineTo x="-19" y="-25"/>
              </wp:wrapPolygon>
            </wp:wrapThrough>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rPr>
        <w:t>（图</w:t>
      </w:r>
      <w:r>
        <w:t>1</w:t>
      </w:r>
      <w:r>
        <w:rPr>
          <w:rFonts w:hint="eastAsia"/>
        </w:rPr>
        <w:t>：收、支决算总计变动情况图）（柱状图）</w:t>
      </w:r>
    </w:p>
    <w:p>
      <w:pPr>
        <w:pageBreakBefore w:val="0"/>
        <w:kinsoku/>
        <w:wordWrap/>
        <w:overflowPunct/>
        <w:topLinePunct w:val="0"/>
        <w:bidi w:val="0"/>
        <w:spacing w:line="576" w:lineRule="exact"/>
        <w:ind w:left="0" w:leftChars="0" w:firstLine="640" w:firstLineChars="200"/>
      </w:pPr>
    </w:p>
    <w:p>
      <w:pPr>
        <w:pStyle w:val="33"/>
        <w:pageBreakBefore w:val="0"/>
        <w:kinsoku/>
        <w:wordWrap/>
        <w:overflowPunct/>
        <w:topLinePunct w:val="0"/>
        <w:bidi w:val="0"/>
        <w:spacing w:line="576" w:lineRule="exact"/>
        <w:ind w:left="0" w:leftChars="0" w:firstLine="640" w:firstLineChars="200"/>
        <w:rPr>
          <w:rStyle w:val="35"/>
          <w:rFonts w:ascii="黑体" w:hAnsi="黑体" w:eastAsia="黑体"/>
          <w:b w:val="0"/>
        </w:rPr>
      </w:pPr>
      <w:bookmarkStart w:id="22" w:name="_Toc15396604"/>
      <w:bookmarkStart w:id="23" w:name="_Toc15377206"/>
      <w:r>
        <w:rPr>
          <w:rStyle w:val="35"/>
          <w:rFonts w:hint="eastAsia" w:ascii="黑体" w:hAnsi="黑体" w:eastAsia="黑体"/>
          <w:b w:val="0"/>
        </w:rPr>
        <w:t>二、收入决算情况说明</w:t>
      </w:r>
      <w:bookmarkEnd w:id="22"/>
      <w:bookmarkEnd w:id="23"/>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rPr>
        <w:t>2018年本年收入合计301.19万元，其中：一般公共预算财政拨款收入301.10万元，占99.9%；政府性基金预算财政拨款收入0万元，占0%；国有资本经营预算财政拨款收入0万元，占0%；事业收入0万元，占0%；经营收入0万元，占0%；附属单位上缴收入0万元，占0%；其他收入0.09万元，占0.02%。</w:t>
      </w:r>
    </w:p>
    <w:p>
      <w:pPr>
        <w:pStyle w:val="2"/>
        <w:pageBreakBefore w:val="0"/>
        <w:kinsoku/>
        <w:wordWrap/>
        <w:overflowPunct/>
        <w:topLinePunct w:val="0"/>
        <w:bidi w:val="0"/>
        <w:spacing w:line="576" w:lineRule="exact"/>
        <w:ind w:left="0" w:leftChars="0" w:firstLine="640" w:firstLineChars="200"/>
        <w:rPr>
          <w:rFonts w:hAnsi="仿宋_GB2312" w:cs="仿宋_GB2312"/>
          <w:szCs w:val="32"/>
        </w:rPr>
      </w:pPr>
      <w:r>
        <w:rPr>
          <w:rFonts w:hint="eastAsia" w:hAnsi="仿宋_GB2312" w:cs="仿宋_GB2312"/>
          <w:szCs w:val="32"/>
        </w:rPr>
        <w:drawing>
          <wp:anchor distT="0" distB="0" distL="114300" distR="114300" simplePos="0" relativeHeight="251662336" behindDoc="0" locked="0" layoutInCell="1" allowOverlap="1">
            <wp:simplePos x="0" y="0"/>
            <wp:positionH relativeFrom="column">
              <wp:posOffset>379095</wp:posOffset>
            </wp:positionH>
            <wp:positionV relativeFrom="paragraph">
              <wp:posOffset>312420</wp:posOffset>
            </wp:positionV>
            <wp:extent cx="4486910" cy="2465705"/>
            <wp:effectExtent l="4445" t="4445" r="23495" b="6350"/>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pageBreakBefore w:val="0"/>
        <w:kinsoku/>
        <w:wordWrap/>
        <w:overflowPunct/>
        <w:topLinePunct w:val="0"/>
        <w:bidi w:val="0"/>
        <w:spacing w:line="576" w:lineRule="exact"/>
        <w:ind w:left="0" w:leftChars="0" w:firstLine="640" w:firstLineChars="200"/>
        <w:jc w:val="center"/>
        <w:rPr>
          <w:rFonts w:hAnsi="仿宋_GB2312" w:cs="仿宋_GB2312"/>
          <w:color w:val="auto"/>
        </w:rPr>
      </w:pPr>
      <w:r>
        <w:rPr>
          <w:rFonts w:hint="eastAsia"/>
          <w:color w:val="auto"/>
        </w:rPr>
        <w:t>（图2：收入决算结构图）（饼状图）</w:t>
      </w:r>
    </w:p>
    <w:p>
      <w:pPr>
        <w:pStyle w:val="33"/>
        <w:pageBreakBefore w:val="0"/>
        <w:kinsoku/>
        <w:wordWrap/>
        <w:overflowPunct/>
        <w:topLinePunct w:val="0"/>
        <w:bidi w:val="0"/>
        <w:spacing w:line="576" w:lineRule="exact"/>
        <w:ind w:left="0" w:leftChars="0" w:firstLine="640" w:firstLineChars="200"/>
        <w:rPr>
          <w:rStyle w:val="35"/>
          <w:rFonts w:ascii="黑体" w:hAnsi="黑体" w:eastAsia="黑体"/>
          <w:b w:val="0"/>
        </w:rPr>
      </w:pPr>
      <w:bookmarkStart w:id="24" w:name="_Toc15396605"/>
      <w:bookmarkStart w:id="25" w:name="_Toc15377207"/>
      <w:r>
        <w:rPr>
          <w:rStyle w:val="35"/>
          <w:rFonts w:hint="eastAsia" w:ascii="黑体" w:hAnsi="黑体" w:eastAsia="黑体"/>
          <w:b w:val="0"/>
        </w:rPr>
        <w:t>三、支出决算情况说明</w:t>
      </w:r>
      <w:bookmarkEnd w:id="24"/>
      <w:bookmarkEnd w:id="25"/>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rPr>
        <w:t>2018年本年支出合计336.34万元，其中：基本支出296.24万元，占88.07%；项目支出40.10万元，占11.92%；上缴上级支出0万元，占0%；经营支出0万元，占0%；对附属单位补助支出0万元，占0%。</w:t>
      </w:r>
    </w:p>
    <w:p>
      <w:pPr>
        <w:pageBreakBefore w:val="0"/>
        <w:kinsoku/>
        <w:wordWrap/>
        <w:overflowPunct/>
        <w:topLinePunct w:val="0"/>
        <w:bidi w:val="0"/>
        <w:spacing w:line="576" w:lineRule="exact"/>
        <w:ind w:left="0" w:leftChars="0" w:firstLine="640" w:firstLineChars="200"/>
      </w:pPr>
    </w:p>
    <w:p>
      <w:pPr>
        <w:pageBreakBefore w:val="0"/>
        <w:kinsoku/>
        <w:wordWrap/>
        <w:overflowPunct/>
        <w:topLinePunct w:val="0"/>
        <w:bidi w:val="0"/>
        <w:spacing w:line="576" w:lineRule="exact"/>
        <w:ind w:left="0" w:leftChars="0" w:firstLine="640" w:firstLineChars="200"/>
      </w:pPr>
    </w:p>
    <w:p>
      <w:pPr>
        <w:pageBreakBefore w:val="0"/>
        <w:kinsoku/>
        <w:wordWrap/>
        <w:overflowPunct/>
        <w:topLinePunct w:val="0"/>
        <w:bidi w:val="0"/>
        <w:spacing w:line="576" w:lineRule="exact"/>
        <w:ind w:left="0" w:leftChars="0" w:firstLine="640" w:firstLineChars="200"/>
        <w:jc w:val="center"/>
      </w:pPr>
      <w:r>
        <w:rPr>
          <w:rFonts w:hint="eastAsia" w:hAnsi="仿宋_GB2312" w:cs="仿宋_GB2312"/>
        </w:rPr>
        <w:drawing>
          <wp:anchor distT="0" distB="0" distL="114300" distR="114300" simplePos="0" relativeHeight="251659264" behindDoc="1" locked="0" layoutInCell="1" allowOverlap="1">
            <wp:simplePos x="0" y="0"/>
            <wp:positionH relativeFrom="column">
              <wp:posOffset>88900</wp:posOffset>
            </wp:positionH>
            <wp:positionV relativeFrom="paragraph">
              <wp:posOffset>192405</wp:posOffset>
            </wp:positionV>
            <wp:extent cx="4964430" cy="3439160"/>
            <wp:effectExtent l="4445" t="4445" r="60325" b="80645"/>
            <wp:wrapThrough wrapText="bothSides">
              <wp:wrapPolygon>
                <wp:start x="-19" y="-28"/>
                <wp:lineTo x="-19" y="21508"/>
                <wp:lineTo x="21531" y="21508"/>
                <wp:lineTo x="21531" y="-28"/>
                <wp:lineTo x="-19" y="-28"/>
              </wp:wrapPolygon>
            </wp:wrapThrough>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rPr>
        <w:t>（图3：支出决算结构图）（饼状图）</w:t>
      </w:r>
    </w:p>
    <w:p>
      <w:pPr>
        <w:pageBreakBefore w:val="0"/>
        <w:kinsoku/>
        <w:wordWrap/>
        <w:overflowPunct/>
        <w:topLinePunct w:val="0"/>
        <w:bidi w:val="0"/>
        <w:spacing w:line="576" w:lineRule="exact"/>
        <w:ind w:left="0" w:leftChars="0" w:firstLine="640" w:firstLineChars="200"/>
      </w:pPr>
      <w:bookmarkStart w:id="26" w:name="_Toc15377208"/>
      <w:bookmarkStart w:id="27" w:name="_Toc15396606"/>
    </w:p>
    <w:p>
      <w:pPr>
        <w:pageBreakBefore w:val="0"/>
        <w:kinsoku/>
        <w:wordWrap/>
        <w:overflowPunct/>
        <w:topLinePunct w:val="0"/>
        <w:bidi w:val="0"/>
        <w:spacing w:line="576" w:lineRule="exact"/>
        <w:ind w:left="0" w:leftChars="0" w:firstLine="640" w:firstLineChars="200"/>
        <w:rPr>
          <w:rStyle w:val="35"/>
          <w:rFonts w:ascii="黑体" w:hAnsi="黑体" w:eastAsia="黑体"/>
          <w:b w:val="0"/>
        </w:rPr>
      </w:pPr>
      <w:r>
        <w:rPr>
          <w:rStyle w:val="35"/>
          <w:rFonts w:hint="eastAsia" w:ascii="黑体" w:hAnsi="黑体" w:eastAsia="黑体"/>
          <w:b w:val="0"/>
        </w:rPr>
        <w:t>四、财政拨款收入支出决算总体情况说明</w:t>
      </w:r>
      <w:bookmarkEnd w:id="26"/>
      <w:bookmarkEnd w:id="27"/>
    </w:p>
    <w:p>
      <w:pPr>
        <w:pageBreakBefore w:val="0"/>
        <w:kinsoku/>
        <w:wordWrap/>
        <w:overflowPunct/>
        <w:topLinePunct w:val="0"/>
        <w:bidi w:val="0"/>
        <w:spacing w:line="576" w:lineRule="exact"/>
        <w:ind w:left="0" w:leftChars="0" w:firstLine="640" w:firstLineChars="200"/>
        <w:rPr>
          <w:rFonts w:hAnsi="仿宋_GB2312" w:cs="仿宋_GB2312"/>
          <w:color w:val="auto"/>
        </w:rPr>
      </w:pPr>
      <w:r>
        <w:rPr>
          <w:rFonts w:hint="eastAsia" w:hAnsi="仿宋_GB2312" w:cs="仿宋_GB2312"/>
        </w:rPr>
        <w:t>2018年财政拨款</w:t>
      </w:r>
      <w:r>
        <w:rPr>
          <w:rFonts w:hint="eastAsia" w:hAnsi="仿宋_GB2312" w:cs="仿宋_GB2312"/>
          <w:color w:val="auto"/>
        </w:rPr>
        <w:t>收入总计301.10万元。与2017年相比，财政拨款收增加0.67万元，增长0.01%。主要变动原因是人员工资福利支出增加。</w:t>
      </w:r>
    </w:p>
    <w:p>
      <w:pPr>
        <w:pageBreakBefore w:val="0"/>
        <w:kinsoku/>
        <w:wordWrap/>
        <w:overflowPunct/>
        <w:topLinePunct w:val="0"/>
        <w:bidi w:val="0"/>
        <w:spacing w:line="576" w:lineRule="exact"/>
        <w:ind w:left="0" w:leftChars="0" w:firstLine="640" w:firstLineChars="200"/>
        <w:rPr>
          <w:rFonts w:hAnsi="仿宋_GB2312" w:cs="仿宋_GB2312"/>
          <w:color w:val="auto"/>
        </w:rPr>
      </w:pPr>
      <w:r>
        <w:rPr>
          <w:rFonts w:hint="eastAsia" w:hAnsi="仿宋_GB2312" w:cs="仿宋_GB2312"/>
          <w:color w:val="auto"/>
        </w:rPr>
        <w:t>2018年财政拨款支出总计336.34万元。与2017年相比，财政拨款支总计增加35.24万元，增长10.47%。主要变动原因是人员工资福利支出增加。</w:t>
      </w:r>
    </w:p>
    <w:p>
      <w:pPr>
        <w:pStyle w:val="2"/>
        <w:pageBreakBefore w:val="0"/>
        <w:kinsoku/>
        <w:wordWrap/>
        <w:overflowPunct/>
        <w:topLinePunct w:val="0"/>
        <w:bidi w:val="0"/>
        <w:spacing w:line="576" w:lineRule="exact"/>
        <w:ind w:left="0" w:leftChars="0" w:firstLine="640" w:firstLineChars="200"/>
        <w:rPr>
          <w:color w:val="auto"/>
        </w:rPr>
      </w:pPr>
    </w:p>
    <w:p>
      <w:pPr>
        <w:pageBreakBefore w:val="0"/>
        <w:kinsoku/>
        <w:wordWrap/>
        <w:overflowPunct/>
        <w:topLinePunct w:val="0"/>
        <w:bidi w:val="0"/>
        <w:spacing w:line="576" w:lineRule="exact"/>
        <w:ind w:left="0" w:leftChars="0" w:firstLine="640" w:firstLineChars="200"/>
        <w:rPr>
          <w:rStyle w:val="35"/>
          <w:rFonts w:ascii="黑体" w:hAnsi="黑体" w:eastAsia="黑体"/>
          <w:b w:val="0"/>
        </w:rPr>
      </w:pPr>
      <w:bookmarkStart w:id="28" w:name="_Toc15377209"/>
      <w:bookmarkStart w:id="29" w:name="_Toc15396607"/>
    </w:p>
    <w:p>
      <w:pPr>
        <w:pageBreakBefore w:val="0"/>
        <w:kinsoku/>
        <w:wordWrap/>
        <w:overflowPunct/>
        <w:topLinePunct w:val="0"/>
        <w:bidi w:val="0"/>
        <w:spacing w:line="576" w:lineRule="exact"/>
        <w:ind w:left="0" w:leftChars="0" w:firstLine="640" w:firstLineChars="200"/>
        <w:rPr>
          <w:rStyle w:val="35"/>
          <w:rFonts w:ascii="黑体" w:hAnsi="黑体" w:eastAsia="黑体"/>
          <w:b w:val="0"/>
        </w:rPr>
      </w:pPr>
      <w:r>
        <w:rPr>
          <w:rFonts w:hint="eastAsia" w:hAnsi="仿宋_GB2312" w:cs="仿宋_GB2312"/>
        </w:rPr>
        <w:drawing>
          <wp:anchor distT="0" distB="0" distL="114300" distR="114300" simplePos="0" relativeHeight="251660288" behindDoc="1" locked="0" layoutInCell="1" allowOverlap="1">
            <wp:simplePos x="0" y="0"/>
            <wp:positionH relativeFrom="column">
              <wp:posOffset>295275</wp:posOffset>
            </wp:positionH>
            <wp:positionV relativeFrom="paragraph">
              <wp:posOffset>77470</wp:posOffset>
            </wp:positionV>
            <wp:extent cx="5080000" cy="3196590"/>
            <wp:effectExtent l="4445" t="4445" r="20955" b="56515"/>
            <wp:wrapThrough wrapText="bothSides">
              <wp:wrapPolygon>
                <wp:start x="-19" y="-30"/>
                <wp:lineTo x="-19" y="21467"/>
                <wp:lineTo x="21527" y="21467"/>
                <wp:lineTo x="21527" y="-30"/>
                <wp:lineTo x="-19" y="-30"/>
              </wp:wrapPolygon>
            </wp:wrapThrough>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p>
    <w:p>
      <w:pPr>
        <w:pageBreakBefore w:val="0"/>
        <w:kinsoku/>
        <w:wordWrap/>
        <w:overflowPunct/>
        <w:topLinePunct w:val="0"/>
        <w:bidi w:val="0"/>
        <w:spacing w:line="576" w:lineRule="exact"/>
        <w:ind w:left="0" w:leftChars="0" w:firstLine="640" w:firstLineChars="200"/>
        <w:rPr>
          <w:rStyle w:val="35"/>
          <w:rFonts w:ascii="黑体" w:hAnsi="黑体" w:eastAsia="黑体"/>
          <w:b w:val="0"/>
        </w:rPr>
      </w:pPr>
    </w:p>
    <w:p>
      <w:pPr>
        <w:pageBreakBefore w:val="0"/>
        <w:kinsoku/>
        <w:wordWrap/>
        <w:overflowPunct/>
        <w:topLinePunct w:val="0"/>
        <w:bidi w:val="0"/>
        <w:spacing w:line="576" w:lineRule="exact"/>
        <w:ind w:left="0" w:leftChars="0" w:firstLine="640" w:firstLineChars="200"/>
        <w:jc w:val="center"/>
        <w:rPr>
          <w:rStyle w:val="35"/>
          <w:rFonts w:ascii="黑体" w:hAnsi="黑体" w:eastAsia="黑体"/>
          <w:b w:val="0"/>
        </w:rPr>
      </w:pPr>
      <w:r>
        <w:rPr>
          <w:rFonts w:hint="eastAsia"/>
        </w:rPr>
        <w:t>（图4：财政拨款收、支决算总计变动情况）（柱状图）</w:t>
      </w:r>
    </w:p>
    <w:p>
      <w:pPr>
        <w:pageBreakBefore w:val="0"/>
        <w:kinsoku/>
        <w:wordWrap/>
        <w:overflowPunct/>
        <w:topLinePunct w:val="0"/>
        <w:bidi w:val="0"/>
        <w:spacing w:line="576" w:lineRule="exact"/>
        <w:ind w:left="0" w:leftChars="0" w:firstLine="640" w:firstLineChars="200"/>
        <w:rPr>
          <w:rStyle w:val="35"/>
          <w:rFonts w:ascii="黑体" w:hAnsi="黑体" w:eastAsia="黑体"/>
          <w:b w:val="0"/>
        </w:rPr>
      </w:pPr>
      <w:r>
        <w:rPr>
          <w:rStyle w:val="35"/>
          <w:rFonts w:hint="eastAsia" w:ascii="黑体" w:hAnsi="黑体" w:eastAsia="黑体"/>
          <w:b w:val="0"/>
        </w:rPr>
        <w:t>五、一般公共预算财政拨款支出决算情况说明</w:t>
      </w:r>
      <w:bookmarkEnd w:id="28"/>
      <w:bookmarkEnd w:id="29"/>
    </w:p>
    <w:p>
      <w:pPr>
        <w:pageBreakBefore w:val="0"/>
        <w:kinsoku/>
        <w:wordWrap/>
        <w:overflowPunct/>
        <w:topLinePunct w:val="0"/>
        <w:bidi w:val="0"/>
        <w:spacing w:line="576" w:lineRule="exact"/>
        <w:ind w:left="0" w:leftChars="0" w:firstLine="640" w:firstLineChars="200"/>
        <w:rPr>
          <w:color w:val="auto"/>
        </w:rPr>
      </w:pPr>
      <w:bookmarkStart w:id="30" w:name="_Toc15377210"/>
      <w:r>
        <w:rPr>
          <w:rFonts w:hint="eastAsia"/>
          <w:color w:val="auto"/>
        </w:rPr>
        <w:t>（一）一般公共预算财政拨款支出决算总体情况</w:t>
      </w:r>
      <w:bookmarkEnd w:id="30"/>
    </w:p>
    <w:p>
      <w:pPr>
        <w:pageBreakBefore w:val="0"/>
        <w:kinsoku/>
        <w:wordWrap/>
        <w:overflowPunct/>
        <w:topLinePunct w:val="0"/>
        <w:bidi w:val="0"/>
        <w:spacing w:line="576" w:lineRule="exact"/>
        <w:ind w:left="0" w:leftChars="0" w:firstLine="640" w:firstLineChars="200"/>
        <w:rPr>
          <w:rFonts w:hint="eastAsia" w:hAnsi="仿宋_GB2312" w:cs="仿宋_GB2312"/>
          <w:color w:val="auto"/>
        </w:rPr>
      </w:pPr>
      <w:r>
        <w:rPr>
          <w:rFonts w:hint="eastAsia" w:hAnsi="仿宋_GB2312" w:cs="仿宋_GB2312"/>
          <w:color w:val="auto"/>
        </w:rPr>
        <w:drawing>
          <wp:anchor distT="0" distB="0" distL="114300" distR="114300" simplePos="0" relativeHeight="251661312" behindDoc="1" locked="0" layoutInCell="1" allowOverlap="1">
            <wp:simplePos x="0" y="0"/>
            <wp:positionH relativeFrom="column">
              <wp:posOffset>293370</wp:posOffset>
            </wp:positionH>
            <wp:positionV relativeFrom="paragraph">
              <wp:posOffset>1641475</wp:posOffset>
            </wp:positionV>
            <wp:extent cx="4707890" cy="2700655"/>
            <wp:effectExtent l="19050" t="0" r="16510" b="4445"/>
            <wp:wrapThrough wrapText="bothSides">
              <wp:wrapPolygon>
                <wp:start x="-87" y="0"/>
                <wp:lineTo x="-87" y="21636"/>
                <wp:lineTo x="21676" y="21636"/>
                <wp:lineTo x="21676" y="0"/>
                <wp:lineTo x="-87" y="0"/>
              </wp:wrapPolygon>
            </wp:wrapThrough>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hAnsi="仿宋_GB2312" w:cs="仿宋_GB2312"/>
          <w:color w:val="auto"/>
        </w:rPr>
        <w:t>2018年一般公共预算财政拨款支出336.34万元，占本年支出合计的71.82%。与2017年相比，一般公共预算财政拨款增加65.96万元，增长19.61%。主要变动原因是日常开支增多</w:t>
      </w:r>
    </w:p>
    <w:p>
      <w:pPr>
        <w:pageBreakBefore w:val="0"/>
        <w:kinsoku/>
        <w:wordWrap/>
        <w:overflowPunct/>
        <w:topLinePunct w:val="0"/>
        <w:bidi w:val="0"/>
        <w:spacing w:line="576" w:lineRule="exact"/>
        <w:ind w:left="0" w:leftChars="0" w:firstLine="0" w:firstLineChars="0"/>
      </w:pPr>
      <w:r>
        <w:rPr>
          <w:rFonts w:hint="eastAsia"/>
          <w:color w:val="auto"/>
        </w:rPr>
        <w:t>（图5：一般公共预算财政拨款支出决算变动情况）</w:t>
      </w:r>
      <w:r>
        <w:rPr>
          <w:rFonts w:hint="eastAsia"/>
        </w:rPr>
        <w:t>（柱状图）</w:t>
      </w:r>
      <w:bookmarkStart w:id="31" w:name="_Toc15377211"/>
    </w:p>
    <w:p>
      <w:pPr>
        <w:pageBreakBefore w:val="0"/>
        <w:kinsoku/>
        <w:wordWrap/>
        <w:overflowPunct/>
        <w:topLinePunct w:val="0"/>
        <w:bidi w:val="0"/>
        <w:spacing w:line="576" w:lineRule="exact"/>
      </w:pPr>
      <w:r>
        <w:rPr>
          <w:rFonts w:hint="eastAsia"/>
        </w:rPr>
        <w:t>（二）一般公共预算财政拨款支出决算结构情况</w:t>
      </w:r>
      <w:bookmarkEnd w:id="31"/>
    </w:p>
    <w:p>
      <w:pPr>
        <w:pageBreakBefore w:val="0"/>
        <w:kinsoku/>
        <w:wordWrap/>
        <w:overflowPunct/>
        <w:topLinePunct w:val="0"/>
        <w:bidi w:val="0"/>
        <w:spacing w:line="576" w:lineRule="exact"/>
        <w:ind w:left="0" w:leftChars="0" w:firstLine="640" w:firstLineChars="200"/>
      </w:pPr>
      <w:r>
        <w:rPr>
          <w:rFonts w:hint="eastAsia"/>
        </w:rPr>
        <w:t>2018年一般公共预算财政拨款支出336.34元，主要用于以下方面:一般公共服务支出241.57万元，占</w:t>
      </w:r>
      <w:r>
        <w:rPr>
          <w:rFonts w:hint="eastAsia"/>
          <w:color w:val="auto"/>
        </w:rPr>
        <w:t>71.82%；其他一般公共服务支出</w:t>
      </w:r>
      <w:r>
        <w:rPr>
          <w:rFonts w:hint="eastAsia"/>
        </w:rPr>
        <w:t>1.5万元，占0.44%;社会保障和就业支出35.39万元，占10.52%;医疗卫生支出11.31万元,占3.36％;农林水支出31.00万元；住房保障支出17.06万元，占5.07%。</w:t>
      </w:r>
    </w:p>
    <w:p>
      <w:pPr>
        <w:pageBreakBefore w:val="0"/>
        <w:kinsoku/>
        <w:wordWrap/>
        <w:overflowPunct/>
        <w:topLinePunct w:val="0"/>
        <w:bidi w:val="0"/>
        <w:spacing w:line="576" w:lineRule="exact"/>
        <w:ind w:left="0" w:leftChars="0" w:firstLine="640" w:firstLineChars="200"/>
      </w:pPr>
      <w:r>
        <w:rPr>
          <w:rFonts w:hint="eastAsia"/>
        </w:rPr>
        <w:t>2013401--行政运行：232.47万元</w:t>
      </w:r>
    </w:p>
    <w:p>
      <w:pPr>
        <w:pStyle w:val="2"/>
        <w:pageBreakBefore w:val="0"/>
        <w:kinsoku/>
        <w:wordWrap/>
        <w:overflowPunct/>
        <w:topLinePunct w:val="0"/>
        <w:bidi w:val="0"/>
        <w:spacing w:line="576" w:lineRule="exact"/>
        <w:ind w:left="0" w:leftChars="0" w:firstLine="640" w:firstLineChars="200"/>
      </w:pPr>
      <w:r>
        <w:rPr>
          <w:rFonts w:hint="eastAsia"/>
        </w:rPr>
        <w:t>2013499</w:t>
      </w:r>
      <w:r>
        <w:t>—</w:t>
      </w:r>
      <w:r>
        <w:rPr>
          <w:rFonts w:hint="eastAsia"/>
        </w:rPr>
        <w:t>其他统战事务支出7.60万元</w:t>
      </w:r>
    </w:p>
    <w:p>
      <w:pPr>
        <w:pageBreakBefore w:val="0"/>
        <w:kinsoku/>
        <w:wordWrap/>
        <w:overflowPunct/>
        <w:topLinePunct w:val="0"/>
        <w:bidi w:val="0"/>
        <w:spacing w:line="576" w:lineRule="exact"/>
        <w:ind w:left="0" w:leftChars="0" w:firstLine="640" w:firstLineChars="200"/>
        <w:rPr>
          <w:rFonts w:hAnsi="宋体" w:cs="宋体"/>
          <w:bCs/>
        </w:rPr>
      </w:pPr>
      <w:r>
        <w:rPr>
          <w:rFonts w:hint="eastAsia" w:hAnsi="宋体" w:cs="宋体"/>
          <w:bCs/>
        </w:rPr>
        <w:t>2019999</w:t>
      </w:r>
      <w:r>
        <w:rPr>
          <w:rFonts w:hAnsi="宋体" w:cs="宋体"/>
          <w:bCs/>
        </w:rPr>
        <w:t>—</w:t>
      </w:r>
      <w:r>
        <w:rPr>
          <w:rFonts w:hint="eastAsia" w:hAnsi="宋体" w:cs="宋体"/>
          <w:bCs/>
        </w:rPr>
        <w:t>其他一般公共服务支出1.50万元</w:t>
      </w:r>
    </w:p>
    <w:p>
      <w:pPr>
        <w:pageBreakBefore w:val="0"/>
        <w:kinsoku/>
        <w:wordWrap/>
        <w:overflowPunct/>
        <w:topLinePunct w:val="0"/>
        <w:bidi w:val="0"/>
        <w:spacing w:line="576" w:lineRule="exact"/>
        <w:ind w:left="0" w:leftChars="0" w:firstLine="640" w:firstLineChars="200"/>
        <w:rPr>
          <w:rFonts w:hAnsi="宋体" w:cs="宋体"/>
          <w:bCs/>
        </w:rPr>
      </w:pPr>
      <w:r>
        <w:rPr>
          <w:rFonts w:hint="eastAsia" w:hAnsi="宋体" w:cs="宋体"/>
          <w:bCs/>
        </w:rPr>
        <w:t>2080505--机关事业单位基本养老保险缴费支出25.27万元</w:t>
      </w:r>
    </w:p>
    <w:p>
      <w:pPr>
        <w:pageBreakBefore w:val="0"/>
        <w:kinsoku/>
        <w:wordWrap/>
        <w:overflowPunct/>
        <w:topLinePunct w:val="0"/>
        <w:bidi w:val="0"/>
        <w:spacing w:line="576" w:lineRule="exact"/>
        <w:ind w:left="0" w:leftChars="0" w:firstLine="640" w:firstLineChars="200"/>
        <w:rPr>
          <w:rFonts w:hAnsi="宋体" w:cs="宋体"/>
          <w:bCs/>
        </w:rPr>
      </w:pPr>
      <w:r>
        <w:rPr>
          <w:rFonts w:hint="eastAsia" w:hAnsi="宋体" w:cs="宋体"/>
          <w:bCs/>
        </w:rPr>
        <w:t xml:space="preserve">2080506--机关事业单位职业年金缴费支出10.11万元， </w:t>
      </w:r>
    </w:p>
    <w:p>
      <w:pPr>
        <w:pageBreakBefore w:val="0"/>
        <w:kinsoku/>
        <w:wordWrap/>
        <w:overflowPunct/>
        <w:topLinePunct w:val="0"/>
        <w:bidi w:val="0"/>
        <w:spacing w:line="576" w:lineRule="exact"/>
        <w:ind w:left="0" w:leftChars="0" w:firstLine="640" w:firstLineChars="200"/>
        <w:rPr>
          <w:rFonts w:hAnsi="仿宋_GB2312" w:cs="仿宋_GB2312"/>
          <w:bCs/>
        </w:rPr>
      </w:pPr>
      <w:r>
        <w:rPr>
          <w:rFonts w:hint="eastAsia" w:hAnsi="仿宋_GB2312" w:cs="仿宋_GB2312"/>
          <w:bCs/>
        </w:rPr>
        <w:t>2101101--行政单位医疗支出8.35万元</w:t>
      </w:r>
    </w:p>
    <w:p>
      <w:pPr>
        <w:pageBreakBefore w:val="0"/>
        <w:kinsoku/>
        <w:wordWrap/>
        <w:overflowPunct/>
        <w:topLinePunct w:val="0"/>
        <w:bidi w:val="0"/>
        <w:spacing w:line="576" w:lineRule="exact"/>
        <w:ind w:left="0" w:leftChars="0" w:firstLine="640" w:firstLineChars="200"/>
        <w:rPr>
          <w:rFonts w:hAnsi="仿宋_GB2312" w:cs="仿宋_GB2312"/>
          <w:bCs/>
        </w:rPr>
      </w:pPr>
      <w:r>
        <w:rPr>
          <w:rFonts w:hint="eastAsia" w:hAnsi="仿宋_GB2312" w:cs="仿宋_GB2312"/>
          <w:bCs/>
        </w:rPr>
        <w:t>2101102</w:t>
      </w:r>
      <w:r>
        <w:rPr>
          <w:rFonts w:hAnsi="仿宋_GB2312" w:cs="仿宋_GB2312"/>
          <w:bCs/>
        </w:rPr>
        <w:t>—</w:t>
      </w:r>
      <w:r>
        <w:rPr>
          <w:rFonts w:hint="eastAsia" w:hAnsi="仿宋_GB2312" w:cs="仿宋_GB2312"/>
          <w:bCs/>
        </w:rPr>
        <w:t>公务员医疗补助支出2.96万元</w:t>
      </w:r>
    </w:p>
    <w:p>
      <w:pPr>
        <w:pageBreakBefore w:val="0"/>
        <w:kinsoku/>
        <w:wordWrap/>
        <w:overflowPunct/>
        <w:topLinePunct w:val="0"/>
        <w:bidi w:val="0"/>
        <w:spacing w:line="576" w:lineRule="exact"/>
        <w:ind w:left="0" w:leftChars="0" w:firstLine="640" w:firstLineChars="200"/>
        <w:rPr>
          <w:rFonts w:hAnsi="仿宋_GB2312" w:cs="仿宋_GB2312"/>
          <w:bCs/>
        </w:rPr>
      </w:pPr>
      <w:r>
        <w:rPr>
          <w:rFonts w:hint="eastAsia" w:hAnsi="仿宋_GB2312" w:cs="仿宋_GB2312"/>
          <w:bCs/>
        </w:rPr>
        <w:t>2130599-其他扶贫支出9.00万元</w:t>
      </w:r>
    </w:p>
    <w:p>
      <w:pPr>
        <w:pStyle w:val="2"/>
        <w:pageBreakBefore w:val="0"/>
        <w:kinsoku/>
        <w:wordWrap/>
        <w:overflowPunct/>
        <w:topLinePunct w:val="0"/>
        <w:bidi w:val="0"/>
        <w:spacing w:line="576" w:lineRule="exact"/>
        <w:ind w:left="0" w:leftChars="0" w:firstLine="640" w:firstLineChars="200"/>
      </w:pPr>
      <w:r>
        <w:rPr>
          <w:rFonts w:hint="eastAsia"/>
        </w:rPr>
        <w:t>2139999-其他农林水支出22.00万元</w:t>
      </w:r>
    </w:p>
    <w:p>
      <w:pPr>
        <w:pageBreakBefore w:val="0"/>
        <w:kinsoku/>
        <w:wordWrap/>
        <w:overflowPunct/>
        <w:topLinePunct w:val="0"/>
        <w:bidi w:val="0"/>
        <w:spacing w:line="576" w:lineRule="exact"/>
        <w:ind w:left="0" w:leftChars="0" w:firstLine="640" w:firstLineChars="200"/>
      </w:pPr>
      <w:r>
        <w:rPr>
          <w:rFonts w:hint="eastAsia" w:hAnsi="仿宋_GB2312" w:cs="仿宋_GB2312"/>
          <w:bCs/>
        </w:rPr>
        <w:t>2210201--住房公积金支出17.06万</w:t>
      </w:r>
    </w:p>
    <w:p>
      <w:pPr>
        <w:pageBreakBefore w:val="0"/>
        <w:kinsoku/>
        <w:wordWrap/>
        <w:overflowPunct/>
        <w:topLinePunct w:val="0"/>
        <w:bidi w:val="0"/>
        <w:spacing w:line="576" w:lineRule="exact"/>
        <w:ind w:left="0" w:leftChars="0" w:firstLine="640" w:firstLineChars="200"/>
      </w:pPr>
      <w:bookmarkStart w:id="32" w:name="_Toc15377212"/>
      <w:r>
        <w:rPr>
          <w:rFonts w:hint="eastAsia"/>
        </w:rPr>
        <w:t>（三）一般公共预算财政拨款支出决算具体情况</w:t>
      </w:r>
      <w:bookmarkEnd w:id="32"/>
    </w:p>
    <w:p>
      <w:pPr>
        <w:pageBreakBefore w:val="0"/>
        <w:kinsoku/>
        <w:wordWrap/>
        <w:overflowPunct/>
        <w:topLinePunct w:val="0"/>
        <w:bidi w:val="0"/>
        <w:spacing w:line="576" w:lineRule="exact"/>
        <w:ind w:left="0" w:leftChars="0" w:firstLine="640" w:firstLineChars="200"/>
        <w:rPr>
          <w:color w:val="auto"/>
        </w:rPr>
      </w:pPr>
      <w:bookmarkStart w:id="33" w:name="_Toc15377444"/>
      <w:bookmarkStart w:id="34" w:name="_Toc15378460"/>
      <w:bookmarkStart w:id="35" w:name="_Toc15377213"/>
      <w:r>
        <w:rPr>
          <w:rFonts w:hint="eastAsia"/>
        </w:rPr>
        <w:t>2018年般公共预算支出决算数为336.34万元，完成预算100%。其中：</w:t>
      </w:r>
      <w:bookmarkEnd w:id="33"/>
      <w:bookmarkEnd w:id="34"/>
      <w:bookmarkEnd w:id="35"/>
    </w:p>
    <w:p>
      <w:pPr>
        <w:pStyle w:val="33"/>
        <w:keepNext w:val="0"/>
        <w:keepLines w:val="0"/>
        <w:pageBreakBefore w:val="0"/>
        <w:widowControl w:val="0"/>
        <w:numPr>
          <w:ilvl w:val="0"/>
          <w:numId w:val="3"/>
        </w:numPr>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201</w:t>
      </w:r>
      <w:r>
        <w:rPr>
          <w:color w:val="auto"/>
        </w:rPr>
        <w:t>—</w:t>
      </w:r>
      <w:r>
        <w:rPr>
          <w:rFonts w:hint="eastAsia"/>
          <w:color w:val="auto"/>
        </w:rPr>
        <w:t>一般公共服务支出</w:t>
      </w:r>
      <w:r>
        <w:rPr>
          <w:b/>
          <w:color w:val="auto"/>
        </w:rPr>
        <w:t>:</w:t>
      </w:r>
      <w:r>
        <w:rPr>
          <w:rFonts w:hint="eastAsia"/>
          <w:color w:val="auto"/>
        </w:rPr>
        <w:t>支出决算为241.57万元，完成预算100</w:t>
      </w:r>
      <w:r>
        <w:rPr>
          <w:color w:val="auto"/>
        </w:rPr>
        <w:t>%</w:t>
      </w:r>
      <w:r>
        <w:rPr>
          <w:rFonts w:hint="eastAsia"/>
          <w:color w:val="auto"/>
        </w:rPr>
        <w:t>,决算数与预算数持平。</w:t>
      </w:r>
    </w:p>
    <w:p>
      <w:pPr>
        <w:pStyle w:val="2"/>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textAlignment w:val="auto"/>
        <w:rPr>
          <w:color w:val="auto"/>
        </w:rPr>
      </w:pPr>
      <w:r>
        <w:rPr>
          <w:rFonts w:hint="eastAsia"/>
          <w:color w:val="auto"/>
        </w:rPr>
        <w:t xml:space="preserve"> 20134</w:t>
      </w:r>
      <w:r>
        <w:rPr>
          <w:color w:val="auto"/>
        </w:rPr>
        <w:t>—</w:t>
      </w:r>
      <w:r>
        <w:rPr>
          <w:rFonts w:hint="eastAsia"/>
          <w:color w:val="auto"/>
        </w:rPr>
        <w:t>统战事务:240.57</w:t>
      </w: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2013401</w:t>
      </w:r>
      <w:r>
        <w:rPr>
          <w:color w:val="auto"/>
        </w:rPr>
        <w:t>—</w:t>
      </w:r>
      <w:r>
        <w:rPr>
          <w:rFonts w:hint="eastAsia"/>
          <w:color w:val="auto"/>
        </w:rPr>
        <w:t>行政运行：232.47万元</w:t>
      </w: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2013499</w:t>
      </w:r>
      <w:r>
        <w:rPr>
          <w:color w:val="auto"/>
        </w:rPr>
        <w:t>—</w:t>
      </w:r>
      <w:r>
        <w:rPr>
          <w:rFonts w:hint="eastAsia"/>
          <w:color w:val="auto"/>
        </w:rPr>
        <w:t>其他统战事务支出7.60万元</w:t>
      </w:r>
    </w:p>
    <w:p>
      <w:pPr>
        <w:pStyle w:val="33"/>
        <w:keepNext w:val="0"/>
        <w:keepLines w:val="0"/>
        <w:pageBreakBefore w:val="0"/>
        <w:widowControl w:val="0"/>
        <w:numPr>
          <w:ilvl w:val="0"/>
          <w:numId w:val="3"/>
        </w:numPr>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20199—其他一般公共服务支出：1.50万元，完成预算100</w:t>
      </w:r>
      <w:r>
        <w:rPr>
          <w:color w:val="auto"/>
        </w:rPr>
        <w:t>%</w:t>
      </w:r>
      <w:r>
        <w:rPr>
          <w:rFonts w:hint="eastAsia"/>
          <w:color w:val="auto"/>
        </w:rPr>
        <w:t>，决算数与预算数持平。</w:t>
      </w: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2019999--其他一般公共服务支出 1.50万元</w:t>
      </w:r>
    </w:p>
    <w:p>
      <w:pPr>
        <w:pStyle w:val="33"/>
        <w:keepNext w:val="0"/>
        <w:keepLines w:val="0"/>
        <w:pageBreakBefore w:val="0"/>
        <w:widowControl w:val="0"/>
        <w:numPr>
          <w:ilvl w:val="0"/>
          <w:numId w:val="3"/>
        </w:numPr>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208--社会保障和就业支出: 支出决算为35.39万元，完成预算100%，决算数与预算数持平。</w:t>
      </w: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2080505--养老保险：25.27万元，</w:t>
      </w: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2080506--职业年金：10.11万元</w:t>
      </w:r>
    </w:p>
    <w:p>
      <w:pPr>
        <w:pStyle w:val="33"/>
        <w:keepNext w:val="0"/>
        <w:keepLines w:val="0"/>
        <w:pageBreakBefore w:val="0"/>
        <w:widowControl w:val="0"/>
        <w:numPr>
          <w:ilvl w:val="0"/>
          <w:numId w:val="3"/>
        </w:numPr>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210--医疗卫生与计划生育支出11.31万元</w:t>
      </w: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2101101--行政单位医疗8.35万元，</w:t>
      </w: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2101103--公务员医疗补助2.96万元</w:t>
      </w:r>
    </w:p>
    <w:p>
      <w:pPr>
        <w:pStyle w:val="33"/>
        <w:keepNext w:val="0"/>
        <w:keepLines w:val="0"/>
        <w:pageBreakBefore w:val="0"/>
        <w:widowControl w:val="0"/>
        <w:numPr>
          <w:ilvl w:val="0"/>
          <w:numId w:val="3"/>
        </w:numPr>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221--住房保障支出：17.06万元</w:t>
      </w:r>
    </w:p>
    <w:p>
      <w:pPr>
        <w:keepNext w:val="0"/>
        <w:keepLines w:val="0"/>
        <w:pageBreakBefore w:val="0"/>
        <w:widowControl w:val="0"/>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2210201</w:t>
      </w:r>
      <w:r>
        <w:rPr>
          <w:color w:val="auto"/>
        </w:rPr>
        <w:t>—</w:t>
      </w:r>
      <w:r>
        <w:rPr>
          <w:rFonts w:hint="eastAsia"/>
          <w:color w:val="auto"/>
        </w:rPr>
        <w:t>住房公积金支出：17.06万元, 完成预算100</w:t>
      </w:r>
      <w:r>
        <w:rPr>
          <w:color w:val="auto"/>
        </w:rPr>
        <w:t>%</w:t>
      </w:r>
      <w:r>
        <w:rPr>
          <w:rFonts w:hint="eastAsia"/>
          <w:color w:val="auto"/>
        </w:rPr>
        <w:t>，决算数与预算数持平。</w:t>
      </w:r>
    </w:p>
    <w:p>
      <w:pPr>
        <w:pStyle w:val="33"/>
        <w:keepNext w:val="0"/>
        <w:keepLines w:val="0"/>
        <w:pageBreakBefore w:val="0"/>
        <w:widowControl w:val="0"/>
        <w:numPr>
          <w:ilvl w:val="0"/>
          <w:numId w:val="3"/>
        </w:numPr>
        <w:kinsoku/>
        <w:wordWrap/>
        <w:overflowPunct/>
        <w:topLinePunct w:val="0"/>
        <w:autoSpaceDE/>
        <w:autoSpaceDN/>
        <w:bidi w:val="0"/>
        <w:adjustRightInd/>
        <w:snapToGrid/>
        <w:spacing w:line="576" w:lineRule="exact"/>
        <w:ind w:left="0" w:leftChars="0" w:firstLine="640" w:firstLineChars="200"/>
        <w:textAlignment w:val="auto"/>
        <w:rPr>
          <w:color w:val="auto"/>
        </w:rPr>
      </w:pPr>
      <w:r>
        <w:rPr>
          <w:rFonts w:hint="eastAsia"/>
          <w:color w:val="auto"/>
        </w:rPr>
        <w:t>213</w:t>
      </w:r>
      <w:r>
        <w:rPr>
          <w:color w:val="auto"/>
        </w:rPr>
        <w:t>—</w:t>
      </w:r>
      <w:r>
        <w:rPr>
          <w:rFonts w:hint="eastAsia"/>
          <w:color w:val="auto"/>
        </w:rPr>
        <w:t>农林水支出31万元，决算数与预算数持平。</w:t>
      </w:r>
    </w:p>
    <w:p>
      <w:pPr>
        <w:pStyle w:val="2"/>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textAlignment w:val="auto"/>
        <w:rPr>
          <w:color w:val="auto"/>
        </w:rPr>
      </w:pPr>
      <w:r>
        <w:rPr>
          <w:rFonts w:hint="eastAsia"/>
          <w:color w:val="auto"/>
        </w:rPr>
        <w:t xml:space="preserve"> 2130599</w:t>
      </w:r>
      <w:r>
        <w:rPr>
          <w:color w:val="auto"/>
        </w:rPr>
        <w:t>—</w:t>
      </w:r>
      <w:r>
        <w:rPr>
          <w:rFonts w:hint="eastAsia"/>
          <w:color w:val="auto"/>
        </w:rPr>
        <w:t>其他扶贫支出9.00万元</w:t>
      </w:r>
    </w:p>
    <w:p>
      <w:pPr>
        <w:pStyle w:val="2"/>
        <w:keepNext w:val="0"/>
        <w:keepLines w:val="0"/>
        <w:pageBreakBefore w:val="0"/>
        <w:widowControl w:val="0"/>
        <w:kinsoku/>
        <w:wordWrap/>
        <w:overflowPunct/>
        <w:topLinePunct w:val="0"/>
        <w:autoSpaceDE/>
        <w:autoSpaceDN/>
        <w:bidi w:val="0"/>
        <w:adjustRightInd/>
        <w:snapToGrid/>
        <w:spacing w:after="0" w:line="576" w:lineRule="exact"/>
        <w:ind w:left="0" w:leftChars="0" w:firstLine="640" w:firstLineChars="200"/>
        <w:textAlignment w:val="auto"/>
      </w:pPr>
      <w:r>
        <w:rPr>
          <w:rFonts w:hint="eastAsia"/>
        </w:rPr>
        <w:t>2139999</w:t>
      </w:r>
      <w:r>
        <w:t>—</w:t>
      </w:r>
      <w:r>
        <w:rPr>
          <w:rFonts w:hint="eastAsia"/>
        </w:rPr>
        <w:t>其他农林水支出22.00万元</w:t>
      </w:r>
    </w:p>
    <w:p>
      <w:pPr>
        <w:pageBreakBefore w:val="0"/>
        <w:kinsoku/>
        <w:wordWrap/>
        <w:overflowPunct/>
        <w:topLinePunct w:val="0"/>
        <w:bidi w:val="0"/>
        <w:spacing w:line="576" w:lineRule="exact"/>
        <w:ind w:left="0" w:leftChars="0" w:firstLine="640" w:firstLineChars="200"/>
        <w:rPr>
          <w:rStyle w:val="35"/>
        </w:rPr>
      </w:pPr>
      <w:bookmarkStart w:id="36" w:name="_Toc15377214"/>
      <w:bookmarkStart w:id="37" w:name="_Toc15396608"/>
      <w:r>
        <w:rPr>
          <w:rStyle w:val="35"/>
          <w:rFonts w:hint="eastAsia" w:ascii="黑体" w:hAnsi="黑体" w:eastAsia="黑体"/>
          <w:b w:val="0"/>
        </w:rPr>
        <w:t>六、一般公共预算财政拨款基本支出决算情况说明</w:t>
      </w:r>
      <w:bookmarkEnd w:id="36"/>
      <w:bookmarkEnd w:id="37"/>
      <w:r>
        <w:rPr>
          <w:rStyle w:val="35"/>
          <w:rFonts w:ascii="黑体" w:hAnsi="黑体" w:eastAsia="黑体"/>
          <w:b w:val="0"/>
        </w:rPr>
        <w:tab/>
      </w:r>
    </w:p>
    <w:p>
      <w:pPr>
        <w:pageBreakBefore w:val="0"/>
        <w:kinsoku/>
        <w:wordWrap/>
        <w:overflowPunct/>
        <w:topLinePunct w:val="0"/>
        <w:bidi w:val="0"/>
        <w:spacing w:line="576" w:lineRule="exact"/>
        <w:ind w:left="0" w:leftChars="0" w:firstLine="640" w:firstLineChars="200"/>
      </w:pPr>
      <w:r>
        <w:rPr>
          <w:rFonts w:hint="eastAsia"/>
        </w:rPr>
        <w:t>2018年度一般公共预算财政拨款基本支出296.24万元，其中：</w:t>
      </w:r>
    </w:p>
    <w:p>
      <w:pPr>
        <w:pageBreakBefore w:val="0"/>
        <w:kinsoku/>
        <w:wordWrap/>
        <w:overflowPunct/>
        <w:topLinePunct w:val="0"/>
        <w:bidi w:val="0"/>
        <w:spacing w:line="576" w:lineRule="exact"/>
        <w:ind w:left="0" w:leftChars="0" w:firstLine="640" w:firstLineChars="200"/>
        <w:rPr>
          <w:rFonts w:hAnsi="仿宋"/>
          <w:color w:val="auto"/>
        </w:rPr>
      </w:pPr>
      <w:r>
        <w:rPr>
          <w:rFonts w:hint="eastAsia"/>
        </w:rPr>
        <w:t>人员经费251.44万元，主要包括：</w:t>
      </w:r>
      <w:r>
        <w:rPr>
          <w:rFonts w:hint="eastAsia" w:hAnsi="仿宋"/>
        </w:rPr>
        <w:t>主要包括</w:t>
      </w:r>
      <w:r>
        <w:rPr>
          <w:rFonts w:hint="eastAsia" w:hAnsi="仿宋"/>
          <w:color w:val="auto"/>
        </w:rPr>
        <w:t>：基本工资45.36万元、津贴补贴92.36万元、奖金43.21万元、机关事业单位基本养老保险缴费25.28万元、职业年金缴费10.11万元、职工基本医疗保险缴费8.36万元、公务员医疗补助缴费2.96万元、其他社会保障缴费2.71万元、医疗费1.18万元、住房公积金17.06万元、生活补助2.24万元、医疗补助0.59万元等。</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ascii="仿宋" w:hAnsi="仿宋" w:eastAsia="仿宋"/>
          <w:color w:val="auto"/>
        </w:rPr>
        <w:t>公用经费 44.80万元，主要包括：办公费8.02万元、印刷费1.00万元、手续费0.10万元、水费0.30万元、电费0.60万元、邮电费2.00万元、取暖费0.80万元、差旅费9.00万元、维修（护）费0.41万元、会议费1.10万元、培训费11万元、公务接待费0.67万元、公务用车运行维护费9.80万元。</w:t>
      </w:r>
    </w:p>
    <w:p>
      <w:pPr>
        <w:pageBreakBefore w:val="0"/>
        <w:kinsoku/>
        <w:wordWrap/>
        <w:overflowPunct/>
        <w:topLinePunct w:val="0"/>
        <w:bidi w:val="0"/>
        <w:spacing w:line="576" w:lineRule="exact"/>
        <w:ind w:left="0" w:leftChars="0" w:firstLine="640" w:firstLineChars="200"/>
        <w:rPr>
          <w:rStyle w:val="35"/>
          <w:rFonts w:ascii="黑体" w:hAnsi="黑体" w:eastAsia="黑体"/>
          <w:b w:val="0"/>
        </w:rPr>
      </w:pPr>
      <w:bookmarkStart w:id="38" w:name="_Toc15396609"/>
      <w:bookmarkStart w:id="39" w:name="_Toc15377215"/>
      <w:r>
        <w:rPr>
          <w:rStyle w:val="35"/>
          <w:rFonts w:hint="eastAsia" w:ascii="黑体" w:hAnsi="黑体" w:eastAsia="黑体"/>
          <w:b w:val="0"/>
        </w:rPr>
        <w:t>七、</w:t>
      </w:r>
      <w:r>
        <w:rPr>
          <w:rStyle w:val="35"/>
          <w:rFonts w:hint="eastAsia" w:ascii="黑体" w:hAnsi="黑体" w:eastAsia="黑体"/>
        </w:rPr>
        <w:t>“</w:t>
      </w:r>
      <w:r>
        <w:rPr>
          <w:rStyle w:val="35"/>
          <w:rFonts w:hint="eastAsia" w:ascii="黑体" w:hAnsi="黑体" w:eastAsia="黑体"/>
          <w:b w:val="0"/>
        </w:rPr>
        <w:t>三公”经费财政拨款支出决算情况说明</w:t>
      </w:r>
      <w:bookmarkEnd w:id="38"/>
      <w:bookmarkEnd w:id="39"/>
    </w:p>
    <w:p>
      <w:pPr>
        <w:pageBreakBefore w:val="0"/>
        <w:kinsoku/>
        <w:wordWrap/>
        <w:overflowPunct/>
        <w:topLinePunct w:val="0"/>
        <w:bidi w:val="0"/>
        <w:spacing w:line="576" w:lineRule="exact"/>
        <w:ind w:left="0" w:leftChars="0" w:firstLine="640" w:firstLineChars="200"/>
      </w:pPr>
      <w:bookmarkStart w:id="40" w:name="_Toc15377216"/>
      <w:r>
        <w:rPr>
          <w:rFonts w:hint="eastAsia"/>
        </w:rPr>
        <w:t>（一）“三公”经费财政拨款支出决算总体情况说明</w:t>
      </w:r>
      <w:bookmarkEnd w:id="40"/>
    </w:p>
    <w:p>
      <w:pPr>
        <w:pageBreakBefore w:val="0"/>
        <w:kinsoku/>
        <w:wordWrap/>
        <w:overflowPunct/>
        <w:topLinePunct w:val="0"/>
        <w:bidi w:val="0"/>
        <w:spacing w:line="576" w:lineRule="exact"/>
        <w:ind w:left="0" w:leftChars="0" w:firstLine="640" w:firstLineChars="200"/>
        <w:rPr>
          <w:rFonts w:ascii="仿宋" w:hAnsi="仿宋" w:eastAsia="仿宋"/>
        </w:rPr>
      </w:pPr>
      <w:r>
        <w:t>201</w:t>
      </w:r>
      <w:r>
        <w:rPr>
          <w:rFonts w:hint="eastAsia"/>
        </w:rPr>
        <w:t>8年“三公”经费财政拨款支出决算为</w:t>
      </w:r>
      <w:r>
        <w:rPr>
          <w:rFonts w:hint="eastAsia" w:ascii="宋体" w:hAnsi="宋体" w:cs="Arial"/>
          <w:kern w:val="0"/>
          <w:sz w:val="30"/>
          <w:szCs w:val="30"/>
        </w:rPr>
        <w:t>10.46</w:t>
      </w:r>
      <w:r>
        <w:rPr>
          <w:rFonts w:hint="eastAsia"/>
        </w:rPr>
        <w:t>万元，</w:t>
      </w:r>
      <w:r>
        <w:rPr>
          <w:rFonts w:hint="eastAsia" w:ascii="仿宋" w:hAnsi="仿宋" w:eastAsia="仿宋"/>
        </w:rPr>
        <w:t>完成预算100%。</w:t>
      </w:r>
    </w:p>
    <w:p>
      <w:pPr>
        <w:pageBreakBefore w:val="0"/>
        <w:kinsoku/>
        <w:wordWrap/>
        <w:overflowPunct/>
        <w:topLinePunct w:val="0"/>
        <w:bidi w:val="0"/>
        <w:spacing w:line="576" w:lineRule="exact"/>
        <w:ind w:left="0" w:leftChars="0" w:firstLine="640" w:firstLineChars="200"/>
      </w:pPr>
      <w:bookmarkStart w:id="41" w:name="_Toc15377217"/>
      <w:r>
        <w:rPr>
          <w:rFonts w:hint="eastAsia"/>
        </w:rPr>
        <w:t>（二）“三公”经费财政拨款支出决算具体情况说明</w:t>
      </w:r>
      <w:bookmarkEnd w:id="41"/>
    </w:p>
    <w:p>
      <w:pPr>
        <w:pageBreakBefore w:val="0"/>
        <w:kinsoku/>
        <w:wordWrap/>
        <w:overflowPunct/>
        <w:topLinePunct w:val="0"/>
        <w:bidi w:val="0"/>
        <w:spacing w:line="576" w:lineRule="exact"/>
        <w:ind w:left="0" w:leftChars="0" w:firstLine="640" w:firstLineChars="200"/>
      </w:pPr>
      <w:r>
        <w:rPr>
          <w:rFonts w:hint="eastAsia" w:hAnsi="仿宋_GB2312" w:cs="仿宋_GB2312"/>
          <w:kern w:val="0"/>
        </w:rPr>
        <w:t>2018年“三公”经费财政拨款支出决算中，因公出国（境）费支出决算0万元，占0%；公务用车购置及运行维护费支出决算9.8万元，占93.69%，完成预算100%；公务接待费支出决算0.66万元，占6.31%，完成预算100%。具体情况如下：</w:t>
      </w:r>
    </w:p>
    <w:p>
      <w:pPr>
        <w:pageBreakBefore w:val="0"/>
        <w:kinsoku/>
        <w:wordWrap/>
        <w:overflowPunct/>
        <w:topLinePunct w:val="0"/>
        <w:bidi w:val="0"/>
        <w:spacing w:line="576" w:lineRule="exact"/>
        <w:ind w:left="0" w:leftChars="0" w:firstLine="640" w:firstLineChars="200"/>
        <w:rPr>
          <w:rFonts w:hAnsi="仿宋_GB2312" w:cs="仿宋_GB2312"/>
          <w:kern w:val="0"/>
        </w:rPr>
      </w:pPr>
      <w:r>
        <w:rPr>
          <w:rFonts w:hint="eastAsia" w:hAnsi="仿宋_GB2312" w:cs="仿宋_GB2312"/>
          <w:kern w:val="0"/>
        </w:rPr>
        <w:drawing>
          <wp:anchor distT="0" distB="0" distL="114300" distR="114300" simplePos="0" relativeHeight="251663360" behindDoc="0" locked="0" layoutInCell="1" allowOverlap="1">
            <wp:simplePos x="0" y="0"/>
            <wp:positionH relativeFrom="column">
              <wp:posOffset>441960</wp:posOffset>
            </wp:positionH>
            <wp:positionV relativeFrom="paragraph">
              <wp:posOffset>74295</wp:posOffset>
            </wp:positionV>
            <wp:extent cx="4568190" cy="2768600"/>
            <wp:effectExtent l="4445" t="4445" r="18415" b="8255"/>
            <wp:wrapTopAndBottom/>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pPr>
        <w:pageBreakBefore w:val="0"/>
        <w:kinsoku/>
        <w:wordWrap/>
        <w:overflowPunct/>
        <w:topLinePunct w:val="0"/>
        <w:bidi w:val="0"/>
        <w:spacing w:line="576" w:lineRule="exact"/>
        <w:ind w:left="0" w:leftChars="0" w:firstLine="640" w:firstLineChars="200"/>
        <w:rPr>
          <w:color w:val="auto"/>
        </w:rPr>
      </w:pPr>
      <w:r>
        <w:rPr>
          <w:rFonts w:hint="eastAsia"/>
          <w:color w:val="auto"/>
        </w:rPr>
        <w:t>（图7：“三公”经费财政拨款支出结构）（饼状图）</w:t>
      </w:r>
    </w:p>
    <w:p>
      <w:pPr>
        <w:pageBreakBefore w:val="0"/>
        <w:kinsoku/>
        <w:wordWrap/>
        <w:overflowPunct/>
        <w:topLinePunct w:val="0"/>
        <w:bidi w:val="0"/>
        <w:spacing w:line="576" w:lineRule="exact"/>
        <w:ind w:left="0" w:leftChars="0" w:firstLine="640" w:firstLineChars="200"/>
      </w:pPr>
      <w:r>
        <w:rPr>
          <w:rFonts w:hint="eastAsia"/>
        </w:rPr>
        <w:t>1.因公出国（境）经费支出0万元，完成预算0%。全年安排因公出国（境）团组0次，出国（境）0人，与上年持平。</w:t>
      </w:r>
    </w:p>
    <w:p>
      <w:pPr>
        <w:pageBreakBefore w:val="0"/>
        <w:kinsoku/>
        <w:wordWrap/>
        <w:overflowPunct/>
        <w:topLinePunct w:val="0"/>
        <w:bidi w:val="0"/>
        <w:spacing w:line="576" w:lineRule="exact"/>
        <w:ind w:left="0" w:leftChars="0" w:firstLine="640" w:firstLineChars="200"/>
        <w:rPr>
          <w:color w:val="auto"/>
        </w:rPr>
      </w:pPr>
      <w:r>
        <w:rPr>
          <w:rFonts w:hint="eastAsia"/>
        </w:rPr>
        <w:t>2.公务用车购置及运行维护费支出9.8万元,完成预算100%。公务用车购置及运行维护费支出决算比</w:t>
      </w:r>
      <w:r>
        <w:rPr>
          <w:rFonts w:hint="eastAsia"/>
          <w:color w:val="auto"/>
        </w:rPr>
        <w:t>2017年增加2.51万元，上升25.62%。主要原因是开展脱贫攻坚工作下乡次数较多。</w:t>
      </w:r>
    </w:p>
    <w:p>
      <w:pPr>
        <w:pageBreakBefore w:val="0"/>
        <w:kinsoku/>
        <w:wordWrap/>
        <w:overflowPunct/>
        <w:topLinePunct w:val="0"/>
        <w:bidi w:val="0"/>
        <w:spacing w:line="576" w:lineRule="exact"/>
        <w:ind w:left="0" w:leftChars="0" w:firstLine="640" w:firstLineChars="200"/>
      </w:pPr>
      <w:r>
        <w:rPr>
          <w:rFonts w:hint="eastAsia"/>
          <w:color w:val="auto"/>
        </w:rPr>
        <w:t>其中：公务用车购置支出0万元。全年按规定更新购置公务用车0辆，其中：轿车0辆、金额0万元，越野车0辆、金额0万元，载客汽车0辆、金额0万元。截至2018年12</w:t>
      </w:r>
      <w:r>
        <w:rPr>
          <w:rFonts w:hint="eastAsia"/>
        </w:rPr>
        <w:t>月底，单位共有公务用车2辆，其中：轿车1辆、越野车1辆。</w:t>
      </w:r>
    </w:p>
    <w:p>
      <w:pPr>
        <w:pageBreakBefore w:val="0"/>
        <w:kinsoku/>
        <w:wordWrap/>
        <w:overflowPunct/>
        <w:topLinePunct w:val="0"/>
        <w:bidi w:val="0"/>
        <w:spacing w:line="576" w:lineRule="exact"/>
        <w:ind w:left="0" w:leftChars="0" w:firstLine="640" w:firstLineChars="200"/>
      </w:pPr>
      <w:r>
        <w:rPr>
          <w:rFonts w:hint="eastAsia"/>
        </w:rPr>
        <w:t>公务用车运行维护费支出9.80万元。主要用于主要用于执行公务、出差、下乡等所需的公务用车燃料费、维修费、过路过桥费、保险费等支出。</w:t>
      </w:r>
    </w:p>
    <w:p>
      <w:pPr>
        <w:pageBreakBefore w:val="0"/>
        <w:kinsoku/>
        <w:wordWrap/>
        <w:overflowPunct/>
        <w:topLinePunct w:val="0"/>
        <w:bidi w:val="0"/>
        <w:spacing w:line="576" w:lineRule="exact"/>
        <w:ind w:left="0" w:leftChars="0" w:firstLine="640" w:firstLineChars="200"/>
      </w:pPr>
      <w:r>
        <w:rPr>
          <w:rFonts w:hint="eastAsia"/>
        </w:rPr>
        <w:t>公务接待费支出0.67万元，完成预算100%。公务接待费支出决算比2017年增长0.05万元，上升7.46%。主要用于住宿费、用餐费等。国内公务接待5批次，200人次。</w:t>
      </w:r>
    </w:p>
    <w:p>
      <w:pPr>
        <w:pageBreakBefore w:val="0"/>
        <w:kinsoku/>
        <w:wordWrap/>
        <w:overflowPunct/>
        <w:topLinePunct w:val="0"/>
        <w:bidi w:val="0"/>
        <w:spacing w:line="576" w:lineRule="exact"/>
        <w:ind w:left="0" w:leftChars="0" w:firstLine="640" w:firstLineChars="200"/>
        <w:rPr>
          <w:rStyle w:val="35"/>
          <w:rFonts w:ascii="黑体" w:hAnsi="黑体" w:eastAsia="黑体"/>
        </w:rPr>
      </w:pPr>
      <w:bookmarkStart w:id="42" w:name="_Toc15377218"/>
      <w:bookmarkStart w:id="43" w:name="_Toc15396610"/>
      <w:r>
        <w:rPr>
          <w:rStyle w:val="35"/>
          <w:rFonts w:hint="eastAsia" w:ascii="黑体" w:hAnsi="黑体" w:eastAsia="黑体"/>
          <w:b w:val="0"/>
        </w:rPr>
        <w:t>八、政府性基金预算支出决算情况说明</w:t>
      </w:r>
      <w:bookmarkEnd w:id="42"/>
      <w:bookmarkEnd w:id="43"/>
    </w:p>
    <w:p>
      <w:pPr>
        <w:pageBreakBefore w:val="0"/>
        <w:kinsoku/>
        <w:wordWrap/>
        <w:overflowPunct/>
        <w:topLinePunct w:val="0"/>
        <w:bidi w:val="0"/>
        <w:spacing w:line="576" w:lineRule="exact"/>
        <w:ind w:left="0" w:leftChars="0" w:firstLine="640" w:firstLineChars="200"/>
      </w:pPr>
      <w:r>
        <w:t>201</w:t>
      </w:r>
      <w:r>
        <w:rPr>
          <w:rFonts w:hint="eastAsia"/>
        </w:rPr>
        <w:t>8年政府性基金预算拨款支出0万元。</w:t>
      </w:r>
    </w:p>
    <w:p>
      <w:pPr>
        <w:pageBreakBefore w:val="0"/>
        <w:kinsoku/>
        <w:wordWrap/>
        <w:overflowPunct/>
        <w:topLinePunct w:val="0"/>
        <w:bidi w:val="0"/>
        <w:spacing w:line="576" w:lineRule="exact"/>
        <w:ind w:left="0" w:leftChars="0" w:firstLine="640" w:firstLineChars="200"/>
        <w:rPr>
          <w:rStyle w:val="35"/>
          <w:rFonts w:ascii="黑体" w:hAnsi="黑体" w:eastAsia="黑体"/>
          <w:b w:val="0"/>
        </w:rPr>
      </w:pPr>
      <w:bookmarkStart w:id="44" w:name="_Toc15377219"/>
      <w:bookmarkStart w:id="45" w:name="_Toc15396611"/>
      <w:r>
        <w:rPr>
          <w:rStyle w:val="35"/>
          <w:rFonts w:hint="eastAsia" w:ascii="黑体" w:hAnsi="黑体" w:eastAsia="黑体"/>
          <w:b w:val="0"/>
        </w:rPr>
        <w:t>九、国有资本经营预算支出决算情况说明</w:t>
      </w:r>
      <w:bookmarkEnd w:id="44"/>
      <w:bookmarkEnd w:id="45"/>
    </w:p>
    <w:p>
      <w:pPr>
        <w:pageBreakBefore w:val="0"/>
        <w:kinsoku/>
        <w:wordWrap/>
        <w:overflowPunct/>
        <w:topLinePunct w:val="0"/>
        <w:bidi w:val="0"/>
        <w:spacing w:line="576" w:lineRule="exact"/>
        <w:ind w:left="0" w:leftChars="0" w:firstLine="640" w:firstLineChars="200"/>
      </w:pPr>
      <w:r>
        <w:t>201</w:t>
      </w:r>
      <w:r>
        <w:rPr>
          <w:rFonts w:hint="eastAsia"/>
        </w:rPr>
        <w:t>8年国有资本经营预算拨款支出0万元。</w:t>
      </w:r>
    </w:p>
    <w:p>
      <w:pPr>
        <w:pStyle w:val="33"/>
        <w:pageBreakBefore w:val="0"/>
        <w:kinsoku/>
        <w:wordWrap/>
        <w:overflowPunct/>
        <w:topLinePunct w:val="0"/>
        <w:bidi w:val="0"/>
        <w:spacing w:line="576" w:lineRule="exact"/>
        <w:ind w:left="0" w:leftChars="0" w:firstLine="640" w:firstLineChars="200"/>
        <w:rPr>
          <w:rStyle w:val="35"/>
          <w:rFonts w:ascii="黑体" w:hAnsi="黑体" w:eastAsia="黑体"/>
          <w:b w:val="0"/>
        </w:rPr>
      </w:pPr>
      <w:r>
        <w:rPr>
          <w:rStyle w:val="35"/>
          <w:rFonts w:hint="eastAsia" w:ascii="黑体" w:hAnsi="黑体" w:eastAsia="黑体"/>
          <w:b w:val="0"/>
          <w:lang w:eastAsia="zh-CN"/>
        </w:rPr>
        <w:t>十、</w:t>
      </w:r>
      <w:r>
        <w:rPr>
          <w:rStyle w:val="35"/>
          <w:rFonts w:hint="eastAsia" w:ascii="黑体" w:hAnsi="黑体" w:eastAsia="黑体"/>
          <w:b w:val="0"/>
        </w:rPr>
        <w:t>预算绩效情况说明</w:t>
      </w:r>
    </w:p>
    <w:p>
      <w:pPr>
        <w:pageBreakBefore w:val="0"/>
        <w:kinsoku/>
        <w:wordWrap/>
        <w:overflowPunct/>
        <w:topLinePunct w:val="0"/>
        <w:bidi w:val="0"/>
        <w:spacing w:line="576" w:lineRule="exact"/>
        <w:ind w:left="0" w:leftChars="0" w:firstLine="640" w:firstLineChars="200"/>
      </w:pPr>
      <w:r>
        <w:rPr>
          <w:rFonts w:hint="eastAsia"/>
          <w:lang w:eastAsia="zh-CN"/>
        </w:rPr>
        <w:t>（一）</w:t>
      </w:r>
      <w:r>
        <w:rPr>
          <w:rFonts w:hint="eastAsia"/>
        </w:rPr>
        <w:t>预算绩效管理工作开展情况。</w:t>
      </w:r>
    </w:p>
    <w:p>
      <w:pPr>
        <w:pStyle w:val="33"/>
        <w:pageBreakBefore w:val="0"/>
        <w:kinsoku/>
        <w:wordWrap/>
        <w:overflowPunct/>
        <w:topLinePunct w:val="0"/>
        <w:bidi w:val="0"/>
        <w:spacing w:line="576" w:lineRule="exact"/>
        <w:ind w:left="0" w:leftChars="0" w:firstLine="640" w:firstLineChars="200"/>
        <w:rPr>
          <w:rFonts w:hAnsi="宋体" w:cs="宋体"/>
          <w:kern w:val="0"/>
          <w:shd w:val="clear" w:color="auto" w:fill="FFFFFF"/>
        </w:rPr>
      </w:pPr>
      <w:r>
        <w:rPr>
          <w:rFonts w:hint="eastAsia" w:hAnsi="仿宋_GB2312" w:cs="仿宋_GB2312"/>
        </w:rPr>
        <w:t>本部门按要求对2018年部门整体支出开展绩效自评，从评价情况来看</w:t>
      </w:r>
      <w:r>
        <w:rPr>
          <w:rFonts w:hint="eastAsia"/>
          <w:shd w:val="clear" w:color="auto" w:fill="FFFFFF"/>
        </w:rPr>
        <w:t xml:space="preserve">红原县委统战部财政拨款支出主要用于保障我部门机构正常运转、完成日常工作任务以及承担本部门事业发展相关工作。 </w:t>
      </w:r>
    </w:p>
    <w:p>
      <w:pPr>
        <w:pageBreakBefore w:val="0"/>
        <w:kinsoku/>
        <w:wordWrap/>
        <w:overflowPunct/>
        <w:topLinePunct w:val="0"/>
        <w:bidi w:val="0"/>
        <w:spacing w:line="576" w:lineRule="exact"/>
        <w:ind w:left="0" w:leftChars="0" w:firstLine="640" w:firstLineChars="200"/>
        <w:rPr>
          <w:shd w:val="clear" w:color="auto" w:fill="FFFFFF"/>
        </w:rPr>
      </w:pPr>
      <w:r>
        <w:rPr>
          <w:rFonts w:hint="eastAsia"/>
          <w:shd w:val="clear" w:color="auto" w:fill="FFFFFF"/>
        </w:rPr>
        <w:t>1、基本支出：主要用于我单位正常运转的人员经费支出、日常公用经费支出。主要包括在职人员工资等人员经费以及办公费、差旅费、水电费、交通费、通讯费、办公设备购置等日常公用经费支出。存在的问题：预算编制准确性还需加强，主要是部分经费预算与实际开支存在差额。下一步改进措施：在预算时，深度分析本年经费在使用存在的问题情况，在充分考虑经费使用的效率前提下，并根据下年度工作需要,精细化编制单位预算。</w:t>
      </w:r>
    </w:p>
    <w:p>
      <w:pPr>
        <w:pageBreakBefore w:val="0"/>
        <w:kinsoku/>
        <w:wordWrap/>
        <w:overflowPunct/>
        <w:topLinePunct w:val="0"/>
        <w:bidi w:val="0"/>
        <w:spacing w:line="576" w:lineRule="exact"/>
        <w:ind w:left="0" w:leftChars="0" w:firstLine="640" w:firstLineChars="200"/>
        <w:rPr>
          <w:shd w:val="clear" w:color="auto" w:fill="FFFFFF"/>
        </w:rPr>
      </w:pPr>
      <w:r>
        <w:rPr>
          <w:rFonts w:hint="eastAsia"/>
          <w:shd w:val="clear" w:color="auto" w:fill="FFFFFF"/>
        </w:rPr>
        <w:t>2、项目支出：本部门还自行组织了3个项目绩效评价，从评价情况来看主要用“尼姑寺食堂改造项目</w:t>
      </w:r>
      <w:r>
        <w:rPr>
          <w:shd w:val="clear" w:color="auto" w:fill="FFFFFF"/>
        </w:rPr>
        <w:t>”</w:t>
      </w:r>
      <w:r>
        <w:rPr>
          <w:rFonts w:hint="eastAsia"/>
          <w:shd w:val="clear" w:color="auto" w:fill="FFFFFF"/>
        </w:rPr>
        <w:t>、“穹查勒周江措活佛去世慰问”、“寺庙、宗教界达标认识、贫困僧尼慰问”实现规范支出，合理运用，有成效。</w:t>
      </w:r>
    </w:p>
    <w:p>
      <w:pPr>
        <w:pageBreakBefore w:val="0"/>
        <w:kinsoku/>
        <w:wordWrap/>
        <w:overflowPunct/>
        <w:topLinePunct w:val="0"/>
        <w:bidi w:val="0"/>
        <w:spacing w:line="576" w:lineRule="exact"/>
        <w:ind w:left="0" w:leftChars="0" w:firstLine="640" w:firstLineChars="200"/>
      </w:pPr>
      <w:r>
        <w:rPr>
          <w:rFonts w:hint="eastAsia"/>
        </w:rPr>
        <w:t>（二）根据预算绩效管理要求，本部门（单位）在年初预算编制阶段，组织对</w:t>
      </w:r>
      <w:r>
        <w:rPr>
          <w:rFonts w:hint="eastAsia" w:ascii="宋体" w:hAnsi="宋体"/>
          <w:sz w:val="30"/>
          <w:szCs w:val="30"/>
        </w:rPr>
        <w:t>3</w:t>
      </w:r>
      <w:r>
        <w:rPr>
          <w:rFonts w:hint="eastAsia"/>
        </w:rPr>
        <w:t>项目开展了预算事前绩效评估，对</w:t>
      </w:r>
      <w:r>
        <w:rPr>
          <w:rFonts w:hint="eastAsia" w:ascii="宋体" w:hAnsi="宋体"/>
          <w:sz w:val="30"/>
          <w:szCs w:val="30"/>
        </w:rPr>
        <w:t>3</w:t>
      </w:r>
      <w:r>
        <w:rPr>
          <w:rFonts w:hint="eastAsia"/>
        </w:rPr>
        <w:t>个项目编制了绩效目标，预算执行过程中，选取</w:t>
      </w:r>
      <w:r>
        <w:rPr>
          <w:rFonts w:hint="eastAsia" w:ascii="宋体" w:hAnsi="宋体"/>
          <w:sz w:val="30"/>
          <w:szCs w:val="30"/>
        </w:rPr>
        <w:t>3</w:t>
      </w:r>
      <w:r>
        <w:rPr>
          <w:rFonts w:hint="eastAsia"/>
        </w:rPr>
        <w:t>个项目开展绩效监控，年终执行完毕后，对</w:t>
      </w:r>
      <w:r>
        <w:rPr>
          <w:rFonts w:hint="eastAsia" w:ascii="宋体" w:hAnsi="宋体"/>
          <w:sz w:val="30"/>
          <w:szCs w:val="30"/>
        </w:rPr>
        <w:t>3</w:t>
      </w:r>
      <w:r>
        <w:rPr>
          <w:rFonts w:hint="eastAsia"/>
        </w:rPr>
        <w:t>个项目开展了绩效目标完成情况梳理填报。</w:t>
      </w:r>
    </w:p>
    <w:p>
      <w:pPr>
        <w:pageBreakBefore w:val="0"/>
        <w:kinsoku/>
        <w:wordWrap/>
        <w:overflowPunct/>
        <w:topLinePunct w:val="0"/>
        <w:bidi w:val="0"/>
        <w:spacing w:line="576" w:lineRule="exact"/>
        <w:ind w:left="0" w:leftChars="0" w:firstLine="640" w:firstLineChars="200"/>
      </w:pPr>
      <w:r>
        <w:rPr>
          <w:rFonts w:hint="eastAsia"/>
          <w:lang w:val="en-US" w:eastAsia="zh-CN"/>
        </w:rPr>
        <w:t>1、</w:t>
      </w:r>
      <w:r>
        <w:rPr>
          <w:rFonts w:hint="eastAsia"/>
        </w:rPr>
        <w:t>项目绩效目标完成情况</w:t>
      </w:r>
    </w:p>
    <w:p>
      <w:pPr>
        <w:pageBreakBefore w:val="0"/>
        <w:kinsoku/>
        <w:wordWrap/>
        <w:overflowPunct/>
        <w:topLinePunct w:val="0"/>
        <w:bidi w:val="0"/>
        <w:spacing w:line="576" w:lineRule="exact"/>
        <w:ind w:left="0" w:leftChars="0" w:firstLine="640" w:firstLineChars="200"/>
      </w:pPr>
      <w:r>
        <w:rPr>
          <w:rFonts w:hint="eastAsia"/>
        </w:rPr>
        <w:t>本部门在2018年度部门决算中反映</w:t>
      </w:r>
      <w:r>
        <w:rPr>
          <w:rFonts w:hint="eastAsia"/>
          <w:shd w:val="clear" w:color="auto" w:fill="FFFFFF"/>
        </w:rPr>
        <w:t>“尼姑寺食堂改造项目</w:t>
      </w:r>
      <w:r>
        <w:rPr>
          <w:shd w:val="clear" w:color="auto" w:fill="FFFFFF"/>
        </w:rPr>
        <w:t>”</w:t>
      </w:r>
      <w:r>
        <w:rPr>
          <w:rFonts w:hint="eastAsia"/>
          <w:shd w:val="clear" w:color="auto" w:fill="FFFFFF"/>
        </w:rPr>
        <w:t>、“穹查勒周江措活佛去世慰问”、“寺庙、宗教界达标认识、贫困僧尼慰问</w:t>
      </w:r>
      <w:r>
        <w:rPr>
          <w:rFonts w:hint="eastAsia"/>
          <w:shd w:val="clear" w:color="auto" w:fill="FFFFFF"/>
          <w:lang w:eastAsia="zh-CN"/>
        </w:rPr>
        <w:t>”三</w:t>
      </w:r>
      <w:r>
        <w:rPr>
          <w:rFonts w:hint="eastAsia"/>
        </w:rPr>
        <w:t>个项目绩效目标实际完成情况。项目全年预算数15.6万元，执行数为15.6万元，完成预算的100%。项目绩效发现的主要问题：</w:t>
      </w:r>
    </w:p>
    <w:p>
      <w:pPr>
        <w:pageBreakBefore w:val="0"/>
        <w:kinsoku/>
        <w:wordWrap/>
        <w:overflowPunct/>
        <w:topLinePunct w:val="0"/>
        <w:bidi w:val="0"/>
        <w:spacing w:line="576" w:lineRule="exact"/>
        <w:ind w:left="0" w:leftChars="0" w:firstLine="640" w:firstLineChars="200"/>
      </w:pPr>
      <w:r>
        <w:rPr>
          <w:rFonts w:hint="eastAsia"/>
        </w:rPr>
        <w:t xml:space="preserve">（1）对于绩效评价的认识不够深入，把预算绩效简单等同于工作目标、工作考核和业务管理。  </w:t>
      </w:r>
    </w:p>
    <w:p>
      <w:pPr>
        <w:pageBreakBefore w:val="0"/>
        <w:kinsoku/>
        <w:wordWrap/>
        <w:overflowPunct/>
        <w:topLinePunct w:val="0"/>
        <w:bidi w:val="0"/>
        <w:spacing w:line="576" w:lineRule="exact"/>
        <w:ind w:left="0" w:leftChars="0" w:firstLine="640" w:firstLineChars="200"/>
      </w:pPr>
      <w:r>
        <w:rPr>
          <w:rFonts w:hint="eastAsia"/>
        </w:rPr>
        <w:t>（2）绩效目标和指标往往根据项目实际完成情况制定，对项目执行过程有效约束不够，存在一定的偏差；下一步改进措施：加强绩效评价管理制度和流程的建设，进一步深化、完善绩效管理体系，建立全过程的预算绩效管理机制，促进绩效管理工作向广度和深度延伸。</w:t>
      </w:r>
    </w:p>
    <w:p>
      <w:pPr>
        <w:pageBreakBefore w:val="0"/>
        <w:kinsoku/>
        <w:wordWrap/>
        <w:overflowPunct/>
        <w:topLinePunct w:val="0"/>
        <w:bidi w:val="0"/>
        <w:spacing w:line="576" w:lineRule="exact"/>
        <w:ind w:left="0" w:leftChars="0" w:firstLine="640" w:firstLineChars="200"/>
      </w:pPr>
      <w:r>
        <w:rPr>
          <w:rFonts w:hint="eastAsia"/>
          <w:lang w:val="en-US" w:eastAsia="zh-CN"/>
        </w:rPr>
        <w:t>2</w:t>
      </w:r>
      <w:r>
        <w:rPr>
          <w:rFonts w:hint="eastAsia"/>
        </w:rPr>
        <w:t>、寺庙、宗教界达标认识、贫困僧尼慰问：慰问10座寺庙及49名宗教界代表人士和75名贫困僧尼。</w:t>
      </w:r>
    </w:p>
    <w:tbl>
      <w:tblPr>
        <w:tblStyle w:val="15"/>
        <w:tblW w:w="9703" w:type="dxa"/>
        <w:tblInd w:w="0" w:type="dxa"/>
        <w:tblLayout w:type="fixed"/>
        <w:tblCellMar>
          <w:top w:w="15" w:type="dxa"/>
          <w:left w:w="15" w:type="dxa"/>
          <w:bottom w:w="15" w:type="dxa"/>
          <w:right w:w="15" w:type="dxa"/>
        </w:tblCellMar>
      </w:tblPr>
      <w:tblGrid>
        <w:gridCol w:w="898"/>
        <w:gridCol w:w="608"/>
        <w:gridCol w:w="952"/>
        <w:gridCol w:w="773"/>
        <w:gridCol w:w="976"/>
        <w:gridCol w:w="1731"/>
        <w:gridCol w:w="1800"/>
        <w:gridCol w:w="1965"/>
      </w:tblGrid>
      <w:tr>
        <w:tblPrEx>
          <w:tblCellMar>
            <w:top w:w="15" w:type="dxa"/>
            <w:left w:w="15" w:type="dxa"/>
            <w:bottom w:w="15" w:type="dxa"/>
            <w:right w:w="15" w:type="dxa"/>
          </w:tblCellMar>
        </w:tblPrEx>
        <w:trPr>
          <w:trHeight w:val="285" w:hRule="atLeast"/>
        </w:trPr>
        <w:tc>
          <w:tcPr>
            <w:tcW w:w="9703" w:type="dxa"/>
            <w:gridSpan w:val="8"/>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kern w:val="0"/>
                <w:sz w:val="21"/>
                <w:szCs w:val="21"/>
              </w:rPr>
            </w:pPr>
          </w:p>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kern w:val="0"/>
                <w:sz w:val="21"/>
                <w:szCs w:val="21"/>
              </w:rPr>
            </w:pPr>
          </w:p>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 xml:space="preserve">项目支出绩效目标完成情况表 </w:t>
            </w:r>
          </w:p>
        </w:tc>
      </w:tr>
      <w:tr>
        <w:tblPrEx>
          <w:tblCellMar>
            <w:top w:w="15" w:type="dxa"/>
            <w:left w:w="15" w:type="dxa"/>
            <w:bottom w:w="15" w:type="dxa"/>
            <w:right w:w="15" w:type="dxa"/>
          </w:tblCellMar>
        </w:tblPrEx>
        <w:trPr>
          <w:trHeight w:val="285" w:hRule="atLeast"/>
        </w:trPr>
        <w:tc>
          <w:tcPr>
            <w:tcW w:w="24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sz w:val="21"/>
                <w:szCs w:val="21"/>
              </w:rPr>
            </w:pPr>
            <w:r>
              <w:rPr>
                <w:rFonts w:hint="eastAsia" w:asciiTheme="minorEastAsia" w:hAnsiTheme="minorEastAsia" w:eastAsiaTheme="minorEastAsia"/>
                <w:kern w:val="0"/>
                <w:sz w:val="20"/>
                <w:szCs w:val="20"/>
              </w:rPr>
              <w:t>项目名称</w:t>
            </w:r>
          </w:p>
        </w:tc>
        <w:tc>
          <w:tcPr>
            <w:tcW w:w="724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寺庙、宗教界达标认识、贫困僧尼慰问</w:t>
            </w:r>
          </w:p>
        </w:tc>
      </w:tr>
      <w:tr>
        <w:tblPrEx>
          <w:tblCellMar>
            <w:top w:w="15" w:type="dxa"/>
            <w:left w:w="15" w:type="dxa"/>
            <w:bottom w:w="15" w:type="dxa"/>
            <w:right w:w="15" w:type="dxa"/>
          </w:tblCellMar>
        </w:tblPrEx>
        <w:trPr>
          <w:trHeight w:val="285" w:hRule="atLeast"/>
        </w:trPr>
        <w:tc>
          <w:tcPr>
            <w:tcW w:w="24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预算单位</w:t>
            </w:r>
          </w:p>
        </w:tc>
        <w:tc>
          <w:tcPr>
            <w:tcW w:w="724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红原县统一战线工作部</w:t>
            </w:r>
          </w:p>
        </w:tc>
      </w:tr>
      <w:tr>
        <w:tblPrEx>
          <w:tblCellMar>
            <w:top w:w="15" w:type="dxa"/>
            <w:left w:w="15" w:type="dxa"/>
            <w:bottom w:w="15" w:type="dxa"/>
            <w:right w:w="15" w:type="dxa"/>
          </w:tblCellMar>
        </w:tblPrEx>
        <w:trPr>
          <w:trHeight w:val="285" w:hRule="atLeast"/>
        </w:trPr>
        <w:tc>
          <w:tcPr>
            <w:tcW w:w="8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预算执行情况(万元</w:t>
            </w: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预算数:</w:t>
            </w:r>
          </w:p>
        </w:tc>
        <w:tc>
          <w:tcPr>
            <w:tcW w:w="17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4.6</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执行数:</w:t>
            </w:r>
          </w:p>
        </w:tc>
        <w:tc>
          <w:tcPr>
            <w:tcW w:w="37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4.6</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sz w:val="21"/>
                <w:szCs w:val="21"/>
              </w:rPr>
            </w:pPr>
            <w:r>
              <w:rPr>
                <w:rFonts w:hint="eastAsia" w:asciiTheme="minorEastAsia" w:hAnsiTheme="minorEastAsia" w:eastAsiaTheme="minorEastAsia"/>
                <w:kern w:val="0"/>
                <w:sz w:val="21"/>
                <w:szCs w:val="21"/>
              </w:rPr>
              <w:t>其中-财政拨款:</w:t>
            </w:r>
          </w:p>
        </w:tc>
        <w:tc>
          <w:tcPr>
            <w:tcW w:w="17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4.6</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其中-财政拨款:</w:t>
            </w:r>
          </w:p>
        </w:tc>
        <w:tc>
          <w:tcPr>
            <w:tcW w:w="37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4.6</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156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其它资金:</w:t>
            </w:r>
          </w:p>
        </w:tc>
        <w:tc>
          <w:tcPr>
            <w:tcW w:w="17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其它资金:</w:t>
            </w:r>
          </w:p>
        </w:tc>
        <w:tc>
          <w:tcPr>
            <w:tcW w:w="376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r>
      <w:tr>
        <w:tblPrEx>
          <w:tblCellMar>
            <w:top w:w="15" w:type="dxa"/>
            <w:left w:w="15" w:type="dxa"/>
            <w:bottom w:w="15" w:type="dxa"/>
            <w:right w:w="15" w:type="dxa"/>
          </w:tblCellMar>
        </w:tblPrEx>
        <w:trPr>
          <w:trHeight w:val="285" w:hRule="atLeast"/>
        </w:trPr>
        <w:tc>
          <w:tcPr>
            <w:tcW w:w="8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年度目标</w:t>
            </w:r>
          </w:p>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完成情况</w:t>
            </w:r>
          </w:p>
        </w:tc>
        <w:tc>
          <w:tcPr>
            <w:tcW w:w="23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预期目标</w:t>
            </w:r>
          </w:p>
        </w:tc>
        <w:tc>
          <w:tcPr>
            <w:tcW w:w="6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实际完成目标</w:t>
            </w:r>
          </w:p>
        </w:tc>
      </w:tr>
      <w:tr>
        <w:tblPrEx>
          <w:tblCellMar>
            <w:top w:w="15" w:type="dxa"/>
            <w:left w:w="15" w:type="dxa"/>
            <w:bottom w:w="15" w:type="dxa"/>
            <w:right w:w="15" w:type="dxa"/>
          </w:tblCellMar>
        </w:tblPrEx>
        <w:trPr>
          <w:trHeight w:val="1383"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23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慰问全县十座寺庙贫困尼</w:t>
            </w:r>
          </w:p>
        </w:tc>
        <w:tc>
          <w:tcPr>
            <w:tcW w:w="647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慰问10座寺庙及49名宗教界代表人士和75名贫困僧尼</w:t>
            </w:r>
          </w:p>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r>
      <w:tr>
        <w:tblPrEx>
          <w:tblCellMar>
            <w:top w:w="15" w:type="dxa"/>
            <w:left w:w="15" w:type="dxa"/>
            <w:bottom w:w="15" w:type="dxa"/>
            <w:right w:w="15" w:type="dxa"/>
          </w:tblCellMar>
        </w:tblPrEx>
        <w:trPr>
          <w:trHeight w:val="600" w:hRule="atLeast"/>
        </w:trPr>
        <w:tc>
          <w:tcPr>
            <w:tcW w:w="898"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sz w:val="21"/>
                <w:szCs w:val="21"/>
              </w:rPr>
            </w:pPr>
            <w:r>
              <w:rPr>
                <w:rFonts w:hint="eastAsia" w:asciiTheme="minorEastAsia" w:hAnsiTheme="minorEastAsia" w:eastAsiaTheme="minorEastAsia"/>
                <w:kern w:val="0"/>
                <w:sz w:val="21"/>
                <w:szCs w:val="21"/>
              </w:rPr>
              <w:t>绩效指标完成情况</w:t>
            </w: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Theme="minorEastAsia" w:hAnsiTheme="minorEastAsia" w:eastAsiaTheme="minorEastAsia"/>
                <w:sz w:val="21"/>
                <w:szCs w:val="21"/>
              </w:rPr>
            </w:pPr>
            <w:r>
              <w:rPr>
                <w:rFonts w:hint="eastAsia" w:asciiTheme="minorEastAsia" w:hAnsiTheme="minorEastAsia" w:eastAsiaTheme="minorEastAsia"/>
                <w:kern w:val="0"/>
                <w:sz w:val="21"/>
                <w:szCs w:val="21"/>
              </w:rPr>
              <w:t>一级指标</w:t>
            </w: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Theme="minorEastAsia" w:hAnsiTheme="minorEastAsia" w:eastAsiaTheme="minorEastAsia"/>
                <w:sz w:val="21"/>
                <w:szCs w:val="21"/>
              </w:rPr>
            </w:pPr>
            <w:r>
              <w:rPr>
                <w:rFonts w:hint="eastAsia" w:asciiTheme="minorEastAsia" w:hAnsiTheme="minorEastAsia" w:eastAsiaTheme="minorEastAsia"/>
                <w:kern w:val="0"/>
                <w:sz w:val="21"/>
                <w:szCs w:val="21"/>
              </w:rPr>
              <w:t>二级指标</w:t>
            </w:r>
          </w:p>
        </w:tc>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三级指标</w:t>
            </w:r>
          </w:p>
        </w:tc>
        <w:tc>
          <w:tcPr>
            <w:tcW w:w="270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指标评价内容</w:t>
            </w:r>
          </w:p>
        </w:tc>
        <w:tc>
          <w:tcPr>
            <w:tcW w:w="180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预期指标值(包含数字及文字描述)</w:t>
            </w:r>
          </w:p>
        </w:tc>
        <w:tc>
          <w:tcPr>
            <w:tcW w:w="1965"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实际完成指标值(包含数字及文字描述)</w:t>
            </w:r>
          </w:p>
        </w:tc>
      </w:tr>
      <w:tr>
        <w:tblPrEx>
          <w:tblCellMar>
            <w:top w:w="15" w:type="dxa"/>
            <w:left w:w="15" w:type="dxa"/>
            <w:bottom w:w="15" w:type="dxa"/>
            <w:right w:w="15" w:type="dxa"/>
          </w:tblCellMar>
        </w:tblPrEx>
        <w:trPr>
          <w:trHeight w:val="600"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270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1965"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r>
      <w:tr>
        <w:tblPrEx>
          <w:tblCellMar>
            <w:top w:w="15" w:type="dxa"/>
            <w:left w:w="15" w:type="dxa"/>
            <w:bottom w:w="15" w:type="dxa"/>
            <w:right w:w="15" w:type="dxa"/>
          </w:tblCellMar>
        </w:tblPrEx>
        <w:trPr>
          <w:trHeight w:val="600"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270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180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1965"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r>
      <w:tr>
        <w:tblPrEx>
          <w:tblCellMar>
            <w:top w:w="15" w:type="dxa"/>
            <w:left w:w="15" w:type="dxa"/>
            <w:bottom w:w="15" w:type="dxa"/>
            <w:right w:w="15" w:type="dxa"/>
          </w:tblCellMar>
        </w:tblPrEx>
        <w:trPr>
          <w:trHeight w:val="76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项目决策</w:t>
            </w: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绩效目标</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目标内容</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项目预期提供的产品、服务、效益或其他目标明确,即绩效目标实际明确个数/应当明确个数×100%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 xml:space="preserve"> 124个</w:t>
            </w:r>
          </w:p>
        </w:tc>
      </w:tr>
      <w:tr>
        <w:tblPrEx>
          <w:tblCellMar>
            <w:top w:w="15" w:type="dxa"/>
            <w:left w:w="15" w:type="dxa"/>
            <w:bottom w:w="15" w:type="dxa"/>
            <w:right w:w="15" w:type="dxa"/>
          </w:tblCellMar>
        </w:tblPrEx>
        <w:trPr>
          <w:trHeight w:val="64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进度计划</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项目计划实施进度明确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明确</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明确</w:t>
            </w:r>
          </w:p>
        </w:tc>
      </w:tr>
      <w:tr>
        <w:tblPrEx>
          <w:tblCellMar>
            <w:top w:w="15" w:type="dxa"/>
            <w:left w:w="15" w:type="dxa"/>
            <w:bottom w:w="15" w:type="dxa"/>
            <w:right w:w="15" w:type="dxa"/>
          </w:tblCellMar>
        </w:tblPrEx>
        <w:trPr>
          <w:trHeight w:val="690"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目标匹配</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绩效目标设定符合实际需求的抽样项目点个数/抽样项目点总数×100%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r>
      <w:tr>
        <w:tblPrEx>
          <w:tblCellMar>
            <w:top w:w="15" w:type="dxa"/>
            <w:left w:w="15" w:type="dxa"/>
            <w:bottom w:w="15" w:type="dxa"/>
            <w:right w:w="15" w:type="dxa"/>
          </w:tblCellMar>
        </w:tblPrEx>
        <w:trPr>
          <w:trHeight w:val="76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决策依据</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政策依据</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项目符合党中央、国务院和省委、省政府决策部署；符合当前经济社会发展需要</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实施规划</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连续性项目根据需要制定中长期实施规划</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有</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有</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实施规划符合实际，并根据情况变化适时调整</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管理制度</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制定项目资金管理办法</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是</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是</w:t>
            </w:r>
          </w:p>
        </w:tc>
      </w:tr>
      <w:tr>
        <w:tblPrEx>
          <w:tblCellMar>
            <w:top w:w="15" w:type="dxa"/>
            <w:left w:w="15" w:type="dxa"/>
            <w:bottom w:w="15" w:type="dxa"/>
            <w:right w:w="15" w:type="dxa"/>
          </w:tblCellMar>
        </w:tblPrEx>
        <w:trPr>
          <w:trHeight w:val="750"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项目资金分配决策程序明确</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明确</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明确</w:t>
            </w:r>
          </w:p>
        </w:tc>
      </w:tr>
      <w:tr>
        <w:tblPrEx>
          <w:tblCellMar>
            <w:top w:w="15" w:type="dxa"/>
            <w:left w:w="15" w:type="dxa"/>
            <w:bottom w:w="15" w:type="dxa"/>
            <w:right w:w="15" w:type="dxa"/>
          </w:tblCellMar>
        </w:tblPrEx>
        <w:trPr>
          <w:trHeight w:val="82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资金分配</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分配方法</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资金分配方法是否科学合理</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合理</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合理</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分配过程</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分配过程符合相关规定</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r>
      <w:tr>
        <w:tblPrEx>
          <w:tblCellMar>
            <w:top w:w="15" w:type="dxa"/>
            <w:left w:w="15" w:type="dxa"/>
            <w:bottom w:w="15" w:type="dxa"/>
            <w:right w:w="15" w:type="dxa"/>
          </w:tblCellMar>
        </w:tblPrEx>
        <w:trPr>
          <w:trHeight w:val="76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分配结果</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审核把关</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符合申报条件的抽样项目点个数/抽样项目点总数×100%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r>
      <w:tr>
        <w:tblPrEx>
          <w:tblCellMar>
            <w:top w:w="15" w:type="dxa"/>
            <w:left w:w="15" w:type="dxa"/>
            <w:bottom w:w="15" w:type="dxa"/>
            <w:right w:w="15" w:type="dxa"/>
          </w:tblCellMar>
        </w:tblPrEx>
        <w:trPr>
          <w:trHeight w:val="1020"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资金集中</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集中</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财政资金占项目资金总额比重较小项目个数/项目总数×100%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r>
      <w:tr>
        <w:tblPrEx>
          <w:tblCellMar>
            <w:top w:w="15" w:type="dxa"/>
            <w:left w:w="15" w:type="dxa"/>
            <w:bottom w:w="15" w:type="dxa"/>
            <w:right w:w="15" w:type="dxa"/>
          </w:tblCellMar>
        </w:tblPrEx>
        <w:trPr>
          <w:trHeight w:val="73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（均衡）</w:t>
            </w:r>
          </w:p>
        </w:tc>
        <w:tc>
          <w:tcPr>
            <w:tcW w:w="976"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均衡</w:t>
            </w:r>
          </w:p>
        </w:tc>
        <w:tc>
          <w:tcPr>
            <w:tcW w:w="17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按实际分配结果选择客观因素测算验证资金分配方法制定、分配要素设定、基础数据应用、测算依据选取等是否科学合理（2分）</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合理</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合理</w:t>
            </w:r>
          </w:p>
        </w:tc>
      </w:tr>
      <w:tr>
        <w:tblPrEx>
          <w:tblCellMar>
            <w:top w:w="15" w:type="dxa"/>
            <w:left w:w="15" w:type="dxa"/>
            <w:bottom w:w="15" w:type="dxa"/>
            <w:right w:w="15" w:type="dxa"/>
          </w:tblCellMar>
        </w:tblPrEx>
        <w:trPr>
          <w:trHeight w:val="540"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项目管理</w:t>
            </w: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 xml:space="preserve"> 资金到位</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分配时效</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县级主管部门按规定及时分配资金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及时</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及时</w:t>
            </w:r>
          </w:p>
        </w:tc>
      </w:tr>
      <w:tr>
        <w:tblPrEx>
          <w:tblCellMar>
            <w:top w:w="15" w:type="dxa"/>
            <w:left w:w="15" w:type="dxa"/>
            <w:bottom w:w="15" w:type="dxa"/>
            <w:right w:w="15" w:type="dxa"/>
          </w:tblCellMar>
        </w:tblPrEx>
        <w:trPr>
          <w:trHeight w:val="764"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资金拨付</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按规定及时拨付资金</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及时</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及时</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 xml:space="preserve">资金管理  </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使用范围</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资金使用是否合规</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是</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是</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支付依据</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资金支付依据符合规定，即支付依旧合规资金量/资金总量×100%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开支标准</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资金开支标准符合规定，即开支标准合规资金量/资金总量×100%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r>
      <w:tr>
        <w:tblPrEx>
          <w:tblCellMar>
            <w:top w:w="15" w:type="dxa"/>
            <w:left w:w="15" w:type="dxa"/>
            <w:bottom w:w="15" w:type="dxa"/>
            <w:right w:w="15" w:type="dxa"/>
          </w:tblCellMar>
        </w:tblPrEx>
        <w:trPr>
          <w:trHeight w:val="73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财务管理</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财务制度</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财务制度健全，管理规范</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规范</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规范</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会计核算</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会计核算规范</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规范</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规范</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组织实施（4分）</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项目调整</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项目调整严格履行相关手续</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宋体" w:hAnsi="宋体" w:eastAsia="宋体" w:cs="宋体"/>
                <w:color w:val="auto"/>
                <w:sz w:val="20"/>
                <w:szCs w:val="20"/>
              </w:rPr>
              <w:t>该项目未存在调整</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宋体" w:hAnsi="宋体" w:eastAsia="宋体" w:cs="宋体"/>
                <w:color w:val="auto"/>
                <w:sz w:val="20"/>
                <w:szCs w:val="20"/>
              </w:rPr>
              <w:t>该项目未存在调整</w:t>
            </w:r>
          </w:p>
        </w:tc>
      </w:tr>
      <w:tr>
        <w:tblPrEx>
          <w:tblCellMar>
            <w:top w:w="15" w:type="dxa"/>
            <w:left w:w="15" w:type="dxa"/>
            <w:bottom w:w="15" w:type="dxa"/>
            <w:right w:w="15" w:type="dxa"/>
          </w:tblCellMar>
        </w:tblPrEx>
        <w:trPr>
          <w:trHeight w:val="85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投资变更</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项目投资变更额/项目总投入×100%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宋体" w:hAnsi="宋体" w:eastAsia="宋体" w:cs="宋体"/>
                <w:color w:val="auto"/>
                <w:sz w:val="20"/>
                <w:szCs w:val="20"/>
              </w:rPr>
              <w:t>该项目未存在调整</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宋体" w:hAnsi="宋体" w:eastAsia="宋体" w:cs="宋体"/>
                <w:color w:val="auto"/>
                <w:sz w:val="20"/>
                <w:szCs w:val="20"/>
              </w:rPr>
              <w:t>该项目未存在调整</w:t>
            </w:r>
          </w:p>
        </w:tc>
      </w:tr>
      <w:tr>
        <w:tblPrEx>
          <w:tblCellMar>
            <w:top w:w="15" w:type="dxa"/>
            <w:left w:w="15" w:type="dxa"/>
            <w:bottom w:w="15" w:type="dxa"/>
            <w:right w:w="15" w:type="dxa"/>
          </w:tblCellMar>
        </w:tblPrEx>
        <w:trPr>
          <w:trHeight w:val="76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制度执行</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严格执行项目有关制度规定</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严格</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严格</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项目绩效</w:t>
            </w: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项目完成</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完成数量</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实际完成任务量/绩效目标设定任务量×100%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124个</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完成质量</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符合绩效目标设定的验收标准，达到行业基准水平</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符合</w:t>
            </w:r>
          </w:p>
        </w:tc>
      </w:tr>
      <w:tr>
        <w:tblPrEx>
          <w:tblCellMar>
            <w:top w:w="15" w:type="dxa"/>
            <w:left w:w="15" w:type="dxa"/>
            <w:bottom w:w="15" w:type="dxa"/>
            <w:right w:w="15" w:type="dxa"/>
          </w:tblCellMar>
        </w:tblPrEx>
        <w:trPr>
          <w:trHeight w:val="851"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完成时效</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（实际完成时间-绩效目标设定完成时间）/绩效目标设定完成时间×100%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及时</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及时</w:t>
            </w:r>
          </w:p>
        </w:tc>
      </w:tr>
      <w:tr>
        <w:tblPrEx>
          <w:tblCellMar>
            <w:top w:w="15" w:type="dxa"/>
            <w:left w:w="15" w:type="dxa"/>
            <w:bottom w:w="15" w:type="dxa"/>
            <w:right w:w="15" w:type="dxa"/>
          </w:tblCellMar>
        </w:tblPrEx>
        <w:trPr>
          <w:trHeight w:val="28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完成成本</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（实际完成成本-预计完成成本）/预计完成成本×100%</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100%</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100%</w:t>
            </w:r>
          </w:p>
        </w:tc>
      </w:tr>
      <w:tr>
        <w:tblPrEx>
          <w:tblCellMar>
            <w:top w:w="15" w:type="dxa"/>
            <w:left w:w="15" w:type="dxa"/>
            <w:bottom w:w="15" w:type="dxa"/>
            <w:right w:w="15" w:type="dxa"/>
          </w:tblCellMar>
        </w:tblPrEx>
        <w:trPr>
          <w:trHeight w:val="720"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r>
              <w:rPr>
                <w:rFonts w:hint="eastAsia" w:asciiTheme="minorEastAsia" w:hAnsiTheme="minorEastAsia" w:eastAsiaTheme="minorEastAsia"/>
                <w:kern w:val="0"/>
                <w:sz w:val="21"/>
                <w:szCs w:val="21"/>
              </w:rPr>
              <w:t>项目效益</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经济效益</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反映相关产出对经济社会发展带来的影响和效果，根据项目实际细化具体指标。</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提高生活水平</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提高生活水平</w:t>
            </w:r>
          </w:p>
        </w:tc>
      </w:tr>
      <w:tr>
        <w:tblPrEx>
          <w:tblCellMar>
            <w:top w:w="15" w:type="dxa"/>
            <w:left w:w="15" w:type="dxa"/>
            <w:bottom w:w="15" w:type="dxa"/>
            <w:right w:w="15" w:type="dxa"/>
          </w:tblCellMar>
        </w:tblPrEx>
        <w:trPr>
          <w:trHeight w:val="735"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社会效益</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反映相关产出对社会发展带来的影响和效果，根据项目实际细化具体指标。</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构建“宗教和顺”继续发扬爱国爱教</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构建“宗教和顺”继续发扬爱国爱教</w:t>
            </w:r>
          </w:p>
        </w:tc>
      </w:tr>
      <w:tr>
        <w:tblPrEx>
          <w:tblCellMar>
            <w:top w:w="15" w:type="dxa"/>
            <w:left w:w="15" w:type="dxa"/>
            <w:bottom w:w="15" w:type="dxa"/>
            <w:right w:w="15" w:type="dxa"/>
          </w:tblCellMar>
        </w:tblPrEx>
        <w:trPr>
          <w:trHeight w:val="720"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生态效益</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反映相关产出对自然环境带来的影响和效果，根据项目实际细化具体指标。</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p>
        </w:tc>
      </w:tr>
      <w:tr>
        <w:tblPrEx>
          <w:tblCellMar>
            <w:top w:w="15" w:type="dxa"/>
            <w:left w:w="15" w:type="dxa"/>
            <w:bottom w:w="15" w:type="dxa"/>
            <w:right w:w="15" w:type="dxa"/>
          </w:tblCellMar>
        </w:tblPrEx>
        <w:trPr>
          <w:trHeight w:val="1133"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可持续效益</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反映相关产出带来影响的可持续期限，根据项目实际细化具体指标。</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维护社会和谐稳定</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维护社会和谐稳定</w:t>
            </w:r>
          </w:p>
        </w:tc>
      </w:tr>
      <w:tr>
        <w:tblPrEx>
          <w:tblCellMar>
            <w:top w:w="15" w:type="dxa"/>
            <w:left w:w="15" w:type="dxa"/>
            <w:bottom w:w="15" w:type="dxa"/>
            <w:right w:w="15" w:type="dxa"/>
          </w:tblCellMar>
        </w:tblPrEx>
        <w:trPr>
          <w:trHeight w:val="1173" w:hRule="atLeast"/>
        </w:trPr>
        <w:tc>
          <w:tcPr>
            <w:tcW w:w="898"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60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rFonts w:asciiTheme="minorEastAsia" w:hAnsiTheme="minorEastAsia" w:eastAsiaTheme="minorEastAsia"/>
                <w:sz w:val="21"/>
                <w:szCs w:val="21"/>
              </w:rPr>
            </w:pPr>
          </w:p>
        </w:tc>
        <w:tc>
          <w:tcPr>
            <w:tcW w:w="95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sz w:val="21"/>
                <w:szCs w:val="21"/>
              </w:rPr>
            </w:pPr>
            <w:r>
              <w:rPr>
                <w:rFonts w:hint="eastAsia" w:asciiTheme="minorEastAsia" w:hAnsiTheme="minorEastAsia" w:eastAsiaTheme="minorEastAsia"/>
                <w:kern w:val="0"/>
                <w:sz w:val="21"/>
                <w:szCs w:val="21"/>
              </w:rPr>
              <w:t>满意度</w:t>
            </w:r>
          </w:p>
        </w:tc>
        <w:tc>
          <w:tcPr>
            <w:tcW w:w="773"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服务对象满意度</w:t>
            </w:r>
          </w:p>
        </w:tc>
        <w:tc>
          <w:tcPr>
            <w:tcW w:w="270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反映服务对象或项目受益人对相关产出及其影响的认可程度，根据项目实际细化具体指标。</w:t>
            </w:r>
          </w:p>
        </w:tc>
        <w:tc>
          <w:tcPr>
            <w:tcW w:w="180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满意</w:t>
            </w:r>
          </w:p>
        </w:tc>
        <w:tc>
          <w:tcPr>
            <w:tcW w:w="196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满意</w:t>
            </w:r>
          </w:p>
        </w:tc>
      </w:tr>
    </w:tbl>
    <w:p>
      <w:pPr>
        <w:pageBreakBefore w:val="0"/>
        <w:kinsoku/>
        <w:wordWrap/>
        <w:overflowPunct/>
        <w:topLinePunct w:val="0"/>
        <w:bidi w:val="0"/>
        <w:spacing w:line="576" w:lineRule="exact"/>
        <w:ind w:left="0" w:leftChars="0" w:firstLine="640" w:firstLineChars="200"/>
      </w:pPr>
    </w:p>
    <w:p>
      <w:pPr>
        <w:pageBreakBefore w:val="0"/>
        <w:kinsoku/>
        <w:wordWrap/>
        <w:overflowPunct/>
        <w:topLinePunct w:val="0"/>
        <w:bidi w:val="0"/>
        <w:spacing w:line="576" w:lineRule="exact"/>
        <w:ind w:left="0" w:leftChars="0" w:firstLine="640" w:firstLineChars="200"/>
        <w:rPr>
          <w:color w:val="auto"/>
        </w:rPr>
      </w:pPr>
      <w:r>
        <w:rPr>
          <w:rFonts w:hint="eastAsia"/>
          <w:color w:val="auto"/>
          <w:lang w:val="en-US" w:eastAsia="zh-CN"/>
        </w:rPr>
        <w:t>3</w:t>
      </w:r>
      <w:r>
        <w:rPr>
          <w:rFonts w:hint="eastAsia"/>
          <w:color w:val="auto"/>
        </w:rPr>
        <w:t>、穹查·勒周江措活佛去世慰问：回忆穹查</w:t>
      </w:r>
      <w:r>
        <w:rPr>
          <w:rFonts w:hint="eastAsia" w:ascii="方正小标宋简体" w:hAnsi="方正小标宋简体" w:eastAsia="方正小标宋简体" w:cs="方正小标宋简体"/>
          <w:color w:val="auto"/>
        </w:rPr>
        <w:t>·</w:t>
      </w:r>
      <w:r>
        <w:rPr>
          <w:rFonts w:hint="eastAsia"/>
          <w:color w:val="auto"/>
        </w:rPr>
        <w:t>勒周江措活佛生前事迹，追思他所作的贡献，继承他爱国爱教、弘法利生的精神和质朴的品质。</w:t>
      </w:r>
    </w:p>
    <w:tbl>
      <w:tblPr>
        <w:tblStyle w:val="15"/>
        <w:tblW w:w="9043" w:type="dxa"/>
        <w:tblInd w:w="0" w:type="dxa"/>
        <w:tblLayout w:type="fixed"/>
        <w:tblCellMar>
          <w:top w:w="15" w:type="dxa"/>
          <w:left w:w="15" w:type="dxa"/>
          <w:bottom w:w="15" w:type="dxa"/>
          <w:right w:w="15" w:type="dxa"/>
        </w:tblCellMar>
      </w:tblPr>
      <w:tblGrid>
        <w:gridCol w:w="1123"/>
        <w:gridCol w:w="570"/>
        <w:gridCol w:w="1065"/>
        <w:gridCol w:w="1095"/>
        <w:gridCol w:w="354"/>
        <w:gridCol w:w="2256"/>
        <w:gridCol w:w="1170"/>
        <w:gridCol w:w="1410"/>
      </w:tblGrid>
      <w:tr>
        <w:tblPrEx>
          <w:tblCellMar>
            <w:top w:w="15" w:type="dxa"/>
            <w:left w:w="15" w:type="dxa"/>
            <w:bottom w:w="15" w:type="dxa"/>
            <w:right w:w="15" w:type="dxa"/>
          </w:tblCellMar>
        </w:tblPrEx>
        <w:trPr>
          <w:trHeight w:val="285" w:hRule="atLeast"/>
        </w:trPr>
        <w:tc>
          <w:tcPr>
            <w:tcW w:w="9043" w:type="dxa"/>
            <w:gridSpan w:val="8"/>
            <w:shd w:val="clear" w:color="auto" w:fill="auto"/>
            <w:vAlign w:val="center"/>
          </w:tcPr>
          <w:p>
            <w:pPr>
              <w:pageBreakBefore w:val="0"/>
              <w:kinsoku/>
              <w:wordWrap/>
              <w:overflowPunct/>
              <w:topLinePunct w:val="0"/>
              <w:bidi w:val="0"/>
              <w:spacing w:line="576" w:lineRule="exact"/>
              <w:ind w:left="0" w:leftChars="0" w:firstLine="480" w:firstLineChars="200"/>
              <w:rPr>
                <w:rFonts w:ascii="宋体" w:hAnsi="宋体" w:eastAsia="宋体" w:cs="宋体"/>
                <w:color w:val="auto"/>
                <w:sz w:val="24"/>
                <w:szCs w:val="24"/>
              </w:rPr>
            </w:pPr>
          </w:p>
          <w:p>
            <w:pPr>
              <w:pageBreakBefore w:val="0"/>
              <w:kinsoku/>
              <w:wordWrap/>
              <w:overflowPunct/>
              <w:topLinePunct w:val="0"/>
              <w:bidi w:val="0"/>
              <w:spacing w:line="576" w:lineRule="exact"/>
              <w:ind w:left="0" w:leftChars="0" w:firstLine="480" w:firstLineChars="200"/>
              <w:rPr>
                <w:kern w:val="0"/>
                <w:sz w:val="20"/>
                <w:szCs w:val="20"/>
              </w:rPr>
            </w:pPr>
            <w:r>
              <w:rPr>
                <w:rFonts w:hint="eastAsia" w:ascii="宋体" w:hAnsi="宋体" w:eastAsia="宋体" w:cs="宋体"/>
                <w:color w:val="auto"/>
                <w:sz w:val="24"/>
                <w:szCs w:val="24"/>
              </w:rPr>
              <w:t>项目支出绩效目标完成情况表</w:t>
            </w:r>
          </w:p>
        </w:tc>
      </w:tr>
      <w:tr>
        <w:tblPrEx>
          <w:tblCellMar>
            <w:top w:w="15" w:type="dxa"/>
            <w:left w:w="15" w:type="dxa"/>
            <w:bottom w:w="15" w:type="dxa"/>
            <w:right w:w="15" w:type="dxa"/>
          </w:tblCellMar>
        </w:tblPrEx>
        <w:trPr>
          <w:trHeight w:val="285" w:hRule="atLeast"/>
        </w:trPr>
        <w:tc>
          <w:tcPr>
            <w:tcW w:w="27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项目名称</w:t>
            </w:r>
          </w:p>
        </w:tc>
        <w:tc>
          <w:tcPr>
            <w:tcW w:w="62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穹查·勒周江措活佛去世慰问</w:t>
            </w:r>
          </w:p>
        </w:tc>
      </w:tr>
      <w:tr>
        <w:tblPrEx>
          <w:tblCellMar>
            <w:top w:w="15" w:type="dxa"/>
            <w:left w:w="15" w:type="dxa"/>
            <w:bottom w:w="15" w:type="dxa"/>
            <w:right w:w="15" w:type="dxa"/>
          </w:tblCellMar>
        </w:tblPrEx>
        <w:trPr>
          <w:trHeight w:val="285" w:hRule="atLeast"/>
        </w:trPr>
        <w:tc>
          <w:tcPr>
            <w:tcW w:w="2758"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预算单位</w:t>
            </w:r>
          </w:p>
        </w:tc>
        <w:tc>
          <w:tcPr>
            <w:tcW w:w="6285"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中共红原县委统一战线工作部</w:t>
            </w:r>
          </w:p>
        </w:tc>
      </w:tr>
      <w:tr>
        <w:tblPrEx>
          <w:tblCellMar>
            <w:top w:w="15" w:type="dxa"/>
            <w:left w:w="15" w:type="dxa"/>
            <w:bottom w:w="15" w:type="dxa"/>
            <w:right w:w="15" w:type="dxa"/>
          </w:tblCellMar>
        </w:tblPrEx>
        <w:trPr>
          <w:trHeight w:val="285" w:hRule="atLeast"/>
        </w:trPr>
        <w:tc>
          <w:tcPr>
            <w:tcW w:w="11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预算执行情况(万元</w:t>
            </w: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预算数:</w:t>
            </w:r>
          </w:p>
        </w:tc>
        <w:tc>
          <w:tcPr>
            <w:tcW w:w="14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w:t>
            </w:r>
          </w:p>
        </w:tc>
        <w:tc>
          <w:tcPr>
            <w:tcW w:w="2256"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执行数:</w:t>
            </w:r>
          </w:p>
        </w:tc>
        <w:tc>
          <w:tcPr>
            <w:tcW w:w="25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其中-财政拨款:</w:t>
            </w:r>
          </w:p>
        </w:tc>
        <w:tc>
          <w:tcPr>
            <w:tcW w:w="14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w:t>
            </w:r>
          </w:p>
        </w:tc>
        <w:tc>
          <w:tcPr>
            <w:tcW w:w="2256"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其中-财政拨款:</w:t>
            </w:r>
          </w:p>
        </w:tc>
        <w:tc>
          <w:tcPr>
            <w:tcW w:w="25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63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其它资金:</w:t>
            </w:r>
          </w:p>
        </w:tc>
        <w:tc>
          <w:tcPr>
            <w:tcW w:w="144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2256"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其它资金:</w:t>
            </w:r>
          </w:p>
        </w:tc>
        <w:tc>
          <w:tcPr>
            <w:tcW w:w="25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r>
      <w:tr>
        <w:tblPrEx>
          <w:tblCellMar>
            <w:top w:w="15" w:type="dxa"/>
            <w:left w:w="15" w:type="dxa"/>
            <w:bottom w:w="15" w:type="dxa"/>
            <w:right w:w="15" w:type="dxa"/>
          </w:tblCellMar>
        </w:tblPrEx>
        <w:trPr>
          <w:trHeight w:val="285" w:hRule="atLeast"/>
        </w:trPr>
        <w:tc>
          <w:tcPr>
            <w:tcW w:w="11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年度目标完完成情况</w:t>
            </w:r>
          </w:p>
        </w:tc>
        <w:tc>
          <w:tcPr>
            <w:tcW w:w="27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预期目标</w:t>
            </w:r>
          </w:p>
        </w:tc>
        <w:tc>
          <w:tcPr>
            <w:tcW w:w="51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实际完成目标</w:t>
            </w:r>
          </w:p>
        </w:tc>
      </w:tr>
      <w:tr>
        <w:tblPrEx>
          <w:tblCellMar>
            <w:top w:w="15" w:type="dxa"/>
            <w:left w:w="15" w:type="dxa"/>
            <w:bottom w:w="15" w:type="dxa"/>
            <w:right w:w="15" w:type="dxa"/>
          </w:tblCellMar>
        </w:tblPrEx>
        <w:trPr>
          <w:trHeight w:val="192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2730"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慰问亲人</w:t>
            </w:r>
          </w:p>
        </w:tc>
        <w:tc>
          <w:tcPr>
            <w:tcW w:w="5190"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Theme="minorEastAsia" w:hAnsiTheme="minorEastAsia" w:eastAsiaTheme="minorEastAsia"/>
                <w:kern w:val="0"/>
                <w:sz w:val="20"/>
                <w:szCs w:val="20"/>
              </w:rPr>
            </w:pPr>
            <w:r>
              <w:rPr>
                <w:rFonts w:hint="eastAsia" w:asciiTheme="minorEastAsia" w:hAnsiTheme="minorEastAsia" w:eastAsiaTheme="minorEastAsia"/>
                <w:kern w:val="0"/>
                <w:sz w:val="20"/>
                <w:szCs w:val="20"/>
              </w:rPr>
              <w:t>慰问亲人</w:t>
            </w:r>
          </w:p>
        </w:tc>
      </w:tr>
      <w:tr>
        <w:tblPrEx>
          <w:tblCellMar>
            <w:top w:w="15" w:type="dxa"/>
            <w:left w:w="15" w:type="dxa"/>
            <w:bottom w:w="15" w:type="dxa"/>
            <w:right w:w="15" w:type="dxa"/>
          </w:tblCellMar>
        </w:tblPrEx>
        <w:trPr>
          <w:trHeight w:val="600" w:hRule="atLeast"/>
        </w:trPr>
        <w:tc>
          <w:tcPr>
            <w:tcW w:w="112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绩效指标完成情况</w:t>
            </w: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一指标</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二级指标</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三级指标</w:t>
            </w:r>
          </w:p>
        </w:tc>
        <w:tc>
          <w:tcPr>
            <w:tcW w:w="2610"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指标评价内容</w:t>
            </w:r>
          </w:p>
        </w:tc>
        <w:tc>
          <w:tcPr>
            <w:tcW w:w="117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预期指标值(包含数字及文字描述)</w:t>
            </w:r>
          </w:p>
        </w:tc>
        <w:tc>
          <w:tcPr>
            <w:tcW w:w="1410"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实际完成指标值(包含数字及文字描述)</w:t>
            </w:r>
          </w:p>
        </w:tc>
      </w:tr>
      <w:tr>
        <w:tblPrEx>
          <w:tblCellMar>
            <w:top w:w="15" w:type="dxa"/>
            <w:left w:w="15" w:type="dxa"/>
            <w:bottom w:w="15" w:type="dxa"/>
            <w:right w:w="15" w:type="dxa"/>
          </w:tblCellMar>
        </w:tblPrEx>
        <w:trPr>
          <w:trHeight w:val="60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26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r>
      <w:tr>
        <w:tblPrEx>
          <w:tblCellMar>
            <w:top w:w="15" w:type="dxa"/>
            <w:left w:w="15" w:type="dxa"/>
            <w:bottom w:w="15" w:type="dxa"/>
            <w:right w:w="15" w:type="dxa"/>
          </w:tblCellMar>
        </w:tblPrEx>
        <w:trPr>
          <w:trHeight w:val="60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2610"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17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410"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r>
      <w:tr>
        <w:tblPrEx>
          <w:tblCellMar>
            <w:top w:w="15" w:type="dxa"/>
            <w:left w:w="15" w:type="dxa"/>
            <w:bottom w:w="15" w:type="dxa"/>
            <w:right w:w="15" w:type="dxa"/>
          </w:tblCellMar>
        </w:tblPrEx>
        <w:trPr>
          <w:trHeight w:val="76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项目决策</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绩效目标</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目标内容</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项目预期提供的产品、服务、效益或其他目标明确,即绩效目标实际明确个数/应当明确个数×100%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w:t>
            </w:r>
          </w:p>
        </w:tc>
      </w:tr>
      <w:tr>
        <w:tblPrEx>
          <w:tblCellMar>
            <w:top w:w="15" w:type="dxa"/>
            <w:left w:w="15" w:type="dxa"/>
            <w:bottom w:w="15" w:type="dxa"/>
            <w:right w:w="15" w:type="dxa"/>
          </w:tblCellMar>
        </w:tblPrEx>
        <w:trPr>
          <w:trHeight w:val="64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进度计划</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项目计划实施进度明确</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明确</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明确</w:t>
            </w:r>
          </w:p>
        </w:tc>
      </w:tr>
      <w:tr>
        <w:tblPrEx>
          <w:tblCellMar>
            <w:top w:w="15" w:type="dxa"/>
            <w:left w:w="15" w:type="dxa"/>
            <w:bottom w:w="15" w:type="dxa"/>
            <w:right w:w="15" w:type="dxa"/>
          </w:tblCellMar>
        </w:tblPrEx>
        <w:trPr>
          <w:trHeight w:val="92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目标匹配</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绩效目标设定符合实际需求的抽样项目点个数/抽样项目点总数×100%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w:t>
            </w:r>
          </w:p>
        </w:tc>
      </w:tr>
      <w:tr>
        <w:tblPrEx>
          <w:tblCellMar>
            <w:top w:w="15" w:type="dxa"/>
            <w:left w:w="15" w:type="dxa"/>
            <w:bottom w:w="15" w:type="dxa"/>
            <w:right w:w="15" w:type="dxa"/>
          </w:tblCellMar>
        </w:tblPrEx>
        <w:trPr>
          <w:trHeight w:val="76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决策依据</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政策依据</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项目符合党中央、国务院和省委、省政府决策部署；符合当前经济社会发展需要</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110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实施规划</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连续性项目根据需要制定中长期实施规划</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r>
      <w:tr>
        <w:tblPrEx>
          <w:tblCellMar>
            <w:top w:w="15" w:type="dxa"/>
            <w:left w:w="15" w:type="dxa"/>
            <w:bottom w:w="15" w:type="dxa"/>
            <w:right w:w="15" w:type="dxa"/>
          </w:tblCellMar>
        </w:tblPrEx>
        <w:trPr>
          <w:trHeight w:val="101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实施规划符合实际，并根据情况变化适时调整</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77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管理制度</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制定项目资金管理办法</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是</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是</w:t>
            </w:r>
          </w:p>
        </w:tc>
      </w:tr>
      <w:tr>
        <w:tblPrEx>
          <w:tblCellMar>
            <w:top w:w="15" w:type="dxa"/>
            <w:left w:w="15" w:type="dxa"/>
            <w:bottom w:w="15" w:type="dxa"/>
            <w:right w:w="15" w:type="dxa"/>
          </w:tblCellMar>
        </w:tblPrEx>
        <w:trPr>
          <w:trHeight w:val="104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项目资金分配决策程序明确</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明确</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明确</w:t>
            </w:r>
          </w:p>
        </w:tc>
      </w:tr>
      <w:tr>
        <w:tblPrEx>
          <w:tblCellMar>
            <w:top w:w="15" w:type="dxa"/>
            <w:left w:w="15" w:type="dxa"/>
            <w:bottom w:w="15" w:type="dxa"/>
            <w:right w:w="15" w:type="dxa"/>
          </w:tblCellMar>
        </w:tblPrEx>
        <w:trPr>
          <w:trHeight w:val="61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资金分配</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分配方法</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资金分配方法是否科学合理</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合理</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合理</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分配过程</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分配过程符合相关规定</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8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分配结果</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审核把关</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符合申报条件的抽样项目点个数/抽样项目点总数×100%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1个</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1个</w:t>
            </w:r>
          </w:p>
        </w:tc>
      </w:tr>
      <w:tr>
        <w:tblPrEx>
          <w:tblCellMar>
            <w:top w:w="15" w:type="dxa"/>
            <w:left w:w="15" w:type="dxa"/>
            <w:bottom w:w="15" w:type="dxa"/>
            <w:right w:w="15" w:type="dxa"/>
          </w:tblCellMar>
        </w:tblPrEx>
        <w:trPr>
          <w:trHeight w:val="1043"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资金集中</w:t>
            </w:r>
          </w:p>
        </w:tc>
        <w:tc>
          <w:tcPr>
            <w:tcW w:w="35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集中</w:t>
            </w:r>
          </w:p>
        </w:tc>
        <w:tc>
          <w:tcPr>
            <w:tcW w:w="2256"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财政资金占项目资金总额比重较小项目个数/项目总数×100%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1个</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1个</w:t>
            </w:r>
          </w:p>
        </w:tc>
      </w:tr>
      <w:tr>
        <w:tblPrEx>
          <w:tblCellMar>
            <w:top w:w="15" w:type="dxa"/>
            <w:left w:w="15" w:type="dxa"/>
            <w:bottom w:w="15" w:type="dxa"/>
            <w:right w:w="15" w:type="dxa"/>
          </w:tblCellMar>
        </w:tblPrEx>
        <w:trPr>
          <w:trHeight w:val="1904"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（均衡）</w:t>
            </w:r>
          </w:p>
        </w:tc>
        <w:tc>
          <w:tcPr>
            <w:tcW w:w="35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均衡</w:t>
            </w:r>
          </w:p>
        </w:tc>
        <w:tc>
          <w:tcPr>
            <w:tcW w:w="2256"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按实际分配结果选择客观因素测算验证资金分配方法制定、分配要素设定、基础数据应用、测算依据选取等是否科学合理（2分）</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均衡</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均衡</w:t>
            </w:r>
          </w:p>
        </w:tc>
      </w:tr>
      <w:tr>
        <w:tblPrEx>
          <w:tblCellMar>
            <w:top w:w="15" w:type="dxa"/>
            <w:left w:w="15" w:type="dxa"/>
            <w:bottom w:w="15" w:type="dxa"/>
            <w:right w:w="15" w:type="dxa"/>
          </w:tblCellMar>
        </w:tblPrEx>
        <w:trPr>
          <w:trHeight w:val="54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r>
              <w:rPr>
                <w:rFonts w:hint="eastAsia"/>
                <w:kern w:val="0"/>
                <w:sz w:val="21"/>
                <w:szCs w:val="21"/>
              </w:rPr>
              <w:t>项目管理</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 xml:space="preserve"> 资金到位</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分配时效</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县级主管部门按规定及时分配资金</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及时</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及时</w:t>
            </w:r>
          </w:p>
        </w:tc>
      </w:tr>
      <w:tr>
        <w:tblPrEx>
          <w:tblCellMar>
            <w:top w:w="15" w:type="dxa"/>
            <w:left w:w="15" w:type="dxa"/>
            <w:bottom w:w="15" w:type="dxa"/>
            <w:right w:w="15" w:type="dxa"/>
          </w:tblCellMar>
        </w:tblPrEx>
        <w:trPr>
          <w:trHeight w:val="69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资金拨付</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按规定及时拨付资金</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及时</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及时</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 xml:space="preserve">资金管理  </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使用范围</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资金使用是否合规</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是</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是</w:t>
            </w:r>
          </w:p>
        </w:tc>
      </w:tr>
      <w:tr>
        <w:tblPrEx>
          <w:tblCellMar>
            <w:top w:w="15" w:type="dxa"/>
            <w:left w:w="15" w:type="dxa"/>
            <w:bottom w:w="15" w:type="dxa"/>
            <w:right w:w="15" w:type="dxa"/>
          </w:tblCellMar>
        </w:tblPrEx>
        <w:trPr>
          <w:trHeight w:val="866"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支付依据</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资金支付依据符合规定，即支付依旧合规资金量/资金总量×100%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100%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100%</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开支标准</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资金开支标准符合规定，即开支标准合规资金量/资金总量×100%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100%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100%</w:t>
            </w:r>
          </w:p>
        </w:tc>
      </w:tr>
      <w:tr>
        <w:tblPrEx>
          <w:tblCellMar>
            <w:top w:w="15" w:type="dxa"/>
            <w:left w:w="15" w:type="dxa"/>
            <w:bottom w:w="15" w:type="dxa"/>
            <w:right w:w="15" w:type="dxa"/>
          </w:tblCellMar>
        </w:tblPrEx>
        <w:trPr>
          <w:trHeight w:val="73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财务管理</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财务制度</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财务制度健全，管理规范</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规范</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规范</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会计核算</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会计核算规范</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规范</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规范</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组织实施（4分）</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项目调整</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项目调整严格履行相关手续</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该项目未存在调整</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该项目未存在调整</w:t>
            </w:r>
          </w:p>
        </w:tc>
      </w:tr>
      <w:tr>
        <w:tblPrEx>
          <w:tblCellMar>
            <w:top w:w="15" w:type="dxa"/>
            <w:left w:w="15" w:type="dxa"/>
            <w:bottom w:w="15" w:type="dxa"/>
            <w:right w:w="15" w:type="dxa"/>
          </w:tblCellMar>
        </w:tblPrEx>
        <w:trPr>
          <w:trHeight w:val="85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kern w:val="0"/>
                <w:sz w:val="21"/>
                <w:szCs w:val="21"/>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投资变更</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项目投资变更额/项目总投入×100%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kern w:val="0"/>
                <w:sz w:val="21"/>
                <w:szCs w:val="21"/>
              </w:rPr>
            </w:pPr>
            <w:r>
              <w:rPr>
                <w:rFonts w:hint="eastAsia" w:ascii="宋体" w:hAnsi="宋体" w:eastAsia="宋体" w:cs="宋体"/>
                <w:color w:val="auto"/>
                <w:sz w:val="20"/>
                <w:szCs w:val="20"/>
              </w:rPr>
              <w:t>该项目未存在调整</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kern w:val="0"/>
                <w:sz w:val="21"/>
                <w:szCs w:val="21"/>
              </w:rPr>
            </w:pPr>
            <w:r>
              <w:rPr>
                <w:rFonts w:hint="eastAsia" w:ascii="宋体" w:hAnsi="宋体" w:eastAsia="宋体" w:cs="宋体"/>
                <w:color w:val="auto"/>
                <w:sz w:val="20"/>
                <w:szCs w:val="20"/>
              </w:rPr>
              <w:t>该项目未存在调整</w:t>
            </w:r>
          </w:p>
        </w:tc>
      </w:tr>
      <w:tr>
        <w:tblPrEx>
          <w:tblCellMar>
            <w:top w:w="15" w:type="dxa"/>
            <w:left w:w="15" w:type="dxa"/>
            <w:bottom w:w="15" w:type="dxa"/>
            <w:right w:w="15" w:type="dxa"/>
          </w:tblCellMar>
        </w:tblPrEx>
        <w:trPr>
          <w:trHeight w:val="76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20" w:firstLineChars="200"/>
              <w:rPr>
                <w:kern w:val="0"/>
                <w:sz w:val="21"/>
                <w:szCs w:val="21"/>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20" w:firstLineChars="200"/>
              <w:rPr>
                <w:kern w:val="0"/>
                <w:sz w:val="21"/>
                <w:szCs w:val="21"/>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制度执行</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严格执行项目有关制度规定</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严格</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严格</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项目绩效</w:t>
            </w: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项目完成</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完成数量</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实际完成任务量/绩效目标设定任务量×100%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kern w:val="0"/>
                <w:sz w:val="21"/>
                <w:szCs w:val="21"/>
              </w:rPr>
            </w:pPr>
            <w:r>
              <w:rPr>
                <w:rFonts w:hint="eastAsia" w:ascii="宋体" w:hAnsi="宋体" w:eastAsia="宋体" w:cs="宋体"/>
                <w:color w:val="auto"/>
                <w:sz w:val="20"/>
                <w:szCs w:val="20"/>
              </w:rPr>
              <w:t>100%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kern w:val="0"/>
                <w:sz w:val="21"/>
                <w:szCs w:val="21"/>
              </w:rPr>
            </w:pPr>
            <w:r>
              <w:rPr>
                <w:rFonts w:hint="eastAsia" w:ascii="宋体" w:hAnsi="宋体" w:eastAsia="宋体" w:cs="宋体"/>
                <w:color w:val="auto"/>
                <w:sz w:val="20"/>
                <w:szCs w:val="20"/>
              </w:rPr>
              <w:t>100%</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完成质量</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符合绩效目标设定的验收标准，达到行业基准水平</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79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完成时效</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（实际完成时间-绩效目标设定完成时间）/绩效目标设定完成时间×100%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kern w:val="0"/>
                <w:sz w:val="21"/>
                <w:szCs w:val="21"/>
              </w:rPr>
            </w:pPr>
            <w:r>
              <w:rPr>
                <w:rFonts w:hint="eastAsia" w:ascii="宋体" w:hAnsi="宋体" w:eastAsia="宋体" w:cs="宋体"/>
                <w:color w:val="auto"/>
                <w:sz w:val="20"/>
                <w:szCs w:val="20"/>
              </w:rPr>
              <w:t>100%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kern w:val="0"/>
                <w:sz w:val="21"/>
                <w:szCs w:val="21"/>
              </w:rPr>
            </w:pPr>
            <w:r>
              <w:rPr>
                <w:rFonts w:hint="eastAsia" w:ascii="宋体" w:hAnsi="宋体" w:eastAsia="宋体" w:cs="宋体"/>
                <w:color w:val="auto"/>
                <w:sz w:val="20"/>
                <w:szCs w:val="20"/>
              </w:rPr>
              <w:t>100%</w:t>
            </w:r>
          </w:p>
        </w:tc>
      </w:tr>
      <w:tr>
        <w:tblPrEx>
          <w:tblCellMar>
            <w:top w:w="15" w:type="dxa"/>
            <w:left w:w="15" w:type="dxa"/>
            <w:bottom w:w="15" w:type="dxa"/>
            <w:right w:w="15" w:type="dxa"/>
          </w:tblCellMar>
        </w:tblPrEx>
        <w:trPr>
          <w:trHeight w:val="28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完成成本</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（实际完成成本-预计完成成本）/预计完成成本×100%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kern w:val="0"/>
                <w:sz w:val="21"/>
                <w:szCs w:val="21"/>
              </w:rPr>
            </w:pPr>
            <w:r>
              <w:rPr>
                <w:rFonts w:hint="eastAsia" w:ascii="宋体" w:hAnsi="宋体" w:eastAsia="宋体" w:cs="宋体"/>
                <w:color w:val="auto"/>
                <w:sz w:val="20"/>
                <w:szCs w:val="20"/>
              </w:rPr>
              <w:t>100%</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kern w:val="0"/>
                <w:sz w:val="21"/>
                <w:szCs w:val="21"/>
              </w:rPr>
            </w:pPr>
            <w:r>
              <w:rPr>
                <w:rFonts w:hint="eastAsia" w:ascii="宋体" w:hAnsi="宋体" w:eastAsia="宋体" w:cs="宋体"/>
                <w:color w:val="auto"/>
                <w:sz w:val="20"/>
                <w:szCs w:val="20"/>
              </w:rPr>
              <w:t>100%</w:t>
            </w:r>
          </w:p>
        </w:tc>
      </w:tr>
      <w:tr>
        <w:tblPrEx>
          <w:tblCellMar>
            <w:top w:w="15" w:type="dxa"/>
            <w:left w:w="15" w:type="dxa"/>
            <w:bottom w:w="15" w:type="dxa"/>
            <w:right w:w="15" w:type="dxa"/>
          </w:tblCellMar>
        </w:tblPrEx>
        <w:trPr>
          <w:trHeight w:val="123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项目效益</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经济效益</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反映相关产出对经济社会发展带来的影响和效果，根据项目实际细化具体指标。</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20" w:firstLineChars="200"/>
              <w:rPr>
                <w:kern w:val="0"/>
                <w:sz w:val="21"/>
                <w:szCs w:val="21"/>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20" w:firstLineChars="200"/>
              <w:rPr>
                <w:kern w:val="0"/>
                <w:sz w:val="21"/>
                <w:szCs w:val="21"/>
              </w:rPr>
            </w:pPr>
          </w:p>
        </w:tc>
      </w:tr>
      <w:tr>
        <w:tblPrEx>
          <w:tblCellMar>
            <w:top w:w="15" w:type="dxa"/>
            <w:left w:w="15" w:type="dxa"/>
            <w:bottom w:w="15" w:type="dxa"/>
            <w:right w:w="15" w:type="dxa"/>
          </w:tblCellMar>
        </w:tblPrEx>
        <w:trPr>
          <w:trHeight w:val="735"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社会效益</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反映相关产出对社会发展带来的影响和效果，根据项目实际细化具体指标。</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继承爱国爱教、弘法利生精神</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继承爱国爱教、弘法利生精神</w:t>
            </w:r>
          </w:p>
        </w:tc>
      </w:tr>
      <w:tr>
        <w:tblPrEx>
          <w:tblCellMar>
            <w:top w:w="15" w:type="dxa"/>
            <w:left w:w="15" w:type="dxa"/>
            <w:bottom w:w="15" w:type="dxa"/>
            <w:right w:w="15" w:type="dxa"/>
          </w:tblCellMar>
        </w:tblPrEx>
        <w:trPr>
          <w:trHeight w:val="72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生态效益</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反映相关产出对自然环境带来的影响和效果，根据项目实际细化具体指标。</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r>
      <w:tr>
        <w:tblPrEx>
          <w:tblCellMar>
            <w:top w:w="15" w:type="dxa"/>
            <w:left w:w="15" w:type="dxa"/>
            <w:bottom w:w="15" w:type="dxa"/>
            <w:right w:w="15" w:type="dxa"/>
          </w:tblCellMar>
        </w:tblPrEx>
        <w:trPr>
          <w:trHeight w:val="1130"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可持续效益</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反映相关产出带来影响的可持续期限，根据项目实际细化具体指标。</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继承行善积德、服务民生、服务社会典范</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继承行善积德、服务民生、服务社会典范</w:t>
            </w:r>
          </w:p>
        </w:tc>
      </w:tr>
      <w:tr>
        <w:tblPrEx>
          <w:tblCellMar>
            <w:top w:w="15" w:type="dxa"/>
            <w:left w:w="15" w:type="dxa"/>
            <w:bottom w:w="15" w:type="dxa"/>
            <w:right w:w="15" w:type="dxa"/>
          </w:tblCellMar>
        </w:tblPrEx>
        <w:trPr>
          <w:trHeight w:val="993" w:hRule="atLeast"/>
        </w:trPr>
        <w:tc>
          <w:tcPr>
            <w:tcW w:w="112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640" w:firstLineChars="200"/>
            </w:pPr>
          </w:p>
        </w:tc>
        <w:tc>
          <w:tcPr>
            <w:tcW w:w="570"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p>
        </w:tc>
        <w:tc>
          <w:tcPr>
            <w:tcW w:w="1065"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满意度</w:t>
            </w:r>
          </w:p>
        </w:tc>
        <w:tc>
          <w:tcPr>
            <w:tcW w:w="1095"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服务对象满意度</w:t>
            </w:r>
          </w:p>
        </w:tc>
        <w:tc>
          <w:tcPr>
            <w:tcW w:w="261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反映服务对象或项目受益人对相关产出及其影响的认可程度，根据项目实际细化具体指标。</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both"/>
              <w:rPr>
                <w:rFonts w:ascii="宋体" w:hAnsi="宋体" w:eastAsia="宋体" w:cs="宋体"/>
                <w:color w:val="auto"/>
                <w:sz w:val="20"/>
                <w:szCs w:val="20"/>
              </w:rPr>
            </w:pPr>
            <w:r>
              <w:rPr>
                <w:rFonts w:hint="eastAsia" w:ascii="宋体" w:hAnsi="宋体" w:eastAsia="宋体" w:cs="宋体"/>
                <w:color w:val="auto"/>
                <w:sz w:val="20"/>
                <w:szCs w:val="20"/>
              </w:rPr>
              <w:t>满意</w:t>
            </w:r>
          </w:p>
        </w:tc>
        <w:tc>
          <w:tcPr>
            <w:tcW w:w="1410"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jc w:val="center"/>
              <w:rPr>
                <w:rFonts w:ascii="宋体" w:hAnsi="宋体" w:eastAsia="宋体" w:cs="宋体"/>
                <w:color w:val="auto"/>
                <w:sz w:val="20"/>
                <w:szCs w:val="20"/>
              </w:rPr>
            </w:pPr>
            <w:r>
              <w:rPr>
                <w:rFonts w:hint="eastAsia" w:ascii="宋体" w:hAnsi="宋体" w:eastAsia="宋体" w:cs="宋体"/>
                <w:color w:val="auto"/>
                <w:sz w:val="20"/>
                <w:szCs w:val="20"/>
              </w:rPr>
              <w:t>满意</w:t>
            </w:r>
          </w:p>
        </w:tc>
      </w:tr>
    </w:tbl>
    <w:p>
      <w:pPr>
        <w:pageBreakBefore w:val="0"/>
        <w:kinsoku/>
        <w:wordWrap/>
        <w:overflowPunct/>
        <w:topLinePunct w:val="0"/>
        <w:bidi w:val="0"/>
        <w:spacing w:line="576" w:lineRule="exact"/>
        <w:ind w:left="0" w:leftChars="0" w:firstLine="640" w:firstLineChars="200"/>
      </w:pPr>
    </w:p>
    <w:p>
      <w:pPr>
        <w:pStyle w:val="33"/>
        <w:pageBreakBefore w:val="0"/>
        <w:kinsoku/>
        <w:wordWrap/>
        <w:overflowPunct/>
        <w:topLinePunct w:val="0"/>
        <w:bidi w:val="0"/>
        <w:spacing w:line="576" w:lineRule="exact"/>
        <w:ind w:left="0" w:leftChars="0" w:firstLine="600" w:firstLineChars="200"/>
        <w:rPr>
          <w:color w:val="auto"/>
          <w:sz w:val="30"/>
          <w:szCs w:val="30"/>
        </w:rPr>
      </w:pPr>
      <w:r>
        <w:rPr>
          <w:rFonts w:hint="eastAsia" w:hAnsi="仿宋_GB2312" w:cs="仿宋_GB2312"/>
          <w:color w:val="auto"/>
          <w:sz w:val="30"/>
          <w:szCs w:val="30"/>
          <w:lang w:val="en-US" w:eastAsia="zh-CN"/>
        </w:rPr>
        <w:t>4</w:t>
      </w:r>
      <w:r>
        <w:rPr>
          <w:rFonts w:hint="eastAsia" w:hAnsi="仿宋_GB2312" w:cs="仿宋_GB2312"/>
          <w:color w:val="auto"/>
          <w:sz w:val="30"/>
          <w:szCs w:val="30"/>
        </w:rPr>
        <w:t>、尼姑寺食堂改造实施：</w:t>
      </w:r>
      <w:r>
        <w:rPr>
          <w:rFonts w:hint="eastAsia"/>
          <w:color w:val="auto"/>
          <w:sz w:val="30"/>
          <w:szCs w:val="30"/>
        </w:rPr>
        <w:t>为进一步改善尼姑寺食堂陈旧，加强民生保障工作，改善饮食条件，提升就餐档次，我部与瓦切镇镇政府一并组织开展尼姑寺食堂改造项目。</w:t>
      </w:r>
    </w:p>
    <w:tbl>
      <w:tblPr>
        <w:tblStyle w:val="15"/>
        <w:tblW w:w="9522" w:type="dxa"/>
        <w:tblInd w:w="0" w:type="dxa"/>
        <w:tblLayout w:type="fixed"/>
        <w:tblCellMar>
          <w:top w:w="15" w:type="dxa"/>
          <w:left w:w="15" w:type="dxa"/>
          <w:bottom w:w="15" w:type="dxa"/>
          <w:right w:w="15" w:type="dxa"/>
        </w:tblCellMar>
      </w:tblPr>
      <w:tblGrid>
        <w:gridCol w:w="619"/>
        <w:gridCol w:w="594"/>
        <w:gridCol w:w="1048"/>
        <w:gridCol w:w="764"/>
        <w:gridCol w:w="1182"/>
        <w:gridCol w:w="1752"/>
        <w:gridCol w:w="1632"/>
        <w:gridCol w:w="1931"/>
      </w:tblGrid>
      <w:tr>
        <w:tblPrEx>
          <w:tblCellMar>
            <w:top w:w="15" w:type="dxa"/>
            <w:left w:w="15" w:type="dxa"/>
            <w:bottom w:w="15" w:type="dxa"/>
            <w:right w:w="15" w:type="dxa"/>
          </w:tblCellMar>
        </w:tblPrEx>
        <w:trPr>
          <w:trHeight w:val="285" w:hRule="atLeast"/>
        </w:trPr>
        <w:tc>
          <w:tcPr>
            <w:tcW w:w="9522" w:type="dxa"/>
            <w:gridSpan w:val="8"/>
            <w:shd w:val="clear" w:color="auto" w:fill="auto"/>
            <w:vAlign w:val="center"/>
          </w:tcPr>
          <w:p>
            <w:pPr>
              <w:pageBreakBefore w:val="0"/>
              <w:kinsoku/>
              <w:wordWrap/>
              <w:overflowPunct/>
              <w:topLinePunct w:val="0"/>
              <w:bidi w:val="0"/>
              <w:spacing w:line="576" w:lineRule="exact"/>
              <w:ind w:left="0" w:leftChars="0" w:firstLine="640" w:firstLineChars="200"/>
              <w:rPr>
                <w:kern w:val="0"/>
                <w:sz w:val="21"/>
                <w:szCs w:val="21"/>
              </w:rPr>
            </w:pPr>
            <w:r>
              <w:rPr>
                <w:rFonts w:hint="eastAsia"/>
                <w:kern w:val="0"/>
              </w:rPr>
              <w:t>项目支出绩效目标完成情况表</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项目名称</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尼姑寺食堂改造</w:t>
            </w:r>
          </w:p>
        </w:tc>
      </w:tr>
      <w:tr>
        <w:tblPrEx>
          <w:tblCellMar>
            <w:top w:w="15" w:type="dxa"/>
            <w:left w:w="15" w:type="dxa"/>
            <w:bottom w:w="15" w:type="dxa"/>
            <w:right w:w="15" w:type="dxa"/>
          </w:tblCellMar>
        </w:tblPrEx>
        <w:trPr>
          <w:trHeight w:val="285" w:hRule="atLeast"/>
        </w:trPr>
        <w:tc>
          <w:tcPr>
            <w:tcW w:w="2261"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预算单位</w:t>
            </w:r>
          </w:p>
        </w:tc>
        <w:tc>
          <w:tcPr>
            <w:tcW w:w="7261"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中共红原县委统一战线工作部</w:t>
            </w:r>
          </w:p>
        </w:tc>
      </w:tr>
      <w:tr>
        <w:tblPrEx>
          <w:tblCellMar>
            <w:top w:w="15" w:type="dxa"/>
            <w:left w:w="15" w:type="dxa"/>
            <w:bottom w:w="15" w:type="dxa"/>
            <w:right w:w="15" w:type="dxa"/>
          </w:tblCellMar>
        </w:tblPrEx>
        <w:trPr>
          <w:trHeight w:val="285" w:hRule="atLeast"/>
        </w:trPr>
        <w:tc>
          <w:tcPr>
            <w:tcW w:w="6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预算执行情况(万元</w:t>
            </w:r>
          </w:p>
        </w:tc>
        <w:tc>
          <w:tcPr>
            <w:tcW w:w="1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预算数:</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9.00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执行数:</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9.00</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其中-财政拨款:</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9.00</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其中-财政拨款:</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9.00</w:t>
            </w:r>
          </w:p>
        </w:tc>
      </w:tr>
      <w:tr>
        <w:tblPrEx>
          <w:tblCellMar>
            <w:top w:w="15" w:type="dxa"/>
            <w:left w:w="15" w:type="dxa"/>
            <w:bottom w:w="15" w:type="dxa"/>
            <w:right w:w="15" w:type="dxa"/>
          </w:tblCellMar>
        </w:tblPrEx>
        <w:trPr>
          <w:trHeight w:val="1834"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642"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其它资金:</w:t>
            </w:r>
          </w:p>
        </w:tc>
        <w:tc>
          <w:tcPr>
            <w:tcW w:w="1946"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其它资金:</w:t>
            </w:r>
          </w:p>
        </w:tc>
        <w:tc>
          <w:tcPr>
            <w:tcW w:w="3563"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r>
      <w:tr>
        <w:tblPrEx>
          <w:tblCellMar>
            <w:top w:w="15" w:type="dxa"/>
            <w:left w:w="15" w:type="dxa"/>
            <w:bottom w:w="15" w:type="dxa"/>
            <w:right w:w="15" w:type="dxa"/>
          </w:tblCellMar>
        </w:tblPrEx>
        <w:trPr>
          <w:trHeight w:val="1315" w:hRule="atLeast"/>
        </w:trPr>
        <w:tc>
          <w:tcPr>
            <w:tcW w:w="6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年度目标完成情况</w:t>
            </w:r>
          </w:p>
        </w:tc>
        <w:tc>
          <w:tcPr>
            <w:tcW w:w="240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预期目标</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实际完成目标</w:t>
            </w:r>
          </w:p>
        </w:tc>
      </w:tr>
      <w:tr>
        <w:tblPrEx>
          <w:tblCellMar>
            <w:top w:w="15" w:type="dxa"/>
            <w:left w:w="15" w:type="dxa"/>
            <w:bottom w:w="15" w:type="dxa"/>
            <w:right w:w="15" w:type="dxa"/>
          </w:tblCellMar>
        </w:tblPrEx>
        <w:trPr>
          <w:trHeight w:val="192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2406"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为进一步改善寺庙僧尼生活条件，提高生活质量。</w:t>
            </w:r>
          </w:p>
        </w:tc>
        <w:tc>
          <w:tcPr>
            <w:tcW w:w="6497"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为进一步改善寺庙僧尼生活条件，提高生活质量。</w:t>
            </w:r>
          </w:p>
        </w:tc>
      </w:tr>
      <w:tr>
        <w:tblPrEx>
          <w:tblCellMar>
            <w:top w:w="15" w:type="dxa"/>
            <w:left w:w="15" w:type="dxa"/>
            <w:bottom w:w="15" w:type="dxa"/>
            <w:right w:w="15" w:type="dxa"/>
          </w:tblCellMar>
        </w:tblPrEx>
        <w:trPr>
          <w:trHeight w:val="600" w:hRule="atLeast"/>
        </w:trPr>
        <w:tc>
          <w:tcPr>
            <w:tcW w:w="61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绩效指标完成情况</w:t>
            </w:r>
          </w:p>
        </w:tc>
        <w:tc>
          <w:tcPr>
            <w:tcW w:w="59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一级指标</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二级指标</w:t>
            </w: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三级指标</w:t>
            </w:r>
          </w:p>
        </w:tc>
        <w:tc>
          <w:tcPr>
            <w:tcW w:w="2934"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指标评价内容</w:t>
            </w:r>
          </w:p>
        </w:tc>
        <w:tc>
          <w:tcPr>
            <w:tcW w:w="1632"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预期指标值(包含数字及文字描述)</w:t>
            </w:r>
          </w:p>
        </w:tc>
        <w:tc>
          <w:tcPr>
            <w:tcW w:w="1931"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实际完成指标值(包含数字及文字描述)</w:t>
            </w:r>
          </w:p>
        </w:tc>
      </w:tr>
      <w:tr>
        <w:tblPrEx>
          <w:tblCellMar>
            <w:top w:w="15" w:type="dxa"/>
            <w:left w:w="15" w:type="dxa"/>
            <w:bottom w:w="15" w:type="dxa"/>
            <w:right w:w="15" w:type="dxa"/>
          </w:tblCellMar>
        </w:tblPrEx>
        <w:trPr>
          <w:trHeight w:val="60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r>
      <w:tr>
        <w:tblPrEx>
          <w:tblCellMar>
            <w:top w:w="15" w:type="dxa"/>
            <w:left w:w="15" w:type="dxa"/>
            <w:bottom w:w="15" w:type="dxa"/>
            <w:right w:w="15" w:type="dxa"/>
          </w:tblCellMar>
        </w:tblPrEx>
        <w:trPr>
          <w:trHeight w:val="60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2934"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632"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931"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r>
      <w:tr>
        <w:tblPrEx>
          <w:tblCellMar>
            <w:top w:w="15" w:type="dxa"/>
            <w:left w:w="15" w:type="dxa"/>
            <w:bottom w:w="15" w:type="dxa"/>
            <w:right w:w="15" w:type="dxa"/>
          </w:tblCellMar>
        </w:tblPrEx>
        <w:trPr>
          <w:trHeight w:val="76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项目决策</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绩效目标</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目标内容</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项目预期提供的产品、服务、效益或其他目标明确,即绩效目标实际明确个数/应当明确个数×100%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 xml:space="preserve">        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 xml:space="preserve">    1个</w:t>
            </w:r>
          </w:p>
        </w:tc>
      </w:tr>
      <w:tr>
        <w:tblPrEx>
          <w:tblCellMar>
            <w:top w:w="15" w:type="dxa"/>
            <w:left w:w="15" w:type="dxa"/>
            <w:bottom w:w="15" w:type="dxa"/>
            <w:right w:w="15" w:type="dxa"/>
          </w:tblCellMar>
        </w:tblPrEx>
        <w:trPr>
          <w:trHeight w:val="64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进度计划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项目计划实施进度明确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明确</w:t>
            </w:r>
          </w:p>
        </w:tc>
      </w:tr>
      <w:tr>
        <w:tblPrEx>
          <w:tblCellMar>
            <w:top w:w="15" w:type="dxa"/>
            <w:left w:w="15" w:type="dxa"/>
            <w:bottom w:w="15" w:type="dxa"/>
            <w:right w:w="15" w:type="dxa"/>
          </w:tblCellMar>
        </w:tblPrEx>
        <w:trPr>
          <w:trHeight w:val="85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目标匹配</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绩效目标设定符合实际需求的抽样项目点个数/抽样项目点总数×100%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1个</w:t>
            </w:r>
          </w:p>
        </w:tc>
      </w:tr>
      <w:tr>
        <w:tblPrEx>
          <w:tblCellMar>
            <w:top w:w="15" w:type="dxa"/>
            <w:left w:w="15" w:type="dxa"/>
            <w:bottom w:w="15" w:type="dxa"/>
            <w:right w:w="15" w:type="dxa"/>
          </w:tblCellMar>
        </w:tblPrEx>
        <w:trPr>
          <w:trHeight w:val="76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决策依据</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政策依据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项目符合党中央、国务院和省委、省政府决策部署；符合当前经济社会发展需要</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实施规划</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连续性项目根据需要制定中长期实施规划</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有</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有</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实施规划符合实际，并根据情况变化适时调整</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vMerge w:val="restart"/>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管理制度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制定项目资金管理办法</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是</w:t>
            </w:r>
          </w:p>
        </w:tc>
      </w:tr>
      <w:tr>
        <w:tblPrEx>
          <w:tblCellMar>
            <w:top w:w="15" w:type="dxa"/>
            <w:left w:w="15" w:type="dxa"/>
            <w:bottom w:w="15" w:type="dxa"/>
            <w:right w:w="15" w:type="dxa"/>
          </w:tblCellMar>
        </w:tblPrEx>
        <w:trPr>
          <w:trHeight w:val="751"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vMerge w:val="continue"/>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项目资金分配决策程序明确</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明确</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明确</w:t>
            </w:r>
          </w:p>
        </w:tc>
      </w:tr>
      <w:tr>
        <w:tblPrEx>
          <w:tblCellMar>
            <w:top w:w="15" w:type="dxa"/>
            <w:left w:w="15" w:type="dxa"/>
            <w:bottom w:w="15" w:type="dxa"/>
            <w:right w:w="15" w:type="dxa"/>
          </w:tblCellMar>
        </w:tblPrEx>
        <w:trPr>
          <w:trHeight w:val="82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资金分配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分配方法</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资金分配方法是否科学合理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合理</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分配过程</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分配过程符合相关规定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76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分配结果</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审核把关</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符合申报条件的抽样项目点个数/抽样项目点总数×100%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1个</w:t>
            </w:r>
          </w:p>
        </w:tc>
      </w:tr>
      <w:tr>
        <w:tblPrEx>
          <w:tblCellMar>
            <w:top w:w="15" w:type="dxa"/>
            <w:left w:w="15" w:type="dxa"/>
            <w:bottom w:w="15" w:type="dxa"/>
            <w:right w:w="15" w:type="dxa"/>
          </w:tblCellMar>
        </w:tblPrEx>
        <w:trPr>
          <w:trHeight w:val="102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资金集中</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集中</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财政资金占项目资金总额比重较小项目个数/项目总数×100%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1个</w:t>
            </w:r>
          </w:p>
        </w:tc>
      </w:tr>
      <w:tr>
        <w:tblPrEx>
          <w:tblCellMar>
            <w:top w:w="15" w:type="dxa"/>
            <w:left w:w="15" w:type="dxa"/>
            <w:bottom w:w="15" w:type="dxa"/>
            <w:right w:w="15" w:type="dxa"/>
          </w:tblCellMar>
        </w:tblPrEx>
        <w:trPr>
          <w:trHeight w:val="73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（均衡）</w:t>
            </w:r>
          </w:p>
        </w:tc>
        <w:tc>
          <w:tcPr>
            <w:tcW w:w="118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均衡</w:t>
            </w:r>
          </w:p>
        </w:tc>
        <w:tc>
          <w:tcPr>
            <w:tcW w:w="175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按实际分配结果选择客观因素测算验证资金分配方法制定、分配要素设定、基础数据应用、测算依据选取等是否科学合理（2分）</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合理</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合理</w:t>
            </w:r>
          </w:p>
        </w:tc>
      </w:tr>
      <w:tr>
        <w:tblPrEx>
          <w:tblCellMar>
            <w:top w:w="15" w:type="dxa"/>
            <w:left w:w="15" w:type="dxa"/>
            <w:bottom w:w="15" w:type="dxa"/>
            <w:right w:w="15" w:type="dxa"/>
          </w:tblCellMar>
        </w:tblPrEx>
        <w:trPr>
          <w:trHeight w:val="54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项目管理</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 xml:space="preserve"> 资金到位</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分配时效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县级主管部门按规定及时分配资金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及时</w:t>
            </w:r>
          </w:p>
        </w:tc>
      </w:tr>
      <w:tr>
        <w:tblPrEx>
          <w:tblCellMar>
            <w:top w:w="15" w:type="dxa"/>
            <w:left w:w="15" w:type="dxa"/>
            <w:bottom w:w="15" w:type="dxa"/>
            <w:right w:w="15" w:type="dxa"/>
          </w:tblCellMar>
        </w:tblPrEx>
        <w:trPr>
          <w:trHeight w:val="115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资金拨付</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按规定及时拨付资金</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及时</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 xml:space="preserve">资金管理  </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使用范围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资金使用是否合规</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是</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是</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支付依据</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资金支付依据符合规定，即支付依旧合规资金量/资金总量×100%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开支标准</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资金开支标准符合规定，即开支标准合规资金量/资金总量×100%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73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财务管理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财务制度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财务制度健全，管理规范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规范</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会计核算</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会计核算规范</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规范</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规范</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组织实施（4分）</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项目调整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项目调整严格履行相关手续</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该项目未存在调整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该项目未存在调整</w:t>
            </w:r>
          </w:p>
        </w:tc>
      </w:tr>
      <w:tr>
        <w:tblPrEx>
          <w:tblCellMar>
            <w:top w:w="15" w:type="dxa"/>
            <w:left w:w="15" w:type="dxa"/>
            <w:bottom w:w="15" w:type="dxa"/>
            <w:right w:w="15" w:type="dxa"/>
          </w:tblCellMar>
        </w:tblPrEx>
        <w:trPr>
          <w:trHeight w:val="85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投资变更</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项目投资变更额/项目总投入×100%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该项目未存在调整</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该项目未存在调整</w:t>
            </w:r>
          </w:p>
        </w:tc>
      </w:tr>
      <w:tr>
        <w:tblPrEx>
          <w:tblCellMar>
            <w:top w:w="15" w:type="dxa"/>
            <w:left w:w="15" w:type="dxa"/>
            <w:bottom w:w="15" w:type="dxa"/>
            <w:right w:w="15" w:type="dxa"/>
          </w:tblCellMar>
        </w:tblPrEx>
        <w:trPr>
          <w:trHeight w:val="76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制度执行</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严格执行项目有关制度规定</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严格</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严格</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项目绩效</w:t>
            </w: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项目完成</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完成数量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实际完成任务量/绩效目标设定任务量×100%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1个</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1个</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完成质量</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符合绩效目标设定的验收标准，达到行业基准水平</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符合</w:t>
            </w:r>
          </w:p>
        </w:tc>
      </w:tr>
      <w:tr>
        <w:tblPrEx>
          <w:tblCellMar>
            <w:top w:w="15" w:type="dxa"/>
            <w:left w:w="15" w:type="dxa"/>
            <w:bottom w:w="15" w:type="dxa"/>
            <w:right w:w="15" w:type="dxa"/>
          </w:tblCellMar>
        </w:tblPrEx>
        <w:trPr>
          <w:trHeight w:val="79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完成时效</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（实际完成时间-绩效目标设定完成时间）/绩效目标设定完成时间×100%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及时</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及时</w:t>
            </w:r>
          </w:p>
        </w:tc>
      </w:tr>
      <w:tr>
        <w:tblPrEx>
          <w:tblCellMar>
            <w:top w:w="15" w:type="dxa"/>
            <w:left w:w="15" w:type="dxa"/>
            <w:bottom w:w="15" w:type="dxa"/>
            <w:right w:w="15" w:type="dxa"/>
          </w:tblCellMar>
        </w:tblPrEx>
        <w:trPr>
          <w:trHeight w:val="28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完成成本</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（实际完成成本-预计完成成本）/预计完成成本×100%</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好</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好</w:t>
            </w:r>
          </w:p>
        </w:tc>
      </w:tr>
      <w:tr>
        <w:tblPrEx>
          <w:tblCellMar>
            <w:top w:w="15" w:type="dxa"/>
            <w:left w:w="15" w:type="dxa"/>
            <w:bottom w:w="15" w:type="dxa"/>
            <w:right w:w="15" w:type="dxa"/>
          </w:tblCellMar>
        </w:tblPrEx>
        <w:trPr>
          <w:trHeight w:val="72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restart"/>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项目效益</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经济效益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反映相关产出对经济社会发展带来的影响和效果，根据项目实际细化具体指标。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r>
      <w:tr>
        <w:tblPrEx>
          <w:tblCellMar>
            <w:top w:w="15" w:type="dxa"/>
            <w:left w:w="15" w:type="dxa"/>
            <w:bottom w:w="15" w:type="dxa"/>
            <w:right w:w="15" w:type="dxa"/>
          </w:tblCellMar>
        </w:tblPrEx>
        <w:trPr>
          <w:trHeight w:val="735"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社会效益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反映相关产出对社会发展带来的影响和效果，根据项目实际细化具体指标。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提高就餐环境、提高饭菜质量。并对食堂运行机制改良，运行更加有效、经济</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提高就餐环境、提高饭菜质量。并对食堂运行机制改良，运行更加有效、经济</w:t>
            </w:r>
          </w:p>
        </w:tc>
      </w:tr>
      <w:tr>
        <w:tblPrEx>
          <w:tblCellMar>
            <w:top w:w="15" w:type="dxa"/>
            <w:left w:w="15" w:type="dxa"/>
            <w:bottom w:w="15" w:type="dxa"/>
            <w:right w:w="15" w:type="dxa"/>
          </w:tblCellMar>
        </w:tblPrEx>
        <w:trPr>
          <w:trHeight w:val="72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生态效益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反映相关产出对自然环境带来的影响和效果，根据项目实际细化具体指标。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提高环境卫生及生态保护</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提高环境卫生及生态保护</w:t>
            </w:r>
          </w:p>
        </w:tc>
      </w:tr>
      <w:tr>
        <w:tblPrEx>
          <w:tblCellMar>
            <w:top w:w="15" w:type="dxa"/>
            <w:left w:w="15" w:type="dxa"/>
            <w:bottom w:w="15" w:type="dxa"/>
            <w:right w:w="15" w:type="dxa"/>
          </w:tblCellMar>
        </w:tblPrEx>
        <w:trPr>
          <w:trHeight w:val="75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可持续效益</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反映相关产出带来影响的可持续期限，根据项目实际细化具体指标。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改善食堂条件，提高食堂管理质量和管理效率</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0" w:firstLineChars="0"/>
              <w:jc w:val="both"/>
              <w:rPr>
                <w:rFonts w:ascii="宋体" w:hAnsi="宋体" w:eastAsia="宋体" w:cs="宋体"/>
                <w:color w:val="auto"/>
                <w:sz w:val="20"/>
                <w:szCs w:val="20"/>
              </w:rPr>
            </w:pPr>
            <w:r>
              <w:rPr>
                <w:rFonts w:hint="eastAsia" w:ascii="宋体" w:hAnsi="宋体" w:eastAsia="宋体" w:cs="宋体"/>
                <w:color w:val="auto"/>
                <w:sz w:val="20"/>
                <w:szCs w:val="20"/>
              </w:rPr>
              <w:t>改善食堂条件，提高食堂管理质量和管理效率</w:t>
            </w:r>
          </w:p>
        </w:tc>
      </w:tr>
      <w:tr>
        <w:tblPrEx>
          <w:tblCellMar>
            <w:top w:w="15" w:type="dxa"/>
            <w:left w:w="15" w:type="dxa"/>
            <w:bottom w:w="15" w:type="dxa"/>
            <w:right w:w="15" w:type="dxa"/>
          </w:tblCellMar>
        </w:tblPrEx>
        <w:trPr>
          <w:trHeight w:val="1080" w:hRule="atLeast"/>
        </w:trPr>
        <w:tc>
          <w:tcPr>
            <w:tcW w:w="61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594" w:type="dxa"/>
            <w:vMerge w:val="continue"/>
            <w:tcBorders>
              <w:top w:val="single" w:color="000000" w:sz="4" w:space="0"/>
              <w:left w:val="single" w:color="000000" w:sz="4" w:space="0"/>
              <w:bottom w:val="single" w:color="000000" w:sz="4" w:space="0"/>
              <w:right w:val="single" w:color="000000" w:sz="4" w:space="0"/>
            </w:tcBorders>
            <w:shd w:val="clear" w:color="auto" w:fill="auto"/>
            <w:textDirection w:val="tbRlV"/>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tc>
        <w:tc>
          <w:tcPr>
            <w:tcW w:w="1048"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满意度</w:t>
            </w:r>
          </w:p>
        </w:tc>
        <w:tc>
          <w:tcPr>
            <w:tcW w:w="764" w:type="dxa"/>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服务对象满意度</w:t>
            </w:r>
          </w:p>
        </w:tc>
        <w:tc>
          <w:tcPr>
            <w:tcW w:w="293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pageBreakBefore w:val="0"/>
              <w:kinsoku/>
              <w:wordWrap/>
              <w:overflowPunct/>
              <w:topLinePunct w:val="0"/>
              <w:bidi w:val="0"/>
              <w:spacing w:line="576" w:lineRule="exact"/>
              <w:ind w:left="0" w:leftChars="0" w:firstLine="0" w:firstLineChars="0"/>
              <w:rPr>
                <w:rFonts w:ascii="宋体" w:hAnsi="宋体" w:eastAsia="宋体" w:cs="宋体"/>
                <w:color w:val="auto"/>
                <w:sz w:val="20"/>
                <w:szCs w:val="20"/>
              </w:rPr>
            </w:pPr>
            <w:r>
              <w:rPr>
                <w:rFonts w:hint="eastAsia" w:ascii="宋体" w:hAnsi="宋体" w:eastAsia="宋体" w:cs="宋体"/>
                <w:color w:val="auto"/>
                <w:sz w:val="20"/>
                <w:szCs w:val="20"/>
              </w:rPr>
              <w:t>反映服务对象或项目受益人对相关产出及其影响的认可程度，根据项目实际细化具体指标。</w:t>
            </w:r>
          </w:p>
        </w:tc>
        <w:tc>
          <w:tcPr>
            <w:tcW w:w="1632"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满意</w:t>
            </w:r>
          </w:p>
        </w:tc>
        <w:tc>
          <w:tcPr>
            <w:tcW w:w="1931" w:type="dxa"/>
            <w:tcBorders>
              <w:top w:val="single" w:color="000000" w:sz="4" w:space="0"/>
              <w:left w:val="single" w:color="000000" w:sz="4" w:space="0"/>
              <w:bottom w:val="single" w:color="000000" w:sz="4" w:space="0"/>
              <w:right w:val="single" w:color="000000" w:sz="4" w:space="0"/>
            </w:tcBorders>
            <w:shd w:val="clear" w:color="auto" w:fill="auto"/>
            <w:vAlign w:val="bottom"/>
          </w:tcPr>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r>
              <w:rPr>
                <w:rFonts w:hint="eastAsia" w:ascii="宋体" w:hAnsi="宋体" w:eastAsia="宋体" w:cs="宋体"/>
                <w:color w:val="auto"/>
                <w:sz w:val="20"/>
                <w:szCs w:val="20"/>
              </w:rPr>
              <w:t>满意</w:t>
            </w:r>
          </w:p>
        </w:tc>
      </w:tr>
    </w:tbl>
    <w:p>
      <w:pPr>
        <w:pageBreakBefore w:val="0"/>
        <w:kinsoku/>
        <w:wordWrap/>
        <w:overflowPunct/>
        <w:topLinePunct w:val="0"/>
        <w:bidi w:val="0"/>
        <w:spacing w:line="576" w:lineRule="exact"/>
        <w:ind w:left="0" w:leftChars="0" w:firstLine="400" w:firstLineChars="200"/>
        <w:rPr>
          <w:rFonts w:ascii="宋体" w:hAnsi="宋体" w:eastAsia="宋体" w:cs="宋体"/>
          <w:color w:val="auto"/>
          <w:sz w:val="20"/>
          <w:szCs w:val="20"/>
        </w:rPr>
      </w:pPr>
    </w:p>
    <w:p>
      <w:pPr>
        <w:pageBreakBefore w:val="0"/>
        <w:kinsoku/>
        <w:wordWrap/>
        <w:overflowPunct/>
        <w:topLinePunct w:val="0"/>
        <w:bidi w:val="0"/>
        <w:spacing w:line="576" w:lineRule="exact"/>
        <w:ind w:left="0" w:leftChars="0" w:firstLine="640" w:firstLineChars="200"/>
        <w:rPr>
          <w:rFonts w:cs="仿宋_GB2312"/>
        </w:rPr>
      </w:pPr>
      <w:r>
        <w:rPr>
          <w:rFonts w:hint="eastAsia"/>
          <w:lang w:eastAsia="zh-CN"/>
        </w:rPr>
        <w:t>（三）</w:t>
      </w:r>
      <w:r>
        <w:rPr>
          <w:rFonts w:hint="eastAsia"/>
        </w:rPr>
        <w:t>部门开展绩效评价结果。</w:t>
      </w:r>
    </w:p>
    <w:p>
      <w:pPr>
        <w:pageBreakBefore w:val="0"/>
        <w:kinsoku/>
        <w:wordWrap/>
        <w:overflowPunct/>
        <w:topLinePunct w:val="0"/>
        <w:bidi w:val="0"/>
        <w:spacing w:line="576" w:lineRule="exact"/>
        <w:ind w:left="0" w:leftChars="0" w:firstLine="600" w:firstLineChars="200"/>
        <w:rPr>
          <w:sz w:val="30"/>
          <w:szCs w:val="30"/>
        </w:rPr>
      </w:pPr>
      <w:r>
        <w:rPr>
          <w:rFonts w:hint="eastAsia"/>
          <w:sz w:val="30"/>
          <w:szCs w:val="30"/>
        </w:rPr>
        <w:t>严格按照《预算法》进行本级预算编制，支付资金时按照文件要求进行支付；部门预算执行到位，严格按照预算管理进行支付并做到节能降耗，“三公”经费严格按照年初预算执行；严格按照《政府会计制度》和《政府会计准则》的规定设置的会计科目，建立了科学有效的会计核算方式，均真实、合法、准确的反映各项收支活动；建立健全了内控制度，加强和完善了经费收支和财务管理，积极配合各级财政部门开展相关经费的考评工作；我单位在资金使用过程中，合理使用各项资金，严格执行各项经费开支范围和标准。对专项资金严格按照文件要求支付，并确保专款专用；在账务报销过程中贯彻执行国家颁布的有关财务制度，严格按照《会计法》规定以完整、合法的原始凭证及财务报销手续进行报账、核算，做到了手续齐备、内容真实、数据准确、账目清晰，认真及时的填报了各项年度统计报表；在整个财务收支管理中做到了会计核算与财政收支账一致，实现了会计电算化，在采购资金支出时手续齐备，采购的固定资产及时登记并入账；严格落实《党政机关厉行节约反对浪费条例》的相关规定，进一步规范了“三公经费”的管理并严格控制了“三公经费”的支出。</w:t>
      </w:r>
    </w:p>
    <w:p>
      <w:pPr>
        <w:pageBreakBefore w:val="0"/>
        <w:kinsoku/>
        <w:wordWrap/>
        <w:overflowPunct/>
        <w:topLinePunct w:val="0"/>
        <w:bidi w:val="0"/>
        <w:spacing w:line="576" w:lineRule="exact"/>
        <w:ind w:left="0" w:leftChars="0" w:firstLine="640" w:firstLineChars="200"/>
        <w:rPr>
          <w:rStyle w:val="35"/>
          <w:rFonts w:ascii="黑体" w:hAnsi="黑体" w:eastAsia="黑体"/>
        </w:rPr>
      </w:pPr>
      <w:bookmarkStart w:id="46" w:name="_Toc15396612"/>
      <w:bookmarkStart w:id="47" w:name="_Toc15377221"/>
      <w:r>
        <w:rPr>
          <w:rStyle w:val="35"/>
          <w:rFonts w:hint="eastAsia" w:ascii="黑体" w:hAnsi="黑体" w:eastAsia="黑体"/>
          <w:b w:val="0"/>
        </w:rPr>
        <w:t>十一、其他重要事项的情况说明</w:t>
      </w:r>
      <w:bookmarkEnd w:id="46"/>
      <w:bookmarkEnd w:id="47"/>
    </w:p>
    <w:p>
      <w:pPr>
        <w:pageBreakBefore w:val="0"/>
        <w:kinsoku/>
        <w:wordWrap/>
        <w:overflowPunct/>
        <w:topLinePunct w:val="0"/>
        <w:bidi w:val="0"/>
        <w:spacing w:line="576" w:lineRule="exact"/>
        <w:ind w:left="0" w:leftChars="0" w:firstLine="640" w:firstLineChars="200"/>
      </w:pPr>
      <w:bookmarkStart w:id="48" w:name="_Toc15377222"/>
      <w:r>
        <w:rPr>
          <w:rFonts w:hint="eastAsia"/>
        </w:rPr>
        <w:t>（一）机关运行经费支出情况</w:t>
      </w:r>
      <w:bookmarkEnd w:id="48"/>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rPr>
        <w:t>2018年度，统战部机关运行经费支出44.79万元，比2017年增加4.10万元，上升9.15%。</w:t>
      </w:r>
    </w:p>
    <w:p>
      <w:pPr>
        <w:pageBreakBefore w:val="0"/>
        <w:kinsoku/>
        <w:wordWrap/>
        <w:overflowPunct/>
        <w:topLinePunct w:val="0"/>
        <w:bidi w:val="0"/>
        <w:spacing w:line="576" w:lineRule="exact"/>
        <w:ind w:left="0" w:leftChars="0" w:firstLine="640" w:firstLineChars="200"/>
      </w:pPr>
      <w:bookmarkStart w:id="49" w:name="_Toc15377223"/>
      <w:r>
        <w:rPr>
          <w:rFonts w:hint="eastAsia"/>
        </w:rPr>
        <w:t>（二）政府采购支出情况</w:t>
      </w:r>
      <w:bookmarkEnd w:id="49"/>
    </w:p>
    <w:p>
      <w:pPr>
        <w:pageBreakBefore w:val="0"/>
        <w:kinsoku/>
        <w:wordWrap/>
        <w:overflowPunct/>
        <w:topLinePunct w:val="0"/>
        <w:bidi w:val="0"/>
        <w:spacing w:line="576" w:lineRule="exact"/>
        <w:ind w:left="0" w:leftChars="0" w:firstLine="640" w:firstLineChars="200"/>
      </w:pPr>
      <w:r>
        <w:t>201</w:t>
      </w:r>
      <w:r>
        <w:rPr>
          <w:rFonts w:hint="eastAsia"/>
        </w:rPr>
        <w:t>8年，统战部政府采购支出总额0万元，其中：政府采购货物支出0万元。</w:t>
      </w:r>
    </w:p>
    <w:p>
      <w:pPr>
        <w:pageBreakBefore w:val="0"/>
        <w:kinsoku/>
        <w:wordWrap/>
        <w:overflowPunct/>
        <w:topLinePunct w:val="0"/>
        <w:bidi w:val="0"/>
        <w:spacing w:line="576" w:lineRule="exact"/>
        <w:ind w:left="0" w:leftChars="0" w:firstLine="640" w:firstLineChars="200"/>
      </w:pPr>
      <w:bookmarkStart w:id="50" w:name="_Toc15377224"/>
      <w:r>
        <w:rPr>
          <w:rFonts w:hint="eastAsia"/>
        </w:rPr>
        <w:t>（三）国有资产占有使用情况</w:t>
      </w:r>
      <w:bookmarkEnd w:id="50"/>
    </w:p>
    <w:p>
      <w:pPr>
        <w:pageBreakBefore w:val="0"/>
        <w:kinsoku/>
        <w:wordWrap/>
        <w:overflowPunct/>
        <w:topLinePunct w:val="0"/>
        <w:bidi w:val="0"/>
        <w:spacing w:line="576" w:lineRule="exact"/>
        <w:ind w:left="0" w:leftChars="0" w:firstLine="640" w:firstLineChars="200"/>
      </w:pPr>
      <w:r>
        <w:rPr>
          <w:rFonts w:hint="eastAsia"/>
        </w:rPr>
        <w:t>截至</w:t>
      </w:r>
      <w:r>
        <w:t>201</w:t>
      </w:r>
      <w:r>
        <w:rPr>
          <w:rFonts w:hint="eastAsia"/>
        </w:rPr>
        <w:t>8年</w:t>
      </w:r>
      <w:r>
        <w:t>12</w:t>
      </w:r>
      <w:r>
        <w:rPr>
          <w:rFonts w:hint="eastAsia"/>
        </w:rPr>
        <w:t>月</w:t>
      </w:r>
      <w:r>
        <w:t>31</w:t>
      </w:r>
      <w:r>
        <w:rPr>
          <w:rFonts w:hint="eastAsia"/>
        </w:rPr>
        <w:t>日，我部共有车辆2辆，其中：一般公务用车2辆、一般执法执勤用车0辆。</w:t>
      </w:r>
      <w:r>
        <w:rPr>
          <w:rFonts w:hint="eastAsia"/>
          <w:color w:val="000000" w:themeColor="text1"/>
        </w:rPr>
        <w:t>单价50万元以上通用设备0台（套），单价</w:t>
      </w:r>
      <w:r>
        <w:rPr>
          <w:color w:val="000000" w:themeColor="text1"/>
        </w:rPr>
        <w:t>100</w:t>
      </w:r>
      <w:r>
        <w:rPr>
          <w:rFonts w:hint="eastAsia"/>
        </w:rPr>
        <w:t>万元以上专用设备0台（套）。</w:t>
      </w:r>
    </w:p>
    <w:p>
      <w:pPr>
        <w:pageBreakBefore w:val="0"/>
        <w:kinsoku/>
        <w:wordWrap/>
        <w:overflowPunct/>
        <w:topLinePunct w:val="0"/>
        <w:bidi w:val="0"/>
        <w:spacing w:line="576" w:lineRule="exact"/>
        <w:ind w:left="0" w:leftChars="0" w:firstLine="640" w:firstLineChars="200"/>
      </w:pPr>
    </w:p>
    <w:p>
      <w:pPr>
        <w:pageBreakBefore w:val="0"/>
        <w:kinsoku/>
        <w:wordWrap/>
        <w:overflowPunct/>
        <w:topLinePunct w:val="0"/>
        <w:bidi w:val="0"/>
        <w:spacing w:line="576" w:lineRule="exact"/>
        <w:ind w:left="0" w:leftChars="0" w:firstLine="640" w:firstLineChars="200"/>
      </w:pPr>
      <w:r>
        <w:br w:type="page"/>
      </w:r>
    </w:p>
    <w:p>
      <w:pPr>
        <w:pageBreakBefore w:val="0"/>
        <w:kinsoku/>
        <w:wordWrap/>
        <w:overflowPunct/>
        <w:topLinePunct w:val="0"/>
        <w:bidi w:val="0"/>
        <w:spacing w:line="576" w:lineRule="exact"/>
        <w:ind w:left="0" w:leftChars="0" w:firstLine="880" w:firstLineChars="200"/>
        <w:jc w:val="center"/>
        <w:rPr>
          <w:rStyle w:val="34"/>
          <w:rFonts w:ascii="黑体" w:hAnsi="黑体" w:eastAsia="黑体"/>
          <w:b w:val="0"/>
          <w:bCs w:val="0"/>
        </w:rPr>
      </w:pPr>
      <w:bookmarkStart w:id="51" w:name="_Toc15396613"/>
      <w:bookmarkStart w:id="52" w:name="_Toc15377225"/>
      <w:r>
        <w:rPr>
          <w:rStyle w:val="34"/>
          <w:rFonts w:hint="eastAsia" w:ascii="黑体" w:hAnsi="黑体" w:eastAsia="黑体"/>
          <w:b w:val="0"/>
          <w:bCs w:val="0"/>
        </w:rPr>
        <w:t>第三部分名词解释</w:t>
      </w:r>
      <w:bookmarkEnd w:id="51"/>
      <w:bookmarkEnd w:id="52"/>
    </w:p>
    <w:p>
      <w:pPr>
        <w:pageBreakBefore w:val="0"/>
        <w:kinsoku/>
        <w:wordWrap/>
        <w:overflowPunct/>
        <w:topLinePunct w:val="0"/>
        <w:bidi w:val="0"/>
        <w:spacing w:line="576" w:lineRule="exact"/>
        <w:ind w:left="0" w:leftChars="0" w:firstLine="0" w:firstLineChars="0"/>
        <w:jc w:val="left"/>
        <w:rPr>
          <w:rFonts w:ascii="宋体"/>
          <w:b/>
          <w:color w:val="auto"/>
          <w:sz w:val="44"/>
          <w:szCs w:val="44"/>
        </w:rPr>
      </w:pPr>
    </w:p>
    <w:p>
      <w:pPr>
        <w:pStyle w:val="32"/>
        <w:pageBreakBefore w:val="0"/>
        <w:kinsoku/>
        <w:wordWrap/>
        <w:overflowPunct/>
        <w:topLinePunct w:val="0"/>
        <w:bidi w:val="0"/>
        <w:spacing w:line="576" w:lineRule="exact"/>
        <w:ind w:left="0" w:leftChars="0" w:firstLine="640" w:firstLineChars="200"/>
        <w:rPr>
          <w:rFonts w:ascii="仿宋_GB2312" w:eastAsia="仿宋_GB2312"/>
          <w:color w:val="auto"/>
          <w:sz w:val="32"/>
          <w:szCs w:val="32"/>
        </w:rPr>
      </w:pPr>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p>
    <w:p>
      <w:pPr>
        <w:pStyle w:val="32"/>
        <w:pageBreakBefore w:val="0"/>
        <w:kinsoku/>
        <w:wordWrap/>
        <w:overflowPunct/>
        <w:topLinePunct w:val="0"/>
        <w:bidi w:val="0"/>
        <w:spacing w:line="576" w:lineRule="exact"/>
        <w:ind w:left="0" w:leftChars="0" w:firstLine="640" w:firstLineChars="200"/>
        <w:rPr>
          <w:rFonts w:hint="eastAsia" w:ascii="仿宋_GB2312" w:eastAsia="仿宋_GB2312"/>
          <w:color w:val="auto"/>
          <w:sz w:val="32"/>
          <w:szCs w:val="32"/>
        </w:rPr>
      </w:pPr>
      <w:r>
        <w:rPr>
          <w:rFonts w:ascii="仿宋_GB2312" w:eastAsia="仿宋_GB2312"/>
          <w:color w:val="auto"/>
          <w:sz w:val="32"/>
          <w:szCs w:val="32"/>
        </w:rPr>
        <w:t>2.</w:t>
      </w:r>
      <w:r>
        <w:rPr>
          <w:rFonts w:hint="eastAsia" w:ascii="仿宋_GB2312" w:eastAsia="仿宋_GB2312"/>
          <w:color w:val="auto"/>
          <w:sz w:val="32"/>
          <w:szCs w:val="32"/>
        </w:rPr>
        <w:t>事业收入：指事业单位开展专业业务活动及辅助活动取得的收入。</w:t>
      </w:r>
    </w:p>
    <w:p>
      <w:pPr>
        <w:pStyle w:val="32"/>
        <w:pageBreakBefore w:val="0"/>
        <w:kinsoku/>
        <w:wordWrap/>
        <w:overflowPunct/>
        <w:topLinePunct w:val="0"/>
        <w:bidi w:val="0"/>
        <w:spacing w:line="576" w:lineRule="exact"/>
        <w:ind w:left="0" w:leftChars="0" w:firstLine="640" w:firstLineChars="200"/>
        <w:rPr>
          <w:rFonts w:hint="default" w:ascii="仿宋_GB2312" w:eastAsia="仿宋_GB2312"/>
          <w:color w:val="auto"/>
          <w:sz w:val="32"/>
          <w:szCs w:val="32"/>
          <w:lang w:val="en-US" w:eastAsia="zh-CN"/>
        </w:rPr>
      </w:pPr>
      <w:r>
        <w:rPr>
          <w:rFonts w:hint="eastAsia" w:ascii="仿宋_GB2312" w:eastAsia="仿宋_GB2312"/>
          <w:color w:val="auto"/>
          <w:sz w:val="32"/>
          <w:szCs w:val="32"/>
          <w:lang w:val="en-US" w:eastAsia="zh-CN"/>
        </w:rPr>
        <w:t>3.政府性基金收入：指各级政府及其所属部门根据法律、行政法规规定并经国务院或财政部批准，向公民、法人和其他组织征收的政府性基金，以及参照政府性基金管理或纳入基金预算、具有特定用途的财政资金。</w:t>
      </w:r>
    </w:p>
    <w:p>
      <w:pPr>
        <w:pStyle w:val="32"/>
        <w:pageBreakBefore w:val="0"/>
        <w:kinsoku/>
        <w:wordWrap/>
        <w:overflowPunct/>
        <w:topLinePunct w:val="0"/>
        <w:bidi w:val="0"/>
        <w:spacing w:line="576" w:lineRule="exact"/>
        <w:ind w:left="0" w:leftChars="0" w:firstLine="640" w:firstLineChars="200"/>
        <w:rPr>
          <w:rFonts w:hint="eastAsia" w:ascii="仿宋_GB2312" w:eastAsia="仿宋_GB2312"/>
          <w:color w:val="auto"/>
          <w:sz w:val="32"/>
          <w:szCs w:val="32"/>
        </w:rPr>
      </w:pPr>
      <w:r>
        <w:rPr>
          <w:rFonts w:hint="eastAsia" w:ascii="仿宋_GB2312" w:eastAsia="仿宋_GB2312"/>
          <w:color w:val="auto"/>
          <w:sz w:val="32"/>
          <w:szCs w:val="32"/>
          <w:lang w:val="en-US" w:eastAsia="zh-CN"/>
        </w:rPr>
        <w:t>4</w:t>
      </w:r>
      <w:r>
        <w:rPr>
          <w:rFonts w:ascii="仿宋_GB2312" w:eastAsia="仿宋_GB2312"/>
          <w:color w:val="auto"/>
          <w:sz w:val="32"/>
          <w:szCs w:val="32"/>
        </w:rPr>
        <w:t>.</w:t>
      </w:r>
      <w:r>
        <w:rPr>
          <w:rFonts w:hint="eastAsia" w:ascii="仿宋_GB2312" w:eastAsia="仿宋_GB2312"/>
          <w:color w:val="auto"/>
          <w:sz w:val="32"/>
          <w:szCs w:val="32"/>
        </w:rPr>
        <w:t>经营收入：指事业单位在专业业务活动及其辅助活动之外开展非独立核算经营活动取得的收入。</w:t>
      </w:r>
    </w:p>
    <w:p>
      <w:pPr>
        <w:pStyle w:val="32"/>
        <w:pageBreakBefore w:val="0"/>
        <w:kinsoku/>
        <w:wordWrap/>
        <w:overflowPunct/>
        <w:topLinePunct w:val="0"/>
        <w:bidi w:val="0"/>
        <w:spacing w:line="576" w:lineRule="exact"/>
        <w:ind w:left="0" w:leftChars="0"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5</w:t>
      </w:r>
      <w:r>
        <w:rPr>
          <w:rFonts w:ascii="仿宋_GB2312" w:eastAsia="仿宋_GB2312"/>
          <w:color w:val="auto"/>
          <w:sz w:val="32"/>
          <w:szCs w:val="32"/>
        </w:rPr>
        <w:t>.</w:t>
      </w:r>
      <w:r>
        <w:rPr>
          <w:rFonts w:hint="eastAsia" w:ascii="仿宋_GB2312" w:eastAsia="仿宋_GB2312"/>
          <w:color w:val="auto"/>
          <w:sz w:val="32"/>
          <w:szCs w:val="32"/>
        </w:rPr>
        <w:t>其他收入：指单位取得的除上述收入以外的各项收入。主要是</w:t>
      </w:r>
      <w:r>
        <w:rPr>
          <w:rFonts w:hint="eastAsia" w:ascii="仿宋_GB2312" w:eastAsia="仿宋_GB2312"/>
          <w:color w:val="auto"/>
          <w:sz w:val="32"/>
          <w:szCs w:val="32"/>
          <w:lang w:eastAsia="zh-CN"/>
        </w:rPr>
        <w:t>利息收入</w:t>
      </w:r>
      <w:r>
        <w:rPr>
          <w:rFonts w:hint="eastAsia" w:ascii="仿宋_GB2312" w:eastAsia="仿宋_GB2312"/>
          <w:color w:val="auto"/>
          <w:sz w:val="32"/>
          <w:szCs w:val="32"/>
        </w:rPr>
        <w:t>。</w:t>
      </w:r>
      <w:r>
        <w:rPr>
          <w:rFonts w:ascii="仿宋_GB2312" w:eastAsia="仿宋_GB2312"/>
          <w:color w:val="auto"/>
          <w:sz w:val="32"/>
          <w:szCs w:val="32"/>
        </w:rPr>
        <w:t xml:space="preserve"> </w:t>
      </w:r>
    </w:p>
    <w:p>
      <w:pPr>
        <w:pStyle w:val="32"/>
        <w:pageBreakBefore w:val="0"/>
        <w:kinsoku/>
        <w:wordWrap/>
        <w:overflowPunct/>
        <w:topLinePunct w:val="0"/>
        <w:bidi w:val="0"/>
        <w:spacing w:line="576" w:lineRule="exact"/>
        <w:ind w:left="0" w:leftChars="0"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6</w:t>
      </w:r>
      <w:r>
        <w:rPr>
          <w:rFonts w:ascii="仿宋_GB2312" w:eastAsia="仿宋_GB2312"/>
          <w:color w:val="auto"/>
          <w:sz w:val="32"/>
          <w:szCs w:val="32"/>
        </w:rPr>
        <w:t>.</w:t>
      </w:r>
      <w:r>
        <w:rPr>
          <w:rFonts w:hint="eastAsia" w:ascii="仿宋_GB2312" w:eastAsia="仿宋_GB2312"/>
          <w:color w:val="auto"/>
          <w:sz w:val="32"/>
          <w:szCs w:val="32"/>
        </w:rPr>
        <w:t>用事业基金弥补收支差额：指事业单位在当年的财政拨款收入、事业收入、经营收入、其他收入不足以安排当年支出的情况下，使用以前年度积累的事业基金（事业单位当年收支相抵后按国家规定提取、用于弥补以后年度收支差额的基金）弥补本年度收支缺口的资金。</w:t>
      </w:r>
      <w:r>
        <w:rPr>
          <w:rFonts w:ascii="仿宋_GB2312" w:eastAsia="仿宋_GB2312"/>
          <w:color w:val="auto"/>
          <w:sz w:val="32"/>
          <w:szCs w:val="32"/>
        </w:rPr>
        <w:t xml:space="preserve"> </w:t>
      </w:r>
    </w:p>
    <w:p>
      <w:pPr>
        <w:pStyle w:val="32"/>
        <w:pageBreakBefore w:val="0"/>
        <w:kinsoku/>
        <w:wordWrap/>
        <w:overflowPunct/>
        <w:topLinePunct w:val="0"/>
        <w:bidi w:val="0"/>
        <w:spacing w:line="576" w:lineRule="exact"/>
        <w:ind w:left="0" w:leftChars="0"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7</w:t>
      </w:r>
      <w:r>
        <w:rPr>
          <w:rFonts w:ascii="仿宋_GB2312" w:eastAsia="仿宋_GB2312"/>
          <w:color w:val="auto"/>
          <w:sz w:val="32"/>
          <w:szCs w:val="32"/>
        </w:rPr>
        <w:t>.</w:t>
      </w:r>
      <w:r>
        <w:rPr>
          <w:rFonts w:hint="eastAsia" w:ascii="仿宋_GB2312" w:eastAsia="仿宋_GB2312"/>
          <w:color w:val="auto"/>
          <w:sz w:val="32"/>
          <w:szCs w:val="32"/>
        </w:rPr>
        <w:t>年初结转和结余：指以前年度尚未完成、结转到本年按有关规定继续使用的资金。</w:t>
      </w:r>
      <w:r>
        <w:rPr>
          <w:rFonts w:ascii="仿宋_GB2312" w:eastAsia="仿宋_GB2312"/>
          <w:color w:val="auto"/>
          <w:sz w:val="32"/>
          <w:szCs w:val="32"/>
        </w:rPr>
        <w:t xml:space="preserve"> </w:t>
      </w:r>
    </w:p>
    <w:p>
      <w:pPr>
        <w:pStyle w:val="32"/>
        <w:pageBreakBefore w:val="0"/>
        <w:kinsoku/>
        <w:wordWrap/>
        <w:overflowPunct/>
        <w:topLinePunct w:val="0"/>
        <w:bidi w:val="0"/>
        <w:spacing w:line="576" w:lineRule="exact"/>
        <w:ind w:left="0" w:leftChars="0"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8</w:t>
      </w:r>
      <w:r>
        <w:rPr>
          <w:rFonts w:ascii="仿宋_GB2312" w:eastAsia="仿宋_GB2312"/>
          <w:color w:val="auto"/>
          <w:sz w:val="32"/>
          <w:szCs w:val="32"/>
        </w:rPr>
        <w:t>.</w:t>
      </w:r>
      <w:r>
        <w:rPr>
          <w:rFonts w:hint="eastAsia" w:ascii="仿宋_GB2312" w:eastAsia="仿宋_GB2312"/>
          <w:color w:val="auto"/>
          <w:sz w:val="32"/>
          <w:szCs w:val="32"/>
        </w:rPr>
        <w:t>结余分配：指事业单位按照事业单位会计制度的规定从非财政补助结余中分配的事业基金和职工福利基金等。</w:t>
      </w:r>
    </w:p>
    <w:p>
      <w:pPr>
        <w:pStyle w:val="32"/>
        <w:pageBreakBefore w:val="0"/>
        <w:kinsoku/>
        <w:wordWrap/>
        <w:overflowPunct/>
        <w:topLinePunct w:val="0"/>
        <w:bidi w:val="0"/>
        <w:spacing w:line="576" w:lineRule="exact"/>
        <w:ind w:left="0" w:leftChars="0" w:firstLine="640" w:firstLineChars="200"/>
        <w:rPr>
          <w:rFonts w:ascii="仿宋_GB2312" w:eastAsia="仿宋_GB2312"/>
          <w:color w:val="auto"/>
          <w:sz w:val="32"/>
          <w:szCs w:val="32"/>
        </w:rPr>
      </w:pPr>
      <w:r>
        <w:rPr>
          <w:rFonts w:hint="eastAsia" w:ascii="仿宋_GB2312" w:eastAsia="仿宋_GB2312"/>
          <w:color w:val="auto"/>
          <w:sz w:val="32"/>
          <w:szCs w:val="32"/>
          <w:lang w:val="en-US" w:eastAsia="zh-CN"/>
        </w:rPr>
        <w:t>9</w:t>
      </w:r>
      <w:r>
        <w:rPr>
          <w:rFonts w:hint="eastAsia" w:ascii="仿宋_GB2312" w:eastAsia="仿宋_GB2312"/>
          <w:color w:val="auto"/>
          <w:sz w:val="32"/>
          <w:szCs w:val="32"/>
        </w:rPr>
        <w:t>、年末结转和结余：指单位按有关规定结转到下年或以后年度继续使用的资金。</w:t>
      </w:r>
    </w:p>
    <w:p>
      <w:pPr>
        <w:pageBreakBefore w:val="0"/>
        <w:kinsoku/>
        <w:wordWrap/>
        <w:overflowPunct/>
        <w:topLinePunct w:val="0"/>
        <w:bidi w:val="0"/>
        <w:spacing w:line="576" w:lineRule="exact"/>
        <w:ind w:left="0" w:leftChars="0" w:firstLine="640" w:firstLineChars="200"/>
        <w:rPr>
          <w:color w:val="000000" w:themeColor="text1"/>
        </w:rPr>
      </w:pPr>
      <w:r>
        <w:rPr>
          <w:rFonts w:hint="eastAsia"/>
          <w:color w:val="000000" w:themeColor="text1"/>
          <w:lang w:val="en-US" w:eastAsia="zh-CN"/>
        </w:rPr>
        <w:t>10</w:t>
      </w:r>
      <w:r>
        <w:rPr>
          <w:color w:val="000000" w:themeColor="text1"/>
        </w:rPr>
        <w:t>.</w:t>
      </w:r>
      <w:r>
        <w:rPr>
          <w:rFonts w:hint="eastAsia"/>
          <w:color w:val="000000" w:themeColor="text1"/>
        </w:rPr>
        <w:t>行政运行：指行政单位（包括实行公务员管理的事业单位）的基本支出。</w:t>
      </w:r>
    </w:p>
    <w:p>
      <w:pPr>
        <w:pageBreakBefore w:val="0"/>
        <w:kinsoku/>
        <w:wordWrap/>
        <w:overflowPunct/>
        <w:topLinePunct w:val="0"/>
        <w:bidi w:val="0"/>
        <w:spacing w:line="576" w:lineRule="exact"/>
        <w:ind w:left="0" w:leftChars="0" w:firstLine="640" w:firstLineChars="200"/>
      </w:pPr>
      <w:r>
        <w:rPr>
          <w:rFonts w:hint="eastAsia"/>
          <w:lang w:val="en-US" w:eastAsia="zh-CN"/>
        </w:rPr>
        <w:t>11</w:t>
      </w:r>
      <w:r>
        <w:rPr>
          <w:rFonts w:hint="eastAsia"/>
        </w:rPr>
        <w:t>.一般行政管理事务:指反映行政单位(包括实行公务员管理的事业单位)未单独设置项级科目的其他项目支出.</w:t>
      </w:r>
    </w:p>
    <w:p>
      <w:pPr>
        <w:pageBreakBefore w:val="0"/>
        <w:kinsoku/>
        <w:wordWrap/>
        <w:overflowPunct/>
        <w:topLinePunct w:val="0"/>
        <w:bidi w:val="0"/>
        <w:spacing w:line="576" w:lineRule="exact"/>
        <w:ind w:left="0" w:leftChars="0" w:firstLine="640" w:firstLineChars="200"/>
      </w:pPr>
      <w:r>
        <w:rPr>
          <w:rFonts w:hint="eastAsia"/>
          <w:color w:val="000000" w:themeColor="text1"/>
          <w:lang w:val="en-US" w:eastAsia="zh-CN"/>
        </w:rPr>
        <w:t>12</w:t>
      </w:r>
      <w:r>
        <w:rPr>
          <w:rFonts w:hint="eastAsia"/>
          <w:color w:val="000000" w:themeColor="text1"/>
        </w:rPr>
        <w:t>.社会保障和就业支出：指政府在社会保障与就业方面的支出。</w:t>
      </w:r>
    </w:p>
    <w:p>
      <w:pPr>
        <w:pageBreakBefore w:val="0"/>
        <w:kinsoku/>
        <w:wordWrap/>
        <w:overflowPunct/>
        <w:topLinePunct w:val="0"/>
        <w:bidi w:val="0"/>
        <w:spacing w:line="576" w:lineRule="exact"/>
        <w:ind w:left="0" w:leftChars="0" w:firstLine="640" w:firstLineChars="200"/>
      </w:pPr>
      <w:r>
        <w:rPr>
          <w:rFonts w:hint="eastAsia"/>
          <w:lang w:val="en-US" w:eastAsia="zh-CN"/>
        </w:rPr>
        <w:t>13</w:t>
      </w:r>
      <w:r>
        <w:rPr>
          <w:rFonts w:hint="eastAsia"/>
        </w:rPr>
        <w:t>.社会保障和就业（类）行政事业单位退休（款）机关事业单位基本养老保险缴费支出（项）：指部门实施养老保险制度由单位缴纳的养老保险费的支出。</w:t>
      </w:r>
    </w:p>
    <w:p>
      <w:pPr>
        <w:pageBreakBefore w:val="0"/>
        <w:kinsoku/>
        <w:wordWrap/>
        <w:overflowPunct/>
        <w:topLinePunct w:val="0"/>
        <w:bidi w:val="0"/>
        <w:spacing w:line="576" w:lineRule="exact"/>
        <w:ind w:left="0" w:leftChars="0" w:firstLine="640" w:firstLineChars="200"/>
      </w:pPr>
      <w:r>
        <w:rPr>
          <w:rFonts w:hint="eastAsia"/>
          <w:lang w:val="en-US" w:eastAsia="zh-CN"/>
        </w:rPr>
        <w:t>14</w:t>
      </w:r>
      <w:r>
        <w:rPr>
          <w:rFonts w:hint="eastAsia"/>
        </w:rPr>
        <w:t>.社会保障和就业（类）行政事业单位退休（款）机关事业单位职业年金缴费支出（项）：指部门实施养老保险制度由单位缴纳的职业年金的支出。</w:t>
      </w:r>
    </w:p>
    <w:p>
      <w:pPr>
        <w:pStyle w:val="2"/>
        <w:pageBreakBefore w:val="0"/>
        <w:kinsoku/>
        <w:wordWrap/>
        <w:overflowPunct/>
        <w:topLinePunct w:val="0"/>
        <w:bidi w:val="0"/>
        <w:spacing w:line="576" w:lineRule="exact"/>
        <w:ind w:left="0" w:leftChars="0" w:firstLine="640" w:firstLineChars="200"/>
        <w:rPr>
          <w:color w:val="000000" w:themeColor="text1"/>
          <w:szCs w:val="32"/>
        </w:rPr>
      </w:pPr>
      <w:r>
        <w:rPr>
          <w:rFonts w:hint="eastAsia"/>
          <w:color w:val="000000" w:themeColor="text1"/>
          <w:lang w:val="en-US" w:eastAsia="zh-CN"/>
        </w:rPr>
        <w:t>15</w:t>
      </w:r>
      <w:r>
        <w:rPr>
          <w:rFonts w:hint="eastAsia"/>
          <w:color w:val="000000" w:themeColor="text1"/>
        </w:rPr>
        <w:t>.行政单位医疗：</w:t>
      </w:r>
      <w:r>
        <w:rPr>
          <w:rFonts w:hint="eastAsia"/>
          <w:color w:val="000000" w:themeColor="text1"/>
          <w:szCs w:val="32"/>
        </w:rPr>
        <w:t>指行政事业单位医疗方面的支出。</w:t>
      </w:r>
    </w:p>
    <w:p>
      <w:pPr>
        <w:pStyle w:val="2"/>
        <w:pageBreakBefore w:val="0"/>
        <w:kinsoku/>
        <w:wordWrap/>
        <w:overflowPunct/>
        <w:topLinePunct w:val="0"/>
        <w:bidi w:val="0"/>
        <w:spacing w:line="576" w:lineRule="exact"/>
        <w:ind w:left="0" w:leftChars="0" w:firstLine="640" w:firstLineChars="200"/>
        <w:rPr>
          <w:color w:val="000000" w:themeColor="text1"/>
        </w:rPr>
      </w:pPr>
      <w:r>
        <w:rPr>
          <w:rFonts w:hint="eastAsia"/>
          <w:color w:val="000000" w:themeColor="text1"/>
          <w:lang w:val="en-US" w:eastAsia="zh-CN"/>
        </w:rPr>
        <w:t>16</w:t>
      </w:r>
      <w:r>
        <w:rPr>
          <w:rFonts w:hint="eastAsia"/>
          <w:color w:val="000000" w:themeColor="text1"/>
        </w:rPr>
        <w:t>. 公务员医疗补助：指为行政单位提供医疗服务。</w:t>
      </w:r>
    </w:p>
    <w:p>
      <w:pPr>
        <w:pageBreakBefore w:val="0"/>
        <w:kinsoku/>
        <w:wordWrap/>
        <w:overflowPunct/>
        <w:topLinePunct w:val="0"/>
        <w:bidi w:val="0"/>
        <w:spacing w:line="576" w:lineRule="exact"/>
        <w:ind w:left="0" w:leftChars="0" w:firstLine="640" w:firstLineChars="200"/>
        <w:rPr>
          <w:color w:val="0000FF"/>
        </w:rPr>
      </w:pPr>
      <w:r>
        <w:rPr>
          <w:rFonts w:hint="eastAsia"/>
          <w:color w:val="000000" w:themeColor="text1"/>
          <w:lang w:val="en-US" w:eastAsia="zh-CN"/>
        </w:rPr>
        <w:t>17</w:t>
      </w:r>
      <w:r>
        <w:rPr>
          <w:color w:val="000000" w:themeColor="text1"/>
        </w:rPr>
        <w:t>.</w:t>
      </w:r>
      <w:r>
        <w:rPr>
          <w:rFonts w:hint="eastAsia"/>
          <w:color w:val="000000" w:themeColor="text1"/>
        </w:rPr>
        <w:t xml:space="preserve"> 住房公积金：指</w:t>
      </w:r>
      <w:r>
        <w:rPr>
          <w:rFonts w:hint="eastAsia"/>
        </w:rPr>
        <w:t>指反映行政事业单位按人力资源和社会保障部、财政部规定的基本工资和津贴补贴以及规定比例为职工缴纳的住房公积金</w:t>
      </w:r>
      <w:r>
        <w:rPr>
          <w:rFonts w:hint="eastAsia"/>
          <w:color w:val="auto"/>
        </w:rPr>
        <w:t>。</w:t>
      </w:r>
    </w:p>
    <w:p>
      <w:pPr>
        <w:pageBreakBefore w:val="0"/>
        <w:kinsoku/>
        <w:wordWrap/>
        <w:overflowPunct/>
        <w:topLinePunct w:val="0"/>
        <w:bidi w:val="0"/>
        <w:spacing w:line="576" w:lineRule="exact"/>
        <w:ind w:left="0" w:leftChars="0" w:firstLine="640" w:firstLineChars="200"/>
      </w:pPr>
      <w:r>
        <w:rPr>
          <w:rFonts w:hint="eastAsia"/>
          <w:lang w:val="en-US" w:eastAsia="zh-CN"/>
        </w:rPr>
        <w:t>18</w:t>
      </w:r>
      <w:r>
        <w:t>.</w:t>
      </w:r>
      <w:r>
        <w:rPr>
          <w:rFonts w:hint="eastAsia"/>
        </w:rPr>
        <w:t>基本支出：指为保障机构正常运转、完成日常工作任务而发生的人员支出和公用支出。</w:t>
      </w:r>
    </w:p>
    <w:p>
      <w:pPr>
        <w:pageBreakBefore w:val="0"/>
        <w:kinsoku/>
        <w:wordWrap/>
        <w:overflowPunct/>
        <w:topLinePunct w:val="0"/>
        <w:bidi w:val="0"/>
        <w:spacing w:line="576" w:lineRule="exact"/>
        <w:ind w:left="0" w:leftChars="0" w:firstLine="640" w:firstLineChars="200"/>
      </w:pPr>
      <w:r>
        <w:rPr>
          <w:rFonts w:hint="eastAsia"/>
          <w:lang w:val="en-US" w:eastAsia="zh-CN"/>
        </w:rPr>
        <w:t>19</w:t>
      </w:r>
      <w:r>
        <w:t>.</w:t>
      </w:r>
      <w:r>
        <w:rPr>
          <w:rFonts w:hint="eastAsia"/>
        </w:rPr>
        <w:t>项目支出：指在基本支出之外为完成特定行政任务和事业发展目标所发生的支出。</w:t>
      </w:r>
    </w:p>
    <w:p>
      <w:pPr>
        <w:pageBreakBefore w:val="0"/>
        <w:kinsoku/>
        <w:wordWrap/>
        <w:overflowPunct/>
        <w:topLinePunct w:val="0"/>
        <w:bidi w:val="0"/>
        <w:spacing w:line="576" w:lineRule="exact"/>
        <w:ind w:left="0" w:leftChars="0" w:firstLine="640" w:firstLineChars="200"/>
      </w:pPr>
      <w:r>
        <w:rPr>
          <w:rFonts w:hint="eastAsia"/>
          <w:lang w:val="en-US" w:eastAsia="zh-CN"/>
        </w:rPr>
        <w:t>20</w:t>
      </w:r>
      <w:r>
        <w:t>.</w:t>
      </w:r>
      <w:r>
        <w:rPr>
          <w:rFonts w:hint="eastAsia"/>
        </w:rPr>
        <w:t>经营支出：指事业单位在专业业务活动及其辅助活动之外开展非独立核算经营活动发生的支出。</w:t>
      </w:r>
    </w:p>
    <w:p>
      <w:pPr>
        <w:pStyle w:val="32"/>
        <w:pageBreakBefore w:val="0"/>
        <w:kinsoku/>
        <w:wordWrap/>
        <w:overflowPunct/>
        <w:topLinePunct w:val="0"/>
        <w:bidi w:val="0"/>
        <w:spacing w:line="576" w:lineRule="exact"/>
        <w:ind w:left="0" w:leftChars="0" w:firstLine="640" w:firstLineChars="200"/>
        <w:rPr>
          <w:rFonts w:ascii="仿宋_GB2312" w:eastAsia="仿宋_GB2312"/>
          <w:sz w:val="32"/>
          <w:szCs w:val="32"/>
        </w:rPr>
      </w:pPr>
      <w:r>
        <w:rPr>
          <w:rFonts w:hint="eastAsia" w:ascii="仿宋_GB2312" w:eastAsia="仿宋_GB2312"/>
          <w:sz w:val="32"/>
          <w:szCs w:val="32"/>
          <w:lang w:val="en-US" w:eastAsia="zh-CN"/>
        </w:rPr>
        <w:t>21</w:t>
      </w:r>
      <w:r>
        <w:rPr>
          <w:rFonts w:ascii="仿宋_GB2312" w:eastAsia="仿宋_GB2312"/>
          <w:sz w:val="32"/>
          <w:szCs w:val="32"/>
        </w:rPr>
        <w:t>.</w:t>
      </w:r>
      <w:r>
        <w:rPr>
          <w:rFonts w:hint="eastAsia" w:ascii="仿宋_GB2312" w:eastAsia="仿宋_GB2312"/>
          <w:sz w:val="32"/>
          <w:szCs w:val="32"/>
        </w:rPr>
        <w:t>“三公”经费：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32"/>
        <w:pageBreakBefore w:val="0"/>
        <w:kinsoku/>
        <w:wordWrap/>
        <w:overflowPunct/>
        <w:topLinePunct w:val="0"/>
        <w:bidi w:val="0"/>
        <w:spacing w:line="576" w:lineRule="exact"/>
        <w:ind w:left="0" w:leftChars="0" w:firstLine="640" w:firstLineChars="200"/>
        <w:rPr>
          <w:rFonts w:ascii="仿宋_GB2312" w:eastAsia="仿宋_GB2312"/>
          <w:sz w:val="32"/>
          <w:szCs w:val="32"/>
        </w:rPr>
      </w:pPr>
      <w:r>
        <w:rPr>
          <w:rFonts w:hint="eastAsia" w:ascii="仿宋_GB2312" w:eastAsia="仿宋_GB2312"/>
          <w:sz w:val="32"/>
          <w:szCs w:val="32"/>
          <w:lang w:val="en-US" w:eastAsia="zh-CN"/>
        </w:rPr>
        <w:t>22</w:t>
      </w:r>
      <w:r>
        <w:rPr>
          <w:rFonts w:ascii="仿宋_GB2312" w:eastAsia="仿宋_GB2312"/>
          <w:sz w:val="32"/>
          <w:szCs w:val="32"/>
        </w:rPr>
        <w:t>.</w:t>
      </w:r>
      <w:r>
        <w:rPr>
          <w:rFonts w:hint="eastAsia" w:ascii="仿宋_GB2312" w:eastAsia="仿宋_GB2312"/>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pStyle w:val="32"/>
        <w:pageBreakBefore w:val="0"/>
        <w:kinsoku/>
        <w:wordWrap/>
        <w:overflowPunct/>
        <w:topLinePunct w:val="0"/>
        <w:bidi w:val="0"/>
        <w:spacing w:line="576" w:lineRule="exact"/>
        <w:ind w:left="0" w:leftChars="0" w:firstLine="640" w:firstLineChars="200"/>
        <w:rPr>
          <w:rFonts w:ascii="仿宋_GB2312" w:eastAsia="仿宋_GB2312" w:cs="黑体"/>
          <w:sz w:val="32"/>
          <w:szCs w:val="32"/>
        </w:rPr>
      </w:pPr>
      <w:r>
        <w:rPr>
          <w:rFonts w:hint="eastAsia" w:ascii="仿宋_GB2312" w:eastAsia="仿宋_GB2312" w:cs="黑体"/>
          <w:sz w:val="32"/>
          <w:szCs w:val="32"/>
          <w:lang w:val="en-US" w:eastAsia="zh-CN"/>
        </w:rPr>
        <w:t>23</w:t>
      </w:r>
      <w:r>
        <w:rPr>
          <w:rFonts w:hint="eastAsia" w:ascii="仿宋_GB2312" w:eastAsia="仿宋_GB2312" w:cs="黑体"/>
          <w:sz w:val="32"/>
          <w:szCs w:val="32"/>
        </w:rPr>
        <w:t>.其他统战事务支出：全县10座寺庙贫困僧尼慰问费。</w:t>
      </w:r>
    </w:p>
    <w:p>
      <w:pPr>
        <w:pStyle w:val="32"/>
        <w:pageBreakBefore w:val="0"/>
        <w:kinsoku/>
        <w:wordWrap/>
        <w:overflowPunct/>
        <w:topLinePunct w:val="0"/>
        <w:bidi w:val="0"/>
        <w:spacing w:line="576" w:lineRule="exact"/>
        <w:ind w:left="0" w:leftChars="0" w:firstLine="640" w:firstLineChars="200"/>
        <w:rPr>
          <w:rFonts w:ascii="仿宋_GB2312" w:eastAsia="仿宋_GB2312" w:cs="黑体"/>
          <w:sz w:val="32"/>
          <w:szCs w:val="32"/>
        </w:rPr>
      </w:pPr>
      <w:r>
        <w:rPr>
          <w:rFonts w:hint="eastAsia" w:ascii="仿宋_GB2312" w:eastAsia="仿宋_GB2312" w:cs="黑体"/>
          <w:sz w:val="32"/>
          <w:szCs w:val="32"/>
        </w:rPr>
        <w:t>2</w:t>
      </w:r>
      <w:r>
        <w:rPr>
          <w:rFonts w:hint="eastAsia" w:ascii="仿宋_GB2312" w:eastAsia="仿宋_GB2312" w:cs="黑体"/>
          <w:sz w:val="32"/>
          <w:szCs w:val="32"/>
          <w:lang w:val="en-US" w:eastAsia="zh-CN"/>
        </w:rPr>
        <w:t>4</w:t>
      </w:r>
      <w:r>
        <w:rPr>
          <w:rFonts w:hint="eastAsia" w:ascii="仿宋_GB2312" w:eastAsia="仿宋_GB2312" w:cs="黑体"/>
          <w:sz w:val="32"/>
          <w:szCs w:val="32"/>
        </w:rPr>
        <w:t>.其他扶贫支出：援建项目结余资金整合使用安排尼姑寺食堂改造。</w:t>
      </w:r>
    </w:p>
    <w:p>
      <w:pPr>
        <w:pageBreakBefore w:val="0"/>
        <w:numPr>
          <w:ilvl w:val="0"/>
          <w:numId w:val="0"/>
        </w:numPr>
        <w:kinsoku/>
        <w:wordWrap/>
        <w:overflowPunct/>
        <w:topLinePunct w:val="0"/>
        <w:bidi w:val="0"/>
        <w:spacing w:line="576" w:lineRule="exact"/>
        <w:ind w:leftChars="200"/>
        <w:jc w:val="center"/>
        <w:rPr>
          <w:rStyle w:val="34"/>
          <w:rFonts w:hint="eastAsia" w:ascii="方正小标宋简体" w:hAnsi="方正小标宋简体" w:eastAsia="方正小标宋简体" w:cs="方正小标宋简体"/>
          <w:b w:val="0"/>
        </w:rPr>
      </w:pPr>
      <w:bookmarkStart w:id="53" w:name="_Toc15377226"/>
      <w:r>
        <w:rPr>
          <w:b/>
        </w:rPr>
        <w:br w:type="page"/>
      </w:r>
      <w:bookmarkStart w:id="54" w:name="_Toc15396614"/>
      <w:r>
        <w:rPr>
          <w:rStyle w:val="34"/>
          <w:rFonts w:hint="eastAsia" w:ascii="方正小标宋简体" w:hAnsi="方正小标宋简体" w:eastAsia="方正小标宋简体" w:cs="方正小标宋简体"/>
          <w:b w:val="0"/>
          <w:lang w:eastAsia="zh-CN"/>
        </w:rPr>
        <w:t>第四部分</w:t>
      </w:r>
      <w:r>
        <w:rPr>
          <w:rStyle w:val="34"/>
          <w:rFonts w:hint="eastAsia" w:ascii="方正小标宋简体" w:hAnsi="方正小标宋简体" w:eastAsia="方正小标宋简体" w:cs="方正小标宋简体"/>
          <w:b w:val="0"/>
          <w:lang w:val="en-US" w:eastAsia="zh-CN"/>
        </w:rPr>
        <w:t xml:space="preserve"> </w:t>
      </w:r>
      <w:r>
        <w:rPr>
          <w:rStyle w:val="34"/>
          <w:rFonts w:hint="eastAsia" w:ascii="方正小标宋简体" w:hAnsi="方正小标宋简体" w:eastAsia="方正小标宋简体" w:cs="方正小标宋简体"/>
          <w:b w:val="0"/>
        </w:rPr>
        <w:t>附件</w:t>
      </w:r>
      <w:bookmarkEnd w:id="54"/>
      <w:bookmarkStart w:id="55" w:name="_Toc15396615"/>
    </w:p>
    <w:p>
      <w:pPr>
        <w:pageBreakBefore w:val="0"/>
        <w:kinsoku/>
        <w:wordWrap/>
        <w:overflowPunct/>
        <w:topLinePunct w:val="0"/>
        <w:bidi w:val="0"/>
        <w:spacing w:line="576" w:lineRule="exact"/>
        <w:ind w:left="0" w:leftChars="0" w:firstLine="640" w:firstLineChars="200"/>
        <w:jc w:val="both"/>
        <w:rPr>
          <w:rStyle w:val="34"/>
          <w:rFonts w:hint="eastAsia" w:ascii="仿宋" w:hAnsi="仿宋" w:eastAsia="仿宋"/>
          <w:b w:val="0"/>
          <w:bCs w:val="0"/>
          <w:sz w:val="32"/>
          <w:szCs w:val="32"/>
        </w:rPr>
      </w:pPr>
    </w:p>
    <w:p>
      <w:pPr>
        <w:pageBreakBefore w:val="0"/>
        <w:kinsoku/>
        <w:wordWrap/>
        <w:overflowPunct/>
        <w:topLinePunct w:val="0"/>
        <w:bidi w:val="0"/>
        <w:spacing w:line="576" w:lineRule="exact"/>
        <w:jc w:val="left"/>
        <w:rPr>
          <w:rStyle w:val="34"/>
          <w:rFonts w:ascii="仿宋" w:hAnsi="仿宋" w:eastAsia="仿宋"/>
          <w:b w:val="0"/>
          <w:bCs w:val="0"/>
          <w:sz w:val="32"/>
          <w:szCs w:val="32"/>
        </w:rPr>
      </w:pPr>
      <w:r>
        <w:rPr>
          <w:rStyle w:val="34"/>
          <w:rFonts w:hint="eastAsia" w:ascii="仿宋" w:hAnsi="仿宋" w:eastAsia="仿宋"/>
          <w:b w:val="0"/>
          <w:bCs w:val="0"/>
          <w:sz w:val="32"/>
          <w:szCs w:val="32"/>
        </w:rPr>
        <w:t>附件1</w:t>
      </w:r>
      <w:bookmarkEnd w:id="55"/>
    </w:p>
    <w:p>
      <w:pPr>
        <w:pageBreakBefore w:val="0"/>
        <w:widowControl/>
        <w:kinsoku/>
        <w:wordWrap/>
        <w:overflowPunct/>
        <w:topLinePunct w:val="0"/>
        <w:bidi w:val="0"/>
        <w:spacing w:line="576" w:lineRule="exact"/>
        <w:ind w:left="0" w:leftChars="0" w:firstLine="880" w:firstLineChars="200"/>
        <w:jc w:val="center"/>
        <w:rPr>
          <w:rFonts w:ascii="方正小标宋简体" w:hAnsi="宋体" w:eastAsia="方正小标宋简体" w:cs="方正小标宋简体"/>
          <w:sz w:val="44"/>
          <w:szCs w:val="44"/>
        </w:rPr>
      </w:pPr>
      <w:bookmarkStart w:id="56" w:name="_Toc15396617"/>
      <w:bookmarkEnd w:id="56"/>
      <w:bookmarkStart w:id="57" w:name="_Toc15396618"/>
      <w:r>
        <w:rPr>
          <w:rFonts w:hint="eastAsia" w:ascii="方正小标宋简体" w:hAnsi="宋体" w:eastAsia="方正小标宋简体" w:cs="方正小标宋简体"/>
          <w:sz w:val="44"/>
          <w:szCs w:val="44"/>
        </w:rPr>
        <w:t>中共红原县委统战部</w:t>
      </w:r>
    </w:p>
    <w:p>
      <w:pPr>
        <w:pageBreakBefore w:val="0"/>
        <w:widowControl/>
        <w:kinsoku/>
        <w:wordWrap/>
        <w:overflowPunct/>
        <w:topLinePunct w:val="0"/>
        <w:bidi w:val="0"/>
        <w:spacing w:line="576" w:lineRule="exact"/>
        <w:ind w:left="0" w:leftChars="0" w:firstLine="880" w:firstLineChars="200"/>
        <w:jc w:val="center"/>
        <w:rPr>
          <w:rFonts w:ascii="方正小标宋简体" w:hAnsi="宋体" w:eastAsia="方正小标宋简体" w:cs="方正小标宋简体"/>
          <w:sz w:val="44"/>
          <w:szCs w:val="44"/>
        </w:rPr>
      </w:pPr>
      <w:r>
        <w:rPr>
          <w:rFonts w:hint="eastAsia" w:ascii="方正小标宋简体" w:hAnsi="宋体" w:eastAsia="方正小标宋简体" w:cs="方正小标宋简体"/>
          <w:sz w:val="44"/>
          <w:szCs w:val="44"/>
        </w:rPr>
        <w:t>关于</w:t>
      </w:r>
      <w:r>
        <w:rPr>
          <w:rFonts w:ascii="方正小标宋简体" w:hAnsi="宋体" w:eastAsia="方正小标宋简体" w:cs="方正小标宋简体"/>
          <w:sz w:val="44"/>
          <w:szCs w:val="44"/>
        </w:rPr>
        <w:t>2018</w:t>
      </w:r>
      <w:r>
        <w:rPr>
          <w:rFonts w:hint="eastAsia" w:ascii="方正小标宋简体" w:hAnsi="宋体" w:eastAsia="方正小标宋简体" w:cs="方正小标宋简体"/>
          <w:sz w:val="44"/>
          <w:szCs w:val="44"/>
        </w:rPr>
        <w:t>年部门整体支出绩效报告</w:t>
      </w:r>
    </w:p>
    <w:p>
      <w:pPr>
        <w:pageBreakBefore w:val="0"/>
        <w:kinsoku/>
        <w:wordWrap/>
        <w:overflowPunct/>
        <w:topLinePunct w:val="0"/>
        <w:bidi w:val="0"/>
        <w:spacing w:line="576" w:lineRule="exact"/>
        <w:ind w:left="0" w:leftChars="0" w:firstLine="640" w:firstLineChars="200"/>
      </w:pPr>
    </w:p>
    <w:p>
      <w:pPr>
        <w:pageBreakBefore w:val="0"/>
        <w:kinsoku/>
        <w:wordWrap/>
        <w:overflowPunct/>
        <w:topLinePunct w:val="0"/>
        <w:bidi w:val="0"/>
        <w:spacing w:line="576" w:lineRule="exact"/>
        <w:ind w:left="0" w:leftChars="0" w:firstLine="640" w:firstLineChars="200"/>
        <w:rPr>
          <w:rFonts w:ascii="黑体" w:hAnsi="黑体" w:eastAsia="黑体" w:cs="黑体"/>
          <w:lang w:val="zh-CN"/>
        </w:rPr>
      </w:pPr>
      <w:r>
        <w:rPr>
          <w:rFonts w:hint="eastAsia" w:ascii="黑体" w:hAnsi="黑体" w:eastAsia="黑体" w:cs="黑体"/>
        </w:rPr>
        <w:t>一、</w:t>
      </w:r>
      <w:r>
        <w:rPr>
          <w:rFonts w:hint="eastAsia" w:ascii="黑体" w:hAnsi="黑体" w:eastAsia="黑体" w:cs="黑体"/>
          <w:lang w:val="zh-CN"/>
        </w:rPr>
        <w:t>部门（单位）概况</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b/>
          <w:bCs/>
          <w:lang w:val="zh-CN"/>
        </w:rPr>
      </w:pPr>
      <w:r>
        <w:rPr>
          <w:rFonts w:hint="eastAsia" w:ascii="楷体_GB2312" w:hAnsi="楷体_GB2312" w:eastAsia="楷体_GB2312" w:cs="楷体_GB2312"/>
          <w:b/>
          <w:bCs/>
          <w:lang w:val="zh-CN"/>
        </w:rPr>
        <w:t>（一）机构组成</w:t>
      </w:r>
    </w:p>
    <w:p>
      <w:pPr>
        <w:pageBreakBefore w:val="0"/>
        <w:kinsoku/>
        <w:wordWrap/>
        <w:overflowPunct/>
        <w:topLinePunct w:val="0"/>
        <w:bidi w:val="0"/>
        <w:spacing w:line="576" w:lineRule="exact"/>
        <w:ind w:left="0" w:leftChars="0" w:firstLine="640" w:firstLineChars="200"/>
        <w:rPr>
          <w:lang w:val="zh-CN"/>
        </w:rPr>
      </w:pPr>
      <w:r>
        <w:rPr>
          <w:rFonts w:hint="eastAsia" w:hAnsi="仿宋_GB2312" w:cs="仿宋_GB2312"/>
          <w:bCs/>
        </w:rPr>
        <w:t>我单位为独立核算全额拨款行政单位。</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lang w:val="zh-CN"/>
        </w:rPr>
      </w:pPr>
      <w:r>
        <w:rPr>
          <w:rFonts w:hint="eastAsia" w:ascii="楷体_GB2312" w:hAnsi="楷体_GB2312" w:eastAsia="楷体_GB2312" w:cs="楷体_GB2312"/>
          <w:b/>
          <w:bCs/>
          <w:lang w:val="zh-CN"/>
        </w:rPr>
        <w:t>（二）机构职能</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1、</w:t>
      </w:r>
      <w:r>
        <w:rPr>
          <w:rFonts w:hint="eastAsia" w:hAnsi="仿宋_GB2312" w:cs="仿宋_GB2312"/>
        </w:rPr>
        <w:t>贯彻落实加强党对统一战线工作集中统一领导的要求，发挥县委在统战工作方面的参谋机构、组织协调机构、具体执行机构、督促检查机构作用，了解情况、掌握政策、协调关系、安排人事、增进共识、加强团结，协调统一战线各方面关系，组织落实党中央、省委、州委和县委关于统一战线工作重大决策部署，巩固壮大最广泛的统一战线。</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2、</w:t>
      </w:r>
      <w:r>
        <w:rPr>
          <w:rFonts w:hint="eastAsia" w:hAnsi="仿宋_GB2312" w:cs="仿宋_GB2312"/>
        </w:rPr>
        <w:t>推动落实统一战线工作的政策和法规，深入调查研究，及时向县委报告统一战线工作情况并提出建议，统筹协调和指导各乡（镇）、各部门（单位）统一战线工作。</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3、</w:t>
      </w:r>
      <w:r>
        <w:rPr>
          <w:rFonts w:hint="eastAsia" w:hAnsi="仿宋_GB2312" w:cs="仿宋_GB2312"/>
        </w:rPr>
        <w:t>负责发现、培养党外代表人士，制定党外干部培养规划，负责党外人士的政治安排，会同有关部门做好安排党外人士担任政府和司法机关等领导职务的工作，推动人民团体、科研院所、国有企业党外干部安排工作。协助县工商联做好干部管理工作。反映和协调解决党外代表人士工作生活中的实际困难。</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4、</w:t>
      </w:r>
      <w:r>
        <w:rPr>
          <w:rFonts w:hint="eastAsia" w:hAnsi="仿宋_GB2312" w:cs="仿宋_GB2312"/>
        </w:rPr>
        <w:t>贯彻落实党的宣传工作方针，统筹推进全县统一战线宣传和意识形态工作，组织贯彻落实党中央、省委、</w:t>
      </w:r>
      <w:r>
        <w:rPr>
          <w:rFonts w:hAnsi="仿宋_GB2312" w:cs="仿宋_GB2312"/>
        </w:rPr>
        <w:t>州委</w:t>
      </w:r>
      <w:r>
        <w:rPr>
          <w:rFonts w:hint="eastAsia" w:hAnsi="仿宋_GB2312" w:cs="仿宋_GB2312"/>
        </w:rPr>
        <w:t>和县委统一战线宣传工作政策和规划，统筹推进网络统战工作，打造网络统战工作平台，研判涉及统一战线的舆情并协调有关部门应对处置。</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ascii="楷体_GB2312" w:hAnsi="楷体_GB2312" w:eastAsia="楷体_GB2312" w:cs="楷体_GB2312"/>
          <w:lang w:val="en-US" w:eastAsia="zh-CN"/>
        </w:rPr>
        <w:t>5、</w:t>
      </w:r>
      <w:r>
        <w:rPr>
          <w:rFonts w:hint="eastAsia" w:hAnsi="仿宋_GB2312" w:cs="仿宋_GB2312"/>
        </w:rPr>
        <w:t>贯彻落实党的民族工作方针，研究拟订民族工作的政策和措施，协调处理民族工作中的重大问题，根据分工，统筹协调做好少数民族干部工作，领导县民族宗教局依法管理民族事务，全面促进民族事业发展。</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6、</w:t>
      </w:r>
      <w:r>
        <w:rPr>
          <w:rFonts w:hint="eastAsia" w:hAnsi="仿宋_GB2312" w:cs="仿宋_GB2312"/>
        </w:rPr>
        <w:t>贯彻落实党的宗教工作基本方针和政策，研究拟订宗教工作的政策措施并督促落实，领导县民族宗教局依法管理宗教行政事务，保护公民宗教信仰自由和正常的宗教活动，维护宗教界合法权益，抵御境外利用宗教进行渗透，引导各宗教坚持中国化方向，巩固和发展同宗教界的爱国统一战线。贯彻落实党中央治藏方略、省委藏区工作决策部署和</w:t>
      </w:r>
      <w:r>
        <w:rPr>
          <w:rFonts w:hAnsi="仿宋_GB2312" w:cs="仿宋_GB2312"/>
        </w:rPr>
        <w:t>州委工作要求</w:t>
      </w:r>
      <w:r>
        <w:rPr>
          <w:rFonts w:hint="eastAsia" w:hAnsi="仿宋_GB2312" w:cs="仿宋_GB2312"/>
        </w:rPr>
        <w:t>，指导寺庙</w:t>
      </w:r>
      <w:r>
        <w:rPr>
          <w:rFonts w:hAnsi="仿宋_GB2312" w:cs="仿宋_GB2312"/>
        </w:rPr>
        <w:t>管理委员会、乡镇寺庙管理所工作，</w:t>
      </w:r>
      <w:r>
        <w:rPr>
          <w:rFonts w:hint="eastAsia" w:hAnsi="仿宋_GB2312" w:cs="仿宋_GB2312"/>
        </w:rPr>
        <w:t>开展藏传佛教寺庙依法管理，做好藏传佛教界代表人士培养教育和政治安排。</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ascii="楷体_GB2312" w:hAnsi="楷体_GB2312" w:eastAsia="楷体_GB2312" w:cs="楷体_GB2312"/>
          <w:lang w:val="en-US" w:eastAsia="zh-CN"/>
        </w:rPr>
        <w:t>7、</w:t>
      </w:r>
      <w:r>
        <w:rPr>
          <w:rFonts w:hint="eastAsia" w:hAnsi="仿宋_GB2312" w:cs="仿宋_GB2312"/>
        </w:rPr>
        <w:t>负责联系、培养无党派代表人士，支持、帮助无党派人士加强自身建设、发挥作用。调查研究全县党外知识分子情况并提出政策建议，联系、培养党外知识分子代表人士，开展思想政治工作。指导学校、科研院所、国有企业等有关单位开展统战工作。</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8、</w:t>
      </w:r>
      <w:r>
        <w:rPr>
          <w:rFonts w:hint="eastAsia" w:hAnsi="仿宋_GB2312" w:cs="仿宋_GB2312"/>
        </w:rPr>
        <w:t>负责联系、培养新的社会阶层代表人士，支持、帮助新的社会阶层人士加强自身建设、发挥作用。调查研究全县新的社会阶层人士情况并提出政策建议，联系、培养新的社会阶层代表人士，开展思想政治工作，指导社会组织开展新的社会阶层人士统战工作。</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ascii="楷体_GB2312" w:hAnsi="楷体_GB2312" w:eastAsia="楷体_GB2312" w:cs="楷体_GB2312"/>
          <w:lang w:val="en-US" w:eastAsia="zh-CN"/>
        </w:rPr>
        <w:t>9、</w:t>
      </w:r>
      <w:r>
        <w:rPr>
          <w:rFonts w:hint="eastAsia" w:hAnsi="仿宋_GB2312" w:cs="仿宋_GB2312"/>
        </w:rPr>
        <w:t>承担全县非公有制经济协调工作，负责全县非公有制经济代表人士工作，参与制定、推动落实鼓励支持引导非公有制经济发展的政策，调查研究全县非有制经济人士情况并提出政策建议，了解和反映非公有制经济人士的意见，团结、服务、引导、教育非公有制经济人士，促进非公有制经济健康发展和非公有制经济人士健康成长。</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10、</w:t>
      </w:r>
      <w:r>
        <w:rPr>
          <w:rFonts w:hint="eastAsia" w:hAnsi="仿宋_GB2312" w:cs="仿宋_GB2312"/>
        </w:rPr>
        <w:t>贯彻落实中央、省委、</w:t>
      </w:r>
      <w:r>
        <w:rPr>
          <w:rFonts w:hAnsi="仿宋_GB2312" w:cs="仿宋_GB2312"/>
        </w:rPr>
        <w:t>州委</w:t>
      </w:r>
      <w:r>
        <w:rPr>
          <w:rFonts w:hint="eastAsia" w:hAnsi="仿宋_GB2312" w:cs="仿宋_GB2312"/>
        </w:rPr>
        <w:t>和县委关于对境外藏胞工作的方针、政策。结合我县实际提出实施意见并组织实施。调查了解达赖集团和国外藏胞的动态信息，负责接待和管理来我县探访的国外藏胞，负责安置回国定居藏胞并配合有关部门加强对他们的教育和管理工作，负责对国外藏胞重点人物的联络争取工作，负责对国外藏胞和及其家属的宣传教育工作，组织动员国外藏胞为我县经济、教育、文化和卫生事业发展服务。会同有关部门处理我县涉及国外藏胞的重大事件。承担州对国外藏胞工作领导小组办公室日常工作。</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ascii="楷体_GB2312" w:hAnsi="楷体_GB2312" w:eastAsia="楷体_GB2312" w:cs="楷体_GB2312"/>
          <w:bCs/>
          <w:lang w:val="en-US" w:eastAsia="zh-CN"/>
        </w:rPr>
        <w:t>11、</w:t>
      </w:r>
      <w:r>
        <w:rPr>
          <w:rFonts w:hint="eastAsia" w:hAnsi="仿宋_GB2312" w:cs="仿宋_GB2312"/>
        </w:rPr>
        <w:t>统一领导对台统战工作，开展对台统战工作。贯彻落实中央对台统战工作政策和规划并组织协调、督促检查落实，做好统一战线外事管理工作。</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12、</w:t>
      </w:r>
      <w:r>
        <w:rPr>
          <w:rFonts w:hint="eastAsia" w:hAnsi="仿宋_GB2312" w:cs="仿宋_GB2312"/>
        </w:rPr>
        <w:t>统一管理侨务工作，贯彻落实党的侨务工作方针政策，拟订全县侨务工作规划并组织协调、督促检查落实，调查研究侨情和侨务工作情况，管理侨务行政事务，统筹协调有关部门和社会团体涉侨工作，联系海外有关侨团和代表人士，负责海外侨胞代表人士在相关统战团体的安排，指导推动涉侨宣传、文化交流、华文教育工作等，保护华侨和归侨侨眷在县内的合法权利和利益。</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ascii="楷体_GB2312" w:hAnsi="楷体_GB2312" w:eastAsia="楷体_GB2312" w:cs="楷体_GB2312"/>
          <w:lang w:val="en-US" w:eastAsia="zh-CN"/>
        </w:rPr>
        <w:t>13、</w:t>
      </w:r>
      <w:r>
        <w:rPr>
          <w:rFonts w:hint="eastAsia" w:hAnsi="仿宋_GB2312" w:cs="仿宋_GB2312"/>
        </w:rPr>
        <w:t>协助管理寺庙管理委员会</w:t>
      </w:r>
      <w:r>
        <w:rPr>
          <w:rFonts w:hAnsi="仿宋_GB2312" w:cs="仿宋_GB2312"/>
        </w:rPr>
        <w:t>负责人</w:t>
      </w:r>
      <w:r>
        <w:rPr>
          <w:rFonts w:hint="eastAsia" w:hAnsi="仿宋_GB2312" w:cs="仿宋_GB2312"/>
        </w:rPr>
        <w:t>和乡镇寺庙管理所主要负责人；受县委委托，领导县工商联党组，指导工商联工作；领导县民族宗教局，管理县侨务、台湾事务工作；指导</w:t>
      </w:r>
      <w:r>
        <w:rPr>
          <w:rFonts w:hAnsi="仿宋_GB2312" w:cs="仿宋_GB2312"/>
        </w:rPr>
        <w:t>县佛教协会工作；</w:t>
      </w:r>
      <w:r>
        <w:rPr>
          <w:rFonts w:hint="eastAsia" w:hAnsi="仿宋_GB2312" w:cs="仿宋_GB2312"/>
        </w:rPr>
        <w:t>做好统一战线有关单位和团体及事业单位的管理工作。</w:t>
      </w:r>
    </w:p>
    <w:p>
      <w:pPr>
        <w:pageBreakBefore w:val="0"/>
        <w:tabs>
          <w:tab w:val="left" w:pos="1832"/>
        </w:tabs>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lang w:val="en-US" w:eastAsia="zh-CN"/>
        </w:rPr>
        <w:t>14、</w:t>
      </w:r>
      <w:r>
        <w:rPr>
          <w:rFonts w:hint="eastAsia" w:hAnsi="仿宋_GB2312" w:cs="仿宋_GB2312"/>
        </w:rPr>
        <w:t>完成县委交办的其他任务</w:t>
      </w:r>
    </w:p>
    <w:p>
      <w:pPr>
        <w:pageBreakBefore w:val="0"/>
        <w:kinsoku/>
        <w:wordWrap/>
        <w:overflowPunct/>
        <w:topLinePunct w:val="0"/>
        <w:bidi w:val="0"/>
        <w:spacing w:line="576" w:lineRule="exact"/>
        <w:ind w:left="0" w:leftChars="0" w:firstLine="640" w:firstLineChars="200"/>
        <w:rPr>
          <w:rFonts w:ascii="楷体_GB2312" w:hAnsi="楷体_GB2312" w:eastAsia="楷体_GB2312" w:cs="楷体_GB2312"/>
          <w:lang w:val="zh-CN"/>
        </w:rPr>
      </w:pPr>
      <w:r>
        <w:rPr>
          <w:rFonts w:hint="eastAsia" w:ascii="楷体_GB2312" w:hAnsi="楷体_GB2312" w:eastAsia="楷体_GB2312" w:cs="楷体_GB2312"/>
          <w:lang w:val="zh-CN"/>
        </w:rPr>
        <w:t>（三</w:t>
      </w:r>
      <w:r>
        <w:rPr>
          <w:rFonts w:hint="eastAsia" w:ascii="楷体_GB2312" w:hAnsi="楷体_GB2312" w:eastAsia="楷体_GB2312" w:cs="楷体_GB2312"/>
          <w:b/>
          <w:bCs/>
          <w:lang w:val="zh-CN"/>
        </w:rPr>
        <w:t>）人员概况</w:t>
      </w:r>
    </w:p>
    <w:p>
      <w:pPr>
        <w:pageBreakBefore w:val="0"/>
        <w:kinsoku/>
        <w:wordWrap/>
        <w:overflowPunct/>
        <w:topLinePunct w:val="0"/>
        <w:bidi w:val="0"/>
        <w:spacing w:line="576" w:lineRule="exact"/>
        <w:ind w:left="0" w:leftChars="0" w:firstLine="640" w:firstLineChars="200"/>
        <w:rPr>
          <w:lang w:val="zh-CN"/>
        </w:rPr>
      </w:pPr>
      <w:r>
        <w:rPr>
          <w:rFonts w:hint="eastAsia"/>
        </w:rPr>
        <w:t xml:space="preserve"> 截止2018年底我单位共有编制13个，其中公务员编制12个，行政工勤编制1个，在职13人，退休10人。</w:t>
      </w:r>
    </w:p>
    <w:p>
      <w:pPr>
        <w:pageBreakBefore w:val="0"/>
        <w:kinsoku/>
        <w:wordWrap/>
        <w:overflowPunct/>
        <w:topLinePunct w:val="0"/>
        <w:bidi w:val="0"/>
        <w:spacing w:line="576" w:lineRule="exact"/>
        <w:ind w:left="0" w:leftChars="0" w:firstLine="640" w:firstLineChars="200"/>
        <w:rPr>
          <w:rFonts w:ascii="黑体" w:hAnsi="黑体" w:eastAsia="黑体" w:cs="黑体"/>
        </w:rPr>
      </w:pPr>
      <w:r>
        <w:rPr>
          <w:rFonts w:hint="eastAsia" w:ascii="黑体" w:hAnsi="黑体" w:eastAsia="黑体" w:cs="黑体"/>
        </w:rPr>
        <w:t>二、部门财政资金收支情况</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b/>
          <w:bCs/>
          <w:lang w:val="zh-CN"/>
        </w:rPr>
      </w:pPr>
      <w:r>
        <w:rPr>
          <w:rFonts w:hint="eastAsia" w:ascii="楷体_GB2312" w:hAnsi="楷体_GB2312" w:eastAsia="楷体_GB2312" w:cs="楷体_GB2312"/>
          <w:b/>
          <w:bCs/>
          <w:lang w:val="zh-CN"/>
        </w:rPr>
        <w:t>（一）部门财政资金收入情况。</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rPr>
        <w:t>2018年财政拨款收入总计301.10万元。与2017年相比，财政拨款收、支总计各增加0.67万元，增长0.01%。主要变动原因是项目收入增加。</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b/>
          <w:bCs/>
          <w:lang w:val="zh-CN"/>
        </w:rPr>
      </w:pPr>
      <w:r>
        <w:rPr>
          <w:rFonts w:hint="eastAsia" w:ascii="楷体_GB2312" w:hAnsi="楷体_GB2312" w:eastAsia="楷体_GB2312" w:cs="楷体_GB2312"/>
          <w:b/>
          <w:bCs/>
          <w:lang w:val="zh-CN"/>
        </w:rPr>
        <w:t>（二）部门财政资金支出情况。</w:t>
      </w:r>
    </w:p>
    <w:p>
      <w:pPr>
        <w:pageBreakBefore w:val="0"/>
        <w:kinsoku/>
        <w:wordWrap/>
        <w:overflowPunct/>
        <w:topLinePunct w:val="0"/>
        <w:bidi w:val="0"/>
        <w:spacing w:line="576" w:lineRule="exact"/>
        <w:ind w:left="0" w:leftChars="0" w:firstLine="640" w:firstLineChars="200"/>
      </w:pPr>
      <w:r>
        <w:rPr>
          <w:rFonts w:hint="eastAsia"/>
          <w:color w:val="auto"/>
        </w:rPr>
        <w:t>统战部预算安排支出主要用于保障该部门机构正常运转、完成日常工作任务以及承担统战事业发展相关工作。</w:t>
      </w:r>
    </w:p>
    <w:p>
      <w:pPr>
        <w:pageBreakBefore w:val="0"/>
        <w:kinsoku/>
        <w:wordWrap/>
        <w:overflowPunct/>
        <w:topLinePunct w:val="0"/>
        <w:bidi w:val="0"/>
        <w:spacing w:line="576" w:lineRule="exact"/>
        <w:ind w:left="0" w:leftChars="0" w:firstLine="640" w:firstLineChars="200"/>
        <w:rPr>
          <w:rFonts w:hAnsi="仿宋_GB2312" w:cs="仿宋_GB2312"/>
        </w:rPr>
      </w:pPr>
      <w:r>
        <w:rPr>
          <w:rFonts w:hint="eastAsia" w:hAnsi="仿宋_GB2312" w:cs="仿宋_GB2312"/>
        </w:rPr>
        <w:t>2018年财政拨款支出总计336.34万元。与2017年相比，财政拨款收、支总计各增加35.24万元，增长10.47%。主要变动原因是项目支出增多。</w:t>
      </w:r>
    </w:p>
    <w:p>
      <w:pPr>
        <w:pageBreakBefore w:val="0"/>
        <w:kinsoku/>
        <w:wordWrap/>
        <w:overflowPunct/>
        <w:topLinePunct w:val="0"/>
        <w:bidi w:val="0"/>
        <w:spacing w:line="576" w:lineRule="exact"/>
        <w:ind w:left="0" w:leftChars="0" w:firstLine="640" w:firstLineChars="200"/>
        <w:rPr>
          <w:b/>
          <w:bCs/>
        </w:rPr>
      </w:pPr>
      <w:r>
        <w:rPr>
          <w:rFonts w:hint="eastAsia" w:ascii="黑体" w:hAnsi="黑体" w:eastAsia="黑体" w:cs="黑体"/>
        </w:rPr>
        <w:t>三、部门财政支出管理情况</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b/>
          <w:bCs/>
          <w:lang w:val="zh-CN"/>
        </w:rPr>
      </w:pPr>
      <w:r>
        <w:rPr>
          <w:rFonts w:hint="eastAsia" w:ascii="楷体_GB2312" w:hAnsi="楷体_GB2312" w:eastAsia="楷体_GB2312" w:cs="楷体_GB2312"/>
          <w:b/>
          <w:bCs/>
          <w:lang w:val="zh-CN"/>
        </w:rPr>
        <w:t>（一）预算编制情况</w:t>
      </w:r>
    </w:p>
    <w:p>
      <w:pPr>
        <w:pageBreakBefore w:val="0"/>
        <w:kinsoku/>
        <w:wordWrap/>
        <w:overflowPunct/>
        <w:topLinePunct w:val="0"/>
        <w:bidi w:val="0"/>
        <w:spacing w:line="576" w:lineRule="exact"/>
        <w:ind w:left="0" w:leftChars="0" w:firstLine="640" w:firstLineChars="200"/>
      </w:pPr>
      <w:r>
        <w:rPr>
          <w:rFonts w:hint="eastAsia"/>
        </w:rPr>
        <w:t>1、我部财务人员进行预决算的编制，对本年度相应用款进行及时清理和处理，做到账账相符、账实相符、账证相符,按先有预算再有支出的原则，及时处理相关事务；对绩效目标进行季度梳理和年度分析，及时上报相关报表；对专项预算提前细化，分科目上报，做到收支平衡；预期编制：上一年开始编制次年预算。</w:t>
      </w:r>
    </w:p>
    <w:p>
      <w:pPr>
        <w:pageBreakBefore w:val="0"/>
        <w:widowControl/>
        <w:shd w:val="clear" w:color="auto" w:fill="FFFFFF"/>
        <w:kinsoku/>
        <w:wordWrap/>
        <w:overflowPunct/>
        <w:topLinePunct w:val="0"/>
        <w:bidi w:val="0"/>
        <w:spacing w:line="576" w:lineRule="exact"/>
        <w:ind w:left="0" w:leftChars="0" w:firstLine="640" w:firstLineChars="200"/>
      </w:pPr>
      <w:r>
        <w:rPr>
          <w:rFonts w:hint="eastAsia"/>
        </w:rPr>
        <w:t>我部在财务上进行合理安排和运用，以“认真、严谨、细致”精神，做好一切财务工作，财务“收支两条线”是所有财务工作都必须遵循的一个重要的财务纪律，就是所有的财务收入都必须入单位统一的财务账务，所有的支出都必须按单位事先规定的用款手续办理用款，涉及到财政性资金收支内容的还必须按国家财政性资金收支的规定办理预算外资金的财政专户交存、返还和资产购置、日常大宗消耗的政府采购。做好单位的财务票据管理工作就是做好了财务“收支两条线”的源头控制工作。</w:t>
      </w:r>
    </w:p>
    <w:p>
      <w:pPr>
        <w:pageBreakBefore w:val="0"/>
        <w:widowControl/>
        <w:shd w:val="clear" w:color="auto" w:fill="FFFFFF"/>
        <w:kinsoku/>
        <w:wordWrap/>
        <w:overflowPunct/>
        <w:topLinePunct w:val="0"/>
        <w:bidi w:val="0"/>
        <w:spacing w:line="576" w:lineRule="exact"/>
        <w:ind w:left="0" w:leftChars="0" w:firstLine="640" w:firstLineChars="200"/>
      </w:pPr>
      <w:r>
        <w:rPr>
          <w:rFonts w:hint="eastAsia"/>
        </w:rPr>
        <w:t>2、部门绩效目标。</w:t>
      </w:r>
    </w:p>
    <w:p>
      <w:pPr>
        <w:pageBreakBefore w:val="0"/>
        <w:widowControl/>
        <w:shd w:val="clear" w:color="auto" w:fill="FFFFFF"/>
        <w:kinsoku/>
        <w:wordWrap/>
        <w:overflowPunct/>
        <w:topLinePunct w:val="0"/>
        <w:bidi w:val="0"/>
        <w:spacing w:line="576" w:lineRule="exact"/>
        <w:ind w:left="0" w:leftChars="0" w:firstLine="640" w:firstLineChars="200"/>
      </w:pPr>
      <w:r>
        <w:rPr>
          <w:rFonts w:hint="eastAsia"/>
        </w:rPr>
        <w:t>财政拨款支出主要用于保障我部部门机构正常运转、完成日常工作任务以及相关工作。  </w:t>
      </w:r>
    </w:p>
    <w:p>
      <w:pPr>
        <w:pageBreakBefore w:val="0"/>
        <w:widowControl/>
        <w:shd w:val="clear" w:color="auto" w:fill="FFFFFF"/>
        <w:kinsoku/>
        <w:wordWrap/>
        <w:overflowPunct/>
        <w:topLinePunct w:val="0"/>
        <w:bidi w:val="0"/>
        <w:spacing w:line="576" w:lineRule="exact"/>
        <w:ind w:left="0" w:leftChars="0" w:firstLine="640" w:firstLineChars="200"/>
      </w:pPr>
      <w:r>
        <w:rPr>
          <w:rFonts w:hint="eastAsia"/>
        </w:rPr>
        <w:t>基本支出，是用于保障机构正常运转的日常支出，包括基本工资、津贴补贴等人员经费以及办公费、印刷费、水电费、办公设备购置等日常公用经费。</w:t>
      </w:r>
    </w:p>
    <w:p>
      <w:pPr>
        <w:pageBreakBefore w:val="0"/>
        <w:widowControl/>
        <w:shd w:val="clear" w:color="auto" w:fill="FFFFFF"/>
        <w:kinsoku/>
        <w:wordWrap/>
        <w:overflowPunct/>
        <w:topLinePunct w:val="0"/>
        <w:bidi w:val="0"/>
        <w:spacing w:line="576" w:lineRule="exact"/>
        <w:ind w:left="0" w:leftChars="0" w:firstLine="640" w:firstLineChars="200"/>
      </w:pPr>
      <w:r>
        <w:rPr>
          <w:rFonts w:hint="eastAsia"/>
        </w:rPr>
        <w:t>项目支出，是用于保障机构为完成特定的行政工作任务或事业发展目标，用于专项业务工作的经费支出。</w:t>
      </w:r>
    </w:p>
    <w:p>
      <w:pPr>
        <w:pageBreakBefore w:val="0"/>
        <w:widowControl/>
        <w:shd w:val="clear" w:color="auto" w:fill="FFFFFF"/>
        <w:kinsoku/>
        <w:wordWrap/>
        <w:overflowPunct/>
        <w:topLinePunct w:val="0"/>
        <w:bidi w:val="0"/>
        <w:spacing w:line="576" w:lineRule="exact"/>
        <w:ind w:left="0" w:leftChars="0" w:firstLine="640" w:firstLineChars="200"/>
      </w:pPr>
      <w:r>
        <w:rPr>
          <w:rFonts w:hint="eastAsia"/>
        </w:rPr>
        <w:t xml:space="preserve"> 按支出功能分类主要用于以下方面：一般公共服务，社会保障和就业，医疗卫生与计划生育支出，住房保障等支出。</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lang w:val="zh-CN"/>
        </w:rPr>
      </w:pPr>
      <w:r>
        <w:rPr>
          <w:rFonts w:hint="eastAsia" w:ascii="楷体_GB2312" w:hAnsi="楷体_GB2312" w:eastAsia="楷体_GB2312" w:cs="楷体_GB2312"/>
          <w:b/>
          <w:bCs/>
          <w:lang w:val="zh-CN"/>
        </w:rPr>
        <w:t>（二）执行管理情况。</w:t>
      </w:r>
    </w:p>
    <w:p>
      <w:pPr>
        <w:pageBreakBefore w:val="0"/>
        <w:kinsoku/>
        <w:wordWrap/>
        <w:overflowPunct/>
        <w:topLinePunct w:val="0"/>
        <w:bidi w:val="0"/>
        <w:spacing w:line="576" w:lineRule="exact"/>
        <w:ind w:left="0" w:leftChars="0" w:firstLine="643" w:firstLineChars="200"/>
        <w:rPr>
          <w:lang w:val="zh-CN"/>
        </w:rPr>
      </w:pPr>
      <w:r>
        <w:rPr>
          <w:rFonts w:hint="eastAsia"/>
          <w:b/>
          <w:bCs/>
        </w:rPr>
        <w:t>1、</w:t>
      </w:r>
      <w:r>
        <w:rPr>
          <w:rFonts w:hint="eastAsia"/>
          <w:b/>
          <w:bCs/>
          <w:lang w:val="zh-CN"/>
        </w:rPr>
        <w:t>部门预算执行进度情况及“三公”经费预算执行情况等。</w:t>
      </w:r>
    </w:p>
    <w:p>
      <w:pPr>
        <w:pageBreakBefore w:val="0"/>
        <w:kinsoku/>
        <w:wordWrap/>
        <w:overflowPunct/>
        <w:topLinePunct w:val="0"/>
        <w:bidi w:val="0"/>
        <w:spacing w:line="576" w:lineRule="exact"/>
        <w:ind w:left="0" w:leftChars="0" w:firstLine="640" w:firstLineChars="200"/>
      </w:pPr>
      <w:r>
        <w:rPr>
          <w:rFonts w:hint="eastAsia"/>
        </w:rPr>
        <w:t>我部按照县财政的要求，及时分月、分季度上报相应计划，待财政审核通过后，严格按计划执行，各季度执行情况良好。</w:t>
      </w:r>
    </w:p>
    <w:p>
      <w:pPr>
        <w:pageBreakBefore w:val="0"/>
        <w:kinsoku/>
        <w:wordWrap/>
        <w:overflowPunct/>
        <w:topLinePunct w:val="0"/>
        <w:bidi w:val="0"/>
        <w:spacing w:line="576" w:lineRule="exact"/>
        <w:ind w:left="0" w:leftChars="0" w:firstLine="640" w:firstLineChars="200"/>
      </w:pPr>
      <w:r>
        <w:rPr>
          <w:rFonts w:hint="eastAsia"/>
        </w:rPr>
        <w:t>基本支出2018年按月或季度进行申报，其中人员工资按月申报并直接支付，日常公用经费按季度进行申报并支付，截止6月执行进度，9月执行进度，12月执行进度。项目支出按月申报并授权支付，其中1-6月执行进度1-9月执行进度数，1-12月执行进度。</w:t>
      </w:r>
    </w:p>
    <w:p>
      <w:pPr>
        <w:pageBreakBefore w:val="0"/>
        <w:kinsoku/>
        <w:wordWrap/>
        <w:overflowPunct/>
        <w:topLinePunct w:val="0"/>
        <w:bidi w:val="0"/>
        <w:spacing w:line="576" w:lineRule="exact"/>
        <w:ind w:left="0" w:leftChars="0" w:firstLine="640" w:firstLineChars="200"/>
        <w:rPr>
          <w:rFonts w:hAnsi="仿宋"/>
          <w:color w:val="auto"/>
        </w:rPr>
      </w:pPr>
      <w:r>
        <w:rPr>
          <w:rFonts w:hint="eastAsia"/>
        </w:rPr>
        <w:t>人员经费251.44万元，主要包括：</w:t>
      </w:r>
      <w:r>
        <w:rPr>
          <w:rFonts w:hint="eastAsia" w:hAnsi="仿宋"/>
        </w:rPr>
        <w:t>主要包括</w:t>
      </w:r>
      <w:r>
        <w:rPr>
          <w:rFonts w:hint="eastAsia" w:hAnsi="仿宋"/>
          <w:color w:val="auto"/>
        </w:rPr>
        <w:t>：基本工资45.36万元、津贴补贴92.36万元、奖金43.21万元、机关事业单位基本养老保险缴费25.28万元、职业年金缴费10.11万元、职工基本医疗保险缴费8.36万元、公务员医疗补助缴费2.96万元、其他社会保障缴费2.71万元、医疗费1.18万元、住房公积金17.06万元、生活补助2.24万元、医疗补助0.59万元等。</w:t>
      </w:r>
    </w:p>
    <w:p>
      <w:pPr>
        <w:pageBreakBefore w:val="0"/>
        <w:kinsoku/>
        <w:wordWrap/>
        <w:overflowPunct/>
        <w:topLinePunct w:val="0"/>
        <w:bidi w:val="0"/>
        <w:spacing w:line="576" w:lineRule="exact"/>
        <w:ind w:left="0" w:leftChars="0" w:firstLine="640" w:firstLineChars="200"/>
        <w:rPr>
          <w:rFonts w:ascii="仿宋" w:hAnsi="仿宋" w:eastAsia="仿宋"/>
          <w:color w:val="auto"/>
        </w:rPr>
      </w:pPr>
      <w:r>
        <w:rPr>
          <w:rFonts w:hint="eastAsia" w:ascii="仿宋" w:hAnsi="仿宋" w:eastAsia="仿宋"/>
          <w:color w:val="auto"/>
        </w:rPr>
        <w:t>公用经费 44.80万元，主要包括：办公费8.02万元、印刷费1.00万元、手续费0.10万元、水费0.30万元、电费0.60万元、邮电费2.00万元、取暖费0.80万元、差旅费9.00万元、维修（护）费0.41万元、会议费1.10万元、培训费11万元、公务接待费0.67万元、公务用车运行维护费9.80万元。</w:t>
      </w:r>
    </w:p>
    <w:p>
      <w:pPr>
        <w:pageBreakBefore w:val="0"/>
        <w:kinsoku/>
        <w:wordWrap/>
        <w:overflowPunct/>
        <w:topLinePunct w:val="0"/>
        <w:bidi w:val="0"/>
        <w:spacing w:line="576" w:lineRule="exact"/>
        <w:ind w:left="0" w:leftChars="0" w:firstLine="640" w:firstLineChars="200"/>
      </w:pPr>
      <w:r>
        <w:rPr>
          <w:rFonts w:hint="eastAsia"/>
        </w:rPr>
        <w:t>2018年度“三公”经费财政拨款支出决算中，公务用车运行费支出决算为9.80元，接待费支出0.67元；我部用财政拨款安排的公务接待费，公务用车车辆燃料费、维修费、过路过桥费、保险费费用等支出；公务接待费反映单位按规定开支的各类公务接待支出。</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b/>
          <w:bCs/>
          <w:lang w:val="zh-CN"/>
        </w:rPr>
      </w:pPr>
      <w:r>
        <w:rPr>
          <w:rFonts w:hint="eastAsia" w:ascii="楷体_GB2312" w:hAnsi="楷体_GB2312" w:eastAsia="楷体_GB2312" w:cs="楷体_GB2312"/>
          <w:b/>
          <w:bCs/>
          <w:lang w:val="zh-CN"/>
        </w:rPr>
        <w:t>（三）综合管理情况。</w:t>
      </w:r>
    </w:p>
    <w:p>
      <w:pPr>
        <w:pageBreakBefore w:val="0"/>
        <w:kinsoku/>
        <w:wordWrap/>
        <w:overflowPunct/>
        <w:topLinePunct w:val="0"/>
        <w:bidi w:val="0"/>
        <w:spacing w:line="576" w:lineRule="exact"/>
        <w:ind w:left="0" w:leftChars="0" w:firstLine="640" w:firstLineChars="200"/>
        <w:rPr>
          <w:lang w:val="zh-CN"/>
        </w:rPr>
      </w:pPr>
      <w:r>
        <w:rPr>
          <w:rFonts w:hint="eastAsia"/>
          <w:lang w:val="zh-CN"/>
        </w:rPr>
        <w:t>我部按照岗位职责，严格执行机关财务管理制度，及时进行会计核算，对项目资金、政府采购进行公开公示，接受群众监督。</w:t>
      </w:r>
    </w:p>
    <w:p>
      <w:pPr>
        <w:pageBreakBefore w:val="0"/>
        <w:kinsoku/>
        <w:wordWrap/>
        <w:overflowPunct/>
        <w:topLinePunct w:val="0"/>
        <w:bidi w:val="0"/>
        <w:spacing w:line="576" w:lineRule="exact"/>
        <w:ind w:left="0" w:leftChars="0" w:firstLine="643" w:firstLineChars="200"/>
      </w:pPr>
      <w:r>
        <w:rPr>
          <w:rFonts w:hint="eastAsia"/>
          <w:b/>
          <w:bCs/>
        </w:rPr>
        <w:t>1、资产管理情况 。一是</w:t>
      </w:r>
      <w:r>
        <w:rPr>
          <w:rFonts w:hint="eastAsia"/>
        </w:rPr>
        <w:t>严格执行财产管理制度，建立健全了财产管理规章制度，强化了内部财产管理和审计监督，对资产的完整和安全，最大程度发挥固定资产的效益。</w:t>
      </w:r>
      <w:r>
        <w:rPr>
          <w:rFonts w:hint="eastAsia"/>
          <w:b/>
          <w:bCs/>
        </w:rPr>
        <w:t>二是</w:t>
      </w:r>
      <w:r>
        <w:rPr>
          <w:rFonts w:hint="eastAsia"/>
        </w:rPr>
        <w:t>如有资产变动，定期在资产管理信息系统对资产进行登记，变更，盘点，并上报，确保账面数与实有数相符，使本单位资产情况的准确无误。</w:t>
      </w:r>
    </w:p>
    <w:p>
      <w:pPr>
        <w:pageBreakBefore w:val="0"/>
        <w:kinsoku/>
        <w:wordWrap/>
        <w:overflowPunct/>
        <w:topLinePunct w:val="0"/>
        <w:bidi w:val="0"/>
        <w:spacing w:line="576" w:lineRule="exact"/>
        <w:ind w:left="0" w:leftChars="0" w:firstLine="643" w:firstLineChars="200"/>
      </w:pPr>
      <w:r>
        <w:rPr>
          <w:rFonts w:hint="eastAsia"/>
          <w:b/>
          <w:bCs/>
        </w:rPr>
        <w:t>2、内控管理制度情况。</w:t>
      </w:r>
      <w:r>
        <w:rPr>
          <w:rFonts w:hint="eastAsia"/>
        </w:rPr>
        <w:t>有效制定行为准则和其他原则。明确制定可以接受的员工行为道德标准和处理方式，并确保这些准则和原则的有效执行。对员工精神规范、仪容仪表、工作纪律、待人接物、环境卫生以及组织管理及违反守则的处理办法等方面做出规定。推动内部员工对单位理念的理解和接受，使员工理解和把握单位文化和管理理念。</w:t>
      </w:r>
    </w:p>
    <w:p>
      <w:pPr>
        <w:pageBreakBefore w:val="0"/>
        <w:kinsoku/>
        <w:wordWrap/>
        <w:overflowPunct/>
        <w:topLinePunct w:val="0"/>
        <w:bidi w:val="0"/>
        <w:spacing w:line="576" w:lineRule="exact"/>
        <w:ind w:left="0" w:leftChars="0" w:firstLine="643" w:firstLineChars="200"/>
      </w:pPr>
      <w:r>
        <w:rPr>
          <w:rFonts w:hint="eastAsia"/>
          <w:b/>
          <w:bCs/>
        </w:rPr>
        <w:t>3、</w:t>
      </w:r>
      <w:r>
        <w:rPr>
          <w:rFonts w:hint="eastAsia"/>
          <w:b/>
          <w:bCs/>
          <w:lang w:val="zh-CN"/>
        </w:rPr>
        <w:t>绩效评价及依法接受财政监督情况。</w:t>
      </w:r>
      <w:r>
        <w:rPr>
          <w:rFonts w:hint="eastAsia"/>
        </w:rPr>
        <w:t>保障了我部机构正常运转、完成了日常工作任务以及承担宗教寺庙事业发展相关工作。</w:t>
      </w:r>
      <w:r>
        <w:rPr>
          <w:rFonts w:hint="eastAsia"/>
          <w:lang w:val="zh-CN"/>
        </w:rPr>
        <w:t>在执行过程中有计划进行资金申报使用，完善资金管理及内部控制制度，确保资金安全，做到帐款、帐帐、帐实相符。为我部经济和社会事业发展提供资金保障。</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b/>
          <w:bCs/>
          <w:lang w:val="zh-CN"/>
        </w:rPr>
      </w:pPr>
      <w:r>
        <w:rPr>
          <w:rFonts w:hint="eastAsia" w:ascii="楷体_GB2312" w:hAnsi="楷体_GB2312" w:eastAsia="楷体_GB2312" w:cs="楷体_GB2312"/>
          <w:b/>
          <w:bCs/>
          <w:lang w:val="zh-CN"/>
        </w:rPr>
        <w:t>（四）整体绩效</w:t>
      </w:r>
    </w:p>
    <w:p>
      <w:pPr>
        <w:pageBreakBefore w:val="0"/>
        <w:kinsoku/>
        <w:wordWrap/>
        <w:overflowPunct/>
        <w:topLinePunct w:val="0"/>
        <w:bidi w:val="0"/>
        <w:spacing w:line="576" w:lineRule="exact"/>
        <w:ind w:left="0" w:leftChars="0" w:firstLine="640" w:firstLineChars="200"/>
      </w:pPr>
      <w:r>
        <w:rPr>
          <w:rFonts w:hint="eastAsia"/>
        </w:rPr>
        <w:t>按照年初预算项目，实施完成后使全县环境更优美、经济更稳定、社会更和谐，达到预期经济、社会目标。</w:t>
      </w:r>
    </w:p>
    <w:p>
      <w:pPr>
        <w:pageBreakBefore w:val="0"/>
        <w:kinsoku/>
        <w:wordWrap/>
        <w:overflowPunct/>
        <w:topLinePunct w:val="0"/>
        <w:bidi w:val="0"/>
        <w:spacing w:line="576" w:lineRule="exact"/>
        <w:ind w:left="0" w:leftChars="0" w:firstLine="640" w:firstLineChars="200"/>
        <w:rPr>
          <w:lang w:val="zh-CN"/>
        </w:rPr>
      </w:pPr>
      <w:r>
        <w:rPr>
          <w:rFonts w:hint="eastAsia"/>
          <w:lang w:val="zh-CN"/>
        </w:rPr>
        <w:t>我部绩效管理严格按照上级部门要求，开展自评工作，对评价结果及时总结上报。</w:t>
      </w:r>
    </w:p>
    <w:p>
      <w:pPr>
        <w:pageBreakBefore w:val="0"/>
        <w:kinsoku/>
        <w:wordWrap/>
        <w:overflowPunct/>
        <w:topLinePunct w:val="0"/>
        <w:bidi w:val="0"/>
        <w:spacing w:line="576" w:lineRule="exact"/>
        <w:ind w:left="0" w:leftChars="0" w:firstLine="640" w:firstLineChars="200"/>
        <w:rPr>
          <w:rFonts w:ascii="黑体" w:hAnsi="黑体" w:eastAsia="黑体" w:cs="黑体"/>
        </w:rPr>
      </w:pPr>
      <w:r>
        <w:rPr>
          <w:rFonts w:hint="eastAsia" w:ascii="黑体" w:hAnsi="黑体" w:eastAsia="黑体" w:cs="黑体"/>
        </w:rPr>
        <w:t>四、评价结论及建议</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b/>
          <w:bCs/>
          <w:lang w:val="zh-CN"/>
        </w:rPr>
      </w:pPr>
      <w:r>
        <w:rPr>
          <w:rFonts w:hint="eastAsia" w:ascii="楷体_GB2312" w:hAnsi="楷体_GB2312" w:eastAsia="楷体_GB2312" w:cs="楷体_GB2312"/>
          <w:b/>
          <w:bCs/>
          <w:lang w:val="zh-CN"/>
        </w:rPr>
        <w:t>（一）评价结论。</w:t>
      </w:r>
    </w:p>
    <w:p>
      <w:pPr>
        <w:pageBreakBefore w:val="0"/>
        <w:widowControl/>
        <w:kinsoku/>
        <w:wordWrap/>
        <w:overflowPunct/>
        <w:topLinePunct w:val="0"/>
        <w:bidi w:val="0"/>
        <w:adjustRightInd w:val="0"/>
        <w:snapToGrid w:val="0"/>
        <w:spacing w:line="576" w:lineRule="exact"/>
        <w:ind w:left="0" w:leftChars="0" w:firstLine="640" w:firstLineChars="200"/>
        <w:rPr>
          <w:rFonts w:hAnsi="宋体" w:cs="宋体"/>
          <w:kern w:val="0"/>
          <w:lang w:val="zh-CN"/>
        </w:rPr>
      </w:pPr>
      <w:r>
        <w:rPr>
          <w:rFonts w:hint="eastAsia" w:hAnsi="宋体" w:cs="宋体"/>
          <w:kern w:val="0"/>
          <w:lang w:val="zh-CN"/>
        </w:rPr>
        <w:t>根据《2018年红原县部门支出绩效评价指标体系》评分得分9</w:t>
      </w:r>
      <w:r>
        <w:rPr>
          <w:rFonts w:hint="eastAsia" w:hAnsi="宋体" w:cs="宋体"/>
          <w:kern w:val="0"/>
        </w:rPr>
        <w:t>6</w:t>
      </w:r>
      <w:r>
        <w:rPr>
          <w:rFonts w:hint="eastAsia" w:hAnsi="宋体" w:cs="宋体"/>
          <w:kern w:val="0"/>
          <w:lang w:val="zh-CN"/>
        </w:rPr>
        <w:t>分，部门整体支出绩效为“好”。</w:t>
      </w:r>
    </w:p>
    <w:p>
      <w:pPr>
        <w:pageBreakBefore w:val="0"/>
        <w:kinsoku/>
        <w:wordWrap/>
        <w:overflowPunct/>
        <w:topLinePunct w:val="0"/>
        <w:bidi w:val="0"/>
        <w:spacing w:line="576" w:lineRule="exact"/>
        <w:ind w:left="0" w:leftChars="0" w:firstLine="643" w:firstLineChars="200"/>
        <w:rPr>
          <w:rFonts w:ascii="楷体_GB2312" w:hAnsi="楷体_GB2312" w:eastAsia="楷体_GB2312" w:cs="楷体_GB2312"/>
          <w:b/>
          <w:bCs/>
          <w:lang w:val="zh-CN"/>
        </w:rPr>
      </w:pPr>
      <w:r>
        <w:rPr>
          <w:rFonts w:hint="eastAsia" w:ascii="楷体_GB2312" w:hAnsi="楷体_GB2312" w:eastAsia="楷体_GB2312" w:cs="楷体_GB2312"/>
          <w:b/>
          <w:bCs/>
          <w:lang w:val="zh-CN"/>
        </w:rPr>
        <w:t>（二）存在问题。</w:t>
      </w:r>
    </w:p>
    <w:p>
      <w:pPr>
        <w:pageBreakBefore w:val="0"/>
        <w:kinsoku/>
        <w:wordWrap/>
        <w:overflowPunct/>
        <w:topLinePunct w:val="0"/>
        <w:bidi w:val="0"/>
        <w:spacing w:line="576" w:lineRule="exact"/>
        <w:ind w:left="0" w:leftChars="0" w:firstLine="640" w:firstLineChars="200"/>
      </w:pPr>
      <w:r>
        <w:rPr>
          <w:rFonts w:hint="eastAsia"/>
        </w:rPr>
        <w:t>根据单位工作需要，临时增加工作较多，（如：四川省藏传佛教寺庙管理现场会、慰问宗教界代表人士等），导致预算资金与实际支出有一定出入，致使偏离了批复的预算。</w:t>
      </w:r>
    </w:p>
    <w:p>
      <w:pPr>
        <w:pageBreakBefore w:val="0"/>
        <w:kinsoku/>
        <w:wordWrap/>
        <w:overflowPunct/>
        <w:topLinePunct w:val="0"/>
        <w:bidi w:val="0"/>
        <w:spacing w:line="576" w:lineRule="exact"/>
        <w:ind w:left="0" w:leftChars="0" w:firstLine="643" w:firstLineChars="200"/>
      </w:pPr>
      <w:r>
        <w:rPr>
          <w:rFonts w:hint="eastAsia" w:ascii="楷体_GB2312" w:hAnsi="楷体_GB2312" w:eastAsia="楷体_GB2312" w:cs="楷体_GB2312"/>
          <w:b/>
          <w:bCs/>
        </w:rPr>
        <w:t>（三）下一步改进措施</w:t>
      </w:r>
      <w:r>
        <w:rPr>
          <w:rFonts w:hint="eastAsia" w:ascii="楷体_GB2312" w:hAnsi="楷体_GB2312" w:eastAsia="楷体_GB2312" w:cs="楷体_GB2312"/>
        </w:rPr>
        <w:t>：</w:t>
      </w:r>
      <w:r>
        <w:rPr>
          <w:rFonts w:hint="eastAsia"/>
        </w:rPr>
        <w:t>强化对预算管理的重视程度，注重预算编制质量的提升，提升预算的执行力和控制力度。</w:t>
      </w:r>
    </w:p>
    <w:p>
      <w:pPr>
        <w:pageBreakBefore w:val="0"/>
        <w:kinsoku/>
        <w:wordWrap/>
        <w:overflowPunct/>
        <w:topLinePunct w:val="0"/>
        <w:bidi w:val="0"/>
        <w:spacing w:line="576" w:lineRule="exact"/>
        <w:ind w:left="0" w:leftChars="0" w:firstLine="643" w:firstLineChars="200"/>
      </w:pPr>
      <w:r>
        <w:rPr>
          <w:rFonts w:hint="eastAsia"/>
          <w:b/>
          <w:bCs/>
          <w:lang w:val="zh-CN"/>
        </w:rPr>
        <w:t>（四）</w:t>
      </w:r>
      <w:r>
        <w:rPr>
          <w:rFonts w:hint="eastAsia" w:ascii="楷体_GB2312" w:hAnsi="楷体_GB2312" w:eastAsia="楷体_GB2312" w:cs="楷体_GB2312"/>
          <w:b/>
          <w:bCs/>
          <w:lang w:val="zh-CN"/>
        </w:rPr>
        <w:t>改进建议</w:t>
      </w:r>
      <w:r>
        <w:rPr>
          <w:rFonts w:hint="eastAsia" w:ascii="楷体_GB2312" w:hAnsi="楷体_GB2312" w:eastAsia="楷体_GB2312" w:cs="楷体_GB2312"/>
          <w:lang w:val="zh-CN"/>
        </w:rPr>
        <w:t>。</w:t>
      </w:r>
      <w:r>
        <w:rPr>
          <w:rFonts w:hint="eastAsia"/>
          <w:b/>
          <w:bCs/>
          <w:lang w:val="zh-CN"/>
        </w:rPr>
        <w:t>一是</w:t>
      </w:r>
      <w:r>
        <w:rPr>
          <w:rFonts w:hint="eastAsia" w:hAnsi="宋体" w:cs="宋体"/>
          <w:kern w:val="0"/>
          <w:lang w:val="zh-CN"/>
        </w:rPr>
        <w:t>加强组织领导，增强预算编制的准确性，提高对预算编制与执行的认识，为绩效评价工作开展创造更好的条件；</w:t>
      </w:r>
      <w:r>
        <w:rPr>
          <w:rFonts w:hint="eastAsia" w:hAnsi="宋体" w:cs="宋体"/>
          <w:b/>
          <w:bCs/>
          <w:kern w:val="0"/>
          <w:lang w:val="zh-CN"/>
        </w:rPr>
        <w:t>二是</w:t>
      </w:r>
      <w:r>
        <w:rPr>
          <w:rFonts w:hint="eastAsia" w:hAnsi="宋体" w:cs="宋体"/>
          <w:kern w:val="0"/>
          <w:lang w:val="zh-CN"/>
        </w:rPr>
        <w:t>建立长效机制，加强管理提高部门支出的绩效成果，让财政资金发挥最大效益。</w:t>
      </w:r>
    </w:p>
    <w:p>
      <w:pPr>
        <w:pageBreakBefore w:val="0"/>
        <w:kinsoku/>
        <w:wordWrap/>
        <w:overflowPunct/>
        <w:topLinePunct w:val="0"/>
        <w:bidi w:val="0"/>
        <w:spacing w:line="576" w:lineRule="exact"/>
        <w:ind w:left="0" w:leftChars="0" w:firstLine="640" w:firstLineChars="200"/>
      </w:pPr>
    </w:p>
    <w:p>
      <w:pPr>
        <w:pageBreakBefore w:val="0"/>
        <w:kinsoku/>
        <w:wordWrap/>
        <w:overflowPunct/>
        <w:topLinePunct w:val="0"/>
        <w:bidi w:val="0"/>
        <w:spacing w:line="576" w:lineRule="exact"/>
        <w:ind w:left="0" w:leftChars="0" w:firstLine="880" w:firstLineChars="200"/>
        <w:jc w:val="center"/>
        <w:rPr>
          <w:rStyle w:val="34"/>
          <w:rFonts w:ascii="黑体" w:hAnsi="黑体" w:eastAsia="黑体"/>
          <w:b w:val="0"/>
        </w:rPr>
      </w:pPr>
      <w:r>
        <w:rPr>
          <w:rStyle w:val="34"/>
          <w:rFonts w:hint="eastAsia" w:ascii="黑体" w:hAnsi="黑体" w:eastAsia="黑体"/>
          <w:b w:val="0"/>
        </w:rPr>
        <w:t>第五部分 附表</w:t>
      </w:r>
      <w:bookmarkEnd w:id="53"/>
      <w:bookmarkEnd w:id="57"/>
    </w:p>
    <w:p>
      <w:pPr>
        <w:pageBreakBefore w:val="0"/>
        <w:kinsoku/>
        <w:wordWrap/>
        <w:overflowPunct/>
        <w:topLinePunct w:val="0"/>
        <w:bidi w:val="0"/>
        <w:spacing w:line="576" w:lineRule="exact"/>
        <w:ind w:left="0" w:leftChars="0" w:firstLine="640" w:firstLineChars="200"/>
      </w:pPr>
    </w:p>
    <w:p>
      <w:pPr>
        <w:pStyle w:val="5"/>
        <w:pageBreakBefore w:val="0"/>
        <w:kinsoku/>
        <w:wordWrap/>
        <w:overflowPunct/>
        <w:topLinePunct w:val="0"/>
        <w:bidi w:val="0"/>
        <w:spacing w:line="576" w:lineRule="exact"/>
        <w:ind w:left="0" w:leftChars="0" w:firstLine="643" w:firstLineChars="200"/>
      </w:pPr>
      <w:bookmarkStart w:id="58" w:name="_Toc15396620"/>
      <w:r>
        <w:rPr>
          <w:rFonts w:hint="eastAsia"/>
        </w:rPr>
        <w:t>收入支出决算总表</w:t>
      </w:r>
    </w:p>
    <w:p>
      <w:pPr>
        <w:pStyle w:val="5"/>
        <w:pageBreakBefore w:val="0"/>
        <w:kinsoku/>
        <w:wordWrap/>
        <w:overflowPunct/>
        <w:topLinePunct w:val="0"/>
        <w:bidi w:val="0"/>
        <w:spacing w:line="576" w:lineRule="exact"/>
        <w:ind w:left="0" w:leftChars="0" w:firstLine="640" w:firstLineChars="200"/>
        <w:rPr>
          <w:rStyle w:val="35"/>
          <w:rFonts w:ascii="仿宋" w:hAnsi="仿宋" w:eastAsia="仿宋"/>
          <w:b w:val="0"/>
          <w:bCs w:val="0"/>
        </w:rPr>
      </w:pPr>
      <w:r>
        <w:rPr>
          <w:rStyle w:val="35"/>
          <w:rFonts w:hint="eastAsia" w:ascii="仿宋" w:hAnsi="仿宋" w:eastAsia="仿宋"/>
          <w:b w:val="0"/>
          <w:bCs w:val="0"/>
        </w:rPr>
        <w:t>二、收入总表</w:t>
      </w:r>
      <w:bookmarkEnd w:id="58"/>
    </w:p>
    <w:p>
      <w:pPr>
        <w:pStyle w:val="5"/>
        <w:pageBreakBefore w:val="0"/>
        <w:kinsoku/>
        <w:wordWrap/>
        <w:overflowPunct/>
        <w:topLinePunct w:val="0"/>
        <w:bidi w:val="0"/>
        <w:spacing w:line="576" w:lineRule="exact"/>
        <w:ind w:left="0" w:leftChars="0" w:firstLine="640" w:firstLineChars="200"/>
        <w:rPr>
          <w:rStyle w:val="35"/>
          <w:rFonts w:ascii="仿宋" w:hAnsi="仿宋" w:eastAsia="仿宋"/>
          <w:b w:val="0"/>
          <w:bCs w:val="0"/>
        </w:rPr>
      </w:pPr>
      <w:bookmarkStart w:id="59" w:name="_Toc15396621"/>
      <w:r>
        <w:rPr>
          <w:rStyle w:val="35"/>
          <w:rFonts w:hint="eastAsia" w:ascii="仿宋" w:hAnsi="仿宋" w:eastAsia="仿宋"/>
          <w:b w:val="0"/>
          <w:bCs w:val="0"/>
        </w:rPr>
        <w:t>三、支出总表</w:t>
      </w:r>
      <w:bookmarkEnd w:id="59"/>
    </w:p>
    <w:p>
      <w:pPr>
        <w:pStyle w:val="5"/>
        <w:pageBreakBefore w:val="0"/>
        <w:kinsoku/>
        <w:wordWrap/>
        <w:overflowPunct/>
        <w:topLinePunct w:val="0"/>
        <w:bidi w:val="0"/>
        <w:spacing w:line="576" w:lineRule="exact"/>
        <w:ind w:left="0" w:leftChars="0" w:firstLine="640" w:firstLineChars="200"/>
        <w:rPr>
          <w:rStyle w:val="35"/>
          <w:rFonts w:ascii="仿宋" w:hAnsi="仿宋" w:eastAsia="仿宋"/>
          <w:b w:val="0"/>
          <w:bCs w:val="0"/>
        </w:rPr>
      </w:pPr>
      <w:bookmarkStart w:id="60" w:name="_Toc15396622"/>
      <w:r>
        <w:rPr>
          <w:rStyle w:val="35"/>
          <w:rFonts w:hint="eastAsia" w:ascii="仿宋" w:hAnsi="仿宋" w:eastAsia="仿宋"/>
          <w:b w:val="0"/>
          <w:bCs w:val="0"/>
        </w:rPr>
        <w:t>四、财政拨款收入支出决算总表</w:t>
      </w:r>
      <w:bookmarkEnd w:id="60"/>
    </w:p>
    <w:p>
      <w:pPr>
        <w:pStyle w:val="5"/>
        <w:pageBreakBefore w:val="0"/>
        <w:kinsoku/>
        <w:wordWrap/>
        <w:overflowPunct/>
        <w:topLinePunct w:val="0"/>
        <w:bidi w:val="0"/>
        <w:spacing w:line="576" w:lineRule="exact"/>
        <w:ind w:left="0" w:leftChars="0" w:firstLine="640" w:firstLineChars="200"/>
      </w:pPr>
      <w:bookmarkStart w:id="61" w:name="_Toc15396623"/>
      <w:r>
        <w:rPr>
          <w:rStyle w:val="35"/>
          <w:rFonts w:hint="eastAsia" w:ascii="仿宋" w:hAnsi="仿宋" w:eastAsia="仿宋"/>
          <w:b w:val="0"/>
          <w:bCs w:val="0"/>
        </w:rPr>
        <w:t>五、财政拨款支出决算明细表（政府经济分类科目）</w:t>
      </w:r>
      <w:bookmarkEnd w:id="61"/>
    </w:p>
    <w:p>
      <w:pPr>
        <w:pStyle w:val="5"/>
        <w:pageBreakBefore w:val="0"/>
        <w:kinsoku/>
        <w:wordWrap/>
        <w:overflowPunct/>
        <w:topLinePunct w:val="0"/>
        <w:bidi w:val="0"/>
        <w:spacing w:line="576" w:lineRule="exact"/>
        <w:ind w:left="0" w:leftChars="0" w:firstLine="640" w:firstLineChars="200"/>
      </w:pPr>
      <w:bookmarkStart w:id="62" w:name="_Toc15396624"/>
      <w:r>
        <w:rPr>
          <w:rStyle w:val="35"/>
          <w:rFonts w:hint="eastAsia" w:ascii="仿宋" w:hAnsi="仿宋" w:eastAsia="仿宋"/>
          <w:b w:val="0"/>
          <w:bCs w:val="0"/>
        </w:rPr>
        <w:t>六、</w:t>
      </w:r>
      <w:r>
        <w:rPr>
          <w:rFonts w:hint="eastAsia"/>
        </w:rPr>
        <w:t>一</w:t>
      </w:r>
      <w:r>
        <w:rPr>
          <w:rStyle w:val="35"/>
          <w:rFonts w:hint="eastAsia" w:ascii="仿宋" w:hAnsi="仿宋" w:eastAsia="仿宋"/>
          <w:b w:val="0"/>
          <w:bCs w:val="0"/>
        </w:rPr>
        <w:t>般公共预算财政拨款支出决算表</w:t>
      </w:r>
      <w:bookmarkEnd w:id="62"/>
    </w:p>
    <w:p>
      <w:pPr>
        <w:pStyle w:val="5"/>
        <w:pageBreakBefore w:val="0"/>
        <w:kinsoku/>
        <w:wordWrap/>
        <w:overflowPunct/>
        <w:topLinePunct w:val="0"/>
        <w:bidi w:val="0"/>
        <w:spacing w:line="576" w:lineRule="exact"/>
        <w:ind w:left="0" w:leftChars="0" w:firstLine="640" w:firstLineChars="200"/>
      </w:pPr>
      <w:bookmarkStart w:id="63" w:name="_Toc15396625"/>
      <w:r>
        <w:rPr>
          <w:rStyle w:val="35"/>
          <w:rFonts w:hint="eastAsia" w:ascii="仿宋" w:hAnsi="仿宋" w:eastAsia="仿宋"/>
          <w:b w:val="0"/>
          <w:bCs w:val="0"/>
        </w:rPr>
        <w:t>七、</w:t>
      </w:r>
      <w:r>
        <w:rPr>
          <w:rFonts w:hint="eastAsia"/>
        </w:rPr>
        <w:t>一</w:t>
      </w:r>
      <w:r>
        <w:rPr>
          <w:rStyle w:val="35"/>
          <w:rFonts w:hint="eastAsia" w:ascii="仿宋" w:hAnsi="仿宋" w:eastAsia="仿宋"/>
          <w:b w:val="0"/>
          <w:bCs w:val="0"/>
        </w:rPr>
        <w:t>般公共预算财政拨款支出决算明细表</w:t>
      </w:r>
      <w:bookmarkEnd w:id="63"/>
    </w:p>
    <w:p>
      <w:pPr>
        <w:pStyle w:val="5"/>
        <w:pageBreakBefore w:val="0"/>
        <w:kinsoku/>
        <w:wordWrap/>
        <w:overflowPunct/>
        <w:topLinePunct w:val="0"/>
        <w:bidi w:val="0"/>
        <w:spacing w:line="576" w:lineRule="exact"/>
        <w:ind w:left="0" w:leftChars="0" w:firstLine="640" w:firstLineChars="200"/>
      </w:pPr>
      <w:bookmarkStart w:id="64" w:name="_Toc15396626"/>
      <w:r>
        <w:rPr>
          <w:rStyle w:val="35"/>
          <w:rFonts w:hint="eastAsia" w:ascii="仿宋" w:hAnsi="仿宋" w:eastAsia="仿宋"/>
          <w:b w:val="0"/>
          <w:bCs w:val="0"/>
        </w:rPr>
        <w:t>八、</w:t>
      </w:r>
      <w:r>
        <w:rPr>
          <w:rFonts w:hint="eastAsia"/>
        </w:rPr>
        <w:t>一</w:t>
      </w:r>
      <w:r>
        <w:rPr>
          <w:rStyle w:val="35"/>
          <w:rFonts w:hint="eastAsia" w:ascii="仿宋" w:hAnsi="仿宋" w:eastAsia="仿宋"/>
          <w:b w:val="0"/>
          <w:bCs w:val="0"/>
        </w:rPr>
        <w:t>般公共预算财政拨款基本支出决算表</w:t>
      </w:r>
      <w:bookmarkEnd w:id="64"/>
    </w:p>
    <w:p>
      <w:pPr>
        <w:pStyle w:val="5"/>
        <w:pageBreakBefore w:val="0"/>
        <w:kinsoku/>
        <w:wordWrap/>
        <w:overflowPunct/>
        <w:topLinePunct w:val="0"/>
        <w:bidi w:val="0"/>
        <w:spacing w:line="576" w:lineRule="exact"/>
        <w:ind w:left="0" w:leftChars="0" w:firstLine="640" w:firstLineChars="200"/>
      </w:pPr>
      <w:bookmarkStart w:id="65" w:name="_Toc15396627"/>
      <w:r>
        <w:rPr>
          <w:rStyle w:val="35"/>
          <w:rFonts w:hint="eastAsia" w:ascii="仿宋" w:hAnsi="仿宋" w:eastAsia="仿宋"/>
          <w:b w:val="0"/>
          <w:bCs w:val="0"/>
        </w:rPr>
        <w:t>九、</w:t>
      </w:r>
      <w:r>
        <w:rPr>
          <w:rFonts w:hint="eastAsia"/>
        </w:rPr>
        <w:t>一</w:t>
      </w:r>
      <w:r>
        <w:rPr>
          <w:rStyle w:val="35"/>
          <w:rFonts w:hint="eastAsia" w:ascii="仿宋" w:hAnsi="仿宋" w:eastAsia="仿宋"/>
          <w:b w:val="0"/>
          <w:bCs w:val="0"/>
        </w:rPr>
        <w:t>般公共预算财政拨款项目支出决算表</w:t>
      </w:r>
      <w:bookmarkEnd w:id="65"/>
    </w:p>
    <w:p>
      <w:pPr>
        <w:pStyle w:val="5"/>
        <w:pageBreakBefore w:val="0"/>
        <w:kinsoku/>
        <w:wordWrap/>
        <w:overflowPunct/>
        <w:topLinePunct w:val="0"/>
        <w:bidi w:val="0"/>
        <w:spacing w:line="576" w:lineRule="exact"/>
        <w:ind w:left="0" w:leftChars="0" w:firstLine="640" w:firstLineChars="200"/>
      </w:pPr>
      <w:bookmarkStart w:id="66" w:name="_Toc15396628"/>
      <w:r>
        <w:rPr>
          <w:rStyle w:val="35"/>
          <w:rFonts w:hint="eastAsia" w:ascii="仿宋" w:hAnsi="仿宋" w:eastAsia="仿宋"/>
          <w:b w:val="0"/>
          <w:bCs w:val="0"/>
        </w:rPr>
        <w:t>十、</w:t>
      </w:r>
      <w:r>
        <w:rPr>
          <w:rFonts w:hint="eastAsia"/>
        </w:rPr>
        <w:t>一</w:t>
      </w:r>
      <w:r>
        <w:rPr>
          <w:rStyle w:val="35"/>
          <w:rFonts w:hint="eastAsia" w:ascii="仿宋" w:hAnsi="仿宋" w:eastAsia="仿宋"/>
          <w:b w:val="0"/>
          <w:bCs w:val="0"/>
        </w:rPr>
        <w:t>般公共预算财政拨款“三公”经费支出决算表</w:t>
      </w:r>
      <w:bookmarkEnd w:id="66"/>
    </w:p>
    <w:p>
      <w:pPr>
        <w:pStyle w:val="5"/>
        <w:pageBreakBefore w:val="0"/>
        <w:kinsoku/>
        <w:wordWrap/>
        <w:overflowPunct/>
        <w:topLinePunct w:val="0"/>
        <w:bidi w:val="0"/>
        <w:spacing w:line="576" w:lineRule="exact"/>
        <w:ind w:left="0" w:leftChars="0" w:firstLine="640" w:firstLineChars="200"/>
        <w:rPr>
          <w:b w:val="0"/>
          <w:bCs w:val="0"/>
        </w:rPr>
      </w:pPr>
      <w:bookmarkStart w:id="67" w:name="_Toc15396629"/>
      <w:r>
        <w:rPr>
          <w:rStyle w:val="35"/>
          <w:rFonts w:hint="eastAsia" w:ascii="仿宋" w:hAnsi="仿宋" w:eastAsia="仿宋"/>
          <w:b w:val="0"/>
          <w:bCs w:val="0"/>
        </w:rPr>
        <w:t>十一、</w:t>
      </w:r>
      <w:r>
        <w:rPr>
          <w:rFonts w:hint="eastAsia"/>
          <w:b w:val="0"/>
          <w:bCs w:val="0"/>
        </w:rPr>
        <w:t>政</w:t>
      </w:r>
      <w:r>
        <w:rPr>
          <w:rStyle w:val="35"/>
          <w:rFonts w:hint="eastAsia" w:ascii="仿宋" w:hAnsi="仿宋" w:eastAsia="仿宋"/>
          <w:b w:val="0"/>
          <w:bCs w:val="0"/>
        </w:rPr>
        <w:t>府性基金预算财政拨款收入支出决算表</w:t>
      </w:r>
      <w:bookmarkEnd w:id="67"/>
    </w:p>
    <w:p>
      <w:pPr>
        <w:pStyle w:val="5"/>
        <w:pageBreakBefore w:val="0"/>
        <w:kinsoku/>
        <w:wordWrap/>
        <w:overflowPunct/>
        <w:topLinePunct w:val="0"/>
        <w:bidi w:val="0"/>
        <w:spacing w:line="576" w:lineRule="exact"/>
        <w:ind w:left="0" w:leftChars="0" w:firstLine="640" w:firstLineChars="200"/>
        <w:rPr>
          <w:b w:val="0"/>
          <w:bCs w:val="0"/>
        </w:rPr>
      </w:pPr>
      <w:bookmarkStart w:id="68" w:name="_Toc15396630"/>
      <w:r>
        <w:rPr>
          <w:rStyle w:val="35"/>
          <w:rFonts w:hint="eastAsia" w:ascii="仿宋" w:hAnsi="仿宋" w:eastAsia="仿宋"/>
          <w:b w:val="0"/>
          <w:bCs w:val="0"/>
        </w:rPr>
        <w:t>十二、</w:t>
      </w:r>
      <w:r>
        <w:rPr>
          <w:rFonts w:hint="eastAsia"/>
          <w:b w:val="0"/>
          <w:bCs w:val="0"/>
        </w:rPr>
        <w:t>政</w:t>
      </w:r>
      <w:r>
        <w:rPr>
          <w:rStyle w:val="35"/>
          <w:rFonts w:hint="eastAsia" w:ascii="仿宋" w:hAnsi="仿宋" w:eastAsia="仿宋"/>
          <w:b w:val="0"/>
          <w:bCs w:val="0"/>
        </w:rPr>
        <w:t>府性基金预算财政拨款“三公”经费支出决算表</w:t>
      </w:r>
      <w:bookmarkEnd w:id="68"/>
    </w:p>
    <w:p>
      <w:pPr>
        <w:pStyle w:val="5"/>
        <w:pageBreakBefore w:val="0"/>
        <w:kinsoku/>
        <w:wordWrap/>
        <w:overflowPunct/>
        <w:topLinePunct w:val="0"/>
        <w:bidi w:val="0"/>
        <w:spacing w:line="576" w:lineRule="exact"/>
        <w:ind w:left="0" w:leftChars="0" w:firstLine="640" w:firstLineChars="200"/>
        <w:rPr>
          <w:rStyle w:val="35"/>
          <w:rFonts w:ascii="仿宋" w:hAnsi="仿宋" w:eastAsia="仿宋"/>
          <w:b w:val="0"/>
          <w:bCs w:val="0"/>
        </w:rPr>
      </w:pPr>
      <w:bookmarkStart w:id="69" w:name="_Toc15396631"/>
      <w:r>
        <w:rPr>
          <w:rStyle w:val="35"/>
          <w:rFonts w:hint="eastAsia" w:ascii="仿宋" w:hAnsi="仿宋" w:eastAsia="仿宋"/>
          <w:b w:val="0"/>
          <w:bCs w:val="0"/>
        </w:rPr>
        <w:t>十三、</w:t>
      </w:r>
      <w:r>
        <w:rPr>
          <w:rFonts w:hint="eastAsia"/>
          <w:b w:val="0"/>
          <w:bCs w:val="0"/>
        </w:rPr>
        <w:t>国</w:t>
      </w:r>
      <w:r>
        <w:rPr>
          <w:rStyle w:val="35"/>
          <w:rFonts w:hint="eastAsia" w:ascii="仿宋" w:hAnsi="仿宋" w:eastAsia="仿宋"/>
          <w:b w:val="0"/>
          <w:bCs w:val="0"/>
        </w:rPr>
        <w:t>有资本经营预算支出决算表</w:t>
      </w:r>
      <w:bookmarkEnd w:id="69"/>
    </w:p>
    <w:p>
      <w:pPr>
        <w:ind w:firstLine="320" w:firstLineChars="100"/>
        <w:rPr>
          <w:rStyle w:val="35"/>
          <w:rFonts w:hint="eastAsia" w:ascii="仿宋" w:hAnsi="仿宋" w:eastAsia="仿宋"/>
          <w:b w:val="0"/>
          <w:bCs w:val="0"/>
          <w:lang w:val="en-US" w:eastAsia="zh-CN"/>
        </w:rPr>
      </w:pPr>
      <w:r>
        <w:rPr>
          <w:rStyle w:val="35"/>
          <w:rFonts w:hint="eastAsia" w:ascii="仿宋" w:hAnsi="仿宋" w:eastAsia="仿宋"/>
          <w:b w:val="0"/>
          <w:bCs w:val="0"/>
          <w:lang w:val="en-US" w:eastAsia="zh-CN"/>
        </w:rPr>
        <w:t>十四、整体支出绩效评价打分表</w:t>
      </w:r>
    </w:p>
    <w:p>
      <w:pPr>
        <w:ind w:firstLine="320" w:firstLineChars="100"/>
      </w:pPr>
      <w:r>
        <w:rPr>
          <w:rStyle w:val="35"/>
          <w:rFonts w:hint="eastAsia" w:ascii="仿宋" w:hAnsi="仿宋" w:eastAsia="仿宋"/>
          <w:b w:val="0"/>
          <w:bCs w:val="0"/>
          <w:lang w:val="en-US" w:eastAsia="zh-CN"/>
        </w:rPr>
        <w:t>十五、项目支出绩效评价打分表</w:t>
      </w:r>
    </w:p>
    <w:sectPr>
      <w:headerReference r:id="rId5" w:type="first"/>
      <w:footerReference r:id="rId8" w:type="first"/>
      <w:headerReference r:id="rId3" w:type="default"/>
      <w:footerReference r:id="rId6" w:type="default"/>
      <w:headerReference r:id="rId4" w:type="even"/>
      <w:footerReference r:id="rId7" w:type="even"/>
      <w:pgSz w:w="11906" w:h="16838"/>
      <w:pgMar w:top="0" w:right="1800" w:bottom="1440" w:left="1800" w:header="851" w:footer="992" w:gutter="0"/>
      <w:pgNumType w:start="1"/>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
    <w:altName w:val="Times New Roman"/>
    <w:panose1 w:val="00000000000000000000"/>
    <w:charset w:val="00"/>
    <w:family w:val="auto"/>
    <w:pitch w:val="default"/>
    <w:sig w:usb0="00000000" w:usb1="00000000" w:usb2="00000000" w:usb3="00000000" w:csb0="00040001" w:csb1="00000000"/>
  </w:font>
  <w:font w:name="方正小标宋简体">
    <w:panose1 w:val="03000509000000000000"/>
    <w:charset w:val="86"/>
    <w:family w:val="script"/>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994781956"/>
    </w:sdtPr>
    <w:sdtContent>
      <w:p>
        <w:pPr>
          <w:pStyle w:val="10"/>
          <w:ind w:firstLine="360"/>
        </w:pPr>
        <w:r>
          <w:fldChar w:fldCharType="begin"/>
        </w:r>
        <w:r>
          <w:instrText xml:space="preserve">PAGE   \* MERGEFORMAT</w:instrText>
        </w:r>
        <w:r>
          <w:fldChar w:fldCharType="separate"/>
        </w:r>
        <w:r>
          <w:rPr>
            <w:lang w:val="zh-CN"/>
          </w:rPr>
          <w:t>56</w:t>
        </w:r>
        <w:r>
          <w:rPr>
            <w:lang w:val="zh-CN"/>
          </w:rPr>
          <w:fldChar w:fldCharType="end"/>
        </w:r>
      </w:p>
    </w:sdtContent>
  </w:sdt>
  <w:p>
    <w:pPr>
      <w:pStyle w:val="10"/>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57361"/>
    <w:multiLevelType w:val="singleLevel"/>
    <w:tmpl w:val="0EB57361"/>
    <w:lvl w:ilvl="0" w:tentative="0">
      <w:start w:val="2"/>
      <w:numFmt w:val="chineseCounting"/>
      <w:suff w:val="space"/>
      <w:lvlText w:val="第%1部分"/>
      <w:lvlJc w:val="left"/>
      <w:rPr>
        <w:rFonts w:hint="eastAsia"/>
      </w:rPr>
    </w:lvl>
  </w:abstractNum>
  <w:abstractNum w:abstractNumId="1">
    <w:nsid w:val="24B311BE"/>
    <w:multiLevelType w:val="multilevel"/>
    <w:tmpl w:val="24B311BE"/>
    <w:lvl w:ilvl="0" w:tentative="0">
      <w:start w:val="1"/>
      <w:numFmt w:val="decimal"/>
      <w:lvlText w:val="%1、"/>
      <w:lvlJc w:val="left"/>
      <w:pPr>
        <w:ind w:left="1915" w:hanging="1275"/>
      </w:pPr>
      <w:rPr>
        <w:rFonts w:hint="default"/>
        <w:color w:val="00000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abstractNum w:abstractNumId="2">
    <w:nsid w:val="574E4466"/>
    <w:multiLevelType w:val="singleLevel"/>
    <w:tmpl w:val="574E4466"/>
    <w:lvl w:ilvl="0" w:tentative="0">
      <w:start w:val="1"/>
      <w:numFmt w:val="chineseCounting"/>
      <w:suff w:val="nothing"/>
      <w:lvlText w:val="（%1）"/>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F1361C"/>
    <w:rsid w:val="000104C0"/>
    <w:rsid w:val="00017A2D"/>
    <w:rsid w:val="000200BB"/>
    <w:rsid w:val="000222C6"/>
    <w:rsid w:val="0002549F"/>
    <w:rsid w:val="0002620A"/>
    <w:rsid w:val="00031772"/>
    <w:rsid w:val="000338F6"/>
    <w:rsid w:val="00040440"/>
    <w:rsid w:val="00041426"/>
    <w:rsid w:val="00046D14"/>
    <w:rsid w:val="00051EB9"/>
    <w:rsid w:val="00057036"/>
    <w:rsid w:val="0006487A"/>
    <w:rsid w:val="00065F8F"/>
    <w:rsid w:val="00066825"/>
    <w:rsid w:val="000768F2"/>
    <w:rsid w:val="00081AE2"/>
    <w:rsid w:val="0009184B"/>
    <w:rsid w:val="000952DC"/>
    <w:rsid w:val="0009593C"/>
    <w:rsid w:val="00096CC6"/>
    <w:rsid w:val="000B0396"/>
    <w:rsid w:val="000B047F"/>
    <w:rsid w:val="000B569E"/>
    <w:rsid w:val="000B5923"/>
    <w:rsid w:val="000B5A48"/>
    <w:rsid w:val="000B6FF3"/>
    <w:rsid w:val="000C3467"/>
    <w:rsid w:val="000C3CA6"/>
    <w:rsid w:val="000D1267"/>
    <w:rsid w:val="000D1D50"/>
    <w:rsid w:val="000D5782"/>
    <w:rsid w:val="000D6AEC"/>
    <w:rsid w:val="000E6613"/>
    <w:rsid w:val="000E7119"/>
    <w:rsid w:val="00114E9B"/>
    <w:rsid w:val="0013386F"/>
    <w:rsid w:val="001422C0"/>
    <w:rsid w:val="0014729F"/>
    <w:rsid w:val="00147522"/>
    <w:rsid w:val="001531FD"/>
    <w:rsid w:val="001573B3"/>
    <w:rsid w:val="00157BAB"/>
    <w:rsid w:val="001654D1"/>
    <w:rsid w:val="001804A5"/>
    <w:rsid w:val="0018106D"/>
    <w:rsid w:val="001877A7"/>
    <w:rsid w:val="00191536"/>
    <w:rsid w:val="00196687"/>
    <w:rsid w:val="0019686A"/>
    <w:rsid w:val="001A0203"/>
    <w:rsid w:val="001A058D"/>
    <w:rsid w:val="001A5D89"/>
    <w:rsid w:val="001B3422"/>
    <w:rsid w:val="001B6494"/>
    <w:rsid w:val="001C071D"/>
    <w:rsid w:val="001C0962"/>
    <w:rsid w:val="001D1352"/>
    <w:rsid w:val="001D28F0"/>
    <w:rsid w:val="001D7531"/>
    <w:rsid w:val="001E737D"/>
    <w:rsid w:val="001F00CF"/>
    <w:rsid w:val="001F0592"/>
    <w:rsid w:val="001F1B4C"/>
    <w:rsid w:val="001F7506"/>
    <w:rsid w:val="002006CD"/>
    <w:rsid w:val="00202B36"/>
    <w:rsid w:val="00204B7A"/>
    <w:rsid w:val="00210C35"/>
    <w:rsid w:val="0021101A"/>
    <w:rsid w:val="002159BF"/>
    <w:rsid w:val="00216E60"/>
    <w:rsid w:val="00220536"/>
    <w:rsid w:val="00232B9B"/>
    <w:rsid w:val="00235629"/>
    <w:rsid w:val="00247015"/>
    <w:rsid w:val="002549D7"/>
    <w:rsid w:val="00260C38"/>
    <w:rsid w:val="002615DA"/>
    <w:rsid w:val="002616C0"/>
    <w:rsid w:val="00262ECD"/>
    <w:rsid w:val="002662AA"/>
    <w:rsid w:val="00272476"/>
    <w:rsid w:val="002739FD"/>
    <w:rsid w:val="00273B9F"/>
    <w:rsid w:val="00280068"/>
    <w:rsid w:val="0028008D"/>
    <w:rsid w:val="00280496"/>
    <w:rsid w:val="00295495"/>
    <w:rsid w:val="00296D44"/>
    <w:rsid w:val="002A7EC3"/>
    <w:rsid w:val="002B0AC1"/>
    <w:rsid w:val="002B19D7"/>
    <w:rsid w:val="002B2613"/>
    <w:rsid w:val="002B642E"/>
    <w:rsid w:val="002D333E"/>
    <w:rsid w:val="002D5035"/>
    <w:rsid w:val="002E652F"/>
    <w:rsid w:val="002F1818"/>
    <w:rsid w:val="002F567B"/>
    <w:rsid w:val="003046CB"/>
    <w:rsid w:val="003061BB"/>
    <w:rsid w:val="00310E78"/>
    <w:rsid w:val="003112FA"/>
    <w:rsid w:val="00314B70"/>
    <w:rsid w:val="0031629F"/>
    <w:rsid w:val="0031696A"/>
    <w:rsid w:val="003216A9"/>
    <w:rsid w:val="00336B3E"/>
    <w:rsid w:val="003547B2"/>
    <w:rsid w:val="00362177"/>
    <w:rsid w:val="00363C66"/>
    <w:rsid w:val="0037013F"/>
    <w:rsid w:val="003706CA"/>
    <w:rsid w:val="00380C92"/>
    <w:rsid w:val="00385130"/>
    <w:rsid w:val="003866C7"/>
    <w:rsid w:val="003947D1"/>
    <w:rsid w:val="003A484F"/>
    <w:rsid w:val="003B0BE0"/>
    <w:rsid w:val="003B0C1B"/>
    <w:rsid w:val="003B18B7"/>
    <w:rsid w:val="003B688C"/>
    <w:rsid w:val="003C0291"/>
    <w:rsid w:val="003C11E8"/>
    <w:rsid w:val="003C39AE"/>
    <w:rsid w:val="003C7940"/>
    <w:rsid w:val="003C7B60"/>
    <w:rsid w:val="003D1FB2"/>
    <w:rsid w:val="003D306E"/>
    <w:rsid w:val="003D66DA"/>
    <w:rsid w:val="003E1310"/>
    <w:rsid w:val="003E325E"/>
    <w:rsid w:val="003E6F55"/>
    <w:rsid w:val="003F22E3"/>
    <w:rsid w:val="003F46DA"/>
    <w:rsid w:val="003F512D"/>
    <w:rsid w:val="00400B43"/>
    <w:rsid w:val="00406254"/>
    <w:rsid w:val="004160FD"/>
    <w:rsid w:val="00420FCF"/>
    <w:rsid w:val="00421FAC"/>
    <w:rsid w:val="004223DE"/>
    <w:rsid w:val="00423F95"/>
    <w:rsid w:val="004321AE"/>
    <w:rsid w:val="00434489"/>
    <w:rsid w:val="00436B8C"/>
    <w:rsid w:val="00437085"/>
    <w:rsid w:val="00443880"/>
    <w:rsid w:val="004464F4"/>
    <w:rsid w:val="00464525"/>
    <w:rsid w:val="00465C3B"/>
    <w:rsid w:val="00471401"/>
    <w:rsid w:val="00473F31"/>
    <w:rsid w:val="0047767A"/>
    <w:rsid w:val="00481F47"/>
    <w:rsid w:val="0048263A"/>
    <w:rsid w:val="00487E5D"/>
    <w:rsid w:val="00496DEF"/>
    <w:rsid w:val="004A711F"/>
    <w:rsid w:val="004B199D"/>
    <w:rsid w:val="004B2694"/>
    <w:rsid w:val="004B4690"/>
    <w:rsid w:val="004B53C5"/>
    <w:rsid w:val="004B754A"/>
    <w:rsid w:val="004C14C2"/>
    <w:rsid w:val="004C7902"/>
    <w:rsid w:val="004E0A2D"/>
    <w:rsid w:val="004E206B"/>
    <w:rsid w:val="004E69AD"/>
    <w:rsid w:val="004E6DF7"/>
    <w:rsid w:val="004E6E81"/>
    <w:rsid w:val="004F01AF"/>
    <w:rsid w:val="004F0FBD"/>
    <w:rsid w:val="004F3D73"/>
    <w:rsid w:val="004F4172"/>
    <w:rsid w:val="004F55AD"/>
    <w:rsid w:val="00505A47"/>
    <w:rsid w:val="005122F5"/>
    <w:rsid w:val="00512D0C"/>
    <w:rsid w:val="00512FDA"/>
    <w:rsid w:val="00514A4E"/>
    <w:rsid w:val="00520DA0"/>
    <w:rsid w:val="00527CDE"/>
    <w:rsid w:val="00530CAA"/>
    <w:rsid w:val="00535FD7"/>
    <w:rsid w:val="005367A8"/>
    <w:rsid w:val="00536FA9"/>
    <w:rsid w:val="00545850"/>
    <w:rsid w:val="0056244C"/>
    <w:rsid w:val="005664BB"/>
    <w:rsid w:val="005709C8"/>
    <w:rsid w:val="00570D43"/>
    <w:rsid w:val="0057481D"/>
    <w:rsid w:val="00582381"/>
    <w:rsid w:val="0058486E"/>
    <w:rsid w:val="005A177C"/>
    <w:rsid w:val="005A1CF3"/>
    <w:rsid w:val="005B4020"/>
    <w:rsid w:val="005B5EAA"/>
    <w:rsid w:val="005D1C84"/>
    <w:rsid w:val="005D1C8B"/>
    <w:rsid w:val="005D5CED"/>
    <w:rsid w:val="005D713B"/>
    <w:rsid w:val="005F011C"/>
    <w:rsid w:val="005F1A4C"/>
    <w:rsid w:val="005F65DE"/>
    <w:rsid w:val="00602947"/>
    <w:rsid w:val="00605688"/>
    <w:rsid w:val="006070AF"/>
    <w:rsid w:val="00607E6C"/>
    <w:rsid w:val="006101B1"/>
    <w:rsid w:val="00614E44"/>
    <w:rsid w:val="00616494"/>
    <w:rsid w:val="006172F9"/>
    <w:rsid w:val="00622830"/>
    <w:rsid w:val="006272AD"/>
    <w:rsid w:val="00630AEF"/>
    <w:rsid w:val="006325F8"/>
    <w:rsid w:val="00634C9A"/>
    <w:rsid w:val="006440E4"/>
    <w:rsid w:val="00646FCD"/>
    <w:rsid w:val="006536D6"/>
    <w:rsid w:val="0066343B"/>
    <w:rsid w:val="00663655"/>
    <w:rsid w:val="00664777"/>
    <w:rsid w:val="00664BED"/>
    <w:rsid w:val="006722BD"/>
    <w:rsid w:val="006748A4"/>
    <w:rsid w:val="00680DF6"/>
    <w:rsid w:val="00683E73"/>
    <w:rsid w:val="0068769F"/>
    <w:rsid w:val="00693887"/>
    <w:rsid w:val="006A3141"/>
    <w:rsid w:val="006A3CB8"/>
    <w:rsid w:val="006A5E34"/>
    <w:rsid w:val="006B2422"/>
    <w:rsid w:val="006B2B9A"/>
    <w:rsid w:val="006C1937"/>
    <w:rsid w:val="006D6E32"/>
    <w:rsid w:val="006E2EF0"/>
    <w:rsid w:val="006E3A39"/>
    <w:rsid w:val="006E5A85"/>
    <w:rsid w:val="006F020C"/>
    <w:rsid w:val="006F0D67"/>
    <w:rsid w:val="007127B7"/>
    <w:rsid w:val="007147E0"/>
    <w:rsid w:val="0072442D"/>
    <w:rsid w:val="0072478E"/>
    <w:rsid w:val="00724C54"/>
    <w:rsid w:val="007416B6"/>
    <w:rsid w:val="00746F48"/>
    <w:rsid w:val="00752EC0"/>
    <w:rsid w:val="0075404D"/>
    <w:rsid w:val="00754FFB"/>
    <w:rsid w:val="0076182A"/>
    <w:rsid w:val="00767B7E"/>
    <w:rsid w:val="007770C3"/>
    <w:rsid w:val="00777B21"/>
    <w:rsid w:val="007834E7"/>
    <w:rsid w:val="00784D24"/>
    <w:rsid w:val="0078534D"/>
    <w:rsid w:val="00785FBA"/>
    <w:rsid w:val="00786E4A"/>
    <w:rsid w:val="007875EB"/>
    <w:rsid w:val="0079426B"/>
    <w:rsid w:val="007956A6"/>
    <w:rsid w:val="007A5249"/>
    <w:rsid w:val="007A6782"/>
    <w:rsid w:val="007B79E6"/>
    <w:rsid w:val="007D312A"/>
    <w:rsid w:val="007D3F19"/>
    <w:rsid w:val="007E1697"/>
    <w:rsid w:val="007E23B0"/>
    <w:rsid w:val="007E631B"/>
    <w:rsid w:val="007E7F15"/>
    <w:rsid w:val="007F1991"/>
    <w:rsid w:val="007F2C2F"/>
    <w:rsid w:val="007F3728"/>
    <w:rsid w:val="007F55FC"/>
    <w:rsid w:val="007F5665"/>
    <w:rsid w:val="00800112"/>
    <w:rsid w:val="00804EBE"/>
    <w:rsid w:val="00807287"/>
    <w:rsid w:val="008147B0"/>
    <w:rsid w:val="00817413"/>
    <w:rsid w:val="008253BB"/>
    <w:rsid w:val="008301A6"/>
    <w:rsid w:val="0083706E"/>
    <w:rsid w:val="008423A5"/>
    <w:rsid w:val="008445EF"/>
    <w:rsid w:val="00845600"/>
    <w:rsid w:val="00850625"/>
    <w:rsid w:val="00850FEA"/>
    <w:rsid w:val="00853718"/>
    <w:rsid w:val="00855221"/>
    <w:rsid w:val="00860645"/>
    <w:rsid w:val="00871F71"/>
    <w:rsid w:val="00882188"/>
    <w:rsid w:val="00885AF4"/>
    <w:rsid w:val="008939CD"/>
    <w:rsid w:val="00894173"/>
    <w:rsid w:val="00894F06"/>
    <w:rsid w:val="00896AC8"/>
    <w:rsid w:val="008B6167"/>
    <w:rsid w:val="008B768C"/>
    <w:rsid w:val="008C4DB1"/>
    <w:rsid w:val="008C4EAF"/>
    <w:rsid w:val="008C5176"/>
    <w:rsid w:val="008C79E1"/>
    <w:rsid w:val="008C7FD0"/>
    <w:rsid w:val="008E0157"/>
    <w:rsid w:val="008E1462"/>
    <w:rsid w:val="008E1DE7"/>
    <w:rsid w:val="008E4DD7"/>
    <w:rsid w:val="008E707C"/>
    <w:rsid w:val="00900B08"/>
    <w:rsid w:val="00902155"/>
    <w:rsid w:val="00902FA3"/>
    <w:rsid w:val="00922E01"/>
    <w:rsid w:val="00923564"/>
    <w:rsid w:val="0092392E"/>
    <w:rsid w:val="009255B4"/>
    <w:rsid w:val="009315F9"/>
    <w:rsid w:val="0093757E"/>
    <w:rsid w:val="00946945"/>
    <w:rsid w:val="00951248"/>
    <w:rsid w:val="0095152F"/>
    <w:rsid w:val="00954C49"/>
    <w:rsid w:val="0097099F"/>
    <w:rsid w:val="00971997"/>
    <w:rsid w:val="00971FFC"/>
    <w:rsid w:val="00973115"/>
    <w:rsid w:val="0097612A"/>
    <w:rsid w:val="0098660A"/>
    <w:rsid w:val="009873FC"/>
    <w:rsid w:val="009931C3"/>
    <w:rsid w:val="009A269C"/>
    <w:rsid w:val="009A2B51"/>
    <w:rsid w:val="009B2C43"/>
    <w:rsid w:val="009B4EAE"/>
    <w:rsid w:val="009B6868"/>
    <w:rsid w:val="009B7573"/>
    <w:rsid w:val="009C22F4"/>
    <w:rsid w:val="009C2E98"/>
    <w:rsid w:val="009C65CD"/>
    <w:rsid w:val="009D3447"/>
    <w:rsid w:val="009D4711"/>
    <w:rsid w:val="009E6DE4"/>
    <w:rsid w:val="009F1185"/>
    <w:rsid w:val="009F18CD"/>
    <w:rsid w:val="009F2A13"/>
    <w:rsid w:val="00A04EB0"/>
    <w:rsid w:val="00A13CC1"/>
    <w:rsid w:val="00A16483"/>
    <w:rsid w:val="00A16847"/>
    <w:rsid w:val="00A237D8"/>
    <w:rsid w:val="00A26646"/>
    <w:rsid w:val="00A268C4"/>
    <w:rsid w:val="00A307CD"/>
    <w:rsid w:val="00A40A00"/>
    <w:rsid w:val="00A4142F"/>
    <w:rsid w:val="00A46E2B"/>
    <w:rsid w:val="00A5399E"/>
    <w:rsid w:val="00A552BD"/>
    <w:rsid w:val="00A56DF2"/>
    <w:rsid w:val="00A67AB5"/>
    <w:rsid w:val="00A91760"/>
    <w:rsid w:val="00A92566"/>
    <w:rsid w:val="00A93B00"/>
    <w:rsid w:val="00A93C21"/>
    <w:rsid w:val="00AB376B"/>
    <w:rsid w:val="00AB3F08"/>
    <w:rsid w:val="00AB5254"/>
    <w:rsid w:val="00AB63E0"/>
    <w:rsid w:val="00AC329E"/>
    <w:rsid w:val="00AC39E7"/>
    <w:rsid w:val="00AC3C6A"/>
    <w:rsid w:val="00AD3389"/>
    <w:rsid w:val="00AD3B97"/>
    <w:rsid w:val="00AD5620"/>
    <w:rsid w:val="00AD6EFD"/>
    <w:rsid w:val="00AD7C1B"/>
    <w:rsid w:val="00AE16BA"/>
    <w:rsid w:val="00AE1EBE"/>
    <w:rsid w:val="00AE6F01"/>
    <w:rsid w:val="00AE7D5A"/>
    <w:rsid w:val="00AF6788"/>
    <w:rsid w:val="00B03C9D"/>
    <w:rsid w:val="00B056CE"/>
    <w:rsid w:val="00B060AE"/>
    <w:rsid w:val="00B10517"/>
    <w:rsid w:val="00B14E76"/>
    <w:rsid w:val="00B161B8"/>
    <w:rsid w:val="00B2048C"/>
    <w:rsid w:val="00B20D4D"/>
    <w:rsid w:val="00B24A02"/>
    <w:rsid w:val="00B26802"/>
    <w:rsid w:val="00B310B9"/>
    <w:rsid w:val="00B33A24"/>
    <w:rsid w:val="00B35F3F"/>
    <w:rsid w:val="00B36CBB"/>
    <w:rsid w:val="00B37E01"/>
    <w:rsid w:val="00B425E0"/>
    <w:rsid w:val="00B440AA"/>
    <w:rsid w:val="00B44B70"/>
    <w:rsid w:val="00B47EE0"/>
    <w:rsid w:val="00B53C56"/>
    <w:rsid w:val="00B56CCA"/>
    <w:rsid w:val="00B64A11"/>
    <w:rsid w:val="00B66421"/>
    <w:rsid w:val="00B77EA6"/>
    <w:rsid w:val="00B81598"/>
    <w:rsid w:val="00B841F1"/>
    <w:rsid w:val="00B868CB"/>
    <w:rsid w:val="00B944D6"/>
    <w:rsid w:val="00B95BF7"/>
    <w:rsid w:val="00BA7541"/>
    <w:rsid w:val="00BB3613"/>
    <w:rsid w:val="00BB4DF0"/>
    <w:rsid w:val="00BC289F"/>
    <w:rsid w:val="00BC3055"/>
    <w:rsid w:val="00BC5361"/>
    <w:rsid w:val="00BC5460"/>
    <w:rsid w:val="00BC6B50"/>
    <w:rsid w:val="00BD0E25"/>
    <w:rsid w:val="00BD133D"/>
    <w:rsid w:val="00BD2344"/>
    <w:rsid w:val="00BD3C42"/>
    <w:rsid w:val="00BD7012"/>
    <w:rsid w:val="00BF386C"/>
    <w:rsid w:val="00BF5BD6"/>
    <w:rsid w:val="00C0347B"/>
    <w:rsid w:val="00C03E31"/>
    <w:rsid w:val="00C10F64"/>
    <w:rsid w:val="00C12D8B"/>
    <w:rsid w:val="00C30965"/>
    <w:rsid w:val="00C33E72"/>
    <w:rsid w:val="00C354B2"/>
    <w:rsid w:val="00C35554"/>
    <w:rsid w:val="00C367B0"/>
    <w:rsid w:val="00C42709"/>
    <w:rsid w:val="00C447AE"/>
    <w:rsid w:val="00C533CC"/>
    <w:rsid w:val="00C5751C"/>
    <w:rsid w:val="00C61BFC"/>
    <w:rsid w:val="00C62B85"/>
    <w:rsid w:val="00C63077"/>
    <w:rsid w:val="00C65438"/>
    <w:rsid w:val="00C70353"/>
    <w:rsid w:val="00C91CBB"/>
    <w:rsid w:val="00C92729"/>
    <w:rsid w:val="00C9798B"/>
    <w:rsid w:val="00CA0AE6"/>
    <w:rsid w:val="00CA7498"/>
    <w:rsid w:val="00CC09B6"/>
    <w:rsid w:val="00CC1338"/>
    <w:rsid w:val="00CC1EFA"/>
    <w:rsid w:val="00CC47D0"/>
    <w:rsid w:val="00CC666F"/>
    <w:rsid w:val="00CD1E3F"/>
    <w:rsid w:val="00CE44F6"/>
    <w:rsid w:val="00CE49DA"/>
    <w:rsid w:val="00CE7B61"/>
    <w:rsid w:val="00CF005C"/>
    <w:rsid w:val="00CF7849"/>
    <w:rsid w:val="00D00095"/>
    <w:rsid w:val="00D20133"/>
    <w:rsid w:val="00D20620"/>
    <w:rsid w:val="00D26091"/>
    <w:rsid w:val="00D26674"/>
    <w:rsid w:val="00D34E7C"/>
    <w:rsid w:val="00D35489"/>
    <w:rsid w:val="00D42578"/>
    <w:rsid w:val="00D51276"/>
    <w:rsid w:val="00D5716C"/>
    <w:rsid w:val="00D660D4"/>
    <w:rsid w:val="00D7035F"/>
    <w:rsid w:val="00D818B3"/>
    <w:rsid w:val="00DA3D9C"/>
    <w:rsid w:val="00DA65AC"/>
    <w:rsid w:val="00DA72ED"/>
    <w:rsid w:val="00DB1913"/>
    <w:rsid w:val="00DB2D16"/>
    <w:rsid w:val="00DB728E"/>
    <w:rsid w:val="00DB72D3"/>
    <w:rsid w:val="00DC410D"/>
    <w:rsid w:val="00DC5EA0"/>
    <w:rsid w:val="00DC68CA"/>
    <w:rsid w:val="00DC7CBA"/>
    <w:rsid w:val="00DD3F2A"/>
    <w:rsid w:val="00DD73B7"/>
    <w:rsid w:val="00DE0551"/>
    <w:rsid w:val="00DE7830"/>
    <w:rsid w:val="00DF28BC"/>
    <w:rsid w:val="00DF34B9"/>
    <w:rsid w:val="00DF6CEC"/>
    <w:rsid w:val="00E01053"/>
    <w:rsid w:val="00E07ACF"/>
    <w:rsid w:val="00E1549F"/>
    <w:rsid w:val="00E22400"/>
    <w:rsid w:val="00E269EF"/>
    <w:rsid w:val="00E331A1"/>
    <w:rsid w:val="00E33202"/>
    <w:rsid w:val="00E336A9"/>
    <w:rsid w:val="00E50624"/>
    <w:rsid w:val="00E509F8"/>
    <w:rsid w:val="00E568DF"/>
    <w:rsid w:val="00E5787D"/>
    <w:rsid w:val="00E64269"/>
    <w:rsid w:val="00E82267"/>
    <w:rsid w:val="00E83834"/>
    <w:rsid w:val="00E91A0E"/>
    <w:rsid w:val="00E95075"/>
    <w:rsid w:val="00EA010F"/>
    <w:rsid w:val="00EB58BA"/>
    <w:rsid w:val="00EB60CA"/>
    <w:rsid w:val="00EC030F"/>
    <w:rsid w:val="00ED1417"/>
    <w:rsid w:val="00ED1B63"/>
    <w:rsid w:val="00ED3300"/>
    <w:rsid w:val="00ED3854"/>
    <w:rsid w:val="00ED3C1F"/>
    <w:rsid w:val="00ED4085"/>
    <w:rsid w:val="00ED420E"/>
    <w:rsid w:val="00EE17CB"/>
    <w:rsid w:val="00EE2F57"/>
    <w:rsid w:val="00EE3C33"/>
    <w:rsid w:val="00EE5BC9"/>
    <w:rsid w:val="00EF4C34"/>
    <w:rsid w:val="00EF5E9D"/>
    <w:rsid w:val="00EF77C6"/>
    <w:rsid w:val="00F05438"/>
    <w:rsid w:val="00F10550"/>
    <w:rsid w:val="00F1361C"/>
    <w:rsid w:val="00F160C7"/>
    <w:rsid w:val="00F23C26"/>
    <w:rsid w:val="00F25172"/>
    <w:rsid w:val="00F306CC"/>
    <w:rsid w:val="00F33E8A"/>
    <w:rsid w:val="00F36D8F"/>
    <w:rsid w:val="00F417B1"/>
    <w:rsid w:val="00F42804"/>
    <w:rsid w:val="00F456CC"/>
    <w:rsid w:val="00F47B4C"/>
    <w:rsid w:val="00F57417"/>
    <w:rsid w:val="00F602DF"/>
    <w:rsid w:val="00F65461"/>
    <w:rsid w:val="00F666CB"/>
    <w:rsid w:val="00F81FD9"/>
    <w:rsid w:val="00F841AA"/>
    <w:rsid w:val="00F87475"/>
    <w:rsid w:val="00F91C5D"/>
    <w:rsid w:val="00FA23E8"/>
    <w:rsid w:val="00FA4AAA"/>
    <w:rsid w:val="00FA6A6F"/>
    <w:rsid w:val="00FB67B5"/>
    <w:rsid w:val="00FB69A6"/>
    <w:rsid w:val="00FD3CC1"/>
    <w:rsid w:val="00FD6DF2"/>
    <w:rsid w:val="00FE1F0A"/>
    <w:rsid w:val="00FF1301"/>
    <w:rsid w:val="00FF1843"/>
    <w:rsid w:val="00FF1E02"/>
    <w:rsid w:val="00FF30B4"/>
    <w:rsid w:val="01B113B7"/>
    <w:rsid w:val="01C9475F"/>
    <w:rsid w:val="02356773"/>
    <w:rsid w:val="02942105"/>
    <w:rsid w:val="02FC35D0"/>
    <w:rsid w:val="0330028C"/>
    <w:rsid w:val="03954205"/>
    <w:rsid w:val="03A6740D"/>
    <w:rsid w:val="04335C98"/>
    <w:rsid w:val="047D654F"/>
    <w:rsid w:val="066F7503"/>
    <w:rsid w:val="0878744D"/>
    <w:rsid w:val="08E63346"/>
    <w:rsid w:val="08E6614E"/>
    <w:rsid w:val="099E68C9"/>
    <w:rsid w:val="0B5C69EC"/>
    <w:rsid w:val="0BBF0531"/>
    <w:rsid w:val="0D1E4C9D"/>
    <w:rsid w:val="0D590344"/>
    <w:rsid w:val="0D716452"/>
    <w:rsid w:val="0E422BFC"/>
    <w:rsid w:val="0E913F2D"/>
    <w:rsid w:val="0ED62A80"/>
    <w:rsid w:val="0EFA3ADA"/>
    <w:rsid w:val="0F0D5CFD"/>
    <w:rsid w:val="0FB94C79"/>
    <w:rsid w:val="10C055FF"/>
    <w:rsid w:val="10F529AD"/>
    <w:rsid w:val="110D4BC3"/>
    <w:rsid w:val="12883A20"/>
    <w:rsid w:val="128C0123"/>
    <w:rsid w:val="140329C9"/>
    <w:rsid w:val="150726A5"/>
    <w:rsid w:val="160D07FE"/>
    <w:rsid w:val="164B2A2C"/>
    <w:rsid w:val="16BB723D"/>
    <w:rsid w:val="16DF496B"/>
    <w:rsid w:val="18B07EE2"/>
    <w:rsid w:val="1A8A5912"/>
    <w:rsid w:val="1AAB60F4"/>
    <w:rsid w:val="1BBD3787"/>
    <w:rsid w:val="1C8420F4"/>
    <w:rsid w:val="1CC91DAC"/>
    <w:rsid w:val="1CF41862"/>
    <w:rsid w:val="1D5B4448"/>
    <w:rsid w:val="1DB22EB7"/>
    <w:rsid w:val="1ECA4D17"/>
    <w:rsid w:val="1F815613"/>
    <w:rsid w:val="1FAA040E"/>
    <w:rsid w:val="200824E2"/>
    <w:rsid w:val="208474FE"/>
    <w:rsid w:val="209F2F2A"/>
    <w:rsid w:val="210965CF"/>
    <w:rsid w:val="213C3417"/>
    <w:rsid w:val="21707C8A"/>
    <w:rsid w:val="2179060E"/>
    <w:rsid w:val="218E026D"/>
    <w:rsid w:val="21F05087"/>
    <w:rsid w:val="22716FDA"/>
    <w:rsid w:val="230100DA"/>
    <w:rsid w:val="23044314"/>
    <w:rsid w:val="23DA6476"/>
    <w:rsid w:val="240371BF"/>
    <w:rsid w:val="24EA2D1C"/>
    <w:rsid w:val="25347539"/>
    <w:rsid w:val="25A73826"/>
    <w:rsid w:val="25B46BBD"/>
    <w:rsid w:val="267E03DD"/>
    <w:rsid w:val="268735E6"/>
    <w:rsid w:val="268D7475"/>
    <w:rsid w:val="26B9390C"/>
    <w:rsid w:val="27517B12"/>
    <w:rsid w:val="277402C9"/>
    <w:rsid w:val="28AF1C76"/>
    <w:rsid w:val="28B863F9"/>
    <w:rsid w:val="29017C8A"/>
    <w:rsid w:val="29FD04D3"/>
    <w:rsid w:val="2AE461E8"/>
    <w:rsid w:val="2AEA25D5"/>
    <w:rsid w:val="2B433C6F"/>
    <w:rsid w:val="2DA91D63"/>
    <w:rsid w:val="2DFB517E"/>
    <w:rsid w:val="2E321EB8"/>
    <w:rsid w:val="2EC84CD7"/>
    <w:rsid w:val="2F074DDE"/>
    <w:rsid w:val="2FDD0ECA"/>
    <w:rsid w:val="319F7F4E"/>
    <w:rsid w:val="31F62DBF"/>
    <w:rsid w:val="329131E3"/>
    <w:rsid w:val="32AA3F1D"/>
    <w:rsid w:val="33A739F5"/>
    <w:rsid w:val="3446491B"/>
    <w:rsid w:val="35163764"/>
    <w:rsid w:val="35517645"/>
    <w:rsid w:val="35905E1C"/>
    <w:rsid w:val="35D85F07"/>
    <w:rsid w:val="36607761"/>
    <w:rsid w:val="366165E2"/>
    <w:rsid w:val="37057F10"/>
    <w:rsid w:val="37D03CE6"/>
    <w:rsid w:val="37E53AFF"/>
    <w:rsid w:val="38CD0FB0"/>
    <w:rsid w:val="39B21C08"/>
    <w:rsid w:val="3A333DF0"/>
    <w:rsid w:val="3A966943"/>
    <w:rsid w:val="3AB76A00"/>
    <w:rsid w:val="3ABF06FE"/>
    <w:rsid w:val="3AF93071"/>
    <w:rsid w:val="3BFF7470"/>
    <w:rsid w:val="3C39225A"/>
    <w:rsid w:val="3D3050BE"/>
    <w:rsid w:val="3EB079F2"/>
    <w:rsid w:val="3EB932CF"/>
    <w:rsid w:val="3EF33282"/>
    <w:rsid w:val="40467904"/>
    <w:rsid w:val="40604F6A"/>
    <w:rsid w:val="409801FC"/>
    <w:rsid w:val="41761812"/>
    <w:rsid w:val="428F62C6"/>
    <w:rsid w:val="42B81DE7"/>
    <w:rsid w:val="44323518"/>
    <w:rsid w:val="44D43F7A"/>
    <w:rsid w:val="45266296"/>
    <w:rsid w:val="453E098F"/>
    <w:rsid w:val="45A01EEC"/>
    <w:rsid w:val="45D54A42"/>
    <w:rsid w:val="45E944BE"/>
    <w:rsid w:val="46996F66"/>
    <w:rsid w:val="475B75C6"/>
    <w:rsid w:val="47F4631B"/>
    <w:rsid w:val="4870312F"/>
    <w:rsid w:val="488A2C07"/>
    <w:rsid w:val="488F4C31"/>
    <w:rsid w:val="48BF278D"/>
    <w:rsid w:val="493B504F"/>
    <w:rsid w:val="493D793C"/>
    <w:rsid w:val="49A72143"/>
    <w:rsid w:val="4BAE6857"/>
    <w:rsid w:val="4BB55855"/>
    <w:rsid w:val="4C4B53D6"/>
    <w:rsid w:val="4C834832"/>
    <w:rsid w:val="4D576D51"/>
    <w:rsid w:val="4D6D6146"/>
    <w:rsid w:val="4DBA686F"/>
    <w:rsid w:val="4E0E77DB"/>
    <w:rsid w:val="4E4B21C9"/>
    <w:rsid w:val="4EA46D33"/>
    <w:rsid w:val="4F474413"/>
    <w:rsid w:val="4FC907FF"/>
    <w:rsid w:val="4FE77C3C"/>
    <w:rsid w:val="4FFC2BFD"/>
    <w:rsid w:val="51360320"/>
    <w:rsid w:val="518C1F96"/>
    <w:rsid w:val="519D338B"/>
    <w:rsid w:val="524460A2"/>
    <w:rsid w:val="524B64EE"/>
    <w:rsid w:val="5277302F"/>
    <w:rsid w:val="530C1A06"/>
    <w:rsid w:val="544F45FC"/>
    <w:rsid w:val="54816ADB"/>
    <w:rsid w:val="54A87FB7"/>
    <w:rsid w:val="54B52E23"/>
    <w:rsid w:val="54C007A2"/>
    <w:rsid w:val="550B2359"/>
    <w:rsid w:val="55F23D0D"/>
    <w:rsid w:val="56D84C0B"/>
    <w:rsid w:val="577227CA"/>
    <w:rsid w:val="57EA6CCC"/>
    <w:rsid w:val="581E192F"/>
    <w:rsid w:val="589D3ABF"/>
    <w:rsid w:val="5918081F"/>
    <w:rsid w:val="59395BAE"/>
    <w:rsid w:val="59C00DF0"/>
    <w:rsid w:val="5A031288"/>
    <w:rsid w:val="5B14372C"/>
    <w:rsid w:val="5BFC5A41"/>
    <w:rsid w:val="5CA0522D"/>
    <w:rsid w:val="5F542363"/>
    <w:rsid w:val="5FBA207E"/>
    <w:rsid w:val="609B5C3F"/>
    <w:rsid w:val="60D94ECC"/>
    <w:rsid w:val="6136709F"/>
    <w:rsid w:val="62446209"/>
    <w:rsid w:val="624F04F3"/>
    <w:rsid w:val="63546370"/>
    <w:rsid w:val="63F177D6"/>
    <w:rsid w:val="64194EE2"/>
    <w:rsid w:val="641E72D1"/>
    <w:rsid w:val="656C5CE7"/>
    <w:rsid w:val="66061A68"/>
    <w:rsid w:val="66596FB7"/>
    <w:rsid w:val="68323F1E"/>
    <w:rsid w:val="68585F4D"/>
    <w:rsid w:val="691D3B9F"/>
    <w:rsid w:val="6A8F7912"/>
    <w:rsid w:val="6ADD54A8"/>
    <w:rsid w:val="6B1310D7"/>
    <w:rsid w:val="6B4A4514"/>
    <w:rsid w:val="6B7F3207"/>
    <w:rsid w:val="6BCC0207"/>
    <w:rsid w:val="6C6D44D1"/>
    <w:rsid w:val="6F4F377D"/>
    <w:rsid w:val="6F6A662A"/>
    <w:rsid w:val="6FB07849"/>
    <w:rsid w:val="70047F1B"/>
    <w:rsid w:val="70C46CA1"/>
    <w:rsid w:val="70D35E58"/>
    <w:rsid w:val="71DC0015"/>
    <w:rsid w:val="7344045F"/>
    <w:rsid w:val="737433D1"/>
    <w:rsid w:val="73F91206"/>
    <w:rsid w:val="74A2112B"/>
    <w:rsid w:val="74D60ACC"/>
    <w:rsid w:val="74D612FE"/>
    <w:rsid w:val="750C0CC8"/>
    <w:rsid w:val="75184E93"/>
    <w:rsid w:val="75282356"/>
    <w:rsid w:val="755B78E8"/>
    <w:rsid w:val="759255BC"/>
    <w:rsid w:val="76593BB2"/>
    <w:rsid w:val="76A36484"/>
    <w:rsid w:val="781B7889"/>
    <w:rsid w:val="78630CF9"/>
    <w:rsid w:val="78900B93"/>
    <w:rsid w:val="78962FF1"/>
    <w:rsid w:val="78A46C0E"/>
    <w:rsid w:val="78AF01EE"/>
    <w:rsid w:val="78D35AAF"/>
    <w:rsid w:val="78E74488"/>
    <w:rsid w:val="79FB2DD7"/>
    <w:rsid w:val="7A4161E7"/>
    <w:rsid w:val="7AB55F4D"/>
    <w:rsid w:val="7BEC75A8"/>
    <w:rsid w:val="7DB146BC"/>
    <w:rsid w:val="7F902EC1"/>
    <w:rsid w:val="7FDD5B1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600" w:lineRule="exact"/>
      <w:ind w:firstLine="640" w:firstLineChars="200"/>
    </w:pPr>
    <w:rPr>
      <w:rFonts w:ascii="仿宋_GB2312" w:hAnsi="Times New Roman" w:eastAsia="仿宋_GB2312" w:cs="Times New Roman"/>
      <w:color w:val="000000"/>
      <w:kern w:val="2"/>
      <w:sz w:val="32"/>
      <w:szCs w:val="32"/>
      <w:lang w:val="en-US" w:eastAsia="zh-CN" w:bidi="ar-SA"/>
    </w:rPr>
  </w:style>
  <w:style w:type="paragraph" w:styleId="4">
    <w:name w:val="heading 1"/>
    <w:basedOn w:val="1"/>
    <w:next w:val="1"/>
    <w:link w:val="34"/>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5"/>
    <w:unhideWhenUsed/>
    <w:qFormat/>
    <w:uiPriority w:val="9"/>
    <w:pPr>
      <w:keepNext/>
      <w:keepLines/>
      <w:spacing w:before="260" w:after="260" w:line="416" w:lineRule="auto"/>
      <w:outlineLvl w:val="1"/>
    </w:pPr>
    <w:rPr>
      <w:rFonts w:asciiTheme="majorHAnsi" w:hAnsiTheme="majorHAnsi" w:eastAsiaTheme="majorEastAsia" w:cstheme="majorBidi"/>
      <w:b/>
      <w:bCs/>
    </w:rPr>
  </w:style>
  <w:style w:type="paragraph" w:styleId="6">
    <w:name w:val="heading 3"/>
    <w:basedOn w:val="1"/>
    <w:next w:val="1"/>
    <w:link w:val="38"/>
    <w:unhideWhenUsed/>
    <w:qFormat/>
    <w:uiPriority w:val="9"/>
    <w:pPr>
      <w:keepNext/>
      <w:keepLines/>
      <w:spacing w:before="260" w:after="260" w:line="416" w:lineRule="auto"/>
      <w:outlineLvl w:val="2"/>
    </w:pPr>
    <w:rPr>
      <w:b/>
      <w:bCs/>
    </w:rPr>
  </w:style>
  <w:style w:type="character" w:default="1" w:styleId="16">
    <w:name w:val="Default Paragraph Font"/>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2">
    <w:name w:val="Body Text First Indent 2"/>
    <w:basedOn w:val="3"/>
    <w:qFormat/>
    <w:uiPriority w:val="0"/>
    <w:pPr>
      <w:ind w:firstLine="420"/>
    </w:pPr>
  </w:style>
  <w:style w:type="paragraph" w:styleId="3">
    <w:name w:val="Body Text Indent"/>
    <w:basedOn w:val="1"/>
    <w:qFormat/>
    <w:uiPriority w:val="0"/>
    <w:pPr>
      <w:spacing w:after="120"/>
      <w:ind w:left="420" w:leftChars="200"/>
    </w:pPr>
    <w:rPr>
      <w:szCs w:val="20"/>
    </w:rPr>
  </w:style>
  <w:style w:type="paragraph" w:styleId="7">
    <w:name w:val="Body Text"/>
    <w:basedOn w:val="1"/>
    <w:link w:val="31"/>
    <w:qFormat/>
    <w:uiPriority w:val="99"/>
    <w:pPr>
      <w:spacing w:beforeLines="30"/>
    </w:pPr>
    <w:rPr>
      <w:kern w:val="0"/>
      <w:sz w:val="30"/>
    </w:rPr>
  </w:style>
  <w:style w:type="paragraph" w:styleId="8">
    <w:name w:val="toc 3"/>
    <w:basedOn w:val="1"/>
    <w:next w:val="1"/>
    <w:unhideWhenUsed/>
    <w:qFormat/>
    <w:uiPriority w:val="39"/>
    <w:pPr>
      <w:tabs>
        <w:tab w:val="right" w:leader="dot" w:pos="8296"/>
      </w:tabs>
      <w:ind w:left="840" w:leftChars="400"/>
    </w:pPr>
  </w:style>
  <w:style w:type="paragraph" w:styleId="9">
    <w:name w:val="Balloon Text"/>
    <w:basedOn w:val="1"/>
    <w:link w:val="37"/>
    <w:unhideWhenUsed/>
    <w:qFormat/>
    <w:uiPriority w:val="99"/>
    <w:rPr>
      <w:sz w:val="18"/>
      <w:szCs w:val="18"/>
    </w:rPr>
  </w:style>
  <w:style w:type="paragraph" w:styleId="10">
    <w:name w:val="footer"/>
    <w:basedOn w:val="1"/>
    <w:link w:val="29"/>
    <w:qFormat/>
    <w:uiPriority w:val="99"/>
    <w:pPr>
      <w:tabs>
        <w:tab w:val="center" w:pos="4153"/>
        <w:tab w:val="right" w:pos="8306"/>
      </w:tabs>
      <w:snapToGrid w:val="0"/>
    </w:pPr>
    <w:rPr>
      <w:rFonts w:ascii="Calibri" w:hAnsi="Calibri"/>
      <w:kern w:val="0"/>
      <w:sz w:val="18"/>
      <w:szCs w:val="18"/>
    </w:rPr>
  </w:style>
  <w:style w:type="paragraph" w:styleId="11">
    <w:name w:val="header"/>
    <w:basedOn w:val="1"/>
    <w:link w:val="27"/>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2">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3">
    <w:name w:val="toc 2"/>
    <w:basedOn w:val="1"/>
    <w:next w:val="1"/>
    <w:unhideWhenUsed/>
    <w:qFormat/>
    <w:uiPriority w:val="39"/>
    <w:pPr>
      <w:tabs>
        <w:tab w:val="right" w:leader="dot" w:pos="8296"/>
      </w:tabs>
      <w:ind w:left="420" w:leftChars="200"/>
    </w:pPr>
  </w:style>
  <w:style w:type="paragraph" w:styleId="14">
    <w:name w:val="Normal (Web)"/>
    <w:basedOn w:val="1"/>
    <w:qFormat/>
    <w:uiPriority w:val="99"/>
    <w:pPr>
      <w:spacing w:before="100" w:beforeAutospacing="1" w:after="100" w:afterAutospacing="1"/>
    </w:pPr>
    <w:rPr>
      <w:kern w:val="0"/>
      <w:sz w:val="24"/>
      <w:szCs w:val="20"/>
    </w:rPr>
  </w:style>
  <w:style w:type="character" w:styleId="17">
    <w:name w:val="Strong"/>
    <w:basedOn w:val="16"/>
    <w:qFormat/>
    <w:uiPriority w:val="99"/>
    <w:rPr>
      <w:b/>
    </w:rPr>
  </w:style>
  <w:style w:type="character" w:styleId="18">
    <w:name w:val="FollowedHyperlink"/>
    <w:basedOn w:val="16"/>
    <w:unhideWhenUsed/>
    <w:qFormat/>
    <w:uiPriority w:val="99"/>
    <w:rPr>
      <w:rFonts w:hint="eastAsia" w:ascii="微软雅黑" w:hAnsi="微软雅黑" w:eastAsia="微软雅黑" w:cs="微软雅黑"/>
      <w:color w:val="333333"/>
      <w:sz w:val="21"/>
      <w:szCs w:val="21"/>
      <w:u w:val="none"/>
    </w:rPr>
  </w:style>
  <w:style w:type="character" w:styleId="19">
    <w:name w:val="Emphasis"/>
    <w:basedOn w:val="16"/>
    <w:qFormat/>
    <w:uiPriority w:val="20"/>
  </w:style>
  <w:style w:type="character" w:styleId="20">
    <w:name w:val="HTML Definition"/>
    <w:basedOn w:val="16"/>
    <w:unhideWhenUsed/>
    <w:qFormat/>
    <w:uiPriority w:val="99"/>
  </w:style>
  <w:style w:type="character" w:styleId="21">
    <w:name w:val="HTML Acronym"/>
    <w:basedOn w:val="16"/>
    <w:unhideWhenUsed/>
    <w:qFormat/>
    <w:uiPriority w:val="99"/>
  </w:style>
  <w:style w:type="character" w:styleId="22">
    <w:name w:val="HTML Variable"/>
    <w:basedOn w:val="16"/>
    <w:unhideWhenUsed/>
    <w:qFormat/>
    <w:uiPriority w:val="99"/>
  </w:style>
  <w:style w:type="character" w:styleId="23">
    <w:name w:val="Hyperlink"/>
    <w:basedOn w:val="16"/>
    <w:unhideWhenUsed/>
    <w:qFormat/>
    <w:uiPriority w:val="99"/>
    <w:rPr>
      <w:color w:val="0000FF" w:themeColor="hyperlink"/>
      <w:u w:val="single"/>
    </w:rPr>
  </w:style>
  <w:style w:type="character" w:styleId="24">
    <w:name w:val="HTML Code"/>
    <w:basedOn w:val="16"/>
    <w:unhideWhenUsed/>
    <w:qFormat/>
    <w:uiPriority w:val="99"/>
    <w:rPr>
      <w:rFonts w:ascii="Courier New" w:hAnsi="Courier New"/>
      <w:sz w:val="20"/>
    </w:rPr>
  </w:style>
  <w:style w:type="character" w:styleId="25">
    <w:name w:val="HTML Cite"/>
    <w:basedOn w:val="16"/>
    <w:unhideWhenUsed/>
    <w:qFormat/>
    <w:uiPriority w:val="99"/>
  </w:style>
  <w:style w:type="character" w:customStyle="1" w:styleId="26">
    <w:name w:val="Header Char"/>
    <w:basedOn w:val="16"/>
    <w:semiHidden/>
    <w:qFormat/>
    <w:uiPriority w:val="99"/>
    <w:rPr>
      <w:rFonts w:ascii="Times New Roman" w:hAnsi="Times New Roman"/>
      <w:sz w:val="18"/>
      <w:szCs w:val="18"/>
    </w:rPr>
  </w:style>
  <w:style w:type="character" w:customStyle="1" w:styleId="27">
    <w:name w:val="页眉 Char"/>
    <w:link w:val="11"/>
    <w:semiHidden/>
    <w:qFormat/>
    <w:locked/>
    <w:uiPriority w:val="99"/>
    <w:rPr>
      <w:sz w:val="18"/>
    </w:rPr>
  </w:style>
  <w:style w:type="character" w:customStyle="1" w:styleId="28">
    <w:name w:val="Footer Char"/>
    <w:basedOn w:val="16"/>
    <w:semiHidden/>
    <w:qFormat/>
    <w:uiPriority w:val="99"/>
    <w:rPr>
      <w:rFonts w:ascii="Times New Roman" w:hAnsi="Times New Roman"/>
      <w:sz w:val="18"/>
      <w:szCs w:val="18"/>
    </w:rPr>
  </w:style>
  <w:style w:type="character" w:customStyle="1" w:styleId="29">
    <w:name w:val="页脚 Char"/>
    <w:link w:val="10"/>
    <w:qFormat/>
    <w:locked/>
    <w:uiPriority w:val="99"/>
    <w:rPr>
      <w:sz w:val="18"/>
    </w:rPr>
  </w:style>
  <w:style w:type="character" w:customStyle="1" w:styleId="30">
    <w:name w:val="Body Text Char"/>
    <w:basedOn w:val="16"/>
    <w:semiHidden/>
    <w:qFormat/>
    <w:uiPriority w:val="99"/>
    <w:rPr>
      <w:rFonts w:ascii="Times New Roman" w:hAnsi="Times New Roman"/>
      <w:szCs w:val="24"/>
    </w:rPr>
  </w:style>
  <w:style w:type="character" w:customStyle="1" w:styleId="31">
    <w:name w:val="正文文本 Char"/>
    <w:link w:val="7"/>
    <w:qFormat/>
    <w:locked/>
    <w:uiPriority w:val="99"/>
    <w:rPr>
      <w:rFonts w:ascii="仿宋_GB2312" w:hAnsi="Times New Roman" w:eastAsia="仿宋_GB2312"/>
      <w:sz w:val="24"/>
    </w:rPr>
  </w:style>
  <w:style w:type="paragraph" w:customStyle="1" w:styleId="32">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33">
    <w:name w:val="List Paragraph"/>
    <w:basedOn w:val="1"/>
    <w:qFormat/>
    <w:uiPriority w:val="34"/>
    <w:pPr>
      <w:ind w:firstLine="420"/>
    </w:pPr>
  </w:style>
  <w:style w:type="character" w:customStyle="1" w:styleId="34">
    <w:name w:val="标题 1 Char"/>
    <w:basedOn w:val="16"/>
    <w:link w:val="4"/>
    <w:qFormat/>
    <w:uiPriority w:val="9"/>
    <w:rPr>
      <w:rFonts w:ascii="Times New Roman" w:hAnsi="Times New Roman"/>
      <w:b/>
      <w:bCs/>
      <w:kern w:val="44"/>
      <w:sz w:val="44"/>
      <w:szCs w:val="44"/>
    </w:rPr>
  </w:style>
  <w:style w:type="character" w:customStyle="1" w:styleId="35">
    <w:name w:val="标题 2 Char"/>
    <w:basedOn w:val="16"/>
    <w:link w:val="5"/>
    <w:qFormat/>
    <w:uiPriority w:val="9"/>
    <w:rPr>
      <w:rFonts w:asciiTheme="majorHAnsi" w:hAnsiTheme="majorHAnsi" w:eastAsiaTheme="majorEastAsia" w:cstheme="majorBidi"/>
      <w:b/>
      <w:bCs/>
      <w:kern w:val="2"/>
      <w:sz w:val="32"/>
      <w:szCs w:val="32"/>
    </w:rPr>
  </w:style>
  <w:style w:type="paragraph" w:customStyle="1" w:styleId="36">
    <w:name w:val="TOC 标题1"/>
    <w:basedOn w:val="4"/>
    <w:next w:val="1"/>
    <w:unhideWhenUsed/>
    <w:qFormat/>
    <w:uiPriority w:val="39"/>
    <w:pPr>
      <w:widowControl/>
      <w:spacing w:before="480" w:after="0" w:line="276" w:lineRule="auto"/>
      <w:outlineLvl w:val="9"/>
    </w:pPr>
    <w:rPr>
      <w:rFonts w:asciiTheme="majorHAnsi" w:hAnsiTheme="majorHAnsi" w:eastAsiaTheme="majorEastAsia" w:cstheme="majorBidi"/>
      <w:color w:val="366091" w:themeColor="accent1" w:themeShade="BF"/>
      <w:kern w:val="0"/>
      <w:sz w:val="28"/>
      <w:szCs w:val="28"/>
    </w:rPr>
  </w:style>
  <w:style w:type="character" w:customStyle="1" w:styleId="37">
    <w:name w:val="批注框文本 Char"/>
    <w:basedOn w:val="16"/>
    <w:link w:val="9"/>
    <w:semiHidden/>
    <w:qFormat/>
    <w:uiPriority w:val="99"/>
    <w:rPr>
      <w:rFonts w:ascii="Times New Roman" w:hAnsi="Times New Roman"/>
      <w:kern w:val="2"/>
      <w:sz w:val="18"/>
      <w:szCs w:val="18"/>
    </w:rPr>
  </w:style>
  <w:style w:type="character" w:customStyle="1" w:styleId="38">
    <w:name w:val="标题 3 Char"/>
    <w:basedOn w:val="16"/>
    <w:link w:val="6"/>
    <w:qFormat/>
    <w:uiPriority w:val="9"/>
    <w:rPr>
      <w:rFonts w:ascii="Times New Roman" w:hAnsi="Times New Roman"/>
      <w:b/>
      <w:bCs/>
      <w:kern w:val="2"/>
      <w:sz w:val="32"/>
      <w:szCs w:val="32"/>
    </w:rPr>
  </w:style>
  <w:style w:type="paragraph" w:customStyle="1" w:styleId="39">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40">
    <w:name w:val="四号正文"/>
    <w:basedOn w:val="1"/>
    <w:qFormat/>
    <w:uiPriority w:val="0"/>
    <w:pPr>
      <w:spacing w:line="360" w:lineRule="auto"/>
      <w:ind w:firstLine="0" w:firstLineChars="0"/>
      <w:jc w:val="both"/>
    </w:pPr>
    <w:rPr>
      <w:rFonts w:ascii="??" w:hAnsi="??" w:eastAsia="宋体"/>
      <w:kern w:val="0"/>
      <w:sz w:val="28"/>
      <w:szCs w:val="21"/>
    </w:rPr>
  </w:style>
  <w:style w:type="paragraph" w:customStyle="1" w:styleId="41">
    <w:name w:val="p0"/>
    <w:basedOn w:val="1"/>
    <w:qFormat/>
    <w:uiPriority w:val="99"/>
    <w:pPr>
      <w:widowControl/>
      <w:spacing w:line="240" w:lineRule="auto"/>
      <w:ind w:firstLine="0" w:firstLineChars="0"/>
      <w:jc w:val="both"/>
    </w:pPr>
    <w:rPr>
      <w:rFonts w:ascii="Times New Roman" w:eastAsia="宋体"/>
      <w:color w:val="auto"/>
      <w:kern w:val="0"/>
      <w:sz w:val="21"/>
      <w:szCs w:val="21"/>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chart" Target="charts/chart6.xml"/><Relationship Id="rId14" Type="http://schemas.openxmlformats.org/officeDocument/2006/relationships/chart" Target="charts/chart5.xml"/><Relationship Id="rId13" Type="http://schemas.openxmlformats.org/officeDocument/2006/relationships/chart" Target="charts/chart4.xml"/><Relationship Id="rId12" Type="http://schemas.openxmlformats.org/officeDocument/2006/relationships/chart" Target="charts/chart3.xml"/><Relationship Id="rId11" Type="http://schemas.openxmlformats.org/officeDocument/2006/relationships/chart" Target="charts/chart2.xml"/><Relationship Id="rId10" Type="http://schemas.openxmlformats.org/officeDocument/2006/relationships/chart" Target="charts/chart1.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Workbook6.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06195"/>
          <c:y val="0.2345"/>
          <c:w val="0.8938"/>
          <c:h val="0.716900000000001"/>
        </c:manualLayout>
      </c:layout>
      <c:barChart>
        <c:barDir val="col"/>
        <c:grouping val="clustered"/>
        <c:varyColors val="0"/>
        <c:ser>
          <c:idx val="0"/>
          <c:order val="0"/>
          <c:tx>
            <c:strRef>
              <c:f>Sheet1!$B$1</c:f>
              <c:strCache>
                <c:ptCount val="1"/>
                <c:pt idx="0">
                  <c:v>2018年（单位：万元）</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收入</c:v>
                </c:pt>
                <c:pt idx="1">
                  <c:v>支出</c:v>
                </c:pt>
              </c:strCache>
            </c:strRef>
          </c:cat>
          <c:val>
            <c:numRef>
              <c:f>Sheet1!$B$2:$B$3</c:f>
              <c:numCache>
                <c:formatCode>General</c:formatCode>
                <c:ptCount val="2"/>
                <c:pt idx="0">
                  <c:v>301.19</c:v>
                </c:pt>
                <c:pt idx="1">
                  <c:v>336.34</c:v>
                </c:pt>
              </c:numCache>
            </c:numRef>
          </c:val>
        </c:ser>
        <c:ser>
          <c:idx val="1"/>
          <c:order val="1"/>
          <c:tx>
            <c:strRef>
              <c:f>Sheet1!$C$1</c:f>
              <c:strCache>
                <c:ptCount val="1"/>
                <c:pt idx="0">
                  <c:v>2017（单位：万元）</c:v>
                </c:pt>
              </c:strCache>
            </c:strRef>
          </c:tx>
          <c:spPr>
            <a:solidFill>
              <a:schemeClr val="accent2"/>
            </a:solidFill>
            <a:ln>
              <a:noFill/>
            </a:ln>
            <a:effectLst/>
          </c:spPr>
          <c:invertIfNegative val="0"/>
          <c:dLbls>
            <c:dLbl>
              <c:idx val="1"/>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rPr lang="en-US" altLang="zh-CN"/>
                      <a:t>685.39</a:t>
                    </a:r>
                    <a:endParaRPr lang="en-US" altLang="zh-CN"/>
                  </a:p>
                </c:rich>
              </c:tx>
              <c:dLblPos val="outEnd"/>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301.77</c:v>
                </c:pt>
                <c:pt idx="1">
                  <c:v>270.38</c:v>
                </c:pt>
              </c:numCache>
            </c:numRef>
          </c:val>
        </c:ser>
        <c:ser>
          <c:idx val="2"/>
          <c:order val="2"/>
          <c:tx>
            <c:strRef>
              <c:f>Sheet1!#REF!</c:f>
              <c:strCache>
                <c:ptCount val="1"/>
                <c:pt idx="0">
                  <c:v/>
                </c:pt>
              </c:strCache>
            </c:strRef>
          </c:tx>
          <c:spPr>
            <a:solidFill>
              <a:schemeClr val="accent3"/>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收入</c:v>
                </c:pt>
                <c:pt idx="1">
                  <c:v>支出</c:v>
                </c:pt>
              </c:strCache>
            </c:strRef>
          </c:cat>
          <c:val>
            <c:numRef>
              <c:f>Sheet1!#REF!</c:f>
              <c:numCache>
                <c:formatCode>General</c:formatCode>
                <c:ptCount val="1"/>
                <c:pt idx="0">
                  <c:v>1</c:v>
                </c:pt>
              </c:numCache>
            </c:numRef>
          </c:val>
        </c:ser>
        <c:dLbls>
          <c:showLegendKey val="0"/>
          <c:showVal val="1"/>
          <c:showCatName val="0"/>
          <c:showSerName val="0"/>
          <c:showPercent val="0"/>
          <c:showBubbleSize val="0"/>
        </c:dLbls>
        <c:gapWidth val="219"/>
        <c:overlap val="-27"/>
        <c:axId val="85653376"/>
        <c:axId val="85654912"/>
      </c:barChart>
      <c:catAx>
        <c:axId val="85653376"/>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5654912"/>
        <c:crosses val="autoZero"/>
        <c:auto val="1"/>
        <c:lblAlgn val="ctr"/>
        <c:lblOffset val="100"/>
        <c:noMultiLvlLbl val="0"/>
      </c:catAx>
      <c:valAx>
        <c:axId val="85654912"/>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85653376"/>
        <c:crosses val="autoZero"/>
        <c:crossBetween val="between"/>
      </c:valAx>
      <c:spPr>
        <a:noFill/>
        <a:ln>
          <a:noFill/>
        </a:ln>
        <a:effectLst/>
      </c:spPr>
    </c:plotArea>
    <c:legend>
      <c:legendPos val="b"/>
      <c:legendEntry>
        <c:idx val="2"/>
        <c:delete val="1"/>
      </c:legendEntry>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manualLayout>
          <c:layoutTarget val="inner"/>
          <c:xMode val="edge"/>
          <c:yMode val="edge"/>
          <c:x val="0.333852250212284"/>
          <c:y val="0.361833633788308"/>
          <c:w val="0.346447778092273"/>
          <c:h val="0.630440381148596"/>
        </c:manualLayout>
      </c:layout>
      <c:pieChart>
        <c:varyColors val="1"/>
        <c:ser>
          <c:idx val="0"/>
          <c:order val="0"/>
          <c:tx>
            <c:strRef>
              <c:f>Sheet1!$B$1</c:f>
              <c:strCache>
                <c:ptCount val="1"/>
                <c:pt idx="0">
                  <c:v>收入</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rPr lang="en-US" altLang="zh-CN"/>
                      <a:t>301.10</a:t>
                    </a:r>
                    <a:endParaRPr lang="en-US" altLang="zh-CN"/>
                  </a:p>
                </c:rich>
              </c:tx>
              <c:dLblPos val="inEnd"/>
              <c:showLegendKey val="0"/>
              <c:showVal val="0"/>
              <c:showCatName val="0"/>
              <c:showSerName val="0"/>
              <c:showPercent val="1"/>
              <c:showBubbleSize val="0"/>
              <c:separator>
</c:separator>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rPr lang="en-US" altLang="zh-CN"/>
                      <a:t>0.09</a:t>
                    </a:r>
                    <a:endParaRPr lang="en-US" altLang="zh-CN"/>
                  </a:p>
                </c:rich>
              </c:tx>
              <c:dLblPos val="inEnd"/>
              <c:showLegendKey val="0"/>
              <c:showVal val="0"/>
              <c:showCatName val="0"/>
              <c:showSerName val="0"/>
              <c:showPercent val="1"/>
              <c:showBubbleSize val="0"/>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一般公共预算财政拨款</c:v>
                </c:pt>
                <c:pt idx="1">
                  <c:v>其他收入</c:v>
                </c:pt>
              </c:strCache>
            </c:strRef>
          </c:cat>
          <c:val>
            <c:numRef>
              <c:f>Sheet1!$B$2:$B$3</c:f>
              <c:numCache>
                <c:formatCode>General</c:formatCode>
                <c:ptCount val="2"/>
                <c:pt idx="0">
                  <c:v>301.1</c:v>
                </c:pt>
                <c:pt idx="1">
                  <c:v>0.09</c:v>
                </c:pt>
              </c:numCache>
            </c:numRef>
          </c:val>
        </c:ser>
        <c:ser>
          <c:idx val="1"/>
          <c:order val="1"/>
          <c:tx>
            <c:strRef>
              <c:f>Sheet1!$C$1</c:f>
              <c:strCache>
                <c:ptCount val="1"/>
                <c:pt idx="0">
                  <c:v>占比例</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一般公共预算财政拨款</c:v>
                </c:pt>
                <c:pt idx="1">
                  <c:v>其他收入</c:v>
                </c:pt>
              </c:strCache>
            </c:strRef>
          </c:cat>
          <c:val>
            <c:numRef>
              <c:f>Sheet1!$C$2:$C$3</c:f>
              <c:numCache>
                <c:formatCode>0.00%</c:formatCode>
                <c:ptCount val="2"/>
                <c:pt idx="0">
                  <c:v>0.999</c:v>
                </c:pt>
                <c:pt idx="1">
                  <c:v>0.0002</c:v>
                </c:pt>
              </c:numCache>
            </c:numRef>
          </c:val>
        </c:ser>
        <c:dLbls>
          <c:showLegendKey val="0"/>
          <c:showVal val="0"/>
          <c:showCatName val="1"/>
          <c:showSerName val="0"/>
          <c:showPercent val="1"/>
          <c:showBubbleSize val="0"/>
          <c:showLeaderLines val="1"/>
        </c:dLbls>
        <c:firstSliceAng val="0"/>
      </c:pieChart>
      <c:spPr>
        <a:noFill/>
        <a:ln>
          <a:noFill/>
        </a:ln>
        <a:effectLst/>
      </c:spPr>
    </c:plotArea>
    <c:legend>
      <c:legendPos val="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2018</a:t>
            </a:r>
            <a:r>
              <a:rPr altLang="en-US"/>
              <a:t>年</a:t>
            </a:r>
            <a:r>
              <a:t>支出</a:t>
            </a:r>
          </a:p>
        </c:rich>
      </c:tx>
      <c:layout/>
      <c:overlay val="0"/>
      <c:spPr>
        <a:noFill/>
        <a:ln>
          <a:noFill/>
        </a:ln>
        <a:effectLst/>
      </c:spPr>
    </c:title>
    <c:autoTitleDeleted val="0"/>
    <c:plotArea>
      <c:layout/>
      <c:pieChart>
        <c:varyColors val="1"/>
        <c:ser>
          <c:idx val="0"/>
          <c:order val="0"/>
          <c:tx>
            <c:strRef>
              <c:f>Sheet1!$B$1</c:f>
              <c:strCache>
                <c:ptCount val="1"/>
                <c:pt idx="0">
                  <c:v>销售额</c:v>
                </c:pt>
              </c:strCache>
            </c:strRef>
          </c:tx>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296.26</c:v>
                </c:pt>
                <c:pt idx="1">
                  <c:v>40.1</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a:t>
            </a:r>
          </a:p>
        </c:rich>
      </c:tx>
      <c:layout/>
      <c:overlay val="0"/>
      <c:spPr>
        <a:noFill/>
        <a:ln>
          <a:noFill/>
        </a:ln>
        <a:effectLst/>
      </c:spPr>
    </c:title>
    <c:autoTitleDeleted val="0"/>
    <c:plotArea>
      <c:layout>
        <c:manualLayout>
          <c:layoutTarget val="inner"/>
          <c:xMode val="edge"/>
          <c:yMode val="edge"/>
          <c:x val="0.0889500000000002"/>
          <c:y val="0.170242352006357"/>
          <c:w val="0.8938"/>
          <c:h val="0.66257449344458"/>
        </c:manualLayout>
      </c:layout>
      <c:barChart>
        <c:barDir val="col"/>
        <c:grouping val="clustered"/>
        <c:varyColors val="0"/>
        <c:ser>
          <c:idx val="0"/>
          <c:order val="0"/>
          <c:tx>
            <c:strRef>
              <c:f>Sheet1!$B$1</c:f>
              <c:strCache>
                <c:ptCount val="1"/>
                <c:pt idx="0">
                  <c:v>2018年单位（万元）</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收入</c:v>
                </c:pt>
                <c:pt idx="1">
                  <c:v>支出</c:v>
                </c:pt>
              </c:strCache>
            </c:strRef>
          </c:cat>
          <c:val>
            <c:numRef>
              <c:f>Sheet1!$B$2:$B$3</c:f>
              <c:numCache>
                <c:formatCode>General</c:formatCode>
                <c:ptCount val="2"/>
                <c:pt idx="0">
                  <c:v>301.1</c:v>
                </c:pt>
                <c:pt idx="1">
                  <c:v>336.34</c:v>
                </c:pt>
              </c:numCache>
            </c:numRef>
          </c:val>
        </c:ser>
        <c:ser>
          <c:idx val="1"/>
          <c:order val="1"/>
          <c:tx>
            <c:strRef>
              <c:f>Sheet1!$C$1</c:f>
              <c:strCache>
                <c:ptCount val="1"/>
                <c:pt idx="0">
                  <c:v>2017单位（万元</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收入</c:v>
                </c:pt>
                <c:pt idx="1">
                  <c:v>支出</c:v>
                </c:pt>
              </c:strCache>
            </c:strRef>
          </c:cat>
          <c:val>
            <c:numRef>
              <c:f>Sheet1!$C$2:$C$3</c:f>
              <c:numCache>
                <c:formatCode>General</c:formatCode>
                <c:ptCount val="2"/>
                <c:pt idx="0">
                  <c:v>301.77</c:v>
                </c:pt>
                <c:pt idx="1">
                  <c:v>270.38</c:v>
                </c:pt>
              </c:numCache>
            </c:numRef>
          </c:val>
        </c:ser>
        <c:dLbls>
          <c:showLegendKey val="0"/>
          <c:showVal val="1"/>
          <c:showCatName val="0"/>
          <c:showSerName val="0"/>
          <c:showPercent val="0"/>
          <c:showBubbleSize val="0"/>
        </c:dLbls>
        <c:gapWidth val="219"/>
        <c:overlap val="-27"/>
        <c:axId val="95435008"/>
        <c:axId val="95440896"/>
      </c:barChart>
      <c:catAx>
        <c:axId val="95435008"/>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5440896"/>
        <c:crosses val="autoZero"/>
        <c:auto val="1"/>
        <c:lblAlgn val="ctr"/>
        <c:lblOffset val="100"/>
        <c:noMultiLvlLbl val="0"/>
      </c:catAx>
      <c:valAx>
        <c:axId val="95440896"/>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543500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layout/>
      <c:overlay val="0"/>
      <c:spPr>
        <a:noFill/>
        <a:ln>
          <a:noFill/>
        </a:ln>
        <a:effectLst/>
      </c:spPr>
      <c:txPr>
        <a:bodyPr rot="0" spcFirstLastPara="0" vertOverflow="ellipsis" vert="horz" wrap="square" anchor="ctr" anchorCtr="1"/>
        <a:lstStyle/>
        <a:p>
          <a:pPr>
            <a:defRPr lang="zh-CN" sz="1400" b="0" i="0" u="none" strike="noStrike" kern="1200" spc="0" baseline="0">
              <a:solidFill>
                <a:schemeClr val="tx1">
                  <a:lumMod val="65000"/>
                  <a:lumOff val="35000"/>
                </a:schemeClr>
              </a:solidFill>
              <a:latin typeface="+mn-lt"/>
              <a:ea typeface="+mn-ea"/>
              <a:cs typeface="+mn-cs"/>
            </a:defRPr>
          </a:pPr>
        </a:p>
      </c:txPr>
    </c:title>
    <c:autoTitleDeleted val="0"/>
    <c:plotArea>
      <c:layout/>
      <c:barChart>
        <c:barDir val="col"/>
        <c:grouping val="clustered"/>
        <c:varyColors val="0"/>
        <c:ser>
          <c:idx val="0"/>
          <c:order val="0"/>
          <c:tx>
            <c:strRef>
              <c:f>Sheet1!$B$1</c:f>
              <c:strCache>
                <c:ptCount val="1"/>
                <c:pt idx="0">
                  <c:v>支出</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2018年单位（万元）</c:v>
                </c:pt>
                <c:pt idx="1">
                  <c:v>2017年单位（万元）</c:v>
                </c:pt>
              </c:strCache>
            </c:strRef>
          </c:cat>
          <c:val>
            <c:numRef>
              <c:f>Sheet1!$B$2:$B$3</c:f>
              <c:numCache>
                <c:formatCode>General</c:formatCode>
                <c:ptCount val="2"/>
                <c:pt idx="0">
                  <c:v>336.34</c:v>
                </c:pt>
                <c:pt idx="1">
                  <c:v>270.38</c:v>
                </c:pt>
              </c:numCache>
            </c:numRef>
          </c:val>
        </c:ser>
        <c:dLbls>
          <c:showLegendKey val="0"/>
          <c:showVal val="1"/>
          <c:showCatName val="0"/>
          <c:showSerName val="0"/>
          <c:showPercent val="0"/>
          <c:showBubbleSize val="0"/>
        </c:dLbls>
        <c:gapWidth val="219"/>
        <c:overlap val="-27"/>
        <c:axId val="95555584"/>
        <c:axId val="95557120"/>
      </c:barChart>
      <c:catAx>
        <c:axId val="95555584"/>
        <c:scaling>
          <c:orientation val="minMax"/>
        </c:scaling>
        <c:delete val="0"/>
        <c:axPos val="b"/>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5557120"/>
        <c:crosses val="autoZero"/>
        <c:auto val="1"/>
        <c:lblAlgn val="ctr"/>
        <c:lblOffset val="100"/>
        <c:noMultiLvlLbl val="0"/>
      </c:catAx>
      <c:valAx>
        <c:axId val="95557120"/>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95555584"/>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rPr lang="en-US" altLang="zh-CN"/>
              <a:t>2018</a:t>
            </a:r>
            <a:r>
              <a:rPr altLang="en-US"/>
              <a:t>年单位（万元）</a:t>
            </a:r>
            <a:endParaRPr altLang="en-US"/>
          </a:p>
        </c:rich>
      </c:tx>
      <c:layout/>
      <c:overlay val="0"/>
      <c:spPr>
        <a:noFill/>
        <a:ln>
          <a:noFill/>
        </a:ln>
        <a:effectLst/>
      </c:spPr>
    </c:title>
    <c:autoTitleDeleted val="0"/>
    <c:plotArea>
      <c:layout/>
      <c:pieChart>
        <c:varyColors val="1"/>
        <c:ser>
          <c:idx val="0"/>
          <c:order val="0"/>
          <c:tx>
            <c:strRef>
              <c:f>Sheet1!$B$1</c:f>
              <c:strCache>
                <c:ptCount val="1"/>
                <c:pt idx="0">
                  <c:v>“三公”经费财政拨款支出</c:v>
                </c:pt>
              </c:strCache>
            </c:strRef>
          </c:tx>
          <c:explosion val="0"/>
          <c:dPt>
            <c:idx val="0"/>
            <c:bubble3D val="0"/>
            <c:explosion val="14"/>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dLbl>
              <c:idx val="0"/>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a:p>
                    <a:pPr>
                      <a:defRPr lang="zh-CN" sz="900" b="0" i="0" u="none" strike="noStrike" kern="1200" baseline="0">
                        <a:solidFill>
                          <a:schemeClr val="tx1">
                            <a:lumMod val="75000"/>
                            <a:lumOff val="25000"/>
                          </a:schemeClr>
                        </a:solidFill>
                        <a:latin typeface="+mn-lt"/>
                        <a:ea typeface="+mn-ea"/>
                        <a:cs typeface="+mn-cs"/>
                      </a:defRPr>
                    </a:pPr>
                    <a:r>
                      <a:rPr lang="en-US" altLang="zh-CN"/>
                      <a:t>9.80</a:t>
                    </a:r>
                    <a:endParaRPr lang="en-US" altLang="zh-CN"/>
                  </a:p>
                </c:rich>
              </c:tx>
              <c:dLblPos val="inEnd"/>
              <c:showLegendKey val="0"/>
              <c:showVal val="0"/>
              <c:showCatName val="0"/>
              <c:showSerName val="0"/>
              <c:showPercent val="1"/>
              <c:showBubbleSize val="0"/>
              <c:separator>
</c:separator>
              <c:extLst>
                <c:ext xmlns:c15="http://schemas.microsoft.com/office/drawing/2012/chart" uri="{CE6537A1-D6FC-4f65-9D91-7224C49458BB}"/>
              </c:extLst>
            </c:dLbl>
            <c:dLbl>
              <c:idx val="1"/>
              <c:layout/>
              <c:tx>
                <c:rich>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r>
                      <a:rPr lang="en-US" altLang="zh-CN"/>
                      <a:t>0.66</a:t>
                    </a:r>
                    <a:endParaRPr lang="en-US" altLang="zh-CN"/>
                  </a:p>
                </c:rich>
              </c:tx>
              <c:dLblPos val="inEnd"/>
              <c:showLegendKey val="0"/>
              <c:showVal val="0"/>
              <c:showCatName val="0"/>
              <c:showSerName val="0"/>
              <c:showPercent val="1"/>
              <c:showBubbleSize val="0"/>
              <c:separator>
</c:separator>
              <c:extLst>
                <c:ext xmlns:c15="http://schemas.microsoft.com/office/drawing/2012/chart" uri="{CE6537A1-D6FC-4f65-9D91-7224C49458BB}"/>
              </c:extLst>
            </c:dLbl>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inEnd"/>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公务用车购置及运行维护费</c:v>
                </c:pt>
                <c:pt idx="1">
                  <c:v>公务接待费</c:v>
                </c:pt>
              </c:strCache>
            </c:strRef>
          </c:cat>
          <c:val>
            <c:numRef>
              <c:f>Sheet1!$B$2:$B$3</c:f>
              <c:numCache>
                <c:formatCode>General</c:formatCode>
                <c:ptCount val="2"/>
                <c:pt idx="0">
                  <c:v>9.8</c:v>
                </c:pt>
                <c:pt idx="1">
                  <c:v>0.66</c:v>
                </c:pt>
              </c:numCache>
            </c:numRef>
          </c:val>
        </c:ser>
        <c:dLbls>
          <c:showLegendKey val="0"/>
          <c:showVal val="0"/>
          <c:showCatName val="1"/>
          <c:showSerName val="0"/>
          <c:showPercent val="1"/>
          <c:showBubbleSize val="0"/>
          <c:showLeaderLines val="1"/>
        </c:dLbls>
        <c:firstSliceAng val="0"/>
      </c:pieChart>
      <c:spPr>
        <a:noFill/>
        <a:ln>
          <a:noFill/>
        </a:ln>
        <a:effectLst/>
      </c:spPr>
    </c:plotArea>
    <c:legend>
      <c:legendPos val="t"/>
      <c:layout>
        <c:manualLayout>
          <c:xMode val="edge"/>
          <c:yMode val="edge"/>
          <c:x val="0.1909375"/>
          <c:y val="0.103166666666667"/>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4C03A6-0D4D-499D-8801-5467D181D8F5}">
  <ds:schemaRefs/>
</ds:datastoreItem>
</file>

<file path=docProps/app.xml><?xml version="1.0" encoding="utf-8"?>
<Properties xmlns="http://schemas.openxmlformats.org/officeDocument/2006/extended-properties" xmlns:vt="http://schemas.openxmlformats.org/officeDocument/2006/docPropsVTypes">
  <Template>Normal</Template>
  <Company>四川省财政厅</Company>
  <Pages>56</Pages>
  <Words>22760</Words>
  <Characters>3473</Characters>
  <Lines>28</Lines>
  <Paragraphs>52</Paragraphs>
  <TotalTime>3</TotalTime>
  <ScaleCrop>false</ScaleCrop>
  <LinksUpToDate>false</LinksUpToDate>
  <CharactersWithSpaces>26181</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2019-08-16T02:40:00Z</dcterms:created>
  <dc:creator>张彬茜</dc:creator>
  <cp:lastModifiedBy>Administrator</cp:lastModifiedBy>
  <cp:lastPrinted>2019-09-10T09:06:00Z</cp:lastPrinted>
  <dcterms:modified xsi:type="dcterms:W3CDTF">2021-02-26T08:33:49Z</dcterms:modified>
  <dc:title>四川省***</dc:title>
  <cp:revision>260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