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84C01">
      <w:pPr>
        <w:spacing w:line="600" w:lineRule="exact"/>
        <w:jc w:val="center"/>
        <w:outlineLvl w:val="9"/>
        <w:rPr>
          <w:rFonts w:ascii="方正小标宋简体" w:hAnsi="宋体" w:eastAsia="方正小标宋简体"/>
          <w:sz w:val="72"/>
          <w:szCs w:val="72"/>
        </w:rPr>
      </w:pPr>
      <w:bookmarkStart w:id="0" w:name="_Toc15377193"/>
      <w:bookmarkStart w:id="1" w:name="_Toc15396597"/>
      <w:bookmarkStart w:id="2" w:name="_Toc15377425"/>
      <w:bookmarkStart w:id="3" w:name="_Toc15378441"/>
      <w:bookmarkStart w:id="4" w:name="_Toc15396475"/>
      <w:bookmarkStart w:id="5" w:name="_Toc15306267"/>
    </w:p>
    <w:p w14:paraId="07A3A7D9">
      <w:pPr>
        <w:pStyle w:val="9"/>
        <w:spacing w:before="93"/>
      </w:pPr>
    </w:p>
    <w:p w14:paraId="5A1A28E1">
      <w:pPr>
        <w:spacing w:line="600" w:lineRule="exact"/>
        <w:jc w:val="center"/>
        <w:outlineLvl w:val="9"/>
        <w:rPr>
          <w:rFonts w:ascii="方正小标宋简体" w:hAnsi="宋体" w:eastAsia="方正小标宋简体"/>
          <w:sz w:val="72"/>
          <w:szCs w:val="72"/>
        </w:rPr>
      </w:pPr>
    </w:p>
    <w:p w14:paraId="20BBD351">
      <w:pPr>
        <w:spacing w:line="600" w:lineRule="exact"/>
        <w:jc w:val="center"/>
        <w:outlineLvl w:val="9"/>
        <w:rPr>
          <w:rFonts w:ascii="方正小标宋简体" w:hAnsi="宋体" w:eastAsia="方正小标宋简体"/>
          <w:sz w:val="72"/>
          <w:szCs w:val="72"/>
        </w:rPr>
      </w:pPr>
    </w:p>
    <w:p w14:paraId="66B47A4B">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22508"/>
      <w:bookmarkStart w:id="7" w:name="_Toc17648"/>
      <w:bookmarkStart w:id="8" w:name="_Toc10884"/>
      <w:bookmarkStart w:id="9" w:name="_Toc2947"/>
      <w:r>
        <w:rPr>
          <w:rFonts w:hint="eastAsia" w:ascii="Times New Roman" w:hAnsi="Times New Roman" w:eastAsia="方正仿宋_GBK" w:cs="Times New Roman"/>
          <w:kern w:val="0"/>
          <w:sz w:val="72"/>
          <w:szCs w:val="72"/>
          <w:shd w:val="clear" w:color="auto" w:fill="FFFFFF"/>
          <w:lang w:val="en-US" w:eastAsia="zh-CN" w:bidi="ar"/>
        </w:rPr>
        <w:t>202</w:t>
      </w:r>
      <w:r>
        <w:rPr>
          <w:rFonts w:hint="eastAsia" w:eastAsia="方正仿宋_GBK" w:cs="Times New Roman"/>
          <w:kern w:val="0"/>
          <w:sz w:val="72"/>
          <w:szCs w:val="72"/>
          <w:shd w:val="clear" w:color="auto" w:fill="FFFFFF"/>
          <w:lang w:val="en-US" w:eastAsia="zh-CN" w:bidi="ar"/>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bookmarkEnd w:id="6"/>
      <w:bookmarkEnd w:id="7"/>
      <w:bookmarkEnd w:id="8"/>
      <w:bookmarkEnd w:id="9"/>
    </w:p>
    <w:bookmarkEnd w:id="5"/>
    <w:p w14:paraId="4B60624E">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10" w:name="_Toc15377426"/>
      <w:bookmarkStart w:id="11" w:name="_Toc32007"/>
      <w:bookmarkStart w:id="12" w:name="_Toc15396476"/>
      <w:bookmarkStart w:id="13" w:name="_Toc15377194"/>
      <w:bookmarkStart w:id="14" w:name="_Toc15396598"/>
      <w:bookmarkStart w:id="15" w:name="_Toc32015"/>
      <w:bookmarkStart w:id="16" w:name="_Toc15378442"/>
      <w:bookmarkStart w:id="17" w:name="_Toc15306268"/>
      <w:bookmarkStart w:id="18" w:name="_Toc24403"/>
      <w:bookmarkStart w:id="19" w:name="_Toc14646"/>
      <w:r>
        <w:rPr>
          <w:rFonts w:hint="eastAsia" w:ascii="方正小标宋简体" w:hAnsi="方正小标宋简体" w:eastAsia="方正小标宋简体" w:cs="方正小标宋简体"/>
          <w:sz w:val="72"/>
          <w:szCs w:val="72"/>
          <w:lang w:eastAsia="zh-CN"/>
        </w:rPr>
        <w:t>中共红原县委员会宣传部</w:t>
      </w:r>
      <w:r>
        <w:rPr>
          <w:rFonts w:hint="eastAsia" w:ascii="方正小标宋简体" w:hAnsi="方正小标宋简体" w:eastAsia="方正小标宋简体" w:cs="方正小标宋简体"/>
          <w:sz w:val="72"/>
          <w:szCs w:val="72"/>
        </w:rPr>
        <w:t>部门决算</w:t>
      </w:r>
      <w:bookmarkEnd w:id="10"/>
      <w:bookmarkEnd w:id="11"/>
      <w:bookmarkEnd w:id="12"/>
      <w:bookmarkEnd w:id="13"/>
      <w:bookmarkEnd w:id="14"/>
      <w:bookmarkEnd w:id="15"/>
      <w:bookmarkEnd w:id="16"/>
      <w:bookmarkEnd w:id="17"/>
      <w:bookmarkEnd w:id="18"/>
      <w:bookmarkEnd w:id="19"/>
    </w:p>
    <w:p w14:paraId="7EF43556">
      <w:pPr>
        <w:pStyle w:val="19"/>
        <w:rPr>
          <w:rFonts w:hint="eastAsia" w:ascii="方正小标宋简体" w:hAnsi="方正小标宋简体" w:eastAsia="方正小标宋简体" w:cs="方正小标宋简体"/>
          <w:sz w:val="72"/>
          <w:szCs w:val="72"/>
        </w:rPr>
      </w:pPr>
    </w:p>
    <w:p w14:paraId="4AC4665B">
      <w:pPr>
        <w:pStyle w:val="12"/>
        <w:rPr>
          <w:rFonts w:hint="eastAsia" w:ascii="方正小标宋简体" w:hAnsi="方正小标宋简体" w:eastAsia="方正小标宋简体" w:cs="方正小标宋简体"/>
          <w:sz w:val="72"/>
          <w:szCs w:val="72"/>
        </w:rPr>
      </w:pPr>
    </w:p>
    <w:p w14:paraId="6089539C">
      <w:pPr>
        <w:pStyle w:val="12"/>
        <w:rPr>
          <w:rFonts w:hint="eastAsia" w:ascii="方正小标宋简体" w:hAnsi="方正小标宋简体" w:eastAsia="方正小标宋简体" w:cs="方正小标宋简体"/>
          <w:sz w:val="72"/>
          <w:szCs w:val="72"/>
        </w:rPr>
      </w:pPr>
    </w:p>
    <w:p w14:paraId="7CF99D64">
      <w:pPr>
        <w:pStyle w:val="12"/>
        <w:rPr>
          <w:rFonts w:hint="eastAsia" w:ascii="方正小标宋简体" w:hAnsi="方正小标宋简体" w:eastAsia="方正小标宋简体" w:cs="方正小标宋简体"/>
          <w:sz w:val="72"/>
          <w:szCs w:val="72"/>
        </w:rPr>
      </w:pPr>
    </w:p>
    <w:p w14:paraId="617553AE">
      <w:pPr>
        <w:pStyle w:val="18"/>
        <w:wordWrap w:val="0"/>
        <w:spacing w:before="0" w:beforeAutospacing="0" w:after="0" w:afterAutospacing="0" w:line="576" w:lineRule="exact"/>
        <w:ind w:firstLine="640" w:firstLineChars="200"/>
        <w:rPr>
          <w:rFonts w:hint="eastAsia" w:ascii="方正仿宋_GBK" w:hAnsi="方正仿宋_GBK" w:eastAsia="方正仿宋_GBK" w:cs="方正仿宋_GBK"/>
          <w:sz w:val="32"/>
          <w:szCs w:val="32"/>
          <w:shd w:val="clear" w:color="auto" w:fill="FFFFFF"/>
          <w:lang w:bidi="ar"/>
        </w:rPr>
      </w:pPr>
      <w:bookmarkStart w:id="20" w:name="_Toc30158"/>
      <w:bookmarkStart w:id="21" w:name="_Toc3192"/>
      <w:bookmarkStart w:id="22" w:name="_Toc24061"/>
      <w:bookmarkStart w:id="23" w:name="_Toc8490"/>
      <w:bookmarkStart w:id="24" w:name="_Toc10042"/>
      <w:bookmarkStart w:id="25" w:name="_Toc28746"/>
      <w:bookmarkStart w:id="26" w:name="_Toc14521"/>
      <w:bookmarkStart w:id="27" w:name="_Toc17477"/>
      <w:bookmarkStart w:id="28" w:name="_Toc13899"/>
      <w:r>
        <w:rPr>
          <w:rFonts w:hint="eastAsia" w:ascii="方正仿宋_GBK" w:hAnsi="方正仿宋_GBK" w:eastAsia="方正仿宋_GBK" w:cs="方正仿宋_GBK"/>
          <w:sz w:val="32"/>
          <w:szCs w:val="32"/>
          <w:shd w:val="clear" w:color="auto" w:fill="FFFFFF"/>
          <w:lang w:val="en-US" w:eastAsia="zh-CN" w:bidi="ar"/>
        </w:rPr>
        <w:t>保密审查情况：已审查，内容审定</w:t>
      </w:r>
      <w:bookmarkEnd w:id="20"/>
      <w:bookmarkEnd w:id="21"/>
      <w:bookmarkEnd w:id="22"/>
      <w:bookmarkEnd w:id="23"/>
      <w:bookmarkEnd w:id="24"/>
      <w:bookmarkEnd w:id="25"/>
      <w:bookmarkEnd w:id="26"/>
      <w:bookmarkEnd w:id="27"/>
      <w:bookmarkEnd w:id="28"/>
    </w:p>
    <w:p w14:paraId="12BB600B">
      <w:pPr>
        <w:pStyle w:val="18"/>
        <w:wordWrap w:val="0"/>
        <w:spacing w:before="0" w:beforeAutospacing="0" w:after="0" w:afterAutospacing="0" w:line="576" w:lineRule="exact"/>
        <w:ind w:firstLine="640" w:firstLineChars="200"/>
        <w:rPr>
          <w:rFonts w:hint="eastAsia" w:ascii="方正仿宋_GBK" w:hAnsi="方正仿宋_GBK" w:eastAsia="方正仿宋_GBK" w:cs="方正仿宋_GBK"/>
          <w:sz w:val="32"/>
          <w:szCs w:val="32"/>
          <w:shd w:val="clear" w:color="auto" w:fill="FFFFFF"/>
          <w:lang w:bidi="ar"/>
        </w:rPr>
      </w:pPr>
      <w:bookmarkStart w:id="29" w:name="_Toc32544"/>
      <w:bookmarkStart w:id="30" w:name="_Toc23196"/>
      <w:bookmarkStart w:id="31" w:name="_Toc24561"/>
      <w:bookmarkStart w:id="32" w:name="_Toc23851"/>
      <w:bookmarkStart w:id="33" w:name="_Toc631"/>
      <w:bookmarkStart w:id="34" w:name="_Toc2197"/>
      <w:bookmarkStart w:id="35" w:name="_Toc10088"/>
      <w:bookmarkStart w:id="36" w:name="_Toc2420"/>
      <w:bookmarkStart w:id="37" w:name="_Toc29906"/>
      <w:r>
        <w:rPr>
          <w:rFonts w:hint="eastAsia" w:ascii="方正仿宋_GBK" w:hAnsi="方正仿宋_GBK" w:eastAsia="方正仿宋_GBK" w:cs="方正仿宋_GBK"/>
          <w:sz w:val="32"/>
          <w:szCs w:val="32"/>
          <w:shd w:val="clear" w:color="auto" w:fill="FFFFFF"/>
          <w:lang w:val="en-US" w:eastAsia="zh-CN" w:bidi="ar"/>
        </w:rPr>
        <w:t>部门主要负责人审签情况：已审签，同意对外公开</w:t>
      </w:r>
      <w:bookmarkEnd w:id="29"/>
      <w:bookmarkEnd w:id="30"/>
      <w:bookmarkEnd w:id="31"/>
      <w:bookmarkEnd w:id="32"/>
      <w:bookmarkEnd w:id="33"/>
      <w:bookmarkEnd w:id="34"/>
      <w:bookmarkEnd w:id="35"/>
      <w:bookmarkEnd w:id="36"/>
      <w:bookmarkEnd w:id="37"/>
    </w:p>
    <w:p w14:paraId="32FA1A8C">
      <w:pPr>
        <w:spacing w:before="0" w:beforeLines="0" w:after="0" w:afterLines="0" w:line="240" w:lineRule="auto"/>
        <w:ind w:left="0" w:leftChars="0" w:right="0" w:rightChars="0" w:firstLine="0" w:firstLineChars="0"/>
        <w:jc w:val="center"/>
        <w:rPr>
          <w:rFonts w:hint="eastAsia"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4"/>
          <w:szCs w:val="44"/>
        </w:rPr>
        <w:t>目录</w:t>
      </w:r>
    </w:p>
    <w:p w14:paraId="37A11586">
      <w:pPr>
        <w:spacing w:before="0" w:beforeLines="0" w:after="0" w:afterLines="0" w:line="240" w:lineRule="auto"/>
        <w:ind w:left="0" w:leftChars="0" w:right="0" w:rightChars="0" w:firstLine="0" w:firstLineChars="0"/>
        <w:jc w:val="center"/>
      </w:pPr>
      <w:r>
        <w:rPr>
          <w:rFonts w:hint="eastAsia" w:ascii="方正仿宋_GBK" w:hAnsi="方正仿宋_GBK" w:eastAsia="方正仿宋_GBK" w:cs="方正仿宋_GBK"/>
          <w:kern w:val="0"/>
          <w:sz w:val="32"/>
          <w:szCs w:val="32"/>
          <w:shd w:val="clear" w:color="auto" w:fill="FFFFFF"/>
          <w:lang w:val="en-US" w:eastAsia="zh-CN" w:bidi="ar"/>
        </w:rPr>
        <w:t>公开时间：</w:t>
      </w:r>
      <w:r>
        <w:rPr>
          <w:rFonts w:hint="eastAsia" w:ascii="Times New Roman" w:hAnsi="Times New Roman" w:eastAsia="方正仿宋_GBK" w:cs="Times New Roman"/>
          <w:kern w:val="0"/>
          <w:sz w:val="32"/>
          <w:szCs w:val="32"/>
          <w:shd w:val="clear" w:color="auto" w:fill="FFFFFF"/>
          <w:lang w:val="en-US" w:eastAsia="zh-CN" w:bidi="ar"/>
        </w:rPr>
        <w:t>202</w:t>
      </w:r>
      <w:r>
        <w:rPr>
          <w:rFonts w:hint="eastAsia" w:eastAsia="方正仿宋_GBK" w:cs="Times New Roman"/>
          <w:kern w:val="0"/>
          <w:sz w:val="32"/>
          <w:szCs w:val="32"/>
          <w:shd w:val="clear" w:color="auto" w:fill="FFFFFF"/>
          <w:lang w:val="en-US" w:eastAsia="zh-CN" w:bidi="ar"/>
        </w:rPr>
        <w:t>5</w:t>
      </w:r>
      <w:r>
        <w:rPr>
          <w:rFonts w:hint="eastAsia" w:ascii="方正仿宋_GBK" w:hAnsi="方正仿宋_GBK" w:eastAsia="方正仿宋_GBK" w:cs="方正仿宋_GBK"/>
          <w:kern w:val="0"/>
          <w:sz w:val="32"/>
          <w:szCs w:val="32"/>
          <w:shd w:val="clear" w:color="auto" w:fill="FFFFFF"/>
          <w:lang w:val="en-US" w:eastAsia="zh-CN" w:bidi="ar"/>
        </w:rPr>
        <w:t>年</w:t>
      </w:r>
      <w:r>
        <w:rPr>
          <w:rFonts w:hint="eastAsia" w:eastAsia="方正仿宋_GBK" w:cs="Times New Roman"/>
          <w:kern w:val="0"/>
          <w:sz w:val="32"/>
          <w:szCs w:val="32"/>
          <w:shd w:val="clear" w:color="auto" w:fill="FFFFFF"/>
          <w:lang w:val="en-US" w:eastAsia="zh-CN" w:bidi="ar"/>
        </w:rPr>
        <w:t>9</w:t>
      </w:r>
      <w:r>
        <w:rPr>
          <w:rFonts w:hint="eastAsia" w:ascii="方正仿宋_GBK" w:hAnsi="方正仿宋_GBK" w:eastAsia="方正仿宋_GBK" w:cs="方正仿宋_GBK"/>
          <w:kern w:val="0"/>
          <w:sz w:val="32"/>
          <w:szCs w:val="32"/>
          <w:shd w:val="clear" w:color="auto" w:fill="FFFFFF"/>
          <w:lang w:val="en-US" w:eastAsia="zh-CN" w:bidi="ar"/>
        </w:rPr>
        <w:t>月</w:t>
      </w:r>
      <w:r>
        <w:rPr>
          <w:rFonts w:hint="eastAsia" w:eastAsia="方正仿宋_GBK" w:cs="Times New Roman"/>
          <w:kern w:val="0"/>
          <w:sz w:val="32"/>
          <w:szCs w:val="32"/>
          <w:shd w:val="clear" w:color="auto" w:fill="FFFFFF"/>
          <w:lang w:val="en-US" w:eastAsia="zh-CN" w:bidi="ar"/>
        </w:rPr>
        <w:t>25</w:t>
      </w:r>
      <w:bookmarkStart w:id="102" w:name="_GoBack"/>
      <w:bookmarkEnd w:id="102"/>
      <w:r>
        <w:rPr>
          <w:rFonts w:hint="eastAsia" w:ascii="方正仿宋_GBK" w:hAnsi="方正仿宋_GBK" w:eastAsia="方正仿宋_GBK" w:cs="方正仿宋_GBK"/>
          <w:kern w:val="0"/>
          <w:sz w:val="32"/>
          <w:szCs w:val="32"/>
          <w:shd w:val="clear" w:color="auto" w:fill="FFFFFF"/>
          <w:lang w:val="en-US" w:eastAsia="zh-CN" w:bidi="ar"/>
        </w:rPr>
        <w:t>日</w:t>
      </w:r>
    </w:p>
    <w:sdt>
      <w:sdtPr>
        <w:rPr>
          <w:rFonts w:ascii="宋体" w:hAnsi="宋体" w:eastAsia="宋体" w:cs="Times New Roman"/>
          <w:kern w:val="2"/>
          <w:sz w:val="21"/>
          <w:szCs w:val="24"/>
          <w:lang w:val="en-US" w:eastAsia="zh-CN" w:bidi="ar-SA"/>
        </w:rPr>
        <w:id w:val="147456938"/>
        <w15:color w:val="DBDBDB"/>
        <w:docPartObj>
          <w:docPartGallery w:val="Table of Contents"/>
          <w:docPartUnique/>
        </w:docPartObj>
      </w:sdtPr>
      <w:sdtEndPr>
        <w:rPr>
          <w:rFonts w:hint="eastAsia" w:ascii="宋体" w:hAnsi="宋体" w:eastAsia="宋体" w:cs="Courier New"/>
          <w:kern w:val="0"/>
          <w:sz w:val="24"/>
          <w:szCs w:val="24"/>
          <w:lang w:val="en-US" w:eastAsia="zh-CN" w:bidi="ar"/>
        </w:rPr>
      </w:sdtEndPr>
      <w:sdtContent>
        <w:p w14:paraId="049EA9AC">
          <w:pPr>
            <w:spacing w:before="0" w:beforeLines="0" w:after="0" w:afterLines="0" w:line="240" w:lineRule="auto"/>
            <w:ind w:left="0" w:leftChars="0" w:right="0" w:rightChars="0" w:firstLine="0" w:firstLineChars="0"/>
            <w:jc w:val="center"/>
          </w:pPr>
        </w:p>
        <w:p w14:paraId="055CA80A">
          <w:pPr>
            <w:pStyle w:val="16"/>
            <w:tabs>
              <w:tab w:val="right" w:leader="dot" w:pos="8306"/>
              <w:tab w:val="clear" w:pos="8296"/>
            </w:tabs>
            <w:rPr>
              <w:rFonts w:hint="eastAsia" w:ascii="方正仿宋_GBK" w:hAnsi="方正仿宋_GBK" w:eastAsia="方正仿宋_GBK" w:cs="方正仿宋_GBK"/>
              <w:sz w:val="32"/>
              <w:szCs w:val="32"/>
            </w:rPr>
          </w:pPr>
          <w:r>
            <w:rPr>
              <w:rFonts w:hint="eastAsia" w:ascii="宋体" w:hAnsi="宋体" w:eastAsia="宋体" w:cs="Courier New"/>
              <w:b/>
              <w:kern w:val="0"/>
              <w:sz w:val="24"/>
              <w:szCs w:val="24"/>
              <w:lang w:val="en-US" w:eastAsia="zh-CN" w:bidi="ar"/>
            </w:rPr>
            <w:fldChar w:fldCharType="begin"/>
          </w:r>
          <w:r>
            <w:rPr>
              <w:rFonts w:hint="eastAsia" w:ascii="宋体" w:hAnsi="宋体" w:eastAsia="宋体" w:cs="Courier New"/>
              <w:b/>
              <w:kern w:val="0"/>
              <w:sz w:val="24"/>
              <w:szCs w:val="24"/>
              <w:lang w:val="en-US" w:eastAsia="zh-CN" w:bidi="ar"/>
            </w:rPr>
            <w:instrText xml:space="preserve">TOC \o "1-2" \h \u </w:instrText>
          </w:r>
          <w:r>
            <w:rPr>
              <w:rFonts w:hint="eastAsia" w:ascii="宋体" w:hAnsi="宋体" w:eastAsia="宋体" w:cs="Courier New"/>
              <w:b/>
              <w:kern w:val="0"/>
              <w:sz w:val="24"/>
              <w:szCs w:val="24"/>
              <w:lang w:val="en-US" w:eastAsia="zh-CN" w:bidi="ar"/>
            </w:rPr>
            <w:fldChar w:fldCharType="separate"/>
          </w: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_Toc2947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lang w:val="en-US" w:eastAsia="zh-CN" w:bidi="ar"/>
            </w:rPr>
            <w:t>2024</w:t>
          </w:r>
          <w:r>
            <w:rPr>
              <w:rFonts w:hint="eastAsia" w:ascii="方正仿宋_GBK" w:hAnsi="方正仿宋_GBK" w:eastAsia="方正仿宋_GBK" w:cs="方正仿宋_GBK"/>
              <w:sz w:val="32"/>
              <w:szCs w:val="32"/>
            </w:rPr>
            <w:t>年度</w:t>
          </w:r>
          <w:r>
            <w:rPr>
              <w:rFonts w:hint="eastAsia" w:ascii="方正仿宋_GBK" w:hAnsi="方正仿宋_GBK" w:eastAsia="方正仿宋_GBK" w:cs="方正仿宋_GBK"/>
              <w:kern w:val="0"/>
              <w:sz w:val="32"/>
              <w:szCs w:val="32"/>
              <w:lang w:val="en-US" w:eastAsia="zh-CN" w:bidi="ar"/>
            </w:rPr>
            <w:fldChar w:fldCharType="end"/>
          </w: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_Toc14646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lang w:eastAsia="zh-CN"/>
            </w:rPr>
            <w:t>中共红原县委员会宣传部</w:t>
          </w:r>
          <w:r>
            <w:rPr>
              <w:rFonts w:hint="eastAsia" w:ascii="方正仿宋_GBK" w:hAnsi="方正仿宋_GBK" w:eastAsia="方正仿宋_GBK" w:cs="方正仿宋_GBK"/>
              <w:sz w:val="32"/>
              <w:szCs w:val="32"/>
            </w:rPr>
            <w:t>部门决算</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_Toc14646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09DD2339">
          <w:pPr>
            <w:pStyle w:val="16"/>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_Toc31165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b/>
              <w:bCs/>
              <w:sz w:val="32"/>
              <w:szCs w:val="32"/>
            </w:rPr>
            <w:t>第一部分 部门概况</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_Toc31165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6E1B0817">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_Toc7991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shd w:val="clear" w:color="auto" w:fill="FFFFFF"/>
            </w:rPr>
            <w:t>一、部门职责</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_Toc7991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6F77C7F2">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_Toc28106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shd w:val="clear" w:color="auto" w:fill="FFFFFF"/>
              <w:lang w:eastAsia="zh-CN"/>
            </w:rPr>
            <w:t>二、</w:t>
          </w:r>
          <w:r>
            <w:rPr>
              <w:rFonts w:hint="eastAsia" w:ascii="方正仿宋_GBK" w:hAnsi="方正仿宋_GBK" w:eastAsia="方正仿宋_GBK" w:cs="方正仿宋_GBK"/>
              <w:sz w:val="32"/>
              <w:szCs w:val="32"/>
              <w:shd w:val="clear" w:color="auto" w:fill="FFFFFF"/>
            </w:rPr>
            <w:t>当年取得的主要事业成效。</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_Toc28106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1DEB5C39">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_Toc10362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shd w:val="clear" w:color="auto" w:fill="FFFFFF"/>
              <w:lang w:eastAsia="zh-CN"/>
            </w:rPr>
            <w:t>三、机构设置</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_Toc10362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4CFC14A0">
          <w:pPr>
            <w:pStyle w:val="16"/>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_Toc6878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b/>
              <w:bCs/>
              <w:sz w:val="32"/>
              <w:szCs w:val="32"/>
            </w:rPr>
            <w:t xml:space="preserve">第二部分 </w:t>
          </w:r>
          <w:r>
            <w:rPr>
              <w:rFonts w:hint="eastAsia" w:ascii="方正仿宋_GBK" w:hAnsi="方正仿宋_GBK" w:eastAsia="方正仿宋_GBK" w:cs="方正仿宋_GBK"/>
              <w:b/>
              <w:bCs/>
              <w:sz w:val="32"/>
              <w:szCs w:val="32"/>
              <w:lang w:val="en-US" w:eastAsia="zh-CN"/>
            </w:rPr>
            <w:t>2024</w:t>
          </w:r>
          <w:r>
            <w:rPr>
              <w:rFonts w:hint="eastAsia" w:ascii="方正仿宋_GBK" w:hAnsi="方正仿宋_GBK" w:eastAsia="方正仿宋_GBK" w:cs="方正仿宋_GBK"/>
              <w:b/>
              <w:bCs/>
              <w:sz w:val="32"/>
              <w:szCs w:val="32"/>
            </w:rPr>
            <w:t>年度部门决算情况说明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_Toc6878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2ADBF58C">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_Toc23369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lang w:eastAsia="zh-CN"/>
            </w:rPr>
            <w:t>一、</w:t>
          </w:r>
          <w:r>
            <w:rPr>
              <w:rFonts w:hint="eastAsia" w:ascii="方正仿宋_GBK" w:hAnsi="方正仿宋_GBK" w:eastAsia="方正仿宋_GBK" w:cs="方正仿宋_GBK"/>
              <w:sz w:val="32"/>
              <w:szCs w:val="32"/>
            </w:rPr>
            <w:t>收入支出决算总体情况说明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_Toc23369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06C42EAF">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_Toc5747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收入决算情况说明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_Toc5747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2A789962">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_Toc26149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lang w:eastAsia="zh-CN"/>
            </w:rPr>
            <w:t>三、</w:t>
          </w:r>
          <w:r>
            <w:rPr>
              <w:rFonts w:hint="eastAsia" w:ascii="方正仿宋_GBK" w:hAnsi="方正仿宋_GBK" w:eastAsia="方正仿宋_GBK" w:cs="方正仿宋_GBK"/>
              <w:sz w:val="32"/>
              <w:szCs w:val="32"/>
            </w:rPr>
            <w:t>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_Toc26149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3AF0A573">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_Toc20529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lang w:eastAsia="zh-CN"/>
            </w:rPr>
            <w:t>四、</w:t>
          </w:r>
          <w:r>
            <w:rPr>
              <w:rFonts w:hint="eastAsia" w:ascii="方正仿宋_GBK" w:hAnsi="方正仿宋_GBK" w:eastAsia="方正仿宋_GBK" w:cs="方正仿宋_GBK"/>
              <w:sz w:val="32"/>
              <w:szCs w:val="32"/>
            </w:rPr>
            <w:t>财政拨款收入支出决算总体情况说明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_Toc20529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8</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44C76132">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_Toc12440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highlight w:val="none"/>
            </w:rPr>
            <w:t>五、一般公共预算财政拨款支出决算情况说明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_Toc12440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8</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31B57B29">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_Toc30193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rPr>
            <w:t>六、一般公共预算财政拨款基本支出决算情况说明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_Toc30193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11</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264F2485">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_Toc27561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rPr>
            <w:t>七、财政拨款“三公”经费支出决算情况说明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_Toc27561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12</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69F35D4E">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_Toc3308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rPr>
            <w:t>八、政府性基金预算支出决算情况说明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_Toc3308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6BFB12A4">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_Toc26317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rPr>
            <w:t>九、 国有资本经营预算支出决算情况说明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_Toc26317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5A8A345F">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_Toc4444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rPr>
            <w:t>十、 其他重要事项的情况说明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_Toc4444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6D7AD161">
          <w:pPr>
            <w:pStyle w:val="16"/>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_Toc21900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b/>
              <w:bCs/>
              <w:sz w:val="32"/>
              <w:szCs w:val="32"/>
            </w:rPr>
            <w:t>第三部分 名词解释</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_Toc21900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14</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10A9509A">
          <w:pPr>
            <w:pStyle w:val="16"/>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_Toc14352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b/>
              <w:bCs/>
              <w:sz w:val="32"/>
              <w:szCs w:val="32"/>
            </w:rPr>
            <w:t>第四部分 附件</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_Toc14352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62817416">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_Toc21307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rPr>
            <w:t>附件1</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_Toc21307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3C74A67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720" w:lineRule="auto"/>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_Toc2503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rPr>
            <w:t>一、</w:t>
          </w:r>
          <w:r>
            <w:rPr>
              <w:rFonts w:hint="eastAsia" w:ascii="方正仿宋_GBK" w:hAnsi="方正仿宋_GBK" w:eastAsia="方正仿宋_GBK" w:cs="方正仿宋_GBK"/>
              <w:kern w:val="0"/>
              <w:sz w:val="32"/>
              <w:szCs w:val="32"/>
              <w:shd w:val="clear" w:color="auto" w:fill="FFFFFF"/>
              <w:lang w:val="zh-CN"/>
            </w:rPr>
            <w:t>部门（单位）概况</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_Toc2503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3D2EBACB">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_Toc7532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rPr>
            <w:t>二、</w:t>
          </w:r>
          <w:r>
            <w:rPr>
              <w:rFonts w:hint="eastAsia" w:ascii="方正仿宋_GBK" w:hAnsi="方正仿宋_GBK" w:eastAsia="方正仿宋_GBK" w:cs="方正仿宋_GBK"/>
              <w:kern w:val="0"/>
              <w:sz w:val="32"/>
              <w:szCs w:val="32"/>
              <w:shd w:val="clear" w:color="auto" w:fill="FFFFFF"/>
              <w:lang w:eastAsia="zh-CN"/>
            </w:rPr>
            <w:t>部门</w:t>
          </w:r>
          <w:r>
            <w:rPr>
              <w:rFonts w:hint="eastAsia" w:ascii="方正仿宋_GBK" w:hAnsi="方正仿宋_GBK" w:eastAsia="方正仿宋_GBK" w:cs="方正仿宋_GBK"/>
              <w:kern w:val="0"/>
              <w:sz w:val="32"/>
              <w:szCs w:val="32"/>
              <w:shd w:val="clear" w:color="auto" w:fill="FFFFFF"/>
            </w:rPr>
            <w:t>资金收支情况</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_Toc7532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18</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1ED8811E">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_Toc3668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lang w:eastAsia="zh-CN"/>
            </w:rPr>
            <w:t>三、部门预算绩效分析</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_Toc3668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18</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77908592">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_Toc778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lang w:eastAsia="zh-CN"/>
            </w:rPr>
            <w:t>四、评价结论及建议</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_Toc778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21</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561D27F3">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_Toc11726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sz w:val="32"/>
              <w:szCs w:val="32"/>
            </w:rPr>
            <w:t>附件2</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_Toc11726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6706CA61">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_Toc13632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lang w:eastAsia="zh-CN"/>
            </w:rPr>
            <w:t>一、</w:t>
          </w:r>
          <w:r>
            <w:rPr>
              <w:rFonts w:hint="eastAsia" w:ascii="方正仿宋_GBK" w:hAnsi="方正仿宋_GBK" w:eastAsia="方正仿宋_GBK" w:cs="方正仿宋_GBK"/>
              <w:kern w:val="0"/>
              <w:sz w:val="32"/>
              <w:szCs w:val="32"/>
              <w:shd w:val="clear" w:color="auto" w:fill="FFFFFF"/>
              <w:lang w:val="zh-CN" w:eastAsia="zh-CN"/>
            </w:rPr>
            <w:t>项目概况</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_Toc13632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5F1828E6">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_Toc24670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lang w:val="zh-CN" w:eastAsia="zh-CN"/>
            </w:rPr>
            <w:t>二、评价结论</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_Toc24670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24</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3808CC5D">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_Toc20628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lang w:val="zh-CN" w:eastAsia="zh-CN"/>
            </w:rPr>
            <w:t>三、存在主要问题</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_Toc20628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24</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3BB21D77">
          <w:pPr>
            <w:pStyle w:val="17"/>
            <w:tabs>
              <w:tab w:val="right" w:leader="dot" w:pos="8306"/>
              <w:tab w:val="clear" w:pos="829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_Toc18798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kern w:val="0"/>
              <w:sz w:val="32"/>
              <w:szCs w:val="32"/>
              <w:shd w:val="clear" w:color="auto" w:fill="FFFFFF"/>
              <w:lang w:val="zh-CN" w:eastAsia="zh-CN"/>
            </w:rPr>
            <w:t>四、改进建议</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_Toc18798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24</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789CD988">
          <w:pPr>
            <w:pStyle w:val="16"/>
            <w:tabs>
              <w:tab w:val="right" w:leader="dot" w:pos="8306"/>
              <w:tab w:val="clear" w:pos="8296"/>
            </w:tabs>
          </w:pPr>
          <w:r>
            <w:rPr>
              <w:rFonts w:hint="eastAsia" w:ascii="方正仿宋_GBK" w:hAnsi="方正仿宋_GBK" w:eastAsia="方正仿宋_GBK" w:cs="方正仿宋_GBK"/>
              <w:kern w:val="0"/>
              <w:sz w:val="32"/>
              <w:szCs w:val="32"/>
              <w:lang w:val="en-US" w:eastAsia="zh-CN" w:bidi="ar"/>
            </w:rPr>
            <w:fldChar w:fldCharType="begin"/>
          </w:r>
          <w:r>
            <w:rPr>
              <w:rFonts w:hint="eastAsia" w:ascii="方正仿宋_GBK" w:hAnsi="方正仿宋_GBK" w:eastAsia="方正仿宋_GBK" w:cs="方正仿宋_GBK"/>
              <w:kern w:val="0"/>
              <w:sz w:val="32"/>
              <w:szCs w:val="32"/>
              <w:lang w:val="en-US" w:eastAsia="zh-CN" w:bidi="ar"/>
            </w:rPr>
            <w:instrText xml:space="preserve"> HYPERLINK \l _Toc26592 </w:instrText>
          </w:r>
          <w:r>
            <w:rPr>
              <w:rFonts w:hint="eastAsia" w:ascii="方正仿宋_GBK" w:hAnsi="方正仿宋_GBK" w:eastAsia="方正仿宋_GBK" w:cs="方正仿宋_GBK"/>
              <w:kern w:val="0"/>
              <w:sz w:val="32"/>
              <w:szCs w:val="32"/>
              <w:lang w:val="en-US" w:eastAsia="zh-CN" w:bidi="ar"/>
            </w:rPr>
            <w:fldChar w:fldCharType="separate"/>
          </w:r>
          <w:r>
            <w:rPr>
              <w:rFonts w:hint="eastAsia" w:ascii="方正仿宋_GBK" w:hAnsi="方正仿宋_GBK" w:eastAsia="方正仿宋_GBK" w:cs="方正仿宋_GBK"/>
              <w:b/>
              <w:bCs/>
              <w:sz w:val="32"/>
              <w:szCs w:val="32"/>
            </w:rPr>
            <w:t>附表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PAGEREF _Toc26592 \h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25</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kern w:val="0"/>
              <w:sz w:val="32"/>
              <w:szCs w:val="32"/>
              <w:lang w:val="en-US" w:eastAsia="zh-CN" w:bidi="ar"/>
            </w:rPr>
            <w:fldChar w:fldCharType="end"/>
          </w:r>
        </w:p>
        <w:p w14:paraId="48CAC52F">
          <w:pPr>
            <w:pStyle w:val="12"/>
            <w:rPr>
              <w:rFonts w:hint="eastAsia" w:ascii="宋体" w:hAnsi="宋体" w:eastAsia="宋体" w:cs="Courier New"/>
              <w:kern w:val="0"/>
              <w:szCs w:val="24"/>
              <w:lang w:val="en-US" w:eastAsia="zh-CN" w:bidi="ar"/>
            </w:rPr>
          </w:pPr>
          <w:r>
            <w:rPr>
              <w:rFonts w:hint="eastAsia" w:ascii="宋体" w:hAnsi="宋体" w:eastAsia="宋体" w:cs="Courier New"/>
              <w:kern w:val="0"/>
              <w:szCs w:val="24"/>
              <w:lang w:val="en-US" w:eastAsia="zh-CN" w:bidi="ar"/>
            </w:rPr>
            <w:fldChar w:fldCharType="end"/>
          </w:r>
        </w:p>
        <w:p w14:paraId="39531D88">
          <w:pPr>
            <w:pStyle w:val="12"/>
            <w:rPr>
              <w:rFonts w:hint="eastAsia" w:ascii="宋体" w:hAnsi="宋体" w:eastAsia="宋体" w:cs="Courier New"/>
              <w:kern w:val="0"/>
              <w:szCs w:val="24"/>
              <w:lang w:val="en-US" w:eastAsia="zh-CN" w:bidi="ar"/>
            </w:rPr>
          </w:pPr>
        </w:p>
        <w:p w14:paraId="3676CE99">
          <w:pPr>
            <w:pStyle w:val="12"/>
            <w:rPr>
              <w:rFonts w:hint="eastAsia" w:ascii="宋体" w:hAnsi="宋体" w:eastAsia="宋体" w:cs="Courier New"/>
              <w:kern w:val="0"/>
              <w:szCs w:val="24"/>
              <w:lang w:val="en-US" w:eastAsia="zh-CN" w:bidi="ar"/>
            </w:rPr>
          </w:pPr>
        </w:p>
        <w:p w14:paraId="0FE511E4">
          <w:pPr>
            <w:pStyle w:val="12"/>
            <w:rPr>
              <w:rFonts w:hint="eastAsia" w:ascii="宋体" w:hAnsi="宋体" w:eastAsia="宋体" w:cs="Courier New"/>
              <w:kern w:val="0"/>
              <w:sz w:val="24"/>
              <w:szCs w:val="24"/>
              <w:lang w:val="en-US" w:eastAsia="zh-CN" w:bidi="ar"/>
            </w:rPr>
          </w:pPr>
        </w:p>
      </w:sdtContent>
    </w:sdt>
    <w:p w14:paraId="1A7BA59A">
      <w:pPr>
        <w:pStyle w:val="3"/>
        <w:jc w:val="center"/>
        <w:rPr>
          <w:rStyle w:val="44"/>
          <w:rFonts w:hint="eastAsia" w:ascii="黑体" w:eastAsia="黑体"/>
          <w:b w:val="0"/>
          <w:bCs w:val="0"/>
        </w:rPr>
      </w:pPr>
      <w:bookmarkStart w:id="38" w:name="_Toc31165"/>
    </w:p>
    <w:p w14:paraId="52CF93C0">
      <w:pPr>
        <w:pStyle w:val="3"/>
        <w:jc w:val="center"/>
        <w:rPr>
          <w:rStyle w:val="44"/>
          <w:rFonts w:hint="eastAsia" w:ascii="黑体" w:eastAsia="黑体"/>
          <w:b w:val="0"/>
          <w:bCs w:val="0"/>
        </w:rPr>
      </w:pPr>
      <w:r>
        <w:rPr>
          <w:rStyle w:val="44"/>
          <w:rFonts w:hint="eastAsia" w:ascii="黑体" w:eastAsia="黑体"/>
          <w:b w:val="0"/>
          <w:bCs w:val="0"/>
        </w:rPr>
        <w:t>第一部分 部门概况</w:t>
      </w:r>
      <w:bookmarkEnd w:id="38"/>
    </w:p>
    <w:p w14:paraId="4838D2CC">
      <w:pPr>
        <w:pStyle w:val="17"/>
        <w:keepNext w:val="0"/>
        <w:keepLines w:val="0"/>
        <w:pageBreakBefore w:val="0"/>
        <w:kinsoku/>
        <w:overflowPunct/>
        <w:topLinePunct w:val="0"/>
        <w:autoSpaceDE/>
        <w:autoSpaceDN/>
        <w:bidi w:val="0"/>
        <w:adjustRightInd w:val="0"/>
        <w:snapToGrid w:val="0"/>
        <w:spacing w:line="554" w:lineRule="exact"/>
        <w:ind w:left="0" w:leftChars="0" w:firstLine="0" w:firstLineChars="0"/>
        <w:jc w:val="left"/>
        <w:textAlignment w:val="auto"/>
        <w:outlineLvl w:val="1"/>
        <w:rPr>
          <w:rStyle w:val="42"/>
          <w:rFonts w:hint="eastAsia" w:ascii="仿宋" w:hAnsi="仿宋" w:eastAsia="仿宋" w:cs="仿宋"/>
          <w:sz w:val="30"/>
          <w:szCs w:val="30"/>
          <w:shd w:val="clear" w:color="auto" w:fill="FFFFFF"/>
        </w:rPr>
      </w:pPr>
      <w:bookmarkStart w:id="39" w:name="_Toc7991"/>
      <w:r>
        <w:rPr>
          <w:rStyle w:val="42"/>
          <w:rFonts w:hint="eastAsia" w:ascii="仿宋" w:hAnsi="仿宋" w:eastAsia="仿宋" w:cs="仿宋"/>
          <w:sz w:val="30"/>
          <w:szCs w:val="30"/>
          <w:shd w:val="clear" w:color="auto" w:fill="FFFFFF"/>
        </w:rPr>
        <w:t>一、部门职责</w:t>
      </w:r>
      <w:bookmarkEnd w:id="39"/>
    </w:p>
    <w:p w14:paraId="49DD08B9">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县委宣传部是县委主管意识形态方面工作的综合职能部门。主要职责是：</w:t>
      </w:r>
    </w:p>
    <w:p w14:paraId="3F882B24">
      <w:pPr>
        <w:pStyle w:val="9"/>
        <w:adjustRightInd w:val="0"/>
        <w:snapToGrid w:val="0"/>
        <w:spacing w:before="93" w:line="600" w:lineRule="exact"/>
        <w:ind w:firstLine="640" w:firstLineChars="200"/>
        <w:outlineLvl w:val="2"/>
        <w:rPr>
          <w:rFonts w:hint="eastAsia" w:ascii="仿宋_GB2312" w:hAnsi="仿宋_GB2312" w:eastAsia="仿宋_GB2312" w:cs="仿宋_GB2312"/>
          <w:bCs/>
          <w:sz w:val="32"/>
          <w:szCs w:val="32"/>
        </w:rPr>
      </w:pPr>
      <w:r>
        <w:rPr>
          <w:rFonts w:hint="eastAsia" w:hAnsi="仿宋_GB2312" w:cs="仿宋_GB2312"/>
          <w:bCs/>
          <w:sz w:val="32"/>
          <w:szCs w:val="32"/>
          <w:lang w:val="en-US" w:eastAsia="zh-CN"/>
        </w:rPr>
        <w:t>一是</w:t>
      </w:r>
      <w:r>
        <w:rPr>
          <w:rFonts w:hint="eastAsia" w:ascii="仿宋_GB2312" w:hAnsi="仿宋_GB2312" w:eastAsia="仿宋_GB2312" w:cs="仿宋_GB2312"/>
          <w:bCs/>
          <w:sz w:val="32"/>
          <w:szCs w:val="32"/>
        </w:rPr>
        <w:t>负责组织、指导全县的理论研究、理论学习和理论宣传工作。</w:t>
      </w:r>
      <w:r>
        <w:rPr>
          <w:rFonts w:hint="eastAsia" w:hAnsi="仿宋_GB2312" w:cs="仿宋_GB2312"/>
          <w:bCs/>
          <w:sz w:val="32"/>
          <w:szCs w:val="32"/>
          <w:lang w:val="en-US" w:eastAsia="zh-CN"/>
        </w:rPr>
        <w:t>二是</w:t>
      </w:r>
      <w:r>
        <w:rPr>
          <w:rFonts w:hint="eastAsia" w:ascii="仿宋_GB2312" w:hAnsi="仿宋_GB2312" w:eastAsia="仿宋_GB2312" w:cs="仿宋_GB2312"/>
          <w:bCs/>
          <w:sz w:val="32"/>
          <w:szCs w:val="32"/>
        </w:rPr>
        <w:t>负责引导社会舆论，指导协调新闻、出版部门的工作。对县广播电视局、县文化体育局、县新闻出版工作实施方案方针政策指导，管理县记者协会，并在政治方向和方针政策方面实施领导。</w:t>
      </w:r>
      <w:r>
        <w:rPr>
          <w:rFonts w:hint="eastAsia" w:hAnsi="仿宋_GB2312" w:cs="仿宋_GB2312"/>
          <w:bCs/>
          <w:sz w:val="32"/>
          <w:szCs w:val="32"/>
          <w:lang w:val="en-US" w:eastAsia="zh-CN"/>
        </w:rPr>
        <w:t>三是</w:t>
      </w:r>
      <w:r>
        <w:rPr>
          <w:rFonts w:hint="eastAsia" w:ascii="仿宋_GB2312" w:hAnsi="仿宋_GB2312" w:eastAsia="仿宋_GB2312" w:cs="仿宋_GB2312"/>
          <w:bCs/>
          <w:sz w:val="32"/>
          <w:szCs w:val="32"/>
        </w:rPr>
        <w:t>负责规划、部署全局性的思想政治工作任务，会同有关部门研究和改进群众思想教育工作。</w:t>
      </w:r>
      <w:r>
        <w:rPr>
          <w:rFonts w:hint="eastAsia" w:hAnsi="仿宋_GB2312" w:cs="仿宋_GB2312"/>
          <w:bCs/>
          <w:sz w:val="32"/>
          <w:szCs w:val="32"/>
          <w:lang w:val="en-US" w:eastAsia="zh-CN"/>
        </w:rPr>
        <w:t>四是</w:t>
      </w:r>
      <w:r>
        <w:rPr>
          <w:rFonts w:hint="eastAsia" w:ascii="仿宋_GB2312" w:hAnsi="仿宋_GB2312" w:eastAsia="仿宋_GB2312" w:cs="仿宋_GB2312"/>
          <w:bCs/>
          <w:sz w:val="32"/>
          <w:szCs w:val="32"/>
        </w:rPr>
        <w:t>负责指导、协调全县精神文明建设活动的开展。</w:t>
      </w:r>
      <w:r>
        <w:rPr>
          <w:rFonts w:hint="eastAsia" w:hAnsi="仿宋_GB2312" w:cs="仿宋_GB2312"/>
          <w:bCs/>
          <w:sz w:val="32"/>
          <w:szCs w:val="32"/>
          <w:lang w:val="en-US" w:eastAsia="zh-CN"/>
        </w:rPr>
        <w:t>五是</w:t>
      </w:r>
      <w:r>
        <w:rPr>
          <w:rFonts w:hint="eastAsia" w:ascii="仿宋_GB2312" w:hAnsi="仿宋_GB2312" w:eastAsia="仿宋_GB2312" w:cs="仿宋_GB2312"/>
          <w:bCs/>
          <w:sz w:val="32"/>
          <w:szCs w:val="32"/>
        </w:rPr>
        <w:t>配合县委组织部做好党员教育工作；负责编审党员教育教材；指导全县党员学习。</w:t>
      </w:r>
      <w:r>
        <w:rPr>
          <w:rFonts w:hint="eastAsia" w:hAnsi="仿宋_GB2312" w:cs="仿宋_GB2312"/>
          <w:bCs/>
          <w:sz w:val="32"/>
          <w:szCs w:val="32"/>
          <w:lang w:val="en-US" w:eastAsia="zh-CN"/>
        </w:rPr>
        <w:t>六是</w:t>
      </w:r>
      <w:r>
        <w:rPr>
          <w:rFonts w:hint="eastAsia" w:ascii="仿宋_GB2312" w:hAnsi="仿宋_GB2312" w:eastAsia="仿宋_GB2312" w:cs="仿宋_GB2312"/>
          <w:bCs/>
          <w:sz w:val="32"/>
          <w:szCs w:val="32"/>
        </w:rPr>
        <w:t>负责从宏观上指导全县各级各类学校的德育、政治理论教学和思想政治工作。</w:t>
      </w:r>
      <w:r>
        <w:rPr>
          <w:rFonts w:hint="eastAsia" w:hAnsi="仿宋_GB2312" w:cs="仿宋_GB2312"/>
          <w:bCs/>
          <w:sz w:val="32"/>
          <w:szCs w:val="32"/>
          <w:lang w:val="en-US" w:eastAsia="zh-CN"/>
        </w:rPr>
        <w:t>七是</w:t>
      </w:r>
      <w:r>
        <w:rPr>
          <w:rFonts w:hint="eastAsia" w:ascii="仿宋_GB2312" w:hAnsi="仿宋_GB2312" w:eastAsia="仿宋_GB2312" w:cs="仿宋_GB2312"/>
          <w:bCs/>
          <w:sz w:val="32"/>
          <w:szCs w:val="32"/>
        </w:rPr>
        <w:t>负责全县对外和港澳台的宣传工作；指导协调全县对外文化交流工作。</w:t>
      </w:r>
      <w:r>
        <w:rPr>
          <w:rFonts w:hint="eastAsia" w:hAnsi="仿宋_GB2312" w:cs="仿宋_GB2312"/>
          <w:bCs/>
          <w:sz w:val="32"/>
          <w:szCs w:val="32"/>
          <w:lang w:val="en-US" w:eastAsia="zh-CN"/>
        </w:rPr>
        <w:t>八是</w:t>
      </w:r>
      <w:r>
        <w:rPr>
          <w:rFonts w:hint="eastAsia" w:ascii="仿宋_GB2312" w:hAnsi="仿宋_GB2312" w:eastAsia="仿宋_GB2312" w:cs="仿宋_GB2312"/>
          <w:bCs/>
          <w:sz w:val="32"/>
          <w:szCs w:val="32"/>
        </w:rPr>
        <w:t>受县委委托，会同县委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r>
        <w:rPr>
          <w:rFonts w:hint="eastAsia" w:hAnsi="仿宋_GB2312" w:cs="仿宋_GB2312"/>
          <w:bCs/>
          <w:sz w:val="32"/>
          <w:szCs w:val="32"/>
          <w:lang w:val="en-US" w:eastAsia="zh-CN"/>
        </w:rPr>
        <w:t>九是</w:t>
      </w:r>
      <w:r>
        <w:rPr>
          <w:rFonts w:hint="eastAsia" w:ascii="仿宋_GB2312" w:hAnsi="仿宋_GB2312" w:eastAsia="仿宋_GB2312" w:cs="仿宋_GB2312"/>
          <w:bCs/>
          <w:sz w:val="32"/>
          <w:szCs w:val="32"/>
        </w:rPr>
        <w:t>负责提出全县宣传文化事业发展的指导方针；指导宣传文化系统制定政策、法规；按照县委的工作部署，对宣传文化系统各部门之间的工作进行协调。</w:t>
      </w:r>
      <w:r>
        <w:rPr>
          <w:rFonts w:hint="eastAsia" w:hAnsi="仿宋_GB2312" w:cs="仿宋_GB2312"/>
          <w:bCs/>
          <w:sz w:val="32"/>
          <w:szCs w:val="32"/>
          <w:lang w:val="en-US" w:eastAsia="zh-CN"/>
        </w:rPr>
        <w:t>十是</w:t>
      </w:r>
      <w:r>
        <w:rPr>
          <w:rFonts w:hint="eastAsia" w:ascii="仿宋_GB2312" w:hAnsi="仿宋_GB2312" w:eastAsia="仿宋_GB2312" w:cs="仿宋_GB2312"/>
          <w:bCs/>
          <w:sz w:val="32"/>
          <w:szCs w:val="32"/>
        </w:rPr>
        <w:t>根据州，县宣传报道要点，组织采写稿件，并向《阿坝日报》、《四川日报》等各级办刊推荐。</w:t>
      </w:r>
    </w:p>
    <w:p w14:paraId="42111A08">
      <w:pPr>
        <w:pStyle w:val="17"/>
        <w:keepNext w:val="0"/>
        <w:keepLines w:val="0"/>
        <w:pageBreakBefore w:val="0"/>
        <w:kinsoku/>
        <w:overflowPunct/>
        <w:topLinePunct w:val="0"/>
        <w:autoSpaceDE/>
        <w:autoSpaceDN/>
        <w:bidi w:val="0"/>
        <w:adjustRightInd w:val="0"/>
        <w:snapToGrid w:val="0"/>
        <w:spacing w:line="554" w:lineRule="exact"/>
        <w:ind w:left="0" w:leftChars="0" w:firstLine="0" w:firstLineChars="0"/>
        <w:jc w:val="left"/>
        <w:textAlignment w:val="auto"/>
        <w:outlineLvl w:val="1"/>
        <w:rPr>
          <w:rStyle w:val="42"/>
          <w:rFonts w:hint="eastAsia" w:ascii="仿宋" w:hAnsi="仿宋" w:eastAsia="仿宋" w:cs="仿宋"/>
          <w:sz w:val="30"/>
          <w:szCs w:val="30"/>
          <w:shd w:val="clear" w:color="auto" w:fill="FFFFFF"/>
        </w:rPr>
      </w:pPr>
      <w:bookmarkStart w:id="40" w:name="_Toc28106"/>
      <w:r>
        <w:rPr>
          <w:rStyle w:val="42"/>
          <w:rFonts w:hint="eastAsia" w:ascii="仿宋" w:hAnsi="仿宋" w:eastAsia="仿宋" w:cs="仿宋"/>
          <w:sz w:val="30"/>
          <w:szCs w:val="30"/>
          <w:shd w:val="clear" w:color="auto" w:fill="FFFFFF"/>
          <w:lang w:eastAsia="zh-CN"/>
        </w:rPr>
        <w:t>二、</w:t>
      </w:r>
      <w:r>
        <w:rPr>
          <w:rStyle w:val="42"/>
          <w:rFonts w:hint="eastAsia" w:ascii="仿宋" w:hAnsi="仿宋" w:eastAsia="仿宋" w:cs="仿宋"/>
          <w:sz w:val="30"/>
          <w:szCs w:val="30"/>
          <w:shd w:val="clear" w:color="auto" w:fill="FFFFFF"/>
        </w:rPr>
        <w:t>当年取得的主要事业成效。</w:t>
      </w:r>
      <w:bookmarkEnd w:id="40"/>
    </w:p>
    <w:p w14:paraId="75862DED">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eastAsia" w:ascii="方正仿宋_GBK" w:hAnsi="方正仿宋_GBK" w:eastAsia="方正仿宋_GBK" w:cs="方正仿宋_GBK"/>
          <w:sz w:val="32"/>
          <w:szCs w:val="32"/>
          <w:shd w:val="clear" w:color="auto" w:fill="FFFFFF"/>
          <w:lang w:eastAsia="zh-CN" w:bidi="ar"/>
        </w:rPr>
      </w:pPr>
      <w:r>
        <w:rPr>
          <w:rFonts w:hint="eastAsia" w:ascii="方正仿宋_GBK" w:hAnsi="方正仿宋_GBK" w:eastAsia="方正仿宋_GBK" w:cs="方正仿宋_GBK"/>
          <w:sz w:val="32"/>
          <w:szCs w:val="32"/>
          <w:shd w:val="clear" w:color="auto" w:fill="FFFFFF"/>
          <w:lang w:val="en-US" w:eastAsia="zh-CN" w:bidi="ar"/>
        </w:rPr>
        <w:t>2024年以来，红原县宣传思想文化工作</w:t>
      </w:r>
      <w:r>
        <w:rPr>
          <w:rFonts w:hint="eastAsia" w:ascii="方正仿宋_GBK" w:hAnsi="方正仿宋_GBK" w:eastAsia="方正仿宋_GBK" w:cs="方正仿宋_GBK"/>
          <w:sz w:val="32"/>
          <w:szCs w:val="32"/>
          <w:shd w:val="clear" w:color="auto" w:fill="FFFFFF"/>
          <w:lang w:eastAsia="zh-CN" w:bidi="ar"/>
        </w:rPr>
        <w:t>始终坚持以习近平新时代中国特色社会主义思想为指导，</w:t>
      </w:r>
      <w:r>
        <w:rPr>
          <w:rFonts w:hint="default" w:ascii="方正仿宋_GBK" w:hAnsi="方正仿宋_GBK" w:eastAsia="方正仿宋_GBK" w:cs="方正仿宋_GBK"/>
          <w:sz w:val="32"/>
          <w:szCs w:val="32"/>
          <w:shd w:val="clear" w:color="auto" w:fill="FFFFFF"/>
          <w:lang w:bidi="ar"/>
        </w:rPr>
        <w:t>以学习宣传贯彻党的</w:t>
      </w:r>
      <w:r>
        <w:rPr>
          <w:rFonts w:hint="eastAsia" w:ascii="方正仿宋_GBK" w:hAnsi="方正仿宋_GBK" w:eastAsia="方正仿宋_GBK" w:cs="方正仿宋_GBK"/>
          <w:sz w:val="32"/>
          <w:szCs w:val="32"/>
          <w:shd w:val="clear" w:color="auto" w:fill="FFFFFF"/>
          <w:lang w:val="en-US" w:eastAsia="zh-CN" w:bidi="ar"/>
        </w:rPr>
        <w:t>二十届三中国全会</w:t>
      </w:r>
      <w:r>
        <w:rPr>
          <w:rFonts w:hint="default" w:ascii="方正仿宋_GBK" w:hAnsi="方正仿宋_GBK" w:eastAsia="方正仿宋_GBK" w:cs="方正仿宋_GBK"/>
          <w:sz w:val="32"/>
          <w:szCs w:val="32"/>
          <w:shd w:val="clear" w:color="auto" w:fill="FFFFFF"/>
          <w:lang w:bidi="ar"/>
        </w:rPr>
        <w:t>精神作为首要政治任务和工作主题主线，</w:t>
      </w:r>
      <w:r>
        <w:rPr>
          <w:rFonts w:hint="eastAsia" w:ascii="方正仿宋_GBK" w:hAnsi="方正仿宋_GBK" w:eastAsia="方正仿宋_GBK" w:cs="方正仿宋_GBK"/>
          <w:sz w:val="32"/>
          <w:szCs w:val="32"/>
          <w:shd w:val="clear" w:color="auto" w:fill="FFFFFF"/>
          <w:lang w:val="en-US" w:eastAsia="zh-CN" w:bidi="ar"/>
        </w:rPr>
        <w:t>对标习近平总书记对宣传思想文化工作“七个着力”任务要求，</w:t>
      </w:r>
      <w:r>
        <w:rPr>
          <w:rFonts w:hint="default" w:ascii="方正仿宋_GBK" w:hAnsi="方正仿宋_GBK" w:eastAsia="方正仿宋_GBK" w:cs="方正仿宋_GBK"/>
          <w:sz w:val="32"/>
          <w:szCs w:val="32"/>
          <w:shd w:val="clear" w:color="auto" w:fill="FFFFFF"/>
          <w:lang w:val="en-US" w:eastAsia="zh-CN" w:bidi="ar"/>
        </w:rPr>
        <w:t>紧扣州宣</w:t>
      </w:r>
      <w:r>
        <w:rPr>
          <w:rFonts w:hint="default" w:ascii="方正仿宋_GBK" w:hAnsi="方正仿宋_GBK" w:eastAsia="方正仿宋_GBK" w:cs="方正仿宋_GBK"/>
          <w:sz w:val="32"/>
          <w:szCs w:val="32"/>
          <w:shd w:val="clear" w:color="auto" w:fill="FFFFFF"/>
          <w:lang w:eastAsia="zh-CN" w:bidi="ar"/>
        </w:rPr>
        <w:t>“1155”工作思路</w:t>
      </w:r>
      <w:r>
        <w:rPr>
          <w:rFonts w:hint="eastAsia" w:ascii="方正仿宋_GBK" w:hAnsi="方正仿宋_GBK" w:eastAsia="方正仿宋_GBK" w:cs="方正仿宋_GBK"/>
          <w:sz w:val="32"/>
          <w:szCs w:val="32"/>
          <w:shd w:val="clear" w:color="auto" w:fill="FFFFFF"/>
          <w:lang w:eastAsia="zh-CN" w:bidi="ar"/>
        </w:rPr>
        <w:t>，</w:t>
      </w:r>
      <w:r>
        <w:rPr>
          <w:rFonts w:hint="default" w:ascii="方正仿宋_GBK" w:hAnsi="方正仿宋_GBK" w:eastAsia="方正仿宋_GBK" w:cs="方正仿宋_GBK"/>
          <w:sz w:val="32"/>
          <w:szCs w:val="32"/>
          <w:shd w:val="clear" w:color="auto" w:fill="FFFFFF"/>
          <w:lang w:val="en-US" w:eastAsia="zh-CN" w:bidi="ar"/>
        </w:rPr>
        <w:t>聚焦县委</w:t>
      </w:r>
      <w:r>
        <w:rPr>
          <w:rFonts w:hint="default" w:ascii="方正仿宋_GBK" w:hAnsi="方正仿宋_GBK" w:eastAsia="方正仿宋_GBK" w:cs="方正仿宋_GBK"/>
          <w:sz w:val="32"/>
          <w:szCs w:val="32"/>
          <w:shd w:val="clear" w:color="auto" w:fill="FFFFFF"/>
          <w:lang w:bidi="ar"/>
        </w:rPr>
        <w:t>紧扣“五个关键”、实施“五个工程”，争创“五个示范”、建设“五个家园”各项重点工作，</w:t>
      </w:r>
      <w:r>
        <w:rPr>
          <w:rFonts w:hint="eastAsia" w:ascii="方正仿宋_GBK" w:hAnsi="方正仿宋_GBK" w:eastAsia="方正仿宋_GBK" w:cs="方正仿宋_GBK"/>
          <w:sz w:val="32"/>
          <w:szCs w:val="32"/>
          <w:shd w:val="clear" w:color="auto" w:fill="FFFFFF"/>
          <w:lang w:eastAsia="zh-CN" w:bidi="ar"/>
        </w:rPr>
        <w:t>扎实履行“举旗帜、聚民心、育新人、兴文化、展形象”使命任务，</w:t>
      </w:r>
      <w:r>
        <w:rPr>
          <w:rFonts w:hint="eastAsia" w:ascii="方正仿宋_GBK" w:hAnsi="方正仿宋_GBK" w:eastAsia="方正仿宋_GBK" w:cs="方正仿宋_GBK"/>
          <w:sz w:val="32"/>
          <w:szCs w:val="32"/>
          <w:shd w:val="clear" w:color="auto" w:fill="FFFFFF"/>
          <w:lang w:val="en-US" w:eastAsia="zh-CN" w:bidi="ar"/>
        </w:rPr>
        <w:t>推动全县宣传思想文化工作高质量发展，</w:t>
      </w:r>
      <w:r>
        <w:rPr>
          <w:rFonts w:hint="eastAsia" w:ascii="方正仿宋_GBK" w:hAnsi="方正仿宋_GBK" w:eastAsia="方正仿宋_GBK" w:cs="方正仿宋_GBK"/>
          <w:sz w:val="32"/>
          <w:szCs w:val="32"/>
          <w:shd w:val="clear" w:color="auto" w:fill="FFFFFF"/>
          <w:lang w:eastAsia="zh-CN" w:bidi="ar"/>
        </w:rPr>
        <w:t>为加快建设</w:t>
      </w:r>
      <w:r>
        <w:rPr>
          <w:rFonts w:hint="eastAsia" w:ascii="方正仿宋_GBK" w:hAnsi="方正仿宋_GBK" w:eastAsia="方正仿宋_GBK" w:cs="方正仿宋_GBK"/>
          <w:sz w:val="32"/>
          <w:szCs w:val="32"/>
          <w:shd w:val="clear" w:color="auto" w:fill="FFFFFF"/>
          <w:lang w:bidi="ar"/>
        </w:rPr>
        <w:t>团结富裕文明和谐美丽</w:t>
      </w:r>
      <w:r>
        <w:rPr>
          <w:rFonts w:hint="eastAsia" w:ascii="方正仿宋_GBK" w:hAnsi="方正仿宋_GBK" w:eastAsia="方正仿宋_GBK" w:cs="方正仿宋_GBK"/>
          <w:sz w:val="32"/>
          <w:szCs w:val="32"/>
          <w:shd w:val="clear" w:color="auto" w:fill="FFFFFF"/>
          <w:lang w:eastAsia="zh-CN" w:bidi="ar"/>
        </w:rPr>
        <w:t>新</w:t>
      </w:r>
      <w:r>
        <w:rPr>
          <w:rFonts w:hint="eastAsia" w:ascii="方正仿宋_GBK" w:hAnsi="方正仿宋_GBK" w:eastAsia="方正仿宋_GBK" w:cs="方正仿宋_GBK"/>
          <w:sz w:val="32"/>
          <w:szCs w:val="32"/>
          <w:shd w:val="clear" w:color="auto" w:fill="FFFFFF"/>
          <w:lang w:bidi="ar"/>
        </w:rPr>
        <w:t>红原提供</w:t>
      </w:r>
      <w:r>
        <w:rPr>
          <w:rFonts w:hint="eastAsia" w:ascii="方正仿宋_GBK" w:hAnsi="方正仿宋_GBK" w:eastAsia="方正仿宋_GBK" w:cs="方正仿宋_GBK"/>
          <w:sz w:val="32"/>
          <w:szCs w:val="32"/>
          <w:shd w:val="clear" w:color="auto" w:fill="FFFFFF"/>
          <w:lang w:eastAsia="zh-CN" w:bidi="ar"/>
        </w:rPr>
        <w:t>了</w:t>
      </w:r>
      <w:r>
        <w:rPr>
          <w:rFonts w:hint="eastAsia" w:ascii="方正仿宋_GBK" w:hAnsi="方正仿宋_GBK" w:eastAsia="方正仿宋_GBK" w:cs="方正仿宋_GBK"/>
          <w:sz w:val="32"/>
          <w:szCs w:val="32"/>
          <w:shd w:val="clear" w:color="auto" w:fill="FFFFFF"/>
          <w:lang w:bidi="ar"/>
        </w:rPr>
        <w:t>思想保证</w:t>
      </w:r>
      <w:r>
        <w:rPr>
          <w:rFonts w:hint="eastAsia" w:ascii="方正仿宋_GBK" w:hAnsi="方正仿宋_GBK" w:eastAsia="方正仿宋_GBK" w:cs="方正仿宋_GBK"/>
          <w:sz w:val="32"/>
          <w:szCs w:val="32"/>
          <w:shd w:val="clear" w:color="auto" w:fill="FFFFFF"/>
          <w:lang w:eastAsia="zh-CN" w:bidi="ar"/>
        </w:rPr>
        <w:t>和</w:t>
      </w:r>
      <w:r>
        <w:rPr>
          <w:rFonts w:hint="eastAsia" w:ascii="方正仿宋_GBK" w:hAnsi="方正仿宋_GBK" w:eastAsia="方正仿宋_GBK" w:cs="方正仿宋_GBK"/>
          <w:sz w:val="32"/>
          <w:szCs w:val="32"/>
          <w:shd w:val="clear" w:color="auto" w:fill="FFFFFF"/>
          <w:lang w:bidi="ar"/>
        </w:rPr>
        <w:t>精神动力</w:t>
      </w:r>
      <w:r>
        <w:rPr>
          <w:rFonts w:hint="eastAsia" w:ascii="方正仿宋_GBK" w:hAnsi="方正仿宋_GBK" w:eastAsia="方正仿宋_GBK" w:cs="方正仿宋_GBK"/>
          <w:sz w:val="32"/>
          <w:szCs w:val="32"/>
          <w:shd w:val="clear" w:color="auto" w:fill="FFFFFF"/>
          <w:lang w:eastAsia="zh-CN" w:bidi="ar"/>
        </w:rPr>
        <w:t>。</w:t>
      </w:r>
    </w:p>
    <w:p w14:paraId="0BB8F574">
      <w:pPr>
        <w:pStyle w:val="18"/>
        <w:keepNext w:val="0"/>
        <w:keepLines w:val="0"/>
        <w:pageBreakBefore w:val="0"/>
        <w:widowControl w:val="0"/>
        <w:numPr>
          <w:ilvl w:val="0"/>
          <w:numId w:val="1"/>
        </w:numPr>
        <w:suppressLineNumbers w:val="0"/>
        <w:suppressAutoHyphens w:val="0"/>
        <w:kinsoku/>
        <w:wordWrap w:val="0"/>
        <w:overflowPunct/>
        <w:topLinePunct w:val="0"/>
        <w:autoSpaceDE/>
        <w:autoSpaceDN/>
        <w:bidi w:val="0"/>
        <w:adjustRightInd/>
        <w:snapToGrid/>
        <w:spacing w:before="0" w:beforeAutospacing="0" w:after="0" w:afterAutospacing="0" w:line="576" w:lineRule="exact"/>
        <w:ind w:firstLine="643" w:firstLineChars="200"/>
        <w:jc w:val="left"/>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以新思想铸魂立心，实施“理论聚智”工程。</w:t>
      </w:r>
      <w:r>
        <w:rPr>
          <w:rFonts w:hint="eastAsia" w:ascii="方正仿宋_GBK" w:hAnsi="方正仿宋_GBK" w:eastAsia="方正仿宋_GBK" w:cs="方正仿宋_GBK"/>
          <w:color w:val="auto"/>
          <w:kern w:val="2"/>
          <w:sz w:val="32"/>
          <w:szCs w:val="32"/>
          <w:lang w:val="en-US" w:eastAsia="zh-CN" w:bidi="ar-SA"/>
        </w:rPr>
        <w:t>深入学习贯彻习近平新时代中国特色社会主义思想，衷心拥护“两个确立”，忠诚践行“两个维护”，不断强化思想引领。</w:t>
      </w:r>
    </w:p>
    <w:p w14:paraId="78487D76">
      <w:pPr>
        <w:keepNext w:val="0"/>
        <w:keepLines w:val="0"/>
        <w:pageBreakBefore w:val="0"/>
        <w:widowControl w:val="0"/>
        <w:numPr>
          <w:ilvl w:val="0"/>
          <w:numId w:val="0"/>
        </w:numPr>
        <w:kinsoku/>
        <w:wordWrap/>
        <w:overflowPunct w:val="0"/>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（二）以最强音放歌立言，实施“宣传聚力”工程。</w:t>
      </w:r>
      <w:r>
        <w:rPr>
          <w:rFonts w:hint="eastAsia" w:ascii="方正仿宋_GBK" w:hAnsi="方正仿宋_GBK" w:eastAsia="方正仿宋_GBK" w:cs="方正仿宋_GBK"/>
          <w:color w:val="auto"/>
          <w:kern w:val="2"/>
          <w:sz w:val="32"/>
          <w:szCs w:val="32"/>
          <w:lang w:val="en-US" w:eastAsia="zh-CN" w:bidi="ar-SA"/>
        </w:rPr>
        <w:t>始终坚持团结稳定鼓劲、正面宣传为主的方针，牢牢把握正确舆论导向，围绕中心工作，立足主业主责，唱响主旋律、弘扬正能量、提振精气神。全力做好二十届三中全会、</w:t>
      </w:r>
      <w:r>
        <w:rPr>
          <w:rFonts w:hint="eastAsia" w:ascii="Times New Roman" w:hAnsi="Times New Roman" w:eastAsia="方正仿宋_GBK" w:cs="Times New Roman"/>
          <w:color w:val="auto"/>
          <w:sz w:val="32"/>
          <w:szCs w:val="32"/>
          <w:lang w:val="en-US" w:eastAsia="zh-CN"/>
        </w:rPr>
        <w:t>省委十二届五次、六次全会，州委十二届五次全会、县委十三届五次全会、</w:t>
      </w:r>
      <w:r>
        <w:rPr>
          <w:rFonts w:hint="eastAsia" w:ascii="方正仿宋_GBK" w:hAnsi="方正仿宋_GBK" w:eastAsia="方正仿宋_GBK" w:cs="方正仿宋_GBK"/>
          <w:color w:val="auto"/>
          <w:kern w:val="2"/>
          <w:sz w:val="32"/>
          <w:szCs w:val="32"/>
          <w:lang w:val="en-US" w:eastAsia="zh-CN" w:bidi="ar-SA"/>
        </w:rPr>
        <w:t>教育改革、环境整治、经济发展、安全生产、生态环保、乡村振兴、民族团结、党纪学习教育等重点宣传报道工作。</w:t>
      </w:r>
    </w:p>
    <w:p w14:paraId="7AEF747E">
      <w:pPr>
        <w:pStyle w:val="45"/>
        <w:keepNext w:val="0"/>
        <w:keepLines w:val="0"/>
        <w:pageBreakBefore w:val="0"/>
        <w:widowControl w:val="0"/>
        <w:kinsoku/>
        <w:wordWrap/>
        <w:topLinePunct w:val="0"/>
        <w:autoSpaceDE/>
        <w:autoSpaceDN/>
        <w:bidi w:val="0"/>
        <w:adjustRightInd/>
        <w:snapToGrid/>
        <w:spacing w:before="0" w:after="0" w:line="576" w:lineRule="exact"/>
        <w:ind w:firstLine="643" w:firstLineChars="200"/>
        <w:rPr>
          <w:rFonts w:hint="eastAsia" w:ascii="方正仿宋_GBK" w:hAnsi="方正仿宋_GBK" w:eastAsia="方正仿宋_GBK" w:cs="方正仿宋_GBK"/>
          <w:color w:val="auto"/>
          <w:sz w:val="32"/>
          <w:szCs w:val="32"/>
          <w:lang w:val="en-US" w:eastAsia="zh-CN"/>
        </w:rPr>
      </w:pPr>
      <w:r>
        <w:rPr>
          <w:rFonts w:hint="eastAsia" w:ascii="方正楷体_GBK" w:hAnsi="方正楷体_GBK" w:eastAsia="方正楷体_GBK" w:cs="方正楷体_GBK"/>
          <w:b/>
          <w:bCs/>
          <w:color w:val="auto"/>
          <w:kern w:val="2"/>
          <w:sz w:val="32"/>
          <w:szCs w:val="32"/>
          <w:lang w:val="en-US" w:eastAsia="zh-CN" w:bidi="ar-SA"/>
        </w:rPr>
        <w:t>（三）以正能量立德树人，实施“文明聚心”工程。</w:t>
      </w:r>
      <w:r>
        <w:rPr>
          <w:rFonts w:hint="eastAsia" w:ascii="Times New Roman" w:hAnsi="Times New Roman" w:eastAsia="方正仿宋_GBK" w:cs="Times New Roman"/>
          <w:color w:val="auto"/>
          <w:sz w:val="32"/>
          <w:szCs w:val="32"/>
          <w:lang w:val="en-US" w:eastAsia="zh-CN"/>
        </w:rPr>
        <w:t>大力开展文明创建工作，着力培育和践行社会主义核心价值观，坚持立德树人、以文化人，加大先进典型选树推荐力度，扎实推进公民道德建设</w:t>
      </w:r>
      <w:r>
        <w:rPr>
          <w:rFonts w:hint="eastAsia" w:ascii="方正仿宋_GBK" w:hAnsi="方正仿宋_GBK" w:eastAsia="方正仿宋_GBK" w:cs="方正仿宋_GBK"/>
          <w:color w:val="auto"/>
          <w:sz w:val="32"/>
          <w:szCs w:val="32"/>
          <w:lang w:val="en-US" w:eastAsia="zh-CN"/>
        </w:rPr>
        <w:t>。深化文明培育。广泛开展“中国好人”“四川好人”等选育工作。</w:t>
      </w:r>
      <w:r>
        <w:rPr>
          <w:rFonts w:hint="eastAsia" w:ascii="方正仿宋_GBK" w:hAnsi="方正仿宋_GBK" w:eastAsia="方正仿宋_GBK" w:cs="方正仿宋_GBK"/>
          <w:color w:val="auto"/>
          <w:kern w:val="2"/>
          <w:sz w:val="32"/>
          <w:szCs w:val="32"/>
          <w:lang w:val="en-US" w:eastAsia="zh-CN" w:bidi="ar-SA"/>
        </w:rPr>
        <w:t>推动新时代文明实践中心（所、站）阵地提档升级。</w:t>
      </w:r>
      <w:r>
        <w:rPr>
          <w:rFonts w:hint="eastAsia" w:ascii="方正仿宋_GBK" w:hAnsi="方正仿宋_GBK" w:eastAsia="方正仿宋_GBK" w:cs="方正仿宋_GBK"/>
          <w:color w:val="auto"/>
          <w:sz w:val="32"/>
          <w:szCs w:val="32"/>
          <w:lang w:val="en-US" w:eastAsia="zh-CN"/>
        </w:rPr>
        <w:t>做好第七届州级、省级及全国文明村镇、单位、家庭、校园的申报创建工作。</w:t>
      </w:r>
    </w:p>
    <w:p w14:paraId="7D2A81BA">
      <w:pPr>
        <w:pStyle w:val="18"/>
        <w:keepNext w:val="0"/>
        <w:keepLines w:val="0"/>
        <w:pageBreakBefore w:val="0"/>
        <w:kinsoku/>
        <w:wordWrap/>
        <w:overflowPunct/>
        <w:topLinePunct w:val="0"/>
        <w:autoSpaceDE/>
        <w:bidi w:val="0"/>
        <w:adjustRightInd/>
        <w:snapToGrid/>
        <w:spacing w:before="0" w:beforeAutospacing="0" w:after="0" w:afterAutospacing="0" w:line="576" w:lineRule="exact"/>
        <w:ind w:firstLine="645"/>
        <w:jc w:val="both"/>
        <w:textAlignment w:val="auto"/>
        <w:rPr>
          <w:rFonts w:hint="default"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b/>
          <w:bCs/>
          <w:color w:val="auto"/>
          <w:kern w:val="2"/>
          <w:sz w:val="32"/>
          <w:szCs w:val="32"/>
          <w:lang w:val="en-US" w:eastAsia="zh-CN" w:bidi="ar-SA"/>
        </w:rPr>
        <w:t>（四）以软实力惠民立本，实施“文化聚能”工程。</w:t>
      </w:r>
      <w:r>
        <w:rPr>
          <w:rFonts w:hint="eastAsia" w:ascii="Times New Roman" w:hAnsi="Times New Roman" w:eastAsia="方正仿宋_GBK" w:cs="Times New Roman"/>
          <w:color w:val="auto"/>
          <w:sz w:val="32"/>
          <w:szCs w:val="32"/>
          <w:lang w:val="en-US" w:eastAsia="zh-CN"/>
        </w:rPr>
        <w:t>牢牢把握高质量发展主题，不断适应人民群众精神文化生活新期待，激发文化创新创造活力。</w:t>
      </w:r>
    </w:p>
    <w:p w14:paraId="74E4C19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方正黑体_GBK" w:hAnsi="方正黑体_GBK" w:eastAsia="方正黑体_GBK" w:cs="方正黑体_GBK"/>
          <w:b w:val="0"/>
          <w:bCs w:val="0"/>
          <w:color w:val="auto"/>
          <w:kern w:val="2"/>
          <w:sz w:val="32"/>
          <w:szCs w:val="32"/>
          <w:lang w:val="en-US" w:eastAsia="zh-CN" w:bidi="ar-SA"/>
        </w:rPr>
      </w:pPr>
      <w:r>
        <w:rPr>
          <w:rFonts w:hint="eastAsia" w:ascii="方正楷体_GBK" w:hAnsi="方正楷体_GBK" w:eastAsia="方正楷体_GBK" w:cs="方正楷体_GBK"/>
          <w:b/>
          <w:bCs/>
          <w:color w:val="auto"/>
          <w:kern w:val="2"/>
          <w:sz w:val="32"/>
          <w:szCs w:val="32"/>
          <w:lang w:val="en-US" w:eastAsia="zh-CN" w:bidi="ar-SA"/>
        </w:rPr>
        <w:t>（五）以新形象展现作为，实施“党建聚气”工程。</w:t>
      </w:r>
      <w:r>
        <w:rPr>
          <w:rFonts w:hint="eastAsia" w:ascii="Times New Roman" w:hAnsi="Times New Roman" w:eastAsia="方正仿宋_GBK" w:cs="Times New Roman"/>
          <w:color w:val="auto"/>
          <w:kern w:val="0"/>
          <w:sz w:val="32"/>
          <w:szCs w:val="32"/>
          <w:lang w:val="en-US" w:eastAsia="zh-CN" w:bidi="ar"/>
        </w:rPr>
        <w:t>全面落实从严治党主体责任，加强宣传思想文化战线党的领导和党的建设，不断提升宣传思想文化队伍人员“政治三力”。</w:t>
      </w:r>
    </w:p>
    <w:p w14:paraId="1F1BE79F">
      <w:pPr>
        <w:pStyle w:val="17"/>
        <w:keepNext w:val="0"/>
        <w:keepLines w:val="0"/>
        <w:pageBreakBefore w:val="0"/>
        <w:widowControl w:val="0"/>
        <w:kinsoku/>
        <w:overflowPunct/>
        <w:topLinePunct w:val="0"/>
        <w:autoSpaceDE/>
        <w:autoSpaceDN/>
        <w:bidi w:val="0"/>
        <w:adjustRightInd w:val="0"/>
        <w:snapToGrid w:val="0"/>
        <w:spacing w:line="576" w:lineRule="exact"/>
        <w:ind w:left="0" w:leftChars="0" w:firstLine="0" w:firstLineChars="0"/>
        <w:jc w:val="left"/>
        <w:textAlignment w:val="auto"/>
        <w:outlineLvl w:val="1"/>
        <w:rPr>
          <w:rStyle w:val="42"/>
          <w:rFonts w:hint="eastAsia" w:ascii="仿宋" w:hAnsi="仿宋" w:eastAsia="仿宋" w:cs="仿宋"/>
          <w:sz w:val="30"/>
          <w:szCs w:val="30"/>
          <w:shd w:val="clear" w:color="auto" w:fill="FFFFFF"/>
          <w:lang w:eastAsia="zh-CN"/>
        </w:rPr>
      </w:pPr>
      <w:bookmarkStart w:id="41" w:name="_Toc10362"/>
      <w:r>
        <w:rPr>
          <w:rStyle w:val="42"/>
          <w:rFonts w:hint="eastAsia" w:ascii="仿宋" w:hAnsi="仿宋" w:eastAsia="仿宋" w:cs="仿宋"/>
          <w:sz w:val="30"/>
          <w:szCs w:val="30"/>
          <w:shd w:val="clear" w:color="auto" w:fill="FFFFFF"/>
          <w:lang w:eastAsia="zh-CN"/>
        </w:rPr>
        <w:t>三、机构设置</w:t>
      </w:r>
      <w:bookmarkEnd w:id="41"/>
    </w:p>
    <w:p w14:paraId="39281492">
      <w:pPr>
        <w:pStyle w:val="18"/>
        <w:keepNext w:val="0"/>
        <w:keepLines w:val="0"/>
        <w:pageBreakBefore w:val="0"/>
        <w:widowControl w:val="0"/>
        <w:kinsoku/>
        <w:wordWrap w:val="0"/>
        <w:overflowPunct/>
        <w:topLinePunct w:val="0"/>
        <w:autoSpaceDE/>
        <w:autoSpaceDN/>
        <w:bidi w:val="0"/>
        <w:spacing w:before="0" w:beforeAutospacing="0" w:after="0" w:afterAutospacing="0" w:line="576"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r>
        <w:rPr>
          <w:rFonts w:hint="default" w:ascii="Times New Roman" w:hAnsi="Times New Roman" w:eastAsia="方正仿宋_GBK" w:cs="Times New Roman"/>
          <w:sz w:val="32"/>
          <w:szCs w:val="32"/>
          <w:shd w:val="clear" w:color="auto" w:fill="FFFFFF"/>
          <w:lang w:val="en-US" w:eastAsia="zh-CN" w:bidi="ar"/>
        </w:rPr>
        <w:t>本单位本年度纳入本套决算编制范围的独立编制机构数共2个，比上年增加0个；独立核算机构数共2个，比上年增加0个。</w:t>
      </w:r>
    </w:p>
    <w:p w14:paraId="1A7A1332">
      <w:pPr>
        <w:pStyle w:val="6"/>
        <w:rPr>
          <w:rFonts w:hint="eastAsia" w:ascii="方正仿宋_GBK" w:hAnsi="方正仿宋_GBK" w:eastAsia="方正仿宋_GBK" w:cs="方正仿宋_GBK"/>
          <w:sz w:val="32"/>
          <w:szCs w:val="32"/>
          <w:shd w:val="clear" w:color="auto" w:fill="FFFFFF"/>
          <w:lang w:val="en-US" w:eastAsia="zh-CN" w:bidi="ar"/>
        </w:rPr>
      </w:pPr>
    </w:p>
    <w:p w14:paraId="028E4CE8">
      <w:pPr>
        <w:pStyle w:val="3"/>
        <w:jc w:val="center"/>
        <w:rPr>
          <w:rStyle w:val="44"/>
          <w:rFonts w:hint="eastAsia" w:ascii="黑体" w:eastAsia="黑体"/>
          <w:b w:val="0"/>
          <w:bCs w:val="0"/>
        </w:rPr>
      </w:pPr>
      <w:bookmarkStart w:id="42" w:name="_Toc6878"/>
      <w:r>
        <w:rPr>
          <w:rStyle w:val="44"/>
          <w:rFonts w:hint="eastAsia" w:ascii="黑体" w:eastAsia="黑体"/>
          <w:b w:val="0"/>
          <w:bCs w:val="0"/>
        </w:rPr>
        <w:t xml:space="preserve">第二部分 </w:t>
      </w:r>
      <w:r>
        <w:rPr>
          <w:rStyle w:val="44"/>
          <w:rFonts w:hint="eastAsia" w:ascii="黑体" w:eastAsia="黑体"/>
          <w:b w:val="0"/>
          <w:bCs w:val="0"/>
          <w:lang w:val="en-US" w:eastAsia="zh-CN"/>
        </w:rPr>
        <w:t>2024</w:t>
      </w:r>
      <w:r>
        <w:rPr>
          <w:rStyle w:val="44"/>
          <w:rFonts w:hint="eastAsia" w:ascii="黑体" w:eastAsia="黑体"/>
          <w:b w:val="0"/>
          <w:bCs w:val="0"/>
        </w:rPr>
        <w:t>年度部门决算情况说明</w:t>
      </w:r>
      <w:bookmarkEnd w:id="42"/>
    </w:p>
    <w:p w14:paraId="48787BDD">
      <w:pPr>
        <w:spacing w:line="600" w:lineRule="exact"/>
        <w:ind w:firstLine="640" w:firstLineChars="200"/>
        <w:outlineLvl w:val="1"/>
        <w:rPr>
          <w:rStyle w:val="34"/>
          <w:rFonts w:hint="eastAsia" w:ascii="黑体" w:hAnsi="黑体" w:eastAsia="黑体"/>
          <w:b w:val="0"/>
        </w:rPr>
      </w:pPr>
      <w:bookmarkStart w:id="43" w:name="_Toc23369"/>
      <w:r>
        <w:rPr>
          <w:rStyle w:val="34"/>
          <w:rFonts w:hint="eastAsia" w:ascii="黑体" w:hAnsi="黑体" w:eastAsia="黑体"/>
          <w:b w:val="0"/>
          <w:lang w:eastAsia="zh-CN"/>
        </w:rPr>
        <w:t>一、</w:t>
      </w:r>
      <w:r>
        <w:rPr>
          <w:rStyle w:val="34"/>
          <w:rFonts w:hint="eastAsia" w:ascii="黑体" w:hAnsi="黑体" w:eastAsia="黑体"/>
          <w:b w:val="0"/>
        </w:rPr>
        <w:t>收入支出决算总体情况说明</w:t>
      </w:r>
      <w:bookmarkEnd w:id="43"/>
    </w:p>
    <w:p w14:paraId="34963E25">
      <w:pPr>
        <w:pStyle w:val="18"/>
        <w:keepNext w:val="0"/>
        <w:keepLines w:val="0"/>
        <w:pageBreakBefore w:val="0"/>
        <w:widowControl w:val="0"/>
        <w:kinsoku/>
        <w:wordWrap w:val="0"/>
        <w:overflowPunct/>
        <w:topLinePunct w:val="0"/>
        <w:autoSpaceDE/>
        <w:autoSpaceDN/>
        <w:bidi w:val="0"/>
        <w:spacing w:before="0" w:beforeAutospacing="0" w:after="0" w:afterAutospacing="0" w:line="576" w:lineRule="exact"/>
        <w:ind w:firstLine="640" w:firstLineChars="200"/>
        <w:textAlignment w:val="auto"/>
        <w:rPr>
          <w:rFonts w:hint="eastAsia" w:ascii="Times New Roman" w:hAnsi="Times New Roman" w:eastAsia="方正仿宋_GBK" w:cs="Times New Roman"/>
          <w:sz w:val="32"/>
          <w:szCs w:val="32"/>
          <w:shd w:val="clear" w:color="auto" w:fill="FFFFFF"/>
          <w:lang w:val="en-US" w:eastAsia="zh-CN" w:bidi="ar"/>
        </w:rPr>
      </w:pPr>
      <w:r>
        <w:rPr>
          <w:rFonts w:hint="eastAsia" w:ascii="Times New Roman" w:hAnsi="Times New Roman" w:eastAsia="方正仿宋_GBK" w:cs="Times New Roman"/>
          <w:sz w:val="32"/>
          <w:szCs w:val="32"/>
          <w:shd w:val="clear" w:color="auto" w:fill="FFFFFF"/>
          <w:lang w:val="en-US" w:eastAsia="zh-CN" w:bidi="ar"/>
        </w:rPr>
        <w:t>本单位本年度总收入为1,095.32万元。其中：一般公共预算财政拨款收入为1,095.32万元，占比100%；本年度总支出为1,095.32万元。其中：一般公共服务支出为817.14万元，占比74.60%；文化旅游体育与传媒支出为50.60万元，占比4.62%；社会保障和就业支出为59.15万元，占比5.40%；卫生健康支出为24.82万元，占比2.27%；住房保障支出为32.67万元，占比2.98%;农林水支出支出为110.95万元，占比10.13%。</w:t>
      </w:r>
    </w:p>
    <w:p w14:paraId="6FA20D18">
      <w:pPr>
        <w:pStyle w:val="6"/>
        <w:ind w:left="0" w:leftChars="0" w:firstLine="0" w:firstLineChars="0"/>
        <w:rPr>
          <w:rFonts w:hint="eastAsia"/>
          <w:lang w:val="en-US" w:eastAsia="zh-CN"/>
        </w:rPr>
      </w:pPr>
      <w:r>
        <w:drawing>
          <wp:inline distT="0" distB="0" distL="114300" distR="114300">
            <wp:extent cx="5216525" cy="1696085"/>
            <wp:effectExtent l="4445" t="4445" r="17780" b="13970"/>
            <wp:docPr id="7" name="图表 1" descr="7b0a202020202263686172745265734964223a202235303035333432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27FA71A">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Times New Roman" w:hAnsi="Times New Roman" w:eastAsia="方正仿宋_GBK" w:cs="Times New Roman"/>
          <w:kern w:val="0"/>
          <w:sz w:val="32"/>
          <w:szCs w:val="32"/>
          <w:shd w:val="clear" w:color="auto" w:fill="FFFFFF"/>
          <w:lang w:val="en-US" w:eastAsia="zh-CN" w:bidi="ar"/>
        </w:rPr>
        <w:t>图</w:t>
      </w:r>
      <w:r>
        <w:rPr>
          <w:rFonts w:hint="default" w:ascii="Times New Roman" w:hAnsi="Times New Roman" w:eastAsia="方正仿宋_GBK" w:cs="Times New Roman"/>
          <w:kern w:val="0"/>
          <w:sz w:val="32"/>
          <w:szCs w:val="32"/>
          <w:shd w:val="clear" w:color="auto" w:fill="FFFFFF"/>
          <w:lang w:val="en-US" w:eastAsia="zh-CN" w:bidi="ar"/>
        </w:rPr>
        <w:t>1</w:t>
      </w:r>
      <w:r>
        <w:rPr>
          <w:rFonts w:hint="eastAsia" w:ascii="Times New Roman" w:hAnsi="Times New Roman" w:eastAsia="方正仿宋_GBK" w:cs="Times New Roman"/>
          <w:kern w:val="0"/>
          <w:sz w:val="32"/>
          <w:szCs w:val="32"/>
          <w:shd w:val="clear" w:color="auto" w:fill="FFFFFF"/>
          <w:lang w:val="en-US" w:eastAsia="zh-CN" w:bidi="ar"/>
        </w:rPr>
        <w:t>：收</w:t>
      </w:r>
      <w:r>
        <w:rPr>
          <w:rFonts w:hint="eastAsia" w:ascii="仿宋" w:hAnsi="仿宋" w:eastAsia="仿宋"/>
          <w:sz w:val="32"/>
          <w:szCs w:val="32"/>
        </w:rPr>
        <w:t>、支决算总计变动情况图）（柱状图）</w:t>
      </w:r>
    </w:p>
    <w:p w14:paraId="18B86491">
      <w:pPr>
        <w:pStyle w:val="6"/>
        <w:jc w:val="left"/>
        <w:rPr>
          <w:rFonts w:hint="eastAsia"/>
          <w:lang w:val="en-US" w:eastAsia="zh-CN"/>
        </w:rPr>
      </w:pPr>
    </w:p>
    <w:p w14:paraId="354EB21A">
      <w:pPr>
        <w:spacing w:line="600" w:lineRule="exact"/>
        <w:ind w:firstLine="640" w:firstLineChars="200"/>
        <w:outlineLvl w:val="1"/>
        <w:rPr>
          <w:rStyle w:val="34"/>
          <w:rFonts w:hint="eastAsia" w:ascii="黑体" w:hAnsi="黑体" w:eastAsia="黑体"/>
          <w:b w:val="0"/>
          <w:color w:val="auto"/>
        </w:rPr>
      </w:pPr>
      <w:bookmarkStart w:id="44" w:name="_Toc5747"/>
      <w:r>
        <w:rPr>
          <w:rStyle w:val="34"/>
          <w:rFonts w:hint="eastAsia" w:ascii="黑体" w:hAnsi="黑体" w:eastAsia="黑体"/>
          <w:b w:val="0"/>
          <w:color w:val="auto"/>
          <w:lang w:eastAsia="zh-CN"/>
        </w:rPr>
        <w:t>二、</w:t>
      </w:r>
      <w:r>
        <w:rPr>
          <w:rStyle w:val="34"/>
          <w:rFonts w:hint="eastAsia" w:ascii="黑体" w:hAnsi="黑体" w:eastAsia="黑体"/>
          <w:b w:val="0"/>
          <w:color w:val="auto"/>
        </w:rPr>
        <w:t>收入决算情况说明</w:t>
      </w:r>
      <w:bookmarkEnd w:id="44"/>
    </w:p>
    <w:p w14:paraId="1724750F">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bookmarkStart w:id="45" w:name="_Toc12589"/>
      <w:bookmarkStart w:id="46" w:name="_Toc27591"/>
      <w:r>
        <w:rPr>
          <w:rFonts w:hint="default" w:ascii="Times New Roman" w:hAnsi="Times New Roman" w:eastAsia="方正仿宋_GBK" w:cs="Times New Roman"/>
          <w:color w:val="auto"/>
          <w:sz w:val="32"/>
          <w:szCs w:val="32"/>
          <w:shd w:val="clear" w:color="auto" w:fill="FFFFFF"/>
          <w:lang w:val="en-US" w:eastAsia="zh-CN" w:bidi="ar"/>
        </w:rPr>
        <w:t>本年收入合计</w:t>
      </w:r>
      <w:r>
        <w:rPr>
          <w:rFonts w:hint="eastAsia" w:ascii="Times New Roman" w:hAnsi="Times New Roman" w:eastAsia="方正仿宋_GBK" w:cs="Times New Roman"/>
          <w:color w:val="auto"/>
          <w:sz w:val="32"/>
          <w:szCs w:val="32"/>
          <w:shd w:val="clear" w:color="auto" w:fill="FFFFFF"/>
          <w:lang w:val="en-US" w:eastAsia="zh-CN" w:bidi="ar"/>
        </w:rPr>
        <w:t>1095.32</w:t>
      </w:r>
      <w:r>
        <w:rPr>
          <w:rFonts w:hint="default" w:ascii="Times New Roman" w:hAnsi="Times New Roman" w:eastAsia="方正仿宋_GBK" w:cs="Times New Roman"/>
          <w:color w:val="auto"/>
          <w:sz w:val="32"/>
          <w:szCs w:val="32"/>
          <w:shd w:val="clear" w:color="auto" w:fill="FFFFFF"/>
          <w:lang w:val="en-US" w:eastAsia="zh-CN" w:bidi="ar"/>
        </w:rPr>
        <w:t>万元，</w:t>
      </w:r>
      <w:r>
        <w:rPr>
          <w:rFonts w:hint="default" w:ascii="Times New Roman" w:hAnsi="Times New Roman" w:eastAsia="方正仿宋_GBK" w:cs="Times New Roman"/>
          <w:sz w:val="32"/>
          <w:szCs w:val="32"/>
          <w:shd w:val="clear" w:color="auto" w:fill="FFFFFF"/>
          <w:lang w:val="en-US" w:eastAsia="zh-CN" w:bidi="ar"/>
        </w:rPr>
        <w:t>其中：</w:t>
      </w:r>
      <w:bookmarkEnd w:id="45"/>
      <w:r>
        <w:rPr>
          <w:rFonts w:hint="default" w:ascii="Times New Roman" w:hAnsi="Times New Roman" w:eastAsia="方正仿宋_GBK" w:cs="Times New Roman"/>
          <w:sz w:val="32"/>
          <w:szCs w:val="32"/>
          <w:shd w:val="clear" w:color="auto" w:fill="FFFFFF"/>
          <w:lang w:val="en-US" w:eastAsia="zh-CN" w:bidi="ar"/>
        </w:rPr>
        <w:t>其中：一般公共预算财政拨款收入为</w:t>
      </w:r>
      <w:r>
        <w:rPr>
          <w:rFonts w:hint="eastAsia" w:ascii="Times New Roman" w:hAnsi="Times New Roman" w:eastAsia="方正仿宋_GBK" w:cs="Times New Roman"/>
          <w:sz w:val="32"/>
          <w:szCs w:val="32"/>
          <w:shd w:val="clear" w:color="auto" w:fill="FFFFFF"/>
          <w:lang w:val="en-US" w:eastAsia="zh-CN" w:bidi="ar"/>
        </w:rPr>
        <w:t>1095.32</w:t>
      </w:r>
      <w:r>
        <w:rPr>
          <w:rFonts w:hint="default" w:ascii="Times New Roman" w:hAnsi="Times New Roman" w:eastAsia="方正仿宋_GBK" w:cs="Times New Roman"/>
          <w:sz w:val="32"/>
          <w:szCs w:val="32"/>
          <w:shd w:val="clear" w:color="auto" w:fill="FFFFFF"/>
          <w:lang w:val="en-US" w:eastAsia="zh-CN" w:bidi="ar"/>
        </w:rPr>
        <w:t>万元，占比100%</w:t>
      </w:r>
      <w:bookmarkEnd w:id="46"/>
      <w:r>
        <w:rPr>
          <w:rFonts w:hint="eastAsia" w:ascii="Times New Roman" w:hAnsi="Times New Roman" w:eastAsia="方正仿宋_GBK" w:cs="Times New Roman"/>
          <w:sz w:val="32"/>
          <w:szCs w:val="32"/>
          <w:shd w:val="clear" w:color="auto" w:fill="FFFFFF"/>
          <w:lang w:val="en-US" w:eastAsia="zh-CN" w:bidi="ar"/>
        </w:rPr>
        <w:t>。</w:t>
      </w:r>
    </w:p>
    <w:p w14:paraId="0195DEF1">
      <w:pPr>
        <w:pStyle w:val="19"/>
      </w:pPr>
      <w:r>
        <w:drawing>
          <wp:inline distT="0" distB="0" distL="114300" distR="114300">
            <wp:extent cx="4826000" cy="2205355"/>
            <wp:effectExtent l="4445" t="4445" r="8255" b="1905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36EF440">
      <w:pPr>
        <w:spacing w:line="600" w:lineRule="exact"/>
        <w:ind w:firstLine="640" w:firstLineChars="200"/>
        <w:jc w:val="center"/>
      </w:pPr>
      <w:r>
        <w:rPr>
          <w:rFonts w:hint="eastAsia" w:ascii="Times New Roman" w:hAnsi="Times New Roman" w:eastAsia="方正仿宋_GBK" w:cs="Times New Roman"/>
          <w:kern w:val="0"/>
          <w:sz w:val="32"/>
          <w:szCs w:val="32"/>
          <w:shd w:val="clear" w:color="auto" w:fill="FFFFFF"/>
          <w:lang w:val="en-US" w:eastAsia="zh-CN" w:bidi="ar"/>
        </w:rPr>
        <w:t>（图2：</w:t>
      </w:r>
      <w:r>
        <w:rPr>
          <w:rFonts w:hint="eastAsia" w:ascii="仿宋" w:hAnsi="仿宋" w:eastAsia="仿宋"/>
          <w:sz w:val="32"/>
          <w:szCs w:val="32"/>
        </w:rPr>
        <w:t>收入决算结构图）（饼状图）</w:t>
      </w:r>
    </w:p>
    <w:p w14:paraId="4C84F622">
      <w:pPr>
        <w:spacing w:line="600" w:lineRule="exact"/>
        <w:ind w:firstLine="640" w:firstLineChars="200"/>
        <w:outlineLvl w:val="1"/>
        <w:rPr>
          <w:rStyle w:val="34"/>
          <w:rFonts w:hint="eastAsia" w:ascii="黑体" w:hAnsi="黑体" w:eastAsia="黑体"/>
          <w:b w:val="0"/>
          <w:color w:val="auto"/>
        </w:rPr>
      </w:pPr>
      <w:bookmarkStart w:id="47" w:name="_Toc26149"/>
      <w:r>
        <w:rPr>
          <w:rStyle w:val="34"/>
          <w:rFonts w:hint="eastAsia" w:ascii="黑体" w:hAnsi="黑体" w:eastAsia="黑体"/>
          <w:b w:val="0"/>
          <w:color w:val="auto"/>
          <w:lang w:eastAsia="zh-CN"/>
        </w:rPr>
        <w:t>三、</w:t>
      </w:r>
      <w:r>
        <w:rPr>
          <w:rStyle w:val="34"/>
          <w:rFonts w:hint="eastAsia" w:ascii="黑体" w:hAnsi="黑体" w:eastAsia="黑体"/>
          <w:b w:val="0"/>
          <w:color w:val="auto"/>
        </w:rPr>
        <w:t>支出决算情况说明</w:t>
      </w:r>
      <w:bookmarkEnd w:id="47"/>
    </w:p>
    <w:p w14:paraId="0B6148A3">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bookmarkStart w:id="48" w:name="_Toc4879"/>
      <w:r>
        <w:rPr>
          <w:rFonts w:hint="default" w:ascii="Times New Roman" w:hAnsi="Times New Roman" w:eastAsia="方正仿宋_GBK" w:cs="Times New Roman"/>
          <w:color w:val="auto"/>
          <w:sz w:val="32"/>
          <w:szCs w:val="32"/>
          <w:shd w:val="clear" w:color="auto" w:fill="FFFFFF"/>
          <w:lang w:val="en-US" w:eastAsia="zh-CN" w:bidi="ar"/>
        </w:rPr>
        <w:t>本年度总支出为</w:t>
      </w:r>
      <w:r>
        <w:rPr>
          <w:rFonts w:hint="eastAsia" w:ascii="Times New Roman" w:hAnsi="Times New Roman" w:eastAsia="方正仿宋_GBK" w:cs="Times New Roman"/>
          <w:color w:val="auto"/>
          <w:sz w:val="32"/>
          <w:szCs w:val="32"/>
          <w:shd w:val="clear" w:color="auto" w:fill="FFFFFF"/>
          <w:lang w:val="en-US" w:eastAsia="zh-CN" w:bidi="ar"/>
        </w:rPr>
        <w:t>1095.32</w:t>
      </w:r>
      <w:r>
        <w:rPr>
          <w:rFonts w:hint="default" w:ascii="Times New Roman" w:hAnsi="Times New Roman" w:eastAsia="方正仿宋_GBK" w:cs="Times New Roman"/>
          <w:color w:val="auto"/>
          <w:sz w:val="32"/>
          <w:szCs w:val="32"/>
          <w:shd w:val="clear" w:color="auto" w:fill="FFFFFF"/>
          <w:lang w:val="en-US" w:eastAsia="zh-CN" w:bidi="ar"/>
        </w:rPr>
        <w:t>万元。其中：</w:t>
      </w:r>
      <w:bookmarkEnd w:id="48"/>
      <w:r>
        <w:rPr>
          <w:rFonts w:hint="eastAsia" w:ascii="Times New Roman" w:hAnsi="Times New Roman" w:eastAsia="方正仿宋_GBK" w:cs="Times New Roman"/>
          <w:color w:val="auto"/>
          <w:sz w:val="32"/>
          <w:szCs w:val="32"/>
          <w:shd w:val="clear" w:color="auto" w:fill="FFFFFF"/>
          <w:lang w:val="en-US" w:eastAsia="zh-CN" w:bidi="ar"/>
        </w:rPr>
        <w:t>其中：一般公共服务支出为817.14万元，占比74.60%；文化旅游体育与传媒支出为50.60万元，占比4.62%；社会保障和就业支出为59.15万元，占比5.40%；卫生健康支出为24.82万元，占比2.</w:t>
      </w:r>
      <w:r>
        <w:rPr>
          <w:rFonts w:hint="eastAsia" w:ascii="Times New Roman" w:hAnsi="Times New Roman" w:eastAsia="方正仿宋_GBK" w:cs="Times New Roman"/>
          <w:sz w:val="32"/>
          <w:szCs w:val="32"/>
          <w:shd w:val="clear" w:color="auto" w:fill="FFFFFF"/>
          <w:lang w:val="en-US" w:eastAsia="zh-CN" w:bidi="ar"/>
        </w:rPr>
        <w:t>27%；住房保障支出为32.67万元，占比2.98%;农林水支出支出为110.95万元，占比10.13%。</w:t>
      </w:r>
    </w:p>
    <w:p w14:paraId="54452D43">
      <w:pPr>
        <w:pStyle w:val="18"/>
        <w:keepNext w:val="0"/>
        <w:keepLines w:val="0"/>
        <w:pageBreakBefore w:val="0"/>
        <w:kinsoku/>
        <w:wordWrap w:val="0"/>
        <w:overflowPunct/>
        <w:topLinePunct w:val="0"/>
        <w:autoSpaceDE/>
        <w:autoSpaceDN/>
        <w:bidi w:val="0"/>
        <w:spacing w:before="0" w:beforeAutospacing="0" w:after="0" w:afterAutospacing="0" w:line="554" w:lineRule="exact"/>
        <w:ind w:firstLine="480" w:firstLineChars="200"/>
        <w:jc w:val="center"/>
        <w:textAlignment w:val="auto"/>
        <w:rPr>
          <w:rFonts w:hint="default" w:ascii="Times New Roman" w:hAnsi="Times New Roman" w:eastAsia="方正仿宋_GBK" w:cs="Times New Roman"/>
          <w:sz w:val="32"/>
          <w:szCs w:val="32"/>
          <w:shd w:val="clear" w:color="auto" w:fill="FFFFFF"/>
          <w:lang w:val="en-US" w:eastAsia="zh-CN" w:bidi="ar"/>
        </w:rPr>
      </w:pPr>
      <w:r>
        <w:rPr>
          <w:color w:val="auto"/>
        </w:rPr>
        <w:drawing>
          <wp:anchor distT="0" distB="0" distL="114300" distR="114300" simplePos="0" relativeHeight="251659264" behindDoc="0" locked="0" layoutInCell="1" allowOverlap="1">
            <wp:simplePos x="0" y="0"/>
            <wp:positionH relativeFrom="column">
              <wp:posOffset>318770</wp:posOffset>
            </wp:positionH>
            <wp:positionV relativeFrom="paragraph">
              <wp:posOffset>194945</wp:posOffset>
            </wp:positionV>
            <wp:extent cx="4826000" cy="1866900"/>
            <wp:effectExtent l="4445" t="4445" r="8255" b="14605"/>
            <wp:wrapTopAndBottom/>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方正仿宋_GBK" w:cs="Times New Roman"/>
          <w:sz w:val="32"/>
          <w:szCs w:val="32"/>
          <w:shd w:val="clear" w:color="auto" w:fill="FFFFFF"/>
          <w:lang w:val="en-US" w:eastAsia="zh-CN" w:bidi="ar"/>
        </w:rPr>
        <w:t>（图3：支出决算结构图）（饼状图）</w:t>
      </w:r>
    </w:p>
    <w:p w14:paraId="6A3EEFCF">
      <w:pPr>
        <w:spacing w:line="600" w:lineRule="exact"/>
        <w:ind w:firstLine="640" w:firstLineChars="200"/>
        <w:outlineLvl w:val="1"/>
        <w:rPr>
          <w:rStyle w:val="34"/>
          <w:rFonts w:hint="eastAsia" w:ascii="黑体" w:hAnsi="黑体" w:eastAsia="黑体"/>
          <w:b w:val="0"/>
        </w:rPr>
      </w:pPr>
      <w:bookmarkStart w:id="49" w:name="_Toc20529"/>
      <w:r>
        <w:rPr>
          <w:rStyle w:val="34"/>
          <w:rFonts w:hint="eastAsia" w:ascii="黑体" w:hAnsi="黑体" w:eastAsia="黑体"/>
          <w:b w:val="0"/>
          <w:lang w:eastAsia="zh-CN"/>
        </w:rPr>
        <w:t>四、</w:t>
      </w:r>
      <w:r>
        <w:rPr>
          <w:rStyle w:val="34"/>
          <w:rFonts w:hint="eastAsia" w:ascii="黑体" w:hAnsi="黑体" w:eastAsia="黑体"/>
          <w:b w:val="0"/>
        </w:rPr>
        <w:t>财政拨款收入支出决算总体情况说明</w:t>
      </w:r>
      <w:bookmarkEnd w:id="49"/>
    </w:p>
    <w:p w14:paraId="24776B71">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jc w:val="left"/>
        <w:textAlignment w:val="auto"/>
        <w:rPr>
          <w:rFonts w:hint="default" w:ascii="Times New Roman" w:hAnsi="Times New Roman" w:eastAsia="方正仿宋_GBK" w:cs="Times New Roman"/>
          <w:sz w:val="32"/>
          <w:szCs w:val="32"/>
          <w:shd w:val="clear" w:color="auto" w:fill="FFFFFF"/>
          <w:lang w:val="en-US" w:eastAsia="zh-CN" w:bidi="ar"/>
        </w:rPr>
      </w:pPr>
      <w:bookmarkStart w:id="50" w:name="_Toc12396"/>
      <w:r>
        <w:rPr>
          <w:rFonts w:hint="default" w:ascii="Times New Roman" w:hAnsi="Times New Roman" w:eastAsia="方正仿宋_GBK" w:cs="Times New Roman"/>
          <w:sz w:val="32"/>
          <w:szCs w:val="32"/>
          <w:shd w:val="clear" w:color="auto" w:fill="FFFFFF"/>
          <w:lang w:val="en-US" w:eastAsia="zh-CN" w:bidi="ar"/>
        </w:rPr>
        <w:t>本年度财政拨款收入总金额为</w:t>
      </w:r>
      <w:r>
        <w:rPr>
          <w:rFonts w:hint="eastAsia" w:ascii="Times New Roman" w:hAnsi="Times New Roman" w:eastAsia="方正仿宋_GBK" w:cs="Times New Roman"/>
          <w:sz w:val="32"/>
          <w:szCs w:val="32"/>
          <w:shd w:val="clear" w:color="auto" w:fill="FFFFFF"/>
          <w:lang w:val="en-US" w:eastAsia="zh-CN" w:bidi="ar"/>
        </w:rPr>
        <w:t>1095.32</w:t>
      </w:r>
      <w:r>
        <w:rPr>
          <w:rFonts w:hint="default" w:ascii="Times New Roman" w:hAnsi="Times New Roman" w:eastAsia="方正仿宋_GBK" w:cs="Times New Roman"/>
          <w:sz w:val="32"/>
          <w:szCs w:val="32"/>
          <w:shd w:val="clear" w:color="auto" w:fill="FFFFFF"/>
          <w:lang w:val="en-US" w:eastAsia="zh-CN" w:bidi="ar"/>
        </w:rPr>
        <w:t>万元，较上年度</w:t>
      </w:r>
      <w:r>
        <w:rPr>
          <w:rFonts w:hint="eastAsia" w:ascii="Times New Roman" w:hAnsi="Times New Roman" w:eastAsia="方正仿宋_GBK" w:cs="Times New Roman"/>
          <w:sz w:val="32"/>
          <w:szCs w:val="32"/>
          <w:shd w:val="clear" w:color="auto" w:fill="FFFFFF"/>
          <w:lang w:val="en-US" w:eastAsia="zh-CN" w:bidi="ar"/>
        </w:rPr>
        <w:t>982.15万元</w:t>
      </w:r>
      <w:r>
        <w:rPr>
          <w:rFonts w:hint="default" w:ascii="Times New Roman" w:hAnsi="Times New Roman" w:eastAsia="方正仿宋_GBK" w:cs="Times New Roman"/>
          <w:sz w:val="32"/>
          <w:szCs w:val="32"/>
          <w:shd w:val="clear" w:color="auto" w:fill="FFFFFF"/>
          <w:lang w:val="en-US" w:eastAsia="zh-CN" w:bidi="ar"/>
        </w:rPr>
        <w:t>增加</w:t>
      </w:r>
      <w:r>
        <w:rPr>
          <w:rFonts w:hint="eastAsia" w:ascii="Times New Roman" w:hAnsi="Times New Roman" w:eastAsia="方正仿宋_GBK" w:cs="Times New Roman"/>
          <w:sz w:val="32"/>
          <w:szCs w:val="32"/>
          <w:shd w:val="clear" w:color="auto" w:fill="FFFFFF"/>
          <w:lang w:val="en-US" w:eastAsia="zh-CN" w:bidi="ar"/>
        </w:rPr>
        <w:t>113.17</w:t>
      </w:r>
      <w:r>
        <w:rPr>
          <w:rFonts w:hint="default" w:ascii="Times New Roman" w:hAnsi="Times New Roman" w:eastAsia="方正仿宋_GBK" w:cs="Times New Roman"/>
          <w:sz w:val="32"/>
          <w:szCs w:val="32"/>
          <w:shd w:val="clear" w:color="auto" w:fill="FFFFFF"/>
          <w:lang w:val="en-US" w:eastAsia="zh-CN" w:bidi="ar"/>
        </w:rPr>
        <w:t>万元。其中：一般公共服务支出为</w:t>
      </w:r>
      <w:r>
        <w:rPr>
          <w:rFonts w:hint="eastAsia" w:ascii="Times New Roman" w:hAnsi="Times New Roman" w:eastAsia="方正仿宋_GBK" w:cs="Times New Roman"/>
          <w:sz w:val="32"/>
          <w:szCs w:val="32"/>
          <w:shd w:val="clear" w:color="auto" w:fill="FFFFFF"/>
          <w:lang w:val="en-US" w:eastAsia="zh-CN" w:bidi="ar"/>
        </w:rPr>
        <w:t>817.14</w:t>
      </w:r>
      <w:r>
        <w:rPr>
          <w:rFonts w:hint="default" w:ascii="Times New Roman" w:hAnsi="Times New Roman" w:eastAsia="方正仿宋_GBK" w:cs="Times New Roman"/>
          <w:sz w:val="32"/>
          <w:szCs w:val="32"/>
          <w:shd w:val="clear" w:color="auto" w:fill="FFFFFF"/>
          <w:lang w:val="en-US" w:eastAsia="zh-CN" w:bidi="ar"/>
        </w:rPr>
        <w:t>万元，相比上年度</w:t>
      </w:r>
      <w:r>
        <w:rPr>
          <w:rFonts w:hint="eastAsia" w:ascii="Times New Roman" w:hAnsi="Times New Roman" w:eastAsia="方正仿宋_GBK" w:cs="Times New Roman"/>
          <w:sz w:val="32"/>
          <w:szCs w:val="32"/>
          <w:shd w:val="clear" w:color="auto" w:fill="FFFFFF"/>
          <w:lang w:val="en-US" w:eastAsia="zh-CN" w:bidi="ar"/>
        </w:rPr>
        <w:t>765.08</w:t>
      </w:r>
      <w:r>
        <w:rPr>
          <w:rFonts w:hint="default" w:ascii="Times New Roman" w:hAnsi="Times New Roman" w:eastAsia="方正仿宋_GBK" w:cs="Times New Roman"/>
          <w:sz w:val="32"/>
          <w:szCs w:val="32"/>
          <w:shd w:val="clear" w:color="auto" w:fill="FFFFFF"/>
          <w:lang w:val="en-US" w:eastAsia="zh-CN" w:bidi="ar"/>
        </w:rPr>
        <w:t>增加</w:t>
      </w:r>
      <w:r>
        <w:rPr>
          <w:rFonts w:hint="eastAsia" w:ascii="Times New Roman" w:hAnsi="Times New Roman" w:eastAsia="方正仿宋_GBK" w:cs="Times New Roman"/>
          <w:sz w:val="32"/>
          <w:szCs w:val="32"/>
          <w:shd w:val="clear" w:color="auto" w:fill="FFFFFF"/>
          <w:lang w:val="en-US" w:eastAsia="zh-CN" w:bidi="ar"/>
        </w:rPr>
        <w:t>52.06</w:t>
      </w:r>
      <w:r>
        <w:rPr>
          <w:rFonts w:hint="default" w:ascii="Times New Roman" w:hAnsi="Times New Roman" w:eastAsia="方正仿宋_GBK" w:cs="Times New Roman"/>
          <w:sz w:val="32"/>
          <w:szCs w:val="32"/>
          <w:shd w:val="clear" w:color="auto" w:fill="FFFFFF"/>
          <w:lang w:val="en-US" w:eastAsia="zh-CN" w:bidi="ar"/>
        </w:rPr>
        <w:t>万元；文化旅游体育与传媒支出</w:t>
      </w:r>
      <w:r>
        <w:rPr>
          <w:rFonts w:hint="eastAsia" w:ascii="Times New Roman" w:hAnsi="Times New Roman" w:eastAsia="方正仿宋_GBK" w:cs="Times New Roman"/>
          <w:sz w:val="32"/>
          <w:szCs w:val="32"/>
          <w:shd w:val="clear" w:color="auto" w:fill="FFFFFF"/>
          <w:lang w:val="en-US" w:eastAsia="zh-CN" w:bidi="ar"/>
        </w:rPr>
        <w:t>50.6</w:t>
      </w:r>
      <w:r>
        <w:rPr>
          <w:rFonts w:hint="default" w:ascii="Times New Roman" w:hAnsi="Times New Roman" w:eastAsia="方正仿宋_GBK" w:cs="Times New Roman"/>
          <w:sz w:val="32"/>
          <w:szCs w:val="32"/>
          <w:shd w:val="clear" w:color="auto" w:fill="FFFFFF"/>
          <w:lang w:val="en-US" w:eastAsia="zh-CN" w:bidi="ar"/>
        </w:rPr>
        <w:t>万元，相比上年度89.73</w:t>
      </w:r>
      <w:r>
        <w:rPr>
          <w:rFonts w:hint="eastAsia" w:ascii="Times New Roman" w:hAnsi="Times New Roman" w:eastAsia="方正仿宋_GBK" w:cs="Times New Roman"/>
          <w:sz w:val="32"/>
          <w:szCs w:val="32"/>
          <w:shd w:val="clear" w:color="auto" w:fill="FFFFFF"/>
          <w:lang w:val="en-US" w:eastAsia="zh-CN" w:bidi="ar"/>
        </w:rPr>
        <w:t>万元</w:t>
      </w:r>
      <w:r>
        <w:rPr>
          <w:rFonts w:hint="default" w:ascii="Times New Roman" w:hAnsi="Times New Roman" w:eastAsia="方正仿宋_GBK" w:cs="Times New Roman"/>
          <w:sz w:val="32"/>
          <w:szCs w:val="32"/>
          <w:shd w:val="clear" w:color="auto" w:fill="FFFFFF"/>
          <w:lang w:val="en-US" w:eastAsia="zh-CN" w:bidi="ar"/>
        </w:rPr>
        <w:t>增加-</w:t>
      </w:r>
      <w:r>
        <w:rPr>
          <w:rFonts w:hint="eastAsia" w:ascii="Times New Roman" w:hAnsi="Times New Roman" w:eastAsia="方正仿宋_GBK" w:cs="Times New Roman"/>
          <w:sz w:val="32"/>
          <w:szCs w:val="32"/>
          <w:shd w:val="clear" w:color="auto" w:fill="FFFFFF"/>
          <w:lang w:val="en-US" w:eastAsia="zh-CN" w:bidi="ar"/>
        </w:rPr>
        <w:t>39.13</w:t>
      </w:r>
      <w:r>
        <w:rPr>
          <w:rFonts w:hint="default" w:ascii="Times New Roman" w:hAnsi="Times New Roman" w:eastAsia="方正仿宋_GBK" w:cs="Times New Roman"/>
          <w:sz w:val="32"/>
          <w:szCs w:val="32"/>
          <w:shd w:val="clear" w:color="auto" w:fill="FFFFFF"/>
          <w:lang w:val="en-US" w:eastAsia="zh-CN" w:bidi="ar"/>
        </w:rPr>
        <w:t>万元；社会保障和就业支出</w:t>
      </w:r>
      <w:r>
        <w:rPr>
          <w:rFonts w:hint="eastAsia" w:ascii="Times New Roman" w:hAnsi="Times New Roman" w:eastAsia="方正仿宋_GBK" w:cs="Times New Roman"/>
          <w:sz w:val="32"/>
          <w:szCs w:val="32"/>
          <w:shd w:val="clear" w:color="auto" w:fill="FFFFFF"/>
          <w:lang w:val="en-US" w:eastAsia="zh-CN" w:bidi="ar"/>
        </w:rPr>
        <w:t>59.15</w:t>
      </w:r>
      <w:r>
        <w:rPr>
          <w:rFonts w:hint="default" w:ascii="Times New Roman" w:hAnsi="Times New Roman" w:eastAsia="方正仿宋_GBK" w:cs="Times New Roman"/>
          <w:sz w:val="32"/>
          <w:szCs w:val="32"/>
          <w:shd w:val="clear" w:color="auto" w:fill="FFFFFF"/>
          <w:lang w:val="en-US" w:eastAsia="zh-CN" w:bidi="ar"/>
        </w:rPr>
        <w:t>万元，相比上年度58.52</w:t>
      </w:r>
      <w:r>
        <w:rPr>
          <w:rFonts w:hint="eastAsia" w:ascii="Times New Roman" w:hAnsi="Times New Roman" w:eastAsia="方正仿宋_GBK" w:cs="Times New Roman"/>
          <w:sz w:val="32"/>
          <w:szCs w:val="32"/>
          <w:shd w:val="clear" w:color="auto" w:fill="FFFFFF"/>
          <w:lang w:val="en-US" w:eastAsia="zh-CN" w:bidi="ar"/>
        </w:rPr>
        <w:t>万元</w:t>
      </w:r>
      <w:r>
        <w:rPr>
          <w:rFonts w:hint="default" w:ascii="Times New Roman" w:hAnsi="Times New Roman" w:eastAsia="方正仿宋_GBK" w:cs="Times New Roman"/>
          <w:sz w:val="32"/>
          <w:szCs w:val="32"/>
          <w:shd w:val="clear" w:color="auto" w:fill="FFFFFF"/>
          <w:lang w:val="en-US" w:eastAsia="zh-CN" w:bidi="ar"/>
        </w:rPr>
        <w:t>增加</w:t>
      </w:r>
      <w:r>
        <w:rPr>
          <w:rFonts w:hint="eastAsia" w:ascii="Times New Roman" w:hAnsi="Times New Roman" w:eastAsia="方正仿宋_GBK" w:cs="Times New Roman"/>
          <w:sz w:val="32"/>
          <w:szCs w:val="32"/>
          <w:shd w:val="clear" w:color="auto" w:fill="FFFFFF"/>
          <w:lang w:val="en-US" w:eastAsia="zh-CN" w:bidi="ar"/>
        </w:rPr>
        <w:t>0.63</w:t>
      </w:r>
      <w:r>
        <w:rPr>
          <w:rFonts w:hint="default" w:ascii="Times New Roman" w:hAnsi="Times New Roman" w:eastAsia="方正仿宋_GBK" w:cs="Times New Roman"/>
          <w:sz w:val="32"/>
          <w:szCs w:val="32"/>
          <w:shd w:val="clear" w:color="auto" w:fill="FFFFFF"/>
          <w:lang w:val="en-US" w:eastAsia="zh-CN" w:bidi="ar"/>
        </w:rPr>
        <w:t>万元；卫生健康支出</w:t>
      </w:r>
      <w:r>
        <w:rPr>
          <w:rFonts w:hint="eastAsia" w:ascii="Times New Roman" w:hAnsi="Times New Roman" w:eastAsia="方正仿宋_GBK" w:cs="Times New Roman"/>
          <w:sz w:val="32"/>
          <w:szCs w:val="32"/>
          <w:shd w:val="clear" w:color="auto" w:fill="FFFFFF"/>
          <w:lang w:val="en-US" w:eastAsia="zh-CN" w:bidi="ar"/>
        </w:rPr>
        <w:t>24.82</w:t>
      </w:r>
      <w:r>
        <w:rPr>
          <w:rFonts w:hint="default" w:ascii="Times New Roman" w:hAnsi="Times New Roman" w:eastAsia="方正仿宋_GBK" w:cs="Times New Roman"/>
          <w:sz w:val="32"/>
          <w:szCs w:val="32"/>
          <w:shd w:val="clear" w:color="auto" w:fill="FFFFFF"/>
          <w:lang w:val="en-US" w:eastAsia="zh-CN" w:bidi="ar"/>
        </w:rPr>
        <w:t>万元，相比上年度39.79万元增加</w:t>
      </w:r>
      <w:r>
        <w:rPr>
          <w:rFonts w:hint="eastAsia" w:ascii="Times New Roman" w:hAnsi="Times New Roman" w:eastAsia="方正仿宋_GBK" w:cs="Times New Roman"/>
          <w:sz w:val="32"/>
          <w:szCs w:val="32"/>
          <w:shd w:val="clear" w:color="auto" w:fill="FFFFFF"/>
          <w:lang w:val="en-US" w:eastAsia="zh-CN" w:bidi="ar"/>
        </w:rPr>
        <w:t>-14.97</w:t>
      </w:r>
      <w:r>
        <w:rPr>
          <w:rFonts w:hint="default" w:ascii="Times New Roman" w:hAnsi="Times New Roman" w:eastAsia="方正仿宋_GBK" w:cs="Times New Roman"/>
          <w:sz w:val="32"/>
          <w:szCs w:val="32"/>
          <w:shd w:val="clear" w:color="auto" w:fill="FFFFFF"/>
          <w:lang w:val="en-US" w:eastAsia="zh-CN" w:bidi="ar"/>
        </w:rPr>
        <w:t>万元；住房保障支出</w:t>
      </w:r>
      <w:r>
        <w:rPr>
          <w:rFonts w:hint="eastAsia" w:ascii="Times New Roman" w:hAnsi="Times New Roman" w:eastAsia="方正仿宋_GBK" w:cs="Times New Roman"/>
          <w:sz w:val="32"/>
          <w:szCs w:val="32"/>
          <w:shd w:val="clear" w:color="auto" w:fill="FFFFFF"/>
          <w:lang w:val="en-US" w:eastAsia="zh-CN" w:bidi="ar"/>
        </w:rPr>
        <w:t>32.67</w:t>
      </w:r>
      <w:r>
        <w:rPr>
          <w:rFonts w:hint="default" w:ascii="Times New Roman" w:hAnsi="Times New Roman" w:eastAsia="方正仿宋_GBK" w:cs="Times New Roman"/>
          <w:sz w:val="32"/>
          <w:szCs w:val="32"/>
          <w:shd w:val="clear" w:color="auto" w:fill="FFFFFF"/>
          <w:lang w:val="en-US" w:eastAsia="zh-CN" w:bidi="ar"/>
        </w:rPr>
        <w:t>万元，相比上年度29.04</w:t>
      </w:r>
      <w:r>
        <w:rPr>
          <w:rFonts w:hint="eastAsia" w:ascii="Times New Roman" w:hAnsi="Times New Roman" w:eastAsia="方正仿宋_GBK" w:cs="Times New Roman"/>
          <w:sz w:val="32"/>
          <w:szCs w:val="32"/>
          <w:shd w:val="clear" w:color="auto" w:fill="FFFFFF"/>
          <w:lang w:val="en-US" w:eastAsia="zh-CN" w:bidi="ar"/>
        </w:rPr>
        <w:t>万元</w:t>
      </w:r>
      <w:r>
        <w:rPr>
          <w:rFonts w:hint="default" w:ascii="Times New Roman" w:hAnsi="Times New Roman" w:eastAsia="方正仿宋_GBK" w:cs="Times New Roman"/>
          <w:sz w:val="32"/>
          <w:szCs w:val="32"/>
          <w:shd w:val="clear" w:color="auto" w:fill="FFFFFF"/>
          <w:lang w:val="en-US" w:eastAsia="zh-CN" w:bidi="ar"/>
        </w:rPr>
        <w:t>增加</w:t>
      </w:r>
      <w:r>
        <w:rPr>
          <w:rFonts w:hint="eastAsia" w:ascii="Times New Roman" w:hAnsi="Times New Roman" w:eastAsia="方正仿宋_GBK" w:cs="Times New Roman"/>
          <w:sz w:val="32"/>
          <w:szCs w:val="32"/>
          <w:shd w:val="clear" w:color="auto" w:fill="FFFFFF"/>
          <w:lang w:val="en-US" w:eastAsia="zh-CN" w:bidi="ar"/>
        </w:rPr>
        <w:t>3.63</w:t>
      </w:r>
      <w:r>
        <w:rPr>
          <w:rFonts w:hint="default" w:ascii="Times New Roman" w:hAnsi="Times New Roman" w:eastAsia="方正仿宋_GBK" w:cs="Times New Roman"/>
          <w:sz w:val="32"/>
          <w:szCs w:val="32"/>
          <w:shd w:val="clear" w:color="auto" w:fill="FFFFFF"/>
          <w:lang w:val="en-US" w:eastAsia="zh-CN" w:bidi="ar"/>
        </w:rPr>
        <w:t>万元</w:t>
      </w:r>
      <w:r>
        <w:rPr>
          <w:rFonts w:hint="eastAsia" w:ascii="Times New Roman" w:hAnsi="Times New Roman" w:eastAsia="方正仿宋_GBK" w:cs="Times New Roman"/>
          <w:sz w:val="32"/>
          <w:szCs w:val="32"/>
          <w:shd w:val="clear" w:color="auto" w:fill="FFFFFF"/>
          <w:lang w:val="en-US" w:eastAsia="zh-CN" w:bidi="ar"/>
        </w:rPr>
        <w:t>；农林水支出支出为110.95万元，</w:t>
      </w:r>
      <w:r>
        <w:rPr>
          <w:rFonts w:hint="default" w:ascii="Times New Roman" w:hAnsi="Times New Roman" w:eastAsia="方正仿宋_GBK" w:cs="Times New Roman"/>
          <w:sz w:val="32"/>
          <w:szCs w:val="32"/>
          <w:shd w:val="clear" w:color="auto" w:fill="FFFFFF"/>
          <w:lang w:val="en-US" w:eastAsia="zh-CN" w:bidi="ar"/>
        </w:rPr>
        <w:t>相比上年度</w:t>
      </w:r>
      <w:r>
        <w:rPr>
          <w:rFonts w:hint="eastAsia" w:ascii="Times New Roman" w:hAnsi="Times New Roman" w:eastAsia="方正仿宋_GBK" w:cs="Times New Roman"/>
          <w:sz w:val="32"/>
          <w:szCs w:val="32"/>
          <w:shd w:val="clear" w:color="auto" w:fill="FFFFFF"/>
          <w:lang w:val="en-US" w:eastAsia="zh-CN" w:bidi="ar"/>
        </w:rPr>
        <w:t>增加110.95万元</w:t>
      </w:r>
      <w:r>
        <w:rPr>
          <w:rFonts w:hint="default" w:ascii="Times New Roman" w:hAnsi="Times New Roman" w:eastAsia="方正仿宋_GBK" w:cs="Times New Roman"/>
          <w:sz w:val="32"/>
          <w:szCs w:val="32"/>
          <w:shd w:val="clear" w:color="auto" w:fill="FFFFFF"/>
          <w:lang w:val="en-US" w:eastAsia="zh-CN" w:bidi="ar"/>
        </w:rPr>
        <w:t>。</w:t>
      </w:r>
      <w:bookmarkEnd w:id="50"/>
    </w:p>
    <w:p w14:paraId="2024C75F">
      <w:pPr>
        <w:spacing w:line="240" w:lineRule="auto"/>
        <w:ind w:firstLine="0" w:firstLineChars="0"/>
        <w:outlineLvl w:val="9"/>
      </w:pPr>
      <w:r>
        <w:drawing>
          <wp:inline distT="0" distB="0" distL="114300" distR="114300">
            <wp:extent cx="5311775" cy="1762760"/>
            <wp:effectExtent l="4445" t="4445" r="17780" b="2349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AC48FF">
      <w:pPr>
        <w:spacing w:line="600" w:lineRule="exact"/>
        <w:ind w:firstLine="640" w:firstLineChars="200"/>
        <w:rPr>
          <w:rFonts w:hint="eastAsia"/>
        </w:rPr>
      </w:pPr>
      <w:r>
        <w:rPr>
          <w:rFonts w:hint="eastAsia" w:ascii="仿宋" w:hAnsi="仿宋" w:eastAsia="仿宋"/>
          <w:sz w:val="32"/>
          <w:szCs w:val="32"/>
        </w:rPr>
        <w:t>（图</w:t>
      </w:r>
      <w:r>
        <w:rPr>
          <w:rFonts w:hint="eastAsia" w:ascii="Times New Roman" w:hAnsi="Times New Roman" w:eastAsia="方正仿宋_GBK" w:cs="Times New Roman"/>
          <w:kern w:val="0"/>
          <w:sz w:val="32"/>
          <w:szCs w:val="32"/>
          <w:shd w:val="clear" w:color="auto" w:fill="FFFFFF"/>
          <w:lang w:val="en-US" w:eastAsia="zh-CN" w:bidi="ar"/>
        </w:rPr>
        <w:t>4</w:t>
      </w:r>
      <w:r>
        <w:rPr>
          <w:rFonts w:hint="eastAsia" w:ascii="仿宋" w:hAnsi="仿宋" w:eastAsia="仿宋"/>
          <w:sz w:val="32"/>
          <w:szCs w:val="32"/>
        </w:rPr>
        <w:t>：财政拨款收、支决算总计变动情况）（柱状图）</w:t>
      </w:r>
    </w:p>
    <w:p w14:paraId="62DCD153">
      <w:pPr>
        <w:spacing w:line="600" w:lineRule="exact"/>
        <w:ind w:firstLine="640" w:firstLineChars="200"/>
        <w:outlineLvl w:val="1"/>
        <w:rPr>
          <w:rStyle w:val="34"/>
          <w:rFonts w:ascii="黑体" w:hAnsi="黑体" w:eastAsia="黑体"/>
          <w:b w:val="0"/>
          <w:color w:val="auto"/>
          <w:highlight w:val="none"/>
        </w:rPr>
      </w:pPr>
      <w:bookmarkStart w:id="51" w:name="_Toc15396607"/>
      <w:bookmarkStart w:id="52" w:name="_Toc15377209"/>
      <w:bookmarkStart w:id="53" w:name="_Toc12440"/>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4"/>
          <w:rFonts w:hint="eastAsia" w:ascii="黑体" w:hAnsi="黑体" w:eastAsia="黑体"/>
          <w:b w:val="0"/>
          <w:color w:val="auto"/>
          <w:highlight w:val="none"/>
        </w:rPr>
        <w:t>般公共预算财政拨款支出决算情况说明</w:t>
      </w:r>
      <w:bookmarkEnd w:id="51"/>
      <w:bookmarkEnd w:id="52"/>
      <w:bookmarkEnd w:id="53"/>
    </w:p>
    <w:p w14:paraId="1AA223B0">
      <w:pPr>
        <w:spacing w:line="600" w:lineRule="exact"/>
        <w:ind w:firstLine="643" w:firstLineChars="200"/>
        <w:outlineLvl w:val="2"/>
        <w:rPr>
          <w:rFonts w:ascii="仿宋" w:hAnsi="仿宋" w:eastAsia="仿宋"/>
          <w:b/>
          <w:color w:val="auto"/>
          <w:sz w:val="32"/>
          <w:szCs w:val="32"/>
          <w:highlight w:val="yellow"/>
        </w:rPr>
      </w:pPr>
      <w:bookmarkStart w:id="54" w:name="_Toc15377210"/>
      <w:r>
        <w:rPr>
          <w:rFonts w:hint="eastAsia" w:ascii="仿宋" w:hAnsi="仿宋" w:eastAsia="仿宋"/>
          <w:b/>
          <w:color w:val="auto"/>
          <w:sz w:val="32"/>
          <w:szCs w:val="32"/>
          <w:highlight w:val="none"/>
        </w:rPr>
        <w:t>（一）一般公共预算财政拨款支出决算总体情况</w:t>
      </w:r>
      <w:bookmarkEnd w:id="54"/>
    </w:p>
    <w:p w14:paraId="75C81022">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r>
        <w:rPr>
          <w:rFonts w:hint="default" w:ascii="Times New Roman" w:hAnsi="Times New Roman" w:eastAsia="方正仿宋_GBK" w:cs="Times New Roman"/>
          <w:sz w:val="32"/>
          <w:szCs w:val="32"/>
          <w:shd w:val="clear" w:color="auto" w:fill="FFFFFF"/>
          <w:lang w:val="en-US" w:eastAsia="zh-CN" w:bidi="ar"/>
        </w:rPr>
        <w:t>202</w:t>
      </w:r>
      <w:r>
        <w:rPr>
          <w:rFonts w:hint="eastAsia" w:ascii="Times New Roman" w:hAnsi="Times New Roman" w:eastAsia="方正仿宋_GBK" w:cs="Times New Roman"/>
          <w:sz w:val="32"/>
          <w:szCs w:val="32"/>
          <w:shd w:val="clear" w:color="auto" w:fill="FFFFFF"/>
          <w:lang w:val="en-US" w:eastAsia="zh-CN" w:bidi="ar"/>
        </w:rPr>
        <w:t>4</w:t>
      </w:r>
      <w:r>
        <w:rPr>
          <w:rFonts w:hint="default" w:ascii="Times New Roman" w:hAnsi="Times New Roman" w:eastAsia="方正仿宋_GBK" w:cs="Times New Roman"/>
          <w:sz w:val="32"/>
          <w:szCs w:val="32"/>
          <w:shd w:val="clear" w:color="auto" w:fill="FFFFFF"/>
          <w:lang w:val="en-US" w:eastAsia="zh-CN" w:bidi="ar"/>
        </w:rPr>
        <w:t>年度一般公共预算财政拨款支出</w:t>
      </w:r>
      <w:r>
        <w:rPr>
          <w:rFonts w:hint="eastAsia" w:ascii="Times New Roman" w:hAnsi="Times New Roman" w:eastAsia="方正仿宋_GBK" w:cs="Times New Roman"/>
          <w:sz w:val="32"/>
          <w:szCs w:val="32"/>
          <w:shd w:val="clear" w:color="auto" w:fill="FFFFFF"/>
          <w:lang w:val="en-US" w:eastAsia="zh-CN" w:bidi="ar"/>
        </w:rPr>
        <w:t>1095.32</w:t>
      </w:r>
      <w:r>
        <w:rPr>
          <w:rFonts w:hint="default" w:ascii="Times New Roman" w:hAnsi="Times New Roman" w:eastAsia="方正仿宋_GBK" w:cs="Times New Roman"/>
          <w:sz w:val="32"/>
          <w:szCs w:val="32"/>
          <w:shd w:val="clear" w:color="auto" w:fill="FFFFFF"/>
          <w:lang w:val="en-US" w:eastAsia="zh-CN" w:bidi="ar"/>
        </w:rPr>
        <w:t>万元，占本年支出合计的100%。与202</w:t>
      </w:r>
      <w:r>
        <w:rPr>
          <w:rFonts w:hint="eastAsia" w:ascii="Times New Roman" w:hAnsi="Times New Roman" w:eastAsia="方正仿宋_GBK" w:cs="Times New Roman"/>
          <w:sz w:val="32"/>
          <w:szCs w:val="32"/>
          <w:shd w:val="clear" w:color="auto" w:fill="FFFFFF"/>
          <w:lang w:val="en-US" w:eastAsia="zh-CN" w:bidi="ar"/>
        </w:rPr>
        <w:t>3</w:t>
      </w:r>
      <w:r>
        <w:rPr>
          <w:rFonts w:hint="default" w:ascii="Times New Roman" w:hAnsi="Times New Roman" w:eastAsia="方正仿宋_GBK" w:cs="Times New Roman"/>
          <w:sz w:val="32"/>
          <w:szCs w:val="32"/>
          <w:shd w:val="clear" w:color="auto" w:fill="FFFFFF"/>
          <w:lang w:val="en-US" w:eastAsia="zh-CN" w:bidi="ar"/>
        </w:rPr>
        <w:t>年度</w:t>
      </w:r>
      <w:r>
        <w:rPr>
          <w:rFonts w:hint="eastAsia" w:ascii="Times New Roman" w:hAnsi="Times New Roman" w:eastAsia="方正仿宋_GBK" w:cs="Times New Roman"/>
          <w:sz w:val="32"/>
          <w:szCs w:val="32"/>
          <w:shd w:val="clear" w:color="auto" w:fill="FFFFFF"/>
          <w:lang w:val="en-US" w:eastAsia="zh-CN" w:bidi="ar"/>
        </w:rPr>
        <w:t>982.15</w:t>
      </w:r>
      <w:r>
        <w:rPr>
          <w:rFonts w:hint="default" w:ascii="Times New Roman" w:hAnsi="Times New Roman" w:eastAsia="方正仿宋_GBK" w:cs="Times New Roman"/>
          <w:sz w:val="32"/>
          <w:szCs w:val="32"/>
          <w:shd w:val="clear" w:color="auto" w:fill="FFFFFF"/>
          <w:lang w:val="en-US" w:eastAsia="zh-CN" w:bidi="ar"/>
        </w:rPr>
        <w:t>万元相比，一般公共预算财政拨款支出增加</w:t>
      </w:r>
      <w:r>
        <w:rPr>
          <w:rFonts w:hint="eastAsia" w:ascii="Times New Roman" w:hAnsi="Times New Roman" w:eastAsia="方正仿宋_GBK" w:cs="Times New Roman"/>
          <w:sz w:val="32"/>
          <w:szCs w:val="32"/>
          <w:shd w:val="clear" w:color="auto" w:fill="FFFFFF"/>
          <w:lang w:val="en-US" w:eastAsia="zh-CN" w:bidi="ar"/>
        </w:rPr>
        <w:t>113.17</w:t>
      </w:r>
      <w:r>
        <w:rPr>
          <w:rFonts w:hint="default" w:ascii="Times New Roman" w:hAnsi="Times New Roman" w:eastAsia="方正仿宋_GBK" w:cs="Times New Roman"/>
          <w:sz w:val="32"/>
          <w:szCs w:val="32"/>
          <w:shd w:val="clear" w:color="auto" w:fill="FFFFFF"/>
          <w:lang w:val="en-US" w:eastAsia="zh-CN" w:bidi="ar"/>
        </w:rPr>
        <w:t>万元，增长</w:t>
      </w:r>
      <w:r>
        <w:rPr>
          <w:rFonts w:hint="eastAsia" w:ascii="Times New Roman" w:hAnsi="Times New Roman" w:eastAsia="方正仿宋_GBK" w:cs="Times New Roman"/>
          <w:sz w:val="32"/>
          <w:szCs w:val="32"/>
          <w:shd w:val="clear" w:color="auto" w:fill="FFFFFF"/>
          <w:lang w:val="en-US" w:eastAsia="zh-CN" w:bidi="ar"/>
        </w:rPr>
        <w:t>11.52</w:t>
      </w:r>
      <w:r>
        <w:rPr>
          <w:rFonts w:hint="default" w:ascii="Times New Roman" w:hAnsi="Times New Roman" w:eastAsia="方正仿宋_GBK" w:cs="Times New Roman"/>
          <w:sz w:val="32"/>
          <w:szCs w:val="32"/>
          <w:shd w:val="clear" w:color="auto" w:fill="FFFFFF"/>
          <w:lang w:val="en-US" w:eastAsia="zh-CN" w:bidi="ar"/>
        </w:rPr>
        <w:t>%。主要变动原因是本年度增加巩固脱贫攻坚成果衔接乡村振兴等</w:t>
      </w:r>
      <w:r>
        <w:rPr>
          <w:rFonts w:hint="eastAsia" w:ascii="Times New Roman" w:hAnsi="Times New Roman" w:eastAsia="方正仿宋_GBK" w:cs="Times New Roman"/>
          <w:sz w:val="32"/>
          <w:szCs w:val="32"/>
          <w:shd w:val="clear" w:color="auto" w:fill="FFFFFF"/>
          <w:lang w:val="en-US" w:eastAsia="zh-CN" w:bidi="ar"/>
        </w:rPr>
        <w:t>专</w:t>
      </w:r>
      <w:r>
        <w:rPr>
          <w:rFonts w:hint="default" w:ascii="Times New Roman" w:hAnsi="Times New Roman" w:eastAsia="方正仿宋_GBK" w:cs="Times New Roman"/>
          <w:sz w:val="32"/>
          <w:szCs w:val="32"/>
          <w:shd w:val="clear" w:color="auto" w:fill="FFFFFF"/>
          <w:lang w:val="en-US" w:eastAsia="zh-CN" w:bidi="ar"/>
        </w:rPr>
        <w:t>项目支出。</w:t>
      </w:r>
    </w:p>
    <w:p w14:paraId="23571A13">
      <w:pPr>
        <w:spacing w:line="600" w:lineRule="exact"/>
        <w:ind w:firstLine="640" w:firstLineChars="200"/>
        <w:rPr>
          <w:rFonts w:hint="eastAsia" w:ascii="仿宋" w:hAnsi="仿宋" w:eastAsia="仿宋"/>
          <w:color w:val="auto"/>
          <w:sz w:val="32"/>
          <w:szCs w:val="32"/>
          <w:lang w:eastAsia="zh-CN"/>
        </w:rPr>
      </w:pPr>
    </w:p>
    <w:p w14:paraId="2902E43D">
      <w:pPr>
        <w:pStyle w:val="19"/>
        <w:rPr>
          <w:rFonts w:hint="eastAsia" w:ascii="仿宋" w:hAnsi="仿宋" w:eastAsia="仿宋"/>
          <w:color w:val="auto"/>
          <w:sz w:val="32"/>
          <w:szCs w:val="32"/>
          <w:lang w:eastAsia="zh-CN"/>
        </w:rPr>
      </w:pPr>
    </w:p>
    <w:p w14:paraId="40A0CECD">
      <w:pPr>
        <w:pStyle w:val="12"/>
        <w:rPr>
          <w:rFonts w:hint="eastAsia" w:ascii="Times New Roman" w:hAnsi="Times New Roman" w:eastAsia="方正仿宋_GBK" w:cs="Times New Roman"/>
          <w:kern w:val="0"/>
          <w:sz w:val="32"/>
          <w:szCs w:val="32"/>
          <w:shd w:val="clear" w:color="auto" w:fill="FFFFFF"/>
          <w:lang w:val="en-US" w:eastAsia="zh-CN" w:bidi="ar"/>
        </w:rPr>
      </w:pPr>
      <w:r>
        <w:drawing>
          <wp:anchor distT="0" distB="0" distL="114300" distR="114300" simplePos="0" relativeHeight="251660288" behindDoc="0" locked="0" layoutInCell="1" allowOverlap="1">
            <wp:simplePos x="0" y="0"/>
            <wp:positionH relativeFrom="column">
              <wp:posOffset>242570</wp:posOffset>
            </wp:positionH>
            <wp:positionV relativeFrom="paragraph">
              <wp:posOffset>-14605</wp:posOffset>
            </wp:positionV>
            <wp:extent cx="4826000" cy="2009775"/>
            <wp:effectExtent l="5080" t="4445" r="7620" b="5080"/>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lang w:val="en-US" w:eastAsia="zh-CN"/>
        </w:rPr>
        <w:t xml:space="preserve"> </w:t>
      </w:r>
      <w:r>
        <w:rPr>
          <w:rFonts w:hint="eastAsia" w:ascii="Times New Roman" w:hAnsi="Times New Roman" w:eastAsia="方正仿宋_GBK" w:cs="Times New Roman"/>
          <w:kern w:val="0"/>
          <w:sz w:val="32"/>
          <w:szCs w:val="32"/>
          <w:shd w:val="clear" w:color="auto" w:fill="FFFFFF"/>
          <w:lang w:val="en-US" w:eastAsia="zh-CN" w:bidi="ar"/>
        </w:rPr>
        <w:t>（图5：一般公共预算财政拨款支出决算变动情况）（条形图）</w:t>
      </w:r>
    </w:p>
    <w:p w14:paraId="4A3345F6">
      <w:pPr>
        <w:spacing w:line="600" w:lineRule="exact"/>
        <w:ind w:firstLine="643" w:firstLineChars="200"/>
        <w:outlineLvl w:val="2"/>
        <w:rPr>
          <w:rFonts w:ascii="仿宋" w:hAnsi="仿宋" w:eastAsia="仿宋"/>
          <w:b/>
          <w:color w:val="auto"/>
          <w:sz w:val="32"/>
          <w:szCs w:val="32"/>
          <w:highlight w:val="none"/>
        </w:rPr>
      </w:pPr>
      <w:bookmarkStart w:id="55" w:name="_Toc15377211"/>
      <w:r>
        <w:rPr>
          <w:rFonts w:hint="eastAsia" w:ascii="仿宋" w:hAnsi="仿宋" w:eastAsia="仿宋"/>
          <w:b/>
          <w:color w:val="auto"/>
          <w:sz w:val="32"/>
          <w:szCs w:val="32"/>
          <w:highlight w:val="none"/>
        </w:rPr>
        <w:t>（二）一般公共预算财政拨款支出决算结构情况</w:t>
      </w:r>
      <w:bookmarkEnd w:id="55"/>
    </w:p>
    <w:p w14:paraId="32C6C6D6">
      <w:pPr>
        <w:pStyle w:val="18"/>
        <w:keepNext w:val="0"/>
        <w:keepLines w:val="0"/>
        <w:pageBreakBefore w:val="0"/>
        <w:kinsoku/>
        <w:wordWrap w:val="0"/>
        <w:overflowPunct/>
        <w:topLinePunct w:val="0"/>
        <w:autoSpaceDE/>
        <w:autoSpaceDN/>
        <w:bidi w:val="0"/>
        <w:spacing w:before="0" w:beforeAutospacing="0" w:after="0" w:afterAutospacing="0" w:line="554"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
        </w:rPr>
      </w:pPr>
      <w:r>
        <w:rPr>
          <w:rFonts w:hint="default" w:ascii="Times New Roman" w:hAnsi="Times New Roman" w:eastAsia="方正仿宋_GBK" w:cs="Times New Roman"/>
          <w:color w:val="auto"/>
          <w:kern w:val="0"/>
          <w:sz w:val="32"/>
          <w:szCs w:val="32"/>
          <w:shd w:val="clear" w:color="auto" w:fill="FFFFFF"/>
          <w:lang w:val="en-US" w:eastAsia="zh-CN" w:bidi="ar"/>
        </w:rPr>
        <w:t>202</w:t>
      </w:r>
      <w:r>
        <w:rPr>
          <w:rFonts w:hint="eastAsia" w:eastAsia="方正仿宋_GBK" w:cs="Times New Roman"/>
          <w:color w:val="auto"/>
          <w:kern w:val="0"/>
          <w:sz w:val="32"/>
          <w:szCs w:val="32"/>
          <w:shd w:val="clear" w:color="auto" w:fill="FFFFFF"/>
          <w:lang w:val="en-US" w:eastAsia="zh-CN" w:bidi="ar"/>
        </w:rPr>
        <w:t>4</w:t>
      </w:r>
      <w:r>
        <w:rPr>
          <w:rFonts w:hint="default" w:ascii="Times New Roman" w:hAnsi="Times New Roman" w:eastAsia="方正仿宋_GBK" w:cs="Times New Roman"/>
          <w:color w:val="auto"/>
          <w:kern w:val="0"/>
          <w:sz w:val="32"/>
          <w:szCs w:val="32"/>
          <w:shd w:val="clear" w:color="auto" w:fill="FFFFFF"/>
          <w:lang w:val="en-US" w:eastAsia="zh-CN" w:bidi="ar"/>
        </w:rPr>
        <w:t>年度一般公共预算财政拨款支出</w:t>
      </w:r>
      <w:r>
        <w:rPr>
          <w:rFonts w:hint="eastAsia" w:eastAsia="方正仿宋_GBK" w:cs="Times New Roman"/>
          <w:color w:val="auto"/>
          <w:sz w:val="32"/>
          <w:szCs w:val="32"/>
          <w:lang w:val="en-US" w:eastAsia="zh-CN"/>
        </w:rPr>
        <w:t>1095.32</w:t>
      </w:r>
      <w:r>
        <w:rPr>
          <w:rFonts w:hint="default" w:ascii="Times New Roman" w:hAnsi="Times New Roman" w:eastAsia="方正仿宋_GBK" w:cs="Times New Roman"/>
          <w:color w:val="auto"/>
          <w:kern w:val="0"/>
          <w:sz w:val="32"/>
          <w:szCs w:val="32"/>
          <w:shd w:val="clear" w:color="auto" w:fill="FFFFFF"/>
          <w:lang w:val="en-US" w:eastAsia="zh-CN" w:bidi="ar"/>
        </w:rPr>
        <w:t>万元，主要用于以下方面:</w:t>
      </w:r>
      <w:r>
        <w:rPr>
          <w:rFonts w:hint="eastAsia" w:ascii="Times New Roman" w:hAnsi="Times New Roman" w:eastAsia="方正仿宋_GBK" w:cs="Times New Roman"/>
          <w:color w:val="auto"/>
          <w:sz w:val="32"/>
          <w:szCs w:val="32"/>
          <w:shd w:val="clear" w:color="auto" w:fill="FFFFFF"/>
          <w:lang w:val="en-US" w:eastAsia="zh-CN" w:bidi="ar"/>
        </w:rPr>
        <w:t>一般公共服务支出为817.14万元，占比74.60%；文化旅游体育与传媒支出为50.60万元，占比4.62%；社会保障和就业支</w:t>
      </w:r>
      <w:r>
        <w:rPr>
          <w:rFonts w:hint="eastAsia" w:ascii="Times New Roman" w:hAnsi="Times New Roman" w:eastAsia="方正仿宋_GBK" w:cs="Times New Roman"/>
          <w:sz w:val="32"/>
          <w:szCs w:val="32"/>
          <w:shd w:val="clear" w:color="auto" w:fill="FFFFFF"/>
          <w:lang w:val="en-US" w:eastAsia="zh-CN" w:bidi="ar"/>
        </w:rPr>
        <w:t>出为59.15万元，占比5.40%；卫生健康支出为24.82万元，占比2.27%；住房保障支出为32.67万元，占比2.98%;农林水支出支出为110.95万元，占比10.13%。</w:t>
      </w:r>
    </w:p>
    <w:p w14:paraId="606EB468">
      <w:pPr>
        <w:spacing w:line="600" w:lineRule="exact"/>
        <w:ind w:firstLine="640"/>
        <w:rPr>
          <w:rFonts w:hint="default" w:ascii="Times New Roman" w:hAnsi="Times New Roman" w:eastAsia="仿宋" w:cs="Times New Roman"/>
          <w:color w:val="0000FF"/>
          <w:sz w:val="32"/>
          <w:szCs w:val="32"/>
          <w:lang w:eastAsia="zh-CN"/>
        </w:rPr>
      </w:pPr>
    </w:p>
    <w:p w14:paraId="296E3C56">
      <w:pPr>
        <w:keepNext w:val="0"/>
        <w:keepLines w:val="0"/>
        <w:pageBreakBefore w:val="0"/>
        <w:widowControl w:val="0"/>
        <w:kinsoku/>
        <w:wordWrap/>
        <w:overflowPunct/>
        <w:topLinePunct w:val="0"/>
        <w:autoSpaceDE/>
        <w:autoSpaceDN/>
        <w:bidi w:val="0"/>
        <w:adjustRightInd/>
        <w:snapToGrid/>
        <w:spacing w:line="460" w:lineRule="exact"/>
        <w:ind w:firstLine="641"/>
        <w:textAlignment w:val="auto"/>
        <w:rPr>
          <w:rFonts w:hint="default" w:ascii="Times New Roman" w:hAnsi="Times New Roman" w:eastAsia="方正仿宋_GBK" w:cs="Times New Roman"/>
          <w:kern w:val="0"/>
          <w:sz w:val="32"/>
          <w:szCs w:val="32"/>
          <w:shd w:val="clear" w:color="auto" w:fill="FFFFFF"/>
          <w:lang w:val="en-US" w:eastAsia="zh-CN" w:bidi="ar"/>
        </w:rPr>
      </w:pPr>
      <w:r>
        <w:drawing>
          <wp:anchor distT="0" distB="0" distL="114300" distR="114300" simplePos="0" relativeHeight="251661312" behindDoc="0" locked="0" layoutInCell="1" allowOverlap="1">
            <wp:simplePos x="0" y="0"/>
            <wp:positionH relativeFrom="column">
              <wp:posOffset>344170</wp:posOffset>
            </wp:positionH>
            <wp:positionV relativeFrom="paragraph">
              <wp:posOffset>42545</wp:posOffset>
            </wp:positionV>
            <wp:extent cx="4826000" cy="2286000"/>
            <wp:effectExtent l="4445" t="4445" r="8255" b="14605"/>
            <wp:wrapTopAndBottom/>
            <wp:docPr id="1" name="图表 1" descr="7b0a202020202263686172745265734964223a202232303437363039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Times New Roman" w:hAnsi="Times New Roman" w:eastAsia="方正仿宋_GBK" w:cs="Times New Roman"/>
          <w:kern w:val="0"/>
          <w:sz w:val="32"/>
          <w:szCs w:val="32"/>
          <w:shd w:val="clear" w:color="auto" w:fill="FFFFFF"/>
          <w:lang w:val="en-US" w:eastAsia="zh-CN" w:bidi="ar"/>
        </w:rPr>
        <w:t>（图6：一般公共预算财政拨款支出决算结构）（饼状图）</w:t>
      </w:r>
    </w:p>
    <w:p w14:paraId="14A76E9B">
      <w:pPr>
        <w:spacing w:line="600" w:lineRule="exact"/>
        <w:ind w:firstLine="643" w:firstLineChars="200"/>
        <w:outlineLvl w:val="2"/>
        <w:rPr>
          <w:rFonts w:hint="default" w:ascii="Times New Roman" w:hAnsi="Times New Roman" w:eastAsia="仿宋" w:cs="Times New Roman"/>
          <w:b/>
          <w:sz w:val="32"/>
          <w:szCs w:val="32"/>
          <w:highlight w:val="none"/>
        </w:rPr>
      </w:pPr>
      <w:bookmarkStart w:id="56" w:name="_Toc15377212"/>
      <w:r>
        <w:rPr>
          <w:rFonts w:hint="default" w:ascii="Times New Roman" w:hAnsi="Times New Roman" w:eastAsia="仿宋" w:cs="Times New Roman"/>
          <w:b/>
          <w:sz w:val="32"/>
          <w:szCs w:val="32"/>
          <w:highlight w:val="none"/>
        </w:rPr>
        <w:t>（三）一般公共预算财政拨款支出决算具体情况</w:t>
      </w:r>
      <w:bookmarkEnd w:id="56"/>
    </w:p>
    <w:p w14:paraId="4F0EE885">
      <w:pPr>
        <w:numPr>
          <w:ilvl w:val="0"/>
          <w:numId w:val="0"/>
        </w:num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bookmarkStart w:id="57" w:name="_Toc18926"/>
      <w:bookmarkStart w:id="58" w:name="_Toc15377213"/>
      <w:bookmarkStart w:id="59" w:name="_Toc15378460"/>
      <w:bookmarkStart w:id="60" w:name="_Toc15377444"/>
      <w:bookmarkStart w:id="61" w:name="_Toc15283"/>
      <w:r>
        <w:rPr>
          <w:rFonts w:hint="default" w:ascii="Times New Roman" w:hAnsi="Times New Roman" w:eastAsia="方正仿宋_GBK" w:cs="Times New Roman"/>
          <w:kern w:val="0"/>
          <w:sz w:val="32"/>
          <w:szCs w:val="32"/>
          <w:shd w:val="clear" w:color="auto" w:fill="FFFFFF"/>
          <w:lang w:val="en-US" w:eastAsia="zh-CN" w:bidi="ar"/>
        </w:rPr>
        <w:t>202</w:t>
      </w:r>
      <w:r>
        <w:rPr>
          <w:rFonts w:hint="eastAsia" w:ascii="Times New Roman" w:hAnsi="Times New Roman"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年度一般公共预算支出决算数为</w:t>
      </w:r>
      <w:r>
        <w:rPr>
          <w:rFonts w:hint="eastAsia" w:ascii="Times New Roman" w:hAnsi="Times New Roman" w:eastAsia="方正仿宋_GBK" w:cs="Times New Roman"/>
          <w:kern w:val="0"/>
          <w:sz w:val="32"/>
          <w:szCs w:val="32"/>
          <w:shd w:val="clear" w:color="auto" w:fill="FFFFFF"/>
          <w:lang w:val="en-US" w:eastAsia="zh-CN" w:bidi="ar"/>
        </w:rPr>
        <w:t>1095.32万元</w:t>
      </w:r>
      <w:r>
        <w:rPr>
          <w:rFonts w:hint="default" w:ascii="Times New Roman" w:hAnsi="Times New Roman" w:eastAsia="方正仿宋_GBK" w:cs="Times New Roman"/>
          <w:kern w:val="0"/>
          <w:sz w:val="32"/>
          <w:szCs w:val="32"/>
          <w:shd w:val="clear" w:color="auto" w:fill="FFFFFF"/>
          <w:lang w:val="en-US" w:eastAsia="zh-CN" w:bidi="ar"/>
        </w:rPr>
        <w:t>，完成预算100%。其中：</w:t>
      </w:r>
      <w:bookmarkEnd w:id="57"/>
      <w:bookmarkEnd w:id="58"/>
      <w:bookmarkEnd w:id="59"/>
      <w:bookmarkEnd w:id="60"/>
      <w:bookmarkEnd w:id="61"/>
    </w:p>
    <w:p w14:paraId="73EE87DA">
      <w:pPr>
        <w:numPr>
          <w:ilvl w:val="0"/>
          <w:numId w:val="0"/>
        </w:numPr>
        <w:spacing w:line="600" w:lineRule="exact"/>
        <w:ind w:firstLine="643" w:firstLineChars="200"/>
        <w:rPr>
          <w:rFonts w:hint="default" w:ascii="Times New Roman" w:hAnsi="Times New Roman" w:eastAsia="方正仿宋_GBK" w:cs="Times New Roman"/>
          <w:kern w:val="0"/>
          <w:sz w:val="32"/>
          <w:szCs w:val="32"/>
          <w:shd w:val="clear" w:color="auto" w:fill="FFFFFF"/>
          <w:lang w:val="en-US" w:eastAsia="zh-CN" w:bidi="ar"/>
        </w:rPr>
      </w:pPr>
      <w:r>
        <w:rPr>
          <w:rStyle w:val="22"/>
          <w:rFonts w:hint="default" w:ascii="Times New Roman" w:hAnsi="Times New Roman" w:eastAsia="仿宋" w:cs="Times New Roman"/>
          <w:bCs/>
          <w:sz w:val="32"/>
          <w:szCs w:val="32"/>
          <w:lang w:val="en-US" w:eastAsia="zh-CN"/>
        </w:rPr>
        <w:t>1</w:t>
      </w:r>
      <w:r>
        <w:rPr>
          <w:rStyle w:val="22"/>
          <w:rFonts w:hint="default" w:ascii="Times New Roman" w:hAnsi="Times New Roman" w:eastAsia="仿宋" w:cs="Times New Roman"/>
          <w:b/>
          <w:bCs w:val="0"/>
          <w:sz w:val="32"/>
          <w:szCs w:val="32"/>
          <w:lang w:val="en-US" w:eastAsia="zh-CN"/>
        </w:rPr>
        <w:t>.</w:t>
      </w:r>
      <w:r>
        <w:rPr>
          <w:rStyle w:val="22"/>
          <w:rFonts w:hint="default" w:ascii="Times New Roman" w:hAnsi="Times New Roman" w:eastAsia="仿宋" w:cs="Times New Roman"/>
          <w:b/>
          <w:bCs w:val="0"/>
          <w:sz w:val="32"/>
          <w:szCs w:val="32"/>
        </w:rPr>
        <w:t>201一般公共服务支出</w:t>
      </w:r>
      <w:r>
        <w:rPr>
          <w:rFonts w:hint="eastAsia" w:eastAsia="方正仿宋_GBK" w:cs="Times New Roman"/>
          <w:kern w:val="0"/>
          <w:sz w:val="32"/>
          <w:szCs w:val="32"/>
          <w:shd w:val="clear" w:color="auto" w:fill="FFFFFF"/>
          <w:lang w:val="en-US" w:eastAsia="zh-CN" w:bidi="ar"/>
        </w:rPr>
        <w:t>817.14</w:t>
      </w:r>
      <w:r>
        <w:rPr>
          <w:rFonts w:hint="default" w:ascii="Times New Roman" w:hAnsi="Times New Roman" w:eastAsia="方正仿宋_GBK" w:cs="Times New Roman"/>
          <w:kern w:val="0"/>
          <w:sz w:val="32"/>
          <w:szCs w:val="32"/>
          <w:shd w:val="clear" w:color="auto" w:fill="FFFFFF"/>
          <w:lang w:val="en-US" w:eastAsia="zh-CN" w:bidi="ar"/>
        </w:rPr>
        <w:t>万元,完成预算100%。其中:2013301行政运行支出</w:t>
      </w:r>
      <w:r>
        <w:rPr>
          <w:rFonts w:hint="eastAsia" w:eastAsia="方正仿宋_GBK" w:cs="Times New Roman"/>
          <w:kern w:val="0"/>
          <w:sz w:val="32"/>
          <w:szCs w:val="32"/>
          <w:shd w:val="clear" w:color="auto" w:fill="FFFFFF"/>
          <w:lang w:val="en-US" w:eastAsia="zh-CN" w:bidi="ar"/>
        </w:rPr>
        <w:t>198.72</w:t>
      </w:r>
      <w:r>
        <w:rPr>
          <w:rFonts w:hint="default" w:ascii="Times New Roman" w:hAnsi="Times New Roman" w:eastAsia="方正仿宋_GBK" w:cs="Times New Roman"/>
          <w:kern w:val="0"/>
          <w:sz w:val="32"/>
          <w:szCs w:val="32"/>
          <w:shd w:val="clear" w:color="auto" w:fill="FFFFFF"/>
          <w:lang w:val="en-US" w:eastAsia="zh-CN" w:bidi="ar"/>
        </w:rPr>
        <w:t>万元；2013302一般行政管理事务支出</w:t>
      </w:r>
      <w:r>
        <w:rPr>
          <w:rFonts w:hint="eastAsia" w:eastAsia="方正仿宋_GBK" w:cs="Times New Roman"/>
          <w:kern w:val="0"/>
          <w:sz w:val="32"/>
          <w:szCs w:val="32"/>
          <w:shd w:val="clear" w:color="auto" w:fill="FFFFFF"/>
          <w:lang w:val="en-US" w:eastAsia="zh-CN" w:bidi="ar"/>
        </w:rPr>
        <w:t>120.73</w:t>
      </w:r>
      <w:r>
        <w:rPr>
          <w:rFonts w:hint="default" w:ascii="Times New Roman" w:hAnsi="Times New Roman" w:eastAsia="方正仿宋_GBK" w:cs="Times New Roman"/>
          <w:kern w:val="0"/>
          <w:sz w:val="32"/>
          <w:szCs w:val="32"/>
          <w:shd w:val="clear" w:color="auto" w:fill="FFFFFF"/>
          <w:lang w:val="en-US" w:eastAsia="zh-CN" w:bidi="ar"/>
        </w:rPr>
        <w:t>万元；2013304宣传管理支出</w:t>
      </w:r>
      <w:r>
        <w:rPr>
          <w:rFonts w:hint="eastAsia" w:eastAsia="方正仿宋_GBK" w:cs="Times New Roman"/>
          <w:kern w:val="0"/>
          <w:sz w:val="32"/>
          <w:szCs w:val="32"/>
          <w:shd w:val="clear" w:color="auto" w:fill="FFFFFF"/>
          <w:lang w:val="en-US" w:eastAsia="zh-CN" w:bidi="ar"/>
        </w:rPr>
        <w:t>313.08</w:t>
      </w:r>
      <w:r>
        <w:rPr>
          <w:rFonts w:hint="default" w:ascii="Times New Roman" w:hAnsi="Times New Roman" w:eastAsia="方正仿宋_GBK" w:cs="Times New Roman"/>
          <w:kern w:val="0"/>
          <w:sz w:val="32"/>
          <w:szCs w:val="32"/>
          <w:shd w:val="clear" w:color="auto" w:fill="FFFFFF"/>
          <w:lang w:val="en-US" w:eastAsia="zh-CN" w:bidi="ar"/>
        </w:rPr>
        <w:t>万元；2013350事业运行支出</w:t>
      </w:r>
      <w:r>
        <w:rPr>
          <w:rFonts w:hint="eastAsia" w:eastAsia="方正仿宋_GBK" w:cs="Times New Roman"/>
          <w:kern w:val="0"/>
          <w:sz w:val="32"/>
          <w:szCs w:val="32"/>
          <w:shd w:val="clear" w:color="auto" w:fill="FFFFFF"/>
          <w:lang w:val="en-US" w:eastAsia="zh-CN" w:bidi="ar"/>
        </w:rPr>
        <w:t>134</w:t>
      </w:r>
      <w:r>
        <w:rPr>
          <w:rFonts w:hint="default" w:ascii="Times New Roman" w:hAnsi="Times New Roman" w:eastAsia="方正仿宋_GBK" w:cs="Times New Roman"/>
          <w:kern w:val="0"/>
          <w:sz w:val="32"/>
          <w:szCs w:val="32"/>
          <w:shd w:val="clear" w:color="auto" w:fill="FFFFFF"/>
          <w:lang w:val="en-US" w:eastAsia="zh-CN" w:bidi="ar"/>
        </w:rPr>
        <w:t>万元；2013399其他宣传事务支出</w:t>
      </w:r>
      <w:r>
        <w:rPr>
          <w:rFonts w:hint="eastAsia" w:eastAsia="方正仿宋_GBK" w:cs="Times New Roman"/>
          <w:kern w:val="0"/>
          <w:sz w:val="32"/>
          <w:szCs w:val="32"/>
          <w:shd w:val="clear" w:color="auto" w:fill="FFFFFF"/>
          <w:lang w:val="en-US" w:eastAsia="zh-CN" w:bidi="ar"/>
        </w:rPr>
        <w:t>50.62</w:t>
      </w:r>
      <w:r>
        <w:rPr>
          <w:rFonts w:hint="default" w:ascii="Times New Roman" w:hAnsi="Times New Roman" w:eastAsia="方正仿宋_GBK" w:cs="Times New Roman"/>
          <w:kern w:val="0"/>
          <w:sz w:val="32"/>
          <w:szCs w:val="32"/>
          <w:shd w:val="clear" w:color="auto" w:fill="FFFFFF"/>
          <w:lang w:val="en-US" w:eastAsia="zh-CN" w:bidi="ar"/>
        </w:rPr>
        <w:t>万元。</w:t>
      </w:r>
    </w:p>
    <w:p w14:paraId="74240263">
      <w:pPr>
        <w:spacing w:line="600" w:lineRule="exact"/>
        <w:ind w:firstLine="643" w:firstLineChars="200"/>
        <w:rPr>
          <w:rFonts w:hint="eastAsia" w:eastAsia="方正仿宋_GBK" w:cs="Times New Roman"/>
          <w:kern w:val="0"/>
          <w:sz w:val="32"/>
          <w:szCs w:val="32"/>
          <w:shd w:val="clear" w:color="auto" w:fill="FFFFFF"/>
          <w:lang w:val="en-US" w:eastAsia="zh-CN" w:bidi="ar"/>
        </w:rPr>
      </w:pPr>
      <w:r>
        <w:rPr>
          <w:rStyle w:val="22"/>
          <w:rFonts w:hint="default" w:ascii="Times New Roman" w:hAnsi="Times New Roman" w:eastAsia="仿宋" w:cs="Times New Roman"/>
          <w:bCs/>
          <w:sz w:val="32"/>
          <w:szCs w:val="32"/>
          <w:lang w:val="en-US" w:eastAsia="zh-CN"/>
        </w:rPr>
        <w:t>2</w:t>
      </w:r>
      <w:r>
        <w:rPr>
          <w:rStyle w:val="22"/>
          <w:rFonts w:hint="default" w:ascii="Times New Roman" w:hAnsi="Times New Roman" w:eastAsia="仿宋" w:cs="Times New Roman"/>
          <w:bCs/>
          <w:sz w:val="32"/>
          <w:szCs w:val="32"/>
        </w:rPr>
        <w:t>.207文化旅游体育与传媒支出</w:t>
      </w:r>
      <w:r>
        <w:rPr>
          <w:rFonts w:hint="eastAsia" w:eastAsia="方正仿宋_GBK" w:cs="Times New Roman"/>
          <w:kern w:val="0"/>
          <w:sz w:val="32"/>
          <w:szCs w:val="32"/>
          <w:shd w:val="clear" w:color="auto" w:fill="FFFFFF"/>
          <w:lang w:val="en-US" w:eastAsia="zh-CN" w:bidi="ar"/>
        </w:rPr>
        <w:t>50.60</w:t>
      </w:r>
      <w:r>
        <w:rPr>
          <w:rFonts w:hint="default" w:ascii="Times New Roman" w:hAnsi="Times New Roman" w:eastAsia="方正仿宋_GBK" w:cs="Times New Roman"/>
          <w:kern w:val="0"/>
          <w:sz w:val="32"/>
          <w:szCs w:val="32"/>
          <w:shd w:val="clear" w:color="auto" w:fill="FFFFFF"/>
          <w:lang w:val="en-US" w:eastAsia="zh-CN" w:bidi="ar"/>
        </w:rPr>
        <w:t>万元，完成预算100%。其中：</w:t>
      </w:r>
      <w:r>
        <w:rPr>
          <w:rFonts w:hint="eastAsia" w:eastAsia="方正仿宋_GBK" w:cs="Times New Roman"/>
          <w:kern w:val="0"/>
          <w:sz w:val="32"/>
          <w:szCs w:val="32"/>
          <w:shd w:val="clear" w:color="auto" w:fill="FFFFFF"/>
          <w:lang w:val="en-US" w:eastAsia="zh-CN" w:bidi="ar"/>
        </w:rPr>
        <w:t>2070108文化活动支出4.97万元；</w:t>
      </w:r>
      <w:r>
        <w:rPr>
          <w:rFonts w:hint="default" w:ascii="Times New Roman" w:hAnsi="Times New Roman" w:eastAsia="方正仿宋_GBK" w:cs="Times New Roman"/>
          <w:kern w:val="0"/>
          <w:sz w:val="32"/>
          <w:szCs w:val="32"/>
          <w:shd w:val="clear" w:color="auto" w:fill="FFFFFF"/>
          <w:lang w:val="en-US" w:eastAsia="zh-CN" w:bidi="ar"/>
        </w:rPr>
        <w:t>2070199其他文化和旅游支出</w:t>
      </w:r>
      <w:r>
        <w:rPr>
          <w:rFonts w:hint="eastAsia" w:eastAsia="方正仿宋_GBK" w:cs="Times New Roman"/>
          <w:kern w:val="0"/>
          <w:sz w:val="32"/>
          <w:szCs w:val="32"/>
          <w:shd w:val="clear" w:color="auto" w:fill="FFFFFF"/>
          <w:lang w:val="en-US" w:eastAsia="zh-CN" w:bidi="ar"/>
        </w:rPr>
        <w:t>19.25</w:t>
      </w:r>
      <w:r>
        <w:rPr>
          <w:rFonts w:hint="default" w:ascii="Times New Roman" w:hAnsi="Times New Roman" w:eastAsia="方正仿宋_GBK" w:cs="Times New Roman"/>
          <w:kern w:val="0"/>
          <w:sz w:val="32"/>
          <w:szCs w:val="32"/>
          <w:shd w:val="clear" w:color="auto" w:fill="FFFFFF"/>
          <w:lang w:val="en-US" w:eastAsia="zh-CN" w:bidi="ar"/>
        </w:rPr>
        <w:t>万元</w:t>
      </w:r>
      <w:r>
        <w:rPr>
          <w:rFonts w:hint="eastAsia" w:eastAsia="方正仿宋_GBK" w:cs="Times New Roman"/>
          <w:kern w:val="0"/>
          <w:sz w:val="32"/>
          <w:szCs w:val="32"/>
          <w:shd w:val="clear" w:color="auto" w:fill="FFFFFF"/>
          <w:lang w:val="en-US" w:eastAsia="zh-CN" w:bidi="ar"/>
        </w:rPr>
        <w:t>。</w:t>
      </w:r>
    </w:p>
    <w:p w14:paraId="189B9B37">
      <w:pPr>
        <w:spacing w:line="600" w:lineRule="exact"/>
        <w:ind w:firstLine="643" w:firstLineChars="200"/>
        <w:rPr>
          <w:rStyle w:val="22"/>
          <w:rFonts w:hint="default" w:ascii="Times New Roman" w:hAnsi="Times New Roman" w:eastAsia="仿宋" w:cs="Times New Roman"/>
          <w:b w:val="0"/>
          <w:bCs/>
          <w:sz w:val="32"/>
          <w:szCs w:val="32"/>
          <w:lang w:eastAsia="zh-CN"/>
        </w:rPr>
      </w:pPr>
      <w:r>
        <w:rPr>
          <w:rStyle w:val="22"/>
          <w:rFonts w:hint="default" w:ascii="Times New Roman" w:hAnsi="Times New Roman" w:eastAsia="仿宋" w:cs="Times New Roman"/>
          <w:bCs/>
          <w:sz w:val="32"/>
          <w:szCs w:val="32"/>
          <w:lang w:val="en-US" w:eastAsia="zh-CN"/>
        </w:rPr>
        <w:t>3</w:t>
      </w:r>
      <w:r>
        <w:rPr>
          <w:rStyle w:val="22"/>
          <w:rFonts w:hint="default" w:ascii="Times New Roman" w:hAnsi="Times New Roman" w:eastAsia="仿宋" w:cs="Times New Roman"/>
          <w:bCs/>
          <w:sz w:val="32"/>
          <w:szCs w:val="32"/>
        </w:rPr>
        <w:t>.208社会保障和就业支出</w:t>
      </w:r>
      <w:r>
        <w:rPr>
          <w:rFonts w:hint="eastAsia" w:eastAsia="方正仿宋_GBK" w:cs="Times New Roman"/>
          <w:kern w:val="0"/>
          <w:sz w:val="32"/>
          <w:szCs w:val="32"/>
          <w:shd w:val="clear" w:color="auto" w:fill="FFFFFF"/>
          <w:lang w:val="en-US" w:eastAsia="zh-CN" w:bidi="ar"/>
        </w:rPr>
        <w:t>59.15</w:t>
      </w:r>
      <w:r>
        <w:rPr>
          <w:rFonts w:hint="default" w:ascii="Times New Roman" w:hAnsi="Times New Roman" w:eastAsia="方正仿宋_GBK" w:cs="Times New Roman"/>
          <w:kern w:val="0"/>
          <w:sz w:val="32"/>
          <w:szCs w:val="32"/>
          <w:shd w:val="clear" w:color="auto" w:fill="FFFFFF"/>
          <w:lang w:val="en-US" w:eastAsia="zh-CN" w:bidi="ar"/>
        </w:rPr>
        <w:t>万元，完成预算100%。其中：2080505</w:t>
      </w:r>
      <w:r>
        <w:rPr>
          <w:rFonts w:hint="default" w:ascii="Times New Roman" w:hAnsi="Times New Roman" w:eastAsia="方正仿宋_GBK" w:cs="Times New Roman"/>
          <w:kern w:val="0"/>
          <w:sz w:val="32"/>
          <w:szCs w:val="32"/>
          <w:shd w:val="clear" w:color="auto" w:fill="FFFFFF"/>
          <w:lang w:val="en-US" w:eastAsia="zh-CN" w:bidi="ar"/>
        </w:rPr>
        <w:tab/>
      </w:r>
      <w:r>
        <w:rPr>
          <w:rFonts w:hint="default" w:ascii="Times New Roman" w:hAnsi="Times New Roman" w:eastAsia="方正仿宋_GBK" w:cs="Times New Roman"/>
          <w:kern w:val="0"/>
          <w:sz w:val="32"/>
          <w:szCs w:val="32"/>
          <w:shd w:val="clear" w:color="auto" w:fill="FFFFFF"/>
          <w:lang w:val="en-US" w:eastAsia="zh-CN" w:bidi="ar"/>
        </w:rPr>
        <w:t>机关事业单位基本养老保险缴费支出</w:t>
      </w:r>
      <w:r>
        <w:rPr>
          <w:rFonts w:hint="eastAsia" w:eastAsia="方正仿宋_GBK" w:cs="Times New Roman"/>
          <w:kern w:val="0"/>
          <w:sz w:val="32"/>
          <w:szCs w:val="32"/>
          <w:shd w:val="clear" w:color="auto" w:fill="FFFFFF"/>
          <w:lang w:val="en-US" w:eastAsia="zh-CN" w:bidi="ar"/>
        </w:rPr>
        <w:t>39.42</w:t>
      </w:r>
      <w:r>
        <w:rPr>
          <w:rFonts w:hint="default" w:ascii="Times New Roman" w:hAnsi="Times New Roman" w:eastAsia="方正仿宋_GBK" w:cs="Times New Roman"/>
          <w:kern w:val="0"/>
          <w:sz w:val="32"/>
          <w:szCs w:val="32"/>
          <w:shd w:val="clear" w:color="auto" w:fill="FFFFFF"/>
          <w:lang w:val="en-US" w:eastAsia="zh-CN" w:bidi="ar"/>
        </w:rPr>
        <w:t>万元；2080506机关事业单位职业年金缴费支出</w:t>
      </w:r>
      <w:r>
        <w:rPr>
          <w:rFonts w:hint="eastAsia" w:eastAsia="方正仿宋_GBK" w:cs="Times New Roman"/>
          <w:kern w:val="0"/>
          <w:sz w:val="32"/>
          <w:szCs w:val="32"/>
          <w:shd w:val="clear" w:color="auto" w:fill="FFFFFF"/>
          <w:lang w:val="en-US" w:eastAsia="zh-CN" w:bidi="ar"/>
        </w:rPr>
        <w:t>19.73</w:t>
      </w:r>
      <w:r>
        <w:rPr>
          <w:rFonts w:hint="default" w:ascii="Times New Roman" w:hAnsi="Times New Roman" w:eastAsia="方正仿宋_GBK" w:cs="Times New Roman"/>
          <w:kern w:val="0"/>
          <w:sz w:val="32"/>
          <w:szCs w:val="32"/>
          <w:shd w:val="clear" w:color="auto" w:fill="FFFFFF"/>
          <w:lang w:val="en-US" w:eastAsia="zh-CN" w:bidi="ar"/>
        </w:rPr>
        <w:t>万元。</w:t>
      </w:r>
    </w:p>
    <w:p w14:paraId="1A8CF49D">
      <w:pPr>
        <w:keepNext w:val="0"/>
        <w:keepLines w:val="0"/>
        <w:pageBreakBefore w:val="0"/>
        <w:widowControl w:val="0"/>
        <w:kinsoku/>
        <w:wordWrap w:val="0"/>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Style w:val="22"/>
          <w:rFonts w:hint="default" w:ascii="Times New Roman" w:hAnsi="Times New Roman" w:eastAsia="仿宋" w:cs="Times New Roman"/>
          <w:bCs/>
          <w:sz w:val="32"/>
          <w:szCs w:val="32"/>
          <w:lang w:val="en-US" w:eastAsia="zh-CN"/>
        </w:rPr>
        <w:t>4</w:t>
      </w:r>
      <w:r>
        <w:rPr>
          <w:rStyle w:val="22"/>
          <w:rFonts w:hint="default" w:ascii="Times New Roman" w:hAnsi="Times New Roman" w:eastAsia="仿宋" w:cs="Times New Roman"/>
          <w:bCs/>
          <w:sz w:val="32"/>
          <w:szCs w:val="32"/>
        </w:rPr>
        <w:t>.210卫生健康支出</w:t>
      </w:r>
      <w:r>
        <w:rPr>
          <w:rFonts w:hint="eastAsia" w:eastAsia="方正仿宋_GBK" w:cs="Times New Roman"/>
          <w:kern w:val="0"/>
          <w:sz w:val="32"/>
          <w:szCs w:val="32"/>
          <w:shd w:val="clear" w:color="auto" w:fill="FFFFFF"/>
          <w:lang w:val="en-US" w:eastAsia="zh-CN" w:bidi="ar"/>
        </w:rPr>
        <w:t>24.82</w:t>
      </w:r>
      <w:r>
        <w:rPr>
          <w:rFonts w:hint="default" w:ascii="Times New Roman" w:hAnsi="Times New Roman" w:eastAsia="方正仿宋_GBK" w:cs="Times New Roman"/>
          <w:kern w:val="0"/>
          <w:sz w:val="32"/>
          <w:szCs w:val="32"/>
          <w:shd w:val="clear" w:color="auto" w:fill="FFFFFF"/>
          <w:lang w:val="en-US" w:eastAsia="zh-CN" w:bidi="ar"/>
        </w:rPr>
        <w:t>万元，完成预算100%。其中：2101101行政单位医疗</w:t>
      </w:r>
      <w:r>
        <w:rPr>
          <w:rFonts w:hint="eastAsia" w:eastAsia="方正仿宋_GBK" w:cs="Times New Roman"/>
          <w:kern w:val="0"/>
          <w:sz w:val="32"/>
          <w:szCs w:val="32"/>
          <w:shd w:val="clear" w:color="auto" w:fill="FFFFFF"/>
          <w:lang w:val="en-US" w:eastAsia="zh-CN" w:bidi="ar"/>
        </w:rPr>
        <w:t>11</w:t>
      </w:r>
      <w:r>
        <w:rPr>
          <w:rFonts w:hint="default" w:ascii="Times New Roman" w:hAnsi="Times New Roman" w:eastAsia="方正仿宋_GBK" w:cs="Times New Roman"/>
          <w:kern w:val="0"/>
          <w:sz w:val="32"/>
          <w:szCs w:val="32"/>
          <w:shd w:val="clear" w:color="auto" w:fill="FFFFFF"/>
          <w:lang w:val="en-US" w:eastAsia="zh-CN" w:bidi="ar"/>
        </w:rPr>
        <w:t>万元；2101102事业单位医疗</w:t>
      </w:r>
      <w:r>
        <w:rPr>
          <w:rFonts w:hint="eastAsia" w:eastAsia="方正仿宋_GBK" w:cs="Times New Roman"/>
          <w:kern w:val="0"/>
          <w:sz w:val="32"/>
          <w:szCs w:val="32"/>
          <w:shd w:val="clear" w:color="auto" w:fill="FFFFFF"/>
          <w:lang w:val="en-US" w:eastAsia="zh-CN" w:bidi="ar"/>
        </w:rPr>
        <w:t>8.34</w:t>
      </w:r>
      <w:r>
        <w:rPr>
          <w:rFonts w:hint="default" w:ascii="Times New Roman" w:hAnsi="Times New Roman" w:eastAsia="方正仿宋_GBK" w:cs="Times New Roman"/>
          <w:kern w:val="0"/>
          <w:sz w:val="32"/>
          <w:szCs w:val="32"/>
          <w:shd w:val="clear" w:color="auto" w:fill="FFFFFF"/>
          <w:lang w:val="en-US" w:eastAsia="zh-CN" w:bidi="ar"/>
        </w:rPr>
        <w:t>万元；2101103公务员医疗补助3.</w:t>
      </w:r>
      <w:r>
        <w:rPr>
          <w:rFonts w:hint="eastAsia" w:eastAsia="方正仿宋_GBK" w:cs="Times New Roman"/>
          <w:kern w:val="0"/>
          <w:sz w:val="32"/>
          <w:szCs w:val="32"/>
          <w:shd w:val="clear" w:color="auto" w:fill="FFFFFF"/>
          <w:lang w:val="en-US" w:eastAsia="zh-CN" w:bidi="ar"/>
        </w:rPr>
        <w:t>7</w:t>
      </w:r>
      <w:r>
        <w:rPr>
          <w:rFonts w:hint="default" w:ascii="Times New Roman" w:hAnsi="Times New Roman" w:eastAsia="方正仿宋_GBK" w:cs="Times New Roman"/>
          <w:kern w:val="0"/>
          <w:sz w:val="32"/>
          <w:szCs w:val="32"/>
          <w:shd w:val="clear" w:color="auto" w:fill="FFFFFF"/>
          <w:lang w:val="en-US" w:eastAsia="zh-CN" w:bidi="ar"/>
        </w:rPr>
        <w:t>万元；2101199其他行政事业单位医疗支出</w:t>
      </w:r>
      <w:r>
        <w:rPr>
          <w:rFonts w:hint="eastAsia" w:eastAsia="方正仿宋_GBK" w:cs="Times New Roman"/>
          <w:kern w:val="0"/>
          <w:sz w:val="32"/>
          <w:szCs w:val="32"/>
          <w:shd w:val="clear" w:color="auto" w:fill="FFFFFF"/>
          <w:lang w:val="en-US" w:eastAsia="zh-CN" w:bidi="ar"/>
        </w:rPr>
        <w:t>1.77</w:t>
      </w:r>
      <w:r>
        <w:rPr>
          <w:rFonts w:hint="default" w:ascii="Times New Roman" w:hAnsi="Times New Roman" w:eastAsia="方正仿宋_GBK" w:cs="Times New Roman"/>
          <w:kern w:val="0"/>
          <w:sz w:val="32"/>
          <w:szCs w:val="32"/>
          <w:shd w:val="clear" w:color="auto" w:fill="FFFFFF"/>
          <w:lang w:val="en-US" w:eastAsia="zh-CN" w:bidi="ar"/>
        </w:rPr>
        <w:t>万元。</w:t>
      </w:r>
    </w:p>
    <w:p w14:paraId="2B2BE0FB">
      <w:pPr>
        <w:spacing w:line="600" w:lineRule="exact"/>
        <w:ind w:firstLine="643" w:firstLineChars="200"/>
        <w:rPr>
          <w:rFonts w:hint="default" w:ascii="Times New Roman" w:hAnsi="Times New Roman" w:eastAsia="方正仿宋_GBK" w:cs="Times New Roman"/>
          <w:kern w:val="0"/>
          <w:sz w:val="32"/>
          <w:szCs w:val="32"/>
          <w:shd w:val="clear" w:color="auto" w:fill="FFFFFF"/>
          <w:lang w:val="en-US" w:eastAsia="zh-CN" w:bidi="ar"/>
        </w:rPr>
      </w:pPr>
      <w:r>
        <w:rPr>
          <w:rStyle w:val="22"/>
          <w:rFonts w:hint="default" w:ascii="Times New Roman" w:hAnsi="Times New Roman" w:eastAsia="仿宋" w:cs="Times New Roman"/>
          <w:bCs/>
          <w:sz w:val="32"/>
          <w:szCs w:val="32"/>
          <w:lang w:val="en-US" w:eastAsia="zh-CN"/>
        </w:rPr>
        <w:t>5.221住房保障支出</w:t>
      </w:r>
      <w:r>
        <w:rPr>
          <w:rFonts w:hint="eastAsia" w:eastAsia="方正仿宋_GBK" w:cs="Times New Roman"/>
          <w:kern w:val="0"/>
          <w:sz w:val="32"/>
          <w:szCs w:val="32"/>
          <w:shd w:val="clear" w:color="auto" w:fill="FFFFFF"/>
          <w:lang w:val="en-US" w:eastAsia="zh-CN" w:bidi="ar"/>
        </w:rPr>
        <w:t>32.67</w:t>
      </w:r>
      <w:r>
        <w:rPr>
          <w:rFonts w:hint="default" w:ascii="Times New Roman" w:hAnsi="Times New Roman" w:eastAsia="方正仿宋_GBK" w:cs="Times New Roman"/>
          <w:kern w:val="0"/>
          <w:sz w:val="32"/>
          <w:szCs w:val="32"/>
          <w:shd w:val="clear" w:color="auto" w:fill="FFFFFF"/>
          <w:lang w:val="en-US" w:eastAsia="zh-CN" w:bidi="ar"/>
        </w:rPr>
        <w:t>万元，完成预算100%。其中：2210201住房公积金</w:t>
      </w:r>
      <w:r>
        <w:rPr>
          <w:rFonts w:hint="default" w:ascii="Times New Roman" w:hAnsi="Times New Roman" w:eastAsia="方正仿宋_GBK" w:cs="Times New Roman"/>
          <w:kern w:val="0"/>
          <w:sz w:val="32"/>
          <w:szCs w:val="32"/>
          <w:shd w:val="clear" w:color="auto" w:fill="FFFFFF"/>
          <w:lang w:val="en-US" w:eastAsia="zh-CN" w:bidi="ar"/>
        </w:rPr>
        <w:tab/>
      </w:r>
      <w:r>
        <w:rPr>
          <w:rFonts w:hint="eastAsia" w:eastAsia="方正仿宋_GBK" w:cs="Times New Roman"/>
          <w:kern w:val="0"/>
          <w:sz w:val="32"/>
          <w:szCs w:val="32"/>
          <w:shd w:val="clear" w:color="auto" w:fill="FFFFFF"/>
          <w:lang w:val="en-US" w:eastAsia="zh-CN" w:bidi="ar"/>
        </w:rPr>
        <w:t>32.67</w:t>
      </w:r>
      <w:r>
        <w:rPr>
          <w:rFonts w:hint="default" w:ascii="Times New Roman" w:hAnsi="Times New Roman" w:eastAsia="方正仿宋_GBK" w:cs="Times New Roman"/>
          <w:kern w:val="0"/>
          <w:sz w:val="32"/>
          <w:szCs w:val="32"/>
          <w:shd w:val="clear" w:color="auto" w:fill="FFFFFF"/>
          <w:lang w:val="en-US" w:eastAsia="zh-CN" w:bidi="ar"/>
        </w:rPr>
        <w:t>万元。</w:t>
      </w:r>
    </w:p>
    <w:p w14:paraId="55789644">
      <w:pPr>
        <w:pStyle w:val="19"/>
        <w:ind w:left="0" w:leftChars="0" w:firstLine="643" w:firstLineChars="200"/>
        <w:rPr>
          <w:rFonts w:hint="default"/>
          <w:lang w:val="en-US" w:eastAsia="zh-CN"/>
        </w:rPr>
      </w:pPr>
      <w:r>
        <w:rPr>
          <w:rStyle w:val="22"/>
          <w:rFonts w:hint="eastAsia" w:ascii="Times New Roman" w:hAnsi="Times New Roman" w:eastAsia="仿宋" w:cs="Times New Roman"/>
          <w:bCs/>
          <w:kern w:val="2"/>
          <w:sz w:val="32"/>
          <w:szCs w:val="32"/>
          <w:lang w:val="en-US" w:eastAsia="zh-CN" w:bidi="ar-SA"/>
        </w:rPr>
        <w:t>6.213农林水支出110.95万元，</w:t>
      </w:r>
      <w:r>
        <w:rPr>
          <w:rFonts w:hint="eastAsia" w:ascii="Times New Roman" w:eastAsia="方正仿宋_GBK" w:cs="Times New Roman"/>
          <w:kern w:val="0"/>
          <w:sz w:val="32"/>
          <w:szCs w:val="32"/>
          <w:shd w:val="clear" w:color="auto" w:fill="FFFFFF"/>
          <w:lang w:val="en-US" w:eastAsia="zh-CN" w:bidi="ar"/>
        </w:rPr>
        <w:t>完成</w:t>
      </w:r>
      <w:r>
        <w:rPr>
          <w:rFonts w:hint="default" w:ascii="Times New Roman" w:hAnsi="Times New Roman" w:eastAsia="方正仿宋_GBK" w:cs="Times New Roman"/>
          <w:kern w:val="0"/>
          <w:sz w:val="32"/>
          <w:szCs w:val="32"/>
          <w:shd w:val="clear" w:color="auto" w:fill="FFFFFF"/>
          <w:lang w:val="en-US" w:eastAsia="zh-CN" w:bidi="ar"/>
        </w:rPr>
        <w:t>成预算100%。其中：</w:t>
      </w:r>
      <w:r>
        <w:rPr>
          <w:rFonts w:hint="eastAsia" w:ascii="Times New Roman" w:eastAsia="方正仿宋_GBK" w:cs="Times New Roman"/>
          <w:kern w:val="0"/>
          <w:sz w:val="32"/>
          <w:szCs w:val="32"/>
          <w:shd w:val="clear" w:color="auto" w:fill="FFFFFF"/>
          <w:lang w:val="en-US" w:eastAsia="zh-CN" w:bidi="ar"/>
        </w:rPr>
        <w:t>2130506社会发展支出110.95万元。</w:t>
      </w:r>
    </w:p>
    <w:p w14:paraId="54E6B4B9">
      <w:pPr>
        <w:tabs>
          <w:tab w:val="right" w:pos="8306"/>
        </w:tabs>
        <w:spacing w:line="600" w:lineRule="exact"/>
        <w:ind w:firstLine="640"/>
        <w:outlineLvl w:val="1"/>
        <w:rPr>
          <w:rStyle w:val="34"/>
          <w:rFonts w:hint="default" w:ascii="Times New Roman" w:hAnsi="Times New Roman" w:cs="Times New Roman"/>
        </w:rPr>
      </w:pPr>
      <w:bookmarkStart w:id="62" w:name="_Toc15377214"/>
      <w:bookmarkStart w:id="63" w:name="_Toc15396608"/>
      <w:bookmarkStart w:id="64" w:name="_Toc30193"/>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34"/>
          <w:rFonts w:hint="default" w:ascii="Times New Roman" w:hAnsi="Times New Roman" w:eastAsia="黑体" w:cs="Times New Roman"/>
          <w:b w:val="0"/>
        </w:rPr>
        <w:t>般公共预算财政拨款基本支出决算情况说明</w:t>
      </w:r>
      <w:bookmarkEnd w:id="62"/>
      <w:bookmarkEnd w:id="63"/>
      <w:bookmarkEnd w:id="64"/>
      <w:r>
        <w:rPr>
          <w:rStyle w:val="34"/>
          <w:rFonts w:hint="default" w:ascii="Times New Roman" w:hAnsi="Times New Roman" w:eastAsia="黑体" w:cs="Times New Roman"/>
          <w:b w:val="0"/>
        </w:rPr>
        <w:tab/>
      </w:r>
    </w:p>
    <w:p w14:paraId="0F39A1C8">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年度一般公共预算财政拨款基本支出</w:t>
      </w:r>
      <w:r>
        <w:rPr>
          <w:rFonts w:hint="eastAsia" w:eastAsia="方正仿宋_GBK" w:cs="Times New Roman"/>
          <w:kern w:val="0"/>
          <w:sz w:val="32"/>
          <w:szCs w:val="32"/>
          <w:shd w:val="clear" w:color="auto" w:fill="FFFFFF"/>
          <w:lang w:val="en-US" w:eastAsia="zh-CN" w:bidi="ar"/>
        </w:rPr>
        <w:t>449.35</w:t>
      </w:r>
      <w:r>
        <w:rPr>
          <w:rFonts w:hint="default" w:ascii="Times New Roman" w:hAnsi="Times New Roman" w:eastAsia="方正仿宋_GBK" w:cs="Times New Roman"/>
          <w:kern w:val="0"/>
          <w:sz w:val="32"/>
          <w:szCs w:val="32"/>
          <w:shd w:val="clear" w:color="auto" w:fill="FFFFFF"/>
          <w:lang w:val="en-US" w:eastAsia="zh-CN" w:bidi="ar"/>
        </w:rPr>
        <w:t>万元，其中：</w:t>
      </w:r>
    </w:p>
    <w:p w14:paraId="62FE47D9">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人员经费</w:t>
      </w:r>
      <w:r>
        <w:rPr>
          <w:rFonts w:hint="eastAsia" w:eastAsia="方正仿宋_GBK" w:cs="Times New Roman"/>
          <w:kern w:val="0"/>
          <w:sz w:val="32"/>
          <w:szCs w:val="32"/>
          <w:shd w:val="clear" w:color="auto" w:fill="FFFFFF"/>
          <w:lang w:val="en-US" w:eastAsia="zh-CN" w:bidi="ar"/>
        </w:rPr>
        <w:t>415.46</w:t>
      </w:r>
      <w:r>
        <w:rPr>
          <w:rFonts w:hint="default" w:ascii="Times New Roman" w:hAnsi="Times New Roman" w:eastAsia="方正仿宋_GBK" w:cs="Times New Roman"/>
          <w:kern w:val="0"/>
          <w:sz w:val="32"/>
          <w:szCs w:val="32"/>
          <w:shd w:val="clear" w:color="auto" w:fill="FFFFFF"/>
          <w:lang w:val="en-US" w:eastAsia="zh-CN" w:bidi="ar"/>
        </w:rPr>
        <w:t>万元，主要包括：基本工资</w:t>
      </w:r>
      <w:r>
        <w:rPr>
          <w:rFonts w:hint="eastAsia" w:eastAsia="方正仿宋_GBK" w:cs="Times New Roman"/>
          <w:kern w:val="0"/>
          <w:sz w:val="32"/>
          <w:szCs w:val="32"/>
          <w:shd w:val="clear" w:color="auto" w:fill="FFFFFF"/>
          <w:lang w:val="en-US" w:eastAsia="zh-CN" w:bidi="ar"/>
        </w:rPr>
        <w:t>69.42</w:t>
      </w:r>
      <w:r>
        <w:rPr>
          <w:rFonts w:hint="default" w:ascii="Times New Roman" w:hAnsi="Times New Roman" w:eastAsia="方正仿宋_GBK" w:cs="Times New Roman"/>
          <w:kern w:val="0"/>
          <w:sz w:val="32"/>
          <w:szCs w:val="32"/>
          <w:shd w:val="clear" w:color="auto" w:fill="FFFFFF"/>
          <w:lang w:val="en-US" w:eastAsia="zh-CN" w:bidi="ar"/>
        </w:rPr>
        <w:t>万元、津贴补贴</w:t>
      </w:r>
      <w:r>
        <w:rPr>
          <w:rFonts w:hint="eastAsia" w:eastAsia="方正仿宋_GBK" w:cs="Times New Roman"/>
          <w:kern w:val="0"/>
          <w:sz w:val="32"/>
          <w:szCs w:val="32"/>
          <w:shd w:val="clear" w:color="auto" w:fill="FFFFFF"/>
          <w:lang w:val="en-US" w:eastAsia="zh-CN" w:bidi="ar"/>
        </w:rPr>
        <w:t>94.48</w:t>
      </w:r>
      <w:r>
        <w:rPr>
          <w:rFonts w:hint="default" w:ascii="Times New Roman" w:hAnsi="Times New Roman" w:eastAsia="方正仿宋_GBK" w:cs="Times New Roman"/>
          <w:kern w:val="0"/>
          <w:sz w:val="32"/>
          <w:szCs w:val="32"/>
          <w:shd w:val="clear" w:color="auto" w:fill="FFFFFF"/>
          <w:lang w:val="en-US" w:eastAsia="zh-CN" w:bidi="ar"/>
        </w:rPr>
        <w:t>万元、奖金</w:t>
      </w:r>
      <w:r>
        <w:rPr>
          <w:rFonts w:hint="eastAsia" w:eastAsia="方正仿宋_GBK" w:cs="Times New Roman"/>
          <w:kern w:val="0"/>
          <w:sz w:val="32"/>
          <w:szCs w:val="32"/>
          <w:shd w:val="clear" w:color="auto" w:fill="FFFFFF"/>
          <w:lang w:val="en-US" w:eastAsia="zh-CN" w:bidi="ar"/>
        </w:rPr>
        <w:t>103.91</w:t>
      </w:r>
      <w:r>
        <w:rPr>
          <w:rFonts w:hint="default" w:ascii="Times New Roman" w:hAnsi="Times New Roman" w:eastAsia="方正仿宋_GBK" w:cs="Times New Roman"/>
          <w:kern w:val="0"/>
          <w:sz w:val="32"/>
          <w:szCs w:val="32"/>
          <w:shd w:val="clear" w:color="auto" w:fill="FFFFFF"/>
          <w:lang w:val="en-US" w:eastAsia="zh-CN" w:bidi="ar"/>
        </w:rPr>
        <w:t>万元、绩效工资</w:t>
      </w:r>
      <w:r>
        <w:rPr>
          <w:rFonts w:hint="eastAsia" w:eastAsia="方正仿宋_GBK" w:cs="Times New Roman"/>
          <w:kern w:val="0"/>
          <w:sz w:val="32"/>
          <w:szCs w:val="32"/>
          <w:shd w:val="clear" w:color="auto" w:fill="FFFFFF"/>
          <w:lang w:val="en-US" w:eastAsia="zh-CN" w:bidi="ar"/>
        </w:rPr>
        <w:t>16.71</w:t>
      </w:r>
      <w:r>
        <w:rPr>
          <w:rFonts w:hint="default" w:ascii="Times New Roman" w:hAnsi="Times New Roman" w:eastAsia="方正仿宋_GBK" w:cs="Times New Roman"/>
          <w:kern w:val="0"/>
          <w:sz w:val="32"/>
          <w:szCs w:val="32"/>
          <w:shd w:val="clear" w:color="auto" w:fill="FFFFFF"/>
          <w:lang w:val="en-US" w:eastAsia="zh-CN" w:bidi="ar"/>
        </w:rPr>
        <w:t>万元、机关事业单位基本养老保险缴费</w:t>
      </w:r>
      <w:r>
        <w:rPr>
          <w:rFonts w:hint="eastAsia" w:eastAsia="方正仿宋_GBK" w:cs="Times New Roman"/>
          <w:kern w:val="0"/>
          <w:sz w:val="32"/>
          <w:szCs w:val="32"/>
          <w:shd w:val="clear" w:color="auto" w:fill="FFFFFF"/>
          <w:lang w:val="en-US" w:eastAsia="zh-CN" w:bidi="ar"/>
        </w:rPr>
        <w:t>39.42</w:t>
      </w:r>
      <w:r>
        <w:rPr>
          <w:rFonts w:hint="default" w:ascii="Times New Roman" w:hAnsi="Times New Roman" w:eastAsia="方正仿宋_GBK" w:cs="Times New Roman"/>
          <w:kern w:val="0"/>
          <w:sz w:val="32"/>
          <w:szCs w:val="32"/>
          <w:shd w:val="clear" w:color="auto" w:fill="FFFFFF"/>
          <w:lang w:val="en-US" w:eastAsia="zh-CN" w:bidi="ar"/>
        </w:rPr>
        <w:t>万元、职业年金缴费</w:t>
      </w:r>
      <w:r>
        <w:rPr>
          <w:rFonts w:hint="eastAsia" w:eastAsia="方正仿宋_GBK" w:cs="Times New Roman"/>
          <w:kern w:val="0"/>
          <w:sz w:val="32"/>
          <w:szCs w:val="32"/>
          <w:shd w:val="clear" w:color="auto" w:fill="FFFFFF"/>
          <w:lang w:val="en-US" w:eastAsia="zh-CN" w:bidi="ar"/>
        </w:rPr>
        <w:t>19.73</w:t>
      </w:r>
      <w:r>
        <w:rPr>
          <w:rFonts w:hint="default" w:ascii="Times New Roman" w:hAnsi="Times New Roman" w:eastAsia="方正仿宋_GBK" w:cs="Times New Roman"/>
          <w:kern w:val="0"/>
          <w:sz w:val="32"/>
          <w:szCs w:val="32"/>
          <w:shd w:val="clear" w:color="auto" w:fill="FFFFFF"/>
          <w:lang w:val="en-US" w:eastAsia="zh-CN" w:bidi="ar"/>
        </w:rPr>
        <w:t>万元、职工基本医疗保险缴费</w:t>
      </w:r>
      <w:r>
        <w:rPr>
          <w:rFonts w:hint="eastAsia" w:eastAsia="方正仿宋_GBK" w:cs="Times New Roman"/>
          <w:kern w:val="0"/>
          <w:sz w:val="32"/>
          <w:szCs w:val="32"/>
          <w:shd w:val="clear" w:color="auto" w:fill="FFFFFF"/>
          <w:lang w:val="en-US" w:eastAsia="zh-CN" w:bidi="ar"/>
        </w:rPr>
        <w:t>19.34</w:t>
      </w:r>
      <w:r>
        <w:rPr>
          <w:rFonts w:hint="default" w:ascii="Times New Roman" w:hAnsi="Times New Roman" w:eastAsia="方正仿宋_GBK" w:cs="Times New Roman"/>
          <w:kern w:val="0"/>
          <w:sz w:val="32"/>
          <w:szCs w:val="32"/>
          <w:shd w:val="clear" w:color="auto" w:fill="FFFFFF"/>
          <w:lang w:val="en-US" w:eastAsia="zh-CN" w:bidi="ar"/>
        </w:rPr>
        <w:t>万元、公务员医疗补助缴费</w:t>
      </w:r>
      <w:r>
        <w:rPr>
          <w:rFonts w:hint="eastAsia" w:eastAsia="方正仿宋_GBK" w:cs="Times New Roman"/>
          <w:kern w:val="0"/>
          <w:sz w:val="32"/>
          <w:szCs w:val="32"/>
          <w:shd w:val="clear" w:color="auto" w:fill="FFFFFF"/>
          <w:lang w:val="en-US" w:eastAsia="zh-CN" w:bidi="ar"/>
        </w:rPr>
        <w:t>5.47</w:t>
      </w:r>
      <w:r>
        <w:rPr>
          <w:rFonts w:hint="default" w:ascii="Times New Roman" w:hAnsi="Times New Roman" w:eastAsia="方正仿宋_GBK" w:cs="Times New Roman"/>
          <w:kern w:val="0"/>
          <w:sz w:val="32"/>
          <w:szCs w:val="32"/>
          <w:shd w:val="clear" w:color="auto" w:fill="FFFFFF"/>
          <w:lang w:val="en-US" w:eastAsia="zh-CN" w:bidi="ar"/>
        </w:rPr>
        <w:t>万元、其他社会保障缴费</w:t>
      </w:r>
      <w:r>
        <w:rPr>
          <w:rFonts w:hint="eastAsia" w:eastAsia="方正仿宋_GBK" w:cs="Times New Roman"/>
          <w:kern w:val="0"/>
          <w:sz w:val="32"/>
          <w:szCs w:val="32"/>
          <w:shd w:val="clear" w:color="auto" w:fill="FFFFFF"/>
          <w:lang w:val="en-US" w:eastAsia="zh-CN" w:bidi="ar"/>
        </w:rPr>
        <w:t>3.21</w:t>
      </w:r>
      <w:r>
        <w:rPr>
          <w:rFonts w:hint="default" w:ascii="Times New Roman" w:hAnsi="Times New Roman" w:eastAsia="方正仿宋_GBK" w:cs="Times New Roman"/>
          <w:kern w:val="0"/>
          <w:sz w:val="32"/>
          <w:szCs w:val="32"/>
          <w:shd w:val="clear" w:color="auto" w:fill="FFFFFF"/>
          <w:lang w:val="en-US" w:eastAsia="zh-CN" w:bidi="ar"/>
        </w:rPr>
        <w:t>万元、  住房公积金</w:t>
      </w:r>
      <w:r>
        <w:rPr>
          <w:rFonts w:hint="eastAsia" w:eastAsia="方正仿宋_GBK" w:cs="Times New Roman"/>
          <w:kern w:val="0"/>
          <w:sz w:val="32"/>
          <w:szCs w:val="32"/>
          <w:shd w:val="clear" w:color="auto" w:fill="FFFFFF"/>
          <w:lang w:val="en-US" w:eastAsia="zh-CN" w:bidi="ar"/>
        </w:rPr>
        <w:t>32.67</w:t>
      </w:r>
      <w:r>
        <w:rPr>
          <w:rFonts w:hint="default" w:ascii="Times New Roman" w:hAnsi="Times New Roman" w:eastAsia="方正仿宋_GBK" w:cs="Times New Roman"/>
          <w:kern w:val="0"/>
          <w:sz w:val="32"/>
          <w:szCs w:val="32"/>
          <w:shd w:val="clear" w:color="auto" w:fill="FFFFFF"/>
          <w:lang w:val="en-US" w:eastAsia="zh-CN" w:bidi="ar"/>
        </w:rPr>
        <w:t>万元、医疗费</w:t>
      </w:r>
      <w:r>
        <w:rPr>
          <w:rFonts w:hint="eastAsia" w:eastAsia="方正仿宋_GBK" w:cs="Times New Roman"/>
          <w:kern w:val="0"/>
          <w:sz w:val="32"/>
          <w:szCs w:val="32"/>
          <w:shd w:val="clear" w:color="auto" w:fill="FFFFFF"/>
          <w:lang w:val="en-US" w:eastAsia="zh-CN" w:bidi="ar"/>
        </w:rPr>
        <w:t>1.52</w:t>
      </w:r>
      <w:r>
        <w:rPr>
          <w:rFonts w:hint="default" w:ascii="Times New Roman" w:hAnsi="Times New Roman" w:eastAsia="方正仿宋_GBK" w:cs="Times New Roman"/>
          <w:kern w:val="0"/>
          <w:sz w:val="32"/>
          <w:szCs w:val="32"/>
          <w:shd w:val="clear" w:color="auto" w:fill="FFFFFF"/>
          <w:lang w:val="en-US" w:eastAsia="zh-CN" w:bidi="ar"/>
        </w:rPr>
        <w:t>万元、生活补助</w:t>
      </w:r>
      <w:r>
        <w:rPr>
          <w:rFonts w:hint="eastAsia" w:eastAsia="方正仿宋_GBK" w:cs="Times New Roman"/>
          <w:kern w:val="0"/>
          <w:sz w:val="32"/>
          <w:szCs w:val="32"/>
          <w:shd w:val="clear" w:color="auto" w:fill="FFFFFF"/>
          <w:lang w:val="en-US" w:eastAsia="zh-CN" w:bidi="ar"/>
        </w:rPr>
        <w:t>8.54</w:t>
      </w:r>
      <w:r>
        <w:rPr>
          <w:rFonts w:hint="default" w:ascii="Times New Roman" w:hAnsi="Times New Roman" w:eastAsia="方正仿宋_GBK" w:cs="Times New Roman"/>
          <w:kern w:val="0"/>
          <w:sz w:val="32"/>
          <w:szCs w:val="32"/>
          <w:shd w:val="clear" w:color="auto" w:fill="FFFFFF"/>
          <w:lang w:val="en-US" w:eastAsia="zh-CN" w:bidi="ar"/>
        </w:rPr>
        <w:t>万元、医疗费补助</w:t>
      </w:r>
      <w:r>
        <w:rPr>
          <w:rFonts w:hint="eastAsia" w:eastAsia="方正仿宋_GBK" w:cs="Times New Roman"/>
          <w:kern w:val="0"/>
          <w:sz w:val="32"/>
          <w:szCs w:val="32"/>
          <w:shd w:val="clear" w:color="auto" w:fill="FFFFFF"/>
          <w:lang w:val="en-US" w:eastAsia="zh-CN" w:bidi="ar"/>
        </w:rPr>
        <w:t>1.04</w:t>
      </w:r>
      <w:r>
        <w:rPr>
          <w:rFonts w:hint="default" w:ascii="Times New Roman" w:hAnsi="Times New Roman" w:eastAsia="方正仿宋_GBK" w:cs="Times New Roman"/>
          <w:kern w:val="0"/>
          <w:sz w:val="32"/>
          <w:szCs w:val="32"/>
          <w:shd w:val="clear" w:color="auto" w:fill="FFFFFF"/>
          <w:lang w:val="en-US" w:eastAsia="zh-CN" w:bidi="ar"/>
        </w:rPr>
        <w:t>万元</w:t>
      </w:r>
      <w:r>
        <w:rPr>
          <w:rFonts w:hint="default" w:ascii="Times New Roman" w:hAnsi="Times New Roman" w:eastAsia="方正仿宋_GBK" w:cs="Times New Roman"/>
          <w:kern w:val="0"/>
          <w:sz w:val="32"/>
          <w:szCs w:val="32"/>
          <w:shd w:val="clear" w:color="auto" w:fill="FFFFFF"/>
          <w:lang w:val="en-US" w:eastAsia="zh-CN" w:bidi="ar"/>
        </w:rPr>
        <w:br w:type="textWrapping"/>
      </w:r>
      <w:r>
        <w:rPr>
          <w:rFonts w:hint="default" w:ascii="Times New Roman" w:hAnsi="Times New Roman" w:eastAsia="方正仿宋_GBK" w:cs="Times New Roman"/>
          <w:kern w:val="0"/>
          <w:sz w:val="32"/>
          <w:szCs w:val="32"/>
          <w:shd w:val="clear" w:color="auto" w:fill="FFFFFF"/>
          <w:lang w:val="en-US" w:eastAsia="zh-CN" w:bidi="ar"/>
        </w:rPr>
        <w:t>　　公用经费</w:t>
      </w:r>
      <w:r>
        <w:rPr>
          <w:rFonts w:hint="eastAsia" w:eastAsia="方正仿宋_GBK" w:cs="Times New Roman"/>
          <w:kern w:val="0"/>
          <w:sz w:val="32"/>
          <w:szCs w:val="32"/>
          <w:shd w:val="clear" w:color="auto" w:fill="FFFFFF"/>
          <w:lang w:val="en-US" w:eastAsia="zh-CN" w:bidi="ar"/>
        </w:rPr>
        <w:t>33.89</w:t>
      </w:r>
      <w:r>
        <w:rPr>
          <w:rFonts w:hint="default" w:ascii="Times New Roman" w:hAnsi="Times New Roman" w:eastAsia="方正仿宋_GBK" w:cs="Times New Roman"/>
          <w:kern w:val="0"/>
          <w:sz w:val="32"/>
          <w:szCs w:val="32"/>
          <w:shd w:val="clear" w:color="auto" w:fill="FFFFFF"/>
          <w:lang w:val="en-US" w:eastAsia="zh-CN" w:bidi="ar"/>
        </w:rPr>
        <w:t>万元，主要包括：办公费</w:t>
      </w:r>
      <w:r>
        <w:rPr>
          <w:rFonts w:hint="eastAsia" w:eastAsia="方正仿宋_GBK" w:cs="Times New Roman"/>
          <w:kern w:val="0"/>
          <w:sz w:val="32"/>
          <w:szCs w:val="32"/>
          <w:shd w:val="clear" w:color="auto" w:fill="FFFFFF"/>
          <w:lang w:val="en-US" w:eastAsia="zh-CN" w:bidi="ar"/>
        </w:rPr>
        <w:t>3.67</w:t>
      </w:r>
      <w:r>
        <w:rPr>
          <w:rFonts w:hint="default" w:ascii="Times New Roman" w:hAnsi="Times New Roman" w:eastAsia="方正仿宋_GBK" w:cs="Times New Roman"/>
          <w:kern w:val="0"/>
          <w:sz w:val="32"/>
          <w:szCs w:val="32"/>
          <w:shd w:val="clear" w:color="auto" w:fill="FFFFFF"/>
          <w:lang w:val="en-US" w:eastAsia="zh-CN" w:bidi="ar"/>
        </w:rPr>
        <w:t>万元、水费0.</w:t>
      </w:r>
      <w:r>
        <w:rPr>
          <w:rFonts w:hint="eastAsia" w:eastAsia="方正仿宋_GBK" w:cs="Times New Roman"/>
          <w:kern w:val="0"/>
          <w:sz w:val="32"/>
          <w:szCs w:val="32"/>
          <w:shd w:val="clear" w:color="auto" w:fill="FFFFFF"/>
          <w:lang w:val="en-US" w:eastAsia="zh-CN" w:bidi="ar"/>
        </w:rPr>
        <w:t>39</w:t>
      </w:r>
      <w:r>
        <w:rPr>
          <w:rFonts w:hint="default" w:ascii="Times New Roman" w:hAnsi="Times New Roman" w:eastAsia="方正仿宋_GBK" w:cs="Times New Roman"/>
          <w:kern w:val="0"/>
          <w:sz w:val="32"/>
          <w:szCs w:val="32"/>
          <w:shd w:val="clear" w:color="auto" w:fill="FFFFFF"/>
          <w:lang w:val="en-US" w:eastAsia="zh-CN" w:bidi="ar"/>
        </w:rPr>
        <w:t>万元、电费0.</w:t>
      </w:r>
      <w:r>
        <w:rPr>
          <w:rFonts w:hint="eastAsia" w:eastAsia="方正仿宋_GBK" w:cs="Times New Roman"/>
          <w:kern w:val="0"/>
          <w:sz w:val="32"/>
          <w:szCs w:val="32"/>
          <w:shd w:val="clear" w:color="auto" w:fill="FFFFFF"/>
          <w:lang w:val="en-US" w:eastAsia="zh-CN" w:bidi="ar"/>
        </w:rPr>
        <w:t>42</w:t>
      </w:r>
      <w:r>
        <w:rPr>
          <w:rFonts w:hint="default" w:ascii="Times New Roman" w:hAnsi="Times New Roman" w:eastAsia="方正仿宋_GBK" w:cs="Times New Roman"/>
          <w:kern w:val="0"/>
          <w:sz w:val="32"/>
          <w:szCs w:val="32"/>
          <w:shd w:val="clear" w:color="auto" w:fill="FFFFFF"/>
          <w:lang w:val="en-US" w:eastAsia="zh-CN" w:bidi="ar"/>
        </w:rPr>
        <w:t>万元、邮电费</w:t>
      </w:r>
      <w:r>
        <w:rPr>
          <w:rFonts w:hint="default" w:ascii="Times New Roman" w:hAnsi="Times New Roman" w:eastAsia="方正仿宋_GBK" w:cs="Times New Roman"/>
          <w:kern w:val="0"/>
          <w:sz w:val="32"/>
          <w:szCs w:val="32"/>
          <w:shd w:val="clear" w:color="auto" w:fill="FFFFFF"/>
          <w:lang w:val="en-US" w:eastAsia="zh-CN" w:bidi="ar"/>
        </w:rPr>
        <w:tab/>
      </w:r>
      <w:r>
        <w:rPr>
          <w:rFonts w:hint="eastAsia" w:eastAsia="方正仿宋_GBK" w:cs="Times New Roman"/>
          <w:kern w:val="0"/>
          <w:sz w:val="32"/>
          <w:szCs w:val="32"/>
          <w:shd w:val="clear" w:color="auto" w:fill="FFFFFF"/>
          <w:lang w:val="en-US" w:eastAsia="zh-CN" w:bidi="ar"/>
        </w:rPr>
        <w:t>2.34</w:t>
      </w:r>
      <w:r>
        <w:rPr>
          <w:rFonts w:hint="default" w:ascii="Times New Roman" w:hAnsi="Times New Roman" w:eastAsia="方正仿宋_GBK" w:cs="Times New Roman"/>
          <w:kern w:val="0"/>
          <w:sz w:val="32"/>
          <w:szCs w:val="32"/>
          <w:shd w:val="clear" w:color="auto" w:fill="FFFFFF"/>
          <w:lang w:val="en-US" w:eastAsia="zh-CN" w:bidi="ar"/>
        </w:rPr>
        <w:t>万元、</w:t>
      </w:r>
      <w:r>
        <w:rPr>
          <w:rFonts w:hint="eastAsia" w:eastAsia="方正仿宋_GBK" w:cs="Times New Roman"/>
          <w:kern w:val="0"/>
          <w:sz w:val="32"/>
          <w:szCs w:val="32"/>
          <w:shd w:val="clear" w:color="auto" w:fill="FFFFFF"/>
          <w:lang w:val="en-US" w:eastAsia="zh-CN" w:bidi="ar"/>
        </w:rPr>
        <w:t>取暖费0.99万元、</w:t>
      </w:r>
      <w:r>
        <w:rPr>
          <w:rFonts w:hint="default" w:ascii="Times New Roman" w:hAnsi="Times New Roman" w:eastAsia="方正仿宋_GBK" w:cs="Times New Roman"/>
          <w:kern w:val="0"/>
          <w:sz w:val="32"/>
          <w:szCs w:val="32"/>
          <w:shd w:val="clear" w:color="auto" w:fill="FFFFFF"/>
          <w:lang w:val="en-US" w:eastAsia="zh-CN" w:bidi="ar"/>
        </w:rPr>
        <w:t>差旅费</w:t>
      </w:r>
      <w:r>
        <w:rPr>
          <w:rFonts w:hint="eastAsia" w:eastAsia="方正仿宋_GBK" w:cs="Times New Roman"/>
          <w:kern w:val="0"/>
          <w:sz w:val="32"/>
          <w:szCs w:val="32"/>
          <w:shd w:val="clear" w:color="auto" w:fill="FFFFFF"/>
          <w:lang w:val="en-US" w:eastAsia="zh-CN" w:bidi="ar"/>
        </w:rPr>
        <w:t>8.79</w:t>
      </w:r>
      <w:r>
        <w:rPr>
          <w:rFonts w:hint="default" w:ascii="Times New Roman" w:hAnsi="Times New Roman" w:eastAsia="方正仿宋_GBK" w:cs="Times New Roman"/>
          <w:kern w:val="0"/>
          <w:sz w:val="32"/>
          <w:szCs w:val="32"/>
          <w:shd w:val="clear" w:color="auto" w:fill="FFFFFF"/>
          <w:lang w:val="en-US" w:eastAsia="zh-CN" w:bidi="ar"/>
        </w:rPr>
        <w:t>万元、</w:t>
      </w:r>
      <w:r>
        <w:rPr>
          <w:rFonts w:hint="eastAsia" w:eastAsia="方正仿宋_GBK" w:cs="Times New Roman"/>
          <w:kern w:val="0"/>
          <w:sz w:val="32"/>
          <w:szCs w:val="32"/>
          <w:shd w:val="clear" w:color="auto" w:fill="FFFFFF"/>
          <w:lang w:val="en-US" w:eastAsia="zh-CN" w:bidi="ar"/>
        </w:rPr>
        <w:t xml:space="preserve"> 维修（护）费1.63万元；</w:t>
      </w:r>
      <w:r>
        <w:rPr>
          <w:rFonts w:hint="default" w:ascii="Times New Roman" w:hAnsi="Times New Roman" w:eastAsia="方正仿宋_GBK" w:cs="Times New Roman"/>
          <w:kern w:val="0"/>
          <w:sz w:val="32"/>
          <w:szCs w:val="32"/>
          <w:shd w:val="clear" w:color="auto" w:fill="FFFFFF"/>
          <w:lang w:val="en-US" w:eastAsia="zh-CN" w:bidi="ar"/>
        </w:rPr>
        <w:t>培训费</w:t>
      </w:r>
      <w:r>
        <w:rPr>
          <w:rFonts w:hint="eastAsia" w:eastAsia="方正仿宋_GBK" w:cs="Times New Roman"/>
          <w:kern w:val="0"/>
          <w:sz w:val="32"/>
          <w:szCs w:val="32"/>
          <w:shd w:val="clear" w:color="auto" w:fill="FFFFFF"/>
          <w:lang w:val="en-US" w:eastAsia="zh-CN" w:bidi="ar"/>
        </w:rPr>
        <w:t>0.25</w:t>
      </w:r>
      <w:r>
        <w:rPr>
          <w:rFonts w:hint="default" w:ascii="Times New Roman" w:hAnsi="Times New Roman" w:eastAsia="方正仿宋_GBK" w:cs="Times New Roman"/>
          <w:kern w:val="0"/>
          <w:sz w:val="32"/>
          <w:szCs w:val="32"/>
          <w:shd w:val="clear" w:color="auto" w:fill="FFFFFF"/>
          <w:lang w:val="en-US" w:eastAsia="zh-CN" w:bidi="ar"/>
        </w:rPr>
        <w:t>万元、公务接待费</w:t>
      </w:r>
      <w:r>
        <w:rPr>
          <w:rFonts w:hint="eastAsia" w:eastAsia="方正仿宋_GBK" w:cs="Times New Roman"/>
          <w:kern w:val="0"/>
          <w:sz w:val="32"/>
          <w:szCs w:val="32"/>
          <w:shd w:val="clear" w:color="auto" w:fill="FFFFFF"/>
          <w:lang w:val="en-US" w:eastAsia="zh-CN" w:bidi="ar"/>
        </w:rPr>
        <w:t>0.18</w:t>
      </w:r>
      <w:r>
        <w:rPr>
          <w:rFonts w:hint="default" w:ascii="Times New Roman" w:hAnsi="Times New Roman" w:eastAsia="方正仿宋_GBK" w:cs="Times New Roman"/>
          <w:kern w:val="0"/>
          <w:sz w:val="32"/>
          <w:szCs w:val="32"/>
          <w:shd w:val="clear" w:color="auto" w:fill="FFFFFF"/>
          <w:lang w:val="en-US" w:eastAsia="zh-CN" w:bidi="ar"/>
        </w:rPr>
        <w:t>万元、</w:t>
      </w:r>
      <w:r>
        <w:rPr>
          <w:rFonts w:hint="eastAsia" w:eastAsia="方正仿宋_GBK" w:cs="Times New Roman"/>
          <w:kern w:val="0"/>
          <w:sz w:val="32"/>
          <w:szCs w:val="32"/>
          <w:shd w:val="clear" w:color="auto" w:fill="FFFFFF"/>
          <w:lang w:val="en-US" w:eastAsia="zh-CN" w:bidi="ar"/>
        </w:rPr>
        <w:t>劳务费0.48万元、委托业务费0.3万元；</w:t>
      </w:r>
      <w:r>
        <w:rPr>
          <w:rFonts w:hint="default" w:ascii="Times New Roman" w:hAnsi="Times New Roman" w:eastAsia="方正仿宋_GBK" w:cs="Times New Roman"/>
          <w:kern w:val="0"/>
          <w:sz w:val="32"/>
          <w:szCs w:val="32"/>
          <w:shd w:val="clear" w:color="auto" w:fill="FFFFFF"/>
          <w:lang w:val="en-US" w:eastAsia="zh-CN" w:bidi="ar"/>
        </w:rPr>
        <w:t>工会经费</w:t>
      </w:r>
      <w:r>
        <w:rPr>
          <w:rFonts w:hint="eastAsia" w:eastAsia="方正仿宋_GBK" w:cs="Times New Roman"/>
          <w:kern w:val="0"/>
          <w:sz w:val="32"/>
          <w:szCs w:val="32"/>
          <w:shd w:val="clear" w:color="auto" w:fill="FFFFFF"/>
          <w:lang w:val="en-US" w:eastAsia="zh-CN" w:bidi="ar"/>
        </w:rPr>
        <w:t>2.86</w:t>
      </w:r>
      <w:r>
        <w:rPr>
          <w:rFonts w:hint="default" w:ascii="Times New Roman" w:hAnsi="Times New Roman" w:eastAsia="方正仿宋_GBK" w:cs="Times New Roman"/>
          <w:kern w:val="0"/>
          <w:sz w:val="32"/>
          <w:szCs w:val="32"/>
          <w:shd w:val="clear" w:color="auto" w:fill="FFFFFF"/>
          <w:lang w:val="en-US" w:eastAsia="zh-CN" w:bidi="ar"/>
        </w:rPr>
        <w:t>万元、公务用车运行维护费11.</w:t>
      </w:r>
      <w:r>
        <w:rPr>
          <w:rFonts w:hint="eastAsia" w:eastAsia="方正仿宋_GBK" w:cs="Times New Roman"/>
          <w:kern w:val="0"/>
          <w:sz w:val="32"/>
          <w:szCs w:val="32"/>
          <w:shd w:val="clear" w:color="auto" w:fill="FFFFFF"/>
          <w:lang w:val="en-US" w:eastAsia="zh-CN" w:bidi="ar"/>
        </w:rPr>
        <w:t>6</w:t>
      </w:r>
      <w:r>
        <w:rPr>
          <w:rFonts w:hint="default" w:ascii="Times New Roman" w:hAnsi="Times New Roman" w:eastAsia="方正仿宋_GBK" w:cs="Times New Roman"/>
          <w:kern w:val="0"/>
          <w:sz w:val="32"/>
          <w:szCs w:val="32"/>
          <w:shd w:val="clear" w:color="auto" w:fill="FFFFFF"/>
          <w:lang w:val="en-US" w:eastAsia="zh-CN" w:bidi="ar"/>
        </w:rPr>
        <w:t>万元。</w:t>
      </w:r>
    </w:p>
    <w:p w14:paraId="1DCB25E9">
      <w:pPr>
        <w:spacing w:line="600" w:lineRule="exact"/>
        <w:ind w:firstLine="640"/>
        <w:outlineLvl w:val="1"/>
        <w:rPr>
          <w:rStyle w:val="34"/>
          <w:rFonts w:hint="default" w:ascii="Times New Roman" w:hAnsi="Times New Roman" w:eastAsia="黑体" w:cs="Times New Roman"/>
          <w:b w:val="0"/>
        </w:rPr>
      </w:pPr>
      <w:bookmarkStart w:id="65" w:name="_Toc15396609"/>
      <w:bookmarkStart w:id="66" w:name="_Toc15377215"/>
      <w:bookmarkStart w:id="67" w:name="_Toc27561"/>
      <w:r>
        <w:rPr>
          <w:rFonts w:hint="default" w:ascii="Times New Roman" w:hAnsi="Times New Roman" w:eastAsia="黑体" w:cs="Times New Roman"/>
          <w:sz w:val="32"/>
          <w:szCs w:val="32"/>
        </w:rPr>
        <w:t>七、</w:t>
      </w:r>
      <w:r>
        <w:rPr>
          <w:rStyle w:val="34"/>
          <w:rFonts w:hint="default" w:ascii="Times New Roman" w:hAnsi="Times New Roman" w:eastAsia="黑体" w:cs="Times New Roman"/>
          <w:b w:val="0"/>
        </w:rPr>
        <w:t>财政拨款</w:t>
      </w:r>
      <w:r>
        <w:rPr>
          <w:rStyle w:val="34"/>
          <w:rFonts w:hint="default" w:ascii="Times New Roman" w:hAnsi="Times New Roman" w:eastAsia="黑体" w:cs="Times New Roman"/>
        </w:rPr>
        <w:t>“</w:t>
      </w:r>
      <w:r>
        <w:rPr>
          <w:rStyle w:val="34"/>
          <w:rFonts w:hint="default" w:ascii="Times New Roman" w:hAnsi="Times New Roman" w:eastAsia="黑体" w:cs="Times New Roman"/>
          <w:b w:val="0"/>
        </w:rPr>
        <w:t>三公”经费支出决算情况说明</w:t>
      </w:r>
      <w:bookmarkEnd w:id="65"/>
      <w:bookmarkEnd w:id="66"/>
      <w:bookmarkEnd w:id="67"/>
    </w:p>
    <w:p w14:paraId="7CF5932D">
      <w:pPr>
        <w:spacing w:line="600" w:lineRule="exact"/>
        <w:ind w:firstLine="640"/>
        <w:outlineLvl w:val="2"/>
        <w:rPr>
          <w:rFonts w:hint="default" w:ascii="Times New Roman" w:hAnsi="Times New Roman" w:eastAsia="仿宋" w:cs="Times New Roman"/>
          <w:b/>
          <w:sz w:val="32"/>
          <w:szCs w:val="32"/>
        </w:rPr>
      </w:pPr>
      <w:bookmarkStart w:id="68" w:name="_Toc15377216"/>
      <w:r>
        <w:rPr>
          <w:rFonts w:hint="default" w:ascii="Times New Roman" w:hAnsi="Times New Roman" w:eastAsia="仿宋" w:cs="Times New Roman"/>
          <w:b/>
          <w:sz w:val="32"/>
          <w:szCs w:val="32"/>
        </w:rPr>
        <w:t>（一）“三公”经费财政拨款支出决算总体情况说明</w:t>
      </w:r>
      <w:bookmarkEnd w:id="68"/>
    </w:p>
    <w:p w14:paraId="1236AA4E">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color w:val="auto"/>
          <w:kern w:val="0"/>
          <w:sz w:val="32"/>
          <w:szCs w:val="32"/>
          <w:shd w:val="clear" w:color="auto" w:fill="FFFFFF"/>
          <w:lang w:val="en-US" w:eastAsia="zh-CN" w:bidi="ar"/>
        </w:rPr>
        <w:t>202</w:t>
      </w:r>
      <w:r>
        <w:rPr>
          <w:rFonts w:hint="eastAsia" w:eastAsia="方正仿宋_GBK" w:cs="Times New Roman"/>
          <w:color w:val="auto"/>
          <w:kern w:val="0"/>
          <w:sz w:val="32"/>
          <w:szCs w:val="32"/>
          <w:shd w:val="clear" w:color="auto" w:fill="FFFFFF"/>
          <w:lang w:val="en-US" w:eastAsia="zh-CN" w:bidi="ar"/>
        </w:rPr>
        <w:t>4</w:t>
      </w:r>
      <w:r>
        <w:rPr>
          <w:rFonts w:hint="default" w:ascii="Times New Roman" w:hAnsi="Times New Roman" w:eastAsia="方正仿宋_GBK" w:cs="Times New Roman"/>
          <w:color w:val="auto"/>
          <w:kern w:val="0"/>
          <w:sz w:val="32"/>
          <w:szCs w:val="32"/>
          <w:shd w:val="clear" w:color="auto" w:fill="FFFFFF"/>
          <w:lang w:val="en-US" w:eastAsia="zh-CN" w:bidi="ar"/>
        </w:rPr>
        <w:t>年度“三公”经费财政拨款支出决算为</w:t>
      </w:r>
      <w:r>
        <w:rPr>
          <w:rFonts w:hint="eastAsia" w:eastAsia="方正仿宋_GBK" w:cs="Times New Roman"/>
          <w:kern w:val="0"/>
          <w:sz w:val="32"/>
          <w:szCs w:val="32"/>
          <w:shd w:val="clear" w:color="auto" w:fill="FFFFFF"/>
          <w:lang w:val="en-US" w:eastAsia="zh-CN" w:bidi="ar"/>
        </w:rPr>
        <w:t>12.57</w:t>
      </w:r>
      <w:r>
        <w:rPr>
          <w:rFonts w:hint="default" w:ascii="Times New Roman" w:hAnsi="Times New Roman" w:eastAsia="方正仿宋_GBK" w:cs="Times New Roman"/>
          <w:kern w:val="0"/>
          <w:sz w:val="32"/>
          <w:szCs w:val="32"/>
          <w:shd w:val="clear" w:color="auto" w:fill="FFFFFF"/>
          <w:lang w:val="en-US" w:eastAsia="zh-CN" w:bidi="ar"/>
        </w:rPr>
        <w:t>万元，完成预算</w:t>
      </w:r>
      <w:r>
        <w:rPr>
          <w:rFonts w:hint="eastAsia" w:eastAsia="方正仿宋_GBK" w:cs="Times New Roman"/>
          <w:kern w:val="0"/>
          <w:sz w:val="32"/>
          <w:szCs w:val="32"/>
          <w:shd w:val="clear" w:color="auto" w:fill="FFFFFF"/>
          <w:lang w:val="en-US" w:eastAsia="zh-CN" w:bidi="ar"/>
        </w:rPr>
        <w:t>98.90</w:t>
      </w:r>
      <w:r>
        <w:rPr>
          <w:rFonts w:hint="default" w:ascii="Times New Roman" w:hAnsi="Times New Roman" w:eastAsia="方正仿宋_GBK" w:cs="Times New Roman"/>
          <w:kern w:val="0"/>
          <w:sz w:val="32"/>
          <w:szCs w:val="32"/>
          <w:shd w:val="clear" w:color="auto" w:fill="FFFFFF"/>
          <w:lang w:val="en-US" w:eastAsia="zh-CN" w:bidi="ar"/>
        </w:rPr>
        <w:t>%，较上年度</w:t>
      </w:r>
      <w:r>
        <w:rPr>
          <w:rFonts w:hint="eastAsia" w:eastAsia="方正仿宋_GBK" w:cs="Times New Roman"/>
          <w:kern w:val="0"/>
          <w:sz w:val="32"/>
          <w:szCs w:val="32"/>
          <w:shd w:val="clear" w:color="auto" w:fill="FFFFFF"/>
          <w:lang w:val="en-US" w:eastAsia="zh-CN" w:bidi="ar"/>
        </w:rPr>
        <w:t>11.91</w:t>
      </w:r>
      <w:r>
        <w:rPr>
          <w:rFonts w:hint="default" w:ascii="Times New Roman" w:hAnsi="Times New Roman" w:eastAsia="方正仿宋_GBK" w:cs="Times New Roman"/>
          <w:kern w:val="0"/>
          <w:sz w:val="32"/>
          <w:szCs w:val="32"/>
          <w:shd w:val="clear" w:color="auto" w:fill="FFFFFF"/>
          <w:lang w:val="en-US" w:eastAsia="zh-CN" w:bidi="ar"/>
        </w:rPr>
        <w:t>万元</w:t>
      </w:r>
      <w:r>
        <w:rPr>
          <w:rFonts w:hint="eastAsia" w:eastAsia="方正仿宋_GBK" w:cs="Times New Roman"/>
          <w:kern w:val="0"/>
          <w:sz w:val="32"/>
          <w:szCs w:val="32"/>
          <w:shd w:val="clear" w:color="auto" w:fill="FFFFFF"/>
          <w:lang w:val="en-US" w:eastAsia="zh-CN" w:bidi="ar"/>
        </w:rPr>
        <w:t>增加0.8</w:t>
      </w:r>
      <w:r>
        <w:rPr>
          <w:rFonts w:hint="default" w:ascii="Times New Roman" w:hAnsi="Times New Roman" w:eastAsia="方正仿宋_GBK" w:cs="Times New Roman"/>
          <w:kern w:val="0"/>
          <w:sz w:val="32"/>
          <w:szCs w:val="32"/>
          <w:shd w:val="clear" w:color="auto" w:fill="FFFFFF"/>
          <w:lang w:val="en-US" w:eastAsia="zh-CN" w:bidi="ar"/>
        </w:rPr>
        <w:t>万元，</w:t>
      </w:r>
      <w:r>
        <w:rPr>
          <w:rFonts w:hint="eastAsia" w:eastAsia="方正仿宋_GBK" w:cs="Times New Roman"/>
          <w:kern w:val="0"/>
          <w:sz w:val="32"/>
          <w:szCs w:val="32"/>
          <w:shd w:val="clear" w:color="auto" w:fill="FFFFFF"/>
          <w:lang w:val="en-US" w:eastAsia="zh-CN" w:bidi="ar"/>
        </w:rPr>
        <w:t>增幅6.72</w:t>
      </w:r>
      <w:r>
        <w:rPr>
          <w:rFonts w:hint="default" w:ascii="Times New Roman" w:hAnsi="Times New Roman" w:eastAsia="方正仿宋_GBK" w:cs="Times New Roman"/>
          <w:kern w:val="0"/>
          <w:sz w:val="32"/>
          <w:szCs w:val="32"/>
          <w:shd w:val="clear" w:color="auto" w:fill="FFFFFF"/>
          <w:lang w:val="en-US" w:eastAsia="zh-CN" w:bidi="ar"/>
        </w:rPr>
        <w:t>%。主要原因是本年度公务用车运行维护费</w:t>
      </w:r>
      <w:r>
        <w:rPr>
          <w:rFonts w:hint="eastAsia" w:eastAsia="方正仿宋_GBK" w:cs="Times New Roman"/>
          <w:kern w:val="0"/>
          <w:sz w:val="32"/>
          <w:szCs w:val="32"/>
          <w:shd w:val="clear" w:color="auto" w:fill="FFFFFF"/>
          <w:lang w:val="en-US" w:eastAsia="zh-CN" w:bidi="ar"/>
        </w:rPr>
        <w:t>增加</w:t>
      </w:r>
      <w:r>
        <w:rPr>
          <w:rFonts w:hint="default" w:ascii="Times New Roman" w:hAnsi="Times New Roman" w:eastAsia="方正仿宋_GBK" w:cs="Times New Roman"/>
          <w:kern w:val="0"/>
          <w:sz w:val="32"/>
          <w:szCs w:val="32"/>
          <w:shd w:val="clear" w:color="auto" w:fill="FFFFFF"/>
          <w:lang w:val="en-US" w:eastAsia="zh-CN" w:bidi="ar"/>
        </w:rPr>
        <w:t>。</w:t>
      </w:r>
    </w:p>
    <w:p w14:paraId="7B198018">
      <w:pPr>
        <w:spacing w:line="600" w:lineRule="exact"/>
        <w:ind w:firstLine="640"/>
        <w:outlineLvl w:val="2"/>
        <w:rPr>
          <w:rFonts w:hint="default" w:ascii="Times New Roman" w:hAnsi="Times New Roman" w:eastAsia="仿宋" w:cs="Times New Roman"/>
          <w:b/>
          <w:sz w:val="32"/>
          <w:szCs w:val="32"/>
        </w:rPr>
      </w:pPr>
      <w:bookmarkStart w:id="69" w:name="_Toc15377217"/>
      <w:r>
        <w:rPr>
          <w:rFonts w:hint="default" w:ascii="Times New Roman" w:hAnsi="Times New Roman" w:eastAsia="仿宋" w:cs="Times New Roman"/>
          <w:b/>
          <w:sz w:val="32"/>
          <w:szCs w:val="32"/>
        </w:rPr>
        <w:t>（二）“三公”经费财政拨款支出决算具体情况说明</w:t>
      </w:r>
      <w:bookmarkEnd w:id="69"/>
    </w:p>
    <w:p w14:paraId="1FEC849F">
      <w:pPr>
        <w:spacing w:line="600" w:lineRule="exact"/>
        <w:ind w:firstLine="640" w:firstLineChars="20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年度“三公”经费财政拨款支出决算中，公务用车购置及运行维护费支出决算</w:t>
      </w:r>
      <w:r>
        <w:rPr>
          <w:rFonts w:hint="eastAsia" w:eastAsia="方正仿宋_GBK" w:cs="Times New Roman"/>
          <w:kern w:val="0"/>
          <w:sz w:val="32"/>
          <w:szCs w:val="32"/>
          <w:shd w:val="clear" w:color="auto" w:fill="FFFFFF"/>
          <w:lang w:val="en-US" w:eastAsia="zh-CN" w:bidi="ar"/>
        </w:rPr>
        <w:t>12.39</w:t>
      </w:r>
      <w:r>
        <w:rPr>
          <w:rFonts w:hint="default" w:ascii="Times New Roman" w:hAnsi="Times New Roman" w:eastAsia="方正仿宋_GBK" w:cs="Times New Roman"/>
          <w:kern w:val="0"/>
          <w:sz w:val="32"/>
          <w:szCs w:val="32"/>
          <w:shd w:val="clear" w:color="auto" w:fill="FFFFFF"/>
          <w:lang w:val="en-US" w:eastAsia="zh-CN" w:bidi="ar"/>
        </w:rPr>
        <w:t>万元，占</w:t>
      </w:r>
      <w:r>
        <w:rPr>
          <w:rFonts w:hint="eastAsia" w:eastAsia="方正仿宋_GBK" w:cs="Times New Roman"/>
          <w:kern w:val="0"/>
          <w:sz w:val="32"/>
          <w:szCs w:val="32"/>
          <w:shd w:val="clear" w:color="auto" w:fill="FFFFFF"/>
          <w:lang w:val="en-US" w:eastAsia="zh-CN" w:bidi="ar"/>
        </w:rPr>
        <w:t>98.57</w:t>
      </w:r>
      <w:r>
        <w:rPr>
          <w:rFonts w:hint="default" w:ascii="Times New Roman" w:hAnsi="Times New Roman" w:eastAsia="方正仿宋_GBK" w:cs="Times New Roman"/>
          <w:kern w:val="0"/>
          <w:sz w:val="32"/>
          <w:szCs w:val="32"/>
          <w:shd w:val="clear" w:color="auto" w:fill="FFFFFF"/>
          <w:lang w:val="en-US" w:eastAsia="zh-CN" w:bidi="ar"/>
        </w:rPr>
        <w:t>%；公务接待费支出决算0.</w:t>
      </w:r>
      <w:r>
        <w:rPr>
          <w:rFonts w:hint="eastAsia" w:eastAsia="方正仿宋_GBK" w:cs="Times New Roman"/>
          <w:kern w:val="0"/>
          <w:sz w:val="32"/>
          <w:szCs w:val="32"/>
          <w:shd w:val="clear" w:color="auto" w:fill="FFFFFF"/>
          <w:lang w:val="en-US" w:eastAsia="zh-CN" w:bidi="ar"/>
        </w:rPr>
        <w:t>18</w:t>
      </w:r>
      <w:r>
        <w:rPr>
          <w:rFonts w:hint="default" w:ascii="Times New Roman" w:hAnsi="Times New Roman" w:eastAsia="方正仿宋_GBK" w:cs="Times New Roman"/>
          <w:kern w:val="0"/>
          <w:sz w:val="32"/>
          <w:szCs w:val="32"/>
          <w:shd w:val="clear" w:color="auto" w:fill="FFFFFF"/>
          <w:lang w:val="en-US" w:eastAsia="zh-CN" w:bidi="ar"/>
        </w:rPr>
        <w:t>万元，占</w:t>
      </w:r>
      <w:r>
        <w:rPr>
          <w:rFonts w:hint="eastAsia" w:eastAsia="方正仿宋_GBK" w:cs="Times New Roman"/>
          <w:kern w:val="0"/>
          <w:sz w:val="32"/>
          <w:szCs w:val="32"/>
          <w:shd w:val="clear" w:color="auto" w:fill="FFFFFF"/>
          <w:lang w:val="en-US" w:eastAsia="zh-CN" w:bidi="ar"/>
        </w:rPr>
        <w:t>1.43</w:t>
      </w:r>
      <w:r>
        <w:rPr>
          <w:rFonts w:hint="default" w:ascii="Times New Roman" w:hAnsi="Times New Roman" w:eastAsia="方正仿宋_GBK" w:cs="Times New Roman"/>
          <w:kern w:val="0"/>
          <w:sz w:val="32"/>
          <w:szCs w:val="32"/>
          <w:shd w:val="clear" w:color="auto" w:fill="FFFFFF"/>
          <w:lang w:val="en-US" w:eastAsia="zh-CN" w:bidi="ar"/>
        </w:rPr>
        <w:t>%。具体情况如下：</w:t>
      </w:r>
    </w:p>
    <w:p w14:paraId="7E95DDE8">
      <w:pPr>
        <w:spacing w:line="600" w:lineRule="exact"/>
        <w:ind w:firstLine="420" w:firstLineChars="200"/>
        <w:rPr>
          <w:rFonts w:hint="default" w:ascii="Times New Roman" w:hAnsi="Times New Roman" w:eastAsia="方正仿宋_GBK" w:cs="Times New Roman"/>
          <w:kern w:val="0"/>
          <w:sz w:val="32"/>
          <w:szCs w:val="32"/>
          <w:shd w:val="clear" w:color="auto" w:fill="FFFFFF"/>
          <w:lang w:val="en-US" w:eastAsia="zh-CN" w:bidi="ar"/>
        </w:rPr>
      </w:pPr>
      <w:r>
        <w:drawing>
          <wp:anchor distT="0" distB="0" distL="114300" distR="114300" simplePos="0" relativeHeight="251662336" behindDoc="0" locked="0" layoutInCell="1" allowOverlap="1">
            <wp:simplePos x="0" y="0"/>
            <wp:positionH relativeFrom="column">
              <wp:posOffset>328295</wp:posOffset>
            </wp:positionH>
            <wp:positionV relativeFrom="paragraph">
              <wp:posOffset>109220</wp:posOffset>
            </wp:positionV>
            <wp:extent cx="4826000" cy="1781175"/>
            <wp:effectExtent l="4445" t="4445" r="8255" b="5080"/>
            <wp:wrapTopAndBottom/>
            <wp:docPr id="3" name="图表 2" descr="7b0a202020202263686172745265734964223a2022323034373638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default" w:ascii="Times New Roman" w:hAnsi="Times New Roman" w:eastAsia="方正仿宋_GBK" w:cs="Times New Roman"/>
          <w:kern w:val="0"/>
          <w:sz w:val="32"/>
          <w:szCs w:val="32"/>
          <w:shd w:val="clear" w:color="auto" w:fill="FFFFFF"/>
          <w:lang w:val="en-US" w:eastAsia="zh-CN" w:bidi="ar"/>
        </w:rPr>
        <w:t>（图7：“三公”经费财政拨款支出结构）（饼状图）</w:t>
      </w:r>
    </w:p>
    <w:p w14:paraId="108EEA05">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仿宋_GB2312" w:cs="Times New Roman"/>
          <w:b/>
          <w:sz w:val="32"/>
          <w:szCs w:val="32"/>
        </w:rPr>
        <w:t>1.因公出国（境）经费支出</w:t>
      </w:r>
      <w:r>
        <w:rPr>
          <w:rFonts w:hint="default" w:ascii="Times New Roman" w:hAnsi="Times New Roman" w:eastAsia="方正仿宋_GBK" w:cs="Times New Roman"/>
          <w:kern w:val="0"/>
          <w:sz w:val="32"/>
          <w:szCs w:val="32"/>
          <w:shd w:val="clear" w:color="auto" w:fill="FFFFFF"/>
          <w:lang w:val="en-US" w:eastAsia="zh-CN" w:bidi="ar"/>
        </w:rPr>
        <w:t>0万元，完成预算0%。全年安排因公出国（境）团组0次，出国（境）0人。因公出国（境）支出决算比202</w:t>
      </w:r>
      <w:r>
        <w:rPr>
          <w:rFonts w:hint="eastAsia" w:eastAsia="方正仿宋_GBK" w:cs="Times New Roman"/>
          <w:kern w:val="0"/>
          <w:sz w:val="32"/>
          <w:szCs w:val="32"/>
          <w:shd w:val="clear" w:color="auto" w:fill="FFFFFF"/>
          <w:lang w:val="en-US" w:eastAsia="zh-CN" w:bidi="ar"/>
        </w:rPr>
        <w:t>3</w:t>
      </w:r>
      <w:r>
        <w:rPr>
          <w:rFonts w:hint="default" w:ascii="Times New Roman" w:hAnsi="Times New Roman" w:eastAsia="方正仿宋_GBK" w:cs="Times New Roman"/>
          <w:kern w:val="0"/>
          <w:sz w:val="32"/>
          <w:szCs w:val="32"/>
          <w:shd w:val="clear" w:color="auto" w:fill="FFFFFF"/>
          <w:lang w:val="en-US" w:eastAsia="zh-CN" w:bidi="ar"/>
        </w:rPr>
        <w:t>年持平。</w:t>
      </w:r>
    </w:p>
    <w:p w14:paraId="767ECF8A">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公务用车购置及运行维护费支出</w:t>
      </w:r>
      <w:r>
        <w:rPr>
          <w:rFonts w:hint="eastAsia" w:eastAsia="仿宋_GB2312" w:cs="Times New Roman"/>
          <w:sz w:val="32"/>
          <w:szCs w:val="32"/>
          <w:lang w:val="en-US" w:eastAsia="zh-CN"/>
        </w:rPr>
        <w:t>12.39</w:t>
      </w:r>
      <w:r>
        <w:rPr>
          <w:rFonts w:hint="default" w:ascii="Times New Roman" w:hAnsi="Times New Roman" w:eastAsia="方正仿宋_GBK" w:cs="Times New Roman"/>
          <w:kern w:val="0"/>
          <w:sz w:val="32"/>
          <w:szCs w:val="32"/>
          <w:shd w:val="clear" w:color="auto" w:fill="FFFFFF"/>
          <w:lang w:val="en-US" w:eastAsia="zh-CN" w:bidi="ar"/>
        </w:rPr>
        <w:t>万元,完成预算100%。公务用车购置及运行维护费支出决算比202</w:t>
      </w:r>
      <w:r>
        <w:rPr>
          <w:rFonts w:hint="eastAsia" w:eastAsia="方正仿宋_GBK" w:cs="Times New Roman"/>
          <w:kern w:val="0"/>
          <w:sz w:val="32"/>
          <w:szCs w:val="32"/>
          <w:shd w:val="clear" w:color="auto" w:fill="FFFFFF"/>
          <w:lang w:val="en-US" w:eastAsia="zh-CN" w:bidi="ar"/>
        </w:rPr>
        <w:t>3</w:t>
      </w:r>
      <w:r>
        <w:rPr>
          <w:rFonts w:hint="default" w:ascii="Times New Roman" w:hAnsi="Times New Roman" w:eastAsia="方正仿宋_GBK" w:cs="Times New Roman"/>
          <w:kern w:val="0"/>
          <w:sz w:val="32"/>
          <w:szCs w:val="32"/>
          <w:shd w:val="clear" w:color="auto" w:fill="FFFFFF"/>
          <w:lang w:val="en-US" w:eastAsia="zh-CN" w:bidi="ar"/>
        </w:rPr>
        <w:t>年度11.5</w:t>
      </w:r>
      <w:r>
        <w:rPr>
          <w:rFonts w:hint="eastAsia" w:eastAsia="方正仿宋_GBK" w:cs="Times New Roman"/>
          <w:kern w:val="0"/>
          <w:sz w:val="32"/>
          <w:szCs w:val="32"/>
          <w:shd w:val="clear" w:color="auto" w:fill="FFFFFF"/>
          <w:lang w:val="en-US" w:eastAsia="zh-CN" w:bidi="ar"/>
        </w:rPr>
        <w:t>9</w:t>
      </w:r>
      <w:r>
        <w:rPr>
          <w:rFonts w:hint="default" w:ascii="Times New Roman" w:hAnsi="Times New Roman" w:eastAsia="方正仿宋_GBK" w:cs="Times New Roman"/>
          <w:kern w:val="0"/>
          <w:sz w:val="32"/>
          <w:szCs w:val="32"/>
          <w:shd w:val="clear" w:color="auto" w:fill="FFFFFF"/>
          <w:lang w:val="en-US" w:eastAsia="zh-CN" w:bidi="ar"/>
        </w:rPr>
        <w:t>万元</w:t>
      </w:r>
      <w:r>
        <w:rPr>
          <w:rFonts w:hint="eastAsia" w:eastAsia="方正仿宋_GBK" w:cs="Times New Roman"/>
          <w:kern w:val="0"/>
          <w:sz w:val="32"/>
          <w:szCs w:val="32"/>
          <w:shd w:val="clear" w:color="auto" w:fill="FFFFFF"/>
          <w:lang w:val="en-US" w:eastAsia="zh-CN" w:bidi="ar"/>
        </w:rPr>
        <w:t>增加</w:t>
      </w:r>
      <w:r>
        <w:rPr>
          <w:rFonts w:hint="default" w:ascii="Times New Roman" w:hAnsi="Times New Roman" w:eastAsia="方正仿宋_GBK" w:cs="Times New Roman"/>
          <w:kern w:val="0"/>
          <w:sz w:val="32"/>
          <w:szCs w:val="32"/>
          <w:shd w:val="clear" w:color="auto" w:fill="FFFFFF"/>
          <w:lang w:val="en-US" w:eastAsia="zh-CN" w:bidi="ar"/>
        </w:rPr>
        <w:t>0</w:t>
      </w:r>
      <w:r>
        <w:rPr>
          <w:rFonts w:hint="eastAsia" w:eastAsia="方正仿宋_GBK" w:cs="Times New Roman"/>
          <w:kern w:val="0"/>
          <w:sz w:val="32"/>
          <w:szCs w:val="32"/>
          <w:shd w:val="clear" w:color="auto" w:fill="FFFFFF"/>
          <w:lang w:val="en-US" w:eastAsia="zh-CN" w:bidi="ar"/>
        </w:rPr>
        <w:t>.</w:t>
      </w:r>
      <w:r>
        <w:rPr>
          <w:rFonts w:hint="default" w:ascii="Times New Roman" w:hAnsi="Times New Roman" w:eastAsia="方正仿宋_GBK" w:cs="Times New Roman"/>
          <w:kern w:val="0"/>
          <w:sz w:val="32"/>
          <w:szCs w:val="32"/>
          <w:shd w:val="clear" w:color="auto" w:fill="FFFFFF"/>
          <w:lang w:val="en-US" w:eastAsia="zh-CN" w:bidi="ar"/>
        </w:rPr>
        <w:t>8万元，</w:t>
      </w:r>
      <w:r>
        <w:rPr>
          <w:rFonts w:hint="eastAsia" w:eastAsia="方正仿宋_GBK" w:cs="Times New Roman"/>
          <w:kern w:val="0"/>
          <w:sz w:val="32"/>
          <w:szCs w:val="32"/>
          <w:shd w:val="clear" w:color="auto" w:fill="FFFFFF"/>
          <w:lang w:val="en-US" w:eastAsia="zh-CN" w:bidi="ar"/>
        </w:rPr>
        <w:t>增幅6.72</w:t>
      </w:r>
      <w:r>
        <w:rPr>
          <w:rFonts w:hint="default" w:ascii="Times New Roman" w:hAnsi="Times New Roman" w:eastAsia="方正仿宋_GBK" w:cs="Times New Roman"/>
          <w:kern w:val="0"/>
          <w:sz w:val="32"/>
          <w:szCs w:val="32"/>
          <w:shd w:val="clear" w:color="auto" w:fill="FFFFFF"/>
          <w:lang w:val="en-US" w:eastAsia="zh-CN" w:bidi="ar"/>
        </w:rPr>
        <w:t>%。主要原因是本年度公务用车运行维护费</w:t>
      </w:r>
      <w:r>
        <w:rPr>
          <w:rFonts w:hint="eastAsia" w:eastAsia="方正仿宋_GBK" w:cs="Times New Roman"/>
          <w:kern w:val="0"/>
          <w:sz w:val="32"/>
          <w:szCs w:val="32"/>
          <w:shd w:val="clear" w:color="auto" w:fill="FFFFFF"/>
          <w:lang w:val="en-US" w:eastAsia="zh-CN" w:bidi="ar"/>
        </w:rPr>
        <w:t>增加</w:t>
      </w:r>
      <w:r>
        <w:rPr>
          <w:rFonts w:hint="default" w:ascii="Times New Roman" w:hAnsi="Times New Roman" w:eastAsia="方正仿宋_GBK" w:cs="Times New Roman"/>
          <w:kern w:val="0"/>
          <w:sz w:val="32"/>
          <w:szCs w:val="32"/>
          <w:shd w:val="clear" w:color="auto" w:fill="FFFFFF"/>
          <w:lang w:val="en-US" w:eastAsia="zh-CN" w:bidi="ar"/>
        </w:rPr>
        <w:t>。</w:t>
      </w:r>
    </w:p>
    <w:p w14:paraId="6DABC796">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其中：</w:t>
      </w:r>
      <w:r>
        <w:rPr>
          <w:rFonts w:hint="default" w:ascii="Times New Roman" w:hAnsi="Times New Roman" w:eastAsia="仿宋_GB2312" w:cs="Times New Roman"/>
          <w:b/>
          <w:sz w:val="32"/>
          <w:szCs w:val="32"/>
        </w:rPr>
        <w:t>公务用车购置支出</w:t>
      </w:r>
      <w:r>
        <w:rPr>
          <w:rFonts w:hint="default" w:ascii="Times New Roman" w:hAnsi="Times New Roman" w:eastAsia="方正仿宋_GBK" w:cs="Times New Roman"/>
          <w:kern w:val="0"/>
          <w:sz w:val="32"/>
          <w:szCs w:val="32"/>
          <w:shd w:val="clear" w:color="auto" w:fill="FFFFFF"/>
          <w:lang w:val="en-US" w:eastAsia="zh-CN" w:bidi="ar"/>
        </w:rPr>
        <w:t>0万元。截至202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年12月31日，单位共有公务用车</w:t>
      </w:r>
      <w:r>
        <w:rPr>
          <w:rFonts w:hint="eastAsia"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en-US" w:eastAsia="zh-CN" w:bidi="ar"/>
        </w:rPr>
        <w:t>辆，其中：越野车</w:t>
      </w:r>
      <w:r>
        <w:rPr>
          <w:rFonts w:hint="eastAsia"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en-US" w:eastAsia="zh-CN" w:bidi="ar"/>
        </w:rPr>
        <w:t>辆。</w:t>
      </w:r>
    </w:p>
    <w:p w14:paraId="338D5B35">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仿宋_GB2312" w:cs="Times New Roman"/>
          <w:b/>
          <w:sz w:val="32"/>
          <w:szCs w:val="32"/>
        </w:rPr>
        <w:t>公务用车运行维护费支出</w:t>
      </w:r>
      <w:r>
        <w:rPr>
          <w:rFonts w:hint="eastAsia" w:eastAsia="仿宋_GB2312" w:cs="Times New Roman"/>
          <w:b/>
          <w:sz w:val="32"/>
          <w:szCs w:val="32"/>
          <w:lang w:val="en-US" w:eastAsia="zh-CN"/>
        </w:rPr>
        <w:t>12.39</w:t>
      </w:r>
      <w:r>
        <w:rPr>
          <w:rFonts w:hint="default" w:ascii="Times New Roman" w:hAnsi="Times New Roman" w:eastAsia="方正仿宋_GBK" w:cs="Times New Roman"/>
          <w:kern w:val="0"/>
          <w:sz w:val="32"/>
          <w:szCs w:val="32"/>
          <w:shd w:val="clear" w:color="auto" w:fill="FFFFFF"/>
          <w:lang w:val="en-US" w:eastAsia="zh-CN" w:bidi="ar"/>
        </w:rPr>
        <w:t>万元。主要用于开展单位日常工作、出差、下乡等等所需的公务用车燃料费、维修费、过路费、保险费等支出。</w:t>
      </w:r>
    </w:p>
    <w:p w14:paraId="3BD7B0C1">
      <w:pPr>
        <w:spacing w:line="600" w:lineRule="exact"/>
        <w:ind w:firstLine="640"/>
        <w:rPr>
          <w:rFonts w:hint="default" w:ascii="Times New Roman" w:hAnsi="Times New Roman" w:eastAsia="方正仿宋_GBK" w:cs="Times New Roman"/>
          <w:color w:val="auto"/>
          <w:kern w:val="0"/>
          <w:sz w:val="32"/>
          <w:szCs w:val="32"/>
          <w:shd w:val="clear" w:color="auto" w:fill="FFFFFF"/>
          <w:lang w:val="en-US" w:eastAsia="zh-CN" w:bidi="ar"/>
        </w:rPr>
      </w:pPr>
      <w:r>
        <w:rPr>
          <w:rFonts w:hint="default" w:ascii="Times New Roman" w:hAnsi="Times New Roman" w:eastAsia="仿宋_GB2312" w:cs="Times New Roman"/>
          <w:b/>
          <w:sz w:val="32"/>
          <w:szCs w:val="32"/>
        </w:rPr>
        <w:t>3.公务接待费支出</w:t>
      </w:r>
      <w:r>
        <w:rPr>
          <w:rFonts w:hint="default" w:ascii="Times New Roman" w:hAnsi="Times New Roman" w:cs="Times New Roman"/>
          <w:sz w:val="32"/>
          <w:szCs w:val="32"/>
        </w:rPr>
        <w:t>0.</w:t>
      </w:r>
      <w:r>
        <w:rPr>
          <w:rFonts w:hint="eastAsia" w:cs="Times New Roman"/>
          <w:sz w:val="32"/>
          <w:szCs w:val="32"/>
          <w:lang w:val="en-US" w:eastAsia="zh-CN"/>
        </w:rPr>
        <w:t>18</w:t>
      </w:r>
      <w:r>
        <w:rPr>
          <w:rFonts w:hint="default" w:ascii="Times New Roman" w:hAnsi="Times New Roman" w:eastAsia="方正仿宋_GBK" w:cs="Times New Roman"/>
          <w:kern w:val="0"/>
          <w:sz w:val="32"/>
          <w:szCs w:val="32"/>
          <w:shd w:val="clear" w:color="auto" w:fill="FFFFFF"/>
          <w:lang w:val="en-US" w:eastAsia="zh-CN" w:bidi="ar"/>
        </w:rPr>
        <w:t>万元，完成预算</w:t>
      </w:r>
      <w:r>
        <w:rPr>
          <w:rFonts w:hint="eastAsia" w:eastAsia="方正仿宋_GBK" w:cs="Times New Roman"/>
          <w:kern w:val="0"/>
          <w:sz w:val="32"/>
          <w:szCs w:val="32"/>
          <w:shd w:val="clear" w:color="auto" w:fill="FFFFFF"/>
          <w:lang w:val="en-US" w:eastAsia="zh-CN" w:bidi="ar"/>
        </w:rPr>
        <w:t>56.25</w:t>
      </w:r>
      <w:r>
        <w:rPr>
          <w:rFonts w:hint="default" w:ascii="Times New Roman" w:hAnsi="Times New Roman" w:eastAsia="方正仿宋_GBK" w:cs="Times New Roman"/>
          <w:kern w:val="0"/>
          <w:sz w:val="32"/>
          <w:szCs w:val="32"/>
          <w:shd w:val="clear" w:color="auto" w:fill="FFFFFF"/>
          <w:lang w:val="en-US" w:eastAsia="zh-CN" w:bidi="ar"/>
        </w:rPr>
        <w:t>%。公务接</w:t>
      </w:r>
      <w:r>
        <w:rPr>
          <w:rFonts w:hint="default" w:ascii="Times New Roman" w:hAnsi="Times New Roman" w:eastAsia="方正仿宋_GBK" w:cs="Times New Roman"/>
          <w:color w:val="auto"/>
          <w:kern w:val="0"/>
          <w:sz w:val="32"/>
          <w:szCs w:val="32"/>
          <w:shd w:val="clear" w:color="auto" w:fill="FFFFFF"/>
          <w:lang w:val="en-US" w:eastAsia="zh-CN" w:bidi="ar"/>
        </w:rPr>
        <w:t>待费支出决算比202</w:t>
      </w:r>
      <w:r>
        <w:rPr>
          <w:rFonts w:hint="eastAsia" w:eastAsia="方正仿宋_GBK" w:cs="Times New Roman"/>
          <w:color w:val="auto"/>
          <w:kern w:val="0"/>
          <w:sz w:val="32"/>
          <w:szCs w:val="32"/>
          <w:shd w:val="clear" w:color="auto" w:fill="FFFFFF"/>
          <w:lang w:val="en-US" w:eastAsia="zh-CN" w:bidi="ar"/>
        </w:rPr>
        <w:t>3</w:t>
      </w:r>
      <w:r>
        <w:rPr>
          <w:rFonts w:hint="default" w:ascii="Times New Roman" w:hAnsi="Times New Roman" w:eastAsia="方正仿宋_GBK" w:cs="Times New Roman"/>
          <w:color w:val="auto"/>
          <w:kern w:val="0"/>
          <w:sz w:val="32"/>
          <w:szCs w:val="32"/>
          <w:shd w:val="clear" w:color="auto" w:fill="FFFFFF"/>
          <w:lang w:val="en-US" w:eastAsia="zh-CN" w:bidi="ar"/>
        </w:rPr>
        <w:t>年度0.3</w:t>
      </w:r>
      <w:r>
        <w:rPr>
          <w:rFonts w:hint="eastAsia" w:eastAsia="方正仿宋_GBK" w:cs="Times New Roman"/>
          <w:color w:val="auto"/>
          <w:kern w:val="0"/>
          <w:sz w:val="32"/>
          <w:szCs w:val="32"/>
          <w:shd w:val="clear" w:color="auto" w:fill="FFFFFF"/>
          <w:lang w:val="en-US" w:eastAsia="zh-CN" w:bidi="ar"/>
        </w:rPr>
        <w:t>2</w:t>
      </w:r>
      <w:r>
        <w:rPr>
          <w:rFonts w:hint="default" w:ascii="Times New Roman" w:hAnsi="Times New Roman" w:eastAsia="方正仿宋_GBK" w:cs="Times New Roman"/>
          <w:color w:val="auto"/>
          <w:kern w:val="0"/>
          <w:sz w:val="32"/>
          <w:szCs w:val="32"/>
          <w:shd w:val="clear" w:color="auto" w:fill="FFFFFF"/>
          <w:lang w:val="en-US" w:eastAsia="zh-CN" w:bidi="ar"/>
        </w:rPr>
        <w:t>万元减少</w:t>
      </w:r>
      <w:r>
        <w:rPr>
          <w:rFonts w:hint="eastAsia" w:eastAsia="方正仿宋_GBK" w:cs="Times New Roman"/>
          <w:color w:val="auto"/>
          <w:kern w:val="0"/>
          <w:sz w:val="32"/>
          <w:szCs w:val="32"/>
          <w:shd w:val="clear" w:color="auto" w:fill="FFFFFF"/>
          <w:lang w:val="en-US" w:eastAsia="zh-CN" w:bidi="ar"/>
        </w:rPr>
        <w:t>0.14</w:t>
      </w:r>
      <w:r>
        <w:rPr>
          <w:rFonts w:hint="default" w:ascii="Times New Roman" w:hAnsi="Times New Roman" w:eastAsia="方正仿宋_GBK" w:cs="Times New Roman"/>
          <w:color w:val="auto"/>
          <w:kern w:val="0"/>
          <w:sz w:val="32"/>
          <w:szCs w:val="32"/>
          <w:shd w:val="clear" w:color="auto" w:fill="FFFFFF"/>
          <w:lang w:val="en-US" w:eastAsia="zh-CN" w:bidi="ar"/>
        </w:rPr>
        <w:t>万元，下降13.51%。主要原因是压减公务接待活动。</w:t>
      </w:r>
    </w:p>
    <w:p w14:paraId="2248B040">
      <w:pPr>
        <w:spacing w:line="600" w:lineRule="exact"/>
        <w:ind w:firstLine="640"/>
        <w:rPr>
          <w:rFonts w:hint="default" w:ascii="Times New Roman" w:hAnsi="Times New Roman" w:eastAsia="仿宋_GB2312" w:cs="Times New Roman"/>
          <w:color w:val="558ED5" w:themeColor="text2" w:themeTint="99"/>
          <w:sz w:val="32"/>
          <w:szCs w:val="32"/>
          <w:lang w:eastAsia="zh-CN"/>
          <w14:textFill>
            <w14:solidFill>
              <w14:schemeClr w14:val="tx2">
                <w14:lumMod w14:val="60000"/>
                <w14:lumOff w14:val="40000"/>
              </w14:schemeClr>
            </w14:solidFill>
          </w14:textFill>
        </w:rPr>
      </w:pPr>
      <w:r>
        <w:rPr>
          <w:rFonts w:hint="default" w:ascii="Times New Roman" w:hAnsi="Times New Roman" w:eastAsia="仿宋" w:cs="Times New Roman"/>
          <w:b/>
          <w:color w:val="auto"/>
          <w:sz w:val="32"/>
          <w:szCs w:val="32"/>
        </w:rPr>
        <w:t>国内公务接待支出</w:t>
      </w:r>
      <w:r>
        <w:rPr>
          <w:rFonts w:hint="default" w:ascii="Times New Roman" w:hAnsi="Times New Roman" w:eastAsia="仿宋" w:cs="Times New Roman"/>
          <w:b/>
          <w:color w:val="auto"/>
          <w:sz w:val="32"/>
          <w:szCs w:val="32"/>
          <w:lang w:val="en-US" w:eastAsia="zh-CN"/>
        </w:rPr>
        <w:t>0.</w:t>
      </w:r>
      <w:r>
        <w:rPr>
          <w:rFonts w:hint="eastAsia" w:eastAsia="仿宋" w:cs="Times New Roman"/>
          <w:b/>
          <w:color w:val="auto"/>
          <w:sz w:val="32"/>
          <w:szCs w:val="32"/>
          <w:lang w:val="en-US" w:eastAsia="zh-CN"/>
        </w:rPr>
        <w:t>18</w:t>
      </w:r>
      <w:r>
        <w:rPr>
          <w:rFonts w:hint="default" w:ascii="Times New Roman" w:hAnsi="Times New Roman" w:eastAsia="方正仿宋_GBK" w:cs="Times New Roman"/>
          <w:color w:val="auto"/>
          <w:kern w:val="0"/>
          <w:sz w:val="32"/>
          <w:szCs w:val="32"/>
          <w:shd w:val="clear" w:color="auto" w:fill="FFFFFF"/>
          <w:lang w:val="en-US" w:eastAsia="zh-CN" w:bidi="ar"/>
        </w:rPr>
        <w:t>万元，主要用于开展业务活动开支的用餐费等。国内公务接待3批次，1</w:t>
      </w:r>
      <w:r>
        <w:rPr>
          <w:rFonts w:hint="eastAsia" w:eastAsia="方正仿宋_GBK" w:cs="Times New Roman"/>
          <w:color w:val="auto"/>
          <w:kern w:val="0"/>
          <w:sz w:val="32"/>
          <w:szCs w:val="32"/>
          <w:shd w:val="clear" w:color="auto" w:fill="FFFFFF"/>
          <w:lang w:val="en-US" w:eastAsia="zh-CN" w:bidi="ar"/>
        </w:rPr>
        <w:t>5</w:t>
      </w:r>
      <w:r>
        <w:rPr>
          <w:rFonts w:hint="default" w:ascii="Times New Roman" w:hAnsi="Times New Roman" w:eastAsia="方正仿宋_GBK" w:cs="Times New Roman"/>
          <w:color w:val="auto"/>
          <w:kern w:val="0"/>
          <w:sz w:val="32"/>
          <w:szCs w:val="32"/>
          <w:shd w:val="clear" w:color="auto" w:fill="FFFFFF"/>
          <w:lang w:val="en-US" w:eastAsia="zh-CN" w:bidi="ar"/>
        </w:rPr>
        <w:t>人次（不包括陪同人员），共计支出</w:t>
      </w:r>
      <w:r>
        <w:rPr>
          <w:rFonts w:hint="eastAsia" w:eastAsia="方正仿宋_GBK" w:cs="Times New Roman"/>
          <w:color w:val="auto"/>
          <w:kern w:val="0"/>
          <w:sz w:val="32"/>
          <w:szCs w:val="32"/>
          <w:shd w:val="clear" w:color="auto" w:fill="FFFFFF"/>
          <w:lang w:val="en-US" w:eastAsia="zh-CN" w:bidi="ar"/>
        </w:rPr>
        <w:t>0.18</w:t>
      </w:r>
      <w:r>
        <w:rPr>
          <w:rFonts w:hint="default" w:ascii="Times New Roman" w:hAnsi="Times New Roman" w:eastAsia="方正仿宋_GBK" w:cs="Times New Roman"/>
          <w:color w:val="auto"/>
          <w:kern w:val="0"/>
          <w:sz w:val="32"/>
          <w:szCs w:val="32"/>
          <w:shd w:val="clear" w:color="auto" w:fill="FFFFFF"/>
          <w:lang w:val="en-US" w:eastAsia="zh-CN" w:bidi="ar"/>
        </w:rPr>
        <w:t>万元。</w:t>
      </w:r>
      <w:r>
        <w:rPr>
          <w:rFonts w:hint="default" w:ascii="Times New Roman" w:hAnsi="Times New Roman" w:eastAsia="仿宋" w:cs="Times New Roman"/>
          <w:b/>
          <w:color w:val="auto"/>
          <w:sz w:val="32"/>
          <w:szCs w:val="32"/>
        </w:rPr>
        <w:t>外事接待支出</w:t>
      </w:r>
      <w:r>
        <w:rPr>
          <w:rFonts w:hint="default" w:ascii="Times New Roman" w:hAnsi="Times New Roman" w:eastAsia="仿宋" w:cs="Times New Roman"/>
          <w:b/>
          <w:color w:val="auto"/>
          <w:sz w:val="32"/>
          <w:szCs w:val="32"/>
          <w:lang w:val="en-US" w:eastAsia="zh-CN"/>
        </w:rPr>
        <w:t>0</w:t>
      </w:r>
      <w:r>
        <w:rPr>
          <w:rFonts w:hint="default" w:ascii="Times New Roman" w:hAnsi="Times New Roman" w:eastAsia="仿宋_GB2312" w:cs="Times New Roman"/>
          <w:color w:val="auto"/>
          <w:sz w:val="32"/>
          <w:szCs w:val="32"/>
        </w:rPr>
        <w:t>万元</w:t>
      </w:r>
      <w:bookmarkStart w:id="70" w:name="_Toc15396610"/>
      <w:bookmarkStart w:id="71" w:name="_Toc15377218"/>
      <w:r>
        <w:rPr>
          <w:rFonts w:hint="default" w:ascii="Times New Roman" w:hAnsi="Times New Roman" w:eastAsia="仿宋_GB2312" w:cs="Times New Roman"/>
          <w:color w:val="auto"/>
          <w:sz w:val="32"/>
          <w:szCs w:val="32"/>
          <w:lang w:eastAsia="zh-CN"/>
        </w:rPr>
        <w:t>。</w:t>
      </w:r>
    </w:p>
    <w:p w14:paraId="701C1902">
      <w:pPr>
        <w:spacing w:line="600" w:lineRule="exact"/>
        <w:ind w:firstLine="640"/>
        <w:outlineLvl w:val="1"/>
        <w:rPr>
          <w:rStyle w:val="34"/>
          <w:rFonts w:hint="default" w:ascii="Times New Roman" w:hAnsi="Times New Roman" w:eastAsia="黑体" w:cs="Times New Roman"/>
        </w:rPr>
      </w:pPr>
      <w:bookmarkStart w:id="72" w:name="_Toc3308"/>
      <w:r>
        <w:rPr>
          <w:rFonts w:hint="default" w:ascii="Times New Roman" w:hAnsi="Times New Roman" w:eastAsia="黑体" w:cs="Times New Roman"/>
          <w:sz w:val="32"/>
          <w:szCs w:val="32"/>
        </w:rPr>
        <w:t>八、</w:t>
      </w:r>
      <w:r>
        <w:rPr>
          <w:rStyle w:val="34"/>
          <w:rFonts w:hint="default" w:ascii="Times New Roman" w:hAnsi="Times New Roman" w:eastAsia="黑体" w:cs="Times New Roman"/>
          <w:b w:val="0"/>
        </w:rPr>
        <w:t>政府性基金预算支出决算情况说明</w:t>
      </w:r>
      <w:bookmarkEnd w:id="70"/>
      <w:bookmarkEnd w:id="71"/>
      <w:bookmarkEnd w:id="72"/>
    </w:p>
    <w:p w14:paraId="6BCDFFE6">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年度政府性基金预算财政拨款支出0万元，与上年持平。</w:t>
      </w:r>
    </w:p>
    <w:p w14:paraId="615C409B">
      <w:pPr>
        <w:numPr>
          <w:ilvl w:val="0"/>
          <w:numId w:val="2"/>
        </w:numPr>
        <w:spacing w:line="600" w:lineRule="exact"/>
        <w:ind w:firstLine="640"/>
        <w:outlineLvl w:val="1"/>
        <w:rPr>
          <w:rStyle w:val="34"/>
          <w:rFonts w:hint="default" w:ascii="Times New Roman" w:hAnsi="Times New Roman" w:eastAsia="黑体" w:cs="Times New Roman"/>
          <w:b w:val="0"/>
        </w:rPr>
      </w:pPr>
      <w:bookmarkStart w:id="73" w:name="_Toc15377219"/>
      <w:bookmarkStart w:id="74" w:name="_Toc15396611"/>
      <w:bookmarkStart w:id="75" w:name="_Toc26317"/>
      <w:r>
        <w:rPr>
          <w:rStyle w:val="34"/>
          <w:rFonts w:hint="default" w:ascii="Times New Roman" w:hAnsi="Times New Roman" w:eastAsia="黑体" w:cs="Times New Roman"/>
          <w:b w:val="0"/>
        </w:rPr>
        <w:t>国有资本经营预算支出决算情况说明</w:t>
      </w:r>
      <w:bookmarkEnd w:id="73"/>
      <w:bookmarkEnd w:id="74"/>
      <w:bookmarkEnd w:id="75"/>
    </w:p>
    <w:p w14:paraId="2217B814">
      <w:pPr>
        <w:spacing w:line="600" w:lineRule="exact"/>
        <w:ind w:firstLine="640"/>
        <w:rPr>
          <w:rFonts w:hint="default" w:ascii="Times New Roman" w:hAnsi="Times New Roman" w:eastAsia="方正仿宋_GBK" w:cs="Times New Roman"/>
          <w:color w:val="auto"/>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年度国有资本经营预算财政拨款支出0万元，与上年持平。</w:t>
      </w:r>
      <w:r>
        <w:rPr>
          <w:rFonts w:hint="default" w:ascii="Times New Roman" w:hAnsi="Times New Roman" w:eastAsia="方正仿宋_GBK" w:cs="Times New Roman"/>
          <w:color w:val="auto"/>
          <w:kern w:val="0"/>
          <w:sz w:val="32"/>
          <w:szCs w:val="32"/>
          <w:shd w:val="clear" w:color="auto" w:fill="FFFFFF"/>
          <w:lang w:val="en-US" w:eastAsia="zh-CN" w:bidi="ar"/>
        </w:rPr>
        <w:t>截止202</w:t>
      </w:r>
      <w:r>
        <w:rPr>
          <w:rFonts w:hint="eastAsia" w:eastAsia="方正仿宋_GBK" w:cs="Times New Roman"/>
          <w:color w:val="auto"/>
          <w:kern w:val="0"/>
          <w:sz w:val="32"/>
          <w:szCs w:val="32"/>
          <w:shd w:val="clear" w:color="auto" w:fill="FFFFFF"/>
          <w:lang w:val="en-US" w:eastAsia="zh-CN" w:bidi="ar"/>
        </w:rPr>
        <w:t>4</w:t>
      </w:r>
      <w:r>
        <w:rPr>
          <w:rFonts w:hint="default" w:ascii="Times New Roman" w:hAnsi="Times New Roman" w:eastAsia="方正仿宋_GBK" w:cs="Times New Roman"/>
          <w:color w:val="auto"/>
          <w:kern w:val="0"/>
          <w:sz w:val="32"/>
          <w:szCs w:val="32"/>
          <w:shd w:val="clear" w:color="auto" w:fill="FFFFFF"/>
          <w:lang w:val="en-US" w:eastAsia="zh-CN" w:bidi="ar"/>
        </w:rPr>
        <w:t>年年末，单位固定资产为132.44万元。</w:t>
      </w:r>
    </w:p>
    <w:p w14:paraId="15F19D9E">
      <w:pPr>
        <w:numPr>
          <w:ilvl w:val="0"/>
          <w:numId w:val="2"/>
        </w:numPr>
        <w:spacing w:line="600" w:lineRule="exact"/>
        <w:ind w:firstLine="640"/>
        <w:outlineLvl w:val="1"/>
        <w:rPr>
          <w:rStyle w:val="34"/>
          <w:rFonts w:hint="default" w:ascii="Times New Roman" w:hAnsi="Times New Roman" w:eastAsia="黑体" w:cs="Times New Roman"/>
          <w:b w:val="0"/>
        </w:rPr>
      </w:pPr>
      <w:bookmarkStart w:id="76" w:name="_Toc15377221"/>
      <w:bookmarkStart w:id="77" w:name="_Toc15396612"/>
      <w:bookmarkStart w:id="78" w:name="_Toc4444"/>
      <w:r>
        <w:rPr>
          <w:rStyle w:val="34"/>
          <w:rFonts w:hint="default" w:ascii="Times New Roman" w:hAnsi="Times New Roman" w:eastAsia="黑体" w:cs="Times New Roman"/>
          <w:b w:val="0"/>
        </w:rPr>
        <w:t>其他重要事项的情况说明</w:t>
      </w:r>
      <w:bookmarkEnd w:id="76"/>
      <w:bookmarkEnd w:id="77"/>
      <w:bookmarkEnd w:id="78"/>
    </w:p>
    <w:p w14:paraId="1A908427">
      <w:pPr>
        <w:spacing w:line="600" w:lineRule="exact"/>
        <w:ind w:firstLine="643" w:firstLineChars="200"/>
        <w:outlineLvl w:val="2"/>
        <w:rPr>
          <w:rFonts w:hint="default" w:ascii="Times New Roman" w:hAnsi="Times New Roman" w:eastAsia="仿宋" w:cs="Times New Roman"/>
          <w:sz w:val="32"/>
          <w:szCs w:val="32"/>
        </w:rPr>
      </w:pPr>
      <w:bookmarkStart w:id="79" w:name="_Toc15377222"/>
      <w:r>
        <w:rPr>
          <w:rFonts w:hint="default" w:ascii="Times New Roman" w:hAnsi="Times New Roman" w:eastAsia="仿宋" w:cs="Times New Roman"/>
          <w:b/>
          <w:sz w:val="32"/>
          <w:szCs w:val="32"/>
        </w:rPr>
        <w:t>（一）机关运行经费支出情况</w:t>
      </w:r>
      <w:bookmarkEnd w:id="79"/>
    </w:p>
    <w:p w14:paraId="53C5D0F9">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年度，红原县宣传部机关运行经费支出</w:t>
      </w:r>
      <w:r>
        <w:rPr>
          <w:rFonts w:hint="eastAsia" w:eastAsia="方正仿宋_GBK" w:cs="Times New Roman"/>
          <w:kern w:val="0"/>
          <w:sz w:val="32"/>
          <w:szCs w:val="32"/>
          <w:shd w:val="clear" w:color="auto" w:fill="FFFFFF"/>
          <w:lang w:val="en-US" w:eastAsia="zh-CN" w:bidi="ar"/>
        </w:rPr>
        <w:t>24.66</w:t>
      </w:r>
      <w:r>
        <w:rPr>
          <w:rFonts w:hint="default" w:ascii="Times New Roman" w:hAnsi="Times New Roman" w:eastAsia="方正仿宋_GBK" w:cs="Times New Roman"/>
          <w:kern w:val="0"/>
          <w:sz w:val="32"/>
          <w:szCs w:val="32"/>
          <w:shd w:val="clear" w:color="auto" w:fill="FFFFFF"/>
          <w:lang w:val="en-US" w:eastAsia="zh-CN" w:bidi="ar"/>
        </w:rPr>
        <w:t>万元，比202</w:t>
      </w:r>
      <w:r>
        <w:rPr>
          <w:rFonts w:hint="eastAsia" w:eastAsia="方正仿宋_GBK" w:cs="Times New Roman"/>
          <w:kern w:val="0"/>
          <w:sz w:val="32"/>
          <w:szCs w:val="32"/>
          <w:shd w:val="clear" w:color="auto" w:fill="FFFFFF"/>
          <w:lang w:val="en-US" w:eastAsia="zh-CN" w:bidi="ar"/>
        </w:rPr>
        <w:t>3</w:t>
      </w:r>
      <w:r>
        <w:rPr>
          <w:rFonts w:hint="default" w:ascii="Times New Roman" w:hAnsi="Times New Roman" w:eastAsia="方正仿宋_GBK" w:cs="Times New Roman"/>
          <w:kern w:val="0"/>
          <w:sz w:val="32"/>
          <w:szCs w:val="32"/>
          <w:shd w:val="clear" w:color="auto" w:fill="FFFFFF"/>
          <w:lang w:val="en-US" w:eastAsia="zh-CN" w:bidi="ar"/>
        </w:rPr>
        <w:t>年度</w:t>
      </w:r>
      <w:r>
        <w:rPr>
          <w:rFonts w:hint="eastAsia" w:eastAsia="方正仿宋_GBK" w:cs="Times New Roman"/>
          <w:kern w:val="0"/>
          <w:sz w:val="32"/>
          <w:szCs w:val="32"/>
          <w:shd w:val="clear" w:color="auto" w:fill="FFFFFF"/>
          <w:lang w:val="en-US" w:eastAsia="zh-CN" w:bidi="ar"/>
        </w:rPr>
        <w:t>25.31万元减少0.65</w:t>
      </w:r>
      <w:r>
        <w:rPr>
          <w:rFonts w:hint="default" w:ascii="Times New Roman" w:hAnsi="Times New Roman" w:eastAsia="方正仿宋_GBK" w:cs="Times New Roman"/>
          <w:kern w:val="0"/>
          <w:sz w:val="32"/>
          <w:szCs w:val="32"/>
          <w:shd w:val="clear" w:color="auto" w:fill="FFFFFF"/>
          <w:lang w:val="en-US" w:eastAsia="zh-CN" w:bidi="ar"/>
        </w:rPr>
        <w:t>万元，下降</w:t>
      </w:r>
      <w:r>
        <w:rPr>
          <w:rFonts w:hint="eastAsia" w:eastAsia="方正仿宋_GBK" w:cs="Times New Roman"/>
          <w:kern w:val="0"/>
          <w:sz w:val="32"/>
          <w:szCs w:val="32"/>
          <w:shd w:val="clear" w:color="auto" w:fill="FFFFFF"/>
          <w:lang w:val="en-US" w:eastAsia="zh-CN" w:bidi="ar"/>
        </w:rPr>
        <w:t>2.57</w:t>
      </w:r>
      <w:r>
        <w:rPr>
          <w:rFonts w:hint="default" w:ascii="Times New Roman" w:hAnsi="Times New Roman" w:eastAsia="方正仿宋_GBK" w:cs="Times New Roman"/>
          <w:kern w:val="0"/>
          <w:sz w:val="32"/>
          <w:szCs w:val="32"/>
          <w:shd w:val="clear" w:color="auto" w:fill="FFFFFF"/>
          <w:lang w:val="en-US" w:eastAsia="zh-CN" w:bidi="ar"/>
        </w:rPr>
        <w:t>%。主要原因是本年度厉行节约，压缩单位运行成本。本年年末单位由养老保险机构发放养老金的退休人员为8人，</w:t>
      </w:r>
      <w:r>
        <w:rPr>
          <w:rFonts w:hint="eastAsia" w:eastAsia="方正仿宋_GBK" w:cs="Times New Roman"/>
          <w:kern w:val="0"/>
          <w:sz w:val="32"/>
          <w:szCs w:val="32"/>
          <w:shd w:val="clear" w:color="auto" w:fill="FFFFFF"/>
          <w:lang w:val="en-US" w:eastAsia="zh-CN" w:bidi="ar"/>
        </w:rPr>
        <w:t>与</w:t>
      </w:r>
      <w:r>
        <w:rPr>
          <w:rFonts w:hint="default" w:ascii="Times New Roman" w:hAnsi="Times New Roman" w:eastAsia="方正仿宋_GBK" w:cs="Times New Roman"/>
          <w:kern w:val="0"/>
          <w:sz w:val="32"/>
          <w:szCs w:val="32"/>
          <w:shd w:val="clear" w:color="auto" w:fill="FFFFFF"/>
          <w:lang w:val="en-US" w:eastAsia="zh-CN" w:bidi="ar"/>
        </w:rPr>
        <w:t>上年</w:t>
      </w:r>
      <w:r>
        <w:rPr>
          <w:rFonts w:hint="eastAsia" w:eastAsia="方正仿宋_GBK" w:cs="Times New Roman"/>
          <w:kern w:val="0"/>
          <w:sz w:val="32"/>
          <w:szCs w:val="32"/>
          <w:shd w:val="clear" w:color="auto" w:fill="FFFFFF"/>
          <w:lang w:val="en-US" w:eastAsia="zh-CN" w:bidi="ar"/>
        </w:rPr>
        <w:t>持平。</w:t>
      </w:r>
    </w:p>
    <w:p w14:paraId="1B053E0B">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bookmarkStart w:id="80" w:name="_Toc15377223"/>
      <w:r>
        <w:rPr>
          <w:rFonts w:hint="default" w:ascii="Times New Roman" w:hAnsi="Times New Roman" w:eastAsia="仿宋" w:cs="Times New Roman"/>
          <w:b/>
          <w:sz w:val="32"/>
          <w:szCs w:val="32"/>
        </w:rPr>
        <w:t>（二）政府采购支出情况</w:t>
      </w:r>
      <w:bookmarkEnd w:id="80"/>
    </w:p>
    <w:p w14:paraId="1BC0CEB0">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年度，红原县宣传部政府采购支出总额0万元，其中：政府采购货物支出0万元、政府采购工程支出0万元、政府采购服务支出0万元。</w:t>
      </w:r>
    </w:p>
    <w:p w14:paraId="546EAB9D">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bookmarkStart w:id="81" w:name="_Toc15377224"/>
      <w:r>
        <w:rPr>
          <w:rFonts w:hint="default" w:ascii="Times New Roman" w:hAnsi="Times New Roman" w:eastAsia="仿宋" w:cs="Times New Roman"/>
          <w:b/>
          <w:sz w:val="32"/>
          <w:szCs w:val="32"/>
        </w:rPr>
        <w:t>（三）国有资产占有使用情况</w:t>
      </w:r>
      <w:bookmarkEnd w:id="81"/>
    </w:p>
    <w:p w14:paraId="079613AE">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截至202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年12月31日，红原县宣传部共有车辆</w:t>
      </w:r>
      <w:r>
        <w:rPr>
          <w:rFonts w:hint="eastAsia"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en-US" w:eastAsia="zh-CN" w:bidi="ar"/>
        </w:rPr>
        <w:t>辆，其中：一般公务用车</w:t>
      </w:r>
      <w:r>
        <w:rPr>
          <w:rFonts w:hint="eastAsia"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en-US" w:eastAsia="zh-CN" w:bidi="ar"/>
        </w:rPr>
        <w:t>辆，其中：越野车</w:t>
      </w:r>
      <w:r>
        <w:rPr>
          <w:rFonts w:hint="eastAsia"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en-US" w:eastAsia="zh-CN" w:bidi="ar"/>
        </w:rPr>
        <w:t>辆。</w:t>
      </w:r>
    </w:p>
    <w:p w14:paraId="5F51CFB2">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（四）预算绩效管理情况</w:t>
      </w:r>
    </w:p>
    <w:p w14:paraId="5D157A62">
      <w:pPr>
        <w:spacing w:line="600" w:lineRule="exact"/>
        <w:ind w:firstLine="640"/>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根据预算绩效管理要求，我单位根据工作规划和重点工作规划，积极履行职责，强化本单位预算管理，组织对202</w:t>
      </w:r>
      <w:r>
        <w:rPr>
          <w:rFonts w:hint="eastAsia"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en-US" w:eastAsia="zh-CN" w:bidi="ar"/>
        </w:rPr>
        <w:t>年度一般公共预算等全面开展绩效自评，形成部门整体绩效自评报告，绩效自评报告详见附件1。</w:t>
      </w:r>
    </w:p>
    <w:p w14:paraId="41BA39DF">
      <w:pPr>
        <w:pStyle w:val="40"/>
        <w:widowControl/>
        <w:snapToGrid w:val="0"/>
        <w:spacing w:before="0" w:beforeAutospacing="0"/>
        <w:ind w:firstLine="640" w:firstLineChars="200"/>
        <w:rPr>
          <w:rFonts w:hint="eastAsia" w:ascii="仿宋_GB2312" w:hAnsi="宋体" w:eastAsia="仿宋_GB2312" w:cs="仿宋_GB2312"/>
          <w:sz w:val="32"/>
          <w:szCs w:val="32"/>
          <w:highlight w:val="none"/>
          <w:lang w:eastAsia="zh-CN"/>
        </w:rPr>
      </w:pPr>
    </w:p>
    <w:p w14:paraId="44435284">
      <w:pPr>
        <w:pStyle w:val="3"/>
        <w:jc w:val="center"/>
        <w:rPr>
          <w:rStyle w:val="44"/>
          <w:rFonts w:hint="eastAsia" w:ascii="黑体" w:eastAsia="黑体"/>
          <w:b w:val="0"/>
          <w:bCs w:val="0"/>
        </w:rPr>
      </w:pPr>
      <w:bookmarkStart w:id="82" w:name="_Toc21900"/>
      <w:r>
        <w:rPr>
          <w:rStyle w:val="44"/>
          <w:rFonts w:hint="eastAsia" w:ascii="黑体" w:eastAsia="黑体"/>
          <w:b w:val="0"/>
          <w:bCs w:val="0"/>
        </w:rPr>
        <w:t>第三部分 名词解释</w:t>
      </w:r>
      <w:bookmarkEnd w:id="82"/>
    </w:p>
    <w:p w14:paraId="671F7C1F"/>
    <w:p w14:paraId="0A23A22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bookmarkStart w:id="83" w:name="_Toc20377"/>
      <w:bookmarkStart w:id="84" w:name="_Toc21113"/>
      <w:r>
        <w:rPr>
          <w:rFonts w:hint="default" w:ascii="Times New Roman" w:hAnsi="Times New Roman" w:eastAsia="方正仿宋_GBK" w:cs="Times New Roman"/>
          <w:kern w:val="0"/>
          <w:sz w:val="32"/>
          <w:szCs w:val="32"/>
          <w:shd w:val="clear" w:color="auto" w:fill="FFFFFF"/>
          <w:lang w:val="zh-CN" w:eastAsia="zh-CN" w:bidi="ar"/>
        </w:rPr>
        <w:t>1.财政拨款收入：指单位从同级财政部门取得的财政预算资金。</w:t>
      </w:r>
      <w:bookmarkEnd w:id="83"/>
      <w:bookmarkEnd w:id="84"/>
    </w:p>
    <w:p w14:paraId="457C62F0">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2.事业收入：指事业单位开展专业业务活动及辅助活动取得的收入。</w:t>
      </w:r>
    </w:p>
    <w:p w14:paraId="1743EB3F">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3.经营收入：指事业单位在专业业务活动及其辅助活动之外开展非独立核算经营活动取得的收入。</w:t>
      </w:r>
    </w:p>
    <w:p w14:paraId="01CF962E">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bookmarkStart w:id="85" w:name="_Toc31663"/>
      <w:r>
        <w:rPr>
          <w:rFonts w:hint="default" w:ascii="Times New Roman" w:hAnsi="Times New Roman" w:eastAsia="方正仿宋_GBK" w:cs="Times New Roman"/>
          <w:kern w:val="0"/>
          <w:sz w:val="32"/>
          <w:szCs w:val="32"/>
          <w:shd w:val="clear" w:color="auto" w:fill="FFFFFF"/>
          <w:lang w:val="zh-CN" w:eastAsia="zh-CN" w:bidi="ar"/>
        </w:rPr>
        <w:t>4.其他收入：指单位取得的除上述收入以外的各项收入。</w:t>
      </w:r>
      <w:bookmarkEnd w:id="85"/>
    </w:p>
    <w:p w14:paraId="444BCF6D">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 xml:space="preserve">5.使用非财政拨款结余（含专用结余）：指事业单位使用以前年度积累的非财政拨款结余弥补当年收支差额的金额。 </w:t>
      </w:r>
    </w:p>
    <w:p w14:paraId="63EB541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 xml:space="preserve">6.年初结转和结余：指以前年度尚未完成、结转到本年按有关规定继续使用的资金。 </w:t>
      </w:r>
    </w:p>
    <w:p w14:paraId="1393529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7.结余分配：指事业单位按照会计制度规定缴纳的所得税、提取的专用结余以及转入非财政拨款结余的金额等。</w:t>
      </w:r>
    </w:p>
    <w:p w14:paraId="4A8FE5A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8.年末结转和结余：指单位按有关规定结转到下年或以后年度继续使用的资金。</w:t>
      </w:r>
    </w:p>
    <w:p w14:paraId="4026D7F8">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9.201</w:t>
      </w:r>
      <w:r>
        <w:rPr>
          <w:rFonts w:hint="default" w:ascii="Times New Roman" w:hAnsi="Times New Roman" w:eastAsia="方正仿宋_GBK" w:cs="Times New Roman"/>
          <w:kern w:val="0"/>
          <w:sz w:val="32"/>
          <w:szCs w:val="32"/>
          <w:shd w:val="clear" w:color="auto" w:fill="FFFFFF"/>
          <w:lang w:val="en-US" w:eastAsia="zh-CN" w:bidi="ar"/>
        </w:rPr>
        <w:t>3</w:t>
      </w:r>
      <w:r>
        <w:rPr>
          <w:rFonts w:hint="default" w:ascii="Times New Roman" w:hAnsi="Times New Roman" w:eastAsia="方正仿宋_GBK" w:cs="Times New Roman"/>
          <w:kern w:val="0"/>
          <w:sz w:val="32"/>
          <w:szCs w:val="32"/>
          <w:shd w:val="clear" w:color="auto" w:fill="FFFFFF"/>
          <w:lang w:val="zh-CN" w:eastAsia="zh-CN" w:bidi="ar"/>
        </w:rPr>
        <w:t>301行政运行：指行政单位（包括实行公务员管理的事业单位）的基本支出。</w:t>
      </w:r>
    </w:p>
    <w:p w14:paraId="100AB6C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10.2013302一般行政管理事务:指反映行政单位(包括实行公务员管理的事业单位)未单独设置项级科目的其他项目支出。</w:t>
      </w:r>
    </w:p>
    <w:p w14:paraId="65F8865F">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11.</w:t>
      </w:r>
      <w:r>
        <w:rPr>
          <w:rFonts w:hint="default" w:ascii="Times New Roman" w:hAnsi="Times New Roman" w:eastAsia="方正仿宋_GBK" w:cs="Times New Roman"/>
          <w:kern w:val="0"/>
          <w:sz w:val="32"/>
          <w:szCs w:val="32"/>
          <w:shd w:val="clear" w:color="auto" w:fill="FFFFFF"/>
          <w:lang w:val="zh-CN" w:eastAsia="zh-CN" w:bidi="ar"/>
        </w:rPr>
        <w:t>2013350事业运行:指反映事业单位的基本支出,不包括行政单位(包括实行公务员管理的事业单位)后勤服务中心、医务室等附属事业单位。</w:t>
      </w:r>
    </w:p>
    <w:p w14:paraId="13670C5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12</w:t>
      </w:r>
      <w:r>
        <w:rPr>
          <w:rFonts w:hint="default" w:ascii="Times New Roman" w:hAnsi="Times New Roman" w:eastAsia="方正仿宋_GBK" w:cs="Times New Roman"/>
          <w:kern w:val="0"/>
          <w:sz w:val="32"/>
          <w:szCs w:val="32"/>
          <w:shd w:val="clear" w:color="auto" w:fill="FFFFFF"/>
          <w:lang w:val="zh-CN" w:eastAsia="zh-CN" w:bidi="ar"/>
        </w:rPr>
        <w:t>.2080505社会保障和就业：指机关事业单位基本养老保险缴费支出。</w:t>
      </w:r>
    </w:p>
    <w:p w14:paraId="6D1E53F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13.2050806机关事业单位职业年金缴费支出：指机关事业单位职业年金缴费支出</w:t>
      </w:r>
      <w:r>
        <w:rPr>
          <w:rFonts w:hint="default" w:ascii="Times New Roman" w:hAnsi="Times New Roman" w:eastAsia="方正仿宋_GBK" w:cs="Times New Roman"/>
          <w:kern w:val="0"/>
          <w:sz w:val="32"/>
          <w:szCs w:val="32"/>
          <w:shd w:val="clear" w:color="auto" w:fill="FFFFFF"/>
          <w:lang w:val="zh-CN" w:eastAsia="zh-CN" w:bidi="ar"/>
        </w:rPr>
        <w:t>。</w:t>
      </w:r>
    </w:p>
    <w:p w14:paraId="42C39BDD">
      <w:pPr>
        <w:spacing w:line="600" w:lineRule="exact"/>
        <w:ind w:left="638" w:leftChars="304" w:firstLine="0" w:firstLineChars="0"/>
        <w:jc w:val="left"/>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14</w:t>
      </w:r>
      <w:r>
        <w:rPr>
          <w:rFonts w:hint="default"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en-US" w:eastAsia="zh-CN" w:bidi="ar"/>
        </w:rPr>
        <w:t>2101101</w:t>
      </w:r>
      <w:r>
        <w:rPr>
          <w:rFonts w:hint="default" w:ascii="Times New Roman" w:hAnsi="Times New Roman" w:eastAsia="方正仿宋_GBK" w:cs="Times New Roman"/>
          <w:kern w:val="0"/>
          <w:sz w:val="32"/>
          <w:szCs w:val="32"/>
          <w:shd w:val="clear" w:color="auto" w:fill="FFFFFF"/>
          <w:lang w:val="zh-CN" w:eastAsia="zh-CN" w:bidi="ar"/>
        </w:rPr>
        <w:t>行政单位医疗：指行政单位医疗支出。</w:t>
      </w:r>
      <w:r>
        <w:rPr>
          <w:rFonts w:hint="default" w:ascii="Times New Roman" w:hAnsi="Times New Roman" w:eastAsia="方正仿宋_GBK" w:cs="Times New Roman"/>
          <w:kern w:val="0"/>
          <w:sz w:val="32"/>
          <w:szCs w:val="32"/>
          <w:shd w:val="clear" w:color="auto" w:fill="FFFFFF"/>
          <w:lang w:val="en-US" w:eastAsia="zh-CN" w:bidi="ar"/>
        </w:rPr>
        <w:t>15.2101102事业单位医疗：指事业单位医疗支出。</w:t>
      </w:r>
    </w:p>
    <w:p w14:paraId="503112AF">
      <w:pPr>
        <w:spacing w:line="600" w:lineRule="exact"/>
        <w:ind w:left="638" w:leftChars="304" w:firstLine="0" w:firstLineChars="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16.2101103公务员医疗补助：指公务员医疗补助支出。17.2101199其他行政事业单位医疗支出：指其他行政事业单位医疗支出</w:t>
      </w:r>
      <w:r>
        <w:rPr>
          <w:rFonts w:hint="default" w:ascii="Times New Roman" w:hAnsi="Times New Roman" w:eastAsia="方正仿宋_GBK" w:cs="Times New Roman"/>
          <w:kern w:val="0"/>
          <w:sz w:val="32"/>
          <w:szCs w:val="32"/>
          <w:shd w:val="clear" w:color="auto" w:fill="FFFFFF"/>
          <w:lang w:val="zh-CN" w:eastAsia="zh-CN" w:bidi="ar"/>
        </w:rPr>
        <w:t>。</w:t>
      </w:r>
    </w:p>
    <w:p w14:paraId="771F02F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18</w:t>
      </w:r>
      <w:r>
        <w:rPr>
          <w:rFonts w:hint="default"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en-US" w:eastAsia="zh-CN" w:bidi="ar"/>
        </w:rPr>
        <w:t>2210201</w:t>
      </w:r>
      <w:r>
        <w:rPr>
          <w:rFonts w:hint="default" w:ascii="Times New Roman" w:hAnsi="Times New Roman" w:eastAsia="方正仿宋_GBK" w:cs="Times New Roman"/>
          <w:kern w:val="0"/>
          <w:sz w:val="32"/>
          <w:szCs w:val="32"/>
          <w:shd w:val="clear" w:color="auto" w:fill="FFFFFF"/>
          <w:lang w:val="zh-CN" w:eastAsia="zh-CN" w:bidi="ar"/>
        </w:rPr>
        <w:t>住房保障：指住房公积金支出。</w:t>
      </w:r>
    </w:p>
    <w:p w14:paraId="50FB1265">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19</w:t>
      </w:r>
      <w:r>
        <w:rPr>
          <w:rFonts w:hint="default" w:ascii="Times New Roman" w:hAnsi="Times New Roman" w:eastAsia="方正仿宋_GBK" w:cs="Times New Roman"/>
          <w:kern w:val="0"/>
          <w:sz w:val="32"/>
          <w:szCs w:val="32"/>
          <w:shd w:val="clear" w:color="auto" w:fill="FFFFFF"/>
          <w:lang w:val="zh-CN" w:eastAsia="zh-CN" w:bidi="ar"/>
        </w:rPr>
        <w:t>.基本支出：指为保障机构正常运转、完成日常工作任务而发生的人员支出和公用支出。</w:t>
      </w:r>
    </w:p>
    <w:p w14:paraId="46F41CB0">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20</w:t>
      </w:r>
      <w:r>
        <w:rPr>
          <w:rFonts w:hint="default" w:ascii="Times New Roman" w:hAnsi="Times New Roman" w:eastAsia="方正仿宋_GBK" w:cs="Times New Roman"/>
          <w:kern w:val="0"/>
          <w:sz w:val="32"/>
          <w:szCs w:val="32"/>
          <w:shd w:val="clear" w:color="auto" w:fill="FFFFFF"/>
          <w:lang w:val="zh-CN" w:eastAsia="zh-CN" w:bidi="ar"/>
        </w:rPr>
        <w:t xml:space="preserve">.项目支出：指在基本支出之外为完成特定行政任务和事业发展目标所发生的支出。 </w:t>
      </w:r>
    </w:p>
    <w:p w14:paraId="2A377911">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21</w:t>
      </w:r>
      <w:r>
        <w:rPr>
          <w:rFonts w:hint="default" w:ascii="Times New Roman" w:hAnsi="Times New Roman" w:eastAsia="方正仿宋_GBK" w:cs="Times New Roman"/>
          <w:kern w:val="0"/>
          <w:sz w:val="32"/>
          <w:szCs w:val="32"/>
          <w:shd w:val="clear" w:color="auto" w:fill="FFFFFF"/>
          <w:lang w:val="zh-CN" w:eastAsia="zh-CN" w:bidi="ar"/>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B9398B2">
      <w:pPr>
        <w:spacing w:line="600" w:lineRule="exact"/>
        <w:ind w:firstLine="640"/>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22.机关运行经</w:t>
      </w:r>
      <w:r>
        <w:rPr>
          <w:rFonts w:hint="default" w:ascii="Times New Roman" w:hAnsi="Times New Roman" w:eastAsia="方正仿宋_GBK" w:cs="Times New Roman"/>
          <w:kern w:val="0"/>
          <w:sz w:val="32"/>
          <w:szCs w:val="32"/>
          <w:shd w:val="clear" w:color="auto" w:fill="FFFFFF"/>
          <w:lang w:val="zh-CN" w:eastAsia="zh-CN" w:bidi="ar"/>
        </w:rPr>
        <w:t>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5C8175">
      <w:pPr>
        <w:rPr>
          <w:rStyle w:val="44"/>
          <w:rFonts w:hint="default" w:ascii="Times New Roman" w:hAnsi="Times New Roman" w:eastAsia="黑体" w:cs="Times New Roman"/>
          <w:b w:val="0"/>
          <w:bCs w:val="0"/>
        </w:rPr>
      </w:pPr>
    </w:p>
    <w:p w14:paraId="59409F38">
      <w:pPr>
        <w:pStyle w:val="2"/>
        <w:rPr>
          <w:rFonts w:hint="default"/>
        </w:rPr>
      </w:pPr>
    </w:p>
    <w:p w14:paraId="40636E13">
      <w:pPr>
        <w:pStyle w:val="19"/>
        <w:rPr>
          <w:rFonts w:hint="default"/>
        </w:rPr>
      </w:pPr>
    </w:p>
    <w:p w14:paraId="189AAF5E">
      <w:pPr>
        <w:pStyle w:val="3"/>
        <w:jc w:val="center"/>
        <w:rPr>
          <w:rStyle w:val="44"/>
          <w:rFonts w:hint="default" w:ascii="Times New Roman" w:hAnsi="Times New Roman" w:eastAsia="黑体" w:cs="Times New Roman"/>
          <w:b w:val="0"/>
          <w:bCs w:val="0"/>
        </w:rPr>
      </w:pPr>
      <w:bookmarkStart w:id="86" w:name="_Toc14352"/>
      <w:r>
        <w:rPr>
          <w:rStyle w:val="44"/>
          <w:rFonts w:hint="default" w:ascii="Times New Roman" w:hAnsi="Times New Roman" w:eastAsia="黑体" w:cs="Times New Roman"/>
          <w:b w:val="0"/>
          <w:bCs w:val="0"/>
        </w:rPr>
        <w:t>第四部分 附件</w:t>
      </w:r>
      <w:bookmarkEnd w:id="86"/>
    </w:p>
    <w:p w14:paraId="092D2BFD">
      <w:pPr>
        <w:rPr>
          <w:rFonts w:hint="default" w:ascii="Times New Roman" w:hAnsi="Times New Roman" w:cs="Times New Roman"/>
        </w:rPr>
      </w:pPr>
    </w:p>
    <w:p w14:paraId="12BD6654">
      <w:pPr>
        <w:outlineLvl w:val="1"/>
        <w:rPr>
          <w:rFonts w:hint="default" w:ascii="Times New Roman" w:hAnsi="Times New Roman" w:eastAsia="黑体" w:cs="Times New Roman"/>
          <w:sz w:val="32"/>
          <w:szCs w:val="32"/>
        </w:rPr>
      </w:pPr>
      <w:bookmarkStart w:id="87" w:name="_Toc23770"/>
      <w:bookmarkStart w:id="88" w:name="_Toc741"/>
      <w:bookmarkStart w:id="89" w:name="_Toc21307"/>
      <w:r>
        <w:rPr>
          <w:rFonts w:hint="default" w:ascii="Times New Roman" w:hAnsi="Times New Roman" w:eastAsia="黑体" w:cs="Times New Roman"/>
          <w:sz w:val="32"/>
          <w:szCs w:val="32"/>
        </w:rPr>
        <w:t>附件1</w:t>
      </w:r>
      <w:bookmarkEnd w:id="87"/>
      <w:bookmarkEnd w:id="88"/>
      <w:bookmarkEnd w:id="89"/>
    </w:p>
    <w:p w14:paraId="6B3D5603">
      <w:pPr>
        <w:keepNext w:val="0"/>
        <w:keepLines w:val="0"/>
        <w:pageBreakBefore w:val="0"/>
        <w:widowControl/>
        <w:kinsoku/>
        <w:wordWrap/>
        <w:overflowPunct/>
        <w:topLinePunct w:val="0"/>
        <w:autoSpaceDE/>
        <w:autoSpaceDN/>
        <w:bidi w:val="0"/>
        <w:spacing w:line="560" w:lineRule="exact"/>
        <w:contextualSpacing/>
        <w:jc w:val="center"/>
        <w:textAlignment w:val="auto"/>
        <w:rPr>
          <w:rFonts w:hint="default" w:ascii="Times New Roman" w:hAnsi="Times New Roman" w:eastAsia="方正小标宋_GBK" w:cs="Times New Roman"/>
          <w:b w:val="0"/>
          <w:bCs/>
          <w:sz w:val="44"/>
          <w:szCs w:val="44"/>
          <w:shd w:val="clear" w:color="auto" w:fill="FFFFFF"/>
          <w:lang w:eastAsia="zh-CN"/>
        </w:rPr>
      </w:pPr>
      <w:r>
        <w:rPr>
          <w:rFonts w:hint="default" w:ascii="Times New Roman" w:hAnsi="Times New Roman" w:eastAsia="方正小标宋_GBK" w:cs="Times New Roman"/>
          <w:b w:val="0"/>
          <w:bCs/>
          <w:sz w:val="44"/>
          <w:szCs w:val="44"/>
          <w:shd w:val="clear" w:color="auto" w:fill="FFFFFF"/>
          <w:lang w:eastAsia="zh-CN"/>
        </w:rPr>
        <w:t>中共红原县委宣传部</w:t>
      </w:r>
    </w:p>
    <w:p w14:paraId="76E8D5B2">
      <w:pPr>
        <w:keepNext w:val="0"/>
        <w:keepLines w:val="0"/>
        <w:pageBreakBefore w:val="0"/>
        <w:widowControl/>
        <w:kinsoku/>
        <w:wordWrap/>
        <w:overflowPunct/>
        <w:topLinePunct w:val="0"/>
        <w:autoSpaceDE/>
        <w:autoSpaceDN/>
        <w:bidi w:val="0"/>
        <w:spacing w:line="560" w:lineRule="exact"/>
        <w:contextualSpacing/>
        <w:jc w:val="center"/>
        <w:textAlignment w:val="auto"/>
        <w:rPr>
          <w:rFonts w:hint="default" w:ascii="Times New Roman" w:hAnsi="Times New Roman" w:eastAsia="方正小标宋_GBK" w:cs="Times New Roman"/>
          <w:b w:val="0"/>
          <w:bCs/>
          <w:sz w:val="44"/>
          <w:szCs w:val="44"/>
          <w:shd w:val="clear" w:color="auto" w:fill="FFFFFF"/>
        </w:rPr>
      </w:pPr>
      <w:r>
        <w:rPr>
          <w:rFonts w:hint="default" w:ascii="Times New Roman" w:hAnsi="Times New Roman" w:eastAsia="方正小标宋_GBK" w:cs="Times New Roman"/>
          <w:b w:val="0"/>
          <w:bCs/>
          <w:sz w:val="44"/>
          <w:szCs w:val="44"/>
          <w:shd w:val="clear" w:color="auto" w:fill="FFFFFF"/>
        </w:rPr>
        <w:t>2</w:t>
      </w:r>
      <w:r>
        <w:rPr>
          <w:rFonts w:hint="default" w:ascii="Times New Roman" w:hAnsi="Times New Roman" w:eastAsia="方正小标宋_GBK" w:cs="Times New Roman"/>
          <w:b w:val="0"/>
          <w:bCs/>
          <w:sz w:val="44"/>
          <w:szCs w:val="44"/>
          <w:shd w:val="clear" w:color="auto" w:fill="FFFFFF"/>
          <w:lang w:val="en-US" w:eastAsia="zh-CN"/>
        </w:rPr>
        <w:t>02</w:t>
      </w:r>
      <w:r>
        <w:rPr>
          <w:rFonts w:hint="eastAsia" w:eastAsia="方正小标宋_GBK" w:cs="Times New Roman"/>
          <w:b w:val="0"/>
          <w:bCs/>
          <w:sz w:val="44"/>
          <w:szCs w:val="44"/>
          <w:shd w:val="clear" w:color="auto" w:fill="FFFFFF"/>
          <w:lang w:val="en-US" w:eastAsia="zh-CN"/>
        </w:rPr>
        <w:t>4</w:t>
      </w:r>
      <w:r>
        <w:rPr>
          <w:rFonts w:hint="default" w:ascii="Times New Roman" w:hAnsi="Times New Roman" w:eastAsia="方正小标宋_GBK" w:cs="Times New Roman"/>
          <w:b w:val="0"/>
          <w:bCs/>
          <w:sz w:val="44"/>
          <w:szCs w:val="44"/>
          <w:shd w:val="clear" w:color="auto" w:fill="FFFFFF"/>
        </w:rPr>
        <w:t>年</w:t>
      </w:r>
      <w:r>
        <w:rPr>
          <w:rFonts w:hint="default" w:ascii="Times New Roman" w:hAnsi="Times New Roman" w:eastAsia="方正小标宋_GBK" w:cs="Times New Roman"/>
          <w:b w:val="0"/>
          <w:bCs/>
          <w:sz w:val="44"/>
          <w:szCs w:val="44"/>
          <w:shd w:val="clear" w:color="auto" w:fill="FFFFFF"/>
          <w:lang w:eastAsia="zh-CN"/>
        </w:rPr>
        <w:t>度</w:t>
      </w:r>
      <w:r>
        <w:rPr>
          <w:rFonts w:hint="default" w:ascii="Times New Roman" w:hAnsi="Times New Roman" w:eastAsia="方正小标宋_GBK" w:cs="Times New Roman"/>
          <w:b w:val="0"/>
          <w:bCs/>
          <w:sz w:val="44"/>
          <w:szCs w:val="44"/>
          <w:shd w:val="clear" w:color="auto" w:fill="FFFFFF"/>
        </w:rPr>
        <w:t>部门整体支出绩效评价</w:t>
      </w:r>
      <w:r>
        <w:rPr>
          <w:rFonts w:hint="default" w:ascii="Times New Roman" w:hAnsi="Times New Roman" w:eastAsia="方正小标宋_GBK" w:cs="Times New Roman"/>
          <w:b w:val="0"/>
          <w:bCs/>
          <w:sz w:val="44"/>
          <w:szCs w:val="44"/>
          <w:shd w:val="clear" w:color="auto" w:fill="FFFFFF"/>
          <w:lang w:eastAsia="zh-CN"/>
        </w:rPr>
        <w:t>自评</w:t>
      </w:r>
      <w:r>
        <w:rPr>
          <w:rFonts w:hint="default" w:ascii="Times New Roman" w:hAnsi="Times New Roman" w:eastAsia="方正小标宋_GBK" w:cs="Times New Roman"/>
          <w:b w:val="0"/>
          <w:bCs/>
          <w:sz w:val="44"/>
          <w:szCs w:val="44"/>
          <w:shd w:val="clear" w:color="auto" w:fill="FFFFFF"/>
        </w:rPr>
        <w:t>报告</w:t>
      </w:r>
    </w:p>
    <w:p w14:paraId="6682E568">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hint="default" w:ascii="Times New Roman" w:hAnsi="Times New Roman" w:eastAsia="黑体" w:cs="Times New Roman"/>
          <w:color w:val="000000"/>
          <w:kern w:val="0"/>
          <w:sz w:val="24"/>
          <w:szCs w:val="32"/>
          <w:shd w:val="clear" w:color="auto" w:fill="FFFFFF"/>
        </w:rPr>
      </w:pPr>
    </w:p>
    <w:p w14:paraId="7512836F">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lang w:val="zh-CN"/>
        </w:rPr>
      </w:pPr>
      <w:bookmarkStart w:id="90" w:name="_Toc2503"/>
      <w:r>
        <w:rPr>
          <w:rFonts w:hint="default" w:ascii="Times New Roman" w:hAnsi="Times New Roman" w:eastAsia="方正黑体_GBK" w:cs="Times New Roman"/>
          <w:color w:val="000000"/>
          <w:kern w:val="0"/>
          <w:sz w:val="32"/>
          <w:szCs w:val="32"/>
          <w:shd w:val="clear" w:color="auto" w:fill="FFFFFF"/>
        </w:rPr>
        <w:t>一、</w:t>
      </w:r>
      <w:r>
        <w:rPr>
          <w:rFonts w:hint="default" w:ascii="Times New Roman" w:hAnsi="Times New Roman" w:eastAsia="方正黑体_GBK" w:cs="Times New Roman"/>
          <w:color w:val="000000"/>
          <w:kern w:val="0"/>
          <w:sz w:val="32"/>
          <w:szCs w:val="32"/>
          <w:shd w:val="clear" w:color="auto" w:fill="FFFFFF"/>
          <w:lang w:val="zh-CN"/>
        </w:rPr>
        <w:t>部门（单位）概况</w:t>
      </w:r>
      <w:bookmarkEnd w:id="90"/>
    </w:p>
    <w:p w14:paraId="006B6824">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（一）机构组成</w:t>
      </w:r>
    </w:p>
    <w:p w14:paraId="3EDAB0EB">
      <w:pPr>
        <w:keepNext w:val="0"/>
        <w:keepLines w:val="0"/>
        <w:pageBreakBefore w:val="0"/>
        <w:kinsoku/>
        <w:overflowPunct/>
        <w:topLinePunct w:val="0"/>
        <w:autoSpaceDE/>
        <w:autoSpaceDN/>
        <w:bidi w:val="0"/>
        <w:spacing w:line="576" w:lineRule="exact"/>
        <w:ind w:firstLine="64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zh-CN" w:eastAsia="zh-CN" w:bidi="ar"/>
        </w:rPr>
        <w:t>中共红原县委宣传部是行政单位，执行行政单位会计制度，我部下属二级决算单位0个，其中行政单位</w:t>
      </w:r>
      <w:r>
        <w:rPr>
          <w:rFonts w:hint="default" w:ascii="Times New Roman" w:hAnsi="Times New Roman"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zh-CN" w:eastAsia="zh-CN" w:bidi="ar"/>
        </w:rPr>
        <w:t>个，参照公务员法管理的事业单位0个，其他事业单位</w:t>
      </w:r>
      <w:r>
        <w:rPr>
          <w:rFonts w:hint="default" w:ascii="Times New Roman" w:hAnsi="Times New Roman" w:eastAsia="方正仿宋_GBK" w:cs="Times New Roman"/>
          <w:kern w:val="0"/>
          <w:sz w:val="32"/>
          <w:szCs w:val="32"/>
          <w:shd w:val="clear" w:color="auto" w:fill="FFFFFF"/>
          <w:lang w:val="en-US" w:eastAsia="zh-CN" w:bidi="ar"/>
        </w:rPr>
        <w:t>1</w:t>
      </w:r>
      <w:r>
        <w:rPr>
          <w:rFonts w:hint="default" w:ascii="Times New Roman" w:hAnsi="Times New Roman" w:eastAsia="方正仿宋_GBK" w:cs="Times New Roman"/>
          <w:kern w:val="0"/>
          <w:sz w:val="32"/>
          <w:szCs w:val="32"/>
          <w:shd w:val="clear" w:color="auto" w:fill="FFFFFF"/>
          <w:lang w:val="zh-CN" w:eastAsia="zh-CN" w:bidi="ar"/>
        </w:rPr>
        <w:t xml:space="preserve">个。是独立核算的机构，是独立编报决算的单位。 </w:t>
      </w:r>
    </w:p>
    <w:p w14:paraId="1C609872">
      <w:pPr>
        <w:keepNext w:val="0"/>
        <w:keepLines w:val="0"/>
        <w:pageBreakBefore w:val="0"/>
        <w:kinsoku/>
        <w:wordWrap/>
        <w:overflowPunct/>
        <w:topLinePunct w:val="0"/>
        <w:autoSpaceDE/>
        <w:autoSpaceDN/>
        <w:bidi w:val="0"/>
        <w:adjustRightInd w:val="0"/>
        <w:snapToGrid w:val="0"/>
        <w:spacing w:line="576" w:lineRule="exact"/>
        <w:ind w:firstLine="720"/>
        <w:textAlignment w:val="auto"/>
        <w:rPr>
          <w:rFonts w:hint="default" w:ascii="Times New Roman" w:hAnsi="Times New Roman" w:eastAsia="方正楷体_GBK" w:cs="Times New Roman"/>
          <w:b/>
          <w:sz w:val="32"/>
          <w:szCs w:val="32"/>
          <w:lang w:val="zh-CN"/>
        </w:rPr>
      </w:pPr>
      <w:r>
        <w:rPr>
          <w:rFonts w:hint="eastAsia" w:ascii="Times New Roman" w:hAnsi="Times New Roman" w:eastAsia="方正楷体_GBK" w:cs="Times New Roman"/>
          <w:b/>
          <w:sz w:val="32"/>
          <w:szCs w:val="32"/>
          <w:lang w:val="zh-CN"/>
        </w:rPr>
        <w:t>（二）</w:t>
      </w:r>
      <w:r>
        <w:rPr>
          <w:rFonts w:hint="default" w:ascii="Times New Roman" w:hAnsi="Times New Roman" w:eastAsia="方正楷体_GBK" w:cs="Times New Roman"/>
          <w:b/>
          <w:sz w:val="32"/>
          <w:szCs w:val="32"/>
          <w:lang w:val="zh-CN"/>
        </w:rPr>
        <w:t>机构职能</w:t>
      </w:r>
    </w:p>
    <w:p w14:paraId="12EB0E8F">
      <w:pPr>
        <w:keepNext w:val="0"/>
        <w:keepLines w:val="0"/>
        <w:pageBreakBefore w:val="0"/>
        <w:kinsoku/>
        <w:overflowPunct/>
        <w:topLinePunct w:val="0"/>
        <w:autoSpaceDE/>
        <w:autoSpaceDN/>
        <w:bidi w:val="0"/>
        <w:spacing w:line="576" w:lineRule="exact"/>
        <w:ind w:firstLine="640"/>
        <w:textAlignment w:val="auto"/>
        <w:rPr>
          <w:rFonts w:hint="default"/>
          <w:lang w:val="zh-CN"/>
        </w:rPr>
      </w:pPr>
      <w:r>
        <w:rPr>
          <w:rFonts w:hint="eastAsia" w:ascii="Times New Roman" w:hAnsi="Times New Roman" w:eastAsia="方正仿宋_GBK" w:cs="Times New Roman"/>
          <w:kern w:val="0"/>
          <w:sz w:val="32"/>
          <w:szCs w:val="32"/>
          <w:shd w:val="clear" w:color="auto" w:fill="FFFFFF"/>
          <w:lang w:val="en-US" w:eastAsia="zh-CN" w:bidi="ar"/>
        </w:rPr>
        <w:t>一是</w:t>
      </w:r>
      <w:r>
        <w:rPr>
          <w:rFonts w:hint="eastAsia" w:ascii="Times New Roman" w:hAnsi="Times New Roman" w:eastAsia="方正仿宋_GBK" w:cs="Times New Roman"/>
          <w:kern w:val="0"/>
          <w:sz w:val="32"/>
          <w:szCs w:val="32"/>
          <w:shd w:val="clear" w:color="auto" w:fill="FFFFFF"/>
          <w:lang w:val="zh-CN" w:eastAsia="zh-CN" w:bidi="ar"/>
        </w:rPr>
        <w:t>负责组织、指导全县的理论研究、理论学习和理论宣传工作。</w:t>
      </w:r>
      <w:r>
        <w:rPr>
          <w:rFonts w:hint="eastAsia" w:ascii="Times New Roman" w:hAnsi="Times New Roman" w:eastAsia="方正仿宋_GBK" w:cs="Times New Roman"/>
          <w:kern w:val="0"/>
          <w:sz w:val="32"/>
          <w:szCs w:val="32"/>
          <w:shd w:val="clear" w:color="auto" w:fill="FFFFFF"/>
          <w:lang w:val="en-US" w:eastAsia="zh-CN" w:bidi="ar"/>
        </w:rPr>
        <w:t>二是</w:t>
      </w:r>
      <w:r>
        <w:rPr>
          <w:rFonts w:hint="eastAsia" w:ascii="Times New Roman" w:hAnsi="Times New Roman" w:eastAsia="方正仿宋_GBK" w:cs="Times New Roman"/>
          <w:kern w:val="0"/>
          <w:sz w:val="32"/>
          <w:szCs w:val="32"/>
          <w:shd w:val="clear" w:color="auto" w:fill="FFFFFF"/>
          <w:lang w:val="zh-CN" w:eastAsia="zh-CN" w:bidi="ar"/>
        </w:rPr>
        <w:t>负责引导社会舆论，指导协调新闻、出版部门的工作。对县广播电视局、县文化体育局、县新闻出版工作实施方案方针政策指导，管理县记者协会，并在政治方向和方针政策方面实施领导。</w:t>
      </w:r>
      <w:r>
        <w:rPr>
          <w:rFonts w:hint="eastAsia" w:ascii="Times New Roman" w:hAnsi="Times New Roman" w:eastAsia="方正仿宋_GBK" w:cs="Times New Roman"/>
          <w:kern w:val="0"/>
          <w:sz w:val="32"/>
          <w:szCs w:val="32"/>
          <w:shd w:val="clear" w:color="auto" w:fill="FFFFFF"/>
          <w:lang w:val="en-US" w:eastAsia="zh-CN" w:bidi="ar"/>
        </w:rPr>
        <w:t>三是</w:t>
      </w:r>
      <w:r>
        <w:rPr>
          <w:rFonts w:hint="eastAsia" w:ascii="Times New Roman" w:hAnsi="Times New Roman" w:eastAsia="方正仿宋_GBK" w:cs="Times New Roman"/>
          <w:kern w:val="0"/>
          <w:sz w:val="32"/>
          <w:szCs w:val="32"/>
          <w:shd w:val="clear" w:color="auto" w:fill="FFFFFF"/>
          <w:lang w:val="zh-CN" w:eastAsia="zh-CN" w:bidi="ar"/>
        </w:rPr>
        <w:t>负责规划、部署全局性的思想政治工作任务，会同有关部门研究和改进群众思想教育工作。</w:t>
      </w:r>
      <w:r>
        <w:rPr>
          <w:rFonts w:hint="eastAsia" w:ascii="Times New Roman" w:hAnsi="Times New Roman" w:eastAsia="方正仿宋_GBK" w:cs="Times New Roman"/>
          <w:kern w:val="0"/>
          <w:sz w:val="32"/>
          <w:szCs w:val="32"/>
          <w:shd w:val="clear" w:color="auto" w:fill="FFFFFF"/>
          <w:lang w:val="en-US" w:eastAsia="zh-CN" w:bidi="ar"/>
        </w:rPr>
        <w:t>四是</w:t>
      </w:r>
      <w:r>
        <w:rPr>
          <w:rFonts w:hint="eastAsia" w:ascii="Times New Roman" w:hAnsi="Times New Roman" w:eastAsia="方正仿宋_GBK" w:cs="Times New Roman"/>
          <w:kern w:val="0"/>
          <w:sz w:val="32"/>
          <w:szCs w:val="32"/>
          <w:shd w:val="clear" w:color="auto" w:fill="FFFFFF"/>
          <w:lang w:val="zh-CN" w:eastAsia="zh-CN" w:bidi="ar"/>
        </w:rPr>
        <w:t>负责指导、协调全县精神文明建设活动的开展。</w:t>
      </w:r>
      <w:r>
        <w:rPr>
          <w:rFonts w:hint="eastAsia" w:ascii="Times New Roman" w:hAnsi="Times New Roman" w:eastAsia="方正仿宋_GBK" w:cs="Times New Roman"/>
          <w:kern w:val="0"/>
          <w:sz w:val="32"/>
          <w:szCs w:val="32"/>
          <w:shd w:val="clear" w:color="auto" w:fill="FFFFFF"/>
          <w:lang w:val="en-US" w:eastAsia="zh-CN" w:bidi="ar"/>
        </w:rPr>
        <w:t>五是</w:t>
      </w:r>
      <w:r>
        <w:rPr>
          <w:rFonts w:hint="eastAsia" w:ascii="Times New Roman" w:hAnsi="Times New Roman" w:eastAsia="方正仿宋_GBK" w:cs="Times New Roman"/>
          <w:kern w:val="0"/>
          <w:sz w:val="32"/>
          <w:szCs w:val="32"/>
          <w:shd w:val="clear" w:color="auto" w:fill="FFFFFF"/>
          <w:lang w:val="zh-CN" w:eastAsia="zh-CN" w:bidi="ar"/>
        </w:rPr>
        <w:t>配合县委组织部做好党员教育工作；负责编审党员教育教材；指导全县党员学习。</w:t>
      </w:r>
      <w:r>
        <w:rPr>
          <w:rFonts w:hint="eastAsia" w:ascii="Times New Roman" w:hAnsi="Times New Roman" w:eastAsia="方正仿宋_GBK" w:cs="Times New Roman"/>
          <w:kern w:val="0"/>
          <w:sz w:val="32"/>
          <w:szCs w:val="32"/>
          <w:shd w:val="clear" w:color="auto" w:fill="FFFFFF"/>
          <w:lang w:val="en-US" w:eastAsia="zh-CN" w:bidi="ar"/>
        </w:rPr>
        <w:t>六是</w:t>
      </w:r>
      <w:r>
        <w:rPr>
          <w:rFonts w:hint="eastAsia" w:ascii="Times New Roman" w:hAnsi="Times New Roman" w:eastAsia="方正仿宋_GBK" w:cs="Times New Roman"/>
          <w:kern w:val="0"/>
          <w:sz w:val="32"/>
          <w:szCs w:val="32"/>
          <w:shd w:val="clear" w:color="auto" w:fill="FFFFFF"/>
          <w:lang w:val="zh-CN" w:eastAsia="zh-CN" w:bidi="ar"/>
        </w:rPr>
        <w:t>负责从宏观上指导全县各级各类学校的德育、政治理论教学和思想政治工作。</w:t>
      </w:r>
      <w:r>
        <w:rPr>
          <w:rFonts w:hint="eastAsia" w:ascii="Times New Roman" w:hAnsi="Times New Roman" w:eastAsia="方正仿宋_GBK" w:cs="Times New Roman"/>
          <w:kern w:val="0"/>
          <w:sz w:val="32"/>
          <w:szCs w:val="32"/>
          <w:shd w:val="clear" w:color="auto" w:fill="FFFFFF"/>
          <w:lang w:val="en-US" w:eastAsia="zh-CN" w:bidi="ar"/>
        </w:rPr>
        <w:t>七是</w:t>
      </w:r>
      <w:r>
        <w:rPr>
          <w:rFonts w:hint="eastAsia" w:ascii="Times New Roman" w:hAnsi="Times New Roman" w:eastAsia="方正仿宋_GBK" w:cs="Times New Roman"/>
          <w:kern w:val="0"/>
          <w:sz w:val="32"/>
          <w:szCs w:val="32"/>
          <w:shd w:val="clear" w:color="auto" w:fill="FFFFFF"/>
          <w:lang w:val="zh-CN" w:eastAsia="zh-CN" w:bidi="ar"/>
        </w:rPr>
        <w:t>负责全县对外和港澳台的宣传工作；指导协调全县对外文化交流工作。</w:t>
      </w:r>
      <w:r>
        <w:rPr>
          <w:rFonts w:hint="eastAsia" w:ascii="Times New Roman" w:hAnsi="Times New Roman" w:eastAsia="方正仿宋_GBK" w:cs="Times New Roman"/>
          <w:kern w:val="0"/>
          <w:sz w:val="32"/>
          <w:szCs w:val="32"/>
          <w:shd w:val="clear" w:color="auto" w:fill="FFFFFF"/>
          <w:lang w:val="en-US" w:eastAsia="zh-CN" w:bidi="ar"/>
        </w:rPr>
        <w:t>八是</w:t>
      </w:r>
      <w:r>
        <w:rPr>
          <w:rFonts w:hint="eastAsia" w:ascii="Times New Roman" w:hAnsi="Times New Roman" w:eastAsia="方正仿宋_GBK" w:cs="Times New Roman"/>
          <w:kern w:val="0"/>
          <w:sz w:val="32"/>
          <w:szCs w:val="32"/>
          <w:shd w:val="clear" w:color="auto" w:fill="FFFFFF"/>
          <w:lang w:val="zh-CN" w:eastAsia="zh-CN" w:bidi="ar"/>
        </w:rPr>
        <w:t>受县委委托，会同县委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r>
        <w:rPr>
          <w:rFonts w:hint="eastAsia" w:ascii="Times New Roman" w:hAnsi="Times New Roman" w:eastAsia="方正仿宋_GBK" w:cs="Times New Roman"/>
          <w:kern w:val="0"/>
          <w:sz w:val="32"/>
          <w:szCs w:val="32"/>
          <w:shd w:val="clear" w:color="auto" w:fill="FFFFFF"/>
          <w:lang w:val="en-US" w:eastAsia="zh-CN" w:bidi="ar"/>
        </w:rPr>
        <w:t>九是</w:t>
      </w:r>
      <w:r>
        <w:rPr>
          <w:rFonts w:hint="eastAsia" w:ascii="Times New Roman" w:hAnsi="Times New Roman" w:eastAsia="方正仿宋_GBK" w:cs="Times New Roman"/>
          <w:kern w:val="0"/>
          <w:sz w:val="32"/>
          <w:szCs w:val="32"/>
          <w:shd w:val="clear" w:color="auto" w:fill="FFFFFF"/>
          <w:lang w:val="zh-CN" w:eastAsia="zh-CN" w:bidi="ar"/>
        </w:rPr>
        <w:t>负责提出全县宣传文化事业发展的指导方针；指导宣传文化系统制定政策、法规；按照县委的工作部署，对宣传文化系统各部门之间的工作进行协调。</w:t>
      </w:r>
      <w:r>
        <w:rPr>
          <w:rFonts w:hint="eastAsia" w:ascii="Times New Roman" w:hAnsi="Times New Roman" w:eastAsia="方正仿宋_GBK" w:cs="Times New Roman"/>
          <w:kern w:val="0"/>
          <w:sz w:val="32"/>
          <w:szCs w:val="32"/>
          <w:shd w:val="clear" w:color="auto" w:fill="FFFFFF"/>
          <w:lang w:val="en-US" w:eastAsia="zh-CN" w:bidi="ar"/>
        </w:rPr>
        <w:t>十是</w:t>
      </w:r>
      <w:r>
        <w:rPr>
          <w:rFonts w:hint="eastAsia" w:ascii="Times New Roman" w:hAnsi="Times New Roman" w:eastAsia="方正仿宋_GBK" w:cs="Times New Roman"/>
          <w:kern w:val="0"/>
          <w:sz w:val="32"/>
          <w:szCs w:val="32"/>
          <w:shd w:val="clear" w:color="auto" w:fill="FFFFFF"/>
          <w:lang w:val="zh-CN" w:eastAsia="zh-CN" w:bidi="ar"/>
        </w:rPr>
        <w:t>根据州，县宣传报道要点，组织采写稿件，并向《阿坝日报》、《四川日报》等各级办刊推荐。</w:t>
      </w:r>
    </w:p>
    <w:p w14:paraId="0890A27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bookmarkStart w:id="91" w:name="_Toc23499"/>
      <w:r>
        <w:rPr>
          <w:rFonts w:hint="default" w:ascii="Times New Roman" w:hAnsi="Times New Roman" w:eastAsia="方正楷体_GBK" w:cs="Times New Roman"/>
          <w:b/>
          <w:sz w:val="32"/>
          <w:szCs w:val="32"/>
          <w:lang w:val="zh-CN"/>
        </w:rPr>
        <w:t>（</w:t>
      </w:r>
      <w:r>
        <w:rPr>
          <w:rFonts w:hint="eastAsia" w:ascii="Times New Roman" w:hAnsi="Times New Roman" w:eastAsia="方正楷体_GBK" w:cs="Times New Roman"/>
          <w:b/>
          <w:sz w:val="32"/>
          <w:szCs w:val="32"/>
          <w:lang w:val="zh-CN"/>
        </w:rPr>
        <w:t>三</w:t>
      </w:r>
      <w:r>
        <w:rPr>
          <w:rFonts w:hint="default" w:ascii="Times New Roman" w:hAnsi="Times New Roman" w:eastAsia="方正楷体_GBK" w:cs="Times New Roman"/>
          <w:b/>
          <w:sz w:val="32"/>
          <w:szCs w:val="32"/>
          <w:lang w:val="zh-CN"/>
        </w:rPr>
        <w:t>）人员概况</w:t>
      </w:r>
      <w:r>
        <w:rPr>
          <w:rFonts w:hint="eastAsia" w:ascii="Times New Roman" w:hAnsi="Times New Roman" w:eastAsia="方正楷体_GBK" w:cs="Times New Roman"/>
          <w:b/>
          <w:sz w:val="32"/>
          <w:szCs w:val="32"/>
          <w:lang w:val="zh-CN"/>
        </w:rPr>
        <w:t>。</w:t>
      </w:r>
      <w:r>
        <w:rPr>
          <w:rFonts w:hint="default" w:ascii="Times New Roman" w:hAnsi="Times New Roman" w:eastAsia="方正仿宋_GBK" w:cs="Times New Roman"/>
          <w:kern w:val="0"/>
          <w:sz w:val="32"/>
          <w:szCs w:val="32"/>
          <w:shd w:val="clear" w:color="auto" w:fill="FFFFFF"/>
          <w:lang w:val="zh-CN" w:eastAsia="zh-CN" w:bidi="ar"/>
        </w:rPr>
        <w:t>截至202</w:t>
      </w:r>
      <w:r>
        <w:rPr>
          <w:rFonts w:hint="eastAsia" w:ascii="Times New Roman" w:hAnsi="Times New Roman"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zh-CN" w:eastAsia="zh-CN" w:bidi="ar"/>
        </w:rPr>
        <w:t>年末，</w:t>
      </w:r>
      <w:r>
        <w:rPr>
          <w:rFonts w:hint="eastAsia" w:ascii="Times New Roman" w:hAnsi="Times New Roman" w:eastAsia="方正仿宋_GBK" w:cs="Times New Roman"/>
          <w:kern w:val="0"/>
          <w:sz w:val="32"/>
          <w:szCs w:val="32"/>
          <w:shd w:val="clear" w:color="auto" w:fill="FFFFFF"/>
          <w:lang w:val="en-US" w:eastAsia="zh-CN" w:bidi="ar"/>
        </w:rPr>
        <w:t>县委宣传部在职及下属单位共计18人，其中：行政9人、事业9人。</w:t>
      </w:r>
    </w:p>
    <w:p w14:paraId="3F7DA7AD">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rPr>
      </w:pPr>
      <w:bookmarkStart w:id="92" w:name="_Toc7532"/>
      <w:r>
        <w:rPr>
          <w:rFonts w:hint="default" w:ascii="Times New Roman" w:hAnsi="Times New Roman" w:eastAsia="方正黑体_GBK" w:cs="Times New Roman"/>
          <w:color w:val="000000"/>
          <w:kern w:val="0"/>
          <w:sz w:val="32"/>
          <w:szCs w:val="32"/>
          <w:shd w:val="clear" w:color="auto" w:fill="FFFFFF"/>
        </w:rPr>
        <w:t>二、</w:t>
      </w:r>
      <w:r>
        <w:rPr>
          <w:rFonts w:hint="default" w:ascii="Times New Roman" w:hAnsi="Times New Roman" w:eastAsia="方正黑体_GBK" w:cs="Times New Roman"/>
          <w:color w:val="000000"/>
          <w:kern w:val="0"/>
          <w:sz w:val="32"/>
          <w:szCs w:val="32"/>
          <w:shd w:val="clear" w:color="auto" w:fill="FFFFFF"/>
          <w:lang w:eastAsia="zh-CN"/>
        </w:rPr>
        <w:t>部门</w:t>
      </w:r>
      <w:r>
        <w:rPr>
          <w:rFonts w:hint="default" w:ascii="Times New Roman" w:hAnsi="Times New Roman" w:eastAsia="方正黑体_GBK" w:cs="Times New Roman"/>
          <w:color w:val="000000"/>
          <w:kern w:val="0"/>
          <w:sz w:val="32"/>
          <w:szCs w:val="32"/>
          <w:shd w:val="clear" w:color="auto" w:fill="FFFFFF"/>
        </w:rPr>
        <w:t>资金收支情况</w:t>
      </w:r>
      <w:bookmarkEnd w:id="92"/>
    </w:p>
    <w:p w14:paraId="1655BF75">
      <w:pPr>
        <w:keepNext w:val="0"/>
        <w:keepLines w:val="0"/>
        <w:pageBreakBefore w:val="0"/>
        <w:widowControl/>
        <w:kinsoku/>
        <w:wordWrap w:val="0"/>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楷体_GBK" w:cs="Times New Roman"/>
          <w:b/>
          <w:sz w:val="32"/>
          <w:szCs w:val="32"/>
          <w:lang w:val="zh-CN"/>
        </w:rPr>
        <w:t>（一）</w:t>
      </w:r>
      <w:r>
        <w:rPr>
          <w:rFonts w:hint="eastAsia" w:ascii="Times New Roman" w:hAnsi="Times New Roman" w:eastAsia="方正楷体_GBK" w:cs="Times New Roman"/>
          <w:b/>
          <w:sz w:val="32"/>
          <w:szCs w:val="32"/>
          <w:lang w:val="zh-CN"/>
        </w:rPr>
        <w:t>收入情况</w:t>
      </w:r>
      <w:r>
        <w:rPr>
          <w:rFonts w:hint="default" w:ascii="Times New Roman" w:hAnsi="Times New Roman" w:eastAsia="方正楷体_GBK" w:cs="Times New Roman"/>
          <w:b/>
          <w:sz w:val="32"/>
          <w:szCs w:val="32"/>
          <w:lang w:val="zh-CN"/>
        </w:rPr>
        <w:t>。</w:t>
      </w:r>
      <w:r>
        <w:rPr>
          <w:rFonts w:hint="eastAsia" w:ascii="Times New Roman" w:hAnsi="Times New Roman" w:eastAsia="方正仿宋_GBK" w:cs="Times New Roman"/>
          <w:kern w:val="0"/>
          <w:sz w:val="32"/>
          <w:szCs w:val="32"/>
          <w:shd w:val="clear" w:color="auto" w:fill="FFFFFF"/>
          <w:lang w:val="en-US" w:eastAsia="zh-CN" w:bidi="ar"/>
        </w:rPr>
        <w:t>县委宣传部2024年年初预算收入数为514.03万元，收入全年预算数为1095.32万元，收入决算数为1095.32万元。</w:t>
      </w:r>
    </w:p>
    <w:p w14:paraId="70783A05">
      <w:pPr>
        <w:keepNext w:val="0"/>
        <w:keepLines w:val="0"/>
        <w:pageBreakBefore w:val="0"/>
        <w:widowControl/>
        <w:kinsoku/>
        <w:wordWrap w:val="0"/>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 w:cs="Times New Roman"/>
          <w:color w:val="auto"/>
          <w:szCs w:val="32"/>
          <w:lang w:val="zh-CN" w:eastAsia="zh-CN"/>
        </w:rPr>
      </w:pPr>
      <w:r>
        <w:rPr>
          <w:rFonts w:hint="default" w:ascii="Times New Roman" w:hAnsi="Times New Roman" w:eastAsia="方正楷体_GBK" w:cs="Times New Roman"/>
          <w:b/>
          <w:sz w:val="32"/>
          <w:szCs w:val="32"/>
          <w:lang w:val="zh-CN"/>
        </w:rPr>
        <w:t>（</w:t>
      </w:r>
      <w:r>
        <w:rPr>
          <w:rFonts w:hint="eastAsia" w:ascii="Times New Roman" w:hAnsi="Times New Roman" w:eastAsia="方正楷体_GBK" w:cs="Times New Roman"/>
          <w:b/>
          <w:sz w:val="32"/>
          <w:szCs w:val="32"/>
          <w:lang w:val="zh-CN"/>
        </w:rPr>
        <w:t>二</w:t>
      </w:r>
      <w:r>
        <w:rPr>
          <w:rFonts w:hint="default" w:ascii="Times New Roman" w:hAnsi="Times New Roman" w:eastAsia="方正楷体_GBK" w:cs="Times New Roman"/>
          <w:b/>
          <w:sz w:val="32"/>
          <w:szCs w:val="32"/>
          <w:lang w:val="zh-CN"/>
        </w:rPr>
        <w:t>）</w:t>
      </w:r>
      <w:r>
        <w:rPr>
          <w:rFonts w:hint="eastAsia" w:ascii="Times New Roman" w:hAnsi="Times New Roman" w:eastAsia="方正楷体_GBK" w:cs="Times New Roman"/>
          <w:b/>
          <w:sz w:val="32"/>
          <w:szCs w:val="32"/>
          <w:lang w:val="zh-CN"/>
        </w:rPr>
        <w:t>支出情况</w:t>
      </w:r>
      <w:r>
        <w:rPr>
          <w:rFonts w:hint="default" w:ascii="Times New Roman" w:hAnsi="Times New Roman" w:eastAsia="方正楷体_GBK" w:cs="Times New Roman"/>
          <w:b/>
          <w:sz w:val="32"/>
          <w:szCs w:val="32"/>
          <w:lang w:val="zh-CN"/>
        </w:rPr>
        <w:t>。</w:t>
      </w:r>
      <w:r>
        <w:rPr>
          <w:rFonts w:hint="eastAsia" w:ascii="Times New Roman" w:hAnsi="Times New Roman" w:eastAsia="方正仿宋_GBK" w:cs="Times New Roman"/>
          <w:kern w:val="0"/>
          <w:sz w:val="32"/>
          <w:szCs w:val="32"/>
          <w:shd w:val="clear" w:color="auto" w:fill="FFFFFF"/>
          <w:lang w:val="en-US" w:eastAsia="zh-CN" w:bidi="ar"/>
        </w:rPr>
        <w:t>县委宣传部2024年年初预算支出数为514.03元，支出全年预算数为1095.32万元，支出决算数为1095.32万元。</w:t>
      </w:r>
    </w:p>
    <w:p w14:paraId="3C306FC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楷体_GBK" w:cs="Times New Roman"/>
          <w:b/>
          <w:sz w:val="32"/>
          <w:szCs w:val="32"/>
          <w:lang w:val="zh-CN"/>
        </w:rPr>
        <w:t>（</w:t>
      </w:r>
      <w:r>
        <w:rPr>
          <w:rFonts w:hint="eastAsia" w:ascii="Times New Roman" w:hAnsi="Times New Roman" w:eastAsia="方正楷体_GBK" w:cs="Times New Roman"/>
          <w:b/>
          <w:sz w:val="32"/>
          <w:szCs w:val="32"/>
          <w:lang w:val="zh-CN"/>
        </w:rPr>
        <w:t>三</w:t>
      </w:r>
      <w:r>
        <w:rPr>
          <w:rFonts w:hint="default" w:ascii="Times New Roman" w:hAnsi="Times New Roman" w:eastAsia="方正楷体_GBK" w:cs="Times New Roman"/>
          <w:b/>
          <w:sz w:val="32"/>
          <w:szCs w:val="32"/>
          <w:lang w:val="zh-CN"/>
        </w:rPr>
        <w:t>）结余分配和结转结余情况</w:t>
      </w:r>
      <w:r>
        <w:rPr>
          <w:rFonts w:hint="eastAsia" w:ascii="Times New Roman" w:hAnsi="Times New Roman" w:eastAsia="方正楷体_GBK" w:cs="Times New Roman"/>
          <w:b/>
          <w:sz w:val="32"/>
          <w:szCs w:val="32"/>
          <w:lang w:val="zh-CN" w:eastAsia="zh-CN"/>
        </w:rPr>
        <w:t>。</w:t>
      </w:r>
      <w:r>
        <w:rPr>
          <w:rFonts w:hint="eastAsia" w:ascii="Times New Roman" w:hAnsi="Times New Roman" w:eastAsia="方正仿宋_GBK" w:cs="Times New Roman"/>
          <w:kern w:val="0"/>
          <w:sz w:val="32"/>
          <w:szCs w:val="32"/>
          <w:shd w:val="clear" w:color="auto" w:fill="FFFFFF"/>
          <w:lang w:val="en-US" w:eastAsia="zh-CN" w:bidi="ar"/>
        </w:rPr>
        <w:t>县委宣传部2024年决算报表</w:t>
      </w:r>
      <w:r>
        <w:rPr>
          <w:rFonts w:hint="default" w:ascii="Times New Roman" w:hAnsi="Times New Roman" w:eastAsia="方正仿宋_GBK" w:cs="Times New Roman"/>
          <w:kern w:val="0"/>
          <w:sz w:val="32"/>
          <w:szCs w:val="32"/>
          <w:shd w:val="clear" w:color="auto" w:fill="FFFFFF"/>
          <w:lang w:val="en-US" w:eastAsia="zh-CN" w:bidi="ar"/>
        </w:rPr>
        <w:t>结转结余</w:t>
      </w:r>
      <w:r>
        <w:rPr>
          <w:rFonts w:hint="eastAsia" w:ascii="Times New Roman" w:hAnsi="Times New Roman" w:eastAsia="方正仿宋_GBK" w:cs="Times New Roman"/>
          <w:kern w:val="0"/>
          <w:sz w:val="32"/>
          <w:szCs w:val="32"/>
          <w:shd w:val="clear" w:color="auto" w:fill="FFFFFF"/>
          <w:lang w:val="en-US" w:eastAsia="zh-CN" w:bidi="ar"/>
        </w:rPr>
        <w:t>为零</w:t>
      </w:r>
      <w:r>
        <w:rPr>
          <w:rFonts w:hint="default" w:ascii="Times New Roman" w:hAnsi="Times New Roman" w:eastAsia="方正仿宋_GBK" w:cs="Times New Roman"/>
          <w:kern w:val="0"/>
          <w:sz w:val="32"/>
          <w:szCs w:val="32"/>
          <w:shd w:val="clear" w:color="auto" w:fill="FFFFFF"/>
          <w:lang w:val="en-US" w:eastAsia="zh-CN" w:bidi="ar"/>
        </w:rPr>
        <w:t>。</w:t>
      </w:r>
    </w:p>
    <w:p w14:paraId="4E6EECE3">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lang w:eastAsia="zh-CN"/>
        </w:rPr>
      </w:pPr>
      <w:bookmarkStart w:id="93" w:name="_Toc3668"/>
      <w:r>
        <w:rPr>
          <w:rFonts w:hint="default" w:ascii="Times New Roman" w:hAnsi="Times New Roman" w:eastAsia="方正黑体_GBK" w:cs="Times New Roman"/>
          <w:color w:val="000000"/>
          <w:kern w:val="0"/>
          <w:sz w:val="32"/>
          <w:szCs w:val="32"/>
          <w:shd w:val="clear" w:color="auto" w:fill="FFFFFF"/>
          <w:lang w:eastAsia="zh-CN"/>
        </w:rPr>
        <w:t>三、部门预算绩效分析</w:t>
      </w:r>
      <w:bookmarkEnd w:id="93"/>
    </w:p>
    <w:p w14:paraId="177369C3">
      <w:pPr>
        <w:keepNext w:val="0"/>
        <w:keepLines w:val="0"/>
        <w:pageBreakBefore w:val="0"/>
        <w:widowControl/>
        <w:kinsoku/>
        <w:wordWrap w:val="0"/>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楷体_GBK" w:cs="Times New Roman"/>
          <w:b/>
          <w:sz w:val="32"/>
          <w:szCs w:val="32"/>
          <w:lang w:val="zh-CN"/>
        </w:rPr>
      </w:pPr>
      <w:r>
        <w:rPr>
          <w:rFonts w:hint="default" w:ascii="Times New Roman" w:hAnsi="Times New Roman" w:eastAsia="方正楷体_GBK" w:cs="Times New Roman"/>
          <w:b/>
          <w:sz w:val="32"/>
          <w:szCs w:val="32"/>
          <w:lang w:val="zh-CN"/>
        </w:rPr>
        <w:t>（一）</w:t>
      </w:r>
      <w:r>
        <w:rPr>
          <w:rFonts w:hint="eastAsia" w:ascii="Times New Roman" w:hAnsi="Times New Roman" w:eastAsia="方正楷体_GBK" w:cs="Times New Roman"/>
          <w:b/>
          <w:sz w:val="32"/>
          <w:szCs w:val="32"/>
          <w:lang w:val="zh-CN"/>
        </w:rPr>
        <w:t>部门预算</w:t>
      </w:r>
      <w:r>
        <w:rPr>
          <w:rFonts w:hint="default" w:ascii="Times New Roman" w:hAnsi="Times New Roman" w:eastAsia="方正楷体_GBK" w:cs="Times New Roman"/>
          <w:b/>
          <w:sz w:val="32"/>
          <w:szCs w:val="32"/>
          <w:lang w:val="zh-CN"/>
        </w:rPr>
        <w:t>总体绩效分析。</w:t>
      </w:r>
    </w:p>
    <w:p w14:paraId="7F116805">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shd w:val="clear" w:color="auto" w:fill="FFFFFF"/>
          <w:lang w:val="zh-CN" w:eastAsia="zh-CN" w:bidi="ar"/>
        </w:rPr>
      </w:pPr>
      <w:r>
        <w:rPr>
          <w:rFonts w:hint="eastAsia" w:ascii="Times New Roman" w:hAnsi="Times New Roman" w:eastAsia="方正仿宋_GBK" w:cs="Times New Roman"/>
          <w:kern w:val="0"/>
          <w:sz w:val="32"/>
          <w:szCs w:val="32"/>
          <w:shd w:val="clear" w:color="auto" w:fill="FFFFFF"/>
          <w:lang w:val="en-US" w:eastAsia="zh-CN" w:bidi="ar"/>
        </w:rPr>
        <w:t>1.</w:t>
      </w:r>
      <w:r>
        <w:rPr>
          <w:rFonts w:hint="eastAsia" w:ascii="Times New Roman" w:hAnsi="Times New Roman" w:eastAsia="方正仿宋_GBK" w:cs="Times New Roman"/>
          <w:kern w:val="0"/>
          <w:sz w:val="32"/>
          <w:szCs w:val="32"/>
          <w:shd w:val="clear" w:color="auto" w:fill="FFFFFF"/>
          <w:lang w:val="zh-CN" w:eastAsia="zh-CN" w:bidi="ar"/>
        </w:rPr>
        <w:t>履职效能。本年度我单位按照部门整体绩效目标的职能，较好的完成省州县各级党委政府下达的各项工作任务。本项指标分</w:t>
      </w:r>
      <w:r>
        <w:rPr>
          <w:rFonts w:hint="eastAsia" w:ascii="Times New Roman" w:hAnsi="Times New Roman" w:eastAsia="方正仿宋_GBK" w:cs="Times New Roman"/>
          <w:kern w:val="0"/>
          <w:sz w:val="32"/>
          <w:szCs w:val="32"/>
          <w:shd w:val="clear" w:color="auto" w:fill="FFFFFF"/>
          <w:lang w:val="en-US" w:eastAsia="zh-CN" w:bidi="ar"/>
        </w:rPr>
        <w:t>15分，实际得分12分</w:t>
      </w:r>
      <w:r>
        <w:rPr>
          <w:rFonts w:hint="eastAsia" w:ascii="Times New Roman" w:hAnsi="Times New Roman" w:eastAsia="方正仿宋_GBK" w:cs="Times New Roman"/>
          <w:kern w:val="0"/>
          <w:sz w:val="32"/>
          <w:szCs w:val="32"/>
          <w:shd w:val="clear" w:color="auto" w:fill="FFFFFF"/>
          <w:lang w:val="zh-CN" w:eastAsia="zh-CN" w:bidi="ar"/>
        </w:rPr>
        <w:t>。</w:t>
      </w:r>
    </w:p>
    <w:p w14:paraId="4B6EEB38">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en-US" w:eastAsia="zh-CN" w:bidi="ar"/>
        </w:rPr>
        <w:t>2.</w:t>
      </w:r>
      <w:r>
        <w:rPr>
          <w:rFonts w:hint="default" w:ascii="Times New Roman" w:hAnsi="Times New Roman" w:eastAsia="方正仿宋_GBK" w:cs="Times New Roman"/>
          <w:kern w:val="0"/>
          <w:sz w:val="32"/>
          <w:szCs w:val="32"/>
          <w:shd w:val="clear" w:color="auto" w:fill="FFFFFF"/>
          <w:lang w:val="zh-CN" w:eastAsia="zh-CN" w:bidi="ar"/>
        </w:rPr>
        <w:t>预算管理</w:t>
      </w:r>
      <w:r>
        <w:rPr>
          <w:rFonts w:hint="eastAsia" w:ascii="Times New Roman" w:hAnsi="Times New Roman" w:eastAsia="方正仿宋_GBK" w:cs="Times New Roman"/>
          <w:kern w:val="0"/>
          <w:sz w:val="32"/>
          <w:szCs w:val="32"/>
          <w:shd w:val="clear" w:color="auto" w:fill="FFFFFF"/>
          <w:lang w:val="zh-CN" w:eastAsia="zh-CN" w:bidi="ar"/>
        </w:rPr>
        <w:t>。本年度我单位按照</w:t>
      </w:r>
      <w:r>
        <w:rPr>
          <w:rFonts w:hint="default" w:ascii="Times New Roman" w:hAnsi="Times New Roman" w:eastAsia="方正仿宋_GBK" w:cs="Times New Roman"/>
          <w:kern w:val="0"/>
          <w:sz w:val="32"/>
          <w:szCs w:val="32"/>
          <w:shd w:val="clear" w:color="auto" w:fill="FFFFFF"/>
          <w:lang w:val="zh-CN" w:eastAsia="zh-CN" w:bidi="ar"/>
        </w:rPr>
        <w:t>《中华人民共和国预算法》</w:t>
      </w:r>
      <w:r>
        <w:rPr>
          <w:rFonts w:hint="eastAsia"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zh-CN" w:eastAsia="zh-CN" w:bidi="ar"/>
        </w:rPr>
        <w:t>《中华人民共和国会计法》</w:t>
      </w:r>
      <w:r>
        <w:rPr>
          <w:rFonts w:hint="eastAsia" w:ascii="Times New Roman" w:hAnsi="Times New Roman" w:eastAsia="方正仿宋_GBK" w:cs="Times New Roman"/>
          <w:kern w:val="0"/>
          <w:sz w:val="32"/>
          <w:szCs w:val="32"/>
          <w:shd w:val="clear" w:color="auto" w:fill="FFFFFF"/>
          <w:lang w:val="zh-CN" w:eastAsia="zh-CN" w:bidi="ar"/>
        </w:rPr>
        <w:t>等文件精神及法规，编制全年预算</w:t>
      </w:r>
      <w:r>
        <w:rPr>
          <w:rFonts w:hint="eastAsia" w:ascii="Times New Roman" w:hAnsi="Times New Roman" w:eastAsia="方正仿宋_GBK" w:cs="Times New Roman"/>
          <w:kern w:val="0"/>
          <w:sz w:val="32"/>
          <w:szCs w:val="32"/>
          <w:shd w:val="clear" w:color="auto" w:fill="FFFFFF"/>
          <w:lang w:val="en-US" w:eastAsia="zh-CN" w:bidi="ar"/>
        </w:rPr>
        <w:t>并执行。本项指标分25分，实际得分25分。</w:t>
      </w:r>
    </w:p>
    <w:p w14:paraId="2E329589">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shd w:val="clear" w:color="auto" w:fill="FFFFFF"/>
          <w:lang w:val="zh-CN" w:eastAsia="zh-CN" w:bidi="ar"/>
        </w:rPr>
      </w:pPr>
      <w:r>
        <w:rPr>
          <w:rFonts w:hint="eastAsia" w:ascii="Times New Roman" w:hAnsi="Times New Roman" w:eastAsia="方正仿宋_GBK" w:cs="Times New Roman"/>
          <w:kern w:val="0"/>
          <w:sz w:val="32"/>
          <w:szCs w:val="32"/>
          <w:shd w:val="clear" w:color="auto" w:fill="FFFFFF"/>
          <w:lang w:val="en-US" w:eastAsia="zh-CN" w:bidi="ar"/>
        </w:rPr>
        <w:t>3.</w:t>
      </w:r>
      <w:r>
        <w:rPr>
          <w:rFonts w:hint="default" w:ascii="Times New Roman" w:hAnsi="Times New Roman" w:eastAsia="方正仿宋_GBK" w:cs="Times New Roman"/>
          <w:kern w:val="0"/>
          <w:sz w:val="32"/>
          <w:szCs w:val="32"/>
          <w:shd w:val="clear" w:color="auto" w:fill="FFFFFF"/>
          <w:lang w:val="zh-CN" w:eastAsia="zh-CN" w:bidi="ar"/>
        </w:rPr>
        <w:t>财务管理</w:t>
      </w:r>
      <w:r>
        <w:rPr>
          <w:rFonts w:hint="eastAsia"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en-US" w:eastAsia="zh-CN" w:bidi="ar"/>
        </w:rPr>
        <w:t>我单位根据《中华人民共和国预算法》《中华人民共和国会计法》《行政事业单位内部控制规范（试行）》以及省、州、县有关政策规章，结合我单位实际工作，制定了财务管理制度。</w:t>
      </w:r>
      <w:r>
        <w:rPr>
          <w:rFonts w:hint="eastAsia" w:ascii="Times New Roman" w:hAnsi="Times New Roman" w:eastAsia="方正仿宋_GBK" w:cs="Times New Roman"/>
          <w:kern w:val="0"/>
          <w:sz w:val="32"/>
          <w:szCs w:val="32"/>
          <w:shd w:val="clear" w:color="auto" w:fill="FFFFFF"/>
          <w:lang w:val="en-US" w:eastAsia="zh-CN" w:bidi="ar"/>
        </w:rPr>
        <w:t>严格</w:t>
      </w:r>
      <w:r>
        <w:rPr>
          <w:rFonts w:hint="default" w:ascii="Times New Roman" w:hAnsi="Times New Roman" w:eastAsia="方正仿宋_GBK" w:cs="Times New Roman"/>
          <w:kern w:val="0"/>
          <w:sz w:val="32"/>
          <w:szCs w:val="32"/>
          <w:shd w:val="clear" w:color="auto" w:fill="FFFFFF"/>
          <w:lang w:val="en-US" w:eastAsia="zh-CN" w:bidi="ar"/>
        </w:rPr>
        <w:t>财务岗位设置</w:t>
      </w:r>
      <w:r>
        <w:rPr>
          <w:rFonts w:hint="eastAsia" w:ascii="Times New Roman" w:hAnsi="Times New Roman" w:eastAsia="方正仿宋_GBK" w:cs="Times New Roman"/>
          <w:kern w:val="0"/>
          <w:sz w:val="32"/>
          <w:szCs w:val="32"/>
          <w:shd w:val="clear" w:color="auto" w:fill="FFFFFF"/>
          <w:lang w:val="en-US" w:eastAsia="zh-CN" w:bidi="ar"/>
        </w:rPr>
        <w:t>及</w:t>
      </w:r>
      <w:r>
        <w:rPr>
          <w:rFonts w:hint="default" w:ascii="Times New Roman" w:hAnsi="Times New Roman" w:eastAsia="方正仿宋_GBK" w:cs="Times New Roman"/>
          <w:kern w:val="0"/>
          <w:sz w:val="32"/>
          <w:szCs w:val="32"/>
          <w:shd w:val="clear" w:color="auto" w:fill="FFFFFF"/>
          <w:lang w:val="en-US" w:eastAsia="zh-CN" w:bidi="ar"/>
        </w:rPr>
        <w:t>资金使用规范</w:t>
      </w:r>
      <w:r>
        <w:rPr>
          <w:rFonts w:hint="eastAsia" w:ascii="Times New Roman" w:hAnsi="Times New Roman" w:eastAsia="方正仿宋_GBK" w:cs="Times New Roman"/>
          <w:kern w:val="0"/>
          <w:sz w:val="32"/>
          <w:szCs w:val="32"/>
          <w:shd w:val="clear" w:color="auto" w:fill="FFFFFF"/>
          <w:lang w:val="en-US" w:eastAsia="zh-CN" w:bidi="ar"/>
        </w:rPr>
        <w:t>。本项指标分10分，实际得分10分。</w:t>
      </w:r>
    </w:p>
    <w:p w14:paraId="212A2C5B">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shd w:val="clear" w:color="auto" w:fill="FFFFFF"/>
          <w:lang w:val="zh-CN" w:eastAsia="zh-CN" w:bidi="ar"/>
        </w:rPr>
      </w:pPr>
      <w:r>
        <w:rPr>
          <w:rFonts w:hint="eastAsia" w:ascii="Times New Roman" w:hAnsi="Times New Roman" w:eastAsia="方正仿宋_GBK" w:cs="Times New Roman"/>
          <w:kern w:val="0"/>
          <w:sz w:val="32"/>
          <w:szCs w:val="32"/>
          <w:shd w:val="clear" w:color="auto" w:fill="FFFFFF"/>
          <w:lang w:val="en-US" w:eastAsia="zh-CN" w:bidi="ar"/>
        </w:rPr>
        <w:t>4.</w:t>
      </w:r>
      <w:r>
        <w:rPr>
          <w:rFonts w:hint="default" w:ascii="Times New Roman" w:hAnsi="Times New Roman" w:eastAsia="方正仿宋_GBK" w:cs="Times New Roman"/>
          <w:kern w:val="0"/>
          <w:sz w:val="32"/>
          <w:szCs w:val="32"/>
          <w:shd w:val="clear" w:color="auto" w:fill="FFFFFF"/>
          <w:lang w:val="zh-CN" w:eastAsia="zh-CN" w:bidi="ar"/>
        </w:rPr>
        <w:t>资产管理</w:t>
      </w:r>
      <w:r>
        <w:rPr>
          <w:rFonts w:hint="eastAsia" w:ascii="Times New Roman" w:hAnsi="Times New Roman" w:eastAsia="方正仿宋_GBK" w:cs="Times New Roman"/>
          <w:kern w:val="0"/>
          <w:sz w:val="32"/>
          <w:szCs w:val="32"/>
          <w:shd w:val="clear" w:color="auto" w:fill="FFFFFF"/>
          <w:lang w:val="zh-CN" w:eastAsia="zh-CN" w:bidi="ar"/>
        </w:rPr>
        <w:t>。我单位</w:t>
      </w:r>
      <w:r>
        <w:rPr>
          <w:rFonts w:hint="default" w:ascii="Times New Roman" w:hAnsi="Times New Roman" w:eastAsia="方正仿宋_GBK" w:cs="Times New Roman"/>
          <w:kern w:val="0"/>
          <w:sz w:val="32"/>
          <w:szCs w:val="32"/>
          <w:shd w:val="clear" w:color="auto" w:fill="FFFFFF"/>
          <w:lang w:val="en-US" w:eastAsia="zh-CN" w:bidi="ar"/>
        </w:rPr>
        <w:t>明确资产使用和保管责任人、落实资产使用人在资产管理中的责任</w:t>
      </w:r>
      <w:r>
        <w:rPr>
          <w:rFonts w:hint="eastAsia" w:ascii="Times New Roman" w:hAnsi="Times New Roman" w:eastAsia="方正仿宋_GBK" w:cs="Times New Roman"/>
          <w:kern w:val="0"/>
          <w:sz w:val="32"/>
          <w:szCs w:val="32"/>
          <w:shd w:val="clear" w:color="auto" w:fill="FFFFFF"/>
          <w:lang w:val="en-US" w:eastAsia="zh-CN" w:bidi="ar"/>
        </w:rPr>
        <w:t>，但实际使用中，人均资产变化情况和存在超最低使用年限的情况，扣2分；闲置一年以上资产未进行盘活，扣1.8分；</w:t>
      </w:r>
      <w:r>
        <w:rPr>
          <w:rFonts w:hint="eastAsia" w:ascii="Times New Roman" w:hAnsi="Times New Roman" w:eastAsia="方正仿宋_GBK" w:cs="Times New Roman"/>
          <w:kern w:val="0"/>
          <w:sz w:val="32"/>
          <w:szCs w:val="32"/>
          <w:shd w:val="clear" w:color="auto" w:fill="FFFFFF"/>
          <w:lang w:val="zh-CN" w:eastAsia="zh-CN" w:bidi="ar"/>
        </w:rPr>
        <w:t>围绕人均资产变化率、资产利用率、资产盘活率</w:t>
      </w:r>
      <w:r>
        <w:rPr>
          <w:rFonts w:hint="default" w:ascii="Times New Roman" w:hAnsi="Times New Roman" w:eastAsia="方正仿宋_GBK" w:cs="Times New Roman"/>
          <w:kern w:val="0"/>
          <w:sz w:val="32"/>
          <w:szCs w:val="32"/>
          <w:shd w:val="clear" w:color="auto" w:fill="FFFFFF"/>
          <w:lang w:val="zh-CN" w:eastAsia="zh-CN" w:bidi="ar"/>
        </w:rPr>
        <w:t>进行绩效分析</w:t>
      </w:r>
      <w:r>
        <w:rPr>
          <w:rFonts w:hint="eastAsia" w:ascii="Times New Roman" w:hAnsi="Times New Roman" w:eastAsia="方正仿宋_GBK" w:cs="Times New Roman"/>
          <w:kern w:val="0"/>
          <w:sz w:val="32"/>
          <w:szCs w:val="32"/>
          <w:shd w:val="clear" w:color="auto" w:fill="FFFFFF"/>
          <w:lang w:val="zh-CN" w:eastAsia="zh-CN" w:bidi="ar"/>
        </w:rPr>
        <w:t>。</w:t>
      </w:r>
      <w:r>
        <w:rPr>
          <w:rFonts w:hint="eastAsia" w:ascii="Times New Roman" w:hAnsi="Times New Roman" w:eastAsia="方正仿宋_GBK" w:cs="Times New Roman"/>
          <w:kern w:val="0"/>
          <w:sz w:val="32"/>
          <w:szCs w:val="32"/>
          <w:shd w:val="clear" w:color="auto" w:fill="FFFFFF"/>
          <w:lang w:val="en-US" w:eastAsia="zh-CN" w:bidi="ar"/>
        </w:rPr>
        <w:t>本项指标分9分，实际得分5.2分。</w:t>
      </w:r>
    </w:p>
    <w:p w14:paraId="261CE4A4">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shd w:val="clear" w:color="auto" w:fill="FFFFFF"/>
          <w:lang w:val="zh-CN" w:eastAsia="zh-CN" w:bidi="ar"/>
        </w:rPr>
      </w:pPr>
      <w:r>
        <w:rPr>
          <w:rFonts w:hint="eastAsia" w:ascii="Times New Roman" w:hAnsi="Times New Roman" w:eastAsia="方正仿宋_GBK" w:cs="Times New Roman"/>
          <w:kern w:val="0"/>
          <w:sz w:val="32"/>
          <w:szCs w:val="32"/>
          <w:shd w:val="clear" w:color="auto" w:fill="FFFFFF"/>
          <w:lang w:val="en-US" w:eastAsia="zh-CN" w:bidi="ar"/>
        </w:rPr>
        <w:t>5.</w:t>
      </w:r>
      <w:r>
        <w:rPr>
          <w:rFonts w:hint="default" w:ascii="Times New Roman" w:hAnsi="Times New Roman" w:eastAsia="方正仿宋_GBK" w:cs="Times New Roman"/>
          <w:kern w:val="0"/>
          <w:sz w:val="32"/>
          <w:szCs w:val="32"/>
          <w:shd w:val="clear" w:color="auto" w:fill="FFFFFF"/>
          <w:lang w:val="zh-CN" w:eastAsia="zh-CN" w:bidi="ar"/>
        </w:rPr>
        <w:t>采购管理</w:t>
      </w:r>
      <w:r>
        <w:rPr>
          <w:rFonts w:hint="eastAsia" w:ascii="Times New Roman" w:hAnsi="Times New Roman" w:eastAsia="方正仿宋_GBK" w:cs="Times New Roman"/>
          <w:kern w:val="0"/>
          <w:sz w:val="32"/>
          <w:szCs w:val="32"/>
          <w:shd w:val="clear" w:color="auto" w:fill="FFFFFF"/>
          <w:lang w:val="zh-CN" w:eastAsia="zh-CN" w:bidi="ar"/>
        </w:rPr>
        <w:t>。我单位采购项目均严格执行政府采购促进中小企业发展相关管理办法，采购项目资金支付均按照合同执行。</w:t>
      </w:r>
      <w:r>
        <w:rPr>
          <w:rFonts w:hint="eastAsia" w:ascii="Times New Roman" w:hAnsi="Times New Roman" w:eastAsia="方正仿宋_GBK" w:cs="Times New Roman"/>
          <w:kern w:val="0"/>
          <w:sz w:val="32"/>
          <w:szCs w:val="32"/>
          <w:shd w:val="clear" w:color="auto" w:fill="FFFFFF"/>
          <w:lang w:val="en-US" w:eastAsia="zh-CN" w:bidi="ar"/>
        </w:rPr>
        <w:t>本项指标分6分，实际得分6分。</w:t>
      </w:r>
    </w:p>
    <w:p w14:paraId="6BF4904B">
      <w:pPr>
        <w:keepNext w:val="0"/>
        <w:keepLines w:val="0"/>
        <w:pageBreakBefore w:val="0"/>
        <w:widowControl/>
        <w:kinsoku/>
        <w:wordWrap w:val="0"/>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楷体_GBK" w:cs="Times New Roman"/>
          <w:b/>
          <w:sz w:val="32"/>
          <w:szCs w:val="32"/>
          <w:lang w:val="zh-CN"/>
        </w:rPr>
        <w:t>（二）部门预算项目绩效分析。</w:t>
      </w:r>
      <w:r>
        <w:rPr>
          <w:rFonts w:hint="eastAsia" w:ascii="Times New Roman" w:hAnsi="Times New Roman" w:eastAsia="方正仿宋_GBK" w:cs="Times New Roman"/>
          <w:kern w:val="0"/>
          <w:sz w:val="32"/>
          <w:szCs w:val="32"/>
          <w:shd w:val="clear" w:color="auto" w:fill="FFFFFF"/>
          <w:lang w:val="zh-CN" w:eastAsia="zh-CN" w:bidi="ar"/>
        </w:rPr>
        <w:t>填报以下数据，并</w:t>
      </w:r>
      <w:r>
        <w:rPr>
          <w:rFonts w:hint="default" w:ascii="Times New Roman" w:hAnsi="Times New Roman" w:eastAsia="方正仿宋_GBK" w:cs="Times New Roman"/>
          <w:kern w:val="0"/>
          <w:sz w:val="32"/>
          <w:szCs w:val="32"/>
          <w:shd w:val="clear" w:color="auto" w:fill="FFFFFF"/>
          <w:lang w:val="zh-CN" w:eastAsia="zh-CN" w:bidi="ar"/>
        </w:rPr>
        <w:t>根据部门预算绩效评价指标体系“项目绩效”涉及</w:t>
      </w:r>
      <w:r>
        <w:rPr>
          <w:rFonts w:hint="eastAsia" w:ascii="Times New Roman" w:hAnsi="Times New Roman" w:eastAsia="方正仿宋_GBK" w:cs="Times New Roman"/>
          <w:kern w:val="0"/>
          <w:sz w:val="32"/>
          <w:szCs w:val="32"/>
          <w:shd w:val="clear" w:color="auto" w:fill="FFFFFF"/>
          <w:lang w:val="zh-CN" w:eastAsia="zh-CN" w:bidi="ar"/>
        </w:rPr>
        <w:t>二、三级</w:t>
      </w:r>
      <w:r>
        <w:rPr>
          <w:rFonts w:hint="default" w:ascii="Times New Roman" w:hAnsi="Times New Roman" w:eastAsia="方正仿宋_GBK" w:cs="Times New Roman"/>
          <w:kern w:val="0"/>
          <w:sz w:val="32"/>
          <w:szCs w:val="32"/>
          <w:shd w:val="clear" w:color="auto" w:fill="FFFFFF"/>
          <w:lang w:val="zh-CN" w:eastAsia="zh-CN" w:bidi="ar"/>
        </w:rPr>
        <w:t>指标进行</w:t>
      </w:r>
      <w:r>
        <w:rPr>
          <w:rFonts w:hint="eastAsia" w:ascii="Times New Roman" w:hAnsi="Times New Roman" w:eastAsia="方正仿宋_GBK" w:cs="Times New Roman"/>
          <w:kern w:val="0"/>
          <w:sz w:val="32"/>
          <w:szCs w:val="32"/>
          <w:shd w:val="clear" w:color="auto" w:fill="FFFFFF"/>
          <w:lang w:val="zh-CN" w:eastAsia="zh-CN" w:bidi="ar"/>
        </w:rPr>
        <w:t>逐项</w:t>
      </w:r>
      <w:r>
        <w:rPr>
          <w:rFonts w:hint="default" w:ascii="Times New Roman" w:hAnsi="Times New Roman" w:eastAsia="方正仿宋_GBK" w:cs="Times New Roman"/>
          <w:kern w:val="0"/>
          <w:sz w:val="32"/>
          <w:szCs w:val="32"/>
          <w:shd w:val="clear" w:color="auto" w:fill="FFFFFF"/>
          <w:lang w:val="zh-CN" w:eastAsia="zh-CN" w:bidi="ar"/>
        </w:rPr>
        <w:t>绩效分析</w:t>
      </w:r>
      <w:r>
        <w:rPr>
          <w:rFonts w:hint="eastAsia" w:ascii="Times New Roman" w:hAnsi="Times New Roman" w:eastAsia="方正仿宋_GBK" w:cs="Times New Roman"/>
          <w:kern w:val="0"/>
          <w:sz w:val="32"/>
          <w:szCs w:val="32"/>
          <w:shd w:val="clear" w:color="auto" w:fill="FFFFFF"/>
          <w:lang w:val="zh-CN" w:eastAsia="zh-CN" w:bidi="ar"/>
        </w:rPr>
        <w:t>并评分</w:t>
      </w:r>
      <w:r>
        <w:rPr>
          <w:rFonts w:hint="default" w:ascii="Times New Roman" w:hAnsi="Times New Roman" w:eastAsia="方正仿宋_GBK" w:cs="Times New Roman"/>
          <w:kern w:val="0"/>
          <w:sz w:val="32"/>
          <w:szCs w:val="32"/>
          <w:shd w:val="clear" w:color="auto" w:fill="FFFFFF"/>
          <w:lang w:val="zh-CN" w:eastAsia="zh-CN" w:bidi="ar"/>
        </w:rPr>
        <w:t>，依次包括项目</w:t>
      </w:r>
      <w:r>
        <w:rPr>
          <w:rFonts w:hint="default" w:ascii="Times New Roman" w:hAnsi="Times New Roman" w:eastAsia="方正仿宋_GBK" w:cs="Times New Roman"/>
          <w:kern w:val="0"/>
          <w:sz w:val="32"/>
          <w:szCs w:val="32"/>
          <w:shd w:val="clear" w:color="auto" w:fill="FFFFFF"/>
          <w:lang w:val="en-US" w:eastAsia="zh-CN" w:bidi="ar"/>
        </w:rPr>
        <w:t>决策、项目执行、目标实现等情况</w:t>
      </w:r>
      <w:r>
        <w:rPr>
          <w:rFonts w:hint="eastAsia" w:ascii="Times New Roman" w:hAnsi="Times New Roman" w:eastAsia="方正仿宋_GBK" w:cs="Times New Roman"/>
          <w:kern w:val="0"/>
          <w:sz w:val="32"/>
          <w:szCs w:val="32"/>
          <w:shd w:val="clear" w:color="auto" w:fill="FFFFFF"/>
          <w:lang w:val="en-US" w:eastAsia="zh-CN" w:bidi="ar"/>
        </w:rPr>
        <w:t>。</w:t>
      </w:r>
    </w:p>
    <w:p w14:paraId="5F68F214">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常年项目绩效分析。</w:t>
      </w:r>
      <w:r>
        <w:rPr>
          <w:rFonts w:hint="default" w:ascii="Times New Roman" w:hAnsi="Times New Roman" w:eastAsia="方正仿宋_GBK" w:cs="Times New Roman"/>
          <w:kern w:val="0"/>
          <w:sz w:val="32"/>
          <w:szCs w:val="32"/>
          <w:shd w:val="clear" w:color="auto" w:fill="FFFFFF"/>
          <w:lang w:val="zh-CN" w:eastAsia="zh-CN" w:bidi="ar"/>
        </w:rPr>
        <w:t>该类项目总数</w:t>
      </w:r>
      <w:r>
        <w:rPr>
          <w:rFonts w:hint="eastAsia" w:ascii="Times New Roman" w:hAnsi="Times New Roman" w:eastAsia="方正仿宋_GBK" w:cs="Times New Roman"/>
          <w:kern w:val="0"/>
          <w:sz w:val="32"/>
          <w:szCs w:val="32"/>
          <w:shd w:val="clear" w:color="auto" w:fill="FFFFFF"/>
          <w:lang w:val="en-US" w:eastAsia="zh-CN" w:bidi="ar"/>
        </w:rPr>
        <w:t>12</w:t>
      </w:r>
      <w:r>
        <w:rPr>
          <w:rFonts w:hint="default" w:ascii="Times New Roman" w:hAnsi="Times New Roman" w:eastAsia="方正仿宋_GBK" w:cs="Times New Roman"/>
          <w:kern w:val="0"/>
          <w:sz w:val="32"/>
          <w:szCs w:val="32"/>
          <w:shd w:val="clear" w:color="auto" w:fill="FFFFFF"/>
          <w:lang w:val="zh-CN" w:eastAsia="zh-CN" w:bidi="ar"/>
        </w:rPr>
        <w:t>个，涉及预算总金额</w:t>
      </w:r>
      <w:r>
        <w:rPr>
          <w:rFonts w:hint="default" w:ascii="Times New Roman" w:hAnsi="Times New Roman" w:eastAsia="方正仿宋_GBK" w:cs="Times New Roman"/>
          <w:kern w:val="0"/>
          <w:sz w:val="32"/>
          <w:szCs w:val="32"/>
          <w:shd w:val="clear" w:color="auto" w:fill="FFFFFF"/>
          <w:lang w:val="en-US" w:eastAsia="zh-CN" w:bidi="ar"/>
        </w:rPr>
        <w:t xml:space="preserve"> </w:t>
      </w:r>
      <w:r>
        <w:rPr>
          <w:rFonts w:hint="eastAsia" w:ascii="Times New Roman" w:hAnsi="Times New Roman" w:eastAsia="方正仿宋_GBK" w:cs="Times New Roman"/>
          <w:kern w:val="0"/>
          <w:sz w:val="32"/>
          <w:szCs w:val="32"/>
          <w:shd w:val="clear" w:color="auto" w:fill="FFFFFF"/>
          <w:lang w:val="en-US" w:eastAsia="zh-CN" w:bidi="ar"/>
        </w:rPr>
        <w:t>95.61</w:t>
      </w:r>
      <w:r>
        <w:rPr>
          <w:rFonts w:hint="default" w:ascii="Times New Roman" w:hAnsi="Times New Roman" w:eastAsia="方正仿宋_GBK" w:cs="Times New Roman"/>
          <w:kern w:val="0"/>
          <w:sz w:val="32"/>
          <w:szCs w:val="32"/>
          <w:shd w:val="clear" w:color="auto" w:fill="FFFFFF"/>
          <w:lang w:val="zh-CN" w:eastAsia="zh-CN" w:bidi="ar"/>
        </w:rPr>
        <w:t>万元，1</w:t>
      </w:r>
      <w:r>
        <w:rPr>
          <w:rFonts w:hint="eastAsia"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zh-CN" w:eastAsia="zh-CN" w:bidi="ar"/>
        </w:rPr>
        <w:t>1</w:t>
      </w:r>
      <w:r>
        <w:rPr>
          <w:rFonts w:hint="default" w:ascii="Times New Roman" w:hAnsi="Times New Roman" w:eastAsia="方正仿宋_GBK" w:cs="Times New Roman"/>
          <w:kern w:val="0"/>
          <w:sz w:val="32"/>
          <w:szCs w:val="32"/>
          <w:shd w:val="clear" w:color="auto" w:fill="FFFFFF"/>
          <w:lang w:val="en-US" w:eastAsia="zh-CN" w:bidi="ar"/>
        </w:rPr>
        <w:t>2</w:t>
      </w:r>
      <w:r>
        <w:rPr>
          <w:rFonts w:hint="default" w:ascii="Times New Roman" w:hAnsi="Times New Roman" w:eastAsia="方正仿宋_GBK" w:cs="Times New Roman"/>
          <w:kern w:val="0"/>
          <w:sz w:val="32"/>
          <w:szCs w:val="32"/>
          <w:shd w:val="clear" w:color="auto" w:fill="FFFFFF"/>
          <w:lang w:val="zh-CN" w:eastAsia="zh-CN" w:bidi="ar"/>
        </w:rPr>
        <w:t>月预算执行总体进度为</w:t>
      </w:r>
      <w:r>
        <w:rPr>
          <w:rFonts w:hint="eastAsia" w:ascii="Times New Roman" w:hAnsi="Times New Roman" w:eastAsia="方正仿宋_GBK" w:cs="Times New Roman"/>
          <w:kern w:val="0"/>
          <w:sz w:val="32"/>
          <w:szCs w:val="32"/>
          <w:shd w:val="clear" w:color="auto" w:fill="FFFFFF"/>
          <w:lang w:val="en-US" w:eastAsia="zh-CN" w:bidi="ar"/>
        </w:rPr>
        <w:t>97.01</w:t>
      </w:r>
      <w:r>
        <w:rPr>
          <w:rFonts w:hint="default" w:ascii="Times New Roman" w:hAnsi="Times New Roman" w:eastAsia="方正仿宋_GBK" w:cs="Times New Roman"/>
          <w:kern w:val="0"/>
          <w:sz w:val="32"/>
          <w:szCs w:val="32"/>
          <w:shd w:val="clear" w:color="auto" w:fill="FFFFFF"/>
          <w:lang w:val="zh-CN" w:eastAsia="zh-CN" w:bidi="ar"/>
        </w:rPr>
        <w:t>%，其中：预算结余率大于</w:t>
      </w:r>
      <w:r>
        <w:rPr>
          <w:rFonts w:hint="default" w:ascii="Times New Roman" w:hAnsi="Times New Roman" w:eastAsia="方正仿宋_GBK" w:cs="Times New Roman"/>
          <w:kern w:val="0"/>
          <w:sz w:val="32"/>
          <w:szCs w:val="32"/>
          <w:shd w:val="clear" w:color="auto" w:fill="FFFFFF"/>
          <w:lang w:val="en-US" w:eastAsia="zh-CN" w:bidi="ar"/>
        </w:rPr>
        <w:t>10%</w:t>
      </w:r>
      <w:r>
        <w:rPr>
          <w:rFonts w:hint="default" w:ascii="Times New Roman" w:hAnsi="Times New Roman" w:eastAsia="方正仿宋_GBK" w:cs="Times New Roman"/>
          <w:kern w:val="0"/>
          <w:sz w:val="32"/>
          <w:szCs w:val="32"/>
          <w:shd w:val="clear" w:color="auto" w:fill="FFFFFF"/>
          <w:lang w:val="zh-CN" w:eastAsia="zh-CN" w:bidi="ar"/>
        </w:rPr>
        <w:t>的项目共计</w:t>
      </w:r>
      <w:r>
        <w:rPr>
          <w:rFonts w:hint="eastAsia" w:ascii="Times New Roman" w:hAnsi="Times New Roman" w:eastAsia="方正仿宋_GBK" w:cs="Times New Roman"/>
          <w:kern w:val="0"/>
          <w:sz w:val="32"/>
          <w:szCs w:val="32"/>
          <w:shd w:val="clear" w:color="auto" w:fill="FFFFFF"/>
          <w:lang w:val="en-US" w:eastAsia="zh-CN" w:bidi="ar"/>
        </w:rPr>
        <w:t>0</w:t>
      </w:r>
      <w:r>
        <w:rPr>
          <w:rFonts w:hint="default" w:ascii="Times New Roman" w:hAnsi="Times New Roman" w:eastAsia="方正仿宋_GBK" w:cs="Times New Roman"/>
          <w:kern w:val="0"/>
          <w:sz w:val="32"/>
          <w:szCs w:val="32"/>
          <w:shd w:val="clear" w:color="auto" w:fill="FFFFFF"/>
          <w:lang w:val="zh-CN" w:eastAsia="zh-CN" w:bidi="ar"/>
        </w:rPr>
        <w:t>个。</w:t>
      </w:r>
    </w:p>
    <w:p w14:paraId="27C34616">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阶段</w:t>
      </w:r>
      <w:r>
        <w:rPr>
          <w:rFonts w:hint="eastAsia" w:ascii="Times New Roman" w:hAnsi="Times New Roman" w:eastAsia="方正仿宋_GBK" w:cs="Times New Roman"/>
          <w:kern w:val="0"/>
          <w:sz w:val="32"/>
          <w:szCs w:val="32"/>
          <w:shd w:val="clear" w:color="auto" w:fill="FFFFFF"/>
          <w:lang w:val="en-US" w:eastAsia="zh-CN" w:bidi="ar"/>
        </w:rPr>
        <w:t>（</w:t>
      </w:r>
      <w:r>
        <w:rPr>
          <w:rFonts w:hint="default" w:ascii="Times New Roman" w:hAnsi="Times New Roman" w:eastAsia="方正仿宋_GBK" w:cs="Times New Roman"/>
          <w:kern w:val="0"/>
          <w:sz w:val="32"/>
          <w:szCs w:val="32"/>
          <w:shd w:val="clear" w:color="auto" w:fill="FFFFFF"/>
          <w:lang w:val="en-US" w:eastAsia="zh-CN" w:bidi="ar"/>
        </w:rPr>
        <w:t>一次性</w:t>
      </w:r>
      <w:r>
        <w:rPr>
          <w:rFonts w:hint="eastAsia" w:ascii="Times New Roman" w:hAnsi="Times New Roman" w:eastAsia="方正仿宋_GBK" w:cs="Times New Roman"/>
          <w:kern w:val="0"/>
          <w:sz w:val="32"/>
          <w:szCs w:val="32"/>
          <w:shd w:val="clear" w:color="auto" w:fill="FFFFFF"/>
          <w:lang w:val="en-US" w:eastAsia="zh-CN" w:bidi="ar"/>
        </w:rPr>
        <w:t>）</w:t>
      </w:r>
      <w:r>
        <w:rPr>
          <w:rFonts w:hint="default" w:ascii="Times New Roman" w:hAnsi="Times New Roman" w:eastAsia="方正仿宋_GBK" w:cs="Times New Roman"/>
          <w:kern w:val="0"/>
          <w:sz w:val="32"/>
          <w:szCs w:val="32"/>
          <w:shd w:val="clear" w:color="auto" w:fill="FFFFFF"/>
          <w:lang w:val="en-US" w:eastAsia="zh-CN" w:bidi="ar"/>
        </w:rPr>
        <w:t>项目绩效分析。</w:t>
      </w:r>
      <w:r>
        <w:rPr>
          <w:rFonts w:hint="default" w:ascii="Times New Roman" w:hAnsi="Times New Roman" w:eastAsia="方正仿宋_GBK" w:cs="Times New Roman"/>
          <w:kern w:val="0"/>
          <w:sz w:val="32"/>
          <w:szCs w:val="32"/>
          <w:shd w:val="clear" w:color="auto" w:fill="FFFFFF"/>
          <w:lang w:val="zh-CN" w:eastAsia="zh-CN" w:bidi="ar"/>
        </w:rPr>
        <w:t>该类项目总数</w:t>
      </w:r>
      <w:r>
        <w:rPr>
          <w:rFonts w:hint="eastAsia" w:ascii="Times New Roman" w:hAnsi="Times New Roman" w:eastAsia="方正仿宋_GBK" w:cs="Times New Roman"/>
          <w:kern w:val="0"/>
          <w:sz w:val="32"/>
          <w:szCs w:val="32"/>
          <w:shd w:val="clear" w:color="auto" w:fill="FFFFFF"/>
          <w:lang w:val="en-US" w:eastAsia="zh-CN" w:bidi="ar"/>
        </w:rPr>
        <w:t>17</w:t>
      </w:r>
      <w:r>
        <w:rPr>
          <w:rFonts w:hint="default" w:ascii="Times New Roman" w:hAnsi="Times New Roman" w:eastAsia="方正仿宋_GBK" w:cs="Times New Roman"/>
          <w:kern w:val="0"/>
          <w:sz w:val="32"/>
          <w:szCs w:val="32"/>
          <w:shd w:val="clear" w:color="auto" w:fill="FFFFFF"/>
          <w:lang w:val="zh-CN" w:eastAsia="zh-CN" w:bidi="ar"/>
        </w:rPr>
        <w:t>个，涉及预算总金额</w:t>
      </w:r>
      <w:r>
        <w:rPr>
          <w:rFonts w:hint="eastAsia" w:ascii="Times New Roman" w:hAnsi="Times New Roman" w:eastAsia="方正仿宋_GBK" w:cs="Times New Roman"/>
          <w:kern w:val="0"/>
          <w:sz w:val="32"/>
          <w:szCs w:val="32"/>
          <w:shd w:val="clear" w:color="auto" w:fill="FFFFFF"/>
          <w:lang w:val="en-US" w:eastAsia="zh-CN" w:bidi="ar"/>
        </w:rPr>
        <w:t>766.83</w:t>
      </w:r>
      <w:r>
        <w:rPr>
          <w:rFonts w:hint="default" w:ascii="Times New Roman" w:hAnsi="Times New Roman" w:eastAsia="方正仿宋_GBK" w:cs="Times New Roman"/>
          <w:kern w:val="0"/>
          <w:sz w:val="32"/>
          <w:szCs w:val="32"/>
          <w:shd w:val="clear" w:color="auto" w:fill="FFFFFF"/>
          <w:lang w:val="zh-CN" w:eastAsia="zh-CN" w:bidi="ar"/>
        </w:rPr>
        <w:t>万元，1</w:t>
      </w:r>
      <w:r>
        <w:rPr>
          <w:rFonts w:hint="eastAsia" w:ascii="Times New Roman" w:hAnsi="Times New Roman" w:eastAsia="方正仿宋_GBK" w:cs="Times New Roman"/>
          <w:kern w:val="0"/>
          <w:sz w:val="32"/>
          <w:szCs w:val="32"/>
          <w:shd w:val="clear" w:color="auto" w:fill="FFFFFF"/>
          <w:lang w:val="zh-CN" w:eastAsia="zh-CN" w:bidi="ar"/>
        </w:rPr>
        <w:t>—</w:t>
      </w:r>
      <w:r>
        <w:rPr>
          <w:rFonts w:hint="default" w:ascii="Times New Roman" w:hAnsi="Times New Roman" w:eastAsia="方正仿宋_GBK" w:cs="Times New Roman"/>
          <w:kern w:val="0"/>
          <w:sz w:val="32"/>
          <w:szCs w:val="32"/>
          <w:shd w:val="clear" w:color="auto" w:fill="FFFFFF"/>
          <w:lang w:val="zh-CN" w:eastAsia="zh-CN" w:bidi="ar"/>
        </w:rPr>
        <w:t>1</w:t>
      </w:r>
      <w:r>
        <w:rPr>
          <w:rFonts w:hint="default" w:ascii="Times New Roman" w:hAnsi="Times New Roman" w:eastAsia="方正仿宋_GBK" w:cs="Times New Roman"/>
          <w:kern w:val="0"/>
          <w:sz w:val="32"/>
          <w:szCs w:val="32"/>
          <w:shd w:val="clear" w:color="auto" w:fill="FFFFFF"/>
          <w:lang w:val="en-US" w:eastAsia="zh-CN" w:bidi="ar"/>
        </w:rPr>
        <w:t>2</w:t>
      </w:r>
      <w:r>
        <w:rPr>
          <w:rFonts w:hint="default" w:ascii="Times New Roman" w:hAnsi="Times New Roman" w:eastAsia="方正仿宋_GBK" w:cs="Times New Roman"/>
          <w:kern w:val="0"/>
          <w:sz w:val="32"/>
          <w:szCs w:val="32"/>
          <w:shd w:val="clear" w:color="auto" w:fill="FFFFFF"/>
          <w:lang w:val="zh-CN" w:eastAsia="zh-CN" w:bidi="ar"/>
        </w:rPr>
        <w:t>月预算执行总体进度为</w:t>
      </w:r>
      <w:r>
        <w:rPr>
          <w:rFonts w:hint="eastAsia" w:ascii="Times New Roman" w:hAnsi="Times New Roman" w:eastAsia="方正仿宋_GBK" w:cs="Times New Roman"/>
          <w:kern w:val="0"/>
          <w:sz w:val="32"/>
          <w:szCs w:val="32"/>
          <w:shd w:val="clear" w:color="auto" w:fill="FFFFFF"/>
          <w:lang w:val="en-US" w:eastAsia="zh-CN" w:bidi="ar"/>
        </w:rPr>
        <w:t>72.15</w:t>
      </w:r>
      <w:r>
        <w:rPr>
          <w:rFonts w:hint="default" w:ascii="Times New Roman" w:hAnsi="Times New Roman" w:eastAsia="方正仿宋_GBK" w:cs="Times New Roman"/>
          <w:kern w:val="0"/>
          <w:sz w:val="32"/>
          <w:szCs w:val="32"/>
          <w:shd w:val="clear" w:color="auto" w:fill="FFFFFF"/>
          <w:lang w:val="zh-CN" w:eastAsia="zh-CN" w:bidi="ar"/>
        </w:rPr>
        <w:t>%，其中：预算结余率大于</w:t>
      </w:r>
      <w:r>
        <w:rPr>
          <w:rFonts w:hint="default" w:ascii="Times New Roman" w:hAnsi="Times New Roman" w:eastAsia="方正仿宋_GBK" w:cs="Times New Roman"/>
          <w:kern w:val="0"/>
          <w:sz w:val="32"/>
          <w:szCs w:val="32"/>
          <w:shd w:val="clear" w:color="auto" w:fill="FFFFFF"/>
          <w:lang w:val="en-US" w:eastAsia="zh-CN" w:bidi="ar"/>
        </w:rPr>
        <w:t>10%</w:t>
      </w:r>
      <w:r>
        <w:rPr>
          <w:rFonts w:hint="default" w:ascii="Times New Roman" w:hAnsi="Times New Roman" w:eastAsia="方正仿宋_GBK" w:cs="Times New Roman"/>
          <w:kern w:val="0"/>
          <w:sz w:val="32"/>
          <w:szCs w:val="32"/>
          <w:shd w:val="clear" w:color="auto" w:fill="FFFFFF"/>
          <w:lang w:val="zh-CN" w:eastAsia="zh-CN" w:bidi="ar"/>
        </w:rPr>
        <w:t>的项目共计</w:t>
      </w:r>
      <w:r>
        <w:rPr>
          <w:rFonts w:hint="eastAsia" w:ascii="Times New Roman" w:hAnsi="Times New Roman" w:eastAsia="方正仿宋_GBK" w:cs="Times New Roman"/>
          <w:kern w:val="0"/>
          <w:sz w:val="32"/>
          <w:szCs w:val="32"/>
          <w:shd w:val="clear" w:color="auto" w:fill="FFFFFF"/>
          <w:lang w:val="en-US" w:eastAsia="zh-CN" w:bidi="ar"/>
        </w:rPr>
        <w:t>3</w:t>
      </w:r>
      <w:r>
        <w:rPr>
          <w:rFonts w:hint="default" w:ascii="Times New Roman" w:hAnsi="Times New Roman" w:eastAsia="方正仿宋_GBK" w:cs="Times New Roman"/>
          <w:kern w:val="0"/>
          <w:sz w:val="32"/>
          <w:szCs w:val="32"/>
          <w:shd w:val="clear" w:color="auto" w:fill="FFFFFF"/>
          <w:lang w:val="zh-CN" w:eastAsia="zh-CN" w:bidi="ar"/>
        </w:rPr>
        <w:t>个。</w:t>
      </w:r>
    </w:p>
    <w:p w14:paraId="6F2E1277">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en-US" w:eastAsia="zh-CN" w:bidi="ar"/>
        </w:rPr>
        <w:t>1.</w:t>
      </w:r>
      <w:r>
        <w:rPr>
          <w:rFonts w:hint="eastAsia" w:ascii="Times New Roman" w:hAnsi="Times New Roman" w:eastAsia="方正仿宋_GBK" w:cs="Times New Roman"/>
          <w:kern w:val="0"/>
          <w:sz w:val="32"/>
          <w:szCs w:val="32"/>
          <w:shd w:val="clear" w:color="auto" w:fill="FFFFFF"/>
          <w:lang w:val="zh-CN" w:eastAsia="zh-CN" w:bidi="ar"/>
        </w:rPr>
        <w:t>项目决策。我单位项目均按照单位履职申报，但实际执行中，项目入库存在未按照固定时间完成，扣</w:t>
      </w:r>
      <w:r>
        <w:rPr>
          <w:rFonts w:hint="eastAsia" w:ascii="Times New Roman" w:hAnsi="Times New Roman" w:eastAsia="方正仿宋_GBK" w:cs="Times New Roman"/>
          <w:kern w:val="0"/>
          <w:sz w:val="32"/>
          <w:szCs w:val="32"/>
          <w:shd w:val="clear" w:color="auto" w:fill="FFFFFF"/>
          <w:lang w:val="en-US" w:eastAsia="zh-CN" w:bidi="ar"/>
        </w:rPr>
        <w:t>1分。</w:t>
      </w:r>
      <w:r>
        <w:rPr>
          <w:rFonts w:hint="eastAsia" w:ascii="Times New Roman" w:hAnsi="Times New Roman" w:eastAsia="方正仿宋_GBK" w:cs="Times New Roman"/>
          <w:kern w:val="0"/>
          <w:sz w:val="32"/>
          <w:szCs w:val="32"/>
          <w:shd w:val="clear" w:color="auto" w:fill="FFFFFF"/>
          <w:lang w:val="zh-CN" w:eastAsia="zh-CN" w:bidi="ar"/>
        </w:rPr>
        <w:t>本项指标分</w:t>
      </w:r>
      <w:r>
        <w:rPr>
          <w:rFonts w:hint="eastAsia" w:ascii="Times New Roman" w:hAnsi="Times New Roman" w:eastAsia="方正仿宋_GBK" w:cs="Times New Roman"/>
          <w:kern w:val="0"/>
          <w:sz w:val="32"/>
          <w:szCs w:val="32"/>
          <w:shd w:val="clear" w:color="auto" w:fill="FFFFFF"/>
          <w:lang w:val="en-US" w:eastAsia="zh-CN" w:bidi="ar"/>
        </w:rPr>
        <w:t>4分，实际得分3分。</w:t>
      </w:r>
    </w:p>
    <w:p w14:paraId="22274B9D">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en-US" w:eastAsia="zh-CN" w:bidi="ar"/>
        </w:rPr>
        <w:t>2.项目执行</w:t>
      </w:r>
      <w:r>
        <w:rPr>
          <w:rFonts w:hint="eastAsia" w:ascii="Times New Roman" w:hAnsi="Times New Roman" w:eastAsia="方正仿宋_GBK" w:cs="Times New Roman"/>
          <w:kern w:val="0"/>
          <w:sz w:val="32"/>
          <w:szCs w:val="32"/>
          <w:shd w:val="clear" w:color="auto" w:fill="FFFFFF"/>
          <w:lang w:val="zh-CN" w:eastAsia="zh-CN" w:bidi="ar"/>
        </w:rPr>
        <w:t>。我单位项目执行均按照设定的绩效目标执行。本项指标分</w:t>
      </w:r>
      <w:r>
        <w:rPr>
          <w:rFonts w:hint="eastAsia" w:ascii="Times New Roman" w:hAnsi="Times New Roman" w:eastAsia="方正仿宋_GBK" w:cs="Times New Roman"/>
          <w:kern w:val="0"/>
          <w:sz w:val="32"/>
          <w:szCs w:val="32"/>
          <w:shd w:val="clear" w:color="auto" w:fill="FFFFFF"/>
          <w:lang w:val="en-US" w:eastAsia="zh-CN" w:bidi="ar"/>
        </w:rPr>
        <w:t>12分，实际得分12分。</w:t>
      </w:r>
    </w:p>
    <w:p w14:paraId="598A80C6">
      <w:pPr>
        <w:keepNext w:val="0"/>
        <w:keepLines w:val="0"/>
        <w:pageBreakBefore w:val="0"/>
        <w:widowControl/>
        <w:kinsoku/>
        <w:wordWrap w:val="0"/>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方正仿宋_GBK" w:cs="Times New Roman"/>
          <w:kern w:val="0"/>
          <w:sz w:val="32"/>
          <w:szCs w:val="32"/>
          <w:shd w:val="clear" w:color="auto" w:fill="FFFFFF"/>
          <w:lang w:val="zh-CN" w:eastAsia="zh-CN" w:bidi="ar"/>
        </w:rPr>
      </w:pPr>
      <w:r>
        <w:rPr>
          <w:rFonts w:hint="eastAsia" w:ascii="Times New Roman" w:hAnsi="Times New Roman" w:eastAsia="方正仿宋_GBK" w:cs="Times New Roman"/>
          <w:kern w:val="0"/>
          <w:sz w:val="32"/>
          <w:szCs w:val="32"/>
          <w:shd w:val="clear" w:color="auto" w:fill="FFFFFF"/>
          <w:lang w:val="en-US" w:eastAsia="zh-CN" w:bidi="ar"/>
        </w:rPr>
        <w:t>3.</w:t>
      </w:r>
      <w:r>
        <w:rPr>
          <w:rFonts w:hint="eastAsia" w:ascii="Times New Roman" w:hAnsi="Times New Roman" w:eastAsia="方正仿宋_GBK" w:cs="Times New Roman"/>
          <w:kern w:val="0"/>
          <w:sz w:val="32"/>
          <w:szCs w:val="32"/>
          <w:shd w:val="clear" w:color="auto" w:fill="FFFFFF"/>
          <w:lang w:val="zh-CN" w:eastAsia="zh-CN" w:bidi="ar"/>
        </w:rPr>
        <w:t>目标实现。我单位部门预算项目绩效目标数量指标完成情况较好，达到目标预期。本项指标分</w:t>
      </w:r>
      <w:r>
        <w:rPr>
          <w:rFonts w:hint="eastAsia" w:ascii="Times New Roman" w:hAnsi="Times New Roman" w:eastAsia="方正仿宋_GBK" w:cs="Times New Roman"/>
          <w:kern w:val="0"/>
          <w:sz w:val="32"/>
          <w:szCs w:val="32"/>
          <w:shd w:val="clear" w:color="auto" w:fill="FFFFFF"/>
          <w:lang w:val="en-US" w:eastAsia="zh-CN" w:bidi="ar"/>
        </w:rPr>
        <w:t>11分，实际得分11分。</w:t>
      </w:r>
    </w:p>
    <w:p w14:paraId="28140CAA">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color w:val="auto"/>
          <w:sz w:val="32"/>
          <w:szCs w:val="32"/>
          <w:lang w:val="en-US" w:eastAsia="zh-CN"/>
        </w:rPr>
      </w:pPr>
      <w:r>
        <w:rPr>
          <w:rFonts w:hint="default" w:ascii="Times New Roman" w:hAnsi="Times New Roman" w:eastAsia="方正楷体_GBK" w:cs="Times New Roman"/>
          <w:b/>
          <w:sz w:val="32"/>
          <w:szCs w:val="32"/>
          <w:lang w:val="zh-CN"/>
        </w:rPr>
        <w:t>（</w:t>
      </w:r>
      <w:r>
        <w:rPr>
          <w:rFonts w:hint="eastAsia" w:ascii="Times New Roman" w:hAnsi="Times New Roman" w:eastAsia="方正楷体_GBK" w:cs="Times New Roman"/>
          <w:b/>
          <w:sz w:val="32"/>
          <w:szCs w:val="32"/>
          <w:lang w:val="zh-CN"/>
        </w:rPr>
        <w:t>三</w:t>
      </w:r>
      <w:r>
        <w:rPr>
          <w:rFonts w:hint="default" w:ascii="Times New Roman" w:hAnsi="Times New Roman" w:eastAsia="方正楷体_GBK" w:cs="Times New Roman"/>
          <w:b/>
          <w:sz w:val="32"/>
          <w:szCs w:val="32"/>
          <w:lang w:val="zh-CN"/>
        </w:rPr>
        <w:t>）</w:t>
      </w:r>
      <w:r>
        <w:rPr>
          <w:rFonts w:hint="default" w:ascii="Times New Roman" w:hAnsi="Times New Roman" w:eastAsia="方正楷体_GBK" w:cs="Times New Roman"/>
          <w:b/>
          <w:sz w:val="32"/>
          <w:szCs w:val="32"/>
          <w:lang w:val="zh-CN" w:eastAsia="zh-CN"/>
        </w:rPr>
        <w:t>重点领域</w:t>
      </w:r>
      <w:r>
        <w:rPr>
          <w:rFonts w:hint="default" w:ascii="Times New Roman" w:hAnsi="Times New Roman" w:eastAsia="方正楷体_GBK" w:cs="Times New Roman"/>
          <w:b/>
          <w:sz w:val="32"/>
          <w:szCs w:val="32"/>
          <w:lang w:val="zh-CN"/>
        </w:rPr>
        <w:t>绩效分析</w:t>
      </w:r>
      <w:r>
        <w:rPr>
          <w:rFonts w:hint="default" w:ascii="Times New Roman" w:hAnsi="Times New Roman" w:eastAsia="方正楷体_GBK" w:cs="Times New Roman"/>
          <w:b/>
          <w:sz w:val="32"/>
          <w:szCs w:val="32"/>
          <w:lang w:val="zh-CN" w:eastAsia="zh-CN"/>
        </w:rPr>
        <w:t>。</w:t>
      </w:r>
      <w:r>
        <w:rPr>
          <w:rFonts w:hint="eastAsia" w:ascii="Times New Roman" w:hAnsi="Times New Roman" w:eastAsia="方正仿宋_GBK" w:cs="Times New Roman"/>
          <w:kern w:val="0"/>
          <w:sz w:val="32"/>
          <w:szCs w:val="32"/>
          <w:shd w:val="clear" w:color="auto" w:fill="FFFFFF"/>
          <w:lang w:val="zh-CN" w:eastAsia="zh-CN" w:bidi="ar"/>
        </w:rPr>
        <w:t>我单位设计重点项目为</w:t>
      </w:r>
      <w:r>
        <w:rPr>
          <w:rFonts w:hint="eastAsia" w:ascii="Times New Roman" w:hAnsi="Times New Roman" w:eastAsia="方正仿宋_GBK" w:cs="Times New Roman"/>
          <w:kern w:val="0"/>
          <w:sz w:val="32"/>
          <w:szCs w:val="32"/>
          <w:shd w:val="clear" w:color="auto" w:fill="FFFFFF"/>
          <w:lang w:val="en-US" w:eastAsia="zh-CN" w:bidi="ar"/>
        </w:rPr>
        <w:t>2个，分别是：1.2024年红原县乡村振兴氛围营造建设项目，文号红财发〔2024〕35号，下达资金130万元；2.2023年中央支持地方公共文化服务体系建设补助，资金文号阿州财教〔2024〕6号，下达资金43万元，以上项目均按照项目绩效制定的目标实施，有效达到预期指标，自评结果为优。</w:t>
      </w:r>
    </w:p>
    <w:p w14:paraId="645FBB52">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楷体_GBK" w:cs="Times New Roman"/>
          <w:b/>
          <w:sz w:val="32"/>
          <w:szCs w:val="32"/>
          <w:lang w:val="zh-CN" w:eastAsia="zh-CN"/>
        </w:rPr>
        <w:t>（四）绩效结果应用情况</w:t>
      </w:r>
      <w:r>
        <w:rPr>
          <w:rFonts w:hint="eastAsia" w:ascii="Times New Roman" w:hAnsi="Times New Roman" w:eastAsia="方正楷体_GBK" w:cs="Times New Roman"/>
          <w:b/>
          <w:sz w:val="32"/>
          <w:szCs w:val="32"/>
          <w:lang w:val="zh-CN" w:eastAsia="zh-CN"/>
        </w:rPr>
        <w:t>。</w:t>
      </w:r>
      <w:r>
        <w:rPr>
          <w:rFonts w:hint="eastAsia" w:ascii="Times New Roman" w:hAnsi="Times New Roman" w:eastAsia="方正仿宋_GBK" w:cs="Times New Roman"/>
          <w:kern w:val="0"/>
          <w:sz w:val="32"/>
          <w:szCs w:val="32"/>
          <w:shd w:val="clear" w:color="auto" w:fill="FFFFFF"/>
          <w:lang w:val="zh-CN" w:eastAsia="zh-CN" w:bidi="ar"/>
        </w:rPr>
        <w:t>我单位结合实际，切实改变工作方法和效率，通过合理的绩效评价，提升工作效率，下一步我单位将</w:t>
      </w:r>
      <w:r>
        <w:rPr>
          <w:rFonts w:hint="eastAsia" w:ascii="Times New Roman" w:hAnsi="Times New Roman" w:eastAsia="方正仿宋_GBK" w:cs="Times New Roman"/>
          <w:kern w:val="0"/>
          <w:sz w:val="32"/>
          <w:szCs w:val="32"/>
          <w:shd w:val="clear" w:color="auto" w:fill="FFFFFF"/>
          <w:lang w:val="en-US" w:eastAsia="zh-CN" w:bidi="ar"/>
        </w:rPr>
        <w:t>强化项目进度计划性，将严格做好预算绩效目标申报，细化项目指标，确保项目按计划实施。</w:t>
      </w:r>
    </w:p>
    <w:p w14:paraId="59402745">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lang w:eastAsia="zh-CN"/>
        </w:rPr>
      </w:pPr>
      <w:bookmarkStart w:id="94" w:name="_Toc778"/>
      <w:r>
        <w:rPr>
          <w:rFonts w:hint="default" w:ascii="Times New Roman" w:hAnsi="Times New Roman" w:eastAsia="方正黑体_GBK" w:cs="Times New Roman"/>
          <w:color w:val="000000"/>
          <w:kern w:val="0"/>
          <w:sz w:val="32"/>
          <w:szCs w:val="32"/>
          <w:shd w:val="clear" w:color="auto" w:fill="FFFFFF"/>
          <w:lang w:eastAsia="zh-CN"/>
        </w:rPr>
        <w:t>四、评价结论及建议</w:t>
      </w:r>
      <w:bookmarkEnd w:id="94"/>
    </w:p>
    <w:p w14:paraId="752E302F">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方正楷体_GBK" w:cs="Times New Roman"/>
          <w:b/>
          <w:sz w:val="32"/>
          <w:szCs w:val="32"/>
          <w:lang w:val="zh-CN" w:eastAsia="zh-CN"/>
        </w:rPr>
      </w:pPr>
      <w:r>
        <w:rPr>
          <w:rFonts w:hint="default" w:ascii="Times New Roman" w:hAnsi="Times New Roman" w:eastAsia="方正楷体_GBK" w:cs="Times New Roman"/>
          <w:b/>
          <w:sz w:val="32"/>
          <w:szCs w:val="32"/>
          <w:lang w:val="zh-CN" w:eastAsia="zh-CN"/>
        </w:rPr>
        <w:t>（一）评价结论。</w:t>
      </w:r>
    </w:p>
    <w:p w14:paraId="76B26FA2">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en-US" w:eastAsia="zh-CN" w:bidi="ar"/>
        </w:rPr>
        <w:t>中共红原县委员会宣传部</w:t>
      </w:r>
      <w:r>
        <w:rPr>
          <w:rFonts w:hint="default" w:ascii="Times New Roman" w:hAnsi="Times New Roman" w:eastAsia="方正仿宋_GBK" w:cs="Times New Roman"/>
          <w:kern w:val="0"/>
          <w:sz w:val="32"/>
          <w:szCs w:val="32"/>
          <w:shd w:val="clear" w:color="auto" w:fill="FFFFFF"/>
          <w:lang w:val="en-US" w:eastAsia="zh-CN" w:bidi="ar"/>
        </w:rPr>
        <w:t>部门</w:t>
      </w:r>
      <w:r>
        <w:rPr>
          <w:rFonts w:hint="eastAsia" w:ascii="Times New Roman" w:hAnsi="Times New Roman" w:eastAsia="方正仿宋_GBK" w:cs="Times New Roman"/>
          <w:kern w:val="0"/>
          <w:sz w:val="32"/>
          <w:szCs w:val="32"/>
          <w:shd w:val="clear" w:color="auto" w:fill="FFFFFF"/>
          <w:lang w:val="en-US" w:eastAsia="zh-CN" w:bidi="ar"/>
        </w:rPr>
        <w:t>整体</w:t>
      </w:r>
      <w:r>
        <w:rPr>
          <w:rFonts w:hint="default" w:ascii="Times New Roman" w:hAnsi="Times New Roman" w:eastAsia="方正仿宋_GBK" w:cs="Times New Roman"/>
          <w:kern w:val="0"/>
          <w:sz w:val="32"/>
          <w:szCs w:val="32"/>
          <w:shd w:val="clear" w:color="auto" w:fill="FFFFFF"/>
          <w:lang w:val="en-US" w:eastAsia="zh-CN" w:bidi="ar"/>
        </w:rPr>
        <w:t>绩效</w:t>
      </w:r>
      <w:r>
        <w:rPr>
          <w:rFonts w:hint="eastAsia" w:ascii="Times New Roman" w:hAnsi="Times New Roman" w:eastAsia="方正仿宋_GBK" w:cs="Times New Roman"/>
          <w:kern w:val="0"/>
          <w:sz w:val="32"/>
          <w:szCs w:val="32"/>
          <w:shd w:val="clear" w:color="auto" w:fill="FFFFFF"/>
          <w:lang w:val="en-US" w:eastAsia="zh-CN" w:bidi="ar"/>
        </w:rPr>
        <w:t>评价</w:t>
      </w:r>
      <w:r>
        <w:rPr>
          <w:rFonts w:hint="default" w:ascii="Times New Roman" w:hAnsi="Times New Roman" w:eastAsia="方正仿宋_GBK" w:cs="Times New Roman"/>
          <w:kern w:val="0"/>
          <w:sz w:val="32"/>
          <w:szCs w:val="32"/>
          <w:shd w:val="clear" w:color="auto" w:fill="FFFFFF"/>
          <w:lang w:val="en-US" w:eastAsia="zh-CN" w:bidi="ar"/>
        </w:rPr>
        <w:t>自评</w:t>
      </w:r>
      <w:r>
        <w:rPr>
          <w:rFonts w:hint="eastAsia" w:ascii="Times New Roman" w:hAnsi="Times New Roman" w:eastAsia="方正仿宋_GBK" w:cs="Times New Roman"/>
          <w:kern w:val="0"/>
          <w:sz w:val="32"/>
          <w:szCs w:val="32"/>
          <w:shd w:val="clear" w:color="auto" w:fill="FFFFFF"/>
          <w:lang w:val="en-US" w:eastAsia="zh-CN" w:bidi="ar"/>
        </w:rPr>
        <w:t>得分为95.2分</w:t>
      </w:r>
      <w:r>
        <w:rPr>
          <w:rFonts w:hint="default" w:ascii="Times New Roman" w:hAnsi="Times New Roman" w:eastAsia="方正仿宋_GBK" w:cs="Times New Roman"/>
          <w:kern w:val="0"/>
          <w:sz w:val="32"/>
          <w:szCs w:val="32"/>
          <w:shd w:val="clear" w:color="auto" w:fill="FFFFFF"/>
          <w:lang w:val="en-US" w:eastAsia="zh-CN" w:bidi="ar"/>
        </w:rPr>
        <w:t>。</w:t>
      </w:r>
    </w:p>
    <w:p w14:paraId="5DF7C599">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方正楷体_GBK" w:cs="Times New Roman"/>
          <w:b/>
          <w:sz w:val="32"/>
          <w:szCs w:val="32"/>
          <w:lang w:val="zh-CN" w:eastAsia="zh-CN"/>
        </w:rPr>
      </w:pPr>
      <w:r>
        <w:rPr>
          <w:rFonts w:hint="eastAsia" w:ascii="Times New Roman" w:hAnsi="Times New Roman" w:eastAsia="方正楷体_GBK" w:cs="Times New Roman"/>
          <w:b/>
          <w:sz w:val="32"/>
          <w:szCs w:val="32"/>
          <w:lang w:val="zh-CN" w:eastAsia="zh-CN"/>
        </w:rPr>
        <w:t>（二）</w:t>
      </w:r>
      <w:r>
        <w:rPr>
          <w:rFonts w:hint="default" w:ascii="Times New Roman" w:hAnsi="Times New Roman" w:eastAsia="方正楷体_GBK" w:cs="Times New Roman"/>
          <w:b/>
          <w:sz w:val="32"/>
          <w:szCs w:val="32"/>
          <w:lang w:val="zh-CN" w:eastAsia="zh-CN"/>
        </w:rPr>
        <w:t>存在问题。</w:t>
      </w:r>
    </w:p>
    <w:p w14:paraId="0538D03A">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zh-CN" w:eastAsia="zh-CN" w:bidi="ar"/>
        </w:rPr>
        <w:t>通过自评我单位还存在以下问题：</w:t>
      </w:r>
      <w:r>
        <w:rPr>
          <w:rFonts w:hint="eastAsia" w:ascii="Times New Roman" w:hAnsi="Times New Roman" w:eastAsia="方正仿宋_GBK" w:cs="Times New Roman"/>
          <w:kern w:val="0"/>
          <w:sz w:val="32"/>
          <w:szCs w:val="32"/>
          <w:shd w:val="clear" w:color="auto" w:fill="FFFFFF"/>
          <w:lang w:val="en-US" w:eastAsia="zh-CN" w:bidi="ar"/>
        </w:rPr>
        <w:t>1.</w:t>
      </w:r>
      <w:r>
        <w:rPr>
          <w:rFonts w:hint="eastAsia" w:ascii="Times New Roman" w:hAnsi="Times New Roman" w:eastAsia="方正仿宋_GBK" w:cs="Times New Roman"/>
          <w:kern w:val="0"/>
          <w:sz w:val="32"/>
          <w:szCs w:val="32"/>
          <w:shd w:val="clear" w:color="auto" w:fill="FFFFFF"/>
          <w:lang w:val="zh-CN" w:eastAsia="zh-CN" w:bidi="ar"/>
        </w:rPr>
        <w:t>资产管理欠缺，资产利用率和盘活率均较低；</w:t>
      </w:r>
      <w:r>
        <w:rPr>
          <w:rFonts w:hint="eastAsia" w:ascii="Times New Roman" w:hAnsi="Times New Roman" w:eastAsia="方正仿宋_GBK" w:cs="Times New Roman"/>
          <w:kern w:val="0"/>
          <w:sz w:val="32"/>
          <w:szCs w:val="32"/>
          <w:shd w:val="clear" w:color="auto" w:fill="FFFFFF"/>
          <w:lang w:val="en-US" w:eastAsia="zh-CN" w:bidi="ar"/>
        </w:rPr>
        <w:t>2.项目入库未及时，导致项目资金支付进度较慢。</w:t>
      </w:r>
    </w:p>
    <w:p w14:paraId="7E0DB93C">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方正楷体_GBK" w:cs="Times New Roman"/>
          <w:b/>
          <w:sz w:val="32"/>
          <w:szCs w:val="32"/>
          <w:lang w:val="zh-CN" w:eastAsia="zh-CN"/>
        </w:rPr>
      </w:pPr>
      <w:r>
        <w:rPr>
          <w:rFonts w:hint="eastAsia" w:ascii="Times New Roman" w:hAnsi="Times New Roman" w:eastAsia="方正楷体_GBK" w:cs="Times New Roman"/>
          <w:b/>
          <w:sz w:val="32"/>
          <w:szCs w:val="32"/>
          <w:lang w:val="zh-CN" w:eastAsia="zh-CN"/>
        </w:rPr>
        <w:t>（三）</w:t>
      </w:r>
      <w:r>
        <w:rPr>
          <w:rFonts w:hint="default" w:ascii="Times New Roman" w:hAnsi="Times New Roman" w:eastAsia="方正楷体_GBK" w:cs="Times New Roman"/>
          <w:b/>
          <w:sz w:val="32"/>
          <w:szCs w:val="32"/>
          <w:lang w:val="zh-CN" w:eastAsia="zh-CN"/>
        </w:rPr>
        <w:t>改进建议。</w:t>
      </w:r>
    </w:p>
    <w:p w14:paraId="5C6F0060">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黑体" w:cs="Times New Roman"/>
          <w:szCs w:val="32"/>
          <w:highlight w:val="none"/>
          <w:lang w:val="en-US" w:eastAsia="zh-CN"/>
        </w:rPr>
      </w:pPr>
      <w:r>
        <w:rPr>
          <w:rFonts w:hint="eastAsia" w:ascii="Times New Roman" w:hAnsi="Times New Roman" w:eastAsia="方正仿宋_GBK" w:cs="Times New Roman"/>
          <w:kern w:val="0"/>
          <w:sz w:val="32"/>
          <w:szCs w:val="32"/>
          <w:shd w:val="clear" w:color="auto" w:fill="FFFFFF"/>
          <w:lang w:val="en-US" w:eastAsia="zh-CN" w:bidi="ar"/>
        </w:rPr>
        <w:t>无改进建议。</w:t>
      </w:r>
    </w:p>
    <w:p w14:paraId="5515BEA0">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en-US" w:eastAsia="zh-CN" w:bidi="ar"/>
        </w:rPr>
        <w:t>附表：</w:t>
      </w:r>
      <w:r>
        <w:rPr>
          <w:rFonts w:hint="default" w:ascii="Times New Roman" w:hAnsi="Times New Roman" w:eastAsia="方正仿宋_GBK" w:cs="Times New Roman"/>
          <w:kern w:val="0"/>
          <w:sz w:val="32"/>
          <w:szCs w:val="32"/>
          <w:shd w:val="clear" w:color="auto" w:fill="FFFFFF"/>
          <w:lang w:val="en-US" w:eastAsia="zh-CN" w:bidi="ar"/>
        </w:rPr>
        <w:t>部门整体支出绩效目标完成情况自评表</w:t>
      </w:r>
    </w:p>
    <w:p w14:paraId="04353F74">
      <w:pPr>
        <w:pStyle w:val="2"/>
        <w:rPr>
          <w:rFonts w:hint="default" w:ascii="Times New Roman" w:hAnsi="Times New Roman" w:eastAsia="方正仿宋_GBK" w:cs="Times New Roman"/>
          <w:kern w:val="0"/>
          <w:sz w:val="32"/>
          <w:szCs w:val="32"/>
          <w:shd w:val="clear" w:color="auto" w:fill="FFFFFF"/>
          <w:lang w:val="en-US" w:eastAsia="zh-CN" w:bidi="ar"/>
        </w:rPr>
      </w:pPr>
    </w:p>
    <w:p w14:paraId="1289DDAF">
      <w:pPr>
        <w:rPr>
          <w:rFonts w:hint="default"/>
          <w:lang w:val="en-US" w:eastAsia="zh-CN"/>
        </w:rPr>
      </w:pPr>
    </w:p>
    <w:p w14:paraId="16681C00">
      <w:pPr>
        <w:keepNext w:val="0"/>
        <w:keepLines w:val="0"/>
        <w:pageBreakBefore w:val="0"/>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kern w:val="2"/>
          <w:sz w:val="32"/>
          <w:szCs w:val="24"/>
          <w:highlight w:val="none"/>
          <w:lang w:val="en-US" w:eastAsia="zh-CN" w:bidi="ar-SA"/>
        </w:rPr>
      </w:pPr>
      <w:r>
        <w:rPr>
          <w:rFonts w:hint="eastAsia" w:ascii="黑体" w:hAnsi="黑体" w:eastAsia="黑体" w:cs="黑体"/>
          <w:kern w:val="2"/>
          <w:sz w:val="32"/>
          <w:szCs w:val="24"/>
          <w:highlight w:val="none"/>
          <w:lang w:val="en-US" w:eastAsia="zh-CN" w:bidi="ar-SA"/>
        </w:rPr>
        <w:t>附表</w:t>
      </w:r>
    </w:p>
    <w:tbl>
      <w:tblPr>
        <w:tblStyle w:val="20"/>
        <w:tblW w:w="8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00"/>
        <w:gridCol w:w="1131"/>
        <w:gridCol w:w="1072"/>
        <w:gridCol w:w="924"/>
        <w:gridCol w:w="961"/>
        <w:gridCol w:w="1085"/>
        <w:gridCol w:w="889"/>
        <w:gridCol w:w="777"/>
        <w:gridCol w:w="941"/>
      </w:tblGrid>
      <w:tr w14:paraId="5568F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2" w:hRule="exact"/>
          <w:jc w:val="center"/>
        </w:trPr>
        <w:tc>
          <w:tcPr>
            <w:tcW w:w="8880" w:type="dxa"/>
            <w:gridSpan w:val="9"/>
            <w:noWrap w:val="0"/>
            <w:vAlign w:val="center"/>
          </w:tcPr>
          <w:p w14:paraId="2BA6993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14:paraId="3224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 w:hRule="atLeast"/>
          <w:jc w:val="center"/>
        </w:trPr>
        <w:tc>
          <w:tcPr>
            <w:tcW w:w="8880" w:type="dxa"/>
            <w:gridSpan w:val="9"/>
            <w:noWrap w:val="0"/>
            <w:vAlign w:val="center"/>
          </w:tcPr>
          <w:p w14:paraId="5BD926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47776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7" w:hRule="atLeast"/>
          <w:jc w:val="center"/>
        </w:trPr>
        <w:tc>
          <w:tcPr>
            <w:tcW w:w="8880" w:type="dxa"/>
            <w:gridSpan w:val="9"/>
            <w:tcBorders>
              <w:bottom w:val="single" w:color="000000" w:sz="4" w:space="0"/>
            </w:tcBorders>
            <w:noWrap w:val="0"/>
            <w:vAlign w:val="center"/>
          </w:tcPr>
          <w:p w14:paraId="0FFE5A75">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9A0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9" w:hRule="atLeast"/>
          <w:jc w:val="center"/>
        </w:trPr>
        <w:tc>
          <w:tcPr>
            <w:tcW w:w="3303" w:type="dxa"/>
            <w:gridSpan w:val="3"/>
            <w:tcBorders>
              <w:top w:val="single" w:color="000000" w:sz="4" w:space="0"/>
              <w:left w:val="single" w:color="000000" w:sz="4" w:space="0"/>
              <w:bottom w:val="single" w:color="000000" w:sz="4" w:space="0"/>
              <w:right w:val="single" w:color="000000" w:sz="4" w:space="0"/>
            </w:tcBorders>
            <w:noWrap w:val="0"/>
            <w:vAlign w:val="center"/>
          </w:tcPr>
          <w:p w14:paraId="4CD658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部门名称</w:t>
            </w:r>
          </w:p>
        </w:tc>
        <w:tc>
          <w:tcPr>
            <w:tcW w:w="5577" w:type="dxa"/>
            <w:gridSpan w:val="6"/>
            <w:tcBorders>
              <w:top w:val="single" w:color="000000" w:sz="4" w:space="0"/>
              <w:left w:val="single" w:color="000000" w:sz="4" w:space="0"/>
              <w:bottom w:val="single" w:color="000000" w:sz="4" w:space="0"/>
              <w:right w:val="single" w:color="000000" w:sz="4" w:space="0"/>
            </w:tcBorders>
            <w:noWrap w:val="0"/>
            <w:vAlign w:val="center"/>
          </w:tcPr>
          <w:p w14:paraId="75B924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eastAsia" w:eastAsia="宋体" w:cs="Times New Roman"/>
                <w:i w:val="0"/>
                <w:color w:val="000000"/>
                <w:kern w:val="0"/>
                <w:sz w:val="21"/>
                <w:szCs w:val="21"/>
                <w:u w:val="none"/>
                <w:lang w:val="en-US" w:eastAsia="zh-CN" w:bidi="ar"/>
              </w:rPr>
              <w:t>中共红原县委员会宣传部</w:t>
            </w:r>
          </w:p>
        </w:tc>
      </w:tr>
      <w:tr w14:paraId="7C4D5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9" w:hRule="atLeast"/>
          <w:jc w:val="center"/>
        </w:trPr>
        <w:tc>
          <w:tcPr>
            <w:tcW w:w="11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C486C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年度部门整体支出预算</w:t>
            </w:r>
          </w:p>
        </w:tc>
        <w:tc>
          <w:tcPr>
            <w:tcW w:w="2203" w:type="dxa"/>
            <w:gridSpan w:val="2"/>
            <w:tcBorders>
              <w:top w:val="single" w:color="000000" w:sz="4" w:space="0"/>
              <w:left w:val="single" w:color="000000" w:sz="4" w:space="0"/>
              <w:bottom w:val="single" w:color="000000" w:sz="4" w:space="0"/>
              <w:right w:val="single" w:color="000000" w:sz="4" w:space="0"/>
            </w:tcBorders>
            <w:noWrap w:val="0"/>
            <w:vAlign w:val="center"/>
          </w:tcPr>
          <w:p w14:paraId="14D286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资金总额</w:t>
            </w:r>
          </w:p>
        </w:tc>
        <w:tc>
          <w:tcPr>
            <w:tcW w:w="1885" w:type="dxa"/>
            <w:gridSpan w:val="2"/>
            <w:tcBorders>
              <w:top w:val="single" w:color="000000" w:sz="4" w:space="0"/>
              <w:left w:val="single" w:color="000000" w:sz="4" w:space="0"/>
              <w:bottom w:val="single" w:color="000000" w:sz="4" w:space="0"/>
              <w:right w:val="single" w:color="000000" w:sz="4" w:space="0"/>
            </w:tcBorders>
            <w:noWrap w:val="0"/>
            <w:vAlign w:val="center"/>
          </w:tcPr>
          <w:p w14:paraId="0D82E1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财政拨款</w:t>
            </w:r>
          </w:p>
        </w:tc>
        <w:tc>
          <w:tcPr>
            <w:tcW w:w="3692" w:type="dxa"/>
            <w:gridSpan w:val="4"/>
            <w:tcBorders>
              <w:top w:val="single" w:color="000000" w:sz="4" w:space="0"/>
              <w:left w:val="single" w:color="000000" w:sz="4" w:space="0"/>
              <w:bottom w:val="single" w:color="000000" w:sz="4" w:space="0"/>
              <w:right w:val="single" w:color="000000" w:sz="4" w:space="0"/>
            </w:tcBorders>
            <w:noWrap w:val="0"/>
            <w:vAlign w:val="center"/>
          </w:tcPr>
          <w:p w14:paraId="65C220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其他资金</w:t>
            </w:r>
          </w:p>
        </w:tc>
      </w:tr>
      <w:tr w14:paraId="6D7D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7A43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2203" w:type="dxa"/>
            <w:gridSpan w:val="2"/>
            <w:tcBorders>
              <w:top w:val="single" w:color="000000" w:sz="4" w:space="0"/>
              <w:left w:val="single" w:color="000000" w:sz="4" w:space="0"/>
              <w:bottom w:val="single" w:color="000000" w:sz="4" w:space="0"/>
              <w:right w:val="single" w:color="000000" w:sz="4" w:space="0"/>
            </w:tcBorders>
            <w:noWrap w:val="0"/>
            <w:vAlign w:val="center"/>
          </w:tcPr>
          <w:p w14:paraId="7B991C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514.03</w:t>
            </w:r>
          </w:p>
        </w:tc>
        <w:tc>
          <w:tcPr>
            <w:tcW w:w="1885" w:type="dxa"/>
            <w:gridSpan w:val="2"/>
            <w:tcBorders>
              <w:top w:val="single" w:color="000000" w:sz="4" w:space="0"/>
              <w:left w:val="single" w:color="000000" w:sz="4" w:space="0"/>
              <w:bottom w:val="single" w:color="000000" w:sz="4" w:space="0"/>
              <w:right w:val="single" w:color="000000" w:sz="4" w:space="0"/>
            </w:tcBorders>
            <w:noWrap w:val="0"/>
            <w:vAlign w:val="center"/>
          </w:tcPr>
          <w:p w14:paraId="312FCB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514.03</w:t>
            </w:r>
          </w:p>
        </w:tc>
        <w:tc>
          <w:tcPr>
            <w:tcW w:w="3692" w:type="dxa"/>
            <w:gridSpan w:val="4"/>
            <w:tcBorders>
              <w:top w:val="single" w:color="000000" w:sz="4" w:space="0"/>
              <w:left w:val="single" w:color="000000" w:sz="4" w:space="0"/>
              <w:bottom w:val="single" w:color="000000" w:sz="4" w:space="0"/>
              <w:right w:val="single" w:color="000000" w:sz="4" w:space="0"/>
            </w:tcBorders>
            <w:noWrap w:val="0"/>
            <w:vAlign w:val="center"/>
          </w:tcPr>
          <w:p w14:paraId="06C1E7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0</w:t>
            </w:r>
          </w:p>
        </w:tc>
      </w:tr>
      <w:tr w14:paraId="6DC09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7" w:hRule="atLeast"/>
          <w:jc w:val="center"/>
        </w:trPr>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C1F3B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年度总体</w:t>
            </w:r>
          </w:p>
          <w:p w14:paraId="6E6FFC6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目标</w:t>
            </w:r>
          </w:p>
        </w:tc>
        <w:tc>
          <w:tcPr>
            <w:tcW w:w="7780" w:type="dxa"/>
            <w:gridSpan w:val="8"/>
            <w:tcBorders>
              <w:top w:val="single" w:color="000000" w:sz="4" w:space="0"/>
              <w:left w:val="single" w:color="000000" w:sz="4" w:space="0"/>
              <w:bottom w:val="single" w:color="000000" w:sz="4" w:space="0"/>
              <w:right w:val="single" w:color="000000" w:sz="4" w:space="0"/>
            </w:tcBorders>
            <w:noWrap w:val="0"/>
            <w:vAlign w:val="center"/>
          </w:tcPr>
          <w:p w14:paraId="5ECFBF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全面贯彻落实党的二十大精神，深入落实习近平总书记工作要求和对四川、阿坝工作系列重要指示批示精神，认真落实省委、州委、县委决策部署，扎实推进</w:t>
            </w:r>
            <w:r>
              <w:rPr>
                <w:rFonts w:hint="eastAsia" w:eastAsia="宋体" w:cs="Times New Roman"/>
                <w:i w:val="0"/>
                <w:color w:val="000000"/>
                <w:kern w:val="0"/>
                <w:sz w:val="21"/>
                <w:szCs w:val="21"/>
                <w:u w:val="none"/>
                <w:lang w:val="en-US" w:eastAsia="zh-CN" w:bidi="ar"/>
              </w:rPr>
              <w:t>红原县</w:t>
            </w:r>
            <w:r>
              <w:rPr>
                <w:rFonts w:hint="default" w:ascii="Times New Roman" w:hAnsi="Times New Roman" w:eastAsia="宋体" w:cs="Times New Roman"/>
                <w:i w:val="0"/>
                <w:color w:val="000000"/>
                <w:kern w:val="0"/>
                <w:sz w:val="21"/>
                <w:szCs w:val="21"/>
                <w:u w:val="none"/>
                <w:lang w:val="en-US" w:eastAsia="zh-CN" w:bidi="ar"/>
              </w:rPr>
              <w:t>宣传思想文化</w:t>
            </w:r>
            <w:r>
              <w:rPr>
                <w:rFonts w:hint="eastAsia" w:eastAsia="宋体" w:cs="Times New Roman"/>
                <w:i w:val="0"/>
                <w:color w:val="000000"/>
                <w:kern w:val="0"/>
                <w:sz w:val="21"/>
                <w:szCs w:val="21"/>
                <w:u w:val="none"/>
                <w:lang w:val="en-US" w:eastAsia="zh-CN" w:bidi="ar"/>
              </w:rPr>
              <w:t>建设，奋力开创红原县县宣传思想文化工作新局面，打造红原品牌，提升红原知名度。</w:t>
            </w:r>
          </w:p>
        </w:tc>
      </w:tr>
      <w:tr w14:paraId="2727E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9" w:hRule="atLeast"/>
          <w:jc w:val="center"/>
        </w:trPr>
        <w:tc>
          <w:tcPr>
            <w:tcW w:w="1100" w:type="dxa"/>
            <w:vMerge w:val="restart"/>
            <w:tcBorders>
              <w:top w:val="single" w:color="000000" w:sz="4" w:space="0"/>
              <w:left w:val="single" w:color="000000" w:sz="4" w:space="0"/>
              <w:right w:val="single" w:color="000000" w:sz="4" w:space="0"/>
            </w:tcBorders>
            <w:noWrap w:val="0"/>
            <w:vAlign w:val="center"/>
          </w:tcPr>
          <w:p w14:paraId="6EFF09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年度主要</w:t>
            </w:r>
          </w:p>
          <w:p w14:paraId="0AADF8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任务</w:t>
            </w:r>
          </w:p>
        </w:tc>
        <w:tc>
          <w:tcPr>
            <w:tcW w:w="2203" w:type="dxa"/>
            <w:gridSpan w:val="2"/>
            <w:tcBorders>
              <w:top w:val="single" w:color="000000" w:sz="4" w:space="0"/>
              <w:left w:val="single" w:color="000000" w:sz="4" w:space="0"/>
              <w:bottom w:val="single" w:color="000000" w:sz="4" w:space="0"/>
              <w:right w:val="single" w:color="000000" w:sz="4" w:space="0"/>
            </w:tcBorders>
            <w:noWrap w:val="0"/>
            <w:vAlign w:val="center"/>
          </w:tcPr>
          <w:p w14:paraId="2E9209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任务名称</w:t>
            </w:r>
          </w:p>
        </w:tc>
        <w:tc>
          <w:tcPr>
            <w:tcW w:w="5577" w:type="dxa"/>
            <w:gridSpan w:val="6"/>
            <w:tcBorders>
              <w:top w:val="single" w:color="000000" w:sz="4" w:space="0"/>
              <w:left w:val="single" w:color="000000" w:sz="4" w:space="0"/>
              <w:bottom w:val="single" w:color="000000" w:sz="4" w:space="0"/>
              <w:right w:val="single" w:color="000000" w:sz="4" w:space="0"/>
            </w:tcBorders>
            <w:noWrap w:val="0"/>
            <w:vAlign w:val="center"/>
          </w:tcPr>
          <w:p w14:paraId="776676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主要内容</w:t>
            </w:r>
          </w:p>
        </w:tc>
      </w:tr>
      <w:tr w14:paraId="4EEB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7" w:hRule="atLeast"/>
          <w:jc w:val="center"/>
        </w:trPr>
        <w:tc>
          <w:tcPr>
            <w:tcW w:w="1100" w:type="dxa"/>
            <w:vMerge w:val="continue"/>
            <w:tcBorders>
              <w:left w:val="single" w:color="000000" w:sz="4" w:space="0"/>
              <w:right w:val="single" w:color="000000" w:sz="4" w:space="0"/>
            </w:tcBorders>
            <w:noWrap w:val="0"/>
            <w:vAlign w:val="center"/>
          </w:tcPr>
          <w:p w14:paraId="6707D79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2203" w:type="dxa"/>
            <w:gridSpan w:val="2"/>
            <w:tcBorders>
              <w:top w:val="single" w:color="000000" w:sz="4" w:space="0"/>
              <w:left w:val="single" w:color="000000" w:sz="4" w:space="0"/>
              <w:bottom w:val="single" w:color="000000" w:sz="4" w:space="0"/>
              <w:right w:val="single" w:color="000000" w:sz="4" w:space="0"/>
            </w:tcBorders>
            <w:noWrap w:val="0"/>
            <w:vAlign w:val="center"/>
          </w:tcPr>
          <w:p w14:paraId="164FB4A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进一步加强理论武装</w:t>
            </w:r>
          </w:p>
        </w:tc>
        <w:tc>
          <w:tcPr>
            <w:tcW w:w="5577" w:type="dxa"/>
            <w:gridSpan w:val="6"/>
            <w:tcBorders>
              <w:top w:val="single" w:color="000000" w:sz="4" w:space="0"/>
              <w:left w:val="single" w:color="000000" w:sz="4" w:space="0"/>
              <w:bottom w:val="single" w:color="000000" w:sz="4" w:space="0"/>
              <w:right w:val="single" w:color="000000" w:sz="4" w:space="0"/>
            </w:tcBorders>
            <w:noWrap w:val="0"/>
            <w:vAlign w:val="center"/>
          </w:tcPr>
          <w:p w14:paraId="3A148B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0"/>
                <w:szCs w:val="20"/>
                <w:u w:val="none"/>
                <w:lang w:val="en-US" w:eastAsia="zh-CN" w:bidi="ar"/>
              </w:rPr>
              <w:t>以提高质量为重点规范和加强党委（党组）理论学习中心组学习。管好用好“学习强国”平台等学习阵地，持续优化“红色草原”理论宣讲格局，广泛组织开展面对面、互动化、分众化宣传宣讲，不断扩大宣讲覆盖面</w:t>
            </w:r>
            <w:r>
              <w:rPr>
                <w:rFonts w:hint="eastAsia" w:eastAsia="宋体" w:cs="Times New Roman"/>
                <w:i w:val="0"/>
                <w:color w:val="000000"/>
                <w:kern w:val="0"/>
                <w:sz w:val="20"/>
                <w:szCs w:val="20"/>
                <w:u w:val="none"/>
                <w:lang w:val="en-US" w:eastAsia="zh-CN" w:bidi="ar"/>
              </w:rPr>
              <w:t>。</w:t>
            </w:r>
          </w:p>
        </w:tc>
      </w:tr>
      <w:tr w14:paraId="3A8D2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4" w:hRule="atLeast"/>
          <w:jc w:val="center"/>
        </w:trPr>
        <w:tc>
          <w:tcPr>
            <w:tcW w:w="1100" w:type="dxa"/>
            <w:vMerge w:val="continue"/>
            <w:tcBorders>
              <w:left w:val="single" w:color="000000" w:sz="4" w:space="0"/>
              <w:right w:val="single" w:color="000000" w:sz="4" w:space="0"/>
            </w:tcBorders>
            <w:noWrap w:val="0"/>
            <w:vAlign w:val="center"/>
          </w:tcPr>
          <w:p w14:paraId="1D14885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2203" w:type="dxa"/>
            <w:gridSpan w:val="2"/>
            <w:tcBorders>
              <w:top w:val="single" w:color="000000" w:sz="4" w:space="0"/>
              <w:left w:val="single" w:color="000000" w:sz="4" w:space="0"/>
              <w:bottom w:val="single" w:color="000000" w:sz="4" w:space="0"/>
              <w:right w:val="single" w:color="000000" w:sz="4" w:space="0"/>
            </w:tcBorders>
            <w:noWrap w:val="0"/>
            <w:vAlign w:val="center"/>
          </w:tcPr>
          <w:p w14:paraId="2FFF58A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进一步营造舆论氛围</w:t>
            </w:r>
          </w:p>
        </w:tc>
        <w:tc>
          <w:tcPr>
            <w:tcW w:w="5577" w:type="dxa"/>
            <w:gridSpan w:val="6"/>
            <w:tcBorders>
              <w:top w:val="single" w:color="000000" w:sz="4" w:space="0"/>
              <w:left w:val="single" w:color="000000" w:sz="4" w:space="0"/>
              <w:bottom w:val="single" w:color="000000" w:sz="4" w:space="0"/>
              <w:right w:val="single" w:color="000000" w:sz="4" w:space="0"/>
            </w:tcBorders>
            <w:noWrap w:val="0"/>
            <w:vAlign w:val="center"/>
          </w:tcPr>
          <w:p w14:paraId="1C2FED28">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0"/>
                <w:szCs w:val="20"/>
                <w:u w:val="none"/>
              </w:rPr>
              <w:t>聚焦主题主线，开展全方位立体式多角度的对外宣传，提高红原的知名度、美誉度、辨识度。有序推进中华民族视觉形象建设，筑牢中华民族共同体意识</w:t>
            </w:r>
            <w:r>
              <w:rPr>
                <w:rFonts w:hint="eastAsia" w:eastAsia="宋体" w:cs="Times New Roman"/>
                <w:i w:val="0"/>
                <w:color w:val="000000"/>
                <w:sz w:val="20"/>
                <w:szCs w:val="20"/>
                <w:u w:val="none"/>
                <w:lang w:eastAsia="zh-CN"/>
              </w:rPr>
              <w:t>。</w:t>
            </w:r>
          </w:p>
        </w:tc>
      </w:tr>
      <w:tr w14:paraId="26546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7" w:hRule="atLeast"/>
          <w:jc w:val="center"/>
        </w:trPr>
        <w:tc>
          <w:tcPr>
            <w:tcW w:w="1100" w:type="dxa"/>
            <w:vMerge w:val="continue"/>
            <w:tcBorders>
              <w:left w:val="single" w:color="000000" w:sz="4" w:space="0"/>
              <w:right w:val="single" w:color="000000" w:sz="4" w:space="0"/>
            </w:tcBorders>
            <w:noWrap w:val="0"/>
            <w:vAlign w:val="center"/>
          </w:tcPr>
          <w:p w14:paraId="1484430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2203" w:type="dxa"/>
            <w:gridSpan w:val="2"/>
            <w:tcBorders>
              <w:top w:val="single" w:color="000000" w:sz="4" w:space="0"/>
              <w:left w:val="single" w:color="000000" w:sz="4" w:space="0"/>
              <w:bottom w:val="single" w:color="000000" w:sz="4" w:space="0"/>
              <w:right w:val="single" w:color="000000" w:sz="4" w:space="0"/>
            </w:tcBorders>
            <w:noWrap w:val="0"/>
            <w:vAlign w:val="center"/>
          </w:tcPr>
          <w:p w14:paraId="47BD7E1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1"/>
                <w:szCs w:val="21"/>
                <w:u w:val="none"/>
              </w:rPr>
              <w:t>进一步推进文化繁荣</w:t>
            </w:r>
          </w:p>
        </w:tc>
        <w:tc>
          <w:tcPr>
            <w:tcW w:w="5577" w:type="dxa"/>
            <w:gridSpan w:val="6"/>
            <w:tcBorders>
              <w:top w:val="single" w:color="000000" w:sz="4" w:space="0"/>
              <w:left w:val="single" w:color="000000" w:sz="4" w:space="0"/>
              <w:bottom w:val="single" w:color="000000" w:sz="4" w:space="0"/>
              <w:right w:val="single" w:color="000000" w:sz="4" w:space="0"/>
            </w:tcBorders>
            <w:noWrap w:val="0"/>
            <w:vAlign w:val="center"/>
          </w:tcPr>
          <w:p w14:paraId="76C6BA8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sz w:val="20"/>
                <w:szCs w:val="20"/>
                <w:u w:val="none"/>
              </w:rPr>
              <w:t>大力推动文化产业和旅游业振兴发展，做大做强“雅克”文旅IP，持续深入实施文化传承重点工程，加快推进长征国家文化公园红原段红色文化旅游节点打造项目。大力繁荣发展文化事业，满足人民群众日益增长的精神文化需求。</w:t>
            </w:r>
          </w:p>
        </w:tc>
      </w:tr>
      <w:tr w14:paraId="75F6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2" w:hRule="atLeast"/>
          <w:jc w:val="center"/>
        </w:trPr>
        <w:tc>
          <w:tcPr>
            <w:tcW w:w="11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CE01F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年度绩效</w:t>
            </w:r>
          </w:p>
          <w:p w14:paraId="4D945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指标</w:t>
            </w: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664FB7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一级指标</w:t>
            </w:r>
          </w:p>
        </w:tc>
        <w:tc>
          <w:tcPr>
            <w:tcW w:w="1072" w:type="dxa"/>
            <w:tcBorders>
              <w:top w:val="single" w:color="000000" w:sz="4" w:space="0"/>
              <w:left w:val="single" w:color="000000" w:sz="4" w:space="0"/>
              <w:bottom w:val="single" w:color="000000" w:sz="4" w:space="0"/>
              <w:right w:val="single" w:color="000000" w:sz="4" w:space="0"/>
            </w:tcBorders>
            <w:noWrap w:val="0"/>
            <w:vAlign w:val="center"/>
          </w:tcPr>
          <w:p w14:paraId="437D4C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二级指标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450F2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三级指标</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38FCDB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绩效指标</w:t>
            </w:r>
          </w:p>
          <w:p w14:paraId="7C9943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性质</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40464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绩效指标值</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2B0E51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绩效度量单位</w:t>
            </w:r>
          </w:p>
        </w:tc>
        <w:tc>
          <w:tcPr>
            <w:tcW w:w="777" w:type="dxa"/>
            <w:tcBorders>
              <w:top w:val="single" w:color="000000" w:sz="4" w:space="0"/>
              <w:left w:val="single" w:color="000000" w:sz="4" w:space="0"/>
              <w:bottom w:val="single" w:color="000000" w:sz="4" w:space="0"/>
            </w:tcBorders>
            <w:noWrap w:val="0"/>
            <w:vAlign w:val="center"/>
          </w:tcPr>
          <w:p w14:paraId="1ED753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权重</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09A23D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实际完成</w:t>
            </w:r>
          </w:p>
          <w:p w14:paraId="66E66A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指标值</w:t>
            </w:r>
          </w:p>
        </w:tc>
      </w:tr>
      <w:tr w14:paraId="6791E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9"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09F7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131" w:type="dxa"/>
            <w:vMerge w:val="restart"/>
            <w:tcBorders>
              <w:top w:val="single" w:color="000000" w:sz="4" w:space="0"/>
              <w:left w:val="single" w:color="000000" w:sz="4" w:space="0"/>
              <w:bottom w:val="single" w:color="000000" w:sz="4" w:space="0"/>
              <w:right w:val="single" w:color="000000" w:sz="4" w:space="0"/>
            </w:tcBorders>
            <w:noWrap w:val="0"/>
            <w:vAlign w:val="center"/>
          </w:tcPr>
          <w:p w14:paraId="04CA6C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产出指标</w:t>
            </w:r>
          </w:p>
        </w:tc>
        <w:tc>
          <w:tcPr>
            <w:tcW w:w="1072" w:type="dxa"/>
            <w:vMerge w:val="restart"/>
            <w:tcBorders>
              <w:top w:val="single" w:color="000000" w:sz="4" w:space="0"/>
              <w:left w:val="single" w:color="000000" w:sz="4" w:space="0"/>
              <w:right w:val="single" w:color="000000" w:sz="4" w:space="0"/>
            </w:tcBorders>
            <w:noWrap w:val="0"/>
            <w:vAlign w:val="center"/>
          </w:tcPr>
          <w:p w14:paraId="03B032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数量指标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359C2B6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sz w:val="15"/>
                <w:szCs w:val="15"/>
                <w:u w:val="none"/>
                <w:lang w:eastAsia="zh-CN"/>
              </w:rPr>
              <w:t>媒体合作家</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62745E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sz w:val="16"/>
                <w:szCs w:val="16"/>
                <w:u w:val="none"/>
                <w:lang w:val="en-US" w:eastAsia="zh-CN"/>
              </w:rPr>
              <w:t>≥</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6A5DDA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kern w:val="0"/>
                <w:sz w:val="18"/>
                <w:szCs w:val="18"/>
                <w:u w:val="none"/>
                <w:lang w:val="en-US" w:eastAsia="zh-CN" w:bidi="ar"/>
              </w:rPr>
              <w:t>2</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42E080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eastAsia" w:eastAsia="宋体" w:cs="Times New Roman"/>
                <w:i w:val="0"/>
                <w:color w:val="000000"/>
                <w:kern w:val="0"/>
                <w:sz w:val="18"/>
                <w:szCs w:val="18"/>
                <w:u w:val="none"/>
                <w:lang w:val="en-US" w:eastAsia="zh-CN" w:bidi="ar"/>
              </w:rPr>
              <w:t>家</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12883B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15</w:t>
            </w:r>
          </w:p>
        </w:tc>
        <w:tc>
          <w:tcPr>
            <w:tcW w:w="941" w:type="dxa"/>
            <w:tcBorders>
              <w:left w:val="single" w:color="000000" w:sz="4" w:space="0"/>
              <w:bottom w:val="single" w:color="000000" w:sz="4" w:space="0"/>
              <w:right w:val="single" w:color="000000" w:sz="4" w:space="0"/>
            </w:tcBorders>
            <w:noWrap w:val="0"/>
            <w:vAlign w:val="center"/>
          </w:tcPr>
          <w:p w14:paraId="3366EB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18"/>
                <w:szCs w:val="18"/>
                <w:u w:val="none"/>
                <w:lang w:val="en-US" w:eastAsia="zh-CN"/>
              </w:rPr>
            </w:pPr>
            <w:r>
              <w:rPr>
                <w:rFonts w:hint="eastAsia" w:eastAsia="宋体" w:cs="Times New Roman"/>
                <w:i w:val="0"/>
                <w:color w:val="000000"/>
                <w:sz w:val="18"/>
                <w:szCs w:val="18"/>
                <w:u w:val="none"/>
                <w:lang w:val="en-US" w:eastAsia="zh-CN"/>
              </w:rPr>
              <w:t>2</w:t>
            </w:r>
          </w:p>
        </w:tc>
      </w:tr>
      <w:tr w14:paraId="426CE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2"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B0E3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131" w:type="dxa"/>
            <w:vMerge w:val="continue"/>
            <w:tcBorders>
              <w:left w:val="single" w:color="000000" w:sz="4" w:space="0"/>
              <w:right w:val="single" w:color="000000" w:sz="4" w:space="0"/>
            </w:tcBorders>
            <w:noWrap w:val="0"/>
            <w:vAlign w:val="center"/>
          </w:tcPr>
          <w:p w14:paraId="516A19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p>
        </w:tc>
        <w:tc>
          <w:tcPr>
            <w:tcW w:w="1072" w:type="dxa"/>
            <w:vMerge w:val="continue"/>
            <w:tcBorders>
              <w:left w:val="single" w:color="000000" w:sz="4" w:space="0"/>
              <w:bottom w:val="single" w:color="000000" w:sz="4" w:space="0"/>
              <w:right w:val="single" w:color="000000" w:sz="4" w:space="0"/>
            </w:tcBorders>
            <w:noWrap w:val="0"/>
            <w:vAlign w:val="center"/>
          </w:tcPr>
          <w:p w14:paraId="0C4CE1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1756DEB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5"/>
                <w:szCs w:val="15"/>
                <w:u w:val="none"/>
                <w:lang w:eastAsia="zh-CN"/>
              </w:rPr>
            </w:pPr>
            <w:r>
              <w:rPr>
                <w:rFonts w:hint="eastAsia" w:ascii="Times New Roman" w:hAnsi="Times New Roman" w:eastAsia="宋体" w:cs="Times New Roman"/>
                <w:i w:val="0"/>
                <w:color w:val="000000"/>
                <w:sz w:val="13"/>
                <w:szCs w:val="13"/>
                <w:u w:val="none"/>
                <w:lang w:eastAsia="zh-CN"/>
              </w:rPr>
              <w:t>保障单位正常运行支出</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298AA3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lang w:val="en-US" w:eastAsia="zh-CN"/>
              </w:rPr>
            </w:pPr>
            <w:r>
              <w:rPr>
                <w:rFonts w:hint="default" w:ascii="Times New Roman" w:hAnsi="Times New Roman" w:eastAsia="宋体" w:cs="Times New Roman"/>
                <w:i w:val="0"/>
                <w:color w:val="000000"/>
                <w:sz w:val="18"/>
                <w:szCs w:val="18"/>
                <w:u w:val="none"/>
                <w:lang w:val="en-US" w:eastAsia="zh-CN"/>
              </w:rPr>
              <w:t>＝</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22015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18"/>
                <w:szCs w:val="18"/>
                <w:u w:val="none"/>
                <w:lang w:val="en-US" w:eastAsia="zh-CN"/>
              </w:rPr>
            </w:pPr>
            <w:r>
              <w:rPr>
                <w:rFonts w:hint="eastAsia" w:ascii="Times New Roman" w:hAnsi="Times New Roman" w:eastAsia="宋体" w:cs="Times New Roman"/>
                <w:i w:val="0"/>
                <w:color w:val="000000"/>
                <w:sz w:val="18"/>
                <w:szCs w:val="18"/>
                <w:u w:val="none"/>
                <w:lang w:val="en-US" w:eastAsia="zh-CN"/>
              </w:rPr>
              <w:t>1</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7BB176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18"/>
                <w:szCs w:val="18"/>
                <w:u w:val="none"/>
                <w:lang w:val="en-US" w:eastAsia="zh-CN"/>
              </w:rPr>
            </w:pPr>
            <w:r>
              <w:rPr>
                <w:rFonts w:hint="eastAsia" w:ascii="Times New Roman" w:hAnsi="Times New Roman" w:eastAsia="宋体" w:cs="Times New Roman"/>
                <w:i w:val="0"/>
                <w:color w:val="000000"/>
                <w:sz w:val="18"/>
                <w:szCs w:val="18"/>
                <w:u w:val="none"/>
                <w:lang w:val="en-US" w:eastAsia="zh-CN"/>
              </w:rPr>
              <w:t>年</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73133B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lang w:val="en-US" w:eastAsia="zh-CN"/>
              </w:rPr>
            </w:pPr>
            <w:r>
              <w:rPr>
                <w:rFonts w:hint="eastAsia" w:ascii="Times New Roman" w:hAnsi="Times New Roman" w:eastAsia="宋体" w:cs="Times New Roman"/>
                <w:i w:val="0"/>
                <w:color w:val="000000"/>
                <w:sz w:val="18"/>
                <w:szCs w:val="18"/>
                <w:u w:val="none"/>
                <w:lang w:val="en-US" w:eastAsia="zh-CN"/>
              </w:rPr>
              <w:t>15</w:t>
            </w:r>
          </w:p>
        </w:tc>
        <w:tc>
          <w:tcPr>
            <w:tcW w:w="941" w:type="dxa"/>
            <w:tcBorders>
              <w:left w:val="single" w:color="000000" w:sz="4" w:space="0"/>
              <w:bottom w:val="single" w:color="000000" w:sz="4" w:space="0"/>
              <w:right w:val="single" w:color="000000" w:sz="4" w:space="0"/>
            </w:tcBorders>
            <w:noWrap w:val="0"/>
            <w:vAlign w:val="center"/>
          </w:tcPr>
          <w:p w14:paraId="0AC562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lang w:val="en-US" w:eastAsia="zh-CN"/>
              </w:rPr>
            </w:pPr>
            <w:r>
              <w:rPr>
                <w:rFonts w:hint="eastAsia" w:ascii="Times New Roman" w:hAnsi="Times New Roman" w:eastAsia="宋体" w:cs="Times New Roman"/>
                <w:i w:val="0"/>
                <w:color w:val="000000"/>
                <w:sz w:val="18"/>
                <w:szCs w:val="18"/>
                <w:u w:val="none"/>
                <w:lang w:val="en-US" w:eastAsia="zh-CN"/>
              </w:rPr>
              <w:t>1</w:t>
            </w:r>
          </w:p>
        </w:tc>
      </w:tr>
      <w:tr w14:paraId="6E29B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2"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6736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1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A3BC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072" w:type="dxa"/>
            <w:tcBorders>
              <w:top w:val="single" w:color="000000" w:sz="4" w:space="0"/>
              <w:left w:val="single" w:color="000000" w:sz="4" w:space="0"/>
              <w:bottom w:val="single" w:color="000000" w:sz="4" w:space="0"/>
              <w:right w:val="single" w:color="000000" w:sz="4" w:space="0"/>
            </w:tcBorders>
            <w:noWrap w:val="0"/>
            <w:vAlign w:val="center"/>
          </w:tcPr>
          <w:p w14:paraId="2263D00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质量指标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4AB82E0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15"/>
                <w:szCs w:val="15"/>
                <w:u w:val="none"/>
                <w:lang w:eastAsia="zh-CN"/>
              </w:rPr>
            </w:pPr>
            <w:r>
              <w:rPr>
                <w:rFonts w:hint="eastAsia" w:ascii="Times New Roman" w:hAnsi="Times New Roman" w:eastAsia="宋体" w:cs="Times New Roman"/>
                <w:i w:val="0"/>
                <w:color w:val="000000"/>
                <w:sz w:val="15"/>
                <w:szCs w:val="15"/>
                <w:u w:val="none"/>
                <w:lang w:eastAsia="zh-CN"/>
              </w:rPr>
              <w:t>关键工作完成质量</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63EB705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16"/>
                <w:szCs w:val="16"/>
                <w:u w:val="none"/>
                <w:lang w:eastAsia="zh-CN"/>
              </w:rPr>
            </w:pPr>
            <w:r>
              <w:rPr>
                <w:rFonts w:hint="eastAsia" w:ascii="Times New Roman" w:hAnsi="Times New Roman" w:eastAsia="宋体" w:cs="Times New Roman"/>
                <w:i w:val="0"/>
                <w:color w:val="000000"/>
                <w:sz w:val="16"/>
                <w:szCs w:val="16"/>
                <w:u w:val="none"/>
                <w:lang w:eastAsia="zh-CN"/>
              </w:rPr>
              <w:t>定性</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10A2AD8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16"/>
                <w:szCs w:val="16"/>
                <w:u w:val="none"/>
                <w:lang w:eastAsia="zh-CN"/>
              </w:rPr>
            </w:pPr>
            <w:r>
              <w:rPr>
                <w:rFonts w:hint="eastAsia" w:ascii="Times New Roman" w:hAnsi="Times New Roman" w:eastAsia="宋体" w:cs="Times New Roman"/>
                <w:i w:val="0"/>
                <w:color w:val="000000"/>
                <w:sz w:val="16"/>
                <w:szCs w:val="16"/>
                <w:u w:val="none"/>
                <w:lang w:eastAsia="zh-CN"/>
              </w:rPr>
              <w:t>优</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25216D8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94AF63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79A6207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16"/>
                <w:szCs w:val="16"/>
                <w:u w:val="none"/>
                <w:lang w:eastAsia="zh-CN"/>
              </w:rPr>
            </w:pPr>
            <w:r>
              <w:rPr>
                <w:rFonts w:hint="eastAsia" w:ascii="Times New Roman" w:hAnsi="Times New Roman" w:eastAsia="宋体" w:cs="Times New Roman"/>
                <w:i w:val="0"/>
                <w:color w:val="000000"/>
                <w:sz w:val="16"/>
                <w:szCs w:val="16"/>
                <w:u w:val="none"/>
                <w:lang w:eastAsia="zh-CN"/>
              </w:rPr>
              <w:t>优</w:t>
            </w:r>
          </w:p>
        </w:tc>
      </w:tr>
      <w:tr w14:paraId="23B12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9"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A61D5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1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D3DD0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072" w:type="dxa"/>
            <w:tcBorders>
              <w:top w:val="single" w:color="000000" w:sz="4" w:space="0"/>
              <w:left w:val="single" w:color="000000" w:sz="4" w:space="0"/>
              <w:bottom w:val="single" w:color="000000" w:sz="4" w:space="0"/>
              <w:right w:val="single" w:color="000000" w:sz="4" w:space="0"/>
            </w:tcBorders>
            <w:noWrap w:val="0"/>
            <w:vAlign w:val="center"/>
          </w:tcPr>
          <w:p w14:paraId="2E726E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时效指标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4B0510A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5"/>
                <w:szCs w:val="15"/>
                <w:u w:val="none"/>
              </w:rPr>
            </w:pPr>
            <w:r>
              <w:rPr>
                <w:rFonts w:hint="eastAsia" w:ascii="Times New Roman" w:hAnsi="Times New Roman" w:eastAsia="宋体" w:cs="Times New Roman"/>
                <w:i w:val="0"/>
                <w:color w:val="000000"/>
                <w:sz w:val="13"/>
                <w:szCs w:val="13"/>
                <w:u w:val="none"/>
                <w:lang w:eastAsia="zh-CN"/>
              </w:rPr>
              <w:t>工作</w:t>
            </w:r>
            <w:r>
              <w:rPr>
                <w:rFonts w:hint="default" w:ascii="Times New Roman" w:hAnsi="Times New Roman" w:eastAsia="宋体" w:cs="Times New Roman"/>
                <w:i w:val="0"/>
                <w:color w:val="000000"/>
                <w:sz w:val="13"/>
                <w:szCs w:val="13"/>
                <w:u w:val="none"/>
              </w:rPr>
              <w:t>完成时效</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15A4CAE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3B551F8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sz w:val="16"/>
                <w:szCs w:val="16"/>
                <w:u w:val="none"/>
                <w:lang w:val="en-US" w:eastAsia="zh-CN"/>
              </w:rPr>
              <w:t>1</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77F1093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sz w:val="16"/>
                <w:szCs w:val="16"/>
                <w:u w:val="none"/>
                <w:lang w:val="en-US" w:eastAsia="zh-CN"/>
              </w:rPr>
              <w:t>年</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0A75399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6DEC8B5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1年</w:t>
            </w:r>
          </w:p>
        </w:tc>
      </w:tr>
      <w:tr w14:paraId="33730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4"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BCB0A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131" w:type="dxa"/>
            <w:vMerge w:val="restart"/>
            <w:tcBorders>
              <w:top w:val="single" w:color="000000" w:sz="4" w:space="0"/>
              <w:left w:val="single" w:color="000000" w:sz="4" w:space="0"/>
              <w:bottom w:val="single" w:color="000000" w:sz="4" w:space="0"/>
              <w:right w:val="single" w:color="000000" w:sz="4" w:space="0"/>
            </w:tcBorders>
            <w:noWrap w:val="0"/>
            <w:vAlign w:val="center"/>
          </w:tcPr>
          <w:p w14:paraId="06F872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效益指标</w:t>
            </w:r>
          </w:p>
        </w:tc>
        <w:tc>
          <w:tcPr>
            <w:tcW w:w="1072" w:type="dxa"/>
            <w:tcBorders>
              <w:top w:val="single" w:color="000000" w:sz="4" w:space="0"/>
              <w:left w:val="single" w:color="000000" w:sz="4" w:space="0"/>
              <w:right w:val="single" w:color="000000" w:sz="4" w:space="0"/>
            </w:tcBorders>
            <w:noWrap w:val="0"/>
            <w:vAlign w:val="center"/>
          </w:tcPr>
          <w:p w14:paraId="45CB12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18"/>
                <w:szCs w:val="18"/>
                <w:u w:val="none"/>
                <w:lang w:val="en-US" w:eastAsia="zh-CN" w:bidi="ar"/>
              </w:rPr>
            </w:pPr>
            <w:r>
              <w:rPr>
                <w:rFonts w:hint="default" w:ascii="Times New Roman" w:hAnsi="Times New Roman" w:eastAsia="宋体" w:cs="Times New Roman"/>
                <w:i w:val="0"/>
                <w:color w:val="000000"/>
                <w:kern w:val="0"/>
                <w:sz w:val="18"/>
                <w:szCs w:val="18"/>
                <w:u w:val="none"/>
                <w:lang w:val="en-US" w:eastAsia="zh-CN" w:bidi="ar"/>
              </w:rPr>
              <w:t>社会效益</w:t>
            </w:r>
          </w:p>
          <w:p w14:paraId="1C52A4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指标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467844B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sz w:val="15"/>
                <w:szCs w:val="15"/>
                <w:u w:val="none"/>
              </w:rPr>
              <w:t>选树宣传先进典</w:t>
            </w:r>
            <w:r>
              <w:rPr>
                <w:rFonts w:hint="eastAsia" w:ascii="Times New Roman" w:hAnsi="Times New Roman" w:eastAsia="宋体" w:cs="Times New Roman"/>
                <w:i w:val="0"/>
                <w:color w:val="000000"/>
                <w:sz w:val="15"/>
                <w:szCs w:val="15"/>
                <w:u w:val="none"/>
                <w:lang w:eastAsia="zh-CN"/>
              </w:rPr>
              <w:t>型</w:t>
            </w:r>
            <w:r>
              <w:rPr>
                <w:rFonts w:hint="default" w:ascii="Times New Roman" w:hAnsi="Times New Roman" w:eastAsia="宋体" w:cs="Times New Roman"/>
                <w:i w:val="0"/>
                <w:color w:val="000000"/>
                <w:sz w:val="15"/>
                <w:szCs w:val="15"/>
                <w:u w:val="none"/>
              </w:rPr>
              <w:t>，传递社会正能量</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533FA0D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定性</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1E01AE4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优</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73CC908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6E2D290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20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479B98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优</w:t>
            </w:r>
          </w:p>
        </w:tc>
      </w:tr>
      <w:tr w14:paraId="5E961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4"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2059F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1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538D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072" w:type="dxa"/>
            <w:tcBorders>
              <w:top w:val="single" w:color="000000" w:sz="4" w:space="0"/>
              <w:left w:val="single" w:color="000000" w:sz="4" w:space="0"/>
              <w:bottom w:val="single" w:color="000000" w:sz="4" w:space="0"/>
              <w:right w:val="single" w:color="000000" w:sz="4" w:space="0"/>
            </w:tcBorders>
            <w:noWrap w:val="0"/>
            <w:vAlign w:val="center"/>
          </w:tcPr>
          <w:p w14:paraId="6D2D37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可持续影响指标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52BB8E9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sz w:val="15"/>
                <w:szCs w:val="15"/>
                <w:u w:val="none"/>
              </w:rPr>
              <w:t>持续提升并对外展示红原形象</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439CB8B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4D857C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5</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2875C96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年</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2F9F71F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eastAsia" w:ascii="Times New Roman" w:hAnsi="Times New Roman" w:eastAsia="宋体" w:cs="Times New Roman"/>
                <w:i w:val="0"/>
                <w:color w:val="000000"/>
                <w:sz w:val="16"/>
                <w:szCs w:val="16"/>
                <w:u w:val="none"/>
                <w:lang w:val="en-US" w:eastAsia="zh-CN"/>
              </w:rPr>
              <w:t>10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3B6A200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w:t>
            </w:r>
          </w:p>
        </w:tc>
      </w:tr>
      <w:tr w14:paraId="4D1D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5" w:hRule="atLeast"/>
          <w:jc w:val="center"/>
        </w:trPr>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3A373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1"/>
                <w:szCs w:val="21"/>
                <w:u w:val="none"/>
              </w:rPr>
            </w:pPr>
          </w:p>
        </w:tc>
        <w:tc>
          <w:tcPr>
            <w:tcW w:w="1131" w:type="dxa"/>
            <w:tcBorders>
              <w:top w:val="single" w:color="000000" w:sz="4" w:space="0"/>
              <w:left w:val="single" w:color="000000" w:sz="4" w:space="0"/>
              <w:bottom w:val="single" w:color="000000" w:sz="4" w:space="0"/>
              <w:right w:val="single" w:color="000000" w:sz="4" w:space="0"/>
            </w:tcBorders>
            <w:noWrap w:val="0"/>
            <w:vAlign w:val="center"/>
          </w:tcPr>
          <w:p w14:paraId="7BD331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满意度指标</w:t>
            </w:r>
          </w:p>
        </w:tc>
        <w:tc>
          <w:tcPr>
            <w:tcW w:w="1072" w:type="dxa"/>
            <w:tcBorders>
              <w:top w:val="single" w:color="000000" w:sz="4" w:space="0"/>
              <w:left w:val="single" w:color="000000" w:sz="4" w:space="0"/>
              <w:bottom w:val="single" w:color="000000" w:sz="4" w:space="0"/>
              <w:right w:val="single" w:color="000000" w:sz="4" w:space="0"/>
            </w:tcBorders>
            <w:noWrap w:val="0"/>
            <w:vAlign w:val="center"/>
          </w:tcPr>
          <w:p w14:paraId="705B69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18"/>
                <w:szCs w:val="18"/>
                <w:u w:val="none"/>
              </w:rPr>
            </w:pPr>
            <w:r>
              <w:rPr>
                <w:rFonts w:hint="default" w:ascii="Times New Roman" w:hAnsi="Times New Roman" w:eastAsia="宋体" w:cs="Times New Roman"/>
                <w:i w:val="0"/>
                <w:color w:val="000000"/>
                <w:kern w:val="0"/>
                <w:sz w:val="18"/>
                <w:szCs w:val="18"/>
                <w:u w:val="none"/>
                <w:lang w:val="en-US" w:eastAsia="zh-CN" w:bidi="ar"/>
              </w:rPr>
              <w:t>满意度指标</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074BFCF8">
            <w:pPr>
              <w:keepNext w:val="0"/>
              <w:keepLines w:val="0"/>
              <w:widowControl/>
              <w:suppressLineNumbers w:val="0"/>
              <w:jc w:val="center"/>
              <w:textAlignment w:val="center"/>
              <w:rPr>
                <w:rFonts w:hint="default" w:ascii="Times New Roman" w:hAnsi="Times New Roman" w:eastAsia="宋体" w:cs="Times New Roman"/>
                <w:i w:val="0"/>
                <w:color w:val="000000"/>
                <w:sz w:val="18"/>
                <w:szCs w:val="18"/>
                <w:u w:val="none"/>
              </w:rPr>
            </w:pPr>
            <w:r>
              <w:rPr>
                <w:rFonts w:ascii="宋体" w:hAnsi="宋体" w:eastAsia="宋体" w:cs="宋体"/>
                <w:i w:val="0"/>
                <w:iCs w:val="0"/>
                <w:color w:val="000000"/>
                <w:kern w:val="0"/>
                <w:sz w:val="11"/>
                <w:szCs w:val="11"/>
                <w:u w:val="none"/>
                <w:lang w:val="en-US" w:eastAsia="zh-CN" w:bidi="ar"/>
              </w:rPr>
              <w:t>群众满意度</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1AFD235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5711343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95</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4B596B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31C7DA5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10</w:t>
            </w:r>
          </w:p>
        </w:tc>
        <w:tc>
          <w:tcPr>
            <w:tcW w:w="941" w:type="dxa"/>
            <w:tcBorders>
              <w:top w:val="single" w:color="000000" w:sz="4" w:space="0"/>
              <w:left w:val="single" w:color="000000" w:sz="4" w:space="0"/>
              <w:bottom w:val="single" w:color="000000" w:sz="4" w:space="0"/>
              <w:right w:val="single" w:color="000000" w:sz="4" w:space="0"/>
            </w:tcBorders>
            <w:noWrap w:val="0"/>
            <w:vAlign w:val="center"/>
          </w:tcPr>
          <w:p w14:paraId="22B4FF5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16"/>
                <w:szCs w:val="16"/>
                <w:u w:val="none"/>
                <w:lang w:val="en-US" w:eastAsia="zh-CN"/>
              </w:rPr>
            </w:pPr>
            <w:r>
              <w:rPr>
                <w:rFonts w:hint="default" w:ascii="Times New Roman" w:hAnsi="Times New Roman" w:eastAsia="宋体" w:cs="Times New Roman"/>
                <w:i w:val="0"/>
                <w:color w:val="000000"/>
                <w:sz w:val="16"/>
                <w:szCs w:val="16"/>
                <w:u w:val="none"/>
                <w:lang w:val="en-US" w:eastAsia="zh-CN"/>
              </w:rPr>
              <w:t>≥</w:t>
            </w:r>
            <w:r>
              <w:rPr>
                <w:rFonts w:hint="eastAsia" w:ascii="Times New Roman" w:hAnsi="Times New Roman" w:eastAsia="宋体" w:cs="Times New Roman"/>
                <w:i w:val="0"/>
                <w:color w:val="000000"/>
                <w:sz w:val="16"/>
                <w:szCs w:val="16"/>
                <w:u w:val="none"/>
                <w:lang w:val="en-US" w:eastAsia="zh-CN"/>
              </w:rPr>
              <w:t>95%</w:t>
            </w:r>
          </w:p>
        </w:tc>
      </w:tr>
    </w:tbl>
    <w:p w14:paraId="255E2C71">
      <w:pPr>
        <w:pStyle w:val="19"/>
        <w:ind w:left="0" w:leftChars="0" w:firstLine="0" w:firstLineChars="0"/>
        <w:rPr>
          <w:rFonts w:hint="default" w:ascii="Times New Roman" w:hAnsi="Times New Roman" w:eastAsia="黑体" w:cs="Times New Roman"/>
          <w:sz w:val="21"/>
          <w:szCs w:val="21"/>
          <w:highlight w:val="none"/>
          <w:lang w:val="en-US" w:eastAsia="zh-CN"/>
        </w:rPr>
      </w:pPr>
    </w:p>
    <w:p w14:paraId="3343C6DE">
      <w:pPr>
        <w:pStyle w:val="19"/>
        <w:ind w:left="0" w:leftChars="0" w:firstLine="0" w:firstLineChars="0"/>
        <w:rPr>
          <w:rFonts w:hint="default" w:ascii="Times New Roman" w:hAnsi="Times New Roman" w:eastAsia="黑体" w:cs="Times New Roman"/>
          <w:sz w:val="21"/>
          <w:szCs w:val="21"/>
          <w:highlight w:val="none"/>
          <w:lang w:val="en-US" w:eastAsia="zh-CN"/>
        </w:rPr>
      </w:pPr>
    </w:p>
    <w:p w14:paraId="393B6313">
      <w:pPr>
        <w:pStyle w:val="19"/>
        <w:ind w:left="0" w:leftChars="0" w:firstLine="0" w:firstLineChars="0"/>
        <w:rPr>
          <w:rFonts w:hint="default" w:ascii="Times New Roman" w:hAnsi="Times New Roman" w:eastAsia="黑体" w:cs="Times New Roman"/>
          <w:sz w:val="21"/>
          <w:szCs w:val="21"/>
          <w:highlight w:val="none"/>
          <w:lang w:val="en-US" w:eastAsia="zh-CN"/>
        </w:rPr>
      </w:pPr>
    </w:p>
    <w:p w14:paraId="6431A197">
      <w:pPr>
        <w:pStyle w:val="19"/>
        <w:ind w:left="0" w:leftChars="0" w:firstLine="0" w:firstLineChars="0"/>
        <w:rPr>
          <w:rFonts w:hint="default" w:ascii="Times New Roman" w:hAnsi="Times New Roman" w:eastAsia="黑体" w:cs="Times New Roman"/>
          <w:sz w:val="21"/>
          <w:szCs w:val="21"/>
          <w:highlight w:val="none"/>
          <w:lang w:val="en-US" w:eastAsia="zh-CN"/>
        </w:rPr>
      </w:pPr>
    </w:p>
    <w:p w14:paraId="30CD425A">
      <w:pPr>
        <w:pStyle w:val="19"/>
        <w:ind w:left="0" w:leftChars="0" w:firstLine="0" w:firstLineChars="0"/>
        <w:rPr>
          <w:rFonts w:hint="default" w:ascii="Times New Roman" w:hAnsi="Times New Roman" w:eastAsia="黑体" w:cs="Times New Roman"/>
          <w:sz w:val="21"/>
          <w:szCs w:val="21"/>
          <w:highlight w:val="none"/>
          <w:lang w:val="en-US" w:eastAsia="zh-CN"/>
        </w:rPr>
      </w:pPr>
    </w:p>
    <w:p w14:paraId="02BE4B51">
      <w:pPr>
        <w:pStyle w:val="19"/>
        <w:ind w:left="0" w:leftChars="0" w:firstLine="0" w:firstLineChars="0"/>
        <w:rPr>
          <w:rFonts w:hint="default" w:ascii="Times New Roman" w:hAnsi="Times New Roman" w:eastAsia="黑体" w:cs="Times New Roman"/>
          <w:sz w:val="21"/>
          <w:szCs w:val="21"/>
          <w:highlight w:val="none"/>
          <w:lang w:val="en-US" w:eastAsia="zh-CN"/>
        </w:rPr>
      </w:pPr>
    </w:p>
    <w:p w14:paraId="19314275">
      <w:pPr>
        <w:pStyle w:val="19"/>
        <w:ind w:left="0" w:leftChars="0" w:firstLine="0" w:firstLineChars="0"/>
        <w:rPr>
          <w:rFonts w:hint="default" w:ascii="Times New Roman" w:hAnsi="Times New Roman" w:eastAsia="黑体" w:cs="Times New Roman"/>
          <w:sz w:val="21"/>
          <w:szCs w:val="21"/>
          <w:highlight w:val="none"/>
          <w:lang w:val="en-US" w:eastAsia="zh-CN"/>
        </w:rPr>
      </w:pPr>
    </w:p>
    <w:p w14:paraId="33060319">
      <w:pPr>
        <w:pStyle w:val="19"/>
        <w:ind w:left="0" w:leftChars="0" w:firstLine="0" w:firstLineChars="0"/>
        <w:rPr>
          <w:rFonts w:hint="default" w:ascii="Times New Roman" w:hAnsi="Times New Roman" w:eastAsia="黑体" w:cs="Times New Roman"/>
          <w:sz w:val="21"/>
          <w:szCs w:val="21"/>
          <w:highlight w:val="none"/>
          <w:lang w:val="en-US" w:eastAsia="zh-CN"/>
        </w:rPr>
      </w:pPr>
    </w:p>
    <w:p w14:paraId="18F5F03F">
      <w:pPr>
        <w:outlineLvl w:val="1"/>
        <w:rPr>
          <w:rFonts w:ascii="黑体" w:hAnsi="黑体" w:eastAsia="黑体"/>
          <w:color w:val="auto"/>
          <w:sz w:val="32"/>
          <w:szCs w:val="32"/>
        </w:rPr>
      </w:pPr>
      <w:bookmarkStart w:id="95" w:name="_Toc11726"/>
      <w:bookmarkStart w:id="96" w:name="_Toc29868"/>
      <w:r>
        <w:rPr>
          <w:rFonts w:hint="eastAsia" w:ascii="黑体" w:hAnsi="黑体" w:eastAsia="黑体"/>
          <w:color w:val="auto"/>
          <w:sz w:val="32"/>
          <w:szCs w:val="32"/>
        </w:rPr>
        <w:t>附件2</w:t>
      </w:r>
      <w:bookmarkEnd w:id="95"/>
      <w:bookmarkEnd w:id="96"/>
    </w:p>
    <w:p w14:paraId="54E13894">
      <w:pPr>
        <w:pStyle w:val="39"/>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中共红原县委员会宣传部关于</w:t>
      </w:r>
    </w:p>
    <w:p w14:paraId="236F933D">
      <w:pPr>
        <w:pStyle w:val="39"/>
        <w:keepNext w:val="0"/>
        <w:keepLines w:val="0"/>
        <w:pageBreakBefore w:val="0"/>
        <w:widowControl w:val="0"/>
        <w:kinsoku/>
        <w:wordWrap/>
        <w:overflowPunct/>
        <w:topLinePunct w:val="0"/>
        <w:autoSpaceDE/>
        <w:autoSpaceDN/>
        <w:bidi w:val="0"/>
        <w:spacing w:line="576" w:lineRule="exact"/>
        <w:ind w:left="0" w:left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r>
        <w:rPr>
          <w:rFonts w:hint="eastAsia" w:ascii="方正小标宋_GBK" w:hAnsi="方正小标宋_GBK" w:eastAsia="方正小标宋_GBK" w:cs="方正小标宋_GBK"/>
          <w:color w:val="auto"/>
          <w:kern w:val="2"/>
          <w:sz w:val="44"/>
          <w:szCs w:val="44"/>
          <w:highlight w:val="none"/>
          <w:lang w:val="en-US" w:eastAsia="zh-CN"/>
        </w:rPr>
        <w:t>2024年红原县乡村振兴氛围营造建设项目自评报告</w:t>
      </w:r>
    </w:p>
    <w:p w14:paraId="198A9673">
      <w:pPr>
        <w:pStyle w:val="39"/>
        <w:keepNext w:val="0"/>
        <w:keepLines w:val="0"/>
        <w:pageBreakBefore w:val="0"/>
        <w:widowControl w:val="0"/>
        <w:kinsoku/>
        <w:wordWrap/>
        <w:overflowPunct/>
        <w:topLinePunct w:val="0"/>
        <w:autoSpaceDE/>
        <w:autoSpaceDN/>
        <w:bidi w:val="0"/>
        <w:spacing w:line="576" w:lineRule="exact"/>
        <w:ind w:left="0" w:leftChars="0" w:firstLine="640"/>
        <w:jc w:val="center"/>
        <w:textAlignment w:val="auto"/>
        <w:rPr>
          <w:rFonts w:ascii="宋体" w:hAnsi="宋体"/>
          <w:color w:val="auto"/>
          <w:kern w:val="2"/>
          <w:sz w:val="32"/>
          <w:szCs w:val="32"/>
          <w:highlight w:val="none"/>
        </w:rPr>
      </w:pPr>
    </w:p>
    <w:p w14:paraId="3DB5974B">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lang w:val="zh-CN" w:eastAsia="zh-CN"/>
        </w:rPr>
      </w:pPr>
      <w:bookmarkStart w:id="97" w:name="_Toc13632"/>
      <w:r>
        <w:rPr>
          <w:rFonts w:hint="eastAsia" w:ascii="Times New Roman" w:hAnsi="Times New Roman" w:eastAsia="方正黑体_GBK" w:cs="Times New Roman"/>
          <w:color w:val="000000"/>
          <w:kern w:val="0"/>
          <w:sz w:val="32"/>
          <w:szCs w:val="32"/>
          <w:shd w:val="clear" w:color="auto" w:fill="FFFFFF"/>
          <w:lang w:eastAsia="zh-CN"/>
        </w:rPr>
        <w:t>一、</w:t>
      </w:r>
      <w:r>
        <w:rPr>
          <w:rFonts w:hint="eastAsia" w:ascii="Times New Roman" w:hAnsi="Times New Roman" w:eastAsia="方正黑体_GBK" w:cs="Times New Roman"/>
          <w:color w:val="000000"/>
          <w:kern w:val="0"/>
          <w:sz w:val="32"/>
          <w:szCs w:val="32"/>
          <w:shd w:val="clear" w:color="auto" w:fill="FFFFFF"/>
          <w:lang w:val="zh-CN" w:eastAsia="zh-CN"/>
        </w:rPr>
        <w:t>项目概况</w:t>
      </w:r>
      <w:bookmarkEnd w:id="97"/>
    </w:p>
    <w:p w14:paraId="7A35D0D7">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方正仿宋_GBK" w:cs="Times New Roman"/>
          <w:kern w:val="0"/>
          <w:sz w:val="32"/>
          <w:szCs w:val="32"/>
          <w:shd w:val="clear" w:color="auto" w:fill="FFFFFF"/>
          <w:lang w:val="zh-CN" w:eastAsia="zh-CN" w:bidi="ar"/>
        </w:rPr>
      </w:pPr>
      <w:r>
        <w:rPr>
          <w:rFonts w:hint="eastAsia" w:ascii="Times New Roman" w:hAnsi="Times New Roman" w:eastAsia="方正仿宋_GBK" w:cs="Times New Roman"/>
          <w:kern w:val="0"/>
          <w:sz w:val="32"/>
          <w:szCs w:val="32"/>
          <w:shd w:val="clear" w:color="auto" w:fill="FFFFFF"/>
          <w:lang w:val="zh-CN" w:eastAsia="zh-CN" w:bidi="ar"/>
        </w:rPr>
        <w:t>为全面展现红原县高质量巩固拓展脱贫攻坚成果，推动防返贫、促增收常态长效，统筹抓好乡村发展、乡村建设和乡村治理各项重点工作，做靓文旅融合“新场景”，营造乡村振兴浓厚氛围，从物质环境到人文环境，多角度做好宣传推广，提高公众对乡村振兴的认知和理解，激发更多人参与其中，为乡村振兴事业作出贡献，结合该资金实施乡村振兴系列项目。</w:t>
      </w:r>
    </w:p>
    <w:p w14:paraId="66795D3C">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eastAsia" w:ascii="楷体_GB2312" w:hAnsi="宋体" w:eastAsia="楷体_GB2312" w:cs="Times New Roman"/>
          <w:b/>
          <w:color w:val="auto"/>
          <w:sz w:val="32"/>
          <w:szCs w:val="32"/>
          <w:highlight w:val="none"/>
          <w:u w:val="none"/>
          <w:lang w:val="zh-CN" w:eastAsia="zh-CN"/>
        </w:rPr>
      </w:pPr>
      <w:r>
        <w:rPr>
          <w:rFonts w:hint="eastAsia" w:ascii="Times New Roman" w:hAnsi="Times New Roman" w:eastAsia="方正楷体_GBK" w:cs="Times New Roman"/>
          <w:b/>
          <w:sz w:val="32"/>
          <w:szCs w:val="32"/>
          <w:lang w:val="en-US" w:eastAsia="zh-CN"/>
        </w:rPr>
        <w:t>（一）</w:t>
      </w:r>
      <w:r>
        <w:rPr>
          <w:rFonts w:hint="default" w:ascii="Times New Roman" w:hAnsi="Times New Roman" w:eastAsia="方正楷体_GBK" w:cs="Times New Roman"/>
          <w:b/>
          <w:sz w:val="32"/>
          <w:szCs w:val="32"/>
          <w:lang w:val="en-US" w:eastAsia="zh-CN"/>
        </w:rPr>
        <w:t>预算安排及</w:t>
      </w:r>
      <w:r>
        <w:rPr>
          <w:rFonts w:hint="eastAsia" w:ascii="Times New Roman" w:hAnsi="Times New Roman" w:eastAsia="方正楷体_GBK" w:cs="Times New Roman"/>
          <w:b/>
          <w:sz w:val="32"/>
          <w:szCs w:val="32"/>
          <w:lang w:val="en-US" w:eastAsia="zh-CN"/>
        </w:rPr>
        <w:t>支付情况</w:t>
      </w:r>
      <w:r>
        <w:rPr>
          <w:rFonts w:hint="eastAsia" w:ascii="Times New Roman" w:hAnsi="Times New Roman" w:eastAsia="方正楷体_GBK" w:cs="Times New Roman"/>
          <w:b/>
          <w:sz w:val="32"/>
          <w:szCs w:val="32"/>
          <w:lang w:val="zh-CN" w:eastAsia="zh-CN"/>
        </w:rPr>
        <w:t>。</w:t>
      </w:r>
    </w:p>
    <w:p w14:paraId="7465CB08">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zh-CN" w:eastAsia="zh-CN" w:bidi="ar"/>
        </w:rPr>
        <w:t>按照红财发〔</w:t>
      </w:r>
      <w:r>
        <w:rPr>
          <w:rFonts w:hint="eastAsia" w:ascii="Times New Roman" w:hAnsi="Times New Roman" w:eastAsia="方正仿宋_GBK" w:cs="Times New Roman"/>
          <w:kern w:val="0"/>
          <w:sz w:val="32"/>
          <w:szCs w:val="32"/>
          <w:shd w:val="clear" w:color="auto" w:fill="FFFFFF"/>
          <w:lang w:val="en-US" w:eastAsia="zh-CN" w:bidi="ar"/>
        </w:rPr>
        <w:t>2024</w:t>
      </w:r>
      <w:r>
        <w:rPr>
          <w:rFonts w:hint="eastAsia" w:ascii="Times New Roman" w:hAnsi="Times New Roman" w:eastAsia="方正仿宋_GBK" w:cs="Times New Roman"/>
          <w:kern w:val="0"/>
          <w:sz w:val="32"/>
          <w:szCs w:val="32"/>
          <w:shd w:val="clear" w:color="auto" w:fill="FFFFFF"/>
          <w:lang w:val="zh-CN" w:eastAsia="zh-CN" w:bidi="ar"/>
        </w:rPr>
        <w:t>〕</w:t>
      </w:r>
      <w:r>
        <w:rPr>
          <w:rFonts w:hint="eastAsia" w:ascii="Times New Roman" w:hAnsi="Times New Roman" w:eastAsia="方正仿宋_GBK" w:cs="Times New Roman"/>
          <w:kern w:val="0"/>
          <w:sz w:val="32"/>
          <w:szCs w:val="32"/>
          <w:shd w:val="clear" w:color="auto" w:fill="FFFFFF"/>
          <w:lang w:val="en-US" w:eastAsia="zh-CN" w:bidi="ar"/>
        </w:rPr>
        <w:t>50号文件，该项目资金于2024年6月20日下达我单位，下达资金130万元，主要用于全县乡村振兴氛围营造。截止2024年底该项资金共计支付110.95万元。</w:t>
      </w:r>
    </w:p>
    <w:p w14:paraId="3A2BF2C9">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楷体_GB2312" w:hAnsi="宋体" w:eastAsia="楷体_GB2312" w:cs="Times New Roman"/>
          <w:b/>
          <w:color w:val="auto"/>
          <w:sz w:val="32"/>
          <w:szCs w:val="32"/>
          <w:highlight w:val="none"/>
          <w:u w:val="none"/>
          <w:lang w:val="en-US" w:eastAsia="zh-CN"/>
        </w:rPr>
      </w:pPr>
      <w:r>
        <w:rPr>
          <w:rFonts w:hint="eastAsia" w:ascii="Times New Roman" w:hAnsi="Times New Roman" w:eastAsia="方正楷体_GBK" w:cs="Times New Roman"/>
          <w:b/>
          <w:sz w:val="32"/>
          <w:szCs w:val="32"/>
          <w:lang w:val="zh-CN" w:eastAsia="zh-CN"/>
        </w:rPr>
        <w:t>（二）项目绩效目标设置。</w:t>
      </w:r>
    </w:p>
    <w:p w14:paraId="7CE430EA">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zh-CN" w:eastAsia="zh-CN" w:bidi="ar"/>
        </w:rPr>
        <w:t>该项目实施严格设置绩效目标，分别设置了一级指标三个，分别是：</w:t>
      </w:r>
      <w:r>
        <w:rPr>
          <w:rFonts w:hint="default" w:ascii="Times New Roman" w:hAnsi="Times New Roman" w:eastAsia="方正仿宋_GBK" w:cs="Times New Roman"/>
          <w:kern w:val="0"/>
          <w:sz w:val="32"/>
          <w:szCs w:val="32"/>
          <w:shd w:val="clear" w:color="auto" w:fill="FFFFFF"/>
          <w:lang w:val="en-US" w:eastAsia="zh-CN" w:bidi="ar"/>
        </w:rPr>
        <w:t>产出指标</w:t>
      </w:r>
      <w:r>
        <w:rPr>
          <w:rFonts w:hint="eastAsia" w:ascii="Times New Roman" w:hAnsi="Times New Roman" w:eastAsia="方正仿宋_GBK" w:cs="Times New Roman"/>
          <w:kern w:val="0"/>
          <w:sz w:val="32"/>
          <w:szCs w:val="32"/>
          <w:shd w:val="clear" w:color="auto" w:fill="FFFFFF"/>
          <w:lang w:val="en-US" w:eastAsia="zh-CN" w:bidi="ar"/>
        </w:rPr>
        <w:t>、</w:t>
      </w:r>
      <w:r>
        <w:rPr>
          <w:rFonts w:hint="default" w:ascii="Times New Roman" w:hAnsi="Times New Roman" w:eastAsia="方正仿宋_GBK" w:cs="Times New Roman"/>
          <w:kern w:val="0"/>
          <w:sz w:val="32"/>
          <w:szCs w:val="32"/>
          <w:shd w:val="clear" w:color="auto" w:fill="FFFFFF"/>
          <w:lang w:val="en-US" w:eastAsia="zh-CN" w:bidi="ar"/>
        </w:rPr>
        <w:t>满意度指标</w:t>
      </w:r>
      <w:r>
        <w:rPr>
          <w:rFonts w:hint="eastAsia" w:ascii="Times New Roman" w:hAnsi="Times New Roman" w:eastAsia="方正仿宋_GBK" w:cs="Times New Roman"/>
          <w:kern w:val="0"/>
          <w:sz w:val="32"/>
          <w:szCs w:val="32"/>
          <w:shd w:val="clear" w:color="auto" w:fill="FFFFFF"/>
          <w:lang w:val="en-US" w:eastAsia="zh-CN" w:bidi="ar"/>
        </w:rPr>
        <w:t>、效益</w:t>
      </w:r>
      <w:r>
        <w:rPr>
          <w:rFonts w:hint="default" w:ascii="Times New Roman" w:hAnsi="Times New Roman" w:eastAsia="方正仿宋_GBK" w:cs="Times New Roman"/>
          <w:kern w:val="0"/>
          <w:sz w:val="32"/>
          <w:szCs w:val="32"/>
          <w:shd w:val="clear" w:color="auto" w:fill="FFFFFF"/>
          <w:lang w:val="en-US" w:eastAsia="zh-CN" w:bidi="ar"/>
        </w:rPr>
        <w:t>指标</w:t>
      </w:r>
      <w:r>
        <w:rPr>
          <w:rFonts w:hint="eastAsia" w:ascii="Times New Roman" w:hAnsi="Times New Roman" w:eastAsia="方正仿宋_GBK" w:cs="Times New Roman"/>
          <w:kern w:val="0"/>
          <w:sz w:val="32"/>
          <w:szCs w:val="32"/>
          <w:shd w:val="clear" w:color="auto" w:fill="FFFFFF"/>
          <w:lang w:val="en-US" w:eastAsia="zh-CN" w:bidi="ar"/>
        </w:rPr>
        <w:t>；二级指标八个，分别是：数量指标、质量指标、时效指标、成本指标</w:t>
      </w:r>
    </w:p>
    <w:p w14:paraId="5538F542">
      <w:pPr>
        <w:keepNext w:val="0"/>
        <w:keepLines w:val="0"/>
        <w:pageBreakBefore w:val="0"/>
        <w:widowControl w:val="0"/>
        <w:kinsoku/>
        <w:wordWrap w:val="0"/>
        <w:overflowPunct/>
        <w:topLinePunct w:val="0"/>
        <w:autoSpaceDE/>
        <w:autoSpaceDN/>
        <w:bidi w:val="0"/>
        <w:adjustRightInd/>
        <w:snapToGrid w:val="0"/>
        <w:spacing w:line="600" w:lineRule="exact"/>
        <w:textAlignment w:val="auto"/>
        <w:rPr>
          <w:rFonts w:hint="eastAsia"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en-US" w:eastAsia="zh-CN" w:bidi="ar"/>
        </w:rPr>
        <w:t>、社会效益指标、生态效益指标、可持续影响指标、服务对象满意度指标；三级指标十五个，各项指标均达到设定的指标值。</w:t>
      </w:r>
    </w:p>
    <w:p w14:paraId="0F7567EB">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方正楷体_GBK" w:cs="Times New Roman"/>
          <w:b/>
          <w:sz w:val="32"/>
          <w:szCs w:val="32"/>
          <w:lang w:val="zh-CN" w:eastAsia="zh-CN"/>
        </w:rPr>
      </w:pPr>
      <w:r>
        <w:rPr>
          <w:rFonts w:hint="eastAsia" w:ascii="Times New Roman" w:hAnsi="Times New Roman" w:eastAsia="方正楷体_GBK" w:cs="Times New Roman"/>
          <w:b/>
          <w:sz w:val="32"/>
          <w:szCs w:val="32"/>
          <w:lang w:val="en-US" w:eastAsia="zh-CN"/>
        </w:rPr>
        <w:t>（三）</w:t>
      </w:r>
      <w:r>
        <w:rPr>
          <w:rFonts w:hint="default" w:ascii="Times New Roman" w:hAnsi="Times New Roman" w:eastAsia="方正楷体_GBK" w:cs="Times New Roman"/>
          <w:b/>
          <w:sz w:val="32"/>
          <w:szCs w:val="32"/>
          <w:lang w:val="zh-CN" w:eastAsia="zh-CN"/>
        </w:rPr>
        <w:t>项目财务管理情况。</w:t>
      </w:r>
    </w:p>
    <w:p w14:paraId="650684DE">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kern w:val="0"/>
          <w:sz w:val="32"/>
          <w:szCs w:val="32"/>
          <w:shd w:val="clear" w:color="auto" w:fill="FFFFFF"/>
          <w:lang w:val="zh-CN" w:eastAsia="zh-CN" w:bidi="ar"/>
        </w:rPr>
      </w:pPr>
      <w:r>
        <w:rPr>
          <w:rFonts w:hint="default" w:ascii="Times New Roman" w:hAnsi="Times New Roman" w:eastAsia="方正仿宋_GBK" w:cs="Times New Roman"/>
          <w:kern w:val="0"/>
          <w:sz w:val="32"/>
          <w:szCs w:val="32"/>
          <w:shd w:val="clear" w:color="auto" w:fill="FFFFFF"/>
          <w:lang w:val="en-US" w:eastAsia="zh-CN" w:bidi="ar"/>
        </w:rPr>
        <w:t>该项目实施过程中严格按照项目财务管理制度进行财务管理，严格按照《会计法》、财经法规执行，确保专款专用，专人负责，不挪用、截留、坐支项目资金，规范会计核算程序。</w:t>
      </w:r>
    </w:p>
    <w:p w14:paraId="49CE5578">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eastAsia" w:ascii="Times New Roman" w:hAnsi="Times New Roman" w:eastAsia="方正黑体_GBK" w:cs="Times New Roman"/>
          <w:color w:val="000000"/>
          <w:kern w:val="0"/>
          <w:sz w:val="32"/>
          <w:szCs w:val="32"/>
          <w:shd w:val="clear" w:color="auto" w:fill="FFFFFF"/>
          <w:lang w:val="zh-CN" w:eastAsia="zh-CN"/>
        </w:rPr>
      </w:pPr>
      <w:bookmarkStart w:id="98" w:name="_Toc24670"/>
      <w:r>
        <w:rPr>
          <w:rFonts w:hint="eastAsia" w:ascii="Times New Roman" w:hAnsi="Times New Roman" w:eastAsia="方正黑体_GBK" w:cs="Times New Roman"/>
          <w:color w:val="000000"/>
          <w:kern w:val="0"/>
          <w:sz w:val="32"/>
          <w:szCs w:val="32"/>
          <w:shd w:val="clear" w:color="auto" w:fill="FFFFFF"/>
          <w:lang w:val="zh-CN" w:eastAsia="zh-CN"/>
        </w:rPr>
        <w:t>二、评价结论</w:t>
      </w:r>
      <w:bookmarkEnd w:id="98"/>
    </w:p>
    <w:p w14:paraId="37328D70">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方正仿宋_GBK" w:cs="Times New Roman"/>
          <w:kern w:val="0"/>
          <w:sz w:val="32"/>
          <w:szCs w:val="32"/>
          <w:shd w:val="clear" w:color="auto" w:fill="FFFFFF"/>
          <w:lang w:val="en-US" w:eastAsia="zh-CN" w:bidi="ar"/>
        </w:rPr>
      </w:pPr>
      <w:r>
        <w:rPr>
          <w:rFonts w:hint="eastAsia" w:ascii="Times New Roman" w:hAnsi="Times New Roman" w:eastAsia="方正仿宋_GBK" w:cs="Times New Roman"/>
          <w:kern w:val="0"/>
          <w:sz w:val="32"/>
          <w:szCs w:val="32"/>
          <w:shd w:val="clear" w:color="auto" w:fill="FFFFFF"/>
          <w:lang w:val="en-US" w:eastAsia="zh-CN" w:bidi="ar"/>
        </w:rPr>
        <w:t>该项目通过合规性、完整性、相关性、适当性、可行性五个方面的审核，自评总体评价好，项目实施均达到预期效果。</w:t>
      </w:r>
    </w:p>
    <w:p w14:paraId="068F0507">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lang w:val="zh-CN" w:eastAsia="zh-CN"/>
        </w:rPr>
      </w:pPr>
      <w:bookmarkStart w:id="99" w:name="_Toc20628"/>
      <w:r>
        <w:rPr>
          <w:rFonts w:hint="eastAsia" w:ascii="Times New Roman" w:hAnsi="Times New Roman" w:eastAsia="方正黑体_GBK" w:cs="Times New Roman"/>
          <w:color w:val="000000"/>
          <w:kern w:val="0"/>
          <w:sz w:val="32"/>
          <w:szCs w:val="32"/>
          <w:shd w:val="clear" w:color="auto" w:fill="FFFFFF"/>
          <w:lang w:val="zh-CN" w:eastAsia="zh-CN"/>
        </w:rPr>
        <w:t>三</w:t>
      </w:r>
      <w:r>
        <w:rPr>
          <w:rFonts w:hint="default" w:ascii="Times New Roman" w:hAnsi="Times New Roman" w:eastAsia="方正黑体_GBK" w:cs="Times New Roman"/>
          <w:color w:val="000000"/>
          <w:kern w:val="0"/>
          <w:sz w:val="32"/>
          <w:szCs w:val="32"/>
          <w:shd w:val="clear" w:color="auto" w:fill="FFFFFF"/>
          <w:lang w:val="zh-CN" w:eastAsia="zh-CN"/>
        </w:rPr>
        <w:t>、存在主要问题</w:t>
      </w:r>
      <w:bookmarkEnd w:id="99"/>
    </w:p>
    <w:p w14:paraId="6E3FB3FD">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无</w:t>
      </w:r>
      <w:r>
        <w:rPr>
          <w:rFonts w:hint="eastAsia" w:ascii="Times New Roman" w:hAnsi="Times New Roman" w:eastAsia="方正仿宋_GBK" w:cs="Times New Roman"/>
          <w:kern w:val="0"/>
          <w:sz w:val="32"/>
          <w:szCs w:val="32"/>
          <w:shd w:val="clear" w:color="auto" w:fill="FFFFFF"/>
          <w:lang w:val="en-US" w:eastAsia="zh-CN" w:bidi="ar"/>
        </w:rPr>
        <w:t>。</w:t>
      </w:r>
    </w:p>
    <w:p w14:paraId="05583775">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default" w:ascii="Times New Roman" w:hAnsi="Times New Roman" w:eastAsia="方正黑体_GBK" w:cs="Times New Roman"/>
          <w:color w:val="000000"/>
          <w:kern w:val="0"/>
          <w:sz w:val="32"/>
          <w:szCs w:val="32"/>
          <w:shd w:val="clear" w:color="auto" w:fill="FFFFFF"/>
          <w:lang w:val="zh-CN" w:eastAsia="zh-CN"/>
        </w:rPr>
      </w:pPr>
      <w:bookmarkStart w:id="100" w:name="_Toc18798"/>
      <w:r>
        <w:rPr>
          <w:rFonts w:hint="eastAsia" w:ascii="Times New Roman" w:hAnsi="Times New Roman" w:eastAsia="方正黑体_GBK" w:cs="Times New Roman"/>
          <w:color w:val="000000"/>
          <w:kern w:val="0"/>
          <w:sz w:val="32"/>
          <w:szCs w:val="32"/>
          <w:shd w:val="clear" w:color="auto" w:fill="FFFFFF"/>
          <w:lang w:val="zh-CN" w:eastAsia="zh-CN"/>
        </w:rPr>
        <w:t>四</w:t>
      </w:r>
      <w:r>
        <w:rPr>
          <w:rFonts w:hint="default" w:ascii="Times New Roman" w:hAnsi="Times New Roman" w:eastAsia="方正黑体_GBK" w:cs="Times New Roman"/>
          <w:color w:val="000000"/>
          <w:kern w:val="0"/>
          <w:sz w:val="32"/>
          <w:szCs w:val="32"/>
          <w:shd w:val="clear" w:color="auto" w:fill="FFFFFF"/>
          <w:lang w:val="zh-CN" w:eastAsia="zh-CN"/>
        </w:rPr>
        <w:t>、改进建议</w:t>
      </w:r>
      <w:bookmarkEnd w:id="100"/>
    </w:p>
    <w:p w14:paraId="71E7273C">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default" w:ascii="Times New Roman" w:hAnsi="Times New Roman" w:eastAsia="方正仿宋_GBK" w:cs="Times New Roman"/>
          <w:kern w:val="0"/>
          <w:sz w:val="32"/>
          <w:szCs w:val="32"/>
          <w:shd w:val="clear" w:color="auto" w:fill="FFFFFF"/>
          <w:lang w:val="en-US" w:eastAsia="zh-CN" w:bidi="ar"/>
        </w:rPr>
      </w:pPr>
      <w:r>
        <w:rPr>
          <w:rFonts w:hint="default" w:ascii="Times New Roman" w:hAnsi="Times New Roman" w:eastAsia="方正仿宋_GBK" w:cs="Times New Roman"/>
          <w:kern w:val="0"/>
          <w:sz w:val="32"/>
          <w:szCs w:val="32"/>
          <w:shd w:val="clear" w:color="auto" w:fill="FFFFFF"/>
          <w:lang w:val="en-US" w:eastAsia="zh-CN" w:bidi="ar"/>
        </w:rPr>
        <w:t>下一步我部将</w:t>
      </w:r>
      <w:r>
        <w:rPr>
          <w:rFonts w:hint="default" w:ascii="Times New Roman" w:hAnsi="Times New Roman" w:eastAsia="方正仿宋_GBK" w:cs="Times New Roman"/>
          <w:kern w:val="0"/>
          <w:sz w:val="32"/>
          <w:szCs w:val="32"/>
          <w:shd w:val="clear" w:color="auto" w:fill="FFFFFF"/>
          <w:lang w:val="zh-CN" w:eastAsia="zh-CN" w:bidi="ar"/>
        </w:rPr>
        <w:t>抓好项目绩效目标考核工作，</w:t>
      </w:r>
      <w:r>
        <w:rPr>
          <w:rFonts w:hint="default" w:ascii="Times New Roman" w:hAnsi="Times New Roman" w:eastAsia="方正仿宋_GBK" w:cs="Times New Roman"/>
          <w:kern w:val="0"/>
          <w:sz w:val="32"/>
          <w:szCs w:val="32"/>
          <w:shd w:val="clear" w:color="auto" w:fill="FFFFFF"/>
          <w:lang w:val="en-US" w:eastAsia="zh-CN" w:bidi="ar"/>
        </w:rPr>
        <w:t>坚持做好绩效管理，不断强化事前、事中、事后绩效管控手段，细化落实绩效管理工作要求，切实有效提升资金使用效益。</w:t>
      </w:r>
    </w:p>
    <w:p w14:paraId="70DB4C77">
      <w:pPr>
        <w:pStyle w:val="2"/>
        <w:rPr>
          <w:rFonts w:hint="default"/>
          <w:lang w:val="en-US" w:eastAsia="zh-CN"/>
        </w:rPr>
      </w:pPr>
    </w:p>
    <w:p w14:paraId="28E56B5D">
      <w:pPr>
        <w:keepNext w:val="0"/>
        <w:keepLines w:val="0"/>
        <w:pageBreakBefore w:val="0"/>
        <w:kinsoku/>
        <w:wordWrap/>
        <w:overflowPunct/>
        <w:topLinePunct w:val="0"/>
        <w:autoSpaceDE/>
        <w:autoSpaceDN/>
        <w:bidi w:val="0"/>
        <w:spacing w:line="578" w:lineRule="exact"/>
        <w:ind w:firstLine="420" w:firstLineChars="200"/>
        <w:textAlignment w:val="auto"/>
        <w:rPr>
          <w:rFonts w:hint="default" w:ascii="Times New Roman" w:hAnsi="Times New Roman" w:cs="Times New Roman"/>
          <w:color w:val="000000"/>
          <w:kern w:val="0"/>
          <w:szCs w:val="32"/>
          <w:highlight w:val="none"/>
          <w:shd w:val="clear" w:color="auto" w:fill="FFFFFF"/>
          <w:lang w:val="en-US" w:eastAsia="zh-CN"/>
        </w:rPr>
      </w:pPr>
    </w:p>
    <w:p w14:paraId="7B1BD277">
      <w:pPr>
        <w:pStyle w:val="2"/>
        <w:rPr>
          <w:rFonts w:hint="default" w:ascii="Times New Roman" w:hAnsi="Times New Roman" w:cs="Times New Roman"/>
          <w:lang w:val="en-US" w:eastAsia="zh-CN"/>
        </w:rPr>
      </w:pPr>
    </w:p>
    <w:p w14:paraId="4388A8F4">
      <w:pPr>
        <w:rPr>
          <w:rFonts w:hint="default" w:ascii="Times New Roman" w:hAnsi="Times New Roman" w:cs="Times New Roman"/>
          <w:lang w:val="en-US" w:eastAsia="zh-CN"/>
        </w:rPr>
      </w:pPr>
    </w:p>
    <w:p w14:paraId="5903196C">
      <w:pPr>
        <w:pStyle w:val="2"/>
        <w:rPr>
          <w:rFonts w:hint="default" w:ascii="Times New Roman" w:hAnsi="Times New Roman" w:cs="Times New Roman"/>
          <w:lang w:val="en-US" w:eastAsia="zh-CN"/>
        </w:rPr>
      </w:pPr>
    </w:p>
    <w:p w14:paraId="50038CC5">
      <w:pPr>
        <w:rPr>
          <w:rFonts w:hint="default" w:ascii="Times New Roman" w:hAnsi="Times New Roman" w:cs="Times New Roman"/>
          <w:lang w:val="en-US" w:eastAsia="zh-CN"/>
        </w:rPr>
      </w:pPr>
    </w:p>
    <w:p w14:paraId="2A899348">
      <w:pPr>
        <w:pStyle w:val="2"/>
        <w:rPr>
          <w:rFonts w:hint="default" w:ascii="Times New Roman" w:hAnsi="Times New Roman" w:cs="Times New Roman"/>
          <w:lang w:val="en-US" w:eastAsia="zh-CN"/>
        </w:rPr>
      </w:pPr>
    </w:p>
    <w:p w14:paraId="781757E2">
      <w:pPr>
        <w:rPr>
          <w:rFonts w:hint="default" w:ascii="Times New Roman" w:hAnsi="Times New Roman" w:cs="Times New Roman"/>
          <w:lang w:val="en-US" w:eastAsia="zh-CN"/>
        </w:rPr>
      </w:pPr>
    </w:p>
    <w:p w14:paraId="26570DAD">
      <w:pPr>
        <w:pStyle w:val="2"/>
        <w:rPr>
          <w:rFonts w:hint="default" w:ascii="Times New Roman" w:hAnsi="Times New Roman" w:cs="Times New Roman"/>
          <w:lang w:val="en-US" w:eastAsia="zh-CN"/>
        </w:rPr>
      </w:pPr>
    </w:p>
    <w:p w14:paraId="2A356A63">
      <w:pPr>
        <w:rPr>
          <w:rFonts w:hint="default"/>
          <w:lang w:val="en-US" w:eastAsia="zh-CN"/>
        </w:rPr>
      </w:pPr>
    </w:p>
    <w:bookmarkEnd w:id="91"/>
    <w:p w14:paraId="42F81F05">
      <w:pPr>
        <w:outlineLvl w:val="9"/>
        <w:rPr>
          <w:rStyle w:val="44"/>
          <w:rFonts w:hint="eastAsia" w:ascii="黑体" w:eastAsia="黑体"/>
          <w:b w:val="0"/>
          <w:bCs w:val="0"/>
        </w:rPr>
      </w:pPr>
      <w:bookmarkStart w:id="101" w:name="_Toc26592"/>
      <w:r>
        <w:rPr>
          <w:rStyle w:val="44"/>
          <w:rFonts w:hint="eastAsia" w:ascii="黑体" w:eastAsia="黑体"/>
          <w:b w:val="0"/>
          <w:bCs w:val="0"/>
        </w:rPr>
        <w:t>附表</w:t>
      </w:r>
    </w:p>
    <w:bookmarkEnd w:id="101"/>
    <w:p w14:paraId="21491140">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一、收入支出决算总表</w:t>
      </w:r>
    </w:p>
    <w:p w14:paraId="63B8294B">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二、收入决算表</w:t>
      </w:r>
    </w:p>
    <w:p w14:paraId="2409AC3B">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三、支出决算表</w:t>
      </w:r>
    </w:p>
    <w:p w14:paraId="4B5E0B1B">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四、财政拨款收入支出决算总表</w:t>
      </w:r>
    </w:p>
    <w:p w14:paraId="2011ED30">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五、财政拨款支出决算明细表</w:t>
      </w:r>
    </w:p>
    <w:p w14:paraId="7A64D616">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六、一般公共预算财政拨款支出决算表</w:t>
      </w:r>
    </w:p>
    <w:p w14:paraId="6DCA0BCC">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七、一般公共预算财政拨款支出决算明细表</w:t>
      </w:r>
    </w:p>
    <w:p w14:paraId="716DCEEF">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八、一般公共预算财政拨款基本支出决算表</w:t>
      </w:r>
    </w:p>
    <w:p w14:paraId="75E277AA">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九、一般公共预算财政拨款项目支出决算表</w:t>
      </w:r>
    </w:p>
    <w:p w14:paraId="60767AFD">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十、政府性基金预算财政拨款收入支出决算表</w:t>
      </w:r>
    </w:p>
    <w:p w14:paraId="4D86148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十一、国有资本经营预算财政拨款收入支出决算表</w:t>
      </w:r>
    </w:p>
    <w:p w14:paraId="3770C218">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十二、国有资本经营预算财政拨款支出决算表</w:t>
      </w:r>
    </w:p>
    <w:p w14:paraId="42D2AF52">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229027-F215-4B38-8417-C0D837BC156E}"/>
  </w:font>
  <w:font w:name="Courier New">
    <w:panose1 w:val="02070309020205020404"/>
    <w:charset w:val="01"/>
    <w:family w:val="modern"/>
    <w:pitch w:val="default"/>
    <w:sig w:usb0="E0002AFF" w:usb1="C0007843" w:usb2="00000009" w:usb3="00000000" w:csb0="400001FF" w:csb1="FFFF0000"/>
    <w:embedRegular r:id="rId2" w:fontKey="{B5A0B422-24C3-4A49-B8A2-37217FDBAE4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3" w:fontKey="{86DB6CDF-33AF-44C0-B88C-22FCEFFE2E7B}"/>
  </w:font>
  <w:font w:name="仿宋">
    <w:panose1 w:val="02010609060101010101"/>
    <w:charset w:val="86"/>
    <w:family w:val="modern"/>
    <w:pitch w:val="default"/>
    <w:sig w:usb0="800002BF" w:usb1="38CF7CFA" w:usb2="00000016" w:usb3="00000000" w:csb0="00040001" w:csb1="00000000"/>
    <w:embedRegular r:id="rId4" w:fontKey="{27C0C84A-6FCF-454E-B896-47179703AD1E}"/>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2" w:usb3="00000000" w:csb0="00040001" w:csb1="00000000"/>
    <w:embedRegular r:id="rId5" w:fontKey="{35EEBB6D-AB87-4602-B537-4000C6D7AF15}"/>
  </w:font>
  <w:font w:name="方正仿宋_GBK">
    <w:panose1 w:val="02000000000000000000"/>
    <w:charset w:val="86"/>
    <w:family w:val="auto"/>
    <w:pitch w:val="default"/>
    <w:sig w:usb0="00000001" w:usb1="080E0000" w:usb2="00000000" w:usb3="00000000" w:csb0="00040000" w:csb1="00000000"/>
    <w:embedRegular r:id="rId6" w:fontKey="{41A974CF-CD30-48B4-B891-F695AF1043BA}"/>
  </w:font>
  <w:font w:name="方正楷体_GBK">
    <w:panose1 w:val="02000000000000000000"/>
    <w:charset w:val="86"/>
    <w:family w:val="auto"/>
    <w:pitch w:val="default"/>
    <w:sig w:usb0="00000001" w:usb1="080E0000" w:usb2="00000000" w:usb3="00000000" w:csb0="00040000" w:csb1="00000000"/>
    <w:embedRegular r:id="rId7" w:fontKey="{650490E4-0880-40AC-9CB2-40F747CD980A}"/>
  </w:font>
  <w:font w:name="方正黑体_GBK">
    <w:panose1 w:val="03000509000000000000"/>
    <w:charset w:val="86"/>
    <w:family w:val="auto"/>
    <w:pitch w:val="default"/>
    <w:sig w:usb0="00000001" w:usb1="080E0000" w:usb2="00000000" w:usb3="00000000" w:csb0="00040000" w:csb1="00000000"/>
    <w:embedRegular r:id="rId8" w:fontKey="{C00B6B55-88ED-4860-ADFF-00F8E49375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auto"/>
    <w:pitch w:val="default"/>
    <w:sig w:usb0="00000001" w:usb1="080E0000" w:usb2="00000000" w:usb3="00000000" w:csb0="00040000" w:csb1="00000000"/>
    <w:embedRegular r:id="rId9" w:fontKey="{B96CFE66-66DE-4B32-8FEE-50ADE6D033B5}"/>
  </w:font>
  <w:font w:name="楷体_GB2312">
    <w:altName w:val="楷体"/>
    <w:panose1 w:val="02010609030101010101"/>
    <w:charset w:val="86"/>
    <w:family w:val="auto"/>
    <w:pitch w:val="default"/>
    <w:sig w:usb0="00000000" w:usb1="00000000" w:usb2="00000000" w:usb3="00000000" w:csb0="00040000" w:csb1="00000000"/>
    <w:embedRegular r:id="rId10" w:fontKey="{6365A5DC-9838-473A-A143-9B02FBD262F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67E26CC">
        <w:pPr>
          <w:pStyle w:val="14"/>
          <w:jc w:val="center"/>
        </w:pPr>
        <w:r>
          <w:fldChar w:fldCharType="begin"/>
        </w:r>
        <w:r>
          <w:instrText xml:space="preserve">PAGE   \* MERGEFORMAT</w:instrText>
        </w:r>
        <w:r>
          <w:fldChar w:fldCharType="separate"/>
        </w:r>
        <w:r>
          <w:rPr>
            <w:lang w:val="zh-CN"/>
          </w:rPr>
          <w:t>23</w:t>
        </w:r>
        <w:r>
          <w:fldChar w:fldCharType="end"/>
        </w:r>
      </w:p>
    </w:sdtContent>
  </w:sdt>
  <w:p w14:paraId="617FFDF0">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3373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3AC2280B"/>
    <w:multiLevelType w:val="singleLevel"/>
    <w:tmpl w:val="3AC2280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0NzJjZWQzZTc1YjM3YjExZjQ3MmViZWNmNDUxOTY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466B1"/>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6AD2"/>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066A48"/>
    <w:rsid w:val="015975B8"/>
    <w:rsid w:val="01B91D0C"/>
    <w:rsid w:val="02693733"/>
    <w:rsid w:val="026D7A9F"/>
    <w:rsid w:val="029737B3"/>
    <w:rsid w:val="02FEBE30"/>
    <w:rsid w:val="036F8141"/>
    <w:rsid w:val="04216B52"/>
    <w:rsid w:val="052B2F21"/>
    <w:rsid w:val="05CB74A0"/>
    <w:rsid w:val="066E0107"/>
    <w:rsid w:val="06DA1609"/>
    <w:rsid w:val="07921036"/>
    <w:rsid w:val="07996F6E"/>
    <w:rsid w:val="07B27637"/>
    <w:rsid w:val="07DFD8BA"/>
    <w:rsid w:val="09243B11"/>
    <w:rsid w:val="0A2032A3"/>
    <w:rsid w:val="0A9D2FF4"/>
    <w:rsid w:val="0AF55D55"/>
    <w:rsid w:val="0C9C7F8B"/>
    <w:rsid w:val="0D35B1ED"/>
    <w:rsid w:val="0D84227F"/>
    <w:rsid w:val="0E7ED1F5"/>
    <w:rsid w:val="0F0D0EF5"/>
    <w:rsid w:val="0F98263C"/>
    <w:rsid w:val="101860EC"/>
    <w:rsid w:val="101F5331"/>
    <w:rsid w:val="10794C79"/>
    <w:rsid w:val="10B94FC8"/>
    <w:rsid w:val="10C055FF"/>
    <w:rsid w:val="10CE17D0"/>
    <w:rsid w:val="115E39F7"/>
    <w:rsid w:val="118107EC"/>
    <w:rsid w:val="11A26319"/>
    <w:rsid w:val="121B2CFF"/>
    <w:rsid w:val="12AF0CEE"/>
    <w:rsid w:val="12B04A66"/>
    <w:rsid w:val="131540CA"/>
    <w:rsid w:val="13416360"/>
    <w:rsid w:val="13CE7899"/>
    <w:rsid w:val="13D50BC4"/>
    <w:rsid w:val="13EC7D20"/>
    <w:rsid w:val="13F5616D"/>
    <w:rsid w:val="14074B59"/>
    <w:rsid w:val="16BB723D"/>
    <w:rsid w:val="17636E30"/>
    <w:rsid w:val="17F9714D"/>
    <w:rsid w:val="183A5435"/>
    <w:rsid w:val="18E1003E"/>
    <w:rsid w:val="18EC4B30"/>
    <w:rsid w:val="19045B0B"/>
    <w:rsid w:val="1918F934"/>
    <w:rsid w:val="1A845156"/>
    <w:rsid w:val="1AAA6386"/>
    <w:rsid w:val="1B866CAC"/>
    <w:rsid w:val="1B8F0F39"/>
    <w:rsid w:val="1BA67F3F"/>
    <w:rsid w:val="1BAC2A59"/>
    <w:rsid w:val="1BBB0EC8"/>
    <w:rsid w:val="1BC82D81"/>
    <w:rsid w:val="1BE20386"/>
    <w:rsid w:val="1BE8440E"/>
    <w:rsid w:val="1C0665FB"/>
    <w:rsid w:val="1C0C71B1"/>
    <w:rsid w:val="1C484F46"/>
    <w:rsid w:val="1C6C6672"/>
    <w:rsid w:val="1D155CEE"/>
    <w:rsid w:val="1D1B6922"/>
    <w:rsid w:val="1DFBC4B3"/>
    <w:rsid w:val="1E3130AD"/>
    <w:rsid w:val="1E740ACF"/>
    <w:rsid w:val="1F19C781"/>
    <w:rsid w:val="1F33FCE5"/>
    <w:rsid w:val="1F7F7398"/>
    <w:rsid w:val="1F89131B"/>
    <w:rsid w:val="1FD2DB6F"/>
    <w:rsid w:val="1FF35744"/>
    <w:rsid w:val="1FF6BC77"/>
    <w:rsid w:val="1FF9236D"/>
    <w:rsid w:val="208A67A9"/>
    <w:rsid w:val="209D59F0"/>
    <w:rsid w:val="215D400B"/>
    <w:rsid w:val="22B40DE5"/>
    <w:rsid w:val="22F269D3"/>
    <w:rsid w:val="230004BA"/>
    <w:rsid w:val="23222EB5"/>
    <w:rsid w:val="2333840E"/>
    <w:rsid w:val="23860B96"/>
    <w:rsid w:val="240371BF"/>
    <w:rsid w:val="242A28CA"/>
    <w:rsid w:val="24C7636B"/>
    <w:rsid w:val="24E0567E"/>
    <w:rsid w:val="24EA3E07"/>
    <w:rsid w:val="257C638F"/>
    <w:rsid w:val="267E514F"/>
    <w:rsid w:val="288305BF"/>
    <w:rsid w:val="292A318F"/>
    <w:rsid w:val="29847FAA"/>
    <w:rsid w:val="29E32440"/>
    <w:rsid w:val="29FD04D3"/>
    <w:rsid w:val="2B1E567C"/>
    <w:rsid w:val="2B2104DC"/>
    <w:rsid w:val="2B51698E"/>
    <w:rsid w:val="2BFF7BC6"/>
    <w:rsid w:val="2C117480"/>
    <w:rsid w:val="2C8A61B5"/>
    <w:rsid w:val="2CD59C95"/>
    <w:rsid w:val="2DA1427C"/>
    <w:rsid w:val="2DF04E50"/>
    <w:rsid w:val="2EFD05E5"/>
    <w:rsid w:val="2F040D46"/>
    <w:rsid w:val="2F4F95CE"/>
    <w:rsid w:val="2FACAFDD"/>
    <w:rsid w:val="2FAE5751"/>
    <w:rsid w:val="2FB1A395"/>
    <w:rsid w:val="2FCF0B76"/>
    <w:rsid w:val="2FD9A7D8"/>
    <w:rsid w:val="30FC55EE"/>
    <w:rsid w:val="319F7F4E"/>
    <w:rsid w:val="31E87920"/>
    <w:rsid w:val="32891D2D"/>
    <w:rsid w:val="3304709D"/>
    <w:rsid w:val="34E40873"/>
    <w:rsid w:val="36872EC8"/>
    <w:rsid w:val="36AA5135"/>
    <w:rsid w:val="36BE0DA7"/>
    <w:rsid w:val="376B6AA6"/>
    <w:rsid w:val="376D39B2"/>
    <w:rsid w:val="37E16F03"/>
    <w:rsid w:val="37F53A3B"/>
    <w:rsid w:val="3878301B"/>
    <w:rsid w:val="38D469F0"/>
    <w:rsid w:val="38F78389"/>
    <w:rsid w:val="397BAF1F"/>
    <w:rsid w:val="39E7B272"/>
    <w:rsid w:val="39F7642F"/>
    <w:rsid w:val="39FF7B37"/>
    <w:rsid w:val="3A103ED9"/>
    <w:rsid w:val="3AB79AF3"/>
    <w:rsid w:val="3ABF2751"/>
    <w:rsid w:val="3AFDCB77"/>
    <w:rsid w:val="3B0E5C90"/>
    <w:rsid w:val="3B5B73B5"/>
    <w:rsid w:val="3B7EF35A"/>
    <w:rsid w:val="3B9FDB6C"/>
    <w:rsid w:val="3BAD1C8A"/>
    <w:rsid w:val="3BB52F69"/>
    <w:rsid w:val="3BED2703"/>
    <w:rsid w:val="3BF5BC2F"/>
    <w:rsid w:val="3BF7C23A"/>
    <w:rsid w:val="3BFF223E"/>
    <w:rsid w:val="3C2B4FD9"/>
    <w:rsid w:val="3C422E85"/>
    <w:rsid w:val="3C6EC0A1"/>
    <w:rsid w:val="3CDB0824"/>
    <w:rsid w:val="3CEBA265"/>
    <w:rsid w:val="3D6A7F9F"/>
    <w:rsid w:val="3D7E7F4D"/>
    <w:rsid w:val="3D98207C"/>
    <w:rsid w:val="3D9CF30A"/>
    <w:rsid w:val="3DB717AB"/>
    <w:rsid w:val="3DFF5A3E"/>
    <w:rsid w:val="3E234634"/>
    <w:rsid w:val="3E78745D"/>
    <w:rsid w:val="3E80785E"/>
    <w:rsid w:val="3EEE77E9"/>
    <w:rsid w:val="3F394AF5"/>
    <w:rsid w:val="3FBE5714"/>
    <w:rsid w:val="3FDD8615"/>
    <w:rsid w:val="3FDFB2FF"/>
    <w:rsid w:val="3FF4CAE0"/>
    <w:rsid w:val="3FF75FAF"/>
    <w:rsid w:val="3FF7B227"/>
    <w:rsid w:val="400E32CC"/>
    <w:rsid w:val="408C03E7"/>
    <w:rsid w:val="408E6801"/>
    <w:rsid w:val="418B697A"/>
    <w:rsid w:val="41F63994"/>
    <w:rsid w:val="42072045"/>
    <w:rsid w:val="42336996"/>
    <w:rsid w:val="42940BD6"/>
    <w:rsid w:val="42C80CEE"/>
    <w:rsid w:val="437C2D76"/>
    <w:rsid w:val="44E268DA"/>
    <w:rsid w:val="45240818"/>
    <w:rsid w:val="457F4F6B"/>
    <w:rsid w:val="460348D1"/>
    <w:rsid w:val="461F5BAF"/>
    <w:rsid w:val="4645313C"/>
    <w:rsid w:val="465515D1"/>
    <w:rsid w:val="4737FB58"/>
    <w:rsid w:val="47A3011A"/>
    <w:rsid w:val="47BF0C92"/>
    <w:rsid w:val="47C65E4E"/>
    <w:rsid w:val="47ECCB02"/>
    <w:rsid w:val="47FA6A3F"/>
    <w:rsid w:val="48401E0D"/>
    <w:rsid w:val="49D7AE48"/>
    <w:rsid w:val="4A370FED"/>
    <w:rsid w:val="4A3F6C7E"/>
    <w:rsid w:val="4A627F82"/>
    <w:rsid w:val="4B0E749A"/>
    <w:rsid w:val="4B4F25DA"/>
    <w:rsid w:val="4BBB4781"/>
    <w:rsid w:val="4BD709A5"/>
    <w:rsid w:val="4BDD9BFF"/>
    <w:rsid w:val="4BE068DB"/>
    <w:rsid w:val="4BE72859"/>
    <w:rsid w:val="4CC264C3"/>
    <w:rsid w:val="4D177129"/>
    <w:rsid w:val="4D577224"/>
    <w:rsid w:val="4DBF1CEB"/>
    <w:rsid w:val="4DBF6A6B"/>
    <w:rsid w:val="4DF6A672"/>
    <w:rsid w:val="4E326BEE"/>
    <w:rsid w:val="4EAB630A"/>
    <w:rsid w:val="4ECE2238"/>
    <w:rsid w:val="4F7EA413"/>
    <w:rsid w:val="4FAB812F"/>
    <w:rsid w:val="4FE9BD67"/>
    <w:rsid w:val="4FEE4C07"/>
    <w:rsid w:val="4FF073E2"/>
    <w:rsid w:val="4FFB052F"/>
    <w:rsid w:val="506D0D72"/>
    <w:rsid w:val="519A258E"/>
    <w:rsid w:val="51F7178E"/>
    <w:rsid w:val="52526750"/>
    <w:rsid w:val="537E6D0A"/>
    <w:rsid w:val="53AB6B88"/>
    <w:rsid w:val="53BD2563"/>
    <w:rsid w:val="53F74C96"/>
    <w:rsid w:val="54272A9D"/>
    <w:rsid w:val="54890697"/>
    <w:rsid w:val="5583522D"/>
    <w:rsid w:val="566A0C2E"/>
    <w:rsid w:val="566A651B"/>
    <w:rsid w:val="56EA7B13"/>
    <w:rsid w:val="571508A7"/>
    <w:rsid w:val="57BD3DD4"/>
    <w:rsid w:val="57F9CD1E"/>
    <w:rsid w:val="59FD190B"/>
    <w:rsid w:val="5A6C4CE3"/>
    <w:rsid w:val="5A821EBE"/>
    <w:rsid w:val="5AC62645"/>
    <w:rsid w:val="5AF92295"/>
    <w:rsid w:val="5AF9D8E9"/>
    <w:rsid w:val="5BA02E96"/>
    <w:rsid w:val="5BDD38BD"/>
    <w:rsid w:val="5BDD79E6"/>
    <w:rsid w:val="5BDF12EB"/>
    <w:rsid w:val="5BEFC772"/>
    <w:rsid w:val="5BFF5DFC"/>
    <w:rsid w:val="5CD71FC4"/>
    <w:rsid w:val="5D015BB7"/>
    <w:rsid w:val="5D1F11B5"/>
    <w:rsid w:val="5D293E00"/>
    <w:rsid w:val="5D3647F9"/>
    <w:rsid w:val="5DA644D4"/>
    <w:rsid w:val="5DAE1B18"/>
    <w:rsid w:val="5DD32995"/>
    <w:rsid w:val="5DE03D0B"/>
    <w:rsid w:val="5DE7D9E5"/>
    <w:rsid w:val="5DFE58E1"/>
    <w:rsid w:val="5EA04616"/>
    <w:rsid w:val="5ECEC941"/>
    <w:rsid w:val="5EFF8FC6"/>
    <w:rsid w:val="5F5BA39A"/>
    <w:rsid w:val="5F7D3B79"/>
    <w:rsid w:val="5F7F4610"/>
    <w:rsid w:val="5FBF9FF3"/>
    <w:rsid w:val="5FCD4E2C"/>
    <w:rsid w:val="5FEF394A"/>
    <w:rsid w:val="5FF67715"/>
    <w:rsid w:val="60002155"/>
    <w:rsid w:val="61823D2A"/>
    <w:rsid w:val="61CA71D5"/>
    <w:rsid w:val="627E2B30"/>
    <w:rsid w:val="627EE9EA"/>
    <w:rsid w:val="62B40A46"/>
    <w:rsid w:val="62FD7A99"/>
    <w:rsid w:val="63576530"/>
    <w:rsid w:val="636E53EF"/>
    <w:rsid w:val="636F578C"/>
    <w:rsid w:val="63B23AA5"/>
    <w:rsid w:val="64732068"/>
    <w:rsid w:val="647F5392"/>
    <w:rsid w:val="64C574CA"/>
    <w:rsid w:val="64E322C4"/>
    <w:rsid w:val="653A0192"/>
    <w:rsid w:val="65EE0EE5"/>
    <w:rsid w:val="65FB93B9"/>
    <w:rsid w:val="6633C463"/>
    <w:rsid w:val="67D55B77"/>
    <w:rsid w:val="67EE7F84"/>
    <w:rsid w:val="67F56E50"/>
    <w:rsid w:val="686F5F53"/>
    <w:rsid w:val="68AF296B"/>
    <w:rsid w:val="68FF75FC"/>
    <w:rsid w:val="6A512005"/>
    <w:rsid w:val="6AFFCEAF"/>
    <w:rsid w:val="6B385337"/>
    <w:rsid w:val="6B6601E5"/>
    <w:rsid w:val="6B6A0DCB"/>
    <w:rsid w:val="6B96E9E6"/>
    <w:rsid w:val="6BA95097"/>
    <w:rsid w:val="6BB11078"/>
    <w:rsid w:val="6BCE57B5"/>
    <w:rsid w:val="6BFA10DE"/>
    <w:rsid w:val="6BFEA4DB"/>
    <w:rsid w:val="6BFFB662"/>
    <w:rsid w:val="6C4A05C8"/>
    <w:rsid w:val="6CFF4FB8"/>
    <w:rsid w:val="6D121C8D"/>
    <w:rsid w:val="6D6BD6E0"/>
    <w:rsid w:val="6D77E73C"/>
    <w:rsid w:val="6DBF5E93"/>
    <w:rsid w:val="6DFF077E"/>
    <w:rsid w:val="6E7E3605"/>
    <w:rsid w:val="6E7FDCC7"/>
    <w:rsid w:val="6E806520"/>
    <w:rsid w:val="6ED6A62E"/>
    <w:rsid w:val="6EE00B15"/>
    <w:rsid w:val="6EE737B2"/>
    <w:rsid w:val="6EEB2329"/>
    <w:rsid w:val="6EECE67A"/>
    <w:rsid w:val="6F6F90A8"/>
    <w:rsid w:val="6F6FB3EB"/>
    <w:rsid w:val="6F8731EA"/>
    <w:rsid w:val="6FBC2ADD"/>
    <w:rsid w:val="6FD57C00"/>
    <w:rsid w:val="6FEFFFD8"/>
    <w:rsid w:val="6FF209F3"/>
    <w:rsid w:val="6FF5CC65"/>
    <w:rsid w:val="6FFB47EC"/>
    <w:rsid w:val="6FFF034A"/>
    <w:rsid w:val="700F30D4"/>
    <w:rsid w:val="70BB7D3B"/>
    <w:rsid w:val="712A28F1"/>
    <w:rsid w:val="71512BEF"/>
    <w:rsid w:val="715C0E4B"/>
    <w:rsid w:val="7185070D"/>
    <w:rsid w:val="71FFD401"/>
    <w:rsid w:val="72233669"/>
    <w:rsid w:val="72531E63"/>
    <w:rsid w:val="72593D52"/>
    <w:rsid w:val="72734D90"/>
    <w:rsid w:val="732950C8"/>
    <w:rsid w:val="732B403D"/>
    <w:rsid w:val="7332FE48"/>
    <w:rsid w:val="739002D0"/>
    <w:rsid w:val="73AD73D5"/>
    <w:rsid w:val="73B6EB34"/>
    <w:rsid w:val="73FA497D"/>
    <w:rsid w:val="7415254D"/>
    <w:rsid w:val="744731E5"/>
    <w:rsid w:val="746B0F7E"/>
    <w:rsid w:val="74BBD01D"/>
    <w:rsid w:val="74ED5379"/>
    <w:rsid w:val="751A328C"/>
    <w:rsid w:val="75B27CA5"/>
    <w:rsid w:val="75DEEEC2"/>
    <w:rsid w:val="761364A1"/>
    <w:rsid w:val="767F479D"/>
    <w:rsid w:val="76E3355F"/>
    <w:rsid w:val="76F742AF"/>
    <w:rsid w:val="76F7BE7D"/>
    <w:rsid w:val="76FF5125"/>
    <w:rsid w:val="773570D3"/>
    <w:rsid w:val="77597F31"/>
    <w:rsid w:val="776F6FFA"/>
    <w:rsid w:val="7777A522"/>
    <w:rsid w:val="77858688"/>
    <w:rsid w:val="778769C8"/>
    <w:rsid w:val="77C23F98"/>
    <w:rsid w:val="77CB741A"/>
    <w:rsid w:val="77D7BE3A"/>
    <w:rsid w:val="77DC22F5"/>
    <w:rsid w:val="788C05D2"/>
    <w:rsid w:val="78E71CAD"/>
    <w:rsid w:val="797E3A6C"/>
    <w:rsid w:val="79CF70E2"/>
    <w:rsid w:val="79D73ACF"/>
    <w:rsid w:val="79D7FD79"/>
    <w:rsid w:val="79E75806"/>
    <w:rsid w:val="79EE5BA4"/>
    <w:rsid w:val="7A641148"/>
    <w:rsid w:val="7A6F8BF5"/>
    <w:rsid w:val="7A894339"/>
    <w:rsid w:val="7AAC4F5C"/>
    <w:rsid w:val="7ACF82B5"/>
    <w:rsid w:val="7AFF28C9"/>
    <w:rsid w:val="7AFF72A0"/>
    <w:rsid w:val="7AFF7572"/>
    <w:rsid w:val="7B0E642F"/>
    <w:rsid w:val="7B4762DA"/>
    <w:rsid w:val="7B6C7DFB"/>
    <w:rsid w:val="7B755AFC"/>
    <w:rsid w:val="7B7D76A7"/>
    <w:rsid w:val="7BAE2FE2"/>
    <w:rsid w:val="7BAF6951"/>
    <w:rsid w:val="7BBFBED0"/>
    <w:rsid w:val="7BC3E394"/>
    <w:rsid w:val="7BF3FE4C"/>
    <w:rsid w:val="7BFB5035"/>
    <w:rsid w:val="7BFDE17E"/>
    <w:rsid w:val="7CB41EA6"/>
    <w:rsid w:val="7CBFC87B"/>
    <w:rsid w:val="7CCD2C16"/>
    <w:rsid w:val="7CD27528"/>
    <w:rsid w:val="7CFE0F48"/>
    <w:rsid w:val="7D3DE31C"/>
    <w:rsid w:val="7D7EC23E"/>
    <w:rsid w:val="7D7F8A13"/>
    <w:rsid w:val="7DBBCB01"/>
    <w:rsid w:val="7DC765D0"/>
    <w:rsid w:val="7DDB0EE0"/>
    <w:rsid w:val="7DFF51D8"/>
    <w:rsid w:val="7E2B6198"/>
    <w:rsid w:val="7E634199"/>
    <w:rsid w:val="7E704224"/>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index 8"/>
    <w:basedOn w:val="1"/>
    <w:next w:val="1"/>
    <w:qFormat/>
    <w:uiPriority w:val="0"/>
    <w:pPr>
      <w:ind w:left="1400" w:leftChars="1400"/>
    </w:pPr>
  </w:style>
  <w:style w:type="paragraph" w:styleId="7">
    <w:name w:val="index 5"/>
    <w:basedOn w:val="1"/>
    <w:next w:val="1"/>
    <w:qFormat/>
    <w:uiPriority w:val="0"/>
    <w:pPr>
      <w:ind w:left="1680"/>
    </w:pPr>
  </w:style>
  <w:style w:type="paragraph" w:styleId="8">
    <w:name w:val="Salutation"/>
    <w:basedOn w:val="1"/>
    <w:next w:val="1"/>
    <w:qFormat/>
    <w:uiPriority w:val="0"/>
    <w:rPr>
      <w:rFonts w:ascii="Times New Roman" w:hAnsi="Times New Roman" w:eastAsia="宋体" w:cs="Times New Roman"/>
    </w:rPr>
  </w:style>
  <w:style w:type="paragraph" w:styleId="9">
    <w:name w:val="Body Text"/>
    <w:basedOn w:val="1"/>
    <w:link w:val="30"/>
    <w:qFormat/>
    <w:uiPriority w:val="99"/>
    <w:pPr>
      <w:spacing w:beforeLines="30"/>
    </w:pPr>
    <w:rPr>
      <w:rFonts w:ascii="仿宋_GB2312" w:eastAsia="仿宋_GB2312"/>
      <w:kern w:val="0"/>
      <w:sz w:val="30"/>
    </w:rPr>
  </w:style>
  <w:style w:type="paragraph" w:styleId="10">
    <w:name w:val="Body Text Indent"/>
    <w:basedOn w:val="1"/>
    <w:qFormat/>
    <w:uiPriority w:val="0"/>
    <w:pPr>
      <w:spacing w:after="120"/>
      <w:ind w:left="200" w:leftChars="200"/>
    </w:pPr>
    <w:rPr>
      <w:rFonts w:ascii="仿宋_GB2312"/>
      <w:szCs w:val="32"/>
    </w:rPr>
  </w:style>
  <w:style w:type="paragraph" w:styleId="11">
    <w:name w:val="toc 3"/>
    <w:basedOn w:val="1"/>
    <w:next w:val="1"/>
    <w:unhideWhenUsed/>
    <w:qFormat/>
    <w:uiPriority w:val="39"/>
    <w:pPr>
      <w:tabs>
        <w:tab w:val="right" w:leader="dot" w:pos="8296"/>
      </w:tabs>
      <w:ind w:left="840" w:leftChars="400"/>
    </w:pPr>
  </w:style>
  <w:style w:type="paragraph" w:styleId="12">
    <w:name w:val="Plain Text"/>
    <w:basedOn w:val="1"/>
    <w:qFormat/>
    <w:uiPriority w:val="0"/>
    <w:pPr>
      <w:spacing w:before="0" w:beforeAutospacing="0" w:after="0" w:afterAutospacing="0"/>
      <w:ind w:left="0" w:right="0"/>
      <w:jc w:val="left"/>
    </w:pPr>
    <w:rPr>
      <w:rFonts w:hint="eastAsia" w:ascii="宋体" w:hAnsi="宋体" w:eastAsia="宋体" w:cs="Courier New"/>
      <w:kern w:val="0"/>
      <w:sz w:val="24"/>
      <w:szCs w:val="24"/>
      <w:lang w:val="en-US" w:eastAsia="zh-CN" w:bidi="ar"/>
    </w:rPr>
  </w:style>
  <w:style w:type="paragraph" w:styleId="13">
    <w:name w:val="Balloon Text"/>
    <w:basedOn w:val="1"/>
    <w:link w:val="36"/>
    <w:semiHidden/>
    <w:unhideWhenUsed/>
    <w:qFormat/>
    <w:uiPriority w:val="99"/>
    <w:rPr>
      <w:sz w:val="18"/>
      <w:szCs w:val="18"/>
    </w:rPr>
  </w:style>
  <w:style w:type="paragraph" w:styleId="14">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qFormat/>
    <w:uiPriority w:val="0"/>
    <w:pPr>
      <w:spacing w:before="100" w:beforeAutospacing="1" w:after="100" w:afterAutospacing="1"/>
      <w:ind w:left="0" w:right="0"/>
      <w:jc w:val="left"/>
    </w:pPr>
    <w:rPr>
      <w:rFonts w:hint="default" w:ascii="宋体" w:hAnsi="宋体" w:eastAsia="宋体" w:cs="宋体"/>
      <w:kern w:val="0"/>
      <w:sz w:val="24"/>
      <w:lang w:val="en-US" w:eastAsia="zh-CN" w:bidi="ar"/>
    </w:rPr>
  </w:style>
  <w:style w:type="paragraph" w:styleId="19">
    <w:name w:val="Body Text First Indent 2"/>
    <w:basedOn w:val="10"/>
    <w:unhideWhenUsed/>
    <w:qFormat/>
    <w:uiPriority w:val="99"/>
    <w:pPr>
      <w:ind w:firstLine="420" w:firstLineChars="200"/>
    </w:p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paragraph" w:customStyle="1" w:styleId="24">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5">
    <w:name w:val="Header Char"/>
    <w:basedOn w:val="21"/>
    <w:semiHidden/>
    <w:qFormat/>
    <w:uiPriority w:val="99"/>
    <w:rPr>
      <w:rFonts w:ascii="Times New Roman" w:hAnsi="Times New Roman"/>
      <w:sz w:val="18"/>
      <w:szCs w:val="18"/>
    </w:rPr>
  </w:style>
  <w:style w:type="character" w:customStyle="1" w:styleId="26">
    <w:name w:val="页眉 字符"/>
    <w:link w:val="15"/>
    <w:semiHidden/>
    <w:qFormat/>
    <w:locked/>
    <w:uiPriority w:val="99"/>
    <w:rPr>
      <w:sz w:val="18"/>
    </w:rPr>
  </w:style>
  <w:style w:type="character" w:customStyle="1" w:styleId="27">
    <w:name w:val="Footer Char"/>
    <w:basedOn w:val="21"/>
    <w:semiHidden/>
    <w:qFormat/>
    <w:uiPriority w:val="99"/>
    <w:rPr>
      <w:rFonts w:ascii="Times New Roman" w:hAnsi="Times New Roman"/>
      <w:sz w:val="18"/>
      <w:szCs w:val="18"/>
    </w:rPr>
  </w:style>
  <w:style w:type="character" w:customStyle="1" w:styleId="28">
    <w:name w:val="页脚 字符"/>
    <w:link w:val="14"/>
    <w:qFormat/>
    <w:locked/>
    <w:uiPriority w:val="99"/>
    <w:rPr>
      <w:sz w:val="18"/>
    </w:rPr>
  </w:style>
  <w:style w:type="character" w:customStyle="1" w:styleId="29">
    <w:name w:val="Body Text Char"/>
    <w:basedOn w:val="21"/>
    <w:semiHidden/>
    <w:qFormat/>
    <w:uiPriority w:val="99"/>
    <w:rPr>
      <w:rFonts w:ascii="Times New Roman" w:hAnsi="Times New Roman"/>
      <w:szCs w:val="24"/>
    </w:rPr>
  </w:style>
  <w:style w:type="character" w:customStyle="1" w:styleId="30">
    <w:name w:val="正文文本 字符"/>
    <w:link w:val="9"/>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2">
    <w:name w:val="List Paragraph"/>
    <w:basedOn w:val="1"/>
    <w:qFormat/>
    <w:uiPriority w:val="34"/>
    <w:pPr>
      <w:ind w:firstLine="420" w:firstLineChars="200"/>
    </w:pPr>
  </w:style>
  <w:style w:type="character" w:customStyle="1" w:styleId="33">
    <w:name w:val="标题 1 字符"/>
    <w:basedOn w:val="21"/>
    <w:link w:val="3"/>
    <w:qFormat/>
    <w:uiPriority w:val="9"/>
    <w:rPr>
      <w:rFonts w:ascii="Times New Roman" w:hAnsi="Times New Roman"/>
      <w:b/>
      <w:bCs/>
      <w:kern w:val="44"/>
      <w:sz w:val="44"/>
      <w:szCs w:val="44"/>
    </w:rPr>
  </w:style>
  <w:style w:type="character" w:customStyle="1" w:styleId="34">
    <w:name w:val="标题 2 字符"/>
    <w:basedOn w:val="21"/>
    <w:link w:val="4"/>
    <w:qFormat/>
    <w:uiPriority w:val="9"/>
    <w:rPr>
      <w:rFonts w:asciiTheme="majorHAnsi" w:hAnsiTheme="majorHAnsi" w:eastAsiaTheme="majorEastAsia" w:cstheme="majorBidi"/>
      <w:b/>
      <w:bCs/>
      <w:kern w:val="2"/>
      <w:sz w:val="32"/>
      <w:szCs w:val="32"/>
    </w:r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3"/>
    <w:semiHidden/>
    <w:qFormat/>
    <w:uiPriority w:val="99"/>
    <w:rPr>
      <w:rFonts w:ascii="Times New Roman" w:hAnsi="Times New Roman"/>
      <w:kern w:val="2"/>
      <w:sz w:val="18"/>
      <w:szCs w:val="18"/>
    </w:rPr>
  </w:style>
  <w:style w:type="character" w:customStyle="1" w:styleId="37">
    <w:name w:val="标题 3 字符"/>
    <w:basedOn w:val="21"/>
    <w:link w:val="5"/>
    <w:qFormat/>
    <w:uiPriority w:val="9"/>
    <w:rPr>
      <w:rFonts w:ascii="Times New Roman" w:hAnsi="Times New Roman"/>
      <w:b/>
      <w:bCs/>
      <w:kern w:val="2"/>
      <w:sz w:val="32"/>
      <w:szCs w:val="32"/>
    </w:rPr>
  </w:style>
  <w:style w:type="paragraph" w:customStyle="1" w:styleId="3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9">
    <w:name w:val="四号正文"/>
    <w:basedOn w:val="1"/>
    <w:qFormat/>
    <w:uiPriority w:val="0"/>
    <w:pPr>
      <w:spacing w:line="360" w:lineRule="auto"/>
    </w:pPr>
    <w:rPr>
      <w:rFonts w:ascii="??" w:hAnsi="??"/>
      <w:color w:val="000000"/>
      <w:kern w:val="0"/>
      <w:sz w:val="28"/>
      <w:szCs w:val="21"/>
      <w:lang w:val="zh-CN"/>
    </w:rPr>
  </w:style>
  <w:style w:type="paragraph" w:customStyle="1" w:styleId="40">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41">
    <w:name w:val="WPSOffice手动目录 1"/>
    <w:qFormat/>
    <w:uiPriority w:val="0"/>
    <w:pPr>
      <w:ind w:leftChars="0"/>
    </w:pPr>
    <w:rPr>
      <w:rFonts w:asciiTheme="minorHAnsi" w:hAnsiTheme="minorHAnsi" w:eastAsiaTheme="minorEastAsia" w:cstheme="minorBidi"/>
      <w:sz w:val="20"/>
      <w:szCs w:val="20"/>
    </w:rPr>
  </w:style>
  <w:style w:type="character" w:customStyle="1" w:styleId="42">
    <w:name w:val="16"/>
    <w:basedOn w:val="21"/>
    <w:qFormat/>
    <w:uiPriority w:val="0"/>
    <w:rPr>
      <w:rFonts w:hint="default" w:ascii="Times New Roman" w:hAnsi="Times New Roman" w:cs="Times New Roman"/>
      <w:b/>
    </w:rPr>
  </w:style>
  <w:style w:type="paragraph" w:customStyle="1" w:styleId="43">
    <w:name w:val="WPSOffice手动目录 2"/>
    <w:qFormat/>
    <w:uiPriority w:val="0"/>
    <w:pPr>
      <w:ind w:leftChars="200"/>
    </w:pPr>
    <w:rPr>
      <w:rFonts w:asciiTheme="minorHAnsi" w:hAnsiTheme="minorHAnsi" w:eastAsiaTheme="minorEastAsia" w:cstheme="minorBidi"/>
      <w:sz w:val="20"/>
      <w:szCs w:val="20"/>
    </w:rPr>
  </w:style>
  <w:style w:type="character" w:customStyle="1" w:styleId="44">
    <w:name w:val="标题 1 Char"/>
    <w:basedOn w:val="21"/>
    <w:link w:val="3"/>
    <w:qFormat/>
    <w:uiPriority w:val="0"/>
    <w:rPr>
      <w:rFonts w:ascii="Times New Roman" w:hAnsi="Times New Roman" w:eastAsia="宋体" w:cs="Times New Roman"/>
      <w:b/>
      <w:bCs/>
      <w:kern w:val="44"/>
      <w:sz w:val="44"/>
      <w:szCs w:val="44"/>
      <w:lang w:val="en-US" w:eastAsia="zh-CN" w:bidi="ar-SA"/>
    </w:rPr>
  </w:style>
  <w:style w:type="paragraph" w:customStyle="1" w:styleId="45">
    <w:name w:val="Heading3"/>
    <w:basedOn w:val="1"/>
    <w:next w:val="1"/>
    <w:qFormat/>
    <w:uiPriority w:val="0"/>
    <w:pPr>
      <w:spacing w:before="104" w:after="104"/>
      <w:ind w:firstLineChars="0"/>
      <w:jc w:val="both"/>
      <w:textAlignment w:val="baseline"/>
    </w:pPr>
    <w:rPr>
      <w:rFonts w:ascii="Calibri" w:hAnsi="Calibri" w:eastAsia="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5195;&#30721;&#30456;&#20851;&#24773;&#20917;.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X%20&#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X%20&#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X%20&#24037;&#20316;&#3492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2.xml"/><Relationship Id="rId1" Type="http://schemas.openxmlformats.org/officeDocument/2006/relationships/oleObject" Target="file:///C:\Users\Administrator\Desktop\&#26032;&#24314;%20XLSX%20&#24037;&#20316;&#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ltLang="en-US"/>
              <a:t>收入支出决算总体情况</a:t>
            </a:r>
            <a:endParaRPr altLang="en-US"/>
          </a:p>
        </c:rich>
      </c:tx>
      <c:layout/>
      <c:overlay val="0"/>
      <c:spPr>
        <a:noFill/>
        <a:ln>
          <a:noFill/>
        </a:ln>
        <a:effectLst/>
      </c:spPr>
    </c:title>
    <c:autoTitleDeleted val="0"/>
    <c:plotArea>
      <c:layout/>
      <c:barChart>
        <c:barDir val="col"/>
        <c:grouping val="clustered"/>
        <c:varyColors val="0"/>
        <c:ser>
          <c:idx val="0"/>
          <c:order val="0"/>
          <c:spPr>
            <a:solidFill>
              <a:schemeClr val="accent1">
                <a:hueOff val="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'[新建 XLSX 工作表.xlsx]Sheet1'!$B$5:$C$10</c:f>
              <c:multiLvlStrCache>
                <c:ptCount val="6"/>
                <c:lvl>
                  <c:pt idx="0">
                    <c:v>817.14万元</c:v>
                  </c:pt>
                  <c:pt idx="1">
                    <c:v>50.60万元</c:v>
                  </c:pt>
                  <c:pt idx="2">
                    <c:v>59.15万元</c:v>
                  </c:pt>
                  <c:pt idx="3">
                    <c:v>24.82万元</c:v>
                  </c:pt>
                  <c:pt idx="4">
                    <c:v>32.67万元</c:v>
                  </c:pt>
                  <c:pt idx="5">
                    <c:v>110.95万元</c:v>
                  </c:pt>
                </c:lvl>
                <c:lvl>
                  <c:pt idx="0">
                    <c:v>一般公共服务支出</c:v>
                  </c:pt>
                  <c:pt idx="1">
                    <c:v>文化旅游体育与传媒支出</c:v>
                  </c:pt>
                  <c:pt idx="2">
                    <c:v>社会保障和就业支出</c:v>
                  </c:pt>
                  <c:pt idx="3">
                    <c:v>卫生健康支出</c:v>
                  </c:pt>
                  <c:pt idx="4">
                    <c:v>住房保障支出</c:v>
                  </c:pt>
                  <c:pt idx="5">
                    <c:v>农林水支出支出</c:v>
                  </c:pt>
                </c:lvl>
              </c:multiLvlStrCache>
            </c:multiLvlStrRef>
          </c:cat>
          <c:val>
            <c:numRef>
              <c:f>'[新建 XLSX 工作表.xlsx]Sheet1'!$D$5:$D$10</c:f>
              <c:numCache>
                <c:formatCode>0.00%</c:formatCode>
                <c:ptCount val="6"/>
                <c:pt idx="0">
                  <c:v>0.746</c:v>
                </c:pt>
                <c:pt idx="1">
                  <c:v>0.0462</c:v>
                </c:pt>
                <c:pt idx="2">
                  <c:v>0.054</c:v>
                </c:pt>
                <c:pt idx="3">
                  <c:v>0.0227</c:v>
                </c:pt>
                <c:pt idx="4">
                  <c:v>0.0298</c:v>
                </c:pt>
                <c:pt idx="5">
                  <c:v>0.1013</c:v>
                </c:pt>
              </c:numCache>
            </c:numRef>
          </c:val>
        </c:ser>
        <c:dLbls>
          <c:showLegendKey val="0"/>
          <c:showVal val="1"/>
          <c:showCatName val="0"/>
          <c:showSerName val="0"/>
          <c:showPercent val="0"/>
          <c:showBubbleSize val="0"/>
        </c:dLbls>
        <c:gapWidth val="130"/>
        <c:overlap val="30"/>
        <c:axId val="127159815"/>
        <c:axId val="343331468"/>
      </c:barChart>
      <c:catAx>
        <c:axId val="127159815"/>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43331468"/>
        <c:crosses val="autoZero"/>
        <c:auto val="1"/>
        <c:lblAlgn val="ctr"/>
        <c:lblOffset val="100"/>
        <c:noMultiLvlLbl val="0"/>
      </c:catAx>
      <c:valAx>
        <c:axId val="343331468"/>
        <c:scaling>
          <c:orientation val="minMax"/>
        </c:scaling>
        <c:delete val="1"/>
        <c:axPos val="l"/>
        <c:majorGridlines>
          <c:spPr>
            <a:ln w="6350" cap="flat" cmpd="sng" algn="ctr">
              <a:solidFill>
                <a:schemeClr val="tx1">
                  <a:lumMod val="50000"/>
                  <a:lumOff val="50000"/>
                  <a:alpha val="25000"/>
                </a:schemeClr>
              </a:solidFill>
              <a:round/>
            </a:ln>
            <a:effectLst/>
          </c:spPr>
        </c:majorGridlines>
        <c:numFmt formatCode="0.00%"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271598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noFill/>
        <a:ln>
          <a:noFill/>
        </a:ln>
        <a:effectLst/>
      </c:spPr>
    </c:plotArea>
    <c:plotVisOnly val="1"/>
    <c:dispBlanksAs val="gap"/>
    <c:showDLblsOverMax val="0"/>
    <c:extLst>
      <c:ext uri="{0b15fc19-7d7d-44ad-8c2d-2c3a37ce22c3}">
        <chartProps xmlns="https://web.wps.cn/et/2018/main" chartId="{a2228c6b-44b7-453c-ab51-02b47560a358}"/>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a:t>
            </a:r>
          </a:p>
        </c:rich>
      </c:tx>
      <c:layout/>
      <c:overlay val="0"/>
      <c:spPr>
        <a:noFill/>
        <a:ln>
          <a:noFill/>
        </a:ln>
        <a:effectLst/>
      </c:spPr>
    </c:title>
    <c:autoTitleDeleted val="0"/>
    <c:plotArea>
      <c:layout/>
      <c:pieChart>
        <c:varyColors val="1"/>
        <c:ser>
          <c:idx val="0"/>
          <c:order val="0"/>
          <c:tx>
            <c:strRef>
              <c:f>[扫码相关情况.xlsx]Sheet1!$G$7</c:f>
              <c:strCache>
                <c:ptCount val="1"/>
                <c:pt idx="0">
                  <c:v>一般公共预算财政拨款收入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[扫码相关情况.xlsx]Sheet1!$H$7</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1ec707ae-af86-4138-af30-ccf40b25128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支出决算情况说明</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工作表.xlsx]Sheet1'!$E$5:$E$10</c:f>
              <c:strCache>
                <c:ptCount val="6"/>
                <c:pt idx="0">
                  <c:v>一般公共服务支出</c:v>
                </c:pt>
                <c:pt idx="1">
                  <c:v>文化旅游体育与传媒支出</c:v>
                </c:pt>
                <c:pt idx="2">
                  <c:v>社会保障和就业支出</c:v>
                </c:pt>
                <c:pt idx="3">
                  <c:v>卫生健康支出</c:v>
                </c:pt>
                <c:pt idx="4">
                  <c:v>住房保障支出</c:v>
                </c:pt>
                <c:pt idx="5">
                  <c:v>农林水支出支出</c:v>
                </c:pt>
              </c:strCache>
            </c:strRef>
          </c:cat>
          <c:val>
            <c:numRef>
              <c:f>'[新建 XLSX 工作表.xlsx]Sheet1'!$F$5:$F$10</c:f>
              <c:numCache>
                <c:formatCode>0.00%</c:formatCode>
                <c:ptCount val="6"/>
                <c:pt idx="0">
                  <c:v>0.746</c:v>
                </c:pt>
                <c:pt idx="1">
                  <c:v>0.0462</c:v>
                </c:pt>
                <c:pt idx="2">
                  <c:v>0.054</c:v>
                </c:pt>
                <c:pt idx="3">
                  <c:v>0.0227</c:v>
                </c:pt>
                <c:pt idx="4">
                  <c:v>0.0298</c:v>
                </c:pt>
                <c:pt idx="5">
                  <c:v>0.1013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00f0f98-05fa-42a5-b717-9f7d22c2add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财政拨款收入支出决算总体情况</a:t>
            </a:r>
          </a:p>
          <a:p>
            <a:pPr defTabSz="914400">
              <a:defRPr lang="zh-CN" sz="1400" b="1" i="0" u="none" strike="noStrike" kern="1200" baseline="0">
                <a:solidFill>
                  <a:schemeClr val="tx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工作表.xlsx]Sheet1'!$E$5:$E$10</c:f>
              <c:strCache>
                <c:ptCount val="6"/>
                <c:pt idx="0">
                  <c:v>一般公共服务支出</c:v>
                </c:pt>
                <c:pt idx="1">
                  <c:v>文化旅游体育与传媒支出</c:v>
                </c:pt>
                <c:pt idx="2">
                  <c:v>社会保障和就业支出</c:v>
                </c:pt>
                <c:pt idx="3">
                  <c:v>卫生健康支出</c:v>
                </c:pt>
                <c:pt idx="4">
                  <c:v>住房保障支出</c:v>
                </c:pt>
                <c:pt idx="5">
                  <c:v>农林水支出支出</c:v>
                </c:pt>
              </c:strCache>
            </c:strRef>
          </c:cat>
          <c:val>
            <c:numRef>
              <c:f>'[新建 XLSX 工作表.xlsx]Sheet1'!$F$5:$F$10</c:f>
              <c:numCache>
                <c:formatCode>General</c:formatCode>
                <c:ptCount val="6"/>
                <c:pt idx="0">
                  <c:v>817.14</c:v>
                </c:pt>
                <c:pt idx="1">
                  <c:v>50.6</c:v>
                </c:pt>
                <c:pt idx="2">
                  <c:v>59.15</c:v>
                </c:pt>
                <c:pt idx="3">
                  <c:v>24.82</c:v>
                </c:pt>
                <c:pt idx="4">
                  <c:v>32.67</c:v>
                </c:pt>
                <c:pt idx="5">
                  <c:v>110.95</c:v>
                </c:pt>
              </c:numCache>
            </c:numRef>
          </c:val>
        </c:ser>
        <c:dLbls>
          <c:showLegendKey val="0"/>
          <c:showVal val="1"/>
          <c:showCatName val="0"/>
          <c:showSerName val="0"/>
          <c:showPercent val="0"/>
          <c:showBubbleSize val="0"/>
        </c:dLbls>
        <c:gapWidth val="246"/>
        <c:overlap val="-28"/>
        <c:axId val="511351772"/>
        <c:axId val="255877328"/>
      </c:barChart>
      <c:catAx>
        <c:axId val="5113517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5877328"/>
        <c:crosses val="autoZero"/>
        <c:auto val="1"/>
        <c:lblAlgn val="ctr"/>
        <c:lblOffset val="100"/>
        <c:noMultiLvlLbl val="0"/>
      </c:catAx>
      <c:valAx>
        <c:axId val="25587732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13517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ebff9c13-9903-414d-aae8-c41887f469a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177631578947368"/>
          <c:y val="0.0625"/>
        </c:manualLayout>
      </c:layout>
      <c:overlay val="0"/>
      <c:spPr>
        <a:noFill/>
        <a:ln>
          <a:noFill/>
        </a:ln>
        <a:effectLst/>
      </c:spPr>
    </c:title>
    <c:autoTitleDeleted val="0"/>
    <c:plotArea>
      <c:layout/>
      <c:barChart>
        <c:barDir val="bar"/>
        <c:grouping val="clustered"/>
        <c:varyColors val="0"/>
        <c:ser>
          <c:idx val="0"/>
          <c:order val="0"/>
          <c:spPr>
            <a:gradFill>
              <a:gsLst>
                <a:gs pos="0">
                  <a:schemeClr val="accent1">
                    <a:lumMod val="40000"/>
                    <a:lumOff val="60000"/>
                  </a:schemeClr>
                </a:gs>
                <a:gs pos="90000">
                  <a:schemeClr val="accent1"/>
                </a:gs>
              </a:gsLst>
              <a:lin ang="10800000" scaled="0"/>
            </a:gradFill>
            <a:ln>
              <a:gradFill>
                <a:gsLst>
                  <a:gs pos="0">
                    <a:schemeClr val="accent1"/>
                  </a:gs>
                  <a:gs pos="100000">
                    <a:schemeClr val="accent1">
                      <a:lumMod val="75000"/>
                    </a:schemeClr>
                  </a:gs>
                </a:gsLst>
                <a:lin ang="10800000" scaled="0"/>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工作表.xlsx]Sheet1'!$D$23:$D$24</c:f>
              <c:strCache>
                <c:ptCount val="2"/>
                <c:pt idx="0">
                  <c:v>2023年</c:v>
                </c:pt>
                <c:pt idx="1">
                  <c:v>2024年</c:v>
                </c:pt>
              </c:strCache>
            </c:strRef>
          </c:cat>
          <c:val>
            <c:numRef>
              <c:f>'[新建 XLSX 工作表.xlsx]Sheet1'!$E$23:$E$24</c:f>
              <c:numCache>
                <c:formatCode>General</c:formatCode>
                <c:ptCount val="2"/>
                <c:pt idx="0">
                  <c:v>982.15</c:v>
                </c:pt>
                <c:pt idx="1">
                  <c:v>1095.32</c:v>
                </c:pt>
              </c:numCache>
            </c:numRef>
          </c:val>
        </c:ser>
        <c:dLbls>
          <c:showLegendKey val="0"/>
          <c:showVal val="1"/>
          <c:showCatName val="0"/>
          <c:showSerName val="0"/>
          <c:showPercent val="0"/>
          <c:showBubbleSize val="0"/>
        </c:dLbls>
        <c:gapWidth val="140"/>
        <c:overlap val="-40"/>
        <c:axId val="472013077"/>
        <c:axId val="533167240"/>
      </c:barChart>
      <c:catAx>
        <c:axId val="472013077"/>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3167240"/>
        <c:crosses val="autoZero"/>
        <c:auto val="1"/>
        <c:lblAlgn val="ctr"/>
        <c:lblOffset val="100"/>
        <c:noMultiLvlLbl val="0"/>
      </c:catAx>
      <c:valAx>
        <c:axId val="533167240"/>
        <c:scaling>
          <c:orientation val="minMax"/>
        </c:scaling>
        <c:delete val="0"/>
        <c:axPos val="b"/>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01307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929c1d8-6e84-4a34-b456-7756ded18ee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一般公共预算财政拨款支出决算情况</a:t>
            </a:r>
          </a:p>
        </c:rich>
      </c:tx>
      <c:layout>
        <c:manualLayout>
          <c:xMode val="edge"/>
          <c:yMode val="edge"/>
          <c:x val="0.118289473684211"/>
          <c:y val="0.0381944444444444"/>
        </c:manualLayout>
      </c:layout>
      <c:overlay val="0"/>
      <c:spPr>
        <a:noFill/>
        <a:ln>
          <a:noFill/>
        </a:ln>
        <a:effectLst/>
      </c:spPr>
    </c:title>
    <c:autoTitleDeleted val="0"/>
    <c:plotArea>
      <c:layout/>
      <c:pieChart>
        <c:varyColors val="1"/>
        <c:ser>
          <c:idx val="0"/>
          <c:order val="0"/>
          <c:spPr>
            <a:ln w="19050">
              <a:solidFill>
                <a:schemeClr val="bg1"/>
              </a:solidFill>
            </a:ln>
            <a:effectLst>
              <a:outerShdw blurRad="63500" sx="102000" sy="102000" algn="ctr" rotWithShape="0">
                <a:schemeClr val="accent1">
                  <a:lumMod val="75000"/>
                  <a:alpha val="40000"/>
                </a:schemeClr>
              </a:outerShdw>
            </a:effectLst>
          </c:spPr>
          <c:explosion val="0"/>
          <c:dPt>
            <c:idx val="0"/>
            <c:bubble3D val="0"/>
            <c:explosion val="10"/>
            <c:spPr>
              <a:solidFill>
                <a:schemeClr val="accent1"/>
              </a:solidFill>
              <a:ln w="19050">
                <a:solidFill>
                  <a:schemeClr val="bg1"/>
                </a:solidFill>
              </a:ln>
              <a:effectLst>
                <a:outerShdw blurRad="63500" sx="102000" sy="102000" algn="ctr" rotWithShape="0">
                  <a:schemeClr val="accent1">
                    <a:lumMod val="75000"/>
                    <a:alpha val="40000"/>
                  </a:schemeClr>
                </a:outerShdw>
              </a:effectLst>
            </c:spPr>
          </c:dPt>
          <c:dPt>
            <c:idx val="1"/>
            <c:bubble3D val="0"/>
            <c:spPr>
              <a:solidFill>
                <a:schemeClr val="accent2"/>
              </a:solidFill>
              <a:ln w="19050">
                <a:solidFill>
                  <a:schemeClr val="bg1"/>
                </a:solidFill>
              </a:ln>
              <a:effectLst>
                <a:outerShdw blurRad="63500" sx="102000" sy="102000" algn="ctr" rotWithShape="0">
                  <a:schemeClr val="accent2">
                    <a:lumMod val="75000"/>
                    <a:alpha val="40000"/>
                  </a:schemeClr>
                </a:outerShdw>
              </a:effectLst>
            </c:spPr>
          </c:dPt>
          <c:dPt>
            <c:idx val="2"/>
            <c:bubble3D val="0"/>
            <c:spPr>
              <a:solidFill>
                <a:schemeClr val="accent3"/>
              </a:solidFill>
              <a:ln w="19050">
                <a:solidFill>
                  <a:schemeClr val="bg1"/>
                </a:solidFill>
              </a:ln>
              <a:effectLst>
                <a:outerShdw blurRad="63500" sx="102000" sy="102000" algn="ctr" rotWithShape="0">
                  <a:schemeClr val="accent3">
                    <a:lumMod val="75000"/>
                    <a:alpha val="40000"/>
                  </a:schemeClr>
                </a:outerShdw>
              </a:effectLst>
            </c:spPr>
          </c:dPt>
          <c:dPt>
            <c:idx val="3"/>
            <c:bubble3D val="0"/>
            <c:spPr>
              <a:solidFill>
                <a:schemeClr val="accent4"/>
              </a:solidFill>
              <a:ln w="19050">
                <a:solidFill>
                  <a:schemeClr val="bg1"/>
                </a:solidFill>
              </a:ln>
              <a:effectLst>
                <a:outerShdw blurRad="63500" sx="102000" sy="102000" algn="ctr" rotWithShape="0">
                  <a:schemeClr val="accent4">
                    <a:lumMod val="75000"/>
                    <a:alpha val="40000"/>
                  </a:schemeClr>
                </a:outerShdw>
              </a:effectLst>
            </c:spPr>
          </c:dPt>
          <c:dPt>
            <c:idx val="4"/>
            <c:bubble3D val="0"/>
            <c:spPr>
              <a:solidFill>
                <a:schemeClr val="accent5"/>
              </a:solidFill>
              <a:ln w="19050">
                <a:solidFill>
                  <a:schemeClr val="bg1"/>
                </a:solidFill>
              </a:ln>
              <a:effectLst>
                <a:outerShdw blurRad="63500" sx="102000" sy="102000" algn="ctr" rotWithShape="0">
                  <a:schemeClr val="accent5">
                    <a:lumMod val="75000"/>
                    <a:alpha val="40000"/>
                  </a:schemeClr>
                </a:outerShdw>
              </a:effectLst>
            </c:spPr>
          </c:dPt>
          <c:dPt>
            <c:idx val="5"/>
            <c:bubble3D val="0"/>
            <c:spPr>
              <a:solidFill>
                <a:schemeClr val="accent6"/>
              </a:solidFill>
              <a:ln w="19050">
                <a:solidFill>
                  <a:schemeClr val="bg1"/>
                </a:solidFill>
              </a:ln>
              <a:effectLst>
                <a:outerShdw blurRad="63500" sx="102000" sy="102000" algn="ctr" rotWithShape="0">
                  <a:schemeClr val="accent6">
                    <a:lumMod val="75000"/>
                    <a:alpha val="40000"/>
                  </a:schemeClr>
                </a:outerShdw>
              </a:effectLst>
            </c:spPr>
          </c:dPt>
          <c:dLbls>
            <c:dLbl>
              <c:idx val="1"/>
              <c:layout/>
              <c:numFmt formatCode="General" sourceLinked="1"/>
              <c:spPr>
                <a:noFill/>
                <a:ln w="12700">
                  <a:solidFill>
                    <a:schemeClr val="accent2"/>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2"/>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noFill/>
                <a:ln w="12700">
                  <a:solidFill>
                    <a:schemeClr val="accent3"/>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3"/>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numFmt formatCode="General" sourceLinked="1"/>
              <c:spPr>
                <a:noFill/>
                <a:ln w="12700">
                  <a:solidFill>
                    <a:schemeClr val="accent4"/>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4"/>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numFmt formatCode="General" sourceLinked="1"/>
              <c:spPr>
                <a:noFill/>
                <a:ln w="12700">
                  <a:solidFill>
                    <a:schemeClr val="accent5"/>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5"/>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numFmt formatCode="General" sourceLinked="1"/>
              <c:spPr>
                <a:noFill/>
                <a:ln w="12700">
                  <a:solidFill>
                    <a:schemeClr val="accent6"/>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6"/>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w="12700">
                <a:solidFill>
                  <a:schemeClr val="accent1"/>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accent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multiLvlStrRef>
              <c:f>'[新建 XLSX 工作表.xlsx]Sheet1'!$B$5:$C$10</c:f>
              <c:multiLvlStrCache>
                <c:ptCount val="6"/>
                <c:lvl>
                  <c:pt idx="0">
                    <c:v>817.14万元</c:v>
                  </c:pt>
                  <c:pt idx="1">
                    <c:v>50.60万元</c:v>
                  </c:pt>
                  <c:pt idx="2">
                    <c:v>59.15万元</c:v>
                  </c:pt>
                  <c:pt idx="3">
                    <c:v>24.82万元</c:v>
                  </c:pt>
                  <c:pt idx="4">
                    <c:v>32.67万元</c:v>
                  </c:pt>
                  <c:pt idx="5">
                    <c:v>110.95万元</c:v>
                  </c:pt>
                </c:lvl>
                <c:lvl>
                  <c:pt idx="0">
                    <c:v>一般公共服务支出</c:v>
                  </c:pt>
                  <c:pt idx="1">
                    <c:v>文化旅游体育与传媒支出</c:v>
                  </c:pt>
                  <c:pt idx="2">
                    <c:v>社会保障和就业支出</c:v>
                  </c:pt>
                  <c:pt idx="3">
                    <c:v>卫生健康支出</c:v>
                  </c:pt>
                  <c:pt idx="4">
                    <c:v>住房保障支出</c:v>
                  </c:pt>
                  <c:pt idx="5">
                    <c:v>农林水支出支出</c:v>
                  </c:pt>
                </c:lvl>
              </c:multiLvlStrCache>
            </c:multiLvlStrRef>
          </c:cat>
          <c:val>
            <c:numRef>
              <c:f>'[新建 XLSX 工作表.xlsx]Sheet1'!$D$5:$D$10</c:f>
              <c:numCache>
                <c:formatCode>0.00%</c:formatCode>
                <c:ptCount val="6"/>
                <c:pt idx="0">
                  <c:v>0.746</c:v>
                </c:pt>
                <c:pt idx="1">
                  <c:v>0.0462</c:v>
                </c:pt>
                <c:pt idx="2">
                  <c:v>0.054</c:v>
                </c:pt>
                <c:pt idx="3">
                  <c:v>0.0227</c:v>
                </c:pt>
                <c:pt idx="4">
                  <c:v>0.0298</c:v>
                </c:pt>
                <c:pt idx="5">
                  <c:v>0.1013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dfab9a5a-5d6d-4a0e-a102-c888f117487f}"/>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2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“三公”经费财政拨款支出结构</a:t>
            </a:r>
          </a:p>
        </c:rich>
      </c:tx>
      <c:layout>
        <c:manualLayout>
          <c:xMode val="edge"/>
          <c:yMode val="edge"/>
          <c:x val="0.255789473684211"/>
          <c:y val="0.0173611111111111"/>
        </c:manualLayout>
      </c:layout>
      <c:overlay val="0"/>
      <c:spPr>
        <a:noFill/>
        <a:ln>
          <a:noFill/>
        </a:ln>
        <a:effectLst/>
      </c:spPr>
    </c:title>
    <c:autoTitleDeleted val="0"/>
    <c:plotArea>
      <c:layout/>
      <c:pieChart>
        <c:varyColors val="1"/>
        <c:ser>
          <c:idx val="0"/>
          <c:order val="0"/>
          <c:spPr>
            <a:sp3d contourW="22225"/>
          </c:spPr>
          <c:explosion val="0"/>
          <c:dPt>
            <c:idx val="0"/>
            <c:bubble3D val="0"/>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a:sp3d contourW="22225"/>
            </c:spPr>
          </c:dPt>
          <c:dPt>
            <c:idx val="1"/>
            <c:bubble3D val="0"/>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a:sp3d contourW="2222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multiLvlStrRef>
              <c:f>'[新建 XLSX 工作表.xlsx]Sheet1'!$J$9:$K$10</c:f>
              <c:multiLvlStrCache>
                <c:ptCount val="2"/>
                <c:lvl>
                  <c:pt idx="0">
                    <c:v>12.39万元</c:v>
                  </c:pt>
                  <c:pt idx="1">
                    <c:v>0.18万元</c:v>
                  </c:pt>
                </c:lvl>
                <c:lvl>
                  <c:pt idx="0">
                    <c:v>公务用车购置及运行维护费</c:v>
                  </c:pt>
                  <c:pt idx="1">
                    <c:v>公务接待费</c:v>
                  </c:pt>
                </c:lvl>
              </c:multiLvlStrCache>
            </c:multiLvlStrRef>
          </c:cat>
          <c:val>
            <c:numRef>
              <c:f>'[新建 XLSX 工作表.xlsx]Sheet1'!$L$9:$L$10</c:f>
              <c:numCache>
                <c:formatCode>0.00%</c:formatCode>
                <c:ptCount val="2"/>
                <c:pt idx="0">
                  <c:v>0.9857</c:v>
                </c:pt>
                <c:pt idx="1">
                  <c:v>0.0143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5e3fe0bd-aff4-47cf-86ca-e0735beb31cf}"/>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12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10800000" scaled="0"/>
      </a:gradFill>
      <a:ln>
        <a:gradFill>
          <a:gsLst>
            <a:gs pos="0">
              <a:schemeClr val="phClr"/>
            </a:gs>
            <a:gs pos="100000">
              <a:schemeClr val="phClr">
                <a:lumMod val="75000"/>
              </a:schemeClr>
            </a:gs>
          </a:gsLst>
          <a:lin ang="10800000" scaled="0"/>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8">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自定义 107">
    <a:dk1>
      <a:srgbClr val="000000"/>
    </a:dk1>
    <a:lt1>
      <a:srgbClr val="FFFFFF"/>
    </a:lt1>
    <a:dk2>
      <a:srgbClr val="44546A"/>
    </a:dk2>
    <a:lt2>
      <a:srgbClr val="E7E6E6"/>
    </a:lt2>
    <a:accent1>
      <a:srgbClr val="1D6FA9"/>
    </a:accent1>
    <a:accent2>
      <a:srgbClr val="39ADCE"/>
    </a:accent2>
    <a:accent3>
      <a:srgbClr val="8BC145"/>
    </a:accent3>
    <a:accent4>
      <a:srgbClr val="1D9A78"/>
    </a:accent4>
    <a:accent5>
      <a:srgbClr val="30C0B4"/>
    </a:accent5>
    <a:accent6>
      <a:srgbClr val="4874CB"/>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117">
    <a:dk1>
      <a:srgbClr val="000000"/>
    </a:dk1>
    <a:lt1>
      <a:srgbClr val="FFFFFF"/>
    </a:lt1>
    <a:dk2>
      <a:srgbClr val="44546A"/>
    </a:dk2>
    <a:lt2>
      <a:srgbClr val="E7E6E6"/>
    </a:lt2>
    <a:accent1>
      <a:srgbClr val="FF7E33"/>
    </a:accent1>
    <a:accent2>
      <a:srgbClr val="F0423E"/>
    </a:accent2>
    <a:accent3>
      <a:srgbClr val="6FBDFF"/>
    </a:accent3>
    <a:accent4>
      <a:srgbClr val="4F7FFF"/>
    </a:accent4>
    <a:accent5>
      <a:srgbClr val="FFC619"/>
    </a:accent5>
    <a:accent6>
      <a:srgbClr val="74B83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9213</Words>
  <Characters>10339</Characters>
  <Lines>72</Lines>
  <Paragraphs>20</Paragraphs>
  <TotalTime>3</TotalTime>
  <ScaleCrop>false</ScaleCrop>
  <LinksUpToDate>false</LinksUpToDate>
  <CharactersWithSpaces>10451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豆豆</cp:lastModifiedBy>
  <cp:lastPrinted>2025-09-25T01:51:44Z</cp:lastPrinted>
  <dcterms:modified xsi:type="dcterms:W3CDTF">2025-09-25T01:52:19Z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2ACC4396220040FD987541CDD13A1CAA_13</vt:lpwstr>
  </property>
  <property fmtid="{D5CDD505-2E9C-101B-9397-08002B2CF9AE}" pid="4" name="KSOTemplateDocerSaveRecord">
    <vt:lpwstr>eyJoZGlkIjoiNDk0NzJjZWQzZTc1YjM3YjExZjQ3MmViZWNmNDUxOTYiLCJ1c2VySWQiOiIzOTc1OTM5MjAifQ==</vt:lpwstr>
  </property>
</Properties>
</file>