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84C01">
      <w:pPr>
        <w:spacing w:line="600" w:lineRule="exact"/>
        <w:jc w:val="center"/>
        <w:outlineLvl w:val="9"/>
        <w:rPr>
          <w:rFonts w:ascii="Arial Unicode MS" w:hAnsi="宋体" w:eastAsia="Arial Unicode MS"/>
          <w:sz w:val="72"/>
          <w:szCs w:val="72"/>
        </w:rPr>
      </w:pPr>
      <w:bookmarkStart w:id="0" w:name="_Toc15396475"/>
      <w:bookmarkStart w:id="1" w:name="_Toc15377425"/>
      <w:bookmarkStart w:id="2" w:name="_Toc15396597"/>
      <w:bookmarkStart w:id="3" w:name="_Toc15378441"/>
      <w:bookmarkStart w:id="4" w:name="_Toc15377193"/>
      <w:bookmarkStart w:id="5" w:name="_Toc15306267"/>
    </w:p>
    <w:p w14:paraId="07A3A7D9">
      <w:pPr>
        <w:pStyle w:val="11"/>
        <w:spacing w:before="93"/>
      </w:pPr>
    </w:p>
    <w:p w14:paraId="5A1A28E1">
      <w:pPr>
        <w:spacing w:line="600" w:lineRule="exact"/>
        <w:jc w:val="center"/>
        <w:outlineLvl w:val="9"/>
        <w:rPr>
          <w:rFonts w:ascii="Arial Unicode MS" w:hAnsi="宋体" w:eastAsia="Arial Unicode MS"/>
          <w:sz w:val="72"/>
          <w:szCs w:val="72"/>
        </w:rPr>
      </w:pPr>
    </w:p>
    <w:p w14:paraId="20BBD351">
      <w:pPr>
        <w:spacing w:line="600" w:lineRule="exact"/>
        <w:jc w:val="center"/>
        <w:outlineLvl w:val="9"/>
        <w:rPr>
          <w:rFonts w:ascii="Arial Unicode MS" w:hAnsi="宋体" w:eastAsia="Arial Unicode MS"/>
          <w:sz w:val="72"/>
          <w:szCs w:val="72"/>
        </w:rPr>
      </w:pPr>
    </w:p>
    <w:p w14:paraId="66B47A4B">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ascii="Arial Unicode MS" w:hAnsi="Arial Unicode MS" w:eastAsia="Arial Unicode MS" w:cs="Arial Unicode MS"/>
          <w:sz w:val="72"/>
          <w:szCs w:val="72"/>
        </w:rPr>
      </w:pPr>
      <w:bookmarkStart w:id="6" w:name="_Toc17648"/>
      <w:bookmarkStart w:id="7" w:name="_Toc22508"/>
      <w:bookmarkStart w:id="8" w:name="_Toc10884"/>
      <w:r>
        <w:rPr>
          <w:rFonts w:hint="eastAsia" w:ascii="Times New Roman" w:hAnsi="Times New Roman" w:eastAsia="方正仿宋_GBK" w:cs="Times New Roman"/>
          <w:kern w:val="0"/>
          <w:sz w:val="72"/>
          <w:szCs w:val="72"/>
          <w:shd w:val="clear" w:color="auto" w:fill="FFFFFF"/>
          <w:lang w:val="en-US" w:eastAsia="zh-CN" w:bidi="ar"/>
        </w:rPr>
        <w:t>2023</w:t>
      </w:r>
      <w:r>
        <w:rPr>
          <w:rFonts w:hint="eastAsia" w:ascii="Arial Unicode MS" w:hAnsi="Arial Unicode MS" w:eastAsia="Arial Unicode MS" w:cs="Arial Unicode MS"/>
          <w:sz w:val="72"/>
          <w:szCs w:val="72"/>
        </w:rPr>
        <w:t>年度</w:t>
      </w:r>
      <w:bookmarkEnd w:id="0"/>
      <w:bookmarkEnd w:id="1"/>
      <w:bookmarkEnd w:id="2"/>
      <w:bookmarkEnd w:id="3"/>
      <w:bookmarkEnd w:id="4"/>
      <w:bookmarkEnd w:id="6"/>
      <w:bookmarkEnd w:id="7"/>
      <w:bookmarkEnd w:id="8"/>
    </w:p>
    <w:bookmarkEnd w:id="5"/>
    <w:p w14:paraId="4B60624E">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Arial Unicode MS" w:hAnsi="Arial Unicode MS" w:eastAsia="Arial Unicode MS" w:cs="Arial Unicode MS"/>
          <w:sz w:val="72"/>
          <w:szCs w:val="72"/>
        </w:rPr>
      </w:pPr>
      <w:bookmarkStart w:id="9" w:name="_Toc32007"/>
      <w:bookmarkStart w:id="10" w:name="_Toc32015"/>
      <w:bookmarkStart w:id="11" w:name="_Toc15378442"/>
      <w:bookmarkStart w:id="12" w:name="_Toc15396476"/>
      <w:bookmarkStart w:id="13" w:name="_Toc15377426"/>
      <w:bookmarkStart w:id="14" w:name="_Toc15396598"/>
      <w:bookmarkStart w:id="15" w:name="_Toc24403"/>
      <w:bookmarkStart w:id="16" w:name="_Toc15306268"/>
      <w:bookmarkStart w:id="17" w:name="_Toc15377194"/>
      <w:r>
        <w:rPr>
          <w:rFonts w:hint="eastAsia" w:ascii="Arial Unicode MS" w:hAnsi="Arial Unicode MS" w:eastAsia="Arial Unicode MS" w:cs="Arial Unicode MS"/>
          <w:sz w:val="72"/>
          <w:szCs w:val="72"/>
          <w:lang w:eastAsia="zh-CN"/>
        </w:rPr>
        <w:t>中共红原县委员会宣传部</w:t>
      </w:r>
      <w:r>
        <w:rPr>
          <w:rFonts w:hint="eastAsia" w:ascii="Arial Unicode MS" w:hAnsi="Arial Unicode MS" w:eastAsia="Arial Unicode MS" w:cs="Arial Unicode MS"/>
          <w:sz w:val="72"/>
          <w:szCs w:val="72"/>
        </w:rPr>
        <w:t>部门决算</w:t>
      </w:r>
      <w:bookmarkEnd w:id="9"/>
      <w:bookmarkEnd w:id="10"/>
      <w:bookmarkEnd w:id="11"/>
      <w:bookmarkEnd w:id="12"/>
      <w:bookmarkEnd w:id="13"/>
      <w:bookmarkEnd w:id="14"/>
      <w:bookmarkEnd w:id="15"/>
      <w:bookmarkEnd w:id="16"/>
      <w:bookmarkEnd w:id="17"/>
    </w:p>
    <w:p w14:paraId="7EF43556">
      <w:pPr>
        <w:pStyle w:val="2"/>
        <w:rPr>
          <w:rFonts w:hint="eastAsia" w:ascii="Arial Unicode MS" w:hAnsi="Arial Unicode MS" w:eastAsia="Arial Unicode MS" w:cs="Arial Unicode MS"/>
          <w:sz w:val="72"/>
          <w:szCs w:val="72"/>
        </w:rPr>
      </w:pPr>
    </w:p>
    <w:p w14:paraId="4AC4665B">
      <w:pPr>
        <w:pStyle w:val="4"/>
        <w:rPr>
          <w:rFonts w:hint="eastAsia" w:ascii="Arial Unicode MS" w:hAnsi="Arial Unicode MS" w:eastAsia="Arial Unicode MS" w:cs="Arial Unicode MS"/>
          <w:sz w:val="72"/>
          <w:szCs w:val="72"/>
        </w:rPr>
      </w:pPr>
    </w:p>
    <w:p w14:paraId="6089539C">
      <w:pPr>
        <w:pStyle w:val="4"/>
        <w:rPr>
          <w:rFonts w:hint="eastAsia" w:ascii="Arial Unicode MS" w:hAnsi="Arial Unicode MS" w:eastAsia="Arial Unicode MS" w:cs="Arial Unicode MS"/>
          <w:sz w:val="72"/>
          <w:szCs w:val="72"/>
        </w:rPr>
      </w:pPr>
    </w:p>
    <w:p w14:paraId="7CF99D64">
      <w:pPr>
        <w:pStyle w:val="4"/>
        <w:rPr>
          <w:rFonts w:hint="eastAsia" w:ascii="Arial Unicode MS" w:hAnsi="Arial Unicode MS" w:eastAsia="Arial Unicode MS" w:cs="Arial Unicode MS"/>
          <w:sz w:val="72"/>
          <w:szCs w:val="72"/>
        </w:rPr>
      </w:pPr>
    </w:p>
    <w:p w14:paraId="617553AE">
      <w:pPr>
        <w:pStyle w:val="18"/>
        <w:wordWrap w:val="0"/>
        <w:spacing w:before="0" w:beforeAutospacing="0" w:after="0" w:afterAutospacing="0" w:line="576" w:lineRule="exact"/>
        <w:ind w:firstLine="640" w:firstLineChars="200"/>
        <w:rPr>
          <w:rFonts w:hint="eastAsia" w:ascii="方正仿宋_GBK" w:hAnsi="方正仿宋_GBK" w:eastAsia="方正仿宋_GBK" w:cs="方正仿宋_GBK"/>
          <w:sz w:val="32"/>
          <w:szCs w:val="32"/>
          <w:shd w:val="clear" w:color="auto" w:fill="FFFFFF"/>
          <w:lang w:bidi="ar"/>
        </w:rPr>
      </w:pPr>
      <w:bookmarkStart w:id="18" w:name="_Toc10042"/>
      <w:bookmarkStart w:id="19" w:name="_Toc30158"/>
      <w:bookmarkStart w:id="20" w:name="_Toc8490"/>
      <w:bookmarkStart w:id="21" w:name="_Toc3192"/>
      <w:bookmarkStart w:id="22" w:name="_Toc28746"/>
      <w:bookmarkStart w:id="23" w:name="_Toc13899"/>
      <w:bookmarkStart w:id="24" w:name="_Toc17477"/>
      <w:bookmarkStart w:id="25" w:name="_Toc24061"/>
      <w:bookmarkStart w:id="26" w:name="_Toc14521"/>
      <w:r>
        <w:rPr>
          <w:rFonts w:hint="eastAsia" w:ascii="方正仿宋_GBK" w:hAnsi="方正仿宋_GBK" w:eastAsia="方正仿宋_GBK" w:cs="方正仿宋_GBK"/>
          <w:sz w:val="32"/>
          <w:szCs w:val="32"/>
          <w:shd w:val="clear" w:color="auto" w:fill="FFFFFF"/>
          <w:lang w:val="en-US" w:eastAsia="zh-CN" w:bidi="ar"/>
        </w:rPr>
        <w:t>保密审查情况：已审查，内容审定</w:t>
      </w:r>
      <w:bookmarkEnd w:id="18"/>
      <w:bookmarkEnd w:id="19"/>
      <w:bookmarkEnd w:id="20"/>
      <w:bookmarkEnd w:id="21"/>
      <w:bookmarkEnd w:id="22"/>
      <w:bookmarkEnd w:id="23"/>
      <w:bookmarkEnd w:id="24"/>
      <w:bookmarkEnd w:id="25"/>
      <w:bookmarkEnd w:id="26"/>
    </w:p>
    <w:p w14:paraId="12BB600B">
      <w:pPr>
        <w:pStyle w:val="18"/>
        <w:wordWrap w:val="0"/>
        <w:spacing w:before="0" w:beforeAutospacing="0" w:after="0" w:afterAutospacing="0" w:line="576" w:lineRule="exact"/>
        <w:ind w:firstLine="640" w:firstLineChars="200"/>
        <w:rPr>
          <w:rFonts w:hint="eastAsia" w:ascii="方正仿宋_GBK" w:hAnsi="方正仿宋_GBK" w:eastAsia="方正仿宋_GBK" w:cs="方正仿宋_GBK"/>
          <w:sz w:val="32"/>
          <w:szCs w:val="32"/>
          <w:shd w:val="clear" w:color="auto" w:fill="FFFFFF"/>
          <w:lang w:bidi="ar"/>
        </w:rPr>
      </w:pPr>
      <w:bookmarkStart w:id="27" w:name="_Toc2420"/>
      <w:bookmarkStart w:id="28" w:name="_Toc29906"/>
      <w:bookmarkStart w:id="29" w:name="_Toc24561"/>
      <w:bookmarkStart w:id="30" w:name="_Toc32544"/>
      <w:bookmarkStart w:id="31" w:name="_Toc10088"/>
      <w:bookmarkStart w:id="32" w:name="_Toc631"/>
      <w:bookmarkStart w:id="33" w:name="_Toc2197"/>
      <w:bookmarkStart w:id="34" w:name="_Toc23196"/>
      <w:bookmarkStart w:id="35" w:name="_Toc23851"/>
      <w:r>
        <w:rPr>
          <w:rFonts w:hint="eastAsia" w:ascii="方正仿宋_GBK" w:hAnsi="方正仿宋_GBK" w:eastAsia="方正仿宋_GBK" w:cs="方正仿宋_GBK"/>
          <w:sz w:val="32"/>
          <w:szCs w:val="32"/>
          <w:shd w:val="clear" w:color="auto" w:fill="FFFFFF"/>
          <w:lang w:val="en-US" w:eastAsia="zh-CN" w:bidi="ar"/>
        </w:rPr>
        <w:t>部门主要负责人审签情况：已审签，同意对外公开</w:t>
      </w:r>
      <w:bookmarkEnd w:id="27"/>
      <w:bookmarkEnd w:id="28"/>
      <w:bookmarkEnd w:id="29"/>
      <w:bookmarkEnd w:id="30"/>
      <w:bookmarkEnd w:id="31"/>
      <w:bookmarkEnd w:id="32"/>
      <w:bookmarkEnd w:id="33"/>
      <w:bookmarkEnd w:id="34"/>
      <w:bookmarkEnd w:id="35"/>
    </w:p>
    <w:p w14:paraId="32FA1A8C">
      <w:pPr>
        <w:spacing w:before="0" w:beforeLines="0" w:after="0" w:afterLines="0" w:line="240" w:lineRule="auto"/>
        <w:ind w:left="0" w:leftChars="0" w:right="0" w:rightChars="0" w:firstLine="0" w:firstLineChars="0"/>
        <w:jc w:val="center"/>
        <w:rPr>
          <w:rFonts w:hint="eastAsia" w:ascii="黑体" w:hAnsi="黑体" w:eastAsia="黑体"/>
          <w:sz w:val="48"/>
          <w:szCs w:val="48"/>
        </w:rPr>
      </w:pPr>
      <w:r>
        <w:rPr>
          <w:rFonts w:ascii="Arial Unicode MS" w:hAnsi="宋体" w:eastAsia="Arial Unicode MS"/>
          <w:sz w:val="36"/>
          <w:szCs w:val="36"/>
        </w:rPr>
        <w:br w:type="page"/>
      </w:r>
      <w:r>
        <w:rPr>
          <w:rFonts w:hint="eastAsia" w:ascii="黑体" w:hAnsi="黑体" w:eastAsia="黑体"/>
          <w:sz w:val="44"/>
          <w:szCs w:val="44"/>
        </w:rPr>
        <w:t>目录</w:t>
      </w:r>
    </w:p>
    <w:p w14:paraId="37A11586">
      <w:pPr>
        <w:spacing w:before="0" w:beforeLines="0" w:after="0" w:afterLines="0" w:line="240" w:lineRule="auto"/>
        <w:ind w:left="0" w:leftChars="0" w:right="0" w:rightChars="0" w:firstLine="0" w:firstLineChars="0"/>
        <w:jc w:val="center"/>
      </w:pPr>
      <w:r>
        <w:rPr>
          <w:rFonts w:hint="eastAsia" w:ascii="方正仿宋_GBK" w:hAnsi="方正仿宋_GBK" w:eastAsia="方正仿宋_GBK" w:cs="方正仿宋_GBK"/>
          <w:kern w:val="0"/>
          <w:sz w:val="32"/>
          <w:szCs w:val="32"/>
          <w:shd w:val="clear" w:color="auto" w:fill="FFFFFF"/>
          <w:lang w:val="en-US" w:eastAsia="zh-CN" w:bidi="ar"/>
        </w:rPr>
        <w:t>公开时间：</w:t>
      </w:r>
      <w:r>
        <w:rPr>
          <w:rFonts w:hint="eastAsia" w:ascii="Times New Roman" w:hAnsi="Times New Roman" w:eastAsia="方正仿宋_GBK" w:cs="Times New Roman"/>
          <w:kern w:val="0"/>
          <w:sz w:val="32"/>
          <w:szCs w:val="32"/>
          <w:shd w:val="clear" w:color="auto" w:fill="FFFFFF"/>
          <w:lang w:val="en-US" w:eastAsia="zh-CN" w:bidi="ar"/>
        </w:rPr>
        <w:t>2024</w:t>
      </w:r>
      <w:r>
        <w:rPr>
          <w:rFonts w:hint="eastAsia" w:ascii="方正仿宋_GBK" w:hAnsi="方正仿宋_GBK" w:eastAsia="方正仿宋_GBK" w:cs="方正仿宋_GBK"/>
          <w:kern w:val="0"/>
          <w:sz w:val="32"/>
          <w:szCs w:val="32"/>
          <w:shd w:val="clear" w:color="auto" w:fill="FFFFFF"/>
          <w:lang w:val="en-US" w:eastAsia="zh-CN" w:bidi="ar"/>
        </w:rPr>
        <w:t>年</w:t>
      </w:r>
      <w:r>
        <w:rPr>
          <w:rFonts w:hint="eastAsia" w:ascii="Times New Roman" w:hAnsi="Times New Roman" w:eastAsia="方正仿宋_GBK" w:cs="Times New Roman"/>
          <w:kern w:val="0"/>
          <w:sz w:val="32"/>
          <w:szCs w:val="32"/>
          <w:shd w:val="clear" w:color="auto" w:fill="FFFFFF"/>
          <w:lang w:val="en-US" w:eastAsia="zh-CN" w:bidi="ar"/>
        </w:rPr>
        <w:t>11</w:t>
      </w:r>
      <w:r>
        <w:rPr>
          <w:rFonts w:hint="eastAsia" w:ascii="方正仿宋_GBK" w:hAnsi="方正仿宋_GBK" w:eastAsia="方正仿宋_GBK" w:cs="方正仿宋_GBK"/>
          <w:kern w:val="0"/>
          <w:sz w:val="32"/>
          <w:szCs w:val="32"/>
          <w:shd w:val="clear" w:color="auto" w:fill="FFFFFF"/>
          <w:lang w:val="en-US" w:eastAsia="zh-CN" w:bidi="ar"/>
        </w:rPr>
        <w:t>月</w:t>
      </w:r>
      <w:r>
        <w:rPr>
          <w:rFonts w:hint="eastAsia" w:ascii="Times New Roman" w:hAnsi="Times New Roman" w:eastAsia="方正仿宋_GBK" w:cs="Times New Roman"/>
          <w:kern w:val="0"/>
          <w:sz w:val="32"/>
          <w:szCs w:val="32"/>
          <w:shd w:val="clear" w:color="auto" w:fill="FFFFFF"/>
          <w:lang w:val="en-US" w:eastAsia="zh-CN" w:bidi="ar"/>
        </w:rPr>
        <w:t>1</w:t>
      </w:r>
      <w:r>
        <w:rPr>
          <w:rFonts w:hint="eastAsia" w:eastAsia="方正仿宋_GBK" w:cs="Times New Roman"/>
          <w:kern w:val="0"/>
          <w:sz w:val="32"/>
          <w:szCs w:val="32"/>
          <w:shd w:val="clear" w:color="auto" w:fill="FFFFFF"/>
          <w:lang w:val="en-US" w:eastAsia="zh-CN" w:bidi="ar"/>
        </w:rPr>
        <w:t>5</w:t>
      </w:r>
      <w:r>
        <w:rPr>
          <w:rFonts w:hint="eastAsia" w:ascii="方正仿宋_GBK" w:hAnsi="方正仿宋_GBK" w:eastAsia="方正仿宋_GBK" w:cs="方正仿宋_GBK"/>
          <w:kern w:val="0"/>
          <w:sz w:val="32"/>
          <w:szCs w:val="32"/>
          <w:shd w:val="clear" w:color="auto" w:fill="FFFFFF"/>
          <w:lang w:val="en-US" w:eastAsia="zh-CN" w:bidi="ar"/>
        </w:rPr>
        <w:t>日</w:t>
      </w:r>
    </w:p>
    <w:sdt>
      <w:sdtPr>
        <w:rPr>
          <w:rFonts w:ascii="宋体" w:hAnsi="宋体" w:eastAsia="宋体" w:cs="Times New Roman"/>
          <w:kern w:val="2"/>
          <w:sz w:val="21"/>
          <w:szCs w:val="24"/>
          <w:lang w:val="en-US" w:eastAsia="zh-CN" w:bidi="ar-SA"/>
        </w:rPr>
        <w:id w:val="147463026"/>
        <w15:color w:val="DBDBDB"/>
        <w:docPartObj>
          <w:docPartGallery w:val="Table of Contents"/>
          <w:docPartUnique/>
        </w:docPartObj>
      </w:sdtPr>
      <w:sdtEndPr>
        <w:rPr>
          <w:rFonts w:hint="eastAsia" w:ascii="宋体" w:hAnsi="宋体" w:eastAsia="宋体" w:cs="Courier New"/>
          <w:b/>
          <w:kern w:val="0"/>
          <w:sz w:val="24"/>
          <w:szCs w:val="24"/>
          <w:lang w:val="en-US" w:eastAsia="zh-CN" w:bidi="ar"/>
        </w:rPr>
      </w:sdtEndPr>
      <w:sdtContent>
        <w:p w14:paraId="279D6CBC">
          <w:pPr>
            <w:spacing w:before="0" w:beforeLines="0" w:after="0" w:afterLines="0" w:line="240" w:lineRule="auto"/>
            <w:ind w:left="0" w:leftChars="0" w:right="0" w:rightChars="0" w:firstLine="0" w:firstLineChars="0"/>
            <w:jc w:val="center"/>
          </w:pPr>
        </w:p>
        <w:p w14:paraId="2D509961">
          <w:pPr>
            <w:pStyle w:val="40"/>
            <w:tabs>
              <w:tab w:val="right" w:leader="dot" w:pos="8306"/>
            </w:tabs>
            <w:rPr>
              <w:b/>
            </w:rPr>
          </w:pPr>
          <w:r>
            <w:rPr>
              <w:rFonts w:hint="eastAsia" w:ascii="宋体" w:hAnsi="宋体" w:eastAsia="宋体" w:cs="Courier New"/>
              <w:b/>
              <w:kern w:val="0"/>
              <w:sz w:val="24"/>
              <w:szCs w:val="24"/>
              <w:lang w:val="en-US" w:eastAsia="zh-CN" w:bidi="ar"/>
            </w:rPr>
            <w:fldChar w:fldCharType="begin"/>
          </w:r>
          <w:r>
            <w:rPr>
              <w:rFonts w:hint="eastAsia" w:ascii="宋体" w:hAnsi="宋体" w:eastAsia="宋体" w:cs="Courier New"/>
              <w:b/>
              <w:kern w:val="0"/>
              <w:sz w:val="24"/>
              <w:szCs w:val="24"/>
              <w:lang w:val="en-US" w:eastAsia="zh-CN" w:bidi="ar"/>
            </w:rPr>
            <w:instrText xml:space="preserve">TOC \o "1-2" \h \u </w:instrText>
          </w:r>
          <w:r>
            <w:rPr>
              <w:rFonts w:hint="eastAsia" w:ascii="宋体" w:hAnsi="宋体" w:eastAsia="宋体" w:cs="Courier New"/>
              <w:b/>
              <w:kern w:val="0"/>
              <w:sz w:val="24"/>
              <w:szCs w:val="24"/>
              <w:lang w:val="en-US" w:eastAsia="zh-CN" w:bidi="ar"/>
            </w:rPr>
            <w:fldChar w:fldCharType="separate"/>
          </w:r>
        </w:p>
        <w:p w14:paraId="0FE17427">
          <w:pPr>
            <w:pStyle w:val="40"/>
            <w:tabs>
              <w:tab w:val="right" w:leader="dot" w:pos="8306"/>
            </w:tabs>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kern w:val="0"/>
              <w:sz w:val="28"/>
              <w:szCs w:val="28"/>
              <w:lang w:val="en-US" w:eastAsia="zh-CN" w:bidi="ar"/>
            </w:rPr>
            <w:fldChar w:fldCharType="begin"/>
          </w:r>
          <w:r>
            <w:rPr>
              <w:rFonts w:hint="eastAsia" w:ascii="方正仿宋_GBK" w:hAnsi="方正仿宋_GBK" w:eastAsia="方正仿宋_GBK" w:cs="方正仿宋_GBK"/>
              <w:b/>
              <w:kern w:val="0"/>
              <w:sz w:val="28"/>
              <w:szCs w:val="28"/>
              <w:lang w:val="en-US" w:eastAsia="zh-CN" w:bidi="ar"/>
            </w:rPr>
            <w:instrText xml:space="preserve"> HYPERLINK \l _Toc19571 </w:instrText>
          </w:r>
          <w:r>
            <w:rPr>
              <w:rFonts w:hint="eastAsia" w:ascii="方正仿宋_GBK" w:hAnsi="方正仿宋_GBK" w:eastAsia="方正仿宋_GBK" w:cs="方正仿宋_GBK"/>
              <w:b/>
              <w:kern w:val="0"/>
              <w:sz w:val="28"/>
              <w:szCs w:val="28"/>
              <w:lang w:val="en-US" w:eastAsia="zh-CN" w:bidi="ar"/>
            </w:rPr>
            <w:fldChar w:fldCharType="separate"/>
          </w:r>
          <w:r>
            <w:rPr>
              <w:rFonts w:hint="eastAsia" w:ascii="方正仿宋_GBK" w:hAnsi="方正仿宋_GBK" w:eastAsia="方正仿宋_GBK" w:cs="方正仿宋_GBK"/>
              <w:b/>
              <w:bCs w:val="0"/>
              <w:sz w:val="28"/>
              <w:szCs w:val="28"/>
            </w:rPr>
            <w:t>第一部分 部门概况</w:t>
          </w: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fldChar w:fldCharType="begin"/>
          </w:r>
          <w:r>
            <w:rPr>
              <w:rFonts w:hint="eastAsia" w:ascii="方正仿宋_GBK" w:hAnsi="方正仿宋_GBK" w:eastAsia="方正仿宋_GBK" w:cs="方正仿宋_GBK"/>
              <w:b/>
              <w:sz w:val="28"/>
              <w:szCs w:val="28"/>
            </w:rPr>
            <w:instrText xml:space="preserve"> PAGEREF _Toc19571 \h </w:instrText>
          </w:r>
          <w:r>
            <w:rPr>
              <w:rFonts w:hint="eastAsia" w:ascii="方正仿宋_GBK" w:hAnsi="方正仿宋_GBK" w:eastAsia="方正仿宋_GBK" w:cs="方正仿宋_GBK"/>
              <w:b/>
              <w:sz w:val="28"/>
              <w:szCs w:val="28"/>
            </w:rPr>
            <w:fldChar w:fldCharType="separate"/>
          </w:r>
          <w:r>
            <w:rPr>
              <w:rFonts w:hint="eastAsia" w:ascii="方正仿宋_GBK" w:hAnsi="方正仿宋_GBK" w:eastAsia="方正仿宋_GBK" w:cs="方正仿宋_GBK"/>
              <w:b/>
              <w:sz w:val="28"/>
              <w:szCs w:val="28"/>
            </w:rPr>
            <w:t>3</w:t>
          </w:r>
          <w:r>
            <w:rPr>
              <w:rFonts w:hint="eastAsia" w:ascii="方正仿宋_GBK" w:hAnsi="方正仿宋_GBK" w:eastAsia="方正仿宋_GBK" w:cs="方正仿宋_GBK"/>
              <w:b/>
              <w:sz w:val="28"/>
              <w:szCs w:val="28"/>
            </w:rPr>
            <w:fldChar w:fldCharType="end"/>
          </w:r>
          <w:r>
            <w:rPr>
              <w:rFonts w:hint="eastAsia" w:ascii="方正仿宋_GBK" w:hAnsi="方正仿宋_GBK" w:eastAsia="方正仿宋_GBK" w:cs="方正仿宋_GBK"/>
              <w:b/>
              <w:kern w:val="0"/>
              <w:sz w:val="28"/>
              <w:szCs w:val="28"/>
              <w:lang w:val="en-US" w:eastAsia="zh-CN" w:bidi="ar"/>
            </w:rPr>
            <w:fldChar w:fldCharType="end"/>
          </w:r>
        </w:p>
        <w:p w14:paraId="3C324116">
          <w:pPr>
            <w:pStyle w:val="42"/>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lang w:val="en-US" w:eastAsia="zh-CN" w:bidi="ar"/>
            </w:rPr>
            <w:fldChar w:fldCharType="begin"/>
          </w:r>
          <w:r>
            <w:rPr>
              <w:rFonts w:hint="eastAsia" w:ascii="方正仿宋_GBK" w:hAnsi="方正仿宋_GBK" w:eastAsia="方正仿宋_GBK" w:cs="方正仿宋_GBK"/>
              <w:kern w:val="0"/>
              <w:sz w:val="28"/>
              <w:szCs w:val="28"/>
              <w:lang w:val="en-US" w:eastAsia="zh-CN" w:bidi="ar"/>
            </w:rPr>
            <w:instrText xml:space="preserve"> HYPERLINK \l _Toc11421 </w:instrText>
          </w:r>
          <w:r>
            <w:rPr>
              <w:rFonts w:hint="eastAsia" w:ascii="方正仿宋_GBK" w:hAnsi="方正仿宋_GBK" w:eastAsia="方正仿宋_GBK" w:cs="方正仿宋_GBK"/>
              <w:kern w:val="0"/>
              <w:sz w:val="28"/>
              <w:szCs w:val="28"/>
              <w:lang w:val="en-US" w:eastAsia="zh-CN" w:bidi="ar"/>
            </w:rPr>
            <w:fldChar w:fldCharType="separate"/>
          </w:r>
          <w:r>
            <w:rPr>
              <w:rFonts w:hint="eastAsia" w:ascii="方正仿宋_GBK" w:hAnsi="方正仿宋_GBK" w:eastAsia="方正仿宋_GBK" w:cs="方正仿宋_GBK"/>
              <w:sz w:val="28"/>
              <w:szCs w:val="28"/>
              <w:shd w:val="clear" w:color="auto" w:fill="FFFFFF"/>
            </w:rPr>
            <w:t>一、部门职责</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_Toc11421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3</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0"/>
              <w:sz w:val="28"/>
              <w:szCs w:val="28"/>
              <w:lang w:val="en-US" w:eastAsia="zh-CN" w:bidi="ar"/>
            </w:rPr>
            <w:fldChar w:fldCharType="end"/>
          </w:r>
        </w:p>
        <w:p w14:paraId="0F064E92">
          <w:pPr>
            <w:pStyle w:val="42"/>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lang w:val="en-US" w:eastAsia="zh-CN" w:bidi="ar"/>
            </w:rPr>
            <w:fldChar w:fldCharType="begin"/>
          </w:r>
          <w:r>
            <w:rPr>
              <w:rFonts w:hint="eastAsia" w:ascii="方正仿宋_GBK" w:hAnsi="方正仿宋_GBK" w:eastAsia="方正仿宋_GBK" w:cs="方正仿宋_GBK"/>
              <w:kern w:val="0"/>
              <w:sz w:val="28"/>
              <w:szCs w:val="28"/>
              <w:lang w:val="en-US" w:eastAsia="zh-CN" w:bidi="ar"/>
            </w:rPr>
            <w:instrText xml:space="preserve"> HYPERLINK \l _Toc30449 </w:instrText>
          </w:r>
          <w:r>
            <w:rPr>
              <w:rFonts w:hint="eastAsia" w:ascii="方正仿宋_GBK" w:hAnsi="方正仿宋_GBK" w:eastAsia="方正仿宋_GBK" w:cs="方正仿宋_GBK"/>
              <w:kern w:val="0"/>
              <w:sz w:val="28"/>
              <w:szCs w:val="28"/>
              <w:lang w:val="en-US" w:eastAsia="zh-CN" w:bidi="ar"/>
            </w:rPr>
            <w:fldChar w:fldCharType="separate"/>
          </w:r>
          <w:r>
            <w:rPr>
              <w:rFonts w:hint="eastAsia" w:ascii="方正仿宋_GBK" w:hAnsi="方正仿宋_GBK" w:eastAsia="方正仿宋_GBK" w:cs="方正仿宋_GBK"/>
              <w:sz w:val="28"/>
              <w:szCs w:val="28"/>
              <w:shd w:val="clear" w:color="auto" w:fill="FFFFFF"/>
              <w:lang w:eastAsia="zh-CN"/>
            </w:rPr>
            <w:t>二、</w:t>
          </w:r>
          <w:r>
            <w:rPr>
              <w:rFonts w:hint="eastAsia" w:ascii="方正仿宋_GBK" w:hAnsi="方正仿宋_GBK" w:eastAsia="方正仿宋_GBK" w:cs="方正仿宋_GBK"/>
              <w:sz w:val="28"/>
              <w:szCs w:val="28"/>
              <w:shd w:val="clear" w:color="auto" w:fill="FFFFFF"/>
            </w:rPr>
            <w:t>当年取得的主要事业成效。</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_Toc30449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4</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0"/>
              <w:sz w:val="28"/>
              <w:szCs w:val="28"/>
              <w:lang w:val="en-US" w:eastAsia="zh-CN" w:bidi="ar"/>
            </w:rPr>
            <w:fldChar w:fldCharType="end"/>
          </w:r>
        </w:p>
        <w:p w14:paraId="3428A9B9">
          <w:pPr>
            <w:pStyle w:val="42"/>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lang w:val="en-US" w:eastAsia="zh-CN" w:bidi="ar"/>
            </w:rPr>
            <w:fldChar w:fldCharType="begin"/>
          </w:r>
          <w:r>
            <w:rPr>
              <w:rFonts w:hint="eastAsia" w:ascii="方正仿宋_GBK" w:hAnsi="方正仿宋_GBK" w:eastAsia="方正仿宋_GBK" w:cs="方正仿宋_GBK"/>
              <w:kern w:val="0"/>
              <w:sz w:val="28"/>
              <w:szCs w:val="28"/>
              <w:lang w:val="en-US" w:eastAsia="zh-CN" w:bidi="ar"/>
            </w:rPr>
            <w:instrText xml:space="preserve"> HYPERLINK \l _Toc29484 </w:instrText>
          </w:r>
          <w:r>
            <w:rPr>
              <w:rFonts w:hint="eastAsia" w:ascii="方正仿宋_GBK" w:hAnsi="方正仿宋_GBK" w:eastAsia="方正仿宋_GBK" w:cs="方正仿宋_GBK"/>
              <w:kern w:val="0"/>
              <w:sz w:val="28"/>
              <w:szCs w:val="28"/>
              <w:lang w:val="en-US" w:eastAsia="zh-CN" w:bidi="ar"/>
            </w:rPr>
            <w:fldChar w:fldCharType="separate"/>
          </w:r>
          <w:r>
            <w:rPr>
              <w:rFonts w:hint="eastAsia" w:ascii="方正仿宋_GBK" w:hAnsi="方正仿宋_GBK" w:eastAsia="方正仿宋_GBK" w:cs="方正仿宋_GBK"/>
              <w:sz w:val="28"/>
              <w:szCs w:val="28"/>
              <w:shd w:val="clear" w:color="auto" w:fill="FFFFFF"/>
              <w:lang w:eastAsia="zh-CN"/>
            </w:rPr>
            <w:t>三、机构设置</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_Toc29484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9</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0"/>
              <w:sz w:val="28"/>
              <w:szCs w:val="28"/>
              <w:lang w:val="en-US" w:eastAsia="zh-CN" w:bidi="ar"/>
            </w:rPr>
            <w:fldChar w:fldCharType="end"/>
          </w:r>
        </w:p>
        <w:p w14:paraId="3DB78A5F">
          <w:pPr>
            <w:pStyle w:val="40"/>
            <w:tabs>
              <w:tab w:val="right" w:leader="dot" w:pos="8306"/>
            </w:tabs>
            <w:rPr>
              <w:rFonts w:hint="eastAsia" w:ascii="方正仿宋_GBK" w:hAnsi="方正仿宋_GBK" w:eastAsia="方正仿宋_GBK" w:cs="方正仿宋_GBK"/>
              <w:b/>
              <w:kern w:val="0"/>
              <w:sz w:val="28"/>
              <w:szCs w:val="28"/>
              <w:lang w:val="en-US" w:eastAsia="zh-CN" w:bidi="ar"/>
            </w:rPr>
          </w:pPr>
          <w:r>
            <w:rPr>
              <w:rFonts w:hint="eastAsia" w:ascii="方正仿宋_GBK" w:hAnsi="方正仿宋_GBK" w:eastAsia="方正仿宋_GBK" w:cs="方正仿宋_GBK"/>
              <w:b/>
              <w:kern w:val="0"/>
              <w:sz w:val="28"/>
              <w:szCs w:val="28"/>
              <w:lang w:val="en-US" w:eastAsia="zh-CN" w:bidi="ar"/>
            </w:rPr>
            <w:fldChar w:fldCharType="begin"/>
          </w:r>
          <w:r>
            <w:rPr>
              <w:rFonts w:hint="eastAsia" w:ascii="方正仿宋_GBK" w:hAnsi="方正仿宋_GBK" w:eastAsia="方正仿宋_GBK" w:cs="方正仿宋_GBK"/>
              <w:b/>
              <w:kern w:val="0"/>
              <w:sz w:val="28"/>
              <w:szCs w:val="28"/>
              <w:lang w:val="en-US" w:eastAsia="zh-CN" w:bidi="ar"/>
            </w:rPr>
            <w:instrText xml:space="preserve"> HYPERLINK \l _Toc22985 </w:instrText>
          </w:r>
          <w:r>
            <w:rPr>
              <w:rFonts w:hint="eastAsia" w:ascii="方正仿宋_GBK" w:hAnsi="方正仿宋_GBK" w:eastAsia="方正仿宋_GBK" w:cs="方正仿宋_GBK"/>
              <w:b/>
              <w:kern w:val="0"/>
              <w:sz w:val="28"/>
              <w:szCs w:val="28"/>
              <w:lang w:val="en-US" w:eastAsia="zh-CN" w:bidi="ar"/>
            </w:rPr>
            <w:fldChar w:fldCharType="separate"/>
          </w:r>
          <w:r>
            <w:rPr>
              <w:rFonts w:hint="eastAsia" w:ascii="方正仿宋_GBK" w:hAnsi="方正仿宋_GBK" w:eastAsia="方正仿宋_GBK" w:cs="方正仿宋_GBK"/>
              <w:b/>
              <w:kern w:val="0"/>
              <w:sz w:val="28"/>
              <w:szCs w:val="28"/>
              <w:lang w:val="en-US" w:eastAsia="zh-CN" w:bidi="ar"/>
            </w:rPr>
            <w:t>第二部分 2023年度部门决算情况说明</w:t>
          </w:r>
          <w:r>
            <w:rPr>
              <w:rFonts w:hint="eastAsia" w:ascii="方正仿宋_GBK" w:hAnsi="方正仿宋_GBK" w:eastAsia="方正仿宋_GBK" w:cs="方正仿宋_GBK"/>
              <w:b/>
              <w:kern w:val="0"/>
              <w:sz w:val="28"/>
              <w:szCs w:val="28"/>
              <w:lang w:val="en-US" w:eastAsia="zh-CN" w:bidi="ar"/>
            </w:rPr>
            <w:tab/>
          </w:r>
          <w:r>
            <w:rPr>
              <w:rFonts w:hint="eastAsia" w:ascii="方正仿宋_GBK" w:hAnsi="方正仿宋_GBK" w:eastAsia="方正仿宋_GBK" w:cs="方正仿宋_GBK"/>
              <w:b/>
              <w:kern w:val="0"/>
              <w:sz w:val="28"/>
              <w:szCs w:val="28"/>
              <w:lang w:val="en-US" w:eastAsia="zh-CN" w:bidi="ar"/>
            </w:rPr>
            <w:fldChar w:fldCharType="begin"/>
          </w:r>
          <w:r>
            <w:rPr>
              <w:rFonts w:hint="eastAsia" w:ascii="方正仿宋_GBK" w:hAnsi="方正仿宋_GBK" w:eastAsia="方正仿宋_GBK" w:cs="方正仿宋_GBK"/>
              <w:b/>
              <w:kern w:val="0"/>
              <w:sz w:val="28"/>
              <w:szCs w:val="28"/>
              <w:lang w:val="en-US" w:eastAsia="zh-CN" w:bidi="ar"/>
            </w:rPr>
            <w:instrText xml:space="preserve"> PAGEREF _Toc22985 \h </w:instrText>
          </w:r>
          <w:r>
            <w:rPr>
              <w:rFonts w:hint="eastAsia" w:ascii="方正仿宋_GBK" w:hAnsi="方正仿宋_GBK" w:eastAsia="方正仿宋_GBK" w:cs="方正仿宋_GBK"/>
              <w:b/>
              <w:kern w:val="0"/>
              <w:sz w:val="28"/>
              <w:szCs w:val="28"/>
              <w:lang w:val="en-US" w:eastAsia="zh-CN" w:bidi="ar"/>
            </w:rPr>
            <w:fldChar w:fldCharType="separate"/>
          </w:r>
          <w:r>
            <w:rPr>
              <w:rFonts w:hint="eastAsia" w:ascii="方正仿宋_GBK" w:hAnsi="方正仿宋_GBK" w:eastAsia="方正仿宋_GBK" w:cs="方正仿宋_GBK"/>
              <w:b/>
              <w:kern w:val="0"/>
              <w:sz w:val="28"/>
              <w:szCs w:val="28"/>
              <w:lang w:val="en-US" w:eastAsia="zh-CN" w:bidi="ar"/>
            </w:rPr>
            <w:t>9</w:t>
          </w:r>
          <w:r>
            <w:rPr>
              <w:rFonts w:hint="eastAsia" w:ascii="方正仿宋_GBK" w:hAnsi="方正仿宋_GBK" w:eastAsia="方正仿宋_GBK" w:cs="方正仿宋_GBK"/>
              <w:b/>
              <w:kern w:val="0"/>
              <w:sz w:val="28"/>
              <w:szCs w:val="28"/>
              <w:lang w:val="en-US" w:eastAsia="zh-CN" w:bidi="ar"/>
            </w:rPr>
            <w:fldChar w:fldCharType="end"/>
          </w:r>
          <w:r>
            <w:rPr>
              <w:rFonts w:hint="eastAsia" w:ascii="方正仿宋_GBK" w:hAnsi="方正仿宋_GBK" w:eastAsia="方正仿宋_GBK" w:cs="方正仿宋_GBK"/>
              <w:b/>
              <w:kern w:val="0"/>
              <w:sz w:val="28"/>
              <w:szCs w:val="28"/>
              <w:lang w:val="en-US" w:eastAsia="zh-CN" w:bidi="ar"/>
            </w:rPr>
            <w:fldChar w:fldCharType="end"/>
          </w:r>
        </w:p>
        <w:p w14:paraId="09756F42">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_Toc3387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一、收入支出决算总体情况说明</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_Toc3387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9</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0F8D8CCC">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_Toc4468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二、收入决算情况说明</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_Toc4468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10</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4671E3A3">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_Toc8135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三、支出决算情况说明</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_Toc8135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10</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299DF9DE">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_Toc17104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四、财政拨款收入支出决算总体情况说明</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_Toc17104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11</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11BFE4BA">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_Toc25577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五、一般公共预算财政拨款支出决算情况说明</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_Toc25577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11</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1D23C754">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_Toc26628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六、一般公共预算财政拨款基本支出决算情况说明</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_Toc26628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14</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5A137F06">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_Toc26800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七、财政拨款“三公”经费支出决算情况说明</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_Toc26800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14</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4AB5DE8A">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_Toc13249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八、政府性基金预算支出决算情况说明</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_Toc13249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16</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530A29CC">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_Toc4483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九、 国有资本经营预算支出决算情况说明</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_Toc4483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16</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62E3B061">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_Toc2253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十、 其他重要事项的情况说明</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_Toc2253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16</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25A9D07F">
          <w:pPr>
            <w:pStyle w:val="40"/>
            <w:tabs>
              <w:tab w:val="right" w:leader="dot" w:pos="8306"/>
            </w:tabs>
            <w:rPr>
              <w:rFonts w:hint="eastAsia" w:ascii="方正仿宋_GBK" w:hAnsi="方正仿宋_GBK" w:eastAsia="方正仿宋_GBK" w:cs="方正仿宋_GBK"/>
              <w:b/>
              <w:kern w:val="0"/>
              <w:sz w:val="28"/>
              <w:szCs w:val="28"/>
              <w:lang w:val="en-US" w:eastAsia="zh-CN" w:bidi="ar"/>
            </w:rPr>
          </w:pPr>
          <w:r>
            <w:rPr>
              <w:rFonts w:hint="eastAsia" w:ascii="方正仿宋_GBK" w:hAnsi="方正仿宋_GBK" w:eastAsia="方正仿宋_GBK" w:cs="方正仿宋_GBK"/>
              <w:b/>
              <w:kern w:val="0"/>
              <w:sz w:val="28"/>
              <w:szCs w:val="28"/>
              <w:lang w:val="en-US" w:eastAsia="zh-CN" w:bidi="ar"/>
            </w:rPr>
            <w:fldChar w:fldCharType="begin"/>
          </w:r>
          <w:r>
            <w:rPr>
              <w:rFonts w:hint="eastAsia" w:ascii="方正仿宋_GBK" w:hAnsi="方正仿宋_GBK" w:eastAsia="方正仿宋_GBK" w:cs="方正仿宋_GBK"/>
              <w:b/>
              <w:kern w:val="0"/>
              <w:sz w:val="28"/>
              <w:szCs w:val="28"/>
              <w:lang w:val="en-US" w:eastAsia="zh-CN" w:bidi="ar"/>
            </w:rPr>
            <w:instrText xml:space="preserve"> HYPERLINK \l _Toc18665 </w:instrText>
          </w:r>
          <w:r>
            <w:rPr>
              <w:rFonts w:hint="eastAsia" w:ascii="方正仿宋_GBK" w:hAnsi="方正仿宋_GBK" w:eastAsia="方正仿宋_GBK" w:cs="方正仿宋_GBK"/>
              <w:b/>
              <w:kern w:val="0"/>
              <w:sz w:val="28"/>
              <w:szCs w:val="28"/>
              <w:lang w:val="en-US" w:eastAsia="zh-CN" w:bidi="ar"/>
            </w:rPr>
            <w:fldChar w:fldCharType="separate"/>
          </w:r>
          <w:r>
            <w:rPr>
              <w:rFonts w:hint="eastAsia" w:ascii="方正仿宋_GBK" w:hAnsi="方正仿宋_GBK" w:eastAsia="方正仿宋_GBK" w:cs="方正仿宋_GBK"/>
              <w:b/>
              <w:kern w:val="0"/>
              <w:sz w:val="28"/>
              <w:szCs w:val="28"/>
              <w:lang w:val="en-US" w:eastAsia="zh-CN" w:bidi="ar"/>
            </w:rPr>
            <w:t>第三部分 名词解释</w:t>
          </w:r>
          <w:r>
            <w:rPr>
              <w:rFonts w:hint="eastAsia" w:ascii="方正仿宋_GBK" w:hAnsi="方正仿宋_GBK" w:eastAsia="方正仿宋_GBK" w:cs="方正仿宋_GBK"/>
              <w:b/>
              <w:kern w:val="0"/>
              <w:sz w:val="28"/>
              <w:szCs w:val="28"/>
              <w:lang w:val="en-US" w:eastAsia="zh-CN" w:bidi="ar"/>
            </w:rPr>
            <w:tab/>
          </w:r>
          <w:r>
            <w:rPr>
              <w:rFonts w:hint="eastAsia" w:ascii="方正仿宋_GBK" w:hAnsi="方正仿宋_GBK" w:eastAsia="方正仿宋_GBK" w:cs="方正仿宋_GBK"/>
              <w:b/>
              <w:kern w:val="0"/>
              <w:sz w:val="28"/>
              <w:szCs w:val="28"/>
              <w:lang w:val="en-US" w:eastAsia="zh-CN" w:bidi="ar"/>
            </w:rPr>
            <w:fldChar w:fldCharType="begin"/>
          </w:r>
          <w:r>
            <w:rPr>
              <w:rFonts w:hint="eastAsia" w:ascii="方正仿宋_GBK" w:hAnsi="方正仿宋_GBK" w:eastAsia="方正仿宋_GBK" w:cs="方正仿宋_GBK"/>
              <w:b/>
              <w:kern w:val="0"/>
              <w:sz w:val="28"/>
              <w:szCs w:val="28"/>
              <w:lang w:val="en-US" w:eastAsia="zh-CN" w:bidi="ar"/>
            </w:rPr>
            <w:instrText xml:space="preserve"> PAGEREF _Toc18665 \h </w:instrText>
          </w:r>
          <w:r>
            <w:rPr>
              <w:rFonts w:hint="eastAsia" w:ascii="方正仿宋_GBK" w:hAnsi="方正仿宋_GBK" w:eastAsia="方正仿宋_GBK" w:cs="方正仿宋_GBK"/>
              <w:b/>
              <w:kern w:val="0"/>
              <w:sz w:val="28"/>
              <w:szCs w:val="28"/>
              <w:lang w:val="en-US" w:eastAsia="zh-CN" w:bidi="ar"/>
            </w:rPr>
            <w:fldChar w:fldCharType="separate"/>
          </w:r>
          <w:r>
            <w:rPr>
              <w:rFonts w:hint="eastAsia" w:ascii="方正仿宋_GBK" w:hAnsi="方正仿宋_GBK" w:eastAsia="方正仿宋_GBK" w:cs="方正仿宋_GBK"/>
              <w:b/>
              <w:kern w:val="0"/>
              <w:sz w:val="28"/>
              <w:szCs w:val="28"/>
              <w:lang w:val="en-US" w:eastAsia="zh-CN" w:bidi="ar"/>
            </w:rPr>
            <w:t>17</w:t>
          </w:r>
          <w:r>
            <w:rPr>
              <w:rFonts w:hint="eastAsia" w:ascii="方正仿宋_GBK" w:hAnsi="方正仿宋_GBK" w:eastAsia="方正仿宋_GBK" w:cs="方正仿宋_GBK"/>
              <w:b/>
              <w:kern w:val="0"/>
              <w:sz w:val="28"/>
              <w:szCs w:val="28"/>
              <w:lang w:val="en-US" w:eastAsia="zh-CN" w:bidi="ar"/>
            </w:rPr>
            <w:fldChar w:fldCharType="end"/>
          </w:r>
          <w:r>
            <w:rPr>
              <w:rFonts w:hint="eastAsia" w:ascii="方正仿宋_GBK" w:hAnsi="方正仿宋_GBK" w:eastAsia="方正仿宋_GBK" w:cs="方正仿宋_GBK"/>
              <w:b/>
              <w:kern w:val="0"/>
              <w:sz w:val="28"/>
              <w:szCs w:val="28"/>
              <w:lang w:val="en-US" w:eastAsia="zh-CN" w:bidi="ar"/>
            </w:rPr>
            <w:fldChar w:fldCharType="end"/>
          </w:r>
        </w:p>
        <w:p w14:paraId="545175A1">
          <w:pPr>
            <w:pStyle w:val="40"/>
            <w:tabs>
              <w:tab w:val="right" w:leader="dot" w:pos="8306"/>
            </w:tabs>
            <w:rPr>
              <w:rFonts w:hint="eastAsia" w:ascii="方正仿宋_GBK" w:hAnsi="方正仿宋_GBK" w:eastAsia="方正仿宋_GBK" w:cs="方正仿宋_GBK"/>
              <w:b/>
              <w:kern w:val="0"/>
              <w:sz w:val="28"/>
              <w:szCs w:val="28"/>
              <w:lang w:val="en-US" w:eastAsia="zh-CN" w:bidi="ar"/>
            </w:rPr>
          </w:pPr>
          <w:r>
            <w:rPr>
              <w:rFonts w:hint="eastAsia" w:ascii="方正仿宋_GBK" w:hAnsi="方正仿宋_GBK" w:eastAsia="方正仿宋_GBK" w:cs="方正仿宋_GBK"/>
              <w:b/>
              <w:kern w:val="0"/>
              <w:sz w:val="28"/>
              <w:szCs w:val="28"/>
              <w:lang w:val="en-US" w:eastAsia="zh-CN" w:bidi="ar"/>
            </w:rPr>
            <w:fldChar w:fldCharType="begin"/>
          </w:r>
          <w:r>
            <w:rPr>
              <w:rFonts w:hint="eastAsia" w:ascii="方正仿宋_GBK" w:hAnsi="方正仿宋_GBK" w:eastAsia="方正仿宋_GBK" w:cs="方正仿宋_GBK"/>
              <w:b/>
              <w:kern w:val="0"/>
              <w:sz w:val="28"/>
              <w:szCs w:val="28"/>
              <w:lang w:val="en-US" w:eastAsia="zh-CN" w:bidi="ar"/>
            </w:rPr>
            <w:instrText xml:space="preserve"> HYPERLINK \l _Toc14188 </w:instrText>
          </w:r>
          <w:r>
            <w:rPr>
              <w:rFonts w:hint="eastAsia" w:ascii="方正仿宋_GBK" w:hAnsi="方正仿宋_GBK" w:eastAsia="方正仿宋_GBK" w:cs="方正仿宋_GBK"/>
              <w:b/>
              <w:kern w:val="0"/>
              <w:sz w:val="28"/>
              <w:szCs w:val="28"/>
              <w:lang w:val="en-US" w:eastAsia="zh-CN" w:bidi="ar"/>
            </w:rPr>
            <w:fldChar w:fldCharType="separate"/>
          </w:r>
          <w:r>
            <w:rPr>
              <w:rFonts w:hint="eastAsia" w:ascii="方正仿宋_GBK" w:hAnsi="方正仿宋_GBK" w:eastAsia="方正仿宋_GBK" w:cs="方正仿宋_GBK"/>
              <w:b/>
              <w:kern w:val="0"/>
              <w:sz w:val="28"/>
              <w:szCs w:val="28"/>
              <w:lang w:val="en-US" w:eastAsia="zh-CN" w:bidi="ar"/>
            </w:rPr>
            <w:t>第四部分 附件</w:t>
          </w:r>
          <w:r>
            <w:rPr>
              <w:rFonts w:hint="eastAsia" w:ascii="方正仿宋_GBK" w:hAnsi="方正仿宋_GBK" w:eastAsia="方正仿宋_GBK" w:cs="方正仿宋_GBK"/>
              <w:b/>
              <w:kern w:val="0"/>
              <w:sz w:val="28"/>
              <w:szCs w:val="28"/>
              <w:lang w:val="en-US" w:eastAsia="zh-CN" w:bidi="ar"/>
            </w:rPr>
            <w:tab/>
          </w:r>
          <w:r>
            <w:rPr>
              <w:rFonts w:hint="eastAsia" w:ascii="方正仿宋_GBK" w:hAnsi="方正仿宋_GBK" w:eastAsia="方正仿宋_GBK" w:cs="方正仿宋_GBK"/>
              <w:b/>
              <w:kern w:val="0"/>
              <w:sz w:val="28"/>
              <w:szCs w:val="28"/>
              <w:lang w:val="en-US" w:eastAsia="zh-CN" w:bidi="ar"/>
            </w:rPr>
            <w:fldChar w:fldCharType="begin"/>
          </w:r>
          <w:r>
            <w:rPr>
              <w:rFonts w:hint="eastAsia" w:ascii="方正仿宋_GBK" w:hAnsi="方正仿宋_GBK" w:eastAsia="方正仿宋_GBK" w:cs="方正仿宋_GBK"/>
              <w:b/>
              <w:kern w:val="0"/>
              <w:sz w:val="28"/>
              <w:szCs w:val="28"/>
              <w:lang w:val="en-US" w:eastAsia="zh-CN" w:bidi="ar"/>
            </w:rPr>
            <w:instrText xml:space="preserve"> PAGEREF _Toc14188 \h </w:instrText>
          </w:r>
          <w:r>
            <w:rPr>
              <w:rFonts w:hint="eastAsia" w:ascii="方正仿宋_GBK" w:hAnsi="方正仿宋_GBK" w:eastAsia="方正仿宋_GBK" w:cs="方正仿宋_GBK"/>
              <w:b/>
              <w:kern w:val="0"/>
              <w:sz w:val="28"/>
              <w:szCs w:val="28"/>
              <w:lang w:val="en-US" w:eastAsia="zh-CN" w:bidi="ar"/>
            </w:rPr>
            <w:fldChar w:fldCharType="separate"/>
          </w:r>
          <w:r>
            <w:rPr>
              <w:rFonts w:hint="eastAsia" w:ascii="方正仿宋_GBK" w:hAnsi="方正仿宋_GBK" w:eastAsia="方正仿宋_GBK" w:cs="方正仿宋_GBK"/>
              <w:b/>
              <w:kern w:val="0"/>
              <w:sz w:val="28"/>
              <w:szCs w:val="28"/>
              <w:lang w:val="en-US" w:eastAsia="zh-CN" w:bidi="ar"/>
            </w:rPr>
            <w:t>20</w:t>
          </w:r>
          <w:r>
            <w:rPr>
              <w:rFonts w:hint="eastAsia" w:ascii="方正仿宋_GBK" w:hAnsi="方正仿宋_GBK" w:eastAsia="方正仿宋_GBK" w:cs="方正仿宋_GBK"/>
              <w:b/>
              <w:kern w:val="0"/>
              <w:sz w:val="28"/>
              <w:szCs w:val="28"/>
              <w:lang w:val="en-US" w:eastAsia="zh-CN" w:bidi="ar"/>
            </w:rPr>
            <w:fldChar w:fldCharType="end"/>
          </w:r>
          <w:r>
            <w:rPr>
              <w:rFonts w:hint="eastAsia" w:ascii="方正仿宋_GBK" w:hAnsi="方正仿宋_GBK" w:eastAsia="方正仿宋_GBK" w:cs="方正仿宋_GBK"/>
              <w:b/>
              <w:kern w:val="0"/>
              <w:sz w:val="28"/>
              <w:szCs w:val="28"/>
              <w:lang w:val="en-US" w:eastAsia="zh-CN" w:bidi="ar"/>
            </w:rPr>
            <w:fldChar w:fldCharType="end"/>
          </w:r>
        </w:p>
        <w:p w14:paraId="32537CDA">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_Toc10330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一、</w:t>
          </w:r>
          <w:r>
            <w:rPr>
              <w:rFonts w:hint="eastAsia" w:ascii="方正仿宋_GBK" w:hAnsi="方正仿宋_GBK" w:eastAsia="方正仿宋_GBK" w:cs="方正仿宋_GBK"/>
              <w:sz w:val="28"/>
              <w:szCs w:val="28"/>
              <w:shd w:val="clear" w:color="auto" w:fill="FFFFFF"/>
              <w:lang w:val="zh-CN" w:eastAsia="zh-CN"/>
            </w:rPr>
            <w:t>部门（单位）概况</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_Toc10330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20</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25400E73">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_Toc21647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二、部门财政资金收支情况</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_Toc21647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21</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5B54D008">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_Toc7593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三、部门财政支出管理情况</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_Toc7593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22</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06996760">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_Toc11996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四、评价结论及建议</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_Toc11996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25</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2AE0BB9A">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_Toc14902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default" w:ascii="方正仿宋_GBK" w:hAnsi="方正仿宋_GBK" w:eastAsia="方正仿宋_GBK" w:cs="方正仿宋_GBK"/>
              <w:sz w:val="28"/>
              <w:szCs w:val="28"/>
              <w:shd w:val="clear" w:color="auto" w:fill="FFFFFF"/>
              <w:lang w:val="en-US" w:eastAsia="zh-CN"/>
            </w:rPr>
            <w:t>一、</w:t>
          </w:r>
          <w:r>
            <w:rPr>
              <w:rFonts w:hint="default" w:ascii="方正仿宋_GBK" w:hAnsi="方正仿宋_GBK" w:eastAsia="方正仿宋_GBK" w:cs="方正仿宋_GBK"/>
              <w:sz w:val="28"/>
              <w:szCs w:val="28"/>
              <w:shd w:val="clear" w:color="auto" w:fill="FFFFFF"/>
              <w:lang w:val="zh-CN" w:eastAsia="zh-CN"/>
            </w:rPr>
            <w:t>项目概况</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_Toc14902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28</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71B92B72">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_Toc23320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default" w:ascii="方正仿宋_GBK" w:hAnsi="方正仿宋_GBK" w:eastAsia="方正仿宋_GBK" w:cs="方正仿宋_GBK"/>
              <w:sz w:val="28"/>
              <w:szCs w:val="28"/>
              <w:shd w:val="clear" w:color="auto" w:fill="FFFFFF"/>
              <w:lang w:val="zh-CN" w:eastAsia="zh-CN"/>
            </w:rPr>
            <w:t>二、项目实施及管理情况</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_Toc23320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29</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3CAD6754">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_Toc16546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default" w:ascii="方正仿宋_GBK" w:hAnsi="方正仿宋_GBK" w:eastAsia="方正仿宋_GBK" w:cs="方正仿宋_GBK"/>
              <w:sz w:val="28"/>
              <w:szCs w:val="28"/>
              <w:shd w:val="clear" w:color="auto" w:fill="FFFFFF"/>
              <w:lang w:val="zh-CN" w:eastAsia="zh-CN"/>
            </w:rPr>
            <w:t>三、项目绩效情况</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_Toc16546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30</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44839C0E">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_Toc8543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default" w:ascii="方正仿宋_GBK" w:hAnsi="方正仿宋_GBK" w:eastAsia="方正仿宋_GBK" w:cs="方正仿宋_GBK"/>
              <w:sz w:val="28"/>
              <w:szCs w:val="28"/>
              <w:shd w:val="clear" w:color="auto" w:fill="FFFFFF"/>
              <w:lang w:val="zh-CN" w:eastAsia="zh-CN"/>
            </w:rPr>
            <w:t>四、评价结论</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_Toc8543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31</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46F6CA07">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_Toc19785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default" w:ascii="方正仿宋_GBK" w:hAnsi="方正仿宋_GBK" w:eastAsia="方正仿宋_GBK" w:cs="方正仿宋_GBK"/>
              <w:sz w:val="28"/>
              <w:szCs w:val="28"/>
              <w:shd w:val="clear" w:color="auto" w:fill="FFFFFF"/>
              <w:lang w:val="zh-CN" w:eastAsia="zh-CN"/>
            </w:rPr>
            <w:t>五、存在主要问题</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_Toc19785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31</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5A69FB9A">
          <w:pPr>
            <w:pStyle w:val="42"/>
            <w:tabs>
              <w:tab w:val="right" w:leader="dot" w:pos="8306"/>
            </w:tabs>
            <w:rPr>
              <w:rFonts w:hint="eastAsia" w:ascii="方正仿宋_GBK" w:hAnsi="方正仿宋_GBK" w:eastAsia="方正仿宋_GBK" w:cs="方正仿宋_GBK"/>
              <w:sz w:val="28"/>
              <w:szCs w:val="28"/>
              <w:shd w:val="clear" w:color="auto" w:fill="FFFFFF"/>
              <w:lang w:val="en-US" w:eastAsia="zh-CN"/>
            </w:rPr>
          </w:pP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HYPERLINK \l _Toc6299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default" w:ascii="方正仿宋_GBK" w:hAnsi="方正仿宋_GBK" w:eastAsia="方正仿宋_GBK" w:cs="方正仿宋_GBK"/>
              <w:sz w:val="28"/>
              <w:szCs w:val="28"/>
              <w:shd w:val="clear" w:color="auto" w:fill="FFFFFF"/>
              <w:lang w:val="zh-CN" w:eastAsia="zh-CN"/>
            </w:rPr>
            <w:t>六、改进建议</w:t>
          </w:r>
          <w:r>
            <w:rPr>
              <w:rFonts w:hint="eastAsia" w:ascii="方正仿宋_GBK" w:hAnsi="方正仿宋_GBK" w:eastAsia="方正仿宋_GBK" w:cs="方正仿宋_GBK"/>
              <w:sz w:val="28"/>
              <w:szCs w:val="28"/>
              <w:shd w:val="clear" w:color="auto" w:fill="FFFFFF"/>
              <w:lang w:val="en-US" w:eastAsia="zh-CN"/>
            </w:rPr>
            <w:tab/>
          </w:r>
          <w:r>
            <w:rPr>
              <w:rFonts w:hint="eastAsia" w:ascii="方正仿宋_GBK" w:hAnsi="方正仿宋_GBK" w:eastAsia="方正仿宋_GBK" w:cs="方正仿宋_GBK"/>
              <w:sz w:val="28"/>
              <w:szCs w:val="28"/>
              <w:shd w:val="clear" w:color="auto" w:fill="FFFFFF"/>
              <w:lang w:val="en-US" w:eastAsia="zh-CN"/>
            </w:rPr>
            <w:fldChar w:fldCharType="begin"/>
          </w:r>
          <w:r>
            <w:rPr>
              <w:rFonts w:hint="eastAsia" w:ascii="方正仿宋_GBK" w:hAnsi="方正仿宋_GBK" w:eastAsia="方正仿宋_GBK" w:cs="方正仿宋_GBK"/>
              <w:sz w:val="28"/>
              <w:szCs w:val="28"/>
              <w:shd w:val="clear" w:color="auto" w:fill="FFFFFF"/>
              <w:lang w:val="en-US" w:eastAsia="zh-CN"/>
            </w:rPr>
            <w:instrText xml:space="preserve"> PAGEREF _Toc6299 \h </w:instrText>
          </w:r>
          <w:r>
            <w:rPr>
              <w:rFonts w:hint="eastAsia" w:ascii="方正仿宋_GBK" w:hAnsi="方正仿宋_GBK" w:eastAsia="方正仿宋_GBK" w:cs="方正仿宋_GBK"/>
              <w:sz w:val="28"/>
              <w:szCs w:val="28"/>
              <w:shd w:val="clear" w:color="auto" w:fill="FFFFFF"/>
              <w:lang w:val="en-US" w:eastAsia="zh-CN"/>
            </w:rPr>
            <w:fldChar w:fldCharType="separate"/>
          </w:r>
          <w:r>
            <w:rPr>
              <w:rFonts w:hint="eastAsia" w:ascii="方正仿宋_GBK" w:hAnsi="方正仿宋_GBK" w:eastAsia="方正仿宋_GBK" w:cs="方正仿宋_GBK"/>
              <w:sz w:val="28"/>
              <w:szCs w:val="28"/>
              <w:shd w:val="clear" w:color="auto" w:fill="FFFFFF"/>
              <w:lang w:val="en-US" w:eastAsia="zh-CN"/>
            </w:rPr>
            <w:t>31</w:t>
          </w:r>
          <w:r>
            <w:rPr>
              <w:rFonts w:hint="eastAsia" w:ascii="方正仿宋_GBK" w:hAnsi="方正仿宋_GBK" w:eastAsia="方正仿宋_GBK" w:cs="方正仿宋_GBK"/>
              <w:sz w:val="28"/>
              <w:szCs w:val="28"/>
              <w:shd w:val="clear" w:color="auto" w:fill="FFFFFF"/>
              <w:lang w:val="en-US" w:eastAsia="zh-CN"/>
            </w:rPr>
            <w:fldChar w:fldCharType="end"/>
          </w:r>
          <w:r>
            <w:rPr>
              <w:rFonts w:hint="eastAsia" w:ascii="方正仿宋_GBK" w:hAnsi="方正仿宋_GBK" w:eastAsia="方正仿宋_GBK" w:cs="方正仿宋_GBK"/>
              <w:sz w:val="28"/>
              <w:szCs w:val="28"/>
              <w:shd w:val="clear" w:color="auto" w:fill="FFFFFF"/>
              <w:lang w:val="en-US" w:eastAsia="zh-CN"/>
            </w:rPr>
            <w:fldChar w:fldCharType="end"/>
          </w:r>
        </w:p>
        <w:p w14:paraId="5B08521A">
          <w:pPr>
            <w:pStyle w:val="40"/>
            <w:tabs>
              <w:tab w:val="right" w:leader="dot" w:pos="8306"/>
            </w:tabs>
            <w:rPr>
              <w:b/>
            </w:rPr>
          </w:pPr>
          <w:r>
            <w:rPr>
              <w:rFonts w:hint="eastAsia" w:ascii="方正仿宋_GBK" w:hAnsi="方正仿宋_GBK" w:eastAsia="方正仿宋_GBK" w:cs="方正仿宋_GBK"/>
              <w:b/>
              <w:kern w:val="0"/>
              <w:sz w:val="28"/>
              <w:szCs w:val="28"/>
              <w:lang w:val="en-US" w:eastAsia="zh-CN" w:bidi="ar"/>
            </w:rPr>
            <w:fldChar w:fldCharType="begin"/>
          </w:r>
          <w:r>
            <w:rPr>
              <w:rFonts w:hint="eastAsia" w:ascii="方正仿宋_GBK" w:hAnsi="方正仿宋_GBK" w:eastAsia="方正仿宋_GBK" w:cs="方正仿宋_GBK"/>
              <w:b/>
              <w:kern w:val="0"/>
              <w:sz w:val="28"/>
              <w:szCs w:val="28"/>
              <w:lang w:val="en-US" w:eastAsia="zh-CN" w:bidi="ar"/>
            </w:rPr>
            <w:instrText xml:space="preserve"> HYPERLINK \l _Toc23841 </w:instrText>
          </w:r>
          <w:r>
            <w:rPr>
              <w:rFonts w:hint="eastAsia" w:ascii="方正仿宋_GBK" w:hAnsi="方正仿宋_GBK" w:eastAsia="方正仿宋_GBK" w:cs="方正仿宋_GBK"/>
              <w:b/>
              <w:kern w:val="0"/>
              <w:sz w:val="28"/>
              <w:szCs w:val="28"/>
              <w:lang w:val="en-US" w:eastAsia="zh-CN" w:bidi="ar"/>
            </w:rPr>
            <w:fldChar w:fldCharType="separate"/>
          </w:r>
          <w:r>
            <w:rPr>
              <w:rFonts w:hint="eastAsia" w:ascii="方正仿宋_GBK" w:hAnsi="方正仿宋_GBK" w:eastAsia="方正仿宋_GBK" w:cs="方正仿宋_GBK"/>
              <w:b/>
              <w:kern w:val="0"/>
              <w:sz w:val="28"/>
              <w:szCs w:val="28"/>
              <w:lang w:val="en-US" w:eastAsia="zh-CN" w:bidi="ar"/>
            </w:rPr>
            <w:t>第五部分 附表</w:t>
          </w:r>
          <w:r>
            <w:rPr>
              <w:rFonts w:hint="eastAsia" w:ascii="方正仿宋_GBK" w:hAnsi="方正仿宋_GBK" w:eastAsia="方正仿宋_GBK" w:cs="方正仿宋_GBK"/>
              <w:b/>
              <w:kern w:val="0"/>
              <w:sz w:val="28"/>
              <w:szCs w:val="28"/>
              <w:lang w:val="en-US" w:eastAsia="zh-CN" w:bidi="ar"/>
            </w:rPr>
            <w:tab/>
          </w:r>
          <w:r>
            <w:rPr>
              <w:rFonts w:hint="eastAsia" w:ascii="方正仿宋_GBK" w:hAnsi="方正仿宋_GBK" w:eastAsia="方正仿宋_GBK" w:cs="方正仿宋_GBK"/>
              <w:b/>
              <w:kern w:val="0"/>
              <w:sz w:val="28"/>
              <w:szCs w:val="28"/>
              <w:lang w:val="en-US" w:eastAsia="zh-CN" w:bidi="ar"/>
            </w:rPr>
            <w:fldChar w:fldCharType="begin"/>
          </w:r>
          <w:r>
            <w:rPr>
              <w:rFonts w:hint="eastAsia" w:ascii="方正仿宋_GBK" w:hAnsi="方正仿宋_GBK" w:eastAsia="方正仿宋_GBK" w:cs="方正仿宋_GBK"/>
              <w:b/>
              <w:kern w:val="0"/>
              <w:sz w:val="28"/>
              <w:szCs w:val="28"/>
              <w:lang w:val="en-US" w:eastAsia="zh-CN" w:bidi="ar"/>
            </w:rPr>
            <w:instrText xml:space="preserve"> PAGEREF _Toc23841 \h </w:instrText>
          </w:r>
          <w:r>
            <w:rPr>
              <w:rFonts w:hint="eastAsia" w:ascii="方正仿宋_GBK" w:hAnsi="方正仿宋_GBK" w:eastAsia="方正仿宋_GBK" w:cs="方正仿宋_GBK"/>
              <w:b/>
              <w:kern w:val="0"/>
              <w:sz w:val="28"/>
              <w:szCs w:val="28"/>
              <w:lang w:val="en-US" w:eastAsia="zh-CN" w:bidi="ar"/>
            </w:rPr>
            <w:fldChar w:fldCharType="separate"/>
          </w:r>
          <w:r>
            <w:rPr>
              <w:rFonts w:hint="eastAsia" w:ascii="方正仿宋_GBK" w:hAnsi="方正仿宋_GBK" w:eastAsia="方正仿宋_GBK" w:cs="方正仿宋_GBK"/>
              <w:b/>
              <w:kern w:val="0"/>
              <w:sz w:val="28"/>
              <w:szCs w:val="28"/>
              <w:lang w:val="en-US" w:eastAsia="zh-CN" w:bidi="ar"/>
            </w:rPr>
            <w:t>33</w:t>
          </w:r>
          <w:r>
            <w:rPr>
              <w:rFonts w:hint="eastAsia" w:ascii="方正仿宋_GBK" w:hAnsi="方正仿宋_GBK" w:eastAsia="方正仿宋_GBK" w:cs="方正仿宋_GBK"/>
              <w:b/>
              <w:kern w:val="0"/>
              <w:sz w:val="28"/>
              <w:szCs w:val="28"/>
              <w:lang w:val="en-US" w:eastAsia="zh-CN" w:bidi="ar"/>
            </w:rPr>
            <w:fldChar w:fldCharType="end"/>
          </w:r>
          <w:r>
            <w:rPr>
              <w:rFonts w:hint="eastAsia" w:ascii="方正仿宋_GBK" w:hAnsi="方正仿宋_GBK" w:eastAsia="方正仿宋_GBK" w:cs="方正仿宋_GBK"/>
              <w:b/>
              <w:kern w:val="0"/>
              <w:sz w:val="28"/>
              <w:szCs w:val="28"/>
              <w:lang w:val="en-US" w:eastAsia="zh-CN" w:bidi="ar"/>
            </w:rPr>
            <w:fldChar w:fldCharType="end"/>
          </w:r>
        </w:p>
        <w:p w14:paraId="2072AF6E">
          <w:pPr>
            <w:pStyle w:val="4"/>
            <w:rPr>
              <w:rFonts w:hint="eastAsia" w:ascii="宋体" w:hAnsi="宋体" w:eastAsia="宋体" w:cs="Courier New"/>
              <w:b/>
              <w:kern w:val="0"/>
              <w:sz w:val="24"/>
              <w:szCs w:val="24"/>
              <w:lang w:val="en-US" w:eastAsia="zh-CN" w:bidi="ar"/>
            </w:rPr>
          </w:pPr>
          <w:r>
            <w:rPr>
              <w:rFonts w:hint="eastAsia" w:ascii="宋体" w:hAnsi="宋体" w:eastAsia="宋体" w:cs="Courier New"/>
              <w:b/>
              <w:kern w:val="0"/>
              <w:szCs w:val="24"/>
              <w:lang w:val="en-US" w:eastAsia="zh-CN" w:bidi="ar"/>
            </w:rPr>
            <w:fldChar w:fldCharType="end"/>
          </w:r>
        </w:p>
      </w:sdtContent>
    </w:sdt>
    <w:p w14:paraId="0FE511E4">
      <w:pPr>
        <w:pStyle w:val="4"/>
        <w:rPr>
          <w:rFonts w:hint="eastAsia" w:ascii="宋体" w:hAnsi="宋体" w:eastAsia="宋体" w:cs="Courier New"/>
          <w:b/>
          <w:kern w:val="0"/>
          <w:sz w:val="24"/>
          <w:szCs w:val="24"/>
          <w:lang w:val="en-US" w:eastAsia="zh-CN" w:bidi="ar"/>
        </w:rPr>
      </w:pPr>
    </w:p>
    <w:p w14:paraId="50D23E79">
      <w:pPr>
        <w:pStyle w:val="16"/>
        <w:adjustRightInd w:val="0"/>
        <w:snapToGrid w:val="0"/>
        <w:spacing w:before="0" w:line="440" w:lineRule="exact"/>
        <w:jc w:val="center"/>
        <w:outlineLvl w:val="9"/>
        <w:rPr>
          <w:rFonts w:hint="eastAsia" w:ascii="方正仿宋_GBK" w:hAnsi="方正仿宋_GBK" w:eastAsia="方正仿宋_GBK" w:cs="方正仿宋_GBK"/>
          <w:b/>
          <w:bCs/>
          <w:sz w:val="32"/>
          <w:szCs w:val="32"/>
        </w:rPr>
      </w:pPr>
    </w:p>
    <w:p w14:paraId="57F748CC">
      <w:pPr>
        <w:pStyle w:val="16"/>
        <w:adjustRightInd w:val="0"/>
        <w:snapToGrid w:val="0"/>
        <w:spacing w:before="0" w:line="440" w:lineRule="exact"/>
        <w:jc w:val="center"/>
        <w:outlineLvl w:val="9"/>
        <w:rPr>
          <w:rFonts w:hint="eastAsia" w:ascii="方正仿宋_GBK" w:hAnsi="方正仿宋_GBK" w:eastAsia="方正仿宋_GBK" w:cs="方正仿宋_GBK"/>
          <w:b/>
          <w:bCs/>
          <w:sz w:val="32"/>
          <w:szCs w:val="32"/>
        </w:rPr>
      </w:pPr>
    </w:p>
    <w:p w14:paraId="52CF93C0">
      <w:pPr>
        <w:pStyle w:val="5"/>
        <w:jc w:val="center"/>
        <w:rPr>
          <w:rStyle w:val="43"/>
          <w:rFonts w:hint="eastAsia" w:ascii="黑体" w:eastAsia="黑体"/>
          <w:b w:val="0"/>
          <w:bCs w:val="0"/>
        </w:rPr>
      </w:pPr>
      <w:bookmarkStart w:id="36" w:name="_Toc19571"/>
      <w:r>
        <w:rPr>
          <w:rStyle w:val="43"/>
          <w:rFonts w:hint="eastAsia" w:ascii="黑体" w:eastAsia="黑体"/>
          <w:b w:val="0"/>
          <w:bCs w:val="0"/>
        </w:rPr>
        <w:t>第一部分 部门概况</w:t>
      </w:r>
      <w:bookmarkEnd w:id="36"/>
    </w:p>
    <w:p w14:paraId="4838D2CC">
      <w:pPr>
        <w:pStyle w:val="17"/>
        <w:keepNext w:val="0"/>
        <w:keepLines w:val="0"/>
        <w:pageBreakBefore w:val="0"/>
        <w:kinsoku/>
        <w:overflowPunct/>
        <w:topLinePunct w:val="0"/>
        <w:autoSpaceDE/>
        <w:autoSpaceDN/>
        <w:bidi w:val="0"/>
        <w:adjustRightInd w:val="0"/>
        <w:snapToGrid w:val="0"/>
        <w:spacing w:line="554" w:lineRule="exact"/>
        <w:ind w:left="0" w:leftChars="0" w:firstLine="0" w:firstLineChars="0"/>
        <w:jc w:val="left"/>
        <w:textAlignment w:val="auto"/>
        <w:outlineLvl w:val="1"/>
        <w:rPr>
          <w:rStyle w:val="41"/>
          <w:rFonts w:hint="eastAsia" w:ascii="仿宋" w:hAnsi="仿宋" w:eastAsia="仿宋" w:cs="仿宋"/>
          <w:sz w:val="30"/>
          <w:szCs w:val="30"/>
          <w:shd w:val="clear" w:color="auto" w:fill="FFFFFF"/>
        </w:rPr>
      </w:pPr>
      <w:bookmarkStart w:id="37" w:name="_Toc11421"/>
      <w:r>
        <w:rPr>
          <w:rStyle w:val="41"/>
          <w:rFonts w:hint="eastAsia" w:ascii="仿宋" w:hAnsi="仿宋" w:eastAsia="仿宋" w:cs="仿宋"/>
          <w:sz w:val="30"/>
          <w:szCs w:val="30"/>
          <w:shd w:val="clear" w:color="auto" w:fill="FFFFFF"/>
        </w:rPr>
        <w:t>一、部门职责</w:t>
      </w:r>
      <w:bookmarkEnd w:id="37"/>
    </w:p>
    <w:p w14:paraId="49DD08B9">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县委宣传部是县委主管意识形态方面工作的综合职能部门。主要职责是：</w:t>
      </w:r>
    </w:p>
    <w:p w14:paraId="0FAC52B6">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（一）负责组织、指导全县的理论研究、理论学习和理论宣传工作。</w:t>
      </w:r>
    </w:p>
    <w:p w14:paraId="2F53ED99">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（二）负责引导社会舆论，指导协调新闻、出版部门的工作。对县广播电视局、县文化体育局、县新闻出版工作实施方案方针政策指导，管理县记者协会，并在政治方向和方针政策方面实施领导。</w:t>
      </w:r>
    </w:p>
    <w:p w14:paraId="5AF59A9C">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（四）负责规划、部署全局性的思想政治工作任务，会同有关部门研究和改进群众思想教育工作。</w:t>
      </w:r>
    </w:p>
    <w:p w14:paraId="62F04E94">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（五）负责指导、协调全县精神文明建设活动的开展。</w:t>
      </w:r>
    </w:p>
    <w:p w14:paraId="63C4F6FB">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（六）配合县委组织部做好党员教育工作；负责编审党员教育教材；指导全县党员学习。</w:t>
      </w:r>
    </w:p>
    <w:p w14:paraId="2D8CB9C1">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（七）负责从宏观上指导全县各级各类学校的德育、政治理论教学和思想政治工作。</w:t>
      </w:r>
    </w:p>
    <w:p w14:paraId="5EE54BC0">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（八）负责全县对外和港澳台的宣传工作；指导协调全县对外文化交流工作。</w:t>
      </w:r>
    </w:p>
    <w:p w14:paraId="0749AA1F">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九）受县委委托，会同县委组织管理县级新闻、文化、出版等部门的领导干部，指导这些部门领导班子的建设；对宣传文化广电系统科股室干部的任免提出意见；制定培训计划并组织对全县知识分子工作和理论、新闻、出版、文艺等方面优秀人才的选拔、培养工作。</w:t>
      </w:r>
    </w:p>
    <w:p w14:paraId="77001F79">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（十）负责提出全县宣传文化事业发展的指导方针；指导宣传文化系统制定政策、法规；按照县委的工作部署，对宣传文化系统各部门之间的工作进行协调。</w:t>
      </w:r>
    </w:p>
    <w:p w14:paraId="51BB49B7">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（十一）根据州，县宣传报道要点，组织采写稿件，并向《阿坝日报》、《四川日报》等各级办刊推荐。</w:t>
      </w:r>
    </w:p>
    <w:p w14:paraId="42111A08">
      <w:pPr>
        <w:pStyle w:val="17"/>
        <w:keepNext w:val="0"/>
        <w:keepLines w:val="0"/>
        <w:pageBreakBefore w:val="0"/>
        <w:kinsoku/>
        <w:overflowPunct/>
        <w:topLinePunct w:val="0"/>
        <w:autoSpaceDE/>
        <w:autoSpaceDN/>
        <w:bidi w:val="0"/>
        <w:adjustRightInd w:val="0"/>
        <w:snapToGrid w:val="0"/>
        <w:spacing w:line="554" w:lineRule="exact"/>
        <w:ind w:left="0" w:leftChars="0" w:firstLine="0" w:firstLineChars="0"/>
        <w:jc w:val="left"/>
        <w:textAlignment w:val="auto"/>
        <w:outlineLvl w:val="1"/>
        <w:rPr>
          <w:rStyle w:val="41"/>
          <w:rFonts w:hint="eastAsia" w:ascii="仿宋" w:hAnsi="仿宋" w:eastAsia="仿宋" w:cs="仿宋"/>
          <w:sz w:val="30"/>
          <w:szCs w:val="30"/>
          <w:shd w:val="clear" w:color="auto" w:fill="FFFFFF"/>
        </w:rPr>
      </w:pPr>
      <w:bookmarkStart w:id="38" w:name="_Toc30449"/>
      <w:r>
        <w:rPr>
          <w:rStyle w:val="41"/>
          <w:rFonts w:hint="eastAsia" w:ascii="仿宋" w:hAnsi="仿宋" w:eastAsia="仿宋" w:cs="仿宋"/>
          <w:sz w:val="30"/>
          <w:szCs w:val="30"/>
          <w:shd w:val="clear" w:color="auto" w:fill="FFFFFF"/>
          <w:lang w:eastAsia="zh-CN"/>
        </w:rPr>
        <w:t>二、</w:t>
      </w:r>
      <w:r>
        <w:rPr>
          <w:rStyle w:val="41"/>
          <w:rFonts w:hint="eastAsia" w:ascii="仿宋" w:hAnsi="仿宋" w:eastAsia="仿宋" w:cs="仿宋"/>
          <w:sz w:val="30"/>
          <w:szCs w:val="30"/>
          <w:shd w:val="clear" w:color="auto" w:fill="FFFFFF"/>
        </w:rPr>
        <w:t>当年取得的主要事业成效。</w:t>
      </w:r>
      <w:bookmarkEnd w:id="38"/>
    </w:p>
    <w:p w14:paraId="39940B34">
      <w:pPr>
        <w:pStyle w:val="18"/>
        <w:keepNext w:val="0"/>
        <w:keepLines w:val="0"/>
        <w:pageBreakBefore w:val="0"/>
        <w:widowControl w:val="0"/>
        <w:kinsoku/>
        <w:wordWrap w:val="0"/>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方正仿宋_GBK" w:cs="Times New Roman"/>
          <w:sz w:val="32"/>
          <w:szCs w:val="32"/>
          <w:shd w:val="clear" w:color="auto" w:fill="FFFFFF"/>
          <w:lang w:bidi="ar"/>
        </w:rPr>
      </w:pPr>
      <w:r>
        <w:rPr>
          <w:rFonts w:hint="default" w:ascii="Times New Roman" w:hAnsi="Times New Roman" w:eastAsia="方正仿宋_GBK" w:cs="Times New Roman"/>
          <w:sz w:val="32"/>
          <w:szCs w:val="32"/>
          <w:shd w:val="clear" w:color="auto" w:fill="FFFFFF"/>
          <w:lang w:bidi="ar"/>
        </w:rPr>
        <w:t>2023年，红原县宣传思想文化工作始终坚持以习近平新时代中国特色社会主义思想为指导，以学习宣传贯彻党的二十大精神作为首要政治任务和工作主题主线，对标习近平总书记对宣传思想文化工作“七个着力”任务要求，紧扣州宣“1155”工作思路，突出庆祝建州70周年工作任务，聚焦县委紧扣“五个关键”、实施“五个工程”，争创“五个示范”、建设“五个家园”各项重点工作，扎实履行“举旗帜、聚民心、育新人、兴文化、展形象”使命任务，贯穿“一条主线”，围绕“两件大事”，抓好“六项工作”，推动全县宣传思想文化工作高质量发展，为加快建设“一州两区三家园”和团结富裕文明和谐美丽新红原提供了思想保证和精神动力。</w:t>
      </w:r>
    </w:p>
    <w:p w14:paraId="0207C535">
      <w:pPr>
        <w:pStyle w:val="18"/>
        <w:keepNext w:val="0"/>
        <w:keepLines w:val="0"/>
        <w:pageBreakBefore w:val="0"/>
        <w:widowControl w:val="0"/>
        <w:kinsoku/>
        <w:wordWrap w:val="0"/>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方正仿宋_GBK" w:cs="Times New Roman"/>
          <w:sz w:val="32"/>
          <w:szCs w:val="32"/>
          <w:shd w:val="clear" w:color="auto" w:fill="FFFFFF"/>
          <w:lang w:bidi="ar"/>
        </w:rPr>
      </w:pPr>
      <w:r>
        <w:rPr>
          <w:rFonts w:hint="default" w:ascii="Times New Roman" w:hAnsi="Times New Roman" w:eastAsia="方正仿宋_GBK" w:cs="Times New Roman"/>
          <w:sz w:val="32"/>
          <w:szCs w:val="32"/>
          <w:shd w:val="clear" w:color="auto" w:fill="FFFFFF"/>
          <w:lang w:bidi="ar"/>
        </w:rPr>
        <w:t>过去一年，我们高举伟大旗帜，以新思想铸魂立心，实施思想理论“铸魂”工程。一是抓实理论学习。严格落实主题教育“宣传组”主体责任，认真贯彻落实中央、省委、州委部署要求，紧扣群众所想、百姓所惑、基层所盼开展生动宣传、广泛普及，推出系列深入报道和专题宣讲，全力推动主题教育升温提速。制发《2023年宣传思想工作要点》，把学习宣传贯彻党的二十大精神作为贯穿今年宣传思想文化工作的鲜明主线，推动党的二十大精神在红原落地落实。紧紧抓住“关键少数”，加强各级党委（党组）理论学习中心组学习，深化拓展“联学+列席旁听”工作，提高理论学习中心组学习质量。今年以来，召开县委理论学习中心组学习会议11次，各级党委（党组）召开理论学习中心组学习会议400余次，覆盖党员干部6400余人。管好用好“学习强国”学习平台、“微红原”公众号、“大美红原”APP等阵地，有效推动理论传播通俗化大众化。二是抓常理论宣讲。不断完善“1+10+9+5+N”“红色草原”宣讲矩阵，深入远牧点、边界地、村社、学校、企业等开展宣讲230余场次，覆盖群众僧尼5.9万人，“红色草原”理论宣讲团荣获州级一地一品理论宣讲品牌，在阿坝州首届基层理论宣讲大赛中，红原选手荣获“一等奖”。通过“线上+线下”方式，组织村（社区）党支部、离退休党支部、“两新”组织党支部等188个基层党组织，开展“三会一课”537次，主题党日517次，利用红色资源开展党性教育25次，推送藏汉双语学习信息100余次，推动党的创新理论“飞入寻常百姓家”。三是抓好理论研究。县级领导和有关部门负责同志深入开展基层调研，梳理县级重点调研课题35篇，2篇入选州社科研重点课题，党的创新理论研究成为新常态。推出“3507”指尖微党课，推送《弘扬伟大建党精神》《幸福是奋斗出来的》等微党课视频2期，创新推出系列有价值、有深度、有分量的理论研究成果。</w:t>
      </w:r>
    </w:p>
    <w:p w14:paraId="423B9314">
      <w:pPr>
        <w:pStyle w:val="18"/>
        <w:keepNext w:val="0"/>
        <w:keepLines w:val="0"/>
        <w:pageBreakBefore w:val="0"/>
        <w:widowControl w:val="0"/>
        <w:kinsoku/>
        <w:wordWrap w:val="0"/>
        <w:overflowPunct/>
        <w:topLinePunct w:val="0"/>
        <w:autoSpaceDE/>
        <w:autoSpaceDN/>
        <w:bidi w:val="0"/>
        <w:spacing w:before="0" w:beforeAutospacing="0" w:after="0" w:afterAutospacing="0" w:line="576" w:lineRule="exact"/>
        <w:ind w:firstLine="640" w:firstLineChars="200"/>
        <w:textAlignment w:val="auto"/>
        <w:rPr>
          <w:rFonts w:hint="default" w:ascii="Times New Roman" w:hAnsi="Times New Roman" w:eastAsia="方正仿宋_GBK" w:cs="Times New Roman"/>
          <w:sz w:val="32"/>
          <w:szCs w:val="32"/>
          <w:shd w:val="clear" w:color="auto" w:fill="FFFFFF"/>
          <w:lang w:bidi="ar"/>
        </w:rPr>
      </w:pPr>
      <w:r>
        <w:rPr>
          <w:rFonts w:hint="default" w:ascii="Times New Roman" w:hAnsi="Times New Roman" w:eastAsia="方正仿宋_GBK" w:cs="Times New Roman"/>
          <w:sz w:val="32"/>
          <w:szCs w:val="32"/>
          <w:shd w:val="clear" w:color="auto" w:fill="FFFFFF"/>
          <w:lang w:bidi="ar"/>
        </w:rPr>
        <w:t>过去一年，我们加强正面引导，以最强音放歌立言，实施主流舆论“强音”工程。一是突出主题策划。深入挖掘红原内涵，提炼红原精神，组织开展“壮丽七十年  奋进新阿坝”重大主题报道，深入开展“双语解读党的二十大”“生态家园·大美红原”网络主题宣传活动，配合做好“新时代新征程新伟业”“壮丽70年 媒体看阿坝”“网络名人看阿坝”等主题采访活动，充分展现建州70周年辉煌成就，有效树立红原形象、传播红原声音、表达红原观点。二是强化内外宣传。统筹网上网下、内宣外宣，积极宣传我县拼经济、搞建设、抓发展取得的巨大成就，截止目前，在中央主流媒体刊发稿件225条，省级主流媒体刊发稿件256条，其中，《四川红原：增建棚圈补饲 提高牧民收入》《生态保护良好 珍惜鸟类频频现身》视频分别在在中央2台和13台推出，《红原县 念好“牛”字经，铆足“牛劲”向前“犇”》在四川日报整版推出，《红原：畜牧业转型升级 全面推进乡村振兴》在四川新闻联播推出。召开“壮丽辉煌七十年 感恩奋进新阿坝”发展成就主题新闻发布会。协助拍摄《天宝》《地名天府》等主题拍摄32场次，较好发挥了宣传思想引领作用。三是营造良好氛围。围绕庆祝建州70周年和县委、县政府中心工作，设计制作户外广告130余幅，在全县LED屏刊播庆祝建州70周年公益广告和宣传片，开展国旗和领导画像全覆盖检查2轮，扎实推进中华民族视觉形象建设。持续深化“强国复兴有我”群众性主题宣传教育活动，广泛开展“感党恩听党话跟党走”宣传教育，努力营造浓厚社会氛围。</w:t>
      </w:r>
    </w:p>
    <w:p w14:paraId="494DCD74">
      <w:pPr>
        <w:pStyle w:val="18"/>
        <w:keepNext w:val="0"/>
        <w:keepLines w:val="0"/>
        <w:pageBreakBefore w:val="0"/>
        <w:widowControl w:val="0"/>
        <w:kinsoku/>
        <w:wordWrap w:val="0"/>
        <w:overflowPunct/>
        <w:topLinePunct w:val="0"/>
        <w:autoSpaceDE/>
        <w:autoSpaceDN/>
        <w:bidi w:val="0"/>
        <w:spacing w:before="0" w:beforeAutospacing="0" w:after="0" w:afterAutospacing="0" w:line="576" w:lineRule="exact"/>
        <w:ind w:firstLine="640" w:firstLineChars="200"/>
        <w:textAlignment w:val="auto"/>
        <w:rPr>
          <w:rFonts w:hint="default" w:ascii="Times New Roman" w:hAnsi="Times New Roman" w:eastAsia="方正仿宋_GBK" w:cs="Times New Roman"/>
          <w:sz w:val="32"/>
          <w:szCs w:val="32"/>
          <w:shd w:val="clear" w:color="auto" w:fill="FFFFFF"/>
          <w:lang w:bidi="ar"/>
        </w:rPr>
      </w:pPr>
      <w:r>
        <w:rPr>
          <w:rFonts w:hint="default" w:ascii="Times New Roman" w:hAnsi="Times New Roman" w:eastAsia="方正仿宋_GBK" w:cs="Times New Roman"/>
          <w:sz w:val="32"/>
          <w:szCs w:val="32"/>
          <w:shd w:val="clear" w:color="auto" w:fill="FFFFFF"/>
          <w:lang w:bidi="ar"/>
        </w:rPr>
        <w:t>过去一年，我们培育文明新风，以正能量立德树人，实施全域文明“蝶变”工程。一是深化文明培育。积极筹备第四届“敬信勤新”红原新民风先进人物评选表扬活动。广泛开展“红原好人”选育活动，1人获评全省邮政唯一退役军人就业创业之星。持续深化新时代乡风文明建设“十大行动”，推进移风易俗，形成文明乡风、淳朴民风。二是抓实文明实践。有序推进教育系统“教师政治体检”活动。纵深推进“学习雷锋精神 展现红原风采--全域全员全天”生态环境综合治理、“党员干部立志向.万户牧民立家规”活动。精彩圆满承办四川省第三届乡村文化振兴魅力竞演大赛活动，以实践活动引领文明风尚。三是狠抓文明创建。统筹做好第六届省级文明城市创建期终“大考”工作，全力做好县医院创建全省文明单位、刷经寺镇三家寨村创建全国文明村的迎检工作，广泛开展“最美家庭”“新时代好少年”评选工作，持续深化文明细胞创建。</w:t>
      </w:r>
    </w:p>
    <w:p w14:paraId="3DB6DBD0">
      <w:pPr>
        <w:pStyle w:val="18"/>
        <w:keepNext w:val="0"/>
        <w:keepLines w:val="0"/>
        <w:pageBreakBefore w:val="0"/>
        <w:widowControl w:val="0"/>
        <w:kinsoku/>
        <w:wordWrap w:val="0"/>
        <w:overflowPunct/>
        <w:topLinePunct w:val="0"/>
        <w:autoSpaceDE/>
        <w:autoSpaceDN/>
        <w:bidi w:val="0"/>
        <w:spacing w:before="0" w:beforeAutospacing="0" w:after="0" w:afterAutospacing="0" w:line="576" w:lineRule="exact"/>
        <w:ind w:firstLine="640" w:firstLineChars="200"/>
        <w:textAlignment w:val="auto"/>
        <w:rPr>
          <w:rFonts w:hint="default" w:ascii="Times New Roman" w:hAnsi="Times New Roman" w:eastAsia="方正仿宋_GBK" w:cs="Times New Roman"/>
          <w:sz w:val="32"/>
          <w:szCs w:val="32"/>
          <w:shd w:val="clear" w:color="auto" w:fill="FFFFFF"/>
          <w:lang w:bidi="ar"/>
        </w:rPr>
      </w:pPr>
      <w:r>
        <w:rPr>
          <w:rFonts w:hint="default" w:ascii="Times New Roman" w:hAnsi="Times New Roman" w:eastAsia="方正仿宋_GBK" w:cs="Times New Roman"/>
          <w:sz w:val="32"/>
          <w:szCs w:val="32"/>
          <w:shd w:val="clear" w:color="auto" w:fill="FFFFFF"/>
          <w:lang w:bidi="ar"/>
        </w:rPr>
        <w:t>过去一年，我们厚植文化基础，以软实力惠民立本，实施文化提升“强根”工程。一是推进公共服务。持续开展乡村文化振兴魅力竞演和“百千万”工程样板村镇建设，推动农村电影放映优化升级。积极开展“书香红原·全民阅读”活动，补充更新农家书屋、寺庙书屋出版物，深化实施文化馆、图书馆、体育馆“三馆”提升行动，推进广电基层公共服务运维体系建设，进一步提升公共文化服务水平。二是抓实文化活动。高质量组建红原巡游方队，完成建州70周年文艺节目表演。组织开展2023“放歌红原”春节联欢晚会、楠溪江雅克音乐季文化走亲活动、首届雅克杯非遗群舞大赛和2023年“文化和自然遗产日”非遗宣传展示等活动。积极开展申报第七批县级非物质文化遗产代表性项目名录及第七批县级非物质文化遗产项目代表性传承人工作。三是推进文旅融合。加快推进日干乔红军过草地纪念牌提升项目落地，有序推进长征国家文化公园红原段红色文化旅游节点打造项目和“红军村”建设。圆满完成第六届雅克音乐季系列重大文旅活动，策划推出全域旅游雅克推介官、自行车挑战赛等17项重大文化旅游活动，深度践行“四季有节目、季季有看点、月月有活动”的文旅融合发展新路径。</w:t>
      </w:r>
    </w:p>
    <w:p w14:paraId="41FDB494">
      <w:pPr>
        <w:pStyle w:val="18"/>
        <w:keepNext w:val="0"/>
        <w:keepLines w:val="0"/>
        <w:pageBreakBefore w:val="0"/>
        <w:widowControl w:val="0"/>
        <w:kinsoku/>
        <w:wordWrap w:val="0"/>
        <w:overflowPunct/>
        <w:topLinePunct w:val="0"/>
        <w:autoSpaceDE/>
        <w:autoSpaceDN/>
        <w:bidi w:val="0"/>
        <w:spacing w:before="0" w:beforeAutospacing="0" w:after="0" w:afterAutospacing="0" w:line="576" w:lineRule="exact"/>
        <w:ind w:firstLine="640" w:firstLineChars="200"/>
        <w:textAlignment w:val="auto"/>
        <w:rPr>
          <w:rFonts w:hint="default" w:ascii="Times New Roman" w:hAnsi="Times New Roman" w:eastAsia="方正仿宋_GBK" w:cs="Times New Roman"/>
          <w:sz w:val="32"/>
          <w:szCs w:val="32"/>
          <w:shd w:val="clear" w:color="auto" w:fill="FFFFFF"/>
          <w:lang w:bidi="ar"/>
        </w:rPr>
      </w:pPr>
      <w:r>
        <w:rPr>
          <w:rFonts w:hint="default" w:ascii="Times New Roman" w:hAnsi="Times New Roman" w:eastAsia="方正仿宋_GBK" w:cs="Times New Roman"/>
          <w:sz w:val="32"/>
          <w:szCs w:val="32"/>
          <w:shd w:val="clear" w:color="auto" w:fill="FFFFFF"/>
          <w:lang w:bidi="ar"/>
        </w:rPr>
        <w:t>回望2023年，红原宣传思想文化工作在正学风、铸党魂中高举旗帜，在兴文化、聚民心中展示形象，在讲文明、育新人中涵养新风，在抓改革、优服务中普惠群众，在强主责、化风险中激浊扬清，至真至情讲述“红原故事”，有声有色传递“红原声音”，出新出彩展示“红原形象”。</w:t>
      </w:r>
    </w:p>
    <w:p w14:paraId="1F1BE79F">
      <w:pPr>
        <w:pStyle w:val="17"/>
        <w:keepNext w:val="0"/>
        <w:keepLines w:val="0"/>
        <w:pageBreakBefore w:val="0"/>
        <w:widowControl w:val="0"/>
        <w:kinsoku/>
        <w:overflowPunct/>
        <w:topLinePunct w:val="0"/>
        <w:autoSpaceDE/>
        <w:autoSpaceDN/>
        <w:bidi w:val="0"/>
        <w:adjustRightInd w:val="0"/>
        <w:snapToGrid w:val="0"/>
        <w:spacing w:line="576" w:lineRule="exact"/>
        <w:ind w:left="0" w:leftChars="0" w:firstLine="0" w:firstLineChars="0"/>
        <w:jc w:val="left"/>
        <w:textAlignment w:val="auto"/>
        <w:outlineLvl w:val="1"/>
        <w:rPr>
          <w:rStyle w:val="41"/>
          <w:rFonts w:hint="eastAsia" w:ascii="仿宋" w:hAnsi="仿宋" w:eastAsia="仿宋" w:cs="仿宋"/>
          <w:sz w:val="30"/>
          <w:szCs w:val="30"/>
          <w:shd w:val="clear" w:color="auto" w:fill="FFFFFF"/>
          <w:lang w:eastAsia="zh-CN"/>
        </w:rPr>
      </w:pPr>
      <w:bookmarkStart w:id="39" w:name="_Toc29484"/>
      <w:r>
        <w:rPr>
          <w:rStyle w:val="41"/>
          <w:rFonts w:hint="eastAsia" w:ascii="仿宋" w:hAnsi="仿宋" w:eastAsia="仿宋" w:cs="仿宋"/>
          <w:sz w:val="30"/>
          <w:szCs w:val="30"/>
          <w:shd w:val="clear" w:color="auto" w:fill="FFFFFF"/>
          <w:lang w:eastAsia="zh-CN"/>
        </w:rPr>
        <w:t>三、机构设置</w:t>
      </w:r>
      <w:bookmarkEnd w:id="39"/>
    </w:p>
    <w:p w14:paraId="39281492">
      <w:pPr>
        <w:pStyle w:val="18"/>
        <w:keepNext w:val="0"/>
        <w:keepLines w:val="0"/>
        <w:pageBreakBefore w:val="0"/>
        <w:widowControl w:val="0"/>
        <w:kinsoku/>
        <w:wordWrap w:val="0"/>
        <w:overflowPunct/>
        <w:topLinePunct w:val="0"/>
        <w:autoSpaceDE/>
        <w:autoSpaceDN/>
        <w:bidi w:val="0"/>
        <w:spacing w:before="0" w:beforeAutospacing="0" w:after="0" w:afterAutospacing="0" w:line="576" w:lineRule="exact"/>
        <w:ind w:firstLine="640" w:firstLineChars="200"/>
        <w:textAlignment w:val="auto"/>
        <w:rPr>
          <w:rFonts w:hint="default" w:ascii="Times New Roman" w:hAnsi="Times New Roman" w:eastAsia="方正仿宋_GBK" w:cs="Times New Roman"/>
          <w:sz w:val="32"/>
          <w:szCs w:val="32"/>
          <w:shd w:val="clear" w:color="auto" w:fill="FFFFFF"/>
          <w:lang w:val="en-US" w:eastAsia="zh-CN" w:bidi="ar"/>
        </w:rPr>
      </w:pPr>
      <w:r>
        <w:rPr>
          <w:rFonts w:hint="default" w:ascii="Times New Roman" w:hAnsi="Times New Roman" w:eastAsia="方正仿宋_GBK" w:cs="Times New Roman"/>
          <w:sz w:val="32"/>
          <w:szCs w:val="32"/>
          <w:shd w:val="clear" w:color="auto" w:fill="FFFFFF"/>
          <w:lang w:val="en-US" w:eastAsia="zh-CN" w:bidi="ar"/>
        </w:rPr>
        <w:t>本单位本年度纳入本套决算编制范围的独立编制机构数共2个，比上年增加0个；独立核算机构数共2个，比上年增加0个。</w:t>
      </w:r>
    </w:p>
    <w:p w14:paraId="1A7A1332">
      <w:pPr>
        <w:pStyle w:val="8"/>
        <w:rPr>
          <w:rFonts w:hint="eastAsia" w:ascii="方正仿宋_GBK" w:hAnsi="方正仿宋_GBK" w:eastAsia="方正仿宋_GBK" w:cs="方正仿宋_GBK"/>
          <w:sz w:val="32"/>
          <w:szCs w:val="32"/>
          <w:shd w:val="clear" w:color="auto" w:fill="FFFFFF"/>
          <w:lang w:val="en-US" w:eastAsia="zh-CN" w:bidi="ar"/>
        </w:rPr>
      </w:pPr>
    </w:p>
    <w:p w14:paraId="028E4CE8">
      <w:pPr>
        <w:pStyle w:val="5"/>
        <w:jc w:val="center"/>
        <w:rPr>
          <w:rStyle w:val="43"/>
          <w:rFonts w:hint="eastAsia" w:ascii="黑体" w:eastAsia="黑体"/>
          <w:b w:val="0"/>
          <w:bCs w:val="0"/>
        </w:rPr>
      </w:pPr>
      <w:bookmarkStart w:id="40" w:name="_Toc22985"/>
      <w:r>
        <w:rPr>
          <w:rStyle w:val="43"/>
          <w:rFonts w:hint="eastAsia" w:ascii="黑体" w:eastAsia="黑体"/>
          <w:b w:val="0"/>
          <w:bCs w:val="0"/>
        </w:rPr>
        <w:t xml:space="preserve">第二部分 </w:t>
      </w:r>
      <w:r>
        <w:rPr>
          <w:rStyle w:val="43"/>
          <w:rFonts w:hint="eastAsia" w:ascii="黑体" w:eastAsia="黑体"/>
          <w:b w:val="0"/>
          <w:bCs w:val="0"/>
          <w:lang w:val="en-US" w:eastAsia="zh-CN"/>
        </w:rPr>
        <w:t>2023</w:t>
      </w:r>
      <w:r>
        <w:rPr>
          <w:rStyle w:val="43"/>
          <w:rFonts w:hint="eastAsia" w:ascii="黑体" w:eastAsia="黑体"/>
          <w:b w:val="0"/>
          <w:bCs w:val="0"/>
        </w:rPr>
        <w:t>年度部门决算情况说明</w:t>
      </w:r>
      <w:bookmarkEnd w:id="40"/>
    </w:p>
    <w:p w14:paraId="48787BDD">
      <w:pPr>
        <w:spacing w:line="600" w:lineRule="exact"/>
        <w:ind w:firstLine="640" w:firstLineChars="200"/>
        <w:outlineLvl w:val="1"/>
        <w:rPr>
          <w:rStyle w:val="33"/>
          <w:rFonts w:hint="eastAsia" w:ascii="黑体" w:hAnsi="黑体" w:eastAsia="黑体"/>
          <w:b w:val="0"/>
        </w:rPr>
      </w:pPr>
      <w:bookmarkStart w:id="41" w:name="_Toc3387"/>
      <w:r>
        <w:rPr>
          <w:rStyle w:val="33"/>
          <w:rFonts w:hint="eastAsia" w:ascii="黑体" w:hAnsi="黑体" w:eastAsia="黑体"/>
          <w:b w:val="0"/>
          <w:lang w:eastAsia="zh-CN"/>
        </w:rPr>
        <w:t>一、</w:t>
      </w:r>
      <w:r>
        <w:rPr>
          <w:rStyle w:val="33"/>
          <w:rFonts w:hint="eastAsia" w:ascii="黑体" w:hAnsi="黑体" w:eastAsia="黑体"/>
          <w:b w:val="0"/>
        </w:rPr>
        <w:t>收入支出决算总体情况说明</w:t>
      </w:r>
      <w:bookmarkEnd w:id="41"/>
    </w:p>
    <w:p w14:paraId="34963E25">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eastAsia" w:ascii="Times New Roman" w:hAnsi="Times New Roman" w:eastAsia="方正仿宋_GBK" w:cs="Times New Roman"/>
          <w:sz w:val="32"/>
          <w:szCs w:val="32"/>
          <w:shd w:val="clear" w:color="auto" w:fill="FFFFFF"/>
          <w:lang w:val="en-US" w:eastAsia="zh-CN" w:bidi="ar"/>
        </w:rPr>
      </w:pPr>
      <w:r>
        <w:rPr>
          <w:rFonts w:hint="eastAsia" w:ascii="Times New Roman" w:hAnsi="Times New Roman" w:eastAsia="方正仿宋_GBK" w:cs="Times New Roman"/>
          <w:sz w:val="32"/>
          <w:szCs w:val="32"/>
          <w:shd w:val="clear" w:color="auto" w:fill="FFFFFF"/>
          <w:lang w:val="en-US" w:eastAsia="zh-CN" w:bidi="ar"/>
        </w:rPr>
        <w:t>本单位本年度总收入为982.15万元。其中：一般公共预算财政拨款收入为982.15万元，占比100%；本年度总支出为982.15万元。其中：一般公共服务支出为765.08万元，占比77.89%；文化旅游体育与传媒支出为89.73万元，占比9.14%；社会保障和就业支出为58.52万元，占比5.96%；卫生健康支出为39.79万元，占比4.05%；住房保障支出为29.04万元，占比2.96%。</w:t>
      </w:r>
    </w:p>
    <w:p w14:paraId="6FA20D18">
      <w:pPr>
        <w:pStyle w:val="8"/>
        <w:ind w:left="0" w:leftChars="0" w:firstLine="0" w:firstLineChars="0"/>
        <w:rPr>
          <w:rFonts w:hint="eastAsia"/>
          <w:lang w:val="en-US" w:eastAsia="zh-CN"/>
        </w:rPr>
      </w:pPr>
      <w:r>
        <w:drawing>
          <wp:inline distT="0" distB="0" distL="114300" distR="114300">
            <wp:extent cx="5577840" cy="2224405"/>
            <wp:effectExtent l="4445" t="4445" r="18415" b="1905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27FA71A">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Times New Roman" w:hAnsi="Times New Roman" w:eastAsia="方正仿宋_GBK" w:cs="Times New Roman"/>
          <w:kern w:val="0"/>
          <w:sz w:val="32"/>
          <w:szCs w:val="32"/>
          <w:shd w:val="clear" w:color="auto" w:fill="FFFFFF"/>
          <w:lang w:val="en-US" w:eastAsia="zh-CN" w:bidi="ar"/>
        </w:rPr>
        <w:t>图</w:t>
      </w:r>
      <w:r>
        <w:rPr>
          <w:rFonts w:hint="default" w:ascii="Times New Roman" w:hAnsi="Times New Roman" w:eastAsia="方正仿宋_GBK" w:cs="Times New Roman"/>
          <w:kern w:val="0"/>
          <w:sz w:val="32"/>
          <w:szCs w:val="32"/>
          <w:shd w:val="clear" w:color="auto" w:fill="FFFFFF"/>
          <w:lang w:val="en-US" w:eastAsia="zh-CN" w:bidi="ar"/>
        </w:rPr>
        <w:t>1</w:t>
      </w:r>
      <w:r>
        <w:rPr>
          <w:rFonts w:hint="eastAsia" w:ascii="Times New Roman" w:hAnsi="Times New Roman" w:eastAsia="方正仿宋_GBK" w:cs="Times New Roman"/>
          <w:kern w:val="0"/>
          <w:sz w:val="32"/>
          <w:szCs w:val="32"/>
          <w:shd w:val="clear" w:color="auto" w:fill="FFFFFF"/>
          <w:lang w:val="en-US" w:eastAsia="zh-CN" w:bidi="ar"/>
        </w:rPr>
        <w:t>：收</w:t>
      </w:r>
      <w:r>
        <w:rPr>
          <w:rFonts w:hint="eastAsia" w:ascii="仿宋" w:hAnsi="仿宋" w:eastAsia="仿宋"/>
          <w:sz w:val="32"/>
          <w:szCs w:val="32"/>
        </w:rPr>
        <w:t>、支决算总计变动情况图）（柱状图）</w:t>
      </w:r>
    </w:p>
    <w:p w14:paraId="18B86491">
      <w:pPr>
        <w:pStyle w:val="8"/>
        <w:jc w:val="left"/>
        <w:rPr>
          <w:rFonts w:hint="eastAsia"/>
          <w:lang w:val="en-US" w:eastAsia="zh-CN"/>
        </w:rPr>
      </w:pPr>
    </w:p>
    <w:p w14:paraId="73C30E3E">
      <w:pPr>
        <w:rPr>
          <w:rFonts w:hint="eastAsia"/>
          <w:lang w:val="en-US" w:eastAsia="zh-CN"/>
        </w:rPr>
      </w:pPr>
    </w:p>
    <w:p w14:paraId="354EB21A">
      <w:pPr>
        <w:spacing w:line="600" w:lineRule="exact"/>
        <w:ind w:firstLine="640" w:firstLineChars="200"/>
        <w:outlineLvl w:val="1"/>
        <w:rPr>
          <w:rStyle w:val="33"/>
          <w:rFonts w:hint="eastAsia" w:ascii="黑体" w:hAnsi="黑体" w:eastAsia="黑体"/>
          <w:b w:val="0"/>
        </w:rPr>
      </w:pPr>
      <w:bookmarkStart w:id="42" w:name="_Toc4468"/>
      <w:r>
        <w:rPr>
          <w:rStyle w:val="33"/>
          <w:rFonts w:hint="eastAsia" w:ascii="黑体" w:hAnsi="黑体" w:eastAsia="黑体"/>
          <w:b w:val="0"/>
          <w:lang w:eastAsia="zh-CN"/>
        </w:rPr>
        <w:t>二、</w:t>
      </w:r>
      <w:r>
        <w:rPr>
          <w:rStyle w:val="33"/>
          <w:rFonts w:hint="eastAsia" w:ascii="黑体" w:hAnsi="黑体" w:eastAsia="黑体"/>
          <w:b w:val="0"/>
        </w:rPr>
        <w:t>收入决算情况说明</w:t>
      </w:r>
      <w:bookmarkEnd w:id="42"/>
    </w:p>
    <w:p w14:paraId="1724750F">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default" w:ascii="Times New Roman" w:hAnsi="Times New Roman" w:eastAsia="方正仿宋_GBK" w:cs="Times New Roman"/>
          <w:sz w:val="32"/>
          <w:szCs w:val="32"/>
          <w:shd w:val="clear" w:color="auto" w:fill="FFFFFF"/>
          <w:lang w:val="en-US" w:eastAsia="zh-CN" w:bidi="ar"/>
        </w:rPr>
      </w:pPr>
      <w:bookmarkStart w:id="43" w:name="_Toc12589"/>
      <w:bookmarkStart w:id="44" w:name="_Toc27591"/>
      <w:r>
        <w:rPr>
          <w:rFonts w:hint="default" w:ascii="Times New Roman" w:hAnsi="Times New Roman" w:eastAsia="方正仿宋_GBK" w:cs="Times New Roman"/>
          <w:sz w:val="32"/>
          <w:szCs w:val="32"/>
          <w:shd w:val="clear" w:color="auto" w:fill="FFFFFF"/>
          <w:lang w:val="en-US" w:eastAsia="zh-CN" w:bidi="ar"/>
        </w:rPr>
        <w:t>本年收入合计982.15万元，其中：</w:t>
      </w:r>
      <w:bookmarkEnd w:id="43"/>
      <w:r>
        <w:rPr>
          <w:rFonts w:hint="default" w:ascii="Times New Roman" w:hAnsi="Times New Roman" w:eastAsia="方正仿宋_GBK" w:cs="Times New Roman"/>
          <w:sz w:val="32"/>
          <w:szCs w:val="32"/>
          <w:shd w:val="clear" w:color="auto" w:fill="FFFFFF"/>
          <w:lang w:val="en-US" w:eastAsia="zh-CN" w:bidi="ar"/>
        </w:rPr>
        <w:t>其中：一般公共预算财政拨款收入为982.15万元，占比100%</w:t>
      </w:r>
      <w:bookmarkEnd w:id="44"/>
      <w:r>
        <w:rPr>
          <w:rFonts w:hint="eastAsia" w:ascii="Times New Roman" w:hAnsi="Times New Roman" w:eastAsia="方正仿宋_GBK" w:cs="Times New Roman"/>
          <w:sz w:val="32"/>
          <w:szCs w:val="32"/>
          <w:shd w:val="clear" w:color="auto" w:fill="FFFFFF"/>
          <w:lang w:val="en-US" w:eastAsia="zh-CN" w:bidi="ar"/>
        </w:rPr>
        <w:t>。</w:t>
      </w:r>
    </w:p>
    <w:p w14:paraId="0195DEF1">
      <w:pPr>
        <w:pStyle w:val="2"/>
      </w:pPr>
      <w:r>
        <w:drawing>
          <wp:inline distT="0" distB="0" distL="114300" distR="114300">
            <wp:extent cx="4826000" cy="2024380"/>
            <wp:effectExtent l="4445" t="4445" r="8255" b="952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11884EF">
      <w:pPr>
        <w:spacing w:line="600" w:lineRule="exact"/>
        <w:ind w:firstLine="640" w:firstLineChars="200"/>
        <w:jc w:val="center"/>
        <w:rPr>
          <w:rFonts w:ascii="仿宋" w:hAnsi="仿宋" w:eastAsia="仿宋"/>
          <w:sz w:val="32"/>
          <w:szCs w:val="32"/>
        </w:rPr>
      </w:pPr>
      <w:r>
        <w:rPr>
          <w:rFonts w:hint="eastAsia" w:ascii="Times New Roman" w:hAnsi="Times New Roman" w:eastAsia="方正仿宋_GBK" w:cs="Times New Roman"/>
          <w:kern w:val="0"/>
          <w:sz w:val="32"/>
          <w:szCs w:val="32"/>
          <w:shd w:val="clear" w:color="auto" w:fill="FFFFFF"/>
          <w:lang w:val="en-US" w:eastAsia="zh-CN" w:bidi="ar"/>
        </w:rPr>
        <w:t>（图2：</w:t>
      </w:r>
      <w:r>
        <w:rPr>
          <w:rFonts w:hint="eastAsia" w:ascii="仿宋" w:hAnsi="仿宋" w:eastAsia="仿宋"/>
          <w:sz w:val="32"/>
          <w:szCs w:val="32"/>
        </w:rPr>
        <w:t>收入决算结构图）（饼状图）</w:t>
      </w:r>
    </w:p>
    <w:p w14:paraId="736EF440">
      <w:pPr>
        <w:pStyle w:val="4"/>
      </w:pPr>
    </w:p>
    <w:p w14:paraId="4C84F622">
      <w:pPr>
        <w:spacing w:line="600" w:lineRule="exact"/>
        <w:ind w:firstLine="640" w:firstLineChars="200"/>
        <w:outlineLvl w:val="1"/>
        <w:rPr>
          <w:rStyle w:val="33"/>
          <w:rFonts w:hint="eastAsia" w:ascii="黑体" w:hAnsi="黑体" w:eastAsia="黑体"/>
          <w:b w:val="0"/>
        </w:rPr>
      </w:pPr>
      <w:bookmarkStart w:id="45" w:name="_Toc8135"/>
      <w:r>
        <w:rPr>
          <w:rStyle w:val="33"/>
          <w:rFonts w:hint="eastAsia" w:ascii="黑体" w:hAnsi="黑体" w:eastAsia="黑体"/>
          <w:b w:val="0"/>
          <w:lang w:eastAsia="zh-CN"/>
        </w:rPr>
        <w:t>三、</w:t>
      </w:r>
      <w:r>
        <w:rPr>
          <w:rStyle w:val="33"/>
          <w:rFonts w:hint="eastAsia" w:ascii="黑体" w:hAnsi="黑体" w:eastAsia="黑体"/>
          <w:b w:val="0"/>
        </w:rPr>
        <w:t>支出决算情况说明</w:t>
      </w:r>
      <w:bookmarkEnd w:id="45"/>
    </w:p>
    <w:p w14:paraId="78B147A9">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default" w:ascii="Times New Roman" w:hAnsi="Times New Roman" w:eastAsia="方正仿宋_GBK" w:cs="Times New Roman"/>
          <w:sz w:val="32"/>
          <w:szCs w:val="32"/>
          <w:shd w:val="clear" w:color="auto" w:fill="FFFFFF"/>
          <w:lang w:val="en-US" w:eastAsia="zh-CN" w:bidi="ar"/>
        </w:rPr>
      </w:pPr>
      <w:bookmarkStart w:id="46" w:name="_Toc4879"/>
      <w:r>
        <w:rPr>
          <w:rFonts w:hint="default" w:ascii="Times New Roman" w:hAnsi="Times New Roman" w:eastAsia="方正仿宋_GBK" w:cs="Times New Roman"/>
          <w:sz w:val="32"/>
          <w:szCs w:val="32"/>
          <w:shd w:val="clear" w:color="auto" w:fill="FFFFFF"/>
          <w:lang w:val="en-US" w:eastAsia="zh-CN" w:bidi="ar"/>
        </w:rPr>
        <w:drawing>
          <wp:anchor distT="0" distB="0" distL="114300" distR="114300" simplePos="0" relativeHeight="251659264" behindDoc="0" locked="0" layoutInCell="1" allowOverlap="1">
            <wp:simplePos x="0" y="0"/>
            <wp:positionH relativeFrom="column">
              <wp:posOffset>208280</wp:posOffset>
            </wp:positionH>
            <wp:positionV relativeFrom="paragraph">
              <wp:posOffset>2113915</wp:posOffset>
            </wp:positionV>
            <wp:extent cx="5292725" cy="1675765"/>
            <wp:effectExtent l="4445" t="4445" r="17780" b="15240"/>
            <wp:wrapTopAndBottom/>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default" w:ascii="Times New Roman" w:hAnsi="Times New Roman" w:eastAsia="方正仿宋_GBK" w:cs="Times New Roman"/>
          <w:sz w:val="32"/>
          <w:szCs w:val="32"/>
          <w:shd w:val="clear" w:color="auto" w:fill="FFFFFF"/>
          <w:lang w:val="en-US" w:eastAsia="zh-CN" w:bidi="ar"/>
        </w:rPr>
        <w:t>本年度总支出为982.15万元。其中：一般公共服务支出为765.08万元，占比77.89%；文化旅游体育与传媒支出为89.73万元，占比9.14%；社会保障和就业支出为58.52万元，占比5.96%；卫生健康支出为39.79万元，占比4.05%；住房保障支出为29.04万元，占比2.96%。</w:t>
      </w:r>
      <w:bookmarkEnd w:id="46"/>
    </w:p>
    <w:p w14:paraId="0B6148A3">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jc w:val="center"/>
        <w:textAlignment w:val="auto"/>
        <w:rPr>
          <w:rFonts w:hint="default" w:ascii="Times New Roman" w:hAnsi="Times New Roman" w:eastAsia="方正仿宋_GBK" w:cs="Times New Roman"/>
          <w:sz w:val="32"/>
          <w:szCs w:val="32"/>
          <w:shd w:val="clear" w:color="auto" w:fill="FFFFFF"/>
          <w:lang w:val="en-US" w:eastAsia="zh-CN" w:bidi="ar"/>
        </w:rPr>
      </w:pPr>
      <w:r>
        <w:rPr>
          <w:rFonts w:hint="eastAsia" w:ascii="Times New Roman" w:hAnsi="Times New Roman" w:eastAsia="方正仿宋_GBK" w:cs="Times New Roman"/>
          <w:sz w:val="32"/>
          <w:szCs w:val="32"/>
          <w:shd w:val="clear" w:color="auto" w:fill="FFFFFF"/>
          <w:lang w:val="en-US" w:eastAsia="zh-CN" w:bidi="ar"/>
        </w:rPr>
        <w:t>（图3：支出决算结构图）（饼状图）</w:t>
      </w:r>
    </w:p>
    <w:p w14:paraId="6A3EEFCF">
      <w:pPr>
        <w:spacing w:line="600" w:lineRule="exact"/>
        <w:outlineLvl w:val="1"/>
        <w:rPr>
          <w:rStyle w:val="33"/>
          <w:rFonts w:hint="eastAsia" w:ascii="黑体" w:hAnsi="黑体" w:eastAsia="黑体"/>
          <w:b w:val="0"/>
        </w:rPr>
      </w:pPr>
      <w:bookmarkStart w:id="47" w:name="_Toc17104"/>
      <w:r>
        <w:rPr>
          <w:rStyle w:val="33"/>
          <w:rFonts w:hint="eastAsia" w:ascii="黑体" w:hAnsi="黑体" w:eastAsia="黑体"/>
          <w:b w:val="0"/>
          <w:lang w:eastAsia="zh-CN"/>
        </w:rPr>
        <w:t>四、</w:t>
      </w:r>
      <w:r>
        <w:rPr>
          <w:rStyle w:val="33"/>
          <w:rFonts w:hint="eastAsia" w:ascii="黑体" w:hAnsi="黑体" w:eastAsia="黑体"/>
          <w:b w:val="0"/>
        </w:rPr>
        <w:t>财政拨款收入支出决算总体情况说明</w:t>
      </w:r>
      <w:bookmarkEnd w:id="47"/>
    </w:p>
    <w:p w14:paraId="24776B71">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jc w:val="center"/>
        <w:textAlignment w:val="auto"/>
        <w:rPr>
          <w:rFonts w:hint="default" w:ascii="Times New Roman" w:hAnsi="Times New Roman" w:eastAsia="方正仿宋_GBK" w:cs="Times New Roman"/>
          <w:sz w:val="32"/>
          <w:szCs w:val="32"/>
          <w:shd w:val="clear" w:color="auto" w:fill="FFFFFF"/>
          <w:lang w:val="en-US" w:eastAsia="zh-CN" w:bidi="ar"/>
        </w:rPr>
      </w:pPr>
      <w:bookmarkStart w:id="48" w:name="_Toc12396"/>
      <w:r>
        <w:rPr>
          <w:rFonts w:hint="default" w:ascii="Times New Roman" w:hAnsi="Times New Roman" w:eastAsia="方正仿宋_GBK" w:cs="Times New Roman"/>
          <w:sz w:val="32"/>
          <w:szCs w:val="32"/>
          <w:shd w:val="clear" w:color="auto" w:fill="FFFFFF"/>
          <w:lang w:val="en-US" w:eastAsia="zh-CN" w:bidi="ar"/>
        </w:rPr>
        <w:t>本年度财政拨款收入总金额为982.15万元，较上年度增加101.93万元。其中：一般公共服务支出为765.08万元，相比上年度增加82.41万元；文化旅游体育与传媒支出89.73万元，相比上年度增加-7.17万元；社会保障和就业支出58.52万元，相比上年度增加9.11万元；卫生健康支出39.79万元，相比上年度增加16.57万元；住房保障支出29.04万元，相比上年度增加1.03万元。</w:t>
      </w:r>
      <w:bookmarkEnd w:id="48"/>
    </w:p>
    <w:p w14:paraId="2024C75F">
      <w:pPr>
        <w:spacing w:line="240" w:lineRule="auto"/>
        <w:ind w:firstLine="0" w:firstLineChars="0"/>
        <w:outlineLvl w:val="9"/>
      </w:pPr>
      <w:r>
        <w:drawing>
          <wp:inline distT="0" distB="0" distL="114300" distR="114300">
            <wp:extent cx="5545455" cy="2087880"/>
            <wp:effectExtent l="4445" t="4445" r="12700" b="2222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9AC48FF">
      <w:pPr>
        <w:spacing w:line="600" w:lineRule="exact"/>
        <w:ind w:firstLine="640" w:firstLineChars="200"/>
        <w:rPr>
          <w:rFonts w:hint="eastAsia"/>
        </w:rPr>
      </w:pPr>
      <w:r>
        <w:rPr>
          <w:rFonts w:hint="eastAsia" w:ascii="仿宋" w:hAnsi="仿宋" w:eastAsia="仿宋"/>
          <w:sz w:val="32"/>
          <w:szCs w:val="32"/>
        </w:rPr>
        <w:t>（图</w:t>
      </w:r>
      <w:r>
        <w:rPr>
          <w:rFonts w:hint="eastAsia" w:ascii="Times New Roman" w:hAnsi="Times New Roman" w:eastAsia="方正仿宋_GBK" w:cs="Times New Roman"/>
          <w:kern w:val="0"/>
          <w:sz w:val="32"/>
          <w:szCs w:val="32"/>
          <w:shd w:val="clear" w:color="auto" w:fill="FFFFFF"/>
          <w:lang w:val="en-US" w:eastAsia="zh-CN" w:bidi="ar"/>
        </w:rPr>
        <w:t>4</w:t>
      </w:r>
      <w:r>
        <w:rPr>
          <w:rFonts w:hint="eastAsia" w:ascii="仿宋" w:hAnsi="仿宋" w:eastAsia="仿宋"/>
          <w:sz w:val="32"/>
          <w:szCs w:val="32"/>
        </w:rPr>
        <w:t>：财政拨款收、支决算总计变动情况）（柱状图）</w:t>
      </w:r>
    </w:p>
    <w:p w14:paraId="62DCD153">
      <w:pPr>
        <w:spacing w:line="600" w:lineRule="exact"/>
        <w:ind w:firstLine="640" w:firstLineChars="200"/>
        <w:outlineLvl w:val="1"/>
        <w:rPr>
          <w:rStyle w:val="33"/>
          <w:rFonts w:ascii="黑体" w:hAnsi="黑体" w:eastAsia="黑体"/>
          <w:b w:val="0"/>
          <w:color w:val="auto"/>
          <w:highlight w:val="none"/>
        </w:rPr>
      </w:pPr>
      <w:bookmarkStart w:id="49" w:name="_Toc15396607"/>
      <w:bookmarkStart w:id="50" w:name="_Toc25577"/>
      <w:bookmarkStart w:id="51" w:name="_Toc15377209"/>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33"/>
          <w:rFonts w:hint="eastAsia" w:ascii="黑体" w:hAnsi="黑体" w:eastAsia="黑体"/>
          <w:b w:val="0"/>
          <w:color w:val="auto"/>
          <w:highlight w:val="none"/>
        </w:rPr>
        <w:t>般公共预算财政拨款支出决算情况说明</w:t>
      </w:r>
      <w:bookmarkEnd w:id="49"/>
      <w:bookmarkEnd w:id="50"/>
      <w:bookmarkEnd w:id="51"/>
    </w:p>
    <w:p w14:paraId="1AA223B0">
      <w:pPr>
        <w:spacing w:line="600" w:lineRule="exact"/>
        <w:ind w:firstLine="643" w:firstLineChars="200"/>
        <w:outlineLvl w:val="2"/>
        <w:rPr>
          <w:rFonts w:ascii="仿宋" w:hAnsi="仿宋" w:eastAsia="仿宋"/>
          <w:b/>
          <w:color w:val="auto"/>
          <w:sz w:val="32"/>
          <w:szCs w:val="32"/>
          <w:highlight w:val="yellow"/>
        </w:rPr>
      </w:pPr>
      <w:bookmarkStart w:id="52" w:name="_Toc15377210"/>
      <w:r>
        <w:rPr>
          <w:rFonts w:hint="eastAsia" w:ascii="仿宋" w:hAnsi="仿宋" w:eastAsia="仿宋"/>
          <w:b/>
          <w:color w:val="auto"/>
          <w:sz w:val="32"/>
          <w:szCs w:val="32"/>
          <w:highlight w:val="none"/>
        </w:rPr>
        <w:t>（一）一般公共预算财政拨款支出决算总体情况</w:t>
      </w:r>
      <w:bookmarkEnd w:id="52"/>
    </w:p>
    <w:p w14:paraId="75C81022">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default" w:ascii="Times New Roman" w:hAnsi="Times New Roman" w:eastAsia="方正仿宋_GBK" w:cs="Times New Roman"/>
          <w:sz w:val="32"/>
          <w:szCs w:val="32"/>
          <w:shd w:val="clear" w:color="auto" w:fill="FFFFFF"/>
          <w:lang w:val="en-US" w:eastAsia="zh-CN" w:bidi="ar"/>
        </w:rPr>
      </w:pPr>
      <w:r>
        <w:rPr>
          <w:rFonts w:hint="default" w:ascii="Times New Roman" w:hAnsi="Times New Roman" w:eastAsia="方正仿宋_GBK" w:cs="Times New Roman"/>
          <w:sz w:val="32"/>
          <w:szCs w:val="32"/>
          <w:shd w:val="clear" w:color="auto" w:fill="FFFFFF"/>
          <w:lang w:val="en-US" w:eastAsia="zh-CN" w:bidi="ar"/>
        </w:rPr>
        <w:t>2023年度一般公共预算财政拨款支出982.15万元，占本年支出合计的100%。与2022年度839.84万元相比，一般公共预算财政拨款支出增加142.31万元，增长16.94%。主要变动原因是本年度增加重大公共卫生服务、宣传事务等项目支出。</w:t>
      </w:r>
    </w:p>
    <w:p w14:paraId="23571A13">
      <w:pPr>
        <w:spacing w:line="600" w:lineRule="exact"/>
        <w:ind w:firstLine="640" w:firstLineChars="200"/>
        <w:rPr>
          <w:rFonts w:hint="eastAsia" w:ascii="仿宋" w:hAnsi="仿宋" w:eastAsia="仿宋"/>
          <w:color w:val="auto"/>
          <w:sz w:val="32"/>
          <w:szCs w:val="32"/>
          <w:lang w:eastAsia="zh-CN"/>
        </w:rPr>
      </w:pPr>
    </w:p>
    <w:p w14:paraId="5071065F">
      <w:pPr>
        <w:pStyle w:val="2"/>
        <w:rPr>
          <w:rFonts w:hint="eastAsia"/>
          <w:lang w:eastAsia="zh-CN"/>
        </w:rPr>
      </w:pPr>
    </w:p>
    <w:p w14:paraId="40A0CECD">
      <w:pPr>
        <w:spacing w:line="600" w:lineRule="exact"/>
        <w:ind w:firstLine="640"/>
        <w:rPr>
          <w:rFonts w:hint="eastAsia"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cs="Times New Roman"/>
          <w:highlight w:val="none"/>
        </w:rPr>
        <w:drawing>
          <wp:anchor distT="0" distB="0" distL="114300" distR="114300" simplePos="0" relativeHeight="251660288" behindDoc="0" locked="0" layoutInCell="1" allowOverlap="1">
            <wp:simplePos x="0" y="0"/>
            <wp:positionH relativeFrom="column">
              <wp:posOffset>304165</wp:posOffset>
            </wp:positionH>
            <wp:positionV relativeFrom="paragraph">
              <wp:posOffset>-137160</wp:posOffset>
            </wp:positionV>
            <wp:extent cx="4826000" cy="2743200"/>
            <wp:effectExtent l="4445" t="4445" r="8255" b="14605"/>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Times New Roman" w:hAnsi="Times New Roman" w:eastAsia="方正仿宋_GBK" w:cs="Times New Roman"/>
          <w:kern w:val="0"/>
          <w:sz w:val="32"/>
          <w:szCs w:val="32"/>
          <w:shd w:val="clear" w:color="auto" w:fill="FFFFFF"/>
          <w:lang w:val="en-US" w:eastAsia="zh-CN" w:bidi="ar"/>
        </w:rPr>
        <w:t>（图5：一般公共预算财政拨款支出决算变动情况）（柱状图）</w:t>
      </w:r>
    </w:p>
    <w:p w14:paraId="4A3345F6">
      <w:pPr>
        <w:spacing w:line="600" w:lineRule="exact"/>
        <w:ind w:firstLine="643" w:firstLineChars="200"/>
        <w:outlineLvl w:val="2"/>
        <w:rPr>
          <w:rFonts w:ascii="仿宋" w:hAnsi="仿宋" w:eastAsia="仿宋"/>
          <w:b/>
          <w:sz w:val="32"/>
          <w:szCs w:val="32"/>
          <w:highlight w:val="none"/>
        </w:rPr>
      </w:pPr>
      <w:bookmarkStart w:id="53" w:name="_Toc15377211"/>
      <w:r>
        <w:rPr>
          <w:rFonts w:hint="eastAsia" w:ascii="仿宋" w:hAnsi="仿宋" w:eastAsia="仿宋"/>
          <w:b/>
          <w:sz w:val="32"/>
          <w:szCs w:val="32"/>
          <w:highlight w:val="none"/>
        </w:rPr>
        <w:t>（二）一般公共预算财政拨款支出决算结构情况</w:t>
      </w:r>
      <w:bookmarkEnd w:id="53"/>
    </w:p>
    <w:p w14:paraId="7100D6B4">
      <w:pPr>
        <w:spacing w:line="600" w:lineRule="exact"/>
        <w:ind w:firstLine="640"/>
        <w:rPr>
          <w:rFonts w:hint="default" w:ascii="Times New Roman" w:hAnsi="Times New Roman" w:eastAsia="仿宋" w:cs="Times New Roman"/>
          <w:sz w:val="32"/>
          <w:szCs w:val="32"/>
          <w:lang w:eastAsia="zh-CN"/>
        </w:rPr>
      </w:pPr>
      <w:r>
        <w:rPr>
          <w:rFonts w:hint="default" w:ascii="Times New Roman" w:hAnsi="Times New Roman" w:eastAsia="方正仿宋_GBK" w:cs="Times New Roman"/>
          <w:kern w:val="0"/>
          <w:sz w:val="32"/>
          <w:szCs w:val="32"/>
          <w:shd w:val="clear" w:color="auto" w:fill="FFFFFF"/>
          <w:lang w:val="en-US" w:eastAsia="zh-CN" w:bidi="ar"/>
        </w:rPr>
        <w:drawing>
          <wp:anchor distT="0" distB="0" distL="114300" distR="114300" simplePos="0" relativeHeight="251661312" behindDoc="0" locked="0" layoutInCell="1" allowOverlap="1">
            <wp:simplePos x="0" y="0"/>
            <wp:positionH relativeFrom="column">
              <wp:posOffset>442595</wp:posOffset>
            </wp:positionH>
            <wp:positionV relativeFrom="paragraph">
              <wp:posOffset>2052320</wp:posOffset>
            </wp:positionV>
            <wp:extent cx="4826000" cy="2372995"/>
            <wp:effectExtent l="4445" t="4445" r="8255" b="22860"/>
            <wp:wrapTopAndBottom/>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default" w:ascii="Times New Roman" w:hAnsi="Times New Roman" w:eastAsia="方正仿宋_GBK" w:cs="Times New Roman"/>
          <w:kern w:val="0"/>
          <w:sz w:val="32"/>
          <w:szCs w:val="32"/>
          <w:shd w:val="clear" w:color="auto" w:fill="FFFFFF"/>
          <w:lang w:val="en-US" w:eastAsia="zh-CN" w:bidi="ar"/>
        </w:rPr>
        <w:t>2023年度一般公共预算财政拨款支出</w:t>
      </w:r>
      <w:r>
        <w:rPr>
          <w:rFonts w:hint="default" w:ascii="Times New Roman" w:hAnsi="Times New Roman" w:cs="Times New Roman"/>
          <w:sz w:val="32"/>
          <w:szCs w:val="32"/>
        </w:rPr>
        <w:t>982.15</w:t>
      </w:r>
      <w:r>
        <w:rPr>
          <w:rFonts w:hint="default" w:ascii="Times New Roman" w:hAnsi="Times New Roman" w:eastAsia="方正仿宋_GBK" w:cs="Times New Roman"/>
          <w:kern w:val="0"/>
          <w:sz w:val="32"/>
          <w:szCs w:val="32"/>
          <w:shd w:val="clear" w:color="auto" w:fill="FFFFFF"/>
          <w:lang w:val="en-US" w:eastAsia="zh-CN" w:bidi="ar"/>
        </w:rPr>
        <w:t>万元，主要用于以下方面:</w:t>
      </w:r>
      <w:r>
        <w:rPr>
          <w:rFonts w:hint="default" w:ascii="Times New Roman" w:hAnsi="Times New Roman" w:eastAsia="仿宋" w:cs="Times New Roman"/>
          <w:b/>
          <w:sz w:val="32"/>
          <w:szCs w:val="32"/>
        </w:rPr>
        <w:t>一般公共服务</w:t>
      </w:r>
      <w:r>
        <w:rPr>
          <w:rFonts w:hint="default" w:ascii="Times New Roman" w:hAnsi="Times New Roman" w:eastAsia="仿宋" w:cs="Times New Roman"/>
          <w:b/>
          <w:bCs/>
          <w:sz w:val="32"/>
          <w:szCs w:val="32"/>
        </w:rPr>
        <w:t>支出</w:t>
      </w:r>
      <w:r>
        <w:rPr>
          <w:rFonts w:hint="default" w:ascii="Times New Roman" w:hAnsi="Times New Roman" w:eastAsia="方正仿宋_GBK" w:cs="Times New Roman"/>
          <w:kern w:val="0"/>
          <w:sz w:val="32"/>
          <w:szCs w:val="32"/>
          <w:shd w:val="clear" w:color="auto" w:fill="FFFFFF"/>
          <w:lang w:val="en-US" w:eastAsia="zh-CN" w:bidi="ar"/>
        </w:rPr>
        <w:t>765.09万元，占77.90%；</w:t>
      </w:r>
      <w:r>
        <w:rPr>
          <w:rFonts w:hint="default" w:ascii="Times New Roman" w:hAnsi="Times New Roman" w:eastAsia="仿宋" w:cs="Times New Roman"/>
          <w:b/>
          <w:sz w:val="32"/>
          <w:szCs w:val="32"/>
        </w:rPr>
        <w:t>文化旅游体育与传媒支出</w:t>
      </w:r>
      <w:r>
        <w:rPr>
          <w:rFonts w:hint="default" w:ascii="Times New Roman" w:hAnsi="Times New Roman" w:eastAsia="仿宋" w:cs="Times New Roman"/>
          <w:b/>
          <w:sz w:val="32"/>
          <w:szCs w:val="32"/>
          <w:lang w:val="en-US" w:eastAsia="zh-CN"/>
        </w:rPr>
        <w:t>89.73</w:t>
      </w:r>
      <w:r>
        <w:rPr>
          <w:rFonts w:hint="default" w:ascii="Times New Roman" w:hAnsi="Times New Roman" w:eastAsia="方正仿宋_GBK" w:cs="Times New Roman"/>
          <w:kern w:val="0"/>
          <w:sz w:val="32"/>
          <w:szCs w:val="32"/>
          <w:shd w:val="clear" w:color="auto" w:fill="FFFFFF"/>
          <w:lang w:val="en-US" w:eastAsia="zh-CN" w:bidi="ar"/>
        </w:rPr>
        <w:t>万元，占9.14%；</w:t>
      </w:r>
      <w:r>
        <w:rPr>
          <w:rFonts w:hint="default" w:ascii="Times New Roman" w:hAnsi="Times New Roman" w:eastAsia="仿宋" w:cs="Times New Roman"/>
          <w:b/>
          <w:sz w:val="32"/>
          <w:szCs w:val="32"/>
        </w:rPr>
        <w:t>社会保障和就业</w:t>
      </w:r>
      <w:r>
        <w:rPr>
          <w:rFonts w:hint="default" w:ascii="Times New Roman" w:hAnsi="Times New Roman" w:eastAsia="仿宋" w:cs="Times New Roman"/>
          <w:b/>
          <w:bCs/>
          <w:sz w:val="32"/>
          <w:szCs w:val="32"/>
        </w:rPr>
        <w:t>支出</w:t>
      </w:r>
      <w:r>
        <w:rPr>
          <w:rFonts w:hint="default" w:ascii="Times New Roman" w:hAnsi="Times New Roman" w:eastAsia="方正仿宋_GBK" w:cs="Times New Roman"/>
          <w:kern w:val="0"/>
          <w:sz w:val="32"/>
          <w:szCs w:val="32"/>
          <w:shd w:val="clear" w:color="auto" w:fill="FFFFFF"/>
          <w:lang w:val="en-US" w:eastAsia="zh-CN" w:bidi="ar"/>
        </w:rPr>
        <w:t>58.52万元，占5.96%；</w:t>
      </w:r>
      <w:r>
        <w:rPr>
          <w:rFonts w:hint="default" w:ascii="Times New Roman" w:hAnsi="Times New Roman" w:eastAsia="仿宋" w:cs="Times New Roman"/>
          <w:b/>
          <w:bCs/>
          <w:sz w:val="32"/>
          <w:szCs w:val="32"/>
        </w:rPr>
        <w:t>卫生健康支出</w:t>
      </w:r>
      <w:r>
        <w:rPr>
          <w:rFonts w:hint="default" w:ascii="Times New Roman" w:hAnsi="Times New Roman" w:eastAsia="方正仿宋_GBK" w:cs="Times New Roman"/>
          <w:kern w:val="0"/>
          <w:sz w:val="32"/>
          <w:szCs w:val="32"/>
          <w:shd w:val="clear" w:color="auto" w:fill="FFFFFF"/>
          <w:lang w:val="en-US" w:eastAsia="zh-CN" w:bidi="ar"/>
        </w:rPr>
        <w:t>39.79万元，占4.05%；</w:t>
      </w:r>
      <w:r>
        <w:rPr>
          <w:rFonts w:hint="default" w:ascii="Times New Roman" w:hAnsi="Times New Roman" w:eastAsia="仿宋" w:cs="Times New Roman"/>
          <w:b/>
          <w:bCs/>
          <w:sz w:val="32"/>
          <w:szCs w:val="32"/>
        </w:rPr>
        <w:t>住房保障支出</w:t>
      </w:r>
      <w:r>
        <w:rPr>
          <w:rFonts w:hint="default" w:ascii="Times New Roman" w:hAnsi="Times New Roman" w:eastAsia="方正仿宋_GBK" w:cs="Times New Roman"/>
          <w:kern w:val="0"/>
          <w:sz w:val="32"/>
          <w:szCs w:val="32"/>
          <w:shd w:val="clear" w:color="auto" w:fill="FFFFFF"/>
          <w:lang w:val="en-US" w:eastAsia="zh-CN" w:bidi="ar"/>
        </w:rPr>
        <w:t>29.03万元，占2.96%。</w:t>
      </w:r>
    </w:p>
    <w:p w14:paraId="296E3C56">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（图6：一般公共预算财政拨款支出决算结构）（饼状图）</w:t>
      </w:r>
    </w:p>
    <w:p w14:paraId="257AFE2C">
      <w:pPr>
        <w:spacing w:line="600" w:lineRule="exact"/>
        <w:ind w:firstLine="640" w:firstLineChars="200"/>
        <w:rPr>
          <w:rFonts w:hint="default" w:ascii="Times New Roman" w:hAnsi="Times New Roman" w:eastAsia="仿宋" w:cs="Times New Roman"/>
          <w:sz w:val="32"/>
          <w:szCs w:val="32"/>
        </w:rPr>
      </w:pPr>
    </w:p>
    <w:p w14:paraId="14A76E9B">
      <w:pPr>
        <w:spacing w:line="600" w:lineRule="exact"/>
        <w:ind w:firstLine="643" w:firstLineChars="200"/>
        <w:outlineLvl w:val="2"/>
        <w:rPr>
          <w:rFonts w:hint="default" w:ascii="Times New Roman" w:hAnsi="Times New Roman" w:eastAsia="仿宋" w:cs="Times New Roman"/>
          <w:b/>
          <w:sz w:val="32"/>
          <w:szCs w:val="32"/>
          <w:highlight w:val="none"/>
        </w:rPr>
      </w:pPr>
      <w:bookmarkStart w:id="54" w:name="_Toc15377212"/>
      <w:r>
        <w:rPr>
          <w:rFonts w:hint="default" w:ascii="Times New Roman" w:hAnsi="Times New Roman" w:eastAsia="仿宋" w:cs="Times New Roman"/>
          <w:b/>
          <w:sz w:val="32"/>
          <w:szCs w:val="32"/>
          <w:highlight w:val="none"/>
        </w:rPr>
        <w:t>（三）一般公共预算财政拨款支出决算具体情况</w:t>
      </w:r>
      <w:bookmarkEnd w:id="54"/>
    </w:p>
    <w:p w14:paraId="4F0EE885">
      <w:pPr>
        <w:spacing w:line="600" w:lineRule="exact"/>
        <w:ind w:firstLine="643" w:firstLineChars="200"/>
        <w:outlineLvl w:val="1"/>
        <w:rPr>
          <w:rFonts w:hint="default" w:ascii="Times New Roman" w:hAnsi="Times New Roman" w:eastAsia="仿宋" w:cs="Times New Roman"/>
          <w:sz w:val="32"/>
          <w:szCs w:val="32"/>
        </w:rPr>
      </w:pPr>
      <w:bookmarkStart w:id="55" w:name="_Toc15283"/>
      <w:bookmarkStart w:id="56" w:name="_Toc15377444"/>
      <w:bookmarkStart w:id="57" w:name="_Toc15378460"/>
      <w:bookmarkStart w:id="58" w:name="_Toc15377213"/>
      <w:bookmarkStart w:id="59" w:name="_Toc18926"/>
      <w:r>
        <w:rPr>
          <w:rFonts w:hint="default" w:ascii="Times New Roman" w:hAnsi="Times New Roman" w:eastAsia="仿宋" w:cs="Times New Roman"/>
          <w:b/>
          <w:sz w:val="32"/>
          <w:szCs w:val="32"/>
        </w:rPr>
        <w:t>2023年度一般公共预算支出决算数为</w:t>
      </w:r>
      <w:r>
        <w:rPr>
          <w:rFonts w:hint="default" w:ascii="Times New Roman" w:hAnsi="Times New Roman" w:cs="Times New Roman"/>
          <w:sz w:val="32"/>
          <w:szCs w:val="32"/>
        </w:rPr>
        <w:t>982.15</w:t>
      </w:r>
      <w:r>
        <w:rPr>
          <w:rFonts w:hint="default" w:ascii="Times New Roman" w:hAnsi="Times New Roman" w:eastAsia="仿宋" w:cs="Times New Roman"/>
          <w:sz w:val="32"/>
          <w:szCs w:val="32"/>
        </w:rPr>
        <w:t>，</w:t>
      </w:r>
      <w:r>
        <w:rPr>
          <w:rStyle w:val="21"/>
          <w:rFonts w:hint="default" w:ascii="Times New Roman" w:hAnsi="Times New Roman" w:eastAsia="仿宋" w:cs="Times New Roman"/>
          <w:bCs/>
          <w:sz w:val="32"/>
          <w:szCs w:val="32"/>
        </w:rPr>
        <w:t>完成预算</w:t>
      </w:r>
      <w:r>
        <w:rPr>
          <w:rStyle w:val="21"/>
          <w:rFonts w:hint="default" w:ascii="Times New Roman" w:hAnsi="Times New Roman" w:eastAsia="仿宋" w:cs="Times New Roman"/>
          <w:bCs/>
          <w:sz w:val="32"/>
          <w:szCs w:val="32"/>
          <w:lang w:val="en-US" w:eastAsia="zh-CN"/>
        </w:rPr>
        <w:t>100</w:t>
      </w:r>
      <w:r>
        <w:rPr>
          <w:rStyle w:val="21"/>
          <w:rFonts w:hint="default" w:ascii="Times New Roman" w:hAnsi="Times New Roman" w:eastAsia="仿宋" w:cs="Times New Roman"/>
          <w:bCs/>
          <w:sz w:val="32"/>
          <w:szCs w:val="32"/>
        </w:rPr>
        <w:t>%。其中：</w:t>
      </w:r>
      <w:bookmarkEnd w:id="55"/>
      <w:bookmarkEnd w:id="56"/>
      <w:bookmarkEnd w:id="57"/>
      <w:bookmarkEnd w:id="58"/>
      <w:bookmarkEnd w:id="59"/>
    </w:p>
    <w:p w14:paraId="73EE87DA">
      <w:pPr>
        <w:numPr>
          <w:ilvl w:val="0"/>
          <w:numId w:val="0"/>
        </w:numPr>
        <w:spacing w:line="600" w:lineRule="exact"/>
        <w:ind w:firstLine="643" w:firstLineChars="200"/>
        <w:rPr>
          <w:rFonts w:hint="default" w:ascii="Times New Roman" w:hAnsi="Times New Roman" w:eastAsia="方正仿宋_GBK" w:cs="Times New Roman"/>
          <w:kern w:val="0"/>
          <w:sz w:val="32"/>
          <w:szCs w:val="32"/>
          <w:shd w:val="clear" w:color="auto" w:fill="FFFFFF"/>
          <w:lang w:val="en-US" w:eastAsia="zh-CN" w:bidi="ar"/>
        </w:rPr>
      </w:pPr>
      <w:r>
        <w:rPr>
          <w:rStyle w:val="21"/>
          <w:rFonts w:hint="default" w:ascii="Times New Roman" w:hAnsi="Times New Roman" w:eastAsia="仿宋" w:cs="Times New Roman"/>
          <w:bCs/>
          <w:sz w:val="32"/>
          <w:szCs w:val="32"/>
          <w:lang w:val="en-US" w:eastAsia="zh-CN"/>
        </w:rPr>
        <w:t>1</w:t>
      </w:r>
      <w:r>
        <w:rPr>
          <w:rStyle w:val="21"/>
          <w:rFonts w:hint="default" w:ascii="Times New Roman" w:hAnsi="Times New Roman" w:eastAsia="仿宋" w:cs="Times New Roman"/>
          <w:b/>
          <w:bCs w:val="0"/>
          <w:sz w:val="32"/>
          <w:szCs w:val="32"/>
          <w:lang w:val="en-US" w:eastAsia="zh-CN"/>
        </w:rPr>
        <w:t>.</w:t>
      </w:r>
      <w:r>
        <w:rPr>
          <w:rStyle w:val="21"/>
          <w:rFonts w:hint="default" w:ascii="Times New Roman" w:hAnsi="Times New Roman" w:eastAsia="仿宋" w:cs="Times New Roman"/>
          <w:b/>
          <w:bCs w:val="0"/>
          <w:sz w:val="32"/>
          <w:szCs w:val="32"/>
        </w:rPr>
        <w:t>201一般公共服务支出</w:t>
      </w:r>
      <w:r>
        <w:rPr>
          <w:rFonts w:hint="default" w:ascii="Times New Roman" w:hAnsi="Times New Roman" w:eastAsia="方正仿宋_GBK" w:cs="Times New Roman"/>
          <w:kern w:val="0"/>
          <w:sz w:val="32"/>
          <w:szCs w:val="32"/>
          <w:shd w:val="clear" w:color="auto" w:fill="FFFFFF"/>
          <w:lang w:val="en-US" w:eastAsia="zh-CN" w:bidi="ar"/>
        </w:rPr>
        <w:t>765.09万元,完成预算100%。其中:2013301行政运行支出228.93万元；2013302一般行政管理事务支出188.59万元；2013304宣传管理支出176.31万元；2013350事业运行支出121.25万元；2013399其他宣传事务支出50.01万元。</w:t>
      </w:r>
    </w:p>
    <w:p w14:paraId="5557C2F2">
      <w:pPr>
        <w:spacing w:line="600" w:lineRule="exact"/>
        <w:ind w:firstLine="643" w:firstLineChars="200"/>
        <w:rPr>
          <w:rFonts w:hint="default" w:ascii="Times New Roman" w:hAnsi="Times New Roman" w:eastAsia="方正仿宋_GBK" w:cs="Times New Roman"/>
          <w:kern w:val="0"/>
          <w:sz w:val="32"/>
          <w:szCs w:val="32"/>
          <w:shd w:val="clear" w:color="auto" w:fill="FFFFFF"/>
          <w:lang w:val="en-US" w:eastAsia="zh-CN" w:bidi="ar"/>
        </w:rPr>
      </w:pPr>
      <w:r>
        <w:rPr>
          <w:rStyle w:val="21"/>
          <w:rFonts w:hint="default" w:ascii="Times New Roman" w:hAnsi="Times New Roman" w:eastAsia="仿宋" w:cs="Times New Roman"/>
          <w:bCs/>
          <w:sz w:val="32"/>
          <w:szCs w:val="32"/>
          <w:lang w:val="en-US" w:eastAsia="zh-CN"/>
        </w:rPr>
        <w:t>2</w:t>
      </w:r>
      <w:r>
        <w:rPr>
          <w:rStyle w:val="21"/>
          <w:rFonts w:hint="default" w:ascii="Times New Roman" w:hAnsi="Times New Roman" w:eastAsia="仿宋" w:cs="Times New Roman"/>
          <w:bCs/>
          <w:sz w:val="32"/>
          <w:szCs w:val="32"/>
        </w:rPr>
        <w:t>.207文化旅游体育与传媒支出</w:t>
      </w:r>
      <w:r>
        <w:rPr>
          <w:rFonts w:hint="default" w:ascii="Times New Roman" w:hAnsi="Times New Roman" w:eastAsia="方正仿宋_GBK" w:cs="Times New Roman"/>
          <w:kern w:val="0"/>
          <w:sz w:val="32"/>
          <w:szCs w:val="32"/>
          <w:shd w:val="clear" w:color="auto" w:fill="FFFFFF"/>
          <w:lang w:val="en-US" w:eastAsia="zh-CN" w:bidi="ar"/>
        </w:rPr>
        <w:t>89.73万元，完成预算100%。其中：2070199其他文化和旅游支出86.23万元；2079902宣传文化发展专项支出3.49万元。</w:t>
      </w:r>
    </w:p>
    <w:p w14:paraId="189B9B37">
      <w:pPr>
        <w:spacing w:line="600" w:lineRule="exact"/>
        <w:ind w:firstLine="643" w:firstLineChars="200"/>
        <w:rPr>
          <w:rStyle w:val="21"/>
          <w:rFonts w:hint="default" w:ascii="Times New Roman" w:hAnsi="Times New Roman" w:eastAsia="仿宋" w:cs="Times New Roman"/>
          <w:b w:val="0"/>
          <w:bCs/>
          <w:sz w:val="32"/>
          <w:szCs w:val="32"/>
          <w:lang w:eastAsia="zh-CN"/>
        </w:rPr>
      </w:pPr>
      <w:r>
        <w:rPr>
          <w:rStyle w:val="21"/>
          <w:rFonts w:hint="default" w:ascii="Times New Roman" w:hAnsi="Times New Roman" w:eastAsia="仿宋" w:cs="Times New Roman"/>
          <w:bCs/>
          <w:sz w:val="32"/>
          <w:szCs w:val="32"/>
          <w:lang w:val="en-US" w:eastAsia="zh-CN"/>
        </w:rPr>
        <w:t>3</w:t>
      </w:r>
      <w:r>
        <w:rPr>
          <w:rStyle w:val="21"/>
          <w:rFonts w:hint="default" w:ascii="Times New Roman" w:hAnsi="Times New Roman" w:eastAsia="仿宋" w:cs="Times New Roman"/>
          <w:bCs/>
          <w:sz w:val="32"/>
          <w:szCs w:val="32"/>
        </w:rPr>
        <w:t>.208社会保障和就业支出</w:t>
      </w:r>
      <w:r>
        <w:rPr>
          <w:rFonts w:hint="default" w:ascii="Times New Roman" w:hAnsi="Times New Roman" w:eastAsia="方正仿宋_GBK" w:cs="Times New Roman"/>
          <w:kern w:val="0"/>
          <w:sz w:val="32"/>
          <w:szCs w:val="32"/>
          <w:shd w:val="clear" w:color="auto" w:fill="FFFFFF"/>
          <w:lang w:val="en-US" w:eastAsia="zh-CN" w:bidi="ar"/>
        </w:rPr>
        <w:t>58.52万元，完成预算100%。其中：2080505</w:t>
      </w:r>
      <w:r>
        <w:rPr>
          <w:rFonts w:hint="default" w:ascii="Times New Roman" w:hAnsi="Times New Roman" w:eastAsia="方正仿宋_GBK" w:cs="Times New Roman"/>
          <w:kern w:val="0"/>
          <w:sz w:val="32"/>
          <w:szCs w:val="32"/>
          <w:shd w:val="clear" w:color="auto" w:fill="FFFFFF"/>
          <w:lang w:val="en-US" w:eastAsia="zh-CN" w:bidi="ar"/>
        </w:rPr>
        <w:tab/>
      </w:r>
      <w:r>
        <w:rPr>
          <w:rFonts w:hint="default" w:ascii="Times New Roman" w:hAnsi="Times New Roman" w:eastAsia="方正仿宋_GBK" w:cs="Times New Roman"/>
          <w:kern w:val="0"/>
          <w:sz w:val="32"/>
          <w:szCs w:val="32"/>
          <w:shd w:val="clear" w:color="auto" w:fill="FFFFFF"/>
          <w:lang w:val="en-US" w:eastAsia="zh-CN" w:bidi="ar"/>
        </w:rPr>
        <w:t>机关事业单位基本养老保险缴费支出39.01万元；2080506机关事业单位职业年金缴费支出</w:t>
      </w:r>
      <w:r>
        <w:rPr>
          <w:rFonts w:hint="default" w:ascii="Times New Roman" w:hAnsi="Times New Roman" w:eastAsia="方正仿宋_GBK" w:cs="Times New Roman"/>
          <w:kern w:val="0"/>
          <w:sz w:val="32"/>
          <w:szCs w:val="32"/>
          <w:shd w:val="clear" w:color="auto" w:fill="FFFFFF"/>
          <w:lang w:val="en-US" w:eastAsia="zh-CN" w:bidi="ar"/>
        </w:rPr>
        <w:tab/>
      </w:r>
      <w:r>
        <w:rPr>
          <w:rFonts w:hint="default" w:ascii="Times New Roman" w:hAnsi="Times New Roman" w:eastAsia="方正仿宋_GBK" w:cs="Times New Roman"/>
          <w:kern w:val="0"/>
          <w:sz w:val="32"/>
          <w:szCs w:val="32"/>
          <w:shd w:val="clear" w:color="auto" w:fill="FFFFFF"/>
          <w:lang w:val="en-US" w:eastAsia="zh-CN" w:bidi="ar"/>
        </w:rPr>
        <w:t>19.51万元。</w:t>
      </w:r>
    </w:p>
    <w:p w14:paraId="1A8CF49D">
      <w:pPr>
        <w:spacing w:line="600" w:lineRule="exact"/>
        <w:ind w:firstLine="643" w:firstLineChars="200"/>
        <w:rPr>
          <w:rFonts w:hint="default" w:ascii="Times New Roman" w:hAnsi="Times New Roman" w:eastAsia="方正仿宋_GBK" w:cs="Times New Roman"/>
          <w:kern w:val="0"/>
          <w:sz w:val="32"/>
          <w:szCs w:val="32"/>
          <w:shd w:val="clear" w:color="auto" w:fill="FFFFFF"/>
          <w:lang w:val="en-US" w:eastAsia="zh-CN" w:bidi="ar"/>
        </w:rPr>
      </w:pPr>
      <w:r>
        <w:rPr>
          <w:rStyle w:val="21"/>
          <w:rFonts w:hint="default" w:ascii="Times New Roman" w:hAnsi="Times New Roman" w:eastAsia="仿宋" w:cs="Times New Roman"/>
          <w:bCs/>
          <w:sz w:val="32"/>
          <w:szCs w:val="32"/>
          <w:lang w:val="en-US" w:eastAsia="zh-CN"/>
        </w:rPr>
        <w:t>4</w:t>
      </w:r>
      <w:r>
        <w:rPr>
          <w:rStyle w:val="21"/>
          <w:rFonts w:hint="default" w:ascii="Times New Roman" w:hAnsi="Times New Roman" w:eastAsia="仿宋" w:cs="Times New Roman"/>
          <w:bCs/>
          <w:sz w:val="32"/>
          <w:szCs w:val="32"/>
        </w:rPr>
        <w:t>.210卫生健康支出</w:t>
      </w:r>
      <w:r>
        <w:rPr>
          <w:rFonts w:hint="default" w:ascii="Times New Roman" w:hAnsi="Times New Roman" w:eastAsia="方正仿宋_GBK" w:cs="Times New Roman"/>
          <w:kern w:val="0"/>
          <w:sz w:val="32"/>
          <w:szCs w:val="32"/>
          <w:shd w:val="clear" w:color="auto" w:fill="FFFFFF"/>
          <w:lang w:val="en-US" w:eastAsia="zh-CN" w:bidi="ar"/>
        </w:rPr>
        <w:t>39.79万元，完成预算100%。其中：2100409重大公共卫生服务</w:t>
      </w:r>
      <w:r>
        <w:rPr>
          <w:rFonts w:hint="default" w:ascii="Times New Roman" w:hAnsi="Times New Roman" w:eastAsia="方正仿宋_GBK" w:cs="Times New Roman"/>
          <w:kern w:val="0"/>
          <w:sz w:val="32"/>
          <w:szCs w:val="32"/>
          <w:shd w:val="clear" w:color="auto" w:fill="FFFFFF"/>
          <w:lang w:val="en-US" w:eastAsia="zh-CN" w:bidi="ar"/>
        </w:rPr>
        <w:tab/>
      </w:r>
      <w:r>
        <w:rPr>
          <w:rFonts w:hint="default" w:ascii="Times New Roman" w:hAnsi="Times New Roman" w:eastAsia="方正仿宋_GBK" w:cs="Times New Roman"/>
          <w:kern w:val="0"/>
          <w:sz w:val="32"/>
          <w:szCs w:val="32"/>
          <w:shd w:val="clear" w:color="auto" w:fill="FFFFFF"/>
          <w:lang w:val="en-US" w:eastAsia="zh-CN" w:bidi="ar"/>
        </w:rPr>
        <w:t>15.00万元；2101101行政单位医疗</w:t>
      </w:r>
      <w:r>
        <w:rPr>
          <w:rFonts w:hint="default" w:ascii="Times New Roman" w:hAnsi="Times New Roman" w:eastAsia="方正仿宋_GBK" w:cs="Times New Roman"/>
          <w:kern w:val="0"/>
          <w:sz w:val="32"/>
          <w:szCs w:val="32"/>
          <w:shd w:val="clear" w:color="auto" w:fill="FFFFFF"/>
          <w:lang w:val="en-US" w:eastAsia="zh-CN" w:bidi="ar"/>
        </w:rPr>
        <w:tab/>
      </w:r>
      <w:r>
        <w:rPr>
          <w:rFonts w:hint="default" w:ascii="Times New Roman" w:hAnsi="Times New Roman" w:eastAsia="方正仿宋_GBK" w:cs="Times New Roman"/>
          <w:kern w:val="0"/>
          <w:sz w:val="32"/>
          <w:szCs w:val="32"/>
          <w:shd w:val="clear" w:color="auto" w:fill="FFFFFF"/>
          <w:lang w:val="en-US" w:eastAsia="zh-CN" w:bidi="ar"/>
        </w:rPr>
        <w:t>12.23万元；2101102事业单位医疗</w:t>
      </w:r>
      <w:r>
        <w:rPr>
          <w:rFonts w:hint="default" w:ascii="Times New Roman" w:hAnsi="Times New Roman" w:eastAsia="方正仿宋_GBK" w:cs="Times New Roman"/>
          <w:kern w:val="0"/>
          <w:sz w:val="32"/>
          <w:szCs w:val="32"/>
          <w:shd w:val="clear" w:color="auto" w:fill="FFFFFF"/>
          <w:lang w:val="en-US" w:eastAsia="zh-CN" w:bidi="ar"/>
        </w:rPr>
        <w:tab/>
      </w:r>
      <w:r>
        <w:rPr>
          <w:rFonts w:hint="default" w:ascii="Times New Roman" w:hAnsi="Times New Roman" w:eastAsia="方正仿宋_GBK" w:cs="Times New Roman"/>
          <w:kern w:val="0"/>
          <w:sz w:val="32"/>
          <w:szCs w:val="32"/>
          <w:shd w:val="clear" w:color="auto" w:fill="FFFFFF"/>
          <w:lang w:val="en-US" w:eastAsia="zh-CN" w:bidi="ar"/>
        </w:rPr>
        <w:t>7.22万元；2101103公务员医疗补助3.82万元；2101199其他行政事业单位医疗支出1.51万元。</w:t>
      </w:r>
    </w:p>
    <w:p w14:paraId="2B2BE0FB">
      <w:pPr>
        <w:spacing w:line="600" w:lineRule="exact"/>
        <w:ind w:firstLine="643" w:firstLineChars="200"/>
        <w:rPr>
          <w:rStyle w:val="21"/>
          <w:rFonts w:hint="default" w:ascii="Times New Roman" w:hAnsi="Times New Roman" w:eastAsia="仿宋" w:cs="Times New Roman"/>
          <w:b w:val="0"/>
          <w:bCs/>
          <w:sz w:val="32"/>
          <w:szCs w:val="32"/>
          <w:lang w:val="en-US" w:eastAsia="zh-CN"/>
        </w:rPr>
      </w:pPr>
      <w:r>
        <w:rPr>
          <w:rStyle w:val="21"/>
          <w:rFonts w:hint="default" w:ascii="Times New Roman" w:hAnsi="Times New Roman" w:eastAsia="仿宋" w:cs="Times New Roman"/>
          <w:bCs/>
          <w:sz w:val="32"/>
          <w:szCs w:val="32"/>
          <w:lang w:val="en-US" w:eastAsia="zh-CN"/>
        </w:rPr>
        <w:t>5.221住房保障支出</w:t>
      </w:r>
      <w:r>
        <w:rPr>
          <w:rFonts w:hint="default" w:ascii="Times New Roman" w:hAnsi="Times New Roman" w:eastAsia="方正仿宋_GBK" w:cs="Times New Roman"/>
          <w:kern w:val="0"/>
          <w:sz w:val="32"/>
          <w:szCs w:val="32"/>
          <w:shd w:val="clear" w:color="auto" w:fill="FFFFFF"/>
          <w:lang w:val="en-US" w:eastAsia="zh-CN" w:bidi="ar"/>
        </w:rPr>
        <w:t>29.03万元，完成预算100%。其中：2210201住房公积金</w:t>
      </w:r>
      <w:r>
        <w:rPr>
          <w:rFonts w:hint="default" w:ascii="Times New Roman" w:hAnsi="Times New Roman" w:eastAsia="方正仿宋_GBK" w:cs="Times New Roman"/>
          <w:kern w:val="0"/>
          <w:sz w:val="32"/>
          <w:szCs w:val="32"/>
          <w:shd w:val="clear" w:color="auto" w:fill="FFFFFF"/>
          <w:lang w:val="en-US" w:eastAsia="zh-CN" w:bidi="ar"/>
        </w:rPr>
        <w:tab/>
      </w:r>
      <w:r>
        <w:rPr>
          <w:rFonts w:hint="default" w:ascii="Times New Roman" w:hAnsi="Times New Roman" w:eastAsia="方正仿宋_GBK" w:cs="Times New Roman"/>
          <w:kern w:val="0"/>
          <w:sz w:val="32"/>
          <w:szCs w:val="32"/>
          <w:shd w:val="clear" w:color="auto" w:fill="FFFFFF"/>
          <w:lang w:val="en-US" w:eastAsia="zh-CN" w:bidi="ar"/>
        </w:rPr>
        <w:t>29.03万元。</w:t>
      </w:r>
    </w:p>
    <w:p w14:paraId="54E6B4B9">
      <w:pPr>
        <w:tabs>
          <w:tab w:val="right" w:pos="8306"/>
        </w:tabs>
        <w:spacing w:line="600" w:lineRule="exact"/>
        <w:ind w:firstLine="640"/>
        <w:outlineLvl w:val="1"/>
        <w:rPr>
          <w:rStyle w:val="33"/>
          <w:rFonts w:hint="default" w:ascii="Times New Roman" w:hAnsi="Times New Roman" w:cs="Times New Roman"/>
        </w:rPr>
      </w:pPr>
      <w:bookmarkStart w:id="60" w:name="_Toc15396608"/>
      <w:bookmarkStart w:id="61" w:name="_Toc26628"/>
      <w:bookmarkStart w:id="62" w:name="_Toc15377214"/>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33"/>
          <w:rFonts w:hint="default" w:ascii="Times New Roman" w:hAnsi="Times New Roman" w:eastAsia="黑体" w:cs="Times New Roman"/>
          <w:b w:val="0"/>
        </w:rPr>
        <w:t>般公共预算财政拨款基本支出决算情况说明</w:t>
      </w:r>
      <w:bookmarkEnd w:id="60"/>
      <w:bookmarkEnd w:id="61"/>
      <w:bookmarkEnd w:id="62"/>
      <w:r>
        <w:rPr>
          <w:rStyle w:val="33"/>
          <w:rFonts w:hint="default" w:ascii="Times New Roman" w:hAnsi="Times New Roman" w:eastAsia="黑体" w:cs="Times New Roman"/>
          <w:b w:val="0"/>
        </w:rPr>
        <w:tab/>
      </w:r>
    </w:p>
    <w:p w14:paraId="0F39A1C8">
      <w:pPr>
        <w:spacing w:line="600" w:lineRule="exact"/>
        <w:ind w:firstLine="640" w:firstLineChars="20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2023年度一般公共预算财政拨款基本支出462.52万元，其中：</w:t>
      </w:r>
    </w:p>
    <w:p w14:paraId="62FE47D9">
      <w:pPr>
        <w:spacing w:line="600" w:lineRule="exact"/>
        <w:ind w:firstLine="640" w:firstLineChars="20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人员经费427.68万元，主要包括：基本工资</w:t>
      </w:r>
      <w:r>
        <w:rPr>
          <w:rFonts w:hint="default" w:ascii="Times New Roman" w:hAnsi="Times New Roman" w:eastAsia="方正仿宋_GBK" w:cs="Times New Roman"/>
          <w:kern w:val="0"/>
          <w:sz w:val="32"/>
          <w:szCs w:val="32"/>
          <w:shd w:val="clear" w:color="auto" w:fill="FFFFFF"/>
          <w:lang w:val="en-US" w:eastAsia="zh-CN" w:bidi="ar"/>
        </w:rPr>
        <w:tab/>
      </w:r>
      <w:r>
        <w:rPr>
          <w:rFonts w:hint="default" w:ascii="Times New Roman" w:hAnsi="Times New Roman" w:eastAsia="方正仿宋_GBK" w:cs="Times New Roman"/>
          <w:kern w:val="0"/>
          <w:sz w:val="32"/>
          <w:szCs w:val="32"/>
          <w:shd w:val="clear" w:color="auto" w:fill="FFFFFF"/>
          <w:lang w:val="en-US" w:eastAsia="zh-CN" w:bidi="ar"/>
        </w:rPr>
        <w:t>70.23万元、津贴补贴103.11万元、奖金110.98万元、绩效工资20.91万元、机关事业单位基本养老保险缴费</w:t>
      </w:r>
      <w:r>
        <w:rPr>
          <w:rFonts w:hint="default" w:ascii="Times New Roman" w:hAnsi="Times New Roman" w:eastAsia="方正仿宋_GBK" w:cs="Times New Roman"/>
          <w:kern w:val="0"/>
          <w:sz w:val="32"/>
          <w:szCs w:val="32"/>
          <w:shd w:val="clear" w:color="auto" w:fill="FFFFFF"/>
          <w:lang w:val="en-US" w:eastAsia="zh-CN" w:bidi="ar"/>
        </w:rPr>
        <w:tab/>
      </w:r>
      <w:r>
        <w:rPr>
          <w:rFonts w:hint="default" w:ascii="Times New Roman" w:hAnsi="Times New Roman" w:eastAsia="方正仿宋_GBK" w:cs="Times New Roman"/>
          <w:kern w:val="0"/>
          <w:sz w:val="32"/>
          <w:szCs w:val="32"/>
          <w:shd w:val="clear" w:color="auto" w:fill="FFFFFF"/>
          <w:lang w:val="en-US" w:eastAsia="zh-CN" w:bidi="ar"/>
        </w:rPr>
        <w:t>39.01万元、职业年金缴费19.51万元、职工基本医疗保险缴费19.45万元、公务员医疗补助缴费5.34万元、其他社会保障缴费4.14万元、  住房公积金</w:t>
      </w:r>
      <w:r>
        <w:rPr>
          <w:rFonts w:hint="default" w:ascii="Times New Roman" w:hAnsi="Times New Roman" w:eastAsia="方正仿宋_GBK" w:cs="Times New Roman"/>
          <w:kern w:val="0"/>
          <w:sz w:val="32"/>
          <w:szCs w:val="32"/>
          <w:shd w:val="clear" w:color="auto" w:fill="FFFFFF"/>
          <w:lang w:val="en-US" w:eastAsia="zh-CN" w:bidi="ar"/>
        </w:rPr>
        <w:tab/>
      </w:r>
      <w:r>
        <w:rPr>
          <w:rFonts w:hint="default" w:ascii="Times New Roman" w:hAnsi="Times New Roman" w:eastAsia="方正仿宋_GBK" w:cs="Times New Roman"/>
          <w:kern w:val="0"/>
          <w:sz w:val="32"/>
          <w:szCs w:val="32"/>
          <w:shd w:val="clear" w:color="auto" w:fill="FFFFFF"/>
          <w:lang w:val="en-US" w:eastAsia="zh-CN" w:bidi="ar"/>
        </w:rPr>
        <w:t>29.03万元、医疗费1.58万元、对个人和家庭的补助4.38万元、生活补助3.82万元、医疗费补助0.56万元</w:t>
      </w:r>
      <w:r>
        <w:rPr>
          <w:rFonts w:hint="default" w:ascii="Times New Roman" w:hAnsi="Times New Roman" w:eastAsia="方正仿宋_GBK" w:cs="Times New Roman"/>
          <w:kern w:val="0"/>
          <w:sz w:val="32"/>
          <w:szCs w:val="32"/>
          <w:shd w:val="clear" w:color="auto" w:fill="FFFFFF"/>
          <w:lang w:val="en-US" w:eastAsia="zh-CN" w:bidi="ar"/>
        </w:rPr>
        <w:br w:type="textWrapping"/>
      </w:r>
      <w:r>
        <w:rPr>
          <w:rFonts w:hint="default" w:ascii="Times New Roman" w:hAnsi="Times New Roman" w:eastAsia="方正仿宋_GBK" w:cs="Times New Roman"/>
          <w:kern w:val="0"/>
          <w:sz w:val="32"/>
          <w:szCs w:val="32"/>
          <w:shd w:val="clear" w:color="auto" w:fill="FFFFFF"/>
          <w:lang w:val="en-US" w:eastAsia="zh-CN" w:bidi="ar"/>
        </w:rPr>
        <w:t>　　公用经费34.85万元，主要包括：办公费10.07万元、印刷费0.40万元、水费0.23万元、电费0.85万元、邮电费</w:t>
      </w:r>
      <w:r>
        <w:rPr>
          <w:rFonts w:hint="default" w:ascii="Times New Roman" w:hAnsi="Times New Roman" w:eastAsia="方正仿宋_GBK" w:cs="Times New Roman"/>
          <w:kern w:val="0"/>
          <w:sz w:val="32"/>
          <w:szCs w:val="32"/>
          <w:shd w:val="clear" w:color="auto" w:fill="FFFFFF"/>
          <w:lang w:val="en-US" w:eastAsia="zh-CN" w:bidi="ar"/>
        </w:rPr>
        <w:tab/>
      </w:r>
      <w:r>
        <w:rPr>
          <w:rFonts w:hint="default" w:ascii="Times New Roman" w:hAnsi="Times New Roman" w:eastAsia="方正仿宋_GBK" w:cs="Times New Roman"/>
          <w:kern w:val="0"/>
          <w:sz w:val="32"/>
          <w:szCs w:val="32"/>
          <w:shd w:val="clear" w:color="auto" w:fill="FFFFFF"/>
          <w:lang w:val="en-US" w:eastAsia="zh-CN" w:bidi="ar"/>
        </w:rPr>
        <w:t>1.58万元、差旅费6.11万元、培训费</w:t>
      </w:r>
      <w:r>
        <w:rPr>
          <w:rFonts w:hint="default" w:ascii="Times New Roman" w:hAnsi="Times New Roman" w:eastAsia="方正仿宋_GBK" w:cs="Times New Roman"/>
          <w:kern w:val="0"/>
          <w:sz w:val="32"/>
          <w:szCs w:val="32"/>
          <w:shd w:val="clear" w:color="auto" w:fill="FFFFFF"/>
          <w:lang w:val="en-US" w:eastAsia="zh-CN" w:bidi="ar"/>
        </w:rPr>
        <w:tab/>
      </w:r>
      <w:r>
        <w:rPr>
          <w:rFonts w:hint="default" w:ascii="Times New Roman" w:hAnsi="Times New Roman" w:eastAsia="方正仿宋_GBK" w:cs="Times New Roman"/>
          <w:kern w:val="0"/>
          <w:sz w:val="32"/>
          <w:szCs w:val="32"/>
          <w:shd w:val="clear" w:color="auto" w:fill="FFFFFF"/>
          <w:lang w:val="en-US" w:eastAsia="zh-CN" w:bidi="ar"/>
        </w:rPr>
        <w:t>0.60万元、公务接待费0.32万元、工会经费3.11万元、公务用车运行维护费11.59万元。</w:t>
      </w:r>
    </w:p>
    <w:p w14:paraId="1DCB25E9">
      <w:pPr>
        <w:spacing w:line="600" w:lineRule="exact"/>
        <w:ind w:firstLine="640"/>
        <w:outlineLvl w:val="1"/>
        <w:rPr>
          <w:rStyle w:val="33"/>
          <w:rFonts w:hint="default" w:ascii="Times New Roman" w:hAnsi="Times New Roman" w:eastAsia="黑体" w:cs="Times New Roman"/>
          <w:b w:val="0"/>
        </w:rPr>
      </w:pPr>
      <w:bookmarkStart w:id="63" w:name="_Toc26800"/>
      <w:bookmarkStart w:id="64" w:name="_Toc15377215"/>
      <w:bookmarkStart w:id="65" w:name="_Toc15396609"/>
      <w:r>
        <w:rPr>
          <w:rFonts w:hint="default" w:ascii="Times New Roman" w:hAnsi="Times New Roman" w:eastAsia="黑体" w:cs="Times New Roman"/>
          <w:sz w:val="32"/>
          <w:szCs w:val="32"/>
        </w:rPr>
        <w:t>七、</w:t>
      </w:r>
      <w:r>
        <w:rPr>
          <w:rStyle w:val="33"/>
          <w:rFonts w:hint="default" w:ascii="Times New Roman" w:hAnsi="Times New Roman" w:eastAsia="黑体" w:cs="Times New Roman"/>
          <w:b w:val="0"/>
        </w:rPr>
        <w:t>财政拨款</w:t>
      </w:r>
      <w:r>
        <w:rPr>
          <w:rStyle w:val="33"/>
          <w:rFonts w:hint="default" w:ascii="Times New Roman" w:hAnsi="Times New Roman" w:eastAsia="黑体" w:cs="Times New Roman"/>
        </w:rPr>
        <w:t>“</w:t>
      </w:r>
      <w:r>
        <w:rPr>
          <w:rStyle w:val="33"/>
          <w:rFonts w:hint="default" w:ascii="Times New Roman" w:hAnsi="Times New Roman" w:eastAsia="黑体" w:cs="Times New Roman"/>
          <w:b w:val="0"/>
        </w:rPr>
        <w:t>三公”经费支出决算情况说明</w:t>
      </w:r>
      <w:bookmarkEnd w:id="63"/>
      <w:bookmarkEnd w:id="64"/>
      <w:bookmarkEnd w:id="65"/>
    </w:p>
    <w:p w14:paraId="7CF5932D">
      <w:pPr>
        <w:spacing w:line="600" w:lineRule="exact"/>
        <w:ind w:firstLine="640"/>
        <w:outlineLvl w:val="2"/>
        <w:rPr>
          <w:rFonts w:hint="default" w:ascii="Times New Roman" w:hAnsi="Times New Roman" w:eastAsia="仿宋" w:cs="Times New Roman"/>
          <w:b/>
          <w:sz w:val="32"/>
          <w:szCs w:val="32"/>
        </w:rPr>
      </w:pPr>
      <w:bookmarkStart w:id="66" w:name="_Toc15377216"/>
      <w:r>
        <w:rPr>
          <w:rFonts w:hint="default" w:ascii="Times New Roman" w:hAnsi="Times New Roman" w:eastAsia="仿宋" w:cs="Times New Roman"/>
          <w:b/>
          <w:sz w:val="32"/>
          <w:szCs w:val="32"/>
        </w:rPr>
        <w:t>（一）“三公”经费财政拨款支出决算总体情况说明</w:t>
      </w:r>
      <w:bookmarkEnd w:id="66"/>
    </w:p>
    <w:p w14:paraId="1236AA4E">
      <w:pPr>
        <w:spacing w:line="600" w:lineRule="exact"/>
        <w:ind w:firstLine="640" w:firstLineChars="20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2023年度“三公”经费财政拨款支出决算为11.91万元，完成预算100%，较上年度11.89万元减少0.02万元，下降0.17%。主要原因是本年度压缩公务用车运行维护费。</w:t>
      </w:r>
    </w:p>
    <w:p w14:paraId="7B198018">
      <w:pPr>
        <w:spacing w:line="600" w:lineRule="exact"/>
        <w:ind w:firstLine="640"/>
        <w:outlineLvl w:val="2"/>
        <w:rPr>
          <w:rFonts w:hint="default" w:ascii="Times New Roman" w:hAnsi="Times New Roman" w:eastAsia="仿宋" w:cs="Times New Roman"/>
          <w:b/>
          <w:sz w:val="32"/>
          <w:szCs w:val="32"/>
        </w:rPr>
      </w:pPr>
      <w:bookmarkStart w:id="67" w:name="_Toc15377217"/>
      <w:r>
        <w:rPr>
          <w:rFonts w:hint="default" w:ascii="Times New Roman" w:hAnsi="Times New Roman" w:eastAsia="仿宋" w:cs="Times New Roman"/>
          <w:b/>
          <w:sz w:val="32"/>
          <w:szCs w:val="32"/>
        </w:rPr>
        <w:t>（二）“三公”经费财政拨款支出决算具体情况说明</w:t>
      </w:r>
      <w:bookmarkEnd w:id="67"/>
    </w:p>
    <w:p w14:paraId="1FEC849F">
      <w:pPr>
        <w:spacing w:line="600" w:lineRule="exact"/>
        <w:ind w:firstLine="420" w:firstLineChars="20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cs="Times New Roman"/>
        </w:rPr>
        <w:drawing>
          <wp:anchor distT="0" distB="0" distL="114300" distR="114300" simplePos="0" relativeHeight="251662336" behindDoc="0" locked="0" layoutInCell="1" allowOverlap="1">
            <wp:simplePos x="0" y="0"/>
            <wp:positionH relativeFrom="column">
              <wp:posOffset>505460</wp:posOffset>
            </wp:positionH>
            <wp:positionV relativeFrom="paragraph">
              <wp:posOffset>1262380</wp:posOffset>
            </wp:positionV>
            <wp:extent cx="4818380" cy="2748915"/>
            <wp:effectExtent l="4445" t="4445" r="15875" b="8890"/>
            <wp:wrapTopAndBottom/>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default" w:ascii="Times New Roman" w:hAnsi="Times New Roman" w:eastAsia="方正仿宋_GBK" w:cs="Times New Roman"/>
          <w:kern w:val="0"/>
          <w:sz w:val="32"/>
          <w:szCs w:val="32"/>
          <w:shd w:val="clear" w:color="auto" w:fill="FFFFFF"/>
          <w:lang w:val="en-US" w:eastAsia="zh-CN" w:bidi="ar"/>
        </w:rPr>
        <w:t>2023年度“三公”经费财政拨款支出决算中，公务用车购置及运行维护费支出决算11.59万元，占97.31%；公务接待费支出决算0.32万元，占2.68%。具体情况如下：</w:t>
      </w:r>
    </w:p>
    <w:p w14:paraId="7E95DDE8">
      <w:pPr>
        <w:spacing w:line="600" w:lineRule="exact"/>
        <w:ind w:firstLine="640" w:firstLineChars="20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（图7：“三公”经费财政拨款支出结构）（饼状图）</w:t>
      </w:r>
    </w:p>
    <w:p w14:paraId="108EEA05">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仿宋_GB2312" w:cs="Times New Roman"/>
          <w:b/>
          <w:sz w:val="32"/>
          <w:szCs w:val="32"/>
        </w:rPr>
        <w:t>1.因公出国（境）经费支出</w:t>
      </w:r>
      <w:r>
        <w:rPr>
          <w:rFonts w:hint="default" w:ascii="Times New Roman" w:hAnsi="Times New Roman" w:eastAsia="方正仿宋_GBK" w:cs="Times New Roman"/>
          <w:kern w:val="0"/>
          <w:sz w:val="32"/>
          <w:szCs w:val="32"/>
          <w:shd w:val="clear" w:color="auto" w:fill="FFFFFF"/>
          <w:lang w:val="en-US" w:eastAsia="zh-CN" w:bidi="ar"/>
        </w:rPr>
        <w:t>0万元，完成预算0%。全年安排因公出国（境）团组0次，出国（境）0人。因公出国（境）支出决算比2022年持平。</w:t>
      </w:r>
    </w:p>
    <w:p w14:paraId="348E788F">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rPr>
        <w:t>公务用车购置及运行维护费支出</w:t>
      </w:r>
      <w:r>
        <w:rPr>
          <w:rFonts w:hint="default" w:ascii="Times New Roman" w:hAnsi="Times New Roman" w:cs="Times New Roman"/>
          <w:sz w:val="32"/>
          <w:szCs w:val="32"/>
        </w:rPr>
        <w:t>11.59</w:t>
      </w:r>
      <w:r>
        <w:rPr>
          <w:rFonts w:hint="default" w:ascii="Times New Roman" w:hAnsi="Times New Roman" w:eastAsia="方正仿宋_GBK" w:cs="Times New Roman"/>
          <w:kern w:val="0"/>
          <w:sz w:val="32"/>
          <w:szCs w:val="32"/>
          <w:shd w:val="clear" w:color="auto" w:fill="FFFFFF"/>
          <w:lang w:val="en-US" w:eastAsia="zh-CN" w:bidi="ar"/>
        </w:rPr>
        <w:t>万元,完成预算100%。公务用车购置及运行维护费支出决算比2022年度11.51万元减少0.08万元，下降0.695%。主要原因是压缩公务用车运行维护费。</w:t>
      </w:r>
    </w:p>
    <w:p w14:paraId="6DABC796">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其中：</w:t>
      </w:r>
      <w:r>
        <w:rPr>
          <w:rFonts w:hint="default" w:ascii="Times New Roman" w:hAnsi="Times New Roman" w:eastAsia="仿宋_GB2312" w:cs="Times New Roman"/>
          <w:b/>
          <w:sz w:val="32"/>
          <w:szCs w:val="32"/>
        </w:rPr>
        <w:t>公务用车购置支出</w:t>
      </w:r>
      <w:r>
        <w:rPr>
          <w:rFonts w:hint="default" w:ascii="Times New Roman" w:hAnsi="Times New Roman" w:eastAsia="方正仿宋_GBK" w:cs="Times New Roman"/>
          <w:kern w:val="0"/>
          <w:sz w:val="32"/>
          <w:szCs w:val="32"/>
          <w:shd w:val="clear" w:color="auto" w:fill="FFFFFF"/>
          <w:lang w:val="en-US" w:eastAsia="zh-CN" w:bidi="ar"/>
        </w:rPr>
        <w:t>0万元。截至2023年12月31日，单位共有公务用车2辆，其中：越野车2辆。</w:t>
      </w:r>
    </w:p>
    <w:p w14:paraId="338D5B35">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仿宋_GB2312" w:cs="Times New Roman"/>
          <w:b/>
          <w:sz w:val="32"/>
          <w:szCs w:val="32"/>
        </w:rPr>
        <w:t>公务用车运行维护费支出</w:t>
      </w:r>
      <w:r>
        <w:rPr>
          <w:rFonts w:hint="default" w:ascii="Times New Roman" w:hAnsi="Times New Roman" w:cs="Times New Roman"/>
          <w:sz w:val="32"/>
          <w:szCs w:val="32"/>
        </w:rPr>
        <w:t>11.59</w:t>
      </w:r>
      <w:r>
        <w:rPr>
          <w:rFonts w:hint="default" w:ascii="Times New Roman" w:hAnsi="Times New Roman" w:eastAsia="方正仿宋_GBK" w:cs="Times New Roman"/>
          <w:kern w:val="0"/>
          <w:sz w:val="32"/>
          <w:szCs w:val="32"/>
          <w:shd w:val="clear" w:color="auto" w:fill="FFFFFF"/>
          <w:lang w:val="en-US" w:eastAsia="zh-CN" w:bidi="ar"/>
        </w:rPr>
        <w:t>万元。主要用于开展单位日常工作、出差、下乡等等所需的公务用车燃料费、维修费、过路费、保险费等支出。</w:t>
      </w:r>
    </w:p>
    <w:p w14:paraId="3BD7B0C1">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仿宋_GB2312" w:cs="Times New Roman"/>
          <w:b/>
          <w:sz w:val="32"/>
          <w:szCs w:val="32"/>
        </w:rPr>
        <w:t>3.公务接待费支出</w:t>
      </w:r>
      <w:r>
        <w:rPr>
          <w:rFonts w:hint="default" w:ascii="Times New Roman" w:hAnsi="Times New Roman" w:cs="Times New Roman"/>
          <w:sz w:val="32"/>
          <w:szCs w:val="32"/>
        </w:rPr>
        <w:t>0.32</w:t>
      </w:r>
      <w:r>
        <w:rPr>
          <w:rFonts w:hint="default" w:ascii="Times New Roman" w:hAnsi="Times New Roman" w:eastAsia="方正仿宋_GBK" w:cs="Times New Roman"/>
          <w:kern w:val="0"/>
          <w:sz w:val="32"/>
          <w:szCs w:val="32"/>
          <w:shd w:val="clear" w:color="auto" w:fill="FFFFFF"/>
          <w:lang w:val="en-US" w:eastAsia="zh-CN" w:bidi="ar"/>
        </w:rPr>
        <w:t>万元，完成预算100%。公务接待费支出决算比2022年度0.37万元减少0.05万元，下降13.51%。主要原因是压减公务接待活动。</w:t>
      </w:r>
    </w:p>
    <w:p w14:paraId="2248B040">
      <w:pPr>
        <w:spacing w:line="600" w:lineRule="exact"/>
        <w:ind w:firstLine="640"/>
        <w:rPr>
          <w:rFonts w:hint="default" w:ascii="Times New Roman" w:hAnsi="Times New Roman" w:eastAsia="仿宋_GB2312" w:cs="Times New Roman"/>
          <w:sz w:val="32"/>
          <w:szCs w:val="32"/>
          <w:lang w:eastAsia="zh-CN"/>
        </w:rPr>
      </w:pPr>
      <w:r>
        <w:rPr>
          <w:rFonts w:hint="default" w:ascii="Times New Roman" w:hAnsi="Times New Roman" w:eastAsia="仿宋" w:cs="Times New Roman"/>
          <w:b/>
          <w:sz w:val="32"/>
          <w:szCs w:val="32"/>
        </w:rPr>
        <w:t>国内公务接待支出</w:t>
      </w:r>
      <w:r>
        <w:rPr>
          <w:rFonts w:hint="default" w:ascii="Times New Roman" w:hAnsi="Times New Roman" w:eastAsia="仿宋" w:cs="Times New Roman"/>
          <w:b/>
          <w:sz w:val="32"/>
          <w:szCs w:val="32"/>
          <w:lang w:val="en-US" w:eastAsia="zh-CN"/>
        </w:rPr>
        <w:t>0.32</w:t>
      </w:r>
      <w:r>
        <w:rPr>
          <w:rFonts w:hint="default" w:ascii="Times New Roman" w:hAnsi="Times New Roman" w:eastAsia="方正仿宋_GBK" w:cs="Times New Roman"/>
          <w:kern w:val="0"/>
          <w:sz w:val="32"/>
          <w:szCs w:val="32"/>
          <w:shd w:val="clear" w:color="auto" w:fill="FFFFFF"/>
          <w:lang w:val="en-US" w:eastAsia="zh-CN" w:bidi="ar"/>
        </w:rPr>
        <w:t>万元，主要用于开展业务活动开支的住宿费、用餐费等。国内公务接待3批次，18人次（不包括陪同人员），共计支出0.32万元。</w:t>
      </w:r>
      <w:r>
        <w:rPr>
          <w:rFonts w:hint="default" w:ascii="Times New Roman" w:hAnsi="Times New Roman" w:eastAsia="仿宋" w:cs="Times New Roman"/>
          <w:b/>
          <w:sz w:val="32"/>
          <w:szCs w:val="32"/>
        </w:rPr>
        <w:t>外事接待支出</w:t>
      </w:r>
      <w:r>
        <w:rPr>
          <w:rFonts w:hint="default" w:ascii="Times New Roman" w:hAnsi="Times New Roman" w:eastAsia="仿宋" w:cs="Times New Roman"/>
          <w:b/>
          <w:sz w:val="32"/>
          <w:szCs w:val="32"/>
          <w:lang w:val="en-US" w:eastAsia="zh-CN"/>
        </w:rPr>
        <w:t>0</w:t>
      </w:r>
      <w:r>
        <w:rPr>
          <w:rFonts w:hint="default" w:ascii="Times New Roman" w:hAnsi="Times New Roman" w:eastAsia="仿宋_GB2312" w:cs="Times New Roman"/>
          <w:sz w:val="32"/>
          <w:szCs w:val="32"/>
        </w:rPr>
        <w:t>万元</w:t>
      </w:r>
      <w:bookmarkStart w:id="68" w:name="_Toc15377218"/>
      <w:bookmarkStart w:id="69" w:name="_Toc15396610"/>
      <w:r>
        <w:rPr>
          <w:rFonts w:hint="default" w:ascii="Times New Roman" w:hAnsi="Times New Roman" w:eastAsia="仿宋_GB2312" w:cs="Times New Roman"/>
          <w:sz w:val="32"/>
          <w:szCs w:val="32"/>
          <w:lang w:eastAsia="zh-CN"/>
        </w:rPr>
        <w:t>。</w:t>
      </w:r>
    </w:p>
    <w:p w14:paraId="701C1902">
      <w:pPr>
        <w:spacing w:line="600" w:lineRule="exact"/>
        <w:ind w:firstLine="640"/>
        <w:outlineLvl w:val="1"/>
        <w:rPr>
          <w:rStyle w:val="33"/>
          <w:rFonts w:hint="default" w:ascii="Times New Roman" w:hAnsi="Times New Roman" w:eastAsia="黑体" w:cs="Times New Roman"/>
        </w:rPr>
      </w:pPr>
      <w:bookmarkStart w:id="70" w:name="_Toc13249"/>
      <w:r>
        <w:rPr>
          <w:rFonts w:hint="default" w:ascii="Times New Roman" w:hAnsi="Times New Roman" w:eastAsia="黑体" w:cs="Times New Roman"/>
          <w:sz w:val="32"/>
          <w:szCs w:val="32"/>
        </w:rPr>
        <w:t>八、</w:t>
      </w:r>
      <w:r>
        <w:rPr>
          <w:rStyle w:val="33"/>
          <w:rFonts w:hint="default" w:ascii="Times New Roman" w:hAnsi="Times New Roman" w:eastAsia="黑体" w:cs="Times New Roman"/>
          <w:b w:val="0"/>
        </w:rPr>
        <w:t>政府性基金预算支出决算情况说明</w:t>
      </w:r>
      <w:bookmarkEnd w:id="68"/>
      <w:bookmarkEnd w:id="69"/>
      <w:bookmarkEnd w:id="70"/>
    </w:p>
    <w:p w14:paraId="6BCDFFE6">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2023年度政府性基金预算财政拨款支出0万元，与上年持平。</w:t>
      </w:r>
    </w:p>
    <w:p w14:paraId="615C409B">
      <w:pPr>
        <w:numPr>
          <w:ilvl w:val="0"/>
          <w:numId w:val="1"/>
        </w:numPr>
        <w:spacing w:line="600" w:lineRule="exact"/>
        <w:ind w:firstLine="640"/>
        <w:outlineLvl w:val="1"/>
        <w:rPr>
          <w:rStyle w:val="33"/>
          <w:rFonts w:hint="default" w:ascii="Times New Roman" w:hAnsi="Times New Roman" w:eastAsia="黑体" w:cs="Times New Roman"/>
          <w:b w:val="0"/>
        </w:rPr>
      </w:pPr>
      <w:bookmarkStart w:id="71" w:name="_Toc15396611"/>
      <w:bookmarkStart w:id="72" w:name="_Toc15377219"/>
      <w:bookmarkStart w:id="73" w:name="_Toc4483"/>
      <w:r>
        <w:rPr>
          <w:rStyle w:val="33"/>
          <w:rFonts w:hint="default" w:ascii="Times New Roman" w:hAnsi="Times New Roman" w:eastAsia="黑体" w:cs="Times New Roman"/>
          <w:b w:val="0"/>
        </w:rPr>
        <w:t>国有资本经营预算支出决算情况说明</w:t>
      </w:r>
      <w:bookmarkEnd w:id="71"/>
      <w:bookmarkEnd w:id="72"/>
      <w:bookmarkEnd w:id="73"/>
    </w:p>
    <w:p w14:paraId="2217B814">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2023年度国有资本经营预算财政拨款支出0万元，与上年持平。截止2023年年末，单位固定资产为132.44万元。</w:t>
      </w:r>
    </w:p>
    <w:p w14:paraId="15F19D9E">
      <w:pPr>
        <w:numPr>
          <w:ilvl w:val="0"/>
          <w:numId w:val="1"/>
        </w:numPr>
        <w:spacing w:line="600" w:lineRule="exact"/>
        <w:ind w:firstLine="640"/>
        <w:outlineLvl w:val="1"/>
        <w:rPr>
          <w:rStyle w:val="33"/>
          <w:rFonts w:hint="default" w:ascii="Times New Roman" w:hAnsi="Times New Roman" w:eastAsia="黑体" w:cs="Times New Roman"/>
          <w:b w:val="0"/>
        </w:rPr>
      </w:pPr>
      <w:bookmarkStart w:id="74" w:name="_Toc15396612"/>
      <w:bookmarkStart w:id="75" w:name="_Toc2253"/>
      <w:bookmarkStart w:id="76" w:name="_Toc15377221"/>
      <w:r>
        <w:rPr>
          <w:rStyle w:val="33"/>
          <w:rFonts w:hint="default" w:ascii="Times New Roman" w:hAnsi="Times New Roman" w:eastAsia="黑体" w:cs="Times New Roman"/>
          <w:b w:val="0"/>
        </w:rPr>
        <w:t>其他重要事项的情况说明</w:t>
      </w:r>
      <w:bookmarkEnd w:id="74"/>
      <w:bookmarkEnd w:id="75"/>
      <w:bookmarkEnd w:id="76"/>
    </w:p>
    <w:p w14:paraId="1A908427">
      <w:pPr>
        <w:spacing w:line="600" w:lineRule="exact"/>
        <w:ind w:firstLine="643" w:firstLineChars="200"/>
        <w:outlineLvl w:val="2"/>
        <w:rPr>
          <w:rFonts w:hint="default" w:ascii="Times New Roman" w:hAnsi="Times New Roman" w:eastAsia="仿宋" w:cs="Times New Roman"/>
          <w:sz w:val="32"/>
          <w:szCs w:val="32"/>
        </w:rPr>
      </w:pPr>
      <w:bookmarkStart w:id="77" w:name="_Toc15377222"/>
      <w:r>
        <w:rPr>
          <w:rFonts w:hint="default" w:ascii="Times New Roman" w:hAnsi="Times New Roman" w:eastAsia="仿宋" w:cs="Times New Roman"/>
          <w:b/>
          <w:sz w:val="32"/>
          <w:szCs w:val="32"/>
        </w:rPr>
        <w:t>（一）机关运行经费支出情况</w:t>
      </w:r>
      <w:bookmarkEnd w:id="77"/>
    </w:p>
    <w:p w14:paraId="53C5D0F9">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2023年度，红原县宣传部机关运行经费支出25.31万元，比2022年度35.10减少9.79万元，下降27.89%。主要原因是本年度厉行节约，压缩单位运行成本。本年年末单位由养老保险机构发放养老金的退休人员为8人，比上年增加1人。</w:t>
      </w:r>
    </w:p>
    <w:p w14:paraId="1B053E0B">
      <w:pPr>
        <w:autoSpaceDE w:val="0"/>
        <w:autoSpaceDN w:val="0"/>
        <w:adjustRightInd w:val="0"/>
        <w:spacing w:line="600" w:lineRule="exact"/>
        <w:ind w:firstLine="643" w:firstLineChars="200"/>
        <w:jc w:val="left"/>
        <w:outlineLvl w:val="2"/>
        <w:rPr>
          <w:rFonts w:hint="default" w:ascii="Times New Roman" w:hAnsi="Times New Roman" w:eastAsia="仿宋" w:cs="Times New Roman"/>
          <w:b/>
          <w:sz w:val="32"/>
          <w:szCs w:val="32"/>
        </w:rPr>
      </w:pPr>
      <w:bookmarkStart w:id="78" w:name="_Toc15377223"/>
      <w:r>
        <w:rPr>
          <w:rFonts w:hint="default" w:ascii="Times New Roman" w:hAnsi="Times New Roman" w:eastAsia="仿宋" w:cs="Times New Roman"/>
          <w:b/>
          <w:sz w:val="32"/>
          <w:szCs w:val="32"/>
        </w:rPr>
        <w:t>（二）政府采购支出情况</w:t>
      </w:r>
      <w:bookmarkEnd w:id="78"/>
    </w:p>
    <w:p w14:paraId="1BC0CEB0">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2023年度，红原县宣传部政府采购支出总额0万元，其中：政府采购货物支出0万元、政府采购工程支出0万元、政府采购服务支出0万元。</w:t>
      </w:r>
    </w:p>
    <w:p w14:paraId="546EAB9D">
      <w:pPr>
        <w:autoSpaceDE w:val="0"/>
        <w:autoSpaceDN w:val="0"/>
        <w:adjustRightInd w:val="0"/>
        <w:spacing w:line="600" w:lineRule="exact"/>
        <w:ind w:firstLine="643" w:firstLineChars="200"/>
        <w:jc w:val="left"/>
        <w:outlineLvl w:val="2"/>
        <w:rPr>
          <w:rFonts w:hint="default" w:ascii="Times New Roman" w:hAnsi="Times New Roman" w:eastAsia="仿宋" w:cs="Times New Roman"/>
          <w:b/>
          <w:sz w:val="32"/>
          <w:szCs w:val="32"/>
        </w:rPr>
      </w:pPr>
      <w:bookmarkStart w:id="79" w:name="_Toc15377224"/>
      <w:r>
        <w:rPr>
          <w:rFonts w:hint="default" w:ascii="Times New Roman" w:hAnsi="Times New Roman" w:eastAsia="仿宋" w:cs="Times New Roman"/>
          <w:b/>
          <w:sz w:val="32"/>
          <w:szCs w:val="32"/>
        </w:rPr>
        <w:t>（三）国有资产占有使用情况</w:t>
      </w:r>
      <w:bookmarkEnd w:id="79"/>
    </w:p>
    <w:p w14:paraId="079613AE">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截至2023年12月31日，红原县宣传部共有车辆2辆，其中：一般公务用车2辆，其中：越野车2辆。</w:t>
      </w:r>
    </w:p>
    <w:p w14:paraId="5F51CFB2">
      <w:pPr>
        <w:autoSpaceDE w:val="0"/>
        <w:autoSpaceDN w:val="0"/>
        <w:adjustRightInd w:val="0"/>
        <w:spacing w:line="600" w:lineRule="exact"/>
        <w:ind w:firstLine="643" w:firstLineChars="200"/>
        <w:jc w:val="left"/>
        <w:outlineLvl w:val="2"/>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（四）预算绩效管理情况</w:t>
      </w:r>
    </w:p>
    <w:p w14:paraId="5D157A62">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根据预算绩效管理要求，我单位根据工作规划和重点工作规划，积极履行职责，强化本单位预算管理，组织对2023年度一般公共预算等全面开展绩效自评，形成部门整体绩效自评报告，绩效自评报告详见附件1。</w:t>
      </w:r>
    </w:p>
    <w:p w14:paraId="41BA39DF">
      <w:pPr>
        <w:pStyle w:val="39"/>
        <w:widowControl/>
        <w:snapToGrid w:val="0"/>
        <w:spacing w:before="0" w:beforeAutospacing="0"/>
        <w:ind w:firstLine="640" w:firstLineChars="200"/>
        <w:rPr>
          <w:rFonts w:hint="eastAsia" w:ascii="仿宋_GB2312" w:hAnsi="宋体" w:eastAsia="仿宋_GB2312" w:cs="仿宋_GB2312"/>
          <w:sz w:val="32"/>
          <w:szCs w:val="32"/>
          <w:highlight w:val="none"/>
          <w:lang w:eastAsia="zh-CN"/>
        </w:rPr>
      </w:pPr>
    </w:p>
    <w:p w14:paraId="44435284">
      <w:pPr>
        <w:pStyle w:val="5"/>
        <w:jc w:val="center"/>
        <w:rPr>
          <w:rStyle w:val="43"/>
          <w:rFonts w:hint="eastAsia" w:ascii="黑体" w:eastAsia="黑体"/>
          <w:b w:val="0"/>
          <w:bCs w:val="0"/>
        </w:rPr>
      </w:pPr>
      <w:bookmarkStart w:id="80" w:name="_Toc18665"/>
      <w:r>
        <w:rPr>
          <w:rStyle w:val="43"/>
          <w:rFonts w:hint="eastAsia" w:ascii="黑体" w:eastAsia="黑体"/>
          <w:b w:val="0"/>
          <w:bCs w:val="0"/>
        </w:rPr>
        <w:t>第三部分 名词解释</w:t>
      </w:r>
      <w:bookmarkEnd w:id="80"/>
    </w:p>
    <w:p w14:paraId="671F7C1F"/>
    <w:p w14:paraId="0A23A222">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bookmarkStart w:id="81" w:name="_Toc20377"/>
      <w:bookmarkStart w:id="82" w:name="_Toc21113"/>
      <w:r>
        <w:rPr>
          <w:rFonts w:hint="default" w:ascii="Times New Roman" w:hAnsi="Times New Roman" w:eastAsia="方正仿宋_GBK" w:cs="Times New Roman"/>
          <w:kern w:val="0"/>
          <w:sz w:val="32"/>
          <w:szCs w:val="32"/>
          <w:shd w:val="clear" w:color="auto" w:fill="FFFFFF"/>
          <w:lang w:val="zh-CN" w:eastAsia="zh-CN" w:bidi="ar"/>
        </w:rPr>
        <w:t>1.财政拨款收入：指单位从同级财政部门取得的财政预算资金。</w:t>
      </w:r>
      <w:bookmarkEnd w:id="81"/>
      <w:bookmarkEnd w:id="82"/>
    </w:p>
    <w:p w14:paraId="457C62F0">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2.事业收入：指事业单位开展专业业务活动及辅助活动取得的收入。</w:t>
      </w:r>
    </w:p>
    <w:p w14:paraId="1743EB3F">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3.经营收入：指事业单位在专业业务活动及其辅助活动之外开展非独立核算经营活动取得的收入。</w:t>
      </w:r>
    </w:p>
    <w:p w14:paraId="01CF962E">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bookmarkStart w:id="83" w:name="_Toc31663"/>
      <w:r>
        <w:rPr>
          <w:rFonts w:hint="default" w:ascii="Times New Roman" w:hAnsi="Times New Roman" w:eastAsia="方正仿宋_GBK" w:cs="Times New Roman"/>
          <w:kern w:val="0"/>
          <w:sz w:val="32"/>
          <w:szCs w:val="32"/>
          <w:shd w:val="clear" w:color="auto" w:fill="FFFFFF"/>
          <w:lang w:val="zh-CN" w:eastAsia="zh-CN" w:bidi="ar"/>
        </w:rPr>
        <w:t>4.其他收入：指单位取得的除上述收入以外的各项收入。</w:t>
      </w:r>
      <w:bookmarkEnd w:id="83"/>
    </w:p>
    <w:p w14:paraId="444BCF6D">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 xml:space="preserve">5.使用非财政拨款结余（含专用结余）：指事业单位使用以前年度积累的非财政拨款结余弥补当年收支差额的金额。 </w:t>
      </w:r>
    </w:p>
    <w:p w14:paraId="63EB5412">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 xml:space="preserve">6.年初结转和结余：指以前年度尚未完成、结转到本年按有关规定继续使用的资金。 </w:t>
      </w:r>
    </w:p>
    <w:p w14:paraId="13935291">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7.结余分配：指事业单位按照会计制度规定缴纳的所得税、提取的专用结余以及转入非财政拨款结余的金额等。</w:t>
      </w:r>
    </w:p>
    <w:p w14:paraId="4A8FE5A2">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8.年末结转和结余：指单位按有关规定结转到下年或以后年度继续使用的资金。</w:t>
      </w:r>
    </w:p>
    <w:p w14:paraId="4026D7F8">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9.201</w:t>
      </w:r>
      <w:r>
        <w:rPr>
          <w:rFonts w:hint="default" w:ascii="Times New Roman" w:hAnsi="Times New Roman" w:eastAsia="方正仿宋_GBK" w:cs="Times New Roman"/>
          <w:kern w:val="0"/>
          <w:sz w:val="32"/>
          <w:szCs w:val="32"/>
          <w:shd w:val="clear" w:color="auto" w:fill="FFFFFF"/>
          <w:lang w:val="en-US" w:eastAsia="zh-CN" w:bidi="ar"/>
        </w:rPr>
        <w:t>3</w:t>
      </w:r>
      <w:r>
        <w:rPr>
          <w:rFonts w:hint="default" w:ascii="Times New Roman" w:hAnsi="Times New Roman" w:eastAsia="方正仿宋_GBK" w:cs="Times New Roman"/>
          <w:kern w:val="0"/>
          <w:sz w:val="32"/>
          <w:szCs w:val="32"/>
          <w:shd w:val="clear" w:color="auto" w:fill="FFFFFF"/>
          <w:lang w:val="zh-CN" w:eastAsia="zh-CN" w:bidi="ar"/>
        </w:rPr>
        <w:t>301行政运行：指行政单位（包括实行公务员管理的事业单位）的基本支出。</w:t>
      </w:r>
    </w:p>
    <w:p w14:paraId="100AB6C2">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10.2013302一般行政管理事务:指反映行政单位(包括实行公务员管理的事业单位)未单独设置项级科目的其他项目支出。</w:t>
      </w:r>
    </w:p>
    <w:p w14:paraId="65F8865F">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11.</w:t>
      </w:r>
      <w:r>
        <w:rPr>
          <w:rFonts w:hint="default" w:ascii="Times New Roman" w:hAnsi="Times New Roman" w:eastAsia="方正仿宋_GBK" w:cs="Times New Roman"/>
          <w:kern w:val="0"/>
          <w:sz w:val="32"/>
          <w:szCs w:val="32"/>
          <w:shd w:val="clear" w:color="auto" w:fill="FFFFFF"/>
          <w:lang w:val="zh-CN" w:eastAsia="zh-CN" w:bidi="ar"/>
        </w:rPr>
        <w:t>2013350事业运行:指反映事业单位的基本支出,不包括行政单位(包括实行公务员管理的事业单位)后勤服务中心、医务室等附属事业单位。</w:t>
      </w:r>
    </w:p>
    <w:p w14:paraId="13670C52">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12</w:t>
      </w:r>
      <w:r>
        <w:rPr>
          <w:rFonts w:hint="default" w:ascii="Times New Roman" w:hAnsi="Times New Roman" w:eastAsia="方正仿宋_GBK" w:cs="Times New Roman"/>
          <w:kern w:val="0"/>
          <w:sz w:val="32"/>
          <w:szCs w:val="32"/>
          <w:shd w:val="clear" w:color="auto" w:fill="FFFFFF"/>
          <w:lang w:val="zh-CN" w:eastAsia="zh-CN" w:bidi="ar"/>
        </w:rPr>
        <w:t>.2080505社会保障和就业：指机关事业单位基本养老保险缴费支出。</w:t>
      </w:r>
    </w:p>
    <w:p w14:paraId="6D1E53F1">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13.2050806机关事业单位职业年金缴费支出：指机关事业单位职业年金缴费支出</w:t>
      </w:r>
      <w:r>
        <w:rPr>
          <w:rFonts w:hint="default" w:ascii="Times New Roman" w:hAnsi="Times New Roman" w:eastAsia="方正仿宋_GBK" w:cs="Times New Roman"/>
          <w:kern w:val="0"/>
          <w:sz w:val="32"/>
          <w:szCs w:val="32"/>
          <w:shd w:val="clear" w:color="auto" w:fill="FFFFFF"/>
          <w:lang w:val="zh-CN" w:eastAsia="zh-CN" w:bidi="ar"/>
        </w:rPr>
        <w:t>。</w:t>
      </w:r>
    </w:p>
    <w:p w14:paraId="503112AF">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14</w:t>
      </w:r>
      <w:r>
        <w:rPr>
          <w:rFonts w:hint="default" w:ascii="Times New Roman" w:hAnsi="Times New Roman" w:eastAsia="方正仿宋_GBK" w:cs="Times New Roman"/>
          <w:kern w:val="0"/>
          <w:sz w:val="32"/>
          <w:szCs w:val="32"/>
          <w:shd w:val="clear" w:color="auto" w:fill="FFFFFF"/>
          <w:lang w:val="zh-CN" w:eastAsia="zh-CN" w:bidi="ar"/>
        </w:rPr>
        <w:t>.</w:t>
      </w:r>
      <w:r>
        <w:rPr>
          <w:rFonts w:hint="default" w:ascii="Times New Roman" w:hAnsi="Times New Roman" w:eastAsia="方正仿宋_GBK" w:cs="Times New Roman"/>
          <w:kern w:val="0"/>
          <w:sz w:val="32"/>
          <w:szCs w:val="32"/>
          <w:shd w:val="clear" w:color="auto" w:fill="FFFFFF"/>
          <w:lang w:val="en-US" w:eastAsia="zh-CN" w:bidi="ar"/>
        </w:rPr>
        <w:t>2101101</w:t>
      </w:r>
      <w:r>
        <w:rPr>
          <w:rFonts w:hint="default" w:ascii="Times New Roman" w:hAnsi="Times New Roman" w:eastAsia="方正仿宋_GBK" w:cs="Times New Roman"/>
          <w:kern w:val="0"/>
          <w:sz w:val="32"/>
          <w:szCs w:val="32"/>
          <w:shd w:val="clear" w:color="auto" w:fill="FFFFFF"/>
          <w:lang w:val="zh-CN" w:eastAsia="zh-CN" w:bidi="ar"/>
        </w:rPr>
        <w:t>行政单位医疗：指行政单位医疗支出。</w:t>
      </w:r>
      <w:r>
        <w:rPr>
          <w:rFonts w:hint="default" w:ascii="Times New Roman" w:hAnsi="Times New Roman" w:eastAsia="方正仿宋_GBK" w:cs="Times New Roman"/>
          <w:kern w:val="0"/>
          <w:sz w:val="32"/>
          <w:szCs w:val="32"/>
          <w:shd w:val="clear" w:color="auto" w:fill="FFFFFF"/>
          <w:lang w:val="en-US" w:eastAsia="zh-CN" w:bidi="ar"/>
        </w:rPr>
        <w:t>15.2101102事业单位医疗：指事业单位医疗支出。16.2101103公务员医疗补助：指公务员医疗补助支出。17.2101199其他行政事业单位医疗支出：指其他行政事业单位医疗支出</w:t>
      </w:r>
      <w:r>
        <w:rPr>
          <w:rFonts w:hint="default" w:ascii="Times New Roman" w:hAnsi="Times New Roman" w:eastAsia="方正仿宋_GBK" w:cs="Times New Roman"/>
          <w:kern w:val="0"/>
          <w:sz w:val="32"/>
          <w:szCs w:val="32"/>
          <w:shd w:val="clear" w:color="auto" w:fill="FFFFFF"/>
          <w:lang w:val="zh-CN" w:eastAsia="zh-CN" w:bidi="ar"/>
        </w:rPr>
        <w:t>。</w:t>
      </w:r>
    </w:p>
    <w:p w14:paraId="771F02F1">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18</w:t>
      </w:r>
      <w:r>
        <w:rPr>
          <w:rFonts w:hint="default" w:ascii="Times New Roman" w:hAnsi="Times New Roman" w:eastAsia="方正仿宋_GBK" w:cs="Times New Roman"/>
          <w:kern w:val="0"/>
          <w:sz w:val="32"/>
          <w:szCs w:val="32"/>
          <w:shd w:val="clear" w:color="auto" w:fill="FFFFFF"/>
          <w:lang w:val="zh-CN" w:eastAsia="zh-CN" w:bidi="ar"/>
        </w:rPr>
        <w:t>.</w:t>
      </w:r>
      <w:r>
        <w:rPr>
          <w:rFonts w:hint="default" w:ascii="Times New Roman" w:hAnsi="Times New Roman" w:eastAsia="方正仿宋_GBK" w:cs="Times New Roman"/>
          <w:kern w:val="0"/>
          <w:sz w:val="32"/>
          <w:szCs w:val="32"/>
          <w:shd w:val="clear" w:color="auto" w:fill="FFFFFF"/>
          <w:lang w:val="en-US" w:eastAsia="zh-CN" w:bidi="ar"/>
        </w:rPr>
        <w:t>2210201</w:t>
      </w:r>
      <w:r>
        <w:rPr>
          <w:rFonts w:hint="default" w:ascii="Times New Roman" w:hAnsi="Times New Roman" w:eastAsia="方正仿宋_GBK" w:cs="Times New Roman"/>
          <w:kern w:val="0"/>
          <w:sz w:val="32"/>
          <w:szCs w:val="32"/>
          <w:shd w:val="clear" w:color="auto" w:fill="FFFFFF"/>
          <w:lang w:val="zh-CN" w:eastAsia="zh-CN" w:bidi="ar"/>
        </w:rPr>
        <w:t>住房保障：指住房公积金支出。</w:t>
      </w:r>
    </w:p>
    <w:p w14:paraId="50FB1265">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19</w:t>
      </w:r>
      <w:r>
        <w:rPr>
          <w:rFonts w:hint="default" w:ascii="Times New Roman" w:hAnsi="Times New Roman" w:eastAsia="方正仿宋_GBK" w:cs="Times New Roman"/>
          <w:kern w:val="0"/>
          <w:sz w:val="32"/>
          <w:szCs w:val="32"/>
          <w:shd w:val="clear" w:color="auto" w:fill="FFFFFF"/>
          <w:lang w:val="zh-CN" w:eastAsia="zh-CN" w:bidi="ar"/>
        </w:rPr>
        <w:t>.基本支出：指为保障机构正常运转、完成日常工作任务而发生的人员支出和公用支出。</w:t>
      </w:r>
    </w:p>
    <w:p w14:paraId="46F41CB0">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20</w:t>
      </w:r>
      <w:r>
        <w:rPr>
          <w:rFonts w:hint="default" w:ascii="Times New Roman" w:hAnsi="Times New Roman" w:eastAsia="方正仿宋_GBK" w:cs="Times New Roman"/>
          <w:kern w:val="0"/>
          <w:sz w:val="32"/>
          <w:szCs w:val="32"/>
          <w:shd w:val="clear" w:color="auto" w:fill="FFFFFF"/>
          <w:lang w:val="zh-CN" w:eastAsia="zh-CN" w:bidi="ar"/>
        </w:rPr>
        <w:t xml:space="preserve">.项目支出：指在基本支出之外为完成特定行政任务和事业发展目标所发生的支出。 </w:t>
      </w:r>
    </w:p>
    <w:p w14:paraId="2A377911">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21</w:t>
      </w:r>
      <w:r>
        <w:rPr>
          <w:rFonts w:hint="default" w:ascii="Times New Roman" w:hAnsi="Times New Roman" w:eastAsia="方正仿宋_GBK" w:cs="Times New Roman"/>
          <w:kern w:val="0"/>
          <w:sz w:val="32"/>
          <w:szCs w:val="32"/>
          <w:shd w:val="clear" w:color="auto" w:fill="FFFFFF"/>
          <w:lang w:val="zh-CN" w:eastAsia="zh-CN" w:bidi="ar"/>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B9398B2">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22.机关运行经</w:t>
      </w:r>
      <w:r>
        <w:rPr>
          <w:rFonts w:hint="default" w:ascii="Times New Roman" w:hAnsi="Times New Roman" w:eastAsia="方正仿宋_GBK" w:cs="Times New Roman"/>
          <w:kern w:val="0"/>
          <w:sz w:val="32"/>
          <w:szCs w:val="32"/>
          <w:shd w:val="clear" w:color="auto" w:fill="FFFFFF"/>
          <w:lang w:val="zh-CN" w:eastAsia="zh-CN" w:bidi="ar"/>
        </w:rPr>
        <w:t>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3E8E60B">
      <w:pPr>
        <w:pStyle w:val="5"/>
        <w:jc w:val="center"/>
        <w:rPr>
          <w:rStyle w:val="43"/>
          <w:rFonts w:hint="default" w:ascii="Times New Roman" w:hAnsi="Times New Roman" w:eastAsia="黑体" w:cs="Times New Roman"/>
          <w:b w:val="0"/>
          <w:bCs w:val="0"/>
        </w:rPr>
      </w:pPr>
      <w:bookmarkStart w:id="84" w:name="_Toc14188"/>
    </w:p>
    <w:p w14:paraId="52F196B3">
      <w:pPr>
        <w:rPr>
          <w:rStyle w:val="43"/>
          <w:rFonts w:hint="default" w:ascii="Times New Roman" w:hAnsi="Times New Roman" w:eastAsia="黑体" w:cs="Times New Roman"/>
          <w:b w:val="0"/>
          <w:bCs w:val="0"/>
        </w:rPr>
      </w:pPr>
    </w:p>
    <w:p w14:paraId="40636E13">
      <w:pPr>
        <w:pStyle w:val="2"/>
        <w:rPr>
          <w:rFonts w:hint="default"/>
        </w:rPr>
      </w:pPr>
    </w:p>
    <w:p w14:paraId="189AAF5E">
      <w:pPr>
        <w:pStyle w:val="5"/>
        <w:jc w:val="center"/>
        <w:rPr>
          <w:rStyle w:val="43"/>
          <w:rFonts w:hint="default" w:ascii="Times New Roman" w:hAnsi="Times New Roman" w:eastAsia="黑体" w:cs="Times New Roman"/>
          <w:b w:val="0"/>
          <w:bCs w:val="0"/>
        </w:rPr>
      </w:pPr>
      <w:r>
        <w:rPr>
          <w:rStyle w:val="43"/>
          <w:rFonts w:hint="default" w:ascii="Times New Roman" w:hAnsi="Times New Roman" w:eastAsia="黑体" w:cs="Times New Roman"/>
          <w:b w:val="0"/>
          <w:bCs w:val="0"/>
        </w:rPr>
        <w:t>第四部分 附件</w:t>
      </w:r>
      <w:bookmarkEnd w:id="84"/>
    </w:p>
    <w:p w14:paraId="092D2BFD">
      <w:pPr>
        <w:rPr>
          <w:rFonts w:hint="default" w:ascii="Times New Roman" w:hAnsi="Times New Roman" w:cs="Times New Roman"/>
        </w:rPr>
      </w:pPr>
    </w:p>
    <w:p w14:paraId="12BD6654">
      <w:pPr>
        <w:outlineLvl w:val="1"/>
        <w:rPr>
          <w:rFonts w:hint="default" w:ascii="Times New Roman" w:hAnsi="Times New Roman" w:eastAsia="黑体" w:cs="Times New Roman"/>
          <w:sz w:val="32"/>
          <w:szCs w:val="32"/>
        </w:rPr>
      </w:pPr>
      <w:bookmarkStart w:id="85" w:name="_Toc741"/>
      <w:bookmarkStart w:id="86" w:name="_Toc23770"/>
      <w:r>
        <w:rPr>
          <w:rFonts w:hint="default" w:ascii="Times New Roman" w:hAnsi="Times New Roman" w:eastAsia="黑体" w:cs="Times New Roman"/>
          <w:sz w:val="32"/>
          <w:szCs w:val="32"/>
        </w:rPr>
        <w:t>附件1</w:t>
      </w:r>
      <w:bookmarkEnd w:id="85"/>
      <w:bookmarkEnd w:id="86"/>
    </w:p>
    <w:p w14:paraId="6B3D5603">
      <w:pPr>
        <w:keepNext w:val="0"/>
        <w:keepLines w:val="0"/>
        <w:pageBreakBefore w:val="0"/>
        <w:widowControl/>
        <w:kinsoku/>
        <w:wordWrap/>
        <w:overflowPunct/>
        <w:topLinePunct w:val="0"/>
        <w:autoSpaceDE/>
        <w:autoSpaceDN/>
        <w:bidi w:val="0"/>
        <w:spacing w:line="560" w:lineRule="exact"/>
        <w:contextualSpacing/>
        <w:jc w:val="center"/>
        <w:textAlignment w:val="auto"/>
        <w:rPr>
          <w:rFonts w:hint="default" w:ascii="Times New Roman" w:hAnsi="Times New Roman" w:eastAsia="方正小标宋_GBK" w:cs="Times New Roman"/>
          <w:b w:val="0"/>
          <w:bCs/>
          <w:sz w:val="44"/>
          <w:szCs w:val="44"/>
          <w:shd w:val="clear" w:color="auto" w:fill="FFFFFF"/>
          <w:lang w:eastAsia="zh-CN"/>
        </w:rPr>
      </w:pPr>
      <w:r>
        <w:rPr>
          <w:rFonts w:hint="default" w:ascii="Times New Roman" w:hAnsi="Times New Roman" w:eastAsia="方正小标宋_GBK" w:cs="Times New Roman"/>
          <w:b w:val="0"/>
          <w:bCs/>
          <w:sz w:val="44"/>
          <w:szCs w:val="44"/>
          <w:shd w:val="clear" w:color="auto" w:fill="FFFFFF"/>
          <w:lang w:eastAsia="zh-CN"/>
        </w:rPr>
        <w:t>中共红原县委宣传部</w:t>
      </w:r>
    </w:p>
    <w:p w14:paraId="76E8D5B2">
      <w:pPr>
        <w:keepNext w:val="0"/>
        <w:keepLines w:val="0"/>
        <w:pageBreakBefore w:val="0"/>
        <w:widowControl/>
        <w:kinsoku/>
        <w:wordWrap/>
        <w:overflowPunct/>
        <w:topLinePunct w:val="0"/>
        <w:autoSpaceDE/>
        <w:autoSpaceDN/>
        <w:bidi w:val="0"/>
        <w:spacing w:line="560" w:lineRule="exact"/>
        <w:contextualSpacing/>
        <w:jc w:val="center"/>
        <w:textAlignment w:val="auto"/>
        <w:rPr>
          <w:rFonts w:hint="default" w:ascii="Times New Roman" w:hAnsi="Times New Roman" w:eastAsia="方正小标宋_GBK" w:cs="Times New Roman"/>
          <w:b w:val="0"/>
          <w:bCs/>
          <w:sz w:val="44"/>
          <w:szCs w:val="44"/>
          <w:shd w:val="clear" w:color="auto" w:fill="FFFFFF"/>
        </w:rPr>
      </w:pPr>
      <w:r>
        <w:rPr>
          <w:rFonts w:hint="default" w:ascii="Times New Roman" w:hAnsi="Times New Roman" w:eastAsia="方正小标宋_GBK" w:cs="Times New Roman"/>
          <w:b w:val="0"/>
          <w:bCs/>
          <w:sz w:val="44"/>
          <w:szCs w:val="44"/>
          <w:shd w:val="clear" w:color="auto" w:fill="FFFFFF"/>
        </w:rPr>
        <w:t>2</w:t>
      </w:r>
      <w:r>
        <w:rPr>
          <w:rFonts w:hint="default" w:ascii="Times New Roman" w:hAnsi="Times New Roman" w:eastAsia="方正小标宋_GBK" w:cs="Times New Roman"/>
          <w:b w:val="0"/>
          <w:bCs/>
          <w:sz w:val="44"/>
          <w:szCs w:val="44"/>
          <w:shd w:val="clear" w:color="auto" w:fill="FFFFFF"/>
          <w:lang w:val="en-US" w:eastAsia="zh-CN"/>
        </w:rPr>
        <w:t>023</w:t>
      </w:r>
      <w:r>
        <w:rPr>
          <w:rFonts w:hint="default" w:ascii="Times New Roman" w:hAnsi="Times New Roman" w:eastAsia="方正小标宋_GBK" w:cs="Times New Roman"/>
          <w:b w:val="0"/>
          <w:bCs/>
          <w:sz w:val="44"/>
          <w:szCs w:val="44"/>
          <w:shd w:val="clear" w:color="auto" w:fill="FFFFFF"/>
        </w:rPr>
        <w:t>年</w:t>
      </w:r>
      <w:r>
        <w:rPr>
          <w:rFonts w:hint="default" w:ascii="Times New Roman" w:hAnsi="Times New Roman" w:eastAsia="方正小标宋_GBK" w:cs="Times New Roman"/>
          <w:b w:val="0"/>
          <w:bCs/>
          <w:sz w:val="44"/>
          <w:szCs w:val="44"/>
          <w:shd w:val="clear" w:color="auto" w:fill="FFFFFF"/>
          <w:lang w:eastAsia="zh-CN"/>
        </w:rPr>
        <w:t>度</w:t>
      </w:r>
      <w:r>
        <w:rPr>
          <w:rFonts w:hint="default" w:ascii="Times New Roman" w:hAnsi="Times New Roman" w:eastAsia="方正小标宋_GBK" w:cs="Times New Roman"/>
          <w:b w:val="0"/>
          <w:bCs/>
          <w:sz w:val="44"/>
          <w:szCs w:val="44"/>
          <w:shd w:val="clear" w:color="auto" w:fill="FFFFFF"/>
        </w:rPr>
        <w:t>部门整体支出绩效评价</w:t>
      </w:r>
      <w:r>
        <w:rPr>
          <w:rFonts w:hint="default" w:ascii="Times New Roman" w:hAnsi="Times New Roman" w:eastAsia="方正小标宋_GBK" w:cs="Times New Roman"/>
          <w:b w:val="0"/>
          <w:bCs/>
          <w:sz w:val="44"/>
          <w:szCs w:val="44"/>
          <w:shd w:val="clear" w:color="auto" w:fill="FFFFFF"/>
          <w:lang w:eastAsia="zh-CN"/>
        </w:rPr>
        <w:t>自评</w:t>
      </w:r>
      <w:r>
        <w:rPr>
          <w:rFonts w:hint="default" w:ascii="Times New Roman" w:hAnsi="Times New Roman" w:eastAsia="方正小标宋_GBK" w:cs="Times New Roman"/>
          <w:b w:val="0"/>
          <w:bCs/>
          <w:sz w:val="44"/>
          <w:szCs w:val="44"/>
          <w:shd w:val="clear" w:color="auto" w:fill="FFFFFF"/>
        </w:rPr>
        <w:t>报告</w:t>
      </w:r>
    </w:p>
    <w:p w14:paraId="6682E568">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contextualSpacing/>
        <w:jc w:val="left"/>
        <w:textAlignment w:val="auto"/>
        <w:rPr>
          <w:rFonts w:hint="default" w:ascii="Times New Roman" w:hAnsi="Times New Roman" w:eastAsia="黑体" w:cs="Times New Roman"/>
          <w:color w:val="000000"/>
          <w:kern w:val="0"/>
          <w:sz w:val="24"/>
          <w:szCs w:val="32"/>
          <w:shd w:val="clear" w:color="auto" w:fill="FFFFFF"/>
        </w:rPr>
      </w:pPr>
    </w:p>
    <w:p w14:paraId="7512836F">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default" w:ascii="Times New Roman" w:hAnsi="Times New Roman" w:eastAsia="方正黑体_GBK" w:cs="Times New Roman"/>
          <w:color w:val="000000"/>
          <w:kern w:val="0"/>
          <w:sz w:val="32"/>
          <w:szCs w:val="32"/>
          <w:shd w:val="clear" w:color="auto" w:fill="FFFFFF"/>
          <w:lang w:val="zh-CN"/>
        </w:rPr>
      </w:pPr>
      <w:bookmarkStart w:id="87" w:name="_Toc10330"/>
      <w:r>
        <w:rPr>
          <w:rFonts w:hint="default" w:ascii="Times New Roman" w:hAnsi="Times New Roman" w:eastAsia="方正黑体_GBK" w:cs="Times New Roman"/>
          <w:color w:val="000000"/>
          <w:kern w:val="0"/>
          <w:sz w:val="32"/>
          <w:szCs w:val="32"/>
          <w:shd w:val="clear" w:color="auto" w:fill="FFFFFF"/>
        </w:rPr>
        <w:t>一、</w:t>
      </w:r>
      <w:r>
        <w:rPr>
          <w:rFonts w:hint="default" w:ascii="Times New Roman" w:hAnsi="Times New Roman" w:eastAsia="方正黑体_GBK" w:cs="Times New Roman"/>
          <w:color w:val="000000"/>
          <w:kern w:val="0"/>
          <w:sz w:val="32"/>
          <w:szCs w:val="32"/>
          <w:shd w:val="clear" w:color="auto" w:fill="FFFFFF"/>
          <w:lang w:val="zh-CN"/>
        </w:rPr>
        <w:t>部门（单位）概况</w:t>
      </w:r>
      <w:bookmarkEnd w:id="87"/>
    </w:p>
    <w:p w14:paraId="006B6824">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楷体_GBK" w:cs="Times New Roman"/>
          <w:b/>
          <w:sz w:val="32"/>
          <w:szCs w:val="32"/>
          <w:lang w:val="zh-CN"/>
        </w:rPr>
      </w:pPr>
      <w:r>
        <w:rPr>
          <w:rFonts w:hint="default" w:ascii="Times New Roman" w:hAnsi="Times New Roman" w:eastAsia="方正楷体_GBK" w:cs="Times New Roman"/>
          <w:b/>
          <w:sz w:val="32"/>
          <w:szCs w:val="32"/>
          <w:lang w:val="zh-CN"/>
        </w:rPr>
        <w:t>（一）机构组成</w:t>
      </w:r>
    </w:p>
    <w:p w14:paraId="3EDAB0EB">
      <w:pPr>
        <w:keepNext w:val="0"/>
        <w:keepLines w:val="0"/>
        <w:pageBreakBefore w:val="0"/>
        <w:kinsoku/>
        <w:overflowPunct/>
        <w:topLinePunct w:val="0"/>
        <w:autoSpaceDE/>
        <w:autoSpaceDN/>
        <w:bidi w:val="0"/>
        <w:spacing w:line="576" w:lineRule="exact"/>
        <w:ind w:firstLine="640"/>
        <w:textAlignment w:val="auto"/>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中共红原县委宣传部是行政单位，执行行政单位会计制度，我部下属二级决算单位0个，其中行政单位</w:t>
      </w:r>
      <w:r>
        <w:rPr>
          <w:rFonts w:hint="default" w:ascii="Times New Roman" w:hAnsi="Times New Roman" w:eastAsia="方正仿宋_GBK" w:cs="Times New Roman"/>
          <w:kern w:val="0"/>
          <w:sz w:val="32"/>
          <w:szCs w:val="32"/>
          <w:shd w:val="clear" w:color="auto" w:fill="FFFFFF"/>
          <w:lang w:val="en-US" w:eastAsia="zh-CN" w:bidi="ar"/>
        </w:rPr>
        <w:t>1</w:t>
      </w:r>
      <w:r>
        <w:rPr>
          <w:rFonts w:hint="default" w:ascii="Times New Roman" w:hAnsi="Times New Roman" w:eastAsia="方正仿宋_GBK" w:cs="Times New Roman"/>
          <w:kern w:val="0"/>
          <w:sz w:val="32"/>
          <w:szCs w:val="32"/>
          <w:shd w:val="clear" w:color="auto" w:fill="FFFFFF"/>
          <w:lang w:val="zh-CN" w:eastAsia="zh-CN" w:bidi="ar"/>
        </w:rPr>
        <w:t>个，参照公务员法管理的事业单位0个，其他事业单位</w:t>
      </w:r>
      <w:r>
        <w:rPr>
          <w:rFonts w:hint="default" w:ascii="Times New Roman" w:hAnsi="Times New Roman" w:eastAsia="方正仿宋_GBK" w:cs="Times New Roman"/>
          <w:kern w:val="0"/>
          <w:sz w:val="32"/>
          <w:szCs w:val="32"/>
          <w:shd w:val="clear" w:color="auto" w:fill="FFFFFF"/>
          <w:lang w:val="en-US" w:eastAsia="zh-CN" w:bidi="ar"/>
        </w:rPr>
        <w:t>1</w:t>
      </w:r>
      <w:r>
        <w:rPr>
          <w:rFonts w:hint="default" w:ascii="Times New Roman" w:hAnsi="Times New Roman" w:eastAsia="方正仿宋_GBK" w:cs="Times New Roman"/>
          <w:kern w:val="0"/>
          <w:sz w:val="32"/>
          <w:szCs w:val="32"/>
          <w:shd w:val="clear" w:color="auto" w:fill="FFFFFF"/>
          <w:lang w:val="zh-CN" w:eastAsia="zh-CN" w:bidi="ar"/>
        </w:rPr>
        <w:t xml:space="preserve">个。是独立核算的机构，是独立编报决算的单位。 </w:t>
      </w:r>
    </w:p>
    <w:p w14:paraId="1C609872">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楷体_GBK" w:cs="Times New Roman"/>
          <w:b/>
          <w:sz w:val="32"/>
          <w:szCs w:val="32"/>
          <w:lang w:val="zh-CN"/>
        </w:rPr>
      </w:pPr>
      <w:r>
        <w:rPr>
          <w:rFonts w:hint="default" w:ascii="Times New Roman" w:hAnsi="Times New Roman" w:eastAsia="方正楷体_GBK" w:cs="Times New Roman"/>
          <w:b/>
          <w:sz w:val="32"/>
          <w:szCs w:val="32"/>
          <w:lang w:val="zh-CN"/>
        </w:rPr>
        <w:t>（</w:t>
      </w:r>
      <w:r>
        <w:rPr>
          <w:rFonts w:hint="default" w:ascii="Times New Roman" w:hAnsi="Times New Roman" w:eastAsia="方正楷体_GBK" w:cs="Times New Roman"/>
          <w:b/>
          <w:sz w:val="32"/>
          <w:szCs w:val="32"/>
          <w:lang w:val="en-US" w:eastAsia="zh-CN"/>
        </w:rPr>
        <w:t>二</w:t>
      </w:r>
      <w:r>
        <w:rPr>
          <w:rFonts w:hint="default" w:ascii="Times New Roman" w:hAnsi="Times New Roman" w:eastAsia="方正楷体_GBK" w:cs="Times New Roman"/>
          <w:b/>
          <w:sz w:val="32"/>
          <w:szCs w:val="32"/>
          <w:lang w:val="zh-CN"/>
        </w:rPr>
        <w:t>）机构职能</w:t>
      </w:r>
    </w:p>
    <w:p w14:paraId="02242761">
      <w:pPr>
        <w:keepNext w:val="0"/>
        <w:keepLines w:val="0"/>
        <w:pageBreakBefore w:val="0"/>
        <w:kinsoku/>
        <w:overflowPunct/>
        <w:topLinePunct w:val="0"/>
        <w:autoSpaceDE/>
        <w:autoSpaceDN/>
        <w:bidi w:val="0"/>
        <w:spacing w:line="576" w:lineRule="exact"/>
        <w:ind w:firstLine="640"/>
        <w:textAlignment w:val="auto"/>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1.负责组织、指导全县的理论研究、理论学习和理论宣传工作。</w:t>
      </w:r>
    </w:p>
    <w:p w14:paraId="5C25A8D6">
      <w:pPr>
        <w:keepNext w:val="0"/>
        <w:keepLines w:val="0"/>
        <w:pageBreakBefore w:val="0"/>
        <w:kinsoku/>
        <w:overflowPunct/>
        <w:topLinePunct w:val="0"/>
        <w:autoSpaceDE/>
        <w:autoSpaceDN/>
        <w:bidi w:val="0"/>
        <w:spacing w:line="576" w:lineRule="exact"/>
        <w:ind w:firstLine="640"/>
        <w:textAlignment w:val="auto"/>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2.负责引导社会舆论，指导协调新闻、出版部门的工作。对县广播电视局、县文化体育局、县新闻出版工作实施方案方针政策指导，管理县记者协会，并在政治方向和方针政策方面实施领导。</w:t>
      </w:r>
    </w:p>
    <w:p w14:paraId="66204246">
      <w:pPr>
        <w:keepNext w:val="0"/>
        <w:keepLines w:val="0"/>
        <w:pageBreakBefore w:val="0"/>
        <w:kinsoku/>
        <w:overflowPunct/>
        <w:topLinePunct w:val="0"/>
        <w:autoSpaceDE/>
        <w:autoSpaceDN/>
        <w:bidi w:val="0"/>
        <w:spacing w:line="576" w:lineRule="exact"/>
        <w:ind w:firstLine="640"/>
        <w:textAlignment w:val="auto"/>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3.负责规划、部署全局性的思想政治工作任务，会同有关部门研究和改进群众思想教育工作。</w:t>
      </w:r>
    </w:p>
    <w:p w14:paraId="1E6B548E">
      <w:pPr>
        <w:keepNext w:val="0"/>
        <w:keepLines w:val="0"/>
        <w:pageBreakBefore w:val="0"/>
        <w:kinsoku/>
        <w:overflowPunct/>
        <w:topLinePunct w:val="0"/>
        <w:autoSpaceDE/>
        <w:autoSpaceDN/>
        <w:bidi w:val="0"/>
        <w:spacing w:line="576" w:lineRule="exact"/>
        <w:ind w:firstLine="640"/>
        <w:textAlignment w:val="auto"/>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4.负责指导、协调全县精神文明建设活动的开展。</w:t>
      </w:r>
    </w:p>
    <w:p w14:paraId="517BFE01">
      <w:pPr>
        <w:keepNext w:val="0"/>
        <w:keepLines w:val="0"/>
        <w:pageBreakBefore w:val="0"/>
        <w:kinsoku/>
        <w:overflowPunct/>
        <w:topLinePunct w:val="0"/>
        <w:autoSpaceDE/>
        <w:autoSpaceDN/>
        <w:bidi w:val="0"/>
        <w:spacing w:line="576" w:lineRule="exact"/>
        <w:ind w:firstLine="640"/>
        <w:textAlignment w:val="auto"/>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5.配合县委组织部做好党员教育工作；负责编审党员教育教材；指导全县党员学习。</w:t>
      </w:r>
    </w:p>
    <w:p w14:paraId="2A22B9DA">
      <w:pPr>
        <w:keepNext w:val="0"/>
        <w:keepLines w:val="0"/>
        <w:pageBreakBefore w:val="0"/>
        <w:kinsoku/>
        <w:overflowPunct/>
        <w:topLinePunct w:val="0"/>
        <w:autoSpaceDE/>
        <w:autoSpaceDN/>
        <w:bidi w:val="0"/>
        <w:spacing w:line="576" w:lineRule="exact"/>
        <w:ind w:firstLine="640"/>
        <w:textAlignment w:val="auto"/>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6.负责从宏观上指导全县各级各类学校的德育、政治理论教学和思想政治工作。</w:t>
      </w:r>
    </w:p>
    <w:p w14:paraId="795106A0">
      <w:pPr>
        <w:keepNext w:val="0"/>
        <w:keepLines w:val="0"/>
        <w:pageBreakBefore w:val="0"/>
        <w:kinsoku/>
        <w:overflowPunct/>
        <w:topLinePunct w:val="0"/>
        <w:autoSpaceDE/>
        <w:autoSpaceDN/>
        <w:bidi w:val="0"/>
        <w:spacing w:line="576" w:lineRule="exact"/>
        <w:ind w:firstLine="640"/>
        <w:textAlignment w:val="auto"/>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7.负责全县对外和港澳台的宣传工作；指导协调全县对外文化交流工作。</w:t>
      </w:r>
    </w:p>
    <w:p w14:paraId="636E1D34">
      <w:pPr>
        <w:keepNext w:val="0"/>
        <w:keepLines w:val="0"/>
        <w:pageBreakBefore w:val="0"/>
        <w:kinsoku/>
        <w:overflowPunct/>
        <w:topLinePunct w:val="0"/>
        <w:autoSpaceDE/>
        <w:autoSpaceDN/>
        <w:bidi w:val="0"/>
        <w:spacing w:line="576" w:lineRule="exact"/>
        <w:ind w:firstLine="640"/>
        <w:textAlignment w:val="auto"/>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8.受县委委托，会同县委组织管理县级新闻、文化、出版等部门的领导干部，指导这些部门领导班子的建设；对宣传文化广电系统科股室干部的任免提出意见；制定培训计划并组织对全县知识分子工作和理论、新闻、出版、文艺等方面优秀人才的选拔、培养工作。</w:t>
      </w:r>
    </w:p>
    <w:p w14:paraId="4DC4F1FD">
      <w:pPr>
        <w:keepNext w:val="0"/>
        <w:keepLines w:val="0"/>
        <w:pageBreakBefore w:val="0"/>
        <w:kinsoku/>
        <w:overflowPunct/>
        <w:topLinePunct w:val="0"/>
        <w:autoSpaceDE/>
        <w:autoSpaceDN/>
        <w:bidi w:val="0"/>
        <w:spacing w:line="576" w:lineRule="exact"/>
        <w:ind w:firstLine="640"/>
        <w:textAlignment w:val="auto"/>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9.负责提出全县宣传文化事业发展的指导方针；指导宣传文化系统制定政策、法规；按照县委的工作部署，对宣传文化系统各部门之间的工作进行协调。</w:t>
      </w:r>
    </w:p>
    <w:p w14:paraId="2AFD4627">
      <w:pPr>
        <w:keepNext w:val="0"/>
        <w:keepLines w:val="0"/>
        <w:pageBreakBefore w:val="0"/>
        <w:kinsoku/>
        <w:overflowPunct/>
        <w:topLinePunct w:val="0"/>
        <w:autoSpaceDE/>
        <w:autoSpaceDN/>
        <w:bidi w:val="0"/>
        <w:spacing w:line="576" w:lineRule="exact"/>
        <w:ind w:firstLine="640"/>
        <w:textAlignment w:val="auto"/>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10.根据州，县宣传报道要点，组织采写稿件，并向《阿坝日报》、《四川日报》等各级办刊推荐。</w:t>
      </w:r>
    </w:p>
    <w:p w14:paraId="350A17C5">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楷体_GBK" w:cs="Times New Roman"/>
          <w:b/>
          <w:sz w:val="32"/>
          <w:szCs w:val="32"/>
          <w:lang w:val="zh-CN"/>
        </w:rPr>
      </w:pPr>
      <w:r>
        <w:rPr>
          <w:rFonts w:hint="default" w:ascii="Times New Roman" w:hAnsi="Times New Roman" w:eastAsia="方正楷体_GBK" w:cs="Times New Roman"/>
          <w:b/>
          <w:sz w:val="32"/>
          <w:szCs w:val="32"/>
          <w:lang w:val="zh-CN"/>
        </w:rPr>
        <w:t>（三）人员情况</w:t>
      </w:r>
    </w:p>
    <w:p w14:paraId="35EE50BD">
      <w:pPr>
        <w:keepNext w:val="0"/>
        <w:keepLines w:val="0"/>
        <w:pageBreakBefore w:val="0"/>
        <w:kinsoku/>
        <w:overflowPunct/>
        <w:topLinePunct w:val="0"/>
        <w:autoSpaceDE/>
        <w:autoSpaceDN/>
        <w:bidi w:val="0"/>
        <w:spacing w:line="576" w:lineRule="exact"/>
        <w:ind w:firstLine="640"/>
        <w:textAlignment w:val="auto"/>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zh-CN" w:eastAsia="zh-CN" w:bidi="ar"/>
        </w:rPr>
        <w:t>我部人事核定行政编制</w:t>
      </w:r>
      <w:r>
        <w:rPr>
          <w:rFonts w:hint="default" w:ascii="Times New Roman" w:hAnsi="Times New Roman" w:eastAsia="方正仿宋_GBK" w:cs="Times New Roman"/>
          <w:kern w:val="0"/>
          <w:sz w:val="32"/>
          <w:szCs w:val="32"/>
          <w:shd w:val="clear" w:color="auto" w:fill="FFFFFF"/>
          <w:lang w:val="en-US" w:eastAsia="zh-CN" w:bidi="ar"/>
        </w:rPr>
        <w:t>9</w:t>
      </w:r>
      <w:r>
        <w:rPr>
          <w:rFonts w:hint="default" w:ascii="Times New Roman" w:hAnsi="Times New Roman" w:eastAsia="方正仿宋_GBK" w:cs="Times New Roman"/>
          <w:kern w:val="0"/>
          <w:sz w:val="32"/>
          <w:szCs w:val="32"/>
          <w:shd w:val="clear" w:color="auto" w:fill="FFFFFF"/>
          <w:lang w:val="zh-CN" w:eastAsia="zh-CN" w:bidi="ar"/>
        </w:rPr>
        <w:t>人，其中：行政工勤编制1人。是独立核算的机构，是独立编报预算的单位。20</w:t>
      </w:r>
      <w:r>
        <w:rPr>
          <w:rFonts w:hint="default" w:ascii="Times New Roman" w:hAnsi="Times New Roman" w:eastAsia="方正仿宋_GBK" w:cs="Times New Roman"/>
          <w:kern w:val="0"/>
          <w:sz w:val="32"/>
          <w:szCs w:val="32"/>
          <w:shd w:val="clear" w:color="auto" w:fill="FFFFFF"/>
          <w:lang w:val="en-US" w:eastAsia="zh-CN" w:bidi="ar"/>
        </w:rPr>
        <w:t>23</w:t>
      </w:r>
      <w:r>
        <w:rPr>
          <w:rFonts w:hint="default" w:ascii="Times New Roman" w:hAnsi="Times New Roman" w:eastAsia="方正仿宋_GBK" w:cs="Times New Roman"/>
          <w:kern w:val="0"/>
          <w:sz w:val="32"/>
          <w:szCs w:val="32"/>
          <w:shd w:val="clear" w:color="auto" w:fill="FFFFFF"/>
          <w:lang w:val="zh-CN" w:eastAsia="zh-CN" w:bidi="ar"/>
        </w:rPr>
        <w:t>年年末在职行政人数</w:t>
      </w:r>
      <w:r>
        <w:rPr>
          <w:rFonts w:hint="default" w:ascii="Times New Roman" w:hAnsi="Times New Roman" w:eastAsia="方正仿宋_GBK" w:cs="Times New Roman"/>
          <w:kern w:val="0"/>
          <w:sz w:val="32"/>
          <w:szCs w:val="32"/>
          <w:shd w:val="clear" w:color="auto" w:fill="FFFFFF"/>
          <w:lang w:val="en-US" w:eastAsia="zh-CN" w:bidi="ar"/>
        </w:rPr>
        <w:t>9</w:t>
      </w:r>
      <w:r>
        <w:rPr>
          <w:rFonts w:hint="default" w:ascii="Times New Roman" w:hAnsi="Times New Roman" w:eastAsia="方正仿宋_GBK" w:cs="Times New Roman"/>
          <w:kern w:val="0"/>
          <w:sz w:val="32"/>
          <w:szCs w:val="32"/>
          <w:shd w:val="clear" w:color="auto" w:fill="FFFFFF"/>
          <w:lang w:val="zh-CN" w:eastAsia="zh-CN" w:bidi="ar"/>
        </w:rPr>
        <w:t>人，其中：行政工勤在职人数1人。事业编制人数</w:t>
      </w:r>
      <w:r>
        <w:rPr>
          <w:rFonts w:hint="default" w:ascii="Times New Roman" w:hAnsi="Times New Roman" w:eastAsia="方正仿宋_GBK" w:cs="Times New Roman"/>
          <w:kern w:val="0"/>
          <w:sz w:val="32"/>
          <w:szCs w:val="32"/>
          <w:shd w:val="clear" w:color="auto" w:fill="FFFFFF"/>
          <w:lang w:val="en-US" w:eastAsia="zh-CN" w:bidi="ar"/>
        </w:rPr>
        <w:t>7人，实有人数7人。</w:t>
      </w:r>
    </w:p>
    <w:p w14:paraId="1C98C8FA">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default" w:ascii="Times New Roman" w:hAnsi="Times New Roman" w:eastAsia="方正黑体_GBK" w:cs="Times New Roman"/>
          <w:color w:val="000000"/>
          <w:kern w:val="0"/>
          <w:sz w:val="32"/>
          <w:szCs w:val="32"/>
          <w:shd w:val="clear" w:color="auto" w:fill="FFFFFF"/>
        </w:rPr>
      </w:pPr>
      <w:bookmarkStart w:id="88" w:name="_Toc21647"/>
      <w:r>
        <w:rPr>
          <w:rFonts w:hint="default" w:ascii="Times New Roman" w:hAnsi="Times New Roman" w:eastAsia="方正黑体_GBK" w:cs="Times New Roman"/>
          <w:color w:val="000000"/>
          <w:kern w:val="0"/>
          <w:sz w:val="32"/>
          <w:szCs w:val="32"/>
          <w:shd w:val="clear" w:color="auto" w:fill="FFFFFF"/>
        </w:rPr>
        <w:t>二、部门财政资金收支情况</w:t>
      </w:r>
      <w:bookmarkEnd w:id="88"/>
    </w:p>
    <w:p w14:paraId="0D520A70">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楷体_GBK" w:cs="Times New Roman"/>
          <w:b/>
          <w:sz w:val="32"/>
          <w:szCs w:val="32"/>
          <w:lang w:val="zh-CN"/>
        </w:rPr>
      </w:pPr>
      <w:r>
        <w:rPr>
          <w:rFonts w:hint="default" w:ascii="Times New Roman" w:hAnsi="Times New Roman" w:eastAsia="方正楷体_GBK" w:cs="Times New Roman"/>
          <w:b/>
          <w:sz w:val="32"/>
          <w:szCs w:val="32"/>
          <w:lang w:val="zh-CN"/>
        </w:rPr>
        <w:t>（一）部门财政资金收入情况。</w:t>
      </w:r>
    </w:p>
    <w:p w14:paraId="3E1CA57B">
      <w:pPr>
        <w:keepNext w:val="0"/>
        <w:keepLines w:val="0"/>
        <w:pageBreakBefore w:val="0"/>
        <w:kinsoku/>
        <w:overflowPunct/>
        <w:topLinePunct w:val="0"/>
        <w:autoSpaceDE/>
        <w:autoSpaceDN/>
        <w:bidi w:val="0"/>
        <w:spacing w:line="576" w:lineRule="exact"/>
        <w:ind w:firstLine="640"/>
        <w:textAlignment w:val="auto"/>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zh-CN" w:eastAsia="zh-CN" w:bidi="ar"/>
        </w:rPr>
        <w:t>20</w:t>
      </w:r>
      <w:r>
        <w:rPr>
          <w:rFonts w:hint="default" w:ascii="Times New Roman" w:hAnsi="Times New Roman" w:eastAsia="方正仿宋_GBK" w:cs="Times New Roman"/>
          <w:kern w:val="0"/>
          <w:sz w:val="32"/>
          <w:szCs w:val="32"/>
          <w:shd w:val="clear" w:color="auto" w:fill="FFFFFF"/>
          <w:lang w:val="en-US" w:eastAsia="zh-CN" w:bidi="ar"/>
        </w:rPr>
        <w:t>23</w:t>
      </w:r>
      <w:r>
        <w:rPr>
          <w:rFonts w:hint="default" w:ascii="Times New Roman" w:hAnsi="Times New Roman" w:eastAsia="方正仿宋_GBK" w:cs="Times New Roman"/>
          <w:kern w:val="0"/>
          <w:sz w:val="32"/>
          <w:szCs w:val="32"/>
          <w:shd w:val="clear" w:color="auto" w:fill="FFFFFF"/>
          <w:lang w:val="zh-CN" w:eastAsia="zh-CN" w:bidi="ar"/>
        </w:rPr>
        <w:t>年度总收入</w:t>
      </w:r>
      <w:r>
        <w:rPr>
          <w:rFonts w:hint="default" w:ascii="Times New Roman" w:hAnsi="Times New Roman" w:eastAsia="方正仿宋_GBK" w:cs="Times New Roman"/>
          <w:kern w:val="0"/>
          <w:sz w:val="32"/>
          <w:szCs w:val="32"/>
          <w:shd w:val="clear" w:color="auto" w:fill="FFFFFF"/>
          <w:lang w:val="en-US" w:eastAsia="zh-CN" w:bidi="ar"/>
        </w:rPr>
        <w:t>982.15</w:t>
      </w:r>
      <w:r>
        <w:rPr>
          <w:rFonts w:hint="default" w:ascii="Times New Roman" w:hAnsi="Times New Roman" w:eastAsia="方正仿宋_GBK" w:cs="Times New Roman"/>
          <w:kern w:val="0"/>
          <w:sz w:val="32"/>
          <w:szCs w:val="32"/>
          <w:shd w:val="clear" w:color="auto" w:fill="FFFFFF"/>
          <w:lang w:val="zh-CN" w:eastAsia="zh-CN" w:bidi="ar"/>
        </w:rPr>
        <w:t>万元，其中：财政拨款收</w:t>
      </w:r>
      <w:r>
        <w:rPr>
          <w:rFonts w:hint="default" w:ascii="Times New Roman" w:hAnsi="Times New Roman" w:eastAsia="方正仿宋_GBK" w:cs="Times New Roman"/>
          <w:kern w:val="0"/>
          <w:sz w:val="32"/>
          <w:szCs w:val="32"/>
          <w:shd w:val="clear" w:color="auto" w:fill="FFFFFF"/>
          <w:lang w:val="en-US" w:eastAsia="zh-CN" w:bidi="ar"/>
        </w:rPr>
        <w:t>982.15</w:t>
      </w:r>
      <w:r>
        <w:rPr>
          <w:rFonts w:hint="default" w:ascii="Times New Roman" w:hAnsi="Times New Roman" w:eastAsia="方正仿宋_GBK" w:cs="Times New Roman"/>
          <w:kern w:val="0"/>
          <w:sz w:val="32"/>
          <w:szCs w:val="32"/>
          <w:shd w:val="clear" w:color="auto" w:fill="FFFFFF"/>
          <w:lang w:val="zh-CN" w:eastAsia="zh-CN" w:bidi="ar"/>
        </w:rPr>
        <w:t>万元，占</w:t>
      </w:r>
      <w:r>
        <w:rPr>
          <w:rFonts w:hint="default" w:ascii="Times New Roman" w:hAnsi="Times New Roman" w:eastAsia="方正仿宋_GBK" w:cs="Times New Roman"/>
          <w:kern w:val="0"/>
          <w:sz w:val="32"/>
          <w:szCs w:val="32"/>
          <w:shd w:val="clear" w:color="auto" w:fill="FFFFFF"/>
          <w:lang w:val="en-US" w:eastAsia="zh-CN" w:bidi="ar"/>
        </w:rPr>
        <w:t>100</w:t>
      </w:r>
      <w:r>
        <w:rPr>
          <w:rFonts w:hint="default" w:ascii="Times New Roman" w:hAnsi="Times New Roman" w:eastAsia="方正仿宋_GBK" w:cs="Times New Roman"/>
          <w:kern w:val="0"/>
          <w:sz w:val="32"/>
          <w:szCs w:val="32"/>
          <w:shd w:val="clear" w:color="auto" w:fill="FFFFFF"/>
          <w:lang w:val="zh-CN" w:eastAsia="zh-CN" w:bidi="ar"/>
        </w:rPr>
        <w:t>%。</w:t>
      </w:r>
    </w:p>
    <w:p w14:paraId="156D0FDC">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楷体_GBK" w:cs="Times New Roman"/>
          <w:b/>
          <w:sz w:val="32"/>
          <w:szCs w:val="32"/>
          <w:lang w:val="zh-CN"/>
        </w:rPr>
      </w:pPr>
      <w:r>
        <w:rPr>
          <w:rFonts w:hint="default" w:ascii="Times New Roman" w:hAnsi="Times New Roman" w:eastAsia="方正楷体_GBK" w:cs="Times New Roman"/>
          <w:b/>
          <w:sz w:val="32"/>
          <w:szCs w:val="32"/>
          <w:lang w:val="zh-CN"/>
        </w:rPr>
        <w:t>（二）财政资金支出情况。</w:t>
      </w:r>
    </w:p>
    <w:p w14:paraId="606BDD42">
      <w:pPr>
        <w:keepNext w:val="0"/>
        <w:keepLines w:val="0"/>
        <w:pageBreakBefore w:val="0"/>
        <w:kinsoku/>
        <w:overflowPunct/>
        <w:topLinePunct w:val="0"/>
        <w:autoSpaceDE/>
        <w:autoSpaceDN/>
        <w:bidi w:val="0"/>
        <w:spacing w:line="576" w:lineRule="exact"/>
        <w:ind w:firstLine="640"/>
        <w:textAlignment w:val="auto"/>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20</w:t>
      </w:r>
      <w:r>
        <w:rPr>
          <w:rFonts w:hint="default" w:ascii="Times New Roman" w:hAnsi="Times New Roman" w:eastAsia="方正仿宋_GBK" w:cs="Times New Roman"/>
          <w:kern w:val="0"/>
          <w:sz w:val="32"/>
          <w:szCs w:val="32"/>
          <w:shd w:val="clear" w:color="auto" w:fill="FFFFFF"/>
          <w:lang w:val="en-US" w:eastAsia="zh-CN" w:bidi="ar"/>
        </w:rPr>
        <w:t>23</w:t>
      </w:r>
      <w:r>
        <w:rPr>
          <w:rFonts w:hint="default" w:ascii="Times New Roman" w:hAnsi="Times New Roman" w:eastAsia="方正仿宋_GBK" w:cs="Times New Roman"/>
          <w:kern w:val="0"/>
          <w:sz w:val="32"/>
          <w:szCs w:val="32"/>
          <w:shd w:val="clear" w:color="auto" w:fill="FFFFFF"/>
          <w:lang w:val="zh-CN" w:eastAsia="zh-CN" w:bidi="ar"/>
        </w:rPr>
        <w:t>年支出合计</w:t>
      </w:r>
      <w:r>
        <w:rPr>
          <w:rFonts w:hint="default" w:ascii="Times New Roman" w:hAnsi="Times New Roman" w:eastAsia="方正仿宋_GBK" w:cs="Times New Roman"/>
          <w:kern w:val="0"/>
          <w:sz w:val="32"/>
          <w:szCs w:val="32"/>
          <w:shd w:val="clear" w:color="auto" w:fill="FFFFFF"/>
          <w:lang w:val="en-US" w:eastAsia="zh-CN" w:bidi="ar"/>
        </w:rPr>
        <w:t>982.15万</w:t>
      </w:r>
      <w:r>
        <w:rPr>
          <w:rFonts w:hint="default" w:ascii="Times New Roman" w:hAnsi="Times New Roman" w:eastAsia="方正仿宋_GBK" w:cs="Times New Roman"/>
          <w:kern w:val="0"/>
          <w:sz w:val="32"/>
          <w:szCs w:val="32"/>
          <w:shd w:val="clear" w:color="auto" w:fill="FFFFFF"/>
          <w:lang w:val="zh-CN" w:eastAsia="zh-CN" w:bidi="ar"/>
        </w:rPr>
        <w:t>元，其中：一般公共服务支出</w:t>
      </w:r>
      <w:r>
        <w:rPr>
          <w:rFonts w:hint="default" w:ascii="Times New Roman" w:hAnsi="Times New Roman" w:eastAsia="方正仿宋_GBK" w:cs="Times New Roman"/>
          <w:kern w:val="0"/>
          <w:sz w:val="32"/>
          <w:szCs w:val="32"/>
          <w:shd w:val="clear" w:color="auto" w:fill="FFFFFF"/>
          <w:lang w:val="en-US" w:eastAsia="zh-CN" w:bidi="ar"/>
        </w:rPr>
        <w:t>765.09万</w:t>
      </w:r>
      <w:r>
        <w:rPr>
          <w:rFonts w:hint="default" w:ascii="Times New Roman" w:hAnsi="Times New Roman" w:eastAsia="方正仿宋_GBK" w:cs="Times New Roman"/>
          <w:kern w:val="0"/>
          <w:sz w:val="32"/>
          <w:szCs w:val="32"/>
          <w:shd w:val="clear" w:color="auto" w:fill="FFFFFF"/>
          <w:lang w:val="zh-CN" w:eastAsia="zh-CN" w:bidi="ar"/>
        </w:rPr>
        <w:t>元，占总支出</w:t>
      </w:r>
      <w:r>
        <w:rPr>
          <w:rFonts w:hint="default" w:ascii="Times New Roman" w:hAnsi="Times New Roman" w:eastAsia="方正仿宋_GBK" w:cs="Times New Roman"/>
          <w:kern w:val="0"/>
          <w:sz w:val="32"/>
          <w:szCs w:val="32"/>
          <w:shd w:val="clear" w:color="auto" w:fill="FFFFFF"/>
          <w:lang w:val="en-US" w:eastAsia="zh-CN" w:bidi="ar"/>
        </w:rPr>
        <w:t>77.90</w:t>
      </w:r>
      <w:r>
        <w:rPr>
          <w:rFonts w:hint="default" w:ascii="Times New Roman" w:hAnsi="Times New Roman" w:eastAsia="方正仿宋_GBK" w:cs="Times New Roman"/>
          <w:kern w:val="0"/>
          <w:sz w:val="32"/>
          <w:szCs w:val="32"/>
          <w:shd w:val="clear" w:color="auto" w:fill="FFFFFF"/>
          <w:lang w:val="zh-CN" w:eastAsia="zh-CN" w:bidi="ar"/>
        </w:rPr>
        <w:t>%；文化旅游体育与传媒支出</w:t>
      </w:r>
      <w:r>
        <w:rPr>
          <w:rFonts w:hint="default" w:ascii="Times New Roman" w:hAnsi="Times New Roman" w:eastAsia="方正仿宋_GBK" w:cs="Times New Roman"/>
          <w:kern w:val="0"/>
          <w:sz w:val="32"/>
          <w:szCs w:val="32"/>
          <w:shd w:val="clear" w:color="auto" w:fill="FFFFFF"/>
          <w:lang w:val="en-US" w:eastAsia="zh-CN" w:bidi="ar"/>
        </w:rPr>
        <w:t>89.73</w:t>
      </w:r>
      <w:r>
        <w:rPr>
          <w:rFonts w:hint="default" w:ascii="Times New Roman" w:hAnsi="Times New Roman" w:eastAsia="方正仿宋_GBK" w:cs="Times New Roman"/>
          <w:kern w:val="0"/>
          <w:sz w:val="32"/>
          <w:szCs w:val="32"/>
          <w:shd w:val="clear" w:color="auto" w:fill="FFFFFF"/>
          <w:lang w:val="zh-CN" w:eastAsia="zh-CN" w:bidi="ar"/>
        </w:rPr>
        <w:t>万元，占总支出</w:t>
      </w:r>
      <w:r>
        <w:rPr>
          <w:rFonts w:hint="default" w:ascii="Times New Roman" w:hAnsi="Times New Roman" w:eastAsia="方正仿宋_GBK" w:cs="Times New Roman"/>
          <w:kern w:val="0"/>
          <w:sz w:val="32"/>
          <w:szCs w:val="32"/>
          <w:shd w:val="clear" w:color="auto" w:fill="FFFFFF"/>
          <w:lang w:val="en-US" w:eastAsia="zh-CN" w:bidi="ar"/>
        </w:rPr>
        <w:t>9.14</w:t>
      </w:r>
      <w:r>
        <w:rPr>
          <w:rFonts w:hint="default" w:ascii="Times New Roman" w:hAnsi="Times New Roman" w:eastAsia="方正仿宋_GBK" w:cs="Times New Roman"/>
          <w:kern w:val="0"/>
          <w:sz w:val="32"/>
          <w:szCs w:val="32"/>
          <w:shd w:val="clear" w:color="auto" w:fill="FFFFFF"/>
          <w:lang w:val="zh-CN" w:eastAsia="zh-CN" w:bidi="ar"/>
        </w:rPr>
        <w:t>%；社会保障局和就业支出</w:t>
      </w:r>
      <w:r>
        <w:rPr>
          <w:rFonts w:hint="default" w:ascii="Times New Roman" w:hAnsi="Times New Roman" w:eastAsia="方正仿宋_GBK" w:cs="Times New Roman"/>
          <w:kern w:val="0"/>
          <w:sz w:val="32"/>
          <w:szCs w:val="32"/>
          <w:shd w:val="clear" w:color="auto" w:fill="FFFFFF"/>
          <w:lang w:val="en-US" w:eastAsia="zh-CN" w:bidi="ar"/>
        </w:rPr>
        <w:t>58.52万</w:t>
      </w:r>
      <w:r>
        <w:rPr>
          <w:rFonts w:hint="default" w:ascii="Times New Roman" w:hAnsi="Times New Roman" w:eastAsia="方正仿宋_GBK" w:cs="Times New Roman"/>
          <w:kern w:val="0"/>
          <w:sz w:val="32"/>
          <w:szCs w:val="32"/>
          <w:shd w:val="clear" w:color="auto" w:fill="FFFFFF"/>
          <w:lang w:val="zh-CN" w:eastAsia="zh-CN" w:bidi="ar"/>
        </w:rPr>
        <w:t>元，占总支出</w:t>
      </w:r>
      <w:r>
        <w:rPr>
          <w:rFonts w:hint="default" w:ascii="Times New Roman" w:hAnsi="Times New Roman" w:eastAsia="方正仿宋_GBK" w:cs="Times New Roman"/>
          <w:kern w:val="0"/>
          <w:sz w:val="32"/>
          <w:szCs w:val="32"/>
          <w:shd w:val="clear" w:color="auto" w:fill="FFFFFF"/>
          <w:lang w:val="en-US" w:eastAsia="zh-CN" w:bidi="ar"/>
        </w:rPr>
        <w:t>5.96</w:t>
      </w:r>
      <w:r>
        <w:rPr>
          <w:rFonts w:hint="default" w:ascii="Times New Roman" w:hAnsi="Times New Roman" w:eastAsia="方正仿宋_GBK" w:cs="Times New Roman"/>
          <w:kern w:val="0"/>
          <w:sz w:val="32"/>
          <w:szCs w:val="32"/>
          <w:shd w:val="clear" w:color="auto" w:fill="FFFFFF"/>
          <w:lang w:val="zh-CN" w:eastAsia="zh-CN" w:bidi="ar"/>
        </w:rPr>
        <w:t>%；卫生健康支出</w:t>
      </w:r>
      <w:r>
        <w:rPr>
          <w:rFonts w:hint="default" w:ascii="Times New Roman" w:hAnsi="Times New Roman" w:eastAsia="方正仿宋_GBK" w:cs="Times New Roman"/>
          <w:kern w:val="0"/>
          <w:sz w:val="32"/>
          <w:szCs w:val="32"/>
          <w:shd w:val="clear" w:color="auto" w:fill="FFFFFF"/>
          <w:lang w:val="en-US" w:eastAsia="zh-CN" w:bidi="ar"/>
        </w:rPr>
        <w:t>39.78</w:t>
      </w:r>
      <w:r>
        <w:rPr>
          <w:rFonts w:hint="default" w:ascii="Times New Roman" w:hAnsi="Times New Roman" w:eastAsia="方正仿宋_GBK" w:cs="Times New Roman"/>
          <w:kern w:val="0"/>
          <w:sz w:val="32"/>
          <w:szCs w:val="32"/>
          <w:shd w:val="clear" w:color="auto" w:fill="FFFFFF"/>
          <w:lang w:val="zh-CN" w:eastAsia="zh-CN" w:bidi="ar"/>
        </w:rPr>
        <w:t>万元，占总支出</w:t>
      </w:r>
      <w:r>
        <w:rPr>
          <w:rFonts w:hint="default" w:ascii="Times New Roman" w:hAnsi="Times New Roman" w:eastAsia="方正仿宋_GBK" w:cs="Times New Roman"/>
          <w:kern w:val="0"/>
          <w:sz w:val="32"/>
          <w:szCs w:val="32"/>
          <w:shd w:val="clear" w:color="auto" w:fill="FFFFFF"/>
          <w:lang w:val="en-US" w:eastAsia="zh-CN" w:bidi="ar"/>
        </w:rPr>
        <w:t>4.05</w:t>
      </w:r>
      <w:r>
        <w:rPr>
          <w:rFonts w:hint="default" w:ascii="Times New Roman" w:hAnsi="Times New Roman" w:eastAsia="方正仿宋_GBK" w:cs="Times New Roman"/>
          <w:kern w:val="0"/>
          <w:sz w:val="32"/>
          <w:szCs w:val="32"/>
          <w:shd w:val="clear" w:color="auto" w:fill="FFFFFF"/>
          <w:lang w:val="zh-CN" w:eastAsia="zh-CN" w:bidi="ar"/>
        </w:rPr>
        <w:t>%；住房保障支出</w:t>
      </w:r>
      <w:r>
        <w:rPr>
          <w:rFonts w:hint="default" w:ascii="Times New Roman" w:hAnsi="Times New Roman" w:eastAsia="方正仿宋_GBK" w:cs="Times New Roman"/>
          <w:kern w:val="0"/>
          <w:sz w:val="32"/>
          <w:szCs w:val="32"/>
          <w:shd w:val="clear" w:color="auto" w:fill="FFFFFF"/>
          <w:lang w:val="en-US" w:eastAsia="zh-CN" w:bidi="ar"/>
        </w:rPr>
        <w:t>29.03</w:t>
      </w:r>
      <w:r>
        <w:rPr>
          <w:rFonts w:hint="default" w:ascii="Times New Roman" w:hAnsi="Times New Roman" w:eastAsia="方正仿宋_GBK" w:cs="Times New Roman"/>
          <w:kern w:val="0"/>
          <w:sz w:val="32"/>
          <w:szCs w:val="32"/>
          <w:shd w:val="clear" w:color="auto" w:fill="FFFFFF"/>
          <w:lang w:val="zh-CN" w:eastAsia="zh-CN" w:bidi="ar"/>
        </w:rPr>
        <w:t>万元，占总支出</w:t>
      </w:r>
      <w:r>
        <w:rPr>
          <w:rFonts w:hint="default" w:ascii="Times New Roman" w:hAnsi="Times New Roman" w:eastAsia="方正仿宋_GBK" w:cs="Times New Roman"/>
          <w:kern w:val="0"/>
          <w:sz w:val="32"/>
          <w:szCs w:val="32"/>
          <w:shd w:val="clear" w:color="auto" w:fill="FFFFFF"/>
          <w:lang w:val="en-US" w:eastAsia="zh-CN" w:bidi="ar"/>
        </w:rPr>
        <w:t>2.96</w:t>
      </w:r>
      <w:r>
        <w:rPr>
          <w:rFonts w:hint="default" w:ascii="Times New Roman" w:hAnsi="Times New Roman" w:eastAsia="方正仿宋_GBK" w:cs="Times New Roman"/>
          <w:kern w:val="0"/>
          <w:sz w:val="32"/>
          <w:szCs w:val="32"/>
          <w:shd w:val="clear" w:color="auto" w:fill="FFFFFF"/>
          <w:lang w:val="zh-CN" w:eastAsia="zh-CN" w:bidi="ar"/>
        </w:rPr>
        <w:t>%。</w:t>
      </w:r>
    </w:p>
    <w:p w14:paraId="7BBAA71F">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default" w:ascii="Times New Roman" w:hAnsi="Times New Roman" w:eastAsia="方正黑体_GBK" w:cs="Times New Roman"/>
          <w:color w:val="000000"/>
          <w:kern w:val="0"/>
          <w:sz w:val="32"/>
          <w:szCs w:val="32"/>
          <w:shd w:val="clear" w:color="auto" w:fill="FFFFFF"/>
        </w:rPr>
      </w:pPr>
      <w:bookmarkStart w:id="89" w:name="_Toc7593"/>
      <w:r>
        <w:rPr>
          <w:rFonts w:hint="default" w:ascii="Times New Roman" w:hAnsi="Times New Roman" w:eastAsia="方正黑体_GBK" w:cs="Times New Roman"/>
          <w:color w:val="000000"/>
          <w:kern w:val="0"/>
          <w:sz w:val="32"/>
          <w:szCs w:val="32"/>
          <w:shd w:val="clear" w:color="auto" w:fill="FFFFFF"/>
        </w:rPr>
        <w:t>三、部门财政支出管理情况</w:t>
      </w:r>
      <w:bookmarkEnd w:id="89"/>
    </w:p>
    <w:p w14:paraId="3A85F8A6">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楷体_GBK" w:cs="Times New Roman"/>
          <w:b/>
          <w:sz w:val="32"/>
          <w:szCs w:val="32"/>
          <w:lang w:val="zh-CN"/>
        </w:rPr>
      </w:pPr>
      <w:r>
        <w:rPr>
          <w:rFonts w:hint="default" w:ascii="Times New Roman" w:hAnsi="Times New Roman" w:eastAsia="方正楷体_GBK" w:cs="Times New Roman"/>
          <w:b/>
          <w:sz w:val="32"/>
          <w:szCs w:val="32"/>
          <w:lang w:val="zh-CN"/>
        </w:rPr>
        <w:t>（一）预算编制情况</w:t>
      </w:r>
    </w:p>
    <w:p w14:paraId="79E4B5C4">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仿宋_GBK" w:cs="Times New Roman"/>
          <w:b/>
          <w:sz w:val="32"/>
          <w:szCs w:val="32"/>
          <w:lang w:val="zh-CN" w:eastAsia="zh-CN"/>
        </w:rPr>
      </w:pPr>
      <w:r>
        <w:rPr>
          <w:rFonts w:hint="default" w:ascii="Times New Roman" w:hAnsi="Times New Roman" w:eastAsia="方正仿宋_GBK" w:cs="Times New Roman"/>
          <w:b/>
          <w:sz w:val="32"/>
          <w:szCs w:val="32"/>
          <w:lang w:val="zh-CN" w:eastAsia="zh-CN"/>
        </w:rPr>
        <w:t>1、20</w:t>
      </w:r>
      <w:r>
        <w:rPr>
          <w:rFonts w:hint="default" w:ascii="Times New Roman" w:hAnsi="Times New Roman" w:eastAsia="方正仿宋_GBK" w:cs="Times New Roman"/>
          <w:b/>
          <w:sz w:val="32"/>
          <w:szCs w:val="32"/>
          <w:lang w:val="en-US" w:eastAsia="zh-CN"/>
        </w:rPr>
        <w:t>23</w:t>
      </w:r>
      <w:r>
        <w:rPr>
          <w:rFonts w:hint="default" w:ascii="Times New Roman" w:hAnsi="Times New Roman" w:eastAsia="方正仿宋_GBK" w:cs="Times New Roman"/>
          <w:b/>
          <w:sz w:val="32"/>
          <w:szCs w:val="32"/>
          <w:lang w:val="zh-CN" w:eastAsia="zh-CN"/>
        </w:rPr>
        <w:t>年度年初预算基本情况</w:t>
      </w:r>
    </w:p>
    <w:p w14:paraId="446639B4">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宣传部</w:t>
      </w:r>
      <w:r>
        <w:rPr>
          <w:rFonts w:hint="default" w:ascii="Times New Roman" w:hAnsi="Times New Roman" w:eastAsia="方正仿宋_GBK" w:cs="Times New Roman"/>
          <w:sz w:val="32"/>
          <w:szCs w:val="32"/>
        </w:rPr>
        <w:t>收入预算总额为</w:t>
      </w:r>
      <w:r>
        <w:rPr>
          <w:rFonts w:hint="default" w:ascii="Times New Roman" w:hAnsi="Times New Roman" w:eastAsia="方正仿宋_GBK" w:cs="Times New Roman"/>
          <w:sz w:val="32"/>
          <w:szCs w:val="32"/>
          <w:lang w:val="en-US" w:eastAsia="zh-CN"/>
        </w:rPr>
        <w:t>982.15</w:t>
      </w:r>
      <w:r>
        <w:rPr>
          <w:rFonts w:hint="default" w:ascii="Times New Roman" w:hAnsi="Times New Roman" w:eastAsia="方正仿宋_GBK" w:cs="Times New Roman"/>
          <w:sz w:val="32"/>
          <w:szCs w:val="32"/>
          <w:lang w:val="zh-CN"/>
        </w:rPr>
        <w:t>万元，其中：当年财政拨款收入</w:t>
      </w:r>
      <w:r>
        <w:rPr>
          <w:rFonts w:hint="default" w:ascii="Times New Roman" w:hAnsi="Times New Roman" w:eastAsia="方正仿宋_GBK" w:cs="Times New Roman"/>
          <w:sz w:val="32"/>
          <w:szCs w:val="32"/>
          <w:lang w:val="en-US" w:eastAsia="zh-CN"/>
        </w:rPr>
        <w:t>982.15</w:t>
      </w:r>
      <w:r>
        <w:rPr>
          <w:rFonts w:hint="default" w:ascii="Times New Roman" w:hAnsi="Times New Roman" w:eastAsia="方正仿宋_GBK" w:cs="Times New Roman"/>
          <w:sz w:val="32"/>
          <w:szCs w:val="32"/>
          <w:lang w:val="zh-CN"/>
        </w:rPr>
        <w:t>万元。相应安排支出预算</w:t>
      </w:r>
      <w:r>
        <w:rPr>
          <w:rFonts w:hint="default" w:ascii="Times New Roman" w:hAnsi="Times New Roman" w:eastAsia="方正仿宋_GBK" w:cs="Times New Roman"/>
          <w:sz w:val="32"/>
          <w:szCs w:val="32"/>
          <w:lang w:val="en-US" w:eastAsia="zh-CN"/>
        </w:rPr>
        <w:t>982.15</w:t>
      </w:r>
      <w:r>
        <w:rPr>
          <w:rFonts w:hint="default" w:ascii="Times New Roman" w:hAnsi="Times New Roman" w:eastAsia="方正仿宋_GBK" w:cs="Times New Roman"/>
          <w:sz w:val="32"/>
          <w:szCs w:val="32"/>
          <w:lang w:val="zh-CN"/>
        </w:rPr>
        <w:t>万元</w:t>
      </w:r>
      <w:r>
        <w:rPr>
          <w:rFonts w:hint="default" w:ascii="Times New Roman" w:hAnsi="Times New Roman" w:eastAsia="方正仿宋_GBK" w:cs="Times New Roman"/>
          <w:sz w:val="32"/>
          <w:szCs w:val="32"/>
          <w:lang w:val="zh-CN" w:eastAsia="zh-CN"/>
        </w:rPr>
        <w:t>。</w:t>
      </w:r>
    </w:p>
    <w:p w14:paraId="63F11AA1">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仿宋_GBK" w:cs="Times New Roman"/>
          <w:b/>
          <w:sz w:val="32"/>
          <w:szCs w:val="32"/>
          <w:lang w:val="zh-CN" w:eastAsia="zh-CN"/>
        </w:rPr>
      </w:pPr>
      <w:r>
        <w:rPr>
          <w:rFonts w:hint="default" w:ascii="Times New Roman" w:hAnsi="Times New Roman" w:eastAsia="方正仿宋_GBK" w:cs="Times New Roman"/>
          <w:b/>
          <w:sz w:val="32"/>
          <w:szCs w:val="32"/>
          <w:lang w:val="zh-CN" w:eastAsia="zh-CN"/>
        </w:rPr>
        <w:t>2、20</w:t>
      </w:r>
      <w:r>
        <w:rPr>
          <w:rFonts w:hint="default" w:ascii="Times New Roman" w:hAnsi="Times New Roman" w:eastAsia="方正仿宋_GBK" w:cs="Times New Roman"/>
          <w:b/>
          <w:sz w:val="32"/>
          <w:szCs w:val="32"/>
          <w:lang w:val="en-US" w:eastAsia="zh-CN"/>
        </w:rPr>
        <w:t>23</w:t>
      </w:r>
      <w:r>
        <w:rPr>
          <w:rFonts w:hint="default" w:ascii="Times New Roman" w:hAnsi="Times New Roman" w:eastAsia="方正仿宋_GBK" w:cs="Times New Roman"/>
          <w:b/>
          <w:sz w:val="32"/>
          <w:szCs w:val="32"/>
          <w:lang w:val="zh-CN" w:eastAsia="zh-CN"/>
        </w:rPr>
        <w:t>年度收支决算情况</w:t>
      </w:r>
    </w:p>
    <w:p w14:paraId="3BAF5377">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20</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lang w:val="zh-CN"/>
        </w:rPr>
        <w:t>年度总收入</w:t>
      </w:r>
      <w:r>
        <w:rPr>
          <w:rFonts w:hint="default" w:ascii="Times New Roman" w:hAnsi="Times New Roman" w:eastAsia="方正仿宋_GBK" w:cs="Times New Roman"/>
          <w:sz w:val="32"/>
          <w:szCs w:val="32"/>
          <w:lang w:val="en-US" w:eastAsia="zh-CN"/>
        </w:rPr>
        <w:t>982.15</w:t>
      </w:r>
      <w:r>
        <w:rPr>
          <w:rFonts w:hint="default" w:ascii="Times New Roman" w:hAnsi="Times New Roman" w:eastAsia="方正仿宋_GBK" w:cs="Times New Roman"/>
          <w:sz w:val="32"/>
          <w:szCs w:val="32"/>
          <w:lang w:val="zh-CN"/>
        </w:rPr>
        <w:t>万元，支出</w:t>
      </w:r>
      <w:r>
        <w:rPr>
          <w:rFonts w:hint="default" w:ascii="Times New Roman" w:hAnsi="Times New Roman" w:eastAsia="方正仿宋_GBK" w:cs="Times New Roman"/>
          <w:sz w:val="32"/>
          <w:szCs w:val="32"/>
          <w:lang w:val="en-US" w:eastAsia="zh-CN"/>
        </w:rPr>
        <w:t>982.15万元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zh-CN"/>
        </w:rPr>
        <w:t>其中：一般公共服务支出</w:t>
      </w:r>
      <w:r>
        <w:rPr>
          <w:rFonts w:hint="default" w:ascii="Times New Roman" w:hAnsi="Times New Roman" w:eastAsia="方正仿宋_GBK" w:cs="Times New Roman"/>
          <w:sz w:val="32"/>
          <w:szCs w:val="32"/>
          <w:lang w:val="en-US" w:eastAsia="zh-CN"/>
        </w:rPr>
        <w:t>765.09万</w:t>
      </w:r>
      <w:r>
        <w:rPr>
          <w:rFonts w:hint="default" w:ascii="Times New Roman" w:hAnsi="Times New Roman" w:eastAsia="方正仿宋_GBK" w:cs="Times New Roman"/>
          <w:sz w:val="32"/>
          <w:szCs w:val="32"/>
          <w:lang w:val="zh-CN"/>
        </w:rPr>
        <w:t>元，占总支出</w:t>
      </w:r>
      <w:r>
        <w:rPr>
          <w:rFonts w:hint="default" w:ascii="Times New Roman" w:hAnsi="Times New Roman" w:eastAsia="方正仿宋_GBK" w:cs="Times New Roman"/>
          <w:sz w:val="32"/>
          <w:szCs w:val="32"/>
          <w:lang w:val="en-US" w:eastAsia="zh-CN"/>
        </w:rPr>
        <w:t>77.90</w:t>
      </w:r>
      <w:r>
        <w:rPr>
          <w:rFonts w:hint="default" w:ascii="Times New Roman" w:hAnsi="Times New Roman" w:eastAsia="方正仿宋_GBK" w:cs="Times New Roman"/>
          <w:sz w:val="32"/>
          <w:szCs w:val="32"/>
          <w:lang w:val="zh-CN"/>
        </w:rPr>
        <w:t>%；文化旅游体育与传媒支出</w:t>
      </w:r>
      <w:r>
        <w:rPr>
          <w:rFonts w:hint="default" w:ascii="Times New Roman" w:hAnsi="Times New Roman" w:eastAsia="方正仿宋_GBK" w:cs="Times New Roman"/>
          <w:sz w:val="32"/>
          <w:szCs w:val="32"/>
          <w:lang w:val="en-US" w:eastAsia="zh-CN"/>
        </w:rPr>
        <w:t>89.73</w:t>
      </w:r>
      <w:r>
        <w:rPr>
          <w:rFonts w:hint="default" w:ascii="Times New Roman" w:hAnsi="Times New Roman" w:eastAsia="方正仿宋_GBK" w:cs="Times New Roman"/>
          <w:sz w:val="32"/>
          <w:szCs w:val="32"/>
          <w:lang w:val="zh-CN"/>
        </w:rPr>
        <w:t>万元，占总支出</w:t>
      </w:r>
      <w:r>
        <w:rPr>
          <w:rFonts w:hint="default" w:ascii="Times New Roman" w:hAnsi="Times New Roman" w:eastAsia="方正仿宋_GBK" w:cs="Times New Roman"/>
          <w:sz w:val="32"/>
          <w:szCs w:val="32"/>
          <w:lang w:val="en-US" w:eastAsia="zh-CN"/>
        </w:rPr>
        <w:t>9.14</w:t>
      </w:r>
      <w:r>
        <w:rPr>
          <w:rFonts w:hint="default" w:ascii="Times New Roman" w:hAnsi="Times New Roman" w:eastAsia="方正仿宋_GBK" w:cs="Times New Roman"/>
          <w:sz w:val="32"/>
          <w:szCs w:val="32"/>
          <w:lang w:val="zh-CN"/>
        </w:rPr>
        <w:t>%；社会保障局和就业支出</w:t>
      </w:r>
      <w:r>
        <w:rPr>
          <w:rFonts w:hint="default" w:ascii="Times New Roman" w:hAnsi="Times New Roman" w:eastAsia="方正仿宋_GBK" w:cs="Times New Roman"/>
          <w:sz w:val="32"/>
          <w:szCs w:val="32"/>
          <w:lang w:val="en-US" w:eastAsia="zh-CN"/>
        </w:rPr>
        <w:t>58.52万</w:t>
      </w:r>
      <w:r>
        <w:rPr>
          <w:rFonts w:hint="default" w:ascii="Times New Roman" w:hAnsi="Times New Roman" w:eastAsia="方正仿宋_GBK" w:cs="Times New Roman"/>
          <w:sz w:val="32"/>
          <w:szCs w:val="32"/>
          <w:lang w:val="zh-CN"/>
        </w:rPr>
        <w:t>元，占总支出</w:t>
      </w:r>
      <w:r>
        <w:rPr>
          <w:rFonts w:hint="default" w:ascii="Times New Roman" w:hAnsi="Times New Roman" w:eastAsia="方正仿宋_GBK" w:cs="Times New Roman"/>
          <w:sz w:val="32"/>
          <w:szCs w:val="32"/>
          <w:lang w:val="en-US" w:eastAsia="zh-CN"/>
        </w:rPr>
        <w:t>5.96</w:t>
      </w:r>
      <w:r>
        <w:rPr>
          <w:rFonts w:hint="default" w:ascii="Times New Roman" w:hAnsi="Times New Roman" w:eastAsia="方正仿宋_GBK" w:cs="Times New Roman"/>
          <w:sz w:val="32"/>
          <w:szCs w:val="32"/>
          <w:lang w:val="zh-CN"/>
        </w:rPr>
        <w:t>%；卫生健康支出</w:t>
      </w:r>
      <w:r>
        <w:rPr>
          <w:rFonts w:hint="default" w:ascii="Times New Roman" w:hAnsi="Times New Roman" w:eastAsia="方正仿宋_GBK" w:cs="Times New Roman"/>
          <w:sz w:val="32"/>
          <w:szCs w:val="32"/>
          <w:lang w:val="en-US" w:eastAsia="zh-CN"/>
        </w:rPr>
        <w:t>39.78</w:t>
      </w:r>
      <w:r>
        <w:rPr>
          <w:rFonts w:hint="default" w:ascii="Times New Roman" w:hAnsi="Times New Roman" w:eastAsia="方正仿宋_GBK" w:cs="Times New Roman"/>
          <w:sz w:val="32"/>
          <w:szCs w:val="32"/>
          <w:lang w:val="zh-CN"/>
        </w:rPr>
        <w:t>万元，占总支出</w:t>
      </w:r>
      <w:r>
        <w:rPr>
          <w:rFonts w:hint="default" w:ascii="Times New Roman" w:hAnsi="Times New Roman" w:eastAsia="方正仿宋_GBK" w:cs="Times New Roman"/>
          <w:sz w:val="32"/>
          <w:szCs w:val="32"/>
          <w:lang w:val="en-US" w:eastAsia="zh-CN"/>
        </w:rPr>
        <w:t>4.05</w:t>
      </w:r>
      <w:r>
        <w:rPr>
          <w:rFonts w:hint="default" w:ascii="Times New Roman" w:hAnsi="Times New Roman" w:eastAsia="方正仿宋_GBK" w:cs="Times New Roman"/>
          <w:sz w:val="32"/>
          <w:szCs w:val="32"/>
          <w:lang w:val="zh-CN"/>
        </w:rPr>
        <w:t>%；住房保障支出</w:t>
      </w:r>
      <w:r>
        <w:rPr>
          <w:rFonts w:hint="default" w:ascii="Times New Roman" w:hAnsi="Times New Roman" w:eastAsia="方正仿宋_GBK" w:cs="Times New Roman"/>
          <w:sz w:val="32"/>
          <w:szCs w:val="32"/>
          <w:lang w:val="en-US" w:eastAsia="zh-CN"/>
        </w:rPr>
        <w:t>29.03</w:t>
      </w:r>
      <w:r>
        <w:rPr>
          <w:rFonts w:hint="default" w:ascii="Times New Roman" w:hAnsi="Times New Roman" w:eastAsia="方正仿宋_GBK" w:cs="Times New Roman"/>
          <w:sz w:val="32"/>
          <w:szCs w:val="32"/>
          <w:lang w:val="zh-CN"/>
        </w:rPr>
        <w:t>万元，占总支出</w:t>
      </w:r>
      <w:r>
        <w:rPr>
          <w:rFonts w:hint="default" w:ascii="Times New Roman" w:hAnsi="Times New Roman" w:eastAsia="方正仿宋_GBK" w:cs="Times New Roman"/>
          <w:sz w:val="32"/>
          <w:szCs w:val="32"/>
          <w:lang w:val="en-US" w:eastAsia="zh-CN"/>
        </w:rPr>
        <w:t>2.96</w:t>
      </w:r>
      <w:r>
        <w:rPr>
          <w:rFonts w:hint="default" w:ascii="Times New Roman" w:hAnsi="Times New Roman" w:eastAsia="方正仿宋_GBK" w:cs="Times New Roman"/>
          <w:sz w:val="32"/>
          <w:szCs w:val="32"/>
          <w:lang w:val="zh-CN"/>
        </w:rPr>
        <w:t>%。</w:t>
      </w:r>
    </w:p>
    <w:p w14:paraId="17F0B417">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楷体_GBK" w:cs="Times New Roman"/>
          <w:b/>
          <w:sz w:val="32"/>
          <w:szCs w:val="32"/>
          <w:lang w:val="zh-CN"/>
        </w:rPr>
      </w:pPr>
      <w:r>
        <w:rPr>
          <w:rFonts w:hint="default" w:ascii="Times New Roman" w:hAnsi="Times New Roman" w:eastAsia="方正楷体_GBK" w:cs="Times New Roman"/>
          <w:b/>
          <w:sz w:val="32"/>
          <w:szCs w:val="32"/>
          <w:lang w:val="zh-CN"/>
        </w:rPr>
        <w:t>（二）执行管理情况</w:t>
      </w:r>
    </w:p>
    <w:p w14:paraId="4CB2727F">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kern w:val="2"/>
          <w:sz w:val="32"/>
          <w:szCs w:val="32"/>
          <w:lang w:val="zh-CN"/>
        </w:rPr>
      </w:pPr>
      <w:r>
        <w:rPr>
          <w:rFonts w:hint="default" w:ascii="Times New Roman" w:hAnsi="Times New Roman" w:eastAsia="方正仿宋_GBK" w:cs="Times New Roman"/>
          <w:kern w:val="2"/>
          <w:sz w:val="32"/>
          <w:szCs w:val="32"/>
          <w:lang w:val="zh-CN"/>
        </w:rPr>
        <w:t>20</w:t>
      </w:r>
      <w:r>
        <w:rPr>
          <w:rFonts w:hint="default" w:ascii="Times New Roman" w:hAnsi="Times New Roman" w:eastAsia="方正仿宋_GBK" w:cs="Times New Roman"/>
          <w:kern w:val="2"/>
          <w:sz w:val="32"/>
          <w:szCs w:val="32"/>
          <w:lang w:val="en-US" w:eastAsia="zh-CN"/>
        </w:rPr>
        <w:t>23</w:t>
      </w:r>
      <w:r>
        <w:rPr>
          <w:rFonts w:hint="default" w:ascii="Times New Roman" w:hAnsi="Times New Roman" w:eastAsia="方正仿宋_GBK" w:cs="Times New Roman"/>
          <w:kern w:val="2"/>
          <w:sz w:val="32"/>
          <w:szCs w:val="32"/>
          <w:lang w:val="zh-CN"/>
        </w:rPr>
        <w:t>年度总支出</w:t>
      </w:r>
      <w:r>
        <w:rPr>
          <w:rFonts w:hint="default" w:ascii="Times New Roman" w:hAnsi="Times New Roman" w:eastAsia="方正仿宋_GBK" w:cs="Times New Roman"/>
          <w:kern w:val="2"/>
          <w:sz w:val="32"/>
          <w:szCs w:val="32"/>
          <w:lang w:val="en-US" w:eastAsia="zh-CN"/>
        </w:rPr>
        <w:t>982.15</w:t>
      </w:r>
      <w:r>
        <w:rPr>
          <w:rFonts w:hint="default" w:ascii="Times New Roman" w:hAnsi="Times New Roman" w:eastAsia="方正仿宋_GBK" w:cs="Times New Roman"/>
          <w:kern w:val="2"/>
          <w:sz w:val="32"/>
          <w:szCs w:val="32"/>
          <w:lang w:val="zh-CN"/>
        </w:rPr>
        <w:t>万元，其中：基本支出</w:t>
      </w:r>
      <w:r>
        <w:rPr>
          <w:rFonts w:hint="default" w:ascii="Times New Roman" w:hAnsi="Times New Roman" w:eastAsia="方正仿宋_GBK" w:cs="Times New Roman"/>
          <w:kern w:val="2"/>
          <w:sz w:val="32"/>
          <w:szCs w:val="32"/>
          <w:lang w:val="en-US" w:eastAsia="zh-CN"/>
        </w:rPr>
        <w:t>462.52</w:t>
      </w:r>
      <w:r>
        <w:rPr>
          <w:rFonts w:hint="default" w:ascii="Times New Roman" w:hAnsi="Times New Roman" w:eastAsia="方正仿宋_GBK" w:cs="Times New Roman"/>
          <w:kern w:val="2"/>
          <w:sz w:val="32"/>
          <w:szCs w:val="32"/>
          <w:lang w:val="zh-CN"/>
        </w:rPr>
        <w:t>万元，占总支出比例</w:t>
      </w:r>
      <w:r>
        <w:rPr>
          <w:rFonts w:hint="default" w:ascii="Times New Roman" w:hAnsi="Times New Roman" w:eastAsia="方正仿宋_GBK" w:cs="Times New Roman"/>
          <w:kern w:val="2"/>
          <w:sz w:val="32"/>
          <w:szCs w:val="32"/>
          <w:lang w:val="en-US" w:eastAsia="zh-CN"/>
        </w:rPr>
        <w:t>47.09</w:t>
      </w:r>
      <w:r>
        <w:rPr>
          <w:rFonts w:hint="default" w:ascii="Times New Roman" w:hAnsi="Times New Roman" w:eastAsia="方正仿宋_GBK" w:cs="Times New Roman"/>
          <w:kern w:val="2"/>
          <w:sz w:val="32"/>
          <w:szCs w:val="32"/>
          <w:lang w:val="zh-CN"/>
        </w:rPr>
        <w:t>%，项目支出</w:t>
      </w:r>
      <w:r>
        <w:rPr>
          <w:rFonts w:hint="default" w:ascii="Times New Roman" w:hAnsi="Times New Roman" w:eastAsia="方正仿宋_GBK" w:cs="Times New Roman"/>
          <w:kern w:val="2"/>
          <w:sz w:val="32"/>
          <w:szCs w:val="32"/>
          <w:lang w:val="en-US" w:eastAsia="zh-CN"/>
        </w:rPr>
        <w:t>519.63</w:t>
      </w:r>
      <w:r>
        <w:rPr>
          <w:rFonts w:hint="default" w:ascii="Times New Roman" w:hAnsi="Times New Roman" w:eastAsia="方正仿宋_GBK" w:cs="Times New Roman"/>
          <w:kern w:val="2"/>
          <w:sz w:val="32"/>
          <w:szCs w:val="32"/>
          <w:lang w:val="zh-CN"/>
        </w:rPr>
        <w:t>万元，占总支出比例</w:t>
      </w:r>
      <w:r>
        <w:rPr>
          <w:rFonts w:hint="default" w:ascii="Times New Roman" w:hAnsi="Times New Roman" w:eastAsia="方正仿宋_GBK" w:cs="Times New Roman"/>
          <w:kern w:val="2"/>
          <w:sz w:val="32"/>
          <w:szCs w:val="32"/>
          <w:lang w:val="en-US" w:eastAsia="zh-CN"/>
        </w:rPr>
        <w:t>52.91</w:t>
      </w:r>
      <w:r>
        <w:rPr>
          <w:rFonts w:hint="default" w:ascii="Times New Roman" w:hAnsi="Times New Roman" w:eastAsia="方正仿宋_GBK" w:cs="Times New Roman"/>
          <w:kern w:val="2"/>
          <w:sz w:val="32"/>
          <w:szCs w:val="32"/>
          <w:lang w:val="zh-CN"/>
        </w:rPr>
        <w:t>%。</w:t>
      </w:r>
    </w:p>
    <w:p w14:paraId="59466708">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kern w:val="2"/>
          <w:sz w:val="32"/>
          <w:szCs w:val="32"/>
          <w:lang w:val="zh-CN"/>
        </w:rPr>
      </w:pPr>
      <w:r>
        <w:rPr>
          <w:rFonts w:hint="default" w:ascii="Times New Roman" w:hAnsi="Times New Roman" w:eastAsia="方正仿宋_GBK" w:cs="Times New Roman"/>
          <w:kern w:val="2"/>
          <w:sz w:val="32"/>
          <w:szCs w:val="32"/>
          <w:lang w:val="zh-CN"/>
        </w:rPr>
        <w:t>基本支出</w:t>
      </w:r>
      <w:r>
        <w:rPr>
          <w:rFonts w:hint="default" w:ascii="Times New Roman" w:hAnsi="Times New Roman" w:eastAsia="方正仿宋_GBK" w:cs="Times New Roman"/>
          <w:kern w:val="2"/>
          <w:sz w:val="32"/>
          <w:szCs w:val="32"/>
          <w:lang w:val="en-US" w:eastAsia="zh-CN"/>
        </w:rPr>
        <w:t>中，</w:t>
      </w:r>
      <w:r>
        <w:rPr>
          <w:rFonts w:hint="default" w:ascii="Times New Roman" w:hAnsi="Times New Roman" w:eastAsia="方正仿宋_GBK" w:cs="Times New Roman"/>
          <w:kern w:val="2"/>
          <w:sz w:val="32"/>
          <w:szCs w:val="32"/>
          <w:lang w:val="zh-CN"/>
        </w:rPr>
        <w:t>人员经费</w:t>
      </w:r>
      <w:r>
        <w:rPr>
          <w:rFonts w:hint="default" w:ascii="Times New Roman" w:hAnsi="Times New Roman" w:eastAsia="方正仿宋_GBK" w:cs="Times New Roman"/>
          <w:kern w:val="2"/>
          <w:sz w:val="32"/>
          <w:szCs w:val="32"/>
          <w:lang w:val="en-US" w:eastAsia="zh-CN"/>
        </w:rPr>
        <w:t>427.68</w:t>
      </w:r>
      <w:r>
        <w:rPr>
          <w:rFonts w:hint="default" w:ascii="Times New Roman" w:hAnsi="Times New Roman" w:eastAsia="方正仿宋_GBK" w:cs="Times New Roman"/>
          <w:kern w:val="2"/>
          <w:sz w:val="32"/>
          <w:szCs w:val="32"/>
          <w:lang w:val="zh-CN"/>
        </w:rPr>
        <w:t>万元，占基本支出的</w:t>
      </w:r>
      <w:r>
        <w:rPr>
          <w:rFonts w:hint="default" w:ascii="Times New Roman" w:hAnsi="Times New Roman" w:eastAsia="方正仿宋_GBK" w:cs="Times New Roman"/>
          <w:kern w:val="2"/>
          <w:sz w:val="32"/>
          <w:szCs w:val="32"/>
          <w:lang w:val="en-US" w:eastAsia="zh-CN"/>
        </w:rPr>
        <w:t>92.47</w:t>
      </w:r>
      <w:r>
        <w:rPr>
          <w:rFonts w:hint="default" w:ascii="Times New Roman" w:hAnsi="Times New Roman" w:eastAsia="方正仿宋_GBK" w:cs="Times New Roman"/>
          <w:kern w:val="2"/>
          <w:sz w:val="32"/>
          <w:szCs w:val="32"/>
          <w:lang w:val="zh-CN"/>
        </w:rPr>
        <w:t>%，日常公用经费</w:t>
      </w:r>
      <w:r>
        <w:rPr>
          <w:rFonts w:hint="default" w:ascii="Times New Roman" w:hAnsi="Times New Roman" w:eastAsia="方正仿宋_GBK" w:cs="Times New Roman"/>
          <w:kern w:val="2"/>
          <w:sz w:val="32"/>
          <w:szCs w:val="32"/>
          <w:lang w:val="en-US" w:eastAsia="zh-CN"/>
        </w:rPr>
        <w:t>34.85</w:t>
      </w:r>
      <w:r>
        <w:rPr>
          <w:rFonts w:hint="default" w:ascii="Times New Roman" w:hAnsi="Times New Roman" w:eastAsia="方正仿宋_GBK" w:cs="Times New Roman"/>
          <w:kern w:val="2"/>
          <w:sz w:val="32"/>
          <w:szCs w:val="32"/>
          <w:lang w:val="zh-CN"/>
        </w:rPr>
        <w:t>万元，占基本支出的</w:t>
      </w:r>
      <w:r>
        <w:rPr>
          <w:rFonts w:hint="default" w:ascii="Times New Roman" w:hAnsi="Times New Roman" w:eastAsia="方正仿宋_GBK" w:cs="Times New Roman"/>
          <w:kern w:val="2"/>
          <w:sz w:val="32"/>
          <w:szCs w:val="32"/>
          <w:lang w:val="en-US" w:eastAsia="zh-CN"/>
        </w:rPr>
        <w:t>7.53</w:t>
      </w:r>
      <w:r>
        <w:rPr>
          <w:rFonts w:hint="default" w:ascii="Times New Roman" w:hAnsi="Times New Roman" w:eastAsia="方正仿宋_GBK" w:cs="Times New Roman"/>
          <w:kern w:val="2"/>
          <w:sz w:val="32"/>
          <w:szCs w:val="32"/>
          <w:lang w:val="zh-CN"/>
        </w:rPr>
        <w:t>%。</w:t>
      </w:r>
    </w:p>
    <w:p w14:paraId="59B5CEA7">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楷体_GBK" w:cs="Times New Roman"/>
          <w:b/>
          <w:sz w:val="32"/>
          <w:szCs w:val="32"/>
          <w:lang w:val="zh-CN"/>
        </w:rPr>
      </w:pPr>
      <w:r>
        <w:rPr>
          <w:rFonts w:hint="default" w:ascii="Times New Roman" w:hAnsi="Times New Roman" w:eastAsia="方正楷体_GBK" w:cs="Times New Roman"/>
          <w:b/>
          <w:sz w:val="32"/>
          <w:szCs w:val="32"/>
          <w:lang w:val="zh-CN"/>
        </w:rPr>
        <w:t>（三）部门整体预算绩效管理情况</w:t>
      </w:r>
    </w:p>
    <w:p w14:paraId="1E6B6A70">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楷体_GBK" w:cs="Times New Roman"/>
          <w:b/>
          <w:sz w:val="32"/>
          <w:szCs w:val="32"/>
          <w:lang w:val="zh-CN"/>
        </w:rPr>
      </w:pPr>
      <w:r>
        <w:rPr>
          <w:rFonts w:hint="default" w:ascii="Times New Roman" w:hAnsi="Times New Roman" w:eastAsia="方正楷体_GBK" w:cs="Times New Roman"/>
          <w:b/>
          <w:sz w:val="32"/>
          <w:szCs w:val="32"/>
          <w:lang w:val="zh-CN"/>
        </w:rPr>
        <w:t>（一）部门预算管理</w:t>
      </w:r>
    </w:p>
    <w:p w14:paraId="3371A7D1">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default" w:ascii="Times New Roman" w:hAnsi="Times New Roman" w:eastAsia="仿宋_GB2312" w:cs="Times New Roman"/>
          <w:b/>
          <w:bCs/>
          <w:color w:val="000000"/>
          <w:kern w:val="0"/>
          <w:sz w:val="32"/>
          <w:szCs w:val="32"/>
          <w:shd w:val="clear" w:color="auto" w:fill="FFFFFF"/>
          <w:lang w:val="en-US" w:eastAsia="zh-CN"/>
        </w:rPr>
      </w:pPr>
      <w:r>
        <w:rPr>
          <w:rFonts w:hint="default" w:ascii="Times New Roman" w:hAnsi="Times New Roman" w:eastAsia="方正仿宋_GBK" w:cs="Times New Roman"/>
          <w:b/>
          <w:sz w:val="32"/>
          <w:szCs w:val="32"/>
          <w:lang w:val="en-US" w:eastAsia="zh-CN"/>
        </w:rPr>
        <w:t>1.绩效目标制定和完成情况</w:t>
      </w:r>
      <w:r>
        <w:rPr>
          <w:rFonts w:hint="default" w:ascii="Times New Roman" w:hAnsi="Times New Roman" w:eastAsia="仿宋_GB2312" w:cs="Times New Roman"/>
          <w:b/>
          <w:bCs/>
          <w:color w:val="000000"/>
          <w:kern w:val="0"/>
          <w:sz w:val="32"/>
          <w:szCs w:val="32"/>
          <w:shd w:val="clear" w:color="auto" w:fill="FFFFFF"/>
          <w:lang w:val="en-US" w:eastAsia="zh-CN"/>
        </w:rPr>
        <w:t>：</w:t>
      </w:r>
      <w:r>
        <w:rPr>
          <w:rFonts w:hint="default" w:ascii="Times New Roman" w:hAnsi="Times New Roman" w:cs="Times New Roman"/>
          <w:b w:val="0"/>
          <w:bCs w:val="0"/>
          <w:color w:val="000000"/>
          <w:kern w:val="0"/>
          <w:sz w:val="32"/>
          <w:szCs w:val="32"/>
          <w:shd w:val="clear" w:color="auto" w:fill="FFFFFF"/>
          <w:lang w:val="en-US" w:eastAsia="zh-CN"/>
        </w:rPr>
        <w:t>2023年，</w:t>
      </w:r>
      <w:r>
        <w:rPr>
          <w:rFonts w:hint="default" w:ascii="Times New Roman" w:hAnsi="Times New Roman" w:eastAsia="仿宋_GB2312" w:cs="Times New Roman"/>
          <w:b w:val="0"/>
          <w:bCs w:val="0"/>
          <w:color w:val="000000"/>
          <w:kern w:val="0"/>
          <w:sz w:val="32"/>
          <w:szCs w:val="32"/>
          <w:shd w:val="clear" w:color="auto" w:fill="FFFFFF"/>
          <w:lang w:val="en-US" w:eastAsia="zh-CN"/>
        </w:rPr>
        <w:t>我</w:t>
      </w:r>
      <w:r>
        <w:rPr>
          <w:rFonts w:hint="default" w:ascii="Times New Roman" w:hAnsi="Times New Roman" w:cs="Times New Roman"/>
          <w:b w:val="0"/>
          <w:bCs w:val="0"/>
          <w:color w:val="000000"/>
          <w:kern w:val="0"/>
          <w:sz w:val="32"/>
          <w:szCs w:val="32"/>
          <w:shd w:val="clear" w:color="auto" w:fill="FFFFFF"/>
          <w:lang w:val="en-US" w:eastAsia="zh-CN"/>
        </w:rPr>
        <w:t>部根据县财政局相关文件要求，</w:t>
      </w:r>
      <w:r>
        <w:rPr>
          <w:rFonts w:hint="default" w:ascii="Times New Roman" w:hAnsi="Times New Roman" w:eastAsia="仿宋_GB2312" w:cs="Times New Roman"/>
          <w:b w:val="0"/>
          <w:bCs w:val="0"/>
          <w:color w:val="000000"/>
          <w:kern w:val="0"/>
          <w:sz w:val="32"/>
          <w:szCs w:val="32"/>
          <w:shd w:val="clear" w:color="auto" w:fill="FFFFFF"/>
          <w:lang w:val="en-US" w:eastAsia="zh-CN"/>
        </w:rPr>
        <w:t>认真编报了部门整体支出和项目支出的绩效目标，实现绩效目标全覆盖，绩效目标设置完整</w:t>
      </w:r>
      <w:r>
        <w:rPr>
          <w:rFonts w:hint="default" w:ascii="Times New Roman" w:hAnsi="Times New Roman" w:cs="Times New Roman"/>
          <w:b w:val="0"/>
          <w:bCs w:val="0"/>
          <w:color w:val="000000"/>
          <w:kern w:val="0"/>
          <w:sz w:val="32"/>
          <w:szCs w:val="32"/>
          <w:shd w:val="clear" w:color="auto" w:fill="FFFFFF"/>
          <w:lang w:val="en-US" w:eastAsia="zh-CN"/>
        </w:rPr>
        <w:t>。</w:t>
      </w:r>
      <w:r>
        <w:rPr>
          <w:rFonts w:hint="default" w:ascii="Times New Roman" w:hAnsi="Times New Roman" w:eastAsia="仿宋_GB2312" w:cs="Times New Roman"/>
          <w:b w:val="0"/>
          <w:bCs w:val="0"/>
          <w:color w:val="000000"/>
          <w:kern w:val="0"/>
          <w:sz w:val="32"/>
          <w:szCs w:val="32"/>
          <w:shd w:val="clear" w:color="auto" w:fill="FFFFFF"/>
          <w:lang w:val="en-US" w:eastAsia="zh-CN"/>
        </w:rPr>
        <w:t>每条</w:t>
      </w:r>
      <w:r>
        <w:rPr>
          <w:rFonts w:hint="default" w:ascii="Times New Roman" w:hAnsi="Times New Roman" w:cs="Times New Roman"/>
          <w:b w:val="0"/>
          <w:bCs w:val="0"/>
          <w:color w:val="000000"/>
          <w:kern w:val="0"/>
          <w:sz w:val="32"/>
          <w:szCs w:val="32"/>
          <w:shd w:val="clear" w:color="auto" w:fill="FFFFFF"/>
          <w:lang w:val="en-US" w:eastAsia="zh-CN"/>
        </w:rPr>
        <w:t>绩效</w:t>
      </w:r>
      <w:r>
        <w:rPr>
          <w:rFonts w:hint="default" w:ascii="Times New Roman" w:hAnsi="Times New Roman" w:eastAsia="仿宋_GB2312" w:cs="Times New Roman"/>
          <w:b w:val="0"/>
          <w:bCs w:val="0"/>
          <w:color w:val="000000"/>
          <w:kern w:val="0"/>
          <w:sz w:val="32"/>
          <w:szCs w:val="32"/>
          <w:shd w:val="clear" w:color="auto" w:fill="FFFFFF"/>
          <w:lang w:val="en-US" w:eastAsia="zh-CN"/>
        </w:rPr>
        <w:t>指标基于202</w:t>
      </w:r>
      <w:r>
        <w:rPr>
          <w:rFonts w:hint="default" w:ascii="Times New Roman" w:hAnsi="Times New Roman" w:cs="Times New Roman"/>
          <w:b w:val="0"/>
          <w:bCs w:val="0"/>
          <w:color w:val="000000"/>
          <w:kern w:val="0"/>
          <w:sz w:val="32"/>
          <w:szCs w:val="32"/>
          <w:shd w:val="clear" w:color="auto" w:fill="FFFFFF"/>
          <w:lang w:val="en-US" w:eastAsia="zh-CN"/>
        </w:rPr>
        <w:t>3</w:t>
      </w:r>
      <w:r>
        <w:rPr>
          <w:rFonts w:hint="default" w:ascii="Times New Roman" w:hAnsi="Times New Roman" w:eastAsia="仿宋_GB2312" w:cs="Times New Roman"/>
          <w:b w:val="0"/>
          <w:bCs w:val="0"/>
          <w:color w:val="000000"/>
          <w:kern w:val="0"/>
          <w:sz w:val="32"/>
          <w:szCs w:val="32"/>
          <w:shd w:val="clear" w:color="auto" w:fill="FFFFFF"/>
          <w:lang w:val="en-US" w:eastAsia="zh-CN"/>
        </w:rPr>
        <w:t>年预算资金用途设置，与预算资金相匹配，且绩效指标明确、清晰、可衡量。</w:t>
      </w:r>
    </w:p>
    <w:p w14:paraId="4A85B30E">
      <w:pPr>
        <w:pStyle w:val="18"/>
        <w:keepNext w:val="0"/>
        <w:keepLines w:val="0"/>
        <w:pageBreakBefore w:val="0"/>
        <w:widowControl w:val="0"/>
        <w:suppressLineNumbers w:val="0"/>
        <w:suppressAutoHyphens w:val="0"/>
        <w:kinsoku/>
        <w:wordWrap w:val="0"/>
        <w:overflowPunct/>
        <w:topLinePunct w:val="0"/>
        <w:autoSpaceDE/>
        <w:autoSpaceDN/>
        <w:bidi w:val="0"/>
        <w:adjustRightInd/>
        <w:snapToGrid/>
        <w:spacing w:before="0" w:beforeAutospacing="0" w:after="0" w:afterAutospacing="0" w:line="576" w:lineRule="exact"/>
        <w:ind w:left="0" w:firstLine="640" w:firstLineChars="200"/>
        <w:jc w:val="left"/>
        <w:textAlignment w:val="auto"/>
        <w:rPr>
          <w:rFonts w:hint="default" w:ascii="Times New Roman" w:hAnsi="Times New Roman" w:eastAsia="仿宋" w:cs="Times New Roman"/>
          <w:kern w:val="0"/>
          <w:sz w:val="32"/>
          <w:szCs w:val="32"/>
          <w:lang w:val="en-US" w:eastAsia="zh-CN" w:bidi="ar"/>
        </w:rPr>
      </w:pPr>
      <w:r>
        <w:rPr>
          <w:rFonts w:hint="default" w:ascii="Times New Roman" w:hAnsi="Times New Roman" w:eastAsia="仿宋" w:cs="Times New Roman"/>
          <w:kern w:val="0"/>
          <w:sz w:val="32"/>
          <w:szCs w:val="32"/>
          <w:lang w:val="en-US" w:eastAsia="zh-CN" w:bidi="ar"/>
        </w:rPr>
        <w:t>2023年，以新思想铸魂立心，实施思想理论“铸魂”工程，制发《2023年宣传思想工作要点》。今年以来，召开县委理论学习中心组学习会议11次，各级党委（党组）召开理论学习中心组学习会议400余次，覆盖党员干部6400余人。不断完善“1+10+9+5+N”“红色草原”宣讲矩阵，深入远牧点、边界地、村社、学校、企业等开展宣讲230余场次，覆盖群众僧尼5.9万人。通过“线上+线下”方式，组织村（社区）党支部、离退休党支部、“两新”组织党支部等188个基层党组织，开展“三会一课”537次，主题党日517次，利用红色资源开展党性教育25次，推送藏汉双语学习信息100余次。县级领导和有关部门负责同志深入开展基层调研，梳理县级重点调研课题35篇，2篇入选州社科研重点课题，党的创新理论研究成为新常态。推出“3507”指尖微党课，推送《弘扬伟大建党精神》《幸福是奋斗出来的》等微党课视频2期，创新推出系列有价值、有深度、有分量的理论研究成果。</w:t>
      </w:r>
    </w:p>
    <w:p w14:paraId="769D0417">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 w:cs="Times New Roman"/>
          <w:kern w:val="0"/>
          <w:sz w:val="32"/>
          <w:szCs w:val="32"/>
          <w:lang w:val="en-US" w:eastAsia="zh-CN" w:bidi="ar"/>
        </w:rPr>
      </w:pPr>
      <w:r>
        <w:rPr>
          <w:rFonts w:hint="default" w:ascii="Times New Roman" w:hAnsi="Times New Roman" w:eastAsia="仿宋" w:cs="Times New Roman"/>
          <w:kern w:val="0"/>
          <w:sz w:val="32"/>
          <w:szCs w:val="32"/>
          <w:lang w:val="en-US" w:eastAsia="zh-CN" w:bidi="ar"/>
        </w:rPr>
        <w:t>过去一年，我们加强正面引导，组织开展“壮丽七十年  奋进新阿坝”重大主题报道，深入开展“双语解读党的二十大”“生态家园·大美红原”网络主题宣传活动，配合做好“新时代新征程新伟业”“壮丽70年 媒体看阿坝”“网络名人看阿坝”等主题采访活动。统筹网上网下、内宣外宣，积极宣传我县拼经济、搞建设、抓发展取得的巨大成就，截止目前，在中央主流媒体刊发稿件225条，省级主流媒体刊发稿件256。围绕庆祝建州70周年和县委、县政府中心工作，设计制作户外广告130余幅，在全县LED屏刊播庆祝建州70周年公益广告和宣传片，开展国旗和领导画像全覆盖检查2轮。</w:t>
      </w:r>
    </w:p>
    <w:p w14:paraId="1DCF8BC6">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 w:cs="Times New Roman"/>
          <w:kern w:val="0"/>
          <w:sz w:val="32"/>
          <w:szCs w:val="32"/>
          <w:lang w:val="en-US" w:eastAsia="zh-CN" w:bidi="ar"/>
        </w:rPr>
      </w:pPr>
      <w:r>
        <w:rPr>
          <w:rFonts w:hint="default" w:ascii="Times New Roman" w:hAnsi="Times New Roman" w:eastAsia="仿宋" w:cs="Times New Roman"/>
          <w:kern w:val="0"/>
          <w:sz w:val="32"/>
          <w:szCs w:val="32"/>
          <w:lang w:val="en-US" w:eastAsia="zh-CN" w:bidi="ar"/>
        </w:rPr>
        <w:t>持续开展乡村文化振兴魅力竞演和“百千万”工程样板村镇建设，推动农村电影放映优化升级。组织开展2023“放歌红原”春节联欢晚会、楠溪江雅克音乐季文化走亲活动、首届雅克杯非遗群舞大赛和2023年“文化和自然遗产日”非遗宣传展示等活动。积极开展申报第七批县级非物质文化遗产代表性项目名录及第七批县级非物质文化遗产项目代表性传承人工作。三是推进文旅融合。加快推进日干乔红军过草地纪念牌提升项目落地，有序推进长征国家文化公园红原段红色文化旅游节点打造项目和“红军村”建设。圆满完成第六届雅克音乐季系列重大文旅活动，策划推出全域旅游雅克推介官、自行车挑战赛等17项重大文化旅游活动。</w:t>
      </w:r>
    </w:p>
    <w:p w14:paraId="385C01F3">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default" w:ascii="Times New Roman" w:hAnsi="Times New Roman" w:eastAsia="仿宋_GB2312" w:cs="Times New Roman"/>
          <w:color w:val="000000"/>
          <w:kern w:val="0"/>
          <w:sz w:val="32"/>
          <w:szCs w:val="32"/>
          <w:shd w:val="clear" w:color="auto" w:fill="FFFFFF"/>
          <w:lang w:val="en-US"/>
        </w:rPr>
      </w:pPr>
      <w:r>
        <w:rPr>
          <w:rFonts w:hint="default" w:ascii="Times New Roman" w:hAnsi="Times New Roman" w:eastAsia="方正仿宋_GBK" w:cs="Times New Roman"/>
          <w:b/>
          <w:sz w:val="32"/>
          <w:szCs w:val="32"/>
          <w:lang w:val="en-US" w:eastAsia="zh-CN"/>
        </w:rPr>
        <w:t>2.</w:t>
      </w:r>
      <w:r>
        <w:rPr>
          <w:rFonts w:hint="default" w:ascii="Times New Roman" w:hAnsi="Times New Roman" w:eastAsia="方正仿宋_GBK" w:cs="Times New Roman"/>
          <w:b/>
          <w:sz w:val="32"/>
          <w:szCs w:val="32"/>
          <w:lang w:val="zh-CN" w:eastAsia="zh-CN"/>
        </w:rPr>
        <w:t>预算编制准确、支出控制、预算动态调整、执行进度、预算完成情况</w:t>
      </w:r>
      <w:r>
        <w:rPr>
          <w:rFonts w:hint="default" w:ascii="Times New Roman" w:hAnsi="Times New Roman" w:eastAsia="仿宋_GB2312" w:cs="Times New Roman"/>
          <w:b/>
          <w:bCs/>
          <w:color w:val="000000"/>
          <w:kern w:val="0"/>
          <w:sz w:val="32"/>
          <w:szCs w:val="32"/>
          <w:shd w:val="clear" w:color="auto" w:fill="FFFFFF"/>
          <w:lang w:val="zh-CN"/>
        </w:rPr>
        <w:t>：</w:t>
      </w:r>
      <w:r>
        <w:rPr>
          <w:rFonts w:hint="default" w:ascii="Times New Roman" w:hAnsi="Times New Roman" w:eastAsia="仿宋_GB2312" w:cs="Times New Roman"/>
          <w:color w:val="auto"/>
          <w:kern w:val="0"/>
          <w:sz w:val="32"/>
          <w:szCs w:val="32"/>
          <w:lang w:val="en-US" w:eastAsia="zh-CN"/>
        </w:rPr>
        <w:t>我</w:t>
      </w:r>
      <w:r>
        <w:rPr>
          <w:rFonts w:hint="default" w:ascii="Times New Roman" w:hAnsi="Times New Roman" w:cs="Times New Roman"/>
          <w:color w:val="auto"/>
          <w:kern w:val="0"/>
          <w:sz w:val="32"/>
          <w:szCs w:val="32"/>
          <w:lang w:val="en-US" w:eastAsia="zh-CN"/>
        </w:rPr>
        <w:t>部</w:t>
      </w:r>
      <w:r>
        <w:rPr>
          <w:rFonts w:hint="default" w:ascii="Times New Roman" w:hAnsi="Times New Roman" w:eastAsia="仿宋_GB2312" w:cs="Times New Roman"/>
          <w:color w:val="auto"/>
          <w:kern w:val="0"/>
          <w:sz w:val="32"/>
          <w:szCs w:val="32"/>
          <w:lang w:val="en-US" w:eastAsia="zh-CN"/>
        </w:rPr>
        <w:t>严格按照预算编制相关文件的要求，认真贯彻执行《中华人民共和国预算法》，结合县委、县政府安排部署和机关发展规划，抓好机关支出预算结构的优化和调整。严格控制一般性支出，细化“三公”经费预算管理，继续按照“零增长”的原则编制“三公”经费预算，科学、真实、准确、全面地反映部门收支情况。在预算执行过程中，</w:t>
      </w:r>
      <w:r>
        <w:rPr>
          <w:rFonts w:hint="default" w:ascii="Times New Roman" w:hAnsi="Times New Roman" w:eastAsia="仿宋_GB2312" w:cs="Times New Roman"/>
          <w:b/>
          <w:bCs/>
          <w:color w:val="auto"/>
          <w:kern w:val="0"/>
          <w:sz w:val="32"/>
          <w:szCs w:val="32"/>
          <w:lang w:val="en-US" w:eastAsia="zh-CN"/>
        </w:rPr>
        <w:t>一是</w:t>
      </w:r>
      <w:r>
        <w:rPr>
          <w:rFonts w:hint="default" w:ascii="Times New Roman" w:hAnsi="Times New Roman" w:eastAsia="仿宋_GB2312" w:cs="Times New Roman"/>
          <w:color w:val="auto"/>
          <w:kern w:val="0"/>
          <w:sz w:val="32"/>
          <w:szCs w:val="32"/>
          <w:lang w:val="en-US" w:eastAsia="zh-CN"/>
        </w:rPr>
        <w:t>严格按照年度预算安排及国库管理制度有关规定，基本支出按序时进度支付，项目支出围绕绩效目标，按规定程序及时支付。</w:t>
      </w:r>
      <w:r>
        <w:rPr>
          <w:rFonts w:hint="default" w:ascii="Times New Roman" w:hAnsi="Times New Roman" w:eastAsia="仿宋_GB2312" w:cs="Times New Roman"/>
          <w:b/>
          <w:bCs/>
          <w:color w:val="auto"/>
          <w:kern w:val="0"/>
          <w:sz w:val="32"/>
          <w:szCs w:val="32"/>
          <w:lang w:val="en-US" w:eastAsia="zh-CN"/>
        </w:rPr>
        <w:t>二是</w:t>
      </w:r>
      <w:r>
        <w:rPr>
          <w:rFonts w:hint="default" w:ascii="Times New Roman" w:hAnsi="Times New Roman" w:eastAsia="仿宋_GB2312" w:cs="Times New Roman"/>
          <w:b w:val="0"/>
          <w:bCs w:val="0"/>
          <w:color w:val="auto"/>
          <w:kern w:val="0"/>
          <w:sz w:val="32"/>
          <w:szCs w:val="32"/>
          <w:lang w:val="en-US" w:eastAsia="zh-CN"/>
        </w:rPr>
        <w:t>严格执行中央八项规定精神、《党政机关厉行节约反对浪费条例》等若干规定，从严从紧控制“三公”经费、会议费、培训费等一般性支出，认真执行公务卡强制结算。202</w:t>
      </w:r>
      <w:r>
        <w:rPr>
          <w:rFonts w:hint="default" w:ascii="Times New Roman" w:hAnsi="Times New Roman" w:cs="Times New Roman"/>
          <w:b w:val="0"/>
          <w:bCs w:val="0"/>
          <w:color w:val="auto"/>
          <w:kern w:val="0"/>
          <w:sz w:val="32"/>
          <w:szCs w:val="32"/>
          <w:lang w:val="en-US" w:eastAsia="zh-CN"/>
        </w:rPr>
        <w:t>3</w:t>
      </w:r>
      <w:r>
        <w:rPr>
          <w:rFonts w:hint="default" w:ascii="Times New Roman" w:hAnsi="Times New Roman" w:eastAsia="仿宋_GB2312" w:cs="Times New Roman"/>
          <w:b w:val="0"/>
          <w:bCs w:val="0"/>
          <w:color w:val="auto"/>
          <w:kern w:val="0"/>
          <w:sz w:val="32"/>
          <w:szCs w:val="32"/>
          <w:lang w:val="en-US" w:eastAsia="zh-CN"/>
        </w:rPr>
        <w:t>年因公出国（境）费用0万元，公务用车费用</w:t>
      </w:r>
      <w:r>
        <w:rPr>
          <w:rFonts w:hint="default" w:ascii="Times New Roman" w:hAnsi="Times New Roman" w:cs="Times New Roman"/>
          <w:b w:val="0"/>
          <w:bCs w:val="0"/>
          <w:color w:val="auto"/>
          <w:kern w:val="0"/>
          <w:sz w:val="32"/>
          <w:szCs w:val="32"/>
          <w:lang w:val="en-US" w:eastAsia="zh-CN"/>
        </w:rPr>
        <w:t>11.58</w:t>
      </w:r>
      <w:r>
        <w:rPr>
          <w:rFonts w:hint="default" w:ascii="Times New Roman" w:hAnsi="Times New Roman" w:eastAsia="仿宋_GB2312" w:cs="Times New Roman"/>
          <w:b w:val="0"/>
          <w:bCs w:val="0"/>
          <w:color w:val="auto"/>
          <w:kern w:val="0"/>
          <w:sz w:val="32"/>
          <w:szCs w:val="32"/>
          <w:lang w:val="en-US" w:eastAsia="zh-CN"/>
        </w:rPr>
        <w:t>万元，公务接待费用</w:t>
      </w:r>
      <w:r>
        <w:rPr>
          <w:rFonts w:hint="default" w:ascii="Times New Roman" w:hAnsi="Times New Roman" w:cs="Times New Roman"/>
          <w:b w:val="0"/>
          <w:bCs w:val="0"/>
          <w:color w:val="auto"/>
          <w:kern w:val="0"/>
          <w:sz w:val="32"/>
          <w:szCs w:val="32"/>
          <w:lang w:val="en-US" w:eastAsia="zh-CN"/>
        </w:rPr>
        <w:t>0.32</w:t>
      </w:r>
      <w:r>
        <w:rPr>
          <w:rFonts w:hint="default" w:ascii="Times New Roman" w:hAnsi="Times New Roman" w:eastAsia="仿宋_GB2312" w:cs="Times New Roman"/>
          <w:b w:val="0"/>
          <w:bCs w:val="0"/>
          <w:color w:val="auto"/>
          <w:kern w:val="0"/>
          <w:sz w:val="32"/>
          <w:szCs w:val="32"/>
          <w:lang w:val="en-US" w:eastAsia="zh-CN"/>
        </w:rPr>
        <w:t>万元，预算完成度为100%。</w:t>
      </w:r>
    </w:p>
    <w:p w14:paraId="015D9A32">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楷体_GBK" w:cs="Times New Roman"/>
          <w:b/>
          <w:sz w:val="32"/>
          <w:szCs w:val="32"/>
          <w:lang w:val="zh-CN"/>
        </w:rPr>
      </w:pPr>
      <w:r>
        <w:rPr>
          <w:rFonts w:hint="default" w:ascii="Times New Roman" w:hAnsi="Times New Roman" w:eastAsia="方正楷体_GBK" w:cs="Times New Roman"/>
          <w:b/>
          <w:sz w:val="32"/>
          <w:szCs w:val="32"/>
          <w:lang w:val="zh-CN"/>
        </w:rPr>
        <w:t>（二）结果应用情况</w:t>
      </w:r>
    </w:p>
    <w:p w14:paraId="352C17BA">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cs="Times New Roman"/>
          <w:lang w:val="zh-CN"/>
        </w:rPr>
      </w:pPr>
      <w:r>
        <w:rPr>
          <w:rFonts w:hint="default" w:ascii="Times New Roman" w:hAnsi="Times New Roman" w:eastAsia="仿宋_GB2312" w:cs="Times New Roman"/>
          <w:color w:val="000000"/>
          <w:kern w:val="0"/>
          <w:sz w:val="32"/>
          <w:szCs w:val="32"/>
          <w:shd w:val="clear" w:color="auto" w:fill="FFFFFF"/>
          <w:lang w:val="en-US" w:eastAsia="zh-CN"/>
        </w:rPr>
        <w:t>认真开展部门绩效评价工作。从整体上看，202</w:t>
      </w:r>
      <w:r>
        <w:rPr>
          <w:rFonts w:hint="default" w:ascii="Times New Roman" w:hAnsi="Times New Roman" w:cs="Times New Roman"/>
          <w:color w:val="000000"/>
          <w:kern w:val="0"/>
          <w:sz w:val="32"/>
          <w:szCs w:val="32"/>
          <w:shd w:val="clear" w:color="auto" w:fill="FFFFFF"/>
          <w:lang w:val="en-US" w:eastAsia="zh-CN"/>
        </w:rPr>
        <w:t>3</w:t>
      </w:r>
      <w:r>
        <w:rPr>
          <w:rFonts w:hint="default" w:ascii="Times New Roman" w:hAnsi="Times New Roman" w:eastAsia="仿宋_GB2312" w:cs="Times New Roman"/>
          <w:color w:val="000000"/>
          <w:kern w:val="0"/>
          <w:sz w:val="32"/>
          <w:szCs w:val="32"/>
          <w:shd w:val="clear" w:color="auto" w:fill="FFFFFF"/>
          <w:lang w:val="en-US" w:eastAsia="zh-CN"/>
        </w:rPr>
        <w:t>年度，我机关资金管理规范，政策执行有力，有效发挥了财政资金的使用效率。绩效目标基本达成，服务对象满意度达100%，并取得了良好的社会效益。</w:t>
      </w:r>
    </w:p>
    <w:p w14:paraId="11968B92">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default" w:ascii="Times New Roman" w:hAnsi="Times New Roman" w:eastAsia="方正黑体_GBK" w:cs="Times New Roman"/>
          <w:color w:val="000000"/>
          <w:kern w:val="0"/>
          <w:sz w:val="32"/>
          <w:szCs w:val="32"/>
          <w:shd w:val="clear" w:color="auto" w:fill="FFFFFF"/>
        </w:rPr>
      </w:pPr>
      <w:bookmarkStart w:id="90" w:name="_Toc11996"/>
      <w:r>
        <w:rPr>
          <w:rFonts w:hint="default" w:ascii="Times New Roman" w:hAnsi="Times New Roman" w:eastAsia="方正黑体_GBK" w:cs="Times New Roman"/>
          <w:color w:val="000000"/>
          <w:kern w:val="0"/>
          <w:sz w:val="32"/>
          <w:szCs w:val="32"/>
          <w:shd w:val="clear" w:color="auto" w:fill="FFFFFF"/>
        </w:rPr>
        <w:t>四、评价结论及建议</w:t>
      </w:r>
      <w:bookmarkEnd w:id="90"/>
    </w:p>
    <w:p w14:paraId="11E0BD34">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楷体_GBK" w:cs="Times New Roman"/>
          <w:b/>
          <w:sz w:val="32"/>
          <w:szCs w:val="32"/>
          <w:lang w:val="zh-CN"/>
        </w:rPr>
      </w:pPr>
      <w:r>
        <w:rPr>
          <w:rFonts w:hint="default" w:ascii="Times New Roman" w:hAnsi="Times New Roman" w:eastAsia="方正楷体_GBK" w:cs="Times New Roman"/>
          <w:b/>
          <w:sz w:val="32"/>
          <w:szCs w:val="32"/>
          <w:lang w:val="zh-CN"/>
        </w:rPr>
        <w:t>（一）评价结论</w:t>
      </w:r>
    </w:p>
    <w:p w14:paraId="02A22B59">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我部</w:t>
      </w:r>
      <w:r>
        <w:rPr>
          <w:rFonts w:hint="default" w:ascii="Times New Roman" w:hAnsi="Times New Roman" w:eastAsia="方正仿宋_GBK" w:cs="Times New Roman"/>
          <w:sz w:val="32"/>
          <w:szCs w:val="32"/>
          <w:lang w:val="en-US" w:eastAsia="zh-CN"/>
        </w:rPr>
        <w:t>部</w:t>
      </w:r>
      <w:r>
        <w:rPr>
          <w:rFonts w:hint="default" w:ascii="Times New Roman" w:hAnsi="Times New Roman" w:eastAsia="方正仿宋_GBK" w:cs="Times New Roman"/>
          <w:sz w:val="32"/>
          <w:szCs w:val="32"/>
          <w:lang w:val="zh-CN"/>
        </w:rPr>
        <w:t>门支出预算，保障了机关日常正常运转，专项资金着眼建设具有强大凝聚力和引领力的社会主义意识形态，建设具有强大生命力和创造力的社会主义精神文明，全民道德素质和社会主义文明程度得到一定提高，同时在维护</w:t>
      </w:r>
      <w:r>
        <w:rPr>
          <w:rFonts w:hint="eastAsia" w:eastAsia="方正仿宋_GBK" w:cs="Times New Roman"/>
          <w:sz w:val="32"/>
          <w:szCs w:val="32"/>
          <w:lang w:val="zh-CN"/>
        </w:rPr>
        <w:t>少数民族</w:t>
      </w:r>
      <w:r>
        <w:rPr>
          <w:rFonts w:hint="default" w:ascii="Times New Roman" w:hAnsi="Times New Roman" w:eastAsia="方正仿宋_GBK" w:cs="Times New Roman"/>
          <w:sz w:val="32"/>
          <w:szCs w:val="32"/>
          <w:lang w:val="zh-CN"/>
        </w:rPr>
        <w:t>地区的社会稳定、提高人民生活水平、改善人民生活质量等方面有着极其重要的意义，有力促进了社会和谐发展，</w:t>
      </w:r>
      <w:bookmarkStart w:id="101" w:name="_GoBack"/>
      <w:bookmarkEnd w:id="101"/>
      <w:r>
        <w:rPr>
          <w:rFonts w:hint="default" w:ascii="Times New Roman" w:hAnsi="Times New Roman" w:eastAsia="方正仿宋_GBK" w:cs="Times New Roman"/>
          <w:sz w:val="32"/>
          <w:szCs w:val="32"/>
          <w:lang w:val="zh-CN"/>
        </w:rPr>
        <w:t>为全县及乡镇的经济社会发展作出了应有的贡献。部门整体支出绩效自评得分为</w:t>
      </w:r>
      <w:r>
        <w:rPr>
          <w:rFonts w:hint="default" w:ascii="Times New Roman" w:hAnsi="Times New Roman" w:eastAsia="方正仿宋_GBK" w:cs="Times New Roman"/>
          <w:sz w:val="32"/>
          <w:szCs w:val="32"/>
          <w:lang w:val="en-US" w:eastAsia="zh-CN"/>
        </w:rPr>
        <w:t>95分，自评</w:t>
      </w:r>
      <w:r>
        <w:rPr>
          <w:rFonts w:hint="default" w:ascii="Times New Roman" w:hAnsi="Times New Roman" w:eastAsia="方正仿宋_GBK" w:cs="Times New Roman"/>
          <w:sz w:val="32"/>
          <w:szCs w:val="32"/>
          <w:lang w:val="zh-CN"/>
        </w:rPr>
        <w:t>良好 。</w:t>
      </w:r>
    </w:p>
    <w:p w14:paraId="60D297B2">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楷体_GBK" w:cs="Times New Roman"/>
          <w:b/>
          <w:sz w:val="32"/>
          <w:szCs w:val="32"/>
          <w:lang w:val="zh-CN"/>
        </w:rPr>
      </w:pPr>
      <w:r>
        <w:rPr>
          <w:rFonts w:hint="default" w:ascii="Times New Roman" w:hAnsi="Times New Roman" w:eastAsia="方正楷体_GBK" w:cs="Times New Roman"/>
          <w:b/>
          <w:sz w:val="32"/>
          <w:szCs w:val="32"/>
          <w:lang w:val="zh-CN"/>
        </w:rPr>
        <w:t xml:space="preserve">（二）存在的问题。  </w:t>
      </w:r>
    </w:p>
    <w:p w14:paraId="10490BBB">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我</w:t>
      </w:r>
      <w:r>
        <w:rPr>
          <w:rFonts w:hint="default" w:ascii="Times New Roman" w:hAnsi="Times New Roman" w:eastAsia="方正仿宋_GBK" w:cs="Times New Roman"/>
          <w:sz w:val="32"/>
          <w:szCs w:val="32"/>
          <w:lang w:val="en-US" w:eastAsia="zh-CN"/>
        </w:rPr>
        <w:t>部门</w:t>
      </w:r>
      <w:r>
        <w:rPr>
          <w:rFonts w:hint="default" w:ascii="Times New Roman" w:hAnsi="Times New Roman" w:eastAsia="方正仿宋_GBK" w:cs="Times New Roman"/>
          <w:sz w:val="32"/>
          <w:szCs w:val="32"/>
          <w:lang w:val="zh-CN"/>
        </w:rPr>
        <w:t>虽然在专项资金的工作中不断努力完善制度，但是由于我县的特殊环境仍然存在一定的不足，主要表现在：由于群众文化水平低等诸多原因，全民道德素质和社会文明程度还达不到上级要求效果。</w:t>
      </w:r>
    </w:p>
    <w:p w14:paraId="7C9CFC91">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楷体_GBK" w:cs="Times New Roman"/>
          <w:b/>
          <w:sz w:val="32"/>
          <w:szCs w:val="32"/>
          <w:lang w:val="zh-CN"/>
        </w:rPr>
      </w:pPr>
      <w:r>
        <w:rPr>
          <w:rFonts w:hint="default" w:ascii="Times New Roman" w:hAnsi="Times New Roman" w:eastAsia="方正楷体_GBK" w:cs="Times New Roman"/>
          <w:b/>
          <w:sz w:val="32"/>
          <w:szCs w:val="32"/>
          <w:lang w:val="zh-CN"/>
        </w:rPr>
        <w:t>（三）</w:t>
      </w:r>
      <w:r>
        <w:rPr>
          <w:rFonts w:hint="default" w:ascii="Times New Roman" w:hAnsi="Times New Roman" w:eastAsia="方正楷体_GBK" w:cs="Times New Roman"/>
          <w:b/>
          <w:sz w:val="32"/>
          <w:szCs w:val="32"/>
          <w:lang w:val="en-US" w:eastAsia="zh-CN"/>
        </w:rPr>
        <w:t>改进</w:t>
      </w:r>
      <w:r>
        <w:rPr>
          <w:rFonts w:hint="default" w:ascii="Times New Roman" w:hAnsi="Times New Roman" w:eastAsia="方正楷体_GBK" w:cs="Times New Roman"/>
          <w:b/>
          <w:sz w:val="32"/>
          <w:szCs w:val="32"/>
          <w:lang w:val="zh-CN"/>
        </w:rPr>
        <w:t>建议。</w:t>
      </w:r>
    </w:p>
    <w:p w14:paraId="7B4E8194">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进一步加强与财政、县级相关部门的沟通联系，积极参加各类学习、培训，努力提高业务能力、服务意识和服务水平。</w:t>
      </w:r>
    </w:p>
    <w:p w14:paraId="26493901">
      <w:pPr>
        <w:keepNext w:val="0"/>
        <w:keepLines w:val="0"/>
        <w:pageBreakBefore w:val="0"/>
        <w:kinsoku/>
        <w:overflowPunct/>
        <w:topLinePunct w:val="0"/>
        <w:autoSpaceDE/>
        <w:autoSpaceDN/>
        <w:bidi w:val="0"/>
        <w:spacing w:line="576" w:lineRule="exact"/>
        <w:textAlignment w:val="auto"/>
      </w:pPr>
    </w:p>
    <w:p w14:paraId="36B42654">
      <w:pPr>
        <w:outlineLvl w:val="9"/>
        <w:rPr>
          <w:rFonts w:hint="eastAsia" w:ascii="黑体" w:hAnsi="黑体" w:eastAsia="黑体"/>
          <w:color w:val="FF0000"/>
          <w:sz w:val="32"/>
          <w:szCs w:val="32"/>
        </w:rPr>
      </w:pPr>
      <w:bookmarkStart w:id="91" w:name="_Toc23499"/>
      <w:r>
        <w:drawing>
          <wp:anchor distT="0" distB="0" distL="114300" distR="114300" simplePos="0" relativeHeight="251663360" behindDoc="0" locked="0" layoutInCell="1" allowOverlap="1">
            <wp:simplePos x="0" y="0"/>
            <wp:positionH relativeFrom="column">
              <wp:posOffset>-539750</wp:posOffset>
            </wp:positionH>
            <wp:positionV relativeFrom="paragraph">
              <wp:posOffset>-914400</wp:posOffset>
            </wp:positionV>
            <wp:extent cx="6307455" cy="8789035"/>
            <wp:effectExtent l="0" t="0" r="17145" b="12065"/>
            <wp:wrapTopAndBottom/>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3"/>
                    <a:stretch>
                      <a:fillRect/>
                    </a:stretch>
                  </pic:blipFill>
                  <pic:spPr>
                    <a:xfrm>
                      <a:off x="0" y="0"/>
                      <a:ext cx="6307455" cy="8789035"/>
                    </a:xfrm>
                    <a:prstGeom prst="rect">
                      <a:avLst/>
                    </a:prstGeom>
                    <a:noFill/>
                    <a:ln>
                      <a:noFill/>
                    </a:ln>
                  </pic:spPr>
                </pic:pic>
              </a:graphicData>
            </a:graphic>
          </wp:anchor>
        </w:drawing>
      </w:r>
    </w:p>
    <w:p w14:paraId="273D3B87">
      <w:pPr>
        <w:outlineLvl w:val="9"/>
        <w:rPr>
          <w:rFonts w:hint="eastAsia" w:ascii="黑体" w:hAnsi="黑体" w:eastAsia="黑体"/>
          <w:color w:val="FF0000"/>
          <w:sz w:val="32"/>
          <w:szCs w:val="32"/>
        </w:rPr>
      </w:pPr>
    </w:p>
    <w:p w14:paraId="5C35CF3C">
      <w:pPr>
        <w:outlineLvl w:val="1"/>
        <w:rPr>
          <w:rFonts w:ascii="黑体" w:hAnsi="黑体" w:eastAsia="黑体"/>
          <w:color w:val="auto"/>
          <w:sz w:val="32"/>
          <w:szCs w:val="32"/>
        </w:rPr>
      </w:pPr>
      <w:bookmarkStart w:id="92" w:name="_Toc29868"/>
      <w:r>
        <w:rPr>
          <w:rFonts w:hint="eastAsia" w:ascii="黑体" w:hAnsi="黑体" w:eastAsia="黑体"/>
          <w:color w:val="auto"/>
          <w:sz w:val="32"/>
          <w:szCs w:val="32"/>
        </w:rPr>
        <w:t>附件2</w:t>
      </w:r>
      <w:bookmarkEnd w:id="91"/>
      <w:bookmarkEnd w:id="92"/>
    </w:p>
    <w:p w14:paraId="4CEBADCB">
      <w:pPr>
        <w:pStyle w:val="38"/>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_GBK" w:hAnsi="方正小标宋_GBK" w:eastAsia="方正小标宋_GBK" w:cs="方正小标宋_GBK"/>
          <w:b w:val="0"/>
          <w:bCs w:val="0"/>
          <w:color w:val="auto"/>
          <w:kern w:val="2"/>
          <w:sz w:val="44"/>
          <w:szCs w:val="44"/>
          <w:highlight w:val="none"/>
          <w:lang w:val="en-US" w:eastAsia="zh-CN"/>
        </w:rPr>
        <w:t>中共红原县委员会宣传部</w:t>
      </w:r>
    </w:p>
    <w:p w14:paraId="731492CA">
      <w:pPr>
        <w:pStyle w:val="38"/>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_GBK" w:hAnsi="方正小标宋_GBK" w:eastAsia="方正小标宋_GBK" w:cs="方正小标宋_GBK"/>
          <w:b w:val="0"/>
          <w:bCs w:val="0"/>
          <w:color w:val="auto"/>
          <w:kern w:val="2"/>
          <w:sz w:val="44"/>
          <w:szCs w:val="44"/>
          <w:highlight w:val="none"/>
          <w:lang w:val="en-US" w:eastAsia="zh-CN"/>
        </w:rPr>
        <w:t>关于中央支持地方公共文化服务体系建设补助项目绩效评价报告</w:t>
      </w:r>
    </w:p>
    <w:p w14:paraId="2D684492">
      <w:pPr>
        <w:keepNext w:val="0"/>
        <w:keepLines w:val="0"/>
        <w:pageBreakBefore w:val="0"/>
        <w:widowControl w:val="0"/>
        <w:kinsoku/>
        <w:wordWrap/>
        <w:overflowPunct/>
        <w:topLinePunct w:val="0"/>
        <w:autoSpaceDE/>
        <w:autoSpaceDN/>
        <w:bidi w:val="0"/>
        <w:adjustRightInd w:val="0"/>
        <w:snapToGrid w:val="0"/>
        <w:spacing w:line="576" w:lineRule="exact"/>
        <w:ind w:firstLine="420" w:firstLineChars="200"/>
        <w:textAlignment w:val="auto"/>
        <w:rPr>
          <w:rFonts w:hint="default" w:ascii="Times New Roman" w:hAnsi="Times New Roman" w:eastAsia="黑体" w:cs="Times New Roman"/>
          <w:highlight w:val="none"/>
        </w:rPr>
      </w:pPr>
    </w:p>
    <w:p w14:paraId="65642B0B">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1"/>
        <w:rPr>
          <w:rFonts w:hint="default" w:ascii="Times New Roman" w:hAnsi="Times New Roman" w:eastAsia="方正黑体_GBK" w:cs="Times New Roman"/>
          <w:color w:val="auto"/>
          <w:sz w:val="32"/>
          <w:szCs w:val="32"/>
          <w:highlight w:val="none"/>
          <w:lang w:val="zh-CN"/>
        </w:rPr>
      </w:pPr>
      <w:bookmarkStart w:id="93" w:name="_Toc14902"/>
      <w:r>
        <w:rPr>
          <w:rFonts w:hint="default" w:ascii="Times New Roman" w:hAnsi="Times New Roman" w:eastAsia="方正黑体_GBK" w:cs="Times New Roman"/>
          <w:color w:val="auto"/>
          <w:sz w:val="32"/>
          <w:szCs w:val="32"/>
          <w:highlight w:val="none"/>
        </w:rPr>
        <w:t>一、</w:t>
      </w:r>
      <w:r>
        <w:rPr>
          <w:rFonts w:hint="default" w:ascii="Times New Roman" w:hAnsi="Times New Roman" w:eastAsia="方正黑体_GBK" w:cs="Times New Roman"/>
          <w:color w:val="auto"/>
          <w:sz w:val="32"/>
          <w:szCs w:val="32"/>
          <w:highlight w:val="none"/>
          <w:lang w:val="zh-CN"/>
        </w:rPr>
        <w:t>项目概况</w:t>
      </w:r>
      <w:bookmarkEnd w:id="93"/>
    </w:p>
    <w:p w14:paraId="252D7AA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default" w:ascii="Times New Roman" w:hAnsi="Times New Roman" w:eastAsia="方正楷体_GBK" w:cs="Times New Roman"/>
          <w:b/>
          <w:color w:val="auto"/>
          <w:sz w:val="32"/>
          <w:szCs w:val="32"/>
          <w:highlight w:val="none"/>
          <w:u w:val="none"/>
          <w:lang w:val="zh-CN"/>
        </w:rPr>
      </w:pPr>
      <w:r>
        <w:rPr>
          <w:rFonts w:hint="default" w:ascii="Times New Roman" w:hAnsi="Times New Roman" w:eastAsia="方正楷体_GBK" w:cs="Times New Roman"/>
          <w:b/>
          <w:color w:val="auto"/>
          <w:sz w:val="32"/>
          <w:szCs w:val="32"/>
          <w:highlight w:val="none"/>
          <w:u w:val="none"/>
          <w:lang w:val="zh-CN"/>
        </w:rPr>
        <w:t>（一）项目基本情况。</w:t>
      </w:r>
    </w:p>
    <w:p w14:paraId="12FE84AA">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根据《省财政厅下达2022年中央支持地方公共文化服务体系建设补助资金（一般项目、绩效奖励）预算的通知》（川财教[2022]137号）和《省财政厅下达2022年中央支持地方公共文化服务体系建设补助资金（一般项目、绩效奖励）预算的通知》（阿州财教[2022]68号）文件下达该专项资金。</w:t>
      </w:r>
    </w:p>
    <w:p w14:paraId="33CF3D6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eastAsia" w:ascii="Times New Roman" w:hAnsi="Times New Roman" w:eastAsia="方正楷体_GBK" w:cs="Times New Roman"/>
          <w:b/>
          <w:color w:val="auto"/>
          <w:sz w:val="32"/>
          <w:szCs w:val="32"/>
          <w:highlight w:val="none"/>
          <w:u w:val="none"/>
          <w:lang w:val="en-US" w:eastAsia="zh-CN"/>
        </w:rPr>
      </w:pPr>
      <w:r>
        <w:rPr>
          <w:rFonts w:hint="eastAsia" w:ascii="Times New Roman" w:hAnsi="Times New Roman" w:eastAsia="方正楷体_GBK" w:cs="Times New Roman"/>
          <w:b/>
          <w:color w:val="auto"/>
          <w:sz w:val="32"/>
          <w:szCs w:val="32"/>
          <w:highlight w:val="none"/>
          <w:u w:val="none"/>
          <w:lang w:val="en-US" w:eastAsia="zh-CN"/>
        </w:rPr>
        <w:t>（二）实施目的及支持方向。</w:t>
      </w:r>
    </w:p>
    <w:p w14:paraId="176C53D6">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引导和支持地方提供基本公共文化服务项目，改善基层公共文化服务设施条件，加强基层公共文化服务人才队伍建设等，支出加快构建现代公共文化服务体系，促进基本公共文化服务标准化、均等化，保障广大群众读书看报、观看电视、观赏电影、进行文化鉴赏、开展文化体育活动等基本文化权益。</w:t>
      </w:r>
    </w:p>
    <w:p w14:paraId="2701BEC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eastAsia" w:ascii="Times New Roman" w:hAnsi="Times New Roman" w:eastAsia="方正楷体_GBK" w:cs="Times New Roman"/>
          <w:b/>
          <w:color w:val="auto"/>
          <w:sz w:val="32"/>
          <w:szCs w:val="32"/>
          <w:highlight w:val="none"/>
          <w:u w:val="none"/>
          <w:lang w:val="zh-CN" w:eastAsia="zh-CN"/>
        </w:rPr>
      </w:pPr>
      <w:r>
        <w:rPr>
          <w:rFonts w:hint="eastAsia" w:ascii="Times New Roman" w:hAnsi="Times New Roman" w:eastAsia="方正楷体_GBK" w:cs="Times New Roman"/>
          <w:b/>
          <w:color w:val="auto"/>
          <w:sz w:val="32"/>
          <w:szCs w:val="32"/>
          <w:highlight w:val="none"/>
          <w:u w:val="none"/>
          <w:lang w:val="en-US" w:eastAsia="zh-CN"/>
        </w:rPr>
        <w:t>（三）预算安排及分配管理</w:t>
      </w:r>
      <w:r>
        <w:rPr>
          <w:rFonts w:hint="eastAsia" w:ascii="Times New Roman" w:hAnsi="Times New Roman" w:eastAsia="方正楷体_GBK" w:cs="Times New Roman"/>
          <w:b/>
          <w:color w:val="auto"/>
          <w:sz w:val="32"/>
          <w:szCs w:val="32"/>
          <w:highlight w:val="none"/>
          <w:u w:val="none"/>
          <w:lang w:val="zh-CN" w:eastAsia="zh-CN"/>
        </w:rPr>
        <w:t>。</w:t>
      </w:r>
    </w:p>
    <w:p w14:paraId="496DA5CA">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根据《省财政厅下达2022年中央支持地方公共文化服务体系建设补助资金（一般项目、绩效奖励）预算的通知》（川财教[2022]137号）和《州财政厅下达2022年中央支持地方公共文化服务体系建设补助资金（一般项目、绩效奖励）预算的通知》（阿州财教[2022]68号）文件要求。经商议宣传部分配资金560000元（大写：伍拾陆万元整），文化体育和旅游局分配资金686200元（大写：陆拾捌万陆仟贰佰元整）。</w:t>
      </w:r>
    </w:p>
    <w:p w14:paraId="0B07A25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eastAsia" w:ascii="Times New Roman" w:hAnsi="Times New Roman" w:eastAsia="方正楷体_GBK" w:cs="Times New Roman"/>
          <w:b/>
          <w:color w:val="auto"/>
          <w:sz w:val="32"/>
          <w:szCs w:val="32"/>
          <w:highlight w:val="none"/>
          <w:u w:val="none"/>
          <w:lang w:val="zh-CN" w:eastAsia="zh-CN"/>
        </w:rPr>
      </w:pPr>
      <w:r>
        <w:rPr>
          <w:rFonts w:hint="eastAsia" w:ascii="Times New Roman" w:hAnsi="Times New Roman" w:eastAsia="方正楷体_GBK" w:cs="Times New Roman"/>
          <w:b/>
          <w:color w:val="auto"/>
          <w:sz w:val="32"/>
          <w:szCs w:val="32"/>
          <w:highlight w:val="none"/>
          <w:u w:val="none"/>
          <w:lang w:val="zh-CN" w:eastAsia="zh-CN"/>
        </w:rPr>
        <w:t>（四）项目绩效目标设置。</w:t>
      </w:r>
    </w:p>
    <w:p w14:paraId="4CFFFCBE">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kern w:val="2"/>
          <w:sz w:val="32"/>
          <w:szCs w:val="32"/>
          <w:lang w:val="zh-CN" w:eastAsia="zh-CN" w:bidi="ar"/>
        </w:rPr>
      </w:pPr>
      <w:r>
        <w:rPr>
          <w:rFonts w:hint="default" w:ascii="Times New Roman" w:hAnsi="Times New Roman" w:eastAsia="方正仿宋_GBK" w:cs="Times New Roman"/>
          <w:kern w:val="2"/>
          <w:sz w:val="32"/>
          <w:szCs w:val="32"/>
          <w:lang w:val="zh-CN" w:eastAsia="zh-CN" w:bidi="ar"/>
        </w:rPr>
        <w:t>依据设计文件及财评金额按招投标法规定进行公开招投标。在合同期限内完成了设计文件及合同约定的所有内容。</w:t>
      </w:r>
    </w:p>
    <w:p w14:paraId="2BE4CB30">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1"/>
        <w:rPr>
          <w:rFonts w:hint="default" w:ascii="Times New Roman" w:hAnsi="Times New Roman" w:eastAsia="方正黑体_GBK" w:cs="Times New Roman"/>
          <w:color w:val="auto"/>
          <w:sz w:val="32"/>
          <w:szCs w:val="32"/>
          <w:highlight w:val="none"/>
          <w:lang w:val="zh-CN"/>
        </w:rPr>
      </w:pPr>
      <w:bookmarkStart w:id="94" w:name="_Toc23320"/>
      <w:r>
        <w:rPr>
          <w:rFonts w:hint="default" w:ascii="Times New Roman" w:hAnsi="Times New Roman" w:eastAsia="方正黑体_GBK" w:cs="Times New Roman"/>
          <w:color w:val="auto"/>
          <w:sz w:val="32"/>
          <w:szCs w:val="32"/>
          <w:highlight w:val="none"/>
          <w:lang w:val="zh-CN"/>
        </w:rPr>
        <w:t>二、项目实施及管理情况</w:t>
      </w:r>
      <w:bookmarkEnd w:id="94"/>
    </w:p>
    <w:p w14:paraId="7529F48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eastAsia" w:ascii="Times New Roman" w:hAnsi="Times New Roman" w:eastAsia="方正楷体_GBK" w:cs="Times New Roman"/>
          <w:b/>
          <w:color w:val="auto"/>
          <w:sz w:val="32"/>
          <w:szCs w:val="32"/>
          <w:highlight w:val="none"/>
          <w:u w:val="none"/>
          <w:lang w:val="zh-CN" w:eastAsia="zh-CN"/>
        </w:rPr>
      </w:pPr>
      <w:r>
        <w:rPr>
          <w:rFonts w:hint="eastAsia" w:ascii="Times New Roman" w:hAnsi="Times New Roman" w:eastAsia="方正楷体_GBK" w:cs="Times New Roman"/>
          <w:b/>
          <w:color w:val="auto"/>
          <w:sz w:val="32"/>
          <w:szCs w:val="32"/>
          <w:highlight w:val="none"/>
          <w:u w:val="none"/>
          <w:lang w:val="zh-CN" w:eastAsia="zh-CN"/>
        </w:rPr>
        <w:t>（一）资金计划、到位及使用情况。</w:t>
      </w:r>
    </w:p>
    <w:p w14:paraId="3034ED27">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1．资金计划及到位。</w:t>
      </w:r>
    </w:p>
    <w:p w14:paraId="5F6B08F6">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专项资金已于2023年下达到我部，到位资金124.62万元。资金到位后我部积极召开班子会议商议资金使用、管理等事宜。</w:t>
      </w:r>
    </w:p>
    <w:p w14:paraId="1A350A1C">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2．资金使用。</w:t>
      </w:r>
    </w:p>
    <w:p w14:paraId="049C20B1">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根据《州财政厅下达2022年中央支持地方公共文化服务体系建设补助资金（一般项目、绩效奖励）预算的通知》（阿州财教[2022]68号）文件要求，经商议红原县委宣传部分配资金56万元，红原县文化体育和旅游局分配资金68.62万元。红原县委宣传部分配资金截止目前，已用于农村公益电影放映、农家书屋书籍采购等支出33.93万元，结余资金9.35万元，将严格按照《四川省公共文化服务体系建设补助资金管理办法》（川财教〔2023〕123号）规定用于公共文化项目支出。红原县文化体育和旅游局分配资金截至2023年12月31日，支出情况为22万元用于红原县雅克杯赛马大会开幕式服务费、2万元用于第八届牦牛选美活动补助，1.8025万元用于参加净土阿坝2022年阿坝州第三届群文新创文艺作品活动，16.51万元用于红原县雅克杯非遗群舞大赛服务采购，10.0324万元用于开展红原县首届雅克杯非遗舞蹈大赛背景制作，结余资金16.2751万元，计划用于体育</w:t>
      </w:r>
      <w:r>
        <w:rPr>
          <w:rFonts w:hint="eastAsia" w:ascii="Times New Roman" w:hAnsi="Times New Roman" w:eastAsia="方正仿宋_GBK" w:cs="Times New Roman"/>
          <w:sz w:val="32"/>
          <w:szCs w:val="32"/>
          <w:lang w:val="en-US" w:eastAsia="zh-CN"/>
        </w:rPr>
        <w:t>设施</w:t>
      </w:r>
      <w:r>
        <w:rPr>
          <w:rFonts w:hint="default" w:ascii="Times New Roman" w:hAnsi="Times New Roman" w:eastAsia="方正仿宋_GBK" w:cs="Times New Roman"/>
          <w:sz w:val="32"/>
          <w:szCs w:val="32"/>
          <w:lang w:val="en-US" w:eastAsia="zh-CN"/>
        </w:rPr>
        <w:t>设备采购。</w:t>
      </w:r>
    </w:p>
    <w:p w14:paraId="18D3F40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default" w:ascii="Times New Roman" w:hAnsi="Times New Roman" w:eastAsia="方正楷体_GBK" w:cs="Times New Roman"/>
          <w:b/>
          <w:color w:val="auto"/>
          <w:sz w:val="32"/>
          <w:szCs w:val="32"/>
          <w:highlight w:val="none"/>
          <w:u w:val="none"/>
          <w:lang w:val="zh-CN" w:eastAsia="zh-CN"/>
        </w:rPr>
      </w:pPr>
      <w:r>
        <w:rPr>
          <w:rFonts w:hint="eastAsia" w:ascii="Times New Roman" w:hAnsi="Times New Roman" w:eastAsia="方正楷体_GBK" w:cs="Times New Roman"/>
          <w:b/>
          <w:color w:val="auto"/>
          <w:sz w:val="32"/>
          <w:szCs w:val="32"/>
          <w:highlight w:val="none"/>
          <w:u w:val="none"/>
          <w:lang w:val="en-US" w:eastAsia="zh-CN"/>
        </w:rPr>
        <w:t>（二）</w:t>
      </w:r>
      <w:r>
        <w:rPr>
          <w:rFonts w:hint="default" w:ascii="Times New Roman" w:hAnsi="Times New Roman" w:eastAsia="方正楷体_GBK" w:cs="Times New Roman"/>
          <w:b/>
          <w:color w:val="auto"/>
          <w:sz w:val="32"/>
          <w:szCs w:val="32"/>
          <w:highlight w:val="none"/>
          <w:u w:val="none"/>
          <w:lang w:val="zh-CN" w:eastAsia="zh-CN"/>
        </w:rPr>
        <w:t>项目财务管理情况。</w:t>
      </w:r>
    </w:p>
    <w:p w14:paraId="60721093">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该项目实施过程中严格按照项目财务管理制度进行财务管理，严格按照《会计法》、财经法规执行，确保专款专用，专人负责，不挪用、截留、坐支项目资金，规范会计核算程序。</w:t>
      </w:r>
    </w:p>
    <w:p w14:paraId="723E469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default" w:ascii="Times New Roman" w:hAnsi="Times New Roman" w:eastAsia="方正楷体_GBK" w:cs="Times New Roman"/>
          <w:b/>
          <w:color w:val="auto"/>
          <w:sz w:val="32"/>
          <w:szCs w:val="32"/>
          <w:highlight w:val="none"/>
          <w:u w:val="none"/>
          <w:lang w:val="zh-CN" w:eastAsia="zh-CN"/>
        </w:rPr>
      </w:pPr>
      <w:r>
        <w:rPr>
          <w:rFonts w:hint="default" w:ascii="Times New Roman" w:hAnsi="Times New Roman" w:eastAsia="方正楷体_GBK" w:cs="Times New Roman"/>
          <w:b/>
          <w:color w:val="auto"/>
          <w:sz w:val="32"/>
          <w:szCs w:val="32"/>
          <w:highlight w:val="none"/>
          <w:u w:val="none"/>
          <w:lang w:val="zh-CN" w:eastAsia="zh-CN"/>
        </w:rPr>
        <w:t>（三）项目组织实施情况。</w:t>
      </w:r>
    </w:p>
    <w:p w14:paraId="38B71595">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设置的三级指标有序开展，其中：一是办公的农村公益电影放映场次已开展408场次；二是农家书屋更新图书种类≥60种。</w:t>
      </w:r>
    </w:p>
    <w:p w14:paraId="6082716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1"/>
        <w:rPr>
          <w:rFonts w:hint="default" w:ascii="Times New Roman" w:hAnsi="Times New Roman" w:eastAsia="方正黑体_GBK" w:cs="Times New Roman"/>
          <w:color w:val="auto"/>
          <w:sz w:val="32"/>
          <w:szCs w:val="32"/>
          <w:highlight w:val="none"/>
          <w:lang w:val="zh-CN"/>
        </w:rPr>
      </w:pPr>
      <w:bookmarkStart w:id="95" w:name="_Toc16546"/>
      <w:r>
        <w:rPr>
          <w:rFonts w:hint="default" w:ascii="Times New Roman" w:hAnsi="Times New Roman" w:eastAsia="方正黑体_GBK" w:cs="Times New Roman"/>
          <w:color w:val="auto"/>
          <w:sz w:val="32"/>
          <w:szCs w:val="32"/>
          <w:highlight w:val="none"/>
          <w:lang w:val="zh-CN"/>
        </w:rPr>
        <w:t>三、项目绩效情况</w:t>
      </w:r>
      <w:bookmarkEnd w:id="95"/>
      <w:r>
        <w:rPr>
          <w:rFonts w:hint="default" w:ascii="Times New Roman" w:hAnsi="Times New Roman" w:eastAsia="方正黑体_GBK" w:cs="Times New Roman"/>
          <w:color w:val="auto"/>
          <w:sz w:val="32"/>
          <w:szCs w:val="32"/>
          <w:highlight w:val="none"/>
          <w:lang w:val="zh-CN"/>
        </w:rPr>
        <w:tab/>
      </w:r>
    </w:p>
    <w:p w14:paraId="09F0D23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eastAsia" w:ascii="Times New Roman" w:hAnsi="Times New Roman" w:eastAsia="方正楷体_GBK" w:cs="Times New Roman"/>
          <w:b/>
          <w:color w:val="auto"/>
          <w:sz w:val="32"/>
          <w:szCs w:val="32"/>
          <w:highlight w:val="none"/>
          <w:u w:val="none"/>
          <w:lang w:val="zh-CN" w:eastAsia="zh-CN"/>
        </w:rPr>
      </w:pPr>
      <w:r>
        <w:rPr>
          <w:rFonts w:hint="eastAsia" w:ascii="Times New Roman" w:hAnsi="Times New Roman" w:eastAsia="方正楷体_GBK" w:cs="Times New Roman"/>
          <w:b/>
          <w:color w:val="auto"/>
          <w:sz w:val="32"/>
          <w:szCs w:val="32"/>
          <w:highlight w:val="none"/>
          <w:u w:val="none"/>
          <w:lang w:val="zh-CN" w:eastAsia="zh-CN"/>
        </w:rPr>
        <w:t>（一）项目完成情况。</w:t>
      </w:r>
    </w:p>
    <w:p w14:paraId="3FE4B7DF">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该项目严格按照《四川省公共文化服务体系建设专项资金管理办法》，结合全年公共文化活动内容合理调配资金，精细化管理使用资金。</w:t>
      </w:r>
    </w:p>
    <w:p w14:paraId="365C92B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eastAsia" w:ascii="Times New Roman" w:hAnsi="Times New Roman" w:eastAsia="方正楷体_GBK" w:cs="Times New Roman"/>
          <w:b/>
          <w:color w:val="auto"/>
          <w:sz w:val="32"/>
          <w:szCs w:val="32"/>
          <w:highlight w:val="none"/>
          <w:u w:val="none"/>
          <w:lang w:val="zh-CN" w:eastAsia="zh-CN"/>
        </w:rPr>
      </w:pPr>
      <w:r>
        <w:rPr>
          <w:rFonts w:hint="eastAsia" w:ascii="Times New Roman" w:hAnsi="Times New Roman" w:eastAsia="方正楷体_GBK" w:cs="Times New Roman"/>
          <w:b/>
          <w:color w:val="auto"/>
          <w:sz w:val="32"/>
          <w:szCs w:val="32"/>
          <w:highlight w:val="none"/>
          <w:u w:val="none"/>
          <w:lang w:val="zh-CN" w:eastAsia="zh-CN"/>
        </w:rPr>
        <w:t>（二）项目效益情况。</w:t>
      </w:r>
    </w:p>
    <w:p w14:paraId="5C7D2B7F">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zh-CN" w:eastAsia="zh-CN"/>
        </w:rPr>
        <w:t>该项目实施取得了</w:t>
      </w:r>
      <w:r>
        <w:rPr>
          <w:rFonts w:hint="default" w:ascii="Times New Roman" w:hAnsi="Times New Roman" w:eastAsia="方正仿宋_GBK" w:cs="Times New Roman"/>
          <w:sz w:val="32"/>
          <w:szCs w:val="32"/>
          <w:lang w:val="en-US" w:eastAsia="zh-CN"/>
        </w:rPr>
        <w:t>取得了良好的社会效益，其中：满足人民群众多层次、多方面文化需求≥90%、群众文化活动参加人次增长率≥2%、国民综合阅读率≥60%、群众对国家基本公共文化服务满意度≥90%。为我县农牧民群众带来了多资多彩的精神文化生活，让我县农牧民群众精神世界得到提升，提高文化素质，增强群众满意度。</w:t>
      </w:r>
    </w:p>
    <w:p w14:paraId="708095F9">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1"/>
        <w:rPr>
          <w:rFonts w:hint="default" w:ascii="Times New Roman" w:hAnsi="Times New Roman" w:eastAsia="方正黑体_GBK" w:cs="Times New Roman"/>
          <w:color w:val="auto"/>
          <w:sz w:val="32"/>
          <w:szCs w:val="32"/>
          <w:highlight w:val="none"/>
          <w:lang w:val="zh-CN"/>
        </w:rPr>
      </w:pPr>
      <w:bookmarkStart w:id="96" w:name="_Toc8543"/>
      <w:r>
        <w:rPr>
          <w:rFonts w:hint="default" w:ascii="Times New Roman" w:hAnsi="Times New Roman" w:eastAsia="方正黑体_GBK" w:cs="Times New Roman"/>
          <w:color w:val="auto"/>
          <w:sz w:val="32"/>
          <w:szCs w:val="32"/>
          <w:highlight w:val="none"/>
          <w:lang w:val="zh-CN" w:eastAsia="zh-CN"/>
        </w:rPr>
        <w:t>四</w:t>
      </w:r>
      <w:r>
        <w:rPr>
          <w:rFonts w:hint="default" w:ascii="Times New Roman" w:hAnsi="Times New Roman" w:eastAsia="方正黑体_GBK" w:cs="Times New Roman"/>
          <w:color w:val="auto"/>
          <w:sz w:val="32"/>
          <w:szCs w:val="32"/>
          <w:highlight w:val="none"/>
          <w:lang w:val="zh-CN"/>
        </w:rPr>
        <w:t>、评价结论</w:t>
      </w:r>
      <w:bookmarkEnd w:id="96"/>
    </w:p>
    <w:p w14:paraId="2A9BC82E">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该专项预算项目绩效自评总体评价较好。</w:t>
      </w:r>
    </w:p>
    <w:p w14:paraId="09C6636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1"/>
        <w:rPr>
          <w:rFonts w:hint="default" w:ascii="Times New Roman" w:hAnsi="Times New Roman" w:eastAsia="方正黑体_GBK" w:cs="Times New Roman"/>
          <w:color w:val="auto"/>
          <w:sz w:val="32"/>
          <w:szCs w:val="32"/>
          <w:highlight w:val="none"/>
          <w:lang w:val="zh-CN" w:eastAsia="zh-CN"/>
        </w:rPr>
      </w:pPr>
      <w:bookmarkStart w:id="97" w:name="_Toc19785"/>
      <w:r>
        <w:rPr>
          <w:rFonts w:hint="default" w:ascii="Times New Roman" w:hAnsi="Times New Roman" w:eastAsia="方正黑体_GBK" w:cs="Times New Roman"/>
          <w:color w:val="auto"/>
          <w:sz w:val="32"/>
          <w:szCs w:val="32"/>
          <w:highlight w:val="none"/>
          <w:lang w:val="zh-CN" w:eastAsia="zh-CN"/>
        </w:rPr>
        <w:t>五、存在主要问题</w:t>
      </w:r>
      <w:bookmarkEnd w:id="97"/>
    </w:p>
    <w:p w14:paraId="4C183EBE">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无</w:t>
      </w:r>
    </w:p>
    <w:p w14:paraId="2AA38F0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1"/>
        <w:rPr>
          <w:rFonts w:hint="default" w:ascii="Times New Roman" w:hAnsi="Times New Roman" w:eastAsia="方正黑体_GBK" w:cs="Times New Roman"/>
          <w:color w:val="auto"/>
          <w:sz w:val="32"/>
          <w:szCs w:val="32"/>
          <w:highlight w:val="none"/>
          <w:lang w:val="zh-CN" w:eastAsia="zh-CN"/>
        </w:rPr>
      </w:pPr>
      <w:bookmarkStart w:id="98" w:name="_Toc6299"/>
      <w:r>
        <w:rPr>
          <w:rFonts w:hint="default" w:ascii="Times New Roman" w:hAnsi="Times New Roman" w:eastAsia="方正黑体_GBK" w:cs="Times New Roman"/>
          <w:color w:val="auto"/>
          <w:sz w:val="32"/>
          <w:szCs w:val="32"/>
          <w:highlight w:val="none"/>
          <w:lang w:val="zh-CN" w:eastAsia="zh-CN"/>
        </w:rPr>
        <w:t>六、改进建议</w:t>
      </w:r>
      <w:bookmarkEnd w:id="98"/>
    </w:p>
    <w:p w14:paraId="73E1E9CE">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bookmarkStart w:id="99" w:name="_Hlk110546638"/>
      <w:r>
        <w:rPr>
          <w:rFonts w:hint="default" w:ascii="Times New Roman" w:hAnsi="Times New Roman" w:eastAsia="方正仿宋_GBK" w:cs="Times New Roman"/>
          <w:sz w:val="32"/>
          <w:szCs w:val="32"/>
          <w:lang w:val="en-US" w:eastAsia="zh-CN"/>
        </w:rPr>
        <w:t>下一步我部将</w:t>
      </w:r>
      <w:r>
        <w:rPr>
          <w:rFonts w:hint="default" w:ascii="Times New Roman" w:hAnsi="Times New Roman" w:eastAsia="方正仿宋_GBK" w:cs="Times New Roman"/>
          <w:sz w:val="32"/>
          <w:szCs w:val="32"/>
          <w:lang w:val="zh-CN" w:eastAsia="zh-CN"/>
        </w:rPr>
        <w:t>抓好项目绩效目标考核工作，</w:t>
      </w:r>
      <w:r>
        <w:rPr>
          <w:rFonts w:hint="default" w:ascii="Times New Roman" w:hAnsi="Times New Roman" w:eastAsia="方正仿宋_GBK" w:cs="Times New Roman"/>
          <w:sz w:val="32"/>
          <w:szCs w:val="32"/>
          <w:lang w:val="en-US" w:eastAsia="zh-CN"/>
        </w:rPr>
        <w:t>坚持做好绩效管理，不断强化事前、事中、事后绩效管控手段，细化落实绩效管理工作要求，切实有效提升资金使用效益。</w:t>
      </w:r>
    </w:p>
    <w:p w14:paraId="0CFE1633">
      <w:pPr>
        <w:pStyle w:val="2"/>
        <w:rPr>
          <w:rFonts w:hint="default" w:ascii="Times New Roman" w:hAnsi="Times New Roman" w:eastAsia="方正仿宋_GBK" w:cs="Times New Roman"/>
          <w:sz w:val="32"/>
          <w:szCs w:val="32"/>
          <w:lang w:val="en-US" w:eastAsia="zh-CN"/>
        </w:rPr>
      </w:pPr>
    </w:p>
    <w:p w14:paraId="7AEA3481">
      <w:pPr>
        <w:pStyle w:val="4"/>
        <w:rPr>
          <w:rFonts w:hint="default" w:ascii="Times New Roman" w:hAnsi="Times New Roman" w:eastAsia="方正仿宋_GBK" w:cs="Times New Roman"/>
          <w:sz w:val="32"/>
          <w:szCs w:val="32"/>
          <w:lang w:val="en-US" w:eastAsia="zh-CN"/>
        </w:rPr>
      </w:pPr>
    </w:p>
    <w:p w14:paraId="559FEAD0">
      <w:pPr>
        <w:pStyle w:val="4"/>
        <w:rPr>
          <w:rFonts w:hint="default" w:ascii="Times New Roman" w:hAnsi="Times New Roman" w:eastAsia="方正仿宋_GBK" w:cs="Times New Roman"/>
          <w:sz w:val="32"/>
          <w:szCs w:val="32"/>
          <w:lang w:val="en-US" w:eastAsia="zh-CN"/>
        </w:rPr>
      </w:pPr>
    </w:p>
    <w:p w14:paraId="6B814F65">
      <w:pPr>
        <w:pStyle w:val="4"/>
        <w:rPr>
          <w:rFonts w:hint="default" w:ascii="Times New Roman" w:hAnsi="Times New Roman" w:eastAsia="方正仿宋_GBK" w:cs="Times New Roman"/>
          <w:sz w:val="32"/>
          <w:szCs w:val="32"/>
          <w:lang w:val="en-US" w:eastAsia="zh-CN"/>
        </w:rPr>
      </w:pPr>
    </w:p>
    <w:bookmarkEnd w:id="99"/>
    <w:tbl>
      <w:tblPr>
        <w:tblStyle w:val="19"/>
        <w:tblW w:w="104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60"/>
        <w:gridCol w:w="1098"/>
        <w:gridCol w:w="1267"/>
        <w:gridCol w:w="1337"/>
        <w:gridCol w:w="1142"/>
        <w:gridCol w:w="983"/>
        <w:gridCol w:w="1078"/>
        <w:gridCol w:w="949"/>
        <w:gridCol w:w="1886"/>
      </w:tblGrid>
      <w:tr w14:paraId="180E4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3" w:hRule="atLeast"/>
          <w:jc w:val="center"/>
        </w:trPr>
        <w:tc>
          <w:tcPr>
            <w:tcW w:w="10400" w:type="dxa"/>
            <w:gridSpan w:val="9"/>
            <w:shd w:val="clear" w:color="auto" w:fill="auto"/>
            <w:vAlign w:val="center"/>
          </w:tcPr>
          <w:p w14:paraId="2FACCC36">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hint="default" w:ascii="Times New Roman" w:hAnsi="Times New Roman" w:eastAsia="黑体" w:cs="Times New Roman"/>
                <w:i w:val="0"/>
                <w:color w:val="000000"/>
                <w:sz w:val="30"/>
                <w:szCs w:val="30"/>
                <w:u w:val="none"/>
              </w:rPr>
            </w:pPr>
            <w:r>
              <w:rPr>
                <w:rFonts w:hint="default" w:ascii="Times New Roman" w:hAnsi="Times New Roman" w:eastAsia="Arial Unicode MS" w:cs="Times New Roman"/>
                <w:i w:val="0"/>
                <w:color w:val="000000"/>
                <w:kern w:val="0"/>
                <w:sz w:val="40"/>
                <w:szCs w:val="40"/>
                <w:u w:val="none"/>
                <w:lang w:val="en-US" w:eastAsia="zh-CN" w:bidi="ar"/>
              </w:rPr>
              <w:t>专项预算项目绩效目标完成情况自评表</w:t>
            </w:r>
          </w:p>
        </w:tc>
      </w:tr>
      <w:tr w14:paraId="4AC4A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7" w:hRule="atLeast"/>
          <w:jc w:val="center"/>
        </w:trPr>
        <w:tc>
          <w:tcPr>
            <w:tcW w:w="43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06E64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项目名称</w:t>
            </w:r>
          </w:p>
        </w:tc>
        <w:tc>
          <w:tcPr>
            <w:tcW w:w="60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900B08">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中央支持地方公共文化服务体系建设补助项目</w:t>
            </w:r>
          </w:p>
        </w:tc>
      </w:tr>
      <w:tr w14:paraId="4A5FF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7" w:hRule="atLeast"/>
          <w:jc w:val="center"/>
        </w:trPr>
        <w:tc>
          <w:tcPr>
            <w:tcW w:w="43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AF599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预算单位</w:t>
            </w:r>
          </w:p>
        </w:tc>
        <w:tc>
          <w:tcPr>
            <w:tcW w:w="60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7A93A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lang w:eastAsia="zh-CN"/>
              </w:rPr>
            </w:pPr>
            <w:r>
              <w:rPr>
                <w:rFonts w:hint="default" w:ascii="Times New Roman" w:hAnsi="Times New Roman" w:eastAsia="宋体" w:cs="Times New Roman"/>
                <w:i w:val="0"/>
                <w:color w:val="000000"/>
                <w:sz w:val="24"/>
                <w:szCs w:val="24"/>
                <w:u w:val="none"/>
                <w:lang w:eastAsia="zh-CN"/>
              </w:rPr>
              <w:t>中共红原县委员会宣传部</w:t>
            </w:r>
          </w:p>
        </w:tc>
      </w:tr>
      <w:tr w14:paraId="0CD33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7" w:hRule="atLeast"/>
          <w:jc w:val="center"/>
        </w:trPr>
        <w:tc>
          <w:tcPr>
            <w:tcW w:w="43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A4042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项目类型</w:t>
            </w:r>
          </w:p>
        </w:tc>
        <w:tc>
          <w:tcPr>
            <w:tcW w:w="60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0E1AD9">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公共文化服务</w:t>
            </w:r>
          </w:p>
        </w:tc>
      </w:tr>
      <w:tr w14:paraId="31EDE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5"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5F925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 概况</w:t>
            </w:r>
          </w:p>
        </w:tc>
        <w:tc>
          <w:tcPr>
            <w:tcW w:w="3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75A04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中长期规划（名称、文号，仅指</w:t>
            </w:r>
          </w:p>
          <w:p w14:paraId="1C34E58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常年项目）</w:t>
            </w:r>
          </w:p>
        </w:tc>
        <w:tc>
          <w:tcPr>
            <w:tcW w:w="60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42C0AB">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r>
      <w:tr w14:paraId="29D95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41"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F29C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3283C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资金管理办法（名称、文号）</w:t>
            </w:r>
          </w:p>
        </w:tc>
        <w:tc>
          <w:tcPr>
            <w:tcW w:w="60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6BACF5">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kern w:val="0"/>
                <w:sz w:val="24"/>
                <w:szCs w:val="24"/>
                <w:u w:val="none"/>
                <w:lang w:val="en-US" w:eastAsia="zh-CN" w:bidi="ar"/>
              </w:rPr>
              <w:t>《中央支持地方公共文化服务体系建设补助资金管理办法》（财教〔2022〕270号）、《四川省公共文化服务体系建设补助资金管理办法》（川财教〔2023〕123号）</w:t>
            </w:r>
          </w:p>
          <w:p w14:paraId="4F2863E9">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rPr>
            </w:pPr>
          </w:p>
        </w:tc>
      </w:tr>
      <w:tr w14:paraId="15651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71D53">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FA926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绩效分配方式</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3B12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Wingdings 2" w:cs="Times New Roman"/>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w:t>
            </w:r>
          </w:p>
        </w:tc>
        <w:tc>
          <w:tcPr>
            <w:tcW w:w="20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0346E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£项目法</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01F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sym w:font="Wingdings 2" w:char="0052"/>
            </w:r>
            <w:r>
              <w:rPr>
                <w:rFonts w:hint="default" w:ascii="Times New Roman" w:hAnsi="Times New Roman" w:eastAsia="宋体" w:cs="Times New Roman"/>
                <w:i w:val="0"/>
                <w:color w:val="000000"/>
                <w:kern w:val="0"/>
                <w:sz w:val="24"/>
                <w:szCs w:val="24"/>
                <w:u w:val="none"/>
                <w:lang w:val="en-US" w:eastAsia="zh-CN" w:bidi="ar"/>
              </w:rPr>
              <w:t>据实据效</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E3DD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Wingdings 2" w:cs="Times New Roman"/>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因素法与项目法相结合</w:t>
            </w:r>
          </w:p>
        </w:tc>
      </w:tr>
      <w:tr w14:paraId="59589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925BE">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E1F4B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立项依据</w:t>
            </w:r>
          </w:p>
        </w:tc>
        <w:tc>
          <w:tcPr>
            <w:tcW w:w="60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6C8EC9">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ab/>
            </w:r>
            <w:r>
              <w:rPr>
                <w:rFonts w:hint="default" w:ascii="Times New Roman" w:hAnsi="Times New Roman" w:eastAsia="宋体" w:cs="Times New Roman"/>
                <w:i w:val="0"/>
                <w:color w:val="000000"/>
                <w:kern w:val="0"/>
                <w:sz w:val="24"/>
                <w:szCs w:val="24"/>
                <w:u w:val="none"/>
                <w:lang w:val="en-US" w:eastAsia="zh-CN" w:bidi="ar"/>
              </w:rPr>
              <w:t>《阿坝州财政局关于&lt;下达2023年中央支持地方公共文化服务体系建设补助资金预算&gt;的通知》（阿州财教〔2024〕6号）</w:t>
            </w:r>
          </w:p>
        </w:tc>
      </w:tr>
      <w:tr w14:paraId="2EF43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7"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08DDD">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DAA63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使用范围</w:t>
            </w:r>
          </w:p>
        </w:tc>
        <w:tc>
          <w:tcPr>
            <w:tcW w:w="60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77C781">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lang w:eastAsia="zh-CN"/>
              </w:rPr>
            </w:pPr>
            <w:r>
              <w:rPr>
                <w:rFonts w:hint="default" w:ascii="Times New Roman" w:hAnsi="Times New Roman" w:eastAsia="宋体" w:cs="Times New Roman"/>
                <w:i w:val="0"/>
                <w:color w:val="000000"/>
                <w:sz w:val="24"/>
                <w:szCs w:val="24"/>
                <w:u w:val="none"/>
                <w:lang w:eastAsia="zh-CN"/>
              </w:rPr>
              <w:t>红原县</w:t>
            </w:r>
          </w:p>
        </w:tc>
      </w:tr>
      <w:tr w14:paraId="0478E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7"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BD6E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CE35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申报（补助）条件</w:t>
            </w:r>
          </w:p>
        </w:tc>
        <w:tc>
          <w:tcPr>
            <w:tcW w:w="60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5441BB">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Times New Roman" w:hAnsi="Times New Roman" w:eastAsia="宋体" w:cs="Times New Roman"/>
                <w:i w:val="0"/>
                <w:color w:val="000000"/>
                <w:sz w:val="24"/>
                <w:szCs w:val="24"/>
                <w:u w:val="none"/>
                <w:lang w:eastAsia="zh-CN"/>
              </w:rPr>
            </w:pPr>
          </w:p>
        </w:tc>
      </w:tr>
      <w:tr w14:paraId="1050D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7"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D2F30">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3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460ED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项目起止年限</w:t>
            </w:r>
          </w:p>
        </w:tc>
        <w:tc>
          <w:tcPr>
            <w:tcW w:w="60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4CDBC5">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r>
      <w:tr w14:paraId="14B44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7" w:hRule="atLeast"/>
          <w:jc w:val="center"/>
        </w:trPr>
        <w:tc>
          <w:tcPr>
            <w:tcW w:w="17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A2DF1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项目资金</w:t>
            </w:r>
          </w:p>
          <w:p w14:paraId="793EA9A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（万元）</w:t>
            </w:r>
          </w:p>
        </w:tc>
        <w:tc>
          <w:tcPr>
            <w:tcW w:w="26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47BF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年度资金总额：</w:t>
            </w:r>
          </w:p>
        </w:tc>
        <w:tc>
          <w:tcPr>
            <w:tcW w:w="60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150BF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124.62</w:t>
            </w:r>
          </w:p>
        </w:tc>
      </w:tr>
      <w:tr w14:paraId="5C4D4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7" w:hRule="atLeast"/>
          <w:jc w:val="center"/>
        </w:trPr>
        <w:tc>
          <w:tcPr>
            <w:tcW w:w="1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CEEC1">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6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6CC40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其中：财政拨款</w:t>
            </w:r>
          </w:p>
        </w:tc>
        <w:tc>
          <w:tcPr>
            <w:tcW w:w="60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F72982">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124.62</w:t>
            </w:r>
          </w:p>
        </w:tc>
      </w:tr>
      <w:tr w14:paraId="1D37B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7" w:hRule="atLeast"/>
          <w:jc w:val="center"/>
        </w:trPr>
        <w:tc>
          <w:tcPr>
            <w:tcW w:w="17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F0857">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26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AC33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其他资金</w:t>
            </w:r>
          </w:p>
        </w:tc>
        <w:tc>
          <w:tcPr>
            <w:tcW w:w="60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2EB7E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0</w:t>
            </w:r>
          </w:p>
        </w:tc>
      </w:tr>
      <w:tr w14:paraId="66A02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7"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B2E5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总体 目标</w:t>
            </w:r>
          </w:p>
        </w:tc>
        <w:tc>
          <w:tcPr>
            <w:tcW w:w="97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D141C4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年度目标</w:t>
            </w:r>
          </w:p>
        </w:tc>
      </w:tr>
      <w:tr w14:paraId="194FE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41"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56A4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p>
        </w:tc>
        <w:tc>
          <w:tcPr>
            <w:tcW w:w="97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06C6667">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引导和支持地方提供基本公共文化服务项目，改善基层公共文化服务设施条件，加强基层公共文化服务人才队伍建设等，支出加快构建现代公共文化服务体系，促进基本公共文化服务标准化、均等化，保障广大群众读书看报、观看电视、观赏电影、进行文化鉴赏、开展文化体育活动等基本文化权益。</w:t>
            </w:r>
          </w:p>
        </w:tc>
      </w:tr>
      <w:tr w14:paraId="02E88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7" w:hRule="atLeast"/>
          <w:jc w:val="center"/>
        </w:trPr>
        <w:tc>
          <w:tcPr>
            <w:tcW w:w="660" w:type="dxa"/>
            <w:vMerge w:val="restart"/>
            <w:tcBorders>
              <w:top w:val="single" w:color="000000" w:sz="4" w:space="0"/>
              <w:left w:val="single" w:color="000000" w:sz="4" w:space="0"/>
              <w:bottom w:val="single" w:color="000000" w:sz="4" w:space="0"/>
            </w:tcBorders>
            <w:shd w:val="clear" w:color="auto" w:fill="auto"/>
            <w:vAlign w:val="center"/>
          </w:tcPr>
          <w:p w14:paraId="038476D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 指标</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9023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FD4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B7D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D541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指标性质</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39C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805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度量单位</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9782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627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实际完成指标值</w:t>
            </w:r>
          </w:p>
        </w:tc>
      </w:tr>
      <w:tr w14:paraId="61907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5" w:hRule="atLeast"/>
          <w:jc w:val="center"/>
        </w:trPr>
        <w:tc>
          <w:tcPr>
            <w:tcW w:w="660" w:type="dxa"/>
            <w:vMerge w:val="continue"/>
            <w:tcBorders>
              <w:top w:val="single" w:color="000000" w:sz="4" w:space="0"/>
              <w:left w:val="single" w:color="000000" w:sz="4" w:space="0"/>
              <w:bottom w:val="single" w:color="000000" w:sz="4" w:space="0"/>
            </w:tcBorders>
            <w:shd w:val="clear" w:color="auto" w:fill="auto"/>
            <w:vAlign w:val="center"/>
          </w:tcPr>
          <w:p w14:paraId="70A1265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6B756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3034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4784">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农村公益电影放映场次</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578D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62C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400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257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eastAsia="zh-CN"/>
              </w:rPr>
            </w:pPr>
            <w:r>
              <w:rPr>
                <w:rFonts w:hint="default" w:ascii="Times New Roman" w:hAnsi="Times New Roman" w:eastAsia="宋体" w:cs="Times New Roman"/>
                <w:i w:val="0"/>
                <w:color w:val="000000"/>
                <w:sz w:val="24"/>
                <w:szCs w:val="24"/>
                <w:u w:val="none"/>
                <w:lang w:eastAsia="zh-CN"/>
              </w:rPr>
              <w:t>次</w:t>
            </w:r>
          </w:p>
        </w:tc>
        <w:tc>
          <w:tcPr>
            <w:tcW w:w="949" w:type="dxa"/>
            <w:vMerge w:val="restart"/>
            <w:tcBorders>
              <w:top w:val="single" w:color="000000" w:sz="4" w:space="0"/>
              <w:left w:val="single" w:color="000000" w:sz="4" w:space="0"/>
              <w:right w:val="single" w:color="000000" w:sz="4" w:space="0"/>
            </w:tcBorders>
            <w:shd w:val="clear" w:color="auto" w:fill="auto"/>
            <w:vAlign w:val="center"/>
          </w:tcPr>
          <w:p w14:paraId="0E3D690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30%</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81CC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408场次</w:t>
            </w:r>
          </w:p>
        </w:tc>
      </w:tr>
      <w:tr w14:paraId="73976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3" w:hRule="atLeast"/>
          <w:jc w:val="center"/>
        </w:trPr>
        <w:tc>
          <w:tcPr>
            <w:tcW w:w="660" w:type="dxa"/>
            <w:vMerge w:val="continue"/>
            <w:tcBorders>
              <w:top w:val="single" w:color="000000" w:sz="4" w:space="0"/>
              <w:left w:val="single" w:color="000000" w:sz="4" w:space="0"/>
              <w:bottom w:val="single" w:color="000000" w:sz="4" w:space="0"/>
            </w:tcBorders>
            <w:shd w:val="clear" w:color="auto" w:fill="auto"/>
            <w:vAlign w:val="center"/>
          </w:tcPr>
          <w:p w14:paraId="129F0FF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8A4B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AC79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0B353">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平均每个农家书屋更新图书种类</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247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1D9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50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751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eastAsia="zh-CN"/>
              </w:rPr>
            </w:pPr>
            <w:r>
              <w:rPr>
                <w:rFonts w:hint="default" w:ascii="Times New Roman" w:hAnsi="Times New Roman" w:eastAsia="宋体" w:cs="Times New Roman"/>
                <w:i w:val="0"/>
                <w:color w:val="000000"/>
                <w:sz w:val="24"/>
                <w:szCs w:val="24"/>
                <w:u w:val="none"/>
                <w:lang w:eastAsia="zh-CN"/>
              </w:rPr>
              <w:t>类</w:t>
            </w:r>
          </w:p>
        </w:tc>
        <w:tc>
          <w:tcPr>
            <w:tcW w:w="949" w:type="dxa"/>
            <w:vMerge w:val="continue"/>
            <w:tcBorders>
              <w:left w:val="single" w:color="000000" w:sz="4" w:space="0"/>
              <w:right w:val="single" w:color="000000" w:sz="4" w:space="0"/>
            </w:tcBorders>
            <w:shd w:val="clear" w:color="auto" w:fill="auto"/>
            <w:vAlign w:val="center"/>
          </w:tcPr>
          <w:p w14:paraId="7FC742E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E79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≥60种</w:t>
            </w:r>
          </w:p>
        </w:tc>
      </w:tr>
      <w:tr w14:paraId="02F94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7" w:hRule="atLeast"/>
          <w:jc w:val="center"/>
        </w:trPr>
        <w:tc>
          <w:tcPr>
            <w:tcW w:w="660" w:type="dxa"/>
            <w:vMerge w:val="continue"/>
            <w:tcBorders>
              <w:top w:val="single" w:color="000000" w:sz="4" w:space="0"/>
              <w:left w:val="single" w:color="000000" w:sz="4" w:space="0"/>
              <w:bottom w:val="single" w:color="000000" w:sz="4" w:space="0"/>
            </w:tcBorders>
            <w:shd w:val="clear" w:color="auto" w:fill="auto"/>
            <w:vAlign w:val="center"/>
          </w:tcPr>
          <w:p w14:paraId="2E6CA0F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2241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C598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F9B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lang w:eastAsia="zh-CN"/>
              </w:rPr>
            </w:pPr>
            <w:r>
              <w:rPr>
                <w:rFonts w:hint="default" w:ascii="Times New Roman" w:hAnsi="Times New Roman" w:eastAsia="宋体" w:cs="Times New Roman"/>
                <w:i w:val="0"/>
                <w:color w:val="000000"/>
                <w:sz w:val="24"/>
                <w:szCs w:val="24"/>
                <w:u w:val="none"/>
                <w:lang w:eastAsia="zh-CN"/>
              </w:rPr>
              <w:t>完成时效</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C56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eastAsia="zh-CN"/>
              </w:rPr>
            </w:pPr>
            <w:r>
              <w:rPr>
                <w:rFonts w:hint="default" w:ascii="Times New Roman" w:hAnsi="Times New Roman" w:eastAsia="宋体" w:cs="Times New Roman"/>
                <w:i w:val="0"/>
                <w:color w:val="000000"/>
                <w:sz w:val="24"/>
                <w:szCs w:val="24"/>
                <w:u w:val="none"/>
                <w:lang w:eastAsia="zh-CN"/>
              </w:rPr>
              <w:t>定性</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77A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443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eastAsia="zh-CN"/>
              </w:rPr>
            </w:pPr>
          </w:p>
        </w:tc>
        <w:tc>
          <w:tcPr>
            <w:tcW w:w="949" w:type="dxa"/>
            <w:vMerge w:val="continue"/>
            <w:tcBorders>
              <w:left w:val="single" w:color="000000" w:sz="4" w:space="0"/>
              <w:bottom w:val="single" w:color="000000" w:sz="4" w:space="0"/>
              <w:right w:val="single" w:color="000000" w:sz="4" w:space="0"/>
            </w:tcBorders>
            <w:shd w:val="clear" w:color="auto" w:fill="auto"/>
            <w:vAlign w:val="center"/>
          </w:tcPr>
          <w:p w14:paraId="2BC15EB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05F4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2年</w:t>
            </w:r>
          </w:p>
        </w:tc>
      </w:tr>
      <w:tr w14:paraId="25319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41" w:hRule="atLeast"/>
          <w:jc w:val="center"/>
        </w:trPr>
        <w:tc>
          <w:tcPr>
            <w:tcW w:w="660" w:type="dxa"/>
            <w:vMerge w:val="continue"/>
            <w:tcBorders>
              <w:top w:val="single" w:color="000000" w:sz="4" w:space="0"/>
              <w:left w:val="single" w:color="000000" w:sz="4" w:space="0"/>
              <w:bottom w:val="single" w:color="000000" w:sz="4" w:space="0"/>
            </w:tcBorders>
            <w:shd w:val="clear" w:color="auto" w:fill="auto"/>
            <w:vAlign w:val="center"/>
          </w:tcPr>
          <w:p w14:paraId="1E2F8D1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FABD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67" w:type="dxa"/>
            <w:vMerge w:val="restart"/>
            <w:tcBorders>
              <w:top w:val="single" w:color="000000" w:sz="4" w:space="0"/>
              <w:left w:val="single" w:color="000000" w:sz="4" w:space="0"/>
              <w:right w:val="single" w:color="000000" w:sz="4" w:space="0"/>
            </w:tcBorders>
            <w:shd w:val="clear" w:color="auto" w:fill="auto"/>
            <w:vAlign w:val="center"/>
          </w:tcPr>
          <w:p w14:paraId="07449BE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4A260E6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C6C7A">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满足人民群众多层次、多方面文化需求</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813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98D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90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FBE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w:t>
            </w:r>
          </w:p>
        </w:tc>
        <w:tc>
          <w:tcPr>
            <w:tcW w:w="949" w:type="dxa"/>
            <w:vMerge w:val="restart"/>
            <w:tcBorders>
              <w:top w:val="single" w:color="000000" w:sz="4" w:space="0"/>
              <w:left w:val="single" w:color="000000" w:sz="4" w:space="0"/>
              <w:right w:val="single" w:color="000000" w:sz="4" w:space="0"/>
            </w:tcBorders>
            <w:shd w:val="clear" w:color="auto" w:fill="auto"/>
            <w:vAlign w:val="center"/>
          </w:tcPr>
          <w:p w14:paraId="6789CD1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30%</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C8A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≥90%</w:t>
            </w:r>
          </w:p>
        </w:tc>
      </w:tr>
      <w:tr w14:paraId="5586A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3" w:hRule="atLeast"/>
          <w:jc w:val="center"/>
        </w:trPr>
        <w:tc>
          <w:tcPr>
            <w:tcW w:w="660" w:type="dxa"/>
            <w:vMerge w:val="continue"/>
            <w:tcBorders>
              <w:top w:val="single" w:color="000000" w:sz="4" w:space="0"/>
              <w:left w:val="single" w:color="000000" w:sz="4" w:space="0"/>
              <w:bottom w:val="single" w:color="000000" w:sz="4" w:space="0"/>
            </w:tcBorders>
            <w:shd w:val="clear" w:color="auto" w:fill="auto"/>
            <w:vAlign w:val="center"/>
          </w:tcPr>
          <w:p w14:paraId="042D69E7">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0A6A8">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67" w:type="dxa"/>
            <w:vMerge w:val="continue"/>
            <w:tcBorders>
              <w:left w:val="single" w:color="000000" w:sz="4" w:space="0"/>
              <w:right w:val="single" w:color="000000" w:sz="4" w:space="0"/>
            </w:tcBorders>
            <w:shd w:val="clear" w:color="auto" w:fill="auto"/>
            <w:vAlign w:val="center"/>
          </w:tcPr>
          <w:p w14:paraId="28CD41FD">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AB1F">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群众文化活动参加人次增长率</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549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DD15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C86E">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lang w:val="en-US" w:eastAsia="zh-CN"/>
              </w:rPr>
              <w:t>%</w:t>
            </w:r>
          </w:p>
        </w:tc>
        <w:tc>
          <w:tcPr>
            <w:tcW w:w="949" w:type="dxa"/>
            <w:vMerge w:val="continue"/>
            <w:tcBorders>
              <w:left w:val="single" w:color="000000" w:sz="4" w:space="0"/>
              <w:right w:val="single" w:color="000000" w:sz="4" w:space="0"/>
            </w:tcBorders>
            <w:shd w:val="clear" w:color="auto" w:fill="auto"/>
            <w:vAlign w:val="center"/>
          </w:tcPr>
          <w:p w14:paraId="57FA1AB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3EF6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≥2%</w:t>
            </w:r>
          </w:p>
        </w:tc>
      </w:tr>
      <w:tr w14:paraId="00F7C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5" w:hRule="atLeast"/>
          <w:jc w:val="center"/>
        </w:trPr>
        <w:tc>
          <w:tcPr>
            <w:tcW w:w="660" w:type="dxa"/>
            <w:vMerge w:val="continue"/>
            <w:tcBorders>
              <w:top w:val="single" w:color="000000" w:sz="4" w:space="0"/>
              <w:left w:val="single" w:color="000000" w:sz="4" w:space="0"/>
              <w:bottom w:val="single" w:color="000000" w:sz="4" w:space="0"/>
            </w:tcBorders>
            <w:shd w:val="clear" w:color="auto" w:fill="auto"/>
            <w:vAlign w:val="center"/>
          </w:tcPr>
          <w:p w14:paraId="5124C17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0DDC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267" w:type="dxa"/>
            <w:vMerge w:val="continue"/>
            <w:tcBorders>
              <w:left w:val="single" w:color="000000" w:sz="4" w:space="0"/>
              <w:bottom w:val="single" w:color="000000" w:sz="4" w:space="0"/>
              <w:right w:val="single" w:color="000000" w:sz="4" w:space="0"/>
            </w:tcBorders>
            <w:shd w:val="clear" w:color="auto" w:fill="auto"/>
            <w:vAlign w:val="center"/>
          </w:tcPr>
          <w:p w14:paraId="7168B06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7D0D2">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国民综合阅读率</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61D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C85F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50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62E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lang w:val="en-US" w:eastAsia="zh-CN"/>
              </w:rPr>
              <w:t>%</w:t>
            </w:r>
          </w:p>
        </w:tc>
        <w:tc>
          <w:tcPr>
            <w:tcW w:w="949" w:type="dxa"/>
            <w:vMerge w:val="continue"/>
            <w:tcBorders>
              <w:left w:val="single" w:color="000000" w:sz="4" w:space="0"/>
              <w:bottom w:val="single" w:color="000000" w:sz="4" w:space="0"/>
              <w:right w:val="single" w:color="000000" w:sz="4" w:space="0"/>
            </w:tcBorders>
            <w:shd w:val="clear" w:color="auto" w:fill="auto"/>
            <w:vAlign w:val="center"/>
          </w:tcPr>
          <w:p w14:paraId="5E0ADDB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ACFD0">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≥60%</w:t>
            </w:r>
          </w:p>
        </w:tc>
      </w:tr>
      <w:tr w14:paraId="313DB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1" w:hRule="atLeast"/>
          <w:jc w:val="center"/>
        </w:trPr>
        <w:tc>
          <w:tcPr>
            <w:tcW w:w="660" w:type="dxa"/>
            <w:vMerge w:val="continue"/>
            <w:tcBorders>
              <w:top w:val="single" w:color="000000" w:sz="4" w:space="0"/>
              <w:left w:val="single" w:color="000000" w:sz="4" w:space="0"/>
              <w:bottom w:val="single" w:color="000000" w:sz="4" w:space="0"/>
            </w:tcBorders>
            <w:shd w:val="clear" w:color="auto" w:fill="auto"/>
            <w:vAlign w:val="center"/>
          </w:tcPr>
          <w:p w14:paraId="575FF38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98" w:type="dxa"/>
            <w:tcBorders>
              <w:top w:val="single" w:color="000000" w:sz="4" w:space="0"/>
              <w:left w:val="single" w:color="000000" w:sz="4" w:space="0"/>
              <w:right w:val="single" w:color="000000" w:sz="4" w:space="0"/>
            </w:tcBorders>
            <w:shd w:val="clear" w:color="auto" w:fill="auto"/>
            <w:vAlign w:val="center"/>
          </w:tcPr>
          <w:p w14:paraId="3454281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满意度</w:t>
            </w:r>
          </w:p>
          <w:p w14:paraId="788AF2D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267" w:type="dxa"/>
            <w:tcBorders>
              <w:top w:val="single" w:color="000000" w:sz="4" w:space="0"/>
              <w:left w:val="single" w:color="000000" w:sz="4" w:space="0"/>
              <w:right w:val="single" w:color="000000" w:sz="4" w:space="0"/>
            </w:tcBorders>
            <w:shd w:val="clear" w:color="auto" w:fill="auto"/>
            <w:vAlign w:val="center"/>
          </w:tcPr>
          <w:p w14:paraId="30D331B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服务对象</w:t>
            </w:r>
          </w:p>
          <w:p w14:paraId="1CC6D5B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8429">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群众对国家基本公共文化服务满意度</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E2BC">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3F1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90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CF89">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lang w:val="en-US" w:eastAsia="zh-CN"/>
              </w:rPr>
              <w:t>%</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2504">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10%</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5F5A">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≥90%</w:t>
            </w:r>
          </w:p>
        </w:tc>
      </w:tr>
      <w:tr w14:paraId="4C0CD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96" w:hRule="atLeast"/>
          <w:jc w:val="center"/>
        </w:trPr>
        <w:tc>
          <w:tcPr>
            <w:tcW w:w="660" w:type="dxa"/>
            <w:vMerge w:val="continue"/>
            <w:tcBorders>
              <w:top w:val="single" w:color="000000" w:sz="4" w:space="0"/>
              <w:left w:val="single" w:color="000000" w:sz="4" w:space="0"/>
              <w:bottom w:val="single" w:color="000000" w:sz="4" w:space="0"/>
            </w:tcBorders>
            <w:shd w:val="clear" w:color="auto" w:fill="auto"/>
            <w:vAlign w:val="center"/>
          </w:tcPr>
          <w:p w14:paraId="6585EE6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FDD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173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经济成本</w:t>
            </w:r>
          </w:p>
          <w:p w14:paraId="231A61D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37" w:type="dxa"/>
            <w:tcBorders>
              <w:top w:val="single" w:color="000000" w:sz="4" w:space="0"/>
              <w:bottom w:val="single" w:color="000000" w:sz="4" w:space="0"/>
              <w:right w:val="single" w:color="000000" w:sz="4" w:space="0"/>
            </w:tcBorders>
            <w:shd w:val="clear" w:color="auto" w:fill="auto"/>
            <w:vAlign w:val="center"/>
          </w:tcPr>
          <w:p w14:paraId="59EFD87A">
            <w:pPr>
              <w:keepNext w:val="0"/>
              <w:keepLines w:val="0"/>
              <w:pageBreakBefore w:val="0"/>
              <w:kinsoku/>
              <w:wordWrap/>
              <w:overflowPunct/>
              <w:topLinePunct w:val="0"/>
              <w:autoSpaceDE/>
              <w:autoSpaceDN/>
              <w:bidi w:val="0"/>
              <w:adjustRightInd/>
              <w:snapToGrid/>
              <w:spacing w:line="300" w:lineRule="exact"/>
              <w:ind w:left="0" w:leftChars="0"/>
              <w:rPr>
                <w:rFonts w:hint="default" w:ascii="Times New Roman" w:hAnsi="Times New Roman" w:eastAsia="宋体" w:cs="Times New Roman"/>
                <w:i w:val="0"/>
                <w:color w:val="000000"/>
                <w:sz w:val="24"/>
                <w:szCs w:val="24"/>
                <w:u w:val="none"/>
                <w:lang w:eastAsia="zh-CN"/>
              </w:rPr>
            </w:pPr>
            <w:r>
              <w:rPr>
                <w:rFonts w:hint="default" w:ascii="Times New Roman" w:hAnsi="Times New Roman" w:eastAsia="宋体" w:cs="Times New Roman"/>
                <w:i w:val="0"/>
                <w:color w:val="000000"/>
                <w:sz w:val="24"/>
                <w:szCs w:val="24"/>
                <w:u w:val="none"/>
                <w:lang w:eastAsia="zh-CN"/>
              </w:rPr>
              <w:t>财政资金下达金额</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15943">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BC7B">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124.62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71A1">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eastAsia="zh-CN"/>
              </w:rPr>
            </w:pPr>
            <w:r>
              <w:rPr>
                <w:rFonts w:hint="default" w:ascii="Times New Roman" w:hAnsi="Times New Roman" w:eastAsia="宋体" w:cs="Times New Roman"/>
                <w:i w:val="0"/>
                <w:color w:val="000000"/>
                <w:sz w:val="24"/>
                <w:szCs w:val="24"/>
                <w:u w:val="none"/>
                <w:lang w:eastAsia="zh-CN"/>
              </w:rPr>
              <w:t>万元</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0615">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10%</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74E6">
            <w:pPr>
              <w:keepNext w:val="0"/>
              <w:keepLines w:val="0"/>
              <w:pageBreakBefore w:val="0"/>
              <w:kinsoku/>
              <w:wordWrap/>
              <w:overflowPunct/>
              <w:topLinePunct w:val="0"/>
              <w:autoSpaceDE/>
              <w:autoSpaceDN/>
              <w:bidi w:val="0"/>
              <w:adjustRightInd/>
              <w:snapToGrid/>
              <w:spacing w:line="300" w:lineRule="exact"/>
              <w:ind w:left="0" w:leftChars="0"/>
              <w:jc w:val="center"/>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124.62万元</w:t>
            </w:r>
          </w:p>
        </w:tc>
      </w:tr>
    </w:tbl>
    <w:p w14:paraId="0FE7000E">
      <w:pPr>
        <w:pStyle w:val="2"/>
        <w:keepNext w:val="0"/>
        <w:keepLines w:val="0"/>
        <w:pageBreakBefore w:val="0"/>
        <w:kinsoku/>
        <w:wordWrap/>
        <w:overflowPunct/>
        <w:topLinePunct w:val="0"/>
        <w:autoSpaceDE/>
        <w:autoSpaceDN/>
        <w:bidi w:val="0"/>
        <w:spacing w:after="0" w:line="578" w:lineRule="exact"/>
        <w:ind w:left="0" w:leftChars="0"/>
        <w:rPr>
          <w:rFonts w:hint="default" w:ascii="Times New Roman" w:hAnsi="Times New Roman" w:eastAsia="黑体" w:cs="Times New Roman"/>
          <w:sz w:val="24"/>
          <w:szCs w:val="24"/>
          <w:highlight w:val="none"/>
          <w:lang w:val="en-US" w:eastAsia="zh-CN"/>
        </w:rPr>
      </w:pPr>
    </w:p>
    <w:p w14:paraId="448CF8B7">
      <w:pPr>
        <w:ind w:firstLine="640" w:firstLineChars="200"/>
        <w:rPr>
          <w:rFonts w:eastAsia="仿宋_GB2312"/>
          <w:sz w:val="32"/>
          <w:szCs w:val="32"/>
          <w:lang w:val="zh-CN"/>
        </w:rPr>
      </w:pPr>
    </w:p>
    <w:p w14:paraId="69E78CE9">
      <w:pPr>
        <w:pStyle w:val="2"/>
        <w:rPr>
          <w:rFonts w:eastAsia="仿宋_GB2312"/>
          <w:sz w:val="32"/>
          <w:szCs w:val="32"/>
          <w:lang w:val="zh-CN"/>
        </w:rPr>
      </w:pPr>
    </w:p>
    <w:p w14:paraId="7E2254D5">
      <w:pPr>
        <w:pStyle w:val="4"/>
        <w:rPr>
          <w:lang w:val="zh-CN"/>
        </w:rPr>
      </w:pPr>
    </w:p>
    <w:p w14:paraId="762DD44E">
      <w:pPr>
        <w:pStyle w:val="4"/>
        <w:rPr>
          <w:lang w:val="zh-CN"/>
        </w:rPr>
      </w:pPr>
    </w:p>
    <w:p w14:paraId="42F81F05">
      <w:pPr>
        <w:pStyle w:val="5"/>
        <w:jc w:val="center"/>
        <w:rPr>
          <w:rStyle w:val="43"/>
          <w:rFonts w:hint="eastAsia" w:ascii="黑体" w:eastAsia="黑体"/>
          <w:b w:val="0"/>
          <w:bCs w:val="0"/>
        </w:rPr>
      </w:pPr>
      <w:bookmarkStart w:id="100" w:name="_Toc23841"/>
      <w:r>
        <w:rPr>
          <w:rStyle w:val="43"/>
          <w:rFonts w:hint="eastAsia" w:ascii="黑体" w:eastAsia="黑体"/>
          <w:b w:val="0"/>
          <w:bCs w:val="0"/>
        </w:rPr>
        <w:t>第五部分 附表</w:t>
      </w:r>
      <w:bookmarkEnd w:id="100"/>
    </w:p>
    <w:p w14:paraId="21491140">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一、收入支出决算总表</w:t>
      </w:r>
    </w:p>
    <w:p w14:paraId="63B8294B">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二、收入决算表</w:t>
      </w:r>
    </w:p>
    <w:p w14:paraId="2409AC3B">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三、支出决算表</w:t>
      </w:r>
    </w:p>
    <w:p w14:paraId="4B5E0B1B">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四、财政拨款收入支出决算总表</w:t>
      </w:r>
    </w:p>
    <w:p w14:paraId="2011ED30">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五、财政拨款支出决算明细表</w:t>
      </w:r>
    </w:p>
    <w:p w14:paraId="7A64D616">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六、一般公共预算财政拨款支出决算表</w:t>
      </w:r>
    </w:p>
    <w:p w14:paraId="6DCA0BCC">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七、一般公共预算财政拨款支出决算明细表</w:t>
      </w:r>
    </w:p>
    <w:p w14:paraId="716DCEEF">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八、一般公共预算财政拨款基本支出决算表</w:t>
      </w:r>
    </w:p>
    <w:p w14:paraId="75E277AA">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九、一般公共预算财政拨款项目支出决算表</w:t>
      </w:r>
    </w:p>
    <w:p w14:paraId="60767AFD">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十、政府性基金预算财政拨款收入支出决算表</w:t>
      </w:r>
    </w:p>
    <w:p w14:paraId="4D861485">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十一、国有资本经营预算财政拨款收入支出决算表</w:t>
      </w:r>
    </w:p>
    <w:p w14:paraId="3770C218">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十二、国有资本经营预算财政拨款支出决算表</w:t>
      </w:r>
    </w:p>
    <w:p w14:paraId="42D2AF52">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十三、财政拨款“三公”经费支出决算表</w:t>
      </w:r>
    </w:p>
    <w:p w14:paraId="70501862">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十四、部门项目支出绩效自评表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EB4CC7D-FE9D-4E88-BFE3-5CB4D4C42C31}"/>
  </w:font>
  <w:font w:name="Courier New">
    <w:panose1 w:val="02070309020205020404"/>
    <w:charset w:val="01"/>
    <w:family w:val="modern"/>
    <w:pitch w:val="default"/>
    <w:sig w:usb0="E0002EFF" w:usb1="C0007843" w:usb2="00000009" w:usb3="00000000" w:csb0="400001FF" w:csb1="FFFF0000"/>
    <w:embedRegular r:id="rId2" w:fontKey="{FFA84A01-D96F-4933-9037-21E781B9D59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6CC6CFEC-72D6-4999-81A6-02F6F6595320}"/>
  </w:font>
  <w:font w:name="仿宋">
    <w:panose1 w:val="02010609060101010101"/>
    <w:charset w:val="86"/>
    <w:family w:val="modern"/>
    <w:pitch w:val="default"/>
    <w:sig w:usb0="800002BF" w:usb1="38CF7CFA" w:usb2="00000016" w:usb3="00000000" w:csb0="00040001" w:csb1="00000000"/>
    <w:embedRegular r:id="rId4" w:fontKey="{B9163039-A106-47FB-8F9C-A9B740419E04}"/>
  </w:font>
  <w:font w:name="??">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embedRegular r:id="rId5" w:fontKey="{D4D4229F-3A88-4F29-8F0A-E5CC643D7C15}"/>
  </w:font>
  <w:font w:name="方正仿宋_GBK">
    <w:panose1 w:val="02000000000000000000"/>
    <w:charset w:val="86"/>
    <w:family w:val="auto"/>
    <w:pitch w:val="default"/>
    <w:sig w:usb0="A00002BF" w:usb1="38CF7CFA" w:usb2="00082016" w:usb3="00000000" w:csb0="00040001" w:csb1="00000000"/>
    <w:embedRegular r:id="rId6" w:fontKey="{CDE00932-5820-4663-AC85-94AA3C5C5FCC}"/>
  </w:font>
  <w:font w:name="方正小标宋_GBK">
    <w:panose1 w:val="02000000000000000000"/>
    <w:charset w:val="86"/>
    <w:family w:val="auto"/>
    <w:pitch w:val="default"/>
    <w:sig w:usb0="A00002BF" w:usb1="38CF7CFA" w:usb2="00082016" w:usb3="00000000" w:csb0="00040001" w:csb1="00000000"/>
    <w:embedRegular r:id="rId7" w:fontKey="{80CE9844-B37E-4185-AE8A-76D545D2CF20}"/>
  </w:font>
  <w:font w:name="方正黑体_GBK">
    <w:panose1 w:val="02000000000000000000"/>
    <w:charset w:val="86"/>
    <w:family w:val="auto"/>
    <w:pitch w:val="default"/>
    <w:sig w:usb0="A00002BF" w:usb1="38CF7CFA" w:usb2="00082016" w:usb3="00000000" w:csb0="00040001" w:csb1="00000000"/>
    <w:embedRegular r:id="rId8" w:fontKey="{3259AAE6-18B2-419A-BADE-A29F51A766A8}"/>
  </w:font>
  <w:font w:name="方正楷体_GBK">
    <w:panose1 w:val="02000000000000000000"/>
    <w:charset w:val="86"/>
    <w:family w:val="auto"/>
    <w:pitch w:val="default"/>
    <w:sig w:usb0="A00002BF" w:usb1="38CF7CFA" w:usb2="00082016" w:usb3="00000000" w:csb0="00040001" w:csb1="00000000"/>
    <w:embedRegular r:id="rId9" w:fontKey="{32D344E7-F4BB-4932-85AF-5BE09E3841CA}"/>
  </w:font>
  <w:font w:name="Wingdings 2">
    <w:panose1 w:val="05020102010507070707"/>
    <w:charset w:val="00"/>
    <w:family w:val="auto"/>
    <w:pitch w:val="default"/>
    <w:sig w:usb0="00000000" w:usb1="00000000" w:usb2="00000000" w:usb3="00000000" w:csb0="80000000" w:csb1="00000000"/>
    <w:embedRegular r:id="rId10" w:fontKey="{D93DB48A-1968-494E-8C4F-A6CBE46A140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567E26CC">
        <w:pPr>
          <w:pStyle w:val="14"/>
          <w:jc w:val="center"/>
        </w:pPr>
        <w:r>
          <w:fldChar w:fldCharType="begin"/>
        </w:r>
        <w:r>
          <w:instrText xml:space="preserve">PAGE   \* MERGEFORMAT</w:instrText>
        </w:r>
        <w:r>
          <w:fldChar w:fldCharType="separate"/>
        </w:r>
        <w:r>
          <w:rPr>
            <w:lang w:val="zh-CN"/>
          </w:rPr>
          <w:t>23</w:t>
        </w:r>
        <w:r>
          <w:fldChar w:fldCharType="end"/>
        </w:r>
      </w:p>
    </w:sdtContent>
  </w:sdt>
  <w:p w14:paraId="617FFDF0">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3373E">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0NzJjZWQzZTc1YjM3YjExZjQ3MmViZWNmNDUxOTY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466B1"/>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18215A1"/>
    <w:rsid w:val="01B91D0C"/>
    <w:rsid w:val="01F80E23"/>
    <w:rsid w:val="02693733"/>
    <w:rsid w:val="02FEBE30"/>
    <w:rsid w:val="036F8141"/>
    <w:rsid w:val="04216B52"/>
    <w:rsid w:val="05CB74A0"/>
    <w:rsid w:val="060F75DD"/>
    <w:rsid w:val="066E0107"/>
    <w:rsid w:val="06DA1609"/>
    <w:rsid w:val="07996F6E"/>
    <w:rsid w:val="07B27637"/>
    <w:rsid w:val="07DFD8BA"/>
    <w:rsid w:val="09243B11"/>
    <w:rsid w:val="0A2032A3"/>
    <w:rsid w:val="0A9D2FF4"/>
    <w:rsid w:val="0D35B1ED"/>
    <w:rsid w:val="0D84227F"/>
    <w:rsid w:val="0E7ED1F5"/>
    <w:rsid w:val="0F98263C"/>
    <w:rsid w:val="101860EC"/>
    <w:rsid w:val="10794C79"/>
    <w:rsid w:val="10C055FF"/>
    <w:rsid w:val="118107EC"/>
    <w:rsid w:val="11A26319"/>
    <w:rsid w:val="121B2CFF"/>
    <w:rsid w:val="13D50BC4"/>
    <w:rsid w:val="13F5616D"/>
    <w:rsid w:val="14074B59"/>
    <w:rsid w:val="16BB723D"/>
    <w:rsid w:val="17F9714D"/>
    <w:rsid w:val="18EC4B30"/>
    <w:rsid w:val="1918F934"/>
    <w:rsid w:val="1AAA6386"/>
    <w:rsid w:val="1B8F0F39"/>
    <w:rsid w:val="1BBB0EC8"/>
    <w:rsid w:val="1BC82D81"/>
    <w:rsid w:val="1BE8440E"/>
    <w:rsid w:val="1C0665FB"/>
    <w:rsid w:val="1C484F46"/>
    <w:rsid w:val="1C6C6672"/>
    <w:rsid w:val="1D155CEE"/>
    <w:rsid w:val="1DFBC4B3"/>
    <w:rsid w:val="1E3130AD"/>
    <w:rsid w:val="1E740ACF"/>
    <w:rsid w:val="1F19C781"/>
    <w:rsid w:val="1F33FCE5"/>
    <w:rsid w:val="1F7F7398"/>
    <w:rsid w:val="1F89131B"/>
    <w:rsid w:val="1FD2DB6F"/>
    <w:rsid w:val="1FF35744"/>
    <w:rsid w:val="1FF6BC77"/>
    <w:rsid w:val="1FF9236D"/>
    <w:rsid w:val="208A67A9"/>
    <w:rsid w:val="22B40DE5"/>
    <w:rsid w:val="23222EB5"/>
    <w:rsid w:val="2333840E"/>
    <w:rsid w:val="23860B96"/>
    <w:rsid w:val="240371BF"/>
    <w:rsid w:val="242A28CA"/>
    <w:rsid w:val="24C7636B"/>
    <w:rsid w:val="257C638F"/>
    <w:rsid w:val="288305BF"/>
    <w:rsid w:val="29847FAA"/>
    <w:rsid w:val="29E32440"/>
    <w:rsid w:val="29FD04D3"/>
    <w:rsid w:val="2BFF7BC6"/>
    <w:rsid w:val="2C117480"/>
    <w:rsid w:val="2C8A61B5"/>
    <w:rsid w:val="2CD59C95"/>
    <w:rsid w:val="2DF04E50"/>
    <w:rsid w:val="2EFD05E5"/>
    <w:rsid w:val="2F040D46"/>
    <w:rsid w:val="2F4F95CE"/>
    <w:rsid w:val="2FACAFDD"/>
    <w:rsid w:val="2FAE5751"/>
    <w:rsid w:val="2FB1A395"/>
    <w:rsid w:val="2FCF0B76"/>
    <w:rsid w:val="2FD9A7D8"/>
    <w:rsid w:val="30FC55EE"/>
    <w:rsid w:val="319F7F4E"/>
    <w:rsid w:val="31E87920"/>
    <w:rsid w:val="3304709D"/>
    <w:rsid w:val="34E40873"/>
    <w:rsid w:val="355C0253"/>
    <w:rsid w:val="36AA5135"/>
    <w:rsid w:val="36BE0DA7"/>
    <w:rsid w:val="376B6AA6"/>
    <w:rsid w:val="376D39B2"/>
    <w:rsid w:val="37E16F03"/>
    <w:rsid w:val="37F53A3B"/>
    <w:rsid w:val="3878301B"/>
    <w:rsid w:val="38D469F0"/>
    <w:rsid w:val="38F78389"/>
    <w:rsid w:val="397BAF1F"/>
    <w:rsid w:val="39E7B272"/>
    <w:rsid w:val="39F7642F"/>
    <w:rsid w:val="39FF7B37"/>
    <w:rsid w:val="3A103ED9"/>
    <w:rsid w:val="3AB79AF3"/>
    <w:rsid w:val="3ABF2751"/>
    <w:rsid w:val="3AFDCB77"/>
    <w:rsid w:val="3B7EF35A"/>
    <w:rsid w:val="3B9FDB6C"/>
    <w:rsid w:val="3BAD1C8A"/>
    <w:rsid w:val="3BF5BC2F"/>
    <w:rsid w:val="3BF7C23A"/>
    <w:rsid w:val="3BFF223E"/>
    <w:rsid w:val="3C2B4FD9"/>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08E6801"/>
    <w:rsid w:val="42072045"/>
    <w:rsid w:val="42336996"/>
    <w:rsid w:val="42940BD6"/>
    <w:rsid w:val="42C80CEE"/>
    <w:rsid w:val="44E268DA"/>
    <w:rsid w:val="457F4F6B"/>
    <w:rsid w:val="461F5BAF"/>
    <w:rsid w:val="465515D1"/>
    <w:rsid w:val="4737FB58"/>
    <w:rsid w:val="47BF0C92"/>
    <w:rsid w:val="47ECCB02"/>
    <w:rsid w:val="47FA6A3F"/>
    <w:rsid w:val="49D7AE48"/>
    <w:rsid w:val="4A370FED"/>
    <w:rsid w:val="4A3F6C7E"/>
    <w:rsid w:val="4A627F82"/>
    <w:rsid w:val="4B0E749A"/>
    <w:rsid w:val="4B4F25DA"/>
    <w:rsid w:val="4BBB4781"/>
    <w:rsid w:val="4BD709A5"/>
    <w:rsid w:val="4BDD9BFF"/>
    <w:rsid w:val="4BE068DB"/>
    <w:rsid w:val="4BE72859"/>
    <w:rsid w:val="4CC264C3"/>
    <w:rsid w:val="4D177129"/>
    <w:rsid w:val="4D577224"/>
    <w:rsid w:val="4DBF1CEB"/>
    <w:rsid w:val="4DBF6A6B"/>
    <w:rsid w:val="4DF6A672"/>
    <w:rsid w:val="4E326BEE"/>
    <w:rsid w:val="4EAB630A"/>
    <w:rsid w:val="4ECE2238"/>
    <w:rsid w:val="4F7EA413"/>
    <w:rsid w:val="4FAB812F"/>
    <w:rsid w:val="4FE9BD67"/>
    <w:rsid w:val="4FEE4C07"/>
    <w:rsid w:val="4FF073E2"/>
    <w:rsid w:val="4FFB052F"/>
    <w:rsid w:val="506D0D72"/>
    <w:rsid w:val="51F7178E"/>
    <w:rsid w:val="52526750"/>
    <w:rsid w:val="537E6D0A"/>
    <w:rsid w:val="53AB6B88"/>
    <w:rsid w:val="53BD2563"/>
    <w:rsid w:val="53F74C96"/>
    <w:rsid w:val="54272A9D"/>
    <w:rsid w:val="54890697"/>
    <w:rsid w:val="5583522D"/>
    <w:rsid w:val="566A0C2E"/>
    <w:rsid w:val="566A651B"/>
    <w:rsid w:val="57BD3DD4"/>
    <w:rsid w:val="57F9CD1E"/>
    <w:rsid w:val="5AF92295"/>
    <w:rsid w:val="5AF9D8E9"/>
    <w:rsid w:val="5BA02E96"/>
    <w:rsid w:val="5BDD38BD"/>
    <w:rsid w:val="5BDD79E6"/>
    <w:rsid w:val="5BDF12EB"/>
    <w:rsid w:val="5BEFC772"/>
    <w:rsid w:val="5BFF5DFC"/>
    <w:rsid w:val="5CD71FC4"/>
    <w:rsid w:val="5D1F11B5"/>
    <w:rsid w:val="5D3647F9"/>
    <w:rsid w:val="5DA644D4"/>
    <w:rsid w:val="5DAE1B18"/>
    <w:rsid w:val="5DD32995"/>
    <w:rsid w:val="5DE7D9E5"/>
    <w:rsid w:val="5EA04616"/>
    <w:rsid w:val="5ECEC941"/>
    <w:rsid w:val="5EFF8FC6"/>
    <w:rsid w:val="5F5BA39A"/>
    <w:rsid w:val="5F7D3B79"/>
    <w:rsid w:val="5F7F4610"/>
    <w:rsid w:val="5FBF9FF3"/>
    <w:rsid w:val="5FCD4E2C"/>
    <w:rsid w:val="5FEF394A"/>
    <w:rsid w:val="5FF67715"/>
    <w:rsid w:val="60002155"/>
    <w:rsid w:val="61CA71D5"/>
    <w:rsid w:val="627EE9EA"/>
    <w:rsid w:val="63B23AA5"/>
    <w:rsid w:val="647F5392"/>
    <w:rsid w:val="64E322C4"/>
    <w:rsid w:val="65EE0EE5"/>
    <w:rsid w:val="65FB93B9"/>
    <w:rsid w:val="6633C463"/>
    <w:rsid w:val="67D55B77"/>
    <w:rsid w:val="67EE7F84"/>
    <w:rsid w:val="67F56E50"/>
    <w:rsid w:val="686F5F53"/>
    <w:rsid w:val="68AF296B"/>
    <w:rsid w:val="6A512005"/>
    <w:rsid w:val="6AFFCEAF"/>
    <w:rsid w:val="6B385337"/>
    <w:rsid w:val="6B6601E5"/>
    <w:rsid w:val="6B96E9E6"/>
    <w:rsid w:val="6BA95097"/>
    <w:rsid w:val="6BCE57B5"/>
    <w:rsid w:val="6BFEA4DB"/>
    <w:rsid w:val="6BFFB662"/>
    <w:rsid w:val="6C4A05C8"/>
    <w:rsid w:val="6CFF4FB8"/>
    <w:rsid w:val="6D121C8D"/>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209F3"/>
    <w:rsid w:val="6FF5CC65"/>
    <w:rsid w:val="6FFB47EC"/>
    <w:rsid w:val="6FFF034A"/>
    <w:rsid w:val="70BB7D3B"/>
    <w:rsid w:val="712A28F1"/>
    <w:rsid w:val="715C0E4B"/>
    <w:rsid w:val="71FFD401"/>
    <w:rsid w:val="72233669"/>
    <w:rsid w:val="72531E63"/>
    <w:rsid w:val="72734D90"/>
    <w:rsid w:val="7332FE48"/>
    <w:rsid w:val="73AD73D5"/>
    <w:rsid w:val="73B6EB34"/>
    <w:rsid w:val="73FA497D"/>
    <w:rsid w:val="7415254D"/>
    <w:rsid w:val="744731E5"/>
    <w:rsid w:val="746B0F7E"/>
    <w:rsid w:val="74BBD01D"/>
    <w:rsid w:val="74ED5379"/>
    <w:rsid w:val="751A328C"/>
    <w:rsid w:val="75B27CA5"/>
    <w:rsid w:val="75DEEEC2"/>
    <w:rsid w:val="767F479D"/>
    <w:rsid w:val="76E3355F"/>
    <w:rsid w:val="76F742AF"/>
    <w:rsid w:val="76F7BE7D"/>
    <w:rsid w:val="76FF5125"/>
    <w:rsid w:val="773570D3"/>
    <w:rsid w:val="77597F31"/>
    <w:rsid w:val="776F6FFA"/>
    <w:rsid w:val="7777A522"/>
    <w:rsid w:val="77858688"/>
    <w:rsid w:val="778769C8"/>
    <w:rsid w:val="77C23F98"/>
    <w:rsid w:val="77CB741A"/>
    <w:rsid w:val="77D7BE3A"/>
    <w:rsid w:val="77DC22F5"/>
    <w:rsid w:val="78E71CAD"/>
    <w:rsid w:val="797E3A6C"/>
    <w:rsid w:val="79CF70E2"/>
    <w:rsid w:val="79D73ACF"/>
    <w:rsid w:val="79D7FD79"/>
    <w:rsid w:val="79E75806"/>
    <w:rsid w:val="79EE5BA4"/>
    <w:rsid w:val="7A641148"/>
    <w:rsid w:val="7A6F8BF5"/>
    <w:rsid w:val="7A894339"/>
    <w:rsid w:val="7AAC4F5C"/>
    <w:rsid w:val="7ACF82B5"/>
    <w:rsid w:val="7AFF28C9"/>
    <w:rsid w:val="7AFF72A0"/>
    <w:rsid w:val="7AFF7572"/>
    <w:rsid w:val="7B0E642F"/>
    <w:rsid w:val="7B4762DA"/>
    <w:rsid w:val="7B6C7DFB"/>
    <w:rsid w:val="7B755AFC"/>
    <w:rsid w:val="7B7D76A7"/>
    <w:rsid w:val="7BAE2FE2"/>
    <w:rsid w:val="7BAF6951"/>
    <w:rsid w:val="7BBFBED0"/>
    <w:rsid w:val="7BC3E394"/>
    <w:rsid w:val="7BF3FE4C"/>
    <w:rsid w:val="7BFB5035"/>
    <w:rsid w:val="7BFDE17E"/>
    <w:rsid w:val="7CB41EA6"/>
    <w:rsid w:val="7CBFC87B"/>
    <w:rsid w:val="7CCD2C16"/>
    <w:rsid w:val="7CD27528"/>
    <w:rsid w:val="7CFE0F48"/>
    <w:rsid w:val="7D3DE31C"/>
    <w:rsid w:val="7D7EC23E"/>
    <w:rsid w:val="7D7F8A13"/>
    <w:rsid w:val="7DBBCB01"/>
    <w:rsid w:val="7DC765D0"/>
    <w:rsid w:val="7DDB0EE0"/>
    <w:rsid w:val="7DFF51D8"/>
    <w:rsid w:val="7E2B619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3"/>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unhideWhenUsed/>
    <w:qFormat/>
    <w:uiPriority w:val="99"/>
    <w:pPr>
      <w:ind w:firstLine="420" w:firstLineChars="200"/>
    </w:pPr>
  </w:style>
  <w:style w:type="paragraph" w:styleId="3">
    <w:name w:val="Body Text Indent"/>
    <w:basedOn w:val="1"/>
    <w:next w:val="2"/>
    <w:qFormat/>
    <w:uiPriority w:val="0"/>
    <w:pPr>
      <w:spacing w:after="120"/>
      <w:ind w:left="200" w:leftChars="200"/>
    </w:pPr>
    <w:rPr>
      <w:rFonts w:ascii="仿宋_GB2312"/>
      <w:szCs w:val="32"/>
    </w:rPr>
  </w:style>
  <w:style w:type="paragraph" w:styleId="4">
    <w:name w:val="Plain Text"/>
    <w:basedOn w:val="1"/>
    <w:qFormat/>
    <w:uiPriority w:val="0"/>
    <w:pPr>
      <w:spacing w:before="0" w:beforeAutospacing="0" w:after="0" w:afterAutospacing="0"/>
      <w:ind w:left="0" w:right="0"/>
      <w:jc w:val="left"/>
    </w:pPr>
    <w:rPr>
      <w:rFonts w:hint="eastAsia" w:ascii="宋体" w:hAnsi="宋体" w:eastAsia="宋体" w:cs="Courier New"/>
      <w:kern w:val="0"/>
      <w:sz w:val="24"/>
      <w:szCs w:val="24"/>
      <w:lang w:val="en-US" w:eastAsia="zh-CN" w:bidi="ar"/>
    </w:rPr>
  </w:style>
  <w:style w:type="paragraph" w:styleId="8">
    <w:name w:val="index 8"/>
    <w:basedOn w:val="1"/>
    <w:next w:val="1"/>
    <w:qFormat/>
    <w:uiPriority w:val="0"/>
    <w:pPr>
      <w:ind w:left="1400" w:leftChars="1400"/>
    </w:pPr>
  </w:style>
  <w:style w:type="paragraph" w:styleId="9">
    <w:name w:val="index 5"/>
    <w:basedOn w:val="1"/>
    <w:next w:val="1"/>
    <w:qFormat/>
    <w:uiPriority w:val="0"/>
    <w:pPr>
      <w:ind w:left="1680"/>
    </w:pPr>
  </w:style>
  <w:style w:type="paragraph" w:styleId="10">
    <w:name w:val="Salutation"/>
    <w:basedOn w:val="1"/>
    <w:next w:val="1"/>
    <w:qFormat/>
    <w:uiPriority w:val="0"/>
    <w:rPr>
      <w:rFonts w:ascii="Times New Roman" w:hAnsi="Times New Roman" w:eastAsia="宋体" w:cs="Times New Roman"/>
    </w:rPr>
  </w:style>
  <w:style w:type="paragraph" w:styleId="11">
    <w:name w:val="Body Text"/>
    <w:basedOn w:val="1"/>
    <w:link w:val="29"/>
    <w:qFormat/>
    <w:uiPriority w:val="99"/>
    <w:pPr>
      <w:spacing w:beforeLines="30"/>
    </w:pPr>
    <w:rPr>
      <w:rFonts w:ascii="仿宋_GB2312" w:eastAsia="仿宋_GB2312"/>
      <w:kern w:val="0"/>
      <w:sz w:val="30"/>
    </w:rPr>
  </w:style>
  <w:style w:type="paragraph" w:styleId="12">
    <w:name w:val="toc 3"/>
    <w:basedOn w:val="1"/>
    <w:next w:val="1"/>
    <w:unhideWhenUsed/>
    <w:qFormat/>
    <w:uiPriority w:val="39"/>
    <w:pPr>
      <w:tabs>
        <w:tab w:val="right" w:leader="dot" w:pos="8296"/>
      </w:tabs>
      <w:ind w:left="840" w:leftChars="400"/>
    </w:pPr>
  </w:style>
  <w:style w:type="paragraph" w:styleId="13">
    <w:name w:val="Balloon Text"/>
    <w:basedOn w:val="1"/>
    <w:link w:val="35"/>
    <w:semiHidden/>
    <w:unhideWhenUsed/>
    <w:qFormat/>
    <w:uiPriority w:val="99"/>
    <w:rPr>
      <w:sz w:val="18"/>
      <w:szCs w:val="18"/>
    </w:rPr>
  </w:style>
  <w:style w:type="paragraph" w:styleId="14">
    <w:name w:val="footer"/>
    <w:basedOn w:val="1"/>
    <w:link w:val="27"/>
    <w:qFormat/>
    <w:uiPriority w:val="99"/>
    <w:pPr>
      <w:tabs>
        <w:tab w:val="center" w:pos="4153"/>
        <w:tab w:val="right" w:pos="8306"/>
      </w:tabs>
      <w:snapToGrid w:val="0"/>
      <w:jc w:val="left"/>
    </w:pPr>
    <w:rPr>
      <w:rFonts w:ascii="Calibri" w:hAnsi="Calibri"/>
      <w:kern w:val="0"/>
      <w:sz w:val="18"/>
      <w:szCs w:val="18"/>
    </w:rPr>
  </w:style>
  <w:style w:type="paragraph" w:styleId="15">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7">
    <w:name w:val="toc 2"/>
    <w:basedOn w:val="1"/>
    <w:next w:val="1"/>
    <w:unhideWhenUsed/>
    <w:qFormat/>
    <w:uiPriority w:val="39"/>
    <w:pPr>
      <w:tabs>
        <w:tab w:val="right" w:leader="dot" w:pos="8296"/>
      </w:tabs>
      <w:ind w:left="420" w:leftChars="200"/>
    </w:pPr>
  </w:style>
  <w:style w:type="paragraph" w:styleId="18">
    <w:name w:val="Normal (Web)"/>
    <w:basedOn w:val="1"/>
    <w:next w:val="8"/>
    <w:qFormat/>
    <w:uiPriority w:val="0"/>
    <w:pPr>
      <w:spacing w:before="100" w:beforeAutospacing="1" w:after="100" w:afterAutospacing="1"/>
      <w:ind w:left="0" w:right="0"/>
      <w:jc w:val="left"/>
    </w:pPr>
    <w:rPr>
      <w:rFonts w:hint="default" w:ascii="宋体" w:hAnsi="宋体" w:eastAsia="宋体" w:cs="宋体"/>
      <w:kern w:val="0"/>
      <w:sz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paragraph" w:customStyle="1" w:styleId="23">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4">
    <w:name w:val="Header Char"/>
    <w:basedOn w:val="20"/>
    <w:semiHidden/>
    <w:qFormat/>
    <w:uiPriority w:val="99"/>
    <w:rPr>
      <w:rFonts w:ascii="Times New Roman" w:hAnsi="Times New Roman"/>
      <w:sz w:val="18"/>
      <w:szCs w:val="18"/>
    </w:rPr>
  </w:style>
  <w:style w:type="character" w:customStyle="1" w:styleId="25">
    <w:name w:val="页眉 字符"/>
    <w:link w:val="15"/>
    <w:semiHidden/>
    <w:qFormat/>
    <w:locked/>
    <w:uiPriority w:val="99"/>
    <w:rPr>
      <w:sz w:val="18"/>
    </w:rPr>
  </w:style>
  <w:style w:type="character" w:customStyle="1" w:styleId="26">
    <w:name w:val="Footer Char"/>
    <w:basedOn w:val="20"/>
    <w:semiHidden/>
    <w:qFormat/>
    <w:uiPriority w:val="99"/>
    <w:rPr>
      <w:rFonts w:ascii="Times New Roman" w:hAnsi="Times New Roman"/>
      <w:sz w:val="18"/>
      <w:szCs w:val="18"/>
    </w:rPr>
  </w:style>
  <w:style w:type="character" w:customStyle="1" w:styleId="27">
    <w:name w:val="页脚 字符"/>
    <w:link w:val="14"/>
    <w:qFormat/>
    <w:locked/>
    <w:uiPriority w:val="99"/>
    <w:rPr>
      <w:sz w:val="18"/>
    </w:rPr>
  </w:style>
  <w:style w:type="character" w:customStyle="1" w:styleId="28">
    <w:name w:val="Body Text Char"/>
    <w:basedOn w:val="20"/>
    <w:semiHidden/>
    <w:qFormat/>
    <w:uiPriority w:val="99"/>
    <w:rPr>
      <w:rFonts w:ascii="Times New Roman" w:hAnsi="Times New Roman"/>
      <w:szCs w:val="24"/>
    </w:rPr>
  </w:style>
  <w:style w:type="character" w:customStyle="1" w:styleId="29">
    <w:name w:val="正文文本 字符"/>
    <w:link w:val="11"/>
    <w:qFormat/>
    <w:locked/>
    <w:uiPriority w:val="99"/>
    <w:rPr>
      <w:rFonts w:ascii="仿宋_GB2312" w:hAnsi="Times New Roman" w:eastAsia="仿宋_GB2312"/>
      <w:sz w:val="24"/>
    </w:rPr>
  </w:style>
  <w:style w:type="paragraph" w:customStyle="1" w:styleId="3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1">
    <w:name w:val="List Paragraph"/>
    <w:basedOn w:val="1"/>
    <w:qFormat/>
    <w:uiPriority w:val="34"/>
    <w:pPr>
      <w:ind w:firstLine="420" w:firstLineChars="200"/>
    </w:pPr>
  </w:style>
  <w:style w:type="character" w:customStyle="1" w:styleId="32">
    <w:name w:val="标题 1 字符"/>
    <w:basedOn w:val="20"/>
    <w:link w:val="5"/>
    <w:qFormat/>
    <w:uiPriority w:val="9"/>
    <w:rPr>
      <w:rFonts w:ascii="Times New Roman" w:hAnsi="Times New Roman"/>
      <w:b/>
      <w:bCs/>
      <w:kern w:val="44"/>
      <w:sz w:val="44"/>
      <w:szCs w:val="44"/>
    </w:rPr>
  </w:style>
  <w:style w:type="character" w:customStyle="1" w:styleId="33">
    <w:name w:val="标题 2 字符"/>
    <w:basedOn w:val="20"/>
    <w:link w:val="6"/>
    <w:qFormat/>
    <w:uiPriority w:val="9"/>
    <w:rPr>
      <w:rFonts w:asciiTheme="majorHAnsi" w:hAnsiTheme="majorHAnsi" w:eastAsiaTheme="majorEastAsia" w:cstheme="majorBidi"/>
      <w:b/>
      <w:bCs/>
      <w:kern w:val="2"/>
      <w:sz w:val="32"/>
      <w:szCs w:val="32"/>
    </w:rPr>
  </w:style>
  <w:style w:type="paragraph" w:customStyle="1" w:styleId="34">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3"/>
    <w:semiHidden/>
    <w:qFormat/>
    <w:uiPriority w:val="99"/>
    <w:rPr>
      <w:rFonts w:ascii="Times New Roman" w:hAnsi="Times New Roman"/>
      <w:kern w:val="2"/>
      <w:sz w:val="18"/>
      <w:szCs w:val="18"/>
    </w:rPr>
  </w:style>
  <w:style w:type="character" w:customStyle="1" w:styleId="36">
    <w:name w:val="标题 3 字符"/>
    <w:basedOn w:val="20"/>
    <w:link w:val="7"/>
    <w:qFormat/>
    <w:uiPriority w:val="9"/>
    <w:rPr>
      <w:rFonts w:ascii="Times New Roman" w:hAnsi="Times New Roman"/>
      <w:b/>
      <w:bCs/>
      <w:kern w:val="2"/>
      <w:sz w:val="32"/>
      <w:szCs w:val="32"/>
    </w:rPr>
  </w:style>
  <w:style w:type="paragraph" w:customStyle="1" w:styleId="37">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8">
    <w:name w:val="四号正文"/>
    <w:basedOn w:val="1"/>
    <w:qFormat/>
    <w:uiPriority w:val="0"/>
    <w:pPr>
      <w:spacing w:line="360" w:lineRule="auto"/>
    </w:pPr>
    <w:rPr>
      <w:rFonts w:ascii="??" w:hAnsi="??"/>
      <w:color w:val="000000"/>
      <w:kern w:val="0"/>
      <w:sz w:val="28"/>
      <w:szCs w:val="21"/>
      <w:lang w:val="zh-CN"/>
    </w:rPr>
  </w:style>
  <w:style w:type="paragraph" w:customStyle="1" w:styleId="39">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40">
    <w:name w:val="WPSOffice手动目录 1"/>
    <w:qFormat/>
    <w:uiPriority w:val="0"/>
    <w:pPr>
      <w:ind w:leftChars="0"/>
    </w:pPr>
    <w:rPr>
      <w:rFonts w:asciiTheme="minorHAnsi" w:hAnsiTheme="minorHAnsi" w:eastAsiaTheme="minorEastAsia" w:cstheme="minorBidi"/>
      <w:sz w:val="20"/>
      <w:szCs w:val="20"/>
    </w:rPr>
  </w:style>
  <w:style w:type="character" w:customStyle="1" w:styleId="41">
    <w:name w:val="16"/>
    <w:basedOn w:val="20"/>
    <w:qFormat/>
    <w:uiPriority w:val="0"/>
    <w:rPr>
      <w:rFonts w:hint="default" w:ascii="Times New Roman" w:hAnsi="Times New Roman" w:cs="Times New Roman"/>
      <w:b/>
    </w:rPr>
  </w:style>
  <w:style w:type="paragraph" w:customStyle="1" w:styleId="42">
    <w:name w:val="WPSOffice手动目录 2"/>
    <w:qFormat/>
    <w:uiPriority w:val="0"/>
    <w:pPr>
      <w:ind w:leftChars="200"/>
    </w:pPr>
    <w:rPr>
      <w:rFonts w:asciiTheme="minorHAnsi" w:hAnsiTheme="minorHAnsi" w:eastAsiaTheme="minorEastAsia" w:cstheme="minorBidi"/>
      <w:sz w:val="20"/>
      <w:szCs w:val="20"/>
    </w:rPr>
  </w:style>
  <w:style w:type="character" w:customStyle="1" w:styleId="43">
    <w:name w:val="标题 1 Char"/>
    <w:basedOn w:val="20"/>
    <w:link w:val="5"/>
    <w:qFormat/>
    <w:uiPriority w:val="0"/>
    <w:rPr>
      <w:rFonts w:ascii="Times New Roman" w:hAnsi="Times New Roman" w:eastAsia="宋体" w:cs="Times New Roman"/>
      <w:b/>
      <w:bCs/>
      <w:kern w:val="44"/>
      <w:sz w:val="44"/>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emf"/><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5195;&#30721;&#30456;&#20851;&#24773;&#20917;.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5195;&#30721;&#30456;&#20851;&#24773;&#20917;.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5195;&#30721;&#30456;&#20851;&#24773;&#20917;.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5195;&#30721;&#30456;&#20851;&#24773;&#20917;.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1&#26126;&#32454;.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1&#26126;&#32454;.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H:\2024&#24180;\&#39044;&#20915;&#31639;&#36164;&#26009;\2023&#24180;&#20915;&#31639;&#20844;&#24320;\&#32418;&#21407;&#21439;&#23459;&#20256;&#37096;&#20915;&#31639;&#20844;&#24320;&#25253;&#34920;&#65288;&#27719;&#24635;&#6528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[扫码相关情况.xlsx]Sheet1!$D$6:$D$10</c:f>
              <c:strCache>
                <c:ptCount val="5"/>
                <c:pt idx="0">
                  <c:v>一般公共服务支出</c:v>
                </c:pt>
                <c:pt idx="1">
                  <c:v>文化旅游体育与传媒支出</c:v>
                </c:pt>
                <c:pt idx="2">
                  <c:v>社会保障和就业支出</c:v>
                </c:pt>
                <c:pt idx="3">
                  <c:v>卫生健康支出</c:v>
                </c:pt>
                <c:pt idx="4">
                  <c:v>住房保障支出</c:v>
                </c:pt>
              </c:strCache>
            </c:strRef>
          </c:cat>
          <c:val>
            <c:numRef>
              <c:f>[扫码相关情况.xlsx]Sheet1!$E$6:$E$10</c:f>
              <c:numCache>
                <c:formatCode>General</c:formatCode>
                <c:ptCount val="5"/>
                <c:pt idx="0">
                  <c:v>765.08</c:v>
                </c:pt>
                <c:pt idx="1">
                  <c:v>89.73</c:v>
                </c:pt>
                <c:pt idx="2">
                  <c:v>58.52</c:v>
                </c:pt>
                <c:pt idx="3">
                  <c:v>39.79</c:v>
                </c:pt>
                <c:pt idx="4">
                  <c:v>29.04</c:v>
                </c:pt>
              </c:numCache>
            </c:numRef>
          </c:val>
        </c:ser>
        <c:dLbls>
          <c:showLegendKey val="0"/>
          <c:showVal val="1"/>
          <c:showCatName val="0"/>
          <c:showSerName val="0"/>
          <c:showPercent val="0"/>
          <c:showBubbleSize val="0"/>
        </c:dLbls>
        <c:gapWidth val="246"/>
        <c:overlap val="-28"/>
        <c:axId val="71019326"/>
        <c:axId val="270414544"/>
      </c:barChart>
      <c:catAx>
        <c:axId val="710193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0414544"/>
        <c:crosses val="autoZero"/>
        <c:auto val="1"/>
        <c:lblAlgn val="ctr"/>
        <c:lblOffset val="100"/>
        <c:noMultiLvlLbl val="0"/>
      </c:catAx>
      <c:valAx>
        <c:axId val="27041454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01932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b1189aa0-520d-44b2-a5fd-793c4a6bcf0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收入决算情况</a:t>
            </a:r>
          </a:p>
        </c:rich>
      </c:tx>
      <c:layout/>
      <c:overlay val="0"/>
      <c:spPr>
        <a:noFill/>
        <a:ln>
          <a:noFill/>
        </a:ln>
        <a:effectLst/>
      </c:spPr>
    </c:title>
    <c:autoTitleDeleted val="0"/>
    <c:plotArea>
      <c:layout/>
      <c:pieChart>
        <c:varyColors val="1"/>
        <c:ser>
          <c:idx val="0"/>
          <c:order val="0"/>
          <c:tx>
            <c:strRef>
              <c:f>[扫码相关情况.xlsx]Sheet1!$G$7</c:f>
              <c:strCache>
                <c:ptCount val="1"/>
                <c:pt idx="0">
                  <c:v>一般公共预算财政拨款收入</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[扫码相关情况.xlsx]Sheet1!$H$7</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1ec707ae-af86-4138-af30-ccf40b25128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支出决算情况</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[扫码相关情况.xlsx]Sheet1!$D$6:$D$10</c:f>
              <c:strCache>
                <c:ptCount val="5"/>
                <c:pt idx="0">
                  <c:v>一般公共服务支出</c:v>
                </c:pt>
                <c:pt idx="1">
                  <c:v>文化旅游体育与传媒支出</c:v>
                </c:pt>
                <c:pt idx="2">
                  <c:v>社会保障和就业支出</c:v>
                </c:pt>
                <c:pt idx="3">
                  <c:v>卫生健康支出</c:v>
                </c:pt>
                <c:pt idx="4">
                  <c:v>住房保障支出</c:v>
                </c:pt>
              </c:strCache>
            </c:strRef>
          </c:cat>
          <c:val>
            <c:numRef>
              <c:f>[扫码相关情况.xlsx]Sheet1!$E$6:$E$10</c:f>
              <c:numCache>
                <c:formatCode>General</c:formatCode>
                <c:ptCount val="5"/>
                <c:pt idx="0">
                  <c:v>765.08</c:v>
                </c:pt>
                <c:pt idx="1">
                  <c:v>89.73</c:v>
                </c:pt>
                <c:pt idx="2">
                  <c:v>58.52</c:v>
                </c:pt>
                <c:pt idx="3">
                  <c:v>39.79</c:v>
                </c:pt>
                <c:pt idx="4">
                  <c:v>29.04</c:v>
                </c:pt>
              </c:numCache>
            </c:numRef>
          </c:val>
        </c:ser>
        <c:ser>
          <c:idx val="1"/>
          <c:order val="1"/>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[扫码相关情况.xlsx]Sheet1!$D$6:$D$10</c:f>
              <c:strCache>
                <c:ptCount val="5"/>
                <c:pt idx="0">
                  <c:v>一般公共服务支出</c:v>
                </c:pt>
                <c:pt idx="1">
                  <c:v>文化旅游体育与传媒支出</c:v>
                </c:pt>
                <c:pt idx="2">
                  <c:v>社会保障和就业支出</c:v>
                </c:pt>
                <c:pt idx="3">
                  <c:v>卫生健康支出</c:v>
                </c:pt>
                <c:pt idx="4">
                  <c:v>住房保障支出</c:v>
                </c:pt>
              </c:strCache>
            </c:strRef>
          </c:cat>
          <c:val>
            <c:numRef>
              <c:f>[扫码相关情况.xlsx]Sheet1!$F$6:$F$10</c:f>
              <c:numCache>
                <c:formatCode>0.00%</c:formatCode>
                <c:ptCount val="5"/>
                <c:pt idx="0">
                  <c:v>0.7789</c:v>
                </c:pt>
                <c:pt idx="1">
                  <c:v>0.0914</c:v>
                </c:pt>
                <c:pt idx="2">
                  <c:v>0.0596</c:v>
                </c:pt>
                <c:pt idx="3">
                  <c:v>0.0405</c:v>
                </c:pt>
                <c:pt idx="4">
                  <c:v>0.0296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8d395e9-1e72-4292-ac89-b2551b5fa74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财政拨款收入支出决算总体情况</a:t>
            </a:r>
          </a:p>
        </c:rich>
      </c:tx>
      <c:layout/>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delete val="1"/>
          </c:dLbls>
          <c:val>
            <c:numRef>
              <c:f>[扫码相关情况.xlsx]Sheet1!$D$6:$D$11</c:f>
              <c:numCache>
                <c:formatCode>General</c:formatCode>
                <c:ptCount val="6"/>
                <c:pt idx="0">
                  <c:v>0</c:v>
                </c:pt>
                <c:pt idx="1">
                  <c:v>0</c:v>
                </c:pt>
                <c:pt idx="2">
                  <c:v>0</c:v>
                </c:pt>
                <c:pt idx="3">
                  <c:v>0</c:v>
                </c:pt>
                <c:pt idx="4">
                  <c:v>0</c:v>
                </c:pt>
              </c:numCache>
            </c:numRef>
          </c:val>
        </c:ser>
        <c:ser>
          <c:idx val="1"/>
          <c:order val="1"/>
          <c:spPr>
            <a:solidFill>
              <a:schemeClr val="accent3"/>
            </a:solidFill>
            <a:ln>
              <a:noFill/>
            </a:ln>
            <a:effectLst/>
          </c:spPr>
          <c:invertIfNegative val="0"/>
          <c:dLbls>
            <c:delete val="1"/>
          </c:dLbls>
          <c:val>
            <c:numRef>
              <c:f>[扫码相关情况.xlsx]Sheet1!$E$6:$E$11</c:f>
              <c:numCache>
                <c:formatCode>General</c:formatCode>
                <c:ptCount val="6"/>
                <c:pt idx="0">
                  <c:v>765.08</c:v>
                </c:pt>
                <c:pt idx="1">
                  <c:v>89.73</c:v>
                </c:pt>
                <c:pt idx="2">
                  <c:v>58.52</c:v>
                </c:pt>
                <c:pt idx="3">
                  <c:v>39.79</c:v>
                </c:pt>
                <c:pt idx="4">
                  <c:v>29.04</c:v>
                </c:pt>
              </c:numCache>
            </c:numRef>
          </c:val>
        </c:ser>
        <c:dLbls>
          <c:showLegendKey val="0"/>
          <c:showVal val="0"/>
          <c:showCatName val="0"/>
          <c:showSerName val="0"/>
          <c:showPercent val="0"/>
          <c:showBubbleSize val="0"/>
        </c:dLbls>
        <c:gapWidth val="140"/>
        <c:overlap val="-40"/>
        <c:axId val="795424728"/>
        <c:axId val="152807917"/>
      </c:barChart>
      <c:catAx>
        <c:axId val="795424728"/>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2807917"/>
        <c:crosses val="autoZero"/>
        <c:auto val="1"/>
        <c:lblAlgn val="ctr"/>
        <c:lblOffset val="100"/>
        <c:noMultiLvlLbl val="0"/>
      </c:catAx>
      <c:valAx>
        <c:axId val="152807917"/>
        <c:scaling>
          <c:orientation val="minMax"/>
        </c:scaling>
        <c:delete val="0"/>
        <c:axPos val="b"/>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5424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6eb9c2c8-cf1a-4e93-bbcd-ec5e17fbedd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manualLayout>
          <c:layoutTarget val="inner"/>
          <c:xMode val="edge"/>
          <c:yMode val="edge"/>
          <c:x val="0.132157894736842"/>
          <c:y val="0.231481481481482"/>
          <c:w val="0.836657894736842"/>
          <c:h val="0.63879629629629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[1明细.xlsx]Sheet3!$D$10:$D$11</c:f>
              <c:strCache>
                <c:ptCount val="2"/>
                <c:pt idx="0">
                  <c:v>2023年</c:v>
                </c:pt>
                <c:pt idx="1">
                  <c:v>2022年</c:v>
                </c:pt>
              </c:strCache>
            </c:strRef>
          </c:cat>
          <c:val>
            <c:numRef>
              <c:f>[1明细.xlsx]Sheet3!$E$10:$E$11</c:f>
              <c:numCache>
                <c:formatCode>General</c:formatCode>
                <c:ptCount val="2"/>
                <c:pt idx="0">
                  <c:v>982.15</c:v>
                </c:pt>
                <c:pt idx="1">
                  <c:v>839.84</c:v>
                </c:pt>
              </c:numCache>
            </c:numRef>
          </c:val>
        </c:ser>
        <c:dLbls>
          <c:showLegendKey val="0"/>
          <c:showVal val="1"/>
          <c:showCatName val="0"/>
          <c:showSerName val="0"/>
          <c:showPercent val="0"/>
          <c:showBubbleSize val="0"/>
        </c:dLbls>
        <c:gapWidth val="246"/>
        <c:overlap val="-28"/>
        <c:axId val="507472447"/>
        <c:axId val="377097629"/>
      </c:barChart>
      <c:catAx>
        <c:axId val="50747244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7097629"/>
        <c:crosses val="autoZero"/>
        <c:auto val="1"/>
        <c:lblAlgn val="ctr"/>
        <c:lblOffset val="100"/>
        <c:noMultiLvlLbl val="0"/>
      </c:catAx>
      <c:valAx>
        <c:axId val="37709762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74724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6e0afb42-5c89-4372-8f44-fd644652a76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[1明细.xlsx]Sheet3!$K$6:$K$10</c:f>
              <c:strCache>
                <c:ptCount val="5"/>
                <c:pt idx="0">
                  <c:v>一般公共服务支出</c:v>
                </c:pt>
                <c:pt idx="1">
                  <c:v>文化旅游体育与传媒支出</c:v>
                </c:pt>
                <c:pt idx="2">
                  <c:v>社会保障和就业支出</c:v>
                </c:pt>
                <c:pt idx="3">
                  <c:v>卫生健康支出</c:v>
                </c:pt>
                <c:pt idx="4">
                  <c:v>住房保障支出</c:v>
                </c:pt>
              </c:strCache>
            </c:strRef>
          </c:cat>
          <c:val>
            <c:numRef>
              <c:f>[1明细.xlsx]Sheet3!$L$6:$L$10</c:f>
              <c:numCache>
                <c:formatCode>General</c:formatCode>
                <c:ptCount val="5"/>
                <c:pt idx="0">
                  <c:v>765.09</c:v>
                </c:pt>
                <c:pt idx="1">
                  <c:v>89.73</c:v>
                </c:pt>
                <c:pt idx="2">
                  <c:v>58.52</c:v>
                </c:pt>
                <c:pt idx="3">
                  <c:v>39.79</c:v>
                </c:pt>
                <c:pt idx="4">
                  <c:v>29.03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0457894736842105"/>
          <c:y val="0.18101851851851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787bb89-99af-432b-b0ef-eed2cbd7e0d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'[红原县宣传部决算公开报表（汇总）.xls]GK13财政拨款“三公”经费支出决算表'!$D$13:$E$13</c:f>
              <c:strCache>
                <c:ptCount val="2"/>
                <c:pt idx="0">
                  <c:v>公务用车运行费</c:v>
                </c:pt>
                <c:pt idx="1">
                  <c:v>公务接待费</c:v>
                </c:pt>
              </c:strCache>
            </c:strRef>
          </c:cat>
          <c:val>
            <c:numRef>
              <c:f>'[红原县宣传部决算公开报表（汇总）.xls]GK13财政拨款“三公”经费支出决算表'!$D$14:$E$14</c:f>
              <c:numCache>
                <c:formatCode>General</c:formatCode>
                <c:ptCount val="2"/>
                <c:pt idx="0">
                  <c:v>11.59</c:v>
                </c:pt>
                <c:pt idx="1">
                  <c:v>0.32</c:v>
                </c:pt>
              </c:numCache>
            </c:numRef>
          </c:val>
        </c:ser>
        <c:ser>
          <c:idx val="1"/>
          <c:order val="1"/>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'[红原县宣传部决算公开报表（汇总）.xls]GK13财政拨款“三公”经费支出决算表'!$D$13:$E$13</c:f>
              <c:strCache>
                <c:ptCount val="2"/>
                <c:pt idx="0">
                  <c:v>公务用车运行费</c:v>
                </c:pt>
                <c:pt idx="1">
                  <c:v>公务接待费</c:v>
                </c:pt>
              </c:strCache>
            </c:strRef>
          </c:cat>
          <c:val>
            <c:numRef>
              <c:f>'[红原县宣传部决算公开报表（汇总）.xls]GK13财政拨款“三公”经费支出决算表'!$D$15:$E$15</c:f>
              <c:numCache>
                <c:formatCode>General</c:formatCode>
                <c:ptCount val="2"/>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cbe8d32-a4fe-40eb-bd13-397bcdbeac7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11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8249</Words>
  <Characters>9298</Characters>
  <Lines>72</Lines>
  <Paragraphs>20</Paragraphs>
  <TotalTime>22</TotalTime>
  <ScaleCrop>false</ScaleCrop>
  <LinksUpToDate>false</LinksUpToDate>
  <CharactersWithSpaces>9422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花红易衰</cp:lastModifiedBy>
  <cp:lastPrinted>2024-11-15T08:13:00Z</cp:lastPrinted>
  <dcterms:modified xsi:type="dcterms:W3CDTF">2025-02-06T08:21:07Z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F0F98F7D94DB414784621DDB07764AFE_13</vt:lpwstr>
  </property>
  <property fmtid="{D5CDD505-2E9C-101B-9397-08002B2CF9AE}" pid="4" name="KSOTemplateDocerSaveRecord">
    <vt:lpwstr>eyJoZGlkIjoiOGUxMjc5MjYzMDQzZjQ3YjY1MjJkZmYwMWJhNDdkY2EiLCJ1c2VySWQiOiI0MzMxNDkwMDYifQ==</vt:lpwstr>
  </property>
</Properties>
</file>