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spacing w:line="560" w:lineRule="exact"/>
        <w:ind w:left="0" w:leftChars="0" w:right="0" w:rightChars="0"/>
        <w:jc w:val="center"/>
        <w:textAlignment w:val="auto"/>
        <w:rPr>
          <w:rFonts w:hint="eastAsia" w:ascii="方正小标宋简体" w:hAnsi="方正小标宋简体" w:eastAsia="方正小标宋简体" w:cs="方正小标宋简体"/>
          <w:b w:val="0"/>
          <w:bCs/>
          <w:sz w:val="44"/>
          <w:szCs w:val="44"/>
          <w:lang w:val="en-US" w:eastAsia="zh-CN"/>
        </w:rPr>
      </w:pPr>
      <w:r>
        <w:rPr>
          <w:rFonts w:hint="eastAsia" w:ascii="方正小标宋简体" w:hAnsi="方正小标宋简体" w:eastAsia="方正小标宋简体" w:cs="方正小标宋简体"/>
          <w:b w:val="0"/>
          <w:bCs/>
          <w:sz w:val="44"/>
          <w:szCs w:val="44"/>
          <w:lang w:val="en-US" w:eastAsia="zh-CN"/>
        </w:rPr>
        <w:t>中共红原县委宣传部</w:t>
      </w:r>
    </w:p>
    <w:p>
      <w:pPr>
        <w:keepNext w:val="0"/>
        <w:keepLines w:val="0"/>
        <w:pageBreakBefore w:val="0"/>
        <w:kinsoku/>
        <w:wordWrap/>
        <w:overflowPunct/>
        <w:topLinePunct w:val="0"/>
        <w:autoSpaceDE/>
        <w:autoSpaceDN/>
        <w:bidi w:val="0"/>
        <w:spacing w:line="560" w:lineRule="exact"/>
        <w:ind w:left="0" w:leftChars="0" w:right="0" w:rightChars="0"/>
        <w:jc w:val="center"/>
        <w:textAlignment w:val="auto"/>
        <w:rPr>
          <w:rFonts w:hint="eastAsia" w:ascii="方正小标宋简体" w:hAnsi="方正小标宋简体" w:eastAsia="方正小标宋简体" w:cs="方正小标宋简体"/>
          <w:b w:val="0"/>
          <w:bCs/>
          <w:sz w:val="44"/>
          <w:szCs w:val="44"/>
        </w:rPr>
      </w:pPr>
      <w:r>
        <w:rPr>
          <w:rFonts w:hint="eastAsia" w:ascii="方正小标宋简体" w:hAnsi="方正小标宋简体" w:eastAsia="方正小标宋简体" w:cs="方正小标宋简体"/>
          <w:b w:val="0"/>
          <w:bCs/>
          <w:sz w:val="44"/>
          <w:szCs w:val="44"/>
          <w:lang w:eastAsia="zh-CN"/>
        </w:rPr>
        <w:t>2024年</w:t>
      </w:r>
      <w:r>
        <w:rPr>
          <w:rFonts w:hint="eastAsia" w:ascii="方正小标宋简体" w:hAnsi="方正小标宋简体" w:eastAsia="方正小标宋简体" w:cs="方正小标宋简体"/>
          <w:b w:val="0"/>
          <w:bCs/>
          <w:sz w:val="44"/>
          <w:szCs w:val="44"/>
        </w:rPr>
        <w:t>部门预算编制的说明</w:t>
      </w:r>
    </w:p>
    <w:p>
      <w:pPr>
        <w:pStyle w:val="3"/>
        <w:keepNext w:val="0"/>
        <w:keepLines w:val="0"/>
        <w:pageBreakBefore w:val="0"/>
        <w:kinsoku/>
        <w:wordWrap/>
        <w:overflowPunct/>
        <w:topLinePunct w:val="0"/>
        <w:autoSpaceDE/>
        <w:autoSpaceDN/>
        <w:bidi w:val="0"/>
        <w:adjustRightInd w:val="0"/>
        <w:snapToGrid w:val="0"/>
        <w:spacing w:before="0" w:beforeLines="0" w:line="560" w:lineRule="exact"/>
        <w:ind w:left="0" w:leftChars="0" w:right="0" w:rightChars="0"/>
        <w:textAlignment w:val="auto"/>
        <w:rPr>
          <w:rFonts w:hint="eastAsia" w:ascii="宋体" w:hAnsi="宋体" w:eastAsia="宋体"/>
          <w:b/>
          <w:sz w:val="44"/>
          <w:szCs w:val="44"/>
        </w:rPr>
      </w:pPr>
      <w:r>
        <w:rPr>
          <w:rFonts w:hint="eastAsia" w:ascii="宋体" w:hAnsi="宋体" w:eastAsia="宋体"/>
          <w:b/>
          <w:sz w:val="44"/>
          <w:szCs w:val="44"/>
        </w:rPr>
        <w:t xml:space="preserve">    </w:t>
      </w:r>
    </w:p>
    <w:p>
      <w:pPr>
        <w:pStyle w:val="3"/>
        <w:keepNext w:val="0"/>
        <w:keepLines w:val="0"/>
        <w:pageBreakBefore w:val="0"/>
        <w:kinsoku/>
        <w:wordWrap/>
        <w:overflowPunct/>
        <w:topLinePunct w:val="0"/>
        <w:autoSpaceDE/>
        <w:autoSpaceDN/>
        <w:bidi w:val="0"/>
        <w:adjustRightInd w:val="0"/>
        <w:snapToGrid w:val="0"/>
        <w:spacing w:line="560" w:lineRule="exact"/>
        <w:ind w:left="0" w:leftChars="0" w:right="0" w:rightChars="0" w:firstLine="640" w:firstLineChars="200"/>
        <w:textAlignment w:val="auto"/>
        <w:rPr>
          <w:rFonts w:hint="eastAsia" w:ascii="宋体" w:hAnsi="宋体" w:eastAsia="宋体"/>
          <w:b/>
          <w:sz w:val="44"/>
          <w:szCs w:val="44"/>
        </w:rPr>
      </w:pPr>
      <w:r>
        <w:rPr>
          <w:rFonts w:hint="eastAsia"/>
          <w:sz w:val="32"/>
          <w:szCs w:val="32"/>
        </w:rPr>
        <w:t>按照预算管理有关规定，目前部门预算的编制实行综合预算制度，即全部收入和支出都反映在预算中。</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黑体" w:eastAsia="黑体"/>
          <w:sz w:val="32"/>
          <w:szCs w:val="32"/>
        </w:rPr>
      </w:pPr>
      <w:r>
        <w:rPr>
          <w:rFonts w:hint="eastAsia" w:ascii="黑体" w:eastAsia="黑体"/>
          <w:sz w:val="32"/>
          <w:szCs w:val="32"/>
        </w:rPr>
        <w:t>一、基本职能及主要工作</w:t>
      </w:r>
    </w:p>
    <w:p>
      <w:pPr>
        <w:pStyle w:val="3"/>
        <w:keepNext w:val="0"/>
        <w:keepLines w:val="0"/>
        <w:pageBreakBefore w:val="0"/>
        <w:kinsoku/>
        <w:wordWrap/>
        <w:overflowPunct/>
        <w:topLinePunct w:val="0"/>
        <w:autoSpaceDE/>
        <w:autoSpaceDN/>
        <w:bidi w:val="0"/>
        <w:adjustRightInd w:val="0"/>
        <w:snapToGrid w:val="0"/>
        <w:spacing w:line="560" w:lineRule="exact"/>
        <w:ind w:left="0" w:leftChars="0" w:right="0" w:rightChars="0" w:firstLine="675" w:firstLineChars="210"/>
        <w:textAlignment w:val="auto"/>
        <w:rPr>
          <w:rFonts w:hint="eastAsia" w:ascii="楷体_GB2312" w:hAnsi="楷体_GB2312" w:eastAsia="楷体_GB2312" w:cs="楷体_GB2312"/>
          <w:b/>
          <w:bCs w:val="0"/>
          <w:sz w:val="32"/>
          <w:szCs w:val="32"/>
          <w:lang w:eastAsia="zh-CN"/>
        </w:rPr>
      </w:pPr>
      <w:r>
        <w:rPr>
          <w:rFonts w:hint="eastAsia" w:ascii="楷体_GB2312" w:hAnsi="楷体_GB2312" w:eastAsia="楷体_GB2312" w:cs="楷体_GB2312"/>
          <w:b/>
          <w:bCs w:val="0"/>
          <w:sz w:val="32"/>
          <w:szCs w:val="32"/>
          <w:lang w:eastAsia="zh-CN"/>
        </w:rPr>
        <w:t>（一）基本职能</w:t>
      </w:r>
    </w:p>
    <w:p>
      <w:pPr>
        <w:pStyle w:val="3"/>
        <w:adjustRightInd w:val="0"/>
        <w:snapToGrid w:val="0"/>
        <w:spacing w:before="93" w:line="560" w:lineRule="exact"/>
        <w:ind w:firstLine="640" w:firstLineChars="200"/>
        <w:rPr>
          <w:rFonts w:hint="eastAsia" w:hAnsi="仿宋_GB2312" w:cs="仿宋_GB2312"/>
          <w:bCs/>
          <w:sz w:val="32"/>
          <w:szCs w:val="32"/>
          <w:lang w:val="en-US" w:eastAsia="zh-CN"/>
        </w:rPr>
      </w:pPr>
      <w:r>
        <w:rPr>
          <w:rFonts w:hint="eastAsia" w:hAnsi="仿宋_GB2312" w:cs="仿宋_GB2312"/>
          <w:bCs/>
          <w:sz w:val="32"/>
          <w:szCs w:val="32"/>
          <w:lang w:val="en-US" w:eastAsia="zh-CN"/>
        </w:rPr>
        <w:t>县委宣传部是县委主管意识形态方面工作的综合职能部门。主要职责是：</w:t>
      </w:r>
    </w:p>
    <w:p>
      <w:pPr>
        <w:pStyle w:val="3"/>
        <w:adjustRightInd w:val="0"/>
        <w:snapToGrid w:val="0"/>
        <w:spacing w:before="93" w:line="560" w:lineRule="exact"/>
        <w:ind w:firstLine="640" w:firstLineChars="200"/>
        <w:rPr>
          <w:rFonts w:hint="eastAsia" w:hAnsi="仿宋_GB2312" w:cs="仿宋_GB2312"/>
          <w:bCs/>
          <w:sz w:val="32"/>
          <w:szCs w:val="32"/>
          <w:lang w:val="en-US" w:eastAsia="zh-CN"/>
        </w:rPr>
      </w:pPr>
      <w:r>
        <w:rPr>
          <w:rFonts w:hint="eastAsia" w:hAnsi="仿宋_GB2312" w:cs="仿宋_GB2312"/>
          <w:bCs/>
          <w:sz w:val="32"/>
          <w:szCs w:val="32"/>
          <w:lang w:val="en-US" w:eastAsia="zh-CN"/>
        </w:rPr>
        <w:t>（一）负责组织、指导全县的理论研究、理论学习和理论宣传工作。</w:t>
      </w:r>
    </w:p>
    <w:p>
      <w:pPr>
        <w:pStyle w:val="3"/>
        <w:adjustRightInd w:val="0"/>
        <w:snapToGrid w:val="0"/>
        <w:spacing w:before="93" w:line="560" w:lineRule="exact"/>
        <w:ind w:firstLine="640" w:firstLineChars="200"/>
        <w:rPr>
          <w:rFonts w:hint="eastAsia" w:hAnsi="仿宋_GB2312" w:cs="仿宋_GB2312"/>
          <w:bCs/>
          <w:sz w:val="32"/>
          <w:szCs w:val="32"/>
          <w:lang w:val="en-US" w:eastAsia="zh-CN"/>
        </w:rPr>
      </w:pPr>
      <w:r>
        <w:rPr>
          <w:rFonts w:hint="eastAsia" w:hAnsi="仿宋_GB2312" w:cs="仿宋_GB2312"/>
          <w:bCs/>
          <w:sz w:val="32"/>
          <w:szCs w:val="32"/>
          <w:lang w:val="en-US" w:eastAsia="zh-CN"/>
        </w:rPr>
        <w:t>（二）负责引导社会舆论，指导协调新闻、出版部门的工作。对县广播电视局、县文化体育局、县新闻出版工作实施方案方针政策指导，管理县记者协会，并在政治方向和方针政策方面实施领导。</w:t>
      </w:r>
    </w:p>
    <w:p>
      <w:pPr>
        <w:pStyle w:val="3"/>
        <w:adjustRightInd w:val="0"/>
        <w:snapToGrid w:val="0"/>
        <w:spacing w:before="93" w:line="560" w:lineRule="exact"/>
        <w:ind w:firstLine="640" w:firstLineChars="200"/>
        <w:rPr>
          <w:rFonts w:hint="eastAsia" w:hAnsi="仿宋_GB2312" w:cs="仿宋_GB2312"/>
          <w:bCs/>
          <w:sz w:val="32"/>
          <w:szCs w:val="32"/>
          <w:lang w:val="en-US" w:eastAsia="zh-CN"/>
        </w:rPr>
      </w:pPr>
      <w:r>
        <w:rPr>
          <w:rFonts w:hint="eastAsia" w:hAnsi="仿宋_GB2312" w:cs="仿宋_GB2312"/>
          <w:bCs/>
          <w:sz w:val="32"/>
          <w:szCs w:val="32"/>
          <w:lang w:val="en-US" w:eastAsia="zh-CN"/>
        </w:rPr>
        <w:t>（四）负责规划、部署全局性的思想政治工作任务，会同有关部门研究和改进群众思想教育工作。</w:t>
      </w:r>
    </w:p>
    <w:p>
      <w:pPr>
        <w:pStyle w:val="3"/>
        <w:adjustRightInd w:val="0"/>
        <w:snapToGrid w:val="0"/>
        <w:spacing w:before="93" w:line="560" w:lineRule="exact"/>
        <w:ind w:firstLine="640" w:firstLineChars="200"/>
        <w:rPr>
          <w:rFonts w:hint="eastAsia" w:hAnsi="仿宋_GB2312" w:cs="仿宋_GB2312"/>
          <w:bCs/>
          <w:sz w:val="32"/>
          <w:szCs w:val="32"/>
          <w:lang w:val="en-US" w:eastAsia="zh-CN"/>
        </w:rPr>
      </w:pPr>
      <w:r>
        <w:rPr>
          <w:rFonts w:hint="eastAsia" w:hAnsi="仿宋_GB2312" w:cs="仿宋_GB2312"/>
          <w:bCs/>
          <w:sz w:val="32"/>
          <w:szCs w:val="32"/>
          <w:lang w:val="en-US" w:eastAsia="zh-CN"/>
        </w:rPr>
        <w:t>（五）负责指导、协调全县精神文明建设活动的开展。</w:t>
      </w:r>
    </w:p>
    <w:p>
      <w:pPr>
        <w:pStyle w:val="3"/>
        <w:adjustRightInd w:val="0"/>
        <w:snapToGrid w:val="0"/>
        <w:spacing w:before="93" w:line="560" w:lineRule="exact"/>
        <w:ind w:firstLine="640" w:firstLineChars="200"/>
        <w:rPr>
          <w:rFonts w:hint="eastAsia" w:hAnsi="仿宋_GB2312" w:cs="仿宋_GB2312"/>
          <w:bCs/>
          <w:sz w:val="32"/>
          <w:szCs w:val="32"/>
          <w:lang w:val="en-US" w:eastAsia="zh-CN"/>
        </w:rPr>
      </w:pPr>
      <w:r>
        <w:rPr>
          <w:rFonts w:hint="eastAsia" w:hAnsi="仿宋_GB2312" w:cs="仿宋_GB2312"/>
          <w:bCs/>
          <w:sz w:val="32"/>
          <w:szCs w:val="32"/>
          <w:lang w:val="en-US" w:eastAsia="zh-CN"/>
        </w:rPr>
        <w:t>（六）配合县委组织部做好党员教育工作；负责编审党员教育教材；指导全县党员学习。</w:t>
      </w:r>
    </w:p>
    <w:p>
      <w:pPr>
        <w:pStyle w:val="3"/>
        <w:adjustRightInd w:val="0"/>
        <w:snapToGrid w:val="0"/>
        <w:spacing w:before="93" w:line="560" w:lineRule="exact"/>
        <w:ind w:firstLine="640" w:firstLineChars="200"/>
        <w:rPr>
          <w:rFonts w:hint="eastAsia" w:hAnsi="仿宋_GB2312" w:cs="仿宋_GB2312"/>
          <w:bCs/>
          <w:sz w:val="32"/>
          <w:szCs w:val="32"/>
          <w:lang w:val="en-US" w:eastAsia="zh-CN"/>
        </w:rPr>
      </w:pPr>
      <w:r>
        <w:rPr>
          <w:rFonts w:hint="eastAsia" w:hAnsi="仿宋_GB2312" w:cs="仿宋_GB2312"/>
          <w:bCs/>
          <w:sz w:val="32"/>
          <w:szCs w:val="32"/>
          <w:lang w:val="en-US" w:eastAsia="zh-CN"/>
        </w:rPr>
        <w:t>（七）负责从宏观上指导全县各级各类学校的德育、政治理论教学和思想政治工作。</w:t>
      </w:r>
    </w:p>
    <w:p>
      <w:pPr>
        <w:pStyle w:val="3"/>
        <w:adjustRightInd w:val="0"/>
        <w:snapToGrid w:val="0"/>
        <w:spacing w:before="93" w:line="560" w:lineRule="exact"/>
        <w:ind w:firstLine="640" w:firstLineChars="200"/>
        <w:rPr>
          <w:rFonts w:hint="eastAsia" w:hAnsi="仿宋_GB2312" w:cs="仿宋_GB2312"/>
          <w:bCs/>
          <w:sz w:val="32"/>
          <w:szCs w:val="32"/>
          <w:lang w:val="en-US" w:eastAsia="zh-CN"/>
        </w:rPr>
      </w:pPr>
      <w:r>
        <w:rPr>
          <w:rFonts w:hint="eastAsia" w:hAnsi="仿宋_GB2312" w:cs="仿宋_GB2312"/>
          <w:bCs/>
          <w:sz w:val="32"/>
          <w:szCs w:val="32"/>
          <w:lang w:val="en-US" w:eastAsia="zh-CN"/>
        </w:rPr>
        <w:t>（八）负责全县对外和港澳台的宣传工作；指导协调全县对外文化交流工作。</w:t>
      </w:r>
    </w:p>
    <w:p>
      <w:pPr>
        <w:pStyle w:val="3"/>
        <w:adjustRightInd w:val="0"/>
        <w:snapToGrid w:val="0"/>
        <w:spacing w:before="93" w:line="560" w:lineRule="exact"/>
        <w:ind w:firstLine="640" w:firstLineChars="200"/>
        <w:rPr>
          <w:rFonts w:hint="eastAsia" w:hAnsi="仿宋_GB2312" w:cs="仿宋_GB2312"/>
          <w:bCs/>
          <w:sz w:val="32"/>
          <w:szCs w:val="32"/>
          <w:lang w:val="en-US" w:eastAsia="zh-CN"/>
        </w:rPr>
      </w:pPr>
      <w:r>
        <w:rPr>
          <w:rFonts w:hint="eastAsia" w:hAnsi="仿宋_GB2312" w:cs="仿宋_GB2312"/>
          <w:bCs/>
          <w:sz w:val="32"/>
          <w:szCs w:val="32"/>
          <w:lang w:val="en-US" w:eastAsia="zh-CN"/>
        </w:rPr>
        <w:t>（九）受县委委托，会同县委组织管理县级新闻、文化、出版等部门的领导干部，指导这些部门领导班子的建设；对宣传文化广电系统科股室干部的任免提出意见；制定培训计划并组织对全县知识分子工作和理论、新闻、出版、文艺等方面优秀人才的选拔、培养工作。</w:t>
      </w:r>
    </w:p>
    <w:p>
      <w:pPr>
        <w:pStyle w:val="3"/>
        <w:adjustRightInd w:val="0"/>
        <w:snapToGrid w:val="0"/>
        <w:spacing w:before="93" w:line="560" w:lineRule="exact"/>
        <w:ind w:firstLine="640" w:firstLineChars="200"/>
        <w:rPr>
          <w:rFonts w:hint="eastAsia" w:hAnsi="仿宋_GB2312" w:cs="仿宋_GB2312"/>
          <w:bCs/>
          <w:sz w:val="32"/>
          <w:szCs w:val="32"/>
          <w:lang w:val="en-US" w:eastAsia="zh-CN"/>
        </w:rPr>
      </w:pPr>
      <w:r>
        <w:rPr>
          <w:rFonts w:hint="eastAsia" w:hAnsi="仿宋_GB2312" w:cs="仿宋_GB2312"/>
          <w:bCs/>
          <w:sz w:val="32"/>
          <w:szCs w:val="32"/>
          <w:lang w:val="en-US" w:eastAsia="zh-CN"/>
        </w:rPr>
        <w:t>（十）负责提出全县宣传文化事业发展的指导方针；指导宣传文化系统制定政策、法规；按照县委的工作部署，对宣传文化系统各部门之间的工作进行协调。</w:t>
      </w:r>
    </w:p>
    <w:p>
      <w:pPr>
        <w:pStyle w:val="3"/>
        <w:adjustRightInd w:val="0"/>
        <w:snapToGrid w:val="0"/>
        <w:spacing w:before="93" w:line="560" w:lineRule="exact"/>
        <w:ind w:firstLine="640" w:firstLineChars="200"/>
        <w:rPr>
          <w:rFonts w:hint="eastAsia" w:hAnsi="仿宋_GB2312" w:cs="仿宋_GB2312"/>
          <w:bCs/>
          <w:sz w:val="32"/>
          <w:szCs w:val="32"/>
          <w:lang w:val="en-US" w:eastAsia="zh-CN"/>
        </w:rPr>
      </w:pPr>
      <w:r>
        <w:rPr>
          <w:rFonts w:hint="eastAsia" w:hAnsi="仿宋_GB2312" w:cs="仿宋_GB2312"/>
          <w:bCs/>
          <w:sz w:val="32"/>
          <w:szCs w:val="32"/>
          <w:lang w:val="en-US" w:eastAsia="zh-CN"/>
        </w:rPr>
        <w:t>（十一）根据州，县宣传报道要点，组织采写稿件，并向《阿坝日报》、《四川日报》等各级办刊推荐。</w:t>
      </w:r>
    </w:p>
    <w:p>
      <w:pPr>
        <w:pStyle w:val="3"/>
        <w:keepNext w:val="0"/>
        <w:keepLines w:val="0"/>
        <w:pageBreakBefore w:val="0"/>
        <w:kinsoku/>
        <w:wordWrap/>
        <w:overflowPunct/>
        <w:topLinePunct w:val="0"/>
        <w:autoSpaceDE/>
        <w:autoSpaceDN/>
        <w:bidi w:val="0"/>
        <w:adjustRightInd w:val="0"/>
        <w:snapToGrid w:val="0"/>
        <w:spacing w:line="560" w:lineRule="exact"/>
        <w:ind w:left="0" w:leftChars="0" w:right="0" w:rightChars="0" w:firstLine="675" w:firstLineChars="210"/>
        <w:textAlignment w:val="auto"/>
        <w:rPr>
          <w:rFonts w:hint="eastAsia" w:ascii="楷体_GB2312" w:hAnsi="楷体_GB2312" w:eastAsia="楷体_GB2312" w:cs="楷体_GB2312"/>
          <w:b/>
          <w:bCs w:val="0"/>
          <w:sz w:val="32"/>
          <w:szCs w:val="32"/>
          <w:lang w:eastAsia="zh-CN"/>
        </w:rPr>
      </w:pPr>
      <w:r>
        <w:rPr>
          <w:rFonts w:hint="eastAsia" w:ascii="楷体_GB2312" w:hAnsi="楷体_GB2312" w:eastAsia="楷体_GB2312" w:cs="楷体_GB2312"/>
          <w:b/>
          <w:bCs w:val="0"/>
          <w:sz w:val="32"/>
          <w:szCs w:val="32"/>
          <w:lang w:eastAsia="zh-CN"/>
        </w:rPr>
        <w:t>（二）2024年重点工作任务</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kern w:val="2"/>
          <w:sz w:val="32"/>
          <w:szCs w:val="32"/>
          <w:lang w:val="en-US" w:eastAsia="zh-CN" w:bidi="ar-SA"/>
        </w:rPr>
      </w:pPr>
      <w:r>
        <w:rPr>
          <w:rFonts w:hint="eastAsia" w:ascii="仿宋_GB2312" w:hAnsi="仿宋_GB2312" w:eastAsia="仿宋_GB2312" w:cs="仿宋_GB2312"/>
          <w:sz w:val="32"/>
          <w:szCs w:val="32"/>
          <w:lang w:val="en-US" w:eastAsia="zh-CN"/>
        </w:rPr>
        <w:t>坚持以习近平新时代中国特色社会主义思想</w:t>
      </w:r>
      <w:bookmarkStart w:id="0" w:name="_GoBack"/>
      <w:bookmarkEnd w:id="0"/>
      <w:r>
        <w:rPr>
          <w:rFonts w:hint="eastAsia" w:ascii="仿宋_GB2312" w:hAnsi="仿宋_GB2312" w:eastAsia="仿宋_GB2312" w:cs="仿宋_GB2312"/>
          <w:sz w:val="32"/>
          <w:szCs w:val="32"/>
          <w:lang w:val="en-US" w:eastAsia="zh-CN"/>
        </w:rPr>
        <w:t>为指引，坚持以习近平文化思想为工作指南，聚焦壮大主流价值、主流舆论、主流文化三大目标，深入推进“六项工程”。一是“理论聚智工程”。坚持不懈用习近平新时代中国特色社会主义思想凝心铸魂，优化拓展党委（党组）理论学习中心组“联学+列席旁听”工作。加强宣讲队伍建设，全覆盖组织宣讲骨干培训1次，依托“1+10+9+5+N”“红色草原”理论宣讲团体系，组织开展系列理论宣讲不少于230场次。做好《习近平谈治国理政》第五卷等权威读物的学习和发行工作。继续支持和推动《红原-红军长征走过的大草原》及乡镇村志、乡村文化等丛书编撰出版工作。二是“思想聚魂工程”。推动县委专题研究意识形态工作2次，全覆盖开展意识形态工作专项督查2轮。深入开展“感党恩、听党话、跟党走”“强国复兴”“民族团结进步”等群众宣传教育活动，“清朗”“净网”“剑网”等专项行动，着力推进“珠峰工程·贡嘎山专项行动”。三是“宣传聚力工程”。坚持把习近平总书记思想和形象宣传作为新闻舆论工作“一号工程”，策划开展、配合实施“聚心聚力谋发展”、“首届网红大会”、“我和我的祖国”、新中国成立75周年等系列网络主题宣传活动。对标上级宣传部门和主流媒体的宣传策划、新闻选题、报道要求，掌握近期宣传热点，找准宣传结合点，挖掘我县特色亮点工作，跟进做好媒体对接采访和稿件推送工作。四是“文明聚心工程”。积极申报创建社会主义核心价值观示范点，持续开展“孝善和俭”道德传扬活动和“敬信勤新”红原新民风培树活动。组织申报一批州级、省级、国家级爱国主义基地，以及四川省第二批学雷锋活动示范点和岗位学雷锋标兵。开展“我推荐我评议身边好人”活动，打造“文润高原”“情暖万家”等文明实践项目。扎实推动乡村文化振兴“百千万”工程样板村镇创建和省级文明城市创建。推动开展“文明用餐、旅游、出行、环保、上网”等五大文明风尚行动。五是“文化聚能工程”。推动开展第四次全国文物普查前期工作，推荐申报第三批省级非遗保护传承基地。组织开展中华优秀传统文化进校园，推动开展中华经典诵读、青少年书画传习大会、书法大赛等活动。积极组织文旅企业和文旅产品参加文化产业展会、项目推介会，以文旅+体育方式，持续推动举办赛马、篮球赛、牦牛文化节、雅克音乐季等系列文化旅游体育主题活动。加强红色遗址遗迹、革命文物和纪念设施保护利用，加快《长征国家文化公园红原段建设工作方案》《规划》制定。推动红色文化节点项目和红军村建设完成，加快红色文化遗迹遗址标识标牌实施。组织开展纪念长征出发90周年、红军爬雪山过草地89周年庆祝活动。六是“党建聚气工程”。全面落实从严治党，加强宣传思想文化战线党的领导和党的建设，制发印发《宣传思想文化工作要点》《红原县进一步加强新闻信息报送机制》等文件，协同组织部门进一步选优配强宣传文化单位领导班子，做好优秀人才的引、育、留、用。积极对接省州宣传思想文化战线年轻干部“培优工程”。组织宣传思想文化战线开展“讲规矩、提素养、树形象”专项行动，通过举办宣传思想文化战线人员政治培训、业务培训以及以会代训等方式，不断增强宣传思想文化工作队伍的脚力、眼力、脑力、笔力。</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黑体" w:eastAsia="黑体"/>
          <w:sz w:val="32"/>
          <w:szCs w:val="32"/>
        </w:rPr>
      </w:pPr>
      <w:r>
        <w:rPr>
          <w:rFonts w:hint="eastAsia" w:ascii="黑体" w:eastAsia="黑体"/>
          <w:sz w:val="32"/>
          <w:szCs w:val="32"/>
        </w:rPr>
        <w:t>二、部门</w:t>
      </w:r>
      <w:r>
        <w:rPr>
          <w:rFonts w:hint="eastAsia" w:ascii="黑体" w:eastAsia="黑体"/>
          <w:sz w:val="32"/>
          <w:szCs w:val="32"/>
          <w:lang w:eastAsia="zh-CN"/>
        </w:rPr>
        <w:t>预算单位构成</w:t>
      </w:r>
    </w:p>
    <w:p>
      <w:pPr>
        <w:pStyle w:val="3"/>
        <w:keepNext w:val="0"/>
        <w:keepLines w:val="0"/>
        <w:pageBreakBefore w:val="0"/>
        <w:kinsoku/>
        <w:wordWrap/>
        <w:overflowPunct/>
        <w:topLinePunct w:val="0"/>
        <w:autoSpaceDE/>
        <w:autoSpaceDN/>
        <w:bidi w:val="0"/>
        <w:adjustRightInd w:val="0"/>
        <w:snapToGrid w:val="0"/>
        <w:spacing w:line="560" w:lineRule="exact"/>
        <w:ind w:left="0" w:leftChars="0" w:right="0" w:rightChars="0" w:firstLine="672" w:firstLineChars="210"/>
        <w:textAlignment w:val="auto"/>
        <w:rPr>
          <w:rFonts w:hint="eastAsia"/>
          <w:sz w:val="32"/>
          <w:szCs w:val="32"/>
        </w:rPr>
      </w:pPr>
      <w:r>
        <w:rPr>
          <w:rFonts w:hint="eastAsia"/>
          <w:sz w:val="32"/>
          <w:szCs w:val="32"/>
          <w:lang w:val="en-US" w:eastAsia="zh-CN"/>
        </w:rPr>
        <w:t>中共红原县委宣传部</w:t>
      </w:r>
      <w:r>
        <w:rPr>
          <w:rFonts w:hint="eastAsia"/>
          <w:sz w:val="32"/>
          <w:szCs w:val="32"/>
          <w:lang w:eastAsia="zh-CN"/>
        </w:rPr>
        <w:t>下设</w:t>
      </w:r>
      <w:r>
        <w:rPr>
          <w:rFonts w:hint="eastAsia" w:ascii="仿宋_GB2312" w:hAnsi="仿宋_GB2312" w:eastAsia="仿宋_GB2312" w:cs="仿宋_GB2312"/>
          <w:i w:val="0"/>
          <w:iCs w:val="0"/>
          <w:caps w:val="0"/>
          <w:color w:val="333333"/>
          <w:spacing w:val="0"/>
          <w:sz w:val="32"/>
          <w:szCs w:val="32"/>
          <w:shd w:val="clear" w:fill="FFFFFF"/>
        </w:rPr>
        <w:t>股室2个，其他事业单位2个。分别是：红原县文学艺术界联合会、红原县互联网信息管理中心。</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黑体" w:eastAsia="黑体"/>
          <w:sz w:val="32"/>
          <w:szCs w:val="32"/>
        </w:rPr>
      </w:pPr>
      <w:r>
        <w:rPr>
          <w:rFonts w:hint="eastAsia" w:ascii="黑体" w:eastAsia="黑体"/>
          <w:sz w:val="32"/>
          <w:szCs w:val="32"/>
        </w:rPr>
        <w:t>三、收支预算总体情况</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lang w:eastAsia="zh-CN"/>
        </w:rPr>
        <w:t>2024年</w:t>
      </w:r>
      <w:r>
        <w:rPr>
          <w:rFonts w:hint="eastAsia" w:ascii="仿宋_GB2312" w:eastAsia="仿宋_GB2312"/>
          <w:sz w:val="32"/>
          <w:szCs w:val="32"/>
          <w:lang w:val="en-US" w:eastAsia="zh-CN"/>
        </w:rPr>
        <w:t>中共红原县委宣传部</w:t>
      </w:r>
      <w:r>
        <w:rPr>
          <w:rFonts w:hint="eastAsia" w:ascii="仿宋_GB2312" w:eastAsia="仿宋_GB2312"/>
          <w:sz w:val="32"/>
          <w:szCs w:val="32"/>
        </w:rPr>
        <w:t>收入预算总额为</w:t>
      </w:r>
      <w:r>
        <w:rPr>
          <w:rFonts w:hint="eastAsia" w:ascii="仿宋_GB2312" w:eastAsia="仿宋_GB2312"/>
          <w:sz w:val="32"/>
          <w:szCs w:val="32"/>
          <w:lang w:val="en-US" w:eastAsia="zh-CN"/>
        </w:rPr>
        <w:t>514.03</w:t>
      </w:r>
      <w:r>
        <w:rPr>
          <w:rFonts w:hint="eastAsia" w:ascii="仿宋_GB2312" w:eastAsia="仿宋_GB2312"/>
          <w:sz w:val="32"/>
          <w:szCs w:val="32"/>
        </w:rPr>
        <w:t>万元，其中：当年财政拨款收入</w:t>
      </w:r>
      <w:r>
        <w:rPr>
          <w:rFonts w:hint="eastAsia" w:ascii="仿宋_GB2312" w:eastAsia="仿宋_GB2312"/>
          <w:sz w:val="32"/>
          <w:szCs w:val="32"/>
          <w:lang w:val="en-US" w:eastAsia="zh-CN"/>
        </w:rPr>
        <w:t>514.03</w:t>
      </w:r>
      <w:r>
        <w:rPr>
          <w:rFonts w:hint="eastAsia" w:ascii="仿宋_GB2312" w:eastAsia="仿宋_GB2312"/>
          <w:sz w:val="32"/>
          <w:szCs w:val="32"/>
        </w:rPr>
        <w:t>万元。相应安排支出预算</w:t>
      </w:r>
      <w:r>
        <w:rPr>
          <w:rFonts w:hint="eastAsia" w:ascii="仿宋_GB2312" w:eastAsia="仿宋_GB2312"/>
          <w:sz w:val="32"/>
          <w:szCs w:val="32"/>
          <w:lang w:val="en-US" w:eastAsia="zh-CN"/>
        </w:rPr>
        <w:t>514.03</w:t>
      </w:r>
      <w:r>
        <w:rPr>
          <w:rFonts w:hint="eastAsia" w:ascii="仿宋_GB2312" w:eastAsia="仿宋_GB2312"/>
          <w:sz w:val="32"/>
          <w:szCs w:val="32"/>
        </w:rPr>
        <w:t>万元，其中：一般公共服务</w:t>
      </w:r>
      <w:r>
        <w:rPr>
          <w:rFonts w:hint="eastAsia" w:ascii="仿宋_GB2312" w:eastAsia="仿宋_GB2312"/>
          <w:sz w:val="32"/>
          <w:szCs w:val="32"/>
          <w:lang w:val="en-US" w:eastAsia="zh-CN"/>
        </w:rPr>
        <w:t>405.14万</w:t>
      </w:r>
      <w:r>
        <w:rPr>
          <w:rFonts w:hint="eastAsia" w:ascii="仿宋_GB2312" w:eastAsia="仿宋_GB2312"/>
          <w:sz w:val="32"/>
          <w:szCs w:val="32"/>
        </w:rPr>
        <w:t>元，社会保障和就业</w:t>
      </w:r>
      <w:r>
        <w:rPr>
          <w:rFonts w:hint="eastAsia" w:ascii="仿宋_GB2312" w:eastAsia="仿宋_GB2312"/>
          <w:sz w:val="32"/>
          <w:szCs w:val="32"/>
          <w:lang w:val="en-US" w:eastAsia="zh-CN"/>
        </w:rPr>
        <w:t>57.28</w:t>
      </w:r>
      <w:r>
        <w:rPr>
          <w:rFonts w:hint="eastAsia" w:ascii="仿宋_GB2312" w:eastAsia="仿宋_GB2312"/>
          <w:sz w:val="32"/>
          <w:szCs w:val="32"/>
        </w:rPr>
        <w:t>万元，医疗卫生</w:t>
      </w:r>
      <w:r>
        <w:rPr>
          <w:rFonts w:hint="eastAsia" w:ascii="仿宋_GB2312" w:eastAsia="仿宋_GB2312"/>
          <w:sz w:val="32"/>
          <w:szCs w:val="32"/>
          <w:lang w:val="en-US" w:eastAsia="zh-CN"/>
        </w:rPr>
        <w:t>19.99</w:t>
      </w:r>
      <w:r>
        <w:rPr>
          <w:rFonts w:hint="eastAsia" w:ascii="仿宋_GB2312" w:eastAsia="仿宋_GB2312"/>
          <w:sz w:val="32"/>
          <w:szCs w:val="32"/>
        </w:rPr>
        <w:t>万元，住房保障支出</w:t>
      </w:r>
      <w:r>
        <w:rPr>
          <w:rFonts w:hint="eastAsia" w:ascii="仿宋_GB2312" w:eastAsia="仿宋_GB2312"/>
          <w:sz w:val="32"/>
          <w:szCs w:val="32"/>
          <w:lang w:val="en-US" w:eastAsia="zh-CN"/>
        </w:rPr>
        <w:t>31.63</w:t>
      </w:r>
      <w:r>
        <w:rPr>
          <w:rFonts w:hint="eastAsia" w:ascii="仿宋_GB2312" w:eastAsia="仿宋_GB2312"/>
          <w:sz w:val="32"/>
          <w:szCs w:val="32"/>
        </w:rPr>
        <w:t>万元。</w:t>
      </w:r>
    </w:p>
    <w:p>
      <w:pPr>
        <w:keepNext w:val="0"/>
        <w:keepLines w:val="0"/>
        <w:pageBreakBefore w:val="0"/>
        <w:numPr>
          <w:ilvl w:val="0"/>
          <w:numId w:val="1"/>
        </w:numPr>
        <w:kinsoku/>
        <w:wordWrap/>
        <w:overflowPunct/>
        <w:topLinePunct w:val="0"/>
        <w:autoSpaceDE/>
        <w:autoSpaceDN/>
        <w:bidi w:val="0"/>
        <w:spacing w:line="560" w:lineRule="exact"/>
        <w:ind w:left="0" w:leftChars="0" w:right="0" w:rightChars="0" w:firstLine="640" w:firstLineChars="200"/>
        <w:textAlignment w:val="auto"/>
        <w:rPr>
          <w:rFonts w:hint="eastAsia" w:ascii="黑体" w:eastAsia="黑体"/>
          <w:sz w:val="32"/>
          <w:szCs w:val="32"/>
        </w:rPr>
      </w:pPr>
      <w:r>
        <w:rPr>
          <w:rFonts w:hint="eastAsia" w:ascii="黑体" w:eastAsia="黑体"/>
          <w:sz w:val="32"/>
          <w:szCs w:val="32"/>
        </w:rPr>
        <w:t>支出预算安排情况</w:t>
      </w:r>
    </w:p>
    <w:p>
      <w:pPr>
        <w:keepNext w:val="0"/>
        <w:keepLines w:val="0"/>
        <w:pageBreakBefore w:val="0"/>
        <w:numPr>
          <w:ilvl w:val="0"/>
          <w:numId w:val="0"/>
        </w:numPr>
        <w:kinsoku/>
        <w:wordWrap/>
        <w:overflowPunct/>
        <w:topLinePunct w:val="0"/>
        <w:autoSpaceDE/>
        <w:autoSpaceDN/>
        <w:bidi w:val="0"/>
        <w:spacing w:line="560" w:lineRule="exact"/>
        <w:ind w:left="0" w:leftChars="0" w:right="0" w:rightChars="0"/>
        <w:textAlignment w:val="auto"/>
        <w:rPr>
          <w:rFonts w:hint="eastAsia" w:ascii="仿宋_GB2312" w:eastAsia="仿宋_GB2312"/>
          <w:sz w:val="32"/>
          <w:szCs w:val="32"/>
        </w:rPr>
      </w:pPr>
      <w:r>
        <w:rPr>
          <w:rFonts w:hint="eastAsia" w:ascii="仿宋_GB2312" w:eastAsia="仿宋_GB2312"/>
          <w:sz w:val="32"/>
          <w:szCs w:val="32"/>
          <w:lang w:val="en-US" w:eastAsia="zh-CN"/>
        </w:rPr>
        <w:t xml:space="preserve">    中共红原县委宣传部</w:t>
      </w:r>
      <w:r>
        <w:rPr>
          <w:rFonts w:hint="eastAsia" w:ascii="仿宋_GB2312" w:eastAsia="仿宋_GB2312"/>
          <w:sz w:val="32"/>
          <w:szCs w:val="32"/>
        </w:rPr>
        <w:t>预算安排支出主要用于保障该部门机构正常运转、完成日常工作任务以及承担</w:t>
      </w:r>
      <w:r>
        <w:rPr>
          <w:rFonts w:hint="eastAsia" w:ascii="仿宋_GB2312" w:eastAsia="仿宋_GB2312"/>
          <w:sz w:val="32"/>
          <w:szCs w:val="32"/>
          <w:lang w:val="en-US" w:eastAsia="zh-CN"/>
        </w:rPr>
        <w:t>宣传文化</w:t>
      </w:r>
      <w:r>
        <w:rPr>
          <w:rFonts w:hint="eastAsia" w:ascii="仿宋_GB2312" w:eastAsia="仿宋_GB2312"/>
          <w:sz w:val="32"/>
          <w:szCs w:val="32"/>
        </w:rPr>
        <w:t xml:space="preserve">事业发展相关工作。  </w:t>
      </w:r>
    </w:p>
    <w:p>
      <w:pPr>
        <w:keepNext w:val="0"/>
        <w:keepLines w:val="0"/>
        <w:pageBreakBefore w:val="0"/>
        <w:kinsoku/>
        <w:wordWrap/>
        <w:overflowPunct/>
        <w:topLinePunct w:val="0"/>
        <w:autoSpaceDE/>
        <w:autoSpaceDN/>
        <w:bidi w:val="0"/>
        <w:spacing w:line="560" w:lineRule="exact"/>
        <w:ind w:left="0" w:leftChars="0" w:right="0" w:rightChars="0" w:firstLine="640" w:firstLineChars="200"/>
        <w:jc w:val="left"/>
        <w:textAlignment w:val="auto"/>
        <w:outlineLvl w:val="9"/>
        <w:rPr>
          <w:rFonts w:hint="eastAsia" w:ascii="仿宋_GB2312" w:eastAsia="仿宋_GB2312"/>
          <w:sz w:val="32"/>
          <w:szCs w:val="32"/>
        </w:rPr>
      </w:pPr>
      <w:r>
        <w:rPr>
          <w:rFonts w:hint="eastAsia" w:ascii="仿宋_GB2312" w:eastAsia="仿宋_GB2312"/>
          <w:sz w:val="32"/>
          <w:szCs w:val="32"/>
        </w:rPr>
        <w:t>基本支出</w:t>
      </w:r>
      <w:r>
        <w:rPr>
          <w:rFonts w:hint="eastAsia" w:ascii="仿宋_GB2312" w:eastAsia="仿宋_GB2312"/>
          <w:sz w:val="32"/>
          <w:szCs w:val="32"/>
          <w:lang w:val="en-US" w:eastAsia="zh-CN"/>
        </w:rPr>
        <w:t>423.42</w:t>
      </w:r>
      <w:r>
        <w:rPr>
          <w:rFonts w:hint="eastAsia" w:ascii="仿宋_GB2312" w:eastAsia="仿宋_GB2312"/>
          <w:sz w:val="32"/>
          <w:szCs w:val="32"/>
          <w:lang w:eastAsia="zh-CN"/>
        </w:rPr>
        <w:t>万元</w:t>
      </w:r>
      <w:r>
        <w:rPr>
          <w:rFonts w:hint="eastAsia" w:ascii="仿宋_GB2312" w:eastAsia="仿宋_GB2312"/>
          <w:sz w:val="32"/>
          <w:szCs w:val="32"/>
          <w:lang w:val="en-US" w:eastAsia="zh-CN"/>
        </w:rPr>
        <w:t>。</w:t>
      </w:r>
      <w:r>
        <w:rPr>
          <w:rFonts w:hint="eastAsia" w:ascii="仿宋_GB2312" w:eastAsia="仿宋_GB2312"/>
          <w:sz w:val="32"/>
          <w:szCs w:val="32"/>
          <w:lang w:eastAsia="zh-CN"/>
        </w:rPr>
        <w:t>其中人员经费支出</w:t>
      </w:r>
      <w:r>
        <w:rPr>
          <w:rFonts w:hint="eastAsia" w:ascii="仿宋_GB2312" w:eastAsia="仿宋_GB2312"/>
          <w:sz w:val="32"/>
          <w:szCs w:val="32"/>
          <w:lang w:val="en-US" w:eastAsia="zh-CN"/>
        </w:rPr>
        <w:t>388.81万元，机关运行经费34.61万元，其中：办公费8.18万元，印刷费0.66万元，水费0.52万元，电费0.77万元，取暖费2.72万元，邮电费0.78万，差旅费5.60万元，培训费0.6万元，公务接待费0.32万元，工会经费2.86万元，公务用车运行维护费11.60万元。</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按支出功能分类主要用于以下方面:</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（一）一般公共服务</w:t>
      </w:r>
      <w:r>
        <w:rPr>
          <w:rFonts w:hint="eastAsia" w:ascii="仿宋_GB2312" w:eastAsia="仿宋_GB2312"/>
          <w:sz w:val="32"/>
          <w:szCs w:val="32"/>
          <w:lang w:val="en-US" w:eastAsia="zh-CN"/>
        </w:rPr>
        <w:t>405.14</w:t>
      </w:r>
      <w:r>
        <w:rPr>
          <w:rFonts w:hint="eastAsia" w:ascii="仿宋_GB2312" w:eastAsia="仿宋_GB2312"/>
          <w:sz w:val="32"/>
          <w:szCs w:val="32"/>
          <w:lang w:eastAsia="zh-CN"/>
        </w:rPr>
        <w:t>万元</w:t>
      </w:r>
      <w:r>
        <w:rPr>
          <w:rFonts w:hint="eastAsia" w:ascii="仿宋_GB2312" w:eastAsia="仿宋_GB2312"/>
          <w:sz w:val="32"/>
          <w:szCs w:val="32"/>
        </w:rPr>
        <w:t>，主要用于机关及下属事业单位人员工资、日常运转以及为完成特定行政工作任务和事业发展目标而安排的年度项目支出。</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（二）社会保障和就业</w:t>
      </w:r>
      <w:r>
        <w:rPr>
          <w:rFonts w:hint="eastAsia" w:ascii="仿宋_GB2312" w:eastAsia="仿宋_GB2312"/>
          <w:sz w:val="32"/>
          <w:szCs w:val="32"/>
          <w:lang w:val="en-US" w:eastAsia="zh-CN"/>
        </w:rPr>
        <w:t>57.28</w:t>
      </w:r>
      <w:r>
        <w:rPr>
          <w:rFonts w:hint="eastAsia" w:ascii="仿宋_GB2312" w:eastAsia="仿宋_GB2312"/>
          <w:sz w:val="32"/>
          <w:szCs w:val="32"/>
          <w:lang w:eastAsia="zh-CN"/>
        </w:rPr>
        <w:t>万元</w:t>
      </w:r>
      <w:r>
        <w:rPr>
          <w:rFonts w:hint="eastAsia" w:ascii="仿宋_GB2312" w:eastAsia="仿宋_GB2312"/>
          <w:sz w:val="32"/>
          <w:szCs w:val="32"/>
        </w:rPr>
        <w:t>，主要用于机关及下属事业单位</w:t>
      </w:r>
      <w:r>
        <w:rPr>
          <w:rFonts w:hint="eastAsia" w:ascii="仿宋_GB2312" w:eastAsia="仿宋_GB2312"/>
          <w:sz w:val="32"/>
          <w:szCs w:val="32"/>
          <w:lang w:eastAsia="zh-CN"/>
        </w:rPr>
        <w:t>养老保险及职业年金缴费</w:t>
      </w:r>
      <w:r>
        <w:rPr>
          <w:rFonts w:hint="eastAsia" w:ascii="仿宋_GB2312" w:eastAsia="仿宋_GB2312"/>
          <w:sz w:val="32"/>
          <w:szCs w:val="32"/>
        </w:rPr>
        <w:t>。</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（三）医疗卫生</w:t>
      </w:r>
      <w:r>
        <w:rPr>
          <w:rFonts w:hint="eastAsia" w:ascii="仿宋_GB2312" w:eastAsia="仿宋_GB2312"/>
          <w:sz w:val="32"/>
          <w:szCs w:val="32"/>
          <w:lang w:val="en-US" w:eastAsia="zh-CN"/>
        </w:rPr>
        <w:t>19.99</w:t>
      </w:r>
      <w:r>
        <w:rPr>
          <w:rFonts w:hint="eastAsia" w:ascii="仿宋_GB2312" w:eastAsia="仿宋_GB2312"/>
          <w:sz w:val="32"/>
          <w:szCs w:val="32"/>
          <w:lang w:eastAsia="zh-CN"/>
        </w:rPr>
        <w:t>万元</w:t>
      </w:r>
      <w:r>
        <w:rPr>
          <w:rFonts w:hint="eastAsia" w:ascii="仿宋_GB2312" w:eastAsia="仿宋_GB2312"/>
          <w:sz w:val="32"/>
          <w:szCs w:val="32"/>
        </w:rPr>
        <w:t>，主要用于机关及下属事业单位按照规定标准为职工缴纳的基本医疗保险及公务员医疗补助等支出。</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（四）住房保障支出</w:t>
      </w:r>
      <w:r>
        <w:rPr>
          <w:rFonts w:hint="eastAsia" w:ascii="仿宋_GB2312" w:eastAsia="仿宋_GB2312"/>
          <w:sz w:val="32"/>
          <w:szCs w:val="32"/>
          <w:lang w:val="en-US" w:eastAsia="zh-CN"/>
        </w:rPr>
        <w:t>31.63</w:t>
      </w:r>
      <w:r>
        <w:rPr>
          <w:rFonts w:hint="eastAsia" w:ascii="仿宋_GB2312" w:eastAsia="仿宋_GB2312"/>
          <w:sz w:val="32"/>
          <w:szCs w:val="32"/>
          <w:lang w:eastAsia="zh-CN"/>
        </w:rPr>
        <w:t>万元</w:t>
      </w:r>
      <w:r>
        <w:rPr>
          <w:rFonts w:hint="eastAsia" w:ascii="仿宋_GB2312" w:eastAsia="仿宋_GB2312"/>
          <w:sz w:val="32"/>
          <w:szCs w:val="32"/>
        </w:rPr>
        <w:t>，用于机关及下属事业单位按照规定标准为职工缴纳住房公积金等支出。</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right="0" w:rightChars="0" w:firstLine="640" w:firstLineChars="200"/>
        <w:jc w:val="left"/>
        <w:textAlignment w:val="auto"/>
        <w:rPr>
          <w:rFonts w:hint="eastAsia" w:ascii="黑体" w:hAnsi="黑体" w:eastAsia="黑体" w:cs="黑体"/>
          <w:sz w:val="32"/>
          <w:szCs w:val="32"/>
        </w:rPr>
      </w:pPr>
      <w:r>
        <w:rPr>
          <w:rFonts w:hint="eastAsia" w:ascii="黑体" w:hAnsi="黑体" w:eastAsia="黑体" w:cs="黑体"/>
          <w:color w:val="333333"/>
          <w:kern w:val="0"/>
          <w:sz w:val="32"/>
          <w:szCs w:val="32"/>
          <w:shd w:val="clear" w:color="auto" w:fill="FFFFFF"/>
          <w:lang w:val="en-US" w:eastAsia="zh-CN" w:bidi="ar"/>
        </w:rPr>
        <w:t>五、较上年度增减变化</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本年度预算拨款收入514.03万元较上年度预算545.26万元减少了5.73%，其中基本行政运行经费预算423.42万元，占全部总预算的82.37%，较上年425.46万元减少了0.48%，原因为厉行节俭，减少基本支出；专项业务工作经费预算90.61万元，占总预算的17.63%，较上年预算84.00万元减少了-7.87%，主要原因为本年度增</w:t>
      </w:r>
      <w:r>
        <w:rPr>
          <w:rFonts w:hint="eastAsia" w:ascii="仿宋_GB2312" w:hAnsi="仿宋_GB2312" w:eastAsia="仿宋_GB2312" w:cs="仿宋_GB2312"/>
          <w:sz w:val="32"/>
          <w:szCs w:val="32"/>
          <w:lang w:val="en-US" w:eastAsia="zh-CN"/>
        </w:rPr>
        <w:t>加长征国家文化公园建设工作，</w:t>
      </w:r>
      <w:r>
        <w:rPr>
          <w:rFonts w:hint="eastAsia" w:ascii="仿宋_GB2312" w:eastAsia="仿宋_GB2312"/>
          <w:sz w:val="32"/>
          <w:szCs w:val="32"/>
          <w:lang w:val="en-US" w:eastAsia="zh-CN"/>
        </w:rPr>
        <w:t xml:space="preserve">增加相关支出。 </w:t>
      </w:r>
      <w:r>
        <w:rPr>
          <w:rFonts w:hint="eastAsia" w:ascii="黑体" w:hAnsi="黑体" w:eastAsia="黑体" w:cs="黑体"/>
          <w:color w:val="333333"/>
          <w:kern w:val="0"/>
          <w:sz w:val="32"/>
          <w:szCs w:val="32"/>
          <w:shd w:val="clear" w:color="auto" w:fill="FFFFFF"/>
          <w:lang w:val="en-US" w:eastAsia="zh-CN" w:bidi="ar"/>
        </w:rPr>
        <w:t xml:space="preserve"> </w:t>
      </w:r>
      <w:r>
        <w:rPr>
          <w:rFonts w:hint="eastAsia" w:ascii="仿宋_GB2312" w:eastAsia="仿宋_GB2312"/>
          <w:sz w:val="32"/>
          <w:szCs w:val="32"/>
          <w:lang w:val="en-US" w:eastAsia="zh-CN"/>
        </w:rPr>
        <w:t xml:space="preserve">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right="0" w:rightChars="0" w:firstLine="640" w:firstLineChars="20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黑体" w:hAnsi="黑体" w:eastAsia="黑体" w:cs="黑体"/>
          <w:color w:val="333333"/>
          <w:kern w:val="0"/>
          <w:sz w:val="32"/>
          <w:szCs w:val="32"/>
          <w:shd w:val="clear" w:color="auto" w:fill="FFFFFF"/>
          <w:lang w:val="en-US" w:eastAsia="zh-CN" w:bidi="ar"/>
        </w:rPr>
        <w:t>六、“三公”经费预算</w:t>
      </w:r>
    </w:p>
    <w:p>
      <w:pPr>
        <w:keepNext w:val="0"/>
        <w:keepLines w:val="0"/>
        <w:pageBreakBefore w:val="0"/>
        <w:kinsoku/>
        <w:wordWrap/>
        <w:overflowPunct/>
        <w:topLinePunct w:val="0"/>
        <w:autoSpaceDE/>
        <w:autoSpaceDN/>
        <w:bidi w:val="0"/>
        <w:spacing w:line="560" w:lineRule="exact"/>
        <w:ind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本年度三公经费预算安排支出为11.92万元，其中：出国费0万元，与上年持平，主要原因为未安排因公出国；公车购置费0元，与上年持平；公务用车维护费支出11.60万元，与上年持平；公务接待费0.32万元，与上年持平。本年度我们将严格执行“八项规定、六项禁令”，结合本年度工作需要，减少不必要的开支。</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0" w:leftChars="0" w:right="0" w:rightChars="0" w:firstLine="48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黑体" w:hAnsi="黑体" w:eastAsia="黑体" w:cs="黑体"/>
          <w:color w:val="333333"/>
          <w:kern w:val="0"/>
          <w:sz w:val="32"/>
          <w:szCs w:val="32"/>
          <w:shd w:val="clear" w:color="auto" w:fill="FFFFFF"/>
          <w:lang w:val="en-US" w:eastAsia="zh-CN" w:bidi="ar"/>
        </w:rPr>
        <w:t>七、政府性基金预算收支情况说明</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2024年无使用政府性基金预算拨款安排的支出</w:t>
      </w:r>
      <w:r>
        <w:rPr>
          <w:rFonts w:hint="eastAsia" w:ascii="仿宋_GB2312" w:eastAsia="仿宋_GB2312"/>
          <w:sz w:val="32"/>
          <w:szCs w:val="32"/>
        </w:rPr>
        <w:t>。</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480" w:leftChars="0" w:right="0" w:rightChars="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黑体" w:hAnsi="黑体" w:eastAsia="黑体" w:cs="黑体"/>
          <w:color w:val="333333"/>
          <w:kern w:val="0"/>
          <w:sz w:val="32"/>
          <w:szCs w:val="32"/>
          <w:shd w:val="clear" w:color="auto" w:fill="FFFFFF"/>
          <w:lang w:val="en-US" w:eastAsia="zh-CN" w:bidi="ar"/>
        </w:rPr>
        <w:t>八、国有资本经营预算收支情况说明</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2024年无使用国有资本经营预算拨款安排的支出。</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480" w:leftChars="0" w:right="0" w:rightChars="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黑体" w:hAnsi="黑体" w:eastAsia="黑体" w:cs="黑体"/>
          <w:color w:val="333333"/>
          <w:kern w:val="0"/>
          <w:sz w:val="32"/>
          <w:szCs w:val="32"/>
          <w:shd w:val="clear" w:color="auto" w:fill="FFFFFF"/>
          <w:lang w:val="en-US" w:eastAsia="zh-CN" w:bidi="ar"/>
        </w:rPr>
        <w:t>九、其他重要事项的情况说明</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0" w:leftChars="0" w:right="0" w:rightChars="0" w:firstLine="48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楷体_GB2312" w:hAnsi="楷体_GB2312" w:eastAsia="楷体_GB2312" w:cs="楷体_GB2312"/>
          <w:b/>
          <w:bCs/>
          <w:color w:val="333333"/>
          <w:kern w:val="0"/>
          <w:sz w:val="32"/>
          <w:szCs w:val="32"/>
          <w:shd w:val="clear" w:color="auto" w:fill="FFFFFF"/>
          <w:lang w:val="en-US" w:eastAsia="zh-CN" w:bidi="ar"/>
        </w:rPr>
        <w:t>（一）政府采购预算情况</w:t>
      </w:r>
      <w:r>
        <w:rPr>
          <w:rFonts w:hint="eastAsia" w:ascii="黑体" w:hAnsi="黑体" w:eastAsia="黑体" w:cs="黑体"/>
          <w:color w:val="333333"/>
          <w:kern w:val="0"/>
          <w:sz w:val="32"/>
          <w:szCs w:val="32"/>
          <w:shd w:val="clear" w:color="auto" w:fill="FFFFFF"/>
          <w:lang w:val="en-US" w:eastAsia="zh-CN" w:bidi="ar"/>
        </w:rPr>
        <w:t xml:space="preserve"> </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2024年度未安排政府采购预算。</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480" w:leftChars="0" w:right="0" w:rightChars="0"/>
        <w:jc w:val="left"/>
        <w:textAlignment w:val="auto"/>
      </w:pPr>
      <w:r>
        <w:rPr>
          <w:rFonts w:hint="eastAsia" w:ascii="楷体_GB2312" w:hAnsi="楷体_GB2312" w:eastAsia="楷体_GB2312" w:cs="楷体_GB2312"/>
          <w:b/>
          <w:bCs/>
          <w:color w:val="333333"/>
          <w:kern w:val="0"/>
          <w:sz w:val="32"/>
          <w:szCs w:val="32"/>
          <w:shd w:val="clear" w:color="auto" w:fill="FFFFFF"/>
          <w:lang w:val="en-US" w:eastAsia="zh-CN" w:bidi="ar"/>
        </w:rPr>
        <w:t>（二）政府财政国有资产占用情况</w:t>
      </w:r>
      <w:r>
        <w:rPr>
          <w:rFonts w:hint="eastAsia" w:ascii="微软雅黑" w:hAnsi="微软雅黑" w:eastAsia="微软雅黑" w:cs="微软雅黑"/>
          <w:color w:val="333333"/>
          <w:kern w:val="0"/>
          <w:sz w:val="24"/>
          <w:szCs w:val="24"/>
          <w:shd w:val="clear" w:color="auto" w:fill="FFFFFF"/>
          <w:lang w:val="en-US" w:eastAsia="zh-CN" w:bidi="ar"/>
        </w:rPr>
        <w:t xml:space="preserve"> </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截止2023年底，实际共有固定资产价值132.44</w:t>
      </w:r>
      <w:r>
        <w:rPr>
          <w:rFonts w:hint="eastAsia" w:ascii="仿宋_GB2312" w:eastAsia="仿宋_GB2312"/>
          <w:sz w:val="32"/>
          <w:szCs w:val="32"/>
          <w:lang w:eastAsia="zh-CN"/>
        </w:rPr>
        <w:t>万元：其中：公务用车</w:t>
      </w:r>
      <w:r>
        <w:rPr>
          <w:rFonts w:hint="eastAsia" w:ascii="仿宋_GB2312" w:eastAsia="仿宋_GB2312"/>
          <w:sz w:val="32"/>
          <w:szCs w:val="32"/>
          <w:lang w:val="en-US" w:eastAsia="zh-CN"/>
        </w:rPr>
        <w:t>96.42</w:t>
      </w:r>
      <w:r>
        <w:rPr>
          <w:rFonts w:hint="eastAsia" w:ascii="仿宋_GB2312" w:eastAsia="仿宋_GB2312"/>
          <w:sz w:val="32"/>
          <w:szCs w:val="32"/>
          <w:lang w:eastAsia="zh-CN"/>
        </w:rPr>
        <w:t>万元；</w:t>
      </w:r>
      <w:r>
        <w:rPr>
          <w:rFonts w:hint="eastAsia" w:ascii="仿宋_GB2312" w:eastAsia="仿宋_GB2312"/>
          <w:sz w:val="32"/>
          <w:szCs w:val="32"/>
          <w:lang w:val="en-US" w:eastAsia="zh-CN"/>
        </w:rPr>
        <w:t>通用设备26.35万元；家具和用具9.67万元。</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480" w:leftChars="0" w:right="0" w:rightChars="0"/>
        <w:jc w:val="left"/>
        <w:textAlignment w:val="auto"/>
        <w:rPr>
          <w:rFonts w:hint="eastAsia" w:ascii="楷体_GB2312" w:hAnsi="楷体_GB2312" w:eastAsia="楷体_GB2312" w:cs="楷体_GB2312"/>
          <w:b/>
          <w:bCs/>
          <w:color w:val="333333"/>
          <w:kern w:val="0"/>
          <w:sz w:val="32"/>
          <w:szCs w:val="32"/>
          <w:shd w:val="clear" w:color="auto" w:fill="FFFFFF"/>
          <w:lang w:val="en-US" w:eastAsia="zh-CN" w:bidi="ar"/>
        </w:rPr>
      </w:pPr>
      <w:r>
        <w:rPr>
          <w:rFonts w:hint="eastAsia" w:ascii="楷体_GB2312" w:hAnsi="楷体_GB2312" w:eastAsia="楷体_GB2312" w:cs="楷体_GB2312"/>
          <w:b/>
          <w:bCs/>
          <w:color w:val="333333"/>
          <w:kern w:val="0"/>
          <w:sz w:val="32"/>
          <w:szCs w:val="32"/>
          <w:shd w:val="clear" w:color="auto" w:fill="FFFFFF"/>
          <w:lang w:val="en-US" w:eastAsia="zh-CN" w:bidi="ar"/>
        </w:rPr>
        <w:t>（三）绩效目标设置情况</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绩效目标是预算编制的前提和基础，按照“费随事定”的原则，2024年我单位项目支出按要求编制了绩效目标，从项目完成、项目效益、满意度等方面做了测评。</w:t>
      </w:r>
    </w:p>
    <w:p>
      <w:pPr>
        <w:keepNext w:val="0"/>
        <w:keepLines w:val="0"/>
        <w:pageBreakBefore w:val="0"/>
        <w:kinsoku/>
        <w:wordWrap/>
        <w:overflowPunct/>
        <w:topLinePunct w:val="0"/>
        <w:autoSpaceDE/>
        <w:autoSpaceDN/>
        <w:bidi w:val="0"/>
        <w:spacing w:line="560" w:lineRule="exact"/>
        <w:ind w:left="640" w:leftChars="0" w:right="0" w:rightChars="0" w:hanging="640" w:hangingChars="200"/>
        <w:textAlignment w:val="auto"/>
        <w:rPr>
          <w:rFonts w:hint="eastAsia" w:ascii="仿宋_GB2312" w:eastAsia="仿宋_GB2312"/>
          <w:sz w:val="32"/>
          <w:szCs w:val="32"/>
          <w:lang w:val="en-US" w:eastAsia="zh-CN"/>
        </w:rPr>
      </w:pPr>
      <w:r>
        <w:rPr>
          <w:rFonts w:hint="eastAsia" w:ascii="黑体" w:hAnsi="黑体" w:eastAsia="黑体" w:cs="黑体"/>
          <w:color w:val="333333"/>
          <w:kern w:val="0"/>
          <w:sz w:val="32"/>
          <w:szCs w:val="32"/>
          <w:shd w:val="clear" w:color="auto" w:fill="FFFFFF"/>
          <w:lang w:val="en-US" w:eastAsia="zh-CN" w:bidi="ar"/>
        </w:rPr>
        <w:t xml:space="preserve">    十、名词解释</w:t>
      </w:r>
      <w:r>
        <w:rPr>
          <w:rFonts w:hint="eastAsia" w:ascii="宋体" w:hAnsi="宋体" w:eastAsia="宋体" w:cs="宋体"/>
          <w:sz w:val="28"/>
          <w:szCs w:val="28"/>
          <w:lang w:val="en-US" w:eastAsia="zh-CN"/>
        </w:rPr>
        <w:br w:type="textWrapping"/>
      </w:r>
      <w:r>
        <w:rPr>
          <w:rFonts w:hint="eastAsia" w:ascii="仿宋_GB2312" w:eastAsia="仿宋_GB2312"/>
          <w:sz w:val="32"/>
          <w:szCs w:val="32"/>
          <w:lang w:val="en-US" w:eastAsia="zh-CN"/>
        </w:rPr>
        <w:t xml:space="preserve">1.财政拨款收入：指财政部门核拨给单位的财政预算资金。 </w:t>
      </w:r>
      <w:r>
        <w:rPr>
          <w:rFonts w:hint="eastAsia" w:ascii="仿宋_GB2312" w:eastAsia="仿宋_GB2312"/>
          <w:sz w:val="32"/>
          <w:szCs w:val="32"/>
          <w:lang w:val="en-US" w:eastAsia="zh-CN"/>
        </w:rPr>
        <w:br w:type="textWrapping"/>
      </w:r>
      <w:r>
        <w:rPr>
          <w:rFonts w:hint="eastAsia" w:ascii="仿宋_GB2312" w:eastAsia="仿宋_GB2312"/>
          <w:sz w:val="32"/>
          <w:szCs w:val="32"/>
          <w:lang w:val="en-US" w:eastAsia="zh-CN"/>
        </w:rPr>
        <w:t>2.其他收入：指除上述财政部门拨付单位以外的收入。</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3.基本支出：指为保障单位机关正常运转、完成日常工作任务而发生的人员支出和公用支出。</w:t>
      </w:r>
      <w:r>
        <w:rPr>
          <w:rFonts w:hint="eastAsia" w:ascii="仿宋_GB2312" w:eastAsia="仿宋_GB2312"/>
          <w:sz w:val="32"/>
          <w:szCs w:val="32"/>
          <w:lang w:val="en-US" w:eastAsia="zh-CN"/>
        </w:rPr>
        <w:br w:type="textWrapping"/>
      </w:r>
      <w:r>
        <w:rPr>
          <w:rFonts w:hint="eastAsia" w:ascii="仿宋_GB2312" w:eastAsia="仿宋_GB2312"/>
          <w:sz w:val="32"/>
          <w:szCs w:val="32"/>
          <w:lang w:val="en-US" w:eastAsia="zh-CN"/>
        </w:rPr>
        <w:t xml:space="preserve">    4.项目支出：指在基本支出之外为完成特定行政任务和事业发展目标所发生的支出。</w:t>
      </w:r>
      <w:r>
        <w:rPr>
          <w:rFonts w:hint="eastAsia" w:ascii="仿宋_GB2312" w:eastAsia="仿宋_GB2312"/>
          <w:sz w:val="32"/>
          <w:szCs w:val="32"/>
          <w:lang w:val="en-US" w:eastAsia="zh-CN"/>
        </w:rPr>
        <w:br w:type="textWrapping"/>
      </w:r>
      <w:r>
        <w:rPr>
          <w:rFonts w:hint="eastAsia" w:ascii="仿宋_GB2312" w:eastAsia="仿宋_GB2312"/>
          <w:sz w:val="32"/>
          <w:szCs w:val="32"/>
          <w:lang w:val="en-US" w:eastAsia="zh-CN"/>
        </w:rPr>
        <w:t xml:space="preserve">    5.机关运行经费：为保障单位机关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附件：表1.部门收支总表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表2.部门收入总表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表3.部门支出总表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表4.财政拨款收支预算总表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表5.财政拨款支出预算表（部门经济分类科目）</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表6.一般公共预算支出预算表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表7.一般公共预算基本支出预算表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表8.一般公共预算项目支出预算表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表9.一般公共预算“三公”经费支出预算表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表10.政府性基金支出预算表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表11.政府性基金预算“三公”经费支出预算表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表12.国有资本经营预算支出预算表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default" w:ascii="仿宋_GB2312" w:eastAsia="仿宋_GB2312"/>
          <w:sz w:val="32"/>
          <w:szCs w:val="32"/>
          <w:lang w:val="en-US" w:eastAsia="zh-CN"/>
        </w:rPr>
      </w:pPr>
      <w:r>
        <w:rPr>
          <w:rFonts w:hint="eastAsia" w:ascii="仿宋_GB2312" w:eastAsia="仿宋_GB2312"/>
          <w:sz w:val="32"/>
          <w:szCs w:val="32"/>
          <w:lang w:val="en-US" w:eastAsia="zh-CN"/>
        </w:rPr>
        <w:t>表13.部门项目支出绩效目标表（2024年度）</w:t>
      </w:r>
    </w:p>
    <w:sectPr>
      <w:footerReference r:id="rId3" w:type="default"/>
      <w:footerReference r:id="rId4" w:type="even"/>
      <w:pgSz w:w="11906" w:h="16838"/>
      <w:pgMar w:top="2098" w:right="1474" w:bottom="1984"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roman"/>
    <w:pitch w:val="default"/>
    <w:sig w:usb0="00007A87" w:usb1="80000000" w:usb2="00000008"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方正黑体_GBK">
    <w:panose1 w:val="02000000000000000000"/>
    <w:charset w:val="86"/>
    <w:family w:val="auto"/>
    <w:pitch w:val="default"/>
    <w:sig w:usb0="00000001" w:usb1="0800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微软雅黑">
    <w:altName w:val="方正黑体_GBK"/>
    <w:panose1 w:val="020B0503020204020204"/>
    <w:charset w:val="86"/>
    <w:family w:val="auto"/>
    <w:pitch w:val="default"/>
    <w:sig w:usb0="00000000" w:usb1="0000000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framePr w:wrap="around" w:vAnchor="text" w:hAnchor="margin" w:xAlign="center" w:y="1"/>
      <w:rPr>
        <w:rStyle w:val="11"/>
      </w:rPr>
    </w:pPr>
    <w:r>
      <w:fldChar w:fldCharType="begin"/>
    </w:r>
    <w:r>
      <w:rPr>
        <w:rStyle w:val="11"/>
      </w:rPr>
      <w:instrText xml:space="preserve">PAGE  </w:instrText>
    </w:r>
    <w:r>
      <w:fldChar w:fldCharType="separate"/>
    </w:r>
    <w:r>
      <w:rPr>
        <w:rStyle w:val="11"/>
      </w:rPr>
      <w:t>2</w:t>
    </w:r>
    <w:r>
      <w:fldChar w:fldCharType="end"/>
    </w:r>
  </w:p>
  <w:p>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framePr w:wrap="around" w:vAnchor="text" w:hAnchor="margin" w:xAlign="center" w:y="1"/>
      <w:rPr>
        <w:rStyle w:val="11"/>
      </w:rPr>
    </w:pPr>
    <w:r>
      <w:fldChar w:fldCharType="begin"/>
    </w:r>
    <w:r>
      <w:rPr>
        <w:rStyle w:val="11"/>
      </w:rPr>
      <w:instrText xml:space="preserve">PAGE  </w:instrText>
    </w:r>
    <w:r>
      <w:fldChar w:fldCharType="end"/>
    </w:r>
  </w:p>
  <w:p>
    <w:pPr>
      <w:pStyle w:val="6"/>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A717D6F"/>
    <w:multiLevelType w:val="singleLevel"/>
    <w:tmpl w:val="5A717D6F"/>
    <w:lvl w:ilvl="0" w:tentative="0">
      <w:start w:val="4"/>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Q0ZDRjNzUxNmI4YWUyNWUxMjhlNDNjYWNjNDEzMjAifQ=="/>
  </w:docVars>
  <w:rsids>
    <w:rsidRoot w:val="00172A27"/>
    <w:rsid w:val="008953F8"/>
    <w:rsid w:val="008D4EE8"/>
    <w:rsid w:val="015E6884"/>
    <w:rsid w:val="01BF37C7"/>
    <w:rsid w:val="021533E7"/>
    <w:rsid w:val="03084CFA"/>
    <w:rsid w:val="038720C2"/>
    <w:rsid w:val="03D143FF"/>
    <w:rsid w:val="05BB42A5"/>
    <w:rsid w:val="05D709B3"/>
    <w:rsid w:val="06562220"/>
    <w:rsid w:val="0744651C"/>
    <w:rsid w:val="07610E7C"/>
    <w:rsid w:val="08597DA5"/>
    <w:rsid w:val="0869448C"/>
    <w:rsid w:val="088F5B1B"/>
    <w:rsid w:val="0A6E1F7B"/>
    <w:rsid w:val="0A8F3F52"/>
    <w:rsid w:val="0B106E41"/>
    <w:rsid w:val="0B732F2C"/>
    <w:rsid w:val="0CEE610B"/>
    <w:rsid w:val="0CF61493"/>
    <w:rsid w:val="0DB25F8E"/>
    <w:rsid w:val="0DF76B88"/>
    <w:rsid w:val="107462EF"/>
    <w:rsid w:val="10B92046"/>
    <w:rsid w:val="13382DC7"/>
    <w:rsid w:val="14BDE96C"/>
    <w:rsid w:val="15441B9C"/>
    <w:rsid w:val="15BA6327"/>
    <w:rsid w:val="177644D0"/>
    <w:rsid w:val="18137F71"/>
    <w:rsid w:val="18870CA9"/>
    <w:rsid w:val="18B51DF5"/>
    <w:rsid w:val="18CB43A7"/>
    <w:rsid w:val="18DE7327"/>
    <w:rsid w:val="1B5C1C2F"/>
    <w:rsid w:val="1B9A62B3"/>
    <w:rsid w:val="1BFD0D1C"/>
    <w:rsid w:val="1C2344FA"/>
    <w:rsid w:val="1DAA6C81"/>
    <w:rsid w:val="1F3A2287"/>
    <w:rsid w:val="1F62533A"/>
    <w:rsid w:val="1F9901DB"/>
    <w:rsid w:val="1FF97A4C"/>
    <w:rsid w:val="20216FA3"/>
    <w:rsid w:val="207672EF"/>
    <w:rsid w:val="20E73D48"/>
    <w:rsid w:val="233A4603"/>
    <w:rsid w:val="2398757C"/>
    <w:rsid w:val="244F40DF"/>
    <w:rsid w:val="24771887"/>
    <w:rsid w:val="247936C4"/>
    <w:rsid w:val="24BE74B6"/>
    <w:rsid w:val="24D46CDA"/>
    <w:rsid w:val="250550E5"/>
    <w:rsid w:val="25736E70"/>
    <w:rsid w:val="2634778C"/>
    <w:rsid w:val="273B094A"/>
    <w:rsid w:val="279238CD"/>
    <w:rsid w:val="28CA79FA"/>
    <w:rsid w:val="2A691C72"/>
    <w:rsid w:val="2AE13EFE"/>
    <w:rsid w:val="2B1B2F6C"/>
    <w:rsid w:val="2C0734F1"/>
    <w:rsid w:val="2C2C11A9"/>
    <w:rsid w:val="2CDA7095"/>
    <w:rsid w:val="2D241839"/>
    <w:rsid w:val="2E516CA5"/>
    <w:rsid w:val="2ED753FC"/>
    <w:rsid w:val="2F6A2714"/>
    <w:rsid w:val="2FAF6379"/>
    <w:rsid w:val="308B2942"/>
    <w:rsid w:val="314F3970"/>
    <w:rsid w:val="32B9061F"/>
    <w:rsid w:val="33753436"/>
    <w:rsid w:val="36B634EE"/>
    <w:rsid w:val="390A63CE"/>
    <w:rsid w:val="3A145757"/>
    <w:rsid w:val="3EDF73A0"/>
    <w:rsid w:val="407D1B7C"/>
    <w:rsid w:val="40D7128C"/>
    <w:rsid w:val="4105229D"/>
    <w:rsid w:val="41173D7E"/>
    <w:rsid w:val="41C14C68"/>
    <w:rsid w:val="41FE4703"/>
    <w:rsid w:val="42B0448A"/>
    <w:rsid w:val="43B458B4"/>
    <w:rsid w:val="44BA6EFA"/>
    <w:rsid w:val="45246A6A"/>
    <w:rsid w:val="460C72BB"/>
    <w:rsid w:val="46FA3F26"/>
    <w:rsid w:val="471E3299"/>
    <w:rsid w:val="489D2DBB"/>
    <w:rsid w:val="48F21359"/>
    <w:rsid w:val="4961028C"/>
    <w:rsid w:val="496B6B1F"/>
    <w:rsid w:val="4A7D7DE9"/>
    <w:rsid w:val="4AA03036"/>
    <w:rsid w:val="4BE66C5C"/>
    <w:rsid w:val="4DD76D6F"/>
    <w:rsid w:val="4E4A7541"/>
    <w:rsid w:val="4F035942"/>
    <w:rsid w:val="4F9A62A6"/>
    <w:rsid w:val="4FDA48F5"/>
    <w:rsid w:val="520774F7"/>
    <w:rsid w:val="52154215"/>
    <w:rsid w:val="521D6D1B"/>
    <w:rsid w:val="531243A6"/>
    <w:rsid w:val="535E75EB"/>
    <w:rsid w:val="543B5980"/>
    <w:rsid w:val="546703A6"/>
    <w:rsid w:val="550D5715"/>
    <w:rsid w:val="555E53B0"/>
    <w:rsid w:val="558C6691"/>
    <w:rsid w:val="56F015BA"/>
    <w:rsid w:val="577B69BD"/>
    <w:rsid w:val="57E207EA"/>
    <w:rsid w:val="58063D6C"/>
    <w:rsid w:val="589E5BC9"/>
    <w:rsid w:val="59561490"/>
    <w:rsid w:val="5B8147BE"/>
    <w:rsid w:val="5DB03139"/>
    <w:rsid w:val="5E2C0A11"/>
    <w:rsid w:val="5E6006BB"/>
    <w:rsid w:val="5EF552A7"/>
    <w:rsid w:val="5F27742B"/>
    <w:rsid w:val="5F97010C"/>
    <w:rsid w:val="60885CA7"/>
    <w:rsid w:val="609123F9"/>
    <w:rsid w:val="613227E3"/>
    <w:rsid w:val="61AB4343"/>
    <w:rsid w:val="628C7CD0"/>
    <w:rsid w:val="636966A0"/>
    <w:rsid w:val="646B1B68"/>
    <w:rsid w:val="65640A91"/>
    <w:rsid w:val="65CF619D"/>
    <w:rsid w:val="670175BB"/>
    <w:rsid w:val="673426E5"/>
    <w:rsid w:val="674E7C4A"/>
    <w:rsid w:val="67A15E6E"/>
    <w:rsid w:val="67CA4DF7"/>
    <w:rsid w:val="69584DB0"/>
    <w:rsid w:val="69772B35"/>
    <w:rsid w:val="6A7F4532"/>
    <w:rsid w:val="6AEB3A02"/>
    <w:rsid w:val="6D0B67B6"/>
    <w:rsid w:val="6E711791"/>
    <w:rsid w:val="6F370FC4"/>
    <w:rsid w:val="6F80296B"/>
    <w:rsid w:val="6FBF4B32"/>
    <w:rsid w:val="70C525FF"/>
    <w:rsid w:val="70F00356"/>
    <w:rsid w:val="713F0604"/>
    <w:rsid w:val="71A87F57"/>
    <w:rsid w:val="72800ED4"/>
    <w:rsid w:val="73010267"/>
    <w:rsid w:val="73942E89"/>
    <w:rsid w:val="73F13E37"/>
    <w:rsid w:val="750E120F"/>
    <w:rsid w:val="76BB3EE3"/>
    <w:rsid w:val="76DB2B7D"/>
    <w:rsid w:val="76F37EC6"/>
    <w:rsid w:val="795D5ACB"/>
    <w:rsid w:val="7A0B6C64"/>
    <w:rsid w:val="7B312348"/>
    <w:rsid w:val="7D172435"/>
    <w:rsid w:val="7DAA32A9"/>
    <w:rsid w:val="7E5316BF"/>
    <w:rsid w:val="7EFB3DBC"/>
    <w:rsid w:val="EDEFA26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qFormat="1"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eastAsia="宋体" w:asciiTheme="minorHAnsi" w:hAnsiTheme="minorHAnsi" w:cstheme="minorBidi"/>
      <w:kern w:val="2"/>
      <w:sz w:val="21"/>
      <w:szCs w:val="24"/>
      <w:lang w:val="en-US" w:eastAsia="zh-CN" w:bidi="ar-SA"/>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Salutation"/>
    <w:basedOn w:val="1"/>
    <w:next w:val="1"/>
    <w:qFormat/>
    <w:uiPriority w:val="0"/>
  </w:style>
  <w:style w:type="paragraph" w:styleId="3">
    <w:name w:val="Body Text"/>
    <w:basedOn w:val="1"/>
    <w:qFormat/>
    <w:uiPriority w:val="0"/>
    <w:pPr>
      <w:spacing w:before="93" w:beforeLines="30"/>
    </w:pPr>
    <w:rPr>
      <w:rFonts w:ascii="仿宋_GB2312" w:eastAsia="仿宋_GB2312"/>
      <w:sz w:val="30"/>
    </w:rPr>
  </w:style>
  <w:style w:type="paragraph" w:styleId="4">
    <w:name w:val="Body Text Indent"/>
    <w:basedOn w:val="1"/>
    <w:next w:val="5"/>
    <w:qFormat/>
    <w:uiPriority w:val="0"/>
    <w:pPr>
      <w:spacing w:after="120" w:line="240" w:lineRule="auto"/>
      <w:ind w:left="420" w:leftChars="200" w:firstLine="0" w:firstLineChars="0"/>
      <w:jc w:val="both"/>
    </w:pPr>
    <w:rPr>
      <w:rFonts w:eastAsia="宋体" w:cs="Times New Roman"/>
      <w:sz w:val="21"/>
      <w:szCs w:val="24"/>
    </w:rPr>
  </w:style>
  <w:style w:type="paragraph" w:styleId="5">
    <w:name w:val="Body Text First Indent 2"/>
    <w:basedOn w:val="4"/>
    <w:next w:val="1"/>
    <w:qFormat/>
    <w:uiPriority w:val="0"/>
    <w:pPr>
      <w:ind w:firstLine="420" w:firstLineChars="200"/>
    </w:pPr>
  </w:style>
  <w:style w:type="paragraph" w:styleId="6">
    <w:name w:val="footer"/>
    <w:basedOn w:val="1"/>
    <w:qFormat/>
    <w:uiPriority w:val="0"/>
    <w:pPr>
      <w:tabs>
        <w:tab w:val="center" w:pos="4153"/>
        <w:tab w:val="right" w:pos="8306"/>
      </w:tabs>
      <w:snapToGrid w:val="0"/>
      <w:jc w:val="left"/>
    </w:pPr>
    <w:rPr>
      <w:sz w:val="18"/>
      <w:szCs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qFormat/>
    <w:uiPriority w:val="0"/>
    <w:pPr>
      <w:widowControl/>
      <w:spacing w:before="100" w:beforeAutospacing="1" w:after="100" w:afterAutospacing="1"/>
      <w:jc w:val="left"/>
    </w:pPr>
    <w:rPr>
      <w:rFonts w:ascii="宋体" w:cs="宋体"/>
      <w:kern w:val="0"/>
      <w:sz w:val="24"/>
      <w:lang w:bidi="ar-SA"/>
    </w:rPr>
  </w:style>
  <w:style w:type="character" w:styleId="11">
    <w:name w:val="page number"/>
    <w:basedOn w:val="10"/>
    <w:qFormat/>
    <w:uiPriority w:val="0"/>
  </w:style>
  <w:style w:type="character" w:styleId="12">
    <w:name w:val="line number"/>
    <w:basedOn w:val="10"/>
    <w:qFormat/>
    <w:uiPriority w:val="0"/>
    <w:rPr>
      <w:rFonts w:hint="default"/>
      <w:sz w:val="22"/>
    </w:rPr>
  </w:style>
  <w:style w:type="character" w:styleId="13">
    <w:name w:val="Hyperlink"/>
    <w:qFormat/>
    <w:uiPriority w:val="0"/>
    <w:rPr>
      <w:rFonts w:hint="default"/>
      <w:sz w:val="2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3596</Words>
  <Characters>3844</Characters>
  <Lines>0</Lines>
  <Paragraphs>0</Paragraphs>
  <TotalTime>36</TotalTime>
  <ScaleCrop>false</ScaleCrop>
  <LinksUpToDate>false</LinksUpToDate>
  <CharactersWithSpaces>3870</CharactersWithSpaces>
  <Application>WPS Office_11.8.2.1121_F1E327BC-269C-435d-A152-05C5408002CA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2018-01-31T23:35:00Z</dcterms:created>
  <dc:creator>Administrator</dc:creator>
  <cp:lastModifiedBy>ruijie</cp:lastModifiedBy>
  <dcterms:modified xsi:type="dcterms:W3CDTF">2024-04-16T15:52:01Z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2052-11.8.2.1121</vt:lpwstr>
  </property>
  <property fmtid="{D5CDD505-2E9C-101B-9397-08002B2CF9AE}" pid="3" name="ICV">
    <vt:lpwstr>031FA0C51D134AE5A0B26878ADA7A2E6_12</vt:lpwstr>
  </property>
</Properties>
</file>