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r>
        <w:rPr>
          <w:rStyle w:val="18"/>
          <w:rFonts w:hint="eastAsia" w:ascii="方正小标宋简体" w:hAnsi="方正小标宋简体" w:eastAsia="方正小标宋简体" w:cs="方正小标宋简体"/>
          <w:sz w:val="44"/>
          <w:szCs w:val="44"/>
          <w:shd w:val="clear" w:color="auto" w:fill="FFFFFF"/>
          <w:lang w:eastAsia="zh-CN"/>
        </w:rPr>
        <w:t>2022</w:t>
      </w:r>
      <w:r>
        <w:rPr>
          <w:rStyle w:val="18"/>
          <w:rFonts w:hint="eastAsia" w:ascii="方正小标宋简体" w:hAnsi="方正小标宋简体" w:eastAsia="方正小标宋简体" w:cs="方正小标宋简体"/>
          <w:sz w:val="44"/>
          <w:szCs w:val="44"/>
          <w:shd w:val="clear" w:color="auto" w:fill="FFFFFF"/>
        </w:rPr>
        <w:t>年度</w:t>
      </w:r>
    </w:p>
    <w:p>
      <w:pPr>
        <w:pStyle w:val="15"/>
        <w:keepNext w:val="0"/>
        <w:keepLines w:val="0"/>
        <w:widowControl/>
        <w:suppressLineNumbers w:val="0"/>
        <w:ind w:left="0" w:right="75"/>
        <w:jc w:val="center"/>
        <w:rPr>
          <w:rStyle w:val="18"/>
          <w:rFonts w:hint="eastAsia" w:ascii="方正小标宋简体" w:hAnsi="方正小标宋简体" w:eastAsia="方正小标宋简体" w:cs="方正小标宋简体"/>
          <w:sz w:val="44"/>
          <w:szCs w:val="44"/>
          <w:shd w:val="clear" w:color="auto" w:fill="FFFFFF"/>
          <w:lang w:val="en-US" w:eastAsia="zh-CN"/>
        </w:rPr>
      </w:pPr>
      <w:r>
        <w:rPr>
          <w:rStyle w:val="18"/>
          <w:rFonts w:hint="eastAsia" w:ascii="方正小标宋简体" w:hAnsi="方正小标宋简体" w:eastAsia="方正小标宋简体" w:cs="方正小标宋简体"/>
          <w:sz w:val="44"/>
          <w:szCs w:val="44"/>
          <w:shd w:val="clear" w:color="auto" w:fill="FFFFFF"/>
          <w:lang w:val="en-US" w:eastAsia="zh-CN"/>
        </w:rPr>
        <w:t>中共阿坝州红原县委宣传部</w:t>
      </w:r>
    </w:p>
    <w:p>
      <w:pPr>
        <w:pStyle w:val="15"/>
        <w:keepNext w:val="0"/>
        <w:keepLines w:val="0"/>
        <w:widowControl/>
        <w:suppressLineNumbers w:val="0"/>
        <w:ind w:left="0" w:right="75"/>
        <w:jc w:val="center"/>
        <w:rPr>
          <w:rFonts w:hint="eastAsia" w:ascii="方正小标宋简体" w:hAnsi="方正小标宋简体" w:eastAsia="方正小标宋简体" w:cs="方正小标宋简体"/>
          <w:sz w:val="44"/>
          <w:szCs w:val="44"/>
          <w:lang w:eastAsia="zh-CN"/>
        </w:rPr>
      </w:pPr>
      <w:r>
        <w:rPr>
          <w:rStyle w:val="18"/>
          <w:rFonts w:hint="eastAsia" w:ascii="方正小标宋简体" w:hAnsi="方正小标宋简体" w:eastAsia="方正小标宋简体" w:cs="方正小标宋简体"/>
          <w:sz w:val="44"/>
          <w:szCs w:val="44"/>
          <w:shd w:val="clear" w:color="auto" w:fill="FFFFFF"/>
        </w:rPr>
        <w:t>决算</w:t>
      </w:r>
      <w:r>
        <w:rPr>
          <w:rStyle w:val="18"/>
          <w:rFonts w:hint="eastAsia" w:ascii="方正小标宋简体" w:hAnsi="方正小标宋简体" w:eastAsia="方正小标宋简体" w:cs="方正小标宋简体"/>
          <w:sz w:val="44"/>
          <w:szCs w:val="44"/>
          <w:shd w:val="clear" w:color="auto" w:fill="FFFFFF"/>
          <w:lang w:eastAsia="zh-CN"/>
        </w:rPr>
        <w:t>公开编制说明</w:t>
      </w: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rPr>
          <w:sz w:val="24"/>
          <w:szCs w:val="24"/>
          <w:shd w:val="clear" w:color="auto" w:fill="FFFFFF"/>
        </w:rPr>
      </w:pPr>
    </w:p>
    <w:p>
      <w:pPr>
        <w:pStyle w:val="15"/>
        <w:keepNext w:val="0"/>
        <w:keepLines w:val="0"/>
        <w:widowControl/>
        <w:suppressLineNumbers w:val="0"/>
        <w:ind w:left="0" w:right="75"/>
        <w:jc w:val="left"/>
      </w:pPr>
      <w:r>
        <w:rPr>
          <w:sz w:val="24"/>
          <w:szCs w:val="24"/>
          <w:shd w:val="clear" w:color="auto" w:fill="FFFFFF"/>
        </w:rPr>
        <w:t>保密审查情况：已审查，内容审定</w:t>
      </w:r>
    </w:p>
    <w:p>
      <w:pPr>
        <w:pStyle w:val="15"/>
        <w:keepNext w:val="0"/>
        <w:keepLines w:val="0"/>
        <w:widowControl/>
        <w:suppressLineNumbers w:val="0"/>
        <w:ind w:left="0" w:right="75"/>
        <w:jc w:val="left"/>
      </w:pPr>
      <w:r>
        <w:rPr>
          <w:sz w:val="24"/>
          <w:szCs w:val="24"/>
          <w:shd w:val="clear" w:color="auto" w:fill="FFFFFF"/>
        </w:rPr>
        <w:t>部门主要负责人审签情况：已审签，同意对外公开</w:t>
      </w:r>
    </w:p>
    <w:p>
      <w:pPr>
        <w:pStyle w:val="15"/>
        <w:keepNext w:val="0"/>
        <w:keepLines w:val="0"/>
        <w:widowControl/>
        <w:suppressLineNumbers w:val="0"/>
        <w:ind w:left="0" w:right="75"/>
        <w:jc w:val="both"/>
        <w:rPr>
          <w:rStyle w:val="18"/>
          <w:sz w:val="30"/>
          <w:szCs w:val="30"/>
          <w:shd w:val="clear" w:color="auto" w:fill="FFFFFF"/>
        </w:rPr>
        <w:sectPr>
          <w:pgSz w:w="11906" w:h="16838"/>
          <w:pgMar w:top="1440" w:right="1800" w:bottom="1440" w:left="1800" w:header="851" w:footer="992" w:gutter="0"/>
          <w:cols w:space="720" w:num="1"/>
          <w:docGrid w:type="lines" w:linePitch="312" w:charSpace="0"/>
        </w:sectPr>
      </w:pPr>
    </w:p>
    <w:p>
      <w:pPr>
        <w:pStyle w:val="15"/>
        <w:keepNext w:val="0"/>
        <w:keepLines w:val="0"/>
        <w:widowControl/>
        <w:suppressLineNumbers w:val="0"/>
        <w:ind w:left="0" w:right="75"/>
        <w:jc w:val="center"/>
      </w:pPr>
      <w:r>
        <w:rPr>
          <w:rStyle w:val="18"/>
          <w:sz w:val="30"/>
          <w:szCs w:val="30"/>
          <w:shd w:val="clear" w:color="auto" w:fill="FFFFFF"/>
        </w:rPr>
        <w:t>目 录</w:t>
      </w:r>
    </w:p>
    <w:p>
      <w:pPr>
        <w:pStyle w:val="15"/>
        <w:keepNext w:val="0"/>
        <w:keepLines w:val="0"/>
        <w:widowControl/>
        <w:suppressLineNumbers w:val="0"/>
        <w:ind w:left="0" w:right="75"/>
        <w:jc w:val="center"/>
        <w:rPr>
          <w:rFonts w:hint="eastAsia"/>
        </w:rPr>
      </w:pPr>
      <w:r>
        <w:rPr>
          <w:sz w:val="24"/>
          <w:szCs w:val="24"/>
          <w:shd w:val="clear" w:color="auto" w:fill="FFFFFF"/>
        </w:rPr>
        <w:t>公开时间：</w:t>
      </w:r>
      <w:r>
        <w:rPr>
          <w:rFonts w:hint="eastAsia"/>
          <w:sz w:val="24"/>
          <w:szCs w:val="24"/>
          <w:shd w:val="clear" w:color="auto" w:fill="FFFFFF"/>
          <w:lang w:eastAsia="zh-CN"/>
        </w:rPr>
        <w:t>20</w:t>
      </w:r>
      <w:r>
        <w:rPr>
          <w:rFonts w:hint="eastAsia"/>
          <w:sz w:val="24"/>
          <w:szCs w:val="24"/>
          <w:shd w:val="clear" w:color="auto" w:fill="FFFFFF"/>
          <w:lang w:val="en-US" w:eastAsia="zh-CN"/>
        </w:rPr>
        <w:t>23</w:t>
      </w:r>
      <w:r>
        <w:rPr>
          <w:sz w:val="24"/>
          <w:szCs w:val="24"/>
          <w:shd w:val="clear" w:color="auto" w:fill="FFFFFF"/>
        </w:rPr>
        <w:t xml:space="preserve">年 </w:t>
      </w:r>
      <w:r>
        <w:rPr>
          <w:rFonts w:hint="eastAsia"/>
          <w:sz w:val="24"/>
          <w:szCs w:val="24"/>
          <w:shd w:val="clear" w:color="auto" w:fill="FFFFFF"/>
          <w:lang w:val="en-US" w:eastAsia="zh-CN"/>
        </w:rPr>
        <w:t>11</w:t>
      </w:r>
      <w:r>
        <w:rPr>
          <w:sz w:val="24"/>
          <w:szCs w:val="24"/>
          <w:shd w:val="clear" w:color="auto" w:fill="FFFFFF"/>
        </w:rPr>
        <w:t>月</w:t>
      </w:r>
      <w:r>
        <w:rPr>
          <w:rFonts w:hint="eastAsia"/>
          <w:sz w:val="24"/>
          <w:szCs w:val="24"/>
          <w:shd w:val="clear" w:color="auto" w:fill="FFFFFF"/>
          <w:lang w:val="en-US" w:eastAsia="zh-CN"/>
        </w:rPr>
        <w:t>3</w:t>
      </w:r>
      <w:r>
        <w:rPr>
          <w:sz w:val="24"/>
          <w:szCs w:val="24"/>
          <w:shd w:val="clear" w:color="auto" w:fill="FFFFFF"/>
        </w:rPr>
        <w:t>日</w:t>
      </w:r>
    </w:p>
    <w:sdt>
      <w:sdtPr>
        <w:rPr>
          <w:rFonts w:ascii="宋体" w:hAnsi="宋体" w:eastAsia="宋体" w:cs="Times New Roman"/>
          <w:kern w:val="2"/>
          <w:sz w:val="21"/>
          <w:szCs w:val="24"/>
          <w:lang w:val="en-US" w:eastAsia="zh-CN" w:bidi="ar-SA"/>
        </w:rPr>
        <w:id w:val="14745849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TOC \o "1-3" \h \u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第一部分 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一、基本职能及主要工作</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_Toc10295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二、机构设置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fldChar w:fldCharType="end"/>
          </w:r>
        </w:p>
        <w:p>
          <w:pPr>
            <w:pStyle w:val="13"/>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 xml:space="preserve">第二部分 </w:t>
          </w:r>
          <w:r>
            <w:rPr>
              <w:rFonts w:hint="eastAsia" w:ascii="仿宋_GB2312" w:hAnsi="仿宋_GB2312" w:eastAsia="仿宋_GB2312" w:cs="仿宋_GB2312"/>
              <w:sz w:val="30"/>
              <w:szCs w:val="30"/>
              <w:shd w:val="clear" w:color="auto" w:fill="FFFFFF"/>
              <w:lang w:eastAsia="zh-CN"/>
            </w:rPr>
            <w:t>2022</w:t>
          </w:r>
          <w:r>
            <w:rPr>
              <w:rFonts w:hint="eastAsia" w:ascii="仿宋_GB2312" w:hAnsi="仿宋_GB2312" w:eastAsia="仿宋_GB2312" w:cs="仿宋_GB2312"/>
              <w:sz w:val="30"/>
              <w:szCs w:val="30"/>
              <w:shd w:val="clear" w:color="auto" w:fill="FFFFFF"/>
            </w:rPr>
            <w:t>年度部门决算情况说明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_Toc23902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 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_Toc23902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_Toc21346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lang w:eastAsia="zh-CN"/>
            </w:rPr>
            <w:t xml:space="preserve">二、 </w:t>
          </w:r>
          <w:r>
            <w:rPr>
              <w:rFonts w:hint="eastAsia" w:ascii="仿宋_GB2312" w:hAnsi="仿宋_GB2312" w:eastAsia="仿宋_GB2312" w:cs="仿宋_GB2312"/>
              <w:sz w:val="30"/>
              <w:szCs w:val="30"/>
              <w:shd w:val="clear" w:color="auto" w:fill="FFFFFF"/>
            </w:rPr>
            <w:t>收入决算情况说明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_Toc21346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_Toc21019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三、 </w:t>
          </w:r>
          <w:r>
            <w:rPr>
              <w:rFonts w:hint="eastAsia" w:ascii="仿宋_GB2312" w:hAnsi="仿宋_GB2312" w:eastAsia="仿宋_GB2312" w:cs="仿宋_GB2312"/>
              <w:sz w:val="30"/>
              <w:szCs w:val="30"/>
              <w:shd w:val="clear" w:color="auto" w:fill="FFFFFF"/>
            </w:rPr>
            <w:t>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_Toc7956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四、 </w:t>
          </w:r>
          <w:r>
            <w:rPr>
              <w:rFonts w:hint="eastAsia" w:ascii="仿宋_GB2312" w:hAnsi="仿宋_GB2312" w:eastAsia="仿宋_GB2312" w:cs="仿宋_GB2312"/>
              <w:sz w:val="30"/>
              <w:szCs w:val="30"/>
              <w:shd w:val="clear" w:color="auto" w:fill="FFFFFF"/>
            </w:rPr>
            <w:t>财政拨款收入支出决算总体情况说明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_Toc7956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_Toc23149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五、一般公共预算财政拨款支出决算情况说明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_Toc23149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lang w:eastAsia="zh-CN"/>
            </w:rPr>
            <w:t>六、</w:t>
          </w:r>
          <w:r>
            <w:rPr>
              <w:rFonts w:hint="eastAsia" w:ascii="仿宋_GB2312" w:hAnsi="仿宋_GB2312" w:eastAsia="仿宋_GB2312" w:cs="仿宋_GB2312"/>
              <w:sz w:val="30"/>
              <w:szCs w:val="30"/>
              <w:shd w:val="clear" w:color="auto" w:fill="FFFFFF"/>
            </w:rPr>
            <w:t>一般公共预算财政拨款基本支出决算情况说明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_Toc18699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七、“三公”经费财政拨款支出决算情况说明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2</w:t>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_Toc9599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八、 </w:t>
          </w:r>
          <w:r>
            <w:rPr>
              <w:rFonts w:hint="eastAsia" w:ascii="仿宋_GB2312" w:hAnsi="仿宋_GB2312" w:eastAsia="仿宋_GB2312" w:cs="仿宋_GB2312"/>
              <w:sz w:val="30"/>
              <w:szCs w:val="30"/>
              <w:shd w:val="clear" w:color="auto" w:fill="FFFFFF"/>
            </w:rPr>
            <w:t>政府性基金预算支出决算情况说明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_Toc9599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_Toc31416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九、 </w:t>
          </w:r>
          <w:r>
            <w:rPr>
              <w:rFonts w:hint="eastAsia" w:ascii="仿宋_GB2312" w:hAnsi="仿宋_GB2312" w:eastAsia="仿宋_GB2312" w:cs="仿宋_GB2312"/>
              <w:sz w:val="30"/>
              <w:szCs w:val="30"/>
              <w:shd w:val="clear" w:color="auto" w:fill="FFFFFF"/>
            </w:rPr>
            <w:t>国有资本经营预算支出决算情况说明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_Toc31416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4"/>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_Toc11587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十、其他重要事项的情况说明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_Toc11587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3"/>
            <w:tabs>
              <w:tab w:val="right" w:leader="dot" w:pos="8306"/>
              <w:tab w:val="clear" w:pos="8296"/>
            </w:tabs>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_Toc26931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第三部分 </w:t>
          </w:r>
          <w:r>
            <w:rPr>
              <w:rFonts w:hint="eastAsia" w:ascii="仿宋_GB2312" w:hAnsi="仿宋_GB2312" w:eastAsia="仿宋_GB2312" w:cs="仿宋_GB2312"/>
              <w:sz w:val="30"/>
              <w:szCs w:val="30"/>
              <w:shd w:val="clear" w:color="auto" w:fill="FFFFFF"/>
            </w:rPr>
            <w:t>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16</w:t>
          </w:r>
        </w:p>
        <w:p>
          <w:pPr>
            <w:pStyle w:val="13"/>
            <w:tabs>
              <w:tab w:val="right" w:leader="dot" w:pos="8306"/>
              <w:tab w:val="clear" w:pos="8296"/>
            </w:tabs>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_Toc15389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第四部分 附件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19</w:t>
          </w:r>
        </w:p>
        <w:p>
          <w:pPr>
            <w:pStyle w:val="13"/>
            <w:tabs>
              <w:tab w:val="right" w:leader="dot" w:pos="8306"/>
              <w:tab w:val="clear" w:pos="8296"/>
            </w:tabs>
            <w:jc w:val="both"/>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_Toc29972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第五部分 附表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26</w:t>
          </w:r>
        </w:p>
        <w:p>
          <w:r>
            <w:rPr>
              <w:rFonts w:hint="eastAsia" w:ascii="仿宋_GB2312" w:hAnsi="仿宋_GB2312" w:eastAsia="仿宋_GB2312" w:cs="仿宋_GB2312"/>
              <w:sz w:val="30"/>
              <w:szCs w:val="30"/>
            </w:rPr>
            <w:fldChar w:fldCharType="end"/>
          </w:r>
        </w:p>
      </w:sdtContent>
    </w:sdt>
    <w:p>
      <w:pPr>
        <w:pStyle w:val="15"/>
        <w:keepNext w:val="0"/>
        <w:keepLines w:val="0"/>
        <w:widowControl/>
        <w:suppressLineNumbers w:val="0"/>
        <w:ind w:left="0" w:right="75"/>
        <w:jc w:val="center"/>
        <w:outlineLvl w:val="0"/>
        <w:rPr>
          <w:rFonts w:hint="eastAsia" w:ascii="黑体" w:hAnsi="黑体" w:eastAsia="黑体" w:cs="黑体"/>
          <w:sz w:val="44"/>
          <w:szCs w:val="44"/>
        </w:rPr>
      </w:pPr>
      <w:bookmarkStart w:id="0" w:name="_Toc27360"/>
      <w:r>
        <w:rPr>
          <w:rFonts w:hint="eastAsia" w:ascii="黑体" w:hAnsi="黑体" w:eastAsia="黑体" w:cs="黑体"/>
          <w:sz w:val="44"/>
          <w:szCs w:val="44"/>
          <w:shd w:val="clear" w:color="auto" w:fill="FFFFFF"/>
        </w:rPr>
        <w:t>第一部分 部门概况</w:t>
      </w:r>
      <w:bookmarkEnd w:id="0"/>
    </w:p>
    <w:p>
      <w:pPr>
        <w:pStyle w:val="15"/>
        <w:keepNext w:val="0"/>
        <w:keepLines w:val="0"/>
        <w:widowControl/>
        <w:suppressLineNumbers w:val="0"/>
        <w:ind w:left="0" w:right="75"/>
        <w:outlineLvl w:val="1"/>
        <w:rPr>
          <w:rFonts w:hint="eastAsia" w:ascii="黑体" w:hAnsi="黑体" w:eastAsia="黑体" w:cs="黑体"/>
          <w:sz w:val="32"/>
          <w:szCs w:val="32"/>
        </w:rPr>
      </w:pPr>
      <w:bookmarkStart w:id="1" w:name="_Toc14224"/>
      <w:r>
        <w:rPr>
          <w:rFonts w:hint="eastAsia" w:ascii="黑体" w:hAnsi="黑体" w:eastAsia="黑体" w:cs="黑体"/>
          <w:sz w:val="32"/>
          <w:szCs w:val="32"/>
          <w:shd w:val="clear" w:color="auto" w:fill="FFFFFF"/>
        </w:rPr>
        <w:t>一、基本职能及主要工作</w:t>
      </w:r>
      <w:bookmarkEnd w:id="1"/>
    </w:p>
    <w:p>
      <w:pPr>
        <w:pStyle w:val="15"/>
        <w:keepNext w:val="0"/>
        <w:keepLines w:val="0"/>
        <w:widowControl/>
        <w:suppressLineNumbers w:val="0"/>
        <w:ind w:left="0" w:right="75"/>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（一）主要职能。</w:t>
      </w:r>
    </w:p>
    <w:p>
      <w:pPr>
        <w:snapToGrid w:val="0"/>
        <w:spacing w:line="520"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eastAsia="zh-CN"/>
        </w:rPr>
        <w:t>．主要职能。</w:t>
      </w:r>
    </w:p>
    <w:p>
      <w:pPr>
        <w:pStyle w:val="8"/>
        <w:adjustRightInd w:val="0"/>
        <w:snapToGrid w:val="0"/>
        <w:spacing w:before="93" w:line="600" w:lineRule="exact"/>
        <w:ind w:firstLine="640" w:firstLineChars="200"/>
        <w:outlineLvl w:val="2"/>
        <w:rPr>
          <w:rFonts w:hint="eastAsia" w:ascii="仿宋_GB2312" w:hAnsi="仿宋_GB2312" w:eastAsia="仿宋_GB2312" w:cs="仿宋_GB2312"/>
          <w:bCs/>
          <w:sz w:val="32"/>
          <w:szCs w:val="32"/>
        </w:rPr>
      </w:pPr>
      <w:r>
        <w:rPr>
          <w:rFonts w:hint="eastAsia" w:hAnsi="仿宋_GB2312" w:cs="仿宋_GB2312"/>
          <w:bCs/>
          <w:sz w:val="32"/>
          <w:szCs w:val="32"/>
          <w:lang w:val="en-US" w:eastAsia="zh-CN"/>
        </w:rPr>
        <w:t>一是</w:t>
      </w:r>
      <w:r>
        <w:rPr>
          <w:rFonts w:hint="eastAsia" w:ascii="仿宋_GB2312" w:hAnsi="仿宋_GB2312" w:eastAsia="仿宋_GB2312" w:cs="仿宋_GB2312"/>
          <w:bCs/>
          <w:sz w:val="32"/>
          <w:szCs w:val="32"/>
        </w:rPr>
        <w:t>负责组织、指导全县的理论研究、理论学习和理论宣传工作。</w:t>
      </w:r>
      <w:r>
        <w:rPr>
          <w:rFonts w:hint="eastAsia" w:hAnsi="仿宋_GB2312" w:cs="仿宋_GB2312"/>
          <w:bCs/>
          <w:sz w:val="32"/>
          <w:szCs w:val="32"/>
          <w:lang w:val="en-US" w:eastAsia="zh-CN"/>
        </w:rPr>
        <w:t>二是</w:t>
      </w:r>
      <w:r>
        <w:rPr>
          <w:rFonts w:hint="eastAsia" w:ascii="仿宋_GB2312" w:hAnsi="仿宋_GB2312" w:eastAsia="仿宋_GB2312" w:cs="仿宋_GB2312"/>
          <w:bCs/>
          <w:sz w:val="32"/>
          <w:szCs w:val="32"/>
        </w:rPr>
        <w:t>负责引导社会舆论，指导协调新闻、出版部门的工作。对县广播电视局、县文化体育局、县新闻出版工作实施方案方针政策指导，管理县记者协会，并在政治方向和方针政策方面实施领导。</w:t>
      </w:r>
      <w:r>
        <w:rPr>
          <w:rFonts w:hint="eastAsia" w:hAnsi="仿宋_GB2312" w:cs="仿宋_GB2312"/>
          <w:bCs/>
          <w:sz w:val="32"/>
          <w:szCs w:val="32"/>
          <w:lang w:val="en-US" w:eastAsia="zh-CN"/>
        </w:rPr>
        <w:t>三是</w:t>
      </w:r>
      <w:r>
        <w:rPr>
          <w:rFonts w:hint="eastAsia" w:ascii="仿宋_GB2312" w:hAnsi="仿宋_GB2312" w:eastAsia="仿宋_GB2312" w:cs="仿宋_GB2312"/>
          <w:bCs/>
          <w:sz w:val="32"/>
          <w:szCs w:val="32"/>
        </w:rPr>
        <w:t>负责规划、部署全局性的思想政治工作任务，会同有关部门研究和改进群众思想教育工作。</w:t>
      </w:r>
      <w:r>
        <w:rPr>
          <w:rFonts w:hint="eastAsia" w:hAnsi="仿宋_GB2312" w:cs="仿宋_GB2312"/>
          <w:bCs/>
          <w:sz w:val="32"/>
          <w:szCs w:val="32"/>
          <w:lang w:val="en-US" w:eastAsia="zh-CN"/>
        </w:rPr>
        <w:t>四是</w:t>
      </w:r>
      <w:r>
        <w:rPr>
          <w:rFonts w:hint="eastAsia" w:ascii="仿宋_GB2312" w:hAnsi="仿宋_GB2312" w:eastAsia="仿宋_GB2312" w:cs="仿宋_GB2312"/>
          <w:bCs/>
          <w:sz w:val="32"/>
          <w:szCs w:val="32"/>
        </w:rPr>
        <w:t>负责指导、协调全县精神文明建设活动的开展。</w:t>
      </w:r>
      <w:r>
        <w:rPr>
          <w:rFonts w:hint="eastAsia" w:hAnsi="仿宋_GB2312" w:cs="仿宋_GB2312"/>
          <w:bCs/>
          <w:sz w:val="32"/>
          <w:szCs w:val="32"/>
          <w:lang w:val="en-US" w:eastAsia="zh-CN"/>
        </w:rPr>
        <w:t>五是</w:t>
      </w:r>
      <w:r>
        <w:rPr>
          <w:rFonts w:hint="eastAsia" w:ascii="仿宋_GB2312" w:hAnsi="仿宋_GB2312" w:eastAsia="仿宋_GB2312" w:cs="仿宋_GB2312"/>
          <w:bCs/>
          <w:sz w:val="32"/>
          <w:szCs w:val="32"/>
        </w:rPr>
        <w:t>配合县委组织部做好党员教育工作；负责编审党员教育教材；指导全县党员学习。</w:t>
      </w:r>
      <w:r>
        <w:rPr>
          <w:rFonts w:hint="eastAsia" w:hAnsi="仿宋_GB2312" w:cs="仿宋_GB2312"/>
          <w:bCs/>
          <w:sz w:val="32"/>
          <w:szCs w:val="32"/>
          <w:lang w:val="en-US" w:eastAsia="zh-CN"/>
        </w:rPr>
        <w:t>六是</w:t>
      </w:r>
      <w:r>
        <w:rPr>
          <w:rFonts w:hint="eastAsia" w:ascii="仿宋_GB2312" w:hAnsi="仿宋_GB2312" w:eastAsia="仿宋_GB2312" w:cs="仿宋_GB2312"/>
          <w:bCs/>
          <w:sz w:val="32"/>
          <w:szCs w:val="32"/>
        </w:rPr>
        <w:t>负责从宏观上指导全县各级各类学校的德育、政治理论教学和思想政治工作。</w:t>
      </w:r>
      <w:r>
        <w:rPr>
          <w:rFonts w:hint="eastAsia" w:hAnsi="仿宋_GB2312" w:cs="仿宋_GB2312"/>
          <w:bCs/>
          <w:sz w:val="32"/>
          <w:szCs w:val="32"/>
          <w:lang w:val="en-US" w:eastAsia="zh-CN"/>
        </w:rPr>
        <w:t>七是</w:t>
      </w:r>
      <w:r>
        <w:rPr>
          <w:rFonts w:hint="eastAsia" w:ascii="仿宋_GB2312" w:hAnsi="仿宋_GB2312" w:eastAsia="仿宋_GB2312" w:cs="仿宋_GB2312"/>
          <w:bCs/>
          <w:sz w:val="32"/>
          <w:szCs w:val="32"/>
        </w:rPr>
        <w:t>负责全县对外和港澳台的宣传工作；指导协调全县对外文化交流工作。</w:t>
      </w:r>
      <w:r>
        <w:rPr>
          <w:rFonts w:hint="eastAsia" w:hAnsi="仿宋_GB2312" w:cs="仿宋_GB2312"/>
          <w:bCs/>
          <w:sz w:val="32"/>
          <w:szCs w:val="32"/>
          <w:lang w:val="en-US" w:eastAsia="zh-CN"/>
        </w:rPr>
        <w:t>八是</w:t>
      </w:r>
      <w:r>
        <w:rPr>
          <w:rFonts w:hint="eastAsia" w:ascii="仿宋_GB2312" w:hAnsi="仿宋_GB2312" w:eastAsia="仿宋_GB2312" w:cs="仿宋_GB2312"/>
          <w:bCs/>
          <w:sz w:val="32"/>
          <w:szCs w:val="32"/>
        </w:rPr>
        <w:t>受县委委托，会同县委管理县级新闻、文化、出版等部门的领导干部，指导这些部门领导班子的建设；对宣传文化广电系统科股室干部的任免提出意见；制定培训计划并组织对全县知识分子工作和理论、新闻、出版、文艺等方面优秀人才的选拔、培养工作。</w:t>
      </w:r>
      <w:r>
        <w:rPr>
          <w:rFonts w:hint="eastAsia" w:hAnsi="仿宋_GB2312" w:cs="仿宋_GB2312"/>
          <w:bCs/>
          <w:sz w:val="32"/>
          <w:szCs w:val="32"/>
          <w:lang w:val="en-US" w:eastAsia="zh-CN"/>
        </w:rPr>
        <w:t>九是</w:t>
      </w:r>
      <w:r>
        <w:rPr>
          <w:rFonts w:hint="eastAsia" w:ascii="仿宋_GB2312" w:hAnsi="仿宋_GB2312" w:eastAsia="仿宋_GB2312" w:cs="仿宋_GB2312"/>
          <w:bCs/>
          <w:sz w:val="32"/>
          <w:szCs w:val="32"/>
        </w:rPr>
        <w:t>负责提出全县宣传文化事业发展的指导方针；指导宣传文化系统制定政策、法规；按照县委的工作部署，对宣传文化系统各部门之间的工作进行协调。</w:t>
      </w:r>
      <w:r>
        <w:rPr>
          <w:rFonts w:hint="eastAsia" w:hAnsi="仿宋_GB2312" w:cs="仿宋_GB2312"/>
          <w:bCs/>
          <w:sz w:val="32"/>
          <w:szCs w:val="32"/>
          <w:lang w:val="en-US" w:eastAsia="zh-CN"/>
        </w:rPr>
        <w:t>十是</w:t>
      </w:r>
      <w:r>
        <w:rPr>
          <w:rFonts w:hint="eastAsia" w:ascii="仿宋_GB2312" w:hAnsi="仿宋_GB2312" w:eastAsia="仿宋_GB2312" w:cs="仿宋_GB2312"/>
          <w:bCs/>
          <w:sz w:val="32"/>
          <w:szCs w:val="32"/>
        </w:rPr>
        <w:t>根据州，县宣传报道要点，组织采写稿件，并向《阿坝日报》、《四川日报》等各级办刊推荐。</w:t>
      </w:r>
    </w:p>
    <w:p>
      <w:pPr>
        <w:pStyle w:val="15"/>
        <w:keepNext w:val="0"/>
        <w:keepLines w:val="0"/>
        <w:widowControl/>
        <w:suppressLineNumbers w:val="0"/>
        <w:ind w:left="0" w:right="75"/>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w:t>
      </w:r>
      <w:r>
        <w:rPr>
          <w:rFonts w:hint="eastAsia" w:ascii="楷体_GB2312" w:hAnsi="楷体_GB2312" w:eastAsia="楷体_GB2312" w:cs="楷体_GB2312"/>
          <w:b/>
          <w:bCs/>
          <w:sz w:val="32"/>
          <w:szCs w:val="32"/>
          <w:shd w:val="clear" w:color="auto" w:fill="FFFFFF"/>
          <w:lang w:eastAsia="zh-CN"/>
        </w:rPr>
        <w:t>2022</w:t>
      </w:r>
      <w:r>
        <w:rPr>
          <w:rFonts w:hint="eastAsia" w:ascii="楷体_GB2312" w:hAnsi="楷体_GB2312" w:eastAsia="楷体_GB2312" w:cs="楷体_GB2312"/>
          <w:b/>
          <w:bCs/>
          <w:sz w:val="32"/>
          <w:szCs w:val="32"/>
          <w:shd w:val="clear" w:color="auto" w:fill="FFFFFF"/>
        </w:rPr>
        <w:t>年重点工作完成情况。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bookmarkStart w:id="2" w:name="_Toc10295"/>
      <w:r>
        <w:rPr>
          <w:rFonts w:hint="eastAsia" w:ascii="仿宋_GB2312" w:hAnsi="仿宋_GB2312" w:eastAsia="仿宋_GB2312" w:cs="仿宋_GB2312"/>
          <w:b w:val="0"/>
          <w:bCs w:val="0"/>
          <w:sz w:val="32"/>
          <w:szCs w:val="32"/>
          <w:lang w:val="en-US" w:eastAsia="zh-CN"/>
        </w:rPr>
        <w:t>2022年，红原</w:t>
      </w: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eastAsia="zh-CN"/>
        </w:rPr>
        <w:t>始终坚持以习近平新时代中国特色社会主义思想为指导，坚定不移贯彻习近平总书记关于宣传思想工作重要论述，增强“四个意识”，坚定“四个自信”，做到“两个维护”，着眼“两个大局”，胸怀“国之大者”，贯彻“省之大计”、做好“州之大事”，扎实履行“举旗帜、聚民心、育新人、兴文化、展形象”使命任务。</w:t>
      </w:r>
      <w:r>
        <w:rPr>
          <w:rFonts w:hint="eastAsia" w:ascii="仿宋_GB2312" w:hAnsi="仿宋_GB2312" w:eastAsia="仿宋_GB2312" w:cs="仿宋_GB2312"/>
          <w:color w:val="auto"/>
          <w:sz w:val="32"/>
          <w:szCs w:val="32"/>
          <w:lang w:val="en-US" w:eastAsia="zh-CN"/>
        </w:rPr>
        <w:t>突出迎接宣传贯彻党的二十大和省第十二次党代会精神主题主线，抓实理论学习、舆论宣教、外宣提质、文明实践、文化服务、文旅融合、风险防范、清朗网络、自身建设，推动全县宣传思想文</w:t>
      </w:r>
      <w:r>
        <w:rPr>
          <w:rFonts w:hint="eastAsia" w:ascii="仿宋_GB2312" w:hAnsi="仿宋_GB2312" w:eastAsia="仿宋_GB2312" w:cs="仿宋_GB2312"/>
          <w:b w:val="0"/>
          <w:bCs w:val="0"/>
          <w:color w:val="auto"/>
          <w:kern w:val="2"/>
          <w:sz w:val="32"/>
          <w:szCs w:val="32"/>
          <w:lang w:val="en-US" w:eastAsia="zh-CN" w:bidi="ar-SA"/>
        </w:rPr>
        <w:t>化工作高质量发展，</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i w:val="0"/>
          <w:caps w:val="0"/>
          <w:color w:val="000000"/>
          <w:spacing w:val="0"/>
          <w:sz w:val="32"/>
          <w:szCs w:val="32"/>
          <w:lang w:eastAsia="zh-CN"/>
        </w:rPr>
        <w:t>加快建设“一州两区三家园”</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rPr>
        <w:t>团结富裕文明和谐美丽</w:t>
      </w:r>
      <w:r>
        <w:rPr>
          <w:rFonts w:hint="eastAsia" w:ascii="仿宋_GB2312" w:hAnsi="仿宋_GB2312" w:eastAsia="仿宋_GB2312" w:cs="仿宋_GB2312"/>
          <w:color w:val="auto"/>
          <w:sz w:val="32"/>
          <w:szCs w:val="32"/>
          <w:lang w:eastAsia="zh-CN"/>
        </w:rPr>
        <w:t>新</w:t>
      </w:r>
      <w:r>
        <w:rPr>
          <w:rFonts w:hint="eastAsia" w:ascii="仿宋_GB2312" w:hAnsi="仿宋_GB2312" w:eastAsia="仿宋_GB2312" w:cs="仿宋_GB2312"/>
          <w:color w:val="auto"/>
          <w:sz w:val="32"/>
          <w:szCs w:val="32"/>
        </w:rPr>
        <w:t>红原提供</w:t>
      </w:r>
      <w:r>
        <w:rPr>
          <w:rFonts w:hint="eastAsia" w:ascii="仿宋_GB2312" w:hAnsi="仿宋_GB2312" w:eastAsia="仿宋_GB2312" w:cs="仿宋_GB2312"/>
          <w:color w:val="auto"/>
          <w:sz w:val="32"/>
          <w:szCs w:val="32"/>
          <w:lang w:eastAsia="zh-CN"/>
        </w:rPr>
        <w:t>了</w:t>
      </w:r>
      <w:r>
        <w:rPr>
          <w:rFonts w:hint="eastAsia" w:ascii="仿宋_GB2312" w:hAnsi="仿宋_GB2312" w:eastAsia="仿宋_GB2312" w:cs="仿宋_GB2312"/>
          <w:color w:val="auto"/>
          <w:sz w:val="32"/>
          <w:szCs w:val="32"/>
        </w:rPr>
        <w:t>有力的思想保证</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精神动力</w:t>
      </w:r>
      <w:r>
        <w:rPr>
          <w:rFonts w:hint="eastAsia" w:ascii="仿宋_GB2312" w:hAnsi="仿宋_GB2312" w:eastAsia="仿宋_GB2312" w:cs="仿宋_GB2312"/>
          <w:color w:val="auto"/>
          <w:sz w:val="32"/>
          <w:szCs w:val="32"/>
          <w:lang w:eastAsia="zh-CN"/>
        </w:rPr>
        <w:t>。现将红原县宣传思想文化工作开展情况简要报告如下：</w:t>
      </w:r>
    </w:p>
    <w:p>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过去一年，我们始终高举思想之旗，实施“理论武装入脑入心”行动，以新思想铸魂立心。</w:t>
      </w:r>
      <w:r>
        <w:rPr>
          <w:rFonts w:hint="eastAsia" w:ascii="仿宋_GB2312" w:hAnsi="仿宋_GB2312" w:eastAsia="仿宋_GB2312" w:cs="仿宋_GB2312"/>
          <w:i w:val="0"/>
          <w:caps w:val="0"/>
          <w:color w:val="000000"/>
          <w:spacing w:val="0"/>
          <w:sz w:val="32"/>
          <w:szCs w:val="32"/>
          <w:lang w:val="en-US" w:eastAsia="zh-CN"/>
        </w:rPr>
        <w:t>坚持把学习宣传贯彻习近平新时代中国特色社会主义思想作为首要政治任务，紧紧抓住“关键少数”，加强各级党委党组理论中心组学习，深入开展理论学习中心组“联学+旁听”工作。深入开展“十个明确”专题学习培训，引导党员干部群众坚决拥护“两个确立”、坚定做到“两个维护”。</w:t>
      </w:r>
      <w:r>
        <w:rPr>
          <w:rFonts w:hint="eastAsia" w:ascii="仿宋_GB2312" w:hAnsi="仿宋_GB2312" w:eastAsia="仿宋_GB2312" w:cs="仿宋_GB2312"/>
          <w:kern w:val="2"/>
          <w:sz w:val="32"/>
          <w:szCs w:val="32"/>
          <w:lang w:val="en-US" w:eastAsia="zh-CN" w:bidi="ar-SA"/>
        </w:rPr>
        <w:t>全覆盖征订使用《习近平谈治国理政》（第四卷），制作《学习资料汇编》8期，发放《党史学习教育双语教材》《党的二十大精神应知应会》等自编读本1400余本。高质量举办“感党恩、比变化、话振兴”主题演讲比赛。制发《红原县关于常态化长效化开展党史学习教育的实施方案》的通知，推进“我为群众办实事”实践活动常态化。</w:t>
      </w:r>
      <w:r>
        <w:rPr>
          <w:rFonts w:hint="eastAsia" w:ascii="仿宋_GB2312" w:hAnsi="仿宋_GB2312" w:eastAsia="仿宋_GB2312" w:cs="仿宋_GB2312"/>
          <w:i w:val="0"/>
          <w:caps w:val="0"/>
          <w:color w:val="000000"/>
          <w:spacing w:val="0"/>
          <w:sz w:val="32"/>
          <w:szCs w:val="32"/>
          <w:lang w:val="en-US" w:eastAsia="zh-CN"/>
        </w:rPr>
        <w:t>本着“讲政治、有高度，接地气、有深度，贴人心、有温度”的原则，</w:t>
      </w:r>
      <w:r>
        <w:rPr>
          <w:rFonts w:hint="eastAsia" w:ascii="仿宋_GB2312" w:hAnsi="仿宋_GB2312" w:eastAsia="仿宋_GB2312" w:cs="仿宋_GB2312"/>
          <w:kern w:val="2"/>
          <w:sz w:val="32"/>
          <w:szCs w:val="32"/>
          <w:lang w:val="en-US" w:eastAsia="zh-CN" w:bidi="ar-SA"/>
        </w:rPr>
        <w:t>创新“1+10+9+5+N”“红色草原”理论宣讲模式，以“宣讲大篷车”的形式深入行业领域和牧区基层，用群众喜闻乐见的方式开展对象化、分众化、互动化宣讲，把“书面文章”转化成“大白话”，用藏语方言讲好讲活党的二十大精神、习近平总书记来川视察重要指示精神和省第十二次党代会精神，让理论宣讲充满“安多味”和“百姓味”，不断拓宽基层理论宣传学习覆盖面。今年以来，召开县委理论学习中心组专题学习会18次，开展列席旁15次，开展各类宣讲430余场次，覆盖群众僧尼5.1万人。</w:t>
      </w:r>
    </w:p>
    <w:p>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过去一年，我们始终汇聚奋进之力，实施“舆论引导有方有效”行动，以最强音放歌立言</w:t>
      </w:r>
      <w:r>
        <w:rPr>
          <w:rFonts w:hint="eastAsia" w:ascii="仿宋_GB2312" w:hAnsi="仿宋_GB2312" w:eastAsia="仿宋_GB2312" w:cs="仿宋_GB2312"/>
          <w:b/>
          <w:bCs/>
          <w:sz w:val="32"/>
          <w:szCs w:val="32"/>
          <w:lang w:val="en-US" w:eastAsia="zh-CN" w:bidi="ar-SA"/>
        </w:rPr>
        <w:t>。</w:t>
      </w:r>
      <w:r>
        <w:rPr>
          <w:rFonts w:hint="eastAsia" w:ascii="仿宋_GB2312" w:hAnsi="仿宋_GB2312" w:eastAsia="仿宋_GB2312" w:cs="仿宋_GB2312"/>
          <w:kern w:val="2"/>
          <w:sz w:val="32"/>
          <w:szCs w:val="32"/>
          <w:lang w:val="en-US" w:eastAsia="zh-CN" w:bidi="ar-SA"/>
        </w:rPr>
        <w:t>积极构建大外宣工作格局，用心、用情、用力做好新闻宣传、文艺宣传、社会宣传。紧扣县“五大家园”建设、雅克音乐季、黄河上游生态保护、畜牧产业转型升级等特色外宣资源，积极邀请中央、省级、州级媒体来红原集中采访报，大力宣传我县资源禀赋、区位优势、产业特色，积极宣传我县拼经济、搞建设、抓发展取得的巨大成就，推出了一批带有“红原味”、体现“红原造”的内外宣作品。开设专题专栏16个，推送宣传报道文章、短视频465期，制作单立柱大型户外广告120余幅，张贴墙体广告、海报1400余张，道旗</w:t>
      </w:r>
      <w:r>
        <w:rPr>
          <w:rFonts w:hint="eastAsia" w:ascii="仿宋_GB2312" w:hAnsi="仿宋_GB2312" w:eastAsia="仿宋_GB2312" w:cs="仿宋_GB2312"/>
          <w:color w:val="auto"/>
          <w:spacing w:val="6"/>
          <w:kern w:val="2"/>
          <w:sz w:val="32"/>
          <w:szCs w:val="32"/>
          <w:lang w:val="en-US" w:eastAsia="zh-CN" w:bidi="ar-SA"/>
        </w:rPr>
        <w:t>1700余面，</w:t>
      </w:r>
      <w:r>
        <w:rPr>
          <w:rFonts w:hint="eastAsia" w:ascii="仿宋_GB2312" w:hAnsi="仿宋_GB2312" w:eastAsia="仿宋_GB2312" w:cs="仿宋_GB2312"/>
          <w:kern w:val="2"/>
          <w:sz w:val="32"/>
          <w:szCs w:val="32"/>
          <w:lang w:val="en-US" w:eastAsia="zh-CN" w:bidi="ar-SA"/>
        </w:rPr>
        <w:t>大力营造迎接学习宣传贯彻党的二十大、省第十二次党代会等重大时节的社会氛围。</w:t>
      </w:r>
      <w:r>
        <w:rPr>
          <w:rFonts w:hint="eastAsia" w:ascii="仿宋_GB2312" w:hAnsi="仿宋_GB2312" w:eastAsia="仿宋_GB2312" w:cs="仿宋_GB2312"/>
          <w:color w:val="auto"/>
          <w:spacing w:val="6"/>
          <w:kern w:val="2"/>
          <w:sz w:val="32"/>
          <w:szCs w:val="32"/>
          <w:lang w:val="en-US" w:eastAsia="zh-CN" w:bidi="ar-SA"/>
        </w:rPr>
        <w:t>组织推荐“四川乡当潮”第二届乡村振兴魅力乡镇竞演大赛作品13件。</w:t>
      </w:r>
      <w:r>
        <w:rPr>
          <w:rFonts w:hint="eastAsia" w:ascii="仿宋_GB2312" w:hAnsi="仿宋_GB2312" w:eastAsia="仿宋_GB2312" w:cs="仿宋_GB2312"/>
          <w:i w:val="0"/>
          <w:iCs w:val="0"/>
          <w:caps w:val="0"/>
          <w:color w:val="000000" w:themeColor="text1"/>
          <w:spacing w:val="30"/>
          <w:sz w:val="32"/>
          <w:szCs w:val="32"/>
          <w:shd w:val="clear" w:fill="FFFFFF"/>
          <w:lang w:val="en-US" w:eastAsia="zh-CN"/>
          <w14:textFill>
            <w14:solidFill>
              <w14:schemeClr w14:val="tx1"/>
            </w14:solidFill>
          </w14:textFill>
        </w:rPr>
        <w:t>配合开展《行走黄河174》</w:t>
      </w:r>
      <w:r>
        <w:rPr>
          <w:rFonts w:hint="eastAsia" w:ascii="仿宋_GB2312" w:hAnsi="仿宋_GB2312" w:eastAsia="仿宋_GB2312" w:cs="仿宋_GB2312"/>
          <w:kern w:val="2"/>
          <w:sz w:val="32"/>
          <w:szCs w:val="32"/>
          <w:lang w:val="en-US" w:eastAsia="zh-CN" w:bidi="ar-SA"/>
        </w:rPr>
        <w:t>《长征组歌》《奋进新时代、启航新征程-喜迎省第十二次党代会》等专题拍摄采访工作。展映展播了《万里归途》《跨过鸭绿江》等重点影视作品。在国家级媒体发布红原稿件115条，省、州媒体发布红原稿件367条。其中，《大草原游客已至 畜牧旅游促增收》《马背上的“流动车管所”》《远方的家》系列节目《牦牛之乡—红原》分别在中央1套、中央12套、中央4套播出，较好发挥了宣传思想引领作用。</w:t>
      </w:r>
    </w:p>
    <w:p>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其中，</w:t>
      </w:r>
      <w:r>
        <w:rPr>
          <w:rFonts w:hint="eastAsia" w:ascii="仿宋_GB2312" w:hAnsi="仿宋_GB2312" w:eastAsia="仿宋_GB2312" w:cs="仿宋_GB2312"/>
          <w:b w:val="0"/>
          <w:bCs w:val="0"/>
          <w:sz w:val="32"/>
          <w:szCs w:val="32"/>
          <w:lang w:val="en-US" w:eastAsia="zh-CN"/>
        </w:rPr>
        <w:t>过去一年，我们始终培铸强国之魂，实施“精神文明见行见心”行动，以正能量立德树人</w:t>
      </w:r>
      <w:r>
        <w:rPr>
          <w:rFonts w:hint="eastAsia" w:ascii="仿宋_GB2312" w:hAnsi="仿宋_GB2312" w:eastAsia="仿宋_GB2312" w:cs="仿宋_GB2312"/>
          <w:b/>
          <w:bCs/>
          <w:sz w:val="32"/>
          <w:szCs w:val="32"/>
          <w:lang w:val="en-US" w:eastAsia="zh-CN" w:bidi="ar-SA"/>
        </w:rPr>
        <w:t>。</w:t>
      </w:r>
      <w:r>
        <w:rPr>
          <w:rFonts w:hint="eastAsia" w:ascii="仿宋_GB2312" w:hAnsi="仿宋_GB2312" w:eastAsia="仿宋_GB2312" w:cs="仿宋_GB2312"/>
          <w:kern w:val="2"/>
          <w:sz w:val="32"/>
          <w:szCs w:val="32"/>
          <w:lang w:val="en-US" w:eastAsia="zh-CN" w:bidi="ar-SA"/>
        </w:rPr>
        <w:t>大力培育和践行社会主义核心价值观，努力培养担当民族复兴重任的时代新人。统筹做好第六届省级文明城市复核工作，做好新一届文明单位、村镇、校园、家庭创建、复核工作。吴益措同学获评四川省“新时代好少年”荣誉称号，评选“最美家庭”2户。持续深化“敬信勤新”红原新民风培树活动，储备先进个人候选人14名，多载体、全覆盖开展先进人物事迹展播。“中国好人”“四川好人”荣誉获得者罗建国参加四川省先进典型事迹基层巡讲活动28场次，社会反响强烈，传递了道德力量。按照省委“有场所、有队伍、有活动、有项目、有机制”，县、乡（镇）、村（社区）实现中心、所、站全覆盖，即“五有三全”建设标准和州委“13个1”建设内涵，在10个乡镇35个村（社区）挂牌运行新时代文明实践所（站），提供志愿服务超过4万小时，开展各类文明实践活动300余场次，文明新风尚有效引领。</w:t>
      </w:r>
    </w:p>
    <w:p>
      <w:pPr>
        <w:pStyle w:val="15"/>
        <w:keepNext w:val="0"/>
        <w:keepLines w:val="0"/>
        <w:widowControl/>
        <w:numPr>
          <w:ilvl w:val="0"/>
          <w:numId w:val="1"/>
        </w:numPr>
        <w:suppressLineNumbers w:val="0"/>
        <w:ind w:left="0" w:right="75"/>
        <w:outlineLvl w:val="1"/>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机构设置</w:t>
      </w:r>
      <w:bookmarkEnd w:id="2"/>
      <w:bookmarkStart w:id="3" w:name="_Toc6796"/>
    </w:p>
    <w:p>
      <w:pPr>
        <w:pStyle w:val="15"/>
        <w:keepNext w:val="0"/>
        <w:keepLines w:val="0"/>
        <w:widowControl/>
        <w:numPr>
          <w:ilvl w:val="0"/>
          <w:numId w:val="0"/>
        </w:numPr>
        <w:suppressLineNumbers w:val="0"/>
        <w:ind w:right="75" w:rightChars="0" w:firstLine="640" w:firstLineChars="200"/>
        <w:outlineLvl w:val="1"/>
        <w:rPr>
          <w:rFonts w:hint="eastAsia" w:ascii="仿宋" w:hAnsi="仿宋" w:eastAsia="仿宋" w:cs="Times New Roman"/>
          <w:b w:val="0"/>
          <w:bCs/>
          <w:color w:val="000000"/>
          <w:kern w:val="0"/>
          <w:sz w:val="32"/>
          <w:szCs w:val="32"/>
          <w:lang w:val="en-US" w:eastAsia="zh-CN" w:bidi="ar-SA"/>
        </w:rPr>
      </w:pPr>
      <w:r>
        <w:rPr>
          <w:rFonts w:hint="eastAsia" w:ascii="仿宋" w:hAnsi="仿宋" w:eastAsia="仿宋" w:cs="Times New Roman"/>
          <w:b w:val="0"/>
          <w:bCs/>
          <w:color w:val="000000"/>
          <w:kern w:val="0"/>
          <w:sz w:val="32"/>
          <w:szCs w:val="32"/>
          <w:lang w:val="en-US" w:eastAsia="zh-CN" w:bidi="ar-SA"/>
        </w:rPr>
        <w:t>我单位为独立核算全额拨款行政单位，下设1机构。截止2022年底我单位共有编制16个，其中公务员编制8个，行政工勤编制1个，事业编制7个，在职16人，其中参公0人，公务员8人，行政工勤编制1个，事业编制7人。宣传部下属二级单位1个，其中行政单位个，参照公务员法管理的事业单位0个，其他事业单位1个。纳入宣传部2022年度部门决算编制范围的二级预算单位包括：红原县宣传部互联网信息办公室</w:t>
      </w:r>
    </w:p>
    <w:p>
      <w:pPr>
        <w:pStyle w:val="15"/>
        <w:keepNext w:val="0"/>
        <w:keepLines w:val="0"/>
        <w:widowControl/>
        <w:suppressLineNumbers w:val="0"/>
        <w:ind w:right="75" w:firstLine="880" w:firstLineChars="200"/>
        <w:jc w:val="both"/>
        <w:outlineLvl w:val="0"/>
        <w:rPr>
          <w:rFonts w:hint="eastAsia" w:ascii="黑体" w:hAnsi="黑体" w:eastAsia="黑体" w:cs="黑体"/>
          <w:sz w:val="44"/>
          <w:szCs w:val="44"/>
        </w:rPr>
      </w:pPr>
      <w:r>
        <w:rPr>
          <w:rFonts w:hint="eastAsia" w:ascii="黑体" w:hAnsi="黑体" w:eastAsia="黑体" w:cs="黑体"/>
          <w:sz w:val="44"/>
          <w:szCs w:val="44"/>
          <w:shd w:val="clear" w:color="auto" w:fill="FFFFFF"/>
        </w:rPr>
        <w:t xml:space="preserve">第二部分 </w:t>
      </w:r>
      <w:r>
        <w:rPr>
          <w:rFonts w:hint="eastAsia" w:ascii="黑体" w:hAnsi="黑体" w:eastAsia="黑体" w:cs="黑体"/>
          <w:sz w:val="44"/>
          <w:szCs w:val="44"/>
          <w:shd w:val="clear" w:color="auto" w:fill="FFFFFF"/>
          <w:lang w:eastAsia="zh-CN"/>
        </w:rPr>
        <w:t>2022</w:t>
      </w:r>
      <w:r>
        <w:rPr>
          <w:rFonts w:hint="eastAsia" w:ascii="黑体" w:hAnsi="黑体" w:eastAsia="黑体" w:cs="黑体"/>
          <w:sz w:val="44"/>
          <w:szCs w:val="44"/>
          <w:shd w:val="clear" w:color="auto" w:fill="FFFFFF"/>
        </w:rPr>
        <w:t>年度部门决算情况说明</w:t>
      </w:r>
      <w:bookmarkEnd w:id="3"/>
    </w:p>
    <w:p>
      <w:pPr>
        <w:pStyle w:val="15"/>
        <w:keepNext w:val="0"/>
        <w:keepLines w:val="0"/>
        <w:widowControl/>
        <w:suppressLineNumbers w:val="0"/>
        <w:ind w:left="0" w:right="75"/>
        <w:outlineLvl w:val="1"/>
        <w:rPr>
          <w:rFonts w:hint="eastAsia" w:ascii="黑体" w:hAnsi="黑体" w:eastAsia="黑体" w:cs="黑体"/>
          <w:sz w:val="32"/>
          <w:szCs w:val="32"/>
          <w:shd w:val="clear" w:color="auto" w:fill="FFFFFF"/>
        </w:rPr>
      </w:pPr>
      <w:bookmarkStart w:id="4" w:name="_Toc23902"/>
      <w:r>
        <w:rPr>
          <w:rFonts w:hint="eastAsia" w:ascii="黑体" w:hAnsi="黑体" w:eastAsia="黑体" w:cs="黑体"/>
          <w:sz w:val="32"/>
          <w:szCs w:val="32"/>
          <w:shd w:val="clear" w:color="auto" w:fill="FFFFFF"/>
        </w:rPr>
        <w:t>一、 收入支出决算总体情况说明</w:t>
      </w:r>
      <w:bookmarkEnd w:id="4"/>
    </w:p>
    <w:p>
      <w:pPr>
        <w:pStyle w:val="15"/>
        <w:keepNext w:val="0"/>
        <w:keepLines w:val="0"/>
        <w:widowControl/>
        <w:suppressLineNumbers w:val="0"/>
        <w:ind w:left="0" w:right="75" w:firstLine="640" w:firstLineChars="200"/>
        <w:outlineLvl w:val="1"/>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年度</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880.22</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880.22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330.73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37.57</w:t>
      </w:r>
      <w:r>
        <w:rPr>
          <w:rFonts w:ascii="仿宋" w:hAnsi="仿宋" w:eastAsia="仿宋"/>
          <w:color w:val="000000"/>
          <w:sz w:val="32"/>
          <w:szCs w:val="32"/>
        </w:rPr>
        <w:t>%</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增加308.14万元，增长35.01%</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项目增加。</w:t>
      </w:r>
    </w:p>
    <w:p>
      <w:pPr>
        <w:spacing w:line="600" w:lineRule="exact"/>
        <w:ind w:firstLine="640" w:firstLineChars="200"/>
        <w:jc w:val="center"/>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：收、支决算变动情况图）（柱状图）</w:t>
      </w:r>
    </w:p>
    <w:p>
      <w:pPr>
        <w:pStyle w:val="7"/>
        <w:rPr>
          <w:rFonts w:hint="eastAsia" w:ascii="黑体" w:hAnsi="黑体" w:eastAsia="黑体" w:cs="黑体"/>
          <w:sz w:val="32"/>
          <w:szCs w:val="32"/>
          <w:shd w:val="clear" w:color="auto" w:fill="FFFFFF"/>
          <w:lang w:eastAsia="zh-CN"/>
        </w:rPr>
      </w:pPr>
      <w:r>
        <w:rPr>
          <w:rFonts w:hint="eastAsia" w:ascii="黑体" w:hAnsi="黑体" w:eastAsia="黑体" w:cs="黑体"/>
          <w:sz w:val="32"/>
          <w:szCs w:val="32"/>
          <w:shd w:val="clear" w:color="auto" w:fill="FFFFFF"/>
          <w:lang w:eastAsia="zh-CN"/>
        </w:rPr>
        <w:drawing>
          <wp:inline distT="0" distB="0" distL="114300" distR="114300">
            <wp:extent cx="5080000" cy="2628900"/>
            <wp:effectExtent l="4445" t="4445" r="20955" b="1460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bookmarkStart w:id="5" w:name="_Toc21346"/>
    </w:p>
    <w:p>
      <w:pPr>
        <w:pStyle w:val="7"/>
        <w:rPr>
          <w:rFonts w:hint="eastAsia" w:ascii="黑体" w:hAnsi="黑体" w:eastAsia="黑体" w:cs="黑体"/>
          <w:sz w:val="32"/>
          <w:szCs w:val="32"/>
          <w:shd w:val="clear" w:color="auto" w:fill="FFFFFF"/>
          <w:lang w:eastAsia="zh-CN"/>
        </w:rPr>
      </w:pPr>
    </w:p>
    <w:p>
      <w:pPr>
        <w:pStyle w:val="7"/>
        <w:rPr>
          <w:rFonts w:hint="eastAsia" w:ascii="仿宋" w:hAnsi="仿宋" w:eastAsia="仿宋"/>
          <w:b/>
          <w:bCs/>
          <w:color w:val="000000"/>
          <w:sz w:val="32"/>
          <w:szCs w:val="32"/>
          <w:lang w:eastAsia="zh-CN"/>
        </w:rPr>
      </w:pPr>
      <w:r>
        <w:rPr>
          <w:rFonts w:hint="eastAsia" w:ascii="黑体" w:hAnsi="黑体" w:eastAsia="黑体" w:cs="黑体"/>
          <w:b/>
          <w:bCs/>
          <w:sz w:val="32"/>
          <w:szCs w:val="32"/>
          <w:shd w:val="clear" w:color="auto" w:fill="FFFFFF"/>
          <w:lang w:val="en-US" w:eastAsia="zh-CN"/>
        </w:rPr>
        <w:t>二、</w:t>
      </w:r>
      <w:r>
        <w:rPr>
          <w:rFonts w:hint="eastAsia" w:ascii="黑体" w:hAnsi="黑体" w:eastAsia="黑体" w:cs="黑体"/>
          <w:b/>
          <w:bCs/>
          <w:sz w:val="32"/>
          <w:szCs w:val="32"/>
          <w:shd w:val="clear" w:color="auto" w:fill="FFFFFF"/>
        </w:rPr>
        <w:t>收入决算情况说明</w:t>
      </w:r>
      <w:bookmarkEnd w:id="5"/>
    </w:p>
    <w:p>
      <w:pPr>
        <w:spacing w:line="600" w:lineRule="exact"/>
        <w:ind w:firstLine="640" w:firstLineChars="200"/>
        <w:outlineLvl w:val="1"/>
        <w:rPr>
          <w:rFonts w:hint="default" w:ascii="仿宋" w:hAnsi="仿宋" w:eastAsia="仿宋"/>
          <w:color w:val="000000"/>
          <w:sz w:val="32"/>
          <w:szCs w:val="32"/>
          <w:lang w:val="en-US" w:eastAsia="zh-CN"/>
        </w:rPr>
      </w:pPr>
      <w:bookmarkStart w:id="6" w:name="_Toc29935"/>
      <w:bookmarkStart w:id="7" w:name="_Toc12789"/>
      <w:bookmarkStart w:id="8" w:name="_Toc1820"/>
      <w:bookmarkStart w:id="9" w:name="_Toc16403"/>
      <w:bookmarkStart w:id="10" w:name="_Toc21019"/>
      <w:r>
        <w:rPr>
          <w:rFonts w:hint="eastAsia" w:ascii="仿宋" w:hAnsi="仿宋" w:eastAsia="仿宋"/>
          <w:color w:val="000000"/>
          <w:sz w:val="32"/>
          <w:szCs w:val="32"/>
          <w:lang w:eastAsia="zh-CN"/>
        </w:rPr>
        <w:t>2022</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880.22</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839.84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95.41</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40.38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4.59</w:t>
      </w:r>
      <w:r>
        <w:rPr>
          <w:rFonts w:ascii="仿宋" w:hAnsi="仿宋" w:eastAsia="仿宋"/>
          <w:color w:val="000000"/>
          <w:sz w:val="32"/>
          <w:szCs w:val="32"/>
        </w:rPr>
        <w:t>%</w:t>
      </w:r>
      <w:r>
        <w:rPr>
          <w:rFonts w:hint="eastAsia" w:ascii="仿宋" w:hAnsi="仿宋" w:eastAsia="仿宋"/>
          <w:color w:val="000000"/>
          <w:sz w:val="32"/>
          <w:szCs w:val="32"/>
        </w:rPr>
        <w:t>。</w:t>
      </w:r>
      <w:bookmarkEnd w:id="6"/>
      <w:bookmarkEnd w:id="7"/>
      <w:bookmarkEnd w:id="8"/>
      <w:bookmarkEnd w:id="9"/>
    </w:p>
    <w:p>
      <w:pPr>
        <w:spacing w:line="600" w:lineRule="exact"/>
        <w:ind w:firstLine="960" w:firstLineChars="3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
        <w:ind w:left="420" w:leftChars="200" w:firstLine="0" w:firstLineChars="0"/>
        <w:rPr>
          <w:rFonts w:ascii="仿宋_GB2312" w:eastAsia="仿宋_GB2312"/>
          <w:color w:val="FF0000"/>
          <w:sz w:val="32"/>
          <w:szCs w:val="32"/>
        </w:rPr>
      </w:pPr>
      <w:r>
        <w:rPr>
          <w:rFonts w:hint="eastAsia" w:ascii="仿宋_GB2312" w:hAnsi="仿宋_GB2312" w:eastAsia="仿宋_GB2312" w:cs="仿宋_GB2312"/>
          <w:color w:val="000000"/>
          <w:sz w:val="32"/>
          <w:szCs w:val="32"/>
          <w:lang w:eastAsia="zh-CN"/>
        </w:rPr>
        <w:drawing>
          <wp:inline distT="0" distB="0" distL="114300" distR="114300">
            <wp:extent cx="5080000" cy="2918460"/>
            <wp:effectExtent l="4445" t="4445" r="20955" b="1079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15"/>
        <w:keepNext w:val="0"/>
        <w:keepLines w:val="0"/>
        <w:widowControl/>
        <w:numPr>
          <w:ilvl w:val="0"/>
          <w:numId w:val="2"/>
        </w:numPr>
        <w:suppressLineNumbers w:val="0"/>
        <w:shd w:val="clear" w:color="auto" w:fill="auto"/>
        <w:ind w:left="0" w:leftChars="0" w:right="75" w:firstLine="0" w:firstLineChars="0"/>
        <w:jc w:val="left"/>
        <w:outlineLvl w:val="1"/>
        <w:rPr>
          <w:rFonts w:ascii="仿宋" w:hAnsi="仿宋" w:eastAsia="仿宋"/>
          <w:color w:val="000000"/>
          <w:sz w:val="32"/>
          <w:szCs w:val="32"/>
        </w:rPr>
      </w:pPr>
      <w:r>
        <w:rPr>
          <w:rFonts w:hint="eastAsia" w:ascii="黑体" w:hAnsi="黑体" w:eastAsia="黑体" w:cs="黑体"/>
          <w:sz w:val="32"/>
          <w:szCs w:val="32"/>
          <w:shd w:val="clear" w:color="auto" w:fill="FFFFFF"/>
        </w:rPr>
        <w:t>支出决算情况说明</w:t>
      </w:r>
      <w:bookmarkEnd w:id="10"/>
      <w:bookmarkStart w:id="11" w:name="_Toc9663"/>
      <w:bookmarkStart w:id="12" w:name="_Toc30411"/>
      <w:bookmarkStart w:id="13" w:name="_Toc31017"/>
    </w:p>
    <w:p>
      <w:pPr>
        <w:pStyle w:val="15"/>
        <w:keepNext w:val="0"/>
        <w:keepLines w:val="0"/>
        <w:widowControl/>
        <w:numPr>
          <w:ilvl w:val="0"/>
          <w:numId w:val="0"/>
        </w:numPr>
        <w:suppressLineNumbers w:val="0"/>
        <w:shd w:val="clear" w:color="auto" w:fill="auto"/>
        <w:ind w:leftChars="0" w:right="75" w:rightChars="0" w:firstLine="640" w:firstLineChars="200"/>
        <w:jc w:val="left"/>
        <w:outlineLvl w:val="1"/>
        <w:rPr>
          <w:rFonts w:ascii="仿宋" w:hAnsi="仿宋" w:eastAsia="仿宋"/>
          <w:color w:val="000000"/>
          <w:sz w:val="32"/>
          <w:szCs w:val="32"/>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880.22</w:t>
      </w:r>
      <w:r>
        <w:rPr>
          <w:rFonts w:hint="eastAsia" w:ascii="仿宋" w:hAnsi="仿宋" w:eastAsia="仿宋"/>
          <w:color w:val="000000"/>
          <w:sz w:val="32"/>
          <w:szCs w:val="32"/>
        </w:rPr>
        <w:t>万元，基本支出</w:t>
      </w:r>
      <w:r>
        <w:rPr>
          <w:rFonts w:hint="eastAsia" w:ascii="仿宋" w:hAnsi="仿宋" w:eastAsia="仿宋"/>
          <w:color w:val="000000"/>
          <w:sz w:val="32"/>
          <w:szCs w:val="32"/>
          <w:lang w:val="en-US" w:eastAsia="zh-CN"/>
        </w:rPr>
        <w:t>468.30</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53.20</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411.92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46.80</w:t>
      </w:r>
      <w:r>
        <w:rPr>
          <w:rFonts w:hint="eastAsia"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11"/>
      <w:bookmarkEnd w:id="12"/>
      <w:bookmarkEnd w:id="13"/>
    </w:p>
    <w:p>
      <w:pPr>
        <w:spacing w:line="600" w:lineRule="exact"/>
        <w:ind w:firstLine="640" w:firstLineChars="200"/>
        <w:jc w:val="center"/>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rPr>
          <w:rFonts w:hint="eastAsia" w:ascii="黑体" w:hAnsi="黑体" w:eastAsia="黑体" w:cs="黑体"/>
          <w:sz w:val="32"/>
          <w:szCs w:val="32"/>
          <w:shd w:val="clear" w:color="auto" w:fill="FFFFFF"/>
        </w:rPr>
      </w:pPr>
      <w:r>
        <w:rPr>
          <w:rFonts w:hint="eastAsia" w:ascii="黑体" w:hAnsi="黑体" w:eastAsia="黑体" w:cs="黑体"/>
          <w:b/>
          <w:bCs/>
          <w:color w:val="000000"/>
          <w:sz w:val="32"/>
          <w:szCs w:val="32"/>
          <w:lang w:eastAsia="zh-CN"/>
        </w:rPr>
        <w:drawing>
          <wp:anchor distT="0" distB="0" distL="114300" distR="114300" simplePos="0" relativeHeight="251669504" behindDoc="1" locked="0" layoutInCell="1" allowOverlap="1">
            <wp:simplePos x="0" y="0"/>
            <wp:positionH relativeFrom="column">
              <wp:posOffset>-71755</wp:posOffset>
            </wp:positionH>
            <wp:positionV relativeFrom="paragraph">
              <wp:posOffset>163830</wp:posOffset>
            </wp:positionV>
            <wp:extent cx="5174615" cy="2649220"/>
            <wp:effectExtent l="4445" t="4445" r="21590" b="13335"/>
            <wp:wrapTight wrapText="bothSides">
              <wp:wrapPolygon>
                <wp:start x="-19" y="-36"/>
                <wp:lineTo x="-19" y="21553"/>
                <wp:lineTo x="21531" y="21553"/>
                <wp:lineTo x="21531" y="-36"/>
                <wp:lineTo x="-19" y="-36"/>
              </wp:wrapPolygon>
            </wp:wrapTight>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14" w:name="_Toc7956"/>
      <w:r>
        <w:rPr>
          <w:rFonts w:hint="eastAsia" w:ascii="黑体" w:hAnsi="黑体" w:eastAsia="黑体" w:cs="黑体"/>
          <w:sz w:val="32"/>
          <w:szCs w:val="32"/>
          <w:shd w:val="clear" w:color="auto" w:fill="FFFFFF"/>
          <w:lang w:val="en-US" w:eastAsia="zh-CN"/>
        </w:rPr>
        <w:t>四、</w:t>
      </w:r>
      <w:r>
        <w:rPr>
          <w:rFonts w:hint="eastAsia" w:ascii="黑体" w:hAnsi="黑体" w:eastAsia="黑体" w:cs="黑体"/>
          <w:sz w:val="32"/>
          <w:szCs w:val="32"/>
          <w:shd w:val="clear" w:color="auto" w:fill="FFFFFF"/>
        </w:rPr>
        <w:t>财政拨款收入支出决算总体情况说明</w:t>
      </w:r>
      <w:bookmarkEnd w:id="14"/>
    </w:p>
    <w:p>
      <w:pPr>
        <w:spacing w:line="600" w:lineRule="exact"/>
        <w:ind w:firstLine="640" w:firstLineChars="200"/>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839.84</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839.84</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年相比，财政拨款收入总计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290.35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34.58</w:t>
      </w:r>
      <w:r>
        <w:rPr>
          <w:rFonts w:hint="eastAsia" w:ascii="仿宋" w:hAnsi="仿宋" w:eastAsia="仿宋"/>
          <w:color w:val="000000"/>
          <w:sz w:val="32"/>
          <w:szCs w:val="32"/>
        </w:rPr>
        <w:t>%，支出总计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267.76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31.88</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w:t>
      </w:r>
      <w:r>
        <w:rPr>
          <w:rFonts w:hint="eastAsia" w:ascii="仿宋" w:hAnsi="仿宋" w:eastAsia="仿宋"/>
          <w:color w:val="000000"/>
          <w:sz w:val="32"/>
          <w:szCs w:val="32"/>
          <w:lang w:val="en-US" w:eastAsia="zh-CN"/>
        </w:rPr>
        <w:t>增加</w:t>
      </w:r>
      <w:r>
        <w:rPr>
          <w:rFonts w:hint="eastAsia" w:ascii="仿宋" w:hAnsi="仿宋" w:eastAsia="仿宋"/>
          <w:color w:val="000000"/>
          <w:sz w:val="32"/>
          <w:szCs w:val="32"/>
          <w:lang w:eastAsia="zh-CN"/>
        </w:rPr>
        <w:t>。</w:t>
      </w: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jc w:val="center"/>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7"/>
        <w:rPr>
          <w:rFonts w:hint="eastAsia"/>
        </w:rPr>
      </w:pPr>
      <w:r>
        <w:rPr>
          <w:rFonts w:hint="eastAsia" w:ascii="黑体" w:hAnsi="黑体" w:eastAsia="黑体" w:cs="黑体"/>
          <w:sz w:val="32"/>
          <w:szCs w:val="32"/>
          <w:shd w:val="clear" w:color="auto" w:fill="FFFFFF"/>
          <w:lang w:eastAsia="zh-CN"/>
        </w:rPr>
        <w:drawing>
          <wp:inline distT="0" distB="0" distL="114300" distR="114300">
            <wp:extent cx="5080000" cy="2628900"/>
            <wp:effectExtent l="4445" t="4445" r="20955" b="1460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15"/>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5" w:name="_Toc23149"/>
      <w:r>
        <w:rPr>
          <w:rFonts w:hint="eastAsia" w:ascii="黑体" w:hAnsi="黑体" w:eastAsia="黑体" w:cs="黑体"/>
          <w:sz w:val="32"/>
          <w:szCs w:val="32"/>
          <w:shd w:val="clear" w:color="auto" w:fill="FFFFFF"/>
        </w:rPr>
        <w:t>五、一般公共预算财政拨款支出决算情况说明</w:t>
      </w:r>
      <w:bookmarkEnd w:id="15"/>
    </w:p>
    <w:p>
      <w:pPr>
        <w:pStyle w:val="15"/>
        <w:keepNext w:val="0"/>
        <w:keepLines w:val="0"/>
        <w:widowControl/>
        <w:suppressLineNumbers w:val="0"/>
        <w:ind w:left="0" w:right="75"/>
        <w:rPr>
          <w:rStyle w:val="18"/>
          <w:rFonts w:hint="eastAsia" w:ascii="仿宋_GB2312" w:hAnsi="仿宋_GB2312" w:eastAsia="仿宋_GB2312" w:cs="仿宋_GB2312"/>
          <w:sz w:val="32"/>
          <w:szCs w:val="32"/>
          <w:shd w:val="clear" w:color="auto" w:fill="FFFFFF"/>
        </w:rPr>
      </w:pPr>
      <w:r>
        <w:rPr>
          <w:rStyle w:val="18"/>
          <w:rFonts w:hint="eastAsia" w:ascii="仿宋_GB2312" w:hAnsi="仿宋_GB2312" w:eastAsia="仿宋_GB2312" w:cs="仿宋_GB2312"/>
          <w:sz w:val="32"/>
          <w:szCs w:val="32"/>
          <w:shd w:val="clear" w:color="auto" w:fill="FFFFFF"/>
        </w:rPr>
        <w:t>（一）一般公共预算财政拨款支出决算总体情况</w:t>
      </w:r>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839.84</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95.41</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290.35万元，增长34.57%</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w:t>
      </w:r>
      <w:r>
        <w:rPr>
          <w:rFonts w:hint="eastAsia" w:ascii="仿宋" w:hAnsi="仿宋" w:eastAsia="仿宋"/>
          <w:color w:val="000000"/>
          <w:sz w:val="32"/>
          <w:szCs w:val="32"/>
          <w:lang w:val="en-US" w:eastAsia="zh-CN"/>
        </w:rPr>
        <w:t>增加</w:t>
      </w:r>
      <w:r>
        <w:rPr>
          <w:rFonts w:hint="eastAsia" w:ascii="仿宋" w:hAnsi="仿宋" w:eastAsia="仿宋"/>
          <w:color w:val="000000"/>
          <w:sz w:val="32"/>
          <w:szCs w:val="32"/>
          <w:lang w:eastAsia="zh-CN"/>
        </w:rPr>
        <w:t>。</w:t>
      </w:r>
    </w:p>
    <w:p>
      <w:pPr>
        <w:spacing w:line="600" w:lineRule="exact"/>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w:t>
      </w:r>
      <w:r>
        <w:rPr>
          <w:rFonts w:hint="eastAsia" w:ascii="仿宋" w:hAnsi="仿宋" w:eastAsia="仿宋"/>
          <w:color w:val="000000" w:themeColor="text1"/>
          <w:sz w:val="32"/>
          <w:szCs w:val="32"/>
          <w:lang w:eastAsia="zh-CN"/>
          <w14:textFill>
            <w14:solidFill>
              <w14:schemeClr w14:val="tx1"/>
            </w14:solidFill>
          </w14:textFill>
        </w:rPr>
        <w:t>图）</w:t>
      </w:r>
    </w:p>
    <w:p>
      <w:pPr>
        <w:pStyle w:val="2"/>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080000" cy="2581275"/>
            <wp:effectExtent l="4445" t="4445" r="20955"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15"/>
        <w:keepNext w:val="0"/>
        <w:keepLines w:val="0"/>
        <w:widowControl/>
        <w:numPr>
          <w:ilvl w:val="0"/>
          <w:numId w:val="3"/>
        </w:numPr>
        <w:suppressLineNumbers w:val="0"/>
        <w:ind w:left="0" w:right="75"/>
        <w:rPr>
          <w:rStyle w:val="18"/>
          <w:rFonts w:hint="eastAsia" w:ascii="仿宋_GB2312" w:hAnsi="仿宋_GB2312" w:eastAsia="仿宋_GB2312" w:cs="仿宋_GB2312"/>
          <w:sz w:val="32"/>
          <w:szCs w:val="32"/>
          <w:shd w:val="clear" w:color="auto" w:fill="FFFFFF"/>
        </w:rPr>
      </w:pPr>
      <w:r>
        <w:rPr>
          <w:rStyle w:val="18"/>
          <w:rFonts w:hint="eastAsia" w:ascii="仿宋_GB2312" w:hAnsi="仿宋_GB2312" w:eastAsia="仿宋_GB2312" w:cs="仿宋_GB2312"/>
          <w:sz w:val="32"/>
          <w:szCs w:val="32"/>
          <w:shd w:val="clear" w:color="auto" w:fill="FFFFFF"/>
        </w:rPr>
        <w:t>一般公共预算财政拨款支出决算结构情况</w:t>
      </w:r>
    </w:p>
    <w:p>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ind w:left="0" w:right="76" w:firstLine="640" w:firstLineChars="200"/>
        <w:jc w:val="left"/>
        <w:rPr>
          <w:rStyle w:val="18"/>
          <w:rFonts w:hint="default" w:ascii="仿宋" w:hAnsi="仿宋" w:eastAsia="仿宋" w:cs="Times New Roman"/>
          <w:b w:val="0"/>
          <w:bCs/>
          <w:color w:val="000000"/>
          <w:kern w:val="2"/>
          <w:sz w:val="32"/>
          <w:szCs w:val="32"/>
          <w:shd w:val="clear"/>
          <w:lang w:val="en-US" w:eastAsia="zh-CN" w:bidi="ar-SA"/>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839.84</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一般公共服务（类）支出</w:t>
      </w:r>
      <w:r>
        <w:rPr>
          <w:rFonts w:hint="eastAsia" w:ascii="仿宋" w:hAnsi="仿宋" w:eastAsia="仿宋"/>
          <w:color w:val="000000" w:themeColor="text1"/>
          <w:sz w:val="32"/>
          <w:szCs w:val="32"/>
          <w:lang w:val="en-US" w:eastAsia="zh-CN"/>
          <w14:textFill>
            <w14:solidFill>
              <w14:schemeClr w14:val="tx1"/>
            </w14:solidFill>
          </w14:textFill>
        </w:rPr>
        <w:t>642.29</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76.48</w:t>
      </w:r>
      <w:r>
        <w:rPr>
          <w:rFonts w:hint="eastAsia" w:ascii="仿宋" w:hAnsi="仿宋" w:eastAsia="仿宋"/>
          <w:color w:val="000000" w:themeColor="text1"/>
          <w:sz w:val="32"/>
          <w:szCs w:val="32"/>
          <w:lang w:eastAsia="zh-CN"/>
          <w14:textFill>
            <w14:solidFill>
              <w14:schemeClr w14:val="tx1"/>
            </w14:solidFill>
          </w14:textFill>
        </w:rPr>
        <w:t>%；文化旅游体育与传媒（类）支出</w:t>
      </w:r>
      <w:r>
        <w:rPr>
          <w:rFonts w:hint="eastAsia" w:ascii="仿宋" w:hAnsi="仿宋" w:eastAsia="仿宋"/>
          <w:color w:val="000000" w:themeColor="text1"/>
          <w:sz w:val="32"/>
          <w:szCs w:val="32"/>
          <w:lang w:val="en-US" w:eastAsia="zh-CN"/>
          <w14:textFill>
            <w14:solidFill>
              <w14:schemeClr w14:val="tx1"/>
            </w14:solidFill>
          </w14:textFill>
        </w:rPr>
        <w:t>96.9</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11.54</w:t>
      </w:r>
      <w:r>
        <w:rPr>
          <w:rFonts w:hint="eastAsia" w:ascii="仿宋" w:hAnsi="仿宋" w:eastAsia="仿宋"/>
          <w:color w:val="000000" w:themeColor="text1"/>
          <w:sz w:val="32"/>
          <w:szCs w:val="32"/>
          <w:lang w:eastAsia="zh-CN"/>
          <w14:textFill>
            <w14:solidFill>
              <w14:schemeClr w14:val="tx1"/>
            </w14:solidFill>
          </w14:textFill>
        </w:rPr>
        <w:t>%；社会保障和就业（类）支出</w:t>
      </w:r>
      <w:r>
        <w:rPr>
          <w:rFonts w:hint="eastAsia" w:ascii="仿宋" w:hAnsi="仿宋" w:eastAsia="仿宋"/>
          <w:color w:val="000000" w:themeColor="text1"/>
          <w:sz w:val="32"/>
          <w:szCs w:val="32"/>
          <w:lang w:val="en-US" w:eastAsia="zh-CN"/>
          <w14:textFill>
            <w14:solidFill>
              <w14:schemeClr w14:val="tx1"/>
            </w14:solidFill>
          </w14:textFill>
        </w:rPr>
        <w:t>49.41</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5.88</w:t>
      </w:r>
      <w:r>
        <w:rPr>
          <w:rFonts w:hint="eastAsia" w:ascii="仿宋" w:hAnsi="仿宋" w:eastAsia="仿宋"/>
          <w:color w:val="000000" w:themeColor="text1"/>
          <w:sz w:val="32"/>
          <w:szCs w:val="32"/>
          <w:lang w:eastAsia="zh-CN"/>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23.22</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2.76</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住</w:t>
      </w:r>
      <w:r>
        <w:rPr>
          <w:rFonts w:hint="eastAsia" w:ascii="仿宋" w:hAnsi="仿宋" w:eastAsia="仿宋"/>
          <w:color w:val="000000" w:themeColor="text1"/>
          <w:sz w:val="32"/>
          <w:szCs w:val="32"/>
          <w14:textFill>
            <w14:solidFill>
              <w14:schemeClr w14:val="tx1"/>
            </w14:solidFill>
          </w14:textFill>
        </w:rPr>
        <w:t>房保障支出</w:t>
      </w:r>
      <w:r>
        <w:rPr>
          <w:rFonts w:hint="eastAsia" w:ascii="仿宋" w:hAnsi="仿宋" w:eastAsia="仿宋"/>
          <w:color w:val="000000" w:themeColor="text1"/>
          <w:sz w:val="32"/>
          <w:szCs w:val="32"/>
          <w:lang w:val="en-US" w:eastAsia="zh-CN"/>
          <w14:textFill>
            <w14:solidFill>
              <w14:schemeClr w14:val="tx1"/>
            </w14:solidFill>
          </w14:textFill>
        </w:rPr>
        <w:t>28.01</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占</w:t>
      </w:r>
      <w:r>
        <w:rPr>
          <w:rFonts w:hint="eastAsia" w:ascii="仿宋" w:hAnsi="仿宋" w:eastAsia="仿宋"/>
          <w:color w:val="000000" w:themeColor="text1"/>
          <w:sz w:val="32"/>
          <w:szCs w:val="32"/>
          <w:cs w:val="0"/>
          <w:lang w:val="en-US" w:eastAsia="zh-CN"/>
          <w14:textFill>
            <w14:solidFill>
              <w14:schemeClr w14:val="tx1"/>
            </w14:solidFill>
          </w14:textFill>
        </w:rPr>
        <w:t>3.34</w:t>
      </w:r>
      <w:r>
        <w:rPr>
          <w:rFonts w:hint="eastAsia" w:ascii="仿宋" w:hAnsi="仿宋" w:eastAsia="仿宋"/>
          <w:color w:val="000000" w:themeColor="text1"/>
          <w:sz w:val="32"/>
          <w:szCs w:val="32"/>
          <w:lang w:val="en-US" w:eastAsia="zh-CN"/>
          <w14:textFill>
            <w14:solidFill>
              <w14:schemeClr w14:val="tx1"/>
            </w14:solidFill>
          </w14:textFill>
        </w:rPr>
        <w:t>%。</w:t>
      </w:r>
    </w:p>
    <w:p>
      <w:pPr>
        <w:pStyle w:val="15"/>
        <w:keepNext w:val="0"/>
        <w:keepLines w:val="0"/>
        <w:widowControl/>
        <w:numPr>
          <w:ilvl w:val="0"/>
          <w:numId w:val="0"/>
        </w:numPr>
        <w:suppressLineNumbers w:val="0"/>
        <w:ind w:right="75" w:rightChars="0"/>
        <w:rPr>
          <w:rStyle w:val="18"/>
          <w:rFonts w:hint="eastAsia" w:ascii="仿宋_GB2312" w:hAnsi="仿宋_GB2312" w:eastAsia="仿宋" w:cs="仿宋_GB2312"/>
          <w:sz w:val="32"/>
          <w:szCs w:val="32"/>
          <w:shd w:val="clear" w:color="auto" w:fill="FFFFFF"/>
          <w:lang w:eastAsia="zh-CN"/>
        </w:rPr>
      </w:pPr>
      <w:r>
        <w:rPr>
          <w:rFonts w:hint="eastAsia" w:ascii="仿宋" w:hAnsi="仿宋" w:eastAsia="仿宋"/>
          <w:color w:val="000000"/>
          <w:sz w:val="32"/>
          <w:szCs w:val="32"/>
          <w:lang w:eastAsia="zh-CN"/>
        </w:rPr>
        <w:drawing>
          <wp:anchor distT="0" distB="0" distL="114300" distR="114300" simplePos="0" relativeHeight="251663360" behindDoc="1" locked="0" layoutInCell="1" allowOverlap="1">
            <wp:simplePos x="0" y="0"/>
            <wp:positionH relativeFrom="column">
              <wp:posOffset>344170</wp:posOffset>
            </wp:positionH>
            <wp:positionV relativeFrom="paragraph">
              <wp:posOffset>627380</wp:posOffset>
            </wp:positionV>
            <wp:extent cx="4765040" cy="2182495"/>
            <wp:effectExtent l="4445" t="4445" r="12065" b="22860"/>
            <wp:wrapTight wrapText="bothSides">
              <wp:wrapPolygon>
                <wp:start x="-20" y="-44"/>
                <wp:lineTo x="-20" y="21449"/>
                <wp:lineTo x="21568" y="21449"/>
                <wp:lineTo x="21568" y="-44"/>
                <wp:lineTo x="-20" y="-44"/>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sz w:val="32"/>
          <w:szCs w:val="32"/>
        </w:rPr>
        <w:t>（图6：一般公共预算财政拨款支出决算结构</w:t>
      </w:r>
      <w:r>
        <w:rPr>
          <w:rFonts w:hint="eastAsia" w:ascii="仿宋" w:hAnsi="仿宋" w:eastAsia="仿宋"/>
          <w:color w:val="000000"/>
          <w:sz w:val="32"/>
          <w:szCs w:val="32"/>
          <w:lang w:eastAsia="zh-CN"/>
        </w:rPr>
        <w:t>图</w:t>
      </w:r>
      <w:r>
        <w:rPr>
          <w:rFonts w:hint="eastAsia" w:ascii="仿宋" w:hAnsi="仿宋" w:eastAsia="仿宋"/>
          <w:color w:val="000000"/>
          <w:sz w:val="32"/>
          <w:szCs w:val="32"/>
        </w:rPr>
        <w:t>（饼状</w:t>
      </w:r>
      <w:r>
        <w:rPr>
          <w:rFonts w:hint="eastAsia" w:ascii="仿宋" w:hAnsi="仿宋" w:eastAsia="仿宋"/>
          <w:color w:val="000000"/>
          <w:sz w:val="32"/>
          <w:szCs w:val="32"/>
          <w:lang w:eastAsia="zh-CN"/>
        </w:rPr>
        <w:t>图）</w:t>
      </w:r>
    </w:p>
    <w:p>
      <w:pPr>
        <w:pStyle w:val="15"/>
        <w:keepNext w:val="0"/>
        <w:keepLines w:val="0"/>
        <w:widowControl/>
        <w:numPr>
          <w:ilvl w:val="0"/>
          <w:numId w:val="3"/>
        </w:numPr>
        <w:suppressLineNumbers w:val="0"/>
        <w:ind w:left="0" w:leftChars="0" w:right="75" w:firstLine="0" w:firstLineChars="0"/>
        <w:rPr>
          <w:rStyle w:val="18"/>
          <w:rFonts w:hint="eastAsia" w:ascii="仿宋_GB2312" w:hAnsi="仿宋_GB2312" w:eastAsia="仿宋_GB2312" w:cs="仿宋_GB2312"/>
          <w:sz w:val="32"/>
          <w:szCs w:val="32"/>
          <w:shd w:val="clear" w:color="auto" w:fill="FFFFFF"/>
        </w:rPr>
      </w:pPr>
      <w:r>
        <w:rPr>
          <w:rStyle w:val="18"/>
          <w:rFonts w:hint="eastAsia" w:ascii="仿宋_GB2312" w:hAnsi="仿宋_GB2312" w:eastAsia="仿宋_GB2312" w:cs="仿宋_GB2312"/>
          <w:sz w:val="32"/>
          <w:szCs w:val="32"/>
          <w:shd w:val="clear" w:color="auto" w:fill="FFFFFF"/>
        </w:rPr>
        <w:t>一般公共预算财政拨款支出决算具体情况</w:t>
      </w:r>
    </w:p>
    <w:p>
      <w:pPr>
        <w:spacing w:line="600" w:lineRule="exact"/>
        <w:ind w:firstLine="643" w:firstLineChars="200"/>
        <w:outlineLvl w:val="9"/>
        <w:rPr>
          <w:rFonts w:hint="eastAsia" w:ascii="仿宋" w:hAnsi="仿宋" w:eastAsia="仿宋"/>
          <w:color w:val="000000"/>
          <w:sz w:val="32"/>
          <w:szCs w:val="32"/>
          <w:lang w:val="en-US" w:eastAsia="zh-CN"/>
        </w:rPr>
      </w:pPr>
      <w:bookmarkStart w:id="16" w:name="_Toc15377213"/>
      <w:bookmarkStart w:id="17" w:name="_Toc15377444"/>
      <w:bookmarkStart w:id="18" w:name="_Toc15378460"/>
      <w:r>
        <w:rPr>
          <w:rFonts w:hint="eastAsia" w:ascii="仿宋" w:hAnsi="仿宋" w:eastAsia="仿宋"/>
          <w:b/>
          <w:color w:val="000000" w:themeColor="text1"/>
          <w:sz w:val="32"/>
          <w:szCs w:val="32"/>
          <w:lang w:eastAsia="zh-CN"/>
          <w14:textFill>
            <w14:solidFill>
              <w14:schemeClr w14:val="tx1"/>
            </w14:solidFill>
          </w14:textFill>
        </w:rPr>
        <w:t>2022</w:t>
      </w:r>
      <w:r>
        <w:rPr>
          <w:rFonts w:hint="eastAsia" w:ascii="仿宋" w:hAnsi="仿宋" w:eastAsia="仿宋"/>
          <w:b/>
          <w:color w:val="000000" w:themeColor="text1"/>
          <w:sz w:val="32"/>
          <w:szCs w:val="32"/>
          <w14:textFill>
            <w14:solidFill>
              <w14:schemeClr w14:val="tx1"/>
            </w14:solidFill>
          </w14:textFill>
        </w:rPr>
        <w:t>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839.84</w:t>
      </w:r>
      <w:r>
        <w:rPr>
          <w:rFonts w:hint="eastAsia" w:ascii="仿宋" w:hAnsi="仿宋" w:eastAsia="仿宋"/>
          <w:b/>
          <w:color w:val="000000" w:themeColor="text1"/>
          <w:sz w:val="32"/>
          <w:szCs w:val="32"/>
          <w:lang w:eastAsia="zh-CN"/>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w:t>
      </w:r>
      <w:r>
        <w:rPr>
          <w:rStyle w:val="18"/>
          <w:rFonts w:hint="eastAsia" w:ascii="仿宋" w:hAnsi="仿宋" w:eastAsia="仿宋"/>
          <w:bCs/>
          <w:color w:val="000000" w:themeColor="text1"/>
          <w:sz w:val="32"/>
          <w:szCs w:val="32"/>
          <w14:textFill>
            <w14:solidFill>
              <w14:schemeClr w14:val="tx1"/>
            </w14:solidFill>
          </w14:textFill>
        </w:rPr>
        <w:t>完成</w:t>
      </w:r>
      <w:r>
        <w:rPr>
          <w:rStyle w:val="18"/>
          <w:rFonts w:hint="eastAsia" w:ascii="仿宋" w:hAnsi="仿宋" w:eastAsia="仿宋"/>
          <w:bCs/>
          <w:color w:val="000000"/>
          <w:sz w:val="32"/>
          <w:szCs w:val="32"/>
        </w:rPr>
        <w:t>预算</w:t>
      </w:r>
      <w:r>
        <w:rPr>
          <w:rStyle w:val="18"/>
          <w:rFonts w:hint="eastAsia" w:ascii="仿宋" w:hAnsi="仿宋" w:eastAsia="仿宋"/>
          <w:bCs/>
          <w:color w:val="000000"/>
          <w:sz w:val="32"/>
          <w:szCs w:val="32"/>
          <w:lang w:val="en-US" w:eastAsia="zh-CN"/>
        </w:rPr>
        <w:t>100</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。其中：</w:t>
      </w:r>
      <w:bookmarkEnd w:id="16"/>
      <w:bookmarkEnd w:id="17"/>
      <w:bookmarkEnd w:id="18"/>
    </w:p>
    <w:p>
      <w:pPr>
        <w:spacing w:line="600"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1.</w:t>
      </w:r>
      <w:r>
        <w:rPr>
          <w:rFonts w:hint="eastAsia" w:ascii="仿宋" w:hAnsi="仿宋" w:eastAsia="仿宋"/>
          <w:b/>
          <w:bCs/>
          <w:color w:val="000000"/>
          <w:sz w:val="32"/>
          <w:szCs w:val="32"/>
          <w:lang w:val="en-US" w:eastAsia="zh-CN"/>
        </w:rPr>
        <w:t>宣传事务；</w:t>
      </w:r>
      <w:r>
        <w:rPr>
          <w:rFonts w:hint="eastAsia" w:ascii="仿宋" w:hAnsi="仿宋" w:eastAsia="仿宋"/>
          <w:color w:val="000000"/>
          <w:sz w:val="32"/>
          <w:szCs w:val="32"/>
          <w:lang w:val="en-US" w:eastAsia="zh-CN"/>
        </w:rPr>
        <w:t>2013301-行政运行支出决算为251.87万元，完成预算100%，</w:t>
      </w:r>
      <w:r>
        <w:rPr>
          <w:rStyle w:val="18"/>
          <w:rFonts w:hint="eastAsia" w:ascii="仿宋" w:hAnsi="仿宋" w:eastAsia="仿宋"/>
          <w:b w:val="0"/>
          <w:bCs/>
          <w:color w:val="000000"/>
          <w:sz w:val="32"/>
          <w:szCs w:val="32"/>
          <w:lang w:eastAsia="zh-CN"/>
        </w:rPr>
        <w:t>主要用于开支</w:t>
      </w:r>
      <w:r>
        <w:rPr>
          <w:rStyle w:val="18"/>
          <w:rFonts w:hint="eastAsia" w:ascii="仿宋" w:hAnsi="仿宋" w:eastAsia="仿宋"/>
          <w:b w:val="0"/>
          <w:bCs/>
          <w:color w:val="000000"/>
          <w:sz w:val="32"/>
          <w:szCs w:val="32"/>
          <w:lang w:val="en-US" w:eastAsia="zh-CN"/>
        </w:rPr>
        <w:t>行政人员</w:t>
      </w:r>
      <w:r>
        <w:rPr>
          <w:rStyle w:val="18"/>
          <w:rFonts w:hint="eastAsia" w:ascii="仿宋" w:hAnsi="仿宋" w:eastAsia="仿宋"/>
          <w:b w:val="0"/>
          <w:bCs/>
          <w:color w:val="000000"/>
          <w:sz w:val="32"/>
          <w:szCs w:val="32"/>
          <w:lang w:eastAsia="zh-CN"/>
        </w:rPr>
        <w:t>日常公用经费及人员经费</w:t>
      </w:r>
      <w:r>
        <w:rPr>
          <w:rFonts w:hint="eastAsia" w:ascii="仿宋" w:hAnsi="仿宋" w:eastAsia="仿宋"/>
          <w:color w:val="000000"/>
          <w:sz w:val="32"/>
          <w:szCs w:val="32"/>
          <w:lang w:val="en-US" w:eastAsia="zh-CN"/>
        </w:rPr>
        <w:t>；2013302- 一般行政管理事务支出决算为103.42万元，完成预算100%，</w:t>
      </w:r>
      <w:r>
        <w:rPr>
          <w:rStyle w:val="18"/>
          <w:rFonts w:hint="eastAsia" w:ascii="仿宋" w:hAnsi="仿宋" w:eastAsia="仿宋"/>
          <w:b w:val="0"/>
          <w:bCs/>
          <w:color w:val="000000"/>
          <w:sz w:val="32"/>
          <w:szCs w:val="32"/>
          <w:lang w:eastAsia="zh-CN"/>
        </w:rPr>
        <w:t>主要用于项目支出</w:t>
      </w:r>
      <w:r>
        <w:rPr>
          <w:rFonts w:hint="eastAsia" w:ascii="仿宋" w:hAnsi="仿宋" w:eastAsia="仿宋"/>
          <w:color w:val="000000"/>
          <w:sz w:val="32"/>
          <w:szCs w:val="32"/>
          <w:lang w:val="en-US" w:eastAsia="zh-CN"/>
        </w:rPr>
        <w:t>；2013304-宣传管理支出决算为148.41万元，完成预算100%，主要用于宣传项目支出；2013350-事业运行支出决算为115.78万元，完成预算100%。主要用于事业人员日常公用经费及人员经费；2013399-其他宣传事务支出决算为22.81万元，完成预算100%。主要用于项目支出。</w:t>
      </w:r>
    </w:p>
    <w:p>
      <w:pPr>
        <w:spacing w:line="600" w:lineRule="exact"/>
        <w:ind w:firstLine="643" w:firstLineChars="200"/>
        <w:rPr>
          <w:rFonts w:hint="eastAsia" w:ascii="仿宋" w:hAnsi="仿宋" w:eastAsia="仿宋"/>
          <w:color w:val="000000"/>
          <w:sz w:val="32"/>
          <w:szCs w:val="32"/>
          <w:lang w:val="en-US" w:eastAsia="zh-CN"/>
        </w:rPr>
      </w:pPr>
      <w:r>
        <w:rPr>
          <w:rFonts w:hint="eastAsia" w:ascii="仿宋" w:hAnsi="仿宋" w:eastAsia="仿宋"/>
          <w:b/>
          <w:bCs/>
          <w:color w:val="000000"/>
          <w:sz w:val="32"/>
          <w:szCs w:val="32"/>
          <w:lang w:val="en-US" w:eastAsia="zh-CN"/>
        </w:rPr>
        <w:t>2.文化和旅游；</w:t>
      </w:r>
      <w:r>
        <w:rPr>
          <w:rFonts w:hint="eastAsia" w:ascii="仿宋" w:hAnsi="仿宋" w:eastAsia="仿宋"/>
          <w:color w:val="000000"/>
          <w:sz w:val="32"/>
          <w:szCs w:val="32"/>
          <w:lang w:val="en-US" w:eastAsia="zh-CN"/>
        </w:rPr>
        <w:t>2070199-其他文化和旅游支出决算为49.4万元，完成预算100%，主要用于项目支出；20799-其他文化旅游体育和传媒支出决算为50万元，完成预算100%，主要用于项目支出。</w:t>
      </w:r>
    </w:p>
    <w:p>
      <w:pPr>
        <w:numPr>
          <w:ilvl w:val="0"/>
          <w:numId w:val="0"/>
        </w:numPr>
        <w:spacing w:line="600" w:lineRule="exact"/>
        <w:ind w:firstLine="643" w:firstLineChars="200"/>
        <w:rPr>
          <w:rStyle w:val="18"/>
          <w:rFonts w:hint="eastAsia" w:ascii="仿宋" w:hAnsi="仿宋" w:eastAsia="仿宋"/>
          <w:b w:val="0"/>
          <w:bCs/>
          <w:color w:val="000000"/>
          <w:sz w:val="32"/>
          <w:szCs w:val="32"/>
          <w:lang w:eastAsia="zh-CN"/>
        </w:rPr>
      </w:pPr>
      <w:r>
        <w:rPr>
          <w:rFonts w:hint="eastAsia" w:ascii="仿宋" w:hAnsi="仿宋" w:eastAsia="仿宋"/>
          <w:b/>
          <w:bCs/>
          <w:color w:val="000000"/>
          <w:sz w:val="32"/>
          <w:szCs w:val="32"/>
          <w:lang w:val="en-US" w:eastAsia="zh-CN"/>
        </w:rPr>
        <w:t>3.</w:t>
      </w:r>
      <w:r>
        <w:rPr>
          <w:rStyle w:val="18"/>
          <w:rFonts w:hint="eastAsia" w:ascii="仿宋" w:hAnsi="仿宋" w:eastAsia="仿宋"/>
          <w:bCs/>
          <w:color w:val="000000"/>
          <w:sz w:val="32"/>
          <w:szCs w:val="32"/>
        </w:rPr>
        <w:t>社会保障和就业</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2080505</w:t>
      </w:r>
      <w:r>
        <w:rPr>
          <w:rStyle w:val="18"/>
          <w:rFonts w:hint="eastAsia" w:ascii="仿宋" w:hAnsi="仿宋" w:eastAsia="仿宋"/>
          <w:b w:val="0"/>
          <w:bCs/>
          <w:color w:val="000000"/>
          <w:sz w:val="32"/>
          <w:szCs w:val="32"/>
          <w:lang w:val="en-US" w:eastAsia="zh-CN"/>
        </w:rPr>
        <w:t>-</w:t>
      </w:r>
      <w:r>
        <w:rPr>
          <w:rStyle w:val="18"/>
          <w:rFonts w:hint="eastAsia" w:ascii="仿宋" w:hAnsi="仿宋" w:eastAsia="仿宋"/>
          <w:b w:val="0"/>
          <w:bCs/>
          <w:color w:val="000000"/>
          <w:sz w:val="32"/>
          <w:szCs w:val="32"/>
        </w:rPr>
        <w:t>机关事业单位基本养老保险缴费支出决算为</w:t>
      </w:r>
      <w:r>
        <w:rPr>
          <w:rStyle w:val="18"/>
          <w:rFonts w:hint="eastAsia" w:ascii="仿宋" w:hAnsi="仿宋" w:eastAsia="仿宋"/>
          <w:b w:val="0"/>
          <w:bCs/>
          <w:color w:val="000000"/>
          <w:sz w:val="32"/>
          <w:szCs w:val="32"/>
          <w:lang w:val="en-US" w:eastAsia="zh-CN"/>
        </w:rPr>
        <w:t>32.94</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Style w:val="18"/>
          <w:rFonts w:hint="eastAsia" w:ascii="仿宋" w:hAnsi="仿宋" w:eastAsia="仿宋"/>
          <w:b w:val="0"/>
          <w:bCs/>
          <w:color w:val="000000"/>
          <w:sz w:val="32"/>
          <w:szCs w:val="32"/>
          <w:lang w:eastAsia="zh-CN"/>
        </w:rPr>
        <w:t>全部用于职工缴纳养老保险单位部分；2080506</w:t>
      </w:r>
      <w:r>
        <w:rPr>
          <w:rStyle w:val="18"/>
          <w:rFonts w:hint="eastAsia" w:ascii="仿宋" w:hAnsi="仿宋" w:eastAsia="仿宋"/>
          <w:b w:val="0"/>
          <w:bCs/>
          <w:color w:val="000000"/>
          <w:sz w:val="32"/>
          <w:szCs w:val="32"/>
          <w:lang w:val="en-US" w:eastAsia="zh-CN"/>
        </w:rPr>
        <w:t>-</w:t>
      </w:r>
      <w:r>
        <w:rPr>
          <w:rStyle w:val="18"/>
          <w:rFonts w:hint="eastAsia" w:ascii="仿宋" w:hAnsi="仿宋" w:eastAsia="仿宋"/>
          <w:b w:val="0"/>
          <w:bCs/>
          <w:color w:val="000000"/>
          <w:sz w:val="32"/>
          <w:szCs w:val="32"/>
          <w:lang w:eastAsia="zh-CN"/>
        </w:rPr>
        <w:t>机关事业单位职业年金缴费支出</w:t>
      </w:r>
      <w:r>
        <w:rPr>
          <w:rStyle w:val="18"/>
          <w:rFonts w:hint="eastAsia" w:ascii="仿宋" w:hAnsi="仿宋" w:eastAsia="仿宋"/>
          <w:b w:val="0"/>
          <w:bCs/>
          <w:color w:val="000000"/>
          <w:sz w:val="32"/>
          <w:szCs w:val="32"/>
        </w:rPr>
        <w:t>决算为</w:t>
      </w:r>
      <w:r>
        <w:rPr>
          <w:rStyle w:val="18"/>
          <w:rFonts w:hint="eastAsia" w:ascii="仿宋" w:hAnsi="仿宋" w:eastAsia="仿宋"/>
          <w:b w:val="0"/>
          <w:bCs/>
          <w:color w:val="000000"/>
          <w:sz w:val="32"/>
          <w:szCs w:val="32"/>
          <w:lang w:val="en-US" w:eastAsia="zh-CN"/>
        </w:rPr>
        <w:t>16.47</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Style w:val="18"/>
          <w:rFonts w:hint="eastAsia" w:ascii="仿宋" w:hAnsi="仿宋" w:eastAsia="仿宋"/>
          <w:b w:val="0"/>
          <w:bCs/>
          <w:color w:val="000000"/>
          <w:sz w:val="32"/>
          <w:szCs w:val="32"/>
          <w:lang w:eastAsia="zh-CN"/>
        </w:rPr>
        <w:t>全部用于职工缴纳职业年金单位部分。</w:t>
      </w:r>
    </w:p>
    <w:p>
      <w:pPr>
        <w:numPr>
          <w:ilvl w:val="0"/>
          <w:numId w:val="0"/>
        </w:numPr>
        <w:spacing w:line="600" w:lineRule="exact"/>
        <w:ind w:firstLine="643" w:firstLineChars="200"/>
        <w:rPr>
          <w:rFonts w:hint="default" w:ascii="仿宋" w:hAnsi="仿宋" w:eastAsia="仿宋"/>
          <w:b/>
          <w:color w:val="000000"/>
          <w:sz w:val="32"/>
          <w:szCs w:val="32"/>
          <w:lang w:val="en-US"/>
        </w:rPr>
      </w:pPr>
      <w:r>
        <w:rPr>
          <w:rFonts w:hint="eastAsia" w:ascii="仿宋" w:hAnsi="仿宋" w:eastAsia="仿宋"/>
          <w:b/>
          <w:bCs/>
          <w:color w:val="000000" w:themeColor="text1"/>
          <w:sz w:val="32"/>
          <w:szCs w:val="32"/>
          <w:lang w:val="en-US" w:eastAsia="zh-CN"/>
          <w14:textFill>
            <w14:solidFill>
              <w14:schemeClr w14:val="tx1"/>
            </w14:solidFill>
          </w14:textFill>
        </w:rPr>
        <w:t>4.</w:t>
      </w:r>
      <w:r>
        <w:rPr>
          <w:rFonts w:hint="eastAsia" w:ascii="仿宋" w:hAnsi="仿宋" w:eastAsia="仿宋"/>
          <w:b/>
          <w:bCs/>
          <w:color w:val="000000" w:themeColor="text1"/>
          <w:sz w:val="32"/>
          <w:szCs w:val="32"/>
          <w14:textFill>
            <w14:solidFill>
              <w14:schemeClr w14:val="tx1"/>
            </w14:solidFill>
          </w14:textFill>
        </w:rPr>
        <w:t>卫生健康</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lang w:eastAsia="zh-CN"/>
        </w:rPr>
        <w:t>21011</w:t>
      </w:r>
      <w:r>
        <w:rPr>
          <w:rStyle w:val="18"/>
          <w:rFonts w:hint="eastAsia" w:ascii="仿宋" w:hAnsi="仿宋" w:eastAsia="仿宋"/>
          <w:b w:val="0"/>
          <w:bCs/>
          <w:color w:val="000000"/>
          <w:sz w:val="32"/>
          <w:szCs w:val="32"/>
          <w:lang w:val="en-US" w:eastAsia="zh-CN"/>
        </w:rPr>
        <w:t>01-</w:t>
      </w:r>
      <w:r>
        <w:rPr>
          <w:rStyle w:val="18"/>
          <w:rFonts w:hint="eastAsia" w:ascii="仿宋" w:hAnsi="仿宋" w:eastAsia="仿宋"/>
          <w:b w:val="0"/>
          <w:bCs/>
          <w:color w:val="000000"/>
          <w:sz w:val="32"/>
          <w:szCs w:val="32"/>
          <w:lang w:eastAsia="zh-CN"/>
        </w:rPr>
        <w:t>行政单位医疗支出</w:t>
      </w:r>
      <w:r>
        <w:rPr>
          <w:rStyle w:val="18"/>
          <w:rFonts w:hint="eastAsia" w:ascii="仿宋" w:hAnsi="仿宋" w:eastAsia="仿宋"/>
          <w:b w:val="0"/>
          <w:bCs/>
          <w:color w:val="000000"/>
          <w:sz w:val="32"/>
          <w:szCs w:val="32"/>
        </w:rPr>
        <w:t>决算为</w:t>
      </w:r>
      <w:r>
        <w:rPr>
          <w:rStyle w:val="18"/>
          <w:rFonts w:hint="eastAsia" w:ascii="仿宋" w:hAnsi="仿宋" w:eastAsia="仿宋"/>
          <w:b w:val="0"/>
          <w:bCs/>
          <w:color w:val="000000"/>
          <w:sz w:val="32"/>
          <w:szCs w:val="32"/>
          <w:lang w:val="en-US" w:eastAsia="zh-CN"/>
        </w:rPr>
        <w:t>11.79</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lang w:eastAsia="zh-CN"/>
        </w:rPr>
        <w:t>，全部用于</w:t>
      </w:r>
      <w:r>
        <w:rPr>
          <w:rStyle w:val="18"/>
          <w:rFonts w:hint="eastAsia" w:ascii="仿宋" w:hAnsi="仿宋" w:eastAsia="仿宋"/>
          <w:b w:val="0"/>
          <w:bCs/>
          <w:color w:val="000000"/>
          <w:sz w:val="32"/>
          <w:szCs w:val="32"/>
          <w:lang w:val="en-US" w:eastAsia="zh-CN"/>
        </w:rPr>
        <w:t>行政</w:t>
      </w:r>
      <w:r>
        <w:rPr>
          <w:rStyle w:val="18"/>
          <w:rFonts w:hint="eastAsia" w:ascii="仿宋" w:hAnsi="仿宋" w:eastAsia="仿宋"/>
          <w:b w:val="0"/>
          <w:bCs/>
          <w:color w:val="000000"/>
          <w:sz w:val="32"/>
          <w:szCs w:val="32"/>
          <w:lang w:eastAsia="zh-CN"/>
        </w:rPr>
        <w:t>缴纳医疗保险</w:t>
      </w:r>
      <w:r>
        <w:rPr>
          <w:rStyle w:val="18"/>
          <w:rFonts w:hint="eastAsia" w:ascii="仿宋" w:hAnsi="仿宋" w:eastAsia="仿宋"/>
          <w:b w:val="0"/>
          <w:bCs/>
          <w:color w:val="000000"/>
          <w:sz w:val="32"/>
          <w:szCs w:val="32"/>
          <w:lang w:val="en-US" w:eastAsia="zh-CN"/>
        </w:rPr>
        <w:t>和公务员医疗保险</w:t>
      </w:r>
      <w:r>
        <w:rPr>
          <w:rStyle w:val="18"/>
          <w:rFonts w:hint="eastAsia" w:ascii="仿宋" w:hAnsi="仿宋" w:eastAsia="仿宋"/>
          <w:b w:val="0"/>
          <w:bCs/>
          <w:color w:val="000000"/>
          <w:sz w:val="32"/>
          <w:szCs w:val="32"/>
          <w:lang w:eastAsia="zh-CN"/>
        </w:rPr>
        <w:t>单位部分；21011</w:t>
      </w:r>
      <w:r>
        <w:rPr>
          <w:rStyle w:val="18"/>
          <w:rFonts w:hint="eastAsia" w:ascii="仿宋" w:hAnsi="仿宋" w:eastAsia="仿宋"/>
          <w:b w:val="0"/>
          <w:bCs/>
          <w:color w:val="000000"/>
          <w:sz w:val="32"/>
          <w:szCs w:val="32"/>
          <w:lang w:val="en-US" w:eastAsia="zh-CN"/>
        </w:rPr>
        <w:t>02-</w:t>
      </w:r>
      <w:r>
        <w:rPr>
          <w:rStyle w:val="18"/>
          <w:rFonts w:hint="eastAsia" w:ascii="仿宋" w:hAnsi="仿宋" w:eastAsia="仿宋"/>
          <w:b w:val="0"/>
          <w:bCs/>
          <w:color w:val="000000"/>
          <w:sz w:val="32"/>
          <w:szCs w:val="32"/>
          <w:lang w:eastAsia="zh-CN"/>
        </w:rPr>
        <w:t>事业单位医疗支出</w:t>
      </w:r>
      <w:r>
        <w:rPr>
          <w:rStyle w:val="18"/>
          <w:rFonts w:hint="eastAsia" w:ascii="仿宋" w:hAnsi="仿宋" w:eastAsia="仿宋"/>
          <w:b w:val="0"/>
          <w:bCs/>
          <w:color w:val="000000"/>
          <w:sz w:val="32"/>
          <w:szCs w:val="32"/>
        </w:rPr>
        <w:t>决算为</w:t>
      </w:r>
      <w:r>
        <w:rPr>
          <w:rStyle w:val="18"/>
          <w:rFonts w:hint="eastAsia" w:ascii="仿宋" w:hAnsi="仿宋" w:eastAsia="仿宋"/>
          <w:b w:val="0"/>
          <w:bCs/>
          <w:color w:val="000000"/>
          <w:sz w:val="32"/>
          <w:szCs w:val="32"/>
          <w:lang w:val="en-US" w:eastAsia="zh-CN"/>
        </w:rPr>
        <w:t>6.96</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lang w:eastAsia="zh-CN"/>
        </w:rPr>
        <w:t>，全部用于</w:t>
      </w:r>
      <w:r>
        <w:rPr>
          <w:rStyle w:val="18"/>
          <w:rFonts w:hint="eastAsia" w:ascii="仿宋" w:hAnsi="仿宋" w:eastAsia="仿宋"/>
          <w:b w:val="0"/>
          <w:bCs/>
          <w:color w:val="000000"/>
          <w:sz w:val="32"/>
          <w:szCs w:val="32"/>
          <w:lang w:val="en-US" w:eastAsia="zh-CN"/>
        </w:rPr>
        <w:t>事业</w:t>
      </w:r>
      <w:r>
        <w:rPr>
          <w:rStyle w:val="18"/>
          <w:rFonts w:hint="eastAsia" w:ascii="仿宋" w:hAnsi="仿宋" w:eastAsia="仿宋"/>
          <w:b w:val="0"/>
          <w:bCs/>
          <w:color w:val="000000"/>
          <w:sz w:val="32"/>
          <w:szCs w:val="32"/>
          <w:lang w:eastAsia="zh-CN"/>
        </w:rPr>
        <w:t>缴纳医疗保险</w:t>
      </w:r>
      <w:r>
        <w:rPr>
          <w:rStyle w:val="18"/>
          <w:rFonts w:hint="eastAsia" w:ascii="仿宋" w:hAnsi="仿宋" w:eastAsia="仿宋"/>
          <w:b w:val="0"/>
          <w:bCs/>
          <w:color w:val="000000"/>
          <w:sz w:val="32"/>
          <w:szCs w:val="32"/>
          <w:lang w:val="en-US" w:eastAsia="zh-CN"/>
        </w:rPr>
        <w:t>和公务员医疗保险</w:t>
      </w:r>
      <w:r>
        <w:rPr>
          <w:rStyle w:val="18"/>
          <w:rFonts w:hint="eastAsia" w:ascii="仿宋" w:hAnsi="仿宋" w:eastAsia="仿宋"/>
          <w:b w:val="0"/>
          <w:bCs/>
          <w:color w:val="000000"/>
          <w:sz w:val="32"/>
          <w:szCs w:val="32"/>
          <w:lang w:eastAsia="zh-CN"/>
        </w:rPr>
        <w:t>单位部分；21011</w:t>
      </w:r>
      <w:r>
        <w:rPr>
          <w:rStyle w:val="18"/>
          <w:rFonts w:hint="eastAsia" w:ascii="仿宋" w:hAnsi="仿宋" w:eastAsia="仿宋"/>
          <w:b w:val="0"/>
          <w:bCs/>
          <w:color w:val="000000"/>
          <w:sz w:val="32"/>
          <w:szCs w:val="32"/>
          <w:lang w:val="en-US" w:eastAsia="zh-CN"/>
        </w:rPr>
        <w:t>03-</w:t>
      </w:r>
      <w:r>
        <w:rPr>
          <w:rStyle w:val="18"/>
          <w:rFonts w:hint="eastAsia" w:ascii="仿宋" w:hAnsi="仿宋" w:eastAsia="仿宋"/>
          <w:b w:val="0"/>
          <w:bCs/>
          <w:color w:val="000000"/>
          <w:sz w:val="32"/>
          <w:szCs w:val="32"/>
          <w:lang w:eastAsia="zh-CN"/>
        </w:rPr>
        <w:t>公务员医疗补助支出</w:t>
      </w:r>
      <w:r>
        <w:rPr>
          <w:rStyle w:val="18"/>
          <w:rFonts w:hint="eastAsia" w:ascii="仿宋" w:hAnsi="仿宋" w:eastAsia="仿宋"/>
          <w:b w:val="0"/>
          <w:bCs/>
          <w:color w:val="000000"/>
          <w:sz w:val="32"/>
          <w:szCs w:val="32"/>
        </w:rPr>
        <w:t>决算为</w:t>
      </w:r>
      <w:r>
        <w:rPr>
          <w:rStyle w:val="18"/>
          <w:rFonts w:hint="eastAsia" w:ascii="仿宋" w:hAnsi="仿宋" w:eastAsia="仿宋"/>
          <w:b w:val="0"/>
          <w:bCs/>
          <w:color w:val="000000"/>
          <w:sz w:val="32"/>
          <w:szCs w:val="32"/>
          <w:lang w:val="en-US" w:eastAsia="zh-CN"/>
        </w:rPr>
        <w:t>3.19</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lang w:eastAsia="zh-CN"/>
        </w:rPr>
        <w:t>，全部用于</w:t>
      </w:r>
      <w:r>
        <w:rPr>
          <w:rStyle w:val="18"/>
          <w:rFonts w:hint="eastAsia" w:ascii="仿宋" w:hAnsi="仿宋" w:eastAsia="仿宋"/>
          <w:b w:val="0"/>
          <w:bCs/>
          <w:color w:val="000000"/>
          <w:sz w:val="32"/>
          <w:szCs w:val="32"/>
          <w:lang w:val="en-US" w:eastAsia="zh-CN"/>
        </w:rPr>
        <w:t>行政和事业</w:t>
      </w:r>
      <w:r>
        <w:rPr>
          <w:rStyle w:val="18"/>
          <w:rFonts w:hint="eastAsia" w:ascii="仿宋" w:hAnsi="仿宋" w:eastAsia="仿宋"/>
          <w:b w:val="0"/>
          <w:bCs/>
          <w:color w:val="000000"/>
          <w:sz w:val="32"/>
          <w:szCs w:val="32"/>
          <w:lang w:eastAsia="zh-CN"/>
        </w:rPr>
        <w:t>缴纳</w:t>
      </w:r>
      <w:r>
        <w:rPr>
          <w:rStyle w:val="18"/>
          <w:rFonts w:hint="eastAsia" w:ascii="仿宋" w:hAnsi="仿宋" w:eastAsia="仿宋"/>
          <w:b w:val="0"/>
          <w:bCs/>
          <w:color w:val="000000"/>
          <w:sz w:val="32"/>
          <w:szCs w:val="32"/>
          <w:lang w:val="en-US" w:eastAsia="zh-CN"/>
        </w:rPr>
        <w:t>公务员医疗保险</w:t>
      </w:r>
      <w:r>
        <w:rPr>
          <w:rStyle w:val="18"/>
          <w:rFonts w:hint="eastAsia" w:ascii="仿宋" w:hAnsi="仿宋" w:eastAsia="仿宋"/>
          <w:b w:val="0"/>
          <w:bCs/>
          <w:color w:val="000000"/>
          <w:sz w:val="32"/>
          <w:szCs w:val="32"/>
          <w:lang w:eastAsia="zh-CN"/>
        </w:rPr>
        <w:t>单位部分；</w:t>
      </w:r>
      <w:r>
        <w:rPr>
          <w:rStyle w:val="18"/>
          <w:rFonts w:hint="eastAsia" w:ascii="仿宋" w:hAnsi="仿宋" w:eastAsia="仿宋"/>
          <w:b w:val="0"/>
          <w:bCs/>
          <w:color w:val="000000"/>
          <w:sz w:val="32"/>
          <w:szCs w:val="32"/>
          <w:lang w:val="en-US" w:eastAsia="zh-CN"/>
        </w:rPr>
        <w:t>2101199-其他公共卫生支出决算为1.28万元，完成预算100%，全部用于退休人员医疗补助和体检费。</w:t>
      </w:r>
    </w:p>
    <w:p>
      <w:pPr>
        <w:numPr>
          <w:ilvl w:val="0"/>
          <w:numId w:val="0"/>
        </w:numPr>
        <w:spacing w:line="600" w:lineRule="exact"/>
        <w:ind w:firstLine="643" w:firstLineChars="200"/>
        <w:rPr>
          <w:rStyle w:val="18"/>
          <w:rFonts w:hint="eastAsia" w:ascii="仿宋_GB2312" w:hAnsi="仿宋_GB2312" w:eastAsia="仿宋_GB2312" w:cs="仿宋_GB2312"/>
          <w:sz w:val="32"/>
          <w:szCs w:val="32"/>
          <w:shd w:val="clear" w:color="auto" w:fill="FFFFFF"/>
        </w:rPr>
      </w:pPr>
      <w:r>
        <w:rPr>
          <w:rFonts w:hint="eastAsia" w:ascii="仿宋" w:hAnsi="仿宋" w:eastAsia="仿宋"/>
          <w:b/>
          <w:color w:val="000000"/>
          <w:sz w:val="32"/>
          <w:szCs w:val="32"/>
          <w:lang w:val="en-US" w:eastAsia="zh-CN"/>
        </w:rPr>
        <w:t>5.住房保障支出：</w:t>
      </w:r>
      <w:r>
        <w:rPr>
          <w:rStyle w:val="18"/>
          <w:rFonts w:hint="eastAsia" w:ascii="仿宋" w:hAnsi="仿宋" w:eastAsia="仿宋"/>
          <w:b w:val="0"/>
          <w:bCs/>
          <w:color w:val="000000"/>
          <w:sz w:val="32"/>
          <w:szCs w:val="32"/>
          <w:lang w:val="en-US" w:eastAsia="zh-CN"/>
        </w:rPr>
        <w:t>2210201-住房公积金</w:t>
      </w:r>
      <w:r>
        <w:rPr>
          <w:rStyle w:val="18"/>
          <w:rFonts w:hint="eastAsia" w:ascii="仿宋" w:hAnsi="仿宋" w:eastAsia="仿宋"/>
          <w:b w:val="0"/>
          <w:bCs/>
          <w:color w:val="000000"/>
          <w:sz w:val="32"/>
          <w:szCs w:val="32"/>
          <w:lang w:eastAsia="zh-CN"/>
        </w:rPr>
        <w:t>支出决</w:t>
      </w:r>
      <w:r>
        <w:rPr>
          <w:rStyle w:val="18"/>
          <w:rFonts w:hint="eastAsia" w:ascii="仿宋" w:hAnsi="仿宋" w:eastAsia="仿宋"/>
          <w:b w:val="0"/>
          <w:bCs/>
          <w:color w:val="000000"/>
          <w:sz w:val="32"/>
          <w:szCs w:val="32"/>
        </w:rPr>
        <w:t>算为</w:t>
      </w:r>
      <w:r>
        <w:rPr>
          <w:rStyle w:val="18"/>
          <w:rFonts w:hint="eastAsia" w:ascii="仿宋" w:hAnsi="仿宋" w:eastAsia="仿宋"/>
          <w:b w:val="0"/>
          <w:bCs/>
          <w:color w:val="000000"/>
          <w:sz w:val="32"/>
          <w:szCs w:val="32"/>
          <w:lang w:val="en-US" w:eastAsia="zh-CN"/>
        </w:rPr>
        <w:t>28.01</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lang w:eastAsia="zh-CN"/>
        </w:rPr>
        <w:t>，全部用于职工缴纳住房公积金单位部分。</w:t>
      </w:r>
    </w:p>
    <w:p>
      <w:pPr>
        <w:pStyle w:val="2"/>
        <w:numPr>
          <w:ilvl w:val="0"/>
          <w:numId w:val="0"/>
        </w:numPr>
        <w:ind w:leftChars="0"/>
        <w:rPr>
          <w:rFonts w:hint="eastAsia" w:ascii="黑体" w:hAnsi="黑体" w:eastAsia="黑体" w:cs="黑体"/>
          <w:sz w:val="32"/>
          <w:szCs w:val="32"/>
          <w:shd w:val="clear" w:color="auto" w:fill="FFFFFF"/>
        </w:rPr>
      </w:pPr>
      <w:bookmarkStart w:id="19" w:name="_Toc2180"/>
      <w:r>
        <w:rPr>
          <w:rFonts w:hint="eastAsia" w:ascii="黑体" w:hAnsi="黑体" w:eastAsia="黑体" w:cs="黑体"/>
          <w:sz w:val="32"/>
          <w:szCs w:val="32"/>
          <w:shd w:val="clear" w:color="auto" w:fill="FFFFFF"/>
          <w:lang w:eastAsia="zh-CN"/>
        </w:rPr>
        <w:t>六、</w:t>
      </w:r>
      <w:r>
        <w:rPr>
          <w:rFonts w:hint="eastAsia" w:ascii="黑体" w:hAnsi="黑体" w:eastAsia="黑体" w:cs="黑体"/>
          <w:sz w:val="32"/>
          <w:szCs w:val="32"/>
          <w:shd w:val="clear" w:color="auto" w:fill="FFFFFF"/>
        </w:rPr>
        <w:t>一般公共预算财政拨款基本支出决算情况说明</w:t>
      </w:r>
      <w:bookmarkEnd w:id="19"/>
    </w:p>
    <w:p>
      <w:pPr>
        <w:tabs>
          <w:tab w:val="right" w:pos="8306"/>
        </w:tabs>
        <w:spacing w:line="600" w:lineRule="exact"/>
        <w:ind w:firstLine="640" w:firstLineChars="200"/>
        <w:outlineLvl w:val="1"/>
        <w:rPr>
          <w:rFonts w:ascii="仿宋" w:hAnsi="仿宋" w:eastAsia="仿宋"/>
          <w:color w:val="auto"/>
          <w:sz w:val="32"/>
          <w:szCs w:val="32"/>
        </w:rPr>
      </w:pPr>
      <w:bookmarkStart w:id="20" w:name="_Toc18699"/>
      <w:r>
        <w:rPr>
          <w:rFonts w:hint="eastAsia" w:ascii="仿宋" w:hAnsi="仿宋" w:eastAsia="仿宋"/>
          <w:color w:val="auto"/>
          <w:sz w:val="32"/>
          <w:szCs w:val="32"/>
          <w:lang w:val="en-US" w:eastAsia="zh-CN"/>
        </w:rPr>
        <w:t>2022</w:t>
      </w:r>
      <w:r>
        <w:rPr>
          <w:rFonts w:hint="eastAsia" w:ascii="仿宋" w:hAnsi="仿宋" w:eastAsia="仿宋"/>
          <w:color w:val="auto"/>
          <w:sz w:val="32"/>
          <w:szCs w:val="32"/>
        </w:rPr>
        <w:t>年一般公共预算财政拨款基本支出</w:t>
      </w:r>
      <w:r>
        <w:rPr>
          <w:rFonts w:hint="eastAsia" w:ascii="仿宋" w:hAnsi="仿宋" w:eastAsia="仿宋"/>
          <w:color w:val="auto"/>
          <w:sz w:val="32"/>
          <w:szCs w:val="32"/>
          <w:lang w:val="en-US" w:eastAsia="zh-CN"/>
        </w:rPr>
        <w:t>839.84</w:t>
      </w:r>
      <w:r>
        <w:rPr>
          <w:rFonts w:hint="eastAsia" w:ascii="仿宋" w:hAnsi="仿宋" w:eastAsia="仿宋"/>
          <w:color w:val="auto"/>
          <w:sz w:val="32"/>
          <w:szCs w:val="32"/>
        </w:rPr>
        <w:t>万元，其中：</w:t>
      </w:r>
    </w:p>
    <w:p>
      <w:pPr>
        <w:spacing w:line="600" w:lineRule="exact"/>
        <w:ind w:firstLine="645"/>
        <w:rPr>
          <w:rFonts w:hint="default" w:ascii="仿宋" w:hAnsi="仿宋" w:eastAsia="仿宋"/>
          <w:color w:val="000000"/>
          <w:sz w:val="32"/>
          <w:szCs w:val="32"/>
          <w:lang w:val="en-US" w:eastAsia="zh-CN"/>
        </w:rPr>
      </w:pPr>
      <w:r>
        <w:rPr>
          <w:rFonts w:hint="eastAsia" w:ascii="仿宋" w:hAnsi="仿宋" w:eastAsia="仿宋"/>
          <w:color w:val="auto"/>
          <w:sz w:val="32"/>
          <w:szCs w:val="32"/>
          <w:lang w:val="en-US" w:eastAsia="zh-CN"/>
        </w:rPr>
        <w:t>人员经费424.14</w:t>
      </w:r>
      <w:r>
        <w:rPr>
          <w:rFonts w:hint="eastAsia" w:ascii="仿宋" w:hAnsi="仿宋" w:eastAsia="仿宋"/>
          <w:color w:val="auto"/>
          <w:sz w:val="32"/>
          <w:szCs w:val="32"/>
        </w:rPr>
        <w:t>万元，</w:t>
      </w:r>
      <w:r>
        <w:rPr>
          <w:rFonts w:hint="eastAsia" w:ascii="仿宋" w:hAnsi="仿宋" w:eastAsia="仿宋"/>
          <w:color w:val="000000"/>
          <w:sz w:val="32"/>
          <w:szCs w:val="32"/>
        </w:rPr>
        <w:t>主要包括：基本工资</w:t>
      </w:r>
      <w:r>
        <w:rPr>
          <w:rFonts w:hint="eastAsia" w:ascii="仿宋" w:hAnsi="仿宋" w:eastAsia="仿宋"/>
          <w:color w:val="000000"/>
          <w:sz w:val="32"/>
          <w:szCs w:val="32"/>
          <w:lang w:val="en-US" w:eastAsia="zh-CN"/>
        </w:rPr>
        <w:t>73.26万元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178.88万元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3.71万元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28.68万元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32.94万元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16.47万元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lang w:val="en-US" w:eastAsia="zh-CN"/>
        </w:rPr>
        <w:t>17.75</w:t>
      </w:r>
      <w:r>
        <w:rPr>
          <w:rFonts w:hint="eastAsia" w:ascii="仿宋" w:hAnsi="仿宋" w:eastAsia="仿宋"/>
          <w:color w:val="000000"/>
          <w:sz w:val="32"/>
          <w:szCs w:val="32"/>
          <w:lang w:eastAsia="zh-CN"/>
        </w:rPr>
        <w:t>万元、公务员医疗补助缴费</w:t>
      </w:r>
      <w:r>
        <w:rPr>
          <w:rFonts w:hint="eastAsia" w:ascii="仿宋" w:hAnsi="仿宋" w:eastAsia="仿宋"/>
          <w:color w:val="000000"/>
          <w:sz w:val="32"/>
          <w:szCs w:val="32"/>
          <w:lang w:val="en-US" w:eastAsia="zh-CN"/>
        </w:rPr>
        <w:t>4.47万元、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2.87万元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住房公积金</w:t>
      </w:r>
      <w:r>
        <w:rPr>
          <w:rFonts w:hint="eastAsia" w:ascii="仿宋" w:hAnsi="仿宋" w:eastAsia="仿宋"/>
          <w:color w:val="000000"/>
          <w:sz w:val="32"/>
          <w:szCs w:val="32"/>
          <w:lang w:val="en-US" w:eastAsia="zh-CN"/>
        </w:rPr>
        <w:t>28.01万元、医疗费0.56万元，</w:t>
      </w:r>
      <w:r>
        <w:rPr>
          <w:rFonts w:hint="eastAsia" w:ascii="仿宋" w:hAnsi="仿宋" w:eastAsia="仿宋"/>
          <w:color w:val="000000"/>
          <w:sz w:val="32"/>
          <w:szCs w:val="32"/>
        </w:rPr>
        <w:t>对个人和家庭的补助</w:t>
      </w:r>
      <w:r>
        <w:rPr>
          <w:rFonts w:hint="eastAsia" w:ascii="仿宋" w:hAnsi="仿宋" w:eastAsia="仿宋"/>
          <w:color w:val="000000"/>
          <w:sz w:val="32"/>
          <w:szCs w:val="32"/>
          <w:lang w:val="en-US" w:eastAsia="zh-CN"/>
        </w:rPr>
        <w:t>36.10万元、生活补助8万元、抚恤金27.54万元</w:t>
      </w:r>
    </w:p>
    <w:p>
      <w:pPr>
        <w:spacing w:line="600"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44.15</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21.16万元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0.62万元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水费</w:t>
      </w:r>
      <w:r>
        <w:rPr>
          <w:rFonts w:hint="eastAsia" w:ascii="仿宋" w:hAnsi="仿宋" w:eastAsia="仿宋"/>
          <w:color w:val="000000"/>
          <w:sz w:val="32"/>
          <w:szCs w:val="32"/>
          <w:lang w:val="en-US" w:eastAsia="zh-CN"/>
        </w:rPr>
        <w:t>0.62万元、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0.73万元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0.78万元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2.72万元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3万元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0.71万元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0.37万元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11.51万元</w:t>
      </w:r>
      <w:r>
        <w:rPr>
          <w:rFonts w:hint="eastAsia" w:ascii="仿宋" w:hAnsi="仿宋" w:eastAsia="仿宋"/>
          <w:color w:val="000000"/>
          <w:sz w:val="32"/>
          <w:szCs w:val="32"/>
          <w:lang w:eastAsia="zh-CN"/>
        </w:rPr>
        <w:t>、工会经费</w:t>
      </w:r>
      <w:r>
        <w:rPr>
          <w:rFonts w:hint="eastAsia" w:ascii="仿宋" w:hAnsi="仿宋" w:eastAsia="仿宋"/>
          <w:color w:val="000000"/>
          <w:sz w:val="32"/>
          <w:szCs w:val="32"/>
          <w:lang w:val="en-US" w:eastAsia="zh-CN"/>
        </w:rPr>
        <w:t>1.94万元。</w:t>
      </w:r>
    </w:p>
    <w:p>
      <w:pPr>
        <w:pStyle w:val="15"/>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七、“三公”经费财政拨款支出决算情况说明</w:t>
      </w:r>
      <w:bookmarkEnd w:id="20"/>
    </w:p>
    <w:p>
      <w:pPr>
        <w:pStyle w:val="15"/>
        <w:keepNext w:val="0"/>
        <w:keepLines w:val="0"/>
        <w:widowControl/>
        <w:suppressLineNumbers w:val="0"/>
        <w:ind w:left="0" w:right="75"/>
        <w:rPr>
          <w:rStyle w:val="18"/>
          <w:rFonts w:hint="eastAsia" w:ascii="仿宋_GB2312" w:hAnsi="仿宋_GB2312" w:eastAsia="仿宋_GB2312" w:cs="仿宋_GB2312"/>
          <w:sz w:val="32"/>
          <w:szCs w:val="32"/>
          <w:shd w:val="clear" w:color="auto" w:fill="FFFFFF"/>
        </w:rPr>
      </w:pPr>
      <w:r>
        <w:rPr>
          <w:rStyle w:val="18"/>
          <w:rFonts w:hint="eastAsia" w:ascii="仿宋_GB2312" w:hAnsi="仿宋_GB2312" w:eastAsia="仿宋_GB2312" w:cs="仿宋_GB2312"/>
          <w:sz w:val="32"/>
          <w:szCs w:val="32"/>
          <w:shd w:val="clear" w:color="auto" w:fill="FFFFFF"/>
        </w:rPr>
        <w:t>（一）“三公”经费财政拨款支出决算总体情况说明</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11.89</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rPr>
          <w:rStyle w:val="18"/>
          <w:rFonts w:hint="eastAsia" w:ascii="仿宋_GB2312" w:hAnsi="仿宋_GB2312" w:eastAsia="仿宋_GB2312" w:cs="仿宋_GB2312"/>
          <w:sz w:val="32"/>
          <w:szCs w:val="32"/>
          <w:shd w:val="clear" w:color="auto" w:fill="FFFFFF"/>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二</w:t>
      </w:r>
      <w:r>
        <w:rPr>
          <w:rFonts w:hint="eastAsia" w:ascii="仿宋" w:hAnsi="仿宋" w:eastAsia="仿宋"/>
          <w:color w:val="000000"/>
          <w:sz w:val="32"/>
          <w:szCs w:val="32"/>
          <w:lang w:eastAsia="zh-CN"/>
        </w:rPr>
        <w:t>）</w:t>
      </w:r>
      <w:r>
        <w:rPr>
          <w:rStyle w:val="18"/>
          <w:rFonts w:hint="eastAsia" w:ascii="仿宋_GB2312" w:hAnsi="仿宋_GB2312" w:eastAsia="仿宋_GB2312" w:cs="仿宋_GB2312"/>
          <w:sz w:val="32"/>
          <w:szCs w:val="32"/>
          <w:shd w:val="clear" w:color="auto" w:fill="FFFFFF"/>
        </w:rPr>
        <w:t>“三公”经费财政拨款支出决算具体情况说明</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11.51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96.80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0.37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3.2</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15"/>
        <w:keepNext w:val="0"/>
        <w:keepLines w:val="0"/>
        <w:widowControl/>
        <w:numPr>
          <w:ilvl w:val="0"/>
          <w:numId w:val="0"/>
        </w:numPr>
        <w:suppressLineNumbers w:val="0"/>
        <w:ind w:right="75" w:rightChars="0"/>
        <w:rPr>
          <w:rStyle w:val="18"/>
          <w:rFonts w:hint="eastAsia" w:ascii="仿宋_GB2312" w:hAnsi="仿宋_GB2312" w:eastAsia="仿宋_GB2312" w:cs="仿宋_GB2312"/>
          <w:sz w:val="32"/>
          <w:szCs w:val="32"/>
          <w:shd w:val="clear" w:color="auto" w:fill="FFFFFF"/>
          <w:lang w:eastAsia="zh-CN"/>
        </w:rPr>
      </w:pPr>
      <w:r>
        <w:rPr>
          <w:rStyle w:val="18"/>
          <w:rFonts w:hint="eastAsia" w:ascii="仿宋_GB2312" w:hAnsi="仿宋_GB2312" w:eastAsia="仿宋_GB2312" w:cs="仿宋_GB2312"/>
          <w:sz w:val="32"/>
          <w:szCs w:val="32"/>
          <w:shd w:val="clear" w:color="auto" w:fill="FFFFFF"/>
          <w:lang w:eastAsia="zh-CN"/>
        </w:rPr>
        <w:drawing>
          <wp:inline distT="0" distB="0" distL="114300" distR="114300">
            <wp:extent cx="5080000" cy="230505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numPr>
          <w:ilvl w:val="0"/>
          <w:numId w:val="0"/>
        </w:numPr>
        <w:spacing w:line="600" w:lineRule="exact"/>
        <w:ind w:firstLine="643" w:firstLineChars="200"/>
        <w:rPr>
          <w:rFonts w:hint="eastAsia" w:ascii="仿宋" w:hAnsi="仿宋" w:eastAsia="仿宋" w:cs="仿宋"/>
          <w:color w:val="000000"/>
          <w:sz w:val="32"/>
          <w:szCs w:val="32"/>
          <w:lang w:eastAsia="zh-CN"/>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 w:hAnsi="仿宋" w:eastAsia="仿宋" w:cs="仿宋"/>
          <w:color w:val="000000"/>
          <w:sz w:val="32"/>
          <w:szCs w:val="32"/>
        </w:rPr>
        <w:t>，</w:t>
      </w:r>
      <w:r>
        <w:rPr>
          <w:rStyle w:val="18"/>
          <w:rFonts w:hint="eastAsia" w:ascii="仿宋" w:hAnsi="仿宋" w:eastAsia="仿宋" w:cs="仿宋"/>
          <w:b w:val="0"/>
          <w:bCs/>
          <w:color w:val="000000"/>
          <w:sz w:val="32"/>
          <w:szCs w:val="32"/>
        </w:rPr>
        <w:t>完成预算</w:t>
      </w:r>
      <w:r>
        <w:rPr>
          <w:rStyle w:val="18"/>
          <w:rFonts w:hint="eastAsia" w:ascii="仿宋" w:hAnsi="仿宋" w:eastAsia="仿宋" w:cs="仿宋"/>
          <w:b w:val="0"/>
          <w:bCs/>
          <w:color w:val="000000"/>
          <w:sz w:val="32"/>
          <w:szCs w:val="32"/>
          <w:lang w:val="en-US" w:eastAsia="zh-CN"/>
        </w:rPr>
        <w:t>0</w:t>
      </w:r>
      <w:r>
        <w:rPr>
          <w:rStyle w:val="18"/>
          <w:rFonts w:hint="eastAsia" w:ascii="仿宋" w:hAnsi="仿宋" w:eastAsia="仿宋" w:cs="仿宋"/>
          <w:b w:val="0"/>
          <w:bCs/>
          <w:color w:val="000000"/>
          <w:sz w:val="32"/>
          <w:szCs w:val="32"/>
        </w:rPr>
        <w:t>%。</w:t>
      </w:r>
      <w:r>
        <w:rPr>
          <w:rFonts w:hint="eastAsia" w:ascii="仿宋" w:hAnsi="仿宋" w:eastAsia="仿宋" w:cs="仿宋"/>
          <w:color w:val="000000"/>
          <w:sz w:val="32"/>
          <w:szCs w:val="32"/>
        </w:rPr>
        <w:t>全年安排因公出国（境）团组</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次，出国（境）</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人。因公出国（境）支出决算</w:t>
      </w:r>
      <w:r>
        <w:rPr>
          <w:rFonts w:hint="eastAsia" w:ascii="仿宋" w:hAnsi="仿宋" w:eastAsia="仿宋" w:cs="仿宋"/>
          <w:color w:val="000000"/>
          <w:sz w:val="32"/>
          <w:szCs w:val="32"/>
          <w:lang w:eastAsia="zh-CN"/>
        </w:rPr>
        <w:t>与</w:t>
      </w:r>
      <w:r>
        <w:rPr>
          <w:rFonts w:hint="eastAsia" w:ascii="仿宋" w:hAnsi="仿宋" w:eastAsia="仿宋" w:cs="仿宋"/>
          <w:color w:val="000000"/>
          <w:sz w:val="32"/>
          <w:szCs w:val="32"/>
          <w:lang w:val="en-US" w:eastAsia="zh-CN"/>
        </w:rPr>
        <w:t>2020</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持平。</w:t>
      </w:r>
    </w:p>
    <w:p>
      <w:pPr>
        <w:numPr>
          <w:ilvl w:val="0"/>
          <w:numId w:val="0"/>
        </w:numPr>
        <w:spacing w:line="600" w:lineRule="exact"/>
        <w:ind w:firstLine="643" w:firstLineChars="200"/>
        <w:rPr>
          <w:rFonts w:hint="eastAsia" w:ascii="仿宋_GB2312" w:hAnsi="仿宋_GB2312" w:eastAsia="仿宋_GB2312" w:cs="仿宋_GB2312"/>
          <w:b/>
          <w:color w:val="000000"/>
          <w:sz w:val="32"/>
          <w:szCs w:val="32"/>
          <w:lang w:val="en-US"/>
        </w:rPr>
      </w:pPr>
      <w:r>
        <w:rPr>
          <w:rFonts w:hint="eastAsia" w:ascii="仿宋_GB2312" w:hAnsi="仿宋_GB2312" w:eastAsia="仿宋_GB2312" w:cs="仿宋_GB2312"/>
          <w:b/>
          <w:color w:val="000000"/>
          <w:sz w:val="32"/>
          <w:szCs w:val="32"/>
          <w:lang w:val="en-US" w:eastAsia="zh-CN"/>
        </w:rPr>
        <w:t>2.</w:t>
      </w:r>
      <w:r>
        <w:rPr>
          <w:rFonts w:hint="eastAsia" w:ascii="仿宋_GB2312" w:hAnsi="仿宋_GB2312" w:eastAsia="仿宋_GB2312" w:cs="仿宋_GB2312"/>
          <w:b/>
          <w:color w:val="000000"/>
          <w:sz w:val="32"/>
          <w:szCs w:val="32"/>
        </w:rPr>
        <w:t>公务用车购置及运行维护费支出</w:t>
      </w:r>
      <w:r>
        <w:rPr>
          <w:rFonts w:hint="eastAsia" w:ascii="仿宋_GB2312" w:hAnsi="仿宋_GB2312" w:eastAsia="仿宋_GB2312" w:cs="仿宋_GB2312"/>
          <w:b/>
          <w:color w:val="000000"/>
          <w:sz w:val="32"/>
          <w:szCs w:val="32"/>
          <w:lang w:val="en-US" w:eastAsia="zh-CN"/>
        </w:rPr>
        <w:t>11.51</w:t>
      </w:r>
      <w:r>
        <w:rPr>
          <w:rFonts w:hint="eastAsia" w:ascii="仿宋_GB2312" w:hAnsi="仿宋_GB2312" w:eastAsia="仿宋_GB2312" w:cs="仿宋_GB2312"/>
          <w:color w:val="000000"/>
          <w:sz w:val="32"/>
          <w:szCs w:val="32"/>
        </w:rPr>
        <w:t>万元</w:t>
      </w:r>
      <w:r>
        <w:rPr>
          <w:rFonts w:hint="eastAsia" w:ascii="仿宋" w:hAnsi="仿宋" w:eastAsia="仿宋" w:cs="仿宋"/>
          <w:color w:val="000000"/>
          <w:sz w:val="32"/>
          <w:szCs w:val="32"/>
        </w:rPr>
        <w:t>,</w:t>
      </w:r>
      <w:r>
        <w:rPr>
          <w:rStyle w:val="18"/>
          <w:rFonts w:hint="eastAsia" w:ascii="仿宋" w:hAnsi="仿宋" w:eastAsia="仿宋" w:cs="仿宋"/>
          <w:b w:val="0"/>
          <w:bCs/>
          <w:color w:val="000000"/>
          <w:sz w:val="32"/>
          <w:szCs w:val="32"/>
        </w:rPr>
        <w:t>完成预算</w:t>
      </w:r>
      <w:r>
        <w:rPr>
          <w:rStyle w:val="18"/>
          <w:rFonts w:hint="eastAsia" w:ascii="仿宋" w:hAnsi="仿宋" w:eastAsia="仿宋" w:cs="仿宋"/>
          <w:b w:val="0"/>
          <w:bCs/>
          <w:color w:val="000000"/>
          <w:sz w:val="32"/>
          <w:szCs w:val="32"/>
          <w:lang w:val="en-US" w:eastAsia="zh-CN"/>
        </w:rPr>
        <w:t>100</w:t>
      </w:r>
      <w:r>
        <w:rPr>
          <w:rStyle w:val="18"/>
          <w:rFonts w:hint="eastAsia" w:ascii="仿宋" w:hAnsi="仿宋" w:eastAsia="仿宋" w:cs="仿宋"/>
          <w:b w:val="0"/>
          <w:bCs/>
          <w:color w:val="000000"/>
          <w:sz w:val="32"/>
          <w:szCs w:val="32"/>
        </w:rPr>
        <w:t>%。</w:t>
      </w:r>
      <w:r>
        <w:rPr>
          <w:rFonts w:hint="eastAsia" w:ascii="仿宋" w:hAnsi="仿宋" w:eastAsia="仿宋" w:cs="仿宋"/>
          <w:color w:val="000000"/>
          <w:sz w:val="32"/>
          <w:szCs w:val="32"/>
        </w:rPr>
        <w:t>公务用车购置及运行维护费支出决算比</w:t>
      </w:r>
      <w:r>
        <w:rPr>
          <w:rFonts w:hint="eastAsia" w:ascii="仿宋" w:hAnsi="仿宋" w:eastAsia="仿宋" w:cs="仿宋"/>
          <w:color w:val="000000"/>
          <w:sz w:val="32"/>
          <w:szCs w:val="32"/>
          <w:lang w:val="en-US" w:eastAsia="zh-CN"/>
        </w:rPr>
        <w:t>2021</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增加2.89</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增长</w:t>
      </w:r>
      <w:r>
        <w:rPr>
          <w:rFonts w:hint="eastAsia" w:ascii="仿宋" w:hAnsi="仿宋" w:eastAsia="仿宋" w:cs="仿宋"/>
          <w:color w:val="000000"/>
          <w:sz w:val="32"/>
          <w:szCs w:val="32"/>
          <w:lang w:val="en-US" w:eastAsia="zh-CN"/>
        </w:rPr>
        <w:t>原因是2022年下乡次数和出差的次数增加。。</w:t>
      </w:r>
    </w:p>
    <w:p>
      <w:pPr>
        <w:spacing w:line="600" w:lineRule="exact"/>
        <w:ind w:firstLine="643" w:firstLineChars="200"/>
        <w:rPr>
          <w:rFonts w:hint="default" w:ascii="仿宋" w:hAnsi="仿宋" w:eastAsia="仿宋" w:cs="仿宋"/>
          <w:sz w:val="32"/>
          <w:szCs w:val="32"/>
          <w:lang w:val="en-US" w:eastAsia="zh-CN"/>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 w:hAnsi="仿宋" w:eastAsia="仿宋" w:cs="仿宋"/>
          <w:color w:val="000000"/>
          <w:sz w:val="32"/>
          <w:szCs w:val="32"/>
          <w:lang w:val="en-US" w:eastAsia="zh-CN"/>
        </w:rPr>
        <w:t>0.37</w:t>
      </w:r>
      <w:r>
        <w:rPr>
          <w:rFonts w:hint="eastAsia" w:ascii="仿宋" w:hAnsi="仿宋" w:eastAsia="仿宋" w:cs="仿宋"/>
          <w:color w:val="000000"/>
          <w:sz w:val="32"/>
          <w:szCs w:val="32"/>
        </w:rPr>
        <w:t>万元，</w:t>
      </w:r>
      <w:r>
        <w:rPr>
          <w:rStyle w:val="18"/>
          <w:rFonts w:hint="eastAsia" w:ascii="仿宋" w:hAnsi="仿宋" w:eastAsia="仿宋" w:cs="仿宋"/>
          <w:b w:val="0"/>
          <w:bCs/>
          <w:color w:val="000000"/>
          <w:sz w:val="32"/>
          <w:szCs w:val="32"/>
        </w:rPr>
        <w:t>完成预算</w:t>
      </w:r>
      <w:r>
        <w:rPr>
          <w:rStyle w:val="18"/>
          <w:rFonts w:hint="eastAsia" w:ascii="仿宋" w:hAnsi="仿宋" w:eastAsia="仿宋" w:cs="仿宋"/>
          <w:b w:val="0"/>
          <w:bCs/>
          <w:color w:val="000000"/>
          <w:sz w:val="32"/>
          <w:szCs w:val="32"/>
          <w:lang w:val="en-US" w:eastAsia="zh-CN"/>
        </w:rPr>
        <w:t>100</w:t>
      </w:r>
      <w:r>
        <w:rPr>
          <w:rStyle w:val="18"/>
          <w:rFonts w:hint="eastAsia" w:ascii="仿宋" w:hAnsi="仿宋" w:eastAsia="仿宋" w:cs="仿宋"/>
          <w:b w:val="0"/>
          <w:bCs/>
          <w:color w:val="000000"/>
          <w:sz w:val="32"/>
          <w:szCs w:val="32"/>
        </w:rPr>
        <w:t>%。</w:t>
      </w:r>
      <w:r>
        <w:rPr>
          <w:rFonts w:hint="eastAsia" w:ascii="仿宋" w:hAnsi="仿宋" w:eastAsia="仿宋" w:cs="仿宋"/>
          <w:color w:val="000000"/>
          <w:sz w:val="32"/>
          <w:szCs w:val="32"/>
        </w:rPr>
        <w:t>公务接待费支出决算比</w:t>
      </w:r>
      <w:r>
        <w:rPr>
          <w:rFonts w:hint="eastAsia" w:ascii="仿宋" w:hAnsi="仿宋" w:eastAsia="仿宋" w:cs="仿宋"/>
          <w:color w:val="000000"/>
          <w:sz w:val="32"/>
          <w:szCs w:val="32"/>
          <w:lang w:val="en-US" w:eastAsia="zh-CN"/>
        </w:rPr>
        <w:t>2021</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持平</w:t>
      </w:r>
      <w:r>
        <w:rPr>
          <w:rFonts w:hint="eastAsia" w:ascii="仿宋" w:hAnsi="仿宋" w:eastAsia="仿宋" w:cs="仿宋"/>
          <w:color w:val="000000"/>
          <w:sz w:val="32"/>
          <w:szCs w:val="32"/>
        </w:rPr>
        <w:t>，主要原</w:t>
      </w:r>
      <w:r>
        <w:rPr>
          <w:rFonts w:hint="eastAsia" w:ascii="仿宋" w:hAnsi="仿宋" w:eastAsia="仿宋" w:cs="仿宋"/>
          <w:color w:val="000000"/>
          <w:sz w:val="32"/>
          <w:szCs w:val="32"/>
          <w:lang w:eastAsia="zh-CN"/>
        </w:rPr>
        <w:t>因</w:t>
      </w:r>
      <w:r>
        <w:rPr>
          <w:rFonts w:hint="eastAsia" w:ascii="仿宋" w:hAnsi="仿宋" w:eastAsia="仿宋" w:cs="仿宋"/>
          <w:sz w:val="32"/>
          <w:szCs w:val="32"/>
          <w:lang w:val="en-US" w:eastAsia="zh-CN"/>
        </w:rPr>
        <w:t>是接待上级部门及各县执行公务、开展业务活动、调研等开支的餐费。2022年国内公务接待3批次，32人次（不包括陪同人员），共计支出0.37万元。</w:t>
      </w:r>
    </w:p>
    <w:p>
      <w:pPr>
        <w:spacing w:line="600" w:lineRule="exact"/>
        <w:ind w:firstLine="643" w:firstLineChars="200"/>
        <w:rPr>
          <w:rStyle w:val="18"/>
          <w:rFonts w:hint="eastAsia" w:ascii="仿宋" w:hAnsi="仿宋" w:eastAsia="仿宋" w:cs="仿宋"/>
          <w:sz w:val="32"/>
          <w:szCs w:val="32"/>
          <w:shd w:val="clear" w:color="auto" w:fill="FFFFFF"/>
          <w:lang w:eastAsia="zh-CN"/>
        </w:rPr>
      </w:pPr>
      <w:r>
        <w:rPr>
          <w:rFonts w:hint="eastAsia" w:ascii="仿宋" w:hAnsi="仿宋" w:eastAsia="仿宋"/>
          <w:b/>
          <w:color w:val="000000"/>
          <w:sz w:val="32"/>
          <w:szCs w:val="32"/>
          <w:lang w:val="en-US" w:eastAsia="zh-CN"/>
        </w:rPr>
        <w:t>4.</w:t>
      </w: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外事接待</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批次，</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人，共计支出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w:t>
      </w:r>
      <w:r>
        <w:rPr>
          <w:rFonts w:hint="eastAsia" w:ascii="仿宋" w:hAnsi="仿宋" w:eastAsia="仿宋" w:cs="仿宋"/>
          <w:color w:val="000000" w:themeColor="text1"/>
          <w:sz w:val="32"/>
          <w:szCs w:val="32"/>
          <w:lang w:eastAsia="zh-CN"/>
          <w14:textFill>
            <w14:solidFill>
              <w14:schemeClr w14:val="tx1"/>
            </w14:solidFill>
          </w14:textFill>
        </w:rPr>
        <w:t>。</w:t>
      </w:r>
    </w:p>
    <w:p>
      <w:pPr>
        <w:pStyle w:val="15"/>
        <w:keepNext w:val="0"/>
        <w:keepLines w:val="0"/>
        <w:widowControl/>
        <w:numPr>
          <w:ilvl w:val="0"/>
          <w:numId w:val="4"/>
        </w:numPr>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21" w:name="_Toc9599"/>
      <w:r>
        <w:rPr>
          <w:rFonts w:hint="eastAsia" w:ascii="黑体" w:hAnsi="黑体" w:eastAsia="黑体" w:cs="黑体"/>
          <w:sz w:val="32"/>
          <w:szCs w:val="32"/>
          <w:shd w:val="clear" w:color="auto" w:fill="FFFFFF"/>
        </w:rPr>
        <w:t>政府性基金预算支出决算情况说明</w:t>
      </w:r>
      <w:bookmarkEnd w:id="21"/>
    </w:p>
    <w:p>
      <w:pPr>
        <w:spacing w:line="600" w:lineRule="exact"/>
        <w:ind w:firstLine="640" w:firstLineChars="200"/>
        <w:rPr>
          <w:rFonts w:hint="eastAsia" w:ascii="仿宋" w:hAnsi="仿宋" w:eastAsia="仿宋" w:cs="仿宋"/>
          <w:sz w:val="32"/>
          <w:szCs w:val="32"/>
          <w:shd w:val="clear" w:color="auto" w:fill="FFFFFF"/>
          <w:lang w:eastAsia="zh-CN"/>
        </w:rPr>
      </w:pPr>
      <w:r>
        <w:rPr>
          <w:rFonts w:hint="eastAsia" w:ascii="仿宋" w:hAnsi="仿宋" w:eastAsia="仿宋" w:cs="仿宋"/>
          <w:color w:val="000000"/>
          <w:sz w:val="32"/>
          <w:szCs w:val="32"/>
          <w:lang w:eastAsia="zh-CN"/>
        </w:rPr>
        <w:t>2022</w:t>
      </w:r>
      <w:r>
        <w:rPr>
          <w:rFonts w:hint="eastAsia" w:ascii="仿宋" w:hAnsi="仿宋" w:eastAsia="仿宋" w:cs="仿宋"/>
          <w:color w:val="000000"/>
          <w:sz w:val="32"/>
          <w:szCs w:val="32"/>
        </w:rPr>
        <w:t>年政府性基金预算拨款支出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p>
    <w:p>
      <w:pPr>
        <w:pStyle w:val="15"/>
        <w:keepNext w:val="0"/>
        <w:keepLines w:val="0"/>
        <w:widowControl/>
        <w:numPr>
          <w:ilvl w:val="0"/>
          <w:numId w:val="4"/>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22" w:name="_Toc31416"/>
      <w:r>
        <w:rPr>
          <w:rFonts w:hint="eastAsia" w:ascii="黑体" w:hAnsi="黑体" w:eastAsia="黑体" w:cs="黑体"/>
          <w:sz w:val="32"/>
          <w:szCs w:val="32"/>
          <w:shd w:val="clear" w:color="auto" w:fill="FFFFFF"/>
        </w:rPr>
        <w:t>国有资本经营预算支出决算情况说明</w:t>
      </w:r>
      <w:bookmarkEnd w:id="22"/>
    </w:p>
    <w:p>
      <w:pPr>
        <w:spacing w:line="600" w:lineRule="exact"/>
        <w:ind w:firstLine="640"/>
        <w:rPr>
          <w:rFonts w:hint="eastAsia" w:ascii="黑体" w:hAnsi="黑体" w:eastAsia="黑体" w:cs="黑体"/>
          <w:sz w:val="32"/>
          <w:szCs w:val="32"/>
          <w:shd w:val="clear" w:color="auto" w:fill="FFFFFF"/>
        </w:rPr>
      </w:pPr>
      <w:r>
        <w:rPr>
          <w:rFonts w:hint="eastAsia" w:ascii="仿宋_GB2312" w:eastAsia="仿宋_GB2312"/>
          <w:color w:val="000000"/>
          <w:sz w:val="32"/>
          <w:szCs w:val="32"/>
          <w:lang w:eastAsia="zh-CN"/>
        </w:rPr>
        <w:t>2022</w:t>
      </w:r>
      <w:r>
        <w:rPr>
          <w:rFonts w:hint="eastAsia" w:ascii="仿宋" w:hAnsi="仿宋" w:eastAsia="仿宋" w:cs="仿宋"/>
          <w:color w:val="000000"/>
          <w:sz w:val="32"/>
          <w:szCs w:val="32"/>
        </w:rPr>
        <w:t>年国有资本经营预算拨款支出</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p>
    <w:p>
      <w:pPr>
        <w:pStyle w:val="15"/>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23" w:name="_Toc11587"/>
      <w:r>
        <w:rPr>
          <w:rFonts w:hint="eastAsia" w:ascii="黑体" w:hAnsi="黑体" w:eastAsia="黑体" w:cs="黑体"/>
          <w:sz w:val="32"/>
          <w:szCs w:val="32"/>
          <w:shd w:val="clear" w:color="auto" w:fill="FFFFFF"/>
        </w:rPr>
        <w:t>十、其他重要事项的情况说明</w:t>
      </w:r>
      <w:bookmarkEnd w:id="23"/>
    </w:p>
    <w:p>
      <w:pPr>
        <w:pStyle w:val="15"/>
        <w:keepNext w:val="0"/>
        <w:keepLines w:val="0"/>
        <w:widowControl/>
        <w:suppressLineNumbers w:val="0"/>
        <w:ind w:left="0" w:right="75"/>
        <w:rPr>
          <w:rStyle w:val="18"/>
          <w:rFonts w:hint="eastAsia" w:ascii="仿宋_GB2312" w:hAnsi="仿宋_GB2312" w:eastAsia="仿宋_GB2312" w:cs="仿宋_GB2312"/>
          <w:sz w:val="32"/>
          <w:szCs w:val="32"/>
          <w:shd w:val="clear" w:color="auto" w:fill="FFFFFF"/>
        </w:rPr>
      </w:pPr>
      <w:r>
        <w:rPr>
          <w:rStyle w:val="18"/>
          <w:rFonts w:hint="eastAsia" w:ascii="仿宋_GB2312" w:hAnsi="仿宋_GB2312" w:eastAsia="仿宋_GB2312" w:cs="仿宋_GB2312"/>
          <w:sz w:val="32"/>
          <w:szCs w:val="32"/>
          <w:shd w:val="clear" w:color="auto" w:fill="FFFFFF"/>
        </w:rPr>
        <w:t>（一）机关运行经费支出情况</w:t>
      </w:r>
    </w:p>
    <w:p>
      <w:pPr>
        <w:pStyle w:val="15"/>
        <w:keepNext w:val="0"/>
        <w:keepLines w:val="0"/>
        <w:widowControl/>
        <w:suppressLineNumbers w:val="0"/>
        <w:ind w:left="0" w:right="75" w:firstLine="640" w:firstLineChars="200"/>
        <w:rPr>
          <w:rFonts w:hint="eastAsia" w:ascii="仿宋" w:hAnsi="仿宋" w:eastAsia="仿宋" w:cs="仿宋"/>
          <w:b w:val="0"/>
          <w:bCs w:val="0"/>
          <w:color w:val="000000"/>
          <w:sz w:val="32"/>
          <w:szCs w:val="32"/>
          <w:lang w:val="en-US" w:eastAsia="zh-CN"/>
        </w:rPr>
      </w:pPr>
      <w:r>
        <w:rPr>
          <w:rFonts w:hint="eastAsia" w:ascii="仿宋" w:hAnsi="仿宋" w:eastAsia="仿宋" w:cs="仿宋"/>
          <w:color w:val="000000"/>
          <w:sz w:val="32"/>
          <w:szCs w:val="32"/>
          <w:lang w:eastAsia="zh-CN"/>
        </w:rPr>
        <w:t>2022</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宣传部机关</w:t>
      </w:r>
      <w:r>
        <w:rPr>
          <w:rFonts w:hint="eastAsia" w:ascii="仿宋" w:hAnsi="仿宋" w:eastAsia="仿宋" w:cs="仿宋"/>
          <w:color w:val="000000"/>
          <w:sz w:val="32"/>
          <w:szCs w:val="32"/>
        </w:rPr>
        <w:t>运行经费支出</w:t>
      </w:r>
      <w:r>
        <w:rPr>
          <w:rFonts w:hint="eastAsia" w:ascii="仿宋" w:hAnsi="仿宋" w:eastAsia="仿宋" w:cs="仿宋"/>
          <w:color w:val="000000"/>
          <w:sz w:val="32"/>
          <w:szCs w:val="32"/>
          <w:lang w:val="en-US" w:eastAsia="zh-CN"/>
        </w:rPr>
        <w:t>35.09</w:t>
      </w:r>
      <w:r>
        <w:rPr>
          <w:rFonts w:hint="eastAsia" w:ascii="仿宋" w:hAnsi="仿宋" w:eastAsia="仿宋" w:cs="仿宋"/>
          <w:color w:val="000000"/>
          <w:sz w:val="32"/>
          <w:szCs w:val="32"/>
        </w:rPr>
        <w:t>万元，比</w:t>
      </w:r>
      <w:r>
        <w:rPr>
          <w:rFonts w:hint="eastAsia" w:ascii="仿宋" w:hAnsi="仿宋" w:eastAsia="仿宋" w:cs="仿宋"/>
          <w:color w:val="000000"/>
          <w:sz w:val="32"/>
          <w:szCs w:val="32"/>
          <w:lang w:val="en-US" w:eastAsia="zh-CN"/>
        </w:rPr>
        <w:t>2021</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增加4.64</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en-US" w:eastAsia="zh-CN"/>
        </w:rPr>
        <w:t>上升13.22</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主要原因是差旅费和取暖费比2021年增加了</w:t>
      </w:r>
      <w:r>
        <w:rPr>
          <w:rFonts w:hint="eastAsia" w:ascii="仿宋" w:hAnsi="仿宋" w:eastAsia="仿宋" w:cs="仿宋"/>
          <w:b w:val="0"/>
          <w:bCs w:val="0"/>
          <w:color w:val="000000"/>
          <w:sz w:val="32"/>
          <w:szCs w:val="32"/>
          <w:lang w:val="en-US" w:eastAsia="zh-CN"/>
        </w:rPr>
        <w:t>。</w:t>
      </w:r>
    </w:p>
    <w:p>
      <w:pPr>
        <w:pStyle w:val="15"/>
        <w:keepNext w:val="0"/>
        <w:keepLines w:val="0"/>
        <w:widowControl/>
        <w:suppressLineNumbers w:val="0"/>
        <w:ind w:right="75"/>
        <w:rPr>
          <w:rStyle w:val="18"/>
          <w:rFonts w:hint="eastAsia" w:ascii="仿宋_GB2312" w:hAnsi="仿宋_GB2312" w:eastAsia="仿宋_GB2312" w:cs="仿宋_GB2312"/>
          <w:sz w:val="32"/>
          <w:szCs w:val="32"/>
          <w:shd w:val="clear" w:color="auto" w:fill="FFFFFF"/>
        </w:rPr>
      </w:pPr>
      <w:r>
        <w:rPr>
          <w:rStyle w:val="18"/>
          <w:rFonts w:hint="eastAsia" w:ascii="仿宋_GB2312" w:hAnsi="仿宋_GB2312" w:eastAsia="仿宋_GB2312" w:cs="仿宋_GB2312"/>
          <w:sz w:val="32"/>
          <w:szCs w:val="32"/>
          <w:shd w:val="clear" w:color="auto" w:fill="FFFFFF"/>
          <w:lang w:eastAsia="zh-CN"/>
        </w:rPr>
        <w:t>（二）</w:t>
      </w:r>
      <w:r>
        <w:rPr>
          <w:rStyle w:val="18"/>
          <w:rFonts w:hint="eastAsia" w:ascii="仿宋_GB2312" w:hAnsi="仿宋_GB2312" w:eastAsia="仿宋_GB2312" w:cs="仿宋_GB2312"/>
          <w:sz w:val="32"/>
          <w:szCs w:val="32"/>
          <w:shd w:val="clear" w:color="auto" w:fill="FFFFFF"/>
        </w:rPr>
        <w:t>政府采购支出情况</w:t>
      </w:r>
    </w:p>
    <w:p>
      <w:pPr>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000000"/>
          <w:sz w:val="32"/>
          <w:szCs w:val="32"/>
          <w:lang w:val="en-US" w:eastAsia="zh-CN"/>
        </w:rPr>
        <w:t>2022</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宣传部</w:t>
      </w:r>
      <w:r>
        <w:rPr>
          <w:rFonts w:hint="eastAsia" w:ascii="仿宋" w:hAnsi="仿宋" w:eastAsia="仿宋" w:cs="仿宋"/>
          <w:color w:val="000000"/>
          <w:sz w:val="32"/>
          <w:szCs w:val="32"/>
        </w:rPr>
        <w:t>政府采购支出总额</w:t>
      </w:r>
      <w:r>
        <w:rPr>
          <w:rFonts w:hint="eastAsia" w:ascii="仿宋" w:hAnsi="仿宋" w:eastAsia="仿宋" w:cs="仿宋"/>
          <w:color w:val="000000"/>
          <w:sz w:val="32"/>
          <w:szCs w:val="32"/>
          <w:lang w:val="en-US" w:eastAsia="zh-CN"/>
        </w:rPr>
        <w:t>0万元，</w:t>
      </w:r>
    </w:p>
    <w:p>
      <w:pPr>
        <w:spacing w:line="600" w:lineRule="exact"/>
        <w:rPr>
          <w:rStyle w:val="18"/>
          <w:rFonts w:hint="eastAsia" w:ascii="仿宋_GB2312" w:hAnsi="仿宋_GB2312" w:eastAsia="仿宋_GB2312" w:cs="仿宋_GB2312"/>
          <w:sz w:val="32"/>
          <w:szCs w:val="32"/>
          <w:shd w:val="clear" w:color="auto" w:fill="FFFFFF"/>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三</w:t>
      </w:r>
      <w:r>
        <w:rPr>
          <w:rFonts w:hint="eastAsia" w:ascii="仿宋_GB2312" w:eastAsia="仿宋_GB2312"/>
          <w:color w:val="auto"/>
          <w:sz w:val="32"/>
          <w:szCs w:val="32"/>
          <w:lang w:eastAsia="zh-CN"/>
        </w:rPr>
        <w:t>）</w:t>
      </w:r>
      <w:r>
        <w:rPr>
          <w:rStyle w:val="18"/>
          <w:rFonts w:hint="eastAsia" w:ascii="仿宋_GB2312" w:hAnsi="仿宋_GB2312" w:eastAsia="仿宋_GB2312" w:cs="仿宋_GB2312"/>
          <w:sz w:val="32"/>
          <w:szCs w:val="32"/>
          <w:shd w:val="clear" w:color="auto" w:fill="FFFFFF"/>
        </w:rPr>
        <w:t>国有资产占有使用情况</w:t>
      </w:r>
    </w:p>
    <w:p>
      <w:pPr>
        <w:autoSpaceDE w:val="0"/>
        <w:autoSpaceDN w:val="0"/>
        <w:adjustRightInd w:val="0"/>
        <w:spacing w:line="600" w:lineRule="exact"/>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截至</w:t>
      </w:r>
      <w:r>
        <w:rPr>
          <w:rFonts w:hint="eastAsia" w:ascii="仿宋" w:hAnsi="仿宋" w:eastAsia="仿宋" w:cs="仿宋"/>
          <w:color w:val="000000"/>
          <w:sz w:val="32"/>
          <w:szCs w:val="32"/>
          <w:lang w:val="en-US" w:eastAsia="zh-CN"/>
        </w:rPr>
        <w:t>2022</w:t>
      </w:r>
      <w:r>
        <w:rPr>
          <w:rFonts w:hint="eastAsia" w:ascii="仿宋" w:hAnsi="仿宋" w:eastAsia="仿宋" w:cs="仿宋"/>
          <w:color w:val="000000"/>
          <w:sz w:val="32"/>
          <w:szCs w:val="32"/>
        </w:rPr>
        <w:t>年12月31日，</w:t>
      </w:r>
      <w:r>
        <w:rPr>
          <w:rFonts w:hint="eastAsia" w:ascii="仿宋" w:hAnsi="仿宋" w:eastAsia="仿宋" w:cs="仿宋"/>
          <w:color w:val="000000"/>
          <w:sz w:val="32"/>
          <w:szCs w:val="32"/>
          <w:lang w:eastAsia="zh-CN"/>
        </w:rPr>
        <w:t>红原县宣传部</w:t>
      </w:r>
      <w:r>
        <w:rPr>
          <w:rFonts w:hint="eastAsia" w:ascii="仿宋" w:hAnsi="仿宋" w:eastAsia="仿宋" w:cs="仿宋"/>
          <w:color w:val="000000"/>
          <w:sz w:val="32"/>
          <w:szCs w:val="32"/>
        </w:rPr>
        <w:t>共有车辆</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辆，其中：一般公务用车</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其中：越野车</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辆。单价50万元以上通用设备</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台（套），单价100万元以上专用设备</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台（套）。</w:t>
      </w:r>
    </w:p>
    <w:p>
      <w:pPr>
        <w:pStyle w:val="15"/>
        <w:keepNext w:val="0"/>
        <w:keepLines w:val="0"/>
        <w:widowControl/>
        <w:numPr>
          <w:ilvl w:val="0"/>
          <w:numId w:val="5"/>
        </w:numPr>
        <w:suppressLineNumbers w:val="0"/>
        <w:shd w:val="clear" w:color="auto" w:fill="auto"/>
        <w:ind w:left="0" w:leftChars="0" w:right="75" w:firstLine="0" w:firstLineChars="0"/>
        <w:rPr>
          <w:rStyle w:val="18"/>
          <w:rFonts w:hint="eastAsia" w:ascii="仿宋_GB2312" w:hAnsi="仿宋_GB2312" w:eastAsia="仿宋_GB2312" w:cs="仿宋_GB2312"/>
          <w:sz w:val="32"/>
          <w:szCs w:val="32"/>
          <w:shd w:val="clear" w:color="auto" w:fill="FFFFFF"/>
          <w:lang w:val="en-US" w:eastAsia="zh-CN"/>
        </w:rPr>
      </w:pPr>
      <w:r>
        <w:rPr>
          <w:rStyle w:val="18"/>
          <w:rFonts w:hint="eastAsia" w:ascii="仿宋_GB2312" w:hAnsi="仿宋_GB2312" w:eastAsia="仿宋_GB2312" w:cs="仿宋_GB2312"/>
          <w:sz w:val="32"/>
          <w:szCs w:val="32"/>
          <w:shd w:val="clear" w:color="auto" w:fill="FFFFFF"/>
          <w:lang w:val="en-US" w:eastAsia="zh-CN"/>
        </w:rPr>
        <w:t>由养老保险机构发放养老金的退休人员</w:t>
      </w:r>
    </w:p>
    <w:p>
      <w:pPr>
        <w:pStyle w:val="2"/>
        <w:numPr>
          <w:ilvl w:val="0"/>
          <w:numId w:val="0"/>
        </w:numPr>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截至</w:t>
      </w:r>
      <w:r>
        <w:rPr>
          <w:rFonts w:hint="eastAsia" w:ascii="仿宋" w:hAnsi="仿宋" w:eastAsia="仿宋" w:cs="仿宋"/>
          <w:color w:val="000000"/>
          <w:sz w:val="32"/>
          <w:szCs w:val="32"/>
          <w:lang w:eastAsia="zh-CN"/>
        </w:rPr>
        <w:t>2022</w:t>
      </w:r>
      <w:r>
        <w:rPr>
          <w:rFonts w:hint="eastAsia" w:ascii="仿宋" w:hAnsi="仿宋" w:eastAsia="仿宋" w:cs="仿宋"/>
          <w:color w:val="000000"/>
          <w:sz w:val="32"/>
          <w:szCs w:val="32"/>
        </w:rPr>
        <w:t>年12月31日</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本单位由养老保险机构发放养老金的退休人员7人。</w:t>
      </w:r>
    </w:p>
    <w:p>
      <w:pPr>
        <w:pStyle w:val="15"/>
        <w:keepNext w:val="0"/>
        <w:keepLines w:val="0"/>
        <w:widowControl/>
        <w:numPr>
          <w:ilvl w:val="0"/>
          <w:numId w:val="5"/>
        </w:numPr>
        <w:suppressLineNumbers w:val="0"/>
        <w:ind w:left="0" w:leftChars="0" w:right="75" w:firstLine="0" w:firstLineChars="0"/>
        <w:rPr>
          <w:rStyle w:val="18"/>
          <w:rFonts w:hint="eastAsia" w:ascii="仿宋_GB2312" w:hAnsi="仿宋_GB2312" w:eastAsia="仿宋_GB2312" w:cs="仿宋_GB2312"/>
          <w:sz w:val="32"/>
          <w:szCs w:val="32"/>
          <w:shd w:val="clear" w:color="auto" w:fill="FFFFFF"/>
        </w:rPr>
      </w:pPr>
      <w:r>
        <w:rPr>
          <w:rStyle w:val="18"/>
          <w:rFonts w:hint="eastAsia" w:ascii="仿宋_GB2312" w:hAnsi="仿宋_GB2312" w:eastAsia="仿宋_GB2312" w:cs="仿宋_GB2312"/>
          <w:sz w:val="32"/>
          <w:szCs w:val="32"/>
          <w:shd w:val="clear" w:color="auto" w:fill="FFFFFF"/>
        </w:rPr>
        <w:t>预算绩效管理情况。</w:t>
      </w:r>
    </w:p>
    <w:p>
      <w:pPr>
        <w:pStyle w:val="27"/>
        <w:keepNext w:val="0"/>
        <w:keepLines w:val="0"/>
        <w:widowControl/>
        <w:suppressLineNumbers w:val="0"/>
        <w:spacing w:before="0" w:beforeAutospacing="0"/>
        <w:ind w:left="0"/>
        <w:jc w:val="left"/>
        <w:rPr>
          <w:rFonts w:hint="eastAsia" w:ascii="仿宋_GB2312" w:hAnsi="仿宋_GB2312" w:eastAsia="仿宋_GB2312" w:cs="仿宋_GB2312"/>
          <w:color w:val="333333"/>
          <w:kern w:val="0"/>
          <w:sz w:val="32"/>
          <w:szCs w:val="32"/>
          <w:shd w:val="clear" w:fill="FFFFFF"/>
        </w:rPr>
      </w:pPr>
      <w:r>
        <w:rPr>
          <w:rFonts w:hint="eastAsia" w:ascii="仿宋_GB2312" w:hAnsi="仿宋_GB2312" w:eastAsia="仿宋_GB2312" w:cs="仿宋_GB2312"/>
          <w:color w:val="333333"/>
          <w:kern w:val="0"/>
          <w:sz w:val="32"/>
          <w:szCs w:val="32"/>
          <w:shd w:val="clear" w:fill="FFFFFF"/>
        </w:rPr>
        <w:t>1.概述项目绩效目标完成情况。</w:t>
      </w:r>
    </w:p>
    <w:p>
      <w:pPr>
        <w:keepNext w:val="0"/>
        <w:keepLines w:val="0"/>
        <w:widowControl/>
        <w:suppressLineNumbers w:val="0"/>
        <w:spacing w:line="560" w:lineRule="exact"/>
        <w:ind w:left="0" w:firstLine="480" w:firstLineChars="150"/>
        <w:rPr>
          <w:rFonts w:hint="eastAsia" w:ascii="仿宋_GB2312" w:hAnsi="仿宋_GB2312" w:eastAsia="仿宋_GB2312" w:cs="仿宋_GB2312"/>
          <w:color w:val="333333"/>
          <w:kern w:val="0"/>
          <w:sz w:val="32"/>
          <w:szCs w:val="32"/>
          <w:shd w:val="clear" w:fill="FFFFFF"/>
        </w:rPr>
      </w:pPr>
      <w:r>
        <w:rPr>
          <w:rFonts w:hint="eastAsia" w:ascii="仿宋_GB2312" w:hAnsi="仿宋_GB2312" w:eastAsia="仿宋_GB2312" w:cs="仿宋_GB2312"/>
          <w:color w:val="333333"/>
          <w:kern w:val="0"/>
          <w:sz w:val="32"/>
          <w:szCs w:val="32"/>
          <w:shd w:val="clear" w:fill="FFFFFF"/>
        </w:rPr>
        <w:t>单位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加强相关人员的业务培训，进一步提高预算绩效评价质量。</w:t>
      </w: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numPr>
          <w:ilvl w:val="0"/>
          <w:numId w:val="6"/>
        </w:numPr>
        <w:spacing w:line="600" w:lineRule="exact"/>
        <w:ind w:firstLine="663" w:firstLineChars="150"/>
        <w:jc w:val="center"/>
        <w:outlineLvl w:val="0"/>
        <w:rPr>
          <w:rStyle w:val="28"/>
          <w:rFonts w:ascii="黑体" w:hAnsi="黑体" w:eastAsia="黑体"/>
          <w:b w:val="0"/>
        </w:rPr>
      </w:pPr>
      <w:bookmarkStart w:id="24" w:name="_Toc15377225"/>
      <w:bookmarkStart w:id="25" w:name="_Toc25870"/>
      <w:r>
        <w:rPr>
          <w:rFonts w:hint="eastAsia" w:ascii="黑体" w:hAnsi="黑体" w:eastAsia="黑体"/>
          <w:b/>
          <w:color w:val="000000"/>
          <w:sz w:val="44"/>
          <w:szCs w:val="44"/>
        </w:rPr>
        <w:t>名</w:t>
      </w:r>
      <w:r>
        <w:rPr>
          <w:rStyle w:val="28"/>
          <w:rFonts w:hint="eastAsia" w:ascii="黑体" w:hAnsi="黑体" w:eastAsia="黑体"/>
          <w:b w:val="0"/>
        </w:rPr>
        <w:t>词解释</w:t>
      </w:r>
      <w:bookmarkEnd w:id="24"/>
      <w:bookmarkEnd w:id="25"/>
    </w:p>
    <w:p>
      <w:pPr>
        <w:spacing w:line="600" w:lineRule="exact"/>
        <w:jc w:val="left"/>
        <w:rPr>
          <w:rFonts w:ascii="宋体"/>
          <w:b/>
          <w:color w:val="000000"/>
          <w:sz w:val="44"/>
          <w:szCs w:val="44"/>
        </w:rPr>
      </w:pPr>
    </w:p>
    <w:p>
      <w:pPr>
        <w:pStyle w:val="2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1"/>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lang w:val="en-US" w:eastAsia="zh-CN"/>
        </w:rPr>
        <w:t>.</w:t>
      </w:r>
      <w:r>
        <w:rPr>
          <w:rFonts w:hint="eastAsia" w:ascii="仿宋_GB2312" w:eastAsia="仿宋_GB2312"/>
          <w:sz w:val="32"/>
          <w:szCs w:val="32"/>
        </w:rPr>
        <w:t>年末结转和结余：指单位按有关规定结转到下年或以后年度继续使用的资金。</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9.201301行政运行：指行政单位（包括实行公务员管理的事业单位）的基本支出。</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10.2110105一般行政管理事务:指反映行政单位(包括实行公务员管理的事业单位)未单独设置项级科目的其他项目支出.2013350事业运行:指反映事业单位的基本支出,不包括行政单位(包括实行公务员管理的事业单位)后勤服务中心、医务室等附属事业单位。</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社会保障和就业2080505：指机关事业单位基本养老保险缴费支出</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2050806：指机关事业单位职业年金缴费支出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：指行政单位医疗</w:t>
      </w:r>
      <w:r>
        <w:rPr>
          <w:rFonts w:hint="eastAsia" w:ascii="仿宋_GB2312" w:eastAsia="仿宋_GB2312"/>
          <w:color w:val="000000"/>
          <w:sz w:val="32"/>
          <w:szCs w:val="32"/>
          <w:lang w:eastAsia="zh-CN"/>
        </w:rPr>
        <w:t>支出；</w:t>
      </w:r>
      <w:r>
        <w:rPr>
          <w:rFonts w:hint="eastAsia" w:ascii="仿宋_GB2312" w:eastAsia="仿宋_GB2312"/>
          <w:color w:val="000000"/>
          <w:sz w:val="32"/>
          <w:szCs w:val="32"/>
          <w:lang w:val="en-US" w:eastAsia="zh-CN"/>
        </w:rPr>
        <w:t>2101102：指事业单位医疗支出；2101103：指公务员医疗补助支出；2101199：指其他行政事业单位医疗支出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：指住房公积金</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0"/>
        <w:rPr>
          <w:rFonts w:hint="eastAsia"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0"/>
        <w:rPr>
          <w:rFonts w:hint="eastAsia" w:ascii="仿宋_GB2312" w:eastAsia="仿宋_GB2312"/>
          <w:sz w:val="32"/>
          <w:szCs w:val="32"/>
        </w:rPr>
      </w:pPr>
    </w:p>
    <w:p>
      <w:pPr>
        <w:pStyle w:val="10"/>
        <w:rPr>
          <w:rFonts w:hint="eastAsia" w:ascii="仿宋_GB2312" w:eastAsia="仿宋_GB2312"/>
          <w:sz w:val="32"/>
          <w:szCs w:val="32"/>
        </w:rPr>
      </w:pPr>
    </w:p>
    <w:p>
      <w:pPr>
        <w:pStyle w:val="10"/>
        <w:rPr>
          <w:rFonts w:hint="eastAsia" w:ascii="仿宋_GB2312" w:eastAsia="仿宋_GB2312"/>
          <w:sz w:val="32"/>
          <w:szCs w:val="32"/>
        </w:rPr>
      </w:pPr>
    </w:p>
    <w:p>
      <w:pPr>
        <w:pStyle w:val="10"/>
        <w:rPr>
          <w:rFonts w:hint="eastAsia" w:ascii="仿宋_GB2312" w:eastAsia="仿宋_GB2312"/>
          <w:sz w:val="32"/>
          <w:szCs w:val="32"/>
        </w:rPr>
      </w:pPr>
    </w:p>
    <w:p>
      <w:pPr>
        <w:pStyle w:val="10"/>
        <w:rPr>
          <w:rFonts w:hint="eastAsia" w:ascii="仿宋_GB2312" w:eastAsia="仿宋_GB2312"/>
          <w:sz w:val="32"/>
          <w:szCs w:val="32"/>
        </w:rPr>
      </w:pPr>
    </w:p>
    <w:p>
      <w:pPr>
        <w:pStyle w:val="10"/>
        <w:rPr>
          <w:rFonts w:hint="eastAsia" w:ascii="仿宋_GB2312" w:eastAsia="仿宋_GB2312"/>
          <w:sz w:val="32"/>
          <w:szCs w:val="32"/>
        </w:rPr>
      </w:pPr>
    </w:p>
    <w:p>
      <w:pPr>
        <w:pStyle w:val="10"/>
        <w:rPr>
          <w:rFonts w:hint="eastAsia" w:ascii="仿宋_GB2312" w:eastAsia="仿宋_GB2312"/>
          <w:sz w:val="32"/>
          <w:szCs w:val="32"/>
        </w:rPr>
      </w:pPr>
    </w:p>
    <w:p>
      <w:pPr>
        <w:pStyle w:val="10"/>
        <w:rPr>
          <w:rFonts w:hint="eastAsia" w:ascii="仿宋_GB2312" w:eastAsia="仿宋_GB2312"/>
          <w:sz w:val="32"/>
          <w:szCs w:val="32"/>
        </w:rPr>
      </w:pPr>
    </w:p>
    <w:p>
      <w:pPr>
        <w:pStyle w:val="10"/>
        <w:rPr>
          <w:rFonts w:hint="eastAsia" w:ascii="仿宋_GB2312" w:eastAsia="仿宋_GB2312"/>
          <w:sz w:val="32"/>
          <w:szCs w:val="32"/>
        </w:rPr>
      </w:pPr>
    </w:p>
    <w:p>
      <w:pPr>
        <w:pStyle w:val="10"/>
        <w:rPr>
          <w:rFonts w:hint="eastAsia" w:ascii="仿宋_GB2312" w:eastAsia="仿宋_GB2312"/>
          <w:sz w:val="32"/>
          <w:szCs w:val="32"/>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pStyle w:val="10"/>
        <w:rPr>
          <w:rStyle w:val="18"/>
          <w:rFonts w:hint="eastAsia" w:ascii="仿宋_GB2312" w:hAnsi="仿宋_GB2312" w:eastAsia="仿宋_GB2312" w:cs="仿宋_GB2312"/>
          <w:sz w:val="32"/>
          <w:szCs w:val="32"/>
          <w:shd w:val="clear" w:color="auto" w:fill="FFFFFF"/>
        </w:rPr>
      </w:pPr>
    </w:p>
    <w:p>
      <w:pPr>
        <w:keepNext w:val="0"/>
        <w:keepLines w:val="0"/>
        <w:pageBreakBefore w:val="0"/>
        <w:widowControl/>
        <w:numPr>
          <w:ilvl w:val="0"/>
          <w:numId w:val="6"/>
        </w:numPr>
        <w:kinsoku/>
        <w:wordWrap/>
        <w:overflowPunct/>
        <w:topLinePunct w:val="0"/>
        <w:autoSpaceDE/>
        <w:autoSpaceDN/>
        <w:bidi w:val="0"/>
        <w:spacing w:line="560" w:lineRule="exact"/>
        <w:ind w:left="0" w:leftChars="0" w:firstLine="663" w:firstLineChars="150"/>
        <w:contextualSpacing/>
        <w:jc w:val="center"/>
        <w:textAlignment w:val="auto"/>
        <w:rPr>
          <w:rFonts w:hint="eastAsia" w:ascii="黑体" w:hAnsi="黑体" w:eastAsia="黑体" w:cs="黑体"/>
          <w:b/>
          <w:bCs w:val="0"/>
          <w:sz w:val="44"/>
          <w:szCs w:val="44"/>
          <w:shd w:val="clear" w:color="auto" w:fill="FFFFFF"/>
          <w:lang w:val="en-US" w:eastAsia="zh-CN"/>
        </w:rPr>
      </w:pPr>
      <w:bookmarkStart w:id="26" w:name="_Toc15377226"/>
      <w:r>
        <w:rPr>
          <w:rFonts w:hint="eastAsia" w:ascii="黑体" w:hAnsi="黑体" w:eastAsia="黑体" w:cs="黑体"/>
          <w:b/>
          <w:bCs w:val="0"/>
          <w:sz w:val="44"/>
          <w:szCs w:val="44"/>
          <w:shd w:val="clear" w:color="auto" w:fill="FFFFFF"/>
          <w:lang w:val="en-US" w:eastAsia="zh-CN"/>
        </w:rPr>
        <w:t xml:space="preserve">  附  件</w:t>
      </w:r>
    </w:p>
    <w:p>
      <w:pPr>
        <w:pStyle w:val="2"/>
        <w:numPr>
          <w:ilvl w:val="0"/>
          <w:numId w:val="0"/>
        </w:numPr>
        <w:ind w:leftChars="150"/>
        <w:rPr>
          <w:rFonts w:hint="default"/>
          <w:lang w:val="en-US" w:eastAsia="zh-CN"/>
        </w:rPr>
      </w:pPr>
    </w:p>
    <w:p>
      <w:pPr>
        <w:keepNext w:val="0"/>
        <w:keepLines w:val="0"/>
        <w:pageBreakBefore w:val="0"/>
        <w:widowControl/>
        <w:kinsoku/>
        <w:wordWrap/>
        <w:overflowPunct/>
        <w:topLinePunct w:val="0"/>
        <w:autoSpaceDE/>
        <w:autoSpaceDN/>
        <w:bidi w:val="0"/>
        <w:spacing w:line="560" w:lineRule="exact"/>
        <w:contextualSpacing/>
        <w:jc w:val="center"/>
        <w:textAlignment w:val="auto"/>
        <w:rPr>
          <w:rFonts w:hint="eastAsia" w:ascii="方正大标宋_GBK" w:hAnsi="方正大标宋_GBK" w:eastAsia="方正大标宋_GBK" w:cs="方正大标宋_GBK"/>
          <w:b/>
          <w:bCs w:val="0"/>
          <w:sz w:val="44"/>
          <w:szCs w:val="44"/>
          <w:shd w:val="clear" w:color="auto" w:fill="FFFFFF"/>
          <w:lang w:eastAsia="zh-CN"/>
        </w:rPr>
      </w:pPr>
      <w:r>
        <w:rPr>
          <w:rFonts w:hint="eastAsia" w:ascii="方正大标宋_GBK" w:hAnsi="方正大标宋_GBK" w:eastAsia="方正大标宋_GBK" w:cs="方正大标宋_GBK"/>
          <w:b/>
          <w:bCs w:val="0"/>
          <w:sz w:val="44"/>
          <w:szCs w:val="44"/>
          <w:shd w:val="clear" w:color="auto" w:fill="FFFFFF"/>
          <w:lang w:eastAsia="zh-CN"/>
        </w:rPr>
        <w:t>中共红原县委宣传部</w:t>
      </w:r>
    </w:p>
    <w:p>
      <w:pPr>
        <w:keepNext w:val="0"/>
        <w:keepLines w:val="0"/>
        <w:pageBreakBefore w:val="0"/>
        <w:widowControl/>
        <w:kinsoku/>
        <w:wordWrap/>
        <w:overflowPunct/>
        <w:topLinePunct w:val="0"/>
        <w:autoSpaceDE/>
        <w:autoSpaceDN/>
        <w:bidi w:val="0"/>
        <w:spacing w:line="560" w:lineRule="exact"/>
        <w:contextualSpacing/>
        <w:jc w:val="center"/>
        <w:textAlignment w:val="auto"/>
        <w:rPr>
          <w:rFonts w:hint="eastAsia" w:ascii="方正大标宋_GBK" w:hAnsi="方正大标宋_GBK" w:eastAsia="方正大标宋_GBK" w:cs="方正大标宋_GBK"/>
          <w:b w:val="0"/>
          <w:bCs/>
          <w:sz w:val="44"/>
          <w:szCs w:val="44"/>
          <w:shd w:val="clear" w:color="auto" w:fill="FFFFFF"/>
        </w:rPr>
      </w:pPr>
      <w:r>
        <w:rPr>
          <w:rFonts w:hint="eastAsia" w:ascii="方正大标宋_GBK" w:hAnsi="方正大标宋_GBK" w:eastAsia="方正大标宋_GBK" w:cs="方正大标宋_GBK"/>
          <w:b/>
          <w:bCs w:val="0"/>
          <w:sz w:val="44"/>
          <w:szCs w:val="44"/>
          <w:shd w:val="clear" w:color="auto" w:fill="FFFFFF"/>
        </w:rPr>
        <w:t>2</w:t>
      </w:r>
      <w:r>
        <w:rPr>
          <w:rFonts w:hint="eastAsia" w:ascii="方正大标宋_GBK" w:hAnsi="方正大标宋_GBK" w:eastAsia="方正大标宋_GBK" w:cs="方正大标宋_GBK"/>
          <w:b/>
          <w:bCs w:val="0"/>
          <w:sz w:val="44"/>
          <w:szCs w:val="44"/>
          <w:shd w:val="clear" w:color="auto" w:fill="FFFFFF"/>
          <w:lang w:val="en-US" w:eastAsia="zh-CN"/>
        </w:rPr>
        <w:t>022</w:t>
      </w:r>
      <w:r>
        <w:rPr>
          <w:rFonts w:hint="eastAsia" w:ascii="方正大标宋_GBK" w:hAnsi="方正大标宋_GBK" w:eastAsia="方正大标宋_GBK" w:cs="方正大标宋_GBK"/>
          <w:b/>
          <w:bCs w:val="0"/>
          <w:sz w:val="44"/>
          <w:szCs w:val="44"/>
          <w:shd w:val="clear" w:color="auto" w:fill="FFFFFF"/>
        </w:rPr>
        <w:t>年</w:t>
      </w:r>
      <w:r>
        <w:rPr>
          <w:rFonts w:hint="eastAsia" w:ascii="方正大标宋_GBK" w:hAnsi="方正大标宋_GBK" w:eastAsia="方正大标宋_GBK" w:cs="方正大标宋_GBK"/>
          <w:b/>
          <w:bCs w:val="0"/>
          <w:sz w:val="44"/>
          <w:szCs w:val="44"/>
          <w:shd w:val="clear" w:color="auto" w:fill="FFFFFF"/>
          <w:lang w:eastAsia="zh-CN"/>
        </w:rPr>
        <w:t>度</w:t>
      </w:r>
      <w:r>
        <w:rPr>
          <w:rFonts w:hint="eastAsia" w:ascii="方正大标宋_GBK" w:hAnsi="方正大标宋_GBK" w:eastAsia="方正大标宋_GBK" w:cs="方正大标宋_GBK"/>
          <w:b/>
          <w:bCs w:val="0"/>
          <w:sz w:val="44"/>
          <w:szCs w:val="44"/>
          <w:shd w:val="clear" w:color="auto" w:fill="FFFFFF"/>
        </w:rPr>
        <w:t>部门整体支出绩效评价</w:t>
      </w:r>
      <w:r>
        <w:rPr>
          <w:rFonts w:hint="eastAsia" w:ascii="方正大标宋_GBK" w:hAnsi="方正大标宋_GBK" w:eastAsia="方正大标宋_GBK" w:cs="方正大标宋_GBK"/>
          <w:b/>
          <w:bCs w:val="0"/>
          <w:sz w:val="44"/>
          <w:szCs w:val="44"/>
          <w:shd w:val="clear" w:color="auto" w:fill="FFFFFF"/>
          <w:lang w:eastAsia="zh-CN"/>
        </w:rPr>
        <w:t>自评</w:t>
      </w:r>
      <w:r>
        <w:rPr>
          <w:rFonts w:hint="eastAsia" w:ascii="方正大标宋_GBK" w:hAnsi="方正大标宋_GBK" w:eastAsia="方正大标宋_GBK" w:cs="方正大标宋_GBK"/>
          <w:b/>
          <w:bCs w:val="0"/>
          <w:sz w:val="44"/>
          <w:szCs w:val="44"/>
          <w:shd w:val="clear" w:color="auto" w:fill="FFFFFF"/>
        </w:rPr>
        <w:t>报告</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一、</w:t>
      </w:r>
      <w:r>
        <w:rPr>
          <w:rFonts w:hint="eastAsia" w:ascii="仿宋_GB2312" w:hAnsi="仿宋_GB2312" w:eastAsia="仿宋_GB2312" w:cs="仿宋_GB2312"/>
          <w:color w:val="000000"/>
          <w:kern w:val="0"/>
          <w:sz w:val="32"/>
          <w:szCs w:val="32"/>
          <w:shd w:val="clear" w:color="auto" w:fill="FFFFFF"/>
          <w:lang w:val="zh-CN"/>
        </w:rPr>
        <w:t>部门（单位）概况</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（一）机构组成</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中共红原县委宣传部是行政单位，执行行政单位会计制度，我部下属二级决算单位0个，其中行政单位0个，参照公务员法管理的事业单位0个，其他事业单位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rPr>
        <w:t xml:space="preserve">个。是独立核算的机构，是独立编报决算的单位。 </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lang w:val="zh-CN"/>
        </w:rPr>
        <w:t>）机构职能</w:t>
      </w:r>
    </w:p>
    <w:p>
      <w:pPr>
        <w:pStyle w:val="26"/>
        <w:keepNext w:val="0"/>
        <w:keepLines w:val="0"/>
        <w:pageBreakBefore w:val="0"/>
        <w:widowControl w:val="0"/>
        <w:shd w:val="clear" w:color="auto" w:fill="auto"/>
        <w:kinsoku/>
        <w:wordWrap/>
        <w:overflowPunct/>
        <w:topLinePunct w:val="0"/>
        <w:autoSpaceDE/>
        <w:autoSpaceDN/>
        <w:bidi w:val="0"/>
        <w:spacing w:before="0" w:after="0" w:line="576" w:lineRule="exact"/>
        <w:ind w:left="0" w:right="0" w:firstLine="660"/>
        <w:jc w:val="both"/>
        <w:textAlignment w:val="auto"/>
        <w:rPr>
          <w:rFonts w:hint="eastAsia" w:ascii="仿宋_GB2312" w:hAnsi="仿宋_GB2312" w:eastAsia="仿宋_GB2312" w:cs="仿宋_GB2312"/>
          <w:kern w:val="2"/>
          <w:sz w:val="32"/>
          <w:szCs w:val="32"/>
          <w:u w:val="none"/>
          <w:shd w:val="clear"/>
          <w:lang w:val="en-US" w:eastAsia="zh-CN" w:bidi="ar-SA"/>
        </w:rPr>
      </w:pPr>
      <w:r>
        <w:rPr>
          <w:rFonts w:hint="eastAsia" w:ascii="仿宋_GB2312" w:hAnsi="仿宋_GB2312" w:eastAsia="仿宋_GB2312" w:cs="仿宋_GB2312"/>
          <w:kern w:val="2"/>
          <w:sz w:val="32"/>
          <w:szCs w:val="32"/>
          <w:u w:val="none"/>
          <w:shd w:val="clear"/>
          <w:lang w:val="en-US" w:eastAsia="zh-CN" w:bidi="ar-SA"/>
        </w:rPr>
        <w:t>拟订全县宣传思想文化工一作冨大政策和事业产业发展</w:t>
      </w:r>
      <w:bookmarkStart w:id="27" w:name="bookmark10"/>
      <w:bookmarkEnd w:id="27"/>
      <w:r>
        <w:rPr>
          <w:rFonts w:hint="eastAsia" w:ascii="仿宋_GB2312" w:hAnsi="仿宋_GB2312" w:eastAsia="仿宋_GB2312" w:cs="仿宋_GB2312"/>
          <w:kern w:val="2"/>
          <w:sz w:val="32"/>
          <w:szCs w:val="32"/>
          <w:u w:val="none"/>
          <w:shd w:val="clear"/>
          <w:lang w:val="en-US" w:eastAsia="zh-CN" w:bidi="ar-SA"/>
        </w:rPr>
        <w:t>总体规划，统筹协调推进宣传思想文化领域法治建设，按照县委统一部署，协调宣传思想文化系统各部门（单位）之间的工作。统筹协调全县党的意识形态工作，贯彻落实党中央、省委、州委和县委关于意识形态工作的决策部署，组织协调意识形态工作责任制落实和日常监督检查，分析研判意识形态领域情况，配合县委巡察工作开展专项检查。统筹指导协调理论研究、理论学习、理论宣传工作, 组织推动理论武装工作,指导推动哲学社会科学工作，组织实施马克思主义理论研究和建设工程。负责规划组织全县全局性思想政治工作，配合县委组织部做好党员教育工作，会同有关部门研究和改进群众思想教育工作。组织重大先进典型的学习和推广。贯彻执行党和国家有关网络安全和信息化工作的方针 政策和法律法规及省委、州委、县委的决策部署，统筹协调全县网络安全和信息化工作。统筹指导协调推动精神文化产品的创作和生产，协调组织优秀传统文化传承发展工作，指导协调推动群众文化建设。统筹组织协调全县精神文明建设工作,协调推动精神。文明创建、公民思想道德建设和志愿服务工作。统筹分析研判和引导社会舆论,负责组织协调重大新闻宣传活动和重大突发公共事件应急新闻工作。统筹协调对外宣传工作，组织指导重大对外宣传活动，协调推动对外文化交流工作。会同有关部门做好境外来访记者采访事务方面的工作。负责人权宣传工作的组织协调,会同有关部门组织涉藏涉稳等方面的对外宣传和舆论斗争工作。宏观上统筹指导协调互联网宣传和信息内容管理。统筹指导舆情信息工作，组织协调开展舆情信息收集分析研判工作，跟踪了解、研究掌握宣传舆情动态。统筹协调组织开展全县新闻发布工作，承担县委新 闻发布有关组织协调工作，负责县政府新闻发布组织实施工作，指导县委、县政府各部门（单位）的新闻发布工作,推动新闻发言人制度建设。拟订全县重大问题宣传口径。对新闻出版、文化艺术、广播电视、电影、文化体 育、旅游等改革发展研究提出政策性建议,统筹指导推进文化体 制改革和文化事业、文化产业、体育及旅游产业发展。负责管理新闻出版行政事务和所涉及的行政审批工 作，监督管理出版物内容和质量，监督管理印刷业，管理著作权 等。组织指导协调</w:t>
      </w:r>
      <w:r>
        <w:rPr>
          <w:rFonts w:hint="eastAsia" w:ascii="仿宋_GB2312" w:hAnsi="仿宋_GB2312" w:eastAsia="仿宋_GB2312" w:cs="仿宋_GB2312"/>
          <w:kern w:val="2"/>
          <w:sz w:val="32"/>
          <w:szCs w:val="32"/>
          <w:u w:val="none"/>
          <w:shd w:val="clear"/>
          <w:lang w:val="zh-CN" w:eastAsia="zh-CN" w:bidi="ar-SA"/>
        </w:rPr>
        <w:t>“扫黄</w:t>
      </w:r>
      <w:r>
        <w:rPr>
          <w:rFonts w:hint="eastAsia" w:ascii="仿宋_GB2312" w:hAnsi="仿宋_GB2312" w:eastAsia="仿宋_GB2312" w:cs="仿宋_GB2312"/>
          <w:kern w:val="2"/>
          <w:sz w:val="32"/>
          <w:szCs w:val="32"/>
          <w:u w:val="none"/>
          <w:shd w:val="clear"/>
          <w:lang w:val="en-US" w:eastAsia="zh-CN" w:bidi="ar-SA"/>
        </w:rPr>
        <w:t>打非”工作。负责新闻记者证管理工作。负责管理电影行政事务和所涉及的行政审批工作， 组织对电影内容进行审查，组织实施农村电影放映工作。受县委委托，会同县委组织部管理文化旅游、新闻、 出版、广播电视、电影和互联网信息等方面县直宣传思想文化单 位的领导干部。负责有关重要宣传舆论阵地和重要岗位领导干部管理。负责组织开展宣传思想文化战线干部教育培训和人才工作。承担县精神文明建设委员会、县意识形态领导小组、县宣传思想文化工作领导小组、县</w:t>
      </w:r>
      <w:r>
        <w:rPr>
          <w:rFonts w:hint="eastAsia" w:ascii="仿宋_GB2312" w:hAnsi="仿宋_GB2312" w:eastAsia="仿宋_GB2312" w:cs="仿宋_GB2312"/>
          <w:kern w:val="2"/>
          <w:sz w:val="32"/>
          <w:szCs w:val="32"/>
          <w:u w:val="none"/>
          <w:shd w:val="clear"/>
          <w:lang w:val="zh-CN" w:eastAsia="zh-CN" w:bidi="ar-SA"/>
        </w:rPr>
        <w:t>“扫</w:t>
      </w:r>
      <w:r>
        <w:rPr>
          <w:rFonts w:hint="eastAsia" w:ascii="仿宋_GB2312" w:hAnsi="仿宋_GB2312" w:eastAsia="仿宋_GB2312" w:cs="仿宋_GB2312"/>
          <w:kern w:val="2"/>
          <w:sz w:val="32"/>
          <w:szCs w:val="32"/>
          <w:u w:val="none"/>
          <w:shd w:val="clear"/>
          <w:lang w:val="en-US" w:eastAsia="zh-CN" w:bidi="ar-SA"/>
        </w:rPr>
        <w:t>黄打非</w:t>
      </w:r>
      <w:r>
        <w:rPr>
          <w:rFonts w:hint="eastAsia" w:ascii="仿宋_GB2312" w:hAnsi="仿宋_GB2312" w:eastAsia="仿宋_GB2312" w:cs="仿宋_GB2312"/>
          <w:kern w:val="2"/>
          <w:sz w:val="32"/>
          <w:szCs w:val="32"/>
          <w:u w:val="none"/>
          <w:shd w:val="clear"/>
          <w:lang w:val="zh-CN" w:eastAsia="zh-CN" w:bidi="ar-SA"/>
        </w:rPr>
        <w:t>”工</w:t>
      </w:r>
      <w:r>
        <w:rPr>
          <w:rFonts w:hint="eastAsia" w:ascii="仿宋_GB2312" w:hAnsi="仿宋_GB2312" w:eastAsia="仿宋_GB2312" w:cs="仿宋_GB2312"/>
          <w:kern w:val="2"/>
          <w:sz w:val="32"/>
          <w:szCs w:val="32"/>
          <w:u w:val="none"/>
          <w:shd w:val="clear"/>
          <w:lang w:val="en-US" w:eastAsia="zh-CN" w:bidi="ar-SA"/>
        </w:rPr>
        <w:t>作领导小组、县文化教育卫生体制改革专项小组的日常工作。受县委委托,代管县文联，领导管理县融媒体中心。</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（三）人员情况</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我部人事核定行政编制</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zh-CN"/>
        </w:rPr>
        <w:t>人，其中：行政工勤编制1人。是独立核算的机构，是独立编报预算的单位。20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val="zh-CN"/>
        </w:rPr>
        <w:t>年年末在职行政人数</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val="zh-CN"/>
        </w:rPr>
        <w:t>人，其中：行政工勤在职人数1人。事业编制人数</w:t>
      </w:r>
      <w:r>
        <w:rPr>
          <w:rFonts w:hint="eastAsia" w:ascii="仿宋_GB2312" w:hAnsi="仿宋_GB2312" w:eastAsia="仿宋_GB2312" w:cs="仿宋_GB2312"/>
          <w:sz w:val="32"/>
          <w:szCs w:val="32"/>
          <w:lang w:val="en-US" w:eastAsia="zh-CN"/>
        </w:rPr>
        <w:t>7人，实有人数7人。</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二、部门财政资金收支情况</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（一）部门财政资金收入情况。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val="zh-CN"/>
        </w:rPr>
        <w:t>年度总收入</w:t>
      </w:r>
      <w:r>
        <w:rPr>
          <w:rFonts w:hint="eastAsia" w:ascii="仿宋_GB2312" w:hAnsi="仿宋_GB2312" w:eastAsia="仿宋_GB2312" w:cs="仿宋_GB2312"/>
          <w:sz w:val="32"/>
          <w:szCs w:val="32"/>
          <w:lang w:val="en-US" w:eastAsia="zh-CN"/>
        </w:rPr>
        <w:t>727.46</w:t>
      </w:r>
      <w:r>
        <w:rPr>
          <w:rFonts w:hint="eastAsia" w:ascii="仿宋_GB2312" w:hAnsi="仿宋_GB2312" w:eastAsia="仿宋_GB2312" w:cs="仿宋_GB2312"/>
          <w:sz w:val="32"/>
          <w:szCs w:val="32"/>
          <w:lang w:val="zh-CN"/>
        </w:rPr>
        <w:t>万元，其中：财政拨款收</w:t>
      </w:r>
      <w:r>
        <w:rPr>
          <w:rFonts w:hint="eastAsia" w:ascii="仿宋_GB2312" w:hAnsi="仿宋_GB2312" w:eastAsia="仿宋_GB2312" w:cs="仿宋_GB2312"/>
          <w:sz w:val="32"/>
          <w:szCs w:val="32"/>
          <w:lang w:val="en-US" w:eastAsia="zh-CN"/>
        </w:rPr>
        <w:t>687.08</w:t>
      </w:r>
      <w:r>
        <w:rPr>
          <w:rFonts w:hint="eastAsia" w:ascii="仿宋_GB2312" w:hAnsi="仿宋_GB2312" w:eastAsia="仿宋_GB2312" w:cs="仿宋_GB2312"/>
          <w:sz w:val="32"/>
          <w:szCs w:val="32"/>
          <w:lang w:val="zh-CN"/>
        </w:rPr>
        <w:t>万元，占</w:t>
      </w:r>
      <w:r>
        <w:rPr>
          <w:rFonts w:hint="eastAsia" w:ascii="仿宋_GB2312" w:hAnsi="仿宋_GB2312" w:eastAsia="仿宋_GB2312" w:cs="仿宋_GB2312"/>
          <w:sz w:val="32"/>
          <w:szCs w:val="32"/>
          <w:lang w:val="en-US" w:eastAsia="zh-CN"/>
        </w:rPr>
        <w:t>94.45</w:t>
      </w:r>
      <w:r>
        <w:rPr>
          <w:rFonts w:hint="eastAsia" w:ascii="仿宋_GB2312" w:hAnsi="仿宋_GB2312" w:eastAsia="仿宋_GB2312" w:cs="仿宋_GB2312"/>
          <w:sz w:val="32"/>
          <w:szCs w:val="32"/>
          <w:lang w:val="zh-CN"/>
        </w:rPr>
        <w:t>%；政府性基金预算财政拨款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zh-CN"/>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zh-CN"/>
        </w:rPr>
        <w:t>%；其他收入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lang w:val="en-US" w:eastAsia="zh-CN"/>
        </w:rPr>
        <w:t>40.38</w:t>
      </w:r>
      <w:r>
        <w:rPr>
          <w:rFonts w:hint="eastAsia" w:ascii="仿宋_GB2312" w:hAnsi="仿宋_GB2312" w:eastAsia="仿宋_GB2312" w:cs="仿宋_GB2312"/>
          <w:sz w:val="32"/>
          <w:szCs w:val="32"/>
          <w:lang w:val="zh-CN"/>
        </w:rPr>
        <w:t>，占</w:t>
      </w:r>
      <w:r>
        <w:rPr>
          <w:rFonts w:hint="eastAsia" w:ascii="仿宋_GB2312" w:hAnsi="仿宋_GB2312" w:eastAsia="仿宋_GB2312" w:cs="仿宋_GB2312"/>
          <w:sz w:val="32"/>
          <w:szCs w:val="32"/>
          <w:lang w:val="en-US" w:eastAsia="zh-CN"/>
        </w:rPr>
        <w:t>5.55</w:t>
      </w:r>
      <w:r>
        <w:rPr>
          <w:rFonts w:hint="eastAsia" w:ascii="仿宋_GB2312" w:hAnsi="仿宋_GB2312" w:eastAsia="仿宋_GB2312" w:cs="仿宋_GB2312"/>
          <w:sz w:val="32"/>
          <w:szCs w:val="32"/>
          <w:lang w:val="zh-CN"/>
        </w:rPr>
        <w:t>%；上级补助收入0万元，占0%；事业收入0万元，占0%；经营收入0万元，占0%；附属单位上缴收入0万元，占0%；</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（二）财政资金支出情况。</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val="zh-CN"/>
        </w:rPr>
        <w:t>年支出合计</w:t>
      </w:r>
      <w:r>
        <w:rPr>
          <w:rFonts w:hint="eastAsia" w:ascii="仿宋_GB2312" w:hAnsi="仿宋_GB2312" w:eastAsia="仿宋_GB2312" w:cs="仿宋_GB2312"/>
          <w:sz w:val="32"/>
          <w:szCs w:val="32"/>
          <w:lang w:val="en-US" w:eastAsia="zh-CN"/>
        </w:rPr>
        <w:t>727.46万</w:t>
      </w:r>
      <w:r>
        <w:rPr>
          <w:rFonts w:hint="eastAsia" w:ascii="仿宋_GB2312" w:hAnsi="仿宋_GB2312" w:eastAsia="仿宋_GB2312" w:cs="仿宋_GB2312"/>
          <w:sz w:val="32"/>
          <w:szCs w:val="32"/>
          <w:lang w:val="zh-CN"/>
        </w:rPr>
        <w:t>元，其中：一般公共服务支出</w:t>
      </w:r>
      <w:r>
        <w:rPr>
          <w:rFonts w:hint="eastAsia" w:ascii="仿宋_GB2312" w:hAnsi="仿宋_GB2312" w:eastAsia="仿宋_GB2312" w:cs="仿宋_GB2312"/>
          <w:sz w:val="32"/>
          <w:szCs w:val="32"/>
          <w:lang w:val="en-US" w:eastAsia="zh-CN"/>
        </w:rPr>
        <w:t>566.89万</w:t>
      </w:r>
      <w:r>
        <w:rPr>
          <w:rFonts w:hint="eastAsia" w:ascii="仿宋_GB2312" w:hAnsi="仿宋_GB2312" w:eastAsia="仿宋_GB2312" w:cs="仿宋_GB2312"/>
          <w:sz w:val="32"/>
          <w:szCs w:val="32"/>
          <w:lang w:val="zh-CN"/>
        </w:rPr>
        <w:t>元，占总支出</w:t>
      </w:r>
      <w:r>
        <w:rPr>
          <w:rFonts w:hint="eastAsia" w:ascii="仿宋_GB2312" w:hAnsi="仿宋_GB2312" w:eastAsia="仿宋_GB2312" w:cs="仿宋_GB2312"/>
          <w:sz w:val="32"/>
          <w:szCs w:val="32"/>
          <w:lang w:val="en-US" w:eastAsia="zh-CN"/>
        </w:rPr>
        <w:t>77.93</w:t>
      </w:r>
      <w:r>
        <w:rPr>
          <w:rFonts w:hint="eastAsia" w:ascii="仿宋_GB2312" w:hAnsi="仿宋_GB2312" w:eastAsia="仿宋_GB2312" w:cs="仿宋_GB2312"/>
          <w:sz w:val="32"/>
          <w:szCs w:val="32"/>
          <w:lang w:val="zh-CN"/>
        </w:rPr>
        <w:t>%；文化旅游体育与传媒支出</w:t>
      </w:r>
      <w:r>
        <w:rPr>
          <w:rFonts w:hint="eastAsia" w:ascii="仿宋_GB2312" w:hAnsi="仿宋_GB2312" w:eastAsia="仿宋_GB2312" w:cs="仿宋_GB2312"/>
          <w:sz w:val="32"/>
          <w:szCs w:val="32"/>
          <w:lang w:val="en-US" w:eastAsia="zh-CN"/>
        </w:rPr>
        <w:t>96.9</w:t>
      </w:r>
      <w:r>
        <w:rPr>
          <w:rFonts w:hint="eastAsia" w:ascii="仿宋_GB2312" w:hAnsi="仿宋_GB2312" w:eastAsia="仿宋_GB2312" w:cs="仿宋_GB2312"/>
          <w:sz w:val="32"/>
          <w:szCs w:val="32"/>
          <w:lang w:val="zh-CN"/>
        </w:rPr>
        <w:t>万元，占总支出</w:t>
      </w:r>
      <w:r>
        <w:rPr>
          <w:rFonts w:hint="eastAsia" w:ascii="仿宋_GB2312" w:hAnsi="仿宋_GB2312" w:eastAsia="仿宋_GB2312" w:cs="仿宋_GB2312"/>
          <w:sz w:val="32"/>
          <w:szCs w:val="32"/>
          <w:lang w:val="en-US" w:eastAsia="zh-CN"/>
        </w:rPr>
        <w:t>13.32</w:t>
      </w:r>
      <w:r>
        <w:rPr>
          <w:rFonts w:hint="eastAsia" w:ascii="仿宋_GB2312" w:hAnsi="仿宋_GB2312" w:eastAsia="仿宋_GB2312" w:cs="仿宋_GB2312"/>
          <w:sz w:val="32"/>
          <w:szCs w:val="32"/>
          <w:lang w:val="zh-CN"/>
        </w:rPr>
        <w:t>%；社会保障局和就业支出</w:t>
      </w:r>
      <w:r>
        <w:rPr>
          <w:rFonts w:hint="eastAsia" w:ascii="仿宋_GB2312" w:hAnsi="仿宋_GB2312" w:eastAsia="仿宋_GB2312" w:cs="仿宋_GB2312"/>
          <w:sz w:val="32"/>
          <w:szCs w:val="32"/>
          <w:lang w:val="en-US" w:eastAsia="zh-CN"/>
        </w:rPr>
        <w:t>30.42万</w:t>
      </w:r>
      <w:r>
        <w:rPr>
          <w:rFonts w:hint="eastAsia" w:ascii="仿宋_GB2312" w:hAnsi="仿宋_GB2312" w:eastAsia="仿宋_GB2312" w:cs="仿宋_GB2312"/>
          <w:sz w:val="32"/>
          <w:szCs w:val="32"/>
          <w:lang w:val="zh-CN"/>
        </w:rPr>
        <w:t>元，占总支出</w:t>
      </w:r>
      <w:r>
        <w:rPr>
          <w:rFonts w:hint="eastAsia" w:ascii="仿宋_GB2312" w:hAnsi="仿宋_GB2312" w:eastAsia="仿宋_GB2312" w:cs="仿宋_GB2312"/>
          <w:sz w:val="32"/>
          <w:szCs w:val="32"/>
          <w:lang w:val="en-US" w:eastAsia="zh-CN"/>
        </w:rPr>
        <w:t>4.18</w:t>
      </w:r>
      <w:r>
        <w:rPr>
          <w:rFonts w:hint="eastAsia" w:ascii="仿宋_GB2312" w:hAnsi="仿宋_GB2312" w:eastAsia="仿宋_GB2312" w:cs="仿宋_GB2312"/>
          <w:sz w:val="32"/>
          <w:szCs w:val="32"/>
          <w:lang w:val="zh-CN"/>
        </w:rPr>
        <w:t>%；卫生健康支出</w:t>
      </w:r>
      <w:r>
        <w:rPr>
          <w:rFonts w:hint="eastAsia" w:ascii="仿宋_GB2312" w:hAnsi="仿宋_GB2312" w:eastAsia="仿宋_GB2312" w:cs="仿宋_GB2312"/>
          <w:sz w:val="32"/>
          <w:szCs w:val="32"/>
          <w:lang w:val="en-US" w:eastAsia="zh-CN"/>
        </w:rPr>
        <w:t>14.98</w:t>
      </w:r>
      <w:r>
        <w:rPr>
          <w:rFonts w:hint="eastAsia" w:ascii="仿宋_GB2312" w:hAnsi="仿宋_GB2312" w:eastAsia="仿宋_GB2312" w:cs="仿宋_GB2312"/>
          <w:sz w:val="32"/>
          <w:szCs w:val="32"/>
          <w:lang w:val="zh-CN"/>
        </w:rPr>
        <w:t>万元，占总支出</w:t>
      </w:r>
      <w:r>
        <w:rPr>
          <w:rFonts w:hint="eastAsia" w:ascii="仿宋_GB2312" w:hAnsi="仿宋_GB2312" w:eastAsia="仿宋_GB2312" w:cs="仿宋_GB2312"/>
          <w:sz w:val="32"/>
          <w:szCs w:val="32"/>
          <w:lang w:val="en-US" w:eastAsia="zh-CN"/>
        </w:rPr>
        <w:t>2.06</w:t>
      </w:r>
      <w:r>
        <w:rPr>
          <w:rFonts w:hint="eastAsia" w:ascii="仿宋_GB2312" w:hAnsi="仿宋_GB2312" w:eastAsia="仿宋_GB2312" w:cs="仿宋_GB2312"/>
          <w:sz w:val="32"/>
          <w:szCs w:val="32"/>
          <w:lang w:val="zh-CN"/>
        </w:rPr>
        <w:t>%；住房保障支出</w:t>
      </w:r>
      <w:r>
        <w:rPr>
          <w:rFonts w:hint="eastAsia" w:ascii="仿宋_GB2312" w:hAnsi="仿宋_GB2312" w:eastAsia="仿宋_GB2312" w:cs="仿宋_GB2312"/>
          <w:sz w:val="32"/>
          <w:szCs w:val="32"/>
          <w:lang w:val="en-US" w:eastAsia="zh-CN"/>
        </w:rPr>
        <w:t>18.27</w:t>
      </w:r>
      <w:r>
        <w:rPr>
          <w:rFonts w:hint="eastAsia" w:ascii="仿宋_GB2312" w:hAnsi="仿宋_GB2312" w:eastAsia="仿宋_GB2312" w:cs="仿宋_GB2312"/>
          <w:sz w:val="32"/>
          <w:szCs w:val="32"/>
          <w:lang w:val="zh-CN"/>
        </w:rPr>
        <w:t>万元，占总支出</w:t>
      </w:r>
      <w:r>
        <w:rPr>
          <w:rFonts w:hint="eastAsia" w:ascii="仿宋_GB2312" w:hAnsi="仿宋_GB2312" w:eastAsia="仿宋_GB2312" w:cs="仿宋_GB2312"/>
          <w:sz w:val="32"/>
          <w:szCs w:val="32"/>
          <w:lang w:val="en-US" w:eastAsia="zh-CN"/>
        </w:rPr>
        <w:t>2.51</w:t>
      </w:r>
      <w:r>
        <w:rPr>
          <w:rFonts w:hint="eastAsia" w:ascii="仿宋_GB2312" w:hAnsi="仿宋_GB2312" w:eastAsia="仿宋_GB2312" w:cs="仿宋_GB2312"/>
          <w:sz w:val="32"/>
          <w:szCs w:val="32"/>
          <w:lang w:val="zh-CN"/>
        </w:rPr>
        <w:t>%。</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outlineLvl w:val="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三、部门财政支出管理情况</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（一）预算编制情况</w:t>
      </w:r>
    </w:p>
    <w:p>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1、20</w:t>
      </w:r>
      <w:r>
        <w:rPr>
          <w:rFonts w:hint="eastAsia" w:ascii="仿宋_GB2312" w:hAnsi="仿宋_GB2312" w:eastAsia="仿宋_GB2312" w:cs="仿宋_GB2312"/>
          <w:b/>
          <w:bCs/>
          <w:sz w:val="32"/>
          <w:szCs w:val="32"/>
          <w:lang w:val="en-US" w:eastAsia="zh-CN"/>
        </w:rPr>
        <w:t>22</w:t>
      </w:r>
      <w:r>
        <w:rPr>
          <w:rFonts w:hint="eastAsia" w:ascii="仿宋_GB2312" w:hAnsi="仿宋_GB2312" w:eastAsia="仿宋_GB2312" w:cs="仿宋_GB2312"/>
          <w:b/>
          <w:bCs/>
          <w:sz w:val="32"/>
          <w:szCs w:val="32"/>
          <w:lang w:val="zh-CN"/>
        </w:rPr>
        <w:t>年度年初预算基本情况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宣传部</w:t>
      </w:r>
      <w:r>
        <w:rPr>
          <w:rFonts w:hint="eastAsia" w:ascii="仿宋_GB2312" w:hAnsi="仿宋_GB2312" w:eastAsia="仿宋_GB2312" w:cs="仿宋_GB2312"/>
          <w:sz w:val="32"/>
          <w:szCs w:val="32"/>
        </w:rPr>
        <w:t>收入预算总额为</w:t>
      </w:r>
      <w:r>
        <w:rPr>
          <w:rFonts w:hint="eastAsia" w:ascii="仿宋_GB2312" w:hAnsi="仿宋_GB2312" w:eastAsia="仿宋_GB2312" w:cs="仿宋_GB2312"/>
          <w:sz w:val="32"/>
          <w:szCs w:val="32"/>
          <w:lang w:val="en-US" w:eastAsia="zh-CN"/>
        </w:rPr>
        <w:t>727.46</w:t>
      </w:r>
      <w:r>
        <w:rPr>
          <w:rFonts w:hint="eastAsia" w:ascii="仿宋_GB2312" w:hAnsi="仿宋_GB2312" w:eastAsia="仿宋_GB2312" w:cs="仿宋_GB2312"/>
          <w:sz w:val="32"/>
          <w:szCs w:val="32"/>
          <w:lang w:val="zh-CN"/>
        </w:rPr>
        <w:t>万元，其中：当年财政拨款收入</w:t>
      </w:r>
      <w:r>
        <w:rPr>
          <w:rFonts w:hint="eastAsia" w:ascii="仿宋_GB2312" w:hAnsi="仿宋_GB2312" w:eastAsia="仿宋_GB2312" w:cs="仿宋_GB2312"/>
          <w:sz w:val="32"/>
          <w:szCs w:val="32"/>
          <w:lang w:val="en-US" w:eastAsia="zh-CN"/>
        </w:rPr>
        <w:t>687.08</w:t>
      </w:r>
      <w:r>
        <w:rPr>
          <w:rFonts w:hint="eastAsia" w:ascii="仿宋_GB2312" w:hAnsi="仿宋_GB2312" w:eastAsia="仿宋_GB2312" w:cs="仿宋_GB2312"/>
          <w:sz w:val="32"/>
          <w:szCs w:val="32"/>
          <w:lang w:val="zh-CN"/>
        </w:rPr>
        <w:t>万元。相应安排支出预算</w:t>
      </w:r>
      <w:r>
        <w:rPr>
          <w:rFonts w:hint="eastAsia" w:ascii="仿宋_GB2312" w:hAnsi="仿宋_GB2312" w:eastAsia="仿宋_GB2312" w:cs="仿宋_GB2312"/>
          <w:sz w:val="32"/>
          <w:szCs w:val="32"/>
          <w:lang w:val="en-US" w:eastAsia="zh-CN"/>
        </w:rPr>
        <w:t>727.46</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lang w:val="zh-CN" w:eastAsia="zh-CN"/>
        </w:rPr>
        <w:t>。</w:t>
      </w:r>
    </w:p>
    <w:p>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2、20</w:t>
      </w:r>
      <w:r>
        <w:rPr>
          <w:rFonts w:hint="eastAsia" w:ascii="仿宋_GB2312" w:hAnsi="仿宋_GB2312" w:eastAsia="仿宋_GB2312" w:cs="仿宋_GB2312"/>
          <w:b/>
          <w:bCs/>
          <w:sz w:val="32"/>
          <w:szCs w:val="32"/>
          <w:lang w:val="en-US" w:eastAsia="zh-CN"/>
        </w:rPr>
        <w:t>22</w:t>
      </w:r>
      <w:r>
        <w:rPr>
          <w:rFonts w:hint="eastAsia" w:ascii="仿宋_GB2312" w:hAnsi="仿宋_GB2312" w:eastAsia="仿宋_GB2312" w:cs="仿宋_GB2312"/>
          <w:b/>
          <w:bCs/>
          <w:sz w:val="32"/>
          <w:szCs w:val="32"/>
          <w:lang w:val="zh-CN"/>
        </w:rPr>
        <w:t>年度收支决算情况</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val="zh-CN"/>
        </w:rPr>
        <w:t>年度总收入</w:t>
      </w:r>
      <w:r>
        <w:rPr>
          <w:rFonts w:hint="eastAsia" w:ascii="仿宋_GB2312" w:hAnsi="仿宋_GB2312" w:eastAsia="仿宋_GB2312" w:cs="仿宋_GB2312"/>
          <w:sz w:val="32"/>
          <w:szCs w:val="32"/>
          <w:lang w:val="en-US" w:eastAsia="zh-CN"/>
        </w:rPr>
        <w:t>727.46</w:t>
      </w:r>
      <w:r>
        <w:rPr>
          <w:rFonts w:hint="eastAsia" w:ascii="仿宋_GB2312" w:hAnsi="仿宋_GB2312" w:eastAsia="仿宋_GB2312" w:cs="仿宋_GB2312"/>
          <w:sz w:val="32"/>
          <w:szCs w:val="32"/>
          <w:lang w:val="zh-CN"/>
        </w:rPr>
        <w:t>万元，支出</w:t>
      </w:r>
      <w:r>
        <w:rPr>
          <w:rFonts w:hint="eastAsia" w:ascii="仿宋_GB2312" w:hAnsi="仿宋_GB2312" w:eastAsia="仿宋_GB2312" w:cs="仿宋_GB2312"/>
          <w:sz w:val="32"/>
          <w:szCs w:val="32"/>
          <w:lang w:val="en-US" w:eastAsia="zh-CN"/>
        </w:rPr>
        <w:t>727.46万元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其中：一般公共服务支出566.89万元，占总支出77.93%；文化旅游体育与传媒支出96.9万元，占总支出13.32%；社会保障局和就业支出30.42万元，占总支出4.18%；卫生健康支出14.98万元，占总支出2.06%；住房保障支出18.27万元，占总支出2.51%。</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（二）执行管理情况</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20</w:t>
      </w:r>
      <w:r>
        <w:rPr>
          <w:rFonts w:hint="eastAsia" w:ascii="仿宋_GB2312" w:hAnsi="仿宋_GB2312" w:eastAsia="仿宋_GB2312" w:cs="仿宋_GB2312"/>
          <w:kern w:val="2"/>
          <w:sz w:val="32"/>
          <w:szCs w:val="32"/>
          <w:lang w:val="en-US" w:eastAsia="zh-CN"/>
        </w:rPr>
        <w:t>22</w:t>
      </w:r>
      <w:r>
        <w:rPr>
          <w:rFonts w:hint="eastAsia" w:ascii="仿宋_GB2312" w:hAnsi="仿宋_GB2312" w:eastAsia="仿宋_GB2312" w:cs="仿宋_GB2312"/>
          <w:kern w:val="2"/>
          <w:sz w:val="32"/>
          <w:szCs w:val="32"/>
          <w:lang w:val="zh-CN"/>
        </w:rPr>
        <w:t>年度总支出</w:t>
      </w:r>
      <w:r>
        <w:rPr>
          <w:rFonts w:hint="eastAsia" w:ascii="仿宋_GB2312" w:hAnsi="仿宋_GB2312" w:eastAsia="仿宋_GB2312" w:cs="仿宋_GB2312"/>
          <w:kern w:val="2"/>
          <w:sz w:val="32"/>
          <w:szCs w:val="32"/>
          <w:lang w:val="en-US" w:eastAsia="zh-CN"/>
        </w:rPr>
        <w:t>727.46</w:t>
      </w:r>
      <w:r>
        <w:rPr>
          <w:rFonts w:hint="eastAsia" w:ascii="仿宋_GB2312" w:hAnsi="仿宋_GB2312" w:eastAsia="仿宋_GB2312" w:cs="仿宋_GB2312"/>
          <w:kern w:val="2"/>
          <w:sz w:val="32"/>
          <w:szCs w:val="32"/>
          <w:lang w:val="zh-CN"/>
        </w:rPr>
        <w:t>万元，其中基本支出</w:t>
      </w:r>
      <w:r>
        <w:rPr>
          <w:rFonts w:hint="eastAsia" w:ascii="仿宋_GB2312" w:hAnsi="仿宋_GB2312" w:eastAsia="仿宋_GB2312" w:cs="仿宋_GB2312"/>
          <w:kern w:val="2"/>
          <w:sz w:val="32"/>
          <w:szCs w:val="32"/>
          <w:lang w:val="en-US" w:eastAsia="zh-CN"/>
        </w:rPr>
        <w:t>315.54</w:t>
      </w:r>
      <w:r>
        <w:rPr>
          <w:rFonts w:hint="eastAsia" w:ascii="仿宋_GB2312" w:hAnsi="仿宋_GB2312" w:eastAsia="仿宋_GB2312" w:cs="仿宋_GB2312"/>
          <w:kern w:val="2"/>
          <w:sz w:val="32"/>
          <w:szCs w:val="32"/>
          <w:lang w:val="zh-CN"/>
        </w:rPr>
        <w:t>万元占总支出比例</w:t>
      </w:r>
      <w:r>
        <w:rPr>
          <w:rFonts w:hint="eastAsia" w:ascii="仿宋_GB2312" w:hAnsi="仿宋_GB2312" w:eastAsia="仿宋_GB2312" w:cs="仿宋_GB2312"/>
          <w:kern w:val="2"/>
          <w:sz w:val="32"/>
          <w:szCs w:val="32"/>
          <w:lang w:val="en-US" w:eastAsia="zh-CN"/>
        </w:rPr>
        <w:t>43.38</w:t>
      </w:r>
      <w:r>
        <w:rPr>
          <w:rFonts w:hint="eastAsia" w:ascii="仿宋_GB2312" w:hAnsi="仿宋_GB2312" w:eastAsia="仿宋_GB2312" w:cs="仿宋_GB2312"/>
          <w:kern w:val="2"/>
          <w:sz w:val="32"/>
          <w:szCs w:val="32"/>
          <w:lang w:val="zh-CN"/>
        </w:rPr>
        <w:t>%，项目支出</w:t>
      </w:r>
      <w:r>
        <w:rPr>
          <w:rFonts w:hint="eastAsia" w:ascii="仿宋_GB2312" w:hAnsi="仿宋_GB2312" w:eastAsia="仿宋_GB2312" w:cs="仿宋_GB2312"/>
          <w:kern w:val="2"/>
          <w:sz w:val="32"/>
          <w:szCs w:val="32"/>
          <w:lang w:val="en-US" w:eastAsia="zh-CN"/>
        </w:rPr>
        <w:t>411.92</w:t>
      </w:r>
      <w:r>
        <w:rPr>
          <w:rFonts w:hint="eastAsia" w:ascii="仿宋_GB2312" w:hAnsi="仿宋_GB2312" w:eastAsia="仿宋_GB2312" w:cs="仿宋_GB2312"/>
          <w:kern w:val="2"/>
          <w:sz w:val="32"/>
          <w:szCs w:val="32"/>
          <w:lang w:val="zh-CN"/>
        </w:rPr>
        <w:t>万元占总支出比例</w:t>
      </w:r>
      <w:r>
        <w:rPr>
          <w:rFonts w:hint="eastAsia" w:ascii="仿宋_GB2312" w:hAnsi="仿宋_GB2312" w:eastAsia="仿宋_GB2312" w:cs="仿宋_GB2312"/>
          <w:kern w:val="2"/>
          <w:sz w:val="32"/>
          <w:szCs w:val="32"/>
          <w:lang w:val="en-US" w:eastAsia="zh-CN"/>
        </w:rPr>
        <w:t>56.62</w:t>
      </w:r>
      <w:r>
        <w:rPr>
          <w:rFonts w:hint="eastAsia" w:ascii="仿宋_GB2312" w:hAnsi="仿宋_GB2312" w:eastAsia="仿宋_GB2312" w:cs="仿宋_GB2312"/>
          <w:kern w:val="2"/>
          <w:sz w:val="32"/>
          <w:szCs w:val="32"/>
          <w:lang w:val="zh-CN"/>
        </w:rPr>
        <w:t>%。</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基本支出</w:t>
      </w:r>
      <w:r>
        <w:rPr>
          <w:rFonts w:hint="eastAsia" w:ascii="仿宋_GB2312" w:hAnsi="仿宋_GB2312" w:eastAsia="仿宋_GB2312" w:cs="仿宋_GB2312"/>
          <w:kern w:val="2"/>
          <w:sz w:val="32"/>
          <w:szCs w:val="32"/>
          <w:lang w:val="en-US" w:eastAsia="zh-CN"/>
        </w:rPr>
        <w:t>315.54万</w:t>
      </w:r>
      <w:r>
        <w:rPr>
          <w:rFonts w:hint="eastAsia" w:ascii="仿宋_GB2312" w:hAnsi="仿宋_GB2312" w:eastAsia="仿宋_GB2312" w:cs="仿宋_GB2312"/>
          <w:kern w:val="2"/>
          <w:sz w:val="32"/>
          <w:szCs w:val="32"/>
          <w:lang w:val="zh-CN"/>
        </w:rPr>
        <w:t>元，占总支出的</w:t>
      </w:r>
      <w:r>
        <w:rPr>
          <w:rFonts w:hint="eastAsia" w:ascii="仿宋_GB2312" w:hAnsi="仿宋_GB2312" w:eastAsia="仿宋_GB2312" w:cs="仿宋_GB2312"/>
          <w:kern w:val="2"/>
          <w:sz w:val="32"/>
          <w:szCs w:val="32"/>
          <w:lang w:val="en-US" w:eastAsia="zh-CN"/>
        </w:rPr>
        <w:t>43.38</w:t>
      </w:r>
      <w:r>
        <w:rPr>
          <w:rFonts w:hint="eastAsia" w:ascii="仿宋_GB2312" w:hAnsi="仿宋_GB2312" w:eastAsia="仿宋_GB2312" w:cs="仿宋_GB2312"/>
          <w:kern w:val="2"/>
          <w:sz w:val="32"/>
          <w:szCs w:val="32"/>
          <w:lang w:val="zh-CN"/>
        </w:rPr>
        <w:t>%。人员经费</w:t>
      </w:r>
      <w:r>
        <w:rPr>
          <w:rFonts w:hint="eastAsia" w:ascii="仿宋_GB2312" w:hAnsi="仿宋_GB2312" w:eastAsia="仿宋_GB2312" w:cs="仿宋_GB2312"/>
          <w:kern w:val="2"/>
          <w:sz w:val="32"/>
          <w:szCs w:val="32"/>
          <w:lang w:val="en-US" w:eastAsia="zh-CN"/>
        </w:rPr>
        <w:t>280.44</w:t>
      </w:r>
      <w:r>
        <w:rPr>
          <w:rFonts w:hint="eastAsia" w:ascii="仿宋_GB2312" w:hAnsi="仿宋_GB2312" w:eastAsia="仿宋_GB2312" w:cs="仿宋_GB2312"/>
          <w:kern w:val="2"/>
          <w:sz w:val="32"/>
          <w:szCs w:val="32"/>
          <w:lang w:val="zh-CN"/>
        </w:rPr>
        <w:t>万元，占基本支出的</w:t>
      </w:r>
      <w:r>
        <w:rPr>
          <w:rFonts w:hint="eastAsia" w:ascii="仿宋_GB2312" w:hAnsi="仿宋_GB2312" w:eastAsia="仿宋_GB2312" w:cs="仿宋_GB2312"/>
          <w:kern w:val="2"/>
          <w:sz w:val="32"/>
          <w:szCs w:val="32"/>
          <w:lang w:val="en-US" w:eastAsia="zh-CN"/>
        </w:rPr>
        <w:t>88.88</w:t>
      </w:r>
      <w:r>
        <w:rPr>
          <w:rFonts w:hint="eastAsia" w:ascii="仿宋_GB2312" w:hAnsi="仿宋_GB2312" w:eastAsia="仿宋_GB2312" w:cs="仿宋_GB2312"/>
          <w:kern w:val="2"/>
          <w:sz w:val="32"/>
          <w:szCs w:val="32"/>
          <w:lang w:val="zh-CN"/>
        </w:rPr>
        <w:t>%，日常公用经费</w:t>
      </w:r>
      <w:r>
        <w:rPr>
          <w:rFonts w:hint="eastAsia" w:ascii="仿宋_GB2312" w:hAnsi="仿宋_GB2312" w:eastAsia="仿宋_GB2312" w:cs="仿宋_GB2312"/>
          <w:kern w:val="2"/>
          <w:sz w:val="32"/>
          <w:szCs w:val="32"/>
          <w:lang w:val="en-US" w:eastAsia="zh-CN"/>
        </w:rPr>
        <w:t>35.1</w:t>
      </w:r>
      <w:r>
        <w:rPr>
          <w:rFonts w:hint="eastAsia" w:ascii="仿宋_GB2312" w:hAnsi="仿宋_GB2312" w:eastAsia="仿宋_GB2312" w:cs="仿宋_GB2312"/>
          <w:kern w:val="2"/>
          <w:sz w:val="32"/>
          <w:szCs w:val="32"/>
          <w:lang w:val="zh-CN"/>
        </w:rPr>
        <w:t>万元，占基本支出的</w:t>
      </w:r>
      <w:r>
        <w:rPr>
          <w:rFonts w:hint="eastAsia" w:ascii="仿宋_GB2312" w:hAnsi="仿宋_GB2312" w:eastAsia="仿宋_GB2312" w:cs="仿宋_GB2312"/>
          <w:kern w:val="2"/>
          <w:sz w:val="32"/>
          <w:szCs w:val="32"/>
          <w:lang w:val="en-US" w:eastAsia="zh-CN"/>
        </w:rPr>
        <w:t>11.12</w:t>
      </w:r>
      <w:r>
        <w:rPr>
          <w:rFonts w:hint="eastAsia" w:ascii="仿宋_GB2312" w:hAnsi="仿宋_GB2312" w:eastAsia="仿宋_GB2312" w:cs="仿宋_GB2312"/>
          <w:kern w:val="2"/>
          <w:sz w:val="32"/>
          <w:szCs w:val="32"/>
          <w:lang w:val="zh-CN"/>
        </w:rPr>
        <w:t>%。行政事业类项目支出</w:t>
      </w:r>
      <w:r>
        <w:rPr>
          <w:rFonts w:hint="eastAsia" w:ascii="仿宋_GB2312" w:hAnsi="仿宋_GB2312" w:eastAsia="仿宋_GB2312" w:cs="仿宋_GB2312"/>
          <w:kern w:val="2"/>
          <w:sz w:val="32"/>
          <w:szCs w:val="32"/>
          <w:lang w:val="en-US" w:eastAsia="zh-CN"/>
        </w:rPr>
        <w:t>411.92万</w:t>
      </w:r>
      <w:r>
        <w:rPr>
          <w:rFonts w:hint="eastAsia" w:ascii="仿宋_GB2312" w:hAnsi="仿宋_GB2312" w:eastAsia="仿宋_GB2312" w:cs="仿宋_GB2312"/>
          <w:kern w:val="2"/>
          <w:sz w:val="32"/>
          <w:szCs w:val="32"/>
          <w:lang w:val="zh-CN"/>
        </w:rPr>
        <w:t>元，占总支出的</w:t>
      </w:r>
      <w:r>
        <w:rPr>
          <w:rFonts w:hint="eastAsia" w:ascii="仿宋_GB2312" w:hAnsi="仿宋_GB2312" w:eastAsia="仿宋_GB2312" w:cs="仿宋_GB2312"/>
          <w:kern w:val="2"/>
          <w:sz w:val="32"/>
          <w:szCs w:val="32"/>
          <w:lang w:val="en-US" w:eastAsia="zh-CN"/>
        </w:rPr>
        <w:t>56.62</w:t>
      </w:r>
      <w:r>
        <w:rPr>
          <w:rFonts w:hint="eastAsia" w:ascii="仿宋_GB2312" w:hAnsi="仿宋_GB2312" w:eastAsia="仿宋_GB2312" w:cs="仿宋_GB2312"/>
          <w:kern w:val="2"/>
          <w:sz w:val="32"/>
          <w:szCs w:val="32"/>
          <w:lang w:val="zh-CN"/>
        </w:rPr>
        <w:t>%。</w:t>
      </w:r>
    </w:p>
    <w:p>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（三）综合管理情况</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bCs/>
          <w:kern w:val="2"/>
          <w:sz w:val="32"/>
          <w:szCs w:val="32"/>
          <w:lang w:val="zh-CN"/>
        </w:rPr>
        <w:t>（1）政府性债务管理情况</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截止目前我单位不存在政府性债务。</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bCs/>
          <w:kern w:val="2"/>
          <w:sz w:val="32"/>
          <w:szCs w:val="32"/>
          <w:lang w:val="zh-CN"/>
        </w:rPr>
        <w:t>（2）非税收入执收情况</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我单位目前不涉及非税收入相关业务。</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bCs/>
          <w:kern w:val="2"/>
          <w:sz w:val="32"/>
          <w:szCs w:val="32"/>
          <w:lang w:val="zh-CN"/>
        </w:rPr>
        <w:t>（3）政府采购支出情况</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20</w:t>
      </w:r>
      <w:r>
        <w:rPr>
          <w:rFonts w:hint="eastAsia" w:ascii="仿宋_GB2312" w:hAnsi="仿宋_GB2312" w:eastAsia="仿宋_GB2312" w:cs="仿宋_GB2312"/>
          <w:kern w:val="2"/>
          <w:sz w:val="32"/>
          <w:szCs w:val="32"/>
          <w:lang w:val="en-US" w:eastAsia="zh-CN"/>
        </w:rPr>
        <w:t>21</w:t>
      </w:r>
      <w:r>
        <w:rPr>
          <w:rFonts w:hint="eastAsia" w:ascii="仿宋_GB2312" w:hAnsi="仿宋_GB2312" w:eastAsia="仿宋_GB2312" w:cs="仿宋_GB2312"/>
          <w:kern w:val="2"/>
          <w:sz w:val="32"/>
          <w:szCs w:val="32"/>
          <w:lang w:val="zh-CN"/>
        </w:rPr>
        <w:t>年，我单位不涉及政府采购支出。</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bCs/>
          <w:kern w:val="2"/>
          <w:sz w:val="32"/>
          <w:szCs w:val="32"/>
          <w:lang w:val="zh-CN"/>
        </w:rPr>
        <w:t>（4）资产管理情况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bCs/>
          <w:kern w:val="2"/>
          <w:sz w:val="32"/>
          <w:szCs w:val="32"/>
          <w:lang w:val="zh-CN"/>
        </w:rPr>
        <w:t>（5）内控制度管理</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1、明确了记账人员与审批人员、经办人员的职责权限，使其相互分离、相互制约，以明确责任，防止舞弊，各项业务事项得以有序进行。</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2、明确了财务收支审批程序和审批人的权限和责任，规范了各项资金的使用，提高了资金使用效益。</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3、明确经费支出的范围和开支标准，采取各种有效措施控制经费开支，杜绝了浪费现象的发生。</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bCs/>
          <w:kern w:val="2"/>
          <w:sz w:val="32"/>
          <w:szCs w:val="32"/>
          <w:lang w:val="zh-CN"/>
        </w:rPr>
        <w:t>（</w:t>
      </w:r>
      <w:r>
        <w:rPr>
          <w:rFonts w:hint="eastAsia" w:ascii="仿宋_GB2312" w:hAnsi="仿宋_GB2312" w:eastAsia="仿宋_GB2312" w:cs="仿宋_GB2312"/>
          <w:b/>
          <w:bCs/>
          <w:kern w:val="2"/>
          <w:sz w:val="32"/>
          <w:szCs w:val="32"/>
          <w:lang w:val="en-US" w:eastAsia="zh-CN"/>
        </w:rPr>
        <w:t>6</w:t>
      </w:r>
      <w:r>
        <w:rPr>
          <w:rFonts w:hint="eastAsia" w:ascii="仿宋_GB2312" w:hAnsi="仿宋_GB2312" w:eastAsia="仿宋_GB2312" w:cs="仿宋_GB2312"/>
          <w:b/>
          <w:bCs/>
          <w:kern w:val="2"/>
          <w:sz w:val="32"/>
          <w:szCs w:val="32"/>
          <w:lang w:val="zh-CN"/>
        </w:rPr>
        <w:t>）信息(三公及预算决算)公开情况。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根据县政府相关工作要求，及时依法在政府官方网站对“三公经费”及预算、决算进行公示，授受社会的监督。</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仿宋_GB2312" w:eastAsia="仿宋_GB2312" w:cs="仿宋_GB2312"/>
          <w:b/>
          <w:bCs/>
          <w:kern w:val="2"/>
          <w:sz w:val="32"/>
          <w:szCs w:val="32"/>
          <w:lang w:val="zh-CN"/>
        </w:rPr>
      </w:pPr>
      <w:r>
        <w:rPr>
          <w:rFonts w:hint="eastAsia" w:ascii="仿宋_GB2312" w:hAnsi="仿宋_GB2312" w:eastAsia="仿宋_GB2312" w:cs="仿宋_GB2312"/>
          <w:b/>
          <w:bCs/>
          <w:kern w:val="2"/>
          <w:sz w:val="32"/>
          <w:szCs w:val="32"/>
          <w:lang w:val="zh-CN"/>
        </w:rPr>
        <w:t>（</w:t>
      </w:r>
      <w:r>
        <w:rPr>
          <w:rFonts w:hint="eastAsia" w:ascii="仿宋_GB2312" w:hAnsi="仿宋_GB2312" w:eastAsia="仿宋_GB2312" w:cs="仿宋_GB2312"/>
          <w:b/>
          <w:bCs/>
          <w:kern w:val="2"/>
          <w:sz w:val="32"/>
          <w:szCs w:val="32"/>
          <w:lang w:val="en-US" w:eastAsia="zh-CN"/>
        </w:rPr>
        <w:t>7</w:t>
      </w:r>
      <w:r>
        <w:rPr>
          <w:rFonts w:hint="eastAsia" w:ascii="仿宋_GB2312" w:hAnsi="仿宋_GB2312" w:eastAsia="仿宋_GB2312" w:cs="仿宋_GB2312"/>
          <w:b/>
          <w:bCs/>
          <w:kern w:val="2"/>
          <w:sz w:val="32"/>
          <w:szCs w:val="32"/>
          <w:lang w:val="zh-CN"/>
        </w:rPr>
        <w:t>）财务财政监督情况。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sz w:val="32"/>
          <w:szCs w:val="32"/>
          <w:lang w:val="zh-CN"/>
        </w:rPr>
        <w:t>（四）整体绩效</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我部</w:t>
      </w:r>
      <w:r>
        <w:rPr>
          <w:rFonts w:hint="eastAsia" w:ascii="仿宋_GB2312" w:hAnsi="仿宋_GB2312" w:eastAsia="仿宋_GB2312" w:cs="仿宋_GB2312"/>
          <w:sz w:val="32"/>
          <w:szCs w:val="32"/>
          <w:lang w:val="zh-CN"/>
        </w:rPr>
        <w:t>在县委的坚强领导和省、州宣传部门的关心指导下，真抓实干，开拓创新，各项工作均取得良好成效，确保了宣传部全年工作任务的顺利完成。</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部门支出预算，保障了机关日常正常运转，专项资金着眼建设具有强大凝聚力和引领力的社会主义意识形态，建设具有强大生命力和创造力的社会主义精神文明，全民道德素质和社会主义文明程度得到一定提高，同时在维护少数</w:t>
      </w:r>
      <w:r>
        <w:rPr>
          <w:rFonts w:hint="eastAsia" w:ascii="仿宋_GB2312" w:hAnsi="仿宋_GB2312" w:eastAsia="仿宋_GB2312" w:cs="仿宋_GB2312"/>
          <w:sz w:val="32"/>
          <w:szCs w:val="32"/>
          <w:lang w:val="en-US" w:eastAsia="zh-CN"/>
        </w:rPr>
        <w:t>民</w:t>
      </w:r>
      <w:bookmarkStart w:id="50" w:name="_GoBack"/>
      <w:bookmarkEnd w:id="50"/>
      <w:r>
        <w:rPr>
          <w:rFonts w:hint="eastAsia" w:ascii="仿宋_GB2312" w:hAnsi="仿宋_GB2312" w:eastAsia="仿宋_GB2312" w:cs="仿宋_GB2312"/>
          <w:sz w:val="32"/>
          <w:szCs w:val="32"/>
          <w:lang w:val="zh-CN"/>
        </w:rPr>
        <w:t>族地区的社会稳定、提高人民生活水平、改善人民生活质量等方面有着极其重要的意义，有力促进了社会和谐发展，为全县及乡镇的经济社会发展作出了应有的贡献。部门整体支出绩效自评得良好 。</w:t>
      </w:r>
    </w:p>
    <w:p>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 xml:space="preserve">（二）存在的问题。 </w:t>
      </w:r>
      <w:r>
        <w:rPr>
          <w:rFonts w:hint="eastAsia" w:ascii="仿宋_GB2312" w:hAnsi="仿宋_GB2312" w:eastAsia="仿宋_GB2312" w:cs="仿宋_GB2312"/>
          <w:sz w:val="32"/>
          <w:szCs w:val="32"/>
          <w:lang w:val="zh-CN"/>
        </w:rPr>
        <w:t xml:space="preserve"> </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我单位虽然在专项资金的工作中不断努力完善制度，但是由于我县的特殊环境仍然存在一定的不足，主要表现在：由于群众文化水平低等诸多原因，全民道德素质和社会文明程度还达不到上级要求效果。</w:t>
      </w:r>
    </w:p>
    <w:p>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进一步加强与财政、县级相关部门的沟通联系，积极参加各类学习、培训，努力提高业务能力、服务意识和服务水平。</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p>
    <w:p>
      <w:pPr>
        <w:pStyle w:val="2"/>
        <w:keepNext w:val="0"/>
        <w:keepLines w:val="0"/>
        <w:pageBreakBefore w:val="0"/>
        <w:tabs>
          <w:tab w:val="left" w:pos="960"/>
        </w:tabs>
        <w:kinsoku/>
        <w:wordWrap/>
        <w:overflowPunct/>
        <w:topLinePunct w:val="0"/>
        <w:autoSpaceDE/>
        <w:autoSpaceDN/>
        <w:bidi w:val="0"/>
        <w:spacing w:line="576" w:lineRule="exact"/>
        <w:ind w:firstLine="4160" w:firstLineChars="1300"/>
        <w:textAlignment w:val="auto"/>
        <w:rPr>
          <w:rFonts w:hint="eastAsia" w:ascii="仿宋_GB2312" w:hAnsi="仿宋_GB2312" w:eastAsia="仿宋_GB2312" w:cs="仿宋_GB2312"/>
          <w:color w:val="000000"/>
          <w:kern w:val="0"/>
          <w:sz w:val="32"/>
          <w:szCs w:val="32"/>
          <w:shd w:val="clear" w:color="auto" w:fill="FFFFFF"/>
          <w:lang w:val="zh-CN"/>
        </w:rPr>
      </w:pPr>
    </w:p>
    <w:p>
      <w:pPr>
        <w:widowControl/>
        <w:jc w:val="center"/>
        <w:rPr>
          <w:rStyle w:val="25"/>
          <w:rFonts w:ascii="黑体" w:hAnsi="黑体" w:eastAsia="黑体"/>
          <w:b w:val="0"/>
        </w:rPr>
      </w:pPr>
      <w:bookmarkStart w:id="28" w:name="_Toc10718"/>
      <w:bookmarkStart w:id="29"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26"/>
      <w:bookmarkEnd w:id="28"/>
      <w:bookmarkEnd w:id="29"/>
    </w:p>
    <w:p>
      <w:pPr>
        <w:spacing w:line="600" w:lineRule="exact"/>
        <w:jc w:val="center"/>
        <w:outlineLvl w:val="9"/>
        <w:rPr>
          <w:rFonts w:ascii="仿宋" w:hAnsi="仿宋" w:eastAsia="仿宋"/>
          <w:b/>
          <w:color w:val="000000"/>
          <w:sz w:val="44"/>
          <w:szCs w:val="44"/>
        </w:rPr>
      </w:pPr>
    </w:p>
    <w:p>
      <w:pPr>
        <w:pStyle w:val="5"/>
        <w:rPr>
          <w:rFonts w:ascii="仿宋" w:hAnsi="仿宋" w:eastAsia="仿宋"/>
          <w:color w:val="000000"/>
          <w:sz w:val="32"/>
          <w:szCs w:val="32"/>
        </w:rPr>
      </w:pPr>
      <w:bookmarkStart w:id="30" w:name="_Toc15396619"/>
      <w:bookmarkStart w:id="31" w:name="_Toc8039"/>
      <w:r>
        <w:rPr>
          <w:rFonts w:hint="eastAsia" w:ascii="仿宋" w:hAnsi="仿宋" w:eastAsia="仿宋"/>
          <w:b w:val="0"/>
          <w:color w:val="000000"/>
          <w:sz w:val="32"/>
          <w:szCs w:val="32"/>
        </w:rPr>
        <w:t>一、</w:t>
      </w:r>
      <w:bookmarkEnd w:id="30"/>
      <w:r>
        <w:rPr>
          <w:rFonts w:hint="eastAsia" w:ascii="仿宋" w:hAnsi="仿宋" w:eastAsia="仿宋"/>
          <w:b w:val="0"/>
          <w:color w:val="000000"/>
          <w:sz w:val="32"/>
          <w:szCs w:val="32"/>
        </w:rPr>
        <w:t>收入支出决算总表</w:t>
      </w:r>
      <w:bookmarkEnd w:id="31"/>
    </w:p>
    <w:p>
      <w:pPr>
        <w:pStyle w:val="5"/>
        <w:rPr>
          <w:rFonts w:ascii="仿宋" w:hAnsi="仿宋" w:eastAsia="仿宋"/>
          <w:color w:val="000000"/>
          <w:sz w:val="32"/>
          <w:szCs w:val="32"/>
        </w:rPr>
      </w:pPr>
      <w:bookmarkStart w:id="32" w:name="_Toc15396620"/>
      <w:bookmarkStart w:id="33" w:name="_Toc12316"/>
      <w:r>
        <w:rPr>
          <w:rFonts w:hint="eastAsia" w:ascii="仿宋" w:hAnsi="仿宋" w:eastAsia="仿宋"/>
          <w:b w:val="0"/>
          <w:color w:val="000000"/>
          <w:sz w:val="32"/>
          <w:szCs w:val="32"/>
        </w:rPr>
        <w:t>二、</w:t>
      </w:r>
      <w:bookmarkEnd w:id="32"/>
      <w:r>
        <w:rPr>
          <w:rFonts w:hint="eastAsia" w:ascii="仿宋" w:hAnsi="仿宋" w:eastAsia="仿宋"/>
          <w:b w:val="0"/>
          <w:color w:val="000000"/>
          <w:sz w:val="32"/>
          <w:szCs w:val="32"/>
        </w:rPr>
        <w:t>收入支出决算表</w:t>
      </w:r>
      <w:bookmarkEnd w:id="33"/>
    </w:p>
    <w:p>
      <w:pPr>
        <w:pStyle w:val="5"/>
        <w:rPr>
          <w:rFonts w:ascii="仿宋" w:hAnsi="仿宋" w:eastAsia="仿宋"/>
          <w:color w:val="000000"/>
          <w:sz w:val="32"/>
          <w:szCs w:val="32"/>
        </w:rPr>
      </w:pPr>
      <w:bookmarkStart w:id="34" w:name="_Toc15396621"/>
      <w:bookmarkStart w:id="35" w:name="_Toc15102"/>
      <w:r>
        <w:rPr>
          <w:rStyle w:val="24"/>
          <w:rFonts w:hint="eastAsia" w:ascii="仿宋" w:hAnsi="仿宋" w:eastAsia="仿宋"/>
          <w:b w:val="0"/>
          <w:bCs w:val="0"/>
          <w:sz w:val="32"/>
          <w:szCs w:val="32"/>
        </w:rPr>
        <w:t>三、</w:t>
      </w:r>
      <w:bookmarkEnd w:id="34"/>
      <w:r>
        <w:rPr>
          <w:rFonts w:hint="eastAsia" w:ascii="仿宋" w:hAnsi="仿宋" w:eastAsia="仿宋"/>
          <w:b w:val="0"/>
          <w:color w:val="000000"/>
          <w:sz w:val="32"/>
          <w:szCs w:val="32"/>
        </w:rPr>
        <w:t>收入决算表</w:t>
      </w:r>
      <w:bookmarkEnd w:id="35"/>
    </w:p>
    <w:p>
      <w:pPr>
        <w:pStyle w:val="5"/>
        <w:rPr>
          <w:rFonts w:ascii="仿宋" w:hAnsi="仿宋" w:eastAsia="仿宋"/>
          <w:b w:val="0"/>
          <w:color w:val="000000"/>
          <w:sz w:val="32"/>
          <w:szCs w:val="32"/>
        </w:rPr>
      </w:pPr>
      <w:bookmarkStart w:id="36" w:name="_Toc15396622"/>
      <w:bookmarkStart w:id="37" w:name="_Toc28805"/>
      <w:r>
        <w:rPr>
          <w:rStyle w:val="24"/>
          <w:rFonts w:hint="eastAsia" w:ascii="仿宋" w:hAnsi="仿宋" w:eastAsia="仿宋"/>
          <w:b w:val="0"/>
          <w:bCs w:val="0"/>
          <w:sz w:val="32"/>
          <w:szCs w:val="32"/>
        </w:rPr>
        <w:t>四、</w:t>
      </w:r>
      <w:bookmarkEnd w:id="36"/>
      <w:r>
        <w:rPr>
          <w:rFonts w:hint="eastAsia" w:ascii="仿宋" w:hAnsi="仿宋" w:eastAsia="仿宋"/>
          <w:b w:val="0"/>
          <w:color w:val="000000"/>
          <w:sz w:val="32"/>
          <w:szCs w:val="32"/>
        </w:rPr>
        <w:t>支出决算表</w:t>
      </w:r>
      <w:bookmarkEnd w:id="37"/>
    </w:p>
    <w:p>
      <w:pPr>
        <w:pStyle w:val="5"/>
        <w:rPr>
          <w:rStyle w:val="24"/>
          <w:rFonts w:ascii="仿宋" w:hAnsi="仿宋" w:eastAsia="仿宋"/>
          <w:b w:val="0"/>
          <w:bCs w:val="0"/>
          <w:sz w:val="32"/>
          <w:szCs w:val="32"/>
        </w:rPr>
      </w:pPr>
      <w:bookmarkStart w:id="38" w:name="_Toc15396623"/>
      <w:bookmarkStart w:id="39" w:name="_Toc26078"/>
      <w:r>
        <w:rPr>
          <w:rStyle w:val="24"/>
          <w:rFonts w:hint="eastAsia" w:ascii="仿宋" w:hAnsi="仿宋" w:eastAsia="仿宋"/>
          <w:b w:val="0"/>
          <w:bCs w:val="0"/>
          <w:sz w:val="32"/>
          <w:szCs w:val="32"/>
        </w:rPr>
        <w:t>五、</w:t>
      </w:r>
      <w:bookmarkEnd w:id="38"/>
      <w:bookmarkStart w:id="40" w:name="_Toc15396624"/>
      <w:r>
        <w:rPr>
          <w:rFonts w:hint="eastAsia" w:ascii="仿宋" w:hAnsi="仿宋" w:eastAsia="仿宋"/>
          <w:b w:val="0"/>
          <w:color w:val="000000"/>
          <w:sz w:val="32"/>
          <w:szCs w:val="32"/>
        </w:rPr>
        <w:t>支出决算明细表</w:t>
      </w:r>
      <w:bookmarkEnd w:id="39"/>
    </w:p>
    <w:p>
      <w:pPr>
        <w:pStyle w:val="5"/>
        <w:rPr>
          <w:rFonts w:ascii="仿宋" w:hAnsi="仿宋" w:eastAsia="仿宋"/>
          <w:color w:val="000000"/>
          <w:sz w:val="32"/>
          <w:szCs w:val="32"/>
        </w:rPr>
      </w:pPr>
      <w:bookmarkStart w:id="41" w:name="_Toc15033"/>
      <w:r>
        <w:rPr>
          <w:rStyle w:val="24"/>
          <w:rFonts w:hint="eastAsia" w:ascii="仿宋" w:hAnsi="仿宋" w:eastAsia="仿宋"/>
          <w:b w:val="0"/>
          <w:bCs w:val="0"/>
          <w:sz w:val="32"/>
          <w:szCs w:val="32"/>
        </w:rPr>
        <w:t>六、</w:t>
      </w:r>
      <w:bookmarkEnd w:id="40"/>
      <w:r>
        <w:rPr>
          <w:rFonts w:hint="eastAsia" w:ascii="仿宋" w:hAnsi="仿宋" w:eastAsia="仿宋"/>
          <w:b w:val="0"/>
          <w:color w:val="000000"/>
          <w:sz w:val="32"/>
          <w:szCs w:val="32"/>
        </w:rPr>
        <w:t>项目收入支出决算表</w:t>
      </w:r>
      <w:bookmarkEnd w:id="41"/>
    </w:p>
    <w:p>
      <w:pPr>
        <w:pStyle w:val="5"/>
        <w:rPr>
          <w:rFonts w:ascii="仿宋" w:hAnsi="仿宋" w:eastAsia="仿宋"/>
          <w:color w:val="000000"/>
          <w:sz w:val="32"/>
          <w:szCs w:val="32"/>
        </w:rPr>
      </w:pPr>
      <w:bookmarkStart w:id="42" w:name="_Toc15396625"/>
      <w:bookmarkStart w:id="43" w:name="_Toc31078"/>
      <w:r>
        <w:rPr>
          <w:rStyle w:val="24"/>
          <w:rFonts w:hint="eastAsia" w:ascii="仿宋" w:hAnsi="仿宋" w:eastAsia="仿宋"/>
          <w:b w:val="0"/>
          <w:bCs w:val="0"/>
          <w:sz w:val="32"/>
          <w:szCs w:val="32"/>
        </w:rPr>
        <w:t>七、</w:t>
      </w:r>
      <w:bookmarkEnd w:id="42"/>
      <w:r>
        <w:rPr>
          <w:rFonts w:hint="eastAsia" w:ascii="仿宋" w:hAnsi="仿宋" w:eastAsia="仿宋"/>
          <w:b w:val="0"/>
          <w:color w:val="000000"/>
          <w:sz w:val="32"/>
          <w:szCs w:val="32"/>
        </w:rPr>
        <w:t>一般公共预算财政拨款收入支出决算表</w:t>
      </w:r>
      <w:bookmarkEnd w:id="43"/>
    </w:p>
    <w:p>
      <w:pPr>
        <w:pStyle w:val="5"/>
        <w:rPr>
          <w:rFonts w:hint="eastAsia" w:ascii="仿宋" w:hAnsi="仿宋" w:eastAsia="仿宋"/>
          <w:b w:val="0"/>
          <w:color w:val="000000"/>
          <w:sz w:val="32"/>
          <w:szCs w:val="32"/>
        </w:rPr>
      </w:pPr>
      <w:bookmarkStart w:id="44" w:name="_Toc15396626"/>
      <w:bookmarkStart w:id="45" w:name="_Toc12758"/>
      <w:r>
        <w:rPr>
          <w:rStyle w:val="24"/>
          <w:rFonts w:hint="eastAsia" w:ascii="仿宋" w:hAnsi="仿宋" w:eastAsia="仿宋"/>
          <w:b w:val="0"/>
          <w:bCs w:val="0"/>
          <w:sz w:val="32"/>
          <w:szCs w:val="32"/>
        </w:rPr>
        <w:t>八、</w:t>
      </w:r>
      <w:bookmarkEnd w:id="44"/>
      <w:bookmarkStart w:id="46" w:name="_Toc15396627"/>
      <w:r>
        <w:rPr>
          <w:rFonts w:hint="eastAsia" w:ascii="仿宋" w:hAnsi="仿宋" w:eastAsia="仿宋"/>
          <w:b w:val="0"/>
          <w:color w:val="000000"/>
          <w:sz w:val="32"/>
          <w:szCs w:val="32"/>
        </w:rPr>
        <w:t>一般公共预算财政拨款支出决算明细表</w:t>
      </w:r>
      <w:bookmarkEnd w:id="45"/>
    </w:p>
    <w:p>
      <w:pPr>
        <w:pStyle w:val="5"/>
        <w:rPr>
          <w:rFonts w:hint="eastAsia" w:ascii="仿宋" w:hAnsi="仿宋" w:eastAsia="仿宋"/>
          <w:b w:val="0"/>
          <w:color w:val="000000"/>
          <w:sz w:val="32"/>
          <w:szCs w:val="32"/>
        </w:rPr>
      </w:pPr>
      <w:bookmarkStart w:id="47" w:name="_Toc26252"/>
      <w:r>
        <w:rPr>
          <w:rStyle w:val="24"/>
          <w:rFonts w:hint="eastAsia" w:ascii="仿宋" w:hAnsi="仿宋" w:eastAsia="仿宋"/>
          <w:b w:val="0"/>
          <w:bCs w:val="0"/>
          <w:sz w:val="32"/>
          <w:szCs w:val="32"/>
        </w:rPr>
        <w:t>九、</w:t>
      </w:r>
      <w:bookmarkEnd w:id="46"/>
      <w:bookmarkStart w:id="48" w:name="_Toc15396628"/>
      <w:r>
        <w:rPr>
          <w:rFonts w:hint="eastAsia" w:ascii="仿宋" w:hAnsi="仿宋" w:eastAsia="仿宋"/>
          <w:b w:val="0"/>
          <w:color w:val="000000"/>
          <w:sz w:val="32"/>
          <w:szCs w:val="32"/>
        </w:rPr>
        <w:t>一般公共预算财政拨款基本支出决算明细表</w:t>
      </w:r>
      <w:bookmarkEnd w:id="47"/>
    </w:p>
    <w:p>
      <w:pPr>
        <w:pStyle w:val="5"/>
        <w:rPr>
          <w:rFonts w:ascii="仿宋" w:hAnsi="仿宋" w:eastAsia="仿宋"/>
          <w:color w:val="000000"/>
          <w:sz w:val="32"/>
          <w:szCs w:val="32"/>
        </w:rPr>
      </w:pPr>
      <w:bookmarkStart w:id="49" w:name="_Toc15364"/>
      <w:r>
        <w:rPr>
          <w:rStyle w:val="24"/>
          <w:rFonts w:hint="eastAsia" w:ascii="仿宋" w:hAnsi="仿宋" w:eastAsia="仿宋"/>
          <w:b w:val="0"/>
          <w:bCs w:val="0"/>
          <w:sz w:val="32"/>
          <w:szCs w:val="32"/>
        </w:rPr>
        <w:t>十、</w:t>
      </w:r>
      <w:bookmarkEnd w:id="48"/>
      <w:r>
        <w:rPr>
          <w:rFonts w:hint="eastAsia" w:ascii="仿宋" w:hAnsi="仿宋" w:eastAsia="仿宋"/>
          <w:b w:val="0"/>
          <w:color w:val="000000"/>
          <w:sz w:val="32"/>
          <w:szCs w:val="32"/>
        </w:rPr>
        <w:t>一般公共预算财政拨款项目支出决算明细表</w:t>
      </w:r>
      <w:bookmarkEnd w:id="49"/>
    </w:p>
    <w:p>
      <w:pPr>
        <w:pStyle w:val="6"/>
        <w:ind w:left="0" w:leftChars="0" w:firstLine="0" w:firstLineChars="0"/>
        <w:rPr>
          <w:rFonts w:hint="eastAsia"/>
          <w:sz w:val="32"/>
          <w:szCs w:val="32"/>
          <w:lang w:eastAsia="zh-CN"/>
        </w:rPr>
      </w:pPr>
    </w:p>
    <w:p/>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96337C"/>
    <w:multiLevelType w:val="singleLevel"/>
    <w:tmpl w:val="A296337C"/>
    <w:lvl w:ilvl="0" w:tentative="0">
      <w:start w:val="2"/>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A9BF496"/>
    <w:multiLevelType w:val="singleLevel"/>
    <w:tmpl w:val="1A9BF496"/>
    <w:lvl w:ilvl="0" w:tentative="0">
      <w:start w:val="2"/>
      <w:numFmt w:val="chineseCounting"/>
      <w:suff w:val="space"/>
      <w:lvlText w:val="%1、"/>
      <w:lvlJc w:val="left"/>
      <w:rPr>
        <w:rFonts w:hint="eastAsia"/>
      </w:rPr>
    </w:lvl>
  </w:abstractNum>
  <w:abstractNum w:abstractNumId="3">
    <w:nsid w:val="3F606127"/>
    <w:multiLevelType w:val="singleLevel"/>
    <w:tmpl w:val="3F606127"/>
    <w:lvl w:ilvl="0" w:tentative="0">
      <w:start w:val="8"/>
      <w:numFmt w:val="chineseCounting"/>
      <w:suff w:val="nothing"/>
      <w:lvlText w:val="%1、"/>
      <w:lvlJc w:val="left"/>
      <w:rPr>
        <w:rFonts w:hint="eastAsia"/>
      </w:rPr>
    </w:lvl>
  </w:abstractNum>
  <w:abstractNum w:abstractNumId="4">
    <w:nsid w:val="5708D7AD"/>
    <w:multiLevelType w:val="singleLevel"/>
    <w:tmpl w:val="5708D7AD"/>
    <w:lvl w:ilvl="0" w:tentative="0">
      <w:start w:val="2"/>
      <w:numFmt w:val="chineseCounting"/>
      <w:suff w:val="nothing"/>
      <w:lvlText w:val="（%1）"/>
      <w:lvlJc w:val="left"/>
      <w:rPr>
        <w:rFonts w:hint="eastAsia"/>
      </w:rPr>
    </w:lvl>
  </w:abstractNum>
  <w:abstractNum w:abstractNumId="5">
    <w:nsid w:val="7AAC1CBD"/>
    <w:multiLevelType w:val="singleLevel"/>
    <w:tmpl w:val="7AAC1CBD"/>
    <w:lvl w:ilvl="0" w:tentative="0">
      <w:start w:val="2"/>
      <w:numFmt w:val="chineseCounting"/>
      <w:suff w:val="nothing"/>
      <w:lvlText w:val="（%1）"/>
      <w:lvlJc w:val="left"/>
      <w:rPr>
        <w:rFonts w:hint="eastAsia"/>
      </w:r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34707"/>
    <w:rsid w:val="00882313"/>
    <w:rsid w:val="00BF0852"/>
    <w:rsid w:val="01AB3A4C"/>
    <w:rsid w:val="01D82154"/>
    <w:rsid w:val="01DB0E98"/>
    <w:rsid w:val="020502B8"/>
    <w:rsid w:val="02346274"/>
    <w:rsid w:val="02537415"/>
    <w:rsid w:val="028316E6"/>
    <w:rsid w:val="03B10B2C"/>
    <w:rsid w:val="03E52A27"/>
    <w:rsid w:val="0421370F"/>
    <w:rsid w:val="05063013"/>
    <w:rsid w:val="051E63A0"/>
    <w:rsid w:val="05253159"/>
    <w:rsid w:val="0536478E"/>
    <w:rsid w:val="05C6221A"/>
    <w:rsid w:val="05C67DB8"/>
    <w:rsid w:val="05CA37E6"/>
    <w:rsid w:val="05DE2065"/>
    <w:rsid w:val="060415DA"/>
    <w:rsid w:val="061D2498"/>
    <w:rsid w:val="062705AF"/>
    <w:rsid w:val="06452FD0"/>
    <w:rsid w:val="0648585F"/>
    <w:rsid w:val="067611B1"/>
    <w:rsid w:val="06926409"/>
    <w:rsid w:val="06A51A29"/>
    <w:rsid w:val="06DF2C3C"/>
    <w:rsid w:val="070B26D8"/>
    <w:rsid w:val="073716F3"/>
    <w:rsid w:val="077C0152"/>
    <w:rsid w:val="07A66CD3"/>
    <w:rsid w:val="07AB12F0"/>
    <w:rsid w:val="07CC79AF"/>
    <w:rsid w:val="07E05898"/>
    <w:rsid w:val="08B1427D"/>
    <w:rsid w:val="08D266EA"/>
    <w:rsid w:val="08E5531C"/>
    <w:rsid w:val="09201BFE"/>
    <w:rsid w:val="094712F2"/>
    <w:rsid w:val="0958647E"/>
    <w:rsid w:val="0963660A"/>
    <w:rsid w:val="09A4358F"/>
    <w:rsid w:val="09BF4822"/>
    <w:rsid w:val="09DA3F82"/>
    <w:rsid w:val="0A0B0C2D"/>
    <w:rsid w:val="0A1A2BF9"/>
    <w:rsid w:val="0B6775DA"/>
    <w:rsid w:val="0BE72A8C"/>
    <w:rsid w:val="0C1C28F1"/>
    <w:rsid w:val="0C5533EE"/>
    <w:rsid w:val="0C7557E1"/>
    <w:rsid w:val="0CB54123"/>
    <w:rsid w:val="0CB8599E"/>
    <w:rsid w:val="0CE63DEF"/>
    <w:rsid w:val="0D5709C4"/>
    <w:rsid w:val="0DA32FF9"/>
    <w:rsid w:val="0E016246"/>
    <w:rsid w:val="0E693029"/>
    <w:rsid w:val="0EEF2024"/>
    <w:rsid w:val="0F396866"/>
    <w:rsid w:val="0F547819"/>
    <w:rsid w:val="0F5F768C"/>
    <w:rsid w:val="0F763753"/>
    <w:rsid w:val="0FBD1976"/>
    <w:rsid w:val="0FF22613"/>
    <w:rsid w:val="10DF26FC"/>
    <w:rsid w:val="110E5233"/>
    <w:rsid w:val="11142387"/>
    <w:rsid w:val="112A1720"/>
    <w:rsid w:val="118E4E05"/>
    <w:rsid w:val="119A0988"/>
    <w:rsid w:val="12474DC8"/>
    <w:rsid w:val="12E450F6"/>
    <w:rsid w:val="12F60EC9"/>
    <w:rsid w:val="131721D3"/>
    <w:rsid w:val="134D5D4F"/>
    <w:rsid w:val="137E4D53"/>
    <w:rsid w:val="13F47D19"/>
    <w:rsid w:val="1444516F"/>
    <w:rsid w:val="14886F81"/>
    <w:rsid w:val="14B70C97"/>
    <w:rsid w:val="14B82E87"/>
    <w:rsid w:val="14C217F5"/>
    <w:rsid w:val="14E24DF8"/>
    <w:rsid w:val="15922051"/>
    <w:rsid w:val="16103683"/>
    <w:rsid w:val="16316871"/>
    <w:rsid w:val="168B7E06"/>
    <w:rsid w:val="177E08EB"/>
    <w:rsid w:val="178632C0"/>
    <w:rsid w:val="178664AD"/>
    <w:rsid w:val="178819C8"/>
    <w:rsid w:val="179E22FC"/>
    <w:rsid w:val="17A25E76"/>
    <w:rsid w:val="17AE4B25"/>
    <w:rsid w:val="180B7CE7"/>
    <w:rsid w:val="18212609"/>
    <w:rsid w:val="183068D9"/>
    <w:rsid w:val="18D93743"/>
    <w:rsid w:val="19E524F1"/>
    <w:rsid w:val="19F3214F"/>
    <w:rsid w:val="19F76004"/>
    <w:rsid w:val="1A1664F5"/>
    <w:rsid w:val="1A4E5F71"/>
    <w:rsid w:val="1AA22996"/>
    <w:rsid w:val="1AAF5697"/>
    <w:rsid w:val="1B3E1A8A"/>
    <w:rsid w:val="1B460B6A"/>
    <w:rsid w:val="1B585811"/>
    <w:rsid w:val="1B9D0E81"/>
    <w:rsid w:val="1BAB2C52"/>
    <w:rsid w:val="1BEB2F32"/>
    <w:rsid w:val="1BEF4D2F"/>
    <w:rsid w:val="1C071382"/>
    <w:rsid w:val="1C48338F"/>
    <w:rsid w:val="1C505E17"/>
    <w:rsid w:val="1C5E0F45"/>
    <w:rsid w:val="1C86792A"/>
    <w:rsid w:val="1D20428A"/>
    <w:rsid w:val="1D207523"/>
    <w:rsid w:val="1D2A5EF3"/>
    <w:rsid w:val="1D5303AD"/>
    <w:rsid w:val="1D5D797F"/>
    <w:rsid w:val="1D8F2651"/>
    <w:rsid w:val="1DA21552"/>
    <w:rsid w:val="1E712BAD"/>
    <w:rsid w:val="1EB01321"/>
    <w:rsid w:val="1EE82024"/>
    <w:rsid w:val="1FE7137A"/>
    <w:rsid w:val="1FF54367"/>
    <w:rsid w:val="20301BBB"/>
    <w:rsid w:val="20492B12"/>
    <w:rsid w:val="20583D8E"/>
    <w:rsid w:val="20726215"/>
    <w:rsid w:val="20C1152C"/>
    <w:rsid w:val="20D601BF"/>
    <w:rsid w:val="21091802"/>
    <w:rsid w:val="210A7163"/>
    <w:rsid w:val="211C0ADF"/>
    <w:rsid w:val="21792825"/>
    <w:rsid w:val="222B40B1"/>
    <w:rsid w:val="224A43EF"/>
    <w:rsid w:val="22AC0362"/>
    <w:rsid w:val="233B7821"/>
    <w:rsid w:val="23945201"/>
    <w:rsid w:val="24007643"/>
    <w:rsid w:val="24175559"/>
    <w:rsid w:val="241755C0"/>
    <w:rsid w:val="246837AC"/>
    <w:rsid w:val="24EB4C10"/>
    <w:rsid w:val="2519214E"/>
    <w:rsid w:val="258520EB"/>
    <w:rsid w:val="258B34CC"/>
    <w:rsid w:val="25913412"/>
    <w:rsid w:val="25DE3EBC"/>
    <w:rsid w:val="25FA1985"/>
    <w:rsid w:val="262E222F"/>
    <w:rsid w:val="2637183E"/>
    <w:rsid w:val="26451A73"/>
    <w:rsid w:val="26710BB7"/>
    <w:rsid w:val="26BF635F"/>
    <w:rsid w:val="26C575ED"/>
    <w:rsid w:val="26E518CB"/>
    <w:rsid w:val="2790625B"/>
    <w:rsid w:val="27B5614D"/>
    <w:rsid w:val="282C4404"/>
    <w:rsid w:val="28716A14"/>
    <w:rsid w:val="28933F38"/>
    <w:rsid w:val="289878DC"/>
    <w:rsid w:val="28C55AD9"/>
    <w:rsid w:val="28D241CA"/>
    <w:rsid w:val="296D1C1C"/>
    <w:rsid w:val="29712C05"/>
    <w:rsid w:val="297A12B6"/>
    <w:rsid w:val="29DE6E95"/>
    <w:rsid w:val="29E8073E"/>
    <w:rsid w:val="2A674AB0"/>
    <w:rsid w:val="2AD0333C"/>
    <w:rsid w:val="2AEC08A6"/>
    <w:rsid w:val="2AFD2A33"/>
    <w:rsid w:val="2B4D0B0B"/>
    <w:rsid w:val="2BDD0703"/>
    <w:rsid w:val="2C255858"/>
    <w:rsid w:val="2C2714E0"/>
    <w:rsid w:val="2C3C0AA3"/>
    <w:rsid w:val="2C515C43"/>
    <w:rsid w:val="2C625793"/>
    <w:rsid w:val="2C685E12"/>
    <w:rsid w:val="2C687D7E"/>
    <w:rsid w:val="2C962229"/>
    <w:rsid w:val="2D1202A0"/>
    <w:rsid w:val="2D7660A9"/>
    <w:rsid w:val="2D966C65"/>
    <w:rsid w:val="2DBB4CD6"/>
    <w:rsid w:val="2DEE2DDA"/>
    <w:rsid w:val="2DF35DE3"/>
    <w:rsid w:val="2E216696"/>
    <w:rsid w:val="2ED35FEE"/>
    <w:rsid w:val="300155EC"/>
    <w:rsid w:val="306709C5"/>
    <w:rsid w:val="30B32B6A"/>
    <w:rsid w:val="30F53504"/>
    <w:rsid w:val="311C73A5"/>
    <w:rsid w:val="31BF2947"/>
    <w:rsid w:val="32310A70"/>
    <w:rsid w:val="327D54BD"/>
    <w:rsid w:val="33C806E8"/>
    <w:rsid w:val="33C977FE"/>
    <w:rsid w:val="340D57A7"/>
    <w:rsid w:val="34666631"/>
    <w:rsid w:val="34A50C96"/>
    <w:rsid w:val="34D825DC"/>
    <w:rsid w:val="35897E51"/>
    <w:rsid w:val="359840AF"/>
    <w:rsid w:val="35B725AC"/>
    <w:rsid w:val="362E2769"/>
    <w:rsid w:val="368D7CB3"/>
    <w:rsid w:val="36974F61"/>
    <w:rsid w:val="36EE35C7"/>
    <w:rsid w:val="370A6D37"/>
    <w:rsid w:val="372A5155"/>
    <w:rsid w:val="37B620D9"/>
    <w:rsid w:val="380B19D2"/>
    <w:rsid w:val="389A4F38"/>
    <w:rsid w:val="38BA0F7B"/>
    <w:rsid w:val="38EF74E5"/>
    <w:rsid w:val="39236D35"/>
    <w:rsid w:val="394E3FF7"/>
    <w:rsid w:val="397C09F9"/>
    <w:rsid w:val="39BA735C"/>
    <w:rsid w:val="3A107B45"/>
    <w:rsid w:val="3A2D0421"/>
    <w:rsid w:val="3A6D6A8B"/>
    <w:rsid w:val="3ADB7C96"/>
    <w:rsid w:val="3B1B3F2D"/>
    <w:rsid w:val="3B965C76"/>
    <w:rsid w:val="3BB04D60"/>
    <w:rsid w:val="3BED2C50"/>
    <w:rsid w:val="3BFC3FDB"/>
    <w:rsid w:val="3C013AEF"/>
    <w:rsid w:val="3C3E5DE9"/>
    <w:rsid w:val="3CCA6242"/>
    <w:rsid w:val="3D317CFB"/>
    <w:rsid w:val="3D333223"/>
    <w:rsid w:val="3D942B25"/>
    <w:rsid w:val="3E207F00"/>
    <w:rsid w:val="3E4E4CF3"/>
    <w:rsid w:val="3E6C046F"/>
    <w:rsid w:val="3E8B7104"/>
    <w:rsid w:val="3ED0469E"/>
    <w:rsid w:val="3F2B07ED"/>
    <w:rsid w:val="3F3D4C7A"/>
    <w:rsid w:val="3F6B04FB"/>
    <w:rsid w:val="3FFC5AEC"/>
    <w:rsid w:val="40207691"/>
    <w:rsid w:val="40670939"/>
    <w:rsid w:val="40A505EC"/>
    <w:rsid w:val="40B94C7A"/>
    <w:rsid w:val="40C946F8"/>
    <w:rsid w:val="413D21FB"/>
    <w:rsid w:val="41CF3D80"/>
    <w:rsid w:val="42014F29"/>
    <w:rsid w:val="420E53DF"/>
    <w:rsid w:val="425759EC"/>
    <w:rsid w:val="426129D8"/>
    <w:rsid w:val="429066C1"/>
    <w:rsid w:val="42CD563D"/>
    <w:rsid w:val="42FE1BA9"/>
    <w:rsid w:val="432510B5"/>
    <w:rsid w:val="43476B48"/>
    <w:rsid w:val="43573315"/>
    <w:rsid w:val="43907DB5"/>
    <w:rsid w:val="4392081E"/>
    <w:rsid w:val="439D249C"/>
    <w:rsid w:val="43C52E54"/>
    <w:rsid w:val="441735B8"/>
    <w:rsid w:val="442268FD"/>
    <w:rsid w:val="445F11C3"/>
    <w:rsid w:val="445F5F22"/>
    <w:rsid w:val="44D01669"/>
    <w:rsid w:val="44F2368F"/>
    <w:rsid w:val="458601C6"/>
    <w:rsid w:val="45CE4A1B"/>
    <w:rsid w:val="45E246F4"/>
    <w:rsid w:val="461B7925"/>
    <w:rsid w:val="461D0212"/>
    <w:rsid w:val="463C07F3"/>
    <w:rsid w:val="464756DB"/>
    <w:rsid w:val="4692052E"/>
    <w:rsid w:val="46C0506A"/>
    <w:rsid w:val="470B61AF"/>
    <w:rsid w:val="471A7CA7"/>
    <w:rsid w:val="47621D3C"/>
    <w:rsid w:val="476E1465"/>
    <w:rsid w:val="47777BC1"/>
    <w:rsid w:val="479122C3"/>
    <w:rsid w:val="47DF78E4"/>
    <w:rsid w:val="481F5071"/>
    <w:rsid w:val="483B44C3"/>
    <w:rsid w:val="48C031A0"/>
    <w:rsid w:val="48C53338"/>
    <w:rsid w:val="4910453A"/>
    <w:rsid w:val="491D45E4"/>
    <w:rsid w:val="49FA5C62"/>
    <w:rsid w:val="4A374A77"/>
    <w:rsid w:val="4B6601B4"/>
    <w:rsid w:val="4C012C8E"/>
    <w:rsid w:val="4C791821"/>
    <w:rsid w:val="4CC72EE2"/>
    <w:rsid w:val="4D901930"/>
    <w:rsid w:val="4D9C1311"/>
    <w:rsid w:val="4DA13EFC"/>
    <w:rsid w:val="4DAA0ACB"/>
    <w:rsid w:val="4DCD369E"/>
    <w:rsid w:val="4DFC3936"/>
    <w:rsid w:val="4E207F77"/>
    <w:rsid w:val="4E405E86"/>
    <w:rsid w:val="4F1C2BA7"/>
    <w:rsid w:val="4F717B9B"/>
    <w:rsid w:val="4F7E44A1"/>
    <w:rsid w:val="4FBD66D2"/>
    <w:rsid w:val="4FD361C6"/>
    <w:rsid w:val="4FDE0035"/>
    <w:rsid w:val="503043E2"/>
    <w:rsid w:val="50457054"/>
    <w:rsid w:val="5050382B"/>
    <w:rsid w:val="506D097D"/>
    <w:rsid w:val="51DE596C"/>
    <w:rsid w:val="520668F0"/>
    <w:rsid w:val="52AE51FA"/>
    <w:rsid w:val="52CC2690"/>
    <w:rsid w:val="53143CF9"/>
    <w:rsid w:val="531F0D11"/>
    <w:rsid w:val="53322DCA"/>
    <w:rsid w:val="542F1EBF"/>
    <w:rsid w:val="545F1FF7"/>
    <w:rsid w:val="54657E0D"/>
    <w:rsid w:val="547E70F1"/>
    <w:rsid w:val="54D10F28"/>
    <w:rsid w:val="550305C3"/>
    <w:rsid w:val="5553460E"/>
    <w:rsid w:val="55D83CEB"/>
    <w:rsid w:val="56A37AD8"/>
    <w:rsid w:val="56A477CE"/>
    <w:rsid w:val="56CC5979"/>
    <w:rsid w:val="57034B85"/>
    <w:rsid w:val="570D038C"/>
    <w:rsid w:val="57472184"/>
    <w:rsid w:val="589E16F5"/>
    <w:rsid w:val="589F63B4"/>
    <w:rsid w:val="58CE3EFA"/>
    <w:rsid w:val="593F38C5"/>
    <w:rsid w:val="59905774"/>
    <w:rsid w:val="599E59E1"/>
    <w:rsid w:val="59C82306"/>
    <w:rsid w:val="59E1598B"/>
    <w:rsid w:val="5A07397F"/>
    <w:rsid w:val="5A233488"/>
    <w:rsid w:val="5AE561D2"/>
    <w:rsid w:val="5B0315D4"/>
    <w:rsid w:val="5B0E5F58"/>
    <w:rsid w:val="5B180F7F"/>
    <w:rsid w:val="5BC0337D"/>
    <w:rsid w:val="5C510837"/>
    <w:rsid w:val="5D8B09FB"/>
    <w:rsid w:val="5E9B4D4C"/>
    <w:rsid w:val="5EE14150"/>
    <w:rsid w:val="5F0F5F32"/>
    <w:rsid w:val="5F2239B1"/>
    <w:rsid w:val="5F584AF9"/>
    <w:rsid w:val="5F592FD8"/>
    <w:rsid w:val="5F9B227E"/>
    <w:rsid w:val="5FDC4991"/>
    <w:rsid w:val="601D7135"/>
    <w:rsid w:val="60594271"/>
    <w:rsid w:val="606969FB"/>
    <w:rsid w:val="60FD6A51"/>
    <w:rsid w:val="61964204"/>
    <w:rsid w:val="621F016F"/>
    <w:rsid w:val="62641897"/>
    <w:rsid w:val="63143D27"/>
    <w:rsid w:val="6363707C"/>
    <w:rsid w:val="639D589A"/>
    <w:rsid w:val="63A25134"/>
    <w:rsid w:val="63B14BA5"/>
    <w:rsid w:val="63E45B69"/>
    <w:rsid w:val="63F41951"/>
    <w:rsid w:val="64BF65EF"/>
    <w:rsid w:val="64DD2406"/>
    <w:rsid w:val="65565234"/>
    <w:rsid w:val="66360F04"/>
    <w:rsid w:val="663E3F8E"/>
    <w:rsid w:val="66534FCB"/>
    <w:rsid w:val="67224A18"/>
    <w:rsid w:val="67E64DE1"/>
    <w:rsid w:val="681158B8"/>
    <w:rsid w:val="681E547B"/>
    <w:rsid w:val="6826003B"/>
    <w:rsid w:val="684A0535"/>
    <w:rsid w:val="685D50B9"/>
    <w:rsid w:val="68604028"/>
    <w:rsid w:val="686E693A"/>
    <w:rsid w:val="6877527C"/>
    <w:rsid w:val="687C5B03"/>
    <w:rsid w:val="68BA38D2"/>
    <w:rsid w:val="68F84508"/>
    <w:rsid w:val="691A3E13"/>
    <w:rsid w:val="69400176"/>
    <w:rsid w:val="69597AAC"/>
    <w:rsid w:val="69B25200"/>
    <w:rsid w:val="69C21C8E"/>
    <w:rsid w:val="69E52B74"/>
    <w:rsid w:val="69F651A9"/>
    <w:rsid w:val="6A400F1A"/>
    <w:rsid w:val="6A557958"/>
    <w:rsid w:val="6A6A5E6B"/>
    <w:rsid w:val="6A8D6A74"/>
    <w:rsid w:val="6AA1155F"/>
    <w:rsid w:val="6AF16947"/>
    <w:rsid w:val="6B2973E9"/>
    <w:rsid w:val="6B6F5E3A"/>
    <w:rsid w:val="6BB460E2"/>
    <w:rsid w:val="6BEB4471"/>
    <w:rsid w:val="6C164FA6"/>
    <w:rsid w:val="6C311483"/>
    <w:rsid w:val="6C4130FD"/>
    <w:rsid w:val="6C4B028D"/>
    <w:rsid w:val="6C95291B"/>
    <w:rsid w:val="6C9B7DB3"/>
    <w:rsid w:val="6CAB2D78"/>
    <w:rsid w:val="6CF55FCF"/>
    <w:rsid w:val="6CFE5FFC"/>
    <w:rsid w:val="6DAA7E7A"/>
    <w:rsid w:val="6E750E3C"/>
    <w:rsid w:val="6E905D0B"/>
    <w:rsid w:val="6E915828"/>
    <w:rsid w:val="6E9C1F04"/>
    <w:rsid w:val="6F1A5A2C"/>
    <w:rsid w:val="6F3C54D1"/>
    <w:rsid w:val="6FBC358D"/>
    <w:rsid w:val="6FE710F1"/>
    <w:rsid w:val="7037710B"/>
    <w:rsid w:val="70743667"/>
    <w:rsid w:val="707849CA"/>
    <w:rsid w:val="70A54C4E"/>
    <w:rsid w:val="70A76EDF"/>
    <w:rsid w:val="70AD3EBF"/>
    <w:rsid w:val="70C43920"/>
    <w:rsid w:val="70F27B83"/>
    <w:rsid w:val="70F53323"/>
    <w:rsid w:val="70F66CB4"/>
    <w:rsid w:val="71785460"/>
    <w:rsid w:val="71D33F8D"/>
    <w:rsid w:val="71ED3EDE"/>
    <w:rsid w:val="72133397"/>
    <w:rsid w:val="725B06D5"/>
    <w:rsid w:val="727D450C"/>
    <w:rsid w:val="730C28BA"/>
    <w:rsid w:val="73133219"/>
    <w:rsid w:val="736A13A3"/>
    <w:rsid w:val="73797E73"/>
    <w:rsid w:val="73AB6FCB"/>
    <w:rsid w:val="73B63B41"/>
    <w:rsid w:val="73BC27AF"/>
    <w:rsid w:val="73BC7DEE"/>
    <w:rsid w:val="73FD0A4F"/>
    <w:rsid w:val="74F37794"/>
    <w:rsid w:val="756E6B34"/>
    <w:rsid w:val="75F82DC6"/>
    <w:rsid w:val="76191CEE"/>
    <w:rsid w:val="76446144"/>
    <w:rsid w:val="76A5521A"/>
    <w:rsid w:val="76E23986"/>
    <w:rsid w:val="77005DF6"/>
    <w:rsid w:val="770A5A76"/>
    <w:rsid w:val="775E62AF"/>
    <w:rsid w:val="779A2B2D"/>
    <w:rsid w:val="77D906E2"/>
    <w:rsid w:val="77DF6BBA"/>
    <w:rsid w:val="782920CD"/>
    <w:rsid w:val="78415904"/>
    <w:rsid w:val="784B3700"/>
    <w:rsid w:val="78934371"/>
    <w:rsid w:val="78B20FFE"/>
    <w:rsid w:val="78C5681C"/>
    <w:rsid w:val="799034D8"/>
    <w:rsid w:val="79997DD2"/>
    <w:rsid w:val="79A807A2"/>
    <w:rsid w:val="79C95DCF"/>
    <w:rsid w:val="79CE3781"/>
    <w:rsid w:val="79D00547"/>
    <w:rsid w:val="79FA0E27"/>
    <w:rsid w:val="79FA5671"/>
    <w:rsid w:val="79FD5E30"/>
    <w:rsid w:val="7A320CF1"/>
    <w:rsid w:val="7B772498"/>
    <w:rsid w:val="7B993C38"/>
    <w:rsid w:val="7B9C71D5"/>
    <w:rsid w:val="7BAB5164"/>
    <w:rsid w:val="7BAD01C9"/>
    <w:rsid w:val="7BC66859"/>
    <w:rsid w:val="7BE81934"/>
    <w:rsid w:val="7BFD42A4"/>
    <w:rsid w:val="7C08172E"/>
    <w:rsid w:val="7C2F1963"/>
    <w:rsid w:val="7C3B6AD3"/>
    <w:rsid w:val="7C3D2061"/>
    <w:rsid w:val="7C3E4691"/>
    <w:rsid w:val="7C7846C0"/>
    <w:rsid w:val="7C956391"/>
    <w:rsid w:val="7CBA45B2"/>
    <w:rsid w:val="7D4B4B42"/>
    <w:rsid w:val="7D4E6070"/>
    <w:rsid w:val="7D6C38B7"/>
    <w:rsid w:val="7D747F20"/>
    <w:rsid w:val="7DAA0228"/>
    <w:rsid w:val="7DE0615E"/>
    <w:rsid w:val="7E044AA8"/>
    <w:rsid w:val="7E3B1311"/>
    <w:rsid w:val="7ED12811"/>
    <w:rsid w:val="7EDD18F9"/>
    <w:rsid w:val="7EE07871"/>
    <w:rsid w:val="7F6D495A"/>
    <w:rsid w:val="7F814722"/>
    <w:rsid w:val="7F9D0493"/>
    <w:rsid w:val="7FE437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4"/>
    <w:unhideWhenUsed/>
    <w:qFormat/>
    <w:uiPriority w:val="0"/>
    <w:pPr>
      <w:shd w:val="clear" w:color="auto" w:fill="auto"/>
      <w:spacing w:before="100" w:beforeAutospacing="1" w:after="100" w:afterAutospacing="1"/>
      <w:jc w:val="left"/>
    </w:pPr>
    <w:rPr>
      <w:rFonts w:hint="eastAsia" w:ascii="宋体" w:hAnsi="宋体" w:eastAsia="宋体" w:cs="宋体"/>
      <w:b/>
      <w:kern w:val="0"/>
      <w:sz w:val="36"/>
      <w:szCs w:val="36"/>
      <w:shd w:val="clear" w:color="auto" w:fill="auto"/>
      <w:lang w:val="en-US" w:eastAsia="zh-CN" w:bidi="ar"/>
    </w:rPr>
  </w:style>
  <w:style w:type="character" w:default="1" w:styleId="17">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2"/>
    <w:qFormat/>
    <w:uiPriority w:val="6"/>
    <w:pPr>
      <w:ind w:firstLine="567"/>
      <w:jc w:val="both"/>
    </w:pPr>
    <w:rPr>
      <w:kern w:val="1"/>
      <w:sz w:val="28"/>
    </w:rPr>
  </w:style>
  <w:style w:type="paragraph" w:styleId="6">
    <w:name w:val="Normal Indent"/>
    <w:basedOn w:val="1"/>
    <w:qFormat/>
    <w:uiPriority w:val="0"/>
    <w:pPr>
      <w:ind w:firstLine="420" w:firstLineChars="200"/>
    </w:pPr>
    <w:rPr>
      <w:rFonts w:ascii="Calibri" w:hAnsi="Calibri" w:cs="黑体"/>
    </w:rPr>
  </w:style>
  <w:style w:type="paragraph" w:styleId="7">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8">
    <w:name w:val="Body Text"/>
    <w:basedOn w:val="1"/>
    <w:qFormat/>
    <w:uiPriority w:val="99"/>
    <w:pPr>
      <w:spacing w:beforeLines="30"/>
    </w:pPr>
    <w:rPr>
      <w:rFonts w:ascii="仿宋_GB2312" w:eastAsia="仿宋_GB2312"/>
      <w:kern w:val="0"/>
      <w:sz w:val="30"/>
    </w:rPr>
  </w:style>
  <w:style w:type="paragraph" w:styleId="9">
    <w:name w:val="Plain Text"/>
    <w:basedOn w:val="1"/>
    <w:unhideWhenUsed/>
    <w:qFormat/>
    <w:uiPriority w:val="99"/>
    <w:rPr>
      <w:rFonts w:ascii="宋体" w:hAnsi="Courier New"/>
    </w:rPr>
  </w:style>
  <w:style w:type="paragraph" w:styleId="10">
    <w:name w:val="Balloon Text"/>
    <w:basedOn w:val="1"/>
    <w:unhideWhenUsed/>
    <w:qFormat/>
    <w:uiPriority w:val="99"/>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next w:val="10"/>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8">
    <w:name w:val="Strong"/>
    <w:basedOn w:val="17"/>
    <w:qFormat/>
    <w:uiPriority w:val="0"/>
    <w:rPr>
      <w:b/>
    </w:rPr>
  </w:style>
  <w:style w:type="character" w:styleId="19">
    <w:name w:val="Hyperlink"/>
    <w:basedOn w:val="17"/>
    <w:qFormat/>
    <w:uiPriority w:val="0"/>
    <w:rPr>
      <w:color w:val="0000FF"/>
      <w:u w:val="none"/>
    </w:rPr>
  </w:style>
  <w:style w:type="paragraph"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2">
    <w:name w:val="No Spacing"/>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3">
    <w:name w:val="15"/>
    <w:basedOn w:val="17"/>
    <w:qFormat/>
    <w:uiPriority w:val="0"/>
    <w:rPr>
      <w:rFonts w:hint="default" w:ascii="Calibri" w:hAnsi="Calibri" w:cs="Calibri"/>
      <w:b/>
    </w:rPr>
  </w:style>
  <w:style w:type="character" w:customStyle="1" w:styleId="24">
    <w:name w:val="标题 2 字符"/>
    <w:basedOn w:val="17"/>
    <w:link w:val="5"/>
    <w:qFormat/>
    <w:uiPriority w:val="9"/>
    <w:rPr>
      <w:rFonts w:hint="eastAsia" w:ascii="宋体" w:hAnsi="宋体" w:eastAsia="宋体" w:cs="宋体"/>
      <w:b/>
      <w:kern w:val="0"/>
      <w:sz w:val="36"/>
      <w:szCs w:val="36"/>
      <w:shd w:val="clear" w:color="auto" w:fill="auto"/>
      <w:lang w:val="en-US" w:eastAsia="zh-CN" w:bidi="ar"/>
    </w:rPr>
  </w:style>
  <w:style w:type="character" w:customStyle="1" w:styleId="25">
    <w:name w:val="标题 1 字符"/>
    <w:basedOn w:val="17"/>
    <w:link w:val="4"/>
    <w:qFormat/>
    <w:uiPriority w:val="9"/>
    <w:rPr>
      <w:b/>
      <w:bCs/>
      <w:kern w:val="44"/>
      <w:sz w:val="44"/>
      <w:szCs w:val="44"/>
    </w:rPr>
  </w:style>
  <w:style w:type="paragraph" w:customStyle="1" w:styleId="26">
    <w:name w:val="Body text|1"/>
    <w:basedOn w:val="1"/>
    <w:qFormat/>
    <w:uiPriority w:val="0"/>
    <w:pPr>
      <w:widowControl w:val="0"/>
      <w:shd w:val="clear" w:color="auto" w:fill="auto"/>
      <w:spacing w:line="406" w:lineRule="auto"/>
      <w:ind w:firstLine="400"/>
    </w:pPr>
    <w:rPr>
      <w:rFonts w:ascii="宋体" w:hAnsi="宋体" w:eastAsia="宋体" w:cs="宋体"/>
      <w:sz w:val="30"/>
      <w:szCs w:val="30"/>
      <w:u w:val="none"/>
      <w:shd w:val="clear" w:color="auto" w:fill="auto"/>
      <w:lang w:val="zh-TW" w:eastAsia="zh-TW" w:bidi="zh-TW"/>
    </w:rPr>
  </w:style>
  <w:style w:type="paragraph" w:customStyle="1" w:styleId="27">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8">
    <w:name w:val="Heading 1 Char"/>
    <w:basedOn w:val="17"/>
    <w:link w:val="4"/>
    <w:qFormat/>
    <w:locked/>
    <w:uiPriority w:val="9"/>
    <w:rPr>
      <w:rFonts w:ascii="Times New Roman" w:hAnsi="Times New Roman"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财政拨款收支上下年变化图</a:t>
            </a:r>
            <a:endParaRPr altLang="en-US"/>
          </a:p>
        </c:rich>
      </c:tx>
      <c:layout/>
      <c:overlay val="0"/>
      <c:spPr>
        <a:noFill/>
        <a:ln>
          <a:noFill/>
        </a:ln>
        <a:effectLst/>
      </c:spPr>
    </c:title>
    <c:autoTitleDeleted val="0"/>
    <c:plotArea>
      <c:layout>
        <c:manualLayout>
          <c:layoutTarget val="inner"/>
          <c:xMode val="edge"/>
          <c:yMode val="edge"/>
          <c:x val="0.0787"/>
          <c:y val="0.194927536231884"/>
          <c:w val="0.8938"/>
          <c:h val="0.589710144927536"/>
        </c:manualLayout>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Sheet1!$A$2:$A$3</c:f>
              <c:strCache>
                <c:ptCount val="2"/>
                <c:pt idx="0">
                  <c:v>财政拨款收入</c:v>
                </c:pt>
                <c:pt idx="1">
                  <c:v>财政拨款支出</c:v>
                </c:pt>
              </c:strCache>
            </c:strRef>
          </c:cat>
          <c:val>
            <c:numRef>
              <c:f>Sheet1!$B$2:$B$3</c:f>
              <c:numCache>
                <c:formatCode>General</c:formatCode>
                <c:ptCount val="2"/>
                <c:pt idx="0">
                  <c:v>549.49</c:v>
                </c:pt>
                <c:pt idx="1">
                  <c:v>572.08</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Sheet1!$A$2:$A$3</c:f>
              <c:strCache>
                <c:ptCount val="2"/>
                <c:pt idx="0">
                  <c:v>财政拨款收入</c:v>
                </c:pt>
                <c:pt idx="1">
                  <c:v>财政拨款支出</c:v>
                </c:pt>
              </c:strCache>
            </c:strRef>
          </c:cat>
          <c:val>
            <c:numRef>
              <c:f>Sheet1!$C$2:$C$3</c:f>
              <c:numCache>
                <c:formatCode>General</c:formatCode>
                <c:ptCount val="2"/>
                <c:pt idx="0">
                  <c:v>880.22</c:v>
                </c:pt>
                <c:pt idx="1">
                  <c:v>880.22</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财政拨款收入</c:v>
                </c:pt>
                <c:pt idx="1">
                  <c:v>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15094216"/>
        <c:axId val="912299255"/>
      </c:barChart>
      <c:catAx>
        <c:axId val="6150942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299255"/>
        <c:crosses val="autoZero"/>
        <c:auto val="1"/>
        <c:lblAlgn val="ctr"/>
        <c:lblOffset val="100"/>
        <c:noMultiLvlLbl val="0"/>
      </c:catAx>
      <c:valAx>
        <c:axId val="912299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509421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一般公共财政拨款</a:t>
            </a:r>
          </a:p>
        </c:rich>
      </c:tx>
      <c:layout/>
      <c:overlay val="0"/>
      <c:spPr>
        <a:noFill/>
        <a:ln>
          <a:noFill/>
        </a:ln>
        <a:effectLst/>
      </c:spPr>
    </c:title>
    <c:autoTitleDeleted val="0"/>
    <c:plotArea>
      <c:layout/>
      <c:pieChart>
        <c:varyColors val="1"/>
        <c:ser>
          <c:idx val="0"/>
          <c:order val="0"/>
          <c:tx>
            <c:strRef>
              <c:f>Sheet1!$B$1</c:f>
              <c:strCache>
                <c:ptCount val="1"/>
                <c:pt idx="0">
                  <c:v>支出构成</c:v>
                </c:pt>
              </c:strCache>
            </c:strRef>
          </c:tx>
          <c:spPr>
            <a:solidFill>
              <a:srgbClr val="FF0000"/>
            </a:solidFill>
          </c:spPr>
          <c:explosion val="0"/>
          <c:dPt>
            <c:idx val="0"/>
            <c:bubble3D val="0"/>
            <c:spPr>
              <a:solidFill>
                <a:srgbClr val="FF0000"/>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80.47%</a:t>
                    </a:r>
                    <a:endParaRPr lang="en-US" altLang="zh-CN"/>
                  </a:p>
                </c:rich>
              </c:tx>
              <c:dLblPos val="ctr"/>
              <c:showLegendKey val="0"/>
              <c:showVal val="0"/>
              <c:showCatName val="0"/>
              <c:showSerName val="0"/>
              <c:showPercent val="1"/>
              <c:showBubbleSize val="0"/>
              <c:extLst>
                <c:ext xmlns:c15="http://schemas.microsoft.com/office/drawing/2012/chart" uri="{CE6537A1-D6FC-4f65-9D91-7224C49458BB}"/>
              </c:extLst>
            </c:dLbl>
            <c:dLbl>
              <c:idx val="1"/>
              <c:layout>
                <c:manualLayout>
                  <c:x val="0.063923197984177"/>
                  <c:y val="0.14803313064174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19.52%</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一般公共财政拨款收入</c:v>
                </c:pt>
                <c:pt idx="1">
                  <c:v>其他收入</c:v>
                </c:pt>
              </c:strCache>
            </c:strRef>
          </c:cat>
          <c:val>
            <c:numRef>
              <c:f>Sheet1!$B$2:$B$3</c:f>
              <c:numCache>
                <c:formatCode>General</c:formatCode>
                <c:ptCount val="2"/>
                <c:pt idx="0">
                  <c:v>839.84</c:v>
                </c:pt>
                <c:pt idx="1">
                  <c:v>40.38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6002132196162"/>
          <c:y val="0.0698283386674425"/>
        </c:manualLayout>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支出结构图</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468.3</c:v>
                </c:pt>
                <c:pt idx="1">
                  <c:v>411.92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财政拨款收支上下年变化图</a:t>
            </a:r>
            <a:endParaRPr altLang="en-US"/>
          </a:p>
        </c:rich>
      </c:tx>
      <c:layout/>
      <c:overlay val="0"/>
      <c:spPr>
        <a:noFill/>
        <a:ln>
          <a:noFill/>
        </a:ln>
        <a:effectLst/>
      </c:spPr>
    </c:title>
    <c:autoTitleDeleted val="0"/>
    <c:plotArea>
      <c:layout>
        <c:manualLayout>
          <c:layoutTarget val="inner"/>
          <c:xMode val="edge"/>
          <c:yMode val="edge"/>
          <c:x val="0.0787"/>
          <c:y val="0.194927536231884"/>
          <c:w val="0.8938"/>
          <c:h val="0.589710144927536"/>
        </c:manualLayout>
      </c:layout>
      <c:barChart>
        <c:barDir val="col"/>
        <c:grouping val="clustered"/>
        <c:varyColors val="0"/>
        <c:ser>
          <c:idx val="0"/>
          <c:order val="0"/>
          <c:spPr>
            <a:solidFill>
              <a:schemeClr val="accent1"/>
            </a:solidFill>
            <a:ln>
              <a:noFill/>
            </a:ln>
            <a:effectLst/>
          </c:spPr>
          <c:invertIfNegative val="0"/>
          <c:dLbls>
            <c:delete val="1"/>
          </c:dLbls>
          <c:cat>
            <c:strRef>
              <c:f>Sheet1!$A$1:$C$1</c:f>
              <c:strCache>
                <c:ptCount val="3"/>
                <c:pt idx="1">
                  <c:v>2021年</c:v>
                </c:pt>
                <c:pt idx="2">
                  <c:v>2022年</c:v>
                </c:pt>
              </c:strCache>
            </c:strRef>
          </c:cat>
          <c:val>
            <c:numRef>
              <c:f>Sheet1!$A$2:$C$2</c:f>
              <c:numCache>
                <c:formatCode>General</c:formatCode>
                <c:ptCount val="3"/>
                <c:pt idx="0">
                  <c:v>0</c:v>
                </c:pt>
                <c:pt idx="1">
                  <c:v>549.49</c:v>
                </c:pt>
                <c:pt idx="2">
                  <c:v>839.84</c:v>
                </c:pt>
              </c:numCache>
            </c:numRef>
          </c:val>
        </c:ser>
        <c:ser>
          <c:idx val="1"/>
          <c:order val="1"/>
          <c:spPr>
            <a:solidFill>
              <a:schemeClr val="accent2"/>
            </a:solidFill>
            <a:ln>
              <a:noFill/>
            </a:ln>
            <a:effectLst/>
          </c:spPr>
          <c:invertIfNegative val="0"/>
          <c:dLbls>
            <c:delete val="1"/>
          </c:dLbls>
          <c:cat>
            <c:strRef>
              <c:f>Sheet1!$A$1:$C$1</c:f>
              <c:strCache>
                <c:ptCount val="3"/>
                <c:pt idx="1">
                  <c:v>2021年</c:v>
                </c:pt>
                <c:pt idx="2">
                  <c:v>2022年</c:v>
                </c:pt>
              </c:strCache>
            </c:strRef>
          </c:cat>
          <c:val>
            <c:numRef>
              <c:f>Sheet1!$A$3:$C$3</c:f>
              <c:numCache>
                <c:formatCode>General</c:formatCode>
                <c:ptCount val="3"/>
                <c:pt idx="0">
                  <c:v>0</c:v>
                </c:pt>
                <c:pt idx="1">
                  <c:v>572.08</c:v>
                </c:pt>
                <c:pt idx="2">
                  <c:v>839.84</c:v>
                </c:pt>
              </c:numCache>
            </c:numRef>
          </c:val>
        </c:ser>
        <c:dLbls>
          <c:showLegendKey val="0"/>
          <c:showVal val="0"/>
          <c:showCatName val="0"/>
          <c:showSerName val="0"/>
          <c:showPercent val="0"/>
          <c:showBubbleSize val="0"/>
        </c:dLbls>
        <c:gapWidth val="219"/>
        <c:overlap val="-27"/>
        <c:axId val="615094216"/>
        <c:axId val="912299255"/>
      </c:barChart>
      <c:catAx>
        <c:axId val="6150942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299255"/>
        <c:crosses val="autoZero"/>
        <c:auto val="1"/>
        <c:lblAlgn val="ctr"/>
        <c:lblOffset val="100"/>
        <c:noMultiLvlLbl val="0"/>
      </c:catAx>
      <c:valAx>
        <c:axId val="912299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509421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一般公共财政拨款支出决算上下年变动图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c:f>
              <c:strCache>
                <c:ptCount val="1"/>
                <c:pt idx="0">
                  <c:v>一般公共财政拨款支出</c:v>
                </c:pt>
              </c:strCache>
            </c:strRef>
          </c:cat>
          <c:val>
            <c:numRef>
              <c:f>Sheet1!$B$2</c:f>
              <c:numCache>
                <c:formatCode>General</c:formatCode>
                <c:ptCount val="1"/>
                <c:pt idx="0">
                  <c:v>549.49</c:v>
                </c:pt>
              </c:numCache>
            </c:numRef>
          </c:val>
        </c:ser>
        <c:ser>
          <c:idx val="1"/>
          <c:order val="1"/>
          <c:tx>
            <c:strRef>
              <c:f>Sheet1!$C$1</c:f>
              <c:strCache>
                <c:ptCount val="1"/>
                <c:pt idx="0">
                  <c:v>2022年</c:v>
                </c:pt>
              </c:strCache>
            </c:strRef>
          </c:tx>
          <c:spPr>
            <a:solidFill>
              <a:schemeClr val="accent2"/>
            </a:solidFill>
            <a:ln>
              <a:noFill/>
            </a:ln>
            <a:effectLst/>
          </c:spPr>
          <c:invertIfNegative val="0"/>
          <c:dLbls>
            <c:delete val="1"/>
          </c:dLbls>
          <c:cat>
            <c:strRef>
              <c:f>Sheet1!$A$2</c:f>
              <c:strCache>
                <c:ptCount val="1"/>
                <c:pt idx="0">
                  <c:v>一般公共财政拨款支出</c:v>
                </c:pt>
              </c:strCache>
            </c:strRef>
          </c:cat>
          <c:val>
            <c:numRef>
              <c:f>Sheet1!$C$2</c:f>
              <c:numCache>
                <c:formatCode>General</c:formatCode>
                <c:ptCount val="1"/>
                <c:pt idx="0">
                  <c:v>839.84</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85493246"/>
        <c:axId val="342343358"/>
      </c:barChart>
      <c:catAx>
        <c:axId val="68549324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2343358"/>
        <c:crosses val="autoZero"/>
        <c:auto val="1"/>
        <c:lblAlgn val="ctr"/>
        <c:lblOffset val="100"/>
        <c:noMultiLvlLbl val="0"/>
      </c:catAx>
      <c:valAx>
        <c:axId val="3423433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549324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6002132196162"/>
          <c:y val="0.0698283386674425"/>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一般公共财政拨款支出结构图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rgbClr val="00B050"/>
              </a:solidFill>
              <a:ln w="19050">
                <a:solidFill>
                  <a:schemeClr val="lt1"/>
                </a:solidFill>
              </a:ln>
              <a:effectLst/>
            </c:spPr>
          </c:dPt>
          <c:dLbls>
            <c:delete val="1"/>
          </c:dLbls>
          <c:cat>
            <c:strRef>
              <c:f>Sheet1!$A$2:$A$6</c:f>
              <c:strCache>
                <c:ptCount val="5"/>
                <c:pt idx="0">
                  <c:v>一般公共服务支出</c:v>
                </c:pt>
                <c:pt idx="1">
                  <c:v>社会保障和就业支出</c:v>
                </c:pt>
                <c:pt idx="2">
                  <c:v>文化旅游体育和传媒</c:v>
                </c:pt>
                <c:pt idx="3">
                  <c:v>住房保障支出</c:v>
                </c:pt>
                <c:pt idx="4">
                  <c:v>卫生健康支出</c:v>
                </c:pt>
              </c:strCache>
            </c:strRef>
          </c:cat>
          <c:val>
            <c:numRef>
              <c:f>Sheet1!$B$2:$B$6</c:f>
              <c:numCache>
                <c:formatCode>General</c:formatCode>
                <c:ptCount val="5"/>
                <c:pt idx="0">
                  <c:v>642.29</c:v>
                </c:pt>
                <c:pt idx="1">
                  <c:v>49.41</c:v>
                </c:pt>
                <c:pt idx="2">
                  <c:v>96.9</c:v>
                </c:pt>
                <c:pt idx="3">
                  <c:v>28.01</c:v>
                </c:pt>
                <c:pt idx="4">
                  <c:v>23.22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a:solidFill>
              <a:schemeClr val="bg1"/>
            </a:solidFill>
          </c:spPr>
          <c:explosion val="0"/>
          <c:dPt>
            <c:idx val="0"/>
            <c:bubble3D val="0"/>
            <c:spPr>
              <a:solidFill>
                <a:schemeClr val="bg1"/>
              </a:solidFill>
              <a:ln w="19050">
                <a:solidFill>
                  <a:schemeClr val="lt1"/>
                </a:solidFill>
              </a:ln>
              <a:effectLst/>
            </c:spPr>
          </c:dPt>
          <c:dPt>
            <c:idx val="1"/>
            <c:bubble3D val="0"/>
            <c:spPr>
              <a:gradFill>
                <a:gsLst>
                  <a:gs pos="0">
                    <a:srgbClr val="FE4444"/>
                  </a:gs>
                  <a:gs pos="100000">
                    <a:srgbClr val="832B2B"/>
                  </a:gs>
                </a:gsLst>
                <a:lin ang="5400000" scaled="0"/>
              </a:gradFill>
              <a:ln w="19050">
                <a:solidFill>
                  <a:schemeClr val="lt1"/>
                </a:solidFill>
              </a:ln>
              <a:effectLst/>
            </c:spPr>
          </c:dPt>
          <c:dPt>
            <c:idx val="2"/>
            <c:bubble3D val="0"/>
            <c:spPr>
              <a:gradFill>
                <a:gsLst>
                  <a:gs pos="0">
                    <a:srgbClr val="7B32B2"/>
                  </a:gs>
                  <a:gs pos="100000">
                    <a:srgbClr val="401A5D"/>
                  </a:gs>
                </a:gsLst>
                <a:lin ang="5400000" scaled="0"/>
              </a:gradFill>
              <a:ln w="19050">
                <a:solidFill>
                  <a:schemeClr val="lt1"/>
                </a:solidFill>
              </a:ln>
              <a:effectLst/>
            </c:spPr>
          </c:dPt>
          <c:dLbls>
            <c:delete val="1"/>
          </c:dLbls>
          <c:cat>
            <c:strRef>
              <c:f>Sheet1!$A$2:$A$4</c:f>
              <c:strCache>
                <c:ptCount val="3"/>
                <c:pt idx="0">
                  <c:v>因公出国</c:v>
                </c:pt>
                <c:pt idx="1">
                  <c:v>公务用车运行维护费</c:v>
                </c:pt>
                <c:pt idx="2">
                  <c:v>公务接待费</c:v>
                </c:pt>
              </c:strCache>
            </c:strRef>
          </c:cat>
          <c:val>
            <c:numRef>
              <c:f>Sheet1!$B$2:$B$4</c:f>
              <c:numCache>
                <c:formatCode>General</c:formatCode>
                <c:ptCount val="3"/>
                <c:pt idx="0">
                  <c:v>0</c:v>
                </c:pt>
                <c:pt idx="1">
                  <c:v>11.51</c:v>
                </c:pt>
                <c:pt idx="2">
                  <c:v>0.38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2023-11-02T06:48:00Z</cp:lastPrinted>
  <dcterms:modified xsi:type="dcterms:W3CDTF">2023-11-02T08:15:58Z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