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bookmarkStart w:id="56" w:name="_GoBack"/>
      <w:r>
        <w:rPr>
          <w:rStyle w:val="18"/>
          <w:rFonts w:hint="eastAsia" w:ascii="方正小标宋简体" w:hAnsi="方正小标宋简体" w:eastAsia="方正小标宋简体" w:cs="方正小标宋简体"/>
          <w:sz w:val="44"/>
          <w:szCs w:val="44"/>
          <w:shd w:val="clear" w:color="auto" w:fill="FFFFFF"/>
        </w:rPr>
        <w:t>202</w:t>
      </w:r>
      <w:r>
        <w:rPr>
          <w:rStyle w:val="18"/>
          <w:rFonts w:hint="eastAsia" w:ascii="方正小标宋简体" w:hAnsi="方正小标宋简体" w:eastAsia="方正小标宋简体" w:cs="方正小标宋简体"/>
          <w:sz w:val="44"/>
          <w:szCs w:val="44"/>
          <w:shd w:val="clear" w:color="auto" w:fill="FFFFFF"/>
          <w:lang w:val="en-US" w:eastAsia="zh-CN"/>
        </w:rPr>
        <w:t>1</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val="en-US" w:eastAsia="zh-CN"/>
        </w:rPr>
      </w:pPr>
      <w:r>
        <w:rPr>
          <w:rStyle w:val="18"/>
          <w:rFonts w:hint="eastAsia" w:ascii="方正小标宋简体" w:hAnsi="方正小标宋简体" w:eastAsia="方正小标宋简体" w:cs="方正小标宋简体"/>
          <w:sz w:val="44"/>
          <w:szCs w:val="44"/>
          <w:shd w:val="clear" w:color="auto" w:fill="FFFFFF"/>
          <w:lang w:val="en-US" w:eastAsia="zh-CN"/>
        </w:rPr>
        <w:t>中共阿坝州红原县委宣传部</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bookmarkEnd w:id="56"/>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5"/>
        <w:keepNext w:val="0"/>
        <w:keepLines w:val="0"/>
        <w:widowControl/>
        <w:suppressLineNumbers w:val="0"/>
        <w:ind w:left="0" w:right="75"/>
        <w:jc w:val="both"/>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5"/>
        <w:keepNext w:val="0"/>
        <w:keepLines w:val="0"/>
        <w:widowControl/>
        <w:suppressLineNumbers w:val="0"/>
        <w:ind w:left="0" w:right="75"/>
        <w:jc w:val="center"/>
      </w:pPr>
      <w:r>
        <w:rPr>
          <w:rStyle w:val="18"/>
          <w:sz w:val="30"/>
          <w:szCs w:val="30"/>
          <w:shd w:val="clear" w:color="auto" w:fill="FFFFFF"/>
        </w:rPr>
        <w:t>目 录</w:t>
      </w:r>
    </w:p>
    <w:p>
      <w:pPr>
        <w:pStyle w:val="15"/>
        <w:keepNext w:val="0"/>
        <w:keepLines w:val="0"/>
        <w:widowControl/>
        <w:suppressLineNumbers w:val="0"/>
        <w:ind w:left="0" w:right="75"/>
        <w:jc w:val="center"/>
        <w:rPr>
          <w:rFonts w:hint="eastAsia"/>
        </w:rPr>
      </w:pPr>
      <w:r>
        <w:rPr>
          <w:sz w:val="24"/>
          <w:szCs w:val="24"/>
          <w:shd w:val="clear" w:color="auto" w:fill="FFFFFF"/>
        </w:rPr>
        <w:t xml:space="preserve">公开时间：2021年 </w:t>
      </w:r>
      <w:r>
        <w:rPr>
          <w:rFonts w:hint="eastAsia"/>
          <w:sz w:val="24"/>
          <w:szCs w:val="24"/>
          <w:shd w:val="clear" w:color="auto" w:fill="FFFFFF"/>
          <w:lang w:val="en-US" w:eastAsia="zh-CN"/>
        </w:rPr>
        <w:t>12</w:t>
      </w:r>
      <w:r>
        <w:rPr>
          <w:sz w:val="24"/>
          <w:szCs w:val="24"/>
          <w:shd w:val="clear" w:color="auto" w:fill="FFFFFF"/>
        </w:rPr>
        <w:t>月</w:t>
      </w:r>
      <w:r>
        <w:rPr>
          <w:rFonts w:hint="eastAsia"/>
          <w:sz w:val="24"/>
          <w:szCs w:val="24"/>
          <w:shd w:val="clear" w:color="auto" w:fill="FFFFFF"/>
          <w:lang w:val="en-US" w:eastAsia="zh-CN"/>
        </w:rPr>
        <w:t>7</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16</w:t>
          </w:r>
        </w:p>
        <w:p>
          <w:pPr>
            <w:pStyle w:val="13"/>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19</w:t>
          </w:r>
        </w:p>
        <w:p>
          <w:pPr>
            <w:pStyle w:val="13"/>
            <w:tabs>
              <w:tab w:val="right" w:leader="dot" w:pos="8306"/>
              <w:tab w:val="clear" w:pos="8296"/>
            </w:tabs>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26</w:t>
          </w:r>
        </w:p>
        <w:p>
          <w:r>
            <w:rPr>
              <w:rFonts w:hint="eastAsia" w:ascii="仿宋_GB2312" w:hAnsi="仿宋_GB2312" w:eastAsia="仿宋_GB2312" w:cs="仿宋_GB2312"/>
              <w:sz w:val="30"/>
              <w:szCs w:val="30"/>
            </w:rPr>
            <w:fldChar w:fldCharType="end"/>
          </w:r>
        </w:p>
      </w:sdtContent>
    </w:sdt>
    <w:p>
      <w:pPr>
        <w:pStyle w:val="15"/>
        <w:keepNext w:val="0"/>
        <w:keepLines w:val="0"/>
        <w:widowControl/>
        <w:suppressLineNumbers w:val="0"/>
        <w:ind w:left="0" w:right="75"/>
        <w:jc w:val="center"/>
        <w:outlineLvl w:val="0"/>
        <w:rPr>
          <w:rFonts w:hint="eastAsia" w:ascii="黑体" w:hAnsi="黑体" w:eastAsia="黑体" w:cs="黑体"/>
          <w:sz w:val="44"/>
          <w:szCs w:val="44"/>
        </w:rPr>
      </w:pPr>
      <w:bookmarkStart w:id="0" w:name="_Toc27360"/>
      <w:r>
        <w:rPr>
          <w:rFonts w:hint="eastAsia" w:ascii="黑体" w:hAnsi="黑体" w:eastAsia="黑体" w:cs="黑体"/>
          <w:sz w:val="44"/>
          <w:szCs w:val="44"/>
          <w:shd w:val="clear" w:color="auto" w:fill="FFFFFF"/>
        </w:rPr>
        <w:t>第一部分 部门概况</w:t>
      </w:r>
      <w:bookmarkEnd w:id="0"/>
    </w:p>
    <w:p>
      <w:pPr>
        <w:pStyle w:val="15"/>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snapToGrid w:val="0"/>
        <w:spacing w:line="520"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．主要职能。</w:t>
      </w:r>
    </w:p>
    <w:p>
      <w:pPr>
        <w:pStyle w:val="9"/>
        <w:adjustRightInd w:val="0"/>
        <w:snapToGrid w:val="0"/>
        <w:spacing w:before="93" w:line="600" w:lineRule="exact"/>
        <w:ind w:firstLine="640" w:firstLineChars="200"/>
        <w:outlineLvl w:val="2"/>
        <w:rPr>
          <w:rFonts w:hint="eastAsia" w:ascii="仿宋_GB2312" w:hAnsi="仿宋_GB2312" w:eastAsia="仿宋_GB2312" w:cs="仿宋_GB2312"/>
          <w:bCs/>
          <w:sz w:val="32"/>
          <w:szCs w:val="32"/>
        </w:rPr>
      </w:pPr>
      <w:r>
        <w:rPr>
          <w:rFonts w:hint="eastAsia" w:hAnsi="仿宋_GB2312" w:cs="仿宋_GB2312"/>
          <w:bCs/>
          <w:sz w:val="32"/>
          <w:szCs w:val="32"/>
          <w:lang w:val="en-US" w:eastAsia="zh-CN"/>
        </w:rPr>
        <w:t>一是</w:t>
      </w:r>
      <w:r>
        <w:rPr>
          <w:rFonts w:hint="eastAsia" w:ascii="仿宋_GB2312" w:hAnsi="仿宋_GB2312" w:eastAsia="仿宋_GB2312" w:cs="仿宋_GB2312"/>
          <w:bCs/>
          <w:sz w:val="32"/>
          <w:szCs w:val="32"/>
        </w:rPr>
        <w:t>负责组织、指导全县的理论研究、理论学习和理论宣传工作。</w:t>
      </w:r>
      <w:r>
        <w:rPr>
          <w:rFonts w:hint="eastAsia" w:hAnsi="仿宋_GB2312" w:cs="仿宋_GB2312"/>
          <w:bCs/>
          <w:sz w:val="32"/>
          <w:szCs w:val="32"/>
          <w:lang w:val="en-US" w:eastAsia="zh-CN"/>
        </w:rPr>
        <w:t>二是</w:t>
      </w:r>
      <w:r>
        <w:rPr>
          <w:rFonts w:hint="eastAsia" w:ascii="仿宋_GB2312" w:hAnsi="仿宋_GB2312" w:eastAsia="仿宋_GB2312" w:cs="仿宋_GB2312"/>
          <w:bCs/>
          <w:sz w:val="32"/>
          <w:szCs w:val="32"/>
        </w:rPr>
        <w:t>负责引导社会舆论，指导协调新闻、出版部门的工作。对县广播电视局、县文化体育局、县新闻出版工作实施方案方针政策指导，管理县记者协会，并在政治方向和方针政策方面实施领导。</w:t>
      </w:r>
      <w:r>
        <w:rPr>
          <w:rFonts w:hint="eastAsia" w:hAnsi="仿宋_GB2312" w:cs="仿宋_GB2312"/>
          <w:bCs/>
          <w:sz w:val="32"/>
          <w:szCs w:val="32"/>
          <w:lang w:val="en-US" w:eastAsia="zh-CN"/>
        </w:rPr>
        <w:t>三是</w:t>
      </w:r>
      <w:r>
        <w:rPr>
          <w:rFonts w:hint="eastAsia" w:ascii="仿宋_GB2312" w:hAnsi="仿宋_GB2312" w:eastAsia="仿宋_GB2312" w:cs="仿宋_GB2312"/>
          <w:bCs/>
          <w:sz w:val="32"/>
          <w:szCs w:val="32"/>
        </w:rPr>
        <w:t>负责规划、部署全局性的思想政治工作任务，会同有关部门研究和改进群众思想教育工作。</w:t>
      </w:r>
      <w:r>
        <w:rPr>
          <w:rFonts w:hint="eastAsia" w:hAnsi="仿宋_GB2312" w:cs="仿宋_GB2312"/>
          <w:bCs/>
          <w:sz w:val="32"/>
          <w:szCs w:val="32"/>
          <w:lang w:val="en-US" w:eastAsia="zh-CN"/>
        </w:rPr>
        <w:t>四是</w:t>
      </w:r>
      <w:r>
        <w:rPr>
          <w:rFonts w:hint="eastAsia" w:ascii="仿宋_GB2312" w:hAnsi="仿宋_GB2312" w:eastAsia="仿宋_GB2312" w:cs="仿宋_GB2312"/>
          <w:bCs/>
          <w:sz w:val="32"/>
          <w:szCs w:val="32"/>
        </w:rPr>
        <w:t>负责指导、协调全县精神文明建设活动的开展。</w:t>
      </w:r>
      <w:r>
        <w:rPr>
          <w:rFonts w:hint="eastAsia" w:hAnsi="仿宋_GB2312" w:cs="仿宋_GB2312"/>
          <w:bCs/>
          <w:sz w:val="32"/>
          <w:szCs w:val="32"/>
          <w:lang w:val="en-US" w:eastAsia="zh-CN"/>
        </w:rPr>
        <w:t>五是</w:t>
      </w:r>
      <w:r>
        <w:rPr>
          <w:rFonts w:hint="eastAsia" w:ascii="仿宋_GB2312" w:hAnsi="仿宋_GB2312" w:eastAsia="仿宋_GB2312" w:cs="仿宋_GB2312"/>
          <w:bCs/>
          <w:sz w:val="32"/>
          <w:szCs w:val="32"/>
        </w:rPr>
        <w:t>配合县委组织部做好党员教育工作；负责编审党员教育教材；指导全县党员学习。</w:t>
      </w:r>
      <w:r>
        <w:rPr>
          <w:rFonts w:hint="eastAsia" w:hAnsi="仿宋_GB2312" w:cs="仿宋_GB2312"/>
          <w:bCs/>
          <w:sz w:val="32"/>
          <w:szCs w:val="32"/>
          <w:lang w:val="en-US" w:eastAsia="zh-CN"/>
        </w:rPr>
        <w:t>六是</w:t>
      </w:r>
      <w:r>
        <w:rPr>
          <w:rFonts w:hint="eastAsia" w:ascii="仿宋_GB2312" w:hAnsi="仿宋_GB2312" w:eastAsia="仿宋_GB2312" w:cs="仿宋_GB2312"/>
          <w:bCs/>
          <w:sz w:val="32"/>
          <w:szCs w:val="32"/>
        </w:rPr>
        <w:t>负责从宏观上指导全县各级各类学校的德育、政治理论教学和思想政治工作。</w:t>
      </w:r>
      <w:r>
        <w:rPr>
          <w:rFonts w:hint="eastAsia" w:hAnsi="仿宋_GB2312" w:cs="仿宋_GB2312"/>
          <w:bCs/>
          <w:sz w:val="32"/>
          <w:szCs w:val="32"/>
          <w:lang w:val="en-US" w:eastAsia="zh-CN"/>
        </w:rPr>
        <w:t>七是</w:t>
      </w:r>
      <w:r>
        <w:rPr>
          <w:rFonts w:hint="eastAsia" w:ascii="仿宋_GB2312" w:hAnsi="仿宋_GB2312" w:eastAsia="仿宋_GB2312" w:cs="仿宋_GB2312"/>
          <w:bCs/>
          <w:sz w:val="32"/>
          <w:szCs w:val="32"/>
        </w:rPr>
        <w:t>负责全县对外和港澳台的宣传工作；指导协调全县对外文化交流工作。</w:t>
      </w:r>
      <w:r>
        <w:rPr>
          <w:rFonts w:hint="eastAsia" w:hAnsi="仿宋_GB2312" w:cs="仿宋_GB2312"/>
          <w:bCs/>
          <w:sz w:val="32"/>
          <w:szCs w:val="32"/>
          <w:lang w:val="en-US" w:eastAsia="zh-CN"/>
        </w:rPr>
        <w:t>八是</w:t>
      </w:r>
      <w:r>
        <w:rPr>
          <w:rFonts w:hint="eastAsia" w:ascii="仿宋_GB2312" w:hAnsi="仿宋_GB2312" w:eastAsia="仿宋_GB2312" w:cs="仿宋_GB2312"/>
          <w:bCs/>
          <w:sz w:val="32"/>
          <w:szCs w:val="32"/>
        </w:rPr>
        <w:t>受县委委托，会同县委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r>
        <w:rPr>
          <w:rFonts w:hint="eastAsia" w:hAnsi="仿宋_GB2312" w:cs="仿宋_GB2312"/>
          <w:bCs/>
          <w:sz w:val="32"/>
          <w:szCs w:val="32"/>
          <w:lang w:val="en-US" w:eastAsia="zh-CN"/>
        </w:rPr>
        <w:t>九是</w:t>
      </w:r>
      <w:r>
        <w:rPr>
          <w:rFonts w:hint="eastAsia" w:ascii="仿宋_GB2312" w:hAnsi="仿宋_GB2312" w:eastAsia="仿宋_GB2312" w:cs="仿宋_GB2312"/>
          <w:bCs/>
          <w:sz w:val="32"/>
          <w:szCs w:val="32"/>
        </w:rPr>
        <w:t>负责提出全县宣传文化事业发展的指导方针；指导宣传文化系统制定政策、法规；按照县委的工作部署，对宣传文化系统各部门之间的工作进行协调。</w:t>
      </w:r>
      <w:r>
        <w:rPr>
          <w:rFonts w:hint="eastAsia" w:hAnsi="仿宋_GB2312" w:cs="仿宋_GB2312"/>
          <w:bCs/>
          <w:sz w:val="32"/>
          <w:szCs w:val="32"/>
          <w:lang w:val="en-US" w:eastAsia="zh-CN"/>
        </w:rPr>
        <w:t>十是</w:t>
      </w:r>
      <w:r>
        <w:rPr>
          <w:rFonts w:hint="eastAsia" w:ascii="仿宋_GB2312" w:hAnsi="仿宋_GB2312" w:eastAsia="仿宋_GB2312" w:cs="仿宋_GB2312"/>
          <w:bCs/>
          <w:sz w:val="32"/>
          <w:szCs w:val="32"/>
        </w:rPr>
        <w:t>根据州，县宣传报道要点，组织采写稿件，并向《阿坝日报》、《四川日报》等各级办刊推荐。</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1</w:t>
      </w:r>
      <w:r>
        <w:rPr>
          <w:rFonts w:hint="eastAsia" w:ascii="楷体_GB2312" w:hAnsi="楷体_GB2312" w:eastAsia="楷体_GB2312" w:cs="楷体_GB2312"/>
          <w:b/>
          <w:bCs/>
          <w:sz w:val="32"/>
          <w:szCs w:val="32"/>
          <w:shd w:val="clear" w:color="auto" w:fill="FFFFFF"/>
        </w:rPr>
        <w:t>年重点工作完成情况。</w:t>
      </w:r>
    </w:p>
    <w:p>
      <w:pPr>
        <w:pStyle w:val="9"/>
        <w:adjustRightInd w:val="0"/>
        <w:snapToGrid w:val="0"/>
        <w:spacing w:before="93" w:line="600" w:lineRule="exact"/>
        <w:ind w:firstLine="674" w:firstLineChars="210"/>
        <w:outlineLvl w:val="2"/>
        <w:rPr>
          <w:rFonts w:hint="eastAsia" w:ascii="仿宋" w:hAnsi="仿宋" w:eastAsia="仿宋"/>
          <w:bCs/>
          <w:color w:val="000000"/>
          <w:sz w:val="32"/>
          <w:szCs w:val="32"/>
        </w:rPr>
      </w:pPr>
      <w:bookmarkStart w:id="2" w:name="_Toc10295"/>
      <w:r>
        <w:rPr>
          <w:rFonts w:hint="eastAsia" w:ascii="仿宋" w:hAnsi="仿宋" w:eastAsia="仿宋"/>
          <w:b/>
          <w:bCs w:val="0"/>
          <w:color w:val="000000"/>
          <w:sz w:val="32"/>
          <w:szCs w:val="32"/>
          <w:lang w:val="en-US" w:eastAsia="zh-CN"/>
        </w:rPr>
        <w:t>一是</w:t>
      </w:r>
      <w:r>
        <w:rPr>
          <w:rFonts w:hint="eastAsia" w:ascii="仿宋" w:hAnsi="仿宋" w:eastAsia="仿宋"/>
          <w:b/>
          <w:bCs w:val="0"/>
          <w:color w:val="000000"/>
          <w:sz w:val="32"/>
          <w:szCs w:val="32"/>
        </w:rPr>
        <w:t>理论宣教有力有效</w:t>
      </w:r>
      <w:r>
        <w:rPr>
          <w:rFonts w:hint="eastAsia" w:ascii="仿宋" w:hAnsi="仿宋" w:eastAsia="仿宋"/>
          <w:bCs/>
          <w:color w:val="000000"/>
          <w:sz w:val="32"/>
          <w:szCs w:val="32"/>
        </w:rPr>
        <w:t>。加强中心组学习，印发《党委（党组）中心组理论学习安排意见》。结合党史学习教育，采取干部、专家、群众、网络相结合的方式，深入开展习近平新时代中国特色社会主义思想，十九大及十九届历次全会精神及省州县党代会精神的学习宣传。充分发挥党政宣讲团、姐妹宣讲团、马背宣讲团作用，创新开展“党员坝坝会”“读书分享会”“送书上门.送学到家”活动，不断拓宽基层理论宣传学习覆盖面。今年，召开县委理论学习中心组专题学习会12次，开展各类宣讲130余场次，受教育群众僧尼达3.6万人次。</w:t>
      </w:r>
    </w:p>
    <w:p>
      <w:pPr>
        <w:pStyle w:val="9"/>
        <w:adjustRightInd w:val="0"/>
        <w:snapToGrid w:val="0"/>
        <w:spacing w:before="93" w:line="600" w:lineRule="exact"/>
        <w:ind w:firstLine="674" w:firstLineChars="210"/>
        <w:outlineLvl w:val="2"/>
        <w:rPr>
          <w:rFonts w:hint="eastAsia" w:ascii="仿宋" w:hAnsi="仿宋" w:eastAsia="仿宋"/>
          <w:bCs/>
          <w:color w:val="000000"/>
          <w:sz w:val="32"/>
          <w:szCs w:val="32"/>
        </w:rPr>
      </w:pPr>
      <w:r>
        <w:rPr>
          <w:rFonts w:hint="eastAsia" w:ascii="仿宋" w:hAnsi="仿宋" w:eastAsia="仿宋"/>
          <w:b/>
          <w:bCs w:val="0"/>
          <w:color w:val="000000"/>
          <w:sz w:val="32"/>
          <w:szCs w:val="32"/>
          <w:lang w:val="en-US" w:eastAsia="zh-CN"/>
        </w:rPr>
        <w:t>二是</w:t>
      </w:r>
      <w:r>
        <w:rPr>
          <w:rFonts w:hint="eastAsia" w:ascii="仿宋" w:hAnsi="仿宋" w:eastAsia="仿宋"/>
          <w:b/>
          <w:bCs w:val="0"/>
          <w:color w:val="000000"/>
          <w:sz w:val="32"/>
          <w:szCs w:val="32"/>
        </w:rPr>
        <w:t>内外宣传有声有色</w:t>
      </w:r>
      <w:r>
        <w:rPr>
          <w:rFonts w:hint="eastAsia" w:ascii="仿宋" w:hAnsi="仿宋" w:eastAsia="仿宋"/>
          <w:bCs/>
          <w:color w:val="000000"/>
          <w:sz w:val="32"/>
          <w:szCs w:val="32"/>
        </w:rPr>
        <w:t>。紧紧围绕县委、县政府的中心工作和重大活动，聚焦“生态、发展、民生、稳定、作风”五个关键，强化五项保障，抓好五个工程，干成五件大事、强化五项保障，扎实有效开展内外宣传工作。协助做好《藏觅》《穿越百年》《长征组歌》等拍摄采访工作，借助网络名人深入开展“喜迎建党100周年-全国知名网络作家阿坝行”、浙江永嘉-红原“时光里的红色故事”主题直播活动。设计制作宣传公益公告120余幅，发放疫情防控、森林草原防灭火等密切联系群众、重点民生时事宣传资料4万余份。在中央、省级媒体发布各类稿件180余篇，州级媒体刊播各类稿件486条次；上传央视及省、州电视媒体共1012条视频新闻，其中，红原县现代草原畜牧产业发展新闻稿件在中央电视台“走进乡村看小康”栏目、新闻联播等栏目展播时长共计10:09秒，较好的发挥了宣传思想引领作用。</w:t>
      </w:r>
    </w:p>
    <w:p>
      <w:pPr>
        <w:pStyle w:val="9"/>
        <w:adjustRightInd w:val="0"/>
        <w:snapToGrid w:val="0"/>
        <w:spacing w:before="93" w:line="600" w:lineRule="exact"/>
        <w:ind w:firstLine="674" w:firstLineChars="210"/>
        <w:outlineLvl w:val="2"/>
        <w:rPr>
          <w:rFonts w:hint="eastAsia" w:ascii="仿宋" w:hAnsi="仿宋" w:eastAsia="仿宋"/>
          <w:bCs/>
          <w:color w:val="000000"/>
          <w:sz w:val="32"/>
          <w:szCs w:val="32"/>
        </w:rPr>
      </w:pPr>
      <w:r>
        <w:rPr>
          <w:rFonts w:hint="eastAsia" w:ascii="仿宋" w:hAnsi="仿宋" w:eastAsia="仿宋"/>
          <w:b/>
          <w:bCs w:val="0"/>
          <w:color w:val="000000"/>
          <w:sz w:val="32"/>
          <w:szCs w:val="32"/>
          <w:lang w:val="en-US" w:eastAsia="zh-CN"/>
        </w:rPr>
        <w:t>三是</w:t>
      </w:r>
      <w:r>
        <w:rPr>
          <w:rFonts w:hint="eastAsia" w:ascii="仿宋" w:hAnsi="仿宋" w:eastAsia="仿宋"/>
          <w:b/>
          <w:bCs w:val="0"/>
          <w:color w:val="000000"/>
          <w:sz w:val="32"/>
          <w:szCs w:val="32"/>
        </w:rPr>
        <w:t>意识形态有效监管</w:t>
      </w:r>
      <w:r>
        <w:rPr>
          <w:rFonts w:hint="eastAsia" w:ascii="仿宋" w:hAnsi="仿宋" w:eastAsia="仿宋"/>
          <w:bCs/>
          <w:color w:val="000000"/>
          <w:sz w:val="32"/>
          <w:szCs w:val="32"/>
        </w:rPr>
        <w:t>。认真贯彻落实意识形态领域工作责任制，定期召开意识形态工作领导小组会议和联席会议，向上级及县委报告意识形态工作，通报意识形态情况。加强对新闻出版、印刷复印、电影放映等市场监管，深入开展“扫黄打非”专项行动，依法管理网络空间和“两微一端”，旗帜鲜明开展涉藏网上舆论斗争，做好了疫情防控、全国“两会”、党代会等重点时段的涉红舆情监控，做强做亮网上正面宣传，让党的主张成为网上最强音。今年，县委常委会专题研究意识形态工作2次，县委听取专题汇报2次，开展县级专项督查2次。召开县委网信委会议1次，撰写网评文章300余篇，报送境内外热点舆情600余期，涉红舆情10期，召开“扫黄打非”工作联席会议2次，开展文化市场执法检查4次。</w:t>
      </w:r>
    </w:p>
    <w:p>
      <w:pPr>
        <w:pStyle w:val="9"/>
        <w:adjustRightInd w:val="0"/>
        <w:snapToGrid w:val="0"/>
        <w:spacing w:before="93" w:line="600" w:lineRule="exact"/>
        <w:ind w:firstLine="674" w:firstLineChars="210"/>
        <w:outlineLvl w:val="2"/>
        <w:rPr>
          <w:rFonts w:hint="eastAsia" w:ascii="仿宋" w:hAnsi="仿宋" w:eastAsia="仿宋"/>
          <w:bCs/>
          <w:color w:val="000000"/>
          <w:sz w:val="32"/>
          <w:szCs w:val="32"/>
        </w:rPr>
      </w:pPr>
      <w:r>
        <w:rPr>
          <w:rFonts w:hint="eastAsia" w:ascii="仿宋" w:hAnsi="仿宋" w:eastAsia="仿宋"/>
          <w:b/>
          <w:bCs w:val="0"/>
          <w:color w:val="000000"/>
          <w:sz w:val="32"/>
          <w:szCs w:val="32"/>
          <w:lang w:val="en-US" w:eastAsia="zh-CN"/>
        </w:rPr>
        <w:t>四是</w:t>
      </w:r>
      <w:r>
        <w:rPr>
          <w:rFonts w:hint="eastAsia" w:ascii="仿宋" w:hAnsi="仿宋" w:eastAsia="仿宋"/>
          <w:b/>
          <w:bCs w:val="0"/>
          <w:color w:val="000000"/>
          <w:sz w:val="32"/>
          <w:szCs w:val="32"/>
        </w:rPr>
        <w:t>精神文明持续深入。</w:t>
      </w:r>
      <w:r>
        <w:rPr>
          <w:rFonts w:hint="eastAsia" w:ascii="仿宋" w:hAnsi="仿宋" w:eastAsia="仿宋"/>
          <w:bCs/>
          <w:color w:val="000000"/>
          <w:sz w:val="32"/>
          <w:szCs w:val="32"/>
        </w:rPr>
        <w:t>统筹做好四川省第六届文明城市复核迎检工作，做好新一届州级文明单位、村镇、校园、家庭创建评选推荐活动和历届州级文明单位、村镇、校园、家庭的复查工作。深化新时代文明实践中心建设，在全县建设10个新时代文明实践所（站）。积极做好第三届“敬信勤新”红原新民风颁奖典礼筹备工作。广泛开展“红原好人”“最美家庭”等评选活动，向州级及以上推荐“最美少年”2人，“最美家庭”2户，涌现出“中国好人”“四川好人”“感动阿坝年度人物”获得者罗建国及“感动阿坝年度人物”获得者阿真能周。配合做好阿真能周先进事迹报告团走进红原县宣讲活动。组织开展“学党史颂党恩·启航新征程”主题演讲和全民阅读日、“世界读书日”活动。以志愿服务引领文明新风尚，指导各中小学校、幼儿园深入开展建党100周年系列活动，引导青少年学党史、铭党恩。</w:t>
      </w:r>
    </w:p>
    <w:p>
      <w:pPr>
        <w:pStyle w:val="9"/>
        <w:adjustRightInd w:val="0"/>
        <w:snapToGrid w:val="0"/>
        <w:spacing w:before="93" w:line="600" w:lineRule="exact"/>
        <w:ind w:firstLine="674" w:firstLineChars="210"/>
        <w:outlineLvl w:val="2"/>
        <w:rPr>
          <w:rFonts w:hint="eastAsia" w:ascii="仿宋" w:hAnsi="仿宋" w:eastAsia="仿宋"/>
          <w:bCs/>
          <w:color w:val="000000"/>
          <w:sz w:val="32"/>
          <w:szCs w:val="32"/>
        </w:rPr>
      </w:pPr>
      <w:r>
        <w:rPr>
          <w:rFonts w:hint="eastAsia" w:ascii="仿宋" w:hAnsi="仿宋" w:eastAsia="仿宋"/>
          <w:b/>
          <w:bCs w:val="0"/>
          <w:color w:val="000000"/>
          <w:sz w:val="32"/>
          <w:szCs w:val="32"/>
          <w:lang w:val="en-US" w:eastAsia="zh-CN"/>
        </w:rPr>
        <w:t>五是</w:t>
      </w:r>
      <w:r>
        <w:rPr>
          <w:rFonts w:hint="eastAsia" w:ascii="仿宋" w:hAnsi="仿宋" w:eastAsia="仿宋"/>
          <w:b/>
          <w:bCs w:val="0"/>
          <w:color w:val="000000"/>
          <w:sz w:val="32"/>
          <w:szCs w:val="32"/>
        </w:rPr>
        <w:t>文旅事业繁荣发展。</w:t>
      </w:r>
      <w:r>
        <w:rPr>
          <w:rFonts w:hint="eastAsia" w:ascii="仿宋" w:hAnsi="仿宋" w:eastAsia="仿宋"/>
          <w:bCs/>
          <w:color w:val="000000"/>
          <w:sz w:val="32"/>
          <w:szCs w:val="32"/>
        </w:rPr>
        <w:t>扎实做好两项改革“后半篇”文章，协助开展全州送文化科技卫生“三下乡”暨法律政策宣讲活动到龙日镇、色地镇活动。开展红原县第四届“爱·红原”摄影大赛。完成《红柳》2021年2期制作出版工作。与四川省民族文化影像艺术协会联合组织摄影和文学爱好者开展“乡村振兴+红色文化+民俗风情”摄影采风创作交流活动。完成县城太平洋影院供暖改造并于5月31日重新开业；播放农村公益电影427场次。开展“学党史、感党恩、增团结、促和谐”——红原县民族团结进步暨建党100周年群众文化季开幕式暨“立足岗位、创先争优、建功三地两心一时代”安多锅庄比赛暨“五一”国际劳动节系列活动。有效推进长征国家文化公园建设和长征革命文物保护利用片区工作，积极开展非物质文化遗产项目及传承人队伍建设申报工作。完成文物保护及非遗项目调查整理工作。优质高效承办全州文旅大会、高标准完成第九届牦牛文化节庆活动、有力推进第五届雅克音乐季的筹备工作，有效推动“音乐+”文化旅游融合发展。</w:t>
      </w:r>
    </w:p>
    <w:p>
      <w:pPr>
        <w:pStyle w:val="15"/>
        <w:keepNext w:val="0"/>
        <w:keepLines w:val="0"/>
        <w:widowControl/>
        <w:numPr>
          <w:ilvl w:val="0"/>
          <w:numId w:val="1"/>
        </w:numPr>
        <w:suppressLineNumbers w:val="0"/>
        <w:ind w:left="0" w:right="75"/>
        <w:outlineLvl w:val="1"/>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机构设置</w:t>
      </w:r>
      <w:bookmarkEnd w:id="2"/>
      <w:bookmarkStart w:id="3" w:name="_Toc6796"/>
    </w:p>
    <w:p>
      <w:pPr>
        <w:pStyle w:val="15"/>
        <w:keepNext w:val="0"/>
        <w:keepLines w:val="0"/>
        <w:widowControl/>
        <w:numPr>
          <w:ilvl w:val="0"/>
          <w:numId w:val="0"/>
        </w:numPr>
        <w:suppressLineNumbers w:val="0"/>
        <w:ind w:right="75" w:rightChars="0" w:firstLine="640" w:firstLineChars="200"/>
        <w:outlineLvl w:val="1"/>
        <w:rPr>
          <w:rFonts w:hint="eastAsia" w:ascii="仿宋" w:hAnsi="仿宋" w:eastAsia="仿宋" w:cs="Times New Roman"/>
          <w:b w:val="0"/>
          <w:bCs/>
          <w:color w:val="000000"/>
          <w:kern w:val="0"/>
          <w:sz w:val="32"/>
          <w:szCs w:val="32"/>
          <w:lang w:val="en-US" w:eastAsia="zh-CN" w:bidi="ar-SA"/>
        </w:rPr>
      </w:pPr>
      <w:r>
        <w:rPr>
          <w:rFonts w:hint="eastAsia" w:ascii="仿宋" w:hAnsi="仿宋" w:eastAsia="仿宋" w:cs="Times New Roman"/>
          <w:b w:val="0"/>
          <w:bCs/>
          <w:color w:val="000000"/>
          <w:kern w:val="0"/>
          <w:sz w:val="32"/>
          <w:szCs w:val="32"/>
          <w:lang w:val="en-US" w:eastAsia="zh-CN" w:bidi="ar-SA"/>
        </w:rPr>
        <w:t>我单位为独立核算全额拨款行政单位，下设1机构。截止2021年底我单位共有编制16个，其中公务员编制8个，行政工勤编制1个，事业编制7个，在职16人，其中参公0人，公务员8人，行政工勤编制1个，事业编制7人。宣传部下属二级单位1个，其中行政单位个，参照公务员法管理的事业单位0个，其他事业单位1个。纳入宣传部2021年度部门决算编制范围的二级预算单位包括：红原县宣传部互联网信息办公室</w:t>
      </w:r>
    </w:p>
    <w:p>
      <w:pPr>
        <w:pStyle w:val="15"/>
        <w:keepNext w:val="0"/>
        <w:keepLines w:val="0"/>
        <w:widowControl/>
        <w:suppressLineNumbers w:val="0"/>
        <w:ind w:right="75" w:firstLine="880" w:firstLineChars="200"/>
        <w:jc w:val="both"/>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1</w:t>
      </w:r>
      <w:r>
        <w:rPr>
          <w:rFonts w:hint="eastAsia" w:ascii="黑体" w:hAnsi="黑体" w:eastAsia="黑体" w:cs="黑体"/>
          <w:sz w:val="44"/>
          <w:szCs w:val="44"/>
          <w:shd w:val="clear" w:color="auto" w:fill="FFFFFF"/>
        </w:rPr>
        <w:t>年度部门决算情况说明</w:t>
      </w:r>
      <w:bookmarkEnd w:id="3"/>
    </w:p>
    <w:p>
      <w:pPr>
        <w:pStyle w:val="15"/>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5"/>
        <w:keepNext w:val="0"/>
        <w:keepLines w:val="0"/>
        <w:widowControl/>
        <w:suppressLineNumbers w:val="0"/>
        <w:ind w:left="0" w:right="75" w:firstLine="640" w:firstLineChars="200"/>
        <w:outlineLvl w:val="1"/>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549.49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572.08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减少120.94</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下降18</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减少212.78万元，下降27%</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lang w:eastAsia="zh-CN"/>
        </w:rPr>
        <w:t>。</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8"/>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Start w:id="5" w:name="_Toc21346"/>
    </w:p>
    <w:p>
      <w:pPr>
        <w:pStyle w:val="8"/>
        <w:rPr>
          <w:rFonts w:hint="eastAsia" w:ascii="黑体" w:hAnsi="黑体" w:eastAsia="黑体" w:cs="黑体"/>
          <w:sz w:val="32"/>
          <w:szCs w:val="32"/>
          <w:shd w:val="clear" w:color="auto" w:fill="FFFFFF"/>
          <w:lang w:eastAsia="zh-CN"/>
        </w:rPr>
      </w:pPr>
    </w:p>
    <w:p>
      <w:pPr>
        <w:pStyle w:val="8"/>
        <w:rPr>
          <w:rFonts w:hint="eastAsia" w:ascii="仿宋" w:hAnsi="仿宋" w:eastAsia="仿宋"/>
          <w:b/>
          <w:bCs/>
          <w:color w:val="000000"/>
          <w:sz w:val="32"/>
          <w:szCs w:val="32"/>
          <w:lang w:eastAsia="zh-CN"/>
        </w:rPr>
      </w:pPr>
      <w:r>
        <w:rPr>
          <w:rFonts w:hint="eastAsia" w:ascii="黑体" w:hAnsi="黑体" w:eastAsia="黑体" w:cs="黑体"/>
          <w:b/>
          <w:bCs/>
          <w:sz w:val="32"/>
          <w:szCs w:val="32"/>
          <w:shd w:val="clear" w:color="auto" w:fill="FFFFFF"/>
          <w:lang w:val="en-US" w:eastAsia="zh-CN"/>
        </w:rPr>
        <w:t>二、</w:t>
      </w:r>
      <w:r>
        <w:rPr>
          <w:rFonts w:hint="eastAsia" w:ascii="黑体" w:hAnsi="黑体" w:eastAsia="黑体" w:cs="黑体"/>
          <w:b/>
          <w:bCs/>
          <w:sz w:val="32"/>
          <w:szCs w:val="32"/>
          <w:shd w:val="clear" w:color="auto" w:fill="FFFFFF"/>
        </w:rPr>
        <w:t>收入决算情况说明</w:t>
      </w:r>
      <w:bookmarkEnd w:id="5"/>
    </w:p>
    <w:p>
      <w:pPr>
        <w:spacing w:line="600" w:lineRule="exact"/>
        <w:ind w:firstLine="640" w:firstLineChars="200"/>
        <w:outlineLvl w:val="1"/>
        <w:rPr>
          <w:rFonts w:hint="default" w:ascii="仿宋" w:hAnsi="仿宋" w:eastAsia="仿宋"/>
          <w:color w:val="000000"/>
          <w:sz w:val="32"/>
          <w:szCs w:val="32"/>
          <w:lang w:val="en-US" w:eastAsia="zh-CN"/>
        </w:rPr>
      </w:pPr>
      <w:bookmarkStart w:id="6" w:name="_Toc16403"/>
      <w:bookmarkStart w:id="7" w:name="_Toc29935"/>
      <w:bookmarkStart w:id="8" w:name="_Toc12789"/>
      <w:bookmarkStart w:id="9" w:name="_Toc1820"/>
      <w:bookmarkStart w:id="10" w:name="_Toc21019"/>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549.49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549.49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6"/>
      <w:bookmarkEnd w:id="7"/>
      <w:bookmarkEnd w:id="8"/>
      <w:bookmarkEnd w:id="9"/>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ind w:left="420" w:leftChars="200" w:firstLine="0" w:firstLineChars="0"/>
        <w:rPr>
          <w:rFonts w:ascii="仿宋_GB2312" w:eastAsia="仿宋_GB2312"/>
          <w:color w:val="FF0000"/>
          <w:sz w:val="32"/>
          <w:szCs w:val="32"/>
        </w:rPr>
      </w:pPr>
      <w:r>
        <w:drawing>
          <wp:inline distT="0" distB="0" distL="114300" distR="114300">
            <wp:extent cx="4542790" cy="2351405"/>
            <wp:effectExtent l="4445" t="4445" r="5715" b="6350"/>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5"/>
        <w:keepNext w:val="0"/>
        <w:keepLines w:val="0"/>
        <w:widowControl/>
        <w:numPr>
          <w:ilvl w:val="0"/>
          <w:numId w:val="2"/>
        </w:numPr>
        <w:suppressLineNumbers w:val="0"/>
        <w:shd w:val="clear" w:color="auto" w:fill="auto"/>
        <w:ind w:left="0" w:leftChars="0" w:right="75" w:firstLine="0" w:firstLineChars="0"/>
        <w:jc w:val="left"/>
        <w:outlineLvl w:val="1"/>
        <w:rPr>
          <w:rFonts w:ascii="仿宋" w:hAnsi="仿宋" w:eastAsia="仿宋"/>
          <w:color w:val="000000"/>
          <w:sz w:val="32"/>
          <w:szCs w:val="32"/>
        </w:rPr>
      </w:pPr>
      <w:r>
        <w:rPr>
          <w:rFonts w:hint="eastAsia" w:ascii="黑体" w:hAnsi="黑体" w:eastAsia="黑体" w:cs="黑体"/>
          <w:sz w:val="32"/>
          <w:szCs w:val="32"/>
          <w:shd w:val="clear" w:color="auto" w:fill="FFFFFF"/>
        </w:rPr>
        <w:t>支出决算情况说明</w:t>
      </w:r>
      <w:bookmarkEnd w:id="10"/>
      <w:bookmarkStart w:id="11" w:name="_Toc9663"/>
      <w:bookmarkStart w:id="12" w:name="_Toc31017"/>
      <w:bookmarkStart w:id="13" w:name="_Toc30411"/>
    </w:p>
    <w:p>
      <w:pPr>
        <w:pStyle w:val="15"/>
        <w:keepNext w:val="0"/>
        <w:keepLines w:val="0"/>
        <w:widowControl/>
        <w:numPr>
          <w:ilvl w:val="0"/>
          <w:numId w:val="0"/>
        </w:numPr>
        <w:suppressLineNumbers w:val="0"/>
        <w:shd w:val="clear" w:color="auto" w:fill="auto"/>
        <w:ind w:leftChars="0" w:right="75" w:rightChars="0" w:firstLine="640" w:firstLineChars="200"/>
        <w:jc w:val="left"/>
        <w:outlineLvl w:val="1"/>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572.08</w:t>
      </w:r>
      <w:r>
        <w:rPr>
          <w:rFonts w:hint="eastAsia" w:ascii="仿宋" w:hAnsi="仿宋" w:eastAsia="仿宋"/>
          <w:color w:val="000000"/>
          <w:sz w:val="32"/>
          <w:szCs w:val="32"/>
        </w:rPr>
        <w:t>万元，基本支出377.43万元，65.98%；项目支出</w:t>
      </w:r>
      <w:r>
        <w:rPr>
          <w:rFonts w:hint="eastAsia" w:ascii="仿宋" w:hAnsi="仿宋" w:eastAsia="仿宋"/>
          <w:color w:val="000000"/>
          <w:sz w:val="32"/>
          <w:szCs w:val="32"/>
          <w:lang w:val="en-US" w:eastAsia="zh-CN"/>
        </w:rPr>
        <w:t>194.65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34.02</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11"/>
      <w:bookmarkEnd w:id="12"/>
      <w:bookmarkEnd w:id="13"/>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rPr>
          <w:rFonts w:hint="eastAsia" w:ascii="黑体" w:hAnsi="黑体" w:eastAsia="黑体" w:cs="黑体"/>
          <w:sz w:val="32"/>
          <w:szCs w:val="32"/>
          <w:shd w:val="clear" w:color="auto" w:fill="FFFFFF"/>
        </w:rPr>
      </w:pPr>
      <w:r>
        <w:rPr>
          <w:rFonts w:hint="eastAsia" w:ascii="黑体" w:hAnsi="黑体" w:eastAsia="黑体" w:cs="黑体"/>
          <w:b/>
          <w:bCs/>
          <w:color w:val="000000"/>
          <w:sz w:val="32"/>
          <w:szCs w:val="32"/>
          <w:lang w:eastAsia="zh-CN"/>
        </w:rPr>
        <w:drawing>
          <wp:anchor distT="0" distB="0" distL="114300" distR="114300" simplePos="0" relativeHeight="251669504" behindDoc="1" locked="0" layoutInCell="1" allowOverlap="1">
            <wp:simplePos x="0" y="0"/>
            <wp:positionH relativeFrom="column">
              <wp:posOffset>-71755</wp:posOffset>
            </wp:positionH>
            <wp:positionV relativeFrom="paragraph">
              <wp:posOffset>163830</wp:posOffset>
            </wp:positionV>
            <wp:extent cx="5174615" cy="2649220"/>
            <wp:effectExtent l="4445" t="4445" r="21590" b="13335"/>
            <wp:wrapTight wrapText="bothSides">
              <wp:wrapPolygon>
                <wp:start x="-19" y="-36"/>
                <wp:lineTo x="-19" y="21553"/>
                <wp:lineTo x="21531" y="21553"/>
                <wp:lineTo x="21531" y="-36"/>
                <wp:lineTo x="-19" y="-36"/>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14" w:name="_Toc7956"/>
      <w:r>
        <w:rPr>
          <w:rFonts w:hint="eastAsia" w:ascii="黑体" w:hAnsi="黑体" w:eastAsia="黑体" w:cs="黑体"/>
          <w:sz w:val="32"/>
          <w:szCs w:val="32"/>
          <w:shd w:val="clear" w:color="auto" w:fill="FFFFFF"/>
          <w:lang w:val="en-US" w:eastAsia="zh-CN"/>
        </w:rPr>
        <w:t>四、</w:t>
      </w:r>
      <w:r>
        <w:rPr>
          <w:rFonts w:hint="eastAsia" w:ascii="黑体" w:hAnsi="黑体" w:eastAsia="黑体" w:cs="黑体"/>
          <w:sz w:val="32"/>
          <w:szCs w:val="32"/>
          <w:shd w:val="clear" w:color="auto" w:fill="FFFFFF"/>
        </w:rPr>
        <w:t>财政拨款收入支出决算总体情况说明</w:t>
      </w:r>
      <w:bookmarkEnd w:id="14"/>
    </w:p>
    <w:p>
      <w:pPr>
        <w:spacing w:line="600" w:lineRule="exact"/>
        <w:ind w:firstLine="640" w:firstLineChars="200"/>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549.49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572.08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年相比，财政拨款收入总计减少120.94万元，下降18%，支出总计减少212.78万元，下降27%。。主要变动原因是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8"/>
        <w:rPr>
          <w:rFonts w:hint="eastAsia"/>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5" w:name="_Toc23149"/>
      <w:r>
        <w:rPr>
          <w:rFonts w:hint="eastAsia" w:ascii="黑体" w:hAnsi="黑体" w:eastAsia="黑体" w:cs="黑体"/>
          <w:sz w:val="32"/>
          <w:szCs w:val="32"/>
          <w:shd w:val="clear" w:color="auto" w:fill="FFFFFF"/>
        </w:rPr>
        <w:t>五、一般公共预算财政拨款支出决算情况说明</w:t>
      </w:r>
      <w:bookmarkEnd w:id="15"/>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（一）一般公共预算财政拨款支出决算总体情况</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549.49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减少120.94万元，下降18%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lang w:eastAsia="zh-CN"/>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5"/>
        <w:keepNext w:val="0"/>
        <w:keepLines w:val="0"/>
        <w:widowControl/>
        <w:numPr>
          <w:ilvl w:val="0"/>
          <w:numId w:val="3"/>
        </w:numPr>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一般公共预算财政拨款支出决算结构情况</w:t>
      </w:r>
    </w:p>
    <w:p>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8"/>
          <w:rFonts w:hint="default" w:ascii="仿宋" w:hAnsi="仿宋" w:eastAsia="仿宋" w:cs="Times New Roman"/>
          <w:b w:val="0"/>
          <w:bCs/>
          <w:color w:val="000000"/>
          <w:kern w:val="2"/>
          <w:sz w:val="32"/>
          <w:szCs w:val="32"/>
          <w:shd w:val="clear"/>
          <w:lang w:val="en-US" w:eastAsia="zh-CN" w:bidi="ar-SA"/>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572.08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458.63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80.17</w:t>
      </w:r>
      <w:r>
        <w:rPr>
          <w:rFonts w:hint="eastAsia" w:ascii="仿宋" w:hAnsi="仿宋" w:eastAsia="仿宋"/>
          <w:color w:val="000000" w:themeColor="text1"/>
          <w:sz w:val="32"/>
          <w:szCs w:val="32"/>
          <w:lang w:eastAsia="zh-CN"/>
          <w14:textFill>
            <w14:solidFill>
              <w14:schemeClr w14:val="tx1"/>
            </w14:solidFill>
          </w14:textFill>
        </w:rPr>
        <w:t>%；文化旅游体育与传媒（类）支出</w:t>
      </w:r>
      <w:r>
        <w:rPr>
          <w:rFonts w:hint="eastAsia" w:ascii="仿宋" w:hAnsi="仿宋" w:eastAsia="仿宋"/>
          <w:color w:val="000000" w:themeColor="text1"/>
          <w:sz w:val="32"/>
          <w:szCs w:val="32"/>
          <w:lang w:val="en-US" w:eastAsia="zh-CN"/>
          <w14:textFill>
            <w14:solidFill>
              <w14:schemeClr w14:val="tx1"/>
            </w14:solidFill>
          </w14:textFill>
        </w:rPr>
        <w:t>34.25</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5.99</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35.98</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6.29</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18.8</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3.29</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24.42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4.27</w:t>
      </w:r>
      <w:r>
        <w:rPr>
          <w:rFonts w:hint="eastAsia" w:ascii="仿宋" w:hAnsi="仿宋" w:eastAsia="仿宋"/>
          <w:color w:val="000000" w:themeColor="text1"/>
          <w:sz w:val="32"/>
          <w:szCs w:val="32"/>
          <w:lang w:val="en-US" w:eastAsia="zh-CN"/>
          <w14:textFill>
            <w14:solidFill>
              <w14:schemeClr w14:val="tx1"/>
            </w14:solidFill>
          </w14:textFill>
        </w:rPr>
        <w:t>%。</w:t>
      </w:r>
    </w:p>
    <w:p>
      <w:pPr>
        <w:pStyle w:val="15"/>
        <w:keepNext w:val="0"/>
        <w:keepLines w:val="0"/>
        <w:widowControl/>
        <w:numPr>
          <w:ilvl w:val="0"/>
          <w:numId w:val="0"/>
        </w:numPr>
        <w:suppressLineNumbers w:val="0"/>
        <w:ind w:right="75" w:rightChars="0"/>
        <w:rPr>
          <w:rStyle w:val="18"/>
          <w:rFonts w:hint="eastAsia" w:ascii="仿宋_GB2312" w:hAnsi="仿宋_GB2312" w:eastAsia="仿宋" w:cs="仿宋_GB2312"/>
          <w:sz w:val="32"/>
          <w:szCs w:val="32"/>
          <w:shd w:val="clear" w:color="auto" w:fill="FFFFFF"/>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图</w:t>
      </w:r>
      <w:r>
        <w:rPr>
          <w:rFonts w:hint="eastAsia" w:ascii="仿宋" w:hAnsi="仿宋" w:eastAsia="仿宋"/>
          <w:color w:val="000000"/>
          <w:sz w:val="32"/>
          <w:szCs w:val="32"/>
        </w:rPr>
        <w:t>（饼状</w:t>
      </w:r>
      <w:r>
        <w:rPr>
          <w:rFonts w:hint="eastAsia" w:ascii="仿宋" w:hAnsi="仿宋" w:eastAsia="仿宋"/>
          <w:color w:val="000000"/>
          <w:sz w:val="32"/>
          <w:szCs w:val="32"/>
          <w:lang w:eastAsia="zh-CN"/>
        </w:rPr>
        <w:t>图）</w:t>
      </w:r>
    </w:p>
    <w:p>
      <w:pPr>
        <w:pStyle w:val="15"/>
        <w:keepNext w:val="0"/>
        <w:keepLines w:val="0"/>
        <w:widowControl/>
        <w:numPr>
          <w:ilvl w:val="0"/>
          <w:numId w:val="3"/>
        </w:numPr>
        <w:suppressLineNumbers w:val="0"/>
        <w:ind w:left="0" w:leftChars="0" w:right="75" w:firstLine="0" w:firstLineChars="0"/>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2" w:firstLineChars="200"/>
        <w:outlineLvl w:val="9"/>
        <w:rPr>
          <w:rFonts w:hint="eastAsia" w:ascii="仿宋" w:hAnsi="仿宋" w:eastAsia="仿宋"/>
          <w:color w:val="000000"/>
          <w:sz w:val="32"/>
          <w:szCs w:val="32"/>
          <w:lang w:val="en-US" w:eastAsia="zh-CN"/>
        </w:rPr>
      </w:pPr>
      <w:bookmarkStart w:id="16" w:name="_Toc15377213"/>
      <w:bookmarkStart w:id="17" w:name="_Toc15377444"/>
      <w:bookmarkStart w:id="18" w:name="_Toc15378460"/>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572.08</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16"/>
      <w:bookmarkEnd w:id="17"/>
      <w:bookmarkEnd w:id="18"/>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w:t>
      </w:r>
      <w:r>
        <w:rPr>
          <w:rFonts w:hint="eastAsia" w:ascii="仿宋" w:hAnsi="仿宋" w:eastAsia="仿宋"/>
          <w:b/>
          <w:bCs/>
          <w:color w:val="000000"/>
          <w:sz w:val="32"/>
          <w:szCs w:val="32"/>
          <w:lang w:val="en-US" w:eastAsia="zh-CN"/>
        </w:rPr>
        <w:t>宣传事务；</w:t>
      </w:r>
      <w:r>
        <w:rPr>
          <w:rFonts w:hint="eastAsia" w:ascii="仿宋" w:hAnsi="仿宋" w:eastAsia="仿宋"/>
          <w:color w:val="000000"/>
          <w:sz w:val="32"/>
          <w:szCs w:val="32"/>
          <w:lang w:val="en-US" w:eastAsia="zh-CN"/>
        </w:rPr>
        <w:t>2013301-行政运行支出决算为188.49万元，完成预算100%，</w:t>
      </w:r>
      <w:r>
        <w:rPr>
          <w:rStyle w:val="18"/>
          <w:rFonts w:hint="eastAsia" w:ascii="仿宋" w:hAnsi="仿宋" w:eastAsia="仿宋"/>
          <w:b w:val="0"/>
          <w:bCs/>
          <w:color w:val="000000"/>
          <w:sz w:val="32"/>
          <w:szCs w:val="32"/>
          <w:lang w:eastAsia="zh-CN"/>
        </w:rPr>
        <w:t>主要用于开支</w:t>
      </w:r>
      <w:r>
        <w:rPr>
          <w:rStyle w:val="18"/>
          <w:rFonts w:hint="eastAsia" w:ascii="仿宋" w:hAnsi="仿宋" w:eastAsia="仿宋"/>
          <w:b w:val="0"/>
          <w:bCs/>
          <w:color w:val="000000"/>
          <w:sz w:val="32"/>
          <w:szCs w:val="32"/>
          <w:lang w:val="en-US" w:eastAsia="zh-CN"/>
        </w:rPr>
        <w:t>行政人员</w:t>
      </w:r>
      <w:r>
        <w:rPr>
          <w:rStyle w:val="18"/>
          <w:rFonts w:hint="eastAsia" w:ascii="仿宋" w:hAnsi="仿宋" w:eastAsia="仿宋"/>
          <w:b w:val="0"/>
          <w:bCs/>
          <w:color w:val="000000"/>
          <w:sz w:val="32"/>
          <w:szCs w:val="32"/>
          <w:lang w:eastAsia="zh-CN"/>
        </w:rPr>
        <w:t>日常公用经费及人员经费</w:t>
      </w:r>
      <w:r>
        <w:rPr>
          <w:rFonts w:hint="eastAsia" w:ascii="仿宋" w:hAnsi="仿宋" w:eastAsia="仿宋"/>
          <w:color w:val="000000"/>
          <w:sz w:val="32"/>
          <w:szCs w:val="32"/>
          <w:lang w:val="en-US" w:eastAsia="zh-CN"/>
        </w:rPr>
        <w:t>；2013302- 一般行政管理事务支出决算为156.5万元，完成预算100%，</w:t>
      </w:r>
      <w:r>
        <w:rPr>
          <w:rStyle w:val="18"/>
          <w:rFonts w:hint="eastAsia" w:ascii="仿宋" w:hAnsi="仿宋" w:eastAsia="仿宋"/>
          <w:b w:val="0"/>
          <w:bCs/>
          <w:color w:val="000000"/>
          <w:sz w:val="32"/>
          <w:szCs w:val="32"/>
          <w:lang w:eastAsia="zh-CN"/>
        </w:rPr>
        <w:t>主要用于专项公用经费</w:t>
      </w:r>
      <w:r>
        <w:rPr>
          <w:rFonts w:hint="eastAsia" w:ascii="仿宋" w:hAnsi="仿宋" w:eastAsia="仿宋"/>
          <w:color w:val="000000"/>
          <w:sz w:val="32"/>
          <w:szCs w:val="32"/>
          <w:lang w:val="en-US" w:eastAsia="zh-CN"/>
        </w:rPr>
        <w:t>；2013304-宣传支出决算为9万元，完成预算100%，主要用于会议费；2013350-事业运行支出决算为112.74万元，完成预算100%。主要用于事业人员日常公用经费及人员经费。</w:t>
      </w:r>
    </w:p>
    <w:p>
      <w:pPr>
        <w:spacing w:line="600" w:lineRule="exact"/>
        <w:ind w:firstLine="642" w:firstLineChars="200"/>
        <w:rPr>
          <w:rFonts w:hint="eastAsia" w:ascii="仿宋" w:hAnsi="仿宋" w:eastAsia="仿宋"/>
          <w:color w:val="000000"/>
          <w:sz w:val="32"/>
          <w:szCs w:val="32"/>
          <w:lang w:val="en-US" w:eastAsia="zh-CN"/>
        </w:rPr>
      </w:pPr>
      <w:r>
        <w:rPr>
          <w:rFonts w:hint="eastAsia" w:ascii="仿宋" w:hAnsi="仿宋" w:eastAsia="仿宋"/>
          <w:b/>
          <w:bCs/>
          <w:color w:val="000000"/>
          <w:sz w:val="32"/>
          <w:szCs w:val="32"/>
          <w:lang w:val="en-US" w:eastAsia="zh-CN"/>
        </w:rPr>
        <w:t>2.文化和旅游；</w:t>
      </w:r>
      <w:r>
        <w:rPr>
          <w:rFonts w:hint="eastAsia" w:ascii="仿宋" w:hAnsi="仿宋" w:eastAsia="仿宋"/>
          <w:color w:val="000000"/>
          <w:sz w:val="32"/>
          <w:szCs w:val="32"/>
          <w:lang w:val="en-US" w:eastAsia="zh-CN"/>
        </w:rPr>
        <w:t>2070199-文化旅游支出决算为13.52万元，完成预算100%，主要用于办公费；20706-新闻出版电影支出决算为15万元，完成预算100%，主要用于新闻出版的办公费和维修维护费；20799-其他文化旅游体育和传媒支出决算为5.7万元，完成预算100%，主要用于办公费。</w:t>
      </w:r>
    </w:p>
    <w:p>
      <w:pPr>
        <w:numPr>
          <w:ilvl w:val="0"/>
          <w:numId w:val="0"/>
        </w:numPr>
        <w:spacing w:line="600" w:lineRule="exact"/>
        <w:ind w:firstLine="642" w:firstLineChars="200"/>
        <w:rPr>
          <w:rStyle w:val="18"/>
          <w:rFonts w:hint="eastAsia" w:ascii="仿宋" w:hAnsi="仿宋" w:eastAsia="仿宋"/>
          <w:b w:val="0"/>
          <w:bCs/>
          <w:color w:val="000000"/>
          <w:sz w:val="32"/>
          <w:szCs w:val="32"/>
          <w:lang w:eastAsia="zh-CN"/>
        </w:rPr>
      </w:pPr>
      <w:r>
        <w:rPr>
          <w:rFonts w:hint="eastAsia" w:ascii="仿宋" w:hAnsi="仿宋" w:eastAsia="仿宋"/>
          <w:b/>
          <w:bCs/>
          <w:color w:val="000000"/>
          <w:sz w:val="32"/>
          <w:szCs w:val="32"/>
          <w:lang w:val="en-US" w:eastAsia="zh-CN"/>
        </w:rPr>
        <w:t>3.</w:t>
      </w:r>
      <w:r>
        <w:rPr>
          <w:rStyle w:val="18"/>
          <w:rFonts w:hint="eastAsia" w:ascii="仿宋" w:hAnsi="仿宋" w:eastAsia="仿宋"/>
          <w:bCs/>
          <w:color w:val="000000"/>
          <w:sz w:val="32"/>
          <w:szCs w:val="32"/>
        </w:rPr>
        <w:t>社会保障和就业</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2080505</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val="0"/>
          <w:bCs/>
          <w:color w:val="000000"/>
          <w:sz w:val="32"/>
          <w:szCs w:val="32"/>
        </w:rPr>
        <w:t>机关事业单位基本养老保险缴费支出决算为</w:t>
      </w:r>
      <w:r>
        <w:rPr>
          <w:rStyle w:val="18"/>
          <w:rFonts w:hint="eastAsia" w:ascii="仿宋" w:hAnsi="仿宋" w:eastAsia="仿宋"/>
          <w:b w:val="0"/>
          <w:bCs/>
          <w:color w:val="000000"/>
          <w:sz w:val="32"/>
          <w:szCs w:val="32"/>
          <w:lang w:val="en-US" w:eastAsia="zh-CN"/>
        </w:rPr>
        <w:t>23.98</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全部用于职工缴纳养老保险单位部分；2080506</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val="0"/>
          <w:bCs/>
          <w:color w:val="000000"/>
          <w:sz w:val="32"/>
          <w:szCs w:val="32"/>
          <w:lang w:eastAsia="zh-CN"/>
        </w:rPr>
        <w:t>机关事业单位职业年金缴费支出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11.99</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全部用于职工缴纳职业年金单位部分。</w:t>
      </w:r>
    </w:p>
    <w:p>
      <w:pPr>
        <w:numPr>
          <w:ilvl w:val="0"/>
          <w:numId w:val="0"/>
        </w:numPr>
        <w:spacing w:line="600" w:lineRule="exact"/>
        <w:ind w:firstLine="642" w:firstLineChars="200"/>
        <w:rPr>
          <w:rFonts w:hint="default" w:ascii="仿宋" w:hAnsi="仿宋" w:eastAsia="仿宋"/>
          <w:b/>
          <w:color w:val="000000"/>
          <w:sz w:val="32"/>
          <w:szCs w:val="32"/>
          <w:lang w:val="en-US"/>
        </w:rPr>
      </w:pPr>
      <w:r>
        <w:rPr>
          <w:rFonts w:hint="eastAsia" w:ascii="仿宋" w:hAnsi="仿宋" w:eastAsia="仿宋"/>
          <w:b/>
          <w:bCs/>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卫生健康</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lang w:eastAsia="zh-CN"/>
        </w:rPr>
        <w:t>21011</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val="0"/>
          <w:bCs/>
          <w:color w:val="000000"/>
          <w:sz w:val="32"/>
          <w:szCs w:val="32"/>
          <w:lang w:eastAsia="zh-CN"/>
        </w:rPr>
        <w:t>行政单位医疗支出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15.80</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w:t>
      </w:r>
      <w:r>
        <w:rPr>
          <w:rStyle w:val="18"/>
          <w:rFonts w:hint="eastAsia" w:ascii="仿宋" w:hAnsi="仿宋" w:eastAsia="仿宋"/>
          <w:b w:val="0"/>
          <w:bCs/>
          <w:color w:val="000000"/>
          <w:sz w:val="32"/>
          <w:szCs w:val="32"/>
          <w:lang w:val="en-US" w:eastAsia="zh-CN"/>
        </w:rPr>
        <w:t>行政和事业人员</w:t>
      </w:r>
      <w:r>
        <w:rPr>
          <w:rStyle w:val="18"/>
          <w:rFonts w:hint="eastAsia" w:ascii="仿宋" w:hAnsi="仿宋" w:eastAsia="仿宋"/>
          <w:b w:val="0"/>
          <w:bCs/>
          <w:color w:val="000000"/>
          <w:sz w:val="32"/>
          <w:szCs w:val="32"/>
          <w:lang w:eastAsia="zh-CN"/>
        </w:rPr>
        <w:t>缴纳医疗保险</w:t>
      </w:r>
      <w:r>
        <w:rPr>
          <w:rStyle w:val="18"/>
          <w:rFonts w:hint="eastAsia" w:ascii="仿宋" w:hAnsi="仿宋" w:eastAsia="仿宋"/>
          <w:b w:val="0"/>
          <w:bCs/>
          <w:color w:val="000000"/>
          <w:sz w:val="32"/>
          <w:szCs w:val="32"/>
          <w:lang w:val="en-US" w:eastAsia="zh-CN"/>
        </w:rPr>
        <w:t>和公务员医疗保险</w:t>
      </w:r>
      <w:r>
        <w:rPr>
          <w:rStyle w:val="18"/>
          <w:rFonts w:hint="eastAsia" w:ascii="仿宋" w:hAnsi="仿宋" w:eastAsia="仿宋"/>
          <w:b w:val="0"/>
          <w:bCs/>
          <w:color w:val="000000"/>
          <w:sz w:val="32"/>
          <w:szCs w:val="32"/>
          <w:lang w:eastAsia="zh-CN"/>
        </w:rPr>
        <w:t>单位部分；</w:t>
      </w:r>
      <w:r>
        <w:rPr>
          <w:rStyle w:val="18"/>
          <w:rFonts w:hint="eastAsia" w:ascii="仿宋" w:hAnsi="仿宋" w:eastAsia="仿宋"/>
          <w:b w:val="0"/>
          <w:bCs/>
          <w:color w:val="000000"/>
          <w:sz w:val="32"/>
          <w:szCs w:val="32"/>
          <w:lang w:val="en-US" w:eastAsia="zh-CN"/>
        </w:rPr>
        <w:t>2101199-其他公共卫生支出决算为1.17万元，完成预算100%，全部用于公务员医疗补助。</w:t>
      </w:r>
    </w:p>
    <w:p>
      <w:pPr>
        <w:numPr>
          <w:ilvl w:val="0"/>
          <w:numId w:val="0"/>
        </w:numPr>
        <w:spacing w:line="600" w:lineRule="exact"/>
        <w:ind w:firstLine="642" w:firstLineChars="200"/>
        <w:rPr>
          <w:rStyle w:val="18"/>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5.住房保障支出：</w:t>
      </w:r>
      <w:r>
        <w:rPr>
          <w:rStyle w:val="18"/>
          <w:rFonts w:hint="eastAsia" w:ascii="仿宋" w:hAnsi="仿宋" w:eastAsia="仿宋"/>
          <w:b w:val="0"/>
          <w:bCs/>
          <w:color w:val="000000"/>
          <w:sz w:val="32"/>
          <w:szCs w:val="32"/>
          <w:lang w:val="en-US" w:eastAsia="zh-CN"/>
        </w:rPr>
        <w:t>2210201-住房公积金</w:t>
      </w:r>
      <w:r>
        <w:rPr>
          <w:rStyle w:val="18"/>
          <w:rFonts w:hint="eastAsia" w:ascii="仿宋" w:hAnsi="仿宋" w:eastAsia="仿宋"/>
          <w:b w:val="0"/>
          <w:bCs/>
          <w:color w:val="000000"/>
          <w:sz w:val="32"/>
          <w:szCs w:val="32"/>
          <w:lang w:eastAsia="zh-CN"/>
        </w:rPr>
        <w:t>支出决</w:t>
      </w:r>
      <w:r>
        <w:rPr>
          <w:rStyle w:val="18"/>
          <w:rFonts w:hint="eastAsia" w:ascii="仿宋" w:hAnsi="仿宋" w:eastAsia="仿宋"/>
          <w:b w:val="0"/>
          <w:bCs/>
          <w:color w:val="000000"/>
          <w:sz w:val="32"/>
          <w:szCs w:val="32"/>
        </w:rPr>
        <w:t>算为</w:t>
      </w:r>
      <w:r>
        <w:rPr>
          <w:rStyle w:val="18"/>
          <w:rFonts w:hint="eastAsia" w:ascii="仿宋" w:hAnsi="仿宋" w:eastAsia="仿宋"/>
          <w:b w:val="0"/>
          <w:bCs/>
          <w:color w:val="000000"/>
          <w:sz w:val="32"/>
          <w:szCs w:val="32"/>
          <w:lang w:val="en-US" w:eastAsia="zh-CN"/>
        </w:rPr>
        <w:t>24.41</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，全部用于职工缴纳住房公积金单位部分。</w:t>
      </w:r>
    </w:p>
    <w:p>
      <w:pPr>
        <w:pStyle w:val="8"/>
      </w:pPr>
    </w:p>
    <w:p>
      <w:pPr>
        <w:pStyle w:val="2"/>
        <w:numPr>
          <w:ilvl w:val="0"/>
          <w:numId w:val="2"/>
        </w:numPr>
        <w:ind w:left="0" w:leftChars="0" w:firstLine="0" w:firstLineChars="0"/>
        <w:rPr>
          <w:rFonts w:hint="eastAsia" w:ascii="黑体" w:hAnsi="黑体" w:eastAsia="黑体" w:cs="黑体"/>
          <w:sz w:val="32"/>
          <w:szCs w:val="32"/>
          <w:shd w:val="clear" w:color="auto" w:fill="FFFFFF"/>
        </w:rPr>
      </w:pPr>
      <w:bookmarkStart w:id="19" w:name="_Toc2180"/>
      <w:r>
        <w:rPr>
          <w:rFonts w:hint="eastAsia" w:ascii="黑体" w:hAnsi="黑体" w:eastAsia="黑体" w:cs="黑体"/>
          <w:sz w:val="32"/>
          <w:szCs w:val="32"/>
          <w:shd w:val="clear" w:color="auto" w:fill="FFFFFF"/>
        </w:rPr>
        <w:t>一般公共预算财政拨款基本支出决算情况说明</w:t>
      </w:r>
      <w:bookmarkEnd w:id="19"/>
    </w:p>
    <w:p>
      <w:pPr>
        <w:tabs>
          <w:tab w:val="right" w:pos="8306"/>
        </w:tabs>
        <w:spacing w:line="600" w:lineRule="exact"/>
        <w:ind w:firstLine="640" w:firstLineChars="200"/>
        <w:outlineLvl w:val="1"/>
        <w:rPr>
          <w:rFonts w:ascii="仿宋" w:hAnsi="仿宋" w:eastAsia="仿宋"/>
          <w:color w:val="auto"/>
          <w:sz w:val="32"/>
          <w:szCs w:val="32"/>
        </w:rPr>
      </w:pPr>
      <w:bookmarkStart w:id="20" w:name="_Toc18699"/>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377.43</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人员经费323.60</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56.20万元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106.80万元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4.12万元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21.89万元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23.98万元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11.99万元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11.64</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4.15万元、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2.91万元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24.41万元、医疗费1.46万元，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4.55万元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49.26</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26.20万元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0.36万元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1.85万元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0.45万元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1.36万元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4.94万元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0.4万元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0.7万元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0.33万元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13.63万元</w:t>
      </w:r>
      <w:r>
        <w:rPr>
          <w:rFonts w:hint="eastAsia" w:ascii="仿宋" w:hAnsi="仿宋" w:eastAsia="仿宋"/>
          <w:color w:val="000000"/>
          <w:sz w:val="32"/>
          <w:szCs w:val="32"/>
        </w:rPr>
        <w:t>。</w:t>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七、“三公”经费财政拨款支出决算情况说明</w:t>
      </w:r>
      <w:bookmarkEnd w:id="20"/>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13.96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Style w:val="18"/>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二</w:t>
      </w:r>
      <w:r>
        <w:rPr>
          <w:rFonts w:hint="eastAsia" w:ascii="仿宋" w:hAnsi="仿宋" w:eastAsia="仿宋"/>
          <w:color w:val="000000"/>
          <w:sz w:val="32"/>
          <w:szCs w:val="32"/>
          <w:lang w:eastAsia="zh-CN"/>
        </w:rPr>
        <w:t>）</w:t>
      </w:r>
      <w:r>
        <w:rPr>
          <w:rStyle w:val="18"/>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13.63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97.63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5"/>
        <w:keepNext w:val="0"/>
        <w:keepLines w:val="0"/>
        <w:widowControl/>
        <w:numPr>
          <w:ilvl w:val="0"/>
          <w:numId w:val="0"/>
        </w:numPr>
        <w:suppressLineNumbers w:val="0"/>
        <w:ind w:right="75" w:rightChars="0"/>
        <w:rPr>
          <w:rStyle w:val="18"/>
          <w:rFonts w:hint="eastAsia" w:ascii="仿宋_GB2312" w:hAnsi="仿宋_GB2312" w:eastAsia="仿宋_GB2312" w:cs="仿宋_GB2312"/>
          <w:sz w:val="32"/>
          <w:szCs w:val="32"/>
          <w:shd w:val="clear" w:color="auto" w:fill="FFFFFF"/>
          <w:lang w:eastAsia="zh-CN"/>
        </w:rPr>
      </w:pPr>
      <w:r>
        <w:rPr>
          <w:rStyle w:val="18"/>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numPr>
          <w:ilvl w:val="0"/>
          <w:numId w:val="0"/>
        </w:numPr>
        <w:spacing w:line="600" w:lineRule="exact"/>
        <w:ind w:firstLine="642" w:firstLineChars="200"/>
        <w:rPr>
          <w:rFonts w:hint="eastAsia" w:ascii="仿宋" w:hAnsi="仿宋" w:eastAsia="仿宋" w:cs="仿宋"/>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 w:hAnsi="仿宋" w:eastAsia="仿宋" w:cs="仿宋"/>
          <w:color w:val="000000"/>
          <w:sz w:val="32"/>
          <w:szCs w:val="32"/>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全年安排因公出国（境）团组</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次，出国（境）</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人。因公出国（境）支出决算</w:t>
      </w:r>
      <w:r>
        <w:rPr>
          <w:rFonts w:hint="eastAsia" w:ascii="仿宋" w:hAnsi="仿宋" w:eastAsia="仿宋" w:cs="仿宋"/>
          <w:color w:val="000000"/>
          <w:sz w:val="32"/>
          <w:szCs w:val="32"/>
          <w:lang w:eastAsia="zh-CN"/>
        </w:rPr>
        <w:t>与</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持平。</w:t>
      </w:r>
    </w:p>
    <w:p>
      <w:pPr>
        <w:numPr>
          <w:ilvl w:val="0"/>
          <w:numId w:val="0"/>
        </w:numPr>
        <w:spacing w:line="600" w:lineRule="exact"/>
        <w:ind w:firstLine="642"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13.63</w:t>
      </w:r>
      <w:r>
        <w:rPr>
          <w:rFonts w:hint="eastAsia" w:ascii="仿宋_GB2312" w:hAnsi="仿宋_GB2312" w:eastAsia="仿宋_GB2312" w:cs="仿宋_GB2312"/>
          <w:color w:val="000000"/>
          <w:sz w:val="32"/>
          <w:szCs w:val="32"/>
        </w:rPr>
        <w:t>万元</w:t>
      </w:r>
      <w:r>
        <w:rPr>
          <w:rFonts w:hint="eastAsia" w:ascii="仿宋" w:hAnsi="仿宋" w:eastAsia="仿宋" w:cs="仿宋"/>
          <w:color w:val="000000"/>
          <w:sz w:val="32"/>
          <w:szCs w:val="32"/>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公务用车购置及运行维护费支出决算比</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减少0.01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下降原因是厉行节约，减少不必要的开支。</w:t>
      </w:r>
    </w:p>
    <w:p>
      <w:pPr>
        <w:spacing w:line="600" w:lineRule="exact"/>
        <w:ind w:firstLine="642" w:firstLineChars="200"/>
        <w:rPr>
          <w:rFonts w:hint="eastAsia" w:ascii="仿宋" w:hAnsi="仿宋" w:eastAsia="仿宋" w:cs="仿宋"/>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 w:hAnsi="仿宋" w:eastAsia="仿宋" w:cs="仿宋"/>
          <w:color w:val="000000"/>
          <w:sz w:val="32"/>
          <w:szCs w:val="32"/>
          <w:lang w:val="en-US" w:eastAsia="zh-CN"/>
        </w:rPr>
        <w:t>0.33</w:t>
      </w:r>
      <w:r>
        <w:rPr>
          <w:rFonts w:hint="eastAsia" w:ascii="仿宋" w:hAnsi="仿宋" w:eastAsia="仿宋" w:cs="仿宋"/>
          <w:color w:val="000000"/>
          <w:sz w:val="32"/>
          <w:szCs w:val="32"/>
        </w:rPr>
        <w:t>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公务接待费支出决算比</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，主要原</w:t>
      </w:r>
      <w:r>
        <w:rPr>
          <w:rFonts w:hint="eastAsia" w:ascii="仿宋" w:hAnsi="仿宋" w:eastAsia="仿宋" w:cs="仿宋"/>
          <w:color w:val="000000"/>
          <w:sz w:val="32"/>
          <w:szCs w:val="32"/>
          <w:lang w:eastAsia="zh-CN"/>
        </w:rPr>
        <w:t>因</w:t>
      </w:r>
      <w:r>
        <w:rPr>
          <w:rFonts w:hint="eastAsia" w:ascii="仿宋" w:hAnsi="仿宋" w:eastAsia="仿宋" w:cs="仿宋"/>
          <w:sz w:val="32"/>
          <w:szCs w:val="32"/>
          <w:lang w:val="en-US" w:eastAsia="zh-CN"/>
        </w:rPr>
        <w:t>是接待上级部门及各县执行公务、开展业务活动、调研等开支的餐费。2021年国内公务接待3批次，31人次（不包括陪同人员），共计支出0.33万元。</w:t>
      </w:r>
    </w:p>
    <w:p>
      <w:pPr>
        <w:spacing w:line="600" w:lineRule="exact"/>
        <w:ind w:firstLine="642" w:firstLineChars="200"/>
        <w:rPr>
          <w:rStyle w:val="18"/>
          <w:rFonts w:hint="eastAsia" w:ascii="仿宋" w:hAnsi="仿宋" w:eastAsia="仿宋" w:cs="仿宋"/>
          <w:sz w:val="32"/>
          <w:szCs w:val="32"/>
          <w:shd w:val="clear" w:color="auto" w:fill="FFFFFF"/>
          <w:lang w:eastAsia="zh-CN"/>
        </w:rPr>
      </w:pP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外事接待</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批次，</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人，共计支出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p>
    <w:p>
      <w:pPr>
        <w:pStyle w:val="15"/>
        <w:keepNext w:val="0"/>
        <w:keepLines w:val="0"/>
        <w:widowControl/>
        <w:numPr>
          <w:ilvl w:val="0"/>
          <w:numId w:val="4"/>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21" w:name="_Toc9599"/>
      <w:r>
        <w:rPr>
          <w:rFonts w:hint="eastAsia" w:ascii="黑体" w:hAnsi="黑体" w:eastAsia="黑体" w:cs="黑体"/>
          <w:sz w:val="32"/>
          <w:szCs w:val="32"/>
          <w:shd w:val="clear" w:color="auto" w:fill="FFFFFF"/>
        </w:rPr>
        <w:t>政府性基金预算支出决算情况说明</w:t>
      </w:r>
      <w:bookmarkEnd w:id="21"/>
    </w:p>
    <w:p>
      <w:pPr>
        <w:spacing w:line="600" w:lineRule="exact"/>
        <w:ind w:firstLine="640" w:firstLineChars="200"/>
        <w:rPr>
          <w:rFonts w:hint="eastAsia" w:ascii="仿宋" w:hAnsi="仿宋" w:eastAsia="仿宋" w:cs="仿宋"/>
          <w:sz w:val="32"/>
          <w:szCs w:val="32"/>
          <w:shd w:val="clear" w:color="auto" w:fill="FFFFFF"/>
          <w:lang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年政府性基金预算拨款支出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pStyle w:val="15"/>
        <w:keepNext w:val="0"/>
        <w:keepLines w:val="0"/>
        <w:widowControl/>
        <w:numPr>
          <w:ilvl w:val="0"/>
          <w:numId w:val="4"/>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22" w:name="_Toc31416"/>
      <w:r>
        <w:rPr>
          <w:rFonts w:hint="eastAsia" w:ascii="黑体" w:hAnsi="黑体" w:eastAsia="黑体" w:cs="黑体"/>
          <w:sz w:val="32"/>
          <w:szCs w:val="32"/>
          <w:shd w:val="clear" w:color="auto" w:fill="FFFFFF"/>
        </w:rPr>
        <w:t>国有资本经营预算支出决算情况说明</w:t>
      </w:r>
      <w:bookmarkEnd w:id="22"/>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年国有资本经营预算拨款支出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23" w:name="_Toc11587"/>
      <w:r>
        <w:rPr>
          <w:rFonts w:hint="eastAsia" w:ascii="黑体" w:hAnsi="黑体" w:eastAsia="黑体" w:cs="黑体"/>
          <w:sz w:val="32"/>
          <w:szCs w:val="32"/>
          <w:shd w:val="clear" w:color="auto" w:fill="FFFFFF"/>
        </w:rPr>
        <w:t>十、其他重要事项的情况说明</w:t>
      </w:r>
      <w:bookmarkEnd w:id="23"/>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（一）机关运行经费支出情况</w:t>
      </w:r>
    </w:p>
    <w:p>
      <w:pPr>
        <w:pStyle w:val="15"/>
        <w:keepNext w:val="0"/>
        <w:keepLines w:val="0"/>
        <w:widowControl/>
        <w:suppressLineNumbers w:val="0"/>
        <w:ind w:left="0" w:right="75" w:firstLine="640" w:firstLineChars="200"/>
        <w:rPr>
          <w:rFonts w:hint="eastAsia" w:ascii="仿宋" w:hAnsi="仿宋" w:eastAsia="仿宋" w:cs="仿宋"/>
          <w:b w:val="0"/>
          <w:bCs w:val="0"/>
          <w:color w:val="000000"/>
          <w:sz w:val="32"/>
          <w:szCs w:val="32"/>
          <w:lang w:val="en-US"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宣传部机关</w:t>
      </w:r>
      <w:r>
        <w:rPr>
          <w:rFonts w:hint="eastAsia" w:ascii="仿宋" w:hAnsi="仿宋" w:eastAsia="仿宋" w:cs="仿宋"/>
          <w:color w:val="000000"/>
          <w:sz w:val="32"/>
          <w:szCs w:val="32"/>
        </w:rPr>
        <w:t>运行经费支出</w:t>
      </w:r>
      <w:r>
        <w:rPr>
          <w:rFonts w:hint="eastAsia" w:ascii="仿宋" w:hAnsi="仿宋" w:eastAsia="仿宋" w:cs="仿宋"/>
          <w:color w:val="000000"/>
          <w:sz w:val="32"/>
          <w:szCs w:val="32"/>
          <w:lang w:val="en-US" w:eastAsia="zh-CN"/>
        </w:rPr>
        <w:t>40.92</w:t>
      </w:r>
      <w:r>
        <w:rPr>
          <w:rFonts w:hint="eastAsia" w:ascii="仿宋" w:hAnsi="仿宋" w:eastAsia="仿宋" w:cs="仿宋"/>
          <w:color w:val="000000"/>
          <w:sz w:val="32"/>
          <w:szCs w:val="32"/>
        </w:rPr>
        <w:t>万元，比</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增加19.19</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上升46.89</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主要原因是差旅费比2020年增加了</w:t>
      </w:r>
      <w:r>
        <w:rPr>
          <w:rFonts w:hint="eastAsia" w:ascii="仿宋" w:hAnsi="仿宋" w:eastAsia="仿宋" w:cs="仿宋"/>
          <w:b w:val="0"/>
          <w:bCs w:val="0"/>
          <w:color w:val="000000"/>
          <w:sz w:val="32"/>
          <w:szCs w:val="32"/>
          <w:lang w:val="en-US" w:eastAsia="zh-CN"/>
        </w:rPr>
        <w:t>。</w:t>
      </w:r>
    </w:p>
    <w:p>
      <w:pPr>
        <w:pStyle w:val="15"/>
        <w:keepNext w:val="0"/>
        <w:keepLines w:val="0"/>
        <w:widowControl/>
        <w:suppressLineNumbers w:val="0"/>
        <w:ind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lang w:eastAsia="zh-CN"/>
        </w:rPr>
        <w:t>（二）</w:t>
      </w:r>
      <w:r>
        <w:rPr>
          <w:rStyle w:val="18"/>
          <w:rFonts w:hint="eastAsia" w:ascii="仿宋_GB2312" w:hAnsi="仿宋_GB2312" w:eastAsia="仿宋_GB2312" w:cs="仿宋_GB2312"/>
          <w:sz w:val="32"/>
          <w:szCs w:val="32"/>
          <w:shd w:val="clear" w:color="auto" w:fill="FFFFFF"/>
        </w:rPr>
        <w:t>政府采购支出情况</w:t>
      </w:r>
    </w:p>
    <w:p>
      <w:pPr>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000000"/>
          <w:sz w:val="32"/>
          <w:szCs w:val="32"/>
          <w:lang w:val="en-US" w:eastAsia="zh-CN"/>
        </w:rPr>
        <w:t>2021</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宣传部</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0万元，</w:t>
      </w:r>
    </w:p>
    <w:p>
      <w:pPr>
        <w:spacing w:line="600" w:lineRule="exact"/>
        <w:rPr>
          <w:rStyle w:val="18"/>
          <w:rFonts w:hint="eastAsia" w:ascii="仿宋_GB2312" w:hAnsi="仿宋_GB2312" w:eastAsia="仿宋_GB2312" w:cs="仿宋_GB2312"/>
          <w:sz w:val="32"/>
          <w:szCs w:val="32"/>
          <w:shd w:val="clear" w:color="auto" w:fill="FFFFFF"/>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Style w:val="18"/>
          <w:rFonts w:hint="eastAsia" w:ascii="仿宋_GB2312" w:hAnsi="仿宋_GB2312" w:eastAsia="仿宋_GB2312" w:cs="仿宋_GB2312"/>
          <w:sz w:val="32"/>
          <w:szCs w:val="32"/>
          <w:shd w:val="clear" w:color="auto" w:fill="FFFFFF"/>
        </w:rPr>
        <w:t>国有资产占有使用情况</w:t>
      </w:r>
    </w:p>
    <w:p>
      <w:pPr>
        <w:autoSpaceDE w:val="0"/>
        <w:autoSpaceDN w:val="0"/>
        <w:adjustRightInd w:val="0"/>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hint="eastAsia" w:ascii="仿宋" w:hAnsi="仿宋" w:eastAsia="仿宋" w:cs="仿宋"/>
          <w:color w:val="000000"/>
          <w:sz w:val="32"/>
          <w:szCs w:val="32"/>
          <w:lang w:eastAsia="zh-CN"/>
        </w:rPr>
        <w:t>2020</w:t>
      </w:r>
      <w:r>
        <w:rPr>
          <w:rFonts w:hint="eastAsia" w:ascii="仿宋" w:hAnsi="仿宋" w:eastAsia="仿宋" w:cs="仿宋"/>
          <w:color w:val="000000"/>
          <w:sz w:val="32"/>
          <w:szCs w:val="32"/>
        </w:rPr>
        <w:t>年12月31日，</w:t>
      </w:r>
      <w:r>
        <w:rPr>
          <w:rFonts w:hint="eastAsia" w:ascii="仿宋" w:hAnsi="仿宋" w:eastAsia="仿宋" w:cs="仿宋"/>
          <w:color w:val="000000"/>
          <w:sz w:val="32"/>
          <w:szCs w:val="32"/>
          <w:lang w:eastAsia="zh-CN"/>
        </w:rPr>
        <w:t>红原县宣传部</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辆，其中：一般公务用车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其中：越野车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辆。单价50万元以上通用设备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台（套），单价100万元以上专用设备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w:t>
      </w:r>
    </w:p>
    <w:p>
      <w:pPr>
        <w:pStyle w:val="15"/>
        <w:keepNext w:val="0"/>
        <w:keepLines w:val="0"/>
        <w:widowControl/>
        <w:numPr>
          <w:ilvl w:val="0"/>
          <w:numId w:val="5"/>
        </w:numPr>
        <w:suppressLineNumbers w:val="0"/>
        <w:shd w:val="clear" w:color="auto" w:fill="auto"/>
        <w:ind w:left="0" w:leftChars="0" w:right="75" w:firstLine="0" w:firstLine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截至20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年12月31日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本单位由养老保险机构发放养老金的退休人员7人。</w:t>
      </w:r>
    </w:p>
    <w:p>
      <w:pPr>
        <w:pStyle w:val="15"/>
        <w:keepNext w:val="0"/>
        <w:keepLines w:val="0"/>
        <w:widowControl/>
        <w:numPr>
          <w:ilvl w:val="0"/>
          <w:numId w:val="5"/>
        </w:numPr>
        <w:suppressLineNumbers w:val="0"/>
        <w:ind w:left="0" w:leftChars="0" w:right="75" w:firstLine="0" w:firstLineChars="0"/>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预算绩效管理情况。</w:t>
      </w:r>
    </w:p>
    <w:p>
      <w:pPr>
        <w:pStyle w:val="27"/>
        <w:keepNext w:val="0"/>
        <w:keepLines w:val="0"/>
        <w:widowControl/>
        <w:suppressLineNumbers w:val="0"/>
        <w:spacing w:before="0" w:beforeAutospacing="0"/>
        <w:ind w:left="0"/>
        <w:jc w:val="left"/>
        <w:rPr>
          <w:rFonts w:hint="eastAsia" w:ascii="仿宋_GB2312" w:hAnsi="仿宋_GB2312" w:eastAsia="仿宋_GB2312" w:cs="仿宋_GB2312"/>
          <w:color w:val="333333"/>
          <w:kern w:val="0"/>
          <w:sz w:val="32"/>
          <w:szCs w:val="32"/>
          <w:shd w:val="clear" w:fill="FFFFFF"/>
        </w:rPr>
      </w:pPr>
      <w:r>
        <w:rPr>
          <w:rFonts w:hint="eastAsia" w:ascii="仿宋_GB2312" w:hAnsi="仿宋_GB2312" w:eastAsia="仿宋_GB2312" w:cs="仿宋_GB2312"/>
          <w:color w:val="333333"/>
          <w:kern w:val="0"/>
          <w:sz w:val="32"/>
          <w:szCs w:val="32"/>
          <w:shd w:val="clear" w:fill="FFFFFF"/>
        </w:rPr>
        <w:t>1.概述项目绩效目标完成情况。</w:t>
      </w:r>
    </w:p>
    <w:p>
      <w:pPr>
        <w:keepNext w:val="0"/>
        <w:keepLines w:val="0"/>
        <w:widowControl/>
        <w:suppressLineNumbers w:val="0"/>
        <w:spacing w:line="560" w:lineRule="exact"/>
        <w:ind w:left="0" w:firstLine="480" w:firstLineChars="150"/>
        <w:rPr>
          <w:rFonts w:hint="eastAsia" w:ascii="仿宋_GB2312" w:hAnsi="仿宋_GB2312" w:eastAsia="仿宋_GB2312" w:cs="仿宋_GB2312"/>
          <w:color w:val="333333"/>
          <w:kern w:val="0"/>
          <w:sz w:val="32"/>
          <w:szCs w:val="32"/>
          <w:shd w:val="clear" w:fill="FFFFFF"/>
        </w:rPr>
      </w:pPr>
      <w:r>
        <w:rPr>
          <w:rFonts w:hint="eastAsia" w:ascii="仿宋_GB2312" w:hAnsi="仿宋_GB2312" w:eastAsia="仿宋_GB2312" w:cs="仿宋_GB2312"/>
          <w:color w:val="333333"/>
          <w:kern w:val="0"/>
          <w:sz w:val="32"/>
          <w:szCs w:val="32"/>
          <w:shd w:val="clear" w:fill="FFFFFF"/>
        </w:rPr>
        <w:t>单位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加强相关人员的业务培训，进一步提高预算绩效评价质量。</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红原县委宣传部</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numPr>
          <w:ilvl w:val="0"/>
          <w:numId w:val="6"/>
        </w:numPr>
        <w:spacing w:line="600" w:lineRule="exact"/>
        <w:ind w:firstLine="662" w:firstLineChars="150"/>
        <w:jc w:val="center"/>
        <w:outlineLvl w:val="0"/>
        <w:rPr>
          <w:rStyle w:val="28"/>
          <w:rFonts w:ascii="黑体" w:hAnsi="黑体" w:eastAsia="黑体"/>
          <w:b w:val="0"/>
        </w:rPr>
      </w:pPr>
      <w:bookmarkStart w:id="24" w:name="_Toc15377225"/>
      <w:bookmarkStart w:id="25" w:name="_Toc25870"/>
      <w:r>
        <w:rPr>
          <w:rFonts w:hint="eastAsia" w:ascii="黑体" w:hAnsi="黑体" w:eastAsia="黑体"/>
          <w:b/>
          <w:color w:val="000000"/>
          <w:sz w:val="44"/>
          <w:szCs w:val="44"/>
        </w:rPr>
        <w:t>名</w:t>
      </w:r>
      <w:r>
        <w:rPr>
          <w:rStyle w:val="28"/>
          <w:rFonts w:hint="eastAsia" w:ascii="黑体" w:hAnsi="黑体" w:eastAsia="黑体"/>
          <w:b w:val="0"/>
        </w:rPr>
        <w:t>词解释</w:t>
      </w:r>
      <w:bookmarkEnd w:id="24"/>
      <w:bookmarkEnd w:id="25"/>
    </w:p>
    <w:p>
      <w:pPr>
        <w:spacing w:line="600" w:lineRule="exact"/>
        <w:jc w:val="left"/>
        <w:rPr>
          <w:rFonts w:ascii="宋体"/>
          <w:b/>
          <w:color w:val="000000"/>
          <w:sz w:val="44"/>
          <w:szCs w:val="44"/>
        </w:rPr>
      </w:pP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9.201301行政运行：指行政单位（包括实行公务员管理的事业单位）的基本支出。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10.2110105一般行政管理事务:指反映行政单位(包括实行公务员管理的事业单位)未单独设置项级科目的其他项目支出.2013350事业运行:指反映事业单位的基本支出,不包括行政单位(包括实行公务员管理的事业单位)后勤服务中心、医务室等附属事业单位。</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社会保障和就业2080505：指机关事业单位基本养老保险缴费支出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2050806：指机关事业单位职业年金缴费支出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：指行政单位医疗</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2101102：指事业单位医疗支出；2101103：指公务员医疗补助支出；2101199：指其他行政事业单位医疗支出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：指住房公积金</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rPr>
          <w:rFonts w:hint="eastAsia"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lang w:eastAsia="zh-CN"/>
        </w:rPr>
      </w:pPr>
      <w:bookmarkStart w:id="26" w:name="_Toc15377226"/>
      <w:r>
        <w:rPr>
          <w:rFonts w:hint="eastAsia" w:ascii="方正小标宋_GBK" w:hAnsi="方正小标宋_GBK" w:eastAsia="方正小标宋_GBK" w:cs="方正小标宋_GBK"/>
          <w:b w:val="0"/>
          <w:bCs/>
          <w:sz w:val="44"/>
          <w:szCs w:val="44"/>
          <w:shd w:val="clear" w:color="auto" w:fill="FFFFFF"/>
          <w:lang w:eastAsia="zh-CN"/>
        </w:rPr>
        <w:t>中共红原县委宣传部</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021</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ascii="黑体" w:hAnsi="宋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02" w:firstLineChars="200"/>
        <w:contextualSpacing/>
        <w:jc w:val="left"/>
        <w:textAlignment w:val="auto"/>
        <w:rPr>
          <w:rFonts w:ascii="黑体" w:hAnsi="宋体" w:eastAsia="黑体" w:cs="宋体"/>
          <w:b/>
          <w:bCs/>
          <w:color w:val="000000"/>
          <w:kern w:val="0"/>
          <w:sz w:val="30"/>
          <w:szCs w:val="30"/>
          <w:shd w:val="clear" w:color="auto" w:fill="FFFFFF"/>
          <w:lang w:val="zh-CN"/>
        </w:rPr>
      </w:pPr>
      <w:r>
        <w:rPr>
          <w:rFonts w:hint="eastAsia" w:ascii="黑体" w:hAnsi="宋体" w:eastAsia="黑体" w:cs="宋体"/>
          <w:b/>
          <w:bCs/>
          <w:color w:val="000000"/>
          <w:kern w:val="0"/>
          <w:sz w:val="30"/>
          <w:szCs w:val="30"/>
          <w:shd w:val="clear" w:color="auto" w:fill="FFFFFF"/>
        </w:rPr>
        <w:t>一、</w:t>
      </w:r>
      <w:r>
        <w:rPr>
          <w:rFonts w:hint="eastAsia" w:ascii="黑体" w:hAnsi="宋体" w:eastAsia="黑体" w:cs="宋体"/>
          <w:b/>
          <w:bCs/>
          <w:color w:val="000000"/>
          <w:kern w:val="0"/>
          <w:sz w:val="30"/>
          <w:szCs w:val="30"/>
          <w:shd w:val="clear" w:color="auto" w:fill="FFFFFF"/>
          <w:lang w:val="zh-CN"/>
        </w:rPr>
        <w:t>部门（单位）概况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lang w:val="zh-CN"/>
        </w:rPr>
      </w:pPr>
      <w:r>
        <w:rPr>
          <w:rFonts w:hint="eastAsia" w:ascii="楷体_GB2312" w:hAnsi="宋体" w:eastAsia="楷体_GB2312"/>
          <w:b/>
          <w:sz w:val="32"/>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sz w:val="32"/>
          <w:lang w:val="zh-CN"/>
        </w:rPr>
        <w:t>中共红原县委宣传部</w:t>
      </w:r>
      <w:r>
        <w:rPr>
          <w:rFonts w:hint="eastAsia" w:ascii="仿宋_GB2312" w:hAnsi="宋体" w:eastAsia="仿宋_GB2312"/>
          <w:sz w:val="32"/>
          <w:lang w:val="zh-CN"/>
        </w:rPr>
        <w:t>是行政单位，执行行政单位会计制度，我</w:t>
      </w:r>
      <w:r>
        <w:rPr>
          <w:rFonts w:hint="eastAsia" w:ascii="仿宋_GB2312" w:hAnsi="宋体"/>
          <w:sz w:val="32"/>
          <w:lang w:val="zh-CN"/>
        </w:rPr>
        <w:t>部</w:t>
      </w:r>
      <w:r>
        <w:rPr>
          <w:rFonts w:hint="eastAsia" w:ascii="仿宋_GB2312" w:hAnsi="宋体" w:eastAsia="仿宋_GB2312"/>
          <w:sz w:val="32"/>
          <w:lang w:val="zh-CN"/>
        </w:rPr>
        <w:t>下属二级决算单位0个，其中行政单位0个，参照公务员法管理的事业单位0个，其他事业单位</w:t>
      </w:r>
      <w:r>
        <w:rPr>
          <w:rFonts w:hint="eastAsia" w:ascii="仿宋_GB2312" w:hAnsi="宋体"/>
          <w:sz w:val="32"/>
          <w:lang w:val="en-US" w:eastAsia="zh-CN"/>
        </w:rPr>
        <w:t>1</w:t>
      </w:r>
      <w:r>
        <w:rPr>
          <w:rFonts w:hint="eastAsia" w:ascii="仿宋_GB2312" w:hAnsi="宋体" w:eastAsia="仿宋_GB2312"/>
          <w:sz w:val="32"/>
          <w:lang w:val="zh-CN"/>
        </w:rPr>
        <w:t xml:space="preserve">个。是独立核算的机构，是独立编报决算的单位。 </w:t>
      </w:r>
    </w:p>
    <w:p>
      <w:pPr>
        <w:keepNext w:val="0"/>
        <w:keepLines w:val="0"/>
        <w:pageBreakBefore w:val="0"/>
        <w:numPr>
          <w:ilvl w:val="0"/>
          <w:numId w:val="7"/>
        </w:numPr>
        <w:kinsoku/>
        <w:wordWrap/>
        <w:overflowPunct/>
        <w:topLinePunct w:val="0"/>
        <w:autoSpaceDE/>
        <w:autoSpaceDN/>
        <w:bidi w:val="0"/>
        <w:adjustRightInd w:val="0"/>
        <w:snapToGrid w:val="0"/>
        <w:spacing w:line="560" w:lineRule="exact"/>
        <w:ind w:firstLine="720"/>
        <w:textAlignment w:val="auto"/>
        <w:rPr>
          <w:rFonts w:hint="eastAsia" w:ascii="楷体_GB2312" w:hAnsi="宋体" w:eastAsia="楷体_GB2312"/>
          <w:b/>
          <w:sz w:val="32"/>
          <w:lang w:val="zh-CN"/>
        </w:rPr>
      </w:pPr>
      <w:r>
        <w:rPr>
          <w:rFonts w:hint="eastAsia" w:ascii="楷体_GB2312" w:hAnsi="宋体" w:eastAsia="楷体_GB2312"/>
          <w:b/>
          <w:sz w:val="32"/>
          <w:lang w:val="zh-CN"/>
        </w:rPr>
        <w:t>机构职能。</w:t>
      </w:r>
    </w:p>
    <w:p>
      <w:pPr>
        <w:pStyle w:val="26"/>
        <w:keepNext w:val="0"/>
        <w:keepLines w:val="0"/>
        <w:pageBreakBefore w:val="0"/>
        <w:widowControl w:val="0"/>
        <w:shd w:val="clear" w:color="auto" w:fill="auto"/>
        <w:kinsoku/>
        <w:wordWrap/>
        <w:overflowPunct/>
        <w:topLinePunct w:val="0"/>
        <w:autoSpaceDE/>
        <w:autoSpaceDN/>
        <w:bidi w:val="0"/>
        <w:spacing w:before="0" w:after="0" w:line="560" w:lineRule="exact"/>
        <w:ind w:left="0" w:right="0" w:firstLine="660"/>
        <w:jc w:val="both"/>
        <w:textAlignment w:val="auto"/>
        <w:rPr>
          <w:rFonts w:hint="eastAsia" w:ascii="仿宋_GB2312" w:hAnsi="仿宋_GB2312" w:eastAsia="仿宋_GB2312" w:cs="仿宋_GB2312"/>
          <w:kern w:val="2"/>
          <w:sz w:val="32"/>
          <w:szCs w:val="32"/>
          <w:u w:val="none"/>
          <w:shd w:val="clear"/>
          <w:lang w:val="en-US" w:eastAsia="zh-CN" w:bidi="ar-SA"/>
        </w:rPr>
      </w:pPr>
      <w:r>
        <w:rPr>
          <w:rFonts w:hint="eastAsia" w:ascii="仿宋_GB2312" w:hAnsi="仿宋_GB2312" w:eastAsia="仿宋_GB2312" w:cs="仿宋_GB2312"/>
          <w:kern w:val="2"/>
          <w:sz w:val="32"/>
          <w:szCs w:val="32"/>
          <w:u w:val="none"/>
          <w:shd w:val="clear"/>
          <w:lang w:val="en-US" w:eastAsia="zh-CN" w:bidi="ar-SA"/>
        </w:rPr>
        <w:t>拟订全县宣传思想文化工一作冨大政策和事业产业发展</w:t>
      </w:r>
      <w:bookmarkStart w:id="27" w:name="bookmark10"/>
      <w:bookmarkEnd w:id="27"/>
      <w:r>
        <w:rPr>
          <w:rFonts w:hint="eastAsia" w:ascii="仿宋_GB2312" w:hAnsi="仿宋_GB2312" w:eastAsia="仿宋_GB2312" w:cs="仿宋_GB2312"/>
          <w:kern w:val="2"/>
          <w:sz w:val="32"/>
          <w:szCs w:val="32"/>
          <w:u w:val="none"/>
          <w:shd w:val="clear"/>
          <w:lang w:val="en-US" w:eastAsia="zh-CN" w:bidi="ar-SA"/>
        </w:rPr>
        <w:t>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指导协调理论研究、理论学习、理论宣传工作, 组织推动理论武装工作,指导推动哲学社会科学工作，组织实施马克思主义理论研究和建设工程。负责规划组织全县全局性思想政治工作，配合县委组 织部做好党员教育工作，会同有关部门研究和改进群众思想教育工作。组织重大先进典型的学习和推广。贯彻执行党和国家有关网络安全和信息化工作的方针 政策和法律法规及省委、州委、县委的决策部署，统筹协调全县网络安全和信息化工作。统筹指导协调推动精神文化产品的创作和生产，协调组织优秀传统文化传承发展工作，指导协调推动群众文化建设。统筹组织协调全县精神文明建设工作,协调推动精神。文明创建、公民思想道德建设和志愿服务工作。统筹分析研判和引导社会舆论,负责组织协调重大新闻宣传活动和重大突发公共事件应急新闻工作。统筹协调对外宣传工作，组织指导重大对外宣传活动，协调推动对外文化交流工作。会同有关部门做好境外来访记者采访事务方面的工作。负责人权宣传工作的组织协调,会同有关部门组织涉藏涉稳等方面的对外宣传和舆论斗争工作。宏观上统筹指导协调互联网宣传和信息内容管理。统筹指导舆情信息工作，组织协调开展舆情信息收集分析研判工作，跟踪了解、研究掌握宣传舆情动态。统筹协调组织开展全县新闻发布工作，承担县委新 闻发布有关组织协调工作，负责县政府新闻发布组织实施工作，指导县委、县政府各部门（单位）的新闻发布工作,推动新闻发言人制度建设。拟订全县重大问题宣传口径。对新闻出版、文化艺术、广播电视、电影、文化体 育、旅游等改革发展研究提出政策性建议,统筹指导推进文化体 制改革和文化事业、文化产业、体育及旅游产业发展。负责管理新闻出版行政事务和所涉及的行政审批工 作，监督管理出版物内容和质量，监督管理印刷业，管理著作权 等。组织指导协调</w:t>
      </w:r>
      <w:r>
        <w:rPr>
          <w:rFonts w:hint="eastAsia" w:ascii="仿宋_GB2312" w:hAnsi="仿宋_GB2312" w:eastAsia="仿宋_GB2312" w:cs="仿宋_GB2312"/>
          <w:kern w:val="2"/>
          <w:sz w:val="32"/>
          <w:szCs w:val="32"/>
          <w:u w:val="none"/>
          <w:shd w:val="clear"/>
          <w:lang w:val="zh-CN" w:eastAsia="zh-CN" w:bidi="ar-SA"/>
        </w:rPr>
        <w:t>“扫黄</w:t>
      </w:r>
      <w:r>
        <w:rPr>
          <w:rFonts w:hint="eastAsia" w:ascii="仿宋_GB2312" w:hAnsi="仿宋_GB2312" w:eastAsia="仿宋_GB2312" w:cs="仿宋_GB2312"/>
          <w:kern w:val="2"/>
          <w:sz w:val="32"/>
          <w:szCs w:val="32"/>
          <w:u w:val="none"/>
          <w:shd w:val="clear"/>
          <w:lang w:val="en-US" w:eastAsia="zh-CN" w:bidi="ar-SA"/>
        </w:rPr>
        <w:t>打非”工作。负责新闻记者证管理工作。负责管理电影行政事务和所涉及的行政审批工作， 组织对电影内容进行审查，组织实施农村电影放映工作。受县委委托，会同县委组织部管理文化旅游、新闻、 出版、广播电视、电影和互联网信息等方面县直宣传思想文化单 位的领导干部。负责有关重要宣传舆论阵地和重要岗位领导干部管理。负责组织开展宣传思想文化战线干部教育培训和人才工作。承担县精神文明建设委员会、县意识形态领导小组、县宣传思想文化工作领导小组、县</w:t>
      </w:r>
      <w:r>
        <w:rPr>
          <w:rFonts w:hint="eastAsia" w:ascii="仿宋_GB2312" w:hAnsi="仿宋_GB2312" w:eastAsia="仿宋_GB2312" w:cs="仿宋_GB2312"/>
          <w:kern w:val="2"/>
          <w:sz w:val="32"/>
          <w:szCs w:val="32"/>
          <w:u w:val="none"/>
          <w:shd w:val="clear"/>
          <w:lang w:val="zh-CN" w:eastAsia="zh-CN" w:bidi="ar-SA"/>
        </w:rPr>
        <w:t>“扫</w:t>
      </w:r>
      <w:r>
        <w:rPr>
          <w:rFonts w:hint="eastAsia" w:ascii="仿宋_GB2312" w:hAnsi="仿宋_GB2312" w:eastAsia="仿宋_GB2312" w:cs="仿宋_GB2312"/>
          <w:kern w:val="2"/>
          <w:sz w:val="32"/>
          <w:szCs w:val="32"/>
          <w:u w:val="none"/>
          <w:shd w:val="clear"/>
          <w:lang w:val="en-US" w:eastAsia="zh-CN" w:bidi="ar-SA"/>
        </w:rPr>
        <w:t>黄打非</w:t>
      </w:r>
      <w:r>
        <w:rPr>
          <w:rFonts w:hint="eastAsia" w:ascii="仿宋_GB2312" w:hAnsi="仿宋_GB2312" w:eastAsia="仿宋_GB2312" w:cs="仿宋_GB2312"/>
          <w:kern w:val="2"/>
          <w:sz w:val="32"/>
          <w:szCs w:val="32"/>
          <w:u w:val="none"/>
          <w:shd w:val="clear"/>
          <w:lang w:val="zh-CN" w:eastAsia="zh-CN" w:bidi="ar-SA"/>
        </w:rPr>
        <w:t>”工</w:t>
      </w:r>
      <w:r>
        <w:rPr>
          <w:rFonts w:hint="eastAsia" w:ascii="仿宋_GB2312" w:hAnsi="仿宋_GB2312" w:eastAsia="仿宋_GB2312" w:cs="仿宋_GB2312"/>
          <w:kern w:val="2"/>
          <w:sz w:val="32"/>
          <w:szCs w:val="32"/>
          <w:u w:val="none"/>
          <w:shd w:val="clear"/>
          <w:lang w:val="en-US" w:eastAsia="zh-CN" w:bidi="ar-SA"/>
        </w:rPr>
        <w:t>作领导小组、县文化教育卫生体制改革专项小组的日常工作。受县委委托,代管县文联，领导管理县融媒体中心。</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lang w:val="zh-CN"/>
        </w:rPr>
      </w:pPr>
      <w:r>
        <w:rPr>
          <w:rFonts w:hint="eastAsia" w:ascii="楷体_GB2312" w:hAnsi="宋体" w:eastAsia="楷体_GB2312"/>
          <w:b/>
          <w:sz w:val="32"/>
          <w:lang w:val="zh-CN"/>
        </w:rPr>
        <w:t>（三） 人员情况。</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default" w:ascii="仿宋_GB2312" w:hAnsi="宋体" w:eastAsia="仿宋_GB2312"/>
          <w:sz w:val="32"/>
          <w:lang w:val="en-US" w:eastAsia="zh-CN"/>
        </w:rPr>
      </w:pPr>
      <w:r>
        <w:rPr>
          <w:rFonts w:hint="eastAsia" w:ascii="仿宋_GB2312" w:hAnsi="宋体" w:eastAsia="仿宋_GB2312"/>
          <w:sz w:val="32"/>
          <w:lang w:val="zh-CN"/>
        </w:rPr>
        <w:t>我</w:t>
      </w:r>
      <w:r>
        <w:rPr>
          <w:rFonts w:hint="eastAsia" w:ascii="仿宋_GB2312" w:hAnsi="宋体"/>
          <w:sz w:val="32"/>
          <w:lang w:val="zh-CN"/>
        </w:rPr>
        <w:t>部</w:t>
      </w:r>
      <w:r>
        <w:rPr>
          <w:rFonts w:hint="eastAsia" w:ascii="仿宋_GB2312" w:hAnsi="宋体" w:eastAsia="仿宋_GB2312"/>
          <w:sz w:val="32"/>
          <w:lang w:val="zh-CN"/>
        </w:rPr>
        <w:t>人事核定行政编制</w:t>
      </w:r>
      <w:r>
        <w:rPr>
          <w:rFonts w:hint="eastAsia" w:ascii="仿宋_GB2312" w:hAnsi="宋体"/>
          <w:sz w:val="32"/>
          <w:lang w:val="en-US" w:eastAsia="zh-CN"/>
        </w:rPr>
        <w:t>9</w:t>
      </w:r>
      <w:r>
        <w:rPr>
          <w:rFonts w:hint="eastAsia" w:ascii="仿宋_GB2312" w:hAnsi="宋体" w:eastAsia="仿宋_GB2312"/>
          <w:sz w:val="32"/>
          <w:lang w:val="zh-CN"/>
        </w:rPr>
        <w:t>人，其中：行政工勤编制1人。是独立核算的机构，是独立编报预算的单位。20</w:t>
      </w:r>
      <w:r>
        <w:rPr>
          <w:rFonts w:hint="eastAsia" w:ascii="仿宋_GB2312" w:hAnsi="宋体"/>
          <w:sz w:val="32"/>
          <w:lang w:val="en-US" w:eastAsia="zh-CN"/>
        </w:rPr>
        <w:t>20</w:t>
      </w:r>
      <w:r>
        <w:rPr>
          <w:rFonts w:hint="eastAsia" w:ascii="仿宋_GB2312" w:hAnsi="宋体" w:eastAsia="仿宋_GB2312"/>
          <w:sz w:val="32"/>
          <w:lang w:val="zh-CN"/>
        </w:rPr>
        <w:t>年年末在职行政人数</w:t>
      </w:r>
      <w:r>
        <w:rPr>
          <w:rFonts w:hint="eastAsia" w:ascii="仿宋_GB2312" w:hAnsi="宋体"/>
          <w:sz w:val="32"/>
          <w:lang w:val="en-US" w:eastAsia="zh-CN"/>
        </w:rPr>
        <w:t>7</w:t>
      </w:r>
      <w:r>
        <w:rPr>
          <w:rFonts w:hint="eastAsia" w:ascii="仿宋_GB2312" w:hAnsi="宋体" w:eastAsia="仿宋_GB2312"/>
          <w:sz w:val="32"/>
          <w:lang w:val="zh-CN"/>
        </w:rPr>
        <w:t>人，其中：行政工勤在职人数1人。事业编制人数</w:t>
      </w:r>
      <w:r>
        <w:rPr>
          <w:rFonts w:hint="eastAsia" w:ascii="仿宋_GB2312" w:hAnsi="宋体"/>
          <w:sz w:val="32"/>
          <w:lang w:val="en-US" w:eastAsia="zh-CN"/>
        </w:rPr>
        <w:t>7</w:t>
      </w:r>
      <w:r>
        <w:rPr>
          <w:rFonts w:hint="eastAsia" w:ascii="仿宋_GB2312" w:hAnsi="宋体" w:eastAsia="仿宋_GB2312"/>
          <w:sz w:val="32"/>
          <w:lang w:val="en-US" w:eastAsia="zh-CN"/>
        </w:rPr>
        <w:t>人，实有人数</w:t>
      </w:r>
      <w:r>
        <w:rPr>
          <w:rFonts w:hint="eastAsia" w:ascii="仿宋_GB2312" w:hAnsi="宋体"/>
          <w:sz w:val="32"/>
          <w:lang w:val="en-US" w:eastAsia="zh-CN"/>
        </w:rPr>
        <w:t>7</w:t>
      </w:r>
      <w:r>
        <w:rPr>
          <w:rFonts w:hint="eastAsia" w:ascii="仿宋_GB2312" w:hAnsi="宋体" w:eastAsia="仿宋_GB2312"/>
          <w:sz w:val="32"/>
          <w:lang w:val="en-US" w:eastAsia="zh-CN"/>
        </w:rPr>
        <w:t>人。</w:t>
      </w:r>
    </w:p>
    <w:p>
      <w:pPr>
        <w:keepNext w:val="0"/>
        <w:keepLines w:val="0"/>
        <w:pageBreakBefore w:val="0"/>
        <w:widowControl/>
        <w:kinsoku/>
        <w:wordWrap/>
        <w:overflowPunct/>
        <w:topLinePunct w:val="0"/>
        <w:autoSpaceDE/>
        <w:autoSpaceDN/>
        <w:bidi w:val="0"/>
        <w:adjustRightInd w:val="0"/>
        <w:snapToGrid w:val="0"/>
        <w:spacing w:line="560" w:lineRule="exact"/>
        <w:ind w:firstLine="602" w:firstLineChars="200"/>
        <w:contextualSpacing/>
        <w:jc w:val="left"/>
        <w:textAlignment w:val="auto"/>
        <w:rPr>
          <w:rFonts w:hint="eastAsia"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0"/>
          <w:szCs w:val="30"/>
          <w:lang w:val="zh-CN"/>
        </w:rPr>
      </w:pPr>
      <w:r>
        <w:rPr>
          <w:rFonts w:hint="eastAsia" w:ascii="仿宋_GB2312" w:hAnsi="仿宋_GB2312" w:eastAsia="仿宋_GB2312" w:cs="仿宋_GB2312"/>
          <w:b/>
          <w:bCs/>
          <w:color w:val="000000"/>
          <w:kern w:val="0"/>
          <w:sz w:val="30"/>
          <w:szCs w:val="30"/>
          <w:lang w:val="zh-CN"/>
        </w:rPr>
        <w:t>（一）部门财政资金收入情况。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sz w:val="32"/>
          <w:lang w:val="en-US" w:eastAsia="zh-CN"/>
        </w:rPr>
      </w:pPr>
      <w:r>
        <w:rPr>
          <w:rFonts w:hint="eastAsia" w:ascii="仿宋_GB2312" w:hAnsi="宋体" w:eastAsia="仿宋_GB2312"/>
          <w:sz w:val="32"/>
          <w:lang w:val="en-US" w:eastAsia="zh-CN"/>
        </w:rPr>
        <w:t>1.</w:t>
      </w:r>
      <w:r>
        <w:rPr>
          <w:rFonts w:hint="eastAsia" w:ascii="仿宋_GB2312" w:hAnsi="宋体" w:eastAsia="仿宋_GB2312"/>
          <w:sz w:val="32"/>
          <w:lang w:val="zh-CN"/>
        </w:rPr>
        <w:t>20</w:t>
      </w:r>
      <w:r>
        <w:rPr>
          <w:rFonts w:hint="eastAsia" w:ascii="仿宋_GB2312" w:hAnsi="宋体"/>
          <w:sz w:val="32"/>
          <w:lang w:val="en-US" w:eastAsia="zh-CN"/>
        </w:rPr>
        <w:t>21</w:t>
      </w:r>
      <w:r>
        <w:rPr>
          <w:rFonts w:hint="eastAsia" w:ascii="仿宋_GB2312" w:hAnsi="宋体" w:eastAsia="仿宋_GB2312"/>
          <w:sz w:val="32"/>
          <w:lang w:val="zh-CN"/>
        </w:rPr>
        <w:t>年度总收入</w:t>
      </w:r>
      <w:r>
        <w:rPr>
          <w:rFonts w:hint="eastAsia" w:ascii="仿宋_GB2312" w:hAnsi="宋体"/>
          <w:sz w:val="32"/>
          <w:lang w:val="en-US" w:eastAsia="zh-CN"/>
        </w:rPr>
        <w:t>549.49</w:t>
      </w:r>
      <w:r>
        <w:rPr>
          <w:rFonts w:hint="eastAsia" w:ascii="仿宋_GB2312" w:hAnsi="宋体" w:eastAsia="仿宋_GB2312"/>
          <w:sz w:val="32"/>
          <w:lang w:val="zh-CN"/>
        </w:rPr>
        <w:t>万元，其中：财政拨款收入</w:t>
      </w:r>
      <w:r>
        <w:rPr>
          <w:rFonts w:hint="eastAsia" w:ascii="仿宋_GB2312" w:hAnsi="宋体"/>
          <w:sz w:val="32"/>
          <w:lang w:val="en-US" w:eastAsia="zh-CN"/>
        </w:rPr>
        <w:t>549.49</w:t>
      </w:r>
      <w:r>
        <w:rPr>
          <w:rFonts w:hint="eastAsia" w:ascii="仿宋_GB2312" w:hAnsi="宋体" w:eastAsia="仿宋_GB2312"/>
          <w:sz w:val="32"/>
          <w:lang w:val="zh-CN"/>
        </w:rPr>
        <w:t>万元，占</w:t>
      </w:r>
      <w:r>
        <w:rPr>
          <w:rFonts w:hint="eastAsia" w:ascii="仿宋_GB2312" w:hAnsi="宋体"/>
          <w:sz w:val="32"/>
          <w:lang w:val="en-US" w:eastAsia="zh-CN"/>
        </w:rPr>
        <w:t>100</w:t>
      </w:r>
      <w:r>
        <w:rPr>
          <w:rFonts w:hint="eastAsia" w:ascii="仿宋_GB2312" w:hAnsi="宋体" w:eastAsia="仿宋_GB2312"/>
          <w:sz w:val="32"/>
          <w:lang w:val="zh-CN"/>
        </w:rPr>
        <w:t>%；政府性基金预算财政拨款</w:t>
      </w:r>
      <w:r>
        <w:rPr>
          <w:rFonts w:hint="eastAsia" w:ascii="仿宋_GB2312" w:hAnsi="宋体"/>
          <w:sz w:val="32"/>
          <w:lang w:val="en-US" w:eastAsia="zh-CN"/>
        </w:rPr>
        <w:t>0</w:t>
      </w:r>
      <w:r>
        <w:rPr>
          <w:rFonts w:hint="eastAsia" w:ascii="仿宋_GB2312" w:hAnsi="宋体" w:eastAsia="仿宋_GB2312"/>
          <w:sz w:val="32"/>
          <w:lang w:val="zh-CN"/>
        </w:rPr>
        <w:t>万元，占</w:t>
      </w:r>
      <w:r>
        <w:rPr>
          <w:rFonts w:hint="eastAsia" w:ascii="仿宋_GB2312" w:hAnsi="宋体"/>
          <w:sz w:val="32"/>
          <w:lang w:val="en-US" w:eastAsia="zh-CN"/>
        </w:rPr>
        <w:t>0</w:t>
      </w:r>
      <w:r>
        <w:rPr>
          <w:rFonts w:hint="eastAsia" w:ascii="仿宋_GB2312" w:hAnsi="宋体" w:eastAsia="仿宋_GB2312"/>
          <w:sz w:val="32"/>
          <w:lang w:val="zh-CN"/>
        </w:rPr>
        <w:t>%；其他收入</w:t>
      </w:r>
      <w:r>
        <w:rPr>
          <w:rFonts w:hint="eastAsia" w:ascii="仿宋_GB2312" w:hAnsi="宋体"/>
          <w:sz w:val="32"/>
          <w:lang w:val="en-US" w:eastAsia="zh-CN"/>
        </w:rPr>
        <w:t>0</w:t>
      </w:r>
      <w:r>
        <w:rPr>
          <w:rFonts w:hint="eastAsia" w:ascii="仿宋_GB2312" w:hAnsi="宋体" w:eastAsia="仿宋_GB2312"/>
          <w:sz w:val="32"/>
          <w:lang w:val="zh-CN"/>
        </w:rPr>
        <w:t>万元利息，占</w:t>
      </w:r>
      <w:r>
        <w:rPr>
          <w:rFonts w:hint="eastAsia" w:ascii="仿宋_GB2312" w:hAnsi="宋体" w:eastAsia="仿宋_GB2312"/>
          <w:sz w:val="32"/>
          <w:lang w:val="en-US" w:eastAsia="zh-CN"/>
        </w:rPr>
        <w:t>0</w:t>
      </w:r>
      <w:r>
        <w:rPr>
          <w:rFonts w:hint="eastAsia" w:ascii="仿宋_GB2312" w:hAnsi="宋体" w:eastAsia="仿宋_GB2312"/>
          <w:sz w:val="32"/>
          <w:lang w:val="zh-CN"/>
        </w:rPr>
        <w:t>%；上级补助收入0万元，占0%；事业收入0万元，占0%；经营收入0万元，占0%；附属单位上缴收入0万元，占0%；</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仿宋_GB2312" w:hAnsi="宋体" w:eastAsia="仿宋_GB2312"/>
          <w:sz w:val="32"/>
          <w:lang w:val="zh-CN"/>
        </w:rPr>
      </w:pPr>
      <w:r>
        <w:rPr>
          <w:rFonts w:hint="eastAsia" w:ascii="楷体_GB2312" w:hAnsi="宋体" w:eastAsia="楷体_GB2312"/>
          <w:b/>
          <w:sz w:val="32"/>
          <w:lang w:val="zh-CN"/>
        </w:rPr>
        <w:t>（二）财政资金支出情况。</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宋体" w:eastAsia="仿宋_GB2312"/>
          <w:sz w:val="32"/>
          <w:lang w:val="zh-CN"/>
        </w:rPr>
      </w:pPr>
      <w:r>
        <w:rPr>
          <w:rFonts w:hint="eastAsia" w:ascii="仿宋_GB2312" w:hAnsi="宋体" w:eastAsia="仿宋_GB2312"/>
          <w:sz w:val="32"/>
          <w:lang w:val="zh-CN"/>
        </w:rPr>
        <w:t>一、20</w:t>
      </w:r>
      <w:r>
        <w:rPr>
          <w:rFonts w:hint="eastAsia" w:ascii="仿宋_GB2312" w:hAnsi="宋体"/>
          <w:sz w:val="32"/>
          <w:lang w:val="en-US" w:eastAsia="zh-CN"/>
        </w:rPr>
        <w:t>21</w:t>
      </w:r>
      <w:r>
        <w:rPr>
          <w:rFonts w:hint="eastAsia" w:ascii="仿宋_GB2312" w:hAnsi="宋体" w:eastAsia="仿宋_GB2312"/>
          <w:sz w:val="32"/>
          <w:lang w:val="zh-CN"/>
        </w:rPr>
        <w:t>年支出合计</w:t>
      </w:r>
      <w:r>
        <w:rPr>
          <w:rFonts w:hint="eastAsia" w:ascii="仿宋_GB2312" w:hAnsi="宋体"/>
          <w:sz w:val="32"/>
          <w:lang w:val="en-US" w:eastAsia="zh-CN"/>
        </w:rPr>
        <w:t>572.08万</w:t>
      </w:r>
      <w:r>
        <w:rPr>
          <w:rFonts w:hint="eastAsia" w:ascii="仿宋_GB2312" w:hAnsi="宋体" w:eastAsia="仿宋_GB2312"/>
          <w:sz w:val="32"/>
          <w:lang w:val="zh-CN"/>
        </w:rPr>
        <w:t>元，其中：一般公共服务支出</w:t>
      </w:r>
      <w:r>
        <w:rPr>
          <w:rFonts w:hint="eastAsia" w:ascii="仿宋_GB2312" w:hAnsi="宋体"/>
          <w:sz w:val="32"/>
          <w:lang w:val="en-US" w:eastAsia="zh-CN"/>
        </w:rPr>
        <w:t>458.63万</w:t>
      </w:r>
      <w:r>
        <w:rPr>
          <w:rFonts w:hint="eastAsia" w:ascii="仿宋_GB2312" w:hAnsi="宋体" w:eastAsia="仿宋_GB2312"/>
          <w:sz w:val="32"/>
          <w:lang w:val="zh-CN"/>
        </w:rPr>
        <w:t>元，占总支出</w:t>
      </w:r>
      <w:r>
        <w:rPr>
          <w:rFonts w:hint="eastAsia" w:ascii="仿宋_GB2312" w:hAnsi="宋体"/>
          <w:sz w:val="32"/>
          <w:lang w:val="en-US" w:eastAsia="zh-CN"/>
        </w:rPr>
        <w:t>80.16</w:t>
      </w:r>
      <w:r>
        <w:rPr>
          <w:rFonts w:hint="eastAsia" w:ascii="仿宋_GB2312" w:hAnsi="宋体" w:eastAsia="仿宋_GB2312"/>
          <w:sz w:val="32"/>
          <w:lang w:val="zh-CN"/>
        </w:rPr>
        <w:t>%；文化旅游体育与传媒支出</w:t>
      </w:r>
      <w:r>
        <w:rPr>
          <w:rFonts w:hint="eastAsia" w:ascii="仿宋_GB2312" w:hAnsi="宋体"/>
          <w:sz w:val="32"/>
          <w:lang w:val="en-US" w:eastAsia="zh-CN"/>
        </w:rPr>
        <w:t>34.25</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5.99</w:t>
      </w:r>
      <w:r>
        <w:rPr>
          <w:rFonts w:hint="eastAsia" w:ascii="仿宋_GB2312" w:hAnsi="宋体" w:eastAsia="仿宋_GB2312"/>
          <w:sz w:val="32"/>
          <w:lang w:val="zh-CN"/>
        </w:rPr>
        <w:t>%；社会保障局和就业支出</w:t>
      </w:r>
      <w:r>
        <w:rPr>
          <w:rFonts w:hint="eastAsia" w:ascii="仿宋_GB2312" w:hAnsi="宋体"/>
          <w:sz w:val="32"/>
          <w:lang w:val="en-US" w:eastAsia="zh-CN"/>
        </w:rPr>
        <w:t>35.98万</w:t>
      </w:r>
      <w:r>
        <w:rPr>
          <w:rFonts w:hint="eastAsia" w:ascii="仿宋_GB2312" w:hAnsi="宋体" w:eastAsia="仿宋_GB2312"/>
          <w:sz w:val="32"/>
          <w:lang w:val="zh-CN"/>
        </w:rPr>
        <w:t>元，占总支出</w:t>
      </w:r>
      <w:r>
        <w:rPr>
          <w:rFonts w:hint="eastAsia" w:ascii="仿宋_GB2312" w:hAnsi="宋体"/>
          <w:sz w:val="32"/>
          <w:lang w:val="en-US" w:eastAsia="zh-CN"/>
        </w:rPr>
        <w:t>6.29</w:t>
      </w:r>
      <w:r>
        <w:rPr>
          <w:rFonts w:hint="eastAsia" w:ascii="仿宋_GB2312" w:hAnsi="宋体" w:eastAsia="仿宋_GB2312"/>
          <w:sz w:val="32"/>
          <w:lang w:val="zh-CN"/>
        </w:rPr>
        <w:t>%；卫生健康支出</w:t>
      </w:r>
      <w:r>
        <w:rPr>
          <w:rFonts w:hint="eastAsia" w:ascii="仿宋_GB2312" w:hAnsi="宋体"/>
          <w:sz w:val="32"/>
          <w:lang w:val="en-US" w:eastAsia="zh-CN"/>
        </w:rPr>
        <w:t>18.80</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3.29</w:t>
      </w:r>
      <w:r>
        <w:rPr>
          <w:rFonts w:hint="eastAsia" w:ascii="仿宋_GB2312" w:hAnsi="宋体" w:eastAsia="仿宋_GB2312"/>
          <w:sz w:val="32"/>
          <w:lang w:val="zh-CN"/>
        </w:rPr>
        <w:t>%；住房保障支出</w:t>
      </w:r>
      <w:r>
        <w:rPr>
          <w:rFonts w:hint="eastAsia" w:ascii="仿宋_GB2312" w:hAnsi="宋体"/>
          <w:sz w:val="32"/>
          <w:lang w:val="en-US" w:eastAsia="zh-CN"/>
        </w:rPr>
        <w:t>24.42</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4.27</w:t>
      </w:r>
      <w:r>
        <w:rPr>
          <w:rFonts w:hint="eastAsia" w:ascii="仿宋_GB2312" w:hAnsi="宋体" w:eastAsia="仿宋_GB2312"/>
          <w:sz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hint="eastAsia" w:ascii="仿宋_GB2312" w:hAnsi="仿宋_GB2312" w:eastAsia="仿宋_GB2312" w:cs="仿宋_GB2312"/>
          <w:b/>
          <w:bCs/>
          <w:color w:val="000000"/>
          <w:kern w:val="0"/>
          <w:sz w:val="30"/>
          <w:szCs w:val="30"/>
        </w:rPr>
      </w:pPr>
      <w:r>
        <w:rPr>
          <w:rFonts w:hint="eastAsia" w:ascii="仿宋_GB2312" w:hAnsi="仿宋_GB2312" w:eastAsia="仿宋_GB2312" w:cs="仿宋_GB2312"/>
          <w:b/>
          <w:bCs/>
          <w:color w:val="000000"/>
          <w:kern w:val="0"/>
          <w:sz w:val="30"/>
          <w:szCs w:val="30"/>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0"/>
          <w:szCs w:val="30"/>
          <w:lang w:val="zh-CN"/>
        </w:rPr>
      </w:pPr>
      <w:r>
        <w:rPr>
          <w:rFonts w:hint="eastAsia" w:ascii="仿宋_GB2312" w:hAnsi="仿宋_GB2312" w:eastAsia="仿宋_GB2312" w:cs="仿宋_GB2312"/>
          <w:b/>
          <w:bCs/>
          <w:color w:val="000000"/>
          <w:kern w:val="0"/>
          <w:sz w:val="30"/>
          <w:szCs w:val="30"/>
          <w:lang w:val="zh-CN"/>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1、20</w:t>
      </w:r>
      <w:r>
        <w:rPr>
          <w:rFonts w:hint="eastAsia" w:ascii="仿宋_GB2312" w:hAnsi="宋体"/>
          <w:sz w:val="32"/>
          <w:lang w:val="en-US" w:eastAsia="zh-CN"/>
        </w:rPr>
        <w:t>21</w:t>
      </w:r>
      <w:r>
        <w:rPr>
          <w:rFonts w:hint="eastAsia" w:ascii="仿宋_GB2312" w:hAnsi="宋体" w:eastAsia="仿宋_GB2312"/>
          <w:sz w:val="32"/>
          <w:lang w:val="zh-CN"/>
        </w:rPr>
        <w:t>年度年初预算基本情况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sz w:val="32"/>
          <w:szCs w:val="32"/>
          <w:lang w:val="en-US" w:eastAsia="zh-CN"/>
        </w:rPr>
        <w:t>1</w:t>
      </w:r>
      <w:r>
        <w:rPr>
          <w:rFonts w:hint="eastAsia" w:ascii="仿宋_GB2312" w:eastAsia="仿宋_GB2312"/>
          <w:sz w:val="32"/>
          <w:szCs w:val="32"/>
        </w:rPr>
        <w:t>年</w:t>
      </w:r>
      <w:r>
        <w:rPr>
          <w:rFonts w:hint="eastAsia" w:ascii="仿宋_GB2312"/>
          <w:sz w:val="32"/>
          <w:szCs w:val="32"/>
          <w:lang w:eastAsia="zh-CN"/>
        </w:rPr>
        <w:t>宣传部</w:t>
      </w:r>
      <w:r>
        <w:rPr>
          <w:rFonts w:hint="eastAsia" w:ascii="仿宋_GB2312" w:eastAsia="仿宋_GB2312"/>
          <w:sz w:val="32"/>
          <w:szCs w:val="32"/>
        </w:rPr>
        <w:t>收入预算总额为</w:t>
      </w:r>
      <w:r>
        <w:rPr>
          <w:rFonts w:hint="eastAsia" w:ascii="仿宋_GB2312"/>
          <w:sz w:val="32"/>
          <w:szCs w:val="32"/>
          <w:lang w:val="en-US" w:eastAsia="zh-CN"/>
        </w:rPr>
        <w:t>549.49</w:t>
      </w:r>
      <w:r>
        <w:rPr>
          <w:rFonts w:hint="eastAsia" w:ascii="仿宋_GB2312" w:eastAsia="仿宋_GB2312"/>
          <w:sz w:val="32"/>
          <w:szCs w:val="32"/>
        </w:rPr>
        <w:t>万元，其中：当年财政拨款收入</w:t>
      </w:r>
      <w:r>
        <w:rPr>
          <w:rFonts w:hint="eastAsia" w:ascii="仿宋_GB2312"/>
          <w:sz w:val="32"/>
          <w:szCs w:val="32"/>
          <w:lang w:val="en-US" w:eastAsia="zh-CN"/>
        </w:rPr>
        <w:t>549.49</w:t>
      </w:r>
      <w:r>
        <w:rPr>
          <w:rFonts w:hint="eastAsia" w:ascii="仿宋_GB2312" w:eastAsia="仿宋_GB2312"/>
          <w:sz w:val="32"/>
          <w:szCs w:val="32"/>
        </w:rPr>
        <w:t>万元。相应安排支出预算</w:t>
      </w:r>
      <w:r>
        <w:rPr>
          <w:rFonts w:hint="eastAsia" w:ascii="仿宋_GB2312"/>
          <w:sz w:val="32"/>
          <w:szCs w:val="32"/>
          <w:lang w:val="en-US" w:eastAsia="zh-CN"/>
        </w:rPr>
        <w:t>549.49</w:t>
      </w:r>
      <w:r>
        <w:rPr>
          <w:rFonts w:hint="eastAsia" w:ascii="仿宋_GB2312" w:eastAsia="仿宋_GB2312"/>
          <w:sz w:val="32"/>
          <w:szCs w:val="32"/>
        </w:rPr>
        <w:t>万元</w:t>
      </w:r>
      <w:r>
        <w:rPr>
          <w:rFonts w:hint="eastAsia" w:ascii="仿宋_GB2312"/>
          <w:sz w:val="32"/>
          <w:szCs w:val="32"/>
          <w:lang w:eastAsia="zh-CN"/>
        </w:rPr>
        <w:t>。</w:t>
      </w:r>
    </w:p>
    <w:p>
      <w:pPr>
        <w:pStyle w:val="15"/>
        <w:keepNext w:val="0"/>
        <w:keepLines w:val="0"/>
        <w:pageBreakBefore w:val="0"/>
        <w:shd w:val="clear" w:color="auto" w:fill="FFFFFF"/>
        <w:kinsoku/>
        <w:wordWrap/>
        <w:overflowPunct/>
        <w:topLinePunct w:val="0"/>
        <w:autoSpaceDE/>
        <w:autoSpaceDN/>
        <w:bidi w:val="0"/>
        <w:spacing w:line="560" w:lineRule="exact"/>
        <w:ind w:firstLine="640" w:firstLineChars="200"/>
        <w:jc w:val="both"/>
        <w:textAlignment w:val="auto"/>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2、20</w:t>
      </w:r>
      <w:r>
        <w:rPr>
          <w:rFonts w:hint="eastAsia" w:ascii="仿宋_GB2312" w:hAnsi="宋体" w:cs="Times New Roman"/>
          <w:kern w:val="2"/>
          <w:sz w:val="32"/>
          <w:lang w:val="en-US" w:eastAsia="zh-CN"/>
        </w:rPr>
        <w:t>21</w:t>
      </w:r>
      <w:r>
        <w:rPr>
          <w:rFonts w:hint="eastAsia" w:ascii="仿宋_GB2312" w:hAnsi="宋体" w:eastAsia="仿宋_GB2312" w:cs="Times New Roman"/>
          <w:kern w:val="2"/>
          <w:sz w:val="32"/>
          <w:lang w:val="zh-CN"/>
        </w:rPr>
        <w:t>年度收支决算情况</w:t>
      </w:r>
    </w:p>
    <w:p>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宋体" w:eastAsia="仿宋_GB2312"/>
          <w:sz w:val="32"/>
          <w:lang w:val="zh-CN"/>
        </w:rPr>
      </w:pPr>
      <w:r>
        <w:rPr>
          <w:rFonts w:hint="eastAsia" w:ascii="仿宋_GB2312" w:hAnsi="宋体" w:eastAsia="仿宋_GB2312"/>
          <w:sz w:val="32"/>
          <w:lang w:val="zh-CN"/>
        </w:rPr>
        <w:t>20</w:t>
      </w:r>
      <w:r>
        <w:rPr>
          <w:rFonts w:hint="eastAsia" w:ascii="仿宋_GB2312" w:hAnsi="宋体"/>
          <w:sz w:val="32"/>
          <w:lang w:val="en-US" w:eastAsia="zh-CN"/>
        </w:rPr>
        <w:t>20</w:t>
      </w:r>
      <w:r>
        <w:rPr>
          <w:rFonts w:hint="eastAsia" w:ascii="仿宋_GB2312" w:hAnsi="宋体" w:eastAsia="仿宋_GB2312"/>
          <w:sz w:val="32"/>
          <w:lang w:val="zh-CN"/>
        </w:rPr>
        <w:t>年度总收入</w:t>
      </w:r>
      <w:r>
        <w:rPr>
          <w:rFonts w:hint="eastAsia" w:ascii="仿宋_GB2312" w:hAnsi="宋体"/>
          <w:sz w:val="32"/>
          <w:lang w:val="en-US" w:eastAsia="zh-CN"/>
        </w:rPr>
        <w:t>549.49</w:t>
      </w:r>
      <w:r>
        <w:rPr>
          <w:rFonts w:hint="eastAsia" w:ascii="仿宋_GB2312" w:hAnsi="宋体" w:eastAsia="仿宋_GB2312"/>
          <w:sz w:val="32"/>
          <w:lang w:val="zh-CN"/>
        </w:rPr>
        <w:t>万元，</w:t>
      </w:r>
      <w:r>
        <w:rPr>
          <w:rFonts w:hint="eastAsia" w:ascii="仿宋_GB2312" w:hAnsi="宋体"/>
          <w:sz w:val="32"/>
          <w:lang w:val="zh-CN"/>
        </w:rPr>
        <w:t>支出</w:t>
      </w:r>
      <w:r>
        <w:rPr>
          <w:rFonts w:hint="eastAsia" w:ascii="仿宋_GB2312" w:hAnsi="宋体"/>
          <w:sz w:val="32"/>
          <w:lang w:val="en-US" w:eastAsia="zh-CN"/>
        </w:rPr>
        <w:t>572.08万元</w:t>
      </w:r>
      <w:r>
        <w:rPr>
          <w:rFonts w:hint="eastAsia" w:ascii="仿宋_GB2312" w:eastAsia="仿宋_GB2312"/>
          <w:sz w:val="32"/>
          <w:szCs w:val="32"/>
        </w:rPr>
        <w:t>，</w:t>
      </w:r>
      <w:r>
        <w:rPr>
          <w:rFonts w:hint="eastAsia" w:ascii="仿宋_GB2312" w:hAnsi="宋体" w:eastAsia="仿宋_GB2312"/>
          <w:sz w:val="32"/>
          <w:lang w:val="zh-CN"/>
        </w:rPr>
        <w:t>其中：一般公共服务支出</w:t>
      </w:r>
      <w:r>
        <w:rPr>
          <w:rFonts w:hint="eastAsia" w:ascii="仿宋_GB2312" w:hAnsi="宋体"/>
          <w:sz w:val="32"/>
          <w:lang w:val="en-US" w:eastAsia="zh-CN"/>
        </w:rPr>
        <w:t>458.63万</w:t>
      </w:r>
      <w:r>
        <w:rPr>
          <w:rFonts w:hint="eastAsia" w:ascii="仿宋_GB2312" w:hAnsi="宋体" w:eastAsia="仿宋_GB2312"/>
          <w:sz w:val="32"/>
          <w:lang w:val="zh-CN"/>
        </w:rPr>
        <w:t>元，占总支出</w:t>
      </w:r>
      <w:r>
        <w:rPr>
          <w:rFonts w:hint="eastAsia" w:ascii="仿宋_GB2312" w:hAnsi="宋体"/>
          <w:sz w:val="32"/>
          <w:lang w:val="en-US" w:eastAsia="zh-CN"/>
        </w:rPr>
        <w:t>80.16</w:t>
      </w:r>
      <w:r>
        <w:rPr>
          <w:rFonts w:hint="eastAsia" w:ascii="仿宋_GB2312" w:hAnsi="宋体" w:eastAsia="仿宋_GB2312"/>
          <w:sz w:val="32"/>
          <w:lang w:val="zh-CN"/>
        </w:rPr>
        <w:t>%；文化旅游体育与传媒支出</w:t>
      </w:r>
      <w:r>
        <w:rPr>
          <w:rFonts w:hint="eastAsia" w:ascii="仿宋_GB2312" w:hAnsi="宋体"/>
          <w:sz w:val="32"/>
          <w:lang w:val="en-US" w:eastAsia="zh-CN"/>
        </w:rPr>
        <w:t>34.25</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5.99</w:t>
      </w:r>
      <w:r>
        <w:rPr>
          <w:rFonts w:hint="eastAsia" w:ascii="仿宋_GB2312" w:hAnsi="宋体" w:eastAsia="仿宋_GB2312"/>
          <w:sz w:val="32"/>
          <w:lang w:val="zh-CN"/>
        </w:rPr>
        <w:t>%；社会保障局和就业支出</w:t>
      </w:r>
      <w:r>
        <w:rPr>
          <w:rFonts w:hint="eastAsia" w:ascii="仿宋_GB2312" w:hAnsi="宋体"/>
          <w:sz w:val="32"/>
          <w:lang w:val="en-US" w:eastAsia="zh-CN"/>
        </w:rPr>
        <w:t>35.98万</w:t>
      </w:r>
      <w:r>
        <w:rPr>
          <w:rFonts w:hint="eastAsia" w:ascii="仿宋_GB2312" w:hAnsi="宋体" w:eastAsia="仿宋_GB2312"/>
          <w:sz w:val="32"/>
          <w:lang w:val="zh-CN"/>
        </w:rPr>
        <w:t>元，占总支出</w:t>
      </w:r>
      <w:r>
        <w:rPr>
          <w:rFonts w:hint="eastAsia" w:ascii="仿宋_GB2312" w:hAnsi="宋体"/>
          <w:sz w:val="32"/>
          <w:lang w:val="en-US" w:eastAsia="zh-CN"/>
        </w:rPr>
        <w:t>6.29</w:t>
      </w:r>
      <w:r>
        <w:rPr>
          <w:rFonts w:hint="eastAsia" w:ascii="仿宋_GB2312" w:hAnsi="宋体" w:eastAsia="仿宋_GB2312"/>
          <w:sz w:val="32"/>
          <w:lang w:val="zh-CN"/>
        </w:rPr>
        <w:t>%；卫生健康支出</w:t>
      </w:r>
      <w:r>
        <w:rPr>
          <w:rFonts w:hint="eastAsia" w:ascii="仿宋_GB2312" w:hAnsi="宋体"/>
          <w:sz w:val="32"/>
          <w:lang w:val="en-US" w:eastAsia="zh-CN"/>
        </w:rPr>
        <w:t>18.80</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3.29</w:t>
      </w:r>
      <w:r>
        <w:rPr>
          <w:rFonts w:hint="eastAsia" w:ascii="仿宋_GB2312" w:hAnsi="宋体" w:eastAsia="仿宋_GB2312"/>
          <w:sz w:val="32"/>
          <w:lang w:val="zh-CN"/>
        </w:rPr>
        <w:t>%；住房保障支出</w:t>
      </w:r>
      <w:r>
        <w:rPr>
          <w:rFonts w:hint="eastAsia" w:ascii="仿宋_GB2312" w:hAnsi="宋体"/>
          <w:sz w:val="32"/>
          <w:lang w:val="en-US" w:eastAsia="zh-CN"/>
        </w:rPr>
        <w:t>24.42</w:t>
      </w:r>
      <w:r>
        <w:rPr>
          <w:rFonts w:hint="eastAsia" w:ascii="仿宋_GB2312" w:hAnsi="宋体"/>
          <w:sz w:val="32"/>
          <w:lang w:val="zh-CN"/>
        </w:rPr>
        <w:t>万</w:t>
      </w:r>
      <w:r>
        <w:rPr>
          <w:rFonts w:hint="eastAsia" w:ascii="仿宋_GB2312" w:hAnsi="宋体" w:eastAsia="仿宋_GB2312"/>
          <w:sz w:val="32"/>
          <w:lang w:val="zh-CN"/>
        </w:rPr>
        <w:t>元，占总支出</w:t>
      </w:r>
      <w:r>
        <w:rPr>
          <w:rFonts w:hint="eastAsia" w:ascii="仿宋_GB2312" w:hAnsi="宋体"/>
          <w:sz w:val="32"/>
          <w:lang w:val="en-US" w:eastAsia="zh-CN"/>
        </w:rPr>
        <w:t>4.27</w:t>
      </w:r>
      <w:r>
        <w:rPr>
          <w:rFonts w:hint="eastAsia" w:ascii="仿宋_GB2312" w:hAnsi="宋体" w:eastAsia="仿宋_GB2312"/>
          <w:sz w:val="32"/>
          <w:lang w:val="zh-CN"/>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楷体_GB2312" w:hAnsi="宋体" w:eastAsia="楷体_GB2312"/>
          <w:b/>
          <w:sz w:val="32"/>
          <w:lang w:val="zh-CN"/>
        </w:rPr>
      </w:pPr>
      <w:r>
        <w:rPr>
          <w:rFonts w:hint="eastAsia" w:ascii="楷体_GB2312" w:hAnsi="宋体" w:eastAsia="楷体_GB2312"/>
          <w:b/>
          <w:sz w:val="32"/>
          <w:lang w:val="zh-CN"/>
        </w:rPr>
        <w:t>（二）执行管理情况。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kern w:val="2"/>
          <w:sz w:val="32"/>
          <w:lang w:val="zh-CN"/>
        </w:rPr>
      </w:pPr>
      <w:r>
        <w:rPr>
          <w:rFonts w:hint="eastAsia" w:ascii="仿宋_GB2312" w:hAnsi="宋体" w:cs="Times New Roman"/>
          <w:kern w:val="2"/>
          <w:sz w:val="32"/>
          <w:lang w:val="en-US" w:eastAsia="zh-CN"/>
        </w:rPr>
        <w:t>1</w:t>
      </w:r>
      <w:r>
        <w:rPr>
          <w:rFonts w:hint="eastAsia" w:ascii="仿宋_GB2312" w:hAnsi="宋体" w:eastAsia="仿宋_GB2312" w:cs="Times New Roman"/>
          <w:kern w:val="2"/>
          <w:sz w:val="32"/>
          <w:lang w:val="zh-CN"/>
        </w:rPr>
        <w:t>、20</w:t>
      </w:r>
      <w:r>
        <w:rPr>
          <w:rFonts w:hint="eastAsia" w:ascii="仿宋_GB2312" w:hAnsi="宋体" w:cs="Times New Roman"/>
          <w:kern w:val="2"/>
          <w:sz w:val="32"/>
          <w:lang w:val="en-US" w:eastAsia="zh-CN"/>
        </w:rPr>
        <w:t>21</w:t>
      </w:r>
      <w:r>
        <w:rPr>
          <w:rFonts w:hint="eastAsia" w:ascii="仿宋_GB2312" w:hAnsi="宋体" w:eastAsia="仿宋_GB2312" w:cs="Times New Roman"/>
          <w:kern w:val="2"/>
          <w:sz w:val="32"/>
          <w:lang w:val="zh-CN"/>
        </w:rPr>
        <w:t>年度支出决算情况20</w:t>
      </w:r>
      <w:r>
        <w:rPr>
          <w:rFonts w:hint="eastAsia" w:ascii="仿宋_GB2312" w:hAnsi="宋体" w:cs="Times New Roman"/>
          <w:kern w:val="2"/>
          <w:sz w:val="32"/>
          <w:lang w:val="en-US" w:eastAsia="zh-CN"/>
        </w:rPr>
        <w:t>21</w:t>
      </w:r>
      <w:r>
        <w:rPr>
          <w:rFonts w:hint="eastAsia" w:ascii="仿宋_GB2312" w:hAnsi="宋体" w:eastAsia="仿宋_GB2312" w:cs="Times New Roman"/>
          <w:kern w:val="2"/>
          <w:sz w:val="32"/>
          <w:lang w:val="zh-CN"/>
        </w:rPr>
        <w:t>年度总支出</w:t>
      </w:r>
      <w:r>
        <w:rPr>
          <w:rFonts w:hint="eastAsia" w:ascii="仿宋_GB2312" w:hAnsi="宋体" w:cs="Times New Roman"/>
          <w:kern w:val="2"/>
          <w:sz w:val="32"/>
          <w:lang w:val="en-US" w:eastAsia="zh-CN"/>
        </w:rPr>
        <w:t>572.08</w:t>
      </w:r>
      <w:r>
        <w:rPr>
          <w:rFonts w:hint="eastAsia" w:ascii="仿宋_GB2312" w:hAnsi="宋体" w:eastAsia="仿宋_GB2312" w:cs="Times New Roman"/>
          <w:kern w:val="2"/>
          <w:sz w:val="32"/>
          <w:lang w:val="zh-CN"/>
        </w:rPr>
        <w:t>万元，其中基本支出</w:t>
      </w:r>
      <w:r>
        <w:rPr>
          <w:rFonts w:hint="eastAsia" w:ascii="仿宋_GB2312" w:hAnsi="宋体" w:cs="Times New Roman"/>
          <w:kern w:val="2"/>
          <w:sz w:val="32"/>
          <w:lang w:val="en-US" w:eastAsia="zh-CN"/>
        </w:rPr>
        <w:t>377.43</w:t>
      </w:r>
      <w:r>
        <w:rPr>
          <w:rFonts w:hint="eastAsia" w:ascii="仿宋_GB2312" w:hAnsi="宋体" w:eastAsia="仿宋_GB2312" w:cs="Times New Roman"/>
          <w:kern w:val="2"/>
          <w:sz w:val="32"/>
          <w:lang w:val="zh-CN"/>
        </w:rPr>
        <w:t>万元占总支出比例</w:t>
      </w:r>
      <w:r>
        <w:rPr>
          <w:rFonts w:hint="eastAsia" w:ascii="仿宋_GB2312" w:hAnsi="宋体" w:cs="Times New Roman"/>
          <w:kern w:val="2"/>
          <w:sz w:val="32"/>
          <w:lang w:val="en-US" w:eastAsia="zh-CN"/>
        </w:rPr>
        <w:t>65.98</w:t>
      </w:r>
      <w:r>
        <w:rPr>
          <w:rFonts w:hint="eastAsia" w:ascii="仿宋_GB2312" w:hAnsi="宋体" w:eastAsia="仿宋_GB2312" w:cs="Times New Roman"/>
          <w:kern w:val="2"/>
          <w:sz w:val="32"/>
          <w:lang w:val="zh-CN"/>
        </w:rPr>
        <w:t>%，项目支出</w:t>
      </w:r>
      <w:r>
        <w:rPr>
          <w:rFonts w:hint="eastAsia" w:ascii="仿宋_GB2312" w:hAnsi="宋体" w:cs="Times New Roman"/>
          <w:kern w:val="2"/>
          <w:sz w:val="32"/>
          <w:lang w:val="en-US" w:eastAsia="zh-CN"/>
        </w:rPr>
        <w:t>194.65</w:t>
      </w:r>
      <w:r>
        <w:rPr>
          <w:rFonts w:hint="eastAsia" w:ascii="仿宋_GB2312" w:hAnsi="宋体" w:eastAsia="仿宋_GB2312" w:cs="Times New Roman"/>
          <w:kern w:val="2"/>
          <w:sz w:val="32"/>
          <w:lang w:val="zh-CN"/>
        </w:rPr>
        <w:t>万元占总支出比例</w:t>
      </w:r>
      <w:r>
        <w:rPr>
          <w:rFonts w:hint="eastAsia" w:ascii="仿宋_GB2312" w:hAnsi="宋体" w:cs="Times New Roman"/>
          <w:kern w:val="2"/>
          <w:sz w:val="32"/>
          <w:lang w:val="en-US" w:eastAsia="zh-CN"/>
        </w:rPr>
        <w:t>34.02</w:t>
      </w:r>
      <w:r>
        <w:rPr>
          <w:rFonts w:hint="eastAsia" w:ascii="仿宋_GB2312" w:hAnsi="宋体" w:eastAsia="仿宋_GB2312" w:cs="Times New Roman"/>
          <w:kern w:val="2"/>
          <w:sz w:val="32"/>
          <w:lang w:val="zh-CN"/>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基本支出</w:t>
      </w:r>
      <w:r>
        <w:rPr>
          <w:rFonts w:hint="eastAsia" w:ascii="仿宋_GB2312" w:hAnsi="宋体" w:cs="Times New Roman"/>
          <w:kern w:val="2"/>
          <w:sz w:val="32"/>
          <w:lang w:val="en-US" w:eastAsia="zh-CN"/>
        </w:rPr>
        <w:t>377.43</w:t>
      </w:r>
      <w:r>
        <w:rPr>
          <w:rFonts w:hint="eastAsia" w:ascii="仿宋_GB2312" w:hAnsi="宋体" w:eastAsia="仿宋_GB2312" w:cs="Times New Roman"/>
          <w:kern w:val="2"/>
          <w:sz w:val="32"/>
          <w:lang w:val="en-US" w:eastAsia="zh-CN"/>
        </w:rPr>
        <w:t>万</w:t>
      </w:r>
      <w:r>
        <w:rPr>
          <w:rFonts w:hint="eastAsia" w:ascii="仿宋_GB2312" w:hAnsi="宋体" w:eastAsia="仿宋_GB2312" w:cs="Times New Roman"/>
          <w:kern w:val="2"/>
          <w:sz w:val="32"/>
          <w:lang w:val="zh-CN"/>
        </w:rPr>
        <w:t>元，占总支出的</w:t>
      </w:r>
      <w:r>
        <w:rPr>
          <w:rFonts w:hint="eastAsia" w:ascii="仿宋_GB2312" w:hAnsi="宋体" w:cs="Times New Roman"/>
          <w:kern w:val="2"/>
          <w:sz w:val="32"/>
          <w:lang w:val="en-US" w:eastAsia="zh-CN"/>
        </w:rPr>
        <w:t>65.98</w:t>
      </w:r>
      <w:r>
        <w:rPr>
          <w:rFonts w:hint="eastAsia" w:ascii="仿宋_GB2312" w:hAnsi="宋体" w:eastAsia="仿宋_GB2312" w:cs="Times New Roman"/>
          <w:kern w:val="2"/>
          <w:sz w:val="32"/>
          <w:lang w:val="zh-CN"/>
        </w:rPr>
        <w:t>%。人员经费</w:t>
      </w:r>
      <w:r>
        <w:rPr>
          <w:rFonts w:hint="eastAsia" w:ascii="仿宋_GB2312" w:hAnsi="宋体" w:cs="Times New Roman"/>
          <w:kern w:val="2"/>
          <w:sz w:val="32"/>
          <w:lang w:val="en-US" w:eastAsia="zh-CN"/>
        </w:rPr>
        <w:t>328.16</w:t>
      </w:r>
      <w:r>
        <w:rPr>
          <w:rFonts w:hint="eastAsia" w:ascii="仿宋_GB2312" w:hAnsi="宋体" w:eastAsia="仿宋_GB2312" w:cs="Times New Roman"/>
          <w:kern w:val="2"/>
          <w:sz w:val="32"/>
          <w:lang w:val="zh-CN"/>
        </w:rPr>
        <w:t>万元，占基本支出的</w:t>
      </w:r>
      <w:r>
        <w:rPr>
          <w:rFonts w:hint="eastAsia" w:ascii="仿宋_GB2312" w:hAnsi="宋体" w:cs="Times New Roman"/>
          <w:kern w:val="2"/>
          <w:sz w:val="32"/>
          <w:lang w:val="en-US" w:eastAsia="zh-CN"/>
        </w:rPr>
        <w:t>86.95</w:t>
      </w:r>
      <w:r>
        <w:rPr>
          <w:rFonts w:hint="eastAsia" w:ascii="仿宋_GB2312" w:hAnsi="宋体" w:eastAsia="仿宋_GB2312" w:cs="Times New Roman"/>
          <w:kern w:val="2"/>
          <w:sz w:val="32"/>
          <w:lang w:val="zh-CN"/>
        </w:rPr>
        <w:t>%，日常公用经费</w:t>
      </w:r>
      <w:r>
        <w:rPr>
          <w:rFonts w:hint="eastAsia" w:ascii="仿宋_GB2312" w:hAnsi="宋体" w:cs="Times New Roman"/>
          <w:kern w:val="2"/>
          <w:sz w:val="32"/>
          <w:lang w:val="en-US" w:eastAsia="zh-CN"/>
        </w:rPr>
        <w:t>49.27</w:t>
      </w:r>
      <w:r>
        <w:rPr>
          <w:rFonts w:hint="eastAsia" w:ascii="仿宋_GB2312" w:hAnsi="宋体" w:eastAsia="仿宋_GB2312" w:cs="Times New Roman"/>
          <w:kern w:val="2"/>
          <w:sz w:val="32"/>
          <w:lang w:val="zh-CN"/>
        </w:rPr>
        <w:t>万元，占基本支出的</w:t>
      </w:r>
      <w:r>
        <w:rPr>
          <w:rFonts w:hint="eastAsia" w:ascii="仿宋_GB2312" w:hAnsi="宋体" w:cs="Times New Roman"/>
          <w:kern w:val="2"/>
          <w:sz w:val="32"/>
          <w:lang w:val="en-US" w:eastAsia="zh-CN"/>
        </w:rPr>
        <w:t>13.05</w:t>
      </w:r>
      <w:r>
        <w:rPr>
          <w:rFonts w:hint="eastAsia" w:ascii="仿宋_GB2312" w:hAnsi="宋体" w:eastAsia="仿宋_GB2312" w:cs="Times New Roman"/>
          <w:kern w:val="2"/>
          <w:sz w:val="32"/>
          <w:lang w:val="zh-CN"/>
        </w:rPr>
        <w:t>%。行政事业类项目支出</w:t>
      </w:r>
      <w:r>
        <w:rPr>
          <w:rFonts w:hint="eastAsia" w:ascii="仿宋_GB2312" w:hAnsi="宋体" w:cs="Times New Roman"/>
          <w:kern w:val="2"/>
          <w:sz w:val="32"/>
          <w:lang w:val="en-US" w:eastAsia="zh-CN"/>
        </w:rPr>
        <w:t>194.65</w:t>
      </w:r>
      <w:r>
        <w:rPr>
          <w:rFonts w:hint="eastAsia" w:ascii="仿宋_GB2312" w:hAnsi="宋体" w:eastAsia="仿宋_GB2312" w:cs="Times New Roman"/>
          <w:kern w:val="2"/>
          <w:sz w:val="32"/>
          <w:lang w:val="en-US" w:eastAsia="zh-CN"/>
        </w:rPr>
        <w:t>万</w:t>
      </w:r>
      <w:r>
        <w:rPr>
          <w:rFonts w:hint="eastAsia" w:ascii="仿宋_GB2312" w:hAnsi="宋体" w:eastAsia="仿宋_GB2312" w:cs="Times New Roman"/>
          <w:kern w:val="2"/>
          <w:sz w:val="32"/>
          <w:lang w:val="zh-CN"/>
        </w:rPr>
        <w:t>元，占总支出的</w:t>
      </w:r>
      <w:r>
        <w:rPr>
          <w:rFonts w:hint="eastAsia" w:ascii="仿宋_GB2312" w:hAnsi="宋体" w:cs="Times New Roman"/>
          <w:kern w:val="2"/>
          <w:sz w:val="32"/>
          <w:lang w:val="en-US" w:eastAsia="zh-CN"/>
        </w:rPr>
        <w:t>34.02</w:t>
      </w:r>
      <w:r>
        <w:rPr>
          <w:rFonts w:hint="eastAsia" w:ascii="仿宋_GB2312" w:hAnsi="宋体" w:eastAsia="仿宋_GB2312" w:cs="Times New Roman"/>
          <w:kern w:val="2"/>
          <w:sz w:val="32"/>
          <w:lang w:val="zh-CN"/>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楷体_GB2312" w:hAnsi="宋体" w:eastAsia="楷体_GB2312"/>
          <w:b/>
          <w:sz w:val="32"/>
          <w:lang w:val="zh-CN"/>
        </w:rPr>
      </w:pPr>
      <w:r>
        <w:rPr>
          <w:rFonts w:hint="eastAsia" w:ascii="楷体_GB2312" w:hAnsi="宋体" w:eastAsia="楷体_GB2312"/>
          <w:b/>
          <w:sz w:val="32"/>
          <w:lang w:val="zh-CN"/>
        </w:rPr>
        <w:t>（三）综合管理情况。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eastAsia="仿宋_GB2312" w:cs="Times New Roman"/>
          <w:b/>
          <w:bCs/>
          <w:kern w:val="2"/>
          <w:sz w:val="32"/>
          <w:lang w:val="zh-CN"/>
        </w:rPr>
        <w:t>（1）政府性债务管理情况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截止目前我</w:t>
      </w:r>
      <w:r>
        <w:rPr>
          <w:rFonts w:hint="eastAsia" w:ascii="仿宋_GB2312" w:hAnsi="宋体" w:cs="Times New Roman"/>
          <w:kern w:val="2"/>
          <w:sz w:val="32"/>
          <w:lang w:val="zh-CN"/>
        </w:rPr>
        <w:t>单位</w:t>
      </w:r>
      <w:r>
        <w:rPr>
          <w:rFonts w:hint="eastAsia" w:ascii="仿宋_GB2312" w:hAnsi="宋体" w:eastAsia="仿宋_GB2312" w:cs="Times New Roman"/>
          <w:kern w:val="2"/>
          <w:sz w:val="32"/>
          <w:lang w:val="zh-CN"/>
        </w:rPr>
        <w:t>不存在政府性债务。</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eastAsia="仿宋_GB2312" w:cs="Times New Roman"/>
          <w:b/>
          <w:bCs/>
          <w:kern w:val="2"/>
          <w:sz w:val="32"/>
          <w:lang w:val="zh-CN"/>
        </w:rPr>
        <w:t>（2）非税收入执收情况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我</w:t>
      </w:r>
      <w:r>
        <w:rPr>
          <w:rFonts w:hint="eastAsia" w:ascii="仿宋_GB2312" w:hAnsi="宋体" w:cs="Times New Roman"/>
          <w:kern w:val="2"/>
          <w:sz w:val="32"/>
          <w:lang w:val="zh-CN"/>
        </w:rPr>
        <w:t>单位</w:t>
      </w:r>
      <w:r>
        <w:rPr>
          <w:rFonts w:hint="eastAsia" w:ascii="仿宋_GB2312" w:hAnsi="宋体" w:eastAsia="仿宋_GB2312" w:cs="Times New Roman"/>
          <w:kern w:val="2"/>
          <w:sz w:val="32"/>
          <w:lang w:val="zh-CN"/>
        </w:rPr>
        <w:t>目前不涉及非税收入相关业务。</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eastAsia="仿宋_GB2312" w:cs="Times New Roman"/>
          <w:b/>
          <w:bCs/>
          <w:kern w:val="2"/>
          <w:sz w:val="32"/>
          <w:lang w:val="zh-CN"/>
        </w:rPr>
        <w:t>（3）政府采购支出情况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20</w:t>
      </w:r>
      <w:r>
        <w:rPr>
          <w:rFonts w:hint="eastAsia" w:ascii="仿宋_GB2312" w:hAnsi="宋体" w:eastAsia="仿宋_GB2312" w:cs="Times New Roman"/>
          <w:kern w:val="2"/>
          <w:sz w:val="32"/>
          <w:lang w:val="en-US" w:eastAsia="zh-CN"/>
        </w:rPr>
        <w:t>2</w:t>
      </w:r>
      <w:r>
        <w:rPr>
          <w:rFonts w:hint="eastAsia" w:ascii="仿宋_GB2312" w:hAnsi="宋体" w:cs="Times New Roman"/>
          <w:kern w:val="2"/>
          <w:sz w:val="32"/>
          <w:lang w:val="en-US" w:eastAsia="zh-CN"/>
        </w:rPr>
        <w:t>1</w:t>
      </w:r>
      <w:r>
        <w:rPr>
          <w:rFonts w:hint="eastAsia" w:ascii="仿宋_GB2312" w:hAnsi="宋体" w:eastAsia="仿宋_GB2312" w:cs="Times New Roman"/>
          <w:kern w:val="2"/>
          <w:sz w:val="32"/>
          <w:lang w:val="zh-CN"/>
        </w:rPr>
        <w:t>年，</w:t>
      </w:r>
      <w:r>
        <w:rPr>
          <w:rFonts w:hint="eastAsia" w:ascii="仿宋_GB2312" w:hAnsi="宋体" w:cs="Times New Roman"/>
          <w:kern w:val="2"/>
          <w:sz w:val="32"/>
          <w:lang w:val="zh-CN"/>
        </w:rPr>
        <w:t>我单位不涉及政府采购支出。</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eastAsia="仿宋_GB2312" w:cs="Times New Roman"/>
          <w:b/>
          <w:bCs/>
          <w:kern w:val="2"/>
          <w:sz w:val="32"/>
          <w:lang w:val="zh-CN"/>
        </w:rPr>
        <w:t>（4）资产管理情况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eastAsia="仿宋_GB2312" w:cs="Times New Roman"/>
          <w:b/>
          <w:bCs/>
          <w:kern w:val="2"/>
          <w:sz w:val="32"/>
          <w:lang w:val="zh-CN"/>
        </w:rPr>
        <w:t>（5）内控制度管理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1、明确了记账人员与审批人员、经办人员的职责权限，使其相互分离、相互制约，以明确责任，防止舞弊，各项业务事项得以有序进行。</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2、明确了财务收支审批程序和审批人的权限和责任，规范了各项资金的使用，提高了资金使用效益。</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3、明确经费支出的范围和开支标准，采取各种有效措施控制经费开支，杜绝了浪费现象的发生。</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4、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cs="Times New Roman"/>
          <w:b/>
          <w:bCs/>
          <w:kern w:val="2"/>
          <w:sz w:val="32"/>
          <w:lang w:val="zh-CN"/>
        </w:rPr>
        <w:t>（</w:t>
      </w:r>
      <w:r>
        <w:rPr>
          <w:rFonts w:hint="eastAsia" w:ascii="仿宋_GB2312" w:hAnsi="宋体" w:cs="Times New Roman"/>
          <w:b/>
          <w:bCs/>
          <w:kern w:val="2"/>
          <w:sz w:val="32"/>
          <w:lang w:val="en-US" w:eastAsia="zh-CN"/>
        </w:rPr>
        <w:t>6</w:t>
      </w:r>
      <w:r>
        <w:rPr>
          <w:rFonts w:hint="eastAsia" w:ascii="仿宋_GB2312" w:hAnsi="宋体" w:cs="Times New Roman"/>
          <w:b/>
          <w:bCs/>
          <w:kern w:val="2"/>
          <w:sz w:val="32"/>
          <w:lang w:val="zh-CN"/>
        </w:rPr>
        <w:t>）</w:t>
      </w:r>
      <w:r>
        <w:rPr>
          <w:rFonts w:hint="eastAsia" w:ascii="仿宋_GB2312" w:hAnsi="宋体" w:eastAsia="仿宋_GB2312" w:cs="Times New Roman"/>
          <w:b/>
          <w:bCs/>
          <w:kern w:val="2"/>
          <w:sz w:val="32"/>
          <w:lang w:val="zh-CN"/>
        </w:rPr>
        <w:t>信息(三公及预算决算)公开情况。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根据县政府相关工作要求，及时依法在政府官方网站对“三公经费”及预算、决算进行公示，授受社会的监督。</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宋体" w:eastAsia="仿宋_GB2312" w:cs="Times New Roman"/>
          <w:b/>
          <w:bCs/>
          <w:kern w:val="2"/>
          <w:sz w:val="32"/>
          <w:lang w:val="zh-CN"/>
        </w:rPr>
      </w:pPr>
      <w:r>
        <w:rPr>
          <w:rFonts w:hint="eastAsia" w:ascii="仿宋_GB2312" w:hAnsi="宋体" w:cs="Times New Roman"/>
          <w:b/>
          <w:bCs/>
          <w:kern w:val="2"/>
          <w:sz w:val="32"/>
          <w:lang w:val="zh-CN"/>
        </w:rPr>
        <w:t>（</w:t>
      </w:r>
      <w:r>
        <w:rPr>
          <w:rFonts w:hint="eastAsia" w:ascii="仿宋_GB2312" w:hAnsi="宋体" w:cs="Times New Roman"/>
          <w:b/>
          <w:bCs/>
          <w:kern w:val="2"/>
          <w:sz w:val="32"/>
          <w:lang w:val="en-US" w:eastAsia="zh-CN"/>
        </w:rPr>
        <w:t>7</w:t>
      </w:r>
      <w:r>
        <w:rPr>
          <w:rFonts w:hint="eastAsia" w:ascii="仿宋_GB2312" w:hAnsi="宋体" w:cs="Times New Roman"/>
          <w:b/>
          <w:bCs/>
          <w:kern w:val="2"/>
          <w:sz w:val="32"/>
          <w:lang w:val="zh-CN"/>
        </w:rPr>
        <w:t>）</w:t>
      </w:r>
      <w:r>
        <w:rPr>
          <w:rFonts w:hint="eastAsia" w:ascii="仿宋_GB2312" w:hAnsi="宋体" w:eastAsia="仿宋_GB2312" w:cs="Times New Roman"/>
          <w:b/>
          <w:bCs/>
          <w:kern w:val="2"/>
          <w:sz w:val="32"/>
          <w:lang w:val="zh-CN"/>
        </w:rPr>
        <w:t>财务财政监督情况。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sz w:val="32"/>
          <w:lang w:val="zh-CN"/>
        </w:rPr>
      </w:pPr>
      <w:r>
        <w:rPr>
          <w:rFonts w:hint="eastAsia" w:ascii="仿宋_GB2312" w:hAnsi="宋体" w:eastAsia="仿宋_GB2312"/>
          <w:sz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（四）整体绩效。</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我部</w:t>
      </w:r>
      <w:r>
        <w:rPr>
          <w:rFonts w:hint="eastAsia" w:ascii="仿宋_GB2312" w:hAnsi="仿宋_GB2312" w:eastAsia="仿宋_GB2312" w:cs="仿宋_GB2312"/>
          <w:sz w:val="32"/>
          <w:szCs w:val="32"/>
          <w:lang w:val="zh-CN"/>
        </w:rPr>
        <w:t>在县委的坚强领导和省、州宣传部门的关心指导下，真抓实干，开拓创新，各项工作均取得良好成效，确保了宣传部全年工作任务的顺利完成。</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部门支出预算，保障了机关日常正常运转，专项资金着眼建设具有强大凝聚力和引领力的社会主义意识形态，建设具有强大生命力和创造力的社会主义精神文明，全民道德素质和社会主义文明程度得到一定提高，同时在维护少数民族地区的社会稳定、提高人民生活水平、改善人民生活质量等方面有着极其重要的意义，有力促进了社会和谐发展，为全县及乡镇的经济社会发展作出了应有的贡献。部门整体支出绩效自评得良好 。</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（二）存在的问题。</w:t>
      </w:r>
      <w:r>
        <w:rPr>
          <w:rFonts w:hint="eastAsia" w:ascii="仿宋_GB2312" w:hAnsi="仿宋_GB2312" w:eastAsia="仿宋_GB2312" w:cs="仿宋_GB2312"/>
          <w:sz w:val="32"/>
          <w:szCs w:val="32"/>
          <w:lang w:val="zh-CN"/>
        </w:rPr>
        <w:t xml:space="preserve">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我单位虽然在专项资金的工作中不断努力完善制度，但是由于我县的特殊环境仍然存在一定的不足，主要表现在：由于群众文化水平低等诸多原因，全民道德素质和社会文明程度还达不到上级要求效果。</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进一步加强与财政、乡镇、县级相关部门的沟通联系，积极参加各类学习、培训，努力提高业务能力、服务意识和服务水平。</w:t>
      </w:r>
    </w:p>
    <w:p>
      <w:pPr>
        <w:keepNext w:val="0"/>
        <w:keepLines w:val="0"/>
        <w:pageBreakBefore w:val="0"/>
        <w:widowControl/>
        <w:kinsoku/>
        <w:wordWrap/>
        <w:overflowPunct/>
        <w:topLinePunct w:val="0"/>
        <w:autoSpaceDE/>
        <w:autoSpaceDN/>
        <w:bidi w:val="0"/>
        <w:adjustRightInd w:val="0"/>
        <w:snapToGrid w:val="0"/>
        <w:spacing w:line="560" w:lineRule="exact"/>
        <w:ind w:firstLine="420" w:firstLineChars="200"/>
        <w:contextualSpacing/>
        <w:jc w:val="left"/>
        <w:textAlignment w:val="auto"/>
        <w:rPr>
          <w:rFonts w:ascii="仿宋_GB2312" w:hAnsi="宋体" w:cs="宋体"/>
          <w:color w:val="000000"/>
          <w:kern w:val="0"/>
          <w:szCs w:val="32"/>
          <w:shd w:val="clear" w:color="auto" w:fill="FFFFFF"/>
          <w:lang w:val="zh-CN"/>
        </w:rPr>
      </w:pPr>
    </w:p>
    <w:p>
      <w:pPr>
        <w:pStyle w:val="2"/>
        <w:keepNext w:val="0"/>
        <w:keepLines w:val="0"/>
        <w:pageBreakBefore w:val="0"/>
        <w:tabs>
          <w:tab w:val="left" w:pos="960"/>
        </w:tabs>
        <w:kinsoku/>
        <w:wordWrap/>
        <w:overflowPunct/>
        <w:topLinePunct w:val="0"/>
        <w:autoSpaceDE/>
        <w:autoSpaceDN/>
        <w:bidi w:val="0"/>
        <w:spacing w:line="560" w:lineRule="exact"/>
        <w:ind w:firstLine="3640" w:firstLineChars="1300"/>
        <w:textAlignment w:val="auto"/>
        <w:rPr>
          <w:rFonts w:hint="eastAsia" w:ascii="仿宋_GB2312" w:hAnsi="宋体" w:cs="宋体"/>
          <w:color w:val="000000"/>
          <w:kern w:val="0"/>
          <w:szCs w:val="32"/>
          <w:shd w:val="clear" w:color="auto" w:fill="FFFFFF"/>
          <w:lang w:val="zh-CN"/>
        </w:rPr>
      </w:pPr>
    </w:p>
    <w:p>
      <w:pPr>
        <w:pStyle w:val="2"/>
        <w:keepNext w:val="0"/>
        <w:keepLines w:val="0"/>
        <w:pageBreakBefore w:val="0"/>
        <w:tabs>
          <w:tab w:val="left" w:pos="960"/>
        </w:tabs>
        <w:kinsoku/>
        <w:wordWrap/>
        <w:overflowPunct/>
        <w:topLinePunct w:val="0"/>
        <w:autoSpaceDE/>
        <w:autoSpaceDN/>
        <w:bidi w:val="0"/>
        <w:spacing w:line="560" w:lineRule="exact"/>
        <w:ind w:firstLine="3640" w:firstLineChars="1300"/>
        <w:textAlignment w:val="auto"/>
        <w:rPr>
          <w:rFonts w:hint="eastAsia" w:ascii="仿宋_GB2312" w:hAnsi="宋体" w:cs="宋体"/>
          <w:color w:val="000000"/>
          <w:kern w:val="0"/>
          <w:szCs w:val="32"/>
          <w:shd w:val="clear" w:color="auto" w:fill="FFFFFF"/>
          <w:lang w:val="zh-CN"/>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9"/>
        <w:rPr>
          <w:rStyle w:val="25"/>
          <w:rFonts w:ascii="黑体" w:hAnsi="黑体" w:eastAsia="黑体"/>
          <w:b w:val="0"/>
        </w:rPr>
      </w:pPr>
    </w:p>
    <w:p>
      <w:pPr>
        <w:spacing w:line="600" w:lineRule="exact"/>
        <w:jc w:val="center"/>
        <w:outlineLvl w:val="0"/>
        <w:rPr>
          <w:rStyle w:val="25"/>
          <w:rFonts w:ascii="黑体" w:hAnsi="黑体" w:eastAsia="黑体"/>
          <w:b w:val="0"/>
        </w:rPr>
      </w:pPr>
      <w:bookmarkStart w:id="28" w:name="_Toc10718"/>
      <w:bookmarkStart w:id="2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26"/>
      <w:bookmarkEnd w:id="28"/>
      <w:bookmarkEnd w:id="29"/>
    </w:p>
    <w:p>
      <w:pPr>
        <w:spacing w:line="600" w:lineRule="exact"/>
        <w:jc w:val="center"/>
        <w:outlineLvl w:val="9"/>
        <w:rPr>
          <w:rFonts w:ascii="仿宋" w:hAnsi="仿宋" w:eastAsia="仿宋"/>
          <w:b/>
          <w:color w:val="000000"/>
          <w:sz w:val="44"/>
          <w:szCs w:val="44"/>
        </w:rPr>
      </w:pPr>
    </w:p>
    <w:p>
      <w:pPr>
        <w:pStyle w:val="6"/>
        <w:rPr>
          <w:rFonts w:ascii="仿宋" w:hAnsi="仿宋" w:eastAsia="仿宋"/>
          <w:color w:val="000000"/>
        </w:rPr>
      </w:pPr>
      <w:bookmarkStart w:id="30" w:name="_Toc15396619"/>
      <w:bookmarkStart w:id="31" w:name="_Toc8039"/>
      <w:r>
        <w:rPr>
          <w:rFonts w:hint="eastAsia" w:ascii="仿宋" w:hAnsi="仿宋" w:eastAsia="仿宋"/>
          <w:b w:val="0"/>
          <w:color w:val="000000"/>
        </w:rPr>
        <w:t>一、</w:t>
      </w:r>
      <w:bookmarkEnd w:id="30"/>
      <w:r>
        <w:rPr>
          <w:rFonts w:hint="eastAsia" w:ascii="仿宋" w:hAnsi="仿宋" w:eastAsia="仿宋"/>
          <w:b w:val="0"/>
          <w:color w:val="000000"/>
        </w:rPr>
        <w:t>收入支出决算总表</w:t>
      </w:r>
      <w:bookmarkEnd w:id="31"/>
    </w:p>
    <w:p>
      <w:pPr>
        <w:pStyle w:val="6"/>
        <w:rPr>
          <w:rFonts w:ascii="仿宋" w:hAnsi="仿宋" w:eastAsia="仿宋"/>
          <w:color w:val="000000"/>
        </w:rPr>
      </w:pPr>
      <w:bookmarkStart w:id="32" w:name="_Toc15396620"/>
      <w:bookmarkStart w:id="33" w:name="_Toc12316"/>
      <w:r>
        <w:rPr>
          <w:rFonts w:hint="eastAsia" w:ascii="仿宋" w:hAnsi="仿宋" w:eastAsia="仿宋"/>
          <w:b w:val="0"/>
          <w:color w:val="000000"/>
        </w:rPr>
        <w:t>二、</w:t>
      </w:r>
      <w:bookmarkEnd w:id="32"/>
      <w:r>
        <w:rPr>
          <w:rFonts w:hint="eastAsia" w:ascii="仿宋" w:hAnsi="仿宋" w:eastAsia="仿宋"/>
          <w:b w:val="0"/>
          <w:color w:val="000000"/>
        </w:rPr>
        <w:t>收入支出决算表</w:t>
      </w:r>
      <w:bookmarkEnd w:id="33"/>
    </w:p>
    <w:p>
      <w:pPr>
        <w:pStyle w:val="6"/>
        <w:rPr>
          <w:rFonts w:ascii="仿宋" w:hAnsi="仿宋" w:eastAsia="仿宋"/>
          <w:color w:val="000000"/>
        </w:rPr>
      </w:pPr>
      <w:bookmarkStart w:id="34" w:name="_Toc15396621"/>
      <w:bookmarkStart w:id="35" w:name="_Toc15102"/>
      <w:r>
        <w:rPr>
          <w:rStyle w:val="24"/>
          <w:rFonts w:hint="eastAsia" w:ascii="仿宋" w:hAnsi="仿宋" w:eastAsia="仿宋"/>
          <w:b w:val="0"/>
          <w:bCs w:val="0"/>
        </w:rPr>
        <w:t>三、</w:t>
      </w:r>
      <w:bookmarkEnd w:id="34"/>
      <w:r>
        <w:rPr>
          <w:rFonts w:hint="eastAsia" w:ascii="仿宋" w:hAnsi="仿宋" w:eastAsia="仿宋"/>
          <w:b w:val="0"/>
          <w:color w:val="000000"/>
        </w:rPr>
        <w:t>收入决算表</w:t>
      </w:r>
      <w:bookmarkEnd w:id="35"/>
    </w:p>
    <w:p>
      <w:pPr>
        <w:pStyle w:val="6"/>
        <w:rPr>
          <w:rFonts w:ascii="仿宋" w:hAnsi="仿宋" w:eastAsia="仿宋"/>
          <w:b w:val="0"/>
          <w:color w:val="000000"/>
        </w:rPr>
      </w:pPr>
      <w:bookmarkStart w:id="36" w:name="_Toc15396622"/>
      <w:bookmarkStart w:id="37" w:name="_Toc28805"/>
      <w:r>
        <w:rPr>
          <w:rStyle w:val="24"/>
          <w:rFonts w:hint="eastAsia" w:ascii="仿宋" w:hAnsi="仿宋" w:eastAsia="仿宋"/>
          <w:b w:val="0"/>
          <w:bCs w:val="0"/>
        </w:rPr>
        <w:t>四、</w:t>
      </w:r>
      <w:bookmarkEnd w:id="36"/>
      <w:r>
        <w:rPr>
          <w:rFonts w:hint="eastAsia" w:ascii="仿宋" w:hAnsi="仿宋" w:eastAsia="仿宋"/>
          <w:b w:val="0"/>
          <w:color w:val="000000"/>
        </w:rPr>
        <w:t>支出决算表</w:t>
      </w:r>
      <w:bookmarkEnd w:id="37"/>
    </w:p>
    <w:p>
      <w:pPr>
        <w:pStyle w:val="6"/>
        <w:rPr>
          <w:rStyle w:val="24"/>
          <w:rFonts w:ascii="仿宋" w:hAnsi="仿宋" w:eastAsia="仿宋"/>
          <w:b w:val="0"/>
          <w:bCs w:val="0"/>
        </w:rPr>
      </w:pPr>
      <w:bookmarkStart w:id="38" w:name="_Toc15396623"/>
      <w:bookmarkStart w:id="39" w:name="_Toc26078"/>
      <w:r>
        <w:rPr>
          <w:rStyle w:val="24"/>
          <w:rFonts w:hint="eastAsia" w:ascii="仿宋" w:hAnsi="仿宋" w:eastAsia="仿宋"/>
          <w:b w:val="0"/>
          <w:bCs w:val="0"/>
        </w:rPr>
        <w:t>五、</w:t>
      </w:r>
      <w:bookmarkEnd w:id="38"/>
      <w:bookmarkStart w:id="40" w:name="_Toc15396624"/>
      <w:r>
        <w:rPr>
          <w:rFonts w:hint="eastAsia" w:ascii="仿宋" w:hAnsi="仿宋" w:eastAsia="仿宋"/>
          <w:b w:val="0"/>
          <w:color w:val="000000"/>
        </w:rPr>
        <w:t>支出决算明细表</w:t>
      </w:r>
      <w:bookmarkEnd w:id="39"/>
    </w:p>
    <w:p>
      <w:pPr>
        <w:pStyle w:val="6"/>
        <w:rPr>
          <w:rFonts w:ascii="仿宋" w:hAnsi="仿宋" w:eastAsia="仿宋"/>
          <w:color w:val="000000"/>
        </w:rPr>
      </w:pPr>
      <w:bookmarkStart w:id="41" w:name="_Toc15033"/>
      <w:r>
        <w:rPr>
          <w:rStyle w:val="24"/>
          <w:rFonts w:hint="eastAsia" w:ascii="仿宋" w:hAnsi="仿宋" w:eastAsia="仿宋"/>
          <w:b w:val="0"/>
          <w:bCs w:val="0"/>
        </w:rPr>
        <w:t>六、</w:t>
      </w:r>
      <w:bookmarkEnd w:id="40"/>
      <w:r>
        <w:rPr>
          <w:rFonts w:hint="eastAsia" w:ascii="仿宋" w:hAnsi="仿宋" w:eastAsia="仿宋"/>
          <w:b w:val="0"/>
          <w:color w:val="000000"/>
        </w:rPr>
        <w:t>项目收入支出决算表</w:t>
      </w:r>
      <w:bookmarkEnd w:id="41"/>
    </w:p>
    <w:p>
      <w:pPr>
        <w:pStyle w:val="6"/>
        <w:rPr>
          <w:rFonts w:ascii="仿宋" w:hAnsi="仿宋" w:eastAsia="仿宋"/>
          <w:color w:val="000000"/>
        </w:rPr>
      </w:pPr>
      <w:bookmarkStart w:id="42" w:name="_Toc15396625"/>
      <w:bookmarkStart w:id="43" w:name="_Toc31078"/>
      <w:r>
        <w:rPr>
          <w:rStyle w:val="24"/>
          <w:rFonts w:hint="eastAsia" w:ascii="仿宋" w:hAnsi="仿宋" w:eastAsia="仿宋"/>
          <w:b w:val="0"/>
          <w:bCs w:val="0"/>
        </w:rPr>
        <w:t>七、</w:t>
      </w:r>
      <w:bookmarkEnd w:id="42"/>
      <w:r>
        <w:rPr>
          <w:rFonts w:hint="eastAsia" w:ascii="仿宋" w:hAnsi="仿宋" w:eastAsia="仿宋"/>
          <w:b w:val="0"/>
          <w:color w:val="000000"/>
        </w:rPr>
        <w:t>一般公共预算财政拨款收入支出决算表</w:t>
      </w:r>
      <w:bookmarkEnd w:id="43"/>
    </w:p>
    <w:p>
      <w:pPr>
        <w:pStyle w:val="6"/>
        <w:rPr>
          <w:rFonts w:hint="eastAsia" w:ascii="仿宋" w:hAnsi="仿宋" w:eastAsia="仿宋"/>
          <w:b w:val="0"/>
          <w:color w:val="000000"/>
        </w:rPr>
      </w:pPr>
      <w:bookmarkStart w:id="44" w:name="_Toc15396626"/>
      <w:bookmarkStart w:id="45" w:name="_Toc12758"/>
      <w:r>
        <w:rPr>
          <w:rStyle w:val="24"/>
          <w:rFonts w:hint="eastAsia" w:ascii="仿宋" w:hAnsi="仿宋" w:eastAsia="仿宋"/>
          <w:b w:val="0"/>
          <w:bCs w:val="0"/>
        </w:rPr>
        <w:t>八、</w:t>
      </w:r>
      <w:bookmarkEnd w:id="44"/>
      <w:bookmarkStart w:id="46" w:name="_Toc15396627"/>
      <w:r>
        <w:rPr>
          <w:rFonts w:hint="eastAsia" w:ascii="仿宋" w:hAnsi="仿宋" w:eastAsia="仿宋"/>
          <w:b w:val="0"/>
          <w:color w:val="000000"/>
        </w:rPr>
        <w:t>一般公共预算财政拨款支出决算明细表</w:t>
      </w:r>
      <w:bookmarkEnd w:id="45"/>
    </w:p>
    <w:p>
      <w:pPr>
        <w:pStyle w:val="6"/>
        <w:rPr>
          <w:rFonts w:hint="eastAsia" w:ascii="仿宋" w:hAnsi="仿宋" w:eastAsia="仿宋"/>
          <w:b w:val="0"/>
          <w:color w:val="000000"/>
        </w:rPr>
      </w:pPr>
      <w:bookmarkStart w:id="47" w:name="_Toc26252"/>
      <w:r>
        <w:rPr>
          <w:rStyle w:val="24"/>
          <w:rFonts w:hint="eastAsia" w:ascii="仿宋" w:hAnsi="仿宋" w:eastAsia="仿宋"/>
          <w:b w:val="0"/>
          <w:bCs w:val="0"/>
        </w:rPr>
        <w:t>九、</w:t>
      </w:r>
      <w:bookmarkEnd w:id="46"/>
      <w:bookmarkStart w:id="48" w:name="_Toc15396628"/>
      <w:r>
        <w:rPr>
          <w:rFonts w:hint="eastAsia" w:ascii="仿宋" w:hAnsi="仿宋" w:eastAsia="仿宋"/>
          <w:b w:val="0"/>
          <w:color w:val="000000"/>
        </w:rPr>
        <w:t>一般公共预算财政拨款基本支出决算明细表</w:t>
      </w:r>
      <w:bookmarkEnd w:id="47"/>
    </w:p>
    <w:p>
      <w:pPr>
        <w:pStyle w:val="6"/>
        <w:rPr>
          <w:rFonts w:ascii="仿宋" w:hAnsi="仿宋" w:eastAsia="仿宋"/>
          <w:color w:val="000000"/>
        </w:rPr>
      </w:pPr>
      <w:bookmarkStart w:id="49" w:name="_Toc15364"/>
      <w:r>
        <w:rPr>
          <w:rStyle w:val="24"/>
          <w:rFonts w:hint="eastAsia" w:ascii="仿宋" w:hAnsi="仿宋" w:eastAsia="仿宋"/>
          <w:b w:val="0"/>
          <w:bCs w:val="0"/>
        </w:rPr>
        <w:t>十、</w:t>
      </w:r>
      <w:bookmarkEnd w:id="48"/>
      <w:r>
        <w:rPr>
          <w:rFonts w:hint="eastAsia" w:ascii="仿宋" w:hAnsi="仿宋" w:eastAsia="仿宋"/>
          <w:b w:val="0"/>
          <w:color w:val="000000"/>
        </w:rPr>
        <w:t>一般公共预算财政拨款项目支出决算明细表</w:t>
      </w:r>
      <w:bookmarkEnd w:id="49"/>
    </w:p>
    <w:p>
      <w:pPr>
        <w:pStyle w:val="6"/>
        <w:rPr>
          <w:rFonts w:ascii="仿宋" w:hAnsi="仿宋" w:eastAsia="仿宋"/>
          <w:color w:val="000000"/>
        </w:rPr>
      </w:pPr>
      <w:bookmarkStart w:id="50" w:name="_Toc15396629"/>
      <w:bookmarkStart w:id="51" w:name="_Toc30658"/>
      <w:r>
        <w:rPr>
          <w:rStyle w:val="24"/>
          <w:rFonts w:hint="eastAsia" w:ascii="仿宋" w:hAnsi="仿宋" w:eastAsia="仿宋"/>
          <w:b w:val="0"/>
          <w:bCs w:val="0"/>
        </w:rPr>
        <w:t>十一、</w:t>
      </w:r>
      <w:bookmarkEnd w:id="50"/>
      <w:r>
        <w:rPr>
          <w:rFonts w:hint="eastAsia" w:ascii="仿宋" w:hAnsi="仿宋" w:eastAsia="仿宋"/>
          <w:b w:val="0"/>
          <w:color w:val="000000"/>
        </w:rPr>
        <w:t>预算支出相关信息表</w:t>
      </w:r>
      <w:bookmarkEnd w:id="51"/>
    </w:p>
    <w:p>
      <w:pPr>
        <w:pStyle w:val="6"/>
        <w:rPr>
          <w:rFonts w:ascii="仿宋" w:hAnsi="仿宋" w:eastAsia="仿宋"/>
          <w:color w:val="000000"/>
        </w:rPr>
      </w:pPr>
      <w:bookmarkStart w:id="52" w:name="_Toc15396630"/>
      <w:bookmarkStart w:id="53" w:name="_Toc2890"/>
      <w:r>
        <w:rPr>
          <w:rStyle w:val="24"/>
          <w:rFonts w:hint="eastAsia" w:ascii="仿宋" w:hAnsi="仿宋" w:eastAsia="仿宋"/>
          <w:b w:val="0"/>
          <w:bCs w:val="0"/>
        </w:rPr>
        <w:t>十二、</w:t>
      </w:r>
      <w:r>
        <w:rPr>
          <w:rFonts w:hint="eastAsia" w:ascii="仿宋" w:hAnsi="仿宋" w:eastAsia="仿宋"/>
          <w:b w:val="0"/>
          <w:color w:val="000000"/>
        </w:rPr>
        <w:t>基本数字表</w:t>
      </w:r>
      <w:bookmarkEnd w:id="52"/>
      <w:bookmarkEnd w:id="53"/>
    </w:p>
    <w:p>
      <w:pPr>
        <w:pStyle w:val="6"/>
        <w:rPr>
          <w:rFonts w:hint="eastAsia" w:ascii="仿宋" w:hAnsi="仿宋" w:eastAsia="仿宋"/>
          <w:b w:val="0"/>
          <w:color w:val="000000"/>
        </w:rPr>
      </w:pPr>
      <w:bookmarkStart w:id="54" w:name="_Toc15396631"/>
      <w:bookmarkStart w:id="55" w:name="_Toc19167"/>
      <w:r>
        <w:rPr>
          <w:rStyle w:val="24"/>
          <w:rFonts w:hint="eastAsia" w:ascii="仿宋" w:hAnsi="仿宋" w:eastAsia="仿宋"/>
          <w:b w:val="0"/>
          <w:bCs w:val="0"/>
        </w:rPr>
        <w:t>十三、</w:t>
      </w:r>
      <w:bookmarkEnd w:id="54"/>
      <w:r>
        <w:rPr>
          <w:rFonts w:hint="eastAsia" w:ascii="仿宋" w:hAnsi="仿宋" w:eastAsia="仿宋"/>
          <w:b w:val="0"/>
          <w:color w:val="000000"/>
        </w:rPr>
        <w:t>机构运行信息表</w:t>
      </w:r>
      <w:bookmarkEnd w:id="55"/>
    </w:p>
    <w:p>
      <w:pPr>
        <w:pStyle w:val="7"/>
        <w:ind w:left="0" w:leftChars="0" w:firstLine="0" w:firstLineChars="0"/>
        <w:rPr>
          <w:rFonts w:hint="eastAsia"/>
          <w:lang w:eastAsia="zh-CN"/>
        </w:rPr>
      </w:pPr>
    </w:p>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6337C"/>
    <w:multiLevelType w:val="singleLevel"/>
    <w:tmpl w:val="A296337C"/>
    <w:lvl w:ilvl="0" w:tentative="0">
      <w:start w:val="2"/>
      <w:numFmt w:val="chineseCounting"/>
      <w:suff w:val="nothing"/>
      <w:lvlText w:val="%1、"/>
      <w:lvlJc w:val="left"/>
      <w:rPr>
        <w:rFonts w:hint="eastAsia"/>
      </w:rPr>
    </w:lvl>
  </w:abstractNum>
  <w:abstractNum w:abstractNumId="1">
    <w:nsid w:val="A73F2AD6"/>
    <w:multiLevelType w:val="singleLevel"/>
    <w:tmpl w:val="A73F2AD6"/>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A9BF496"/>
    <w:multiLevelType w:val="singleLevel"/>
    <w:tmpl w:val="1A9BF496"/>
    <w:lvl w:ilvl="0" w:tentative="0">
      <w:start w:val="2"/>
      <w:numFmt w:val="chineseCounting"/>
      <w:suff w:val="space"/>
      <w:lvlText w:val="%1、"/>
      <w:lvlJc w:val="left"/>
      <w:rPr>
        <w:rFonts w:hint="eastAsia"/>
      </w:rPr>
    </w:lvl>
  </w:abstractNum>
  <w:abstractNum w:abstractNumId="4">
    <w:nsid w:val="3F606127"/>
    <w:multiLevelType w:val="singleLevel"/>
    <w:tmpl w:val="3F606127"/>
    <w:lvl w:ilvl="0" w:tentative="0">
      <w:start w:val="8"/>
      <w:numFmt w:val="chineseCounting"/>
      <w:suff w:val="nothing"/>
      <w:lvlText w:val="%1、"/>
      <w:lvlJc w:val="left"/>
      <w:rPr>
        <w:rFonts w:hint="eastAsia"/>
      </w:rPr>
    </w:lvl>
  </w:abstractNum>
  <w:abstractNum w:abstractNumId="5">
    <w:nsid w:val="5708D7AD"/>
    <w:multiLevelType w:val="singleLevel"/>
    <w:tmpl w:val="5708D7AD"/>
    <w:lvl w:ilvl="0" w:tentative="0">
      <w:start w:val="2"/>
      <w:numFmt w:val="chineseCounting"/>
      <w:suff w:val="nothing"/>
      <w:lvlText w:val="（%1）"/>
      <w:lvlJc w:val="left"/>
      <w:rPr>
        <w:rFonts w:hint="eastAsia"/>
      </w:r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0"/>
  </w:num>
  <w:num w:numId="2">
    <w:abstractNumId w:val="3"/>
  </w:num>
  <w:num w:numId="3">
    <w:abstractNumId w:val="6"/>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BF0852"/>
    <w:rsid w:val="01AB3A4C"/>
    <w:rsid w:val="01D82154"/>
    <w:rsid w:val="01DB0E98"/>
    <w:rsid w:val="020502B8"/>
    <w:rsid w:val="02346274"/>
    <w:rsid w:val="02537415"/>
    <w:rsid w:val="028316E6"/>
    <w:rsid w:val="03B10B2C"/>
    <w:rsid w:val="03E52A27"/>
    <w:rsid w:val="0421370F"/>
    <w:rsid w:val="051E63A0"/>
    <w:rsid w:val="05253159"/>
    <w:rsid w:val="0536478E"/>
    <w:rsid w:val="05C6221A"/>
    <w:rsid w:val="05CA37E6"/>
    <w:rsid w:val="05DE2065"/>
    <w:rsid w:val="060415DA"/>
    <w:rsid w:val="061D2498"/>
    <w:rsid w:val="062705AF"/>
    <w:rsid w:val="0648585F"/>
    <w:rsid w:val="067611B1"/>
    <w:rsid w:val="06A51A29"/>
    <w:rsid w:val="06DF2C3C"/>
    <w:rsid w:val="070B26D8"/>
    <w:rsid w:val="073716F3"/>
    <w:rsid w:val="077C0152"/>
    <w:rsid w:val="07A66CD3"/>
    <w:rsid w:val="07AB12F0"/>
    <w:rsid w:val="07CC79AF"/>
    <w:rsid w:val="07E0589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54123"/>
    <w:rsid w:val="0CB8599E"/>
    <w:rsid w:val="0CE63DEF"/>
    <w:rsid w:val="0D5709C4"/>
    <w:rsid w:val="0DA32FF9"/>
    <w:rsid w:val="0E016246"/>
    <w:rsid w:val="0EEF2024"/>
    <w:rsid w:val="0F396866"/>
    <w:rsid w:val="0F547819"/>
    <w:rsid w:val="0F5F768C"/>
    <w:rsid w:val="0F763753"/>
    <w:rsid w:val="0FBD1976"/>
    <w:rsid w:val="0FF22613"/>
    <w:rsid w:val="10DF26FC"/>
    <w:rsid w:val="110E5233"/>
    <w:rsid w:val="11142387"/>
    <w:rsid w:val="112A1720"/>
    <w:rsid w:val="118E4E05"/>
    <w:rsid w:val="119A0988"/>
    <w:rsid w:val="12474DC8"/>
    <w:rsid w:val="12E450F6"/>
    <w:rsid w:val="131721D3"/>
    <w:rsid w:val="134D5D4F"/>
    <w:rsid w:val="137E4D53"/>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0B7CE7"/>
    <w:rsid w:val="18212609"/>
    <w:rsid w:val="183068D9"/>
    <w:rsid w:val="18D93743"/>
    <w:rsid w:val="19E524F1"/>
    <w:rsid w:val="19F3214F"/>
    <w:rsid w:val="19F76004"/>
    <w:rsid w:val="1A1664F5"/>
    <w:rsid w:val="1A4E5F71"/>
    <w:rsid w:val="1AA22996"/>
    <w:rsid w:val="1AAF5697"/>
    <w:rsid w:val="1B3E1A8A"/>
    <w:rsid w:val="1B460B6A"/>
    <w:rsid w:val="1B585811"/>
    <w:rsid w:val="1B9D0E81"/>
    <w:rsid w:val="1BAB2C52"/>
    <w:rsid w:val="1BEB2F32"/>
    <w:rsid w:val="1BEF4D2F"/>
    <w:rsid w:val="1C48338F"/>
    <w:rsid w:val="1C5E0F45"/>
    <w:rsid w:val="1D20428A"/>
    <w:rsid w:val="1D207523"/>
    <w:rsid w:val="1D5303AD"/>
    <w:rsid w:val="1D5D797F"/>
    <w:rsid w:val="1D8F2651"/>
    <w:rsid w:val="1DA21552"/>
    <w:rsid w:val="1EB01321"/>
    <w:rsid w:val="1EE82024"/>
    <w:rsid w:val="1FE7137A"/>
    <w:rsid w:val="1FF54367"/>
    <w:rsid w:val="20301BBB"/>
    <w:rsid w:val="20492B12"/>
    <w:rsid w:val="20583D8E"/>
    <w:rsid w:val="20726215"/>
    <w:rsid w:val="20C1152C"/>
    <w:rsid w:val="20D601BF"/>
    <w:rsid w:val="210A7163"/>
    <w:rsid w:val="211C0ADF"/>
    <w:rsid w:val="21792825"/>
    <w:rsid w:val="222B40B1"/>
    <w:rsid w:val="224A43EF"/>
    <w:rsid w:val="22AC0362"/>
    <w:rsid w:val="233B7821"/>
    <w:rsid w:val="23945201"/>
    <w:rsid w:val="24007643"/>
    <w:rsid w:val="24175559"/>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674AB0"/>
    <w:rsid w:val="2AD0333C"/>
    <w:rsid w:val="2B4D0B0B"/>
    <w:rsid w:val="2BDD0703"/>
    <w:rsid w:val="2C255858"/>
    <w:rsid w:val="2C2714E0"/>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0F53504"/>
    <w:rsid w:val="311C73A5"/>
    <w:rsid w:val="31BF2947"/>
    <w:rsid w:val="32310A70"/>
    <w:rsid w:val="33C806E8"/>
    <w:rsid w:val="340D57A7"/>
    <w:rsid w:val="34666631"/>
    <w:rsid w:val="34A50C96"/>
    <w:rsid w:val="34D825DC"/>
    <w:rsid w:val="35897E51"/>
    <w:rsid w:val="359840AF"/>
    <w:rsid w:val="35B725AC"/>
    <w:rsid w:val="362E2769"/>
    <w:rsid w:val="368D7CB3"/>
    <w:rsid w:val="36974F61"/>
    <w:rsid w:val="36EE35C7"/>
    <w:rsid w:val="370A6D37"/>
    <w:rsid w:val="372A5155"/>
    <w:rsid w:val="37B620D9"/>
    <w:rsid w:val="380B19D2"/>
    <w:rsid w:val="38BA0F7B"/>
    <w:rsid w:val="38EF74E5"/>
    <w:rsid w:val="39236D35"/>
    <w:rsid w:val="394E3FF7"/>
    <w:rsid w:val="39BA735C"/>
    <w:rsid w:val="3A2D0421"/>
    <w:rsid w:val="3A6D6A8B"/>
    <w:rsid w:val="3ADB7C96"/>
    <w:rsid w:val="3B1B3F2D"/>
    <w:rsid w:val="3B965C76"/>
    <w:rsid w:val="3BB04D60"/>
    <w:rsid w:val="3BED2C50"/>
    <w:rsid w:val="3BFC3FDB"/>
    <w:rsid w:val="3C013AEF"/>
    <w:rsid w:val="3C3E5DE9"/>
    <w:rsid w:val="3CCA6242"/>
    <w:rsid w:val="3D317CFB"/>
    <w:rsid w:val="3D333223"/>
    <w:rsid w:val="3D942B25"/>
    <w:rsid w:val="3E207F00"/>
    <w:rsid w:val="3E4E4CF3"/>
    <w:rsid w:val="3E6C046F"/>
    <w:rsid w:val="3E8B7104"/>
    <w:rsid w:val="3ED0469E"/>
    <w:rsid w:val="3F2B07ED"/>
    <w:rsid w:val="3F6B04FB"/>
    <w:rsid w:val="3FFC5AEC"/>
    <w:rsid w:val="40207691"/>
    <w:rsid w:val="40670939"/>
    <w:rsid w:val="40B94C7A"/>
    <w:rsid w:val="40C946F8"/>
    <w:rsid w:val="413D21FB"/>
    <w:rsid w:val="41CF3D80"/>
    <w:rsid w:val="420E53DF"/>
    <w:rsid w:val="425759EC"/>
    <w:rsid w:val="426129D8"/>
    <w:rsid w:val="429066C1"/>
    <w:rsid w:val="42FE1BA9"/>
    <w:rsid w:val="432510B5"/>
    <w:rsid w:val="43476B48"/>
    <w:rsid w:val="43573315"/>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7DF78E4"/>
    <w:rsid w:val="481F5071"/>
    <w:rsid w:val="483B44C3"/>
    <w:rsid w:val="48C031A0"/>
    <w:rsid w:val="48C53338"/>
    <w:rsid w:val="4910453A"/>
    <w:rsid w:val="491D45E4"/>
    <w:rsid w:val="49FA5C62"/>
    <w:rsid w:val="4A374A77"/>
    <w:rsid w:val="4C791821"/>
    <w:rsid w:val="4CC72EE2"/>
    <w:rsid w:val="4D901930"/>
    <w:rsid w:val="4D9C1311"/>
    <w:rsid w:val="4DA13EFC"/>
    <w:rsid w:val="4DAA0ACB"/>
    <w:rsid w:val="4DCD369E"/>
    <w:rsid w:val="4DFC3936"/>
    <w:rsid w:val="4E207F77"/>
    <w:rsid w:val="4E405E86"/>
    <w:rsid w:val="4F1C2BA7"/>
    <w:rsid w:val="4F717B9B"/>
    <w:rsid w:val="4F7E44A1"/>
    <w:rsid w:val="4FBD66D2"/>
    <w:rsid w:val="4FD361C6"/>
    <w:rsid w:val="4FDE0035"/>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D83CEB"/>
    <w:rsid w:val="56A37AD8"/>
    <w:rsid w:val="56CC5979"/>
    <w:rsid w:val="57034B85"/>
    <w:rsid w:val="57472184"/>
    <w:rsid w:val="589E16F5"/>
    <w:rsid w:val="589F63B4"/>
    <w:rsid w:val="58CE3EFA"/>
    <w:rsid w:val="59905774"/>
    <w:rsid w:val="599E59E1"/>
    <w:rsid w:val="59C82306"/>
    <w:rsid w:val="59E1598B"/>
    <w:rsid w:val="5A07397F"/>
    <w:rsid w:val="5A233488"/>
    <w:rsid w:val="5AE561D2"/>
    <w:rsid w:val="5B0315D4"/>
    <w:rsid w:val="5B0E5F58"/>
    <w:rsid w:val="5B180F7F"/>
    <w:rsid w:val="5BC0337D"/>
    <w:rsid w:val="5C510837"/>
    <w:rsid w:val="5D8B09FB"/>
    <w:rsid w:val="5E9B4D4C"/>
    <w:rsid w:val="5EE14150"/>
    <w:rsid w:val="5F2239B1"/>
    <w:rsid w:val="5F584AF9"/>
    <w:rsid w:val="5F592FD8"/>
    <w:rsid w:val="5F9B227E"/>
    <w:rsid w:val="5FDC4991"/>
    <w:rsid w:val="601D7135"/>
    <w:rsid w:val="60594271"/>
    <w:rsid w:val="606969FB"/>
    <w:rsid w:val="60FD6A51"/>
    <w:rsid w:val="61964204"/>
    <w:rsid w:val="621F016F"/>
    <w:rsid w:val="62641897"/>
    <w:rsid w:val="63143D27"/>
    <w:rsid w:val="6363707C"/>
    <w:rsid w:val="639D589A"/>
    <w:rsid w:val="63A25134"/>
    <w:rsid w:val="63B14BA5"/>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6E693A"/>
    <w:rsid w:val="6877527C"/>
    <w:rsid w:val="687C5B03"/>
    <w:rsid w:val="68BA38D2"/>
    <w:rsid w:val="68F84508"/>
    <w:rsid w:val="691A3E13"/>
    <w:rsid w:val="69400176"/>
    <w:rsid w:val="69597AAC"/>
    <w:rsid w:val="69B25200"/>
    <w:rsid w:val="69C21C8E"/>
    <w:rsid w:val="69E52B74"/>
    <w:rsid w:val="69F651A9"/>
    <w:rsid w:val="6A400F1A"/>
    <w:rsid w:val="6A557958"/>
    <w:rsid w:val="6A6A5E6B"/>
    <w:rsid w:val="6A8D6A74"/>
    <w:rsid w:val="6AA1155F"/>
    <w:rsid w:val="6AF16947"/>
    <w:rsid w:val="6B2973E9"/>
    <w:rsid w:val="6B6F5E3A"/>
    <w:rsid w:val="6BB460E2"/>
    <w:rsid w:val="6BEB4471"/>
    <w:rsid w:val="6C164FA6"/>
    <w:rsid w:val="6C311483"/>
    <w:rsid w:val="6C4130FD"/>
    <w:rsid w:val="6C4B028D"/>
    <w:rsid w:val="6C95291B"/>
    <w:rsid w:val="6C9B7DB3"/>
    <w:rsid w:val="6CAB2D78"/>
    <w:rsid w:val="6CF55FCF"/>
    <w:rsid w:val="6CFE5FFC"/>
    <w:rsid w:val="6DAA7E7A"/>
    <w:rsid w:val="6E750E3C"/>
    <w:rsid w:val="6E915828"/>
    <w:rsid w:val="6E9C1F04"/>
    <w:rsid w:val="6F1A5A2C"/>
    <w:rsid w:val="6F3C54D1"/>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30C28BA"/>
    <w:rsid w:val="73133219"/>
    <w:rsid w:val="736A13A3"/>
    <w:rsid w:val="73797E73"/>
    <w:rsid w:val="73AB6FCB"/>
    <w:rsid w:val="73B63B41"/>
    <w:rsid w:val="73BC27AF"/>
    <w:rsid w:val="73BC7DEE"/>
    <w:rsid w:val="73FD0A4F"/>
    <w:rsid w:val="74F37794"/>
    <w:rsid w:val="756E6B34"/>
    <w:rsid w:val="75F82DC6"/>
    <w:rsid w:val="76191CEE"/>
    <w:rsid w:val="76A5521A"/>
    <w:rsid w:val="76E23986"/>
    <w:rsid w:val="77005DF6"/>
    <w:rsid w:val="770A5A76"/>
    <w:rsid w:val="775E62AF"/>
    <w:rsid w:val="779A2B2D"/>
    <w:rsid w:val="77D906E2"/>
    <w:rsid w:val="77DF6BBA"/>
    <w:rsid w:val="782920CD"/>
    <w:rsid w:val="78415904"/>
    <w:rsid w:val="784B3700"/>
    <w:rsid w:val="78934371"/>
    <w:rsid w:val="78B20FFE"/>
    <w:rsid w:val="78C5681C"/>
    <w:rsid w:val="799034D8"/>
    <w:rsid w:val="79997DD2"/>
    <w:rsid w:val="79A807A2"/>
    <w:rsid w:val="79C95DCF"/>
    <w:rsid w:val="79D00547"/>
    <w:rsid w:val="79FA0E27"/>
    <w:rsid w:val="79FA5671"/>
    <w:rsid w:val="79FD5E30"/>
    <w:rsid w:val="7A320CF1"/>
    <w:rsid w:val="7B772498"/>
    <w:rsid w:val="7B9C71D5"/>
    <w:rsid w:val="7BAB5164"/>
    <w:rsid w:val="7BAD01C9"/>
    <w:rsid w:val="7BC66859"/>
    <w:rsid w:val="7BE81934"/>
    <w:rsid w:val="7BFD42A4"/>
    <w:rsid w:val="7C08172E"/>
    <w:rsid w:val="7C3B6AD3"/>
    <w:rsid w:val="7C3D2061"/>
    <w:rsid w:val="7C3E4691"/>
    <w:rsid w:val="7C7846C0"/>
    <w:rsid w:val="7C956391"/>
    <w:rsid w:val="7D4B4B42"/>
    <w:rsid w:val="7D4E6070"/>
    <w:rsid w:val="7D6C38B7"/>
    <w:rsid w:val="7D747F20"/>
    <w:rsid w:val="7DAA0228"/>
    <w:rsid w:val="7DE0615E"/>
    <w:rsid w:val="7E044AA8"/>
    <w:rsid w:val="7E3B1311"/>
    <w:rsid w:val="7ED12811"/>
    <w:rsid w:val="7EDD18F9"/>
    <w:rsid w:val="7EE07871"/>
    <w:rsid w:val="7F6D495A"/>
    <w:rsid w:val="7F814722"/>
    <w:rsid w:val="7F9D0493"/>
    <w:rsid w:val="7FE437B3"/>
    <w:rsid w:val="F9DFD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4"/>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7">
    <w:name w:val="Normal Indent"/>
    <w:basedOn w:val="1"/>
    <w:qFormat/>
    <w:uiPriority w:val="0"/>
    <w:pPr>
      <w:ind w:firstLine="420" w:firstLineChars="200"/>
    </w:pPr>
    <w:rPr>
      <w:rFonts w:ascii="Calibri" w:hAnsi="Calibri" w:cs="黑体"/>
    </w:rPr>
  </w:style>
  <w:style w:type="paragraph" w:styleId="8">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9">
    <w:name w:val="Body Text"/>
    <w:basedOn w:val="1"/>
    <w:qFormat/>
    <w:uiPriority w:val="99"/>
    <w:pPr>
      <w:spacing w:beforeLines="30"/>
    </w:pPr>
    <w:rPr>
      <w:rFonts w:ascii="仿宋_GB2312" w:eastAsia="仿宋_GB2312"/>
      <w:kern w:val="0"/>
      <w:sz w:val="30"/>
    </w:rPr>
  </w:style>
  <w:style w:type="paragraph" w:styleId="10">
    <w:name w:val="Balloon Text"/>
    <w:basedOn w:val="1"/>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next w:val="10"/>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none"/>
    </w:rPr>
  </w:style>
  <w:style w:type="paragraph"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2">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3">
    <w:name w:val="15"/>
    <w:basedOn w:val="17"/>
    <w:qFormat/>
    <w:uiPriority w:val="0"/>
    <w:rPr>
      <w:rFonts w:hint="default" w:ascii="Calibri" w:hAnsi="Calibri" w:cs="Calibri"/>
      <w:b/>
    </w:rPr>
  </w:style>
  <w:style w:type="character" w:customStyle="1" w:styleId="24">
    <w:name w:val="标题 2 字符"/>
    <w:basedOn w:val="17"/>
    <w:link w:val="6"/>
    <w:qFormat/>
    <w:uiPriority w:val="9"/>
    <w:rPr>
      <w:rFonts w:hint="eastAsia" w:ascii="宋体" w:hAnsi="宋体" w:eastAsia="宋体" w:cs="宋体"/>
      <w:b/>
      <w:kern w:val="0"/>
      <w:sz w:val="36"/>
      <w:szCs w:val="36"/>
      <w:shd w:val="clear" w:color="auto" w:fill="auto"/>
      <w:lang w:val="en-US" w:eastAsia="zh-CN" w:bidi="ar"/>
    </w:rPr>
  </w:style>
  <w:style w:type="character" w:customStyle="1" w:styleId="25">
    <w:name w:val="标题 1 字符"/>
    <w:basedOn w:val="17"/>
    <w:link w:val="5"/>
    <w:qFormat/>
    <w:uiPriority w:val="9"/>
    <w:rPr>
      <w:b/>
      <w:bCs/>
      <w:kern w:val="44"/>
      <w:sz w:val="44"/>
      <w:szCs w:val="44"/>
    </w:rPr>
  </w:style>
  <w:style w:type="paragraph" w:customStyle="1" w:styleId="26">
    <w:name w:val="Body text|1"/>
    <w:basedOn w:val="1"/>
    <w:qFormat/>
    <w:uiPriority w:val="0"/>
    <w:pPr>
      <w:widowControl w:val="0"/>
      <w:shd w:val="clear" w:color="auto" w:fill="auto"/>
      <w:spacing w:line="406" w:lineRule="auto"/>
      <w:ind w:firstLine="400"/>
    </w:pPr>
    <w:rPr>
      <w:rFonts w:ascii="宋体" w:hAnsi="宋体" w:eastAsia="宋体" w:cs="宋体"/>
      <w:sz w:val="30"/>
      <w:szCs w:val="30"/>
      <w:u w:val="none"/>
      <w:shd w:val="clear" w:color="auto" w:fill="auto"/>
      <w:lang w:val="zh-TW" w:eastAsia="zh-TW" w:bidi="zh-TW"/>
    </w:rPr>
  </w:style>
  <w:style w:type="paragraph" w:customStyle="1" w:styleId="27">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Heading 1 Char"/>
    <w:basedOn w:val="17"/>
    <w:link w:val="5"/>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false"/>
      <c:spPr>
        <a:noFill/>
        <a:ln>
          <a:noFill/>
        </a:ln>
        <a:effectLst/>
      </c:spPr>
    </c:title>
    <c:autoTitleDeleted val="false"/>
    <c:plotArea>
      <c:layout>
        <c:manualLayout>
          <c:layoutTarget val="inner"/>
          <c:xMode val="edge"/>
          <c:yMode val="edge"/>
          <c:x val="0.0787"/>
          <c:y val="0.194927536231884"/>
          <c:w val="0.8938"/>
          <c:h val="0.589710144927536"/>
        </c:manualLayout>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delete val="true"/>
          </c:dLbls>
          <c:cat>
            <c:strRef>
              <c:f>Sheet1!$A$2:$A$3</c:f>
              <c:strCache>
                <c:ptCount val="2"/>
                <c:pt idx="0">
                  <c:v>财政拨款收入</c:v>
                </c:pt>
                <c:pt idx="1">
                  <c:v>财政拨款支出</c:v>
                </c:pt>
              </c:strCache>
            </c:strRef>
          </c:cat>
          <c:val>
            <c:numRef>
              <c:f>Sheet1!$B$2:$B$3</c:f>
              <c:numCache>
                <c:formatCode>General</c:formatCode>
                <c:ptCount val="2"/>
                <c:pt idx="0">
                  <c:v>670.43</c:v>
                </c:pt>
                <c:pt idx="1">
                  <c:v>784.86</c:v>
                </c:pt>
              </c:numCache>
            </c:numRef>
          </c:val>
        </c:ser>
        <c:ser>
          <c:idx val="1"/>
          <c:order val="1"/>
          <c:tx>
            <c:strRef>
              <c:f>Sheet1!$C$1</c:f>
              <c:strCache>
                <c:ptCount val="1"/>
                <c:pt idx="0">
                  <c:v>2021年</c:v>
                </c:pt>
              </c:strCache>
            </c:strRef>
          </c:tx>
          <c:spPr>
            <a:solidFill>
              <a:schemeClr val="accent2"/>
            </a:solidFill>
            <a:ln>
              <a:noFill/>
            </a:ln>
            <a:effectLst/>
          </c:spPr>
          <c:invertIfNegative val="false"/>
          <c:dLbls>
            <c:delete val="true"/>
          </c:dLbls>
          <c:cat>
            <c:strRef>
              <c:f>Sheet1!$A$2:$A$3</c:f>
              <c:strCache>
                <c:ptCount val="2"/>
                <c:pt idx="0">
                  <c:v>财政拨款收入</c:v>
                </c:pt>
                <c:pt idx="1">
                  <c:v>财政拨款支出</c:v>
                </c:pt>
              </c:strCache>
            </c:strRef>
          </c:cat>
          <c:val>
            <c:numRef>
              <c:f>Sheet1!$C$2:$C$3</c:f>
              <c:numCache>
                <c:formatCode>General</c:formatCode>
                <c:ptCount val="2"/>
                <c:pt idx="0">
                  <c:v>549.49</c:v>
                </c:pt>
                <c:pt idx="1">
                  <c:v>572.08</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615094216"/>
        <c:axId val="912299255"/>
      </c:barChart>
      <c:catAx>
        <c:axId val="61509421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true"/>
        <c:lblAlgn val="ctr"/>
        <c:lblOffset val="100"/>
        <c:noMultiLvlLbl val="false"/>
      </c:catAx>
      <c:valAx>
        <c:axId val="91229925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[工作簿1]Sheet1!$A$3</c:f>
              <c:strCache>
                <c:ptCount val="1"/>
                <c:pt idx="0">
                  <c:v>收入决算结构图</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t>100%</a:t>
                    </a:r>
                  </a:p>
                </c:rich>
              </c:tx>
              <c:dLblPos val="ctr"/>
              <c:showLegendKey val="false"/>
              <c:showVal val="true"/>
              <c:showCatName val="false"/>
              <c:showSerName val="false"/>
              <c:showPercent val="true"/>
              <c:showBubbleSize val="false"/>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[工作簿1]Sheet1!$B$2</c:f>
              <c:strCache>
                <c:ptCount val="1"/>
                <c:pt idx="0">
                  <c:v>一般公共预算财政拨款收入</c:v>
                </c:pt>
              </c:strCache>
            </c:strRef>
          </c:cat>
          <c:val>
            <c:numRef>
              <c:f>[工作簿1]Sheet1!$B$3</c:f>
              <c:numCache>
                <c:formatCode>0%</c:formatCode>
                <c:ptCount val="1"/>
                <c:pt idx="0">
                  <c:v>1</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支出结构图</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377.43</c:v>
                </c:pt>
                <c:pt idx="1">
                  <c:v>194.65</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false"/>
      <c:spPr>
        <a:noFill/>
        <a:ln>
          <a:noFill/>
        </a:ln>
        <a:effectLst/>
      </c:spPr>
    </c:title>
    <c:autoTitleDeleted val="false"/>
    <c:plotArea>
      <c:layout>
        <c:manualLayout>
          <c:layoutTarget val="inner"/>
          <c:xMode val="edge"/>
          <c:yMode val="edge"/>
          <c:x val="0.0787"/>
          <c:y val="0.194927536231884"/>
          <c:w val="0.8938"/>
          <c:h val="0.589710144927536"/>
        </c:manualLayout>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delete val="true"/>
          </c:dLbls>
          <c:cat>
            <c:strRef>
              <c:f>Sheet1!$A$2:$A$3</c:f>
              <c:strCache>
                <c:ptCount val="2"/>
                <c:pt idx="0">
                  <c:v>财政拨款收入</c:v>
                </c:pt>
                <c:pt idx="1">
                  <c:v>财政拨款支出</c:v>
                </c:pt>
              </c:strCache>
            </c:strRef>
          </c:cat>
          <c:val>
            <c:numRef>
              <c:f>Sheet1!$B$2:$B$3</c:f>
              <c:numCache>
                <c:formatCode>General</c:formatCode>
                <c:ptCount val="2"/>
                <c:pt idx="0">
                  <c:v>670.43</c:v>
                </c:pt>
                <c:pt idx="1">
                  <c:v>784.86</c:v>
                </c:pt>
              </c:numCache>
            </c:numRef>
          </c:val>
        </c:ser>
        <c:ser>
          <c:idx val="1"/>
          <c:order val="1"/>
          <c:tx>
            <c:strRef>
              <c:f>Sheet1!$C$1</c:f>
              <c:strCache>
                <c:ptCount val="1"/>
                <c:pt idx="0">
                  <c:v>2021年</c:v>
                </c:pt>
              </c:strCache>
            </c:strRef>
          </c:tx>
          <c:spPr>
            <a:solidFill>
              <a:schemeClr val="accent2"/>
            </a:solidFill>
            <a:ln>
              <a:noFill/>
            </a:ln>
            <a:effectLst/>
          </c:spPr>
          <c:invertIfNegative val="false"/>
          <c:dLbls>
            <c:delete val="true"/>
          </c:dLbls>
          <c:cat>
            <c:strRef>
              <c:f>Sheet1!$A$2:$A$3</c:f>
              <c:strCache>
                <c:ptCount val="2"/>
                <c:pt idx="0">
                  <c:v>财政拨款收入</c:v>
                </c:pt>
                <c:pt idx="1">
                  <c:v>财政拨款支出</c:v>
                </c:pt>
              </c:strCache>
            </c:strRef>
          </c:cat>
          <c:val>
            <c:numRef>
              <c:f>Sheet1!$C$2:$C$3</c:f>
              <c:numCache>
                <c:formatCode>General</c:formatCode>
                <c:ptCount val="2"/>
                <c:pt idx="0">
                  <c:v>549.49</c:v>
                </c:pt>
                <c:pt idx="1">
                  <c:v>572.08</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615094216"/>
        <c:axId val="912299255"/>
      </c:barChart>
      <c:catAx>
        <c:axId val="61509421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true"/>
        <c:lblAlgn val="ctr"/>
        <c:lblOffset val="100"/>
        <c:noMultiLvlLbl val="false"/>
      </c:catAx>
      <c:valAx>
        <c:axId val="91229925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delete val="true"/>
          </c:dLbls>
          <c:cat>
            <c:strRef>
              <c:f>Sheet1!$A$2</c:f>
              <c:strCache>
                <c:ptCount val="1"/>
                <c:pt idx="0">
                  <c:v>一般公共财政拨款支出</c:v>
                </c:pt>
              </c:strCache>
            </c:strRef>
          </c:cat>
          <c:val>
            <c:numRef>
              <c:f>Sheet1!$B$2</c:f>
              <c:numCache>
                <c:formatCode>General</c:formatCode>
                <c:ptCount val="1"/>
                <c:pt idx="0">
                  <c:v>670.43</c:v>
                </c:pt>
              </c:numCache>
            </c:numRef>
          </c:val>
        </c:ser>
        <c:ser>
          <c:idx val="1"/>
          <c:order val="1"/>
          <c:tx>
            <c:strRef>
              <c:f>Sheet1!$C$1</c:f>
              <c:strCache>
                <c:ptCount val="1"/>
                <c:pt idx="0">
                  <c:v>2021年</c:v>
                </c:pt>
              </c:strCache>
            </c:strRef>
          </c:tx>
          <c:spPr>
            <a:solidFill>
              <a:schemeClr val="accent2"/>
            </a:solidFill>
            <a:ln>
              <a:noFill/>
            </a:ln>
            <a:effectLst/>
          </c:spPr>
          <c:invertIfNegative val="false"/>
          <c:dLbls>
            <c:delete val="true"/>
          </c:dLbls>
          <c:cat>
            <c:strRef>
              <c:f>Sheet1!$A$2</c:f>
              <c:strCache>
                <c:ptCount val="1"/>
                <c:pt idx="0">
                  <c:v>一般公共财政拨款支出</c:v>
                </c:pt>
              </c:strCache>
            </c:strRef>
          </c:cat>
          <c:val>
            <c:numRef>
              <c:f>Sheet1!$C$2</c:f>
              <c:numCache>
                <c:formatCode>General</c:formatCode>
                <c:ptCount val="1"/>
                <c:pt idx="0">
                  <c:v>549.49</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685493246"/>
        <c:axId val="342343358"/>
      </c:barChart>
      <c:catAx>
        <c:axId val="685493246"/>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true"/>
        <c:lblAlgn val="ctr"/>
        <c:lblOffset val="100"/>
        <c:noMultiLvlLbl val="false"/>
      </c:catAx>
      <c:valAx>
        <c:axId val="34234335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一般公共财政拨款支出结构图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rgbClr val="FF0000"/>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elete val="true"/>
          </c:dLbls>
          <c:cat>
            <c:strRef>
              <c:f>Sheet1!$A$2:$A$6</c:f>
              <c:strCache>
                <c:ptCount val="5"/>
                <c:pt idx="0">
                  <c:v>一般公共服务支出</c:v>
                </c:pt>
                <c:pt idx="1">
                  <c:v>社会保障和就业支出</c:v>
                </c:pt>
                <c:pt idx="2">
                  <c:v>文化旅游体育和传媒</c:v>
                </c:pt>
                <c:pt idx="3">
                  <c:v>住房保障支出</c:v>
                </c:pt>
                <c:pt idx="4">
                  <c:v>卫生健康支出</c:v>
                </c:pt>
              </c:strCache>
            </c:strRef>
          </c:cat>
          <c:val>
            <c:numRef>
              <c:f>Sheet1!$B$2:$B$6</c:f>
              <c:numCache>
                <c:formatCode>General</c:formatCode>
                <c:ptCount val="5"/>
                <c:pt idx="0">
                  <c:v>458.63</c:v>
                </c:pt>
                <c:pt idx="1">
                  <c:v>35.98</c:v>
                </c:pt>
                <c:pt idx="2">
                  <c:v>34.25</c:v>
                </c:pt>
                <c:pt idx="3">
                  <c:v>24.42</c:v>
                </c:pt>
                <c:pt idx="4">
                  <c:v>18.8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a:solidFill>
              <a:schemeClr val="bg1"/>
            </a:solidFill>
          </c:spPr>
          <c:explosion val="0"/>
          <c:dPt>
            <c:idx val="0"/>
            <c:bubble3D val="false"/>
            <c:spPr>
              <a:solidFill>
                <a:schemeClr val="bg1"/>
              </a:solidFill>
              <a:ln w="19050">
                <a:solidFill>
                  <a:schemeClr val="lt1"/>
                </a:solidFill>
              </a:ln>
              <a:effectLst/>
            </c:spPr>
          </c:dPt>
          <c:dPt>
            <c:idx val="1"/>
            <c:bubble3D val="false"/>
            <c:spPr>
              <a:gradFill>
                <a:gsLst>
                  <a:gs pos="0">
                    <a:srgbClr val="FE4444"/>
                  </a:gs>
                  <a:gs pos="100000">
                    <a:srgbClr val="832B2B"/>
                  </a:gs>
                </a:gsLst>
                <a:lin ang="5400000" scaled="false"/>
              </a:gradFill>
              <a:ln w="19050">
                <a:solidFill>
                  <a:schemeClr val="lt1"/>
                </a:solidFill>
              </a:ln>
              <a:effectLst/>
            </c:spPr>
          </c:dPt>
          <c:dPt>
            <c:idx val="2"/>
            <c:bubble3D val="false"/>
            <c:spPr>
              <a:gradFill>
                <a:gsLst>
                  <a:gs pos="0">
                    <a:srgbClr val="7B32B2"/>
                  </a:gs>
                  <a:gs pos="100000">
                    <a:srgbClr val="401A5D"/>
                  </a:gs>
                </a:gsLst>
                <a:lin ang="5400000" scaled="false"/>
              </a:gradFill>
              <a:ln w="19050">
                <a:solidFill>
                  <a:schemeClr val="lt1"/>
                </a:solidFill>
              </a:ln>
              <a:effectLst/>
            </c:spPr>
          </c:dPt>
          <c:dLbls>
            <c:delete val="true"/>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13.63</c:v>
                </c:pt>
                <c:pt idx="2">
                  <c:v>0.33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2023-10-25T13:08:00Z</cp:lastPrinted>
  <dcterms:modified xsi:type="dcterms:W3CDTF">2023-11-02T17:11:36Z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