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rPr>
      </w:pPr>
      <w:r>
        <w:rPr>
          <w:rStyle w:val="14"/>
          <w:rFonts w:hint="eastAsia" w:ascii="方正小标宋简体" w:hAnsi="方正小标宋简体" w:eastAsia="方正小标宋简体" w:cs="方正小标宋简体"/>
          <w:sz w:val="44"/>
          <w:szCs w:val="44"/>
          <w:shd w:val="clear" w:color="auto" w:fill="FFFFFF"/>
        </w:rPr>
        <w:t>202</w:t>
      </w:r>
      <w:r>
        <w:rPr>
          <w:rStyle w:val="14"/>
          <w:rFonts w:hint="eastAsia" w:ascii="方正小标宋简体" w:hAnsi="方正小标宋简体" w:eastAsia="方正小标宋简体" w:cs="方正小标宋简体"/>
          <w:sz w:val="44"/>
          <w:szCs w:val="44"/>
          <w:shd w:val="clear" w:color="auto" w:fill="FFFFFF"/>
          <w:lang w:val="en-US" w:eastAsia="zh-CN"/>
        </w:rPr>
        <w:t>2</w:t>
      </w:r>
      <w:r>
        <w:rPr>
          <w:rStyle w:val="14"/>
          <w:rFonts w:hint="eastAsia" w:ascii="方正小标宋简体" w:hAnsi="方正小标宋简体" w:eastAsia="方正小标宋简体" w:cs="方正小标宋简体"/>
          <w:sz w:val="44"/>
          <w:szCs w:val="44"/>
          <w:shd w:val="clear" w:color="auto" w:fill="FFFFFF"/>
        </w:rPr>
        <w:t>年度</w:t>
      </w:r>
    </w:p>
    <w:p>
      <w:pPr>
        <w:pStyle w:val="11"/>
        <w:keepNext w:val="0"/>
        <w:keepLines w:val="0"/>
        <w:widowControl/>
        <w:suppressLineNumbers w:val="0"/>
        <w:ind w:left="0" w:right="75"/>
        <w:jc w:val="center"/>
        <w:rPr>
          <w:rStyle w:val="14"/>
          <w:rFonts w:hint="eastAsia" w:ascii="方正小标宋简体" w:hAnsi="方正小标宋简体" w:eastAsia="方正小标宋简体" w:cs="方正小标宋简体"/>
          <w:sz w:val="44"/>
          <w:szCs w:val="44"/>
          <w:shd w:val="clear" w:color="auto" w:fill="FFFFFF"/>
          <w:lang w:val="en-US" w:eastAsia="zh-CN"/>
        </w:rPr>
      </w:pPr>
      <w:r>
        <w:rPr>
          <w:rStyle w:val="14"/>
          <w:rFonts w:hint="eastAsia" w:ascii="方正小标宋简体" w:hAnsi="方正小标宋简体" w:eastAsia="方正小标宋简体" w:cs="方正小标宋简体"/>
          <w:sz w:val="44"/>
          <w:szCs w:val="44"/>
          <w:shd w:val="clear" w:color="auto" w:fill="FFFFFF"/>
          <w:lang w:val="en-US" w:eastAsia="zh-CN"/>
        </w:rPr>
        <w:t>中共红原县委宣传部</w:t>
      </w:r>
    </w:p>
    <w:p>
      <w:pPr>
        <w:pStyle w:val="11"/>
        <w:keepNext w:val="0"/>
        <w:keepLines w:val="0"/>
        <w:widowControl/>
        <w:suppressLineNumbers w:val="0"/>
        <w:ind w:left="0" w:right="75"/>
        <w:jc w:val="center"/>
        <w:rPr>
          <w:rFonts w:hint="eastAsia" w:ascii="方正小标宋简体" w:hAnsi="方正小标宋简体" w:eastAsia="方正小标宋简体" w:cs="方正小标宋简体"/>
          <w:sz w:val="44"/>
          <w:szCs w:val="44"/>
          <w:lang w:eastAsia="zh-CN"/>
        </w:rPr>
      </w:pPr>
      <w:r>
        <w:rPr>
          <w:rStyle w:val="14"/>
          <w:rFonts w:hint="eastAsia" w:ascii="方正小标宋简体" w:hAnsi="方正小标宋简体" w:eastAsia="方正小标宋简体" w:cs="方正小标宋简体"/>
          <w:sz w:val="44"/>
          <w:szCs w:val="44"/>
          <w:shd w:val="clear" w:color="auto" w:fill="FFFFFF"/>
        </w:rPr>
        <w:t>部门</w:t>
      </w:r>
      <w:r>
        <w:rPr>
          <w:rStyle w:val="14"/>
          <w:rFonts w:hint="eastAsia" w:ascii="方正小标宋简体" w:hAnsi="方正小标宋简体" w:eastAsia="方正小标宋简体" w:cs="方正小标宋简体"/>
          <w:sz w:val="44"/>
          <w:szCs w:val="44"/>
          <w:shd w:val="clear" w:color="auto" w:fill="FFFFFF"/>
          <w:lang w:val="en-US" w:eastAsia="zh-CN"/>
        </w:rPr>
        <w:t>预算</w:t>
      </w:r>
      <w:r>
        <w:rPr>
          <w:rStyle w:val="14"/>
          <w:rFonts w:hint="eastAsia" w:ascii="方正小标宋简体" w:hAnsi="方正小标宋简体" w:eastAsia="方正小标宋简体" w:cs="方正小标宋简体"/>
          <w:sz w:val="44"/>
          <w:szCs w:val="44"/>
          <w:shd w:val="clear" w:color="auto" w:fill="FFFFFF"/>
          <w:lang w:eastAsia="zh-CN"/>
        </w:rPr>
        <w:t>公开编制说明</w:t>
      </w: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rPr>
          <w:sz w:val="24"/>
          <w:szCs w:val="24"/>
          <w:shd w:val="clear" w:color="auto" w:fill="FFFFFF"/>
        </w:rPr>
      </w:pPr>
    </w:p>
    <w:p>
      <w:pPr>
        <w:pStyle w:val="11"/>
        <w:keepNext w:val="0"/>
        <w:keepLines w:val="0"/>
        <w:widowControl/>
        <w:suppressLineNumbers w:val="0"/>
        <w:ind w:left="0" w:right="75"/>
        <w:jc w:val="left"/>
      </w:pPr>
      <w:r>
        <w:rPr>
          <w:sz w:val="24"/>
          <w:szCs w:val="24"/>
          <w:shd w:val="clear" w:color="auto" w:fill="FFFFFF"/>
        </w:rPr>
        <w:t>保密审查情况：已审查，内容审定</w:t>
      </w:r>
    </w:p>
    <w:p>
      <w:pPr>
        <w:pStyle w:val="11"/>
        <w:keepNext w:val="0"/>
        <w:keepLines w:val="0"/>
        <w:widowControl/>
        <w:suppressLineNumbers w:val="0"/>
        <w:ind w:left="0" w:right="75"/>
        <w:jc w:val="left"/>
      </w:pPr>
      <w:r>
        <w:rPr>
          <w:sz w:val="24"/>
          <w:szCs w:val="24"/>
          <w:shd w:val="clear" w:color="auto" w:fill="FFFFFF"/>
        </w:rPr>
        <w:t>部门主要负责人审签情况：已审签，同意对外公开</w:t>
      </w:r>
    </w:p>
    <w:p>
      <w:pPr>
        <w:pStyle w:val="11"/>
        <w:keepNext w:val="0"/>
        <w:keepLines w:val="0"/>
        <w:widowControl/>
        <w:suppressLineNumbers w:val="0"/>
        <w:ind w:left="0" w:right="75"/>
        <w:jc w:val="both"/>
        <w:rPr>
          <w:rStyle w:val="14"/>
          <w:sz w:val="30"/>
          <w:szCs w:val="30"/>
          <w:shd w:val="clear" w:color="auto" w:fill="FFFFFF"/>
        </w:rPr>
        <w:sectPr>
          <w:pgSz w:w="11906" w:h="16838"/>
          <w:pgMar w:top="1440" w:right="1800" w:bottom="1440" w:left="1800" w:header="851" w:footer="992" w:gutter="0"/>
          <w:cols w:space="720" w:num="1"/>
          <w:docGrid w:type="lines" w:linePitch="312" w:charSpace="0"/>
        </w:sectPr>
      </w:pPr>
    </w:p>
    <w:p>
      <w:pPr>
        <w:pStyle w:val="11"/>
        <w:keepNext w:val="0"/>
        <w:keepLines w:val="0"/>
        <w:widowControl/>
        <w:suppressLineNumbers w:val="0"/>
        <w:ind w:left="0" w:right="75"/>
        <w:jc w:val="center"/>
      </w:pPr>
      <w:r>
        <w:rPr>
          <w:rStyle w:val="14"/>
          <w:sz w:val="30"/>
          <w:szCs w:val="30"/>
          <w:shd w:val="clear" w:color="auto" w:fill="FFFFFF"/>
        </w:rPr>
        <w:t>目 录</w:t>
      </w:r>
    </w:p>
    <w:sdt>
      <w:sdtPr>
        <w:rPr>
          <w:rFonts w:ascii="宋体" w:hAnsi="宋体" w:eastAsia="宋体" w:cs="Times New Roman"/>
          <w:kern w:val="2"/>
          <w:sz w:val="21"/>
          <w:szCs w:val="24"/>
          <w:lang w:val="en-US" w:eastAsia="zh-CN" w:bidi="ar-SA"/>
        </w:rPr>
        <w:id w:val="14745849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9"/>
            <w:tabs>
              <w:tab w:val="right" w:leader="dot" w:pos="8306"/>
              <w:tab w:val="clear" w:pos="8296"/>
            </w:tabs>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TOC \o "1-3" \h \u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第一部分 部门概况</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_Toc27360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rPr>
            <w:fldChar w:fldCharType="end"/>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_Toc14224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一、基本职能及主要工作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2</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_Toc10295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二、机构设置</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6</w:t>
          </w:r>
        </w:p>
        <w:p>
          <w:pPr>
            <w:pStyle w:val="9"/>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_Toc6796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第二部分 202</w:t>
          </w:r>
          <w:r>
            <w:rPr>
              <w:rFonts w:hint="eastAsia" w:ascii="仿宋_GB2312" w:hAnsi="仿宋_GB2312" w:eastAsia="仿宋_GB2312" w:cs="仿宋_GB2312"/>
              <w:sz w:val="30"/>
              <w:szCs w:val="30"/>
              <w:shd w:val="clear" w:color="auto" w:fill="FFFFFF"/>
              <w:lang w:val="en-US" w:eastAsia="zh-CN"/>
            </w:rPr>
            <w:t>2</w:t>
          </w:r>
          <w:r>
            <w:rPr>
              <w:rFonts w:hint="eastAsia" w:ascii="仿宋_GB2312" w:hAnsi="仿宋_GB2312" w:eastAsia="仿宋_GB2312" w:cs="仿宋_GB2312"/>
              <w:sz w:val="30"/>
              <w:szCs w:val="30"/>
              <w:shd w:val="clear" w:color="auto" w:fill="FFFFFF"/>
            </w:rPr>
            <w:t>年度部门</w:t>
          </w:r>
          <w:r>
            <w:rPr>
              <w:rFonts w:hint="eastAsia" w:ascii="仿宋_GB2312" w:hAnsi="仿宋_GB2312" w:eastAsia="仿宋_GB2312" w:cs="仿宋_GB2312"/>
              <w:sz w:val="30"/>
              <w:szCs w:val="30"/>
              <w:shd w:val="clear" w:color="auto" w:fill="FFFFFF"/>
              <w:lang w:val="en-US" w:eastAsia="zh-CN"/>
            </w:rPr>
            <w:t>预算</w:t>
          </w:r>
          <w:r>
            <w:rPr>
              <w:rFonts w:hint="eastAsia" w:ascii="仿宋_GB2312" w:hAnsi="仿宋_GB2312" w:eastAsia="仿宋_GB2312" w:cs="仿宋_GB2312"/>
              <w:sz w:val="30"/>
              <w:szCs w:val="30"/>
              <w:shd w:val="clear" w:color="auto" w:fill="FFFFFF"/>
            </w:rPr>
            <w:t>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6</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_Toc23902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一、 收支</w:t>
          </w:r>
          <w:r>
            <w:rPr>
              <w:rFonts w:hint="eastAsia" w:ascii="仿宋_GB2312" w:hAnsi="仿宋_GB2312" w:eastAsia="仿宋_GB2312" w:cs="仿宋_GB2312"/>
              <w:sz w:val="30"/>
              <w:szCs w:val="30"/>
              <w:shd w:val="clear" w:color="auto" w:fill="FFFFFF"/>
              <w:lang w:val="en-US" w:eastAsia="zh-CN"/>
            </w:rPr>
            <w:t>预算</w:t>
          </w:r>
          <w:r>
            <w:rPr>
              <w:rFonts w:hint="eastAsia" w:ascii="仿宋_GB2312" w:hAnsi="仿宋_GB2312" w:eastAsia="仿宋_GB2312" w:cs="仿宋_GB2312"/>
              <w:sz w:val="30"/>
              <w:szCs w:val="30"/>
              <w:shd w:val="clear" w:color="auto" w:fill="FFFFFF"/>
            </w:rPr>
            <w:t>总体情况说明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6</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_Toc21346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lang w:eastAsia="zh-CN"/>
            </w:rPr>
            <w:t xml:space="preserve">二、 </w:t>
          </w:r>
          <w:r>
            <w:rPr>
              <w:rFonts w:hint="eastAsia" w:ascii="仿宋_GB2312" w:hAnsi="仿宋_GB2312" w:eastAsia="仿宋_GB2312" w:cs="仿宋_GB2312"/>
              <w:sz w:val="30"/>
              <w:szCs w:val="30"/>
              <w:shd w:val="clear" w:color="auto" w:fill="FFFFFF"/>
              <w:lang w:val="en-US" w:eastAsia="zh-CN"/>
            </w:rPr>
            <w:t>支出预算安排情况表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5</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_Toc21019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三、 </w:t>
          </w:r>
          <w:r>
            <w:rPr>
              <w:rFonts w:hint="eastAsia" w:ascii="仿宋_GB2312" w:hAnsi="仿宋_GB2312" w:eastAsia="仿宋_GB2312" w:cs="仿宋_GB2312"/>
              <w:sz w:val="30"/>
              <w:szCs w:val="30"/>
              <w:shd w:val="clear" w:color="auto" w:fill="FFFFFF"/>
              <w:lang w:val="en-US" w:eastAsia="zh-CN"/>
            </w:rPr>
            <w:t>较上度增减变化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7</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_Toc7956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四、 </w:t>
          </w:r>
          <w:r>
            <w:rPr>
              <w:rFonts w:hint="eastAsia" w:ascii="仿宋_GB2312" w:hAnsi="仿宋_GB2312" w:eastAsia="仿宋_GB2312" w:cs="仿宋_GB2312"/>
              <w:sz w:val="30"/>
              <w:szCs w:val="30"/>
              <w:shd w:val="clear" w:color="auto" w:fill="FFFFFF"/>
            </w:rPr>
            <w:t>“三公”经费</w:t>
          </w:r>
          <w:r>
            <w:rPr>
              <w:rFonts w:hint="eastAsia" w:ascii="仿宋_GB2312" w:hAnsi="仿宋_GB2312" w:eastAsia="仿宋_GB2312" w:cs="仿宋_GB2312"/>
              <w:sz w:val="30"/>
              <w:szCs w:val="30"/>
              <w:shd w:val="clear" w:color="auto" w:fill="FFFFFF"/>
              <w:lang w:val="en-US" w:eastAsia="zh-CN"/>
            </w:rPr>
            <w:t>预算</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8</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_Toc23149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五、</w:t>
          </w:r>
          <w:r>
            <w:rPr>
              <w:rFonts w:hint="eastAsia" w:ascii="仿宋_GB2312" w:hAnsi="仿宋_GB2312" w:eastAsia="仿宋_GB2312" w:cs="仿宋_GB2312"/>
              <w:sz w:val="30"/>
              <w:szCs w:val="30"/>
              <w:shd w:val="clear" w:color="auto" w:fill="FFFFFF"/>
              <w:lang w:val="en-US" w:eastAsia="zh-CN"/>
            </w:rPr>
            <w:t xml:space="preserve"> </w:t>
          </w:r>
          <w:r>
            <w:rPr>
              <w:rFonts w:hint="eastAsia" w:ascii="仿宋_GB2312" w:hAnsi="仿宋_GB2312" w:eastAsia="仿宋_GB2312" w:cs="仿宋_GB2312"/>
              <w:sz w:val="30"/>
              <w:szCs w:val="30"/>
              <w:shd w:val="clear" w:color="auto" w:fill="FFFFFF"/>
            </w:rPr>
            <w:t>政府性基金预算</w:t>
          </w:r>
          <w:r>
            <w:rPr>
              <w:rFonts w:hint="eastAsia" w:ascii="仿宋_GB2312" w:hAnsi="仿宋_GB2312" w:eastAsia="仿宋_GB2312" w:cs="仿宋_GB2312"/>
              <w:sz w:val="30"/>
              <w:szCs w:val="30"/>
              <w:shd w:val="clear" w:color="auto" w:fill="FFFFFF"/>
              <w:lang w:val="en-US" w:eastAsia="zh-CN"/>
            </w:rPr>
            <w:t>收支</w:t>
          </w:r>
          <w:r>
            <w:rPr>
              <w:rFonts w:hint="eastAsia" w:ascii="仿宋_GB2312" w:hAnsi="仿宋_GB2312" w:eastAsia="仿宋_GB2312" w:cs="仿宋_GB2312"/>
              <w:sz w:val="30"/>
              <w:szCs w:val="30"/>
              <w:shd w:val="clear" w:color="auto" w:fill="FFFFFF"/>
            </w:rPr>
            <w:t>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8</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_Toc2180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lang w:eastAsia="zh-CN"/>
            </w:rPr>
            <w:t>六、</w:t>
          </w:r>
          <w:r>
            <w:rPr>
              <w:rFonts w:hint="eastAsia" w:ascii="仿宋_GB2312" w:hAnsi="仿宋_GB2312" w:eastAsia="仿宋_GB2312" w:cs="仿宋_GB2312"/>
              <w:sz w:val="30"/>
              <w:szCs w:val="30"/>
              <w:shd w:val="clear" w:color="auto" w:fill="FFFFFF"/>
            </w:rPr>
            <w:t>国有资本经营预算</w:t>
          </w:r>
          <w:r>
            <w:rPr>
              <w:rFonts w:hint="eastAsia" w:ascii="仿宋_GB2312" w:hAnsi="仿宋_GB2312" w:eastAsia="仿宋_GB2312" w:cs="仿宋_GB2312"/>
              <w:sz w:val="30"/>
              <w:szCs w:val="30"/>
              <w:shd w:val="clear" w:color="auto" w:fill="FFFFFF"/>
              <w:lang w:val="en-US" w:eastAsia="zh-CN"/>
            </w:rPr>
            <w:t>收支</w:t>
          </w:r>
          <w:r>
            <w:rPr>
              <w:rFonts w:hint="eastAsia" w:ascii="仿宋_GB2312" w:hAnsi="仿宋_GB2312" w:eastAsia="仿宋_GB2312" w:cs="仿宋_GB2312"/>
              <w:sz w:val="30"/>
              <w:szCs w:val="30"/>
              <w:shd w:val="clear" w:color="auto" w:fill="FFFFFF"/>
            </w:rPr>
            <w:t>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8</w:t>
          </w:r>
        </w:p>
        <w:p>
          <w:pPr>
            <w:pStyle w:val="10"/>
            <w:tabs>
              <w:tab w:val="right" w:leader="dot" w:pos="8306"/>
              <w:tab w:val="clear" w:pos="8296"/>
            </w:tabs>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_Toc18699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七、其他重要事项的情况说明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8</w:t>
          </w:r>
        </w:p>
        <w:p>
          <w:pPr>
            <w:pStyle w:val="9"/>
            <w:tabs>
              <w:tab w:val="right" w:leader="dot" w:pos="8306"/>
              <w:tab w:val="clear" w:pos="8296"/>
            </w:tabs>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_Toc26931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fill="FFFFFF"/>
            </w:rPr>
            <w:t xml:space="preserve">第三部分 </w:t>
          </w:r>
          <w:r>
            <w:rPr>
              <w:rFonts w:hint="eastAsia" w:ascii="仿宋_GB2312" w:hAnsi="仿宋_GB2312" w:eastAsia="仿宋_GB2312" w:cs="仿宋_GB2312"/>
              <w:sz w:val="30"/>
              <w:szCs w:val="30"/>
              <w:shd w:val="clear" w:color="auto" w:fill="FFFFFF"/>
            </w:rPr>
            <w:t>名词解释</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10</w:t>
          </w:r>
        </w:p>
        <w:p>
          <w:pPr>
            <w:pStyle w:val="9"/>
            <w:tabs>
              <w:tab w:val="right" w:leader="dot" w:pos="8306"/>
              <w:tab w:val="clear" w:pos="8296"/>
            </w:tabs>
            <w:jc w:val="both"/>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\l _Toc29972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shd w:val="clear" w:color="auto" w:fill="FFFFFF"/>
            </w:rPr>
            <w:t>第</w:t>
          </w:r>
          <w:r>
            <w:rPr>
              <w:rFonts w:hint="eastAsia" w:ascii="仿宋_GB2312" w:hAnsi="仿宋_GB2312" w:eastAsia="仿宋_GB2312" w:cs="仿宋_GB2312"/>
              <w:sz w:val="30"/>
              <w:szCs w:val="30"/>
              <w:shd w:val="clear" w:color="auto" w:fill="FFFFFF"/>
              <w:lang w:val="en-US" w:eastAsia="zh-CN"/>
            </w:rPr>
            <w:t>四</w:t>
          </w:r>
          <w:r>
            <w:rPr>
              <w:rFonts w:hint="eastAsia" w:ascii="仿宋_GB2312" w:hAnsi="仿宋_GB2312" w:eastAsia="仿宋_GB2312" w:cs="仿宋_GB2312"/>
              <w:sz w:val="30"/>
              <w:szCs w:val="30"/>
              <w:shd w:val="clear" w:color="auto" w:fill="FFFFFF"/>
            </w:rPr>
            <w:t>部分 附表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sz w:val="30"/>
              <w:szCs w:val="30"/>
              <w:lang w:val="en-US" w:eastAsia="zh-CN"/>
            </w:rPr>
            <w:t>12</w:t>
          </w:r>
        </w:p>
        <w:p>
          <w:r>
            <w:rPr>
              <w:rFonts w:hint="eastAsia" w:ascii="仿宋_GB2312" w:hAnsi="仿宋_GB2312" w:eastAsia="仿宋_GB2312" w:cs="仿宋_GB2312"/>
              <w:sz w:val="30"/>
              <w:szCs w:val="30"/>
            </w:rPr>
            <w:fldChar w:fldCharType="end"/>
          </w:r>
        </w:p>
      </w:sdtContent>
    </w:sdt>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0" w:name="_Toc27360"/>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bookmarkStart w:id="3" w:name="_GoBack"/>
      <w:bookmarkEnd w:id="3"/>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p>
    <w:p>
      <w:pPr>
        <w:pStyle w:val="11"/>
        <w:keepNext w:val="0"/>
        <w:keepLines w:val="0"/>
        <w:widowControl/>
        <w:suppressLineNumbers w:val="0"/>
        <w:ind w:left="0" w:right="75"/>
        <w:jc w:val="center"/>
        <w:outlineLvl w:val="0"/>
        <w:rPr>
          <w:rFonts w:hint="eastAsia" w:ascii="黑体" w:hAnsi="黑体" w:eastAsia="黑体" w:cs="黑体"/>
          <w:sz w:val="44"/>
          <w:szCs w:val="44"/>
          <w:shd w:val="clear" w:color="auto" w:fill="FFFFFF"/>
        </w:rPr>
      </w:pPr>
    </w:p>
    <w:p>
      <w:pPr>
        <w:pStyle w:val="11"/>
        <w:keepNext w:val="0"/>
        <w:keepLines w:val="0"/>
        <w:widowControl/>
        <w:suppressLineNumbers w:val="0"/>
        <w:ind w:left="0" w:right="75"/>
        <w:jc w:val="center"/>
        <w:outlineLvl w:val="0"/>
        <w:rPr>
          <w:rFonts w:hint="eastAsia" w:ascii="黑体" w:hAnsi="黑体" w:eastAsia="黑体" w:cs="黑体"/>
          <w:sz w:val="44"/>
          <w:szCs w:val="44"/>
        </w:rPr>
      </w:pPr>
      <w:r>
        <w:rPr>
          <w:rFonts w:hint="eastAsia" w:ascii="黑体" w:hAnsi="黑体" w:eastAsia="黑体" w:cs="黑体"/>
          <w:sz w:val="44"/>
          <w:szCs w:val="44"/>
          <w:shd w:val="clear" w:color="auto" w:fill="FFFFFF"/>
        </w:rPr>
        <w:t>第一部分 部门概况</w:t>
      </w:r>
      <w:bookmarkEnd w:id="0"/>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bookmarkStart w:id="1" w:name="_Toc26931"/>
      <w:r>
        <w:rPr>
          <w:rFonts w:hint="eastAsia" w:ascii="仿宋_GB2312" w:hAnsi="仿宋_GB2312" w:eastAsia="仿宋_GB2312" w:cs="仿宋_GB2312"/>
          <w:i w:val="0"/>
          <w:caps w:val="0"/>
          <w:color w:val="333333"/>
          <w:spacing w:val="0"/>
          <w:sz w:val="32"/>
          <w:szCs w:val="32"/>
          <w:bdr w:val="none" w:color="auto" w:sz="0" w:space="0"/>
          <w:shd w:val="clear" w:fill="FFFFFF"/>
        </w:rPr>
        <w:t>按照预算管理有关规定，目前部门预算的编制实行综合预算制度，即全部收入和支出都反映在预算中。</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一、基本职能及主要工作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（一）基本职能</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1．主要职能。</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县委宣传部是县委主管意识形态方面工作的综合职能部门。主要职责是：</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（一）负责组织、指导全县的理论研究、理论学习和理论宣传工作。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（二）负责引导社会舆论，指导协调新闻、出版部门的工作。对县广播电视局、县文化体育局、县新闻出版工作实施方案方针政策指导，管理县记者协会，并在政治方向和方针政策方面实施领导。</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（四）负责规划、部署全局性的思想政治工作任务，会同有关部门研究和改进群众思想教育工作。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（五）负责指导、协调全县精神文明建设活动的开展。</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（六）配合县委组织部做好党员教育工作；负责编审党员教育教材；指导全县党员学习。</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（七）负责从宏观上指导全县各级各类学校的德育、政治理论教学和思想政治工作。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（八）负责全县对外和港澳台的宣传工作；指导协调全县对外文化交流工作。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九）受县委委托，会同县委组织管理县级新闻、文化、出版等部门的领导干部，指导这些部门领导班子的建设；对宣传文化广电系统科股室干部的任免提出意见；制定培训计划并组织对全县知识分子工作和理论、新闻、出版、文艺等方面优秀人才的选拔、培养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（十）负责提出全县宣传文化事业发展的指导方针；指导宣传文化系统制定政策、法规；按照县委的工作部署，对宣传文化系统各部门之间的工作进行协调。</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（十一）根据州，县宣传报道要点，组织采写稿件，并向《阿坝日报》、《四川日报》等各级办刊推荐。</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（二）2022年重点工作任务</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坚持以习近平新时代中国特色社会主义思想为指引，坚决贯彻党的十九届六中全会、省州县党代会精神的总体部署，切实肩负起“举旗帜、聚民心、育新人、兴文化、展形象”的历史使命，坚持围绕中心。服务大局，牢牢把握正确舆论导向，充分发挥“内聚合理、外树形象”作用，持续推动宣传思想工作再上新台阶、凸显新成效，为红原经济社会发展提供营造良好舆论氛围，提供坚强有力的精神动力和智力支持。</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（一）重视理论学习教育，坚持用科学理论武装头脑。一是深入推进学习型党组织建设。</w:t>
      </w:r>
      <w:r>
        <w:rPr>
          <w:rFonts w:hint="eastAsia" w:ascii="仿宋_GB2312" w:hAnsi="仿宋_GB2312" w:eastAsia="仿宋_GB2312" w:cs="仿宋_GB2312"/>
          <w:i w:val="0"/>
          <w:caps w:val="0"/>
          <w:color w:val="333333"/>
          <w:spacing w:val="0"/>
          <w:sz w:val="32"/>
          <w:szCs w:val="32"/>
          <w:bdr w:val="none" w:color="auto" w:sz="0" w:space="0"/>
          <w:shd w:val="clear" w:fill="FFFFFF"/>
        </w:rPr>
        <w:t>建立和完善中心组理论学习计划，认真组织学习党章党规、“十四五”规划等专题内容，同时结合新形势新任务，及时组织学习党的路线方针政策以及省、州、县重要文件精神，将理论学习与贯彻落实县委、县政府重要工作部署相结合。</w:t>
      </w:r>
      <w:r>
        <w:rPr>
          <w:rFonts w:hint="eastAsia" w:ascii="仿宋_GB2312" w:hAnsi="仿宋_GB2312" w:eastAsia="仿宋_GB2312" w:cs="仿宋_GB2312"/>
          <w:b/>
          <w:i w:val="0"/>
          <w:caps w:val="0"/>
          <w:color w:val="333333"/>
          <w:spacing w:val="0"/>
          <w:sz w:val="32"/>
          <w:szCs w:val="32"/>
          <w:bdr w:val="none" w:color="auto" w:sz="0" w:space="0"/>
          <w:shd w:val="clear" w:fill="FFFFFF"/>
        </w:rPr>
        <w:t>二是扎实开展机关干部理论学习。</w:t>
      </w:r>
      <w:r>
        <w:rPr>
          <w:rFonts w:hint="eastAsia" w:ascii="仿宋_GB2312" w:hAnsi="仿宋_GB2312" w:eastAsia="仿宋_GB2312" w:cs="仿宋_GB2312"/>
          <w:i w:val="0"/>
          <w:caps w:val="0"/>
          <w:color w:val="333333"/>
          <w:spacing w:val="0"/>
          <w:sz w:val="32"/>
          <w:szCs w:val="32"/>
          <w:bdr w:val="none" w:color="auto" w:sz="0" w:space="0"/>
          <w:shd w:val="clear" w:fill="FFFFFF"/>
        </w:rPr>
        <w:t>进一步提升“学习强国”推广学习成效，把理论学习同各个领域学习结合起来，注重实用性，强调针对性，把握灵活性，增强学习效果。通过学习，提高了机关干部的理论政策水平，营造了良好的学习氛围。</w:t>
      </w:r>
      <w:r>
        <w:rPr>
          <w:rFonts w:hint="eastAsia" w:ascii="仿宋_GB2312" w:hAnsi="仿宋_GB2312" w:eastAsia="仿宋_GB2312" w:cs="仿宋_GB2312"/>
          <w:b/>
          <w:i w:val="0"/>
          <w:caps w:val="0"/>
          <w:color w:val="333333"/>
          <w:spacing w:val="0"/>
          <w:sz w:val="32"/>
          <w:szCs w:val="32"/>
          <w:bdr w:val="none" w:color="auto" w:sz="0" w:space="0"/>
          <w:shd w:val="clear" w:fill="FFFFFF"/>
        </w:rPr>
        <w:t>三是抓好基层干部及农牧民群众的学习宣传教育。</w:t>
      </w:r>
      <w:r>
        <w:rPr>
          <w:rFonts w:hint="eastAsia" w:ascii="仿宋_GB2312" w:hAnsi="仿宋_GB2312" w:eastAsia="仿宋_GB2312" w:cs="仿宋_GB2312"/>
          <w:i w:val="0"/>
          <w:caps w:val="0"/>
          <w:color w:val="333333"/>
          <w:spacing w:val="0"/>
          <w:sz w:val="32"/>
          <w:szCs w:val="32"/>
          <w:bdr w:val="none" w:color="auto" w:sz="0" w:space="0"/>
          <w:shd w:val="clear" w:fill="FFFFFF"/>
        </w:rPr>
        <w:t>通过农家书屋、宣传专栏等多样化载体，有效整合县高僧大德、法制政策、姐妹、马背等宣讲团，创新内容，深入开展国家政策方针、法律知识等宣传教育，扎实开展理论宣传普及活动。</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（二）把握正确舆论导向，努力营造良好的舆论氛围。一是加强外宣力度。</w:t>
      </w:r>
      <w:r>
        <w:rPr>
          <w:rFonts w:hint="eastAsia" w:ascii="仿宋_GB2312" w:hAnsi="仿宋_GB2312" w:eastAsia="仿宋_GB2312" w:cs="仿宋_GB2312"/>
          <w:i w:val="0"/>
          <w:caps w:val="0"/>
          <w:color w:val="333333"/>
          <w:spacing w:val="0"/>
          <w:sz w:val="32"/>
          <w:szCs w:val="32"/>
          <w:bdr w:val="none" w:color="auto" w:sz="0" w:space="0"/>
          <w:shd w:val="clear" w:fill="FFFFFF"/>
        </w:rPr>
        <w:t>积极对接中央、省、州各级新闻媒体，大力宣传我县经济建设、乡村振兴、重大产业项目建设成果，以及先进典型、优秀村干部，展现我县新人、新事、新风尚，贴近群众生活，展示基层风采。</w:t>
      </w:r>
      <w:r>
        <w:rPr>
          <w:rFonts w:hint="eastAsia" w:ascii="仿宋_GB2312" w:hAnsi="仿宋_GB2312" w:eastAsia="仿宋_GB2312" w:cs="仿宋_GB2312"/>
          <w:b/>
          <w:i w:val="0"/>
          <w:caps w:val="0"/>
          <w:color w:val="333333"/>
          <w:spacing w:val="0"/>
          <w:sz w:val="32"/>
          <w:szCs w:val="32"/>
          <w:bdr w:val="none" w:color="auto" w:sz="0" w:space="0"/>
          <w:shd w:val="clear" w:fill="FFFFFF"/>
        </w:rPr>
        <w:t>二是加强决策部署的指引力量。</w:t>
      </w:r>
      <w:r>
        <w:rPr>
          <w:rFonts w:hint="eastAsia" w:ascii="仿宋_GB2312" w:hAnsi="仿宋_GB2312" w:eastAsia="仿宋_GB2312" w:cs="仿宋_GB2312"/>
          <w:i w:val="0"/>
          <w:caps w:val="0"/>
          <w:color w:val="333333"/>
          <w:spacing w:val="0"/>
          <w:sz w:val="32"/>
          <w:szCs w:val="32"/>
          <w:bdr w:val="none" w:color="auto" w:sz="0" w:space="0"/>
          <w:shd w:val="clear" w:fill="FFFFFF"/>
        </w:rPr>
        <w:t>围绕县委中心工作，大力宣传上级文件、会议及领导批示、指示精神，大力宣传我县的总体工作思路和工作目标，确保证上级决策部署得到广泛宣传。广泛宣传加快推动“三地两心一时代”建设进程。</w:t>
      </w:r>
      <w:r>
        <w:rPr>
          <w:rFonts w:hint="eastAsia" w:ascii="仿宋_GB2312" w:hAnsi="仿宋_GB2312" w:eastAsia="仿宋_GB2312" w:cs="仿宋_GB2312"/>
          <w:b/>
          <w:i w:val="0"/>
          <w:caps w:val="0"/>
          <w:color w:val="333333"/>
          <w:spacing w:val="0"/>
          <w:sz w:val="32"/>
          <w:szCs w:val="32"/>
          <w:bdr w:val="none" w:color="auto" w:sz="0" w:space="0"/>
          <w:shd w:val="clear" w:fill="FFFFFF"/>
        </w:rPr>
        <w:t>三是加强舆情信息管控。</w:t>
      </w:r>
      <w:r>
        <w:rPr>
          <w:rFonts w:hint="eastAsia" w:ascii="仿宋_GB2312" w:hAnsi="仿宋_GB2312" w:eastAsia="仿宋_GB2312" w:cs="仿宋_GB2312"/>
          <w:i w:val="0"/>
          <w:caps w:val="0"/>
          <w:color w:val="333333"/>
          <w:spacing w:val="0"/>
          <w:sz w:val="32"/>
          <w:szCs w:val="32"/>
          <w:bdr w:val="none" w:color="auto" w:sz="0" w:space="0"/>
          <w:shd w:val="clear" w:fill="FFFFFF"/>
        </w:rPr>
        <w:t>坚持下好先手棋、打好主动仗，狠抓网络舆情引导管控，做到舆情引导先声夺人、阵地控制先人一步，全力打好舆情管控主动战，努力营造安全和谐、天朗气清的网络环境。</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（三）大力加强精神文明建设，提升红原良好形象。</w:t>
      </w:r>
      <w:r>
        <w:rPr>
          <w:rFonts w:hint="eastAsia" w:ascii="仿宋_GB2312" w:hAnsi="仿宋_GB2312" w:eastAsia="仿宋_GB2312" w:cs="仿宋_GB2312"/>
          <w:i w:val="0"/>
          <w:caps w:val="0"/>
          <w:color w:val="333333"/>
          <w:spacing w:val="0"/>
          <w:sz w:val="32"/>
          <w:szCs w:val="32"/>
          <w:bdr w:val="none" w:color="auto" w:sz="0" w:space="0"/>
          <w:shd w:val="clear" w:fill="FFFFFF"/>
        </w:rPr>
        <w:t>以社会主义核心价值观为引领，巩固提升四川省第五届省级文明城市创建成果，有效推进四川省第六届文明城市创建。深入开展“孝善和俭”和“敬信勤新”红原新民风培树活动，广泛开展“红原好人”“最美家庭”等评选活动，弘扬中华民族的传统美德，积极开展文明单位、文明行业、文明家庭、文明市民的建活动，多形式积极开展各类文文艺活动。加强和改进未成年人思想道德建设，积极开展矛盾纠纷集中大排查调处活动，确保校园及周边地区安全、稳定，扎实做好中小学生思想道德教育工作。</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（四）大力发展文化事业，丰富群众精神文化生活。一是</w:t>
      </w:r>
      <w:r>
        <w:rPr>
          <w:rFonts w:hint="eastAsia" w:ascii="仿宋_GB2312" w:hAnsi="仿宋_GB2312" w:eastAsia="仿宋_GB2312" w:cs="仿宋_GB2312"/>
          <w:i w:val="0"/>
          <w:caps w:val="0"/>
          <w:color w:val="333333"/>
          <w:spacing w:val="0"/>
          <w:sz w:val="32"/>
          <w:szCs w:val="32"/>
          <w:bdr w:val="none" w:color="auto" w:sz="0" w:space="0"/>
          <w:shd w:val="clear" w:fill="FFFFFF"/>
        </w:rPr>
        <w:t>积极组织开展各类丰富多彩的文化活动，县图书馆、文化馆持续免费对外开放，常态开展“四下乡”、文艺培训和农村电影免费放映等活动，举办农牧民篮球运动会、赛马大会、藏式举重大赛等体育活动，满足群众文化需求，提升群众的生活品味。</w:t>
      </w:r>
      <w:r>
        <w:rPr>
          <w:rFonts w:hint="eastAsia" w:ascii="仿宋_GB2312" w:hAnsi="仿宋_GB2312" w:eastAsia="仿宋_GB2312" w:cs="仿宋_GB2312"/>
          <w:b/>
          <w:i w:val="0"/>
          <w:caps w:val="0"/>
          <w:color w:val="333333"/>
          <w:spacing w:val="0"/>
          <w:sz w:val="32"/>
          <w:szCs w:val="32"/>
          <w:bdr w:val="none" w:color="auto" w:sz="0" w:space="0"/>
          <w:shd w:val="clear" w:fill="FFFFFF"/>
        </w:rPr>
        <w:t>二是</w:t>
      </w:r>
      <w:r>
        <w:rPr>
          <w:rFonts w:hint="eastAsia" w:ascii="仿宋_GB2312" w:hAnsi="仿宋_GB2312" w:eastAsia="仿宋_GB2312" w:cs="仿宋_GB2312"/>
          <w:i w:val="0"/>
          <w:caps w:val="0"/>
          <w:color w:val="333333"/>
          <w:spacing w:val="0"/>
          <w:sz w:val="32"/>
          <w:szCs w:val="32"/>
          <w:bdr w:val="none" w:color="auto" w:sz="0" w:space="0"/>
          <w:shd w:val="clear" w:fill="FFFFFF"/>
        </w:rPr>
        <w:t>加强对麦洼藏戏等非物质文化遗产的保护、传承、展示和发展，扶持草原之心艺术团、麦洼藏戏团、民间马术队等一大批民间文艺团体发展壮大。</w:t>
      </w:r>
      <w:r>
        <w:rPr>
          <w:rFonts w:hint="eastAsia" w:ascii="仿宋_GB2312" w:hAnsi="仿宋_GB2312" w:eastAsia="仿宋_GB2312" w:cs="仿宋_GB2312"/>
          <w:b/>
          <w:i w:val="0"/>
          <w:caps w:val="0"/>
          <w:color w:val="333333"/>
          <w:spacing w:val="0"/>
          <w:sz w:val="32"/>
          <w:szCs w:val="32"/>
          <w:bdr w:val="none" w:color="auto" w:sz="0" w:space="0"/>
          <w:shd w:val="clear" w:fill="FFFFFF"/>
        </w:rPr>
        <w:t>三是</w:t>
      </w:r>
      <w:r>
        <w:rPr>
          <w:rFonts w:hint="eastAsia" w:ascii="仿宋_GB2312" w:hAnsi="仿宋_GB2312" w:eastAsia="仿宋_GB2312" w:cs="仿宋_GB2312"/>
          <w:i w:val="0"/>
          <w:caps w:val="0"/>
          <w:color w:val="333333"/>
          <w:spacing w:val="0"/>
          <w:sz w:val="32"/>
          <w:szCs w:val="32"/>
          <w:bdr w:val="none" w:color="auto" w:sz="0" w:space="0"/>
          <w:shd w:val="clear" w:fill="FFFFFF"/>
        </w:rPr>
        <w:t>进一步规范出版物的管理，提升优化《红柳》专刊，持续提升文化供给力、竞争力。</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二、部门预算单位构成</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中共红原县委宣传部下设股室2个，其他事业单位2个。分别是：红原县文学艺术界联合会、红原县互联网信息管理中心。</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b/>
          <w:i w:val="0"/>
          <w:caps w:val="0"/>
          <w:color w:val="333333"/>
          <w:spacing w:val="0"/>
          <w:sz w:val="32"/>
          <w:szCs w:val="32"/>
          <w:bdr w:val="none" w:color="auto" w:sz="0" w:space="0"/>
          <w:shd w:val="clear" w:fill="FFFFFF"/>
        </w:rPr>
      </w:pPr>
    </w:p>
    <w:p>
      <w:pPr>
        <w:spacing w:line="576" w:lineRule="exact"/>
        <w:jc w:val="center"/>
        <w:rPr>
          <w:rFonts w:ascii="黑体" w:eastAsia="黑体"/>
          <w:sz w:val="32"/>
          <w:szCs w:val="32"/>
        </w:rPr>
      </w:pPr>
      <w:r>
        <w:rPr>
          <w:rFonts w:hint="eastAsia" w:ascii="黑体" w:hAnsi="黑体" w:eastAsia="黑体" w:cs="黑体"/>
          <w:sz w:val="44"/>
          <w:szCs w:val="44"/>
          <w:lang w:val="en-US" w:eastAsia="zh-CN"/>
        </w:rPr>
        <w:t>第二部分</w:t>
      </w:r>
      <w:r>
        <w:rPr>
          <w:rFonts w:hint="eastAsia" w:ascii="黑体" w:hAnsi="黑体" w:eastAsia="黑体" w:cs="黑体"/>
          <w:sz w:val="44"/>
          <w:szCs w:val="44"/>
          <w:shd w:val="clear" w:color="auto" w:fill="FFFFFF"/>
        </w:rPr>
        <w:t>202</w:t>
      </w:r>
      <w:r>
        <w:rPr>
          <w:rFonts w:hint="eastAsia" w:ascii="黑体" w:hAnsi="黑体" w:eastAsia="黑体" w:cs="黑体"/>
          <w:sz w:val="44"/>
          <w:szCs w:val="44"/>
          <w:shd w:val="clear" w:color="auto" w:fill="FFFFFF"/>
          <w:lang w:val="en-US" w:eastAsia="zh-CN"/>
        </w:rPr>
        <w:t>2</w:t>
      </w:r>
      <w:r>
        <w:rPr>
          <w:rFonts w:hint="eastAsia" w:ascii="黑体" w:hAnsi="黑体" w:eastAsia="黑体" w:cs="黑体"/>
          <w:sz w:val="44"/>
          <w:szCs w:val="44"/>
          <w:shd w:val="clear" w:color="auto" w:fill="FFFFFF"/>
        </w:rPr>
        <w:t>年度部门</w:t>
      </w:r>
      <w:r>
        <w:rPr>
          <w:rFonts w:hint="eastAsia" w:ascii="黑体" w:hAnsi="黑体" w:eastAsia="黑体" w:cs="黑体"/>
          <w:sz w:val="44"/>
          <w:szCs w:val="44"/>
          <w:shd w:val="clear" w:color="auto" w:fill="FFFFFF"/>
          <w:lang w:val="en-US" w:eastAsia="zh-CN"/>
        </w:rPr>
        <w:t>预算</w:t>
      </w:r>
      <w:r>
        <w:rPr>
          <w:rFonts w:hint="eastAsia" w:ascii="黑体" w:hAnsi="黑体" w:eastAsia="黑体" w:cs="黑体"/>
          <w:sz w:val="44"/>
          <w:szCs w:val="44"/>
          <w:shd w:val="clear" w:color="auto" w:fill="FFFFFF"/>
        </w:rPr>
        <w:t>情况说明</w:t>
      </w:r>
    </w:p>
    <w:p>
      <w:pPr>
        <w:pStyle w:val="11"/>
        <w:keepNext w:val="0"/>
        <w:keepLines w:val="0"/>
        <w:widowControl/>
        <w:numPr>
          <w:ilvl w:val="0"/>
          <w:numId w:val="0"/>
        </w:numPr>
        <w:suppressLineNumbers w:val="0"/>
        <w:ind w:right="75" w:rightChars="0" w:firstLine="643" w:firstLineChars="200"/>
        <w:jc w:val="both"/>
        <w:outlineLvl w:val="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、收支预算总体情况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right="0" w:firstLine="640" w:firstLineChars="20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2022年中共红原县委宣传部收入预算总额为367.01万元，其中：当年财政拨款收入367.01万元。相应安排支出预算367.01万元，其中：一般公共服务284.47万元，社会保障和就业38.79万元，医疗卫生15.7万元，住房保障支出28.05万元。</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lang w:val="en-US" w:eastAsia="zh-CN"/>
        </w:rPr>
        <w:t>二</w:t>
      </w:r>
      <w:r>
        <w:rPr>
          <w:rFonts w:hint="eastAsia" w:ascii="仿宋_GB2312" w:hAnsi="仿宋_GB2312" w:eastAsia="仿宋_GB2312" w:cs="仿宋_GB2312"/>
          <w:b/>
          <w:i w:val="0"/>
          <w:caps w:val="0"/>
          <w:color w:val="333333"/>
          <w:spacing w:val="0"/>
          <w:sz w:val="32"/>
          <w:szCs w:val="32"/>
          <w:bdr w:val="none" w:color="auto" w:sz="0" w:space="0"/>
          <w:shd w:val="clear" w:fill="FFFFFF"/>
        </w:rPr>
        <w:t>、支出预算安排情况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中共红原县委宣传部预算安排支出主要用于保障该部门机构正常运转、完成日常工作任务以及承担宣传事业发展相关工作。 </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基本支出261.71万元。其中人员经费支出249.22万元，机关运行经费32.91万元，其中：办公费20.11万元，培训费0.72万元，公务接待费0.49万元，公务用车运行维护费11.60万元。</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按支出功能分类主要用于以下方面:</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（一）一般公共服务284.47万元，主要用于机关及下属事业单位人员工资、日常运转以及为完成特定行政工作任务和事业发展目标而安排的年度项目支出。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（二）社会保障和就业38.79万元，主要用于机关及下属事业单位养老保险及职业年金缴费。</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（三）医疗卫生15.7万元，主要用于机关及下属事业单位按照规定标准为职工缴纳的基本医疗保险及公务员医疗补助等支出。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（四）住房保障支出28.05万元，用于机关及下属事业单位按照规定标准为职工缴纳住房公积金等支出。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lang w:val="en-US" w:eastAsia="zh-CN"/>
        </w:rPr>
        <w:t>三</w:t>
      </w:r>
      <w:r>
        <w:rPr>
          <w:rFonts w:hint="eastAsia" w:ascii="仿宋_GB2312" w:hAnsi="仿宋_GB2312" w:eastAsia="仿宋_GB2312" w:cs="仿宋_GB2312"/>
          <w:b/>
          <w:i w:val="0"/>
          <w:caps w:val="0"/>
          <w:color w:val="333333"/>
          <w:spacing w:val="0"/>
          <w:sz w:val="32"/>
          <w:szCs w:val="32"/>
          <w:bdr w:val="none" w:color="auto" w:sz="0" w:space="0"/>
          <w:shd w:val="clear" w:fill="FFFFFF"/>
        </w:rPr>
        <w:t>、较上年度增减变化</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本年度预算拨款收入367.01万元较上年度预算345.02万元增加了3.32%，其中基本行政运行经费预算261.71万元，占全部总预算的71.31%，较上年261.02万元增加了0.2%，原因为人员开支增加；专项业务工作经费预算84万元，占总预算的22.89%，与上年持平。  </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lang w:val="en-US" w:eastAsia="zh-CN"/>
        </w:rPr>
        <w:t>四</w:t>
      </w:r>
      <w:r>
        <w:rPr>
          <w:rFonts w:hint="eastAsia" w:ascii="仿宋_GB2312" w:hAnsi="仿宋_GB2312" w:eastAsia="仿宋_GB2312" w:cs="仿宋_GB2312"/>
          <w:b/>
          <w:i w:val="0"/>
          <w:caps w:val="0"/>
          <w:color w:val="333333"/>
          <w:spacing w:val="0"/>
          <w:sz w:val="32"/>
          <w:szCs w:val="32"/>
          <w:bdr w:val="none" w:color="auto" w:sz="0" w:space="0"/>
          <w:shd w:val="clear" w:fill="FFFFFF"/>
        </w:rPr>
        <w:t>、“三公”经费预算</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本年度三公经费预算安排支出为12.09万元，其中：出国费0万元，与上年持平，主要原因为未安排因公出国；公务用车维护费支出11.60万元，，较上年度预算14.83万元减少3.23万元，主要是安排的下乡、出差专项工作用车减少；公务接待费0.49万元，较上年度预算0.48万元增0.01万元，主要原因为本年度相关预算增加。</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lang w:val="en-US" w:eastAsia="zh-CN"/>
        </w:rPr>
        <w:t>五</w:t>
      </w:r>
      <w:r>
        <w:rPr>
          <w:rFonts w:hint="eastAsia" w:ascii="仿宋_GB2312" w:hAnsi="仿宋_GB2312" w:eastAsia="仿宋_GB2312" w:cs="仿宋_GB2312"/>
          <w:b/>
          <w:i w:val="0"/>
          <w:caps w:val="0"/>
          <w:color w:val="333333"/>
          <w:spacing w:val="0"/>
          <w:sz w:val="32"/>
          <w:szCs w:val="32"/>
          <w:bdr w:val="none" w:color="auto" w:sz="0" w:space="0"/>
          <w:shd w:val="clear" w:fill="FFFFFF"/>
        </w:rPr>
        <w:t>、政府性基金预算收支情况说明</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2021年没有使用政府性基金预算拨款安排的支出。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lang w:val="en-US" w:eastAsia="zh-CN"/>
        </w:rPr>
        <w:t>六</w:t>
      </w:r>
      <w:r>
        <w:rPr>
          <w:rFonts w:hint="eastAsia" w:ascii="仿宋_GB2312" w:hAnsi="仿宋_GB2312" w:eastAsia="仿宋_GB2312" w:cs="仿宋_GB2312"/>
          <w:b/>
          <w:i w:val="0"/>
          <w:caps w:val="0"/>
          <w:color w:val="333333"/>
          <w:spacing w:val="0"/>
          <w:sz w:val="32"/>
          <w:szCs w:val="32"/>
          <w:bdr w:val="none" w:color="auto" w:sz="0" w:space="0"/>
          <w:shd w:val="clear" w:fill="FFFFFF"/>
        </w:rPr>
        <w:t>、国有资本经营预算收支情况说明</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2021年没有使用国有资本经营预算拨款安排的支出。</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lang w:val="en-US" w:eastAsia="zh-CN"/>
        </w:rPr>
        <w:t>七</w:t>
      </w:r>
      <w:r>
        <w:rPr>
          <w:rFonts w:hint="eastAsia" w:ascii="仿宋_GB2312" w:hAnsi="仿宋_GB2312" w:eastAsia="仿宋_GB2312" w:cs="仿宋_GB2312"/>
          <w:b/>
          <w:i w:val="0"/>
          <w:caps w:val="0"/>
          <w:color w:val="333333"/>
          <w:spacing w:val="0"/>
          <w:sz w:val="32"/>
          <w:szCs w:val="32"/>
          <w:bdr w:val="none" w:color="auto" w:sz="0" w:space="0"/>
          <w:shd w:val="clear" w:fill="FFFFFF"/>
        </w:rPr>
        <w:t>、其他重要事项的情况说明</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（一）政府采购预算情况</w:t>
      </w:r>
      <w:r>
        <w:rPr>
          <w:rFonts w:hint="eastAsia" w:ascii="仿宋_GB2312" w:hAnsi="仿宋_GB2312" w:eastAsia="仿宋_GB2312" w:cs="仿宋_GB2312"/>
          <w:i w:val="0"/>
          <w:caps w:val="0"/>
          <w:color w:val="333333"/>
          <w:spacing w:val="0"/>
          <w:sz w:val="32"/>
          <w:szCs w:val="32"/>
          <w:bdr w:val="none" w:color="auto" w:sz="0" w:space="0"/>
          <w:shd w:val="clear" w:fill="FFFFFF"/>
        </w:rPr>
        <w:t> </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2021年度安排政府采购预算0万元。</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（二）政府财政国有资产占用情况</w:t>
      </w:r>
      <w:r>
        <w:rPr>
          <w:rFonts w:hint="eastAsia" w:ascii="仿宋_GB2312" w:hAnsi="仿宋_GB2312" w:eastAsia="仿宋_GB2312" w:cs="仿宋_GB2312"/>
          <w:i w:val="0"/>
          <w:caps w:val="0"/>
          <w:color w:val="333333"/>
          <w:spacing w:val="0"/>
          <w:sz w:val="32"/>
          <w:szCs w:val="32"/>
          <w:bdr w:val="none" w:color="auto" w:sz="0" w:space="0"/>
          <w:shd w:val="clear" w:fill="FFFFFF"/>
        </w:rPr>
        <w:t> </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截止2021年底，实际共有固定资产价值111.78万元：其中：公务用车75.77万元；其他固定资产36.01万元。</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b/>
          <w:i w:val="0"/>
          <w:caps w:val="0"/>
          <w:color w:val="333333"/>
          <w:spacing w:val="0"/>
          <w:sz w:val="32"/>
          <w:szCs w:val="32"/>
          <w:bdr w:val="none" w:color="auto" w:sz="0" w:space="0"/>
          <w:shd w:val="clear" w:fill="FFFFFF"/>
        </w:rPr>
        <w:t>（三）绩效目标设置情况</w:t>
      </w:r>
    </w:p>
    <w:p>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line="30" w:lineRule="atLeast"/>
        <w:ind w:left="0" w:right="0" w:firstLine="420"/>
        <w:jc w:val="both"/>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bdr w:val="none" w:color="auto" w:sz="0" w:space="0"/>
          <w:shd w:val="clear" w:fill="FFFFFF"/>
        </w:rPr>
        <w:t>绩效目标是预算编制的前提和基础，按照“费随事定”的原则，2022年我单位项目支出按要求编制了绩效目标，从项目完成、项目效益、满意度。</w:t>
      </w: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仿宋_GB2312" w:hAnsi="仿宋_GB2312" w:eastAsia="仿宋_GB2312" w:cs="仿宋_GB2312"/>
          <w:sz w:val="32"/>
          <w:szCs w:val="32"/>
          <w:shd w:val="clear" w:color="auto" w:fill="FFFFFF"/>
          <w:lang w:val="en-US" w:eastAsia="zh-CN"/>
        </w:rPr>
      </w:pPr>
    </w:p>
    <w:p>
      <w:pPr>
        <w:pStyle w:val="11"/>
        <w:keepNext w:val="0"/>
        <w:keepLines w:val="0"/>
        <w:widowControl/>
        <w:numPr>
          <w:ilvl w:val="0"/>
          <w:numId w:val="0"/>
        </w:numPr>
        <w:suppressLineNumbers w:val="0"/>
        <w:ind w:right="75" w:rightChars="0"/>
        <w:jc w:val="center"/>
        <w:outlineLvl w:val="0"/>
        <w:rPr>
          <w:rFonts w:hint="eastAsia" w:ascii="宋体" w:hAnsi="宋体" w:cs="宋体"/>
          <w:sz w:val="28"/>
          <w:szCs w:val="28"/>
        </w:rPr>
      </w:pPr>
      <w:r>
        <w:rPr>
          <w:rFonts w:hint="eastAsia" w:ascii="黑体" w:hAnsi="黑体" w:eastAsia="黑体" w:cs="黑体"/>
          <w:sz w:val="44"/>
          <w:szCs w:val="44"/>
          <w:shd w:val="clear" w:color="auto" w:fill="FFFFFF"/>
          <w:lang w:val="en-US" w:eastAsia="zh-CN"/>
        </w:rPr>
        <w:t xml:space="preserve">第三部分   </w:t>
      </w:r>
      <w:r>
        <w:rPr>
          <w:rFonts w:hint="eastAsia" w:ascii="黑体" w:hAnsi="黑体" w:eastAsia="黑体" w:cs="黑体"/>
          <w:sz w:val="44"/>
          <w:szCs w:val="44"/>
          <w:shd w:val="clear" w:color="auto" w:fill="FFFFFF"/>
        </w:rPr>
        <w:t>名词解释</w:t>
      </w:r>
      <w:bookmarkEnd w:id="1"/>
      <w:r>
        <w:rPr>
          <w:rFonts w:hint="eastAsia" w:ascii="宋体" w:hAnsi="宋体" w:cs="宋体"/>
          <w:sz w:val="28"/>
          <w:szCs w:val="28"/>
        </w:rPr>
        <w:br w:type="textWrapping"/>
      </w:r>
      <w:r>
        <w:rPr>
          <w:rFonts w:hint="eastAsia" w:ascii="宋体" w:hAnsi="宋体" w:cs="宋体"/>
          <w:sz w:val="28"/>
          <w:szCs w:val="28"/>
        </w:rPr>
        <w:t>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2010101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人大行政运行，反映人员经费与日常公用经费的支出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2010104指人大会议，反映县人大召开人民代表大会等专门会议的支出。2010108指代表工作，反映人大代表各类视察等方面的支出。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2080505</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2080506指机关事业单位职业年金缴费支出。</w:t>
      </w:r>
    </w:p>
    <w:p>
      <w:pPr>
        <w:numPr>
          <w:ilvl w:val="0"/>
          <w:numId w:val="0"/>
        </w:num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2101101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2101103指公务员医疗补助。</w:t>
      </w:r>
    </w:p>
    <w:p>
      <w:pPr>
        <w:ind w:firstLine="640" w:firstLineChars="200"/>
        <w:rPr>
          <w:rFonts w:ascii="仿宋" w:hAnsi="仿宋" w:eastAsia="仿宋"/>
          <w:b/>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1"/>
        <w:keepNext w:val="0"/>
        <w:keepLines w:val="0"/>
        <w:widowControl/>
        <w:numPr>
          <w:ilvl w:val="0"/>
          <w:numId w:val="0"/>
        </w:numPr>
        <w:suppressLineNumbers w:val="0"/>
        <w:shd w:val="clear" w:color="auto" w:fill="auto"/>
        <w:spacing w:before="100" w:beforeAutospacing="1" w:after="100" w:afterAutospacing="1"/>
        <w:ind w:right="75" w:rightChars="0"/>
        <w:jc w:val="both"/>
        <w:rPr>
          <w:rFonts w:hint="eastAsia" w:ascii="黑体" w:hAnsi="黑体" w:eastAsia="黑体" w:cs="黑体"/>
          <w:sz w:val="44"/>
          <w:szCs w:val="44"/>
          <w:shd w:val="clear" w:color="auto" w:fill="FFFFFF"/>
        </w:rPr>
      </w:pPr>
      <w:r>
        <w:rPr>
          <w:rFonts w:hint="eastAsia" w:ascii="仿宋_GB2312" w:eastAsia="仿宋_GB2312"/>
          <w:sz w:val="32"/>
          <w:szCs w:val="32"/>
          <w:lang w:val="en-US" w:eastAsia="zh-CN"/>
        </w:rPr>
        <w:t>12.</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color w:val="000000"/>
          <w:sz w:val="44"/>
          <w:szCs w:val="44"/>
        </w:rPr>
        <w:br w:type="page"/>
      </w:r>
    </w:p>
    <w:p>
      <w:pPr>
        <w:pStyle w:val="11"/>
        <w:keepNext w:val="0"/>
        <w:keepLines w:val="0"/>
        <w:widowControl/>
        <w:suppressLineNumbers w:val="0"/>
        <w:ind w:right="75"/>
        <w:jc w:val="center"/>
        <w:outlineLvl w:val="0"/>
        <w:rPr>
          <w:rFonts w:hint="eastAsia" w:ascii="黑体" w:hAnsi="黑体" w:eastAsia="黑体" w:cs="黑体"/>
          <w:sz w:val="44"/>
          <w:szCs w:val="44"/>
        </w:rPr>
      </w:pPr>
      <w:bookmarkStart w:id="2" w:name="_Toc29972"/>
      <w:r>
        <w:rPr>
          <w:rFonts w:hint="eastAsia" w:ascii="黑体" w:hAnsi="黑体" w:eastAsia="黑体" w:cs="黑体"/>
          <w:sz w:val="44"/>
          <w:szCs w:val="44"/>
          <w:shd w:val="clear" w:color="auto" w:fill="FFFFFF"/>
        </w:rPr>
        <w:t>第五部分 附表</w:t>
      </w:r>
      <w:bookmarkEnd w:id="2"/>
    </w:p>
    <w:p>
      <w:pPr>
        <w:spacing w:line="560" w:lineRule="exact"/>
        <w:ind w:firstLine="640" w:firstLineChars="200"/>
        <w:rPr>
          <w:rFonts w:ascii="仿宋_GB2312" w:eastAsia="仿宋_GB2312"/>
          <w:sz w:val="32"/>
          <w:szCs w:val="32"/>
        </w:rPr>
      </w:pPr>
      <w:r>
        <w:rPr>
          <w:rFonts w:hint="eastAsia" w:ascii="仿宋_GB2312" w:eastAsia="仿宋_GB2312"/>
          <w:sz w:val="32"/>
          <w:szCs w:val="32"/>
        </w:rPr>
        <w:t>附件：表1.财政拨款收支总表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表2.一般公共预算支出表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表3.一般公共预算基本支出表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表4.一般公共预算“三公”经费支出表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表5.政府性基金预算支出表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表6.政府性基金预算“三公”经费支出表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表7.部门收支总表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表8.部门收入总表</w:t>
      </w:r>
    </w:p>
    <w:p>
      <w:pPr>
        <w:spacing w:line="560" w:lineRule="exact"/>
        <w:ind w:firstLine="1600" w:firstLineChars="500"/>
        <w:rPr>
          <w:rFonts w:ascii="仿宋_GB2312" w:eastAsia="仿宋_GB2312"/>
          <w:sz w:val="32"/>
          <w:szCs w:val="32"/>
        </w:rPr>
      </w:pPr>
      <w:r>
        <w:rPr>
          <w:rFonts w:hint="eastAsia" w:ascii="仿宋_GB2312" w:eastAsia="仿宋_GB2312"/>
          <w:sz w:val="32"/>
          <w:szCs w:val="32"/>
        </w:rPr>
        <w:t>表9.部门支出总表</w:t>
      </w:r>
    </w:p>
    <w:p>
      <w:pPr>
        <w:rPr>
          <w:sz w:val="32"/>
          <w:szCs w:val="32"/>
        </w:rPr>
      </w:pPr>
    </w:p>
    <w:sectPr>
      <w:footerReference r:id="rId3"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34707"/>
    <w:rsid w:val="00882313"/>
    <w:rsid w:val="00BF0852"/>
    <w:rsid w:val="01AB3A4C"/>
    <w:rsid w:val="01D82154"/>
    <w:rsid w:val="01DB0E98"/>
    <w:rsid w:val="020502B8"/>
    <w:rsid w:val="02346274"/>
    <w:rsid w:val="02537415"/>
    <w:rsid w:val="027D28AA"/>
    <w:rsid w:val="028316E6"/>
    <w:rsid w:val="03B10B2C"/>
    <w:rsid w:val="03E52A27"/>
    <w:rsid w:val="0421370F"/>
    <w:rsid w:val="051E63A0"/>
    <w:rsid w:val="05253159"/>
    <w:rsid w:val="0536478E"/>
    <w:rsid w:val="05C6221A"/>
    <w:rsid w:val="05CA37E6"/>
    <w:rsid w:val="05DE2065"/>
    <w:rsid w:val="060415DA"/>
    <w:rsid w:val="061D2498"/>
    <w:rsid w:val="062705AF"/>
    <w:rsid w:val="0648585F"/>
    <w:rsid w:val="067611B1"/>
    <w:rsid w:val="06A51A29"/>
    <w:rsid w:val="06DF2C3C"/>
    <w:rsid w:val="06E85492"/>
    <w:rsid w:val="070B26D8"/>
    <w:rsid w:val="073716F3"/>
    <w:rsid w:val="077C0152"/>
    <w:rsid w:val="07A66CD3"/>
    <w:rsid w:val="07AB12F0"/>
    <w:rsid w:val="07CC79AF"/>
    <w:rsid w:val="07E05898"/>
    <w:rsid w:val="08B1427D"/>
    <w:rsid w:val="08D266EA"/>
    <w:rsid w:val="08E5531C"/>
    <w:rsid w:val="09201BFE"/>
    <w:rsid w:val="094712F2"/>
    <w:rsid w:val="0958647E"/>
    <w:rsid w:val="0963660A"/>
    <w:rsid w:val="09A4358F"/>
    <w:rsid w:val="09BF4822"/>
    <w:rsid w:val="09DA3F82"/>
    <w:rsid w:val="0A0B0C2D"/>
    <w:rsid w:val="0A1A2BF9"/>
    <w:rsid w:val="0B6775DA"/>
    <w:rsid w:val="0BE72A8C"/>
    <w:rsid w:val="0C1C28F1"/>
    <w:rsid w:val="0C5533EE"/>
    <w:rsid w:val="0C7557E1"/>
    <w:rsid w:val="0CB8599E"/>
    <w:rsid w:val="0CE63DEF"/>
    <w:rsid w:val="0D5709C4"/>
    <w:rsid w:val="0DA32FF9"/>
    <w:rsid w:val="0E016246"/>
    <w:rsid w:val="0EEF2024"/>
    <w:rsid w:val="0F396866"/>
    <w:rsid w:val="0F547819"/>
    <w:rsid w:val="0F763753"/>
    <w:rsid w:val="0FBD1976"/>
    <w:rsid w:val="0FF22613"/>
    <w:rsid w:val="10DF26FC"/>
    <w:rsid w:val="110E5233"/>
    <w:rsid w:val="11142387"/>
    <w:rsid w:val="112A1720"/>
    <w:rsid w:val="118E4E05"/>
    <w:rsid w:val="119A0988"/>
    <w:rsid w:val="12474DC8"/>
    <w:rsid w:val="131721D3"/>
    <w:rsid w:val="134D5D4F"/>
    <w:rsid w:val="137E4D53"/>
    <w:rsid w:val="139474D4"/>
    <w:rsid w:val="13F47D19"/>
    <w:rsid w:val="1444516F"/>
    <w:rsid w:val="14886F81"/>
    <w:rsid w:val="14B70C97"/>
    <w:rsid w:val="14B82E87"/>
    <w:rsid w:val="14C217F5"/>
    <w:rsid w:val="14E24DF8"/>
    <w:rsid w:val="15922051"/>
    <w:rsid w:val="16103683"/>
    <w:rsid w:val="16316871"/>
    <w:rsid w:val="168B7E06"/>
    <w:rsid w:val="177E08EB"/>
    <w:rsid w:val="178664AD"/>
    <w:rsid w:val="178819C8"/>
    <w:rsid w:val="179E22FC"/>
    <w:rsid w:val="17A25E76"/>
    <w:rsid w:val="17AE4B25"/>
    <w:rsid w:val="180B7CE7"/>
    <w:rsid w:val="18212609"/>
    <w:rsid w:val="183068D9"/>
    <w:rsid w:val="18D93743"/>
    <w:rsid w:val="19E524F1"/>
    <w:rsid w:val="19F3214F"/>
    <w:rsid w:val="19F76004"/>
    <w:rsid w:val="1A1664F5"/>
    <w:rsid w:val="1A4E5F71"/>
    <w:rsid w:val="1AA22996"/>
    <w:rsid w:val="1AAF5697"/>
    <w:rsid w:val="1AC1313B"/>
    <w:rsid w:val="1B3E1A8A"/>
    <w:rsid w:val="1B460B6A"/>
    <w:rsid w:val="1B585811"/>
    <w:rsid w:val="1BAB2C52"/>
    <w:rsid w:val="1BEB2F32"/>
    <w:rsid w:val="1BEF4D2F"/>
    <w:rsid w:val="1C48338F"/>
    <w:rsid w:val="1C5E0F45"/>
    <w:rsid w:val="1D207523"/>
    <w:rsid w:val="1D5303AD"/>
    <w:rsid w:val="1D5D797F"/>
    <w:rsid w:val="1D8F2651"/>
    <w:rsid w:val="1DA21552"/>
    <w:rsid w:val="1EE82024"/>
    <w:rsid w:val="1FE7137A"/>
    <w:rsid w:val="1FF54367"/>
    <w:rsid w:val="20301BBB"/>
    <w:rsid w:val="20583D8E"/>
    <w:rsid w:val="20726215"/>
    <w:rsid w:val="20C1152C"/>
    <w:rsid w:val="210A7163"/>
    <w:rsid w:val="211C0ADF"/>
    <w:rsid w:val="21792825"/>
    <w:rsid w:val="222B40B1"/>
    <w:rsid w:val="223F7844"/>
    <w:rsid w:val="224A43EF"/>
    <w:rsid w:val="22AC0362"/>
    <w:rsid w:val="233B7821"/>
    <w:rsid w:val="23945201"/>
    <w:rsid w:val="24007643"/>
    <w:rsid w:val="24175559"/>
    <w:rsid w:val="241755C0"/>
    <w:rsid w:val="246837AC"/>
    <w:rsid w:val="24EB4C10"/>
    <w:rsid w:val="2519214E"/>
    <w:rsid w:val="258520EB"/>
    <w:rsid w:val="258B34CC"/>
    <w:rsid w:val="25913412"/>
    <w:rsid w:val="25DE3EBC"/>
    <w:rsid w:val="25FA1985"/>
    <w:rsid w:val="262E222F"/>
    <w:rsid w:val="2637183E"/>
    <w:rsid w:val="26451A73"/>
    <w:rsid w:val="26710BB7"/>
    <w:rsid w:val="26BF635F"/>
    <w:rsid w:val="26C575ED"/>
    <w:rsid w:val="26E518CB"/>
    <w:rsid w:val="2790625B"/>
    <w:rsid w:val="282C4404"/>
    <w:rsid w:val="28716A14"/>
    <w:rsid w:val="28933F38"/>
    <w:rsid w:val="289878DC"/>
    <w:rsid w:val="28C55AD9"/>
    <w:rsid w:val="28D241CA"/>
    <w:rsid w:val="296D1C1C"/>
    <w:rsid w:val="297A12B6"/>
    <w:rsid w:val="29DE6E95"/>
    <w:rsid w:val="29E8073E"/>
    <w:rsid w:val="2AD0333C"/>
    <w:rsid w:val="2B4D0B0B"/>
    <w:rsid w:val="2BDD0703"/>
    <w:rsid w:val="2C255858"/>
    <w:rsid w:val="2C3C0AA3"/>
    <w:rsid w:val="2C515C43"/>
    <w:rsid w:val="2C625793"/>
    <w:rsid w:val="2C685E12"/>
    <w:rsid w:val="2C687D7E"/>
    <w:rsid w:val="2C962229"/>
    <w:rsid w:val="2D1202A0"/>
    <w:rsid w:val="2D7660A9"/>
    <w:rsid w:val="2D966C65"/>
    <w:rsid w:val="2DBB4CD6"/>
    <w:rsid w:val="2DF35DE3"/>
    <w:rsid w:val="2E216696"/>
    <w:rsid w:val="2ED35FEE"/>
    <w:rsid w:val="300155EC"/>
    <w:rsid w:val="30B015BD"/>
    <w:rsid w:val="30B32B6A"/>
    <w:rsid w:val="30F53504"/>
    <w:rsid w:val="311C73A5"/>
    <w:rsid w:val="31BF2947"/>
    <w:rsid w:val="32310A70"/>
    <w:rsid w:val="33C806E8"/>
    <w:rsid w:val="340D57A7"/>
    <w:rsid w:val="346430D2"/>
    <w:rsid w:val="34666631"/>
    <w:rsid w:val="34D825DC"/>
    <w:rsid w:val="35897E51"/>
    <w:rsid w:val="359840AF"/>
    <w:rsid w:val="35B725AC"/>
    <w:rsid w:val="362E2769"/>
    <w:rsid w:val="368D7CB3"/>
    <w:rsid w:val="36974F61"/>
    <w:rsid w:val="36EE35C7"/>
    <w:rsid w:val="370A6D37"/>
    <w:rsid w:val="372A5155"/>
    <w:rsid w:val="37B620D9"/>
    <w:rsid w:val="380B19D2"/>
    <w:rsid w:val="38BA0F7B"/>
    <w:rsid w:val="38EF74E5"/>
    <w:rsid w:val="39236D35"/>
    <w:rsid w:val="394E3FF7"/>
    <w:rsid w:val="39BA735C"/>
    <w:rsid w:val="3A2D0421"/>
    <w:rsid w:val="3A6D6A8B"/>
    <w:rsid w:val="3ADB7C96"/>
    <w:rsid w:val="3BB04D60"/>
    <w:rsid w:val="3BED2C50"/>
    <w:rsid w:val="3BFC3FDB"/>
    <w:rsid w:val="3C013AEF"/>
    <w:rsid w:val="3CCA6242"/>
    <w:rsid w:val="3CEC0180"/>
    <w:rsid w:val="3D317CFB"/>
    <w:rsid w:val="3D333223"/>
    <w:rsid w:val="3E6C046F"/>
    <w:rsid w:val="3E8B7104"/>
    <w:rsid w:val="3ED0469E"/>
    <w:rsid w:val="3F0D4CDF"/>
    <w:rsid w:val="3F2B07ED"/>
    <w:rsid w:val="3F6B04FB"/>
    <w:rsid w:val="3FFC5AEC"/>
    <w:rsid w:val="40207691"/>
    <w:rsid w:val="40670939"/>
    <w:rsid w:val="40B94C7A"/>
    <w:rsid w:val="40C946F8"/>
    <w:rsid w:val="413D21FB"/>
    <w:rsid w:val="41CF3D80"/>
    <w:rsid w:val="420E53DF"/>
    <w:rsid w:val="425759EC"/>
    <w:rsid w:val="426129D8"/>
    <w:rsid w:val="429066C1"/>
    <w:rsid w:val="42FE1BA9"/>
    <w:rsid w:val="432510B5"/>
    <w:rsid w:val="43476B48"/>
    <w:rsid w:val="43573315"/>
    <w:rsid w:val="43907DB5"/>
    <w:rsid w:val="4392081E"/>
    <w:rsid w:val="439D249C"/>
    <w:rsid w:val="43C52E54"/>
    <w:rsid w:val="441735B8"/>
    <w:rsid w:val="442268FD"/>
    <w:rsid w:val="445F11C3"/>
    <w:rsid w:val="445F5F22"/>
    <w:rsid w:val="4467423E"/>
    <w:rsid w:val="44D01669"/>
    <w:rsid w:val="44F2368F"/>
    <w:rsid w:val="458601C6"/>
    <w:rsid w:val="45CE4A1B"/>
    <w:rsid w:val="45E246F4"/>
    <w:rsid w:val="461B7925"/>
    <w:rsid w:val="461D0212"/>
    <w:rsid w:val="463C07F3"/>
    <w:rsid w:val="464756DB"/>
    <w:rsid w:val="4692052E"/>
    <w:rsid w:val="46C0506A"/>
    <w:rsid w:val="470B61AF"/>
    <w:rsid w:val="471A7CA7"/>
    <w:rsid w:val="47621D3C"/>
    <w:rsid w:val="476E1465"/>
    <w:rsid w:val="47777BC1"/>
    <w:rsid w:val="479122C3"/>
    <w:rsid w:val="479F37B7"/>
    <w:rsid w:val="481F5071"/>
    <w:rsid w:val="483B44C3"/>
    <w:rsid w:val="48C53338"/>
    <w:rsid w:val="4910453A"/>
    <w:rsid w:val="491D45E4"/>
    <w:rsid w:val="49FA5C62"/>
    <w:rsid w:val="4A374A77"/>
    <w:rsid w:val="4C791821"/>
    <w:rsid w:val="4D901930"/>
    <w:rsid w:val="4D9C1311"/>
    <w:rsid w:val="4DA13EFC"/>
    <w:rsid w:val="4DAA0ACB"/>
    <w:rsid w:val="4DCD369E"/>
    <w:rsid w:val="4E207F77"/>
    <w:rsid w:val="4E405E86"/>
    <w:rsid w:val="4E486F01"/>
    <w:rsid w:val="4F1C2BA7"/>
    <w:rsid w:val="4F717B9B"/>
    <w:rsid w:val="4F7E44A1"/>
    <w:rsid w:val="4FBD66D2"/>
    <w:rsid w:val="4FDE0035"/>
    <w:rsid w:val="503043E2"/>
    <w:rsid w:val="5050382B"/>
    <w:rsid w:val="506D097D"/>
    <w:rsid w:val="51DE596C"/>
    <w:rsid w:val="520533BE"/>
    <w:rsid w:val="520668F0"/>
    <w:rsid w:val="52AE51FA"/>
    <w:rsid w:val="52CC2690"/>
    <w:rsid w:val="53143CF9"/>
    <w:rsid w:val="531F0D11"/>
    <w:rsid w:val="53322DCA"/>
    <w:rsid w:val="542F1EBF"/>
    <w:rsid w:val="545F1FF7"/>
    <w:rsid w:val="54657E0D"/>
    <w:rsid w:val="547E70F1"/>
    <w:rsid w:val="54D10F28"/>
    <w:rsid w:val="550305C3"/>
    <w:rsid w:val="557D6DAD"/>
    <w:rsid w:val="55D83CEB"/>
    <w:rsid w:val="56A37AD8"/>
    <w:rsid w:val="56CC5979"/>
    <w:rsid w:val="57034B85"/>
    <w:rsid w:val="57472184"/>
    <w:rsid w:val="589E16F5"/>
    <w:rsid w:val="589F63B4"/>
    <w:rsid w:val="58CE3EFA"/>
    <w:rsid w:val="59905774"/>
    <w:rsid w:val="599E59E1"/>
    <w:rsid w:val="59C82306"/>
    <w:rsid w:val="59E1598B"/>
    <w:rsid w:val="5A07397F"/>
    <w:rsid w:val="5A233488"/>
    <w:rsid w:val="5AE561D2"/>
    <w:rsid w:val="5B0315D4"/>
    <w:rsid w:val="5B0E5F58"/>
    <w:rsid w:val="5B180F7F"/>
    <w:rsid w:val="5C510837"/>
    <w:rsid w:val="5D8B09FB"/>
    <w:rsid w:val="5E82196D"/>
    <w:rsid w:val="5E9B4D4C"/>
    <w:rsid w:val="5EE14150"/>
    <w:rsid w:val="5F2239B1"/>
    <w:rsid w:val="5F584AF9"/>
    <w:rsid w:val="5F592FD8"/>
    <w:rsid w:val="5FDC4991"/>
    <w:rsid w:val="601D7135"/>
    <w:rsid w:val="60594271"/>
    <w:rsid w:val="606969FB"/>
    <w:rsid w:val="60FD6A51"/>
    <w:rsid w:val="61964204"/>
    <w:rsid w:val="621F016F"/>
    <w:rsid w:val="624D3045"/>
    <w:rsid w:val="62641897"/>
    <w:rsid w:val="63143D27"/>
    <w:rsid w:val="6363707C"/>
    <w:rsid w:val="639D589A"/>
    <w:rsid w:val="63A25134"/>
    <w:rsid w:val="63E45B69"/>
    <w:rsid w:val="63F41951"/>
    <w:rsid w:val="64BF65EF"/>
    <w:rsid w:val="64DD2406"/>
    <w:rsid w:val="65565234"/>
    <w:rsid w:val="66360F04"/>
    <w:rsid w:val="663E3F8E"/>
    <w:rsid w:val="66534FCB"/>
    <w:rsid w:val="67224A18"/>
    <w:rsid w:val="67E64DE1"/>
    <w:rsid w:val="681158B8"/>
    <w:rsid w:val="681E547B"/>
    <w:rsid w:val="6826003B"/>
    <w:rsid w:val="684A0535"/>
    <w:rsid w:val="685D50B9"/>
    <w:rsid w:val="68604028"/>
    <w:rsid w:val="6877527C"/>
    <w:rsid w:val="687C5B03"/>
    <w:rsid w:val="68BA38D2"/>
    <w:rsid w:val="68F84508"/>
    <w:rsid w:val="691A3E13"/>
    <w:rsid w:val="69400176"/>
    <w:rsid w:val="69597AAC"/>
    <w:rsid w:val="69B25200"/>
    <w:rsid w:val="69C21C8E"/>
    <w:rsid w:val="69F651A9"/>
    <w:rsid w:val="6A400F1A"/>
    <w:rsid w:val="6A557958"/>
    <w:rsid w:val="6A6A5E6B"/>
    <w:rsid w:val="6A8D6A74"/>
    <w:rsid w:val="6AA1155F"/>
    <w:rsid w:val="6ACE054E"/>
    <w:rsid w:val="6AF16947"/>
    <w:rsid w:val="6B2973E9"/>
    <w:rsid w:val="6B6F5E3A"/>
    <w:rsid w:val="6BB460E2"/>
    <w:rsid w:val="6BEB4471"/>
    <w:rsid w:val="6C164FA6"/>
    <w:rsid w:val="6C311483"/>
    <w:rsid w:val="6C4130FD"/>
    <w:rsid w:val="6C4B028D"/>
    <w:rsid w:val="6C95291B"/>
    <w:rsid w:val="6C9B7DB3"/>
    <w:rsid w:val="6CAB2D78"/>
    <w:rsid w:val="6DAA7E7A"/>
    <w:rsid w:val="6E750E3C"/>
    <w:rsid w:val="6E915828"/>
    <w:rsid w:val="6F1A5A2C"/>
    <w:rsid w:val="6F3C54D1"/>
    <w:rsid w:val="6FBC358D"/>
    <w:rsid w:val="6FE710F1"/>
    <w:rsid w:val="7037710B"/>
    <w:rsid w:val="70743667"/>
    <w:rsid w:val="707849CA"/>
    <w:rsid w:val="70A54C4E"/>
    <w:rsid w:val="70A76EDF"/>
    <w:rsid w:val="70AD3EBF"/>
    <w:rsid w:val="70C43920"/>
    <w:rsid w:val="70F27B83"/>
    <w:rsid w:val="70F53323"/>
    <w:rsid w:val="70F66CB4"/>
    <w:rsid w:val="71785460"/>
    <w:rsid w:val="71D33F8D"/>
    <w:rsid w:val="71ED3EDE"/>
    <w:rsid w:val="72133397"/>
    <w:rsid w:val="725B06D5"/>
    <w:rsid w:val="727D450C"/>
    <w:rsid w:val="730C28BA"/>
    <w:rsid w:val="73133219"/>
    <w:rsid w:val="73AB6FCB"/>
    <w:rsid w:val="73B63B41"/>
    <w:rsid w:val="73BC27AF"/>
    <w:rsid w:val="73FD0A4F"/>
    <w:rsid w:val="74F37794"/>
    <w:rsid w:val="756E6B34"/>
    <w:rsid w:val="75F82DC6"/>
    <w:rsid w:val="76191CEE"/>
    <w:rsid w:val="76A5521A"/>
    <w:rsid w:val="76E23986"/>
    <w:rsid w:val="770A5A76"/>
    <w:rsid w:val="775E62AF"/>
    <w:rsid w:val="779A2B2D"/>
    <w:rsid w:val="77D906E2"/>
    <w:rsid w:val="77DF6BBA"/>
    <w:rsid w:val="782920CD"/>
    <w:rsid w:val="78415904"/>
    <w:rsid w:val="784B3700"/>
    <w:rsid w:val="78934371"/>
    <w:rsid w:val="78B20FFE"/>
    <w:rsid w:val="78C5681C"/>
    <w:rsid w:val="79750FA5"/>
    <w:rsid w:val="799034D8"/>
    <w:rsid w:val="79997DD2"/>
    <w:rsid w:val="79A807A2"/>
    <w:rsid w:val="79C95DCF"/>
    <w:rsid w:val="79D00547"/>
    <w:rsid w:val="79FA0E27"/>
    <w:rsid w:val="79FA5671"/>
    <w:rsid w:val="79FD5E30"/>
    <w:rsid w:val="7A320CF1"/>
    <w:rsid w:val="7B772498"/>
    <w:rsid w:val="7B9C71D5"/>
    <w:rsid w:val="7BAB5164"/>
    <w:rsid w:val="7BAD01C9"/>
    <w:rsid w:val="7BC66859"/>
    <w:rsid w:val="7BE81934"/>
    <w:rsid w:val="7C08172E"/>
    <w:rsid w:val="7C3B6AD3"/>
    <w:rsid w:val="7C3D2061"/>
    <w:rsid w:val="7C3E4691"/>
    <w:rsid w:val="7C7846C0"/>
    <w:rsid w:val="7C956391"/>
    <w:rsid w:val="7CA80A80"/>
    <w:rsid w:val="7D4B4B42"/>
    <w:rsid w:val="7D4E6070"/>
    <w:rsid w:val="7D6C38B7"/>
    <w:rsid w:val="7D747F20"/>
    <w:rsid w:val="7DAA0228"/>
    <w:rsid w:val="7DE0615E"/>
    <w:rsid w:val="7E044AA8"/>
    <w:rsid w:val="7E3B1311"/>
    <w:rsid w:val="7ED12811"/>
    <w:rsid w:val="7EDD18F9"/>
    <w:rsid w:val="7EE07871"/>
    <w:rsid w:val="7F6D495A"/>
    <w:rsid w:val="7F814722"/>
    <w:rsid w:val="7F9D0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6"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unhideWhenUsed/>
    <w:qFormat/>
    <w:uiPriority w:val="0"/>
    <w:pPr>
      <w:shd w:val="clear" w:color="auto" w:fill="auto"/>
      <w:spacing w:before="100" w:beforeAutospacing="1" w:after="100" w:afterAutospacing="1"/>
      <w:jc w:val="left"/>
    </w:pPr>
    <w:rPr>
      <w:rFonts w:hint="eastAsia" w:ascii="宋体" w:hAnsi="宋体" w:eastAsia="宋体" w:cs="宋体"/>
      <w:b/>
      <w:kern w:val="0"/>
      <w:sz w:val="36"/>
      <w:szCs w:val="36"/>
      <w:shd w:val="clear" w:color="auto" w:fill="auto"/>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6"/>
    <w:pPr>
      <w:ind w:firstLine="567"/>
      <w:jc w:val="both"/>
    </w:pPr>
    <w:rPr>
      <w:kern w:val="1"/>
      <w:sz w:val="28"/>
    </w:rPr>
  </w:style>
  <w:style w:type="paragraph" w:styleId="4">
    <w:name w:val="Plain Text"/>
    <w:basedOn w:val="1"/>
    <w:unhideWhenUsed/>
    <w:qFormat/>
    <w:uiPriority w:val="99"/>
    <w:rPr>
      <w:rFonts w:ascii="宋体" w:hAnsi="Courier New"/>
    </w:rPr>
  </w:style>
  <w:style w:type="paragraph" w:styleId="6">
    <w:name w:val="Body Text"/>
    <w:basedOn w:val="1"/>
    <w:qFormat/>
    <w:uiPriority w:val="0"/>
    <w:pPr>
      <w:spacing w:before="93" w:beforeLines="30"/>
    </w:pPr>
    <w:rPr>
      <w:rFonts w:ascii="仿宋_GB2312" w:eastAsia="仿宋_GB2312"/>
      <w:sz w:val="3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toc 2"/>
    <w:basedOn w:val="1"/>
    <w:next w:val="1"/>
    <w:unhideWhenUsed/>
    <w:qFormat/>
    <w:uiPriority w:val="39"/>
    <w:pPr>
      <w:tabs>
        <w:tab w:val="right" w:leader="dot" w:pos="8296"/>
      </w:tabs>
      <w:ind w:left="420" w:leftChars="200"/>
    </w:pPr>
  </w:style>
  <w:style w:type="paragraph" w:styleId="11">
    <w:name w:val="Normal (Web)"/>
    <w:basedOn w:val="1"/>
    <w:qFormat/>
    <w:uiPriority w:val="0"/>
    <w:pPr>
      <w:shd w:val="clear" w:color="auto" w:fill="auto"/>
      <w:spacing w:before="100" w:beforeAutospacing="1" w:after="100" w:afterAutospacing="1"/>
      <w:ind w:left="0" w:right="0"/>
      <w:jc w:val="left"/>
    </w:pPr>
    <w:rPr>
      <w:kern w:val="0"/>
      <w:sz w:val="24"/>
      <w:shd w:val="clear" w:color="auto" w:fill="auto"/>
      <w:lang w:val="en-US" w:eastAsia="zh-CN" w:bidi="ar"/>
    </w:r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qFormat/>
    <w:uiPriority w:val="0"/>
    <w:rPr>
      <w:color w:val="0000FF"/>
      <w:u w:val="none"/>
    </w:rPr>
  </w:style>
  <w:style w:type="paragraph" w:styleId="17">
    <w:name w:val="List Paragraph"/>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No Spacing"/>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0">
    <w:name w:val="15"/>
    <w:basedOn w:val="13"/>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2023-10-25T09:04:36Z</cp:lastPrinted>
  <dcterms:modified xsi:type="dcterms:W3CDTF">2023-10-25T09:07:22Z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