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193"/>
      <w:bookmarkStart w:id="3" w:name="_Toc15377425"/>
      <w:bookmarkStart w:id="4" w:name="_Toc6258"/>
      <w:bookmarkStart w:id="5" w:name="_Toc15539"/>
      <w:bookmarkStart w:id="6" w:name="_Toc17377"/>
      <w:bookmarkStart w:id="7" w:name="_Toc15378441"/>
      <w:bookmarkStart w:id="8"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bookmarkEnd w:id="8"/>
    </w:p>
    <w:p>
      <w:pPr>
        <w:adjustRightInd w:val="0"/>
        <w:snapToGrid w:val="0"/>
        <w:spacing w:line="360" w:lineRule="auto"/>
        <w:jc w:val="center"/>
        <w:outlineLvl w:val="0"/>
        <w:rPr>
          <w:rFonts w:ascii="方正小标宋简体" w:hAnsi="宋体" w:eastAsia="方正小标宋简体"/>
          <w:color w:val="000000"/>
          <w:sz w:val="72"/>
          <w:szCs w:val="72"/>
        </w:rPr>
      </w:pPr>
      <w:bookmarkStart w:id="9" w:name="_Toc15378442"/>
      <w:bookmarkStart w:id="10" w:name="_Toc15396598"/>
      <w:bookmarkStart w:id="11" w:name="_Toc5913"/>
      <w:bookmarkStart w:id="12" w:name="_Toc15396476"/>
      <w:bookmarkStart w:id="13" w:name="_Toc15377194"/>
      <w:bookmarkStart w:id="14" w:name="_Toc15080"/>
      <w:bookmarkStart w:id="15" w:name="_Toc15377426"/>
      <w:bookmarkStart w:id="16" w:name="_Toc5903"/>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7" w:name="_Toc15306268"/>
      <w:r>
        <w:rPr>
          <w:rFonts w:hint="eastAsia" w:ascii="方正小标宋简体" w:hAnsi="宋体" w:eastAsia="方正小标宋简体"/>
          <w:color w:val="000000"/>
          <w:sz w:val="72"/>
          <w:szCs w:val="72"/>
          <w:lang w:eastAsia="zh-CN"/>
        </w:rPr>
        <w:t>委宣传部</w:t>
      </w:r>
      <w:r>
        <w:rPr>
          <w:rFonts w:hint="eastAsia" w:ascii="方正小标宋简体" w:hAnsi="宋体" w:eastAsia="方正小标宋简体"/>
          <w:color w:val="000000"/>
          <w:sz w:val="72"/>
          <w:szCs w:val="72"/>
        </w:rPr>
        <w:t>部门决算</w:t>
      </w:r>
      <w:bookmarkEnd w:id="9"/>
      <w:bookmarkEnd w:id="10"/>
      <w:bookmarkEnd w:id="11"/>
      <w:bookmarkEnd w:id="12"/>
      <w:bookmarkEnd w:id="13"/>
      <w:bookmarkEnd w:id="14"/>
      <w:bookmarkEnd w:id="15"/>
      <w:bookmarkEnd w:id="16"/>
      <w:bookmarkEnd w:id="17"/>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both"/>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ascii="黑体" w:hAnsi="黑体" w:eastAsia="黑体" w:cstheme="minorBidi"/>
          <w:sz w:val="28"/>
          <w:szCs w:val="28"/>
        </w:rPr>
      </w:pPr>
      <w:r>
        <w:rPr>
          <w:rFonts w:hint="eastAsia" w:ascii="黑体" w:hAnsi="黑体" w:eastAsia="黑体"/>
          <w:color w:val="000000"/>
          <w:sz w:val="48"/>
          <w:szCs w:val="48"/>
        </w:rPr>
        <w:t>目录</w:t>
      </w:r>
    </w:p>
    <w:p>
      <w:pPr>
        <w:pStyle w:val="12"/>
      </w:pPr>
      <w:r>
        <w:rPr>
          <w:rFonts w:hint="eastAsia"/>
        </w:rPr>
        <w:t>公开时间：2020年</w:t>
      </w:r>
      <w:r>
        <w:rPr>
          <w:rFonts w:hint="eastAsia"/>
          <w:lang w:val="en-US" w:eastAsia="zh-CN"/>
        </w:rPr>
        <w:t>10</w:t>
      </w:r>
      <w:r>
        <w:rPr>
          <w:rFonts w:hint="eastAsia"/>
        </w:rPr>
        <w:t>月</w:t>
      </w:r>
      <w:r>
        <w:rPr>
          <w:rFonts w:hint="eastAsia"/>
          <w:lang w:val="en-US" w:eastAsia="zh-CN"/>
        </w:rPr>
        <w:t>10</w:t>
      </w:r>
      <w:r>
        <w:rPr>
          <w:rFonts w:hint="eastAsia"/>
        </w:rPr>
        <w:t>日</w:t>
      </w:r>
    </w:p>
    <w:p/>
    <w:sdt>
      <w:sdtPr>
        <w:rPr>
          <w:rFonts w:ascii="宋体" w:hAnsi="宋体" w:eastAsia="宋体" w:cs="Times New Roman"/>
          <w:kern w:val="2"/>
          <w:sz w:val="21"/>
          <w:szCs w:val="24"/>
          <w:lang w:val="en-US" w:eastAsia="zh-CN" w:bidi="ar-SA"/>
        </w:rPr>
        <w:id w:val="147479569"/>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2"/>
            <w:tabs>
              <w:tab w:val="right" w:leader="dot" w:pos="8306"/>
              <w:tab w:val="clear" w:pos="8296"/>
            </w:tabs>
            <w:rPr>
              <w:sz w:val="24"/>
              <w:szCs w:val="24"/>
            </w:rPr>
          </w:pPr>
          <w:r>
            <w:fldChar w:fldCharType="begin"/>
          </w:r>
          <w:r>
            <w:instrText xml:space="preserve">TOC \o "1-2" \h \u </w:instrText>
          </w:r>
          <w:r>
            <w:fldChar w:fldCharType="separate"/>
          </w:r>
          <w:r>
            <w:rPr>
              <w:sz w:val="24"/>
              <w:szCs w:val="24"/>
            </w:rPr>
            <w:fldChar w:fldCharType="begin"/>
          </w:r>
          <w:r>
            <w:rPr>
              <w:sz w:val="24"/>
              <w:szCs w:val="24"/>
            </w:rPr>
            <w:instrText xml:space="preserve"> HYPERLINK \l _Toc13973 </w:instrText>
          </w:r>
          <w:r>
            <w:rPr>
              <w:sz w:val="24"/>
              <w:szCs w:val="24"/>
            </w:rPr>
            <w:fldChar w:fldCharType="separate"/>
          </w:r>
          <w:r>
            <w:rPr>
              <w:rFonts w:hint="eastAsia" w:ascii="黑体" w:hAnsi="黑体" w:eastAsia="黑体"/>
              <w:sz w:val="24"/>
              <w:szCs w:val="24"/>
            </w:rPr>
            <w:t xml:space="preserve">第一部分 </w:t>
          </w:r>
          <w:r>
            <w:rPr>
              <w:rFonts w:hint="eastAsia" w:ascii="黑体" w:hAnsi="黑体" w:eastAsia="黑体"/>
              <w:bCs w:val="0"/>
              <w:sz w:val="24"/>
              <w:szCs w:val="24"/>
            </w:rPr>
            <w:t>部门概况</w:t>
          </w:r>
          <w:r>
            <w:rPr>
              <w:sz w:val="24"/>
              <w:szCs w:val="24"/>
            </w:rPr>
            <w:tab/>
          </w:r>
          <w:r>
            <w:rPr>
              <w:sz w:val="24"/>
              <w:szCs w:val="24"/>
            </w:rPr>
            <w:fldChar w:fldCharType="begin"/>
          </w:r>
          <w:r>
            <w:rPr>
              <w:sz w:val="24"/>
              <w:szCs w:val="24"/>
            </w:rPr>
            <w:instrText xml:space="preserve"> PAGEREF _Toc13973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13"/>
            <w:tabs>
              <w:tab w:val="right" w:leader="dot" w:pos="8306"/>
              <w:tab w:val="clear" w:pos="8296"/>
            </w:tabs>
          </w:pPr>
          <w:r>
            <w:fldChar w:fldCharType="begin"/>
          </w:r>
          <w:r>
            <w:instrText xml:space="preserve"> HYPERLINK \l _Toc30591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_Toc30591 \h </w:instrText>
          </w:r>
          <w:r>
            <w:fldChar w:fldCharType="separate"/>
          </w:r>
          <w:r>
            <w:t>3</w:t>
          </w:r>
          <w:r>
            <w:fldChar w:fldCharType="end"/>
          </w:r>
          <w:r>
            <w:fldChar w:fldCharType="end"/>
          </w:r>
        </w:p>
        <w:p>
          <w:pPr>
            <w:pStyle w:val="13"/>
            <w:tabs>
              <w:tab w:val="right" w:leader="dot" w:pos="8306"/>
              <w:tab w:val="clear" w:pos="8296"/>
            </w:tabs>
          </w:pPr>
          <w:r>
            <w:fldChar w:fldCharType="begin"/>
          </w:r>
          <w:r>
            <w:instrText xml:space="preserve"> HYPERLINK \l _Toc16790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_Toc16790 \h </w:instrText>
          </w:r>
          <w:r>
            <w:fldChar w:fldCharType="separate"/>
          </w:r>
          <w:r>
            <w:t>10</w:t>
          </w:r>
          <w:r>
            <w:fldChar w:fldCharType="end"/>
          </w:r>
          <w:r>
            <w:fldChar w:fldCharType="end"/>
          </w:r>
        </w:p>
        <w:p>
          <w:pPr>
            <w:pStyle w:val="12"/>
            <w:tabs>
              <w:tab w:val="right" w:leader="dot" w:pos="8306"/>
              <w:tab w:val="clear" w:pos="8296"/>
            </w:tabs>
            <w:rPr>
              <w:sz w:val="24"/>
              <w:szCs w:val="24"/>
            </w:rPr>
          </w:pPr>
          <w:r>
            <w:rPr>
              <w:sz w:val="24"/>
              <w:szCs w:val="24"/>
            </w:rPr>
            <w:fldChar w:fldCharType="begin"/>
          </w:r>
          <w:r>
            <w:rPr>
              <w:sz w:val="24"/>
              <w:szCs w:val="24"/>
            </w:rPr>
            <w:instrText xml:space="preserve"> HYPERLINK \l _Toc15358 </w:instrText>
          </w:r>
          <w:r>
            <w:rPr>
              <w:sz w:val="24"/>
              <w:szCs w:val="24"/>
            </w:rPr>
            <w:fldChar w:fldCharType="separate"/>
          </w:r>
          <w:r>
            <w:rPr>
              <w:rFonts w:hint="eastAsia" w:ascii="黑体" w:hAnsi="黑体" w:eastAsia="黑体"/>
              <w:sz w:val="24"/>
              <w:szCs w:val="24"/>
            </w:rPr>
            <w:t xml:space="preserve">第二部分 </w:t>
          </w:r>
          <w:r>
            <w:rPr>
              <w:rFonts w:hint="eastAsia" w:ascii="黑体" w:hAnsi="黑体" w:eastAsia="黑体"/>
              <w:bCs w:val="0"/>
              <w:sz w:val="24"/>
              <w:szCs w:val="24"/>
            </w:rPr>
            <w:t>2019年度部门决算情况说明</w:t>
          </w:r>
          <w:r>
            <w:rPr>
              <w:sz w:val="24"/>
              <w:szCs w:val="24"/>
            </w:rPr>
            <w:tab/>
          </w:r>
          <w:r>
            <w:rPr>
              <w:sz w:val="24"/>
              <w:szCs w:val="24"/>
            </w:rPr>
            <w:fldChar w:fldCharType="begin"/>
          </w:r>
          <w:r>
            <w:rPr>
              <w:sz w:val="24"/>
              <w:szCs w:val="24"/>
            </w:rPr>
            <w:instrText xml:space="preserve"> PAGEREF _Toc15358 \h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13"/>
            <w:tabs>
              <w:tab w:val="right" w:leader="dot" w:pos="8306"/>
              <w:tab w:val="clear" w:pos="8296"/>
            </w:tabs>
          </w:pPr>
          <w:r>
            <w:fldChar w:fldCharType="begin"/>
          </w:r>
          <w:r>
            <w:instrText xml:space="preserve"> HYPERLINK \l _Toc1324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_Toc1324 \h </w:instrText>
          </w:r>
          <w:r>
            <w:fldChar w:fldCharType="separate"/>
          </w:r>
          <w:r>
            <w:t>12</w:t>
          </w:r>
          <w:r>
            <w:fldChar w:fldCharType="end"/>
          </w:r>
          <w:r>
            <w:fldChar w:fldCharType="end"/>
          </w:r>
        </w:p>
        <w:p>
          <w:pPr>
            <w:pStyle w:val="13"/>
            <w:tabs>
              <w:tab w:val="right" w:leader="dot" w:pos="8306"/>
              <w:tab w:val="clear" w:pos="8296"/>
            </w:tabs>
          </w:pPr>
          <w:r>
            <w:fldChar w:fldCharType="begin"/>
          </w:r>
          <w:r>
            <w:instrText xml:space="preserve"> HYPERLINK \l _Toc31007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_Toc31007 \h </w:instrText>
          </w:r>
          <w:r>
            <w:fldChar w:fldCharType="separate"/>
          </w:r>
          <w:r>
            <w:t>12</w:t>
          </w:r>
          <w:r>
            <w:fldChar w:fldCharType="end"/>
          </w:r>
          <w:r>
            <w:fldChar w:fldCharType="end"/>
          </w:r>
        </w:p>
        <w:p>
          <w:pPr>
            <w:pStyle w:val="13"/>
            <w:tabs>
              <w:tab w:val="right" w:leader="dot" w:pos="8306"/>
              <w:tab w:val="clear" w:pos="8296"/>
            </w:tabs>
          </w:pPr>
          <w:r>
            <w:fldChar w:fldCharType="begin"/>
          </w:r>
          <w:r>
            <w:instrText xml:space="preserve"> HYPERLINK \l _Toc1216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_Toc1216 \h </w:instrText>
          </w:r>
          <w:r>
            <w:fldChar w:fldCharType="separate"/>
          </w:r>
          <w:r>
            <w:t>13</w:t>
          </w:r>
          <w:r>
            <w:fldChar w:fldCharType="end"/>
          </w:r>
          <w:r>
            <w:fldChar w:fldCharType="end"/>
          </w:r>
        </w:p>
        <w:p>
          <w:pPr>
            <w:pStyle w:val="13"/>
            <w:tabs>
              <w:tab w:val="right" w:leader="dot" w:pos="8306"/>
              <w:tab w:val="clear" w:pos="8296"/>
            </w:tabs>
          </w:pPr>
          <w:r>
            <w:fldChar w:fldCharType="begin"/>
          </w:r>
          <w:r>
            <w:instrText xml:space="preserve"> HYPERLINK \l _Toc27041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_Toc27041 \h </w:instrText>
          </w:r>
          <w:r>
            <w:fldChar w:fldCharType="separate"/>
          </w:r>
          <w:r>
            <w:t>13</w:t>
          </w:r>
          <w:r>
            <w:fldChar w:fldCharType="end"/>
          </w:r>
          <w:r>
            <w:fldChar w:fldCharType="end"/>
          </w:r>
        </w:p>
        <w:p>
          <w:pPr>
            <w:pStyle w:val="13"/>
            <w:tabs>
              <w:tab w:val="right" w:leader="dot" w:pos="8306"/>
              <w:tab w:val="clear" w:pos="8296"/>
            </w:tabs>
          </w:pPr>
          <w:r>
            <w:fldChar w:fldCharType="begin"/>
          </w:r>
          <w:r>
            <w:instrText xml:space="preserve"> HYPERLINK \l _Toc10533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_Toc10533 \h </w:instrText>
          </w:r>
          <w:r>
            <w:fldChar w:fldCharType="separate"/>
          </w:r>
          <w:r>
            <w:t>14</w:t>
          </w:r>
          <w:r>
            <w:fldChar w:fldCharType="end"/>
          </w:r>
          <w:r>
            <w:fldChar w:fldCharType="end"/>
          </w:r>
        </w:p>
        <w:p>
          <w:pPr>
            <w:pStyle w:val="13"/>
            <w:tabs>
              <w:tab w:val="right" w:leader="dot" w:pos="8306"/>
              <w:tab w:val="clear" w:pos="8296"/>
            </w:tabs>
          </w:pPr>
          <w:r>
            <w:fldChar w:fldCharType="begin"/>
          </w:r>
          <w:r>
            <w:instrText xml:space="preserve"> HYPERLINK \l _Toc20431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_Toc20431 \h </w:instrText>
          </w:r>
          <w:r>
            <w:fldChar w:fldCharType="separate"/>
          </w:r>
          <w:r>
            <w:t>16</w:t>
          </w:r>
          <w:r>
            <w:fldChar w:fldCharType="end"/>
          </w:r>
          <w:r>
            <w:fldChar w:fldCharType="end"/>
          </w:r>
        </w:p>
        <w:p>
          <w:pPr>
            <w:pStyle w:val="13"/>
            <w:tabs>
              <w:tab w:val="right" w:leader="dot" w:pos="8306"/>
              <w:tab w:val="clear" w:pos="8296"/>
            </w:tabs>
          </w:pPr>
          <w:r>
            <w:fldChar w:fldCharType="begin"/>
          </w:r>
          <w:r>
            <w:instrText xml:space="preserve"> HYPERLINK \l _Toc23835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_Toc23835 \h </w:instrText>
          </w:r>
          <w:r>
            <w:fldChar w:fldCharType="separate"/>
          </w:r>
          <w:r>
            <w:t>17</w:t>
          </w:r>
          <w:r>
            <w:fldChar w:fldCharType="end"/>
          </w:r>
          <w:r>
            <w:fldChar w:fldCharType="end"/>
          </w:r>
        </w:p>
        <w:p>
          <w:pPr>
            <w:pStyle w:val="13"/>
            <w:tabs>
              <w:tab w:val="right" w:leader="dot" w:pos="8306"/>
              <w:tab w:val="clear" w:pos="8296"/>
            </w:tabs>
          </w:pPr>
          <w:r>
            <w:fldChar w:fldCharType="begin"/>
          </w:r>
          <w:r>
            <w:instrText xml:space="preserve"> HYPERLINK \l _Toc24202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_Toc24202 \h </w:instrText>
          </w:r>
          <w:r>
            <w:fldChar w:fldCharType="separate"/>
          </w:r>
          <w:r>
            <w:t>19</w:t>
          </w:r>
          <w:r>
            <w:fldChar w:fldCharType="end"/>
          </w:r>
          <w:r>
            <w:fldChar w:fldCharType="end"/>
          </w:r>
        </w:p>
        <w:p>
          <w:pPr>
            <w:pStyle w:val="13"/>
            <w:tabs>
              <w:tab w:val="right" w:leader="dot" w:pos="8306"/>
              <w:tab w:val="clear" w:pos="8296"/>
            </w:tabs>
          </w:pPr>
          <w:r>
            <w:fldChar w:fldCharType="begin"/>
          </w:r>
          <w:r>
            <w:instrText xml:space="preserve"> HYPERLINK \l _Toc5811 </w:instrText>
          </w:r>
          <w:r>
            <w:fldChar w:fldCharType="separate"/>
          </w:r>
          <w:r>
            <w:rPr>
              <w:rFonts w:hint="eastAsia" w:ascii="黑体" w:hAnsi="黑体" w:eastAsia="黑体"/>
            </w:rPr>
            <w:t>九、 国有资本经营预算支出决算情况说明</w:t>
          </w:r>
          <w:r>
            <w:tab/>
          </w:r>
          <w:r>
            <w:fldChar w:fldCharType="begin"/>
          </w:r>
          <w:r>
            <w:instrText xml:space="preserve"> PAGEREF _Toc5811 \h </w:instrText>
          </w:r>
          <w:r>
            <w:fldChar w:fldCharType="separate"/>
          </w:r>
          <w:r>
            <w:t>19</w:t>
          </w:r>
          <w:r>
            <w:fldChar w:fldCharType="end"/>
          </w:r>
          <w:r>
            <w:fldChar w:fldCharType="end"/>
          </w:r>
        </w:p>
        <w:p>
          <w:pPr>
            <w:pStyle w:val="13"/>
            <w:tabs>
              <w:tab w:val="right" w:leader="dot" w:pos="8306"/>
              <w:tab w:val="clear" w:pos="8296"/>
            </w:tabs>
          </w:pPr>
          <w:r>
            <w:fldChar w:fldCharType="begin"/>
          </w:r>
          <w:r>
            <w:instrText xml:space="preserve"> HYPERLINK \l _Toc20358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_Toc20358 \h </w:instrText>
          </w:r>
          <w:r>
            <w:fldChar w:fldCharType="separate"/>
          </w:r>
          <w:r>
            <w:t>19</w:t>
          </w:r>
          <w:r>
            <w:fldChar w:fldCharType="end"/>
          </w:r>
          <w:r>
            <w:fldChar w:fldCharType="end"/>
          </w:r>
        </w:p>
        <w:p>
          <w:pPr>
            <w:pStyle w:val="12"/>
            <w:tabs>
              <w:tab w:val="right" w:leader="dot" w:pos="8306"/>
              <w:tab w:val="clear" w:pos="8296"/>
            </w:tabs>
            <w:rPr>
              <w:sz w:val="24"/>
              <w:szCs w:val="24"/>
            </w:rPr>
          </w:pPr>
          <w:r>
            <w:rPr>
              <w:sz w:val="24"/>
              <w:szCs w:val="24"/>
            </w:rPr>
            <w:fldChar w:fldCharType="begin"/>
          </w:r>
          <w:r>
            <w:rPr>
              <w:sz w:val="24"/>
              <w:szCs w:val="24"/>
            </w:rPr>
            <w:instrText xml:space="preserve"> HYPERLINK \l _Toc32019 </w:instrText>
          </w:r>
          <w:r>
            <w:rPr>
              <w:sz w:val="24"/>
              <w:szCs w:val="24"/>
            </w:rPr>
            <w:fldChar w:fldCharType="separate"/>
          </w:r>
          <w:r>
            <w:rPr>
              <w:rFonts w:hint="eastAsia" w:ascii="黑体" w:hAnsi="黑体" w:eastAsia="黑体"/>
              <w:sz w:val="24"/>
              <w:szCs w:val="24"/>
            </w:rPr>
            <w:t xml:space="preserve">第三部分 </w:t>
          </w:r>
          <w:r>
            <w:rPr>
              <w:rFonts w:hint="eastAsia" w:ascii="黑体" w:hAnsi="黑体" w:eastAsia="黑体"/>
              <w:sz w:val="24"/>
              <w:szCs w:val="40"/>
            </w:rPr>
            <w:t>名</w:t>
          </w:r>
          <w:r>
            <w:rPr>
              <w:rFonts w:hint="eastAsia" w:ascii="黑体" w:hAnsi="黑体" w:eastAsia="黑体"/>
              <w:sz w:val="24"/>
              <w:szCs w:val="24"/>
            </w:rPr>
            <w:t>词解释</w:t>
          </w:r>
          <w:r>
            <w:rPr>
              <w:sz w:val="24"/>
              <w:szCs w:val="24"/>
            </w:rPr>
            <w:tab/>
          </w:r>
          <w:r>
            <w:rPr>
              <w:sz w:val="24"/>
              <w:szCs w:val="24"/>
            </w:rPr>
            <w:fldChar w:fldCharType="begin"/>
          </w:r>
          <w:r>
            <w:rPr>
              <w:sz w:val="24"/>
              <w:szCs w:val="24"/>
            </w:rPr>
            <w:instrText xml:space="preserve"> PAGEREF _Toc32019 \h </w:instrText>
          </w:r>
          <w:r>
            <w:rPr>
              <w:sz w:val="24"/>
              <w:szCs w:val="24"/>
            </w:rPr>
            <w:fldChar w:fldCharType="separate"/>
          </w:r>
          <w:r>
            <w:rPr>
              <w:sz w:val="24"/>
              <w:szCs w:val="24"/>
            </w:rPr>
            <w:t>28</w:t>
          </w:r>
          <w:r>
            <w:rPr>
              <w:sz w:val="24"/>
              <w:szCs w:val="24"/>
            </w:rPr>
            <w:fldChar w:fldCharType="end"/>
          </w:r>
          <w:r>
            <w:rPr>
              <w:sz w:val="24"/>
              <w:szCs w:val="24"/>
            </w:rPr>
            <w:fldChar w:fldCharType="end"/>
          </w:r>
        </w:p>
        <w:p>
          <w:pPr>
            <w:pStyle w:val="12"/>
            <w:tabs>
              <w:tab w:val="right" w:leader="dot" w:pos="8306"/>
              <w:tab w:val="clear" w:pos="8296"/>
            </w:tabs>
            <w:rPr>
              <w:sz w:val="24"/>
              <w:szCs w:val="24"/>
            </w:rPr>
          </w:pPr>
          <w:r>
            <w:rPr>
              <w:sz w:val="24"/>
              <w:szCs w:val="24"/>
            </w:rPr>
            <w:fldChar w:fldCharType="begin"/>
          </w:r>
          <w:r>
            <w:rPr>
              <w:sz w:val="24"/>
              <w:szCs w:val="24"/>
            </w:rPr>
            <w:instrText xml:space="preserve"> HYPERLINK \l _Toc14476 </w:instrText>
          </w:r>
          <w:r>
            <w:rPr>
              <w:sz w:val="24"/>
              <w:szCs w:val="24"/>
            </w:rPr>
            <w:fldChar w:fldCharType="separate"/>
          </w:r>
          <w:r>
            <w:rPr>
              <w:rFonts w:hint="eastAsia" w:ascii="黑体" w:hAnsi="黑体" w:eastAsia="黑体"/>
              <w:sz w:val="24"/>
              <w:szCs w:val="40"/>
            </w:rPr>
            <w:t>第</w:t>
          </w:r>
          <w:r>
            <w:rPr>
              <w:rFonts w:hint="eastAsia" w:ascii="黑体" w:hAnsi="黑体" w:eastAsia="黑体"/>
              <w:sz w:val="24"/>
              <w:szCs w:val="24"/>
            </w:rPr>
            <w:t>四部分 附件</w:t>
          </w:r>
          <w:r>
            <w:rPr>
              <w:sz w:val="24"/>
              <w:szCs w:val="24"/>
            </w:rPr>
            <w:tab/>
          </w:r>
          <w:r>
            <w:rPr>
              <w:sz w:val="24"/>
              <w:szCs w:val="24"/>
            </w:rPr>
            <w:fldChar w:fldCharType="begin"/>
          </w:r>
          <w:r>
            <w:rPr>
              <w:sz w:val="24"/>
              <w:szCs w:val="24"/>
            </w:rPr>
            <w:instrText xml:space="preserve"> PAGEREF _Toc14476 \h </w:instrText>
          </w:r>
          <w:r>
            <w:rPr>
              <w:sz w:val="24"/>
              <w:szCs w:val="24"/>
            </w:rPr>
            <w:fldChar w:fldCharType="separate"/>
          </w:r>
          <w:r>
            <w:rPr>
              <w:sz w:val="24"/>
              <w:szCs w:val="24"/>
            </w:rPr>
            <w:t>31</w:t>
          </w:r>
          <w:r>
            <w:rPr>
              <w:sz w:val="24"/>
              <w:szCs w:val="24"/>
            </w:rPr>
            <w:fldChar w:fldCharType="end"/>
          </w:r>
          <w:r>
            <w:rPr>
              <w:sz w:val="24"/>
              <w:szCs w:val="24"/>
            </w:rPr>
            <w:fldChar w:fldCharType="end"/>
          </w:r>
        </w:p>
        <w:p>
          <w:pPr>
            <w:pStyle w:val="13"/>
            <w:tabs>
              <w:tab w:val="right" w:leader="dot" w:pos="8306"/>
              <w:tab w:val="clear" w:pos="8296"/>
            </w:tabs>
          </w:pPr>
          <w:r>
            <w:fldChar w:fldCharType="begin"/>
          </w:r>
          <w:r>
            <w:instrText xml:space="preserve"> HYPERLINK \l _Toc5424 </w:instrText>
          </w:r>
          <w:r>
            <w:fldChar w:fldCharType="separate"/>
          </w:r>
          <w:r>
            <w:rPr>
              <w:rFonts w:hint="eastAsia"/>
              <w:bCs w:val="0"/>
              <w:lang w:val="en-US" w:eastAsia="zh-CN"/>
            </w:rPr>
            <w:t>附件1</w:t>
          </w:r>
          <w:r>
            <w:tab/>
          </w:r>
          <w:r>
            <w:fldChar w:fldCharType="begin"/>
          </w:r>
          <w:r>
            <w:instrText xml:space="preserve"> PAGEREF _Toc5424 \h </w:instrText>
          </w:r>
          <w:r>
            <w:fldChar w:fldCharType="separate"/>
          </w:r>
          <w:r>
            <w:t>31</w:t>
          </w:r>
          <w:r>
            <w:fldChar w:fldCharType="end"/>
          </w:r>
          <w:r>
            <w:fldChar w:fldCharType="end"/>
          </w:r>
        </w:p>
        <w:p>
          <w:pPr>
            <w:pStyle w:val="13"/>
            <w:tabs>
              <w:tab w:val="right" w:leader="dot" w:pos="8306"/>
              <w:tab w:val="clear" w:pos="8296"/>
            </w:tabs>
          </w:pPr>
          <w:r>
            <w:fldChar w:fldCharType="begin"/>
          </w:r>
          <w:r>
            <w:instrText xml:space="preserve"> HYPERLINK \l _Toc32710 </w:instrText>
          </w:r>
          <w:r>
            <w:fldChar w:fldCharType="separate"/>
          </w:r>
          <w:r>
            <w:rPr>
              <w:rFonts w:hint="eastAsia"/>
              <w:bCs w:val="0"/>
              <w:lang w:val="en-US" w:eastAsia="zh-CN"/>
            </w:rPr>
            <w:t>附件2</w:t>
          </w:r>
          <w:r>
            <w:tab/>
          </w:r>
          <w:r>
            <w:fldChar w:fldCharType="begin"/>
          </w:r>
          <w:r>
            <w:instrText xml:space="preserve"> PAGEREF _Toc32710 \h </w:instrText>
          </w:r>
          <w:r>
            <w:fldChar w:fldCharType="separate"/>
          </w:r>
          <w:r>
            <w:t>36</w:t>
          </w:r>
          <w:r>
            <w:fldChar w:fldCharType="end"/>
          </w:r>
          <w:r>
            <w:fldChar w:fldCharType="end"/>
          </w:r>
        </w:p>
        <w:p>
          <w:pPr>
            <w:pStyle w:val="13"/>
            <w:tabs>
              <w:tab w:val="right" w:leader="dot" w:pos="8306"/>
              <w:tab w:val="clear" w:pos="8296"/>
            </w:tabs>
          </w:pPr>
          <w:r>
            <w:fldChar w:fldCharType="begin"/>
          </w:r>
          <w:r>
            <w:instrText xml:space="preserve"> HYPERLINK \l _Toc30066 </w:instrText>
          </w:r>
          <w:r>
            <w:fldChar w:fldCharType="separate"/>
          </w:r>
          <w:r>
            <w:rPr>
              <w:rFonts w:hint="eastAsia"/>
              <w:bCs w:val="0"/>
              <w:lang w:val="en-US" w:eastAsia="zh-CN"/>
            </w:rPr>
            <w:t>附件3</w:t>
          </w:r>
          <w:r>
            <w:tab/>
          </w:r>
          <w:r>
            <w:fldChar w:fldCharType="begin"/>
          </w:r>
          <w:r>
            <w:instrText xml:space="preserve"> PAGEREF _Toc30066 \h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_Toc3926 </w:instrText>
          </w:r>
          <w:r>
            <w:fldChar w:fldCharType="separate"/>
          </w:r>
          <w:r>
            <w:rPr>
              <w:rFonts w:hint="eastAsia"/>
              <w:bCs w:val="0"/>
              <w:lang w:val="en-US" w:eastAsia="zh-CN"/>
            </w:rPr>
            <w:t>附件4</w:t>
          </w:r>
          <w:r>
            <w:tab/>
          </w:r>
          <w:r>
            <w:fldChar w:fldCharType="begin"/>
          </w:r>
          <w:r>
            <w:instrText xml:space="preserve"> PAGEREF _Toc3926 \h </w:instrText>
          </w:r>
          <w:r>
            <w:fldChar w:fldCharType="separate"/>
          </w:r>
          <w:r>
            <w:t>42</w:t>
          </w:r>
          <w:r>
            <w:fldChar w:fldCharType="end"/>
          </w:r>
          <w:r>
            <w:fldChar w:fldCharType="end"/>
          </w:r>
        </w:p>
        <w:p>
          <w:pPr>
            <w:pStyle w:val="13"/>
            <w:tabs>
              <w:tab w:val="right" w:leader="dot" w:pos="8306"/>
              <w:tab w:val="clear" w:pos="8296"/>
            </w:tabs>
          </w:pPr>
          <w:r>
            <w:fldChar w:fldCharType="begin"/>
          </w:r>
          <w:r>
            <w:instrText xml:space="preserve"> HYPERLINK \l _Toc16225 </w:instrText>
          </w:r>
          <w:r>
            <w:fldChar w:fldCharType="separate"/>
          </w:r>
          <w:r>
            <w:rPr>
              <w:rFonts w:hint="eastAsia"/>
              <w:bCs w:val="0"/>
              <w:lang w:val="en-US" w:eastAsia="zh-CN"/>
            </w:rPr>
            <w:t>附件5</w:t>
          </w:r>
          <w:r>
            <w:tab/>
          </w:r>
          <w:r>
            <w:fldChar w:fldCharType="begin"/>
          </w:r>
          <w:r>
            <w:instrText xml:space="preserve"> PAGEREF _Toc16225 \h </w:instrText>
          </w:r>
          <w:r>
            <w:fldChar w:fldCharType="separate"/>
          </w:r>
          <w:r>
            <w:t>45</w:t>
          </w:r>
          <w:r>
            <w:fldChar w:fldCharType="end"/>
          </w:r>
          <w:r>
            <w:fldChar w:fldCharType="end"/>
          </w:r>
        </w:p>
        <w:p>
          <w:pPr>
            <w:pStyle w:val="12"/>
            <w:tabs>
              <w:tab w:val="right" w:leader="dot" w:pos="8306"/>
              <w:tab w:val="clear" w:pos="8296"/>
            </w:tabs>
            <w:rPr>
              <w:sz w:val="24"/>
              <w:szCs w:val="24"/>
            </w:rPr>
          </w:pPr>
          <w:r>
            <w:rPr>
              <w:sz w:val="24"/>
              <w:szCs w:val="24"/>
            </w:rPr>
            <w:fldChar w:fldCharType="begin"/>
          </w:r>
          <w:r>
            <w:rPr>
              <w:sz w:val="24"/>
              <w:szCs w:val="24"/>
            </w:rPr>
            <w:instrText xml:space="preserve"> HYPERLINK \l _Toc10958 </w:instrText>
          </w:r>
          <w:r>
            <w:rPr>
              <w:sz w:val="24"/>
              <w:szCs w:val="24"/>
            </w:rPr>
            <w:fldChar w:fldCharType="separate"/>
          </w:r>
          <w:r>
            <w:rPr>
              <w:rFonts w:hint="eastAsia" w:ascii="黑体" w:hAnsi="黑体" w:eastAsia="黑体"/>
              <w:sz w:val="24"/>
              <w:szCs w:val="40"/>
            </w:rPr>
            <w:t>第</w:t>
          </w:r>
          <w:r>
            <w:rPr>
              <w:rFonts w:hint="eastAsia" w:ascii="黑体" w:hAnsi="黑体" w:eastAsia="黑体"/>
              <w:sz w:val="24"/>
              <w:szCs w:val="24"/>
            </w:rPr>
            <w:t>五部分 附表</w:t>
          </w:r>
          <w:r>
            <w:rPr>
              <w:sz w:val="24"/>
              <w:szCs w:val="24"/>
            </w:rPr>
            <w:tab/>
          </w:r>
          <w:r>
            <w:rPr>
              <w:sz w:val="24"/>
              <w:szCs w:val="24"/>
            </w:rPr>
            <w:fldChar w:fldCharType="begin"/>
          </w:r>
          <w:r>
            <w:rPr>
              <w:sz w:val="24"/>
              <w:szCs w:val="24"/>
            </w:rPr>
            <w:instrText xml:space="preserve"> PAGEREF _Toc10958 \h </w:instrText>
          </w:r>
          <w:r>
            <w:rPr>
              <w:sz w:val="24"/>
              <w:szCs w:val="24"/>
            </w:rPr>
            <w:fldChar w:fldCharType="separate"/>
          </w:r>
          <w:r>
            <w:rPr>
              <w:sz w:val="24"/>
              <w:szCs w:val="24"/>
            </w:rPr>
            <w:t>48</w:t>
          </w:r>
          <w:r>
            <w:rPr>
              <w:sz w:val="24"/>
              <w:szCs w:val="24"/>
            </w:rPr>
            <w:fldChar w:fldCharType="end"/>
          </w:r>
          <w:r>
            <w:rPr>
              <w:sz w:val="24"/>
              <w:szCs w:val="24"/>
            </w:rPr>
            <w:fldChar w:fldCharType="end"/>
          </w:r>
        </w:p>
        <w:p>
          <w:pPr>
            <w:pStyle w:val="13"/>
            <w:tabs>
              <w:tab w:val="right" w:leader="dot" w:pos="8306"/>
              <w:tab w:val="clear" w:pos="8296"/>
            </w:tabs>
          </w:pPr>
          <w:r>
            <w:fldChar w:fldCharType="begin"/>
          </w:r>
          <w:r>
            <w:instrText xml:space="preserve"> HYPERLINK \l _Toc22473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_Toc22473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_Toc7492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_Toc7492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_Toc22779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_Toc22779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_Toc27920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_Toc27920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_Toc22546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_Toc22546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_Toc27259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_Toc27259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_Toc7526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_Toc7526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_Toc22757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_Toc22757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_Toc12691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_Toc12691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_Toc11828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_Toc11828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_Toc27584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_Toc27584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_Toc640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_Toc640 \h </w:instrText>
          </w:r>
          <w:r>
            <w:fldChar w:fldCharType="separate"/>
          </w:r>
          <w:r>
            <w:t>48</w:t>
          </w:r>
          <w:r>
            <w:fldChar w:fldCharType="end"/>
          </w:r>
          <w:r>
            <w:fldChar w:fldCharType="end"/>
          </w:r>
        </w:p>
        <w:p>
          <w:pPr>
            <w:pStyle w:val="13"/>
            <w:tabs>
              <w:tab w:val="right" w:leader="dot" w:pos="8306"/>
              <w:tab w:val="clear" w:pos="8296"/>
            </w:tabs>
          </w:pPr>
          <w:r>
            <w:fldChar w:fldCharType="begin"/>
          </w:r>
          <w:r>
            <w:instrText xml:space="preserve"> HYPERLINK \l _Toc21254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_Toc21254 \h </w:instrText>
          </w:r>
          <w:r>
            <w:fldChar w:fldCharType="separate"/>
          </w:r>
          <w:r>
            <w:t>48</w:t>
          </w:r>
          <w:r>
            <w:fldChar w:fldCharType="end"/>
          </w:r>
          <w:r>
            <w:fldChar w:fldCharType="end"/>
          </w:r>
        </w:p>
        <w:p>
          <w:r>
            <w:fldChar w:fldCharType="end"/>
          </w:r>
        </w:p>
      </w:sdtContent>
    </w:sdt>
    <w:p>
      <w:pPr>
        <w:widowControl/>
        <w:spacing w:line="440" w:lineRule="exact"/>
        <w:jc w:val="left"/>
        <w:rPr>
          <w:rFonts w:ascii="仿宋" w:hAnsi="仿宋" w:eastAsia="仿宋"/>
          <w:bCs/>
          <w:kern w:val="44"/>
          <w:sz w:val="24"/>
        </w:rPr>
      </w:pPr>
      <w:r>
        <w:rPr>
          <w:rFonts w:ascii="仿宋" w:hAnsi="仿宋" w:eastAsia="仿宋"/>
          <w:b/>
          <w:sz w:val="24"/>
        </w:rPr>
        <w:br w:type="page"/>
      </w:r>
    </w:p>
    <w:p>
      <w:pPr>
        <w:pStyle w:val="4"/>
        <w:jc w:val="center"/>
        <w:rPr>
          <w:rStyle w:val="26"/>
          <w:rFonts w:ascii="黑体" w:hAnsi="黑体" w:eastAsia="黑体"/>
          <w:b/>
          <w:bCs w:val="0"/>
        </w:rPr>
      </w:pPr>
      <w:bookmarkStart w:id="18" w:name="_Toc13973"/>
      <w:r>
        <w:rPr>
          <w:rFonts w:hint="eastAsia" w:ascii="黑体" w:hAnsi="黑体" w:eastAsia="黑体"/>
          <w:b w:val="0"/>
        </w:rPr>
        <w:t xml:space="preserve">第一部分 </w:t>
      </w:r>
      <w:r>
        <w:rPr>
          <w:rStyle w:val="26"/>
          <w:rFonts w:hint="eastAsia" w:ascii="黑体" w:hAnsi="黑体" w:eastAsia="黑体"/>
          <w:b w:val="0"/>
          <w:bCs w:val="0"/>
        </w:rPr>
        <w:t>部门概况</w:t>
      </w:r>
      <w:bookmarkEnd w:id="18"/>
    </w:p>
    <w:p>
      <w:pPr>
        <w:widowControl/>
        <w:jc w:val="left"/>
        <w:rPr>
          <w:rFonts w:ascii="黑体" w:eastAsia="黑体"/>
          <w:color w:val="000000"/>
          <w:sz w:val="32"/>
          <w:szCs w:val="32"/>
        </w:rPr>
      </w:pPr>
    </w:p>
    <w:p>
      <w:pPr>
        <w:pStyle w:val="5"/>
        <w:rPr>
          <w:rStyle w:val="27"/>
          <w:rFonts w:ascii="仿宋" w:hAnsi="仿宋" w:eastAsia="仿宋"/>
          <w:b w:val="0"/>
          <w:bCs w:val="0"/>
        </w:rPr>
      </w:pPr>
      <w:bookmarkStart w:id="19" w:name="_Toc30591"/>
      <w:bookmarkStart w:id="20" w:name="_Toc15396600"/>
      <w:bookmarkStart w:id="21"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9"/>
      <w:bookmarkEnd w:id="20"/>
      <w:bookmarkEnd w:id="21"/>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2" w:name="_Toc15377198"/>
      <w:bookmarkStart w:id="23" w:name="_Toc12466"/>
      <w:bookmarkStart w:id="24" w:name="_Toc7967"/>
      <w:bookmarkStart w:id="25" w:name="_Toc15378445"/>
      <w:r>
        <w:rPr>
          <w:rFonts w:hint="eastAsia" w:ascii="仿宋" w:hAnsi="仿宋" w:eastAsia="仿宋"/>
          <w:bCs/>
          <w:color w:val="000000"/>
          <w:sz w:val="32"/>
          <w:szCs w:val="32"/>
        </w:rPr>
        <w:t>（一）主要职能</w:t>
      </w:r>
      <w:bookmarkEnd w:id="22"/>
      <w:bookmarkEnd w:id="23"/>
      <w:bookmarkEnd w:id="24"/>
      <w:bookmarkEnd w:id="25"/>
      <w:bookmarkStart w:id="26" w:name="_Toc15377199"/>
      <w:bookmarkStart w:id="27" w:name="_Toc15378446"/>
    </w:p>
    <w:p>
      <w:pPr>
        <w:pStyle w:val="7"/>
        <w:adjustRightInd w:val="0"/>
        <w:snapToGrid w:val="0"/>
        <w:spacing w:before="93" w:line="560" w:lineRule="exact"/>
        <w:ind w:firstLine="672" w:firstLineChars="210"/>
        <w:rPr>
          <w:bCs/>
          <w:sz w:val="32"/>
        </w:rPr>
      </w:pPr>
      <w:r>
        <w:rPr>
          <w:rFonts w:hint="eastAsia"/>
          <w:bCs/>
          <w:sz w:val="32"/>
        </w:rPr>
        <w:t>县委宣传部是县委主管意识形态方面工作的综合职能部门。主要职责是：</w:t>
      </w:r>
    </w:p>
    <w:p>
      <w:pPr>
        <w:pStyle w:val="7"/>
        <w:adjustRightInd w:val="0"/>
        <w:snapToGrid w:val="0"/>
        <w:spacing w:before="93" w:line="560" w:lineRule="exact"/>
        <w:ind w:firstLine="672" w:firstLineChars="210"/>
        <w:rPr>
          <w:bCs/>
          <w:sz w:val="32"/>
        </w:rPr>
      </w:pPr>
      <w:r>
        <w:rPr>
          <w:rFonts w:hint="eastAsia"/>
          <w:bCs/>
          <w:sz w:val="32"/>
        </w:rPr>
        <w:t>（一）负责组织、指导全县的理论研究、理论学习和理论宣传工作。</w:t>
      </w:r>
    </w:p>
    <w:p>
      <w:pPr>
        <w:pStyle w:val="7"/>
        <w:adjustRightInd w:val="0"/>
        <w:snapToGrid w:val="0"/>
        <w:spacing w:before="93" w:line="560" w:lineRule="exact"/>
        <w:ind w:firstLine="672" w:firstLineChars="210"/>
        <w:rPr>
          <w:bCs/>
          <w:sz w:val="32"/>
        </w:rPr>
      </w:pPr>
      <w:r>
        <w:rPr>
          <w:rFonts w:hint="eastAsia"/>
          <w:bCs/>
          <w:sz w:val="32"/>
        </w:rPr>
        <w:t>（二）负责引导社会舆论，指导协调新闻、出版部门的工作。对县广播电视局、县文化体育局、县新闻出版工作实施方案方针政策指导，管理县记者协会，并在政治方向和方针政策方面实施领导。</w:t>
      </w:r>
    </w:p>
    <w:p>
      <w:pPr>
        <w:pStyle w:val="7"/>
        <w:adjustRightInd w:val="0"/>
        <w:snapToGrid w:val="0"/>
        <w:spacing w:before="93" w:line="560" w:lineRule="exact"/>
        <w:ind w:firstLine="672" w:firstLineChars="210"/>
        <w:rPr>
          <w:bCs/>
          <w:sz w:val="32"/>
        </w:rPr>
      </w:pPr>
      <w:r>
        <w:rPr>
          <w:rFonts w:hint="eastAsia"/>
          <w:bCs/>
          <w:sz w:val="32"/>
        </w:rPr>
        <w:t>（四）负责规划、部署全局性的思想政治工作任务，会同有关部门研究和改进群众思想教育工作。</w:t>
      </w:r>
    </w:p>
    <w:p>
      <w:pPr>
        <w:pStyle w:val="7"/>
        <w:adjustRightInd w:val="0"/>
        <w:snapToGrid w:val="0"/>
        <w:spacing w:before="93" w:line="560" w:lineRule="exact"/>
        <w:ind w:firstLine="672" w:firstLineChars="210"/>
        <w:rPr>
          <w:bCs/>
          <w:sz w:val="32"/>
        </w:rPr>
      </w:pPr>
      <w:r>
        <w:rPr>
          <w:rFonts w:hint="eastAsia"/>
          <w:bCs/>
          <w:sz w:val="32"/>
        </w:rPr>
        <w:t>（五）负责指导、协调全县精神文明建设活动的开展。</w:t>
      </w:r>
    </w:p>
    <w:p>
      <w:pPr>
        <w:pStyle w:val="7"/>
        <w:adjustRightInd w:val="0"/>
        <w:snapToGrid w:val="0"/>
        <w:spacing w:before="93" w:line="560" w:lineRule="exact"/>
        <w:ind w:firstLine="672" w:firstLineChars="210"/>
        <w:rPr>
          <w:bCs/>
          <w:sz w:val="32"/>
        </w:rPr>
      </w:pPr>
      <w:r>
        <w:rPr>
          <w:rFonts w:hint="eastAsia"/>
          <w:bCs/>
          <w:sz w:val="32"/>
        </w:rPr>
        <w:t>（六）配合县委组织部做好党员教育工作；负责编审党员教育教材；指导全县党员学习。</w:t>
      </w:r>
    </w:p>
    <w:p>
      <w:pPr>
        <w:pStyle w:val="7"/>
        <w:adjustRightInd w:val="0"/>
        <w:snapToGrid w:val="0"/>
        <w:spacing w:before="93" w:line="560" w:lineRule="exact"/>
        <w:ind w:firstLine="672" w:firstLineChars="210"/>
        <w:rPr>
          <w:bCs/>
          <w:sz w:val="32"/>
        </w:rPr>
      </w:pPr>
      <w:r>
        <w:rPr>
          <w:rFonts w:hint="eastAsia"/>
          <w:bCs/>
          <w:sz w:val="32"/>
        </w:rPr>
        <w:t>（七）负责从宏观上指导全县各级各类学校的德育、政治理论教学和思想政治工作。</w:t>
      </w:r>
    </w:p>
    <w:p>
      <w:pPr>
        <w:pStyle w:val="7"/>
        <w:adjustRightInd w:val="0"/>
        <w:snapToGrid w:val="0"/>
        <w:spacing w:before="93" w:line="560" w:lineRule="exact"/>
        <w:ind w:firstLine="672" w:firstLineChars="210"/>
        <w:rPr>
          <w:bCs/>
          <w:sz w:val="32"/>
        </w:rPr>
      </w:pPr>
      <w:r>
        <w:rPr>
          <w:rFonts w:hint="eastAsia"/>
          <w:bCs/>
          <w:sz w:val="32"/>
        </w:rPr>
        <w:t>（八）负责全县对外和港澳台的宣传工作；指导协调全县对外文化交流工作。</w:t>
      </w:r>
    </w:p>
    <w:p>
      <w:pPr>
        <w:pStyle w:val="7"/>
        <w:adjustRightInd w:val="0"/>
        <w:snapToGrid w:val="0"/>
        <w:spacing w:before="93" w:line="560" w:lineRule="exact"/>
        <w:ind w:firstLine="672" w:firstLineChars="210"/>
        <w:rPr>
          <w:bCs/>
          <w:sz w:val="32"/>
        </w:rPr>
      </w:pPr>
      <w:r>
        <w:rPr>
          <w:rFonts w:hint="eastAsia"/>
          <w:bCs/>
          <w:sz w:val="32"/>
        </w:rPr>
        <w:t>（九）受县委委托，会同县委组织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p>
    <w:p>
      <w:pPr>
        <w:pStyle w:val="7"/>
        <w:adjustRightInd w:val="0"/>
        <w:snapToGrid w:val="0"/>
        <w:spacing w:before="93" w:line="560" w:lineRule="exact"/>
        <w:ind w:firstLine="672" w:firstLineChars="210"/>
        <w:rPr>
          <w:bCs/>
          <w:sz w:val="32"/>
        </w:rPr>
      </w:pPr>
      <w:r>
        <w:rPr>
          <w:rFonts w:hint="eastAsia"/>
          <w:bCs/>
          <w:sz w:val="32"/>
        </w:rPr>
        <w:t>（十）负责提出全县宣传文化事业发展的指导方针；指导宣传文化系统制定政策、法规；按照县委的工作部署，对宣传文化系统各部门之间的工作进行协调。</w:t>
      </w:r>
    </w:p>
    <w:p>
      <w:pPr>
        <w:bidi w:val="0"/>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（十一）根据州，县宣传报道要点，组织采写稿件，并向《阿坝日报》、《四川日报》等各级办刊推荐</w:t>
      </w:r>
    </w:p>
    <w:p>
      <w:pPr>
        <w:pStyle w:val="7"/>
        <w:adjustRightInd w:val="0"/>
        <w:snapToGrid w:val="0"/>
        <w:spacing w:before="93" w:line="600" w:lineRule="exact"/>
        <w:ind w:firstLine="420" w:firstLineChars="0"/>
        <w:outlineLvl w:val="2"/>
        <w:rPr>
          <w:rFonts w:hint="eastAsia" w:ascii="仿宋" w:hAnsi="仿宋" w:eastAsia="仿宋"/>
          <w:bCs/>
          <w:color w:val="000000"/>
          <w:sz w:val="32"/>
          <w:szCs w:val="32"/>
        </w:rPr>
      </w:pPr>
      <w:bookmarkStart w:id="28" w:name="_Toc11111"/>
      <w:bookmarkStart w:id="29" w:name="_Toc282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6"/>
      <w:bookmarkEnd w:id="27"/>
      <w:bookmarkEnd w:id="28"/>
      <w:bookmarkEnd w:id="29"/>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bookmarkStart w:id="30" w:name="_Toc15396601"/>
      <w:bookmarkStart w:id="31" w:name="_Toc15377200"/>
      <w:r>
        <w:rPr>
          <w:rFonts w:hint="eastAsia" w:ascii="楷体_GB2312" w:hAnsi="楷体_GB2312" w:eastAsia="楷体_GB2312" w:cs="楷体_GB2312"/>
          <w:b/>
          <w:bCs/>
          <w:sz w:val="32"/>
          <w:szCs w:val="32"/>
          <w:lang w:val="en-US" w:eastAsia="zh-CN"/>
        </w:rPr>
        <w:t>围绕中心、活化形式，扎实开展理论武装工作。</w:t>
      </w:r>
      <w:r>
        <w:rPr>
          <w:rFonts w:hint="eastAsia" w:ascii="仿宋_GB2312" w:hAnsi="仿宋_GB2312" w:eastAsia="仿宋_GB2312" w:cs="仿宋_GB2312"/>
          <w:b/>
          <w:bCs/>
          <w:sz w:val="32"/>
          <w:szCs w:val="32"/>
          <w:lang w:val="en-US" w:eastAsia="zh-CN"/>
        </w:rPr>
        <w:t>一是加强中心组学习。</w:t>
      </w:r>
      <w:r>
        <w:rPr>
          <w:rFonts w:hint="eastAsia" w:ascii="仿宋_GB2312" w:hAnsi="仿宋_GB2312" w:eastAsia="仿宋_GB2312" w:cs="仿宋_GB2312"/>
          <w:sz w:val="32"/>
          <w:szCs w:val="32"/>
          <w:lang w:val="en-US" w:eastAsia="zh-CN"/>
        </w:rPr>
        <w:t>年初印发全县党委（党组）中心组理论学习安排意见。结合“不忘初心 牢记使命”主题教育，以集中学、分散学、讨论学等形式高规格、高层次开展政治理论、政策解读、党纪法规、道德教育、主要精神等学习宣传，将全县副科级以上领导干部作为主要对象，并扩大到乡镇村一级，指导各乡镇党委、部门党委（党组）参照县委学习计划开展理论政治学习工作，引导广大党员干部学懂弄通做实习近平新时代中国特色社会主义思想和党的十九大精神。今年，县委理论学习中心组已召开12次专题学习会议。</w:t>
      </w:r>
      <w:r>
        <w:rPr>
          <w:rFonts w:hint="eastAsia" w:ascii="仿宋_GB2312" w:hAnsi="仿宋_GB2312" w:eastAsia="仿宋_GB2312" w:cs="仿宋_GB2312"/>
          <w:b/>
          <w:bCs/>
          <w:sz w:val="32"/>
          <w:szCs w:val="32"/>
          <w:lang w:val="en-US" w:eastAsia="zh-CN"/>
        </w:rPr>
        <w:t>二是推进常态宣传宣讲。</w:t>
      </w:r>
      <w:r>
        <w:rPr>
          <w:rFonts w:hint="eastAsia" w:ascii="仿宋_GB2312" w:hAnsi="仿宋_GB2312" w:eastAsia="仿宋_GB2312" w:cs="仿宋_GB2312"/>
          <w:sz w:val="32"/>
          <w:szCs w:val="32"/>
          <w:lang w:val="en-US" w:eastAsia="zh-CN"/>
        </w:rPr>
        <w:t>围绕习近平新时代中国特色社会主义思想、习近平总书记对四川工作系列重要指示精神、党的十九大精神和省委书记彭清华来州调研考察重要指示要求以及省、州、县全会精神，持续推进领导宣讲、专家宣讲、群众宣讲、网络宣讲相结合的全覆盖、多层次宣讲模式。推进省级基层理论宣讲示范县建设，总结推广“姐妹宣讲”“马背宣讲”“高僧大德宣讲”等好的经验做法，持续深入推动党的十九大精神、法制政策“七进”等活动。今年以来，深入基层开展各类宣讲活动110场次，受教育群众僧尼2.4万人次。</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强化责任、推动落实，牢牢掌握意识形态主动权和主导权。</w:t>
      </w:r>
      <w:r>
        <w:rPr>
          <w:rFonts w:hint="eastAsia" w:ascii="仿宋_GB2312" w:hAnsi="仿宋_GB2312" w:eastAsia="仿宋_GB2312" w:cs="仿宋_GB2312"/>
          <w:b/>
          <w:bCs/>
          <w:sz w:val="32"/>
          <w:szCs w:val="32"/>
          <w:lang w:val="en-US" w:eastAsia="zh-CN"/>
        </w:rPr>
        <w:t>一是夯实主体责任。</w:t>
      </w:r>
      <w:r>
        <w:rPr>
          <w:rFonts w:hint="eastAsia" w:ascii="仿宋_GB2312" w:hAnsi="仿宋_GB2312" w:eastAsia="仿宋_GB2312" w:cs="仿宋_GB2312"/>
          <w:sz w:val="32"/>
          <w:szCs w:val="32"/>
          <w:lang w:val="en-US" w:eastAsia="zh-CN"/>
        </w:rPr>
        <w:t>推动各部门、各乡镇党委(党组)抓意识形态工作主体责任、党委(党组)书记第一责任、分管领导直接责任和班子成员“一岗双责”落到实处。继续抓好中央第四巡视组反馈意见意识形态工作专项整改，做好省委、州委意识形态专项督查发现问题整改工作。定期召开意识形态工作领导小组会议和联席会议，定期向上级及县委报告意识形态工作，定期通报意识形态情况。</w:t>
      </w:r>
      <w:r>
        <w:rPr>
          <w:rFonts w:hint="eastAsia" w:ascii="仿宋_GB2312" w:hAnsi="仿宋_GB2312" w:eastAsia="仿宋_GB2312" w:cs="仿宋_GB2312"/>
          <w:b/>
          <w:bCs/>
          <w:sz w:val="32"/>
          <w:szCs w:val="32"/>
          <w:lang w:val="en-US" w:eastAsia="zh-CN"/>
        </w:rPr>
        <w:t>二是强化阵地管控。</w:t>
      </w:r>
      <w:r>
        <w:rPr>
          <w:rFonts w:hint="eastAsia" w:ascii="仿宋_GB2312" w:hAnsi="仿宋_GB2312" w:eastAsia="仿宋_GB2312" w:cs="仿宋_GB2312"/>
          <w:sz w:val="32"/>
          <w:szCs w:val="32"/>
          <w:lang w:val="en-US" w:eastAsia="zh-CN"/>
        </w:rPr>
        <w:t>切实加强对文化市场的监管，加强网络空间和“两微一端”依法管理，落实网络意识形态工作责任制。持续推进意识形态领域存在问题整改工作，开展“爱国守法感恩”教育和民族团结进步教育，开展深入开展“扫黄打非”活动，配合省、州大力开展网络净化系列专项整治行动，着力净化网络环境。</w:t>
      </w:r>
      <w:r>
        <w:rPr>
          <w:rFonts w:hint="eastAsia" w:ascii="仿宋_GB2312" w:hAnsi="仿宋_GB2312" w:eastAsia="仿宋_GB2312" w:cs="仿宋_GB2312"/>
          <w:b/>
          <w:bCs/>
          <w:sz w:val="32"/>
          <w:szCs w:val="32"/>
          <w:lang w:val="en-US" w:eastAsia="zh-CN"/>
        </w:rPr>
        <w:t>三是推进考核问责。</w:t>
      </w:r>
      <w:r>
        <w:rPr>
          <w:rFonts w:hint="eastAsia" w:ascii="仿宋_GB2312" w:hAnsi="仿宋_GB2312" w:eastAsia="仿宋_GB2312" w:cs="仿宋_GB2312"/>
          <w:sz w:val="32"/>
          <w:szCs w:val="32"/>
          <w:lang w:val="en-US" w:eastAsia="zh-CN"/>
        </w:rPr>
        <w:t>健全意识形态工作分析研判、考核评估、定期排查、党内通报、自查督查等制度，加强跟踪问效。</w:t>
      </w:r>
      <w:r>
        <w:rPr>
          <w:rFonts w:hint="eastAsia" w:ascii="仿宋_GB2312" w:hAnsi="仿宋_GB2312" w:eastAsia="仿宋_GB2312" w:cs="仿宋_GB2312"/>
          <w:b/>
          <w:bCs/>
          <w:sz w:val="32"/>
          <w:szCs w:val="32"/>
          <w:lang w:val="en-US" w:eastAsia="zh-CN"/>
        </w:rPr>
        <w:t>四是推进媒体融合。</w:t>
      </w:r>
      <w:r>
        <w:rPr>
          <w:rFonts w:hint="eastAsia" w:ascii="仿宋_GB2312" w:hAnsi="仿宋_GB2312" w:eastAsia="仿宋_GB2312" w:cs="仿宋_GB2312"/>
          <w:sz w:val="32"/>
          <w:szCs w:val="32"/>
          <w:lang w:val="en-US" w:eastAsia="zh-CN"/>
        </w:rPr>
        <w:t>按照省、州统一部署，加快推进传统媒体和新兴媒体融合发展。7月15日，完成县级融媒体中心成立挂牌。今年以来，县委常委会专题研究意识形态工作4次，县委听取专题汇报2次，开展县级专项督查2次。</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坚持导向、突出影响，不断加强对内对外宣传工作。</w:t>
      </w:r>
      <w:r>
        <w:rPr>
          <w:rFonts w:hint="eastAsia" w:ascii="仿宋_GB2312" w:hAnsi="仿宋_GB2312" w:eastAsia="仿宋_GB2312" w:cs="仿宋_GB2312"/>
          <w:sz w:val="32"/>
          <w:szCs w:val="32"/>
          <w:lang w:val="en-US" w:eastAsia="zh-CN"/>
        </w:rPr>
        <w:t>依托上级媒体和自办媒体，把对外宣传融入全县经济、旅游、文化活动等领域。协调国家和省州各级主流媒体到红原对重大活动、重大工作、重点项目进行深度采访报道，大力宣传我县资源禀赋、区位优势、产业特色，积极宣传我县经济社会建设成就，提高了红原的知名度与美誉度。紧紧围绕庆祝新中国成立70周年这条主线，在县级各类主流媒体大力宣传新中国成立70周年的光辉历程、伟大成就和宝贵经验，大力宣传红原经济社会发展的巨大变化，唱响爱国团结奋进的昂扬旋律。今年以来，在中央、省级媒体刊发各类新闻稿件150篇，较去年增长59%；在州级报刊及各类新媒体刊发365条次，较去年增加70%。上传央视及省、州电视媒体共714条视频新闻，其中，中央电视台采用4条次，川台采用12条次，康巴卫视采用18条次，安多卫视采用10条次。制作播出红原汉语、藏语新闻联播583条次。利用“微红原”、“红原新浪微博”等新媒体平台，采编各类文字、图片原创稿件1700余条次。</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树立品牌、打造精品，繁荣文化产业发展。</w:t>
      </w:r>
      <w:r>
        <w:rPr>
          <w:rFonts w:hint="eastAsia" w:ascii="仿宋_GB2312" w:hAnsi="仿宋_GB2312" w:eastAsia="仿宋_GB2312" w:cs="仿宋_GB2312"/>
          <w:sz w:val="32"/>
          <w:szCs w:val="32"/>
          <w:lang w:val="en-US" w:eastAsia="zh-CN"/>
        </w:rPr>
        <w:t>实施文化惠民扶贫，扎实抓好贫困村综合文化服务中心建设，积极开展“四下乡”、文艺培训和农村电影免费放映等活动。截止目前，红原县太平洋影院放映900场；农村公益电影暨送数字电影下乡共放映428 场，超额完成全年目标任务，取得良好的社会效益。用足用活国家支持文化产业发展政策，推动“音乐+”文化旅游融合发展，因地制宜将生态文化、红色文化、民族文化、游牧文化、宗教文化、门户文化与旅游、体育、体验全面深度融合，成功举办“第四届雅克音乐季”。同时，雅克音乐季衍生出了藏羌彝原创音乐盛典、藏族山歌赛等民族音乐盛会，形成了强大的文化聚合效益，搭建起了少数民族音乐产业发展的载体，为民族文化传承保护、创新发展开辟了新的路径。灵活运用文学创作、文艺表演、民间艺术等形式，全面展示俄么塘花海、日干乔湿地等景区的历史文化、红色文化及文化风俗。组队参加全州“歌唱祖国”合唱大赛，荣获三等奖。组织选送“龙鼓舞”参加“群星向党.礼赞祖国”阿坝州民族团结进步暨群众文化季专场活动“优秀群众文艺节目展演”。顺利完成第四届“爱·红原”摄影书法大赛、第一届“天上草原·醉美红原”诗歌散文大赛的征稿、评审工作，在音乐季主会场展出40余幅摄影、美术作品。办好《红柳》，完成第一期出版发行，有序筹备第二期，积极搭建文化交流和文艺活动平台。加强文艺人才交流，着力培养文化文艺带头人。积极开展“深入生活、扎根人民”主题实践活动，组织我县摄影家、作家开展夏季采风创作活动，创作了一批摄影和文学作品。完成县文联体制改革方案，报县委审批。做好重庆《课堂内外》出版集团、巴金文学院和全国“雪山”画派专家、艺术家在红原考察、采风的协调服务工作。</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注重实效、强力推进，不断深化文明创建活动。</w:t>
      </w:r>
      <w:r>
        <w:rPr>
          <w:rFonts w:hint="eastAsia" w:ascii="仿宋_GB2312" w:hAnsi="仿宋_GB2312" w:eastAsia="仿宋_GB2312" w:cs="仿宋_GB2312"/>
          <w:sz w:val="32"/>
          <w:szCs w:val="32"/>
          <w:lang w:val="en-US" w:eastAsia="zh-CN"/>
        </w:rPr>
        <w:t>广泛开展学习贯彻省委、州委和县委历届全会精神活动，强化思想引领。充分利用农牧民夜校、文化院坝、农家书屋、乡村综合文化服务中心等阵地，开展社会主义核心价值观和党的十九大及十九届二三四中全会精神等宣传教育。向州委宣传部推荐“感动阿坝人物”1人、“新时代好少年”3人，罗建国、夺尔基热旦2名同志成为州委巡回宣讲团成员。实施乡村善治工程，大力开展“孝善和俭”道德传扬和深化“敬信勤新”红原新民风活动。经过基层推选、集体评审、社会公示等程序，评选出了“敬亲孝老、诚实守信、勤劳致富、创新创业”等4种“敬信勤新”红原新民风先进人物20名，推动社会主义核心价值观和“孝善和俭”道德传扬活动在红原落地落实。组建先进人物事迹宣讲报告团，积极推动“新红原、新民风”先进人物事迹宣讲报告队进乡村、进机关、进寺庙等活动。加强工作引导，以文明单位测评体系为导向，努力推动文明单位、文明村镇、文明校园、文明家庭创建工作向深度和广度拓展。广泛开展未成年人思想道德实践活动，新建江茸、壤口、龙日乡3所中央项目乡村少年宫。开展丰富多彩的志愿服务活动，规范志愿服务管理。今年以来，开展志愿服务活动80余场次，达到2.6万余人次。</w:t>
      </w:r>
    </w:p>
    <w:p>
      <w:pPr>
        <w:bidi w:val="0"/>
        <w:ind w:firstLine="420" w:firstLineChars="0"/>
        <w:rPr>
          <w:rFonts w:hint="eastAsia"/>
          <w:lang w:val="en-US" w:eastAsia="zh-CN"/>
        </w:rPr>
      </w:pPr>
      <w:r>
        <w:rPr>
          <w:rFonts w:hint="eastAsia" w:ascii="楷体_GB2312" w:hAnsi="楷体_GB2312" w:eastAsia="楷体_GB2312" w:cs="楷体_GB2312"/>
          <w:b/>
          <w:bCs/>
          <w:sz w:val="32"/>
          <w:szCs w:val="32"/>
          <w:lang w:val="en-US" w:eastAsia="zh-CN"/>
        </w:rPr>
        <w:t>突出质量、强化管理，推动新闻出版繁荣发展。</w:t>
      </w:r>
      <w:r>
        <w:rPr>
          <w:rFonts w:hint="eastAsia" w:ascii="仿宋" w:hAnsi="仿宋" w:eastAsia="仿宋" w:cs="Times New Roman"/>
          <w:color w:val="auto"/>
          <w:kern w:val="0"/>
          <w:sz w:val="32"/>
          <w:szCs w:val="24"/>
          <w:lang w:val="en-US" w:eastAsia="zh-CN" w:bidi="ar-SA"/>
        </w:rPr>
        <w:t>坚持正确出版导向，坚持内容质量第一，促进出版业健康繁荣发展。以净化出版物市场、清除网上有害信息、保护知识产权为工作主线，以查缴政治性非法出版物和清除网上有害信息为首要任务，通过抓好各项重点工作。进一步强化日常监管，扎实有效开展“扫黄打非”专项行动，持续正本清源，着力守正创新，坚决守住管好意识形态阵地，切实维护政治安全、意识形态安全、网络安全和文化安全。制发《2019年红原县“扫黄打非”工作要点》、《2019年红原县“珠峰工程·贡嘎山行动”工作方案》。截止目前，召开“扫黄打非”工作联席会议4次，组织文旅、市场监管、公安、住建、消防等部门对文化市场开展综合执法检查89人次，各职能部门开展执法检查259人次，检查经营单位674 家次。其中：网吧 84家次、歌舞娱乐场所98家次、宾馆酒店230家次、音像制品店82家次、打字复印店132家次、出版物经营单位 32 家、电子游艺室 10家次、影（剧）院 6家次、营业性演出团体10家次。收缴私刻侵权光盘100张，发放宣传单800余份。依法管理、积极应对，做实网络舆论管控。进一步提高思想认识，加强组织领导、强化统筹协调，及时调整充实县委网络安全和信息化委员会组成成员，制发《关于建设网络强县的实施意见》和《2019年红原县网信工作要点》。进一步明确职责分工、细化制度，建立健全《中共红原县委网络安全和信息化委员会工作规则》、《中共红原县委网络安全和信息化委员会办公室工作细则》等规章制度，确保以制度保障推动工作。进一步增强法治意识，依法依规加强网络空间治理，加大管网治网力度，形成对有害和不实信息的高压态势，提高依法办网管网用网能力。统筹协调力量，加强突发事件网上负面信息监测，建立突发事件舆情快速联动处置机制，融合主流媒体，形成融媒体网络舆论引导工作格局，统一信息发布口径，及时回应社会关切，消除网友质疑。进一步增强维护网络意识形态安全的自觉性和责任感，健全完善网络意识形态工作机制，做强做亮网上正面宣传，让党的主张成为网上最强音。针对县域发展难点多，社会关注焦点多，外部媒体跟踪多的实际，坚持密切关注、谨慎对待、积极有为的工作态度，着力强化舆论引导和正面宣传，快速处置新闻突发事件，积极消化负面影响。县互联网信息中心及时监控各大网站，及时编写网络信息动态。截至目前，报送境外舆情220余期。</w:t>
      </w:r>
    </w:p>
    <w:p>
      <w:pPr>
        <w:pStyle w:val="5"/>
        <w:ind w:firstLine="640" w:firstLineChars="200"/>
        <w:rPr>
          <w:rStyle w:val="27"/>
          <w:b w:val="0"/>
          <w:bCs w:val="0"/>
        </w:rPr>
      </w:pPr>
      <w:bookmarkStart w:id="32" w:name="_Toc1679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30"/>
      <w:bookmarkEnd w:id="31"/>
      <w:bookmarkEnd w:id="32"/>
    </w:p>
    <w:p>
      <w:pPr>
        <w:spacing w:line="560" w:lineRule="exact"/>
        <w:ind w:firstLine="420" w:firstLineChars="0"/>
        <w:rPr>
          <w:rFonts w:hint="eastAsia" w:ascii="仿宋" w:hAnsi="仿宋" w:eastAsia="仿宋" w:cs="Times New Roman"/>
          <w:color w:val="auto"/>
          <w:kern w:val="0"/>
          <w:sz w:val="32"/>
          <w:szCs w:val="24"/>
          <w:lang w:val="en-US" w:eastAsia="zh-CN" w:bidi="ar-SA"/>
        </w:rPr>
      </w:pPr>
      <w:r>
        <w:rPr>
          <w:rFonts w:hint="eastAsia" w:ascii="仿宋" w:hAnsi="仿宋" w:eastAsia="仿宋" w:cs="Times New Roman"/>
          <w:color w:val="auto"/>
          <w:kern w:val="0"/>
          <w:sz w:val="32"/>
          <w:szCs w:val="24"/>
          <w:lang w:val="en-US" w:eastAsia="zh-CN" w:bidi="ar-SA"/>
        </w:rPr>
        <w:t>我单位为独立核算全额拨款行政单位，下设2机构。截止2019年底我单位共有编制14个，其中公务员编制7个，行政工勤编制1个，事业编制6个，在职14人，其中参公0人，公务员7人，行政工勤编制1个，事业编制6人。</w:t>
      </w:r>
    </w:p>
    <w:p>
      <w:pPr>
        <w:spacing w:line="560" w:lineRule="exact"/>
        <w:ind w:firstLine="800" w:firstLineChars="250"/>
        <w:rPr>
          <w:rFonts w:hint="eastAsia" w:ascii="仿宋" w:hAnsi="仿宋" w:eastAsia="仿宋" w:cs="Times New Roman"/>
          <w:kern w:val="0"/>
          <w:sz w:val="32"/>
          <w:szCs w:val="24"/>
          <w:lang w:val="en-US" w:eastAsia="zh-CN" w:bidi="ar-SA"/>
        </w:rPr>
      </w:pPr>
      <w:r>
        <w:rPr>
          <w:rFonts w:hint="eastAsia" w:ascii="仿宋" w:hAnsi="仿宋" w:eastAsia="仿宋" w:cs="Times New Roman"/>
          <w:kern w:val="0"/>
          <w:sz w:val="32"/>
          <w:szCs w:val="24"/>
          <w:lang w:val="en-US" w:eastAsia="zh-CN" w:bidi="ar-SA"/>
        </w:rPr>
        <w:t>宣传部下属二级单位1个，其中行政单位0个，参照公务员法管理的事业单位0个，其他事业单位1个。</w:t>
      </w:r>
    </w:p>
    <w:p>
      <w:pPr>
        <w:pStyle w:val="7"/>
        <w:adjustRightInd w:val="0"/>
        <w:snapToGrid w:val="0"/>
        <w:spacing w:before="93" w:line="560" w:lineRule="exact"/>
        <w:ind w:firstLine="672" w:firstLineChars="210"/>
        <w:rPr>
          <w:rFonts w:ascii="仿宋" w:hAnsi="仿宋" w:eastAsia="仿宋"/>
          <w:sz w:val="32"/>
        </w:rPr>
      </w:pPr>
      <w:r>
        <w:rPr>
          <w:rFonts w:hint="eastAsia" w:ascii="仿宋" w:hAnsi="仿宋" w:eastAsia="仿宋"/>
          <w:sz w:val="32"/>
        </w:rPr>
        <w:t>纳入宣传部201</w:t>
      </w:r>
      <w:r>
        <w:rPr>
          <w:rFonts w:hint="eastAsia" w:ascii="仿宋" w:hAnsi="仿宋" w:eastAsia="仿宋"/>
          <w:sz w:val="32"/>
          <w:lang w:val="en-US" w:eastAsia="zh-CN"/>
        </w:rPr>
        <w:t>9</w:t>
      </w:r>
      <w:r>
        <w:rPr>
          <w:rFonts w:hint="eastAsia" w:ascii="仿宋" w:hAnsi="仿宋" w:eastAsia="仿宋"/>
          <w:sz w:val="32"/>
        </w:rPr>
        <w:t>年度部门决算编制范围的二级预算单位包括：</w:t>
      </w:r>
    </w:p>
    <w:p>
      <w:pPr>
        <w:numPr>
          <w:ilvl w:val="0"/>
          <w:numId w:val="1"/>
        </w:numPr>
        <w:bidi w:val="0"/>
        <w:rPr>
          <w:rFonts w:hint="eastAsia" w:ascii="仿宋" w:hAnsi="仿宋" w:eastAsia="仿宋" w:cs="Times New Roman"/>
          <w:kern w:val="0"/>
          <w:sz w:val="32"/>
          <w:szCs w:val="24"/>
          <w:lang w:val="en-US" w:eastAsia="zh-CN" w:bidi="ar-SA"/>
        </w:rPr>
      </w:pPr>
      <w:r>
        <w:rPr>
          <w:rFonts w:hint="eastAsia" w:ascii="仿宋" w:hAnsi="仿宋" w:eastAsia="仿宋" w:cs="Times New Roman"/>
          <w:kern w:val="0"/>
          <w:sz w:val="32"/>
          <w:szCs w:val="24"/>
          <w:lang w:val="en-US" w:eastAsia="zh-CN" w:bidi="ar-SA"/>
        </w:rPr>
        <w:t>红原县宣传部互联网信息办公室</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6"/>
          <w:rFonts w:ascii="黑体" w:hAnsi="黑体" w:eastAsia="黑体"/>
          <w:b w:val="0"/>
          <w:bCs w:val="0"/>
        </w:rPr>
      </w:pPr>
      <w:bookmarkStart w:id="33" w:name="_Toc15396602"/>
      <w:bookmarkStart w:id="34" w:name="_Toc15358"/>
      <w:bookmarkStart w:id="35"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33"/>
      <w:bookmarkEnd w:id="34"/>
      <w:bookmarkEnd w:id="35"/>
    </w:p>
    <w:p/>
    <w:p>
      <w:pPr>
        <w:pStyle w:val="25"/>
        <w:numPr>
          <w:ilvl w:val="0"/>
          <w:numId w:val="2"/>
        </w:numPr>
        <w:spacing w:line="600" w:lineRule="exact"/>
        <w:ind w:firstLineChars="0"/>
        <w:outlineLvl w:val="1"/>
        <w:rPr>
          <w:rStyle w:val="27"/>
          <w:rFonts w:ascii="黑体" w:hAnsi="黑体" w:eastAsia="黑体"/>
          <w:b w:val="0"/>
        </w:rPr>
      </w:pPr>
      <w:bookmarkStart w:id="36" w:name="_Toc15396603"/>
      <w:bookmarkStart w:id="37" w:name="_Toc15377205"/>
      <w:bookmarkStart w:id="38" w:name="_Toc1324"/>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6"/>
      <w:bookmarkEnd w:id="37"/>
      <w:bookmarkEnd w:id="38"/>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000000" w:themeColor="text1"/>
          <w:sz w:val="32"/>
          <w:szCs w:val="32"/>
        </w:rPr>
        <w:t>201</w:t>
      </w:r>
      <w:r>
        <w:rPr>
          <w:rFonts w:hint="eastAsia" w:ascii="仿宋" w:hAnsi="仿宋" w:eastAsia="仿宋"/>
          <w:color w:val="000000" w:themeColor="text1"/>
          <w:sz w:val="32"/>
          <w:szCs w:val="32"/>
          <w:lang w:val="en-US" w:eastAsia="zh-CN"/>
        </w:rPr>
        <w:t>9</w:t>
      </w:r>
      <w:r>
        <w:rPr>
          <w:rFonts w:hint="eastAsia" w:ascii="仿宋" w:hAnsi="仿宋" w:eastAsia="仿宋"/>
          <w:color w:val="000000" w:themeColor="text1"/>
          <w:sz w:val="32"/>
          <w:szCs w:val="32"/>
        </w:rPr>
        <w:t>年我部本年收入4</w:t>
      </w:r>
      <w:r>
        <w:rPr>
          <w:rFonts w:hint="eastAsia" w:ascii="仿宋" w:hAnsi="仿宋" w:eastAsia="仿宋"/>
          <w:color w:val="000000" w:themeColor="text1"/>
          <w:sz w:val="32"/>
          <w:szCs w:val="32"/>
          <w:lang w:val="en-US" w:eastAsia="zh-CN"/>
        </w:rPr>
        <w:t>49.49</w:t>
      </w:r>
      <w:r>
        <w:rPr>
          <w:rFonts w:hint="eastAsia" w:ascii="仿宋" w:hAnsi="仿宋" w:eastAsia="仿宋"/>
          <w:color w:val="000000" w:themeColor="text1"/>
          <w:sz w:val="32"/>
          <w:szCs w:val="32"/>
        </w:rPr>
        <w:t>万元，本年支出</w:t>
      </w:r>
      <w:r>
        <w:rPr>
          <w:rFonts w:hint="eastAsia" w:ascii="仿宋" w:hAnsi="仿宋" w:eastAsia="仿宋"/>
          <w:color w:val="000000" w:themeColor="text1"/>
          <w:sz w:val="32"/>
          <w:szCs w:val="32"/>
          <w:lang w:val="en-US" w:eastAsia="zh-CN"/>
        </w:rPr>
        <w:t>459.03</w:t>
      </w:r>
      <w:r>
        <w:rPr>
          <w:rFonts w:hint="eastAsia" w:ascii="仿宋" w:hAnsi="仿宋" w:eastAsia="仿宋"/>
          <w:color w:val="000000" w:themeColor="text1"/>
          <w:sz w:val="32"/>
          <w:szCs w:val="32"/>
        </w:rPr>
        <w:t>。与201</w:t>
      </w:r>
      <w:r>
        <w:rPr>
          <w:rFonts w:hint="eastAsia" w:ascii="仿宋" w:hAnsi="仿宋" w:eastAsia="仿宋"/>
          <w:color w:val="000000" w:themeColor="text1"/>
          <w:sz w:val="32"/>
          <w:szCs w:val="32"/>
          <w:lang w:val="en-US" w:eastAsia="zh-CN"/>
        </w:rPr>
        <w:t>8</w:t>
      </w:r>
      <w:r>
        <w:rPr>
          <w:rFonts w:hint="eastAsia" w:ascii="仿宋" w:hAnsi="仿宋" w:eastAsia="仿宋"/>
          <w:color w:val="000000" w:themeColor="text1"/>
          <w:sz w:val="32"/>
          <w:szCs w:val="32"/>
        </w:rPr>
        <w:t>年相比，收入</w:t>
      </w:r>
      <w:r>
        <w:rPr>
          <w:rFonts w:hint="eastAsia" w:ascii="仿宋" w:hAnsi="仿宋" w:eastAsia="仿宋"/>
          <w:color w:val="000000" w:themeColor="text1"/>
          <w:sz w:val="32"/>
          <w:szCs w:val="32"/>
          <w:lang w:eastAsia="zh-CN"/>
        </w:rPr>
        <w:t>减少</w:t>
      </w:r>
      <w:r>
        <w:rPr>
          <w:rFonts w:hint="eastAsia" w:ascii="仿宋" w:hAnsi="仿宋" w:eastAsia="仿宋"/>
          <w:color w:val="000000" w:themeColor="text1"/>
          <w:sz w:val="32"/>
          <w:szCs w:val="32"/>
        </w:rPr>
        <w:t>了</w:t>
      </w:r>
      <w:r>
        <w:rPr>
          <w:rFonts w:hint="eastAsia" w:ascii="仿宋" w:hAnsi="仿宋" w:eastAsia="仿宋"/>
          <w:color w:val="000000" w:themeColor="text1"/>
          <w:sz w:val="32"/>
          <w:szCs w:val="32"/>
          <w:lang w:val="en-US" w:eastAsia="zh-CN"/>
        </w:rPr>
        <w:t>21.44</w:t>
      </w:r>
      <w:r>
        <w:rPr>
          <w:rFonts w:hint="eastAsia" w:ascii="仿宋" w:hAnsi="仿宋" w:eastAsia="仿宋"/>
          <w:color w:val="000000" w:themeColor="text1"/>
          <w:sz w:val="32"/>
          <w:szCs w:val="32"/>
        </w:rPr>
        <w:t>万元，</w:t>
      </w:r>
      <w:r>
        <w:rPr>
          <w:rFonts w:hint="eastAsia" w:ascii="仿宋" w:hAnsi="仿宋" w:eastAsia="仿宋"/>
          <w:color w:val="000000" w:themeColor="text1"/>
          <w:sz w:val="32"/>
          <w:szCs w:val="32"/>
          <w:lang w:eastAsia="zh-CN"/>
        </w:rPr>
        <w:t>减少</w:t>
      </w:r>
      <w:r>
        <w:rPr>
          <w:rFonts w:hint="eastAsia" w:ascii="仿宋" w:hAnsi="仿宋" w:eastAsia="仿宋"/>
          <w:color w:val="000000" w:themeColor="text1"/>
          <w:sz w:val="32"/>
          <w:szCs w:val="32"/>
          <w:lang w:val="en-US" w:eastAsia="zh-CN"/>
        </w:rPr>
        <w:t>4.55%</w:t>
      </w:r>
      <w:r>
        <w:rPr>
          <w:rFonts w:hint="eastAsia" w:ascii="仿宋" w:hAnsi="仿宋" w:eastAsia="仿宋"/>
          <w:color w:val="000000" w:themeColor="text1"/>
          <w:sz w:val="32"/>
          <w:szCs w:val="32"/>
        </w:rPr>
        <w:t>、支出总计</w:t>
      </w:r>
      <w:r>
        <w:rPr>
          <w:rFonts w:hint="eastAsia" w:ascii="仿宋" w:hAnsi="仿宋" w:eastAsia="仿宋"/>
          <w:color w:val="000000" w:themeColor="text1"/>
          <w:sz w:val="32"/>
          <w:szCs w:val="32"/>
          <w:lang w:eastAsia="zh-CN"/>
        </w:rPr>
        <w:t>减少</w:t>
      </w:r>
      <w:r>
        <w:rPr>
          <w:rFonts w:hint="eastAsia" w:ascii="仿宋" w:hAnsi="仿宋" w:eastAsia="仿宋"/>
          <w:color w:val="000000" w:themeColor="text1"/>
          <w:sz w:val="32"/>
          <w:szCs w:val="32"/>
          <w:lang w:val="en-US" w:eastAsia="zh-CN"/>
        </w:rPr>
        <w:t>138.47</w:t>
      </w:r>
      <w:r>
        <w:rPr>
          <w:rFonts w:hint="eastAsia" w:ascii="仿宋" w:hAnsi="仿宋" w:eastAsia="仿宋"/>
          <w:color w:val="000000" w:themeColor="text1"/>
          <w:sz w:val="32"/>
          <w:szCs w:val="32"/>
        </w:rPr>
        <w:t>万元，</w:t>
      </w:r>
      <w:r>
        <w:rPr>
          <w:rFonts w:hint="eastAsia" w:ascii="仿宋" w:hAnsi="仿宋" w:eastAsia="仿宋"/>
          <w:color w:val="000000" w:themeColor="text1"/>
          <w:sz w:val="32"/>
          <w:szCs w:val="32"/>
          <w:lang w:eastAsia="zh-CN"/>
        </w:rPr>
        <w:t>减少</w:t>
      </w:r>
      <w:r>
        <w:rPr>
          <w:rFonts w:hint="eastAsia" w:ascii="仿宋" w:hAnsi="仿宋" w:eastAsia="仿宋"/>
          <w:color w:val="000000" w:themeColor="text1"/>
          <w:sz w:val="32"/>
          <w:szCs w:val="32"/>
          <w:lang w:val="en-US" w:eastAsia="zh-CN"/>
        </w:rPr>
        <w:t>23.17</w:t>
      </w:r>
      <w:r>
        <w:rPr>
          <w:rFonts w:hint="eastAsia" w:ascii="仿宋" w:hAnsi="仿宋" w:eastAsia="仿宋"/>
          <w:color w:val="000000" w:themeColor="text1"/>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人员减少、专项项目减少。</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240" w:lineRule="auto"/>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anchor distT="0" distB="0" distL="114300" distR="114300" simplePos="0" relativeHeight="251659264" behindDoc="0" locked="0" layoutInCell="1" allowOverlap="1">
            <wp:simplePos x="0" y="0"/>
            <wp:positionH relativeFrom="column">
              <wp:posOffset>406400</wp:posOffset>
            </wp:positionH>
            <wp:positionV relativeFrom="paragraph">
              <wp:posOffset>87630</wp:posOffset>
            </wp:positionV>
            <wp:extent cx="5272405" cy="2399665"/>
            <wp:effectExtent l="0" t="0" r="4445" b="635"/>
            <wp:wrapSquare wrapText="bothSides"/>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6"/>
                    <a:stretch>
                      <a:fillRect/>
                    </a:stretch>
                  </pic:blipFill>
                  <pic:spPr>
                    <a:xfrm>
                      <a:off x="0" y="0"/>
                      <a:ext cx="5272405" cy="2399665"/>
                    </a:xfrm>
                    <a:prstGeom prst="rect">
                      <a:avLst/>
                    </a:prstGeom>
                  </pic:spPr>
                </pic:pic>
              </a:graphicData>
            </a:graphic>
          </wp:anchor>
        </w:drawing>
      </w: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pStyle w:val="25"/>
        <w:numPr>
          <w:ilvl w:val="0"/>
          <w:numId w:val="2"/>
        </w:numPr>
        <w:spacing w:line="600" w:lineRule="exact"/>
        <w:ind w:firstLineChars="0"/>
        <w:outlineLvl w:val="1"/>
        <w:rPr>
          <w:rStyle w:val="27"/>
          <w:rFonts w:ascii="黑体" w:hAnsi="黑体" w:eastAsia="黑体"/>
          <w:b w:val="0"/>
        </w:rPr>
      </w:pPr>
      <w:bookmarkStart w:id="39" w:name="_Toc15377206"/>
      <w:bookmarkStart w:id="40" w:name="_Toc15396604"/>
      <w:bookmarkStart w:id="41" w:name="_Toc31007"/>
      <w:r>
        <w:rPr>
          <w:rFonts w:hint="eastAsia" w:ascii="黑体" w:hAnsi="黑体" w:eastAsia="黑体"/>
          <w:color w:val="000000"/>
          <w:sz w:val="32"/>
          <w:szCs w:val="32"/>
        </w:rPr>
        <w:t>收</w:t>
      </w:r>
      <w:r>
        <w:rPr>
          <w:rStyle w:val="27"/>
          <w:rFonts w:hint="eastAsia" w:ascii="黑体" w:hAnsi="黑体" w:eastAsia="黑体"/>
          <w:b w:val="0"/>
        </w:rPr>
        <w:t>入决算情况说明</w:t>
      </w:r>
      <w:bookmarkEnd w:id="39"/>
      <w:bookmarkEnd w:id="40"/>
      <w:bookmarkEnd w:id="41"/>
    </w:p>
    <w:p>
      <w:pPr>
        <w:spacing w:line="600" w:lineRule="exact"/>
        <w:ind w:firstLine="640" w:firstLineChars="200"/>
        <w:rPr>
          <w:rFonts w:hint="eastAsia"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2019年本年收入合计</w:t>
      </w:r>
      <w:r>
        <w:rPr>
          <w:rFonts w:hint="eastAsia" w:ascii="仿宋" w:hAnsi="仿宋" w:eastAsia="仿宋" w:cs="Times New Roman"/>
          <w:color w:val="000000" w:themeColor="text1"/>
          <w:sz w:val="32"/>
          <w:szCs w:val="32"/>
          <w:lang w:val="en-US" w:eastAsia="zh-CN"/>
        </w:rPr>
        <w:t>449.49</w:t>
      </w:r>
      <w:r>
        <w:rPr>
          <w:rFonts w:hint="eastAsia" w:ascii="仿宋" w:hAnsi="仿宋" w:eastAsia="仿宋" w:cs="Times New Roman"/>
          <w:color w:val="000000" w:themeColor="text1"/>
          <w:sz w:val="32"/>
          <w:szCs w:val="32"/>
        </w:rPr>
        <w:t>万元，其中：一般公共预算财政拨款收入</w:t>
      </w:r>
      <w:r>
        <w:rPr>
          <w:rFonts w:hint="eastAsia" w:ascii="仿宋" w:hAnsi="仿宋" w:eastAsia="仿宋" w:cs="Times New Roman"/>
          <w:color w:val="000000" w:themeColor="text1"/>
          <w:sz w:val="32"/>
          <w:szCs w:val="32"/>
          <w:lang w:val="en-US" w:eastAsia="zh-CN"/>
        </w:rPr>
        <w:t>449.49</w:t>
      </w:r>
      <w:r>
        <w:rPr>
          <w:rFonts w:hint="eastAsia" w:ascii="仿宋" w:hAnsi="仿宋" w:eastAsia="仿宋" w:cs="Times New Roman"/>
          <w:color w:val="000000" w:themeColor="text1"/>
          <w:sz w:val="32"/>
          <w:szCs w:val="32"/>
        </w:rPr>
        <w:t>万元，占</w:t>
      </w:r>
      <w:r>
        <w:rPr>
          <w:rFonts w:hint="eastAsia" w:ascii="仿宋" w:hAnsi="仿宋" w:eastAsia="仿宋" w:cs="Times New Roman"/>
          <w:color w:val="000000" w:themeColor="text1"/>
          <w:sz w:val="32"/>
          <w:szCs w:val="32"/>
          <w:lang w:val="en-US" w:eastAsia="zh-CN"/>
        </w:rPr>
        <w:t>100</w:t>
      </w:r>
      <w:r>
        <w:rPr>
          <w:rFonts w:hint="eastAsia" w:ascii="仿宋" w:hAnsi="仿宋" w:eastAsia="仿宋" w:cs="Times New Roman"/>
          <w:color w:val="000000" w:themeColor="text1"/>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240" w:lineRule="auto"/>
        <w:ind w:firstLine="640" w:firstLineChars="200"/>
        <w:rPr>
          <w:rFonts w:ascii="仿宋_GB2312" w:eastAsia="仿宋_GB2312"/>
          <w:color w:val="FF0000"/>
          <w:sz w:val="32"/>
          <w:szCs w:val="32"/>
        </w:rPr>
      </w:pPr>
      <w:r>
        <w:rPr>
          <w:rFonts w:hint="eastAsia" w:ascii="仿宋_GB2312" w:eastAsia="仿宋_GB2312"/>
          <w:color w:val="FF0000"/>
          <w:sz w:val="32"/>
          <w:szCs w:val="32"/>
          <w:lang w:eastAsia="zh-CN"/>
        </w:rPr>
        <w:drawing>
          <wp:inline distT="0" distB="0" distL="114300" distR="114300">
            <wp:extent cx="4584065" cy="2755265"/>
            <wp:effectExtent l="0" t="0" r="6985" b="6985"/>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7"/>
                    <a:stretch>
                      <a:fillRect/>
                    </a:stretch>
                  </pic:blipFill>
                  <pic:spPr>
                    <a:xfrm>
                      <a:off x="0" y="0"/>
                      <a:ext cx="4584065" cy="2755265"/>
                    </a:xfrm>
                    <a:prstGeom prst="rect">
                      <a:avLst/>
                    </a:prstGeom>
                  </pic:spPr>
                </pic:pic>
              </a:graphicData>
            </a:graphic>
          </wp:inline>
        </w:drawing>
      </w:r>
    </w:p>
    <w:p>
      <w:pPr>
        <w:pStyle w:val="25"/>
        <w:numPr>
          <w:ilvl w:val="0"/>
          <w:numId w:val="2"/>
        </w:numPr>
        <w:spacing w:line="600" w:lineRule="exact"/>
        <w:ind w:firstLineChars="0"/>
        <w:outlineLvl w:val="1"/>
        <w:rPr>
          <w:rStyle w:val="27"/>
          <w:rFonts w:ascii="黑体" w:hAnsi="黑体" w:eastAsia="黑体"/>
          <w:b w:val="0"/>
        </w:rPr>
      </w:pPr>
      <w:bookmarkStart w:id="42" w:name="_Toc15377207"/>
      <w:bookmarkStart w:id="43" w:name="_Toc1216"/>
      <w:bookmarkStart w:id="44"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42"/>
      <w:bookmarkEnd w:id="43"/>
      <w:bookmarkEnd w:id="44"/>
    </w:p>
    <w:p>
      <w:pPr>
        <w:spacing w:line="600" w:lineRule="exact"/>
        <w:ind w:firstLine="640" w:firstLineChars="200"/>
        <w:rPr>
          <w:rFonts w:hint="eastAsia"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2019年本年支出合计</w:t>
      </w:r>
      <w:r>
        <w:rPr>
          <w:rFonts w:hint="eastAsia" w:ascii="仿宋" w:hAnsi="仿宋" w:eastAsia="仿宋" w:cs="Times New Roman"/>
          <w:color w:val="000000" w:themeColor="text1"/>
          <w:sz w:val="32"/>
          <w:szCs w:val="32"/>
          <w:lang w:val="en-US" w:eastAsia="zh-CN"/>
        </w:rPr>
        <w:t>459.03</w:t>
      </w:r>
      <w:r>
        <w:rPr>
          <w:rFonts w:hint="eastAsia" w:ascii="仿宋" w:hAnsi="仿宋" w:eastAsia="仿宋" w:cs="Times New Roman"/>
          <w:color w:val="000000" w:themeColor="text1"/>
          <w:sz w:val="32"/>
          <w:szCs w:val="32"/>
        </w:rPr>
        <w:t>万元，其中：基本支出374.37万元，占</w:t>
      </w:r>
      <w:r>
        <w:rPr>
          <w:rFonts w:hint="eastAsia" w:ascii="仿宋" w:hAnsi="仿宋" w:eastAsia="仿宋" w:cs="Times New Roman"/>
          <w:color w:val="000000" w:themeColor="text1"/>
          <w:sz w:val="32"/>
          <w:szCs w:val="32"/>
          <w:lang w:val="en-US" w:eastAsia="zh-CN"/>
        </w:rPr>
        <w:t>81.56</w:t>
      </w:r>
      <w:r>
        <w:rPr>
          <w:rFonts w:hint="eastAsia" w:ascii="仿宋" w:hAnsi="仿宋" w:eastAsia="仿宋" w:cs="Times New Roman"/>
          <w:color w:val="000000" w:themeColor="text1"/>
          <w:sz w:val="32"/>
          <w:szCs w:val="32"/>
        </w:rPr>
        <w:t>%；项目支出84.66万元，占</w:t>
      </w:r>
      <w:r>
        <w:rPr>
          <w:rFonts w:hint="eastAsia" w:ascii="仿宋" w:hAnsi="仿宋" w:eastAsia="仿宋" w:cs="Times New Roman"/>
          <w:color w:val="000000" w:themeColor="text1"/>
          <w:sz w:val="32"/>
          <w:szCs w:val="32"/>
          <w:lang w:val="en-US" w:eastAsia="zh-CN"/>
        </w:rPr>
        <w:t>18.44</w:t>
      </w:r>
      <w:r>
        <w:rPr>
          <w:rFonts w:hint="eastAsia" w:ascii="仿宋" w:hAnsi="仿宋" w:eastAsia="仿宋" w:cs="Times New Roman"/>
          <w:color w:val="000000" w:themeColor="text1"/>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rPr>
          <w:rFonts w:ascii="仿宋_GB2312" w:eastAsia="仿宋_GB2312"/>
          <w:color w:val="FF0000"/>
          <w:sz w:val="32"/>
          <w:szCs w:val="32"/>
        </w:rPr>
      </w:pPr>
    </w:p>
    <w:p>
      <w:pPr>
        <w:pStyle w:val="2"/>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5272405" cy="2399665"/>
            <wp:effectExtent l="0" t="0" r="4445" b="635"/>
            <wp:docPr id="3" name="图片 3"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4"/>
                    <pic:cNvPicPr>
                      <a:picLocks noChangeAspect="1"/>
                    </pic:cNvPicPr>
                  </pic:nvPicPr>
                  <pic:blipFill>
                    <a:blip r:embed="rId8"/>
                    <a:stretch>
                      <a:fillRect/>
                    </a:stretch>
                  </pic:blipFill>
                  <pic:spPr>
                    <a:xfrm>
                      <a:off x="0" y="0"/>
                      <a:ext cx="5272405" cy="2399665"/>
                    </a:xfrm>
                    <a:prstGeom prst="rect">
                      <a:avLst/>
                    </a:prstGeom>
                  </pic:spPr>
                </pic:pic>
              </a:graphicData>
            </a:graphic>
          </wp:inline>
        </w:drawing>
      </w:r>
    </w:p>
    <w:p>
      <w:pPr>
        <w:spacing w:line="600" w:lineRule="exact"/>
        <w:ind w:firstLine="640" w:firstLineChars="200"/>
        <w:outlineLvl w:val="1"/>
        <w:rPr>
          <w:rStyle w:val="27"/>
          <w:rFonts w:ascii="黑体" w:hAnsi="黑体" w:eastAsia="黑体"/>
          <w:b w:val="0"/>
        </w:rPr>
      </w:pPr>
      <w:bookmarkStart w:id="45" w:name="_Toc15396606"/>
      <w:bookmarkStart w:id="46" w:name="_Toc27041"/>
      <w:bookmarkStart w:id="47"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5"/>
      <w:bookmarkEnd w:id="46"/>
      <w:bookmarkEnd w:id="47"/>
    </w:p>
    <w:p>
      <w:pPr>
        <w:spacing w:line="600" w:lineRule="exact"/>
        <w:ind w:firstLine="640"/>
        <w:rPr>
          <w:rFonts w:ascii="仿宋" w:hAnsi="仿宋" w:eastAsia="仿宋"/>
          <w:color w:val="000000"/>
          <w:sz w:val="32"/>
          <w:szCs w:val="32"/>
        </w:rPr>
      </w:pPr>
      <w:r>
        <w:rPr>
          <w:rFonts w:hint="eastAsia" w:ascii="仿宋" w:hAnsi="仿宋" w:eastAsia="仿宋"/>
          <w:color w:val="000000" w:themeColor="text1"/>
          <w:sz w:val="32"/>
          <w:szCs w:val="32"/>
        </w:rPr>
        <w:t>201</w:t>
      </w:r>
      <w:r>
        <w:rPr>
          <w:rFonts w:hint="eastAsia" w:ascii="仿宋" w:hAnsi="仿宋" w:eastAsia="仿宋"/>
          <w:color w:val="000000" w:themeColor="text1"/>
          <w:sz w:val="32"/>
          <w:szCs w:val="32"/>
          <w:lang w:val="en-US" w:eastAsia="zh-CN"/>
        </w:rPr>
        <w:t>9</w:t>
      </w:r>
      <w:r>
        <w:rPr>
          <w:rFonts w:hint="eastAsia" w:ascii="仿宋" w:hAnsi="仿宋" w:eastAsia="仿宋"/>
          <w:color w:val="000000" w:themeColor="text1"/>
          <w:sz w:val="32"/>
          <w:szCs w:val="32"/>
        </w:rPr>
        <w:t>年我部本年</w:t>
      </w:r>
      <w:r>
        <w:rPr>
          <w:rFonts w:hint="eastAsia" w:ascii="仿宋" w:hAnsi="仿宋" w:eastAsia="仿宋"/>
          <w:color w:val="000000"/>
          <w:sz w:val="32"/>
          <w:szCs w:val="32"/>
        </w:rPr>
        <w:t>财政拨款</w:t>
      </w:r>
      <w:r>
        <w:rPr>
          <w:rFonts w:hint="eastAsia" w:ascii="仿宋" w:hAnsi="仿宋" w:eastAsia="仿宋"/>
          <w:color w:val="000000" w:themeColor="text1"/>
          <w:sz w:val="32"/>
          <w:szCs w:val="32"/>
        </w:rPr>
        <w:t>收入4</w:t>
      </w:r>
      <w:r>
        <w:rPr>
          <w:rFonts w:hint="eastAsia" w:ascii="仿宋" w:hAnsi="仿宋" w:eastAsia="仿宋"/>
          <w:color w:val="000000" w:themeColor="text1"/>
          <w:sz w:val="32"/>
          <w:szCs w:val="32"/>
          <w:lang w:val="en-US" w:eastAsia="zh-CN"/>
        </w:rPr>
        <w:t>49.49</w:t>
      </w:r>
      <w:r>
        <w:rPr>
          <w:rFonts w:hint="eastAsia" w:ascii="仿宋" w:hAnsi="仿宋" w:eastAsia="仿宋"/>
          <w:color w:val="000000" w:themeColor="text1"/>
          <w:sz w:val="32"/>
          <w:szCs w:val="32"/>
        </w:rPr>
        <w:t>万元，本年</w:t>
      </w:r>
      <w:r>
        <w:rPr>
          <w:rFonts w:hint="eastAsia" w:ascii="仿宋" w:hAnsi="仿宋" w:eastAsia="仿宋"/>
          <w:color w:val="000000"/>
          <w:sz w:val="32"/>
          <w:szCs w:val="32"/>
        </w:rPr>
        <w:t>财政拨款</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459.03</w:t>
      </w:r>
      <w:r>
        <w:rPr>
          <w:rFonts w:hint="eastAsia" w:ascii="仿宋" w:hAnsi="仿宋" w:eastAsia="仿宋"/>
          <w:color w:val="000000" w:themeColor="text1"/>
          <w:sz w:val="32"/>
          <w:szCs w:val="32"/>
        </w:rPr>
        <w:t>。与201</w:t>
      </w:r>
      <w:r>
        <w:rPr>
          <w:rFonts w:hint="eastAsia" w:ascii="仿宋" w:hAnsi="仿宋" w:eastAsia="仿宋"/>
          <w:color w:val="000000" w:themeColor="text1"/>
          <w:sz w:val="32"/>
          <w:szCs w:val="32"/>
          <w:lang w:val="en-US" w:eastAsia="zh-CN"/>
        </w:rPr>
        <w:t>8</w:t>
      </w:r>
      <w:r>
        <w:rPr>
          <w:rFonts w:hint="eastAsia" w:ascii="仿宋" w:hAnsi="仿宋" w:eastAsia="仿宋"/>
          <w:color w:val="000000" w:themeColor="text1"/>
          <w:sz w:val="32"/>
          <w:szCs w:val="32"/>
        </w:rPr>
        <w:t>年相比，收入</w:t>
      </w:r>
      <w:r>
        <w:rPr>
          <w:rFonts w:hint="eastAsia" w:ascii="仿宋" w:hAnsi="仿宋" w:eastAsia="仿宋"/>
          <w:color w:val="000000" w:themeColor="text1"/>
          <w:sz w:val="32"/>
          <w:szCs w:val="32"/>
          <w:lang w:eastAsia="zh-CN"/>
        </w:rPr>
        <w:t>减少</w:t>
      </w:r>
      <w:r>
        <w:rPr>
          <w:rFonts w:hint="eastAsia" w:ascii="仿宋" w:hAnsi="仿宋" w:eastAsia="仿宋"/>
          <w:color w:val="000000" w:themeColor="text1"/>
          <w:sz w:val="32"/>
          <w:szCs w:val="32"/>
        </w:rPr>
        <w:t>了</w:t>
      </w:r>
      <w:r>
        <w:rPr>
          <w:rFonts w:hint="eastAsia" w:ascii="仿宋" w:hAnsi="仿宋" w:eastAsia="仿宋"/>
          <w:color w:val="000000" w:themeColor="text1"/>
          <w:sz w:val="32"/>
          <w:szCs w:val="32"/>
          <w:lang w:val="en-US" w:eastAsia="zh-CN"/>
        </w:rPr>
        <w:t>21.44</w:t>
      </w:r>
      <w:r>
        <w:rPr>
          <w:rFonts w:hint="eastAsia" w:ascii="仿宋" w:hAnsi="仿宋" w:eastAsia="仿宋"/>
          <w:color w:val="000000" w:themeColor="text1"/>
          <w:sz w:val="32"/>
          <w:szCs w:val="32"/>
        </w:rPr>
        <w:t>万元，</w:t>
      </w:r>
      <w:r>
        <w:rPr>
          <w:rFonts w:hint="eastAsia" w:ascii="仿宋" w:hAnsi="仿宋" w:eastAsia="仿宋"/>
          <w:color w:val="000000" w:themeColor="text1"/>
          <w:sz w:val="32"/>
          <w:szCs w:val="32"/>
          <w:lang w:eastAsia="zh-CN"/>
        </w:rPr>
        <w:t>减少</w:t>
      </w:r>
      <w:r>
        <w:rPr>
          <w:rFonts w:hint="eastAsia" w:ascii="仿宋" w:hAnsi="仿宋" w:eastAsia="仿宋"/>
          <w:color w:val="000000" w:themeColor="text1"/>
          <w:sz w:val="32"/>
          <w:szCs w:val="32"/>
          <w:lang w:val="en-US" w:eastAsia="zh-CN"/>
        </w:rPr>
        <w:t>4.55%</w:t>
      </w:r>
      <w:r>
        <w:rPr>
          <w:rFonts w:hint="eastAsia" w:ascii="仿宋" w:hAnsi="仿宋" w:eastAsia="仿宋"/>
          <w:color w:val="000000" w:themeColor="text1"/>
          <w:sz w:val="32"/>
          <w:szCs w:val="32"/>
        </w:rPr>
        <w:t>、支出总计</w:t>
      </w:r>
      <w:r>
        <w:rPr>
          <w:rFonts w:hint="eastAsia" w:ascii="仿宋" w:hAnsi="仿宋" w:eastAsia="仿宋"/>
          <w:color w:val="000000" w:themeColor="text1"/>
          <w:sz w:val="32"/>
          <w:szCs w:val="32"/>
          <w:lang w:eastAsia="zh-CN"/>
        </w:rPr>
        <w:t>减少</w:t>
      </w:r>
      <w:r>
        <w:rPr>
          <w:rFonts w:hint="eastAsia" w:ascii="仿宋" w:hAnsi="仿宋" w:eastAsia="仿宋"/>
          <w:color w:val="000000" w:themeColor="text1"/>
          <w:sz w:val="32"/>
          <w:szCs w:val="32"/>
          <w:lang w:val="en-US" w:eastAsia="zh-CN"/>
        </w:rPr>
        <w:t>138.47</w:t>
      </w:r>
      <w:r>
        <w:rPr>
          <w:rFonts w:hint="eastAsia" w:ascii="仿宋" w:hAnsi="仿宋" w:eastAsia="仿宋"/>
          <w:color w:val="000000" w:themeColor="text1"/>
          <w:sz w:val="32"/>
          <w:szCs w:val="32"/>
        </w:rPr>
        <w:t>万元，</w:t>
      </w:r>
      <w:r>
        <w:rPr>
          <w:rFonts w:hint="eastAsia" w:ascii="仿宋" w:hAnsi="仿宋" w:eastAsia="仿宋"/>
          <w:color w:val="000000" w:themeColor="text1"/>
          <w:sz w:val="32"/>
          <w:szCs w:val="32"/>
          <w:lang w:eastAsia="zh-CN"/>
        </w:rPr>
        <w:t>减少</w:t>
      </w:r>
      <w:r>
        <w:rPr>
          <w:rFonts w:hint="eastAsia" w:ascii="仿宋" w:hAnsi="仿宋" w:eastAsia="仿宋"/>
          <w:color w:val="000000" w:themeColor="text1"/>
          <w:sz w:val="32"/>
          <w:szCs w:val="32"/>
          <w:lang w:val="en-US" w:eastAsia="zh-CN"/>
        </w:rPr>
        <w:t>23.17</w:t>
      </w:r>
      <w:r>
        <w:rPr>
          <w:rFonts w:hint="eastAsia" w:ascii="仿宋" w:hAnsi="仿宋" w:eastAsia="仿宋"/>
          <w:color w:val="000000" w:themeColor="text1"/>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人员减少、专项项目减少。</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pStyle w:val="2"/>
      </w:pPr>
    </w:p>
    <w:p>
      <w:pPr>
        <w:spacing w:line="240" w:lineRule="auto"/>
        <w:ind w:firstLine="640"/>
        <w:rPr>
          <w:rFonts w:ascii="仿宋" w:hAnsi="仿宋" w:eastAsia="仿宋"/>
          <w:b/>
          <w:color w:val="00B050"/>
          <w:sz w:val="32"/>
          <w:szCs w:val="32"/>
        </w:rPr>
      </w:pPr>
      <w:r>
        <w:rPr>
          <w:rFonts w:hint="eastAsia" w:ascii="仿宋" w:hAnsi="仿宋" w:eastAsia="仿宋"/>
          <w:b/>
          <w:color w:val="00B050"/>
          <w:sz w:val="32"/>
          <w:szCs w:val="32"/>
          <w:lang w:eastAsia="zh-CN"/>
        </w:rPr>
        <w:drawing>
          <wp:inline distT="0" distB="0" distL="114300" distR="114300">
            <wp:extent cx="4584065" cy="2755265"/>
            <wp:effectExtent l="0" t="0" r="6985" b="6985"/>
            <wp:docPr id="4" name="图片 4"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5"/>
                    <pic:cNvPicPr>
                      <a:picLocks noChangeAspect="1"/>
                    </pic:cNvPicPr>
                  </pic:nvPicPr>
                  <pic:blipFill>
                    <a:blip r:embed="rId9"/>
                    <a:stretch>
                      <a:fillRect/>
                    </a:stretch>
                  </pic:blipFill>
                  <pic:spPr>
                    <a:xfrm>
                      <a:off x="0" y="0"/>
                      <a:ext cx="4584065" cy="2755265"/>
                    </a:xfrm>
                    <a:prstGeom prst="rect">
                      <a:avLst/>
                    </a:prstGeom>
                  </pic:spPr>
                </pic:pic>
              </a:graphicData>
            </a:graphic>
          </wp:inline>
        </w:drawing>
      </w:r>
    </w:p>
    <w:p>
      <w:pPr>
        <w:spacing w:line="600" w:lineRule="exact"/>
        <w:ind w:firstLine="640" w:firstLineChars="200"/>
        <w:outlineLvl w:val="1"/>
        <w:rPr>
          <w:rStyle w:val="27"/>
          <w:rFonts w:ascii="黑体" w:hAnsi="黑体" w:eastAsia="黑体"/>
          <w:b w:val="0"/>
        </w:rPr>
      </w:pPr>
      <w:bookmarkStart w:id="48" w:name="_Toc15396607"/>
      <w:bookmarkStart w:id="49" w:name="_Toc10533"/>
      <w:bookmarkStart w:id="50"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48"/>
      <w:bookmarkEnd w:id="49"/>
      <w:bookmarkEnd w:id="50"/>
    </w:p>
    <w:p>
      <w:pPr>
        <w:spacing w:line="600" w:lineRule="exact"/>
        <w:ind w:firstLine="643" w:firstLineChars="200"/>
        <w:outlineLvl w:val="2"/>
        <w:rPr>
          <w:rFonts w:ascii="仿宋" w:hAnsi="仿宋" w:eastAsia="仿宋"/>
          <w:b/>
          <w:color w:val="000000"/>
          <w:sz w:val="32"/>
          <w:szCs w:val="32"/>
        </w:rPr>
      </w:pPr>
      <w:bookmarkStart w:id="51" w:name="_Toc29492"/>
      <w:bookmarkStart w:id="52" w:name="_Toc15377210"/>
      <w:bookmarkStart w:id="53" w:name="_Toc23732"/>
      <w:r>
        <w:rPr>
          <w:rFonts w:hint="eastAsia" w:ascii="仿宋" w:hAnsi="仿宋" w:eastAsia="仿宋"/>
          <w:b/>
          <w:color w:val="000000"/>
          <w:sz w:val="32"/>
          <w:szCs w:val="32"/>
        </w:rPr>
        <w:t>（一）一般公共预算财政拨款支出决算总体情况</w:t>
      </w:r>
      <w:bookmarkEnd w:id="51"/>
      <w:bookmarkEnd w:id="52"/>
      <w:bookmarkEnd w:id="53"/>
    </w:p>
    <w:p>
      <w:pPr>
        <w:spacing w:line="240" w:lineRule="auto"/>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459.03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w:t>
      </w:r>
      <w:r>
        <w:rPr>
          <w:rFonts w:hint="eastAsia" w:ascii="仿宋" w:hAnsi="仿宋" w:eastAsia="仿宋"/>
          <w:color w:val="000000" w:themeColor="text1"/>
          <w:sz w:val="32"/>
          <w:szCs w:val="32"/>
          <w:lang w:eastAsia="zh-CN"/>
        </w:rPr>
        <w:t>减少</w:t>
      </w:r>
      <w:r>
        <w:rPr>
          <w:rFonts w:hint="eastAsia" w:ascii="仿宋" w:hAnsi="仿宋" w:eastAsia="仿宋"/>
          <w:color w:val="000000" w:themeColor="text1"/>
          <w:sz w:val="32"/>
          <w:szCs w:val="32"/>
          <w:lang w:val="en-US" w:eastAsia="zh-CN"/>
        </w:rPr>
        <w:t>138.16</w:t>
      </w:r>
      <w:r>
        <w:rPr>
          <w:rFonts w:hint="eastAsia" w:ascii="仿宋" w:hAnsi="仿宋" w:eastAsia="仿宋"/>
          <w:color w:val="000000" w:themeColor="text1"/>
          <w:sz w:val="32"/>
          <w:szCs w:val="32"/>
        </w:rPr>
        <w:t>万元，</w:t>
      </w:r>
      <w:r>
        <w:rPr>
          <w:rFonts w:hint="eastAsia" w:ascii="仿宋" w:hAnsi="仿宋" w:eastAsia="仿宋"/>
          <w:color w:val="000000" w:themeColor="text1"/>
          <w:sz w:val="32"/>
          <w:szCs w:val="32"/>
          <w:lang w:eastAsia="zh-CN"/>
        </w:rPr>
        <w:t>减少</w:t>
      </w:r>
      <w:r>
        <w:rPr>
          <w:rFonts w:hint="eastAsia" w:ascii="仿宋" w:hAnsi="仿宋" w:eastAsia="仿宋"/>
          <w:color w:val="000000" w:themeColor="text1"/>
          <w:sz w:val="32"/>
          <w:szCs w:val="32"/>
          <w:lang w:val="en-US" w:eastAsia="zh-CN"/>
        </w:rPr>
        <w:t>23.14</w:t>
      </w:r>
      <w:r>
        <w:rPr>
          <w:rFonts w:hint="eastAsia" w:ascii="仿宋" w:hAnsi="仿宋" w:eastAsia="仿宋"/>
          <w:color w:val="000000" w:themeColor="text1"/>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人员减少、专项项目减少。</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0288" behindDoc="0" locked="0" layoutInCell="1" allowOverlap="1">
            <wp:simplePos x="0" y="0"/>
            <wp:positionH relativeFrom="column">
              <wp:posOffset>549275</wp:posOffset>
            </wp:positionH>
            <wp:positionV relativeFrom="paragraph">
              <wp:posOffset>600075</wp:posOffset>
            </wp:positionV>
            <wp:extent cx="4751705" cy="2488565"/>
            <wp:effectExtent l="0" t="0" r="10795" b="6985"/>
            <wp:wrapSquare wrapText="bothSides"/>
            <wp:docPr id="5" name="图片 5"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6"/>
                    <pic:cNvPicPr>
                      <a:picLocks noChangeAspect="1"/>
                    </pic:cNvPicPr>
                  </pic:nvPicPr>
                  <pic:blipFill>
                    <a:blip r:embed="rId10"/>
                    <a:stretch>
                      <a:fillRect/>
                    </a:stretch>
                  </pic:blipFill>
                  <pic:spPr>
                    <a:xfrm>
                      <a:off x="0" y="0"/>
                      <a:ext cx="4751705" cy="2488565"/>
                    </a:xfrm>
                    <a:prstGeom prst="rect">
                      <a:avLst/>
                    </a:prstGeom>
                  </pic:spPr>
                </pic:pic>
              </a:graphicData>
            </a:graphic>
          </wp:anchor>
        </w:drawing>
      </w: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ascii="仿宋" w:hAnsi="仿宋" w:eastAsia="仿宋"/>
          <w:color w:val="000000" w:themeColor="text1"/>
          <w:sz w:val="32"/>
          <w:szCs w:val="32"/>
        </w:rPr>
      </w:pPr>
    </w:p>
    <w:p>
      <w:pPr>
        <w:pStyle w:val="2"/>
        <w:rPr>
          <w:rFonts w:ascii="仿宋" w:hAnsi="仿宋" w:eastAsia="仿宋"/>
          <w:color w:val="000000" w:themeColor="text1"/>
          <w:sz w:val="32"/>
          <w:szCs w:val="32"/>
        </w:rPr>
      </w:pPr>
    </w:p>
    <w:p>
      <w:pPr>
        <w:pStyle w:val="2"/>
        <w:rPr>
          <w:rFonts w:ascii="仿宋" w:hAnsi="仿宋" w:eastAsia="仿宋"/>
          <w:color w:val="000000" w:themeColor="text1"/>
          <w:sz w:val="32"/>
          <w:szCs w:val="32"/>
        </w:rPr>
      </w:pPr>
    </w:p>
    <w:p>
      <w:pPr>
        <w:pStyle w:val="2"/>
        <w:ind w:left="0" w:leftChars="0" w:firstLine="0" w:firstLineChars="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54" w:name="_Toc15377211"/>
      <w:bookmarkStart w:id="55" w:name="_Toc20347"/>
      <w:bookmarkStart w:id="56" w:name="_Toc29529"/>
      <w:r>
        <w:rPr>
          <w:rFonts w:hint="eastAsia" w:ascii="仿宋" w:hAnsi="仿宋" w:eastAsia="仿宋"/>
          <w:b/>
          <w:color w:val="000000"/>
          <w:sz w:val="32"/>
          <w:szCs w:val="32"/>
        </w:rPr>
        <w:t>（二）一般公共预算财政拨款支出决算结构情况</w:t>
      </w:r>
      <w:bookmarkEnd w:id="54"/>
      <w:bookmarkEnd w:id="55"/>
      <w:bookmarkEnd w:id="56"/>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459.03</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支出345.85万元，占</w:t>
      </w:r>
      <w:r>
        <w:rPr>
          <w:rFonts w:hint="eastAsia" w:ascii="仿宋" w:hAnsi="仿宋" w:eastAsia="仿宋"/>
          <w:color w:val="000000" w:themeColor="text1"/>
          <w:sz w:val="32"/>
          <w:szCs w:val="32"/>
          <w:lang w:val="en-US" w:eastAsia="zh-CN"/>
        </w:rPr>
        <w:t>75.34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文化旅游体育与传媒（类）</w:t>
      </w:r>
      <w:r>
        <w:rPr>
          <w:rFonts w:hint="eastAsia" w:ascii="仿宋" w:hAnsi="仿宋" w:eastAsia="仿宋"/>
          <w:color w:val="000000" w:themeColor="text1"/>
          <w:sz w:val="32"/>
          <w:szCs w:val="32"/>
        </w:rPr>
        <w:t>支出29.2万元，占</w:t>
      </w:r>
      <w:r>
        <w:rPr>
          <w:rFonts w:hint="eastAsia" w:ascii="仿宋" w:hAnsi="仿宋" w:eastAsia="仿宋"/>
          <w:color w:val="000000" w:themeColor="text1"/>
          <w:sz w:val="32"/>
          <w:szCs w:val="32"/>
          <w:lang w:val="en-US" w:eastAsia="zh-CN"/>
        </w:rPr>
        <w:t>6.36</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支出40.89万元，占</w:t>
      </w:r>
      <w:r>
        <w:rPr>
          <w:rFonts w:hint="eastAsia" w:ascii="仿宋" w:hAnsi="仿宋" w:eastAsia="仿宋"/>
          <w:color w:val="000000" w:themeColor="text1"/>
          <w:sz w:val="32"/>
          <w:szCs w:val="32"/>
          <w:lang w:val="en-US" w:eastAsia="zh-CN"/>
        </w:rPr>
        <w:t>8.91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18.23万元，占</w:t>
      </w:r>
      <w:r>
        <w:rPr>
          <w:rFonts w:hint="eastAsia" w:ascii="仿宋" w:hAnsi="仿宋" w:eastAsia="仿宋"/>
          <w:color w:val="000000" w:themeColor="text1"/>
          <w:sz w:val="32"/>
          <w:szCs w:val="32"/>
          <w:lang w:val="en-US" w:eastAsia="zh-CN"/>
        </w:rPr>
        <w:t>3.97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住房保障</w:t>
      </w:r>
      <w:r>
        <w:rPr>
          <w:rFonts w:hint="eastAsia" w:ascii="仿宋" w:hAnsi="仿宋" w:eastAsia="仿宋"/>
          <w:b w:val="0"/>
          <w:bCs w:val="0"/>
          <w:color w:val="000000" w:themeColor="text1"/>
          <w:sz w:val="32"/>
          <w:szCs w:val="32"/>
        </w:rPr>
        <w:t>支出</w:t>
      </w:r>
      <w:r>
        <w:rPr>
          <w:rFonts w:hint="eastAsia" w:ascii="仿宋" w:hAnsi="仿宋" w:eastAsia="仿宋"/>
          <w:color w:val="000000" w:themeColor="text1"/>
          <w:sz w:val="32"/>
          <w:szCs w:val="32"/>
        </w:rPr>
        <w:t>24.84万元，占</w:t>
      </w:r>
      <w:r>
        <w:rPr>
          <w:rFonts w:hint="eastAsia" w:ascii="仿宋" w:hAnsi="仿宋" w:eastAsia="仿宋"/>
          <w:color w:val="000000" w:themeColor="text1"/>
          <w:sz w:val="32"/>
          <w:szCs w:val="32"/>
          <w:lang w:val="en-US" w:eastAsia="zh-CN"/>
        </w:rPr>
        <w:t>5.41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240" w:lineRule="auto"/>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84065" cy="2755265"/>
            <wp:effectExtent l="0" t="0" r="6985" b="6985"/>
            <wp:docPr id="6" name="图片 6"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7"/>
                    <pic:cNvPicPr>
                      <a:picLocks noChangeAspect="1"/>
                    </pic:cNvPicPr>
                  </pic:nvPicPr>
                  <pic:blipFill>
                    <a:blip r:embed="rId11"/>
                    <a:stretch>
                      <a:fillRect/>
                    </a:stretch>
                  </pic:blipFill>
                  <pic:spPr>
                    <a:xfrm>
                      <a:off x="0" y="0"/>
                      <a:ext cx="4584065" cy="2755265"/>
                    </a:xfrm>
                    <a:prstGeom prst="rect">
                      <a:avLst/>
                    </a:prstGeom>
                  </pic:spPr>
                </pic:pic>
              </a:graphicData>
            </a:graphic>
          </wp:inline>
        </w:drawing>
      </w:r>
    </w:p>
    <w:p>
      <w:pPr>
        <w:pStyle w:val="2"/>
        <w:ind w:left="0" w:leftChars="0" w:firstLine="0" w:firstLineChars="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7" w:name="_Toc21072"/>
      <w:bookmarkStart w:id="58" w:name="_Toc27115"/>
      <w:bookmarkStart w:id="59" w:name="_Toc15377212"/>
      <w:r>
        <w:rPr>
          <w:rFonts w:hint="eastAsia" w:ascii="仿宋" w:hAnsi="仿宋" w:eastAsia="仿宋"/>
          <w:b/>
          <w:color w:val="000000"/>
          <w:sz w:val="32"/>
          <w:szCs w:val="32"/>
        </w:rPr>
        <w:t>（三）一般公共预算财政拨款支出决算具体情况</w:t>
      </w:r>
      <w:bookmarkEnd w:id="57"/>
      <w:bookmarkEnd w:id="58"/>
      <w:bookmarkEnd w:id="59"/>
    </w:p>
    <w:p>
      <w:pPr>
        <w:spacing w:line="600" w:lineRule="exact"/>
        <w:ind w:firstLine="640" w:firstLineChars="200"/>
        <w:rPr>
          <w:rStyle w:val="16"/>
          <w:rFonts w:hint="eastAsia" w:ascii="仿宋" w:hAnsi="仿宋" w:eastAsia="仿宋" w:cs="Times New Roman"/>
          <w:b w:val="0"/>
          <w:bCs/>
          <w:color w:val="000000"/>
          <w:sz w:val="32"/>
          <w:szCs w:val="32"/>
        </w:rPr>
      </w:pPr>
      <w:bookmarkStart w:id="60" w:name="_Toc15377444"/>
      <w:bookmarkStart w:id="61" w:name="_Toc15378460"/>
      <w:bookmarkStart w:id="62" w:name="_Toc15377213"/>
      <w:r>
        <w:rPr>
          <w:rStyle w:val="16"/>
          <w:rFonts w:hint="eastAsia" w:ascii="仿宋" w:hAnsi="仿宋" w:eastAsia="仿宋" w:cs="Times New Roman"/>
          <w:b w:val="0"/>
          <w:bCs/>
          <w:color w:val="000000"/>
          <w:sz w:val="32"/>
          <w:szCs w:val="32"/>
        </w:rPr>
        <w:t>2019年</w:t>
      </w:r>
      <w:r>
        <w:rPr>
          <w:rStyle w:val="16"/>
          <w:rFonts w:hint="eastAsia" w:ascii="仿宋" w:hAnsi="仿宋" w:eastAsia="仿宋" w:cs="Times New Roman"/>
          <w:b w:val="0"/>
          <w:bCs/>
          <w:color w:val="000000"/>
          <w:sz w:val="32"/>
          <w:szCs w:val="32"/>
          <w:lang w:eastAsia="zh-CN"/>
        </w:rPr>
        <w:t>一</w:t>
      </w:r>
      <w:r>
        <w:rPr>
          <w:rStyle w:val="16"/>
          <w:rFonts w:hint="eastAsia" w:ascii="仿宋" w:hAnsi="仿宋" w:eastAsia="仿宋" w:cs="Times New Roman"/>
          <w:b w:val="0"/>
          <w:bCs/>
          <w:color w:val="000000"/>
          <w:sz w:val="32"/>
          <w:szCs w:val="32"/>
        </w:rPr>
        <w:t>般公共预算支出决算数为</w:t>
      </w:r>
      <w:r>
        <w:rPr>
          <w:rStyle w:val="16"/>
          <w:rFonts w:hint="eastAsia" w:ascii="仿宋" w:hAnsi="仿宋" w:eastAsia="仿宋" w:cs="Times New Roman"/>
          <w:b w:val="0"/>
          <w:bCs/>
          <w:color w:val="000000"/>
          <w:sz w:val="32"/>
          <w:szCs w:val="32"/>
          <w:lang w:val="en-US" w:eastAsia="zh-CN"/>
        </w:rPr>
        <w:t>459.03</w:t>
      </w:r>
      <w:r>
        <w:rPr>
          <w:rStyle w:val="16"/>
          <w:rFonts w:hint="eastAsia" w:ascii="仿宋" w:hAnsi="仿宋" w:eastAsia="仿宋" w:cs="Times New Roman"/>
          <w:b w:val="0"/>
          <w:bCs/>
          <w:color w:val="000000"/>
          <w:sz w:val="32"/>
          <w:szCs w:val="32"/>
        </w:rPr>
        <w:t>，完成预算</w:t>
      </w:r>
      <w:r>
        <w:rPr>
          <w:rStyle w:val="16"/>
          <w:rFonts w:hint="eastAsia" w:ascii="仿宋" w:hAnsi="仿宋" w:eastAsia="仿宋" w:cs="Times New Roman"/>
          <w:b w:val="0"/>
          <w:bCs/>
          <w:color w:val="000000"/>
          <w:sz w:val="32"/>
          <w:szCs w:val="32"/>
          <w:lang w:val="en-US" w:eastAsia="zh-CN"/>
        </w:rPr>
        <w:t>100</w:t>
      </w:r>
      <w:r>
        <w:rPr>
          <w:rStyle w:val="16"/>
          <w:rFonts w:hint="eastAsia" w:ascii="仿宋" w:hAnsi="仿宋" w:eastAsia="仿宋" w:cs="Times New Roman"/>
          <w:b w:val="0"/>
          <w:bCs/>
          <w:color w:val="000000"/>
          <w:sz w:val="32"/>
          <w:szCs w:val="32"/>
        </w:rPr>
        <w:t>%。其中：</w:t>
      </w:r>
      <w:bookmarkEnd w:id="60"/>
      <w:bookmarkEnd w:id="61"/>
      <w:bookmarkEnd w:id="62"/>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val="en-US" w:eastAsia="zh-CN"/>
        </w:rPr>
        <w:t>2013301</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支出决算为201.88万元，完成预算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lang w:val="en-US" w:eastAsia="zh-CN"/>
        </w:rPr>
        <w:t>2013302</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支出决算为53.95万元，完成预算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lang w:val="en-US" w:eastAsia="zh-CN"/>
        </w:rPr>
        <w:t>2013350</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支出决算为88.52万元，完成预算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文化旅游体育与传媒2070199</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支出决算为6.03万元，完成预算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2070</w:t>
      </w:r>
      <w:r>
        <w:rPr>
          <w:rStyle w:val="16"/>
          <w:rFonts w:hint="eastAsia" w:ascii="仿宋" w:hAnsi="仿宋" w:eastAsia="仿宋"/>
          <w:bCs/>
          <w:color w:val="000000"/>
          <w:sz w:val="32"/>
          <w:szCs w:val="32"/>
          <w:lang w:val="en-US" w:eastAsia="zh-CN"/>
        </w:rPr>
        <w:t>6</w:t>
      </w:r>
      <w:r>
        <w:rPr>
          <w:rStyle w:val="16"/>
          <w:rFonts w:hint="eastAsia" w:ascii="仿宋" w:hAnsi="仿宋" w:eastAsia="仿宋"/>
          <w:bCs/>
          <w:color w:val="000000"/>
          <w:sz w:val="32"/>
          <w:szCs w:val="32"/>
        </w:rPr>
        <w:t>99</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支出决算为1.5万元，完成预算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20799</w:t>
      </w:r>
      <w:r>
        <w:rPr>
          <w:rStyle w:val="16"/>
          <w:rFonts w:hint="eastAsia" w:ascii="仿宋" w:hAnsi="仿宋" w:eastAsia="仿宋"/>
          <w:bCs/>
          <w:color w:val="000000"/>
          <w:sz w:val="32"/>
          <w:szCs w:val="32"/>
          <w:lang w:val="en-US" w:eastAsia="zh-CN"/>
        </w:rPr>
        <w:t>02</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支出决算为2.82万元，完成预算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20799</w:t>
      </w:r>
      <w:r>
        <w:rPr>
          <w:rStyle w:val="16"/>
          <w:rFonts w:hint="eastAsia" w:ascii="仿宋" w:hAnsi="仿宋" w:eastAsia="仿宋"/>
          <w:bCs/>
          <w:color w:val="000000"/>
          <w:sz w:val="32"/>
          <w:szCs w:val="32"/>
          <w:lang w:val="en-US" w:eastAsia="zh-CN"/>
        </w:rPr>
        <w:t>99</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支出决算为18.85万元，完成预算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2080505</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支出决算为28.01万元，完成预算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lang w:val="en-US" w:eastAsia="zh-CN"/>
        </w:rPr>
        <w:t>2080506</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支出决算为12.88万元，完成预算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4</w:t>
      </w:r>
      <w:r>
        <w:rPr>
          <w:rStyle w:val="16"/>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6"/>
          <w:rFonts w:hint="eastAsia" w:ascii="仿宋" w:hAnsi="仿宋" w:eastAsia="仿宋"/>
          <w:bCs/>
          <w:color w:val="000000"/>
          <w:sz w:val="32"/>
          <w:szCs w:val="32"/>
          <w:lang w:val="en-US" w:eastAsia="zh-CN"/>
        </w:rPr>
        <w:t>2101101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支出决算为7.15万元，完成预算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lang w:val="en-US" w:eastAsia="zh-CN"/>
        </w:rPr>
        <w:t>2101102</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支出决算为7.36万元，完成预算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lang w:val="en-US" w:eastAsia="zh-CN"/>
        </w:rPr>
        <w:t>2101103</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支出决算为2.28万元，完成预算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lang w:val="en-US" w:eastAsia="zh-CN"/>
        </w:rPr>
        <w:t>2101199</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支出决算为1.44万元，完成预算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5.住房保障2210201：</w:t>
      </w:r>
      <w:r>
        <w:rPr>
          <w:rStyle w:val="16"/>
          <w:rFonts w:hint="eastAsia" w:ascii="仿宋" w:hAnsi="仿宋" w:eastAsia="仿宋"/>
          <w:b w:val="0"/>
          <w:bCs/>
          <w:color w:val="000000"/>
          <w:sz w:val="32"/>
          <w:szCs w:val="32"/>
        </w:rPr>
        <w:t>支出决算为24.84万元，完成预算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tabs>
          <w:tab w:val="right" w:pos="8306"/>
        </w:tabs>
        <w:spacing w:line="600" w:lineRule="exact"/>
        <w:ind w:firstLine="640"/>
        <w:outlineLvl w:val="1"/>
        <w:rPr>
          <w:rStyle w:val="27"/>
        </w:rPr>
      </w:pPr>
      <w:bookmarkStart w:id="63" w:name="_Toc20431"/>
      <w:bookmarkStart w:id="64" w:name="_Toc15396608"/>
      <w:bookmarkStart w:id="65"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63"/>
      <w:bookmarkEnd w:id="64"/>
      <w:bookmarkEnd w:id="65"/>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374.38</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333.92</w:t>
      </w:r>
      <w:r>
        <w:rPr>
          <w:rFonts w:hint="eastAsia" w:ascii="仿宋" w:hAnsi="仿宋" w:eastAsia="仿宋"/>
          <w:color w:val="000000"/>
          <w:sz w:val="32"/>
          <w:szCs w:val="32"/>
        </w:rPr>
        <w:t>万元，主要包括：基本工资60.01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、津贴补贴95.62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、奖金51.44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、绩效工资8.3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、机关事业单位基本养老保险缴费28.01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、职业年金缴费12.88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、职工基本医疗保险缴费14.51</w:t>
      </w:r>
      <w:r>
        <w:rPr>
          <w:rFonts w:hint="eastAsia" w:ascii="仿宋" w:hAnsi="仿宋" w:eastAsia="仿宋"/>
          <w:color w:val="000000"/>
          <w:sz w:val="32"/>
          <w:szCs w:val="32"/>
          <w:lang w:eastAsia="zh-CN"/>
        </w:rPr>
        <w:t>万元、公务员医疗补助缴费3.72万元、</w:t>
      </w:r>
      <w:r>
        <w:rPr>
          <w:rFonts w:hint="eastAsia" w:ascii="仿宋" w:hAnsi="仿宋" w:eastAsia="仿宋"/>
          <w:color w:val="000000"/>
          <w:sz w:val="32"/>
          <w:szCs w:val="32"/>
        </w:rPr>
        <w:t>其他社会保障缴费3.55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住房公积金24.84万元、</w:t>
      </w:r>
      <w:r>
        <w:rPr>
          <w:rFonts w:hint="eastAsia" w:ascii="仿宋" w:hAnsi="仿宋" w:eastAsia="仿宋"/>
          <w:color w:val="000000"/>
          <w:sz w:val="32"/>
          <w:szCs w:val="32"/>
        </w:rPr>
        <w:t>医疗费1.5</w:t>
      </w:r>
      <w:r>
        <w:rPr>
          <w:rFonts w:hint="eastAsia" w:ascii="仿宋" w:hAnsi="仿宋" w:eastAsia="仿宋"/>
          <w:color w:val="000000"/>
          <w:sz w:val="32"/>
          <w:szCs w:val="32"/>
          <w:lang w:eastAsia="zh-CN"/>
        </w:rPr>
        <w:t>万元、抚恤金29.42万元、医疗费补助</w:t>
      </w:r>
      <w:r>
        <w:rPr>
          <w:rFonts w:hint="eastAsia" w:ascii="仿宋" w:hAnsi="仿宋" w:eastAsia="仿宋"/>
          <w:color w:val="000000"/>
          <w:sz w:val="32"/>
          <w:szCs w:val="32"/>
          <w:lang w:val="en-US" w:eastAsia="zh-CN"/>
        </w:rPr>
        <w:t>0.1万元、奖励金0.02万元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40.46</w:t>
      </w:r>
      <w:r>
        <w:rPr>
          <w:rFonts w:hint="eastAsia" w:ascii="仿宋" w:hAnsi="仿宋" w:eastAsia="仿宋"/>
          <w:color w:val="000000"/>
          <w:sz w:val="32"/>
          <w:szCs w:val="32"/>
        </w:rPr>
        <w:t>万元，主要包括：办公费16.26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、印刷费2.49</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、水费0.32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、电费0.59</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、邮电费0.27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、取暖费1.15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、差旅费7.29</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、培训费0.27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、公务接待费0.16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、公务用车运行维护费11.65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p>
    <w:p>
      <w:pPr>
        <w:spacing w:line="600" w:lineRule="exact"/>
        <w:ind w:firstLine="640"/>
        <w:outlineLvl w:val="1"/>
        <w:rPr>
          <w:rStyle w:val="27"/>
          <w:rFonts w:ascii="黑体" w:hAnsi="黑体" w:eastAsia="黑体"/>
          <w:b w:val="0"/>
        </w:rPr>
      </w:pPr>
      <w:bookmarkStart w:id="66" w:name="_Toc15396609"/>
      <w:bookmarkStart w:id="67" w:name="_Toc15377215"/>
      <w:bookmarkStart w:id="68" w:name="_Toc2383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66"/>
      <w:bookmarkEnd w:id="67"/>
      <w:bookmarkEnd w:id="68"/>
    </w:p>
    <w:p>
      <w:pPr>
        <w:spacing w:line="600" w:lineRule="exact"/>
        <w:ind w:firstLine="640"/>
        <w:outlineLvl w:val="2"/>
        <w:rPr>
          <w:rFonts w:ascii="仿宋" w:hAnsi="仿宋" w:eastAsia="仿宋"/>
          <w:b/>
          <w:color w:val="000000"/>
          <w:sz w:val="32"/>
          <w:szCs w:val="32"/>
        </w:rPr>
      </w:pPr>
      <w:bookmarkStart w:id="69" w:name="_Toc22681"/>
      <w:bookmarkStart w:id="70" w:name="_Toc7836"/>
      <w:bookmarkStart w:id="71" w:name="_Toc15377216"/>
      <w:r>
        <w:rPr>
          <w:rFonts w:hint="eastAsia" w:ascii="仿宋" w:hAnsi="仿宋" w:eastAsia="仿宋"/>
          <w:b/>
          <w:color w:val="000000"/>
          <w:sz w:val="32"/>
          <w:szCs w:val="32"/>
        </w:rPr>
        <w:t>（一）“三公”经费财政拨款支出决算总体情况说明</w:t>
      </w:r>
      <w:bookmarkEnd w:id="69"/>
      <w:bookmarkEnd w:id="70"/>
      <w:bookmarkEnd w:id="7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11.81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2" w:name="_Toc29367"/>
      <w:bookmarkStart w:id="73" w:name="_Toc20996"/>
      <w:bookmarkStart w:id="74" w:name="_Toc15377217"/>
      <w:r>
        <w:rPr>
          <w:rFonts w:hint="eastAsia" w:ascii="仿宋" w:hAnsi="仿宋" w:eastAsia="仿宋"/>
          <w:b/>
          <w:color w:val="000000"/>
          <w:sz w:val="32"/>
          <w:szCs w:val="32"/>
        </w:rPr>
        <w:t>（二）“三公”经费财政拨款支出决算具体情况说明</w:t>
      </w:r>
      <w:bookmarkEnd w:id="72"/>
      <w:bookmarkEnd w:id="73"/>
      <w:bookmarkEnd w:id="7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1.35</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2"/>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4346575" cy="2612390"/>
            <wp:effectExtent l="0" t="0" r="15875" b="16510"/>
            <wp:docPr id="7" name="图片 7"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8"/>
                    <pic:cNvPicPr>
                      <a:picLocks noChangeAspect="1"/>
                    </pic:cNvPicPr>
                  </pic:nvPicPr>
                  <pic:blipFill>
                    <a:blip r:embed="rId12"/>
                    <a:stretch>
                      <a:fillRect/>
                    </a:stretch>
                  </pic:blipFill>
                  <pic:spPr>
                    <a:xfrm>
                      <a:off x="0" y="0"/>
                      <a:ext cx="4346575" cy="2612390"/>
                    </a:xfrm>
                    <a:prstGeom prst="rect">
                      <a:avLst/>
                    </a:prstGeom>
                  </pic:spPr>
                </pic:pic>
              </a:graphicData>
            </a:graphic>
          </wp:inline>
        </w:drawing>
      </w:r>
    </w:p>
    <w:p>
      <w:pPr>
        <w:numPr>
          <w:ilvl w:val="0"/>
          <w:numId w:val="0"/>
        </w:numPr>
        <w:spacing w:line="600" w:lineRule="exact"/>
        <w:ind w:firstLine="420" w:firstLineChars="0"/>
        <w:rPr>
          <w:rStyle w:val="16"/>
          <w:rFonts w:hint="eastAsia" w:ascii="仿宋" w:hAnsi="仿宋" w:eastAsia="仿宋"/>
          <w:b w:val="0"/>
          <w:bCs/>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numPr>
          <w:ilvl w:val="0"/>
          <w:numId w:val="0"/>
        </w:numPr>
        <w:spacing w:line="600" w:lineRule="exact"/>
        <w:ind w:firstLine="420" w:firstLineChars="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11.65</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4.36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27.23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履行中央</w:t>
      </w:r>
      <w:bookmarkStart w:id="134" w:name="_GoBack"/>
      <w:bookmarkEnd w:id="134"/>
      <w:r>
        <w:rPr>
          <w:rFonts w:hint="eastAsia" w:ascii="仿宋_GB2312" w:eastAsia="仿宋_GB2312"/>
          <w:color w:val="000000"/>
          <w:sz w:val="32"/>
          <w:szCs w:val="32"/>
          <w:lang w:eastAsia="zh-CN"/>
        </w:rPr>
        <w:t>八项规定，节约开支。</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11.65</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新闻采访、脱贫攻坚</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0.16</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0.14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46.67</w:t>
      </w:r>
      <w:r>
        <w:rPr>
          <w:rFonts w:ascii="仿宋_GB2312" w:eastAsia="仿宋_GB2312"/>
          <w:color w:val="000000"/>
          <w:sz w:val="32"/>
          <w:szCs w:val="32"/>
        </w:rPr>
        <w:t>%</w:t>
      </w:r>
      <w:r>
        <w:rPr>
          <w:rFonts w:hint="eastAsia" w:ascii="仿宋_GB2312" w:eastAsia="仿宋_GB2312"/>
          <w:color w:val="000000"/>
          <w:sz w:val="32"/>
          <w:szCs w:val="32"/>
        </w:rPr>
        <w:t>。主要原因是厉行节约，规范开支。</w:t>
      </w:r>
    </w:p>
    <w:p>
      <w:pPr>
        <w:spacing w:line="600" w:lineRule="exact"/>
        <w:ind w:firstLine="640"/>
        <w:rPr>
          <w:rFonts w:ascii="黑体" w:eastAsia="黑体"/>
          <w:color w:val="FF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0.16</w:t>
      </w:r>
      <w:r>
        <w:rPr>
          <w:rFonts w:hint="eastAsia" w:ascii="仿宋_GB2312" w:eastAsia="仿宋_GB2312"/>
          <w:color w:val="000000"/>
          <w:sz w:val="32"/>
          <w:szCs w:val="32"/>
        </w:rPr>
        <w:t>万元，主要用于执行公务、开展业务活动开支的交通费、住宿费、用餐费等。</w:t>
      </w:r>
      <w:r>
        <w:rPr>
          <w:rFonts w:hint="eastAsia" w:ascii="仿宋_GB2312" w:eastAsia="仿宋_GB2312"/>
          <w:color w:val="auto"/>
          <w:sz w:val="32"/>
          <w:szCs w:val="32"/>
        </w:rPr>
        <w:t>国内公务接待</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28</w:t>
      </w:r>
      <w:r>
        <w:rPr>
          <w:rFonts w:hint="eastAsia" w:ascii="仿宋_GB2312" w:eastAsia="仿宋_GB2312"/>
          <w:color w:val="auto"/>
          <w:sz w:val="32"/>
          <w:szCs w:val="32"/>
        </w:rPr>
        <w:t>人次，共计支出0.</w:t>
      </w:r>
      <w:r>
        <w:rPr>
          <w:rFonts w:hint="eastAsia" w:ascii="仿宋_GB2312" w:eastAsia="仿宋_GB2312"/>
          <w:color w:val="auto"/>
          <w:sz w:val="32"/>
          <w:szCs w:val="32"/>
          <w:lang w:val="en-US" w:eastAsia="zh-CN"/>
        </w:rPr>
        <w:t>16</w:t>
      </w:r>
      <w:r>
        <w:rPr>
          <w:rFonts w:hint="eastAsia" w:ascii="仿宋_GB2312" w:eastAsia="仿宋_GB2312"/>
          <w:color w:val="auto"/>
          <w:sz w:val="32"/>
          <w:szCs w:val="32"/>
        </w:rPr>
        <w:t>万元，具体内容包括：省州媒体采访及上级部门调研等。</w:t>
      </w:r>
      <w:bookmarkStart w:id="75" w:name="_Toc15396610"/>
      <w:bookmarkStart w:id="76" w:name="_Toc15377218"/>
    </w:p>
    <w:p>
      <w:pPr>
        <w:spacing w:line="600" w:lineRule="exact"/>
        <w:ind w:firstLine="640"/>
        <w:outlineLvl w:val="1"/>
        <w:rPr>
          <w:rStyle w:val="27"/>
          <w:rFonts w:ascii="黑体" w:hAnsi="黑体" w:eastAsia="黑体"/>
        </w:rPr>
      </w:pPr>
      <w:bookmarkStart w:id="77" w:name="_Toc24202"/>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75"/>
      <w:bookmarkEnd w:id="76"/>
      <w:bookmarkEnd w:id="7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7"/>
          <w:rFonts w:ascii="黑体" w:hAnsi="黑体" w:eastAsia="黑体"/>
          <w:b w:val="0"/>
        </w:rPr>
      </w:pPr>
      <w:bookmarkStart w:id="78" w:name="_Toc15377219"/>
      <w:bookmarkStart w:id="79" w:name="_Toc5811"/>
      <w:bookmarkStart w:id="80" w:name="_Toc15396611"/>
      <w:r>
        <w:rPr>
          <w:rStyle w:val="27"/>
          <w:rFonts w:hint="eastAsia" w:ascii="黑体" w:hAnsi="黑体" w:eastAsia="黑体"/>
          <w:b w:val="0"/>
        </w:rPr>
        <w:t>国有资本经营预算支出决算情况说明</w:t>
      </w:r>
      <w:bookmarkEnd w:id="78"/>
      <w:bookmarkEnd w:id="79"/>
      <w:bookmarkEnd w:id="80"/>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7"/>
          <w:rFonts w:ascii="黑体" w:hAnsi="黑体" w:eastAsia="黑体"/>
        </w:rPr>
      </w:pPr>
      <w:bookmarkStart w:id="81" w:name="_Toc15377221"/>
      <w:bookmarkStart w:id="82" w:name="_Toc15396612"/>
      <w:bookmarkStart w:id="83" w:name="_Toc20358"/>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81"/>
      <w:bookmarkEnd w:id="82"/>
      <w:bookmarkEnd w:id="83"/>
    </w:p>
    <w:p>
      <w:pPr>
        <w:spacing w:line="600" w:lineRule="exact"/>
        <w:ind w:firstLine="643" w:firstLineChars="200"/>
        <w:outlineLvl w:val="2"/>
        <w:rPr>
          <w:rFonts w:ascii="仿宋" w:hAnsi="仿宋" w:eastAsia="仿宋"/>
          <w:color w:val="000000"/>
          <w:sz w:val="32"/>
          <w:szCs w:val="32"/>
        </w:rPr>
      </w:pPr>
      <w:bookmarkStart w:id="84" w:name="_Toc18783"/>
      <w:bookmarkStart w:id="85" w:name="_Toc15377222"/>
      <w:bookmarkStart w:id="86" w:name="_Toc19086"/>
      <w:r>
        <w:rPr>
          <w:rFonts w:hint="eastAsia" w:ascii="仿宋" w:hAnsi="仿宋" w:eastAsia="仿宋"/>
          <w:b/>
          <w:color w:val="000000"/>
          <w:sz w:val="32"/>
          <w:szCs w:val="32"/>
        </w:rPr>
        <w:t>（一）机关运行经费支出情况</w:t>
      </w:r>
      <w:bookmarkEnd w:id="84"/>
      <w:bookmarkEnd w:id="85"/>
      <w:bookmarkEnd w:id="86"/>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红原县委宣传部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28.79</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32.10万元</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3.31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10.31</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人员减少。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7" w:name="_Toc2791"/>
      <w:bookmarkStart w:id="88" w:name="_Toc22286"/>
      <w:bookmarkStart w:id="89" w:name="_Toc15377223"/>
      <w:r>
        <w:rPr>
          <w:rFonts w:hint="eastAsia" w:ascii="仿宋" w:hAnsi="仿宋" w:eastAsia="仿宋"/>
          <w:b/>
          <w:color w:val="000000"/>
          <w:sz w:val="32"/>
          <w:szCs w:val="32"/>
        </w:rPr>
        <w:t>（二）政府采购支出情况</w:t>
      </w:r>
      <w:bookmarkEnd w:id="87"/>
      <w:bookmarkEnd w:id="88"/>
      <w:bookmarkEnd w:id="8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红原县委宣传部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文化扶贫支出</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0" w:name="_Toc15377224"/>
      <w:bookmarkStart w:id="91" w:name="_Toc11813"/>
      <w:bookmarkStart w:id="92" w:name="_Toc19427"/>
      <w:r>
        <w:rPr>
          <w:rFonts w:hint="eastAsia" w:ascii="仿宋" w:hAnsi="仿宋" w:eastAsia="仿宋"/>
          <w:b/>
          <w:color w:val="000000"/>
          <w:sz w:val="32"/>
          <w:szCs w:val="32"/>
        </w:rPr>
        <w:t>（三）国有资产占有使用情况</w:t>
      </w:r>
      <w:bookmarkEnd w:id="90"/>
      <w:bookmarkEnd w:id="91"/>
      <w:bookmarkEnd w:id="9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红原县委宣传部</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其他用车主要是用于</w:t>
      </w:r>
      <w:r>
        <w:rPr>
          <w:rFonts w:hint="eastAsia" w:ascii="仿宋_GB2312" w:eastAsia="仿宋_GB2312"/>
          <w:color w:val="000000"/>
          <w:sz w:val="32"/>
          <w:szCs w:val="32"/>
          <w:lang w:eastAsia="zh-CN"/>
        </w:rPr>
        <w:t>新闻采访、脱贫攻坚</w:t>
      </w:r>
      <w:r>
        <w:rPr>
          <w:rFonts w:hint="eastAsia" w:ascii="仿宋_GB2312" w:eastAsia="仿宋_GB2312"/>
          <w:color w:val="000000"/>
          <w:sz w:val="32"/>
          <w:szCs w:val="32"/>
        </w:rPr>
        <w:t>等</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3" w:name="_Toc31626"/>
      <w:bookmarkStart w:id="94" w:name="_Toc22499"/>
      <w:r>
        <w:rPr>
          <w:rFonts w:hint="eastAsia" w:ascii="仿宋" w:hAnsi="仿宋" w:eastAsia="仿宋"/>
          <w:b/>
          <w:color w:val="000000"/>
          <w:sz w:val="32"/>
          <w:szCs w:val="32"/>
        </w:rPr>
        <w:t>（四）预算绩效管理情况。</w:t>
      </w:r>
      <w:bookmarkEnd w:id="93"/>
      <w:bookmarkEnd w:id="94"/>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auto"/>
          <w:sz w:val="32"/>
          <w:szCs w:val="32"/>
        </w:rPr>
        <w:t>根据预算绩效管理要求，本部门（单位）在年初预算编制阶段，组织对</w:t>
      </w:r>
      <w:r>
        <w:rPr>
          <w:rFonts w:hint="eastAsia" w:ascii="仿宋_GB2312" w:hAnsi="仿宋_GB2312" w:eastAsia="仿宋_GB2312" w:cs="仿宋_GB2312"/>
          <w:color w:val="auto"/>
          <w:sz w:val="32"/>
          <w:szCs w:val="32"/>
          <w:lang w:val="en-US" w:eastAsia="zh-CN"/>
        </w:rPr>
        <w:t>4个</w:t>
      </w:r>
      <w:r>
        <w:rPr>
          <w:rFonts w:hint="eastAsia" w:ascii="仿宋_GB2312" w:hAnsi="仿宋_GB2312" w:eastAsia="仿宋_GB2312" w:cs="仿宋_GB2312"/>
          <w:color w:val="auto"/>
          <w:sz w:val="32"/>
          <w:szCs w:val="32"/>
        </w:rPr>
        <w:t>项目开展了预算事前绩效评估，对</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年部门整体支出开展绩效自评，从评价情况来看红原县委宣传部政拨款支出主要用于保障我部门机构正常运转、完成日常工作任务以及承担本部门事业发展相关工作。 </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基本支出：主要用于我单位正常运转的人员经费支出、日常公用经费支出。主要包括在职人员工资等人员经费以及办公费、差旅费、水电费、交通费、通讯费、办公设备购置等日常公用经费支出。存在的问题：预算编制准确性还需加强，主要是部分经费预算与实际开支存在差额。下一步改进措施：在预算时，深度分析本年经费在使用存在的问题情况，在充分考虑经费使用的效率前提下，并根据下年度工作需要,精细化编制单位预算。</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2、项目支出：本部门还自行组织了</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个项目绩效评价，从评价情况来看主要用</w:t>
      </w:r>
      <w:r>
        <w:rPr>
          <w:rFonts w:hint="eastAsia" w:ascii="仿宋_GB2312" w:hAnsi="仿宋_GB2312" w:eastAsia="仿宋_GB2312" w:cs="仿宋_GB2312"/>
          <w:color w:val="auto"/>
          <w:sz w:val="32"/>
          <w:szCs w:val="32"/>
          <w:lang w:eastAsia="zh-CN"/>
        </w:rPr>
        <w:t>于</w:t>
      </w:r>
      <w:r>
        <w:rPr>
          <w:rFonts w:hint="eastAsia" w:ascii="仿宋_GB2312" w:hAnsi="仿宋_GB2312" w:eastAsia="仿宋_GB2312" w:cs="仿宋_GB2312"/>
          <w:color w:val="auto"/>
          <w:sz w:val="32"/>
          <w:szCs w:val="32"/>
        </w:rPr>
        <w:t>宣传专项业务费、州目标考核奖励、电影放映补助费、出版物印制费,实现规范支出，合理运用，有成效。</w:t>
      </w:r>
    </w:p>
    <w:p>
      <w:pPr>
        <w:spacing w:line="58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color w:val="auto"/>
          <w:sz w:val="32"/>
          <w:szCs w:val="32"/>
        </w:rPr>
        <w:t>根据预算绩效管理要求，本部门（单位）在年初预算编制阶段，组织对</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项目开展了预算事前绩效评估，对</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p>
    <w:p>
      <w:pPr>
        <w:numPr>
          <w:ilvl w:val="0"/>
          <w:numId w:val="4"/>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color w:val="auto"/>
          <w:sz w:val="32"/>
          <w:szCs w:val="32"/>
        </w:rPr>
        <w:t>宣传专项业务费、州目标考核奖励、电影放映补助费、出版物印制费</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个项目绩效目标实际完成情况。</w:t>
      </w:r>
    </w:p>
    <w:p>
      <w:pPr>
        <w:spacing w:line="560" w:lineRule="exact"/>
        <w:ind w:firstLine="64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auto"/>
          <w:sz w:val="32"/>
          <w:szCs w:val="32"/>
        </w:rPr>
        <w:t>宣传专项业务费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6.03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6.03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对外宣传力度进一步加强，红原知名度进一步提升。</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auto"/>
          <w:sz w:val="32"/>
          <w:szCs w:val="32"/>
        </w:rPr>
        <w:t>州目标考核奖励</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机关的正常运行。</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color w:val="auto"/>
          <w:sz w:val="32"/>
          <w:szCs w:val="32"/>
        </w:rPr>
        <w:t>电影放映补助费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2.82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2.82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丰富全县农牧民群众的精神生活，推动文化交流融合发展。</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出版物印制费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18.85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18.85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增强宣传教育实效性，让宣传内容更加入心入脑。</w:t>
      </w: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宣传专项业务费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红原县委宣传部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6.03</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6.03</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项目管理</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资金到位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val="en-US" w:eastAsia="zh-CN" w:bidi="ar"/>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财务管理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财务制度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财务制度</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健全，管理规范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财务制度健全，管理规范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会计核算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会计核算</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会计核算规范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使用范围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资金使用是否合规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资金使用合规</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支付依据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资金支付依据</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符合规定，即支付依旧合规资金量</w:t>
            </w:r>
            <w:r>
              <w:rPr>
                <w:rFonts w:ascii="宋体" w:hAnsi="宋体" w:cs="宋体"/>
                <w:color w:val="000000"/>
                <w:kern w:val="0"/>
                <w:sz w:val="20"/>
                <w:szCs w:val="20"/>
                <w:lang w:bidi="ar"/>
              </w:rPr>
              <w:t>/</w:t>
            </w:r>
            <w:r>
              <w:rPr>
                <w:rFonts w:hint="eastAsia" w:ascii="宋体" w:hAnsi="宋体" w:cs="宋体"/>
                <w:color w:val="000000"/>
                <w:kern w:val="0"/>
                <w:sz w:val="20"/>
                <w:szCs w:val="20"/>
                <w:lang w:bidi="ar"/>
              </w:rPr>
              <w:t>资金总量×</w:t>
            </w:r>
            <w:r>
              <w:rPr>
                <w:rFonts w:ascii="宋体" w:hAnsi="宋体" w:cs="宋体"/>
                <w:color w:val="000000"/>
                <w:kern w:val="0"/>
                <w:sz w:val="20"/>
                <w:szCs w:val="20"/>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资金支付依据符合规定</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开支标准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资金开支标准</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符合规定，即开支标准合规资金量</w:t>
            </w:r>
            <w:r>
              <w:rPr>
                <w:rFonts w:ascii="宋体" w:hAnsi="宋体" w:cs="宋体"/>
                <w:color w:val="000000"/>
                <w:kern w:val="0"/>
                <w:sz w:val="20"/>
                <w:szCs w:val="20"/>
                <w:lang w:bidi="ar"/>
              </w:rPr>
              <w:t>/</w:t>
            </w:r>
            <w:r>
              <w:rPr>
                <w:rFonts w:hint="eastAsia" w:ascii="宋体" w:hAnsi="宋体" w:cs="宋体"/>
                <w:color w:val="000000"/>
                <w:kern w:val="0"/>
                <w:sz w:val="20"/>
                <w:szCs w:val="20"/>
                <w:lang w:bidi="ar"/>
              </w:rPr>
              <w:t>资金总量×</w:t>
            </w:r>
            <w:r>
              <w:rPr>
                <w:rFonts w:ascii="宋体" w:hAnsi="宋体" w:cs="宋体"/>
                <w:color w:val="000000"/>
                <w:kern w:val="0"/>
                <w:sz w:val="20"/>
                <w:szCs w:val="20"/>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资金开支标准符合规定</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Times New Roman" w:cs="宋体"/>
                <w:color w:val="000000"/>
                <w:sz w:val="20"/>
                <w:szCs w:val="20"/>
                <w:lang w:val="en-US" w:eastAsia="zh-CN"/>
              </w:rPr>
              <w:t>进一步加强对外宣传力度，提升红原知名度。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Times New Roman" w:cs="宋体"/>
                <w:color w:val="000000"/>
                <w:sz w:val="20"/>
                <w:szCs w:val="20"/>
                <w:lang w:val="en-US" w:eastAsia="zh-CN"/>
              </w:rPr>
              <w:t>对外宣传力度进一步加强，红原知名度进一步提升。</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cs="宋体"/>
                <w:color w:val="000000"/>
                <w:sz w:val="20"/>
                <w:szCs w:val="20"/>
                <w:lang w:val="en-US" w:eastAsia="zh-CN"/>
              </w:rPr>
              <w:t>干部群众对此项目的满意度基本达到90%以上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cs="宋体"/>
                <w:color w:val="000000"/>
                <w:sz w:val="20"/>
                <w:szCs w:val="20"/>
                <w:lang w:val="en-US" w:eastAsia="zh-CN"/>
              </w:rPr>
              <w:t>干部群众对此项目的满意度基本达到了95%</w:t>
            </w:r>
          </w:p>
        </w:tc>
      </w:tr>
    </w:tbl>
    <w:p>
      <w:pPr>
        <w:spacing w:line="580" w:lineRule="exact"/>
        <w:ind w:left="630"/>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州目标考核奖励</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红原县委宣传部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项目管理</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资金到位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val="en-US" w:eastAsia="zh-CN" w:bidi="ar"/>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财务管理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财务制度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财务制度</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健全，管理规范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财务制度健全，管理规范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会计核算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会计核算</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会计核算规范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使用范围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资金使用是否合规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资金使用合规</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支付依据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资金支付依据</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符合规定，即支付依旧合规资金量</w:t>
            </w:r>
            <w:r>
              <w:rPr>
                <w:rFonts w:ascii="宋体" w:hAnsi="宋体" w:cs="宋体"/>
                <w:color w:val="000000"/>
                <w:kern w:val="0"/>
                <w:sz w:val="20"/>
                <w:szCs w:val="20"/>
                <w:lang w:bidi="ar"/>
              </w:rPr>
              <w:t>/</w:t>
            </w:r>
            <w:r>
              <w:rPr>
                <w:rFonts w:hint="eastAsia" w:ascii="宋体" w:hAnsi="宋体" w:cs="宋体"/>
                <w:color w:val="000000"/>
                <w:kern w:val="0"/>
                <w:sz w:val="20"/>
                <w:szCs w:val="20"/>
                <w:lang w:bidi="ar"/>
              </w:rPr>
              <w:t>资金总量×</w:t>
            </w:r>
            <w:r>
              <w:rPr>
                <w:rFonts w:ascii="宋体" w:hAnsi="宋体" w:cs="宋体"/>
                <w:color w:val="000000"/>
                <w:kern w:val="0"/>
                <w:sz w:val="20"/>
                <w:szCs w:val="20"/>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资金支付依据符合规定</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开支标准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资金开支标准</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符合规定，即开支标准合规资金量</w:t>
            </w:r>
            <w:r>
              <w:rPr>
                <w:rFonts w:ascii="宋体" w:hAnsi="宋体" w:cs="宋体"/>
                <w:color w:val="000000"/>
                <w:kern w:val="0"/>
                <w:sz w:val="20"/>
                <w:szCs w:val="20"/>
                <w:lang w:bidi="ar"/>
              </w:rPr>
              <w:t>/</w:t>
            </w:r>
            <w:r>
              <w:rPr>
                <w:rFonts w:hint="eastAsia" w:ascii="宋体" w:hAnsi="宋体" w:cs="宋体"/>
                <w:color w:val="000000"/>
                <w:kern w:val="0"/>
                <w:sz w:val="20"/>
                <w:szCs w:val="20"/>
                <w:lang w:bidi="ar"/>
              </w:rPr>
              <w:t>资金总量×</w:t>
            </w:r>
            <w:r>
              <w:rPr>
                <w:rFonts w:ascii="宋体" w:hAnsi="宋体" w:cs="宋体"/>
                <w:color w:val="000000"/>
                <w:kern w:val="0"/>
                <w:sz w:val="20"/>
                <w:szCs w:val="20"/>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资金开支标准符合规定</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 更好的宣传党的方针政策，加大视觉形象建设范围，为广大干部群众营造良好的氛围。</w:t>
            </w:r>
          </w:p>
          <w:p>
            <w:pPr>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 更好的宣传党的方针政策，加大视觉形象建设范围，为广大干部群众营造良好的氛围。</w:t>
            </w:r>
          </w:p>
          <w:p>
            <w:pPr>
              <w:jc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cs="宋体"/>
                <w:color w:val="000000"/>
                <w:sz w:val="20"/>
                <w:szCs w:val="20"/>
                <w:lang w:val="en-US" w:eastAsia="zh-CN"/>
              </w:rPr>
              <w:t>干部群众对此项目的满意度基本达到90%以上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cs="宋体"/>
                <w:color w:val="000000"/>
                <w:sz w:val="20"/>
                <w:szCs w:val="20"/>
                <w:lang w:val="en-US" w:eastAsia="zh-CN"/>
              </w:rPr>
              <w:t>干部职工对此项目的满意度基本达到了95%</w:t>
            </w:r>
          </w:p>
        </w:tc>
      </w:tr>
    </w:tbl>
    <w:p>
      <w:pPr>
        <w:spacing w:line="580" w:lineRule="exact"/>
        <w:ind w:left="630"/>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电影放映补助费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红原县委宣传部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2.82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2.82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2.82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2.82</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项目管理</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资金到位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val="en-US" w:eastAsia="zh-CN" w:bidi="ar"/>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财务管理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财务制度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财务制度</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健全，管理规范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财务制度健全，管理规范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会计核算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会计核算</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会计核算规范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使用范围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资金使用是否合规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资金使用合规</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支付依据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资金支付依据</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符合规定，即支付依旧合规资金量</w:t>
            </w:r>
            <w:r>
              <w:rPr>
                <w:rFonts w:ascii="宋体" w:hAnsi="宋体" w:cs="宋体"/>
                <w:color w:val="000000"/>
                <w:kern w:val="0"/>
                <w:sz w:val="20"/>
                <w:szCs w:val="20"/>
                <w:lang w:bidi="ar"/>
              </w:rPr>
              <w:t>/</w:t>
            </w:r>
            <w:r>
              <w:rPr>
                <w:rFonts w:hint="eastAsia" w:ascii="宋体" w:hAnsi="宋体" w:cs="宋体"/>
                <w:color w:val="000000"/>
                <w:kern w:val="0"/>
                <w:sz w:val="20"/>
                <w:szCs w:val="20"/>
                <w:lang w:bidi="ar"/>
              </w:rPr>
              <w:t>资金总量×</w:t>
            </w:r>
            <w:r>
              <w:rPr>
                <w:rFonts w:ascii="宋体" w:hAnsi="宋体" w:cs="宋体"/>
                <w:color w:val="000000"/>
                <w:kern w:val="0"/>
                <w:sz w:val="20"/>
                <w:szCs w:val="20"/>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资金支付依据符合规定</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开支标准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资金开支标准</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符合规定，即开支标准合规资金量</w:t>
            </w:r>
            <w:r>
              <w:rPr>
                <w:rFonts w:ascii="宋体" w:hAnsi="宋体" w:cs="宋体"/>
                <w:color w:val="000000"/>
                <w:kern w:val="0"/>
                <w:sz w:val="20"/>
                <w:szCs w:val="20"/>
                <w:lang w:bidi="ar"/>
              </w:rPr>
              <w:t>/</w:t>
            </w:r>
            <w:r>
              <w:rPr>
                <w:rFonts w:hint="eastAsia" w:ascii="宋体" w:hAnsi="宋体" w:cs="宋体"/>
                <w:color w:val="000000"/>
                <w:kern w:val="0"/>
                <w:sz w:val="20"/>
                <w:szCs w:val="20"/>
                <w:lang w:bidi="ar"/>
              </w:rPr>
              <w:t>资金总量×</w:t>
            </w:r>
            <w:r>
              <w:rPr>
                <w:rFonts w:ascii="宋体" w:hAnsi="宋体" w:cs="宋体"/>
                <w:color w:val="000000"/>
                <w:kern w:val="0"/>
                <w:sz w:val="20"/>
                <w:szCs w:val="20"/>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资金开支标准符合规定</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Times New Roman" w:cs="宋体"/>
                <w:color w:val="000000"/>
                <w:sz w:val="20"/>
                <w:szCs w:val="20"/>
                <w:lang w:val="en-US" w:eastAsia="zh-CN"/>
              </w:rPr>
              <w:t>丰富全县农牧民群众的精神生活，推动文化交流融合发展。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Times New Roman" w:cs="宋体"/>
                <w:color w:val="000000"/>
                <w:sz w:val="20"/>
                <w:szCs w:val="20"/>
                <w:lang w:val="en-US" w:eastAsia="zh-CN"/>
              </w:rPr>
              <w:t>丰富全县农牧民群众的精神生活，推动文化交流融合发展。</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cs="宋体"/>
                <w:color w:val="000000"/>
                <w:sz w:val="20"/>
                <w:szCs w:val="20"/>
                <w:lang w:val="en-US" w:eastAsia="zh-CN"/>
              </w:rPr>
              <w:t>农牧民群众对此项目的满意度基本达到90%以上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cs="宋体"/>
                <w:color w:val="000000"/>
                <w:sz w:val="20"/>
                <w:szCs w:val="20"/>
                <w:lang w:val="en-US" w:eastAsia="zh-CN"/>
              </w:rPr>
              <w:t>农牧民群众对此项目的满意度基本达到了95%</w:t>
            </w:r>
          </w:p>
        </w:tc>
      </w:tr>
    </w:tbl>
    <w:p>
      <w:pPr>
        <w:pStyle w:val="2"/>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出版物印制费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红原县委宣传部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18.85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18.85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18.85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18.85</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项目管理</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资金到位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val="en-US" w:eastAsia="zh-CN" w:bidi="ar"/>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财务管理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财务制度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财务制度</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健全，管理规范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财务制度健全，管理规范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会计核算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会计核算</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会计核算规范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使用范围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资金使用是否合规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资金使用合规</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支付依据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资金支付依据</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符合规定，即支付依旧合规资金量</w:t>
            </w:r>
            <w:r>
              <w:rPr>
                <w:rFonts w:ascii="宋体" w:hAnsi="宋体" w:cs="宋体"/>
                <w:color w:val="000000"/>
                <w:kern w:val="0"/>
                <w:sz w:val="20"/>
                <w:szCs w:val="20"/>
                <w:lang w:bidi="ar"/>
              </w:rPr>
              <w:t>/</w:t>
            </w:r>
            <w:r>
              <w:rPr>
                <w:rFonts w:hint="eastAsia" w:ascii="宋体" w:hAnsi="宋体" w:cs="宋体"/>
                <w:color w:val="000000"/>
                <w:kern w:val="0"/>
                <w:sz w:val="20"/>
                <w:szCs w:val="20"/>
                <w:lang w:bidi="ar"/>
              </w:rPr>
              <w:t>资金总量×</w:t>
            </w:r>
            <w:r>
              <w:rPr>
                <w:rFonts w:ascii="宋体" w:hAnsi="宋体" w:cs="宋体"/>
                <w:color w:val="000000"/>
                <w:kern w:val="0"/>
                <w:sz w:val="20"/>
                <w:szCs w:val="20"/>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资金支付依据符合规定</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开支标准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资金开支标准</w:t>
            </w:r>
            <w:r>
              <w:rPr>
                <w:rFonts w:hint="eastAsia" w:ascii="宋体" w:hAnsi="宋体" w:cs="宋体"/>
                <w:color w:val="000000"/>
                <w:kern w:val="0"/>
                <w:sz w:val="20"/>
                <w:szCs w:val="20"/>
                <w:lang w:eastAsia="zh-CN" w:bidi="ar"/>
              </w:rPr>
              <w:t>是否</w:t>
            </w:r>
            <w:r>
              <w:rPr>
                <w:rFonts w:hint="eastAsia" w:ascii="宋体" w:hAnsi="宋体" w:cs="宋体"/>
                <w:color w:val="000000"/>
                <w:kern w:val="0"/>
                <w:sz w:val="20"/>
                <w:szCs w:val="20"/>
                <w:lang w:bidi="ar"/>
              </w:rPr>
              <w:t>符合规定，即开支标准合规资金量</w:t>
            </w:r>
            <w:r>
              <w:rPr>
                <w:rFonts w:ascii="宋体" w:hAnsi="宋体" w:cs="宋体"/>
                <w:color w:val="000000"/>
                <w:kern w:val="0"/>
                <w:sz w:val="20"/>
                <w:szCs w:val="20"/>
                <w:lang w:bidi="ar"/>
              </w:rPr>
              <w:t>/</w:t>
            </w:r>
            <w:r>
              <w:rPr>
                <w:rFonts w:hint="eastAsia" w:ascii="宋体" w:hAnsi="宋体" w:cs="宋体"/>
                <w:color w:val="000000"/>
                <w:kern w:val="0"/>
                <w:sz w:val="20"/>
                <w:szCs w:val="20"/>
                <w:lang w:bidi="ar"/>
              </w:rPr>
              <w:t>资金总量×</w:t>
            </w:r>
            <w:r>
              <w:rPr>
                <w:rFonts w:ascii="宋体" w:hAnsi="宋体" w:cs="宋体"/>
                <w:color w:val="000000"/>
                <w:kern w:val="0"/>
                <w:sz w:val="20"/>
                <w:szCs w:val="20"/>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资金开支标准符合规定</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Times New Roman" w:cs="宋体"/>
                <w:color w:val="000000"/>
                <w:sz w:val="20"/>
                <w:szCs w:val="20"/>
                <w:lang w:val="en-US" w:eastAsia="zh-CN"/>
              </w:rPr>
              <w:t>增强宣传教育实效性，让宣传内容更加入心入脑。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Times New Roman" w:cs="宋体"/>
                <w:color w:val="000000"/>
                <w:sz w:val="20"/>
                <w:szCs w:val="20"/>
                <w:lang w:val="en-US" w:eastAsia="zh-CN"/>
              </w:rPr>
              <w:t>增强宣传教育实效性，让宣传内容更加入心入脑。。</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cs="宋体"/>
                <w:color w:val="000000"/>
                <w:sz w:val="20"/>
                <w:szCs w:val="20"/>
                <w:lang w:val="en-US" w:eastAsia="zh-CN"/>
              </w:rPr>
              <w:t>干部群众对此项目的满意度基本达到90%以上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cs="宋体"/>
                <w:color w:val="000000"/>
                <w:sz w:val="20"/>
                <w:szCs w:val="20"/>
                <w:lang w:val="en-US" w:eastAsia="zh-CN"/>
              </w:rPr>
              <w:t>干部群众对此项目的满意度基本达到了95%</w:t>
            </w:r>
          </w:p>
        </w:tc>
      </w:tr>
    </w:tbl>
    <w:p>
      <w:pPr>
        <w:pStyle w:val="2"/>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红原县委宣传部</w:t>
      </w:r>
      <w:r>
        <w:rPr>
          <w:rFonts w:hint="eastAsia" w:ascii="仿宋_GB2312" w:hAnsi="仿宋_GB2312" w:eastAsia="仿宋_GB2312" w:cs="仿宋_GB2312"/>
          <w:sz w:val="32"/>
          <w:szCs w:val="32"/>
        </w:rPr>
        <w:t>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color w:val="auto"/>
          <w:sz w:val="32"/>
          <w:szCs w:val="32"/>
        </w:rPr>
        <w:t>宣传专项业务费、州目标考核奖励、电影放映补助费、出版物印制费</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color w:val="auto"/>
          <w:sz w:val="32"/>
          <w:szCs w:val="32"/>
        </w:rPr>
        <w:t>宣传专项业务费</w:t>
      </w:r>
      <w:r>
        <w:rPr>
          <w:rFonts w:hint="eastAsia" w:ascii="仿宋_GB2312" w:hAnsi="仿宋_GB2312" w:eastAsia="仿宋_GB2312" w:cs="仿宋_GB2312"/>
          <w:sz w:val="32"/>
          <w:szCs w:val="32"/>
        </w:rPr>
        <w:t>项目2019年绩效评价报告》见附件（附件2）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州目标考核奖励</w:t>
      </w:r>
      <w:r>
        <w:rPr>
          <w:rFonts w:hint="eastAsia" w:ascii="仿宋_GB2312" w:hAnsi="仿宋_GB2312" w:eastAsia="仿宋_GB2312" w:cs="仿宋_GB2312"/>
          <w:sz w:val="32"/>
          <w:szCs w:val="32"/>
        </w:rPr>
        <w:t>项目2019年绩效评价报告》见附件（附件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电影放映补助费</w:t>
      </w:r>
      <w:r>
        <w:rPr>
          <w:rFonts w:hint="eastAsia" w:ascii="仿宋_GB2312" w:hAnsi="仿宋_GB2312" w:eastAsia="仿宋_GB2312" w:cs="仿宋_GB2312"/>
          <w:sz w:val="32"/>
          <w:szCs w:val="32"/>
        </w:rPr>
        <w:t>项目2019年绩效评价报告》见附件（附件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出版物印制费</w:t>
      </w:r>
      <w:r>
        <w:rPr>
          <w:rFonts w:hint="eastAsia" w:ascii="仿宋_GB2312" w:hAnsi="仿宋_GB2312" w:eastAsia="仿宋_GB2312" w:cs="仿宋_GB2312"/>
          <w:sz w:val="32"/>
          <w:szCs w:val="32"/>
        </w:rPr>
        <w:t>项目2019年绩效评价报告》见附件（附件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6"/>
          <w:rFonts w:ascii="黑体" w:hAnsi="黑体" w:eastAsia="黑体"/>
          <w:b w:val="0"/>
        </w:rPr>
      </w:pPr>
      <w:bookmarkStart w:id="95" w:name="_Toc32019"/>
      <w:bookmarkStart w:id="96" w:name="_Toc15377225"/>
      <w:bookmarkStart w:id="97"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95"/>
      <w:bookmarkEnd w:id="96"/>
      <w:bookmarkEnd w:id="97"/>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9.201301行政运行：指行政单位（包括实行公务员管理的事业单位）的基本支出。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10.2110105一般行政管理事务:指反映行政单位(包括实行公务员管理的事业单位)未单独设置项级科目的其他项目支出.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11.2013350事业运行:指反映事业单位的基本支出,不包括行政单位(包括实行公务员管理的事业单位)后勤服务中心、医务室等附属事业单位。</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12.社会保障和就业（类）行政事业单位退休（款）机关事业单位基本养老保险缴费支出（项）：指部门实施养老保险制度由单位缴纳的养老保险费的支出。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13.社会保障和就业（类）行政事业单位退休（款）机关事业单位职业年金缴费支出（项）：指部门实施养老保险制度由单位缴纳的职业年金的支出。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14. 2101101</w:t>
      </w:r>
      <w:r>
        <w:rPr>
          <w:rFonts w:hint="eastAsia" w:ascii="仿宋_GB2312" w:eastAsia="仿宋_GB2312"/>
          <w:sz w:val="32"/>
          <w:szCs w:val="32"/>
        </w:rPr>
        <w:tab/>
      </w:r>
      <w:r>
        <w:rPr>
          <w:rFonts w:hint="eastAsia" w:ascii="仿宋_GB2312" w:eastAsia="仿宋_GB2312"/>
          <w:sz w:val="32"/>
          <w:szCs w:val="32"/>
        </w:rPr>
        <w:t>行政单位医疗：指行政事业单位医疗方面的支出。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15. 2101102事业单位医疗：指事业单位医疗方面的支出。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16. 2101103公务员医疗补助：指为行政单位提供医疗服务。</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17. 210119其他行政事业单位医疗支出：指用于医疗卫生与计划生育管理方面支出。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18 .2070199其他文化支出:指用于其他文化方面的支出。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19.2079902宣传文化发展专项支出:指为宣传文化经济政策,支持宣传文化单位发展,繁荣社会主义宣传文化事业,加强社会主义宣传文化事业支出。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 2210201住房公积金：指指反映行政事业单位按人力资源和社会保障部、财政部规定的基本工资和津贴补贴以及规定比例为职工缴纳的住房公积金。</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21.基本支出：指为保障机构正常运转、完成日常工作任务而发生的人员支出和公用支出。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22.项目支出：指在基本支出之外为完成特定行政任务和事业发展目标所发生的支出。 </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23.经营支出：指事业单位在专业业务活动及其辅助活动之外开展非独立核算经营活动发生的支出。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ascii="黑体" w:hAnsi="黑体" w:eastAsia="黑体"/>
          <w:b w:val="0"/>
        </w:rPr>
      </w:pPr>
      <w:bookmarkStart w:id="98" w:name="_Toc15377226"/>
      <w:r>
        <w:rPr>
          <w:rFonts w:ascii="宋体"/>
          <w:b/>
          <w:color w:val="000000"/>
          <w:sz w:val="44"/>
          <w:szCs w:val="44"/>
        </w:rPr>
        <w:br w:type="page"/>
      </w:r>
      <w:bookmarkStart w:id="99" w:name="_Toc15396614"/>
      <w:bookmarkStart w:id="100" w:name="_Toc14476"/>
      <w:r>
        <w:rPr>
          <w:rFonts w:hint="eastAsia" w:ascii="黑体" w:hAnsi="黑体" w:eastAsia="黑体"/>
          <w:color w:val="000000"/>
          <w:sz w:val="44"/>
          <w:szCs w:val="44"/>
        </w:rPr>
        <w:t>第</w:t>
      </w:r>
      <w:r>
        <w:rPr>
          <w:rStyle w:val="26"/>
          <w:rFonts w:hint="eastAsia" w:ascii="黑体" w:hAnsi="黑体" w:eastAsia="黑体"/>
          <w:b w:val="0"/>
        </w:rPr>
        <w:t>四部分 附件</w:t>
      </w:r>
      <w:bookmarkEnd w:id="99"/>
      <w:bookmarkEnd w:id="100"/>
    </w:p>
    <w:p>
      <w:pPr>
        <w:pStyle w:val="5"/>
        <w:bidi w:val="0"/>
        <w:rPr>
          <w:rFonts w:ascii="方正小标宋简体" w:hAnsi="方正小标宋简体" w:eastAsia="方正小标宋简体" w:cs="方正小标宋简体"/>
          <w:b w:val="0"/>
          <w:bCs w:val="0"/>
          <w:sz w:val="44"/>
          <w:szCs w:val="44"/>
        </w:rPr>
      </w:pPr>
      <w:bookmarkStart w:id="101" w:name="_Toc5424"/>
      <w:r>
        <w:rPr>
          <w:rFonts w:hint="eastAsia"/>
          <w:b w:val="0"/>
          <w:bCs w:val="0"/>
          <w:lang w:val="en-US" w:eastAsia="zh-CN"/>
        </w:rPr>
        <w:t>附件1</w:t>
      </w:r>
      <w:bookmarkEnd w:id="101"/>
    </w:p>
    <w:p>
      <w:pPr>
        <w:spacing w:line="600" w:lineRule="exact"/>
        <w:jc w:val="center"/>
        <w:rPr>
          <w:rFonts w:hint="eastAsia" w:ascii="方正小标宋简体" w:hAnsi="宋体" w:eastAsia="方正小标宋简体"/>
          <w:color w:val="000000"/>
          <w:kern w:val="0"/>
          <w:sz w:val="40"/>
          <w:szCs w:val="44"/>
          <w:lang w:eastAsia="zh-CN"/>
        </w:rPr>
      </w:pPr>
      <w:r>
        <w:rPr>
          <w:rFonts w:hint="eastAsia" w:ascii="方正小标宋简体" w:hAnsi="宋体" w:eastAsia="方正小标宋简体"/>
          <w:color w:val="000000"/>
          <w:kern w:val="0"/>
          <w:sz w:val="40"/>
          <w:szCs w:val="44"/>
          <w:lang w:eastAsia="zh-CN"/>
        </w:rPr>
        <w:t>红原县委宣传部</w:t>
      </w:r>
    </w:p>
    <w:p>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60" w:lineRule="exact"/>
        <w:ind w:firstLine="640" w:firstLineChars="200"/>
        <w:jc w:val="left"/>
        <w:rPr>
          <w:rFonts w:hint="eastAsia" w:ascii="黑体" w:hAnsi="宋体" w:eastAsia="黑体" w:cs="宋体"/>
          <w:color w:val="000000"/>
          <w:kern w:val="0"/>
          <w:sz w:val="32"/>
          <w:szCs w:val="32"/>
          <w:lang w:val="zh-CN"/>
        </w:rPr>
      </w:pPr>
      <w:r>
        <w:rPr>
          <w:rFonts w:hint="eastAsia" w:ascii="黑体" w:hAnsi="宋体" w:eastAsia="黑体" w:cs="宋体"/>
          <w:color w:val="000000"/>
          <w:kern w:val="0"/>
          <w:sz w:val="32"/>
          <w:szCs w:val="32"/>
          <w:lang w:val="zh-CN"/>
        </w:rPr>
        <w:t>一、部门（单位）概况</w:t>
      </w:r>
    </w:p>
    <w:p>
      <w:pPr>
        <w:widowControl/>
        <w:adjustRightInd w:val="0"/>
        <w:snapToGrid w:val="0"/>
        <w:spacing w:line="560" w:lineRule="exact"/>
        <w:ind w:firstLine="643"/>
        <w:rPr>
          <w:rFonts w:hint="eastAsia" w:ascii="楷体" w:hAnsi="楷体" w:eastAsia="楷体" w:cs="楷体"/>
          <w:b/>
          <w:bCs/>
          <w:kern w:val="0"/>
          <w:sz w:val="32"/>
          <w:szCs w:val="40"/>
          <w:lang w:val="zh-CN"/>
        </w:rPr>
      </w:pPr>
      <w:r>
        <w:rPr>
          <w:rFonts w:hint="eastAsia" w:ascii="楷体" w:hAnsi="楷体" w:eastAsia="楷体" w:cs="楷体"/>
          <w:b/>
          <w:bCs/>
          <w:kern w:val="0"/>
          <w:sz w:val="32"/>
          <w:szCs w:val="40"/>
          <w:lang w:val="zh-CN"/>
        </w:rPr>
        <w:t>（一）机构组成。</w:t>
      </w:r>
    </w:p>
    <w:p>
      <w:pPr>
        <w:spacing w:line="560" w:lineRule="exact"/>
        <w:ind w:firstLine="960" w:firstLineChars="300"/>
        <w:rPr>
          <w:rFonts w:hint="eastAsia" w:ascii="仿宋_GB2312" w:hAnsi="Times New Roman" w:eastAsia="仿宋_GB2312" w:cs="Times New Roman"/>
          <w:bCs/>
          <w:color w:val="auto"/>
          <w:kern w:val="0"/>
          <w:sz w:val="32"/>
          <w:szCs w:val="24"/>
          <w:lang w:val="zh-CN" w:eastAsia="zh-CN" w:bidi="ar-SA"/>
        </w:rPr>
      </w:pPr>
      <w:r>
        <w:rPr>
          <w:rFonts w:hint="eastAsia" w:ascii="仿宋_GB2312" w:hAnsi="Times New Roman" w:eastAsia="仿宋_GB2312" w:cs="Times New Roman"/>
          <w:bCs/>
          <w:color w:val="auto"/>
          <w:kern w:val="0"/>
          <w:sz w:val="32"/>
          <w:szCs w:val="24"/>
          <w:lang w:val="en-US" w:eastAsia="zh-CN" w:bidi="ar-SA"/>
        </w:rPr>
        <w:t>红原县委宣传部现有行</w:t>
      </w:r>
      <w:r>
        <w:rPr>
          <w:rFonts w:hint="eastAsia" w:ascii="仿宋_GB2312" w:eastAsia="仿宋_GB2312" w:cs="Times New Roman"/>
          <w:bCs/>
          <w:color w:val="auto"/>
          <w:kern w:val="0"/>
          <w:sz w:val="32"/>
          <w:szCs w:val="24"/>
          <w:lang w:val="en-US" w:eastAsia="zh-CN" w:bidi="ar-SA"/>
        </w:rPr>
        <w:t>政</w:t>
      </w:r>
      <w:r>
        <w:rPr>
          <w:rFonts w:hint="eastAsia" w:ascii="仿宋_GB2312" w:hAnsi="Times New Roman" w:eastAsia="仿宋_GB2312" w:cs="Times New Roman"/>
          <w:bCs/>
          <w:color w:val="auto"/>
          <w:kern w:val="0"/>
          <w:sz w:val="32"/>
          <w:szCs w:val="24"/>
          <w:lang w:val="en-US" w:eastAsia="zh-CN" w:bidi="ar-SA"/>
        </w:rPr>
        <w:t>办公室、</w:t>
      </w:r>
      <w:r>
        <w:rPr>
          <w:rFonts w:hint="eastAsia" w:ascii="仿宋_GB2312" w:eastAsia="仿宋_GB2312" w:cs="Times New Roman"/>
          <w:bCs/>
          <w:color w:val="auto"/>
          <w:kern w:val="0"/>
          <w:sz w:val="32"/>
          <w:szCs w:val="24"/>
          <w:lang w:val="en-US" w:eastAsia="zh-CN" w:bidi="ar-SA"/>
        </w:rPr>
        <w:t>综合股、精神文明办</w:t>
      </w:r>
      <w:r>
        <w:rPr>
          <w:rFonts w:hint="eastAsia" w:ascii="仿宋_GB2312" w:hAnsi="Times New Roman" w:eastAsia="仿宋_GB2312" w:cs="Times New Roman"/>
          <w:bCs/>
          <w:color w:val="auto"/>
          <w:kern w:val="0"/>
          <w:sz w:val="32"/>
          <w:szCs w:val="24"/>
          <w:lang w:val="en-US" w:eastAsia="zh-CN" w:bidi="ar-SA"/>
        </w:rPr>
        <w:t>、</w:t>
      </w:r>
      <w:r>
        <w:rPr>
          <w:rFonts w:hint="eastAsia" w:ascii="仿宋_GB2312" w:eastAsia="仿宋_GB2312" w:cs="Times New Roman"/>
          <w:bCs/>
          <w:color w:val="auto"/>
          <w:kern w:val="0"/>
          <w:sz w:val="32"/>
          <w:szCs w:val="24"/>
          <w:lang w:val="en-US" w:eastAsia="zh-CN" w:bidi="ar-SA"/>
        </w:rPr>
        <w:t>外宣办</w:t>
      </w:r>
      <w:r>
        <w:rPr>
          <w:rFonts w:hint="eastAsia" w:ascii="仿宋_GB2312" w:hAnsi="Times New Roman" w:eastAsia="仿宋_GB2312" w:cs="Times New Roman"/>
          <w:bCs/>
          <w:color w:val="auto"/>
          <w:kern w:val="0"/>
          <w:sz w:val="32"/>
          <w:szCs w:val="24"/>
          <w:lang w:val="en-US" w:eastAsia="zh-CN" w:bidi="ar-SA"/>
        </w:rPr>
        <w:t>共4个内设机构组成。</w:t>
      </w:r>
    </w:p>
    <w:p>
      <w:pPr>
        <w:widowControl/>
        <w:adjustRightInd w:val="0"/>
        <w:snapToGrid w:val="0"/>
        <w:spacing w:line="560" w:lineRule="exact"/>
        <w:ind w:firstLine="643"/>
        <w:rPr>
          <w:rFonts w:hint="eastAsia" w:ascii="楷体" w:hAnsi="楷体" w:eastAsia="楷体" w:cs="楷体"/>
          <w:b/>
          <w:bCs/>
          <w:kern w:val="0"/>
          <w:sz w:val="32"/>
          <w:szCs w:val="40"/>
          <w:lang w:val="zh-CN"/>
        </w:rPr>
      </w:pPr>
      <w:r>
        <w:rPr>
          <w:rFonts w:hint="eastAsia" w:ascii="楷体" w:hAnsi="楷体" w:eastAsia="楷体" w:cs="楷体"/>
          <w:b/>
          <w:bCs/>
          <w:kern w:val="0"/>
          <w:sz w:val="32"/>
          <w:szCs w:val="40"/>
          <w:lang w:val="zh-CN"/>
        </w:rPr>
        <w:t>（二）机构职能。</w:t>
      </w:r>
    </w:p>
    <w:p>
      <w:pPr>
        <w:snapToGrid w:val="0"/>
        <w:spacing w:line="560" w:lineRule="exact"/>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1．主要职能。</w:t>
      </w:r>
    </w:p>
    <w:p>
      <w:pPr>
        <w:pStyle w:val="7"/>
        <w:adjustRightInd w:val="0"/>
        <w:snapToGrid w:val="0"/>
        <w:spacing w:before="93" w:line="560" w:lineRule="exact"/>
        <w:ind w:firstLine="672" w:firstLineChars="21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县委宣传部是县委主管意识形态方面工作的综合职能部门。主要职责是：</w:t>
      </w:r>
    </w:p>
    <w:p>
      <w:pPr>
        <w:pStyle w:val="7"/>
        <w:adjustRightInd w:val="0"/>
        <w:snapToGrid w:val="0"/>
        <w:spacing w:before="93" w:line="560" w:lineRule="exact"/>
        <w:ind w:firstLine="420" w:firstLineChars="0"/>
        <w:rPr>
          <w:bCs/>
          <w:sz w:val="32"/>
        </w:rPr>
      </w:pPr>
      <w:r>
        <w:rPr>
          <w:rFonts w:hint="eastAsia"/>
          <w:bCs/>
          <w:sz w:val="32"/>
        </w:rPr>
        <w:t>（一）负责组织、指导全县的理论研究、理论学习和理论宣传工作。</w:t>
      </w:r>
    </w:p>
    <w:p>
      <w:pPr>
        <w:pStyle w:val="7"/>
        <w:adjustRightInd w:val="0"/>
        <w:snapToGrid w:val="0"/>
        <w:spacing w:before="93" w:line="560" w:lineRule="exact"/>
        <w:ind w:firstLine="420" w:firstLineChars="0"/>
        <w:rPr>
          <w:bCs/>
          <w:sz w:val="32"/>
        </w:rPr>
      </w:pPr>
      <w:r>
        <w:rPr>
          <w:rFonts w:hint="eastAsia"/>
          <w:bCs/>
          <w:sz w:val="32"/>
        </w:rPr>
        <w:t>（二）负责引导社会舆论，指导协调新闻、出版部门的工作。对县广播电视局、县文化体育局、县新闻出版工作实施方案方针政策指导，管理县记者协会，并在政治方向和方针政策方面实施领导。</w:t>
      </w:r>
    </w:p>
    <w:p>
      <w:pPr>
        <w:pStyle w:val="7"/>
        <w:adjustRightInd w:val="0"/>
        <w:snapToGrid w:val="0"/>
        <w:spacing w:before="93" w:line="560" w:lineRule="exact"/>
        <w:ind w:firstLine="420" w:firstLineChars="0"/>
        <w:rPr>
          <w:bCs/>
          <w:sz w:val="32"/>
        </w:rPr>
      </w:pPr>
      <w:r>
        <w:rPr>
          <w:rFonts w:hint="eastAsia"/>
          <w:bCs/>
          <w:sz w:val="32"/>
        </w:rPr>
        <w:t>（四）负责规划、部署全局性的思想政治工作任务，会同有关部门研究和改进群众思想教育工作。</w:t>
      </w:r>
    </w:p>
    <w:p>
      <w:pPr>
        <w:pStyle w:val="7"/>
        <w:adjustRightInd w:val="0"/>
        <w:snapToGrid w:val="0"/>
        <w:spacing w:before="93" w:line="560" w:lineRule="exact"/>
        <w:ind w:firstLine="420" w:firstLineChars="0"/>
        <w:rPr>
          <w:bCs/>
          <w:sz w:val="32"/>
        </w:rPr>
      </w:pPr>
      <w:r>
        <w:rPr>
          <w:rFonts w:hint="eastAsia"/>
          <w:bCs/>
          <w:sz w:val="32"/>
        </w:rPr>
        <w:t>（五）负责指导、协调全县精神文明建设活动的开展。</w:t>
      </w:r>
    </w:p>
    <w:p>
      <w:pPr>
        <w:pStyle w:val="7"/>
        <w:adjustRightInd w:val="0"/>
        <w:snapToGrid w:val="0"/>
        <w:spacing w:before="93" w:line="560" w:lineRule="exact"/>
        <w:ind w:firstLine="420" w:firstLineChars="0"/>
        <w:rPr>
          <w:bCs/>
          <w:sz w:val="32"/>
        </w:rPr>
      </w:pPr>
      <w:r>
        <w:rPr>
          <w:rFonts w:hint="eastAsia"/>
          <w:bCs/>
          <w:sz w:val="32"/>
        </w:rPr>
        <w:t>（六）配合县委组织部做好党员教育工作；负责编审党员教育教材；指导全县党员学习。</w:t>
      </w:r>
    </w:p>
    <w:p>
      <w:pPr>
        <w:pStyle w:val="7"/>
        <w:adjustRightInd w:val="0"/>
        <w:snapToGrid w:val="0"/>
        <w:spacing w:before="93" w:line="560" w:lineRule="exact"/>
        <w:ind w:firstLine="420" w:firstLineChars="0"/>
        <w:rPr>
          <w:bCs/>
          <w:sz w:val="32"/>
        </w:rPr>
      </w:pPr>
      <w:r>
        <w:rPr>
          <w:rFonts w:hint="eastAsia"/>
          <w:bCs/>
          <w:sz w:val="32"/>
        </w:rPr>
        <w:t>（七）负责从宏观上指导全县各级各类学校的德育、政治理论教学和思想政治工作。</w:t>
      </w:r>
    </w:p>
    <w:p>
      <w:pPr>
        <w:pStyle w:val="7"/>
        <w:adjustRightInd w:val="0"/>
        <w:snapToGrid w:val="0"/>
        <w:spacing w:before="93" w:line="560" w:lineRule="exact"/>
        <w:ind w:firstLine="420" w:firstLineChars="0"/>
        <w:rPr>
          <w:bCs/>
          <w:sz w:val="32"/>
        </w:rPr>
      </w:pPr>
      <w:r>
        <w:rPr>
          <w:rFonts w:hint="eastAsia"/>
          <w:bCs/>
          <w:sz w:val="32"/>
        </w:rPr>
        <w:t>（八）负责全县对外和港澳台的宣传工作；指导协调全县对外文化交流工作。</w:t>
      </w:r>
    </w:p>
    <w:p>
      <w:pPr>
        <w:pStyle w:val="7"/>
        <w:adjustRightInd w:val="0"/>
        <w:snapToGrid w:val="0"/>
        <w:spacing w:before="93" w:line="560" w:lineRule="exact"/>
        <w:ind w:firstLine="420" w:firstLineChars="0"/>
        <w:rPr>
          <w:bCs/>
          <w:sz w:val="32"/>
        </w:rPr>
      </w:pPr>
      <w:r>
        <w:rPr>
          <w:rFonts w:hint="eastAsia"/>
          <w:bCs/>
          <w:sz w:val="32"/>
        </w:rPr>
        <w:t>（九）受县委委托，会同县委组织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p>
    <w:p>
      <w:pPr>
        <w:pStyle w:val="7"/>
        <w:adjustRightInd w:val="0"/>
        <w:snapToGrid w:val="0"/>
        <w:spacing w:before="93" w:line="560" w:lineRule="exact"/>
        <w:ind w:firstLine="420" w:firstLineChars="0"/>
        <w:rPr>
          <w:bCs/>
          <w:sz w:val="32"/>
        </w:rPr>
      </w:pPr>
      <w:r>
        <w:rPr>
          <w:rFonts w:hint="eastAsia"/>
          <w:bCs/>
          <w:sz w:val="32"/>
        </w:rPr>
        <w:t>（十）负责提出全县宣传文化事业发展的指导方针；指导宣传文化系统制定政策、法规；按照县委的工作部署，对宣传文化系统各部门之间的工作进行协调。</w:t>
      </w:r>
    </w:p>
    <w:p>
      <w:pPr>
        <w:snapToGrid w:val="0"/>
        <w:spacing w:line="560" w:lineRule="exact"/>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（十一）根据州，县宣传报道要点，组织采写稿件，并向《阿坝日报》、《四川日报》等各级办刊推荐</w:t>
      </w:r>
    </w:p>
    <w:p>
      <w:pPr>
        <w:widowControl/>
        <w:adjustRightInd w:val="0"/>
        <w:snapToGrid w:val="0"/>
        <w:spacing w:line="560" w:lineRule="exact"/>
        <w:ind w:firstLine="643"/>
        <w:rPr>
          <w:rFonts w:hint="eastAsia" w:ascii="楷体" w:hAnsi="楷体" w:eastAsia="楷体" w:cs="楷体"/>
          <w:b/>
          <w:bCs/>
          <w:kern w:val="0"/>
          <w:sz w:val="32"/>
          <w:szCs w:val="40"/>
          <w:lang w:val="zh-CN"/>
        </w:rPr>
      </w:pPr>
      <w:r>
        <w:rPr>
          <w:rFonts w:hint="eastAsia" w:ascii="楷体" w:hAnsi="楷体" w:eastAsia="楷体" w:cs="楷体"/>
          <w:b/>
          <w:bCs/>
          <w:kern w:val="0"/>
          <w:sz w:val="32"/>
          <w:szCs w:val="40"/>
          <w:lang w:val="zh-CN"/>
        </w:rPr>
        <w:t>（三）人员概况。</w:t>
      </w:r>
    </w:p>
    <w:p>
      <w:pPr>
        <w:spacing w:line="560" w:lineRule="exact"/>
        <w:ind w:firstLine="420" w:firstLineChars="0"/>
        <w:rPr>
          <w:rFonts w:hint="eastAsia" w:ascii="仿宋_GB2312" w:hAnsi="Times New Roman" w:eastAsia="仿宋_GB2312" w:cs="Times New Roman"/>
          <w:bCs/>
          <w:color w:val="auto"/>
          <w:kern w:val="0"/>
          <w:sz w:val="32"/>
          <w:szCs w:val="24"/>
          <w:lang w:val="en-US" w:eastAsia="zh-CN" w:bidi="ar-SA"/>
        </w:rPr>
      </w:pPr>
      <w:r>
        <w:rPr>
          <w:rFonts w:hint="eastAsia" w:ascii="仿宋_GB2312" w:hAnsi="Times New Roman" w:eastAsia="仿宋_GB2312" w:cs="Times New Roman"/>
          <w:bCs/>
          <w:color w:val="auto"/>
          <w:kern w:val="0"/>
          <w:sz w:val="32"/>
          <w:szCs w:val="24"/>
          <w:lang w:val="en-US" w:eastAsia="zh-CN" w:bidi="ar-SA"/>
        </w:rPr>
        <w:t>我单位为独立核算全额拨款行政单位。截止201</w:t>
      </w:r>
      <w:r>
        <w:rPr>
          <w:rFonts w:hint="eastAsia" w:ascii="仿宋_GB2312" w:eastAsia="仿宋_GB2312" w:cs="Times New Roman"/>
          <w:bCs/>
          <w:color w:val="auto"/>
          <w:kern w:val="0"/>
          <w:sz w:val="32"/>
          <w:szCs w:val="24"/>
          <w:lang w:val="en-US" w:eastAsia="zh-CN" w:bidi="ar-SA"/>
        </w:rPr>
        <w:t>9</w:t>
      </w:r>
      <w:r>
        <w:rPr>
          <w:rFonts w:hint="eastAsia" w:ascii="仿宋_GB2312" w:hAnsi="Times New Roman" w:eastAsia="仿宋_GB2312" w:cs="Times New Roman"/>
          <w:bCs/>
          <w:color w:val="auto"/>
          <w:kern w:val="0"/>
          <w:sz w:val="32"/>
          <w:szCs w:val="24"/>
          <w:lang w:val="en-US" w:eastAsia="zh-CN" w:bidi="ar-SA"/>
        </w:rPr>
        <w:t>年底我单位共有编制</w:t>
      </w:r>
      <w:r>
        <w:rPr>
          <w:rFonts w:hint="eastAsia" w:ascii="仿宋_GB2312" w:eastAsia="仿宋_GB2312" w:cs="Times New Roman"/>
          <w:bCs/>
          <w:color w:val="auto"/>
          <w:kern w:val="0"/>
          <w:sz w:val="32"/>
          <w:szCs w:val="24"/>
          <w:lang w:val="en-US" w:eastAsia="zh-CN" w:bidi="ar-SA"/>
        </w:rPr>
        <w:t>14</w:t>
      </w:r>
      <w:r>
        <w:rPr>
          <w:rFonts w:hint="eastAsia" w:ascii="仿宋_GB2312" w:hAnsi="Times New Roman" w:eastAsia="仿宋_GB2312" w:cs="Times New Roman"/>
          <w:bCs/>
          <w:color w:val="auto"/>
          <w:kern w:val="0"/>
          <w:sz w:val="32"/>
          <w:szCs w:val="24"/>
          <w:lang w:val="en-US" w:eastAsia="zh-CN" w:bidi="ar-SA"/>
        </w:rPr>
        <w:t>个，其中公务员编制</w:t>
      </w:r>
      <w:r>
        <w:rPr>
          <w:rFonts w:hint="eastAsia" w:ascii="仿宋_GB2312" w:eastAsia="仿宋_GB2312" w:cs="Times New Roman"/>
          <w:bCs/>
          <w:color w:val="auto"/>
          <w:kern w:val="0"/>
          <w:sz w:val="32"/>
          <w:szCs w:val="24"/>
          <w:lang w:val="en-US" w:eastAsia="zh-CN" w:bidi="ar-SA"/>
        </w:rPr>
        <w:t>7</w:t>
      </w:r>
      <w:r>
        <w:rPr>
          <w:rFonts w:hint="eastAsia" w:ascii="仿宋_GB2312" w:hAnsi="Times New Roman" w:eastAsia="仿宋_GB2312" w:cs="Times New Roman"/>
          <w:bCs/>
          <w:color w:val="auto"/>
          <w:kern w:val="0"/>
          <w:sz w:val="32"/>
          <w:szCs w:val="24"/>
          <w:lang w:val="en-US" w:eastAsia="zh-CN" w:bidi="ar-SA"/>
        </w:rPr>
        <w:t>个，行政工勤编制1个，事业编制</w:t>
      </w:r>
      <w:r>
        <w:rPr>
          <w:rFonts w:hint="eastAsia" w:ascii="仿宋_GB2312" w:eastAsia="仿宋_GB2312" w:cs="Times New Roman"/>
          <w:bCs/>
          <w:color w:val="auto"/>
          <w:kern w:val="0"/>
          <w:sz w:val="32"/>
          <w:szCs w:val="24"/>
          <w:lang w:val="en-US" w:eastAsia="zh-CN" w:bidi="ar-SA"/>
        </w:rPr>
        <w:t>6</w:t>
      </w:r>
      <w:r>
        <w:rPr>
          <w:rFonts w:hint="eastAsia" w:ascii="仿宋_GB2312" w:hAnsi="Times New Roman" w:eastAsia="仿宋_GB2312" w:cs="Times New Roman"/>
          <w:bCs/>
          <w:color w:val="auto"/>
          <w:kern w:val="0"/>
          <w:sz w:val="32"/>
          <w:szCs w:val="24"/>
          <w:lang w:val="en-US" w:eastAsia="zh-CN" w:bidi="ar-SA"/>
        </w:rPr>
        <w:t>个，在职</w:t>
      </w:r>
      <w:r>
        <w:rPr>
          <w:rFonts w:hint="eastAsia" w:ascii="仿宋_GB2312" w:eastAsia="仿宋_GB2312" w:cs="Times New Roman"/>
          <w:bCs/>
          <w:color w:val="auto"/>
          <w:kern w:val="0"/>
          <w:sz w:val="32"/>
          <w:szCs w:val="24"/>
          <w:lang w:val="en-US" w:eastAsia="zh-CN" w:bidi="ar-SA"/>
        </w:rPr>
        <w:t>14</w:t>
      </w:r>
      <w:r>
        <w:rPr>
          <w:rFonts w:hint="eastAsia" w:ascii="仿宋_GB2312" w:hAnsi="Times New Roman" w:eastAsia="仿宋_GB2312" w:cs="Times New Roman"/>
          <w:bCs/>
          <w:color w:val="auto"/>
          <w:kern w:val="0"/>
          <w:sz w:val="32"/>
          <w:szCs w:val="24"/>
          <w:lang w:val="en-US" w:eastAsia="zh-CN" w:bidi="ar-SA"/>
        </w:rPr>
        <w:t>人，其中参公0人，公务员7人，行政工勤编制1个，事业编制</w:t>
      </w:r>
      <w:r>
        <w:rPr>
          <w:rFonts w:hint="eastAsia" w:ascii="仿宋_GB2312" w:eastAsia="仿宋_GB2312" w:cs="Times New Roman"/>
          <w:bCs/>
          <w:color w:val="auto"/>
          <w:kern w:val="0"/>
          <w:sz w:val="32"/>
          <w:szCs w:val="24"/>
          <w:lang w:val="en-US" w:eastAsia="zh-CN" w:bidi="ar-SA"/>
        </w:rPr>
        <w:t>6</w:t>
      </w:r>
      <w:r>
        <w:rPr>
          <w:rFonts w:hint="eastAsia" w:ascii="仿宋_GB2312" w:hAnsi="Times New Roman" w:eastAsia="仿宋_GB2312" w:cs="Times New Roman"/>
          <w:bCs/>
          <w:color w:val="auto"/>
          <w:kern w:val="0"/>
          <w:sz w:val="32"/>
          <w:szCs w:val="24"/>
          <w:lang w:val="en-US" w:eastAsia="zh-CN" w:bidi="ar-SA"/>
        </w:rPr>
        <w:t>人。</w:t>
      </w:r>
    </w:p>
    <w:p>
      <w:pPr>
        <w:widowControl/>
        <w:adjustRightInd w:val="0"/>
        <w:snapToGrid w:val="0"/>
        <w:spacing w:line="560" w:lineRule="exact"/>
        <w:ind w:firstLine="640" w:firstLineChars="200"/>
        <w:jc w:val="left"/>
        <w:rPr>
          <w:rFonts w:hint="eastAsia" w:ascii="黑体" w:hAnsi="宋体" w:eastAsia="黑体" w:cs="宋体"/>
          <w:color w:val="000000"/>
          <w:kern w:val="0"/>
          <w:sz w:val="32"/>
          <w:szCs w:val="32"/>
          <w:lang w:val="en-US" w:eastAsia="zh-CN"/>
        </w:rPr>
      </w:pPr>
      <w:r>
        <w:rPr>
          <w:rFonts w:hint="eastAsia" w:ascii="黑体" w:hAnsi="宋体" w:eastAsia="黑体" w:cs="宋体"/>
          <w:color w:val="000000"/>
          <w:kern w:val="0"/>
          <w:sz w:val="32"/>
          <w:szCs w:val="32"/>
          <w:lang w:val="en-US" w:eastAsia="zh-CN"/>
        </w:rPr>
        <w:t>二、部门财政资金收支情况</w:t>
      </w:r>
    </w:p>
    <w:p>
      <w:pPr>
        <w:widowControl/>
        <w:adjustRightInd w:val="0"/>
        <w:snapToGrid w:val="0"/>
        <w:spacing w:line="560" w:lineRule="exact"/>
        <w:ind w:firstLine="643"/>
        <w:rPr>
          <w:rFonts w:hint="eastAsia" w:ascii="楷体" w:hAnsi="楷体" w:eastAsia="楷体" w:cs="楷体"/>
          <w:b/>
          <w:bCs/>
          <w:kern w:val="0"/>
          <w:sz w:val="32"/>
          <w:szCs w:val="40"/>
          <w:lang w:val="zh-CN"/>
        </w:rPr>
      </w:pPr>
      <w:r>
        <w:rPr>
          <w:rFonts w:hint="eastAsia" w:ascii="楷体" w:hAnsi="楷体" w:eastAsia="楷体" w:cs="楷体"/>
          <w:b/>
          <w:bCs/>
          <w:kern w:val="0"/>
          <w:sz w:val="32"/>
          <w:szCs w:val="40"/>
          <w:lang w:val="zh-CN"/>
        </w:rPr>
        <w:t>（一）部门财政资金收入情况。</w:t>
      </w:r>
    </w:p>
    <w:p>
      <w:pPr>
        <w:spacing w:line="560" w:lineRule="exact"/>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年度财政拨款收入总计</w:t>
      </w:r>
      <w:r>
        <w:rPr>
          <w:rFonts w:hint="eastAsia" w:ascii="仿宋_GB2312" w:eastAsia="仿宋_GB2312" w:cs="Times New Roman"/>
          <w:bCs/>
          <w:kern w:val="0"/>
          <w:sz w:val="32"/>
          <w:szCs w:val="24"/>
          <w:lang w:val="en-US" w:eastAsia="zh-CN" w:bidi="ar-SA"/>
        </w:rPr>
        <w:t>449.49</w:t>
      </w:r>
      <w:r>
        <w:rPr>
          <w:rFonts w:hint="eastAsia" w:ascii="仿宋_GB2312" w:hAnsi="Times New Roman" w:eastAsia="仿宋_GB2312" w:cs="Times New Roman"/>
          <w:bCs/>
          <w:kern w:val="0"/>
          <w:sz w:val="32"/>
          <w:szCs w:val="24"/>
          <w:lang w:val="en-US" w:eastAsia="zh-CN" w:bidi="ar-SA"/>
        </w:rPr>
        <w:t>万元,占总收入100%,与201</w:t>
      </w:r>
      <w:r>
        <w:rPr>
          <w:rFonts w:hint="eastAsia" w:ascii="仿宋_GB2312" w:eastAsia="仿宋_GB2312" w:cs="Times New Roman"/>
          <w:bCs/>
          <w:kern w:val="0"/>
          <w:sz w:val="32"/>
          <w:szCs w:val="24"/>
          <w:lang w:val="en-US" w:eastAsia="zh-CN" w:bidi="ar-SA"/>
        </w:rPr>
        <w:t>8</w:t>
      </w:r>
      <w:r>
        <w:rPr>
          <w:rFonts w:hint="eastAsia" w:ascii="仿宋_GB2312" w:hAnsi="Times New Roman" w:eastAsia="仿宋_GB2312" w:cs="Times New Roman"/>
          <w:bCs/>
          <w:kern w:val="0"/>
          <w:sz w:val="32"/>
          <w:szCs w:val="24"/>
          <w:lang w:val="en-US" w:eastAsia="zh-CN" w:bidi="ar-SA"/>
        </w:rPr>
        <w:t>年相比，</w:t>
      </w:r>
      <w:r>
        <w:rPr>
          <w:rFonts w:hint="eastAsia" w:ascii="仿宋_GB2312" w:eastAsia="仿宋_GB2312" w:cs="Times New Roman"/>
          <w:bCs/>
          <w:kern w:val="0"/>
          <w:sz w:val="32"/>
          <w:szCs w:val="24"/>
          <w:lang w:val="en-US" w:eastAsia="zh-CN" w:bidi="ar-SA"/>
        </w:rPr>
        <w:t>减少21.44</w:t>
      </w:r>
      <w:r>
        <w:rPr>
          <w:rFonts w:hint="eastAsia" w:ascii="仿宋_GB2312" w:hAnsi="Times New Roman" w:eastAsia="仿宋_GB2312" w:cs="Times New Roman"/>
          <w:bCs/>
          <w:kern w:val="0"/>
          <w:sz w:val="32"/>
          <w:szCs w:val="24"/>
          <w:lang w:val="en-US" w:eastAsia="zh-CN" w:bidi="ar-SA"/>
        </w:rPr>
        <w:t>万元，</w:t>
      </w:r>
      <w:r>
        <w:rPr>
          <w:rFonts w:hint="eastAsia" w:ascii="仿宋_GB2312" w:eastAsia="仿宋_GB2312" w:cs="Times New Roman"/>
          <w:bCs/>
          <w:kern w:val="0"/>
          <w:sz w:val="32"/>
          <w:szCs w:val="24"/>
          <w:lang w:val="en-US" w:eastAsia="zh-CN" w:bidi="ar-SA"/>
        </w:rPr>
        <w:t>降低4.55</w:t>
      </w:r>
      <w:r>
        <w:rPr>
          <w:rFonts w:hint="eastAsia" w:ascii="仿宋_GB2312" w:hAnsi="Times New Roman" w:eastAsia="仿宋_GB2312" w:cs="Times New Roman"/>
          <w:bCs/>
          <w:kern w:val="0"/>
          <w:sz w:val="32"/>
          <w:szCs w:val="24"/>
          <w:lang w:val="en-US" w:eastAsia="zh-CN" w:bidi="ar-SA"/>
        </w:rPr>
        <w:t>%，增减变动原因是项目资金</w:t>
      </w:r>
      <w:r>
        <w:rPr>
          <w:rFonts w:hint="eastAsia" w:ascii="仿宋_GB2312" w:eastAsia="仿宋_GB2312" w:cs="Times New Roman"/>
          <w:bCs/>
          <w:kern w:val="0"/>
          <w:sz w:val="32"/>
          <w:szCs w:val="24"/>
          <w:lang w:val="en-US" w:eastAsia="zh-CN" w:bidi="ar-SA"/>
        </w:rPr>
        <w:t>减少</w:t>
      </w:r>
      <w:r>
        <w:rPr>
          <w:rFonts w:hint="eastAsia" w:ascii="仿宋_GB2312" w:hAnsi="Times New Roman" w:eastAsia="仿宋_GB2312" w:cs="Times New Roman"/>
          <w:bCs/>
          <w:kern w:val="0"/>
          <w:sz w:val="32"/>
          <w:szCs w:val="24"/>
          <w:lang w:val="en-US" w:eastAsia="zh-CN" w:bidi="ar-SA"/>
        </w:rPr>
        <w:t>。</w:t>
      </w:r>
    </w:p>
    <w:p>
      <w:pPr>
        <w:widowControl/>
        <w:adjustRightInd w:val="0"/>
        <w:snapToGrid w:val="0"/>
        <w:spacing w:line="560" w:lineRule="exact"/>
        <w:ind w:firstLine="643"/>
        <w:rPr>
          <w:rFonts w:hint="eastAsia" w:ascii="楷体" w:hAnsi="楷体" w:eastAsia="楷体" w:cs="楷体"/>
          <w:b/>
          <w:bCs/>
          <w:kern w:val="0"/>
          <w:sz w:val="32"/>
          <w:szCs w:val="40"/>
          <w:lang w:val="zh-CN"/>
        </w:rPr>
      </w:pPr>
      <w:r>
        <w:rPr>
          <w:rFonts w:hint="eastAsia" w:ascii="楷体" w:hAnsi="楷体" w:eastAsia="楷体" w:cs="楷体"/>
          <w:b/>
          <w:bCs/>
          <w:kern w:val="0"/>
          <w:sz w:val="32"/>
          <w:szCs w:val="40"/>
          <w:lang w:val="zh-CN"/>
        </w:rPr>
        <w:t>（二）部门财政资金支出情况。</w:t>
      </w:r>
    </w:p>
    <w:p>
      <w:pPr>
        <w:spacing w:line="560" w:lineRule="exact"/>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年度财政拨款支出总计</w:t>
      </w:r>
      <w:r>
        <w:rPr>
          <w:rFonts w:hint="eastAsia" w:ascii="仿宋_GB2312" w:eastAsia="仿宋_GB2312" w:cs="Times New Roman"/>
          <w:bCs/>
          <w:kern w:val="0"/>
          <w:sz w:val="32"/>
          <w:szCs w:val="24"/>
          <w:lang w:val="en-US" w:eastAsia="zh-CN" w:bidi="ar-SA"/>
        </w:rPr>
        <w:t>459.03</w:t>
      </w:r>
      <w:r>
        <w:rPr>
          <w:rFonts w:hint="eastAsia" w:ascii="仿宋_GB2312" w:hAnsi="Times New Roman" w:eastAsia="仿宋_GB2312" w:cs="Times New Roman"/>
          <w:bCs/>
          <w:kern w:val="0"/>
          <w:sz w:val="32"/>
          <w:szCs w:val="24"/>
          <w:lang w:val="en-US" w:eastAsia="zh-CN" w:bidi="ar-SA"/>
        </w:rPr>
        <w:t>万元,占总支出100%,与201</w:t>
      </w:r>
      <w:r>
        <w:rPr>
          <w:rFonts w:hint="eastAsia" w:ascii="仿宋_GB2312" w:eastAsia="仿宋_GB2312" w:cs="Times New Roman"/>
          <w:bCs/>
          <w:kern w:val="0"/>
          <w:sz w:val="32"/>
          <w:szCs w:val="24"/>
          <w:lang w:val="en-US" w:eastAsia="zh-CN" w:bidi="ar-SA"/>
        </w:rPr>
        <w:t>8</w:t>
      </w:r>
      <w:r>
        <w:rPr>
          <w:rFonts w:hint="eastAsia" w:ascii="仿宋_GB2312" w:hAnsi="Times New Roman" w:eastAsia="仿宋_GB2312" w:cs="Times New Roman"/>
          <w:bCs/>
          <w:kern w:val="0"/>
          <w:sz w:val="32"/>
          <w:szCs w:val="24"/>
          <w:lang w:val="en-US" w:eastAsia="zh-CN" w:bidi="ar-SA"/>
        </w:rPr>
        <w:t>年相比，</w:t>
      </w:r>
      <w:r>
        <w:rPr>
          <w:rFonts w:hint="eastAsia" w:ascii="仿宋_GB2312" w:eastAsia="仿宋_GB2312" w:cs="Times New Roman"/>
          <w:bCs/>
          <w:kern w:val="0"/>
          <w:sz w:val="32"/>
          <w:szCs w:val="24"/>
          <w:lang w:val="en-US" w:eastAsia="zh-CN" w:bidi="ar-SA"/>
        </w:rPr>
        <w:t>减少138.47</w:t>
      </w:r>
      <w:r>
        <w:rPr>
          <w:rFonts w:hint="eastAsia" w:ascii="仿宋_GB2312" w:hAnsi="Times New Roman" w:eastAsia="仿宋_GB2312" w:cs="Times New Roman"/>
          <w:bCs/>
          <w:kern w:val="0"/>
          <w:sz w:val="32"/>
          <w:szCs w:val="24"/>
          <w:lang w:val="en-US" w:eastAsia="zh-CN" w:bidi="ar-SA"/>
        </w:rPr>
        <w:t>万元，</w:t>
      </w:r>
      <w:r>
        <w:rPr>
          <w:rFonts w:hint="eastAsia" w:ascii="仿宋_GB2312" w:eastAsia="仿宋_GB2312" w:cs="Times New Roman"/>
          <w:bCs/>
          <w:kern w:val="0"/>
          <w:sz w:val="32"/>
          <w:szCs w:val="24"/>
          <w:lang w:val="en-US" w:eastAsia="zh-CN" w:bidi="ar-SA"/>
        </w:rPr>
        <w:t>降低23.17</w:t>
      </w:r>
      <w:r>
        <w:rPr>
          <w:rFonts w:hint="eastAsia" w:ascii="仿宋_GB2312" w:hAnsi="Times New Roman" w:eastAsia="仿宋_GB2312" w:cs="Times New Roman"/>
          <w:bCs/>
          <w:kern w:val="0"/>
          <w:sz w:val="32"/>
          <w:szCs w:val="24"/>
          <w:lang w:val="en-US" w:eastAsia="zh-CN" w:bidi="ar-SA"/>
        </w:rPr>
        <w:t>%。增减变动原因是项目支出</w:t>
      </w:r>
      <w:r>
        <w:rPr>
          <w:rFonts w:hint="eastAsia" w:ascii="仿宋_GB2312" w:eastAsia="仿宋_GB2312" w:cs="Times New Roman"/>
          <w:bCs/>
          <w:kern w:val="0"/>
          <w:sz w:val="32"/>
          <w:szCs w:val="24"/>
          <w:lang w:val="en-US" w:eastAsia="zh-CN" w:bidi="ar-SA"/>
        </w:rPr>
        <w:t>减少</w:t>
      </w:r>
      <w:r>
        <w:rPr>
          <w:rFonts w:hint="eastAsia" w:ascii="仿宋_GB2312" w:hAnsi="Times New Roman" w:eastAsia="仿宋_GB2312" w:cs="Times New Roman"/>
          <w:bCs/>
          <w:kern w:val="0"/>
          <w:sz w:val="32"/>
          <w:szCs w:val="24"/>
          <w:lang w:val="en-US" w:eastAsia="zh-CN" w:bidi="ar-SA"/>
        </w:rPr>
        <w:t>。</w:t>
      </w:r>
    </w:p>
    <w:p>
      <w:pPr>
        <w:widowControl/>
        <w:adjustRightInd w:val="0"/>
        <w:snapToGrid w:val="0"/>
        <w:spacing w:line="560" w:lineRule="exact"/>
        <w:ind w:firstLine="640" w:firstLineChars="200"/>
        <w:jc w:val="left"/>
        <w:rPr>
          <w:rFonts w:hint="eastAsia" w:ascii="黑体" w:hAnsi="宋体" w:eastAsia="黑体" w:cs="宋体"/>
          <w:color w:val="000000"/>
          <w:kern w:val="0"/>
          <w:sz w:val="32"/>
          <w:szCs w:val="32"/>
          <w:lang w:val="zh-CN"/>
        </w:rPr>
      </w:pPr>
      <w:r>
        <w:rPr>
          <w:rFonts w:hint="eastAsia" w:ascii="黑体" w:hAnsi="宋体" w:eastAsia="黑体" w:cs="宋体"/>
          <w:color w:val="000000"/>
          <w:kern w:val="0"/>
          <w:sz w:val="32"/>
          <w:szCs w:val="32"/>
          <w:lang w:val="zh-CN"/>
        </w:rPr>
        <w:t>三、部门财政支出管理情况</w:t>
      </w:r>
    </w:p>
    <w:p>
      <w:pPr>
        <w:widowControl/>
        <w:adjustRightInd w:val="0"/>
        <w:snapToGrid w:val="0"/>
        <w:spacing w:line="560" w:lineRule="exact"/>
        <w:ind w:firstLine="643"/>
        <w:rPr>
          <w:rFonts w:ascii="楷体" w:hAnsi="楷体" w:eastAsia="楷体" w:cs="楷体"/>
          <w:b/>
          <w:bCs/>
          <w:kern w:val="0"/>
          <w:sz w:val="32"/>
          <w:szCs w:val="40"/>
          <w:lang w:val="zh-CN"/>
        </w:rPr>
      </w:pPr>
      <w:r>
        <w:rPr>
          <w:rFonts w:hint="eastAsia" w:ascii="楷体" w:hAnsi="楷体" w:eastAsia="楷体" w:cs="楷体"/>
          <w:b/>
          <w:bCs/>
          <w:kern w:val="0"/>
          <w:sz w:val="32"/>
          <w:szCs w:val="40"/>
          <w:lang w:val="zh-CN"/>
        </w:rPr>
        <w:t>（一）预算编制情况。</w:t>
      </w:r>
    </w:p>
    <w:p>
      <w:pPr>
        <w:spacing w:line="560" w:lineRule="exact"/>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我中心严格按照《预算法》及相关财经法规和政策编制本年度预算，严格控制编报质量，保证所有资金合法合规，严格按照相关规定进行预算编制，中央转移支付资金按照文件要求下达，专项转移支付严格根据分地区分项目进行编制。</w:t>
      </w:r>
    </w:p>
    <w:p>
      <w:pPr>
        <w:widowControl/>
        <w:adjustRightInd w:val="0"/>
        <w:snapToGrid w:val="0"/>
        <w:spacing w:line="560" w:lineRule="exact"/>
        <w:ind w:firstLine="643"/>
        <w:rPr>
          <w:rFonts w:hint="eastAsia" w:ascii="楷体" w:hAnsi="楷体" w:eastAsia="楷体" w:cs="楷体"/>
          <w:b/>
          <w:bCs/>
          <w:kern w:val="0"/>
          <w:sz w:val="32"/>
          <w:szCs w:val="40"/>
          <w:lang w:val="zh-CN" w:eastAsia="zh-CN"/>
        </w:rPr>
      </w:pPr>
      <w:r>
        <w:rPr>
          <w:rFonts w:hint="eastAsia" w:ascii="楷体" w:hAnsi="楷体" w:eastAsia="楷体" w:cs="楷体"/>
          <w:b/>
          <w:bCs/>
          <w:kern w:val="0"/>
          <w:sz w:val="32"/>
          <w:szCs w:val="40"/>
          <w:lang w:val="zh-CN" w:eastAsia="zh-CN"/>
        </w:rPr>
        <w:t>（二）执行管理情况。</w:t>
      </w:r>
      <w:r>
        <w:rPr>
          <w:rFonts w:hint="eastAsia" w:ascii="楷体" w:hAnsi="楷体" w:eastAsia="楷体" w:cs="楷体"/>
          <w:b/>
          <w:bCs/>
          <w:kern w:val="0"/>
          <w:sz w:val="32"/>
          <w:szCs w:val="40"/>
          <w:lang w:val="zh-CN" w:eastAsia="zh-CN"/>
        </w:rPr>
        <w:tab/>
      </w:r>
    </w:p>
    <w:p>
      <w:pPr>
        <w:spacing w:line="560" w:lineRule="exact"/>
        <w:ind w:firstLine="420" w:firstLineChars="0"/>
        <w:rPr>
          <w:rFonts w:hint="eastAsia" w:ascii="仿宋_GB2312" w:hAnsi="Times New Roman" w:eastAsia="仿宋_GB2312" w:cs="Times New Roman"/>
          <w:bCs/>
          <w:kern w:val="0"/>
          <w:sz w:val="32"/>
          <w:szCs w:val="24"/>
          <w:lang w:val="zh-CN" w:eastAsia="zh-CN" w:bidi="ar-SA"/>
        </w:rPr>
      </w:pPr>
      <w:r>
        <w:rPr>
          <w:rFonts w:hint="eastAsia" w:ascii="仿宋_GB2312" w:hAnsi="Times New Roman" w:eastAsia="仿宋_GB2312" w:cs="Times New Roman"/>
          <w:bCs/>
          <w:kern w:val="0"/>
          <w:sz w:val="32"/>
          <w:szCs w:val="24"/>
          <w:lang w:val="en-US" w:eastAsia="zh-CN" w:bidi="ar-SA"/>
        </w:rPr>
        <w:t>我中心预算执行到位，严格按照预算管理进行支付并做到节能降耗，“三公”经费严格按照年初预算执行。</w:t>
      </w:r>
    </w:p>
    <w:p>
      <w:pPr>
        <w:widowControl/>
        <w:adjustRightInd w:val="0"/>
        <w:snapToGrid w:val="0"/>
        <w:spacing w:line="560" w:lineRule="exact"/>
        <w:ind w:firstLine="643"/>
        <w:rPr>
          <w:rFonts w:hint="eastAsia" w:ascii="楷体" w:hAnsi="楷体" w:eastAsia="楷体" w:cs="楷体"/>
          <w:b/>
          <w:bCs/>
          <w:kern w:val="0"/>
          <w:sz w:val="32"/>
          <w:szCs w:val="40"/>
          <w:lang w:val="zh-CN" w:eastAsia="zh-CN"/>
        </w:rPr>
      </w:pPr>
      <w:r>
        <w:rPr>
          <w:rFonts w:hint="eastAsia" w:ascii="楷体" w:hAnsi="楷体" w:eastAsia="楷体" w:cs="楷体"/>
          <w:b/>
          <w:bCs/>
          <w:kern w:val="0"/>
          <w:sz w:val="32"/>
          <w:szCs w:val="40"/>
          <w:lang w:val="zh-CN" w:eastAsia="zh-CN"/>
        </w:rPr>
        <w:t>（三）综合管理情况。</w:t>
      </w:r>
    </w:p>
    <w:p>
      <w:pPr>
        <w:widowControl/>
        <w:adjustRightInd w:val="0"/>
        <w:snapToGrid w:val="0"/>
        <w:spacing w:line="560" w:lineRule="exact"/>
        <w:ind w:firstLine="420" w:firstLineChars="0"/>
        <w:rPr>
          <w:rFonts w:hint="eastAsia" w:ascii="仿宋_GB2312" w:hAnsi="Times New Roman" w:eastAsia="仿宋_GB2312" w:cs="Times New Roman"/>
          <w:bCs/>
          <w:kern w:val="0"/>
          <w:sz w:val="32"/>
          <w:szCs w:val="24"/>
          <w:lang w:val="zh-CN" w:eastAsia="zh-CN" w:bidi="ar-SA"/>
        </w:rPr>
      </w:pPr>
      <w:r>
        <w:rPr>
          <w:rFonts w:hint="eastAsia" w:ascii="仿宋_GB2312" w:hAnsi="Times New Roman" w:eastAsia="仿宋_GB2312" w:cs="Times New Roman"/>
          <w:bCs/>
          <w:kern w:val="0"/>
          <w:sz w:val="32"/>
          <w:szCs w:val="24"/>
          <w:lang w:val="en-US" w:eastAsia="zh-CN" w:bidi="ar-SA"/>
        </w:rPr>
        <w:t>在财务管理过程中建立健全财务核算制度、严格执行国家相关财经法规，加强了会计基础工作、逐渐规范了财务管理行为。严格按照《行政单位会计制度》和《行政单位财务规则》的规定设置的会计科目，建立了科学有效的会计核算方式，均真实、合法、准确的反映各项收支活动；建立健全了内控制度，加强和完善了经费收支和财务管理，积极配合各级财政部门开展相关经费的考评工作；本院在资金使用过程中，合理使用各项资金，严格执行各项经费开支范围和标准。对中央、省转移支付资金的使用全部用于与国土事务，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党政机关厉行节约反对浪费条例》的相关规定，进一步规范了“三公经费”的管理并严格控制了“三公经费”的支出。</w:t>
      </w:r>
    </w:p>
    <w:p>
      <w:pPr>
        <w:widowControl/>
        <w:adjustRightInd w:val="0"/>
        <w:snapToGrid w:val="0"/>
        <w:spacing w:line="560" w:lineRule="exact"/>
        <w:ind w:firstLine="643"/>
        <w:rPr>
          <w:rFonts w:hint="eastAsia" w:ascii="楷体" w:hAnsi="楷体" w:eastAsia="楷体" w:cs="楷体"/>
          <w:b/>
          <w:bCs/>
          <w:kern w:val="0"/>
          <w:sz w:val="32"/>
          <w:szCs w:val="40"/>
          <w:lang w:val="zh-CN" w:eastAsia="zh-CN"/>
        </w:rPr>
      </w:pPr>
      <w:r>
        <w:rPr>
          <w:rFonts w:hint="eastAsia" w:ascii="楷体" w:hAnsi="楷体" w:eastAsia="楷体" w:cs="楷体"/>
          <w:b/>
          <w:bCs/>
          <w:kern w:val="0"/>
          <w:sz w:val="32"/>
          <w:szCs w:val="40"/>
          <w:lang w:val="zh-CN" w:eastAsia="zh-CN"/>
        </w:rPr>
        <w:t>（四）整体绩效。</w:t>
      </w:r>
    </w:p>
    <w:p>
      <w:pPr>
        <w:widowControl/>
        <w:adjustRightInd w:val="0"/>
        <w:snapToGrid w:val="0"/>
        <w:spacing w:line="560" w:lineRule="exact"/>
        <w:ind w:firstLine="420" w:firstLineChars="0"/>
        <w:rPr>
          <w:rFonts w:hint="eastAsia" w:ascii="仿宋_GB2312" w:hAnsi="Times New Roman" w:eastAsia="仿宋_GB2312" w:cs="Times New Roman"/>
          <w:bCs/>
          <w:kern w:val="0"/>
          <w:sz w:val="32"/>
          <w:szCs w:val="24"/>
          <w:lang w:val="zh-CN" w:eastAsia="zh-CN" w:bidi="ar-SA"/>
        </w:rPr>
      </w:pPr>
      <w:r>
        <w:rPr>
          <w:rFonts w:hint="eastAsia" w:ascii="仿宋_GB2312" w:hAnsi="Times New Roman" w:eastAsia="仿宋_GB2312" w:cs="Times New Roman"/>
          <w:bCs/>
          <w:kern w:val="0"/>
          <w:sz w:val="32"/>
          <w:szCs w:val="24"/>
          <w:lang w:val="en-US" w:eastAsia="zh-CN" w:bidi="ar-SA"/>
        </w:rPr>
        <w:t>宣传部整体支出绩效目标良好，较好完成今年预定工作目标，严格按照预算管理进行支付并做到节能降耗，“三公”经费严格按照年初预算执行。在全面贯彻落实党的十九大精神,坚持以习近平新时代中国特色社会主义思想为指导,努力实现人民群众满意。</w:t>
      </w:r>
    </w:p>
    <w:p>
      <w:pPr>
        <w:widowControl/>
        <w:adjustRightInd w:val="0"/>
        <w:snapToGrid w:val="0"/>
        <w:spacing w:line="560" w:lineRule="exact"/>
        <w:ind w:firstLine="640" w:firstLineChars="200"/>
        <w:jc w:val="left"/>
        <w:rPr>
          <w:rFonts w:hint="eastAsia" w:ascii="黑体" w:hAnsi="宋体" w:eastAsia="黑体" w:cs="宋体"/>
          <w:color w:val="000000"/>
          <w:kern w:val="0"/>
          <w:sz w:val="32"/>
          <w:szCs w:val="32"/>
          <w:lang w:val="en-US" w:eastAsia="zh-CN"/>
        </w:rPr>
      </w:pPr>
      <w:r>
        <w:rPr>
          <w:rFonts w:hint="eastAsia" w:ascii="黑体" w:hAnsi="宋体" w:eastAsia="黑体" w:cs="宋体"/>
          <w:color w:val="000000"/>
          <w:kern w:val="0"/>
          <w:sz w:val="32"/>
          <w:szCs w:val="32"/>
          <w:lang w:val="en-US" w:eastAsia="zh-CN"/>
        </w:rPr>
        <w:t>四、评价结论及建议</w:t>
      </w:r>
    </w:p>
    <w:p>
      <w:pPr>
        <w:widowControl/>
        <w:adjustRightInd w:val="0"/>
        <w:snapToGrid w:val="0"/>
        <w:spacing w:line="560" w:lineRule="exact"/>
        <w:ind w:firstLine="643"/>
        <w:rPr>
          <w:rFonts w:hint="eastAsia" w:ascii="楷体" w:hAnsi="楷体" w:eastAsia="楷体" w:cs="楷体"/>
          <w:b/>
          <w:bCs/>
          <w:kern w:val="0"/>
          <w:sz w:val="32"/>
          <w:szCs w:val="40"/>
          <w:lang w:val="zh-CN" w:eastAsia="zh-CN"/>
        </w:rPr>
      </w:pPr>
      <w:r>
        <w:rPr>
          <w:rFonts w:hint="eastAsia" w:ascii="楷体" w:hAnsi="楷体" w:eastAsia="楷体" w:cs="楷体"/>
          <w:b/>
          <w:bCs/>
          <w:kern w:val="0"/>
          <w:sz w:val="32"/>
          <w:szCs w:val="40"/>
          <w:lang w:val="zh-CN" w:eastAsia="zh-CN"/>
        </w:rPr>
        <w:t>（一）评价结论。</w:t>
      </w:r>
    </w:p>
    <w:p>
      <w:pPr>
        <w:widowControl/>
        <w:adjustRightInd w:val="0"/>
        <w:snapToGrid w:val="0"/>
        <w:spacing w:line="560" w:lineRule="exact"/>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根据《201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年红原县部门支出绩效评价指标体系》评分得分93分，其中：绩效评价扣1分，原因为绩效覆盖评价率较低。内部控制健全完整扣1分,原因内部控制部完善.</w:t>
      </w:r>
    </w:p>
    <w:p>
      <w:pPr>
        <w:widowControl/>
        <w:adjustRightInd w:val="0"/>
        <w:snapToGrid w:val="0"/>
        <w:spacing w:line="560" w:lineRule="exact"/>
        <w:ind w:firstLine="643"/>
        <w:rPr>
          <w:rFonts w:hint="eastAsia" w:ascii="楷体" w:hAnsi="楷体" w:eastAsia="楷体" w:cs="楷体"/>
          <w:b/>
          <w:bCs/>
          <w:kern w:val="0"/>
          <w:sz w:val="32"/>
          <w:szCs w:val="40"/>
          <w:lang w:val="zh-CN" w:eastAsia="zh-CN"/>
        </w:rPr>
      </w:pPr>
      <w:r>
        <w:rPr>
          <w:rFonts w:hint="eastAsia" w:ascii="楷体" w:hAnsi="楷体" w:eastAsia="楷体" w:cs="楷体"/>
          <w:b/>
          <w:bCs/>
          <w:kern w:val="0"/>
          <w:sz w:val="32"/>
          <w:szCs w:val="40"/>
          <w:lang w:val="zh-CN" w:eastAsia="zh-CN"/>
        </w:rPr>
        <w:t>(二)存在问题。</w:t>
      </w:r>
    </w:p>
    <w:p>
      <w:pPr>
        <w:pStyle w:val="25"/>
        <w:ind w:left="420" w:firstLine="320" w:firstLineChars="1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预算编制准确性还需加强，主要是部分经费预算与实际开支存在差额。</w:t>
      </w:r>
    </w:p>
    <w:p>
      <w:pPr>
        <w:widowControl/>
        <w:adjustRightInd w:val="0"/>
        <w:snapToGrid w:val="0"/>
        <w:spacing w:line="560" w:lineRule="exact"/>
        <w:ind w:firstLine="420" w:firstLineChars="0"/>
        <w:rPr>
          <w:rFonts w:hint="eastAsia" w:ascii="楷体" w:hAnsi="楷体" w:eastAsia="楷体" w:cs="楷体"/>
          <w:b/>
          <w:bCs/>
          <w:kern w:val="0"/>
          <w:sz w:val="32"/>
          <w:szCs w:val="40"/>
          <w:lang w:val="zh-CN" w:eastAsia="zh-CN"/>
        </w:rPr>
      </w:pPr>
      <w:r>
        <w:rPr>
          <w:rFonts w:hint="eastAsia" w:ascii="楷体" w:hAnsi="楷体" w:eastAsia="楷体" w:cs="楷体"/>
          <w:b/>
          <w:bCs/>
          <w:kern w:val="0"/>
          <w:sz w:val="32"/>
          <w:szCs w:val="40"/>
          <w:lang w:val="zh-CN" w:eastAsia="zh-CN"/>
        </w:rPr>
        <w:t xml:space="preserve"> (三)改进建议。</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1.加强组织领导，增强预算编制的准确性，提高对预算编制与执行的认识，为绩效评价工作开展创造更好的条件；   </w:t>
      </w:r>
    </w:p>
    <w:p>
      <w:pPr>
        <w:ind w:firstLine="420" w:firstLineChars="0"/>
        <w:rPr>
          <w:rFonts w:hint="eastAsia" w:ascii="仿宋_GB2312" w:hAnsi="Times New Roman" w:eastAsia="仿宋_GB2312" w:cs="Times New Roman"/>
          <w:bCs/>
          <w:kern w:val="0"/>
          <w:sz w:val="32"/>
          <w:szCs w:val="24"/>
          <w:lang w:val="zh-CN" w:eastAsia="zh-CN" w:bidi="ar-SA"/>
        </w:rPr>
      </w:pPr>
      <w:r>
        <w:rPr>
          <w:rFonts w:hint="eastAsia" w:ascii="仿宋_GB2312" w:hAnsi="Times New Roman" w:eastAsia="仿宋_GB2312" w:cs="Times New Roman"/>
          <w:bCs/>
          <w:kern w:val="0"/>
          <w:sz w:val="32"/>
          <w:szCs w:val="24"/>
          <w:lang w:val="en-US" w:eastAsia="zh-CN" w:bidi="ar-SA"/>
        </w:rPr>
        <w:t>2.建立长效机制，加强管理提高部门支出的绩效成果，为更好的服务工作发挥最大效益。</w:t>
      </w: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5"/>
        <w:bidi w:val="0"/>
        <w:rPr>
          <w:rFonts w:ascii="仿宋_GB2312" w:hAnsi="仿宋_GB2312" w:eastAsia="仿宋_GB2312" w:cs="仿宋_GB2312"/>
          <w:sz w:val="32"/>
          <w:szCs w:val="32"/>
        </w:rPr>
      </w:pPr>
      <w:bookmarkStart w:id="102" w:name="_Toc32710"/>
      <w:r>
        <w:rPr>
          <w:rFonts w:hint="eastAsia"/>
          <w:b w:val="0"/>
          <w:bCs w:val="0"/>
          <w:lang w:val="en-US" w:eastAsia="zh-CN"/>
        </w:rPr>
        <w:t>附件2</w:t>
      </w:r>
      <w:bookmarkEnd w:id="102"/>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中共红原县委宣传部</w:t>
      </w:r>
    </w:p>
    <w:p>
      <w:pPr>
        <w:pStyle w:val="32"/>
        <w:widowControl/>
        <w:spacing w:line="520" w:lineRule="exact"/>
        <w:ind w:firstLine="420"/>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关于电影放映补助费项目支出</w:t>
      </w: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绩效的自评报告</w:t>
      </w:r>
    </w:p>
    <w:p>
      <w:pPr>
        <w:ind w:left="640" w:firstLine="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红原县财政局：</w:t>
      </w:r>
    </w:p>
    <w:p>
      <w:pPr>
        <w:ind w:left="640" w:firstLine="0" w:firstLineChars="0"/>
        <w:rPr>
          <w:rFonts w:ascii="黑体" w:hAnsi="黑体" w:eastAsia="黑体"/>
          <w:sz w:val="32"/>
          <w:szCs w:val="32"/>
        </w:rPr>
      </w:pPr>
      <w:r>
        <w:rPr>
          <w:rFonts w:hint="eastAsia" w:ascii="黑体" w:hAnsi="黑体" w:eastAsia="黑体"/>
          <w:sz w:val="32"/>
          <w:szCs w:val="32"/>
        </w:rPr>
        <w:t xml:space="preserve">    一、项目概况</w:t>
      </w:r>
    </w:p>
    <w:p>
      <w:pPr>
        <w:ind w:left="640" w:firstLine="0" w:firstLineChars="0"/>
        <w:rPr>
          <w:rFonts w:hint="eastAsia" w:ascii="楷体" w:hAnsi="楷体" w:eastAsia="楷体" w:cs="楷体"/>
          <w:b/>
          <w:sz w:val="32"/>
          <w:szCs w:val="32"/>
        </w:rPr>
      </w:pPr>
      <w:r>
        <w:rPr>
          <w:rFonts w:hint="eastAsia" w:ascii="楷体" w:hAnsi="楷体" w:eastAsia="楷体" w:cs="楷体"/>
          <w:sz w:val="32"/>
          <w:szCs w:val="32"/>
        </w:rPr>
        <w:t xml:space="preserve">  </w:t>
      </w:r>
      <w:r>
        <w:rPr>
          <w:rFonts w:hint="eastAsia" w:ascii="楷体" w:hAnsi="楷体" w:eastAsia="楷体" w:cs="楷体"/>
          <w:b/>
          <w:sz w:val="32"/>
          <w:szCs w:val="32"/>
        </w:rPr>
        <w:t>（一）项目基本情况</w:t>
      </w:r>
    </w:p>
    <w:p>
      <w:pPr>
        <w:pStyle w:val="2"/>
        <w:ind w:left="640" w:firstLine="64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为挖掘和发扬文化艺术资源，培育和造就新一代文化艺术骨干，营造浓厚的氛围，引领红原县</w:t>
      </w:r>
      <w:r>
        <w:rPr>
          <w:rFonts w:hint="eastAsia" w:ascii="仿宋_GB2312" w:eastAsia="仿宋_GB2312" w:cs="Times New Roman"/>
          <w:bCs/>
          <w:kern w:val="0"/>
          <w:sz w:val="32"/>
          <w:szCs w:val="24"/>
          <w:lang w:val="en-US" w:eastAsia="zh-CN" w:bidi="ar-SA"/>
        </w:rPr>
        <w:t>电影事业长足发展，丰富群众精神文化生活。</w:t>
      </w:r>
    </w:p>
    <w:p>
      <w:pPr>
        <w:ind w:left="640" w:firstLine="0" w:firstLineChars="0"/>
        <w:rPr>
          <w:rFonts w:hint="eastAsia" w:ascii="黑体" w:hAnsi="黑体" w:eastAsia="黑体"/>
          <w:sz w:val="32"/>
          <w:szCs w:val="32"/>
        </w:rPr>
      </w:pPr>
      <w:r>
        <w:rPr>
          <w:rFonts w:hint="eastAsia" w:ascii="黑体" w:hAnsi="黑体" w:eastAsia="黑体"/>
          <w:sz w:val="32"/>
          <w:szCs w:val="32"/>
        </w:rPr>
        <w:t xml:space="preserve">   二、项目资金申报及使用情况</w:t>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 xml:space="preserve">  （一）项目资金申报及批复情况</w:t>
      </w:r>
    </w:p>
    <w:p>
      <w:pPr>
        <w:ind w:firstLine="1280" w:firstLineChars="4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经费与201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年1月2日下达</w:t>
      </w:r>
      <w:r>
        <w:rPr>
          <w:rFonts w:hint="eastAsia" w:ascii="仿宋_GB2312" w:eastAsia="仿宋_GB2312" w:cs="Times New Roman"/>
          <w:bCs/>
          <w:kern w:val="0"/>
          <w:sz w:val="32"/>
          <w:szCs w:val="24"/>
          <w:lang w:val="en-US" w:eastAsia="zh-CN" w:bidi="ar-SA"/>
        </w:rPr>
        <w:t>。</w:t>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 xml:space="preserve">  （二）资金计划、到位及使用情况（可用表格形式反映）</w:t>
      </w:r>
    </w:p>
    <w:p>
      <w:pPr>
        <w:ind w:firstLine="960" w:firstLineChars="3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1.201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年1月2日该笔项目资金已全部到位，到位率100%。</w:t>
      </w:r>
    </w:p>
    <w:p>
      <w:pPr>
        <w:ind w:firstLine="960" w:firstLineChars="3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2.资金使用</w:t>
      </w:r>
    </w:p>
    <w:p>
      <w:pPr>
        <w:ind w:firstLine="960" w:firstLineChars="3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截止201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年，该笔项目资金已使用完毕。</w:t>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（三）项目财务管理情况</w:t>
      </w:r>
    </w:p>
    <w:p>
      <w:pPr>
        <w:ind w:firstLine="960" w:firstLineChars="3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我单位严格按照会计核算制度，坚持先审核，后审批的财务管理制度。规范专项资金核算，确保账目清晰我单位严格按照红原县人民政府制定的项目资金管理办法进行管理，对专项资金进行单独核算，保证专项资金核算的真实、准确、完整；确保专项资金专款专用，我单位根据专项资金的预定用途支出款项，严格执行专项资金管理制度，积极发挥财务工作人员的会计监督功能，避免让财务监督流于形式，确保专项资金专款专用；财务人员所有报账凭证的审核，对原始凭证的真实性、合法性进行把关。该项目支出均有相关的授权审批，资金拨付严格审批程序，使用规范，会计核算结果真实、准确。</w:t>
      </w:r>
    </w:p>
    <w:p>
      <w:pPr>
        <w:ind w:left="640" w:firstLine="0" w:firstLineChars="0"/>
        <w:rPr>
          <w:rFonts w:ascii="黑体" w:hAnsi="黑体" w:eastAsia="黑体"/>
          <w:sz w:val="32"/>
          <w:szCs w:val="32"/>
        </w:rPr>
      </w:pPr>
      <w:r>
        <w:rPr>
          <w:rFonts w:hint="eastAsia" w:ascii="黑体" w:hAnsi="黑体" w:eastAsia="黑体"/>
          <w:sz w:val="32"/>
          <w:szCs w:val="32"/>
        </w:rPr>
        <w:t xml:space="preserve">    三、项目实施及管理情况</w:t>
      </w:r>
    </w:p>
    <w:p>
      <w:pPr>
        <w:ind w:left="640" w:firstLine="0" w:firstLineChars="0"/>
        <w:rPr>
          <w:rFonts w:hint="eastAsia" w:ascii="仿宋_GB2312" w:hAnsi="Times New Roman" w:eastAsia="仿宋_GB2312" w:cs="Times New Roman"/>
          <w:bCs/>
          <w:kern w:val="0"/>
          <w:sz w:val="32"/>
          <w:szCs w:val="24"/>
          <w:lang w:val="en-US" w:eastAsia="zh-CN" w:bidi="ar-SA"/>
        </w:rPr>
      </w:pPr>
      <w:r>
        <w:rPr>
          <w:rFonts w:hint="eastAsia"/>
        </w:rPr>
        <w:t xml:space="preserve">    </w:t>
      </w:r>
      <w:r>
        <w:rPr>
          <w:rFonts w:hint="eastAsia" w:ascii="仿宋_GB2312" w:hAnsi="Times New Roman" w:eastAsia="仿宋_GB2312" w:cs="Times New Roman"/>
          <w:bCs/>
          <w:kern w:val="0"/>
          <w:sz w:val="32"/>
          <w:szCs w:val="24"/>
          <w:lang w:val="en-US" w:eastAsia="zh-CN" w:bidi="ar-SA"/>
        </w:rPr>
        <w:t>该项目由</w:t>
      </w:r>
      <w:r>
        <w:rPr>
          <w:rFonts w:hint="eastAsia" w:ascii="仿宋_GB2312" w:eastAsia="仿宋_GB2312" w:cs="Times New Roman"/>
          <w:bCs/>
          <w:kern w:val="0"/>
          <w:sz w:val="32"/>
          <w:szCs w:val="24"/>
          <w:lang w:val="en-US" w:eastAsia="zh-CN" w:bidi="ar-SA"/>
        </w:rPr>
        <w:t>分管</w:t>
      </w:r>
      <w:r>
        <w:rPr>
          <w:rFonts w:hint="eastAsia" w:ascii="仿宋_GB2312" w:hAnsi="Times New Roman" w:eastAsia="仿宋_GB2312" w:cs="Times New Roman"/>
          <w:bCs/>
          <w:kern w:val="0"/>
          <w:sz w:val="32"/>
          <w:szCs w:val="24"/>
          <w:lang w:val="en-US" w:eastAsia="zh-CN" w:bidi="ar-SA"/>
        </w:rPr>
        <w:t>负责人具体负责实施，严格执行《财务管理规定》扎实推进，同时明确工作目标、时间节点，统筹协调，确保项目按期推进。</w:t>
      </w:r>
    </w:p>
    <w:p>
      <w:pPr>
        <w:ind w:left="640" w:firstLine="0" w:firstLineChars="0"/>
        <w:rPr>
          <w:rFonts w:hint="eastAsia" w:ascii="黑体" w:hAnsi="黑体" w:eastAsia="黑体"/>
          <w:sz w:val="32"/>
          <w:szCs w:val="32"/>
        </w:rPr>
      </w:pPr>
      <w:r>
        <w:rPr>
          <w:rFonts w:hint="eastAsia" w:ascii="黑体" w:hAnsi="黑体" w:eastAsia="黑体"/>
          <w:sz w:val="32"/>
          <w:szCs w:val="32"/>
        </w:rPr>
        <w:t xml:space="preserve">    四、项目绩效情况</w:t>
      </w:r>
      <w:r>
        <w:rPr>
          <w:rFonts w:hint="eastAsia" w:ascii="黑体" w:hAnsi="黑体" w:eastAsia="黑体"/>
          <w:sz w:val="32"/>
          <w:szCs w:val="32"/>
        </w:rPr>
        <w:tab/>
      </w:r>
    </w:p>
    <w:p>
      <w:pPr>
        <w:ind w:left="640" w:firstLine="0" w:firstLineChars="0"/>
        <w:rPr>
          <w:b/>
        </w:rPr>
      </w:pPr>
      <w:r>
        <w:rPr>
          <w:rFonts w:hint="eastAsia"/>
        </w:rPr>
        <w:t xml:space="preserve"> </w:t>
      </w:r>
      <w:r>
        <w:rPr>
          <w:rFonts w:hint="eastAsia" w:ascii="楷体" w:hAnsi="楷体" w:eastAsia="楷体" w:cs="楷体"/>
          <w:sz w:val="32"/>
          <w:szCs w:val="32"/>
        </w:rPr>
        <w:t xml:space="preserve"> </w:t>
      </w:r>
      <w:r>
        <w:rPr>
          <w:rFonts w:hint="eastAsia" w:ascii="楷体" w:hAnsi="楷体" w:eastAsia="楷体" w:cs="楷体"/>
          <w:b/>
          <w:sz w:val="32"/>
          <w:szCs w:val="32"/>
        </w:rPr>
        <w:t xml:space="preserve"> （一）项目完成情况。</w:t>
      </w:r>
    </w:p>
    <w:p>
      <w:pPr>
        <w:ind w:left="640" w:firstLine="0" w:firstLineChars="0"/>
        <w:rPr>
          <w:rFonts w:hint="eastAsia" w:ascii="仿宋_GB2312" w:hAnsi="Times New Roman" w:eastAsia="仿宋_GB2312" w:cs="Times New Roman"/>
          <w:bCs/>
          <w:kern w:val="0"/>
          <w:sz w:val="32"/>
          <w:szCs w:val="24"/>
          <w:lang w:val="en-US" w:eastAsia="zh-CN" w:bidi="ar-SA"/>
        </w:rPr>
      </w:pPr>
      <w:r>
        <w:rPr>
          <w:rFonts w:hint="eastAsia"/>
        </w:rPr>
        <w:t xml:space="preserve">    </w:t>
      </w:r>
      <w:r>
        <w:rPr>
          <w:rFonts w:hint="eastAsia" w:ascii="仿宋_GB2312" w:hAnsi="Times New Roman" w:eastAsia="仿宋_GB2312" w:cs="Times New Roman"/>
          <w:bCs/>
          <w:kern w:val="0"/>
          <w:sz w:val="32"/>
          <w:szCs w:val="24"/>
          <w:lang w:val="en-US" w:eastAsia="zh-CN" w:bidi="ar-SA"/>
        </w:rPr>
        <w:t>该项目于该项目于201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年完工。</w:t>
      </w:r>
    </w:p>
    <w:p>
      <w:pPr>
        <w:ind w:left="640" w:firstLine="0" w:firstLineChars="0"/>
        <w:rPr>
          <w:rFonts w:hint="eastAsia" w:ascii="黑体" w:hAnsi="黑体" w:eastAsia="黑体" w:cs="Times New Roman"/>
          <w:sz w:val="32"/>
          <w:szCs w:val="32"/>
        </w:rPr>
      </w:pPr>
      <w:r>
        <w:rPr>
          <w:rFonts w:hint="eastAsia" w:ascii="黑体" w:hAnsi="黑体" w:eastAsia="黑体" w:cs="Times New Roman"/>
          <w:sz w:val="32"/>
          <w:szCs w:val="32"/>
        </w:rPr>
        <w:t xml:space="preserve"> </w:t>
      </w:r>
      <w:r>
        <w:rPr>
          <w:rFonts w:hint="eastAsia" w:ascii="楷体" w:hAnsi="楷体" w:eastAsia="楷体" w:cs="楷体"/>
          <w:b/>
          <w:sz w:val="32"/>
          <w:szCs w:val="32"/>
        </w:rPr>
        <w:t xml:space="preserve">  （二）项目效益情况</w:t>
      </w:r>
    </w:p>
    <w:p>
      <w:pPr>
        <w:ind w:firstLine="420" w:firstLineChars="0"/>
        <w:rPr>
          <w:rFonts w:hint="eastAsia" w:ascii="仿宋_GB2312" w:eastAsia="仿宋_GB2312" w:cs="Times New Roman"/>
          <w:bCs/>
          <w:kern w:val="0"/>
          <w:sz w:val="32"/>
          <w:szCs w:val="24"/>
          <w:lang w:val="en-US" w:eastAsia="zh-CN" w:bidi="ar-SA"/>
        </w:rPr>
      </w:pPr>
      <w:r>
        <w:rPr>
          <w:rFonts w:hint="eastAsia"/>
        </w:rPr>
        <w:t xml:space="preserve">    </w:t>
      </w:r>
      <w:r>
        <w:rPr>
          <w:rFonts w:hint="eastAsia" w:ascii="仿宋_GB2312" w:hAnsi="Times New Roman" w:eastAsia="仿宋_GB2312" w:cs="Times New Roman"/>
          <w:bCs/>
          <w:kern w:val="0"/>
          <w:sz w:val="32"/>
          <w:szCs w:val="24"/>
          <w:lang w:val="en-US" w:eastAsia="zh-CN" w:bidi="ar-SA"/>
        </w:rPr>
        <w:t>挖掘和发扬文化艺术资源，培育和造就新一代文化艺术骨干，更是</w:t>
      </w:r>
      <w:r>
        <w:rPr>
          <w:rFonts w:hint="eastAsia" w:ascii="仿宋_GB2312" w:eastAsia="仿宋_GB2312" w:cs="Times New Roman"/>
          <w:bCs/>
          <w:kern w:val="0"/>
          <w:sz w:val="32"/>
          <w:szCs w:val="24"/>
          <w:lang w:val="en-US" w:eastAsia="zh-CN" w:bidi="ar-SA"/>
        </w:rPr>
        <w:t>推进</w:t>
      </w:r>
      <w:r>
        <w:rPr>
          <w:rFonts w:hint="eastAsia" w:ascii="仿宋_GB2312" w:hAnsi="Times New Roman" w:eastAsia="仿宋_GB2312" w:cs="Times New Roman"/>
          <w:bCs/>
          <w:kern w:val="0"/>
          <w:sz w:val="32"/>
          <w:szCs w:val="24"/>
          <w:lang w:val="en-US" w:eastAsia="zh-CN" w:bidi="ar-SA"/>
        </w:rPr>
        <w:t>红原县</w:t>
      </w:r>
      <w:r>
        <w:rPr>
          <w:rFonts w:hint="eastAsia" w:ascii="仿宋_GB2312" w:eastAsia="仿宋_GB2312" w:cs="Times New Roman"/>
          <w:bCs/>
          <w:kern w:val="0"/>
          <w:sz w:val="32"/>
          <w:szCs w:val="24"/>
          <w:lang w:val="en-US" w:eastAsia="zh-CN" w:bidi="ar-SA"/>
        </w:rPr>
        <w:t>电影事业发展的重要举措。</w:t>
      </w:r>
    </w:p>
    <w:p>
      <w:pPr>
        <w:ind w:left="640" w:firstLine="0" w:firstLineChars="0"/>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 xml:space="preserve">     五、评价结论</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在</w:t>
      </w:r>
      <w:r>
        <w:rPr>
          <w:rFonts w:hint="eastAsia" w:ascii="仿宋_GB2312" w:eastAsia="仿宋_GB2312" w:cs="Times New Roman"/>
          <w:bCs/>
          <w:kern w:val="0"/>
          <w:sz w:val="32"/>
          <w:szCs w:val="24"/>
          <w:lang w:val="en-US" w:eastAsia="zh-CN" w:bidi="ar-SA"/>
        </w:rPr>
        <w:t>电影放映的过程中，</w:t>
      </w:r>
      <w:r>
        <w:rPr>
          <w:rFonts w:hint="eastAsia" w:ascii="仿宋_GB2312" w:hAnsi="Times New Roman" w:eastAsia="仿宋_GB2312" w:cs="Times New Roman"/>
          <w:bCs/>
          <w:kern w:val="0"/>
          <w:sz w:val="32"/>
          <w:szCs w:val="24"/>
          <w:lang w:val="en-US" w:eastAsia="zh-CN" w:bidi="ar-SA"/>
        </w:rPr>
        <w:t>挖掘了更多的文艺</w:t>
      </w:r>
      <w:r>
        <w:rPr>
          <w:rFonts w:hint="eastAsia" w:ascii="仿宋_GB2312" w:eastAsia="仿宋_GB2312" w:cs="Times New Roman"/>
          <w:bCs/>
          <w:kern w:val="0"/>
          <w:sz w:val="32"/>
          <w:szCs w:val="24"/>
          <w:lang w:val="en-US" w:eastAsia="zh-CN" w:bidi="ar-SA"/>
        </w:rPr>
        <w:t>资源</w:t>
      </w:r>
      <w:r>
        <w:rPr>
          <w:rFonts w:hint="eastAsia" w:ascii="仿宋_GB2312" w:hAnsi="Times New Roman" w:eastAsia="仿宋_GB2312" w:cs="Times New Roman"/>
          <w:bCs/>
          <w:kern w:val="0"/>
          <w:sz w:val="32"/>
          <w:szCs w:val="24"/>
          <w:lang w:val="en-US" w:eastAsia="zh-CN" w:bidi="ar-SA"/>
        </w:rPr>
        <w:t>，该项目自实施以来，我县</w:t>
      </w:r>
      <w:r>
        <w:rPr>
          <w:rFonts w:hint="eastAsia" w:ascii="仿宋_GB2312" w:eastAsia="仿宋_GB2312" w:cs="Times New Roman"/>
          <w:bCs/>
          <w:kern w:val="0"/>
          <w:sz w:val="32"/>
          <w:szCs w:val="24"/>
          <w:lang w:val="en-US" w:eastAsia="zh-CN" w:bidi="ar-SA"/>
        </w:rPr>
        <w:t>农牧民群众生活更加丰富多彩，</w:t>
      </w:r>
      <w:r>
        <w:rPr>
          <w:rFonts w:hint="eastAsia" w:ascii="仿宋_GB2312" w:hAnsi="Times New Roman" w:eastAsia="仿宋_GB2312" w:cs="Times New Roman"/>
          <w:bCs/>
          <w:kern w:val="0"/>
          <w:sz w:val="32"/>
          <w:szCs w:val="24"/>
          <w:lang w:val="en-US" w:eastAsia="zh-CN" w:bidi="ar-SA"/>
        </w:rPr>
        <w:t xml:space="preserve">同时在广大干部群众中营造了浓厚的氛围。 </w:t>
      </w: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5"/>
        <w:bidi w:val="0"/>
        <w:rPr>
          <w:rFonts w:ascii="方正小标宋简体" w:hAnsi="方正小标宋简体" w:eastAsia="方正小标宋简体" w:cs="方正小标宋简体"/>
          <w:bCs/>
          <w:color w:val="auto"/>
          <w:sz w:val="44"/>
          <w:szCs w:val="44"/>
        </w:rPr>
      </w:pPr>
      <w:bookmarkStart w:id="103" w:name="_Toc30066"/>
      <w:r>
        <w:rPr>
          <w:rFonts w:hint="eastAsia"/>
          <w:b w:val="0"/>
          <w:bCs w:val="0"/>
          <w:lang w:val="en-US" w:eastAsia="zh-CN"/>
        </w:rPr>
        <w:t>附件3</w:t>
      </w:r>
      <w:bookmarkEnd w:id="103"/>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中共红原县委宣传部</w:t>
      </w: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关于州目标考核奖励项目支出</w:t>
      </w: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绩效的自评报告</w:t>
      </w:r>
    </w:p>
    <w:p>
      <w:pPr>
        <w:ind w:left="640" w:firstLine="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红原县财政局：</w:t>
      </w:r>
    </w:p>
    <w:p>
      <w:pPr>
        <w:ind w:left="640" w:firstLine="0" w:firstLineChars="0"/>
        <w:rPr>
          <w:rFonts w:ascii="黑体" w:hAnsi="黑体" w:eastAsia="黑体"/>
        </w:rPr>
      </w:pPr>
      <w:r>
        <w:rPr>
          <w:rFonts w:hint="eastAsia" w:ascii="黑体" w:hAnsi="黑体" w:eastAsia="黑体"/>
        </w:rPr>
        <w:t xml:space="preserve"> </w:t>
      </w:r>
      <w:r>
        <w:rPr>
          <w:rFonts w:hint="eastAsia" w:ascii="黑体" w:hAnsi="黑体" w:eastAsia="黑体"/>
          <w:sz w:val="32"/>
          <w:szCs w:val="32"/>
        </w:rPr>
        <w:t xml:space="preserve">   一、项目概况</w:t>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 xml:space="preserve">  （一）项目基本情况</w:t>
      </w:r>
    </w:p>
    <w:p>
      <w:pPr>
        <w:pStyle w:val="2"/>
        <w:ind w:left="640" w:firstLine="64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为认真贯彻落实省委、州委关于加强视觉形象建设要求和县委对户外广告宣传工作的相关要求，紧紧围绕县委、县政府建设“三地一时代”中心工作，在全县范围内更换户外大型广告，广泛深入宣传各个领域工作开展，为全县经济社会健康快速发展营造了良好的社会氛围。</w:t>
      </w:r>
    </w:p>
    <w:p>
      <w:pPr>
        <w:ind w:left="640" w:firstLine="0" w:firstLineChars="0"/>
        <w:rPr>
          <w:rFonts w:ascii="黑体" w:hAnsi="黑体" w:eastAsia="黑体"/>
        </w:rPr>
      </w:pPr>
      <w:r>
        <w:rPr>
          <w:rFonts w:hint="eastAsia"/>
        </w:rPr>
        <w:t xml:space="preserve">   </w:t>
      </w:r>
      <w:r>
        <w:rPr>
          <w:rFonts w:hint="eastAsia" w:ascii="黑体" w:hAnsi="黑体" w:eastAsia="黑体"/>
          <w:sz w:val="32"/>
          <w:szCs w:val="32"/>
        </w:rPr>
        <w:t xml:space="preserve">  二、项目资金申报及使用情况</w:t>
      </w:r>
    </w:p>
    <w:p>
      <w:pPr>
        <w:ind w:left="640" w:firstLine="0" w:firstLineChars="0"/>
        <w:rPr>
          <w:b/>
        </w:rPr>
      </w:pPr>
      <w:r>
        <w:rPr>
          <w:rFonts w:hint="eastAsia"/>
        </w:rPr>
        <w:t xml:space="preserve">  </w:t>
      </w:r>
      <w:r>
        <w:rPr>
          <w:rFonts w:hint="eastAsia" w:ascii="楷体" w:hAnsi="楷体" w:eastAsia="楷体" w:cs="楷体"/>
          <w:b/>
          <w:sz w:val="32"/>
          <w:szCs w:val="32"/>
        </w:rPr>
        <w:t xml:space="preserve">  （一）项目资金申报及批复情况</w:t>
      </w:r>
    </w:p>
    <w:p>
      <w:pPr>
        <w:ind w:firstLine="1600" w:firstLineChars="5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经费于201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年1月2日下达</w:t>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 xml:space="preserve">    （二）资金计划、到位及使用情况（可用表格形式反映）</w:t>
      </w:r>
    </w:p>
    <w:p>
      <w:pPr>
        <w:ind w:firstLine="960" w:firstLineChars="3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1.201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年1月2日该笔项目资金已全部到位，到位率100%。</w:t>
      </w:r>
    </w:p>
    <w:p>
      <w:pPr>
        <w:ind w:firstLine="960" w:firstLineChars="3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2.资金使用</w:t>
      </w:r>
    </w:p>
    <w:p>
      <w:pPr>
        <w:ind w:firstLine="960" w:firstLineChars="3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截止201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年，该笔项目资金已使用完毕。</w:t>
      </w:r>
    </w:p>
    <w:p>
      <w:pPr>
        <w:ind w:left="640" w:firstLine="0" w:firstLineChars="0"/>
        <w:rPr>
          <w:rFonts w:ascii="楷体" w:hAnsi="楷体" w:eastAsia="楷体"/>
          <w:b/>
        </w:rPr>
      </w:pPr>
      <w:r>
        <w:rPr>
          <w:rFonts w:hint="eastAsia" w:ascii="楷体" w:hAnsi="楷体" w:eastAsia="楷体"/>
          <w:b/>
        </w:rPr>
        <w:t xml:space="preserve"> </w:t>
      </w:r>
      <w:r>
        <w:rPr>
          <w:rFonts w:hint="eastAsia" w:ascii="楷体" w:hAnsi="楷体" w:eastAsia="楷体" w:cs="楷体"/>
          <w:b/>
          <w:sz w:val="32"/>
          <w:szCs w:val="32"/>
        </w:rPr>
        <w:t xml:space="preserve">  （三）项目财务管理情况</w:t>
      </w:r>
    </w:p>
    <w:p>
      <w:pPr>
        <w:ind w:left="640" w:firstLine="0" w:firstLineChars="0"/>
        <w:rPr>
          <w:rFonts w:hint="eastAsia" w:ascii="仿宋_GB2312" w:hAnsi="Times New Roman" w:eastAsia="仿宋_GB2312" w:cs="Times New Roman"/>
          <w:bCs/>
          <w:kern w:val="0"/>
          <w:sz w:val="32"/>
          <w:szCs w:val="24"/>
          <w:lang w:val="en-US" w:eastAsia="zh-CN" w:bidi="ar-SA"/>
        </w:rPr>
      </w:pPr>
      <w:r>
        <w:rPr>
          <w:rFonts w:hint="eastAsia"/>
        </w:rPr>
        <w:t xml:space="preserve">    </w:t>
      </w:r>
      <w:r>
        <w:rPr>
          <w:rFonts w:hint="eastAsia" w:ascii="仿宋_GB2312" w:hAnsi="Times New Roman" w:eastAsia="仿宋_GB2312" w:cs="Times New Roman"/>
          <w:bCs/>
          <w:kern w:val="0"/>
          <w:sz w:val="32"/>
          <w:szCs w:val="24"/>
          <w:lang w:val="en-US" w:eastAsia="zh-CN" w:bidi="ar-SA"/>
        </w:rPr>
        <w:t>我单位严格按照会计核算制度，坚持先审核，后审批的财务管理制度。规范专项资金核算，确保账目清晰我单位严格按照红原县人民政府制定的项目资金管理办法进行管理，对专项资金进行单独核算，保证专项资金核算的真实、准确、完整；确保专项资金专款专用，我单位根据专项资金的预定用途支出款项，严格执行专项资金管理制度，积极发挥财务工作人员的会计监督功能，避免让财务监督流于形式，确保专项资金专款专用；财务人员所有报账凭证的审核，对原始凭证的真实性、合法性进行把关。该项目支出均有相关的授权审批，资金拨付严格审批程序，使用规范，会计核算结果真实、准确。</w:t>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 xml:space="preserve">    三、项目实施及管理情况</w:t>
      </w:r>
    </w:p>
    <w:p>
      <w:pPr>
        <w:ind w:left="640" w:firstLine="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该项目由专人负责具体实施，严格执行《财务管理规定》扎实推进，同时明确工作目标、时间节点，统筹协调，确保项目按期推进。</w:t>
      </w:r>
    </w:p>
    <w:p>
      <w:pPr>
        <w:ind w:left="640" w:firstLine="0" w:firstLineChars="0"/>
        <w:rPr>
          <w:rFonts w:ascii="黑体" w:hAnsi="黑体" w:eastAsia="黑体"/>
          <w:sz w:val="32"/>
          <w:szCs w:val="32"/>
        </w:rPr>
      </w:pPr>
      <w:r>
        <w:rPr>
          <w:rFonts w:hint="eastAsia" w:ascii="黑体" w:hAnsi="黑体" w:eastAsia="黑体"/>
          <w:sz w:val="32"/>
          <w:szCs w:val="32"/>
        </w:rPr>
        <w:t xml:space="preserve">    四、项目绩效情况</w:t>
      </w:r>
      <w:r>
        <w:rPr>
          <w:rFonts w:hint="eastAsia" w:ascii="黑体" w:hAnsi="黑体" w:eastAsia="黑体"/>
          <w:sz w:val="32"/>
          <w:szCs w:val="32"/>
        </w:rPr>
        <w:tab/>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 xml:space="preserve">   （一）项目完成情况。</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该项目于该项目于201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年完工。</w:t>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 xml:space="preserve">   （二）项目效益情况</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更好的宣传党的方针政策，加大视觉形象建设范围，为广大干部群众营造良好的氛围。</w:t>
      </w:r>
    </w:p>
    <w:p>
      <w:pPr>
        <w:ind w:left="640" w:firstLine="0" w:firstLineChars="0"/>
        <w:rPr>
          <w:rFonts w:ascii="黑体" w:hAnsi="黑体" w:eastAsia="黑体"/>
          <w:sz w:val="32"/>
          <w:szCs w:val="32"/>
        </w:rPr>
      </w:pPr>
      <w:r>
        <w:rPr>
          <w:rFonts w:hint="eastAsia" w:ascii="黑体" w:hAnsi="黑体" w:eastAsia="黑体"/>
          <w:sz w:val="32"/>
          <w:szCs w:val="32"/>
        </w:rPr>
        <w:t xml:space="preserve">     五、评价结论</w:t>
      </w:r>
    </w:p>
    <w:p>
      <w:pPr>
        <w:pStyle w:val="2"/>
        <w:ind w:left="640" w:firstLine="64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为全县经济社会健康快速发展营造了良好的社会氛围。</w:t>
      </w:r>
    </w:p>
    <w:p>
      <w:pPr>
        <w:ind w:left="640" w:firstLine="0" w:firstLineChars="0"/>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p>
    <w:p>
      <w:pPr>
        <w:pStyle w:val="32"/>
        <w:widowControl/>
        <w:spacing w:line="520" w:lineRule="exact"/>
        <w:jc w:val="both"/>
        <w:rPr>
          <w:rFonts w:ascii="方正小标宋简体" w:hAnsi="方正小标宋简体" w:eastAsia="方正小标宋简体" w:cs="方正小标宋简体"/>
          <w:bCs/>
          <w:color w:val="auto"/>
          <w:sz w:val="44"/>
          <w:szCs w:val="44"/>
        </w:rPr>
      </w:pPr>
    </w:p>
    <w:p>
      <w:pPr>
        <w:pStyle w:val="5"/>
        <w:bidi w:val="0"/>
        <w:rPr>
          <w:rFonts w:ascii="方正小标宋简体" w:hAnsi="方正小标宋简体" w:eastAsia="方正小标宋简体" w:cs="方正小标宋简体"/>
          <w:bCs/>
          <w:color w:val="auto"/>
          <w:sz w:val="44"/>
          <w:szCs w:val="44"/>
        </w:rPr>
      </w:pPr>
      <w:bookmarkStart w:id="104" w:name="_Toc3926"/>
      <w:r>
        <w:rPr>
          <w:rFonts w:hint="eastAsia"/>
          <w:b w:val="0"/>
          <w:bCs w:val="0"/>
          <w:lang w:val="en-US" w:eastAsia="zh-CN"/>
        </w:rPr>
        <w:t>附件4</w:t>
      </w:r>
      <w:bookmarkEnd w:id="104"/>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中共红原县委宣传部</w:t>
      </w: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关于宣传专项业务费项目支出</w:t>
      </w: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绩效的自评报告</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红原县财政局：</w:t>
      </w:r>
    </w:p>
    <w:p>
      <w:pPr>
        <w:ind w:left="640" w:firstLine="0" w:firstLineChars="0"/>
        <w:rPr>
          <w:rFonts w:ascii="黑体" w:hAnsi="黑体" w:eastAsia="黑体"/>
          <w:sz w:val="32"/>
          <w:szCs w:val="40"/>
        </w:rPr>
      </w:pPr>
      <w:r>
        <w:rPr>
          <w:rFonts w:hint="eastAsia" w:ascii="黑体" w:hAnsi="黑体" w:eastAsia="黑体"/>
          <w:sz w:val="32"/>
          <w:szCs w:val="40"/>
        </w:rPr>
        <w:t xml:space="preserve"> </w:t>
      </w:r>
      <w:r>
        <w:rPr>
          <w:rFonts w:hint="eastAsia" w:ascii="黑体" w:hAnsi="黑体" w:eastAsia="黑体"/>
          <w:sz w:val="32"/>
          <w:szCs w:val="32"/>
        </w:rPr>
        <w:t xml:space="preserve">   一、项目概况</w:t>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 xml:space="preserve">  （一）项目基本情况</w:t>
      </w:r>
    </w:p>
    <w:p>
      <w:pPr>
        <w:pStyle w:val="2"/>
        <w:ind w:left="640" w:firstLine="64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为积极推进我县政治、经济、文化与社会发展，切实加强我县对外宣传力度，充分调动全面各部门、各宣传媒体、通讯员及新闻工作者的积极性，提升我县新闻宣传工作的质量和水平。</w:t>
      </w:r>
    </w:p>
    <w:p>
      <w:pPr>
        <w:ind w:left="640" w:firstLine="0" w:firstLineChars="0"/>
        <w:rPr>
          <w:rFonts w:ascii="黑体" w:hAnsi="黑体" w:eastAsia="黑体"/>
        </w:rPr>
      </w:pPr>
      <w:r>
        <w:rPr>
          <w:rFonts w:hint="eastAsia"/>
        </w:rPr>
        <w:t xml:space="preserve">   </w:t>
      </w:r>
      <w:r>
        <w:rPr>
          <w:rFonts w:hint="eastAsia" w:ascii="黑体" w:hAnsi="黑体" w:eastAsia="黑体"/>
          <w:sz w:val="32"/>
          <w:szCs w:val="32"/>
        </w:rPr>
        <w:t xml:space="preserve">  二、项目资金申报及使用情况</w:t>
      </w:r>
    </w:p>
    <w:p>
      <w:pPr>
        <w:ind w:left="640" w:firstLine="0" w:firstLineChars="0"/>
        <w:rPr>
          <w:b/>
        </w:rPr>
      </w:pPr>
      <w:r>
        <w:rPr>
          <w:rFonts w:hint="eastAsia"/>
        </w:rPr>
        <w:t xml:space="preserve">    </w:t>
      </w:r>
      <w:r>
        <w:rPr>
          <w:rFonts w:hint="eastAsia" w:ascii="楷体" w:hAnsi="楷体" w:eastAsia="楷体" w:cs="楷体"/>
          <w:b/>
          <w:sz w:val="32"/>
          <w:szCs w:val="32"/>
        </w:rPr>
        <w:t>（一）项目资金申报及批复情况</w:t>
      </w:r>
    </w:p>
    <w:p>
      <w:pPr>
        <w:ind w:firstLine="1280" w:firstLineChars="4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经费</w:t>
      </w:r>
      <w:r>
        <w:rPr>
          <w:rFonts w:hint="eastAsia" w:ascii="仿宋_GB2312" w:eastAsia="仿宋_GB2312" w:cs="Times New Roman"/>
          <w:bCs/>
          <w:kern w:val="0"/>
          <w:sz w:val="32"/>
          <w:szCs w:val="24"/>
          <w:lang w:val="en-US" w:eastAsia="zh-CN" w:bidi="ar-SA"/>
        </w:rPr>
        <w:t>于</w:t>
      </w:r>
      <w:r>
        <w:rPr>
          <w:rFonts w:hint="eastAsia" w:ascii="仿宋_GB2312" w:hAnsi="Times New Roman" w:eastAsia="仿宋_GB2312" w:cs="Times New Roman"/>
          <w:bCs/>
          <w:kern w:val="0"/>
          <w:sz w:val="32"/>
          <w:szCs w:val="24"/>
          <w:lang w:val="en-US" w:eastAsia="zh-CN" w:bidi="ar-SA"/>
        </w:rPr>
        <w:t>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年1月2日下达</w:t>
      </w:r>
    </w:p>
    <w:p>
      <w:pPr>
        <w:ind w:left="640" w:firstLine="0" w:firstLineChars="0"/>
        <w:rPr>
          <w:rFonts w:hint="eastAsia" w:ascii="楷体" w:hAnsi="楷体" w:eastAsia="楷体" w:cs="楷体"/>
          <w:b/>
          <w:sz w:val="32"/>
          <w:szCs w:val="32"/>
        </w:rPr>
      </w:pPr>
      <w:r>
        <w:rPr>
          <w:rFonts w:hint="eastAsia"/>
          <w:b/>
          <w:color w:val="0C0C0C" w:themeColor="text1" w:themeTint="F2"/>
        </w:rPr>
        <w:t xml:space="preserve">    </w:t>
      </w:r>
      <w:r>
        <w:rPr>
          <w:rFonts w:hint="eastAsia" w:ascii="楷体" w:hAnsi="楷体" w:eastAsia="楷体" w:cs="楷体"/>
          <w:b/>
          <w:sz w:val="32"/>
          <w:szCs w:val="32"/>
        </w:rPr>
        <w:t>（二）资金计划、到位及使用情况（可用表格形式反映）</w:t>
      </w:r>
    </w:p>
    <w:p>
      <w:pPr>
        <w:ind w:firstLine="960" w:firstLineChars="3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1.201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年1月2日该笔项目资金已全部到位，到位率100%。</w:t>
      </w:r>
    </w:p>
    <w:p>
      <w:pPr>
        <w:ind w:firstLine="960" w:firstLineChars="3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2.</w:t>
      </w:r>
      <w:r>
        <w:rPr>
          <w:rFonts w:hint="eastAsia" w:ascii="仿宋_GB2312" w:hAnsi="Times New Roman" w:eastAsia="仿宋_GB2312" w:cs="Times New Roman"/>
          <w:bCs/>
          <w:kern w:val="0"/>
          <w:sz w:val="32"/>
          <w:szCs w:val="24"/>
          <w:lang w:val="en-US" w:eastAsia="zh-CN" w:bidi="ar-SA"/>
        </w:rPr>
        <w:tab/>
      </w:r>
      <w:r>
        <w:rPr>
          <w:rFonts w:hint="eastAsia" w:ascii="仿宋_GB2312" w:hAnsi="Times New Roman" w:eastAsia="仿宋_GB2312" w:cs="Times New Roman"/>
          <w:bCs/>
          <w:kern w:val="0"/>
          <w:sz w:val="32"/>
          <w:szCs w:val="24"/>
          <w:lang w:val="en-US" w:eastAsia="zh-CN" w:bidi="ar-SA"/>
        </w:rPr>
        <w:t>资金使用</w:t>
      </w:r>
    </w:p>
    <w:p>
      <w:pPr>
        <w:ind w:firstLine="960" w:firstLineChars="3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截止201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年，该笔项目资金已使用完毕。</w:t>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 xml:space="preserve">   （三）项目财务管理情况</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我单位严格按照会计核算制度，坚持先审核，后审批的财务管理制度。规范专项资金核算，确保账目清晰我单位严格按照红原县人民政府制定的项目资金管理办法进行管理，对专项资金进行单独核算，保证专项资金核算的真实、准确、完整；确保专项资金专款专用，我单位根据专项资金的预定用途支出款项，严格执行专项资金管理制度，积极发挥财务工作人员的会计监督功能，避免让财务监督流于形式，确保专项资金专款专用；财务人员所有报账凭证的审核，对原始凭证的真实性、合法性进行把关。该项目支出均有相关的授权审批，资金拨付严格审批程序，使用规范，会计核算结果真实、准确。</w:t>
      </w:r>
    </w:p>
    <w:p>
      <w:pPr>
        <w:ind w:left="640" w:firstLine="0" w:firstLineChars="0"/>
        <w:rPr>
          <w:rFonts w:ascii="黑体" w:hAnsi="黑体" w:eastAsia="黑体"/>
        </w:rPr>
      </w:pPr>
      <w:r>
        <w:rPr>
          <w:rFonts w:hint="eastAsia" w:ascii="黑体" w:hAnsi="黑体" w:eastAsia="黑体"/>
        </w:rPr>
        <w:t xml:space="preserve">  </w:t>
      </w:r>
      <w:r>
        <w:rPr>
          <w:rFonts w:hint="eastAsia" w:ascii="黑体" w:hAnsi="黑体" w:eastAsia="黑体"/>
          <w:sz w:val="32"/>
          <w:szCs w:val="32"/>
        </w:rPr>
        <w:t xml:space="preserve">  三、项目实施及管理情况</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该项目由专人负责具体实施，严格执行《财务管理规定》扎实推进，同时明确工作目标、时间节点，统筹协调，确保项目按期推进。</w:t>
      </w:r>
    </w:p>
    <w:p>
      <w:pPr>
        <w:ind w:left="640" w:firstLine="0" w:firstLineChars="0"/>
        <w:rPr>
          <w:rFonts w:hint="eastAsia" w:ascii="黑体" w:hAnsi="黑体" w:eastAsia="黑体"/>
          <w:sz w:val="32"/>
          <w:szCs w:val="32"/>
        </w:rPr>
      </w:pPr>
      <w:r>
        <w:rPr>
          <w:rFonts w:hint="eastAsia" w:ascii="黑体" w:hAnsi="黑体" w:eastAsia="黑体"/>
          <w:sz w:val="32"/>
          <w:szCs w:val="32"/>
        </w:rPr>
        <w:t xml:space="preserve">    四、项目绩效情况</w:t>
      </w:r>
      <w:r>
        <w:rPr>
          <w:rFonts w:hint="eastAsia" w:ascii="黑体" w:hAnsi="黑体" w:eastAsia="黑体"/>
          <w:sz w:val="32"/>
          <w:szCs w:val="32"/>
        </w:rPr>
        <w:tab/>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 xml:space="preserve">   （一）项目完成情况。</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该项目于该项目于201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年完工。</w:t>
      </w:r>
    </w:p>
    <w:p>
      <w:pPr>
        <w:ind w:left="640" w:firstLine="0" w:firstLineChars="0"/>
        <w:rPr>
          <w:b/>
        </w:rPr>
      </w:pPr>
      <w:r>
        <w:rPr>
          <w:rFonts w:hint="eastAsia"/>
        </w:rPr>
        <w:t xml:space="preserve">  </w:t>
      </w:r>
      <w:r>
        <w:rPr>
          <w:rFonts w:hint="eastAsia" w:ascii="楷体" w:hAnsi="楷体" w:eastAsia="楷体" w:cs="楷体"/>
          <w:b/>
          <w:sz w:val="32"/>
          <w:szCs w:val="32"/>
        </w:rPr>
        <w:t xml:space="preserve"> （二）项目效益情况</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积极推进我县政治、经济、文化与社会发展，切实加强我县对外宣传力度，充分调动全面各部门、各宣传媒体、通讯员及新闻工作者的积极性，提升我县新闻宣传工作的质量和水平。</w:t>
      </w:r>
    </w:p>
    <w:p>
      <w:pPr>
        <w:ind w:left="640" w:firstLine="0" w:firstLineChars="0"/>
        <w:rPr>
          <w:rFonts w:hint="eastAsia" w:ascii="黑体" w:hAnsi="黑体" w:eastAsia="黑体"/>
          <w:sz w:val="32"/>
          <w:szCs w:val="32"/>
        </w:rPr>
      </w:pPr>
      <w:r>
        <w:rPr>
          <w:rFonts w:hint="eastAsia" w:ascii="黑体" w:hAnsi="黑体" w:eastAsia="黑体"/>
        </w:rPr>
        <w:t xml:space="preserve">   </w:t>
      </w:r>
      <w:r>
        <w:rPr>
          <w:rFonts w:hint="eastAsia" w:ascii="黑体" w:hAnsi="黑体" w:eastAsia="黑体"/>
          <w:sz w:val="32"/>
          <w:szCs w:val="32"/>
        </w:rPr>
        <w:t xml:space="preserve">  五、评价结论</w:t>
      </w:r>
    </w:p>
    <w:p>
      <w:pPr>
        <w:ind w:left="640" w:firstLine="640" w:firstLineChars="20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进一步提高我县新闻宣传和信息报送质量，及时、准确、全面反映各项工作推进情况，实现新闻宣传和信息报送工作的常态化、制度化、规范化，为全县经济社会健康快速发展营造了良好的社会氛围。</w:t>
      </w:r>
    </w:p>
    <w:p>
      <w:pPr>
        <w:ind w:firstLine="2640" w:firstLineChars="600"/>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2"/>
        <w:rPr>
          <w:rStyle w:val="33"/>
          <w:rFonts w:ascii="黑体" w:hAnsi="黑体" w:eastAsia="黑体"/>
          <w:b w:val="0"/>
        </w:rPr>
      </w:pPr>
    </w:p>
    <w:p>
      <w:pPr>
        <w:pStyle w:val="5"/>
        <w:bidi w:val="0"/>
        <w:rPr>
          <w:rFonts w:hint="eastAsia"/>
          <w:b w:val="0"/>
          <w:bCs w:val="0"/>
          <w:lang w:val="en-US" w:eastAsia="zh-CN"/>
        </w:rPr>
      </w:pPr>
      <w:bookmarkStart w:id="105" w:name="_Toc16225"/>
      <w:r>
        <w:rPr>
          <w:rFonts w:hint="eastAsia"/>
          <w:b w:val="0"/>
          <w:bCs w:val="0"/>
          <w:lang w:val="en-US" w:eastAsia="zh-CN"/>
        </w:rPr>
        <w:t>附件5</w:t>
      </w:r>
      <w:bookmarkEnd w:id="105"/>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中共红原县委宣传部</w:t>
      </w:r>
    </w:p>
    <w:p>
      <w:pPr>
        <w:pStyle w:val="32"/>
        <w:widowControl/>
        <w:spacing w:line="520" w:lineRule="exact"/>
        <w:ind w:firstLine="42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关于出版物印制费项目支出绩效的自评报告</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红原县财政局：</w:t>
      </w:r>
    </w:p>
    <w:p>
      <w:pPr>
        <w:ind w:left="640" w:firstLine="0" w:firstLineChars="0"/>
        <w:rPr>
          <w:rFonts w:ascii="黑体" w:hAnsi="黑体" w:eastAsia="黑体"/>
        </w:rPr>
      </w:pPr>
      <w:r>
        <w:rPr>
          <w:rFonts w:hint="eastAsia" w:ascii="黑体" w:hAnsi="黑体" w:eastAsia="黑体"/>
        </w:rPr>
        <w:t xml:space="preserve">  </w:t>
      </w:r>
      <w:r>
        <w:rPr>
          <w:rFonts w:hint="eastAsia" w:ascii="黑体" w:hAnsi="黑体" w:eastAsia="黑体"/>
          <w:sz w:val="32"/>
          <w:szCs w:val="32"/>
        </w:rPr>
        <w:t xml:space="preserve">  一、项目概况</w:t>
      </w:r>
    </w:p>
    <w:p>
      <w:pPr>
        <w:ind w:left="640" w:firstLine="0" w:firstLineChars="0"/>
        <w:rPr>
          <w:b/>
        </w:rPr>
      </w:pPr>
      <w:r>
        <w:rPr>
          <w:rFonts w:hint="eastAsia"/>
        </w:rPr>
        <w:t xml:space="preserve">   </w:t>
      </w:r>
      <w:r>
        <w:rPr>
          <w:rFonts w:hint="eastAsia" w:ascii="楷体" w:hAnsi="楷体" w:eastAsia="楷体" w:cs="楷体"/>
          <w:b/>
          <w:sz w:val="32"/>
          <w:szCs w:val="32"/>
        </w:rPr>
        <w:t>（一）项目基本情况</w:t>
      </w:r>
    </w:p>
    <w:p>
      <w:pPr>
        <w:pStyle w:val="2"/>
        <w:ind w:left="640" w:firstLine="64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为进一步丰富</w:t>
      </w:r>
      <w:r>
        <w:rPr>
          <w:rFonts w:hint="eastAsia" w:ascii="仿宋_GB2312" w:eastAsia="仿宋_GB2312" w:cs="Times New Roman"/>
          <w:bCs/>
          <w:kern w:val="0"/>
          <w:sz w:val="32"/>
          <w:szCs w:val="24"/>
          <w:lang w:val="en-US" w:eastAsia="zh-CN" w:bidi="ar-SA"/>
        </w:rPr>
        <w:t>群众</w:t>
      </w:r>
      <w:r>
        <w:rPr>
          <w:rFonts w:hint="eastAsia" w:ascii="仿宋_GB2312" w:hAnsi="Times New Roman" w:eastAsia="仿宋_GB2312" w:cs="Times New Roman"/>
          <w:bCs/>
          <w:kern w:val="0"/>
          <w:sz w:val="32"/>
          <w:szCs w:val="24"/>
          <w:lang w:val="en-US" w:eastAsia="zh-CN" w:bidi="ar-SA"/>
        </w:rPr>
        <w:t>精神文化生活、完善</w:t>
      </w:r>
      <w:r>
        <w:rPr>
          <w:rFonts w:hint="eastAsia" w:ascii="仿宋_GB2312" w:eastAsia="仿宋_GB2312" w:cs="Times New Roman"/>
          <w:bCs/>
          <w:kern w:val="0"/>
          <w:sz w:val="32"/>
          <w:szCs w:val="24"/>
          <w:lang w:val="en-US" w:eastAsia="zh-CN" w:bidi="ar-SA"/>
        </w:rPr>
        <w:t>出版物印制</w:t>
      </w:r>
      <w:r>
        <w:rPr>
          <w:rFonts w:hint="eastAsia" w:ascii="仿宋_GB2312" w:hAnsi="Times New Roman" w:eastAsia="仿宋_GB2312" w:cs="Times New Roman"/>
          <w:bCs/>
          <w:kern w:val="0"/>
          <w:sz w:val="32"/>
          <w:szCs w:val="24"/>
          <w:lang w:val="en-US" w:eastAsia="zh-CN" w:bidi="ar-SA"/>
        </w:rPr>
        <w:t>工作长效机制，充分发挥</w:t>
      </w:r>
      <w:r>
        <w:rPr>
          <w:rFonts w:hint="eastAsia" w:ascii="仿宋_GB2312" w:eastAsia="仿宋_GB2312" w:cs="Times New Roman"/>
          <w:bCs/>
          <w:kern w:val="0"/>
          <w:sz w:val="32"/>
          <w:szCs w:val="24"/>
          <w:lang w:val="en-US" w:eastAsia="zh-CN" w:bidi="ar-SA"/>
        </w:rPr>
        <w:t>出版物对青少年、农牧民群众</w:t>
      </w:r>
      <w:r>
        <w:rPr>
          <w:rFonts w:hint="eastAsia" w:ascii="仿宋_GB2312" w:hAnsi="Times New Roman" w:eastAsia="仿宋_GB2312" w:cs="Times New Roman"/>
          <w:bCs/>
          <w:kern w:val="0"/>
          <w:sz w:val="32"/>
          <w:szCs w:val="24"/>
          <w:lang w:val="en-US" w:eastAsia="zh-CN" w:bidi="ar-SA"/>
        </w:rPr>
        <w:t>的教育作用</w:t>
      </w:r>
      <w:r>
        <w:rPr>
          <w:rFonts w:hint="eastAsia" w:ascii="仿宋_GB2312" w:eastAsia="仿宋_GB2312" w:cs="Times New Roman"/>
          <w:bCs/>
          <w:kern w:val="0"/>
          <w:sz w:val="32"/>
          <w:szCs w:val="24"/>
          <w:lang w:val="en-US" w:eastAsia="zh-CN" w:bidi="ar-SA"/>
        </w:rPr>
        <w:t>。</w:t>
      </w:r>
    </w:p>
    <w:p>
      <w:pPr>
        <w:ind w:left="640" w:firstLine="0" w:firstLineChars="0"/>
        <w:rPr>
          <w:rFonts w:hint="eastAsia" w:ascii="楷体" w:hAnsi="楷体" w:eastAsia="楷体" w:cs="楷体"/>
          <w:b/>
          <w:sz w:val="32"/>
          <w:szCs w:val="32"/>
        </w:rPr>
      </w:pPr>
      <w:r>
        <w:rPr>
          <w:rFonts w:hint="eastAsia"/>
        </w:rPr>
        <w:t xml:space="preserve"> </w:t>
      </w:r>
      <w:r>
        <w:rPr>
          <w:rFonts w:hint="eastAsia" w:ascii="楷体" w:hAnsi="楷体" w:eastAsia="楷体" w:cs="楷体"/>
          <w:b/>
          <w:sz w:val="32"/>
          <w:szCs w:val="32"/>
        </w:rPr>
        <w:t xml:space="preserve">   二、项目资金申报及使用情况</w:t>
      </w:r>
    </w:p>
    <w:p>
      <w:pPr>
        <w:ind w:left="640" w:firstLine="0" w:firstLineChars="0"/>
        <w:rPr>
          <w:b/>
        </w:rPr>
      </w:pPr>
      <w:r>
        <w:rPr>
          <w:rFonts w:hint="eastAsia"/>
        </w:rPr>
        <w:t xml:space="preserve">    </w:t>
      </w:r>
      <w:r>
        <w:rPr>
          <w:rFonts w:hint="eastAsia" w:ascii="楷体" w:hAnsi="楷体" w:eastAsia="楷体" w:cs="楷体"/>
          <w:b/>
          <w:sz w:val="32"/>
          <w:szCs w:val="32"/>
        </w:rPr>
        <w:t>（一）项目资金申报及批复情况</w:t>
      </w:r>
    </w:p>
    <w:p>
      <w:pPr>
        <w:ind w:left="640"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大型户外广告经费与201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年1月2日下达</w:t>
      </w:r>
    </w:p>
    <w:p>
      <w:pPr>
        <w:ind w:firstLine="422" w:firstLineChars="200"/>
        <w:rPr>
          <w:b/>
        </w:rPr>
      </w:pPr>
      <w:r>
        <w:rPr>
          <w:rFonts w:hint="eastAsia"/>
          <w:b/>
        </w:rPr>
        <w:t xml:space="preserve">  </w:t>
      </w:r>
      <w:r>
        <w:rPr>
          <w:rFonts w:hint="eastAsia" w:ascii="楷体" w:hAnsi="楷体" w:eastAsia="楷体" w:cs="楷体"/>
          <w:b/>
          <w:sz w:val="32"/>
          <w:szCs w:val="32"/>
        </w:rPr>
        <w:t xml:space="preserve"> （二）资金计划、到位及使用情况（可用表格形式反映）</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1.201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年1月2日该笔项目资金已全部到位，到位率100%。</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2.</w:t>
      </w:r>
      <w:r>
        <w:rPr>
          <w:rFonts w:hint="eastAsia" w:ascii="仿宋_GB2312" w:hAnsi="Times New Roman" w:eastAsia="仿宋_GB2312" w:cs="Times New Roman"/>
          <w:bCs/>
          <w:kern w:val="0"/>
          <w:sz w:val="32"/>
          <w:szCs w:val="24"/>
          <w:lang w:val="en-US" w:eastAsia="zh-CN" w:bidi="ar-SA"/>
        </w:rPr>
        <w:tab/>
      </w:r>
      <w:r>
        <w:rPr>
          <w:rFonts w:hint="eastAsia" w:ascii="仿宋_GB2312" w:hAnsi="Times New Roman" w:eastAsia="仿宋_GB2312" w:cs="Times New Roman"/>
          <w:bCs/>
          <w:kern w:val="0"/>
          <w:sz w:val="32"/>
          <w:szCs w:val="24"/>
          <w:lang w:val="en-US" w:eastAsia="zh-CN" w:bidi="ar-SA"/>
        </w:rPr>
        <w:t>资金使用</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截止201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年，该笔项目资金已使用完毕。</w:t>
      </w:r>
    </w:p>
    <w:p>
      <w:pPr>
        <w:ind w:left="640" w:firstLine="0" w:firstLineChars="0"/>
        <w:rPr>
          <w:rFonts w:hint="eastAsia" w:ascii="楷体" w:hAnsi="楷体" w:eastAsia="楷体" w:cs="楷体"/>
          <w:b/>
          <w:sz w:val="32"/>
          <w:szCs w:val="32"/>
        </w:rPr>
      </w:pPr>
      <w:r>
        <w:rPr>
          <w:rFonts w:hint="eastAsia" w:ascii="楷体" w:hAnsi="楷体" w:eastAsia="楷体" w:cs="楷体"/>
          <w:b/>
          <w:sz w:val="32"/>
          <w:szCs w:val="32"/>
        </w:rPr>
        <w:t xml:space="preserve">   （三）项目财务管理情况</w:t>
      </w:r>
    </w:p>
    <w:p>
      <w:pPr>
        <w:ind w:left="640" w:firstLine="0" w:firstLineChars="0"/>
        <w:rPr>
          <w:rFonts w:hint="eastAsia" w:ascii="仿宋_GB2312" w:hAnsi="Times New Roman" w:eastAsia="仿宋_GB2312" w:cs="Times New Roman"/>
          <w:bCs/>
          <w:kern w:val="0"/>
          <w:sz w:val="32"/>
          <w:szCs w:val="24"/>
          <w:lang w:val="en-US" w:eastAsia="zh-CN" w:bidi="ar-SA"/>
        </w:rPr>
      </w:pPr>
      <w:r>
        <w:rPr>
          <w:rFonts w:hint="eastAsia"/>
        </w:rPr>
        <w:t xml:space="preserve">    </w:t>
      </w:r>
      <w:r>
        <w:rPr>
          <w:rFonts w:hint="eastAsia" w:ascii="仿宋_GB2312" w:hAnsi="Times New Roman" w:eastAsia="仿宋_GB2312" w:cs="Times New Roman"/>
          <w:bCs/>
          <w:kern w:val="0"/>
          <w:sz w:val="32"/>
          <w:szCs w:val="24"/>
          <w:lang w:val="en-US" w:eastAsia="zh-CN" w:bidi="ar-SA"/>
        </w:rPr>
        <w:t>我单位严格按照会计核算制度，坚持先审核，后审批的财务管理制度。规范专项资金核算，确保账目清晰我单位严格按照红原县人民政府制定的项目资金管理办法进行管理，对专项资金进行单独核算，保证专项资金核算的真实、准确、完整；确保专项资金专款专用，我单位根据专项资金的预定用途支出款项，严格执行专项资金管理制度，积极发挥财务工作人员的会计监督功能，避免让财务监督流于形式，确保专项资金专款专用；财务人员所有报账凭证的审核，对原始凭证的真实性、合法性进行把关。该项目支出均有相关的授权审批，资金拨付严格审批程序，使用规范，会计核算结果真实、准确。</w:t>
      </w:r>
    </w:p>
    <w:p>
      <w:pPr>
        <w:ind w:left="640" w:firstLine="0" w:firstLineChars="0"/>
        <w:rPr>
          <w:rFonts w:ascii="黑体" w:hAnsi="黑体" w:eastAsia="黑体"/>
        </w:rPr>
      </w:pPr>
      <w:r>
        <w:rPr>
          <w:rFonts w:hint="eastAsia" w:ascii="黑体" w:hAnsi="黑体" w:eastAsia="黑体"/>
        </w:rPr>
        <w:t xml:space="preserve">    </w:t>
      </w:r>
      <w:r>
        <w:rPr>
          <w:rFonts w:hint="eastAsia" w:ascii="黑体" w:hAnsi="黑体" w:eastAsia="黑体"/>
          <w:sz w:val="32"/>
          <w:szCs w:val="32"/>
        </w:rPr>
        <w:t>三、项目实施及管理情况</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该项目由专人负责具体实施，严格执行《财务管理规定》扎实推进，同时明确工作目标、时间节点，统筹协调，确保项目按期推进。</w:t>
      </w:r>
    </w:p>
    <w:p>
      <w:pPr>
        <w:ind w:left="640" w:firstLine="0" w:firstLineChars="0"/>
        <w:rPr>
          <w:rFonts w:hint="eastAsia" w:ascii="黑体" w:hAnsi="黑体" w:eastAsia="黑体"/>
          <w:sz w:val="32"/>
          <w:szCs w:val="32"/>
        </w:rPr>
      </w:pPr>
      <w:r>
        <w:rPr>
          <w:rFonts w:hint="eastAsia" w:ascii="黑体" w:hAnsi="黑体" w:eastAsia="黑体"/>
        </w:rPr>
        <w:t xml:space="preserve">  </w:t>
      </w:r>
      <w:r>
        <w:rPr>
          <w:rFonts w:hint="eastAsia" w:ascii="黑体" w:hAnsi="黑体" w:eastAsia="黑体"/>
          <w:sz w:val="32"/>
          <w:szCs w:val="32"/>
        </w:rPr>
        <w:t xml:space="preserve">  四、项目绩效情况</w:t>
      </w:r>
      <w:r>
        <w:rPr>
          <w:rFonts w:hint="eastAsia" w:ascii="黑体" w:hAnsi="黑体" w:eastAsia="黑体"/>
          <w:sz w:val="32"/>
          <w:szCs w:val="32"/>
        </w:rPr>
        <w:tab/>
      </w:r>
    </w:p>
    <w:p>
      <w:pPr>
        <w:ind w:left="640" w:firstLine="0" w:firstLineChars="0"/>
        <w:rPr>
          <w:b/>
        </w:rPr>
      </w:pPr>
      <w:r>
        <w:rPr>
          <w:rFonts w:hint="eastAsia"/>
        </w:rPr>
        <w:t xml:space="preserve">  </w:t>
      </w:r>
      <w:r>
        <w:rPr>
          <w:rFonts w:hint="eastAsia"/>
          <w:b/>
          <w:sz w:val="32"/>
          <w:szCs w:val="32"/>
        </w:rPr>
        <w:t xml:space="preserve"> </w:t>
      </w:r>
      <w:r>
        <w:rPr>
          <w:rFonts w:hint="eastAsia" w:ascii="楷体" w:hAnsi="楷体" w:eastAsia="楷体" w:cs="楷体"/>
          <w:b/>
          <w:sz w:val="32"/>
          <w:szCs w:val="32"/>
        </w:rPr>
        <w:t>（一）项目完成情况。</w:t>
      </w:r>
    </w:p>
    <w:p>
      <w:pPr>
        <w:ind w:firstLine="420" w:firstLineChars="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 xml:space="preserve">    该项目于该项目于201</w:t>
      </w:r>
      <w:r>
        <w:rPr>
          <w:rFonts w:hint="eastAsia" w:ascii="仿宋_GB2312" w:eastAsia="仿宋_GB2312" w:cs="Times New Roman"/>
          <w:bCs/>
          <w:kern w:val="0"/>
          <w:sz w:val="32"/>
          <w:szCs w:val="24"/>
          <w:lang w:val="en-US" w:eastAsia="zh-CN" w:bidi="ar-SA"/>
        </w:rPr>
        <w:t>9</w:t>
      </w:r>
      <w:r>
        <w:rPr>
          <w:rFonts w:hint="eastAsia" w:ascii="仿宋_GB2312" w:hAnsi="Times New Roman" w:eastAsia="仿宋_GB2312" w:cs="Times New Roman"/>
          <w:bCs/>
          <w:kern w:val="0"/>
          <w:sz w:val="32"/>
          <w:szCs w:val="24"/>
          <w:lang w:val="en-US" w:eastAsia="zh-CN" w:bidi="ar-SA"/>
        </w:rPr>
        <w:t>年完工。</w:t>
      </w:r>
    </w:p>
    <w:p>
      <w:pPr>
        <w:ind w:left="640" w:firstLine="0" w:firstLineChars="0"/>
        <w:rPr>
          <w:b/>
        </w:rPr>
      </w:pPr>
      <w:r>
        <w:rPr>
          <w:rFonts w:hint="eastAsia"/>
        </w:rPr>
        <w:t xml:space="preserve">  </w:t>
      </w:r>
      <w:r>
        <w:rPr>
          <w:rFonts w:hint="eastAsia"/>
          <w:b/>
        </w:rPr>
        <w:t xml:space="preserve"> </w:t>
      </w:r>
      <w:r>
        <w:rPr>
          <w:rFonts w:hint="eastAsia"/>
          <w:b/>
          <w:sz w:val="32"/>
          <w:szCs w:val="32"/>
        </w:rPr>
        <w:t>（二）项目效益情况</w:t>
      </w:r>
    </w:p>
    <w:p>
      <w:pPr>
        <w:pStyle w:val="2"/>
        <w:ind w:left="640" w:firstLine="64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加强全县</w:t>
      </w:r>
      <w:r>
        <w:rPr>
          <w:rFonts w:hint="eastAsia" w:ascii="仿宋_GB2312" w:eastAsia="仿宋_GB2312" w:cs="Times New Roman"/>
          <w:bCs/>
          <w:kern w:val="0"/>
          <w:sz w:val="32"/>
          <w:szCs w:val="24"/>
          <w:lang w:val="en-US" w:eastAsia="zh-CN" w:bidi="ar-SA"/>
        </w:rPr>
        <w:t>出版物市场规范</w:t>
      </w:r>
      <w:r>
        <w:rPr>
          <w:rFonts w:hint="eastAsia" w:ascii="仿宋_GB2312" w:hAnsi="Times New Roman" w:eastAsia="仿宋_GB2312" w:cs="Times New Roman"/>
          <w:bCs/>
          <w:kern w:val="0"/>
          <w:sz w:val="32"/>
          <w:szCs w:val="24"/>
          <w:lang w:val="en-US" w:eastAsia="zh-CN" w:bidi="ar-SA"/>
        </w:rPr>
        <w:t>，同时整合部门、学校、家庭、社区等各方面力量，推进</w:t>
      </w:r>
      <w:r>
        <w:rPr>
          <w:rFonts w:hint="eastAsia" w:ascii="仿宋_GB2312" w:eastAsia="仿宋_GB2312" w:cs="Times New Roman"/>
          <w:bCs/>
          <w:kern w:val="0"/>
          <w:sz w:val="32"/>
          <w:szCs w:val="24"/>
          <w:lang w:val="en-US" w:eastAsia="zh-CN" w:bidi="ar-SA"/>
        </w:rPr>
        <w:t>出版物规范化</w:t>
      </w:r>
      <w:r>
        <w:rPr>
          <w:rFonts w:hint="eastAsia" w:ascii="仿宋_GB2312" w:hAnsi="Times New Roman" w:eastAsia="仿宋_GB2312" w:cs="Times New Roman"/>
          <w:bCs/>
          <w:kern w:val="0"/>
          <w:sz w:val="32"/>
          <w:szCs w:val="24"/>
          <w:lang w:val="en-US" w:eastAsia="zh-CN" w:bidi="ar-SA"/>
        </w:rPr>
        <w:t>，实现</w:t>
      </w:r>
      <w:r>
        <w:rPr>
          <w:rFonts w:hint="eastAsia" w:ascii="仿宋_GB2312" w:eastAsia="仿宋_GB2312" w:cs="Times New Roman"/>
          <w:bCs/>
          <w:kern w:val="0"/>
          <w:sz w:val="32"/>
          <w:szCs w:val="24"/>
          <w:lang w:val="en-US" w:eastAsia="zh-CN" w:bidi="ar-SA"/>
        </w:rPr>
        <w:t>净化文化市场、丰富群众精神文化生活</w:t>
      </w:r>
      <w:r>
        <w:rPr>
          <w:rFonts w:hint="eastAsia" w:ascii="仿宋_GB2312" w:hAnsi="Times New Roman" w:eastAsia="仿宋_GB2312" w:cs="Times New Roman"/>
          <w:bCs/>
          <w:kern w:val="0"/>
          <w:sz w:val="32"/>
          <w:szCs w:val="24"/>
          <w:lang w:val="en-US" w:eastAsia="zh-CN" w:bidi="ar-SA"/>
        </w:rPr>
        <w:t>。</w:t>
      </w:r>
    </w:p>
    <w:p>
      <w:pPr>
        <w:ind w:left="640" w:firstLine="0" w:firstLineChars="0"/>
        <w:rPr>
          <w:rFonts w:ascii="黑体" w:hAnsi="黑体" w:eastAsia="黑体"/>
        </w:rPr>
      </w:pPr>
      <w:r>
        <w:rPr>
          <w:rFonts w:hint="eastAsia"/>
        </w:rPr>
        <w:t xml:space="preserve">  </w:t>
      </w:r>
      <w:r>
        <w:rPr>
          <w:rFonts w:hint="eastAsia" w:ascii="黑体" w:hAnsi="黑体" w:eastAsia="黑体"/>
          <w:sz w:val="32"/>
          <w:szCs w:val="32"/>
        </w:rPr>
        <w:t xml:space="preserve">   五、评价结论</w:t>
      </w:r>
    </w:p>
    <w:p>
      <w:pPr>
        <w:pStyle w:val="2"/>
        <w:ind w:left="640" w:firstLine="640"/>
        <w:rPr>
          <w:rFonts w:hint="eastAsia" w:ascii="仿宋_GB2312" w:hAnsi="Times New Roman" w:eastAsia="仿宋_GB2312" w:cs="Times New Roman"/>
          <w:bCs/>
          <w:kern w:val="0"/>
          <w:sz w:val="32"/>
          <w:szCs w:val="24"/>
          <w:lang w:val="en-US" w:eastAsia="zh-CN" w:bidi="ar-SA"/>
        </w:rPr>
      </w:pPr>
      <w:r>
        <w:rPr>
          <w:rFonts w:hint="eastAsia" w:ascii="仿宋_GB2312" w:hAnsi="Times New Roman" w:eastAsia="仿宋_GB2312" w:cs="Times New Roman"/>
          <w:bCs/>
          <w:kern w:val="0"/>
          <w:sz w:val="32"/>
          <w:szCs w:val="24"/>
          <w:lang w:val="en-US" w:eastAsia="zh-CN" w:bidi="ar-SA"/>
        </w:rPr>
        <w:t>引导</w:t>
      </w:r>
      <w:r>
        <w:rPr>
          <w:rFonts w:hint="eastAsia" w:ascii="仿宋_GB2312" w:eastAsia="仿宋_GB2312" w:cs="Times New Roman"/>
          <w:bCs/>
          <w:kern w:val="0"/>
          <w:sz w:val="32"/>
          <w:szCs w:val="24"/>
          <w:lang w:val="en-US" w:eastAsia="zh-CN" w:bidi="ar-SA"/>
        </w:rPr>
        <w:t>出版物市场进一步规范，发挥引领作用，</w:t>
      </w:r>
      <w:r>
        <w:rPr>
          <w:rFonts w:hint="eastAsia" w:ascii="仿宋_GB2312" w:hAnsi="Times New Roman" w:eastAsia="仿宋_GB2312" w:cs="Times New Roman"/>
          <w:bCs/>
          <w:kern w:val="0"/>
          <w:sz w:val="32"/>
          <w:szCs w:val="24"/>
          <w:lang w:val="en-US" w:eastAsia="zh-CN" w:bidi="ar-SA"/>
        </w:rPr>
        <w:t>进一步丰富</w:t>
      </w:r>
      <w:r>
        <w:rPr>
          <w:rFonts w:hint="eastAsia" w:ascii="仿宋_GB2312" w:eastAsia="仿宋_GB2312" w:cs="Times New Roman"/>
          <w:bCs/>
          <w:kern w:val="0"/>
          <w:sz w:val="32"/>
          <w:szCs w:val="24"/>
          <w:lang w:val="en-US" w:eastAsia="zh-CN" w:bidi="ar-SA"/>
        </w:rPr>
        <w:t>农牧民群众</w:t>
      </w:r>
      <w:r>
        <w:rPr>
          <w:rFonts w:hint="eastAsia" w:ascii="仿宋_GB2312" w:hAnsi="Times New Roman" w:eastAsia="仿宋_GB2312" w:cs="Times New Roman"/>
          <w:bCs/>
          <w:kern w:val="0"/>
          <w:sz w:val="32"/>
          <w:szCs w:val="24"/>
          <w:lang w:val="en-US" w:eastAsia="zh-CN" w:bidi="ar-SA"/>
        </w:rPr>
        <w:t>精神文化生活。</w:t>
      </w:r>
    </w:p>
    <w:p>
      <w:pPr>
        <w:spacing w:line="600" w:lineRule="exact"/>
        <w:jc w:val="center"/>
        <w:outlineLvl w:val="9"/>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spacing w:line="600" w:lineRule="exact"/>
        <w:jc w:val="center"/>
        <w:outlineLvl w:val="0"/>
        <w:rPr>
          <w:rStyle w:val="26"/>
          <w:rFonts w:ascii="黑体" w:hAnsi="黑体" w:eastAsia="黑体"/>
          <w:b w:val="0"/>
        </w:rPr>
      </w:pPr>
      <w:bookmarkStart w:id="106" w:name="_Toc10958"/>
      <w:bookmarkStart w:id="107"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98"/>
      <w:bookmarkEnd w:id="106"/>
      <w:bookmarkEnd w:id="107"/>
    </w:p>
    <w:p>
      <w:pPr>
        <w:spacing w:line="600" w:lineRule="exact"/>
        <w:jc w:val="center"/>
        <w:outlineLvl w:val="9"/>
        <w:rPr>
          <w:rFonts w:ascii="仿宋" w:hAnsi="仿宋" w:eastAsia="仿宋"/>
          <w:b/>
          <w:color w:val="000000"/>
          <w:sz w:val="44"/>
          <w:szCs w:val="44"/>
        </w:rPr>
      </w:pPr>
    </w:p>
    <w:p>
      <w:pPr>
        <w:pStyle w:val="5"/>
        <w:rPr>
          <w:rFonts w:ascii="仿宋" w:hAnsi="仿宋" w:eastAsia="仿宋"/>
          <w:color w:val="000000"/>
        </w:rPr>
      </w:pPr>
      <w:bookmarkStart w:id="108" w:name="_Toc22473"/>
      <w:bookmarkStart w:id="109"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108"/>
      <w:bookmarkEnd w:id="109"/>
    </w:p>
    <w:p>
      <w:pPr>
        <w:pStyle w:val="5"/>
        <w:rPr>
          <w:rFonts w:ascii="仿宋" w:hAnsi="仿宋" w:eastAsia="仿宋"/>
          <w:color w:val="000000"/>
        </w:rPr>
      </w:pPr>
      <w:bookmarkStart w:id="110" w:name="_Toc15396620"/>
      <w:bookmarkStart w:id="111" w:name="_Toc7492"/>
      <w:r>
        <w:rPr>
          <w:rFonts w:hint="eastAsia" w:ascii="仿宋" w:hAnsi="仿宋" w:eastAsia="仿宋"/>
          <w:b w:val="0"/>
          <w:color w:val="000000"/>
        </w:rPr>
        <w:t>二、收</w:t>
      </w:r>
      <w:r>
        <w:rPr>
          <w:rStyle w:val="27"/>
          <w:rFonts w:hint="eastAsia" w:ascii="仿宋" w:hAnsi="仿宋" w:eastAsia="仿宋"/>
          <w:b w:val="0"/>
          <w:bCs w:val="0"/>
        </w:rPr>
        <w:t>入决算表</w:t>
      </w:r>
      <w:bookmarkEnd w:id="110"/>
      <w:bookmarkEnd w:id="111"/>
    </w:p>
    <w:p>
      <w:pPr>
        <w:pStyle w:val="5"/>
        <w:rPr>
          <w:rFonts w:ascii="仿宋" w:hAnsi="仿宋" w:eastAsia="仿宋"/>
          <w:color w:val="000000"/>
        </w:rPr>
      </w:pPr>
      <w:bookmarkStart w:id="112" w:name="_Toc15396621"/>
      <w:bookmarkStart w:id="113" w:name="_Toc22779"/>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12"/>
      <w:bookmarkEnd w:id="113"/>
    </w:p>
    <w:p>
      <w:pPr>
        <w:pStyle w:val="5"/>
        <w:rPr>
          <w:rFonts w:ascii="仿宋" w:hAnsi="仿宋" w:eastAsia="仿宋"/>
          <w:b w:val="0"/>
          <w:color w:val="000000"/>
        </w:rPr>
      </w:pPr>
      <w:bookmarkStart w:id="114" w:name="_Toc27920"/>
      <w:bookmarkStart w:id="115"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14"/>
      <w:bookmarkEnd w:id="115"/>
    </w:p>
    <w:p>
      <w:pPr>
        <w:pStyle w:val="5"/>
        <w:rPr>
          <w:rStyle w:val="27"/>
          <w:rFonts w:ascii="仿宋" w:hAnsi="仿宋" w:eastAsia="仿宋"/>
          <w:b w:val="0"/>
          <w:bCs w:val="0"/>
        </w:rPr>
      </w:pPr>
      <w:bookmarkStart w:id="116" w:name="_Toc15396623"/>
      <w:bookmarkStart w:id="117" w:name="_Toc22546"/>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16"/>
      <w:bookmarkEnd w:id="117"/>
      <w:bookmarkStart w:id="118" w:name="_Toc15396624"/>
    </w:p>
    <w:p>
      <w:pPr>
        <w:pStyle w:val="5"/>
        <w:rPr>
          <w:rFonts w:ascii="仿宋" w:hAnsi="仿宋" w:eastAsia="仿宋"/>
          <w:color w:val="000000"/>
        </w:rPr>
      </w:pPr>
      <w:bookmarkStart w:id="119" w:name="_Toc27259"/>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18"/>
      <w:bookmarkEnd w:id="119"/>
    </w:p>
    <w:p>
      <w:pPr>
        <w:pStyle w:val="5"/>
        <w:rPr>
          <w:rFonts w:ascii="仿宋" w:hAnsi="仿宋" w:eastAsia="仿宋"/>
          <w:color w:val="000000"/>
        </w:rPr>
      </w:pPr>
      <w:bookmarkStart w:id="120" w:name="_Toc15396625"/>
      <w:bookmarkStart w:id="121" w:name="_Toc7526"/>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20"/>
      <w:bookmarkEnd w:id="121"/>
    </w:p>
    <w:p>
      <w:pPr>
        <w:pStyle w:val="5"/>
        <w:rPr>
          <w:rFonts w:ascii="仿宋" w:hAnsi="仿宋" w:eastAsia="仿宋"/>
          <w:color w:val="000000"/>
        </w:rPr>
      </w:pPr>
      <w:bookmarkStart w:id="122" w:name="_Toc22757"/>
      <w:bookmarkStart w:id="123"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22"/>
      <w:bookmarkEnd w:id="123"/>
    </w:p>
    <w:p>
      <w:pPr>
        <w:pStyle w:val="5"/>
        <w:rPr>
          <w:rFonts w:ascii="仿宋" w:hAnsi="仿宋" w:eastAsia="仿宋"/>
          <w:color w:val="000000"/>
        </w:rPr>
      </w:pPr>
      <w:bookmarkStart w:id="124" w:name="_Toc12691"/>
      <w:bookmarkStart w:id="125"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24"/>
      <w:bookmarkEnd w:id="125"/>
    </w:p>
    <w:p>
      <w:pPr>
        <w:pStyle w:val="5"/>
        <w:rPr>
          <w:rFonts w:ascii="仿宋" w:hAnsi="仿宋" w:eastAsia="仿宋"/>
          <w:color w:val="000000"/>
        </w:rPr>
      </w:pPr>
      <w:bookmarkStart w:id="126" w:name="_Toc15396628"/>
      <w:bookmarkStart w:id="127" w:name="_Toc118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26"/>
      <w:bookmarkEnd w:id="127"/>
    </w:p>
    <w:p>
      <w:pPr>
        <w:pStyle w:val="5"/>
        <w:rPr>
          <w:rFonts w:ascii="仿宋" w:hAnsi="仿宋" w:eastAsia="仿宋"/>
          <w:color w:val="000000"/>
        </w:rPr>
      </w:pPr>
      <w:bookmarkStart w:id="128" w:name="_Toc15396629"/>
      <w:bookmarkStart w:id="129" w:name="_Toc27584"/>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28"/>
      <w:bookmarkEnd w:id="129"/>
    </w:p>
    <w:p>
      <w:pPr>
        <w:pStyle w:val="5"/>
        <w:rPr>
          <w:rFonts w:ascii="仿宋" w:hAnsi="仿宋" w:eastAsia="仿宋"/>
          <w:color w:val="000000"/>
        </w:rPr>
      </w:pPr>
      <w:bookmarkStart w:id="130" w:name="_Toc15396630"/>
      <w:bookmarkStart w:id="131" w:name="_Toc64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30"/>
      <w:bookmarkEnd w:id="131"/>
    </w:p>
    <w:p>
      <w:pPr>
        <w:pStyle w:val="5"/>
        <w:rPr>
          <w:rFonts w:ascii="仿宋" w:hAnsi="仿宋" w:eastAsia="仿宋"/>
          <w:color w:val="000000" w:themeColor="text1"/>
        </w:rPr>
      </w:pPr>
      <w:bookmarkStart w:id="132" w:name="_Toc15396631"/>
      <w:bookmarkStart w:id="133" w:name="_Toc21254"/>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132"/>
      <w:bookmarkEnd w:id="13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4">
    <w:nsid w:val="77D1A156"/>
    <w:multiLevelType w:val="singleLevel"/>
    <w:tmpl w:val="77D1A156"/>
    <w:lvl w:ilvl="0" w:tentative="0">
      <w:start w:val="1"/>
      <w:numFmt w:val="decimal"/>
      <w:lvlText w:val="%1."/>
      <w:lvlJc w:val="left"/>
      <w:pPr>
        <w:tabs>
          <w:tab w:val="left" w:pos="312"/>
        </w:tabs>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UzMWM4OGZhMjk3Y2M5NGFkZjYzZWVmYTAyNWY0N2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01F4A"/>
    <w:rsid w:val="01BD017F"/>
    <w:rsid w:val="10C055FF"/>
    <w:rsid w:val="16BB723D"/>
    <w:rsid w:val="240371BF"/>
    <w:rsid w:val="29FD04D3"/>
    <w:rsid w:val="2BD851D1"/>
    <w:rsid w:val="319F7F4E"/>
    <w:rsid w:val="36653A3F"/>
    <w:rsid w:val="4B1931D8"/>
    <w:rsid w:val="4ECE2238"/>
    <w:rsid w:val="52932857"/>
    <w:rsid w:val="57A70DE1"/>
    <w:rsid w:val="58060E8D"/>
    <w:rsid w:val="5FBA5011"/>
    <w:rsid w:val="66A310A7"/>
    <w:rsid w:val="72734D90"/>
    <w:rsid w:val="7AEA2B9C"/>
    <w:rsid w:val="7D32442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after="120"/>
      <w:ind w:left="420" w:leftChars="200"/>
    </w:pPr>
    <w:rPr>
      <w:szCs w:val="20"/>
    </w:rPr>
  </w:style>
  <w:style w:type="paragraph" w:styleId="7">
    <w:name w:val="Body Text"/>
    <w:basedOn w:val="1"/>
    <w:link w:val="23"/>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7"/>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4"/>
    <w:qFormat/>
    <w:uiPriority w:val="9"/>
    <w:rPr>
      <w:rFonts w:ascii="Times New Roman" w:hAnsi="Times New Roman"/>
      <w:b/>
      <w:bCs/>
      <w:kern w:val="44"/>
      <w:sz w:val="44"/>
      <w:szCs w:val="44"/>
    </w:rPr>
  </w:style>
  <w:style w:type="character" w:customStyle="1" w:styleId="27">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28">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6"/>
    <w:qFormat/>
    <w:uiPriority w:val="9"/>
    <w:rPr>
      <w:rFonts w:ascii="Times New Roman" w:hAnsi="Times New Roman"/>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2">
    <w:name w:val="四号正文"/>
    <w:basedOn w:val="1"/>
    <w:qFormat/>
    <w:uiPriority w:val="0"/>
    <w:pPr>
      <w:spacing w:line="360" w:lineRule="auto"/>
      <w:ind w:firstLine="0" w:firstLineChars="0"/>
      <w:jc w:val="both"/>
    </w:pPr>
    <w:rPr>
      <w:rFonts w:ascii="??" w:hAnsi="??" w:eastAsia="宋体"/>
      <w:kern w:val="0"/>
      <w:sz w:val="28"/>
      <w:szCs w:val="21"/>
    </w:rPr>
  </w:style>
  <w:style w:type="character" w:customStyle="1" w:styleId="33">
    <w:name w:val="标题 1 Char"/>
    <w:basedOn w:val="15"/>
    <w:link w:val="4"/>
    <w:qFormat/>
    <w:uiPriority w:val="9"/>
    <w:rPr>
      <w:rFonts w:ascii="Times New Roman" w:hAnsi="Times New Roman"/>
      <w:b/>
      <w:bCs/>
      <w:kern w:val="44"/>
      <w:sz w:val="44"/>
      <w:szCs w:val="44"/>
    </w:r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paragraph" w:customStyle="1" w:styleId="35">
    <w:name w:val="WPSOffice手动目录 2"/>
    <w:uiPriority w:val="0"/>
    <w:pPr>
      <w:ind w:leftChars="200"/>
    </w:pPr>
    <w:rPr>
      <w:rFonts w:ascii="Times New Roman" w:hAnsi="Times New Roman" w:eastAsia="宋体" w:cs="Times New Roman"/>
      <w:sz w:val="20"/>
      <w:szCs w:val="20"/>
    </w:rPr>
  </w:style>
  <w:style w:type="paragraph" w:customStyle="1" w:styleId="3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2</TotalTime>
  <ScaleCrop>false</ScaleCrop>
  <LinksUpToDate>false</LinksUpToDate>
  <CharactersWithSpaces>8587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曉潪</cp:lastModifiedBy>
  <cp:lastPrinted>2020-07-23T02:58:00Z</cp:lastPrinted>
  <dcterms:modified xsi:type="dcterms:W3CDTF">2023-07-21T03:05:54Z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6BF38E5B511545E4997F226BBA080E2D_12</vt:lpwstr>
  </property>
</Properties>
</file>