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0" w:name="_Toc15377426"/>
      <w:bookmarkStart w:id="1" w:name="_Toc15396476"/>
      <w:bookmarkStart w:id="2" w:name="_Toc15378442"/>
      <w:bookmarkStart w:id="3" w:name="_Toc15396598"/>
      <w:bookmarkStart w:id="4" w:name="_Toc15377194"/>
      <w:bookmarkStart w:id="5" w:name="_Toc15396597"/>
      <w:bookmarkStart w:id="6" w:name="_Toc15377425"/>
      <w:bookmarkStart w:id="7" w:name="_Toc15377193"/>
      <w:bookmarkStart w:id="8" w:name="_Toc15306267"/>
      <w:bookmarkStart w:id="9" w:name="_Toc15396475"/>
      <w:bookmarkStart w:id="10" w:name="_Toc15378441"/>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2024年度四川</w:t>
      </w:r>
      <w:bookmarkStart w:id="11" w:name="_Toc15306268"/>
      <w:r>
        <w:rPr>
          <w:rFonts w:hint="eastAsia" w:ascii="Times New Roman" w:eastAsia="方正小标宋简体" w:cs="Times New Roman"/>
          <w:color w:val="auto"/>
          <w:kern w:val="2"/>
          <w:sz w:val="44"/>
          <w:szCs w:val="44"/>
          <w:highlight w:val="none"/>
          <w:lang w:val="en-US" w:eastAsia="zh-CN" w:bidi="ar-SA"/>
        </w:rPr>
        <w:t>省红原县委政法委</w:t>
      </w:r>
      <w:r>
        <w:rPr>
          <w:rFonts w:hint="eastAsia" w:ascii="Times New Roman" w:hAnsi="Times New Roman" w:eastAsia="方正小标宋简体" w:cs="Times New Roman"/>
          <w:color w:val="auto"/>
          <w:kern w:val="2"/>
          <w:sz w:val="44"/>
          <w:szCs w:val="44"/>
          <w:highlight w:val="none"/>
          <w:lang w:val="en-US" w:eastAsia="zh-CN" w:bidi="ar-SA"/>
        </w:rPr>
        <w:t>决算</w:t>
      </w:r>
      <w:bookmarkEnd w:id="0"/>
      <w:bookmarkEnd w:id="1"/>
      <w:bookmarkEnd w:id="2"/>
      <w:bookmarkEnd w:id="3"/>
      <w:bookmarkEnd w:id="4"/>
      <w:bookmarkEnd w:id="11"/>
      <w:r>
        <w:rPr>
          <w:rFonts w:hint="eastAsia" w:ascii="Times New Roman" w:eastAsia="方正小标宋简体" w:cs="Times New Roman"/>
          <w:color w:val="auto"/>
          <w:kern w:val="2"/>
          <w:sz w:val="44"/>
          <w:szCs w:val="44"/>
          <w:highlight w:val="none"/>
          <w:lang w:val="en-US" w:eastAsia="zh-CN" w:bidi="ar-SA"/>
        </w:rPr>
        <w:t>公开说明</w:t>
      </w:r>
    </w:p>
    <w:p>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ascii="Times New Roman" w:hAnsi="Times New Roman" w:eastAsia="方正小标宋简体"/>
          <w:color w:val="auto"/>
          <w:sz w:val="36"/>
          <w:szCs w:val="36"/>
          <w:highlight w:val="none"/>
        </w:rPr>
        <w:br w:type="page"/>
      </w:r>
    </w:p>
    <w:bookmarkEnd w:id="5"/>
    <w:bookmarkEnd w:id="6"/>
    <w:bookmarkEnd w:id="7"/>
    <w:bookmarkEnd w:id="8"/>
    <w:bookmarkEnd w:id="9"/>
    <w:bookmarkEnd w:id="10"/>
    <w:p>
      <w:pPr>
        <w:widowControl/>
        <w:jc w:val="left"/>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28</w:t>
      </w:r>
      <w:bookmarkStart w:id="70" w:name="_GoBack"/>
      <w:bookmarkEnd w:id="70"/>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3"/>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12"/>
      <w:bookmarkEnd w:id="13"/>
    </w:p>
    <w:p>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caps w:val="0"/>
          <w:color w:val="333333"/>
          <w:spacing w:val="0"/>
          <w:kern w:val="0"/>
          <w:sz w:val="32"/>
          <w:szCs w:val="32"/>
          <w:shd w:val="clear" w:color="auto" w:fill="FFFFFF"/>
          <w:lang w:val="en-US" w:eastAsia="zh-CN" w:bidi="ar"/>
        </w:rPr>
      </w:pPr>
      <w:bookmarkStart w:id="14" w:name="_Toc15396601"/>
      <w:bookmarkStart w:id="15" w:name="_Toc15377200"/>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按照中共红原县委县政府办公室关于印发『中共红原县委政法委员会机关配置、内设机构和人员编制规定的通知』（红委办发[2024]85号）文件规定，中共红原县委政法委员会是中共红原县委领导政法工作的职能部门，为正科级，列县委工作机关序列。县委政法委主要职责是：一是贯彻习近平新时代中国特色社会主义思想，坚持党对政法工作的绝对领导，坚决执行党的路线方针政策和党中央、省委、州委及县委重大决策部署，推动完善和落实政治轮训、政治督查制度，推进平安红原、法治红原建设，加强过硬队伍建设，深化职能化建设，坚决维护国家政治安全、确保社会大局稳定、促进社会公平正义、保障人民安居乐业。二是贯彻党中央、省委、州委和县委以及上级党组织决定，研究协调政法单位之间以及政法单位和有关部门（乡镇）之间有关重大事项，统一政法单位思想和行动。三是组织开展政法领域重大实践和理论问题的调查研究，研究拟订全县政法工作的政策措施，及时向县委提出重大决策部署和改革措施的意见和建议。协助县委决策和统筹推进政法领域改革等各项工作。参与有关地方性法规和规章的起草、修改工作，及时提出立法建议。四是督促落实《维护社会稳定责任制规定》，了解掌握和分析研判社会稳定形势、政法工作情况动态，健全社会风险防范化解制度，创新完善各部门参与的综治维稳工作机制，构建社会矛盾纠纷多元预防调处化解综合机制，推动落实社会稳定分析评估，协调推动预防化解影响稳定的社会矛盾和风险，协调应对和妥善处置重大突发事件，统筹推动全县反分裂斗争和维护稳定工作，协调指导政法单位和相关部门做好反渗透、反颠覆、反邪教、反暴恐工作。五是加强对政法工作的督查，统筹协调维护政治安全、维护社会稳定、社会治安综合治理、反邪教、反暴恐等有关法律法规和政策的实施工作。六是支持和监督政法单位依法行使职权，检查政法单位执行党的路线方针政策、党中央、省委、州委和县委重大决策部署以及法律法规的情况，指导和协调政法单位密切配合，研究和协调重大、疑难案件，完善和纪检监察机关工作衔接和协助配合机制，推进严格执法、公正司法。七是指导推动政法系统党的建设和政法队伍建设，协助县委及县委组织部加强政法单位领导班子和干部队伍建设，协助县委和县纪委监委做好监督检查、审查调查工作。八是落实各级国家安全领导机构、全面依法治国领导机构以及县委城乡基层治理领导机构的各项部署，支持配合其办事机构工作。指导政法单位加强政治安全、社会稳定、平安建设、法治建设等重大问题研究，提出建议和工作意见。指导和协调政法单位开展维护政治安全、维护社会稳定、执法司法、创新社会治理等有关工作。九是掌握分析政法舆情动态，指导协调政法单位和有关部门做好依法办理、宣传报道和舆论引导等相关工作，推动政法网络新媒体发展。统筹指导并推动政法系统网络安全工作和职能化建设。十是组织研究政法改革中带有方向性、倾向性和普遍性的重大问题，深化政法改革。十一是完成县委和上级党委政法委员会交办的其他任务。</w:t>
      </w:r>
    </w:p>
    <w:p>
      <w:pPr>
        <w:pStyle w:val="4"/>
        <w:rPr>
          <w:rStyle w:val="32"/>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4"/>
      <w:bookmarkEnd w:id="15"/>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红原县政法委</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红原县政法委</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6" w:name="_Toc15377201"/>
      <w:bookmarkStart w:id="17" w:name="_Toc15377432"/>
      <w:bookmarkStart w:id="18" w:name="_Toc15378448"/>
      <w:bookmarkStart w:id="19" w:name="_Toc15306275"/>
      <w:r>
        <w:rPr>
          <w:rFonts w:hint="eastAsia" w:ascii="Times New Roman" w:cs="仿宋_GB2312"/>
          <w:color w:val="auto"/>
          <w:sz w:val="32"/>
          <w:szCs w:val="32"/>
          <w:highlight w:val="none"/>
          <w:lang w:eastAsia="zh-CN"/>
        </w:rPr>
        <w:t>红原县政法委机关</w:t>
      </w:r>
    </w:p>
    <w:p>
      <w:pPr>
        <w:pStyle w:val="6"/>
        <w:numPr>
          <w:ilvl w:val="0"/>
          <w:numId w:val="2"/>
        </w:numPr>
        <w:adjustRightInd w:val="0"/>
        <w:snapToGrid w:val="0"/>
        <w:spacing w:before="93" w:line="600" w:lineRule="exact"/>
        <w:outlineLvl w:val="2"/>
        <w:rPr>
          <w:rFonts w:hint="eastAsia" w:ascii="Times New Roman" w:cs="仿宋_GB2312"/>
          <w:color w:val="auto"/>
          <w:sz w:val="32"/>
          <w:szCs w:val="32"/>
          <w:highlight w:val="none"/>
          <w:lang w:eastAsia="zh-CN"/>
        </w:rPr>
      </w:pPr>
      <w:r>
        <w:rPr>
          <w:rFonts w:hint="eastAsia" w:ascii="Times New Roman" w:cs="仿宋_GB2312"/>
          <w:color w:val="auto"/>
          <w:sz w:val="32"/>
          <w:szCs w:val="32"/>
          <w:highlight w:val="none"/>
          <w:lang w:eastAsia="zh-CN"/>
        </w:rPr>
        <w:t>红原县矛盾纠纷多元化解协调中心</w:t>
      </w:r>
    </w:p>
    <w:bookmarkEnd w:id="16"/>
    <w:bookmarkEnd w:id="17"/>
    <w:bookmarkEnd w:id="18"/>
    <w:bookmarkEnd w:id="19"/>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20" w:name="_Toc15377204"/>
      <w:bookmarkStart w:id="2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2" w:name="_Toc15377205"/>
      <w:bookmarkStart w:id="2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2"/>
      <w:bookmarkEnd w:id="23"/>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768.28</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31.39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3.93</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支出减少。</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黑体"/>
          <w:color w:val="auto"/>
          <w:sz w:val="32"/>
          <w:szCs w:val="32"/>
          <w:highlight w:val="none"/>
          <w:lang w:eastAsia="zh-CN"/>
        </w:rPr>
      </w:pPr>
      <w:r>
        <w:rPr>
          <w:rFonts w:hint="eastAsia" w:eastAsia="仿宋_GB2312"/>
          <w:lang w:eastAsia="zh-CN"/>
        </w:rPr>
        <w:pict>
          <v:shape id="_x0000_s1027" o:spid="_x0000_s1027" o:spt="75" type="#_x0000_t75" style="position:absolute;left:0pt;margin-left:35.65pt;margin-top:13.15pt;height:222.75pt;width:365.25pt;mso-wrap-distance-bottom:0pt;mso-wrap-distance-top:0pt;z-index:251658240;mso-width-relative:page;mso-height-relative:page;" o:ole="t" filled="f" o:preferrelative="t" stroked="f" coordsize="21600,21600">
            <v:path/>
            <v:fill on="f" focussize="0,0"/>
            <v:stroke on="f"/>
            <v:imagedata r:id="rId9" o:title=""/>
            <o:lock v:ext="edit" aspectratio="t"/>
            <w10:wrap type="topAndBottom"/>
          </v:shape>
          <o:OLEObject Type="Embed" ProgID="Excel.Chart.8" ShapeID="_x0000_s1027" DrawAspect="Content" ObjectID="_1468075725" r:id="rId8">
            <o:LockedField>false</o:LockedField>
          </o:OLEObject>
        </w:pict>
      </w:r>
      <w:bookmarkStart w:id="24" w:name="_Toc15377206"/>
      <w:bookmarkStart w:id="25" w:name="_Toc15396604"/>
      <w:r>
        <w:rPr>
          <w:rFonts w:hint="eastAsia" w:ascii="Times New Roman" w:hAnsi="Times New Roman" w:eastAsia="黑体"/>
          <w:color w:val="auto"/>
          <w:sz w:val="32"/>
          <w:szCs w:val="32"/>
          <w:highlight w:val="none"/>
          <w:lang w:eastAsia="zh-CN"/>
        </w:rPr>
        <w:t>二、收入决算情况说明</w:t>
      </w:r>
      <w:bookmarkEnd w:id="24"/>
      <w:bookmarkEnd w:id="25"/>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768.28万元，其中：一般公共预算财政拨款收入718.28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50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14"/>
        <w:rPr>
          <w:rFonts w:hint="eastAsia" w:ascii="Times New Roman" w:hAnsi="Times New Roman" w:eastAsia="仿宋_GB2312" w:cs="仿宋_GB2312"/>
          <w:color w:val="auto"/>
          <w:sz w:val="32"/>
          <w:szCs w:val="32"/>
          <w:highlight w:val="none"/>
          <w:lang w:eastAsia="zh-CN"/>
        </w:rPr>
      </w:pPr>
      <w:r>
        <w:drawing>
          <wp:inline distT="0" distB="0" distL="114300" distR="114300">
            <wp:extent cx="4362450" cy="264795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6" w:name="_Toc15396605"/>
      <w:bookmarkStart w:id="27"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6"/>
      <w:bookmarkEnd w:id="27"/>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768.28</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449.82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59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318.47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41</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pStyle w:val="14"/>
        <w:rPr>
          <w:rFonts w:hint="eastAsia" w:ascii="Times New Roman" w:hAnsi="Times New Roman" w:eastAsia="仿宋_GB2312" w:cs="仿宋_GB2312"/>
          <w:color w:val="auto"/>
          <w:sz w:val="32"/>
          <w:szCs w:val="32"/>
          <w:highlight w:val="none"/>
          <w:lang w:eastAsia="zh-CN"/>
        </w:rPr>
      </w:pPr>
      <w:r>
        <w:drawing>
          <wp:inline distT="0" distB="0" distL="114300" distR="114300">
            <wp:extent cx="4705350" cy="2421255"/>
            <wp:effectExtent l="4445" t="4445" r="14605" b="12700"/>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32"/>
          <w:rFonts w:ascii="Times New Roman" w:hAnsi="Times New Roman" w:eastAsia="黑体"/>
          <w:b w:val="0"/>
          <w:color w:val="auto"/>
          <w:highlight w:val="none"/>
        </w:rPr>
      </w:pPr>
      <w:bookmarkStart w:id="28" w:name="_Toc15396606"/>
      <w:bookmarkStart w:id="29" w:name="_Toc15377208"/>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28"/>
      <w:bookmarkEnd w:id="2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718.28</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ascii="仿宋_GB2312" w:hAnsi="仿宋_GB2312" w:eastAsia="仿宋_GB2312" w:cs="仿宋_GB2312"/>
          <w:sz w:val="32"/>
          <w:szCs w:val="32"/>
          <w:lang w:val="en-US" w:eastAsia="zh-CN"/>
        </w:rPr>
        <w:t>81.39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，下降</w:t>
      </w:r>
      <w:r>
        <w:rPr>
          <w:rFonts w:hint="eastAsia" w:eastAsia="仿宋_GB2312" w:cs="仿宋_GB2312"/>
          <w:color w:val="auto"/>
          <w:kern w:val="2"/>
          <w:sz w:val="32"/>
          <w:szCs w:val="32"/>
          <w:highlight w:val="none"/>
          <w:lang w:val="en-US" w:eastAsia="zh-CN" w:bidi="ar-SA"/>
        </w:rPr>
        <w:t>10.18</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支出减少。</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pStyle w:val="8"/>
        <w:rPr>
          <w:rStyle w:val="32"/>
          <w:rFonts w:ascii="Times New Roman" w:hAnsi="Times New Roman" w:eastAsia="黑体"/>
          <w:b w:val="0"/>
          <w:color w:val="auto"/>
          <w:highlight w:val="none"/>
        </w:rPr>
      </w:pPr>
      <w:r>
        <w:rPr>
          <w:rStyle w:val="19"/>
          <w:rFonts w:hint="eastAsia" w:ascii="仿宋_GB2312" w:hAnsi="仿宋_GB2312" w:eastAsia="仿宋_GB2312" w:cs="仿宋_GB2312"/>
          <w:sz w:val="32"/>
          <w:szCs w:val="32"/>
          <w:rtl w:val="0"/>
          <w:lang w:eastAsia="zh-CN"/>
        </w:rPr>
        <w:object>
          <v:shape id="_x0000_i1025" o:spt="75" type="#_x0000_t75" style="height:200.25pt;width:362.8pt;" o:ole="t" filled="f" o:preferrelative="t" stroked="f" coordsize="21600,21600">
            <v:path/>
            <v:fill on="f" focussize="0,0"/>
            <v:stroke on="f"/>
            <v:imagedata r:id="rId13" o:title=""/>
            <o:lock v:ext="edit" aspectratio="t"/>
            <w10:wrap type="none"/>
            <w10:anchorlock/>
          </v:shape>
          <o:OLEObject Type="Embed" ProgID="Excel.Chart.8" ShapeID="_x0000_i1025" DrawAspect="Content" ObjectID="_1468075726" r:id="rId12">
            <o:LockedField>false</o:LockedField>
          </o:OLEObject>
        </w:object>
      </w:r>
      <w:bookmarkStart w:id="30" w:name="_Toc15396607"/>
      <w:bookmarkStart w:id="31"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30"/>
      <w:bookmarkEnd w:id="31"/>
    </w:p>
    <w:p>
      <w:pPr>
        <w:spacing w:line="600" w:lineRule="exact"/>
        <w:outlineLvl w:val="2"/>
        <w:rPr>
          <w:rFonts w:hint="eastAsia" w:ascii="Times New Roman" w:hAnsi="Times New Roman" w:eastAsia="楷体_GB2312" w:cs="楷体_GB2312"/>
          <w:b/>
          <w:color w:val="auto"/>
          <w:sz w:val="32"/>
          <w:szCs w:val="32"/>
          <w:highlight w:val="none"/>
        </w:rPr>
      </w:pPr>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2"/>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718.28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93.49</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%。与2023年度相比，一般公共预算财政拨款支出减少81.39万元，下降10.18%。</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支出减少。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14"/>
        <w:jc w:val="center"/>
        <w:rPr>
          <w:rFonts w:hint="eastAsia" w:ascii="Times New Roman" w:hAnsi="Times New Roman" w:eastAsia="仿宋_GB2312" w:cs="仿宋_GB2312"/>
          <w:color w:val="auto"/>
          <w:kern w:val="2"/>
          <w:sz w:val="32"/>
          <w:szCs w:val="32"/>
          <w:highlight w:val="none"/>
          <w:lang w:val="en-US" w:eastAsia="zh-CN" w:bidi="ar-SA"/>
        </w:rPr>
      </w:pPr>
      <w:r>
        <w:rPr>
          <w:rStyle w:val="19"/>
          <w:rFonts w:hint="eastAsia" w:ascii="仿宋_GB2312" w:hAnsi="仿宋_GB2312" w:eastAsia="仿宋_GB2312" w:cs="仿宋_GB2312"/>
          <w:sz w:val="32"/>
          <w:szCs w:val="32"/>
          <w:rtl w:val="0"/>
          <w:lang w:eastAsia="zh-CN"/>
        </w:rPr>
        <w:object>
          <v:shape id="_x0000_i1026" o:spt="75" type="#_x0000_t75" style="height:187.55pt;width:320.7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718.28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399.31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56</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55.66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23.52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32.06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公共安全支出207.74万元，占29%</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pStyle w:val="14"/>
        <w:jc w:val="center"/>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572000" cy="2540000"/>
            <wp:effectExtent l="4445" t="4445" r="14605" b="825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5" w:name="_Toc15377213"/>
      <w:bookmarkStart w:id="36" w:name="_Toc15378460"/>
      <w:bookmarkStart w:id="3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718.28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5"/>
      <w:bookmarkEnd w:id="36"/>
      <w:bookmarkEnd w:id="37"/>
    </w:p>
    <w:p>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一般公共服务</w:t>
      </w:r>
      <w:r>
        <w:rPr>
          <w:rStyle w:val="20"/>
          <w:rFonts w:hint="eastAsia" w:ascii="仿宋_GB2312" w:hAnsi="仿宋_GB2312" w:eastAsia="仿宋_GB2312" w:cs="仿宋_GB2312"/>
          <w:bCs/>
          <w:color w:val="000000"/>
          <w:sz w:val="32"/>
          <w:szCs w:val="32"/>
        </w:rPr>
        <w:t>20136</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399.31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社会保障和就业</w:t>
      </w:r>
      <w:r>
        <w:rPr>
          <w:rStyle w:val="20"/>
          <w:rFonts w:hint="eastAsia" w:ascii="仿宋_GB2312" w:hAnsi="仿宋_GB2312" w:eastAsia="仿宋_GB2312" w:cs="仿宋_GB2312"/>
          <w:bCs/>
          <w:color w:val="000000"/>
          <w:sz w:val="32"/>
          <w:szCs w:val="32"/>
        </w:rPr>
        <w:t>20805</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55.66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.卫生健康</w:t>
      </w:r>
      <w:r>
        <w:rPr>
          <w:rStyle w:val="20"/>
          <w:rFonts w:hint="eastAsia" w:ascii="仿宋_GB2312" w:hAnsi="仿宋_GB2312" w:eastAsia="仿宋_GB2312" w:cs="仿宋_GB2312"/>
          <w:bCs/>
          <w:color w:val="000000"/>
          <w:sz w:val="32"/>
          <w:szCs w:val="32"/>
        </w:rPr>
        <w:t>21011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23.52</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firstLineChars="200"/>
        <w:rPr>
          <w:rStyle w:val="19"/>
          <w:rFonts w:hint="eastAsia" w:ascii="仿宋_GB2312" w:hAnsi="仿宋_GB2312" w:eastAsia="仿宋_GB2312" w:cs="仿宋_GB2312"/>
          <w:sz w:val="32"/>
          <w:szCs w:val="32"/>
          <w:rtl w:val="0"/>
        </w:rPr>
      </w:pPr>
      <w:r>
        <w:rPr>
          <w:rFonts w:hint="eastAsia" w:eastAsia="仿宋_GB2312" w:cs="仿宋_GB2312"/>
          <w:color w:val="auto"/>
          <w:kern w:val="2"/>
          <w:sz w:val="32"/>
          <w:szCs w:val="32"/>
          <w:highlight w:val="none"/>
          <w:lang w:val="en-US" w:eastAsia="zh-CN" w:bidi="ar-SA"/>
        </w:rPr>
        <w:t>4.住房保障支出</w:t>
      </w:r>
      <w:r>
        <w:rPr>
          <w:rStyle w:val="20"/>
          <w:rFonts w:hint="eastAsia" w:ascii="仿宋_GB2312" w:hAnsi="仿宋_GB2312" w:eastAsia="仿宋_GB2312" w:cs="仿宋_GB2312"/>
          <w:b/>
          <w:bCs w:val="0"/>
          <w:color w:val="000000"/>
          <w:sz w:val="32"/>
          <w:szCs w:val="32"/>
          <w:lang w:val="en-US" w:eastAsia="zh-CN"/>
        </w:rPr>
        <w:t>22102：</w:t>
      </w:r>
      <w:r>
        <w:rPr>
          <w:rStyle w:val="20"/>
          <w:rFonts w:hint="eastAsia" w:ascii="仿宋_GB2312" w:hAnsi="仿宋_GB2312" w:eastAsia="仿宋_GB2312" w:cs="仿宋_GB2312"/>
          <w:b w:val="0"/>
          <w:bCs/>
          <w:sz w:val="32"/>
          <w:szCs w:val="32"/>
        </w:rPr>
        <w:t>支出决算</w:t>
      </w:r>
      <w:r>
        <w:rPr>
          <w:rStyle w:val="20"/>
          <w:rFonts w:hint="eastAsia" w:ascii="仿宋_GB2312" w:hAnsi="仿宋_GB2312" w:eastAsia="仿宋_GB2312" w:cs="仿宋_GB2312"/>
          <w:b w:val="0"/>
          <w:bCs/>
          <w:sz w:val="32"/>
          <w:szCs w:val="32"/>
          <w:lang w:eastAsia="zh-CN"/>
        </w:rPr>
        <w:t>为</w:t>
      </w:r>
      <w:r>
        <w:rPr>
          <w:rStyle w:val="20"/>
          <w:rFonts w:hint="eastAsia" w:ascii="仿宋_GB2312" w:hAnsi="仿宋_GB2312" w:eastAsia="仿宋_GB2312" w:cs="仿宋_GB2312"/>
          <w:b w:val="0"/>
          <w:bCs/>
          <w:sz w:val="32"/>
          <w:szCs w:val="32"/>
          <w:lang w:val="en-US" w:eastAsia="zh-CN"/>
        </w:rPr>
        <w:t>:32.06</w:t>
      </w:r>
      <w:r>
        <w:rPr>
          <w:rStyle w:val="20"/>
          <w:rFonts w:hint="eastAsia" w:ascii="仿宋_GB2312" w:hAnsi="仿宋_GB2312" w:eastAsia="仿宋_GB2312" w:cs="仿宋_GB2312"/>
          <w:b w:val="0"/>
          <w:bCs/>
          <w:sz w:val="32"/>
          <w:szCs w:val="32"/>
        </w:rPr>
        <w:t>万元，完成预算</w:t>
      </w:r>
      <w:r>
        <w:rPr>
          <w:rStyle w:val="20"/>
          <w:rFonts w:hint="eastAsia" w:ascii="仿宋_GB2312" w:hAnsi="仿宋_GB2312" w:eastAsia="仿宋_GB2312" w:cs="仿宋_GB2312"/>
          <w:b w:val="0"/>
          <w:bCs/>
          <w:sz w:val="32"/>
          <w:szCs w:val="32"/>
          <w:lang w:val="en-US" w:eastAsia="zh-CN"/>
        </w:rPr>
        <w:t>100</w:t>
      </w:r>
      <w:r>
        <w:rPr>
          <w:rStyle w:val="20"/>
          <w:rFonts w:hint="eastAsia" w:ascii="仿宋_GB2312" w:hAnsi="仿宋_GB2312" w:eastAsia="仿宋_GB2312" w:cs="仿宋_GB2312"/>
          <w:b w:val="0"/>
          <w:bCs/>
          <w:sz w:val="32"/>
          <w:szCs w:val="32"/>
        </w:rPr>
        <w:t>%。</w:t>
      </w:r>
      <w:r>
        <w:rPr>
          <w:rStyle w:val="19"/>
          <w:rFonts w:hint="eastAsia" w:ascii="仿宋_GB2312" w:hAnsi="仿宋_GB2312" w:eastAsia="仿宋_GB2312" w:cs="仿宋_GB2312"/>
          <w:sz w:val="32"/>
          <w:szCs w:val="32"/>
          <w:rtl w:val="0"/>
        </w:rPr>
        <w:t> </w:t>
      </w:r>
    </w:p>
    <w:p>
      <w:pPr>
        <w:spacing w:line="600" w:lineRule="exact"/>
        <w:ind w:firstLine="640" w:firstLineChars="200"/>
        <w:rPr>
          <w:rFonts w:hint="eastAsia"/>
          <w:lang w:val="en-US" w:eastAsia="zh-CN"/>
        </w:rPr>
      </w:pPr>
      <w:r>
        <w:rPr>
          <w:rFonts w:hint="eastAsia" w:ascii="Times New Roman" w:hAnsi="Times New Roman" w:eastAsia="仿宋_GB2312" w:cs="仿宋_GB2312"/>
          <w:color w:val="auto"/>
          <w:kern w:val="2"/>
          <w:sz w:val="32"/>
          <w:szCs w:val="32"/>
          <w:highlight w:val="none"/>
          <w:rtl w:val="0"/>
          <w:lang w:val="en-US" w:eastAsia="zh-CN" w:bidi="ar-SA"/>
        </w:rPr>
        <w:t>5.公共安全支出</w:t>
      </w:r>
      <w:r>
        <w:rPr>
          <w:rStyle w:val="20"/>
          <w:rFonts w:hint="eastAsia" w:ascii="仿宋_GB2312" w:hAnsi="仿宋_GB2312" w:eastAsia="仿宋_GB2312" w:cs="仿宋_GB2312"/>
          <w:bCs w:val="0"/>
          <w:color w:val="000000"/>
          <w:kern w:val="0"/>
          <w:sz w:val="32"/>
          <w:szCs w:val="32"/>
          <w:rtl w:val="0"/>
          <w:lang w:val="en-US" w:eastAsia="zh-CN"/>
        </w:rPr>
        <w:t>20402</w:t>
      </w:r>
      <w:r>
        <w:rPr>
          <w:rStyle w:val="20"/>
          <w:rFonts w:hint="eastAsia" w:hAnsi="仿宋_GB2312" w:cs="仿宋_GB2312"/>
          <w:bCs w:val="0"/>
          <w:color w:val="000000"/>
          <w:kern w:val="0"/>
          <w:sz w:val="32"/>
          <w:szCs w:val="32"/>
          <w:rtl w:val="0"/>
          <w:lang w:val="en-US" w:eastAsia="zh-CN"/>
        </w:rPr>
        <w:t>：</w:t>
      </w:r>
      <w:r>
        <w:rPr>
          <w:rStyle w:val="20"/>
          <w:rFonts w:hint="eastAsia" w:ascii="仿宋_GB2312" w:hAnsi="仿宋_GB2312" w:eastAsia="仿宋_GB2312" w:cs="仿宋_GB2312"/>
          <w:b w:val="0"/>
          <w:bCs/>
          <w:sz w:val="32"/>
          <w:szCs w:val="32"/>
        </w:rPr>
        <w:t>支出决算</w:t>
      </w:r>
      <w:r>
        <w:rPr>
          <w:rStyle w:val="20"/>
          <w:rFonts w:hint="eastAsia" w:ascii="仿宋_GB2312" w:hAnsi="仿宋_GB2312" w:eastAsia="仿宋_GB2312" w:cs="仿宋_GB2312"/>
          <w:b w:val="0"/>
          <w:bCs/>
          <w:sz w:val="32"/>
          <w:szCs w:val="32"/>
          <w:lang w:eastAsia="zh-CN"/>
        </w:rPr>
        <w:t>为</w:t>
      </w:r>
      <w:r>
        <w:rPr>
          <w:rStyle w:val="20"/>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lang w:val="en-US" w:eastAsia="zh-CN"/>
        </w:rPr>
        <w:t>207.74万元，</w:t>
      </w:r>
      <w:r>
        <w:rPr>
          <w:rStyle w:val="20"/>
          <w:rFonts w:hint="eastAsia" w:ascii="仿宋_GB2312" w:hAnsi="仿宋_GB2312" w:eastAsia="仿宋_GB2312" w:cs="仿宋_GB2312"/>
          <w:b w:val="0"/>
          <w:bCs/>
          <w:sz w:val="32"/>
          <w:szCs w:val="32"/>
        </w:rPr>
        <w:t>完成预算</w:t>
      </w:r>
      <w:r>
        <w:rPr>
          <w:rStyle w:val="20"/>
          <w:rFonts w:hint="eastAsia" w:ascii="仿宋_GB2312" w:hAnsi="仿宋_GB2312" w:eastAsia="仿宋_GB2312" w:cs="仿宋_GB2312"/>
          <w:b w:val="0"/>
          <w:bCs/>
          <w:sz w:val="32"/>
          <w:szCs w:val="32"/>
          <w:lang w:val="en-US" w:eastAsia="zh-CN"/>
        </w:rPr>
        <w:t>100</w:t>
      </w:r>
      <w:r>
        <w:rPr>
          <w:rStyle w:val="20"/>
          <w:rFonts w:hint="eastAsia" w:ascii="仿宋_GB2312" w:hAnsi="仿宋_GB2312" w:eastAsia="仿宋_GB2312" w:cs="仿宋_GB2312"/>
          <w:b w:val="0"/>
          <w:bCs/>
          <w:sz w:val="32"/>
          <w:szCs w:val="32"/>
        </w:rPr>
        <w:t>%。</w:t>
      </w:r>
      <w:r>
        <w:rPr>
          <w:rStyle w:val="19"/>
          <w:rFonts w:hint="eastAsia" w:ascii="仿宋_GB2312" w:hAnsi="仿宋_GB2312" w:eastAsia="仿宋_GB2312" w:cs="仿宋_GB2312"/>
          <w:sz w:val="32"/>
          <w:szCs w:val="32"/>
          <w:rtl w:val="0"/>
        </w:rPr>
        <w:t> </w:t>
      </w:r>
    </w:p>
    <w:p>
      <w:pPr>
        <w:pStyle w:val="14"/>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32"/>
          <w:rFonts w:ascii="Times New Roman" w:hAnsi="Times New Roman"/>
          <w:color w:val="auto"/>
          <w:highlight w:val="none"/>
        </w:rPr>
      </w:pPr>
      <w:bookmarkStart w:id="38" w:name="_Toc15377214"/>
      <w:bookmarkStart w:id="3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38"/>
      <w:bookmarkEnd w:id="39"/>
      <w:r>
        <w:rPr>
          <w:rStyle w:val="32"/>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449.82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410.97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w:t>
      </w:r>
      <w:r>
        <w:rPr>
          <w:rFonts w:hint="eastAsia" w:eastAsia="仿宋_GB2312" w:cs="仿宋_GB2312"/>
          <w:color w:val="auto"/>
          <w:kern w:val="2"/>
          <w:sz w:val="32"/>
          <w:szCs w:val="32"/>
          <w:highlight w:val="none"/>
          <w:lang w:val="en-US" w:eastAsia="zh-CN" w:bidi="ar-SA"/>
        </w:rPr>
        <w:t>73.5万元</w:t>
      </w:r>
      <w:r>
        <w:rPr>
          <w:rFonts w:hint="eastAsia" w:ascii="Times New Roman" w:hAnsi="Times New Roman" w:eastAsia="仿宋_GB2312" w:cs="仿宋_GB2312"/>
          <w:color w:val="auto"/>
          <w:kern w:val="2"/>
          <w:sz w:val="32"/>
          <w:szCs w:val="32"/>
          <w:highlight w:val="none"/>
          <w:lang w:val="en-US" w:eastAsia="zh-CN" w:bidi="ar-SA"/>
        </w:rPr>
        <w:t>、津贴补贴</w:t>
      </w:r>
      <w:r>
        <w:rPr>
          <w:rFonts w:hint="eastAsia" w:eastAsia="仿宋_GB2312" w:cs="仿宋_GB2312"/>
          <w:color w:val="auto"/>
          <w:kern w:val="2"/>
          <w:sz w:val="32"/>
          <w:szCs w:val="32"/>
          <w:highlight w:val="none"/>
          <w:lang w:val="en-US" w:eastAsia="zh-CN" w:bidi="ar-SA"/>
        </w:rPr>
        <w:t>118.04万元</w:t>
      </w:r>
      <w:r>
        <w:rPr>
          <w:rFonts w:hint="eastAsia" w:ascii="Times New Roman" w:hAnsi="Times New Roman" w:eastAsia="仿宋_GB2312" w:cs="仿宋_GB2312"/>
          <w:color w:val="auto"/>
          <w:kern w:val="2"/>
          <w:sz w:val="32"/>
          <w:szCs w:val="32"/>
          <w:highlight w:val="none"/>
          <w:lang w:val="en-US" w:eastAsia="zh-CN" w:bidi="ar-SA"/>
        </w:rPr>
        <w:t>、奖金</w:t>
      </w:r>
      <w:r>
        <w:rPr>
          <w:rFonts w:hint="eastAsia" w:eastAsia="仿宋_GB2312" w:cs="仿宋_GB2312"/>
          <w:color w:val="auto"/>
          <w:kern w:val="2"/>
          <w:sz w:val="32"/>
          <w:szCs w:val="32"/>
          <w:highlight w:val="none"/>
          <w:lang w:val="en-US" w:eastAsia="zh-CN" w:bidi="ar-SA"/>
        </w:rPr>
        <w:t>88.48万元</w:t>
      </w:r>
      <w:r>
        <w:rPr>
          <w:rFonts w:hint="eastAsia" w:ascii="Times New Roman" w:hAnsi="Times New Roman" w:eastAsia="仿宋_GB2312" w:cs="仿宋_GB2312"/>
          <w:color w:val="auto"/>
          <w:kern w:val="2"/>
          <w:sz w:val="32"/>
          <w:szCs w:val="32"/>
          <w:highlight w:val="none"/>
          <w:lang w:val="en-US" w:eastAsia="zh-CN" w:bidi="ar-SA"/>
        </w:rPr>
        <w:t>、绩效工资</w:t>
      </w:r>
      <w:r>
        <w:rPr>
          <w:rFonts w:hint="eastAsia" w:eastAsia="仿宋_GB2312" w:cs="仿宋_GB2312"/>
          <w:color w:val="auto"/>
          <w:kern w:val="2"/>
          <w:sz w:val="32"/>
          <w:szCs w:val="32"/>
          <w:highlight w:val="none"/>
          <w:lang w:val="en-US" w:eastAsia="zh-CN" w:bidi="ar-SA"/>
        </w:rPr>
        <w:t>7.37万元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w:t>
      </w:r>
      <w:r>
        <w:rPr>
          <w:rFonts w:hint="eastAsia" w:eastAsia="仿宋_GB2312" w:cs="仿宋_GB2312"/>
          <w:color w:val="auto"/>
          <w:kern w:val="2"/>
          <w:sz w:val="32"/>
          <w:szCs w:val="32"/>
          <w:highlight w:val="none"/>
          <w:lang w:val="en-US" w:eastAsia="zh-CN" w:bidi="ar-SA"/>
        </w:rPr>
        <w:t>37.1万元</w:t>
      </w:r>
      <w:r>
        <w:rPr>
          <w:rFonts w:hint="eastAsia" w:ascii="Times New Roman" w:hAnsi="Times New Roman" w:eastAsia="仿宋_GB2312" w:cs="仿宋_GB2312"/>
          <w:color w:val="auto"/>
          <w:kern w:val="2"/>
          <w:sz w:val="32"/>
          <w:szCs w:val="32"/>
          <w:highlight w:val="none"/>
          <w:lang w:val="en-US" w:eastAsia="zh-CN" w:bidi="ar-SA"/>
        </w:rPr>
        <w:t>、职业年金缴费</w:t>
      </w:r>
      <w:r>
        <w:rPr>
          <w:rFonts w:hint="eastAsia" w:eastAsia="仿宋_GB2312" w:cs="仿宋_GB2312"/>
          <w:color w:val="auto"/>
          <w:kern w:val="2"/>
          <w:sz w:val="32"/>
          <w:szCs w:val="32"/>
          <w:highlight w:val="none"/>
          <w:lang w:val="en-US" w:eastAsia="zh-CN" w:bidi="ar-SA"/>
        </w:rPr>
        <w:t>18.55万元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职工基本医疗18.93万元、公务员医疗补助缴费4.59万元、</w:t>
      </w:r>
      <w:r>
        <w:rPr>
          <w:rFonts w:hint="eastAsia" w:ascii="Times New Roman" w:hAnsi="Times New Roman" w:eastAsia="仿宋_GB2312" w:cs="仿宋_GB2312"/>
          <w:color w:val="auto"/>
          <w:kern w:val="2"/>
          <w:sz w:val="32"/>
          <w:szCs w:val="32"/>
          <w:highlight w:val="none"/>
          <w:lang w:val="en-US" w:eastAsia="zh-CN" w:bidi="ar-SA"/>
        </w:rPr>
        <w:t>其他社会保障缴费</w:t>
      </w:r>
      <w:r>
        <w:rPr>
          <w:rFonts w:hint="eastAsia" w:eastAsia="仿宋_GB2312" w:cs="仿宋_GB2312"/>
          <w:color w:val="auto"/>
          <w:kern w:val="2"/>
          <w:sz w:val="32"/>
          <w:szCs w:val="32"/>
          <w:highlight w:val="none"/>
          <w:lang w:val="en-US" w:eastAsia="zh-CN" w:bidi="ar-SA"/>
        </w:rPr>
        <w:t>4.16万元</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32.06万元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医疗费1.56万元、</w:t>
      </w:r>
      <w:r>
        <w:rPr>
          <w:rFonts w:hint="eastAsia" w:ascii="Times New Roman" w:hAnsi="Times New Roman" w:eastAsia="仿宋_GB2312" w:cs="仿宋_GB2312"/>
          <w:color w:val="auto"/>
          <w:kern w:val="2"/>
          <w:sz w:val="32"/>
          <w:szCs w:val="32"/>
          <w:highlight w:val="none"/>
          <w:lang w:val="en-US" w:eastAsia="zh-CN" w:bidi="ar-SA"/>
        </w:rPr>
        <w:t>对个人和家庭的补助支出</w:t>
      </w:r>
      <w:r>
        <w:rPr>
          <w:rFonts w:hint="eastAsia" w:eastAsia="仿宋_GB2312" w:cs="仿宋_GB2312"/>
          <w:color w:val="auto"/>
          <w:kern w:val="2"/>
          <w:sz w:val="32"/>
          <w:szCs w:val="32"/>
          <w:highlight w:val="none"/>
          <w:lang w:val="en-US" w:eastAsia="zh-CN" w:bidi="ar-SA"/>
        </w:rPr>
        <w:t>6.61万元。</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38.85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9.49万元</w:t>
      </w:r>
      <w:r>
        <w:rPr>
          <w:rFonts w:hint="eastAsia" w:ascii="Times New Roman" w:hAnsi="Times New Roman" w:eastAsia="仿宋_GB2312" w:cs="仿宋_GB2312"/>
          <w:color w:val="auto"/>
          <w:kern w:val="2"/>
          <w:sz w:val="32"/>
          <w:szCs w:val="32"/>
          <w:highlight w:val="none"/>
          <w:lang w:val="en-US" w:eastAsia="zh-CN" w:bidi="ar-SA"/>
        </w:rPr>
        <w:t>、印刷费</w:t>
      </w:r>
      <w:r>
        <w:rPr>
          <w:rFonts w:hint="eastAsia" w:eastAsia="仿宋_GB2312" w:cs="仿宋_GB2312"/>
          <w:color w:val="auto"/>
          <w:kern w:val="2"/>
          <w:sz w:val="32"/>
          <w:szCs w:val="32"/>
          <w:highlight w:val="none"/>
          <w:lang w:val="en-US" w:eastAsia="zh-CN" w:bidi="ar-SA"/>
        </w:rPr>
        <w:t>7.3万元</w:t>
      </w:r>
      <w:r>
        <w:rPr>
          <w:rFonts w:hint="eastAsia" w:ascii="Times New Roman" w:hAnsi="Times New Roman" w:eastAsia="仿宋_GB2312" w:cs="仿宋_GB2312"/>
          <w:color w:val="auto"/>
          <w:kern w:val="2"/>
          <w:sz w:val="32"/>
          <w:szCs w:val="32"/>
          <w:highlight w:val="none"/>
          <w:lang w:val="en-US" w:eastAsia="zh-CN" w:bidi="ar-SA"/>
        </w:rPr>
        <w:t>、电费</w:t>
      </w:r>
      <w:r>
        <w:rPr>
          <w:rFonts w:hint="eastAsia" w:eastAsia="仿宋_GB2312" w:cs="仿宋_GB2312"/>
          <w:color w:val="auto"/>
          <w:kern w:val="2"/>
          <w:sz w:val="32"/>
          <w:szCs w:val="32"/>
          <w:highlight w:val="none"/>
          <w:lang w:val="en-US" w:eastAsia="zh-CN" w:bidi="ar-SA"/>
        </w:rPr>
        <w:t>0.7万元</w:t>
      </w:r>
      <w:r>
        <w:rPr>
          <w:rFonts w:hint="eastAsia" w:ascii="Times New Roman" w:hAnsi="Times New Roman" w:eastAsia="仿宋_GB2312" w:cs="仿宋_GB2312"/>
          <w:color w:val="auto"/>
          <w:kern w:val="2"/>
          <w:sz w:val="32"/>
          <w:szCs w:val="32"/>
          <w:highlight w:val="none"/>
          <w:lang w:val="en-US" w:eastAsia="zh-CN" w:bidi="ar-SA"/>
        </w:rPr>
        <w:t>、邮电费</w:t>
      </w:r>
      <w:r>
        <w:rPr>
          <w:rFonts w:hint="eastAsia" w:eastAsia="仿宋_GB2312" w:cs="仿宋_GB2312"/>
          <w:color w:val="auto"/>
          <w:kern w:val="2"/>
          <w:sz w:val="32"/>
          <w:szCs w:val="32"/>
          <w:highlight w:val="none"/>
          <w:lang w:val="en-US" w:eastAsia="zh-CN" w:bidi="ar-SA"/>
        </w:rPr>
        <w:t>3万元</w:t>
      </w:r>
      <w:r>
        <w:rPr>
          <w:rFonts w:hint="eastAsia" w:ascii="Times New Roman" w:hAnsi="Times New Roman" w:eastAsia="仿宋_GB2312" w:cs="仿宋_GB2312"/>
          <w:color w:val="auto"/>
          <w:kern w:val="2"/>
          <w:sz w:val="32"/>
          <w:szCs w:val="32"/>
          <w:highlight w:val="none"/>
          <w:lang w:val="en-US" w:eastAsia="zh-CN" w:bidi="ar-SA"/>
        </w:rPr>
        <w:t>、差旅费</w:t>
      </w:r>
      <w:r>
        <w:rPr>
          <w:rFonts w:hint="eastAsia" w:eastAsia="仿宋_GB2312" w:cs="仿宋_GB2312"/>
          <w:color w:val="auto"/>
          <w:kern w:val="2"/>
          <w:sz w:val="32"/>
          <w:szCs w:val="32"/>
          <w:highlight w:val="none"/>
          <w:lang w:val="en-US" w:eastAsia="zh-CN" w:bidi="ar-SA"/>
        </w:rPr>
        <w:t>9.01万元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公</w:t>
      </w:r>
      <w:r>
        <w:rPr>
          <w:rFonts w:hint="eastAsia" w:ascii="Times New Roman" w:hAnsi="Times New Roman" w:eastAsia="仿宋_GB2312" w:cs="仿宋_GB2312"/>
          <w:color w:val="auto"/>
          <w:kern w:val="2"/>
          <w:sz w:val="32"/>
          <w:szCs w:val="32"/>
          <w:highlight w:val="none"/>
          <w:lang w:val="en-US" w:eastAsia="zh-CN" w:bidi="ar-SA"/>
        </w:rPr>
        <w:t>务接待费</w:t>
      </w:r>
      <w:r>
        <w:rPr>
          <w:rFonts w:hint="eastAsia" w:eastAsia="仿宋_GB2312" w:cs="仿宋_GB2312"/>
          <w:color w:val="auto"/>
          <w:kern w:val="2"/>
          <w:sz w:val="32"/>
          <w:szCs w:val="32"/>
          <w:highlight w:val="none"/>
          <w:lang w:val="en-US" w:eastAsia="zh-CN" w:bidi="ar-SA"/>
        </w:rPr>
        <w:t>0.62万元</w:t>
      </w:r>
      <w:r>
        <w:rPr>
          <w:rFonts w:hint="eastAsia" w:ascii="Times New Roman" w:hAnsi="Times New Roman" w:eastAsia="仿宋_GB2312" w:cs="仿宋_GB2312"/>
          <w:color w:val="auto"/>
          <w:kern w:val="2"/>
          <w:sz w:val="32"/>
          <w:szCs w:val="32"/>
          <w:highlight w:val="none"/>
          <w:lang w:val="en-US" w:eastAsia="zh-CN" w:bidi="ar-SA"/>
        </w:rPr>
        <w:t>、委托业务费</w:t>
      </w:r>
      <w:r>
        <w:rPr>
          <w:rFonts w:hint="eastAsia" w:eastAsia="仿宋_GB2312" w:cs="仿宋_GB2312"/>
          <w:color w:val="auto"/>
          <w:kern w:val="2"/>
          <w:sz w:val="32"/>
          <w:szCs w:val="32"/>
          <w:highlight w:val="none"/>
          <w:lang w:val="en-US" w:eastAsia="zh-CN" w:bidi="ar-SA"/>
        </w:rPr>
        <w:t>0.3万元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2.94万元</w:t>
      </w:r>
      <w:r>
        <w:rPr>
          <w:rFonts w:hint="eastAsia"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4.09万元</w:t>
      </w:r>
      <w:r>
        <w:rPr>
          <w:rFonts w:hint="eastAsia" w:ascii="Times New Roman" w:hAnsi="Times New Roman" w:eastAsia="仿宋_GB2312" w:cs="仿宋_GB2312"/>
          <w:color w:val="auto"/>
          <w:kern w:val="2"/>
          <w:sz w:val="32"/>
          <w:szCs w:val="32"/>
          <w:highlight w:val="none"/>
          <w:lang w:val="en-US" w:eastAsia="zh-CN" w:bidi="ar-SA"/>
        </w:rPr>
        <w:t>、其他交通费</w:t>
      </w:r>
      <w:r>
        <w:rPr>
          <w:rFonts w:hint="eastAsia" w:eastAsia="仿宋_GB2312" w:cs="仿宋_GB2312"/>
          <w:color w:val="auto"/>
          <w:kern w:val="2"/>
          <w:sz w:val="32"/>
          <w:szCs w:val="32"/>
          <w:highlight w:val="none"/>
          <w:lang w:val="en-US" w:eastAsia="zh-CN" w:bidi="ar-SA"/>
        </w:rPr>
        <w:t>1.4万元。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outlineLvl w:val="1"/>
        <w:rPr>
          <w:rStyle w:val="32"/>
          <w:rFonts w:ascii="Times New Roman" w:hAnsi="Times New Roman" w:eastAsia="黑体"/>
          <w:b w:val="0"/>
          <w:color w:val="auto"/>
          <w:highlight w:val="none"/>
        </w:rPr>
      </w:pPr>
      <w:bookmarkStart w:id="40" w:name="_Toc15396609"/>
      <w:bookmarkStart w:id="41" w:name="_Toc15377215"/>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40"/>
      <w:bookmarkEnd w:id="4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8.55</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97.63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3.71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30.26</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%。决算数小于预算数（或与预算数持平）的主要原因是</w:t>
      </w:r>
      <w:r>
        <w:rPr>
          <w:rFonts w:hint="eastAsia" w:eastAsia="仿宋_GB2312" w:cs="仿宋_GB2312"/>
          <w:color w:val="auto"/>
          <w:kern w:val="2"/>
          <w:sz w:val="32"/>
          <w:szCs w:val="32"/>
          <w:highlight w:val="none"/>
          <w:lang w:val="en-US" w:eastAsia="zh-CN" w:bidi="ar-SA"/>
        </w:rPr>
        <w:t>“三公”经费支出减少。</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7.61</w:t>
      </w:r>
      <w:r>
        <w:rPr>
          <w:rFonts w:hint="eastAsia" w:ascii="仿宋_GB2312" w:hAnsi="仿宋_GB2312" w:eastAsia="仿宋_GB2312" w:cs="仿宋_GB2312"/>
          <w:color w:val="auto"/>
          <w:kern w:val="2"/>
          <w:sz w:val="32"/>
          <w:szCs w:val="32"/>
          <w:highlight w:val="none"/>
          <w:lang w:val="en-US" w:eastAsia="zh-CN" w:bidi="ar-SA"/>
        </w:rPr>
        <w:t>万元，占89%；公务接待费支出决算</w:t>
      </w:r>
      <w:r>
        <w:rPr>
          <w:rFonts w:hint="eastAsia" w:ascii="仿宋_GB2312" w:hAnsi="仿宋_GB2312" w:eastAsia="仿宋_GB2312" w:cs="仿宋_GB2312"/>
          <w:sz w:val="32"/>
          <w:szCs w:val="32"/>
        </w:rPr>
        <w:t>0.94</w:t>
      </w:r>
      <w:r>
        <w:rPr>
          <w:rFonts w:hint="eastAsia" w:ascii="仿宋_GB2312" w:hAnsi="仿宋_GB2312" w:eastAsia="仿宋_GB2312" w:cs="仿宋_GB2312"/>
          <w:color w:val="auto"/>
          <w:kern w:val="2"/>
          <w:sz w:val="32"/>
          <w:szCs w:val="32"/>
          <w:highlight w:val="none"/>
          <w:lang w:val="en-US" w:eastAsia="zh-CN" w:bidi="ar-SA"/>
        </w:rPr>
        <w:t>万元，占11%。具体情况如下：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pStyle w:val="2"/>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59264" behindDoc="0" locked="0" layoutInCell="1" allowOverlap="1">
            <wp:simplePos x="0" y="0"/>
            <wp:positionH relativeFrom="column">
              <wp:posOffset>407670</wp:posOffset>
            </wp:positionH>
            <wp:positionV relativeFrom="paragraph">
              <wp:posOffset>95250</wp:posOffset>
            </wp:positionV>
            <wp:extent cx="4584700" cy="2272665"/>
            <wp:effectExtent l="4445" t="4445" r="20955" b="8890"/>
            <wp:wrapTopAndBottom/>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7.61万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3.92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33.40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公务用车运行维护费减少。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7.61</w:t>
      </w:r>
      <w:r>
        <w:rPr>
          <w:rFonts w:hint="eastAsia" w:ascii="Times New Roman" w:hAnsi="Times New Roman" w:eastAsia="仿宋_GB2312" w:cs="仿宋_GB2312"/>
          <w:color w:val="auto"/>
          <w:kern w:val="2"/>
          <w:sz w:val="32"/>
          <w:szCs w:val="32"/>
          <w:highlight w:val="none"/>
          <w:lang w:val="en-US" w:eastAsia="zh-CN" w:bidi="ar-SA"/>
        </w:rPr>
        <w:t>万元。主要用于（具体工作）所需的公务用车燃料费、维修费、过路过桥费、保险费等支出。</w:t>
      </w:r>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0.94万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93.06</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增加0.21</w:t>
      </w:r>
      <w:r>
        <w:rPr>
          <w:rFonts w:hint="eastAsia" w:ascii="Times New Roman" w:hAnsi="Times New Roman" w:eastAsia="仿宋_GB2312" w:cs="仿宋_GB2312"/>
          <w:color w:val="auto"/>
          <w:kern w:val="2"/>
          <w:sz w:val="32"/>
          <w:szCs w:val="32"/>
          <w:highlight w:val="none"/>
          <w:lang w:val="en-US" w:eastAsia="zh-CN" w:bidi="ar-SA"/>
        </w:rPr>
        <w:t>万元，增</w:t>
      </w:r>
      <w:r>
        <w:rPr>
          <w:rFonts w:hint="eastAsia" w:eastAsia="仿宋_GB2312" w:cs="仿宋_GB2312"/>
          <w:color w:val="auto"/>
          <w:kern w:val="2"/>
          <w:sz w:val="32"/>
          <w:szCs w:val="32"/>
          <w:highlight w:val="none"/>
          <w:lang w:val="en-US" w:eastAsia="zh-CN" w:bidi="ar-SA"/>
        </w:rPr>
        <w:t>加22.34</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支出功能科目使用错误</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实际产生接待费为0.41万元，剩余0.4万元均为加班用餐及其他办公费用。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0.94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9</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114</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0.41</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若尔盖县政法委、金川县政法委、汶川县政法委分别到我县考察学习微网实格工作。接待共计金额为0.41万元。</w:t>
      </w:r>
      <w:bookmarkStart w:id="44" w:name="_Toc15396610"/>
      <w:bookmarkStart w:id="45" w:name="_Toc15377218"/>
    </w:p>
    <w:p>
      <w:pPr>
        <w:spacing w:line="600" w:lineRule="exact"/>
        <w:ind w:firstLine="64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44"/>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46" w:name="_Toc15396611"/>
      <w:bookmarkStart w:id="47" w:name="_Toc15377219"/>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46"/>
      <w:bookmarkEnd w:id="4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48" w:name="_Toc15396612"/>
      <w:bookmarkStart w:id="49" w:name="_Toc15377221"/>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48"/>
      <w:bookmarkEnd w:id="49"/>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3"/>
      <w:r>
        <w:rPr>
          <w:rFonts w:hint="eastAsia" w:ascii="Times New Roman" w:hAnsi="Times New Roman" w:eastAsia="楷体_GB2312" w:cs="楷体_GB2312"/>
          <w:b/>
          <w:color w:val="auto"/>
          <w:sz w:val="32"/>
          <w:szCs w:val="32"/>
          <w:highlight w:val="none"/>
        </w:rPr>
        <w:t>（</w:t>
      </w:r>
      <w:r>
        <w:rPr>
          <w:rFonts w:hint="eastAsia" w:eastAsia="楷体_GB2312" w:cs="楷体_GB2312"/>
          <w:b/>
          <w:color w:val="auto"/>
          <w:sz w:val="32"/>
          <w:szCs w:val="32"/>
          <w:highlight w:val="none"/>
          <w:lang w:eastAsia="zh-CN"/>
        </w:rPr>
        <w:t>一</w:t>
      </w:r>
      <w:r>
        <w:rPr>
          <w:rFonts w:hint="eastAsia" w:ascii="Times New Roman" w:hAnsi="Times New Roman" w:eastAsia="楷体_GB2312" w:cs="楷体_GB2312"/>
          <w:b/>
          <w:color w:val="auto"/>
          <w:sz w:val="32"/>
          <w:szCs w:val="32"/>
          <w:highlight w:val="none"/>
        </w:rPr>
        <w:t>）政府采购支出情况</w:t>
      </w:r>
      <w:bookmarkEnd w:id="5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红原县政法委</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4"/>
      <w:r>
        <w:rPr>
          <w:rFonts w:hint="eastAsia" w:ascii="Times New Roman" w:hAnsi="Times New Roman" w:eastAsia="楷体_GB2312" w:cs="楷体_GB2312"/>
          <w:b/>
          <w:color w:val="auto"/>
          <w:sz w:val="32"/>
          <w:szCs w:val="32"/>
          <w:highlight w:val="none"/>
        </w:rPr>
        <w:t>（</w:t>
      </w:r>
      <w:r>
        <w:rPr>
          <w:rFonts w:hint="eastAsia" w:eastAsia="楷体_GB2312" w:cs="楷体_GB2312"/>
          <w:b/>
          <w:color w:val="auto"/>
          <w:sz w:val="32"/>
          <w:szCs w:val="32"/>
          <w:highlight w:val="none"/>
          <w:lang w:eastAsia="zh-CN"/>
        </w:rPr>
        <w:t>二</w:t>
      </w:r>
      <w:r>
        <w:rPr>
          <w:rFonts w:hint="eastAsia" w:ascii="Times New Roman" w:hAnsi="Times New Roman" w:eastAsia="楷体_GB2312" w:cs="楷体_GB2312"/>
          <w:b/>
          <w:color w:val="auto"/>
          <w:sz w:val="32"/>
          <w:szCs w:val="32"/>
          <w:highlight w:val="none"/>
        </w:rPr>
        <w:t>）国有资产占有使用情况</w:t>
      </w:r>
      <w:bookmarkEnd w:id="5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红原县政法委</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辆，其中：主要负责人用车0辆、机要通信用车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w:t>
      </w:r>
      <w:r>
        <w:rPr>
          <w:rFonts w:hint="eastAsia" w:eastAsia="楷体_GB2312" w:cs="楷体_GB2312"/>
          <w:b/>
          <w:color w:val="auto"/>
          <w:sz w:val="32"/>
          <w:szCs w:val="32"/>
          <w:highlight w:val="none"/>
          <w:lang w:eastAsia="zh-CN"/>
        </w:rPr>
        <w:t>三</w:t>
      </w:r>
      <w:r>
        <w:rPr>
          <w:rFonts w:hint="eastAsia" w:ascii="Times New Roman" w:hAnsi="Times New Roman" w:eastAsia="楷体_GB2312" w:cs="楷体_GB2312"/>
          <w:b/>
          <w:color w:val="auto"/>
          <w:sz w:val="32"/>
          <w:szCs w:val="32"/>
          <w:highlight w:val="none"/>
        </w:rPr>
        <w:t>）预算绩效管理情况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s="仿宋"/>
          <w:sz w:val="32"/>
          <w:szCs w:val="32"/>
        </w:rPr>
        <w:t>根据预算绩效管理要求，本部门在</w:t>
      </w:r>
      <w:r>
        <w:rPr>
          <w:rFonts w:hint="eastAsia" w:ascii="仿宋" w:hAnsi="仿宋" w:eastAsia="仿宋" w:cs="仿宋"/>
          <w:sz w:val="32"/>
          <w:szCs w:val="32"/>
          <w:lang w:val="en-US" w:eastAsia="zh-CN"/>
        </w:rPr>
        <w:t>2024</w:t>
      </w:r>
      <w:r>
        <w:rPr>
          <w:rFonts w:hint="eastAsia" w:ascii="仿宋" w:hAnsi="仿宋" w:eastAsia="仿宋" w:cs="仿宋"/>
          <w:sz w:val="32"/>
          <w:szCs w:val="32"/>
        </w:rPr>
        <w:t>预算编制阶段，组织对</w:t>
      </w:r>
      <w:r>
        <w:rPr>
          <w:rFonts w:hint="eastAsia" w:ascii="仿宋" w:hAnsi="仿宋" w:eastAsia="仿宋" w:cs="仿宋"/>
          <w:b w:val="0"/>
          <w:bCs w:val="0"/>
          <w:sz w:val="32"/>
          <w:szCs w:val="32"/>
          <w:lang w:val="en-US" w:eastAsia="zh-CN"/>
        </w:rPr>
        <w:t>大调解、扫黑除恶、</w:t>
      </w: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eastAsia="zh-CN"/>
        </w:rPr>
        <w:t>雪亮工程”</w:t>
      </w:r>
      <w:r>
        <w:rPr>
          <w:rFonts w:hint="eastAsia" w:ascii="仿宋" w:hAnsi="仿宋" w:eastAsia="仿宋" w:cs="仿宋"/>
          <w:b w:val="0"/>
          <w:bCs w:val="0"/>
          <w:sz w:val="32"/>
          <w:szCs w:val="32"/>
          <w:lang w:val="en-US" w:eastAsia="zh-CN"/>
        </w:rPr>
        <w:t>等</w:t>
      </w:r>
      <w:r>
        <w:rPr>
          <w:rFonts w:hint="eastAsia" w:ascii="仿宋" w:hAnsi="仿宋" w:eastAsia="仿宋" w:cs="仿宋"/>
          <w:sz w:val="32"/>
          <w:szCs w:val="32"/>
        </w:rPr>
        <w:t>项目开展了预算事前绩效评估，对</w:t>
      </w:r>
      <w:r>
        <w:rPr>
          <w:rFonts w:hint="eastAsia" w:ascii="仿宋" w:hAnsi="仿宋" w:eastAsia="仿宋" w:cs="仿宋"/>
          <w:sz w:val="32"/>
          <w:szCs w:val="32"/>
          <w:lang w:val="en-US" w:eastAsia="zh-CN"/>
        </w:rPr>
        <w:t>5</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val="en-US" w:eastAsia="zh-CN"/>
        </w:rPr>
        <w:t>5</w:t>
      </w:r>
      <w:r>
        <w:rPr>
          <w:rFonts w:hint="eastAsia" w:ascii="仿宋" w:hAnsi="仿宋" w:eastAsia="仿宋" w:cs="仿宋"/>
          <w:sz w:val="32"/>
          <w:szCs w:val="32"/>
        </w:rPr>
        <w:t>个项目开展绩效监控，年终执行完毕后，对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个项目开展了绩效目标完成情况自评。</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本部门按要求对202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年部门整体支出开展绩效自评，从评价情况来看</w:t>
      </w:r>
      <w:r>
        <w:rPr>
          <w:rFonts w:hint="eastAsia" w:ascii="仿宋" w:hAnsi="仿宋" w:eastAsia="仿宋" w:cs="仿宋"/>
          <w:color w:val="000000"/>
          <w:sz w:val="32"/>
          <w:szCs w:val="32"/>
        </w:rPr>
        <w:t>从评价情况来看</w:t>
      </w:r>
      <w:r>
        <w:rPr>
          <w:rFonts w:hint="eastAsia" w:ascii="仿宋" w:hAnsi="仿宋" w:eastAsia="仿宋" w:cs="仿宋"/>
          <w:color w:val="000000"/>
          <w:sz w:val="32"/>
          <w:szCs w:val="32"/>
          <w:lang w:eastAsia="zh-CN"/>
        </w:rPr>
        <w:t>完成效果较好</w:t>
      </w:r>
      <w:r>
        <w:rPr>
          <w:rFonts w:hint="eastAsia" w:ascii="仿宋" w:hAnsi="仿宋" w:eastAsia="仿宋" w:cs="仿宋"/>
          <w:color w:val="000000"/>
          <w:sz w:val="32"/>
          <w:szCs w:val="32"/>
        </w:rPr>
        <w:t>。本部门还自行组织了</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个项目支出绩效评价，从评价情况来看</w:t>
      </w:r>
      <w:r>
        <w:rPr>
          <w:rFonts w:hint="eastAsia" w:ascii="仿宋" w:hAnsi="仿宋" w:eastAsia="仿宋" w:cs="仿宋"/>
          <w:color w:val="000000"/>
          <w:sz w:val="32"/>
          <w:szCs w:val="32"/>
          <w:lang w:eastAsia="zh-CN"/>
        </w:rPr>
        <w:t>完成情况较好。</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年特定目标类部门预算项目绩效目标自评表见附件。</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2"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3" w:name="_Toc15396613"/>
      <w:bookmarkStart w:id="54" w:name="_Toc15377225"/>
      <w:bookmarkStart w:id="55" w:name="_Toc15396614"/>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3"/>
      <w:bookmarkEnd w:id="54"/>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Style w:val="31"/>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ind w:firstLine="2209" w:firstLineChars="500"/>
        <w:contextualSpacing/>
        <w:jc w:val="both"/>
        <w:textAlignment w:val="auto"/>
        <w:outlineLvl w:val="9"/>
        <w:rPr>
          <w:rFonts w:hint="eastAsia" w:eastAsia="宋体" w:cs="Times New Roman"/>
          <w:b/>
          <w:sz w:val="44"/>
          <w:szCs w:val="44"/>
          <w:highlight w:val="none"/>
          <w:shd w:val="clear" w:color="auto" w:fill="FFFFFF"/>
          <w:lang w:eastAsia="zh-CN"/>
        </w:rPr>
      </w:pPr>
      <w:r>
        <w:rPr>
          <w:rFonts w:hint="eastAsia" w:eastAsia="宋体" w:cs="Times New Roman"/>
          <w:b/>
          <w:sz w:val="44"/>
          <w:szCs w:val="44"/>
          <w:highlight w:val="none"/>
          <w:shd w:val="clear" w:color="auto" w:fill="FFFFFF"/>
          <w:lang w:eastAsia="zh-CN"/>
        </w:rPr>
        <w:t>中共红原县委政法委员会</w:t>
      </w:r>
    </w:p>
    <w:p>
      <w:pPr>
        <w:keepNext w:val="0"/>
        <w:keepLines w:val="0"/>
        <w:pageBreakBefore w:val="0"/>
        <w:widowControl/>
        <w:kinsoku/>
        <w:wordWrap/>
        <w:overflowPunct/>
        <w:topLinePunct w:val="0"/>
        <w:autoSpaceDE/>
        <w:autoSpaceDN/>
        <w:bidi w:val="0"/>
        <w:spacing w:line="578" w:lineRule="exact"/>
        <w:ind w:firstLine="1767" w:firstLineChars="400"/>
        <w:contextualSpacing/>
        <w:jc w:val="both"/>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宋体" w:cs="Times New Roman"/>
          <w:b/>
          <w:sz w:val="44"/>
          <w:szCs w:val="44"/>
          <w:highlight w:val="none"/>
          <w:shd w:val="clear" w:color="auto" w:fill="FFFFFF"/>
          <w:lang w:eastAsia="zh-CN"/>
        </w:rPr>
        <w:t>关于</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eastAsia" w:eastAsia="方正小标宋简体" w:cs="Times New Roman"/>
          <w:b w:val="0"/>
          <w:bCs/>
          <w:sz w:val="44"/>
          <w:szCs w:val="44"/>
          <w:highlight w:val="none"/>
          <w:shd w:val="clear" w:color="auto" w:fill="FFFFFF"/>
          <w:lang w:eastAsia="zh-CN"/>
        </w:rPr>
        <w:t>的</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仿宋" w:hAnsi="仿宋" w:eastAsia="仿宋" w:cs="仿宋"/>
          <w:sz w:val="32"/>
          <w:szCs w:val="32"/>
        </w:rPr>
      </w:pPr>
      <w:r>
        <w:rPr>
          <w:rFonts w:hint="eastAsia" w:ascii="仿宋" w:hAnsi="仿宋" w:eastAsia="仿宋" w:cs="仿宋"/>
          <w:sz w:val="32"/>
          <w:szCs w:val="32"/>
          <w:lang w:val="en-US" w:eastAsia="zh-CN"/>
        </w:rPr>
        <w:t>按照《红原县财政局关于开展2024年县级各部门绩效自评工作的通知》（红财监绩〔2025〕1号）的工作安排，政法委进一步强化预算绩效管理主体责任和绩效理念，认真开展了绩效管理和预算绩效自评相关工作，现将预算绩效评价情况报告如下：</w:t>
      </w:r>
      <w:r>
        <w:rPr>
          <w:rFonts w:hint="eastAsia" w:ascii="仿宋" w:hAnsi="仿宋" w:eastAsia="仿宋" w:cs="仿宋"/>
          <w:sz w:val="32"/>
          <w:szCs w:val="32"/>
        </w:rPr>
        <w:t xml:space="preserve"> </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sz w:val="32"/>
          <w:szCs w:val="32"/>
        </w:rPr>
      </w:pP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643" w:firstLineChars="200"/>
        <w:jc w:val="both"/>
        <w:textAlignment w:val="auto"/>
        <w:outlineLvl w:val="9"/>
        <w:rPr>
          <w:rFonts w:hint="default" w:ascii="Times New Roman" w:hAnsi="Times New Roman" w:cs="Times New Roman"/>
          <w:szCs w:val="32"/>
        </w:rPr>
      </w:pPr>
      <w:r>
        <w:rPr>
          <w:rFonts w:hint="eastAsia"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仿宋_GB2312" w:hAnsi="仿宋_GB2312" w:eastAsia="仿宋_GB2312" w:cs="仿宋_GB2312"/>
          <w:sz w:val="32"/>
          <w:szCs w:val="32"/>
          <w:lang w:eastAsia="zh-CN"/>
        </w:rPr>
        <w:t>县委政法委属行政，其中内设机构有5个，办公室、政治安全与反分裂维稳指导股、基层社会治理和综治督导股、政治部。县矛盾纠纷“大调解”协调中心，与县委维稳指挥部、扫黑除恶办等合署办公。县矛盾纠纷“大调解”协调中心属于事业。</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both"/>
        <w:textAlignment w:val="auto"/>
        <w:rPr>
          <w:rFonts w:hint="default" w:ascii="仿宋_GB2312" w:hAnsi="仿宋_GB2312" w:eastAsia="仿宋_GB2312" w:cs="仿宋_GB2312"/>
          <w:i w:val="0"/>
          <w:caps w:val="0"/>
          <w:color w:val="333333"/>
          <w:spacing w:val="0"/>
          <w:kern w:val="0"/>
          <w:sz w:val="32"/>
          <w:szCs w:val="32"/>
          <w:shd w:val="clear" w:color="auto" w:fill="FFFFFF"/>
          <w:lang w:val="en-US" w:eastAsia="zh-CN" w:bidi="ar"/>
        </w:rPr>
      </w:pPr>
      <w:r>
        <w:rPr>
          <w:rFonts w:hint="default" w:eastAsia="楷体_GB2312" w:cs="Times New Roman"/>
          <w:b/>
          <w:bCs/>
          <w:color w:val="000000"/>
          <w:kern w:val="0"/>
          <w:sz w:val="32"/>
          <w:szCs w:val="32"/>
          <w:highlight w:val="none"/>
          <w:shd w:val="clear" w:color="auto" w:fill="FFFFFF"/>
          <w:lang w:val="zh-CN"/>
        </w:rPr>
        <w:t>（二）机构职能</w:t>
      </w:r>
      <w:r>
        <w:rPr>
          <w:rFonts w:hint="eastAsia"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按照中共红原县委县政府办公室关于印发『中共红原县委政法委员会机关配置、内设机构和人员编制规定的通知』（红委办发[2024]85号）文件规定，中共红原县委政法委员会是中共红原县委领导政法工作的职能部门，为正科级，列县委工作机关序列。县委政法委主要职职能是：一是贯彻习近平新时代中国特色社会主义思想，坚持党对政法工作的绝对领导，坚决执行党的路线方针政策和党中央、省委、州委及县委重大决策部署，推动完善和落实政治轮训、政治督查制度，推进平安红原、法治红原建设，加强过硬队伍建设，深化职能化建设，坚决维护国家政治安全、确保社会大局稳定、促进社会公平正义、保障人民安居乐业。二是贯彻党中央、省委、州委和县委以及上级党组织决定，研究协调政法单位之间以及政法单位和有关部门（乡镇）之间有关重大事项，统一政法单位思想和行动。三是组织开展政法领域重大实践和理论问题的调查研究，研究拟订全县政法工作的政策措施，及时向县委提出重大决策部署和改革措施的意见和建议。协助县委决策和统筹推进政法领域改革等各项工作。参与有关地方性法规和规章的起草、修改工作，及时提出立法建议。四是督促落实《维护社会稳定责任制规定》，了解掌握和分析研判社会稳定形势、政法工作情况动态，健全社会风险防范化解制度，创新完善各部门参与的综治维稳工作机制，构建社会矛盾纠纷多元预防调处化解综合机制，推动落实社会稳定分析评估，协调推动预防化解影响稳定的社会矛盾和风险，协调应对和妥善处置重大突发事件，统筹推动全县反分裂斗争和维护稳定工作，协调指导政法单位和相关部门做好反渗透、反颠覆、反邪教、反暴恐工作。五是加强对政法工作的督查，统筹协调维护政治安全、维护社会稳定、社会治安综合治理、反邪教、反暴恐等有关法律法规和政策的实施工作。六是支持和监督政法单位依法行使职权，检查政法单位执行党的路线方针政策、党中央、省委、州委和县委重大决策部署以及法律法规的情况，指导和协调政法单位密切配合，研究和协调重大、疑难案件，完善和纪检监察机关工作衔接和协助配合机制，推进严格执法、公正司法。七是指导推动政法系统党的建设和政法队伍建设，协助县委及县委组织部加强政法单位领导班子和干部队伍建设，协助县委和县纪委监委做好监督检查、审查调查工作。八是落实各级国家安全领导机构、全面依法治国领导机构以及县委城乡基层治理领导机构的各项部署，支持配合其办事机构工作。指导政法单位加强政治安全、社会稳定、平安建设、法治建设等重大问题研究，提出建议和工作意见。指导和协调政法单位开展维护政治安全、维护社会稳定、执法司法、创新社会治理等有关工作。九是掌握分析政法舆情动态，指导协调政法单位和有关部门做好依法办理、宣传报道和舆论引导等相关工作，推动政法网络新媒体发展。统筹指导并推动政法系统网络安全工作和职能化建设。十是组织研究政法改革中带有方向性、倾向性和普遍性的重大问题，深化政法改革。十一是完成县委和上级党委政法委员会交办的其他任务。</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both"/>
        <w:textAlignment w:val="auto"/>
        <w:rPr>
          <w:rFonts w:hint="default" w:ascii="仿宋_GB2312" w:hAnsi="仿宋_GB2312" w:eastAsia="仿宋_GB2312" w:cs="仿宋_GB2312"/>
          <w:i w:val="0"/>
          <w:caps w:val="0"/>
          <w:color w:val="333333"/>
          <w:spacing w:val="0"/>
          <w:kern w:val="0"/>
          <w:sz w:val="32"/>
          <w:szCs w:val="32"/>
          <w:shd w:val="clear" w:color="auto" w:fill="FFFFFF"/>
          <w:lang w:val="en-US" w:eastAsia="zh-CN" w:bidi="ar"/>
        </w:rPr>
      </w:pP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截至202</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4</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年末，</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本</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单位编制</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数15人，</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年末实有人数</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15人。</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部门资金收支情况</w:t>
      </w:r>
    </w:p>
    <w:p>
      <w:pPr>
        <w:pStyle w:val="16"/>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kern w:val="0"/>
          <w:sz w:val="32"/>
          <w:szCs w:val="32"/>
          <w:lang w:val="en-US" w:eastAsia="zh-CN" w:bidi="ar"/>
        </w:rPr>
      </w:pPr>
      <w:r>
        <w:rPr>
          <w:rFonts w:hint="default"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hint="default"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sz w:val="32"/>
          <w:szCs w:val="32"/>
          <w:shd w:val="clear" w:color="auto" w:fill="FFFFFF"/>
        </w:rPr>
        <w:t>本单位本年度总收入为</w:t>
      </w:r>
      <w:r>
        <w:rPr>
          <w:rFonts w:hint="eastAsia" w:ascii="仿宋_GB2312" w:hAnsi="仿宋_GB2312" w:eastAsia="仿宋_GB2312" w:cs="仿宋_GB2312"/>
          <w:sz w:val="32"/>
          <w:szCs w:val="32"/>
          <w:shd w:val="clear" w:color="auto" w:fill="FFFFFF"/>
          <w:lang w:val="en-US" w:eastAsia="zh-CN"/>
        </w:rPr>
        <w:t>768.28</w:t>
      </w:r>
      <w:r>
        <w:rPr>
          <w:rFonts w:hint="eastAsia" w:ascii="仿宋_GB2312" w:hAnsi="仿宋_GB2312" w:eastAsia="仿宋_GB2312" w:cs="仿宋_GB2312"/>
          <w:sz w:val="32"/>
          <w:szCs w:val="32"/>
          <w:shd w:val="clear" w:color="auto" w:fill="FFFFFF"/>
        </w:rPr>
        <w:t>万元。其中：一般公共预算财政拨款收入为</w:t>
      </w:r>
      <w:r>
        <w:rPr>
          <w:rFonts w:hint="eastAsia" w:ascii="仿宋_GB2312" w:hAnsi="仿宋_GB2312" w:eastAsia="仿宋_GB2312" w:cs="仿宋_GB2312"/>
          <w:sz w:val="32"/>
          <w:szCs w:val="32"/>
          <w:shd w:val="clear" w:color="auto" w:fill="FFFFFF"/>
          <w:lang w:val="en-US" w:eastAsia="zh-CN"/>
        </w:rPr>
        <w:t>768.28</w:t>
      </w:r>
      <w:r>
        <w:rPr>
          <w:rFonts w:hint="eastAsia" w:ascii="仿宋_GB2312" w:hAnsi="仿宋_GB2312" w:eastAsia="仿宋_GB2312" w:cs="仿宋_GB2312"/>
          <w:sz w:val="32"/>
          <w:szCs w:val="32"/>
          <w:shd w:val="clear" w:color="auto" w:fill="FFFFFF"/>
        </w:rPr>
        <w:t>万元，占比</w:t>
      </w:r>
      <w:r>
        <w:rPr>
          <w:rFonts w:hint="eastAsia" w:ascii="仿宋_GB2312" w:hAnsi="仿宋_GB2312" w:eastAsia="仿宋_GB2312" w:cs="仿宋_GB2312"/>
          <w:sz w:val="32"/>
          <w:szCs w:val="32"/>
          <w:shd w:val="clear" w:color="auto" w:fill="FFFFFF"/>
          <w:lang w:val="en-US" w:eastAsia="zh-CN"/>
        </w:rPr>
        <w:t>100</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eastAsia="zh-CN"/>
        </w:rPr>
        <w:t>。</w:t>
      </w:r>
    </w:p>
    <w:p>
      <w:pPr>
        <w:pStyle w:val="16"/>
        <w:keepNext w:val="0"/>
        <w:keepLines w:val="0"/>
        <w:pageBreakBefore w:val="0"/>
        <w:widowControl/>
        <w:suppressLineNumbers w:val="0"/>
        <w:kinsoku/>
        <w:wordWrap/>
        <w:overflowPunct/>
        <w:topLinePunct w:val="0"/>
        <w:autoSpaceDE/>
        <w:autoSpaceDN/>
        <w:bidi w:val="0"/>
        <w:adjustRightInd/>
        <w:spacing w:before="0" w:beforeAutospacing="0" w:afterAutospacing="0" w:line="560" w:lineRule="exact"/>
        <w:ind w:left="0" w:right="0" w:firstLine="643"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sz w:val="32"/>
          <w:szCs w:val="32"/>
          <w:shd w:val="clear" w:color="auto" w:fill="FFFFFF"/>
        </w:rPr>
        <w:t>本年度总支出为</w:t>
      </w:r>
      <w:r>
        <w:rPr>
          <w:rFonts w:hint="eastAsia" w:ascii="仿宋_GB2312" w:hAnsi="仿宋_GB2312" w:eastAsia="仿宋_GB2312" w:cs="仿宋_GB2312"/>
          <w:sz w:val="32"/>
          <w:szCs w:val="32"/>
          <w:shd w:val="clear" w:color="auto" w:fill="FFFFFF"/>
          <w:lang w:val="en-US" w:eastAsia="zh-CN"/>
        </w:rPr>
        <w:t>768.28</w:t>
      </w:r>
      <w:r>
        <w:rPr>
          <w:rFonts w:hint="eastAsia" w:ascii="仿宋_GB2312" w:hAnsi="仿宋_GB2312" w:eastAsia="仿宋_GB2312" w:cs="仿宋_GB2312"/>
          <w:sz w:val="32"/>
          <w:szCs w:val="32"/>
          <w:shd w:val="clear" w:color="auto" w:fill="FFFFFF"/>
        </w:rPr>
        <w:t>万元。其中：一般公共服务支出为</w:t>
      </w:r>
      <w:r>
        <w:rPr>
          <w:rFonts w:hint="eastAsia" w:ascii="仿宋_GB2312" w:hAnsi="仿宋_GB2312" w:eastAsia="仿宋_GB2312" w:cs="仿宋_GB2312"/>
          <w:sz w:val="32"/>
          <w:szCs w:val="32"/>
          <w:shd w:val="clear" w:color="auto" w:fill="FFFFFF"/>
          <w:lang w:val="en-US" w:eastAsia="zh-CN"/>
        </w:rPr>
        <w:t>399.31</w:t>
      </w:r>
      <w:r>
        <w:rPr>
          <w:rFonts w:hint="eastAsia" w:ascii="仿宋_GB2312" w:hAnsi="仿宋_GB2312" w:eastAsia="仿宋_GB2312" w:cs="仿宋_GB2312"/>
          <w:sz w:val="32"/>
          <w:szCs w:val="32"/>
          <w:shd w:val="clear" w:color="auto" w:fill="FFFFFF"/>
        </w:rPr>
        <w:t>万元，占比</w:t>
      </w:r>
      <w:r>
        <w:rPr>
          <w:rFonts w:hint="eastAsia" w:ascii="仿宋_GB2312" w:hAnsi="仿宋_GB2312" w:eastAsia="仿宋_GB2312" w:cs="仿宋_GB2312"/>
          <w:sz w:val="32"/>
          <w:szCs w:val="32"/>
          <w:shd w:val="clear" w:color="auto" w:fill="FFFFFF"/>
          <w:lang w:val="en-US" w:eastAsia="zh-CN"/>
        </w:rPr>
        <w:t>51.97</w:t>
      </w:r>
      <w:r>
        <w:rPr>
          <w:rFonts w:hint="eastAsia" w:ascii="仿宋_GB2312" w:hAnsi="仿宋_GB2312" w:eastAsia="仿宋_GB2312" w:cs="仿宋_GB2312"/>
          <w:sz w:val="32"/>
          <w:szCs w:val="32"/>
          <w:shd w:val="clear" w:color="auto" w:fill="FFFFFF"/>
        </w:rPr>
        <w:t>%；社会保障和就业支出为</w:t>
      </w:r>
      <w:r>
        <w:rPr>
          <w:rFonts w:hint="eastAsia" w:ascii="仿宋_GB2312" w:hAnsi="仿宋_GB2312" w:eastAsia="仿宋_GB2312" w:cs="仿宋_GB2312"/>
          <w:sz w:val="32"/>
          <w:szCs w:val="32"/>
          <w:shd w:val="clear" w:color="auto" w:fill="FFFFFF"/>
          <w:lang w:val="en-US" w:eastAsia="zh-CN"/>
        </w:rPr>
        <w:t>55.66</w:t>
      </w:r>
      <w:r>
        <w:rPr>
          <w:rFonts w:hint="eastAsia" w:ascii="仿宋_GB2312" w:hAnsi="仿宋_GB2312" w:eastAsia="仿宋_GB2312" w:cs="仿宋_GB2312"/>
          <w:sz w:val="32"/>
          <w:szCs w:val="32"/>
          <w:shd w:val="clear" w:color="auto" w:fill="FFFFFF"/>
        </w:rPr>
        <w:t>万元，占比</w:t>
      </w:r>
      <w:r>
        <w:rPr>
          <w:rFonts w:hint="eastAsia" w:ascii="仿宋_GB2312" w:hAnsi="仿宋_GB2312" w:eastAsia="仿宋_GB2312" w:cs="仿宋_GB2312"/>
          <w:sz w:val="32"/>
          <w:szCs w:val="32"/>
          <w:shd w:val="clear" w:color="auto" w:fill="FFFFFF"/>
          <w:lang w:val="en-US" w:eastAsia="zh-CN"/>
        </w:rPr>
        <w:t>7.24</w:t>
      </w:r>
      <w:r>
        <w:rPr>
          <w:rFonts w:hint="eastAsia" w:ascii="仿宋_GB2312" w:hAnsi="仿宋_GB2312" w:eastAsia="仿宋_GB2312" w:cs="仿宋_GB2312"/>
          <w:sz w:val="32"/>
          <w:szCs w:val="32"/>
          <w:shd w:val="clear" w:color="auto" w:fill="FFFFFF"/>
        </w:rPr>
        <w:t>%；卫生健康支出为</w:t>
      </w:r>
      <w:r>
        <w:rPr>
          <w:rFonts w:hint="eastAsia" w:ascii="仿宋_GB2312" w:hAnsi="仿宋_GB2312" w:eastAsia="仿宋_GB2312" w:cs="仿宋_GB2312"/>
          <w:sz w:val="32"/>
          <w:szCs w:val="32"/>
          <w:shd w:val="clear" w:color="auto" w:fill="FFFFFF"/>
          <w:lang w:val="en-US" w:eastAsia="zh-CN"/>
        </w:rPr>
        <w:t>23.52</w:t>
      </w:r>
      <w:r>
        <w:rPr>
          <w:rFonts w:hint="eastAsia" w:ascii="仿宋_GB2312" w:hAnsi="仿宋_GB2312" w:eastAsia="仿宋_GB2312" w:cs="仿宋_GB2312"/>
          <w:sz w:val="32"/>
          <w:szCs w:val="32"/>
          <w:shd w:val="clear" w:color="auto" w:fill="FFFFFF"/>
        </w:rPr>
        <w:t>万元，占比</w:t>
      </w:r>
      <w:r>
        <w:rPr>
          <w:rFonts w:hint="eastAsia" w:ascii="仿宋_GB2312" w:hAnsi="仿宋_GB2312" w:eastAsia="仿宋_GB2312" w:cs="仿宋_GB2312"/>
          <w:sz w:val="32"/>
          <w:szCs w:val="32"/>
          <w:shd w:val="clear" w:color="auto" w:fill="FFFFFF"/>
          <w:lang w:val="en-US" w:eastAsia="zh-CN"/>
        </w:rPr>
        <w:t>3.06</w:t>
      </w:r>
      <w:r>
        <w:rPr>
          <w:rFonts w:hint="eastAsia" w:ascii="仿宋_GB2312" w:hAnsi="仿宋_GB2312" w:eastAsia="仿宋_GB2312" w:cs="仿宋_GB2312"/>
          <w:sz w:val="32"/>
          <w:szCs w:val="32"/>
          <w:shd w:val="clear" w:color="auto" w:fill="FFFFFF"/>
        </w:rPr>
        <w:t>%；住房保障支出为</w:t>
      </w:r>
      <w:r>
        <w:rPr>
          <w:rFonts w:hint="eastAsia" w:ascii="仿宋_GB2312" w:hAnsi="仿宋_GB2312" w:eastAsia="仿宋_GB2312" w:cs="仿宋_GB2312"/>
          <w:sz w:val="32"/>
          <w:szCs w:val="32"/>
          <w:shd w:val="clear" w:color="auto" w:fill="FFFFFF"/>
          <w:lang w:val="en-US" w:eastAsia="zh-CN"/>
        </w:rPr>
        <w:t>32.06</w:t>
      </w:r>
      <w:r>
        <w:rPr>
          <w:rFonts w:hint="eastAsia" w:ascii="仿宋_GB2312" w:hAnsi="仿宋_GB2312" w:eastAsia="仿宋_GB2312" w:cs="仿宋_GB2312"/>
          <w:sz w:val="32"/>
          <w:szCs w:val="32"/>
          <w:shd w:val="clear" w:color="auto" w:fill="FFFFFF"/>
        </w:rPr>
        <w:t>万元，占比</w:t>
      </w:r>
      <w:r>
        <w:rPr>
          <w:rFonts w:hint="eastAsia" w:ascii="仿宋_GB2312" w:hAnsi="仿宋_GB2312" w:eastAsia="仿宋_GB2312" w:cs="仿宋_GB2312"/>
          <w:sz w:val="32"/>
          <w:szCs w:val="32"/>
          <w:shd w:val="clear" w:color="auto" w:fill="FFFFFF"/>
          <w:lang w:val="en-US" w:eastAsia="zh-CN"/>
        </w:rPr>
        <w:t>4.17</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w:t>
      </w:r>
    </w:p>
    <w:p>
      <w:pPr>
        <w:pStyle w:val="16"/>
        <w:keepNext w:val="0"/>
        <w:keepLines w:val="0"/>
        <w:pageBreakBefore w:val="0"/>
        <w:widowControl/>
        <w:suppressLineNumbers w:val="0"/>
        <w:kinsoku/>
        <w:wordWrap/>
        <w:overflowPunct/>
        <w:topLinePunct w:val="0"/>
        <w:autoSpaceDE/>
        <w:autoSpaceDN/>
        <w:bidi w:val="0"/>
        <w:adjustRightInd/>
        <w:spacing w:before="0" w:beforeAutospacing="0" w:afterAutospacing="0" w:line="560" w:lineRule="exact"/>
        <w:ind w:left="0" w:right="0" w:firstLine="643" w:firstLineChars="200"/>
        <w:jc w:val="left"/>
        <w:textAlignment w:val="auto"/>
        <w:rPr>
          <w:rFonts w:hint="eastAsia" w:ascii="仿宋_GB2312" w:hAnsi="仿宋_GB2312" w:eastAsia="仿宋_GB2312" w:cs="仿宋_GB2312"/>
          <w:sz w:val="32"/>
          <w:szCs w:val="32"/>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r>
        <w:rPr>
          <w:rFonts w:hint="eastAsia" w:ascii="仿宋_GB2312" w:hAnsi="仿宋_GB2312" w:eastAsia="仿宋_GB2312" w:cs="仿宋_GB2312"/>
          <w:sz w:val="32"/>
          <w:szCs w:val="32"/>
          <w:shd w:val="clear" w:color="auto" w:fill="FFFFFF"/>
          <w:lang w:eastAsia="zh-CN"/>
        </w:rPr>
        <w:t>本单位</w:t>
      </w:r>
      <w:r>
        <w:rPr>
          <w:rFonts w:hint="eastAsia" w:ascii="仿宋_GB2312" w:hAnsi="仿宋_GB2312" w:eastAsia="仿宋_GB2312" w:cs="仿宋_GB2312"/>
          <w:sz w:val="32"/>
          <w:szCs w:val="32"/>
          <w:shd w:val="clear" w:color="auto" w:fill="FFFFFF"/>
          <w:lang w:val="en-US" w:eastAsia="zh-CN"/>
        </w:rPr>
        <w:t>本年无经费结余和结转情况。</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部门预算绩效分析</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both"/>
        <w:textAlignment w:val="auto"/>
        <w:rPr>
          <w:rFonts w:hint="default" w:ascii="仿宋_GB2312" w:hAnsi="仿宋_GB2312" w:eastAsia="仿宋_GB2312" w:cs="仿宋_GB2312"/>
          <w:i w:val="0"/>
          <w:caps w:val="0"/>
          <w:color w:val="333333"/>
          <w:spacing w:val="0"/>
          <w:kern w:val="0"/>
          <w:sz w:val="32"/>
          <w:szCs w:val="32"/>
          <w:shd w:val="clear" w:color="auto" w:fill="FFFFFF"/>
          <w:lang w:val="zh-CN" w:eastAsia="zh-CN" w:bidi="ar"/>
        </w:rPr>
      </w:pPr>
      <w:r>
        <w:rPr>
          <w:rFonts w:hint="default"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hint="default" w:eastAsia="楷体_GB2312" w:cs="Times New Roman"/>
          <w:b/>
          <w:bCs/>
          <w:color w:val="000000"/>
          <w:kern w:val="0"/>
          <w:sz w:val="32"/>
          <w:szCs w:val="32"/>
          <w:highlight w:val="none"/>
          <w:shd w:val="clear" w:color="auto" w:fill="FFFFFF"/>
          <w:lang w:val="zh-CN"/>
        </w:rPr>
        <w:t>总体绩效分析。</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根据部门预算绩效评价指标体系“总体绩效”涉及</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二、三级</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指标进行</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逐项</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绩效分析</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并评分</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，依次包括履职效能、预算管理、财务管理、资产管理、采购管理等情况。</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1、履职效能：</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成效：一是明确了记账人员与审批人员、经办人员的职责权限，使其相互分离、相互制约，以明确责任，防止舞弊，各项业务事项得以有序进行；二是明确了财务收支审批程序和审批人的权限和责任，规范了各项资金的使用，提高了资金使用效益；三是明确经费支出的范围和开支标准，采取各种有效措施控制经费开支，杜绝了浪费现象的发生；四是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pStyle w:val="6"/>
        <w:keepNext w:val="0"/>
        <w:keepLines w:val="0"/>
        <w:pageBreakBefore w:val="0"/>
        <w:kinsoku/>
        <w:wordWrap/>
        <w:overflowPunct/>
        <w:topLinePunct w:val="0"/>
        <w:autoSpaceDE/>
        <w:autoSpaceDN/>
        <w:bidi w:val="0"/>
        <w:spacing w:before="72" w:afterAutospacing="0" w:line="576" w:lineRule="exact"/>
        <w:ind w:firstLine="600" w:firstLineChars="200"/>
        <w:textAlignment w:val="auto"/>
        <w:rPr>
          <w:rFonts w:ascii="仿宋_GB2312" w:hAnsi="宋体"/>
          <w:color w:val="000000"/>
          <w:lang w:val="zh-CN"/>
        </w:rPr>
      </w:pPr>
      <w:r>
        <w:rPr>
          <w:rFonts w:hint="eastAsia" w:ascii="仿宋_GB2312" w:hAnsi="宋体"/>
          <w:color w:val="000000"/>
          <w:lang w:val="en-US" w:eastAsia="zh-CN"/>
        </w:rPr>
        <w:t>2、</w:t>
      </w:r>
      <w:r>
        <w:rPr>
          <w:rFonts w:hint="default" w:ascii="Times New Roman" w:hAnsi="Times New Roman" w:cs="Times New Roman"/>
          <w:color w:val="000000"/>
          <w:kern w:val="0"/>
          <w:szCs w:val="32"/>
          <w:highlight w:val="none"/>
          <w:shd w:val="clear" w:color="auto" w:fill="FFFFFF"/>
          <w:lang w:val="zh-CN"/>
        </w:rPr>
        <w:t>预算管理</w:t>
      </w:r>
      <w:r>
        <w:rPr>
          <w:rFonts w:hint="eastAsia" w:ascii="Times New Roman" w:hAnsi="Times New Roman" w:cs="Times New Roman"/>
          <w:color w:val="000000"/>
          <w:kern w:val="0"/>
          <w:szCs w:val="32"/>
          <w:highlight w:val="none"/>
          <w:shd w:val="clear" w:color="auto" w:fill="FFFFFF"/>
          <w:lang w:val="zh-CN"/>
        </w:rPr>
        <w:t>：</w:t>
      </w:r>
      <w:r>
        <w:rPr>
          <w:rFonts w:hint="eastAsia" w:ascii="仿宋_GB2312" w:hAnsi="仿宋_GB2312" w:eastAsia="仿宋_GB2312" w:cs="仿宋_GB2312"/>
          <w:sz w:val="32"/>
          <w:szCs w:val="32"/>
          <w:lang w:eastAsia="zh-CN"/>
        </w:rPr>
        <w:t>根据预算绩效管理要求，本部门在年初预算编制阶段，组织对维护社会稳定、雪亮工程、综治工作、扫黑工作等项目，严格按照财政预算统一口径编制预算，明确绩效目标，开展了预算事前绩效评估，对所有项目编制了绩效目标，</w:t>
      </w:r>
      <w:r>
        <w:rPr>
          <w:rFonts w:hint="eastAsia" w:ascii="仿宋" w:hAnsi="仿宋" w:eastAsia="仿宋" w:cs="仿宋"/>
          <w:color w:val="000000"/>
          <w:sz w:val="32"/>
          <w:szCs w:val="32"/>
        </w:rPr>
        <w:t>在预算执行中，我</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3、财务管理：</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4、资产管理：</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单位资产管理由办公室总负责，使用人具体负责管理，对不能继续使用的资产由使用人交回办公室并提出申请，由办公室提供材料交给财务室按照相关程序统一购置。财务人员每年对单位资产进行一次集中清理，对不能使用的资产及时报相关部门进行报废处理。</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5、</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采购管理</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。单位采购严格执行政府采购促进中小企业发展相关管理办法，对适宜由中小企业提供的采购项目和采购包，预留采购份额专门面向中小企业采购，并在采购预算中单独列示。</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en-US" w:eastAsia="zh-CN" w:bidi="ar"/>
        </w:rPr>
      </w:pP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（二）部门预算项目绩效分析。</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填报以下数据，并</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根据部门预算绩效评价指标体系“项目绩效”涉及</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二、三级</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指标进行</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逐项</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绩效分析</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并评分</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，依次包括项目</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决策、项目执行、目标实现等情况</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zh-CN" w:eastAsia="zh-CN" w:bidi="ar"/>
        </w:rPr>
      </w:pP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常年项目绩效分析。</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该类项目总数</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4</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个，涉及预算总金额</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26</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万元，1</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1</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月预算执行总体进度为</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100</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%，其中：预算结余率大于</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10%</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的项目共计</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0</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个。</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zh-CN" w:eastAsia="zh-CN" w:bidi="ar"/>
        </w:rPr>
      </w:pP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阶段</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一次性</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项目绩效分析。</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该类项目总数</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5</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个，涉及预算总金额</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275.95万</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元，1</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1</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月预算执行总体进度为</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100</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%，其中：预算结余率大于</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10%</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的项目共计</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0</w:t>
      </w:r>
      <w:r>
        <w:rPr>
          <w:rFonts w:hint="default" w:ascii="仿宋_GB2312" w:hAnsi="仿宋_GB2312" w:eastAsia="仿宋_GB2312" w:cs="仿宋_GB2312"/>
          <w:i w:val="0"/>
          <w:caps w:val="0"/>
          <w:color w:val="333333"/>
          <w:spacing w:val="0"/>
          <w:kern w:val="0"/>
          <w:sz w:val="32"/>
          <w:szCs w:val="32"/>
          <w:shd w:val="clear" w:color="auto" w:fill="FFFFFF"/>
          <w:lang w:val="zh-CN" w:eastAsia="zh-CN" w:bidi="ar"/>
        </w:rPr>
        <w:t>个。</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项目决策。本部门预算项目的设立严格按照规定履行事前评估论证，申报程序。预算项目绩效目标与计划期内的任务量与预算安排的资金量匹配，绩效目标设置科学合理、规范完整、量化细化、预算匹配。部门预算项目在规定时间完成项目入库。</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2、项目执行</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。部门预算项目实际列支内容与绩效目标设置方向完全相符，部门预算项目结合实际采取了对应调整措施，部门预算项目预算执行情况较好。</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3、</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目标实现。部门预算项目绩效目标数量指标完成情况较好，部门预算项目绩效目标数量指标实现程度与预期目标未出现偏离情况，部门预算项目绩效目标效益指标实施效果较好。</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bidi="ar"/>
        </w:rPr>
        <w:t>。</w:t>
      </w:r>
      <w:r>
        <w:rPr>
          <w:rFonts w:hint="eastAsia" w:ascii="仿宋_GB2312" w:hAnsi="仿宋_GB2312" w:eastAsia="仿宋_GB2312" w:cs="仿宋_GB2312"/>
          <w:sz w:val="32"/>
          <w:szCs w:val="32"/>
          <w:lang w:eastAsia="zh-CN"/>
        </w:rPr>
        <w:t>我委严格按照财政资金拨付分配情况进行资金支付，部门预算执行进度严格按照预算执行。支出总额控制在预算总额以内，除政策性工资绩效预算的追加外，本年部门预算未进行预算相关事项的调整。本年预算资金投入进度正常，中期自我评估良好，节能降耗和“三公”等经费实行厉行节约条例，</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eastAsia="zh-CN"/>
        </w:rPr>
        <w:t>三公经费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eastAsia="zh-CN"/>
        </w:rPr>
        <w:t>总体控制较好，公务接待未超过单位公用经费的2%。</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640" w:firstLineChars="200"/>
        <w:jc w:val="both"/>
        <w:textAlignment w:val="auto"/>
        <w:outlineLvl w:val="9"/>
        <w:rPr>
          <w:rFonts w:hint="default" w:ascii="仿宋_GB2312" w:hAnsi="仿宋_GB2312" w:eastAsia="仿宋_GB2312" w:cs="仿宋_GB2312"/>
          <w:b/>
          <w:bCs w:val="0"/>
          <w:szCs w:val="32"/>
        </w:rPr>
      </w:pPr>
      <w:r>
        <w:rPr>
          <w:rFonts w:hint="eastAsia" w:ascii="仿宋_GB2312" w:hAnsi="仿宋_GB2312" w:eastAsia="仿宋_GB2312" w:cs="仿宋_GB2312"/>
          <w:sz w:val="32"/>
          <w:szCs w:val="32"/>
          <w:lang w:eastAsia="zh-CN"/>
        </w:rPr>
        <w:t>为强化部门整体支出，加强国有资产管理，提高资金使用效益，提升财务管理，建立节约型机关，202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年我委在强化业务管理、财务管理和厉行节约方面开展了大量工作，行政效能显著。</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评价结论及建议</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
        </w:rPr>
        <w:t>（一）评价结论。</w:t>
      </w:r>
      <w:r>
        <w:rPr>
          <w:rFonts w:hint="eastAsia" w:ascii="Times New Roman" w:hAnsi="Times New Roman" w:eastAsia="楷体_GB2312" w:cs="Times New Roman"/>
          <w:b/>
          <w:bCs/>
          <w:color w:val="000000"/>
          <w:kern w:val="0"/>
          <w:sz w:val="32"/>
          <w:szCs w:val="32"/>
          <w:highlight w:val="none"/>
          <w:shd w:val="clear" w:color="auto" w:fill="FFFFFF"/>
          <w:lang w:val="zh-CN" w:eastAsia="zh-CN" w:bidi="ar"/>
        </w:rPr>
        <w:t> </w:t>
      </w:r>
      <w:r>
        <w:rPr>
          <w:rFonts w:hint="eastAsia" w:ascii="仿宋_GB2312" w:hAnsi="仿宋_GB2312" w:eastAsia="仿宋_GB2312" w:cs="仿宋_GB2312"/>
          <w:sz w:val="32"/>
          <w:szCs w:val="32"/>
          <w:lang w:eastAsia="zh-CN"/>
        </w:rPr>
        <w:t>根据《202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年红原县部门支出绩效评价指标体系》评分得分96分，部门整体支出绩效为“好”。</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bidi="ar"/>
        </w:rPr>
        <w:t>（二）存在问题</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一是资金使用效率有待提高；二是制度建设有待进一步完善。</w:t>
      </w:r>
    </w:p>
    <w:p>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bidi="ar"/>
        </w:rPr>
        <w:t>（三）改进建议</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zh-CN"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1、</w:t>
      </w:r>
      <w:r>
        <w:rPr>
          <w:rFonts w:hint="eastAsia" w:ascii="仿宋_GB2312" w:hAnsi="仿宋_GB2312" w:eastAsia="仿宋_GB2312" w:cs="仿宋_GB2312"/>
          <w:i w:val="0"/>
          <w:caps w:val="0"/>
          <w:color w:val="333333"/>
          <w:spacing w:val="0"/>
          <w:kern w:val="0"/>
          <w:sz w:val="32"/>
          <w:szCs w:val="32"/>
          <w:shd w:val="clear" w:color="auto" w:fill="FFFFFF"/>
          <w:lang w:val="zh-CN" w:eastAsia="zh-CN" w:bidi="ar"/>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i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2、进一步完善财务管理及内部控制等制度，厉行节约，强化对预算支出管理，从严控制“三公经费”等支出。</w:t>
      </w:r>
    </w:p>
    <w:p>
      <w:pPr>
        <w:rPr>
          <w:rFonts w:hint="eastAsia"/>
          <w:lang w:val="en-US" w:eastAsia="zh-CN"/>
        </w:rPr>
      </w:pPr>
    </w:p>
    <w:p>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default" w:ascii="仿宋_GB2312" w:hAnsi="仿宋_GB2312" w:eastAsia="仿宋_GB2312" w:cs="仿宋_GB2312"/>
          <w:i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附表：</w:t>
      </w:r>
      <w:r>
        <w:rPr>
          <w:rFonts w:hint="default" w:ascii="仿宋_GB2312" w:hAnsi="仿宋_GB2312" w:eastAsia="仿宋_GB2312" w:cs="仿宋_GB2312"/>
          <w:i w:val="0"/>
          <w:caps w:val="0"/>
          <w:color w:val="333333"/>
          <w:spacing w:val="0"/>
          <w:kern w:val="0"/>
          <w:sz w:val="32"/>
          <w:szCs w:val="32"/>
          <w:shd w:val="clear" w:color="auto" w:fill="FFFFFF"/>
          <w:lang w:val="en-US" w:eastAsia="zh-CN" w:bidi="ar"/>
        </w:rPr>
        <w:t>部门整体支出绩效目标完成情况自评表</w:t>
      </w:r>
    </w:p>
    <w:tbl>
      <w:tblPr>
        <w:tblStyle w:val="17"/>
        <w:tblpPr w:leftFromText="180" w:rightFromText="180" w:vertAnchor="text" w:horzAnchor="page" w:tblpX="1010" w:tblpY="699"/>
        <w:tblOverlap w:val="never"/>
        <w:tblW w:w="10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81"/>
        <w:gridCol w:w="1092"/>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exact"/>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0560" w:type="dxa"/>
            <w:gridSpan w:val="10"/>
            <w:tcBorders>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39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23"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中共红原县委政法委员会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cs="仿宋_GB2312"/>
                <w:sz w:val="32"/>
                <w:szCs w:val="32"/>
                <w:shd w:val="clear" w:color="auto" w:fill="FFFFFF"/>
                <w:lang w:val="en-US" w:eastAsia="zh-CN"/>
              </w:rPr>
              <w:t>768.28</w:t>
            </w:r>
          </w:p>
        </w:tc>
        <w:tc>
          <w:tcPr>
            <w:tcW w:w="22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cs="仿宋_GB2312"/>
                <w:sz w:val="32"/>
                <w:szCs w:val="32"/>
                <w:shd w:val="clear" w:color="auto" w:fill="FFFFFF"/>
                <w:lang w:val="en-US" w:eastAsia="zh-CN"/>
              </w:rPr>
              <w:t>768.28</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宋体" w:hAnsi="宋体" w:eastAsia="宋体" w:cs="宋体"/>
                <w:kern w:val="2"/>
                <w:sz w:val="24"/>
                <w:szCs w:val="24"/>
                <w:lang w:val="en-US" w:eastAsia="zh-CN"/>
              </w:rPr>
              <w:t>指导推动政法系统党的建设和政法队伍建设，协同县级有关职能部门管理监督政法领导干部，推进平安红原、法治红原建设，加强过硬队伍建设，深化智能化建设，坚决维护国家政治安全、确保社会大局稳定、促进社会公平正义、保障人民安居乐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23"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宋体" w:hAnsi="宋体" w:eastAsia="宋体" w:cs="宋体"/>
                <w:kern w:val="2"/>
                <w:sz w:val="24"/>
                <w:szCs w:val="24"/>
                <w:lang w:val="en-US" w:eastAsia="zh-CN"/>
              </w:rPr>
              <w:t>推进平安红原、法治红原建设，加强过硬队伍建设，深化智能化建设，坚决维护国家政治安全、确保社会大局稳定、促进社会公平正义、保障人民安居乐业。</w:t>
            </w:r>
          </w:p>
        </w:tc>
        <w:tc>
          <w:tcPr>
            <w:tcW w:w="6623"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宋体" w:hAnsi="宋体" w:eastAsia="宋体" w:cs="宋体"/>
                <w:kern w:val="2"/>
                <w:sz w:val="24"/>
                <w:szCs w:val="24"/>
                <w:lang w:val="en-US" w:eastAsia="zh-CN"/>
              </w:rPr>
              <w:t>根据预算绩效管理要求，本部门在年初预算编制阶段，组织对维护社会稳定、雪亮工程、综治工作、扫黑工作等项目，严格按照财政预算统一口径编制预算，明确绩效目标，开展了预算事前绩效评估，对所有项目编制了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8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涉法涉诉办结案件</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eastAsia="zh-CN"/>
              </w:rPr>
              <w:t>完成率</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社会治安综合治理宣传工作</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完成率</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社会长治久安</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效果明显</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完成及时率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eastAsia="zh-CN"/>
              </w:rPr>
              <w:t>效果明显</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8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维护社会稳定</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坚定维护社会稳定</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群众满意度</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满意度</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r>
    </w:tbl>
    <w:p>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widowControl/>
        <w:jc w:val="center"/>
        <w:rPr>
          <w:rFonts w:hint="eastAsia" w:ascii="Times New Roman" w:hAnsi="Times New Roman" w:eastAsia="仿宋"/>
          <w:b w:val="0"/>
          <w:color w:val="auto"/>
          <w:highlight w:val="none"/>
        </w:rPr>
      </w:pPr>
      <w:bookmarkStart w:id="56" w:name="_Toc15396618"/>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Start w:id="57"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bookmarkEnd w:id="52"/>
      <w:bookmarkEnd w:id="56"/>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6E498D61"/>
    <w:multiLevelType w:val="singleLevel"/>
    <w:tmpl w:val="6E498D61"/>
    <w:lvl w:ilvl="0" w:tentative="0">
      <w:start w:val="1"/>
      <w:numFmt w:val="chineseCounting"/>
      <w:suff w:val="nothing"/>
      <w:lvlText w:val="%1、"/>
      <w:lvlJc w:val="left"/>
      <w:rPr>
        <w:rFonts w:hint="eastAsia"/>
      </w:rPr>
    </w:lvl>
  </w:abstractNum>
  <w:abstractNum w:abstractNumId="2">
    <w:nsid w:val="73574C96"/>
    <w:multiLevelType w:val="singleLevel"/>
    <w:tmpl w:val="73574C96"/>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51E5"/>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9BD37B2"/>
    <w:rsid w:val="0A2032A3"/>
    <w:rsid w:val="0CA8290A"/>
    <w:rsid w:val="0D35B1ED"/>
    <w:rsid w:val="0E254B6B"/>
    <w:rsid w:val="0F98263C"/>
    <w:rsid w:val="0FA023D7"/>
    <w:rsid w:val="101860EC"/>
    <w:rsid w:val="101F47CC"/>
    <w:rsid w:val="10C055FF"/>
    <w:rsid w:val="11694EBD"/>
    <w:rsid w:val="11772AA4"/>
    <w:rsid w:val="118107EC"/>
    <w:rsid w:val="12B636DF"/>
    <w:rsid w:val="12E24EE2"/>
    <w:rsid w:val="12FF70A3"/>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1F27DBD"/>
    <w:rsid w:val="23860B96"/>
    <w:rsid w:val="240371BF"/>
    <w:rsid w:val="244F3473"/>
    <w:rsid w:val="24C97D99"/>
    <w:rsid w:val="25A718F0"/>
    <w:rsid w:val="25BB59F6"/>
    <w:rsid w:val="25F70086"/>
    <w:rsid w:val="260F557C"/>
    <w:rsid w:val="26970054"/>
    <w:rsid w:val="281408E2"/>
    <w:rsid w:val="29FD04D3"/>
    <w:rsid w:val="2AEF0E61"/>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0AB058B"/>
    <w:rsid w:val="44E268DA"/>
    <w:rsid w:val="44E34AC2"/>
    <w:rsid w:val="450D13D7"/>
    <w:rsid w:val="45506656"/>
    <w:rsid w:val="486A6C7A"/>
    <w:rsid w:val="493A443D"/>
    <w:rsid w:val="4A627F82"/>
    <w:rsid w:val="4B0E749A"/>
    <w:rsid w:val="4B2477C4"/>
    <w:rsid w:val="4B4F25DA"/>
    <w:rsid w:val="4BE068DB"/>
    <w:rsid w:val="4D577224"/>
    <w:rsid w:val="4DBF1CEB"/>
    <w:rsid w:val="4DF0007C"/>
    <w:rsid w:val="4EAB630A"/>
    <w:rsid w:val="4ECE2238"/>
    <w:rsid w:val="4F833267"/>
    <w:rsid w:val="4FE9BD67"/>
    <w:rsid w:val="4FFB052F"/>
    <w:rsid w:val="537E6D0A"/>
    <w:rsid w:val="53D13FC7"/>
    <w:rsid w:val="53F74C96"/>
    <w:rsid w:val="5457779E"/>
    <w:rsid w:val="55170BA8"/>
    <w:rsid w:val="553218C9"/>
    <w:rsid w:val="56133C5C"/>
    <w:rsid w:val="567E1AA5"/>
    <w:rsid w:val="56E47B74"/>
    <w:rsid w:val="57175D52"/>
    <w:rsid w:val="57963D72"/>
    <w:rsid w:val="57BD3DD4"/>
    <w:rsid w:val="5AF92295"/>
    <w:rsid w:val="5B250254"/>
    <w:rsid w:val="5BDD79E6"/>
    <w:rsid w:val="5BF561CA"/>
    <w:rsid w:val="5BFF5DFC"/>
    <w:rsid w:val="5CD71FC4"/>
    <w:rsid w:val="5D1F11B5"/>
    <w:rsid w:val="5D695134"/>
    <w:rsid w:val="5DAE1B18"/>
    <w:rsid w:val="5DE7D9E5"/>
    <w:rsid w:val="5DF8587F"/>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4E7639"/>
    <w:rsid w:val="6C682919"/>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2228AD"/>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4188A"/>
    <w:rsid w:val="776F6FFA"/>
    <w:rsid w:val="778769C8"/>
    <w:rsid w:val="77A75DCA"/>
    <w:rsid w:val="77DC22F5"/>
    <w:rsid w:val="783E271A"/>
    <w:rsid w:val="78616DE9"/>
    <w:rsid w:val="78E875D7"/>
    <w:rsid w:val="79086DAD"/>
    <w:rsid w:val="799D6F67"/>
    <w:rsid w:val="79D7FD79"/>
    <w:rsid w:val="79EE5BA4"/>
    <w:rsid w:val="7A894339"/>
    <w:rsid w:val="7AD284E8"/>
    <w:rsid w:val="7AFF7572"/>
    <w:rsid w:val="7B6C7DFB"/>
    <w:rsid w:val="7BBFBED0"/>
    <w:rsid w:val="7BC3E394"/>
    <w:rsid w:val="7BFB66DB"/>
    <w:rsid w:val="7C1F3737"/>
    <w:rsid w:val="7C3436F3"/>
    <w:rsid w:val="7CBFC87B"/>
    <w:rsid w:val="7CFE0F48"/>
    <w:rsid w:val="7D272ABC"/>
    <w:rsid w:val="7D7EC23E"/>
    <w:rsid w:val="7DBB4E54"/>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首行缩进 21"/>
    <w:basedOn w:val="1"/>
    <w:qFormat/>
    <w:uiPriority w:val="0"/>
    <w:pPr>
      <w:spacing w:line="540" w:lineRule="exact"/>
      <w:ind w:firstLine="200" w:firstLineChars="200"/>
      <w:textAlignment w:val="baseline"/>
    </w:pPr>
    <w:rPr>
      <w:kern w:val="0"/>
      <w:szCs w:val="32"/>
    </w:rPr>
  </w:style>
  <w:style w:type="paragraph" w:styleId="6">
    <w:name w:val="Body Text"/>
    <w:basedOn w:val="1"/>
    <w:next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rFonts w:hint="default" w:ascii="宋体" w:hAnsi="宋体" w:eastAsia="宋体" w:cs="宋体"/>
      <w:kern w:val="0"/>
      <w:sz w:val="24"/>
      <w:lang w:val="en-US" w:eastAsia="zh-CN" w:bidi="ar"/>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20(2).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chemeClr val="tx1">
                    <a:lumMod val="50000"/>
                    <a:lumOff val="50000"/>
                  </a:schemeClr>
                </a:solidFill>
                <a:latin typeface="+mn-lt"/>
                <a:ea typeface="+mn-ea"/>
                <a:cs typeface="+mn-cs"/>
              </a:defRPr>
            </a:pPr>
            <a:r>
              <a:t>本年收入</a:t>
            </a:r>
          </a:p>
        </c:rich>
      </c:tx>
      <c:layout/>
      <c:overlay val="0"/>
      <c:spPr>
        <a:noFill/>
        <a:ln>
          <a:noFill/>
        </a:ln>
        <a:effectLst/>
      </c:spPr>
    </c:title>
    <c:autoTitleDeleted val="0"/>
    <c:plotArea>
      <c:layout/>
      <c:pieChart>
        <c:varyColors val="1"/>
        <c:ser>
          <c:idx val="0"/>
          <c:order val="0"/>
          <c:tx>
            <c:strRef>
              <c:f>'[新建 XLSX 工作表.xlsx]Sheet1'!$C$16</c:f>
              <c:strCache>
                <c:ptCount val="1"/>
                <c:pt idx="0">
                  <c:v>本年收入（万元）</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'[新建 XLSX 工作表.xlsx]Sheet1'!$A$17:$B$18</c:f>
              <c:multiLvlStrCache>
                <c:ptCount val="2"/>
                <c:lvl>
                  <c:pt idx="0">
                    <c:v>一般公共预算财政拨款收入</c:v>
                  </c:pt>
                  <c:pt idx="1">
                    <c:v>其他收入</c:v>
                  </c:pt>
                </c:lvl>
                <c:lvl/>
              </c:multiLvlStrCache>
            </c:multiLvlStrRef>
          </c:cat>
          <c:val>
            <c:numRef>
              <c:f>'[新建 XLSX 工作表.xlsx]Sheet1'!$C$17:$C$18</c:f>
              <c:numCache>
                <c:formatCode>General</c:formatCode>
                <c:ptCount val="2"/>
                <c:pt idx="0">
                  <c:v>718.28</c:v>
                </c:pt>
                <c:pt idx="1">
                  <c:v>50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本年支出</a:t>
            </a:r>
          </a:p>
        </c:rich>
      </c:tx>
      <c:layout>
        <c:manualLayout>
          <c:xMode val="edge"/>
          <c:yMode val="edge"/>
          <c:x val="0.38125"/>
          <c:y val="0.0277777777777778"/>
        </c:manualLayout>
      </c:layout>
      <c:overlay val="0"/>
      <c:spPr>
        <a:noFill/>
        <a:ln>
          <a:noFill/>
        </a:ln>
        <a:effectLst/>
      </c:spPr>
    </c:title>
    <c:autoTitleDeleted val="0"/>
    <c:plotArea>
      <c:layout/>
      <c:pieChart>
        <c:varyColors val="1"/>
        <c:ser>
          <c:idx val="0"/>
          <c:order val="0"/>
          <c:tx>
            <c:strRef>
              <c:f>'[新建 XLSX 工作表.xlsx]Sheet1'!$C$16</c:f>
              <c:strCache>
                <c:ptCount val="1"/>
                <c:pt idx="0">
                  <c:v>本年收入（万元）</c:v>
                </c:pt>
              </c:strCache>
            </c:strRef>
          </c:tx>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'[新建 XLSX 工作表.xlsx]Sheet1'!$A$17:$B$18</c:f>
              <c:multiLvlStrCache>
                <c:ptCount val="2"/>
                <c:lvl>
                  <c:pt idx="0">
                    <c:v>基本支出</c:v>
                  </c:pt>
                  <c:pt idx="1">
                    <c:v>项目支出</c:v>
                  </c:pt>
                </c:lvl>
                <c:lvl/>
              </c:multiLvlStrCache>
            </c:multiLvlStrRef>
          </c:cat>
          <c:val>
            <c:numRef>
              <c:f>'[新建 XLSX 工作表.xlsx]Sheet1'!$C$17:$C$18</c:f>
              <c:numCache>
                <c:formatCode>General</c:formatCode>
                <c:ptCount val="2"/>
                <c:pt idx="0">
                  <c:v>449.82</c:v>
                </c:pt>
                <c:pt idx="1">
                  <c:v>318.47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'[新建 XLS 工作表 (2).xls]Sheet1'!$B$5</c:f>
              <c:strCache>
                <c:ptCount val="1"/>
                <c:pt idx="0">
                  <c:v>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(2).xls]Sheet1'!$A$6:$A$10</c:f>
              <c:strCache>
                <c:ptCount val="5"/>
                <c:pt idx="0">
                  <c:v>一般公共服务支出</c:v>
                </c:pt>
                <c:pt idx="1">
                  <c:v>社会保障和就业支出</c:v>
                </c:pt>
                <c:pt idx="2">
                  <c:v>卫生健康支出</c:v>
                </c:pt>
                <c:pt idx="3">
                  <c:v>住房保障支出</c:v>
                </c:pt>
                <c:pt idx="4">
                  <c:v>公共安全支出</c:v>
                </c:pt>
              </c:strCache>
            </c:strRef>
          </c:cat>
          <c:val>
            <c:numRef>
              <c:f>'[新建 XLS 工作表 (2).xls]Sheet1'!$B$6:$B$10</c:f>
              <c:numCache>
                <c:formatCode>General</c:formatCode>
                <c:ptCount val="5"/>
                <c:pt idx="0">
                  <c:v>399.31</c:v>
                </c:pt>
                <c:pt idx="1">
                  <c:v>55.66</c:v>
                </c:pt>
                <c:pt idx="2">
                  <c:v>23.52</c:v>
                </c:pt>
                <c:pt idx="3">
                  <c:v>32.06</c:v>
                </c:pt>
                <c:pt idx="4">
                  <c:v>207.74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[工作簿1]Sheet1!$C$6</c:f>
              <c:strCache>
                <c:ptCount val="1"/>
                <c:pt idx="0">
                  <c:v>三公经费财政拨款支出情况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[工作簿1]Sheet1!$A$7:$B$9</c:f>
              <c:multiLvlStrCache>
                <c:ptCount val="3"/>
                <c:lvl>
                  <c:pt idx="0">
                    <c:v>因公出国（境）费支出</c:v>
                  </c:pt>
                  <c:pt idx="1">
                    <c:v>公务用车购置及运行维护费支出</c:v>
                  </c:pt>
                  <c:pt idx="2">
                    <c:v>公务接待费支出</c:v>
                  </c:pt>
                </c:lvl>
                <c:lvl/>
              </c:multiLvlStrCache>
            </c:multiLvlStrRef>
          </c:cat>
          <c:val>
            <c:numRef>
              <c:f>[工作簿1]Sheet1!$C$7:$C$9</c:f>
              <c:numCache>
                <c:formatCode>General</c:formatCode>
                <c:ptCount val="3"/>
                <c:pt idx="0">
                  <c:v>0</c:v>
                </c:pt>
                <c:pt idx="1">
                  <c:v>7.61</c:v>
                </c:pt>
                <c:pt idx="2">
                  <c:v>0.94</c:v>
                </c:pt>
              </c:numCache>
            </c:numRef>
          </c:val>
        </c:ser>
        <c:ser>
          <c:idx val="1"/>
          <c:order val="1"/>
          <c:tx>
            <c:strRef>
              <c:f>[工作簿1]Sheet1!$D$6</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[工作簿1]Sheet1!$A$7:$B$9</c:f>
              <c:multiLvlStrCache>
                <c:ptCount val="3"/>
                <c:lvl>
                  <c:pt idx="0">
                    <c:v>因公出国（境）费支出</c:v>
                  </c:pt>
                  <c:pt idx="1">
                    <c:v>公务用车购置及运行维护费支出</c:v>
                  </c:pt>
                  <c:pt idx="2">
                    <c:v>公务接待费支出</c:v>
                  </c:pt>
                </c:lvl>
                <c:lvl/>
              </c:multiLvlStrCache>
            </c:multiLvlStrRef>
          </c:cat>
          <c:val>
            <c:numRef>
              <c:f>[工作簿1]Sheet1!$D$7:$D$9</c:f>
              <c:numCache>
                <c:formatCode>General</c:formatCode>
                <c:ptCount val="3"/>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6493921206525"/>
          <c:y val="0.5020548104684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2</TotalTime>
  <ScaleCrop>false</ScaleCrop>
  <LinksUpToDate>false</LinksUpToDate>
  <CharactersWithSpaces>8692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2025-09-26T16:48:00Z</cp:lastPrinted>
  <dcterms:modified xsi:type="dcterms:W3CDTF">2025-09-28T01:46:39Z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04787F2533EB45DC91BCDE4AB213247F</vt:lpwstr>
  </property>
</Properties>
</file>