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193"/>
      <w:bookmarkStart w:id="2" w:name="_Toc15396475"/>
      <w:bookmarkStart w:id="3" w:name="_Toc15396597"/>
      <w:bookmarkStart w:id="4" w:name="_Toc15378441"/>
      <w:bookmarkStart w:id="5" w:name="_Toc1537742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476"/>
      <w:bookmarkStart w:id="8" w:name="_Toc15377426"/>
      <w:bookmarkStart w:id="9" w:name="_Toc15396598"/>
      <w:bookmarkStart w:id="10" w:name="_Toc15378442"/>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红原县委政法委</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center"/>
        <w:rPr>
          <w:rFonts w:ascii="黑体" w:hAnsi="黑体" w:eastAsia="黑体"/>
          <w:color w:val="000000"/>
          <w:sz w:val="48"/>
          <w:szCs w:val="48"/>
        </w:rPr>
      </w:pPr>
      <w:r>
        <w:rPr>
          <w:rFonts w:hint="eastAsia" w:ascii="宋体" w:hAnsi="宋体" w:cs="仿宋_GB2312"/>
          <w:sz w:val="32"/>
          <w:szCs w:val="32"/>
        </w:rPr>
        <w:t>部门主要负责人审签情况：已审签，同意对外公</w:t>
      </w: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 xml:space="preserve">公开时间：2021年 </w:t>
      </w:r>
      <w:r>
        <w:rPr>
          <w:rFonts w:hAnsiTheme="minorHAnsi"/>
          <w:b w:val="0"/>
          <w:bCs w:val="0"/>
          <w:sz w:val="24"/>
          <w:szCs w:val="24"/>
        </w:rPr>
        <w:t>9</w:t>
      </w:r>
      <w:r>
        <w:rPr>
          <w:rFonts w:hint="eastAsia" w:hAnsiTheme="minorHAnsi"/>
          <w:b w:val="0"/>
          <w:bCs w:val="0"/>
          <w:sz w:val="24"/>
          <w:szCs w:val="24"/>
        </w:rPr>
        <w:t>月3</w:t>
      </w:r>
      <w:r>
        <w:rPr>
          <w:rFonts w:hAnsiTheme="minorHAnsi"/>
          <w:b w:val="0"/>
          <w:bCs w:val="0"/>
          <w:sz w:val="24"/>
          <w:szCs w:val="24"/>
        </w:rPr>
        <w:t>0</w:t>
      </w:r>
      <w:r>
        <w:rPr>
          <w:rFonts w:hint="eastAsia" w:hAnsiTheme="minorHAnsi"/>
          <w:b w:val="0"/>
          <w:bCs w:val="0"/>
          <w:sz w:val="24"/>
          <w:szCs w:val="24"/>
        </w:rPr>
        <w:t xml:space="preserve"> 日</w:t>
      </w:r>
    </w:p>
    <w:p>
      <w:pPr>
        <w:pStyle w:val="13"/>
        <w:tabs>
          <w:tab w:val="right" w:leader="dot" w:pos="8296"/>
        </w:tabs>
        <w:rPr>
          <w:rFonts w:hint="eastAsia" w:hAnsiTheme="minorHAnsi" w:eastAsiaTheme="minorHAnsi" w:cstheme="minorBidi"/>
          <w:b w:val="0"/>
          <w:bCs w:val="0"/>
          <w:caps w:val="0"/>
          <w:sz w:val="21"/>
          <w:szCs w:val="22"/>
          <w:lang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5</w:t>
      </w:r>
    </w:p>
    <w:p>
      <w:pPr>
        <w:pStyle w:val="16"/>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5</w:t>
      </w:r>
    </w:p>
    <w:p>
      <w:pPr>
        <w:pStyle w:val="8"/>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（一）主要职能。</w:t>
      </w:r>
      <w:r>
        <w:tab/>
      </w:r>
      <w:r>
        <w:rPr>
          <w:rFonts w:hint="eastAsia"/>
          <w:lang w:val="en-US" w:eastAsia="zh-CN"/>
        </w:rPr>
        <w:t>5</w:t>
      </w:r>
    </w:p>
    <w:p>
      <w:pPr>
        <w:pStyle w:val="8"/>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（二）2020年重点工作完成情况。</w:t>
      </w:r>
      <w:r>
        <w:tab/>
      </w:r>
      <w:r>
        <w:rPr>
          <w:rFonts w:hint="eastAsia"/>
          <w:lang w:val="en-US" w:eastAsia="zh-CN"/>
        </w:rPr>
        <w:t>6</w:t>
      </w:r>
    </w:p>
    <w:p>
      <w:pPr>
        <w:pStyle w:val="16"/>
        <w:tabs>
          <w:tab w:val="right" w:leader="dot" w:pos="8296"/>
        </w:tabs>
        <w:rPr>
          <w:rFonts w:hint="eastAsia" w:hAnsiTheme="minorHAnsi" w:eastAsiaTheme="minorHAnsi" w:cstheme="minorBidi"/>
          <w:i w:val="0"/>
          <w:iCs w:val="0"/>
          <w:sz w:val="21"/>
          <w:szCs w:val="22"/>
          <w:lang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7</w:t>
      </w:r>
    </w:p>
    <w:p>
      <w:pPr>
        <w:pStyle w:val="13"/>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rPr>
          <w:rFonts w:hint="eastAsia"/>
          <w:lang w:val="en-US" w:eastAsia="zh-CN"/>
        </w:rPr>
        <w:t>8</w:t>
      </w:r>
    </w:p>
    <w:p>
      <w:pPr>
        <w:pStyle w:val="16"/>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8</w:t>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8</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9</w:t>
      </w:r>
      <w:r>
        <w:fldChar w:fldCharType="end"/>
      </w:r>
    </w:p>
    <w:p>
      <w:pPr>
        <w:pStyle w:val="16"/>
        <w:tabs>
          <w:tab w:val="right" w:leader="dot" w:pos="8296"/>
        </w:tabs>
        <w:rPr>
          <w:rFonts w:hint="eastAsia" w:eastAsiaTheme="minorHAnsi"/>
          <w:lang w:val="en-US" w:eastAsia="zh-CN"/>
        </w:rPr>
      </w:pPr>
      <w:r>
        <w:rPr>
          <w:rFonts w:ascii="黑体" w:hAnsi="黑体" w:eastAsia="黑体"/>
          <w:color w:val="000000"/>
        </w:rPr>
        <w:t>四</w:t>
      </w:r>
      <w:r>
        <w:rPr>
          <w:rFonts w:hint="eastAsia" w:ascii="黑体" w:hAnsi="黑体" w:eastAsia="黑体"/>
          <w:color w:val="000000"/>
          <w:lang w:eastAsia="zh-CN"/>
        </w:rPr>
        <w:t>、</w:t>
      </w:r>
      <w:r>
        <w:rPr>
          <w:rFonts w:ascii="黑体" w:hAnsi="黑体" w:eastAsia="黑体"/>
          <w:color w:val="000000"/>
        </w:rPr>
        <w:t>财</w:t>
      </w:r>
      <w:r>
        <w:rPr>
          <w:rFonts w:ascii="黑体" w:hAnsi="黑体" w:eastAsia="黑体"/>
          <w:bCs/>
        </w:rPr>
        <w:t>政拨款收入支出决算总体情况说明</w:t>
      </w:r>
      <w:r>
        <w:tab/>
      </w:r>
      <w:r>
        <w:rPr>
          <w:rFonts w:hint="eastAsia"/>
          <w:lang w:val="en-US" w:eastAsia="zh-CN"/>
        </w:rPr>
        <w:t>9</w:t>
      </w:r>
    </w:p>
    <w:p>
      <w:pPr>
        <w:pStyle w:val="16"/>
        <w:tabs>
          <w:tab w:val="right" w:leader="dot" w:pos="8296"/>
        </w:tabs>
        <w:rPr>
          <w:rFonts w:hint="default" w:hAnsiTheme="minorHAnsi" w:eastAsiaTheme="minorHAnsi" w:cstheme="minorBidi"/>
          <w:smallCaps w:val="0"/>
          <w:sz w:val="21"/>
          <w:szCs w:val="22"/>
          <w:lang w:val="en-US" w:eastAsia="zh-CN"/>
        </w:rPr>
      </w:pPr>
      <w:r>
        <w:rPr>
          <w:rFonts w:hint="eastAsia" w:ascii="黑体" w:hAnsi="黑体" w:eastAsia="黑体"/>
          <w:b/>
          <w:color w:val="000000"/>
          <w:lang w:eastAsia="zh-CN"/>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10</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10</w:t>
      </w:r>
    </w:p>
    <w:p>
      <w:pPr>
        <w:pStyle w:val="8"/>
        <w:tabs>
          <w:tab w:val="right" w:leader="dot" w:pos="8296"/>
        </w:tabs>
        <w:rPr>
          <w:rFonts w:hint="eastAsia"/>
          <w:lang w:val="en-US" w:eastAsia="zh-CN"/>
        </w:rPr>
      </w:pPr>
      <w:r>
        <w:rPr>
          <w:rFonts w:ascii="仿宋" w:hAnsi="仿宋" w:eastAsia="仿宋"/>
          <w:b/>
          <w:color w:val="000000"/>
        </w:rPr>
        <w:t>（二）一般公共预算财政拨款支出决算结构情况</w:t>
      </w:r>
      <w:r>
        <w:tab/>
      </w:r>
      <w:r>
        <w:rPr>
          <w:rFonts w:hint="eastAsia"/>
          <w:lang w:val="en-US" w:eastAsia="zh-CN"/>
        </w:rPr>
        <w:t>11</w:t>
      </w:r>
    </w:p>
    <w:p>
      <w:pPr>
        <w:pStyle w:val="8"/>
        <w:tabs>
          <w:tab w:val="right" w:leader="dot" w:pos="8296"/>
        </w:tabs>
        <w:rPr>
          <w:rFonts w:hint="default" w:eastAsiaTheme="minorHAnsi"/>
          <w:lang w:val="en-US" w:eastAsia="zh-CN"/>
        </w:rPr>
      </w:pPr>
      <w:r>
        <w:rPr>
          <w:rFonts w:ascii="仿宋" w:hAnsi="仿宋" w:eastAsia="仿宋"/>
          <w:b/>
          <w:color w:val="000000"/>
        </w:rPr>
        <w:t>三）一般公共预算财政拨款支出决算具体情况</w:t>
      </w:r>
      <w:r>
        <w:tab/>
      </w:r>
      <w:r>
        <w:rPr>
          <w:rFonts w:hint="eastAsia"/>
          <w:lang w:val="en-US" w:eastAsia="zh-CN"/>
        </w:rPr>
        <w:t>12</w:t>
      </w:r>
    </w:p>
    <w:p>
      <w:pPr>
        <w:pStyle w:val="16"/>
        <w:tabs>
          <w:tab w:val="right" w:leader="dot" w:pos="8296"/>
        </w:tabs>
        <w:rPr>
          <w:rFonts w:hint="default" w:hAnsiTheme="minorHAnsi" w:eastAsiaTheme="minorHAnsi" w:cstheme="minorBidi"/>
          <w:smallCaps w:val="0"/>
          <w:sz w:val="21"/>
          <w:szCs w:val="22"/>
          <w:lang w:val="en-US" w:eastAsia="zh-CN"/>
        </w:rPr>
      </w:pPr>
      <w:r>
        <w:rPr>
          <w:rFonts w:hint="eastAsia" w:ascii="仿宋" w:hAnsi="仿宋" w:eastAsia="仿宋"/>
          <w:b/>
          <w:color w:val="000000"/>
          <w:lang w:val="en-US" w:eastAsia="zh-CN"/>
        </w:rPr>
        <w:t xml:space="preserve"> 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12</w:t>
      </w:r>
    </w:p>
    <w:p>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14</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14</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15</w:t>
      </w:r>
    </w:p>
    <w:p>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15</w:t>
      </w:r>
    </w:p>
    <w:p>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15</w:t>
      </w:r>
    </w:p>
    <w:p>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15</w:t>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15</w:t>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15</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15</w:t>
      </w:r>
      <w:r>
        <w:fldChar w:fldCharType="end"/>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33</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36</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36</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政法委</w:t>
      </w:r>
      <w:r>
        <w:rPr>
          <w:rFonts w:ascii="方正小标宋简体" w:hAnsi="黑体" w:eastAsia="方正小标宋简体" w:cs="黑体"/>
        </w:rPr>
        <w:t>部门2020年部门整体支出绩效评价报告</w:t>
      </w:r>
      <w:r>
        <w:tab/>
      </w:r>
      <w:r>
        <w:rPr>
          <w:rFonts w:hint="eastAsia"/>
          <w:lang w:val="en-US" w:eastAsia="zh-CN"/>
        </w:rPr>
        <w:t>36</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41</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大调解工作经费</w:t>
      </w:r>
      <w:r>
        <w:rPr>
          <w:rFonts w:ascii="方正小标宋简体" w:hAnsi="黑体" w:eastAsia="方正小标宋简体" w:cs="黑体"/>
        </w:rPr>
        <w:t>项目2020年绩效评价报告</w:t>
      </w:r>
      <w:r>
        <w:tab/>
      </w:r>
      <w:r>
        <w:rPr>
          <w:rFonts w:hint="eastAsia"/>
          <w:lang w:val="en-US" w:eastAsia="zh-CN"/>
        </w:rPr>
        <w:t>41</w:t>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4</w:t>
      </w:r>
      <w:r>
        <w:rPr>
          <w:rFonts w:hint="eastAsia"/>
          <w:lang w:val="en-US" w:eastAsia="zh-CN"/>
        </w:rPr>
        <w:t>6</w:t>
      </w:r>
      <w:r>
        <w:fldChar w:fldCharType="end"/>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50</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51</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52</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53</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54</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55</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56</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57</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58</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59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60</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61</w:t>
      </w:r>
    </w:p>
    <w:p>
      <w:pPr>
        <w:pStyle w:val="16"/>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49</w:t>
      </w:r>
      <w:r>
        <w:fldChar w:fldCharType="end"/>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62</w:t>
      </w:r>
    </w:p>
    <w:p>
      <w:r>
        <w:rPr>
          <w:rFonts w:asciiTheme="minorHAnsi" w:eastAsiaTheme="minorHAnsi"/>
          <w:b/>
          <w:bCs/>
          <w:caps/>
          <w:sz w:val="20"/>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pageBreakBefore w:val="0"/>
        <w:kinsoku/>
        <w:wordWrap/>
        <w:overflowPunct/>
        <w:topLinePunct w:val="0"/>
        <w:autoSpaceDE/>
        <w:autoSpaceDN/>
        <w:bidi w:val="0"/>
        <w:spacing w:before="0" w:after="0" w:line="560" w:lineRule="exact"/>
        <w:ind w:left="0" w:firstLine="880" w:firstLineChars="200"/>
        <w:jc w:val="center"/>
        <w:textAlignment w:val="auto"/>
        <w:rPr>
          <w:rFonts w:ascii="黑体" w:eastAsia="黑体"/>
          <w:color w:val="000000"/>
          <w:sz w:val="32"/>
          <w:szCs w:val="32"/>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pStyle w:val="3"/>
        <w:pageBreakBefore w:val="0"/>
        <w:kinsoku/>
        <w:wordWrap/>
        <w:overflowPunct/>
        <w:topLinePunct w:val="0"/>
        <w:autoSpaceDE/>
        <w:autoSpaceDN/>
        <w:bidi w:val="0"/>
        <w:spacing w:before="0" w:after="0" w:line="560" w:lineRule="exact"/>
        <w:ind w:left="0" w:firstLine="640" w:firstLineChars="200"/>
        <w:textAlignment w:val="auto"/>
        <w:rPr>
          <w:rStyle w:val="24"/>
          <w:rFonts w:ascii="仿宋" w:hAnsi="仿宋" w:eastAsia="仿宋"/>
          <w:b w:val="0"/>
          <w:bCs w:val="0"/>
        </w:rPr>
      </w:pPr>
      <w:bookmarkStart w:id="16" w:name="_Toc15377197"/>
      <w:bookmarkStart w:id="17" w:name="_Toc79163852"/>
      <w:bookmarkStart w:id="18" w:name="_Toc79163602"/>
      <w:bookmarkStart w:id="19" w:name="_Toc15396600"/>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ageBreakBefore w:val="0"/>
        <w:kinsoku/>
        <w:wordWrap/>
        <w:overflowPunct/>
        <w:topLinePunct w:val="0"/>
        <w:autoSpaceDE/>
        <w:autoSpaceDN/>
        <w:bidi w:val="0"/>
        <w:snapToGrid w:val="0"/>
        <w:spacing w:line="560" w:lineRule="exact"/>
        <w:ind w:left="0" w:firstLine="640" w:firstLineChars="200"/>
        <w:textAlignment w:val="auto"/>
        <w:rPr>
          <w:rFonts w:hint="eastAsia" w:ascii="仿宋_GB2312" w:hAnsi="仿宋_GB2312" w:eastAsia="仿宋_GB2312" w:cs="仿宋_GB2312"/>
          <w:sz w:val="32"/>
          <w:szCs w:val="32"/>
        </w:rPr>
      </w:pPr>
      <w:bookmarkStart w:id="20" w:name="_Toc15378445"/>
      <w:bookmarkStart w:id="21" w:name="_Toc15377198"/>
      <w:bookmarkStart w:id="22" w:name="_Toc79163603"/>
      <w:bookmarkStart w:id="23" w:name="_Toc79163853"/>
      <w:r>
        <w:rPr>
          <w:rFonts w:hint="eastAsia" w:ascii="仿宋" w:hAnsi="仿宋" w:eastAsia="仿宋"/>
          <w:bCs/>
          <w:color w:val="000000"/>
          <w:sz w:val="32"/>
          <w:szCs w:val="32"/>
        </w:rPr>
        <w:t>（一）</w:t>
      </w:r>
      <w:bookmarkEnd w:id="20"/>
      <w:bookmarkEnd w:id="21"/>
      <w:bookmarkEnd w:id="22"/>
      <w:bookmarkEnd w:id="23"/>
      <w:r>
        <w:rPr>
          <w:rFonts w:hint="eastAsia" w:ascii="仿宋_GB2312" w:hAnsi="仿宋_GB2312" w:eastAsia="仿宋_GB2312" w:cs="仿宋_GB2312"/>
          <w:sz w:val="32"/>
          <w:szCs w:val="32"/>
        </w:rPr>
        <w:t>1．主要职能。</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ascii="仿宋" w:hAnsi="仿宋" w:eastAsia="仿宋"/>
          <w:sz w:val="32"/>
          <w:szCs w:val="32"/>
        </w:rPr>
      </w:pPr>
      <w:r>
        <w:rPr>
          <w:rFonts w:hint="eastAsia" w:ascii="仿宋_GB2312" w:hAnsi="仿宋_GB2312" w:eastAsia="仿宋_GB2312" w:cs="仿宋_GB2312"/>
          <w:i w:val="0"/>
          <w:caps w:val="0"/>
          <w:color w:val="333333"/>
          <w:spacing w:val="0"/>
          <w:sz w:val="32"/>
          <w:szCs w:val="32"/>
          <w:shd w:val="clear" w:fill="FFFFFF"/>
        </w:rPr>
        <w:t>按照中共红原县委办公室关于印发『中共红原县委政法委员会机关配置、内设机构和人员编制方案的通知』（红委办发[2001]67号）文件规定，中共红原县委政法委员会是中共红原县委领导、管理全县政法工作的职能部门。县委政法委基本职能：一是根据中央和省、州、县党委、政府关于政法工作的决策和部署，统一政法各部门的思想和行动，不断加强党对政法工作的领导；二是在县委、县政府的正确领导下，认真履行县委领导、管理全县政法工作的职能，对全县的政法工作做出全局性部署，并督促贯彻落实；三是组织和指导全县政法部门领导班子建设和政法干部队伍建设；协助县委及其组织部门考察、管理政法部门的领导干部；四是组织、协调和指导全县平安建设、社会治安综合治理、反邪教等工作，检查督促各项措施和工作业务的落实，进行考核奖惩和责任追究；五是检查政法部门执行法律法规和党的路线、方针、政策的情况，研究制定确保严肃执法和落实党的方针政策的具体措施；六是支持和监督政法各部门各负其责，密切配合，严格执法，秉公办案；组织研究和协调有争议的重大疑难案件，督促和推动大案、要案的查处工作；七是组织、协调和指导全县维护社会稳定工作；八是组织推动政法战线的调查研究工作，针对政法工作出现的新情况、新问题，提出对策建议，为领导决策服务；九是加强机关思想政治工作和机关建设；十是办理县委、县政府和上级领导机关交办的其它工作。</w:t>
      </w:r>
    </w:p>
    <w:p>
      <w:pPr>
        <w:pStyle w:val="6"/>
        <w:pageBreakBefore w:val="0"/>
        <w:kinsoku/>
        <w:wordWrap/>
        <w:overflowPunct/>
        <w:topLinePunct w:val="0"/>
        <w:autoSpaceDE/>
        <w:autoSpaceDN/>
        <w:bidi w:val="0"/>
        <w:adjustRightInd w:val="0"/>
        <w:snapToGrid w:val="0"/>
        <w:spacing w:beforeLines="0" w:line="560" w:lineRule="exact"/>
        <w:ind w:left="0" w:firstLine="640" w:firstLineChars="200"/>
        <w:textAlignment w:val="auto"/>
        <w:outlineLvl w:val="2"/>
        <w:rPr>
          <w:rFonts w:hint="eastAsia" w:ascii="仿宋" w:hAnsi="仿宋" w:eastAsia="仿宋"/>
          <w:bCs/>
          <w:color w:val="000000"/>
          <w:sz w:val="32"/>
          <w:szCs w:val="32"/>
        </w:rPr>
      </w:pPr>
      <w:bookmarkStart w:id="24" w:name="_Toc15378446"/>
      <w:bookmarkStart w:id="25" w:name="_Toc79163854"/>
      <w:bookmarkStart w:id="26" w:name="_Toc15377199"/>
      <w:bookmarkStart w:id="27" w:name="_Toc79163604"/>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 1.强化政治担当，推动红原政法事业全面发展。一是持续深化“大学习、大讨论、大调研”、“不忘初心、牢记使命”主题教育，用十九大精神、习近平</w:t>
      </w:r>
      <w:r>
        <w:rPr>
          <w:rFonts w:hint="eastAsia" w:ascii="仿宋_GB2312" w:hAnsi="仿宋_GB2312" w:eastAsia="仿宋_GB2312" w:cs="仿宋_GB2312"/>
          <w:i w:val="0"/>
          <w:caps w:val="0"/>
          <w:color w:val="333333"/>
          <w:spacing w:val="0"/>
          <w:sz w:val="32"/>
          <w:szCs w:val="32"/>
          <w:shd w:val="clear" w:fill="FFFFFF"/>
          <w:lang w:val="en-US" w:eastAsia="zh-CN"/>
        </w:rPr>
        <w:t>法治思想</w:t>
      </w:r>
      <w:bookmarkStart w:id="165" w:name="_GoBack"/>
      <w:bookmarkEnd w:id="165"/>
      <w:r>
        <w:rPr>
          <w:rFonts w:hint="eastAsia" w:ascii="仿宋_GB2312" w:hAnsi="仿宋_GB2312" w:eastAsia="仿宋_GB2312" w:cs="仿宋_GB2312"/>
          <w:i w:val="0"/>
          <w:caps w:val="0"/>
          <w:color w:val="333333"/>
          <w:spacing w:val="0"/>
          <w:sz w:val="32"/>
          <w:szCs w:val="32"/>
          <w:shd w:val="clear" w:fill="FFFFFF"/>
        </w:rPr>
        <w:t>以及来川重要讲话精神贯穿于红原政法工作全过程。二是坚决维护政治安全。深化“一反两防”斗争，强化情报信息收集研判，提高预测预警预判和运用处理能力。深化依法常态化治理，提高社会面防控力度。深化重点人员、重点关注对象、重点行业、重点物品的管控。深入贯彻调解工作“六步”工作法，持续加强对涉及“三山一界”、工程建设、特殊利益群体等方面的隐患纠纷排查化解，确保将各种矛盾纠纷和不稳定因素化解在萌芽状态，稳控在基层，解决在当地。深化稳定风险评估制度的推进和落实，以稳定风险评估工作强化对各类文体活动、佛事活动的管控。三是深化反邪教斗争，加强反邪教宣传教育，开展打击邪教组织专项行动，加大对学校、非法宗教活动和境外宗教渗透活动的打击力度，加强对涉邪人员的教育转化。四是扎实推进“平安红原”建设，以“一核三治”为载体，以社会面依法常态化治理为抓手，纵深推进扫黑除恶专项斗争工作，提升社会综合治理成效，提高群众安全感。</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2.强化政法服务保障，助推红原经济社会发展。一是打好维护稳定攻坚战。持续深化“三反两防”，聚焦五个发生法，重点抓好当前至3月等敏感期维稳工作。二是打好精准扶贫攻坚战。深化基层法治创建，通过法治宣传教育、矛盾纠纷调解、村规民约完善等，推动实现“四好”目标。三是打好生态保护攻坚战。严厉打击破坏生态环境资源违法犯罪，推进环保领域公益诉讼工作。加强涉环保项目建设风险评估，加强专题研究，做好风险防控。</w:t>
      </w:r>
    </w:p>
    <w:p>
      <w:pPr>
        <w:pageBreakBefore w:val="0"/>
        <w:kinsoku/>
        <w:wordWrap/>
        <w:overflowPunct/>
        <w:topLinePunct w:val="0"/>
        <w:autoSpaceDE/>
        <w:autoSpaceDN/>
        <w:bidi w:val="0"/>
        <w:snapToGrid w:val="0"/>
        <w:spacing w:line="560" w:lineRule="exact"/>
        <w:ind w:left="0" w:firstLine="640" w:firstLineChars="200"/>
        <w:textAlignment w:val="auto"/>
        <w:rPr>
          <w:rFonts w:hint="eastAsia" w:ascii="仿宋" w:hAnsi="仿宋" w:eastAsia="仿宋"/>
          <w:bCs/>
          <w:color w:val="000000"/>
          <w:sz w:val="32"/>
          <w:szCs w:val="32"/>
        </w:rPr>
      </w:pPr>
      <w:r>
        <w:rPr>
          <w:rFonts w:hint="eastAsia" w:ascii="仿宋_GB2312" w:hAnsi="仿宋_GB2312" w:eastAsia="仿宋_GB2312" w:cs="仿宋_GB2312"/>
          <w:i w:val="0"/>
          <w:caps w:val="0"/>
          <w:color w:val="333333"/>
          <w:spacing w:val="0"/>
          <w:sz w:val="32"/>
          <w:szCs w:val="32"/>
          <w:shd w:val="clear" w:fill="FFFFFF"/>
        </w:rPr>
        <w:t>3.</w:t>
      </w:r>
      <w:r>
        <w:rPr>
          <w:rFonts w:hint="eastAsia" w:ascii="仿宋_GB2312" w:hAnsi="仿宋_GB2312" w:eastAsia="仿宋_GB2312" w:cs="仿宋_GB2312"/>
          <w:bCs/>
          <w:sz w:val="32"/>
          <w:szCs w:val="32"/>
        </w:rPr>
        <w:t>我单位今年根据财政资金的安排情况，</w:t>
      </w:r>
      <w:r>
        <w:rPr>
          <w:rFonts w:hint="eastAsia" w:ascii="仿宋_GB2312" w:hAnsi="仿宋_GB2312" w:eastAsia="仿宋_GB2312" w:cs="仿宋_GB2312"/>
          <w:sz w:val="32"/>
          <w:szCs w:val="32"/>
        </w:rPr>
        <w:t>严格控制经费管理，未存在超预算，不按规定追加预算现象。严格规范“三公”经费，严格控制公务接待经费、公务用车维护经费等公用经费支出。我单位今年进一步规范和修改财务管理制度，进一步防范贪污、挪用、截留等现象发生。</w:t>
      </w:r>
    </w:p>
    <w:p>
      <w:pPr>
        <w:pStyle w:val="3"/>
        <w:pageBreakBefore w:val="0"/>
        <w:kinsoku/>
        <w:wordWrap/>
        <w:overflowPunct/>
        <w:topLinePunct w:val="0"/>
        <w:autoSpaceDE/>
        <w:autoSpaceDN/>
        <w:bidi w:val="0"/>
        <w:spacing w:before="0" w:after="0" w:line="560" w:lineRule="exact"/>
        <w:ind w:left="0" w:firstLine="640" w:firstLineChars="200"/>
        <w:textAlignment w:val="auto"/>
        <w:rPr>
          <w:rStyle w:val="24"/>
          <w:b w:val="0"/>
          <w:bCs w:val="0"/>
        </w:rPr>
      </w:pPr>
      <w:bookmarkStart w:id="28" w:name="_Toc15377200"/>
      <w:bookmarkStart w:id="29" w:name="_Toc79163855"/>
      <w:bookmarkStart w:id="30" w:name="_Toc15396601"/>
      <w:bookmarkStart w:id="31" w:name="_Toc79163605"/>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i w:val="0"/>
          <w:caps w:val="0"/>
          <w:color w:val="333333"/>
          <w:spacing w:val="0"/>
          <w:sz w:val="32"/>
          <w:szCs w:val="32"/>
          <w:shd w:val="clear" w:fill="FFFFFF"/>
        </w:rPr>
        <w:t>本部门预算单位1个，其中内设机构有</w:t>
      </w:r>
      <w:r>
        <w:rPr>
          <w:rFonts w:hint="eastAsia" w:ascii="仿宋_GB2312" w:hAnsi="仿宋_GB2312" w:eastAsia="仿宋_GB2312" w:cs="仿宋_GB2312"/>
          <w:sz w:val="32"/>
          <w:szCs w:val="32"/>
        </w:rPr>
        <w:t>办公室、</w:t>
      </w:r>
      <w:r>
        <w:rPr>
          <w:rFonts w:hint="eastAsia" w:ascii="仿宋_GB2312" w:hAnsi="仿宋_GB2312" w:eastAsia="仿宋_GB2312" w:cs="仿宋_GB2312"/>
          <w:b w:val="0"/>
          <w:bCs w:val="0"/>
          <w:color w:val="000000"/>
          <w:sz w:val="32"/>
          <w:szCs w:val="32"/>
        </w:rPr>
        <w:t>政治安全与反分裂维稳指导股</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color w:val="000000"/>
          <w:sz w:val="32"/>
          <w:szCs w:val="32"/>
        </w:rPr>
        <w:t>基层社会治理和综治督导股</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政治部</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sz w:val="32"/>
          <w:szCs w:val="32"/>
        </w:rPr>
        <w:t>个内设机构。</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color w:val="000000"/>
          <w:sz w:val="32"/>
          <w:szCs w:val="32"/>
        </w:rPr>
        <w:t>县矛盾纠纷多元化解工作领导小组办公室</w:t>
      </w:r>
      <w:r>
        <w:rPr>
          <w:rFonts w:hint="eastAsia" w:ascii="仿宋_GB2312" w:hAnsi="仿宋_GB2312" w:eastAsia="仿宋_GB2312" w:cs="仿宋_GB2312"/>
          <w:i w:val="0"/>
          <w:caps w:val="0"/>
          <w:color w:val="333333"/>
          <w:spacing w:val="0"/>
          <w:sz w:val="32"/>
          <w:szCs w:val="32"/>
          <w:shd w:val="clear" w:color="auto" w:fill="FFFFFF"/>
        </w:rPr>
        <w:t>、</w:t>
      </w:r>
      <w:r>
        <w:rPr>
          <w:rFonts w:hint="eastAsia" w:ascii="仿宋_GB2312" w:hAnsi="仿宋_GB2312" w:eastAsia="仿宋_GB2312" w:cs="仿宋_GB2312"/>
          <w:i w:val="0"/>
          <w:caps w:val="0"/>
          <w:color w:val="333333"/>
          <w:spacing w:val="0"/>
          <w:sz w:val="32"/>
          <w:szCs w:val="32"/>
          <w:shd w:val="clear" w:color="auto" w:fill="FFFFFF"/>
          <w:lang w:eastAsia="zh-CN"/>
        </w:rPr>
        <w:t>县</w:t>
      </w:r>
      <w:r>
        <w:rPr>
          <w:rFonts w:hint="eastAsia" w:ascii="仿宋_GB2312" w:hAnsi="仿宋_GB2312" w:eastAsia="仿宋_GB2312" w:cs="仿宋_GB2312"/>
          <w:i w:val="0"/>
          <w:caps w:val="0"/>
          <w:color w:val="333333"/>
          <w:spacing w:val="0"/>
          <w:sz w:val="32"/>
          <w:szCs w:val="32"/>
          <w:shd w:val="clear" w:color="auto" w:fill="FFFFFF"/>
        </w:rPr>
        <w:t>维稳</w:t>
      </w:r>
      <w:r>
        <w:rPr>
          <w:rFonts w:hint="eastAsia" w:ascii="仿宋_GB2312" w:hAnsi="仿宋_GB2312" w:eastAsia="仿宋_GB2312" w:cs="仿宋_GB2312"/>
          <w:i w:val="0"/>
          <w:caps w:val="0"/>
          <w:color w:val="333333"/>
          <w:spacing w:val="0"/>
          <w:sz w:val="32"/>
          <w:szCs w:val="32"/>
          <w:shd w:val="clear" w:color="auto" w:fill="FFFFFF"/>
          <w:lang w:eastAsia="zh-CN"/>
        </w:rPr>
        <w:t>指挥部办公室</w:t>
      </w:r>
      <w:r>
        <w:rPr>
          <w:rFonts w:hint="eastAsia" w:ascii="仿宋_GB2312" w:hAnsi="仿宋_GB2312" w:eastAsia="仿宋_GB2312" w:cs="仿宋_GB2312"/>
          <w:i w:val="0"/>
          <w:caps w:val="0"/>
          <w:color w:val="333333"/>
          <w:spacing w:val="0"/>
          <w:sz w:val="32"/>
          <w:szCs w:val="32"/>
          <w:shd w:val="clear" w:color="auto" w:fill="FFFFFF"/>
        </w:rPr>
        <w:t>、扫黑除恶办等合署办公。</w:t>
      </w:r>
    </w:p>
    <w:p>
      <w:pPr>
        <w:pageBreakBefore w:val="0"/>
        <w:kinsoku/>
        <w:wordWrap/>
        <w:overflowPunct/>
        <w:topLinePunct w:val="0"/>
        <w:autoSpaceDE/>
        <w:autoSpaceDN/>
        <w:bidi w:val="0"/>
        <w:spacing w:line="560" w:lineRule="exact"/>
        <w:ind w:left="0" w:firstLine="640" w:firstLineChars="200"/>
        <w:textAlignment w:val="auto"/>
        <w:rPr>
          <w:rFonts w:ascii="仿宋" w:hAnsi="仿宋" w:eastAsia="仿宋"/>
          <w:sz w:val="32"/>
          <w:szCs w:val="32"/>
        </w:rPr>
      </w:pPr>
      <w:r>
        <w:rPr>
          <w:rFonts w:hint="eastAsia" w:ascii="仿宋" w:hAnsi="仿宋" w:eastAsia="仿宋"/>
          <w:sz w:val="32"/>
          <w:szCs w:val="32"/>
          <w:lang w:eastAsia="zh-CN"/>
        </w:rPr>
        <w:t>政法委</w:t>
      </w:r>
      <w:r>
        <w:rPr>
          <w:rFonts w:hint="eastAsia" w:ascii="仿宋" w:hAnsi="仿宋" w:eastAsia="仿宋"/>
          <w:sz w:val="32"/>
          <w:szCs w:val="32"/>
        </w:rPr>
        <w:t>下属二级单位</w:t>
      </w:r>
      <w:r>
        <w:rPr>
          <w:rFonts w:hint="eastAsia" w:ascii="仿宋" w:hAnsi="仿宋" w:eastAsia="仿宋"/>
          <w:sz w:val="32"/>
          <w:szCs w:val="32"/>
          <w:lang w:val="en-US" w:eastAsia="zh-CN"/>
        </w:rPr>
        <w:t>1</w:t>
      </w:r>
      <w:r>
        <w:rPr>
          <w:rFonts w:hint="eastAsia" w:ascii="仿宋" w:hAnsi="仿宋" w:eastAsia="仿宋"/>
          <w:sz w:val="32"/>
          <w:szCs w:val="32"/>
        </w:rPr>
        <w:t>个，其中其他事业单位</w:t>
      </w:r>
      <w:r>
        <w:rPr>
          <w:rFonts w:hint="eastAsia" w:ascii="仿宋" w:hAnsi="仿宋" w:eastAsia="仿宋"/>
          <w:sz w:val="32"/>
          <w:szCs w:val="32"/>
          <w:lang w:val="en-US" w:eastAsia="zh-CN"/>
        </w:rPr>
        <w:t>1</w:t>
      </w:r>
      <w:r>
        <w:rPr>
          <w:rFonts w:hint="eastAsia" w:ascii="仿宋" w:hAnsi="仿宋" w:eastAsia="仿宋"/>
          <w:sz w:val="32"/>
          <w:szCs w:val="32"/>
        </w:rPr>
        <w:t>个</w:t>
      </w:r>
      <w:r>
        <w:rPr>
          <w:rFonts w:hint="eastAsia" w:ascii="仿宋" w:hAnsi="仿宋" w:eastAsia="仿宋"/>
          <w:sz w:val="32"/>
          <w:szCs w:val="32"/>
          <w:lang w:eastAsia="zh-CN"/>
        </w:rPr>
        <w:t>（</w:t>
      </w:r>
      <w:r>
        <w:rPr>
          <w:rFonts w:hint="eastAsia" w:ascii="仿宋_GB2312" w:hAnsi="仿宋_GB2312" w:eastAsia="仿宋_GB2312" w:cs="仿宋_GB2312"/>
          <w:color w:val="000000"/>
          <w:sz w:val="32"/>
          <w:szCs w:val="32"/>
        </w:rPr>
        <w:t>县矛盾纠纷多元化解工作领导小组办公室</w:t>
      </w:r>
      <w:r>
        <w:rPr>
          <w:rFonts w:hint="eastAsia" w:ascii="仿宋" w:hAnsi="仿宋" w:eastAsia="仿宋"/>
          <w:sz w:val="32"/>
          <w:szCs w:val="32"/>
          <w:lang w:eastAsia="zh-CN"/>
        </w:rPr>
        <w:t>）</w:t>
      </w:r>
      <w:r>
        <w:rPr>
          <w:rFonts w:hint="eastAsia" w:ascii="仿宋" w:hAnsi="仿宋" w:eastAsia="仿宋"/>
          <w:sz w:val="32"/>
          <w:szCs w:val="32"/>
        </w:rPr>
        <w:t>。</w:t>
      </w:r>
    </w:p>
    <w:p>
      <w:pPr>
        <w:pStyle w:val="6"/>
        <w:pageBreakBefore w:val="0"/>
        <w:kinsoku/>
        <w:wordWrap/>
        <w:overflowPunct/>
        <w:topLinePunct w:val="0"/>
        <w:autoSpaceDE/>
        <w:autoSpaceDN/>
        <w:bidi w:val="0"/>
        <w:adjustRightInd w:val="0"/>
        <w:snapToGrid w:val="0"/>
        <w:spacing w:beforeLines="0" w:line="560" w:lineRule="exact"/>
        <w:ind w:left="0"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纳入</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年度部门决算编制范围的二级预算单位包括：</w:t>
      </w:r>
    </w:p>
    <w:p>
      <w:pPr>
        <w:pStyle w:val="6"/>
        <w:pageBreakBefore w:val="0"/>
        <w:numPr>
          <w:ilvl w:val="0"/>
          <w:numId w:val="1"/>
        </w:numPr>
        <w:kinsoku/>
        <w:wordWrap/>
        <w:overflowPunct/>
        <w:topLinePunct w:val="0"/>
        <w:autoSpaceDE/>
        <w:autoSpaceDN/>
        <w:bidi w:val="0"/>
        <w:adjustRightInd w:val="0"/>
        <w:snapToGrid w:val="0"/>
        <w:spacing w:beforeLines="0" w:line="560" w:lineRule="exact"/>
        <w:ind w:left="0" w:firstLine="640" w:firstLineChars="200"/>
        <w:textAlignment w:val="auto"/>
        <w:outlineLvl w:val="2"/>
        <w:rPr>
          <w:rFonts w:ascii="仿宋" w:hAnsi="仿宋" w:eastAsia="仿宋"/>
          <w:color w:val="000000"/>
          <w:sz w:val="32"/>
          <w:szCs w:val="32"/>
        </w:rPr>
      </w:pPr>
      <w:r>
        <w:rPr>
          <w:rFonts w:hint="eastAsia" w:ascii="仿宋_GB2312" w:hAnsi="仿宋_GB2312" w:eastAsia="仿宋_GB2312" w:cs="仿宋_GB2312"/>
          <w:color w:val="000000"/>
          <w:sz w:val="32"/>
          <w:szCs w:val="32"/>
        </w:rPr>
        <w:t>县矛盾纠纷多元化解工作领导小组办公室</w:t>
      </w:r>
      <w:r>
        <w:rPr>
          <w:rFonts w:hint="eastAsia" w:hAnsi="仿宋_GB2312" w:cs="仿宋_GB2312"/>
          <w:color w:val="000000"/>
          <w:sz w:val="32"/>
          <w:szCs w:val="32"/>
          <w:lang w:eastAsia="zh-CN"/>
        </w:rPr>
        <w:t>。</w:t>
      </w:r>
    </w:p>
    <w:p>
      <w:pPr>
        <w:pageBreakBefore w:val="0"/>
        <w:widowControl/>
        <w:kinsoku/>
        <w:wordWrap/>
        <w:overflowPunct/>
        <w:topLinePunct w:val="0"/>
        <w:autoSpaceDE/>
        <w:autoSpaceDN/>
        <w:bidi w:val="0"/>
        <w:spacing w:line="560" w:lineRule="exact"/>
        <w:ind w:left="0" w:firstLine="640" w:firstLineChars="200"/>
        <w:jc w:val="left"/>
        <w:textAlignment w:val="auto"/>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pPr>
      <w:bookmarkStart w:id="32" w:name="_Toc15396602"/>
      <w:bookmarkStart w:id="33" w:name="_Toc79163609"/>
      <w:bookmarkStart w:id="34" w:name="_Toc15377204"/>
      <w:bookmarkStart w:id="35" w:name="_Toc79163859"/>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Pr>
        <w:pStyle w:val="34"/>
        <w:numPr>
          <w:ilvl w:val="0"/>
          <w:numId w:val="2"/>
        </w:numPr>
        <w:spacing w:line="600" w:lineRule="exact"/>
        <w:ind w:firstLineChars="0"/>
        <w:outlineLvl w:val="1"/>
        <w:rPr>
          <w:rStyle w:val="24"/>
          <w:rFonts w:ascii="黑体" w:hAnsi="黑体" w:eastAsia="黑体"/>
          <w:b w:val="0"/>
        </w:rPr>
      </w:pPr>
      <w:bookmarkStart w:id="36" w:name="_Toc79163860"/>
      <w:bookmarkStart w:id="37" w:name="_Toc15377205"/>
      <w:bookmarkStart w:id="38" w:name="_Toc15396603"/>
      <w:bookmarkStart w:id="39" w:name="_Toc79163610"/>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_GB2312" w:hAnsi="仿宋" w:eastAsia="仿宋_GB2312"/>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649.46万元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648.86</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入增加了</w:t>
      </w:r>
      <w:r>
        <w:rPr>
          <w:rFonts w:hint="eastAsia" w:ascii="仿宋" w:hAnsi="仿宋" w:eastAsia="仿宋"/>
          <w:color w:val="000000"/>
          <w:sz w:val="32"/>
          <w:szCs w:val="32"/>
          <w:lang w:val="en-US" w:eastAsia="zh-CN"/>
        </w:rPr>
        <w:t>120.8万元，</w:t>
      </w:r>
      <w:r>
        <w:rPr>
          <w:rFonts w:hint="eastAsia" w:ascii="仿宋" w:hAnsi="仿宋" w:eastAsia="仿宋"/>
          <w:color w:val="000000"/>
          <w:sz w:val="32"/>
          <w:szCs w:val="32"/>
        </w:rPr>
        <w:t>增长</w:t>
      </w:r>
      <w:r>
        <w:rPr>
          <w:rFonts w:hint="eastAsia" w:ascii="仿宋" w:hAnsi="仿宋" w:eastAsia="仿宋"/>
          <w:color w:val="000000"/>
          <w:sz w:val="32"/>
          <w:szCs w:val="32"/>
          <w:lang w:eastAsia="zh-CN"/>
        </w:rPr>
        <w:t>率</w:t>
      </w:r>
      <w:r>
        <w:rPr>
          <w:rFonts w:hint="eastAsia" w:ascii="仿宋" w:hAnsi="仿宋" w:eastAsia="仿宋"/>
          <w:color w:val="000000"/>
          <w:sz w:val="32"/>
          <w:szCs w:val="32"/>
          <w:lang w:val="en-US" w:eastAsia="zh-CN"/>
        </w:rPr>
        <w:t>22.85</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主要变动原因是</w:t>
      </w:r>
      <w:r>
        <w:rPr>
          <w:rFonts w:hint="eastAsia" w:ascii="仿宋_GB2312" w:hAnsi="仿宋_GB2312" w:eastAsia="仿宋_GB2312" w:cs="仿宋_GB2312"/>
          <w:sz w:val="32"/>
          <w:szCs w:val="32"/>
          <w:lang w:eastAsia="zh-CN"/>
        </w:rPr>
        <w:t>其他收入和项目收入增加。</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增加</w:t>
      </w:r>
      <w:r>
        <w:rPr>
          <w:rFonts w:hint="eastAsia" w:ascii="仿宋" w:hAnsi="仿宋" w:eastAsia="仿宋"/>
          <w:color w:val="000000"/>
          <w:sz w:val="32"/>
          <w:szCs w:val="32"/>
          <w:lang w:eastAsia="zh-CN"/>
        </w:rPr>
        <w:t>了</w:t>
      </w:r>
      <w:r>
        <w:rPr>
          <w:rFonts w:hint="eastAsia" w:ascii="仿宋" w:hAnsi="仿宋" w:eastAsia="仿宋"/>
          <w:color w:val="000000"/>
          <w:sz w:val="32"/>
          <w:szCs w:val="32"/>
          <w:lang w:val="en-US" w:eastAsia="zh-CN"/>
        </w:rPr>
        <w:t>220.94万元，</w:t>
      </w:r>
      <w:r>
        <w:rPr>
          <w:rFonts w:hint="eastAsia" w:ascii="仿宋" w:hAnsi="仿宋" w:eastAsia="仿宋"/>
          <w:color w:val="000000"/>
          <w:sz w:val="32"/>
          <w:szCs w:val="32"/>
        </w:rPr>
        <w:t>增长</w:t>
      </w:r>
      <w:r>
        <w:rPr>
          <w:rFonts w:hint="eastAsia" w:ascii="仿宋" w:hAnsi="仿宋" w:eastAsia="仿宋"/>
          <w:color w:val="000000"/>
          <w:sz w:val="32"/>
          <w:szCs w:val="32"/>
          <w:lang w:eastAsia="zh-CN"/>
        </w:rPr>
        <w:t>率</w:t>
      </w:r>
      <w:r>
        <w:rPr>
          <w:rFonts w:hint="eastAsia" w:ascii="仿宋" w:hAnsi="仿宋" w:eastAsia="仿宋"/>
          <w:color w:val="000000"/>
          <w:sz w:val="32"/>
          <w:szCs w:val="32"/>
          <w:lang w:val="en-US" w:eastAsia="zh-CN"/>
        </w:rPr>
        <w:t>51.63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 w:eastAsia="仿宋_GB2312"/>
          <w:sz w:val="32"/>
          <w:szCs w:val="32"/>
          <w:lang w:eastAsia="zh-CN"/>
        </w:rPr>
        <w:t>人员和项目支出较上年增加</w:t>
      </w:r>
      <w:r>
        <w:rPr>
          <w:rFonts w:hint="eastAsia" w:ascii="仿宋_GB2312" w:hAnsi="仿宋" w:eastAsia="仿宋_GB2312"/>
          <w:sz w:val="32"/>
          <w:szCs w:val="32"/>
        </w:rPr>
        <w:t>支出。</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spacing w:line="240" w:lineRule="auto"/>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anchor distT="0" distB="0" distL="114300" distR="114300" simplePos="0" relativeHeight="251683840" behindDoc="0" locked="0" layoutInCell="1" allowOverlap="1">
            <wp:simplePos x="0" y="0"/>
            <wp:positionH relativeFrom="column">
              <wp:posOffset>177800</wp:posOffset>
            </wp:positionH>
            <wp:positionV relativeFrom="paragraph">
              <wp:posOffset>72390</wp:posOffset>
            </wp:positionV>
            <wp:extent cx="5024120" cy="3358515"/>
            <wp:effectExtent l="0" t="0" r="5080" b="13335"/>
            <wp:wrapNone/>
            <wp:docPr id="20" name="图片 20" descr="图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20" descr="图1"/>
                    <pic:cNvPicPr>
                      <a:picLocks noChangeAspect="true"/>
                    </pic:cNvPicPr>
                  </pic:nvPicPr>
                  <pic:blipFill>
                    <a:blip r:embed="rId6"/>
                    <a:stretch>
                      <a:fillRect/>
                    </a:stretch>
                  </pic:blipFill>
                  <pic:spPr>
                    <a:xfrm>
                      <a:off x="0" y="0"/>
                      <a:ext cx="5024120" cy="3358515"/>
                    </a:xfrm>
                    <a:prstGeom prst="rect">
                      <a:avLst/>
                    </a:prstGeom>
                  </pic:spPr>
                </pic:pic>
              </a:graphicData>
            </a:graphic>
          </wp:anchor>
        </w:drawing>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hint="eastAsia" w:ascii="仿宋_GB2312" w:eastAsia="仿宋_GB2312"/>
          <w:color w:val="000000"/>
          <w:sz w:val="32"/>
          <w:szCs w:val="32"/>
          <w:lang w:eastAsia="zh-CN"/>
        </w:rPr>
      </w:pPr>
    </w:p>
    <w:p>
      <w:pPr>
        <w:spacing w:line="600" w:lineRule="exact"/>
        <w:ind w:firstLine="640" w:firstLineChars="200"/>
        <w:jc w:val="left"/>
        <w:rPr>
          <w:rFonts w:ascii="仿宋_GB2312" w:eastAsia="仿宋_GB2312"/>
          <w:color w:val="000000"/>
          <w:sz w:val="32"/>
          <w:szCs w:val="32"/>
        </w:rPr>
      </w:pPr>
    </w:p>
    <w:p>
      <w:pPr>
        <w:pStyle w:val="34"/>
        <w:numPr>
          <w:ilvl w:val="0"/>
          <w:numId w:val="2"/>
        </w:numPr>
        <w:spacing w:line="600" w:lineRule="exact"/>
        <w:ind w:firstLineChars="0"/>
        <w:outlineLvl w:val="1"/>
        <w:rPr>
          <w:rStyle w:val="24"/>
          <w:rFonts w:ascii="黑体" w:hAnsi="黑体" w:eastAsia="黑体"/>
          <w:b w:val="0"/>
        </w:rPr>
      </w:pPr>
      <w:bookmarkStart w:id="40" w:name="_Toc15377206"/>
      <w:bookmarkStart w:id="41" w:name="_Toc15396604"/>
      <w:bookmarkStart w:id="42" w:name="_Toc79163611"/>
      <w:bookmarkStart w:id="43" w:name="_Toc79163861"/>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649.46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473.54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72.91</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175.92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27.09</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84864" behindDoc="0" locked="0" layoutInCell="1" allowOverlap="1">
            <wp:simplePos x="0" y="0"/>
            <wp:positionH relativeFrom="column">
              <wp:posOffset>15875</wp:posOffset>
            </wp:positionH>
            <wp:positionV relativeFrom="paragraph">
              <wp:posOffset>169545</wp:posOffset>
            </wp:positionV>
            <wp:extent cx="5269865" cy="3303905"/>
            <wp:effectExtent l="0" t="0" r="6985" b="10795"/>
            <wp:wrapNone/>
            <wp:docPr id="21" name="图片 21" descr="图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descr="图2"/>
                    <pic:cNvPicPr>
                      <a:picLocks noChangeAspect="true"/>
                    </pic:cNvPicPr>
                  </pic:nvPicPr>
                  <pic:blipFill>
                    <a:blip r:embed="rId7"/>
                    <a:stretch>
                      <a:fillRect/>
                    </a:stretch>
                  </pic:blipFill>
                  <pic:spPr>
                    <a:xfrm>
                      <a:off x="0" y="0"/>
                      <a:ext cx="5269865" cy="3303905"/>
                    </a:xfrm>
                    <a:prstGeom prst="rect">
                      <a:avLst/>
                    </a:prstGeom>
                  </pic:spPr>
                </pic:pic>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pStyle w:val="34"/>
        <w:numPr>
          <w:ilvl w:val="0"/>
          <w:numId w:val="2"/>
        </w:numPr>
        <w:spacing w:line="600" w:lineRule="exact"/>
        <w:ind w:firstLineChars="0"/>
        <w:outlineLvl w:val="1"/>
        <w:rPr>
          <w:rStyle w:val="24"/>
          <w:rFonts w:ascii="黑体" w:hAnsi="黑体" w:eastAsia="黑体"/>
          <w:b w:val="0"/>
        </w:rPr>
      </w:pPr>
      <w:bookmarkStart w:id="44" w:name="_Toc79163612"/>
      <w:bookmarkStart w:id="45" w:name="_Toc79163862"/>
      <w:bookmarkStart w:id="46" w:name="_Toc15396605"/>
      <w:bookmarkStart w:id="47" w:name="_Toc15377207"/>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648.86</w:t>
      </w:r>
      <w:r>
        <w:rPr>
          <w:rFonts w:hint="eastAsia" w:ascii="仿宋_GB2312" w:eastAsia="仿宋_GB2312"/>
          <w:sz w:val="32"/>
          <w:szCs w:val="32"/>
        </w:rPr>
        <w:t>万元，其中：基本支出</w:t>
      </w:r>
      <w:r>
        <w:rPr>
          <w:rFonts w:hint="eastAsia" w:ascii="仿宋_GB2312" w:eastAsia="仿宋_GB2312"/>
          <w:sz w:val="32"/>
          <w:szCs w:val="32"/>
          <w:lang w:val="en-US" w:eastAsia="zh-CN"/>
        </w:rPr>
        <w:t>377.15</w:t>
      </w:r>
      <w:r>
        <w:rPr>
          <w:rFonts w:hint="eastAsia" w:ascii="仿宋_GB2312" w:eastAsia="仿宋_GB2312"/>
          <w:sz w:val="32"/>
          <w:szCs w:val="32"/>
        </w:rPr>
        <w:t>万元，占</w:t>
      </w:r>
      <w:r>
        <w:rPr>
          <w:rFonts w:hint="eastAsia" w:ascii="仿宋_GB2312" w:eastAsia="仿宋_GB2312"/>
          <w:sz w:val="32"/>
          <w:szCs w:val="32"/>
          <w:lang w:val="en-US" w:eastAsia="zh-CN"/>
        </w:rPr>
        <w:t>58.13</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271.72</w:t>
      </w:r>
      <w:r>
        <w:rPr>
          <w:rFonts w:hint="eastAsia" w:ascii="仿宋_GB2312" w:eastAsia="仿宋_GB2312"/>
          <w:sz w:val="32"/>
          <w:szCs w:val="32"/>
        </w:rPr>
        <w:t>万元，占</w:t>
      </w:r>
      <w:r>
        <w:rPr>
          <w:rFonts w:hint="eastAsia" w:ascii="仿宋_GB2312" w:eastAsia="仿宋_GB2312"/>
          <w:sz w:val="32"/>
          <w:szCs w:val="32"/>
          <w:lang w:val="en-US" w:eastAsia="zh-CN"/>
        </w:rPr>
        <w:t>41.87</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85888" behindDoc="0" locked="0" layoutInCell="1" allowOverlap="1">
            <wp:simplePos x="0" y="0"/>
            <wp:positionH relativeFrom="column">
              <wp:posOffset>482600</wp:posOffset>
            </wp:positionH>
            <wp:positionV relativeFrom="paragraph">
              <wp:posOffset>95885</wp:posOffset>
            </wp:positionV>
            <wp:extent cx="4346575" cy="2724785"/>
            <wp:effectExtent l="0" t="0" r="15875" b="18415"/>
            <wp:wrapNone/>
            <wp:docPr id="22" name="图片 22" descr="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descr="3"/>
                    <pic:cNvPicPr>
                      <a:picLocks noChangeAspect="true"/>
                    </pic:cNvPicPr>
                  </pic:nvPicPr>
                  <pic:blipFill>
                    <a:blip r:embed="rId8"/>
                    <a:stretch>
                      <a:fillRect/>
                    </a:stretch>
                  </pic:blipFill>
                  <pic:spPr>
                    <a:xfrm>
                      <a:off x="0" y="0"/>
                      <a:ext cx="4346575" cy="2724785"/>
                    </a:xfrm>
                    <a:prstGeom prst="rect">
                      <a:avLst/>
                    </a:prstGeom>
                  </pic:spPr>
                </pic:pic>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4"/>
          <w:rFonts w:ascii="黑体" w:hAnsi="黑体" w:eastAsia="黑体"/>
          <w:b w:val="0"/>
        </w:rPr>
      </w:pPr>
      <w:bookmarkStart w:id="48" w:name="_Toc15396606"/>
      <w:bookmarkStart w:id="49" w:name="_Toc15377208"/>
      <w:bookmarkStart w:id="50" w:name="_Toc79163613"/>
      <w:bookmarkStart w:id="51" w:name="_Toc7916386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473.54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支总计</w:t>
      </w:r>
      <w:r>
        <w:rPr>
          <w:rFonts w:hint="eastAsia" w:ascii="仿宋" w:hAnsi="仿宋" w:eastAsia="仿宋"/>
          <w:color w:val="000000"/>
          <w:sz w:val="32"/>
          <w:szCs w:val="32"/>
          <w:lang w:val="en-US" w:eastAsia="zh-CN"/>
        </w:rPr>
        <w:t>474.61</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53.64万元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12.77</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主要变动原因是</w:t>
      </w:r>
      <w:r>
        <w:rPr>
          <w:rFonts w:hint="eastAsia" w:ascii="仿宋_GB2312" w:hAnsi="仿宋_GB2312" w:eastAsia="仿宋_GB2312" w:cs="仿宋_GB2312"/>
          <w:sz w:val="32"/>
          <w:szCs w:val="32"/>
          <w:lang w:eastAsia="zh-CN"/>
        </w:rPr>
        <w:t>项目收入增加</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出增加</w:t>
      </w:r>
      <w:r>
        <w:rPr>
          <w:rFonts w:hint="eastAsia" w:ascii="仿宋" w:hAnsi="仿宋" w:eastAsia="仿宋"/>
          <w:color w:val="000000"/>
          <w:sz w:val="32"/>
          <w:szCs w:val="32"/>
          <w:lang w:val="en-US" w:eastAsia="zh-CN"/>
        </w:rPr>
        <w:t>53.71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12.76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 w:eastAsia="仿宋_GB2312"/>
          <w:sz w:val="32"/>
          <w:szCs w:val="32"/>
          <w:lang w:eastAsia="zh-CN"/>
        </w:rPr>
        <w:t>人员和项目支出较上年增加</w:t>
      </w:r>
      <w:r>
        <w:rPr>
          <w:rFonts w:hint="eastAsia" w:ascii="仿宋_GB2312" w:hAnsi="仿宋" w:eastAsia="仿宋_GB2312"/>
          <w:sz w:val="32"/>
          <w:szCs w:val="32"/>
        </w:rPr>
        <w:t>支出</w:t>
      </w:r>
      <w:r>
        <w:rPr>
          <w:rFonts w:hint="eastAsia" w:ascii="仿宋_GB2312" w:hAnsi="仿宋" w:eastAsia="仿宋_GB2312"/>
          <w:sz w:val="32"/>
          <w:szCs w:val="32"/>
          <w:lang w:eastAsia="zh-CN"/>
        </w:rPr>
        <w:t>。</w:t>
      </w:r>
    </w:p>
    <w:p>
      <w:pPr>
        <w:spacing w:line="600" w:lineRule="exact"/>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86912" behindDoc="0" locked="0" layoutInCell="1" allowOverlap="1">
            <wp:simplePos x="0" y="0"/>
            <wp:positionH relativeFrom="column">
              <wp:posOffset>25400</wp:posOffset>
            </wp:positionH>
            <wp:positionV relativeFrom="paragraph">
              <wp:posOffset>106680</wp:posOffset>
            </wp:positionV>
            <wp:extent cx="5271770" cy="3524250"/>
            <wp:effectExtent l="0" t="0" r="5080" b="0"/>
            <wp:wrapNone/>
            <wp:docPr id="23" name="图片 23" descr="图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23" descr="图4"/>
                    <pic:cNvPicPr>
                      <a:picLocks noChangeAspect="true"/>
                    </pic:cNvPicPr>
                  </pic:nvPicPr>
                  <pic:blipFill>
                    <a:blip r:embed="rId9"/>
                    <a:stretch>
                      <a:fillRect/>
                    </a:stretch>
                  </pic:blipFill>
                  <pic:spPr>
                    <a:xfrm>
                      <a:off x="0" y="0"/>
                      <a:ext cx="5271770" cy="3524250"/>
                    </a:xfrm>
                    <a:prstGeom prst="rect">
                      <a:avLst/>
                    </a:prstGeom>
                  </pic:spPr>
                </pic:pic>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240" w:lineRule="auto"/>
        <w:ind w:firstLine="640" w:firstLineChars="200"/>
        <w:rPr>
          <w:rFonts w:hint="eastAsia" w:ascii="仿宋" w:hAnsi="仿宋" w:eastAsia="仿宋"/>
          <w:color w:val="000000"/>
          <w:sz w:val="32"/>
          <w:szCs w:val="32"/>
          <w:lang w:eastAsia="zh-CN"/>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4"/>
          <w:rFonts w:ascii="黑体" w:hAnsi="黑体" w:eastAsia="黑体"/>
          <w:b w:val="0"/>
        </w:rPr>
      </w:pPr>
      <w:bookmarkStart w:id="52" w:name="_Toc79163864"/>
      <w:bookmarkStart w:id="53" w:name="_Toc15377209"/>
      <w:bookmarkStart w:id="54" w:name="_Toc79163614"/>
      <w:bookmarkStart w:id="5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865"/>
      <w:bookmarkStart w:id="57" w:name="_Toc7916361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474.61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73.15</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53.71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12.76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 w:eastAsia="仿宋_GB2312"/>
          <w:sz w:val="32"/>
          <w:szCs w:val="32"/>
          <w:lang w:eastAsia="zh-CN"/>
        </w:rPr>
        <w:t>人员和项目支出较上年增加</w:t>
      </w:r>
      <w:r>
        <w:rPr>
          <w:rFonts w:hint="eastAsia" w:ascii="仿宋_GB2312" w:hAnsi="仿宋" w:eastAsia="仿宋_GB2312"/>
          <w:sz w:val="32"/>
          <w:szCs w:val="32"/>
        </w:rPr>
        <w:t>支出</w:t>
      </w:r>
      <w:r>
        <w:rPr>
          <w:rFonts w:hint="eastAsia" w:ascii="仿宋_GB2312" w:hAnsi="仿宋" w:eastAsia="仿宋_GB2312"/>
          <w:sz w:val="32"/>
          <w:szCs w:val="32"/>
          <w:lang w:eastAsia="zh-CN"/>
        </w:rPr>
        <w:t>。</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87936" behindDoc="0" locked="0" layoutInCell="1" allowOverlap="1">
            <wp:simplePos x="0" y="0"/>
            <wp:positionH relativeFrom="column">
              <wp:posOffset>-451485</wp:posOffset>
            </wp:positionH>
            <wp:positionV relativeFrom="paragraph">
              <wp:posOffset>-709295</wp:posOffset>
            </wp:positionV>
            <wp:extent cx="5271770" cy="3524250"/>
            <wp:effectExtent l="0" t="0" r="5080" b="0"/>
            <wp:wrapNone/>
            <wp:docPr id="24" name="图片 24" descr="图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24" descr="图5"/>
                    <pic:cNvPicPr>
                      <a:picLocks noChangeAspect="true"/>
                    </pic:cNvPicPr>
                  </pic:nvPicPr>
                  <pic:blipFill>
                    <a:blip r:embed="rId10"/>
                    <a:stretch>
                      <a:fillRect/>
                    </a:stretch>
                  </pic:blipFill>
                  <pic:spPr>
                    <a:xfrm>
                      <a:off x="0" y="0"/>
                      <a:ext cx="5271770" cy="3524250"/>
                    </a:xfrm>
                    <a:prstGeom prst="rect">
                      <a:avLst/>
                    </a:prstGeom>
                  </pic:spPr>
                </pic:pic>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240" w:lineRule="auto"/>
        <w:ind w:firstLine="640" w:firstLineChars="200"/>
        <w:rPr>
          <w:rFonts w:hint="eastAsia" w:ascii="仿宋" w:hAnsi="仿宋" w:eastAsia="仿宋"/>
          <w:color w:val="000000"/>
          <w:sz w:val="32"/>
          <w:szCs w:val="32"/>
          <w:lang w:eastAsia="zh-CN"/>
        </w:rPr>
      </w:pPr>
    </w:p>
    <w:p>
      <w:pPr>
        <w:spacing w:line="240" w:lineRule="auto"/>
        <w:ind w:firstLine="640" w:firstLineChars="200"/>
        <w:rPr>
          <w:rFonts w:hint="eastAsia" w:ascii="仿宋" w:hAnsi="仿宋" w:eastAsia="仿宋"/>
          <w:color w:val="000000"/>
          <w:sz w:val="32"/>
          <w:szCs w:val="32"/>
          <w:lang w:eastAsia="zh-CN"/>
        </w:rPr>
      </w:pPr>
    </w:p>
    <w:p>
      <w:pPr>
        <w:spacing w:line="240" w:lineRule="auto"/>
        <w:ind w:firstLine="640" w:firstLineChars="200"/>
        <w:rPr>
          <w:rFonts w:hint="eastAsia" w:ascii="仿宋" w:hAnsi="仿宋" w:eastAsia="仿宋"/>
          <w:color w:val="000000"/>
          <w:sz w:val="32"/>
          <w:szCs w:val="32"/>
          <w:lang w:eastAsia="zh-CN"/>
        </w:rPr>
      </w:pPr>
    </w:p>
    <w:p>
      <w:pPr>
        <w:spacing w:line="600" w:lineRule="exact"/>
        <w:ind w:firstLine="642" w:firstLineChars="200"/>
        <w:outlineLvl w:val="2"/>
        <w:rPr>
          <w:rFonts w:ascii="仿宋" w:hAnsi="仿宋" w:eastAsia="仿宋"/>
          <w:b/>
          <w:color w:val="000000"/>
          <w:sz w:val="32"/>
          <w:szCs w:val="32"/>
        </w:rPr>
      </w:pPr>
      <w:bookmarkStart w:id="59" w:name="_Toc79163866"/>
      <w:bookmarkStart w:id="60" w:name="_Toc79163616"/>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474.61</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368.29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77.6</w:t>
      </w:r>
      <w:r>
        <w:rPr>
          <w:rFonts w:ascii="仿宋" w:hAnsi="仿宋" w:eastAsia="仿宋"/>
          <w:color w:val="000000"/>
          <w:sz w:val="32"/>
          <w:szCs w:val="32"/>
        </w:rPr>
        <w:t>%</w:t>
      </w:r>
      <w:r>
        <w:rPr>
          <w:rFonts w:hint="eastAsia" w:ascii="仿宋" w:hAnsi="仿宋" w:eastAsia="仿宋"/>
          <w:color w:val="000000"/>
          <w:sz w:val="32"/>
          <w:szCs w:val="32"/>
        </w:rPr>
        <w:t>；204公共安全支出</w:t>
      </w:r>
      <w:r>
        <w:rPr>
          <w:rFonts w:hint="eastAsia" w:ascii="仿宋" w:hAnsi="仿宋" w:eastAsia="仿宋"/>
          <w:color w:val="000000"/>
          <w:sz w:val="32"/>
          <w:szCs w:val="32"/>
          <w:lang w:val="en-US" w:eastAsia="zh-CN"/>
        </w:rPr>
        <w:t>18.54万元,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3.91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w:t>
      </w:r>
      <w:r>
        <w:rPr>
          <w:rFonts w:hint="eastAsia" w:ascii="仿宋" w:hAnsi="仿宋" w:eastAsia="仿宋"/>
          <w:b/>
          <w:bCs/>
          <w:color w:val="000000"/>
          <w:sz w:val="32"/>
          <w:szCs w:val="32"/>
          <w:lang w:val="en-US" w:eastAsia="zh-CN"/>
        </w:rPr>
        <w:t>0</w:t>
      </w:r>
      <w:r>
        <w:rPr>
          <w:rFonts w:hint="eastAsia" w:ascii="仿宋" w:hAnsi="仿宋" w:eastAsia="仿宋"/>
          <w:b/>
          <w:bCs/>
          <w:color w:val="000000"/>
          <w:sz w:val="32"/>
          <w:szCs w:val="32"/>
        </w:rPr>
        <w:t>万元，占</w:t>
      </w:r>
      <w:r>
        <w:rPr>
          <w:rFonts w:hint="eastAsia" w:ascii="仿宋" w:hAnsi="仿宋" w:eastAsia="仿宋"/>
          <w:b/>
          <w:bCs/>
          <w:color w:val="000000"/>
          <w:sz w:val="32"/>
          <w:szCs w:val="32"/>
          <w:lang w:val="en-US" w:eastAsia="zh-CN"/>
        </w:rPr>
        <w:t>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41.52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8.75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18.12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3.81</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28.15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5.93</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88960" behindDoc="0" locked="0" layoutInCell="1" allowOverlap="1">
            <wp:simplePos x="0" y="0"/>
            <wp:positionH relativeFrom="column">
              <wp:posOffset>281305</wp:posOffset>
            </wp:positionH>
            <wp:positionV relativeFrom="paragraph">
              <wp:posOffset>144145</wp:posOffset>
            </wp:positionV>
            <wp:extent cx="4578985" cy="2498725"/>
            <wp:effectExtent l="0" t="0" r="12065" b="15875"/>
            <wp:wrapNone/>
            <wp:docPr id="26" name="图片 26" descr="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descr="6"/>
                    <pic:cNvPicPr>
                      <a:picLocks noChangeAspect="true"/>
                    </pic:cNvPicPr>
                  </pic:nvPicPr>
                  <pic:blipFill>
                    <a:blip r:embed="rId11"/>
                    <a:stretch>
                      <a:fillRect/>
                    </a:stretch>
                  </pic:blipFill>
                  <pic:spPr>
                    <a:xfrm>
                      <a:off x="0" y="0"/>
                      <a:ext cx="4578985" cy="2498725"/>
                    </a:xfrm>
                    <a:prstGeom prst="rect">
                      <a:avLst/>
                    </a:prstGeom>
                  </pic:spPr>
                </pic:pic>
              </a:graphicData>
            </a:graphic>
          </wp:anchor>
        </w:drawing>
      </w:r>
    </w:p>
    <w:p>
      <w:pPr>
        <w:spacing w:line="240" w:lineRule="auto"/>
        <w:ind w:firstLine="640" w:firstLineChars="200"/>
        <w:rPr>
          <w:rFonts w:hint="eastAsia" w:ascii="仿宋" w:hAnsi="仿宋" w:eastAsia="仿宋"/>
          <w:color w:val="000000"/>
          <w:sz w:val="32"/>
          <w:szCs w:val="32"/>
          <w:lang w:eastAsia="zh-CN"/>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outlineLvl w:val="2"/>
        <w:rPr>
          <w:rFonts w:hint="eastAsia" w:ascii="仿宋" w:hAnsi="仿宋" w:eastAsia="仿宋"/>
          <w:b/>
          <w:color w:val="000000"/>
          <w:sz w:val="32"/>
          <w:szCs w:val="32"/>
        </w:rPr>
      </w:pPr>
      <w:bookmarkStart w:id="62" w:name="_Toc79163867"/>
      <w:bookmarkStart w:id="63" w:name="_Toc15377212"/>
      <w:bookmarkStart w:id="64" w:name="_Toc79163617"/>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8460"/>
      <w:bookmarkStart w:id="66" w:name="_Toc15377213"/>
      <w:bookmarkStart w:id="67"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474.61万元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87.08</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2" w:firstLineChars="200"/>
        <w:rPr>
          <w:rStyle w:val="21"/>
          <w:rFonts w:hint="eastAsia" w:ascii="仿宋" w:hAnsi="仿宋" w:eastAsia="仿宋"/>
          <w:b w:val="0"/>
          <w:bCs/>
          <w:color w:val="000000"/>
          <w:sz w:val="32"/>
          <w:szCs w:val="32"/>
        </w:rPr>
      </w:pPr>
      <w:r>
        <w:rPr>
          <w:rStyle w:val="21"/>
          <w:rFonts w:hint="eastAsia" w:ascii="仿宋" w:hAnsi="仿宋" w:eastAsia="仿宋"/>
          <w:bCs/>
          <w:color w:val="000000"/>
          <w:sz w:val="32"/>
          <w:szCs w:val="32"/>
          <w:lang w:val="en-US" w:eastAsia="zh-CN"/>
        </w:rPr>
        <w:t>1、</w:t>
      </w:r>
      <w:r>
        <w:rPr>
          <w:rStyle w:val="21"/>
          <w:rFonts w:hint="eastAsia" w:ascii="仿宋" w:hAnsi="仿宋" w:eastAsia="仿宋"/>
          <w:bCs/>
          <w:color w:val="000000"/>
          <w:sz w:val="32"/>
          <w:szCs w:val="32"/>
        </w:rPr>
        <w:t>一般公共服务20136</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368.29</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99.89</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。决算数小于预算数的主要原因是</w:t>
      </w:r>
      <w:r>
        <w:rPr>
          <w:rStyle w:val="21"/>
          <w:rFonts w:hint="eastAsia" w:ascii="仿宋" w:hAnsi="仿宋" w:eastAsia="仿宋"/>
          <w:b w:val="0"/>
          <w:bCs/>
          <w:color w:val="000000"/>
          <w:sz w:val="32"/>
          <w:szCs w:val="32"/>
          <w:lang w:eastAsia="zh-CN"/>
        </w:rPr>
        <w:t>经费支出减少</w:t>
      </w:r>
      <w:r>
        <w:rPr>
          <w:rStyle w:val="21"/>
          <w:rFonts w:hint="eastAsia" w:ascii="仿宋" w:hAnsi="仿宋" w:eastAsia="仿宋"/>
          <w:b w:val="0"/>
          <w:bCs/>
          <w:color w:val="000000"/>
          <w:sz w:val="32"/>
          <w:szCs w:val="32"/>
        </w:rPr>
        <w:t>。</w:t>
      </w:r>
    </w:p>
    <w:p>
      <w:pPr>
        <w:numPr>
          <w:ilvl w:val="0"/>
          <w:numId w:val="0"/>
        </w:numPr>
        <w:spacing w:line="600" w:lineRule="exact"/>
        <w:ind w:firstLine="642" w:firstLineChars="200"/>
        <w:rPr>
          <w:rFonts w:ascii="仿宋" w:hAnsi="仿宋" w:eastAsia="仿宋"/>
          <w:b/>
          <w:color w:val="000000"/>
          <w:sz w:val="32"/>
          <w:szCs w:val="32"/>
        </w:rPr>
      </w:pPr>
      <w:r>
        <w:rPr>
          <w:rStyle w:val="21"/>
          <w:rFonts w:ascii="仿宋" w:hAnsi="仿宋" w:eastAsia="仿宋"/>
          <w:bCs/>
          <w:color w:val="000000"/>
          <w:sz w:val="32"/>
          <w:szCs w:val="32"/>
        </w:rPr>
        <w:t>2.</w:t>
      </w:r>
      <w:r>
        <w:rPr>
          <w:rStyle w:val="21"/>
          <w:rFonts w:hint="eastAsia" w:ascii="仿宋" w:hAnsi="仿宋" w:eastAsia="仿宋"/>
          <w:bCs/>
          <w:color w:val="000000"/>
          <w:sz w:val="32"/>
          <w:szCs w:val="32"/>
        </w:rPr>
        <w:t>教育（类）</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（款）</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0</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，决算数小于</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等于预算数的主要原因是…。</w:t>
      </w:r>
    </w:p>
    <w:p>
      <w:pPr>
        <w:spacing w:line="600" w:lineRule="exact"/>
        <w:ind w:firstLine="642" w:firstLineChars="200"/>
        <w:rPr>
          <w:rFonts w:ascii="仿宋" w:hAnsi="仿宋" w:eastAsia="仿宋"/>
          <w:b/>
          <w:color w:val="000000"/>
          <w:sz w:val="32"/>
          <w:szCs w:val="32"/>
        </w:rPr>
      </w:pPr>
      <w:r>
        <w:rPr>
          <w:rStyle w:val="21"/>
          <w:rFonts w:ascii="仿宋" w:hAnsi="仿宋" w:eastAsia="仿宋"/>
          <w:bCs/>
          <w:color w:val="000000"/>
          <w:sz w:val="32"/>
          <w:szCs w:val="32"/>
        </w:rPr>
        <w:t>3.</w:t>
      </w:r>
      <w:r>
        <w:rPr>
          <w:rStyle w:val="21"/>
          <w:rFonts w:hint="eastAsia" w:ascii="仿宋" w:hAnsi="仿宋" w:eastAsia="仿宋"/>
          <w:bCs/>
          <w:color w:val="000000"/>
          <w:sz w:val="32"/>
          <w:szCs w:val="32"/>
        </w:rPr>
        <w:t>科学技术（类）</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（款）</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0</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，决算数小于</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等于预算数的主要原因是…。</w:t>
      </w:r>
    </w:p>
    <w:p>
      <w:pPr>
        <w:spacing w:line="600" w:lineRule="exact"/>
        <w:ind w:firstLine="642" w:firstLineChars="200"/>
        <w:rPr>
          <w:rFonts w:ascii="仿宋" w:hAnsi="仿宋" w:eastAsia="仿宋"/>
          <w:b/>
          <w:color w:val="000000"/>
          <w:sz w:val="32"/>
          <w:szCs w:val="32"/>
        </w:rPr>
      </w:pPr>
      <w:r>
        <w:rPr>
          <w:rStyle w:val="21"/>
          <w:rFonts w:ascii="仿宋" w:hAnsi="仿宋" w:eastAsia="仿宋"/>
          <w:bCs/>
          <w:color w:val="000000"/>
          <w:sz w:val="32"/>
          <w:szCs w:val="32"/>
        </w:rPr>
        <w:t>4.</w:t>
      </w:r>
      <w:r>
        <w:rPr>
          <w:rStyle w:val="21"/>
          <w:rFonts w:hint="eastAsia" w:ascii="仿宋" w:hAnsi="仿宋" w:eastAsia="仿宋"/>
          <w:bCs/>
          <w:color w:val="000000"/>
          <w:sz w:val="32"/>
          <w:szCs w:val="32"/>
        </w:rPr>
        <w:t>文化旅游体育与传媒（类）</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（款）</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0</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，决算数小于</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等于预算数的主要原因是…。</w:t>
      </w:r>
    </w:p>
    <w:p>
      <w:pPr>
        <w:spacing w:line="600" w:lineRule="exact"/>
        <w:ind w:firstLine="642" w:firstLineChars="200"/>
        <w:rPr>
          <w:rStyle w:val="21"/>
          <w:rFonts w:hint="eastAsia" w:ascii="仿宋" w:hAnsi="仿宋" w:eastAsia="仿宋"/>
          <w:b w:val="0"/>
          <w:bCs/>
          <w:color w:val="000000"/>
          <w:sz w:val="32"/>
          <w:szCs w:val="32"/>
        </w:rPr>
      </w:pPr>
      <w:r>
        <w:rPr>
          <w:rStyle w:val="21"/>
          <w:rFonts w:ascii="仿宋" w:hAnsi="仿宋" w:eastAsia="仿宋"/>
          <w:bCs/>
          <w:color w:val="000000"/>
          <w:sz w:val="32"/>
          <w:szCs w:val="32"/>
        </w:rPr>
        <w:t>5.</w:t>
      </w:r>
      <w:r>
        <w:rPr>
          <w:rStyle w:val="21"/>
          <w:rFonts w:hint="eastAsia" w:ascii="仿宋" w:hAnsi="仿宋" w:eastAsia="仿宋"/>
          <w:bCs/>
          <w:color w:val="000000"/>
          <w:sz w:val="32"/>
          <w:szCs w:val="32"/>
        </w:rPr>
        <w:t>社会保障和就业20805</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41.51</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2" w:firstLineChars="200"/>
        <w:rPr>
          <w:rStyle w:val="21"/>
          <w:rFonts w:hint="eastAsia" w:ascii="仿宋" w:hAnsi="仿宋" w:eastAsia="仿宋"/>
          <w:b w:val="0"/>
          <w:bCs/>
          <w:color w:val="000000"/>
          <w:sz w:val="32"/>
          <w:szCs w:val="32"/>
        </w:rPr>
      </w:pPr>
      <w:r>
        <w:rPr>
          <w:rStyle w:val="21"/>
          <w:rFonts w:ascii="仿宋" w:hAnsi="仿宋" w:eastAsia="仿宋"/>
          <w:bCs/>
          <w:color w:val="000000"/>
          <w:sz w:val="32"/>
          <w:szCs w:val="32"/>
        </w:rPr>
        <w:t>6.</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21011</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18.13</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Style w:val="21"/>
          <w:rFonts w:hint="eastAsia" w:ascii="仿宋" w:hAnsi="仿宋" w:eastAsia="仿宋"/>
          <w:b w:val="0"/>
          <w:bCs/>
          <w:color w:val="000000"/>
          <w:sz w:val="32"/>
          <w:szCs w:val="32"/>
          <w:lang w:val="en-US" w:eastAsia="zh-CN"/>
        </w:rPr>
        <w:t>7、公共安全支出20402</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18.54</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29.94</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。决算数小于预算数的主要原因是</w:t>
      </w:r>
      <w:r>
        <w:rPr>
          <w:rStyle w:val="21"/>
          <w:rFonts w:hint="eastAsia" w:ascii="仿宋" w:hAnsi="仿宋" w:eastAsia="仿宋"/>
          <w:b w:val="0"/>
          <w:bCs/>
          <w:color w:val="000000"/>
          <w:sz w:val="32"/>
          <w:szCs w:val="32"/>
          <w:lang w:eastAsia="zh-CN"/>
        </w:rPr>
        <w:t>项目支出减少</w:t>
      </w:r>
      <w:r>
        <w:rPr>
          <w:rStyle w:val="21"/>
          <w:rFonts w:hint="eastAsia" w:ascii="仿宋" w:hAnsi="仿宋" w:eastAsia="仿宋"/>
          <w:b w:val="0"/>
          <w:bCs/>
          <w:color w:val="000000"/>
          <w:sz w:val="32"/>
          <w:szCs w:val="32"/>
        </w:rPr>
        <w:t>。</w:t>
      </w:r>
    </w:p>
    <w:p>
      <w:pPr>
        <w:tabs>
          <w:tab w:val="right" w:pos="8306"/>
        </w:tabs>
        <w:spacing w:line="600" w:lineRule="exact"/>
        <w:ind w:firstLine="640"/>
        <w:outlineLvl w:val="1"/>
        <w:rPr>
          <w:rStyle w:val="24"/>
        </w:rPr>
      </w:pPr>
      <w:bookmarkStart w:id="68" w:name="_Toc79163618"/>
      <w:bookmarkStart w:id="69" w:name="_Toc79163868"/>
      <w:bookmarkStart w:id="70" w:name="_Toc1539660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_GB2312" w:eastAsia="仿宋_GB2312"/>
          <w:b/>
          <w:bCs/>
          <w:sz w:val="32"/>
          <w:szCs w:val="32"/>
          <w:lang w:val="en-US" w:eastAsia="zh-CN"/>
        </w:rPr>
        <w:t>474.61</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334.4</w:t>
      </w:r>
      <w:r>
        <w:rPr>
          <w:rFonts w:hint="eastAsia" w:ascii="仿宋" w:hAnsi="仿宋" w:eastAsia="仿宋"/>
          <w:color w:val="000000"/>
          <w:sz w:val="32"/>
          <w:szCs w:val="32"/>
        </w:rPr>
        <w:t>万元，主要包括：基本工资61.67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、津贴补贴165.06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5.93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、伙食补助费</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5.63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28.11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13.41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4.05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、公务员医疗补助缴费</w:t>
      </w:r>
      <w:r>
        <w:rPr>
          <w:rFonts w:hint="eastAsia" w:ascii="仿宋" w:hAnsi="仿宋" w:eastAsia="仿宋"/>
          <w:color w:val="000000"/>
          <w:sz w:val="32"/>
          <w:szCs w:val="32"/>
          <w:lang w:val="en-US" w:eastAsia="zh-CN"/>
        </w:rPr>
        <w:t>3.81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14.58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28.15</w:t>
      </w:r>
      <w:r>
        <w:rPr>
          <w:rFonts w:hint="eastAsia" w:ascii="仿宋" w:hAnsi="仿宋" w:eastAsia="仿宋"/>
          <w:color w:val="000000"/>
          <w:sz w:val="32"/>
          <w:szCs w:val="32"/>
          <w:lang w:eastAsia="zh-CN"/>
        </w:rPr>
        <w:t>万元，对个人和家庭的补助支出</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1.42万元、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、离休费、退休费、抚恤金、生活补助</w:t>
      </w:r>
      <w:r>
        <w:rPr>
          <w:rFonts w:hint="eastAsia" w:ascii="仿宋" w:hAnsi="仿宋" w:eastAsia="仿宋"/>
          <w:color w:val="000000"/>
          <w:sz w:val="32"/>
          <w:szCs w:val="32"/>
          <w:lang w:val="en-US" w:eastAsia="zh-CN"/>
        </w:rPr>
        <w:t>2.16万元</w:t>
      </w:r>
      <w:r>
        <w:rPr>
          <w:rFonts w:hint="eastAsia" w:ascii="仿宋" w:hAnsi="仿宋" w:eastAsia="仿宋"/>
          <w:color w:val="000000"/>
          <w:sz w:val="32"/>
          <w:szCs w:val="32"/>
        </w:rPr>
        <w:t>、医疗费补助</w:t>
      </w:r>
      <w:r>
        <w:rPr>
          <w:rFonts w:hint="eastAsia" w:ascii="仿宋" w:hAnsi="仿宋" w:eastAsia="仿宋"/>
          <w:color w:val="000000"/>
          <w:sz w:val="32"/>
          <w:szCs w:val="32"/>
          <w:lang w:val="en-US" w:eastAsia="zh-CN"/>
        </w:rPr>
        <w:t>0.42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0.01万元</w:t>
      </w:r>
      <w:r>
        <w:rPr>
          <w:rFonts w:hint="eastAsia" w:ascii="仿宋" w:hAnsi="仿宋" w:eastAsia="仿宋"/>
          <w:color w:val="000000"/>
          <w:sz w:val="32"/>
          <w:szCs w:val="32"/>
        </w:rPr>
        <w:t>、其他对个人和家庭的补助支出等。</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42.75</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14.07万元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3.68万元</w:t>
      </w:r>
      <w:r>
        <w:rPr>
          <w:rFonts w:hint="eastAsia" w:ascii="仿宋" w:hAnsi="仿宋" w:eastAsia="仿宋"/>
          <w:color w:val="000000"/>
          <w:sz w:val="32"/>
          <w:szCs w:val="32"/>
        </w:rPr>
        <w:t>、咨询费、手续费、水费</w:t>
      </w:r>
      <w:r>
        <w:rPr>
          <w:rFonts w:hint="eastAsia" w:ascii="仿宋" w:hAnsi="仿宋" w:eastAsia="仿宋"/>
          <w:color w:val="000000"/>
          <w:sz w:val="32"/>
          <w:szCs w:val="32"/>
          <w:lang w:val="en-US" w:eastAsia="zh-CN"/>
        </w:rPr>
        <w:t>0.58万元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2.5万元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4.34万元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1.01万元</w:t>
      </w:r>
      <w:r>
        <w:rPr>
          <w:rFonts w:hint="eastAsia" w:ascii="仿宋" w:hAnsi="仿宋" w:eastAsia="仿宋"/>
          <w:color w:val="000000"/>
          <w:sz w:val="32"/>
          <w:szCs w:val="32"/>
        </w:rPr>
        <w:t>、物业管理费、差旅费</w:t>
      </w:r>
      <w:r>
        <w:rPr>
          <w:rFonts w:hint="eastAsia" w:ascii="仿宋" w:hAnsi="仿宋" w:eastAsia="仿宋"/>
          <w:color w:val="000000"/>
          <w:sz w:val="32"/>
          <w:szCs w:val="32"/>
          <w:lang w:val="en-US" w:eastAsia="zh-CN"/>
        </w:rPr>
        <w:t>9.58万元</w:t>
      </w:r>
      <w:r>
        <w:rPr>
          <w:rFonts w:hint="eastAsia" w:ascii="仿宋" w:hAnsi="仿宋" w:eastAsia="仿宋"/>
          <w:color w:val="000000"/>
          <w:sz w:val="32"/>
          <w:szCs w:val="32"/>
        </w:rPr>
        <w:t>、因公出国（境）费用、维修（护）费</w:t>
      </w:r>
      <w:r>
        <w:rPr>
          <w:rFonts w:hint="eastAsia" w:ascii="仿宋" w:hAnsi="仿宋" w:eastAsia="仿宋"/>
          <w:color w:val="000000"/>
          <w:sz w:val="32"/>
          <w:szCs w:val="32"/>
          <w:lang w:val="en-US" w:eastAsia="zh-CN"/>
        </w:rPr>
        <w:t>1.5万元</w:t>
      </w:r>
      <w:r>
        <w:rPr>
          <w:rFonts w:hint="eastAsia" w:ascii="仿宋" w:hAnsi="仿宋" w:eastAsia="仿宋"/>
          <w:color w:val="000000"/>
          <w:sz w:val="32"/>
          <w:szCs w:val="32"/>
        </w:rPr>
        <w:t>、租赁费、会议费、培训费、公务接待费</w:t>
      </w:r>
      <w:r>
        <w:rPr>
          <w:rFonts w:hint="eastAsia" w:ascii="仿宋" w:hAnsi="仿宋" w:eastAsia="仿宋"/>
          <w:color w:val="000000"/>
          <w:sz w:val="32"/>
          <w:szCs w:val="32"/>
          <w:lang w:val="en-US" w:eastAsia="zh-CN"/>
        </w:rPr>
        <w:t>0.54万元</w:t>
      </w:r>
      <w:r>
        <w:rPr>
          <w:rFonts w:hint="eastAsia" w:ascii="仿宋" w:hAnsi="仿宋" w:eastAsia="仿宋"/>
          <w:color w:val="000000"/>
          <w:sz w:val="32"/>
          <w:szCs w:val="32"/>
        </w:rPr>
        <w:t>、劳务费、委托业务费、工会经费、福利费、公务用车运行维护费</w:t>
      </w:r>
      <w:r>
        <w:rPr>
          <w:rFonts w:hint="eastAsia" w:ascii="仿宋" w:hAnsi="仿宋" w:eastAsia="仿宋"/>
          <w:color w:val="000000"/>
          <w:sz w:val="32"/>
          <w:szCs w:val="32"/>
          <w:lang w:val="en-US" w:eastAsia="zh-CN"/>
        </w:rPr>
        <w:t>4.54万元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0.4万元</w:t>
      </w:r>
      <w:r>
        <w:rPr>
          <w:rFonts w:hint="eastAsia" w:ascii="仿宋" w:hAnsi="仿宋" w:eastAsia="仿宋"/>
          <w:color w:val="000000"/>
          <w:sz w:val="32"/>
          <w:szCs w:val="32"/>
        </w:rPr>
        <w:t>、税金及附加费用、其他商品和服务支出、办公设备购置、专用设备购置、信息网络及软件购置更新、其他资本性支出等。</w:t>
      </w:r>
    </w:p>
    <w:p>
      <w:pPr>
        <w:spacing w:line="600" w:lineRule="exact"/>
        <w:ind w:firstLine="645"/>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项目经费</w:t>
      </w:r>
      <w:r>
        <w:rPr>
          <w:rFonts w:hint="eastAsia" w:ascii="仿宋" w:hAnsi="仿宋" w:eastAsia="仿宋"/>
          <w:color w:val="000000"/>
          <w:sz w:val="32"/>
          <w:szCs w:val="32"/>
          <w:lang w:val="en-US" w:eastAsia="zh-CN"/>
        </w:rPr>
        <w:t>:2013602一般行政管理事务支出78.93万元，其中，对个人和家庭的补助支出47.09万元，抚恤费47.09万元，商品和服务支出31.84万元，</w:t>
      </w:r>
      <w:r>
        <w:rPr>
          <w:rFonts w:hint="eastAsia" w:ascii="仿宋" w:hAnsi="仿宋" w:eastAsia="仿宋"/>
          <w:color w:val="000000"/>
          <w:sz w:val="32"/>
          <w:szCs w:val="32"/>
        </w:rPr>
        <w:t>主要包括：办公费</w:t>
      </w:r>
      <w:r>
        <w:rPr>
          <w:rFonts w:hint="eastAsia" w:ascii="仿宋" w:hAnsi="仿宋" w:eastAsia="仿宋"/>
          <w:color w:val="000000"/>
          <w:sz w:val="32"/>
          <w:szCs w:val="32"/>
          <w:lang w:val="en-US" w:eastAsia="zh-CN"/>
        </w:rPr>
        <w:t>7万元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3.5万元</w:t>
      </w:r>
      <w:r>
        <w:rPr>
          <w:rFonts w:hint="eastAsia" w:ascii="仿宋" w:hAnsi="仿宋" w:eastAsia="仿宋"/>
          <w:color w:val="000000"/>
          <w:sz w:val="32"/>
          <w:szCs w:val="32"/>
        </w:rPr>
        <w:t>、咨询费、手续费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2万元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、物业管理费、差旅费</w:t>
      </w:r>
      <w:r>
        <w:rPr>
          <w:rFonts w:hint="eastAsia" w:ascii="仿宋" w:hAnsi="仿宋" w:eastAsia="仿宋"/>
          <w:color w:val="000000"/>
          <w:sz w:val="32"/>
          <w:szCs w:val="32"/>
          <w:lang w:val="en-US" w:eastAsia="zh-CN"/>
        </w:rPr>
        <w:t>2.5万元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10.84万元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6万元.</w:t>
      </w:r>
    </w:p>
    <w:p>
      <w:pPr>
        <w:spacing w:line="600" w:lineRule="exact"/>
        <w:ind w:firstLine="645"/>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项目经费</w:t>
      </w:r>
      <w:r>
        <w:rPr>
          <w:rFonts w:hint="eastAsia" w:ascii="仿宋" w:hAnsi="仿宋" w:eastAsia="仿宋"/>
          <w:color w:val="000000"/>
          <w:sz w:val="32"/>
          <w:szCs w:val="32"/>
          <w:lang w:val="en-US" w:eastAsia="zh-CN"/>
        </w:rPr>
        <w:t>:204公共安全支出18.54万元，其中2040202一般行政管理事务1.01万元，</w:t>
      </w:r>
      <w:r>
        <w:rPr>
          <w:rFonts w:hint="default" w:ascii="仿宋" w:hAnsi="仿宋" w:eastAsia="仿宋"/>
          <w:color w:val="000000"/>
          <w:sz w:val="32"/>
          <w:szCs w:val="32"/>
          <w:lang w:val="en-US" w:eastAsia="zh-CN"/>
        </w:rPr>
        <w:t>2040699其他司法支出</w:t>
      </w:r>
      <w:r>
        <w:rPr>
          <w:rFonts w:hint="eastAsia" w:ascii="仿宋" w:hAnsi="仿宋" w:eastAsia="仿宋"/>
          <w:color w:val="000000"/>
          <w:sz w:val="32"/>
          <w:szCs w:val="32"/>
          <w:lang w:val="en-US" w:eastAsia="zh-CN"/>
        </w:rPr>
        <w:t>11.39万元，</w:t>
      </w:r>
      <w:r>
        <w:rPr>
          <w:rFonts w:hint="eastAsia" w:ascii="仿宋" w:hAnsi="仿宋" w:eastAsia="仿宋"/>
          <w:color w:val="000000"/>
          <w:sz w:val="32"/>
          <w:szCs w:val="32"/>
          <w:lang w:eastAsia="zh-CN"/>
        </w:rPr>
        <w:t>2049901其他公共安全支出</w:t>
      </w:r>
      <w:r>
        <w:rPr>
          <w:rFonts w:hint="eastAsia" w:ascii="仿宋" w:hAnsi="仿宋" w:eastAsia="仿宋"/>
          <w:color w:val="000000"/>
          <w:sz w:val="32"/>
          <w:szCs w:val="32"/>
          <w:lang w:val="en-US" w:eastAsia="zh-CN"/>
        </w:rPr>
        <w:t>6.14万元，</w:t>
      </w:r>
      <w:r>
        <w:rPr>
          <w:rFonts w:hint="eastAsia" w:ascii="仿宋" w:hAnsi="仿宋" w:eastAsia="仿宋"/>
          <w:color w:val="000000"/>
          <w:sz w:val="32"/>
          <w:szCs w:val="32"/>
        </w:rPr>
        <w:t>主要包括：办公费</w:t>
      </w:r>
      <w:r>
        <w:rPr>
          <w:rFonts w:hint="eastAsia" w:ascii="仿宋" w:hAnsi="仿宋" w:eastAsia="仿宋"/>
          <w:color w:val="000000"/>
          <w:sz w:val="32"/>
          <w:szCs w:val="32"/>
          <w:lang w:val="en-US" w:eastAsia="zh-CN"/>
        </w:rPr>
        <w:t>3.1万元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2.5万元</w:t>
      </w:r>
      <w:r>
        <w:rPr>
          <w:rFonts w:hint="eastAsia" w:ascii="仿宋" w:hAnsi="仿宋" w:eastAsia="仿宋"/>
          <w:color w:val="000000"/>
          <w:sz w:val="32"/>
          <w:szCs w:val="32"/>
        </w:rPr>
        <w:t>、咨询费、手续费</w:t>
      </w:r>
      <w:r>
        <w:rPr>
          <w:rFonts w:hint="eastAsia" w:ascii="仿宋" w:hAnsi="仿宋" w:eastAsia="仿宋"/>
          <w:color w:val="000000"/>
          <w:sz w:val="32"/>
          <w:szCs w:val="32"/>
          <w:lang w:val="en-US" w:eastAsia="zh-CN"/>
        </w:rPr>
        <w:t>11.39万元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0.54万元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1.01万元</w:t>
      </w:r>
      <w:r>
        <w:rPr>
          <w:rFonts w:hint="eastAsia" w:ascii="仿宋" w:hAnsi="仿宋" w:eastAsia="仿宋"/>
          <w:color w:val="000000"/>
          <w:sz w:val="32"/>
          <w:szCs w:val="32"/>
        </w:rPr>
        <w:t>、物业管理费、差旅费</w:t>
      </w:r>
      <w:r>
        <w:rPr>
          <w:rFonts w:hint="eastAsia" w:ascii="仿宋" w:hAnsi="仿宋" w:eastAsia="仿宋"/>
          <w:color w:val="000000"/>
          <w:sz w:val="32"/>
          <w:szCs w:val="32"/>
          <w:lang w:val="en-US" w:eastAsia="zh-CN"/>
        </w:rPr>
        <w:t>9.58万元</w:t>
      </w:r>
      <w:r>
        <w:rPr>
          <w:rFonts w:hint="eastAsia" w:ascii="仿宋" w:hAnsi="仿宋" w:eastAsia="仿宋"/>
          <w:color w:val="000000"/>
          <w:sz w:val="32"/>
          <w:szCs w:val="32"/>
        </w:rPr>
        <w:t>、因公出国（境）费用、维修（护）费</w:t>
      </w:r>
      <w:r>
        <w:rPr>
          <w:rFonts w:hint="eastAsia" w:ascii="仿宋" w:hAnsi="仿宋" w:eastAsia="仿宋"/>
          <w:color w:val="000000"/>
          <w:sz w:val="32"/>
          <w:szCs w:val="32"/>
          <w:lang w:val="en-US" w:eastAsia="zh-CN"/>
        </w:rPr>
        <w:t>1.01万元</w:t>
      </w:r>
      <w:r>
        <w:rPr>
          <w:rFonts w:hint="eastAsia" w:ascii="仿宋" w:hAnsi="仿宋" w:eastAsia="仿宋"/>
          <w:color w:val="000000"/>
          <w:sz w:val="32"/>
          <w:szCs w:val="32"/>
        </w:rPr>
        <w:t>、租赁费、会议费、培训费、公务接待费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、劳务费、委托业务费、工会经费、福利费、公务用车运行维护费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p>
    <w:p>
      <w:pPr>
        <w:spacing w:line="600" w:lineRule="exact"/>
        <w:ind w:firstLine="640"/>
        <w:outlineLvl w:val="1"/>
        <w:rPr>
          <w:rStyle w:val="24"/>
          <w:rFonts w:ascii="黑体" w:hAnsi="黑体" w:eastAsia="黑体"/>
          <w:b w:val="0"/>
        </w:rPr>
      </w:pPr>
      <w:bookmarkStart w:id="72" w:name="_Toc79163619"/>
      <w:bookmarkStart w:id="73" w:name="_Toc79163869"/>
      <w:bookmarkStart w:id="74" w:name="_Toc15377215"/>
      <w:bookmarkStart w:id="75" w:name="_Toc1539660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620"/>
      <w:bookmarkStart w:id="77" w:name="_Toc79163870"/>
      <w:bookmarkStart w:id="78" w:name="_Toc15377216"/>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11.08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79163621"/>
      <w:bookmarkStart w:id="80" w:name="_Toc79163871"/>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10.54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95.13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0.53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4.87</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p>
    <w:p>
      <w:pPr>
        <w:spacing w:line="240" w:lineRule="auto"/>
        <w:ind w:firstLine="640"/>
        <w:rPr>
          <w:rFonts w:hint="eastAsia" w:ascii="仿宋" w:hAnsi="仿宋" w:eastAsia="仿宋"/>
          <w:color w:val="000000"/>
          <w:sz w:val="32"/>
          <w:szCs w:val="32"/>
          <w:lang w:eastAsia="zh-CN"/>
        </w:rPr>
      </w:pPr>
    </w:p>
    <w:p>
      <w:pPr>
        <w:spacing w:line="240" w:lineRule="auto"/>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89984" behindDoc="0" locked="0" layoutInCell="1" allowOverlap="1">
            <wp:simplePos x="0" y="0"/>
            <wp:positionH relativeFrom="column">
              <wp:posOffset>-79375</wp:posOffset>
            </wp:positionH>
            <wp:positionV relativeFrom="paragraph">
              <wp:posOffset>163830</wp:posOffset>
            </wp:positionV>
            <wp:extent cx="5271770" cy="3524250"/>
            <wp:effectExtent l="0" t="0" r="5080" b="0"/>
            <wp:wrapNone/>
            <wp:docPr id="27" name="图片 27" descr="图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27" descr="图7"/>
                    <pic:cNvPicPr>
                      <a:picLocks noChangeAspect="true"/>
                    </pic:cNvPicPr>
                  </pic:nvPicPr>
                  <pic:blipFill>
                    <a:blip r:embed="rId12"/>
                    <a:stretch>
                      <a:fillRect/>
                    </a:stretch>
                  </pic:blipFill>
                  <pic:spPr>
                    <a:xfrm>
                      <a:off x="0" y="0"/>
                      <a:ext cx="5271770" cy="3524250"/>
                    </a:xfrm>
                    <a:prstGeom prst="rect">
                      <a:avLst/>
                    </a:prstGeom>
                  </pic:spPr>
                </pic:pic>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。开支内容包括：（团组名称、出访地点、取得成效）等。</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10.54</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5.83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35.6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公务用车减少</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10.54</w:t>
      </w:r>
      <w:r>
        <w:rPr>
          <w:rFonts w:hint="eastAsia" w:ascii="仿宋_GB2312" w:eastAsia="仿宋_GB2312"/>
          <w:color w:val="000000"/>
          <w:sz w:val="32"/>
          <w:szCs w:val="32"/>
        </w:rPr>
        <w:t>万元。主要用于等所需的公务用车燃料费、维修费、过路过桥费、保险费等支出。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0.54</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0.76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58.46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公务接待减少</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b/>
          <w:color w:val="000000"/>
          <w:sz w:val="32"/>
          <w:szCs w:val="32"/>
          <w:lang w:val="en-US" w:eastAsia="zh-CN"/>
        </w:rPr>
        <w:t>0.54</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48</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0.54</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接待省、州综治、维稳等工作督导组及邻县相关单位考察学习组等。</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Style w:val="24"/>
          <w:rFonts w:ascii="黑体" w:hAnsi="黑体" w:eastAsia="黑体"/>
        </w:rPr>
      </w:pPr>
      <w:bookmarkStart w:id="82" w:name="_Toc79163622"/>
      <w:bookmarkStart w:id="83" w:name="_Toc15377218"/>
      <w:bookmarkStart w:id="84" w:name="_Toc79163872"/>
      <w:bookmarkStart w:id="85" w:name="_Toc15396610"/>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4"/>
          <w:rFonts w:ascii="黑体" w:hAnsi="黑体" w:eastAsia="黑体"/>
          <w:b w:val="0"/>
        </w:rPr>
      </w:pPr>
      <w:bookmarkStart w:id="86" w:name="_Toc15377219"/>
      <w:bookmarkStart w:id="87" w:name="_Toc79163623"/>
      <w:bookmarkStart w:id="88" w:name="_Toc79163873"/>
      <w:bookmarkStart w:id="89" w:name="_Toc15396611"/>
      <w:r>
        <w:rPr>
          <w:rStyle w:val="24"/>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hAnsi="黑体" w:eastAsia="黑体"/>
        </w:rPr>
      </w:pPr>
      <w:bookmarkStart w:id="90" w:name="_Toc15396612"/>
      <w:bookmarkStart w:id="91" w:name="_Toc79163874"/>
      <w:bookmarkStart w:id="92" w:name="_Toc15377221"/>
      <w:bookmarkStart w:id="93" w:name="_Toc79163624"/>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hAnsi="仿宋" w:eastAsia="仿宋"/>
          <w:color w:val="000000"/>
          <w:sz w:val="32"/>
          <w:szCs w:val="32"/>
        </w:rPr>
      </w:pPr>
      <w:bookmarkStart w:id="94" w:name="_Toc15377222"/>
      <w:bookmarkStart w:id="95" w:name="_Toc79163875"/>
      <w:bookmarkStart w:id="96" w:name="_Toc7916362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政法委</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32.9</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10.03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23.37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办公经费减少。</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79163626"/>
      <w:bookmarkStart w:id="98" w:name="_Toc15377223"/>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政法委</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173.26</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172.76</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红原县联动中心能力提升（数据大脑）服务项目</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172.76</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99.71</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79163877"/>
      <w:bookmarkStart w:id="101" w:name="_Toc79163627"/>
      <w:bookmarkStart w:id="102" w:name="_Toc15377224"/>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政法委</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w:t>
      </w:r>
      <w:r>
        <w:rPr>
          <w:rFonts w:hint="eastAsia" w:ascii="仿宋_GB2312" w:hAnsi="仿宋_GB2312" w:eastAsia="仿宋_GB2312" w:cs="仿宋_GB2312"/>
          <w:i w:val="0"/>
          <w:caps w:val="0"/>
          <w:color w:val="333333"/>
          <w:spacing w:val="0"/>
          <w:sz w:val="32"/>
          <w:szCs w:val="32"/>
          <w:shd w:val="clear" w:fill="FFFFFF"/>
        </w:rPr>
        <w:t>“三电”工作经费</w:t>
      </w:r>
      <w:r>
        <w:rPr>
          <w:rFonts w:hint="eastAsia" w:ascii="仿宋" w:hAnsi="仿宋" w:eastAsia="仿宋" w:cs="仿宋"/>
          <w:b/>
          <w:bCs/>
          <w:sz w:val="32"/>
          <w:szCs w:val="32"/>
          <w:lang w:val="en-US" w:eastAsia="zh-CN"/>
        </w:rPr>
        <w:t>、</w:t>
      </w:r>
      <w:r>
        <w:rPr>
          <w:rFonts w:hint="eastAsia" w:ascii="仿宋" w:hAnsi="仿宋" w:eastAsia="仿宋" w:cs="仿宋"/>
          <w:b w:val="0"/>
          <w:bCs w:val="0"/>
          <w:sz w:val="32"/>
          <w:szCs w:val="32"/>
          <w:lang w:val="en-US" w:eastAsia="zh-CN"/>
        </w:rPr>
        <w:t>扫黑工作、综治工作、大调解工作等</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color w:val="000000" w:themeColor="text1"/>
          <w:sz w:val="32"/>
          <w:szCs w:val="32"/>
          <w14:textFill>
            <w14:solidFill>
              <w14:schemeClr w14:val="tx1"/>
            </w14:solidFill>
          </w14:textFill>
        </w:rPr>
        <w:t>从评价情况来看</w:t>
      </w:r>
      <w:r>
        <w:rPr>
          <w:rFonts w:hint="eastAsia" w:ascii="仿宋_GB2312" w:hAnsi="仿宋_GB2312" w:eastAsia="仿宋_GB2312" w:cs="仿宋_GB2312"/>
          <w:color w:val="000000" w:themeColor="text1"/>
          <w:sz w:val="32"/>
          <w:szCs w:val="32"/>
          <w:lang w:eastAsia="zh-CN"/>
          <w14:textFill>
            <w14:solidFill>
              <w14:schemeClr w14:val="tx1"/>
            </w14:solidFill>
          </w14:textFill>
        </w:rPr>
        <w:t>完成效果较好</w:t>
      </w:r>
      <w:r>
        <w:rPr>
          <w:rFonts w:hint="eastAsia" w:ascii="仿宋_GB2312" w:hAnsi="仿宋_GB2312" w:eastAsia="仿宋_GB2312" w:cs="仿宋_GB2312"/>
          <w:color w:val="000000" w:themeColor="text1"/>
          <w:sz w:val="32"/>
          <w:szCs w:val="32"/>
          <w14:textFill>
            <w14:solidFill>
              <w14:schemeClr w14:val="tx1"/>
            </w14:solidFill>
          </w14:textFill>
        </w:rPr>
        <w:t>。本部门还自行组织了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个项目支出绩效评价，从评价情况来看</w:t>
      </w:r>
      <w:r>
        <w:rPr>
          <w:rFonts w:hint="eastAsia" w:ascii="仿宋_GB2312" w:hAnsi="仿宋_GB2312" w:eastAsia="仿宋_GB2312" w:cs="仿宋_GB2312"/>
          <w:color w:val="000000" w:themeColor="text1"/>
          <w:sz w:val="32"/>
          <w:szCs w:val="32"/>
          <w:lang w:eastAsia="zh-CN"/>
          <w14:textFill>
            <w14:solidFill>
              <w14:schemeClr w14:val="tx1"/>
            </w14:solidFill>
          </w14:textFill>
        </w:rPr>
        <w:t>完成情况较好。</w:t>
      </w:r>
    </w:p>
    <w:p>
      <w:pPr>
        <w:spacing w:line="58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对个人和家庭的补助支出47.09万元，用于单位职工病故的抚恤费47.09万元。</w:t>
      </w:r>
    </w:p>
    <w:p>
      <w:pPr>
        <w:numPr>
          <w:ilvl w:val="0"/>
          <w:numId w:val="4"/>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综治基层建设</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val="0"/>
          <w:caps w:val="0"/>
          <w:color w:val="333333"/>
          <w:spacing w:val="0"/>
          <w:sz w:val="32"/>
          <w:szCs w:val="32"/>
          <w:shd w:val="clear" w:fill="FFFFFF"/>
        </w:rPr>
        <w:t>“三电”工作经费</w:t>
      </w:r>
      <w:r>
        <w:rPr>
          <w:rFonts w:hint="eastAsia" w:ascii="仿宋" w:hAnsi="仿宋" w:eastAsia="仿宋" w:cs="仿宋"/>
          <w:b w:val="0"/>
          <w:bCs w:val="0"/>
          <w:sz w:val="32"/>
          <w:szCs w:val="32"/>
          <w:lang w:val="en-US" w:eastAsia="zh-CN"/>
        </w:rPr>
        <w:t>、扫黑工作</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hAnsi="仿宋_GB2312" w:eastAsia="仿宋_GB2312" w:cs="仿宋_GB2312"/>
          <w:i w:val="0"/>
          <w:caps w:val="0"/>
          <w:color w:val="333333"/>
          <w:spacing w:val="0"/>
          <w:sz w:val="32"/>
          <w:szCs w:val="32"/>
          <w:shd w:val="clear" w:fill="FFFFFF"/>
        </w:rPr>
        <w:t>“三电”工作经费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31.84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318.4</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i w:val="0"/>
          <w:caps w:val="0"/>
          <w:color w:val="333333"/>
          <w:spacing w:val="0"/>
          <w:sz w:val="32"/>
          <w:szCs w:val="32"/>
          <w:shd w:val="clear" w:fill="FFFFFF"/>
        </w:rPr>
        <w:t>“三电”</w:t>
      </w:r>
      <w:r>
        <w:rPr>
          <w:rFonts w:hint="eastAsia" w:ascii="仿宋_GB2312" w:hAnsi="仿宋_GB2312" w:eastAsia="仿宋_GB2312" w:cs="仿宋_GB2312"/>
          <w:sz w:val="32"/>
          <w:szCs w:val="32"/>
          <w:lang w:eastAsia="zh-CN"/>
        </w:rPr>
        <w:t>工作的开展，提高了</w:t>
      </w:r>
      <w:r>
        <w:rPr>
          <w:rFonts w:hint="eastAsia" w:ascii="仿宋_GB2312" w:hAnsi="仿宋_GB2312" w:eastAsia="仿宋_GB2312" w:cs="仿宋_GB2312"/>
          <w:i w:val="0"/>
          <w:caps w:val="0"/>
          <w:color w:val="333333"/>
          <w:spacing w:val="0"/>
          <w:sz w:val="32"/>
          <w:szCs w:val="32"/>
          <w:shd w:val="clear" w:fill="FFFFFF"/>
        </w:rPr>
        <w:t>“三电”</w:t>
      </w:r>
      <w:r>
        <w:rPr>
          <w:rFonts w:hint="eastAsia" w:ascii="仿宋_GB2312" w:hAnsi="仿宋_GB2312" w:eastAsia="仿宋_GB2312" w:cs="仿宋_GB2312"/>
          <w:sz w:val="32"/>
          <w:szCs w:val="32"/>
          <w:lang w:eastAsia="zh-CN"/>
        </w:rPr>
        <w:t>工作效率。</w:t>
      </w:r>
    </w:p>
    <w:p>
      <w:pPr>
        <w:spacing w:line="580" w:lineRule="exact"/>
        <w:ind w:firstLine="640" w:firstLineChars="200"/>
        <w:rPr>
          <w:rFonts w:hint="eastAsia" w:ascii="仿宋" w:hAnsi="仿宋" w:eastAsia="仿宋" w:cs="仿宋"/>
          <w:b w:val="0"/>
          <w:bCs w:val="0"/>
          <w:sz w:val="32"/>
          <w:szCs w:val="32"/>
          <w:lang w:val="en-US" w:eastAsia="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hint="eastAsia" w:ascii="仿宋" w:hAnsi="仿宋" w:eastAsia="仿宋" w:cs="仿宋"/>
          <w:b w:val="0"/>
          <w:bCs w:val="0"/>
          <w:sz w:val="32"/>
          <w:szCs w:val="32"/>
          <w:lang w:val="en-US" w:eastAsia="zh-CN"/>
        </w:rPr>
        <w:t>扫黑工作</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11.39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113.9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w:t>
      </w:r>
      <w:r>
        <w:rPr>
          <w:rFonts w:hint="eastAsia" w:ascii="仿宋" w:hAnsi="仿宋" w:eastAsia="仿宋" w:cs="仿宋"/>
          <w:b w:val="0"/>
          <w:bCs w:val="0"/>
          <w:sz w:val="32"/>
          <w:szCs w:val="32"/>
          <w:lang w:val="en-US" w:eastAsia="zh-CN"/>
        </w:rPr>
        <w:t>扫黑工作的顺利开展，促进了全县的社会持续稳定。</w:t>
      </w:r>
    </w:p>
    <w:p>
      <w:pPr>
        <w:spacing w:line="580" w:lineRule="exact"/>
        <w:ind w:firstLine="640" w:firstLineChars="200"/>
        <w:rPr>
          <w:rFonts w:hint="eastAsia" w:ascii="仿宋_GB2312" w:hAnsi="仿宋_GB2312" w:eastAsia="仿宋_GB2312" w:cs="仿宋_GB2312"/>
          <w:i w:val="0"/>
          <w:caps w:val="0"/>
          <w:color w:val="333333"/>
          <w:spacing w:val="0"/>
          <w:sz w:val="32"/>
          <w:szCs w:val="32"/>
          <w:shd w:val="clear" w:fill="FFFFFF"/>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hint="eastAsia" w:ascii="仿宋_GB2312" w:hAnsi="仿宋_GB2312" w:eastAsia="仿宋_GB2312" w:cs="仿宋_GB2312"/>
          <w:i w:val="0"/>
          <w:caps w:val="0"/>
          <w:color w:val="333333"/>
          <w:spacing w:val="0"/>
          <w:sz w:val="32"/>
          <w:szCs w:val="32"/>
          <w:shd w:val="clear" w:fill="FFFFFF"/>
        </w:rPr>
        <w:t>大调解工作</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6.14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102.33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i w:val="0"/>
          <w:caps w:val="0"/>
          <w:color w:val="333333"/>
          <w:spacing w:val="0"/>
          <w:sz w:val="32"/>
          <w:szCs w:val="32"/>
          <w:shd w:val="clear" w:fill="FFFFFF"/>
        </w:rPr>
        <w:t>大调解工作</w:t>
      </w:r>
      <w:r>
        <w:rPr>
          <w:rFonts w:hint="eastAsia" w:ascii="仿宋" w:hAnsi="仿宋" w:eastAsia="仿宋" w:cs="仿宋"/>
          <w:b w:val="0"/>
          <w:bCs w:val="0"/>
          <w:sz w:val="32"/>
          <w:szCs w:val="32"/>
          <w:lang w:val="en-US" w:eastAsia="zh-CN"/>
        </w:rPr>
        <w:t>顺利开展，以</w:t>
      </w:r>
      <w:r>
        <w:rPr>
          <w:rFonts w:hint="eastAsia" w:ascii="仿宋_GB2312" w:hAnsi="仿宋_GB2312" w:eastAsia="仿宋_GB2312" w:cs="仿宋_GB2312"/>
          <w:i w:val="0"/>
          <w:caps w:val="0"/>
          <w:color w:val="333333"/>
          <w:spacing w:val="0"/>
          <w:sz w:val="32"/>
          <w:szCs w:val="32"/>
          <w:shd w:val="clear" w:fill="FFFFFF"/>
        </w:rPr>
        <w:t>弘扬新时代“枫桥经验”，践行“一线工作法”</w:t>
      </w:r>
      <w:r>
        <w:rPr>
          <w:rFonts w:hint="eastAsia" w:ascii="仿宋_GB2312" w:hAnsi="仿宋_GB2312" w:eastAsia="仿宋_GB2312" w:cs="仿宋_GB2312"/>
          <w:i w:val="0"/>
          <w:caps w:val="0"/>
          <w:color w:val="333333"/>
          <w:spacing w:val="0"/>
          <w:sz w:val="32"/>
          <w:szCs w:val="32"/>
          <w:shd w:val="clear" w:fill="FFFFFF"/>
          <w:lang w:eastAsia="zh-CN"/>
        </w:rPr>
        <w:t>的方法为出发点</w:t>
      </w:r>
      <w:r>
        <w:rPr>
          <w:rFonts w:hint="eastAsia" w:ascii="仿宋_GB2312" w:hAnsi="仿宋_GB2312" w:eastAsia="仿宋_GB2312" w:cs="仿宋_GB2312"/>
          <w:i w:val="0"/>
          <w:caps w:val="0"/>
          <w:color w:val="333333"/>
          <w:spacing w:val="0"/>
          <w:sz w:val="32"/>
          <w:szCs w:val="32"/>
          <w:shd w:val="clear" w:fill="FFFFFF"/>
        </w:rPr>
        <w:t>。</w:t>
      </w:r>
      <w:r>
        <w:rPr>
          <w:rFonts w:hint="eastAsia" w:ascii="仿宋_GB2312" w:hAnsi="仿宋_GB2312" w:eastAsia="仿宋_GB2312" w:cs="仿宋_GB2312"/>
          <w:i w:val="0"/>
          <w:caps w:val="0"/>
          <w:color w:val="333333"/>
          <w:spacing w:val="0"/>
          <w:sz w:val="32"/>
          <w:szCs w:val="32"/>
          <w:shd w:val="clear" w:fill="FFFFFF"/>
          <w:lang w:eastAsia="zh-CN"/>
        </w:rPr>
        <w:t>进一步</w:t>
      </w:r>
      <w:r>
        <w:rPr>
          <w:rFonts w:hint="eastAsia" w:ascii="仿宋_GB2312" w:hAnsi="仿宋_GB2312" w:eastAsia="仿宋_GB2312" w:cs="仿宋_GB2312"/>
          <w:i w:val="0"/>
          <w:caps w:val="0"/>
          <w:color w:val="333333"/>
          <w:spacing w:val="0"/>
          <w:sz w:val="32"/>
          <w:szCs w:val="32"/>
          <w:shd w:val="clear" w:fill="FFFFFF"/>
        </w:rPr>
        <w:t>完善多元化解机制，调动发挥各调解组织和人民调解员的作用，采取多种化解方式，及时主动调处化解各类矛盾纠纷。</w:t>
      </w:r>
      <w:r>
        <w:rPr>
          <w:rFonts w:hint="eastAsia" w:ascii="仿宋_GB2312" w:hAnsi="仿宋_GB2312" w:eastAsia="仿宋_GB2312" w:cs="仿宋_GB2312"/>
          <w:i w:val="0"/>
          <w:caps w:val="0"/>
          <w:color w:val="333333"/>
          <w:spacing w:val="0"/>
          <w:sz w:val="32"/>
          <w:szCs w:val="32"/>
          <w:shd w:val="clear" w:fill="FFFFFF"/>
          <w:lang w:eastAsia="zh-CN"/>
        </w:rPr>
        <w:t>有效</w:t>
      </w:r>
      <w:r>
        <w:rPr>
          <w:rFonts w:hint="eastAsia" w:ascii="仿宋_GB2312" w:hAnsi="仿宋_GB2312" w:eastAsia="仿宋_GB2312" w:cs="仿宋_GB2312"/>
          <w:i w:val="0"/>
          <w:caps w:val="0"/>
          <w:color w:val="333333"/>
          <w:spacing w:val="0"/>
          <w:sz w:val="32"/>
          <w:szCs w:val="32"/>
          <w:shd w:val="clear" w:fill="FFFFFF"/>
        </w:rPr>
        <w:t>提升源头防范化解矛盾纠纷能力。</w:t>
      </w:r>
    </w:p>
    <w:p>
      <w:pPr>
        <w:numPr>
          <w:ilvl w:val="0"/>
          <w:numId w:val="0"/>
        </w:numPr>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fill="FFFFFF"/>
          <w:lang w:eastAsia="zh-CN"/>
        </w:rPr>
        <w:t>（</w:t>
      </w:r>
      <w:r>
        <w:rPr>
          <w:rFonts w:hint="eastAsia" w:ascii="仿宋_GB2312" w:hAnsi="仿宋_GB2312" w:eastAsia="仿宋_GB2312" w:cs="仿宋_GB2312"/>
          <w:i w:val="0"/>
          <w:caps w:val="0"/>
          <w:color w:val="333333"/>
          <w:spacing w:val="0"/>
          <w:sz w:val="32"/>
          <w:szCs w:val="32"/>
          <w:shd w:val="clear" w:fill="FFFFFF"/>
          <w:lang w:val="en-US" w:eastAsia="zh-CN"/>
        </w:rPr>
        <w:t>4</w:t>
      </w:r>
      <w:r>
        <w:rPr>
          <w:rFonts w:hint="eastAsia" w:ascii="仿宋_GB2312" w:hAnsi="仿宋_GB2312" w:eastAsia="仿宋_GB2312" w:cs="仿宋_GB2312"/>
          <w:i w:val="0"/>
          <w:caps w:val="0"/>
          <w:color w:val="333333"/>
          <w:spacing w:val="0"/>
          <w:sz w:val="32"/>
          <w:szCs w:val="32"/>
          <w:shd w:val="clear" w:fill="FFFFFF"/>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综治基层建设</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综治工作的开展，提高了综治工作效率。</w:t>
      </w:r>
    </w:p>
    <w:p>
      <w:pPr>
        <w:spacing w:line="580" w:lineRule="exact"/>
        <w:ind w:firstLine="640" w:firstLineChars="200"/>
        <w:rPr>
          <w:rFonts w:hint="eastAsia" w:ascii="仿宋_GB2312" w:hAnsi="仿宋_GB2312" w:eastAsia="仿宋_GB2312" w:cs="仿宋_GB2312"/>
          <w:sz w:val="32"/>
          <w:szCs w:val="32"/>
          <w:lang w:eastAsia="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1807" w:firstLineChars="500"/>
        <w:rPr>
          <w:rFonts w:hint="eastAsia" w:ascii="宋体" w:hAnsi="宋体" w:cs="宋体"/>
          <w:b/>
          <w:bCs/>
          <w:color w:val="000000"/>
          <w:kern w:val="0"/>
          <w:sz w:val="36"/>
          <w:szCs w:val="36"/>
          <w:lang w:val="en-US" w:eastAsia="zh-CN"/>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val="en-US" w:eastAsia="zh-CN"/>
        </w:rPr>
        <w:t>1</w:t>
      </w:r>
    </w:p>
    <w:p>
      <w:pPr>
        <w:spacing w:line="580" w:lineRule="exact"/>
        <w:ind w:firstLine="722" w:firstLineChars="200"/>
        <w:rPr>
          <w:rFonts w:hint="eastAsia" w:ascii="宋体" w:hAnsi="宋体" w:cs="宋体"/>
          <w:b/>
          <w:bCs/>
          <w:color w:val="000000"/>
          <w:kern w:val="0"/>
          <w:sz w:val="36"/>
          <w:szCs w:val="36"/>
          <w:lang w:val="en-US" w:eastAsia="zh-CN"/>
        </w:rPr>
      </w:pPr>
    </w:p>
    <w:tbl>
      <w:tblPr>
        <w:tblStyle w:val="19"/>
        <w:tblW w:w="9369" w:type="dxa"/>
        <w:jc w:val="center"/>
        <w:tblLayout w:type="fixed"/>
        <w:tblCellMar>
          <w:top w:w="0" w:type="dxa"/>
          <w:left w:w="0" w:type="dxa"/>
          <w:bottom w:w="0" w:type="dxa"/>
          <w:right w:w="0" w:type="dxa"/>
        </w:tblCellMar>
      </w:tblPr>
      <w:tblGrid>
        <w:gridCol w:w="565"/>
        <w:gridCol w:w="1246"/>
        <w:gridCol w:w="1022"/>
        <w:gridCol w:w="737"/>
        <w:gridCol w:w="1155"/>
        <w:gridCol w:w="1711"/>
        <w:gridCol w:w="1586"/>
        <w:gridCol w:w="1347"/>
      </w:tblGrid>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仿宋_GB2312" w:hAnsi="仿宋_GB2312" w:eastAsia="仿宋_GB2312" w:cs="仿宋_GB2312"/>
                <w:i w:val="0"/>
                <w:caps w:val="0"/>
                <w:color w:val="333333"/>
                <w:spacing w:val="0"/>
                <w:sz w:val="32"/>
                <w:szCs w:val="32"/>
                <w:shd w:val="clear" w:fill="FFFFFF"/>
              </w:rPr>
              <w:t>“三电”工作经费</w:t>
            </w:r>
            <w:r>
              <w:rPr>
                <w:rFonts w:hint="eastAsia" w:ascii="仿宋_GB2312" w:hAnsi="仿宋_GB2312" w:eastAsia="仿宋_GB2312" w:cs="仿宋_GB2312"/>
                <w:sz w:val="32"/>
                <w:szCs w:val="32"/>
              </w:rPr>
              <w:t>项目</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eastAsia="zh-CN"/>
              </w:rPr>
              <w:t>红原县委政法委</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预算执行情况(万元</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宋体" w:cs="宋体"/>
                <w:color w:val="000000"/>
                <w:sz w:val="24"/>
                <w:lang w:val="en-US" w:eastAsia="zh-CN"/>
              </w:rPr>
              <w:t>31.84</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kern w:val="0"/>
                <w:sz w:val="18"/>
                <w:szCs w:val="18"/>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宋体" w:cs="宋体"/>
                <w:color w:val="000000"/>
                <w:sz w:val="24"/>
                <w:lang w:val="en-US" w:eastAsia="zh-CN"/>
              </w:rPr>
              <w:t>31.84</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宋体" w:cs="宋体"/>
                <w:color w:val="000000"/>
                <w:sz w:val="24"/>
                <w:lang w:val="en-US" w:eastAsia="zh-CN"/>
              </w:rPr>
              <w:t>31.84</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kern w:val="0"/>
                <w:sz w:val="18"/>
                <w:szCs w:val="18"/>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宋体" w:cs="宋体"/>
                <w:color w:val="000000"/>
                <w:sz w:val="24"/>
                <w:lang w:val="en-US" w:eastAsia="zh-CN"/>
              </w:rPr>
              <w:t>31.84</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0</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年度目标完成情况</w:t>
            </w:r>
          </w:p>
        </w:tc>
        <w:tc>
          <w:tcPr>
            <w:tcW w:w="3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实际完成目标</w:t>
            </w:r>
          </w:p>
        </w:tc>
      </w:tr>
      <w:tr>
        <w:tblPrEx>
          <w:tblCellMar>
            <w:top w:w="0" w:type="dxa"/>
            <w:left w:w="0" w:type="dxa"/>
            <w:bottom w:w="0" w:type="dxa"/>
            <w:right w:w="0" w:type="dxa"/>
          </w:tblCellMar>
        </w:tblPrEx>
        <w:trPr>
          <w:trHeight w:val="19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3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宋体" w:hAnsi="宋体" w:eastAsia="宋体" w:cs="宋体"/>
                <w:color w:val="000000"/>
                <w:sz w:val="18"/>
                <w:szCs w:val="18"/>
                <w:lang w:val="en-US" w:eastAsia="zh-CN"/>
              </w:rPr>
              <w:t>完成</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日常工作务工各项任务，确保了有效推进全县</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的开展</w:t>
            </w:r>
            <w:r>
              <w:rPr>
                <w:rFonts w:hint="eastAsia" w:ascii="宋体" w:hAnsi="宋体" w:eastAsia="宋体" w:cs="宋体"/>
                <w:color w:val="000000"/>
                <w:sz w:val="18"/>
                <w:szCs w:val="18"/>
                <w:lang w:val="en-US" w:eastAsia="zh-CN"/>
              </w:rPr>
              <w:t>。</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宋体" w:hAnsi="宋体" w:eastAsia="宋体" w:cs="宋体"/>
                <w:color w:val="000000"/>
                <w:sz w:val="18"/>
                <w:szCs w:val="18"/>
                <w:lang w:val="en-US" w:eastAsia="zh-CN"/>
              </w:rPr>
              <w:t>完成</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日常工作务工各项任务，确保了有效推进全县</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的开展</w:t>
            </w:r>
            <w:r>
              <w:rPr>
                <w:rFonts w:hint="eastAsia" w:ascii="宋体" w:hAnsi="宋体" w:eastAsia="宋体" w:cs="宋体"/>
                <w:color w:val="000000"/>
                <w:sz w:val="18"/>
                <w:szCs w:val="18"/>
                <w:lang w:val="en-US" w:eastAsia="zh-CN"/>
              </w:rPr>
              <w:t>。</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绩效指标完成情况</w:t>
            </w: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4" name="直接连接符_10"/>
                  <wp:cNvGraphicFramePr/>
                  <a:graphic xmlns:a="http://schemas.openxmlformats.org/drawingml/2006/main">
                    <a:graphicData uri="http://schemas.openxmlformats.org/drawingml/2006/picture">
                      <pic:pic xmlns:pic="http://schemas.openxmlformats.org/drawingml/2006/picture">
                        <pic:nvPicPr>
                          <pic:cNvPr id="14"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602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5" name="直接连接符_8"/>
                  <wp:cNvGraphicFramePr/>
                  <a:graphic xmlns:a="http://schemas.openxmlformats.org/drawingml/2006/main">
                    <a:graphicData uri="http://schemas.openxmlformats.org/drawingml/2006/picture">
                      <pic:pic xmlns:pic="http://schemas.openxmlformats.org/drawingml/2006/picture">
                        <pic:nvPicPr>
                          <pic:cNvPr id="15"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613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6" name="直接连接符_9"/>
                  <wp:cNvGraphicFramePr/>
                  <a:graphic xmlns:a="http://schemas.openxmlformats.org/drawingml/2006/main">
                    <a:graphicData uri="http://schemas.openxmlformats.org/drawingml/2006/picture">
                      <pic:pic xmlns:pic="http://schemas.openxmlformats.org/drawingml/2006/picture">
                        <pic:nvPicPr>
                          <pic:cNvPr id="16"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623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7" name="直接连接符_7"/>
                  <wp:cNvGraphicFramePr/>
                  <a:graphic xmlns:a="http://schemas.openxmlformats.org/drawingml/2006/main">
                    <a:graphicData uri="http://schemas.openxmlformats.org/drawingml/2006/picture">
                      <pic:pic xmlns:pic="http://schemas.openxmlformats.org/drawingml/2006/picture">
                        <pic:nvPicPr>
                          <pic:cNvPr id="17"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指标评价内容</w:t>
            </w:r>
          </w:p>
        </w:tc>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312"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1706"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项目预期提供的产品、服务、效益或其他目标明确,即绩效目标实际明确个数/应当明确个数×100%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宋体" w:hAnsi="宋体" w:eastAsia="宋体" w:cs="宋体"/>
                <w:color w:val="000000"/>
                <w:sz w:val="18"/>
                <w:szCs w:val="18"/>
                <w:lang w:val="en-US" w:eastAsia="zh-CN"/>
              </w:rPr>
              <w:t>完成</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日常工作务工各项任务，确保了有效推进全县</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的开展</w:t>
            </w:r>
            <w:r>
              <w:rPr>
                <w:rFonts w:hint="eastAsia" w:ascii="宋体" w:hAnsi="宋体" w:eastAsia="宋体" w:cs="宋体"/>
                <w:color w:val="000000"/>
                <w:sz w:val="18"/>
                <w:szCs w:val="18"/>
                <w:lang w:val="en-US" w:eastAsia="zh-CN"/>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宋体" w:hAnsi="宋体" w:eastAsia="宋体" w:cs="宋体"/>
                <w:color w:val="000000"/>
                <w:sz w:val="18"/>
                <w:szCs w:val="18"/>
                <w:lang w:val="en-US" w:eastAsia="zh-CN"/>
              </w:rPr>
              <w:t>完成</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日常工作务工各项任务，确保了有效推进全县</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的开展</w:t>
            </w:r>
            <w:r>
              <w:rPr>
                <w:rFonts w:hint="eastAsia" w:ascii="宋体" w:hAnsi="宋体" w:eastAsia="宋体" w:cs="宋体"/>
                <w:color w:val="000000"/>
                <w:sz w:val="18"/>
                <w:szCs w:val="18"/>
                <w:lang w:val="en-US" w:eastAsia="zh-CN"/>
              </w:rPr>
              <w:t>。</w:t>
            </w:r>
          </w:p>
        </w:tc>
      </w:tr>
      <w:tr>
        <w:tblPrEx>
          <w:tblCellMar>
            <w:top w:w="0" w:type="dxa"/>
            <w:left w:w="0" w:type="dxa"/>
            <w:bottom w:w="0" w:type="dxa"/>
            <w:right w:w="0" w:type="dxa"/>
          </w:tblCellMar>
        </w:tblPrEx>
        <w:trPr>
          <w:trHeight w:val="64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项目计划实施进度明确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按时完工</w:t>
            </w:r>
          </w:p>
        </w:tc>
      </w:tr>
      <w:tr>
        <w:tblPrEx>
          <w:tblCellMar>
            <w:top w:w="0" w:type="dxa"/>
            <w:left w:w="0" w:type="dxa"/>
            <w:bottom w:w="0" w:type="dxa"/>
            <w:right w:w="0" w:type="dxa"/>
          </w:tblCellMar>
        </w:tblPrEx>
        <w:trPr>
          <w:trHeight w:val="69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绩效目标设定符合实际需求的抽样项目点个数/抽样项目点总数×100%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项目符合党中央、国务院和省委、省政府决策部署；符合当前经济社会发展需要</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连续性项目根据需要制定中长期实施规划</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实施规划符合实际，并根据情况变化适时调整</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制定项目资金管理办法</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r>
      <w:tr>
        <w:tblPrEx>
          <w:tblCellMar>
            <w:top w:w="0" w:type="dxa"/>
            <w:left w:w="0" w:type="dxa"/>
            <w:bottom w:w="0" w:type="dxa"/>
            <w:right w:w="0" w:type="dxa"/>
          </w:tblCellMar>
        </w:tblPrEx>
        <w:trPr>
          <w:trHeight w:val="75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项目资金分配决策程序明确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82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资金分配方法是否科学合理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分配过程符合相关规定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符合申报条件的抽样项目点个数/抽样项目点总数×100%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1个</w:t>
            </w:r>
          </w:p>
        </w:tc>
      </w:tr>
      <w:tr>
        <w:tblPrEx>
          <w:tblCellMar>
            <w:top w:w="0" w:type="dxa"/>
            <w:left w:w="0" w:type="dxa"/>
            <w:bottom w:w="0" w:type="dxa"/>
            <w:right w:w="0" w:type="dxa"/>
          </w:tblCellMar>
        </w:tblPrEx>
        <w:trPr>
          <w:trHeight w:val="10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财政资金占项目资金总额比重较小项目个数/项目总数×100%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73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按实际分配结果选择客观因素测算验证资金分配方法制定、分配要素设定、基础数据应用、测算依据选取等是否科学合理（2分）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4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县级主管部门按规定及时分配资金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44"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按规定及时拨付资金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资金使用是否合规</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资金支付依据符合规定，即支付依旧合规资金量/资金总量×100%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资金开支标准符合规定，即开支标准合规资金量/资金总量×100%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3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财务制度健全，管理规范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会计核算规范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项目调整严格履行相关手续</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8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项目投资变更额/项目总投入×100%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严格执行项目有关制度规定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bdr w:val="single" w:color="000000" w:sz="4" w:space="0"/>
                <w14:textFill>
                  <w14:solidFill>
                    <w14:schemeClr w14:val="tx1"/>
                  </w14:solidFill>
                </w14:textFill>
              </w:rPr>
              <w:drawing>
                <wp:anchor distT="0" distB="0" distL="114300" distR="114300" simplePos="0" relativeHeight="25166336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8" name="直接连接符_6"/>
                  <wp:cNvGraphicFramePr/>
                  <a:graphic xmlns:a="http://schemas.openxmlformats.org/drawingml/2006/main">
                    <a:graphicData uri="http://schemas.openxmlformats.org/drawingml/2006/picture">
                      <pic:pic xmlns:pic="http://schemas.openxmlformats.org/drawingml/2006/picture">
                        <pic:nvPicPr>
                          <pic:cNvPr id="18"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bdr w:val="single" w:color="000000" w:sz="4" w:space="0"/>
                <w14:textFill>
                  <w14:solidFill>
                    <w14:schemeClr w14:val="tx1"/>
                  </w14:solidFill>
                </w14:textFill>
              </w:rPr>
              <w:drawing>
                <wp:anchor distT="0" distB="0" distL="114300" distR="114300" simplePos="0" relativeHeight="25166438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9" name="直接连接符_5"/>
                  <wp:cNvGraphicFramePr/>
                  <a:graphic xmlns:a="http://schemas.openxmlformats.org/drawingml/2006/main">
                    <a:graphicData uri="http://schemas.openxmlformats.org/drawingml/2006/picture">
                      <pic:pic xmlns:pic="http://schemas.openxmlformats.org/drawingml/2006/picture">
                        <pic:nvPicPr>
                          <pic:cNvPr id="19"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实际完成任务量/绩效目标设定任务量×100%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符合绩效目标设定的验收标准，达到行业基准水平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r>
      <w:tr>
        <w:tblPrEx>
          <w:tblCellMar>
            <w:top w:w="0" w:type="dxa"/>
            <w:left w:w="0" w:type="dxa"/>
            <w:bottom w:w="0" w:type="dxa"/>
            <w:right w:w="0" w:type="dxa"/>
          </w:tblCellMar>
        </w:tblPrEx>
        <w:trPr>
          <w:trHeight w:val="80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（实际完成时间-绩效目标设定完成时间）/绩效目标设定完成时间×100%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（实际完成成本-预计完成成本）/预计完成成本×100%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7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反映相关产出对经济社会发展带来的影响和效果，根据项目实际细化具体指标。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宋体" w:hAnsi="宋体" w:eastAsia="宋体" w:cs="宋体"/>
                <w:color w:val="000000"/>
                <w:sz w:val="18"/>
                <w:szCs w:val="18"/>
                <w:lang w:val="en-US" w:eastAsia="zh-CN"/>
              </w:rPr>
              <w:t>完成</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日常工作务工各项任务，确保了有效推进全县</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的开展</w:t>
            </w:r>
            <w:r>
              <w:rPr>
                <w:rFonts w:hint="eastAsia" w:ascii="宋体" w:hAnsi="宋体" w:eastAsia="宋体" w:cs="宋体"/>
                <w:color w:val="000000"/>
                <w:sz w:val="18"/>
                <w:szCs w:val="18"/>
                <w:lang w:val="en-US" w:eastAsia="zh-CN"/>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宋体" w:hAnsi="宋体" w:eastAsia="宋体" w:cs="宋体"/>
                <w:color w:val="000000"/>
                <w:sz w:val="18"/>
                <w:szCs w:val="18"/>
                <w:lang w:val="en-US" w:eastAsia="zh-CN"/>
              </w:rPr>
              <w:t>完成</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日常工作务工各项任务，确保了有效推进全县</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的开展</w:t>
            </w:r>
            <w:r>
              <w:rPr>
                <w:rFonts w:hint="eastAsia" w:ascii="宋体" w:hAnsi="宋体" w:eastAsia="宋体" w:cs="宋体"/>
                <w:color w:val="000000"/>
                <w:sz w:val="18"/>
                <w:szCs w:val="18"/>
                <w:lang w:val="en-US" w:eastAsia="zh-CN"/>
              </w:rPr>
              <w:t>。</w:t>
            </w:r>
          </w:p>
        </w:tc>
      </w:tr>
      <w:tr>
        <w:tblPrEx>
          <w:tblCellMar>
            <w:top w:w="0" w:type="dxa"/>
            <w:left w:w="0" w:type="dxa"/>
            <w:bottom w:w="0" w:type="dxa"/>
            <w:right w:w="0" w:type="dxa"/>
          </w:tblCellMar>
        </w:tblPrEx>
        <w:trPr>
          <w:trHeight w:val="1276"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宋体" w:hAnsi="宋体" w:eastAsia="宋体" w:cs="宋体"/>
                <w:color w:val="000000"/>
                <w:sz w:val="18"/>
                <w:szCs w:val="18"/>
                <w:lang w:val="en-US" w:eastAsia="zh-CN"/>
              </w:rPr>
              <w:t>完成</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日常工作务工各项任务，确保了有效推进全县</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的开展</w:t>
            </w:r>
            <w:r>
              <w:rPr>
                <w:rFonts w:hint="eastAsia" w:ascii="宋体" w:hAnsi="宋体" w:eastAsia="宋体" w:cs="宋体"/>
                <w:color w:val="000000"/>
                <w:sz w:val="18"/>
                <w:szCs w:val="18"/>
                <w:lang w:val="en-US" w:eastAsia="zh-CN"/>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宋体" w:hAnsi="宋体" w:eastAsia="宋体" w:cs="宋体"/>
                <w:color w:val="000000"/>
                <w:sz w:val="18"/>
                <w:szCs w:val="18"/>
                <w:lang w:val="en-US" w:eastAsia="zh-CN"/>
              </w:rPr>
              <w:t>完成</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日常工作务工各项任务，确保了有效推进全县</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的开展</w:t>
            </w:r>
            <w:r>
              <w:rPr>
                <w:rFonts w:hint="eastAsia" w:ascii="宋体" w:hAnsi="宋体" w:eastAsia="宋体" w:cs="宋体"/>
                <w:color w:val="000000"/>
                <w:sz w:val="18"/>
                <w:szCs w:val="18"/>
                <w:lang w:val="en-US" w:eastAsia="zh-CN"/>
              </w:rPr>
              <w:t>。</w:t>
            </w:r>
          </w:p>
        </w:tc>
      </w:tr>
      <w:tr>
        <w:tblPrEx>
          <w:tblCellMar>
            <w:top w:w="0" w:type="dxa"/>
            <w:left w:w="0" w:type="dxa"/>
            <w:bottom w:w="0" w:type="dxa"/>
            <w:right w:w="0" w:type="dxa"/>
          </w:tblCellMar>
        </w:tblPrEx>
        <w:trPr>
          <w:trHeight w:val="7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反映相关产出对自然环境带来的影响和效果，根据项目实际细化具体指标。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宋体" w:hAnsi="宋体" w:eastAsia="宋体" w:cs="宋体"/>
                <w:color w:val="000000"/>
                <w:sz w:val="18"/>
                <w:szCs w:val="18"/>
                <w:lang w:val="en-US" w:eastAsia="zh-CN"/>
              </w:rPr>
              <w:t>完成</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日常工作务工各项任务，确保了有效推进全县</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的开展</w:t>
            </w:r>
            <w:r>
              <w:rPr>
                <w:rFonts w:hint="eastAsia" w:ascii="宋体" w:hAnsi="宋体" w:eastAsia="宋体" w:cs="宋体"/>
                <w:color w:val="000000"/>
                <w:sz w:val="18"/>
                <w:szCs w:val="18"/>
                <w:lang w:val="en-US" w:eastAsia="zh-CN"/>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宋体" w:hAnsi="宋体" w:eastAsia="宋体" w:cs="宋体"/>
                <w:color w:val="000000"/>
                <w:sz w:val="18"/>
                <w:szCs w:val="18"/>
                <w:lang w:val="en-US" w:eastAsia="zh-CN"/>
              </w:rPr>
              <w:t>完成</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日常工作务工各项任务，确保了有效推进全县</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的开展</w:t>
            </w:r>
            <w:r>
              <w:rPr>
                <w:rFonts w:hint="eastAsia" w:ascii="宋体" w:hAnsi="宋体" w:eastAsia="宋体" w:cs="宋体"/>
                <w:color w:val="000000"/>
                <w:sz w:val="18"/>
                <w:szCs w:val="18"/>
                <w:lang w:val="en-US" w:eastAsia="zh-CN"/>
              </w:rPr>
              <w:t>。</w:t>
            </w:r>
          </w:p>
        </w:tc>
      </w:tr>
      <w:tr>
        <w:tblPrEx>
          <w:tblCellMar>
            <w:top w:w="0" w:type="dxa"/>
            <w:left w:w="0" w:type="dxa"/>
            <w:bottom w:w="0" w:type="dxa"/>
            <w:right w:w="0" w:type="dxa"/>
          </w:tblCellMar>
        </w:tblPrEx>
        <w:trPr>
          <w:trHeight w:val="76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反映相关产出带来影响的可持续期限，根据项目实际细化具体指标。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r>
              <w:rPr>
                <w:rFonts w:hint="eastAsia" w:ascii="宋体" w:hAnsi="宋体" w:eastAsia="宋体" w:cs="宋体"/>
                <w:color w:val="000000"/>
                <w:sz w:val="18"/>
                <w:szCs w:val="18"/>
                <w:lang w:val="en-US" w:eastAsia="zh-CN"/>
              </w:rPr>
              <w:t>完成</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日常工作务工各项任务，确保了有效推进全县</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的开展</w:t>
            </w:r>
            <w:r>
              <w:rPr>
                <w:rFonts w:hint="eastAsia" w:ascii="宋体" w:hAnsi="宋体" w:eastAsia="宋体" w:cs="宋体"/>
                <w:color w:val="000000"/>
                <w:sz w:val="18"/>
                <w:szCs w:val="18"/>
                <w:lang w:val="en-US" w:eastAsia="zh-CN"/>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宋体" w:hAnsi="宋体" w:eastAsia="宋体" w:cs="宋体"/>
                <w:color w:val="000000"/>
                <w:sz w:val="18"/>
                <w:szCs w:val="18"/>
                <w:lang w:val="en-US" w:eastAsia="zh-CN"/>
              </w:rPr>
              <w:t>完成</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日常工作务工各项任务，确保了有效推进全县</w:t>
            </w:r>
            <w:r>
              <w:rPr>
                <w:rFonts w:hint="eastAsia" w:ascii="宋体" w:hAnsi="宋体" w:eastAsia="宋体" w:cs="宋体"/>
                <w:i w:val="0"/>
                <w:caps w:val="0"/>
                <w:color w:val="333333"/>
                <w:spacing w:val="0"/>
                <w:sz w:val="18"/>
                <w:szCs w:val="18"/>
                <w:shd w:val="clear" w:fill="FFFFFF"/>
              </w:rPr>
              <w:t>“三电”工作</w:t>
            </w:r>
            <w:r>
              <w:rPr>
                <w:rFonts w:hint="eastAsia" w:ascii="宋体" w:hAnsi="宋体" w:eastAsia="宋体" w:cs="宋体"/>
                <w:b w:val="0"/>
                <w:bCs w:val="0"/>
                <w:sz w:val="18"/>
                <w:szCs w:val="18"/>
                <w:lang w:val="en-US" w:eastAsia="zh-CN"/>
              </w:rPr>
              <w:t>的开展</w:t>
            </w:r>
            <w:r>
              <w:rPr>
                <w:rFonts w:hint="eastAsia" w:ascii="宋体" w:hAnsi="宋体" w:eastAsia="宋体" w:cs="宋体"/>
                <w:color w:val="000000"/>
                <w:sz w:val="18"/>
                <w:szCs w:val="18"/>
                <w:lang w:val="en-US" w:eastAsia="zh-CN"/>
              </w:rPr>
              <w:t>。</w:t>
            </w:r>
          </w:p>
        </w:tc>
      </w:tr>
      <w:tr>
        <w:tblPrEx>
          <w:tblCellMar>
            <w:top w:w="0" w:type="dxa"/>
            <w:left w:w="0" w:type="dxa"/>
            <w:bottom w:w="0" w:type="dxa"/>
            <w:right w:w="0" w:type="dxa"/>
          </w:tblCellMar>
        </w:tblPrEx>
        <w:trPr>
          <w:trHeight w:val="108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反映服务对象或项目受益人对相关产出及其影响的认可程度，根据项目实际细化具体指标。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群众满意度高，使用效益高</w:t>
            </w:r>
          </w:p>
        </w:tc>
      </w:tr>
    </w:tbl>
    <w:p>
      <w:pPr>
        <w:rPr>
          <w:rFonts w:hint="eastAsia" w:asciiTheme="minorEastAsia" w:hAnsiTheme="minorEastAsia" w:eastAsiaTheme="minorEastAsia" w:cstheme="minorEastAsia"/>
          <w:sz w:val="18"/>
          <w:szCs w:val="18"/>
        </w:rPr>
      </w:pPr>
    </w:p>
    <w:p>
      <w:pPr>
        <w:spacing w:line="580" w:lineRule="exact"/>
        <w:ind w:firstLine="2168" w:firstLineChars="600"/>
        <w:rPr>
          <w:rFonts w:hint="eastAsia" w:ascii="宋体" w:hAnsi="宋体" w:cs="宋体"/>
          <w:b/>
          <w:bCs/>
          <w:color w:val="000000"/>
          <w:kern w:val="0"/>
          <w:sz w:val="36"/>
          <w:szCs w:val="36"/>
          <w:lang w:val="en-US" w:eastAsia="zh-CN"/>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val="en-US" w:eastAsia="zh-CN"/>
        </w:rPr>
        <w:t>2</w:t>
      </w:r>
    </w:p>
    <w:tbl>
      <w:tblPr>
        <w:tblStyle w:val="19"/>
        <w:tblW w:w="9369" w:type="dxa"/>
        <w:jc w:val="center"/>
        <w:tblLayout w:type="fixed"/>
        <w:tblCellMar>
          <w:top w:w="0" w:type="dxa"/>
          <w:left w:w="0" w:type="dxa"/>
          <w:bottom w:w="0" w:type="dxa"/>
          <w:right w:w="0" w:type="dxa"/>
        </w:tblCellMar>
      </w:tblPr>
      <w:tblGrid>
        <w:gridCol w:w="565"/>
        <w:gridCol w:w="1246"/>
        <w:gridCol w:w="1022"/>
        <w:gridCol w:w="1096"/>
        <w:gridCol w:w="796"/>
        <w:gridCol w:w="1711"/>
        <w:gridCol w:w="1586"/>
        <w:gridCol w:w="1347"/>
      </w:tblGrid>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仿宋" w:hAnsi="仿宋" w:eastAsia="仿宋" w:cs="仿宋"/>
                <w:b w:val="0"/>
                <w:bCs w:val="0"/>
                <w:sz w:val="32"/>
                <w:szCs w:val="32"/>
                <w:lang w:val="en-US" w:eastAsia="zh-CN"/>
              </w:rPr>
              <w:t>扫黑工作经费</w:t>
            </w:r>
            <w:r>
              <w:rPr>
                <w:rFonts w:hint="eastAsia" w:ascii="仿宋_GB2312" w:hAnsi="仿宋_GB2312" w:eastAsia="仿宋_GB2312" w:cs="仿宋_GB2312"/>
                <w:sz w:val="32"/>
                <w:szCs w:val="32"/>
              </w:rPr>
              <w:t>项目</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eastAsia="zh-CN"/>
              </w:rPr>
              <w:t>红原县委政法委</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预算执行情况(万元</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11.39</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kern w:val="0"/>
                <w:sz w:val="18"/>
                <w:szCs w:val="18"/>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11.39</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11.39</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kern w:val="0"/>
                <w:sz w:val="18"/>
                <w:szCs w:val="18"/>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11.39</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0</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年度目标完成情况</w:t>
            </w:r>
          </w:p>
        </w:tc>
        <w:tc>
          <w:tcPr>
            <w:tcW w:w="33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预期目标</w:t>
            </w:r>
          </w:p>
        </w:tc>
        <w:tc>
          <w:tcPr>
            <w:tcW w:w="54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实际完成目标</w:t>
            </w:r>
          </w:p>
        </w:tc>
      </w:tr>
      <w:tr>
        <w:tblPrEx>
          <w:tblCellMar>
            <w:top w:w="0" w:type="dxa"/>
            <w:left w:w="0" w:type="dxa"/>
            <w:bottom w:w="0" w:type="dxa"/>
            <w:right w:w="0" w:type="dxa"/>
          </w:tblCellMar>
        </w:tblPrEx>
        <w:trPr>
          <w:trHeight w:val="19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33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80" w:lineRule="exact"/>
              <w:ind w:firstLine="360" w:firstLineChars="200"/>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全面完成扫黑工作各项任务，促进全县的社会持续稳定。</w:t>
            </w:r>
          </w:p>
          <w:p>
            <w:pPr>
              <w:widowControl/>
              <w:jc w:val="center"/>
              <w:textAlignment w:val="center"/>
              <w:rPr>
                <w:rFonts w:hint="eastAsia" w:ascii="宋体" w:hAnsi="Times New Roman" w:eastAsia="宋体" w:cs="宋体"/>
                <w:color w:val="000000"/>
                <w:kern w:val="2"/>
                <w:sz w:val="18"/>
                <w:szCs w:val="18"/>
                <w:lang w:val="en-US" w:eastAsia="zh-CN" w:bidi="ar-SA"/>
              </w:rPr>
            </w:pPr>
          </w:p>
        </w:tc>
        <w:tc>
          <w:tcPr>
            <w:tcW w:w="54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80" w:lineRule="exact"/>
              <w:ind w:firstLine="360" w:firstLineChars="200"/>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全面完成扫黑工作各项任务，促进全县的社会持续稳定。</w:t>
            </w:r>
          </w:p>
          <w:p>
            <w:pPr>
              <w:widowControl/>
              <w:jc w:val="center"/>
              <w:textAlignment w:val="center"/>
              <w:rPr>
                <w:rFonts w:hint="eastAsia" w:ascii="宋体" w:hAnsi="Times New Roman" w:eastAsia="宋体" w:cs="宋体"/>
                <w:color w:val="000000"/>
                <w:kern w:val="2"/>
                <w:sz w:val="18"/>
                <w:szCs w:val="18"/>
                <w:lang w:val="en-US" w:eastAsia="zh-CN" w:bidi="ar-SA"/>
              </w:rPr>
            </w:pP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绩效指标完成情况</w:t>
            </w: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6540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18" name="直接连接符_10"/>
                  <wp:cNvGraphicFramePr/>
                  <a:graphic xmlns:a="http://schemas.openxmlformats.org/drawingml/2006/main">
                    <a:graphicData uri="http://schemas.openxmlformats.org/drawingml/2006/picture">
                      <pic:pic xmlns:pic="http://schemas.openxmlformats.org/drawingml/2006/picture">
                        <pic:nvPicPr>
                          <pic:cNvPr id="1118"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664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19" name="直接连接符_8"/>
                  <wp:cNvGraphicFramePr/>
                  <a:graphic xmlns:a="http://schemas.openxmlformats.org/drawingml/2006/main">
                    <a:graphicData uri="http://schemas.openxmlformats.org/drawingml/2006/picture">
                      <pic:pic xmlns:pic="http://schemas.openxmlformats.org/drawingml/2006/picture">
                        <pic:nvPicPr>
                          <pic:cNvPr id="1119"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20" name="直接连接符_9"/>
                  <wp:cNvGraphicFramePr/>
                  <a:graphic xmlns:a="http://schemas.openxmlformats.org/drawingml/2006/main">
                    <a:graphicData uri="http://schemas.openxmlformats.org/drawingml/2006/picture">
                      <pic:pic xmlns:pic="http://schemas.openxmlformats.org/drawingml/2006/picture">
                        <pic:nvPicPr>
                          <pic:cNvPr id="1120"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21" name="直接连接符_7"/>
                  <wp:cNvGraphicFramePr/>
                  <a:graphic xmlns:a="http://schemas.openxmlformats.org/drawingml/2006/main">
                    <a:graphicData uri="http://schemas.openxmlformats.org/drawingml/2006/picture">
                      <pic:pic xmlns:pic="http://schemas.openxmlformats.org/drawingml/2006/picture">
                        <pic:nvPicPr>
                          <pic:cNvPr id="1121"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二级指标</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三级指标</w:t>
            </w:r>
          </w:p>
        </w:tc>
        <w:tc>
          <w:tcPr>
            <w:tcW w:w="25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指标评价内容</w:t>
            </w:r>
          </w:p>
        </w:tc>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25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312"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25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2187"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绩效目标</w:t>
            </w: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目标内容</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项目预期提供的产品、服务、效益或其他目标明确,即绩效目标实际明确个数/应当明确个数×100%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80" w:lineRule="exact"/>
              <w:ind w:firstLine="360" w:firstLineChars="200"/>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全面完成扫黑工作各项任务，促进全县的社会持续稳定。</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80" w:lineRule="exact"/>
              <w:ind w:firstLine="360" w:firstLineChars="200"/>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全面完成扫黑工作各项任务，促进全县的社会持续稳定。</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64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进度计划</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项目计划实施进度明确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按时完工</w:t>
            </w:r>
          </w:p>
        </w:tc>
      </w:tr>
      <w:tr>
        <w:tblPrEx>
          <w:tblCellMar>
            <w:top w:w="0" w:type="dxa"/>
            <w:left w:w="0" w:type="dxa"/>
            <w:bottom w:w="0" w:type="dxa"/>
            <w:right w:w="0" w:type="dxa"/>
          </w:tblCellMar>
        </w:tblPrEx>
        <w:trPr>
          <w:trHeight w:val="69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目标匹配</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绩效目标设定符合实际需求的抽样项目点个数/抽样项目点总数×100%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决策依据</w:t>
            </w: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政策依据</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项目符合党中央、国务院和省委、省政府决策部署；符合当前经济社会发展需要</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实施规划</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连续性项目根据需要制定中长期实施规划</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实施规划符合实际，并根据情况变化适时调整</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管理制度</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制定项目资金管理办法</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r>
      <w:tr>
        <w:tblPrEx>
          <w:tblCellMar>
            <w:top w:w="0" w:type="dxa"/>
            <w:left w:w="0" w:type="dxa"/>
            <w:bottom w:w="0" w:type="dxa"/>
            <w:right w:w="0" w:type="dxa"/>
          </w:tblCellMar>
        </w:tblPrEx>
        <w:trPr>
          <w:trHeight w:val="75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项目资金分配决策程序明确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82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资金分配</w:t>
            </w: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分配方法</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资金分配方法是否科学合理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分配过程</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分配过程符合相关规定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分配结果</w:t>
            </w: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审核把关</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符合申报条件的抽样项目点个数/抽样项目点总数×100%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1个</w:t>
            </w:r>
          </w:p>
        </w:tc>
      </w:tr>
      <w:tr>
        <w:tblPrEx>
          <w:tblCellMar>
            <w:top w:w="0" w:type="dxa"/>
            <w:left w:w="0" w:type="dxa"/>
            <w:bottom w:w="0" w:type="dxa"/>
            <w:right w:w="0" w:type="dxa"/>
          </w:tblCellMar>
        </w:tblPrEx>
        <w:trPr>
          <w:trHeight w:val="10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资金集中</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财政资金占项目资金总额比重较小项目个数/项目总数×100%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73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（均衡）</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按实际分配结果选择客观因素测算验证资金分配方法制定、分配要素设定、基础数据应用、测算依据选取等是否科学合理（2分）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4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 xml:space="preserve"> 资金到位</w:t>
            </w: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分配时效</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县级主管部门按规定及时分配资金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44"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资金拨付</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按规定及时拨付资金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 xml:space="preserve">资金管理  </w:t>
            </w: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使用范围</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资金使用是否合规</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支付依据</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资金支付依据符合规定，即支付依旧合规资金量/资金总量×100%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开支标准</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资金开支标准符合规定，即开支标准合规资金量/资金总量×100%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3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财务管理</w:t>
            </w: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财务制度</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财务制度健全，管理规范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会计核算</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会计核算规范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组织实施（4分）</w:t>
            </w: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项目调整</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项目调整严格履行相关手续</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8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投资变更</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项目投资变更额/项目总投入×100%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制度执行</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严格执行项目有关制度规定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bdr w:val="single" w:color="000000" w:sz="4" w:space="0"/>
                <w14:textFill>
                  <w14:solidFill>
                    <w14:schemeClr w14:val="tx1"/>
                  </w14:solidFill>
                </w14:textFill>
              </w:rPr>
              <w:drawing>
                <wp:anchor distT="0" distB="0" distL="114300" distR="114300" simplePos="0" relativeHeight="25166950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122" name="直接连接符_6"/>
                  <wp:cNvGraphicFramePr/>
                  <a:graphic xmlns:a="http://schemas.openxmlformats.org/drawingml/2006/main">
                    <a:graphicData uri="http://schemas.openxmlformats.org/drawingml/2006/picture">
                      <pic:pic xmlns:pic="http://schemas.openxmlformats.org/drawingml/2006/picture">
                        <pic:nvPicPr>
                          <pic:cNvPr id="1122"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bdr w:val="single" w:color="000000" w:sz="4" w:space="0"/>
                <w14:textFill>
                  <w14:solidFill>
                    <w14:schemeClr w14:val="tx1"/>
                  </w14:solidFill>
                </w14:textFill>
              </w:rPr>
              <w:drawing>
                <wp:anchor distT="0" distB="0" distL="114300" distR="114300" simplePos="0" relativeHeight="251670528"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123" name="直接连接符_5"/>
                  <wp:cNvGraphicFramePr/>
                  <a:graphic xmlns:a="http://schemas.openxmlformats.org/drawingml/2006/main">
                    <a:graphicData uri="http://schemas.openxmlformats.org/drawingml/2006/picture">
                      <pic:pic xmlns:pic="http://schemas.openxmlformats.org/drawingml/2006/picture">
                        <pic:nvPicPr>
                          <pic:cNvPr id="1123"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项目完成</w:t>
            </w: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完成数量</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实际完成任务量/绩效目标设定任务量×100%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完成质量</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符合绩效目标设定的验收标准，达到行业基准水平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r>
      <w:tr>
        <w:tblPrEx>
          <w:tblCellMar>
            <w:top w:w="0" w:type="dxa"/>
            <w:left w:w="0" w:type="dxa"/>
            <w:bottom w:w="0" w:type="dxa"/>
            <w:right w:w="0" w:type="dxa"/>
          </w:tblCellMar>
        </w:tblPrEx>
        <w:trPr>
          <w:trHeight w:val="80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完成时效</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（实际完成时间-绩效目标设定完成时间）/绩效目标设定完成时间×100%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完成成本</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（实际完成成本-预计完成成本）/预计完成成本×100%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7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项目效益</w:t>
            </w: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经济效益</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反映相关产出对经济社会发展带来的影响和效果，根据项目实际细化具体指标。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80" w:lineRule="exact"/>
              <w:ind w:firstLine="360" w:firstLineChars="200"/>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全面完成扫黑工作各项任务，促进全县的社会持续稳定。</w:t>
            </w:r>
          </w:p>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80" w:lineRule="exact"/>
              <w:ind w:firstLine="360" w:firstLineChars="200"/>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全面完成扫黑工作各项任务，促进全县的社会持续稳定。</w:t>
            </w:r>
          </w:p>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r>
      <w:tr>
        <w:tblPrEx>
          <w:tblCellMar>
            <w:top w:w="0" w:type="dxa"/>
            <w:left w:w="0" w:type="dxa"/>
            <w:bottom w:w="0" w:type="dxa"/>
            <w:right w:w="0" w:type="dxa"/>
          </w:tblCellMar>
        </w:tblPrEx>
        <w:trPr>
          <w:trHeight w:val="1276"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社会效益</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80" w:lineRule="exact"/>
              <w:ind w:firstLine="360" w:firstLineChars="200"/>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全面完成扫黑工作各项任务，促进全县的社会持续稳定。</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80" w:lineRule="exact"/>
              <w:ind w:firstLine="360" w:firstLineChars="200"/>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全面完成扫黑工作各项任务，促进全县的社会持续稳定。</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2283"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生态效益</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反映相关产出对自然环境带来的影响和效果，根据项目实际细化具体指标。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80" w:lineRule="exact"/>
              <w:ind w:firstLine="360" w:firstLineChars="200"/>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全面完成扫黑工作各项任务，促进全县的社会持续稳定。</w:t>
            </w:r>
          </w:p>
          <w:p>
            <w:pPr>
              <w:widowControl/>
              <w:jc w:val="center"/>
              <w:textAlignment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80" w:lineRule="exact"/>
              <w:ind w:firstLine="360" w:firstLineChars="200"/>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全面完成扫黑工作各项任务，促进全县的社会持续稳定。</w:t>
            </w:r>
          </w:p>
          <w:p>
            <w:pPr>
              <w:widowControl/>
              <w:jc w:val="center"/>
              <w:textAlignment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p>
        </w:tc>
      </w:tr>
      <w:tr>
        <w:tblPrEx>
          <w:tblCellMar>
            <w:top w:w="0" w:type="dxa"/>
            <w:left w:w="0" w:type="dxa"/>
            <w:bottom w:w="0" w:type="dxa"/>
            <w:right w:w="0" w:type="dxa"/>
          </w:tblCellMar>
        </w:tblPrEx>
        <w:trPr>
          <w:trHeight w:val="2242"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可持续效益</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反映相关产出带来影响的可持续期限，根据项目实际细化具体指标。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80" w:lineRule="exact"/>
              <w:ind w:firstLine="360" w:firstLineChars="200"/>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全面完成扫黑工作各项任务，促进全县的社会持续稳定。</w:t>
            </w:r>
          </w:p>
          <w:p>
            <w:pPr>
              <w:widowControl/>
              <w:jc w:val="center"/>
              <w:textAlignment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80" w:lineRule="exact"/>
              <w:ind w:firstLine="360" w:firstLineChars="200"/>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全面完成扫黑工作各项任务，促进全县的社会持续稳定。</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108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满意度</w:t>
            </w:r>
          </w:p>
        </w:tc>
        <w:tc>
          <w:tcPr>
            <w:tcW w:w="1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服务对象满意度</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反映服务对象或项目受益人对相关产出及其影响的认可程度，根据项目实际细化具体指标。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群众满意度高，使用效益高</w:t>
            </w:r>
          </w:p>
        </w:tc>
      </w:tr>
    </w:tbl>
    <w:p>
      <w:pPr>
        <w:spacing w:line="580" w:lineRule="exact"/>
        <w:ind w:firstLine="2168" w:firstLineChars="600"/>
        <w:rPr>
          <w:rFonts w:hint="eastAsia" w:ascii="宋体" w:hAnsi="宋体" w:cs="宋体"/>
          <w:b/>
          <w:bCs/>
          <w:color w:val="000000"/>
          <w:kern w:val="0"/>
          <w:sz w:val="36"/>
          <w:szCs w:val="36"/>
          <w:lang w:val="en-US" w:eastAsia="zh-CN"/>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val="en-US" w:eastAsia="zh-CN"/>
        </w:rPr>
        <w:t>3</w:t>
      </w:r>
    </w:p>
    <w:tbl>
      <w:tblPr>
        <w:tblStyle w:val="19"/>
        <w:tblW w:w="9369" w:type="dxa"/>
        <w:jc w:val="center"/>
        <w:tblLayout w:type="fixed"/>
        <w:tblCellMar>
          <w:top w:w="0" w:type="dxa"/>
          <w:left w:w="0" w:type="dxa"/>
          <w:bottom w:w="0" w:type="dxa"/>
          <w:right w:w="0" w:type="dxa"/>
        </w:tblCellMar>
      </w:tblPr>
      <w:tblGrid>
        <w:gridCol w:w="565"/>
        <w:gridCol w:w="1246"/>
        <w:gridCol w:w="1022"/>
        <w:gridCol w:w="737"/>
        <w:gridCol w:w="1155"/>
        <w:gridCol w:w="1711"/>
        <w:gridCol w:w="1586"/>
        <w:gridCol w:w="1347"/>
      </w:tblGrid>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仿宋_GB2312" w:hAnsi="仿宋_GB2312" w:eastAsia="仿宋_GB2312" w:cs="仿宋_GB2312"/>
                <w:i w:val="0"/>
                <w:caps w:val="0"/>
                <w:color w:val="333333"/>
                <w:spacing w:val="0"/>
                <w:sz w:val="32"/>
                <w:szCs w:val="32"/>
                <w:shd w:val="clear" w:fill="FFFFFF"/>
              </w:rPr>
              <w:t>大调解工作</w:t>
            </w:r>
            <w:r>
              <w:rPr>
                <w:rFonts w:hint="eastAsia" w:ascii="仿宋_GB2312" w:hAnsi="仿宋_GB2312" w:eastAsia="仿宋_GB2312" w:cs="仿宋_GB2312"/>
                <w:i w:val="0"/>
                <w:caps w:val="0"/>
                <w:color w:val="333333"/>
                <w:spacing w:val="0"/>
                <w:sz w:val="32"/>
                <w:szCs w:val="32"/>
                <w:shd w:val="clear" w:fill="FFFFFF"/>
                <w:lang w:eastAsia="zh-CN"/>
              </w:rPr>
              <w:t>经费</w:t>
            </w:r>
            <w:r>
              <w:rPr>
                <w:rFonts w:hint="eastAsia" w:ascii="仿宋_GB2312" w:hAnsi="仿宋_GB2312" w:eastAsia="仿宋_GB2312" w:cs="仿宋_GB2312"/>
                <w:sz w:val="32"/>
                <w:szCs w:val="32"/>
              </w:rPr>
              <w:t>项目</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eastAsia="zh-CN"/>
              </w:rPr>
              <w:t>红原县委政法委</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预算执行情况(万元</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6.14</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kern w:val="0"/>
                <w:sz w:val="18"/>
                <w:szCs w:val="18"/>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6.14</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6.14</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kern w:val="0"/>
                <w:sz w:val="18"/>
                <w:szCs w:val="18"/>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6.14</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0</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年度目标完成情况</w:t>
            </w:r>
          </w:p>
        </w:tc>
        <w:tc>
          <w:tcPr>
            <w:tcW w:w="3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实际完成目标</w:t>
            </w:r>
          </w:p>
        </w:tc>
      </w:tr>
      <w:tr>
        <w:tblPrEx>
          <w:tblCellMar>
            <w:top w:w="0" w:type="dxa"/>
            <w:left w:w="0" w:type="dxa"/>
            <w:bottom w:w="0" w:type="dxa"/>
            <w:right w:w="0" w:type="dxa"/>
          </w:tblCellMar>
        </w:tblPrEx>
        <w:trPr>
          <w:trHeight w:val="19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3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sz w:val="21"/>
                <w:szCs w:val="21"/>
              </w:rPr>
            </w:pPr>
            <w:r>
              <w:rPr>
                <w:rFonts w:hint="eastAsia" w:ascii="仿宋" w:hAnsi="仿宋" w:eastAsia="仿宋" w:cs="仿宋"/>
                <w:b w:val="0"/>
                <w:bCs w:val="0"/>
                <w:sz w:val="21"/>
                <w:szCs w:val="21"/>
                <w:lang w:val="en-US" w:eastAsia="zh-CN"/>
              </w:rPr>
              <w:t>通过</w:t>
            </w:r>
            <w:r>
              <w:rPr>
                <w:rFonts w:hint="eastAsia" w:ascii="仿宋_GB2312" w:hAnsi="仿宋_GB2312" w:eastAsia="仿宋_GB2312" w:cs="仿宋_GB2312"/>
                <w:i w:val="0"/>
                <w:caps w:val="0"/>
                <w:color w:val="333333"/>
                <w:spacing w:val="0"/>
                <w:sz w:val="21"/>
                <w:szCs w:val="21"/>
                <w:shd w:val="clear" w:fill="FFFFFF"/>
              </w:rPr>
              <w:t>完善多元化解机制，采取多种化解方式，及时主动调处化解各类矛盾纠纷。</w:t>
            </w:r>
            <w:r>
              <w:rPr>
                <w:rFonts w:hint="eastAsia" w:ascii="仿宋_GB2312" w:hAnsi="仿宋_GB2312" w:eastAsia="仿宋_GB2312" w:cs="仿宋_GB2312"/>
                <w:i w:val="0"/>
                <w:caps w:val="0"/>
                <w:color w:val="333333"/>
                <w:spacing w:val="0"/>
                <w:sz w:val="21"/>
                <w:szCs w:val="21"/>
                <w:shd w:val="clear" w:fill="FFFFFF"/>
                <w:lang w:eastAsia="zh-CN"/>
              </w:rPr>
              <w:t>有效</w:t>
            </w:r>
            <w:r>
              <w:rPr>
                <w:rFonts w:hint="eastAsia" w:ascii="仿宋_GB2312" w:hAnsi="仿宋_GB2312" w:eastAsia="仿宋_GB2312" w:cs="仿宋_GB2312"/>
                <w:i w:val="0"/>
                <w:caps w:val="0"/>
                <w:color w:val="333333"/>
                <w:spacing w:val="0"/>
                <w:sz w:val="21"/>
                <w:szCs w:val="21"/>
                <w:shd w:val="clear" w:fill="FFFFFF"/>
              </w:rPr>
              <w:t>提升源头防范化解矛盾纠纷能力</w:t>
            </w:r>
            <w:r>
              <w:rPr>
                <w:rFonts w:hint="eastAsia" w:ascii="仿宋_GB2312" w:hAnsi="仿宋_GB2312" w:eastAsia="仿宋_GB2312" w:cs="仿宋_GB2312"/>
                <w:i w:val="0"/>
                <w:caps w:val="0"/>
                <w:color w:val="333333"/>
                <w:spacing w:val="0"/>
                <w:sz w:val="21"/>
                <w:szCs w:val="21"/>
                <w:shd w:val="clear" w:fill="FFFFFF"/>
                <w:lang w:eastAsia="zh-CN"/>
              </w:rPr>
              <w:t>，</w:t>
            </w:r>
            <w:r>
              <w:rPr>
                <w:rFonts w:hint="eastAsia" w:ascii="仿宋_GB2312" w:hAnsi="仿宋_GB2312" w:eastAsia="仿宋_GB2312" w:cs="仿宋_GB2312"/>
                <w:sz w:val="21"/>
                <w:szCs w:val="21"/>
              </w:rPr>
              <w:t>保障</w:t>
            </w:r>
            <w:r>
              <w:rPr>
                <w:rFonts w:hint="eastAsia" w:ascii="仿宋_GB2312" w:hAnsi="仿宋_GB2312" w:eastAsia="仿宋_GB2312" w:cs="仿宋_GB2312"/>
                <w:i w:val="0"/>
                <w:caps w:val="0"/>
                <w:color w:val="333333"/>
                <w:spacing w:val="0"/>
                <w:sz w:val="21"/>
                <w:szCs w:val="21"/>
                <w:shd w:val="clear" w:fill="FFFFFF"/>
              </w:rPr>
              <w:t>大调解工作</w:t>
            </w:r>
            <w:r>
              <w:rPr>
                <w:rFonts w:hint="eastAsia" w:ascii="仿宋" w:hAnsi="仿宋" w:eastAsia="仿宋" w:cs="仿宋"/>
                <w:b w:val="0"/>
                <w:bCs w:val="0"/>
                <w:sz w:val="21"/>
                <w:szCs w:val="21"/>
                <w:lang w:val="en-US" w:eastAsia="zh-CN"/>
              </w:rPr>
              <w:t>顺利开展。</w:t>
            </w:r>
          </w:p>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sz w:val="21"/>
                <w:szCs w:val="21"/>
              </w:rPr>
            </w:pPr>
            <w:r>
              <w:rPr>
                <w:rFonts w:hint="eastAsia" w:ascii="仿宋" w:hAnsi="仿宋" w:eastAsia="仿宋" w:cs="仿宋"/>
                <w:b w:val="0"/>
                <w:bCs w:val="0"/>
                <w:sz w:val="21"/>
                <w:szCs w:val="21"/>
                <w:lang w:val="en-US" w:eastAsia="zh-CN"/>
              </w:rPr>
              <w:t>通过</w:t>
            </w:r>
            <w:r>
              <w:rPr>
                <w:rFonts w:hint="eastAsia" w:ascii="仿宋_GB2312" w:hAnsi="仿宋_GB2312" w:eastAsia="仿宋_GB2312" w:cs="仿宋_GB2312"/>
                <w:i w:val="0"/>
                <w:caps w:val="0"/>
                <w:color w:val="333333"/>
                <w:spacing w:val="0"/>
                <w:sz w:val="21"/>
                <w:szCs w:val="21"/>
                <w:shd w:val="clear" w:fill="FFFFFF"/>
              </w:rPr>
              <w:t>完善多元化解机制，采取多种化解方式，及时主动调处化解各类矛盾纠纷。</w:t>
            </w:r>
            <w:r>
              <w:rPr>
                <w:rFonts w:hint="eastAsia" w:ascii="仿宋_GB2312" w:hAnsi="仿宋_GB2312" w:eastAsia="仿宋_GB2312" w:cs="仿宋_GB2312"/>
                <w:i w:val="0"/>
                <w:caps w:val="0"/>
                <w:color w:val="333333"/>
                <w:spacing w:val="0"/>
                <w:sz w:val="21"/>
                <w:szCs w:val="21"/>
                <w:shd w:val="clear" w:fill="FFFFFF"/>
                <w:lang w:eastAsia="zh-CN"/>
              </w:rPr>
              <w:t>有效</w:t>
            </w:r>
            <w:r>
              <w:rPr>
                <w:rFonts w:hint="eastAsia" w:ascii="仿宋_GB2312" w:hAnsi="仿宋_GB2312" w:eastAsia="仿宋_GB2312" w:cs="仿宋_GB2312"/>
                <w:i w:val="0"/>
                <w:caps w:val="0"/>
                <w:color w:val="333333"/>
                <w:spacing w:val="0"/>
                <w:sz w:val="21"/>
                <w:szCs w:val="21"/>
                <w:shd w:val="clear" w:fill="FFFFFF"/>
              </w:rPr>
              <w:t>提升源头防范化解矛盾纠纷能力</w:t>
            </w:r>
            <w:r>
              <w:rPr>
                <w:rFonts w:hint="eastAsia" w:ascii="仿宋_GB2312" w:hAnsi="仿宋_GB2312" w:eastAsia="仿宋_GB2312" w:cs="仿宋_GB2312"/>
                <w:i w:val="0"/>
                <w:caps w:val="0"/>
                <w:color w:val="333333"/>
                <w:spacing w:val="0"/>
                <w:sz w:val="21"/>
                <w:szCs w:val="21"/>
                <w:shd w:val="clear" w:fill="FFFFFF"/>
                <w:lang w:eastAsia="zh-CN"/>
              </w:rPr>
              <w:t>，</w:t>
            </w:r>
            <w:r>
              <w:rPr>
                <w:rFonts w:hint="eastAsia" w:ascii="仿宋_GB2312" w:hAnsi="仿宋_GB2312" w:eastAsia="仿宋_GB2312" w:cs="仿宋_GB2312"/>
                <w:sz w:val="21"/>
                <w:szCs w:val="21"/>
              </w:rPr>
              <w:t>保障</w:t>
            </w:r>
            <w:r>
              <w:rPr>
                <w:rFonts w:hint="eastAsia" w:ascii="仿宋_GB2312" w:hAnsi="仿宋_GB2312" w:eastAsia="仿宋_GB2312" w:cs="仿宋_GB2312"/>
                <w:i w:val="0"/>
                <w:caps w:val="0"/>
                <w:color w:val="333333"/>
                <w:spacing w:val="0"/>
                <w:sz w:val="21"/>
                <w:szCs w:val="21"/>
                <w:shd w:val="clear" w:fill="FFFFFF"/>
              </w:rPr>
              <w:t>大调解工作</w:t>
            </w:r>
            <w:r>
              <w:rPr>
                <w:rFonts w:hint="eastAsia" w:ascii="仿宋" w:hAnsi="仿宋" w:eastAsia="仿宋" w:cs="仿宋"/>
                <w:b w:val="0"/>
                <w:bCs w:val="0"/>
                <w:sz w:val="21"/>
                <w:szCs w:val="21"/>
                <w:lang w:val="en-US" w:eastAsia="zh-CN"/>
              </w:rPr>
              <w:t>顺利开展。</w:t>
            </w:r>
          </w:p>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绩效指标完成情况</w:t>
            </w: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7155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 name="直接连接符_10"/>
                  <wp:cNvGraphicFramePr/>
                  <a:graphic xmlns:a="http://schemas.openxmlformats.org/drawingml/2006/main">
                    <a:graphicData uri="http://schemas.openxmlformats.org/drawingml/2006/picture">
                      <pic:pic xmlns:pic="http://schemas.openxmlformats.org/drawingml/2006/picture">
                        <pic:nvPicPr>
                          <pic:cNvPr id="1"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725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8"/>
                  <wp:cNvGraphicFramePr/>
                  <a:graphic xmlns:a="http://schemas.openxmlformats.org/drawingml/2006/main">
                    <a:graphicData uri="http://schemas.openxmlformats.org/drawingml/2006/picture">
                      <pic:pic xmlns:pic="http://schemas.openxmlformats.org/drawingml/2006/picture">
                        <pic:nvPicPr>
                          <pic:cNvPr id="3"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736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直接连接符_9"/>
                  <wp:cNvGraphicFramePr/>
                  <a:graphic xmlns:a="http://schemas.openxmlformats.org/drawingml/2006/main">
                    <a:graphicData uri="http://schemas.openxmlformats.org/drawingml/2006/picture">
                      <pic:pic xmlns:pic="http://schemas.openxmlformats.org/drawingml/2006/picture">
                        <pic:nvPicPr>
                          <pic:cNvPr id="4"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746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 name="直接连接符_7"/>
                  <wp:cNvGraphicFramePr/>
                  <a:graphic xmlns:a="http://schemas.openxmlformats.org/drawingml/2006/main">
                    <a:graphicData uri="http://schemas.openxmlformats.org/drawingml/2006/picture">
                      <pic:pic xmlns:pic="http://schemas.openxmlformats.org/drawingml/2006/picture">
                        <pic:nvPicPr>
                          <pic:cNvPr id="5"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指标评价内容</w:t>
            </w:r>
          </w:p>
        </w:tc>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312"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1706"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项目预期提供的产品、服务、效益或其他目标明确,即绩效目标实际明确个数/应当明确个数×100%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sz w:val="21"/>
                <w:szCs w:val="21"/>
              </w:rPr>
            </w:pPr>
            <w:r>
              <w:rPr>
                <w:rFonts w:hint="eastAsia" w:ascii="仿宋" w:hAnsi="仿宋" w:eastAsia="仿宋" w:cs="仿宋"/>
                <w:b w:val="0"/>
                <w:bCs w:val="0"/>
                <w:sz w:val="21"/>
                <w:szCs w:val="21"/>
                <w:lang w:val="en-US" w:eastAsia="zh-CN"/>
              </w:rPr>
              <w:t>通过</w:t>
            </w:r>
            <w:r>
              <w:rPr>
                <w:rFonts w:hint="eastAsia" w:ascii="仿宋_GB2312" w:hAnsi="仿宋_GB2312" w:eastAsia="仿宋_GB2312" w:cs="仿宋_GB2312"/>
                <w:i w:val="0"/>
                <w:caps w:val="0"/>
                <w:color w:val="333333"/>
                <w:spacing w:val="0"/>
                <w:sz w:val="21"/>
                <w:szCs w:val="21"/>
                <w:shd w:val="clear" w:fill="FFFFFF"/>
              </w:rPr>
              <w:t>完善多元化解机制，采取多种化解方式，及时主动调处化解各类矛盾纠纷。</w:t>
            </w:r>
            <w:r>
              <w:rPr>
                <w:rFonts w:hint="eastAsia" w:ascii="仿宋_GB2312" w:hAnsi="仿宋_GB2312" w:eastAsia="仿宋_GB2312" w:cs="仿宋_GB2312"/>
                <w:i w:val="0"/>
                <w:caps w:val="0"/>
                <w:color w:val="333333"/>
                <w:spacing w:val="0"/>
                <w:sz w:val="21"/>
                <w:szCs w:val="21"/>
                <w:shd w:val="clear" w:fill="FFFFFF"/>
                <w:lang w:eastAsia="zh-CN"/>
              </w:rPr>
              <w:t>有效</w:t>
            </w:r>
            <w:r>
              <w:rPr>
                <w:rFonts w:hint="eastAsia" w:ascii="仿宋_GB2312" w:hAnsi="仿宋_GB2312" w:eastAsia="仿宋_GB2312" w:cs="仿宋_GB2312"/>
                <w:i w:val="0"/>
                <w:caps w:val="0"/>
                <w:color w:val="333333"/>
                <w:spacing w:val="0"/>
                <w:sz w:val="21"/>
                <w:szCs w:val="21"/>
                <w:shd w:val="clear" w:fill="FFFFFF"/>
              </w:rPr>
              <w:t>提升源头防范化解矛盾纠纷能力</w:t>
            </w:r>
            <w:r>
              <w:rPr>
                <w:rFonts w:hint="eastAsia" w:ascii="仿宋_GB2312" w:hAnsi="仿宋_GB2312" w:eastAsia="仿宋_GB2312" w:cs="仿宋_GB2312"/>
                <w:i w:val="0"/>
                <w:caps w:val="0"/>
                <w:color w:val="333333"/>
                <w:spacing w:val="0"/>
                <w:sz w:val="21"/>
                <w:szCs w:val="21"/>
                <w:shd w:val="clear" w:fill="FFFFFF"/>
                <w:lang w:eastAsia="zh-CN"/>
              </w:rPr>
              <w:t>，</w:t>
            </w:r>
            <w:r>
              <w:rPr>
                <w:rFonts w:hint="eastAsia" w:ascii="仿宋_GB2312" w:hAnsi="仿宋_GB2312" w:eastAsia="仿宋_GB2312" w:cs="仿宋_GB2312"/>
                <w:sz w:val="21"/>
                <w:szCs w:val="21"/>
              </w:rPr>
              <w:t>保障</w:t>
            </w:r>
            <w:r>
              <w:rPr>
                <w:rFonts w:hint="eastAsia" w:ascii="仿宋_GB2312" w:hAnsi="仿宋_GB2312" w:eastAsia="仿宋_GB2312" w:cs="仿宋_GB2312"/>
                <w:i w:val="0"/>
                <w:caps w:val="0"/>
                <w:color w:val="333333"/>
                <w:spacing w:val="0"/>
                <w:sz w:val="21"/>
                <w:szCs w:val="21"/>
                <w:shd w:val="clear" w:fill="FFFFFF"/>
              </w:rPr>
              <w:t>大调解工作</w:t>
            </w:r>
            <w:r>
              <w:rPr>
                <w:rFonts w:hint="eastAsia" w:ascii="仿宋" w:hAnsi="仿宋" w:eastAsia="仿宋" w:cs="仿宋"/>
                <w:b w:val="0"/>
                <w:bCs w:val="0"/>
                <w:sz w:val="21"/>
                <w:szCs w:val="21"/>
                <w:lang w:val="en-US" w:eastAsia="zh-CN"/>
              </w:rPr>
              <w:t>顺利开展。</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sz w:val="21"/>
                <w:szCs w:val="21"/>
              </w:rPr>
            </w:pPr>
            <w:r>
              <w:rPr>
                <w:rFonts w:hint="eastAsia" w:ascii="仿宋" w:hAnsi="仿宋" w:eastAsia="仿宋" w:cs="仿宋"/>
                <w:b w:val="0"/>
                <w:bCs w:val="0"/>
                <w:sz w:val="21"/>
                <w:szCs w:val="21"/>
                <w:lang w:val="en-US" w:eastAsia="zh-CN"/>
              </w:rPr>
              <w:t>通过</w:t>
            </w:r>
            <w:r>
              <w:rPr>
                <w:rFonts w:hint="eastAsia" w:ascii="仿宋_GB2312" w:hAnsi="仿宋_GB2312" w:eastAsia="仿宋_GB2312" w:cs="仿宋_GB2312"/>
                <w:i w:val="0"/>
                <w:caps w:val="0"/>
                <w:color w:val="333333"/>
                <w:spacing w:val="0"/>
                <w:sz w:val="21"/>
                <w:szCs w:val="21"/>
                <w:shd w:val="clear" w:fill="FFFFFF"/>
              </w:rPr>
              <w:t>完善多元化解机制，采取多种化解方式，及时主动调处化解各类矛盾纠纷。</w:t>
            </w:r>
            <w:r>
              <w:rPr>
                <w:rFonts w:hint="eastAsia" w:ascii="仿宋_GB2312" w:hAnsi="仿宋_GB2312" w:eastAsia="仿宋_GB2312" w:cs="仿宋_GB2312"/>
                <w:i w:val="0"/>
                <w:caps w:val="0"/>
                <w:color w:val="333333"/>
                <w:spacing w:val="0"/>
                <w:sz w:val="21"/>
                <w:szCs w:val="21"/>
                <w:shd w:val="clear" w:fill="FFFFFF"/>
                <w:lang w:eastAsia="zh-CN"/>
              </w:rPr>
              <w:t>有效</w:t>
            </w:r>
            <w:r>
              <w:rPr>
                <w:rFonts w:hint="eastAsia" w:ascii="仿宋_GB2312" w:hAnsi="仿宋_GB2312" w:eastAsia="仿宋_GB2312" w:cs="仿宋_GB2312"/>
                <w:i w:val="0"/>
                <w:caps w:val="0"/>
                <w:color w:val="333333"/>
                <w:spacing w:val="0"/>
                <w:sz w:val="21"/>
                <w:szCs w:val="21"/>
                <w:shd w:val="clear" w:fill="FFFFFF"/>
              </w:rPr>
              <w:t>提升源头防范化解矛盾纠纷能力</w:t>
            </w:r>
            <w:r>
              <w:rPr>
                <w:rFonts w:hint="eastAsia" w:ascii="仿宋_GB2312" w:hAnsi="仿宋_GB2312" w:eastAsia="仿宋_GB2312" w:cs="仿宋_GB2312"/>
                <w:i w:val="0"/>
                <w:caps w:val="0"/>
                <w:color w:val="333333"/>
                <w:spacing w:val="0"/>
                <w:sz w:val="21"/>
                <w:szCs w:val="21"/>
                <w:shd w:val="clear" w:fill="FFFFFF"/>
                <w:lang w:eastAsia="zh-CN"/>
              </w:rPr>
              <w:t>，</w:t>
            </w:r>
            <w:r>
              <w:rPr>
                <w:rFonts w:hint="eastAsia" w:ascii="仿宋_GB2312" w:hAnsi="仿宋_GB2312" w:eastAsia="仿宋_GB2312" w:cs="仿宋_GB2312"/>
                <w:sz w:val="21"/>
                <w:szCs w:val="21"/>
              </w:rPr>
              <w:t>保障</w:t>
            </w:r>
            <w:r>
              <w:rPr>
                <w:rFonts w:hint="eastAsia" w:ascii="仿宋_GB2312" w:hAnsi="仿宋_GB2312" w:eastAsia="仿宋_GB2312" w:cs="仿宋_GB2312"/>
                <w:i w:val="0"/>
                <w:caps w:val="0"/>
                <w:color w:val="333333"/>
                <w:spacing w:val="0"/>
                <w:sz w:val="21"/>
                <w:szCs w:val="21"/>
                <w:shd w:val="clear" w:fill="FFFFFF"/>
              </w:rPr>
              <w:t>大调解工作</w:t>
            </w:r>
            <w:r>
              <w:rPr>
                <w:rFonts w:hint="eastAsia" w:ascii="仿宋" w:hAnsi="仿宋" w:eastAsia="仿宋" w:cs="仿宋"/>
                <w:b w:val="0"/>
                <w:bCs w:val="0"/>
                <w:sz w:val="21"/>
                <w:szCs w:val="21"/>
                <w:lang w:val="en-US" w:eastAsia="zh-CN"/>
              </w:rPr>
              <w:t>顺利开展。</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64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项目计划实施进度明确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按时完工</w:t>
            </w:r>
          </w:p>
        </w:tc>
      </w:tr>
      <w:tr>
        <w:tblPrEx>
          <w:tblCellMar>
            <w:top w:w="0" w:type="dxa"/>
            <w:left w:w="0" w:type="dxa"/>
            <w:bottom w:w="0" w:type="dxa"/>
            <w:right w:w="0" w:type="dxa"/>
          </w:tblCellMar>
        </w:tblPrEx>
        <w:trPr>
          <w:trHeight w:val="69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绩效目标设定符合实际需求的抽样项目点个数/抽样项目点总数×100%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项目符合党中央、国务院和省委、省政府决策部署；符合当前经济社会发展需要</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连续性项目根据需要制定中长期实施规划</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实施规划符合实际，并根据情况变化适时调整</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制定项目资金管理办法</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r>
      <w:tr>
        <w:tblPrEx>
          <w:tblCellMar>
            <w:top w:w="0" w:type="dxa"/>
            <w:left w:w="0" w:type="dxa"/>
            <w:bottom w:w="0" w:type="dxa"/>
            <w:right w:w="0" w:type="dxa"/>
          </w:tblCellMar>
        </w:tblPrEx>
        <w:trPr>
          <w:trHeight w:val="75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项目资金分配决策程序明确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82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资金分配方法是否科学合理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分配过程符合相关规定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符合申报条件的抽样项目点个数/抽样项目点总数×100%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1个</w:t>
            </w:r>
          </w:p>
        </w:tc>
      </w:tr>
      <w:tr>
        <w:tblPrEx>
          <w:tblCellMar>
            <w:top w:w="0" w:type="dxa"/>
            <w:left w:w="0" w:type="dxa"/>
            <w:bottom w:w="0" w:type="dxa"/>
            <w:right w:w="0" w:type="dxa"/>
          </w:tblCellMar>
        </w:tblPrEx>
        <w:trPr>
          <w:trHeight w:val="10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财政资金占项目资金总额比重较小项目个数/项目总数×100%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73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按实际分配结果选择客观因素测算验证资金分配方法制定、分配要素设定、基础数据应用、测算依据选取等是否科学合理（2分）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4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县级主管部门按规定及时分配资金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44"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按规定及时拨付资金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资金使用是否合规</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资金支付依据符合规定，即支付依旧合规资金量/资金总量×100%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资金开支标准符合规定，即开支标准合规资金量/资金总量×100%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3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财务制度健全，管理规范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会计核算规范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项目调整严格履行相关手续</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8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项目投资变更额/项目总投入×100%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严格执行项目有关制度规定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bdr w:val="single" w:color="000000" w:sz="4" w:space="0"/>
                <w14:textFill>
                  <w14:solidFill>
                    <w14:schemeClr w14:val="tx1"/>
                  </w14:solidFill>
                </w14:textFill>
              </w:rPr>
              <w:drawing>
                <wp:anchor distT="0" distB="0" distL="114300" distR="114300" simplePos="0" relativeHeight="25167564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6" name="直接连接符_6"/>
                  <wp:cNvGraphicFramePr/>
                  <a:graphic xmlns:a="http://schemas.openxmlformats.org/drawingml/2006/main">
                    <a:graphicData uri="http://schemas.openxmlformats.org/drawingml/2006/picture">
                      <pic:pic xmlns:pic="http://schemas.openxmlformats.org/drawingml/2006/picture">
                        <pic:nvPicPr>
                          <pic:cNvPr id="6"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bdr w:val="single" w:color="000000" w:sz="4" w:space="0"/>
                <w14:textFill>
                  <w14:solidFill>
                    <w14:schemeClr w14:val="tx1"/>
                  </w14:solidFill>
                </w14:textFill>
              </w:rPr>
              <w:drawing>
                <wp:anchor distT="0" distB="0" distL="114300" distR="114300" simplePos="0" relativeHeight="25167667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7" name="直接连接符_5"/>
                  <wp:cNvGraphicFramePr/>
                  <a:graphic xmlns:a="http://schemas.openxmlformats.org/drawingml/2006/main">
                    <a:graphicData uri="http://schemas.openxmlformats.org/drawingml/2006/picture">
                      <pic:pic xmlns:pic="http://schemas.openxmlformats.org/drawingml/2006/picture">
                        <pic:nvPicPr>
                          <pic:cNvPr id="7"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实际完成任务量/绩效目标设定任务量×100%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符合绩效目标设定的验收标准，达到行业基准水平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r>
      <w:tr>
        <w:tblPrEx>
          <w:tblCellMar>
            <w:top w:w="0" w:type="dxa"/>
            <w:left w:w="0" w:type="dxa"/>
            <w:bottom w:w="0" w:type="dxa"/>
            <w:right w:w="0" w:type="dxa"/>
          </w:tblCellMar>
        </w:tblPrEx>
        <w:trPr>
          <w:trHeight w:val="80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（实际完成时间-绩效目标设定完成时间）/绩效目标设定完成时间×100%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（实际完成成本-预计完成成本）/预计完成成本×100%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7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反映相关产出对经济社会发展带来的影响和效果，根据项目实际细化具体指标。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sz w:val="21"/>
                <w:szCs w:val="21"/>
              </w:rPr>
            </w:pPr>
            <w:r>
              <w:rPr>
                <w:rFonts w:hint="eastAsia" w:ascii="仿宋" w:hAnsi="仿宋" w:eastAsia="仿宋" w:cs="仿宋"/>
                <w:b w:val="0"/>
                <w:bCs w:val="0"/>
                <w:sz w:val="21"/>
                <w:szCs w:val="21"/>
                <w:lang w:val="en-US" w:eastAsia="zh-CN"/>
              </w:rPr>
              <w:t>通过</w:t>
            </w:r>
            <w:r>
              <w:rPr>
                <w:rFonts w:hint="eastAsia" w:ascii="仿宋_GB2312" w:hAnsi="仿宋_GB2312" w:eastAsia="仿宋_GB2312" w:cs="仿宋_GB2312"/>
                <w:i w:val="0"/>
                <w:caps w:val="0"/>
                <w:color w:val="333333"/>
                <w:spacing w:val="0"/>
                <w:sz w:val="21"/>
                <w:szCs w:val="21"/>
                <w:shd w:val="clear" w:fill="FFFFFF"/>
              </w:rPr>
              <w:t>完善多元化解机制，采取多种化解方式，及时主动调处化解各类矛盾纠纷。</w:t>
            </w:r>
            <w:r>
              <w:rPr>
                <w:rFonts w:hint="eastAsia" w:ascii="仿宋_GB2312" w:hAnsi="仿宋_GB2312" w:eastAsia="仿宋_GB2312" w:cs="仿宋_GB2312"/>
                <w:i w:val="0"/>
                <w:caps w:val="0"/>
                <w:color w:val="333333"/>
                <w:spacing w:val="0"/>
                <w:sz w:val="21"/>
                <w:szCs w:val="21"/>
                <w:shd w:val="clear" w:fill="FFFFFF"/>
                <w:lang w:eastAsia="zh-CN"/>
              </w:rPr>
              <w:t>有效</w:t>
            </w:r>
            <w:r>
              <w:rPr>
                <w:rFonts w:hint="eastAsia" w:ascii="仿宋_GB2312" w:hAnsi="仿宋_GB2312" w:eastAsia="仿宋_GB2312" w:cs="仿宋_GB2312"/>
                <w:i w:val="0"/>
                <w:caps w:val="0"/>
                <w:color w:val="333333"/>
                <w:spacing w:val="0"/>
                <w:sz w:val="21"/>
                <w:szCs w:val="21"/>
                <w:shd w:val="clear" w:fill="FFFFFF"/>
              </w:rPr>
              <w:t>提升源头防范化解矛盾纠纷能力</w:t>
            </w:r>
            <w:r>
              <w:rPr>
                <w:rFonts w:hint="eastAsia" w:ascii="仿宋_GB2312" w:hAnsi="仿宋_GB2312" w:eastAsia="仿宋_GB2312" w:cs="仿宋_GB2312"/>
                <w:i w:val="0"/>
                <w:caps w:val="0"/>
                <w:color w:val="333333"/>
                <w:spacing w:val="0"/>
                <w:sz w:val="21"/>
                <w:szCs w:val="21"/>
                <w:shd w:val="clear" w:fill="FFFFFF"/>
                <w:lang w:eastAsia="zh-CN"/>
              </w:rPr>
              <w:t>，</w:t>
            </w:r>
            <w:r>
              <w:rPr>
                <w:rFonts w:hint="eastAsia" w:ascii="仿宋_GB2312" w:hAnsi="仿宋_GB2312" w:eastAsia="仿宋_GB2312" w:cs="仿宋_GB2312"/>
                <w:sz w:val="21"/>
                <w:szCs w:val="21"/>
              </w:rPr>
              <w:t>保障</w:t>
            </w:r>
            <w:r>
              <w:rPr>
                <w:rFonts w:hint="eastAsia" w:ascii="仿宋_GB2312" w:hAnsi="仿宋_GB2312" w:eastAsia="仿宋_GB2312" w:cs="仿宋_GB2312"/>
                <w:i w:val="0"/>
                <w:caps w:val="0"/>
                <w:color w:val="333333"/>
                <w:spacing w:val="0"/>
                <w:sz w:val="21"/>
                <w:szCs w:val="21"/>
                <w:shd w:val="clear" w:fill="FFFFFF"/>
              </w:rPr>
              <w:t>大调解工作</w:t>
            </w:r>
            <w:r>
              <w:rPr>
                <w:rFonts w:hint="eastAsia" w:ascii="仿宋" w:hAnsi="仿宋" w:eastAsia="仿宋" w:cs="仿宋"/>
                <w:b w:val="0"/>
                <w:bCs w:val="0"/>
                <w:sz w:val="21"/>
                <w:szCs w:val="21"/>
                <w:lang w:val="en-US" w:eastAsia="zh-CN"/>
              </w:rPr>
              <w:t>顺利开展。</w:t>
            </w:r>
          </w:p>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sz w:val="21"/>
                <w:szCs w:val="21"/>
              </w:rPr>
            </w:pPr>
            <w:r>
              <w:rPr>
                <w:rFonts w:hint="eastAsia" w:ascii="仿宋" w:hAnsi="仿宋" w:eastAsia="仿宋" w:cs="仿宋"/>
                <w:b w:val="0"/>
                <w:bCs w:val="0"/>
                <w:sz w:val="21"/>
                <w:szCs w:val="21"/>
                <w:lang w:val="en-US" w:eastAsia="zh-CN"/>
              </w:rPr>
              <w:t>通过</w:t>
            </w:r>
            <w:r>
              <w:rPr>
                <w:rFonts w:hint="eastAsia" w:ascii="仿宋_GB2312" w:hAnsi="仿宋_GB2312" w:eastAsia="仿宋_GB2312" w:cs="仿宋_GB2312"/>
                <w:i w:val="0"/>
                <w:caps w:val="0"/>
                <w:color w:val="333333"/>
                <w:spacing w:val="0"/>
                <w:sz w:val="21"/>
                <w:szCs w:val="21"/>
                <w:shd w:val="clear" w:fill="FFFFFF"/>
              </w:rPr>
              <w:t>完善多元化解机制，采取多种化解方式，及时主动调处化解各类矛盾纠纷。</w:t>
            </w:r>
            <w:r>
              <w:rPr>
                <w:rFonts w:hint="eastAsia" w:ascii="仿宋_GB2312" w:hAnsi="仿宋_GB2312" w:eastAsia="仿宋_GB2312" w:cs="仿宋_GB2312"/>
                <w:i w:val="0"/>
                <w:caps w:val="0"/>
                <w:color w:val="333333"/>
                <w:spacing w:val="0"/>
                <w:sz w:val="21"/>
                <w:szCs w:val="21"/>
                <w:shd w:val="clear" w:fill="FFFFFF"/>
                <w:lang w:eastAsia="zh-CN"/>
              </w:rPr>
              <w:t>有效</w:t>
            </w:r>
            <w:r>
              <w:rPr>
                <w:rFonts w:hint="eastAsia" w:ascii="仿宋_GB2312" w:hAnsi="仿宋_GB2312" w:eastAsia="仿宋_GB2312" w:cs="仿宋_GB2312"/>
                <w:i w:val="0"/>
                <w:caps w:val="0"/>
                <w:color w:val="333333"/>
                <w:spacing w:val="0"/>
                <w:sz w:val="21"/>
                <w:szCs w:val="21"/>
                <w:shd w:val="clear" w:fill="FFFFFF"/>
              </w:rPr>
              <w:t>提升源头防范化解矛盾纠纷能力</w:t>
            </w:r>
            <w:r>
              <w:rPr>
                <w:rFonts w:hint="eastAsia" w:ascii="仿宋_GB2312" w:hAnsi="仿宋_GB2312" w:eastAsia="仿宋_GB2312" w:cs="仿宋_GB2312"/>
                <w:i w:val="0"/>
                <w:caps w:val="0"/>
                <w:color w:val="333333"/>
                <w:spacing w:val="0"/>
                <w:sz w:val="21"/>
                <w:szCs w:val="21"/>
                <w:shd w:val="clear" w:fill="FFFFFF"/>
                <w:lang w:eastAsia="zh-CN"/>
              </w:rPr>
              <w:t>，</w:t>
            </w:r>
            <w:r>
              <w:rPr>
                <w:rFonts w:hint="eastAsia" w:ascii="仿宋_GB2312" w:hAnsi="仿宋_GB2312" w:eastAsia="仿宋_GB2312" w:cs="仿宋_GB2312"/>
                <w:sz w:val="21"/>
                <w:szCs w:val="21"/>
              </w:rPr>
              <w:t>保障</w:t>
            </w:r>
            <w:r>
              <w:rPr>
                <w:rFonts w:hint="eastAsia" w:ascii="仿宋_GB2312" w:hAnsi="仿宋_GB2312" w:eastAsia="仿宋_GB2312" w:cs="仿宋_GB2312"/>
                <w:i w:val="0"/>
                <w:caps w:val="0"/>
                <w:color w:val="333333"/>
                <w:spacing w:val="0"/>
                <w:sz w:val="21"/>
                <w:szCs w:val="21"/>
                <w:shd w:val="clear" w:fill="FFFFFF"/>
              </w:rPr>
              <w:t>大调解工作</w:t>
            </w:r>
            <w:r>
              <w:rPr>
                <w:rFonts w:hint="eastAsia" w:ascii="仿宋" w:hAnsi="仿宋" w:eastAsia="仿宋" w:cs="仿宋"/>
                <w:b w:val="0"/>
                <w:bCs w:val="0"/>
                <w:sz w:val="21"/>
                <w:szCs w:val="21"/>
                <w:lang w:val="en-US" w:eastAsia="zh-CN"/>
              </w:rPr>
              <w:t>顺利开展。</w:t>
            </w:r>
          </w:p>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r>
      <w:tr>
        <w:tblPrEx>
          <w:tblCellMar>
            <w:top w:w="0" w:type="dxa"/>
            <w:left w:w="0" w:type="dxa"/>
            <w:bottom w:w="0" w:type="dxa"/>
            <w:right w:w="0" w:type="dxa"/>
          </w:tblCellMar>
        </w:tblPrEx>
        <w:trPr>
          <w:trHeight w:val="1276"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sz w:val="21"/>
                <w:szCs w:val="21"/>
              </w:rPr>
            </w:pPr>
            <w:r>
              <w:rPr>
                <w:rFonts w:hint="eastAsia" w:ascii="仿宋" w:hAnsi="仿宋" w:eastAsia="仿宋" w:cs="仿宋"/>
                <w:b w:val="0"/>
                <w:bCs w:val="0"/>
                <w:sz w:val="21"/>
                <w:szCs w:val="21"/>
                <w:lang w:val="en-US" w:eastAsia="zh-CN"/>
              </w:rPr>
              <w:t>通过</w:t>
            </w:r>
            <w:r>
              <w:rPr>
                <w:rFonts w:hint="eastAsia" w:ascii="仿宋_GB2312" w:hAnsi="仿宋_GB2312" w:eastAsia="仿宋_GB2312" w:cs="仿宋_GB2312"/>
                <w:i w:val="0"/>
                <w:caps w:val="0"/>
                <w:color w:val="333333"/>
                <w:spacing w:val="0"/>
                <w:sz w:val="21"/>
                <w:szCs w:val="21"/>
                <w:shd w:val="clear" w:fill="FFFFFF"/>
              </w:rPr>
              <w:t>完善多元化解机制，采取多种化解方式，及时主动调处化解各类矛盾纠纷。</w:t>
            </w:r>
            <w:r>
              <w:rPr>
                <w:rFonts w:hint="eastAsia" w:ascii="仿宋_GB2312" w:hAnsi="仿宋_GB2312" w:eastAsia="仿宋_GB2312" w:cs="仿宋_GB2312"/>
                <w:i w:val="0"/>
                <w:caps w:val="0"/>
                <w:color w:val="333333"/>
                <w:spacing w:val="0"/>
                <w:sz w:val="21"/>
                <w:szCs w:val="21"/>
                <w:shd w:val="clear" w:fill="FFFFFF"/>
                <w:lang w:eastAsia="zh-CN"/>
              </w:rPr>
              <w:t>有效</w:t>
            </w:r>
            <w:r>
              <w:rPr>
                <w:rFonts w:hint="eastAsia" w:ascii="仿宋_GB2312" w:hAnsi="仿宋_GB2312" w:eastAsia="仿宋_GB2312" w:cs="仿宋_GB2312"/>
                <w:i w:val="0"/>
                <w:caps w:val="0"/>
                <w:color w:val="333333"/>
                <w:spacing w:val="0"/>
                <w:sz w:val="21"/>
                <w:szCs w:val="21"/>
                <w:shd w:val="clear" w:fill="FFFFFF"/>
              </w:rPr>
              <w:t>提升源头防范化解矛盾纠纷能力</w:t>
            </w:r>
            <w:r>
              <w:rPr>
                <w:rFonts w:hint="eastAsia" w:ascii="仿宋_GB2312" w:hAnsi="仿宋_GB2312" w:eastAsia="仿宋_GB2312" w:cs="仿宋_GB2312"/>
                <w:i w:val="0"/>
                <w:caps w:val="0"/>
                <w:color w:val="333333"/>
                <w:spacing w:val="0"/>
                <w:sz w:val="21"/>
                <w:szCs w:val="21"/>
                <w:shd w:val="clear" w:fill="FFFFFF"/>
                <w:lang w:eastAsia="zh-CN"/>
              </w:rPr>
              <w:t>，</w:t>
            </w:r>
            <w:r>
              <w:rPr>
                <w:rFonts w:hint="eastAsia" w:ascii="仿宋_GB2312" w:hAnsi="仿宋_GB2312" w:eastAsia="仿宋_GB2312" w:cs="仿宋_GB2312"/>
                <w:sz w:val="21"/>
                <w:szCs w:val="21"/>
              </w:rPr>
              <w:t>保障</w:t>
            </w:r>
            <w:r>
              <w:rPr>
                <w:rFonts w:hint="eastAsia" w:ascii="仿宋_GB2312" w:hAnsi="仿宋_GB2312" w:eastAsia="仿宋_GB2312" w:cs="仿宋_GB2312"/>
                <w:i w:val="0"/>
                <w:caps w:val="0"/>
                <w:color w:val="333333"/>
                <w:spacing w:val="0"/>
                <w:sz w:val="21"/>
                <w:szCs w:val="21"/>
                <w:shd w:val="clear" w:fill="FFFFFF"/>
              </w:rPr>
              <w:t>大调解工作</w:t>
            </w:r>
            <w:r>
              <w:rPr>
                <w:rFonts w:hint="eastAsia" w:ascii="仿宋" w:hAnsi="仿宋" w:eastAsia="仿宋" w:cs="仿宋"/>
                <w:b w:val="0"/>
                <w:bCs w:val="0"/>
                <w:sz w:val="21"/>
                <w:szCs w:val="21"/>
                <w:lang w:val="en-US" w:eastAsia="zh-CN"/>
              </w:rPr>
              <w:t>顺利开展。</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sz w:val="21"/>
                <w:szCs w:val="21"/>
              </w:rPr>
            </w:pPr>
            <w:r>
              <w:rPr>
                <w:rFonts w:hint="eastAsia" w:ascii="仿宋" w:hAnsi="仿宋" w:eastAsia="仿宋" w:cs="仿宋"/>
                <w:b w:val="0"/>
                <w:bCs w:val="0"/>
                <w:sz w:val="21"/>
                <w:szCs w:val="21"/>
                <w:lang w:val="en-US" w:eastAsia="zh-CN"/>
              </w:rPr>
              <w:t>通过</w:t>
            </w:r>
            <w:r>
              <w:rPr>
                <w:rFonts w:hint="eastAsia" w:ascii="仿宋_GB2312" w:hAnsi="仿宋_GB2312" w:eastAsia="仿宋_GB2312" w:cs="仿宋_GB2312"/>
                <w:i w:val="0"/>
                <w:caps w:val="0"/>
                <w:color w:val="333333"/>
                <w:spacing w:val="0"/>
                <w:sz w:val="21"/>
                <w:szCs w:val="21"/>
                <w:shd w:val="clear" w:fill="FFFFFF"/>
              </w:rPr>
              <w:t>完善多元化解机制，采取多种化解方式，及时主动调处化解各类矛盾纠纷。</w:t>
            </w:r>
            <w:r>
              <w:rPr>
                <w:rFonts w:hint="eastAsia" w:ascii="仿宋_GB2312" w:hAnsi="仿宋_GB2312" w:eastAsia="仿宋_GB2312" w:cs="仿宋_GB2312"/>
                <w:i w:val="0"/>
                <w:caps w:val="0"/>
                <w:color w:val="333333"/>
                <w:spacing w:val="0"/>
                <w:sz w:val="21"/>
                <w:szCs w:val="21"/>
                <w:shd w:val="clear" w:fill="FFFFFF"/>
                <w:lang w:eastAsia="zh-CN"/>
              </w:rPr>
              <w:t>有效</w:t>
            </w:r>
            <w:r>
              <w:rPr>
                <w:rFonts w:hint="eastAsia" w:ascii="仿宋_GB2312" w:hAnsi="仿宋_GB2312" w:eastAsia="仿宋_GB2312" w:cs="仿宋_GB2312"/>
                <w:i w:val="0"/>
                <w:caps w:val="0"/>
                <w:color w:val="333333"/>
                <w:spacing w:val="0"/>
                <w:sz w:val="21"/>
                <w:szCs w:val="21"/>
                <w:shd w:val="clear" w:fill="FFFFFF"/>
              </w:rPr>
              <w:t>提升源头防范化解矛盾纠纷能力</w:t>
            </w:r>
            <w:r>
              <w:rPr>
                <w:rFonts w:hint="eastAsia" w:ascii="仿宋_GB2312" w:hAnsi="仿宋_GB2312" w:eastAsia="仿宋_GB2312" w:cs="仿宋_GB2312"/>
                <w:i w:val="0"/>
                <w:caps w:val="0"/>
                <w:color w:val="333333"/>
                <w:spacing w:val="0"/>
                <w:sz w:val="21"/>
                <w:szCs w:val="21"/>
                <w:shd w:val="clear" w:fill="FFFFFF"/>
                <w:lang w:eastAsia="zh-CN"/>
              </w:rPr>
              <w:t>，</w:t>
            </w:r>
            <w:r>
              <w:rPr>
                <w:rFonts w:hint="eastAsia" w:ascii="仿宋_GB2312" w:hAnsi="仿宋_GB2312" w:eastAsia="仿宋_GB2312" w:cs="仿宋_GB2312"/>
                <w:sz w:val="21"/>
                <w:szCs w:val="21"/>
              </w:rPr>
              <w:t>保障</w:t>
            </w:r>
            <w:r>
              <w:rPr>
                <w:rFonts w:hint="eastAsia" w:ascii="仿宋_GB2312" w:hAnsi="仿宋_GB2312" w:eastAsia="仿宋_GB2312" w:cs="仿宋_GB2312"/>
                <w:i w:val="0"/>
                <w:caps w:val="0"/>
                <w:color w:val="333333"/>
                <w:spacing w:val="0"/>
                <w:sz w:val="21"/>
                <w:szCs w:val="21"/>
                <w:shd w:val="clear" w:fill="FFFFFF"/>
              </w:rPr>
              <w:t>大调解工作</w:t>
            </w:r>
            <w:r>
              <w:rPr>
                <w:rFonts w:hint="eastAsia" w:ascii="仿宋" w:hAnsi="仿宋" w:eastAsia="仿宋" w:cs="仿宋"/>
                <w:b w:val="0"/>
                <w:bCs w:val="0"/>
                <w:sz w:val="21"/>
                <w:szCs w:val="21"/>
                <w:lang w:val="en-US" w:eastAsia="zh-CN"/>
              </w:rPr>
              <w:t>顺利开展。</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7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反映相关产出对自然环境带来的影响和效果，根据项目实际细化具体指标。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sz w:val="21"/>
                <w:szCs w:val="21"/>
              </w:rPr>
            </w:pPr>
            <w:r>
              <w:rPr>
                <w:rFonts w:hint="eastAsia" w:ascii="仿宋" w:hAnsi="仿宋" w:eastAsia="仿宋" w:cs="仿宋"/>
                <w:b w:val="0"/>
                <w:bCs w:val="0"/>
                <w:sz w:val="21"/>
                <w:szCs w:val="21"/>
                <w:lang w:val="en-US" w:eastAsia="zh-CN"/>
              </w:rPr>
              <w:t>通过</w:t>
            </w:r>
            <w:r>
              <w:rPr>
                <w:rFonts w:hint="eastAsia" w:ascii="仿宋_GB2312" w:hAnsi="仿宋_GB2312" w:eastAsia="仿宋_GB2312" w:cs="仿宋_GB2312"/>
                <w:i w:val="0"/>
                <w:caps w:val="0"/>
                <w:color w:val="333333"/>
                <w:spacing w:val="0"/>
                <w:sz w:val="21"/>
                <w:szCs w:val="21"/>
                <w:shd w:val="clear" w:fill="FFFFFF"/>
              </w:rPr>
              <w:t>完善多元化解机制，采取多种化解方式，及时主动调处化解各类矛盾纠纷。</w:t>
            </w:r>
            <w:r>
              <w:rPr>
                <w:rFonts w:hint="eastAsia" w:ascii="仿宋_GB2312" w:hAnsi="仿宋_GB2312" w:eastAsia="仿宋_GB2312" w:cs="仿宋_GB2312"/>
                <w:i w:val="0"/>
                <w:caps w:val="0"/>
                <w:color w:val="333333"/>
                <w:spacing w:val="0"/>
                <w:sz w:val="21"/>
                <w:szCs w:val="21"/>
                <w:shd w:val="clear" w:fill="FFFFFF"/>
                <w:lang w:eastAsia="zh-CN"/>
              </w:rPr>
              <w:t>有效</w:t>
            </w:r>
            <w:r>
              <w:rPr>
                <w:rFonts w:hint="eastAsia" w:ascii="仿宋_GB2312" w:hAnsi="仿宋_GB2312" w:eastAsia="仿宋_GB2312" w:cs="仿宋_GB2312"/>
                <w:i w:val="0"/>
                <w:caps w:val="0"/>
                <w:color w:val="333333"/>
                <w:spacing w:val="0"/>
                <w:sz w:val="21"/>
                <w:szCs w:val="21"/>
                <w:shd w:val="clear" w:fill="FFFFFF"/>
              </w:rPr>
              <w:t>提升源头防范化解矛盾纠纷能力</w:t>
            </w:r>
            <w:r>
              <w:rPr>
                <w:rFonts w:hint="eastAsia" w:ascii="仿宋_GB2312" w:hAnsi="仿宋_GB2312" w:eastAsia="仿宋_GB2312" w:cs="仿宋_GB2312"/>
                <w:i w:val="0"/>
                <w:caps w:val="0"/>
                <w:color w:val="333333"/>
                <w:spacing w:val="0"/>
                <w:sz w:val="21"/>
                <w:szCs w:val="21"/>
                <w:shd w:val="clear" w:fill="FFFFFF"/>
                <w:lang w:eastAsia="zh-CN"/>
              </w:rPr>
              <w:t>，</w:t>
            </w:r>
            <w:r>
              <w:rPr>
                <w:rFonts w:hint="eastAsia" w:ascii="仿宋_GB2312" w:hAnsi="仿宋_GB2312" w:eastAsia="仿宋_GB2312" w:cs="仿宋_GB2312"/>
                <w:sz w:val="21"/>
                <w:szCs w:val="21"/>
              </w:rPr>
              <w:t>保障</w:t>
            </w:r>
            <w:r>
              <w:rPr>
                <w:rFonts w:hint="eastAsia" w:ascii="仿宋_GB2312" w:hAnsi="仿宋_GB2312" w:eastAsia="仿宋_GB2312" w:cs="仿宋_GB2312"/>
                <w:i w:val="0"/>
                <w:caps w:val="0"/>
                <w:color w:val="333333"/>
                <w:spacing w:val="0"/>
                <w:sz w:val="21"/>
                <w:szCs w:val="21"/>
                <w:shd w:val="clear" w:fill="FFFFFF"/>
              </w:rPr>
              <w:t>大调解工作</w:t>
            </w:r>
            <w:r>
              <w:rPr>
                <w:rFonts w:hint="eastAsia" w:ascii="仿宋" w:hAnsi="仿宋" w:eastAsia="仿宋" w:cs="仿宋"/>
                <w:b w:val="0"/>
                <w:bCs w:val="0"/>
                <w:sz w:val="21"/>
                <w:szCs w:val="21"/>
                <w:lang w:val="en-US" w:eastAsia="zh-CN"/>
              </w:rPr>
              <w:t>顺利开展。</w:t>
            </w:r>
          </w:p>
          <w:p>
            <w:pPr>
              <w:widowControl/>
              <w:jc w:val="center"/>
              <w:textAlignment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sz w:val="21"/>
                <w:szCs w:val="21"/>
              </w:rPr>
            </w:pPr>
            <w:r>
              <w:rPr>
                <w:rFonts w:hint="eastAsia" w:ascii="仿宋" w:hAnsi="仿宋" w:eastAsia="仿宋" w:cs="仿宋"/>
                <w:b w:val="0"/>
                <w:bCs w:val="0"/>
                <w:sz w:val="21"/>
                <w:szCs w:val="21"/>
                <w:lang w:val="en-US" w:eastAsia="zh-CN"/>
              </w:rPr>
              <w:t>通过</w:t>
            </w:r>
            <w:r>
              <w:rPr>
                <w:rFonts w:hint="eastAsia" w:ascii="仿宋_GB2312" w:hAnsi="仿宋_GB2312" w:eastAsia="仿宋_GB2312" w:cs="仿宋_GB2312"/>
                <w:i w:val="0"/>
                <w:caps w:val="0"/>
                <w:color w:val="333333"/>
                <w:spacing w:val="0"/>
                <w:sz w:val="21"/>
                <w:szCs w:val="21"/>
                <w:shd w:val="clear" w:fill="FFFFFF"/>
              </w:rPr>
              <w:t>完善多元化解机制，采取多种化解方式，及时主动调处化解各类矛盾纠纷。</w:t>
            </w:r>
            <w:r>
              <w:rPr>
                <w:rFonts w:hint="eastAsia" w:ascii="仿宋_GB2312" w:hAnsi="仿宋_GB2312" w:eastAsia="仿宋_GB2312" w:cs="仿宋_GB2312"/>
                <w:i w:val="0"/>
                <w:caps w:val="0"/>
                <w:color w:val="333333"/>
                <w:spacing w:val="0"/>
                <w:sz w:val="21"/>
                <w:szCs w:val="21"/>
                <w:shd w:val="clear" w:fill="FFFFFF"/>
                <w:lang w:eastAsia="zh-CN"/>
              </w:rPr>
              <w:t>有效</w:t>
            </w:r>
            <w:r>
              <w:rPr>
                <w:rFonts w:hint="eastAsia" w:ascii="仿宋_GB2312" w:hAnsi="仿宋_GB2312" w:eastAsia="仿宋_GB2312" w:cs="仿宋_GB2312"/>
                <w:i w:val="0"/>
                <w:caps w:val="0"/>
                <w:color w:val="333333"/>
                <w:spacing w:val="0"/>
                <w:sz w:val="21"/>
                <w:szCs w:val="21"/>
                <w:shd w:val="clear" w:fill="FFFFFF"/>
              </w:rPr>
              <w:t>提升源头防范化解矛盾纠纷能力</w:t>
            </w:r>
            <w:r>
              <w:rPr>
                <w:rFonts w:hint="eastAsia" w:ascii="仿宋_GB2312" w:hAnsi="仿宋_GB2312" w:eastAsia="仿宋_GB2312" w:cs="仿宋_GB2312"/>
                <w:i w:val="0"/>
                <w:caps w:val="0"/>
                <w:color w:val="333333"/>
                <w:spacing w:val="0"/>
                <w:sz w:val="21"/>
                <w:szCs w:val="21"/>
                <w:shd w:val="clear" w:fill="FFFFFF"/>
                <w:lang w:eastAsia="zh-CN"/>
              </w:rPr>
              <w:t>，</w:t>
            </w:r>
            <w:r>
              <w:rPr>
                <w:rFonts w:hint="eastAsia" w:ascii="仿宋_GB2312" w:hAnsi="仿宋_GB2312" w:eastAsia="仿宋_GB2312" w:cs="仿宋_GB2312"/>
                <w:sz w:val="21"/>
                <w:szCs w:val="21"/>
              </w:rPr>
              <w:t>保障</w:t>
            </w:r>
            <w:r>
              <w:rPr>
                <w:rFonts w:hint="eastAsia" w:ascii="仿宋_GB2312" w:hAnsi="仿宋_GB2312" w:eastAsia="仿宋_GB2312" w:cs="仿宋_GB2312"/>
                <w:i w:val="0"/>
                <w:caps w:val="0"/>
                <w:color w:val="333333"/>
                <w:spacing w:val="0"/>
                <w:sz w:val="21"/>
                <w:szCs w:val="21"/>
                <w:shd w:val="clear" w:fill="FFFFFF"/>
              </w:rPr>
              <w:t>大调解工作</w:t>
            </w:r>
            <w:r>
              <w:rPr>
                <w:rFonts w:hint="eastAsia" w:ascii="仿宋" w:hAnsi="仿宋" w:eastAsia="仿宋" w:cs="仿宋"/>
                <w:b w:val="0"/>
                <w:bCs w:val="0"/>
                <w:sz w:val="21"/>
                <w:szCs w:val="21"/>
                <w:lang w:val="en-US" w:eastAsia="zh-CN"/>
              </w:rPr>
              <w:t>顺利开展。</w:t>
            </w:r>
          </w:p>
          <w:p>
            <w:pPr>
              <w:widowControl/>
              <w:jc w:val="center"/>
              <w:textAlignment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p>
        </w:tc>
      </w:tr>
      <w:tr>
        <w:tblPrEx>
          <w:tblCellMar>
            <w:top w:w="0" w:type="dxa"/>
            <w:left w:w="0" w:type="dxa"/>
            <w:bottom w:w="0" w:type="dxa"/>
            <w:right w:w="0" w:type="dxa"/>
          </w:tblCellMar>
        </w:tblPrEx>
        <w:trPr>
          <w:trHeight w:val="76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反映相关产出带来影响的可持续期限，根据项目实际细化具体指标。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sz w:val="21"/>
                <w:szCs w:val="21"/>
              </w:rPr>
            </w:pPr>
            <w:r>
              <w:rPr>
                <w:rFonts w:hint="eastAsia" w:ascii="仿宋" w:hAnsi="仿宋" w:eastAsia="仿宋" w:cs="仿宋"/>
                <w:b w:val="0"/>
                <w:bCs w:val="0"/>
                <w:sz w:val="21"/>
                <w:szCs w:val="21"/>
                <w:lang w:val="en-US" w:eastAsia="zh-CN"/>
              </w:rPr>
              <w:t>通过</w:t>
            </w:r>
            <w:r>
              <w:rPr>
                <w:rFonts w:hint="eastAsia" w:ascii="仿宋_GB2312" w:hAnsi="仿宋_GB2312" w:eastAsia="仿宋_GB2312" w:cs="仿宋_GB2312"/>
                <w:i w:val="0"/>
                <w:caps w:val="0"/>
                <w:color w:val="333333"/>
                <w:spacing w:val="0"/>
                <w:sz w:val="21"/>
                <w:szCs w:val="21"/>
                <w:shd w:val="clear" w:fill="FFFFFF"/>
              </w:rPr>
              <w:t>完善多元化解机制，采取多种化解方式，及时主动调处化解各类矛盾纠纷。</w:t>
            </w:r>
            <w:r>
              <w:rPr>
                <w:rFonts w:hint="eastAsia" w:ascii="仿宋_GB2312" w:hAnsi="仿宋_GB2312" w:eastAsia="仿宋_GB2312" w:cs="仿宋_GB2312"/>
                <w:i w:val="0"/>
                <w:caps w:val="0"/>
                <w:color w:val="333333"/>
                <w:spacing w:val="0"/>
                <w:sz w:val="21"/>
                <w:szCs w:val="21"/>
                <w:shd w:val="clear" w:fill="FFFFFF"/>
                <w:lang w:eastAsia="zh-CN"/>
              </w:rPr>
              <w:t>有效</w:t>
            </w:r>
            <w:r>
              <w:rPr>
                <w:rFonts w:hint="eastAsia" w:ascii="仿宋_GB2312" w:hAnsi="仿宋_GB2312" w:eastAsia="仿宋_GB2312" w:cs="仿宋_GB2312"/>
                <w:i w:val="0"/>
                <w:caps w:val="0"/>
                <w:color w:val="333333"/>
                <w:spacing w:val="0"/>
                <w:sz w:val="21"/>
                <w:szCs w:val="21"/>
                <w:shd w:val="clear" w:fill="FFFFFF"/>
              </w:rPr>
              <w:t>提升源头防范化解矛盾纠纷能力</w:t>
            </w:r>
            <w:r>
              <w:rPr>
                <w:rFonts w:hint="eastAsia" w:ascii="仿宋_GB2312" w:hAnsi="仿宋_GB2312" w:eastAsia="仿宋_GB2312" w:cs="仿宋_GB2312"/>
                <w:i w:val="0"/>
                <w:caps w:val="0"/>
                <w:color w:val="333333"/>
                <w:spacing w:val="0"/>
                <w:sz w:val="21"/>
                <w:szCs w:val="21"/>
                <w:shd w:val="clear" w:fill="FFFFFF"/>
                <w:lang w:eastAsia="zh-CN"/>
              </w:rPr>
              <w:t>，</w:t>
            </w:r>
            <w:r>
              <w:rPr>
                <w:rFonts w:hint="eastAsia" w:ascii="仿宋_GB2312" w:hAnsi="仿宋_GB2312" w:eastAsia="仿宋_GB2312" w:cs="仿宋_GB2312"/>
                <w:sz w:val="21"/>
                <w:szCs w:val="21"/>
              </w:rPr>
              <w:t>保障</w:t>
            </w:r>
            <w:r>
              <w:rPr>
                <w:rFonts w:hint="eastAsia" w:ascii="仿宋_GB2312" w:hAnsi="仿宋_GB2312" w:eastAsia="仿宋_GB2312" w:cs="仿宋_GB2312"/>
                <w:i w:val="0"/>
                <w:caps w:val="0"/>
                <w:color w:val="333333"/>
                <w:spacing w:val="0"/>
                <w:sz w:val="21"/>
                <w:szCs w:val="21"/>
                <w:shd w:val="clear" w:fill="FFFFFF"/>
              </w:rPr>
              <w:t>大调解工作</w:t>
            </w:r>
            <w:r>
              <w:rPr>
                <w:rFonts w:hint="eastAsia" w:ascii="仿宋" w:hAnsi="仿宋" w:eastAsia="仿宋" w:cs="仿宋"/>
                <w:b w:val="0"/>
                <w:bCs w:val="0"/>
                <w:sz w:val="21"/>
                <w:szCs w:val="21"/>
                <w:lang w:val="en-US" w:eastAsia="zh-CN"/>
              </w:rPr>
              <w:t>顺利开展。</w:t>
            </w:r>
          </w:p>
          <w:p>
            <w:pPr>
              <w:widowControl/>
              <w:jc w:val="center"/>
              <w:textAlignment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sz w:val="21"/>
                <w:szCs w:val="21"/>
              </w:rPr>
            </w:pPr>
            <w:r>
              <w:rPr>
                <w:rFonts w:hint="eastAsia" w:ascii="仿宋" w:hAnsi="仿宋" w:eastAsia="仿宋" w:cs="仿宋"/>
                <w:b w:val="0"/>
                <w:bCs w:val="0"/>
                <w:sz w:val="21"/>
                <w:szCs w:val="21"/>
                <w:lang w:val="en-US" w:eastAsia="zh-CN"/>
              </w:rPr>
              <w:t>通过</w:t>
            </w:r>
            <w:r>
              <w:rPr>
                <w:rFonts w:hint="eastAsia" w:ascii="仿宋_GB2312" w:hAnsi="仿宋_GB2312" w:eastAsia="仿宋_GB2312" w:cs="仿宋_GB2312"/>
                <w:i w:val="0"/>
                <w:caps w:val="0"/>
                <w:color w:val="333333"/>
                <w:spacing w:val="0"/>
                <w:sz w:val="21"/>
                <w:szCs w:val="21"/>
                <w:shd w:val="clear" w:fill="FFFFFF"/>
              </w:rPr>
              <w:t>完善多元化解机制，采取多种化解方式，及时主动调处化解各类矛盾纠纷。</w:t>
            </w:r>
            <w:r>
              <w:rPr>
                <w:rFonts w:hint="eastAsia" w:ascii="仿宋_GB2312" w:hAnsi="仿宋_GB2312" w:eastAsia="仿宋_GB2312" w:cs="仿宋_GB2312"/>
                <w:i w:val="0"/>
                <w:caps w:val="0"/>
                <w:color w:val="333333"/>
                <w:spacing w:val="0"/>
                <w:sz w:val="21"/>
                <w:szCs w:val="21"/>
                <w:shd w:val="clear" w:fill="FFFFFF"/>
                <w:lang w:eastAsia="zh-CN"/>
              </w:rPr>
              <w:t>有效</w:t>
            </w:r>
            <w:r>
              <w:rPr>
                <w:rFonts w:hint="eastAsia" w:ascii="仿宋_GB2312" w:hAnsi="仿宋_GB2312" w:eastAsia="仿宋_GB2312" w:cs="仿宋_GB2312"/>
                <w:i w:val="0"/>
                <w:caps w:val="0"/>
                <w:color w:val="333333"/>
                <w:spacing w:val="0"/>
                <w:sz w:val="21"/>
                <w:szCs w:val="21"/>
                <w:shd w:val="clear" w:fill="FFFFFF"/>
              </w:rPr>
              <w:t>提升源头防范化解矛盾纠纷能力</w:t>
            </w:r>
            <w:r>
              <w:rPr>
                <w:rFonts w:hint="eastAsia" w:ascii="仿宋_GB2312" w:hAnsi="仿宋_GB2312" w:eastAsia="仿宋_GB2312" w:cs="仿宋_GB2312"/>
                <w:i w:val="0"/>
                <w:caps w:val="0"/>
                <w:color w:val="333333"/>
                <w:spacing w:val="0"/>
                <w:sz w:val="21"/>
                <w:szCs w:val="21"/>
                <w:shd w:val="clear" w:fill="FFFFFF"/>
                <w:lang w:eastAsia="zh-CN"/>
              </w:rPr>
              <w:t>，</w:t>
            </w:r>
            <w:r>
              <w:rPr>
                <w:rFonts w:hint="eastAsia" w:ascii="仿宋_GB2312" w:hAnsi="仿宋_GB2312" w:eastAsia="仿宋_GB2312" w:cs="仿宋_GB2312"/>
                <w:sz w:val="21"/>
                <w:szCs w:val="21"/>
              </w:rPr>
              <w:t>保障</w:t>
            </w:r>
            <w:r>
              <w:rPr>
                <w:rFonts w:hint="eastAsia" w:ascii="仿宋_GB2312" w:hAnsi="仿宋_GB2312" w:eastAsia="仿宋_GB2312" w:cs="仿宋_GB2312"/>
                <w:i w:val="0"/>
                <w:caps w:val="0"/>
                <w:color w:val="333333"/>
                <w:spacing w:val="0"/>
                <w:sz w:val="21"/>
                <w:szCs w:val="21"/>
                <w:shd w:val="clear" w:fill="FFFFFF"/>
              </w:rPr>
              <w:t>大调解工作</w:t>
            </w:r>
            <w:r>
              <w:rPr>
                <w:rFonts w:hint="eastAsia" w:ascii="仿宋" w:hAnsi="仿宋" w:eastAsia="仿宋" w:cs="仿宋"/>
                <w:b w:val="0"/>
                <w:bCs w:val="0"/>
                <w:sz w:val="21"/>
                <w:szCs w:val="21"/>
                <w:lang w:val="en-US" w:eastAsia="zh-CN"/>
              </w:rPr>
              <w:t>顺利开展。</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108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反映服务对象或项目受益人对相关产出及其影响的认可程度，根据项目实际细化具体指标。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群众满意度高，使用效益高</w:t>
            </w:r>
          </w:p>
        </w:tc>
      </w:tr>
    </w:tbl>
    <w:p>
      <w:pPr>
        <w:spacing w:line="580" w:lineRule="exact"/>
        <w:ind w:firstLine="2168" w:firstLineChars="600"/>
        <w:rPr>
          <w:rFonts w:hint="eastAsia" w:ascii="宋体" w:hAnsi="宋体" w:cs="宋体"/>
          <w:b/>
          <w:bCs/>
          <w:color w:val="000000"/>
          <w:kern w:val="0"/>
          <w:sz w:val="36"/>
          <w:szCs w:val="36"/>
          <w:lang w:val="en-US" w:eastAsia="zh-CN"/>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lang w:val="en-US" w:eastAsia="zh-CN"/>
        </w:rPr>
        <w:t>4</w:t>
      </w:r>
    </w:p>
    <w:tbl>
      <w:tblPr>
        <w:tblStyle w:val="19"/>
        <w:tblW w:w="9369" w:type="dxa"/>
        <w:jc w:val="center"/>
        <w:tblLayout w:type="fixed"/>
        <w:tblCellMar>
          <w:top w:w="0" w:type="dxa"/>
          <w:left w:w="0" w:type="dxa"/>
          <w:bottom w:w="0" w:type="dxa"/>
          <w:right w:w="0" w:type="dxa"/>
        </w:tblCellMar>
      </w:tblPr>
      <w:tblGrid>
        <w:gridCol w:w="565"/>
        <w:gridCol w:w="1246"/>
        <w:gridCol w:w="1022"/>
        <w:gridCol w:w="737"/>
        <w:gridCol w:w="1155"/>
        <w:gridCol w:w="1711"/>
        <w:gridCol w:w="1586"/>
        <w:gridCol w:w="1347"/>
      </w:tblGrid>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综治基层建设</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lang w:eastAsia="zh-CN"/>
              </w:rPr>
              <w:t>红原县委政法委</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预算执行情况(万元</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1.01</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kern w:val="0"/>
                <w:sz w:val="18"/>
                <w:szCs w:val="18"/>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1.01</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1.01</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kern w:val="0"/>
                <w:sz w:val="18"/>
                <w:szCs w:val="18"/>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000000" w:themeColor="text1"/>
                <w:kern w:val="0"/>
                <w:sz w:val="18"/>
                <w:szCs w:val="18"/>
                <w:lang w:val="en-US"/>
                <w14:textFill>
                  <w14:solidFill>
                    <w14:schemeClr w14:val="tx1"/>
                  </w14:solidFill>
                </w14:textFill>
              </w:rPr>
            </w:pPr>
            <w:r>
              <w:rPr>
                <w:rFonts w:hint="eastAsia" w:asciiTheme="minorEastAsia" w:hAnsiTheme="minorEastAsia" w:eastAsiaTheme="minorEastAsia" w:cstheme="minorEastAsia"/>
                <w:color w:val="000000"/>
                <w:sz w:val="18"/>
                <w:szCs w:val="18"/>
                <w:lang w:val="en-US" w:eastAsia="zh-CN"/>
              </w:rPr>
              <w:t>1.01</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0</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年度目标完成情况</w:t>
            </w:r>
          </w:p>
        </w:tc>
        <w:tc>
          <w:tcPr>
            <w:tcW w:w="3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实际完成目标</w:t>
            </w:r>
          </w:p>
        </w:tc>
      </w:tr>
      <w:tr>
        <w:tblPrEx>
          <w:tblCellMar>
            <w:top w:w="0" w:type="dxa"/>
            <w:left w:w="0" w:type="dxa"/>
            <w:bottom w:w="0" w:type="dxa"/>
            <w:right w:w="0" w:type="dxa"/>
          </w:tblCellMar>
        </w:tblPrEx>
        <w:trPr>
          <w:trHeight w:val="19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30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保障</w:t>
            </w:r>
            <w:r>
              <w:rPr>
                <w:rFonts w:hint="eastAsia" w:ascii="仿宋_GB2312" w:hAnsi="仿宋_GB2312" w:eastAsia="仿宋_GB2312" w:cs="仿宋_GB2312"/>
                <w:sz w:val="18"/>
                <w:szCs w:val="18"/>
                <w:lang w:eastAsia="zh-CN"/>
              </w:rPr>
              <w:t>综治工作的开展，提高了综治工作效率。</w:t>
            </w:r>
          </w:p>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保障</w:t>
            </w:r>
            <w:r>
              <w:rPr>
                <w:rFonts w:hint="eastAsia" w:ascii="仿宋_GB2312" w:hAnsi="仿宋_GB2312" w:eastAsia="仿宋_GB2312" w:cs="仿宋_GB2312"/>
                <w:sz w:val="18"/>
                <w:szCs w:val="18"/>
                <w:lang w:eastAsia="zh-CN"/>
              </w:rPr>
              <w:t>综治工作的开展，提高了综治工作效率。</w:t>
            </w:r>
          </w:p>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绩效指标完成情况</w:t>
            </w: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7769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直接连接符_10"/>
                  <wp:cNvGraphicFramePr/>
                  <a:graphic xmlns:a="http://schemas.openxmlformats.org/drawingml/2006/main">
                    <a:graphicData uri="http://schemas.openxmlformats.org/drawingml/2006/picture">
                      <pic:pic xmlns:pic="http://schemas.openxmlformats.org/drawingml/2006/picture">
                        <pic:nvPicPr>
                          <pic:cNvPr id="8"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7872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直接连接符_8"/>
                  <wp:cNvGraphicFramePr/>
                  <a:graphic xmlns:a="http://schemas.openxmlformats.org/drawingml/2006/main">
                    <a:graphicData uri="http://schemas.openxmlformats.org/drawingml/2006/picture">
                      <pic:pic xmlns:pic="http://schemas.openxmlformats.org/drawingml/2006/picture">
                        <pic:nvPicPr>
                          <pic:cNvPr id="9"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797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9"/>
                  <wp:cNvGraphicFramePr/>
                  <a:graphic xmlns:a="http://schemas.openxmlformats.org/drawingml/2006/main">
                    <a:graphicData uri="http://schemas.openxmlformats.org/drawingml/2006/picture">
                      <pic:pic xmlns:pic="http://schemas.openxmlformats.org/drawingml/2006/picture">
                        <pic:nvPicPr>
                          <pic:cNvPr id="10"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drawing>
                <wp:anchor distT="0" distB="0" distL="114300" distR="114300" simplePos="0" relativeHeight="25168076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 name="直接连接符_7"/>
                  <wp:cNvGraphicFramePr/>
                  <a:graphic xmlns:a="http://schemas.openxmlformats.org/drawingml/2006/main">
                    <a:graphicData uri="http://schemas.openxmlformats.org/drawingml/2006/picture">
                      <pic:pic xmlns:pic="http://schemas.openxmlformats.org/drawingml/2006/picture">
                        <pic:nvPicPr>
                          <pic:cNvPr id="11"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指标评价内容</w:t>
            </w:r>
          </w:p>
        </w:tc>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312"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1706"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项目预期提供的产品、服务、效益或其他目标明确,即绩效目标实际明确个数/应当明确个数×100%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保障</w:t>
            </w:r>
            <w:r>
              <w:rPr>
                <w:rFonts w:hint="eastAsia" w:ascii="仿宋_GB2312" w:hAnsi="仿宋_GB2312" w:eastAsia="仿宋_GB2312" w:cs="仿宋_GB2312"/>
                <w:sz w:val="18"/>
                <w:szCs w:val="18"/>
                <w:lang w:eastAsia="zh-CN"/>
              </w:rPr>
              <w:t>综治工作的开展，提高了综治工作效率。</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保障</w:t>
            </w:r>
            <w:r>
              <w:rPr>
                <w:rFonts w:hint="eastAsia" w:ascii="仿宋_GB2312" w:hAnsi="仿宋_GB2312" w:eastAsia="仿宋_GB2312" w:cs="仿宋_GB2312"/>
                <w:sz w:val="18"/>
                <w:szCs w:val="18"/>
                <w:lang w:eastAsia="zh-CN"/>
              </w:rPr>
              <w:t>综治工作的开展，提高了综治工作效率。</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64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项目计划实施进度明确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按时完工</w:t>
            </w:r>
          </w:p>
        </w:tc>
      </w:tr>
      <w:tr>
        <w:tblPrEx>
          <w:tblCellMar>
            <w:top w:w="0" w:type="dxa"/>
            <w:left w:w="0" w:type="dxa"/>
            <w:bottom w:w="0" w:type="dxa"/>
            <w:right w:w="0" w:type="dxa"/>
          </w:tblCellMar>
        </w:tblPrEx>
        <w:trPr>
          <w:trHeight w:val="69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绩效目标设定符合实际需求的抽样项目点个数/抽样项目点总数×100%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项目符合党中央、国务院和省委、省政府决策部署；符合当前经济社会发展需要</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连续性项目根据需要制定中长期实施规划</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实施规划符合实际，并根据情况变化适时调整</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制定项目资金管理办法</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已制定</w:t>
            </w:r>
          </w:p>
        </w:tc>
      </w:tr>
      <w:tr>
        <w:tblPrEx>
          <w:tblCellMar>
            <w:top w:w="0" w:type="dxa"/>
            <w:left w:w="0" w:type="dxa"/>
            <w:bottom w:w="0" w:type="dxa"/>
            <w:right w:w="0" w:type="dxa"/>
          </w:tblCellMar>
        </w:tblPrEx>
        <w:trPr>
          <w:trHeight w:val="75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项目资金分配决策程序明确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82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资金分配方法是否科学合理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分配过程符合相关规定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符合申报条件的抽样项目点个数/抽样项目点总数×100%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1个</w:t>
            </w:r>
          </w:p>
        </w:tc>
      </w:tr>
      <w:tr>
        <w:tblPrEx>
          <w:tblCellMar>
            <w:top w:w="0" w:type="dxa"/>
            <w:left w:w="0" w:type="dxa"/>
            <w:bottom w:w="0" w:type="dxa"/>
            <w:right w:w="0" w:type="dxa"/>
          </w:tblCellMar>
        </w:tblPrEx>
        <w:trPr>
          <w:trHeight w:val="10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财政资金占项目资金总额比重较小项目个数/项目总数×100%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73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按实际分配结果选择客观因素测算验证资金分配方法制定、分配要素设定、基础数据应用、测算依据选取等是否科学合理（2分）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4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县级主管部门按规定及时分配资金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44"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按规定及时拨付资金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资金使用是否合规</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资金支付依据符合规定，即支付依旧合规资金量/资金总量×100%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资金开支标准符合规定，即开支标准合规资金量/资金总量×100%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3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财务制度健全，管理规范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会计核算规范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项目调整严格履行相关手续</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8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项目投资变更额/项目总投入×100%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严格执行项目有关制度规定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bdr w:val="single" w:color="000000" w:sz="4" w:space="0"/>
                <w14:textFill>
                  <w14:solidFill>
                    <w14:schemeClr w14:val="tx1"/>
                  </w14:solidFill>
                </w14:textFill>
              </w:rPr>
              <w:drawing>
                <wp:anchor distT="0" distB="0" distL="114300" distR="114300" simplePos="0" relativeHeight="25168179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2" name="直接连接符_6"/>
                  <wp:cNvGraphicFramePr/>
                  <a:graphic xmlns:a="http://schemas.openxmlformats.org/drawingml/2006/main">
                    <a:graphicData uri="http://schemas.openxmlformats.org/drawingml/2006/picture">
                      <pic:pic xmlns:pic="http://schemas.openxmlformats.org/drawingml/2006/picture">
                        <pic:nvPicPr>
                          <pic:cNvPr id="12"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bdr w:val="single" w:color="000000" w:sz="4" w:space="0"/>
                <w14:textFill>
                  <w14:solidFill>
                    <w14:schemeClr w14:val="tx1"/>
                  </w14:solidFill>
                </w14:textFill>
              </w:rPr>
              <w:drawing>
                <wp:anchor distT="0" distB="0" distL="114300" distR="114300" simplePos="0" relativeHeight="25168281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3" name="直接连接符_5"/>
                  <wp:cNvGraphicFramePr/>
                  <a:graphic xmlns:a="http://schemas.openxmlformats.org/drawingml/2006/main">
                    <a:graphicData uri="http://schemas.openxmlformats.org/drawingml/2006/picture">
                      <pic:pic xmlns:pic="http://schemas.openxmlformats.org/drawingml/2006/picture">
                        <pic:nvPicPr>
                          <pic:cNvPr id="13"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实际完成任务量/绩效目标设定任务量×100%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符合绩效目标设定的验收标准，达到行业基准水平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符合</w:t>
            </w:r>
          </w:p>
        </w:tc>
      </w:tr>
      <w:tr>
        <w:tblPrEx>
          <w:tblCellMar>
            <w:top w:w="0" w:type="dxa"/>
            <w:left w:w="0" w:type="dxa"/>
            <w:bottom w:w="0" w:type="dxa"/>
            <w:right w:w="0" w:type="dxa"/>
          </w:tblCellMar>
        </w:tblPrEx>
        <w:trPr>
          <w:trHeight w:val="80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（实际完成时间-绩效目标设定完成时间）/绩效目标设定完成时间×100%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（实际完成成本-预计完成成本）/预计完成成本×100%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100%</w:t>
            </w:r>
          </w:p>
        </w:tc>
      </w:tr>
      <w:tr>
        <w:tblPrEx>
          <w:tblCellMar>
            <w:top w:w="0" w:type="dxa"/>
            <w:left w:w="0" w:type="dxa"/>
            <w:bottom w:w="0" w:type="dxa"/>
            <w:right w:w="0" w:type="dxa"/>
          </w:tblCellMar>
        </w:tblPrEx>
        <w:trPr>
          <w:trHeight w:val="7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反映相关产出对经济社会发展带来的影响和效果，根据项目实际细化具体指标。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保障</w:t>
            </w:r>
            <w:r>
              <w:rPr>
                <w:rFonts w:hint="eastAsia" w:ascii="仿宋_GB2312" w:hAnsi="仿宋_GB2312" w:eastAsia="仿宋_GB2312" w:cs="仿宋_GB2312"/>
                <w:sz w:val="18"/>
                <w:szCs w:val="18"/>
                <w:lang w:eastAsia="zh-CN"/>
              </w:rPr>
              <w:t>综治工作的开展，提高了综治工作效率。</w:t>
            </w:r>
          </w:p>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保障</w:t>
            </w:r>
            <w:r>
              <w:rPr>
                <w:rFonts w:hint="eastAsia" w:ascii="仿宋_GB2312" w:hAnsi="仿宋_GB2312" w:eastAsia="仿宋_GB2312" w:cs="仿宋_GB2312"/>
                <w:sz w:val="18"/>
                <w:szCs w:val="18"/>
                <w:lang w:eastAsia="zh-CN"/>
              </w:rPr>
              <w:t>综治工作的开展，提高了综治工作效率。</w:t>
            </w:r>
          </w:p>
          <w:p>
            <w:pPr>
              <w:widowControl/>
              <w:jc w:val="center"/>
              <w:textAlignment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r>
      <w:tr>
        <w:tblPrEx>
          <w:tblCellMar>
            <w:top w:w="0" w:type="dxa"/>
            <w:left w:w="0" w:type="dxa"/>
            <w:bottom w:w="0" w:type="dxa"/>
            <w:right w:w="0" w:type="dxa"/>
          </w:tblCellMar>
        </w:tblPrEx>
        <w:trPr>
          <w:trHeight w:val="1276"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保障</w:t>
            </w:r>
            <w:r>
              <w:rPr>
                <w:rFonts w:hint="eastAsia" w:ascii="仿宋_GB2312" w:hAnsi="仿宋_GB2312" w:eastAsia="仿宋_GB2312" w:cs="仿宋_GB2312"/>
                <w:sz w:val="18"/>
                <w:szCs w:val="18"/>
                <w:lang w:eastAsia="zh-CN"/>
              </w:rPr>
              <w:t>综治工作的开展，提高了综治工作效率。</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保障</w:t>
            </w:r>
            <w:r>
              <w:rPr>
                <w:rFonts w:hint="eastAsia" w:ascii="仿宋_GB2312" w:hAnsi="仿宋_GB2312" w:eastAsia="仿宋_GB2312" w:cs="仿宋_GB2312"/>
                <w:sz w:val="18"/>
                <w:szCs w:val="18"/>
                <w:lang w:eastAsia="zh-CN"/>
              </w:rPr>
              <w:t>综治工作的开展，提高了综治工作效率。</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72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反映相关产出对自然环境带来的影响和效果，根据项目实际细化具体指标。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保障</w:t>
            </w:r>
            <w:r>
              <w:rPr>
                <w:rFonts w:hint="eastAsia" w:ascii="仿宋_GB2312" w:hAnsi="仿宋_GB2312" w:eastAsia="仿宋_GB2312" w:cs="仿宋_GB2312"/>
                <w:sz w:val="18"/>
                <w:szCs w:val="18"/>
                <w:lang w:eastAsia="zh-CN"/>
              </w:rPr>
              <w:t>综治工作的开展，提高了综治工作效率。</w:t>
            </w:r>
          </w:p>
          <w:p>
            <w:pPr>
              <w:widowControl/>
              <w:jc w:val="center"/>
              <w:textAlignment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保障</w:t>
            </w:r>
            <w:r>
              <w:rPr>
                <w:rFonts w:hint="eastAsia" w:ascii="仿宋_GB2312" w:hAnsi="仿宋_GB2312" w:eastAsia="仿宋_GB2312" w:cs="仿宋_GB2312"/>
                <w:sz w:val="18"/>
                <w:szCs w:val="18"/>
                <w:lang w:eastAsia="zh-CN"/>
              </w:rPr>
              <w:t>综治工作的开展，提高了综治工作效率。</w:t>
            </w:r>
          </w:p>
          <w:p>
            <w:pPr>
              <w:widowControl/>
              <w:jc w:val="center"/>
              <w:textAlignment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p>
        </w:tc>
      </w:tr>
      <w:tr>
        <w:tblPrEx>
          <w:tblCellMar>
            <w:top w:w="0" w:type="dxa"/>
            <w:left w:w="0" w:type="dxa"/>
            <w:bottom w:w="0" w:type="dxa"/>
            <w:right w:w="0" w:type="dxa"/>
          </w:tblCellMar>
        </w:tblPrEx>
        <w:trPr>
          <w:trHeight w:val="76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反映相关产出带来影响的可持续期限，根据项目实际细化具体指标。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保障</w:t>
            </w:r>
            <w:r>
              <w:rPr>
                <w:rFonts w:hint="eastAsia" w:ascii="仿宋_GB2312" w:hAnsi="仿宋_GB2312" w:eastAsia="仿宋_GB2312" w:cs="仿宋_GB2312"/>
                <w:sz w:val="18"/>
                <w:szCs w:val="18"/>
                <w:lang w:eastAsia="zh-CN"/>
              </w:rPr>
              <w:t>综治工作的开展，提高了综治工作效率。</w:t>
            </w:r>
          </w:p>
          <w:p>
            <w:pPr>
              <w:widowControl/>
              <w:jc w:val="center"/>
              <w:textAlignment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保障</w:t>
            </w:r>
            <w:r>
              <w:rPr>
                <w:rFonts w:hint="eastAsia" w:ascii="仿宋_GB2312" w:hAnsi="仿宋_GB2312" w:eastAsia="仿宋_GB2312" w:cs="仿宋_GB2312"/>
                <w:sz w:val="18"/>
                <w:szCs w:val="18"/>
                <w:lang w:eastAsia="zh-CN"/>
              </w:rPr>
              <w:t>综治工作的开展，提高了综治工作效率。</w:t>
            </w:r>
          </w:p>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r>
      <w:tr>
        <w:tblPrEx>
          <w:tblCellMar>
            <w:top w:w="0" w:type="dxa"/>
            <w:left w:w="0" w:type="dxa"/>
            <w:bottom w:w="0" w:type="dxa"/>
            <w:right w:w="0" w:type="dxa"/>
          </w:tblCellMar>
        </w:tblPrEx>
        <w:trPr>
          <w:trHeight w:val="1080" w:hRule="atLeast"/>
          <w:jc w:val="center"/>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反映服务对象或项目受益人对相关产出及其影响的认可程度，根据项目实际细化具体指标。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群众满意度高，使用效益高</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政法委</w:t>
      </w: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w:t>
      </w:r>
      <w:r>
        <w:rPr>
          <w:rFonts w:hint="eastAsia" w:ascii="仿宋_GB2312" w:hAnsi="仿宋_GB2312" w:eastAsia="仿宋_GB2312" w:cs="仿宋_GB2312"/>
          <w:i w:val="0"/>
          <w:caps w:val="0"/>
          <w:color w:val="333333"/>
          <w:spacing w:val="0"/>
          <w:sz w:val="32"/>
          <w:szCs w:val="32"/>
          <w:shd w:val="clear" w:fill="FFFFFF"/>
        </w:rPr>
        <w:t>大调解工作</w:t>
      </w:r>
      <w:r>
        <w:rPr>
          <w:rFonts w:hint="eastAsia" w:ascii="仿宋_GB2312" w:hAnsi="仿宋_GB2312" w:eastAsia="仿宋_GB2312" w:cs="仿宋_GB2312"/>
          <w:i w:val="0"/>
          <w:caps w:val="0"/>
          <w:color w:val="333333"/>
          <w:spacing w:val="0"/>
          <w:sz w:val="32"/>
          <w:szCs w:val="32"/>
          <w:shd w:val="clear" w:fill="FFFFFF"/>
          <w:lang w:eastAsia="zh-CN"/>
        </w:rPr>
        <w:t>经费</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i w:val="0"/>
          <w:caps w:val="0"/>
          <w:color w:val="333333"/>
          <w:spacing w:val="0"/>
          <w:sz w:val="32"/>
          <w:szCs w:val="32"/>
          <w:shd w:val="clear" w:fill="FFFFFF"/>
        </w:rPr>
        <w:t>大调解工作</w:t>
      </w:r>
      <w:r>
        <w:rPr>
          <w:rFonts w:hint="eastAsia" w:ascii="仿宋_GB2312" w:hAnsi="仿宋_GB2312" w:eastAsia="仿宋_GB2312" w:cs="仿宋_GB2312"/>
          <w:i w:val="0"/>
          <w:caps w:val="0"/>
          <w:color w:val="333333"/>
          <w:spacing w:val="0"/>
          <w:sz w:val="32"/>
          <w:szCs w:val="32"/>
          <w:shd w:val="clear" w:fill="FFFFFF"/>
          <w:lang w:eastAsia="zh-CN"/>
        </w:rPr>
        <w:t>经费</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综治、维稳工作属于</w:t>
      </w:r>
      <w:r>
        <w:rPr>
          <w:rFonts w:hint="eastAsia" w:ascii="仿宋_GB2312" w:hAnsi="仿宋_GB2312" w:eastAsia="仿宋_GB2312" w:cs="仿宋_GB2312"/>
          <w:sz w:val="32"/>
          <w:szCs w:val="32"/>
        </w:rPr>
        <w:t>涉密</w:t>
      </w:r>
      <w:r>
        <w:rPr>
          <w:rFonts w:hint="eastAsia" w:ascii="仿宋_GB2312" w:hAnsi="仿宋_GB2312" w:eastAsia="仿宋_GB2312" w:cs="仿宋_GB2312"/>
          <w:sz w:val="32"/>
          <w:szCs w:val="32"/>
          <w:lang w:eastAsia="zh-CN"/>
        </w:rPr>
        <w:t>不予公开。</w:t>
      </w:r>
    </w:p>
    <w:p>
      <w:pPr>
        <w:spacing w:line="580" w:lineRule="exact"/>
        <w:ind w:firstLine="642"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3"/>
          <w:rFonts w:ascii="黑体" w:hAnsi="黑体" w:eastAsia="黑体"/>
          <w:b w:val="0"/>
        </w:rPr>
      </w:pPr>
      <w:bookmarkStart w:id="105" w:name="_Toc79163879"/>
      <w:bookmarkStart w:id="106" w:name="_Toc15377225"/>
      <w:bookmarkStart w:id="107" w:name="_Toc15396613"/>
      <w:bookmarkStart w:id="108" w:name="_Toc79163629"/>
      <w:r>
        <w:rPr>
          <w:rFonts w:hint="eastAsia" w:ascii="黑体" w:hAnsi="黑体" w:eastAsia="黑体"/>
          <w:color w:val="000000"/>
          <w:sz w:val="44"/>
          <w:szCs w:val="44"/>
        </w:rPr>
        <w:t>名</w:t>
      </w:r>
      <w:r>
        <w:rPr>
          <w:rStyle w:val="23"/>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一般公共服务201类20136款其他共产党事务支出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2013601指</w:t>
      </w:r>
      <w:r>
        <w:rPr>
          <w:rFonts w:hint="eastAsia" w:ascii="仿宋_GB2312" w:eastAsia="仿宋_GB2312"/>
          <w:color w:val="000000"/>
          <w:sz w:val="32"/>
          <w:szCs w:val="32"/>
          <w:lang w:eastAsia="zh-CN"/>
        </w:rPr>
        <w:t>委机关工作人员工资及日常商品服务支出</w:t>
      </w:r>
      <w:r>
        <w:rPr>
          <w:rFonts w:hint="eastAsia" w:ascii="仿宋_GB2312" w:eastAsia="仿宋_GB2312"/>
          <w:color w:val="000000"/>
          <w:sz w:val="32"/>
          <w:szCs w:val="32"/>
        </w:rPr>
        <w:t>。2013602</w:t>
      </w:r>
      <w:r>
        <w:rPr>
          <w:rFonts w:hint="eastAsia" w:ascii="仿宋_GB2312" w:eastAsia="仿宋_GB2312"/>
          <w:color w:val="000000"/>
          <w:sz w:val="32"/>
          <w:szCs w:val="32"/>
          <w:lang w:eastAsia="zh-CN"/>
        </w:rPr>
        <w:t>指一般行政管理事务用于指挥部维稳工作日常工作开展的日常商品服务支出，2013650指委机关事业工作的人员工资及日常商品服务支出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公共安全204</w:t>
      </w:r>
      <w:r>
        <w:rPr>
          <w:rFonts w:hint="eastAsia" w:ascii="仿宋_GB2312" w:eastAsia="仿宋_GB2312"/>
          <w:color w:val="000000"/>
          <w:sz w:val="32"/>
          <w:szCs w:val="32"/>
          <w:lang w:eastAsia="zh-CN"/>
        </w:rPr>
        <w:t>类</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02</w:t>
      </w:r>
      <w:r>
        <w:rPr>
          <w:rFonts w:hint="eastAsia" w:ascii="仿宋_GB2312" w:eastAsia="仿宋_GB2312"/>
          <w:color w:val="000000"/>
          <w:sz w:val="32"/>
          <w:szCs w:val="32"/>
          <w:lang w:eastAsia="zh-CN"/>
        </w:rPr>
        <w:t>款公共安全支出，</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0202一般行政管理事务：指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综治基层建设</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，主要用于综治日常工作经费支出</w:t>
      </w:r>
      <w:r>
        <w:rPr>
          <w:rFonts w:hint="eastAsia" w:ascii="仿宋_GB2312" w:eastAsia="仿宋_GB2312"/>
          <w:color w:val="000000"/>
          <w:sz w:val="32"/>
          <w:szCs w:val="32"/>
        </w:rPr>
        <w:t>。2040699其他司法支出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 w:hAnsi="仿宋" w:eastAsia="仿宋" w:cs="仿宋"/>
          <w:b w:val="0"/>
          <w:bCs w:val="0"/>
          <w:sz w:val="32"/>
          <w:szCs w:val="32"/>
          <w:lang w:val="en-US" w:eastAsia="zh-CN"/>
        </w:rPr>
        <w:t>扫黑工作经费</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，主要用于全县</w:t>
      </w:r>
      <w:r>
        <w:rPr>
          <w:rFonts w:hint="eastAsia" w:ascii="仿宋" w:hAnsi="仿宋" w:eastAsia="仿宋" w:cs="仿宋"/>
          <w:b w:val="0"/>
          <w:bCs w:val="0"/>
          <w:sz w:val="32"/>
          <w:szCs w:val="32"/>
          <w:lang w:val="en-US" w:eastAsia="zh-CN"/>
        </w:rPr>
        <w:t>扫黑日常工作经费支出。</w:t>
      </w:r>
      <w:r>
        <w:rPr>
          <w:rFonts w:hint="eastAsia" w:ascii="仿宋_GB2312" w:eastAsia="仿宋_GB2312"/>
          <w:color w:val="000000"/>
          <w:sz w:val="32"/>
          <w:szCs w:val="32"/>
        </w:rPr>
        <w:t>2049901其他公共安全支出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hAnsi="仿宋_GB2312" w:eastAsia="仿宋_GB2312" w:cs="仿宋_GB2312"/>
          <w:i w:val="0"/>
          <w:caps w:val="0"/>
          <w:color w:val="333333"/>
          <w:spacing w:val="0"/>
          <w:sz w:val="32"/>
          <w:szCs w:val="32"/>
          <w:shd w:val="clear" w:fill="FFFFFF"/>
        </w:rPr>
        <w:t>大调解工作</w:t>
      </w:r>
      <w:r>
        <w:rPr>
          <w:rFonts w:hint="eastAsia" w:ascii="仿宋_GB2312" w:hAnsi="仿宋_GB2312" w:eastAsia="仿宋_GB2312" w:cs="仿宋_GB2312"/>
          <w:i w:val="0"/>
          <w:caps w:val="0"/>
          <w:color w:val="333333"/>
          <w:spacing w:val="0"/>
          <w:sz w:val="32"/>
          <w:szCs w:val="32"/>
          <w:shd w:val="clear" w:fill="FFFFFF"/>
          <w:lang w:eastAsia="zh-CN"/>
        </w:rPr>
        <w:t>经费</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，主要用于</w:t>
      </w:r>
      <w:r>
        <w:rPr>
          <w:rFonts w:hint="eastAsia" w:ascii="仿宋_GB2312" w:hAnsi="仿宋_GB2312" w:eastAsia="仿宋_GB2312" w:cs="仿宋_GB2312"/>
          <w:i w:val="0"/>
          <w:caps w:val="0"/>
          <w:color w:val="333333"/>
          <w:spacing w:val="0"/>
          <w:sz w:val="32"/>
          <w:szCs w:val="32"/>
          <w:shd w:val="clear" w:fill="FFFFFF"/>
        </w:rPr>
        <w:t>大调解</w:t>
      </w:r>
      <w:r>
        <w:rPr>
          <w:rFonts w:hint="eastAsia" w:ascii="仿宋_GB2312" w:hAnsi="仿宋_GB2312" w:eastAsia="仿宋_GB2312" w:cs="仿宋_GB2312"/>
          <w:i w:val="0"/>
          <w:caps w:val="0"/>
          <w:color w:val="333333"/>
          <w:spacing w:val="0"/>
          <w:sz w:val="32"/>
          <w:szCs w:val="32"/>
          <w:shd w:val="clear" w:fill="FFFFFF"/>
          <w:lang w:eastAsia="zh-CN"/>
        </w:rPr>
        <w:t>日常</w:t>
      </w:r>
      <w:r>
        <w:rPr>
          <w:rFonts w:hint="eastAsia" w:ascii="仿宋_GB2312" w:hAnsi="仿宋_GB2312" w:eastAsia="仿宋_GB2312" w:cs="仿宋_GB2312"/>
          <w:i w:val="0"/>
          <w:caps w:val="0"/>
          <w:color w:val="333333"/>
          <w:spacing w:val="0"/>
          <w:sz w:val="32"/>
          <w:szCs w:val="32"/>
          <w:shd w:val="clear" w:fill="FFFFFF"/>
        </w:rPr>
        <w:t>工作</w:t>
      </w:r>
      <w:r>
        <w:rPr>
          <w:rFonts w:hint="eastAsia" w:ascii="仿宋_GB2312" w:hAnsi="仿宋_GB2312" w:eastAsia="仿宋_GB2312" w:cs="仿宋_GB2312"/>
          <w:i w:val="0"/>
          <w:caps w:val="0"/>
          <w:color w:val="333333"/>
          <w:spacing w:val="0"/>
          <w:sz w:val="32"/>
          <w:szCs w:val="32"/>
          <w:shd w:val="clear" w:fill="FFFFFF"/>
          <w:lang w:eastAsia="zh-CN"/>
        </w:rPr>
        <w:t>经费支出，</w:t>
      </w:r>
    </w:p>
    <w:p>
      <w:pPr>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lang w:val="en-US" w:eastAsia="zh-CN"/>
          <w14:textFill>
            <w14:solidFill>
              <w14:schemeClr w14:val="tx1"/>
            </w14:solidFill>
          </w14:textFill>
        </w:rPr>
        <w:t>08类20802款</w:t>
      </w:r>
      <w:r>
        <w:rPr>
          <w:rFonts w:hint="eastAsia" w:ascii="仿宋_GB2312" w:eastAsia="仿宋_GB2312"/>
          <w:color w:val="000000" w:themeColor="text1"/>
          <w:sz w:val="32"/>
          <w:szCs w:val="32"/>
          <w14:textFill>
            <w14:solidFill>
              <w14:schemeClr w14:val="tx1"/>
            </w14:solidFill>
          </w14:textFill>
        </w:rPr>
        <w:t>2080208</w:t>
      </w:r>
      <w:r>
        <w:rPr>
          <w:rFonts w:hint="eastAsia" w:ascii="仿宋_GB2312" w:eastAsia="仿宋_GB2312"/>
          <w:color w:val="000000" w:themeColor="text1"/>
          <w:sz w:val="32"/>
          <w:szCs w:val="32"/>
          <w:lang w:eastAsia="zh-CN"/>
          <w14:textFill>
            <w14:solidFill>
              <w14:schemeClr w14:val="tx1"/>
            </w14:solidFill>
          </w14:textFill>
        </w:rPr>
        <w:t>项</w:t>
      </w:r>
      <w:r>
        <w:rPr>
          <w:rFonts w:hint="eastAsia" w:ascii="仿宋_GB2312" w:eastAsia="仿宋_GB2312"/>
          <w:color w:val="000000" w:themeColor="text1"/>
          <w:sz w:val="32"/>
          <w:szCs w:val="32"/>
          <w14:textFill>
            <w14:solidFill>
              <w14:schemeClr w14:val="tx1"/>
            </w14:solidFill>
          </w14:textFill>
        </w:rPr>
        <w:t>指基层政权和社区建设，2080505</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机关事业单位基本养老保险缴费支出，2080506</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机关事业单位职业年金缴费支出</w:t>
      </w:r>
      <w:r>
        <w:rPr>
          <w:rFonts w:hint="eastAsia" w:ascii="仿宋_GB2312" w:eastAsia="仿宋_GB2312"/>
          <w:color w:val="000000" w:themeColor="text1"/>
          <w:sz w:val="32"/>
          <w:szCs w:val="32"/>
          <w:lang w:eastAsia="zh-CN"/>
          <w14:textFill>
            <w14:solidFill>
              <w14:schemeClr w14:val="tx1"/>
            </w14:solidFill>
          </w14:textFill>
        </w:rPr>
        <w:t>。</w:t>
      </w:r>
    </w:p>
    <w:p>
      <w:pPr>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w:t>
      </w:r>
      <w:r>
        <w:rPr>
          <w:rFonts w:hint="eastAsia" w:ascii="仿宋_GB2312" w:eastAsia="仿宋_GB2312"/>
          <w:color w:val="000000"/>
          <w:sz w:val="32"/>
          <w:szCs w:val="32"/>
        </w:rPr>
        <w:t>210类21011款2101101项：指行政单位医疗</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。210类21011款210110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：指事业单位医疗支出，</w:t>
      </w:r>
      <w:r>
        <w:rPr>
          <w:rFonts w:hint="eastAsia" w:ascii="仿宋_GB2312" w:eastAsia="仿宋_GB2312"/>
          <w:color w:val="000000"/>
          <w:sz w:val="32"/>
          <w:szCs w:val="32"/>
        </w:rPr>
        <w:t>210类21011款210110</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：指公务员医疗补助支出，</w:t>
      </w:r>
      <w:r>
        <w:rPr>
          <w:rFonts w:hint="eastAsia" w:ascii="仿宋_GB2312" w:eastAsia="仿宋_GB2312"/>
          <w:color w:val="000000"/>
          <w:sz w:val="32"/>
          <w:szCs w:val="32"/>
        </w:rPr>
        <w:t>210类21011款21011</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：指其他行政事业单位医疗支出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Style w:val="23"/>
          <w:rFonts w:ascii="黑体" w:hAnsi="黑体" w:eastAsia="黑体"/>
          <w:b w:val="0"/>
        </w:rPr>
      </w:pPr>
      <w:bookmarkStart w:id="109" w:name="_Toc15377226"/>
      <w:r>
        <w:rPr>
          <w:rFonts w:ascii="宋体"/>
          <w:b/>
          <w:color w:val="000000"/>
          <w:sz w:val="44"/>
          <w:szCs w:val="44"/>
        </w:rPr>
        <w:br w:type="page"/>
      </w:r>
      <w:bookmarkStart w:id="110" w:name="_Toc15396614"/>
      <w:bookmarkStart w:id="111" w:name="_Toc79163630"/>
      <w:bookmarkStart w:id="112" w:name="_Toc79163880"/>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黑体" w:hAnsi="宋体" w:eastAsia="黑体" w:cs="宋体"/>
          <w:color w:val="000000"/>
          <w:kern w:val="0"/>
          <w:sz w:val="24"/>
          <w:szCs w:val="32"/>
          <w:shd w:val="clear" w:color="auto" w:fill="FFFFFF"/>
        </w:rPr>
      </w:pPr>
      <w:bookmarkStart w:id="115" w:name="_Toc79163632"/>
      <w:bookmarkStart w:id="116" w:name="_Toc79163882"/>
      <w:r>
        <w:rPr>
          <w:rFonts w:hint="eastAsia" w:ascii="方正小标宋简体" w:hAnsi="黑体" w:eastAsia="方正小标宋简体" w:cs="黑体"/>
          <w:sz w:val="44"/>
          <w:szCs w:val="44"/>
          <w:lang w:eastAsia="zh-CN"/>
        </w:rPr>
        <w:t>政法委</w:t>
      </w:r>
      <w:r>
        <w:rPr>
          <w:rFonts w:hint="eastAsia" w:ascii="方正小标宋简体" w:hAnsi="黑体" w:eastAsia="方正小标宋简体" w:cs="黑体"/>
          <w:sz w:val="44"/>
          <w:szCs w:val="44"/>
        </w:rPr>
        <w:t>部门</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5"/>
      <w:bookmarkEnd w:id="116"/>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i w:val="0"/>
          <w:caps w:val="0"/>
          <w:color w:val="333333"/>
          <w:spacing w:val="0"/>
          <w:sz w:val="32"/>
          <w:szCs w:val="32"/>
          <w:shd w:val="clear" w:color="auto" w:fill="FFFFFF"/>
        </w:rPr>
        <w:t>本部门预算</w:t>
      </w:r>
      <w:r>
        <w:rPr>
          <w:rFonts w:hint="eastAsia" w:ascii="仿宋_GB2312" w:hAnsi="仿宋_GB2312" w:eastAsia="仿宋_GB2312" w:cs="仿宋_GB2312"/>
          <w:i w:val="0"/>
          <w:caps w:val="0"/>
          <w:color w:val="333333"/>
          <w:spacing w:val="0"/>
          <w:sz w:val="32"/>
          <w:szCs w:val="32"/>
          <w:shd w:val="clear" w:color="auto" w:fill="FFFFFF"/>
          <w:lang w:eastAsia="zh-CN"/>
        </w:rPr>
        <w:t>行政</w:t>
      </w:r>
      <w:r>
        <w:rPr>
          <w:rFonts w:hint="eastAsia" w:ascii="仿宋_GB2312" w:hAnsi="仿宋_GB2312" w:eastAsia="仿宋_GB2312" w:cs="仿宋_GB2312"/>
          <w:i w:val="0"/>
          <w:caps w:val="0"/>
          <w:color w:val="333333"/>
          <w:spacing w:val="0"/>
          <w:sz w:val="32"/>
          <w:szCs w:val="32"/>
          <w:shd w:val="clear" w:color="auto" w:fill="FFFFFF"/>
        </w:rPr>
        <w:t>单位1个，其中内设机构有</w:t>
      </w:r>
      <w:r>
        <w:rPr>
          <w:rFonts w:hint="eastAsia" w:ascii="仿宋_GB2312" w:hAnsi="仿宋_GB2312" w:eastAsia="仿宋_GB2312" w:cs="仿宋_GB2312"/>
          <w:b w:val="0"/>
          <w:bCs w:val="0"/>
          <w:color w:val="000000"/>
          <w:sz w:val="32"/>
          <w:szCs w:val="32"/>
          <w:lang w:val="en-US" w:eastAsia="zh-CN"/>
        </w:rPr>
        <w:t>4个</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i w:val="0"/>
          <w:caps w:val="0"/>
          <w:color w:val="333333"/>
          <w:spacing w:val="0"/>
          <w:sz w:val="32"/>
          <w:szCs w:val="32"/>
          <w:shd w:val="clear" w:color="auto" w:fill="FFFFFF"/>
        </w:rPr>
        <w:t>办公室、</w:t>
      </w:r>
      <w:r>
        <w:rPr>
          <w:rFonts w:hint="eastAsia" w:ascii="仿宋_GB2312" w:hAnsi="仿宋_GB2312" w:eastAsia="仿宋_GB2312" w:cs="仿宋_GB2312"/>
          <w:b w:val="0"/>
          <w:bCs w:val="0"/>
          <w:color w:val="000000"/>
          <w:sz w:val="32"/>
          <w:szCs w:val="32"/>
        </w:rPr>
        <w:t>政治安全与反分裂维稳指导股</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基层社会治理和综治督导股</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政治部</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i w:val="0"/>
          <w:caps w:val="0"/>
          <w:color w:val="333333"/>
          <w:spacing w:val="0"/>
          <w:sz w:val="32"/>
          <w:szCs w:val="32"/>
          <w:shd w:val="clear" w:color="auto" w:fill="FFFFFF"/>
        </w:rPr>
        <w:t>县矛盾纠纷“大调解”协调中心、</w:t>
      </w:r>
      <w:r>
        <w:rPr>
          <w:rFonts w:hint="eastAsia" w:ascii="仿宋_GB2312" w:hAnsi="仿宋_GB2312" w:eastAsia="仿宋_GB2312" w:cs="仿宋_GB2312"/>
          <w:i w:val="0"/>
          <w:caps w:val="0"/>
          <w:color w:val="333333"/>
          <w:spacing w:val="0"/>
          <w:sz w:val="32"/>
          <w:szCs w:val="32"/>
          <w:shd w:val="clear" w:color="auto" w:fill="FFFFFF"/>
          <w:lang w:eastAsia="zh-CN"/>
        </w:rPr>
        <w:t>县委维稳指挥部、</w:t>
      </w:r>
      <w:r>
        <w:rPr>
          <w:rFonts w:hint="eastAsia" w:ascii="仿宋_GB2312" w:hAnsi="仿宋_GB2312" w:eastAsia="仿宋_GB2312" w:cs="仿宋_GB2312"/>
          <w:i w:val="0"/>
          <w:caps w:val="0"/>
          <w:color w:val="333333"/>
          <w:spacing w:val="0"/>
          <w:sz w:val="32"/>
          <w:szCs w:val="32"/>
          <w:shd w:val="clear" w:color="auto" w:fill="FFFFFF"/>
        </w:rPr>
        <w:t>扫黑除恶办等合署办公。县矛盾纠纷“大调解”协调中心属于事业</w:t>
      </w:r>
      <w:r>
        <w:rPr>
          <w:rFonts w:hint="eastAsia" w:ascii="仿宋_GB2312" w:hAnsi="仿宋_GB2312" w:eastAsia="仿宋_GB2312" w:cs="仿宋_GB2312"/>
          <w:i w:val="0"/>
          <w:caps w:val="0"/>
          <w:color w:val="333333"/>
          <w:spacing w:val="0"/>
          <w:sz w:val="32"/>
          <w:szCs w:val="32"/>
          <w:shd w:val="clear" w:color="auto" w:fill="FFFFFF"/>
          <w:lang w:eastAsia="zh-CN"/>
        </w:rPr>
        <w:t>。</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pStyle w:val="6"/>
        <w:keepNext w:val="0"/>
        <w:keepLines w:val="0"/>
        <w:pageBreakBefore w:val="0"/>
        <w:widowControl w:val="0"/>
        <w:kinsoku/>
        <w:wordWrap/>
        <w:overflowPunct/>
        <w:topLinePunct w:val="0"/>
        <w:autoSpaceDE/>
        <w:autoSpaceDN/>
        <w:bidi w:val="0"/>
        <w:adjustRightInd w:val="0"/>
        <w:snapToGrid w:val="0"/>
        <w:spacing w:beforeLines="0" w:line="560" w:lineRule="exact"/>
        <w:ind w:right="0" w:rightChars="0"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县委政法委的主要职责是：</w:t>
      </w: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深入贯彻党的路线方针政策和决策部署，统一政法各部门思想和行动，坚持党对政法工作的绝对领导，坚决维护党中央权威和集中统一领导。</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深入贯彻党中央决定和省委、州委、县委决策，对政法工作研究提出全局性部署，推进平安红原、法治红原建设，加强过硬队伍建设，深化智能化建设，坚决维护国家政治安全、确保社会大局稳定、促进社会公平正义、保障人民安居乐业。</w:t>
      </w:r>
      <w:r>
        <w:rPr>
          <w:rFonts w:hint="eastAsia" w:ascii="仿宋_GB2312" w:hAnsi="仿宋_GB2312" w:eastAsia="仿宋_GB2312" w:cs="仿宋_GB2312"/>
          <w:sz w:val="32"/>
          <w:szCs w:val="32"/>
          <w:lang w:eastAsia="zh-CN"/>
        </w:rPr>
        <w:t>三是</w:t>
      </w:r>
      <w:r>
        <w:rPr>
          <w:rFonts w:hint="eastAsia" w:ascii="仿宋_GB2312" w:hAnsi="仿宋_GB2312" w:eastAsia="仿宋_GB2312" w:cs="仿宋_GB2312"/>
          <w:sz w:val="32"/>
          <w:szCs w:val="32"/>
        </w:rPr>
        <w:t>了解掌握和分析研判政法工作情况动态，分析全县社会稳定形势，创新完善多部门参与的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r>
        <w:rPr>
          <w:rFonts w:hint="eastAsia" w:ascii="仿宋_GB2312" w:hAnsi="仿宋_GB2312" w:eastAsia="仿宋_GB2312" w:cs="仿宋_GB2312"/>
          <w:sz w:val="32"/>
          <w:szCs w:val="32"/>
          <w:lang w:eastAsia="zh-CN"/>
        </w:rPr>
        <w:t>四是</w:t>
      </w:r>
      <w:r>
        <w:rPr>
          <w:rFonts w:hint="eastAsia" w:ascii="仿宋_GB2312" w:hAnsi="仿宋_GB2312" w:eastAsia="仿宋_GB2312" w:cs="仿宋_GB2312"/>
          <w:sz w:val="32"/>
          <w:szCs w:val="32"/>
        </w:rPr>
        <w:t>加强对政法工作的督查，统筹协调维护政治安全、社会治安综合治理、维护社会稳定、反邪教有关法律法规政策的实施工作；指导全县政法系统网络安全和智能化建设工作</w:t>
      </w:r>
      <w:r>
        <w:rPr>
          <w:rFonts w:hint="eastAsia" w:ascii="仿宋_GB2312" w:hAnsi="仿宋_GB2312" w:eastAsia="仿宋_GB2312" w:cs="仿宋_GB2312"/>
          <w:sz w:val="32"/>
          <w:szCs w:val="32"/>
          <w:lang w:eastAsia="zh-CN"/>
        </w:rPr>
        <w:t>。五是</w:t>
      </w:r>
      <w:r>
        <w:rPr>
          <w:rFonts w:hint="eastAsia" w:ascii="仿宋_GB2312" w:hAnsi="仿宋_GB2312" w:eastAsia="仿宋_GB2312" w:cs="仿宋_GB2312"/>
          <w:sz w:val="32"/>
          <w:szCs w:val="32"/>
        </w:rPr>
        <w:t>组织开展政法领域的调查研究，研究拟订全县政法工作的政策措施，及时向县委提出建议。</w:t>
      </w:r>
      <w:r>
        <w:rPr>
          <w:rFonts w:hint="eastAsia" w:ascii="仿宋_GB2312" w:hAnsi="仿宋_GB2312" w:eastAsia="仿宋_GB2312" w:cs="仿宋_GB2312"/>
          <w:sz w:val="32"/>
          <w:szCs w:val="32"/>
          <w:lang w:eastAsia="zh-CN"/>
        </w:rPr>
        <w:t>六是</w:t>
      </w:r>
      <w:r>
        <w:rPr>
          <w:rFonts w:hint="eastAsia" w:ascii="仿宋_GB2312" w:hAnsi="仿宋_GB2312" w:eastAsia="仿宋_GB2312" w:cs="仿宋_GB2312"/>
          <w:sz w:val="32"/>
          <w:szCs w:val="32"/>
        </w:rPr>
        <w:t>参与有关地方性法规和规章的起草、修改工作，及时提出立法建议。掌握分析政法舆情动态，指导协调政法部门媒体网络宣传工作，指导政法部门做好涉及政法工作的重大宣传和舆论引导工作。</w:t>
      </w:r>
      <w:r>
        <w:rPr>
          <w:rFonts w:hint="eastAsia" w:ascii="仿宋_GB2312" w:hAnsi="仿宋_GB2312" w:eastAsia="仿宋_GB2312" w:cs="仿宋_GB2312"/>
          <w:sz w:val="32"/>
          <w:szCs w:val="32"/>
          <w:lang w:eastAsia="zh-CN"/>
        </w:rPr>
        <w:t>七是</w:t>
      </w:r>
      <w:r>
        <w:rPr>
          <w:rFonts w:hint="eastAsia" w:ascii="仿宋_GB2312" w:hAnsi="仿宋_GB2312" w:eastAsia="仿宋_GB2312" w:cs="仿宋_GB2312"/>
          <w:sz w:val="32"/>
          <w:szCs w:val="32"/>
        </w:rPr>
        <w:t>监督和支持政法各部门依法行使职权，指导和协调政法各部门密切配合，研究和协调重大、疑难案件，推进严格执法、公正司法。组织研究政法改革中带有方向性、倾向性和普遍性的重大问题，深化政法改革。</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指导推动政法系统党的建设和政法队伍建设，协同县级有关职能部门管理监督政法领导干部，代管红原县法学会。</w:t>
      </w:r>
      <w:r>
        <w:rPr>
          <w:rFonts w:hint="eastAsia" w:ascii="仿宋_GB2312" w:hAnsi="仿宋_GB2312" w:eastAsia="仿宋_GB2312" w:cs="仿宋_GB2312"/>
          <w:sz w:val="32"/>
          <w:szCs w:val="32"/>
          <w:lang w:eastAsia="zh-CN"/>
        </w:rPr>
        <w:t>九是</w:t>
      </w:r>
      <w:r>
        <w:rPr>
          <w:rFonts w:hint="eastAsia" w:ascii="仿宋_GB2312" w:hAnsi="仿宋_GB2312" w:eastAsia="仿宋_GB2312" w:cs="仿宋_GB2312"/>
          <w:sz w:val="32"/>
          <w:szCs w:val="32"/>
        </w:rPr>
        <w:t>完成县委交办的其他任务。</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i w:val="0"/>
          <w:caps w:val="0"/>
          <w:color w:val="333333"/>
          <w:spacing w:val="0"/>
          <w:sz w:val="32"/>
          <w:szCs w:val="32"/>
          <w:shd w:val="clear" w:fill="FFFFFF"/>
        </w:rPr>
        <w:t>人员情况：总编制15名，其中，行政编制10名，行政工勤1名，事业编制4名。在职人员总数17人，</w:t>
      </w:r>
      <w:r>
        <w:rPr>
          <w:rFonts w:hint="eastAsia" w:ascii="仿宋_GB2312" w:hAnsi="仿宋_GB2312" w:eastAsia="仿宋_GB2312" w:cs="仿宋_GB2312"/>
          <w:sz w:val="32"/>
          <w:szCs w:val="32"/>
        </w:rPr>
        <w:t>其中，行政12名，行政工勤1名，</w:t>
      </w:r>
      <w:r>
        <w:rPr>
          <w:rFonts w:hint="eastAsia" w:ascii="仿宋_GB2312" w:hAnsi="仿宋_GB2312" w:eastAsia="仿宋_GB2312" w:cs="仿宋_GB2312"/>
          <w:i w:val="0"/>
          <w:caps w:val="0"/>
          <w:color w:val="333333"/>
          <w:spacing w:val="0"/>
          <w:sz w:val="32"/>
          <w:szCs w:val="32"/>
          <w:shd w:val="clear" w:fill="FFFFFF"/>
        </w:rPr>
        <w:t>事业4名。</w:t>
      </w:r>
      <w:r>
        <w:rPr>
          <w:rFonts w:hint="eastAsia" w:ascii="仿宋_GB2312" w:hAnsi="仿宋_GB2312" w:eastAsia="仿宋_GB2312" w:cs="仿宋_GB2312"/>
          <w:sz w:val="32"/>
          <w:szCs w:val="32"/>
        </w:rPr>
        <w:t>退休人员5人，长瞻人员1 人。今年行政人员调出1人，死亡1人，调入2人。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仿宋_GB2312" w:eastAsia="仿宋_GB2312" w:cs="仿宋_GB2312"/>
          <w:sz w:val="32"/>
          <w:szCs w:val="32"/>
          <w:lang w:val="en-US" w:eastAsia="zh-CN"/>
        </w:rPr>
        <w:t>2020年</w:t>
      </w:r>
      <w:r>
        <w:rPr>
          <w:rFonts w:hint="eastAsia" w:ascii="仿宋_GB2312" w:hAnsi="仿宋_GB2312" w:eastAsia="仿宋_GB2312" w:cs="仿宋_GB2312"/>
          <w:sz w:val="32"/>
          <w:szCs w:val="32"/>
        </w:rPr>
        <w:t>本年收入</w:t>
      </w:r>
      <w:r>
        <w:rPr>
          <w:rFonts w:hint="eastAsia" w:ascii="仿宋_GB2312" w:hAnsi="仿宋_GB2312" w:eastAsia="仿宋_GB2312" w:cs="仿宋_GB2312"/>
          <w:sz w:val="32"/>
          <w:szCs w:val="32"/>
          <w:lang w:val="en-US" w:eastAsia="zh-CN"/>
        </w:rPr>
        <w:t>649.46万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lang w:val="en-US" w:eastAsia="zh-CN"/>
        </w:rPr>
        <w:t>2020年</w:t>
      </w:r>
      <w:r>
        <w:rPr>
          <w:rFonts w:hint="eastAsia" w:ascii="仿宋_GB2312" w:hAnsi="仿宋_GB2312" w:eastAsia="仿宋_GB2312" w:cs="仿宋_GB2312"/>
          <w:sz w:val="32"/>
          <w:szCs w:val="32"/>
        </w:rPr>
        <w:t>本年</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648.86万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48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包括部门绩效目标制定、目标实现、预算编制准确、支出控制、预算动态调整、执行进度、预算完成情况和违规记录等情况。本年政法委经费</w:t>
      </w:r>
      <w:r>
        <w:rPr>
          <w:rFonts w:hint="eastAsia" w:ascii="仿宋_GB2312" w:eastAsia="仿宋_GB2312"/>
          <w:color w:val="000000" w:themeColor="text1"/>
          <w:sz w:val="32"/>
          <w:szCs w:val="32"/>
          <w:lang w:val="zh-CN"/>
          <w14:textFill>
            <w14:solidFill>
              <w14:schemeClr w14:val="tx1"/>
            </w14:solidFill>
          </w14:textFill>
        </w:rPr>
        <w:t>主要由三公经费、项目支出、公用经费、</w:t>
      </w:r>
      <w:r>
        <w:rPr>
          <w:rFonts w:hint="eastAsia" w:ascii="仿宋_GB2312" w:eastAsia="仿宋_GB2312"/>
          <w:color w:val="000000" w:themeColor="text1"/>
          <w:sz w:val="32"/>
          <w:szCs w:val="32"/>
          <w14:textFill>
            <w14:solidFill>
              <w14:schemeClr w14:val="tx1"/>
            </w14:solidFill>
          </w14:textFill>
        </w:rPr>
        <w:t>人员经费构成。</w:t>
      </w:r>
      <w:r>
        <w:rPr>
          <w:rFonts w:hint="eastAsia" w:ascii="楷体" w:hAnsi="楷体" w:eastAsia="楷体" w:cs="宋体"/>
          <w:color w:val="000000" w:themeColor="text1"/>
          <w:kern w:val="0"/>
          <w:sz w:val="32"/>
          <w:lang w:val="zh-CN"/>
          <w14:textFill>
            <w14:solidFill>
              <w14:schemeClr w14:val="tx1"/>
            </w14:solidFill>
          </w14:textFill>
        </w:rPr>
        <w:t>一是执行管理情况。</w:t>
      </w:r>
      <w:r>
        <w:rPr>
          <w:rFonts w:hint="eastAsia"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年度“三公”经费财政拨款支出决算中，因公出国（境）费支出决算0元；</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10.54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95.13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0.53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4.87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olor w:val="000000" w:themeColor="text1"/>
          <w:sz w:val="32"/>
          <w:szCs w:val="32"/>
          <w:lang w:eastAsia="zh-CN"/>
          <w14:textFill>
            <w14:solidFill>
              <w14:schemeClr w14:val="tx1"/>
            </w14:solidFill>
          </w14:textFill>
        </w:rPr>
        <w:t>预算执行完成情况较好。</w:t>
      </w:r>
      <w:r>
        <w:rPr>
          <w:rFonts w:hint="eastAsia" w:ascii="楷体" w:hAnsi="楷体" w:eastAsia="楷体" w:cs="宋体"/>
          <w:color w:val="000000" w:themeColor="text1"/>
          <w:kern w:val="0"/>
          <w:sz w:val="32"/>
          <w:lang w:val="zh-CN"/>
          <w14:textFill>
            <w14:solidFill>
              <w14:schemeClr w14:val="tx1"/>
            </w14:solidFill>
          </w14:textFill>
        </w:rPr>
        <w:t>二是综合管理情况。</w:t>
      </w:r>
      <w:r>
        <w:rPr>
          <w:rFonts w:hint="eastAsia" w:ascii="仿宋_GB2312" w:eastAsia="仿宋_GB2312"/>
          <w:color w:val="000000" w:themeColor="text1"/>
          <w:sz w:val="32"/>
          <w:szCs w:val="32"/>
          <w:lang w:val="zh-CN"/>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20</w:t>
      </w:r>
      <w:r>
        <w:rPr>
          <w:rFonts w:hint="eastAsia" w:ascii="仿宋_GB2312" w:eastAsia="仿宋_GB2312"/>
          <w:color w:val="000000" w:themeColor="text1"/>
          <w:sz w:val="32"/>
          <w:szCs w:val="32"/>
          <w:lang w:val="zh-CN"/>
          <w14:textFill>
            <w14:solidFill>
              <w14:schemeClr w14:val="tx1"/>
            </w14:solidFill>
          </w14:textFill>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6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楷体" w:hAnsi="楷体" w:eastAsia="楷体" w:cs="宋体"/>
          <w:color w:val="000000" w:themeColor="text1"/>
          <w:kern w:val="0"/>
          <w:sz w:val="32"/>
          <w:lang w:val="en-US" w:eastAsia="zh-CN"/>
          <w14:textFill>
            <w14:solidFill>
              <w14:schemeClr w14:val="tx1"/>
            </w14:solidFill>
          </w14:textFill>
        </w:rPr>
        <w:t>1、</w:t>
      </w:r>
      <w:r>
        <w:rPr>
          <w:rFonts w:hint="eastAsia" w:ascii="楷体" w:hAnsi="楷体" w:eastAsia="楷体" w:cs="宋体"/>
          <w:color w:val="000000" w:themeColor="text1"/>
          <w:kern w:val="0"/>
          <w:sz w:val="32"/>
          <w:lang w:val="zh-CN"/>
          <w14:textFill>
            <w14:solidFill>
              <w14:schemeClr w14:val="tx1"/>
            </w14:solidFill>
          </w14:textFill>
        </w:rPr>
        <w:t>部门职责履行情况分析。</w:t>
      </w:r>
      <w:r>
        <w:rPr>
          <w:rFonts w:hint="eastAsia" w:ascii="仿宋_GB2312" w:eastAsia="仿宋_GB2312"/>
          <w:color w:val="000000" w:themeColor="text1"/>
          <w:sz w:val="32"/>
          <w:szCs w:val="32"/>
          <w:lang w:val="zh-CN"/>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20</w:t>
      </w:r>
      <w:r>
        <w:rPr>
          <w:rFonts w:hint="eastAsia" w:ascii="仿宋_GB2312" w:eastAsia="仿宋_GB2312"/>
          <w:color w:val="000000" w:themeColor="text1"/>
          <w:sz w:val="32"/>
          <w:szCs w:val="32"/>
          <w:lang w:val="zh-CN"/>
          <w14:textFill>
            <w14:solidFill>
              <w14:schemeClr w14:val="tx1"/>
            </w14:solidFill>
          </w14:textFill>
        </w:rPr>
        <w:t>年度我单位年初</w:t>
      </w:r>
      <w:r>
        <w:rPr>
          <w:rFonts w:hint="eastAsia" w:ascii="仿宋_GB2312" w:eastAsia="仿宋_GB2312"/>
          <w:color w:val="000000" w:themeColor="text1"/>
          <w:sz w:val="32"/>
          <w:szCs w:val="32"/>
          <w14:textFill>
            <w14:solidFill>
              <w14:schemeClr w14:val="tx1"/>
            </w14:solidFill>
          </w14:textFill>
        </w:rPr>
        <w:t>根据</w:t>
      </w:r>
      <w:r>
        <w:rPr>
          <w:rFonts w:hint="eastAsia" w:ascii="仿宋_GB2312" w:eastAsia="仿宋_GB2312"/>
          <w:color w:val="000000" w:themeColor="text1"/>
          <w:sz w:val="32"/>
          <w:szCs w:val="32"/>
          <w:lang w:val="zh-CN"/>
          <w14:textFill>
            <w14:solidFill>
              <w14:schemeClr w14:val="tx1"/>
            </w14:solidFill>
          </w14:textFill>
        </w:rPr>
        <w:t>工作规划和重点工作</w:t>
      </w:r>
      <w:r>
        <w:rPr>
          <w:rFonts w:hint="eastAsia" w:ascii="仿宋_GB2312" w:eastAsia="仿宋_GB2312"/>
          <w:color w:val="000000" w:themeColor="text1"/>
          <w:sz w:val="32"/>
          <w:szCs w:val="32"/>
          <w14:textFill>
            <w14:solidFill>
              <w14:schemeClr w14:val="tx1"/>
            </w14:solidFill>
          </w14:textFill>
        </w:rPr>
        <w:t>规划</w:t>
      </w:r>
      <w:r>
        <w:rPr>
          <w:rFonts w:hint="eastAsia" w:ascii="仿宋_GB2312" w:eastAsia="仿宋_GB2312"/>
          <w:color w:val="000000" w:themeColor="text1"/>
          <w:sz w:val="32"/>
          <w:szCs w:val="32"/>
          <w:lang w:val="zh-CN"/>
          <w14:textFill>
            <w14:solidFill>
              <w14:schemeClr w14:val="tx1"/>
            </w14:solidFill>
          </w14:textFill>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en-US" w:eastAsia="zh-CN"/>
          <w14:textFill>
            <w14:solidFill>
              <w14:schemeClr w14:val="tx1"/>
            </w14:solidFill>
          </w14:textFill>
        </w:rPr>
        <w:t>2、</w:t>
      </w:r>
      <w:r>
        <w:rPr>
          <w:rFonts w:hint="eastAsia" w:ascii="楷体" w:hAnsi="楷体" w:eastAsia="楷体" w:cs="宋体"/>
          <w:color w:val="000000" w:themeColor="text1"/>
          <w:kern w:val="0"/>
          <w:sz w:val="32"/>
          <w:lang w:val="zh-CN"/>
          <w14:textFill>
            <w14:solidFill>
              <w14:schemeClr w14:val="tx1"/>
            </w14:solidFill>
          </w14:textFill>
        </w:rPr>
        <w:t>社会经济效益分析。</w:t>
      </w:r>
      <w:r>
        <w:rPr>
          <w:rFonts w:hint="eastAsia" w:ascii="仿宋_GB2312" w:eastAsia="仿宋_GB2312"/>
          <w:color w:val="000000" w:themeColor="text1"/>
          <w:sz w:val="32"/>
          <w:szCs w:val="32"/>
          <w:lang w:val="zh-CN"/>
          <w14:textFill>
            <w14:solidFill>
              <w14:schemeClr w14:val="tx1"/>
            </w14:solidFill>
          </w14:textFill>
        </w:rPr>
        <w:t>一是本年预算配置控制较好。财政供养人员控制在预算编制以内，编制内在职人员控制率为100%；“三公经费”控制在年初预算以内。二是预算执行情况控制较好。支出总额控制在年初预算总额以内，本年部门预算完成率达到了100%，未进行预算相关事项的调整，预算控制良好。三是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themeColor="text1"/>
          <w:kern w:val="0"/>
          <w:sz w:val="32"/>
          <w:lang w:val="zh-CN"/>
          <w14:textFill>
            <w14:solidFill>
              <w14:schemeClr w14:val="tx1"/>
            </w14:solidFill>
          </w14:textFill>
        </w:rPr>
        <w:t>。</w:t>
      </w:r>
    </w:p>
    <w:p>
      <w:pPr>
        <w:widowControl/>
        <w:adjustRightInd w:val="0"/>
        <w:snapToGrid w:val="0"/>
        <w:spacing w:line="560" w:lineRule="exact"/>
        <w:ind w:firstLine="640" w:firstLineChars="200"/>
        <w:jc w:val="both"/>
        <w:rPr>
          <w:rFonts w:ascii="仿宋_GB2312" w:hAnsi="宋体" w:eastAsia="仿宋_GB2312" w:cs="宋体"/>
          <w:color w:val="000000"/>
          <w:kern w:val="0"/>
          <w:sz w:val="32"/>
          <w:szCs w:val="32"/>
          <w:shd w:val="clear" w:color="auto" w:fill="FFFFFF"/>
          <w:lang w:val="zh-CN"/>
        </w:rPr>
      </w:pPr>
      <w:r>
        <w:rPr>
          <w:rFonts w:hint="eastAsia" w:ascii="楷体" w:hAnsi="楷体" w:eastAsia="楷体" w:cs="宋体"/>
          <w:color w:val="000000" w:themeColor="text1"/>
          <w:kern w:val="0"/>
          <w:sz w:val="32"/>
          <w:lang w:val="en-US" w:eastAsia="zh-CN"/>
          <w14:textFill>
            <w14:solidFill>
              <w14:schemeClr w14:val="tx1"/>
            </w14:solidFill>
          </w14:textFill>
        </w:rPr>
        <w:t>3、</w:t>
      </w:r>
      <w:r>
        <w:rPr>
          <w:rFonts w:hint="eastAsia" w:ascii="楷体" w:hAnsi="楷体" w:eastAsia="楷体" w:cs="宋体"/>
          <w:color w:val="000000" w:themeColor="text1"/>
          <w:kern w:val="0"/>
          <w:sz w:val="32"/>
          <w:lang w:val="zh-CN"/>
          <w14:textFill>
            <w14:solidFill>
              <w14:schemeClr w14:val="tx1"/>
            </w14:solidFill>
          </w14:textFill>
        </w:rPr>
        <w:t>行政效能分析。</w:t>
      </w:r>
      <w:r>
        <w:rPr>
          <w:rFonts w:hint="eastAsia" w:ascii="仿宋_GB2312" w:eastAsia="仿宋_GB2312"/>
          <w:color w:val="000000" w:themeColor="text1"/>
          <w:sz w:val="32"/>
          <w:szCs w:val="32"/>
          <w:lang w:val="zh-CN"/>
          <w14:textFill>
            <w14:solidFill>
              <w14:schemeClr w14:val="tx1"/>
            </w14:solidFill>
          </w14:textFill>
        </w:rPr>
        <w:t>财政预算按排在很大程度上保障了本单位基本支出及公用经费支出的正常工作运转。预算按排的项目支出也是非常必要的。财政预算按排大大提财政资金的使用效率，财政资金的安全性得到了有效保障，我们在执行预算过程中是严格按照财政各项制度规定来办理，单位在项目资金的使用上也是安全的。</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en-US" w:eastAsia="zh-CN"/>
          <w14:textFill>
            <w14:solidFill>
              <w14:schemeClr w14:val="tx1"/>
            </w14:solidFill>
          </w14:textFill>
        </w:rPr>
        <w:t>2020年度根据</w:t>
      </w: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预算编制，严格执行预算经费使用，总体效果较好。</w:t>
      </w:r>
    </w:p>
    <w:p>
      <w:pPr>
        <w:widowControl/>
        <w:numPr>
          <w:ilvl w:val="0"/>
          <w:numId w:val="8"/>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auto"/>
        <w:outlineLvl w:val="9"/>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kern w:val="0"/>
          <w:sz w:val="32"/>
          <w:szCs w:val="32"/>
          <w:shd w:val="clear" w:fill="FFFFFF"/>
          <w:lang w:val="en-US" w:eastAsia="zh-CN" w:bidi="ar"/>
        </w:rPr>
        <w:t>一是应加强公务卡使用力度，保证资金的合理使用；二是了解财政各项规定，严格按照规定执行，做好费用报销审核工作；三是推进项目资金的使用进度，提高资金使用效率；四是加强制度建设，将行动落实到实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2" w:firstLineChars="200"/>
        <w:jc w:val="left"/>
        <w:textAlignment w:val="auto"/>
        <w:outlineLvl w:val="9"/>
        <w:rPr>
          <w:rFonts w:hint="eastAsia" w:ascii="仿宋" w:hAnsi="仿宋" w:eastAsia="仿宋" w:cs="仿宋"/>
          <w:b w:val="0"/>
          <w:i w:val="0"/>
          <w:caps w:val="0"/>
          <w:color w:val="333333"/>
          <w:spacing w:val="0"/>
          <w:sz w:val="32"/>
          <w:szCs w:val="32"/>
        </w:rPr>
      </w:pPr>
      <w:r>
        <w:rPr>
          <w:rFonts w:hint="eastAsia" w:ascii="仿宋" w:hAnsi="仿宋" w:eastAsia="仿宋" w:cs="仿宋"/>
          <w:b/>
          <w:i w:val="0"/>
          <w:caps w:val="0"/>
          <w:color w:val="333333"/>
          <w:spacing w:val="0"/>
          <w:kern w:val="0"/>
          <w:sz w:val="32"/>
          <w:szCs w:val="32"/>
          <w:shd w:val="clear" w:fill="FFFFFF"/>
          <w:lang w:val="en-US" w:eastAsia="zh-CN" w:bidi="ar"/>
        </w:rPr>
        <w:t>（三）改进建议。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val="0"/>
          <w:i w:val="0"/>
          <w:caps w:val="0"/>
          <w:color w:val="333333"/>
          <w:spacing w:val="0"/>
          <w:kern w:val="0"/>
          <w:sz w:val="32"/>
          <w:szCs w:val="32"/>
          <w:shd w:val="clear" w:fill="FFFFFF"/>
          <w:lang w:val="en-US" w:eastAsia="zh-CN" w:bidi="ar"/>
        </w:rPr>
        <w:t>加强内控制度建设力度，建立内控长效机制，严格财务管理，加强财务监督，坚持厉行节约，控制“三公经费”支出，严格管理现金支出，加强财务人员业务培训，提高业务水平。</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17" w:name="_Toc79163633"/>
      <w:bookmarkStart w:id="118" w:name="_Toc79163883"/>
      <w:r>
        <w:rPr>
          <w:rFonts w:hint="eastAsia" w:ascii="黑体" w:hAnsi="黑体" w:eastAsia="黑体" w:cs="黑体"/>
          <w:sz w:val="32"/>
          <w:szCs w:val="32"/>
        </w:rPr>
        <w:t>附件</w:t>
      </w:r>
      <w:r>
        <w:rPr>
          <w:rFonts w:ascii="黑体" w:hAnsi="黑体" w:eastAsia="黑体" w:cs="黑体"/>
          <w:sz w:val="32"/>
          <w:szCs w:val="32"/>
        </w:rPr>
        <w:t>2</w:t>
      </w:r>
      <w:bookmarkEnd w:id="117"/>
      <w:bookmarkEnd w:id="118"/>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宋体"/>
          <w:sz w:val="32"/>
          <w:szCs w:val="32"/>
          <w:lang w:val="zh-CN"/>
        </w:rPr>
      </w:pPr>
      <w:bookmarkStart w:id="119" w:name="_Toc79163884"/>
      <w:bookmarkStart w:id="120" w:name="_Toc79163634"/>
      <w:r>
        <w:rPr>
          <w:rFonts w:hint="eastAsia" w:ascii="黑体" w:hAnsi="黑体" w:eastAsia="黑体" w:cs="黑体"/>
          <w:i w:val="0"/>
          <w:caps w:val="0"/>
          <w:color w:val="333333"/>
          <w:spacing w:val="0"/>
          <w:sz w:val="44"/>
          <w:szCs w:val="44"/>
          <w:shd w:val="clear" w:fill="FFFFFF"/>
        </w:rPr>
        <w:t>大调解工作</w:t>
      </w:r>
      <w:r>
        <w:rPr>
          <w:rFonts w:hint="eastAsia" w:ascii="黑体" w:hAnsi="黑体" w:eastAsia="黑体" w:cs="黑体"/>
          <w:i w:val="0"/>
          <w:caps w:val="0"/>
          <w:color w:val="333333"/>
          <w:spacing w:val="0"/>
          <w:sz w:val="44"/>
          <w:szCs w:val="44"/>
          <w:shd w:val="clear" w:fill="FFFFFF"/>
          <w:lang w:eastAsia="zh-CN"/>
        </w:rPr>
        <w:t>经费</w:t>
      </w:r>
      <w:r>
        <w:rPr>
          <w:rFonts w:hint="eastAsia" w:ascii="黑体" w:hAnsi="黑体" w:eastAsia="黑体" w:cs="黑体"/>
          <w:sz w:val="44"/>
          <w:szCs w:val="44"/>
        </w:rPr>
        <w:t>项目2020年绩效评价报告</w:t>
      </w:r>
      <w:bookmarkEnd w:id="119"/>
      <w:bookmarkEnd w:id="120"/>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为进一步做好新形势下的调解工作,有效预防和化解社会矛盾纠纷,切实维护全州社会政治稳定,着力打造平安阿坝、和谐阿坝,根据《中共四川省委办公厅、四川省人民政府办公厅关于构建“大调解”工作体系,有效化解社会矛盾纠纷的意见》(川委办[2009]16号)精神,经州委、州政府同意,现就构建人民调解、行政调解、司法调解有机联动的“大调解”工作体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．项目立项、资金申报的依据。</w:t>
      </w:r>
      <w:r>
        <w:rPr>
          <w:rFonts w:hint="eastAsia" w:ascii="仿宋_GB2312" w:hAnsi="宋体" w:eastAsia="仿宋_GB2312"/>
          <w:sz w:val="32"/>
          <w:szCs w:val="32"/>
        </w:rPr>
        <w:t>立项依据</w:t>
      </w:r>
      <w:r>
        <w:rPr>
          <w:rFonts w:hint="eastAsia" w:ascii="仿宋_GB2312" w:hAnsi="宋体" w:eastAsia="仿宋_GB2312"/>
          <w:sz w:val="32"/>
          <w:szCs w:val="32"/>
          <w:lang w:eastAsia="zh-CN"/>
        </w:rPr>
        <w:t>：</w:t>
      </w:r>
      <w:r>
        <w:rPr>
          <w:rFonts w:hint="eastAsia" w:ascii="仿宋_GB2312" w:hAnsi="仿宋_GB2312" w:eastAsia="仿宋_GB2312" w:cs="仿宋_GB2312"/>
          <w:color w:val="auto"/>
          <w:sz w:val="32"/>
          <w:szCs w:val="32"/>
          <w:lang w:eastAsia="zh-CN"/>
        </w:rPr>
        <w:t>根据《中共四川省委办公厅、四川省人民政府办公厅关于构建“大调解”工作体系,有效化解社会矛盾纠纷的意见》(川委办[2009]16号)和《中共阿坝州委办公室阿坝州人民政府办公室关于构建“大调解”工作体系有效化解社会矛盾纠纷的实施意见》（阿委办发(2009]15号）文件。</w:t>
      </w:r>
    </w:p>
    <w:p>
      <w:pPr>
        <w:numPr>
          <w:ilvl w:val="0"/>
          <w:numId w:val="0"/>
        </w:numPr>
        <w:adjustRightInd w:val="0"/>
        <w:snapToGrid w:val="0"/>
        <w:spacing w:line="600" w:lineRule="exact"/>
        <w:ind w:leftChars="200" w:firstLine="320" w:firstLineChars="100"/>
        <w:rPr>
          <w:rFonts w:hint="eastAsia" w:ascii="仿宋_GB2312" w:hAnsi="宋体"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．资金管理办法制定情况，资金支持具体项目的条件、范围与支持方式概况。</w:t>
      </w:r>
    </w:p>
    <w:p>
      <w:pPr>
        <w:numPr>
          <w:ilvl w:val="0"/>
          <w:numId w:val="0"/>
        </w:numPr>
        <w:adjustRightInd w:val="0"/>
        <w:snapToGrid w:val="0"/>
        <w:spacing w:line="600" w:lineRule="exact"/>
        <w:ind w:leftChars="200" w:firstLine="320" w:firstLineChars="100"/>
        <w:rPr>
          <w:rFonts w:ascii="仿宋_GB2312" w:hAnsi="宋体" w:eastAsia="仿宋_GB2312"/>
          <w:sz w:val="32"/>
          <w:szCs w:val="32"/>
          <w:lang w:val="zh-CN"/>
        </w:rPr>
      </w:pPr>
      <w:r>
        <w:rPr>
          <w:rFonts w:hint="eastAsia" w:ascii="仿宋_GB2312" w:hAnsi="宋体" w:eastAsia="仿宋_GB2312"/>
          <w:sz w:val="32"/>
          <w:szCs w:val="32"/>
          <w:lang w:val="zh-CN"/>
        </w:rPr>
        <w:t>大调解工作经费项目所需资金由财政统一拨款使用。财政按照立项文件依据，拨付项目经费</w:t>
      </w:r>
      <w:r>
        <w:rPr>
          <w:rFonts w:hint="eastAsia" w:ascii="仿宋_GB2312" w:hAnsi="宋体" w:eastAsia="仿宋_GB2312"/>
          <w:sz w:val="32"/>
          <w:szCs w:val="32"/>
          <w:lang w:val="en-US" w:eastAsia="zh-CN"/>
        </w:rPr>
        <w:t>6.14万元。</w:t>
      </w:r>
    </w:p>
    <w:p>
      <w:pPr>
        <w:numPr>
          <w:ilvl w:val="0"/>
          <w:numId w:val="9"/>
        </w:num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资金分配的原则及考虑因素。</w:t>
      </w:r>
    </w:p>
    <w:p>
      <w:pPr>
        <w:numPr>
          <w:ilvl w:val="0"/>
          <w:numId w:val="0"/>
        </w:num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主要用于全县大调解日常工作开展的办公费、印刷费、培训费等。</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大调解工作经费项目</w:t>
      </w:r>
      <w:r>
        <w:rPr>
          <w:rFonts w:hint="eastAsia" w:ascii="仿宋_GB2312" w:hAnsi="仿宋_GB2312" w:eastAsia="仿宋_GB2312" w:cs="仿宋_GB2312"/>
          <w:color w:val="auto"/>
          <w:sz w:val="32"/>
          <w:szCs w:val="32"/>
          <w:lang w:eastAsia="zh-CN"/>
        </w:rPr>
        <w:t>主要用于构建“大调解”工作体系和“大调解”工作机制，强化“大调解”工作组织保障，实现“一般矛盾不出村(社区),大的矛盾不出乡镇和部门,疑难复杂矛盾不出县”,民转刑案件、越级上访案件和涉法涉诉信访案件明显下降,防止重大群体性事件、恶性“民转刑”案件和集体赴省进京上访案件发生。真正将矛盾纠纷化解在当地、化解在基层、化解在萌芽状态,90%以上的矛盾纠纷在乡镇以下和部门内部得到解决。</w:t>
      </w:r>
    </w:p>
    <w:p>
      <w:pPr>
        <w:numPr>
          <w:ilvl w:val="0"/>
          <w:numId w:val="4"/>
        </w:numPr>
        <w:adjustRightInd w:val="0"/>
        <w:snapToGrid w:val="0"/>
        <w:spacing w:line="600" w:lineRule="exact"/>
        <w:ind w:left="0" w:leftChars="0"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项目应实现的具体绩效目标，包括目标的量化、细化情况以及项目实施进度计划等。</w:t>
      </w:r>
    </w:p>
    <w:p>
      <w:pPr>
        <w:keepNext w:val="0"/>
        <w:keepLines w:val="0"/>
        <w:pageBreakBefore w:val="0"/>
        <w:kinsoku/>
        <w:wordWrap/>
        <w:overflowPunct/>
        <w:topLinePunct w:val="0"/>
        <w:autoSpaceDE/>
        <w:autoSpaceDN/>
        <w:bidi w:val="0"/>
        <w:adjustRightInd/>
        <w:snapToGrid/>
        <w:spacing w:line="560" w:lineRule="exact"/>
        <w:rPr>
          <w:rFonts w:hint="eastAsia" w:ascii="仿宋_GB2312" w:hAnsi="宋体" w:eastAsia="仿宋_GB2312"/>
          <w:sz w:val="32"/>
          <w:szCs w:val="32"/>
          <w:lang w:val="zh-CN"/>
        </w:rPr>
      </w:pPr>
      <w:r>
        <w:rPr>
          <w:rFonts w:hint="eastAsia" w:ascii="仿宋_GB2312" w:hAnsi="仿宋_GB2312" w:eastAsia="仿宋_GB2312" w:cs="仿宋_GB2312"/>
          <w:color w:val="auto"/>
          <w:sz w:val="32"/>
          <w:szCs w:val="32"/>
          <w:lang w:eastAsia="zh-CN"/>
        </w:rPr>
        <w:t>通过开展“大调解”工作，实现“一般矛盾不出村(社区),大的矛盾不出乡镇和部门,疑难复杂矛盾不出县”,民转刑案件、越级上访案件和涉法涉诉信访案件明显下降,防止重大群体性事件、恶性“民转刑”案件和集体赴省进京上访案件发生。真正将矛盾纠纷化解在当地、化解在基层、化解在萌芽状态,90%以上的矛盾纠纷在乡镇以下和部门内部得到解决。</w:t>
      </w:r>
    </w:p>
    <w:p>
      <w:pPr>
        <w:numPr>
          <w:ilvl w:val="0"/>
          <w:numId w:val="4"/>
        </w:numPr>
        <w:adjustRightInd w:val="0"/>
        <w:snapToGrid w:val="0"/>
        <w:spacing w:line="600" w:lineRule="exact"/>
        <w:ind w:left="0" w:leftChars="0"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分析评价申报内容是否与实际相符，申报目标是否合理可行。</w:t>
      </w:r>
    </w:p>
    <w:p>
      <w:pPr>
        <w:numPr>
          <w:ilvl w:val="0"/>
          <w:numId w:val="0"/>
        </w:numPr>
        <w:adjustRightInd w:val="0"/>
        <w:snapToGrid w:val="0"/>
        <w:spacing w:line="600" w:lineRule="exact"/>
        <w:ind w:leftChars="200"/>
        <w:rPr>
          <w:rFonts w:hint="eastAsia" w:ascii="仿宋_GB2312" w:hAnsi="宋体" w:eastAsia="仿宋_GB2312"/>
          <w:sz w:val="32"/>
          <w:szCs w:val="32"/>
          <w:lang w:val="zh-CN"/>
        </w:rPr>
      </w:pPr>
      <w:r>
        <w:rPr>
          <w:rFonts w:hint="eastAsia" w:ascii="仿宋_GB2312" w:hAnsi="宋体" w:eastAsia="仿宋_GB2312"/>
          <w:sz w:val="32"/>
          <w:szCs w:val="32"/>
          <w:lang w:val="zh-CN"/>
        </w:rPr>
        <w:t>我委按程序申报了大调解工作专项项目，申报目标合理可行。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1、成立了项目评价领导小组</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en-US" w:eastAsia="zh-CN"/>
        </w:rPr>
        <w:t>成立了以政法委常务副书记甲央尼玛为组长，分管领导政法委副书记李盛勇为副组长，相关人员为成员的评价领导小组。</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该项目资金申报为</w:t>
      </w:r>
      <w:r>
        <w:rPr>
          <w:rFonts w:hint="eastAsia" w:ascii="仿宋_GB2312" w:hAnsi="宋体" w:eastAsia="仿宋_GB2312"/>
          <w:sz w:val="32"/>
          <w:szCs w:val="32"/>
          <w:lang w:val="en-US" w:eastAsia="zh-CN"/>
        </w:rPr>
        <w:t>6.14万元</w:t>
      </w:r>
      <w:r>
        <w:rPr>
          <w:rFonts w:hint="eastAsia" w:ascii="仿宋_GB2312" w:hAnsi="宋体" w:eastAsia="仿宋_GB2312"/>
          <w:sz w:val="32"/>
          <w:szCs w:val="32"/>
          <w:lang w:val="zh-CN"/>
        </w:rPr>
        <w:t>、批复</w:t>
      </w:r>
      <w:r>
        <w:rPr>
          <w:rFonts w:hint="eastAsia" w:ascii="仿宋_GB2312" w:hAnsi="宋体" w:eastAsia="仿宋_GB2312"/>
          <w:sz w:val="32"/>
          <w:szCs w:val="32"/>
          <w:lang w:val="en-US" w:eastAsia="zh-CN"/>
        </w:rPr>
        <w:t>6.14万元。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仿宋_GB2312" w:hAnsi="宋体" w:eastAsia="仿宋_GB2312"/>
          <w:sz w:val="32"/>
          <w:szCs w:val="32"/>
          <w:lang w:val="zh-CN"/>
        </w:rPr>
      </w:pPr>
      <w:r>
        <w:rPr>
          <w:rFonts w:ascii="楷体_GB2312" w:hAnsi="宋体" w:eastAsia="楷体_GB2312"/>
          <w:sz w:val="32"/>
          <w:szCs w:val="32"/>
          <w:lang w:val="zh-CN"/>
        </w:rPr>
        <w:t>1</w:t>
      </w:r>
      <w:r>
        <w:rPr>
          <w:rFonts w:hint="eastAsia" w:ascii="楷体_GB2312" w:hAnsi="宋体" w:eastAsia="楷体_GB2312"/>
          <w:sz w:val="32"/>
          <w:szCs w:val="32"/>
          <w:lang w:val="zh-CN"/>
        </w:rPr>
        <w:t>．资金计划。</w:t>
      </w:r>
      <w:r>
        <w:rPr>
          <w:rFonts w:hint="eastAsia" w:ascii="楷体_GB2312" w:hAnsi="宋体" w:eastAsia="楷体_GB2312"/>
          <w:color w:val="000000" w:themeColor="text1"/>
          <w:sz w:val="32"/>
          <w:szCs w:val="32"/>
          <w:lang w:val="zh-CN"/>
          <w14:textFill>
            <w14:solidFill>
              <w14:schemeClr w14:val="tx1"/>
            </w14:solidFill>
          </w14:textFill>
        </w:rPr>
        <w:t>资金纳入</w:t>
      </w:r>
      <w:r>
        <w:rPr>
          <w:rFonts w:hint="eastAsia" w:ascii="楷体_GB2312" w:hAnsi="宋体" w:eastAsia="楷体_GB2312"/>
          <w:color w:val="000000" w:themeColor="text1"/>
          <w:sz w:val="32"/>
          <w:szCs w:val="32"/>
          <w:lang w:val="en-US" w:eastAsia="zh-CN"/>
          <w14:textFill>
            <w14:solidFill>
              <w14:schemeClr w14:val="tx1"/>
            </w14:solidFill>
          </w14:textFill>
        </w:rPr>
        <w:t>2020年预算</w:t>
      </w:r>
      <w:r>
        <w:rPr>
          <w:rFonts w:hint="eastAsia" w:ascii="仿宋_GB2312" w:hAnsi="宋体" w:eastAsia="仿宋_GB2312"/>
          <w:sz w:val="32"/>
          <w:szCs w:val="32"/>
          <w:lang w:val="zh-CN"/>
        </w:rPr>
        <w:t>。</w:t>
      </w:r>
    </w:p>
    <w:p>
      <w:pPr>
        <w:adjustRightInd w:val="0"/>
        <w:snapToGrid w:val="0"/>
        <w:spacing w:line="600" w:lineRule="exact"/>
        <w:ind w:firstLine="720"/>
        <w:rPr>
          <w:rFonts w:hint="eastAsia" w:ascii="仿宋_GB2312" w:hAnsi="宋体" w:eastAsia="仿宋_GB2312"/>
          <w:sz w:val="32"/>
          <w:szCs w:val="32"/>
          <w:lang w:val="en-US" w:eastAsia="zh-CN"/>
        </w:rPr>
      </w:pPr>
      <w:r>
        <w:rPr>
          <w:rFonts w:ascii="楷体_GB2312" w:hAnsi="宋体" w:eastAsia="楷体_GB2312"/>
          <w:sz w:val="32"/>
          <w:szCs w:val="32"/>
          <w:lang w:val="zh-CN"/>
        </w:rPr>
        <w:t>2</w:t>
      </w:r>
      <w:r>
        <w:rPr>
          <w:rFonts w:hint="eastAsia" w:ascii="楷体_GB2312" w:hAnsi="宋体" w:eastAsia="楷体_GB2312"/>
          <w:sz w:val="32"/>
          <w:szCs w:val="32"/>
          <w:lang w:val="zh-CN"/>
        </w:rPr>
        <w:t>．资金到位。</w:t>
      </w:r>
      <w:r>
        <w:rPr>
          <w:rFonts w:hint="eastAsia" w:ascii="仿宋_GB2312" w:hAnsi="宋体" w:eastAsia="仿宋_GB2312"/>
          <w:sz w:val="32"/>
          <w:szCs w:val="32"/>
          <w:lang w:val="zh-CN"/>
        </w:rPr>
        <w:t>该项目资金到位为</w:t>
      </w:r>
      <w:r>
        <w:rPr>
          <w:rFonts w:hint="eastAsia" w:ascii="仿宋_GB2312" w:hAnsi="宋体" w:eastAsia="仿宋_GB2312"/>
          <w:sz w:val="32"/>
          <w:szCs w:val="32"/>
          <w:lang w:val="en-US" w:eastAsia="zh-CN"/>
        </w:rPr>
        <w:t>6.14万元。</w:t>
      </w:r>
    </w:p>
    <w:p>
      <w:pPr>
        <w:adjustRightInd w:val="0"/>
        <w:snapToGrid w:val="0"/>
        <w:spacing w:line="600" w:lineRule="exact"/>
        <w:ind w:firstLine="720"/>
        <w:rPr>
          <w:rFonts w:hint="default" w:ascii="楷体_GB2312" w:hAnsi="宋体" w:eastAsia="楷体_GB2312"/>
          <w:sz w:val="32"/>
          <w:szCs w:val="32"/>
          <w:lang w:val="en-US"/>
        </w:rPr>
      </w:pPr>
      <w:r>
        <w:rPr>
          <w:rFonts w:ascii="楷体_GB2312" w:hAnsi="宋体" w:eastAsia="楷体_GB2312"/>
          <w:sz w:val="32"/>
          <w:szCs w:val="32"/>
          <w:lang w:val="zh-CN"/>
        </w:rPr>
        <w:t>3</w:t>
      </w:r>
      <w:r>
        <w:rPr>
          <w:rFonts w:hint="eastAsia" w:ascii="楷体_GB2312" w:hAnsi="宋体" w:eastAsia="楷体_GB2312"/>
          <w:sz w:val="32"/>
          <w:szCs w:val="32"/>
          <w:lang w:val="zh-CN"/>
        </w:rPr>
        <w:t>．资金使用。</w:t>
      </w:r>
      <w:r>
        <w:rPr>
          <w:rFonts w:hint="eastAsia" w:ascii="仿宋_GB2312" w:hAnsi="宋体" w:eastAsia="仿宋_GB2312"/>
          <w:sz w:val="32"/>
          <w:szCs w:val="32"/>
          <w:lang w:val="zh-CN"/>
        </w:rPr>
        <w:t>该项目资金到位为</w:t>
      </w:r>
      <w:r>
        <w:rPr>
          <w:rFonts w:hint="eastAsia" w:ascii="仿宋_GB2312" w:hAnsi="宋体" w:eastAsia="仿宋_GB2312"/>
          <w:sz w:val="32"/>
          <w:szCs w:val="32"/>
          <w:lang w:val="en-US" w:eastAsia="zh-CN"/>
        </w:rPr>
        <w:t>6.14万元。实际使用6.14万元。确保了项目</w:t>
      </w:r>
      <w:r>
        <w:rPr>
          <w:rFonts w:hint="eastAsia" w:ascii="仿宋_GB2312" w:hAnsi="宋体" w:eastAsia="仿宋_GB2312"/>
          <w:sz w:val="32"/>
          <w:szCs w:val="32"/>
          <w:lang w:val="zh-CN"/>
        </w:rPr>
        <w:t>资金使用安全、规范，</w:t>
      </w:r>
      <w:r>
        <w:rPr>
          <w:rFonts w:hint="eastAsia" w:ascii="仿宋_GB2312" w:hAnsi="宋体" w:eastAsia="仿宋_GB2312"/>
          <w:color w:val="000000" w:themeColor="text1"/>
          <w:sz w:val="32"/>
          <w:szCs w:val="32"/>
          <w:lang w:val="en-US" w:eastAsia="zh-CN"/>
          <w14:textFill>
            <w14:solidFill>
              <w14:schemeClr w14:val="tx1"/>
            </w14:solidFill>
          </w14:textFill>
        </w:rPr>
        <w:t>项目资金与预算相符合。</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项目财务管理执行《红原县政法委财务管理制度》，并严格执行财务管理制度，单位账务处理及时，会计核算规范。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结合项目组织实施管理办法，重点围绕以下内容进行分析评价，并对自评中发现的问题分析说明。</w:t>
      </w:r>
    </w:p>
    <w:p>
      <w:pPr>
        <w:numPr>
          <w:ilvl w:val="0"/>
          <w:numId w:val="10"/>
        </w:num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pPr>
        <w:numPr>
          <w:ilvl w:val="0"/>
          <w:numId w:val="0"/>
        </w:numPr>
        <w:adjustRightInd w:val="0"/>
        <w:snapToGrid w:val="0"/>
        <w:spacing w:line="600" w:lineRule="exact"/>
        <w:ind w:firstLine="640" w:firstLineChars="200"/>
        <w:rPr>
          <w:rFonts w:hint="default" w:ascii="楷体_GB2312" w:hAnsi="宋体" w:eastAsia="楷体_GB2312"/>
          <w:b/>
          <w:sz w:val="32"/>
          <w:szCs w:val="32"/>
          <w:lang w:val="en-US"/>
        </w:rPr>
      </w:pPr>
      <w:r>
        <w:rPr>
          <w:rFonts w:hint="eastAsia" w:ascii="楷体_GB2312" w:hAnsi="宋体" w:eastAsia="楷体_GB2312"/>
          <w:b w:val="0"/>
          <w:bCs/>
          <w:sz w:val="32"/>
          <w:szCs w:val="32"/>
          <w:lang w:val="zh-CN"/>
        </w:rPr>
        <w:t>项目组织架构</w:t>
      </w:r>
      <w:r>
        <w:rPr>
          <w:rFonts w:hint="eastAsia" w:ascii="楷体_GB2312" w:hAnsi="宋体" w:eastAsia="楷体_GB2312"/>
          <w:b w:val="0"/>
          <w:bCs/>
          <w:sz w:val="32"/>
          <w:szCs w:val="32"/>
          <w:lang w:val="en-US" w:eastAsia="zh-CN"/>
        </w:rPr>
        <w:t>-项目领导小组-项目经费使用审批-项目经费支出。</w:t>
      </w:r>
    </w:p>
    <w:p>
      <w:pPr>
        <w:numPr>
          <w:ilvl w:val="0"/>
          <w:numId w:val="10"/>
        </w:numPr>
        <w:adjustRightInd w:val="0"/>
        <w:snapToGrid w:val="0"/>
        <w:spacing w:line="600" w:lineRule="exact"/>
        <w:ind w:left="0" w:leftChars="0" w:firstLine="720" w:firstLineChars="0"/>
        <w:rPr>
          <w:rFonts w:hint="eastAsia" w:ascii="楷体_GB2312" w:hAnsi="宋体" w:eastAsia="楷体_GB2312"/>
          <w:b/>
          <w:sz w:val="32"/>
          <w:szCs w:val="32"/>
          <w:lang w:val="zh-CN"/>
        </w:rPr>
      </w:pPr>
      <w:r>
        <w:rPr>
          <w:rFonts w:hint="eastAsia" w:ascii="楷体_GB2312" w:hAnsi="宋体" w:eastAsia="楷体_GB2312"/>
          <w:b/>
          <w:sz w:val="32"/>
          <w:szCs w:val="32"/>
          <w:lang w:val="zh-CN"/>
        </w:rPr>
        <w:t>项目管理情况。</w:t>
      </w:r>
    </w:p>
    <w:p>
      <w:pPr>
        <w:numPr>
          <w:ilvl w:val="0"/>
          <w:numId w:val="0"/>
        </w:numPr>
        <w:adjustRightInd w:val="0"/>
        <w:snapToGrid w:val="0"/>
        <w:spacing w:line="600" w:lineRule="exact"/>
        <w:ind w:firstLine="640" w:firstLineChars="200"/>
        <w:rPr>
          <w:rFonts w:ascii="仿宋_GB2312" w:hAnsi="宋体" w:eastAsia="仿宋_GB2312"/>
          <w:sz w:val="32"/>
          <w:szCs w:val="32"/>
          <w:lang w:val="zh-CN"/>
        </w:rPr>
      </w:pPr>
      <w:r>
        <w:rPr>
          <w:rFonts w:hint="eastAsia" w:ascii="楷体_GB2312" w:hAnsi="宋体" w:eastAsia="楷体_GB2312"/>
          <w:b w:val="0"/>
          <w:bCs/>
          <w:sz w:val="32"/>
          <w:szCs w:val="32"/>
          <w:lang w:val="zh-CN"/>
        </w:rPr>
        <w:t>该项目资金使用严格执行</w:t>
      </w:r>
      <w:r>
        <w:rPr>
          <w:rFonts w:hint="eastAsia" w:ascii="仿宋_GB2312" w:hAnsi="宋体" w:eastAsia="仿宋_GB2312"/>
          <w:sz w:val="32"/>
          <w:szCs w:val="32"/>
          <w:lang w:val="zh-CN"/>
        </w:rPr>
        <w:t>《红原县政法委财务管理制度》，做到用一笔审核一笔，确保资金使用安全。</w:t>
      </w:r>
    </w:p>
    <w:p>
      <w:pPr>
        <w:numPr>
          <w:ilvl w:val="0"/>
          <w:numId w:val="0"/>
        </w:numPr>
        <w:adjustRightInd w:val="0"/>
        <w:snapToGrid w:val="0"/>
        <w:spacing w:line="600" w:lineRule="exact"/>
        <w:ind w:firstLine="642" w:firstLineChars="20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为加强项目资金的管理，我委落实专人负责，使用资金时，根据资金使用流程，先向主管领导申请，由领导审批后，再使用，确保资金使用安全。</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该项目主要用于全县大调解日常工作经费，通过工作的开展，全面完成了大调解工作的各项工作任务，确保了全县的社会持续稳定。</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该</w:t>
      </w:r>
      <w:r>
        <w:rPr>
          <w:rFonts w:hint="eastAsia" w:ascii="仿宋_GB2312" w:hAnsi="宋体" w:eastAsia="仿宋_GB2312"/>
          <w:sz w:val="32"/>
          <w:szCs w:val="32"/>
          <w:lang w:val="zh-CN"/>
        </w:rPr>
        <w:t>通达此项目的实施，有效提升了全县大调解工作能力，确保全县社会持续稳定，广大群众对全县的社会满意度明显提升。</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widowControl/>
        <w:adjustRightInd w:val="0"/>
        <w:snapToGrid w:val="0"/>
        <w:spacing w:line="580" w:lineRule="exact"/>
        <w:ind w:firstLine="640" w:firstLineChars="200"/>
        <w:contextualSpacing/>
        <w:jc w:val="left"/>
        <w:rPr>
          <w:rFonts w:hint="eastAsia" w:ascii="仿宋_GB2312" w:hAnsi="宋体" w:eastAsia="仿宋_GB2312"/>
          <w:sz w:val="32"/>
          <w:szCs w:val="32"/>
          <w:lang w:val="zh-CN"/>
        </w:rPr>
      </w:pPr>
      <w:r>
        <w:rPr>
          <w:rFonts w:hint="eastAsia" w:ascii="仿宋" w:hAnsi="仿宋" w:eastAsia="仿宋" w:cs="仿宋"/>
          <w:b w:val="0"/>
          <w:bCs/>
          <w:i w:val="0"/>
          <w:caps w:val="0"/>
          <w:color w:val="333333"/>
          <w:spacing w:val="0"/>
          <w:kern w:val="0"/>
          <w:sz w:val="32"/>
          <w:szCs w:val="32"/>
          <w:shd w:val="clear" w:fill="FFFFFF"/>
          <w:lang w:val="en-US" w:eastAsia="zh-CN" w:bidi="ar"/>
        </w:rPr>
        <w:t>一是能够严格执行《预算法》和各项财经纪律，预算编制合理;二是经费开支按用途使用合理，做到专帐专管,专款专用。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720"/>
        <w:rPr>
          <w:rFonts w:hint="eastAsia" w:ascii="仿宋" w:hAnsi="仿宋" w:eastAsia="仿宋" w:cs="仿宋"/>
          <w:b w:val="0"/>
          <w:i w:val="0"/>
          <w:caps w:val="0"/>
          <w:color w:val="333333"/>
          <w:spacing w:val="0"/>
          <w:kern w:val="0"/>
          <w:sz w:val="32"/>
          <w:szCs w:val="32"/>
          <w:shd w:val="clear" w:fill="FFFFFF"/>
          <w:lang w:val="en-US" w:eastAsia="zh-CN" w:bidi="ar"/>
        </w:rPr>
      </w:pPr>
      <w:r>
        <w:rPr>
          <w:rFonts w:hint="eastAsia" w:ascii="仿宋" w:hAnsi="仿宋" w:eastAsia="仿宋" w:cs="仿宋"/>
          <w:b w:val="0"/>
          <w:i w:val="0"/>
          <w:caps w:val="0"/>
          <w:color w:val="333333"/>
          <w:spacing w:val="0"/>
          <w:kern w:val="0"/>
          <w:sz w:val="32"/>
          <w:szCs w:val="32"/>
          <w:shd w:val="clear" w:fill="FFFFFF"/>
          <w:lang w:val="en-US" w:eastAsia="zh-CN" w:bidi="ar"/>
        </w:rPr>
        <w:t>推进项目资金的使用进度，提高资金使用效率。</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rPr>
          <w:rFonts w:ascii="仿宋_GB2312" w:hAnsi="仿宋_GB2312" w:eastAsia="仿宋_GB2312" w:cs="仿宋_GB2312"/>
          <w:sz w:val="32"/>
          <w:szCs w:val="32"/>
        </w:rPr>
      </w:pPr>
      <w:r>
        <w:rPr>
          <w:rFonts w:hint="eastAsia" w:ascii="仿宋_GB2312" w:hAnsi="宋体" w:eastAsia="仿宋_GB2312"/>
          <w:sz w:val="32"/>
          <w:szCs w:val="32"/>
          <w:lang w:val="zh-CN"/>
        </w:rPr>
        <w:t>加强项目资金的管理和运用，使项目资金达到最大化使用。</w:t>
      </w:r>
    </w:p>
    <w:p>
      <w:pPr>
        <w:adjustRightInd w:val="0"/>
        <w:snapToGrid w:val="0"/>
        <w:spacing w:line="600" w:lineRule="exact"/>
        <w:ind w:firstLine="640" w:firstLineChars="200"/>
        <w:rPr>
          <w:rFonts w:ascii="仿宋_GB2312" w:hAnsi="宋体" w:eastAsia="仿宋_GB2312"/>
          <w:sz w:val="32"/>
          <w:szCs w:val="32"/>
          <w:lang w:val="zh-CN"/>
        </w:rPr>
      </w:pPr>
    </w:p>
    <w:p>
      <w:pPr>
        <w:spacing w:line="580" w:lineRule="exact"/>
        <w:ind w:firstLine="640"/>
        <w:rPr>
          <w:rFonts w:ascii="仿宋_GB2312" w:hAnsi="仿宋_GB2312" w:eastAsia="仿宋_GB2312" w:cs="仿宋_GB2312"/>
          <w:sz w:val="32"/>
          <w:szCs w:val="32"/>
        </w:rPr>
      </w:pPr>
    </w:p>
    <w:p>
      <w:pPr>
        <w:widowControl/>
        <w:jc w:val="left"/>
        <w:rPr>
          <w:rStyle w:val="23"/>
          <w:rFonts w:ascii="黑体" w:hAnsi="黑体" w:eastAsia="黑体"/>
          <w:b w:val="0"/>
        </w:rPr>
      </w:pPr>
    </w:p>
    <w:p>
      <w:pPr>
        <w:widowControl/>
        <w:jc w:val="left"/>
        <w:rPr>
          <w:rStyle w:val="23"/>
          <w:rFonts w:ascii="黑体" w:hAnsi="黑体" w:eastAsia="黑体"/>
          <w:b w:val="0"/>
        </w:rPr>
      </w:pPr>
      <w:r>
        <w:rPr>
          <w:rStyle w:val="23"/>
          <w:rFonts w:ascii="黑体" w:hAnsi="黑体" w:eastAsia="黑体"/>
          <w:b w:val="0"/>
        </w:rPr>
        <w:br w:type="page"/>
      </w:r>
    </w:p>
    <w:p>
      <w:pPr>
        <w:spacing w:line="600" w:lineRule="exact"/>
        <w:jc w:val="center"/>
        <w:outlineLvl w:val="0"/>
        <w:rPr>
          <w:rStyle w:val="23"/>
          <w:rFonts w:ascii="黑体" w:hAnsi="黑体" w:eastAsia="黑体"/>
          <w:b w:val="0"/>
        </w:rPr>
      </w:pPr>
      <w:bookmarkStart w:id="121" w:name="_Toc79163635"/>
      <w:bookmarkStart w:id="122" w:name="_Toc15396618"/>
      <w:bookmarkStart w:id="123" w:name="_Toc79163885"/>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09"/>
      <w:bookmarkEnd w:id="121"/>
      <w:bookmarkEnd w:id="122"/>
      <w:bookmarkEnd w:id="123"/>
    </w:p>
    <w:p>
      <w:pPr>
        <w:pStyle w:val="3"/>
        <w:rPr>
          <w:rFonts w:ascii="仿宋" w:hAnsi="仿宋" w:eastAsia="仿宋"/>
          <w:color w:val="000000"/>
        </w:rPr>
      </w:pPr>
      <w:bookmarkStart w:id="124" w:name="_Toc15396619"/>
      <w:bookmarkStart w:id="125" w:name="_Toc79163636"/>
      <w:bookmarkStart w:id="126" w:name="_Toc79163886"/>
      <w:r>
        <w:rPr>
          <w:rFonts w:hint="eastAsia" w:ascii="仿宋" w:hAnsi="仿宋" w:eastAsia="仿宋"/>
          <w:b w:val="0"/>
          <w:color w:val="000000"/>
        </w:rPr>
        <w:t>一、收</w:t>
      </w:r>
      <w:r>
        <w:rPr>
          <w:rStyle w:val="24"/>
          <w:rFonts w:hint="eastAsia" w:ascii="仿宋" w:hAnsi="仿宋" w:eastAsia="仿宋"/>
          <w:b w:val="0"/>
          <w:bCs w:val="0"/>
        </w:rPr>
        <w:t>入支出决算总表</w:t>
      </w:r>
      <w:bookmarkEnd w:id="124"/>
      <w:bookmarkEnd w:id="125"/>
      <w:bookmarkEnd w:id="126"/>
    </w:p>
    <w:p>
      <w:pPr>
        <w:pStyle w:val="3"/>
        <w:rPr>
          <w:rFonts w:ascii="仿宋" w:hAnsi="仿宋" w:eastAsia="仿宋"/>
          <w:color w:val="000000"/>
        </w:rPr>
      </w:pPr>
      <w:bookmarkStart w:id="127" w:name="_Toc79163637"/>
      <w:bookmarkStart w:id="128" w:name="_Toc79163887"/>
      <w:bookmarkStart w:id="129" w:name="_Toc15396620"/>
      <w:r>
        <w:rPr>
          <w:rFonts w:hint="eastAsia" w:ascii="仿宋" w:hAnsi="仿宋" w:eastAsia="仿宋"/>
          <w:b w:val="0"/>
          <w:color w:val="000000"/>
        </w:rPr>
        <w:t>二、收</w:t>
      </w:r>
      <w:r>
        <w:rPr>
          <w:rStyle w:val="24"/>
          <w:rFonts w:hint="eastAsia" w:ascii="仿宋" w:hAnsi="仿宋" w:eastAsia="仿宋"/>
          <w:b w:val="0"/>
          <w:bCs w:val="0"/>
        </w:rPr>
        <w:t>入决算表</w:t>
      </w:r>
      <w:bookmarkEnd w:id="127"/>
      <w:bookmarkEnd w:id="128"/>
      <w:bookmarkEnd w:id="129"/>
    </w:p>
    <w:p>
      <w:pPr>
        <w:pStyle w:val="3"/>
        <w:rPr>
          <w:rFonts w:ascii="仿宋" w:hAnsi="仿宋" w:eastAsia="仿宋"/>
          <w:color w:val="000000"/>
        </w:rPr>
      </w:pPr>
      <w:bookmarkStart w:id="130" w:name="_Toc79163638"/>
      <w:bookmarkStart w:id="131" w:name="_Toc79163888"/>
      <w:bookmarkStart w:id="132" w:name="_Toc15396621"/>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30"/>
      <w:bookmarkEnd w:id="131"/>
      <w:bookmarkEnd w:id="132"/>
    </w:p>
    <w:p>
      <w:pPr>
        <w:pStyle w:val="3"/>
        <w:rPr>
          <w:rFonts w:ascii="仿宋" w:hAnsi="仿宋" w:eastAsia="仿宋"/>
          <w:b w:val="0"/>
          <w:color w:val="000000"/>
        </w:rPr>
      </w:pPr>
      <w:bookmarkStart w:id="133" w:name="_Toc15396622"/>
      <w:bookmarkStart w:id="134" w:name="_Toc79163889"/>
      <w:bookmarkStart w:id="135" w:name="_Toc7916363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33"/>
      <w:bookmarkEnd w:id="134"/>
      <w:bookmarkEnd w:id="135"/>
    </w:p>
    <w:p>
      <w:pPr>
        <w:pStyle w:val="3"/>
        <w:rPr>
          <w:rStyle w:val="24"/>
          <w:rFonts w:ascii="仿宋" w:hAnsi="仿宋" w:eastAsia="仿宋"/>
          <w:b w:val="0"/>
          <w:bCs w:val="0"/>
        </w:rPr>
      </w:pPr>
      <w:bookmarkStart w:id="136" w:name="_Toc79163640"/>
      <w:bookmarkStart w:id="137" w:name="_Toc79163890"/>
      <w:bookmarkStart w:id="138" w:name="_Toc15396623"/>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6"/>
      <w:bookmarkEnd w:id="137"/>
      <w:bookmarkEnd w:id="138"/>
      <w:bookmarkStart w:id="139" w:name="_Toc15396624"/>
    </w:p>
    <w:p>
      <w:pPr>
        <w:pStyle w:val="3"/>
        <w:rPr>
          <w:rFonts w:ascii="仿宋" w:hAnsi="仿宋" w:eastAsia="仿宋"/>
          <w:color w:val="000000"/>
        </w:rPr>
      </w:pPr>
      <w:bookmarkStart w:id="140" w:name="_Toc79163641"/>
      <w:bookmarkStart w:id="141" w:name="_Toc7916389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9"/>
      <w:bookmarkEnd w:id="140"/>
      <w:bookmarkEnd w:id="141"/>
    </w:p>
    <w:p>
      <w:pPr>
        <w:pStyle w:val="3"/>
        <w:rPr>
          <w:rFonts w:ascii="仿宋" w:hAnsi="仿宋" w:eastAsia="仿宋"/>
          <w:color w:val="000000"/>
        </w:rPr>
      </w:pPr>
      <w:bookmarkStart w:id="142" w:name="_Toc79163642"/>
      <w:bookmarkStart w:id="143" w:name="_Toc79163892"/>
      <w:bookmarkStart w:id="144" w:name="_Toc15396625"/>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42"/>
      <w:bookmarkEnd w:id="143"/>
      <w:bookmarkEnd w:id="144"/>
    </w:p>
    <w:p>
      <w:pPr>
        <w:pStyle w:val="3"/>
        <w:rPr>
          <w:rFonts w:ascii="仿宋" w:hAnsi="仿宋" w:eastAsia="仿宋"/>
          <w:color w:val="000000"/>
        </w:rPr>
      </w:pPr>
      <w:bookmarkStart w:id="145" w:name="_Toc79163643"/>
      <w:bookmarkStart w:id="146" w:name="_Toc79163893"/>
      <w:bookmarkStart w:id="147" w:name="_Toc15396626"/>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45"/>
      <w:bookmarkEnd w:id="146"/>
      <w:bookmarkEnd w:id="147"/>
    </w:p>
    <w:p>
      <w:pPr>
        <w:pStyle w:val="3"/>
        <w:rPr>
          <w:rFonts w:ascii="仿宋" w:hAnsi="仿宋" w:eastAsia="仿宋"/>
          <w:color w:val="000000"/>
        </w:rPr>
      </w:pPr>
      <w:bookmarkStart w:id="148" w:name="_Toc79163894"/>
      <w:bookmarkStart w:id="149" w:name="_Toc79163644"/>
      <w:bookmarkStart w:id="150" w:name="_Toc15396627"/>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8"/>
      <w:bookmarkEnd w:id="149"/>
      <w:bookmarkEnd w:id="150"/>
    </w:p>
    <w:p>
      <w:pPr>
        <w:pStyle w:val="3"/>
        <w:rPr>
          <w:rFonts w:ascii="仿宋" w:hAnsi="仿宋" w:eastAsia="仿宋"/>
          <w:color w:val="000000"/>
        </w:rPr>
      </w:pPr>
      <w:bookmarkStart w:id="151" w:name="_Toc79163645"/>
      <w:bookmarkStart w:id="152" w:name="_Toc79163895"/>
      <w:bookmarkStart w:id="153" w:name="_Toc15396628"/>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51"/>
      <w:bookmarkEnd w:id="152"/>
      <w:bookmarkEnd w:id="153"/>
    </w:p>
    <w:p>
      <w:pPr>
        <w:pStyle w:val="3"/>
        <w:rPr>
          <w:rFonts w:ascii="仿宋" w:hAnsi="仿宋" w:eastAsia="仿宋"/>
          <w:color w:val="000000"/>
        </w:rPr>
      </w:pPr>
      <w:bookmarkStart w:id="154" w:name="_Toc79163896"/>
      <w:bookmarkStart w:id="155" w:name="_Toc15396629"/>
      <w:bookmarkStart w:id="156" w:name="_Toc79163646"/>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54"/>
      <w:bookmarkEnd w:id="155"/>
      <w:bookmarkEnd w:id="156"/>
    </w:p>
    <w:p>
      <w:pPr>
        <w:pStyle w:val="3"/>
        <w:rPr>
          <w:rFonts w:ascii="仿宋" w:hAnsi="仿宋" w:eastAsia="仿宋"/>
          <w:color w:val="000000"/>
        </w:rPr>
      </w:pPr>
      <w:bookmarkStart w:id="157" w:name="_Toc15396630"/>
      <w:bookmarkStart w:id="158" w:name="_Toc79163897"/>
      <w:bookmarkStart w:id="159" w:name="_Toc79163647"/>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57"/>
      <w:bookmarkEnd w:id="158"/>
      <w:bookmarkEnd w:id="159"/>
    </w:p>
    <w:p>
      <w:pPr>
        <w:pStyle w:val="3"/>
        <w:rPr>
          <w:rStyle w:val="24"/>
          <w:rFonts w:ascii="仿宋" w:hAnsi="仿宋" w:eastAsia="仿宋"/>
          <w:b w:val="0"/>
          <w:bCs w:val="0"/>
        </w:rPr>
      </w:pPr>
      <w:bookmarkStart w:id="160" w:name="_Toc79163898"/>
      <w:bookmarkStart w:id="161" w:name="_Toc79163648"/>
      <w:bookmarkStart w:id="162" w:name="_Toc15396631"/>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60"/>
      <w:bookmarkEnd w:id="161"/>
      <w:bookmarkEnd w:id="162"/>
    </w:p>
    <w:p>
      <w:pPr>
        <w:pStyle w:val="3"/>
        <w:rPr>
          <w:rStyle w:val="24"/>
          <w:rFonts w:ascii="仿宋" w:hAnsi="仿宋" w:eastAsia="仿宋"/>
          <w:b w:val="0"/>
          <w:bCs w:val="0"/>
        </w:rPr>
      </w:pPr>
      <w:bookmarkStart w:id="163" w:name="_Toc79163649"/>
      <w:bookmarkStart w:id="164" w:name="_Toc79163899"/>
      <w:r>
        <w:rPr>
          <w:rStyle w:val="24"/>
          <w:rFonts w:hint="eastAsia" w:ascii="仿宋" w:hAnsi="仿宋" w:eastAsia="仿宋"/>
          <w:b w:val="0"/>
          <w:bCs w:val="0"/>
        </w:rPr>
        <w:t>十四、国有资本经营预算财政拨款支出决算表</w:t>
      </w:r>
      <w:bookmarkEnd w:id="163"/>
      <w:bookmarkEnd w:id="16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等线">
    <w:altName w:val="原版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原版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4F850C"/>
    <w:multiLevelType w:val="singleLevel"/>
    <w:tmpl w:val="B54F850C"/>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66F1D32"/>
    <w:multiLevelType w:val="singleLevel"/>
    <w:tmpl w:val="E66F1D32"/>
    <w:lvl w:ilvl="0" w:tentative="0">
      <w:start w:val="2"/>
      <w:numFmt w:val="chineseCounting"/>
      <w:suff w:val="nothing"/>
      <w:lvlText w:val="（%1）"/>
      <w:lvlJc w:val="left"/>
      <w:rPr>
        <w:rFonts w:hint="eastAsia"/>
      </w:rPr>
    </w:lvl>
  </w:abstractNum>
  <w:abstractNum w:abstractNumId="4">
    <w:nsid w:val="EC0D6C9B"/>
    <w:multiLevelType w:val="singleLevel"/>
    <w:tmpl w:val="EC0D6C9B"/>
    <w:lvl w:ilvl="0" w:tentative="0">
      <w:start w:val="1"/>
      <w:numFmt w:val="chineseCounting"/>
      <w:suff w:val="nothing"/>
      <w:lvlText w:val="（%1）"/>
      <w:lvlJc w:val="left"/>
      <w:rPr>
        <w:rFonts w:hint="eastAsia"/>
      </w:rPr>
    </w:lvl>
  </w:abstractNum>
  <w:abstractNum w:abstractNumId="5">
    <w:nsid w:val="F72DCE9D"/>
    <w:multiLevelType w:val="singleLevel"/>
    <w:tmpl w:val="F72DCE9D"/>
    <w:lvl w:ilvl="0" w:tentative="0">
      <w:start w:val="2"/>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7">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abstractNum w:abstractNumId="8">
    <w:nsid w:val="68F814C9"/>
    <w:multiLevelType w:val="singleLevel"/>
    <w:tmpl w:val="68F814C9"/>
    <w:lvl w:ilvl="0" w:tentative="0">
      <w:start w:val="2"/>
      <w:numFmt w:val="chineseCounting"/>
      <w:suff w:val="nothing"/>
      <w:lvlText w:val="（%1）"/>
      <w:lvlJc w:val="left"/>
      <w:rPr>
        <w:rFonts w:hint="eastAsia"/>
      </w:rPr>
    </w:lvl>
  </w:abstractNum>
  <w:abstractNum w:abstractNumId="9">
    <w:nsid w:val="7222DF1B"/>
    <w:multiLevelType w:val="singleLevel"/>
    <w:tmpl w:val="7222DF1B"/>
    <w:lvl w:ilvl="0" w:tentative="0">
      <w:start w:val="4"/>
      <w:numFmt w:val="decimal"/>
      <w:suff w:val="nothing"/>
      <w:lvlText w:val="%1．"/>
      <w:lvlJc w:val="left"/>
    </w:lvl>
  </w:abstractNum>
  <w:num w:numId="1">
    <w:abstractNumId w:val="7"/>
  </w:num>
  <w:num w:numId="2">
    <w:abstractNumId w:val="6"/>
  </w:num>
  <w:num w:numId="3">
    <w:abstractNumId w:val="1"/>
  </w:num>
  <w:num w:numId="4">
    <w:abstractNumId w:val="0"/>
  </w:num>
  <w:num w:numId="5">
    <w:abstractNumId w:val="2"/>
  </w:num>
  <w:num w:numId="6">
    <w:abstractNumId w:val="5"/>
  </w:num>
  <w:num w:numId="7">
    <w:abstractNumId w:val="8"/>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4ZDdhZDI5OTZjZWFkNjE2Yjc4MTI4ZDNlOTE2OD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4773542"/>
    <w:rsid w:val="050867AA"/>
    <w:rsid w:val="0A2032A3"/>
    <w:rsid w:val="0B676202"/>
    <w:rsid w:val="10C055FF"/>
    <w:rsid w:val="10FA1D36"/>
    <w:rsid w:val="118107EC"/>
    <w:rsid w:val="14846AD3"/>
    <w:rsid w:val="16BB723D"/>
    <w:rsid w:val="172E11AA"/>
    <w:rsid w:val="1D155CEE"/>
    <w:rsid w:val="236F588B"/>
    <w:rsid w:val="238A5857"/>
    <w:rsid w:val="23BF133D"/>
    <w:rsid w:val="240371BF"/>
    <w:rsid w:val="25C670F0"/>
    <w:rsid w:val="274F1168"/>
    <w:rsid w:val="29FD04D3"/>
    <w:rsid w:val="2B3516E5"/>
    <w:rsid w:val="319F7F4E"/>
    <w:rsid w:val="321F531F"/>
    <w:rsid w:val="3A140621"/>
    <w:rsid w:val="3E7B4479"/>
    <w:rsid w:val="46B83A1F"/>
    <w:rsid w:val="47AE3875"/>
    <w:rsid w:val="49516F8B"/>
    <w:rsid w:val="49DC58F6"/>
    <w:rsid w:val="4ECE2238"/>
    <w:rsid w:val="518717F7"/>
    <w:rsid w:val="54B71D97"/>
    <w:rsid w:val="555D5C04"/>
    <w:rsid w:val="5B471E06"/>
    <w:rsid w:val="5D951454"/>
    <w:rsid w:val="62F0237E"/>
    <w:rsid w:val="6BE56CF0"/>
    <w:rsid w:val="6C4A05C8"/>
    <w:rsid w:val="72734D90"/>
    <w:rsid w:val="76C93FEE"/>
    <w:rsid w:val="76DC43E6"/>
    <w:rsid w:val="77A5BD1F"/>
    <w:rsid w:val="FF5F0849"/>
    <w:rsid w:val="FFD77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字符"/>
    <w:basedOn w:val="20"/>
    <w:link w:val="2"/>
    <w:qFormat/>
    <w:locked/>
    <w:uiPriority w:val="9"/>
    <w:rPr>
      <w:rFonts w:ascii="Times New Roman" w:hAnsi="Times New Roman" w:cs="Times New Roman"/>
      <w:b/>
      <w:bCs/>
      <w:kern w:val="44"/>
      <w:sz w:val="44"/>
      <w:szCs w:val="44"/>
    </w:rPr>
  </w:style>
  <w:style w:type="character" w:customStyle="1" w:styleId="24">
    <w:name w:val="标题 2 字符"/>
    <w:basedOn w:val="20"/>
    <w:link w:val="3"/>
    <w:qFormat/>
    <w:locked/>
    <w:uiPriority w:val="9"/>
    <w:rPr>
      <w:rFonts w:ascii="Cambria" w:hAnsi="Cambria" w:eastAsia="宋体" w:cs="Times New Roman"/>
      <w:b/>
      <w:bCs/>
      <w:kern w:val="2"/>
      <w:sz w:val="32"/>
      <w:szCs w:val="32"/>
    </w:rPr>
  </w:style>
  <w:style w:type="character" w:customStyle="1" w:styleId="25">
    <w:name w:val="标题 3 字符"/>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字符"/>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字符"/>
    <w:link w:val="12"/>
    <w:semiHidden/>
    <w:qFormat/>
    <w:locked/>
    <w:uiPriority w:val="99"/>
    <w:rPr>
      <w:sz w:val="18"/>
    </w:rPr>
  </w:style>
  <w:style w:type="character" w:customStyle="1" w:styleId="31">
    <w:name w:val="页脚 字符"/>
    <w:link w:val="11"/>
    <w:qFormat/>
    <w:locked/>
    <w:uiPriority w:val="99"/>
    <w:rPr>
      <w:sz w:val="18"/>
    </w:rPr>
  </w:style>
  <w:style w:type="character" w:customStyle="1" w:styleId="32">
    <w:name w:val="正文文本 字符"/>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44</Pages>
  <Words>18016</Words>
  <Characters>19301</Characters>
  <Lines>74</Lines>
  <Paragraphs>21</Paragraphs>
  <TotalTime>25</TotalTime>
  <ScaleCrop>false</ScaleCrop>
  <LinksUpToDate>false</LinksUpToDate>
  <CharactersWithSpaces>19391</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2021-08-07T09:38:00Z</dcterms:created>
  <dc:creator>曹颖</dc:creator>
  <cp:lastModifiedBy>user</cp:lastModifiedBy>
  <cp:lastPrinted>2021-11-25T10:03:00Z</cp:lastPrinted>
  <dcterms:modified xsi:type="dcterms:W3CDTF">2024-09-05T16:00:17Z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C7FBC3C98E0E4F34833DE51CE54AF833</vt:lpwstr>
  </property>
</Properties>
</file>