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96475"/>
      <w:bookmarkStart w:id="4" w:name="_Toc15378441"/>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194"/>
      <w:bookmarkStart w:id="7" w:name="_Toc15396476"/>
      <w:bookmarkStart w:id="8" w:name="_Toc15378442"/>
      <w:bookmarkStart w:id="9" w:name="_Toc15377426"/>
      <w:bookmarkStart w:id="10" w:name="_Toc15396598"/>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委</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政法委</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adjustRightInd w:val="0"/>
        <w:snapToGrid w:val="0"/>
        <w:spacing w:before="0" w:line="440" w:lineRule="exact"/>
        <w:jc w:val="left"/>
        <w:rPr>
          <w:rFonts w:cstheme="minorBidi"/>
          <w:sz w:val="32"/>
          <w:szCs w:val="32"/>
        </w:rPr>
      </w:pPr>
      <w:r>
        <w:rPr>
          <w:rFonts w:hint="eastAsia"/>
          <w:sz w:val="32"/>
          <w:szCs w:val="32"/>
        </w:rPr>
        <w:t>第一部分</w:t>
      </w:r>
      <w:r>
        <w:rPr>
          <w:sz w:val="32"/>
          <w:szCs w:val="32"/>
        </w:rPr>
        <w:t xml:space="preserve"> </w:t>
      </w:r>
      <w:r>
        <w:rPr>
          <w:rFonts w:hint="eastAsia"/>
          <w:sz w:val="32"/>
          <w:szCs w:val="32"/>
        </w:rPr>
        <w:t>部门概况</w:t>
      </w:r>
    </w:p>
    <w:p>
      <w:pPr>
        <w:pStyle w:val="11"/>
        <w:adjustRightInd w:val="0"/>
        <w:snapToGrid w:val="0"/>
        <w:spacing w:line="440" w:lineRule="exact"/>
        <w:jc w:val="left"/>
        <w:rPr>
          <w:rFonts w:hint="eastAsia"/>
          <w:sz w:val="24"/>
        </w:rPr>
      </w:pPr>
      <w:r>
        <w:rPr>
          <w:rFonts w:hint="eastAsia"/>
          <w:sz w:val="24"/>
        </w:rPr>
        <w:t>一、基本职能及主要工作</w:t>
      </w:r>
    </w:p>
    <w:p>
      <w:pPr>
        <w:pStyle w:val="11"/>
        <w:adjustRightInd w:val="0"/>
        <w:snapToGrid w:val="0"/>
        <w:spacing w:line="440" w:lineRule="exact"/>
        <w:jc w:val="left"/>
        <w:rPr>
          <w:rFonts w:hint="eastAsia"/>
          <w:sz w:val="24"/>
        </w:rPr>
      </w:pPr>
      <w:r>
        <w:rPr>
          <w:rFonts w:hint="eastAsia"/>
          <w:sz w:val="24"/>
        </w:rPr>
        <w:t>二、机构设置</w:t>
      </w:r>
    </w:p>
    <w:p>
      <w:pPr>
        <w:pStyle w:val="10"/>
        <w:adjustRightInd w:val="0"/>
        <w:snapToGrid w:val="0"/>
        <w:spacing w:before="0" w:line="440" w:lineRule="exact"/>
        <w:jc w:val="left"/>
        <w:rPr>
          <w:sz w:val="32"/>
          <w:szCs w:val="32"/>
        </w:rPr>
      </w:pPr>
      <w:r>
        <w:rPr>
          <w:rFonts w:hint="eastAsia"/>
          <w:sz w:val="32"/>
          <w:szCs w:val="32"/>
        </w:rPr>
        <w:t>第二部分度部门决算情况说明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p>
    <w:p>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pageBreakBefore w:val="0"/>
        <w:widowControl w:val="0"/>
        <w:kinsoku/>
        <w:wordWrap/>
        <w:overflowPunct/>
        <w:topLinePunct w:val="0"/>
        <w:autoSpaceDE/>
        <w:autoSpaceDN/>
        <w:bidi w:val="0"/>
        <w:spacing w:before="0" w:after="0" w:line="560" w:lineRule="exact"/>
        <w:textAlignment w:val="auto"/>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8446"/>
      <w:bookmarkStart w:id="19" w:name="_Toc15377199"/>
    </w:p>
    <w:p>
      <w:pPr>
        <w:pStyle w:val="5"/>
        <w:keepNext w:val="0"/>
        <w:keepLines w:val="0"/>
        <w:pageBreakBefore w:val="0"/>
        <w:kinsoku/>
        <w:wordWrap/>
        <w:overflowPunct/>
        <w:topLinePunct w:val="0"/>
        <w:autoSpaceDE/>
        <w:autoSpaceDN/>
        <w:bidi w:val="0"/>
        <w:adjustRightInd w:val="0"/>
        <w:snapToGrid w:val="0"/>
        <w:spacing w:before="0" w:beforeLines="0" w:line="560" w:lineRule="exact"/>
        <w:ind w:right="0" w:rightChars="0" w:firstLine="643" w:firstLineChars="200"/>
        <w:textAlignment w:val="auto"/>
        <w:rPr>
          <w:rFonts w:hint="eastAsia" w:ascii="仿宋" w:hAnsi="仿宋" w:eastAsia="仿宋" w:cs="仿宋"/>
          <w:b/>
          <w:bCs w:val="0"/>
          <w:sz w:val="32"/>
          <w:szCs w:val="32"/>
          <w:lang w:eastAsia="zh-CN"/>
        </w:rPr>
      </w:pPr>
      <w:r>
        <w:rPr>
          <w:rFonts w:hint="eastAsia" w:ascii="仿宋" w:hAnsi="仿宋" w:eastAsia="仿宋" w:cs="仿宋"/>
          <w:b/>
          <w:bCs w:val="0"/>
          <w:sz w:val="32"/>
          <w:szCs w:val="32"/>
          <w:lang w:eastAsia="zh-CN"/>
        </w:rPr>
        <w:t>（一）基本职能</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right="0" w:rightChars="0" w:firstLine="640" w:firstLineChars="200"/>
        <w:textAlignment w:val="auto"/>
        <w:rPr>
          <w:rFonts w:hint="eastAsia" w:ascii="仿宋" w:hAnsi="仿宋" w:eastAsia="仿宋"/>
          <w:bCs/>
          <w:color w:val="000000"/>
          <w:sz w:val="32"/>
          <w:szCs w:val="32"/>
        </w:rPr>
      </w:pPr>
      <w:r>
        <w:rPr>
          <w:rFonts w:hint="eastAsia" w:ascii="仿宋_GB2312" w:hAnsi="仿宋_GB2312" w:eastAsia="仿宋_GB2312" w:cs="仿宋_GB2312"/>
          <w:sz w:val="32"/>
          <w:szCs w:val="32"/>
        </w:rPr>
        <w:t>县委政法委的主要职责是：</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深入贯彻党的路线方针政策和决策部署，统一政法各部门思想和行动，坚持党对政法工作的绝对领导，坚决维护党中央权威和集中统一领导。</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深入贯彻党中央决定和省委、州委、县委决策，对政法工作研究提出全局性部署，推进平安红原、法治红原建设，加强过硬队伍建设，深化智能化建设，坚决维护国家政治安全、确保社会大局稳定、促进社会公平正义、保障人民安居乐业。</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了解掌握和分析研判政法工作情况动态，分析全县社会稳定形势，创新完善多部门参与的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加强对政法工作的督查，统筹协调维护政治安全、社会治安综合治理、维护社会稳定、反邪教有关法律法规政策的实施工作；指导全县政法系统网络安全和智能化建设工作</w:t>
      </w:r>
      <w:r>
        <w:rPr>
          <w:rFonts w:hint="eastAsia" w:ascii="仿宋_GB2312" w:hAnsi="仿宋_GB2312" w:eastAsia="仿宋_GB2312" w:cs="仿宋_GB2312"/>
          <w:sz w:val="32"/>
          <w:szCs w:val="32"/>
          <w:lang w:eastAsia="zh-CN"/>
        </w:rPr>
        <w:t>。五是</w:t>
      </w:r>
      <w:r>
        <w:rPr>
          <w:rFonts w:hint="eastAsia" w:ascii="仿宋_GB2312" w:hAnsi="仿宋_GB2312" w:eastAsia="仿宋_GB2312" w:cs="仿宋_GB2312"/>
          <w:sz w:val="32"/>
          <w:szCs w:val="32"/>
        </w:rPr>
        <w:t>组织开展政法领域的调查研究，研究拟订全县政法工作的政策措施，及时向县委提出建议。</w:t>
      </w:r>
      <w:r>
        <w:rPr>
          <w:rFonts w:hint="eastAsia" w:ascii="仿宋_GB2312" w:hAnsi="仿宋_GB2312" w:eastAsia="仿宋_GB2312" w:cs="仿宋_GB2312"/>
          <w:sz w:val="32"/>
          <w:szCs w:val="32"/>
          <w:lang w:eastAsia="zh-CN"/>
        </w:rPr>
        <w:t>六是</w:t>
      </w:r>
      <w:r>
        <w:rPr>
          <w:rFonts w:hint="eastAsia" w:ascii="仿宋_GB2312" w:hAnsi="仿宋_GB2312" w:eastAsia="仿宋_GB2312" w:cs="仿宋_GB2312"/>
          <w:sz w:val="32"/>
          <w:szCs w:val="32"/>
        </w:rPr>
        <w:t>参与有关地方性法规和规章的起草、修改工作，及时提出立法建议。掌握分析政法舆情动态，指导协调政法部门媒体网络宣传工作，指导政法部门做好涉及政法工作的重大宣传和舆论引导工作。</w:t>
      </w:r>
      <w:r>
        <w:rPr>
          <w:rFonts w:hint="eastAsia" w:ascii="仿宋_GB2312" w:hAnsi="仿宋_GB2312" w:eastAsia="仿宋_GB2312" w:cs="仿宋_GB2312"/>
          <w:sz w:val="32"/>
          <w:szCs w:val="32"/>
          <w:lang w:eastAsia="zh-CN"/>
        </w:rPr>
        <w:t>七是</w:t>
      </w:r>
      <w:r>
        <w:rPr>
          <w:rFonts w:hint="eastAsia" w:ascii="仿宋_GB2312" w:hAnsi="仿宋_GB2312" w:eastAsia="仿宋_GB2312" w:cs="仿宋_GB2312"/>
          <w:sz w:val="32"/>
          <w:szCs w:val="32"/>
        </w:rPr>
        <w:t>监督和支持政法各部门依法行使职权，指导和协调政法各部门密切配合，研究和协调重大、疑难案件，推进严格执法、公正司法。组织研究政法改革中带有方向性、倾向性和普遍性的重大问题，深化政法改革。</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指导推动政法系统党的建设和政法队伍建设，协同县级有关职能部门管理监督政法领导干部，代管红原县法学会。</w:t>
      </w:r>
      <w:r>
        <w:rPr>
          <w:rFonts w:hint="eastAsia" w:ascii="仿宋_GB2312" w:hAnsi="仿宋_GB2312" w:eastAsia="仿宋_GB2312" w:cs="仿宋_GB2312"/>
          <w:sz w:val="32"/>
          <w:szCs w:val="32"/>
          <w:lang w:eastAsia="zh-CN"/>
        </w:rPr>
        <w:t>九是</w:t>
      </w:r>
      <w:r>
        <w:rPr>
          <w:rFonts w:hint="eastAsia" w:ascii="仿宋_GB2312" w:hAnsi="仿宋_GB2312" w:eastAsia="仿宋_GB2312" w:cs="仿宋_GB2312"/>
          <w:sz w:val="32"/>
          <w:szCs w:val="32"/>
        </w:rPr>
        <w:t>完成县委交办的其他任务。</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Cs/>
          <w:sz w:val="32"/>
          <w:szCs w:val="32"/>
          <w:lang w:eastAsia="zh-CN"/>
        </w:rPr>
        <w:t>20</w:t>
      </w:r>
      <w:r>
        <w:rPr>
          <w:rFonts w:hint="eastAsia" w:ascii="仿宋_GB2312" w:hAnsi="仿宋_GB2312" w:eastAsia="仿宋_GB2312" w:cs="仿宋_GB2312"/>
          <w:bCs/>
          <w:sz w:val="32"/>
          <w:szCs w:val="32"/>
          <w:lang w:val="en-US" w:eastAsia="zh-CN"/>
        </w:rPr>
        <w:t>19</w:t>
      </w:r>
      <w:r>
        <w:rPr>
          <w:rFonts w:hint="eastAsia" w:ascii="仿宋_GB2312" w:hAnsi="仿宋_GB2312" w:eastAsia="仿宋_GB2312" w:cs="仿宋_GB2312"/>
          <w:bCs/>
          <w:sz w:val="32"/>
          <w:szCs w:val="32"/>
        </w:rPr>
        <w:t>年重点工作任务介绍</w:t>
      </w:r>
      <w:r>
        <w:rPr>
          <w:rFonts w:hint="eastAsia" w:ascii="仿宋_GB2312" w:hAnsi="仿宋_GB2312" w:eastAsia="仿宋_GB2312" w:cs="仿宋_GB2312"/>
          <w:i w:val="0"/>
          <w:caps w:val="0"/>
          <w:color w:val="333333"/>
          <w:spacing w:val="0"/>
          <w:sz w:val="32"/>
          <w:szCs w:val="32"/>
          <w:shd w:val="clear" w:fill="FFFFFF"/>
        </w:rPr>
        <w:t>　 1.强化政治担当，推动红原政法事业全面发展。一是持续深化“大学习、大讨论、大调研”、“不忘初心、牢记使命”主题教育，用十九大精神、习近平新</w:t>
      </w:r>
      <w:r>
        <w:rPr>
          <w:rFonts w:hint="eastAsia" w:ascii="仿宋_GB2312" w:hAnsi="仿宋_GB2312" w:eastAsia="仿宋_GB2312" w:cs="仿宋_GB2312"/>
          <w:i w:val="0"/>
          <w:caps w:val="0"/>
          <w:color w:val="333333"/>
          <w:spacing w:val="0"/>
          <w:sz w:val="32"/>
          <w:szCs w:val="32"/>
          <w:shd w:val="clear" w:fill="FFFFFF"/>
          <w:lang w:eastAsia="zh-CN"/>
        </w:rPr>
        <w:t>时代</w:t>
      </w:r>
      <w:bookmarkStart w:id="73" w:name="_GoBack"/>
      <w:bookmarkEnd w:id="73"/>
      <w:r>
        <w:rPr>
          <w:rFonts w:hint="eastAsia" w:ascii="仿宋_GB2312" w:hAnsi="仿宋_GB2312" w:eastAsia="仿宋_GB2312" w:cs="仿宋_GB2312"/>
          <w:i w:val="0"/>
          <w:caps w:val="0"/>
          <w:color w:val="333333"/>
          <w:spacing w:val="0"/>
          <w:sz w:val="32"/>
          <w:szCs w:val="32"/>
          <w:shd w:val="clear" w:fill="FFFFFF"/>
        </w:rPr>
        <w:t>中国特色社会主义政法思想以及来川重要讲话精神贯穿于红原政法工作全过程。二是坚决维护政治安全。深化“一反两防”斗争，强化情报信息收集研判，提高预测预警预判和运用处理能力。深化依法常态化治理，提高社会面防控力度。深化重点人员、重点关注对象、重点行业、重点物品的管控。深入贯彻调解工作“六步”工作法，持续加强对涉及“三山一界”、工程建设、特殊利益群体等方面的隐患纠纷排查化解，确保将各种矛盾纠纷和不稳定因素化解在萌芽状态，稳控在基层，解决在当地。深化稳定风险评估制度的推进和落实，以稳定风险评估工作强化对各类文体活动、佛事活动的管控。三是深化反邪教斗争，加强反邪教宣传教育，开展打击邪教组织专项行动，加大对学校、非法宗教活动和境外宗教渗透活动的打击力度，加强对涉邪人员的教育转化。四是扎实推进“平安红原”建设，以“一核三治”为载体，以社会面依法常态化治理为抓手，纵深推进扫黑除恶专项斗争工作，提升社会综合治理成效，提高群众安全感。</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2.强化政法服务保障，助推红原经济社会发展。一是打好维护稳定攻坚战。持续深化“三反两防”，聚焦五个发生法，重点抓好当前至3月等敏感期维稳工作。二是打好精准扶贫攻坚战。深化基层法治创建，通过法治宣传教育、矛盾纠纷调解、村规民约完善等，推动实现“四好”目标。三是打好生态保护攻坚战。严厉打击破坏生态环境资源违法犯罪，推进环保领域公益诉讼工作。加强涉环保项目建设风险评估，加强专题研究，做好风险防控。</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3.加强群众工作，提升红原基层治理现代化水平。一是弘扬新时代“枫桥经验”，践行“一线工作法”。完善多元化解机制，调动发挥各调解组织和人民调解员的作用，提升源头防范化解矛盾纠纷能力。深化“诉非衔接”机制，延伸“公调对接”机制。二是以创建“七无社区（村）”为载体，大力实施乡村善治工程，全面推进平安村创建工作。深入推进“七五”普法工作，发挥县法治政策、姐妹、高僧大德等宣讲团的作用，常态开展“法律七进”活动，加强基层法治示范创建，加强公安派出所、司法所、法学会等基层基础建设，营造“办事依法、遇事找法、化解矛盾纠纷靠法”的良好氛围。三是提升网格化服务管理。加快推动各职能部门把资源力量、职能要素集中整合到网格，形成解决“最后一公里”问题的强大合力。全力推进综治中心规范化建设的作用发挥。</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4.纵深推进示范体制改革，进一步为红原政法工作增添活力。一是深化司法体制改革。按照要求开展司法人力资源调研，推动员额进出常态化制度化</w:t>
      </w:r>
      <w:r>
        <w:rPr>
          <w:rFonts w:hint="eastAsia" w:ascii="仿宋_GB2312" w:hAnsi="仿宋_GB2312" w:eastAsia="仿宋_GB2312" w:cs="仿宋_GB2312"/>
          <w:i w:val="0"/>
          <w:caps w:val="0"/>
          <w:color w:val="333333"/>
          <w:spacing w:val="0"/>
          <w:sz w:val="32"/>
          <w:szCs w:val="32"/>
          <w:shd w:val="clear" w:fill="FFFFFF"/>
          <w:lang w:val="en-US" w:eastAsia="zh-CN"/>
        </w:rPr>
        <w:t>.</w:t>
      </w:r>
      <w:r>
        <w:rPr>
          <w:rFonts w:hint="eastAsia" w:ascii="仿宋_GB2312" w:hAnsi="仿宋_GB2312" w:eastAsia="仿宋_GB2312" w:cs="仿宋_GB2312"/>
          <w:i w:val="0"/>
          <w:caps w:val="0"/>
          <w:color w:val="333333"/>
          <w:spacing w:val="0"/>
          <w:sz w:val="32"/>
          <w:szCs w:val="32"/>
          <w:shd w:val="clear" w:fill="FFFFFF"/>
        </w:rPr>
        <w:t>二是深化诉讼制度改革。完善刑事案件分流机制，深化以审判为中心的刑事诉讼制度改革，持续推进刑事诉讼涉案财物管理处置，完备诉讼程序，深化执行工作大格局。三是深化公安改革。深化警务运行机制和执法权力运行机制改革，进一步优化职能配置、机构设置和力量配置，促进执法规范化。四是司法行政改革。健全社区矫正、强制隔离戒毒执行机制，深化律师、公正、法律援助、人民调解等制度改革，加快构建公共法律服务体系。</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5.抓住科技改革历史性机遇，加快红原政法工作跨越式发展步伐。一是加快建设政法共建共享专网平台系统。以智能辅助办案系统为基础，整合相关业务系统，加快政法工作共建共享专网平台建设，推进智慧法院、智慧检察、智慧警务、智慧法律服务等建设。二是加快建设城乡公共安全视频监控系统。推进城市“天网”联网应用，构建人防、物防、技防综合管控网。加快“雪亮工程”建设，推进20</w:t>
      </w:r>
      <w:r>
        <w:rPr>
          <w:rFonts w:hint="eastAsia" w:ascii="仿宋_GB2312" w:hAnsi="仿宋_GB2312" w:eastAsia="仿宋_GB2312" w:cs="仿宋_GB2312"/>
          <w:i w:val="0"/>
          <w:caps w:val="0"/>
          <w:color w:val="333333"/>
          <w:spacing w:val="0"/>
          <w:sz w:val="32"/>
          <w:szCs w:val="32"/>
          <w:shd w:val="clear" w:fill="FFFFFF"/>
          <w:lang w:val="en-US" w:eastAsia="zh-CN"/>
        </w:rPr>
        <w:t>20</w:t>
      </w:r>
      <w:r>
        <w:rPr>
          <w:rFonts w:hint="eastAsia" w:ascii="仿宋_GB2312" w:hAnsi="仿宋_GB2312" w:eastAsia="仿宋_GB2312" w:cs="仿宋_GB2312"/>
          <w:i w:val="0"/>
          <w:caps w:val="0"/>
          <w:color w:val="333333"/>
          <w:spacing w:val="0"/>
          <w:sz w:val="32"/>
          <w:szCs w:val="32"/>
          <w:shd w:val="clear" w:fill="FFFFFF"/>
        </w:rPr>
        <w:t>年乡村“雪亮”工程试点建设。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bCs/>
          <w:color w:val="000000"/>
          <w:sz w:val="32"/>
          <w:szCs w:val="32"/>
        </w:rPr>
      </w:pPr>
      <w:r>
        <w:rPr>
          <w:rFonts w:hint="eastAsia" w:ascii="仿宋_GB2312" w:hAnsi="仿宋_GB2312" w:eastAsia="仿宋_GB2312" w:cs="仿宋_GB2312"/>
          <w:i w:val="0"/>
          <w:caps w:val="0"/>
          <w:color w:val="333333"/>
          <w:spacing w:val="0"/>
          <w:sz w:val="32"/>
          <w:szCs w:val="32"/>
          <w:shd w:val="clear" w:fill="FFFFFF"/>
        </w:rPr>
        <w:t>6.加强政法队伍建设，保障红原政法事业不断进步。以“</w:t>
      </w:r>
      <w:r>
        <w:rPr>
          <w:rFonts w:hint="eastAsia" w:ascii="仿宋_GB2312" w:hAnsi="仿宋_GB2312" w:eastAsia="仿宋_GB2312" w:cs="仿宋_GB2312"/>
          <w:i w:val="0"/>
          <w:caps w:val="0"/>
          <w:color w:val="333333"/>
          <w:spacing w:val="0"/>
          <w:sz w:val="32"/>
          <w:szCs w:val="32"/>
          <w:shd w:val="clear" w:fill="FFFFFF"/>
          <w:lang w:eastAsia="zh-CN"/>
        </w:rPr>
        <w:t>不忘初心，牢记使命</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eastAsia="zh-CN"/>
        </w:rPr>
        <w:t>主题教育</w:t>
      </w:r>
      <w:r>
        <w:rPr>
          <w:rFonts w:hint="eastAsia" w:ascii="仿宋_GB2312" w:hAnsi="仿宋_GB2312" w:eastAsia="仿宋_GB2312" w:cs="仿宋_GB2312"/>
          <w:i w:val="0"/>
          <w:caps w:val="0"/>
          <w:color w:val="333333"/>
          <w:spacing w:val="0"/>
          <w:sz w:val="32"/>
          <w:szCs w:val="32"/>
          <w:shd w:val="clear" w:fill="FFFFFF"/>
        </w:rPr>
        <w:t>活动为载体，教育引导全县政法干警切实树牢“四个意识”，坚定“四个自信”，</w:t>
      </w:r>
      <w:r>
        <w:rPr>
          <w:rFonts w:hint="eastAsia" w:ascii="仿宋_GB2312" w:hAnsi="仿宋_GB2312" w:eastAsia="仿宋_GB2312" w:cs="仿宋_GB2312"/>
          <w:i w:val="0"/>
          <w:caps w:val="0"/>
          <w:color w:val="333333"/>
          <w:spacing w:val="0"/>
          <w:sz w:val="32"/>
          <w:szCs w:val="32"/>
          <w:shd w:val="clear" w:fill="FFFFFF"/>
          <w:lang w:eastAsia="zh-CN"/>
        </w:rPr>
        <w:t>做到“两个维护”，</w:t>
      </w:r>
      <w:r>
        <w:rPr>
          <w:rFonts w:hint="eastAsia" w:ascii="仿宋_GB2312" w:hAnsi="仿宋_GB2312" w:eastAsia="仿宋_GB2312" w:cs="仿宋_GB2312"/>
          <w:i w:val="0"/>
          <w:caps w:val="0"/>
          <w:color w:val="333333"/>
          <w:spacing w:val="0"/>
          <w:sz w:val="32"/>
          <w:szCs w:val="32"/>
          <w:shd w:val="clear" w:fill="FFFFFF"/>
        </w:rPr>
        <w:t>严守政治纪律和政治规矩。常态化制度化推进“两学一做”学习教育，努力造就一支忠诚履职、担当作为、扎根红原、淡薄名利、服务高原的政法队伍。</w:t>
      </w:r>
    </w:p>
    <w:p>
      <w:pPr>
        <w:pStyle w:val="3"/>
        <w:pageBreakBefore w:val="0"/>
        <w:kinsoku/>
        <w:wordWrap/>
        <w:overflowPunct/>
        <w:topLinePunct w:val="0"/>
        <w:autoSpaceDE/>
        <w:autoSpaceDN/>
        <w:bidi w:val="0"/>
        <w:adjustRightInd/>
        <w:snapToGrid/>
        <w:spacing w:line="560" w:lineRule="exact"/>
        <w:textAlignment w:val="auto"/>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rPr>
        <w:t>本部门预算</w:t>
      </w:r>
      <w:r>
        <w:rPr>
          <w:rFonts w:hint="eastAsia" w:ascii="仿宋_GB2312" w:hAnsi="仿宋_GB2312" w:eastAsia="仿宋_GB2312" w:cs="仿宋_GB2312"/>
          <w:i w:val="0"/>
          <w:caps w:val="0"/>
          <w:color w:val="333333"/>
          <w:spacing w:val="0"/>
          <w:sz w:val="32"/>
          <w:szCs w:val="32"/>
          <w:shd w:val="clear" w:color="auto" w:fill="FFFFFF"/>
          <w:lang w:eastAsia="zh-CN"/>
        </w:rPr>
        <w:t>行政</w:t>
      </w:r>
      <w:r>
        <w:rPr>
          <w:rFonts w:hint="eastAsia" w:ascii="仿宋_GB2312" w:hAnsi="仿宋_GB2312" w:eastAsia="仿宋_GB2312" w:cs="仿宋_GB2312"/>
          <w:i w:val="0"/>
          <w:caps w:val="0"/>
          <w:color w:val="333333"/>
          <w:spacing w:val="0"/>
          <w:sz w:val="32"/>
          <w:szCs w:val="32"/>
          <w:shd w:val="clear" w:color="auto" w:fill="FFFFFF"/>
        </w:rPr>
        <w:t>单位1个，其中内设机构有</w:t>
      </w:r>
      <w:r>
        <w:rPr>
          <w:rFonts w:hint="eastAsia" w:ascii="仿宋_GB2312" w:hAnsi="仿宋_GB2312" w:eastAsia="仿宋_GB2312" w:cs="仿宋_GB2312"/>
          <w:b w:val="0"/>
          <w:bCs w:val="0"/>
          <w:color w:val="000000"/>
          <w:sz w:val="32"/>
          <w:szCs w:val="32"/>
          <w:lang w:val="en-US" w:eastAsia="zh-CN"/>
        </w:rPr>
        <w:t>4个</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i w:val="0"/>
          <w:caps w:val="0"/>
          <w:color w:val="333333"/>
          <w:spacing w:val="0"/>
          <w:sz w:val="32"/>
          <w:szCs w:val="32"/>
          <w:shd w:val="clear" w:color="auto" w:fill="FFFFFF"/>
        </w:rPr>
        <w:t>办公室、</w:t>
      </w:r>
      <w:r>
        <w:rPr>
          <w:rFonts w:hint="eastAsia" w:ascii="仿宋_GB2312" w:hAnsi="仿宋_GB2312" w:eastAsia="仿宋_GB2312" w:cs="仿宋_GB2312"/>
          <w:b w:val="0"/>
          <w:bCs w:val="0"/>
          <w:color w:val="000000"/>
          <w:sz w:val="32"/>
          <w:szCs w:val="32"/>
        </w:rPr>
        <w:t>政治安全与反分裂维稳指导股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基层社会治理和综治督导股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政治部</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i w:val="0"/>
          <w:caps w:val="0"/>
          <w:color w:val="333333"/>
          <w:spacing w:val="0"/>
          <w:sz w:val="32"/>
          <w:szCs w:val="32"/>
          <w:shd w:val="clear" w:color="auto" w:fill="FFFFFF"/>
        </w:rPr>
        <w:t>县矛盾纠纷“大调解”协调中心、</w:t>
      </w:r>
      <w:r>
        <w:rPr>
          <w:rFonts w:hint="eastAsia" w:ascii="仿宋_GB2312" w:hAnsi="仿宋_GB2312" w:eastAsia="仿宋_GB2312" w:cs="仿宋_GB2312"/>
          <w:i w:val="0"/>
          <w:caps w:val="0"/>
          <w:color w:val="333333"/>
          <w:spacing w:val="0"/>
          <w:sz w:val="32"/>
          <w:szCs w:val="32"/>
          <w:shd w:val="clear" w:color="auto" w:fill="FFFFFF"/>
          <w:lang w:eastAsia="zh-CN"/>
        </w:rPr>
        <w:t>县委维稳指挥部、</w:t>
      </w:r>
      <w:r>
        <w:rPr>
          <w:rFonts w:hint="eastAsia" w:ascii="仿宋_GB2312" w:hAnsi="仿宋_GB2312" w:eastAsia="仿宋_GB2312" w:cs="仿宋_GB2312"/>
          <w:i w:val="0"/>
          <w:caps w:val="0"/>
          <w:color w:val="333333"/>
          <w:spacing w:val="0"/>
          <w:sz w:val="32"/>
          <w:szCs w:val="32"/>
          <w:shd w:val="clear" w:color="auto" w:fill="FFFFFF"/>
        </w:rPr>
        <w:t>扫黑除恶办等合署办公。县矛盾纠纷“大调解”协调中心属于事业</w:t>
      </w:r>
      <w:r>
        <w:rPr>
          <w:rFonts w:hint="eastAsia" w:ascii="仿宋_GB2312" w:hAnsi="仿宋_GB2312" w:eastAsia="仿宋_GB2312" w:cs="仿宋_GB2312"/>
          <w:i w:val="0"/>
          <w:caps w:val="0"/>
          <w:color w:val="333333"/>
          <w:spacing w:val="0"/>
          <w:sz w:val="32"/>
          <w:szCs w:val="32"/>
          <w:shd w:val="clear" w:color="auto" w:fill="FFFFFF"/>
          <w:lang w:eastAsia="zh-CN"/>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pPr>
      <w:r>
        <w:rPr>
          <w:rFonts w:hint="eastAsia" w:ascii="仿宋_GB2312" w:hAnsi="仿宋_GB2312" w:eastAsia="仿宋_GB2312" w:cs="仿宋_GB2312"/>
          <w:i w:val="0"/>
          <w:caps w:val="0"/>
          <w:color w:val="333333"/>
          <w:spacing w:val="0"/>
          <w:sz w:val="32"/>
          <w:szCs w:val="32"/>
          <w:shd w:val="clear" w:fill="FFFFFF"/>
        </w:rPr>
        <w:t>人员情况：总编制15名，其中，行政编制10名，行政工勤1名，事业编制4名。在职人员总数17人，其中，行政编制12名，行政工勤1名，事业编制4名。退休人员5人；长瞻人员1 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pageBreakBefore w:val="0"/>
        <w:widowControl w:val="0"/>
        <w:kinsoku/>
        <w:wordWrap/>
        <w:overflowPunct/>
        <w:topLinePunct w:val="0"/>
        <w:autoSpaceDE/>
        <w:autoSpaceDN/>
        <w:bidi w:val="0"/>
        <w:adjustRightInd/>
        <w:snapToGrid/>
        <w:spacing w:before="0" w:after="0" w:line="560" w:lineRule="exact"/>
        <w:ind w:left="0" w:right="0" w:firstLine="880" w:firstLineChars="200"/>
        <w:jc w:val="right"/>
        <w:textAlignment w:val="auto"/>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ageBreakBefore w:val="0"/>
        <w:widowControl w:val="0"/>
        <w:kinsoku/>
        <w:wordWrap/>
        <w:overflowPunct/>
        <w:topLinePunct w:val="0"/>
        <w:autoSpaceDE/>
        <w:autoSpaceDN/>
        <w:bidi w:val="0"/>
        <w:adjustRightInd/>
        <w:snapToGrid/>
        <w:spacing w:line="560" w:lineRule="exact"/>
        <w:ind w:left="0" w:right="0" w:firstLine="420" w:firstLineChars="200"/>
        <w:textAlignment w:val="auto"/>
      </w:pPr>
    </w:p>
    <w:p>
      <w:pPr>
        <w:pStyle w:val="24"/>
        <w:pageBreakBefore w:val="0"/>
        <w:widowControl w:val="0"/>
        <w:numPr>
          <w:ilvl w:val="0"/>
          <w:numId w:val="1"/>
        </w:numPr>
        <w:kinsoku/>
        <w:wordWrap/>
        <w:overflowPunct/>
        <w:topLinePunct w:val="0"/>
        <w:autoSpaceDE/>
        <w:autoSpaceDN/>
        <w:bidi w:val="0"/>
        <w:adjustRightInd/>
        <w:snapToGrid/>
        <w:spacing w:line="560" w:lineRule="exact"/>
        <w:ind w:left="0" w:right="0" w:firstLine="640" w:firstLineChars="200"/>
        <w:textAlignment w:val="auto"/>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528.66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支总计475.78万元。与2018年相比，收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96.49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22.33</w:t>
      </w:r>
      <w:r>
        <w:rPr>
          <w:rFonts w:ascii="仿宋" w:hAnsi="仿宋" w:eastAsia="仿宋"/>
          <w:color w:val="000000"/>
          <w:sz w:val="32"/>
          <w:szCs w:val="32"/>
        </w:rPr>
        <w:t>%</w:t>
      </w:r>
      <w:r>
        <w:rPr>
          <w:rFonts w:hint="eastAsia" w:ascii="仿宋" w:hAnsi="仿宋" w:eastAsia="仿宋"/>
          <w:color w:val="000000"/>
          <w:sz w:val="32"/>
          <w:szCs w:val="32"/>
        </w:rPr>
        <w:t>。支总计减少</w:t>
      </w:r>
      <w:r>
        <w:rPr>
          <w:rFonts w:hint="eastAsia" w:ascii="仿宋" w:hAnsi="仿宋" w:eastAsia="仿宋"/>
          <w:color w:val="000000"/>
          <w:sz w:val="32"/>
          <w:szCs w:val="32"/>
          <w:lang w:val="en-US" w:eastAsia="zh-CN"/>
        </w:rPr>
        <w:t>80.58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14.53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：项目支出减少。</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124460</wp:posOffset>
            </wp:positionH>
            <wp:positionV relativeFrom="paragraph">
              <wp:posOffset>67945</wp:posOffset>
            </wp:positionV>
            <wp:extent cx="4149725" cy="2953385"/>
            <wp:effectExtent l="4445" t="5080" r="17780" b="1333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528.66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419.93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79.43</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108.73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20.57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p>
    <w:p>
      <w:pPr>
        <w:spacing w:line="600" w:lineRule="exact"/>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559435</wp:posOffset>
            </wp:positionH>
            <wp:positionV relativeFrom="paragraph">
              <wp:posOffset>180975</wp:posOffset>
            </wp:positionV>
            <wp:extent cx="3990340" cy="2995930"/>
            <wp:effectExtent l="4445" t="4445" r="5715" b="952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4"/>
        <w:numPr>
          <w:ilvl w:val="0"/>
          <w:numId w:val="0"/>
        </w:numPr>
        <w:spacing w:line="600" w:lineRule="exact"/>
        <w:ind w:left="640" w:leftChars="0" w:firstLine="1280" w:firstLineChars="400"/>
        <w:outlineLvl w:val="1"/>
        <w:rPr>
          <w:rFonts w:hint="eastAsia" w:ascii="黑体" w:hAnsi="黑体" w:eastAsia="黑体"/>
          <w:color w:val="000000"/>
          <w:sz w:val="32"/>
          <w:szCs w:val="32"/>
          <w:lang w:val="en-US" w:eastAsia="zh-CN"/>
        </w:rPr>
      </w:pPr>
      <w:bookmarkStart w:id="28" w:name="_Toc15377207"/>
      <w:bookmarkStart w:id="29" w:name="_Toc15396605"/>
      <w:r>
        <w:rPr>
          <w:rFonts w:hint="eastAsia" w:ascii="黑体" w:hAnsi="黑体" w:eastAsia="黑体"/>
          <w:color w:val="000000"/>
          <w:sz w:val="32"/>
          <w:szCs w:val="32"/>
          <w:lang w:val="en-US" w:eastAsia="zh-CN"/>
        </w:rPr>
        <w:t xml:space="preserve">   </w:t>
      </w:r>
    </w:p>
    <w:p>
      <w:pPr>
        <w:pStyle w:val="24"/>
        <w:numPr>
          <w:ilvl w:val="0"/>
          <w:numId w:val="0"/>
        </w:numPr>
        <w:spacing w:line="600" w:lineRule="exact"/>
        <w:ind w:left="640" w:leftChars="0" w:firstLine="1280" w:firstLineChars="400"/>
        <w:outlineLvl w:val="1"/>
        <w:rPr>
          <w:rFonts w:hint="eastAsia" w:ascii="黑体" w:hAnsi="黑体" w:eastAsia="黑体"/>
          <w:color w:val="000000"/>
          <w:sz w:val="32"/>
          <w:szCs w:val="32"/>
          <w:lang w:val="en-US" w:eastAsia="zh-CN"/>
        </w:rPr>
      </w:pPr>
    </w:p>
    <w:p>
      <w:pPr>
        <w:pStyle w:val="24"/>
        <w:numPr>
          <w:ilvl w:val="0"/>
          <w:numId w:val="0"/>
        </w:numPr>
        <w:spacing w:line="600" w:lineRule="exact"/>
        <w:ind w:left="640" w:leftChars="0" w:firstLine="1280" w:firstLineChars="400"/>
        <w:outlineLvl w:val="1"/>
        <w:rPr>
          <w:rStyle w:val="26"/>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475.78</w:t>
      </w:r>
      <w:r>
        <w:rPr>
          <w:rFonts w:hint="eastAsia" w:ascii="仿宋" w:hAnsi="仿宋" w:eastAsia="仿宋"/>
          <w:color w:val="000000"/>
          <w:sz w:val="32"/>
          <w:szCs w:val="32"/>
        </w:rPr>
        <w:t>万元，其中：基本支出388.93万元，占</w:t>
      </w:r>
      <w:r>
        <w:rPr>
          <w:rFonts w:hint="eastAsia" w:ascii="仿宋" w:hAnsi="仿宋" w:eastAsia="仿宋"/>
          <w:color w:val="000000"/>
          <w:sz w:val="32"/>
          <w:szCs w:val="32"/>
          <w:lang w:val="en-US" w:eastAsia="zh-CN"/>
        </w:rPr>
        <w:t>81.75</w:t>
      </w:r>
      <w:r>
        <w:rPr>
          <w:rFonts w:ascii="仿宋" w:hAnsi="仿宋" w:eastAsia="仿宋"/>
          <w:color w:val="000000"/>
          <w:sz w:val="32"/>
          <w:szCs w:val="32"/>
        </w:rPr>
        <w:t>%</w:t>
      </w:r>
      <w:r>
        <w:rPr>
          <w:rFonts w:hint="eastAsia" w:ascii="仿宋" w:hAnsi="仿宋" w:eastAsia="仿宋"/>
          <w:color w:val="000000"/>
          <w:sz w:val="32"/>
          <w:szCs w:val="32"/>
        </w:rPr>
        <w:t>；项目支出86.85万元，占</w:t>
      </w:r>
      <w:r>
        <w:rPr>
          <w:rFonts w:hint="eastAsia" w:ascii="仿宋" w:hAnsi="仿宋" w:eastAsia="仿宋"/>
          <w:color w:val="000000"/>
          <w:sz w:val="32"/>
          <w:szCs w:val="32"/>
          <w:lang w:val="en-US" w:eastAsia="zh-CN"/>
        </w:rPr>
        <w:t>18.25</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1312" behindDoc="1" locked="0" layoutInCell="1" allowOverlap="1">
            <wp:simplePos x="0" y="0"/>
            <wp:positionH relativeFrom="column">
              <wp:posOffset>705485</wp:posOffset>
            </wp:positionH>
            <wp:positionV relativeFrom="paragraph">
              <wp:posOffset>302895</wp:posOffset>
            </wp:positionV>
            <wp:extent cx="3632200" cy="1938020"/>
            <wp:effectExtent l="4445" t="4445" r="78105" b="57785"/>
            <wp:wrapTight wrapText="bothSides">
              <wp:wrapPolygon>
                <wp:start x="-26" y="-50"/>
                <wp:lineTo x="-26" y="21395"/>
                <wp:lineTo x="21498" y="21395"/>
                <wp:lineTo x="21498" y="-50"/>
                <wp:lineTo x="-26" y="-5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outlineLvl w:val="1"/>
        <w:rPr>
          <w:rFonts w:hint="eastAsia" w:ascii="黑体" w:hAnsi="黑体" w:eastAsia="黑体"/>
          <w:color w:val="000000"/>
          <w:sz w:val="32"/>
          <w:szCs w:val="32"/>
        </w:rPr>
      </w:pPr>
      <w:bookmarkStart w:id="30" w:name="_Toc15396606"/>
      <w:bookmarkStart w:id="31" w:name="_Toc15377208"/>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419.93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388.93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3.28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0.7</w:t>
      </w:r>
      <w:r>
        <w:rPr>
          <w:rFonts w:ascii="仿宋" w:hAnsi="仿宋" w:eastAsia="仿宋"/>
          <w:color w:val="000000"/>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47.43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10.87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项目支出减少。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r>
        <w:rPr>
          <w:rFonts w:hint="eastAsia" w:ascii="仿宋" w:hAnsi="仿宋" w:eastAsia="仿宋"/>
          <w:b/>
          <w:color w:val="00B050"/>
          <w:sz w:val="32"/>
          <w:szCs w:val="32"/>
          <w:lang w:eastAsia="zh-CN"/>
        </w:rPr>
        <w:drawing>
          <wp:anchor distT="0" distB="0" distL="114300" distR="114300" simplePos="0" relativeHeight="251662336" behindDoc="1" locked="0" layoutInCell="1" allowOverlap="1">
            <wp:simplePos x="0" y="0"/>
            <wp:positionH relativeFrom="column">
              <wp:posOffset>495935</wp:posOffset>
            </wp:positionH>
            <wp:positionV relativeFrom="paragraph">
              <wp:posOffset>131445</wp:posOffset>
            </wp:positionV>
            <wp:extent cx="4391660" cy="2465705"/>
            <wp:effectExtent l="4445" t="5080" r="23495" b="5715"/>
            <wp:wrapTight wrapText="bothSides">
              <wp:wrapPolygon>
                <wp:start x="-22" y="-45"/>
                <wp:lineTo x="-22" y="21483"/>
                <wp:lineTo x="21528" y="21483"/>
                <wp:lineTo x="21528" y="-45"/>
                <wp:lineTo x="-22" y="-45"/>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 w:hAnsi="仿宋" w:eastAsia="仿宋"/>
          <w:b/>
          <w:color w:val="00B050"/>
          <w:sz w:val="32"/>
          <w:szCs w:val="32"/>
          <w:lang w:eastAsia="zh-CN"/>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9年一般公共预算财政拨款支出420.9万元，占本年支出合计的</w:t>
      </w:r>
      <w:r>
        <w:rPr>
          <w:rFonts w:hint="eastAsia" w:ascii="仿宋" w:hAnsi="仿宋" w:eastAsia="仿宋"/>
          <w:color w:val="000000"/>
          <w:sz w:val="32"/>
          <w:szCs w:val="32"/>
          <w:lang w:val="en-US" w:eastAsia="zh-CN"/>
        </w:rPr>
        <w:t>88.47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120.72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22.29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项目支出减少。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1" locked="0" layoutInCell="1" allowOverlap="1">
            <wp:simplePos x="0" y="0"/>
            <wp:positionH relativeFrom="column">
              <wp:posOffset>452120</wp:posOffset>
            </wp:positionH>
            <wp:positionV relativeFrom="paragraph">
              <wp:posOffset>348615</wp:posOffset>
            </wp:positionV>
            <wp:extent cx="4615180" cy="2487930"/>
            <wp:effectExtent l="4445" t="4445" r="9525" b="22225"/>
            <wp:wrapTight wrapText="bothSides">
              <wp:wrapPolygon>
                <wp:start x="-21" y="-39"/>
                <wp:lineTo x="-21" y="21462"/>
                <wp:lineTo x="21555" y="21462"/>
                <wp:lineTo x="21555" y="-39"/>
                <wp:lineTo x="-21" y="-39"/>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rPr>
        <w:t>420.9</w:t>
      </w:r>
      <w:r>
        <w:rPr>
          <w:rFonts w:hint="eastAsia" w:ascii="仿宋" w:hAnsi="仿宋" w:eastAsia="仿宋"/>
          <w:color w:val="000000"/>
          <w:sz w:val="32"/>
          <w:szCs w:val="32"/>
          <w:lang w:eastAsia="zh-CN"/>
        </w:rPr>
        <w:t>万</w:t>
      </w:r>
      <w:r>
        <w:rPr>
          <w:rFonts w:hint="eastAsia" w:ascii="仿宋" w:hAnsi="仿宋" w:eastAsia="仿宋"/>
          <w:color w:val="000000" w:themeColor="text1"/>
          <w:sz w:val="32"/>
          <w:szCs w:val="32"/>
          <w14:textFill>
            <w14:solidFill>
              <w14:schemeClr w14:val="tx1"/>
            </w14:solidFill>
          </w14:textFill>
        </w:rPr>
        <w:t>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322.03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76.51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（其中项目支出31.97万元，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7.6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w:t>
      </w:r>
      <w:r>
        <w:rPr>
          <w:rFonts w:hint="eastAsia" w:ascii="仿宋" w:hAnsi="仿宋" w:eastAsia="仿宋"/>
          <w:b/>
          <w:color w:val="000000" w:themeColor="text1"/>
          <w:sz w:val="32"/>
          <w:szCs w:val="32"/>
          <w:lang w:val="en-US" w:eastAsia="zh-CN"/>
          <w14:textFill>
            <w14:solidFill>
              <w14:schemeClr w14:val="tx1"/>
            </w14:solidFill>
          </w14:textFill>
        </w:rPr>
        <w:t>206</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w:t>
      </w:r>
      <w:r>
        <w:rPr>
          <w:rFonts w:hint="eastAsia" w:ascii="仿宋" w:hAnsi="仿宋" w:eastAsia="仿宋"/>
          <w:b/>
          <w:bCs/>
          <w:color w:val="000000" w:themeColor="text1"/>
          <w:sz w:val="32"/>
          <w:szCs w:val="32"/>
          <w:lang w:val="en-US" w:eastAsia="zh-CN"/>
          <w14:textFill>
            <w14:solidFill>
              <w14:schemeClr w14:val="tx1"/>
            </w14:solidFill>
          </w14:textFill>
        </w:rPr>
        <w:t>207</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bCs/>
          <w:color w:val="000000" w:themeColor="text1"/>
          <w:sz w:val="32"/>
          <w:szCs w:val="32"/>
          <w:lang w:val="en-US" w:eastAsia="zh-CN"/>
          <w14:textFill>
            <w14:solidFill>
              <w14:schemeClr w14:val="tx1"/>
            </w14:solidFill>
          </w14:textFill>
        </w:rPr>
        <w:t>0</w:t>
      </w:r>
      <w:r>
        <w:rPr>
          <w:rFonts w:hint="eastAsia" w:ascii="仿宋" w:hAnsi="仿宋" w:eastAsia="仿宋"/>
          <w:b/>
          <w:bCs/>
          <w:color w:val="000000" w:themeColor="text1"/>
          <w:sz w:val="32"/>
          <w:szCs w:val="32"/>
          <w14:textFill>
            <w14:solidFill>
              <w14:schemeClr w14:val="tx1"/>
            </w14:solidFill>
          </w14:textFill>
        </w:rPr>
        <w:t>万元，占</w:t>
      </w:r>
      <w:r>
        <w:rPr>
          <w:rFonts w:hint="eastAsia" w:ascii="仿宋" w:hAnsi="仿宋" w:eastAsia="仿宋"/>
          <w:b/>
          <w:bCs/>
          <w:color w:val="000000" w:themeColor="text1"/>
          <w:sz w:val="32"/>
          <w:szCs w:val="32"/>
          <w:lang w:val="en-US" w:eastAsia="zh-CN"/>
          <w14:textFill>
            <w14:solidFill>
              <w14:schemeClr w14:val="tx1"/>
            </w14:solidFill>
          </w14:textFill>
        </w:rPr>
        <w:t>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45.81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10.88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14:textFill>
            <w14:solidFill>
              <w14:schemeClr w14:val="tx1"/>
            </w14:solidFill>
          </w14:textFill>
        </w:rPr>
        <w:t>19.55万元，占</w:t>
      </w:r>
      <w:r>
        <w:rPr>
          <w:rFonts w:hint="eastAsia" w:ascii="仿宋" w:hAnsi="仿宋" w:eastAsia="仿宋"/>
          <w:color w:val="000000" w:themeColor="text1"/>
          <w:sz w:val="32"/>
          <w:szCs w:val="32"/>
          <w:lang w:val="en-US" w:eastAsia="zh-CN"/>
          <w14:textFill>
            <w14:solidFill>
              <w14:schemeClr w14:val="tx1"/>
            </w14:solidFill>
          </w14:textFill>
        </w:rPr>
        <w:t>4.65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(221)</w:t>
      </w:r>
      <w:r>
        <w:rPr>
          <w:rFonts w:hint="eastAsia" w:ascii="仿宋" w:hAnsi="仿宋" w:eastAsia="仿宋"/>
          <w:color w:val="000000" w:themeColor="text1"/>
          <w:sz w:val="32"/>
          <w:szCs w:val="32"/>
          <w14:textFill>
            <w14:solidFill>
              <w14:schemeClr w14:val="tx1"/>
            </w14:solidFill>
          </w14:textFill>
        </w:rPr>
        <w:t>27.55万元，占</w:t>
      </w:r>
      <w:r>
        <w:rPr>
          <w:rFonts w:hint="eastAsia" w:ascii="仿宋" w:hAnsi="仿宋" w:eastAsia="仿宋"/>
          <w:color w:val="000000" w:themeColor="text1"/>
          <w:sz w:val="32"/>
          <w:szCs w:val="32"/>
          <w:lang w:val="en-US" w:eastAsia="zh-CN"/>
          <w14:textFill>
            <w14:solidFill>
              <w14:schemeClr w14:val="tx1"/>
            </w14:solidFill>
          </w14:textFill>
        </w:rPr>
        <w:t>6.55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图6：一般公共预算财政拨款支出决算结构</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833120</wp:posOffset>
            </wp:positionH>
            <wp:positionV relativeFrom="paragraph">
              <wp:posOffset>5715</wp:posOffset>
            </wp:positionV>
            <wp:extent cx="3588385" cy="2213610"/>
            <wp:effectExtent l="4445" t="4445" r="7620" b="10795"/>
            <wp:wrapTight wrapText="bothSides">
              <wp:wrapPolygon>
                <wp:start x="-27" y="-43"/>
                <wp:lineTo x="-27" y="21519"/>
                <wp:lineTo x="21531" y="21519"/>
                <wp:lineTo x="21531" y="-43"/>
                <wp:lineTo x="-27" y="-43"/>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420.9万元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97.7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w:t>
      </w:r>
      <w:r>
        <w:rPr>
          <w:rFonts w:hint="eastAsia" w:ascii="仿宋" w:hAnsi="仿宋" w:eastAsia="仿宋"/>
          <w:b/>
          <w:color w:val="000000" w:themeColor="text1"/>
          <w:sz w:val="32"/>
          <w:szCs w:val="32"/>
          <w14:textFill>
            <w14:solidFill>
              <w14:schemeClr w14:val="tx1"/>
            </w14:solidFill>
          </w14:textFill>
        </w:rPr>
        <w:t>支出决算数为</w:t>
      </w:r>
      <w:r>
        <w:rPr>
          <w:rFonts w:hint="eastAsia" w:ascii="仿宋" w:hAnsi="仿宋" w:eastAsia="仿宋"/>
          <w:b/>
          <w:color w:val="000000" w:themeColor="text1"/>
          <w:sz w:val="32"/>
          <w:szCs w:val="32"/>
          <w:lang w:val="en-US" w:eastAsia="zh-CN"/>
          <w14:textFill>
            <w14:solidFill>
              <w14:schemeClr w14:val="tx1"/>
            </w14:solidFill>
          </w14:textFill>
        </w:rPr>
        <w:t>420.9万元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其中，</w:t>
      </w:r>
      <w:r>
        <w:rPr>
          <w:rStyle w:val="15"/>
          <w:rFonts w:hint="eastAsia" w:ascii="仿宋" w:hAnsi="仿宋" w:eastAsia="仿宋"/>
          <w:bCs/>
          <w:color w:val="000000"/>
          <w:sz w:val="32"/>
          <w:szCs w:val="32"/>
        </w:rPr>
        <w:t>20136</w:t>
      </w:r>
      <w:r>
        <w:rPr>
          <w:rFonts w:hint="eastAsia" w:ascii="仿宋_GB2312" w:hAnsi="仿宋_GB2312" w:eastAsia="仿宋_GB2312" w:cs="仿宋_GB2312"/>
          <w:bCs/>
          <w:sz w:val="32"/>
          <w:szCs w:val="32"/>
          <w:lang w:val="en-US" w:eastAsia="zh-CN"/>
        </w:rPr>
        <w:t>其他共产党事务支出322.03</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60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，（其中工资支出</w:t>
      </w:r>
      <w:r>
        <w:rPr>
          <w:rStyle w:val="15"/>
          <w:rFonts w:hint="eastAsia" w:ascii="仿宋" w:hAnsi="仿宋" w:eastAsia="仿宋"/>
          <w:b w:val="0"/>
          <w:bCs/>
          <w:color w:val="000000"/>
          <w:sz w:val="32"/>
          <w:szCs w:val="32"/>
          <w:lang w:val="en-US" w:eastAsia="zh-CN"/>
        </w:rPr>
        <w:t>242.58</w:t>
      </w:r>
      <w:r>
        <w:rPr>
          <w:rStyle w:val="15"/>
          <w:rFonts w:hint="eastAsia" w:ascii="仿宋" w:hAnsi="仿宋" w:eastAsia="仿宋"/>
          <w:b w:val="0"/>
          <w:bCs/>
          <w:color w:val="000000"/>
          <w:sz w:val="32"/>
          <w:szCs w:val="32"/>
          <w:lang w:eastAsia="zh-CN"/>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72.16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，日常经费支出</w:t>
      </w:r>
      <w:r>
        <w:rPr>
          <w:rStyle w:val="15"/>
          <w:rFonts w:hint="eastAsia" w:ascii="仿宋" w:hAnsi="仿宋" w:eastAsia="仿宋"/>
          <w:b w:val="0"/>
          <w:bCs/>
          <w:color w:val="000000"/>
          <w:sz w:val="32"/>
          <w:szCs w:val="32"/>
          <w:lang w:val="en-US" w:eastAsia="zh-CN"/>
        </w:rPr>
        <w:t>53.45万元，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101.29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，项目支出</w:t>
      </w:r>
      <w:r>
        <w:rPr>
          <w:rStyle w:val="15"/>
          <w:rFonts w:hint="eastAsia" w:ascii="仿宋" w:hAnsi="仿宋" w:eastAsia="仿宋"/>
          <w:b w:val="0"/>
          <w:bCs/>
          <w:color w:val="000000"/>
          <w:sz w:val="32"/>
          <w:szCs w:val="32"/>
          <w:lang w:val="en-US" w:eastAsia="zh-CN"/>
        </w:rPr>
        <w:t>31.97</w:t>
      </w:r>
      <w:r>
        <w:rPr>
          <w:rStyle w:val="15"/>
          <w:rFonts w:hint="eastAsia" w:ascii="仿宋" w:hAnsi="仿宋" w:eastAsia="仿宋"/>
          <w:b w:val="0"/>
          <w:bCs/>
          <w:color w:val="000000"/>
          <w:sz w:val="32"/>
          <w:szCs w:val="32"/>
          <w:lang w:eastAsia="zh-CN"/>
        </w:rPr>
        <w:t>万元</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81.97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w:t>
      </w:r>
      <w:r>
        <w:rPr>
          <w:rStyle w:val="15"/>
          <w:rFonts w:hint="eastAsia" w:ascii="仿宋" w:hAnsi="仿宋" w:eastAsia="仿宋"/>
          <w:b w:val="0"/>
          <w:bCs/>
          <w:color w:val="000000"/>
          <w:sz w:val="32"/>
          <w:szCs w:val="32"/>
        </w:rPr>
        <w:t>于预算数的主要原因是</w:t>
      </w:r>
      <w:r>
        <w:rPr>
          <w:rStyle w:val="15"/>
          <w:rFonts w:hint="eastAsia" w:ascii="仿宋" w:hAnsi="仿宋" w:eastAsia="仿宋"/>
          <w:b w:val="0"/>
          <w:bCs/>
          <w:color w:val="000000"/>
          <w:sz w:val="32"/>
          <w:szCs w:val="32"/>
          <w:lang w:eastAsia="zh-CN"/>
        </w:rPr>
        <w:t>严格按照财政预算支出，减少项目支出</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Fonts w:hint="eastAsia" w:ascii="宋体" w:hAnsi="宋体" w:eastAsia="宋体" w:cs="宋体"/>
          <w:i w:val="0"/>
          <w:color w:val="000000"/>
          <w:kern w:val="0"/>
          <w:sz w:val="32"/>
          <w:szCs w:val="32"/>
          <w:u w:val="none"/>
          <w:lang w:val="en-US" w:eastAsia="zh-CN" w:bidi="ar"/>
        </w:rPr>
        <w:t>20802社会保障和就业支出</w:t>
      </w:r>
      <w:r>
        <w:rPr>
          <w:rStyle w:val="15"/>
          <w:rFonts w:hint="eastAsia" w:ascii="仿宋" w:hAnsi="仿宋" w:eastAsia="仿宋"/>
          <w:b w:val="0"/>
          <w:bCs/>
          <w:color w:val="000000"/>
          <w:sz w:val="32"/>
          <w:szCs w:val="32"/>
        </w:rPr>
        <w:t>决算为51.78万元，完成预算</w:t>
      </w:r>
      <w:r>
        <w:rPr>
          <w:rStyle w:val="15"/>
          <w:rFonts w:hint="eastAsia" w:ascii="仿宋" w:hAnsi="仿宋" w:eastAsia="仿宋"/>
          <w:b w:val="0"/>
          <w:bCs/>
          <w:color w:val="000000"/>
          <w:sz w:val="32"/>
          <w:szCs w:val="32"/>
          <w:lang w:val="en-US" w:eastAsia="zh-CN"/>
        </w:rPr>
        <w:t>88.06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其中</w:t>
      </w:r>
      <w:r>
        <w:rPr>
          <w:rStyle w:val="15"/>
          <w:rFonts w:hint="eastAsia" w:ascii="仿宋" w:hAnsi="仿宋" w:eastAsia="仿宋"/>
          <w:b w:val="0"/>
          <w:bCs/>
          <w:color w:val="000000"/>
          <w:sz w:val="32"/>
          <w:szCs w:val="32"/>
        </w:rPr>
        <w:t>2080208基层政权和社区建设</w:t>
      </w:r>
      <w:r>
        <w:rPr>
          <w:rFonts w:hint="eastAsia" w:ascii="宋体" w:hAnsi="宋体" w:eastAsia="宋体" w:cs="宋体"/>
          <w:i w:val="0"/>
          <w:color w:val="000000"/>
          <w:kern w:val="0"/>
          <w:sz w:val="32"/>
          <w:szCs w:val="32"/>
          <w:u w:val="none"/>
          <w:lang w:val="en-US" w:eastAsia="zh-CN" w:bidi="ar"/>
        </w:rPr>
        <w:t>支出</w:t>
      </w:r>
      <w:r>
        <w:rPr>
          <w:rStyle w:val="15"/>
          <w:rFonts w:hint="eastAsia" w:ascii="仿宋" w:hAnsi="仿宋" w:eastAsia="仿宋"/>
          <w:b w:val="0"/>
          <w:bCs/>
          <w:color w:val="000000"/>
          <w:sz w:val="32"/>
          <w:szCs w:val="32"/>
        </w:rPr>
        <w:t>决算为</w:t>
      </w:r>
      <w:r>
        <w:rPr>
          <w:rFonts w:hint="eastAsia" w:ascii="宋体" w:hAnsi="宋体" w:eastAsia="宋体" w:cs="宋体"/>
          <w:i w:val="0"/>
          <w:color w:val="000000"/>
          <w:kern w:val="0"/>
          <w:sz w:val="32"/>
          <w:szCs w:val="32"/>
          <w:u w:val="none"/>
          <w:lang w:val="en-US" w:eastAsia="zh-CN" w:bidi="ar"/>
        </w:rPr>
        <w:t>5.97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10.15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，2080505机关事业单位基本养老保险缴费支出决算为</w:t>
      </w:r>
      <w:r>
        <w:rPr>
          <w:rFonts w:hint="eastAsia" w:ascii="宋体" w:hAnsi="宋体" w:eastAsia="宋体" w:cs="宋体"/>
          <w:i w:val="0"/>
          <w:color w:val="000000"/>
          <w:kern w:val="0"/>
          <w:sz w:val="32"/>
          <w:szCs w:val="32"/>
          <w:u w:val="none"/>
          <w:lang w:val="en-US" w:eastAsia="zh-CN" w:bidi="ar"/>
        </w:rPr>
        <w:t>30.91</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52.57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，2080506机关事业单位职业年金缴费支出</w:t>
      </w:r>
      <w:r>
        <w:rPr>
          <w:rFonts w:hint="eastAsia" w:ascii="宋体" w:hAnsi="宋体" w:eastAsia="宋体" w:cs="宋体"/>
          <w:i w:val="0"/>
          <w:color w:val="000000"/>
          <w:kern w:val="0"/>
          <w:sz w:val="32"/>
          <w:szCs w:val="32"/>
          <w:u w:val="none"/>
          <w:lang w:val="en-US" w:eastAsia="zh-CN" w:bidi="ar"/>
        </w:rPr>
        <w:t>支出</w:t>
      </w:r>
      <w:r>
        <w:rPr>
          <w:rStyle w:val="15"/>
          <w:rFonts w:hint="eastAsia" w:ascii="仿宋" w:hAnsi="仿宋" w:eastAsia="仿宋"/>
          <w:b w:val="0"/>
          <w:bCs/>
          <w:color w:val="000000"/>
          <w:sz w:val="32"/>
          <w:szCs w:val="32"/>
        </w:rPr>
        <w:t>决算为</w:t>
      </w:r>
      <w:r>
        <w:rPr>
          <w:rFonts w:hint="eastAsia" w:ascii="宋体" w:hAnsi="宋体" w:cs="宋体"/>
          <w:i w:val="0"/>
          <w:color w:val="000000"/>
          <w:kern w:val="0"/>
          <w:sz w:val="32"/>
          <w:szCs w:val="32"/>
          <w:u w:val="none"/>
          <w:lang w:val="en-US" w:eastAsia="zh-CN" w:bidi="ar"/>
        </w:rPr>
        <w:t>14.9</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25.34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严格按照财政预算支出</w:t>
      </w:r>
      <w:r>
        <w:rPr>
          <w:rStyle w:val="15"/>
          <w:rFonts w:hint="eastAsia" w:ascii="仿宋" w:hAnsi="仿宋" w:eastAsia="仿宋"/>
          <w:b w:val="0"/>
          <w:bCs/>
          <w:color w:val="000000"/>
          <w:sz w:val="32"/>
          <w:szCs w:val="32"/>
        </w:rPr>
        <w:t>。</w:t>
      </w:r>
    </w:p>
    <w:p>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3、</w:t>
      </w:r>
      <w:r>
        <w:rPr>
          <w:rFonts w:hint="eastAsia" w:ascii="仿宋" w:hAnsi="仿宋" w:eastAsia="仿宋"/>
          <w:b/>
          <w:bCs/>
          <w:color w:val="000000" w:themeColor="text1"/>
          <w:sz w:val="32"/>
          <w:szCs w:val="32"/>
          <w14:textFill>
            <w14:solidFill>
              <w14:schemeClr w14:val="tx1"/>
            </w14:solidFill>
          </w14:textFill>
        </w:rPr>
        <w:t>卫生健康</w:t>
      </w:r>
      <w:r>
        <w:rPr>
          <w:rStyle w:val="15"/>
          <w:rFonts w:hint="eastAsia" w:ascii="仿宋" w:hAnsi="仿宋" w:eastAsia="仿宋"/>
          <w:bCs/>
          <w:color w:val="000000"/>
          <w:sz w:val="32"/>
          <w:szCs w:val="32"/>
        </w:rPr>
        <w:t>210</w:t>
      </w:r>
      <w:r>
        <w:rPr>
          <w:rStyle w:val="15"/>
          <w:rFonts w:hint="eastAsia" w:ascii="仿宋" w:hAnsi="仿宋" w:eastAsia="仿宋"/>
          <w:bCs/>
          <w:color w:val="000000"/>
          <w:sz w:val="32"/>
          <w:szCs w:val="32"/>
          <w:lang w:val="en-US" w:eastAsia="zh-CN"/>
        </w:rPr>
        <w:t>11</w:t>
      </w:r>
      <w:r>
        <w:rPr>
          <w:rStyle w:val="15"/>
          <w:rFonts w:hint="eastAsia" w:ascii="仿宋" w:hAnsi="仿宋" w:eastAsia="仿宋"/>
          <w:b w:val="0"/>
          <w:bCs/>
          <w:color w:val="000000"/>
          <w:sz w:val="32"/>
          <w:szCs w:val="32"/>
        </w:rPr>
        <w:t>支出决算为19.55万元，完成预算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其中，2101101行政单位医疗支出</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14.09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0.72</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，2101102</w:t>
      </w:r>
      <w:r>
        <w:rPr>
          <w:rStyle w:val="15"/>
          <w:rFonts w:hint="eastAsia" w:ascii="仿宋" w:hAnsi="仿宋" w:eastAsia="仿宋"/>
          <w:b w:val="0"/>
          <w:bCs/>
          <w:color w:val="000000"/>
          <w:sz w:val="32"/>
          <w:szCs w:val="32"/>
          <w:lang w:eastAsia="zh-CN"/>
        </w:rPr>
        <w:t>事业单位医疗支出</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2.34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11.97</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，2101103公务员医疗补助</w:t>
      </w:r>
      <w:r>
        <w:rPr>
          <w:rStyle w:val="15"/>
          <w:rFonts w:hint="eastAsia" w:ascii="仿宋" w:hAnsi="仿宋" w:eastAsia="仿宋"/>
          <w:b w:val="0"/>
          <w:bCs/>
          <w:color w:val="000000"/>
          <w:sz w:val="32"/>
          <w:szCs w:val="32"/>
          <w:lang w:eastAsia="zh-CN"/>
        </w:rPr>
        <w:t>支出</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2.31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11.82</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，2101199其他行政事业单位医疗支出决算数</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0.81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4.14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0"/>
        </w:numPr>
        <w:spacing w:line="600" w:lineRule="exact"/>
        <w:ind w:firstLine="320" w:firstLineChars="100"/>
        <w:rPr>
          <w:rFonts w:ascii="仿宋" w:hAnsi="仿宋" w:eastAsia="仿宋"/>
          <w:b/>
          <w:color w:val="000000"/>
          <w:sz w:val="32"/>
          <w:szCs w:val="32"/>
        </w:rPr>
      </w:pPr>
      <w:r>
        <w:rPr>
          <w:rStyle w:val="15"/>
          <w:rFonts w:hint="eastAsia" w:ascii="仿宋" w:hAnsi="仿宋" w:eastAsia="仿宋"/>
          <w:b w:val="0"/>
          <w:bCs/>
          <w:color w:val="000000"/>
          <w:sz w:val="32"/>
          <w:szCs w:val="32"/>
          <w:lang w:val="en-US" w:eastAsia="zh-CN"/>
        </w:rPr>
        <w:t>4、</w:t>
      </w:r>
      <w:r>
        <w:rPr>
          <w:rStyle w:val="15"/>
          <w:rFonts w:hint="eastAsia" w:ascii="仿宋" w:hAnsi="仿宋" w:eastAsia="仿宋"/>
          <w:b/>
          <w:bCs w:val="0"/>
          <w:color w:val="000000"/>
          <w:sz w:val="32"/>
          <w:szCs w:val="32"/>
        </w:rPr>
        <w:t>住房保障221</w:t>
      </w:r>
      <w:r>
        <w:rPr>
          <w:rStyle w:val="15"/>
          <w:rFonts w:hint="eastAsia" w:ascii="仿宋" w:hAnsi="仿宋" w:eastAsia="仿宋"/>
          <w:b w:val="0"/>
          <w:bCs/>
          <w:color w:val="000000"/>
          <w:sz w:val="32"/>
          <w:szCs w:val="32"/>
        </w:rPr>
        <w:t>决算为27.55万元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其中，22102住房改革支出</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rPr>
        <w:t>27.55万元，完成预算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b/>
          <w:color w:val="000000" w:themeColor="text1"/>
          <w:sz w:val="32"/>
          <w:szCs w:val="32"/>
          <w:lang w:val="en-US" w:eastAsia="zh-CN"/>
          <w14:textFill>
            <w14:solidFill>
              <w14:schemeClr w14:val="tx1"/>
            </w14:solidFill>
          </w14:textFill>
        </w:rPr>
        <w:t>420.9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335.48万元，主要包括：基本工资69.02万元、津贴补贴119.45万元、奖金45.7万元、伙食补助费万元、绩效工资万元、机关事业单位基本养老保险缴费30.91万元、职业年金缴费14.9万元、职工基本医疗保险缴费16.43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万元、其他工资福利支出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万元、离休费万元、退休费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万元、抚恤金</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万元、生活补助</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万元、医疗费补助1.2万元、奖励金</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万元、住房公积金27.55万元、其他对个人和家庭的补助支出等。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日常公用经费81.73万元，主要包括：办公费19.73万元、印刷费4.25万元、咨询费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万元、手续费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万元、水费0.56万元、电费1.5万元、邮电费4.27万元、取暖费1.29万元、物业管理费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万元、差旅费14.18万元、因公出国（境）费用</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万元、维修（护）费</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万元、租赁费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万元、会议费万元、培训费4.32万元、公务接待费</w:t>
      </w:r>
      <w:r>
        <w:rPr>
          <w:rFonts w:hint="eastAsia" w:ascii="仿宋" w:hAnsi="仿宋" w:eastAsia="仿宋"/>
          <w:color w:val="000000"/>
          <w:sz w:val="32"/>
          <w:szCs w:val="32"/>
          <w:lang w:val="en-US" w:eastAsia="zh-CN"/>
        </w:rPr>
        <w:t>1.29</w:t>
      </w:r>
      <w:r>
        <w:rPr>
          <w:rFonts w:hint="eastAsia" w:ascii="仿宋" w:hAnsi="仿宋" w:eastAsia="仿宋"/>
          <w:color w:val="000000"/>
          <w:sz w:val="32"/>
          <w:szCs w:val="32"/>
        </w:rPr>
        <w:t>万元、专用设备购置</w:t>
      </w:r>
      <w:r>
        <w:rPr>
          <w:rFonts w:hint="eastAsia" w:ascii="仿宋" w:hAnsi="仿宋" w:eastAsia="仿宋"/>
          <w:color w:val="000000"/>
          <w:sz w:val="32"/>
          <w:szCs w:val="32"/>
          <w:lang w:val="en-US" w:eastAsia="zh-CN"/>
        </w:rPr>
        <w:t>5.97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劳务费万元、委托业务费万元、工会经费万元、福利费万元、公务用车运行维护费16.37万元、其他交通费万元、税金及附加费用万元、其他商品和服务支出万元、办公设备购置</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万元、信息网络及软件购置更新</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万元、其他资本性支出等。</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rPr>
        <w:t>对个人和家庭的补助</w:t>
      </w:r>
      <w:r>
        <w:rPr>
          <w:rFonts w:hint="eastAsia" w:ascii="仿宋" w:hAnsi="仿宋" w:eastAsia="仿宋"/>
          <w:color w:val="000000"/>
          <w:sz w:val="32"/>
          <w:szCs w:val="32"/>
          <w:lang w:eastAsia="zh-CN"/>
        </w:rPr>
        <w:t>经费</w:t>
      </w:r>
      <w:r>
        <w:rPr>
          <w:rFonts w:hint="eastAsia" w:ascii="仿宋" w:hAnsi="仿宋" w:eastAsia="仿宋"/>
          <w:color w:val="000000"/>
          <w:sz w:val="32"/>
          <w:szCs w:val="32"/>
          <w:lang w:val="en-US" w:eastAsia="zh-CN"/>
        </w:rPr>
        <w:t>3.68万元，主要包括：生活补助3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抚恤金0.68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17.66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；公务用车购置及运行维护费支出决算16.37万元，占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527050</wp:posOffset>
            </wp:positionH>
            <wp:positionV relativeFrom="paragraph">
              <wp:posOffset>132715</wp:posOffset>
            </wp:positionV>
            <wp:extent cx="3600450" cy="1937385"/>
            <wp:effectExtent l="4445" t="4445" r="14605" b="77470"/>
            <wp:wrapTight wrapText="bothSides">
              <wp:wrapPolygon>
                <wp:start x="-27" y="-50"/>
                <wp:lineTo x="-27" y="21402"/>
                <wp:lineTo x="21573" y="21402"/>
                <wp:lineTo x="21573" y="-50"/>
                <wp:lineTo x="-27" y="-5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16.37</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2.16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15.19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车辆维修费和公务用车量减少。</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16.37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政法、防邪、综治、维稳等</w:t>
      </w:r>
      <w:r>
        <w:rPr>
          <w:rFonts w:hint="eastAsia" w:ascii="仿宋_GB2312" w:eastAsia="仿宋_GB2312"/>
          <w:color w:val="000000"/>
          <w:sz w:val="32"/>
          <w:szCs w:val="32"/>
        </w:rPr>
        <w:t>工作所需的公务用车燃料费、维修费、过路过桥费、保险费等支出。</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1.29</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0.12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8.33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厉行节约，严格执行公务接待标准。</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1.29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政法、防邪、综治、维稳等</w:t>
      </w:r>
      <w:r>
        <w:rPr>
          <w:rFonts w:hint="eastAsia" w:ascii="仿宋_GB2312" w:eastAsia="仿宋_GB2312"/>
          <w:color w:val="000000"/>
          <w:sz w:val="32"/>
          <w:szCs w:val="32"/>
        </w:rPr>
        <w:t>工作执行公务、开展业务活动开支的交通费、住宿费、用餐费等)。国内公务接待30批次，</w:t>
      </w:r>
      <w:r>
        <w:rPr>
          <w:rFonts w:hint="eastAsia" w:ascii="仿宋_GB2312" w:eastAsia="仿宋_GB2312"/>
          <w:color w:val="000000"/>
          <w:sz w:val="32"/>
          <w:szCs w:val="32"/>
          <w:lang w:val="en-US" w:eastAsia="zh-CN"/>
        </w:rPr>
        <w:t>105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1.29</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接待上级督查政法、防邪、综治、维稳等</w:t>
      </w:r>
      <w:r>
        <w:rPr>
          <w:rFonts w:hint="eastAsia" w:ascii="仿宋_GB2312" w:eastAsia="仿宋_GB2312"/>
          <w:color w:val="000000"/>
          <w:sz w:val="32"/>
          <w:szCs w:val="32"/>
        </w:rPr>
        <w:t>工作</w:t>
      </w:r>
      <w:r>
        <w:rPr>
          <w:rFonts w:hint="eastAsia" w:ascii="仿宋_GB2312" w:eastAsia="仿宋_GB2312"/>
          <w:color w:val="000000"/>
          <w:sz w:val="32"/>
          <w:szCs w:val="32"/>
          <w:lang w:eastAsia="zh-CN"/>
        </w:rPr>
        <w:t>督查工作组和本系统内外县考察综治、维稳工作考察组接待</w:t>
      </w:r>
      <w:r>
        <w:rPr>
          <w:rFonts w:hint="eastAsia" w:ascii="仿宋_GB2312" w:eastAsia="仿宋_GB2312"/>
          <w:color w:val="000000"/>
          <w:sz w:val="32"/>
          <w:szCs w:val="32"/>
          <w:lang w:val="en-US" w:eastAsia="zh-CN"/>
        </w:rPr>
        <w:t>30批次，105人，接待费1.29万元</w:t>
      </w:r>
      <w:r>
        <w:rPr>
          <w:rFonts w:hint="eastAsia" w:ascii="仿宋_GB2312" w:eastAsia="仿宋_GB2312"/>
          <w:color w:val="000000"/>
          <w:sz w:val="32"/>
          <w:szCs w:val="32"/>
          <w:lang w:eastAsia="zh-CN"/>
        </w:rPr>
        <w:t>。</w:t>
      </w:r>
    </w:p>
    <w:p>
      <w:pPr>
        <w:spacing w:line="600" w:lineRule="exact"/>
        <w:ind w:firstLine="643" w:firstLineChars="200"/>
        <w:rPr>
          <w:rFonts w:hint="eastAsia" w:ascii="黑体" w:eastAsia="黑体"/>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96610"/>
      <w:bookmarkStart w:id="47" w:name="_Toc15377218"/>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政法委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420.9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135.46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24.35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机关严格执行各项规定开展工作经费，厉行勤俭节约和</w:t>
      </w:r>
      <w:r>
        <w:rPr>
          <w:rFonts w:hint="eastAsia" w:ascii="仿宋_GB2312" w:eastAsia="仿宋_GB2312"/>
          <w:color w:val="000000" w:themeColor="text1"/>
          <w:sz w:val="32"/>
          <w:szCs w:val="32"/>
          <w:lang w:eastAsia="zh-CN"/>
          <w14:textFill>
            <w14:solidFill>
              <w14:schemeClr w14:val="tx1"/>
            </w14:solidFill>
          </w14:textFill>
        </w:rPr>
        <w:t>项目支出减少。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政法委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14.3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14.3</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政法委搬迁办公室购买办公设备和乡镇基层综治建设购买办公设备</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5.97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41.75</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政法委</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 w:hAnsi="仿宋" w:eastAsia="仿宋" w:cs="仿宋"/>
          <w:b/>
          <w:bCs/>
          <w:sz w:val="32"/>
          <w:szCs w:val="32"/>
          <w:lang w:val="en-US" w:eastAsia="zh-CN"/>
        </w:rPr>
        <w:t>维护社会稳定、防邪工作、综治工作等</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本部门按要求对2019年部门整体支出开展绩效自评，从评价情况来看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完成效果较好</w:t>
      </w:r>
      <w:r>
        <w:rPr>
          <w:rFonts w:hint="eastAsia" w:ascii="仿宋_GB2312" w:hAnsi="仿宋_GB2312" w:eastAsia="仿宋_GB2312" w:cs="仿宋_GB2312"/>
          <w:color w:val="000000" w:themeColor="text1"/>
          <w:sz w:val="32"/>
          <w:szCs w:val="32"/>
          <w14:textFill>
            <w14:solidFill>
              <w14:schemeClr w14:val="tx1"/>
            </w14:solidFill>
          </w14:textFill>
        </w:rPr>
        <w:t>。本部门还自行组织了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个项目支出绩效评价，从评价情况来看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完成情况较好。</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领导干部目标奖励</w:t>
      </w:r>
      <w:r>
        <w:rPr>
          <w:rFonts w:hint="eastAsia" w:ascii="仿宋_GB2312" w:hAnsi="仿宋_GB2312" w:eastAsia="仿宋_GB2312" w:cs="仿宋_GB2312"/>
          <w:sz w:val="32"/>
          <w:szCs w:val="32"/>
        </w:rPr>
        <w:t>项目绩效目。</w:t>
      </w:r>
      <w:r>
        <w:rPr>
          <w:rFonts w:hint="eastAsia" w:ascii="仿宋_GB2312" w:hAnsi="仿宋_GB2312" w:eastAsia="仿宋_GB2312" w:cs="仿宋_GB2312"/>
          <w:sz w:val="32"/>
          <w:szCs w:val="32"/>
          <w:lang w:eastAsia="zh-CN"/>
        </w:rPr>
        <w:t>主要用于奖励副县级领导干部年内完成工作绩效。</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工作的顺利开展，提高了工作效率。</w:t>
      </w:r>
    </w:p>
    <w:p>
      <w:pPr>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 w:hAnsi="仿宋" w:eastAsia="仿宋" w:cs="仿宋"/>
          <w:b w:val="0"/>
          <w:bCs w:val="0"/>
          <w:sz w:val="32"/>
          <w:szCs w:val="32"/>
          <w:lang w:val="en-US" w:eastAsia="zh-CN"/>
        </w:rPr>
        <w:t>维护社会稳定工作项目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45.92</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综治工作的开展，提高了综治工作效率。</w:t>
      </w:r>
    </w:p>
    <w:p>
      <w:pPr>
        <w:spacing w:line="580" w:lineRule="exact"/>
        <w:ind w:firstLine="640" w:firstLineChars="200"/>
        <w:rPr>
          <w:rFonts w:hint="eastAsia" w:ascii="仿宋" w:hAnsi="仿宋" w:eastAsia="仿宋" w:cs="仿宋"/>
          <w:b w:val="0"/>
          <w:bCs w:val="0"/>
          <w:sz w:val="32"/>
          <w:szCs w:val="32"/>
          <w:lang w:val="en-US" w:eastAsia="zh-CN"/>
        </w:rPr>
      </w:pPr>
      <w:r>
        <w:rPr>
          <w:rFonts w:hint="eastAsia" w:ascii="仿宋_GB2312" w:hAnsi="仿宋_GB2312" w:eastAsia="仿宋_GB2312" w:cs="仿宋_GB2312"/>
          <w:sz w:val="32"/>
          <w:szCs w:val="32"/>
        </w:rPr>
        <w:t>（2）</w:t>
      </w:r>
      <w:r>
        <w:rPr>
          <w:rFonts w:hint="eastAsia" w:ascii="仿宋" w:hAnsi="仿宋" w:eastAsia="仿宋" w:cs="仿宋"/>
          <w:b w:val="0"/>
          <w:bCs w:val="0"/>
          <w:sz w:val="32"/>
          <w:szCs w:val="32"/>
          <w:lang w:val="en-US" w:eastAsia="zh-CN"/>
        </w:rPr>
        <w:t>维护社会稳定工作支出、</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 w:hAnsi="仿宋" w:eastAsia="仿宋" w:cs="仿宋"/>
          <w:b w:val="0"/>
          <w:bCs w:val="0"/>
          <w:sz w:val="32"/>
          <w:szCs w:val="32"/>
          <w:lang w:val="en-US" w:eastAsia="zh-CN"/>
        </w:rPr>
        <w:t>维护社会稳定工作顺利开展，促进了全县的社会稳定。</w:t>
      </w:r>
    </w:p>
    <w:p>
      <w:pPr>
        <w:spacing w:line="580" w:lineRule="exact"/>
        <w:ind w:firstLine="723" w:firstLineChars="200"/>
        <w:rPr>
          <w:rFonts w:hint="eastAsia"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1</w:t>
      </w:r>
      <w:r>
        <w:rPr>
          <w:rFonts w:hint="eastAsia" w:ascii="宋体" w:hAnsi="宋体" w:cs="宋体"/>
          <w:b/>
          <w:bCs/>
          <w:color w:val="000000"/>
          <w:kern w:val="0"/>
          <w:sz w:val="36"/>
          <w:szCs w:val="36"/>
        </w:rPr>
        <w:br w:type="textWrapping"/>
      </w:r>
    </w:p>
    <w:p>
      <w:pPr>
        <w:spacing w:line="580" w:lineRule="exact"/>
        <w:ind w:firstLine="723" w:firstLineChars="200"/>
        <w:rPr>
          <w:rFonts w:hint="eastAsia" w:ascii="宋体" w:hAnsi="宋体" w:cs="宋体"/>
          <w:b/>
          <w:bCs/>
          <w:color w:val="000000"/>
          <w:kern w:val="0"/>
          <w:sz w:val="36"/>
          <w:szCs w:val="36"/>
          <w:lang w:val="en-US" w:eastAsia="zh-CN"/>
        </w:rPr>
      </w:pPr>
    </w:p>
    <w:p>
      <w:pPr>
        <w:spacing w:line="580" w:lineRule="exact"/>
        <w:ind w:firstLine="723" w:firstLineChars="200"/>
        <w:rPr>
          <w:rFonts w:hint="eastAsia" w:ascii="宋体" w:hAnsi="宋体" w:cs="宋体"/>
          <w:b/>
          <w:bCs/>
          <w:color w:val="000000"/>
          <w:kern w:val="0"/>
          <w:sz w:val="36"/>
          <w:szCs w:val="36"/>
          <w:lang w:val="en-US" w:eastAsia="zh-CN"/>
        </w:rPr>
      </w:pPr>
    </w:p>
    <w:tbl>
      <w:tblPr>
        <w:tblStyle w:val="13"/>
        <w:tblW w:w="9369" w:type="dxa"/>
        <w:jc w:val="center"/>
        <w:tblLayout w:type="fixed"/>
        <w:tblCellMar>
          <w:top w:w="0" w:type="dxa"/>
          <w:left w:w="0" w:type="dxa"/>
          <w:bottom w:w="0" w:type="dxa"/>
          <w:right w:w="0" w:type="dxa"/>
        </w:tblCellMar>
      </w:tblPr>
      <w:tblGrid>
        <w:gridCol w:w="565"/>
        <w:gridCol w:w="1246"/>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sz w:val="18"/>
                <w:szCs w:val="18"/>
                <w:lang w:eastAsia="zh-CN"/>
              </w:rPr>
              <w:t>综治基层建设</w:t>
            </w:r>
            <w:r>
              <w:rPr>
                <w:rFonts w:hint="eastAsia" w:asciiTheme="minorEastAsia" w:hAnsiTheme="minorEastAsia" w:eastAsiaTheme="minorEastAsia" w:cstheme="minorEastAsia"/>
                <w:color w:val="000000" w:themeColor="text1"/>
                <w:kern w:val="0"/>
                <w:sz w:val="18"/>
                <w:szCs w:val="18"/>
                <w:lang w:val="en-US" w:eastAsia="zh-CN"/>
                <w14:textFill>
                  <w14:solidFill>
                    <w14:schemeClr w14:val="tx1"/>
                  </w14:solidFill>
                </w14:textFill>
              </w:rPr>
              <w:t>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eastAsia="zh-CN"/>
              </w:rPr>
              <w:t>红原县委政法委</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预算执行情况(万元</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5.97</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5.97</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5.97</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5.97</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年度目标完成情况</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提升11个乡镇综治基层建设（提升会议室功能）和联动中心建设</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充实11个乡镇会议室功能建设（电视机1台）和联动中心建设（电视机1台和音控台1台）。</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绩效指标完成情况</w:t>
            </w: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70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充实11个乡镇会议室功能建设（电视机1台）和联动中心建设（电视机1台和音控台1台）。</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充实11个乡镇会议室功能建设（电视机1台）和联动中心建设（电视机1台和音控台1台）。</w:t>
            </w:r>
          </w:p>
        </w:tc>
      </w:tr>
      <w:tr>
        <w:tblPrEx>
          <w:tblCellMar>
            <w:top w:w="0" w:type="dxa"/>
            <w:left w:w="0" w:type="dxa"/>
            <w:bottom w:w="0" w:type="dxa"/>
            <w:right w:w="0" w:type="dxa"/>
          </w:tblCellMar>
        </w:tblPrEx>
        <w:trPr>
          <w:trHeight w:val="64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了基层乡镇综治工作能力。</w:t>
            </w:r>
            <w:r>
              <w:rPr>
                <w:rFonts w:hint="eastAsia" w:asciiTheme="minorEastAsia" w:hAnsiTheme="minorEastAsia" w:eastAsiaTheme="minorEastAsia" w:cstheme="minorEastAsia"/>
                <w:sz w:val="18"/>
                <w:szCs w:val="18"/>
              </w:rPr>
              <w:t>保障</w:t>
            </w:r>
            <w:r>
              <w:rPr>
                <w:rFonts w:hint="eastAsia" w:asciiTheme="minorEastAsia" w:hAnsiTheme="minorEastAsia" w:eastAsiaTheme="minorEastAsia" w:cstheme="minorEastAsia"/>
                <w:sz w:val="18"/>
                <w:szCs w:val="18"/>
                <w:lang w:eastAsia="zh-CN"/>
              </w:rPr>
              <w:t>了综治工作的开展，提高了综治工作效率。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了基层乡镇综治工作能力。</w:t>
            </w:r>
            <w:r>
              <w:rPr>
                <w:rFonts w:hint="eastAsia" w:asciiTheme="minorEastAsia" w:hAnsiTheme="minorEastAsia" w:eastAsiaTheme="minorEastAsia" w:cstheme="minorEastAsia"/>
                <w:sz w:val="18"/>
                <w:szCs w:val="18"/>
              </w:rPr>
              <w:t>保障</w:t>
            </w:r>
            <w:r>
              <w:rPr>
                <w:rFonts w:hint="eastAsia" w:asciiTheme="minorEastAsia" w:hAnsiTheme="minorEastAsia" w:eastAsiaTheme="minorEastAsia" w:cstheme="minorEastAsia"/>
                <w:sz w:val="18"/>
                <w:szCs w:val="18"/>
                <w:lang w:eastAsia="zh-CN"/>
              </w:rPr>
              <w:t>了综治工作的开展，提高了综治工作效率。</w:t>
            </w:r>
          </w:p>
        </w:tc>
      </w:tr>
      <w:tr>
        <w:tblPrEx>
          <w:tblCellMar>
            <w:top w:w="0" w:type="dxa"/>
            <w:left w:w="0" w:type="dxa"/>
            <w:bottom w:w="0" w:type="dxa"/>
            <w:right w:w="0" w:type="dxa"/>
          </w:tblCellMar>
        </w:tblPrEx>
        <w:trPr>
          <w:trHeight w:val="127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了基层乡镇综治工作能力。</w:t>
            </w:r>
            <w:r>
              <w:rPr>
                <w:rFonts w:hint="eastAsia" w:asciiTheme="minorEastAsia" w:hAnsiTheme="minorEastAsia" w:eastAsiaTheme="minorEastAsia" w:cstheme="minorEastAsia"/>
                <w:sz w:val="18"/>
                <w:szCs w:val="18"/>
                <w:lang w:eastAsia="zh-CN"/>
              </w:rPr>
              <w:t>提高了综治工作效率。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了基层乡镇综治工作能力。</w:t>
            </w:r>
            <w:r>
              <w:rPr>
                <w:rFonts w:hint="eastAsia" w:asciiTheme="minorEastAsia" w:hAnsiTheme="minorEastAsia" w:eastAsiaTheme="minorEastAsia" w:cstheme="minorEastAsia"/>
                <w:sz w:val="18"/>
                <w:szCs w:val="18"/>
                <w:lang w:eastAsia="zh-CN"/>
              </w:rPr>
              <w:t>提高了综治工作效率。</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乡镇综治</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整体形象得以提高，</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社会持续稳定，</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乡镇综治</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整体形象得以提高，</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社会持续稳定，</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人居生活条件得以改善</w:t>
            </w:r>
          </w:p>
        </w:tc>
      </w:tr>
      <w:tr>
        <w:tblPrEx>
          <w:tblCellMar>
            <w:top w:w="0" w:type="dxa"/>
            <w:left w:w="0" w:type="dxa"/>
            <w:bottom w:w="0" w:type="dxa"/>
            <w:right w:w="0" w:type="dxa"/>
          </w:tblCellMar>
        </w:tblPrEx>
        <w:trPr>
          <w:trHeight w:val="76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充实</w:t>
            </w:r>
            <w:r>
              <w:rPr>
                <w:rFonts w:hint="eastAsia" w:asciiTheme="minorEastAsia" w:hAnsiTheme="minorEastAsia" w:eastAsiaTheme="minorEastAsia" w:cstheme="minorEastAsia"/>
                <w:color w:val="000000"/>
                <w:sz w:val="18"/>
                <w:szCs w:val="18"/>
                <w:lang w:val="en-US" w:eastAsia="zh-CN"/>
              </w:rPr>
              <w:t>11个乡镇综治基层建设（提升会议室功能），</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确保各项工作的顺利开展。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充实</w:t>
            </w:r>
            <w:r>
              <w:rPr>
                <w:rFonts w:hint="eastAsia" w:asciiTheme="minorEastAsia" w:hAnsiTheme="minorEastAsia" w:eastAsiaTheme="minorEastAsia" w:cstheme="minorEastAsia"/>
                <w:color w:val="000000"/>
                <w:sz w:val="18"/>
                <w:szCs w:val="18"/>
                <w:lang w:val="en-US" w:eastAsia="zh-CN"/>
              </w:rPr>
              <w:t>11个乡镇综治基层建设（提升会议室功能），</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确保各项工作的顺利开展。</w:t>
            </w:r>
          </w:p>
        </w:tc>
      </w:tr>
      <w:tr>
        <w:tblPrEx>
          <w:tblCellMar>
            <w:top w:w="0" w:type="dxa"/>
            <w:left w:w="0" w:type="dxa"/>
            <w:bottom w:w="0" w:type="dxa"/>
            <w:right w:w="0" w:type="dxa"/>
          </w:tblCellMar>
        </w:tblPrEx>
        <w:trPr>
          <w:trHeight w:val="108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r>
    </w:tbl>
    <w:p>
      <w:pPr>
        <w:rPr>
          <w:rFonts w:hint="eastAsia" w:asciiTheme="minorEastAsia" w:hAnsiTheme="minorEastAsia" w:eastAsiaTheme="minorEastAsia" w:cstheme="minorEastAsia"/>
          <w:sz w:val="18"/>
          <w:szCs w:val="18"/>
        </w:rPr>
      </w:pPr>
    </w:p>
    <w:p>
      <w:pPr>
        <w:spacing w:line="580" w:lineRule="exact"/>
        <w:ind w:firstLine="2168" w:firstLineChars="600"/>
        <w:rPr>
          <w:rFonts w:hint="eastAsia" w:ascii="宋体" w:hAnsi="宋体" w:cs="宋体"/>
          <w:b/>
          <w:bCs/>
          <w:color w:val="000000"/>
          <w:kern w:val="0"/>
          <w:sz w:val="36"/>
          <w:szCs w:val="36"/>
          <w:lang w:val="en-US"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2</w:t>
      </w:r>
    </w:p>
    <w:tbl>
      <w:tblPr>
        <w:tblStyle w:val="13"/>
        <w:tblW w:w="9369" w:type="dxa"/>
        <w:jc w:val="center"/>
        <w:tblLayout w:type="fixed"/>
        <w:tblCellMar>
          <w:top w:w="0" w:type="dxa"/>
          <w:left w:w="0" w:type="dxa"/>
          <w:bottom w:w="0" w:type="dxa"/>
          <w:right w:w="0" w:type="dxa"/>
        </w:tblCellMar>
      </w:tblPr>
      <w:tblGrid>
        <w:gridCol w:w="565"/>
        <w:gridCol w:w="1246"/>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仿宋" w:hAnsi="仿宋" w:eastAsia="仿宋" w:cs="仿宋"/>
                <w:b w:val="0"/>
                <w:bCs w:val="0"/>
                <w:sz w:val="32"/>
                <w:szCs w:val="32"/>
                <w:lang w:val="en-US" w:eastAsia="zh-CN"/>
              </w:rPr>
              <w:t>维护社会稳定工作项目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eastAsia="zh-CN"/>
              </w:rPr>
              <w:t>红原县委政法委</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预算执行情况(万元</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23</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23</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23</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23</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年度目标完成情况</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b w:val="0"/>
                <w:bCs w:val="0"/>
                <w:sz w:val="18"/>
                <w:szCs w:val="18"/>
                <w:lang w:val="en-US" w:eastAsia="zh-CN"/>
              </w:rPr>
              <w:t>县维稳指挥部办公室完成全县维护社会稳定工作日常经费支出。</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b w:val="0"/>
                <w:bCs w:val="0"/>
                <w:sz w:val="18"/>
                <w:szCs w:val="18"/>
                <w:lang w:val="en-US" w:eastAsia="zh-CN"/>
              </w:rPr>
              <w:t>县维稳指挥部办公室完成全县维护社会稳定工作日常经费支出。</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绩效指标完成情况</w:t>
            </w: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18" name="直接连接符_10"/>
                  <wp:cNvGraphicFramePr/>
                  <a:graphic xmlns:a="http://schemas.openxmlformats.org/drawingml/2006/main">
                    <a:graphicData uri="http://schemas.openxmlformats.org/drawingml/2006/picture">
                      <pic:pic xmlns:pic="http://schemas.openxmlformats.org/drawingml/2006/picture">
                        <pic:nvPicPr>
                          <pic:cNvPr id="1118"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19" name="直接连接符_8"/>
                  <wp:cNvGraphicFramePr/>
                  <a:graphic xmlns:a="http://schemas.openxmlformats.org/drawingml/2006/main">
                    <a:graphicData uri="http://schemas.openxmlformats.org/drawingml/2006/picture">
                      <pic:pic xmlns:pic="http://schemas.openxmlformats.org/drawingml/2006/picture">
                        <pic:nvPicPr>
                          <pic:cNvPr id="1119"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20" name="直接连接符_9"/>
                  <wp:cNvGraphicFramePr/>
                  <a:graphic xmlns:a="http://schemas.openxmlformats.org/drawingml/2006/main">
                    <a:graphicData uri="http://schemas.openxmlformats.org/drawingml/2006/picture">
                      <pic:pic xmlns:pic="http://schemas.openxmlformats.org/drawingml/2006/picture">
                        <pic:nvPicPr>
                          <pic:cNvPr id="1120"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21" name="直接连接符_7"/>
                  <wp:cNvGraphicFramePr/>
                  <a:graphic xmlns:a="http://schemas.openxmlformats.org/drawingml/2006/main">
                    <a:graphicData uri="http://schemas.openxmlformats.org/drawingml/2006/picture">
                      <pic:pic xmlns:pic="http://schemas.openxmlformats.org/drawingml/2006/picture">
                        <pic:nvPicPr>
                          <pic:cNvPr id="1121"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70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完成了全县</w:t>
            </w:r>
            <w:r>
              <w:rPr>
                <w:rFonts w:hint="eastAsia" w:asciiTheme="minorEastAsia" w:hAnsiTheme="minorEastAsia" w:eastAsiaTheme="minorEastAsia" w:cstheme="minorEastAsia"/>
                <w:b w:val="0"/>
                <w:bCs w:val="0"/>
                <w:sz w:val="18"/>
                <w:szCs w:val="18"/>
                <w:lang w:val="en-US" w:eastAsia="zh-CN"/>
              </w:rPr>
              <w:t>维护社会稳定工作务工各项任务，确保了全县社会持续稳定</w:t>
            </w:r>
            <w:r>
              <w:rPr>
                <w:rFonts w:hint="eastAsia" w:asciiTheme="minorEastAsia" w:hAnsiTheme="minorEastAsia" w:eastAsiaTheme="minorEastAsia" w:cstheme="minorEastAsia"/>
                <w:color w:val="000000"/>
                <w:sz w:val="18"/>
                <w:szCs w:val="18"/>
                <w:lang w:val="en-US" w:eastAsia="zh-CN"/>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完成了全县</w:t>
            </w:r>
            <w:r>
              <w:rPr>
                <w:rFonts w:hint="eastAsia" w:asciiTheme="minorEastAsia" w:hAnsiTheme="minorEastAsia" w:eastAsiaTheme="minorEastAsia" w:cstheme="minorEastAsia"/>
                <w:b w:val="0"/>
                <w:bCs w:val="0"/>
                <w:sz w:val="18"/>
                <w:szCs w:val="18"/>
                <w:lang w:val="en-US" w:eastAsia="zh-CN"/>
              </w:rPr>
              <w:t>维护社会稳定工作务工各项任务，确保了全县社会持续稳定</w:t>
            </w:r>
            <w:r>
              <w:rPr>
                <w:rFonts w:hint="eastAsia" w:asciiTheme="minorEastAsia" w:hAnsiTheme="minorEastAsia" w:eastAsiaTheme="minorEastAsia" w:cstheme="minorEastAsia"/>
                <w:color w:val="000000"/>
                <w:sz w:val="18"/>
                <w:szCs w:val="18"/>
                <w:lang w:val="en-US" w:eastAsia="zh-CN"/>
              </w:rPr>
              <w:t>。</w:t>
            </w:r>
          </w:p>
        </w:tc>
      </w:tr>
      <w:tr>
        <w:tblPrEx>
          <w:tblCellMar>
            <w:top w:w="0" w:type="dxa"/>
            <w:left w:w="0" w:type="dxa"/>
            <w:bottom w:w="0" w:type="dxa"/>
            <w:right w:w="0" w:type="dxa"/>
          </w:tblCellMar>
        </w:tblPrEx>
        <w:trPr>
          <w:trHeight w:val="64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122" name="直接连接符_6"/>
                  <wp:cNvGraphicFramePr/>
                  <a:graphic xmlns:a="http://schemas.openxmlformats.org/drawingml/2006/main">
                    <a:graphicData uri="http://schemas.openxmlformats.org/drawingml/2006/picture">
                      <pic:pic xmlns:pic="http://schemas.openxmlformats.org/drawingml/2006/picture">
                        <pic:nvPicPr>
                          <pic:cNvPr id="1122"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123" name="直接连接符_5"/>
                  <wp:cNvGraphicFramePr/>
                  <a:graphic xmlns:a="http://schemas.openxmlformats.org/drawingml/2006/main">
                    <a:graphicData uri="http://schemas.openxmlformats.org/drawingml/2006/picture">
                      <pic:pic xmlns:pic="http://schemas.openxmlformats.org/drawingml/2006/picture">
                        <pic:nvPicPr>
                          <pic:cNvPr id="1123"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了维稳工作能力。</w:t>
            </w:r>
            <w:r>
              <w:rPr>
                <w:rFonts w:hint="eastAsia" w:asciiTheme="minorEastAsia" w:hAnsiTheme="minorEastAsia" w:eastAsiaTheme="minorEastAsia" w:cstheme="minorEastAsia"/>
                <w:sz w:val="18"/>
                <w:szCs w:val="18"/>
              </w:rPr>
              <w:t>保障</w:t>
            </w:r>
            <w:r>
              <w:rPr>
                <w:rFonts w:hint="eastAsia" w:asciiTheme="minorEastAsia" w:hAnsiTheme="minorEastAsia" w:eastAsiaTheme="minorEastAsia" w:cstheme="minorEastAsia"/>
                <w:sz w:val="18"/>
                <w:szCs w:val="18"/>
                <w:lang w:eastAsia="zh-CN"/>
              </w:rPr>
              <w:t>了全县维稳工作的开展，提高了维稳工作效率。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了维稳工作能力。</w:t>
            </w:r>
            <w:r>
              <w:rPr>
                <w:rFonts w:hint="eastAsia" w:asciiTheme="minorEastAsia" w:hAnsiTheme="minorEastAsia" w:eastAsiaTheme="minorEastAsia" w:cstheme="minorEastAsia"/>
                <w:sz w:val="18"/>
                <w:szCs w:val="18"/>
              </w:rPr>
              <w:t>保障</w:t>
            </w:r>
            <w:r>
              <w:rPr>
                <w:rFonts w:hint="eastAsia" w:asciiTheme="minorEastAsia" w:hAnsiTheme="minorEastAsia" w:eastAsiaTheme="minorEastAsia" w:cstheme="minorEastAsia"/>
                <w:sz w:val="18"/>
                <w:szCs w:val="18"/>
                <w:lang w:eastAsia="zh-CN"/>
              </w:rPr>
              <w:t>了全县维稳工作的开展，提高了维稳工作效率。</w:t>
            </w:r>
          </w:p>
        </w:tc>
      </w:tr>
      <w:tr>
        <w:tblPrEx>
          <w:tblCellMar>
            <w:top w:w="0" w:type="dxa"/>
            <w:left w:w="0" w:type="dxa"/>
            <w:bottom w:w="0" w:type="dxa"/>
            <w:right w:w="0" w:type="dxa"/>
          </w:tblCellMar>
        </w:tblPrEx>
        <w:trPr>
          <w:trHeight w:val="127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了维稳工作能力。</w:t>
            </w:r>
            <w:r>
              <w:rPr>
                <w:rFonts w:hint="eastAsia" w:asciiTheme="minorEastAsia" w:hAnsiTheme="minorEastAsia" w:eastAsiaTheme="minorEastAsia" w:cstheme="minorEastAsia"/>
                <w:sz w:val="18"/>
                <w:szCs w:val="18"/>
                <w:lang w:eastAsia="zh-CN"/>
              </w:rPr>
              <w:t>提高了维稳工作效率，为全县的社会稳定提供有力保障。</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提升</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了维稳工作能力。</w:t>
            </w:r>
            <w:r>
              <w:rPr>
                <w:rFonts w:hint="eastAsia" w:asciiTheme="minorEastAsia" w:hAnsiTheme="minorEastAsia" w:eastAsiaTheme="minorEastAsia" w:cstheme="minorEastAsia"/>
                <w:sz w:val="18"/>
                <w:szCs w:val="18"/>
                <w:lang w:eastAsia="zh-CN"/>
              </w:rPr>
              <w:t>提高了维稳工作效率，为全县的社会稳定提供有力保障。</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全县的社会秩序</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形象得以提高，</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社会持续稳定，</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人居生活条件得以改善</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全县的社会秩序</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形象得以提高，</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社会持续稳定，</w:t>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人居生活条件得以改善</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w:t>
            </w:r>
          </w:p>
        </w:tc>
      </w:tr>
      <w:tr>
        <w:tblPrEx>
          <w:tblCellMar>
            <w:top w:w="0" w:type="dxa"/>
            <w:left w:w="0" w:type="dxa"/>
            <w:bottom w:w="0" w:type="dxa"/>
            <w:right w:w="0" w:type="dxa"/>
          </w:tblCellMar>
        </w:tblPrEx>
        <w:trPr>
          <w:trHeight w:val="76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充实维稳工作能力，确保各项工作的顺利开展。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充实维稳工作能力，确保各项工作的顺利开展。</w:t>
            </w:r>
          </w:p>
        </w:tc>
      </w:tr>
      <w:tr>
        <w:tblPrEx>
          <w:tblCellMar>
            <w:top w:w="0" w:type="dxa"/>
            <w:left w:w="0" w:type="dxa"/>
            <w:bottom w:w="0" w:type="dxa"/>
            <w:right w:w="0" w:type="dxa"/>
          </w:tblCellMar>
        </w:tblPrEx>
        <w:trPr>
          <w:trHeight w:val="108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r>
    </w:tbl>
    <w:p>
      <w:pPr>
        <w:spacing w:line="580" w:lineRule="exact"/>
        <w:rPr>
          <w:rFonts w:hint="eastAsia" w:ascii="宋体" w:hAnsi="宋体" w:cs="宋体"/>
          <w:b/>
          <w:bCs/>
          <w:color w:val="000000"/>
          <w:kern w:val="0"/>
          <w:sz w:val="36"/>
          <w:szCs w:val="36"/>
          <w:lang w:val="en-US" w:eastAsia="zh-CN"/>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政法委</w:t>
      </w:r>
      <w:r>
        <w:rPr>
          <w:rFonts w:hint="eastAsia" w:ascii="仿宋_GB2312" w:hAnsi="仿宋_GB2312" w:eastAsia="仿宋_GB2312" w:cs="仿宋_GB2312"/>
          <w:sz w:val="32"/>
          <w:szCs w:val="32"/>
        </w:rPr>
        <w:t>部门2019年部门整体支出绩效评价报告》见附件（附件1）。</w:t>
      </w:r>
    </w:p>
    <w:p>
      <w:pPr>
        <w:widowControl/>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rPr>
        <w:t>项目2019年绩效评价报告》见附件（附件2）。</w:t>
      </w:r>
      <w:r>
        <w:rPr>
          <w:rFonts w:hint="eastAsia" w:ascii="仿宋_GB2312" w:hAnsi="仿宋_GB2312" w:eastAsia="仿宋_GB2312" w:cs="仿宋_GB2312"/>
          <w:sz w:val="32"/>
          <w:szCs w:val="32"/>
          <w:lang w:eastAsia="zh-CN"/>
        </w:rPr>
        <w:t>维稳工作属于</w:t>
      </w:r>
      <w:r>
        <w:rPr>
          <w:rFonts w:hint="eastAsia" w:ascii="仿宋_GB2312" w:hAnsi="仿宋_GB2312" w:eastAsia="仿宋_GB2312" w:cs="仿宋_GB2312"/>
          <w:sz w:val="32"/>
          <w:szCs w:val="32"/>
        </w:rPr>
        <w:t>涉密</w:t>
      </w:r>
      <w:r>
        <w:rPr>
          <w:rFonts w:hint="eastAsia" w:ascii="仿宋_GB2312" w:hAnsi="仿宋_GB2312" w:eastAsia="仿宋_GB2312" w:cs="仿宋_GB2312"/>
          <w:sz w:val="32"/>
          <w:szCs w:val="32"/>
          <w:lang w:eastAsia="zh-CN"/>
        </w:rPr>
        <w:t>不予公开。</w:t>
      </w:r>
    </w:p>
    <w:p>
      <w:pPr>
        <w:widowControl/>
        <w:ind w:firstLine="640" w:firstLineChars="200"/>
        <w:jc w:val="left"/>
        <w:rPr>
          <w:rFonts w:hint="eastAsia" w:ascii="仿宋_GB2312" w:hAnsi="仿宋_GB2312" w:eastAsia="仿宋_GB2312" w:cs="仿宋_GB2312"/>
          <w:sz w:val="32"/>
          <w:szCs w:val="32"/>
          <w:lang w:eastAsia="zh-CN"/>
        </w:rPr>
      </w:pPr>
    </w:p>
    <w:p>
      <w:pPr>
        <w:widowControl/>
        <w:ind w:firstLine="640" w:firstLineChars="200"/>
        <w:jc w:val="left"/>
        <w:rPr>
          <w:rFonts w:hint="eastAsia" w:ascii="仿宋_GB2312" w:hAnsi="仿宋_GB2312" w:eastAsia="仿宋_GB2312" w:cs="仿宋_GB2312"/>
          <w:sz w:val="32"/>
          <w:szCs w:val="32"/>
          <w:lang w:eastAsia="zh-CN"/>
        </w:rPr>
      </w:pPr>
    </w:p>
    <w:p>
      <w:pPr>
        <w:widowControl/>
        <w:ind w:firstLine="640" w:firstLineChars="200"/>
        <w:jc w:val="left"/>
        <w:rPr>
          <w:rFonts w:hint="eastAsia" w:ascii="仿宋_GB2312" w:hAnsi="仿宋_GB2312" w:eastAsia="仿宋_GB2312" w:cs="仿宋_GB2312"/>
          <w:sz w:val="32"/>
          <w:szCs w:val="32"/>
          <w:lang w:eastAsia="zh-CN"/>
        </w:rPr>
      </w:pPr>
    </w:p>
    <w:p>
      <w:pPr>
        <w:widowControl/>
        <w:ind w:firstLine="640" w:firstLineChars="200"/>
        <w:jc w:val="left"/>
        <w:rPr>
          <w:rFonts w:hint="eastAsia" w:ascii="仿宋_GB2312" w:hAnsi="仿宋_GB2312" w:eastAsia="仿宋_GB2312" w:cs="仿宋_GB2312"/>
          <w:sz w:val="32"/>
          <w:szCs w:val="32"/>
          <w:lang w:eastAsia="zh-CN"/>
        </w:rPr>
      </w:pPr>
    </w:p>
    <w:p>
      <w:pPr>
        <w:widowControl/>
        <w:ind w:firstLine="640" w:firstLineChars="200"/>
        <w:jc w:val="left"/>
        <w:rPr>
          <w:rFonts w:hint="eastAsia" w:ascii="仿宋_GB2312" w:hAnsi="仿宋_GB2312" w:eastAsia="仿宋_GB2312" w:cs="仿宋_GB2312"/>
          <w:sz w:val="32"/>
          <w:szCs w:val="32"/>
          <w:lang w:eastAsia="zh-CN"/>
        </w:rPr>
      </w:pPr>
    </w:p>
    <w:p>
      <w:pPr>
        <w:widowControl/>
        <w:jc w:val="left"/>
        <w:rPr>
          <w:rFonts w:hint="eastAsia" w:ascii="仿宋_GB2312" w:hAnsi="仿宋_GB2312" w:eastAsia="仿宋_GB2312" w:cs="仿宋_GB2312"/>
          <w:sz w:val="32"/>
          <w:szCs w:val="32"/>
          <w:lang w:eastAsia="zh-CN"/>
        </w:rPr>
      </w:pPr>
    </w:p>
    <w:p>
      <w:pPr>
        <w:numPr>
          <w:ilvl w:val="0"/>
          <w:numId w:val="4"/>
        </w:numPr>
        <w:spacing w:line="600" w:lineRule="exact"/>
        <w:ind w:firstLine="660" w:firstLineChars="150"/>
        <w:jc w:val="center"/>
        <w:outlineLvl w:val="0"/>
        <w:rPr>
          <w:rFonts w:ascii="宋体"/>
          <w:b/>
          <w:color w:val="000000"/>
          <w:sz w:val="44"/>
          <w:szCs w:val="44"/>
        </w:rPr>
      </w:pPr>
      <w:bookmarkStart w:id="55" w:name="_Toc15396613"/>
      <w:bookmarkStart w:id="56"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9.</w:t>
      </w:r>
      <w:r>
        <w:rPr>
          <w:rFonts w:hint="eastAsia" w:ascii="仿宋_GB2312" w:eastAsia="仿宋_GB2312"/>
          <w:color w:val="000000"/>
          <w:sz w:val="32"/>
          <w:szCs w:val="32"/>
        </w:rPr>
        <w:t>一般公共服务201类20136款其他共产党事务支出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2013601指</w:t>
      </w:r>
      <w:r>
        <w:rPr>
          <w:rFonts w:hint="eastAsia" w:ascii="仿宋_GB2312" w:eastAsia="仿宋_GB2312"/>
          <w:color w:val="000000"/>
          <w:sz w:val="32"/>
          <w:szCs w:val="32"/>
          <w:lang w:eastAsia="zh-CN"/>
        </w:rPr>
        <w:t>委机关工作人员工资及日常商品服务支出</w:t>
      </w:r>
      <w:r>
        <w:rPr>
          <w:rFonts w:hint="eastAsia" w:ascii="仿宋_GB2312" w:eastAsia="仿宋_GB2312"/>
          <w:color w:val="000000"/>
          <w:sz w:val="32"/>
          <w:szCs w:val="32"/>
        </w:rPr>
        <w:t>。2013602</w:t>
      </w:r>
      <w:r>
        <w:rPr>
          <w:rFonts w:hint="eastAsia" w:ascii="仿宋_GB2312" w:eastAsia="仿宋_GB2312"/>
          <w:color w:val="000000"/>
          <w:sz w:val="32"/>
          <w:szCs w:val="32"/>
          <w:lang w:eastAsia="zh-CN"/>
        </w:rPr>
        <w:t>指一般行政管理事务用于指挥部维稳工作日常工作开展的日常商品服务支出，2013650指委机关事业工作的人员工资及日常商品服务支出</w:t>
      </w:r>
      <w:r>
        <w:rPr>
          <w:rFonts w:hint="eastAsia" w:ascii="仿宋_GB2312" w:eastAsia="仿宋_GB2312"/>
          <w:color w:val="000000"/>
          <w:sz w:val="32"/>
          <w:szCs w:val="32"/>
        </w:rPr>
        <w:t>。20199</w:t>
      </w:r>
      <w:r>
        <w:rPr>
          <w:rFonts w:hint="eastAsia" w:ascii="仿宋_GB2312" w:eastAsia="仿宋_GB2312"/>
          <w:color w:val="000000"/>
          <w:sz w:val="32"/>
          <w:szCs w:val="32"/>
          <w:lang w:eastAsia="zh-CN"/>
        </w:rPr>
        <w:t>款其他一般公共服务支出，2019999指其他一般公共服务支出是领导干部目标奖励金。</w:t>
      </w:r>
    </w:p>
    <w:p>
      <w:pPr>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10.</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val="en-US" w:eastAsia="zh-CN"/>
          <w14:textFill>
            <w14:solidFill>
              <w14:schemeClr w14:val="tx1"/>
            </w14:solidFill>
          </w14:textFill>
        </w:rPr>
        <w:t>08类20802款</w:t>
      </w:r>
      <w:r>
        <w:rPr>
          <w:rFonts w:hint="eastAsia" w:ascii="仿宋_GB2312" w:eastAsia="仿宋_GB2312"/>
          <w:color w:val="000000" w:themeColor="text1"/>
          <w:sz w:val="32"/>
          <w:szCs w:val="32"/>
          <w14:textFill>
            <w14:solidFill>
              <w14:schemeClr w14:val="tx1"/>
            </w14:solidFill>
          </w14:textFill>
        </w:rPr>
        <w:t>2080208</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指基层政权和社区建设，2080505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机关事业单位基本养老保险缴费支出，2080506</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机关事业单位职业年金缴费支出</w:t>
      </w:r>
      <w:r>
        <w:rPr>
          <w:rFonts w:hint="eastAsia" w:ascii="仿宋_GB2312" w:eastAsia="仿宋_GB2312"/>
          <w:color w:val="000000" w:themeColor="text1"/>
          <w:sz w:val="32"/>
          <w:szCs w:val="32"/>
          <w:lang w:eastAsia="zh-CN"/>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11.</w:t>
      </w:r>
      <w:r>
        <w:rPr>
          <w:rFonts w:hint="eastAsia" w:ascii="仿宋_GB2312" w:eastAsia="仿宋_GB2312"/>
          <w:color w:val="000000" w:themeColor="text1"/>
          <w:sz w:val="32"/>
          <w:szCs w:val="32"/>
          <w:lang w:eastAsia="zh-CN"/>
          <w14:textFill>
            <w14:solidFill>
              <w14:schemeClr w14:val="tx1"/>
            </w14:solidFill>
          </w14:textFill>
        </w:rPr>
        <w:t>卫生健康</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210类21004款2100409</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w:t>
      </w:r>
      <w:r>
        <w:rPr>
          <w:rFonts w:hint="eastAsia" w:ascii="仿宋_GB2312" w:eastAsia="仿宋_GB2312"/>
          <w:color w:val="000000" w:themeColor="text1"/>
          <w:sz w:val="32"/>
          <w:szCs w:val="32"/>
          <w:lang w:eastAsia="zh-CN"/>
          <w14:textFill>
            <w14:solidFill>
              <w14:schemeClr w14:val="tx1"/>
            </w14:solidFill>
          </w14:textFill>
        </w:rPr>
        <w:t>公共卫生专项资金</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themeColor="text1"/>
          <w:sz w:val="32"/>
          <w:szCs w:val="32"/>
          <w14:textFill>
            <w14:solidFill>
              <w14:schemeClr w14:val="tx1"/>
            </w14:solidFill>
          </w14:textFill>
        </w:rPr>
        <w:t>住房保障：</w:t>
      </w:r>
      <w:r>
        <w:rPr>
          <w:rFonts w:hint="eastAsia" w:ascii="仿宋_GB2312" w:eastAsia="仿宋_GB2312"/>
          <w:color w:val="000000" w:themeColor="text1"/>
          <w:sz w:val="32"/>
          <w:szCs w:val="32"/>
          <w:lang w:val="en-US" w:eastAsia="zh-CN"/>
          <w14:textFill>
            <w14:solidFill>
              <w14:schemeClr w14:val="tx1"/>
            </w14:solidFill>
          </w14:textFill>
        </w:rPr>
        <w:t>221类22102款</w:t>
      </w:r>
      <w:r>
        <w:rPr>
          <w:rFonts w:hint="eastAsia" w:ascii="仿宋_GB2312" w:eastAsia="仿宋_GB2312"/>
          <w:color w:val="000000" w:themeColor="text1"/>
          <w:sz w:val="32"/>
          <w:szCs w:val="32"/>
          <w14:textFill>
            <w14:solidFill>
              <w14:schemeClr w14:val="tx1"/>
            </w14:solidFill>
          </w14:textFill>
        </w:rPr>
        <w:t>2210201</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住房公积金。</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13</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16.</w:t>
      </w:r>
      <w:bookmarkStart w:id="57" w:name="_Toc15377226"/>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17</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县委政法委</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i w:val="0"/>
          <w:caps w:val="0"/>
          <w:color w:val="333333"/>
          <w:spacing w:val="0"/>
          <w:sz w:val="32"/>
          <w:szCs w:val="32"/>
          <w:shd w:val="clear" w:color="auto" w:fill="FFFFFF"/>
        </w:rPr>
        <w:t>本部门预算</w:t>
      </w:r>
      <w:r>
        <w:rPr>
          <w:rFonts w:hint="eastAsia" w:ascii="仿宋_GB2312" w:hAnsi="仿宋_GB2312" w:eastAsia="仿宋_GB2312" w:cs="仿宋_GB2312"/>
          <w:i w:val="0"/>
          <w:caps w:val="0"/>
          <w:color w:val="333333"/>
          <w:spacing w:val="0"/>
          <w:sz w:val="32"/>
          <w:szCs w:val="32"/>
          <w:shd w:val="clear" w:color="auto" w:fill="FFFFFF"/>
          <w:lang w:eastAsia="zh-CN"/>
        </w:rPr>
        <w:t>行政</w:t>
      </w:r>
      <w:r>
        <w:rPr>
          <w:rFonts w:hint="eastAsia" w:ascii="仿宋_GB2312" w:hAnsi="仿宋_GB2312" w:eastAsia="仿宋_GB2312" w:cs="仿宋_GB2312"/>
          <w:i w:val="0"/>
          <w:caps w:val="0"/>
          <w:color w:val="333333"/>
          <w:spacing w:val="0"/>
          <w:sz w:val="32"/>
          <w:szCs w:val="32"/>
          <w:shd w:val="clear" w:color="auto" w:fill="FFFFFF"/>
        </w:rPr>
        <w:t>单位1个，其中内设机构有</w:t>
      </w:r>
      <w:r>
        <w:rPr>
          <w:rFonts w:hint="eastAsia" w:ascii="仿宋_GB2312" w:hAnsi="仿宋_GB2312" w:eastAsia="仿宋_GB2312" w:cs="仿宋_GB2312"/>
          <w:b w:val="0"/>
          <w:bCs w:val="0"/>
          <w:color w:val="000000"/>
          <w:sz w:val="32"/>
          <w:szCs w:val="32"/>
          <w:lang w:val="en-US" w:eastAsia="zh-CN"/>
        </w:rPr>
        <w:t>4个</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i w:val="0"/>
          <w:caps w:val="0"/>
          <w:color w:val="333333"/>
          <w:spacing w:val="0"/>
          <w:sz w:val="32"/>
          <w:szCs w:val="32"/>
          <w:shd w:val="clear" w:color="auto" w:fill="FFFFFF"/>
        </w:rPr>
        <w:t>办公室、</w:t>
      </w:r>
      <w:r>
        <w:rPr>
          <w:rFonts w:hint="eastAsia" w:ascii="仿宋_GB2312" w:hAnsi="仿宋_GB2312" w:eastAsia="仿宋_GB2312" w:cs="仿宋_GB2312"/>
          <w:b w:val="0"/>
          <w:bCs w:val="0"/>
          <w:color w:val="000000"/>
          <w:sz w:val="32"/>
          <w:szCs w:val="32"/>
        </w:rPr>
        <w:t>政治安全与反分裂维稳指导股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基层社会治理和综治督导股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政治部</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i w:val="0"/>
          <w:caps w:val="0"/>
          <w:color w:val="333333"/>
          <w:spacing w:val="0"/>
          <w:sz w:val="32"/>
          <w:szCs w:val="32"/>
          <w:shd w:val="clear" w:color="auto" w:fill="FFFFFF"/>
        </w:rPr>
        <w:t>县矛盾纠纷“大调解”协调中心、</w:t>
      </w:r>
      <w:r>
        <w:rPr>
          <w:rFonts w:hint="eastAsia" w:ascii="仿宋_GB2312" w:hAnsi="仿宋_GB2312" w:eastAsia="仿宋_GB2312" w:cs="仿宋_GB2312"/>
          <w:i w:val="0"/>
          <w:caps w:val="0"/>
          <w:color w:val="333333"/>
          <w:spacing w:val="0"/>
          <w:sz w:val="32"/>
          <w:szCs w:val="32"/>
          <w:shd w:val="clear" w:color="auto" w:fill="FFFFFF"/>
          <w:lang w:eastAsia="zh-CN"/>
        </w:rPr>
        <w:t>县委维稳指挥部、</w:t>
      </w:r>
      <w:r>
        <w:rPr>
          <w:rFonts w:hint="eastAsia" w:ascii="仿宋_GB2312" w:hAnsi="仿宋_GB2312" w:eastAsia="仿宋_GB2312" w:cs="仿宋_GB2312"/>
          <w:i w:val="0"/>
          <w:caps w:val="0"/>
          <w:color w:val="333333"/>
          <w:spacing w:val="0"/>
          <w:sz w:val="32"/>
          <w:szCs w:val="32"/>
          <w:shd w:val="clear" w:color="auto" w:fill="FFFFFF"/>
        </w:rPr>
        <w:t>扫黑除恶办等合署办公。县矛盾纠纷“大调解”协调中心属于事业</w:t>
      </w:r>
      <w:r>
        <w:rPr>
          <w:rFonts w:hint="eastAsia" w:ascii="仿宋_GB2312" w:hAnsi="仿宋_GB2312" w:eastAsia="仿宋_GB2312" w:cs="仿宋_GB2312"/>
          <w:i w:val="0"/>
          <w:caps w:val="0"/>
          <w:color w:val="333333"/>
          <w:spacing w:val="0"/>
          <w:sz w:val="32"/>
          <w:szCs w:val="32"/>
          <w:shd w:val="clear" w:color="auto" w:fill="FFFFFF"/>
          <w:lang w:eastAsia="zh-CN"/>
        </w:rPr>
        <w:t>。</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right="0" w:rightChars="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县委政法委的主要职责是：</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深入贯彻党的路线方针政策和决策部署，统一政法各部门思想和行动，坚持党对政法工作的绝对领导，坚决维护党中央权威和集中统一领导。</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深入贯彻党中央决定和省委、州委、县委决策，对政法工作研究提出全局性部署，推进平安红原、法治红原建设，加强过硬队伍建设，深化智能化建设，坚决维护国家政治安全、确保社会大局稳定、促进社会公平正义、保障人民安居乐业。</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了解掌握和分析研判政法工作情况动态，分析全县社会稳定形势，创新完善多部门参与的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加强对政法工作的督查，统筹协调维护政治安全、社会治安综合治理、维护社会稳定、反邪教有关法律法规政策的实施工作；指导全县政法系统网络安全和智能化建设工作</w:t>
      </w:r>
      <w:r>
        <w:rPr>
          <w:rFonts w:hint="eastAsia" w:ascii="仿宋_GB2312" w:hAnsi="仿宋_GB2312" w:eastAsia="仿宋_GB2312" w:cs="仿宋_GB2312"/>
          <w:sz w:val="32"/>
          <w:szCs w:val="32"/>
          <w:lang w:eastAsia="zh-CN"/>
        </w:rPr>
        <w:t>。五是</w:t>
      </w:r>
      <w:r>
        <w:rPr>
          <w:rFonts w:hint="eastAsia" w:ascii="仿宋_GB2312" w:hAnsi="仿宋_GB2312" w:eastAsia="仿宋_GB2312" w:cs="仿宋_GB2312"/>
          <w:sz w:val="32"/>
          <w:szCs w:val="32"/>
        </w:rPr>
        <w:t>组织开展政法领域的调查研究，研究拟订全县政法工作的政策措施，及时向县委提出建议。</w:t>
      </w:r>
      <w:r>
        <w:rPr>
          <w:rFonts w:hint="eastAsia" w:ascii="仿宋_GB2312" w:hAnsi="仿宋_GB2312" w:eastAsia="仿宋_GB2312" w:cs="仿宋_GB2312"/>
          <w:sz w:val="32"/>
          <w:szCs w:val="32"/>
          <w:lang w:eastAsia="zh-CN"/>
        </w:rPr>
        <w:t>六是</w:t>
      </w:r>
      <w:r>
        <w:rPr>
          <w:rFonts w:hint="eastAsia" w:ascii="仿宋_GB2312" w:hAnsi="仿宋_GB2312" w:eastAsia="仿宋_GB2312" w:cs="仿宋_GB2312"/>
          <w:sz w:val="32"/>
          <w:szCs w:val="32"/>
        </w:rPr>
        <w:t>参与有关地方性法规和规章的起草、修改工作，及时提出立法建议。掌握分析政法舆情动态，指导协调政法部门媒体网络宣传工作，指导政法部门做好涉及政法工作的重大宣传和舆论引导工作。</w:t>
      </w:r>
      <w:r>
        <w:rPr>
          <w:rFonts w:hint="eastAsia" w:ascii="仿宋_GB2312" w:hAnsi="仿宋_GB2312" w:eastAsia="仿宋_GB2312" w:cs="仿宋_GB2312"/>
          <w:sz w:val="32"/>
          <w:szCs w:val="32"/>
          <w:lang w:eastAsia="zh-CN"/>
        </w:rPr>
        <w:t>七是</w:t>
      </w:r>
      <w:r>
        <w:rPr>
          <w:rFonts w:hint="eastAsia" w:ascii="仿宋_GB2312" w:hAnsi="仿宋_GB2312" w:eastAsia="仿宋_GB2312" w:cs="仿宋_GB2312"/>
          <w:sz w:val="32"/>
          <w:szCs w:val="32"/>
        </w:rPr>
        <w:t>监督和支持政法各部门依法行使职权，指导和协调政法各部门密切配合，研究和协调重大、疑难案件，推进严格执法、公正司法。组织研究政法改革中带有方向性、倾向性和普遍性的重大问题，深化政法改革。</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指导推动政法系统党的建设和政法队伍建设，协同县级有关职能部门管理监督政法领导干部，代管红原县法学会。</w:t>
      </w:r>
      <w:r>
        <w:rPr>
          <w:rFonts w:hint="eastAsia" w:ascii="仿宋_GB2312" w:hAnsi="仿宋_GB2312" w:eastAsia="仿宋_GB2312" w:cs="仿宋_GB2312"/>
          <w:sz w:val="32"/>
          <w:szCs w:val="32"/>
          <w:lang w:eastAsia="zh-CN"/>
        </w:rPr>
        <w:t>九是</w:t>
      </w:r>
      <w:r>
        <w:rPr>
          <w:rFonts w:hint="eastAsia" w:ascii="仿宋_GB2312" w:hAnsi="仿宋_GB2312" w:eastAsia="仿宋_GB2312" w:cs="仿宋_GB2312"/>
          <w:sz w:val="32"/>
          <w:szCs w:val="32"/>
        </w:rPr>
        <w:t>完成县委交办的其他任务。</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i w:val="0"/>
          <w:caps w:val="0"/>
          <w:color w:val="333333"/>
          <w:spacing w:val="0"/>
          <w:sz w:val="32"/>
          <w:szCs w:val="32"/>
          <w:shd w:val="clear" w:fill="FFFFFF"/>
        </w:rPr>
        <w:t>人员情况：总编制15名，其中，行政编制10名，行政工勤1名，事业编制4名。在职人员总数17人，其中，行政编制12名，行政工勤1名，事业编制4名。退休人员5人；长瞻人员1 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528.66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outlineLvl w:val="1"/>
        <w:rPr>
          <w:rFonts w:hint="eastAsia" w:ascii="仿宋_GB2312" w:hAnsi="宋体" w:eastAsia="仿宋" w:cs="宋体"/>
          <w:color w:val="000000"/>
          <w:kern w:val="0"/>
          <w:sz w:val="32"/>
          <w:szCs w:val="32"/>
          <w:shd w:val="clear" w:color="auto" w:fill="FFFFFF"/>
          <w:lang w:val="zh-CN" w:eastAsia="zh-CN"/>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475.78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widowControl/>
        <w:numPr>
          <w:ilvl w:val="0"/>
          <w:numId w:val="1"/>
        </w:numPr>
        <w:adjustRightInd w:val="0"/>
        <w:snapToGrid w:val="0"/>
        <w:spacing w:line="580" w:lineRule="exact"/>
        <w:ind w:left="1360" w:leftChars="0" w:hanging="720" w:firstLineChars="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部门整体预算绩效管理情况</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包括部门绩效目标制定、目标实现、预算编制准确、支出控制、预算动态调整、执行进度、预算完成情况和违规记录等情况。</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部门预算管理。</w:t>
      </w:r>
    </w:p>
    <w:p>
      <w:pPr>
        <w:widowControl/>
        <w:adjustRightInd w:val="0"/>
        <w:snapToGrid w:val="0"/>
        <w:spacing w:line="480" w:lineRule="exact"/>
        <w:ind w:firstLine="720"/>
        <w:jc w:val="left"/>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（二）执行管理情况。</w:t>
      </w:r>
      <w:r>
        <w:rPr>
          <w:rFonts w:hint="eastAsia" w:ascii="楷体" w:hAnsi="楷体" w:eastAsia="楷体" w:cs="宋体"/>
          <w:color w:val="000000" w:themeColor="text1"/>
          <w:kern w:val="0"/>
          <w:sz w:val="32"/>
          <w:lang w:val="zh-CN"/>
          <w14:textFill>
            <w14:solidFill>
              <w14:schemeClr w14:val="tx1"/>
            </w14:solidFill>
          </w14:textFill>
        </w:rPr>
        <w:tab/>
      </w:r>
    </w:p>
    <w:p>
      <w:pPr>
        <w:widowControl/>
        <w:adjustRightInd w:val="0"/>
        <w:snapToGrid w:val="0"/>
        <w:spacing w:line="560" w:lineRule="exact"/>
        <w:ind w:firstLine="640" w:firstLineChars="200"/>
        <w:jc w:val="left"/>
        <w:rPr>
          <w:rFonts w:hint="eastAsia" w:ascii="楷体" w:hAnsi="楷体" w:eastAsia="仿宋_GB2312" w:cs="宋体"/>
          <w:color w:val="000000" w:themeColor="text1"/>
          <w:kern w:val="0"/>
          <w:sz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年度“三公”经费财政拨款支出决算中，因公出国（境）费支出决算0元；公务用车购置及运行维护费支出决算</w:t>
      </w:r>
      <w:r>
        <w:rPr>
          <w:rFonts w:hint="eastAsia" w:ascii="仿宋_GB2312" w:eastAsia="仿宋_GB2312"/>
          <w:color w:val="000000" w:themeColor="text1"/>
          <w:sz w:val="32"/>
          <w:szCs w:val="32"/>
          <w:lang w:val="en-US" w:eastAsia="zh-CN"/>
          <w14:textFill>
            <w14:solidFill>
              <w14:schemeClr w14:val="tx1"/>
            </w14:solidFill>
          </w14:textFill>
        </w:rPr>
        <w:t>9.95</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预算执行完成情况较好。</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（三）综合管理情况。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（二）结果应用情况。</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包括绩效自评公开、评价结果整改和应用结果反馈等情况。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（一）部门职责履行情况分析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（二）社会经济效益分析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（三）行政效能分析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en-US" w:eastAsia="zh-CN"/>
          <w14:textFill>
            <w14:solidFill>
              <w14:schemeClr w14:val="tx1"/>
            </w14:solidFill>
          </w14:textFill>
        </w:rPr>
        <w:t>2019年度根据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outlineLvl w:val="9"/>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shd w:val="clear" w:fill="FFFFFF"/>
          <w:lang w:val="en-US" w:eastAsia="zh-CN" w:bidi="ar"/>
        </w:rPr>
        <w:t>一是应加强公务卡使用力度，保证资金的合理使用；二是了解财政各项规定，严格按照规定执行，做好费用报销审核工作；三是推进项目资金的使用进度，提高资金使用效率；四是加强制度建设，将行动落实到实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3" w:firstLineChars="200"/>
        <w:jc w:val="left"/>
        <w:textAlignment w:val="auto"/>
        <w:outlineLvl w:val="9"/>
        <w:rPr>
          <w:rFonts w:hint="eastAsia" w:ascii="仿宋" w:hAnsi="仿宋" w:eastAsia="仿宋" w:cs="仿宋"/>
          <w:b w:val="0"/>
          <w:i w:val="0"/>
          <w:caps w:val="0"/>
          <w:color w:val="333333"/>
          <w:spacing w:val="0"/>
          <w:sz w:val="32"/>
          <w:szCs w:val="32"/>
        </w:rPr>
      </w:pPr>
      <w:r>
        <w:rPr>
          <w:rFonts w:hint="eastAsia" w:ascii="仿宋" w:hAnsi="仿宋" w:eastAsia="仿宋" w:cs="仿宋"/>
          <w:b/>
          <w:i w:val="0"/>
          <w:caps w:val="0"/>
          <w:color w:val="333333"/>
          <w:spacing w:val="0"/>
          <w:kern w:val="0"/>
          <w:sz w:val="32"/>
          <w:szCs w:val="32"/>
          <w:shd w:val="clear" w:fill="FFFFFF"/>
          <w:lang w:val="en-US" w:eastAsia="zh-CN" w:bidi="ar"/>
        </w:rPr>
        <w:t>（三）改进建议。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outlineLvl w:val="9"/>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shd w:val="clear" w:fill="FFFFFF"/>
          <w:lang w:val="en-US" w:eastAsia="zh-CN" w:bidi="ar"/>
        </w:rPr>
        <w:t>加强内控制度建设力度，建立内控长效机制，严格财务管理，加强财务监督，坚持厉行节约，控制“三公经费”支出，严格管理现金支出，加强财务人员业务培训，提高业务水平。</w:t>
      </w: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宋体" w:hAnsi="宋体"/>
          <w:sz w:val="32"/>
          <w:szCs w:val="32"/>
          <w:lang w:val="zh-CN"/>
        </w:rPr>
      </w:pPr>
      <w:r>
        <w:rPr>
          <w:rFonts w:hint="eastAsia" w:ascii="方正小标宋简体" w:hAnsi="方正小标宋简体" w:eastAsia="方正小标宋简体" w:cs="方正小标宋简体"/>
          <w:sz w:val="36"/>
          <w:szCs w:val="36"/>
          <w:lang w:eastAsia="zh-CN"/>
        </w:rPr>
        <w:t>红原县委政法委</w:t>
      </w:r>
      <w:r>
        <w:rPr>
          <w:rFonts w:hint="eastAsia" w:ascii="方正小标宋简体" w:hAnsi="方正小标宋简体" w:eastAsia="方正小标宋简体" w:cs="方正小标宋简体"/>
          <w:color w:val="000000"/>
          <w:kern w:val="0"/>
          <w:sz w:val="36"/>
          <w:szCs w:val="36"/>
          <w:lang w:val="zh-CN"/>
        </w:rPr>
        <w:t>项目</w:t>
      </w:r>
      <w:r>
        <w:rPr>
          <w:rFonts w:hint="eastAsia" w:ascii="方正小标宋简体" w:hAnsi="方正小标宋简体" w:eastAsia="方正小标宋简体" w:cs="方正小标宋简体"/>
          <w:color w:val="000000"/>
          <w:kern w:val="0"/>
          <w:sz w:val="36"/>
          <w:szCs w:val="36"/>
        </w:rPr>
        <w:t>2019年</w:t>
      </w:r>
      <w:r>
        <w:rPr>
          <w:rFonts w:hint="eastAsia" w:ascii="方正小标宋简体" w:hAnsi="方正小标宋简体" w:eastAsia="方正小标宋简体" w:cs="方正小标宋简体"/>
          <w:color w:val="000000"/>
          <w:kern w:val="0"/>
          <w:sz w:val="36"/>
          <w:szCs w:val="36"/>
          <w:lang w:val="zh-CN"/>
        </w:rPr>
        <w:t>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2019年为全面提升基层乡镇综治工作的能力和水平，我县根据乡镇综治工作所需为安曲镇、查尔玛等11个乡镇基层单位和县联动中心配备12台电视、1台调音台视频提升改造其会议室设备。由我委负责按程序采购后，分发到11个乡镇，所有费用由财政拨款经费支出。</w:t>
      </w:r>
    </w:p>
    <w:p>
      <w:pPr>
        <w:numPr>
          <w:ilvl w:val="0"/>
          <w:numId w:val="3"/>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numPr>
          <w:ilvl w:val="0"/>
          <w:numId w:val="0"/>
        </w:numPr>
        <w:adjustRightInd w:val="0"/>
        <w:snapToGrid w:val="0"/>
        <w:spacing w:line="60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2019年11月我委按照采购程序进行了政府采购项目备案，对所采购的物品使用网上竞价和商场直购方式进行采购，并与购销公司签定了购销合同。使用资金为阿州财预（2019）53号1-2019年基层政权建设（各乡镇视频会议室提升改造用设备采购），下达资金这13万元，实际支付5.97万元。</w:t>
      </w:r>
    </w:p>
    <w:p>
      <w:pPr>
        <w:numPr>
          <w:ilvl w:val="0"/>
          <w:numId w:val="3"/>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资金管理办法制定情况，资金支持具体项目的条件、范围与支持方式概况。</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zh-CN"/>
        </w:rPr>
        <w:t>采购所需资金由财政统一拨款使用。财政按照所采购的物品的实际价和政府采购验收证明书拨付采购款</w:t>
      </w:r>
      <w:r>
        <w:rPr>
          <w:rFonts w:hint="eastAsia" w:ascii="仿宋_GB2312" w:hAnsi="宋体" w:eastAsia="仿宋_GB2312"/>
          <w:sz w:val="32"/>
          <w:szCs w:val="32"/>
          <w:lang w:val="en-US" w:eastAsia="zh-CN"/>
        </w:rPr>
        <w:t>5.97万元。</w:t>
      </w:r>
    </w:p>
    <w:p>
      <w:pPr>
        <w:numPr>
          <w:ilvl w:val="0"/>
          <w:numId w:val="3"/>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numPr>
          <w:ilvl w:val="0"/>
          <w:numId w:val="0"/>
        </w:numPr>
        <w:adjustRightInd w:val="0"/>
        <w:snapToGrid w:val="0"/>
        <w:spacing w:line="60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zh-CN"/>
        </w:rPr>
        <w:t>我委考虑全县</w:t>
      </w:r>
      <w:r>
        <w:rPr>
          <w:rFonts w:hint="eastAsia" w:ascii="仿宋_GB2312" w:hAnsi="宋体" w:eastAsia="仿宋_GB2312"/>
          <w:sz w:val="32"/>
          <w:szCs w:val="32"/>
          <w:lang w:val="en-US" w:eastAsia="zh-CN"/>
        </w:rPr>
        <w:t>11个乡镇会议设备不完善，为提升基层综治工作能力，确保工作的顺得开展，为其配备了会议设备。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11个乡镇视频会议室提升改造用设备。</w:t>
      </w:r>
    </w:p>
    <w:p>
      <w:pPr>
        <w:numPr>
          <w:ilvl w:val="0"/>
          <w:numId w:val="8"/>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为全面提升基层乡镇综治工作的能力和水平，为</w:t>
      </w:r>
      <w:r>
        <w:rPr>
          <w:rFonts w:hint="eastAsia" w:ascii="仿宋_GB2312" w:hAnsi="宋体" w:eastAsia="仿宋_GB2312"/>
          <w:sz w:val="32"/>
          <w:szCs w:val="32"/>
          <w:lang w:val="zh-CN"/>
        </w:rPr>
        <w:t>全县</w:t>
      </w:r>
      <w:r>
        <w:rPr>
          <w:rFonts w:hint="eastAsia" w:ascii="仿宋_GB2312" w:hAnsi="宋体" w:eastAsia="仿宋_GB2312"/>
          <w:sz w:val="32"/>
          <w:szCs w:val="32"/>
          <w:lang w:val="en-US" w:eastAsia="zh-CN"/>
        </w:rPr>
        <w:t>11个乡镇会议设备（电视机1台）。</w:t>
      </w:r>
    </w:p>
    <w:p>
      <w:pPr>
        <w:numPr>
          <w:ilvl w:val="0"/>
          <w:numId w:val="8"/>
        </w:numPr>
        <w:adjustRightInd w:val="0"/>
        <w:snapToGrid w:val="0"/>
        <w:spacing w:line="600" w:lineRule="exact"/>
        <w:ind w:left="0" w:leftChars="0" w:firstLine="72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分析评价申报内容是否与实际相符，申报目标是否合理可行。</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我委按程序申报了政府采购项目备案为电视机、调音台金额为</w:t>
      </w:r>
      <w:r>
        <w:rPr>
          <w:rFonts w:hint="eastAsia" w:ascii="仿宋_GB2312" w:hAnsi="宋体" w:eastAsia="仿宋_GB2312"/>
          <w:sz w:val="32"/>
          <w:szCs w:val="32"/>
          <w:lang w:val="en-US" w:eastAsia="zh-CN"/>
        </w:rPr>
        <w:t>5.97万元，签定了购销合同，</w:t>
      </w:r>
      <w:r>
        <w:rPr>
          <w:rFonts w:hint="eastAsia" w:ascii="仿宋_GB2312" w:hAnsi="宋体" w:eastAsia="仿宋_GB2312"/>
          <w:sz w:val="32"/>
          <w:szCs w:val="32"/>
          <w:lang w:val="zh-CN"/>
        </w:rPr>
        <w:t>申报目标合理可行。</w:t>
      </w:r>
    </w:p>
    <w:p>
      <w:pPr>
        <w:numPr>
          <w:ilvl w:val="0"/>
          <w:numId w:val="6"/>
        </w:numPr>
        <w:adjustRightInd w:val="0"/>
        <w:snapToGrid w:val="0"/>
        <w:spacing w:line="600" w:lineRule="exact"/>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项目自评步骤及方法。</w:t>
      </w:r>
    </w:p>
    <w:p>
      <w:pPr>
        <w:numPr>
          <w:ilvl w:val="0"/>
          <w:numId w:val="0"/>
        </w:numPr>
        <w:adjustRightInd w:val="0"/>
        <w:snapToGrid w:val="0"/>
        <w:spacing w:line="600" w:lineRule="exact"/>
        <w:ind w:leftChars="200" w:firstLine="320" w:firstLineChars="100"/>
        <w:rPr>
          <w:rFonts w:hint="eastAsia" w:ascii="楷体_GB2312" w:hAnsi="宋体" w:eastAsia="楷体_GB2312"/>
          <w:b/>
          <w:sz w:val="32"/>
          <w:szCs w:val="32"/>
          <w:lang w:val="zh-CN"/>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1、成立了项目评价领导小组</w:t>
      </w:r>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成立了以政法委书记孔红永为组长，分管领导政法委副书记甲央尼玛为副组长，联动中心出纳陈群、工作人员二杰木等相关人员为成员的评价领导小组。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numPr>
          <w:ilvl w:val="0"/>
          <w:numId w:val="0"/>
        </w:numPr>
        <w:adjustRightInd w:val="0"/>
        <w:snapToGrid w:val="0"/>
        <w:spacing w:line="60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项目使用资金为阿州财预（2019）53号1-2019年基层政权建设（各乡镇视频会议室提升改造用设备采购），下达资金这13万元，实际支付5.97万元。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楷体_GB2312" w:hAnsi="宋体" w:eastAsia="楷体_GB2312"/>
          <w:sz w:val="32"/>
          <w:szCs w:val="32"/>
          <w:lang w:val="zh-CN"/>
        </w:rPr>
        <w:t>1．资金计划。</w:t>
      </w:r>
      <w:r>
        <w:rPr>
          <w:rFonts w:hint="eastAsia" w:ascii="楷体_GB2312" w:hAnsi="宋体" w:eastAsia="楷体_GB2312"/>
          <w:color w:val="000000" w:themeColor="text1"/>
          <w:sz w:val="32"/>
          <w:szCs w:val="32"/>
          <w:lang w:val="zh-CN"/>
          <w14:textFill>
            <w14:solidFill>
              <w14:schemeClr w14:val="tx1"/>
            </w14:solidFill>
          </w14:textFill>
        </w:rPr>
        <w:t>资金纳入</w:t>
      </w:r>
      <w:r>
        <w:rPr>
          <w:rFonts w:hint="eastAsia" w:ascii="楷体_GB2312" w:hAnsi="宋体" w:eastAsia="楷体_GB2312"/>
          <w:color w:val="000000" w:themeColor="text1"/>
          <w:sz w:val="32"/>
          <w:szCs w:val="32"/>
          <w:lang w:val="en-US" w:eastAsia="zh-CN"/>
          <w14:textFill>
            <w14:solidFill>
              <w14:schemeClr w14:val="tx1"/>
            </w14:solidFill>
          </w14:textFill>
        </w:rPr>
        <w:t>2019年预算</w:t>
      </w:r>
      <w:r>
        <w:rPr>
          <w:rFonts w:hint="eastAsia" w:ascii="仿宋_GB2312" w:hAnsi="宋体" w:eastAsia="仿宋_GB2312"/>
          <w:color w:val="000000" w:themeColor="text1"/>
          <w:sz w:val="32"/>
          <w:szCs w:val="32"/>
          <w:lang w:val="zh-CN"/>
          <w14:textFill>
            <w14:solidFill>
              <w14:schemeClr w14:val="tx1"/>
            </w14:solidFill>
          </w14:textFill>
        </w:rPr>
        <w:t>。</w:t>
      </w:r>
      <w:r>
        <w:rPr>
          <w:rFonts w:hint="eastAsia" w:ascii="仿宋_GB2312" w:hAnsi="宋体" w:eastAsia="仿宋_GB2312"/>
          <w:sz w:val="32"/>
          <w:szCs w:val="32"/>
          <w:lang w:val="en-US" w:eastAsia="zh-CN"/>
        </w:rPr>
        <w:t>为阿州财预（2019）53号1-2019年基层政权建设（各乡镇视频会议室提升改造用设备采购）专项资金，下达资金这13万元。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楷体_GB2312" w:hAnsi="宋体" w:eastAsia="楷体_GB2312"/>
          <w:sz w:val="32"/>
          <w:szCs w:val="32"/>
          <w:lang w:val="en-US" w:eastAsia="zh-CN"/>
        </w:rPr>
        <w:t>2019年12月县财政按照实际项目采购费用及时支付了</w:t>
      </w:r>
      <w:r>
        <w:rPr>
          <w:rFonts w:hint="eastAsia" w:ascii="仿宋_GB2312" w:hAnsi="宋体" w:eastAsia="仿宋_GB2312"/>
          <w:sz w:val="32"/>
          <w:szCs w:val="32"/>
          <w:lang w:val="en-US" w:eastAsia="zh-CN"/>
        </w:rPr>
        <w:t>5.97万元，</w:t>
      </w:r>
      <w:r>
        <w:rPr>
          <w:rFonts w:hint="eastAsia" w:ascii="仿宋_GB2312" w:hAnsi="宋体" w:eastAsia="仿宋_GB2312"/>
          <w:sz w:val="32"/>
          <w:szCs w:val="32"/>
          <w:lang w:val="zh-CN"/>
        </w:rPr>
        <w:t>资金到位率为</w:t>
      </w:r>
      <w:r>
        <w:rPr>
          <w:rFonts w:hint="eastAsia" w:ascii="仿宋_GB2312" w:hAnsi="仿宋_GB2312" w:eastAsia="仿宋_GB2312" w:cs="仿宋_GB2312"/>
          <w:sz w:val="32"/>
          <w:szCs w:val="32"/>
          <w:lang w:val="en-US" w:eastAsia="zh-CN"/>
        </w:rPr>
        <w:t>45.92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。剩余</w:t>
      </w:r>
      <w:r>
        <w:rPr>
          <w:rFonts w:hint="eastAsia" w:ascii="仿宋_GB2312" w:hAnsi="宋体" w:eastAsia="仿宋_GB2312"/>
          <w:sz w:val="32"/>
          <w:szCs w:val="32"/>
          <w:lang w:val="zh-CN"/>
        </w:rPr>
        <w:t>资金已结转</w:t>
      </w:r>
      <w:r>
        <w:rPr>
          <w:rFonts w:hint="eastAsia" w:ascii="仿宋_GB2312" w:hAnsi="宋体" w:eastAsia="仿宋_GB2312"/>
          <w:sz w:val="32"/>
          <w:szCs w:val="32"/>
          <w:lang w:val="en-US" w:eastAsia="zh-CN"/>
        </w:rPr>
        <w:t>2020年继续使用</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楷体_GB2312" w:hAnsi="宋体" w:eastAsia="楷体_GB2312"/>
          <w:sz w:val="32"/>
          <w:szCs w:val="32"/>
          <w:lang w:val="en-US" w:eastAsia="zh-CN"/>
        </w:rPr>
        <w:t>2019年12月县财政按照实际项目采购费用及时支付了</w:t>
      </w:r>
      <w:r>
        <w:rPr>
          <w:rFonts w:hint="eastAsia" w:ascii="仿宋_GB2312" w:hAnsi="宋体" w:eastAsia="仿宋_GB2312"/>
          <w:sz w:val="32"/>
          <w:szCs w:val="32"/>
          <w:lang w:val="en-US" w:eastAsia="zh-CN"/>
        </w:rPr>
        <w:t>5.97万元，</w:t>
      </w:r>
      <w:r>
        <w:rPr>
          <w:rFonts w:hint="eastAsia" w:ascii="仿宋_GB2312" w:hAnsi="宋体" w:eastAsia="仿宋_GB2312"/>
          <w:sz w:val="32"/>
          <w:szCs w:val="32"/>
          <w:lang w:val="zh-CN"/>
        </w:rPr>
        <w:t>支付标准为政府采购项目备案表、验收汇款单、购销合同金额。支付依据为红原县财政</w:t>
      </w:r>
      <w:r>
        <w:rPr>
          <w:rFonts w:hint="eastAsia" w:ascii="仿宋_GB2312" w:hAnsi="宋体" w:eastAsia="仿宋_GB2312"/>
          <w:sz w:val="32"/>
          <w:szCs w:val="32"/>
          <w:lang w:val="en-US" w:eastAsia="zh-CN"/>
        </w:rPr>
        <w:t>专项资金拨款申请表。确保了项目</w:t>
      </w:r>
      <w:r>
        <w:rPr>
          <w:rFonts w:hint="eastAsia" w:ascii="仿宋_GB2312" w:hAnsi="宋体" w:eastAsia="仿宋_GB2312"/>
          <w:sz w:val="32"/>
          <w:szCs w:val="32"/>
          <w:lang w:val="zh-CN"/>
        </w:rPr>
        <w:t>资金使用安全、规范，</w:t>
      </w:r>
      <w:r>
        <w:rPr>
          <w:rFonts w:hint="eastAsia" w:ascii="仿宋_GB2312" w:hAnsi="宋体" w:eastAsia="仿宋_GB2312"/>
          <w:color w:val="000000" w:themeColor="text1"/>
          <w:sz w:val="32"/>
          <w:szCs w:val="32"/>
          <w:lang w:val="en-US" w:eastAsia="zh-CN"/>
          <w14:textFill>
            <w14:solidFill>
              <w14:schemeClr w14:val="tx1"/>
            </w14:solidFill>
          </w14:textFill>
        </w:rPr>
        <w:t>项目资金与预算相符合。</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项目财务管理执行《红原县政法委财务管理制度》，并严格执行财务管理制度，单位账务处理及时，会计核算规范。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adjustRightInd w:val="0"/>
        <w:snapToGrid w:val="0"/>
        <w:spacing w:line="600" w:lineRule="exact"/>
        <w:ind w:firstLine="720"/>
        <w:rPr>
          <w:rFonts w:hint="eastAsia" w:ascii="楷体_GB2312" w:hAnsi="宋体" w:eastAsia="仿宋_GB2312"/>
          <w:b w:val="0"/>
          <w:bCs/>
          <w:sz w:val="32"/>
          <w:szCs w:val="32"/>
          <w:lang w:val="en-US" w:eastAsia="zh-CN"/>
        </w:rPr>
      </w:pPr>
      <w:r>
        <w:rPr>
          <w:rFonts w:hint="eastAsia" w:ascii="楷体_GB2312" w:hAnsi="宋体" w:eastAsia="楷体_GB2312"/>
          <w:b w:val="0"/>
          <w:bCs/>
          <w:sz w:val="32"/>
          <w:szCs w:val="32"/>
          <w:lang w:val="zh-CN"/>
        </w:rPr>
        <w:t>项目组织架构</w:t>
      </w:r>
      <w:r>
        <w:rPr>
          <w:rFonts w:hint="eastAsia" w:ascii="楷体_GB2312" w:hAnsi="宋体" w:eastAsia="楷体_GB2312"/>
          <w:b w:val="0"/>
          <w:bCs/>
          <w:sz w:val="32"/>
          <w:szCs w:val="32"/>
          <w:lang w:val="en-US" w:eastAsia="zh-CN"/>
        </w:rPr>
        <w:t>-项目领导小组-报备政府采购项目-</w:t>
      </w:r>
      <w:r>
        <w:rPr>
          <w:rFonts w:hint="eastAsia" w:ascii="仿宋_GB2312" w:hAnsi="宋体" w:eastAsia="仿宋_GB2312"/>
          <w:sz w:val="32"/>
          <w:szCs w:val="32"/>
          <w:lang w:val="en-US" w:eastAsia="zh-CN"/>
        </w:rPr>
        <w:t>网上竞价和商场直购方式-签定购销合同-货物送达-验收货物-签定政府采购验收证明书-购物发票-申请付款-付款-发放11个乡镇</w:t>
      </w:r>
      <w:r>
        <w:rPr>
          <w:rFonts w:hint="eastAsia" w:ascii="楷体_GB2312" w:hAnsi="宋体" w:eastAsia="仿宋_GB2312"/>
          <w:b w:val="0"/>
          <w:bCs/>
          <w:sz w:val="32"/>
          <w:szCs w:val="32"/>
          <w:lang w:val="en-US" w:eastAsia="zh-CN"/>
        </w:rPr>
        <w:t>。</w:t>
      </w:r>
      <w:r>
        <w:rPr>
          <w:rFonts w:hint="eastAsia" w:ascii="仿宋_GB2312" w:hAnsi="宋体" w:eastAsia="仿宋_GB2312"/>
          <w:color w:val="000000" w:themeColor="text1"/>
          <w:sz w:val="32"/>
          <w:szCs w:val="32"/>
          <w:lang w:val="zh-CN"/>
          <w14:textFill>
            <w14:solidFill>
              <w14:schemeClr w14:val="tx1"/>
            </w14:solidFill>
          </w14:textFill>
        </w:rPr>
        <w:t>制定了一套切实可行的管理制度并对项目进行了为期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numPr>
          <w:ilvl w:val="0"/>
          <w:numId w:val="9"/>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我委严格按照采购法相关法律法规，对项目采购进行了政府采购项目备案，对项目进行了公示，实行</w:t>
      </w:r>
      <w:r>
        <w:rPr>
          <w:rFonts w:hint="eastAsia" w:ascii="仿宋_GB2312" w:hAnsi="宋体" w:eastAsia="仿宋_GB2312"/>
          <w:sz w:val="32"/>
          <w:szCs w:val="32"/>
          <w:lang w:val="en-US" w:eastAsia="zh-CN"/>
        </w:rPr>
        <w:t>网上竞价和商场直购方式进行采购，</w:t>
      </w:r>
      <w:r>
        <w:rPr>
          <w:rFonts w:hint="eastAsia" w:ascii="仿宋_GB2312" w:hAnsi="宋体" w:eastAsia="仿宋_GB2312"/>
          <w:sz w:val="32"/>
          <w:szCs w:val="32"/>
          <w:lang w:val="zh-CN"/>
        </w:rPr>
        <w:t>签定了购销合同，</w:t>
      </w:r>
      <w:r>
        <w:rPr>
          <w:rFonts w:hint="eastAsia" w:ascii="仿宋_GB2312" w:hAnsi="宋体" w:eastAsia="仿宋_GB2312"/>
          <w:sz w:val="32"/>
          <w:szCs w:val="32"/>
          <w:lang w:val="en-US" w:eastAsia="zh-CN"/>
        </w:rPr>
        <w:t>货物送达后签定了政府采购验收证明书，并根据合同及时申请财政支付了项目资金5.97万元。</w:t>
      </w:r>
    </w:p>
    <w:p>
      <w:pPr>
        <w:numPr>
          <w:ilvl w:val="0"/>
          <w:numId w:val="9"/>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numPr>
          <w:ilvl w:val="0"/>
          <w:numId w:val="0"/>
        </w:num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eastAsia="zh-CN"/>
        </w:rPr>
        <w:t>我委</w:t>
      </w:r>
      <w:r>
        <w:rPr>
          <w:rFonts w:hint="eastAsia" w:ascii="仿宋_GB2312" w:hAnsi="宋体" w:eastAsia="仿宋_GB2312"/>
          <w:sz w:val="32"/>
          <w:szCs w:val="32"/>
          <w:lang w:val="zh-CN"/>
        </w:rPr>
        <w:t>为加强项目管理所采取了直接跟踪监管手段，及时跟踪采购</w:t>
      </w:r>
      <w:r>
        <w:rPr>
          <w:rFonts w:hint="eastAsia" w:ascii="仿宋_GB2312" w:hAnsi="宋体" w:eastAsia="仿宋_GB2312"/>
          <w:sz w:val="32"/>
          <w:szCs w:val="32"/>
          <w:lang w:val="en-US" w:eastAsia="zh-CN"/>
        </w:rPr>
        <w:t>货物，采购货物送达后，严格按照购销合同对采购货物进行验收。在对采购货物验收后及时发放到11个乡镇，并要求供货方及时进行安装试用。通过及时跟踪</w:t>
      </w:r>
      <w:r>
        <w:rPr>
          <w:rFonts w:hint="eastAsia" w:ascii="仿宋_GB2312" w:hAnsi="宋体" w:eastAsia="仿宋_GB2312"/>
          <w:sz w:val="32"/>
          <w:szCs w:val="32"/>
          <w:lang w:val="zh-CN"/>
        </w:rPr>
        <w:t>监管程序，确保了项目的顺利完成，有效提升了各乡镇会议室会议功能。</w:t>
      </w:r>
    </w:p>
    <w:p>
      <w:pPr>
        <w:numPr>
          <w:ilvl w:val="0"/>
          <w:numId w:val="1"/>
        </w:numPr>
        <w:adjustRightInd w:val="0"/>
        <w:snapToGrid w:val="0"/>
        <w:spacing w:line="600" w:lineRule="exact"/>
        <w:ind w:left="1360" w:leftChars="0" w:hanging="720" w:firstLineChars="0"/>
        <w:rPr>
          <w:rFonts w:hint="eastAsia" w:ascii="仿宋_GB2312" w:hAnsi="宋体" w:eastAsia="仿宋_GB2312"/>
          <w:sz w:val="32"/>
          <w:szCs w:val="32"/>
          <w:lang w:val="zh-CN"/>
        </w:rPr>
      </w:pPr>
      <w:r>
        <w:rPr>
          <w:rFonts w:hint="eastAsia" w:ascii="黑体" w:hAnsi="宋体" w:eastAsia="黑体"/>
          <w:sz w:val="32"/>
          <w:szCs w:val="32"/>
        </w:rPr>
        <w:t>项目绩效情况</w:t>
      </w:r>
      <w:r>
        <w:rPr>
          <w:rFonts w:hint="eastAsia" w:ascii="仿宋_GB2312" w:hAnsi="宋体" w:eastAsia="仿宋_GB2312"/>
          <w:sz w:val="32"/>
          <w:szCs w:val="32"/>
          <w:lang w:val="zh-CN"/>
        </w:rPr>
        <w:tab/>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color w:val="000000" w:themeColor="text1"/>
          <w:sz w:val="32"/>
          <w:szCs w:val="32"/>
          <w:lang w:val="zh-CN"/>
          <w14:textFill>
            <w14:solidFill>
              <w14:schemeClr w14:val="tx1"/>
            </w14:solidFill>
          </w14:textFill>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en-US" w:eastAsia="zh-CN"/>
        </w:rPr>
        <w:t>我委按照政府采购项目备案数量、质量，在12月全面完成了11个乡镇会议设备和联动中心设备采购任务（12台电视机、1台调音台）</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通达此项目的实施，有效提升了乡镇基层综治工作能力，为基层综治工作的开展提供了有力保障，确保全县社会持续稳定，广大群众对全县的社会满意度明显提升。</w:t>
      </w:r>
    </w:p>
    <w:p>
      <w:pPr>
        <w:numPr>
          <w:ilvl w:val="0"/>
          <w:numId w:val="1"/>
        </w:numPr>
        <w:adjustRightInd w:val="0"/>
        <w:snapToGrid w:val="0"/>
        <w:spacing w:line="600" w:lineRule="exact"/>
        <w:ind w:left="1360" w:leftChars="0" w:hanging="720" w:firstLineChars="0"/>
        <w:rPr>
          <w:rFonts w:hint="eastAsia" w:ascii="黑体" w:hAnsi="宋体" w:eastAsia="黑体"/>
          <w:sz w:val="32"/>
          <w:szCs w:val="32"/>
        </w:rPr>
      </w:pPr>
      <w:r>
        <w:rPr>
          <w:rFonts w:hint="eastAsia" w:ascii="黑体" w:hAnsi="宋体" w:eastAsia="黑体"/>
          <w:sz w:val="32"/>
          <w:szCs w:val="32"/>
        </w:rPr>
        <w:t>评价结论及建议</w:t>
      </w:r>
    </w:p>
    <w:p>
      <w:pPr>
        <w:adjustRightInd w:val="0"/>
        <w:snapToGrid w:val="0"/>
        <w:spacing w:line="600" w:lineRule="exact"/>
        <w:ind w:firstLine="640" w:firstLineChars="200"/>
        <w:rPr>
          <w:rFonts w:hint="eastAsia" w:ascii="黑体" w:hAnsi="宋体" w:eastAsia="黑体"/>
          <w:sz w:val="32"/>
          <w:szCs w:val="32"/>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i w:val="0"/>
          <w:caps w:val="0"/>
          <w:color w:val="333333"/>
          <w:spacing w:val="0"/>
          <w:kern w:val="0"/>
          <w:sz w:val="32"/>
          <w:szCs w:val="32"/>
          <w:shd w:val="clear" w:fill="FFFFFF"/>
          <w:lang w:val="en-US" w:eastAsia="zh-CN" w:bidi="ar"/>
        </w:rPr>
        <w:t>一是能够严格执行《预算法》和各项财经纪律，预算编制合理;二是经费开支按用途使用合理，做到专帐专管,专款专用。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outlineLvl w:val="9"/>
        <w:rPr>
          <w:rFonts w:hint="eastAsia" w:ascii="仿宋" w:hAnsi="仿宋" w:eastAsia="仿宋" w:cs="仿宋"/>
          <w:b w:val="0"/>
          <w:i w:val="0"/>
          <w:caps w:val="0"/>
          <w:color w:val="333333"/>
          <w:spacing w:val="0"/>
          <w:sz w:val="32"/>
          <w:szCs w:val="32"/>
        </w:rPr>
      </w:pPr>
      <w:r>
        <w:rPr>
          <w:rFonts w:hint="eastAsia" w:ascii="仿宋" w:hAnsi="仿宋" w:eastAsia="仿宋" w:cs="仿宋"/>
          <w:b w:val="0"/>
          <w:i w:val="0"/>
          <w:caps w:val="0"/>
          <w:color w:val="333333"/>
          <w:spacing w:val="0"/>
          <w:kern w:val="0"/>
          <w:sz w:val="32"/>
          <w:szCs w:val="32"/>
          <w:shd w:val="clear" w:fill="FFFFFF"/>
          <w:lang w:val="en-US" w:eastAsia="zh-CN" w:bidi="ar"/>
        </w:rPr>
        <w:t>推进项目资金的使用进度，提高资金使用效率。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lang w:val="zh-CN"/>
        </w:rPr>
        <w:t>加强项目资金的管理和运用，使项目资金达到最大化使用。</w:t>
      </w: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14:textFill>
            <w14:solidFill>
              <w14:schemeClr w14:val="tx1"/>
            </w14:solidFill>
          </w14:textFill>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31D6D"/>
    <w:multiLevelType w:val="singleLevel"/>
    <w:tmpl w:val="A5E31D6D"/>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66F1D32"/>
    <w:multiLevelType w:val="singleLevel"/>
    <w:tmpl w:val="E66F1D32"/>
    <w:lvl w:ilvl="0" w:tentative="0">
      <w:start w:val="2"/>
      <w:numFmt w:val="chineseCounting"/>
      <w:suff w:val="nothing"/>
      <w:lvlText w:val="（%1）"/>
      <w:lvlJc w:val="left"/>
      <w:rPr>
        <w:rFonts w:hint="eastAsia"/>
      </w:rPr>
    </w:lvl>
  </w:abstractNum>
  <w:abstractNum w:abstractNumId="4">
    <w:nsid w:val="00C79D3B"/>
    <w:multiLevelType w:val="singleLevel"/>
    <w:tmpl w:val="00C79D3B"/>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1F65F4"/>
    <w:multiLevelType w:val="singleLevel"/>
    <w:tmpl w:val="171F65F4"/>
    <w:lvl w:ilvl="0" w:tentative="0">
      <w:start w:val="2"/>
      <w:numFmt w:val="decimal"/>
      <w:suff w:val="nothing"/>
      <w:lvlText w:val="%1．"/>
      <w:lvlJc w:val="left"/>
    </w:lvl>
  </w:abstractNum>
  <w:abstractNum w:abstractNumId="7">
    <w:nsid w:val="68F814C9"/>
    <w:multiLevelType w:val="singleLevel"/>
    <w:tmpl w:val="68F814C9"/>
    <w:lvl w:ilvl="0" w:tentative="0">
      <w:start w:val="2"/>
      <w:numFmt w:val="chineseCounting"/>
      <w:suff w:val="nothing"/>
      <w:lvlText w:val="（%1）"/>
      <w:lvlJc w:val="left"/>
      <w:rPr>
        <w:rFonts w:hint="eastAsia"/>
      </w:rPr>
    </w:lvl>
  </w:abstractNum>
  <w:abstractNum w:abstractNumId="8">
    <w:nsid w:val="6CC42BBD"/>
    <w:multiLevelType w:val="singleLevel"/>
    <w:tmpl w:val="6CC42BBD"/>
    <w:lvl w:ilvl="0" w:tentative="0">
      <w:start w:val="1"/>
      <w:numFmt w:val="chineseCounting"/>
      <w:suff w:val="nothing"/>
      <w:lvlText w:val="（%1）"/>
      <w:lvlJc w:val="left"/>
      <w:rPr>
        <w:rFonts w:hint="eastAsia"/>
      </w:rPr>
    </w:lvl>
  </w:abstractNum>
  <w:num w:numId="1">
    <w:abstractNumId w:val="5"/>
  </w:num>
  <w:num w:numId="2">
    <w:abstractNumId w:val="1"/>
  </w:num>
  <w:num w:numId="3">
    <w:abstractNumId w:val="0"/>
  </w:num>
  <w:num w:numId="4">
    <w:abstractNumId w:val="2"/>
  </w:num>
  <w:num w:numId="5">
    <w:abstractNumId w:val="7"/>
  </w:num>
  <w:num w:numId="6">
    <w:abstractNumId w:val="3"/>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851827"/>
    <w:rsid w:val="02B7624C"/>
    <w:rsid w:val="08645C0A"/>
    <w:rsid w:val="0942559A"/>
    <w:rsid w:val="09493616"/>
    <w:rsid w:val="0AD1547E"/>
    <w:rsid w:val="0D26415F"/>
    <w:rsid w:val="0D9A2CA3"/>
    <w:rsid w:val="0DD54932"/>
    <w:rsid w:val="10C055FF"/>
    <w:rsid w:val="13E92A4B"/>
    <w:rsid w:val="148F4E09"/>
    <w:rsid w:val="159268E6"/>
    <w:rsid w:val="16BB723D"/>
    <w:rsid w:val="17F03438"/>
    <w:rsid w:val="17F827A9"/>
    <w:rsid w:val="1D8943DC"/>
    <w:rsid w:val="1DA31690"/>
    <w:rsid w:val="1E8E3FD2"/>
    <w:rsid w:val="240371BF"/>
    <w:rsid w:val="241425BE"/>
    <w:rsid w:val="29FD04D3"/>
    <w:rsid w:val="2B973011"/>
    <w:rsid w:val="2D713D0E"/>
    <w:rsid w:val="2DB40B7E"/>
    <w:rsid w:val="319F7F4E"/>
    <w:rsid w:val="33FE4FFC"/>
    <w:rsid w:val="3711795F"/>
    <w:rsid w:val="3806245A"/>
    <w:rsid w:val="386A642C"/>
    <w:rsid w:val="3B6F0D72"/>
    <w:rsid w:val="3BF11204"/>
    <w:rsid w:val="3CBF00B8"/>
    <w:rsid w:val="446A5402"/>
    <w:rsid w:val="454E406A"/>
    <w:rsid w:val="45736106"/>
    <w:rsid w:val="46932268"/>
    <w:rsid w:val="47B23E05"/>
    <w:rsid w:val="48567DC7"/>
    <w:rsid w:val="4B1931D8"/>
    <w:rsid w:val="4ECE2238"/>
    <w:rsid w:val="4FC30B87"/>
    <w:rsid w:val="52BB4858"/>
    <w:rsid w:val="53F64A06"/>
    <w:rsid w:val="542F7CAA"/>
    <w:rsid w:val="54C06950"/>
    <w:rsid w:val="57A70DE1"/>
    <w:rsid w:val="596D56B4"/>
    <w:rsid w:val="5A76599E"/>
    <w:rsid w:val="5EA73B72"/>
    <w:rsid w:val="642C290F"/>
    <w:rsid w:val="64C1643E"/>
    <w:rsid w:val="68FE2E36"/>
    <w:rsid w:val="68FE668B"/>
    <w:rsid w:val="6BF200A5"/>
    <w:rsid w:val="72734D90"/>
    <w:rsid w:val="72A14EFD"/>
    <w:rsid w:val="72B57085"/>
    <w:rsid w:val="73772DCC"/>
    <w:rsid w:val="748D6AE0"/>
    <w:rsid w:val="75F77639"/>
    <w:rsid w:val="76B67ACF"/>
    <w:rsid w:val="76E25D5B"/>
    <w:rsid w:val="7D0B00F8"/>
    <w:rsid w:val="7EAB5D70"/>
    <w:rsid w:val="FA3F85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    </a:t>
            </a:r>
          </a:p>
        </c:rich>
      </c:tx>
      <c:layout>
        <c:manualLayout>
          <c:xMode val="edge"/>
          <c:yMode val="edge"/>
          <c:x val="0.403136954858454"/>
          <c:y val="0.0258009030316061"/>
        </c:manualLayout>
      </c:layout>
      <c:overlay val="0"/>
      <c:spPr>
        <a:noFill/>
        <a:ln>
          <a:noFill/>
        </a:ln>
        <a:effectLst/>
      </c:spPr>
    </c:title>
    <c:autoTitleDeleted val="0"/>
    <c:plotArea>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2018年收入</c:v>
                </c:pt>
                <c:pt idx="1">
                  <c:v>2019年收入</c:v>
                </c:pt>
                <c:pt idx="2">
                  <c:v>2018年支出</c:v>
                </c:pt>
                <c:pt idx="3">
                  <c:v>2019年支出</c:v>
                </c:pt>
              </c:strCache>
            </c:strRef>
          </c:cat>
          <c:val>
            <c:numRef>
              <c:f>Sheet1!$B$1:$B$4</c:f>
              <c:numCache>
                <c:formatCode>General</c:formatCode>
                <c:ptCount val="4"/>
                <c:pt idx="0">
                  <c:v>432.17</c:v>
                </c:pt>
                <c:pt idx="1">
                  <c:v>528.66</c:v>
                </c:pt>
                <c:pt idx="2">
                  <c:v>556.36</c:v>
                </c:pt>
                <c:pt idx="3">
                  <c:v>475.78</c:v>
                </c:pt>
              </c:numCache>
            </c:numRef>
          </c:val>
        </c:ser>
        <c:ser>
          <c:idx val="1"/>
          <c:order val="1"/>
          <c:tx>
            <c:strRef>
              <c:f>Sheet1!#REF!</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2018年收入</c:v>
                </c:pt>
                <c:pt idx="1">
                  <c:v>2019年收入</c:v>
                </c:pt>
                <c:pt idx="2">
                  <c:v>2018年支出</c:v>
                </c:pt>
                <c:pt idx="3">
                  <c:v>2019年支出</c:v>
                </c:pt>
              </c:strCache>
            </c:strRef>
          </c:cat>
          <c:val>
            <c:numRef>
              <c:f>Sheet1!$C$1:$C$4</c:f>
              <c:numCache>
                <c:formatCode>General</c:formatCode>
                <c:ptCount val="4"/>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2018年收入</c:v>
                </c:pt>
                <c:pt idx="1">
                  <c:v>2019年收入</c:v>
                </c:pt>
                <c:pt idx="2">
                  <c:v>2018年支出</c:v>
                </c:pt>
                <c:pt idx="3">
                  <c:v>2019年支出</c:v>
                </c:pt>
              </c:strCache>
            </c:strRef>
          </c:cat>
          <c:val>
            <c:numRef>
              <c:f>Sheet1!$D$1:$D$4</c:f>
              <c:numCache>
                <c:formatCode>General</c:formatCode>
                <c:ptCount val="4"/>
              </c:numCache>
            </c:numRef>
          </c:val>
        </c:ser>
        <c:dLbls>
          <c:showLegendKey val="0"/>
          <c:showVal val="1"/>
          <c:showCatName val="0"/>
          <c:showSerName val="0"/>
          <c:showPercent val="0"/>
          <c:showBubbleSize val="0"/>
        </c:dLbls>
        <c:gapWidth val="219"/>
        <c:overlap val="-27"/>
        <c:axId val="466372864"/>
        <c:axId val="277191179"/>
      </c:barChart>
      <c:catAx>
        <c:axId val="4663728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191179"/>
        <c:crosses val="autoZero"/>
        <c:auto val="1"/>
        <c:lblAlgn val="ctr"/>
        <c:lblOffset val="100"/>
        <c:noMultiLvlLbl val="0"/>
      </c:catAx>
      <c:valAx>
        <c:axId val="2771911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6372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452259707192871"/>
          <c:y val="0.0254345061466723"/>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财政拨款收入</c:v>
                </c:pt>
                <c:pt idx="1">
                  <c:v>其他收入</c:v>
                </c:pt>
              </c:strCache>
            </c:strRef>
          </c:cat>
          <c:val>
            <c:numRef>
              <c:f>Sheet1!$B$2:$B$5</c:f>
              <c:numCache>
                <c:formatCode>General</c:formatCode>
                <c:ptCount val="4"/>
                <c:pt idx="0">
                  <c:v>419.93</c:v>
                </c:pt>
                <c:pt idx="1">
                  <c:v>108.73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5756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388.83</c:v>
                </c:pt>
                <c:pt idx="1">
                  <c:v>86.85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manualLayout>
          <c:layoutTarget val="inner"/>
          <c:xMode val="edge"/>
          <c:yMode val="edge"/>
          <c:x val="0.0826489300173511"/>
          <c:y val="0.196240020602627"/>
          <c:w val="0.890312319259688"/>
          <c:h val="0.679217100180273"/>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2019年收入</c:v>
                </c:pt>
                <c:pt idx="1">
                  <c:v>2018年收入</c:v>
                </c:pt>
                <c:pt idx="2">
                  <c:v>2019年支出</c:v>
                </c:pt>
                <c:pt idx="3">
                  <c:v>2018年支出</c:v>
                </c:pt>
              </c:strCache>
            </c:strRef>
          </c:cat>
          <c:val>
            <c:numRef>
              <c:f>Sheet1!$B$1:$B$4</c:f>
              <c:numCache>
                <c:formatCode>General</c:formatCode>
                <c:ptCount val="4"/>
                <c:pt idx="0">
                  <c:v>419.93</c:v>
                </c:pt>
                <c:pt idx="1">
                  <c:v>419.65</c:v>
                </c:pt>
                <c:pt idx="2">
                  <c:v>388.93</c:v>
                </c:pt>
                <c:pt idx="3">
                  <c:v>436.36</c:v>
                </c:pt>
              </c:numCache>
            </c:numRef>
          </c:val>
        </c:ser>
        <c:ser>
          <c:idx val="1"/>
          <c:order val="1"/>
          <c:tx>
            <c:strRef>
              <c:f>Sheet1!#REF!</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2019年收入</c:v>
                </c:pt>
                <c:pt idx="1">
                  <c:v>2018年收入</c:v>
                </c:pt>
                <c:pt idx="2">
                  <c:v>2019年支出</c:v>
                </c:pt>
                <c:pt idx="3">
                  <c:v>2018年支出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2019年收入</c:v>
                </c:pt>
                <c:pt idx="1">
                  <c:v>2018年收入</c:v>
                </c:pt>
                <c:pt idx="2">
                  <c:v>2019年支出</c:v>
                </c:pt>
                <c:pt idx="3">
                  <c:v>2018年支出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150460614"/>
        <c:axId val="591598358"/>
      </c:barChart>
      <c:catAx>
        <c:axId val="1504606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1598358"/>
        <c:crosses val="autoZero"/>
        <c:auto val="1"/>
        <c:lblAlgn val="ctr"/>
        <c:lblOffset val="100"/>
        <c:noMultiLvlLbl val="0"/>
      </c:catAx>
      <c:valAx>
        <c:axId val="591598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4606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2019年一般财政拨款支出</c:v>
                </c:pt>
                <c:pt idx="1">
                  <c:v>2018年一般财政拨款支出</c:v>
                </c:pt>
              </c:strCache>
            </c:strRef>
          </c:cat>
          <c:val>
            <c:numRef>
              <c:f>Sheet1!$B$2:$B$3</c:f>
              <c:numCache>
                <c:formatCode>General</c:formatCode>
                <c:ptCount val="2"/>
                <c:pt idx="0">
                  <c:v>420.9</c:v>
                </c:pt>
                <c:pt idx="1">
                  <c:v>541.62</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2019年一般财政拨款支出</c:v>
                </c:pt>
                <c:pt idx="1">
                  <c:v>2018年一般财政拨款支出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2019年一般财政拨款支出</c:v>
                </c:pt>
                <c:pt idx="1">
                  <c:v>2018年一般财政拨款支出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764333112"/>
        <c:axId val="466608730"/>
      </c:barChart>
      <c:catAx>
        <c:axId val="764333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6608730"/>
        <c:crosses val="autoZero"/>
        <c:auto val="1"/>
        <c:lblAlgn val="ctr"/>
        <c:lblOffset val="100"/>
        <c:noMultiLvlLbl val="0"/>
      </c:catAx>
      <c:valAx>
        <c:axId val="4666087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4333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a:t>一般公共预算财政拨款支出决算结构图</a:t>
            </a:r>
            <a:endParaRPr sz="1050"/>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社会保障和就业</c:v>
                </c:pt>
                <c:pt idx="2">
                  <c:v>住房保障支出</c:v>
                </c:pt>
                <c:pt idx="3">
                  <c:v>卫生健康支出</c:v>
                </c:pt>
              </c:strCache>
            </c:strRef>
          </c:cat>
          <c:val>
            <c:numRef>
              <c:f>Sheet1!$B$2:$B$5</c:f>
              <c:numCache>
                <c:formatCode>General</c:formatCode>
                <c:ptCount val="4"/>
                <c:pt idx="0">
                  <c:v>376.91</c:v>
                </c:pt>
                <c:pt idx="1">
                  <c:v>51.78</c:v>
                </c:pt>
                <c:pt idx="2">
                  <c:v>27.55</c:v>
                </c:pt>
                <c:pt idx="3">
                  <c:v>19.55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a:t>
            </a:r>
            <a:r>
              <a:rPr lang="en-US" altLang="zh-CN"/>
              <a:t>”</a:t>
            </a:r>
            <a:r>
              <a:rPr altLang="en-US"/>
              <a:t>财政拨款支出结构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公务用车维护费</c:v>
                </c:pt>
                <c:pt idx="1">
                  <c:v>公务接待费</c:v>
                </c:pt>
              </c:strCache>
            </c:strRef>
          </c:cat>
          <c:val>
            <c:numRef>
              <c:f>Sheet1!$B$2:$B$3</c:f>
              <c:numCache>
                <c:formatCode>General</c:formatCode>
                <c:ptCount val="2"/>
                <c:pt idx="0">
                  <c:v>16.37</c:v>
                </c:pt>
                <c:pt idx="1">
                  <c:v>1.29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2020-07-23T10:58:00Z</cp:lastPrinted>
  <dcterms:modified xsi:type="dcterms:W3CDTF">2023-06-09T15:12:46Z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517607451F9E8947EED0826496025017</vt:lpwstr>
  </property>
</Properties>
</file>