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default" w:ascii="Times New Roman" w:hAnsi="Times New Roman" w:eastAsia="方正小标宋简体" w:cs="Times New Roman"/>
          <w:b w:val="0"/>
          <w:bCs/>
          <w:sz w:val="44"/>
          <w:szCs w:val="44"/>
          <w:lang w:eastAsia="zh-CN"/>
        </w:rPr>
      </w:pPr>
      <w:r>
        <w:rPr>
          <w:rFonts w:hint="default" w:ascii="Times New Roman" w:hAnsi="Times New Roman" w:eastAsia="方正小标宋简体" w:cs="Times New Roman"/>
          <w:b w:val="0"/>
          <w:bCs/>
          <w:sz w:val="44"/>
          <w:szCs w:val="44"/>
          <w:lang w:eastAsia="zh-CN"/>
        </w:rPr>
        <w:t>中共红原县委组织部</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lang w:eastAsia="zh-CN"/>
        </w:rPr>
        <w:t>202</w:t>
      </w:r>
      <w:r>
        <w:rPr>
          <w:rFonts w:hint="default" w:ascii="Times New Roman" w:hAnsi="Times New Roman" w:eastAsia="方正小标宋简体" w:cs="Times New Roman"/>
          <w:b w:val="0"/>
          <w:bCs/>
          <w:sz w:val="44"/>
          <w:szCs w:val="44"/>
          <w:lang w:val="en-US" w:eastAsia="zh-CN"/>
        </w:rPr>
        <w:t>6</w:t>
      </w:r>
      <w:r>
        <w:rPr>
          <w:rFonts w:hint="default" w:ascii="Times New Roman" w:hAnsi="Times New Roman" w:eastAsia="方正小标宋简体" w:cs="Times New Roman"/>
          <w:b w:val="0"/>
          <w:bCs/>
          <w:sz w:val="44"/>
          <w:szCs w:val="44"/>
          <w:lang w:eastAsia="zh-CN"/>
        </w:rPr>
        <w:t>年</w:t>
      </w:r>
      <w:r>
        <w:rPr>
          <w:rFonts w:hint="default" w:ascii="Times New Roman" w:hAnsi="Times New Roman" w:eastAsia="方正小标宋简体" w:cs="Times New Roman"/>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default" w:ascii="Times New Roman" w:hAnsi="Times New Roman" w:eastAsia="宋体" w:cs="Times New Roman"/>
          <w:b/>
          <w:sz w:val="44"/>
          <w:szCs w:val="44"/>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default" w:ascii="Times New Roman" w:hAnsi="Times New Roman" w:eastAsia="宋体" w:cs="Times New Roman"/>
          <w:b/>
          <w:sz w:val="44"/>
          <w:szCs w:val="44"/>
        </w:rPr>
      </w:pPr>
      <w:r>
        <w:rPr>
          <w:rFonts w:hint="default" w:ascii="Times New Roman" w:hAnsi="Times New Roman" w:cs="Times New Roman"/>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rPr>
        <w:t>贯彻新时代党的建设总要求和党的组织路线，落实县委相关决策部署。</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1.</w:t>
      </w:r>
      <w:r>
        <w:rPr>
          <w:rFonts w:hint="default" w:ascii="Times New Roman" w:hAnsi="Times New Roman" w:cs="Times New Roman"/>
          <w:bCs/>
          <w:sz w:val="32"/>
          <w:szCs w:val="32"/>
        </w:rPr>
        <w:t>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2.</w:t>
      </w:r>
      <w:r>
        <w:rPr>
          <w:rFonts w:hint="default" w:ascii="Times New Roman" w:hAnsi="Times New Roman" w:cs="Times New Roman"/>
          <w:bCs/>
          <w:sz w:val="32"/>
          <w:szCs w:val="32"/>
        </w:rPr>
        <w:t>负责全县科级领导班子和干部队伍建设的总体规划和宏观管理。负责县委管理科级领导班子和领导干部的考察考核、日常管理，提出调整建议，审核办理任免、工资、退休、兼职、待遇等有关事项；负责全县优秀年轻干部队伍建设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3.</w:t>
      </w:r>
      <w:r>
        <w:rPr>
          <w:rFonts w:hint="default" w:ascii="Times New Roman" w:hAnsi="Times New Roman" w:cs="Times New Roman"/>
          <w:bCs/>
          <w:sz w:val="32"/>
          <w:szCs w:val="32"/>
        </w:rPr>
        <w:t>负责管理全县公务员工作。承担管理公务员录用、调配、考核、奖惩、培训、监督、工资福利等工作，指导公务员队伍建设和绩效管理。</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4.</w:t>
      </w:r>
      <w:r>
        <w:rPr>
          <w:rFonts w:hint="default" w:ascii="Times New Roman" w:hAnsi="Times New Roman" w:cs="Times New Roman"/>
          <w:bCs/>
          <w:sz w:val="32"/>
          <w:szCs w:val="32"/>
        </w:rPr>
        <w:t>负责全县人才队伍建设宏观指导、政策落实、综合协调和督促检查；牵头推进人才发展体制机制改革，统筹实施重大人才工程和人才表彰奖励。</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5.</w:t>
      </w:r>
      <w:r>
        <w:rPr>
          <w:rFonts w:hint="default" w:ascii="Times New Roman" w:hAnsi="Times New Roman" w:cs="Times New Roman"/>
          <w:bCs/>
          <w:sz w:val="32"/>
          <w:szCs w:val="32"/>
        </w:rPr>
        <w:t>负责组织、指导全县干部教育培训工作的宏观指导、政策规划、组织协调和督促检查，负责县委重点培训项目的策划、实施和管理，指导全县干部教育培训基地建设管理、师资队伍建设等工作。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6.</w:t>
      </w:r>
      <w:r>
        <w:rPr>
          <w:rFonts w:hint="default" w:ascii="Times New Roman" w:hAnsi="Times New Roman" w:cs="Times New Roman"/>
          <w:bCs/>
          <w:sz w:val="32"/>
          <w:szCs w:val="32"/>
        </w:rPr>
        <w:t>负责全县干部监督工作的宏观指导和综合协调，制定和落实干部监督工作制度，组织开展对选人用人工作情况的监督检查，受理和办理有关问题举报，组织实施领导干部报告个人有关事项及抽查核实工作。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7.</w:t>
      </w:r>
      <w:r>
        <w:rPr>
          <w:rFonts w:hint="default" w:ascii="Times New Roman" w:hAnsi="Times New Roman" w:cs="Times New Roman"/>
          <w:bCs/>
          <w:sz w:val="32"/>
          <w:szCs w:val="32"/>
        </w:rPr>
        <w:t>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8.</w:t>
      </w:r>
      <w:r>
        <w:rPr>
          <w:rFonts w:hint="default" w:ascii="Times New Roman" w:hAnsi="Times New Roman" w:cs="Times New Roman"/>
          <w:bCs/>
          <w:sz w:val="32"/>
          <w:szCs w:val="32"/>
        </w:rPr>
        <w:t>负责制定全县直属机关党的建设工作规划，指导县直机关党组织搞好党的思想建设、组织建设、作风建设和制度建设，并做好协调、管理、教育、监督工作。指导县属机关党组织搞好发展党员、民主评议党员、党员干部民主生活会的评议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lang w:eastAsia="zh-CN"/>
        </w:rPr>
      </w:pPr>
      <w:r>
        <w:rPr>
          <w:rFonts w:hint="default" w:ascii="Times New Roman" w:hAnsi="Times New Roman" w:cs="Times New Roman"/>
          <w:bCs/>
          <w:sz w:val="32"/>
          <w:szCs w:val="32"/>
          <w:lang w:val="en-US" w:eastAsia="zh-CN"/>
        </w:rPr>
        <w:t>9.</w:t>
      </w:r>
      <w:r>
        <w:rPr>
          <w:rFonts w:hint="default" w:ascii="Times New Roman" w:hAnsi="Times New Roman" w:cs="Times New Roman"/>
          <w:bCs/>
          <w:sz w:val="32"/>
          <w:szCs w:val="32"/>
        </w:rPr>
        <w:t>统一归口管理县委机构编制委员会办公室。承担县委党建领导小组、县人才工作领导小组日常工作。完成县委交办的其他任务。</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lang w:eastAsia="zh-CN"/>
        </w:rPr>
        <w:t>（二）202</w:t>
      </w:r>
      <w:r>
        <w:rPr>
          <w:rFonts w:hint="default" w:ascii="Times New Roman" w:hAnsi="Times New Roman" w:eastAsia="楷体_GB2312" w:cs="Times New Roman"/>
          <w:b/>
          <w:bCs w:val="0"/>
          <w:sz w:val="32"/>
          <w:szCs w:val="32"/>
          <w:lang w:val="en-US" w:eastAsia="zh-CN"/>
        </w:rPr>
        <w:t>6</w:t>
      </w:r>
      <w:r>
        <w:rPr>
          <w:rFonts w:hint="default" w:ascii="Times New Roman" w:hAnsi="Times New Roman" w:eastAsia="楷体_GB2312" w:cs="Times New Roman"/>
          <w:b/>
          <w:bCs w:val="0"/>
          <w:sz w:val="32"/>
          <w:szCs w:val="32"/>
          <w:lang w:eastAsia="zh-CN"/>
        </w:rPr>
        <w:t>年重点工作任务</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lang w:eastAsia="zh-CN"/>
        </w:rPr>
      </w:pPr>
      <w:r>
        <w:rPr>
          <w:rFonts w:hint="default" w:ascii="Times New Roman" w:hAnsi="Times New Roman" w:cs="Times New Roman"/>
          <w:bCs/>
          <w:sz w:val="32"/>
          <w:szCs w:val="32"/>
          <w:lang w:val="en-US" w:eastAsia="zh-CN"/>
        </w:rPr>
        <w:t>1.</w:t>
      </w:r>
      <w:r>
        <w:rPr>
          <w:rFonts w:hint="default" w:ascii="Times New Roman" w:hAnsi="Times New Roman" w:cs="Times New Roman"/>
          <w:bCs/>
          <w:sz w:val="32"/>
          <w:szCs w:val="32"/>
          <w:lang w:eastAsia="zh-CN"/>
        </w:rPr>
        <w:t>以党建引领夯实现代化发展基础。一是做好中省扶持村集体经济项目实施和红色美丽村庄项目验收，计划实施中省财政扶持发展村级集体经济项目5个，与县科农局联动，共同实施、督促、完成；常态化集中整顿提升软弱涣散村党组织，动态摸排、研究；抓实党员发展工作，切实提高农村党群比。在村“两委”换届结束后，及时开展新任村党组织书记及其他村“两委”干部教育培训，提高履职能力。二是持续做好机关党建工作，加强机关党支部换届指导，推动机关党建品牌创建。三是加强驻村工作队的监督和管理，做好驻村干部调换和驻村范围调整和考核工作，严格落实工作保障，加大关心关怀力度，实行常态督促问效。四是深入巩固“进村进户”群众工作全覆盖，严格落实“县级领导联乡包村、县级部门联村、机关干部联户”工作机制，进一步加强机关党组织与联系村（社区）党组织结对帮扶，推动党员干部在服务基层、引领基层治理中发挥作用。</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lang w:eastAsia="zh-CN"/>
        </w:rPr>
      </w:pPr>
      <w:r>
        <w:rPr>
          <w:rFonts w:hint="default" w:ascii="Times New Roman" w:hAnsi="Times New Roman" w:cs="Times New Roman"/>
          <w:bCs/>
          <w:sz w:val="32"/>
          <w:szCs w:val="32"/>
          <w:lang w:val="en-US" w:eastAsia="zh-CN"/>
        </w:rPr>
        <w:t>2.</w:t>
      </w:r>
      <w:r>
        <w:rPr>
          <w:rFonts w:hint="default" w:ascii="Times New Roman" w:hAnsi="Times New Roman" w:cs="Times New Roman"/>
          <w:bCs/>
          <w:sz w:val="32"/>
          <w:szCs w:val="32"/>
          <w:lang w:eastAsia="zh-CN"/>
        </w:rPr>
        <w:t>用聚才育才引才推动高质量发展。一是着眼聚才工程，提升人才总量，加大急需紧缺专业公务员、基层选调生、事业人员等招录招聘力度，事业单位人员招聘常年常态揽才，争取招录基层选调生10名。二是加大高层次人才引进力度，扎实开展“阿坝英才”、“硕博进阿坝”引才行动，结合聘任制公务员、急需紧缺选调生工作，大力引进重点产业、重点项目、关键技术等紧缺急需的高层次人才，做到“引才”与“引智”紧密结合，力争至少引进高层次紧缺人才1名。三是发挥好援助干部人才作用，突出党建引领帮扶工作共同体，选派优秀年轻干部到帮扶地挂职锻炼、跟岗学习，增涨见识、增强本领；充分发挥援助干部“传帮带”作用，接续推进师徒结对、学科帮扶，力争培养20名本土业务骨干，逐步形成帮扶内外联动新格局。</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lang w:eastAsia="zh-CN"/>
        </w:rPr>
      </w:pPr>
      <w:r>
        <w:rPr>
          <w:rFonts w:hint="default" w:ascii="Times New Roman" w:hAnsi="Times New Roman" w:cs="Times New Roman"/>
          <w:bCs/>
          <w:sz w:val="32"/>
          <w:szCs w:val="32"/>
          <w:lang w:val="en-US" w:eastAsia="zh-CN"/>
        </w:rPr>
        <w:t>3.</w:t>
      </w:r>
      <w:r>
        <w:rPr>
          <w:rFonts w:hint="default" w:ascii="Times New Roman" w:hAnsi="Times New Roman" w:cs="Times New Roman"/>
          <w:bCs/>
          <w:sz w:val="32"/>
          <w:szCs w:val="32"/>
          <w:lang w:eastAsia="zh-CN"/>
        </w:rPr>
        <w:t>用培强育优方式打造综合型干部。一是抓好二十届四中全会主题培训，把学习贯彻二十届四中全会、省委州委十二届七次精神作为干部教育培训的必修课，纳入全年教学计划，在县处级、乡科级主体班次中全覆盖开展培训教育。二是分层分类开展培训，将全年干部培训按“基础班次”、“特色班次”、“技能班次”三个板块划分，以县级领导干部、乡科级领导干部、村（社区）干部、年轻干部、帮扶干部“五类对象”为重点，采取集中培训、座谈交流、网络培训、专题讲座等方式，分层次、多类别推进全县干部教育培训工作。三是持续加强干部政治忠诚教育和党性教育，持续强化干部履职能力培训和实践锻炼，着力打造叫响“3507”干部教育特色品牌，加快打造分层次、多形式、精准化、有特色的高质量教育培训体系，着力打造一批素质高、能力强、作风硬的干部人才队伍。</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lang w:eastAsia="zh-CN"/>
        </w:rPr>
      </w:pPr>
      <w:r>
        <w:rPr>
          <w:rFonts w:hint="default" w:ascii="Times New Roman" w:hAnsi="Times New Roman" w:cs="Times New Roman"/>
          <w:bCs/>
          <w:sz w:val="32"/>
          <w:szCs w:val="32"/>
          <w:lang w:val="en-US" w:eastAsia="zh-CN"/>
        </w:rPr>
        <w:t>4.</w:t>
      </w:r>
      <w:r>
        <w:rPr>
          <w:rFonts w:hint="default" w:ascii="Times New Roman" w:hAnsi="Times New Roman" w:cs="Times New Roman"/>
          <w:bCs/>
          <w:sz w:val="32"/>
          <w:szCs w:val="32"/>
          <w:lang w:eastAsia="zh-CN"/>
        </w:rPr>
        <w:t>以选贤用能导向构建科学化结构。一是以深入贯彻《红原县推进公务员职务职级能上能下实施细则》为抓手，坚决打破干部任用“铁饭碗”，树立重实干、重实绩的鲜明导向；通过畅通“下”的渠道，保障“上”的质量，全面激发干部队伍活力，为全县事业发展夯实组织根基。二是着眼下一次县乡换届，根据《红原县贯彻落实&lt;关于年轻干部红色薪火工程的意见&gt;的实施方案》《阿坝州贯彻落实全国党政领导班子建设规划纲要的实施意见》，实施集中换届干部储备工程，着眼稳县兴县事业发展需要与领导班子功能、结构等要求，提前谋划2026年换届工作班子调配、干部选配、专业搭配的对策措施。三是加强年轻干部培养选拔工作，着力搭建结构合理的梯次化科级领导班子结构，通过挂职、兼职、下派、上挂等方式，加大年轻干部、女干部、少数民族干部、党外干部和专业化干部的培养储备，多措并举丰富干部工作经历。</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lang w:eastAsia="zh-CN"/>
        </w:rPr>
      </w:pPr>
      <w:r>
        <w:rPr>
          <w:rFonts w:hint="default" w:ascii="Times New Roman" w:hAnsi="Times New Roman" w:cs="Times New Roman"/>
          <w:bCs/>
          <w:sz w:val="32"/>
          <w:szCs w:val="32"/>
          <w:lang w:val="en-US" w:eastAsia="zh-CN"/>
        </w:rPr>
        <w:t>5.</w:t>
      </w:r>
      <w:r>
        <w:rPr>
          <w:rFonts w:hint="default" w:ascii="Times New Roman" w:hAnsi="Times New Roman" w:cs="Times New Roman"/>
          <w:bCs/>
          <w:sz w:val="32"/>
          <w:szCs w:val="32"/>
          <w:lang w:eastAsia="zh-CN"/>
        </w:rPr>
        <w:t>用关心关爱激发公务员队伍活力。一是全面落实职务职级并行制度，结合各单位推荐、干部日常表现、年度考核等情况，严格按照《红原县公务员职级晋升实施方案》客观公正晋升职级。二是持续推进工资福利落实，严格公务员工资福利和津贴补贴发放，严把公务员工资发放、正常晋级晋档、高海拔折算工龄补贴调整等业务审核关，开展遗属困难补助调标，确保公务员工资福利待遇及时兑现，向乡镇倾斜落实到位。三是常态推进“团聚工程”“顺向流动”，对全县干部职工工作年限、夫妻分居等情况进行梳理，动态更新分居5年以上干部家庭动态信息库，每年集中力量解决一批干部团聚需求。</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bCs/>
          <w:sz w:val="32"/>
          <w:szCs w:val="32"/>
        </w:rPr>
      </w:pPr>
      <w:r>
        <w:rPr>
          <w:rFonts w:hint="default" w:ascii="Times New Roman" w:hAnsi="Times New Roman" w:cs="Times New Roman"/>
          <w:bCs/>
          <w:sz w:val="32"/>
          <w:szCs w:val="32"/>
          <w:lang w:val="en-US" w:eastAsia="zh-CN"/>
        </w:rPr>
        <w:t>6.</w:t>
      </w:r>
      <w:r>
        <w:rPr>
          <w:rFonts w:hint="default" w:ascii="Times New Roman" w:hAnsi="Times New Roman" w:cs="Times New Roman"/>
          <w:bCs/>
          <w:sz w:val="32"/>
          <w:szCs w:val="32"/>
          <w:lang w:eastAsia="zh-CN"/>
        </w:rPr>
        <w:t>将爱老护幼融入中心发展大局。一是聚焦核心思想，实施“五大惠老工程”，把理论学习和思想政治教育摆在突出位置，推动重大决策部署在老干部工作及广大离退休干部中见行见效；强化离退休干部党组织建设和党员教育管理，持续探索更加务实有效的党组织设置形式。二是提升服务能力，优化离退休干部管理，围绕实际问题聚焦重点难点，拿出针对性举措，全面落实离退休干部政治待遇和生活待遇，提升新时代服务管理工作水平；推进离退休干部活动阵地标准化建设，完善运行机制，多样化开展文化体育项目。三是依托“五老”资源，系统深化关工委工作，深入贯彻党中央关于关心下一代工作的重要指示，扎实推进红色基因传承工程，建强“五老”宣讲队伍；选树“五老”先进典型，弘扬“五老”崇高精神，教育引导青少年继承发扬孝老敬贤传统美德，切实增强“五老”群体的归属感、荣誉感和满足感。</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w:t>
      </w:r>
      <w:r>
        <w:rPr>
          <w:rFonts w:hint="default" w:ascii="Times New Roman" w:hAnsi="Times New Roman" w:eastAsia="黑体" w:cs="Times New Roman"/>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default" w:ascii="Times New Roman" w:hAnsi="Times New Roman" w:cs="Times New Roman"/>
          <w:sz w:val="32"/>
          <w:szCs w:val="32"/>
        </w:rPr>
      </w:pPr>
      <w:r>
        <w:rPr>
          <w:rFonts w:hint="default" w:ascii="Times New Roman" w:hAnsi="Times New Roman" w:cs="Times New Roman"/>
          <w:sz w:val="32"/>
          <w:szCs w:val="32"/>
        </w:rPr>
        <w:t>县委组织部下设单位5个，其中参照公务员法管理的事业单位2个，其他事业单位3个。分别是：党员教育中心、玉堂干休所、信息中心、关心下一代中心、老干部活动中心。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年县委组织部</w:t>
      </w:r>
      <w:r>
        <w:rPr>
          <w:rFonts w:hint="default" w:ascii="Times New Roman" w:hAnsi="Times New Roman" w:eastAsia="仿宋_GB2312" w:cs="Times New Roman"/>
          <w:sz w:val="32"/>
          <w:szCs w:val="32"/>
        </w:rPr>
        <w:t>收入预算总额为1201.68万元，其中：当年财政拨款收入1201.68万元。相应安排支出预算1201.68万元，其中：一般公共服务987.99万元，社会保障和就业109.89万元，卫生健康支出42.45万元，住房保障支出61.35万元。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县委组织部</w:t>
      </w:r>
      <w:r>
        <w:rPr>
          <w:rFonts w:hint="default" w:ascii="Times New Roman" w:hAnsi="Times New Roman" w:eastAsia="仿宋_GB2312" w:cs="Times New Roman"/>
          <w:sz w:val="32"/>
          <w:szCs w:val="32"/>
        </w:rPr>
        <w:t>预算安排支出主要用于保障该部门机构正常运转、完成日常工作任务以及承担</w:t>
      </w:r>
      <w:r>
        <w:rPr>
          <w:rFonts w:hint="default" w:ascii="Times New Roman" w:hAnsi="Times New Roman" w:eastAsia="仿宋_GB2312" w:cs="Times New Roman"/>
          <w:sz w:val="32"/>
          <w:szCs w:val="32"/>
          <w:lang w:val="en-US" w:eastAsia="zh-CN"/>
        </w:rPr>
        <w:t>全县组织工作事业发展相关工作</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基本支出828.01</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其中人员经费支出</w:t>
      </w:r>
      <w:r>
        <w:rPr>
          <w:rFonts w:hint="default" w:ascii="Times New Roman" w:hAnsi="Times New Roman" w:eastAsia="仿宋_GB2312" w:cs="Times New Roman"/>
          <w:sz w:val="32"/>
          <w:szCs w:val="32"/>
        </w:rPr>
        <w:t>750.09</w:t>
      </w:r>
      <w:r>
        <w:rPr>
          <w:rFonts w:hint="default" w:ascii="Times New Roman" w:hAnsi="Times New Roman" w:eastAsia="仿宋_GB2312" w:cs="Times New Roman"/>
          <w:sz w:val="32"/>
          <w:szCs w:val="32"/>
          <w:lang w:val="en-US" w:eastAsia="zh-CN"/>
        </w:rPr>
        <w:t>万元，机关运行经费</w:t>
      </w:r>
      <w:r>
        <w:rPr>
          <w:rFonts w:hint="default" w:ascii="Times New Roman" w:hAnsi="Times New Roman" w:eastAsia="仿宋_GB2312" w:cs="Times New Roman"/>
          <w:sz w:val="32"/>
          <w:szCs w:val="32"/>
        </w:rPr>
        <w:t>77.92</w:t>
      </w:r>
      <w:r>
        <w:rPr>
          <w:rFonts w:hint="default" w:ascii="Times New Roman" w:hAnsi="Times New Roman" w:eastAsia="仿宋_GB2312" w:cs="Times New Roman"/>
          <w:sz w:val="32"/>
          <w:szCs w:val="32"/>
          <w:lang w:val="en-US" w:eastAsia="zh-CN"/>
        </w:rPr>
        <w:t>万元，其中：办公费</w:t>
      </w:r>
      <w:r>
        <w:rPr>
          <w:rFonts w:hint="default" w:ascii="Times New Roman" w:hAnsi="Times New Roman" w:eastAsia="仿宋_GB2312" w:cs="Times New Roman"/>
          <w:sz w:val="32"/>
          <w:szCs w:val="32"/>
          <w:lang w:val="en-US" w:eastAsia="zh-CN"/>
        </w:rPr>
        <w:t>14.58</w:t>
      </w:r>
      <w:r>
        <w:rPr>
          <w:rFonts w:hint="default" w:ascii="Times New Roman" w:hAnsi="Times New Roman" w:eastAsia="仿宋_GB2312" w:cs="Times New Roman"/>
          <w:sz w:val="32"/>
          <w:szCs w:val="32"/>
          <w:lang w:val="en-US" w:eastAsia="zh-CN"/>
        </w:rPr>
        <w:t>万元，印刷费2万元，手续费0.2万元，</w:t>
      </w:r>
      <w:r>
        <w:rPr>
          <w:rFonts w:hint="default" w:ascii="Times New Roman" w:hAnsi="Times New Roman" w:eastAsia="仿宋_GB2312" w:cs="Times New Roman"/>
          <w:sz w:val="32"/>
          <w:szCs w:val="32"/>
          <w:lang w:val="en-US" w:eastAsia="zh-CN"/>
        </w:rPr>
        <w:t>水</w:t>
      </w:r>
      <w:r>
        <w:rPr>
          <w:rFonts w:hint="default" w:ascii="Times New Roman" w:hAnsi="Times New Roman" w:eastAsia="仿宋_GB2312" w:cs="Times New Roman"/>
          <w:sz w:val="32"/>
          <w:szCs w:val="32"/>
          <w:lang w:val="en-US" w:eastAsia="zh-CN"/>
        </w:rPr>
        <w:t>费0.2万元，邮电费0.15万元，差旅费</w:t>
      </w:r>
      <w:r>
        <w:rPr>
          <w:rFonts w:hint="default" w:ascii="Times New Roman" w:hAnsi="Times New Roman" w:eastAsia="仿宋_GB2312" w:cs="Times New Roman"/>
          <w:sz w:val="32"/>
          <w:szCs w:val="32"/>
          <w:lang w:val="en-US" w:eastAsia="zh-CN"/>
        </w:rPr>
        <w:t>16.97</w:t>
      </w:r>
      <w:r>
        <w:rPr>
          <w:rFonts w:hint="default" w:ascii="Times New Roman" w:hAnsi="Times New Roman" w:eastAsia="仿宋_GB2312" w:cs="Times New Roman"/>
          <w:sz w:val="32"/>
          <w:szCs w:val="32"/>
          <w:lang w:val="en-US" w:eastAsia="zh-CN"/>
        </w:rPr>
        <w:t>万元，会议费0.2万元，公务接待费0.3万元，工会经费</w:t>
      </w:r>
      <w:r>
        <w:rPr>
          <w:rFonts w:hint="default" w:ascii="Times New Roman" w:hAnsi="Times New Roman" w:eastAsia="仿宋_GB2312" w:cs="Times New Roman"/>
          <w:sz w:val="32"/>
          <w:szCs w:val="32"/>
          <w:lang w:val="en-US" w:eastAsia="zh-CN"/>
        </w:rPr>
        <w:t>5.49</w:t>
      </w:r>
      <w:r>
        <w:rPr>
          <w:rFonts w:hint="default" w:ascii="Times New Roman" w:hAnsi="Times New Roman" w:eastAsia="仿宋_GB2312" w:cs="Times New Roman"/>
          <w:sz w:val="32"/>
          <w:szCs w:val="32"/>
          <w:lang w:val="en-US" w:eastAsia="zh-CN"/>
        </w:rPr>
        <w:t>万元，公务用车运行维护费</w:t>
      </w:r>
      <w:r>
        <w:rPr>
          <w:rFonts w:hint="default" w:ascii="Times New Roman" w:hAnsi="Times New Roman" w:eastAsia="仿宋_GB2312" w:cs="Times New Roman"/>
          <w:sz w:val="32"/>
          <w:szCs w:val="32"/>
          <w:lang w:val="en-US" w:eastAsia="zh-CN"/>
        </w:rPr>
        <w:t>17.1</w:t>
      </w:r>
      <w:r>
        <w:rPr>
          <w:rFonts w:hint="default" w:ascii="Times New Roman" w:hAnsi="Times New Roman" w:eastAsia="仿宋_GB2312" w:cs="Times New Roman"/>
          <w:sz w:val="32"/>
          <w:szCs w:val="32"/>
          <w:lang w:val="en-US" w:eastAsia="zh-CN"/>
        </w:rPr>
        <w:t>万元，其他商品和服务支出</w:t>
      </w:r>
      <w:r>
        <w:rPr>
          <w:rFonts w:hint="default" w:ascii="Times New Roman" w:hAnsi="Times New Roman" w:eastAsia="仿宋_GB2312" w:cs="Times New Roman"/>
          <w:sz w:val="32"/>
          <w:szCs w:val="32"/>
          <w:lang w:val="en-US" w:eastAsia="zh-CN"/>
        </w:rPr>
        <w:t>20.76</w:t>
      </w:r>
      <w:r>
        <w:rPr>
          <w:rFonts w:hint="default" w:ascii="Times New Roman" w:hAnsi="Times New Roman" w:eastAsia="仿宋_GB2312" w:cs="Times New Roman"/>
          <w:sz w:val="32"/>
          <w:szCs w:val="32"/>
          <w:lang w:val="en-US" w:eastAsia="zh-CN"/>
        </w:rPr>
        <w:t>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（一）一般公共服务</w:t>
      </w:r>
      <w:r>
        <w:rPr>
          <w:rFonts w:hint="default" w:ascii="Times New Roman" w:hAnsi="Times New Roman" w:eastAsia="仿宋_GB2312" w:cs="Times New Roman"/>
          <w:sz w:val="32"/>
          <w:szCs w:val="32"/>
          <w:lang w:val="en-US" w:eastAsia="zh-CN"/>
        </w:rPr>
        <w:t>987.99</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（二）社会保障和就业</w:t>
      </w:r>
      <w:r>
        <w:rPr>
          <w:rFonts w:hint="default" w:ascii="Times New Roman" w:hAnsi="Times New Roman" w:eastAsia="仿宋_GB2312" w:cs="Times New Roman"/>
          <w:sz w:val="32"/>
          <w:szCs w:val="32"/>
          <w:lang w:val="en-US" w:eastAsia="zh-CN"/>
        </w:rPr>
        <w:t>109.89</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，主要用于机关及下属事业单位</w:t>
      </w:r>
      <w:r>
        <w:rPr>
          <w:rFonts w:hint="default" w:ascii="Times New Roman" w:hAnsi="Times New Roman" w:eastAsia="仿宋_GB2312" w:cs="Times New Roman"/>
          <w:sz w:val="32"/>
          <w:szCs w:val="32"/>
          <w:lang w:eastAsia="zh-CN"/>
        </w:rPr>
        <w:t>养老保险及职业年金缴费</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（三）卫生健康</w:t>
      </w:r>
      <w:r>
        <w:rPr>
          <w:rFonts w:hint="default" w:ascii="Times New Roman" w:hAnsi="Times New Roman" w:eastAsia="仿宋_GB2312" w:cs="Times New Roman"/>
          <w:sz w:val="32"/>
          <w:szCs w:val="32"/>
          <w:lang w:val="en-US" w:eastAsia="zh-CN"/>
        </w:rPr>
        <w:t>42.45</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（四）住房保障支出</w:t>
      </w:r>
      <w:r>
        <w:rPr>
          <w:rFonts w:hint="default" w:ascii="Times New Roman" w:hAnsi="Times New Roman" w:eastAsia="仿宋_GB2312" w:cs="Times New Roman"/>
          <w:sz w:val="32"/>
          <w:szCs w:val="32"/>
          <w:lang w:val="en-US" w:eastAsia="zh-CN"/>
        </w:rPr>
        <w:t>61.35</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本年度预算拨款收入</w:t>
      </w:r>
      <w:r>
        <w:rPr>
          <w:rFonts w:hint="default" w:ascii="Times New Roman" w:hAnsi="Times New Roman" w:eastAsia="仿宋_GB2312" w:cs="Times New Roman"/>
          <w:sz w:val="32"/>
          <w:szCs w:val="32"/>
        </w:rPr>
        <w:t>1201.68</w:t>
      </w:r>
      <w:r>
        <w:rPr>
          <w:rFonts w:hint="default" w:ascii="Times New Roman" w:hAnsi="Times New Roman" w:eastAsia="仿宋_GB2312" w:cs="Times New Roman"/>
          <w:sz w:val="32"/>
          <w:szCs w:val="32"/>
          <w:lang w:val="en-US" w:eastAsia="zh-CN"/>
        </w:rPr>
        <w:t>万元较上年度预算</w:t>
      </w:r>
      <w:r>
        <w:rPr>
          <w:rFonts w:hint="default" w:ascii="Times New Roman" w:hAnsi="Times New Roman" w:eastAsia="仿宋_GB2312" w:cs="Times New Roman"/>
          <w:sz w:val="32"/>
          <w:szCs w:val="32"/>
        </w:rPr>
        <w:t>1062.09</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en-US" w:eastAsia="zh-CN"/>
        </w:rPr>
        <w:t>11.62</w:t>
      </w:r>
      <w:r>
        <w:rPr>
          <w:rFonts w:hint="default" w:ascii="Times New Roman" w:hAnsi="Times New Roman" w:eastAsia="仿宋_GB2312" w:cs="Times New Roman"/>
          <w:sz w:val="32"/>
          <w:szCs w:val="32"/>
          <w:lang w:val="en-US" w:eastAsia="zh-CN"/>
        </w:rPr>
        <w:t>%，其中基本行政运行经费预算500.53万元，占全部总预算的</w:t>
      </w:r>
      <w:r>
        <w:rPr>
          <w:rFonts w:hint="default" w:ascii="Times New Roman" w:hAnsi="Times New Roman" w:eastAsia="仿宋_GB2312" w:cs="Times New Roman"/>
          <w:sz w:val="32"/>
          <w:szCs w:val="32"/>
          <w:lang w:val="en-US" w:eastAsia="zh-CN"/>
        </w:rPr>
        <w:t>47.13</w:t>
      </w:r>
      <w:r>
        <w:rPr>
          <w:rFonts w:hint="default" w:ascii="Times New Roman" w:hAnsi="Times New Roman" w:eastAsia="仿宋_GB2312" w:cs="Times New Roman"/>
          <w:sz w:val="32"/>
          <w:szCs w:val="32"/>
          <w:lang w:val="en-US" w:eastAsia="zh-CN"/>
        </w:rPr>
        <w:t>%，较上年471.55万元</w:t>
      </w:r>
      <w:r>
        <w:rPr>
          <w:rFonts w:hint="default" w:ascii="Times New Roman" w:hAnsi="Times New Roman"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en-US" w:eastAsia="zh-CN"/>
        </w:rPr>
        <w:t>5.79</w:t>
      </w:r>
      <w:r>
        <w:rPr>
          <w:rFonts w:hint="default" w:ascii="Times New Roman" w:hAnsi="Times New Roman" w:eastAsia="仿宋_GB2312" w:cs="Times New Roman"/>
          <w:sz w:val="32"/>
          <w:szCs w:val="32"/>
          <w:lang w:val="en-US" w:eastAsia="zh-CN"/>
        </w:rPr>
        <w:t>%，原因为</w:t>
      </w:r>
      <w:r>
        <w:rPr>
          <w:rFonts w:hint="default" w:ascii="Times New Roman" w:hAnsi="Times New Roman" w:eastAsia="仿宋_GB2312" w:cs="Times New Roman"/>
          <w:sz w:val="32"/>
          <w:szCs w:val="32"/>
          <w:lang w:val="en-US" w:eastAsia="zh-CN"/>
        </w:rPr>
        <w:t>人员增加，基本支出增加</w:t>
      </w:r>
      <w:r>
        <w:rPr>
          <w:rFonts w:hint="default" w:ascii="Times New Roman" w:hAnsi="Times New Roman" w:eastAsia="仿宋_GB2312" w:cs="Times New Roman"/>
          <w:sz w:val="32"/>
          <w:szCs w:val="32"/>
          <w:lang w:val="en-US" w:eastAsia="zh-CN"/>
        </w:rPr>
        <w:t>；专项业务工作经费预算</w:t>
      </w:r>
      <w:r>
        <w:rPr>
          <w:rFonts w:hint="default" w:ascii="Times New Roman" w:hAnsi="Times New Roman" w:eastAsia="仿宋_GB2312" w:cs="Times New Roman"/>
          <w:sz w:val="32"/>
          <w:szCs w:val="32"/>
        </w:rPr>
        <w:t>373.67</w:t>
      </w:r>
      <w:r>
        <w:rPr>
          <w:rFonts w:hint="default" w:ascii="Times New Roman" w:hAnsi="Times New Roman" w:eastAsia="仿宋_GB2312" w:cs="Times New Roman"/>
          <w:sz w:val="32"/>
          <w:szCs w:val="32"/>
          <w:lang w:val="en-US" w:eastAsia="zh-CN"/>
        </w:rPr>
        <w:t>万元，占总预算的</w:t>
      </w:r>
      <w:r>
        <w:rPr>
          <w:rFonts w:hint="default" w:ascii="Times New Roman" w:hAnsi="Times New Roman" w:eastAsia="仿宋_GB2312" w:cs="Times New Roman"/>
          <w:sz w:val="32"/>
          <w:szCs w:val="32"/>
          <w:lang w:val="en-US" w:eastAsia="zh-CN"/>
        </w:rPr>
        <w:t>31.10</w:t>
      </w:r>
      <w:r>
        <w:rPr>
          <w:rFonts w:hint="default" w:ascii="Times New Roman" w:hAnsi="Times New Roman" w:eastAsia="仿宋_GB2312" w:cs="Times New Roman"/>
          <w:sz w:val="32"/>
          <w:szCs w:val="32"/>
          <w:lang w:val="en-US" w:eastAsia="zh-CN"/>
        </w:rPr>
        <w:t>%，较上年预算</w:t>
      </w:r>
      <w:r>
        <w:rPr>
          <w:rFonts w:hint="default" w:ascii="Times New Roman" w:hAnsi="Times New Roman" w:eastAsia="仿宋_GB2312" w:cs="Times New Roman"/>
          <w:sz w:val="32"/>
          <w:szCs w:val="32"/>
        </w:rPr>
        <w:t>307.02</w:t>
      </w:r>
      <w:r>
        <w:rPr>
          <w:rFonts w:hint="default" w:ascii="Times New Roman" w:hAnsi="Times New Roman" w:eastAsia="仿宋_GB2312" w:cs="Times New Roman"/>
          <w:sz w:val="32"/>
          <w:szCs w:val="32"/>
          <w:lang w:val="en-US" w:eastAsia="zh-CN"/>
        </w:rPr>
        <w:t>万元减少了</w:t>
      </w:r>
      <w:r>
        <w:rPr>
          <w:rFonts w:hint="default" w:ascii="Times New Roman" w:hAnsi="Times New Roman" w:eastAsia="仿宋_GB2312" w:cs="Times New Roman"/>
          <w:sz w:val="32"/>
          <w:szCs w:val="32"/>
          <w:lang w:val="en-US" w:eastAsia="zh-CN"/>
        </w:rPr>
        <w:t>17.84</w:t>
      </w:r>
      <w:r>
        <w:rPr>
          <w:rFonts w:hint="default" w:ascii="Times New Roman" w:hAnsi="Times New Roman" w:eastAsia="仿宋_GB2312" w:cs="Times New Roman"/>
          <w:sz w:val="32"/>
          <w:szCs w:val="32"/>
          <w:lang w:val="en-US" w:eastAsia="zh-CN"/>
        </w:rPr>
        <w:t>%，主要原因为项目</w:t>
      </w:r>
      <w:r>
        <w:rPr>
          <w:rFonts w:hint="default" w:ascii="Times New Roman" w:hAnsi="Times New Roman" w:eastAsia="仿宋_GB2312" w:cs="Times New Roman"/>
          <w:sz w:val="32"/>
          <w:szCs w:val="32"/>
          <w:lang w:val="en-US" w:eastAsia="zh-CN"/>
        </w:rPr>
        <w:t>增加</w:t>
      </w:r>
      <w:r>
        <w:rPr>
          <w:rFonts w:hint="default" w:ascii="Times New Roman" w:hAnsi="Times New Roman" w:eastAsia="仿宋_GB2312" w:cs="Times New Roman"/>
          <w:sz w:val="32"/>
          <w:szCs w:val="32"/>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本年度三公经费预算安排支出为</w:t>
      </w:r>
      <w:r>
        <w:rPr>
          <w:rFonts w:hint="default" w:ascii="Times New Roman" w:hAnsi="Times New Roman" w:eastAsia="仿宋_GB2312" w:cs="Times New Roman"/>
          <w:sz w:val="32"/>
          <w:szCs w:val="32"/>
        </w:rPr>
        <w:t>30.4</w:t>
      </w:r>
      <w:r>
        <w:rPr>
          <w:rFonts w:hint="default" w:ascii="Times New Roman" w:hAnsi="Times New Roman" w:eastAsia="仿宋_GB2312" w:cs="Times New Roman"/>
          <w:sz w:val="32"/>
          <w:szCs w:val="32"/>
          <w:lang w:val="en-US" w:eastAsia="zh-CN"/>
        </w:rPr>
        <w:t>万元，其中：出国费0万元，与上年持平，主要原因为未安排因公出国；公车购置费0元，与上年持平；公务用车维护费支出</w:t>
      </w:r>
      <w:r>
        <w:rPr>
          <w:rFonts w:hint="default" w:ascii="Times New Roman" w:hAnsi="Times New Roman" w:eastAsia="仿宋_GB2312" w:cs="Times New Roman"/>
          <w:sz w:val="32"/>
          <w:szCs w:val="32"/>
        </w:rPr>
        <w:t>30.1</w:t>
      </w:r>
      <w:r>
        <w:rPr>
          <w:rFonts w:hint="default" w:ascii="Times New Roman" w:hAnsi="Times New Roman" w:eastAsia="仿宋_GB2312" w:cs="Times New Roman"/>
          <w:sz w:val="32"/>
          <w:szCs w:val="32"/>
          <w:lang w:val="en-US" w:eastAsia="zh-CN"/>
        </w:rPr>
        <w:t>万元，较上年度预算</w:t>
      </w:r>
      <w:r>
        <w:rPr>
          <w:rFonts w:hint="default" w:ascii="Times New Roman" w:hAnsi="Times New Roman" w:eastAsia="仿宋_GB2312" w:cs="Times New Roman"/>
          <w:sz w:val="32"/>
          <w:szCs w:val="32"/>
          <w:lang w:val="en-US" w:eastAsia="zh-CN"/>
        </w:rPr>
        <w:t>减少1.5</w:t>
      </w:r>
      <w:r>
        <w:rPr>
          <w:rFonts w:hint="default" w:ascii="Times New Roman" w:hAnsi="Times New Roman" w:eastAsia="仿宋_GB2312" w:cs="Times New Roman"/>
          <w:sz w:val="32"/>
          <w:szCs w:val="32"/>
          <w:lang w:val="en-US" w:eastAsia="zh-CN"/>
        </w:rPr>
        <w:t>万元，主要是安排的考察工作用车较多；公务接待费0</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万元，较上年度预算</w:t>
      </w:r>
      <w:r>
        <w:rPr>
          <w:rFonts w:hint="default" w:ascii="Times New Roman" w:hAnsi="Times New Roman" w:eastAsia="仿宋_GB2312" w:cs="Times New Roman"/>
          <w:sz w:val="32"/>
          <w:szCs w:val="32"/>
          <w:lang w:val="en-US" w:eastAsia="zh-CN"/>
        </w:rPr>
        <w:t>增加0.3</w:t>
      </w:r>
      <w:r>
        <w:rPr>
          <w:rFonts w:hint="default" w:ascii="Times New Roman" w:hAnsi="Times New Roman" w:eastAsia="仿宋_GB2312" w:cs="Times New Roman"/>
          <w:sz w:val="32"/>
          <w:szCs w:val="32"/>
          <w:lang w:val="en-US" w:eastAsia="zh-CN"/>
        </w:rPr>
        <w:t>万元，主要原因为本年度工作需要。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年无使用政府性基金预算拨款安排的支出</w:t>
      </w:r>
      <w:r>
        <w:rPr>
          <w:rFonts w:hint="default" w:ascii="Times New Roman" w:hAnsi="Times New Roman" w:eastAsia="仿宋_GB2312" w:cs="Times New Roman"/>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黑体" w:cs="Times New Roman"/>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default" w:ascii="Times New Roman" w:hAnsi="Times New Roman" w:eastAsia="黑体" w:cs="Times New Roman"/>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（一）政府采购预算情况</w:t>
      </w:r>
      <w:r>
        <w:rPr>
          <w:rFonts w:hint="default" w:ascii="Times New Roman" w:hAnsi="Times New Roman" w:eastAsia="黑体" w:cs="Times New Roman"/>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年度未安排政府采购预算。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default" w:ascii="Times New Roman" w:hAnsi="Times New Roman" w:cs="Times New Roman"/>
        </w:rPr>
      </w:pPr>
      <w:r>
        <w:rPr>
          <w:rFonts w:hint="default" w:ascii="Times New Roman" w:hAnsi="Times New Roman" w:eastAsia="楷体_GB2312" w:cs="Times New Roman"/>
          <w:b/>
          <w:bCs/>
          <w:color w:val="333333"/>
          <w:kern w:val="0"/>
          <w:sz w:val="32"/>
          <w:szCs w:val="32"/>
          <w:shd w:val="clear" w:color="auto" w:fill="FFFFFF"/>
          <w:lang w:val="en-US" w:eastAsia="zh-CN" w:bidi="ar"/>
        </w:rPr>
        <w:t>（二）政府财政国有资产占用情况</w:t>
      </w:r>
      <w:r>
        <w:rPr>
          <w:rFonts w:hint="default" w:ascii="Times New Roman" w:hAnsi="Times New Roman" w:eastAsia="微软雅黑" w:cs="Times New Roman"/>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截止202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年底，实际共有固定资产价值</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144.78</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万元：其中：公务用车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90.20</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default" w:ascii="Times New Roman" w:hAnsi="Times New Roman" w:eastAsia="楷体_GB2312" w:cs="Times New Roman"/>
          <w:b/>
          <w:bCs/>
          <w:color w:val="333333"/>
          <w:kern w:val="0"/>
          <w:sz w:val="32"/>
          <w:szCs w:val="32"/>
          <w:shd w:val="clear" w:color="auto" w:fill="FFFFFF"/>
          <w:lang w:val="en-US" w:eastAsia="zh-CN" w:bidi="ar"/>
        </w:rPr>
      </w:pPr>
      <w:r>
        <w:rPr>
          <w:rFonts w:hint="default" w:ascii="Times New Roman" w:hAnsi="Times New Roman" w:eastAsia="楷体_GB2312" w:cs="Times New Roman"/>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绩效目标是预算编制的前提和基础，按照“费随事定”的原则，202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年我单位项目支出按要求编制了绩效目标，从项目完成、项目效益、满意度。</w:t>
      </w:r>
    </w:p>
    <w:p>
      <w:pPr>
        <w:keepNext w:val="0"/>
        <w:keepLines w:val="0"/>
        <w:pageBreakBefore w:val="0"/>
        <w:numPr>
          <w:ilvl w:val="0"/>
          <w:numId w:val="2"/>
        </w:numPr>
        <w:kinsoku/>
        <w:wordWrap/>
        <w:overflowPunct/>
        <w:topLinePunct w:val="0"/>
        <w:autoSpaceDE/>
        <w:autoSpaceDN/>
        <w:bidi w:val="0"/>
        <w:spacing w:line="560" w:lineRule="exact"/>
        <w:ind w:left="638" w:leftChars="304" w:right="0" w:rightChars="0" w:firstLine="0" w:firstLine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color w:val="333333"/>
          <w:kern w:val="0"/>
          <w:sz w:val="32"/>
          <w:szCs w:val="32"/>
          <w:shd w:val="clear" w:color="auto" w:fill="FFFFFF"/>
          <w:lang w:val="en-US" w:eastAsia="zh-CN" w:bidi="ar"/>
        </w:rPr>
        <w:t>名词解释</w:t>
      </w:r>
    </w:p>
    <w:p>
      <w:pPr>
        <w:keepNext w:val="0"/>
        <w:keepLines w:val="0"/>
        <w:pageBreakBefore w:val="0"/>
        <w:numPr>
          <w:numId w:val="0"/>
        </w:numPr>
        <w:kinsoku/>
        <w:wordWrap/>
        <w:overflowPunct/>
        <w:topLinePunct w:val="0"/>
        <w:autoSpaceDE/>
        <w:autoSpaceDN/>
        <w:bidi w:val="0"/>
        <w:spacing w:line="560" w:lineRule="exact"/>
        <w:ind w:leftChars="304" w:right="0" w:righ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1.财政拨款收入：</w:t>
      </w:r>
      <w:r>
        <w:rPr>
          <w:rFonts w:hint="default" w:ascii="Times New Roman" w:hAnsi="Times New Roman" w:eastAsia="仿宋_GB2312" w:cs="Times New Roman"/>
          <w:spacing w:val="-11"/>
          <w:sz w:val="32"/>
          <w:szCs w:val="32"/>
          <w:lang w:val="en-US" w:eastAsia="zh-CN"/>
        </w:rPr>
        <w:t>指财政部门核拨给单位的财政</w:t>
      </w:r>
      <w:bookmarkStart w:id="0" w:name="_GoBack"/>
      <w:r>
        <w:rPr>
          <w:rFonts w:hint="default" w:ascii="Times New Roman" w:hAnsi="Times New Roman" w:eastAsia="仿宋_GB2312" w:cs="Times New Roman"/>
          <w:spacing w:val="-11"/>
          <w:sz w:val="32"/>
          <w:szCs w:val="32"/>
          <w:lang w:val="en-US" w:eastAsia="zh-CN"/>
        </w:rPr>
        <w:t>预</w:t>
      </w:r>
      <w:bookmarkEnd w:id="0"/>
      <w:r>
        <w:rPr>
          <w:rFonts w:hint="default" w:ascii="Times New Roman" w:hAnsi="Times New Roman" w:eastAsia="仿宋_GB2312" w:cs="Times New Roman"/>
          <w:spacing w:val="-11"/>
          <w:sz w:val="32"/>
          <w:szCs w:val="32"/>
          <w:lang w:val="en-US" w:eastAsia="zh-CN"/>
        </w:rPr>
        <w:t>算资金。</w:t>
      </w:r>
    </w:p>
    <w:p>
      <w:pPr>
        <w:keepNext w:val="0"/>
        <w:keepLines w:val="0"/>
        <w:pageBreakBefore w:val="0"/>
        <w:numPr>
          <w:numId w:val="0"/>
        </w:numPr>
        <w:kinsoku/>
        <w:wordWrap/>
        <w:overflowPunct/>
        <w:topLinePunct w:val="0"/>
        <w:autoSpaceDE/>
        <w:autoSpaceDN/>
        <w:bidi w:val="0"/>
        <w:spacing w:line="560" w:lineRule="exact"/>
        <w:ind w:leftChars="304" w:right="0" w:righ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3.基本支出：指为保障单位机关正常运转、完成日常工作任务而发生的人员支出和公用支出。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4.项目支出：指在基本支出之外为完成特定行政任务和事业发展目标所发生的支出。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表13.部门项目支出绩效目标表（202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年度）</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abstractNum w:abstractNumId="1">
    <w:nsid w:val="7EDE902D"/>
    <w:multiLevelType w:val="singleLevel"/>
    <w:tmpl w:val="7EDE902D"/>
    <w:lvl w:ilvl="0" w:tentative="0">
      <w:start w:val="10"/>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9C1402F"/>
    <w:rsid w:val="1ABFB78B"/>
    <w:rsid w:val="3FCFE190"/>
    <w:rsid w:val="5F78432A"/>
    <w:rsid w:val="657FE7BD"/>
    <w:rsid w:val="6ACD42BB"/>
    <w:rsid w:val="7BBF5F28"/>
    <w:rsid w:val="CEF76EA7"/>
    <w:rsid w:val="CF779F55"/>
    <w:rsid w:val="D6DD673E"/>
    <w:rsid w:val="FDD4E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2025-05-27T21:07:00Z</dcterms:created>
  <dc:creator>投资股-李仕昂</dc:creator>
  <cp:lastModifiedBy>user</cp:lastModifiedBy>
  <dcterms:modified xsi:type="dcterms:W3CDTF">2026-02-06T14:36:53Z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2052-11.8.2.1115</vt:lpwstr>
  </property>
  <property fmtid="{D5CDD505-2E9C-101B-9397-08002B2CF9AE}" pid="3" name="ICV">
    <vt:lpwstr>6781CAEE841A61FF3F703E68B7DD3787</vt:lpwstr>
  </property>
</Properties>
</file>