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8441"/>
      <w:bookmarkStart w:id="1" w:name="_Toc15377425"/>
      <w:bookmarkStart w:id="2" w:name="_Toc15396475"/>
      <w:bookmarkStart w:id="3" w:name="_Toc15396597"/>
      <w:bookmarkStart w:id="4" w:name="_Toc15377193"/>
      <w:bookmarkStart w:id="5"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764135793"/>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96476"/>
      <w:bookmarkStart w:id="8" w:name="_Toc15396598"/>
      <w:bookmarkStart w:id="9" w:name="_Toc15378442"/>
      <w:bookmarkStart w:id="10" w:name="_Toc15377426"/>
      <w:bookmarkStart w:id="11" w:name="_Toc15377194"/>
      <w:bookmarkStart w:id="12" w:name="_Toc151919513"/>
      <w:r>
        <w:rPr>
          <w:rFonts w:hint="eastAsia" w:ascii="方正小标宋简体" w:hAnsi="方正小标宋简体" w:eastAsia="方正小标宋简体" w:cs="方正小标宋简体"/>
          <w:sz w:val="72"/>
          <w:szCs w:val="72"/>
        </w:rPr>
        <w:t>四川省</w:t>
      </w:r>
      <w:bookmarkEnd w:id="5"/>
      <w:bookmarkStart w:id="13" w:name="_Toc15306268"/>
      <w:r>
        <w:rPr>
          <w:rFonts w:hint="default" w:ascii="Times New Roman" w:hAnsi="Times New Roman" w:eastAsia="方正小标宋简体" w:cs="Times New Roman"/>
          <w:color w:val="000000"/>
          <w:spacing w:val="-17"/>
          <w:w w:val="90"/>
          <w:sz w:val="72"/>
          <w:szCs w:val="72"/>
        </w:rPr>
        <w:t>阿坝州</w:t>
      </w:r>
      <w:r>
        <w:rPr>
          <w:rFonts w:hint="eastAsia" w:eastAsia="方正小标宋简体" w:cs="Times New Roman"/>
          <w:color w:val="000000"/>
          <w:spacing w:val="-17"/>
          <w:w w:val="90"/>
          <w:sz w:val="72"/>
          <w:szCs w:val="72"/>
          <w:lang w:eastAsia="zh-CN"/>
        </w:rPr>
        <w:t>红原县委组织部</w:t>
      </w:r>
      <w:r>
        <w:rPr>
          <w:rFonts w:hint="eastAsia" w:ascii="方正小标宋简体" w:hAnsi="方正小标宋简体" w:eastAsia="方正小标宋简体" w:cs="方正小标宋简体"/>
          <w:sz w:val="72"/>
          <w:szCs w:val="72"/>
        </w:rPr>
        <w:t>部门决算</w:t>
      </w:r>
      <w:bookmarkEnd w:id="7"/>
      <w:bookmarkEnd w:id="8"/>
      <w:bookmarkEnd w:id="9"/>
      <w:bookmarkEnd w:id="10"/>
      <w:bookmarkEnd w:id="11"/>
      <w:bookmarkEnd w:id="12"/>
      <w:bookmarkEnd w:id="13"/>
    </w:p>
    <w:p>
      <w:pPr>
        <w:adjustRightInd w:val="0"/>
        <w:snapToGrid w:val="0"/>
        <w:spacing w:line="360" w:lineRule="auto"/>
        <w:jc w:val="both"/>
        <w:outlineLvl w:val="0"/>
        <w:rPr>
          <w:rFonts w:ascii="方正小标宋简体" w:hAnsi="宋体" w:eastAsia="方正小标宋简体"/>
          <w:sz w:val="52"/>
          <w:szCs w:val="52"/>
        </w:rPr>
      </w:pPr>
    </w:p>
    <w:p>
      <w:pPr>
        <w:widowControl/>
        <w:jc w:val="center"/>
        <w:rPr>
          <w:rFonts w:hint="eastAsia" w:ascii="黑体" w:hAnsi="黑体" w:eastAsia="黑体"/>
          <w:sz w:val="48"/>
          <w:szCs w:val="48"/>
        </w:rPr>
        <w:sectPr>
          <w:headerReference r:id="rId3" w:type="default"/>
          <w:footerReference r:id="rId4" w:type="default"/>
          <w:pgSz w:w="11906" w:h="16838"/>
          <w:pgMar w:top="1440" w:right="1800" w:bottom="1440" w:left="1800" w:header="851" w:footer="992" w:gutter="0"/>
          <w:pgNumType w:fmt="decimal" w:start="0"/>
          <w:cols w:space="425" w:num="1"/>
          <w:titlePg/>
          <w:docGrid w:type="lines" w:linePitch="312" w:charSpace="0"/>
        </w:sectPr>
      </w:pPr>
      <w:bookmarkStart w:id="90" w:name="_GoBack"/>
      <w:bookmarkEnd w:id="90"/>
    </w:p>
    <w:p>
      <w:pPr>
        <w:widowControl/>
        <w:jc w:val="center"/>
        <w:rPr>
          <w:rFonts w:ascii="黑体" w:hAnsi="黑体" w:eastAsia="黑体" w:cstheme="minorBidi"/>
          <w:sz w:val="28"/>
          <w:szCs w:val="28"/>
        </w:rPr>
      </w:pPr>
      <w:r>
        <w:rPr>
          <w:rFonts w:hint="eastAsia" w:ascii="黑体" w:hAnsi="黑体" w:eastAsia="黑体"/>
          <w:sz w:val="48"/>
          <w:szCs w:val="48"/>
        </w:rPr>
        <w:t>目录</w:t>
      </w:r>
    </w:p>
    <w:p>
      <w:pPr>
        <w:pStyle w:val="12"/>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18</w:t>
      </w:r>
      <w:r>
        <w:rPr>
          <w:rFonts w:hint="eastAsia"/>
        </w:rPr>
        <w:t>日</w:t>
      </w:r>
    </w:p>
    <w:p>
      <w:pPr>
        <w:pStyle w:val="12"/>
        <w:tabs>
          <w:tab w:val="right" w:leader="dot" w:pos="8306"/>
          <w:tab w:val="clear" w:pos="8296"/>
        </w:tabs>
        <w:jc w:val="both"/>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TOC \o "1-2" \h \u </w:instrText>
      </w:r>
      <w:r>
        <w:rPr>
          <w:rFonts w:hint="eastAsia" w:asciiTheme="majorEastAsia" w:hAnsiTheme="majorEastAsia" w:eastAsiaTheme="majorEastAsia" w:cstheme="majorEastAsia"/>
          <w:sz w:val="28"/>
          <w:szCs w:val="28"/>
        </w:rPr>
        <w:fldChar w:fldCharType="separate"/>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_Toc210926709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xml:space="preserve">第一部分 </w:t>
      </w:r>
      <w:r>
        <w:rPr>
          <w:rFonts w:hint="eastAsia" w:asciiTheme="majorEastAsia" w:hAnsiTheme="majorEastAsia" w:eastAsiaTheme="majorEastAsia" w:cstheme="majorEastAsia"/>
          <w:bCs w:val="0"/>
          <w:sz w:val="28"/>
          <w:szCs w:val="28"/>
        </w:rPr>
        <w:t>部门概况</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_Toc210926709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_Toc762659253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一、</w:t>
      </w:r>
      <w:r>
        <w:rPr>
          <w:rFonts w:hint="eastAsia" w:asciiTheme="majorEastAsia" w:hAnsiTheme="majorEastAsia" w:eastAsiaTheme="majorEastAsia" w:cstheme="majorEastAsia"/>
          <w:sz w:val="28"/>
          <w:szCs w:val="28"/>
        </w:rPr>
        <w:t>部门职责</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_Toc762659253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_Toc486748000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二、机</w:t>
      </w:r>
      <w:r>
        <w:rPr>
          <w:rFonts w:hint="eastAsia" w:asciiTheme="majorEastAsia" w:hAnsiTheme="majorEastAsia" w:eastAsiaTheme="majorEastAsia" w:cstheme="majorEastAsia"/>
          <w:bCs w:val="0"/>
          <w:sz w:val="28"/>
          <w:szCs w:val="28"/>
        </w:rPr>
        <w:t>构设置</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_Toc486748000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_Toc1381247978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第二部分 202</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年度</w:t>
      </w:r>
      <w:r>
        <w:rPr>
          <w:rFonts w:hint="eastAsia" w:asciiTheme="majorEastAsia" w:hAnsiTheme="majorEastAsia" w:eastAsiaTheme="majorEastAsia" w:cstheme="majorEastAsia"/>
          <w:bCs/>
          <w:sz w:val="28"/>
          <w:szCs w:val="28"/>
        </w:rPr>
        <w:t>部门决算情况说明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_Toc1381247978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_Toc1423218737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一、收入支出决算总体情况说明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_Toc1423218737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_Toc1574215202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二、收入决算情况说明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_Toc1574215202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_Toc1380246377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三、支出决算情况说明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_Toc1380246377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_Toc1926554315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四、财政拨款收入支出决算总体情况说明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_Toc1926554315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_Toc680083794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五、一般公共预算财政拨款支出决算情况说明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_Toc680083794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_Toc1613673538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六、一般公共预算财政拨款基本支出决算情况说明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_Toc1613673538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10</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_Toc1766857997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七、财政拨款“三公”经费支出决算情况说明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_Toc1766857997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_Toc1115397144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八、政府性基金预算支出决算情况说明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_Toc1115397144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_Toc2016130714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九、国有资本经营预算支出决算情况说明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_Toc2016130714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_Toc1676348698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十、其他重要事项的情况说明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_Toc1676348698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_Toc1729432161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第三部分 名词解释</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_Toc1729432161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_Toc1835773856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第四部分 附件</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_Toc1835773856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2"/>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_Toc418423464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第五部分 附表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_Toc418423464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_Toc1019227049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一、收入支出决算总表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_Toc1019227049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_Toc590319739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二、收入决算表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_Toc590319739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_Toc1742765991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三、支出决算表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_Toc1742765991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_Toc10493415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四、财政拨款收入支出决算总表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_Toc10493415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_Toc939409753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五、财政拨款支出决算明细表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_Toc939409753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_Toc1104060416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六、一般公共预算财政拨款支出决算表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_Toc1104060416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_Toc1486250271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七、一般公共预算财政拨款支出决算明细表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_Toc1486250271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_Toc1849363544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八、一般公共预算财政拨款基本支出决算表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_Toc1849363544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_Toc720712562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九、一般公共预算财政拨款项目支出决算表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_Toc720712562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_Toc1638169784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十、政府性基金预算财政拨款收入支出决算表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_Toc1638169784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_Toc2060290253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十一、国有资本经营预算财政拨款收入支出决算表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_Toc2060290253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_Toc1483371815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十二、国有资本经营预算财政拨款支出决算表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_Toc1483371815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13"/>
        <w:tabs>
          <w:tab w:val="right" w:leader="dot" w:pos="8306"/>
          <w:tab w:val="clear" w:pos="829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_Toc2124917785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eastAsia="zh-CN"/>
        </w:rPr>
        <w:t>十三、财政拨款“三公”经费支出决算表</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_Toc2124917785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widowControl/>
        <w:adjustRightInd w:val="0"/>
        <w:snapToGrid w:val="0"/>
        <w:spacing w:line="440" w:lineRule="exact"/>
        <w:ind w:firstLine="1540" w:firstLineChars="550"/>
        <w:jc w:val="left"/>
        <w:rPr>
          <w:rFonts w:ascii="仿宋" w:hAnsi="仿宋" w:eastAsia="仿宋"/>
          <w:sz w:val="24"/>
        </w:rPr>
      </w:pPr>
      <w:r>
        <w:rPr>
          <w:rFonts w:hint="eastAsia" w:asciiTheme="majorEastAsia" w:hAnsiTheme="majorEastAsia" w:eastAsiaTheme="majorEastAsia" w:cstheme="majorEastAsia"/>
          <w:sz w:val="28"/>
          <w:szCs w:val="28"/>
        </w:rPr>
        <w:fldChar w:fldCharType="end"/>
      </w:r>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bookmarkStart w:id="14" w:name="_Toc15396599"/>
      <w:bookmarkStart w:id="15" w:name="_Toc15377196"/>
    </w:p>
    <w:p>
      <w:pPr>
        <w:pStyle w:val="4"/>
        <w:keepNext/>
        <w:keepLines/>
        <w:pageBreakBefore w:val="0"/>
        <w:widowControl w:val="0"/>
        <w:kinsoku/>
        <w:wordWrap/>
        <w:overflowPunct/>
        <w:topLinePunct w:val="0"/>
        <w:autoSpaceDE/>
        <w:autoSpaceDN/>
        <w:bidi w:val="0"/>
        <w:adjustRightInd/>
        <w:snapToGrid/>
        <w:spacing w:line="579" w:lineRule="auto"/>
        <w:jc w:val="center"/>
        <w:textAlignment w:val="auto"/>
        <w:rPr>
          <w:rStyle w:val="27"/>
          <w:rFonts w:ascii="黑体" w:hAnsi="黑体" w:eastAsia="黑体"/>
          <w:b/>
          <w:bCs w:val="0"/>
        </w:rPr>
      </w:pPr>
      <w:bookmarkStart w:id="16" w:name="_Toc210926709"/>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jc w:val="left"/>
        <w:rPr>
          <w:rFonts w:ascii="黑体" w:eastAsia="黑体"/>
          <w:sz w:val="32"/>
          <w:szCs w:val="32"/>
        </w:rPr>
      </w:pPr>
    </w:p>
    <w:p>
      <w:pPr>
        <w:pStyle w:val="5"/>
        <w:rPr>
          <w:rFonts w:hint="eastAsia" w:ascii="黑体" w:eastAsia="黑体"/>
          <w:b w:val="0"/>
        </w:rPr>
      </w:pPr>
      <w:bookmarkStart w:id="17" w:name="_Toc762659253"/>
      <w:r>
        <w:rPr>
          <w:rFonts w:hint="eastAsia" w:ascii="黑体" w:eastAsia="黑体"/>
          <w:b w:val="0"/>
          <w:lang w:eastAsia="zh-CN"/>
        </w:rPr>
        <w:t>一、</w:t>
      </w:r>
      <w:r>
        <w:rPr>
          <w:rFonts w:hint="eastAsia" w:ascii="黑体" w:eastAsia="黑体"/>
          <w:b w:val="0"/>
        </w:rPr>
        <w:t>部门职责</w:t>
      </w:r>
      <w:bookmarkEnd w:id="17"/>
    </w:p>
    <w:p>
      <w:pPr>
        <w:pStyle w:val="7"/>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贯彻新时代党的建设总要求和党的组织路线，落实县委相关决策部署。</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1.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2.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3.负责管理全县公务员工作。承担管理公务员录用、调配、考核、奖惩、培训、监督、工资福利等工作，指导公务员队伍建设和绩效管理。</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4.负责全县人才队伍建设宏观指导、政策落实、综合协调和督促检查；牵头推进人才发展体制机制改革，统筹实施重大人才工程和人才表彰奖励。</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5.负责组织、指导全县干部教育培训工作的宏观指导、政策规划、组织协调和督促检查，负责县委重点培训项目的策划、实施和管理，指导全县干部教育培训基地建设管理、师资队伍建设等工作。</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6.负责全县干部监督工作的宏观指导和综合协调，制定和落实干部监督工作制度，组织开展对选人用人工作情况的监督检查，受理和办理有关问题举报，组织实施领导干部报告个人有关事项及抽查核实工作。</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7.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8.负责制定全县直属机关党的建设工作规划，指导县直机关党组织搞好党的思想建设、组织建设、作风建设和制度建设，并做好协调、管理、教育、监督工作。指导县属机关党组织搞好发展党员、民主评议党员、党员干部民主生活会的评议工作。</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9.统一归口管理县委机构编制委员会办公室。</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Fonts w:hint="default" w:ascii="Times New Roman" w:hAnsi="Times New Roman" w:eastAsia="仿宋" w:cs="Times New Roman"/>
          <w:kern w:val="0"/>
          <w:sz w:val="32"/>
          <w:szCs w:val="32"/>
          <w:lang w:val="en-US" w:eastAsia="zh-CN" w:bidi="ar-SA"/>
        </w:rPr>
      </w:pPr>
      <w:r>
        <w:rPr>
          <w:rFonts w:hint="default" w:ascii="Times New Roman" w:hAnsi="Times New Roman" w:eastAsia="仿宋" w:cs="Times New Roman"/>
          <w:kern w:val="0"/>
          <w:sz w:val="32"/>
          <w:szCs w:val="32"/>
          <w:lang w:val="en-US" w:eastAsia="zh-CN" w:bidi="ar-SA"/>
        </w:rPr>
        <w:t>10.承担县委党建领导小组、县人才工作领导小组日常工作。</w:t>
      </w:r>
    </w:p>
    <w:p>
      <w:pPr>
        <w:keepNext w:val="0"/>
        <w:keepLines w:val="0"/>
        <w:pageBreakBefore w:val="0"/>
        <w:widowControl w:val="0"/>
        <w:kinsoku/>
        <w:wordWrap/>
        <w:overflowPunct/>
        <w:topLinePunct w:val="0"/>
        <w:autoSpaceDE/>
        <w:autoSpaceDN/>
        <w:bidi w:val="0"/>
        <w:adjustRightInd/>
        <w:snapToGrid/>
        <w:spacing w:beforeLines="30"/>
        <w:ind w:firstLine="640" w:firstLineChars="200"/>
        <w:jc w:val="both"/>
        <w:textAlignment w:val="auto"/>
        <w:rPr>
          <w:rStyle w:val="28"/>
          <w:rFonts w:ascii="仿宋" w:hAnsi="仿宋" w:eastAsia="黑体"/>
          <w:b w:val="0"/>
          <w:bCs w:val="0"/>
        </w:rPr>
      </w:pPr>
      <w:r>
        <w:rPr>
          <w:rFonts w:hint="default" w:ascii="Times New Roman" w:hAnsi="Times New Roman" w:eastAsia="仿宋" w:cs="Times New Roman"/>
          <w:kern w:val="0"/>
          <w:sz w:val="32"/>
          <w:szCs w:val="32"/>
          <w:lang w:val="en-US" w:eastAsia="zh-CN" w:bidi="ar-SA"/>
        </w:rPr>
        <w:t>11.完成县委交办的其他任务。</w:t>
      </w:r>
    </w:p>
    <w:p>
      <w:pPr>
        <w:pStyle w:val="5"/>
        <w:rPr>
          <w:rStyle w:val="28"/>
          <w:b w:val="0"/>
          <w:bCs w:val="0"/>
        </w:rPr>
      </w:pPr>
      <w:bookmarkStart w:id="18" w:name="_Toc15396601"/>
      <w:bookmarkStart w:id="19" w:name="_Toc15377200"/>
      <w:bookmarkStart w:id="20" w:name="_Toc486748000"/>
      <w:r>
        <w:rPr>
          <w:rFonts w:hint="eastAsia" w:ascii="黑体" w:eastAsia="黑体"/>
          <w:b w:val="0"/>
        </w:rPr>
        <w:t>二、</w:t>
      </w:r>
      <w:r>
        <w:rPr>
          <w:rFonts w:hint="eastAsia" w:ascii="黑体" w:hAnsi="黑体" w:eastAsia="黑体"/>
          <w:b w:val="0"/>
        </w:rPr>
        <w:t>机</w:t>
      </w:r>
      <w:r>
        <w:rPr>
          <w:rStyle w:val="28"/>
          <w:rFonts w:hint="eastAsia" w:ascii="黑体" w:hAnsi="黑体" w:eastAsia="黑体"/>
          <w:b w:val="0"/>
          <w:bCs w:val="0"/>
        </w:rPr>
        <w:t>构设置</w:t>
      </w:r>
      <w:bookmarkEnd w:id="18"/>
      <w:bookmarkEnd w:id="19"/>
      <w:bookmarkEnd w:id="20"/>
    </w:p>
    <w:p>
      <w:pPr>
        <w:ind w:firstLine="800" w:firstLineChars="250"/>
        <w:rPr>
          <w:rFonts w:ascii="仿宋" w:hAnsi="仿宋" w:eastAsia="仿宋"/>
          <w:sz w:val="32"/>
          <w:szCs w:val="32"/>
        </w:rPr>
      </w:pPr>
      <w:r>
        <w:rPr>
          <w:sz w:val="32"/>
          <w:szCs w:val="32"/>
        </w:rPr>
        <w:t>红原县组织部</w:t>
      </w:r>
      <w:r>
        <w:rPr>
          <w:rFonts w:hint="eastAsia" w:ascii="仿宋" w:hAnsi="仿宋" w:eastAsia="仿宋"/>
          <w:sz w:val="32"/>
          <w:szCs w:val="32"/>
        </w:rPr>
        <w:t>下属二级预算单位</w:t>
      </w:r>
      <w:r>
        <w:rPr>
          <w:sz w:val="32"/>
          <w:szCs w:val="32"/>
        </w:rPr>
        <w:t>2</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7"/>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ascii="Times New Roman" w:eastAsia="宋体"/>
          <w:kern w:val="2"/>
          <w:sz w:val="32"/>
          <w:szCs w:val="32"/>
        </w:rPr>
        <w:t>红原县组织部</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年度部门决算编制范围的二级预算单位包括：</w:t>
      </w:r>
    </w:p>
    <w:p>
      <w:pPr>
        <w:pStyle w:val="7"/>
        <w:keepNext w:val="0"/>
        <w:keepLines w:val="0"/>
        <w:pageBreakBefore w:val="0"/>
        <w:widowControl w:val="0"/>
        <w:numPr>
          <w:ilvl w:val="0"/>
          <w:numId w:val="1"/>
        </w:numPr>
        <w:kinsoku/>
        <w:wordWrap/>
        <w:overflowPunct/>
        <w:topLinePunct w:val="0"/>
        <w:autoSpaceDE/>
        <w:autoSpaceDN/>
        <w:bidi w:val="0"/>
        <w:adjustRightInd w:val="0"/>
        <w:snapToGrid w:val="0"/>
        <w:spacing w:before="93" w:line="600" w:lineRule="exact"/>
        <w:ind w:left="1157" w:hanging="482"/>
        <w:textAlignment w:val="auto"/>
        <w:outlineLvl w:val="9"/>
        <w:rPr>
          <w:rFonts w:hint="default" w:ascii="Times New Roman" w:hAnsi="Times New Roman" w:eastAsia="仿宋" w:cs="Times New Roman"/>
          <w:sz w:val="32"/>
          <w:szCs w:val="32"/>
        </w:rPr>
      </w:pPr>
      <w:bookmarkStart w:id="21" w:name="_Toc15377434"/>
      <w:bookmarkStart w:id="22" w:name="_Toc15378450"/>
      <w:bookmarkStart w:id="23" w:name="_Toc15306277"/>
      <w:bookmarkStart w:id="24" w:name="_Toc15377203"/>
      <w:r>
        <w:rPr>
          <w:rFonts w:hint="default" w:ascii="Times New Roman" w:hAnsi="Times New Roman" w:eastAsia="仿宋" w:cs="Times New Roman"/>
          <w:sz w:val="32"/>
          <w:szCs w:val="32"/>
        </w:rPr>
        <w:t>中共阿坝州</w:t>
      </w:r>
      <w:r>
        <w:rPr>
          <w:rFonts w:hint="eastAsia" w:ascii="Times New Roman" w:eastAsia="仿宋" w:cs="Times New Roman"/>
          <w:sz w:val="32"/>
          <w:szCs w:val="32"/>
          <w:lang w:eastAsia="zh-CN"/>
        </w:rPr>
        <w:t>红原县委组织部</w:t>
      </w:r>
    </w:p>
    <w:p>
      <w:pPr>
        <w:pStyle w:val="7"/>
        <w:numPr>
          <w:ilvl w:val="0"/>
          <w:numId w:val="1"/>
        </w:numPr>
        <w:adjustRightInd w:val="0"/>
        <w:snapToGrid w:val="0"/>
        <w:spacing w:before="93" w:line="600" w:lineRule="exact"/>
        <w:outlineLvl w:val="2"/>
        <w:rPr>
          <w:rFonts w:ascii="仿宋" w:hAnsi="仿宋" w:eastAsia="仿宋"/>
          <w:sz w:val="32"/>
          <w:szCs w:val="32"/>
        </w:rPr>
      </w:pPr>
      <w:r>
        <w:rPr>
          <w:rFonts w:hint="default" w:ascii="Times New Roman" w:hAnsi="Times New Roman" w:eastAsia="仿宋" w:cs="Times New Roman"/>
          <w:sz w:val="32"/>
          <w:szCs w:val="32"/>
        </w:rPr>
        <w:t>中共阿坝州</w:t>
      </w:r>
      <w:r>
        <w:rPr>
          <w:rFonts w:hint="eastAsia" w:ascii="Times New Roman" w:eastAsia="仿宋" w:cs="Times New Roman"/>
          <w:sz w:val="32"/>
          <w:szCs w:val="32"/>
          <w:lang w:eastAsia="zh-CN"/>
        </w:rPr>
        <w:t>红原县委组织部</w:t>
      </w:r>
      <w:r>
        <w:rPr>
          <w:rFonts w:hint="default" w:ascii="Times New Roman" w:hAnsi="Times New Roman" w:eastAsia="仿宋" w:cs="Times New Roman"/>
          <w:sz w:val="32"/>
          <w:szCs w:val="32"/>
        </w:rPr>
        <w:t>老干部活动中心</w:t>
      </w:r>
      <w:bookmarkEnd w:id="21"/>
      <w:bookmarkEnd w:id="22"/>
      <w:bookmarkEnd w:id="23"/>
      <w:bookmarkEnd w:id="24"/>
    </w:p>
    <w:p>
      <w:pPr>
        <w:widowControl/>
        <w:jc w:val="left"/>
        <w:rPr>
          <w:rFonts w:ascii="仿宋" w:hAnsi="仿宋" w:eastAsia="仿宋"/>
          <w:kern w:val="0"/>
          <w:sz w:val="32"/>
          <w:szCs w:val="32"/>
        </w:rPr>
      </w:pPr>
      <w:r>
        <w:rPr>
          <w:rFonts w:ascii="仿宋" w:hAnsi="仿宋" w:eastAsia="仿宋"/>
          <w:sz w:val="32"/>
          <w:szCs w:val="32"/>
        </w:rPr>
        <w:br w:type="page"/>
      </w:r>
    </w:p>
    <w:p>
      <w:pPr>
        <w:pStyle w:val="4"/>
        <w:keepNext/>
        <w:keepLines/>
        <w:pageBreakBefore w:val="0"/>
        <w:widowControl w:val="0"/>
        <w:kinsoku/>
        <w:wordWrap/>
        <w:overflowPunct/>
        <w:topLinePunct w:val="0"/>
        <w:autoSpaceDE/>
        <w:autoSpaceDN/>
        <w:bidi w:val="0"/>
        <w:adjustRightInd/>
        <w:snapToGrid/>
        <w:spacing w:line="579" w:lineRule="auto"/>
        <w:ind w:right="442"/>
        <w:jc w:val="center"/>
        <w:textAlignment w:val="auto"/>
        <w:rPr>
          <w:rStyle w:val="27"/>
          <w:rFonts w:ascii="黑体" w:hAnsi="黑体" w:eastAsia="黑体"/>
          <w:b w:val="0"/>
          <w:bCs/>
        </w:rPr>
      </w:pPr>
      <w:bookmarkStart w:id="25" w:name="_Toc15377204"/>
      <w:bookmarkStart w:id="26" w:name="_Toc15396602"/>
      <w:bookmarkStart w:id="27" w:name="_Toc1381247978"/>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7"/>
          <w:rFonts w:hint="eastAsia" w:ascii="黑体" w:hAnsi="黑体" w:eastAsia="黑体"/>
          <w:b w:val="0"/>
          <w:bCs/>
        </w:rPr>
        <w:t>部门决算情况说明</w:t>
      </w:r>
      <w:bookmarkEnd w:id="25"/>
      <w:bookmarkEnd w:id="26"/>
      <w:bookmarkEnd w:id="27"/>
    </w:p>
    <w:p/>
    <w:p>
      <w:pPr>
        <w:pStyle w:val="5"/>
        <w:rPr>
          <w:rFonts w:hint="eastAsia" w:ascii="黑体" w:eastAsia="黑体"/>
          <w:b w:val="0"/>
          <w:lang w:eastAsia="zh-CN"/>
        </w:rPr>
      </w:pPr>
      <w:bookmarkStart w:id="28" w:name="_Toc15396603"/>
      <w:bookmarkStart w:id="29" w:name="_Toc15377205"/>
      <w:bookmarkStart w:id="30" w:name="_Toc1423218737"/>
      <w:r>
        <w:rPr>
          <w:rFonts w:hint="eastAsia" w:ascii="黑体" w:eastAsia="黑体"/>
          <w:b w:val="0"/>
          <w:lang w:eastAsia="zh-CN"/>
        </w:rPr>
        <w:t>一、收入支出决算总体情况说明</w:t>
      </w:r>
      <w:bookmarkEnd w:id="28"/>
      <w:bookmarkEnd w:id="29"/>
      <w:bookmarkEnd w:id="30"/>
    </w:p>
    <w:p>
      <w:pPr>
        <w:spacing w:line="600" w:lineRule="exact"/>
        <w:ind w:firstLine="640" w:firstLineChars="200"/>
        <w:jc w:val="left"/>
        <w:rPr>
          <w:rFonts w:hint="eastAsia" w:eastAsia="仿宋"/>
          <w:lang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eastAsia="仿宋"/>
          <w:sz w:val="32"/>
          <w:szCs w:val="32"/>
          <w:lang w:val="en-US" w:eastAsia="zh-CN"/>
        </w:rPr>
        <w:t>2131.85</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w:t>
      </w:r>
      <w:r>
        <w:rPr>
          <w:rFonts w:hint="eastAsia" w:ascii="仿宋" w:hAnsi="仿宋" w:eastAsia="仿宋"/>
          <w:sz w:val="32"/>
          <w:szCs w:val="32"/>
          <w:lang w:eastAsia="zh-CN"/>
        </w:rPr>
        <w:t>202</w:t>
      </w:r>
      <w:r>
        <w:rPr>
          <w:rFonts w:hint="eastAsia" w:ascii="仿宋" w:hAnsi="仿宋" w:eastAsia="仿宋"/>
          <w:sz w:val="32"/>
          <w:szCs w:val="32"/>
          <w:lang w:val="en-US" w:eastAsia="zh-CN"/>
        </w:rPr>
        <w:t>3</w:t>
      </w:r>
      <w:r>
        <w:rPr>
          <w:rFonts w:hint="eastAsia" w:ascii="仿宋" w:hAnsi="仿宋" w:eastAsia="仿宋"/>
          <w:sz w:val="32"/>
          <w:szCs w:val="32"/>
        </w:rPr>
        <w:t>年度相比，收、支总计各增加</w:t>
      </w:r>
      <w:r>
        <w:rPr>
          <w:rFonts w:hint="eastAsia" w:ascii="仿宋" w:hAnsi="仿宋" w:eastAsia="仿宋"/>
          <w:sz w:val="32"/>
          <w:szCs w:val="32"/>
          <w:lang w:val="en-US" w:eastAsia="zh-CN"/>
        </w:rPr>
        <w:t>480.19</w:t>
      </w:r>
      <w:r>
        <w:rPr>
          <w:rFonts w:hint="eastAsia" w:ascii="仿宋" w:hAnsi="仿宋" w:eastAsia="仿宋"/>
          <w:sz w:val="32"/>
          <w:szCs w:val="32"/>
        </w:rPr>
        <w:t>万元，增长</w:t>
      </w:r>
      <w:r>
        <w:rPr>
          <w:rFonts w:hint="eastAsia" w:ascii="仿宋" w:hAnsi="仿宋" w:eastAsia="仿宋"/>
          <w:sz w:val="32"/>
          <w:szCs w:val="32"/>
          <w:lang w:val="en-US" w:eastAsia="zh-CN"/>
        </w:rPr>
        <w:t>29.07</w:t>
      </w:r>
      <w:r>
        <w:rPr>
          <w:rFonts w:ascii="仿宋" w:hAnsi="仿宋" w:eastAsia="仿宋"/>
          <w:sz w:val="32"/>
          <w:szCs w:val="32"/>
        </w:rPr>
        <w:t>%</w:t>
      </w:r>
      <w:r>
        <w:rPr>
          <w:rFonts w:hint="eastAsia" w:ascii="仿宋" w:hAnsi="仿宋" w:eastAsia="仿宋"/>
          <w:sz w:val="32"/>
          <w:szCs w:val="32"/>
        </w:rPr>
        <w:t>。主要变动原因是</w:t>
      </w:r>
      <w:r>
        <w:rPr>
          <w:rFonts w:hint="default" w:ascii="Times New Roman" w:hAnsi="Times New Roman" w:eastAsia="仿宋" w:cs="Times New Roman"/>
          <w:sz w:val="32"/>
          <w:szCs w:val="32"/>
        </w:rPr>
        <w:t>人员增加和项目经费支出增加</w:t>
      </w:r>
      <w:r>
        <w:rPr>
          <w:rFonts w:hint="eastAsia" w:ascii="仿宋" w:hAnsi="仿宋" w:eastAsia="仿宋"/>
          <w:sz w:val="32"/>
          <w:szCs w:val="32"/>
        </w:rPr>
        <w:t>。</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5"/>
        <w:rPr>
          <w:rFonts w:hint="eastAsia" w:ascii="黑体" w:eastAsia="黑体"/>
          <w:b w:val="0"/>
          <w:lang w:eastAsia="zh-CN"/>
        </w:rPr>
      </w:pPr>
      <w:bookmarkStart w:id="31" w:name="_Toc15377206"/>
      <w:bookmarkStart w:id="32" w:name="_Toc15396604"/>
      <w:bookmarkStart w:id="33" w:name="_Toc1574215202"/>
      <w:r>
        <w:rPr>
          <w:rFonts w:hint="eastAsia" w:ascii="黑体" w:eastAsia="黑体"/>
          <w:b w:val="0"/>
          <w:lang w:eastAsia="zh-CN"/>
        </w:rPr>
        <w:t>二、收入决算情况说明</w:t>
      </w:r>
      <w:bookmarkEnd w:id="31"/>
      <w:bookmarkEnd w:id="32"/>
      <w:bookmarkEnd w:id="33"/>
    </w:p>
    <w:p>
      <w:pPr>
        <w:spacing w:line="600" w:lineRule="exact"/>
        <w:ind w:firstLine="640" w:firstLineChars="200"/>
        <w:jc w:val="left"/>
        <w:outlineLvl w:val="1"/>
        <w:rPr>
          <w:rFonts w:ascii="仿宋" w:hAnsi="仿宋" w:eastAsia="仿宋"/>
          <w:sz w:val="32"/>
          <w:szCs w:val="32"/>
        </w:rPr>
      </w:pPr>
      <w:bookmarkStart w:id="34" w:name="_Toc1827515114"/>
      <w:r>
        <w:rPr>
          <w:rFonts w:hint="eastAsia" w:ascii="仿宋" w:hAnsi="仿宋" w:eastAsia="仿宋"/>
          <w:sz w:val="32"/>
          <w:szCs w:val="32"/>
          <w:lang w:eastAsia="zh-CN"/>
        </w:rPr>
        <w:t>2024</w:t>
      </w:r>
      <w:r>
        <w:rPr>
          <w:rFonts w:hint="eastAsia" w:ascii="仿宋" w:hAnsi="仿宋" w:eastAsia="仿宋"/>
          <w:sz w:val="32"/>
          <w:szCs w:val="32"/>
        </w:rPr>
        <w:t>年度本年收入合计</w:t>
      </w:r>
      <w:r>
        <w:rPr>
          <w:rFonts w:hint="eastAsia"/>
          <w:sz w:val="32"/>
          <w:szCs w:val="32"/>
        </w:rPr>
        <w:t>2,131.85</w:t>
      </w:r>
      <w:r>
        <w:rPr>
          <w:rFonts w:hint="eastAsia" w:ascii="仿宋" w:hAnsi="仿宋" w:eastAsia="仿宋"/>
          <w:sz w:val="32"/>
          <w:szCs w:val="32"/>
        </w:rPr>
        <w:t>万元，其中：一般公共预算财政拨款收入</w:t>
      </w:r>
      <w:r>
        <w:rPr>
          <w:rFonts w:hint="eastAsia"/>
          <w:sz w:val="32"/>
          <w:szCs w:val="32"/>
        </w:rPr>
        <w:t>2,091.05</w:t>
      </w:r>
      <w:r>
        <w:rPr>
          <w:rFonts w:hint="eastAsia" w:ascii="仿宋" w:hAnsi="仿宋" w:eastAsia="仿宋"/>
          <w:sz w:val="32"/>
          <w:szCs w:val="32"/>
        </w:rPr>
        <w:t>万元，占</w:t>
      </w:r>
      <w:r>
        <w:rPr>
          <w:sz w:val="32"/>
          <w:szCs w:val="32"/>
        </w:rPr>
        <w:t>98.</w:t>
      </w:r>
      <w:r>
        <w:rPr>
          <w:rFonts w:hint="eastAsia"/>
          <w:sz w:val="32"/>
          <w:szCs w:val="32"/>
          <w:lang w:val="en-US" w:eastAsia="zh-CN"/>
        </w:rPr>
        <w:t>09</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sz w:val="32"/>
          <w:szCs w:val="32"/>
        </w:rPr>
        <w:t>40.80</w:t>
      </w:r>
      <w:r>
        <w:rPr>
          <w:rFonts w:hint="eastAsia" w:ascii="仿宋" w:hAnsi="仿宋" w:eastAsia="仿宋"/>
          <w:sz w:val="32"/>
          <w:szCs w:val="32"/>
        </w:rPr>
        <w:t>万元，占</w:t>
      </w:r>
      <w:r>
        <w:rPr>
          <w:sz w:val="32"/>
          <w:szCs w:val="32"/>
        </w:rPr>
        <w:t>1.</w:t>
      </w:r>
      <w:r>
        <w:rPr>
          <w:rFonts w:hint="eastAsia"/>
          <w:sz w:val="32"/>
          <w:szCs w:val="32"/>
          <w:lang w:val="en-US" w:eastAsia="zh-CN"/>
        </w:rPr>
        <w:t>91</w:t>
      </w:r>
      <w:r>
        <w:rPr>
          <w:rFonts w:ascii="仿宋" w:hAnsi="仿宋" w:eastAsia="仿宋"/>
          <w:sz w:val="32"/>
          <w:szCs w:val="32"/>
        </w:rPr>
        <w:t>%</w:t>
      </w:r>
      <w:r>
        <w:rPr>
          <w:rFonts w:hint="eastAsia" w:ascii="仿宋" w:hAnsi="仿宋" w:eastAsia="仿宋"/>
          <w:sz w:val="32"/>
          <w:szCs w:val="32"/>
        </w:rPr>
        <w:t>。</w:t>
      </w:r>
      <w:bookmarkEnd w:id="34"/>
    </w:p>
    <w:p>
      <w:pPr>
        <w:spacing w:line="600" w:lineRule="exact"/>
        <w:ind w:firstLine="642" w:firstLineChars="200"/>
        <w:outlineLvl w:val="1"/>
        <w:rPr>
          <w:rFonts w:hint="eastAsia" w:eastAsia="仿宋"/>
          <w:lang w:eastAsia="zh-CN"/>
        </w:rPr>
      </w:pPr>
      <w:bookmarkStart w:id="35" w:name="_Toc422609462"/>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bookmarkEnd w:id="35"/>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（图2：收入决算结构图）（饼状图）</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ascii="仿宋_GB2312" w:eastAsia="仿宋_GB2312"/>
          <w:sz w:val="32"/>
          <w:szCs w:val="32"/>
        </w:rPr>
      </w:pPr>
    </w:p>
    <w:p>
      <w:pPr>
        <w:pStyle w:val="5"/>
        <w:rPr>
          <w:rFonts w:hint="eastAsia" w:ascii="黑体" w:eastAsia="黑体"/>
          <w:b w:val="0"/>
          <w:lang w:eastAsia="zh-CN"/>
        </w:rPr>
      </w:pPr>
      <w:bookmarkStart w:id="36" w:name="_Toc15396605"/>
      <w:bookmarkStart w:id="37" w:name="_Toc15377207"/>
      <w:bookmarkStart w:id="38" w:name="_Toc1380246377"/>
      <w:r>
        <w:rPr>
          <w:rFonts w:hint="eastAsia" w:ascii="黑体" w:eastAsia="黑体"/>
          <w:b w:val="0"/>
          <w:lang w:eastAsia="zh-CN"/>
        </w:rPr>
        <w:t>三、支出决算情况说明</w:t>
      </w:r>
      <w:bookmarkEnd w:id="36"/>
      <w:bookmarkEnd w:id="37"/>
      <w:bookmarkEnd w:id="38"/>
    </w:p>
    <w:p>
      <w:pPr>
        <w:spacing w:line="600" w:lineRule="exact"/>
        <w:ind w:firstLine="640" w:firstLineChars="200"/>
        <w:outlineLvl w:val="1"/>
        <w:rPr>
          <w:rFonts w:ascii="仿宋" w:hAnsi="仿宋" w:eastAsia="仿宋"/>
          <w:sz w:val="32"/>
          <w:szCs w:val="32"/>
        </w:rPr>
      </w:pPr>
      <w:bookmarkStart w:id="39" w:name="_Toc711958708"/>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sz w:val="32"/>
          <w:szCs w:val="32"/>
        </w:rPr>
        <w:t>2,131.85</w:t>
      </w:r>
      <w:r>
        <w:rPr>
          <w:rFonts w:hint="eastAsia" w:ascii="仿宋" w:hAnsi="仿宋" w:eastAsia="仿宋"/>
          <w:sz w:val="32"/>
          <w:szCs w:val="32"/>
        </w:rPr>
        <w:t>万元，其中：基本支出</w:t>
      </w:r>
      <w:r>
        <w:rPr>
          <w:rFonts w:hint="eastAsia"/>
          <w:sz w:val="32"/>
          <w:szCs w:val="32"/>
        </w:rPr>
        <w:t>822.75</w:t>
      </w:r>
      <w:r>
        <w:rPr>
          <w:rFonts w:hint="eastAsia" w:ascii="仿宋" w:hAnsi="仿宋" w:eastAsia="仿宋"/>
          <w:sz w:val="32"/>
          <w:szCs w:val="32"/>
        </w:rPr>
        <w:t>万元，占</w:t>
      </w:r>
      <w:r>
        <w:rPr>
          <w:rFonts w:hint="eastAsia" w:eastAsia="仿宋"/>
          <w:sz w:val="32"/>
          <w:szCs w:val="32"/>
          <w:lang w:val="en-US" w:eastAsia="zh-CN"/>
        </w:rPr>
        <w:t>38.59</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1,309.10</w:t>
      </w:r>
      <w:r>
        <w:rPr>
          <w:rFonts w:hint="eastAsia" w:ascii="仿宋" w:hAnsi="仿宋" w:eastAsia="仿宋"/>
          <w:sz w:val="32"/>
          <w:szCs w:val="32"/>
        </w:rPr>
        <w:t>万元，占</w:t>
      </w:r>
      <w:r>
        <w:rPr>
          <w:rFonts w:hint="eastAsia" w:eastAsia="仿宋"/>
          <w:sz w:val="32"/>
          <w:szCs w:val="32"/>
          <w:lang w:val="en-US" w:eastAsia="zh-CN"/>
        </w:rPr>
        <w:t>61.41</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9"/>
    </w:p>
    <w:p>
      <w:pPr>
        <w:spacing w:line="600" w:lineRule="exact"/>
        <w:ind w:firstLine="642" w:firstLineChars="200"/>
        <w:outlineLvl w:val="1"/>
        <w:rPr>
          <w:rFonts w:hint="eastAsia" w:eastAsia="仿宋"/>
          <w:lang w:eastAsia="zh-CN"/>
        </w:rPr>
      </w:pPr>
      <w:bookmarkStart w:id="40" w:name="_Toc989211702"/>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bookmarkEnd w:id="40"/>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rPr>
          <w:rFonts w:ascii="仿宋_GB2312" w:eastAsia="仿宋_GB2312"/>
          <w:sz w:val="32"/>
          <w:szCs w:val="32"/>
        </w:rPr>
      </w:pPr>
    </w:p>
    <w:p>
      <w:pPr>
        <w:pStyle w:val="5"/>
        <w:rPr>
          <w:rFonts w:hint="eastAsia" w:ascii="黑体" w:eastAsia="黑体"/>
          <w:b w:val="0"/>
          <w:lang w:eastAsia="zh-CN"/>
        </w:rPr>
      </w:pPr>
      <w:bookmarkStart w:id="41" w:name="_Toc15396606"/>
      <w:bookmarkStart w:id="42" w:name="_Toc15377208"/>
      <w:bookmarkStart w:id="43" w:name="_Toc1926554315"/>
      <w:r>
        <w:rPr>
          <w:rFonts w:hint="eastAsia" w:ascii="黑体" w:eastAsia="黑体"/>
          <w:b w:val="0"/>
          <w:lang w:eastAsia="zh-CN"/>
        </w:rPr>
        <w:t>四、财政拨款收入支出决算总体情况说明</w:t>
      </w:r>
      <w:bookmarkEnd w:id="41"/>
      <w:bookmarkEnd w:id="42"/>
      <w:bookmarkEnd w:id="43"/>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年度财政拨款收、支总计均为</w:t>
      </w:r>
      <w:r>
        <w:rPr>
          <w:rFonts w:hint="eastAsia"/>
          <w:sz w:val="32"/>
          <w:szCs w:val="32"/>
        </w:rPr>
        <w:t>2,091.05</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年度相比，财政拨款收、支总计各增加</w:t>
      </w:r>
      <w:r>
        <w:rPr>
          <w:rFonts w:hint="eastAsia" w:ascii="仿宋" w:hAnsi="仿宋" w:eastAsia="仿宋"/>
          <w:sz w:val="32"/>
          <w:szCs w:val="32"/>
          <w:lang w:val="en-US" w:eastAsia="zh-CN"/>
        </w:rPr>
        <w:t>457.99</w:t>
      </w:r>
      <w:r>
        <w:rPr>
          <w:rFonts w:hint="eastAsia" w:ascii="仿宋" w:hAnsi="仿宋" w:eastAsia="仿宋"/>
          <w:sz w:val="32"/>
          <w:szCs w:val="32"/>
        </w:rPr>
        <w:t>万元，增长</w:t>
      </w:r>
      <w:r>
        <w:rPr>
          <w:rFonts w:hint="eastAsia" w:ascii="仿宋" w:hAnsi="仿宋" w:eastAsia="仿宋"/>
          <w:sz w:val="32"/>
          <w:szCs w:val="32"/>
          <w:lang w:val="en-US" w:eastAsia="zh-CN"/>
        </w:rPr>
        <w:t>28.04</w:t>
      </w:r>
      <w:r>
        <w:rPr>
          <w:rFonts w:ascii="仿宋" w:hAnsi="仿宋" w:eastAsia="仿宋"/>
          <w:sz w:val="32"/>
          <w:szCs w:val="32"/>
        </w:rPr>
        <w:t>%</w:t>
      </w:r>
      <w:r>
        <w:rPr>
          <w:rFonts w:hint="eastAsia" w:ascii="仿宋" w:hAnsi="仿宋" w:eastAsia="仿宋"/>
          <w:sz w:val="32"/>
          <w:szCs w:val="32"/>
        </w:rPr>
        <w:t>。主要变动原因是</w:t>
      </w:r>
      <w:r>
        <w:rPr>
          <w:rFonts w:hint="default" w:ascii="Times New Roman" w:hAnsi="Times New Roman" w:eastAsia="仿宋" w:cs="Times New Roman"/>
          <w:sz w:val="32"/>
          <w:szCs w:val="32"/>
        </w:rPr>
        <w:t>人员增加和项目经费支出增加</w:t>
      </w:r>
    </w:p>
    <w:p>
      <w:pPr>
        <w:spacing w:line="600" w:lineRule="exact"/>
        <w:ind w:firstLine="640"/>
        <w:rPr>
          <w:rFonts w:hint="eastAsia"/>
          <w:lang w:eastAsia="zh-CN"/>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eastAsia="zh-CN"/>
        </w:rPr>
      </w:pPr>
      <w:r>
        <w:rPr>
          <w:rFonts w:hint="eastAsia"/>
          <w:lang w:eastAsia="zh-CN"/>
        </w:rPr>
        <w:drawing>
          <wp:inline distT="0" distB="0" distL="114300" distR="114300">
            <wp:extent cx="4319905" cy="2879725"/>
            <wp:effectExtent l="4445" t="4445" r="19050" b="1143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（图4：财政拨款收、支决算总计变动情况）（柱状图）</w:t>
      </w:r>
    </w:p>
    <w:p>
      <w:pPr>
        <w:spacing w:line="600" w:lineRule="exact"/>
        <w:ind w:firstLine="640"/>
        <w:rPr>
          <w:rFonts w:ascii="仿宋" w:hAnsi="仿宋" w:eastAsia="仿宋"/>
          <w:b/>
          <w:sz w:val="32"/>
          <w:szCs w:val="32"/>
        </w:rPr>
      </w:pPr>
    </w:p>
    <w:p>
      <w:pPr>
        <w:pStyle w:val="5"/>
        <w:rPr>
          <w:rFonts w:hint="eastAsia" w:ascii="黑体" w:eastAsia="黑体"/>
          <w:b w:val="0"/>
          <w:lang w:eastAsia="zh-CN"/>
        </w:rPr>
      </w:pPr>
      <w:bookmarkStart w:id="44" w:name="_Toc15396607"/>
      <w:bookmarkStart w:id="45" w:name="_Toc15377209"/>
      <w:bookmarkStart w:id="46" w:name="_Toc680083794"/>
      <w:r>
        <w:rPr>
          <w:rFonts w:hint="eastAsia" w:ascii="黑体" w:eastAsia="黑体"/>
          <w:b w:val="0"/>
          <w:lang w:eastAsia="zh-CN"/>
        </w:rPr>
        <w:t>五、一般公共预算财政拨款支出决算情况说明</w:t>
      </w:r>
      <w:bookmarkEnd w:id="44"/>
      <w:bookmarkEnd w:id="45"/>
      <w:bookmarkEnd w:id="46"/>
    </w:p>
    <w:p>
      <w:pPr>
        <w:spacing w:line="600" w:lineRule="exact"/>
        <w:ind w:firstLine="642" w:firstLineChars="200"/>
        <w:outlineLvl w:val="2"/>
        <w:rPr>
          <w:rFonts w:ascii="仿宋" w:hAnsi="仿宋" w:eastAsia="仿宋"/>
          <w:b/>
          <w:sz w:val="32"/>
          <w:szCs w:val="32"/>
        </w:rPr>
      </w:pPr>
      <w:bookmarkStart w:id="47" w:name="_Toc15377210"/>
      <w:r>
        <w:rPr>
          <w:rFonts w:hint="eastAsia" w:ascii="仿宋" w:hAnsi="仿宋" w:eastAsia="仿宋"/>
          <w:b/>
          <w:sz w:val="32"/>
          <w:szCs w:val="32"/>
        </w:rPr>
        <w:t>（一）一般公共预算财政拨款支出决算总体情况</w:t>
      </w:r>
      <w:bookmarkEnd w:id="47"/>
    </w:p>
    <w:p>
      <w:pPr>
        <w:spacing w:line="600" w:lineRule="exact"/>
        <w:ind w:firstLine="640" w:firstLineChars="200"/>
        <w:rPr>
          <w:rFonts w:hint="eastAsia" w:eastAsia="仿宋"/>
          <w:lang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sz w:val="32"/>
          <w:szCs w:val="32"/>
        </w:rPr>
        <w:t>2,091.05</w:t>
      </w:r>
      <w:r>
        <w:rPr>
          <w:rFonts w:hint="eastAsia" w:ascii="仿宋" w:hAnsi="仿宋" w:eastAsia="仿宋"/>
          <w:sz w:val="32"/>
          <w:szCs w:val="32"/>
        </w:rPr>
        <w:t>万元，占本年支出合计的</w:t>
      </w:r>
      <w:r>
        <w:rPr>
          <w:sz w:val="32"/>
          <w:szCs w:val="32"/>
        </w:rPr>
        <w:t>98.</w:t>
      </w:r>
      <w:r>
        <w:rPr>
          <w:rFonts w:hint="eastAsia"/>
          <w:sz w:val="32"/>
          <w:szCs w:val="32"/>
          <w:lang w:val="en-US" w:eastAsia="zh-CN"/>
        </w:rPr>
        <w:t>09</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年度相比，一般公共预算财政拨款支出增加</w:t>
      </w:r>
      <w:r>
        <w:rPr>
          <w:rFonts w:hint="eastAsia" w:ascii="仿宋" w:hAnsi="仿宋" w:eastAsia="仿宋"/>
          <w:sz w:val="32"/>
          <w:szCs w:val="32"/>
          <w:lang w:val="en-US" w:eastAsia="zh-CN"/>
        </w:rPr>
        <w:t>457.99</w:t>
      </w:r>
      <w:r>
        <w:rPr>
          <w:rFonts w:hint="eastAsia" w:ascii="仿宋" w:hAnsi="仿宋" w:eastAsia="仿宋"/>
          <w:sz w:val="32"/>
          <w:szCs w:val="32"/>
        </w:rPr>
        <w:t>万元，增长</w:t>
      </w:r>
      <w:r>
        <w:rPr>
          <w:rFonts w:hint="eastAsia" w:ascii="仿宋" w:hAnsi="仿宋" w:eastAsia="仿宋"/>
          <w:sz w:val="32"/>
          <w:szCs w:val="32"/>
          <w:lang w:val="en-US" w:eastAsia="zh-CN"/>
        </w:rPr>
        <w:t>28.04</w:t>
      </w:r>
      <w:r>
        <w:rPr>
          <w:rFonts w:ascii="仿宋" w:hAnsi="仿宋" w:eastAsia="仿宋"/>
          <w:sz w:val="32"/>
          <w:szCs w:val="32"/>
        </w:rPr>
        <w:t>%</w:t>
      </w:r>
      <w:r>
        <w:rPr>
          <w:rFonts w:hint="eastAsia" w:ascii="仿宋" w:hAnsi="仿宋" w:eastAsia="仿宋"/>
          <w:sz w:val="32"/>
          <w:szCs w:val="32"/>
        </w:rPr>
        <w:t>。主要变动原因</w:t>
      </w:r>
      <w:r>
        <w:rPr>
          <w:rFonts w:hint="default" w:ascii="Times New Roman" w:hAnsi="Times New Roman" w:eastAsia="仿宋" w:cs="Times New Roman"/>
          <w:sz w:val="32"/>
          <w:szCs w:val="32"/>
        </w:rPr>
        <w:t>是人员增加和项目经费支出增加。</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（图5：一般公共预算财政拨款支出决算变动情况）（柱状图）</w:t>
      </w:r>
    </w:p>
    <w:p>
      <w:pPr>
        <w:spacing w:line="600" w:lineRule="exact"/>
        <w:ind w:firstLine="640" w:firstLineChars="200"/>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48" w:name="_Toc15377211"/>
      <w:r>
        <w:rPr>
          <w:rFonts w:hint="eastAsia" w:ascii="仿宋" w:hAnsi="仿宋" w:eastAsia="仿宋"/>
          <w:b/>
          <w:sz w:val="32"/>
          <w:szCs w:val="32"/>
        </w:rPr>
        <w:t>（二）一般公共预算财政拨款支出决算结构情况</w:t>
      </w:r>
      <w:bookmarkEnd w:id="48"/>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sz w:val="32"/>
          <w:szCs w:val="32"/>
        </w:rPr>
        <w:t>2,091.05</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1,835.04万元，占</w:t>
      </w:r>
      <w:r>
        <w:rPr>
          <w:rFonts w:hint="eastAsia" w:ascii="仿宋" w:hAnsi="仿宋" w:eastAsia="仿宋"/>
          <w:sz w:val="32"/>
          <w:szCs w:val="32"/>
          <w:lang w:val="en-US" w:eastAsia="zh-CN"/>
        </w:rPr>
        <w:t>87.76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rPr>
        <w:t>41.00万元，占</w:t>
      </w:r>
      <w:r>
        <w:rPr>
          <w:rFonts w:hint="eastAsia" w:ascii="仿宋" w:hAnsi="仿宋" w:eastAsia="仿宋"/>
          <w:sz w:val="32"/>
          <w:szCs w:val="32"/>
          <w:lang w:val="en-US" w:eastAsia="zh-CN"/>
        </w:rPr>
        <w:t>1.96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107.55万元，占</w:t>
      </w:r>
      <w:r>
        <w:rPr>
          <w:rFonts w:hint="eastAsia" w:ascii="仿宋" w:hAnsi="仿宋" w:eastAsia="仿宋"/>
          <w:sz w:val="32"/>
          <w:szCs w:val="32"/>
          <w:lang w:val="en-US" w:eastAsia="zh-CN"/>
        </w:rPr>
        <w:t>5.14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48.84万元，占</w:t>
      </w:r>
      <w:r>
        <w:rPr>
          <w:rFonts w:hint="eastAsia" w:ascii="仿宋" w:hAnsi="仿宋" w:eastAsia="仿宋"/>
          <w:sz w:val="32"/>
          <w:szCs w:val="32"/>
          <w:lang w:val="en-US" w:eastAsia="zh-CN"/>
        </w:rPr>
        <w:t>23.36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58.62万元，占</w:t>
      </w:r>
      <w:r>
        <w:rPr>
          <w:rFonts w:hint="eastAsia" w:ascii="仿宋" w:hAnsi="仿宋" w:eastAsia="仿宋"/>
          <w:sz w:val="32"/>
          <w:szCs w:val="32"/>
          <w:lang w:val="en-US" w:eastAsia="zh-CN"/>
        </w:rPr>
        <w:t>2.80</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hint="eastAsia" w:eastAsia="仿宋"/>
          <w:lang w:eastAsia="zh-CN"/>
        </w:rPr>
      </w:pPr>
      <w:r>
        <w:rPr>
          <w:rFonts w:hint="eastAsia" w:ascii="仿宋" w:hAnsi="仿宋" w:eastAsia="仿宋"/>
          <w:b/>
          <w:sz w:val="32"/>
          <w:szCs w:val="32"/>
        </w:rPr>
        <w:t>（注：数据来源于财决01-1表，仅罗列本部门涉及的全部功能分类科目，至类级。）</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
          <w:lang w:eastAsia="zh-CN"/>
        </w:rPr>
      </w:pPr>
      <w:r>
        <w:rPr>
          <w:rFonts w:hint="eastAsia" w:eastAsia="仿宋"/>
          <w:lang w:eastAsia="zh-CN"/>
        </w:rPr>
        <w:drawing>
          <wp:inline distT="0" distB="0" distL="114300" distR="114300">
            <wp:extent cx="4319905" cy="2879725"/>
            <wp:effectExtent l="4445" t="4445" r="19050" b="11430"/>
            <wp:docPr id="12" name="图表 12" title="一般公共预算财政拨款支出决算结构"/>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0" w:firstLineChars="200"/>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49" w:name="_Toc15377212"/>
      <w:r>
        <w:rPr>
          <w:rFonts w:hint="eastAsia" w:ascii="仿宋" w:hAnsi="仿宋" w:eastAsia="仿宋"/>
          <w:b/>
          <w:sz w:val="32"/>
          <w:szCs w:val="32"/>
        </w:rPr>
        <w:t>（三）一般公共预算财政拨款支出决算具体情况</w:t>
      </w:r>
      <w:bookmarkEnd w:id="49"/>
    </w:p>
    <w:p>
      <w:pPr>
        <w:spacing w:line="600" w:lineRule="exact"/>
        <w:ind w:firstLine="642" w:firstLineChars="200"/>
        <w:outlineLvl w:val="2"/>
        <w:rPr>
          <w:rFonts w:ascii="仿宋" w:hAnsi="仿宋" w:eastAsia="仿宋"/>
          <w:sz w:val="32"/>
          <w:szCs w:val="32"/>
        </w:rPr>
      </w:pPr>
      <w:bookmarkStart w:id="50" w:name="_Toc15378460"/>
      <w:bookmarkStart w:id="51" w:name="_Toc15377213"/>
      <w:bookmarkStart w:id="52" w:name="_Toc15377444"/>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w:t>
      </w:r>
      <w:r>
        <w:rPr>
          <w:sz w:val="32"/>
          <w:szCs w:val="32"/>
        </w:rPr>
        <w:t>1633.06</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ascii="仿宋" w:hAnsi="仿宋" w:eastAsia="仿宋"/>
          <w:bCs/>
          <w:sz w:val="32"/>
          <w:szCs w:val="32"/>
        </w:rPr>
        <w:t>**%</w:t>
      </w:r>
      <w:r>
        <w:rPr>
          <w:rStyle w:val="16"/>
          <w:rFonts w:hint="eastAsia" w:ascii="仿宋" w:hAnsi="仿宋" w:eastAsia="仿宋"/>
          <w:bCs/>
          <w:sz w:val="32"/>
          <w:szCs w:val="32"/>
        </w:rPr>
        <w:t>。其中：</w:t>
      </w:r>
      <w:bookmarkEnd w:id="50"/>
      <w:bookmarkEnd w:id="51"/>
      <w:bookmarkEnd w:id="52"/>
    </w:p>
    <w:p>
      <w:pPr>
        <w:spacing w:line="600" w:lineRule="exact"/>
        <w:ind w:firstLine="640" w:firstLineChars="200"/>
        <w:rPr>
          <w:rFonts w:ascii="仿宋" w:hAnsi="仿宋" w:eastAsia="仿宋"/>
          <w:b/>
          <w:sz w:val="32"/>
          <w:szCs w:val="32"/>
        </w:rPr>
      </w:pPr>
      <w:r>
        <w:rPr>
          <w:rStyle w:val="16"/>
          <w:rFonts w:hint="eastAsia" w:ascii="仿宋" w:hAnsi="仿宋" w:eastAsia="仿宋" w:cs="Times New Roman"/>
          <w:b w:val="0"/>
          <w:bCs w:val="0"/>
          <w:color w:val="000000"/>
          <w:sz w:val="32"/>
          <w:szCs w:val="32"/>
          <w:lang w:val="en-US" w:eastAsia="zh-CN"/>
        </w:rPr>
        <w:t>1.</w:t>
      </w:r>
      <w:r>
        <w:rPr>
          <w:rFonts w:hint="eastAsia" w:ascii="仿宋" w:hAnsi="仿宋" w:eastAsia="仿宋" w:cs="Times New Roman"/>
          <w:b/>
          <w:color w:val="000000" w:themeColor="text1"/>
          <w:sz w:val="32"/>
          <w:szCs w:val="32"/>
          <w14:textFill>
            <w14:solidFill>
              <w14:schemeClr w14:val="tx1"/>
            </w14:solidFill>
          </w14:textFill>
        </w:rPr>
        <w:t>一般公共服务（类）</w:t>
      </w:r>
      <w:r>
        <w:rPr>
          <w:rFonts w:hint="eastAsia" w:ascii="仿宋" w:hAnsi="仿宋" w:eastAsia="仿宋" w:cs="Times New Roman"/>
          <w:b/>
          <w:color w:val="000000" w:themeColor="text1"/>
          <w:sz w:val="32"/>
          <w:szCs w:val="32"/>
          <w:lang w:eastAsia="zh-CN"/>
          <w14:textFill>
            <w14:solidFill>
              <w14:schemeClr w14:val="tx1"/>
            </w14:solidFill>
          </w14:textFill>
        </w:rPr>
        <w:t>：2012399其他民族事务支出</w:t>
      </w:r>
      <w:r>
        <w:rPr>
          <w:rStyle w:val="16"/>
          <w:rFonts w:hint="eastAsia" w:ascii="仿宋" w:hAnsi="仿宋" w:eastAsia="仿宋" w:cs="Times New Roman"/>
          <w:b w:val="0"/>
          <w:bCs w:val="0"/>
          <w:color w:val="000000"/>
          <w:sz w:val="32"/>
          <w:szCs w:val="32"/>
          <w:lang w:val="en-US" w:eastAsia="zh-CN"/>
        </w:rPr>
        <w:t>支出决算20.00万元，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val="0"/>
          <w:color w:val="000000"/>
          <w:sz w:val="32"/>
          <w:szCs w:val="32"/>
          <w:lang w:val="en-US" w:eastAsia="zh-CN"/>
        </w:rPr>
        <w:t>2013201行政运行</w:t>
      </w:r>
      <w:r>
        <w:rPr>
          <w:rStyle w:val="16"/>
          <w:rFonts w:hint="eastAsia" w:ascii="仿宋" w:hAnsi="仿宋" w:eastAsia="仿宋" w:cs="Times New Roman"/>
          <w:b w:val="0"/>
          <w:bCs w:val="0"/>
          <w:color w:val="000000"/>
          <w:sz w:val="32"/>
          <w:szCs w:val="32"/>
          <w:lang w:val="en-US" w:eastAsia="zh-CN"/>
        </w:rPr>
        <w:t>支出决算499.29万元，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val="0"/>
          <w:color w:val="000000"/>
          <w:sz w:val="32"/>
          <w:szCs w:val="32"/>
          <w:lang w:val="en-US" w:eastAsia="zh-CN"/>
        </w:rPr>
        <w:t>2013202一般行政管理事务</w:t>
      </w:r>
      <w:r>
        <w:rPr>
          <w:rStyle w:val="16"/>
          <w:rFonts w:hint="eastAsia" w:ascii="仿宋" w:hAnsi="仿宋" w:eastAsia="仿宋" w:cs="Times New Roman"/>
          <w:b w:val="0"/>
          <w:bCs w:val="0"/>
          <w:color w:val="000000"/>
          <w:sz w:val="32"/>
          <w:szCs w:val="32"/>
          <w:lang w:val="en-US" w:eastAsia="zh-CN"/>
        </w:rPr>
        <w:t>支出决算495.63万元，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2013204公务员事务</w:t>
      </w:r>
      <w:r>
        <w:rPr>
          <w:rStyle w:val="16"/>
          <w:rFonts w:hint="eastAsia" w:ascii="仿宋" w:hAnsi="仿宋" w:eastAsia="仿宋" w:cs="Times New Roman"/>
          <w:b w:val="0"/>
          <w:bCs w:val="0"/>
          <w:color w:val="000000"/>
          <w:sz w:val="32"/>
          <w:szCs w:val="32"/>
          <w:lang w:val="en-US" w:eastAsia="zh-CN"/>
        </w:rPr>
        <w:t>支出决算20.00万元，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2013250事业运行</w:t>
      </w:r>
      <w:r>
        <w:rPr>
          <w:rStyle w:val="16"/>
          <w:rFonts w:hint="eastAsia" w:ascii="仿宋" w:hAnsi="仿宋" w:eastAsia="仿宋" w:cs="Times New Roman"/>
          <w:b w:val="0"/>
          <w:bCs w:val="0"/>
          <w:color w:val="000000"/>
          <w:sz w:val="32"/>
          <w:szCs w:val="32"/>
          <w:lang w:val="en-US" w:eastAsia="zh-CN"/>
        </w:rPr>
        <w:t>支出118.12万元，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2013299其他组织事务支出</w:t>
      </w:r>
      <w:r>
        <w:rPr>
          <w:rStyle w:val="16"/>
          <w:rFonts w:hint="eastAsia" w:ascii="仿宋" w:hAnsi="仿宋" w:eastAsia="仿宋" w:cs="Times New Roman"/>
          <w:b w:val="0"/>
          <w:bCs w:val="0"/>
          <w:color w:val="000000"/>
          <w:sz w:val="32"/>
          <w:szCs w:val="32"/>
          <w:lang w:val="en-US" w:eastAsia="zh-CN"/>
        </w:rPr>
        <w:t>支出691.67万元，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p>
    <w:p>
      <w:pPr>
        <w:spacing w:line="600" w:lineRule="exact"/>
        <w:ind w:firstLine="640" w:firstLineChars="200"/>
        <w:rPr>
          <w:rFonts w:ascii="仿宋" w:hAnsi="仿宋" w:eastAsia="仿宋"/>
          <w:b/>
          <w:sz w:val="32"/>
          <w:szCs w:val="32"/>
        </w:rPr>
      </w:pPr>
      <w:r>
        <w:rPr>
          <w:rStyle w:val="16"/>
          <w:rFonts w:hint="eastAsia" w:ascii="仿宋" w:hAnsi="仿宋" w:eastAsia="仿宋" w:cs="Times New Roman"/>
          <w:b w:val="0"/>
          <w:bCs w:val="0"/>
          <w:color w:val="000000"/>
          <w:sz w:val="32"/>
          <w:szCs w:val="32"/>
          <w:lang w:val="en-US" w:eastAsia="zh-CN"/>
        </w:rPr>
        <w:t>2.</w:t>
      </w:r>
      <w:r>
        <w:rPr>
          <w:rStyle w:val="16"/>
          <w:rFonts w:hint="eastAsia" w:ascii="仿宋" w:hAnsi="仿宋" w:eastAsia="仿宋"/>
          <w:bCs/>
          <w:sz w:val="32"/>
          <w:szCs w:val="32"/>
        </w:rPr>
        <w:t>教育（类）</w:t>
      </w:r>
      <w:r>
        <w:rPr>
          <w:rStyle w:val="16"/>
          <w:rFonts w:ascii="仿宋" w:hAnsi="仿宋" w:eastAsia="仿宋"/>
          <w:bCs/>
          <w:sz w:val="32"/>
          <w:szCs w:val="32"/>
        </w:rPr>
        <w:t>:</w:t>
      </w:r>
      <w:r>
        <w:rPr>
          <w:rFonts w:hint="eastAsia" w:ascii="仿宋" w:hAnsi="仿宋" w:eastAsia="仿宋" w:cs="Times New Roman"/>
          <w:b/>
          <w:color w:val="000000" w:themeColor="text1"/>
          <w:sz w:val="32"/>
          <w:szCs w:val="32"/>
          <w:lang w:eastAsia="zh-CN"/>
          <w14:textFill>
            <w14:solidFill>
              <w14:schemeClr w14:val="tx1"/>
            </w14:solidFill>
          </w14:textFill>
        </w:rPr>
        <w:t>2050803培训支出</w:t>
      </w:r>
      <w:r>
        <w:rPr>
          <w:rStyle w:val="16"/>
          <w:rFonts w:hint="eastAsia" w:ascii="仿宋" w:hAnsi="仿宋" w:eastAsia="仿宋" w:cs="Times New Roman"/>
          <w:b w:val="0"/>
          <w:bCs w:val="0"/>
          <w:color w:val="000000"/>
          <w:sz w:val="32"/>
          <w:szCs w:val="32"/>
          <w:lang w:val="en-US" w:eastAsia="zh-CN"/>
        </w:rPr>
        <w:t>支出决算18.00万元，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2059999其他教育支出</w:t>
      </w:r>
      <w:r>
        <w:rPr>
          <w:rStyle w:val="16"/>
          <w:rFonts w:hint="eastAsia" w:ascii="仿宋" w:hAnsi="仿宋" w:eastAsia="仿宋" w:cs="Times New Roman"/>
          <w:b w:val="0"/>
          <w:bCs w:val="0"/>
          <w:color w:val="000000"/>
          <w:sz w:val="32"/>
          <w:szCs w:val="32"/>
          <w:lang w:val="en-US" w:eastAsia="zh-CN"/>
        </w:rPr>
        <w:t>支出23.00万元，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b w:val="0"/>
          <w:bCs/>
          <w:sz w:val="32"/>
          <w:szCs w:val="32"/>
        </w:rPr>
        <w:t>。</w:t>
      </w:r>
    </w:p>
    <w:p>
      <w:pPr>
        <w:spacing w:line="600" w:lineRule="exact"/>
        <w:ind w:firstLine="640" w:firstLineChars="200"/>
        <w:rPr>
          <w:rFonts w:ascii="仿宋" w:hAnsi="仿宋" w:eastAsia="仿宋"/>
          <w:b/>
          <w:sz w:val="32"/>
          <w:szCs w:val="32"/>
        </w:rPr>
      </w:pPr>
      <w:r>
        <w:rPr>
          <w:rStyle w:val="16"/>
          <w:rFonts w:hint="eastAsia" w:ascii="仿宋" w:hAnsi="仿宋" w:eastAsia="仿宋" w:cs="Times New Roman"/>
          <w:b w:val="0"/>
          <w:bCs w:val="0"/>
          <w:color w:val="000000"/>
          <w:sz w:val="32"/>
          <w:szCs w:val="32"/>
          <w:lang w:val="en-US" w:eastAsia="zh-CN"/>
        </w:rPr>
        <w:t>3.</w:t>
      </w:r>
      <w:r>
        <w:rPr>
          <w:rStyle w:val="16"/>
          <w:rFonts w:hint="eastAsia" w:ascii="仿宋" w:hAnsi="仿宋" w:eastAsia="仿宋"/>
          <w:bCs/>
          <w:sz w:val="32"/>
          <w:szCs w:val="32"/>
        </w:rPr>
        <w:t>社会保障和就业（类）</w:t>
      </w:r>
      <w:r>
        <w:rPr>
          <w:rStyle w:val="16"/>
          <w:rFonts w:ascii="仿宋" w:hAnsi="仿宋" w:eastAsia="仿宋"/>
          <w:bCs/>
          <w:sz w:val="32"/>
          <w:szCs w:val="32"/>
        </w:rPr>
        <w:t>:</w:t>
      </w:r>
      <w:r>
        <w:rPr>
          <w:rStyle w:val="16"/>
          <w:rFonts w:hint="eastAsia" w:ascii="仿宋" w:hAnsi="仿宋" w:eastAsia="仿宋" w:cs="Times New Roman"/>
          <w:bCs/>
          <w:color w:val="000000"/>
          <w:sz w:val="32"/>
          <w:szCs w:val="32"/>
          <w:lang w:val="en-US" w:eastAsia="zh-CN"/>
        </w:rPr>
        <w:t>2080505机关事业单位基本养老保险缴费支出</w:t>
      </w:r>
      <w:r>
        <w:rPr>
          <w:rStyle w:val="16"/>
          <w:rFonts w:hint="eastAsia" w:ascii="仿宋" w:hAnsi="仿宋" w:eastAsia="仿宋" w:cs="Times New Roman"/>
          <w:b w:val="0"/>
          <w:bCs w:val="0"/>
          <w:color w:val="000000"/>
          <w:sz w:val="32"/>
          <w:szCs w:val="32"/>
          <w:lang w:val="en-US" w:eastAsia="zh-CN"/>
        </w:rPr>
        <w:t>支出决算71.70万元，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2080506机关事业单位职业年金缴费支出</w:t>
      </w:r>
      <w:r>
        <w:rPr>
          <w:rStyle w:val="16"/>
          <w:rFonts w:hint="eastAsia" w:ascii="仿宋" w:hAnsi="仿宋" w:eastAsia="仿宋" w:cs="Times New Roman"/>
          <w:b w:val="0"/>
          <w:bCs w:val="0"/>
          <w:color w:val="000000"/>
          <w:sz w:val="32"/>
          <w:szCs w:val="32"/>
          <w:lang w:val="en-US" w:eastAsia="zh-CN"/>
        </w:rPr>
        <w:t>支出35.85万元，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val="en-US" w:eastAsia="zh-CN"/>
        </w:rPr>
        <w:t>。</w:t>
      </w:r>
    </w:p>
    <w:p>
      <w:pPr>
        <w:spacing w:line="600" w:lineRule="exact"/>
        <w:ind w:firstLine="640" w:firstLineChars="200"/>
        <w:rPr>
          <w:rFonts w:ascii="仿宋" w:hAnsi="仿宋" w:eastAsia="仿宋"/>
          <w:b/>
          <w:sz w:val="32"/>
          <w:szCs w:val="32"/>
        </w:rPr>
      </w:pPr>
      <w:r>
        <w:rPr>
          <w:rStyle w:val="16"/>
          <w:rFonts w:hint="eastAsia" w:ascii="仿宋" w:hAnsi="仿宋" w:eastAsia="仿宋" w:cs="Times New Roman"/>
          <w:b w:val="0"/>
          <w:bCs w:val="0"/>
          <w:color w:val="000000"/>
          <w:sz w:val="32"/>
          <w:szCs w:val="32"/>
          <w:lang w:val="en-US" w:eastAsia="zh-CN"/>
        </w:rPr>
        <w:t>4.</w:t>
      </w:r>
      <w:r>
        <w:rPr>
          <w:rFonts w:hint="eastAsia" w:ascii="仿宋" w:hAnsi="仿宋" w:eastAsia="仿宋" w:cs="Times New Roman"/>
          <w:b/>
          <w:bCs/>
          <w:color w:val="000000" w:themeColor="text1"/>
          <w:sz w:val="32"/>
          <w:szCs w:val="32"/>
          <w14:textFill>
            <w14:solidFill>
              <w14:schemeClr w14:val="tx1"/>
            </w14:solidFill>
          </w14:textFill>
        </w:rPr>
        <w:t>卫生健康</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类</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w:t>
      </w:r>
      <w:r>
        <w:rPr>
          <w:rStyle w:val="16"/>
          <w:rFonts w:hint="eastAsia" w:ascii="仿宋" w:hAnsi="仿宋" w:eastAsia="仿宋" w:cs="Times New Roman"/>
          <w:b/>
          <w:bCs/>
          <w:color w:val="000000"/>
          <w:sz w:val="32"/>
          <w:szCs w:val="32"/>
          <w:lang w:val="en-US" w:eastAsia="zh-CN"/>
        </w:rPr>
        <w:t>2101101行政单位医疗</w:t>
      </w:r>
      <w:r>
        <w:rPr>
          <w:rStyle w:val="16"/>
          <w:rFonts w:hint="eastAsia" w:ascii="仿宋" w:hAnsi="仿宋" w:eastAsia="仿宋" w:cs="Times New Roman"/>
          <w:b w:val="0"/>
          <w:bCs w:val="0"/>
          <w:color w:val="000000"/>
          <w:sz w:val="32"/>
          <w:szCs w:val="32"/>
          <w:lang w:val="en-US" w:eastAsia="zh-CN"/>
        </w:rPr>
        <w:t>支出26.76万元，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2101102事业单位医疗</w:t>
      </w:r>
      <w:r>
        <w:rPr>
          <w:rStyle w:val="16"/>
          <w:rFonts w:hint="eastAsia" w:ascii="仿宋" w:hAnsi="仿宋" w:eastAsia="仿宋" w:cs="Times New Roman"/>
          <w:b w:val="0"/>
          <w:bCs w:val="0"/>
          <w:color w:val="000000"/>
          <w:sz w:val="32"/>
          <w:szCs w:val="32"/>
          <w:lang w:val="en-US" w:eastAsia="zh-CN"/>
        </w:rPr>
        <w:t>支出11.87万元，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2101103公务员医疗补助</w:t>
      </w:r>
      <w:r>
        <w:rPr>
          <w:rStyle w:val="16"/>
          <w:rFonts w:hint="eastAsia" w:ascii="仿宋" w:hAnsi="仿宋" w:eastAsia="仿宋" w:cs="Times New Roman"/>
          <w:b w:val="0"/>
          <w:bCs w:val="0"/>
          <w:color w:val="000000"/>
          <w:sz w:val="32"/>
          <w:szCs w:val="32"/>
          <w:lang w:val="en-US" w:eastAsia="zh-CN"/>
        </w:rPr>
        <w:t>支出8.72万元，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r>
        <w:rPr>
          <w:rStyle w:val="16"/>
          <w:rFonts w:hint="eastAsia" w:ascii="仿宋" w:hAnsi="仿宋" w:eastAsia="仿宋" w:cs="Times New Roman"/>
          <w:b/>
          <w:bCs/>
          <w:color w:val="000000"/>
          <w:sz w:val="32"/>
          <w:szCs w:val="32"/>
          <w:lang w:val="en-US" w:eastAsia="zh-CN"/>
        </w:rPr>
        <w:t>2101199其他行政事业单位医疗支出</w:t>
      </w:r>
      <w:r>
        <w:rPr>
          <w:rStyle w:val="16"/>
          <w:rFonts w:hint="eastAsia" w:ascii="仿宋" w:hAnsi="仿宋" w:eastAsia="仿宋" w:cs="Times New Roman"/>
          <w:b w:val="0"/>
          <w:bCs w:val="0"/>
          <w:color w:val="000000"/>
          <w:sz w:val="32"/>
          <w:szCs w:val="32"/>
          <w:lang w:val="en-US" w:eastAsia="zh-CN"/>
        </w:rPr>
        <w:t>支出1.49万元，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val="en-US" w:eastAsia="zh-CN"/>
        </w:rPr>
        <w:t>。</w:t>
      </w:r>
    </w:p>
    <w:p>
      <w:pPr>
        <w:spacing w:line="600" w:lineRule="exact"/>
        <w:ind w:firstLine="640" w:firstLineChars="200"/>
        <w:rPr>
          <w:rFonts w:hint="default" w:ascii="Times New Roman" w:hAnsi="Times New Roman" w:eastAsia="仿宋" w:cs="Times New Roman"/>
          <w:b/>
          <w:sz w:val="32"/>
          <w:szCs w:val="32"/>
        </w:rPr>
      </w:pPr>
      <w:r>
        <w:rPr>
          <w:rStyle w:val="16"/>
          <w:rFonts w:hint="eastAsia" w:ascii="仿宋" w:hAnsi="仿宋" w:eastAsia="仿宋" w:cs="Times New Roman"/>
          <w:b w:val="0"/>
          <w:bCs w:val="0"/>
          <w:color w:val="000000"/>
          <w:sz w:val="32"/>
          <w:szCs w:val="32"/>
          <w:lang w:val="en-US" w:eastAsia="zh-CN"/>
        </w:rPr>
        <w:t>5.</w:t>
      </w:r>
      <w:r>
        <w:rPr>
          <w:rFonts w:hint="eastAsia" w:ascii="仿宋" w:hAnsi="仿宋" w:eastAsia="仿宋" w:cs="Times New Roman"/>
          <w:b/>
          <w:bCs/>
          <w:color w:val="000000" w:themeColor="text1"/>
          <w:sz w:val="32"/>
          <w:szCs w:val="32"/>
          <w14:textFill>
            <w14:solidFill>
              <w14:schemeClr w14:val="tx1"/>
            </w14:solidFill>
          </w14:textFill>
        </w:rPr>
        <w:t>住房保障</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类</w:t>
      </w:r>
      <w:r>
        <w:rPr>
          <w:rFonts w:hint="eastAsia" w:ascii="仿宋" w:hAnsi="仿宋" w:eastAsia="仿宋" w:cs="Times New Roman"/>
          <w:b/>
          <w:bCs/>
          <w:color w:val="000000" w:themeColor="text1"/>
          <w:sz w:val="32"/>
          <w:szCs w:val="32"/>
          <w:lang w:eastAsia="zh-CN"/>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w:t>
      </w:r>
      <w:r>
        <w:rPr>
          <w:rStyle w:val="16"/>
          <w:rFonts w:hint="eastAsia" w:ascii="仿宋" w:hAnsi="仿宋" w:eastAsia="仿宋" w:cs="Times New Roman"/>
          <w:b/>
          <w:bCs/>
          <w:color w:val="000000"/>
          <w:sz w:val="32"/>
          <w:szCs w:val="32"/>
          <w:lang w:val="en-US" w:eastAsia="zh-CN"/>
        </w:rPr>
        <w:t>2210201住房公积金</w:t>
      </w:r>
      <w:r>
        <w:rPr>
          <w:rStyle w:val="16"/>
          <w:rFonts w:hint="eastAsia" w:ascii="仿宋" w:hAnsi="仿宋" w:eastAsia="仿宋" w:cs="Times New Roman"/>
          <w:b w:val="0"/>
          <w:bCs w:val="0"/>
          <w:color w:val="000000"/>
          <w:sz w:val="32"/>
          <w:szCs w:val="32"/>
          <w:lang w:val="en-US" w:eastAsia="zh-CN"/>
        </w:rPr>
        <w:t>支出58.62万元，</w:t>
      </w:r>
      <w:r>
        <w:rPr>
          <w:rStyle w:val="16"/>
          <w:rFonts w:hint="eastAsia" w:ascii="仿宋" w:hAnsi="仿宋" w:eastAsia="仿宋" w:cs="Times New Roman"/>
          <w:b w:val="0"/>
          <w:bCs/>
          <w:color w:val="000000"/>
          <w:sz w:val="32"/>
          <w:szCs w:val="32"/>
        </w:rPr>
        <w:t>完成预算</w:t>
      </w:r>
      <w:r>
        <w:rPr>
          <w:rStyle w:val="16"/>
          <w:rFonts w:ascii="仿宋" w:hAnsi="仿宋" w:eastAsia="仿宋" w:cs="Times New Roman"/>
          <w:b w:val="0"/>
          <w:bCs/>
          <w:color w:val="000000"/>
          <w:sz w:val="32"/>
          <w:szCs w:val="32"/>
        </w:rPr>
        <w:t>100%</w:t>
      </w:r>
      <w:r>
        <w:rPr>
          <w:rStyle w:val="16"/>
          <w:rFonts w:hint="eastAsia" w:ascii="仿宋" w:hAnsi="仿宋" w:eastAsia="仿宋" w:cs="Times New Roman"/>
          <w:b w:val="0"/>
          <w:bCs/>
          <w:color w:val="000000"/>
          <w:sz w:val="32"/>
          <w:szCs w:val="32"/>
          <w:lang w:eastAsia="zh-CN"/>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pPr>
        <w:spacing w:line="600" w:lineRule="exact"/>
        <w:ind w:firstLine="640"/>
        <w:rPr>
          <w:rFonts w:ascii="仿宋" w:hAnsi="仿宋" w:eastAsia="仿宋"/>
          <w:b/>
          <w:sz w:val="32"/>
          <w:szCs w:val="32"/>
        </w:rPr>
      </w:pPr>
    </w:p>
    <w:p>
      <w:pPr>
        <w:pStyle w:val="5"/>
        <w:rPr>
          <w:rFonts w:hint="eastAsia" w:ascii="黑体" w:eastAsia="黑体"/>
          <w:b w:val="0"/>
          <w:lang w:eastAsia="zh-CN"/>
        </w:rPr>
      </w:pPr>
      <w:bookmarkStart w:id="53" w:name="_Toc15377214"/>
      <w:bookmarkStart w:id="54" w:name="_Toc15396608"/>
      <w:bookmarkStart w:id="55" w:name="_Toc1613673538"/>
      <w:r>
        <w:rPr>
          <w:rFonts w:hint="eastAsia" w:ascii="黑体" w:eastAsia="黑体"/>
          <w:b w:val="0"/>
          <w:lang w:eastAsia="zh-CN"/>
        </w:rPr>
        <w:t>六、一般公共预算财政拨款基本支出决算情况说明</w:t>
      </w:r>
      <w:bookmarkEnd w:id="53"/>
      <w:bookmarkEnd w:id="54"/>
      <w:bookmarkEnd w:id="55"/>
      <w:r>
        <w:rPr>
          <w:rFonts w:hint="eastAsia" w:ascii="黑体" w:eastAsia="黑体"/>
          <w:b w:val="0"/>
          <w:lang w:eastAsia="zh-CN"/>
        </w:rPr>
        <w:tab/>
      </w:r>
    </w:p>
    <w:p>
      <w:pPr>
        <w:spacing w:line="600" w:lineRule="exact"/>
        <w:ind w:firstLine="645"/>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年度一般公共预算财政拨款基本支出</w:t>
      </w:r>
      <w:r>
        <w:rPr>
          <w:rFonts w:hint="eastAsia"/>
          <w:sz w:val="32"/>
          <w:szCs w:val="32"/>
        </w:rPr>
        <w:t>822.75</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sz w:val="32"/>
          <w:szCs w:val="32"/>
        </w:rPr>
        <w:t>765.98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sz w:val="32"/>
          <w:szCs w:val="32"/>
        </w:rPr>
        <w:t>56.77</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pPr>
        <w:spacing w:line="600" w:lineRule="exact"/>
        <w:ind w:firstLine="640"/>
        <w:rPr>
          <w:rFonts w:ascii="仿宋" w:hAnsi="仿宋" w:eastAsia="仿宋"/>
          <w:b/>
          <w:sz w:val="32"/>
          <w:szCs w:val="32"/>
        </w:rPr>
      </w:pPr>
    </w:p>
    <w:p>
      <w:pPr>
        <w:pStyle w:val="5"/>
        <w:rPr>
          <w:rFonts w:hint="eastAsia" w:ascii="黑体" w:eastAsia="黑体"/>
          <w:b w:val="0"/>
          <w:lang w:eastAsia="zh-CN"/>
        </w:rPr>
      </w:pPr>
      <w:bookmarkStart w:id="56" w:name="_Toc15396609"/>
      <w:bookmarkStart w:id="57" w:name="_Toc15377215"/>
      <w:bookmarkStart w:id="58" w:name="_Toc1766857997"/>
      <w:r>
        <w:rPr>
          <w:rFonts w:hint="eastAsia" w:ascii="黑体" w:eastAsia="黑体"/>
          <w:b w:val="0"/>
          <w:lang w:eastAsia="zh-CN"/>
        </w:rPr>
        <w:t>七、财政拨款“三公”经费支出决算情况说明</w:t>
      </w:r>
      <w:bookmarkEnd w:id="56"/>
      <w:bookmarkEnd w:id="57"/>
      <w:bookmarkEnd w:id="58"/>
    </w:p>
    <w:p>
      <w:pPr>
        <w:spacing w:line="600" w:lineRule="exact"/>
        <w:ind w:firstLine="640"/>
        <w:outlineLvl w:val="2"/>
        <w:rPr>
          <w:rFonts w:ascii="仿宋" w:hAnsi="仿宋" w:eastAsia="仿宋"/>
          <w:b/>
          <w:sz w:val="32"/>
          <w:szCs w:val="32"/>
        </w:rPr>
      </w:pPr>
      <w:bookmarkStart w:id="59" w:name="_Toc15377216"/>
      <w:r>
        <w:rPr>
          <w:rFonts w:hint="eastAsia" w:ascii="仿宋" w:hAnsi="仿宋" w:eastAsia="仿宋"/>
          <w:b/>
          <w:sz w:val="32"/>
          <w:szCs w:val="32"/>
        </w:rPr>
        <w:t>（一）“三公”经费财政拨款支出决算总体情况说明</w:t>
      </w:r>
      <w:bookmarkEnd w:id="59"/>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年度“三公”经费财政拨款支出决算为</w:t>
      </w:r>
      <w:r>
        <w:rPr>
          <w:rFonts w:hint="eastAsia"/>
          <w:sz w:val="32"/>
          <w:szCs w:val="32"/>
        </w:rPr>
        <w:t>29.71</w:t>
      </w:r>
      <w:r>
        <w:rPr>
          <w:rFonts w:hint="eastAsia" w:ascii="仿宋" w:hAnsi="仿宋" w:eastAsia="仿宋"/>
          <w:sz w:val="32"/>
          <w:szCs w:val="32"/>
        </w:rPr>
        <w:t>万元，完成预算</w:t>
      </w:r>
      <w:r>
        <w:rPr>
          <w:rFonts w:hint="eastAsia" w:eastAsia="仿宋"/>
          <w:sz w:val="32"/>
          <w:szCs w:val="32"/>
          <w:lang w:val="en-US" w:eastAsia="zh-CN"/>
        </w:rPr>
        <w:t>99.87</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14.76</w:t>
      </w:r>
      <w:r>
        <w:rPr>
          <w:rFonts w:hint="eastAsia" w:ascii="仿宋" w:hAnsi="仿宋" w:eastAsia="仿宋"/>
          <w:sz w:val="32"/>
          <w:szCs w:val="32"/>
        </w:rPr>
        <w:t>万元，增长</w:t>
      </w:r>
      <w:r>
        <w:rPr>
          <w:rFonts w:hint="eastAsia" w:ascii="仿宋" w:hAnsi="仿宋" w:eastAsia="仿宋"/>
          <w:sz w:val="32"/>
          <w:szCs w:val="32"/>
          <w:lang w:val="en-US" w:eastAsia="zh-CN"/>
        </w:rPr>
        <w:t>98.73</w:t>
      </w:r>
      <w:r>
        <w:rPr>
          <w:rFonts w:hint="eastAsia" w:ascii="仿宋" w:hAnsi="仿宋" w:eastAsia="仿宋"/>
          <w:sz w:val="32"/>
          <w:szCs w:val="32"/>
        </w:rPr>
        <w:t>%。决算数小于预算数的主要原因是公务用车运行维护费</w:t>
      </w:r>
      <w:r>
        <w:rPr>
          <w:rFonts w:hint="eastAsia" w:ascii="仿宋" w:hAnsi="仿宋" w:eastAsia="仿宋"/>
          <w:sz w:val="32"/>
          <w:szCs w:val="32"/>
          <w:lang w:eastAsia="zh-CN"/>
        </w:rPr>
        <w:t>和公务接待费未全部使用</w:t>
      </w:r>
      <w:r>
        <w:rPr>
          <w:rFonts w:hint="eastAsia" w:ascii="仿宋" w:hAnsi="仿宋" w:eastAsia="仿宋"/>
          <w:sz w:val="32"/>
          <w:szCs w:val="32"/>
        </w:rPr>
        <w:t>。</w:t>
      </w:r>
    </w:p>
    <w:p>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pPr>
        <w:spacing w:line="600" w:lineRule="exact"/>
        <w:ind w:firstLine="640"/>
        <w:outlineLvl w:val="2"/>
        <w:rPr>
          <w:rFonts w:ascii="仿宋" w:hAnsi="仿宋" w:eastAsia="仿宋"/>
          <w:b/>
          <w:sz w:val="32"/>
          <w:szCs w:val="32"/>
        </w:rPr>
      </w:pPr>
      <w:bookmarkStart w:id="60" w:name="_Toc15377217"/>
      <w:r>
        <w:rPr>
          <w:rFonts w:hint="eastAsia" w:ascii="仿宋" w:hAnsi="仿宋" w:eastAsia="仿宋"/>
          <w:b/>
          <w:sz w:val="32"/>
          <w:szCs w:val="32"/>
        </w:rPr>
        <w:t>（二）“三公”经费财政拨款支出决算具体情况说明</w:t>
      </w:r>
      <w:bookmarkEnd w:id="60"/>
    </w:p>
    <w:p>
      <w:pPr>
        <w:spacing w:line="600" w:lineRule="exact"/>
        <w:ind w:firstLine="640"/>
        <w:rPr>
          <w:rFonts w:hint="eastAsia"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sz w:val="32"/>
          <w:szCs w:val="32"/>
        </w:rPr>
        <w:t>29.38</w:t>
      </w:r>
      <w:r>
        <w:rPr>
          <w:rFonts w:hint="eastAsia" w:ascii="仿宋" w:hAnsi="仿宋" w:eastAsia="仿宋"/>
          <w:sz w:val="32"/>
          <w:szCs w:val="32"/>
        </w:rPr>
        <w:t>万元，占</w:t>
      </w:r>
      <w:r>
        <w:rPr>
          <w:sz w:val="32"/>
          <w:szCs w:val="32"/>
        </w:rPr>
        <w:t>98.</w:t>
      </w:r>
      <w:r>
        <w:rPr>
          <w:rFonts w:hint="eastAsia"/>
          <w:sz w:val="32"/>
          <w:szCs w:val="32"/>
          <w:lang w:val="en-US" w:eastAsia="zh-CN"/>
        </w:rPr>
        <w:t>86</w:t>
      </w:r>
      <w:r>
        <w:rPr>
          <w:rFonts w:ascii="仿宋" w:hAnsi="仿宋" w:eastAsia="仿宋"/>
          <w:sz w:val="32"/>
          <w:szCs w:val="32"/>
        </w:rPr>
        <w:t>%</w:t>
      </w:r>
      <w:r>
        <w:rPr>
          <w:rFonts w:hint="eastAsia" w:ascii="仿宋" w:hAnsi="仿宋" w:eastAsia="仿宋"/>
          <w:sz w:val="32"/>
          <w:szCs w:val="32"/>
        </w:rPr>
        <w:t>；公务接待费支出决算</w:t>
      </w:r>
      <w:r>
        <w:rPr>
          <w:rFonts w:hint="eastAsia"/>
          <w:sz w:val="32"/>
          <w:szCs w:val="32"/>
        </w:rPr>
        <w:t>0.34</w:t>
      </w:r>
      <w:r>
        <w:rPr>
          <w:rFonts w:hint="eastAsia" w:ascii="仿宋" w:hAnsi="仿宋" w:eastAsia="仿宋"/>
          <w:sz w:val="32"/>
          <w:szCs w:val="32"/>
        </w:rPr>
        <w:t>万元，占</w:t>
      </w:r>
      <w:r>
        <w:rPr>
          <w:sz w:val="32"/>
          <w:szCs w:val="32"/>
        </w:rPr>
        <w:t>1</w:t>
      </w:r>
      <w:r>
        <w:rPr>
          <w:rFonts w:hint="eastAsia"/>
          <w:sz w:val="32"/>
          <w:szCs w:val="32"/>
          <w:lang w:val="en-US" w:eastAsia="zh-CN"/>
        </w:rPr>
        <w:t>.14</w:t>
      </w:r>
      <w:r>
        <w:rPr>
          <w:rFonts w:ascii="仿宋" w:hAnsi="仿宋" w:eastAsia="仿宋"/>
          <w:sz w:val="32"/>
          <w:szCs w:val="32"/>
        </w:rPr>
        <w:t>%</w:t>
      </w:r>
      <w:r>
        <w:rPr>
          <w:rFonts w:hint="eastAsia" w:ascii="仿宋" w:hAnsi="仿宋" w:eastAsia="仿宋"/>
          <w:sz w:val="32"/>
          <w:szCs w:val="32"/>
        </w:rPr>
        <w:t>。具体情况如下：</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 w:hAnsi="仿宋" w:eastAsia="仿宋"/>
          <w:sz w:val="32"/>
          <w:szCs w:val="32"/>
        </w:rPr>
      </w:pPr>
      <w:r>
        <w:rPr>
          <w:rFonts w:hint="eastAsia" w:eastAsia="仿宋"/>
          <w:lang w:eastAsia="zh-CN"/>
        </w:rPr>
        <w:drawing>
          <wp:inline distT="0" distB="0" distL="114300" distR="114300">
            <wp:extent cx="4319905" cy="2879725"/>
            <wp:effectExtent l="4445" t="4445" r="19050" b="1143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人。因公出国（境）支出决算与202</w:t>
      </w:r>
      <w:r>
        <w:rPr>
          <w:rFonts w:hint="eastAsia" w:ascii="仿宋_GB2312" w:eastAsia="仿宋_GB2312"/>
          <w:sz w:val="32"/>
          <w:szCs w:val="32"/>
          <w:lang w:val="en-US" w:eastAsia="zh-CN"/>
        </w:rPr>
        <w:t>3</w:t>
      </w:r>
      <w:r>
        <w:rPr>
          <w:rFonts w:hint="eastAsia" w:ascii="仿宋_GB2312" w:eastAsia="仿宋_GB2312"/>
          <w:sz w:val="32"/>
          <w:szCs w:val="32"/>
        </w:rPr>
        <w:t>年持平。</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sz w:val="32"/>
          <w:szCs w:val="32"/>
        </w:rPr>
        <w:t>29.38</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Fonts w:hint="eastAsia" w:eastAsia="仿宋"/>
          <w:sz w:val="32"/>
          <w:szCs w:val="32"/>
          <w:lang w:val="en-US" w:eastAsia="zh-CN"/>
        </w:rPr>
        <w:t>99.93</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14.58</w:t>
      </w:r>
      <w:r>
        <w:rPr>
          <w:rFonts w:hint="eastAsia" w:ascii="仿宋_GB2312" w:eastAsia="仿宋_GB2312"/>
          <w:sz w:val="32"/>
          <w:szCs w:val="32"/>
        </w:rPr>
        <w:t>万元，增长</w:t>
      </w:r>
      <w:r>
        <w:rPr>
          <w:rFonts w:hint="eastAsia" w:ascii="仿宋_GB2312" w:eastAsia="仿宋_GB2312"/>
          <w:sz w:val="32"/>
          <w:szCs w:val="32"/>
          <w:lang w:val="en-US" w:eastAsia="zh-CN"/>
        </w:rPr>
        <w:t>98.51</w:t>
      </w:r>
      <w:r>
        <w:rPr>
          <w:rFonts w:ascii="仿宋_GB2312" w:eastAsia="仿宋_GB2312"/>
          <w:sz w:val="32"/>
          <w:szCs w:val="32"/>
        </w:rPr>
        <w:t>%</w:t>
      </w:r>
      <w:r>
        <w:rPr>
          <w:rFonts w:hint="eastAsia" w:ascii="仿宋_GB2312" w:eastAsia="仿宋_GB2312"/>
          <w:sz w:val="32"/>
          <w:szCs w:val="32"/>
        </w:rPr>
        <w:t>。主要原因是车辆使用时间</w:t>
      </w:r>
      <w:r>
        <w:rPr>
          <w:rFonts w:hint="eastAsia" w:ascii="仿宋_GB2312" w:eastAsia="仿宋_GB2312"/>
          <w:sz w:val="32"/>
          <w:szCs w:val="32"/>
          <w:lang w:eastAsia="zh-CN"/>
        </w:rPr>
        <w:t>增加</w:t>
      </w:r>
      <w:r>
        <w:rPr>
          <w:rFonts w:hint="eastAsia" w:ascii="仿宋_GB2312" w:eastAsia="仿宋_GB2312"/>
          <w:sz w:val="32"/>
          <w:szCs w:val="32"/>
        </w:rPr>
        <w:t>，维修管理经费增加。</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万元。全年按规定更新购置公务用车0辆，其中：轿车0辆、金额0万元，越野车0辆、金额0万元，载客汽车0辆、金额0万元，主要用于…。截至202</w:t>
      </w:r>
      <w:r>
        <w:rPr>
          <w:rFonts w:hint="eastAsia" w:ascii="仿宋_GB2312" w:eastAsia="仿宋_GB2312"/>
          <w:sz w:val="32"/>
          <w:szCs w:val="32"/>
          <w:lang w:val="en-US" w:eastAsia="zh-CN"/>
        </w:rPr>
        <w:t>4</w:t>
      </w:r>
      <w:r>
        <w:rPr>
          <w:rFonts w:hint="eastAsia" w:ascii="仿宋_GB2312" w:eastAsia="仿宋_GB2312"/>
          <w:sz w:val="32"/>
          <w:szCs w:val="32"/>
        </w:rPr>
        <w:t>年12月31日，单位共有公务用车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辆，其中：轿车1辆、越野车1辆。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sz w:val="32"/>
          <w:szCs w:val="32"/>
        </w:rPr>
        <w:t>29.38</w:t>
      </w:r>
      <w:r>
        <w:rPr>
          <w:rFonts w:hint="eastAsia" w:ascii="仿宋_GB2312" w:eastAsia="仿宋_GB2312"/>
          <w:sz w:val="32"/>
          <w:szCs w:val="32"/>
        </w:rPr>
        <w:t>万元。主要用于党建工作、干部调研、选人用人实地考察、人才服务、老干部慰问等工作所需的公务用车燃料费、维修费、过路过桥费、保险费等支出。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sz w:val="32"/>
          <w:szCs w:val="32"/>
        </w:rPr>
        <w:t>0.34</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97.14</w:t>
      </w:r>
      <w:r>
        <w:rPr>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0.19</w:t>
      </w:r>
      <w:r>
        <w:rPr>
          <w:rFonts w:hint="eastAsia" w:ascii="仿宋_GB2312" w:eastAsia="仿宋_GB2312"/>
          <w:sz w:val="32"/>
          <w:szCs w:val="32"/>
        </w:rPr>
        <w:t>万元，增长</w:t>
      </w:r>
      <w:r>
        <w:rPr>
          <w:rFonts w:hint="eastAsia" w:ascii="仿宋_GB2312" w:eastAsia="仿宋_GB2312"/>
          <w:sz w:val="32"/>
          <w:szCs w:val="32"/>
          <w:lang w:val="en-US" w:eastAsia="zh-CN"/>
        </w:rPr>
        <w:t>126.67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接待产生费用。</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国内公务接待支出0.34</w:t>
      </w:r>
      <w:r>
        <w:rPr>
          <w:rFonts w:hint="eastAsia" w:ascii="仿宋_GB2312" w:eastAsia="仿宋_GB2312"/>
          <w:sz w:val="32"/>
          <w:szCs w:val="32"/>
        </w:rPr>
        <w:t>万元，主要用于执行公务、开展业务活动开支的交通费、住宿费、用餐费等。国内公务接</w:t>
      </w:r>
      <w:r>
        <w:rPr>
          <w:rFonts w:hint="eastAsia" w:ascii="仿宋_GB2312" w:eastAsia="仿宋_GB2312"/>
          <w:color w:val="auto"/>
          <w:sz w:val="32"/>
          <w:szCs w:val="32"/>
        </w:rPr>
        <w:t>待</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0.34</w:t>
      </w:r>
      <w:r>
        <w:rPr>
          <w:rFonts w:hint="eastAsia" w:ascii="仿宋_GB2312" w:eastAsia="仿宋_GB2312"/>
          <w:color w:val="auto"/>
          <w:sz w:val="32"/>
          <w:szCs w:val="32"/>
        </w:rPr>
        <w:t>万元，具体内容包括：</w:t>
      </w:r>
      <w:r>
        <w:rPr>
          <w:rFonts w:hint="eastAsia" w:ascii="仿宋_GB2312" w:eastAsia="仿宋_GB2312"/>
          <w:color w:val="auto"/>
          <w:sz w:val="32"/>
          <w:szCs w:val="32"/>
          <w:lang w:eastAsia="zh-CN"/>
        </w:rPr>
        <w:t>接待成都关心下一代基金会</w:t>
      </w:r>
      <w:r>
        <w:rPr>
          <w:rFonts w:hint="eastAsia" w:ascii="仿宋_GB2312" w:eastAsia="仿宋_GB2312"/>
          <w:color w:val="auto"/>
          <w:sz w:val="32"/>
          <w:szCs w:val="32"/>
          <w:lang w:val="en-US" w:eastAsia="zh-CN"/>
        </w:rPr>
        <w:t>1.80万元，接待壤塘县老干部局一行赴红原考察学习1.58</w:t>
      </w:r>
      <w:r>
        <w:rPr>
          <w:rFonts w:hint="eastAsia" w:ascii="仿宋_GB2312" w:eastAsia="仿宋_GB2312"/>
          <w:color w:val="auto"/>
          <w:sz w:val="32"/>
          <w:szCs w:val="32"/>
        </w:rPr>
        <w:t>。</w:t>
      </w:r>
    </w:p>
    <w:p>
      <w:pPr>
        <w:spacing w:line="600" w:lineRule="exact"/>
        <w:ind w:firstLine="642" w:firstLineChars="200"/>
        <w:rPr>
          <w:rFonts w:ascii="仿宋_GB2312" w:eastAsia="仿宋_GB2312"/>
          <w:sz w:val="32"/>
          <w:szCs w:val="32"/>
        </w:rPr>
      </w:pPr>
      <w:r>
        <w:rPr>
          <w:rFonts w:hint="eastAsia" w:ascii="仿宋" w:hAnsi="仿宋" w:eastAsia="仿宋"/>
          <w:b/>
          <w:sz w:val="32"/>
          <w:szCs w:val="32"/>
        </w:rPr>
        <w:t>外事接待支出</w:t>
      </w:r>
      <w:r>
        <w:rPr>
          <w:rFonts w:hint="eastAsia" w:ascii="Times New Roman" w:hAnsi="Times New Roman" w:cs="Times New Roman"/>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hint="default" w:ascii="仿宋_GB2312" w:eastAsia="仿宋_GB2312"/>
          <w:sz w:val="32"/>
          <w:szCs w:val="32"/>
          <w:lang w:val="en-US"/>
        </w:rPr>
        <w:t>0</w:t>
      </w:r>
      <w:r>
        <w:rPr>
          <w:rFonts w:hint="eastAsia" w:ascii="仿宋_GB2312" w:eastAsia="仿宋_GB2312"/>
          <w:sz w:val="32"/>
          <w:szCs w:val="32"/>
        </w:rPr>
        <w:t>批次，</w:t>
      </w:r>
      <w:r>
        <w:rPr>
          <w:rFonts w:hint="default" w:ascii="仿宋_GB2312" w:eastAsia="仿宋_GB2312"/>
          <w:sz w:val="32"/>
          <w:szCs w:val="32"/>
          <w:lang w:val="en-US"/>
        </w:rPr>
        <w:t>0</w:t>
      </w:r>
      <w:r>
        <w:rPr>
          <w:rFonts w:hint="eastAsia" w:ascii="仿宋_GB2312" w:eastAsia="仿宋_GB2312"/>
          <w:sz w:val="32"/>
          <w:szCs w:val="32"/>
        </w:rPr>
        <w:t>人次（不包括陪同人员），共计支出</w:t>
      </w:r>
      <w:r>
        <w:rPr>
          <w:rFonts w:hint="default" w:ascii="仿宋_GB2312" w:eastAsia="仿宋_GB2312"/>
          <w:sz w:val="32"/>
          <w:szCs w:val="32"/>
          <w:lang w:val="en-US"/>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61" w:name="_Toc15377218"/>
      <w:bookmarkStart w:id="62" w:name="_Toc15396610"/>
    </w:p>
    <w:p>
      <w:pPr>
        <w:pStyle w:val="5"/>
        <w:rPr>
          <w:rFonts w:hint="eastAsia" w:ascii="黑体" w:eastAsia="黑体"/>
          <w:b w:val="0"/>
          <w:lang w:eastAsia="zh-CN"/>
        </w:rPr>
      </w:pPr>
      <w:bookmarkStart w:id="63" w:name="_Toc1115397144"/>
      <w:r>
        <w:rPr>
          <w:rFonts w:hint="eastAsia" w:ascii="黑体" w:eastAsia="黑体"/>
          <w:b w:val="0"/>
          <w:lang w:eastAsia="zh-CN"/>
        </w:rPr>
        <w:t>八、政府性基金预算支出决算情况说明</w:t>
      </w:r>
      <w:bookmarkEnd w:id="61"/>
      <w:bookmarkEnd w:id="62"/>
      <w:bookmarkEnd w:id="63"/>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pStyle w:val="5"/>
        <w:rPr>
          <w:rFonts w:hint="eastAsia" w:ascii="黑体" w:eastAsia="黑体"/>
          <w:b w:val="0"/>
          <w:lang w:eastAsia="zh-CN"/>
        </w:rPr>
      </w:pPr>
      <w:bookmarkStart w:id="64" w:name="_Toc15377219"/>
      <w:bookmarkStart w:id="65" w:name="_Toc15396611"/>
      <w:bookmarkStart w:id="66" w:name="_Toc2016130714"/>
      <w:r>
        <w:rPr>
          <w:rFonts w:hint="eastAsia" w:ascii="黑体" w:eastAsia="黑体"/>
          <w:b w:val="0"/>
          <w:lang w:eastAsia="zh-CN"/>
        </w:rPr>
        <w:t>九、国有资本经营预算支出决算情况说明</w:t>
      </w:r>
      <w:bookmarkEnd w:id="64"/>
      <w:bookmarkEnd w:id="65"/>
      <w:bookmarkEnd w:id="66"/>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pStyle w:val="5"/>
        <w:rPr>
          <w:rFonts w:hint="eastAsia" w:ascii="黑体" w:eastAsia="黑体"/>
          <w:b w:val="0"/>
          <w:lang w:eastAsia="zh-CN"/>
        </w:rPr>
      </w:pPr>
      <w:bookmarkStart w:id="67" w:name="_Toc15396612"/>
      <w:bookmarkStart w:id="68" w:name="_Toc15377221"/>
      <w:bookmarkStart w:id="69" w:name="_Toc1676348698"/>
      <w:r>
        <w:rPr>
          <w:rFonts w:hint="eastAsia" w:ascii="黑体" w:eastAsia="黑体"/>
          <w:b w:val="0"/>
          <w:lang w:eastAsia="zh-CN"/>
        </w:rPr>
        <w:t>十、其他重要事项的情况说明</w:t>
      </w:r>
      <w:bookmarkEnd w:id="67"/>
      <w:bookmarkEnd w:id="68"/>
      <w:bookmarkEnd w:id="69"/>
    </w:p>
    <w:p>
      <w:pPr>
        <w:spacing w:line="600" w:lineRule="exact"/>
        <w:ind w:firstLine="642" w:firstLineChars="200"/>
        <w:outlineLvl w:val="2"/>
        <w:rPr>
          <w:rFonts w:ascii="仿宋" w:hAnsi="仿宋" w:eastAsia="仿宋"/>
          <w:color w:val="auto"/>
          <w:sz w:val="32"/>
          <w:szCs w:val="32"/>
        </w:rPr>
      </w:pPr>
      <w:bookmarkStart w:id="70" w:name="_Toc15377222"/>
      <w:r>
        <w:rPr>
          <w:rFonts w:hint="eastAsia" w:ascii="仿宋" w:hAnsi="仿宋" w:eastAsia="仿宋"/>
          <w:b/>
          <w:color w:val="auto"/>
          <w:sz w:val="32"/>
          <w:szCs w:val="32"/>
        </w:rPr>
        <w:t>（一）机关运行经费支出情况</w:t>
      </w:r>
      <w:bookmarkEnd w:id="70"/>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2024</w:t>
      </w:r>
      <w:r>
        <w:rPr>
          <w:rFonts w:hint="eastAsia" w:ascii="仿宋_GB2312" w:eastAsia="仿宋_GB2312"/>
          <w:color w:val="auto"/>
          <w:sz w:val="32"/>
          <w:szCs w:val="32"/>
        </w:rPr>
        <w:t>年度，</w:t>
      </w:r>
      <w:r>
        <w:rPr>
          <w:rFonts w:hint="eastAsia"/>
          <w:color w:val="auto"/>
          <w:sz w:val="32"/>
          <w:szCs w:val="32"/>
        </w:rPr>
        <w:t>红原县组织部</w:t>
      </w:r>
      <w:r>
        <w:rPr>
          <w:rFonts w:hint="eastAsia" w:ascii="仿宋_GB2312" w:eastAsia="仿宋_GB2312"/>
          <w:color w:val="auto"/>
          <w:sz w:val="32"/>
          <w:szCs w:val="32"/>
        </w:rPr>
        <w:t>机关运行经费支出</w:t>
      </w:r>
      <w:r>
        <w:rPr>
          <w:rFonts w:hint="eastAsia"/>
          <w:color w:val="auto"/>
          <w:sz w:val="32"/>
          <w:szCs w:val="32"/>
        </w:rPr>
        <w:t>1,855.84</w:t>
      </w:r>
      <w:r>
        <w:rPr>
          <w:rFonts w:hint="eastAsia" w:ascii="仿宋_GB2312" w:eastAsia="仿宋_GB2312"/>
          <w:color w:val="auto"/>
          <w:sz w:val="32"/>
          <w:szCs w:val="32"/>
        </w:rPr>
        <w:t>万元，比</w:t>
      </w:r>
      <w:r>
        <w:rPr>
          <w:rFonts w:hint="eastAsia" w:ascii="仿宋_GB2312" w:eastAsia="仿宋_GB2312"/>
          <w:color w:val="auto"/>
          <w:sz w:val="32"/>
          <w:szCs w:val="32"/>
          <w:lang w:eastAsia="zh-CN"/>
        </w:rPr>
        <w:t>2023</w:t>
      </w:r>
      <w:r>
        <w:rPr>
          <w:rFonts w:hint="eastAsia" w:ascii="仿宋_GB2312" w:eastAsia="仿宋_GB2312"/>
          <w:color w:val="auto"/>
          <w:sz w:val="32"/>
          <w:szCs w:val="32"/>
        </w:rPr>
        <w:t>年度增加</w:t>
      </w:r>
      <w:r>
        <w:rPr>
          <w:rFonts w:hint="eastAsia" w:ascii="仿宋_GB2312" w:eastAsia="仿宋_GB2312"/>
          <w:color w:val="auto"/>
          <w:sz w:val="32"/>
          <w:szCs w:val="32"/>
          <w:lang w:val="en-US" w:eastAsia="zh-CN"/>
        </w:rPr>
        <w:t>421.31</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29.37</w:t>
      </w:r>
      <w:r>
        <w:rPr>
          <w:rFonts w:ascii="仿宋_GB2312" w:eastAsia="仿宋_GB2312"/>
          <w:color w:val="auto"/>
          <w:sz w:val="32"/>
          <w:szCs w:val="32"/>
        </w:rPr>
        <w:t>%</w:t>
      </w:r>
      <w:r>
        <w:rPr>
          <w:rFonts w:hint="eastAsia" w:ascii="仿宋_GB2312" w:eastAsia="仿宋_GB2312"/>
          <w:color w:val="auto"/>
          <w:sz w:val="32"/>
          <w:szCs w:val="32"/>
        </w:rPr>
        <w:t>。主要原因是人员增加和项目增加。</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71" w:name="_Toc15377223"/>
      <w:r>
        <w:rPr>
          <w:rFonts w:hint="eastAsia" w:ascii="仿宋" w:hAnsi="仿宋" w:eastAsia="仿宋"/>
          <w:b/>
          <w:sz w:val="32"/>
          <w:szCs w:val="32"/>
        </w:rPr>
        <w:t>（二）政府采购支出情况</w:t>
      </w:r>
      <w:bookmarkEnd w:id="71"/>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hint="eastAsia"/>
          <w:sz w:val="32"/>
          <w:szCs w:val="32"/>
        </w:rPr>
        <w:t>红原县组织部</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2"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72" w:name="_Toc15377224"/>
      <w:r>
        <w:rPr>
          <w:rFonts w:hint="eastAsia" w:ascii="仿宋" w:hAnsi="仿宋" w:eastAsia="仿宋"/>
          <w:b/>
          <w:sz w:val="32"/>
          <w:szCs w:val="32"/>
        </w:rPr>
        <w:t>（三）国有资产占有使用情况</w:t>
      </w:r>
      <w:bookmarkEnd w:id="7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红原县组织部</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2</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根据预算绩效管理要求，本部门在</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年度预算编制阶段，组织对基层组织建设项目等</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个项目开展了预算事前绩效评估，对</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个项目开展绩效监控。</w:t>
      </w:r>
    </w:p>
    <w:p>
      <w:pPr>
        <w:spacing w:line="580" w:lineRule="exact"/>
        <w:ind w:firstLine="640" w:firstLineChars="200"/>
        <w:rPr>
          <w:rFonts w:hint="eastAsia" w:ascii="仿宋_GB2312" w:hAnsi="仿宋_GB2312" w:eastAsia="仿宋_GB2312" w:cs="仿宋_GB2312"/>
          <w:color w:val="auto"/>
          <w:sz w:val="32"/>
          <w:szCs w:val="32"/>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color w:val="auto"/>
          <w:sz w:val="32"/>
          <w:szCs w:val="32"/>
        </w:rPr>
        <w:t>组织对</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auto"/>
          <w:sz w:val="32"/>
          <w:szCs w:val="32"/>
          <w:lang w:eastAsia="zh-CN"/>
        </w:rPr>
        <w:t>中共红原县委组织部预算</w:t>
      </w:r>
      <w:r>
        <w:rPr>
          <w:rFonts w:hint="eastAsia" w:ascii="仿宋_GB2312" w:hAnsi="仿宋_GB2312" w:eastAsia="仿宋_GB2312" w:cs="仿宋_GB2312"/>
          <w:color w:val="auto"/>
          <w:sz w:val="32"/>
          <w:szCs w:val="32"/>
        </w:rPr>
        <w:t>绩效自评报告、中共红原县委组织部专项预算绩效自评报告，其中，</w:t>
      </w:r>
      <w:r>
        <w:rPr>
          <w:rFonts w:hint="eastAsia" w:ascii="仿宋_GB2312" w:hAnsi="仿宋_GB2312" w:eastAsia="仿宋_GB2312" w:cs="仿宋_GB2312"/>
          <w:color w:val="auto"/>
          <w:sz w:val="32"/>
          <w:szCs w:val="32"/>
          <w:lang w:eastAsia="zh-CN"/>
        </w:rPr>
        <w:t>中共红原县委组织部预算</w:t>
      </w:r>
      <w:r>
        <w:rPr>
          <w:rFonts w:hint="eastAsia" w:ascii="仿宋_GB2312" w:hAnsi="仿宋_GB2312" w:eastAsia="仿宋_GB2312" w:cs="仿宋_GB2312"/>
          <w:color w:val="auto"/>
          <w:sz w:val="32"/>
          <w:szCs w:val="32"/>
        </w:rPr>
        <w:t>绩效自评得分为</w:t>
      </w:r>
      <w:r>
        <w:rPr>
          <w:rFonts w:hint="eastAsia" w:ascii="仿宋_GB2312" w:hAnsi="仿宋_GB2312" w:eastAsia="仿宋_GB2312" w:cs="仿宋_GB2312"/>
          <w:color w:val="auto"/>
          <w:sz w:val="32"/>
          <w:szCs w:val="32"/>
          <w:lang w:val="en-US" w:eastAsia="zh-CN"/>
        </w:rPr>
        <w:t>93.89</w:t>
      </w:r>
      <w:r>
        <w:rPr>
          <w:rFonts w:hint="eastAsia" w:ascii="仿宋_GB2312" w:hAnsi="仿宋_GB2312" w:eastAsia="仿宋_GB2312" w:cs="仿宋_GB2312"/>
          <w:color w:val="auto"/>
          <w:sz w:val="32"/>
          <w:szCs w:val="32"/>
        </w:rPr>
        <w:t>分，绩效自评综述：绩效目标总体完成情况较好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预算执行率达标情况符合预期，资金使用效益显著，项目产出与预期目标相符，且在预算管理上表现出较高的规范性和透明度，但在预算编制精准性、支出结构优化等方面仍有提升空间；中共红原县委组织部专项预算绩效自评得分为</w:t>
      </w:r>
      <w:r>
        <w:rPr>
          <w:rFonts w:hint="eastAsia" w:ascii="仿宋_GB2312" w:hAnsi="仿宋_GB2312" w:eastAsia="仿宋_GB2312" w:cs="仿宋_GB2312"/>
          <w:color w:val="auto"/>
          <w:sz w:val="32"/>
          <w:szCs w:val="32"/>
          <w:lang w:val="en-US" w:eastAsia="zh-CN"/>
        </w:rPr>
        <w:t>94.5</w:t>
      </w:r>
      <w:r>
        <w:rPr>
          <w:rFonts w:hint="eastAsia" w:ascii="仿宋_GB2312" w:hAnsi="仿宋_GB2312" w:eastAsia="仿宋_GB2312" w:cs="仿宋_GB2312"/>
          <w:color w:val="auto"/>
          <w:sz w:val="32"/>
          <w:szCs w:val="32"/>
        </w:rPr>
        <w:t>分，绩效自评综述：基本实现了预期绩效目标，项目实施总体情况良好，后续需针对薄弱环节加强整改，进一步提升资金使用效益和项目管理水平。绩效自评报告详见附件。</w:t>
      </w:r>
    </w:p>
    <w:p>
      <w:pPr>
        <w:pStyle w:val="2"/>
      </w:pPr>
    </w:p>
    <w:p>
      <w:pPr>
        <w:pStyle w:val="4"/>
        <w:jc w:val="center"/>
      </w:pPr>
      <w:bookmarkStart w:id="73" w:name="_Toc1729432161"/>
      <w:r>
        <w:rPr>
          <w:rFonts w:hint="eastAsia"/>
        </w:rPr>
        <w:t>第三部分 名词解释</w:t>
      </w:r>
      <w:bookmarkEnd w:id="73"/>
    </w:p>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hint="eastAsia" w:ascii="仿宋_GB2312" w:eastAsia="仿宋_GB2312"/>
          <w:sz w:val="32"/>
          <w:szCs w:val="32"/>
        </w:rPr>
      </w:pPr>
      <w:r>
        <w:rPr>
          <w:rFonts w:hint="eastAsia" w:ascii="仿宋_GB2312" w:eastAsia="仿宋_GB2312"/>
          <w:sz w:val="32"/>
          <w:szCs w:val="32"/>
        </w:rPr>
        <w:t>5.使用非财政拨款结余（含专用结余）：指事业单位使用以前年度积累的非财政拨款结余弥补当年收支差额的金额。</w:t>
      </w:r>
    </w:p>
    <w:p>
      <w:pPr>
        <w:ind w:firstLine="640" w:firstLineChars="200"/>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9.一般公共服务（类）民族事务（款）其他民族事务支出2012399（项）：其他用于保障民族事务管理、促进民族团结进步、支持少数民族发展等方面的支出。</w:t>
      </w:r>
    </w:p>
    <w:p>
      <w:pPr>
        <w:ind w:firstLine="640" w:firstLineChars="200"/>
        <w:rPr>
          <w:rFonts w:hint="eastAsia" w:ascii="仿宋_GB2312" w:eastAsia="仿宋_GB2312"/>
          <w:sz w:val="32"/>
          <w:szCs w:val="32"/>
        </w:rPr>
      </w:pPr>
      <w:r>
        <w:rPr>
          <w:rFonts w:hint="eastAsia" w:ascii="仿宋_GB2312" w:eastAsia="仿宋_GB2312"/>
          <w:sz w:val="32"/>
          <w:szCs w:val="32"/>
        </w:rPr>
        <w:t>10.一般公共服务（类）组织事务（款）行政运行2013201（项）：</w:t>
      </w:r>
      <w:r>
        <w:rPr>
          <w:rFonts w:hint="default" w:ascii="Times New Roman" w:hAnsi="Times New Roman" w:eastAsia="仿宋_GB2312" w:cs="Times New Roman"/>
          <w:sz w:val="32"/>
          <w:szCs w:val="32"/>
        </w:rPr>
        <w:t>指行政单位（包括实行公务员管理的事业单位）的基本支出</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.一般公共服务（类）组织事务（款）一般行政管理事务2013202（项）：指未单独设置项级科目的其他项目支出。</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.一般公共服务（类）组织事务（款）公务员事务201320</w:t>
      </w:r>
      <w:r>
        <w:rPr>
          <w:rFonts w:hint="eastAsia" w:ascii="仿宋_GB2312" w:eastAsia="仿宋_GB2312"/>
          <w:sz w:val="32"/>
          <w:szCs w:val="32"/>
          <w:lang w:val="en-US" w:eastAsia="zh-CN"/>
        </w:rPr>
        <w:t>4</w:t>
      </w:r>
      <w:r>
        <w:rPr>
          <w:rFonts w:hint="eastAsia" w:ascii="仿宋_GB2312" w:eastAsia="仿宋_GB2312"/>
          <w:sz w:val="32"/>
          <w:szCs w:val="32"/>
        </w:rPr>
        <w:t>（项）：指用于公务员管理事务方面的支出</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.一般公共服务（类）组织事务（款）事业运行20132</w:t>
      </w:r>
      <w:r>
        <w:rPr>
          <w:rFonts w:hint="eastAsia" w:ascii="仿宋_GB2312" w:eastAsia="仿宋_GB2312"/>
          <w:sz w:val="32"/>
          <w:szCs w:val="32"/>
          <w:lang w:val="en-US" w:eastAsia="zh-CN"/>
        </w:rPr>
        <w:t>50</w:t>
      </w:r>
      <w:r>
        <w:rPr>
          <w:rFonts w:hint="eastAsia" w:ascii="仿宋_GB2312" w:eastAsia="仿宋_GB2312"/>
          <w:sz w:val="32"/>
          <w:szCs w:val="32"/>
        </w:rPr>
        <w:t>（项）：</w:t>
      </w:r>
      <w:r>
        <w:rPr>
          <w:rFonts w:hint="default" w:ascii="Times New Roman" w:hAnsi="Times New Roman" w:eastAsia="仿宋_GB2312" w:cs="Times New Roman"/>
          <w:sz w:val="32"/>
          <w:szCs w:val="32"/>
        </w:rPr>
        <w:t>指事业单位的基本支出</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.一般公共服务（类）组织事务（款）其他组织事务支出20132</w:t>
      </w:r>
      <w:r>
        <w:rPr>
          <w:rFonts w:hint="eastAsia" w:ascii="仿宋_GB2312" w:eastAsia="仿宋_GB2312"/>
          <w:sz w:val="32"/>
          <w:szCs w:val="32"/>
          <w:lang w:val="en-US" w:eastAsia="zh-CN"/>
        </w:rPr>
        <w:t>99</w:t>
      </w:r>
      <w:r>
        <w:rPr>
          <w:rFonts w:hint="eastAsia" w:ascii="仿宋_GB2312" w:eastAsia="仿宋_GB2312"/>
          <w:sz w:val="32"/>
          <w:szCs w:val="32"/>
        </w:rPr>
        <w:t>（项）：指除上述项级科目以外，其他用于组织事务方面的支出。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.教育支出（类）进修及培训（款）培训支出2050803（项）：指用于培训的支出。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.教育支出（类）其他教育支出（款）其他教育支出2059999（项）：指除上述各类教育支出以外，其他用于教育方面的支出。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7</w:t>
      </w:r>
      <w:r>
        <w:rPr>
          <w:rFonts w:hint="eastAsia" w:ascii="仿宋_GB2312" w:eastAsia="仿宋_GB2312"/>
          <w:sz w:val="32"/>
          <w:szCs w:val="32"/>
        </w:rPr>
        <w:t>.社会保障和就业支出（类）行政事业单位养老支出（款）机关事业单位基本养老保险缴费支出2080505（项）：指机关事业单位实施养老保险制度由单位缴纳的基本养老保险费支出。</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hint="eastAsia" w:ascii="仿宋_GB2312" w:eastAsia="仿宋_GB2312"/>
          <w:sz w:val="32"/>
          <w:szCs w:val="32"/>
        </w:rPr>
        <w:t>.社会保障和就业支出（类）行政事业单位养老支出（款）机关事业单位职业年金缴费支出208050</w:t>
      </w:r>
      <w:r>
        <w:rPr>
          <w:rFonts w:hint="eastAsia" w:ascii="仿宋_GB2312" w:eastAsia="仿宋_GB2312"/>
          <w:sz w:val="32"/>
          <w:szCs w:val="32"/>
          <w:lang w:val="en-US" w:eastAsia="zh-CN"/>
        </w:rPr>
        <w:t>6</w:t>
      </w:r>
      <w:r>
        <w:rPr>
          <w:rFonts w:hint="eastAsia" w:ascii="仿宋_GB2312" w:eastAsia="仿宋_GB2312"/>
          <w:sz w:val="32"/>
          <w:szCs w:val="32"/>
        </w:rPr>
        <w:t>（项）：指机关事业单位实施养老保险制度由单位实际缴纳的职业年金支出。。</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19</w:t>
      </w:r>
      <w:r>
        <w:rPr>
          <w:rFonts w:hint="eastAsia" w:ascii="仿宋_GB2312" w:eastAsia="仿宋_GB2312"/>
          <w:sz w:val="32"/>
          <w:szCs w:val="32"/>
        </w:rPr>
        <w:t>.卫生健康支出（类）行政事业单位医疗（款）行政单位医疗2101101（项）：指基本医疗保险缴费经费。</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.卫生健康支出（类）行政事业单位医疗（款）事业单位医疗210110</w:t>
      </w:r>
      <w:r>
        <w:rPr>
          <w:rFonts w:hint="eastAsia" w:ascii="仿宋_GB2312" w:eastAsia="仿宋_GB2312"/>
          <w:sz w:val="32"/>
          <w:szCs w:val="32"/>
          <w:lang w:val="en-US" w:eastAsia="zh-CN"/>
        </w:rPr>
        <w:t>2</w:t>
      </w:r>
      <w:r>
        <w:rPr>
          <w:rFonts w:hint="eastAsia" w:ascii="仿宋_GB2312" w:eastAsia="仿宋_GB2312"/>
          <w:sz w:val="32"/>
          <w:szCs w:val="32"/>
        </w:rPr>
        <w:t>（项）：指财政部门安排的事业单位基本医疗保险缴费经费。</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21</w:t>
      </w:r>
      <w:r>
        <w:rPr>
          <w:rFonts w:hint="eastAsia" w:ascii="仿宋_GB2312" w:eastAsia="仿宋_GB2312"/>
          <w:sz w:val="32"/>
          <w:szCs w:val="32"/>
        </w:rPr>
        <w:t>.卫生健康支出（类）行政事业单位医疗（款）公务员医疗补助210110</w:t>
      </w:r>
      <w:r>
        <w:rPr>
          <w:rFonts w:hint="eastAsia" w:ascii="仿宋_GB2312" w:eastAsia="仿宋_GB2312"/>
          <w:sz w:val="32"/>
          <w:szCs w:val="32"/>
          <w:lang w:val="en-US" w:eastAsia="zh-CN"/>
        </w:rPr>
        <w:t>3</w:t>
      </w:r>
      <w:r>
        <w:rPr>
          <w:rFonts w:hint="eastAsia" w:ascii="仿宋_GB2312" w:eastAsia="仿宋_GB2312"/>
          <w:sz w:val="32"/>
          <w:szCs w:val="32"/>
        </w:rPr>
        <w:t>（项）：指财政部门安排的公务员医疗补助经费。</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22</w:t>
      </w:r>
      <w:r>
        <w:rPr>
          <w:rFonts w:hint="eastAsia" w:ascii="仿宋_GB2312" w:eastAsia="仿宋_GB2312"/>
          <w:sz w:val="32"/>
          <w:szCs w:val="32"/>
        </w:rPr>
        <w:t>.卫生健康支出（类）行政事业单位医疗（款）其他行政事业单位医疗支出21011</w:t>
      </w:r>
      <w:r>
        <w:rPr>
          <w:rFonts w:hint="eastAsia" w:ascii="仿宋_GB2312" w:eastAsia="仿宋_GB2312"/>
          <w:sz w:val="32"/>
          <w:szCs w:val="32"/>
          <w:lang w:val="en-US" w:eastAsia="zh-CN"/>
        </w:rPr>
        <w:t>99</w:t>
      </w:r>
      <w:r>
        <w:rPr>
          <w:rFonts w:hint="eastAsia" w:ascii="仿宋_GB2312" w:eastAsia="仿宋_GB2312"/>
          <w:sz w:val="32"/>
          <w:szCs w:val="32"/>
        </w:rPr>
        <w:t>（项）：指除上述项目以外，其他用于行政事业单位医疗方面的支出。</w:t>
      </w:r>
    </w:p>
    <w:p>
      <w:pPr>
        <w:ind w:firstLine="640" w:firstLineChars="200"/>
        <w:rPr>
          <w:rFonts w:ascii="仿宋" w:hAnsi="仿宋" w:eastAsia="仿宋"/>
          <w:b/>
          <w:sz w:val="32"/>
          <w:szCs w:val="32"/>
        </w:rPr>
      </w:pPr>
      <w:r>
        <w:rPr>
          <w:rFonts w:hint="eastAsia" w:ascii="仿宋_GB2312" w:eastAsia="仿宋_GB2312"/>
          <w:sz w:val="32"/>
          <w:szCs w:val="32"/>
          <w:lang w:val="en-US" w:eastAsia="zh-CN"/>
        </w:rPr>
        <w:t>23</w:t>
      </w:r>
      <w:r>
        <w:rPr>
          <w:rFonts w:hint="eastAsia" w:ascii="仿宋_GB2312" w:eastAsia="仿宋_GB2312"/>
          <w:sz w:val="32"/>
          <w:szCs w:val="32"/>
        </w:rPr>
        <w:t>.住房保障支出（类）住房改革支出（款）住房公积金2210201（项）：指行政事业单位按人力资源和社会保障部、财政部规定的基本工资和津贴补贴以及规定比例为职工缴纳的住房公积金。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2" w:firstLineChars="200"/>
        <w:rPr>
          <w:rFonts w:ascii="仿宋" w:hAnsi="仿宋" w:eastAsia="仿宋"/>
          <w:b/>
          <w:sz w:val="32"/>
          <w:szCs w:val="32"/>
        </w:rPr>
      </w:pPr>
      <w:r>
        <w:rPr>
          <w:rFonts w:ascii="仿宋" w:hAnsi="仿宋" w:eastAsia="仿宋"/>
          <w:b/>
          <w:sz w:val="32"/>
          <w:szCs w:val="32"/>
        </w:rPr>
        <w:br w:type="page"/>
      </w:r>
    </w:p>
    <w:p>
      <w:pPr>
        <w:pStyle w:val="4"/>
        <w:jc w:val="center"/>
        <w:rPr>
          <w:rFonts w:ascii="黑体" w:hAnsi="黑体" w:eastAsia="黑体"/>
          <w:b w:val="0"/>
        </w:rPr>
      </w:pPr>
      <w:bookmarkStart w:id="74" w:name="_Toc1835773856"/>
      <w:r>
        <w:rPr>
          <w:rFonts w:hint="eastAsia" w:ascii="黑体" w:hAnsi="黑体" w:eastAsia="黑体"/>
          <w:b w:val="0"/>
        </w:rPr>
        <w:t>第四部分 附件</w:t>
      </w:r>
      <w:bookmarkEnd w:id="74"/>
    </w:p>
    <w:p/>
    <w:p>
      <w:pPr>
        <w:rPr>
          <w:rFonts w:ascii="黑体" w:hAnsi="黑体" w:eastAsia="黑体"/>
          <w:sz w:val="32"/>
          <w:szCs w:val="32"/>
        </w:rPr>
      </w:pPr>
      <w:r>
        <w:rPr>
          <w:rFonts w:hint="eastAsia" w:ascii="黑体" w:hAnsi="黑体" w:eastAsia="黑体"/>
          <w:sz w:val="32"/>
          <w:szCs w:val="32"/>
        </w:rPr>
        <w:t>附件1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lang w:eastAsia="zh-CN"/>
        </w:rPr>
      </w:pPr>
      <w:r>
        <w:rPr>
          <w:rFonts w:hint="eastAsia" w:ascii="Times New Roman" w:hAnsi="Times New Roman" w:eastAsia="方正小标宋简体" w:cs="Times New Roman"/>
          <w:b w:val="0"/>
          <w:bCs/>
          <w:sz w:val="44"/>
          <w:szCs w:val="44"/>
          <w:highlight w:val="none"/>
          <w:shd w:val="clear" w:color="auto" w:fill="FFFFFF"/>
          <w:lang w:eastAsia="zh-CN"/>
        </w:rPr>
        <w:t>中共红原县委组织部</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自评</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我部是县委主管组织工作、干部工作、老干部工作、公务员工作、人才工作、县直机关工委工作的县委职能部门，为正科级，列县委工作机关序列。挂直属机关工作委员会、老干部局、公务员局牌子。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仿宋_GB2312" w:cs="Times New Roman"/>
          <w:sz w:val="32"/>
          <w:szCs w:val="32"/>
          <w:lang w:val="en-US" w:eastAsia="zh-CN"/>
        </w:rPr>
        <w:t>我部贯彻新时代党的建设总要求和党的组织路线，落实县委相关决策部署。（1）负责全县的组织体系、组织制度建设，负责基层党组织建设规划指导和党员队伍宏观管理，指导开展党员教育工作。（2）负责全县科级领导班子和干部队伍建设的总体规划和宏观管理。负责县委管理科级领导班子和领导干部的考察考核、日常管理。负责全县优秀年轻干部队伍建设工作。（3）负责管理全县公务员工作。（4）负责全县人才队伍建设宏观指导、政策落实、综合协调和督促检查。（5）负责组织、指导全县干部教育培训工作的宏观指导、政策规划、组织协调和督促检查，负责县委重点培训项目的策划、实施和管理，指导全县干部教育培训基地建设管理、师资队伍建设等工作。（6）负责全县干部监督工作的宏观指导和综合协调，制定和落实干部监督工作制度。（7）负责副县级及以上离退休干部的管理和服务。（8）负责制定全县直属机关党的建设工作规划。（9）统一归口管理县委机构编制委员会办公室。（10）承担县委党建领导小组、县人才工作领导小组日常工作。（11）完成县委交办的其他任务。</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2"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w:t>
      </w:r>
      <w:r>
        <w:rPr>
          <w:rFonts w:hint="eastAsia" w:ascii="Times New Roman" w:hAnsi="Times New Roman" w:eastAsia="仿宋_GB2312" w:cs="Times New Roman"/>
          <w:sz w:val="32"/>
          <w:szCs w:val="32"/>
          <w:lang w:val="en-US" w:eastAsia="zh-CN"/>
        </w:rPr>
        <w:t>我部及所属事业单位机构编制总数34名，实有人员31名。核定领导职数8名（3正5副），实配领导7名（3正4副）。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内设机构5个，挂县委老干部局、公务员局、县直机关工委。核机关工勤事业人员编制2名。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下属参照公务员管理的事业单位2个，党员教育中心，实有编制8名，实有人员8人；玉堂干休所，实有编制2名，实有人员2人.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下属公益一类事业单位3个，信息中心，实有编制4名，实有人员2人；关心下一代工作委员会，实有编制1名，实有人员1名；老干部活动中心，实有编制3名，实有人员2名。</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rPr>
      </w:pPr>
      <w:r>
        <w:rPr>
          <w:rFonts w:hint="eastAsia" w:ascii="Times New Roman" w:hAnsi="Times New Roman" w:eastAsia="仿宋_GB2312" w:cs="Times New Roman"/>
          <w:sz w:val="32"/>
          <w:szCs w:val="32"/>
          <w:lang w:val="en-US" w:eastAsia="zh-CN"/>
        </w:rPr>
        <w:t>中共红原县委员会组织部</w:t>
      </w:r>
      <w:r>
        <w:rPr>
          <w:rFonts w:hint="eastAsia" w:ascii="Times New Roman" w:hAnsi="Times New Roman" w:eastAsia="仿宋_GB2312" w:cs="Times New Roman"/>
          <w:color w:val="000000"/>
          <w:sz w:val="32"/>
          <w:szCs w:val="32"/>
          <w:lang w:val="en-US" w:eastAsia="zh-CN"/>
        </w:rPr>
        <w:t>2024年年初预算收入数为1380.19万元，2024年度决算报表收入全年预算数为2296.59万元，2024年度决算报表收入决算数为2131.85万元。</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rPr>
      </w:pPr>
      <w:r>
        <w:rPr>
          <w:rFonts w:hint="eastAsia" w:ascii="Times New Roman" w:hAnsi="Times New Roman" w:eastAsia="仿宋_GB2312" w:cs="Times New Roman"/>
          <w:sz w:val="32"/>
          <w:szCs w:val="32"/>
          <w:lang w:val="en-US" w:eastAsia="zh-CN"/>
        </w:rPr>
        <w:t>中共红原县委员会组织部</w:t>
      </w:r>
      <w:r>
        <w:rPr>
          <w:rFonts w:hint="eastAsia" w:ascii="Times New Roman" w:hAnsi="Times New Roman" w:eastAsia="仿宋_GB2312" w:cs="Times New Roman"/>
          <w:color w:val="000000"/>
          <w:sz w:val="32"/>
          <w:szCs w:val="32"/>
          <w:lang w:val="en-US" w:eastAsia="zh-CN"/>
        </w:rPr>
        <w:t>2024年年初预算支出数为1380.19万元，2024年度决算报表支出全年预算数为2296.59万元，2024年度决算报表支出决算数为2131.85万元。</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outlineLvl w:val="9"/>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仿宋_GB2312" w:cs="Times New Roman"/>
          <w:sz w:val="32"/>
          <w:szCs w:val="32"/>
          <w:lang w:val="en-US" w:eastAsia="zh-CN"/>
        </w:rPr>
        <w:t>中共红原县委员会组织部202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年年末无资金结转和结余。</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w:t>
      </w:r>
      <w:r>
        <w:rPr>
          <w:rFonts w:hint="default" w:ascii="Times New Roman" w:hAnsi="Times New Roman" w:eastAsia="黑体" w:cs="Times New Roman"/>
          <w:color w:val="auto"/>
          <w:kern w:val="0"/>
          <w:sz w:val="32"/>
          <w:szCs w:val="32"/>
          <w:highlight w:val="none"/>
          <w:u w:val="none"/>
          <w:shd w:val="clear" w:color="auto" w:fill="FFFFFF"/>
        </w:rPr>
        <w:t>部门</w:t>
      </w:r>
      <w:r>
        <w:rPr>
          <w:rFonts w:hint="default" w:ascii="Times New Roman" w:hAnsi="Times New Roman" w:eastAsia="黑体" w:cs="Times New Roman"/>
          <w:color w:val="auto"/>
          <w:kern w:val="0"/>
          <w:sz w:val="32"/>
          <w:szCs w:val="32"/>
          <w:highlight w:val="none"/>
          <w:u w:val="none"/>
          <w:shd w:val="clear" w:color="auto" w:fill="FFFFFF"/>
          <w:lang w:eastAsia="zh-CN"/>
        </w:rPr>
        <w:t>预算</w:t>
      </w:r>
      <w:r>
        <w:rPr>
          <w:rFonts w:hint="default" w:ascii="Times New Roman" w:hAnsi="Times New Roman" w:eastAsia="黑体" w:cs="Times New Roman"/>
          <w:color w:val="auto"/>
          <w:kern w:val="0"/>
          <w:sz w:val="32"/>
          <w:szCs w:val="32"/>
          <w:highlight w:val="none"/>
          <w:u w:val="none"/>
          <w:shd w:val="clear" w:color="auto" w:fill="FFFFFF"/>
        </w:rPr>
        <w:t>绩效</w:t>
      </w:r>
      <w:r>
        <w:rPr>
          <w:rFonts w:hint="default" w:ascii="Times New Roman" w:hAnsi="Times New Roman" w:eastAsia="黑体" w:cs="Times New Roman"/>
          <w:color w:val="auto"/>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项目名称1：基层组织建设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产出指标：基层组织建设工作完成率100%。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效益指标：有效保障基层组织建设工作正常开展，持续巩固牧区基层党建示范县建设，确保其持续巩固工作的全面开展。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成本指标：预计数</w:t>
      </w:r>
      <w:r>
        <w:rPr>
          <w:rFonts w:hint="eastAsia" w:ascii="Times New Roman" w:hAnsi="Times New Roman" w:eastAsia="仿宋_GB2312" w:cs="Times New Roman"/>
          <w:color w:val="000000"/>
          <w:kern w:val="0"/>
          <w:sz w:val="32"/>
          <w:szCs w:val="32"/>
          <w:highlight w:val="none"/>
          <w:shd w:val="clear" w:color="auto" w:fill="FFFFFF"/>
          <w:lang w:val="en-US" w:eastAsia="zh-CN"/>
        </w:rPr>
        <w:t>20</w:t>
      </w:r>
      <w:r>
        <w:rPr>
          <w:rFonts w:hint="eastAsia" w:ascii="Times New Roman" w:hAnsi="Times New Roman" w:eastAsia="仿宋_GB2312" w:cs="Times New Roman"/>
          <w:color w:val="000000"/>
          <w:kern w:val="0"/>
          <w:sz w:val="32"/>
          <w:szCs w:val="32"/>
          <w:highlight w:val="none"/>
          <w:shd w:val="clear" w:color="auto" w:fill="FFFFFF"/>
          <w:lang w:val="zh-CN"/>
        </w:rPr>
        <w:t>.00万元，已完成计划的</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w:t>
      </w:r>
      <w:r>
        <w:rPr>
          <w:rFonts w:hint="eastAsia" w:ascii="Times New Roman" w:hAnsi="Times New Roman" w:eastAsia="仿宋_GB2312" w:cs="Times New Roman"/>
          <w:color w:val="000000"/>
          <w:kern w:val="0"/>
          <w:sz w:val="32"/>
          <w:szCs w:val="32"/>
          <w:highlight w:val="none"/>
          <w:shd w:val="clear" w:color="auto" w:fill="FFFFFF"/>
          <w:lang w:val="en-US" w:eastAsia="zh-CN"/>
        </w:rPr>
        <w:t>2</w:t>
      </w:r>
      <w:r>
        <w:rPr>
          <w:rFonts w:hint="eastAsia" w:ascii="Times New Roman" w:hAnsi="Times New Roman" w:eastAsia="仿宋_GB2312" w:cs="Times New Roman"/>
          <w:color w:val="000000"/>
          <w:kern w:val="0"/>
          <w:sz w:val="32"/>
          <w:szCs w:val="32"/>
          <w:highlight w:val="none"/>
          <w:shd w:val="clear" w:color="auto" w:fill="FFFFFF"/>
          <w:lang w:val="zh-CN"/>
        </w:rPr>
        <w:t>：副县级以上离退休干部春节慰问金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产出指标：慰问人数大于</w:t>
      </w:r>
      <w:r>
        <w:rPr>
          <w:rFonts w:hint="eastAsia" w:ascii="Times New Roman" w:hAnsi="Times New Roman" w:eastAsia="仿宋_GB2312" w:cs="Times New Roman"/>
          <w:color w:val="000000"/>
          <w:kern w:val="0"/>
          <w:sz w:val="32"/>
          <w:szCs w:val="32"/>
          <w:highlight w:val="none"/>
          <w:shd w:val="clear" w:color="auto" w:fill="FFFFFF"/>
          <w:lang w:val="en-US" w:eastAsia="zh-CN"/>
        </w:rPr>
        <w:t>148人。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效益指标：有效传递党和政府对退休干部的关心关爱。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满意度指标：退休干部满意度100%。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项目名称</w:t>
      </w:r>
      <w:r>
        <w:rPr>
          <w:rFonts w:hint="eastAsia" w:ascii="Times New Roman" w:hAnsi="Times New Roman" w:eastAsia="仿宋_GB2312" w:cs="Times New Roman"/>
          <w:color w:val="000000"/>
          <w:kern w:val="0"/>
          <w:sz w:val="32"/>
          <w:szCs w:val="32"/>
          <w:highlight w:val="none"/>
          <w:shd w:val="clear" w:color="auto" w:fill="FFFFFF"/>
          <w:lang w:val="en-US" w:eastAsia="zh-CN"/>
        </w:rPr>
        <w:t>3</w:t>
      </w:r>
      <w:r>
        <w:rPr>
          <w:rFonts w:hint="eastAsia" w:ascii="Times New Roman" w:hAnsi="Times New Roman" w:eastAsia="仿宋_GB2312" w:cs="Times New Roman"/>
          <w:color w:val="000000"/>
          <w:kern w:val="0"/>
          <w:sz w:val="32"/>
          <w:szCs w:val="32"/>
          <w:highlight w:val="none"/>
          <w:shd w:val="clear" w:color="auto" w:fill="FFFFFF"/>
          <w:lang w:val="zh-CN"/>
        </w:rPr>
        <w:t>：县派“第一书记”和驻村工作队员乡镇工作补贴和临岗补贴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产出指标：津贴补贴发放完成率</w:t>
      </w:r>
      <w:r>
        <w:rPr>
          <w:rFonts w:hint="eastAsia" w:ascii="Times New Roman" w:hAnsi="Times New Roman" w:eastAsia="仿宋_GB2312" w:cs="Times New Roman"/>
          <w:color w:val="000000"/>
          <w:kern w:val="0"/>
          <w:sz w:val="32"/>
          <w:szCs w:val="32"/>
          <w:highlight w:val="none"/>
          <w:shd w:val="clear" w:color="auto" w:fill="FFFFFF"/>
          <w:lang w:val="en-US" w:eastAsia="zh-CN"/>
        </w:rPr>
        <w:t>100%，预算执行率93.44%。</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效益指标：进一步保障“第一书记”和驻村工作队员各项待遇落实。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满意度指标：“第一书记”和驻村工作队员满意度100%。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color w:val="000000" w:themeColor="text1"/>
          <w:kern w:val="0"/>
          <w:sz w:val="32"/>
          <w:szCs w:val="32"/>
          <w:highlight w:val="none"/>
          <w:shd w:val="clear" w:color="auto" w:fill="FFFFFF"/>
          <w:lang w:val="en-US" w:eastAsia="zh-CN"/>
          <w14:textFill>
            <w14:solidFill>
              <w14:schemeClr w14:val="tx1"/>
            </w14:solidFill>
          </w14:textFill>
        </w:rPr>
        <w:t>2.</w:t>
      </w:r>
      <w:r>
        <w:rPr>
          <w:rFonts w:hint="default" w:ascii="Times New Roman" w:hAnsi="Times New Roman" w:eastAsia="楷体_GB2312" w:cs="Times New Roman"/>
          <w:color w:val="000000" w:themeColor="text1"/>
          <w:kern w:val="0"/>
          <w:sz w:val="32"/>
          <w:szCs w:val="32"/>
          <w:highlight w:val="none"/>
          <w:shd w:val="clear" w:color="auto" w:fill="FFFFFF"/>
          <w:lang w:val="zh-CN"/>
          <w14:textFill>
            <w14:solidFill>
              <w14:schemeClr w14:val="tx1"/>
            </w14:solidFill>
          </w14:textFill>
        </w:rPr>
        <w:t>预算管理。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严格按要求编制年初部门预算，基于历史数据、趋势和部门需求进行合理预测，严控“三公”经费、会议、培训、差旅、办节办展、办公设备购置、信息网络及软件购置更新、课题经费等8项一般性支出情况，保证年初预算编制的科学性和准确性。202</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年年末无资金结转和结余。指标总分25分，评价得分19.</w:t>
      </w:r>
      <w:r>
        <w:rPr>
          <w:rFonts w:hint="eastAsia" w:ascii="Times New Roman" w:hAnsi="Times New Roman" w:eastAsia="仿宋_GB2312" w:cs="Times New Roman"/>
          <w:color w:val="000000"/>
          <w:kern w:val="0"/>
          <w:sz w:val="32"/>
          <w:szCs w:val="32"/>
          <w:highlight w:val="none"/>
          <w:shd w:val="clear" w:color="auto" w:fill="FFFFFF"/>
          <w:lang w:val="en-US" w:eastAsia="zh-CN"/>
        </w:rPr>
        <w:t>94</w:t>
      </w:r>
      <w:r>
        <w:rPr>
          <w:rFonts w:hint="default" w:ascii="Times New Roman" w:hAnsi="Times New Roman" w:eastAsia="仿宋_GB2312" w:cs="Times New Roman"/>
          <w:color w:val="000000"/>
          <w:kern w:val="0"/>
          <w:sz w:val="32"/>
          <w:szCs w:val="32"/>
          <w:highlight w:val="none"/>
          <w:shd w:val="clear" w:color="auto" w:fill="FFFFFF"/>
          <w:lang w:val="zh-CN"/>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rPr>
        <w:t>财务管理。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已制定内部财务管理制度等制度机制，并严格落实财务管理制度，确保所有财务活动遵循国家法律法规和部门内部政策。合理设置财务工作岗位，明确职责权限，并严格实行不相容岗位分离。资金使用符合相关财务管理制度规定。指标总分10分，评价得分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4.</w:t>
      </w:r>
      <w:r>
        <w:rPr>
          <w:rFonts w:hint="default" w:ascii="Times New Roman" w:hAnsi="Times New Roman" w:eastAsia="楷体_GB2312" w:cs="Times New Roman"/>
          <w:color w:val="000000"/>
          <w:kern w:val="0"/>
          <w:sz w:val="32"/>
          <w:szCs w:val="32"/>
          <w:highlight w:val="none"/>
          <w:shd w:val="clear" w:color="auto" w:fill="FFFFFF"/>
          <w:lang w:val="zh-CN"/>
        </w:rPr>
        <w:t>资产管理。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部门充分利用资产，并通过资产整合、优化配置以提高整体资产效益。指标总分9分，评价得分9分。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5.</w:t>
      </w:r>
      <w:r>
        <w:rPr>
          <w:rFonts w:hint="default" w:ascii="Times New Roman" w:hAnsi="Times New Roman" w:eastAsia="楷体_GB2312" w:cs="Times New Roman"/>
          <w:color w:val="000000"/>
          <w:kern w:val="0"/>
          <w:sz w:val="32"/>
          <w:szCs w:val="32"/>
          <w:highlight w:val="none"/>
          <w:shd w:val="clear" w:color="auto" w:fill="FFFFFF"/>
          <w:lang w:val="zh-CN"/>
        </w:rPr>
        <w:t>采购管理。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部门严格执行政府采购促进中小企业发展相关管理办法。指标总分</w:t>
      </w:r>
      <w:r>
        <w:rPr>
          <w:rFonts w:hint="eastAsia" w:ascii="Times New Roman" w:hAnsi="Times New Roman" w:eastAsia="仿宋_GB2312" w:cs="Times New Roman"/>
          <w:color w:val="000000"/>
          <w:kern w:val="0"/>
          <w:sz w:val="32"/>
          <w:szCs w:val="32"/>
          <w:highlight w:val="none"/>
          <w:shd w:val="clear" w:color="auto" w:fill="FFFFFF"/>
          <w:lang w:val="en-US" w:eastAsia="zh-CN"/>
        </w:rPr>
        <w:t>6分，评价得分5.75分。</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auto"/>
          <w:kern w:val="0"/>
          <w:sz w:val="32"/>
          <w:szCs w:val="32"/>
          <w:highlight w:val="none"/>
          <w:shd w:val="clear" w:color="auto" w:fill="FFFFFF"/>
          <w:lang w:val="zh-CN" w:eastAsia="zh-CN"/>
        </w:rPr>
      </w:pPr>
      <w:r>
        <w:rPr>
          <w:rFonts w:hint="default" w:ascii="Times New Roman" w:hAnsi="Times New Roman" w:eastAsia="仿宋_GB2312" w:cs="Times New Roman"/>
          <w:color w:val="auto"/>
          <w:kern w:val="0"/>
          <w:sz w:val="32"/>
          <w:szCs w:val="32"/>
          <w:highlight w:val="none"/>
          <w:shd w:val="clear" w:color="auto" w:fill="FFFFFF"/>
          <w:lang w:val="en-US" w:eastAsia="zh-CN"/>
        </w:rPr>
        <w:t>常年项目绩效分析。</w:t>
      </w:r>
      <w:r>
        <w:rPr>
          <w:rFonts w:hint="default" w:ascii="Times New Roman" w:hAnsi="Times New Roman" w:eastAsia="仿宋_GB2312" w:cs="Times New Roman"/>
          <w:color w:val="auto"/>
          <w:kern w:val="0"/>
          <w:sz w:val="32"/>
          <w:szCs w:val="32"/>
          <w:highlight w:val="none"/>
          <w:shd w:val="clear" w:color="auto" w:fill="FFFFFF"/>
          <w:lang w:val="zh-CN" w:eastAsia="zh-CN"/>
        </w:rPr>
        <w:t>该类项目总数</w:t>
      </w:r>
      <w:r>
        <w:rPr>
          <w:rFonts w:hint="eastAsia" w:ascii="Times New Roman" w:hAnsi="Times New Roman" w:eastAsia="仿宋_GB2312" w:cs="Times New Roman"/>
          <w:color w:val="auto"/>
          <w:kern w:val="0"/>
          <w:sz w:val="32"/>
          <w:szCs w:val="32"/>
          <w:highlight w:val="none"/>
          <w:shd w:val="clear" w:color="auto" w:fill="FFFFFF"/>
          <w:lang w:val="en-US" w:eastAsia="zh-CN"/>
        </w:rPr>
        <w:t>30</w:t>
      </w:r>
      <w:r>
        <w:rPr>
          <w:rFonts w:hint="default" w:ascii="Times New Roman" w:hAnsi="Times New Roman" w:eastAsia="仿宋_GB2312" w:cs="Times New Roman"/>
          <w:color w:val="auto"/>
          <w:kern w:val="0"/>
          <w:sz w:val="32"/>
          <w:szCs w:val="32"/>
          <w:highlight w:val="none"/>
          <w:shd w:val="clear" w:color="auto" w:fill="FFFFFF"/>
          <w:lang w:val="zh-CN" w:eastAsia="zh-CN"/>
        </w:rPr>
        <w:t>个，涉及预算总金额</w:t>
      </w:r>
      <w:r>
        <w:rPr>
          <w:rFonts w:hint="eastAsia" w:ascii="Times New Roman" w:hAnsi="Times New Roman" w:eastAsia="仿宋_GB2312" w:cs="Times New Roman"/>
          <w:color w:val="auto"/>
          <w:kern w:val="0"/>
          <w:sz w:val="32"/>
          <w:szCs w:val="32"/>
          <w:highlight w:val="none"/>
          <w:shd w:val="clear" w:color="auto" w:fill="FFFFFF"/>
          <w:lang w:val="en-US" w:eastAsia="zh-CN"/>
        </w:rPr>
        <w:t>543.13</w:t>
      </w:r>
      <w:r>
        <w:rPr>
          <w:rFonts w:hint="default" w:ascii="Times New Roman" w:hAnsi="Times New Roman" w:eastAsia="仿宋_GB2312" w:cs="Times New Roman"/>
          <w:color w:val="auto"/>
          <w:kern w:val="0"/>
          <w:sz w:val="32"/>
          <w:szCs w:val="32"/>
          <w:highlight w:val="none"/>
          <w:shd w:val="clear" w:color="auto" w:fill="FFFFFF"/>
          <w:lang w:val="zh-CN" w:eastAsia="zh-CN"/>
        </w:rPr>
        <w:t>万元，</w:t>
      </w:r>
      <w:r>
        <w:rPr>
          <w:rFonts w:hint="default" w:ascii="Times New Roman" w:hAnsi="Times New Roman" w:eastAsia="仿宋_GB2312" w:cs="Times New Roman"/>
          <w:color w:val="auto"/>
          <w:kern w:val="0"/>
          <w:sz w:val="32"/>
          <w:szCs w:val="32"/>
          <w:highlight w:val="none"/>
          <w:shd w:val="clear" w:color="auto" w:fill="FFFFFF"/>
          <w:lang w:val="zh-CN"/>
        </w:rPr>
        <w:t>1</w:t>
      </w:r>
      <w:r>
        <w:rPr>
          <w:rFonts w:hint="eastAsia" w:ascii="Times New Roman" w:hAnsi="Times New Roman" w:eastAsia="仿宋_GB2312" w:cs="Times New Roman"/>
          <w:color w:val="auto"/>
          <w:kern w:val="0"/>
          <w:sz w:val="32"/>
          <w:szCs w:val="32"/>
          <w:highlight w:val="none"/>
          <w:shd w:val="clear" w:color="auto" w:fill="FFFFFF"/>
          <w:lang w:val="zh-CN" w:eastAsia="zh-CN"/>
        </w:rPr>
        <w:t>—</w:t>
      </w:r>
      <w:r>
        <w:rPr>
          <w:rFonts w:hint="default" w:ascii="Times New Roman" w:hAnsi="Times New Roman" w:eastAsia="仿宋_GB2312" w:cs="Times New Roman"/>
          <w:color w:val="auto"/>
          <w:kern w:val="0"/>
          <w:sz w:val="32"/>
          <w:szCs w:val="32"/>
          <w:highlight w:val="none"/>
          <w:shd w:val="clear" w:color="auto" w:fill="FFFFFF"/>
          <w:lang w:val="zh-CN"/>
        </w:rPr>
        <w:t>1</w:t>
      </w:r>
      <w:r>
        <w:rPr>
          <w:rFonts w:hint="default" w:ascii="Times New Roman" w:hAnsi="Times New Roman" w:eastAsia="仿宋_GB2312" w:cs="Times New Roman"/>
          <w:color w:val="auto"/>
          <w:kern w:val="0"/>
          <w:sz w:val="32"/>
          <w:szCs w:val="32"/>
          <w:highlight w:val="none"/>
          <w:shd w:val="clear" w:color="auto" w:fill="FFFFFF"/>
          <w:lang w:val="en-US" w:eastAsia="zh-CN"/>
        </w:rPr>
        <w:t>2</w:t>
      </w:r>
      <w:r>
        <w:rPr>
          <w:rFonts w:hint="default" w:ascii="Times New Roman" w:hAnsi="Times New Roman" w:eastAsia="仿宋_GB2312" w:cs="Times New Roman"/>
          <w:color w:val="auto"/>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auto"/>
          <w:kern w:val="0"/>
          <w:sz w:val="32"/>
          <w:szCs w:val="32"/>
          <w:highlight w:val="none"/>
          <w:shd w:val="clear" w:color="auto" w:fill="FFFFFF"/>
          <w:lang w:val="en-US" w:eastAsia="zh-CN"/>
        </w:rPr>
        <w:t>81.30</w:t>
      </w:r>
      <w:r>
        <w:rPr>
          <w:rFonts w:hint="default" w:ascii="Times New Roman" w:hAnsi="Times New Roman" w:eastAsia="仿宋_GB2312" w:cs="Times New Roman"/>
          <w:color w:val="auto"/>
          <w:kern w:val="0"/>
          <w:sz w:val="32"/>
          <w:szCs w:val="32"/>
          <w:highlight w:val="none"/>
          <w:shd w:val="clear" w:color="auto" w:fill="FFFFFF"/>
          <w:lang w:val="zh-CN"/>
        </w:rPr>
        <w:t>%，其中：</w:t>
      </w:r>
      <w:r>
        <w:rPr>
          <w:rFonts w:hint="default" w:ascii="Times New Roman" w:hAnsi="Times New Roman" w:eastAsia="仿宋_GB2312" w:cs="Times New Roman"/>
          <w:color w:val="auto"/>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auto"/>
          <w:kern w:val="0"/>
          <w:sz w:val="32"/>
          <w:szCs w:val="32"/>
          <w:highlight w:val="none"/>
          <w:shd w:val="clear" w:color="auto" w:fill="FFFFFF"/>
          <w:lang w:val="en-US" w:eastAsia="zh-CN"/>
        </w:rPr>
        <w:t>10%</w:t>
      </w:r>
      <w:r>
        <w:rPr>
          <w:rFonts w:hint="default" w:ascii="Times New Roman" w:hAnsi="Times New Roman" w:eastAsia="仿宋_GB2312" w:cs="Times New Roman"/>
          <w:color w:val="auto"/>
          <w:kern w:val="0"/>
          <w:sz w:val="32"/>
          <w:szCs w:val="32"/>
          <w:highlight w:val="none"/>
          <w:shd w:val="clear" w:color="auto" w:fill="FFFFFF"/>
          <w:lang w:val="zh-CN" w:eastAsia="zh-CN"/>
        </w:rPr>
        <w:t>的项目共计</w:t>
      </w:r>
      <w:r>
        <w:rPr>
          <w:rFonts w:hint="eastAsia" w:ascii="Times New Roman" w:hAnsi="Times New Roman" w:eastAsia="仿宋_GB2312" w:cs="Times New Roman"/>
          <w:color w:val="auto"/>
          <w:kern w:val="0"/>
          <w:sz w:val="32"/>
          <w:szCs w:val="32"/>
          <w:highlight w:val="none"/>
          <w:shd w:val="clear" w:color="auto" w:fill="FFFFFF"/>
          <w:lang w:val="en-US" w:eastAsia="zh-CN"/>
        </w:rPr>
        <w:t>9</w:t>
      </w:r>
      <w:r>
        <w:rPr>
          <w:rFonts w:hint="default" w:ascii="Times New Roman" w:hAnsi="Times New Roman" w:eastAsia="仿宋_GB2312" w:cs="Times New Roman"/>
          <w:color w:val="auto"/>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auto"/>
          <w:kern w:val="0"/>
          <w:sz w:val="32"/>
          <w:szCs w:val="32"/>
          <w:highlight w:val="none"/>
          <w:shd w:val="clear" w:color="auto" w:fill="FFFFFF"/>
          <w:lang w:val="zh-CN" w:eastAsia="zh-CN"/>
        </w:rPr>
      </w:pPr>
      <w:r>
        <w:rPr>
          <w:rFonts w:hint="default" w:ascii="Times New Roman" w:hAnsi="Times New Roman" w:eastAsia="仿宋_GB2312" w:cs="Times New Roman"/>
          <w:color w:val="auto"/>
          <w:kern w:val="0"/>
          <w:sz w:val="32"/>
          <w:szCs w:val="32"/>
          <w:highlight w:val="none"/>
          <w:shd w:val="clear" w:color="auto" w:fill="FFFFFF"/>
          <w:lang w:val="en-US" w:eastAsia="zh-CN"/>
        </w:rPr>
        <w:t>阶段（</w:t>
      </w:r>
      <w:r>
        <w:rPr>
          <w:rFonts w:hint="eastAsia" w:ascii="Times New Roman" w:hAnsi="Times New Roman" w:eastAsia="仿宋_GB2312" w:cs="Times New Roman"/>
          <w:color w:val="auto"/>
          <w:kern w:val="0"/>
          <w:sz w:val="32"/>
          <w:szCs w:val="32"/>
          <w:highlight w:val="none"/>
          <w:shd w:val="clear" w:color="auto" w:fill="FFFFFF"/>
          <w:lang w:val="en-US" w:eastAsia="zh-CN"/>
        </w:rPr>
        <w:t>含</w:t>
      </w:r>
      <w:r>
        <w:rPr>
          <w:rFonts w:hint="default" w:ascii="Times New Roman" w:hAnsi="Times New Roman" w:eastAsia="仿宋_GB2312" w:cs="Times New Roman"/>
          <w:color w:val="auto"/>
          <w:kern w:val="0"/>
          <w:sz w:val="32"/>
          <w:szCs w:val="32"/>
          <w:highlight w:val="none"/>
          <w:shd w:val="clear" w:color="auto" w:fill="FFFFFF"/>
          <w:lang w:val="en-US" w:eastAsia="zh-CN"/>
        </w:rPr>
        <w:t>一次性）项目绩效分析。</w:t>
      </w:r>
      <w:r>
        <w:rPr>
          <w:rFonts w:hint="default" w:ascii="Times New Roman" w:hAnsi="Times New Roman" w:eastAsia="仿宋_GB2312" w:cs="Times New Roman"/>
          <w:color w:val="auto"/>
          <w:kern w:val="0"/>
          <w:sz w:val="32"/>
          <w:szCs w:val="32"/>
          <w:highlight w:val="none"/>
          <w:shd w:val="clear" w:color="auto" w:fill="FFFFFF"/>
          <w:lang w:val="zh-CN" w:eastAsia="zh-CN"/>
        </w:rPr>
        <w:t>该类项目总数</w:t>
      </w:r>
      <w:r>
        <w:rPr>
          <w:rFonts w:hint="eastAsia" w:ascii="Times New Roman" w:hAnsi="Times New Roman" w:eastAsia="仿宋_GB2312" w:cs="Times New Roman"/>
          <w:color w:val="auto"/>
          <w:kern w:val="0"/>
          <w:sz w:val="32"/>
          <w:szCs w:val="32"/>
          <w:highlight w:val="none"/>
          <w:shd w:val="clear" w:color="auto" w:fill="FFFFFF"/>
          <w:lang w:val="en-US" w:eastAsia="zh-CN"/>
        </w:rPr>
        <w:t>29</w:t>
      </w:r>
      <w:r>
        <w:rPr>
          <w:rFonts w:hint="default" w:ascii="Times New Roman" w:hAnsi="Times New Roman" w:eastAsia="仿宋_GB2312" w:cs="Times New Roman"/>
          <w:color w:val="auto"/>
          <w:kern w:val="0"/>
          <w:sz w:val="32"/>
          <w:szCs w:val="32"/>
          <w:highlight w:val="none"/>
          <w:shd w:val="clear" w:color="auto" w:fill="FFFFFF"/>
          <w:lang w:val="zh-CN" w:eastAsia="zh-CN"/>
        </w:rPr>
        <w:t>个，涉及预算总金额</w:t>
      </w:r>
      <w:r>
        <w:rPr>
          <w:rFonts w:hint="eastAsia" w:ascii="Times New Roman" w:hAnsi="Times New Roman" w:eastAsia="仿宋_GB2312" w:cs="Times New Roman"/>
          <w:color w:val="auto"/>
          <w:kern w:val="0"/>
          <w:sz w:val="32"/>
          <w:szCs w:val="32"/>
          <w:highlight w:val="none"/>
          <w:shd w:val="clear" w:color="auto" w:fill="FFFFFF"/>
          <w:lang w:val="en-US" w:eastAsia="zh-CN"/>
        </w:rPr>
        <w:t>924.71</w:t>
      </w:r>
      <w:r>
        <w:rPr>
          <w:rFonts w:hint="default" w:ascii="Times New Roman" w:hAnsi="Times New Roman" w:eastAsia="仿宋_GB2312" w:cs="Times New Roman"/>
          <w:color w:val="auto"/>
          <w:kern w:val="0"/>
          <w:sz w:val="32"/>
          <w:szCs w:val="32"/>
          <w:highlight w:val="none"/>
          <w:shd w:val="clear" w:color="auto" w:fill="FFFFFF"/>
          <w:lang w:val="zh-CN" w:eastAsia="zh-CN"/>
        </w:rPr>
        <w:t>万元，</w:t>
      </w:r>
      <w:r>
        <w:rPr>
          <w:rFonts w:hint="default" w:ascii="Times New Roman" w:hAnsi="Times New Roman" w:eastAsia="仿宋_GB2312" w:cs="Times New Roman"/>
          <w:color w:val="auto"/>
          <w:kern w:val="0"/>
          <w:sz w:val="32"/>
          <w:szCs w:val="32"/>
          <w:highlight w:val="none"/>
          <w:shd w:val="clear" w:color="auto" w:fill="FFFFFF"/>
          <w:lang w:val="zh-CN"/>
        </w:rPr>
        <w:t>1</w:t>
      </w:r>
      <w:r>
        <w:rPr>
          <w:rFonts w:hint="eastAsia" w:ascii="Times New Roman" w:hAnsi="Times New Roman" w:eastAsia="仿宋_GB2312" w:cs="Times New Roman"/>
          <w:color w:val="auto"/>
          <w:kern w:val="0"/>
          <w:sz w:val="32"/>
          <w:szCs w:val="32"/>
          <w:highlight w:val="none"/>
          <w:shd w:val="clear" w:color="auto" w:fill="FFFFFF"/>
          <w:lang w:val="zh-CN" w:eastAsia="zh-CN"/>
        </w:rPr>
        <w:t>—</w:t>
      </w:r>
      <w:r>
        <w:rPr>
          <w:rFonts w:hint="default" w:ascii="Times New Roman" w:hAnsi="Times New Roman" w:eastAsia="仿宋_GB2312" w:cs="Times New Roman"/>
          <w:color w:val="auto"/>
          <w:kern w:val="0"/>
          <w:sz w:val="32"/>
          <w:szCs w:val="32"/>
          <w:highlight w:val="none"/>
          <w:shd w:val="clear" w:color="auto" w:fill="FFFFFF"/>
          <w:lang w:val="zh-CN"/>
        </w:rPr>
        <w:t>1</w:t>
      </w:r>
      <w:r>
        <w:rPr>
          <w:rFonts w:hint="default" w:ascii="Times New Roman" w:hAnsi="Times New Roman" w:eastAsia="仿宋_GB2312" w:cs="Times New Roman"/>
          <w:color w:val="auto"/>
          <w:kern w:val="0"/>
          <w:sz w:val="32"/>
          <w:szCs w:val="32"/>
          <w:highlight w:val="none"/>
          <w:shd w:val="clear" w:color="auto" w:fill="FFFFFF"/>
          <w:lang w:val="en-US" w:eastAsia="zh-CN"/>
        </w:rPr>
        <w:t>2</w:t>
      </w:r>
      <w:r>
        <w:rPr>
          <w:rFonts w:hint="default" w:ascii="Times New Roman" w:hAnsi="Times New Roman" w:eastAsia="仿宋_GB2312" w:cs="Times New Roman"/>
          <w:color w:val="auto"/>
          <w:kern w:val="0"/>
          <w:sz w:val="32"/>
          <w:szCs w:val="32"/>
          <w:highlight w:val="none"/>
          <w:shd w:val="clear" w:color="auto" w:fill="FFFFFF"/>
          <w:lang w:val="zh-CN"/>
        </w:rPr>
        <w:t>月预算执行总体进度</w:t>
      </w:r>
      <w:r>
        <w:rPr>
          <w:rFonts w:hint="eastAsia" w:ascii="Times New Roman" w:hAnsi="Times New Roman" w:eastAsia="仿宋_GB2312" w:cs="Times New Roman"/>
          <w:color w:val="auto"/>
          <w:kern w:val="0"/>
          <w:sz w:val="32"/>
          <w:szCs w:val="32"/>
          <w:highlight w:val="none"/>
          <w:shd w:val="clear" w:color="auto" w:fill="FFFFFF"/>
          <w:lang w:val="en-US" w:eastAsia="zh-CN"/>
        </w:rPr>
        <w:t>88.53</w:t>
      </w:r>
      <w:r>
        <w:rPr>
          <w:rFonts w:hint="default" w:ascii="Times New Roman" w:hAnsi="Times New Roman" w:eastAsia="仿宋_GB2312" w:cs="Times New Roman"/>
          <w:color w:val="auto"/>
          <w:kern w:val="0"/>
          <w:sz w:val="32"/>
          <w:szCs w:val="32"/>
          <w:highlight w:val="none"/>
          <w:shd w:val="clear" w:color="auto" w:fill="FFFFFF"/>
          <w:lang w:val="zh-CN"/>
        </w:rPr>
        <w:t>%，其中：</w:t>
      </w:r>
      <w:r>
        <w:rPr>
          <w:rFonts w:hint="default" w:ascii="Times New Roman" w:hAnsi="Times New Roman" w:eastAsia="仿宋_GB2312" w:cs="Times New Roman"/>
          <w:color w:val="auto"/>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auto"/>
          <w:kern w:val="0"/>
          <w:sz w:val="32"/>
          <w:szCs w:val="32"/>
          <w:highlight w:val="none"/>
          <w:shd w:val="clear" w:color="auto" w:fill="FFFFFF"/>
          <w:lang w:val="en-US" w:eastAsia="zh-CN"/>
        </w:rPr>
        <w:t>10%</w:t>
      </w:r>
      <w:r>
        <w:rPr>
          <w:rFonts w:hint="default" w:ascii="Times New Roman" w:hAnsi="Times New Roman" w:eastAsia="仿宋_GB2312" w:cs="Times New Roman"/>
          <w:color w:val="auto"/>
          <w:kern w:val="0"/>
          <w:sz w:val="32"/>
          <w:szCs w:val="32"/>
          <w:highlight w:val="none"/>
          <w:shd w:val="clear" w:color="auto" w:fill="FFFFFF"/>
          <w:lang w:val="zh-CN" w:eastAsia="zh-CN"/>
        </w:rPr>
        <w:t>的项目共计</w:t>
      </w:r>
      <w:r>
        <w:rPr>
          <w:rFonts w:hint="eastAsia" w:ascii="Times New Roman" w:hAnsi="Times New Roman" w:eastAsia="仿宋_GB2312" w:cs="Times New Roman"/>
          <w:color w:val="auto"/>
          <w:kern w:val="0"/>
          <w:sz w:val="32"/>
          <w:szCs w:val="32"/>
          <w:highlight w:val="none"/>
          <w:shd w:val="clear" w:color="auto" w:fill="FFFFFF"/>
          <w:lang w:val="en-US" w:eastAsia="zh-CN"/>
        </w:rPr>
        <w:t>6</w:t>
      </w:r>
      <w:r>
        <w:rPr>
          <w:rFonts w:hint="default" w:ascii="Times New Roman" w:hAnsi="Times New Roman" w:eastAsia="仿宋_GB2312" w:cs="Times New Roman"/>
          <w:color w:val="auto"/>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项目决策。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预算项目基于充分的信息和数据，项目设立遵循了既定的决策准则，按规定履行评估论证、申报程序。预算项目绩效目标与计划期内的任务量、预算安排的资金量匹配，绩效目标设置科学合理、规范完整、量化细化、预算匹配。部门预算项目在规定时间完成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2.项目执行</w:t>
      </w:r>
      <w:r>
        <w:rPr>
          <w:rFonts w:hint="default" w:ascii="Times New Roman" w:hAnsi="Times New Roman" w:eastAsia="楷体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部门预算项目实际列支内容与绩效目标设置方向相符。预算项目及时采取对应调整措施，及时跟踪项目进度，评估按计划执行。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rPr>
        <w:t>目标实现。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rPr>
        <w:t>部门预算项目绩效目标数量指标完成情况优。预算项目绩效目标数量指标实现程度与预期目标的无偏离情况。预算项目绩效目标效益指标实施效果显著。</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default" w:ascii="Times New Roman" w:hAnsi="Times New Roman" w:eastAsia="楷体_GB2312" w:cs="Times New Roman"/>
          <w:b/>
          <w:bCs/>
          <w:sz w:val="32"/>
          <w:szCs w:val="32"/>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sz w:val="32"/>
          <w:szCs w:val="32"/>
          <w:lang w:val="zh-CN"/>
        </w:rPr>
        <w:t>绩效结果应用情况。</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1.内部应用情况。</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将绩效评价结果与下年度预算安排挂钩，对低效项目进行压减或调整，对成效显著的项目优先保障资金。结合绩效分析优化支出结构，确保资金向重点领域和高效项目倾斜。部门间协作效率提高，跨部门项目完成时间缩短。</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2.信息公开情况。</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信息公开及时，完整，准确</w:t>
      </w:r>
      <w:r>
        <w:rPr>
          <w:rFonts w:hint="eastAsia"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主动接受公众监督</w:t>
      </w:r>
      <w:r>
        <w:rPr>
          <w:rFonts w:hint="eastAsia" w:ascii="Times New Roman" w:hAnsi="Times New Roman" w:eastAsia="仿宋_GB2312" w:cs="Times New Roman"/>
          <w:color w:val="000000"/>
          <w:kern w:val="0"/>
          <w:sz w:val="32"/>
          <w:szCs w:val="32"/>
          <w:highlight w:val="none"/>
          <w:shd w:val="clear" w:color="auto" w:fill="FFFFFF"/>
          <w:lang w:val="zh-CN" w:eastAsia="zh-CN"/>
        </w:rPr>
        <w:t>。</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3.整改反馈情况。</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针对绩效评价发现的问题，如执行进度滞后、资金使用不规范等，制定整改措施并跟踪落实，但部分整改成效缺乏长效性。</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lang w:eastAsia="zh-CN"/>
        </w:rPr>
        <w:t>四、</w:t>
      </w:r>
      <w:r>
        <w:rPr>
          <w:rFonts w:hint="default" w:ascii="Times New Roman" w:hAnsi="Times New Roman" w:eastAsia="黑体" w:cs="Times New Roman"/>
          <w:color w:val="auto"/>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rPr>
      </w:pPr>
      <w:r>
        <w:rPr>
          <w:rFonts w:hint="default" w:ascii="Times New Roman" w:hAnsi="Times New Roman" w:eastAsia="仿宋_GB2312" w:cs="Times New Roman"/>
          <w:b w:val="0"/>
          <w:bCs w:val="0"/>
          <w:kern w:val="0"/>
          <w:position w:val="0"/>
          <w:sz w:val="32"/>
          <w:szCs w:val="32"/>
          <w:highlight w:val="none"/>
          <w:lang w:val="en-US" w:eastAsia="zh-CN" w:bidi="ar-SA"/>
        </w:rPr>
        <w:t>202</w:t>
      </w:r>
      <w:r>
        <w:rPr>
          <w:rFonts w:hint="eastAsia" w:ascii="Times New Roman" w:hAnsi="Times New Roman" w:eastAsia="仿宋_GB2312" w:cs="Times New Roman"/>
          <w:b w:val="0"/>
          <w:bCs w:val="0"/>
          <w:kern w:val="0"/>
          <w:position w:val="0"/>
          <w:sz w:val="32"/>
          <w:szCs w:val="32"/>
          <w:highlight w:val="none"/>
          <w:lang w:val="en-US" w:eastAsia="zh-CN" w:bidi="ar-SA"/>
        </w:rPr>
        <w:t>4</w:t>
      </w:r>
      <w:r>
        <w:rPr>
          <w:rFonts w:hint="default" w:ascii="Times New Roman" w:hAnsi="Times New Roman" w:eastAsia="仿宋_GB2312" w:cs="Times New Roman"/>
          <w:b w:val="0"/>
          <w:bCs w:val="0"/>
          <w:kern w:val="0"/>
          <w:position w:val="0"/>
          <w:sz w:val="32"/>
          <w:szCs w:val="32"/>
          <w:highlight w:val="none"/>
          <w:lang w:val="en-US" w:eastAsia="zh-CN" w:bidi="ar-SA"/>
        </w:rPr>
        <w:t>年度部门预算绩效自评综合得分为</w:t>
      </w:r>
      <w:r>
        <w:rPr>
          <w:rFonts w:hint="eastAsia" w:ascii="Times New Roman" w:hAnsi="Times New Roman" w:eastAsia="仿宋_GB2312" w:cs="Times New Roman"/>
          <w:b w:val="0"/>
          <w:bCs w:val="0"/>
          <w:kern w:val="0"/>
          <w:position w:val="0"/>
          <w:sz w:val="32"/>
          <w:szCs w:val="32"/>
          <w:highlight w:val="none"/>
          <w:lang w:val="en-US" w:eastAsia="zh-CN" w:bidi="ar-SA"/>
        </w:rPr>
        <w:t>93.89</w:t>
      </w:r>
      <w:r>
        <w:rPr>
          <w:rFonts w:hint="default" w:ascii="Times New Roman" w:hAnsi="Times New Roman" w:eastAsia="仿宋_GB2312" w:cs="Times New Roman"/>
          <w:b w:val="0"/>
          <w:bCs w:val="0"/>
          <w:kern w:val="0"/>
          <w:position w:val="0"/>
          <w:sz w:val="32"/>
          <w:szCs w:val="32"/>
          <w:highlight w:val="none"/>
          <w:lang w:val="en-US" w:eastAsia="zh-CN" w:bidi="ar-SA"/>
        </w:rPr>
        <w:t>分（满分100分），绩效目标总体完成情况</w:t>
      </w:r>
      <w:r>
        <w:rPr>
          <w:rFonts w:hint="eastAsia" w:ascii="Times New Roman" w:hAnsi="Times New Roman" w:eastAsia="仿宋_GB2312" w:cs="Times New Roman"/>
          <w:b w:val="0"/>
          <w:bCs w:val="0"/>
          <w:kern w:val="0"/>
          <w:position w:val="0"/>
          <w:sz w:val="32"/>
          <w:szCs w:val="32"/>
          <w:highlight w:val="none"/>
          <w:lang w:val="en-US" w:eastAsia="zh-CN" w:bidi="ar-SA"/>
        </w:rPr>
        <w:t>较好</w:t>
      </w:r>
      <w:r>
        <w:rPr>
          <w:rFonts w:hint="default" w:ascii="Times New Roman" w:hAnsi="Times New Roman" w:eastAsia="仿宋_GB2312" w:cs="Times New Roman"/>
          <w:b w:val="0"/>
          <w:bCs w:val="0"/>
          <w:kern w:val="0"/>
          <w:position w:val="0"/>
          <w:sz w:val="32"/>
          <w:szCs w:val="32"/>
          <w:highlight w:val="none"/>
          <w:lang w:val="en-US" w:eastAsia="zh-CN" w:bidi="ar-SA"/>
        </w:rPr>
        <w:t>。其中，预算执行率达标</w:t>
      </w:r>
      <w:r>
        <w:rPr>
          <w:rFonts w:hint="eastAsia" w:ascii="Times New Roman" w:hAnsi="Times New Roman" w:eastAsia="仿宋_GB2312" w:cs="Times New Roman"/>
          <w:b w:val="0"/>
          <w:bCs w:val="0"/>
          <w:kern w:val="0"/>
          <w:position w:val="0"/>
          <w:sz w:val="32"/>
          <w:szCs w:val="32"/>
          <w:highlight w:val="none"/>
          <w:lang w:val="en-US" w:eastAsia="zh-CN" w:bidi="ar-SA"/>
        </w:rPr>
        <w:t>情况</w:t>
      </w:r>
      <w:r>
        <w:rPr>
          <w:rFonts w:hint="default" w:ascii="Times New Roman" w:hAnsi="Times New Roman" w:eastAsia="仿宋_GB2312" w:cs="Times New Roman"/>
          <w:b w:val="0"/>
          <w:bCs w:val="0"/>
          <w:kern w:val="0"/>
          <w:position w:val="0"/>
          <w:sz w:val="32"/>
          <w:szCs w:val="32"/>
          <w:highlight w:val="none"/>
          <w:lang w:val="en-US" w:eastAsia="zh-CN" w:bidi="ar-SA"/>
        </w:rPr>
        <w:t>符合预期，资金使用效益显著，项目产出与预期目标相符，且在预算管理上表现出较高的规范性和透明度</w:t>
      </w:r>
      <w:r>
        <w:rPr>
          <w:rFonts w:hint="eastAsia" w:ascii="Times New Roman" w:hAnsi="Times New Roman" w:eastAsia="仿宋_GB2312" w:cs="Times New Roman"/>
          <w:b w:val="0"/>
          <w:bCs w:val="0"/>
          <w:kern w:val="0"/>
          <w:position w:val="0"/>
          <w:sz w:val="32"/>
          <w:szCs w:val="32"/>
          <w:highlight w:val="none"/>
          <w:lang w:val="en-US"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但在预算编制精准性、支出结构优化等方面仍有提升空间。</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eastAsia" w:ascii="仿宋_GB2312" w:hAnsi="仿宋_GB2312" w:eastAsia="仿宋_GB2312" w:cs="仿宋_GB2312"/>
          <w:b w:val="0"/>
          <w:bCs w:val="0"/>
          <w:color w:val="000000"/>
          <w:w w:val="95"/>
          <w:kern w:val="0"/>
          <w:position w:val="0"/>
          <w:sz w:val="32"/>
          <w:szCs w:val="32"/>
          <w:highlight w:val="none"/>
          <w:lang w:val="en-US" w:eastAsia="zh-CN" w:bidi="ar-SA"/>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在自评过程中，我们也发现了以下几方面的问题：</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default" w:ascii="Times New Roman" w:hAnsi="Times New Roman" w:eastAsia="仿宋_GB2312" w:cs="Times New Roman"/>
          <w:b w:val="0"/>
          <w:bCs w:val="0"/>
          <w:w w:val="95"/>
          <w:kern w:val="0"/>
          <w:position w:val="0"/>
          <w:sz w:val="32"/>
          <w:szCs w:val="32"/>
          <w:highlight w:val="none"/>
          <w:lang w:val="en-US" w:eastAsia="zh-CN" w:bidi="ar-SA"/>
        </w:rPr>
      </w:pPr>
      <w:r>
        <w:rPr>
          <w:rFonts w:hint="default" w:ascii="Times New Roman" w:hAnsi="Times New Roman" w:eastAsia="仿宋_GB2312" w:cs="Times New Roman"/>
          <w:b w:val="0"/>
          <w:bCs w:val="0"/>
          <w:w w:val="95"/>
          <w:kern w:val="0"/>
          <w:position w:val="0"/>
          <w:sz w:val="32"/>
          <w:szCs w:val="32"/>
          <w:highlight w:val="none"/>
          <w:lang w:val="en-US" w:eastAsia="zh-CN" w:bidi="ar-SA"/>
        </w:rPr>
        <w:t>预算编制精准性不足：部分项目预算测算依据不充分，导致执行中调整较多。</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default" w:ascii="Times New Roman" w:hAnsi="Times New Roman" w:eastAsia="仿宋_GB2312" w:cs="Times New Roman"/>
          <w:b w:val="0"/>
          <w:bCs w:val="0"/>
          <w:w w:val="95"/>
          <w:kern w:val="0"/>
          <w:position w:val="0"/>
          <w:sz w:val="32"/>
          <w:szCs w:val="32"/>
          <w:highlight w:val="none"/>
          <w:lang w:val="en-US" w:eastAsia="zh-CN" w:bidi="ar-SA"/>
        </w:rPr>
      </w:pPr>
      <w:r>
        <w:rPr>
          <w:rFonts w:hint="eastAsia" w:ascii="仿宋_GB2312" w:hAnsi="仿宋_GB2312" w:eastAsia="仿宋_GB2312" w:cs="仿宋_GB2312"/>
          <w:b w:val="0"/>
          <w:bCs w:val="0"/>
          <w:color w:val="000000"/>
          <w:w w:val="95"/>
          <w:kern w:val="0"/>
          <w:position w:val="0"/>
          <w:sz w:val="32"/>
          <w:szCs w:val="32"/>
          <w:highlight w:val="none"/>
          <w:lang w:val="en-US" w:eastAsia="zh-CN" w:bidi="ar-SA"/>
        </w:rPr>
        <w:t>项目效果评估不足：在项目实施过程中，对项目效果的跟踪和评估不够系统，缺乏有效的反馈机制，使得对项目实施效果的评估不够全面和深入。</w:t>
      </w:r>
    </w:p>
    <w:p>
      <w:pPr>
        <w:keepNext w:val="0"/>
        <w:keepLines w:val="0"/>
        <w:pageBreakBefore w:val="0"/>
        <w:widowControl/>
        <w:kinsoku/>
        <w:wordWrap/>
        <w:overflowPunct/>
        <w:topLinePunct w:val="0"/>
        <w:autoSpaceDE/>
        <w:autoSpaceDN/>
        <w:bidi w:val="0"/>
        <w:adjustRightInd w:val="0"/>
        <w:snapToGrid w:val="0"/>
        <w:spacing w:line="578" w:lineRule="exact"/>
        <w:ind w:firstLine="608" w:firstLineChars="200"/>
        <w:contextualSpacing/>
        <w:jc w:val="left"/>
        <w:textAlignment w:val="auto"/>
        <w:outlineLvl w:val="9"/>
        <w:rPr>
          <w:rFonts w:hint="default" w:ascii="Times New Roman" w:hAnsi="Times New Roman" w:eastAsia="仿宋_GB2312" w:cs="Times New Roman"/>
          <w:b w:val="0"/>
          <w:bCs w:val="0"/>
          <w:w w:val="95"/>
          <w:kern w:val="0"/>
          <w:position w:val="0"/>
          <w:sz w:val="32"/>
          <w:szCs w:val="32"/>
          <w:highlight w:val="none"/>
          <w:lang w:val="en-US" w:eastAsia="zh-CN" w:bidi="ar-SA"/>
        </w:rPr>
      </w:pPr>
      <w:r>
        <w:rPr>
          <w:rFonts w:hint="default" w:ascii="Times New Roman" w:hAnsi="Times New Roman" w:eastAsia="仿宋_GB2312" w:cs="Times New Roman"/>
          <w:b w:val="0"/>
          <w:bCs w:val="0"/>
          <w:w w:val="95"/>
          <w:kern w:val="0"/>
          <w:position w:val="0"/>
          <w:sz w:val="32"/>
          <w:szCs w:val="32"/>
          <w:highlight w:val="none"/>
          <w:lang w:val="en-US" w:eastAsia="zh-CN" w:bidi="ar-SA"/>
        </w:rPr>
        <w:t>绩效监控不到位：部分项目中期跟踪评估滞后，影响问题整改时效。</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针对上述发现的问题，我们提出以下改进建议：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bookmarkStart w:id="75" w:name="_Hlk110546638"/>
      <w:r>
        <w:rPr>
          <w:rFonts w:hint="default" w:ascii="Times New Roman" w:hAnsi="Times New Roman" w:eastAsia="仿宋_GB2312" w:cs="Times New Roman"/>
          <w:b w:val="0"/>
          <w:bCs w:val="0"/>
          <w:kern w:val="0"/>
          <w:position w:val="0"/>
          <w:sz w:val="32"/>
          <w:szCs w:val="32"/>
          <w:highlight w:val="none"/>
          <w:lang w:val="en-US" w:eastAsia="zh-CN" w:bidi="ar-SA"/>
        </w:rPr>
        <w:t>提升预算编制质量：强化项目前期论证，细化支出标准，增强预算编制的科学性和准确性。</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position w:val="0"/>
          <w:sz w:val="32"/>
          <w:szCs w:val="32"/>
          <w:highlight w:val="none"/>
          <w:lang w:val="zh-CN" w:eastAsia="zh-CN" w:bidi="ar-SA"/>
        </w:rPr>
      </w:pPr>
      <w:r>
        <w:rPr>
          <w:rFonts w:hint="default" w:ascii="仿宋_GB2312" w:hAnsi="仿宋_GB2312" w:eastAsia="仿宋_GB2312" w:cs="仿宋_GB2312"/>
          <w:b w:val="0"/>
          <w:bCs w:val="0"/>
          <w:color w:val="000000"/>
          <w:kern w:val="0"/>
          <w:position w:val="0"/>
          <w:sz w:val="32"/>
          <w:szCs w:val="32"/>
          <w:highlight w:val="none"/>
          <w:lang w:val="zh-CN" w:eastAsia="zh-CN" w:bidi="ar-SA"/>
        </w:rPr>
        <w:t>加强项目效果评估：建立和完善项目效果评估体系，定期对项目实施效果进行评估，收集项目执行过程中的反馈信息，及时调整项目策略，确保项目产出与预期目标一致。</w:t>
      </w:r>
    </w:p>
    <w:bookmarkEnd w:id="75"/>
    <w:p>
      <w:pPr>
        <w:widowControl w:val="0"/>
        <w:spacing w:after="120"/>
        <w:jc w:val="both"/>
        <w:rPr>
          <w:rFonts w:hint="default" w:ascii="Times New Roman" w:hAnsi="Times New Roman" w:eastAsia="仿宋_GB2312" w:cs="Times New Roman"/>
          <w:b w:val="0"/>
          <w:bCs w:val="0"/>
          <w:kern w:val="0"/>
          <w:position w:val="0"/>
          <w:sz w:val="32"/>
          <w:szCs w:val="32"/>
          <w:highlight w:val="none"/>
          <w:lang w:val="en-US" w:eastAsia="zh-CN" w:bidi="ar-SA"/>
        </w:rPr>
      </w:pPr>
    </w:p>
    <w:p>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strike w:val="0"/>
          <w:sz w:val="32"/>
          <w:szCs w:val="32"/>
          <w:u w:val="none"/>
          <w:lang w:eastAsia="zh-CN" w:bidi="ar"/>
        </w:rPr>
      </w:pPr>
      <w:r>
        <w:rPr>
          <w:rFonts w:hint="default" w:ascii="Times New Roman" w:hAnsi="Times New Roman" w:eastAsia="仿宋_GB2312" w:cs="Times New Roman"/>
          <w:color w:val="000000"/>
          <w:kern w:val="0"/>
          <w:sz w:val="32"/>
          <w:szCs w:val="32"/>
          <w:highlight w:val="none"/>
          <w:shd w:val="clear" w:color="auto" w:fill="FFFFFF"/>
          <w:lang w:val="en-US" w:eastAsia="zh-CN"/>
        </w:rPr>
        <w:t>附表：</w:t>
      </w:r>
      <w:r>
        <w:rPr>
          <w:rFonts w:hint="eastAsia" w:ascii="Times New Roman" w:hAnsi="Times New Roman" w:eastAsia="仿宋_GB2312" w:cs="Times New Roman"/>
          <w:color w:val="000000"/>
          <w:kern w:val="0"/>
          <w:sz w:val="32"/>
          <w:szCs w:val="32"/>
          <w:highlight w:val="none"/>
          <w:shd w:val="clear" w:color="auto" w:fill="FFFFFF"/>
          <w:lang w:val="en-US" w:eastAsia="zh-CN"/>
        </w:rPr>
        <w:t>1.</w:t>
      </w:r>
      <w:r>
        <w:rPr>
          <w:rFonts w:hint="default" w:ascii="Times New Roman" w:hAnsi="Times New Roman" w:eastAsia="仿宋_GB2312" w:cs="Times New Roman"/>
          <w:strike w:val="0"/>
          <w:sz w:val="32"/>
          <w:szCs w:val="32"/>
          <w:u w:val="none"/>
          <w:lang w:bidi="ar"/>
        </w:rPr>
        <w:t>部门预算项目支出绩效</w:t>
      </w:r>
      <w:r>
        <w:rPr>
          <w:rFonts w:hint="default" w:ascii="Times New Roman" w:hAnsi="Times New Roman" w:eastAsia="仿宋_GB2312" w:cs="Times New Roman"/>
          <w:strike w:val="0"/>
          <w:sz w:val="32"/>
          <w:szCs w:val="32"/>
          <w:u w:val="none"/>
          <w:lang w:eastAsia="zh-CN" w:bidi="ar"/>
        </w:rPr>
        <w:t>评价</w:t>
      </w:r>
      <w:r>
        <w:rPr>
          <w:rFonts w:hint="default" w:ascii="Times New Roman" w:hAnsi="Times New Roman" w:eastAsia="仿宋_GB2312" w:cs="Times New Roman"/>
          <w:strike w:val="0"/>
          <w:sz w:val="32"/>
          <w:szCs w:val="32"/>
          <w:u w:val="none"/>
          <w:lang w:bidi="ar"/>
        </w:rPr>
        <w:t>表</w:t>
      </w:r>
      <w:r>
        <w:rPr>
          <w:rFonts w:hint="default" w:ascii="Times New Roman" w:hAnsi="Times New Roman" w:eastAsia="仿宋_GB2312" w:cs="Times New Roman"/>
          <w:strike w:val="0"/>
          <w:sz w:val="32"/>
          <w:szCs w:val="32"/>
          <w:u w:val="none"/>
          <w:lang w:eastAsia="zh-CN" w:bidi="ar"/>
        </w:rPr>
        <w:t>（202</w:t>
      </w:r>
      <w:r>
        <w:rPr>
          <w:rFonts w:hint="default" w:ascii="Times New Roman" w:hAnsi="Times New Roman" w:eastAsia="仿宋_GB2312" w:cs="Times New Roman"/>
          <w:strike w:val="0"/>
          <w:sz w:val="32"/>
          <w:szCs w:val="32"/>
          <w:u w:val="none"/>
          <w:lang w:val="en-US" w:eastAsia="zh-CN" w:bidi="ar"/>
        </w:rPr>
        <w:t>4</w:t>
      </w:r>
      <w:r>
        <w:rPr>
          <w:rFonts w:hint="default" w:ascii="Times New Roman" w:hAnsi="Times New Roman" w:eastAsia="仿宋_GB2312" w:cs="Times New Roman"/>
          <w:strike w:val="0"/>
          <w:sz w:val="32"/>
          <w:szCs w:val="32"/>
          <w:u w:val="none"/>
          <w:lang w:eastAsia="zh-CN" w:bidi="ar"/>
        </w:rPr>
        <w:t>年度）</w:t>
      </w:r>
    </w:p>
    <w:p/>
    <w:p>
      <w:pPr>
        <w:sectPr>
          <w:footerReference r:id="rId10" w:type="first"/>
          <w:footerReference r:id="rId9" w:type="default"/>
          <w:pgSz w:w="11906" w:h="16838"/>
          <w:pgMar w:top="1440" w:right="1800" w:bottom="1440" w:left="1800" w:header="851" w:footer="992" w:gutter="0"/>
          <w:pgNumType w:fmt="decimal" w:start="17"/>
          <w:cols w:space="425" w:num="1"/>
          <w:titlePg/>
          <w:docGrid w:type="lines" w:linePitch="312" w:charSpace="0"/>
        </w:sectPr>
      </w:pPr>
    </w:p>
    <w:p>
      <w:pPr>
        <w:pStyle w:val="2"/>
      </w:pPr>
    </w:p>
    <w:p>
      <w:pPr>
        <w:rPr>
          <w:rFonts w:ascii="黑体" w:hAnsi="黑体" w:eastAsia="黑体"/>
          <w:sz w:val="32"/>
          <w:szCs w:val="32"/>
        </w:rPr>
      </w:pPr>
      <w:r>
        <w:rPr>
          <w:rFonts w:hint="eastAsia" w:ascii="黑体" w:hAnsi="黑体" w:eastAsia="黑体"/>
          <w:sz w:val="32"/>
          <w:szCs w:val="32"/>
        </w:rPr>
        <w:t>附件2</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lang w:eastAsia="zh-CN"/>
        </w:rPr>
      </w:pPr>
      <w:r>
        <w:rPr>
          <w:rFonts w:hint="eastAsia" w:ascii="Times New Roman" w:hAnsi="Times New Roman" w:eastAsia="方正小标宋简体" w:cs="Times New Roman"/>
          <w:b w:val="0"/>
          <w:bCs/>
          <w:sz w:val="44"/>
          <w:szCs w:val="44"/>
          <w:highlight w:val="none"/>
          <w:shd w:val="clear" w:color="auto" w:fill="FFFFFF"/>
          <w:lang w:eastAsia="zh-CN"/>
        </w:rPr>
        <w:t>中共红原县委组织部</w:t>
      </w:r>
    </w:p>
    <w:p>
      <w:pPr>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r>
        <w:rPr>
          <w:rFonts w:hint="default" w:ascii="Times New Roman" w:hAnsi="Times New Roman" w:eastAsia="方正小标宋简体" w:cs="Times New Roman"/>
          <w:color w:val="auto"/>
          <w:kern w:val="2"/>
          <w:sz w:val="44"/>
          <w:szCs w:val="44"/>
          <w:highlight w:val="none"/>
          <w:lang w:val="en-US" w:eastAsia="zh-CN" w:bidi="ar-SA"/>
        </w:rPr>
        <w:t>专项预算绩效自评报告</w:t>
      </w:r>
    </w:p>
    <w:p>
      <w:pPr>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hint="default" w:ascii="Times New Roman" w:hAnsi="Times New Roman" w:eastAsia="宋体" w:cs="Times New Roman"/>
          <w:color w:val="auto"/>
          <w:kern w:val="2"/>
          <w:sz w:val="32"/>
          <w:szCs w:val="32"/>
          <w:highlight w:val="none"/>
          <w:lang w:val="zh-CN" w:eastAsia="zh-CN" w:bidi="ar-SA"/>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sz w:val="32"/>
          <w:szCs w:val="32"/>
          <w:highlight w:val="none"/>
          <w:lang w:val="zh-CN"/>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1.设立背景及原因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设立</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旨在通过引入人才、优化配置和实施特定政策，以实现多方面的可持续发展目标。</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2.项目立项、资金申报的依据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项目设立依据</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是</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国家或地方政府发布的相关政策、项目立项文件、财政资金管理办法、部门规划等相关依据，以及项目预期的经济效益、成本效益分析，和对当地经济的潜在贡献。资金申报主要根据项目中的预期支出，同时明确项目实施后预期达到的产出、效果和影响，作为资金分配和使用的重要参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3.项目主要内容</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项目的主要内容包括</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人才引进、提升培训、补助资金、学习项目等。</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4.主管部门职能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我部贯彻新时代党的建设总要求和党的组织路线，落实县委相关决策部署。（1）负责全县的组织体系、组织制度建设，负责基层党组织建设规划指导和党员队伍宏观管理，指导开展党员教育工作。（2）负责全县科级领导班子和干部队伍建设的总体规划和宏观管理。负责县委管理科级领导班子和领导干部的考察考核、日常管理。负责全县优秀年轻干部队伍建设工作。（3）负责管理全县公务员工作。（4）负责全县人才队伍建设宏观指导、政策落实、综合协调和督促检查。（5）负责组织、指导全县干部教育培训工作的宏观指导、政策规划、组织协调和督促检查，负责县委重点培训项目的策划、实施和管理，指导全县干部教育培训基地建设管理、师资队伍建设等工作。（6）负责全县干部监督工作的宏观指导和综合协调，制定和落实干部监督工作制度。（7）负责副县级及以上离退休干部的管理和服务。（8）负责制定全县直属机关党的建设工作规划。（9）统一归口管理县委机构编制委员会办公室。（10）承担县委党建领导小组、县人才工作领导小组日常工作。（11）完成县委交办的其他任务</w:t>
      </w:r>
    </w:p>
    <w:p>
      <w:pPr>
        <w:keepNext w:val="0"/>
        <w:keepLines w:val="0"/>
        <w:pageBreakBefore w:val="0"/>
        <w:kinsoku/>
        <w:wordWrap/>
        <w:overflowPunct/>
        <w:topLinePunct w:val="0"/>
        <w:autoSpaceDE/>
        <w:autoSpaceDN/>
        <w:bidi w:val="0"/>
        <w:adjustRightInd w:val="0"/>
        <w:snapToGrid w:val="0"/>
        <w:spacing w:line="578" w:lineRule="exact"/>
        <w:ind w:left="0" w:leftChars="0" w:firstLine="642" w:firstLineChars="200"/>
        <w:textAlignment w:val="auto"/>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1.项目资金管理办法制定情况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项目资金管理办法制定按照项目性质、资金来源和政策要求。依据相关法律法规、行业标准和政策文件。</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2.项目实施目</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地</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通过项目实施，推动相关产业发展，增加就业机会，培养和引进相关人才，促进经济增长。直接或间接地改善民众的生活条件，提高生活质量</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提升公共服务水平。</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3.项目支持方向</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项目支持方向与实施目的相一致，包括政策支持，制定或完善相关政策，为项目实施提供政策保障。资金支持，通过财政拨款</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的</w:t>
      </w:r>
      <w:r>
        <w:rPr>
          <w:rFonts w:hint="default" w:ascii="Times New Roman" w:hAnsi="Times New Roman" w:eastAsia="仿宋_GB2312" w:cs="Times New Roman"/>
          <w:color w:val="auto"/>
          <w:kern w:val="0"/>
          <w:sz w:val="32"/>
          <w:szCs w:val="32"/>
          <w:highlight w:val="none"/>
          <w:u w:val="none"/>
          <w:shd w:val="clear" w:color="auto" w:fill="FFFFFF"/>
          <w:lang w:val="en-US" w:eastAsia="zh-CN"/>
        </w:rPr>
        <w:t>方式，为项目提供资金支持。人才支持，培养和引进相关人才，保障项目顺利实施。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1.项目预算安排情况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项目总的预算金额，通过详细列出预算的构成部分，如人员经费、设备购置、材料费、咨询费等进行安排</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w:t>
      </w:r>
      <w:r>
        <w:rPr>
          <w:rFonts w:hint="default" w:ascii="Times New Roman" w:hAnsi="Times New Roman" w:eastAsia="仿宋_GB2312" w:cs="Times New Roman"/>
          <w:color w:val="auto"/>
          <w:kern w:val="0"/>
          <w:sz w:val="32"/>
          <w:szCs w:val="32"/>
          <w:highlight w:val="none"/>
          <w:u w:val="none"/>
          <w:shd w:val="clear" w:color="auto" w:fill="FFFFFF"/>
          <w:lang w:val="zh-CN" w:eastAsia="zh-CN"/>
        </w:rPr>
        <w:t>预算的有效期限，与项目实施周期相匹配。</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2.项目资金分配原则及考虑因素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资金分配原则（1）公平合理原则：确保资金分配公开透明，避免人为干预，采用科学合理的分配标准。（2）重点突出原则：优先支持项目中的关键环节和重点任务。（3）绩效导向原则：优先支持实施效果好、效益显著的项目，强化绩效评价结果在资金分配中的运用。（4）可持续性原则：确保资金使用后能够产生长期效益。考虑因素（1）政策要求：符合行业主管部门相关政策文件规定的支持方向和重点。（</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2</w:t>
      </w:r>
      <w:r>
        <w:rPr>
          <w:rFonts w:hint="default" w:ascii="Times New Roman" w:hAnsi="Times New Roman" w:eastAsia="仿宋_GB2312" w:cs="Times New Roman"/>
          <w:color w:val="auto"/>
          <w:kern w:val="0"/>
          <w:sz w:val="32"/>
          <w:szCs w:val="32"/>
          <w:highlight w:val="none"/>
          <w:u w:val="none"/>
          <w:shd w:val="clear" w:color="auto" w:fill="FFFFFF"/>
          <w:lang w:val="zh-CN" w:eastAsia="zh-CN"/>
        </w:rPr>
        <w:t>）绩效评价结果：历史项目执行情况（如进度、质量、效益）。（</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3</w:t>
      </w:r>
      <w:r>
        <w:rPr>
          <w:rFonts w:hint="default" w:ascii="Times New Roman" w:hAnsi="Times New Roman" w:eastAsia="仿宋_GB2312" w:cs="Times New Roman"/>
          <w:color w:val="auto"/>
          <w:kern w:val="0"/>
          <w:sz w:val="32"/>
          <w:szCs w:val="32"/>
          <w:highlight w:val="none"/>
          <w:u w:val="none"/>
          <w:shd w:val="clear" w:color="auto" w:fill="FFFFFF"/>
          <w:lang w:val="zh-CN" w:eastAsia="zh-CN"/>
        </w:rPr>
        <w:t>）资金使用效益：预计产出和效益（如服务人次、</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社会效益</w:t>
      </w:r>
      <w:r>
        <w:rPr>
          <w:rFonts w:hint="default" w:ascii="Times New Roman" w:hAnsi="Times New Roman" w:eastAsia="仿宋_GB2312" w:cs="Times New Roman"/>
          <w:color w:val="auto"/>
          <w:kern w:val="0"/>
          <w:sz w:val="32"/>
          <w:szCs w:val="32"/>
          <w:highlight w:val="none"/>
          <w:u w:val="none"/>
          <w:shd w:val="clear" w:color="auto" w:fill="FFFFFF"/>
          <w:lang w:val="zh-CN" w:eastAsia="zh-CN"/>
        </w:rPr>
        <w:t>、社会满意度等）</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w:t>
      </w:r>
      <w:r>
        <w:rPr>
          <w:rFonts w:hint="default" w:ascii="Times New Roman" w:hAnsi="Times New Roman" w:eastAsia="仿宋_GB2312" w:cs="Times New Roman"/>
          <w:color w:val="auto"/>
          <w:kern w:val="0"/>
          <w:sz w:val="32"/>
          <w:szCs w:val="32"/>
          <w:highlight w:val="none"/>
          <w:u w:val="none"/>
          <w:shd w:val="clear" w:color="auto" w:fill="FFFFFF"/>
          <w:lang w:val="zh-CN" w:eastAsia="zh-CN"/>
        </w:rPr>
        <w:t>是否存在重复建设或低效投入风险。</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3.项目资金分配情况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项目资金分配按项目</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需求、</w:t>
      </w:r>
      <w:r>
        <w:rPr>
          <w:rFonts w:hint="default" w:ascii="Times New Roman" w:hAnsi="Times New Roman" w:eastAsia="仿宋_GB2312" w:cs="Times New Roman"/>
          <w:color w:val="auto"/>
          <w:kern w:val="0"/>
          <w:sz w:val="32"/>
          <w:szCs w:val="32"/>
          <w:highlight w:val="none"/>
          <w:u w:val="none"/>
          <w:shd w:val="clear" w:color="auto" w:fill="FFFFFF"/>
          <w:lang w:val="zh-CN" w:eastAsia="zh-CN"/>
        </w:rPr>
        <w:t>进度</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和</w:t>
      </w:r>
      <w:r>
        <w:rPr>
          <w:rFonts w:hint="default" w:ascii="Times New Roman" w:hAnsi="Times New Roman" w:eastAsia="仿宋_GB2312" w:cs="Times New Roman"/>
          <w:color w:val="auto"/>
          <w:kern w:val="0"/>
          <w:sz w:val="32"/>
          <w:szCs w:val="32"/>
          <w:highlight w:val="none"/>
          <w:u w:val="none"/>
          <w:shd w:val="clear" w:color="auto" w:fill="FFFFFF"/>
          <w:lang w:val="zh-CN" w:eastAsia="zh-CN"/>
        </w:rPr>
        <w:t>任务完成情况等</w:t>
      </w:r>
      <w:r>
        <w:rPr>
          <w:rFonts w:hint="eastAsia" w:ascii="Times New Roman" w:hAnsi="Times New Roman" w:eastAsia="仿宋_GB2312" w:cs="Times New Roman"/>
          <w:color w:val="auto"/>
          <w:kern w:val="0"/>
          <w:sz w:val="32"/>
          <w:szCs w:val="32"/>
          <w:highlight w:val="none"/>
          <w:u w:val="none"/>
          <w:shd w:val="clear" w:color="auto" w:fill="FFFFFF"/>
          <w:lang w:val="zh-CN" w:eastAsia="zh-CN"/>
        </w:rPr>
        <w:t>进行分配</w:t>
      </w:r>
      <w:r>
        <w:rPr>
          <w:rFonts w:hint="default" w:ascii="Times New Roman" w:hAnsi="Times New Roman" w:eastAsia="仿宋_GB2312" w:cs="Times New Roman"/>
          <w:color w:val="auto"/>
          <w:kern w:val="0"/>
          <w:sz w:val="32"/>
          <w:szCs w:val="32"/>
          <w:highlight w:val="none"/>
          <w:u w:val="none"/>
          <w:shd w:val="clear" w:color="auto" w:fill="FFFFFF"/>
          <w:lang w:val="zh-CN" w:eastAsia="zh-CN"/>
        </w:rPr>
        <w:t>。</w:t>
      </w:r>
    </w:p>
    <w:p>
      <w:pPr>
        <w:keepNext w:val="0"/>
        <w:keepLines w:val="0"/>
        <w:pageBreakBefore w:val="0"/>
        <w:kinsoku/>
        <w:wordWrap/>
        <w:overflowPunct/>
        <w:topLinePunct w:val="0"/>
        <w:autoSpaceDE/>
        <w:autoSpaceDN/>
        <w:bidi w:val="0"/>
        <w:adjustRightInd w:val="0"/>
        <w:snapToGrid w:val="0"/>
        <w:spacing w:line="578" w:lineRule="exact"/>
        <w:ind w:left="0" w:leftChars="0" w:firstLine="642" w:firstLineChars="200"/>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1.项目整体、区域和具体绩效目标设置情况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项目整体目标，项目实施后预期达到的整体效果，针对项目具体任务，设定的可量化的绩效指标，如产出指标、效益指标和满意度指标等</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2.项目自评工作开展情况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项目自评采用数据分析。总结自评工作的主要发现，包括项目实施过程中的亮点、存在的问题以及改进建议。</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color w:val="auto"/>
          <w:sz w:val="32"/>
          <w:szCs w:val="32"/>
          <w:highlight w:val="none"/>
          <w:u w:val="none"/>
          <w:lang w:val="zh-CN"/>
        </w:rPr>
        <w:t>（一）评价目的。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绩效评价的目的是通过系统、客观地收集、分析和解释数据，以评估项目的实施效果、效率、效益和可持续性。评估项目是否达到了预期的产出和影响，包括但不限于目标完成情况、服务质量、效益等。分析项目在实现目标过程中所使用的资源是否有效，资金的利用效率等。评估项目成果对目标群体的正面影响，以及项目对经济和社会的综合效益。分析项目成果的持久性和项目实施的长期影响，以及项目完成后是否能够持续发挥作用。</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2" w:firstLineChars="20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（二）预设问题及评价重点。</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按照绩效评价指标体系，预设问题主要围绕项目的决策、管理、实施、结果、产业发展、民生保障等方面。评价重点包括程序、资金、制度、绩效、分配等方面。</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2" w:firstLineChars="20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（三）评价选点。</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无抽样点位</w:t>
      </w:r>
      <w:r>
        <w:rPr>
          <w:rFonts w:hint="eastAsia" w:ascii="Times New Roman" w:hAnsi="Times New Roman" w:eastAsia="仿宋_GB2312" w:cs="Times New Roman"/>
          <w:sz w:val="32"/>
          <w:szCs w:val="32"/>
          <w:lang w:val="zh-CN" w:eastAsia="zh-CN"/>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（四）评价方法。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项目绩效评价采用多种方法，具体选择根据项目特点、评价重点和数据可获得性等因素综合考虑。</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1.成本效益分析法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对比项目成本与产生的经济效益，评估项目的经济合理性。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2.标杆管理法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通过与行业标准或最佳实践进行比较，评估项目效率和效果。</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3.单位自评法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项目执行单位自我评估，提供第一手数据和经验总结。</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现场</w:t>
      </w:r>
      <w:r>
        <w:rPr>
          <w:rFonts w:hint="default" w:ascii="Times New Roman" w:hAnsi="Times New Roman" w:eastAsia="仿宋_GB2312" w:cs="Times New Roman"/>
          <w:sz w:val="32"/>
          <w:szCs w:val="32"/>
        </w:rPr>
        <w:t>调研法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通过</w:t>
      </w:r>
      <w:r>
        <w:rPr>
          <w:rFonts w:hint="eastAsia" w:ascii="Times New Roman" w:hAnsi="Times New Roman" w:eastAsia="仿宋_GB2312" w:cs="Times New Roman"/>
          <w:sz w:val="32"/>
          <w:szCs w:val="32"/>
          <w:lang w:eastAsia="zh-CN"/>
        </w:rPr>
        <w:t>项目活动现场</w:t>
      </w:r>
      <w:r>
        <w:rPr>
          <w:rFonts w:hint="default" w:ascii="Times New Roman" w:hAnsi="Times New Roman" w:eastAsia="仿宋_GB2312" w:cs="Times New Roman"/>
          <w:sz w:val="32"/>
          <w:szCs w:val="32"/>
        </w:rPr>
        <w:t>收集项目参与者的反馈，评估项目满意度和影响。</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（五）评价组织。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1.项目负责人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协调评价工作，提供信息和数据支持。</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2.项目相关者</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提供项目实施过程中的反馈和意见，参与评价结果的讨论和决策。</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3.财务人员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rPr>
        <w:t>负责数据收集、整理、分析等技术支持工作。</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eastAsia="仿宋_GB2312" w:cs="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000000"/>
          <w:sz w:val="32"/>
          <w:szCs w:val="32"/>
          <w:lang w:eastAsia="zh-CN"/>
        </w:rPr>
        <w:t>项目设立、调整延续等方面符合资金管理基本规范和决策程序要求。项目规划符合中央、省委省政府有关决策部署安排，充分评估论证项目立项必要性、前瞻性、合理性和可行性，项目总体绩效目标设置科学合理、规范完整、量化细化、预算匹配。项目资金属于政府支持范围，且符合财政事权支出责任划分规定。资金投向与项目总体规划、相关行业事业发展相匹配。聚焦重大任务、重点领域、重点环节和重点项目，体现“集中财力办大事”原则，避免“撒胡椒面”。指标总分</w:t>
      </w:r>
      <w:r>
        <w:rPr>
          <w:rFonts w:hint="eastAsia" w:ascii="Times New Roman" w:hAnsi="Times New Roman" w:eastAsia="仿宋_GB2312" w:cs="Times New Roman"/>
          <w:color w:val="000000"/>
          <w:sz w:val="32"/>
          <w:szCs w:val="32"/>
          <w:lang w:val="en-US" w:eastAsia="zh-CN"/>
        </w:rPr>
        <w:t>18</w:t>
      </w:r>
      <w:r>
        <w:rPr>
          <w:rFonts w:hint="eastAsia" w:ascii="Times New Roman" w:hAnsi="Times New Roman" w:eastAsia="仿宋_GB2312" w:cs="Times New Roman"/>
          <w:color w:val="000000"/>
          <w:sz w:val="32"/>
          <w:szCs w:val="32"/>
          <w:lang w:eastAsia="zh-CN"/>
        </w:rPr>
        <w:t>分，评价得分</w:t>
      </w:r>
      <w:r>
        <w:rPr>
          <w:rFonts w:hint="eastAsia" w:ascii="Times New Roman" w:hAnsi="Times New Roman" w:eastAsia="仿宋_GB2312" w:cs="Times New Roman"/>
          <w:color w:val="000000"/>
          <w:sz w:val="32"/>
          <w:szCs w:val="32"/>
          <w:lang w:val="en-US" w:eastAsia="zh-CN"/>
        </w:rPr>
        <w:t>18</w:t>
      </w:r>
      <w:r>
        <w:rPr>
          <w:rFonts w:hint="eastAsia" w:ascii="Times New Roman" w:hAnsi="Times New Roman" w:eastAsia="仿宋_GB2312" w:cs="Times New Roman"/>
          <w:color w:val="000000"/>
          <w:sz w:val="32"/>
          <w:szCs w:val="32"/>
          <w:lang w:eastAsia="zh-CN"/>
        </w:rPr>
        <w:t>分。</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000000"/>
          <w:sz w:val="32"/>
          <w:szCs w:val="32"/>
          <w:lang w:eastAsia="zh-CN"/>
        </w:rPr>
        <w:t>资金管理办法等管理制度体系健全完善，不存在管理制度缺失、管理办法过期情况。资金分配因素选取充分考虑相关行业事业发展实际和发展需求，资金分配因素的权重设置有效突出项目实施重点，资金区域分布结果公平合理。建设项目储备库，实行入库项目动态管理、推动资金竞争性分配，明确项目申报审核程序，按规定程序履行项目审批。资金分配依据充分合理。如涉及多种分配法，按相应资金量的权重进行测算。项目按中省要求全面完成绩效目标（含事前评估）、绩效评价、以前年度问题整改等预算绩效管理工作，省级部门对市县主管部门预算绩效管理要求到位，不存在对市县资金分配和项目管理指导力度不够的情况。指标总分18分，评价得分1</w:t>
      </w:r>
      <w:r>
        <w:rPr>
          <w:rFonts w:hint="eastAsia" w:ascii="Times New Roman" w:hAnsi="Times New Roman" w:eastAsia="仿宋_GB2312" w:cs="Times New Roman"/>
          <w:color w:val="000000"/>
          <w:sz w:val="32"/>
          <w:szCs w:val="32"/>
          <w:lang w:val="en-US" w:eastAsia="zh-CN"/>
        </w:rPr>
        <w:t>4</w:t>
      </w:r>
      <w:r>
        <w:rPr>
          <w:rFonts w:hint="eastAsia" w:ascii="Times New Roman" w:hAnsi="Times New Roman" w:eastAsia="仿宋_GB2312" w:cs="Times New Roman"/>
          <w:color w:val="000000"/>
          <w:sz w:val="32"/>
          <w:szCs w:val="32"/>
          <w:lang w:eastAsia="zh-CN"/>
        </w:rPr>
        <w:t>分。</w:t>
      </w:r>
    </w:p>
    <w:p>
      <w:pPr>
        <w:ind w:firstLine="640" w:firstLineChars="200"/>
        <w:rPr>
          <w:rFonts w:hint="eastAsia" w:ascii="Times New Roman" w:hAnsi="Times New Roman" w:eastAsia="仿宋_GB2312" w:cs="Times New Roman"/>
          <w:color w:val="00B0F0"/>
          <w:sz w:val="32"/>
          <w:szCs w:val="32"/>
          <w:lang w:eastAsia="zh-CN"/>
        </w:rPr>
      </w:pPr>
      <w:r>
        <w:rPr>
          <w:rFonts w:hint="eastAsia" w:ascii="楷体_GB2312" w:hAnsi="楷体_GB2312" w:eastAsia="楷体_GB2312" w:cs="楷体_GB2312"/>
          <w:color w:val="auto"/>
          <w:sz w:val="32"/>
          <w:szCs w:val="32"/>
          <w:lang w:val="en-US" w:eastAsia="zh-CN"/>
        </w:rPr>
        <w:t>3.项目实施。</w:t>
      </w:r>
    </w:p>
    <w:p>
      <w:pPr>
        <w:ind w:firstLine="640" w:firstLineChars="200"/>
        <w:rPr>
          <w:rFonts w:hint="eastAsia" w:ascii="Times New Roman" w:hAnsi="Times New Roman" w:eastAsia="仿宋_GB2312" w:cs="Times New Roman"/>
          <w:color w:val="00B0F0"/>
          <w:sz w:val="32"/>
          <w:szCs w:val="32"/>
          <w:lang w:eastAsia="zh-CN"/>
        </w:rPr>
      </w:pPr>
      <w:r>
        <w:rPr>
          <w:rFonts w:hint="eastAsia" w:ascii="Times New Roman" w:hAnsi="Times New Roman" w:eastAsia="仿宋_GB2312" w:cs="Times New Roman"/>
          <w:color w:val="000000"/>
          <w:sz w:val="32"/>
          <w:szCs w:val="32"/>
          <w:lang w:eastAsia="zh-CN"/>
        </w:rPr>
        <w:t>项目资金财政拨付、单位执行和地方配套到位。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指标总分</w:t>
      </w:r>
      <w:r>
        <w:rPr>
          <w:rFonts w:hint="eastAsia" w:ascii="Times New Roman" w:hAnsi="Times New Roman" w:eastAsia="仿宋_GB2312" w:cs="Times New Roman"/>
          <w:color w:val="000000"/>
          <w:sz w:val="32"/>
          <w:szCs w:val="32"/>
          <w:lang w:val="en-US" w:eastAsia="zh-CN"/>
        </w:rPr>
        <w:t>9</w:t>
      </w:r>
      <w:r>
        <w:rPr>
          <w:rFonts w:hint="eastAsia" w:ascii="Times New Roman" w:hAnsi="Times New Roman" w:eastAsia="仿宋_GB2312" w:cs="Times New Roman"/>
          <w:color w:val="000000"/>
          <w:sz w:val="32"/>
          <w:szCs w:val="32"/>
          <w:lang w:eastAsia="zh-CN"/>
        </w:rPr>
        <w:t>分，评价得分</w:t>
      </w:r>
      <w:r>
        <w:rPr>
          <w:rFonts w:hint="eastAsia" w:ascii="Times New Roman" w:hAnsi="Times New Roman" w:eastAsia="仿宋_GB2312" w:cs="Times New Roman"/>
          <w:color w:val="000000"/>
          <w:sz w:val="32"/>
          <w:szCs w:val="32"/>
          <w:lang w:val="en-US" w:eastAsia="zh-CN"/>
        </w:rPr>
        <w:t>8.5</w:t>
      </w:r>
      <w:r>
        <w:rPr>
          <w:rFonts w:hint="eastAsia" w:ascii="Times New Roman" w:hAnsi="Times New Roman" w:eastAsia="仿宋_GB2312" w:cs="Times New Roman"/>
          <w:color w:val="000000"/>
          <w:sz w:val="32"/>
          <w:szCs w:val="32"/>
          <w:lang w:eastAsia="zh-CN"/>
        </w:rPr>
        <w:t>分。</w:t>
      </w:r>
    </w:p>
    <w:p>
      <w:pPr>
        <w:keepNext w:val="0"/>
        <w:keepLines w:val="0"/>
        <w:pageBreakBefore w:val="0"/>
        <w:widowControl w:val="0"/>
        <w:kinsoku/>
        <w:wordWrap/>
        <w:overflowPunct/>
        <w:topLinePunct w:val="0"/>
        <w:autoSpaceDE/>
        <w:autoSpaceDN/>
        <w:bidi w:val="0"/>
        <w:adjustRightInd/>
        <w:snapToGrid/>
        <w:spacing w:line="578" w:lineRule="exact"/>
        <w:ind w:left="420" w:leftChars="200" w:firstLine="0" w:firstLineChars="0"/>
        <w:textAlignment w:val="auto"/>
        <w:outlineLvl w:val="9"/>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lang w:val="en-US" w:eastAsia="zh-CN"/>
        </w:rPr>
        <w:t>4.项目结果。</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color w:val="000000"/>
          <w:sz w:val="32"/>
          <w:szCs w:val="32"/>
          <w:lang w:eastAsia="zh-CN"/>
        </w:rPr>
        <w:t>项目是完成预期目标，实施结果是与绩效目标相匹配，反映目标实现程度。际完成时间小于计划完成时间。指标总分9分，评价得分</w:t>
      </w:r>
      <w:r>
        <w:rPr>
          <w:rFonts w:hint="eastAsia" w:ascii="Times New Roman" w:hAnsi="Times New Roman" w:eastAsia="仿宋_GB2312" w:cs="Times New Roman"/>
          <w:color w:val="000000"/>
          <w:sz w:val="32"/>
          <w:szCs w:val="32"/>
          <w:lang w:val="en-US" w:eastAsia="zh-CN"/>
        </w:rPr>
        <w:t>8.5</w:t>
      </w:r>
      <w:r>
        <w:rPr>
          <w:rFonts w:hint="eastAsia" w:ascii="Times New Roman" w:hAnsi="Times New Roman" w:eastAsia="仿宋_GB2312" w:cs="Times New Roman"/>
          <w:color w:val="000000"/>
          <w:sz w:val="32"/>
          <w:szCs w:val="32"/>
          <w:lang w:eastAsia="zh-CN"/>
        </w:rPr>
        <w:t>分。</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default" w:ascii="Times New Roman" w:hAnsi="Times New Roman" w:eastAsia="楷体_GB2312" w:cs="Times New Roman"/>
          <w:color w:val="auto"/>
          <w:sz w:val="32"/>
          <w:szCs w:val="32"/>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1.产业发展。</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项目实施与省委省政府支持重点、产业支持政策符合。项目实施对相关企业（机构）成长性起促进作用。</w:t>
      </w:r>
    </w:p>
    <w:p>
      <w:pPr>
        <w:ind w:firstLine="640" w:firstLineChars="200"/>
        <w:rPr>
          <w:rFonts w:hint="eastAsia" w:ascii="Times New Roman" w:hAnsi="Times New Roman" w:eastAsia="仿宋_GB2312" w:cs="Times New Roman"/>
          <w:color w:val="00B0F0"/>
          <w:sz w:val="32"/>
          <w:szCs w:val="32"/>
          <w:lang w:val="zh-CN"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color w:val="000000"/>
          <w:sz w:val="32"/>
          <w:szCs w:val="32"/>
          <w:lang w:val="zh-CN" w:eastAsia="zh-CN"/>
        </w:rPr>
        <w:t>按实际区域分配结果选择客观因素测算验证资金分配是否科学合理、均衡公平。区域均衡情况得到改善、区域间差距缩小。项目资金分配和实施结果精准，不存在明显的排他性和歧视性情形，及时落实到支持对象个人。资金实际补贴标准符合资金管理办法规定的补助标准，及时按标准兑现。资金涉及相关受益群体、支持对象的满意度调查访谈情况好，项目相关方在项目实施过程中的人民群众满意值和获得感强。</w:t>
      </w:r>
    </w:p>
    <w:p>
      <w:pPr>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3.基础设施。</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无在建项目。</w:t>
      </w:r>
    </w:p>
    <w:p>
      <w:pPr>
        <w:ind w:firstLine="640" w:firstLineChars="200"/>
        <w:rPr>
          <w:rFonts w:hint="eastAsia" w:ascii="Times New Roman" w:hAnsi="Times New Roman" w:eastAsia="仿宋_GB2312" w:cs="Times New Roman"/>
          <w:color w:val="00B0F0"/>
          <w:sz w:val="32"/>
          <w:szCs w:val="32"/>
          <w:lang w:val="zh-CN" w:eastAsia="zh-CN"/>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zh-CN" w:eastAsia="zh-CN"/>
        </w:rPr>
        <w:t>按规定用途、适用范围进行本地区专项资金分配。资金管理程序符合专项资金管理要求。资金分配标准符合专项资金管理要求。</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color w:val="auto"/>
          <w:sz w:val="32"/>
          <w:szCs w:val="32"/>
          <w:highlight w:val="none"/>
          <w:u w:val="none"/>
          <w:lang w:val="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auto"/>
          <w:sz w:val="32"/>
          <w:szCs w:val="32"/>
          <w:lang w:val="en-US" w:eastAsia="zh-CN"/>
        </w:rPr>
        <w:t>无个性指标。</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en-US" w:eastAsia="en-US" w:bidi="ar-SA"/>
        </w:rPr>
      </w:pPr>
      <w:r>
        <w:rPr>
          <w:rFonts w:hint="default" w:ascii="Times New Roman" w:hAnsi="Times New Roman" w:eastAsia="黑体" w:cs="Times New Roman"/>
          <w:color w:val="auto"/>
          <w:kern w:val="0"/>
          <w:position w:val="3"/>
          <w:sz w:val="32"/>
          <w:szCs w:val="32"/>
          <w:highlight w:val="none"/>
          <w:u w:val="none"/>
          <w:lang w:val="en-US" w:eastAsia="zh-CN" w:bidi="ar-SA"/>
        </w:rPr>
        <w:t>四</w:t>
      </w:r>
      <w:r>
        <w:rPr>
          <w:rFonts w:hint="default" w:ascii="Times New Roman" w:hAnsi="Times New Roman" w:eastAsia="黑体" w:cs="Times New Roman"/>
          <w:color w:val="auto"/>
          <w:kern w:val="0"/>
          <w:position w:val="3"/>
          <w:sz w:val="32"/>
          <w:szCs w:val="32"/>
          <w:highlight w:val="none"/>
          <w:u w:val="none"/>
          <w:lang w:val="en-US" w:eastAsia="en-US" w:bidi="ar-SA"/>
        </w:rPr>
        <w:t>、评价结论</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3"/>
          <w:sz w:val="32"/>
          <w:szCs w:val="32"/>
          <w:highlight w:val="none"/>
          <w:lang w:val="zh-CN" w:eastAsia="en-US" w:bidi="ar-SA"/>
        </w:rPr>
      </w:pPr>
      <w:r>
        <w:rPr>
          <w:rFonts w:hint="eastAsia" w:ascii="仿宋_GB2312" w:hAnsi="仿宋_GB2312" w:eastAsia="仿宋_GB2312" w:cs="仿宋_GB2312"/>
          <w:b w:val="0"/>
          <w:bCs w:val="0"/>
          <w:color w:val="000000"/>
          <w:kern w:val="0"/>
          <w:position w:val="3"/>
          <w:sz w:val="32"/>
          <w:szCs w:val="32"/>
          <w:highlight w:val="none"/>
          <w:lang w:val="zh-CN" w:eastAsia="en-US" w:bidi="ar-SA"/>
        </w:rPr>
        <w:t>评价总分为</w:t>
      </w:r>
      <w:r>
        <w:rPr>
          <w:rFonts w:hint="eastAsia" w:ascii="仿宋_GB2312" w:hAnsi="仿宋_GB2312" w:eastAsia="仿宋_GB2312" w:cs="仿宋_GB2312"/>
          <w:b w:val="0"/>
          <w:bCs w:val="0"/>
          <w:color w:val="000000"/>
          <w:kern w:val="0"/>
          <w:position w:val="3"/>
          <w:sz w:val="32"/>
          <w:szCs w:val="32"/>
          <w:highlight w:val="none"/>
          <w:lang w:val="en-US" w:eastAsia="zh-CN" w:bidi="ar-SA"/>
        </w:rPr>
        <w:t>94.5</w:t>
      </w:r>
      <w:r>
        <w:rPr>
          <w:rFonts w:hint="eastAsia" w:ascii="仿宋_GB2312" w:hAnsi="仿宋_GB2312" w:eastAsia="仿宋_GB2312" w:cs="仿宋_GB2312"/>
          <w:b w:val="0"/>
          <w:bCs w:val="0"/>
          <w:color w:val="000000"/>
          <w:kern w:val="0"/>
          <w:position w:val="3"/>
          <w:sz w:val="32"/>
          <w:szCs w:val="32"/>
          <w:highlight w:val="none"/>
          <w:lang w:val="zh-CN" w:eastAsia="en-US" w:bidi="ar-SA"/>
        </w:rPr>
        <w:t>分，基本实现了预期绩效目标，项目实施总体情况良好，后续需针对薄弱环节加强整改，进一步提升资金使用效益和项目管理水平。</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en-US" w:eastAsia="zh-CN" w:bidi="ar-SA"/>
        </w:rPr>
      </w:pPr>
      <w:r>
        <w:rPr>
          <w:rFonts w:hint="default" w:ascii="Times New Roman" w:hAnsi="Times New Roman" w:eastAsia="黑体" w:cs="Times New Roman"/>
          <w:color w:val="auto"/>
          <w:kern w:val="0"/>
          <w:position w:val="3"/>
          <w:sz w:val="32"/>
          <w:szCs w:val="32"/>
          <w:highlight w:val="none"/>
          <w:u w:val="none"/>
          <w:lang w:val="en-US" w:eastAsia="zh-CN" w:bidi="ar-SA"/>
        </w:rPr>
        <w:t>五、存在主要问题</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1.资金使用效率</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尽管总体资金使用效率较高，但在某些子项目中，发现有部分资金未能有效利用，导致资源浪费。</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楷体_GB2312" w:hAnsi="楷体_GB2312" w:eastAsia="楷体_GB2312" w:cs="楷体_GB2312"/>
          <w:color w:val="auto"/>
          <w:kern w:val="2"/>
          <w:position w:val="0"/>
          <w:sz w:val="32"/>
          <w:szCs w:val="32"/>
          <w:lang w:val="en-US" w:eastAsia="zh-CN" w:bidi="ar-SA"/>
        </w:rPr>
        <w:t>2.预算执行偏差</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个别科目中期调整或结余较大，资金使用精细化程度不足。</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3.项目管理待加强</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过程监督机制不完善，部分环节存在滞后现象，部门间协调不畅，导致信息共享不及时，影响整体效率。</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4.绩效跟踪不到位</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项目中期评估和动态调整机制未有效落实，未能及时发现并纠正问题。</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1.优化资金使用：</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建议对资金使用进行更细致的规划和监控，确保每一笔资金都能发挥最大效益。</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2.提高预算编制科学性</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结合项目实际需求，细化预算科目，强化前期论证，避免资金分配不合理或执行进度滞后。</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3.健全过程监督机制</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定期开展线上跟踪，确保执行规范。明确牵头部门与配合单位的职责分工，解决跨部门协作障碍。</w:t>
      </w:r>
    </w:p>
    <w:p>
      <w:pPr>
        <w:ind w:firstLine="640" w:firstLineChars="200"/>
        <w:rPr>
          <w:rFonts w:hint="eastAsia" w:ascii="楷体_GB2312" w:hAnsi="楷体_GB2312" w:eastAsia="楷体_GB2312" w:cs="楷体_GB2312"/>
          <w:color w:val="auto"/>
          <w:kern w:val="2"/>
          <w:position w:val="0"/>
          <w:sz w:val="32"/>
          <w:szCs w:val="32"/>
          <w:lang w:val="en-US" w:eastAsia="zh-CN" w:bidi="ar-SA"/>
        </w:rPr>
      </w:pPr>
      <w:r>
        <w:rPr>
          <w:rFonts w:hint="eastAsia" w:ascii="楷体_GB2312" w:hAnsi="楷体_GB2312" w:eastAsia="楷体_GB2312" w:cs="楷体_GB2312"/>
          <w:color w:val="auto"/>
          <w:kern w:val="2"/>
          <w:position w:val="0"/>
          <w:sz w:val="32"/>
          <w:szCs w:val="32"/>
          <w:lang w:val="en-US" w:eastAsia="zh-CN" w:bidi="ar-SA"/>
        </w:rPr>
        <w:t>4.落实中期评估制度</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在项目执行中期开展绩效自评，发现问题及时纠偏，避免“重结果、轻过程”。</w:t>
      </w:r>
    </w:p>
    <w:p>
      <w:pPr>
        <w:ind w:firstLine="640" w:firstLineChars="200"/>
        <w:rPr>
          <w:rFonts w:hint="eastAsia" w:ascii="仿宋_GB2312" w:hAnsi="仿宋_GB2312" w:eastAsia="仿宋_GB2312" w:cs="仿宋_GB2312"/>
          <w:b w:val="0"/>
          <w:bCs w:val="0"/>
          <w:color w:val="000000"/>
          <w:kern w:val="0"/>
          <w:position w:val="0"/>
          <w:sz w:val="32"/>
          <w:szCs w:val="32"/>
          <w:highlight w:val="none"/>
          <w:lang w:val="en-US" w:eastAsia="zh-CN" w:bidi="ar-SA"/>
        </w:rPr>
      </w:pPr>
      <w:r>
        <w:rPr>
          <w:rFonts w:hint="eastAsia" w:ascii="仿宋_GB2312" w:hAnsi="仿宋_GB2312" w:eastAsia="仿宋_GB2312" w:cs="仿宋_GB2312"/>
          <w:b w:val="0"/>
          <w:bCs w:val="0"/>
          <w:color w:val="000000"/>
          <w:kern w:val="0"/>
          <w:position w:val="0"/>
          <w:sz w:val="32"/>
          <w:szCs w:val="32"/>
          <w:highlight w:val="none"/>
          <w:lang w:val="en-US" w:eastAsia="zh-CN" w:bidi="ar-SA"/>
        </w:rPr>
        <w:t>通过以上措施，可系统性提升预算安排精准性、政策执行有效性和管理规范性，确保财政资金发挥最大效益。</w:t>
      </w:r>
    </w:p>
    <w:p>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p>
    <w:p>
      <w:pPr>
        <w:ind w:firstLine="640" w:firstLineChars="200"/>
        <w:rPr>
          <w:rFonts w:hint="eastAsia" w:eastAsia="仿宋_GB2312"/>
          <w:sz w:val="32"/>
          <w:szCs w:val="32"/>
          <w:lang w:val="zh-CN"/>
        </w:rPr>
        <w:sectPr>
          <w:footerReference r:id="rId12" w:type="first"/>
          <w:footerReference r:id="rId11" w:type="default"/>
          <w:pgSz w:w="11906" w:h="16838"/>
          <w:pgMar w:top="1440" w:right="1800" w:bottom="1440" w:left="1800" w:header="851" w:footer="992" w:gutter="0"/>
          <w:pgNumType w:fmt="decimal" w:start="28"/>
          <w:cols w:space="425" w:num="1"/>
          <w:titlePg/>
          <w:docGrid w:type="lines" w:linePitch="312" w:charSpace="0"/>
        </w:sectPr>
      </w:pPr>
    </w:p>
    <w:p>
      <w:pPr>
        <w:pStyle w:val="2"/>
        <w:ind w:left="0" w:leftChars="0" w:firstLine="0" w:firstLineChars="0"/>
        <w:rPr>
          <w:lang w:val="zh-CN"/>
        </w:rPr>
      </w:pPr>
    </w:p>
    <w:p>
      <w:pPr>
        <w:pStyle w:val="4"/>
        <w:jc w:val="center"/>
        <w:rPr>
          <w:rFonts w:ascii="黑体" w:hAnsi="黑体" w:eastAsia="黑体"/>
        </w:rPr>
      </w:pPr>
      <w:bookmarkStart w:id="76" w:name="_Toc418423464"/>
      <w:r>
        <w:rPr>
          <w:rFonts w:hint="eastAsia" w:ascii="黑体" w:hAnsi="黑体" w:eastAsia="黑体"/>
        </w:rPr>
        <w:t>第五部分 附表</w:t>
      </w:r>
      <w:bookmarkEnd w:id="76"/>
    </w:p>
    <w:p>
      <w:pPr>
        <w:pStyle w:val="5"/>
        <w:rPr>
          <w:rFonts w:hint="eastAsia" w:ascii="黑体" w:eastAsia="黑体"/>
          <w:b w:val="0"/>
          <w:lang w:eastAsia="zh-CN"/>
        </w:rPr>
      </w:pPr>
      <w:bookmarkStart w:id="77" w:name="_Toc1019227049"/>
      <w:r>
        <w:rPr>
          <w:rFonts w:hint="eastAsia" w:ascii="黑体" w:eastAsia="黑体"/>
          <w:b w:val="0"/>
          <w:lang w:eastAsia="zh-CN"/>
        </w:rPr>
        <w:t>一、收入支出决算总表</w:t>
      </w:r>
      <w:bookmarkEnd w:id="77"/>
    </w:p>
    <w:p>
      <w:pPr>
        <w:pStyle w:val="5"/>
        <w:rPr>
          <w:rFonts w:hint="eastAsia" w:ascii="黑体" w:eastAsia="黑体"/>
          <w:b w:val="0"/>
          <w:lang w:eastAsia="zh-CN"/>
        </w:rPr>
      </w:pPr>
      <w:bookmarkStart w:id="78" w:name="_Toc590319739"/>
      <w:r>
        <w:rPr>
          <w:rFonts w:hint="eastAsia" w:ascii="黑体" w:eastAsia="黑体"/>
          <w:b w:val="0"/>
          <w:lang w:eastAsia="zh-CN"/>
        </w:rPr>
        <w:t>二、收入决算表</w:t>
      </w:r>
      <w:bookmarkEnd w:id="78"/>
    </w:p>
    <w:p>
      <w:pPr>
        <w:pStyle w:val="5"/>
        <w:rPr>
          <w:rFonts w:hint="eastAsia" w:ascii="黑体" w:eastAsia="黑体"/>
          <w:b w:val="0"/>
          <w:lang w:eastAsia="zh-CN"/>
        </w:rPr>
      </w:pPr>
      <w:bookmarkStart w:id="79" w:name="_Toc1742765991"/>
      <w:r>
        <w:rPr>
          <w:rFonts w:hint="eastAsia" w:ascii="黑体" w:eastAsia="黑体"/>
          <w:b w:val="0"/>
          <w:lang w:eastAsia="zh-CN"/>
        </w:rPr>
        <w:t>三、支出决算表</w:t>
      </w:r>
      <w:bookmarkEnd w:id="79"/>
    </w:p>
    <w:p>
      <w:pPr>
        <w:pStyle w:val="5"/>
        <w:rPr>
          <w:rFonts w:hint="eastAsia" w:ascii="黑体" w:eastAsia="黑体"/>
          <w:b w:val="0"/>
          <w:lang w:eastAsia="zh-CN"/>
        </w:rPr>
      </w:pPr>
      <w:bookmarkStart w:id="80" w:name="_Toc10493415"/>
      <w:r>
        <w:rPr>
          <w:rFonts w:hint="eastAsia" w:ascii="黑体" w:eastAsia="黑体"/>
          <w:b w:val="0"/>
          <w:lang w:eastAsia="zh-CN"/>
        </w:rPr>
        <w:t>四、财政拨款收入支出决算总表</w:t>
      </w:r>
      <w:bookmarkEnd w:id="80"/>
    </w:p>
    <w:p>
      <w:pPr>
        <w:pStyle w:val="5"/>
        <w:rPr>
          <w:rFonts w:hint="eastAsia" w:ascii="黑体" w:eastAsia="黑体"/>
          <w:b w:val="0"/>
          <w:lang w:eastAsia="zh-CN"/>
        </w:rPr>
      </w:pPr>
      <w:bookmarkStart w:id="81" w:name="_Toc939409753"/>
      <w:r>
        <w:rPr>
          <w:rFonts w:hint="eastAsia" w:ascii="黑体" w:eastAsia="黑体"/>
          <w:b w:val="0"/>
          <w:lang w:eastAsia="zh-CN"/>
        </w:rPr>
        <w:t>五、财政拨款支出决算明细表</w:t>
      </w:r>
      <w:bookmarkEnd w:id="81"/>
    </w:p>
    <w:p>
      <w:pPr>
        <w:pStyle w:val="5"/>
        <w:rPr>
          <w:rFonts w:hint="eastAsia" w:ascii="黑体" w:eastAsia="黑体"/>
          <w:b w:val="0"/>
          <w:lang w:eastAsia="zh-CN"/>
        </w:rPr>
      </w:pPr>
      <w:bookmarkStart w:id="82" w:name="_Toc1104060416"/>
      <w:r>
        <w:rPr>
          <w:rFonts w:hint="eastAsia" w:ascii="黑体" w:eastAsia="黑体"/>
          <w:b w:val="0"/>
          <w:lang w:eastAsia="zh-CN"/>
        </w:rPr>
        <w:t>六、一般公共预算财政拨款支出决算表</w:t>
      </w:r>
      <w:bookmarkEnd w:id="82"/>
    </w:p>
    <w:p>
      <w:pPr>
        <w:pStyle w:val="5"/>
        <w:rPr>
          <w:rFonts w:hint="eastAsia" w:ascii="黑体" w:eastAsia="黑体"/>
          <w:b w:val="0"/>
          <w:lang w:eastAsia="zh-CN"/>
        </w:rPr>
      </w:pPr>
      <w:bookmarkStart w:id="83" w:name="_Toc1486250271"/>
      <w:r>
        <w:rPr>
          <w:rFonts w:hint="eastAsia" w:ascii="黑体" w:eastAsia="黑体"/>
          <w:b w:val="0"/>
          <w:lang w:eastAsia="zh-CN"/>
        </w:rPr>
        <w:t>七、一般公共预算财政拨款支出决算明细表</w:t>
      </w:r>
      <w:bookmarkEnd w:id="83"/>
    </w:p>
    <w:p>
      <w:pPr>
        <w:pStyle w:val="5"/>
        <w:rPr>
          <w:rFonts w:hint="eastAsia" w:ascii="黑体" w:eastAsia="黑体"/>
          <w:b w:val="0"/>
          <w:lang w:eastAsia="zh-CN"/>
        </w:rPr>
      </w:pPr>
      <w:bookmarkStart w:id="84" w:name="_Toc1849363544"/>
      <w:r>
        <w:rPr>
          <w:rFonts w:hint="eastAsia" w:ascii="黑体" w:eastAsia="黑体"/>
          <w:b w:val="0"/>
          <w:lang w:eastAsia="zh-CN"/>
        </w:rPr>
        <w:t>八、一般公共预算财政拨款基本支出决算表</w:t>
      </w:r>
      <w:bookmarkEnd w:id="84"/>
    </w:p>
    <w:p>
      <w:pPr>
        <w:pStyle w:val="5"/>
        <w:rPr>
          <w:rFonts w:hint="eastAsia" w:ascii="黑体" w:eastAsia="黑体"/>
          <w:b w:val="0"/>
          <w:lang w:eastAsia="zh-CN"/>
        </w:rPr>
      </w:pPr>
      <w:bookmarkStart w:id="85" w:name="_Toc720712562"/>
      <w:r>
        <w:rPr>
          <w:rFonts w:hint="eastAsia" w:ascii="黑体" w:eastAsia="黑体"/>
          <w:b w:val="0"/>
          <w:lang w:eastAsia="zh-CN"/>
        </w:rPr>
        <w:t>九、一般公共预算财政拨款项目支出决算表</w:t>
      </w:r>
      <w:bookmarkEnd w:id="85"/>
    </w:p>
    <w:p>
      <w:pPr>
        <w:pStyle w:val="5"/>
        <w:rPr>
          <w:rFonts w:hint="eastAsia" w:ascii="黑体" w:eastAsia="黑体"/>
          <w:b w:val="0"/>
          <w:lang w:eastAsia="zh-CN"/>
        </w:rPr>
      </w:pPr>
      <w:bookmarkStart w:id="86" w:name="_Toc1638169784"/>
      <w:r>
        <w:rPr>
          <w:rFonts w:hint="eastAsia" w:ascii="黑体" w:eastAsia="黑体"/>
          <w:b w:val="0"/>
          <w:lang w:eastAsia="zh-CN"/>
        </w:rPr>
        <w:t>十、政府性基金预算财政拨款收入支出决算表</w:t>
      </w:r>
      <w:bookmarkEnd w:id="86"/>
    </w:p>
    <w:p>
      <w:pPr>
        <w:pStyle w:val="5"/>
        <w:rPr>
          <w:rFonts w:hint="eastAsia" w:ascii="黑体" w:eastAsia="黑体"/>
          <w:b w:val="0"/>
          <w:lang w:eastAsia="zh-CN"/>
        </w:rPr>
      </w:pPr>
      <w:bookmarkStart w:id="87" w:name="_Toc2060290253"/>
      <w:r>
        <w:rPr>
          <w:rFonts w:hint="eastAsia" w:ascii="黑体" w:eastAsia="黑体"/>
          <w:b w:val="0"/>
          <w:lang w:eastAsia="zh-CN"/>
        </w:rPr>
        <w:t>十一、国有资本经营预算财政拨款收入支出决算表</w:t>
      </w:r>
      <w:bookmarkEnd w:id="87"/>
    </w:p>
    <w:p>
      <w:pPr>
        <w:pStyle w:val="5"/>
        <w:rPr>
          <w:rFonts w:hint="eastAsia" w:ascii="黑体" w:eastAsia="黑体"/>
          <w:b w:val="0"/>
          <w:lang w:eastAsia="zh-CN"/>
        </w:rPr>
      </w:pPr>
      <w:bookmarkStart w:id="88" w:name="_Toc1483371815"/>
      <w:r>
        <w:rPr>
          <w:rFonts w:hint="eastAsia" w:ascii="黑体" w:eastAsia="黑体"/>
          <w:b w:val="0"/>
          <w:lang w:eastAsia="zh-CN"/>
        </w:rPr>
        <w:t>十二、国有资本经营预算财政拨款支出决算表</w:t>
      </w:r>
      <w:bookmarkEnd w:id="88"/>
    </w:p>
    <w:p>
      <w:pPr>
        <w:pStyle w:val="5"/>
        <w:rPr>
          <w:rFonts w:hint="eastAsia" w:ascii="黑体" w:eastAsia="黑体"/>
          <w:b w:val="0"/>
          <w:lang w:eastAsia="zh-CN"/>
        </w:rPr>
      </w:pPr>
      <w:bookmarkStart w:id="89" w:name="_Toc2124917785"/>
      <w:r>
        <w:rPr>
          <w:rFonts w:hint="eastAsia" w:ascii="黑体" w:eastAsia="黑体"/>
          <w:b w:val="0"/>
          <w:lang w:eastAsia="zh-CN"/>
        </w:rPr>
        <w:t>十三、财政拨款“三公”经费支出决算表</w:t>
      </w:r>
      <w:bookmarkEnd w:id="89"/>
    </w:p>
    <w:sectPr>
      <w:footerReference r:id="rId14" w:type="first"/>
      <w:footerReference r:id="rId13" w:type="default"/>
      <w:pgSz w:w="11906" w:h="16838"/>
      <w:pgMar w:top="1440" w:right="1800" w:bottom="1440" w:left="1800" w:header="851" w:footer="992" w:gutter="0"/>
      <w:pgNumType w:fmt="decimal" w:start="37"/>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sans-serif">
    <w:altName w:val="仿宋"/>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L2AA3MzAgAAYwQAAA4AAAAAAAAAAQAgAAAANQEA&#10;AGRycy9lMm9Eb2MueG1sUEsBAhQAFAAAAAgAh07iQLNJWO7QAAAABQEAAA8AAAAAAAAAAQAgAAAA&#10;OAAAAGRycy9kb3ducmV2LnhtbFBLBQYAAAAABgAGAFkBAADa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03aQMwIAAGMEAAAOAAAAZHJz&#10;L2Uyb0RvYy54bWytVM2O0zAQviPxDpbvNGlhV1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LDTdpAzAgAAYwQAAA4AAAAAAAAAAQAgAAAANQEA&#10;AGRycy9lMm9Eb2MueG1sUEsBAhQAFAAAAAgAh07iQLNJWO7QAAAABQEAAA8AAAAAAAAAAQAgAAAA&#10;OAAAAGRycy9kb3ducmV2LnhtbFBLBQYAAAAABgAGAFkBAADa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18</w:t>
                    </w:r>
                    <w:r>
                      <w:fldChar w:fldCharType="end"/>
                    </w:r>
                  </w:p>
                </w:txbxContent>
              </v:textbox>
            </v:shape>
          </w:pict>
        </mc:Fallback>
      </mc:AlternateContent>
    </w:r>
  </w:p>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29</w:t>
                    </w:r>
                    <w:r>
                      <w:fldChar w:fldCharType="end"/>
                    </w:r>
                  </w:p>
                </w:txbxContent>
              </v:textbox>
            </v:shape>
          </w:pict>
        </mc:Fallback>
      </mc:AlternateContent>
    </w:r>
  </w:p>
  <w:p>
    <w:pPr>
      <w:pStyle w:val="1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&#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AoAAAAAAIdO4kAAAAAAAAAAAAAAAAAGAAAAAAAA&#10;AAAAEAAAAD0EAABfcmVscy9QSwECFAAKAAAAAACHTuJAAAAAAAAAAAAAAAAABAAAAAAAAAAAABAA&#10;AAAWAAAAZHJzL1BLAQIUABQAAAAIAIdO4kAopvWg3AIAACYGAAAOAAAAAAAAAAEAIAAAADUBAABk&#10;cnMvZTJvRG9jLnhtbFBLAQIUABQAAAAIAIdO4kCzSVju0AAAAAUBAAAPAAAAAAAAAAEAIAAAADgA&#10;AABkcnMvZG93bnJldi54bWxQSwUGAAAAAAYABgBZAQAAgwY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90FF4"/>
    <w:multiLevelType w:val="singleLevel"/>
    <w:tmpl w:val="FF990FF4"/>
    <w:lvl w:ilvl="0" w:tentative="0">
      <w:start w:val="2"/>
      <w:numFmt w:val="chineseCounting"/>
      <w:suff w:val="nothing"/>
      <w:lvlText w:val="（%1）"/>
      <w:lvlJc w:val="left"/>
      <w:rPr>
        <w:rFonts w:hint="eastAsia"/>
      </w:rPr>
    </w:lvl>
  </w:abstractNum>
  <w:abstractNum w:abstractNumId="1">
    <w:nsid w:val="49F7FB3C"/>
    <w:multiLevelType w:val="singleLevel"/>
    <w:tmpl w:val="49F7FB3C"/>
    <w:lvl w:ilvl="0" w:tentative="0">
      <w:start w:val="3"/>
      <w:numFmt w:val="chineseCounting"/>
      <w:suff w:val="nothing"/>
      <w:lvlText w:val="（%1）"/>
      <w:lvlJc w:val="left"/>
      <w:rPr>
        <w:rFonts w:hint="eastAsia"/>
      </w:r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9FD04D3"/>
    <w:rsid w:val="2BFF7BC6"/>
    <w:rsid w:val="2C8A61B5"/>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5FDAE48"/>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9BFE0"/>
    <w:rsid w:val="7FBD6753"/>
    <w:rsid w:val="7FBFABB4"/>
    <w:rsid w:val="7FC65084"/>
    <w:rsid w:val="7FC96657"/>
    <w:rsid w:val="7FCDF580"/>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6F5DD59"/>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931C01"/>
    <w:rsid w:val="BFB3380D"/>
    <w:rsid w:val="BFB7E7A2"/>
    <w:rsid w:val="BFC2F103"/>
    <w:rsid w:val="BFD475C3"/>
    <w:rsid w:val="BFDE5EA6"/>
    <w:rsid w:val="BFEF99E9"/>
    <w:rsid w:val="BFF9E564"/>
    <w:rsid w:val="BFFF3A69"/>
    <w:rsid w:val="C57BD72D"/>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BF8124"/>
    <w:rsid w:val="DEFBBE33"/>
    <w:rsid w:val="DEFBFEAE"/>
    <w:rsid w:val="DF1F3B80"/>
    <w:rsid w:val="DF6F9789"/>
    <w:rsid w:val="DF9B8D55"/>
    <w:rsid w:val="DF9D198A"/>
    <w:rsid w:val="DFBF52B0"/>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2C71BDF"/>
    <w:rsid w:val="F36FB518"/>
    <w:rsid w:val="F3778335"/>
    <w:rsid w:val="F3DE1A04"/>
    <w:rsid w:val="F3E244FA"/>
    <w:rsid w:val="F3EFB7CA"/>
    <w:rsid w:val="F3F722E5"/>
    <w:rsid w:val="F699BB1A"/>
    <w:rsid w:val="F6DEABFE"/>
    <w:rsid w:val="F7B650C7"/>
    <w:rsid w:val="F7B7ADCE"/>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ECA256"/>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4"/>
    <w:qFormat/>
    <w:uiPriority w:val="9"/>
    <w:rPr>
      <w:rFonts w:ascii="Times New Roman" w:hAnsi="Times New Roman"/>
      <w:b/>
      <w:bCs/>
      <w:kern w:val="44"/>
      <w:sz w:val="44"/>
      <w:szCs w:val="44"/>
    </w:rPr>
  </w:style>
  <w:style w:type="character" w:customStyle="1" w:styleId="28">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9"/>
    <w:semiHidden/>
    <w:qFormat/>
    <w:uiPriority w:val="99"/>
    <w:rPr>
      <w:rFonts w:ascii="Times New Roman" w:hAnsi="Times New Roman"/>
      <w:kern w:val="2"/>
      <w:sz w:val="18"/>
      <w:szCs w:val="18"/>
    </w:rPr>
  </w:style>
  <w:style w:type="character" w:customStyle="1" w:styleId="31">
    <w:name w:val="标题 3 字符"/>
    <w:basedOn w:val="15"/>
    <w:link w:val="6"/>
    <w:qFormat/>
    <w:uiPriority w:val="9"/>
    <w:rPr>
      <w:rFonts w:ascii="Times New Roman" w:hAnsi="Times New Roman"/>
      <w:b/>
      <w:bCs/>
      <w:kern w:val="2"/>
      <w:sz w:val="32"/>
      <w:szCs w:val="32"/>
    </w:rPr>
  </w:style>
  <w:style w:type="paragraph" w:customStyle="1" w:styleId="32">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7.xml"/><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1651.66</c:v>
                </c:pt>
                <c:pt idx="1">
                  <c:v>2131.85</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1651.66</c:v>
                </c:pt>
                <c:pt idx="1">
                  <c:v>2131.85</c:v>
                </c:pt>
              </c:numCache>
            </c:numRef>
          </c:val>
        </c:ser>
        <c:dLbls>
          <c:showLegendKey val="0"/>
          <c:showVal val="1"/>
          <c:showCatName val="0"/>
          <c:showSerName val="0"/>
          <c:showPercent val="0"/>
          <c:showBubbleSize val="0"/>
        </c:dLbls>
        <c:gapWidth val="150"/>
        <c:overlap val="0"/>
        <c:axId val="47715968"/>
        <c:axId val="309376032"/>
      </c:barChart>
      <c:catAx>
        <c:axId val="4771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376032"/>
        <c:crosses val="autoZero"/>
        <c:auto val="1"/>
        <c:lblAlgn val="ctr"/>
        <c:lblOffset val="100"/>
        <c:noMultiLvlLbl val="0"/>
      </c:catAx>
      <c:valAx>
        <c:axId val="3093760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1596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2091.05</c:v>
                </c:pt>
                <c:pt idx="1">
                  <c:v>40.8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822.75</c:v>
                </c:pt>
                <c:pt idx="1">
                  <c:v>1309.1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1633.06</c:v>
                </c:pt>
                <c:pt idx="1" c:formatCode="#,##0.00">
                  <c:v>2091.05</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1633.06</c:v>
                </c:pt>
                <c:pt idx="1" c:formatCode="#,##0.00">
                  <c:v>2091.05</c:v>
                </c:pt>
              </c:numCache>
            </c:numRef>
          </c:val>
        </c:ser>
        <c:dLbls>
          <c:showLegendKey val="0"/>
          <c:showVal val="1"/>
          <c:showCatName val="0"/>
          <c:showSerName val="0"/>
          <c:showPercent val="0"/>
          <c:showBubbleSize val="0"/>
        </c:dLbls>
        <c:gapWidth val="219"/>
        <c:overlap val="0"/>
        <c:axId val="186616226"/>
        <c:axId val="383551028"/>
      </c:barChart>
      <c:catAx>
        <c:axId val="18661622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3551028"/>
        <c:crosses val="autoZero"/>
        <c:auto val="1"/>
        <c:lblAlgn val="ctr"/>
        <c:lblOffset val="100"/>
        <c:noMultiLvlLbl val="0"/>
      </c:catAx>
      <c:valAx>
        <c:axId val="3835510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61622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1633.06</c:v>
                </c:pt>
                <c:pt idx="1" c:formatCode="#,##0.00">
                  <c:v>2091.05</c:v>
                </c:pt>
              </c:numCache>
            </c:numRef>
          </c:val>
        </c:ser>
        <c:dLbls>
          <c:showLegendKey val="0"/>
          <c:showVal val="1"/>
          <c:showCatName val="0"/>
          <c:showSerName val="0"/>
          <c:showPercent val="0"/>
          <c:showBubbleSize val="0"/>
        </c:dLbls>
        <c:gapWidth val="219"/>
        <c:overlap val="-27"/>
        <c:axId val="241439377"/>
        <c:axId val="437252374"/>
      </c:barChart>
      <c:catAx>
        <c:axId val="2414393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252374"/>
        <c:crosses val="autoZero"/>
        <c:auto val="1"/>
        <c:lblAlgn val="ctr"/>
        <c:lblOffset val="100"/>
        <c:noMultiLvlLbl val="0"/>
      </c:catAx>
      <c:valAx>
        <c:axId val="43725237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143937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3"/>
              <c:layout>
                <c:manualLayout>
                  <c:x val="0.0386594149639865"/>
                  <c:y val="-0.0055126791620727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教育支出</c:v>
                </c:pt>
                <c:pt idx="2">
                  <c:v>社会保障和就业支出</c:v>
                </c:pt>
                <c:pt idx="3">
                  <c:v>卫生健康支出</c:v>
                </c:pt>
                <c:pt idx="4">
                  <c:v>住房保障支出</c:v>
                </c:pt>
              </c:strCache>
            </c:strRef>
          </c:cat>
          <c:val>
            <c:numRef>
              <c:f>Sheet1!$B$2:$B$6</c:f>
              <c:numCache>
                <c:formatCode>#,##0.00</c:formatCode>
                <c:ptCount val="5"/>
                <c:pt idx="0">
                  <c:v>1835.04</c:v>
                </c:pt>
                <c:pt idx="1">
                  <c:v>41</c:v>
                </c:pt>
                <c:pt idx="2" c:formatCode="General">
                  <c:v>107.55</c:v>
                </c:pt>
                <c:pt idx="3" c:formatCode="General">
                  <c:v>48.84</c:v>
                </c:pt>
                <c:pt idx="4" c:formatCode="General">
                  <c:v>58.62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29.38</c:v>
                </c:pt>
                <c:pt idx="1">
                  <c:v>0.34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13350</Words>
  <Characters>14363</Characters>
  <Lines>72</Lines>
  <Paragraphs>20</Paragraphs>
  <TotalTime>21</TotalTime>
  <ScaleCrop>false</ScaleCrop>
  <LinksUpToDate>false</LinksUpToDate>
  <CharactersWithSpaces>18747</CharactersWithSpaces>
  <Application>WPS Office_11.8.2.1115_F1E327BC-269C-435d-A152-05C5408002CA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2024-08-05T23:12:00Z</dcterms:created>
  <dc:creator>曹颖</dc:creator>
  <cp:lastModifiedBy>user</cp:lastModifiedBy>
  <cp:lastPrinted>2025-09-17T17:14:09Z</cp:lastPrinted>
  <dcterms:modified xsi:type="dcterms:W3CDTF">2025-09-17T17:28:27Z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2052-11.8.2.1115</vt:lpwstr>
  </property>
  <property fmtid="{D5CDD505-2E9C-101B-9397-08002B2CF9AE}" pid="3" name="ICV">
    <vt:lpwstr>E1486871A0AFB9416E16C968BA39DB3A</vt:lpwstr>
  </property>
</Properties>
</file>