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Times New Roman" w:hAnsi="Times New Roman" w:eastAsia="方正小标宋简体" w:cs="Times New Roman"/>
          <w:sz w:val="72"/>
          <w:szCs w:val="72"/>
        </w:rPr>
      </w:pPr>
      <w:bookmarkStart w:id="0" w:name="_Toc15377193"/>
      <w:bookmarkStart w:id="1" w:name="_Toc15396475"/>
      <w:bookmarkStart w:id="2" w:name="_Toc15377425"/>
      <w:bookmarkStart w:id="3" w:name="_Toc15378441"/>
      <w:bookmarkStart w:id="4" w:name="_Toc15396597"/>
      <w:bookmarkStart w:id="5" w:name="_Toc15306267"/>
    </w:p>
    <w:p>
      <w:pPr>
        <w:pStyle w:val="7"/>
        <w:spacing w:before="93"/>
        <w:rPr>
          <w:rFonts w:hint="default" w:ascii="Times New Roman" w:hAnsi="Times New Roman" w:cs="Times New Roman"/>
        </w:rPr>
      </w:pPr>
    </w:p>
    <w:p>
      <w:pPr>
        <w:spacing w:line="600" w:lineRule="exact"/>
        <w:jc w:val="center"/>
        <w:outlineLvl w:val="0"/>
        <w:rPr>
          <w:rFonts w:hint="default" w:ascii="Times New Roman" w:hAnsi="Times New Roman" w:eastAsia="方正小标宋简体" w:cs="Times New Roman"/>
          <w:sz w:val="72"/>
          <w:szCs w:val="7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sz w:val="72"/>
          <w:szCs w:val="72"/>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default" w:ascii="Times New Roman" w:hAnsi="Times New Roman" w:eastAsia="方正小标宋简体" w:cs="Times New Roman"/>
          <w:sz w:val="72"/>
          <w:szCs w:val="72"/>
        </w:rPr>
      </w:pPr>
      <w:r>
        <w:rPr>
          <w:rFonts w:hint="default" w:ascii="Times New Roman" w:hAnsi="Times New Roman" w:eastAsia="方正小标宋简体" w:cs="Times New Roman"/>
          <w:sz w:val="72"/>
          <w:szCs w:val="72"/>
        </w:rPr>
        <w:t>2023年度</w:t>
      </w:r>
      <w:bookmarkEnd w:id="0"/>
      <w:bookmarkEnd w:id="1"/>
      <w:bookmarkEnd w:id="2"/>
      <w:bookmarkEnd w:id="3"/>
      <w:bookmarkEnd w:id="4"/>
    </w:p>
    <w:bookmarkEnd w:id="5"/>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default" w:ascii="Times New Roman" w:hAnsi="Times New Roman" w:eastAsia="方正小标宋简体" w:cs="Times New Roman"/>
          <w:sz w:val="52"/>
          <w:szCs w:val="52"/>
        </w:rPr>
      </w:pPr>
      <w:bookmarkStart w:id="6" w:name="_Toc15377194"/>
      <w:bookmarkStart w:id="7" w:name="_Toc15306268"/>
      <w:bookmarkStart w:id="8" w:name="_Toc15396476"/>
      <w:bookmarkStart w:id="9" w:name="_Toc15396598"/>
      <w:bookmarkStart w:id="10" w:name="_Toc15378442"/>
      <w:bookmarkStart w:id="11" w:name="_Toc15377426"/>
      <w:r>
        <w:rPr>
          <w:rFonts w:hint="default" w:ascii="Times New Roman" w:hAnsi="Times New Roman" w:eastAsia="方正小标宋简体" w:cs="Times New Roman"/>
          <w:color w:val="000000"/>
          <w:spacing w:val="-17"/>
          <w:w w:val="90"/>
          <w:sz w:val="72"/>
          <w:szCs w:val="72"/>
        </w:rPr>
        <w:t>四川省阿坝州</w:t>
      </w:r>
      <w:r>
        <w:rPr>
          <w:rFonts w:hint="eastAsia" w:eastAsia="方正小标宋简体" w:cs="Times New Roman"/>
          <w:color w:val="000000"/>
          <w:spacing w:val="-17"/>
          <w:w w:val="90"/>
          <w:sz w:val="72"/>
          <w:szCs w:val="72"/>
          <w:lang w:eastAsia="zh-CN"/>
        </w:rPr>
        <w:t>红原县委组织部</w:t>
      </w:r>
      <w:r>
        <w:rPr>
          <w:rFonts w:hint="default" w:ascii="Times New Roman" w:hAnsi="Times New Roman" w:eastAsia="方正小标宋简体" w:cs="Times New Roman"/>
          <w:sz w:val="72"/>
          <w:szCs w:val="72"/>
        </w:rPr>
        <w:t>部门决算</w:t>
      </w:r>
      <w:bookmarkEnd w:id="6"/>
      <w:bookmarkEnd w:id="7"/>
      <w:bookmarkEnd w:id="8"/>
      <w:bookmarkEnd w:id="9"/>
      <w:bookmarkEnd w:id="10"/>
      <w:bookmarkEnd w:id="11"/>
    </w:p>
    <w:p>
      <w:pPr>
        <w:widowControl/>
        <w:jc w:val="center"/>
        <w:rPr>
          <w:rFonts w:hint="default" w:ascii="Times New Roman" w:hAnsi="Times New Roman" w:eastAsia="黑体" w:cs="Times New Roman"/>
          <w:sz w:val="48"/>
          <w:szCs w:val="48"/>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Pr>
        <w:widowControl/>
        <w:jc w:val="center"/>
        <w:rPr>
          <w:rFonts w:hint="default" w:ascii="Times New Roman" w:hAnsi="Times New Roman" w:eastAsia="黑体" w:cs="Times New Roman"/>
          <w:sz w:val="48"/>
          <w:szCs w:val="48"/>
        </w:rPr>
      </w:pPr>
      <w:r>
        <w:rPr>
          <w:rFonts w:hint="default" w:ascii="Times New Roman" w:hAnsi="Times New Roman" w:eastAsia="黑体" w:cs="Times New Roman"/>
          <w:sz w:val="48"/>
          <w:szCs w:val="48"/>
        </w:rPr>
        <w:t>目录</w:t>
      </w:r>
    </w:p>
    <w:p>
      <w:pPr>
        <w:widowControl/>
        <w:jc w:val="center"/>
        <w:rPr>
          <w:rFonts w:hint="default" w:ascii="Times New Roman" w:hAnsi="Times New Roman" w:eastAsia="黑体" w:cs="Times New Roman"/>
          <w:sz w:val="28"/>
          <w:szCs w:val="28"/>
        </w:rPr>
      </w:pPr>
    </w:p>
    <w:p>
      <w:pPr>
        <w:pStyle w:val="12"/>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TOC \o "1-2" \h \u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_Toc1902338267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xml:space="preserve">第一部分 </w:t>
      </w:r>
      <w:r>
        <w:rPr>
          <w:rFonts w:hint="eastAsia" w:asciiTheme="majorEastAsia" w:hAnsiTheme="majorEastAsia" w:eastAsiaTheme="majorEastAsia" w:cstheme="majorEastAsia"/>
          <w:bCs w:val="0"/>
          <w:sz w:val="28"/>
          <w:szCs w:val="28"/>
        </w:rPr>
        <w:t>部门概况</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_Toc1902338267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_Toc2119690976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一</w:t>
      </w: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bCs w:val="0"/>
          <w:sz w:val="28"/>
          <w:szCs w:val="28"/>
        </w:rPr>
        <w:t>部门职责</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_Toc2119690976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_Toc408000736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二、机</w:t>
      </w:r>
      <w:r>
        <w:rPr>
          <w:rFonts w:hint="eastAsia" w:asciiTheme="majorEastAsia" w:hAnsiTheme="majorEastAsia" w:eastAsiaTheme="majorEastAsia" w:cstheme="majorEastAsia"/>
          <w:bCs w:val="0"/>
          <w:sz w:val="28"/>
          <w:szCs w:val="28"/>
        </w:rPr>
        <w:t>构设置</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_Toc408000736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2"/>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_Toc276196215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第二部分 2023年度</w:t>
      </w:r>
      <w:r>
        <w:rPr>
          <w:rFonts w:hint="eastAsia" w:asciiTheme="majorEastAsia" w:hAnsiTheme="majorEastAsia" w:eastAsiaTheme="majorEastAsia" w:cstheme="majorEastAsia"/>
          <w:bCs/>
          <w:sz w:val="28"/>
          <w:szCs w:val="28"/>
        </w:rPr>
        <w:t>部门决算情况说明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_Toc276196215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_Toc2135489277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一、收入支出决算总体情况说明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_Toc2135489277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_Toc1433439418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二、收入决算情况说明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_Toc1433439418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_Toc792431773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三、支出决算情况说明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_Toc792431773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5</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_Toc996179901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四、财政拨款收入支出决算总体情况说明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_Toc996179901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6</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_Toc252199327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五、一般公共预算财政拨款支出决算情况说明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_Toc252199327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6</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_Toc1998790999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六、一般公共预算财政拨款基本支出决算情况说明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_Toc1998790999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8</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_Toc189959058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七、财政拨款“三公”经费支出决算情况说明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_Toc189959058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9</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_Toc1902275330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八、政府性基金预算支出决算情况说明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_Toc1902275330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_Toc67254799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九、国有资本经营预算支出决算情况说明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_Toc67254799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_Toc1795439767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十、其他重要事项的情况说明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_Toc1795439767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2"/>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_Toc566184604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第三部分 名词解释</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_Toc566184604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2"/>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_Toc1600679290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第四部分 附件</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_Toc1600679290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2"/>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_Toc1372514455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第五部分 附表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_Toc1372514455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_Toc1021303472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一、收入支出决算总表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_Toc1021303472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sectPr>
          <w:footerReference r:id="rId6" w:type="first"/>
          <w:footerReference r:id="rId5" w:type="default"/>
          <w:pgSz w:w="11906" w:h="16838"/>
          <w:pgMar w:top="1440" w:right="1800" w:bottom="1440" w:left="1800" w:header="851" w:footer="992" w:gutter="0"/>
          <w:pgNumType w:start="1"/>
          <w:cols w:space="425" w:num="1"/>
          <w:docGrid w:type="lines" w:linePitch="312" w:charSpace="0"/>
        </w:sectPr>
      </w:pP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_Toc1802979901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二、收入决算表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_Toc1802979901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_Toc330021416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三、支出决算表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_Toc330021416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_Toc247921104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四、财政拨款收入支出决算总表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_Toc247921104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_Toc2096844127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五、财政拨款支出决算明细表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_Toc2096844127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_Toc1313884174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六、一般公共预算财政拨款支出决算表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_Toc1313884174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_Toc1394119862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七、一般公共预算财政拨款支出决算明细表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_Toc1394119862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_Toc781878416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八、一般公共预算财政拨款基本支出决算表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_Toc781878416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_Toc96162118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九、一般公共预算财政拨款项目支出决算表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_Toc96162118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_Toc1812591307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十、政府性基金预算财政拨款收入支出决算表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_Toc1812591307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_Toc674218104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十一、国有资本经营预算财政拨款收入支出决算表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_Toc674218104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_Toc862164800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十二、国有资本经营预算财政拨款支出决算表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_Toc862164800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4"/>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_Toc360016178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十三、财政拨款“三公”经费支出决算表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_Toc360016178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rPr>
          <w:rFonts w:hint="default" w:ascii="Times New Roman" w:hAnsi="Times New Roman" w:cs="Times New Roman"/>
        </w:rPr>
      </w:pPr>
      <w:r>
        <w:rPr>
          <w:rFonts w:hint="eastAsia" w:asciiTheme="majorEastAsia" w:hAnsiTheme="majorEastAsia" w:eastAsiaTheme="majorEastAsia" w:cstheme="majorEastAsia"/>
          <w:sz w:val="28"/>
          <w:szCs w:val="28"/>
        </w:rPr>
        <w:fldChar w:fldCharType="end"/>
      </w:r>
    </w:p>
    <w:p>
      <w:pPr>
        <w:pStyle w:val="4"/>
        <w:keepNext/>
        <w:keepLines/>
        <w:pageBreakBefore w:val="0"/>
        <w:widowControl w:val="0"/>
        <w:numPr>
          <w:ilvl w:val="0"/>
          <w:numId w:val="1"/>
        </w:numPr>
        <w:kinsoku/>
        <w:wordWrap/>
        <w:overflowPunct/>
        <w:topLinePunct w:val="0"/>
        <w:autoSpaceDE/>
        <w:autoSpaceDN/>
        <w:bidi w:val="0"/>
        <w:adjustRightInd/>
        <w:snapToGrid/>
        <w:spacing w:line="579" w:lineRule="auto"/>
        <w:jc w:val="center"/>
        <w:textAlignment w:val="auto"/>
        <w:rPr>
          <w:rFonts w:hint="default" w:ascii="Times New Roman" w:hAnsi="Times New Roman" w:cs="Times New Roman"/>
        </w:rPr>
        <w:sectPr>
          <w:footerReference r:id="rId7" w:type="default"/>
          <w:pgSz w:w="11906" w:h="16838"/>
          <w:pgMar w:top="1440" w:right="1800" w:bottom="1440" w:left="1800" w:header="851" w:footer="992" w:gutter="0"/>
          <w:pgNumType w:start="1"/>
          <w:cols w:space="425" w:num="1"/>
          <w:docGrid w:type="lines" w:linePitch="312" w:charSpace="0"/>
        </w:sectPr>
      </w:pPr>
      <w:bookmarkStart w:id="12" w:name="_Toc15377196"/>
      <w:bookmarkStart w:id="13" w:name="_Toc15396599"/>
      <w:bookmarkStart w:id="14" w:name="_Toc1902338267"/>
    </w:p>
    <w:p>
      <w:pPr>
        <w:pStyle w:val="4"/>
        <w:keepNext/>
        <w:keepLines/>
        <w:pageBreakBefore w:val="0"/>
        <w:widowControl w:val="0"/>
        <w:numPr>
          <w:ilvl w:val="0"/>
          <w:numId w:val="1"/>
        </w:numPr>
        <w:kinsoku/>
        <w:wordWrap/>
        <w:overflowPunct/>
        <w:topLinePunct w:val="0"/>
        <w:autoSpaceDE/>
        <w:autoSpaceDN/>
        <w:bidi w:val="0"/>
        <w:adjustRightInd/>
        <w:snapToGrid/>
        <w:spacing w:line="579" w:lineRule="auto"/>
        <w:jc w:val="center"/>
        <w:textAlignment w:val="auto"/>
        <w:rPr>
          <w:rFonts w:hint="default" w:ascii="Times New Roman" w:hAnsi="Times New Roman" w:cs="Times New Roman"/>
        </w:rPr>
      </w:pPr>
      <w:r>
        <w:rPr>
          <w:rStyle w:val="28"/>
          <w:rFonts w:hint="default" w:ascii="Times New Roman" w:hAnsi="Times New Roman" w:eastAsia="黑体" w:cs="Times New Roman"/>
          <w:b w:val="0"/>
          <w:bCs w:val="0"/>
        </w:rPr>
        <w:t>部门概况</w:t>
      </w:r>
      <w:bookmarkEnd w:id="12"/>
      <w:bookmarkEnd w:id="13"/>
      <w:bookmarkEnd w:id="14"/>
    </w:p>
    <w:p>
      <w:pPr>
        <w:rPr>
          <w:rFonts w:hint="default" w:ascii="Times New Roman" w:hAnsi="Times New Roman" w:cs="Times New Roman"/>
        </w:rPr>
      </w:pPr>
    </w:p>
    <w:p>
      <w:pPr>
        <w:pStyle w:val="5"/>
        <w:rPr>
          <w:rFonts w:hint="default" w:ascii="Times New Roman" w:hAnsi="Times New Roman" w:eastAsia="黑体" w:cs="Times New Roman"/>
          <w:b w:val="0"/>
        </w:rPr>
      </w:pPr>
      <w:bookmarkStart w:id="15" w:name="_Toc2119690976"/>
      <w:r>
        <w:rPr>
          <w:rFonts w:hint="default" w:ascii="Times New Roman" w:hAnsi="Times New Roman" w:eastAsia="黑体" w:cs="Times New Roman"/>
          <w:b w:val="0"/>
          <w:lang w:eastAsia="zh-CN"/>
        </w:rPr>
        <w:t>一</w:t>
      </w:r>
      <w:r>
        <w:rPr>
          <w:rFonts w:hint="default" w:ascii="Times New Roman" w:hAnsi="Times New Roman" w:eastAsia="黑体" w:cs="Times New Roman"/>
          <w:b w:val="0"/>
        </w:rPr>
        <w:t>、</w:t>
      </w:r>
      <w:r>
        <w:rPr>
          <w:rStyle w:val="29"/>
          <w:rFonts w:hint="default" w:ascii="Times New Roman" w:hAnsi="Times New Roman" w:eastAsia="黑体" w:cs="Times New Roman"/>
          <w:b w:val="0"/>
          <w:bCs w:val="0"/>
        </w:rPr>
        <w:t>部门职责</w:t>
      </w:r>
      <w:bookmarkEnd w:id="15"/>
    </w:p>
    <w:p>
      <w:pPr>
        <w:pStyle w:val="7"/>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rPr>
      </w:pPr>
      <w:bookmarkStart w:id="16" w:name="_Toc15377200"/>
      <w:bookmarkStart w:id="17" w:name="_Toc15396601"/>
      <w:r>
        <w:rPr>
          <w:rFonts w:hint="default" w:ascii="Times New Roman" w:hAnsi="Times New Roman" w:eastAsia="仿宋" w:cs="Times New Roman"/>
          <w:sz w:val="32"/>
          <w:szCs w:val="32"/>
        </w:rPr>
        <w:t>贯彻新时代党的建设总要求和党的组织路线，落实县委相关决策部署。</w:t>
      </w:r>
    </w:p>
    <w:p>
      <w:pPr>
        <w:pStyle w:val="7"/>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负责全县的组织体系、组织制度建设，负责基层党组织建设规划指导和党员队伍宏观管理，指导开展党员教育工作。指导全县基层党组织的思想、作风和组织建设。落实党内组织生活的各项制度；组织发展新党员工作，落实党员队伍建设工作，审核基层党组织设置，理顺党组织的管理隶属关系；负责全县党费的收缴、使用和管理。</w:t>
      </w:r>
    </w:p>
    <w:p>
      <w:pPr>
        <w:pStyle w:val="7"/>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负责全县科级领导班子和干部队伍建设的总体规划和宏观管理。负责县委管理科级领导班子和领导干部的考察考核、日常管理，提出调整建议，审核办理任免、工资、退休、兼职、待遇等有关事项；负责全县优秀年轻干部队伍建设工作。</w:t>
      </w:r>
    </w:p>
    <w:p>
      <w:pPr>
        <w:pStyle w:val="7"/>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负责管理全县公务员工作。承担管理公务员录用、调配、考核、奖惩、培训、监督、工资福利等工作，指导公务员队伍建设和绩效管理。</w:t>
      </w:r>
    </w:p>
    <w:p>
      <w:pPr>
        <w:pStyle w:val="7"/>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负责全县人才队伍建设宏观指导、政策落实、综合协调和督促检查；牵头推进人才发展体制机制改革，统筹实施重大人才工程和人才表彰奖励。</w:t>
      </w:r>
    </w:p>
    <w:p>
      <w:pPr>
        <w:pStyle w:val="7"/>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负责组织、指导全县干部教育培训工作的宏观指导、政策规划、组织协调和督促检查，负责县委重点培训项目的策划、实施和管理，指导全县干部教育培训基地建设管理、师资队伍建设等工作。</w:t>
      </w:r>
    </w:p>
    <w:p>
      <w:pPr>
        <w:pStyle w:val="7"/>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负责全县干部监督工作的宏观指导和综合协调，制定和落实干部监督工作制度，组织开展对选人用人工作情况的监督检查，受理和办理有关问题举报，组织实施领导干部报告个人有关事项及抽查核实工作。</w:t>
      </w:r>
    </w:p>
    <w:p>
      <w:pPr>
        <w:pStyle w:val="7"/>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贯彻“统一指导、分级管理、原单位负责”的老干部工作方针，检查、督促各单位落实老干部的政治、生活待遇；负责副县级及以上离退休干部的管理和服务；负责离（退）休干部党支部建设，做好离（退）休干部思想政治工作；负责离（退）休干部活动中心建设，组织开展各种健康有益的活动。</w:t>
      </w:r>
    </w:p>
    <w:p>
      <w:pPr>
        <w:pStyle w:val="7"/>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8.</w:t>
      </w:r>
      <w:r>
        <w:rPr>
          <w:rFonts w:hint="default" w:ascii="Times New Roman" w:hAnsi="Times New Roman" w:eastAsia="仿宋" w:cs="Times New Roman"/>
          <w:sz w:val="32"/>
          <w:szCs w:val="32"/>
        </w:rPr>
        <w:t>负责制定全县直属机关党的建设工作规划，指导县直机关党组织搞好党的思想建设、组织建设、作风建设和制度建设，并做好协调、管理、教育、监督工作。指导县属机关党组织搞好发展党员、民主评议党员、党员干部民主生活会的评议工作。</w:t>
      </w:r>
    </w:p>
    <w:p>
      <w:pPr>
        <w:pStyle w:val="7"/>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统一归口管理县委机构编制委员会办公室。</w:t>
      </w:r>
    </w:p>
    <w:p>
      <w:pPr>
        <w:pStyle w:val="7"/>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10.</w:t>
      </w:r>
      <w:r>
        <w:rPr>
          <w:rFonts w:hint="default" w:ascii="Times New Roman" w:hAnsi="Times New Roman" w:eastAsia="仿宋" w:cs="Times New Roman"/>
          <w:sz w:val="32"/>
          <w:szCs w:val="32"/>
        </w:rPr>
        <w:t>承担县委党建领导小组、县人才工作领导小组日常工作。</w:t>
      </w:r>
    </w:p>
    <w:p>
      <w:pPr>
        <w:pStyle w:val="7"/>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11.</w:t>
      </w:r>
      <w:r>
        <w:rPr>
          <w:rFonts w:hint="default" w:ascii="Times New Roman" w:hAnsi="Times New Roman" w:eastAsia="仿宋" w:cs="Times New Roman"/>
          <w:sz w:val="32"/>
          <w:szCs w:val="32"/>
        </w:rPr>
        <w:t>完成县委交办的其他任务。</w:t>
      </w:r>
    </w:p>
    <w:p>
      <w:pPr>
        <w:pStyle w:val="5"/>
        <w:rPr>
          <w:rStyle w:val="29"/>
          <w:rFonts w:hint="default" w:ascii="Times New Roman" w:hAnsi="Times New Roman" w:cs="Times New Roman"/>
          <w:b w:val="0"/>
          <w:bCs w:val="0"/>
        </w:rPr>
      </w:pPr>
      <w:bookmarkStart w:id="18" w:name="_Toc408000736"/>
      <w:r>
        <w:rPr>
          <w:rFonts w:hint="default" w:ascii="Times New Roman" w:hAnsi="Times New Roman" w:eastAsia="黑体" w:cs="Times New Roman"/>
          <w:b w:val="0"/>
        </w:rPr>
        <w:t>二、机</w:t>
      </w:r>
      <w:r>
        <w:rPr>
          <w:rStyle w:val="29"/>
          <w:rFonts w:hint="default" w:ascii="Times New Roman" w:hAnsi="Times New Roman" w:eastAsia="黑体" w:cs="Times New Roman"/>
          <w:b w:val="0"/>
          <w:bCs w:val="0"/>
        </w:rPr>
        <w:t>构设置</w:t>
      </w:r>
      <w:bookmarkEnd w:id="16"/>
      <w:bookmarkEnd w:id="17"/>
      <w:bookmarkEnd w:id="18"/>
    </w:p>
    <w:p>
      <w:pPr>
        <w:ind w:firstLine="800" w:firstLineChars="250"/>
        <w:rPr>
          <w:rFonts w:hint="default" w:ascii="Times New Roman" w:hAnsi="Times New Roman" w:eastAsia="仿宋" w:cs="Times New Roman"/>
          <w:sz w:val="32"/>
          <w:szCs w:val="32"/>
        </w:rPr>
      </w:pPr>
      <w:r>
        <w:rPr>
          <w:rFonts w:hint="eastAsia" w:eastAsia="仿宋" w:cs="Times New Roman"/>
          <w:sz w:val="32"/>
          <w:szCs w:val="32"/>
          <w:lang w:eastAsia="zh-CN"/>
        </w:rPr>
        <w:t>红原县委组织部</w:t>
      </w:r>
      <w:r>
        <w:rPr>
          <w:rFonts w:hint="default" w:ascii="Times New Roman" w:hAnsi="Times New Roman" w:eastAsia="仿宋" w:cs="Times New Roman"/>
          <w:sz w:val="32"/>
          <w:szCs w:val="32"/>
        </w:rPr>
        <w:t>下属二级预算单位</w:t>
      </w:r>
      <w:r>
        <w:rPr>
          <w:rFonts w:hint="default" w:ascii="Times New Roman" w:hAnsi="Times New Roman" w:cs="Times New Roman"/>
          <w:sz w:val="32"/>
          <w:szCs w:val="32"/>
        </w:rPr>
        <w:t>2</w:t>
      </w:r>
      <w:r>
        <w:rPr>
          <w:rFonts w:hint="default" w:ascii="Times New Roman" w:hAnsi="Times New Roman" w:eastAsia="仿宋" w:cs="Times New Roman"/>
          <w:sz w:val="32"/>
          <w:szCs w:val="32"/>
        </w:rPr>
        <w:t>个，其中行政单位</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个，其他事业单位</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个。</w:t>
      </w:r>
    </w:p>
    <w:p>
      <w:pPr>
        <w:pStyle w:val="7"/>
        <w:adjustRightInd w:val="0"/>
        <w:snapToGrid w:val="0"/>
        <w:spacing w:before="93" w:line="600" w:lineRule="exact"/>
        <w:ind w:firstLine="672" w:firstLineChars="21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纳</w:t>
      </w:r>
      <w:r>
        <w:rPr>
          <w:rFonts w:hint="default" w:ascii="Times New Roman" w:hAnsi="Times New Roman" w:eastAsia="仿宋" w:cs="Times New Roman"/>
          <w:kern w:val="2"/>
          <w:sz w:val="32"/>
          <w:szCs w:val="32"/>
          <w:lang w:val="en-US" w:eastAsia="zh-CN" w:bidi="ar-SA"/>
        </w:rPr>
        <w:t>入</w:t>
      </w:r>
      <w:r>
        <w:rPr>
          <w:rFonts w:hint="eastAsia" w:ascii="Times New Roman" w:hAnsi="Times New Roman" w:eastAsia="仿宋" w:cs="Times New Roman"/>
          <w:kern w:val="2"/>
          <w:sz w:val="32"/>
          <w:szCs w:val="32"/>
          <w:lang w:val="en-US" w:eastAsia="zh-CN" w:bidi="ar-SA"/>
        </w:rPr>
        <w:t>红原县委组织部</w:t>
      </w:r>
      <w:r>
        <w:rPr>
          <w:rFonts w:hint="default" w:ascii="Times New Roman" w:hAnsi="Times New Roman" w:eastAsia="仿宋" w:cs="Times New Roman"/>
          <w:kern w:val="2"/>
          <w:sz w:val="32"/>
          <w:szCs w:val="32"/>
          <w:lang w:val="en-US" w:eastAsia="zh-CN" w:bidi="ar-SA"/>
        </w:rPr>
        <w:t>20</w:t>
      </w:r>
      <w:r>
        <w:rPr>
          <w:rFonts w:hint="default" w:ascii="Times New Roman" w:hAnsi="Times New Roman" w:eastAsia="仿宋" w:cs="Times New Roman"/>
          <w:sz w:val="32"/>
          <w:szCs w:val="32"/>
        </w:rPr>
        <w:t>23年度部门决算编制范围的二级预算单位包括：</w:t>
      </w:r>
    </w:p>
    <w:p>
      <w:pPr>
        <w:pStyle w:val="7"/>
        <w:keepNext w:val="0"/>
        <w:keepLines w:val="0"/>
        <w:pageBreakBefore w:val="0"/>
        <w:widowControl w:val="0"/>
        <w:numPr>
          <w:ilvl w:val="0"/>
          <w:numId w:val="2"/>
        </w:numPr>
        <w:kinsoku/>
        <w:wordWrap/>
        <w:overflowPunct/>
        <w:topLinePunct w:val="0"/>
        <w:autoSpaceDE/>
        <w:autoSpaceDN/>
        <w:bidi w:val="0"/>
        <w:adjustRightInd w:val="0"/>
        <w:snapToGrid w:val="0"/>
        <w:spacing w:before="93" w:line="600" w:lineRule="exact"/>
        <w:ind w:left="1157" w:hanging="482"/>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中共阿坝州</w:t>
      </w:r>
      <w:r>
        <w:rPr>
          <w:rFonts w:hint="eastAsia" w:ascii="Times New Roman" w:eastAsia="仿宋" w:cs="Times New Roman"/>
          <w:sz w:val="32"/>
          <w:szCs w:val="32"/>
          <w:lang w:eastAsia="zh-CN"/>
        </w:rPr>
        <w:t>红原县委组织部</w:t>
      </w:r>
    </w:p>
    <w:p>
      <w:pPr>
        <w:pStyle w:val="7"/>
        <w:keepNext w:val="0"/>
        <w:keepLines w:val="0"/>
        <w:pageBreakBefore w:val="0"/>
        <w:widowControl w:val="0"/>
        <w:numPr>
          <w:ilvl w:val="0"/>
          <w:numId w:val="2"/>
        </w:numPr>
        <w:kinsoku/>
        <w:wordWrap/>
        <w:overflowPunct/>
        <w:topLinePunct w:val="0"/>
        <w:autoSpaceDE/>
        <w:autoSpaceDN/>
        <w:bidi w:val="0"/>
        <w:adjustRightInd w:val="0"/>
        <w:snapToGrid w:val="0"/>
        <w:spacing w:before="93" w:line="600" w:lineRule="exact"/>
        <w:ind w:left="1157" w:hanging="482"/>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中共阿坝州</w:t>
      </w:r>
      <w:r>
        <w:rPr>
          <w:rFonts w:hint="eastAsia" w:ascii="Times New Roman" w:eastAsia="仿宋" w:cs="Times New Roman"/>
          <w:sz w:val="32"/>
          <w:szCs w:val="32"/>
          <w:lang w:eastAsia="zh-CN"/>
        </w:rPr>
        <w:t>红原县委组织部</w:t>
      </w:r>
      <w:r>
        <w:rPr>
          <w:rFonts w:hint="default" w:ascii="Times New Roman" w:hAnsi="Times New Roman" w:eastAsia="仿宋" w:cs="Times New Roman"/>
          <w:sz w:val="32"/>
          <w:szCs w:val="32"/>
        </w:rPr>
        <w:t>老干部活动中心</w:t>
      </w:r>
    </w:p>
    <w:p>
      <w:pPr>
        <w:widowControl/>
        <w:jc w:val="left"/>
        <w:rPr>
          <w:rFonts w:hint="default" w:ascii="Times New Roman" w:hAnsi="Times New Roman" w:eastAsia="仿宋" w:cs="Times New Roman"/>
          <w:kern w:val="0"/>
          <w:sz w:val="32"/>
          <w:szCs w:val="32"/>
        </w:rPr>
      </w:pPr>
      <w:r>
        <w:rPr>
          <w:rFonts w:hint="default" w:ascii="Times New Roman" w:hAnsi="Times New Roman" w:eastAsia="仿宋" w:cs="Times New Roman"/>
          <w:sz w:val="32"/>
          <w:szCs w:val="32"/>
        </w:rPr>
        <w:br w:type="page"/>
      </w:r>
    </w:p>
    <w:p>
      <w:pPr>
        <w:pStyle w:val="4"/>
        <w:keepNext/>
        <w:keepLines/>
        <w:pageBreakBefore w:val="0"/>
        <w:widowControl w:val="0"/>
        <w:kinsoku/>
        <w:wordWrap/>
        <w:overflowPunct/>
        <w:topLinePunct w:val="0"/>
        <w:autoSpaceDE/>
        <w:autoSpaceDN/>
        <w:bidi w:val="0"/>
        <w:adjustRightInd/>
        <w:snapToGrid/>
        <w:spacing w:line="579" w:lineRule="auto"/>
        <w:ind w:right="442"/>
        <w:jc w:val="center"/>
        <w:textAlignment w:val="auto"/>
        <w:rPr>
          <w:rStyle w:val="28"/>
          <w:rFonts w:hint="default" w:ascii="Times New Roman" w:hAnsi="Times New Roman" w:eastAsia="黑体" w:cs="Times New Roman"/>
          <w:b w:val="0"/>
          <w:bCs/>
        </w:rPr>
      </w:pPr>
      <w:bookmarkStart w:id="19" w:name="_Toc276196215"/>
      <w:bookmarkStart w:id="20" w:name="_Toc15377204"/>
      <w:bookmarkStart w:id="21" w:name="_Toc15396602"/>
      <w:r>
        <w:rPr>
          <w:rFonts w:hint="default" w:ascii="Times New Roman" w:hAnsi="Times New Roman" w:eastAsia="黑体" w:cs="Times New Roman"/>
          <w:b w:val="0"/>
        </w:rPr>
        <w:t>第二部分 2023年度</w:t>
      </w:r>
      <w:r>
        <w:rPr>
          <w:rStyle w:val="28"/>
          <w:rFonts w:hint="default" w:ascii="Times New Roman" w:hAnsi="Times New Roman" w:eastAsia="黑体" w:cs="Times New Roman"/>
          <w:b w:val="0"/>
          <w:bCs/>
        </w:rPr>
        <w:t>部门决算情况说明</w:t>
      </w:r>
      <w:bookmarkEnd w:id="19"/>
      <w:bookmarkEnd w:id="20"/>
      <w:bookmarkEnd w:id="21"/>
    </w:p>
    <w:p>
      <w:pPr>
        <w:rPr>
          <w:rFonts w:hint="default" w:ascii="Times New Roman" w:hAnsi="Times New Roman" w:cs="Times New Roman"/>
        </w:rPr>
      </w:pPr>
    </w:p>
    <w:p>
      <w:pPr>
        <w:pStyle w:val="27"/>
        <w:numPr>
          <w:ilvl w:val="0"/>
          <w:numId w:val="3"/>
        </w:numPr>
        <w:spacing w:line="600" w:lineRule="exact"/>
        <w:ind w:firstLineChars="0"/>
        <w:outlineLvl w:val="1"/>
        <w:rPr>
          <w:rStyle w:val="29"/>
          <w:rFonts w:hint="default" w:ascii="Times New Roman" w:hAnsi="Times New Roman" w:eastAsia="黑体" w:cs="Times New Roman"/>
          <w:b w:val="0"/>
        </w:rPr>
      </w:pPr>
      <w:bookmarkStart w:id="22" w:name="_Toc15377205"/>
      <w:bookmarkStart w:id="23" w:name="_Toc2135489277"/>
      <w:bookmarkStart w:id="24" w:name="_Toc15396603"/>
      <w:r>
        <w:rPr>
          <w:rFonts w:hint="default" w:ascii="Times New Roman" w:hAnsi="Times New Roman" w:eastAsia="黑体" w:cs="Times New Roman"/>
          <w:sz w:val="32"/>
          <w:szCs w:val="32"/>
        </w:rPr>
        <w:t>收</w:t>
      </w:r>
      <w:r>
        <w:rPr>
          <w:rStyle w:val="29"/>
          <w:rFonts w:hint="default" w:ascii="Times New Roman" w:hAnsi="Times New Roman" w:eastAsia="黑体" w:cs="Times New Roman"/>
          <w:b w:val="0"/>
        </w:rPr>
        <w:t>入支出决算总体情况说明</w:t>
      </w:r>
      <w:bookmarkEnd w:id="22"/>
      <w:bookmarkEnd w:id="23"/>
      <w:bookmarkEnd w:id="24"/>
    </w:p>
    <w:p>
      <w:pPr>
        <w:spacing w:line="600" w:lineRule="exact"/>
        <w:ind w:firstLine="640" w:firstLineChars="200"/>
        <w:jc w:val="left"/>
        <w:rPr>
          <w:rFonts w:hint="eastAsia" w:eastAsia="仿宋"/>
          <w:lang w:eastAsia="zh-CN"/>
        </w:rPr>
      </w:pPr>
      <w:r>
        <w:rPr>
          <w:rFonts w:hint="default" w:ascii="Times New Roman" w:hAnsi="Times New Roman" w:eastAsia="仿宋" w:cs="Times New Roman"/>
          <w:sz w:val="32"/>
          <w:szCs w:val="32"/>
        </w:rPr>
        <w:t>2023年度收、支总计均为</w:t>
      </w:r>
      <w:r>
        <w:rPr>
          <w:rFonts w:hint="default" w:ascii="Times New Roman" w:hAnsi="Times New Roman" w:cs="Times New Roman"/>
          <w:sz w:val="32"/>
          <w:szCs w:val="32"/>
        </w:rPr>
        <w:t>1651.66</w:t>
      </w:r>
      <w:r>
        <w:rPr>
          <w:rFonts w:hint="default" w:ascii="Times New Roman" w:hAnsi="Times New Roman" w:eastAsia="仿宋" w:cs="Times New Roman"/>
          <w:sz w:val="32"/>
          <w:szCs w:val="32"/>
        </w:rPr>
        <w:t>万元</w:t>
      </w:r>
      <w:r>
        <w:rPr>
          <w:rFonts w:hint="default" w:ascii="Times New Roman" w:hAnsi="Times New Roman" w:cs="Times New Roman"/>
          <w:sz w:val="32"/>
          <w:szCs w:val="32"/>
        </w:rPr>
        <w:t>。</w:t>
      </w:r>
      <w:r>
        <w:rPr>
          <w:rFonts w:hint="default" w:ascii="Times New Roman" w:hAnsi="Times New Roman" w:eastAsia="仿宋" w:cs="Times New Roman"/>
          <w:sz w:val="32"/>
          <w:szCs w:val="32"/>
        </w:rPr>
        <w:t>与2022年度相比，收、支总计各增加</w:t>
      </w:r>
      <w:r>
        <w:rPr>
          <w:rFonts w:hint="eastAsia" w:eastAsia="仿宋" w:cs="Times New Roman"/>
          <w:sz w:val="32"/>
          <w:szCs w:val="32"/>
          <w:lang w:val="en-US" w:eastAsia="zh-CN"/>
        </w:rPr>
        <w:t>56.96</w:t>
      </w:r>
      <w:r>
        <w:rPr>
          <w:rFonts w:hint="default" w:ascii="Times New Roman" w:hAnsi="Times New Roman" w:eastAsia="仿宋" w:cs="Times New Roman"/>
          <w:sz w:val="32"/>
          <w:szCs w:val="32"/>
        </w:rPr>
        <w:t>万元，增长</w:t>
      </w:r>
      <w:r>
        <w:rPr>
          <w:rFonts w:hint="eastAsia" w:eastAsia="仿宋" w:cs="Times New Roman"/>
          <w:sz w:val="32"/>
          <w:szCs w:val="32"/>
          <w:lang w:val="en-US" w:eastAsia="zh-CN"/>
        </w:rPr>
        <w:t>3.57</w:t>
      </w:r>
      <w:r>
        <w:rPr>
          <w:rFonts w:hint="default" w:ascii="Times New Roman" w:hAnsi="Times New Roman" w:eastAsia="仿宋" w:cs="Times New Roman"/>
          <w:sz w:val="32"/>
          <w:szCs w:val="32"/>
        </w:rPr>
        <w:t>%。主要变动原因是人员增加和项目经费支出增加。</w:t>
      </w:r>
    </w:p>
    <w:p>
      <w:pPr>
        <w:jc w:val="center"/>
        <w:rPr>
          <w:rFonts w:hint="eastAsia" w:eastAsia="仿宋"/>
          <w:lang w:eastAsia="zh-CN"/>
        </w:rPr>
      </w:pPr>
      <w:r>
        <w:rPr>
          <w:rFonts w:hint="eastAsia" w:eastAsia="仿宋"/>
          <w:lang w:eastAsia="zh-CN"/>
        </w:rPr>
        <w:drawing>
          <wp:inline distT="0" distB="0" distL="114300" distR="114300">
            <wp:extent cx="4319905" cy="2879725"/>
            <wp:effectExtent l="4445" t="4445" r="19050" b="1143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（图1：收、支决算总计变动情况图）</w:t>
      </w:r>
    </w:p>
    <w:p>
      <w:pPr>
        <w:spacing w:line="600" w:lineRule="exact"/>
        <w:ind w:firstLine="640" w:firstLineChars="200"/>
        <w:jc w:val="left"/>
        <w:rPr>
          <w:rFonts w:hint="default" w:ascii="Times New Roman" w:hAnsi="Times New Roman" w:eastAsia="仿宋_GB2312" w:cs="Times New Roman"/>
          <w:sz w:val="32"/>
          <w:szCs w:val="32"/>
        </w:rPr>
      </w:pPr>
    </w:p>
    <w:p>
      <w:pPr>
        <w:pStyle w:val="27"/>
        <w:numPr>
          <w:ilvl w:val="0"/>
          <w:numId w:val="3"/>
        </w:numPr>
        <w:spacing w:line="600" w:lineRule="exact"/>
        <w:ind w:firstLineChars="0"/>
        <w:outlineLvl w:val="1"/>
        <w:rPr>
          <w:rStyle w:val="29"/>
          <w:rFonts w:hint="default" w:ascii="Times New Roman" w:hAnsi="Times New Roman" w:eastAsia="黑体" w:cs="Times New Roman"/>
          <w:b w:val="0"/>
        </w:rPr>
      </w:pPr>
      <w:bookmarkStart w:id="25" w:name="_Toc1433439418"/>
      <w:bookmarkStart w:id="26" w:name="_Toc15377206"/>
      <w:bookmarkStart w:id="27" w:name="_Toc15396604"/>
      <w:r>
        <w:rPr>
          <w:rFonts w:hint="default" w:ascii="Times New Roman" w:hAnsi="Times New Roman" w:eastAsia="黑体" w:cs="Times New Roman"/>
          <w:sz w:val="32"/>
          <w:szCs w:val="32"/>
        </w:rPr>
        <w:t>收</w:t>
      </w:r>
      <w:r>
        <w:rPr>
          <w:rStyle w:val="29"/>
          <w:rFonts w:hint="default" w:ascii="Times New Roman" w:hAnsi="Times New Roman" w:eastAsia="黑体" w:cs="Times New Roman"/>
          <w:b w:val="0"/>
        </w:rPr>
        <w:t>入决算情况说明</w:t>
      </w:r>
      <w:bookmarkEnd w:id="25"/>
      <w:bookmarkEnd w:id="26"/>
      <w:bookmarkEnd w:id="27"/>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2023年度本年收入合计</w:t>
      </w:r>
      <w:r>
        <w:rPr>
          <w:rFonts w:hint="default" w:ascii="Times New Roman" w:hAnsi="Times New Roman" w:cs="Times New Roman"/>
          <w:sz w:val="32"/>
          <w:szCs w:val="32"/>
        </w:rPr>
        <w:t>1651.66</w:t>
      </w:r>
      <w:r>
        <w:rPr>
          <w:rFonts w:hint="default" w:ascii="Times New Roman" w:hAnsi="Times New Roman" w:eastAsia="仿宋" w:cs="Times New Roman"/>
          <w:sz w:val="32"/>
          <w:szCs w:val="32"/>
        </w:rPr>
        <w:t>万元，其中：一般公共预算财政拨款收入</w:t>
      </w:r>
      <w:r>
        <w:rPr>
          <w:rFonts w:hint="default" w:ascii="Times New Roman" w:hAnsi="Times New Roman" w:cs="Times New Roman"/>
          <w:sz w:val="32"/>
          <w:szCs w:val="32"/>
        </w:rPr>
        <w:t>1633.06</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98.87</w:t>
      </w:r>
      <w:r>
        <w:rPr>
          <w:rFonts w:hint="default" w:ascii="Times New Roman" w:hAnsi="Times New Roman" w:eastAsia="仿宋" w:cs="Times New Roman"/>
          <w:sz w:val="32"/>
          <w:szCs w:val="32"/>
        </w:rPr>
        <w:t>%；政府性基金预算财政拨款收入0万元，占0%；国有资本经营预算财政拨款收入0万元，占0%；上级补助收入0万元，占0%；事业收入0万元，占0%；经营收入0万元，占0%；附属单位上缴收入0万元，占0%；其他收入</w:t>
      </w:r>
      <w:r>
        <w:rPr>
          <w:rFonts w:hint="default" w:ascii="Times New Roman" w:hAnsi="Times New Roman" w:cs="Times New Roman"/>
          <w:sz w:val="32"/>
          <w:szCs w:val="32"/>
        </w:rPr>
        <w:t>18.6</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1.12</w:t>
      </w:r>
      <w:r>
        <w:rPr>
          <w:rFonts w:hint="default" w:ascii="Times New Roman" w:hAnsi="Times New Roman" w:eastAsia="仿宋" w:cs="Times New Roman"/>
          <w:sz w:val="32"/>
          <w:szCs w:val="32"/>
        </w:rPr>
        <w:t>%。</w:t>
      </w:r>
    </w:p>
    <w:p>
      <w:pPr>
        <w:jc w:val="center"/>
        <w:rPr>
          <w:rFonts w:hint="eastAsia" w:eastAsia="仿宋"/>
          <w:lang w:eastAsia="zh-CN"/>
        </w:rPr>
      </w:pPr>
      <w:r>
        <w:rPr>
          <w:rFonts w:hint="eastAsia" w:eastAsia="仿宋"/>
          <w:lang w:eastAsia="zh-CN"/>
        </w:rPr>
        <w:drawing>
          <wp:inline distT="0" distB="0" distL="114300" distR="114300">
            <wp:extent cx="4319905" cy="2879725"/>
            <wp:effectExtent l="4445" t="4445" r="19050" b="1143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（图2：收入决算结构图）</w:t>
      </w:r>
    </w:p>
    <w:p>
      <w:pPr>
        <w:spacing w:line="600" w:lineRule="exact"/>
        <w:ind w:firstLine="640" w:firstLineChars="200"/>
        <w:rPr>
          <w:rFonts w:hint="default" w:ascii="Times New Roman" w:hAnsi="Times New Roman" w:eastAsia="仿宋_GB2312" w:cs="Times New Roman"/>
          <w:sz w:val="32"/>
          <w:szCs w:val="32"/>
        </w:rPr>
      </w:pPr>
    </w:p>
    <w:p>
      <w:pPr>
        <w:pStyle w:val="27"/>
        <w:numPr>
          <w:ilvl w:val="0"/>
          <w:numId w:val="3"/>
        </w:numPr>
        <w:spacing w:line="600" w:lineRule="exact"/>
        <w:ind w:firstLineChars="0"/>
        <w:outlineLvl w:val="1"/>
        <w:rPr>
          <w:rStyle w:val="29"/>
          <w:rFonts w:hint="default" w:ascii="Times New Roman" w:hAnsi="Times New Roman" w:eastAsia="黑体" w:cs="Times New Roman"/>
          <w:b w:val="0"/>
        </w:rPr>
      </w:pPr>
      <w:bookmarkStart w:id="28" w:name="_Toc15377207"/>
      <w:bookmarkStart w:id="29" w:name="_Toc792431773"/>
      <w:bookmarkStart w:id="30" w:name="_Toc15396605"/>
      <w:r>
        <w:rPr>
          <w:rFonts w:hint="default" w:ascii="Times New Roman" w:hAnsi="Times New Roman" w:eastAsia="黑体" w:cs="Times New Roman"/>
          <w:sz w:val="32"/>
          <w:szCs w:val="32"/>
        </w:rPr>
        <w:t>支</w:t>
      </w:r>
      <w:r>
        <w:rPr>
          <w:rStyle w:val="29"/>
          <w:rFonts w:hint="default" w:ascii="Times New Roman" w:hAnsi="Times New Roman" w:eastAsia="黑体" w:cs="Times New Roman"/>
          <w:b w:val="0"/>
        </w:rPr>
        <w:t>出决算情况说明</w:t>
      </w:r>
      <w:bookmarkEnd w:id="28"/>
      <w:bookmarkEnd w:id="29"/>
      <w:bookmarkEnd w:id="3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2023年度本年支出合计</w:t>
      </w:r>
      <w:r>
        <w:rPr>
          <w:rFonts w:hint="default" w:ascii="Times New Roman" w:hAnsi="Times New Roman" w:cs="Times New Roman"/>
          <w:sz w:val="32"/>
          <w:szCs w:val="32"/>
        </w:rPr>
        <w:t>1651.66</w:t>
      </w:r>
      <w:r>
        <w:rPr>
          <w:rFonts w:hint="default" w:ascii="Times New Roman" w:hAnsi="Times New Roman" w:eastAsia="仿宋" w:cs="Times New Roman"/>
          <w:sz w:val="32"/>
          <w:szCs w:val="32"/>
        </w:rPr>
        <w:t>万元，其中：基本支出</w:t>
      </w:r>
      <w:r>
        <w:rPr>
          <w:rFonts w:hint="default" w:ascii="Times New Roman" w:hAnsi="Times New Roman" w:cs="Times New Roman"/>
          <w:sz w:val="32"/>
          <w:szCs w:val="32"/>
        </w:rPr>
        <w:t>831.39</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50.33</w:t>
      </w:r>
      <w:r>
        <w:rPr>
          <w:rFonts w:hint="default" w:ascii="Times New Roman" w:hAnsi="Times New Roman" w:eastAsia="仿宋" w:cs="Times New Roman"/>
          <w:sz w:val="32"/>
          <w:szCs w:val="32"/>
        </w:rPr>
        <w:t>%；项目支出</w:t>
      </w:r>
      <w:r>
        <w:rPr>
          <w:rFonts w:hint="default" w:ascii="Times New Roman" w:hAnsi="Times New Roman" w:cs="Times New Roman"/>
          <w:sz w:val="32"/>
          <w:szCs w:val="32"/>
        </w:rPr>
        <w:t>820.27</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49.66</w:t>
      </w:r>
      <w:r>
        <w:rPr>
          <w:rFonts w:hint="default" w:ascii="Times New Roman" w:hAnsi="Times New Roman" w:eastAsia="仿宋" w:cs="Times New Roman"/>
          <w:sz w:val="32"/>
          <w:szCs w:val="32"/>
        </w:rPr>
        <w:t>%；上缴上级支出</w:t>
      </w:r>
      <w:r>
        <w:rPr>
          <w:rFonts w:hint="default" w:ascii="Times New Roman" w:hAnsi="Times New Roman" w:cs="Times New Roman"/>
          <w:sz w:val="32"/>
          <w:szCs w:val="32"/>
        </w:rPr>
        <w:t>0</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0</w:t>
      </w:r>
      <w:r>
        <w:rPr>
          <w:rFonts w:hint="default" w:ascii="Times New Roman" w:hAnsi="Times New Roman" w:eastAsia="仿宋" w:cs="Times New Roman"/>
          <w:sz w:val="32"/>
          <w:szCs w:val="32"/>
        </w:rPr>
        <w:t>%；经营支出</w:t>
      </w:r>
      <w:r>
        <w:rPr>
          <w:rFonts w:hint="default" w:ascii="Times New Roman" w:hAnsi="Times New Roman" w:cs="Times New Roman"/>
          <w:sz w:val="32"/>
          <w:szCs w:val="32"/>
        </w:rPr>
        <w:t>0</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0</w:t>
      </w:r>
      <w:r>
        <w:rPr>
          <w:rFonts w:hint="default" w:ascii="Times New Roman" w:hAnsi="Times New Roman" w:eastAsia="仿宋" w:cs="Times New Roman"/>
          <w:sz w:val="32"/>
          <w:szCs w:val="32"/>
        </w:rPr>
        <w:t>%；对附属单位补助支出</w:t>
      </w:r>
      <w:r>
        <w:rPr>
          <w:rFonts w:hint="default" w:ascii="Times New Roman" w:hAnsi="Times New Roman" w:cs="Times New Roman"/>
          <w:sz w:val="32"/>
          <w:szCs w:val="32"/>
        </w:rPr>
        <w:t>0</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0</w:t>
      </w:r>
      <w:r>
        <w:rPr>
          <w:rFonts w:hint="default" w:ascii="Times New Roman" w:hAnsi="Times New Roman" w:eastAsia="仿宋" w:cs="Times New Roman"/>
          <w:sz w:val="32"/>
          <w:szCs w:val="32"/>
        </w:rPr>
        <w:t>%。</w:t>
      </w:r>
    </w:p>
    <w:p>
      <w:pPr>
        <w:jc w:val="center"/>
        <w:rPr>
          <w:rFonts w:hint="eastAsia" w:eastAsia="仿宋"/>
          <w:lang w:eastAsia="zh-CN"/>
        </w:rPr>
      </w:pPr>
      <w:r>
        <w:rPr>
          <w:rFonts w:hint="eastAsia" w:eastAsia="仿宋"/>
          <w:lang w:eastAsia="zh-CN"/>
        </w:rPr>
        <w:drawing>
          <wp:inline distT="0" distB="0" distL="114300" distR="114300">
            <wp:extent cx="4319905" cy="2879725"/>
            <wp:effectExtent l="4445" t="4445" r="19050" b="1143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（图3：支出决算结构图）</w:t>
      </w: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outlineLvl w:val="1"/>
        <w:rPr>
          <w:rStyle w:val="29"/>
          <w:rFonts w:hint="default" w:ascii="Times New Roman" w:hAnsi="Times New Roman" w:eastAsia="黑体" w:cs="Times New Roman"/>
          <w:b w:val="0"/>
        </w:rPr>
      </w:pPr>
      <w:bookmarkStart w:id="31" w:name="_Toc996179901"/>
      <w:bookmarkStart w:id="32" w:name="_Toc15396606"/>
      <w:bookmarkStart w:id="33" w:name="_Toc15377208"/>
      <w:r>
        <w:rPr>
          <w:rFonts w:hint="default" w:ascii="Times New Roman" w:hAnsi="Times New Roman" w:eastAsia="黑体" w:cs="Times New Roman"/>
          <w:sz w:val="32"/>
          <w:szCs w:val="32"/>
        </w:rPr>
        <w:t>四、财</w:t>
      </w:r>
      <w:r>
        <w:rPr>
          <w:rStyle w:val="29"/>
          <w:rFonts w:hint="default" w:ascii="Times New Roman" w:hAnsi="Times New Roman" w:eastAsia="黑体" w:cs="Times New Roman"/>
          <w:b w:val="0"/>
        </w:rPr>
        <w:t>政拨款收入支出决算总体情况说明</w:t>
      </w:r>
      <w:bookmarkEnd w:id="31"/>
      <w:bookmarkEnd w:id="32"/>
      <w:bookmarkEnd w:id="33"/>
    </w:p>
    <w:p>
      <w:pPr>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2023年度财政拨款收、支总计均为</w:t>
      </w:r>
      <w:r>
        <w:rPr>
          <w:rFonts w:hint="default" w:ascii="Times New Roman" w:hAnsi="Times New Roman" w:cs="Times New Roman"/>
          <w:sz w:val="32"/>
          <w:szCs w:val="32"/>
        </w:rPr>
        <w:t>1633.06</w:t>
      </w:r>
      <w:r>
        <w:rPr>
          <w:rFonts w:hint="default" w:ascii="Times New Roman" w:hAnsi="Times New Roman" w:eastAsia="仿宋" w:cs="Times New Roman"/>
          <w:sz w:val="32"/>
          <w:szCs w:val="32"/>
        </w:rPr>
        <w:t>万元。与2022年度相比，财政拨款收、支总计各增加</w:t>
      </w:r>
      <w:r>
        <w:rPr>
          <w:rFonts w:hint="eastAsia" w:eastAsia="仿宋" w:cs="Times New Roman"/>
          <w:sz w:val="32"/>
          <w:szCs w:val="32"/>
          <w:lang w:val="en-US" w:eastAsia="zh-CN"/>
        </w:rPr>
        <w:t>38.36</w:t>
      </w:r>
      <w:r>
        <w:rPr>
          <w:rFonts w:hint="default" w:ascii="Times New Roman" w:hAnsi="Times New Roman" w:eastAsia="仿宋" w:cs="Times New Roman"/>
          <w:sz w:val="32"/>
          <w:szCs w:val="32"/>
        </w:rPr>
        <w:t>万元，增长</w:t>
      </w:r>
      <w:r>
        <w:rPr>
          <w:rFonts w:hint="eastAsia" w:eastAsia="仿宋" w:cs="Times New Roman"/>
          <w:sz w:val="32"/>
          <w:szCs w:val="32"/>
          <w:lang w:val="en-US" w:eastAsia="zh-CN"/>
        </w:rPr>
        <w:t>2.41</w:t>
      </w:r>
      <w:r>
        <w:rPr>
          <w:rFonts w:hint="default" w:ascii="Times New Roman" w:hAnsi="Times New Roman" w:eastAsia="仿宋" w:cs="Times New Roman"/>
          <w:sz w:val="32"/>
          <w:szCs w:val="32"/>
        </w:rPr>
        <w:t>%。主要变动原因是人员增加和项目经费支出增加。</w:t>
      </w:r>
    </w:p>
    <w:p>
      <w:pPr>
        <w:jc w:val="center"/>
        <w:rPr>
          <w:rFonts w:hint="eastAsia"/>
          <w:lang w:eastAsia="zh-CN"/>
        </w:rPr>
      </w:pPr>
      <w:r>
        <w:rPr>
          <w:rFonts w:hint="eastAsia"/>
          <w:lang w:eastAsia="zh-CN"/>
        </w:rPr>
        <w:drawing>
          <wp:inline distT="0" distB="0" distL="114300" distR="114300">
            <wp:extent cx="4319905" cy="2879725"/>
            <wp:effectExtent l="4445" t="4445" r="19050" b="1143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（图4：财政拨款收、支决算总计变动情况）</w:t>
      </w:r>
    </w:p>
    <w:p>
      <w:pPr>
        <w:spacing w:line="600" w:lineRule="exact"/>
        <w:ind w:firstLine="640"/>
        <w:rPr>
          <w:rFonts w:hint="default" w:ascii="Times New Roman" w:hAnsi="Times New Roman" w:eastAsia="仿宋" w:cs="Times New Roman"/>
          <w:b/>
          <w:sz w:val="32"/>
          <w:szCs w:val="32"/>
        </w:rPr>
      </w:pPr>
    </w:p>
    <w:p>
      <w:pPr>
        <w:spacing w:line="600" w:lineRule="exact"/>
        <w:ind w:firstLine="640" w:firstLineChars="200"/>
        <w:outlineLvl w:val="1"/>
        <w:rPr>
          <w:rStyle w:val="29"/>
          <w:rFonts w:hint="default" w:ascii="Times New Roman" w:hAnsi="Times New Roman" w:eastAsia="黑体" w:cs="Times New Roman"/>
          <w:b w:val="0"/>
        </w:rPr>
      </w:pPr>
      <w:bookmarkStart w:id="34" w:name="_Toc252199327"/>
      <w:bookmarkStart w:id="35" w:name="_Toc15377209"/>
      <w:bookmarkStart w:id="36" w:name="_Toc15396607"/>
      <w:r>
        <w:rPr>
          <w:rFonts w:hint="default" w:ascii="Times New Roman" w:hAnsi="Times New Roman" w:eastAsia="黑体" w:cs="Times New Roman"/>
          <w:sz w:val="32"/>
          <w:szCs w:val="32"/>
        </w:rPr>
        <w:t>五、</w:t>
      </w:r>
      <w:r>
        <w:rPr>
          <w:rFonts w:hint="default" w:ascii="Times New Roman" w:hAnsi="Times New Roman" w:eastAsia="黑体" w:cs="Times New Roman"/>
          <w:b/>
          <w:sz w:val="32"/>
          <w:szCs w:val="32"/>
        </w:rPr>
        <w:t>一</w:t>
      </w:r>
      <w:r>
        <w:rPr>
          <w:rStyle w:val="29"/>
          <w:rFonts w:hint="default" w:ascii="Times New Roman" w:hAnsi="Times New Roman" w:eastAsia="黑体" w:cs="Times New Roman"/>
          <w:b w:val="0"/>
        </w:rPr>
        <w:t>般公共预算财政拨款支出决算情况说明</w:t>
      </w:r>
      <w:bookmarkEnd w:id="34"/>
      <w:bookmarkEnd w:id="35"/>
      <w:bookmarkEnd w:id="36"/>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outlineLvl w:val="2"/>
        <w:rPr>
          <w:rFonts w:hint="default" w:ascii="Times New Roman" w:hAnsi="Times New Roman" w:eastAsia="仿宋" w:cs="Times New Roman"/>
          <w:b/>
          <w:sz w:val="32"/>
          <w:szCs w:val="32"/>
        </w:rPr>
      </w:pPr>
      <w:bookmarkStart w:id="37" w:name="_Toc15377210"/>
      <w:r>
        <w:rPr>
          <w:rFonts w:hint="default" w:ascii="Times New Roman" w:hAnsi="Times New Roman" w:eastAsia="仿宋" w:cs="Times New Roman"/>
          <w:b/>
          <w:sz w:val="32"/>
          <w:szCs w:val="32"/>
        </w:rPr>
        <w:t>（一）一般公共预算财政拨款支出决算总体情况</w:t>
      </w:r>
      <w:bookmarkEnd w:id="37"/>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2023年度一般公共预算财政拨款支出</w:t>
      </w:r>
      <w:r>
        <w:rPr>
          <w:rFonts w:hint="default" w:ascii="Times New Roman" w:hAnsi="Times New Roman" w:cs="Times New Roman"/>
          <w:sz w:val="32"/>
          <w:szCs w:val="32"/>
        </w:rPr>
        <w:t>1633.06</w:t>
      </w:r>
      <w:r>
        <w:rPr>
          <w:rFonts w:hint="default" w:ascii="Times New Roman" w:hAnsi="Times New Roman" w:eastAsia="仿宋" w:cs="Times New Roman"/>
          <w:sz w:val="32"/>
          <w:szCs w:val="32"/>
        </w:rPr>
        <w:t>万元，占本年支出合计的</w:t>
      </w:r>
      <w:r>
        <w:rPr>
          <w:rFonts w:hint="default" w:ascii="Times New Roman" w:hAnsi="Times New Roman" w:cs="Times New Roman"/>
          <w:sz w:val="32"/>
          <w:szCs w:val="32"/>
        </w:rPr>
        <w:t>98.87</w:t>
      </w:r>
      <w:r>
        <w:rPr>
          <w:rFonts w:hint="default" w:ascii="Times New Roman" w:hAnsi="Times New Roman" w:eastAsia="仿宋" w:cs="Times New Roman"/>
          <w:sz w:val="32"/>
          <w:szCs w:val="32"/>
        </w:rPr>
        <w:t>%。与2022年度相比，一般公共预算财政拨款支出增加</w:t>
      </w:r>
      <w:r>
        <w:rPr>
          <w:rFonts w:hint="eastAsia" w:eastAsia="仿宋" w:cs="Times New Roman"/>
          <w:sz w:val="32"/>
          <w:szCs w:val="32"/>
          <w:lang w:val="en-US" w:eastAsia="zh-CN"/>
        </w:rPr>
        <w:t>38.36</w:t>
      </w:r>
      <w:r>
        <w:rPr>
          <w:rFonts w:hint="default" w:ascii="Times New Roman" w:hAnsi="Times New Roman" w:eastAsia="仿宋" w:cs="Times New Roman"/>
          <w:sz w:val="32"/>
          <w:szCs w:val="32"/>
        </w:rPr>
        <w:t>万元，增长</w:t>
      </w:r>
      <w:r>
        <w:rPr>
          <w:rFonts w:hint="eastAsia" w:eastAsia="仿宋" w:cs="Times New Roman"/>
          <w:sz w:val="32"/>
          <w:szCs w:val="32"/>
          <w:lang w:val="en-US" w:eastAsia="zh-CN"/>
        </w:rPr>
        <w:t>2.41</w:t>
      </w:r>
      <w:r>
        <w:rPr>
          <w:rFonts w:hint="default" w:ascii="Times New Roman" w:hAnsi="Times New Roman" w:eastAsia="仿宋" w:cs="Times New Roman"/>
          <w:sz w:val="32"/>
          <w:szCs w:val="32"/>
        </w:rPr>
        <w:t>%。主要变动原因是人员增加和项目经费支出增加。</w:t>
      </w:r>
    </w:p>
    <w:p>
      <w:pPr>
        <w:jc w:val="center"/>
        <w:rPr>
          <w:rFonts w:hint="eastAsia" w:eastAsia="仿宋"/>
          <w:lang w:eastAsia="zh-CN"/>
        </w:rPr>
      </w:pPr>
      <w:r>
        <w:rPr>
          <w:rFonts w:hint="eastAsia" w:eastAsia="仿宋"/>
          <w:lang w:eastAsia="zh-CN"/>
        </w:rPr>
        <w:drawing>
          <wp:inline distT="0" distB="0" distL="114300" distR="114300">
            <wp:extent cx="4319905" cy="2879725"/>
            <wp:effectExtent l="4445" t="4445" r="19050" b="1143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（图5：一般公共预算财政拨款支出决算变动情况）</w:t>
      </w: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2" w:firstLineChars="200"/>
        <w:outlineLvl w:val="2"/>
        <w:rPr>
          <w:rFonts w:hint="default" w:ascii="Times New Roman" w:hAnsi="Times New Roman" w:eastAsia="仿宋" w:cs="Times New Roman"/>
          <w:b/>
          <w:sz w:val="32"/>
          <w:szCs w:val="32"/>
        </w:rPr>
      </w:pPr>
      <w:bookmarkStart w:id="38" w:name="_Toc15377211"/>
      <w:r>
        <w:rPr>
          <w:rFonts w:hint="default" w:ascii="Times New Roman" w:hAnsi="Times New Roman" w:eastAsia="仿宋" w:cs="Times New Roman"/>
          <w:b/>
          <w:sz w:val="32"/>
          <w:szCs w:val="32"/>
        </w:rPr>
        <w:t>（二）一般公共预算财政拨款支出决算结构情况</w:t>
      </w:r>
      <w:bookmarkEnd w:id="38"/>
    </w:p>
    <w:p>
      <w:pPr>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2023年度一般公共预算财政拨款支出</w:t>
      </w:r>
      <w:r>
        <w:rPr>
          <w:rFonts w:hint="default" w:ascii="Times New Roman" w:hAnsi="Times New Roman" w:cs="Times New Roman"/>
          <w:sz w:val="32"/>
          <w:szCs w:val="32"/>
        </w:rPr>
        <w:t>1633.06</w:t>
      </w:r>
      <w:r>
        <w:rPr>
          <w:rFonts w:hint="default" w:ascii="Times New Roman" w:hAnsi="Times New Roman" w:eastAsia="仿宋" w:cs="Times New Roman"/>
          <w:sz w:val="32"/>
          <w:szCs w:val="32"/>
        </w:rPr>
        <w:t>万元，主要用于以下方面:</w:t>
      </w:r>
      <w:r>
        <w:rPr>
          <w:rFonts w:hint="default" w:ascii="Times New Roman" w:hAnsi="Times New Roman" w:eastAsia="仿宋" w:cs="Times New Roman"/>
          <w:b/>
          <w:sz w:val="32"/>
          <w:szCs w:val="32"/>
        </w:rPr>
        <w:t>一般公共服务</w:t>
      </w:r>
      <w:r>
        <w:rPr>
          <w:rFonts w:hint="default" w:ascii="Times New Roman" w:hAnsi="Times New Roman" w:eastAsia="仿宋" w:cs="Times New Roman"/>
          <w:b/>
          <w:bCs/>
          <w:sz w:val="32"/>
          <w:szCs w:val="32"/>
        </w:rPr>
        <w:t>支出</w:t>
      </w:r>
      <w:r>
        <w:rPr>
          <w:rFonts w:hint="eastAsia" w:ascii="Times New Roman" w:hAnsi="Times New Roman" w:eastAsia="仿宋" w:cs="Times New Roman"/>
          <w:sz w:val="32"/>
          <w:szCs w:val="32"/>
          <w:lang w:val="en-US" w:eastAsia="zh-CN"/>
        </w:rPr>
        <w:t>1425.54</w:t>
      </w:r>
      <w:r>
        <w:rPr>
          <w:rFonts w:hint="default" w:ascii="Times New Roman" w:hAnsi="Times New Roman" w:eastAsia="仿宋" w:cs="Times New Roman"/>
          <w:sz w:val="32"/>
          <w:szCs w:val="32"/>
        </w:rPr>
        <w:t>万元，占</w:t>
      </w:r>
      <w:r>
        <w:rPr>
          <w:rFonts w:hint="eastAsia" w:eastAsia="仿宋" w:cs="Times New Roman"/>
          <w:sz w:val="32"/>
          <w:szCs w:val="32"/>
          <w:lang w:val="en-US" w:eastAsia="zh-CN"/>
        </w:rPr>
        <w:t>87.29</w:t>
      </w:r>
      <w:r>
        <w:rPr>
          <w:rFonts w:hint="default" w:ascii="Times New Roman" w:hAnsi="Times New Roman" w:eastAsia="仿宋" w:cs="Times New Roman"/>
          <w:sz w:val="32"/>
          <w:szCs w:val="32"/>
        </w:rPr>
        <w:t>%；</w:t>
      </w:r>
      <w:r>
        <w:rPr>
          <w:rFonts w:hint="default" w:ascii="Times New Roman" w:hAnsi="Times New Roman" w:eastAsia="仿宋" w:cs="Times New Roman"/>
          <w:b/>
          <w:sz w:val="32"/>
          <w:szCs w:val="32"/>
        </w:rPr>
        <w:t>社会保障和就业</w:t>
      </w:r>
      <w:r>
        <w:rPr>
          <w:rFonts w:hint="default" w:ascii="Times New Roman" w:hAnsi="Times New Roman" w:eastAsia="仿宋" w:cs="Times New Roman"/>
          <w:b/>
          <w:bCs/>
          <w:sz w:val="32"/>
          <w:szCs w:val="32"/>
        </w:rPr>
        <w:t>支出</w:t>
      </w:r>
      <w:r>
        <w:rPr>
          <w:rFonts w:hint="eastAsia" w:ascii="Times New Roman" w:hAnsi="Times New Roman" w:eastAsia="仿宋" w:cs="Times New Roman"/>
          <w:sz w:val="32"/>
          <w:szCs w:val="32"/>
          <w:lang w:val="en-US" w:eastAsia="zh-CN"/>
        </w:rPr>
        <w:t>103.85</w:t>
      </w:r>
      <w:r>
        <w:rPr>
          <w:rFonts w:hint="default" w:ascii="Times New Roman" w:hAnsi="Times New Roman" w:eastAsia="仿宋" w:cs="Times New Roman"/>
          <w:sz w:val="32"/>
          <w:szCs w:val="32"/>
        </w:rPr>
        <w:t>万元，占</w:t>
      </w:r>
      <w:r>
        <w:rPr>
          <w:rFonts w:hint="eastAsia" w:eastAsia="仿宋" w:cs="Times New Roman"/>
          <w:sz w:val="32"/>
          <w:szCs w:val="32"/>
          <w:lang w:val="en-US" w:eastAsia="zh-CN"/>
        </w:rPr>
        <w:t>6.36</w:t>
      </w:r>
      <w:r>
        <w:rPr>
          <w:rFonts w:hint="default" w:ascii="Times New Roman" w:hAnsi="Times New Roman" w:eastAsia="仿宋" w:cs="Times New Roman"/>
          <w:sz w:val="32"/>
          <w:szCs w:val="32"/>
        </w:rPr>
        <w:t>%；</w:t>
      </w:r>
      <w:r>
        <w:rPr>
          <w:rFonts w:hint="default" w:ascii="Times New Roman" w:hAnsi="Times New Roman" w:eastAsia="仿宋" w:cs="Times New Roman"/>
          <w:b/>
          <w:bCs/>
          <w:sz w:val="32"/>
          <w:szCs w:val="32"/>
        </w:rPr>
        <w:t>卫生健康支出</w:t>
      </w:r>
      <w:r>
        <w:rPr>
          <w:rFonts w:hint="eastAsia" w:eastAsia="仿宋" w:cs="Times New Roman"/>
          <w:sz w:val="32"/>
          <w:szCs w:val="32"/>
          <w:lang w:val="en-US" w:eastAsia="zh-CN"/>
        </w:rPr>
        <w:t>50.78</w:t>
      </w:r>
      <w:r>
        <w:rPr>
          <w:rFonts w:hint="default" w:ascii="Times New Roman" w:hAnsi="Times New Roman" w:eastAsia="仿宋" w:cs="Times New Roman"/>
          <w:sz w:val="32"/>
          <w:szCs w:val="32"/>
        </w:rPr>
        <w:t>万元，占</w:t>
      </w:r>
      <w:r>
        <w:rPr>
          <w:rFonts w:hint="eastAsia" w:eastAsia="仿宋" w:cs="Times New Roman"/>
          <w:sz w:val="32"/>
          <w:szCs w:val="32"/>
          <w:lang w:val="en-US" w:eastAsia="zh-CN"/>
        </w:rPr>
        <w:t>3.11</w:t>
      </w:r>
      <w:r>
        <w:rPr>
          <w:rFonts w:hint="default" w:ascii="Times New Roman" w:hAnsi="Times New Roman" w:eastAsia="仿宋" w:cs="Times New Roman"/>
          <w:sz w:val="32"/>
          <w:szCs w:val="32"/>
        </w:rPr>
        <w:t>%；</w:t>
      </w:r>
      <w:r>
        <w:rPr>
          <w:rFonts w:hint="default" w:ascii="Times New Roman" w:hAnsi="Times New Roman" w:eastAsia="仿宋" w:cs="Times New Roman"/>
          <w:b/>
          <w:bCs/>
          <w:sz w:val="32"/>
          <w:szCs w:val="32"/>
        </w:rPr>
        <w:t>住房保障支出</w:t>
      </w:r>
      <w:r>
        <w:rPr>
          <w:rFonts w:hint="eastAsia" w:ascii="Times New Roman" w:hAnsi="Times New Roman" w:eastAsia="仿宋" w:cs="Times New Roman"/>
          <w:sz w:val="32"/>
          <w:szCs w:val="32"/>
          <w:lang w:val="en-US" w:eastAsia="zh-CN"/>
        </w:rPr>
        <w:t>52.89</w:t>
      </w:r>
      <w:r>
        <w:rPr>
          <w:rFonts w:hint="default" w:ascii="Times New Roman" w:hAnsi="Times New Roman" w:eastAsia="仿宋" w:cs="Times New Roman"/>
          <w:sz w:val="32"/>
          <w:szCs w:val="32"/>
        </w:rPr>
        <w:t>万元，占</w:t>
      </w:r>
      <w:r>
        <w:rPr>
          <w:rFonts w:hint="eastAsia" w:eastAsia="仿宋" w:cs="Times New Roman"/>
          <w:sz w:val="32"/>
          <w:szCs w:val="32"/>
          <w:lang w:val="en-US" w:eastAsia="zh-CN"/>
        </w:rPr>
        <w:t>3.24</w:t>
      </w:r>
      <w:r>
        <w:rPr>
          <w:rFonts w:hint="default" w:ascii="Times New Roman" w:hAnsi="Times New Roman" w:eastAsia="仿宋" w:cs="Times New Roman"/>
          <w:sz w:val="32"/>
          <w:szCs w:val="32"/>
        </w:rPr>
        <w:t>%。</w:t>
      </w:r>
    </w:p>
    <w:p>
      <w:pPr>
        <w:jc w:val="center"/>
        <w:rPr>
          <w:rFonts w:hint="default" w:ascii="Times New Roman" w:hAnsi="Times New Roman" w:eastAsia="仿宋" w:cs="Times New Roman"/>
          <w:sz w:val="32"/>
          <w:szCs w:val="32"/>
        </w:rPr>
      </w:pPr>
      <w:r>
        <w:rPr>
          <w:rFonts w:hint="eastAsia" w:eastAsia="仿宋"/>
          <w:lang w:eastAsia="zh-CN"/>
        </w:rPr>
        <w:drawing>
          <wp:inline distT="0" distB="0" distL="114300" distR="114300">
            <wp:extent cx="4319905" cy="2879725"/>
            <wp:effectExtent l="4445" t="4445" r="19050" b="11430"/>
            <wp:docPr id="12" name="图表 12" title="一般公共预算财政拨款支出决算结构"/>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（图6：一般公共预算财政拨款支出决算结构）</w:t>
      </w: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2" w:firstLineChars="200"/>
        <w:outlineLvl w:val="2"/>
        <w:rPr>
          <w:rFonts w:hint="default" w:ascii="Times New Roman" w:hAnsi="Times New Roman" w:eastAsia="仿宋" w:cs="Times New Roman"/>
          <w:b/>
          <w:sz w:val="32"/>
          <w:szCs w:val="32"/>
        </w:rPr>
      </w:pPr>
      <w:bookmarkStart w:id="39" w:name="_Toc15377212"/>
      <w:r>
        <w:rPr>
          <w:rFonts w:hint="default" w:ascii="Times New Roman" w:hAnsi="Times New Roman" w:eastAsia="仿宋" w:cs="Times New Roman"/>
          <w:b/>
          <w:sz w:val="32"/>
          <w:szCs w:val="32"/>
        </w:rPr>
        <w:t>（三）一般公共预算财政拨款支出决算具体情况</w:t>
      </w:r>
      <w:bookmarkEnd w:id="39"/>
    </w:p>
    <w:p>
      <w:pPr>
        <w:numPr>
          <w:ilvl w:val="0"/>
          <w:numId w:val="0"/>
        </w:numPr>
        <w:spacing w:line="600" w:lineRule="exact"/>
        <w:ind w:firstLine="642" w:firstLineChars="200"/>
        <w:rPr>
          <w:rStyle w:val="17"/>
          <w:rFonts w:hint="default" w:ascii="Times New Roman" w:hAnsi="Times New Roman" w:eastAsia="仿宋" w:cs="Times New Roman"/>
          <w:bCs/>
          <w:sz w:val="32"/>
          <w:szCs w:val="32"/>
        </w:rPr>
      </w:pPr>
      <w:bookmarkStart w:id="40" w:name="_Toc15377444"/>
      <w:bookmarkStart w:id="41" w:name="_Toc15377213"/>
      <w:bookmarkStart w:id="42" w:name="_Toc15378460"/>
      <w:r>
        <w:rPr>
          <w:rFonts w:hint="default" w:ascii="Times New Roman" w:hAnsi="Times New Roman" w:eastAsia="仿宋" w:cs="Times New Roman"/>
          <w:b/>
          <w:sz w:val="32"/>
          <w:szCs w:val="32"/>
        </w:rPr>
        <w:t>2023年度一般公共预算支出决算数为</w:t>
      </w:r>
      <w:r>
        <w:rPr>
          <w:rFonts w:hint="default" w:ascii="Times New Roman" w:hAnsi="Times New Roman" w:cs="Times New Roman"/>
          <w:sz w:val="32"/>
          <w:szCs w:val="32"/>
        </w:rPr>
        <w:t>1633.06</w:t>
      </w:r>
      <w:r>
        <w:rPr>
          <w:rFonts w:hint="default" w:ascii="Times New Roman" w:hAnsi="Times New Roman" w:eastAsia="仿宋" w:cs="Times New Roman"/>
          <w:sz w:val="32"/>
          <w:szCs w:val="32"/>
        </w:rPr>
        <w:t>，</w:t>
      </w:r>
      <w:r>
        <w:rPr>
          <w:rStyle w:val="17"/>
          <w:rFonts w:hint="default" w:ascii="Times New Roman" w:hAnsi="Times New Roman" w:eastAsia="仿宋" w:cs="Times New Roman"/>
          <w:bCs/>
          <w:sz w:val="32"/>
          <w:szCs w:val="32"/>
        </w:rPr>
        <w:t>完成预算</w:t>
      </w:r>
      <w:r>
        <w:rPr>
          <w:rStyle w:val="17"/>
          <w:rFonts w:hint="eastAsia" w:eastAsia="仿宋" w:cs="Times New Roman"/>
          <w:bCs/>
          <w:sz w:val="32"/>
          <w:szCs w:val="32"/>
          <w:lang w:val="en-US" w:eastAsia="zh-CN"/>
        </w:rPr>
        <w:t>100</w:t>
      </w:r>
      <w:r>
        <w:rPr>
          <w:rStyle w:val="17"/>
          <w:rFonts w:hint="default" w:ascii="Times New Roman" w:hAnsi="Times New Roman" w:eastAsia="仿宋" w:cs="Times New Roman"/>
          <w:bCs/>
          <w:sz w:val="32"/>
          <w:szCs w:val="32"/>
        </w:rPr>
        <w:t>%。其中：</w:t>
      </w:r>
      <w:bookmarkEnd w:id="40"/>
      <w:bookmarkEnd w:id="41"/>
      <w:bookmarkEnd w:id="42"/>
    </w:p>
    <w:p>
      <w:pPr>
        <w:numPr>
          <w:ilvl w:val="0"/>
          <w:numId w:val="0"/>
        </w:numPr>
        <w:spacing w:line="600" w:lineRule="exact"/>
        <w:ind w:firstLine="640" w:firstLineChars="200"/>
        <w:rPr>
          <w:rFonts w:hint="default" w:ascii="仿宋" w:hAnsi="仿宋" w:eastAsia="仿宋" w:cs="Times New Roman"/>
          <w:color w:val="000000" w:themeColor="text1"/>
          <w:sz w:val="32"/>
          <w:szCs w:val="32"/>
          <w:lang w:val="en-US" w:eastAsia="zh-CN"/>
          <w14:textFill>
            <w14:solidFill>
              <w14:schemeClr w14:val="tx1"/>
            </w14:solidFill>
          </w14:textFill>
        </w:rPr>
      </w:pPr>
      <w:r>
        <w:rPr>
          <w:rStyle w:val="17"/>
          <w:rFonts w:hint="eastAsia" w:ascii="仿宋" w:hAnsi="仿宋" w:eastAsia="仿宋" w:cs="Times New Roman"/>
          <w:b w:val="0"/>
          <w:bCs w:val="0"/>
          <w:color w:val="000000"/>
          <w:sz w:val="32"/>
          <w:szCs w:val="32"/>
          <w:lang w:val="en-US" w:eastAsia="zh-CN"/>
        </w:rPr>
        <w:t>1.</w:t>
      </w:r>
      <w:r>
        <w:rPr>
          <w:rFonts w:hint="eastAsia" w:ascii="仿宋" w:hAnsi="仿宋" w:eastAsia="仿宋" w:cs="Times New Roman"/>
          <w:b/>
          <w:color w:val="000000" w:themeColor="text1"/>
          <w:sz w:val="32"/>
          <w:szCs w:val="32"/>
          <w14:textFill>
            <w14:solidFill>
              <w14:schemeClr w14:val="tx1"/>
            </w14:solidFill>
          </w14:textFill>
        </w:rPr>
        <w:t>一般公共服务（类）</w:t>
      </w:r>
      <w:r>
        <w:rPr>
          <w:rFonts w:hint="eastAsia" w:ascii="仿宋" w:hAnsi="仿宋" w:eastAsia="仿宋" w:cs="Times New Roman"/>
          <w:b/>
          <w:color w:val="000000" w:themeColor="text1"/>
          <w:sz w:val="32"/>
          <w:szCs w:val="32"/>
          <w:lang w:eastAsia="zh-CN"/>
          <w14:textFill>
            <w14:solidFill>
              <w14:schemeClr w14:val="tx1"/>
            </w14:solidFill>
          </w14:textFill>
        </w:rPr>
        <w:t>：</w:t>
      </w:r>
      <w:r>
        <w:rPr>
          <w:rStyle w:val="17"/>
          <w:rFonts w:hint="eastAsia" w:ascii="仿宋" w:hAnsi="仿宋" w:eastAsia="仿宋" w:cs="Times New Roman"/>
          <w:b/>
          <w:bCs w:val="0"/>
          <w:color w:val="000000"/>
          <w:sz w:val="32"/>
          <w:szCs w:val="32"/>
          <w:lang w:val="en-US" w:eastAsia="zh-CN"/>
        </w:rPr>
        <w:t>2013201行政运行</w:t>
      </w:r>
      <w:r>
        <w:rPr>
          <w:rStyle w:val="17"/>
          <w:rFonts w:hint="eastAsia" w:ascii="仿宋" w:hAnsi="仿宋" w:eastAsia="仿宋" w:cs="Times New Roman"/>
          <w:b w:val="0"/>
          <w:bCs w:val="0"/>
          <w:color w:val="000000"/>
          <w:sz w:val="32"/>
          <w:szCs w:val="32"/>
          <w:lang w:val="en-US" w:eastAsia="zh-CN"/>
        </w:rPr>
        <w:t>支出决算496.75万元，</w:t>
      </w:r>
      <w:r>
        <w:rPr>
          <w:rStyle w:val="17"/>
          <w:rFonts w:hint="eastAsia" w:ascii="仿宋" w:hAnsi="仿宋" w:eastAsia="仿宋" w:cs="Times New Roman"/>
          <w:b w:val="0"/>
          <w:bCs/>
          <w:color w:val="000000"/>
          <w:sz w:val="32"/>
          <w:szCs w:val="32"/>
        </w:rPr>
        <w:t>完成预算</w:t>
      </w:r>
      <w:r>
        <w:rPr>
          <w:rStyle w:val="17"/>
          <w:rFonts w:ascii="仿宋" w:hAnsi="仿宋" w:eastAsia="仿宋" w:cs="Times New Roman"/>
          <w:b w:val="0"/>
          <w:bCs/>
          <w:color w:val="000000"/>
          <w:sz w:val="32"/>
          <w:szCs w:val="32"/>
        </w:rPr>
        <w:t>100%</w:t>
      </w:r>
      <w:r>
        <w:rPr>
          <w:rStyle w:val="17"/>
          <w:rFonts w:hint="eastAsia" w:ascii="仿宋" w:hAnsi="仿宋" w:eastAsia="仿宋" w:cs="Times New Roman"/>
          <w:b w:val="0"/>
          <w:bCs/>
          <w:color w:val="000000"/>
          <w:sz w:val="32"/>
          <w:szCs w:val="32"/>
          <w:lang w:eastAsia="zh-CN"/>
        </w:rPr>
        <w:t>；</w:t>
      </w:r>
      <w:r>
        <w:rPr>
          <w:rStyle w:val="17"/>
          <w:rFonts w:hint="eastAsia" w:ascii="仿宋" w:hAnsi="仿宋" w:eastAsia="仿宋" w:cs="Times New Roman"/>
          <w:b/>
          <w:bCs w:val="0"/>
          <w:color w:val="000000"/>
          <w:sz w:val="32"/>
          <w:szCs w:val="32"/>
          <w:lang w:val="en-US" w:eastAsia="zh-CN"/>
        </w:rPr>
        <w:t>2013202一般行政管理事务</w:t>
      </w:r>
      <w:r>
        <w:rPr>
          <w:rStyle w:val="17"/>
          <w:rFonts w:hint="eastAsia" w:ascii="仿宋" w:hAnsi="仿宋" w:eastAsia="仿宋" w:cs="Times New Roman"/>
          <w:b w:val="0"/>
          <w:bCs w:val="0"/>
          <w:color w:val="000000"/>
          <w:sz w:val="32"/>
          <w:szCs w:val="32"/>
          <w:lang w:val="en-US" w:eastAsia="zh-CN"/>
        </w:rPr>
        <w:t>支出决算529.69万元，</w:t>
      </w:r>
      <w:r>
        <w:rPr>
          <w:rStyle w:val="17"/>
          <w:rFonts w:hint="eastAsia" w:ascii="仿宋" w:hAnsi="仿宋" w:eastAsia="仿宋" w:cs="Times New Roman"/>
          <w:b w:val="0"/>
          <w:bCs/>
          <w:color w:val="000000"/>
          <w:sz w:val="32"/>
          <w:szCs w:val="32"/>
        </w:rPr>
        <w:t>完成预算</w:t>
      </w:r>
      <w:r>
        <w:rPr>
          <w:rStyle w:val="17"/>
          <w:rFonts w:ascii="仿宋" w:hAnsi="仿宋" w:eastAsia="仿宋" w:cs="Times New Roman"/>
          <w:b w:val="0"/>
          <w:bCs/>
          <w:color w:val="000000"/>
          <w:sz w:val="32"/>
          <w:szCs w:val="32"/>
        </w:rPr>
        <w:t>100%</w:t>
      </w:r>
      <w:r>
        <w:rPr>
          <w:rStyle w:val="17"/>
          <w:rFonts w:hint="eastAsia" w:ascii="仿宋" w:hAnsi="仿宋" w:eastAsia="仿宋" w:cs="Times New Roman"/>
          <w:b w:val="0"/>
          <w:bCs/>
          <w:color w:val="000000"/>
          <w:sz w:val="32"/>
          <w:szCs w:val="32"/>
          <w:lang w:eastAsia="zh-CN"/>
        </w:rPr>
        <w:t>；</w:t>
      </w:r>
      <w:r>
        <w:rPr>
          <w:rStyle w:val="17"/>
          <w:rFonts w:hint="eastAsia" w:ascii="仿宋" w:hAnsi="仿宋" w:eastAsia="仿宋" w:cs="Times New Roman"/>
          <w:b/>
          <w:bCs/>
          <w:color w:val="000000"/>
          <w:sz w:val="32"/>
          <w:szCs w:val="32"/>
          <w:lang w:val="en-US" w:eastAsia="zh-CN"/>
        </w:rPr>
        <w:t>2013250事业运行</w:t>
      </w:r>
      <w:r>
        <w:rPr>
          <w:rStyle w:val="17"/>
          <w:rFonts w:hint="eastAsia" w:ascii="仿宋" w:hAnsi="仿宋" w:eastAsia="仿宋" w:cs="Times New Roman"/>
          <w:b w:val="0"/>
          <w:bCs w:val="0"/>
          <w:color w:val="000000"/>
          <w:sz w:val="32"/>
          <w:szCs w:val="32"/>
          <w:lang w:val="en-US" w:eastAsia="zh-CN"/>
        </w:rPr>
        <w:t>支出118.12万元，</w:t>
      </w:r>
      <w:r>
        <w:rPr>
          <w:rStyle w:val="17"/>
          <w:rFonts w:hint="eastAsia" w:ascii="仿宋" w:hAnsi="仿宋" w:eastAsia="仿宋" w:cs="Times New Roman"/>
          <w:b w:val="0"/>
          <w:bCs/>
          <w:color w:val="000000"/>
          <w:sz w:val="32"/>
          <w:szCs w:val="32"/>
        </w:rPr>
        <w:t>完成预算</w:t>
      </w:r>
      <w:r>
        <w:rPr>
          <w:rStyle w:val="17"/>
          <w:rFonts w:ascii="仿宋" w:hAnsi="仿宋" w:eastAsia="仿宋" w:cs="Times New Roman"/>
          <w:b w:val="0"/>
          <w:bCs/>
          <w:color w:val="000000"/>
          <w:sz w:val="32"/>
          <w:szCs w:val="32"/>
        </w:rPr>
        <w:t>100%</w:t>
      </w:r>
      <w:r>
        <w:rPr>
          <w:rStyle w:val="17"/>
          <w:rFonts w:hint="eastAsia" w:ascii="仿宋" w:hAnsi="仿宋" w:eastAsia="仿宋" w:cs="Times New Roman"/>
          <w:b w:val="0"/>
          <w:bCs/>
          <w:color w:val="000000"/>
          <w:sz w:val="32"/>
          <w:szCs w:val="32"/>
          <w:lang w:eastAsia="zh-CN"/>
        </w:rPr>
        <w:t>；</w:t>
      </w:r>
      <w:r>
        <w:rPr>
          <w:rStyle w:val="17"/>
          <w:rFonts w:hint="eastAsia" w:ascii="仿宋" w:hAnsi="仿宋" w:eastAsia="仿宋" w:cs="Times New Roman"/>
          <w:b/>
          <w:bCs/>
          <w:color w:val="000000"/>
          <w:sz w:val="32"/>
          <w:szCs w:val="32"/>
          <w:lang w:val="en-US" w:eastAsia="zh-CN"/>
        </w:rPr>
        <w:t>2013299其他组织事务支出</w:t>
      </w:r>
      <w:r>
        <w:rPr>
          <w:rStyle w:val="17"/>
          <w:rFonts w:hint="eastAsia" w:ascii="仿宋" w:hAnsi="仿宋" w:eastAsia="仿宋" w:cs="Times New Roman"/>
          <w:b w:val="0"/>
          <w:bCs w:val="0"/>
          <w:color w:val="000000"/>
          <w:sz w:val="32"/>
          <w:szCs w:val="32"/>
          <w:lang w:val="en-US" w:eastAsia="zh-CN"/>
        </w:rPr>
        <w:t>支出280.98万元，</w:t>
      </w:r>
      <w:r>
        <w:rPr>
          <w:rStyle w:val="17"/>
          <w:rFonts w:hint="eastAsia" w:ascii="仿宋" w:hAnsi="仿宋" w:eastAsia="仿宋" w:cs="Times New Roman"/>
          <w:b w:val="0"/>
          <w:bCs/>
          <w:color w:val="000000"/>
          <w:sz w:val="32"/>
          <w:szCs w:val="32"/>
        </w:rPr>
        <w:t>完成预算</w:t>
      </w:r>
      <w:r>
        <w:rPr>
          <w:rStyle w:val="17"/>
          <w:rFonts w:ascii="仿宋" w:hAnsi="仿宋" w:eastAsia="仿宋" w:cs="Times New Roman"/>
          <w:b w:val="0"/>
          <w:bCs/>
          <w:color w:val="000000"/>
          <w:sz w:val="32"/>
          <w:szCs w:val="32"/>
        </w:rPr>
        <w:t>100%</w:t>
      </w:r>
      <w:r>
        <w:rPr>
          <w:rStyle w:val="17"/>
          <w:rFonts w:hint="eastAsia" w:ascii="仿宋" w:hAnsi="仿宋" w:eastAsia="仿宋" w:cs="Times New Roman"/>
          <w:b w:val="0"/>
          <w:bCs/>
          <w:color w:val="000000"/>
          <w:sz w:val="32"/>
          <w:szCs w:val="32"/>
          <w:lang w:eastAsia="zh-CN"/>
        </w:rPr>
        <w:t>。</w:t>
      </w:r>
    </w:p>
    <w:p>
      <w:pPr>
        <w:spacing w:line="600" w:lineRule="exact"/>
        <w:ind w:firstLine="640"/>
        <w:rPr>
          <w:rFonts w:hint="default" w:ascii="仿宋" w:hAnsi="仿宋" w:eastAsia="仿宋" w:cs="Times New Roman"/>
          <w:color w:val="000000" w:themeColor="text1"/>
          <w:sz w:val="32"/>
          <w:szCs w:val="32"/>
          <w:lang w:val="en-US" w:eastAsia="zh-CN"/>
          <w14:textFill>
            <w14:solidFill>
              <w14:schemeClr w14:val="tx1"/>
            </w14:solidFill>
          </w14:textFill>
        </w:rPr>
      </w:pPr>
      <w:r>
        <w:rPr>
          <w:rStyle w:val="17"/>
          <w:rFonts w:hint="eastAsia" w:ascii="仿宋" w:hAnsi="仿宋" w:eastAsia="仿宋" w:cs="Times New Roman"/>
          <w:b w:val="0"/>
          <w:bCs w:val="0"/>
          <w:color w:val="000000"/>
          <w:sz w:val="32"/>
          <w:szCs w:val="32"/>
          <w:lang w:val="en-US" w:eastAsia="zh-CN"/>
        </w:rPr>
        <w:t>2.</w:t>
      </w:r>
      <w:r>
        <w:rPr>
          <w:rFonts w:hint="eastAsia" w:ascii="仿宋" w:hAnsi="仿宋" w:eastAsia="仿宋" w:cs="Times New Roman"/>
          <w:b/>
          <w:color w:val="000000" w:themeColor="text1"/>
          <w:sz w:val="32"/>
          <w:szCs w:val="32"/>
          <w14:textFill>
            <w14:solidFill>
              <w14:schemeClr w14:val="tx1"/>
            </w14:solidFill>
          </w14:textFill>
        </w:rPr>
        <w:t>社会保障和就业（类）</w:t>
      </w:r>
      <w:r>
        <w:rPr>
          <w:rFonts w:hint="eastAsia" w:ascii="仿宋" w:hAnsi="仿宋" w:eastAsia="仿宋" w:cs="Times New Roman"/>
          <w:b/>
          <w:color w:val="000000" w:themeColor="text1"/>
          <w:sz w:val="32"/>
          <w:szCs w:val="32"/>
          <w:lang w:eastAsia="zh-CN"/>
          <w14:textFill>
            <w14:solidFill>
              <w14:schemeClr w14:val="tx1"/>
            </w14:solidFill>
          </w14:textFill>
        </w:rPr>
        <w:t>：</w:t>
      </w:r>
      <w:r>
        <w:rPr>
          <w:rStyle w:val="17"/>
          <w:rFonts w:hint="eastAsia" w:ascii="仿宋" w:hAnsi="仿宋" w:eastAsia="仿宋" w:cs="Times New Roman"/>
          <w:bCs/>
          <w:color w:val="000000"/>
          <w:sz w:val="32"/>
          <w:szCs w:val="32"/>
          <w:lang w:val="en-US" w:eastAsia="zh-CN"/>
        </w:rPr>
        <w:t>2080505机关事业单位基本养老保险缴费支出</w:t>
      </w:r>
      <w:r>
        <w:rPr>
          <w:rStyle w:val="17"/>
          <w:rFonts w:hint="eastAsia" w:ascii="仿宋" w:hAnsi="仿宋" w:eastAsia="仿宋" w:cs="Times New Roman"/>
          <w:b w:val="0"/>
          <w:bCs w:val="0"/>
          <w:color w:val="000000"/>
          <w:sz w:val="32"/>
          <w:szCs w:val="32"/>
          <w:lang w:val="en-US" w:eastAsia="zh-CN"/>
        </w:rPr>
        <w:t>支出决算69.23万元，</w:t>
      </w:r>
      <w:r>
        <w:rPr>
          <w:rStyle w:val="17"/>
          <w:rFonts w:hint="eastAsia" w:ascii="仿宋" w:hAnsi="仿宋" w:eastAsia="仿宋" w:cs="Times New Roman"/>
          <w:b w:val="0"/>
          <w:bCs/>
          <w:color w:val="000000"/>
          <w:sz w:val="32"/>
          <w:szCs w:val="32"/>
        </w:rPr>
        <w:t>完成预算</w:t>
      </w:r>
      <w:r>
        <w:rPr>
          <w:rStyle w:val="17"/>
          <w:rFonts w:ascii="仿宋" w:hAnsi="仿宋" w:eastAsia="仿宋" w:cs="Times New Roman"/>
          <w:b w:val="0"/>
          <w:bCs/>
          <w:color w:val="000000"/>
          <w:sz w:val="32"/>
          <w:szCs w:val="32"/>
        </w:rPr>
        <w:t>100%</w:t>
      </w:r>
      <w:r>
        <w:rPr>
          <w:rStyle w:val="17"/>
          <w:rFonts w:hint="eastAsia" w:ascii="仿宋" w:hAnsi="仿宋" w:eastAsia="仿宋" w:cs="Times New Roman"/>
          <w:b w:val="0"/>
          <w:bCs/>
          <w:color w:val="000000"/>
          <w:sz w:val="32"/>
          <w:szCs w:val="32"/>
          <w:lang w:eastAsia="zh-CN"/>
        </w:rPr>
        <w:t>；</w:t>
      </w:r>
      <w:r>
        <w:rPr>
          <w:rStyle w:val="17"/>
          <w:rFonts w:hint="eastAsia" w:ascii="仿宋" w:hAnsi="仿宋" w:eastAsia="仿宋" w:cs="Times New Roman"/>
          <w:b/>
          <w:bCs/>
          <w:color w:val="000000"/>
          <w:sz w:val="32"/>
          <w:szCs w:val="32"/>
          <w:lang w:val="en-US" w:eastAsia="zh-CN"/>
        </w:rPr>
        <w:t>2080506机关事业单位职业年金缴费支出</w:t>
      </w:r>
      <w:r>
        <w:rPr>
          <w:rStyle w:val="17"/>
          <w:rFonts w:hint="eastAsia" w:ascii="仿宋" w:hAnsi="仿宋" w:eastAsia="仿宋" w:cs="Times New Roman"/>
          <w:b w:val="0"/>
          <w:bCs w:val="0"/>
          <w:color w:val="000000"/>
          <w:sz w:val="32"/>
          <w:szCs w:val="32"/>
          <w:lang w:val="en-US" w:eastAsia="zh-CN"/>
        </w:rPr>
        <w:t>支出34.62万元，</w:t>
      </w:r>
      <w:r>
        <w:rPr>
          <w:rStyle w:val="17"/>
          <w:rFonts w:hint="eastAsia" w:ascii="仿宋" w:hAnsi="仿宋" w:eastAsia="仿宋" w:cs="Times New Roman"/>
          <w:b w:val="0"/>
          <w:bCs/>
          <w:color w:val="000000"/>
          <w:sz w:val="32"/>
          <w:szCs w:val="32"/>
        </w:rPr>
        <w:t>完成预算</w:t>
      </w:r>
      <w:r>
        <w:rPr>
          <w:rStyle w:val="17"/>
          <w:rFonts w:ascii="仿宋" w:hAnsi="仿宋" w:eastAsia="仿宋" w:cs="Times New Roman"/>
          <w:b w:val="0"/>
          <w:bCs/>
          <w:color w:val="000000"/>
          <w:sz w:val="32"/>
          <w:szCs w:val="32"/>
        </w:rPr>
        <w:t>100%</w:t>
      </w:r>
      <w:r>
        <w:rPr>
          <w:rStyle w:val="17"/>
          <w:rFonts w:hint="eastAsia" w:ascii="仿宋" w:hAnsi="仿宋" w:eastAsia="仿宋" w:cs="Times New Roman"/>
          <w:b w:val="0"/>
          <w:bCs/>
          <w:color w:val="000000"/>
          <w:sz w:val="32"/>
          <w:szCs w:val="32"/>
          <w:lang w:val="en-US" w:eastAsia="zh-CN"/>
        </w:rPr>
        <w:t>。</w:t>
      </w:r>
    </w:p>
    <w:p>
      <w:pPr>
        <w:spacing w:line="600" w:lineRule="exact"/>
        <w:ind w:firstLine="640"/>
        <w:rPr>
          <w:rFonts w:hint="default" w:ascii="仿宋" w:hAnsi="仿宋" w:eastAsia="仿宋" w:cs="Times New Roman"/>
          <w:color w:val="000000" w:themeColor="text1"/>
          <w:sz w:val="32"/>
          <w:szCs w:val="32"/>
          <w:lang w:val="en-US" w:eastAsia="zh-CN"/>
          <w14:textFill>
            <w14:solidFill>
              <w14:schemeClr w14:val="tx1"/>
            </w14:solidFill>
          </w14:textFill>
        </w:rPr>
      </w:pPr>
      <w:r>
        <w:rPr>
          <w:rStyle w:val="17"/>
          <w:rFonts w:hint="eastAsia" w:ascii="仿宋" w:hAnsi="仿宋" w:eastAsia="仿宋" w:cs="Times New Roman"/>
          <w:b w:val="0"/>
          <w:bCs w:val="0"/>
          <w:color w:val="000000"/>
          <w:sz w:val="32"/>
          <w:szCs w:val="32"/>
          <w:lang w:val="en-US" w:eastAsia="zh-CN"/>
        </w:rPr>
        <w:t>3.</w:t>
      </w:r>
      <w:r>
        <w:rPr>
          <w:rFonts w:hint="eastAsia" w:ascii="仿宋" w:hAnsi="仿宋" w:eastAsia="仿宋" w:cs="Times New Roman"/>
          <w:b/>
          <w:bCs/>
          <w:color w:val="000000" w:themeColor="text1"/>
          <w:sz w:val="32"/>
          <w:szCs w:val="32"/>
          <w14:textFill>
            <w14:solidFill>
              <w14:schemeClr w14:val="tx1"/>
            </w14:solidFill>
          </w14:textFill>
        </w:rPr>
        <w:t>卫生健康</w:t>
      </w:r>
      <w:r>
        <w:rPr>
          <w:rFonts w:hint="eastAsia" w:ascii="仿宋" w:hAnsi="仿宋" w:eastAsia="仿宋" w:cs="Times New Roman"/>
          <w:b/>
          <w:bCs/>
          <w:color w:val="000000" w:themeColor="text1"/>
          <w:sz w:val="32"/>
          <w:szCs w:val="32"/>
          <w:lang w:eastAsia="zh-CN"/>
          <w14:textFill>
            <w14:solidFill>
              <w14:schemeClr w14:val="tx1"/>
            </w14:solidFill>
          </w14:textFill>
        </w:rPr>
        <w:t>（</w:t>
      </w:r>
      <w:r>
        <w:rPr>
          <w:rFonts w:hint="eastAsia" w:ascii="仿宋" w:hAnsi="仿宋" w:eastAsia="仿宋" w:cs="Times New Roman"/>
          <w:b/>
          <w:bCs/>
          <w:color w:val="000000" w:themeColor="text1"/>
          <w:sz w:val="32"/>
          <w:szCs w:val="32"/>
          <w:lang w:val="en-US" w:eastAsia="zh-CN"/>
          <w14:textFill>
            <w14:solidFill>
              <w14:schemeClr w14:val="tx1"/>
            </w14:solidFill>
          </w14:textFill>
        </w:rPr>
        <w:t>类</w:t>
      </w:r>
      <w:r>
        <w:rPr>
          <w:rFonts w:hint="eastAsia" w:ascii="仿宋" w:hAnsi="仿宋" w:eastAsia="仿宋" w:cs="Times New Roman"/>
          <w:b/>
          <w:bCs/>
          <w:color w:val="000000" w:themeColor="text1"/>
          <w:sz w:val="32"/>
          <w:szCs w:val="32"/>
          <w:lang w:eastAsia="zh-CN"/>
          <w14:textFill>
            <w14:solidFill>
              <w14:schemeClr w14:val="tx1"/>
            </w14:solidFill>
          </w14:textFill>
        </w:rPr>
        <w:t>）</w:t>
      </w:r>
      <w:r>
        <w:rPr>
          <w:rFonts w:hint="eastAsia" w:ascii="仿宋" w:hAnsi="仿宋" w:eastAsia="仿宋" w:cs="Times New Roman"/>
          <w:b/>
          <w:bCs/>
          <w:color w:val="000000" w:themeColor="text1"/>
          <w:sz w:val="32"/>
          <w:szCs w:val="32"/>
          <w:lang w:val="en-US" w:eastAsia="zh-CN"/>
          <w14:textFill>
            <w14:solidFill>
              <w14:schemeClr w14:val="tx1"/>
            </w14:solidFill>
          </w14:textFill>
        </w:rPr>
        <w:t>:</w:t>
      </w:r>
      <w:r>
        <w:rPr>
          <w:rStyle w:val="17"/>
          <w:rFonts w:hint="eastAsia" w:ascii="仿宋" w:hAnsi="仿宋" w:eastAsia="仿宋" w:cs="Times New Roman"/>
          <w:b/>
          <w:bCs/>
          <w:color w:val="000000"/>
          <w:sz w:val="32"/>
          <w:szCs w:val="32"/>
          <w:lang w:val="en-US" w:eastAsia="zh-CN"/>
        </w:rPr>
        <w:t>2101101行政单位医疗</w:t>
      </w:r>
      <w:r>
        <w:rPr>
          <w:rStyle w:val="17"/>
          <w:rFonts w:hint="eastAsia" w:ascii="仿宋" w:hAnsi="仿宋" w:eastAsia="仿宋" w:cs="Times New Roman"/>
          <w:b w:val="0"/>
          <w:bCs w:val="0"/>
          <w:color w:val="000000"/>
          <w:sz w:val="32"/>
          <w:szCs w:val="32"/>
          <w:lang w:val="en-US" w:eastAsia="zh-CN"/>
        </w:rPr>
        <w:t>支出32.81万元，</w:t>
      </w:r>
      <w:r>
        <w:rPr>
          <w:rStyle w:val="17"/>
          <w:rFonts w:hint="eastAsia" w:ascii="仿宋" w:hAnsi="仿宋" w:eastAsia="仿宋" w:cs="Times New Roman"/>
          <w:b w:val="0"/>
          <w:bCs/>
          <w:color w:val="000000"/>
          <w:sz w:val="32"/>
          <w:szCs w:val="32"/>
        </w:rPr>
        <w:t>完成预算</w:t>
      </w:r>
      <w:r>
        <w:rPr>
          <w:rStyle w:val="17"/>
          <w:rFonts w:ascii="仿宋" w:hAnsi="仿宋" w:eastAsia="仿宋" w:cs="Times New Roman"/>
          <w:b w:val="0"/>
          <w:bCs/>
          <w:color w:val="000000"/>
          <w:sz w:val="32"/>
          <w:szCs w:val="32"/>
        </w:rPr>
        <w:t>100%</w:t>
      </w:r>
      <w:r>
        <w:rPr>
          <w:rStyle w:val="17"/>
          <w:rFonts w:hint="eastAsia" w:ascii="仿宋" w:hAnsi="仿宋" w:eastAsia="仿宋" w:cs="Times New Roman"/>
          <w:b w:val="0"/>
          <w:bCs/>
          <w:color w:val="000000"/>
          <w:sz w:val="32"/>
          <w:szCs w:val="32"/>
          <w:lang w:eastAsia="zh-CN"/>
        </w:rPr>
        <w:t>；</w:t>
      </w:r>
      <w:r>
        <w:rPr>
          <w:rStyle w:val="17"/>
          <w:rFonts w:hint="eastAsia" w:ascii="仿宋" w:hAnsi="仿宋" w:eastAsia="仿宋" w:cs="Times New Roman"/>
          <w:b/>
          <w:bCs/>
          <w:color w:val="000000"/>
          <w:sz w:val="32"/>
          <w:szCs w:val="32"/>
          <w:lang w:val="en-US" w:eastAsia="zh-CN"/>
        </w:rPr>
        <w:t>2101102事业单位医疗</w:t>
      </w:r>
      <w:r>
        <w:rPr>
          <w:rStyle w:val="17"/>
          <w:rFonts w:hint="eastAsia" w:ascii="仿宋" w:hAnsi="仿宋" w:eastAsia="仿宋" w:cs="Times New Roman"/>
          <w:b w:val="0"/>
          <w:bCs w:val="0"/>
          <w:color w:val="000000"/>
          <w:sz w:val="32"/>
          <w:szCs w:val="32"/>
          <w:lang w:val="en-US" w:eastAsia="zh-CN"/>
        </w:rPr>
        <w:t>支出8.22万元，</w:t>
      </w:r>
      <w:r>
        <w:rPr>
          <w:rStyle w:val="17"/>
          <w:rFonts w:hint="eastAsia" w:ascii="仿宋" w:hAnsi="仿宋" w:eastAsia="仿宋" w:cs="Times New Roman"/>
          <w:b w:val="0"/>
          <w:bCs/>
          <w:color w:val="000000"/>
          <w:sz w:val="32"/>
          <w:szCs w:val="32"/>
        </w:rPr>
        <w:t>完成预算</w:t>
      </w:r>
      <w:r>
        <w:rPr>
          <w:rStyle w:val="17"/>
          <w:rFonts w:ascii="仿宋" w:hAnsi="仿宋" w:eastAsia="仿宋" w:cs="Times New Roman"/>
          <w:b w:val="0"/>
          <w:bCs/>
          <w:color w:val="000000"/>
          <w:sz w:val="32"/>
          <w:szCs w:val="32"/>
        </w:rPr>
        <w:t>100%</w:t>
      </w:r>
      <w:r>
        <w:rPr>
          <w:rStyle w:val="17"/>
          <w:rFonts w:hint="eastAsia" w:ascii="仿宋" w:hAnsi="仿宋" w:eastAsia="仿宋" w:cs="Times New Roman"/>
          <w:b w:val="0"/>
          <w:bCs/>
          <w:color w:val="000000"/>
          <w:sz w:val="32"/>
          <w:szCs w:val="32"/>
          <w:lang w:eastAsia="zh-CN"/>
        </w:rPr>
        <w:t>；</w:t>
      </w:r>
      <w:r>
        <w:rPr>
          <w:rStyle w:val="17"/>
          <w:rFonts w:hint="eastAsia" w:ascii="仿宋" w:hAnsi="仿宋" w:eastAsia="仿宋" w:cs="Times New Roman"/>
          <w:b/>
          <w:bCs/>
          <w:color w:val="000000"/>
          <w:sz w:val="32"/>
          <w:szCs w:val="32"/>
          <w:lang w:val="en-US" w:eastAsia="zh-CN"/>
        </w:rPr>
        <w:t>2101103公务员医疗补助</w:t>
      </w:r>
      <w:r>
        <w:rPr>
          <w:rStyle w:val="17"/>
          <w:rFonts w:hint="eastAsia" w:ascii="仿宋" w:hAnsi="仿宋" w:eastAsia="仿宋" w:cs="Times New Roman"/>
          <w:b w:val="0"/>
          <w:bCs w:val="0"/>
          <w:color w:val="000000"/>
          <w:sz w:val="32"/>
          <w:szCs w:val="32"/>
          <w:lang w:val="en-US" w:eastAsia="zh-CN"/>
        </w:rPr>
        <w:t>支出8.2万元，</w:t>
      </w:r>
      <w:r>
        <w:rPr>
          <w:rStyle w:val="17"/>
          <w:rFonts w:hint="eastAsia" w:ascii="仿宋" w:hAnsi="仿宋" w:eastAsia="仿宋" w:cs="Times New Roman"/>
          <w:b w:val="0"/>
          <w:bCs/>
          <w:color w:val="000000"/>
          <w:sz w:val="32"/>
          <w:szCs w:val="32"/>
        </w:rPr>
        <w:t>完成预算</w:t>
      </w:r>
      <w:r>
        <w:rPr>
          <w:rStyle w:val="17"/>
          <w:rFonts w:ascii="仿宋" w:hAnsi="仿宋" w:eastAsia="仿宋" w:cs="Times New Roman"/>
          <w:b w:val="0"/>
          <w:bCs/>
          <w:color w:val="000000"/>
          <w:sz w:val="32"/>
          <w:szCs w:val="32"/>
        </w:rPr>
        <w:t>100%</w:t>
      </w:r>
      <w:r>
        <w:rPr>
          <w:rStyle w:val="17"/>
          <w:rFonts w:hint="eastAsia" w:ascii="仿宋" w:hAnsi="仿宋" w:eastAsia="仿宋" w:cs="Times New Roman"/>
          <w:b w:val="0"/>
          <w:bCs/>
          <w:color w:val="000000"/>
          <w:sz w:val="32"/>
          <w:szCs w:val="32"/>
          <w:lang w:eastAsia="zh-CN"/>
        </w:rPr>
        <w:t>；</w:t>
      </w:r>
      <w:r>
        <w:rPr>
          <w:rStyle w:val="17"/>
          <w:rFonts w:hint="eastAsia" w:ascii="仿宋" w:hAnsi="仿宋" w:eastAsia="仿宋" w:cs="Times New Roman"/>
          <w:b/>
          <w:bCs/>
          <w:color w:val="000000"/>
          <w:sz w:val="32"/>
          <w:szCs w:val="32"/>
          <w:lang w:val="en-US" w:eastAsia="zh-CN"/>
        </w:rPr>
        <w:t>2101199其他行政事业单位医疗支出</w:t>
      </w:r>
      <w:r>
        <w:rPr>
          <w:rStyle w:val="17"/>
          <w:rFonts w:hint="eastAsia" w:ascii="仿宋" w:hAnsi="仿宋" w:eastAsia="仿宋" w:cs="Times New Roman"/>
          <w:b w:val="0"/>
          <w:bCs w:val="0"/>
          <w:color w:val="000000"/>
          <w:sz w:val="32"/>
          <w:szCs w:val="32"/>
          <w:lang w:val="en-US" w:eastAsia="zh-CN"/>
        </w:rPr>
        <w:t>支出1.55万元，</w:t>
      </w:r>
      <w:r>
        <w:rPr>
          <w:rStyle w:val="17"/>
          <w:rFonts w:hint="eastAsia" w:ascii="仿宋" w:hAnsi="仿宋" w:eastAsia="仿宋" w:cs="Times New Roman"/>
          <w:b w:val="0"/>
          <w:bCs/>
          <w:color w:val="000000"/>
          <w:sz w:val="32"/>
          <w:szCs w:val="32"/>
        </w:rPr>
        <w:t>完成预算</w:t>
      </w:r>
      <w:r>
        <w:rPr>
          <w:rStyle w:val="17"/>
          <w:rFonts w:ascii="仿宋" w:hAnsi="仿宋" w:eastAsia="仿宋" w:cs="Times New Roman"/>
          <w:b w:val="0"/>
          <w:bCs/>
          <w:color w:val="000000"/>
          <w:sz w:val="32"/>
          <w:szCs w:val="32"/>
        </w:rPr>
        <w:t>100%</w:t>
      </w:r>
      <w:r>
        <w:rPr>
          <w:rStyle w:val="17"/>
          <w:rFonts w:hint="eastAsia" w:ascii="仿宋" w:hAnsi="仿宋" w:eastAsia="仿宋" w:cs="Times New Roman"/>
          <w:b w:val="0"/>
          <w:bCs/>
          <w:color w:val="000000"/>
          <w:sz w:val="32"/>
          <w:szCs w:val="32"/>
          <w:lang w:val="en-US" w:eastAsia="zh-CN"/>
        </w:rPr>
        <w:t>。</w:t>
      </w:r>
    </w:p>
    <w:p>
      <w:pPr>
        <w:spacing w:line="600" w:lineRule="exact"/>
        <w:ind w:firstLine="640" w:firstLineChars="200"/>
        <w:rPr>
          <w:rFonts w:hint="default"/>
        </w:rPr>
      </w:pPr>
      <w:r>
        <w:rPr>
          <w:rStyle w:val="17"/>
          <w:rFonts w:hint="eastAsia" w:ascii="仿宋" w:hAnsi="仿宋" w:eastAsia="仿宋" w:cs="Times New Roman"/>
          <w:b w:val="0"/>
          <w:bCs w:val="0"/>
          <w:color w:val="000000"/>
          <w:sz w:val="32"/>
          <w:szCs w:val="32"/>
          <w:lang w:val="en-US" w:eastAsia="zh-CN"/>
        </w:rPr>
        <w:t>4.</w:t>
      </w:r>
      <w:r>
        <w:rPr>
          <w:rFonts w:hint="eastAsia" w:ascii="仿宋" w:hAnsi="仿宋" w:eastAsia="仿宋" w:cs="Times New Roman"/>
          <w:b/>
          <w:bCs/>
          <w:color w:val="000000" w:themeColor="text1"/>
          <w:sz w:val="32"/>
          <w:szCs w:val="32"/>
          <w14:textFill>
            <w14:solidFill>
              <w14:schemeClr w14:val="tx1"/>
            </w14:solidFill>
          </w14:textFill>
        </w:rPr>
        <w:t>住房保障</w:t>
      </w:r>
      <w:r>
        <w:rPr>
          <w:rFonts w:hint="eastAsia" w:ascii="仿宋" w:hAnsi="仿宋" w:eastAsia="仿宋" w:cs="Times New Roman"/>
          <w:b/>
          <w:bCs/>
          <w:color w:val="000000" w:themeColor="text1"/>
          <w:sz w:val="32"/>
          <w:szCs w:val="32"/>
          <w:lang w:eastAsia="zh-CN"/>
          <w14:textFill>
            <w14:solidFill>
              <w14:schemeClr w14:val="tx1"/>
            </w14:solidFill>
          </w14:textFill>
        </w:rPr>
        <w:t>（</w:t>
      </w:r>
      <w:r>
        <w:rPr>
          <w:rFonts w:hint="eastAsia" w:ascii="仿宋" w:hAnsi="仿宋" w:eastAsia="仿宋" w:cs="Times New Roman"/>
          <w:b/>
          <w:bCs/>
          <w:color w:val="000000" w:themeColor="text1"/>
          <w:sz w:val="32"/>
          <w:szCs w:val="32"/>
          <w:lang w:val="en-US" w:eastAsia="zh-CN"/>
          <w14:textFill>
            <w14:solidFill>
              <w14:schemeClr w14:val="tx1"/>
            </w14:solidFill>
          </w14:textFill>
        </w:rPr>
        <w:t>类</w:t>
      </w:r>
      <w:r>
        <w:rPr>
          <w:rFonts w:hint="eastAsia" w:ascii="仿宋" w:hAnsi="仿宋" w:eastAsia="仿宋" w:cs="Times New Roman"/>
          <w:b/>
          <w:bCs/>
          <w:color w:val="000000" w:themeColor="text1"/>
          <w:sz w:val="32"/>
          <w:szCs w:val="32"/>
          <w:lang w:eastAsia="zh-CN"/>
          <w14:textFill>
            <w14:solidFill>
              <w14:schemeClr w14:val="tx1"/>
            </w14:solidFill>
          </w14:textFill>
        </w:rPr>
        <w:t>）</w:t>
      </w:r>
      <w:r>
        <w:rPr>
          <w:rFonts w:hint="eastAsia" w:ascii="仿宋" w:hAnsi="仿宋" w:eastAsia="仿宋" w:cs="Times New Roman"/>
          <w:b/>
          <w:bCs/>
          <w:color w:val="000000" w:themeColor="text1"/>
          <w:sz w:val="32"/>
          <w:szCs w:val="32"/>
          <w:lang w:val="en-US" w:eastAsia="zh-CN"/>
          <w14:textFill>
            <w14:solidFill>
              <w14:schemeClr w14:val="tx1"/>
            </w14:solidFill>
          </w14:textFill>
        </w:rPr>
        <w:t>:</w:t>
      </w:r>
      <w:r>
        <w:rPr>
          <w:rStyle w:val="17"/>
          <w:rFonts w:hint="eastAsia" w:ascii="仿宋" w:hAnsi="仿宋" w:eastAsia="仿宋" w:cs="Times New Roman"/>
          <w:b/>
          <w:bCs/>
          <w:color w:val="000000"/>
          <w:sz w:val="32"/>
          <w:szCs w:val="32"/>
          <w:lang w:val="en-US" w:eastAsia="zh-CN"/>
        </w:rPr>
        <w:t>2210201住房公积金</w:t>
      </w:r>
      <w:r>
        <w:rPr>
          <w:rStyle w:val="17"/>
          <w:rFonts w:hint="eastAsia" w:ascii="仿宋" w:hAnsi="仿宋" w:eastAsia="仿宋" w:cs="Times New Roman"/>
          <w:b w:val="0"/>
          <w:bCs w:val="0"/>
          <w:color w:val="000000"/>
          <w:sz w:val="32"/>
          <w:szCs w:val="32"/>
          <w:lang w:val="en-US" w:eastAsia="zh-CN"/>
        </w:rPr>
        <w:t>支出52.89万元，</w:t>
      </w:r>
      <w:r>
        <w:rPr>
          <w:rStyle w:val="17"/>
          <w:rFonts w:hint="eastAsia" w:ascii="仿宋" w:hAnsi="仿宋" w:eastAsia="仿宋" w:cs="Times New Roman"/>
          <w:b w:val="0"/>
          <w:bCs/>
          <w:color w:val="000000"/>
          <w:sz w:val="32"/>
          <w:szCs w:val="32"/>
        </w:rPr>
        <w:t>完成预算</w:t>
      </w:r>
      <w:r>
        <w:rPr>
          <w:rStyle w:val="17"/>
          <w:rFonts w:ascii="仿宋" w:hAnsi="仿宋" w:eastAsia="仿宋" w:cs="Times New Roman"/>
          <w:b w:val="0"/>
          <w:bCs/>
          <w:color w:val="000000"/>
          <w:sz w:val="32"/>
          <w:szCs w:val="32"/>
        </w:rPr>
        <w:t>100%</w:t>
      </w:r>
      <w:r>
        <w:rPr>
          <w:rStyle w:val="17"/>
          <w:rFonts w:hint="eastAsia" w:ascii="仿宋" w:hAnsi="仿宋" w:eastAsia="仿宋" w:cs="Times New Roman"/>
          <w:b w:val="0"/>
          <w:bCs/>
          <w:color w:val="000000"/>
          <w:sz w:val="32"/>
          <w:szCs w:val="32"/>
          <w:lang w:eastAsia="zh-CN"/>
        </w:rPr>
        <w:t>。</w:t>
      </w:r>
      <w:bookmarkStart w:id="80" w:name="_GoBack"/>
      <w:bookmarkEnd w:id="80"/>
    </w:p>
    <w:p>
      <w:pPr>
        <w:tabs>
          <w:tab w:val="right" w:pos="8306"/>
        </w:tabs>
        <w:spacing w:line="600" w:lineRule="exact"/>
        <w:ind w:firstLine="640"/>
        <w:outlineLvl w:val="1"/>
        <w:rPr>
          <w:rStyle w:val="29"/>
          <w:rFonts w:hint="default" w:ascii="Times New Roman" w:hAnsi="Times New Roman" w:cs="Times New Roman"/>
        </w:rPr>
      </w:pPr>
      <w:bookmarkStart w:id="43" w:name="_Toc15396608"/>
      <w:bookmarkStart w:id="44" w:name="_Toc1998790999"/>
      <w:bookmarkStart w:id="45" w:name="_Toc15377214"/>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29"/>
          <w:rFonts w:hint="default" w:ascii="Times New Roman" w:hAnsi="Times New Roman" w:eastAsia="黑体" w:cs="Times New Roman"/>
          <w:b w:val="0"/>
        </w:rPr>
        <w:t>般公共预算财政拨款基本支出决算情况说明</w:t>
      </w:r>
      <w:bookmarkEnd w:id="43"/>
      <w:bookmarkEnd w:id="44"/>
      <w:bookmarkEnd w:id="45"/>
      <w:r>
        <w:rPr>
          <w:rStyle w:val="29"/>
          <w:rFonts w:hint="default" w:ascii="Times New Roman" w:hAnsi="Times New Roman" w:eastAsia="黑体" w:cs="Times New Roman"/>
          <w:b w:val="0"/>
        </w:rPr>
        <w:tab/>
      </w:r>
    </w:p>
    <w:p>
      <w:pPr>
        <w:spacing w:line="600" w:lineRule="exact"/>
        <w:ind w:firstLine="645"/>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2023年度一般公共预算财政拨款基本支出</w:t>
      </w:r>
      <w:r>
        <w:rPr>
          <w:rFonts w:hint="default" w:ascii="Times New Roman" w:hAnsi="Times New Roman" w:cs="Times New Roman"/>
          <w:sz w:val="32"/>
          <w:szCs w:val="32"/>
        </w:rPr>
        <w:t>822.39</w:t>
      </w:r>
      <w:r>
        <w:rPr>
          <w:rFonts w:hint="default" w:ascii="Times New Roman" w:hAnsi="Times New Roman" w:eastAsia="仿宋" w:cs="Times New Roman"/>
          <w:sz w:val="32"/>
          <w:szCs w:val="32"/>
        </w:rPr>
        <w:t>万元，其中：</w:t>
      </w:r>
    </w:p>
    <w:p>
      <w:pPr>
        <w:spacing w:line="600" w:lineRule="exact"/>
        <w:ind w:firstLine="645"/>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人员经费</w:t>
      </w:r>
      <w:r>
        <w:rPr>
          <w:rFonts w:hint="default" w:ascii="Times New Roman" w:hAnsi="Times New Roman" w:cs="Times New Roman"/>
          <w:sz w:val="32"/>
          <w:szCs w:val="32"/>
        </w:rPr>
        <w:t>773.36</w:t>
      </w:r>
      <w:r>
        <w:rPr>
          <w:rFonts w:hint="default" w:ascii="Times New Roman" w:hAnsi="Times New Roman" w:eastAsia="仿宋" w:cs="Times New Roman"/>
          <w:sz w:val="32"/>
          <w:szCs w:val="32"/>
        </w:rPr>
        <w:t>万元，主要包括：基本工资</w:t>
      </w:r>
      <w:r>
        <w:rPr>
          <w:rFonts w:hint="eastAsia" w:eastAsia="仿宋" w:cs="Times New Roman"/>
          <w:sz w:val="32"/>
          <w:szCs w:val="32"/>
          <w:lang w:val="en-US" w:eastAsia="zh-CN"/>
        </w:rPr>
        <w:t>128.25万元</w:t>
      </w:r>
      <w:r>
        <w:rPr>
          <w:rFonts w:hint="default" w:ascii="Times New Roman" w:hAnsi="Times New Roman" w:eastAsia="仿宋" w:cs="Times New Roman"/>
          <w:sz w:val="32"/>
          <w:szCs w:val="32"/>
        </w:rPr>
        <w:t>、津贴补贴</w:t>
      </w:r>
      <w:r>
        <w:rPr>
          <w:rFonts w:hint="eastAsia" w:eastAsia="仿宋" w:cs="Times New Roman"/>
          <w:sz w:val="32"/>
          <w:szCs w:val="32"/>
          <w:lang w:val="en-US" w:eastAsia="zh-CN"/>
        </w:rPr>
        <w:t>203.41万元</w:t>
      </w:r>
      <w:r>
        <w:rPr>
          <w:rFonts w:hint="default" w:ascii="Times New Roman" w:hAnsi="Times New Roman" w:eastAsia="仿宋" w:cs="Times New Roman"/>
          <w:sz w:val="32"/>
          <w:szCs w:val="32"/>
        </w:rPr>
        <w:t>、奖金</w:t>
      </w:r>
      <w:r>
        <w:rPr>
          <w:rFonts w:hint="eastAsia" w:eastAsia="仿宋" w:cs="Times New Roman"/>
          <w:sz w:val="32"/>
          <w:szCs w:val="32"/>
          <w:lang w:val="en-US" w:eastAsia="zh-CN"/>
        </w:rPr>
        <w:t>205.17</w:t>
      </w:r>
      <w:r>
        <w:rPr>
          <w:rFonts w:hint="default" w:ascii="Times New Roman" w:hAnsi="Times New Roman" w:eastAsia="仿宋" w:cs="Times New Roman"/>
          <w:sz w:val="32"/>
          <w:szCs w:val="32"/>
        </w:rPr>
        <w:t>万元、伙食补助费、绩效工资</w:t>
      </w:r>
      <w:r>
        <w:rPr>
          <w:rFonts w:hint="eastAsia" w:eastAsia="仿宋" w:cs="Times New Roman"/>
          <w:sz w:val="32"/>
          <w:szCs w:val="32"/>
          <w:lang w:val="en-US" w:eastAsia="zh-CN"/>
        </w:rPr>
        <w:t>14.41</w:t>
      </w:r>
      <w:r>
        <w:rPr>
          <w:rFonts w:hint="default" w:ascii="Times New Roman" w:hAnsi="Times New Roman" w:eastAsia="仿宋" w:cs="Times New Roman"/>
          <w:sz w:val="32"/>
          <w:szCs w:val="32"/>
        </w:rPr>
        <w:t>万元、机关事业单位基本养老保险缴费</w:t>
      </w:r>
      <w:r>
        <w:rPr>
          <w:rFonts w:hint="eastAsia" w:eastAsia="仿宋" w:cs="Times New Roman"/>
          <w:sz w:val="32"/>
          <w:szCs w:val="32"/>
          <w:lang w:val="en-US" w:eastAsia="zh-CN"/>
        </w:rPr>
        <w:t>69.23</w:t>
      </w:r>
      <w:r>
        <w:rPr>
          <w:rFonts w:hint="default" w:ascii="Times New Roman" w:hAnsi="Times New Roman" w:eastAsia="仿宋" w:cs="Times New Roman"/>
          <w:sz w:val="32"/>
          <w:szCs w:val="32"/>
        </w:rPr>
        <w:t>万元、职业年金缴费</w:t>
      </w:r>
      <w:r>
        <w:rPr>
          <w:rFonts w:hint="eastAsia" w:eastAsia="仿宋" w:cs="Times New Roman"/>
          <w:sz w:val="32"/>
          <w:szCs w:val="32"/>
          <w:lang w:val="en-US" w:eastAsia="zh-CN"/>
        </w:rPr>
        <w:t>34.62</w:t>
      </w:r>
      <w:r>
        <w:rPr>
          <w:rFonts w:hint="default" w:ascii="Times New Roman" w:hAnsi="Times New Roman" w:eastAsia="仿宋" w:cs="Times New Roman"/>
          <w:sz w:val="32"/>
          <w:szCs w:val="32"/>
        </w:rPr>
        <w:t>万元、职工基本医疗保险缴费</w:t>
      </w:r>
      <w:r>
        <w:rPr>
          <w:rFonts w:hint="eastAsia" w:eastAsia="仿宋" w:cs="Times New Roman"/>
          <w:sz w:val="32"/>
          <w:szCs w:val="32"/>
          <w:lang w:val="en-US" w:eastAsia="zh-CN"/>
        </w:rPr>
        <w:t>41.03</w:t>
      </w:r>
      <w:r>
        <w:rPr>
          <w:rFonts w:hint="default" w:ascii="Times New Roman" w:hAnsi="Times New Roman" w:eastAsia="仿宋" w:cs="Times New Roman"/>
          <w:sz w:val="32"/>
          <w:szCs w:val="32"/>
        </w:rPr>
        <w:t>万元</w:t>
      </w:r>
      <w:r>
        <w:rPr>
          <w:rFonts w:hint="eastAsia" w:eastAsia="仿宋" w:cs="Times New Roman"/>
          <w:sz w:val="32"/>
          <w:szCs w:val="32"/>
          <w:lang w:eastAsia="zh-CN"/>
        </w:rPr>
        <w:t>、公务员医疗补助缴费</w:t>
      </w:r>
      <w:r>
        <w:rPr>
          <w:rFonts w:hint="eastAsia" w:eastAsia="仿宋" w:cs="Times New Roman"/>
          <w:sz w:val="32"/>
          <w:szCs w:val="32"/>
          <w:lang w:val="en-US" w:eastAsia="zh-CN"/>
        </w:rPr>
        <w:t>9.75</w:t>
      </w:r>
      <w:r>
        <w:rPr>
          <w:rFonts w:hint="default" w:ascii="Times New Roman" w:hAnsi="Times New Roman" w:eastAsia="仿宋" w:cs="Times New Roman"/>
          <w:sz w:val="32"/>
          <w:szCs w:val="32"/>
        </w:rPr>
        <w:t>万元</w:t>
      </w:r>
      <w:r>
        <w:rPr>
          <w:rFonts w:hint="eastAsia" w:eastAsia="仿宋" w:cs="Times New Roman"/>
          <w:sz w:val="32"/>
          <w:szCs w:val="32"/>
          <w:lang w:eastAsia="zh-CN"/>
        </w:rPr>
        <w:t>、</w:t>
      </w:r>
      <w:r>
        <w:rPr>
          <w:rFonts w:hint="default" w:ascii="Times New Roman" w:hAnsi="Times New Roman" w:eastAsia="仿宋" w:cs="Times New Roman"/>
          <w:sz w:val="32"/>
          <w:szCs w:val="32"/>
        </w:rPr>
        <w:t>其他社会保障缴费</w:t>
      </w:r>
      <w:r>
        <w:rPr>
          <w:rFonts w:hint="eastAsia" w:eastAsia="仿宋" w:cs="Times New Roman"/>
          <w:sz w:val="32"/>
          <w:szCs w:val="32"/>
          <w:lang w:val="en-US" w:eastAsia="zh-CN"/>
        </w:rPr>
        <w:t>6.92</w:t>
      </w:r>
      <w:r>
        <w:rPr>
          <w:rFonts w:hint="default" w:ascii="Times New Roman" w:hAnsi="Times New Roman" w:eastAsia="仿宋" w:cs="Times New Roman"/>
          <w:sz w:val="32"/>
          <w:szCs w:val="32"/>
        </w:rPr>
        <w:t>万元、生活补助</w:t>
      </w:r>
      <w:r>
        <w:rPr>
          <w:rFonts w:hint="eastAsia" w:eastAsia="仿宋" w:cs="Times New Roman"/>
          <w:sz w:val="32"/>
          <w:szCs w:val="32"/>
          <w:lang w:val="en-US" w:eastAsia="zh-CN"/>
        </w:rPr>
        <w:t>6.78</w:t>
      </w:r>
      <w:r>
        <w:rPr>
          <w:rFonts w:hint="default" w:ascii="Times New Roman" w:hAnsi="Times New Roman" w:eastAsia="仿宋" w:cs="Times New Roman"/>
          <w:sz w:val="32"/>
          <w:szCs w:val="32"/>
        </w:rPr>
        <w:t>万元、奖励金</w:t>
      </w:r>
      <w:r>
        <w:rPr>
          <w:rFonts w:hint="eastAsia" w:eastAsia="仿宋" w:cs="Times New Roman"/>
          <w:sz w:val="32"/>
          <w:szCs w:val="32"/>
          <w:lang w:val="en-US" w:eastAsia="zh-CN"/>
        </w:rPr>
        <w:t>0.01</w:t>
      </w:r>
      <w:r>
        <w:rPr>
          <w:rFonts w:hint="default" w:ascii="Times New Roman" w:hAnsi="Times New Roman" w:eastAsia="仿宋" w:cs="Times New Roman"/>
          <w:sz w:val="32"/>
          <w:szCs w:val="32"/>
        </w:rPr>
        <w:t>万元、住房公积金</w:t>
      </w:r>
      <w:r>
        <w:rPr>
          <w:rFonts w:hint="eastAsia" w:eastAsia="仿宋" w:cs="Times New Roman"/>
          <w:sz w:val="32"/>
          <w:szCs w:val="32"/>
          <w:lang w:val="en-US" w:eastAsia="zh-CN"/>
        </w:rPr>
        <w:t>52.89</w:t>
      </w:r>
      <w:r>
        <w:rPr>
          <w:rFonts w:hint="default" w:ascii="Times New Roman" w:hAnsi="Times New Roman" w:eastAsia="仿宋" w:cs="Times New Roman"/>
          <w:sz w:val="32"/>
          <w:szCs w:val="32"/>
        </w:rPr>
        <w:t>万元、医疗费</w:t>
      </w:r>
      <w:r>
        <w:rPr>
          <w:rFonts w:hint="eastAsia" w:eastAsia="仿宋" w:cs="Times New Roman"/>
          <w:sz w:val="32"/>
          <w:szCs w:val="32"/>
          <w:lang w:val="en-US" w:eastAsia="zh-CN"/>
        </w:rPr>
        <w:t>0.78</w:t>
      </w:r>
      <w:r>
        <w:rPr>
          <w:rFonts w:hint="default" w:ascii="Times New Roman" w:hAnsi="Times New Roman" w:eastAsia="仿宋" w:cs="Times New Roman"/>
          <w:sz w:val="32"/>
          <w:szCs w:val="32"/>
        </w:rPr>
        <w:t>万元、医疗</w:t>
      </w:r>
      <w:r>
        <w:rPr>
          <w:rFonts w:hint="eastAsia" w:ascii="Times New Roman" w:hAnsi="Times New Roman" w:eastAsia="仿宋" w:cs="Times New Roman"/>
          <w:sz w:val="32"/>
          <w:szCs w:val="32"/>
          <w:lang w:eastAsia="zh-CN"/>
        </w:rPr>
        <w:t>费补助</w:t>
      </w:r>
      <w:r>
        <w:rPr>
          <w:rFonts w:hint="eastAsia" w:ascii="Times New Roman" w:hAnsi="Times New Roman" w:eastAsia="仿宋" w:cs="Times New Roman"/>
          <w:sz w:val="32"/>
          <w:szCs w:val="32"/>
          <w:lang w:val="en-US" w:eastAsia="zh-CN"/>
        </w:rPr>
        <w:t>0.12</w:t>
      </w:r>
      <w:r>
        <w:rPr>
          <w:rFonts w:hint="default" w:ascii="Times New Roman" w:hAnsi="Times New Roman" w:eastAsia="仿宋" w:cs="Times New Roman"/>
          <w:sz w:val="32"/>
          <w:szCs w:val="32"/>
        </w:rPr>
        <w:t>万元等。</w:t>
      </w:r>
    </w:p>
    <w:p>
      <w:pPr>
        <w:spacing w:line="600" w:lineRule="exact"/>
        <w:ind w:firstLine="645"/>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公用经费</w:t>
      </w:r>
      <w:r>
        <w:rPr>
          <w:rFonts w:hint="default" w:ascii="Times New Roman" w:hAnsi="Times New Roman" w:cs="Times New Roman"/>
          <w:sz w:val="32"/>
          <w:szCs w:val="32"/>
        </w:rPr>
        <w:t>49.03</w:t>
      </w:r>
      <w:r>
        <w:rPr>
          <w:rFonts w:hint="default" w:ascii="Times New Roman" w:hAnsi="Times New Roman" w:eastAsia="仿宋" w:cs="Times New Roman"/>
          <w:sz w:val="32"/>
          <w:szCs w:val="32"/>
        </w:rPr>
        <w:t>万元，主要包括：办公费</w:t>
      </w:r>
      <w:r>
        <w:rPr>
          <w:rFonts w:hint="eastAsia" w:eastAsia="仿宋" w:cs="Times New Roman"/>
          <w:sz w:val="32"/>
          <w:szCs w:val="32"/>
          <w:lang w:val="en-US" w:eastAsia="zh-CN"/>
        </w:rPr>
        <w:t>20.12</w:t>
      </w:r>
      <w:r>
        <w:rPr>
          <w:rFonts w:hint="default" w:ascii="Times New Roman" w:hAnsi="Times New Roman" w:eastAsia="仿宋" w:cs="Times New Roman"/>
          <w:sz w:val="32"/>
          <w:szCs w:val="32"/>
        </w:rPr>
        <w:t>万元、印刷费</w:t>
      </w:r>
      <w:r>
        <w:rPr>
          <w:rFonts w:hint="eastAsia" w:eastAsia="仿宋" w:cs="Times New Roman"/>
          <w:sz w:val="32"/>
          <w:szCs w:val="32"/>
          <w:lang w:val="en-US" w:eastAsia="zh-CN"/>
        </w:rPr>
        <w:t>1.48</w:t>
      </w:r>
      <w:r>
        <w:rPr>
          <w:rFonts w:hint="default" w:ascii="Times New Roman" w:hAnsi="Times New Roman" w:eastAsia="仿宋" w:cs="Times New Roman"/>
          <w:sz w:val="32"/>
          <w:szCs w:val="32"/>
        </w:rPr>
        <w:t>万元、手续费</w:t>
      </w:r>
      <w:r>
        <w:rPr>
          <w:rFonts w:hint="eastAsia" w:eastAsia="仿宋" w:cs="Times New Roman"/>
          <w:sz w:val="32"/>
          <w:szCs w:val="32"/>
          <w:lang w:val="en-US" w:eastAsia="zh-CN"/>
        </w:rPr>
        <w:t>0.04</w:t>
      </w:r>
      <w:r>
        <w:rPr>
          <w:rFonts w:hint="default" w:ascii="Times New Roman" w:hAnsi="Times New Roman" w:eastAsia="仿宋" w:cs="Times New Roman"/>
          <w:sz w:val="32"/>
          <w:szCs w:val="32"/>
        </w:rPr>
        <w:t>万元、水费</w:t>
      </w:r>
      <w:r>
        <w:rPr>
          <w:rFonts w:hint="eastAsia" w:eastAsia="仿宋" w:cs="Times New Roman"/>
          <w:sz w:val="32"/>
          <w:szCs w:val="32"/>
          <w:lang w:val="en-US" w:eastAsia="zh-CN"/>
        </w:rPr>
        <w:t>0.8</w:t>
      </w:r>
      <w:r>
        <w:rPr>
          <w:rFonts w:hint="default" w:ascii="Times New Roman" w:hAnsi="Times New Roman" w:eastAsia="仿宋" w:cs="Times New Roman"/>
          <w:sz w:val="32"/>
          <w:szCs w:val="32"/>
        </w:rPr>
        <w:t>万元、电费</w:t>
      </w:r>
      <w:r>
        <w:rPr>
          <w:rFonts w:hint="eastAsia" w:eastAsia="仿宋" w:cs="Times New Roman"/>
          <w:sz w:val="32"/>
          <w:szCs w:val="32"/>
          <w:lang w:val="en-US" w:eastAsia="zh-CN"/>
        </w:rPr>
        <w:t>0.54</w:t>
      </w:r>
      <w:r>
        <w:rPr>
          <w:rFonts w:hint="default" w:ascii="Times New Roman" w:hAnsi="Times New Roman" w:eastAsia="仿宋" w:cs="Times New Roman"/>
          <w:sz w:val="32"/>
          <w:szCs w:val="32"/>
        </w:rPr>
        <w:t>万元、邮电费</w:t>
      </w:r>
      <w:r>
        <w:rPr>
          <w:rFonts w:hint="eastAsia" w:eastAsia="仿宋" w:cs="Times New Roman"/>
          <w:sz w:val="32"/>
          <w:szCs w:val="32"/>
          <w:lang w:val="en-US" w:eastAsia="zh-CN"/>
        </w:rPr>
        <w:t>0.64</w:t>
      </w:r>
      <w:r>
        <w:rPr>
          <w:rFonts w:hint="default" w:ascii="Times New Roman" w:hAnsi="Times New Roman" w:eastAsia="仿宋" w:cs="Times New Roman"/>
          <w:sz w:val="32"/>
          <w:szCs w:val="32"/>
        </w:rPr>
        <w:t>万元、取暖费</w:t>
      </w:r>
      <w:r>
        <w:rPr>
          <w:rFonts w:hint="eastAsia" w:eastAsia="仿宋" w:cs="Times New Roman"/>
          <w:sz w:val="32"/>
          <w:szCs w:val="32"/>
          <w:lang w:val="en-US" w:eastAsia="zh-CN"/>
        </w:rPr>
        <w:t>1.07</w:t>
      </w:r>
      <w:r>
        <w:rPr>
          <w:rFonts w:hint="default" w:ascii="Times New Roman" w:hAnsi="Times New Roman" w:eastAsia="仿宋" w:cs="Times New Roman"/>
          <w:sz w:val="32"/>
          <w:szCs w:val="32"/>
        </w:rPr>
        <w:t>万元、差旅费</w:t>
      </w:r>
      <w:r>
        <w:rPr>
          <w:rFonts w:hint="eastAsia" w:eastAsia="仿宋" w:cs="Times New Roman"/>
          <w:sz w:val="32"/>
          <w:szCs w:val="32"/>
          <w:lang w:val="en-US" w:eastAsia="zh-CN"/>
        </w:rPr>
        <w:t>11.2</w:t>
      </w:r>
      <w:r>
        <w:rPr>
          <w:rFonts w:hint="default" w:ascii="Times New Roman" w:hAnsi="Times New Roman" w:eastAsia="仿宋" w:cs="Times New Roman"/>
          <w:sz w:val="32"/>
          <w:szCs w:val="32"/>
        </w:rPr>
        <w:t>万元、维修（护）费</w:t>
      </w:r>
      <w:r>
        <w:rPr>
          <w:rFonts w:hint="eastAsia" w:eastAsia="仿宋" w:cs="Times New Roman"/>
          <w:sz w:val="32"/>
          <w:szCs w:val="32"/>
          <w:lang w:val="en-US" w:eastAsia="zh-CN"/>
        </w:rPr>
        <w:t>2</w:t>
      </w:r>
      <w:r>
        <w:rPr>
          <w:rFonts w:hint="default" w:ascii="Times New Roman" w:hAnsi="Times New Roman" w:eastAsia="仿宋" w:cs="Times New Roman"/>
          <w:sz w:val="32"/>
          <w:szCs w:val="32"/>
        </w:rPr>
        <w:t>万元、培训费</w:t>
      </w:r>
      <w:r>
        <w:rPr>
          <w:rFonts w:hint="eastAsia" w:eastAsia="仿宋" w:cs="Times New Roman"/>
          <w:sz w:val="32"/>
          <w:szCs w:val="32"/>
          <w:lang w:val="en-US" w:eastAsia="zh-CN"/>
        </w:rPr>
        <w:t>0.22</w:t>
      </w:r>
      <w:r>
        <w:rPr>
          <w:rFonts w:hint="default" w:ascii="Times New Roman" w:hAnsi="Times New Roman" w:eastAsia="仿宋" w:cs="Times New Roman"/>
          <w:sz w:val="32"/>
          <w:szCs w:val="32"/>
        </w:rPr>
        <w:t>万元、公务接待费</w:t>
      </w:r>
      <w:r>
        <w:rPr>
          <w:rFonts w:hint="eastAsia" w:eastAsia="仿宋" w:cs="Times New Roman"/>
          <w:sz w:val="32"/>
          <w:szCs w:val="32"/>
          <w:lang w:val="en-US" w:eastAsia="zh-CN"/>
        </w:rPr>
        <w:t>0.15</w:t>
      </w:r>
      <w:r>
        <w:rPr>
          <w:rFonts w:hint="default" w:ascii="Times New Roman" w:hAnsi="Times New Roman" w:eastAsia="仿宋" w:cs="Times New Roman"/>
          <w:sz w:val="32"/>
          <w:szCs w:val="32"/>
        </w:rPr>
        <w:t>万元、工会经费</w:t>
      </w:r>
      <w:r>
        <w:rPr>
          <w:rFonts w:hint="eastAsia" w:eastAsia="仿宋" w:cs="Times New Roman"/>
          <w:sz w:val="32"/>
          <w:szCs w:val="32"/>
          <w:lang w:val="en-US" w:eastAsia="zh-CN"/>
        </w:rPr>
        <w:t>4.96</w:t>
      </w:r>
      <w:r>
        <w:rPr>
          <w:rFonts w:hint="default" w:ascii="Times New Roman" w:hAnsi="Times New Roman" w:eastAsia="仿宋" w:cs="Times New Roman"/>
          <w:sz w:val="32"/>
          <w:szCs w:val="32"/>
        </w:rPr>
        <w:t>万元、公务用车运行维护费</w:t>
      </w:r>
      <w:r>
        <w:rPr>
          <w:rFonts w:hint="eastAsia" w:eastAsia="仿宋" w:cs="Times New Roman"/>
          <w:sz w:val="32"/>
          <w:szCs w:val="32"/>
          <w:lang w:val="en-US" w:eastAsia="zh-CN"/>
        </w:rPr>
        <w:t>5.8</w:t>
      </w:r>
      <w:r>
        <w:rPr>
          <w:rFonts w:hint="default" w:ascii="Times New Roman" w:hAnsi="Times New Roman" w:eastAsia="仿宋" w:cs="Times New Roman"/>
          <w:sz w:val="32"/>
          <w:szCs w:val="32"/>
        </w:rPr>
        <w:t>万元等。</w:t>
      </w:r>
    </w:p>
    <w:p>
      <w:pPr>
        <w:spacing w:line="600" w:lineRule="exact"/>
        <w:ind w:firstLine="640"/>
        <w:rPr>
          <w:rFonts w:hint="default" w:ascii="Times New Roman" w:hAnsi="Times New Roman" w:eastAsia="仿宋" w:cs="Times New Roman"/>
          <w:b/>
          <w:sz w:val="32"/>
          <w:szCs w:val="32"/>
        </w:rPr>
      </w:pPr>
    </w:p>
    <w:p>
      <w:pPr>
        <w:spacing w:line="600" w:lineRule="exact"/>
        <w:ind w:firstLine="640"/>
        <w:outlineLvl w:val="1"/>
        <w:rPr>
          <w:rStyle w:val="29"/>
          <w:rFonts w:hint="default" w:ascii="Times New Roman" w:hAnsi="Times New Roman" w:eastAsia="黑体" w:cs="Times New Roman"/>
          <w:b w:val="0"/>
        </w:rPr>
      </w:pPr>
      <w:bookmarkStart w:id="46" w:name="_Toc15396609"/>
      <w:bookmarkStart w:id="47" w:name="_Toc15377215"/>
      <w:bookmarkStart w:id="48" w:name="_Toc189959058"/>
      <w:r>
        <w:rPr>
          <w:rFonts w:hint="default" w:ascii="Times New Roman" w:hAnsi="Times New Roman" w:eastAsia="黑体" w:cs="Times New Roman"/>
          <w:sz w:val="32"/>
          <w:szCs w:val="32"/>
        </w:rPr>
        <w:t>七、</w:t>
      </w:r>
      <w:r>
        <w:rPr>
          <w:rStyle w:val="29"/>
          <w:rFonts w:hint="default" w:ascii="Times New Roman" w:hAnsi="Times New Roman" w:eastAsia="黑体" w:cs="Times New Roman"/>
          <w:b w:val="0"/>
        </w:rPr>
        <w:t>财政拨款</w:t>
      </w:r>
      <w:r>
        <w:rPr>
          <w:rStyle w:val="29"/>
          <w:rFonts w:hint="default" w:ascii="Times New Roman" w:hAnsi="Times New Roman" w:eastAsia="黑体" w:cs="Times New Roman"/>
        </w:rPr>
        <w:t>“</w:t>
      </w:r>
      <w:r>
        <w:rPr>
          <w:rStyle w:val="29"/>
          <w:rFonts w:hint="default" w:ascii="Times New Roman" w:hAnsi="Times New Roman" w:eastAsia="黑体" w:cs="Times New Roman"/>
          <w:b w:val="0"/>
        </w:rPr>
        <w:t>三公”经费支出决算情况说明</w:t>
      </w:r>
      <w:bookmarkEnd w:id="46"/>
      <w:bookmarkEnd w:id="47"/>
      <w:bookmarkEnd w:id="48"/>
    </w:p>
    <w:p>
      <w:pPr>
        <w:spacing w:line="600" w:lineRule="exact"/>
        <w:ind w:firstLine="640"/>
        <w:outlineLvl w:val="2"/>
        <w:rPr>
          <w:rFonts w:hint="default" w:ascii="Times New Roman" w:hAnsi="Times New Roman" w:eastAsia="仿宋" w:cs="Times New Roman"/>
          <w:b/>
          <w:sz w:val="32"/>
          <w:szCs w:val="32"/>
        </w:rPr>
      </w:pPr>
      <w:bookmarkStart w:id="49" w:name="_Toc15377216"/>
      <w:r>
        <w:rPr>
          <w:rFonts w:hint="default" w:ascii="Times New Roman" w:hAnsi="Times New Roman" w:eastAsia="仿宋" w:cs="Times New Roman"/>
          <w:b/>
          <w:sz w:val="32"/>
          <w:szCs w:val="32"/>
        </w:rPr>
        <w:t>（一）“三公”经费财政拨款支出决算总体情况说明</w:t>
      </w:r>
      <w:bookmarkEnd w:id="49"/>
    </w:p>
    <w:p>
      <w:pPr>
        <w:spacing w:line="600" w:lineRule="exact"/>
        <w:ind w:firstLine="640"/>
        <w:rPr>
          <w:rFonts w:hint="default" w:ascii="Times New Roman" w:hAnsi="Times New Roman" w:eastAsia="仿宋" w:cs="Times New Roman"/>
          <w:b/>
          <w:sz w:val="32"/>
          <w:szCs w:val="32"/>
        </w:rPr>
      </w:pPr>
      <w:r>
        <w:rPr>
          <w:rFonts w:hint="default" w:ascii="Times New Roman" w:hAnsi="Times New Roman" w:eastAsia="仿宋" w:cs="Times New Roman"/>
          <w:sz w:val="32"/>
          <w:szCs w:val="32"/>
        </w:rPr>
        <w:t>2023年度“三公”经费财政拨款支出决算为</w:t>
      </w:r>
      <w:r>
        <w:rPr>
          <w:rFonts w:hint="default" w:ascii="Times New Roman" w:hAnsi="Times New Roman" w:cs="Times New Roman"/>
          <w:sz w:val="32"/>
          <w:szCs w:val="32"/>
        </w:rPr>
        <w:t>14.95</w:t>
      </w:r>
      <w:r>
        <w:rPr>
          <w:rFonts w:hint="default" w:ascii="Times New Roman" w:hAnsi="Times New Roman" w:eastAsia="仿宋" w:cs="Times New Roman"/>
          <w:sz w:val="32"/>
          <w:szCs w:val="32"/>
        </w:rPr>
        <w:t>万元，完成预算</w:t>
      </w:r>
      <w:r>
        <w:rPr>
          <w:rFonts w:hint="default" w:ascii="Times New Roman" w:hAnsi="Times New Roman" w:cs="Times New Roman"/>
          <w:sz w:val="32"/>
          <w:szCs w:val="32"/>
        </w:rPr>
        <w:t>100</w:t>
      </w:r>
      <w:r>
        <w:rPr>
          <w:rFonts w:hint="default" w:ascii="Times New Roman" w:hAnsi="Times New Roman" w:eastAsia="仿宋" w:cs="Times New Roman"/>
          <w:sz w:val="32"/>
          <w:szCs w:val="32"/>
        </w:rPr>
        <w:t>%，较上年度增加</w:t>
      </w:r>
      <w:r>
        <w:rPr>
          <w:rFonts w:hint="eastAsia" w:eastAsia="仿宋" w:cs="Times New Roman"/>
          <w:sz w:val="32"/>
          <w:szCs w:val="32"/>
          <w:lang w:val="en-US" w:eastAsia="zh-CN"/>
        </w:rPr>
        <w:t>2.43</w:t>
      </w:r>
      <w:r>
        <w:rPr>
          <w:rFonts w:hint="default" w:ascii="Times New Roman" w:hAnsi="Times New Roman" w:eastAsia="仿宋" w:cs="Times New Roman"/>
          <w:sz w:val="32"/>
          <w:szCs w:val="32"/>
        </w:rPr>
        <w:t>万元，增长</w:t>
      </w:r>
      <w:r>
        <w:rPr>
          <w:rFonts w:hint="eastAsia" w:eastAsia="仿宋" w:cs="Times New Roman"/>
          <w:sz w:val="32"/>
          <w:szCs w:val="32"/>
          <w:lang w:val="en-US" w:eastAsia="zh-CN"/>
        </w:rPr>
        <w:t>19.41</w:t>
      </w:r>
      <w:r>
        <w:rPr>
          <w:rFonts w:hint="default" w:ascii="Times New Roman" w:hAnsi="Times New Roman" w:eastAsia="仿宋" w:cs="Times New Roman"/>
          <w:sz w:val="32"/>
          <w:szCs w:val="32"/>
        </w:rPr>
        <w:t>%。</w:t>
      </w:r>
      <w:r>
        <w:rPr>
          <w:rFonts w:hint="eastAsia" w:ascii="仿宋" w:eastAsia="仿宋"/>
          <w:sz w:val="32"/>
          <w:szCs w:val="32"/>
        </w:rPr>
        <w:t>决算数与预算数持平。</w:t>
      </w:r>
    </w:p>
    <w:p>
      <w:pPr>
        <w:spacing w:line="600" w:lineRule="exact"/>
        <w:ind w:firstLine="640"/>
        <w:outlineLvl w:val="2"/>
        <w:rPr>
          <w:rFonts w:hint="default" w:ascii="Times New Roman" w:hAnsi="Times New Roman" w:eastAsia="仿宋" w:cs="Times New Roman"/>
          <w:b/>
          <w:sz w:val="32"/>
          <w:szCs w:val="32"/>
        </w:rPr>
      </w:pPr>
      <w:bookmarkStart w:id="50" w:name="_Toc15377217"/>
      <w:r>
        <w:rPr>
          <w:rFonts w:hint="default" w:ascii="Times New Roman" w:hAnsi="Times New Roman" w:eastAsia="仿宋" w:cs="Times New Roman"/>
          <w:b/>
          <w:sz w:val="32"/>
          <w:szCs w:val="32"/>
        </w:rPr>
        <w:t>（二）“三公”经费财政拨款支出决算具体情况说明</w:t>
      </w:r>
      <w:bookmarkEnd w:id="50"/>
    </w:p>
    <w:p>
      <w:pPr>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2023年度“三公”经费财政拨款支出决算中，因公出国（境）费支出决算</w:t>
      </w:r>
      <w:r>
        <w:rPr>
          <w:rFonts w:hint="default" w:ascii="Times New Roman" w:hAnsi="Times New Roman" w:cs="Times New Roman"/>
          <w:sz w:val="32"/>
          <w:szCs w:val="32"/>
        </w:rPr>
        <w:t>0</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0</w:t>
      </w:r>
      <w:r>
        <w:rPr>
          <w:rFonts w:hint="default" w:ascii="Times New Roman" w:hAnsi="Times New Roman" w:eastAsia="仿宋" w:cs="Times New Roman"/>
          <w:sz w:val="32"/>
          <w:szCs w:val="32"/>
        </w:rPr>
        <w:t>%；公务用车购置及运行维护费支出决算</w:t>
      </w:r>
      <w:r>
        <w:rPr>
          <w:rFonts w:hint="default" w:ascii="Times New Roman" w:hAnsi="Times New Roman" w:cs="Times New Roman"/>
          <w:sz w:val="32"/>
          <w:szCs w:val="32"/>
        </w:rPr>
        <w:t>14.8</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98.99</w:t>
      </w:r>
      <w:r>
        <w:rPr>
          <w:rFonts w:hint="default" w:ascii="Times New Roman" w:hAnsi="Times New Roman" w:eastAsia="仿宋" w:cs="Times New Roman"/>
          <w:sz w:val="32"/>
          <w:szCs w:val="32"/>
        </w:rPr>
        <w:t>%；公务接待费支出决算</w:t>
      </w:r>
      <w:r>
        <w:rPr>
          <w:rFonts w:hint="default" w:ascii="Times New Roman" w:hAnsi="Times New Roman" w:cs="Times New Roman"/>
          <w:sz w:val="32"/>
          <w:szCs w:val="32"/>
        </w:rPr>
        <w:t>0.15</w:t>
      </w:r>
      <w:r>
        <w:rPr>
          <w:rFonts w:hint="default" w:ascii="Times New Roman" w:hAnsi="Times New Roman" w:eastAsia="仿宋" w:cs="Times New Roman"/>
          <w:sz w:val="32"/>
          <w:szCs w:val="32"/>
        </w:rPr>
        <w:t>万元，占</w:t>
      </w:r>
      <w:r>
        <w:rPr>
          <w:rFonts w:hint="default" w:ascii="Times New Roman" w:hAnsi="Times New Roman" w:cs="Times New Roman"/>
          <w:sz w:val="32"/>
          <w:szCs w:val="32"/>
        </w:rPr>
        <w:t>1</w:t>
      </w:r>
      <w:r>
        <w:rPr>
          <w:rFonts w:hint="default" w:ascii="Times New Roman" w:hAnsi="Times New Roman" w:eastAsia="仿宋" w:cs="Times New Roman"/>
          <w:sz w:val="32"/>
          <w:szCs w:val="32"/>
        </w:rPr>
        <w:t>%。具体情况如下：</w:t>
      </w:r>
    </w:p>
    <w:p>
      <w:pPr>
        <w:jc w:val="center"/>
        <w:rPr>
          <w:rFonts w:hint="eastAsia" w:eastAsia="仿宋"/>
          <w:lang w:eastAsia="zh-CN"/>
        </w:rPr>
      </w:pPr>
      <w:r>
        <w:rPr>
          <w:rFonts w:hint="eastAsia" w:eastAsia="仿宋"/>
          <w:lang w:eastAsia="zh-CN"/>
        </w:rPr>
        <w:drawing>
          <wp:inline distT="0" distB="0" distL="114300" distR="114300">
            <wp:extent cx="4319905" cy="2879725"/>
            <wp:effectExtent l="4445" t="4445" r="19050" b="1143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（图7：“三公”经费财政拨款支出结构）</w:t>
      </w:r>
    </w:p>
    <w:p>
      <w:pPr>
        <w:spacing w:line="600" w:lineRule="exact"/>
        <w:ind w:firstLine="64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1.因公出国（境）经费支出</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万元，</w:t>
      </w:r>
      <w:r>
        <w:rPr>
          <w:rStyle w:val="17"/>
          <w:rFonts w:hint="default" w:ascii="Times New Roman" w:hAnsi="Times New Roman" w:eastAsia="仿宋" w:cs="Times New Roman"/>
          <w:b w:val="0"/>
          <w:bCs/>
          <w:sz w:val="32"/>
          <w:szCs w:val="32"/>
        </w:rPr>
        <w:t>完成预算</w:t>
      </w:r>
      <w:r>
        <w:rPr>
          <w:rFonts w:hint="default" w:ascii="Times New Roman" w:hAnsi="Times New Roman" w:cs="Times New Roman"/>
          <w:sz w:val="32"/>
          <w:szCs w:val="32"/>
        </w:rPr>
        <w:t>0</w:t>
      </w:r>
      <w:r>
        <w:rPr>
          <w:rStyle w:val="17"/>
          <w:rFonts w:hint="default" w:ascii="Times New Roman" w:hAnsi="Times New Roman" w:eastAsia="仿宋" w:cs="Times New Roman"/>
          <w:b w:val="0"/>
          <w:bCs/>
          <w:sz w:val="32"/>
          <w:szCs w:val="32"/>
        </w:rPr>
        <w:t>%。</w:t>
      </w:r>
      <w:r>
        <w:rPr>
          <w:rFonts w:hint="default" w:ascii="Times New Roman" w:hAnsi="Times New Roman" w:eastAsia="仿宋_GB2312" w:cs="Times New Roman"/>
          <w:sz w:val="32"/>
          <w:szCs w:val="32"/>
        </w:rPr>
        <w:t>全年安排因公出国（境）团组</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次，出国（境）</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人。因公出国（境）支出决算与202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年持平。</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开支内容包括：…（团组名称、出访地点、取得成效）等。</w:t>
      </w:r>
    </w:p>
    <w:p>
      <w:pPr>
        <w:spacing w:line="600" w:lineRule="exact"/>
        <w:ind w:firstLine="64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2.公务用车购置及运行维护费支出</w:t>
      </w:r>
      <w:r>
        <w:rPr>
          <w:rFonts w:hint="default" w:ascii="Times New Roman" w:hAnsi="Times New Roman" w:cs="Times New Roman"/>
          <w:sz w:val="32"/>
          <w:szCs w:val="32"/>
        </w:rPr>
        <w:t>14.8</w:t>
      </w:r>
      <w:r>
        <w:rPr>
          <w:rFonts w:hint="default" w:ascii="Times New Roman" w:hAnsi="Times New Roman" w:eastAsia="仿宋_GB2312" w:cs="Times New Roman"/>
          <w:sz w:val="32"/>
          <w:szCs w:val="32"/>
        </w:rPr>
        <w:t>万元,</w:t>
      </w:r>
      <w:r>
        <w:rPr>
          <w:rStyle w:val="17"/>
          <w:rFonts w:hint="default" w:ascii="Times New Roman" w:hAnsi="Times New Roman" w:eastAsia="仿宋" w:cs="Times New Roman"/>
          <w:b w:val="0"/>
          <w:bCs/>
          <w:sz w:val="32"/>
          <w:szCs w:val="32"/>
        </w:rPr>
        <w:t>完成预算</w:t>
      </w:r>
      <w:r>
        <w:rPr>
          <w:rFonts w:hint="default" w:ascii="Times New Roman" w:hAnsi="Times New Roman" w:cs="Times New Roman"/>
          <w:sz w:val="32"/>
          <w:szCs w:val="32"/>
        </w:rPr>
        <w:t>100</w:t>
      </w:r>
      <w:r>
        <w:rPr>
          <w:rStyle w:val="17"/>
          <w:rFonts w:hint="default" w:ascii="Times New Roman" w:hAnsi="Times New Roman" w:eastAsia="仿宋" w:cs="Times New Roman"/>
          <w:b w:val="0"/>
          <w:bCs/>
          <w:sz w:val="32"/>
          <w:szCs w:val="32"/>
        </w:rPr>
        <w:t>%。</w:t>
      </w:r>
      <w:r>
        <w:rPr>
          <w:rFonts w:hint="default" w:ascii="Times New Roman" w:hAnsi="Times New Roman" w:eastAsia="仿宋_GB2312" w:cs="Times New Roman"/>
          <w:sz w:val="32"/>
          <w:szCs w:val="32"/>
        </w:rPr>
        <w:t>公务用车购置及运行维护费支出决算比2022年度增加</w:t>
      </w:r>
      <w:r>
        <w:rPr>
          <w:rFonts w:hint="eastAsia" w:eastAsia="仿宋_GB2312" w:cs="Times New Roman"/>
          <w:sz w:val="32"/>
          <w:szCs w:val="32"/>
          <w:lang w:val="en-US" w:eastAsia="zh-CN"/>
        </w:rPr>
        <w:t>2.37</w:t>
      </w:r>
      <w:r>
        <w:rPr>
          <w:rFonts w:hint="default" w:ascii="Times New Roman" w:hAnsi="Times New Roman" w:eastAsia="仿宋_GB2312" w:cs="Times New Roman"/>
          <w:sz w:val="32"/>
          <w:szCs w:val="32"/>
        </w:rPr>
        <w:t>万元，增长</w:t>
      </w:r>
      <w:r>
        <w:rPr>
          <w:rFonts w:hint="eastAsia" w:eastAsia="仿宋_GB2312" w:cs="Times New Roman"/>
          <w:sz w:val="32"/>
          <w:szCs w:val="32"/>
          <w:lang w:val="en-US" w:eastAsia="zh-CN"/>
        </w:rPr>
        <w:t>19.07</w:t>
      </w:r>
      <w:r>
        <w:rPr>
          <w:rFonts w:hint="default" w:ascii="Times New Roman" w:hAnsi="Times New Roman" w:eastAsia="仿宋_GB2312" w:cs="Times New Roman"/>
          <w:sz w:val="32"/>
          <w:szCs w:val="32"/>
        </w:rPr>
        <w:t>%。主要原因是车辆使用时间长，维修管理经费增加。</w:t>
      </w:r>
    </w:p>
    <w:p>
      <w:pPr>
        <w:spacing w:line="600" w:lineRule="exact"/>
        <w:ind w:firstLine="640"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其中：</w:t>
      </w:r>
      <w:r>
        <w:rPr>
          <w:rFonts w:hint="default" w:ascii="Times New Roman" w:hAnsi="Times New Roman" w:eastAsia="仿宋_GB2312" w:cs="Times New Roman"/>
          <w:b/>
          <w:sz w:val="32"/>
          <w:szCs w:val="32"/>
        </w:rPr>
        <w:t>公务用车购置支出</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万元。全年按规定更新购置公务用车</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辆，其中：轿车</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辆、金额</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万元，越野车</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辆、金额</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万元，载客汽车</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辆、金额</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主要用于…。截至2023年12月31日，单位共有公务用车</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rPr>
        <w:t>辆，其中：轿车1辆、越野车</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rPr>
        <w:t>辆。</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公务用车运行维护费支出</w:t>
      </w:r>
      <w:r>
        <w:rPr>
          <w:rFonts w:hint="default" w:ascii="Times New Roman" w:hAnsi="Times New Roman" w:cs="Times New Roman"/>
          <w:sz w:val="32"/>
          <w:szCs w:val="32"/>
        </w:rPr>
        <w:t>14.8</w:t>
      </w:r>
      <w:r>
        <w:rPr>
          <w:rFonts w:hint="default" w:ascii="Times New Roman" w:hAnsi="Times New Roman" w:eastAsia="仿宋_GB2312" w:cs="Times New Roman"/>
          <w:sz w:val="32"/>
          <w:szCs w:val="32"/>
        </w:rPr>
        <w:t>万元。主要用于党建工作、干部调研、选人用人实地考察、人才服务、老干部慰问等工作所需的公务用车燃料费、维修费、过路过桥费、保险费等支出。</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3.公务接待费支出</w:t>
      </w:r>
      <w:r>
        <w:rPr>
          <w:rFonts w:hint="default" w:ascii="Times New Roman" w:hAnsi="Times New Roman" w:cs="Times New Roman"/>
          <w:sz w:val="32"/>
          <w:szCs w:val="32"/>
        </w:rPr>
        <w:t>0.15</w:t>
      </w:r>
      <w:r>
        <w:rPr>
          <w:rFonts w:hint="default" w:ascii="Times New Roman" w:hAnsi="Times New Roman" w:eastAsia="仿宋_GB2312" w:cs="Times New Roman"/>
          <w:sz w:val="32"/>
          <w:szCs w:val="32"/>
        </w:rPr>
        <w:t>万元，</w:t>
      </w:r>
      <w:r>
        <w:rPr>
          <w:rStyle w:val="17"/>
          <w:rFonts w:hint="default" w:ascii="Times New Roman" w:hAnsi="Times New Roman" w:eastAsia="仿宋" w:cs="Times New Roman"/>
          <w:b w:val="0"/>
          <w:bCs/>
          <w:sz w:val="32"/>
          <w:szCs w:val="32"/>
        </w:rPr>
        <w:t>完成预算</w:t>
      </w:r>
      <w:r>
        <w:rPr>
          <w:rFonts w:hint="default" w:ascii="Times New Roman" w:hAnsi="Times New Roman" w:cs="Times New Roman"/>
          <w:sz w:val="32"/>
          <w:szCs w:val="32"/>
        </w:rPr>
        <w:t>100%</w:t>
      </w:r>
      <w:r>
        <w:rPr>
          <w:rStyle w:val="17"/>
          <w:rFonts w:hint="default" w:ascii="Times New Roman" w:hAnsi="Times New Roman" w:eastAsia="仿宋" w:cs="Times New Roman"/>
          <w:b w:val="0"/>
          <w:bCs/>
          <w:sz w:val="32"/>
          <w:szCs w:val="32"/>
        </w:rPr>
        <w:t>。</w:t>
      </w:r>
      <w:r>
        <w:rPr>
          <w:rFonts w:hint="default" w:ascii="Times New Roman" w:hAnsi="Times New Roman" w:eastAsia="仿宋_GB2312" w:cs="Times New Roman"/>
          <w:sz w:val="32"/>
          <w:szCs w:val="32"/>
        </w:rPr>
        <w:t>公务接待费支出决算比2022年度增加</w:t>
      </w:r>
      <w:r>
        <w:rPr>
          <w:rFonts w:hint="eastAsia" w:eastAsia="仿宋_GB2312" w:cs="Times New Roman"/>
          <w:sz w:val="32"/>
          <w:szCs w:val="32"/>
          <w:lang w:val="en-US" w:eastAsia="zh-CN"/>
        </w:rPr>
        <w:t>0.06</w:t>
      </w:r>
      <w:r>
        <w:rPr>
          <w:rFonts w:hint="default" w:ascii="Times New Roman" w:hAnsi="Times New Roman" w:eastAsia="仿宋_GB2312" w:cs="Times New Roman"/>
          <w:sz w:val="32"/>
          <w:szCs w:val="32"/>
        </w:rPr>
        <w:t>万元，增长</w:t>
      </w:r>
      <w:r>
        <w:rPr>
          <w:rFonts w:hint="eastAsia" w:eastAsia="仿宋_GB2312" w:cs="Times New Roman"/>
          <w:sz w:val="32"/>
          <w:szCs w:val="32"/>
          <w:lang w:val="en-US" w:eastAsia="zh-CN"/>
        </w:rPr>
        <w:t>66.67</w:t>
      </w:r>
      <w:r>
        <w:rPr>
          <w:rFonts w:hint="default" w:ascii="Times New Roman" w:hAnsi="Times New Roman" w:eastAsia="仿宋_GB2312" w:cs="Times New Roman"/>
          <w:sz w:val="32"/>
          <w:szCs w:val="32"/>
        </w:rPr>
        <w:t>%。主要原因是执行公务产生费用。其中：</w:t>
      </w:r>
    </w:p>
    <w:p>
      <w:pPr>
        <w:spacing w:line="600" w:lineRule="exact"/>
        <w:ind w:firstLine="640"/>
        <w:rPr>
          <w:rFonts w:hint="default" w:ascii="Times New Roman" w:hAnsi="Times New Roman" w:eastAsia="仿宋_GB2312" w:cs="Times New Roman"/>
          <w:color w:val="FF0000"/>
          <w:sz w:val="32"/>
          <w:szCs w:val="32"/>
        </w:rPr>
      </w:pPr>
      <w:r>
        <w:rPr>
          <w:rFonts w:hint="default" w:ascii="Times New Roman" w:hAnsi="Times New Roman" w:eastAsia="仿宋" w:cs="Times New Roman"/>
          <w:b/>
          <w:sz w:val="32"/>
          <w:szCs w:val="32"/>
        </w:rPr>
        <w:t>国内公务接待支出</w:t>
      </w:r>
      <w:r>
        <w:rPr>
          <w:rFonts w:hint="eastAsia" w:ascii="Times New Roman" w:hAnsi="Times New Roman" w:cs="Times New Roman"/>
          <w:sz w:val="32"/>
          <w:szCs w:val="32"/>
          <w:lang w:val="en-US" w:eastAsia="zh-CN"/>
        </w:rPr>
        <w:t>0.15</w:t>
      </w:r>
      <w:r>
        <w:rPr>
          <w:rFonts w:hint="default" w:ascii="Times New Roman" w:hAnsi="Times New Roman" w:eastAsia="仿宋_GB2312" w:cs="Times New Roman"/>
          <w:sz w:val="32"/>
          <w:szCs w:val="32"/>
        </w:rPr>
        <w:t>万元，主要用于执行公务、开展业务活动开支的交通费、住宿费、用餐费等。</w:t>
      </w:r>
      <w:r>
        <w:rPr>
          <w:rFonts w:hint="default" w:ascii="Times New Roman" w:hAnsi="Times New Roman" w:eastAsia="仿宋_GB2312" w:cs="Times New Roman"/>
          <w:color w:val="000000" w:themeColor="text1"/>
          <w:sz w:val="32"/>
          <w:szCs w:val="32"/>
          <w14:textFill>
            <w14:solidFill>
              <w14:schemeClr w14:val="tx1"/>
            </w14:solidFill>
          </w14:textFill>
        </w:rPr>
        <w:t>国内公务接待</w:t>
      </w:r>
      <w:r>
        <w:rPr>
          <w:rFonts w:hint="eastAsia"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批次，</w:t>
      </w:r>
      <w:r>
        <w:rPr>
          <w:rFonts w:hint="eastAsia" w:eastAsia="仿宋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14:textFill>
            <w14:solidFill>
              <w14:schemeClr w14:val="tx1"/>
            </w14:solidFill>
          </w14:textFill>
        </w:rPr>
        <w:t>人次（不包括陪同人员），共计支出</w:t>
      </w:r>
      <w:r>
        <w:rPr>
          <w:rFonts w:hint="eastAsia" w:eastAsia="仿宋_GB2312" w:cs="Times New Roman"/>
          <w:color w:val="000000" w:themeColor="text1"/>
          <w:sz w:val="32"/>
          <w:szCs w:val="32"/>
          <w:lang w:val="en-US" w:eastAsia="zh-CN"/>
          <w14:textFill>
            <w14:solidFill>
              <w14:schemeClr w14:val="tx1"/>
            </w14:solidFill>
          </w14:textFill>
        </w:rPr>
        <w:t>0.15</w:t>
      </w:r>
      <w:r>
        <w:rPr>
          <w:rFonts w:hint="default" w:ascii="Times New Roman" w:hAnsi="Times New Roman" w:eastAsia="仿宋_GB2312" w:cs="Times New Roman"/>
          <w:color w:val="000000" w:themeColor="text1"/>
          <w:sz w:val="32"/>
          <w:szCs w:val="32"/>
          <w14:textFill>
            <w14:solidFill>
              <w14:schemeClr w14:val="tx1"/>
            </w14:solidFill>
          </w14:textFill>
        </w:rPr>
        <w:t>万元，具体内容包括：接待省、州工作检查组</w:t>
      </w:r>
      <w:r>
        <w:rPr>
          <w:rFonts w:hint="eastAsia" w:eastAsia="仿宋_GB2312" w:cs="Times New Roman"/>
          <w:color w:val="000000" w:themeColor="text1"/>
          <w:sz w:val="32"/>
          <w:szCs w:val="32"/>
          <w:lang w:val="en-US" w:eastAsia="zh-CN"/>
          <w14:textFill>
            <w14:solidFill>
              <w14:schemeClr w14:val="tx1"/>
            </w14:solidFill>
          </w14:textFill>
        </w:rPr>
        <w:t>0.15</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spacing w:line="600" w:lineRule="exact"/>
        <w:ind w:firstLine="642" w:firstLineChars="200"/>
        <w:rPr>
          <w:rFonts w:hint="default" w:ascii="Times New Roman" w:hAnsi="Times New Roman" w:eastAsia="黑体" w:cs="Times New Roman"/>
          <w:sz w:val="32"/>
          <w:szCs w:val="32"/>
        </w:rPr>
      </w:pPr>
      <w:r>
        <w:rPr>
          <w:rFonts w:hint="default" w:ascii="Times New Roman" w:hAnsi="Times New Roman" w:eastAsia="仿宋" w:cs="Times New Roman"/>
          <w:b/>
          <w:sz w:val="32"/>
          <w:szCs w:val="32"/>
        </w:rPr>
        <w:t>外事接待支出</w:t>
      </w:r>
      <w:r>
        <w:rPr>
          <w:rFonts w:hint="eastAsia" w:ascii="Times New Roman" w:hAnsi="Times New Roman" w:cs="Times New Roman"/>
          <w:sz w:val="32"/>
          <w:szCs w:val="32"/>
          <w:lang w:val="en-US" w:eastAsia="zh-CN"/>
        </w:rPr>
        <w:t>0</w:t>
      </w:r>
      <w:r>
        <w:rPr>
          <w:rFonts w:hint="default" w:ascii="Times New Roman" w:hAnsi="Times New Roman" w:eastAsia="仿宋_GB2312" w:cs="Times New Roman"/>
          <w:sz w:val="32"/>
          <w:szCs w:val="32"/>
        </w:rPr>
        <w:t>万元，主要用于接待…（具体项目）。外事接待</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批次，</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人次（不包括陪同人员），共计支出</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万元。</w:t>
      </w:r>
      <w:bookmarkStart w:id="51" w:name="_Toc15396610"/>
      <w:bookmarkStart w:id="52" w:name="_Toc15377218"/>
    </w:p>
    <w:p>
      <w:pPr>
        <w:spacing w:line="600" w:lineRule="exact"/>
        <w:ind w:firstLine="640"/>
        <w:outlineLvl w:val="1"/>
        <w:rPr>
          <w:rStyle w:val="29"/>
          <w:rFonts w:hint="default" w:ascii="Times New Roman" w:hAnsi="Times New Roman" w:eastAsia="黑体" w:cs="Times New Roman"/>
        </w:rPr>
      </w:pPr>
      <w:bookmarkStart w:id="53" w:name="_Toc1902275330"/>
      <w:r>
        <w:rPr>
          <w:rFonts w:hint="default" w:ascii="Times New Roman" w:hAnsi="Times New Roman" w:eastAsia="黑体" w:cs="Times New Roman"/>
          <w:sz w:val="32"/>
          <w:szCs w:val="32"/>
        </w:rPr>
        <w:t>八、</w:t>
      </w:r>
      <w:r>
        <w:rPr>
          <w:rStyle w:val="29"/>
          <w:rFonts w:hint="default" w:ascii="Times New Roman" w:hAnsi="Times New Roman" w:eastAsia="黑体" w:cs="Times New Roman"/>
          <w:b w:val="0"/>
        </w:rPr>
        <w:t>政府性基金预算支出决算情况说明</w:t>
      </w:r>
      <w:bookmarkEnd w:id="51"/>
      <w:bookmarkEnd w:id="52"/>
      <w:bookmarkEnd w:id="53"/>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2023年度政府性基金预算财政拨款支出</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万元。</w:t>
      </w:r>
    </w:p>
    <w:p>
      <w:pPr>
        <w:numPr>
          <w:ilvl w:val="0"/>
          <w:numId w:val="4"/>
        </w:numPr>
        <w:spacing w:line="600" w:lineRule="exact"/>
        <w:ind w:firstLine="640"/>
        <w:outlineLvl w:val="1"/>
        <w:rPr>
          <w:rStyle w:val="29"/>
          <w:rFonts w:hint="default" w:ascii="Times New Roman" w:hAnsi="Times New Roman" w:eastAsia="黑体" w:cs="Times New Roman"/>
          <w:b w:val="0"/>
        </w:rPr>
      </w:pPr>
      <w:bookmarkStart w:id="54" w:name="_Toc15396611"/>
      <w:bookmarkStart w:id="55" w:name="_Toc15377219"/>
      <w:bookmarkStart w:id="56" w:name="_Toc67254799"/>
      <w:r>
        <w:rPr>
          <w:rStyle w:val="29"/>
          <w:rFonts w:hint="default" w:ascii="Times New Roman" w:hAnsi="Times New Roman" w:eastAsia="黑体" w:cs="Times New Roman"/>
          <w:b w:val="0"/>
        </w:rPr>
        <w:t>国有资本经营预算支出决算情况说明</w:t>
      </w:r>
      <w:bookmarkEnd w:id="54"/>
      <w:bookmarkEnd w:id="55"/>
      <w:bookmarkEnd w:id="56"/>
    </w:p>
    <w:p>
      <w:pPr>
        <w:spacing w:line="600" w:lineRule="exact"/>
        <w:ind w:firstLine="640"/>
        <w:rPr>
          <w:rFonts w:hint="eastAsia" w:ascii="Times New Roman" w:hAnsi="Times New Roman" w:eastAsia="仿宋_GB2312" w:cs="Times New Roman"/>
          <w:sz w:val="44"/>
          <w:szCs w:val="44"/>
          <w:lang w:eastAsia="zh-CN"/>
        </w:rPr>
      </w:pPr>
      <w:r>
        <w:rPr>
          <w:rFonts w:hint="default" w:ascii="Times New Roman" w:hAnsi="Times New Roman" w:eastAsia="仿宋_GB2312" w:cs="Times New Roman"/>
          <w:sz w:val="32"/>
          <w:szCs w:val="32"/>
        </w:rPr>
        <w:t>2023年度国有资本经营预算财政拨款支出</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万元</w:t>
      </w:r>
      <w:r>
        <w:rPr>
          <w:rFonts w:hint="eastAsia" w:eastAsia="仿宋_GB2312" w:cs="Times New Roman"/>
          <w:sz w:val="32"/>
          <w:szCs w:val="32"/>
          <w:lang w:eastAsia="zh-CN"/>
        </w:rPr>
        <w:t>。</w:t>
      </w:r>
    </w:p>
    <w:p>
      <w:pPr>
        <w:numPr>
          <w:ilvl w:val="0"/>
          <w:numId w:val="4"/>
        </w:numPr>
        <w:spacing w:line="600" w:lineRule="exact"/>
        <w:ind w:firstLine="640"/>
        <w:outlineLvl w:val="1"/>
        <w:rPr>
          <w:rStyle w:val="29"/>
          <w:rFonts w:hint="default" w:ascii="Times New Roman" w:hAnsi="Times New Roman" w:eastAsia="黑体" w:cs="Times New Roman"/>
          <w:b w:val="0"/>
        </w:rPr>
      </w:pPr>
      <w:bookmarkStart w:id="57" w:name="_Toc15396612"/>
      <w:bookmarkStart w:id="58" w:name="_Toc15377221"/>
      <w:bookmarkStart w:id="59" w:name="_Toc1795439767"/>
      <w:r>
        <w:rPr>
          <w:rStyle w:val="29"/>
          <w:rFonts w:hint="default" w:ascii="Times New Roman" w:hAnsi="Times New Roman" w:eastAsia="黑体" w:cs="Times New Roman"/>
          <w:b w:val="0"/>
        </w:rPr>
        <w:t>其他重要事项的情况说明</w:t>
      </w:r>
      <w:bookmarkEnd w:id="57"/>
      <w:bookmarkEnd w:id="58"/>
      <w:bookmarkEnd w:id="59"/>
    </w:p>
    <w:p>
      <w:pPr>
        <w:spacing w:line="600" w:lineRule="exact"/>
        <w:ind w:firstLine="642" w:firstLineChars="200"/>
        <w:outlineLvl w:val="2"/>
        <w:rPr>
          <w:rFonts w:hint="default" w:ascii="Times New Roman" w:hAnsi="Times New Roman" w:eastAsia="仿宋" w:cs="Times New Roman"/>
          <w:sz w:val="32"/>
          <w:szCs w:val="32"/>
        </w:rPr>
      </w:pPr>
      <w:bookmarkStart w:id="60" w:name="_Toc15377222"/>
      <w:r>
        <w:rPr>
          <w:rFonts w:hint="default" w:ascii="Times New Roman" w:hAnsi="Times New Roman" w:eastAsia="仿宋" w:cs="Times New Roman"/>
          <w:b/>
          <w:sz w:val="32"/>
          <w:szCs w:val="32"/>
        </w:rPr>
        <w:t>（一）机关运行经费支出情况</w:t>
      </w:r>
      <w:bookmarkEnd w:id="60"/>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2023年度，</w:t>
      </w:r>
      <w:r>
        <w:rPr>
          <w:rFonts w:hint="eastAsia" w:eastAsia="仿宋_GB2312" w:cs="Times New Roman"/>
          <w:sz w:val="32"/>
          <w:szCs w:val="32"/>
          <w:lang w:eastAsia="zh-CN"/>
        </w:rPr>
        <w:t>红原县委组织部</w:t>
      </w:r>
      <w:r>
        <w:rPr>
          <w:rFonts w:hint="default" w:ascii="Times New Roman" w:hAnsi="Times New Roman" w:eastAsia="仿宋_GB2312" w:cs="Times New Roman"/>
          <w:sz w:val="32"/>
          <w:szCs w:val="32"/>
        </w:rPr>
        <w:t>机关运行经费支出</w:t>
      </w:r>
      <w:r>
        <w:rPr>
          <w:rFonts w:hint="eastAsia" w:eastAsia="仿宋_GB2312" w:cs="Times New Roman"/>
          <w:sz w:val="32"/>
          <w:szCs w:val="32"/>
          <w:lang w:val="en-US" w:eastAsia="zh-CN"/>
        </w:rPr>
        <w:t>1434.53</w:t>
      </w:r>
      <w:r>
        <w:rPr>
          <w:rFonts w:hint="default" w:ascii="Times New Roman" w:hAnsi="Times New Roman" w:eastAsia="仿宋_GB2312" w:cs="Times New Roman"/>
          <w:sz w:val="32"/>
          <w:szCs w:val="32"/>
        </w:rPr>
        <w:t>万元，比2022年度减少</w:t>
      </w:r>
      <w:r>
        <w:rPr>
          <w:rFonts w:hint="eastAsia" w:eastAsia="仿宋_GB2312" w:cs="Times New Roman"/>
          <w:sz w:val="32"/>
          <w:szCs w:val="32"/>
          <w:lang w:val="en-US" w:eastAsia="zh-CN"/>
        </w:rPr>
        <w:t>160.17</w:t>
      </w:r>
      <w:r>
        <w:rPr>
          <w:rFonts w:hint="default" w:ascii="Times New Roman" w:hAnsi="Times New Roman" w:eastAsia="仿宋_GB2312" w:cs="Times New Roman"/>
          <w:sz w:val="32"/>
          <w:szCs w:val="32"/>
        </w:rPr>
        <w:t>万元，下降</w:t>
      </w:r>
      <w:r>
        <w:rPr>
          <w:rFonts w:hint="eastAsia" w:eastAsia="仿宋_GB2312" w:cs="Times New Roman"/>
          <w:sz w:val="32"/>
          <w:szCs w:val="32"/>
          <w:lang w:val="en-US" w:eastAsia="zh-CN"/>
        </w:rPr>
        <w:t>10.04</w:t>
      </w:r>
      <w:r>
        <w:rPr>
          <w:rFonts w:hint="default" w:ascii="Times New Roman" w:hAnsi="Times New Roman" w:eastAsia="仿宋_GB2312" w:cs="Times New Roman"/>
          <w:sz w:val="32"/>
          <w:szCs w:val="32"/>
        </w:rPr>
        <w:t>%。主要原因是项目费用均有所</w:t>
      </w:r>
      <w:r>
        <w:rPr>
          <w:rFonts w:hint="eastAsia" w:eastAsia="仿宋_GB2312" w:cs="Times New Roman"/>
          <w:sz w:val="32"/>
          <w:szCs w:val="32"/>
          <w:lang w:eastAsia="zh-CN"/>
        </w:rPr>
        <w:t>下降</w:t>
      </w:r>
      <w:r>
        <w:rPr>
          <w:rFonts w:hint="default" w:ascii="Times New Roman" w:hAnsi="Times New Roman" w:eastAsia="仿宋_GB2312" w:cs="Times New Roman"/>
          <w:sz w:val="32"/>
          <w:szCs w:val="32"/>
        </w:rPr>
        <w:t>。</w:t>
      </w:r>
    </w:p>
    <w:p>
      <w:pPr>
        <w:autoSpaceDE w:val="0"/>
        <w:autoSpaceDN w:val="0"/>
        <w:adjustRightInd w:val="0"/>
        <w:spacing w:line="600" w:lineRule="exact"/>
        <w:ind w:firstLine="642" w:firstLineChars="200"/>
        <w:jc w:val="left"/>
        <w:outlineLvl w:val="2"/>
        <w:rPr>
          <w:rFonts w:hint="default" w:ascii="Times New Roman" w:hAnsi="Times New Roman" w:eastAsia="仿宋" w:cs="Times New Roman"/>
          <w:b/>
          <w:sz w:val="32"/>
          <w:szCs w:val="32"/>
        </w:rPr>
      </w:pPr>
      <w:bookmarkStart w:id="61" w:name="_Toc15377223"/>
      <w:r>
        <w:rPr>
          <w:rFonts w:hint="default" w:ascii="Times New Roman" w:hAnsi="Times New Roman" w:eastAsia="仿宋" w:cs="Times New Roman"/>
          <w:b/>
          <w:sz w:val="32"/>
          <w:szCs w:val="32"/>
        </w:rPr>
        <w:t>（二）政府采购支出情况</w:t>
      </w:r>
      <w:bookmarkEnd w:id="61"/>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2023年度，</w:t>
      </w:r>
      <w:r>
        <w:rPr>
          <w:rFonts w:hint="eastAsia" w:eastAsia="仿宋_GB2312" w:cs="Times New Roman"/>
          <w:sz w:val="32"/>
          <w:szCs w:val="32"/>
          <w:lang w:eastAsia="zh-CN"/>
        </w:rPr>
        <w:t>红原县委组织部</w:t>
      </w:r>
      <w:r>
        <w:rPr>
          <w:rFonts w:hint="default" w:ascii="Times New Roman" w:hAnsi="Times New Roman" w:eastAsia="仿宋_GB2312" w:cs="Times New Roman"/>
          <w:sz w:val="32"/>
          <w:szCs w:val="32"/>
        </w:rPr>
        <w:t>政府采购支出总额</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万元，其中：政府采购货物支出</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万元、政府采购工程支出</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万元、政府采购服务支出</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万元。主要用于…（具体工作）。授予中小企业合同金额</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万元，占政府采购支出总额的</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%，其中：授予小微企业合同金额</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万元，占政府采购支出总额的</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w:t>
      </w:r>
    </w:p>
    <w:p>
      <w:pPr>
        <w:autoSpaceDE w:val="0"/>
        <w:autoSpaceDN w:val="0"/>
        <w:adjustRightInd w:val="0"/>
        <w:spacing w:line="600" w:lineRule="exact"/>
        <w:ind w:firstLine="642" w:firstLineChars="200"/>
        <w:jc w:val="left"/>
        <w:outlineLvl w:val="2"/>
        <w:rPr>
          <w:rFonts w:hint="default" w:ascii="Times New Roman" w:hAnsi="Times New Roman" w:eastAsia="仿宋" w:cs="Times New Roman"/>
          <w:b/>
          <w:sz w:val="32"/>
          <w:szCs w:val="32"/>
        </w:rPr>
      </w:pPr>
      <w:bookmarkStart w:id="62" w:name="_Toc15377224"/>
      <w:r>
        <w:rPr>
          <w:rFonts w:hint="default" w:ascii="Times New Roman" w:hAnsi="Times New Roman" w:eastAsia="仿宋" w:cs="Times New Roman"/>
          <w:b/>
          <w:sz w:val="32"/>
          <w:szCs w:val="32"/>
        </w:rPr>
        <w:t>（三）国有资产占有使用情况</w:t>
      </w:r>
      <w:bookmarkEnd w:id="62"/>
    </w:p>
    <w:p>
      <w:pPr>
        <w:autoSpaceDE w:val="0"/>
        <w:autoSpaceDN w:val="0"/>
        <w:adjustRightInd w:val="0"/>
        <w:spacing w:line="60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截至2023年12月31日，</w:t>
      </w:r>
      <w:r>
        <w:rPr>
          <w:rFonts w:hint="eastAsia" w:eastAsia="仿宋_GB2312" w:cs="Times New Roman"/>
          <w:sz w:val="32"/>
          <w:szCs w:val="32"/>
          <w:lang w:eastAsia="zh-CN"/>
        </w:rPr>
        <w:t>红原县委组织部</w:t>
      </w:r>
      <w:r>
        <w:rPr>
          <w:rFonts w:hint="default" w:ascii="Times New Roman" w:hAnsi="Times New Roman" w:eastAsia="仿宋_GB2312" w:cs="Times New Roman"/>
          <w:sz w:val="32"/>
          <w:szCs w:val="32"/>
        </w:rPr>
        <w:t>共有车辆2辆，其中：主要领导干部用车</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辆、机要通信用车</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辆、应急保障用车</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辆，其他用车主要是用于……。单价100万元以上设备（不含车辆）</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台（套）。</w:t>
      </w:r>
    </w:p>
    <w:p>
      <w:pPr>
        <w:autoSpaceDE w:val="0"/>
        <w:autoSpaceDN w:val="0"/>
        <w:adjustRightInd w:val="0"/>
        <w:spacing w:line="600" w:lineRule="exact"/>
        <w:ind w:firstLine="642" w:firstLineChars="200"/>
        <w:jc w:val="left"/>
        <w:outlineLvl w:val="2"/>
        <w:rPr>
          <w:rFonts w:hint="default" w:ascii="Times New Roman" w:hAnsi="Times New Roman" w:eastAsia="仿宋" w:cs="Times New Roman"/>
          <w:b/>
          <w:color w:val="000000" w:themeColor="text1"/>
          <w:sz w:val="32"/>
          <w:szCs w:val="32"/>
          <w14:textFill>
            <w14:solidFill>
              <w14:schemeClr w14:val="tx1"/>
            </w14:solidFill>
          </w14:textFill>
        </w:rPr>
      </w:pPr>
      <w:r>
        <w:rPr>
          <w:rFonts w:hint="default" w:ascii="Times New Roman" w:hAnsi="Times New Roman" w:eastAsia="仿宋" w:cs="Times New Roman"/>
          <w:b/>
          <w:color w:val="000000" w:themeColor="text1"/>
          <w:sz w:val="32"/>
          <w:szCs w:val="32"/>
          <w14:textFill>
            <w14:solidFill>
              <w14:schemeClr w14:val="tx1"/>
            </w14:solidFill>
          </w14:textFill>
        </w:rPr>
        <w:t>（四）预算绩效管理情况</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根据预算绩效管理要求，本部门在2023年度预算编制阶段，组织对基层组织建设项目等</w:t>
      </w:r>
      <w:r>
        <w:rPr>
          <w:rFonts w:hint="eastAsia" w:eastAsia="仿宋_GB2312" w:cs="Times New Roman"/>
          <w:color w:val="000000" w:themeColor="text1"/>
          <w:sz w:val="32"/>
          <w:szCs w:val="32"/>
          <w:lang w:val="en-US" w:eastAsia="zh-CN"/>
          <w14:textFill>
            <w14:solidFill>
              <w14:schemeClr w14:val="tx1"/>
            </w14:solidFill>
          </w14:textFill>
        </w:rPr>
        <w:t>44</w:t>
      </w:r>
      <w:r>
        <w:rPr>
          <w:rFonts w:hint="default" w:ascii="Times New Roman" w:hAnsi="Times New Roman" w:eastAsia="仿宋_GB2312" w:cs="Times New Roman"/>
          <w:color w:val="000000" w:themeColor="text1"/>
          <w:sz w:val="32"/>
          <w:szCs w:val="32"/>
          <w14:textFill>
            <w14:solidFill>
              <w14:schemeClr w14:val="tx1"/>
            </w14:solidFill>
          </w14:textFill>
        </w:rPr>
        <w:t>个项目开展了预算事前绩效评估，对</w:t>
      </w:r>
      <w:r>
        <w:rPr>
          <w:rFonts w:hint="eastAsia" w:eastAsia="仿宋_GB2312" w:cs="Times New Roman"/>
          <w:color w:val="000000" w:themeColor="text1"/>
          <w:sz w:val="32"/>
          <w:szCs w:val="32"/>
          <w:lang w:val="en-US" w:eastAsia="zh-CN"/>
          <w14:textFill>
            <w14:solidFill>
              <w14:schemeClr w14:val="tx1"/>
            </w14:solidFill>
          </w14:textFill>
        </w:rPr>
        <w:t>44</w:t>
      </w:r>
      <w:r>
        <w:rPr>
          <w:rFonts w:hint="default" w:ascii="Times New Roman" w:hAnsi="Times New Roman" w:eastAsia="仿宋_GB2312" w:cs="Times New Roman"/>
          <w:color w:val="000000" w:themeColor="text1"/>
          <w:sz w:val="32"/>
          <w:szCs w:val="32"/>
          <w14:textFill>
            <w14:solidFill>
              <w14:schemeClr w14:val="tx1"/>
            </w14:solidFill>
          </w14:textFill>
        </w:rPr>
        <w:t>个项目编制了绩效目标，预算执行过程中，选取</w:t>
      </w:r>
      <w:r>
        <w:rPr>
          <w:rFonts w:hint="eastAsia" w:eastAsia="仿宋_GB2312" w:cs="Times New Roman"/>
          <w:color w:val="000000" w:themeColor="text1"/>
          <w:sz w:val="32"/>
          <w:szCs w:val="32"/>
          <w:lang w:val="en-US" w:eastAsia="zh-CN"/>
          <w14:textFill>
            <w14:solidFill>
              <w14:schemeClr w14:val="tx1"/>
            </w14:solidFill>
          </w14:textFill>
        </w:rPr>
        <w:t>44</w:t>
      </w:r>
      <w:r>
        <w:rPr>
          <w:rFonts w:hint="default" w:ascii="Times New Roman" w:hAnsi="Times New Roman" w:eastAsia="仿宋_GB2312" w:cs="Times New Roman"/>
          <w:color w:val="000000" w:themeColor="text1"/>
          <w:sz w:val="32"/>
          <w:szCs w:val="32"/>
          <w14:textFill>
            <w14:solidFill>
              <w14:schemeClr w14:val="tx1"/>
            </w14:solidFill>
          </w14:textFill>
        </w:rPr>
        <w:t>个项目开展绩效监控。</w:t>
      </w:r>
    </w:p>
    <w:p>
      <w:pPr>
        <w:pStyle w:val="2"/>
        <w:rPr>
          <w:rFonts w:hint="default"/>
        </w:rPr>
      </w:pPr>
    </w:p>
    <w:p>
      <w:pPr>
        <w:spacing w:line="580" w:lineRule="exact"/>
        <w:ind w:firstLine="640" w:firstLineChars="200"/>
        <w:rPr>
          <w:rFonts w:hint="default" w:ascii="Times New Roman" w:hAnsi="Times New Roman" w:eastAsia="仿宋_GB2312" w:cs="Times New Roman"/>
          <w:color w:val="FF0000"/>
          <w:sz w:val="32"/>
          <w:szCs w:val="32"/>
        </w:rPr>
      </w:pPr>
    </w:p>
    <w:p>
      <w:pPr>
        <w:pStyle w:val="4"/>
        <w:keepNext/>
        <w:keepLines/>
        <w:pageBreakBefore w:val="0"/>
        <w:widowControl w:val="0"/>
        <w:kinsoku/>
        <w:wordWrap/>
        <w:overflowPunct/>
        <w:topLinePunct w:val="0"/>
        <w:autoSpaceDE/>
        <w:autoSpaceDN/>
        <w:bidi w:val="0"/>
        <w:adjustRightInd/>
        <w:snapToGrid/>
        <w:spacing w:line="579" w:lineRule="auto"/>
        <w:jc w:val="center"/>
        <w:textAlignment w:val="auto"/>
        <w:rPr>
          <w:rFonts w:hint="default" w:ascii="Times New Roman" w:hAnsi="Times New Roman" w:cs="Times New Roman"/>
        </w:rPr>
        <w:sectPr>
          <w:footerReference r:id="rId8" w:type="default"/>
          <w:pgSz w:w="11906" w:h="16838"/>
          <w:pgMar w:top="1440" w:right="1800" w:bottom="1440" w:left="1800" w:header="851" w:footer="992" w:gutter="0"/>
          <w:pgNumType w:start="1"/>
          <w:cols w:space="425" w:num="1"/>
          <w:docGrid w:type="lines" w:linePitch="312" w:charSpace="0"/>
        </w:sectPr>
      </w:pPr>
      <w:bookmarkStart w:id="63" w:name="_Toc566184604"/>
    </w:p>
    <w:p>
      <w:pPr>
        <w:pStyle w:val="4"/>
        <w:keepNext/>
        <w:keepLines/>
        <w:pageBreakBefore w:val="0"/>
        <w:widowControl w:val="0"/>
        <w:kinsoku/>
        <w:wordWrap/>
        <w:overflowPunct/>
        <w:topLinePunct w:val="0"/>
        <w:autoSpaceDE/>
        <w:autoSpaceDN/>
        <w:bidi w:val="0"/>
        <w:adjustRightInd/>
        <w:snapToGrid/>
        <w:spacing w:line="579" w:lineRule="auto"/>
        <w:jc w:val="center"/>
        <w:textAlignment w:val="auto"/>
        <w:rPr>
          <w:rFonts w:hint="default" w:ascii="Times New Roman" w:hAnsi="Times New Roman" w:cs="Times New Roman"/>
        </w:rPr>
      </w:pPr>
      <w:r>
        <w:rPr>
          <w:rFonts w:hint="default" w:ascii="Times New Roman" w:hAnsi="Times New Roman" w:cs="Times New Roman"/>
        </w:rPr>
        <w:t>第三部分 名词解释</w:t>
      </w:r>
      <w:bookmarkEnd w:id="63"/>
    </w:p>
    <w:p>
      <w:pPr>
        <w:rPr>
          <w:rFonts w:hint="default" w:ascii="Times New Roman" w:hAnsi="Times New Roman" w:cs="Times New Roman"/>
        </w:rPr>
      </w:pP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2.事业收入：指事业单位开展专业业务活动及辅助活动取得的收入。</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3.经营收入：指事业单位在专业业务活动及其辅助活动之外开展非独立核算经营活动取得的收入。</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4.其他收入：指单位取得的除上述收入以外的各项收入。</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5.使用非财政拨款结余（含专用结余）：指事业单位使用以前年度积累的非财政拨款结余弥补当年收支差额的金额。</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6.年初结转和结余：指以前年度尚未完成、结转到本年按有关规定继续使用的资金。</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7.结余分配：指事业单位按照会计制度规定缴纳的所得税、提取的专用结余以及转入非财政拨款结余的金额等。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8.年末结转和结余：指单位按有关规定结转到下年或以后年度继续使用的资金。</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9.社会保障和就业支出人力资源和社会保障管理事务行政运行（2080101）：指行政单位（包括实行公务员管理的事业单位）的基本支出。</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10.社会保障和就业支出人力资源和社会保障管理事务社会保险业务管理事务（2080107）：指社会保险业务管理和基金监督方面的支出。</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11.社会保障和就业支出人力资源和社会保障管理事务劳动人事争议调解仲裁（2080112）：指仲裁机构实体化建设、办案经费、调解仲裁能力建设等支出。</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12.社会保障和就业支出人力资源和社会保障管理事务引进人才费用（2080116）：指引进事业和专技人才等方面的支出。</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13.社会保障和就业支出人力资源和社会保障管理事务事业运行（2080150）：指事业单位的基本支出。</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14.社会保障和就业支出人力资源和社会保障管理事务其他人力资源和社会保障管理事务支出（2080199）：指除上述项目以外其他用于人力资源和社会保障管理事务方面的支出。</w:t>
      </w:r>
    </w:p>
    <w:p>
      <w:pPr>
        <w:ind w:firstLine="640" w:firstLineChars="200"/>
        <w:rPr>
          <w:rFonts w:hint="default" w:ascii="Times New Roman" w:hAnsi="Times New Roman" w:eastAsia="仿宋_GB2312" w:cs="Times New Roman"/>
          <w:sz w:val="32"/>
          <w:szCs w:val="32"/>
        </w:rPr>
      </w:pPr>
      <w:r>
        <w:rPr>
          <w:rFonts w:hint="eastAsia" w:eastAsia="仿宋_GB2312" w:cs="Times New Roman"/>
          <w:sz w:val="32"/>
          <w:szCs w:val="32"/>
          <w:lang w:val="en-US" w:eastAsia="zh-CN"/>
        </w:rPr>
        <w:t>15</w:t>
      </w:r>
      <w:r>
        <w:rPr>
          <w:rFonts w:hint="default" w:ascii="Times New Roman" w:hAnsi="Times New Roman" w:eastAsia="仿宋_GB2312" w:cs="Times New Roman"/>
          <w:sz w:val="32"/>
          <w:szCs w:val="32"/>
        </w:rPr>
        <w:t>.基本支出：指为保障机构正常运转、完成日常工作任务而发生的人员支出和公用支出。</w:t>
      </w:r>
    </w:p>
    <w:p>
      <w:pPr>
        <w:ind w:firstLine="640" w:firstLineChars="200"/>
        <w:rPr>
          <w:rFonts w:hint="default" w:ascii="Times New Roman" w:hAnsi="Times New Roman" w:eastAsia="仿宋_GB2312" w:cs="Times New Roman"/>
          <w:sz w:val="32"/>
          <w:szCs w:val="32"/>
        </w:rPr>
      </w:pPr>
      <w:r>
        <w:rPr>
          <w:rFonts w:hint="eastAsia" w:eastAsia="仿宋_GB2312" w:cs="Times New Roman"/>
          <w:sz w:val="32"/>
          <w:szCs w:val="32"/>
          <w:lang w:val="en-US" w:eastAsia="zh-CN"/>
        </w:rPr>
        <w:t>16</w:t>
      </w:r>
      <w:r>
        <w:rPr>
          <w:rFonts w:hint="default" w:ascii="Times New Roman" w:hAnsi="Times New Roman" w:eastAsia="仿宋_GB2312" w:cs="Times New Roman"/>
          <w:sz w:val="32"/>
          <w:szCs w:val="32"/>
        </w:rPr>
        <w:t xml:space="preserve">.项目支出：指在基本支出之外为完成特定行政任务和事业发展目标所发生的支出。 </w:t>
      </w:r>
    </w:p>
    <w:p>
      <w:pPr>
        <w:ind w:firstLine="640" w:firstLineChars="200"/>
        <w:rPr>
          <w:rFonts w:hint="default" w:ascii="Times New Roman" w:hAnsi="Times New Roman" w:eastAsia="仿宋_GB2312" w:cs="Times New Roman"/>
          <w:sz w:val="32"/>
          <w:szCs w:val="32"/>
        </w:rPr>
      </w:pPr>
      <w:r>
        <w:rPr>
          <w:rFonts w:hint="eastAsia" w:eastAsia="仿宋_GB2312" w:cs="Times New Roman"/>
          <w:sz w:val="32"/>
          <w:szCs w:val="32"/>
          <w:lang w:val="en-US" w:eastAsia="zh-CN"/>
        </w:rPr>
        <w:t>17</w:t>
      </w:r>
      <w:r>
        <w:rPr>
          <w:rFonts w:hint="default" w:ascii="Times New Roman" w:hAnsi="Times New Roman" w:eastAsia="仿宋_GB2312" w:cs="Times New Roman"/>
          <w:sz w:val="32"/>
          <w:szCs w:val="32"/>
        </w:rPr>
        <w:t>.经营支出：指事业单位在专业业务活动及其辅助活动之外开展非独立核算经营活动发生的支出。</w:t>
      </w:r>
    </w:p>
    <w:p>
      <w:pPr>
        <w:ind w:firstLine="640" w:firstLineChars="200"/>
        <w:rPr>
          <w:rFonts w:hint="default" w:ascii="Times New Roman" w:hAnsi="Times New Roman" w:eastAsia="仿宋_GB2312" w:cs="Times New Roman"/>
          <w:sz w:val="32"/>
          <w:szCs w:val="32"/>
        </w:rPr>
      </w:pPr>
      <w:r>
        <w:rPr>
          <w:rFonts w:hint="eastAsia" w:eastAsia="仿宋_GB2312" w:cs="Times New Roman"/>
          <w:sz w:val="32"/>
          <w:szCs w:val="32"/>
          <w:lang w:val="en-US" w:eastAsia="zh-CN"/>
        </w:rPr>
        <w:t>18</w:t>
      </w:r>
      <w:r>
        <w:rPr>
          <w:rFonts w:hint="default"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hint="default" w:ascii="Times New Roman" w:hAnsi="Times New Roman" w:cs="Times New Roman"/>
        </w:rPr>
      </w:pPr>
      <w:r>
        <w:rPr>
          <w:rFonts w:hint="eastAsia" w:eastAsia="仿宋_GB2312" w:cs="Times New Roman"/>
          <w:sz w:val="32"/>
          <w:szCs w:val="32"/>
          <w:lang w:val="en-US" w:eastAsia="zh-CN"/>
        </w:rPr>
        <w:t>19</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2" w:firstLineChars="200"/>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br w:type="page"/>
      </w:r>
    </w:p>
    <w:p>
      <w:pPr>
        <w:pStyle w:val="4"/>
        <w:keepNext/>
        <w:keepLines/>
        <w:pageBreakBefore w:val="0"/>
        <w:widowControl w:val="0"/>
        <w:kinsoku/>
        <w:wordWrap/>
        <w:overflowPunct/>
        <w:topLinePunct w:val="0"/>
        <w:autoSpaceDE/>
        <w:autoSpaceDN/>
        <w:bidi w:val="0"/>
        <w:adjustRightInd/>
        <w:snapToGrid/>
        <w:spacing w:line="579" w:lineRule="auto"/>
        <w:jc w:val="center"/>
        <w:textAlignment w:val="auto"/>
        <w:rPr>
          <w:rFonts w:hint="default" w:ascii="Times New Roman" w:hAnsi="Times New Roman" w:eastAsia="黑体" w:cs="Times New Roman"/>
          <w:b w:val="0"/>
        </w:rPr>
      </w:pPr>
      <w:bookmarkStart w:id="64" w:name="_Toc1600679290"/>
      <w:r>
        <w:rPr>
          <w:rFonts w:hint="default" w:ascii="Times New Roman" w:hAnsi="Times New Roman" w:eastAsia="黑体" w:cs="Times New Roman"/>
          <w:b w:val="0"/>
        </w:rPr>
        <w:t>第四部分 附件</w:t>
      </w:r>
      <w:bookmarkEnd w:id="64"/>
    </w:p>
    <w:p>
      <w:pPr>
        <w:rPr>
          <w:rFonts w:hint="default" w:ascii="Times New Roman" w:hAnsi="Times New Roman" w:cs="Times New Roman"/>
        </w:rPr>
      </w:pPr>
    </w:p>
    <w:p>
      <w:pPr>
        <w:rPr>
          <w:rFonts w:hint="default" w:ascii="Times New Roman" w:hAnsi="Times New Roman" w:eastAsia="宋体" w:cs="Times New Roman"/>
          <w:b/>
          <w:sz w:val="44"/>
          <w:szCs w:val="44"/>
          <w:highlight w:val="none"/>
          <w:shd w:val="clear" w:color="auto" w:fill="FFFFFF"/>
        </w:rPr>
      </w:pPr>
      <w:r>
        <w:rPr>
          <w:rFonts w:hint="default" w:ascii="Times New Roman" w:hAnsi="Times New Roman" w:eastAsia="黑体" w:cs="Times New Roman"/>
          <w:sz w:val="32"/>
          <w:szCs w:val="32"/>
        </w:rPr>
        <w:t>附件1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（一）</w:t>
      </w:r>
      <w:r>
        <w:rPr>
          <w:rFonts w:hint="default" w:ascii="Times New Roman" w:hAnsi="Times New Roman" w:eastAsia="楷体_GB2312" w:cs="Times New Roman"/>
          <w:b/>
          <w:bCs/>
          <w:color w:val="000000"/>
          <w:kern w:val="0"/>
          <w:sz w:val="32"/>
          <w:szCs w:val="32"/>
          <w:highlight w:val="none"/>
          <w:shd w:val="clear" w:color="auto" w:fill="FFFFFF"/>
          <w:lang w:val="zh-CN"/>
        </w:rPr>
        <w:t>机构组成。</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我部是县委主管组织工作、干部工作、老干部工作、公务员工作、人才工作、县直机关工委工作的县委职能部门，为正科级，列县委工作机关序列。挂直属机关工作委员会、老干部局、公务员局牌子。</w:t>
      </w:r>
    </w:p>
    <w:p>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机构职能</w:t>
      </w:r>
      <w:r>
        <w:rPr>
          <w:rFonts w:hint="eastAsia" w:ascii="Times New Roman" w:hAnsi="Times New Roman" w:eastAsia="楷体_GB2312" w:cs="Times New Roman"/>
          <w:b/>
          <w:bCs/>
          <w:color w:val="000000"/>
          <w:kern w:val="0"/>
          <w:sz w:val="32"/>
          <w:szCs w:val="32"/>
          <w:highlight w:val="none"/>
          <w:shd w:val="clear" w:color="auto" w:fill="FFFFFF"/>
          <w:lang w:val="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仿宋_GB2312" w:cs="Times New Roman"/>
          <w:sz w:val="32"/>
          <w:szCs w:val="32"/>
          <w:lang w:val="en-US" w:eastAsia="zh-CN"/>
        </w:rPr>
        <w:t>我部贯彻新时代党的建设总要求和党的组织路线，落实县委相关决策部署。（1）负责全县的组织体系、组织制度建设，负责基层党组织建设规划指导和党员队伍宏观管理，指导开展党员教育工作。（2）负责全县科级领导班子和干部队伍建设的总体规划和宏观管理。负责县委管理科级领导班子和领导干部的考察考核、日常管理。负责全县优秀年轻干部队伍建设工作。（3）负责管理全县公务员工作。（4）负责全县人才队伍建设宏观指导、政策落实、综合协调和督促检查。（5）负责组织、指导全县干部教育培训工作的宏观指导、政策规划、组织协调和督促检查，负责县委重点培训项目的策划、实施和管理，指导全县干部教育培训基地建设管理、师资队伍建设等工作。（6）负责全县干部监督工作的宏观指导和综合协调，制定和落实干部监督工作制度。（7）负责副县级及以上离退休干部的管理和服务。（8）负责制定全县直属机关党的建设工作规划。（9）统一归口管理县委机构编制委员会办公室。（10）承担县委党建领导小组、县人才工作领导小组日常工作。（11）完成县委交办的其他任务。</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截至202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年末</w:t>
      </w:r>
      <w:r>
        <w:rPr>
          <w:rFonts w:hint="eastAsia" w:ascii="Times New Roman" w:hAnsi="Times New Roman" w:eastAsia="仿宋_GB2312" w:cs="Times New Roman"/>
          <w:sz w:val="32"/>
          <w:szCs w:val="32"/>
          <w:lang w:val="en-US" w:eastAsia="zh-CN"/>
        </w:rPr>
        <w:t>，我部及所属事业单位机构编制总数34名，实有人员32名。核定领导职数8名（3正5副），实配领导7名（3正4副）。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内设机构5个，挂县委老干部局、公务员局、县直机关工委。核机关工勤事业人员编制2名。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下属参照公务员管理的事业单位1个，党员教育中心，实有编制8名，核股室级领导职数1名，实有人员8人；参照公务员管理的事业单位1个，玉堂干休所，实有编制2名，核股室级领导职数1名，实有人员2人.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下属公益一类事业单位1个，信息中心，实有编制4名，核股室级领导职数1名，实有人员3人；公益一类事业单位1个，关心下一代工作委员会，实有编制1名，核股室级领导职数1名，实有人员1名；公益一类事业单位1个，老干部活动中心，实有编制3名，核股室级领导职数1名，实有人员4名。</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二、</w:t>
      </w:r>
      <w:r>
        <w:rPr>
          <w:rFonts w:hint="default" w:ascii="Times New Roman" w:hAnsi="Times New Roman" w:eastAsia="黑体" w:cs="Times New Roman"/>
          <w:color w:val="000000"/>
          <w:kern w:val="0"/>
          <w:sz w:val="32"/>
          <w:szCs w:val="32"/>
          <w:highlight w:val="none"/>
          <w:shd w:val="clear" w:color="auto" w:fill="FFFFFF"/>
          <w:lang w:eastAsia="zh-CN"/>
        </w:rPr>
        <w:t>部门</w:t>
      </w:r>
      <w:r>
        <w:rPr>
          <w:rFonts w:hint="default" w:ascii="Times New Roman" w:hAnsi="Times New Roman" w:eastAsia="黑体" w:cs="Times New Roman"/>
          <w:color w:val="000000"/>
          <w:kern w:val="0"/>
          <w:sz w:val="32"/>
          <w:szCs w:val="32"/>
          <w:highlight w:val="none"/>
          <w:shd w:val="clear" w:color="auto" w:fill="FFFFFF"/>
        </w:rPr>
        <w:t>资金收支情况</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en-US"/>
        </w:rPr>
      </w:pPr>
      <w:r>
        <w:rPr>
          <w:rFonts w:hint="eastAsia" w:ascii="Times New Roman" w:hAnsi="Times New Roman" w:eastAsia="仿宋_GB2312" w:cs="Times New Roman"/>
          <w:sz w:val="32"/>
          <w:szCs w:val="32"/>
          <w:lang w:val="en-US" w:eastAsia="zh-CN"/>
        </w:rPr>
        <w:t>中共红原县委员会组织部</w:t>
      </w:r>
      <w:r>
        <w:rPr>
          <w:rFonts w:hint="eastAsia" w:ascii="Times New Roman" w:hAnsi="Times New Roman" w:eastAsia="仿宋_GB2312" w:cs="Times New Roman"/>
          <w:color w:val="000000"/>
          <w:sz w:val="32"/>
          <w:szCs w:val="32"/>
          <w:lang w:val="en-US" w:eastAsia="zh-CN"/>
        </w:rPr>
        <w:t>2023年年初预算收入数为1183.67万元，2023年度决算报表收入全年预算数为1651.66万元。</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中共红原县委员会组织部</w:t>
      </w:r>
      <w:r>
        <w:rPr>
          <w:rFonts w:hint="eastAsia" w:ascii="Times New Roman" w:hAnsi="Times New Roman" w:eastAsia="仿宋_GB2312" w:cs="Times New Roman"/>
          <w:color w:val="000000"/>
          <w:sz w:val="32"/>
          <w:szCs w:val="32"/>
          <w:lang w:val="en-US" w:eastAsia="zh-CN"/>
        </w:rPr>
        <w:t>2023年年初预算支出数为1183.67万元，2023年度决算报表支出全年预算数为1651.66万元。</w:t>
      </w:r>
    </w:p>
    <w:p>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left="0" w:leftChars="0" w:firstLine="642" w:firstLineChars="200"/>
        <w:contextualSpacing/>
        <w:jc w:val="left"/>
        <w:textAlignment w:val="auto"/>
        <w:outlineLvl w:val="9"/>
        <w:rPr>
          <w:rFonts w:hint="eastAsia" w:ascii="Times New Roman" w:hAnsi="Times New Roman" w:eastAsia="楷体_GB2312" w:cs="Times New Roman"/>
          <w:b/>
          <w:sz w:val="32"/>
          <w:szCs w:val="32"/>
          <w:lang w:eastAsia="zh-CN"/>
        </w:rPr>
      </w:pPr>
      <w:r>
        <w:rPr>
          <w:rFonts w:hint="default" w:ascii="Times New Roman" w:hAnsi="Times New Roman" w:eastAsia="楷体_GB2312" w:cs="Times New Roman"/>
          <w:b/>
          <w:sz w:val="32"/>
          <w:szCs w:val="32"/>
        </w:rPr>
        <w:t>结余分配和结转结余情况</w:t>
      </w:r>
      <w:r>
        <w:rPr>
          <w:rFonts w:hint="eastAsia" w:ascii="Times New Roman" w:hAnsi="Times New Roman" w:eastAsia="楷体_GB2312" w:cs="Times New Roman"/>
          <w:b/>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default" w:ascii="Times New Roman" w:hAnsi="Times New Roman" w:eastAsia="仿宋_GB2312" w:cs="Times New Roman"/>
          <w:b w:val="0"/>
          <w:bCs w:val="0"/>
          <w:color w:val="000000"/>
          <w:kern w:val="0"/>
          <w:sz w:val="32"/>
          <w:szCs w:val="32"/>
          <w:highlight w:val="none"/>
          <w:shd w:val="clear" w:color="auto" w:fill="FFFFFF"/>
          <w:lang w:val="zh-CN" w:eastAsia="zh-CN"/>
        </w:rPr>
      </w:pPr>
      <w:r>
        <w:rPr>
          <w:rFonts w:hint="eastAsia" w:ascii="Times New Roman" w:hAnsi="Times New Roman" w:eastAsia="仿宋_GB2312" w:cs="Times New Roman"/>
          <w:sz w:val="32"/>
          <w:szCs w:val="32"/>
          <w:lang w:val="en-US" w:eastAsia="zh-CN"/>
        </w:rPr>
        <w:t>中共红原县委员会组织部</w:t>
      </w:r>
      <w:r>
        <w:rPr>
          <w:rFonts w:hint="default" w:ascii="Times New Roman" w:hAnsi="Times New Roman" w:eastAsia="仿宋_GB2312" w:cs="Times New Roman"/>
          <w:kern w:val="2"/>
          <w:sz w:val="32"/>
          <w:szCs w:val="32"/>
          <w:lang w:val="en-US" w:eastAsia="zh-CN" w:bidi="ar-SA"/>
        </w:rPr>
        <w:t>202</w:t>
      </w:r>
      <w:r>
        <w:rPr>
          <w:rFonts w:hint="eastAsia"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kern w:val="2"/>
          <w:sz w:val="32"/>
          <w:szCs w:val="32"/>
          <w:lang w:val="en-US" w:eastAsia="zh-CN" w:bidi="ar-SA"/>
        </w:rPr>
        <w:t>年年末无资金结转和结余</w:t>
      </w:r>
      <w:r>
        <w:rPr>
          <w:rFonts w:hint="eastAsia" w:ascii="Times New Roman" w:hAnsi="Times New Roman" w:eastAsia="仿宋_GB2312" w:cs="Times New Roman"/>
          <w:kern w:val="2"/>
          <w:sz w:val="32"/>
          <w:szCs w:val="32"/>
          <w:lang w:val="en-US" w:eastAsia="zh-CN" w:bidi="ar-SA"/>
        </w:rPr>
        <w:t>。</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三、</w:t>
      </w:r>
      <w:r>
        <w:rPr>
          <w:rFonts w:hint="default" w:ascii="Times New Roman" w:hAnsi="Times New Roman" w:eastAsia="黑体" w:cs="Times New Roman"/>
          <w:color w:val="000000"/>
          <w:kern w:val="0"/>
          <w:sz w:val="32"/>
          <w:szCs w:val="32"/>
          <w:highlight w:val="none"/>
          <w:u w:val="none"/>
          <w:shd w:val="clear" w:color="auto" w:fill="FFFFFF"/>
        </w:rPr>
        <w:t>部门</w:t>
      </w:r>
      <w:r>
        <w:rPr>
          <w:rFonts w:hint="default" w:ascii="Times New Roman" w:hAnsi="Times New Roman" w:eastAsia="黑体" w:cs="Times New Roman"/>
          <w:color w:val="000000"/>
          <w:kern w:val="0"/>
          <w:sz w:val="32"/>
          <w:szCs w:val="32"/>
          <w:highlight w:val="none"/>
          <w:u w:val="none"/>
          <w:shd w:val="clear" w:color="auto" w:fill="FFFFFF"/>
          <w:lang w:eastAsia="zh-CN"/>
        </w:rPr>
        <w:t>预算</w:t>
      </w:r>
      <w:r>
        <w:rPr>
          <w:rFonts w:hint="default" w:ascii="Times New Roman" w:hAnsi="Times New Roman" w:eastAsia="黑体" w:cs="Times New Roman"/>
          <w:color w:val="000000"/>
          <w:kern w:val="0"/>
          <w:sz w:val="32"/>
          <w:szCs w:val="32"/>
          <w:highlight w:val="none"/>
          <w:u w:val="none"/>
          <w:shd w:val="clear" w:color="auto" w:fill="FFFFFF"/>
        </w:rPr>
        <w:t>绩效</w:t>
      </w:r>
      <w:r>
        <w:rPr>
          <w:rFonts w:hint="default" w:ascii="Times New Roman" w:hAnsi="Times New Roman" w:eastAsia="黑体" w:cs="Times New Roman"/>
          <w:color w:val="000000"/>
          <w:kern w:val="0"/>
          <w:sz w:val="32"/>
          <w:szCs w:val="32"/>
          <w:highlight w:val="none"/>
          <w:u w:val="none"/>
          <w:shd w:val="clear" w:color="auto" w:fill="FFFFFF"/>
          <w:lang w:eastAsia="zh-CN"/>
        </w:rPr>
        <w:t>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仿宋_GB2312" w:cs="Times New Roman"/>
          <w:color w:val="FF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1.</w:t>
      </w:r>
      <w:r>
        <w:rPr>
          <w:rFonts w:hint="eastAsia" w:ascii="楷体_GB2312" w:hAnsi="楷体_GB2312" w:eastAsia="楷体_GB2312" w:cs="楷体_GB2312"/>
          <w:color w:val="000000"/>
          <w:kern w:val="0"/>
          <w:sz w:val="32"/>
          <w:szCs w:val="32"/>
          <w:highlight w:val="none"/>
          <w:shd w:val="clear" w:color="auto" w:fill="FFFFFF"/>
          <w:lang w:val="zh-CN"/>
        </w:rPr>
        <w:t>履职效能。</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项目名称1：基层组织建设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产出指标：基层组织建设工作完成率100%。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效益指标：有效保障基层组织建设工作正常开展，持续巩固牧区基层党建示范县建设，确保其持续巩固工作的全面开展。</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成本指标：预计数</w:t>
      </w:r>
      <w:r>
        <w:rPr>
          <w:rFonts w:hint="eastAsia" w:ascii="Times New Roman" w:hAnsi="Times New Roman" w:eastAsia="仿宋_GB2312" w:cs="Times New Roman"/>
          <w:color w:val="000000"/>
          <w:kern w:val="0"/>
          <w:sz w:val="32"/>
          <w:szCs w:val="32"/>
          <w:highlight w:val="none"/>
          <w:shd w:val="clear" w:color="auto" w:fill="FFFFFF"/>
          <w:lang w:val="en-US" w:eastAsia="zh-CN"/>
        </w:rPr>
        <w:t>12</w:t>
      </w:r>
      <w:r>
        <w:rPr>
          <w:rFonts w:hint="eastAsia" w:ascii="Times New Roman" w:hAnsi="Times New Roman" w:eastAsia="仿宋_GB2312" w:cs="Times New Roman"/>
          <w:color w:val="000000"/>
          <w:kern w:val="0"/>
          <w:sz w:val="32"/>
          <w:szCs w:val="32"/>
          <w:highlight w:val="none"/>
          <w:shd w:val="clear" w:color="auto" w:fill="FFFFFF"/>
          <w:lang w:val="zh-CN"/>
        </w:rPr>
        <w:t>.00万元，已完成计划的</w:t>
      </w:r>
      <w:r>
        <w:rPr>
          <w:rFonts w:hint="eastAsia" w:ascii="Times New Roman" w:hAnsi="Times New Roman" w:eastAsia="仿宋_GB2312" w:cs="Times New Roman"/>
          <w:color w:val="000000"/>
          <w:kern w:val="0"/>
          <w:sz w:val="32"/>
          <w:szCs w:val="32"/>
          <w:highlight w:val="none"/>
          <w:shd w:val="clear" w:color="auto" w:fill="FFFFFF"/>
          <w:lang w:val="en-US" w:eastAsia="zh-CN"/>
        </w:rPr>
        <w:t>100</w:t>
      </w:r>
      <w:r>
        <w:rPr>
          <w:rFonts w:hint="eastAsia" w:ascii="Times New Roman" w:hAnsi="Times New Roman" w:eastAsia="仿宋_GB2312" w:cs="Times New Roman"/>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满意度指标：服务对象满意度100%。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项目名称</w:t>
      </w:r>
      <w:r>
        <w:rPr>
          <w:rFonts w:hint="eastAsia" w:ascii="Times New Roman" w:hAnsi="Times New Roman" w:eastAsia="仿宋_GB2312" w:cs="Times New Roman"/>
          <w:color w:val="000000"/>
          <w:kern w:val="0"/>
          <w:sz w:val="32"/>
          <w:szCs w:val="32"/>
          <w:highlight w:val="none"/>
          <w:shd w:val="clear" w:color="auto" w:fill="FFFFFF"/>
          <w:lang w:val="en-US" w:eastAsia="zh-CN"/>
        </w:rPr>
        <w:t>2</w:t>
      </w:r>
      <w:r>
        <w:rPr>
          <w:rFonts w:hint="eastAsia" w:ascii="Times New Roman" w:hAnsi="Times New Roman" w:eastAsia="仿宋_GB2312" w:cs="Times New Roman"/>
          <w:color w:val="000000"/>
          <w:kern w:val="0"/>
          <w:sz w:val="32"/>
          <w:szCs w:val="32"/>
          <w:highlight w:val="none"/>
          <w:shd w:val="clear" w:color="auto" w:fill="FFFFFF"/>
          <w:lang w:val="zh-CN"/>
        </w:rPr>
        <w:t>：“9+3”免费职业教育派驻干部生活补助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rPr>
      </w:pPr>
      <w:r>
        <w:rPr>
          <w:rFonts w:hint="eastAsia" w:ascii="Times New Roman" w:hAnsi="Times New Roman" w:eastAsia="仿宋_GB2312" w:cs="Times New Roman"/>
          <w:color w:val="000000"/>
          <w:kern w:val="0"/>
          <w:sz w:val="32"/>
          <w:szCs w:val="32"/>
          <w:highlight w:val="none"/>
          <w:shd w:val="clear" w:color="auto" w:fill="FFFFFF"/>
          <w:lang w:val="zh-CN"/>
        </w:rPr>
        <w:t>产出指标：严格“落实我县藏区“9+3”免费职业教育计划派驻干部、教师生活补助和公杂费</w:t>
      </w:r>
      <w:r>
        <w:rPr>
          <w:rFonts w:hint="eastAsia" w:ascii="Times New Roman" w:hAnsi="Times New Roman" w:eastAsia="仿宋_GB2312" w:cs="Times New Roman"/>
          <w:color w:val="000000"/>
          <w:kern w:val="0"/>
          <w:sz w:val="32"/>
          <w:szCs w:val="32"/>
          <w:highlight w:val="none"/>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效益指标：“9+3”免费职业教育派驻干部生活补助效益</w:t>
      </w:r>
      <w:r>
        <w:rPr>
          <w:rFonts w:hint="eastAsia" w:ascii="Times New Roman" w:hAnsi="Times New Roman" w:eastAsia="仿宋_GB2312" w:cs="Times New Roman"/>
          <w:color w:val="000000"/>
          <w:kern w:val="0"/>
          <w:sz w:val="32"/>
          <w:szCs w:val="32"/>
          <w:highlight w:val="none"/>
          <w:shd w:val="clear" w:color="auto" w:fill="FFFFFF"/>
          <w:lang w:val="en-US" w:eastAsia="zh-CN"/>
        </w:rPr>
        <w:t>21000元/人年</w:t>
      </w:r>
      <w:r>
        <w:rPr>
          <w:rFonts w:hint="eastAsia" w:ascii="Times New Roman" w:hAnsi="Times New Roman" w:eastAsia="仿宋_GB2312" w:cs="Times New Roman"/>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成本指标：预计数</w:t>
      </w:r>
      <w:r>
        <w:rPr>
          <w:rFonts w:hint="eastAsia" w:ascii="Times New Roman" w:hAnsi="Times New Roman" w:eastAsia="仿宋_GB2312" w:cs="Times New Roman"/>
          <w:color w:val="000000"/>
          <w:kern w:val="0"/>
          <w:sz w:val="32"/>
          <w:szCs w:val="32"/>
          <w:highlight w:val="none"/>
          <w:shd w:val="clear" w:color="auto" w:fill="FFFFFF"/>
          <w:lang w:val="en-US" w:eastAsia="zh-CN"/>
        </w:rPr>
        <w:t>8.40</w:t>
      </w:r>
      <w:r>
        <w:rPr>
          <w:rFonts w:hint="eastAsia" w:ascii="Times New Roman" w:hAnsi="Times New Roman" w:eastAsia="仿宋_GB2312" w:cs="Times New Roman"/>
          <w:color w:val="000000"/>
          <w:kern w:val="0"/>
          <w:sz w:val="32"/>
          <w:szCs w:val="32"/>
          <w:highlight w:val="none"/>
          <w:shd w:val="clear" w:color="auto" w:fill="FFFFFF"/>
          <w:lang w:val="zh-CN"/>
        </w:rPr>
        <w:t>万元，已完成计划的</w:t>
      </w:r>
      <w:r>
        <w:rPr>
          <w:rFonts w:hint="eastAsia" w:ascii="Times New Roman" w:hAnsi="Times New Roman" w:eastAsia="仿宋_GB2312" w:cs="Times New Roman"/>
          <w:color w:val="000000"/>
          <w:kern w:val="0"/>
          <w:sz w:val="32"/>
          <w:szCs w:val="32"/>
          <w:highlight w:val="none"/>
          <w:shd w:val="clear" w:color="auto" w:fill="FFFFFF"/>
          <w:lang w:val="en-US" w:eastAsia="zh-CN"/>
        </w:rPr>
        <w:t>100</w:t>
      </w:r>
      <w:r>
        <w:rPr>
          <w:rFonts w:hint="eastAsia" w:ascii="Times New Roman" w:hAnsi="Times New Roman" w:eastAsia="仿宋_GB2312" w:cs="Times New Roman"/>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满意度指标：帮扶对象满意度100%。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项目名称</w:t>
      </w:r>
      <w:r>
        <w:rPr>
          <w:rFonts w:hint="eastAsia" w:ascii="Times New Roman" w:hAnsi="Times New Roman" w:eastAsia="仿宋_GB2312" w:cs="Times New Roman"/>
          <w:color w:val="000000"/>
          <w:kern w:val="0"/>
          <w:sz w:val="32"/>
          <w:szCs w:val="32"/>
          <w:highlight w:val="none"/>
          <w:shd w:val="clear" w:color="auto" w:fill="FFFFFF"/>
          <w:lang w:val="en-US" w:eastAsia="zh-CN"/>
        </w:rPr>
        <w:t>3</w:t>
      </w:r>
      <w:r>
        <w:rPr>
          <w:rFonts w:hint="eastAsia" w:ascii="Times New Roman" w:hAnsi="Times New Roman" w:eastAsia="仿宋_GB2312" w:cs="Times New Roman"/>
          <w:color w:val="000000"/>
          <w:kern w:val="0"/>
          <w:sz w:val="32"/>
          <w:szCs w:val="32"/>
          <w:highlight w:val="none"/>
          <w:shd w:val="clear" w:color="auto" w:fill="FFFFFF"/>
          <w:lang w:val="zh-CN"/>
        </w:rPr>
        <w:t>：离退休支部党组书记和委员工作补贴</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rPr>
      </w:pPr>
      <w:r>
        <w:rPr>
          <w:rFonts w:hint="eastAsia" w:ascii="Times New Roman" w:hAnsi="Times New Roman" w:eastAsia="仿宋_GB2312" w:cs="Times New Roman"/>
          <w:color w:val="000000"/>
          <w:kern w:val="0"/>
          <w:sz w:val="32"/>
          <w:szCs w:val="32"/>
          <w:highlight w:val="none"/>
          <w:shd w:val="clear" w:color="auto" w:fill="FFFFFF"/>
          <w:lang w:val="zh-CN"/>
        </w:rPr>
        <w:t>产出指标：进一步加强和改进离退休干部党组织建设工作</w:t>
      </w:r>
      <w:r>
        <w:rPr>
          <w:rFonts w:hint="eastAsia" w:ascii="Times New Roman" w:hAnsi="Times New Roman" w:eastAsia="仿宋_GB2312" w:cs="Times New Roman"/>
          <w:color w:val="000000"/>
          <w:kern w:val="0"/>
          <w:sz w:val="32"/>
          <w:szCs w:val="32"/>
          <w:highlight w:val="none"/>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效益指标：“离退休干部党组织书记、委员工作补贴</w:t>
      </w:r>
      <w:r>
        <w:rPr>
          <w:rFonts w:hint="eastAsia" w:ascii="Times New Roman" w:hAnsi="Times New Roman" w:eastAsia="仿宋_GB2312" w:cs="Times New Roman"/>
          <w:color w:val="000000"/>
          <w:kern w:val="0"/>
          <w:sz w:val="32"/>
          <w:szCs w:val="32"/>
          <w:highlight w:val="none"/>
          <w:shd w:val="clear" w:color="auto" w:fill="FFFFFF"/>
          <w:lang w:val="en-US" w:eastAsia="zh-CN"/>
        </w:rPr>
        <w:t>1800元/人年</w:t>
      </w:r>
      <w:r>
        <w:rPr>
          <w:rFonts w:hint="eastAsia" w:ascii="Times New Roman" w:hAnsi="Times New Roman" w:eastAsia="仿宋_GB2312" w:cs="Times New Roman"/>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成本指标：预计数</w:t>
      </w:r>
      <w:r>
        <w:rPr>
          <w:rFonts w:hint="eastAsia" w:ascii="Times New Roman" w:hAnsi="Times New Roman" w:eastAsia="仿宋_GB2312" w:cs="Times New Roman"/>
          <w:color w:val="000000"/>
          <w:kern w:val="0"/>
          <w:sz w:val="32"/>
          <w:szCs w:val="32"/>
          <w:highlight w:val="none"/>
          <w:shd w:val="clear" w:color="auto" w:fill="FFFFFF"/>
          <w:lang w:val="en-US" w:eastAsia="zh-CN"/>
        </w:rPr>
        <w:t>7.32</w:t>
      </w:r>
      <w:r>
        <w:rPr>
          <w:rFonts w:hint="eastAsia" w:ascii="Times New Roman" w:hAnsi="Times New Roman" w:eastAsia="仿宋_GB2312" w:cs="Times New Roman"/>
          <w:color w:val="000000"/>
          <w:kern w:val="0"/>
          <w:sz w:val="32"/>
          <w:szCs w:val="32"/>
          <w:highlight w:val="none"/>
          <w:shd w:val="clear" w:color="auto" w:fill="FFFFFF"/>
          <w:lang w:val="zh-CN"/>
        </w:rPr>
        <w:t>万元，已完成计划的</w:t>
      </w:r>
      <w:r>
        <w:rPr>
          <w:rFonts w:hint="eastAsia" w:ascii="Times New Roman" w:hAnsi="Times New Roman" w:eastAsia="仿宋_GB2312" w:cs="Times New Roman"/>
          <w:color w:val="000000"/>
          <w:kern w:val="0"/>
          <w:sz w:val="32"/>
          <w:szCs w:val="32"/>
          <w:highlight w:val="none"/>
          <w:shd w:val="clear" w:color="auto" w:fill="FFFFFF"/>
          <w:lang w:val="en-US" w:eastAsia="zh-CN"/>
        </w:rPr>
        <w:t>97.54</w:t>
      </w:r>
      <w:r>
        <w:rPr>
          <w:rFonts w:hint="eastAsia" w:ascii="Times New Roman" w:hAnsi="Times New Roman" w:eastAsia="仿宋_GB2312" w:cs="Times New Roman"/>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满意度指标：服务对象满意度100%。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2.</w:t>
      </w:r>
      <w:r>
        <w:rPr>
          <w:rFonts w:hint="default" w:ascii="楷体_GB2312" w:hAnsi="楷体_GB2312" w:eastAsia="楷体_GB2312" w:cs="楷体_GB2312"/>
          <w:color w:val="000000"/>
          <w:kern w:val="0"/>
          <w:sz w:val="32"/>
          <w:szCs w:val="32"/>
          <w:highlight w:val="none"/>
          <w:shd w:val="clear" w:color="auto" w:fill="FFFFFF"/>
          <w:lang w:val="zh-CN"/>
        </w:rPr>
        <w:t>预算管理</w:t>
      </w:r>
      <w:r>
        <w:rPr>
          <w:rFonts w:hint="eastAsia" w:ascii="楷体_GB2312" w:hAnsi="楷体_GB2312" w:eastAsia="楷体_GB2312" w:cs="楷体_GB2312"/>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楷体_GB2312" w:hAnsi="楷体_GB2312" w:eastAsia="楷体_GB2312" w:cs="楷体_GB2312"/>
          <w:color w:val="FF0000"/>
          <w:kern w:val="0"/>
          <w:sz w:val="32"/>
          <w:szCs w:val="32"/>
          <w:highlight w:val="none"/>
          <w:shd w:val="clear" w:color="auto" w:fill="FFFFFF"/>
          <w:lang w:val="en-US"/>
        </w:rPr>
      </w:pPr>
      <w:r>
        <w:rPr>
          <w:rFonts w:hint="eastAsia" w:ascii="Times New Roman" w:hAnsi="Times New Roman" w:eastAsia="仿宋_GB2312" w:cs="Times New Roman"/>
          <w:color w:val="000000"/>
          <w:kern w:val="0"/>
          <w:sz w:val="32"/>
          <w:szCs w:val="32"/>
          <w:highlight w:val="none"/>
          <w:shd w:val="clear" w:color="auto" w:fill="FFFFFF"/>
          <w:lang w:val="zh-CN" w:eastAsia="zh-CN"/>
        </w:rPr>
        <w:t>部门严格按要求编制年初部门预算，基于历史数据、趋势和部门需求进行合理预测，严控“三公”经费、会议、培训、差旅、办节办展、办公设备购置、信息网络及软件购置更新、课题经费等8项一般性支出情况，保证年初预算编制的科学性和准确性。2023年年末无资金结转和结余。</w:t>
      </w:r>
      <w:r>
        <w:rPr>
          <w:rFonts w:hint="eastAsia" w:ascii="Times New Roman" w:hAnsi="Times New Roman" w:eastAsia="仿宋_GB2312" w:cs="Times New Roman"/>
          <w:color w:val="000000"/>
          <w:kern w:val="0"/>
          <w:sz w:val="32"/>
          <w:szCs w:val="32"/>
          <w:highlight w:val="none"/>
          <w:shd w:val="clear" w:color="auto" w:fill="FFFFFF"/>
          <w:lang w:val="zh-CN"/>
        </w:rPr>
        <w:t>指标总分</w:t>
      </w:r>
      <w:r>
        <w:rPr>
          <w:rFonts w:hint="eastAsia" w:ascii="Times New Roman" w:hAnsi="Times New Roman" w:eastAsia="仿宋_GB2312" w:cs="Times New Roman"/>
          <w:color w:val="000000"/>
          <w:kern w:val="0"/>
          <w:sz w:val="32"/>
          <w:szCs w:val="32"/>
          <w:highlight w:val="none"/>
          <w:shd w:val="clear" w:color="auto" w:fill="FFFFFF"/>
          <w:lang w:val="en-US" w:eastAsia="zh-CN"/>
        </w:rPr>
        <w:t>25分，评价得分19.14分。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3.</w:t>
      </w:r>
      <w:r>
        <w:rPr>
          <w:rFonts w:hint="default" w:ascii="楷体_GB2312" w:hAnsi="楷体_GB2312" w:eastAsia="楷体_GB2312" w:cs="楷体_GB2312"/>
          <w:color w:val="000000"/>
          <w:kern w:val="0"/>
          <w:sz w:val="32"/>
          <w:szCs w:val="32"/>
          <w:highlight w:val="none"/>
          <w:shd w:val="clear" w:color="auto" w:fill="FFFFFF"/>
          <w:lang w:val="zh-CN"/>
        </w:rPr>
        <w:t>财务管理</w:t>
      </w:r>
      <w:r>
        <w:rPr>
          <w:rFonts w:hint="eastAsia" w:ascii="楷体_GB2312" w:hAnsi="楷体_GB2312" w:eastAsia="楷体_GB2312" w:cs="楷体_GB2312"/>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FF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部门已制定内部财务管理制度等制度机制，并严格落实财务管理制度，确保所有财务活动遵循国家法律法规和部门内部政策。合理设置财务工作岗位，明确职责权限，并严格实行不相容岗位分离。资金使用符合相关财务管理制度规定。指标总分</w:t>
      </w:r>
      <w:r>
        <w:rPr>
          <w:rFonts w:hint="eastAsia" w:ascii="Times New Roman" w:hAnsi="Times New Roman" w:eastAsia="仿宋_GB2312" w:cs="Times New Roman"/>
          <w:color w:val="000000"/>
          <w:kern w:val="0"/>
          <w:sz w:val="32"/>
          <w:szCs w:val="32"/>
          <w:highlight w:val="none"/>
          <w:shd w:val="clear" w:color="auto" w:fill="FFFFFF"/>
          <w:lang w:val="en-US" w:eastAsia="zh-CN"/>
        </w:rPr>
        <w:t>10分，评价得分10分。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4.</w:t>
      </w:r>
      <w:r>
        <w:rPr>
          <w:rFonts w:hint="default" w:ascii="楷体_GB2312" w:hAnsi="楷体_GB2312" w:eastAsia="楷体_GB2312" w:cs="楷体_GB2312"/>
          <w:color w:val="000000"/>
          <w:kern w:val="0"/>
          <w:sz w:val="32"/>
          <w:szCs w:val="32"/>
          <w:highlight w:val="none"/>
          <w:shd w:val="clear" w:color="auto" w:fill="FFFFFF"/>
          <w:lang w:val="zh-CN"/>
        </w:rPr>
        <w:t>资产管理</w:t>
      </w:r>
      <w:r>
        <w:rPr>
          <w:rFonts w:hint="eastAsia" w:ascii="楷体_GB2312" w:hAnsi="楷体_GB2312" w:eastAsia="楷体_GB2312" w:cs="楷体_GB2312"/>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楷体_GB2312" w:hAnsi="楷体_GB2312" w:eastAsia="仿宋_GB2312" w:cs="楷体_GB2312"/>
          <w:color w:val="FF0000"/>
          <w:kern w:val="0"/>
          <w:sz w:val="32"/>
          <w:szCs w:val="32"/>
          <w:highlight w:val="none"/>
          <w:shd w:val="clear" w:color="auto" w:fill="FFFFFF"/>
          <w:lang w:val="en-US" w:eastAsia="zh-CN"/>
        </w:rPr>
      </w:pPr>
      <w:r>
        <w:rPr>
          <w:rFonts w:hint="eastAsia" w:ascii="Times New Roman" w:hAnsi="Times New Roman" w:eastAsia="仿宋_GB2312" w:cs="Times New Roman"/>
          <w:color w:val="000000"/>
          <w:kern w:val="0"/>
          <w:sz w:val="32"/>
          <w:szCs w:val="32"/>
          <w:highlight w:val="none"/>
          <w:shd w:val="clear" w:color="auto" w:fill="FFFFFF"/>
          <w:lang w:val="zh-CN"/>
        </w:rPr>
        <w:t>部门充分利用资产，并通过资产整合、优化配置以提高整体资产效益。指标总分</w:t>
      </w:r>
      <w:r>
        <w:rPr>
          <w:rFonts w:hint="eastAsia" w:ascii="Times New Roman" w:hAnsi="Times New Roman" w:eastAsia="仿宋_GB2312" w:cs="Times New Roman"/>
          <w:color w:val="000000"/>
          <w:kern w:val="0"/>
          <w:sz w:val="32"/>
          <w:szCs w:val="32"/>
          <w:highlight w:val="none"/>
          <w:shd w:val="clear" w:color="auto" w:fill="FFFFFF"/>
          <w:lang w:val="en-US" w:eastAsia="zh-CN"/>
        </w:rPr>
        <w:t>9分，评价得分9分。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5.</w:t>
      </w:r>
      <w:r>
        <w:rPr>
          <w:rFonts w:hint="default" w:ascii="楷体_GB2312" w:hAnsi="楷体_GB2312" w:eastAsia="楷体_GB2312" w:cs="楷体_GB2312"/>
          <w:color w:val="000000"/>
          <w:kern w:val="0"/>
          <w:sz w:val="32"/>
          <w:szCs w:val="32"/>
          <w:highlight w:val="none"/>
          <w:shd w:val="clear" w:color="auto" w:fill="FFFFFF"/>
          <w:lang w:val="zh-CN"/>
        </w:rPr>
        <w:t>采购管理</w:t>
      </w:r>
      <w:r>
        <w:rPr>
          <w:rFonts w:hint="eastAsia" w:ascii="楷体_GB2312" w:hAnsi="楷体_GB2312" w:eastAsia="楷体_GB2312" w:cs="楷体_GB2312"/>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部门严格执行政府采购促进中小企业发展相关管理办法。指标总分</w:t>
      </w:r>
      <w:r>
        <w:rPr>
          <w:rFonts w:hint="eastAsia" w:ascii="Times New Roman" w:hAnsi="Times New Roman" w:eastAsia="仿宋_GB2312" w:cs="Times New Roman"/>
          <w:color w:val="000000"/>
          <w:kern w:val="0"/>
          <w:sz w:val="32"/>
          <w:szCs w:val="32"/>
          <w:highlight w:val="none"/>
          <w:shd w:val="clear" w:color="auto" w:fill="FFFFFF"/>
          <w:lang w:val="en-US" w:eastAsia="zh-CN"/>
        </w:rPr>
        <w:t>6分，评价得分5.25分。</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FF0000"/>
          <w:kern w:val="0"/>
          <w:sz w:val="32"/>
          <w:szCs w:val="32"/>
          <w:highlight w:val="none"/>
          <w:shd w:val="clear" w:color="auto" w:fill="FFFFFF"/>
          <w:lang w:val="zh-CN" w:eastAsia="zh-CN"/>
        </w:rPr>
      </w:pPr>
      <w:r>
        <w:rPr>
          <w:rFonts w:hint="default" w:ascii="Times New Roman" w:hAnsi="Times New Roman" w:eastAsia="仿宋_GB2312" w:cs="Times New Roman"/>
          <w:color w:val="000000"/>
          <w:kern w:val="0"/>
          <w:sz w:val="32"/>
          <w:szCs w:val="32"/>
          <w:highlight w:val="none"/>
          <w:shd w:val="clear" w:color="auto" w:fill="FFFFFF"/>
          <w:lang w:val="en-US" w:eastAsia="zh-CN"/>
        </w:rPr>
        <w:t>常年项目绩效分析。</w:t>
      </w:r>
      <w:r>
        <w:rPr>
          <w:rFonts w:hint="default" w:ascii="Times New Roman" w:hAnsi="Times New Roman" w:eastAsia="仿宋_GB2312" w:cs="Times New Roman"/>
          <w:color w:val="000000"/>
          <w:kern w:val="0"/>
          <w:sz w:val="32"/>
          <w:szCs w:val="32"/>
          <w:highlight w:val="none"/>
          <w:shd w:val="clear" w:color="auto" w:fill="FFFFFF"/>
          <w:lang w:val="zh-CN" w:eastAsia="zh-CN"/>
        </w:rPr>
        <w:t>该类项目总数</w:t>
      </w:r>
      <w:r>
        <w:rPr>
          <w:rFonts w:hint="eastAsia" w:ascii="Times New Roman" w:hAnsi="Times New Roman" w:eastAsia="仿宋_GB2312" w:cs="Times New Roman"/>
          <w:color w:val="000000"/>
          <w:kern w:val="0"/>
          <w:sz w:val="32"/>
          <w:szCs w:val="32"/>
          <w:highlight w:val="none"/>
          <w:shd w:val="clear" w:color="auto" w:fill="FFFFFF"/>
          <w:lang w:val="en-US" w:eastAsia="zh-CN"/>
        </w:rPr>
        <w:t>70</w:t>
      </w:r>
      <w:r>
        <w:rPr>
          <w:rFonts w:hint="default" w:ascii="Times New Roman" w:hAnsi="Times New Roman" w:eastAsia="仿宋_GB2312" w:cs="Times New Roman"/>
          <w:color w:val="000000"/>
          <w:kern w:val="0"/>
          <w:sz w:val="32"/>
          <w:szCs w:val="32"/>
          <w:highlight w:val="none"/>
          <w:shd w:val="clear" w:color="auto" w:fill="FFFFFF"/>
          <w:lang w:val="zh-CN" w:eastAsia="zh-CN"/>
        </w:rPr>
        <w:t>个，涉及预算总金额1978.72万元，</w:t>
      </w:r>
      <w:r>
        <w:rPr>
          <w:rFonts w:hint="default" w:ascii="Times New Roman" w:hAnsi="Times New Roman" w:eastAsia="仿宋_GB2312" w:cs="Times New Roman"/>
          <w:color w:val="000000"/>
          <w:kern w:val="0"/>
          <w:sz w:val="32"/>
          <w:szCs w:val="32"/>
          <w:highlight w:val="none"/>
          <w:shd w:val="clear" w:color="auto" w:fill="FFFFFF"/>
          <w:lang w:val="zh-CN"/>
        </w:rPr>
        <w:t>1</w:t>
      </w:r>
      <w:r>
        <w:rPr>
          <w:rFonts w:hint="eastAsia"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1</w:t>
      </w:r>
      <w:r>
        <w:rPr>
          <w:rFonts w:hint="default" w:ascii="Times New Roman" w:hAnsi="Times New Roman" w:eastAsia="仿宋_GB2312" w:cs="Times New Roman"/>
          <w:color w:val="000000"/>
          <w:kern w:val="0"/>
          <w:sz w:val="32"/>
          <w:szCs w:val="32"/>
          <w:highlight w:val="none"/>
          <w:shd w:val="clear" w:color="auto" w:fill="FFFFFF"/>
          <w:lang w:val="en-US" w:eastAsia="zh-CN"/>
        </w:rPr>
        <w:t>2</w:t>
      </w:r>
      <w:r>
        <w:rPr>
          <w:rFonts w:hint="default" w:ascii="Times New Roman" w:hAnsi="Times New Roman" w:eastAsia="仿宋_GB2312" w:cs="Times New Roman"/>
          <w:color w:val="000000"/>
          <w:kern w:val="0"/>
          <w:sz w:val="32"/>
          <w:szCs w:val="32"/>
          <w:highlight w:val="none"/>
          <w:shd w:val="clear" w:color="auto" w:fill="FFFFFF"/>
          <w:lang w:val="zh-CN"/>
        </w:rPr>
        <w:t>月预算执行总体进度为</w:t>
      </w:r>
      <w:r>
        <w:rPr>
          <w:rFonts w:hint="eastAsia" w:ascii="Times New Roman" w:hAnsi="Times New Roman" w:eastAsia="仿宋_GB2312" w:cs="Times New Roman"/>
          <w:color w:val="000000"/>
          <w:kern w:val="0"/>
          <w:sz w:val="32"/>
          <w:szCs w:val="32"/>
          <w:highlight w:val="none"/>
          <w:shd w:val="clear" w:color="auto" w:fill="FFFFFF"/>
          <w:lang w:val="en-US" w:eastAsia="zh-CN"/>
        </w:rPr>
        <w:t>100</w:t>
      </w:r>
      <w:r>
        <w:rPr>
          <w:rFonts w:hint="default" w:ascii="Times New Roman" w:hAnsi="Times New Roman" w:eastAsia="仿宋_GB2312" w:cs="Times New Roman"/>
          <w:color w:val="000000"/>
          <w:kern w:val="0"/>
          <w:sz w:val="32"/>
          <w:szCs w:val="32"/>
          <w:highlight w:val="none"/>
          <w:shd w:val="clear" w:color="auto" w:fill="FFFFFF"/>
          <w:lang w:val="zh-CN"/>
        </w:rPr>
        <w:t>%，其中：</w:t>
      </w:r>
      <w:r>
        <w:rPr>
          <w:rFonts w:hint="default" w:ascii="Times New Roman" w:hAnsi="Times New Roman" w:eastAsia="仿宋_GB2312" w:cs="Times New Roman"/>
          <w:color w:val="000000"/>
          <w:kern w:val="0"/>
          <w:sz w:val="32"/>
          <w:szCs w:val="32"/>
          <w:highlight w:val="none"/>
          <w:shd w:val="clear" w:color="auto" w:fill="FFFFFF"/>
          <w:lang w:val="zh-CN" w:eastAsia="zh-CN"/>
        </w:rPr>
        <w:t>预算结余率大于</w:t>
      </w:r>
      <w:r>
        <w:rPr>
          <w:rFonts w:hint="default" w:ascii="Times New Roman" w:hAnsi="Times New Roman" w:eastAsia="仿宋_GB2312" w:cs="Times New Roman"/>
          <w:color w:val="000000"/>
          <w:kern w:val="0"/>
          <w:sz w:val="32"/>
          <w:szCs w:val="32"/>
          <w:highlight w:val="none"/>
          <w:shd w:val="clear" w:color="auto" w:fill="FFFFFF"/>
          <w:lang w:val="en-US" w:eastAsia="zh-CN"/>
        </w:rPr>
        <w:t>10%</w:t>
      </w:r>
      <w:r>
        <w:rPr>
          <w:rFonts w:hint="default" w:ascii="Times New Roman" w:hAnsi="Times New Roman" w:eastAsia="仿宋_GB2312" w:cs="Times New Roman"/>
          <w:color w:val="000000"/>
          <w:kern w:val="0"/>
          <w:sz w:val="32"/>
          <w:szCs w:val="32"/>
          <w:highlight w:val="none"/>
          <w:shd w:val="clear" w:color="auto" w:fill="FFFFFF"/>
          <w:lang w:val="zh-CN" w:eastAsia="zh-CN"/>
        </w:rPr>
        <w:t>的项目共计</w:t>
      </w:r>
      <w:r>
        <w:rPr>
          <w:rFonts w:hint="eastAsia" w:ascii="Times New Roman" w:hAnsi="Times New Roman" w:eastAsia="仿宋_GB2312" w:cs="Times New Roman"/>
          <w:color w:val="000000"/>
          <w:kern w:val="0"/>
          <w:sz w:val="32"/>
          <w:szCs w:val="32"/>
          <w:highlight w:val="none"/>
          <w:shd w:val="clear" w:color="auto" w:fill="FFFFFF"/>
          <w:lang w:val="en-US" w:eastAsia="zh-CN"/>
        </w:rPr>
        <w:t>0</w:t>
      </w:r>
      <w:r>
        <w:rPr>
          <w:rFonts w:hint="default" w:ascii="Times New Roman" w:hAnsi="Times New Roman" w:eastAsia="仿宋_GB2312" w:cs="Times New Roman"/>
          <w:color w:val="000000"/>
          <w:kern w:val="0"/>
          <w:sz w:val="32"/>
          <w:szCs w:val="32"/>
          <w:highlight w:val="none"/>
          <w:shd w:val="clear" w:color="auto" w:fill="FFFFFF"/>
          <w:lang w:val="zh-CN" w:eastAsia="zh-CN"/>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1.</w:t>
      </w:r>
      <w:r>
        <w:rPr>
          <w:rFonts w:hint="eastAsia" w:ascii="楷体_GB2312" w:hAnsi="楷体_GB2312" w:eastAsia="楷体_GB2312" w:cs="楷体_GB2312"/>
          <w:b w:val="0"/>
          <w:bCs w:val="0"/>
          <w:color w:val="000000"/>
          <w:kern w:val="0"/>
          <w:sz w:val="32"/>
          <w:szCs w:val="32"/>
          <w:highlight w:val="none"/>
          <w:shd w:val="clear" w:color="auto" w:fill="FFFFFF"/>
          <w:lang w:val="zh-CN" w:eastAsia="zh-CN" w:bidi="ar-SA"/>
        </w:rPr>
        <w:t>项目决策</w:t>
      </w:r>
      <w:r>
        <w:rPr>
          <w:rFonts w:hint="eastAsia" w:ascii="楷体_GB2312" w:hAnsi="楷体_GB2312" w:eastAsia="楷体_GB2312" w:cs="楷体_GB2312"/>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FF0000"/>
          <w:kern w:val="0"/>
          <w:sz w:val="32"/>
          <w:szCs w:val="32"/>
          <w:highlight w:val="none"/>
          <w:shd w:val="clear" w:color="auto" w:fill="FFFFFF"/>
          <w:lang w:val="zh-CN"/>
        </w:rPr>
      </w:pPr>
      <w:r>
        <w:rPr>
          <w:rFonts w:hint="eastAsia" w:ascii="Times New Roman" w:hAnsi="Times New Roman" w:eastAsia="仿宋_GB2312" w:cs="Times New Roman"/>
          <w:b w:val="0"/>
          <w:bCs w:val="0"/>
          <w:color w:val="000000"/>
          <w:kern w:val="0"/>
          <w:sz w:val="32"/>
          <w:szCs w:val="32"/>
          <w:highlight w:val="none"/>
          <w:shd w:val="clear" w:color="auto" w:fill="FFFFFF"/>
          <w:lang w:val="zh-CN" w:eastAsia="zh-CN" w:bidi="ar-SA"/>
        </w:rPr>
        <w:t>部门预算项目基于充分的信息和数据，项目设立遵循了既定的决策准则，按规定履行评估论证、申报程序。预算项目绩效目标与计划期内的任务量、预算安排的资金量匹配，绩效目标设置科学合理、规范完整、量化细化、预算匹配。部门预算项目在规定时间完成项目入库</w:t>
      </w:r>
      <w:r>
        <w:rPr>
          <w:rFonts w:hint="eastAsia" w:ascii="Times New Roman" w:hAnsi="Times New Roman" w:eastAsia="仿宋_GB2312" w:cs="Times New Roman"/>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2.项目执行</w:t>
      </w:r>
      <w:r>
        <w:rPr>
          <w:rFonts w:hint="eastAsia" w:ascii="楷体_GB2312" w:hAnsi="楷体_GB2312" w:eastAsia="楷体_GB2312" w:cs="楷体_GB2312"/>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lang w:val="zh-CN"/>
        </w:rPr>
      </w:pPr>
      <w:r>
        <w:rPr>
          <w:rFonts w:hint="eastAsia" w:ascii="Times New Roman" w:hAnsi="Times New Roman" w:eastAsia="仿宋_GB2312" w:cs="Times New Roman"/>
          <w:sz w:val="32"/>
          <w:lang w:val="zh-CN"/>
        </w:rPr>
        <w:t>部门预算项目实际列支内容与绩效目标设置方向相符。预算项目及时采取对应调整措施，及时跟踪项目进度，评估按计划执行。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3.</w:t>
      </w:r>
      <w:r>
        <w:rPr>
          <w:rFonts w:hint="eastAsia" w:ascii="楷体_GB2312" w:hAnsi="楷体_GB2312" w:eastAsia="楷体_GB2312" w:cs="楷体_GB2312"/>
          <w:color w:val="000000"/>
          <w:kern w:val="0"/>
          <w:sz w:val="32"/>
          <w:szCs w:val="32"/>
          <w:highlight w:val="none"/>
          <w:shd w:val="clear" w:color="auto" w:fill="FFFFFF"/>
          <w:lang w:val="zh-CN"/>
        </w:rPr>
        <w:t>目标实现。</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FF0000"/>
          <w:sz w:val="32"/>
          <w:szCs w:val="32"/>
          <w:highlight w:val="none"/>
          <w:u w:val="none"/>
          <w:shd w:val="clear" w:color="auto" w:fill="auto"/>
          <w:lang w:bidi="ar"/>
        </w:rPr>
      </w:pPr>
      <w:r>
        <w:rPr>
          <w:rFonts w:hint="eastAsia" w:ascii="Times New Roman" w:hAnsi="Times New Roman" w:eastAsia="仿宋_GB2312" w:cs="Times New Roman"/>
          <w:color w:val="000000"/>
          <w:kern w:val="0"/>
          <w:sz w:val="32"/>
          <w:szCs w:val="32"/>
          <w:highlight w:val="none"/>
          <w:shd w:val="clear" w:color="auto" w:fill="FFFFFF"/>
          <w:lang w:val="zh-CN"/>
        </w:rPr>
        <w:t>部门预算项目绩效目标数量指标完成情况优。预算项目绩效目标数量指标实现程度与预期目标的无偏离情况。预算项目绩效目标效益指标实施效果显著。</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仿宋_GB2312" w:cs="Times New Roman"/>
          <w:b w:val="0"/>
          <w:bCs w:val="0"/>
          <w:color w:val="000000"/>
          <w:sz w:val="32"/>
          <w:szCs w:val="32"/>
          <w:highlight w:val="none"/>
          <w:u w:val="none"/>
          <w:lang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lang w:val="zh-CN" w:eastAsia="zh-CN"/>
        </w:rPr>
        <w:t>重点领域</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eastAsia="zh-CN"/>
        </w:rPr>
      </w:pPr>
      <w:r>
        <w:rPr>
          <w:rFonts w:hint="eastAsia" w:ascii="Times New Roman" w:hAnsi="Times New Roman" w:eastAsia="仿宋_GB2312" w:cs="Times New Roman"/>
          <w:b w:val="0"/>
          <w:bCs w:val="0"/>
          <w:color w:val="000000"/>
          <w:sz w:val="32"/>
          <w:szCs w:val="32"/>
          <w:highlight w:val="none"/>
          <w:u w:val="none"/>
          <w:lang w:eastAsia="zh-CN"/>
        </w:rPr>
        <w:t>不涉及</w:t>
      </w:r>
      <w:r>
        <w:rPr>
          <w:rFonts w:hint="default" w:ascii="Times New Roman" w:hAnsi="Times New Roman" w:eastAsia="仿宋_GB2312" w:cs="Times New Roman"/>
          <w:b w:val="0"/>
          <w:bCs w:val="0"/>
          <w:color w:val="000000"/>
          <w:sz w:val="32"/>
          <w:szCs w:val="32"/>
          <w:highlight w:val="none"/>
          <w:u w:val="none"/>
          <w:lang w:eastAsia="zh-CN"/>
        </w:rPr>
        <w:t>重点领域</w:t>
      </w:r>
      <w:r>
        <w:rPr>
          <w:rFonts w:hint="eastAsia" w:ascii="Times New Roman" w:hAnsi="Times New Roman" w:eastAsia="仿宋_GB2312" w:cs="Times New Roman"/>
          <w:b w:val="0"/>
          <w:bCs w:val="0"/>
          <w:color w:val="000000"/>
          <w:sz w:val="32"/>
          <w:szCs w:val="32"/>
          <w:highlight w:val="none"/>
          <w:u w:val="none"/>
          <w:lang w:eastAsia="zh-CN"/>
        </w:rPr>
        <w:t>。</w:t>
      </w:r>
    </w:p>
    <w:p>
      <w:pPr>
        <w:keepNext w:val="0"/>
        <w:keepLines w:val="0"/>
        <w:pageBreakBefore w:val="0"/>
        <w:widowControl w:val="0"/>
        <w:kinsoku/>
        <w:wordWrap/>
        <w:overflowPunct/>
        <w:topLinePunct w:val="0"/>
        <w:autoSpaceDE/>
        <w:autoSpaceDN/>
        <w:bidi w:val="0"/>
        <w:snapToGrid w:val="0"/>
        <w:spacing w:line="600" w:lineRule="exact"/>
        <w:ind w:firstLine="642" w:firstLineChars="200"/>
        <w:textAlignment w:val="auto"/>
        <w:rPr>
          <w:rFonts w:hint="eastAsia" w:ascii="Times New Roman" w:hAnsi="Times New Roman" w:eastAsia="楷体_GB2312" w:cs="Times New Roman"/>
          <w:b/>
          <w:bCs/>
          <w:color w:val="000000"/>
          <w:sz w:val="32"/>
          <w:szCs w:val="32"/>
          <w:lang w:val="zh-CN"/>
        </w:rPr>
      </w:pPr>
      <w:r>
        <w:rPr>
          <w:rFonts w:hint="default" w:ascii="Times New Roman" w:hAnsi="Times New Roman" w:eastAsia="楷体_GB2312" w:cs="Times New Roman"/>
          <w:b/>
          <w:bCs/>
          <w:color w:val="000000"/>
          <w:sz w:val="32"/>
          <w:szCs w:val="32"/>
          <w:lang w:val="zh-CN"/>
        </w:rPr>
        <w:t>（四）绩效结果应用情况</w:t>
      </w:r>
      <w:r>
        <w:rPr>
          <w:rFonts w:hint="eastAsia" w:ascii="Times New Roman" w:hAnsi="Times New Roman" w:eastAsia="楷体_GB2312" w:cs="Times New Roman"/>
          <w:b/>
          <w:bCs/>
          <w:color w:val="000000"/>
          <w:sz w:val="32"/>
          <w:szCs w:val="32"/>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1.</w:t>
      </w:r>
      <w:r>
        <w:rPr>
          <w:rFonts w:hint="eastAsia" w:ascii="楷体_GB2312" w:hAnsi="楷体_GB2312" w:eastAsia="楷体_GB2312" w:cs="楷体_GB2312"/>
          <w:b w:val="0"/>
          <w:bCs w:val="0"/>
          <w:color w:val="000000"/>
          <w:kern w:val="0"/>
          <w:sz w:val="32"/>
          <w:szCs w:val="32"/>
          <w:highlight w:val="none"/>
          <w:shd w:val="clear" w:color="auto" w:fill="FFFFFF"/>
          <w:lang w:val="zh-CN" w:eastAsia="zh-CN" w:bidi="ar-SA"/>
        </w:rPr>
        <w:t>内部应用情况</w:t>
      </w:r>
      <w:r>
        <w:rPr>
          <w:rFonts w:hint="eastAsia" w:ascii="楷体_GB2312" w:hAnsi="楷体_GB2312" w:eastAsia="楷体_GB2312" w:cs="楷体_GB2312"/>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FF0000"/>
          <w:kern w:val="0"/>
          <w:sz w:val="32"/>
          <w:szCs w:val="32"/>
          <w:highlight w:val="none"/>
          <w:shd w:val="clear" w:color="auto" w:fill="FFFFFF"/>
          <w:lang w:val="en-US" w:eastAsia="zh-CN"/>
        </w:rPr>
      </w:pPr>
      <w:r>
        <w:rPr>
          <w:rFonts w:hint="default" w:ascii="Times New Roman" w:hAnsi="Times New Roman" w:eastAsia="仿宋_GB2312" w:cs="Times New Roman"/>
          <w:color w:val="000000"/>
          <w:kern w:val="0"/>
          <w:sz w:val="32"/>
          <w:szCs w:val="32"/>
          <w:highlight w:val="none"/>
          <w:shd w:val="clear" w:color="auto" w:fill="FFFFFF"/>
          <w:lang w:val="en-US" w:eastAsia="zh-CN"/>
        </w:rPr>
        <w:t>绩效考核制度覆盖面广，实施效果良好。部门间协作效率提高，跨部门项目完成时间缩短。内部培训与发展活动参与度高，员工满意度提升。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2.</w:t>
      </w:r>
      <w:r>
        <w:rPr>
          <w:rFonts w:hint="eastAsia" w:ascii="楷体_GB2312" w:hAnsi="楷体_GB2312" w:eastAsia="楷体_GB2312" w:cs="楷体_GB2312"/>
          <w:b w:val="0"/>
          <w:bCs w:val="0"/>
          <w:color w:val="000000"/>
          <w:kern w:val="0"/>
          <w:sz w:val="32"/>
          <w:szCs w:val="32"/>
          <w:highlight w:val="none"/>
          <w:shd w:val="clear" w:color="auto" w:fill="FFFFFF"/>
          <w:lang w:val="zh-CN" w:eastAsia="zh-CN" w:bidi="ar-SA"/>
        </w:rPr>
        <w:t>信息公开情况</w:t>
      </w:r>
      <w:r>
        <w:rPr>
          <w:rFonts w:hint="eastAsia" w:ascii="楷体_GB2312" w:hAnsi="楷体_GB2312" w:eastAsia="楷体_GB2312" w:cs="楷体_GB2312"/>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FF0000"/>
          <w:kern w:val="0"/>
          <w:sz w:val="32"/>
          <w:szCs w:val="32"/>
          <w:highlight w:val="none"/>
          <w:shd w:val="clear" w:color="auto" w:fill="FFFFFF"/>
          <w:lang w:val="en-US" w:eastAsia="zh-CN"/>
        </w:rPr>
      </w:pPr>
      <w:r>
        <w:rPr>
          <w:rFonts w:hint="default" w:ascii="Times New Roman" w:hAnsi="Times New Roman" w:eastAsia="仿宋_GB2312" w:cs="Times New Roman"/>
          <w:color w:val="000000"/>
          <w:kern w:val="0"/>
          <w:sz w:val="32"/>
          <w:szCs w:val="32"/>
          <w:highlight w:val="none"/>
          <w:shd w:val="clear" w:color="auto" w:fill="FFFFFF"/>
          <w:lang w:val="en-US" w:eastAsia="zh-CN"/>
        </w:rPr>
        <w:t>信息公开及时，完整，准确。信息共享平台促进了信息流通，提高了决策效率。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3.</w:t>
      </w:r>
      <w:r>
        <w:rPr>
          <w:rFonts w:hint="eastAsia" w:ascii="楷体_GB2312" w:hAnsi="楷体_GB2312" w:eastAsia="楷体_GB2312" w:cs="楷体_GB2312"/>
          <w:b w:val="0"/>
          <w:bCs w:val="0"/>
          <w:color w:val="000000"/>
          <w:kern w:val="0"/>
          <w:sz w:val="32"/>
          <w:szCs w:val="32"/>
          <w:highlight w:val="none"/>
          <w:shd w:val="clear" w:color="auto" w:fill="FFFFFF"/>
          <w:lang w:val="zh-CN" w:eastAsia="zh-CN" w:bidi="ar-SA"/>
        </w:rPr>
        <w:t>整改反馈情况</w:t>
      </w:r>
      <w:r>
        <w:rPr>
          <w:rFonts w:hint="eastAsia" w:ascii="楷体_GB2312" w:hAnsi="楷体_GB2312" w:eastAsia="楷体_GB2312" w:cs="楷体_GB2312"/>
          <w:color w:val="000000"/>
          <w:kern w:val="0"/>
          <w:sz w:val="32"/>
          <w:szCs w:val="32"/>
          <w:highlight w:val="none"/>
          <w:shd w:val="clear" w:color="auto" w:fill="FFFFFF"/>
          <w:lang w:val="zh-CN"/>
        </w:rPr>
        <w:t>。</w:t>
      </w:r>
    </w:p>
    <w:p>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Times New Roman" w:hAnsi="Times New Roman" w:eastAsia="仿宋_GB2312" w:cs="Times New Roman"/>
          <w:sz w:val="32"/>
          <w:lang w:val="zh-CN" w:eastAsia="zh-CN"/>
        </w:rPr>
      </w:pPr>
      <w:r>
        <w:rPr>
          <w:rFonts w:hint="default" w:ascii="Times New Roman" w:hAnsi="Times New Roman" w:eastAsia="仿宋_GB2312" w:cs="Times New Roman"/>
          <w:color w:val="000000"/>
          <w:kern w:val="0"/>
          <w:sz w:val="32"/>
          <w:szCs w:val="32"/>
          <w:highlight w:val="none"/>
          <w:shd w:val="clear" w:color="auto" w:fill="FFFFFF"/>
          <w:lang w:val="en-US" w:eastAsia="zh-CN"/>
        </w:rPr>
        <w:t>整改措施落实到位，整改完成率100%。整改效果显著，问题解决率达到</w:t>
      </w:r>
      <w:r>
        <w:rPr>
          <w:rFonts w:hint="eastAsia" w:ascii="Times New Roman" w:hAnsi="Times New Roman" w:eastAsia="仿宋_GB2312" w:cs="Times New Roman"/>
          <w:color w:val="000000"/>
          <w:kern w:val="0"/>
          <w:sz w:val="32"/>
          <w:szCs w:val="32"/>
          <w:highlight w:val="none"/>
          <w:shd w:val="clear" w:color="auto" w:fill="FFFFFF"/>
          <w:lang w:val="en-US" w:eastAsia="zh-CN"/>
        </w:rPr>
        <w:t>100</w:t>
      </w:r>
      <w:r>
        <w:rPr>
          <w:rFonts w:hint="default" w:ascii="Times New Roman" w:hAnsi="Times New Roman" w:eastAsia="仿宋_GB2312" w:cs="Times New Roman"/>
          <w:color w:val="000000"/>
          <w:kern w:val="0"/>
          <w:sz w:val="32"/>
          <w:szCs w:val="32"/>
          <w:highlight w:val="none"/>
          <w:shd w:val="clear" w:color="auto" w:fill="FFFFFF"/>
          <w:lang w:val="en-US" w:eastAsia="zh-CN"/>
        </w:rPr>
        <w:t>%。反馈渠道畅通，员工满意度高。整改措施制定合理，针对性强。整改措施执行到位，无拖延现象。持续改进计划制定合理，目标明确。持续改进措施实施到位，改进效果明显。持续改进效果评估体系完善，改进效果持续提升。</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lang w:eastAsia="zh-CN"/>
        </w:rPr>
        <w:t>四、</w:t>
      </w:r>
      <w:r>
        <w:rPr>
          <w:rFonts w:hint="default" w:ascii="Times New Roman" w:hAnsi="Times New Roman" w:eastAsia="黑体" w:cs="Times New Roman"/>
          <w:color w:val="000000"/>
          <w:kern w:val="0"/>
          <w:sz w:val="32"/>
          <w:szCs w:val="32"/>
          <w:highlight w:val="none"/>
          <w:shd w:val="clear" w:color="auto" w:fill="FFFFFF"/>
        </w:rPr>
        <w:t>评价结论及建议</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sz w:val="32"/>
          <w:lang w:val="en-US" w:eastAsia="zh-CN"/>
        </w:rPr>
      </w:pPr>
      <w:r>
        <w:rPr>
          <w:rFonts w:hint="eastAsia" w:ascii="仿宋_GB2312" w:hAnsi="仿宋_GB2312" w:eastAsia="仿宋_GB2312" w:cs="仿宋_GB2312"/>
          <w:b w:val="0"/>
          <w:bCs w:val="0"/>
          <w:color w:val="000000"/>
          <w:kern w:val="0"/>
          <w:position w:val="0"/>
          <w:sz w:val="32"/>
          <w:szCs w:val="32"/>
          <w:highlight w:val="none"/>
          <w:lang w:val="en-US" w:eastAsia="zh-CN" w:bidi="ar-SA"/>
        </w:rPr>
        <w:t>在自评过程中，我们重点关注了预算执行的效率、效果、效益以及预算管理的规范性等方面。结果显示，部门在预算执行过程中能够按照既定计划进行，资金使用效率较高，项目产出与预期目标相符，且在预算管理上表现出较高的规范性和透明度。自评得分92.23分，反映了部门在预算绩效管理方面取得的显著成果。</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_GB2312" w:hAnsi="仿宋_GB2312" w:eastAsia="仿宋_GB2312" w:cs="仿宋_GB2312"/>
          <w:b w:val="0"/>
          <w:bCs w:val="0"/>
          <w:color w:val="000000"/>
          <w:w w:val="95"/>
          <w:kern w:val="0"/>
          <w:position w:val="0"/>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p>
    <w:p>
      <w:pPr>
        <w:keepNext w:val="0"/>
        <w:keepLines w:val="0"/>
        <w:pageBreakBefore w:val="0"/>
        <w:widowControl/>
        <w:kinsoku/>
        <w:wordWrap/>
        <w:overflowPunct/>
        <w:topLinePunct w:val="0"/>
        <w:autoSpaceDE/>
        <w:autoSpaceDN/>
        <w:bidi w:val="0"/>
        <w:adjustRightInd w:val="0"/>
        <w:snapToGrid w:val="0"/>
        <w:spacing w:line="578" w:lineRule="exact"/>
        <w:ind w:firstLine="608" w:firstLineChars="200"/>
        <w:contextualSpacing/>
        <w:jc w:val="left"/>
        <w:textAlignment w:val="auto"/>
        <w:outlineLvl w:val="9"/>
        <w:rPr>
          <w:rFonts w:hint="eastAsia" w:ascii="仿宋_GB2312" w:hAnsi="仿宋_GB2312" w:eastAsia="仿宋_GB2312" w:cs="仿宋_GB2312"/>
          <w:b w:val="0"/>
          <w:bCs w:val="0"/>
          <w:color w:val="000000"/>
          <w:w w:val="95"/>
          <w:kern w:val="0"/>
          <w:position w:val="0"/>
          <w:sz w:val="32"/>
          <w:szCs w:val="32"/>
          <w:highlight w:val="none"/>
          <w:lang w:val="en-US" w:eastAsia="zh-CN" w:bidi="ar-SA"/>
        </w:rPr>
      </w:pPr>
      <w:r>
        <w:rPr>
          <w:rFonts w:hint="eastAsia" w:ascii="仿宋_GB2312" w:hAnsi="仿宋_GB2312" w:eastAsia="仿宋_GB2312" w:cs="仿宋_GB2312"/>
          <w:b w:val="0"/>
          <w:bCs w:val="0"/>
          <w:color w:val="000000"/>
          <w:w w:val="95"/>
          <w:kern w:val="0"/>
          <w:position w:val="0"/>
          <w:sz w:val="32"/>
          <w:szCs w:val="32"/>
          <w:highlight w:val="none"/>
          <w:lang w:val="en-US" w:eastAsia="zh-CN" w:bidi="ar-SA"/>
        </w:rPr>
        <w:t>在自评过程中，我们也发现了以下几方面的问题：</w:t>
      </w:r>
    </w:p>
    <w:p>
      <w:pPr>
        <w:keepNext w:val="0"/>
        <w:keepLines w:val="0"/>
        <w:pageBreakBefore w:val="0"/>
        <w:widowControl/>
        <w:kinsoku/>
        <w:wordWrap/>
        <w:overflowPunct/>
        <w:topLinePunct w:val="0"/>
        <w:autoSpaceDE/>
        <w:autoSpaceDN/>
        <w:bidi w:val="0"/>
        <w:adjustRightInd w:val="0"/>
        <w:snapToGrid w:val="0"/>
        <w:spacing w:line="578" w:lineRule="exact"/>
        <w:ind w:firstLine="608" w:firstLineChars="200"/>
        <w:contextualSpacing/>
        <w:jc w:val="left"/>
        <w:textAlignment w:val="auto"/>
        <w:outlineLvl w:val="9"/>
        <w:rPr>
          <w:rFonts w:hint="eastAsia" w:ascii="仿宋_GB2312" w:hAnsi="仿宋_GB2312" w:eastAsia="仿宋_GB2312" w:cs="仿宋_GB2312"/>
          <w:b w:val="0"/>
          <w:bCs w:val="0"/>
          <w:color w:val="000000"/>
          <w:w w:val="95"/>
          <w:kern w:val="0"/>
          <w:position w:val="0"/>
          <w:sz w:val="32"/>
          <w:szCs w:val="32"/>
          <w:highlight w:val="none"/>
          <w:lang w:val="en-US" w:eastAsia="zh-CN" w:bidi="ar-SA"/>
        </w:rPr>
      </w:pPr>
      <w:r>
        <w:rPr>
          <w:rFonts w:hint="eastAsia" w:ascii="仿宋_GB2312" w:hAnsi="仿宋_GB2312" w:eastAsia="仿宋_GB2312" w:cs="仿宋_GB2312"/>
          <w:b w:val="0"/>
          <w:bCs w:val="0"/>
          <w:color w:val="000000"/>
          <w:w w:val="95"/>
          <w:kern w:val="0"/>
          <w:position w:val="0"/>
          <w:sz w:val="32"/>
          <w:szCs w:val="32"/>
          <w:highlight w:val="none"/>
          <w:lang w:val="en-US" w:eastAsia="zh-CN" w:bidi="ar-SA"/>
        </w:rPr>
        <w:t>预算执行进度不均衡：部分项目因前期准备工作不足或外部因素影响，导致执行进度滞后，影响了整体预算的使用效率。</w:t>
      </w:r>
    </w:p>
    <w:p>
      <w:pPr>
        <w:keepNext w:val="0"/>
        <w:keepLines w:val="0"/>
        <w:pageBreakBefore w:val="0"/>
        <w:widowControl/>
        <w:kinsoku/>
        <w:wordWrap/>
        <w:overflowPunct/>
        <w:topLinePunct w:val="0"/>
        <w:autoSpaceDE/>
        <w:autoSpaceDN/>
        <w:bidi w:val="0"/>
        <w:adjustRightInd w:val="0"/>
        <w:snapToGrid w:val="0"/>
        <w:spacing w:line="578" w:lineRule="exact"/>
        <w:ind w:firstLine="608" w:firstLineChars="200"/>
        <w:contextualSpacing/>
        <w:jc w:val="left"/>
        <w:textAlignment w:val="auto"/>
        <w:outlineLvl w:val="9"/>
        <w:rPr>
          <w:rFonts w:hint="eastAsia" w:ascii="仿宋_GB2312" w:hAnsi="仿宋_GB2312" w:eastAsia="仿宋_GB2312" w:cs="仿宋_GB2312"/>
          <w:b w:val="0"/>
          <w:bCs w:val="0"/>
          <w:color w:val="000000"/>
          <w:w w:val="95"/>
          <w:kern w:val="0"/>
          <w:position w:val="0"/>
          <w:sz w:val="32"/>
          <w:szCs w:val="32"/>
          <w:highlight w:val="none"/>
          <w:lang w:val="en-US" w:eastAsia="zh-CN" w:bidi="ar-SA"/>
        </w:rPr>
      </w:pPr>
      <w:r>
        <w:rPr>
          <w:rFonts w:hint="eastAsia" w:ascii="仿宋_GB2312" w:hAnsi="仿宋_GB2312" w:eastAsia="仿宋_GB2312" w:cs="仿宋_GB2312"/>
          <w:b w:val="0"/>
          <w:bCs w:val="0"/>
          <w:color w:val="000000"/>
          <w:w w:val="95"/>
          <w:kern w:val="0"/>
          <w:position w:val="0"/>
          <w:sz w:val="32"/>
          <w:szCs w:val="32"/>
          <w:highlight w:val="none"/>
          <w:lang w:val="en-US" w:eastAsia="zh-CN" w:bidi="ar-SA"/>
        </w:rPr>
        <w:t>项目效果评估不足：在项目实施过程中，对项目效果的跟踪和评估不够系统，缺乏有效的反馈机制，使得对项目实施效果的评估不够全面和深入。</w:t>
      </w:r>
    </w:p>
    <w:p>
      <w:pPr>
        <w:keepNext w:val="0"/>
        <w:keepLines w:val="0"/>
        <w:pageBreakBefore w:val="0"/>
        <w:widowControl/>
        <w:kinsoku/>
        <w:wordWrap/>
        <w:overflowPunct/>
        <w:topLinePunct w:val="0"/>
        <w:autoSpaceDE/>
        <w:autoSpaceDN/>
        <w:bidi w:val="0"/>
        <w:adjustRightInd w:val="0"/>
        <w:snapToGrid w:val="0"/>
        <w:spacing w:line="578" w:lineRule="exact"/>
        <w:ind w:firstLine="608"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w w:val="95"/>
          <w:kern w:val="0"/>
          <w:position w:val="0"/>
          <w:sz w:val="32"/>
          <w:szCs w:val="32"/>
          <w:highlight w:val="none"/>
          <w:lang w:val="en-US" w:eastAsia="zh-CN" w:bidi="ar-SA"/>
        </w:rPr>
        <w:t>预算调整机制不灵活：在预算执行过程中遇到不可预见的情况时，预算调整机制相对僵化，未能及时适应变化，影响了预算的灵活性和适应性。</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仿宋_GB2312" w:cs="Times New Roman"/>
          <w:color w:val="000000"/>
          <w:sz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仿宋_GB2312" w:eastAsia="仿宋_GB2312" w:cs="仿宋_GB2312"/>
          <w:b w:val="0"/>
          <w:bCs w:val="0"/>
          <w:color w:val="000000"/>
          <w:kern w:val="0"/>
          <w:position w:val="0"/>
          <w:sz w:val="32"/>
          <w:szCs w:val="32"/>
          <w:highlight w:val="none"/>
          <w:lang w:val="zh-CN" w:eastAsia="zh-CN" w:bidi="ar-SA"/>
        </w:rPr>
      </w:pPr>
      <w:r>
        <w:rPr>
          <w:rFonts w:hint="default" w:ascii="仿宋_GB2312" w:hAnsi="仿宋_GB2312" w:eastAsia="仿宋_GB2312" w:cs="仿宋_GB2312"/>
          <w:b w:val="0"/>
          <w:bCs w:val="0"/>
          <w:color w:val="000000"/>
          <w:kern w:val="0"/>
          <w:position w:val="0"/>
          <w:sz w:val="32"/>
          <w:szCs w:val="32"/>
          <w:highlight w:val="none"/>
          <w:lang w:val="zh-CN" w:eastAsia="zh-CN" w:bidi="ar-SA"/>
        </w:rPr>
        <w:t>针对上述发现的问题，我们提出以下改进建议：</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仿宋_GB2312" w:eastAsia="仿宋_GB2312" w:cs="仿宋_GB2312"/>
          <w:b w:val="0"/>
          <w:bCs w:val="0"/>
          <w:color w:val="000000"/>
          <w:kern w:val="0"/>
          <w:position w:val="0"/>
          <w:sz w:val="32"/>
          <w:szCs w:val="32"/>
          <w:highlight w:val="none"/>
          <w:lang w:val="zh-CN" w:eastAsia="zh-CN" w:bidi="ar-SA"/>
        </w:rPr>
      </w:pPr>
      <w:r>
        <w:rPr>
          <w:rFonts w:hint="default" w:ascii="仿宋_GB2312" w:hAnsi="仿宋_GB2312" w:eastAsia="仿宋_GB2312" w:cs="仿宋_GB2312"/>
          <w:b w:val="0"/>
          <w:bCs w:val="0"/>
          <w:color w:val="000000"/>
          <w:kern w:val="0"/>
          <w:position w:val="0"/>
          <w:sz w:val="32"/>
          <w:szCs w:val="32"/>
          <w:highlight w:val="none"/>
          <w:lang w:val="zh-CN" w:eastAsia="zh-CN" w:bidi="ar-SA"/>
        </w:rPr>
        <w:t>优化项目管理流程：建立更加灵活的项目启动和执行流程，确保项目前期准备工作充分，减少因准备不足导致的执行滞后。同时，加强项目执行过程中的监督和指导，确保项目按计划进行。</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仿宋_GB2312" w:eastAsia="仿宋_GB2312" w:cs="仿宋_GB2312"/>
          <w:b w:val="0"/>
          <w:bCs w:val="0"/>
          <w:color w:val="000000"/>
          <w:kern w:val="0"/>
          <w:position w:val="0"/>
          <w:sz w:val="32"/>
          <w:szCs w:val="32"/>
          <w:highlight w:val="none"/>
          <w:lang w:val="zh-CN" w:eastAsia="zh-CN" w:bidi="ar-SA"/>
        </w:rPr>
      </w:pPr>
      <w:r>
        <w:rPr>
          <w:rFonts w:hint="default" w:ascii="仿宋_GB2312" w:hAnsi="仿宋_GB2312" w:eastAsia="仿宋_GB2312" w:cs="仿宋_GB2312"/>
          <w:b w:val="0"/>
          <w:bCs w:val="0"/>
          <w:color w:val="000000"/>
          <w:kern w:val="0"/>
          <w:position w:val="0"/>
          <w:sz w:val="32"/>
          <w:szCs w:val="32"/>
          <w:highlight w:val="none"/>
          <w:lang w:val="zh-CN" w:eastAsia="zh-CN" w:bidi="ar-SA"/>
        </w:rPr>
        <w:t>加强项目效果评估：建立和完善项目效果评估体系，定期对项目实施效果进行评估，收集项目执行过程中的反馈信息，及时调整项目策略，确保项目产出与预期目标一致。</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Times New Roman"/>
          <w:kern w:val="2"/>
          <w:sz w:val="32"/>
          <w:szCs w:val="32"/>
          <w:lang w:val="en-US" w:eastAsia="zh-CN" w:bidi="ar-SA"/>
        </w:rPr>
      </w:pPr>
      <w:r>
        <w:rPr>
          <w:rFonts w:hint="default" w:ascii="仿宋_GB2312" w:hAnsi="仿宋_GB2312" w:eastAsia="仿宋_GB2312" w:cs="仿宋_GB2312"/>
          <w:b w:val="0"/>
          <w:bCs w:val="0"/>
          <w:color w:val="000000"/>
          <w:kern w:val="0"/>
          <w:position w:val="0"/>
          <w:sz w:val="32"/>
          <w:szCs w:val="32"/>
          <w:highlight w:val="none"/>
          <w:lang w:val="zh-CN" w:eastAsia="zh-CN" w:bidi="ar-SA"/>
        </w:rPr>
        <w:t>通过上述改进措施的实施，可以进一步提升部门预算绩效管理水平，优化项目管理流程，增强决策质量，确保目标的实现。</w:t>
      </w:r>
    </w:p>
    <w:p>
      <w:pPr>
        <w:ind w:firstLine="640" w:firstLineChars="200"/>
        <w:rPr>
          <w:rFonts w:hint="default" w:ascii="Times New Roman" w:hAnsi="Times New Roman" w:cs="Times New Roman" w:eastAsiaTheme="minorEastAsia"/>
          <w:sz w:val="32"/>
          <w:szCs w:val="32"/>
          <w:lang w:val="zh-CN"/>
        </w:rPr>
      </w:pPr>
      <w:r>
        <w:rPr>
          <w:rFonts w:hint="default" w:ascii="Times New Roman" w:hAnsi="Times New Roman" w:cs="Times New Roman" w:eastAsiaTheme="minorEastAsia"/>
          <w:sz w:val="32"/>
          <w:szCs w:val="32"/>
          <w:lang w:val="zh-CN"/>
        </w:rPr>
        <w:t>附表：</w:t>
      </w:r>
      <w:r>
        <w:rPr>
          <w:rFonts w:hint="default" w:ascii="Times New Roman" w:hAnsi="Times New Roman" w:cs="Times New Roman" w:eastAsiaTheme="minorEastAsia"/>
          <w:sz w:val="32"/>
          <w:szCs w:val="32"/>
        </w:rPr>
        <w:t>部门</w:t>
      </w:r>
      <w:r>
        <w:rPr>
          <w:rFonts w:hint="default" w:ascii="Times New Roman" w:hAnsi="Times New Roman" w:cs="Times New Roman" w:eastAsiaTheme="minorEastAsia"/>
          <w:sz w:val="32"/>
          <w:szCs w:val="32"/>
          <w:lang w:val="zh-CN"/>
        </w:rPr>
        <w:t>预算项目支出绩效自评表（2023年度）</w:t>
      </w:r>
    </w:p>
    <w:p>
      <w:pPr>
        <w:rPr>
          <w:rFonts w:hint="default" w:ascii="Times New Roman" w:hAnsi="Times New Roman" w:cs="Times New Roman"/>
        </w:rPr>
      </w:pPr>
    </w:p>
    <w:p>
      <w:pPr>
        <w:rPr>
          <w:rFonts w:hint="default" w:ascii="Times New Roman" w:hAnsi="Times New Roman" w:cs="Times New Roman"/>
        </w:rPr>
      </w:pPr>
    </w:p>
    <w:p>
      <w:pPr>
        <w:tabs>
          <w:tab w:val="left" w:pos="3508"/>
        </w:tabs>
        <w:rPr>
          <w:rFonts w:hint="eastAsia" w:ascii="方正小标宋简体" w:hAnsi="方正小标宋简体" w:eastAsia="方正小标宋简体" w:cs="方正小标宋简体"/>
          <w:color w:val="auto"/>
          <w:kern w:val="2"/>
          <w:sz w:val="44"/>
          <w:szCs w:val="44"/>
          <w:highlight w:val="none"/>
          <w:lang w:val="en-US" w:eastAsia="zh-CN"/>
        </w:rPr>
      </w:pPr>
      <w:r>
        <w:rPr>
          <w:rFonts w:hint="default" w:ascii="Times New Roman" w:hAnsi="Times New Roman" w:eastAsia="黑体" w:cs="Times New Roman"/>
          <w:sz w:val="32"/>
          <w:szCs w:val="32"/>
        </w:rPr>
        <w:t>附件2</w:t>
      </w:r>
      <w:r>
        <w:rPr>
          <w:rFonts w:hint="default" w:ascii="Times New Roman" w:hAnsi="Times New Roman" w:eastAsia="黑体" w:cs="Times New Roman"/>
          <w:sz w:val="32"/>
          <w:szCs w:val="32"/>
          <w:lang w:eastAsia="zh-CN"/>
        </w:rPr>
        <w:tab/>
      </w:r>
    </w:p>
    <w:p>
      <w:pPr>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专项预算项目绩效评价报告</w:t>
      </w:r>
    </w:p>
    <w:p>
      <w:pPr>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宋体" w:hAnsi="宋体" w:eastAsia="宋体" w:cs="Times New Roman"/>
          <w:color w:val="auto"/>
          <w:kern w:val="2"/>
          <w:sz w:val="32"/>
          <w:szCs w:val="32"/>
          <w:highlight w:val="none"/>
          <w:lang w:val="zh-CN" w:eastAsia="zh-CN" w:bidi="ar-SA"/>
        </w:rPr>
      </w:pP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黑体" w:hAnsi="宋体" w:eastAsia="黑体" w:cs="Times New Roman"/>
          <w:sz w:val="32"/>
          <w:szCs w:val="32"/>
          <w:highlight w:val="none"/>
          <w:lang w:val="zh-CN"/>
        </w:rPr>
      </w:pPr>
      <w:r>
        <w:rPr>
          <w:rFonts w:hint="eastAsia" w:ascii="黑体" w:hAnsi="宋体" w:eastAsia="黑体" w:cs="Times New Roman"/>
          <w:sz w:val="32"/>
          <w:szCs w:val="32"/>
          <w:highlight w:val="none"/>
        </w:rPr>
        <w:t>一、</w:t>
      </w:r>
      <w:r>
        <w:rPr>
          <w:rFonts w:hint="eastAsia" w:ascii="黑体" w:hAnsi="宋体" w:eastAsia="黑体" w:cs="Times New Roman"/>
          <w:sz w:val="32"/>
          <w:szCs w:val="32"/>
          <w:highlight w:val="none"/>
          <w:lang w:val="zh-CN"/>
        </w:rPr>
        <w:t>项目概况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2" w:firstLineChars="200"/>
        <w:contextualSpacing/>
        <w:jc w:val="left"/>
        <w:textAlignment w:val="auto"/>
        <w:rPr>
          <w:rFonts w:hint="eastAsia" w:ascii="楷体_GB2312" w:hAnsi="宋体" w:eastAsia="楷体_GB2312" w:cs="Times New Roman"/>
          <w:b/>
          <w:color w:val="auto"/>
          <w:sz w:val="32"/>
          <w:szCs w:val="32"/>
          <w:highlight w:val="none"/>
          <w:u w:val="none"/>
          <w:lang w:val="zh-CN"/>
        </w:rPr>
      </w:pPr>
      <w:r>
        <w:rPr>
          <w:rFonts w:hint="eastAsia" w:ascii="楷体_GB2312" w:hAnsi="宋体" w:eastAsia="楷体_GB2312" w:cs="Times New Roman"/>
          <w:b/>
          <w:color w:val="auto"/>
          <w:sz w:val="32"/>
          <w:szCs w:val="32"/>
          <w:highlight w:val="none"/>
          <w:u w:val="none"/>
          <w:lang w:val="zh-CN"/>
        </w:rPr>
        <w:t>（一）设立背景及基本情况。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楷体_GB2312" w:hAnsi="宋体" w:eastAsia="楷体_GB2312" w:cs="Times New Roman"/>
          <w:b w:val="0"/>
          <w:bCs/>
          <w:color w:val="auto"/>
          <w:sz w:val="32"/>
          <w:szCs w:val="32"/>
          <w:highlight w:val="none"/>
          <w:u w:val="none"/>
          <w:lang w:val="zh-CN"/>
        </w:rPr>
      </w:pPr>
      <w:r>
        <w:rPr>
          <w:rFonts w:hint="eastAsia" w:ascii="楷体_GB2312" w:hAnsi="宋体" w:eastAsia="楷体_GB2312" w:cs="Times New Roman"/>
          <w:b w:val="0"/>
          <w:bCs/>
          <w:color w:val="auto"/>
          <w:sz w:val="32"/>
          <w:szCs w:val="32"/>
          <w:highlight w:val="none"/>
          <w:u w:val="none"/>
          <w:lang w:val="en-US" w:eastAsia="zh-CN"/>
        </w:rPr>
        <w:t>1.</w:t>
      </w:r>
      <w:r>
        <w:rPr>
          <w:rFonts w:hint="eastAsia" w:ascii="楷体_GB2312" w:hAnsi="宋体" w:eastAsia="楷体_GB2312" w:cs="Times New Roman"/>
          <w:b w:val="0"/>
          <w:bCs/>
          <w:color w:val="auto"/>
          <w:sz w:val="32"/>
          <w:szCs w:val="32"/>
          <w:highlight w:val="none"/>
          <w:u w:val="none"/>
          <w:lang w:val="zh-CN"/>
        </w:rPr>
        <w:t>设立背景及原因</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楷体_GB2312" w:hAnsi="宋体" w:eastAsia="楷体_GB2312" w:cs="Times New Roman"/>
          <w:b w:val="0"/>
          <w:bCs/>
          <w:color w:val="auto"/>
          <w:sz w:val="32"/>
          <w:szCs w:val="32"/>
          <w:highlight w:val="none"/>
          <w:u w:val="none"/>
          <w:lang w:val="zh-CN"/>
        </w:rPr>
      </w:pPr>
      <w:r>
        <w:rPr>
          <w:rFonts w:hint="eastAsia" w:ascii="仿宋_GB2312" w:hAnsi="仿宋_GB2312" w:eastAsia="仿宋_GB2312" w:cs="仿宋_GB2312"/>
          <w:color w:val="auto"/>
          <w:kern w:val="0"/>
          <w:sz w:val="32"/>
          <w:szCs w:val="32"/>
          <w:highlight w:val="none"/>
          <w:u w:val="none"/>
          <w:shd w:val="clear" w:color="auto" w:fill="FFFFFF"/>
          <w:lang w:val="en-US" w:eastAsia="zh-CN"/>
        </w:rPr>
        <w:t>项目设立的背景源自于当前社会、经济和政策环境的变化，旨在解决特定的社会问题、推动乡村人才振兴、促进经济发展、提升公共服务质量和响应国家发展战略。具体而言，项目旨在通过引入人才、优化配置和实施特定政策，以实现多方面的可持续发展目标。</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楷体_GB2312" w:hAnsi="宋体" w:eastAsia="楷体_GB2312" w:cs="Times New Roman"/>
          <w:b w:val="0"/>
          <w:bCs/>
          <w:color w:val="auto"/>
          <w:sz w:val="32"/>
          <w:szCs w:val="32"/>
          <w:highlight w:val="none"/>
          <w:u w:val="none"/>
          <w:lang w:val="zh-CN"/>
        </w:rPr>
      </w:pPr>
      <w:r>
        <w:rPr>
          <w:rFonts w:hint="eastAsia" w:ascii="楷体_GB2312" w:hAnsi="宋体" w:eastAsia="楷体_GB2312" w:cs="Times New Roman"/>
          <w:b w:val="0"/>
          <w:bCs/>
          <w:color w:val="auto"/>
          <w:sz w:val="32"/>
          <w:szCs w:val="32"/>
          <w:highlight w:val="none"/>
          <w:u w:val="none"/>
          <w:lang w:val="en-US" w:eastAsia="zh-CN"/>
        </w:rPr>
        <w:t>2.</w:t>
      </w:r>
      <w:r>
        <w:rPr>
          <w:rFonts w:hint="eastAsia" w:ascii="楷体_GB2312" w:hAnsi="宋体" w:eastAsia="楷体_GB2312" w:cs="Times New Roman"/>
          <w:b w:val="0"/>
          <w:bCs/>
          <w:color w:val="auto"/>
          <w:sz w:val="32"/>
          <w:szCs w:val="32"/>
          <w:highlight w:val="none"/>
          <w:u w:val="none"/>
          <w:lang w:val="zh-CN"/>
        </w:rPr>
        <w:t>项目立项、资金申报的依据</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en-US" w:eastAsia="zh-CN"/>
        </w:rPr>
      </w:pPr>
      <w:r>
        <w:rPr>
          <w:rFonts w:hint="eastAsia" w:ascii="仿宋_GB2312" w:hAnsi="仿宋_GB2312" w:eastAsia="仿宋_GB2312" w:cs="仿宋_GB2312"/>
          <w:color w:val="auto"/>
          <w:kern w:val="0"/>
          <w:sz w:val="32"/>
          <w:szCs w:val="32"/>
          <w:highlight w:val="none"/>
          <w:u w:val="none"/>
          <w:shd w:val="clear" w:color="auto" w:fill="FFFFFF"/>
          <w:lang w:val="en-US" w:eastAsia="zh-CN"/>
        </w:rPr>
        <w:t>项目设立依据国家或地方政府发布的相关政策、规划或指导意见，以及项目预期的经济效益、成本效益分析，和对当地经济的潜在贡献。</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en-US" w:eastAsia="zh-CN"/>
        </w:rPr>
      </w:pPr>
      <w:r>
        <w:rPr>
          <w:rFonts w:hint="eastAsia" w:ascii="仿宋_GB2312" w:hAnsi="仿宋_GB2312" w:eastAsia="仿宋_GB2312" w:cs="仿宋_GB2312"/>
          <w:color w:val="auto"/>
          <w:kern w:val="0"/>
          <w:sz w:val="32"/>
          <w:szCs w:val="32"/>
          <w:highlight w:val="none"/>
          <w:u w:val="none"/>
          <w:shd w:val="clear" w:color="auto" w:fill="FFFFFF"/>
          <w:lang w:val="en-US" w:eastAsia="zh-CN"/>
        </w:rPr>
        <w:t>资金申报主要根据项目计划书中的预期支出和收入，按照财政预算管理要求编制的预算文件。同时明确项目实施后预期达到的产出、效果和影响，作为资金分配和使用的重要参考。</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楷体_GB2312" w:hAnsi="宋体" w:eastAsia="楷体_GB2312" w:cs="Times New Roman"/>
          <w:b w:val="0"/>
          <w:bCs/>
          <w:color w:val="auto"/>
          <w:sz w:val="32"/>
          <w:szCs w:val="32"/>
          <w:highlight w:val="none"/>
          <w:u w:val="none"/>
          <w:lang w:val="zh-CN"/>
        </w:rPr>
      </w:pPr>
      <w:r>
        <w:rPr>
          <w:rFonts w:hint="eastAsia" w:ascii="楷体_GB2312" w:hAnsi="宋体" w:eastAsia="楷体_GB2312" w:cs="Times New Roman"/>
          <w:b w:val="0"/>
          <w:bCs/>
          <w:color w:val="auto"/>
          <w:sz w:val="32"/>
          <w:szCs w:val="32"/>
          <w:highlight w:val="none"/>
          <w:u w:val="none"/>
          <w:lang w:val="en-US" w:eastAsia="zh-CN"/>
        </w:rPr>
        <w:t>3</w:t>
      </w:r>
      <w:r>
        <w:rPr>
          <w:rFonts w:hint="eastAsia" w:ascii="楷体_GB2312" w:hAnsi="宋体" w:eastAsia="楷体_GB2312" w:cs="Times New Roman"/>
          <w:b w:val="0"/>
          <w:bCs/>
          <w:color w:val="auto"/>
          <w:sz w:val="32"/>
          <w:szCs w:val="32"/>
          <w:highlight w:val="none"/>
          <w:u w:val="none"/>
          <w:lang w:val="zh-CN"/>
        </w:rPr>
        <w:t>.项目主要内容</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楷体_GB2312" w:hAnsi="宋体" w:eastAsia="楷体_GB2312" w:cs="Times New Roman"/>
          <w:b w:val="0"/>
          <w:bCs/>
          <w:color w:val="auto"/>
          <w:sz w:val="32"/>
          <w:szCs w:val="32"/>
          <w:highlight w:val="none"/>
          <w:u w:val="none"/>
          <w:lang w:val="zh-CN"/>
        </w:rPr>
      </w:pPr>
      <w:r>
        <w:rPr>
          <w:rFonts w:hint="eastAsia" w:ascii="仿宋_GB2312" w:hAnsi="仿宋_GB2312" w:eastAsia="仿宋_GB2312" w:cs="仿宋_GB2312"/>
          <w:color w:val="auto"/>
          <w:kern w:val="0"/>
          <w:sz w:val="32"/>
          <w:szCs w:val="32"/>
          <w:highlight w:val="none"/>
          <w:u w:val="none"/>
          <w:shd w:val="clear" w:color="auto" w:fill="FFFFFF"/>
          <w:lang w:val="en-US" w:eastAsia="zh-CN"/>
        </w:rPr>
        <w:t>项目的主要内容包括项目实施的时间表、阶段目标、关键活动和预期成果。项目所需的人力、物力、财力等资源的分配和使用计划。项目实施后预期达到的具体成果，包括但不限于产出指标、效益指标、满意度指标等。</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楷体_GB2312" w:hAnsi="宋体" w:eastAsia="楷体_GB2312" w:cs="Times New Roman"/>
          <w:b w:val="0"/>
          <w:bCs/>
          <w:color w:val="auto"/>
          <w:sz w:val="32"/>
          <w:szCs w:val="32"/>
          <w:highlight w:val="none"/>
          <w:u w:val="none"/>
          <w:lang w:val="zh-CN"/>
        </w:rPr>
      </w:pPr>
      <w:r>
        <w:rPr>
          <w:rFonts w:hint="eastAsia" w:ascii="楷体_GB2312" w:hAnsi="宋体" w:eastAsia="楷体_GB2312" w:cs="Times New Roman"/>
          <w:b w:val="0"/>
          <w:bCs/>
          <w:color w:val="auto"/>
          <w:sz w:val="32"/>
          <w:szCs w:val="32"/>
          <w:highlight w:val="none"/>
          <w:u w:val="none"/>
          <w:lang w:val="en-US" w:eastAsia="zh-CN"/>
        </w:rPr>
        <w:t>4.</w:t>
      </w:r>
      <w:r>
        <w:rPr>
          <w:rFonts w:hint="eastAsia" w:ascii="楷体_GB2312" w:hAnsi="宋体" w:eastAsia="楷体_GB2312" w:cs="Times New Roman"/>
          <w:b w:val="0"/>
          <w:bCs/>
          <w:color w:val="auto"/>
          <w:sz w:val="32"/>
          <w:szCs w:val="32"/>
          <w:highlight w:val="none"/>
          <w:u w:val="none"/>
          <w:lang w:val="zh-CN"/>
        </w:rPr>
        <w:t>主管部门职能</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Times New Roman"/>
          <w:sz w:val="32"/>
          <w:szCs w:val="32"/>
          <w:lang w:val="zh-CN"/>
        </w:rPr>
      </w:pPr>
      <w:r>
        <w:rPr>
          <w:rFonts w:hint="eastAsia" w:ascii="仿宋_GB2312" w:hAnsi="仿宋_GB2312" w:eastAsia="仿宋_GB2312" w:cs="仿宋_GB2312"/>
          <w:color w:val="auto"/>
          <w:kern w:val="0"/>
          <w:sz w:val="32"/>
          <w:szCs w:val="32"/>
          <w:highlight w:val="none"/>
          <w:u w:val="none"/>
          <w:shd w:val="clear" w:color="auto" w:fill="FFFFFF"/>
          <w:lang w:val="en-US" w:eastAsia="zh-CN"/>
        </w:rPr>
        <w:t>我部贯彻新时代党的建设总要求和党的组织路线，落实县委相关决策部署。（1）负责全县的组织体系、组织制度建设，负责基层党组织建设规划指导和党员队伍宏观管理，指导开展党员教育工作。（2）负责全县科级领导班子和干部队伍建设的总体规划和宏观管理。负责县委管理科级领导班子和领导干部的考察考核、日常管理。负责全县优秀年轻干部队伍建设工作。（3）负责管理全县公务员工作。（4）负责全县人才队伍建设宏观指导、政策落实、综合协调和督促检查。（5）负责组织、指导全县干部教育培训工作的宏观指导、政策规划、组织协调和督促检查，负责县委重点培训项目的策划、实施和管理，指导全县干部教育培训基地建设管理、师资队伍建设等工作。（6）负责全县干部监督工作的宏观指导和综合协调，制定和落实干部监督工作制度。（7）负责副县级及以上离退休干部的管理和服务。（8）负责制定全县直属机关党的建设工作规划。（9）统一归口管理县委机构编制委员会办公室。（10）承担县委党建领导小组、县人才工作领导小组日常工作。（11）完成县委交办的其他任务</w:t>
      </w:r>
    </w:p>
    <w:p>
      <w:pPr>
        <w:keepNext w:val="0"/>
        <w:keepLines w:val="0"/>
        <w:pageBreakBefore w:val="0"/>
        <w:numPr>
          <w:ilvl w:val="0"/>
          <w:numId w:val="6"/>
        </w:numPr>
        <w:kinsoku/>
        <w:wordWrap/>
        <w:overflowPunct/>
        <w:topLinePunct w:val="0"/>
        <w:autoSpaceDE/>
        <w:autoSpaceDN/>
        <w:bidi w:val="0"/>
        <w:adjustRightInd w:val="0"/>
        <w:snapToGrid w:val="0"/>
        <w:spacing w:line="578" w:lineRule="exact"/>
        <w:ind w:left="-3" w:leftChars="0" w:firstLine="643" w:firstLineChars="0"/>
        <w:textAlignment w:val="auto"/>
        <w:rPr>
          <w:rFonts w:hint="eastAsia" w:ascii="楷体_GB2312" w:hAnsi="宋体" w:eastAsia="楷体_GB2312" w:cs="Times New Roman"/>
          <w:b/>
          <w:color w:val="auto"/>
          <w:sz w:val="32"/>
          <w:szCs w:val="32"/>
          <w:highlight w:val="none"/>
          <w:u w:val="none"/>
          <w:lang w:val="en-US" w:eastAsia="zh-CN"/>
        </w:rPr>
      </w:pP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578" w:lineRule="exact"/>
        <w:ind w:leftChars="200"/>
        <w:textAlignment w:val="auto"/>
        <w:rPr>
          <w:rFonts w:hint="eastAsia" w:ascii="楷体_GB2312" w:hAnsi="宋体" w:eastAsia="楷体_GB2312" w:cs="Times New Roman"/>
          <w:b w:val="0"/>
          <w:bCs/>
          <w:color w:val="auto"/>
          <w:sz w:val="32"/>
          <w:szCs w:val="32"/>
          <w:highlight w:val="none"/>
          <w:u w:val="none"/>
          <w:lang w:val="en-US" w:eastAsia="zh-CN"/>
        </w:rPr>
      </w:pPr>
      <w:r>
        <w:rPr>
          <w:rFonts w:hint="eastAsia" w:ascii="楷体_GB2312" w:hAnsi="宋体" w:eastAsia="楷体_GB2312" w:cs="Times New Roman"/>
          <w:b w:val="0"/>
          <w:bCs/>
          <w:color w:val="auto"/>
          <w:sz w:val="32"/>
          <w:szCs w:val="32"/>
          <w:highlight w:val="none"/>
          <w:u w:val="none"/>
          <w:lang w:val="en-US" w:eastAsia="zh-CN"/>
        </w:rPr>
        <w:t>1.</w:t>
      </w:r>
      <w:r>
        <w:rPr>
          <w:rFonts w:hint="eastAsia" w:ascii="楷体_GB2312" w:hAnsi="宋体" w:eastAsia="楷体_GB2312" w:cs="Times New Roman"/>
          <w:b w:val="0"/>
          <w:bCs/>
          <w:color w:val="auto"/>
          <w:sz w:val="32"/>
          <w:szCs w:val="32"/>
          <w:highlight w:val="none"/>
          <w:u w:val="none"/>
          <w:lang w:val="zh-CN" w:eastAsia="zh-CN"/>
        </w:rPr>
        <w:t>项目资金管理办法制定情况</w:t>
      </w:r>
    </w:p>
    <w:p>
      <w:pPr>
        <w:keepNext w:val="0"/>
        <w:keepLines w:val="0"/>
        <w:pageBreakBefore w:val="0"/>
        <w:numPr>
          <w:ilvl w:val="0"/>
          <w:numId w:val="0"/>
        </w:numPr>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color w:val="000000"/>
          <w:kern w:val="0"/>
          <w:sz w:val="32"/>
          <w:szCs w:val="32"/>
          <w:highlight w:val="none"/>
          <w:u w:val="none"/>
          <w:shd w:val="clear" w:color="auto" w:fill="FFFFFF"/>
          <w:lang w:val="zh-CN"/>
        </w:rPr>
      </w:pPr>
      <w:r>
        <w:rPr>
          <w:rFonts w:hint="eastAsia" w:ascii="仿宋_GB2312" w:hAnsi="仿宋_GB2312" w:eastAsia="仿宋_GB2312" w:cs="仿宋_GB2312"/>
          <w:color w:val="000000"/>
          <w:kern w:val="0"/>
          <w:sz w:val="32"/>
          <w:szCs w:val="32"/>
          <w:highlight w:val="none"/>
          <w:u w:val="none"/>
          <w:shd w:val="clear" w:color="auto" w:fill="FFFFFF"/>
          <w:lang w:val="en-US" w:eastAsia="zh-CN"/>
        </w:rPr>
        <w:t>项目资金</w:t>
      </w:r>
      <w:r>
        <w:rPr>
          <w:rFonts w:hint="eastAsia" w:ascii="仿宋_GB2312" w:hAnsi="仿宋_GB2312" w:eastAsia="仿宋_GB2312" w:cs="仿宋_GB2312"/>
          <w:color w:val="000000"/>
          <w:kern w:val="0"/>
          <w:sz w:val="32"/>
          <w:szCs w:val="32"/>
          <w:highlight w:val="none"/>
          <w:u w:val="none"/>
          <w:shd w:val="clear" w:color="auto" w:fill="FFFFFF"/>
          <w:lang w:val="zh-CN"/>
        </w:rPr>
        <w:t>管理办法制定按照项目性质</w:t>
      </w:r>
      <w:r>
        <w:rPr>
          <w:rFonts w:hint="eastAsia" w:ascii="仿宋_GB2312" w:hAnsi="仿宋_GB2312" w:eastAsia="仿宋_GB2312" w:cs="仿宋_GB2312"/>
          <w:color w:val="000000"/>
          <w:kern w:val="0"/>
          <w:sz w:val="32"/>
          <w:szCs w:val="32"/>
          <w:highlight w:val="none"/>
          <w:u w:val="none"/>
          <w:shd w:val="clear" w:color="auto" w:fill="FFFFFF"/>
          <w:lang w:val="en-US" w:eastAsia="zh-CN"/>
        </w:rPr>
        <w:t>、</w:t>
      </w:r>
      <w:r>
        <w:rPr>
          <w:rFonts w:hint="eastAsia" w:ascii="仿宋_GB2312" w:hAnsi="仿宋_GB2312" w:eastAsia="仿宋_GB2312" w:cs="仿宋_GB2312"/>
          <w:color w:val="000000"/>
          <w:kern w:val="0"/>
          <w:sz w:val="32"/>
          <w:szCs w:val="32"/>
          <w:highlight w:val="none"/>
          <w:u w:val="none"/>
          <w:shd w:val="clear" w:color="auto" w:fill="FFFFFF"/>
          <w:lang w:val="zh-CN"/>
        </w:rPr>
        <w:t>资金来源和政策要求。依据相关法律法规</w:t>
      </w:r>
      <w:r>
        <w:rPr>
          <w:rFonts w:hint="eastAsia" w:ascii="仿宋_GB2312" w:hAnsi="仿宋_GB2312" w:eastAsia="仿宋_GB2312" w:cs="仿宋_GB2312"/>
          <w:color w:val="000000"/>
          <w:kern w:val="0"/>
          <w:sz w:val="32"/>
          <w:szCs w:val="32"/>
          <w:highlight w:val="none"/>
          <w:u w:val="none"/>
          <w:shd w:val="clear" w:color="auto" w:fill="FFFFFF"/>
          <w:lang w:val="en-US" w:eastAsia="zh-CN"/>
        </w:rPr>
        <w:t>、</w:t>
      </w:r>
      <w:r>
        <w:rPr>
          <w:rFonts w:hint="eastAsia" w:ascii="仿宋_GB2312" w:hAnsi="仿宋_GB2312" w:eastAsia="仿宋_GB2312" w:cs="仿宋_GB2312"/>
          <w:color w:val="000000"/>
          <w:kern w:val="0"/>
          <w:sz w:val="32"/>
          <w:szCs w:val="32"/>
          <w:highlight w:val="none"/>
          <w:u w:val="none"/>
          <w:shd w:val="clear" w:color="auto" w:fill="FFFFFF"/>
          <w:lang w:val="zh-CN"/>
        </w:rPr>
        <w:t>行业标准和政策文件。</w:t>
      </w:r>
    </w:p>
    <w:p>
      <w:pPr>
        <w:keepNext w:val="0"/>
        <w:keepLines w:val="0"/>
        <w:pageBreakBefore w:val="0"/>
        <w:numPr>
          <w:ilvl w:val="0"/>
          <w:numId w:val="0"/>
        </w:numPr>
        <w:kinsoku/>
        <w:wordWrap/>
        <w:overflowPunct/>
        <w:topLinePunct w:val="0"/>
        <w:autoSpaceDE/>
        <w:autoSpaceDN/>
        <w:bidi w:val="0"/>
        <w:adjustRightInd w:val="0"/>
        <w:snapToGrid w:val="0"/>
        <w:spacing w:line="578" w:lineRule="exact"/>
        <w:ind w:leftChars="200"/>
        <w:textAlignment w:val="auto"/>
        <w:rPr>
          <w:rFonts w:hint="eastAsia" w:ascii="楷体_GB2312" w:hAnsi="宋体" w:eastAsia="楷体_GB2312" w:cs="Times New Roman"/>
          <w:b w:val="0"/>
          <w:bCs/>
          <w:color w:val="auto"/>
          <w:sz w:val="32"/>
          <w:szCs w:val="32"/>
          <w:highlight w:val="none"/>
          <w:u w:val="none"/>
          <w:lang w:val="zh-CN" w:eastAsia="zh-CN"/>
        </w:rPr>
      </w:pPr>
      <w:r>
        <w:rPr>
          <w:rFonts w:hint="eastAsia" w:ascii="楷体_GB2312" w:hAnsi="宋体" w:eastAsia="楷体_GB2312" w:cs="Times New Roman"/>
          <w:b w:val="0"/>
          <w:bCs/>
          <w:color w:val="auto"/>
          <w:sz w:val="32"/>
          <w:szCs w:val="32"/>
          <w:highlight w:val="none"/>
          <w:u w:val="none"/>
          <w:lang w:val="en-US" w:eastAsia="zh-CN"/>
        </w:rPr>
        <w:t>2.</w:t>
      </w:r>
      <w:r>
        <w:rPr>
          <w:rFonts w:hint="eastAsia" w:ascii="楷体_GB2312" w:hAnsi="宋体" w:eastAsia="楷体_GB2312" w:cs="Times New Roman"/>
          <w:b w:val="0"/>
          <w:bCs/>
          <w:color w:val="auto"/>
          <w:sz w:val="32"/>
          <w:szCs w:val="32"/>
          <w:highlight w:val="none"/>
          <w:u w:val="none"/>
          <w:lang w:val="zh-CN" w:eastAsia="zh-CN"/>
        </w:rPr>
        <w:t>项目实施目</w:t>
      </w:r>
    </w:p>
    <w:p>
      <w:pPr>
        <w:ind w:firstLine="640" w:firstLineChars="200"/>
        <w:rPr>
          <w:rFonts w:hint="eastAsia" w:ascii="仿宋_GB2312" w:hAnsi="仿宋_GB2312" w:eastAsia="仿宋_GB2312" w:cs="仿宋_GB2312"/>
          <w:color w:val="000000"/>
          <w:kern w:val="0"/>
          <w:sz w:val="32"/>
          <w:szCs w:val="32"/>
          <w:highlight w:val="none"/>
          <w:u w:val="none"/>
          <w:shd w:val="clear" w:color="auto" w:fill="FFFFFF"/>
          <w:lang w:val="zh-CN" w:eastAsia="zh-CN"/>
        </w:rPr>
      </w:pPr>
      <w:r>
        <w:rPr>
          <w:rFonts w:hint="eastAsia" w:ascii="仿宋_GB2312" w:hAnsi="仿宋_GB2312" w:eastAsia="仿宋_GB2312" w:cs="仿宋_GB2312"/>
          <w:color w:val="000000"/>
          <w:kern w:val="0"/>
          <w:sz w:val="32"/>
          <w:szCs w:val="32"/>
          <w:highlight w:val="none"/>
          <w:u w:val="none"/>
          <w:shd w:val="clear" w:color="auto" w:fill="FFFFFF"/>
          <w:lang w:val="zh-CN" w:eastAsia="zh-CN"/>
        </w:rPr>
        <w:t>通过项目实施，推动相关产业发展，增加就业机会，培养和引进相关人才，促进经济增长。直接或间接地改善民众的生活条件，提高生活质量。</w:t>
      </w:r>
    </w:p>
    <w:p>
      <w:pPr>
        <w:keepNext w:val="0"/>
        <w:keepLines w:val="0"/>
        <w:pageBreakBefore w:val="0"/>
        <w:numPr>
          <w:ilvl w:val="0"/>
          <w:numId w:val="0"/>
        </w:numPr>
        <w:kinsoku/>
        <w:wordWrap/>
        <w:overflowPunct/>
        <w:topLinePunct w:val="0"/>
        <w:autoSpaceDE/>
        <w:autoSpaceDN/>
        <w:bidi w:val="0"/>
        <w:adjustRightInd w:val="0"/>
        <w:snapToGrid w:val="0"/>
        <w:spacing w:line="578" w:lineRule="exact"/>
        <w:ind w:leftChars="200"/>
        <w:textAlignment w:val="auto"/>
        <w:rPr>
          <w:rFonts w:hint="eastAsia" w:ascii="楷体_GB2312" w:hAnsi="宋体" w:eastAsia="楷体_GB2312" w:cs="Times New Roman"/>
          <w:b w:val="0"/>
          <w:bCs/>
          <w:color w:val="auto"/>
          <w:sz w:val="32"/>
          <w:szCs w:val="32"/>
          <w:highlight w:val="none"/>
          <w:u w:val="none"/>
          <w:lang w:val="zh-CN" w:eastAsia="zh-CN"/>
        </w:rPr>
      </w:pPr>
      <w:r>
        <w:rPr>
          <w:rFonts w:hint="eastAsia" w:ascii="楷体_GB2312" w:hAnsi="宋体" w:eastAsia="楷体_GB2312" w:cs="Times New Roman"/>
          <w:b w:val="0"/>
          <w:bCs/>
          <w:color w:val="auto"/>
          <w:sz w:val="32"/>
          <w:szCs w:val="32"/>
          <w:highlight w:val="none"/>
          <w:u w:val="none"/>
          <w:lang w:val="en-US" w:eastAsia="zh-CN"/>
        </w:rPr>
        <w:t>3</w:t>
      </w:r>
      <w:r>
        <w:rPr>
          <w:rFonts w:hint="eastAsia" w:ascii="楷体_GB2312" w:hAnsi="宋体" w:eastAsia="楷体_GB2312" w:cs="Times New Roman"/>
          <w:b w:val="0"/>
          <w:bCs/>
          <w:color w:val="auto"/>
          <w:sz w:val="32"/>
          <w:szCs w:val="32"/>
          <w:highlight w:val="none"/>
          <w:u w:val="none"/>
          <w:lang w:val="zh-CN" w:eastAsia="zh-CN"/>
        </w:rPr>
        <w:t>.项目支持方向</w:t>
      </w:r>
    </w:p>
    <w:p>
      <w:pPr>
        <w:ind w:firstLine="640" w:firstLineChars="200"/>
        <w:rPr>
          <w:rFonts w:ascii="Times New Roman" w:hAnsi="Times New Roman" w:eastAsia="仿宋_GB2312" w:cs="Times New Roman"/>
          <w:sz w:val="32"/>
          <w:szCs w:val="32"/>
          <w:lang w:val="zh-CN"/>
        </w:rPr>
      </w:pPr>
      <w:r>
        <w:rPr>
          <w:rFonts w:hint="eastAsia" w:ascii="仿宋_GB2312" w:hAnsi="仿宋_GB2312" w:eastAsia="仿宋_GB2312" w:cs="仿宋_GB2312"/>
          <w:color w:val="000000"/>
          <w:kern w:val="0"/>
          <w:sz w:val="32"/>
          <w:szCs w:val="32"/>
          <w:highlight w:val="none"/>
          <w:u w:val="none"/>
          <w:shd w:val="clear" w:color="auto" w:fill="FFFFFF"/>
          <w:lang w:val="zh-CN" w:eastAsia="zh-CN"/>
        </w:rPr>
        <w:t>项目支持方向与实施目的相一致，包括政策支持，制定或完善相关政策，为项目实施提供政策保障。资金支持，通过财政拨款、金融机构贷款等方式，为项目提供资金支持。人才支持，培养和引进相关人才，保障项目顺利实施。</w:t>
      </w:r>
    </w:p>
    <w:p>
      <w:pPr>
        <w:keepNext w:val="0"/>
        <w:keepLines w:val="0"/>
        <w:pageBreakBefore w:val="0"/>
        <w:widowControl/>
        <w:numPr>
          <w:ilvl w:val="0"/>
          <w:numId w:val="6"/>
        </w:numPr>
        <w:kinsoku/>
        <w:wordWrap/>
        <w:overflowPunct/>
        <w:topLinePunct w:val="0"/>
        <w:autoSpaceDE/>
        <w:autoSpaceDN/>
        <w:bidi w:val="0"/>
        <w:adjustRightInd w:val="0"/>
        <w:snapToGrid w:val="0"/>
        <w:spacing w:line="578" w:lineRule="exact"/>
        <w:ind w:left="-3" w:leftChars="0" w:firstLine="643" w:firstLineChars="0"/>
        <w:contextualSpacing/>
        <w:jc w:val="left"/>
        <w:textAlignment w:val="auto"/>
        <w:rPr>
          <w:rFonts w:hint="eastAsia" w:ascii="Times New Roman" w:hAnsi="Times New Roman" w:eastAsia="仿宋_GB2312" w:cs="Times New Roman"/>
          <w:sz w:val="32"/>
          <w:szCs w:val="32"/>
          <w:lang w:val="zh-CN"/>
        </w:rPr>
      </w:pP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r>
        <w:rPr>
          <w:rFonts w:hint="eastAsia" w:ascii="仿宋_GB2312" w:hAnsi="仿宋_GB2312" w:eastAsia="仿宋_GB2312" w:cs="仿宋_GB2312"/>
          <w:color w:val="auto"/>
          <w:kern w:val="0"/>
          <w:sz w:val="32"/>
          <w:szCs w:val="32"/>
          <w:highlight w:val="none"/>
          <w:u w:val="none"/>
          <w:shd w:val="clear" w:color="auto" w:fill="FFFFFF"/>
          <w:lang w:val="zh-CN" w:eastAsia="zh-CN"/>
        </w:rPr>
        <w:t>项目预算安排情况，项目</w:t>
      </w:r>
      <w:r>
        <w:rPr>
          <w:rFonts w:hint="eastAsia" w:ascii="仿宋_GB2312" w:hAnsi="仿宋_GB2312" w:eastAsia="仿宋_GB2312" w:cs="仿宋_GB2312"/>
          <w:color w:val="auto"/>
          <w:kern w:val="0"/>
          <w:sz w:val="32"/>
          <w:szCs w:val="32"/>
          <w:highlight w:val="none"/>
          <w:u w:val="none"/>
          <w:shd w:val="clear" w:color="auto" w:fill="FFFFFF"/>
          <w:lang w:val="zh-CN"/>
        </w:rPr>
        <w:t>资金分配原则及考虑因素，项目资金分配情况。</w:t>
      </w:r>
    </w:p>
    <w:p>
      <w:pPr>
        <w:keepNext w:val="0"/>
        <w:keepLines w:val="0"/>
        <w:pageBreakBefore w:val="0"/>
        <w:numPr>
          <w:ilvl w:val="0"/>
          <w:numId w:val="0"/>
        </w:numPr>
        <w:kinsoku/>
        <w:wordWrap/>
        <w:overflowPunct/>
        <w:topLinePunct w:val="0"/>
        <w:autoSpaceDE/>
        <w:autoSpaceDN/>
        <w:bidi w:val="0"/>
        <w:adjustRightInd w:val="0"/>
        <w:snapToGrid w:val="0"/>
        <w:spacing w:line="578" w:lineRule="exact"/>
        <w:ind w:leftChars="200"/>
        <w:textAlignment w:val="auto"/>
        <w:rPr>
          <w:rFonts w:hint="eastAsia" w:ascii="楷体_GB2312" w:hAnsi="宋体" w:eastAsia="楷体_GB2312" w:cs="Times New Roman"/>
          <w:b w:val="0"/>
          <w:bCs/>
          <w:color w:val="auto"/>
          <w:sz w:val="32"/>
          <w:szCs w:val="32"/>
          <w:highlight w:val="none"/>
          <w:u w:val="none"/>
          <w:lang w:val="zh-CN" w:eastAsia="zh-CN"/>
        </w:rPr>
      </w:pPr>
      <w:r>
        <w:rPr>
          <w:rFonts w:hint="eastAsia" w:ascii="楷体_GB2312" w:hAnsi="宋体" w:eastAsia="楷体_GB2312" w:cs="Times New Roman"/>
          <w:b w:val="0"/>
          <w:bCs/>
          <w:color w:val="auto"/>
          <w:sz w:val="32"/>
          <w:szCs w:val="32"/>
          <w:highlight w:val="none"/>
          <w:u w:val="none"/>
          <w:lang w:val="zh-CN" w:eastAsia="zh-CN"/>
        </w:rPr>
        <w:t>1.项目预算安排情况</w:t>
      </w:r>
    </w:p>
    <w:p>
      <w:pPr>
        <w:ind w:firstLine="640" w:firstLineChars="200"/>
        <w:rPr>
          <w:rFonts w:hint="eastAsia" w:ascii="仿宋_GB2312" w:hAnsi="仿宋_GB2312" w:eastAsia="仿宋_GB2312" w:cs="仿宋_GB2312"/>
          <w:color w:val="000000"/>
          <w:kern w:val="0"/>
          <w:sz w:val="32"/>
          <w:szCs w:val="32"/>
          <w:highlight w:val="none"/>
          <w:u w:val="none"/>
          <w:shd w:val="clear" w:color="auto" w:fill="FFFFFF"/>
          <w:lang w:val="zh-CN" w:eastAsia="zh-CN"/>
        </w:rPr>
      </w:pPr>
      <w:r>
        <w:rPr>
          <w:rFonts w:hint="eastAsia" w:ascii="仿宋_GB2312" w:hAnsi="仿宋_GB2312" w:eastAsia="仿宋_GB2312" w:cs="仿宋_GB2312"/>
          <w:color w:val="000000"/>
          <w:kern w:val="0"/>
          <w:sz w:val="32"/>
          <w:szCs w:val="32"/>
          <w:highlight w:val="none"/>
          <w:u w:val="none"/>
          <w:shd w:val="clear" w:color="auto" w:fill="FFFFFF"/>
          <w:lang w:val="zh-CN" w:eastAsia="zh-CN"/>
        </w:rPr>
        <w:t>项目总的预算金额，包括中央财政资金、地方财政资金等。通过详细列出预算的构成部分，如人员经费、设备购置、材料费、咨询费等进行安排。预算的有效期限，与项目实施周期相匹配。</w:t>
      </w:r>
    </w:p>
    <w:p>
      <w:pPr>
        <w:keepNext w:val="0"/>
        <w:keepLines w:val="0"/>
        <w:pageBreakBefore w:val="0"/>
        <w:numPr>
          <w:ilvl w:val="0"/>
          <w:numId w:val="0"/>
        </w:numPr>
        <w:kinsoku/>
        <w:wordWrap/>
        <w:overflowPunct/>
        <w:topLinePunct w:val="0"/>
        <w:autoSpaceDE/>
        <w:autoSpaceDN/>
        <w:bidi w:val="0"/>
        <w:adjustRightInd w:val="0"/>
        <w:snapToGrid w:val="0"/>
        <w:spacing w:line="578" w:lineRule="exact"/>
        <w:ind w:leftChars="200"/>
        <w:textAlignment w:val="auto"/>
        <w:rPr>
          <w:rFonts w:hint="eastAsia" w:ascii="楷体_GB2312" w:hAnsi="宋体" w:eastAsia="楷体_GB2312" w:cs="Times New Roman"/>
          <w:b w:val="0"/>
          <w:bCs/>
          <w:color w:val="auto"/>
          <w:sz w:val="32"/>
          <w:szCs w:val="32"/>
          <w:highlight w:val="none"/>
          <w:u w:val="none"/>
          <w:lang w:val="zh-CN" w:eastAsia="zh-CN"/>
        </w:rPr>
      </w:pPr>
      <w:r>
        <w:rPr>
          <w:rFonts w:hint="eastAsia" w:ascii="楷体_GB2312" w:hAnsi="宋体" w:eastAsia="楷体_GB2312" w:cs="Times New Roman"/>
          <w:b w:val="0"/>
          <w:bCs/>
          <w:color w:val="auto"/>
          <w:sz w:val="32"/>
          <w:szCs w:val="32"/>
          <w:highlight w:val="none"/>
          <w:u w:val="none"/>
          <w:lang w:val="zh-CN" w:eastAsia="zh-CN"/>
        </w:rPr>
        <w:t>2.项目资金分配原则及考虑因素</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color w:val="0000FF"/>
          <w:kern w:val="0"/>
          <w:sz w:val="32"/>
          <w:szCs w:val="32"/>
          <w:highlight w:val="none"/>
          <w:u w:val="none"/>
          <w:shd w:val="clear" w:color="auto" w:fill="FFFFFF"/>
          <w:lang w:val="zh-CN" w:eastAsia="zh-CN"/>
        </w:rPr>
      </w:pPr>
      <w:r>
        <w:rPr>
          <w:rFonts w:hint="eastAsia" w:ascii="仿宋_GB2312" w:hAnsi="仿宋_GB2312" w:eastAsia="仿宋_GB2312" w:cs="仿宋_GB2312"/>
          <w:color w:val="auto"/>
          <w:kern w:val="0"/>
          <w:sz w:val="32"/>
          <w:szCs w:val="32"/>
          <w:highlight w:val="none"/>
          <w:u w:val="none"/>
          <w:shd w:val="clear" w:color="auto" w:fill="FFFFFF"/>
          <w:lang w:val="zh-CN" w:eastAsia="zh-CN"/>
        </w:rPr>
        <w:t>（</w:t>
      </w:r>
      <w:r>
        <w:rPr>
          <w:rFonts w:hint="eastAsia" w:ascii="仿宋_GB2312" w:hAnsi="仿宋_GB2312" w:eastAsia="仿宋_GB2312" w:cs="仿宋_GB2312"/>
          <w:color w:val="auto"/>
          <w:kern w:val="0"/>
          <w:sz w:val="32"/>
          <w:szCs w:val="32"/>
          <w:highlight w:val="none"/>
          <w:u w:val="none"/>
          <w:shd w:val="clear" w:color="auto" w:fill="FFFFFF"/>
          <w:lang w:val="en-US" w:eastAsia="zh-CN"/>
        </w:rPr>
        <w:t>1</w:t>
      </w:r>
      <w:r>
        <w:rPr>
          <w:rFonts w:hint="eastAsia" w:ascii="仿宋_GB2312" w:hAnsi="仿宋_GB2312" w:eastAsia="仿宋_GB2312" w:cs="仿宋_GB2312"/>
          <w:color w:val="auto"/>
          <w:kern w:val="0"/>
          <w:sz w:val="32"/>
          <w:szCs w:val="32"/>
          <w:highlight w:val="none"/>
          <w:u w:val="none"/>
          <w:shd w:val="clear" w:color="auto" w:fill="FFFFFF"/>
          <w:lang w:val="zh-CN" w:eastAsia="zh-CN"/>
        </w:rPr>
        <w:t>）公平合理原则：确保资金分配的公平性，避免偏颇。（</w:t>
      </w:r>
      <w:r>
        <w:rPr>
          <w:rFonts w:hint="eastAsia" w:ascii="仿宋_GB2312" w:hAnsi="仿宋_GB2312" w:eastAsia="仿宋_GB2312" w:cs="仿宋_GB2312"/>
          <w:color w:val="auto"/>
          <w:kern w:val="0"/>
          <w:sz w:val="32"/>
          <w:szCs w:val="32"/>
          <w:highlight w:val="none"/>
          <w:u w:val="none"/>
          <w:shd w:val="clear" w:color="auto" w:fill="FFFFFF"/>
          <w:lang w:val="en-US" w:eastAsia="zh-CN"/>
        </w:rPr>
        <w:t>2</w:t>
      </w:r>
      <w:r>
        <w:rPr>
          <w:rFonts w:hint="eastAsia" w:ascii="仿宋_GB2312" w:hAnsi="仿宋_GB2312" w:eastAsia="仿宋_GB2312" w:cs="仿宋_GB2312"/>
          <w:color w:val="auto"/>
          <w:kern w:val="0"/>
          <w:sz w:val="32"/>
          <w:szCs w:val="32"/>
          <w:highlight w:val="none"/>
          <w:u w:val="none"/>
          <w:shd w:val="clear" w:color="auto" w:fill="FFFFFF"/>
          <w:lang w:val="zh-CN" w:eastAsia="zh-CN"/>
        </w:rPr>
        <w:t>）重点突出原则：优先支持项目中的关键环节和重点任务。（</w:t>
      </w:r>
      <w:r>
        <w:rPr>
          <w:rFonts w:hint="eastAsia" w:ascii="仿宋_GB2312" w:hAnsi="仿宋_GB2312" w:eastAsia="仿宋_GB2312" w:cs="仿宋_GB2312"/>
          <w:color w:val="auto"/>
          <w:kern w:val="0"/>
          <w:sz w:val="32"/>
          <w:szCs w:val="32"/>
          <w:highlight w:val="none"/>
          <w:u w:val="none"/>
          <w:shd w:val="clear" w:color="auto" w:fill="FFFFFF"/>
          <w:lang w:val="en-US" w:eastAsia="zh-CN"/>
        </w:rPr>
        <w:t>3</w:t>
      </w:r>
      <w:r>
        <w:rPr>
          <w:rFonts w:hint="eastAsia" w:ascii="仿宋_GB2312" w:hAnsi="仿宋_GB2312" w:eastAsia="仿宋_GB2312" w:cs="仿宋_GB2312"/>
          <w:color w:val="auto"/>
          <w:kern w:val="0"/>
          <w:sz w:val="32"/>
          <w:szCs w:val="32"/>
          <w:highlight w:val="none"/>
          <w:u w:val="none"/>
          <w:shd w:val="clear" w:color="auto" w:fill="FFFFFF"/>
          <w:lang w:val="zh-CN" w:eastAsia="zh-CN"/>
        </w:rPr>
        <w:t>）效益优先原则：优先考虑资金使用效益高的项目。（</w:t>
      </w:r>
      <w:r>
        <w:rPr>
          <w:rFonts w:hint="eastAsia" w:ascii="仿宋_GB2312" w:hAnsi="仿宋_GB2312" w:eastAsia="仿宋_GB2312" w:cs="仿宋_GB2312"/>
          <w:color w:val="auto"/>
          <w:kern w:val="0"/>
          <w:sz w:val="32"/>
          <w:szCs w:val="32"/>
          <w:highlight w:val="none"/>
          <w:u w:val="none"/>
          <w:shd w:val="clear" w:color="auto" w:fill="FFFFFF"/>
          <w:lang w:val="en-US" w:eastAsia="zh-CN"/>
        </w:rPr>
        <w:t>4</w:t>
      </w:r>
      <w:r>
        <w:rPr>
          <w:rFonts w:hint="eastAsia" w:ascii="仿宋_GB2312" w:hAnsi="仿宋_GB2312" w:eastAsia="仿宋_GB2312" w:cs="仿宋_GB2312"/>
          <w:color w:val="auto"/>
          <w:kern w:val="0"/>
          <w:sz w:val="32"/>
          <w:szCs w:val="32"/>
          <w:highlight w:val="none"/>
          <w:u w:val="none"/>
          <w:shd w:val="clear" w:color="auto" w:fill="FFFFFF"/>
          <w:lang w:val="zh-CN" w:eastAsia="zh-CN"/>
        </w:rPr>
        <w:t>）可持续性原则：确保资金使用后能够产生长期效益。</w:t>
      </w:r>
    </w:p>
    <w:p>
      <w:pPr>
        <w:keepNext w:val="0"/>
        <w:keepLines w:val="0"/>
        <w:pageBreakBefore w:val="0"/>
        <w:numPr>
          <w:ilvl w:val="0"/>
          <w:numId w:val="0"/>
        </w:numPr>
        <w:kinsoku/>
        <w:wordWrap/>
        <w:overflowPunct/>
        <w:topLinePunct w:val="0"/>
        <w:autoSpaceDE/>
        <w:autoSpaceDN/>
        <w:bidi w:val="0"/>
        <w:adjustRightInd w:val="0"/>
        <w:snapToGrid w:val="0"/>
        <w:spacing w:line="578" w:lineRule="exact"/>
        <w:ind w:leftChars="200"/>
        <w:textAlignment w:val="auto"/>
        <w:rPr>
          <w:rFonts w:hint="eastAsia" w:ascii="楷体_GB2312" w:hAnsi="宋体" w:eastAsia="楷体_GB2312" w:cs="Times New Roman"/>
          <w:b w:val="0"/>
          <w:bCs/>
          <w:color w:val="auto"/>
          <w:sz w:val="32"/>
          <w:szCs w:val="32"/>
          <w:highlight w:val="none"/>
          <w:u w:val="none"/>
          <w:lang w:val="zh-CN" w:eastAsia="zh-CN"/>
        </w:rPr>
      </w:pPr>
      <w:r>
        <w:rPr>
          <w:rFonts w:hint="eastAsia" w:ascii="楷体_GB2312" w:hAnsi="宋体" w:eastAsia="楷体_GB2312" w:cs="Times New Roman"/>
          <w:b w:val="0"/>
          <w:bCs/>
          <w:color w:val="auto"/>
          <w:sz w:val="32"/>
          <w:szCs w:val="32"/>
          <w:highlight w:val="none"/>
          <w:u w:val="none"/>
          <w:lang w:val="zh-CN" w:eastAsia="zh-CN"/>
        </w:rPr>
        <w:t>3.项目资金分配情况</w:t>
      </w:r>
    </w:p>
    <w:p>
      <w:pPr>
        <w:ind w:firstLine="640" w:firstLineChars="200"/>
        <w:rPr>
          <w:rFonts w:hint="eastAsia" w:ascii="Times New Roman" w:hAnsi="Times New Roman" w:eastAsia="仿宋_GB2312" w:cs="Times New Roman"/>
          <w:sz w:val="32"/>
          <w:szCs w:val="32"/>
          <w:lang w:val="zh-CN"/>
        </w:rPr>
      </w:pPr>
      <w:r>
        <w:rPr>
          <w:rFonts w:hint="eastAsia" w:ascii="仿宋_GB2312" w:hAnsi="仿宋_GB2312" w:eastAsia="仿宋_GB2312" w:cs="仿宋_GB2312"/>
          <w:color w:val="000000"/>
          <w:kern w:val="0"/>
          <w:sz w:val="32"/>
          <w:szCs w:val="32"/>
          <w:highlight w:val="none"/>
          <w:u w:val="none"/>
          <w:shd w:val="clear" w:color="auto" w:fill="FFFFFF"/>
          <w:lang w:val="zh-CN" w:eastAsia="zh-CN"/>
        </w:rPr>
        <w:t>项目资金分配按项目进度或按任务完成情况等。</w:t>
      </w:r>
    </w:p>
    <w:p>
      <w:pPr>
        <w:keepNext w:val="0"/>
        <w:keepLines w:val="0"/>
        <w:pageBreakBefore w:val="0"/>
        <w:kinsoku/>
        <w:wordWrap/>
        <w:overflowPunct/>
        <w:topLinePunct w:val="0"/>
        <w:autoSpaceDE/>
        <w:autoSpaceDN/>
        <w:bidi w:val="0"/>
        <w:adjustRightInd w:val="0"/>
        <w:snapToGrid w:val="0"/>
        <w:spacing w:line="578" w:lineRule="exact"/>
        <w:ind w:left="0" w:leftChars="0" w:firstLine="642" w:firstLineChars="200"/>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hAnsi="宋体" w:eastAsia="楷体_GB2312" w:cs="Times New Roman"/>
          <w:b/>
          <w:color w:val="auto"/>
          <w:sz w:val="32"/>
          <w:szCs w:val="32"/>
          <w:highlight w:val="none"/>
          <w:u w:val="none"/>
          <w:lang w:val="zh-CN" w:eastAsia="zh-CN"/>
        </w:rPr>
        <w:t>（四）项目绩效目标设置。</w:t>
      </w:r>
    </w:p>
    <w:p>
      <w:pPr>
        <w:keepNext w:val="0"/>
        <w:keepLines w:val="0"/>
        <w:pageBreakBefore w:val="0"/>
        <w:numPr>
          <w:ilvl w:val="0"/>
          <w:numId w:val="0"/>
        </w:numPr>
        <w:kinsoku/>
        <w:wordWrap/>
        <w:overflowPunct/>
        <w:topLinePunct w:val="0"/>
        <w:autoSpaceDE/>
        <w:autoSpaceDN/>
        <w:bidi w:val="0"/>
        <w:adjustRightInd w:val="0"/>
        <w:snapToGrid w:val="0"/>
        <w:spacing w:line="578" w:lineRule="exact"/>
        <w:ind w:leftChars="200"/>
        <w:textAlignment w:val="auto"/>
        <w:rPr>
          <w:rFonts w:hint="eastAsia" w:ascii="楷体_GB2312" w:hAnsi="宋体" w:eastAsia="楷体_GB2312" w:cs="Times New Roman"/>
          <w:b w:val="0"/>
          <w:bCs/>
          <w:color w:val="auto"/>
          <w:sz w:val="32"/>
          <w:szCs w:val="32"/>
          <w:highlight w:val="none"/>
          <w:u w:val="none"/>
          <w:lang w:val="zh-CN" w:eastAsia="zh-CN"/>
        </w:rPr>
      </w:pPr>
      <w:r>
        <w:rPr>
          <w:rFonts w:hint="eastAsia" w:ascii="楷体_GB2312" w:hAnsi="宋体" w:eastAsia="楷体_GB2312" w:cs="Times New Roman"/>
          <w:b w:val="0"/>
          <w:bCs/>
          <w:color w:val="auto"/>
          <w:sz w:val="32"/>
          <w:szCs w:val="32"/>
          <w:highlight w:val="none"/>
          <w:u w:val="none"/>
          <w:lang w:val="zh-CN" w:eastAsia="zh-CN"/>
        </w:rPr>
        <w:t>1.项目整体、区域和具体绩效目标设置情况</w:t>
      </w:r>
    </w:p>
    <w:p>
      <w:pPr>
        <w:ind w:firstLine="640" w:firstLineChars="200"/>
        <w:rPr>
          <w:rFonts w:hint="eastAsia" w:ascii="仿宋_GB2312" w:hAnsi="仿宋_GB2312" w:eastAsia="仿宋_GB2312" w:cs="仿宋_GB2312"/>
          <w:color w:val="0000FF"/>
          <w:kern w:val="0"/>
          <w:sz w:val="32"/>
          <w:szCs w:val="32"/>
          <w:highlight w:val="none"/>
          <w:u w:val="none"/>
          <w:shd w:val="clear" w:color="auto" w:fill="FFFFFF"/>
          <w:lang w:val="zh-CN" w:eastAsia="zh-CN"/>
        </w:rPr>
      </w:pPr>
      <w:r>
        <w:rPr>
          <w:rFonts w:hint="eastAsia" w:ascii="仿宋_GB2312" w:hAnsi="仿宋_GB2312" w:eastAsia="仿宋_GB2312" w:cs="仿宋_GB2312"/>
          <w:color w:val="000000"/>
          <w:kern w:val="0"/>
          <w:sz w:val="32"/>
          <w:szCs w:val="32"/>
          <w:highlight w:val="none"/>
          <w:u w:val="none"/>
          <w:shd w:val="clear" w:color="auto" w:fill="FFFFFF"/>
          <w:lang w:val="zh-CN" w:eastAsia="zh-CN"/>
        </w:rPr>
        <w:t>项目整体目标，项目实施后预期达到的整体效果，针对项目具体任务，设定的可量化的绩效指标，如产出指标、效益指标和满意度指标等</w:t>
      </w:r>
    </w:p>
    <w:p>
      <w:pPr>
        <w:keepNext w:val="0"/>
        <w:keepLines w:val="0"/>
        <w:pageBreakBefore w:val="0"/>
        <w:numPr>
          <w:ilvl w:val="0"/>
          <w:numId w:val="0"/>
        </w:numPr>
        <w:kinsoku/>
        <w:wordWrap/>
        <w:overflowPunct/>
        <w:topLinePunct w:val="0"/>
        <w:autoSpaceDE/>
        <w:autoSpaceDN/>
        <w:bidi w:val="0"/>
        <w:adjustRightInd w:val="0"/>
        <w:snapToGrid w:val="0"/>
        <w:spacing w:line="578" w:lineRule="exact"/>
        <w:ind w:leftChars="200"/>
        <w:textAlignment w:val="auto"/>
        <w:rPr>
          <w:rFonts w:hint="eastAsia" w:ascii="楷体_GB2312" w:hAnsi="宋体" w:eastAsia="楷体_GB2312" w:cs="Times New Roman"/>
          <w:b w:val="0"/>
          <w:bCs/>
          <w:color w:val="auto"/>
          <w:sz w:val="32"/>
          <w:szCs w:val="32"/>
          <w:highlight w:val="none"/>
          <w:u w:val="none"/>
          <w:lang w:val="zh-CN" w:eastAsia="zh-CN"/>
        </w:rPr>
      </w:pPr>
      <w:r>
        <w:rPr>
          <w:rFonts w:hint="eastAsia" w:ascii="楷体_GB2312" w:hAnsi="宋体" w:eastAsia="楷体_GB2312" w:cs="Times New Roman"/>
          <w:b w:val="0"/>
          <w:bCs/>
          <w:color w:val="auto"/>
          <w:sz w:val="32"/>
          <w:szCs w:val="32"/>
          <w:highlight w:val="none"/>
          <w:u w:val="none"/>
          <w:lang w:val="zh-CN" w:eastAsia="zh-CN"/>
        </w:rPr>
        <w:t>2.项目自评工作开展情况</w:t>
      </w:r>
    </w:p>
    <w:p>
      <w:pPr>
        <w:ind w:firstLine="640" w:firstLineChars="200"/>
        <w:rPr>
          <w:rFonts w:hint="default" w:ascii="Times New Roman" w:hAnsi="Times New Roman" w:eastAsia="仿宋_GB2312" w:cs="Times New Roman"/>
          <w:sz w:val="32"/>
          <w:szCs w:val="32"/>
          <w:lang w:val="zh-CN" w:eastAsia="zh-CN"/>
        </w:rPr>
      </w:pPr>
      <w:r>
        <w:rPr>
          <w:rFonts w:hint="eastAsia" w:ascii="仿宋_GB2312" w:hAnsi="仿宋_GB2312" w:eastAsia="仿宋_GB2312" w:cs="仿宋_GB2312"/>
          <w:color w:val="000000"/>
          <w:kern w:val="0"/>
          <w:sz w:val="32"/>
          <w:szCs w:val="32"/>
          <w:highlight w:val="none"/>
          <w:u w:val="none"/>
          <w:shd w:val="clear" w:color="auto" w:fill="FFFFFF"/>
          <w:lang w:val="zh-CN" w:eastAsia="zh-CN"/>
        </w:rPr>
        <w:t>自评采用数据分析或问卷调查等。总结自评工作的主要发现，包括项目实施过程中的亮点、存在的问题以及改进建议。</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黑体" w:hAnsi="宋体" w:eastAsia="黑体" w:cs="Times New Roman"/>
          <w:sz w:val="32"/>
          <w:szCs w:val="32"/>
          <w:highlight w:val="none"/>
          <w:lang w:eastAsia="zh-CN"/>
        </w:rPr>
      </w:pPr>
      <w:r>
        <w:rPr>
          <w:rFonts w:hint="eastAsia" w:ascii="黑体" w:hAnsi="宋体" w:eastAsia="黑体" w:cs="Times New Roman"/>
          <w:sz w:val="32"/>
          <w:szCs w:val="32"/>
          <w:highlight w:val="none"/>
        </w:rPr>
        <w:t>二、</w:t>
      </w:r>
      <w:r>
        <w:rPr>
          <w:rFonts w:hint="eastAsia" w:ascii="黑体" w:hAnsi="宋体" w:eastAsia="黑体" w:cs="Times New Roman"/>
          <w:sz w:val="32"/>
          <w:szCs w:val="32"/>
          <w:highlight w:val="none"/>
          <w:lang w:eastAsia="zh-CN"/>
        </w:rPr>
        <w:t>评价实施</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sz w:val="32"/>
          <w:szCs w:val="32"/>
          <w:lang w:eastAsia="zh-CN"/>
        </w:rPr>
      </w:pPr>
      <w:r>
        <w:rPr>
          <w:rFonts w:hint="eastAsia" w:ascii="楷体_GB2312" w:hAnsi="宋体" w:eastAsia="楷体_GB2312" w:cs="Times New Roman"/>
          <w:b/>
          <w:color w:val="auto"/>
          <w:sz w:val="32"/>
          <w:szCs w:val="32"/>
          <w:highlight w:val="none"/>
          <w:u w:val="none"/>
          <w:lang w:val="zh-CN"/>
        </w:rPr>
        <w:t>（一）评价目的。</w:t>
      </w:r>
      <w:r>
        <w:rPr>
          <w:rFonts w:ascii="Times New Roman" w:hAnsi="Times New Roman" w:eastAsia="仿宋_GB2312" w:cs="Times New Roman"/>
          <w:sz w:val="32"/>
          <w:szCs w:val="32"/>
        </w:rPr>
        <w:t>通过</w:t>
      </w:r>
      <w:r>
        <w:rPr>
          <w:rFonts w:hint="eastAsia" w:ascii="Times New Roman" w:hAnsi="Times New Roman" w:eastAsia="仿宋_GB2312" w:cs="Times New Roman"/>
          <w:sz w:val="32"/>
          <w:szCs w:val="32"/>
          <w:lang w:eastAsia="zh-CN"/>
        </w:rPr>
        <w:t>项目</w:t>
      </w:r>
      <w:r>
        <w:rPr>
          <w:rFonts w:hint="eastAsia" w:ascii="Times New Roman" w:hAnsi="Times New Roman" w:eastAsia="仿宋_GB2312" w:cs="Times New Roman"/>
          <w:sz w:val="32"/>
          <w:szCs w:val="32"/>
        </w:rPr>
        <w:t>绩效</w:t>
      </w:r>
      <w:r>
        <w:rPr>
          <w:rFonts w:hint="eastAsia" w:ascii="Times New Roman" w:hAnsi="Times New Roman" w:eastAsia="仿宋_GB2312" w:cs="Times New Roman"/>
          <w:sz w:val="32"/>
          <w:szCs w:val="32"/>
          <w:lang w:eastAsia="zh-CN"/>
        </w:rPr>
        <w:t>自评要实现的目的。</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color w:val="000000"/>
          <w:sz w:val="32"/>
          <w:szCs w:val="32"/>
          <w:lang w:eastAsia="zh-CN"/>
        </w:rPr>
        <w:t>项目绩效评价的目的是通过系统、客观地收集、分析和解释数据，以评估项目的实施效果、效率、效益和可持续性。评估项目是否达到了预期的产出和影响，包括但不限于目标完成情况、服务质量、效益等。分析项目在实现目标过程中所使用的资源是否有效，资金的利用效率等。评估项目成果对目标群体的正面影响，以及项目对经济和社会的综合效益。分析项目成果的持久性和项目实施的长期影响，以及项目完成后是否能够持续发挥作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2" w:firstLineChars="200"/>
        <w:textAlignment w:val="auto"/>
        <w:outlineLvl w:val="9"/>
        <w:rPr>
          <w:rFonts w:hint="eastAsia" w:ascii="Times New Roman" w:hAnsi="Times New Roman" w:eastAsia="仿宋_GB2312" w:cs="Times New Roman"/>
          <w:sz w:val="32"/>
          <w:szCs w:val="32"/>
          <w:lang w:eastAsia="zh-CN"/>
        </w:rPr>
      </w:pPr>
      <w:r>
        <w:rPr>
          <w:rFonts w:hint="eastAsia" w:ascii="楷体_GB2312" w:hAnsi="宋体" w:eastAsia="楷体_GB2312" w:cs="Times New Roman"/>
          <w:b/>
          <w:color w:val="auto"/>
          <w:sz w:val="32"/>
          <w:szCs w:val="32"/>
          <w:highlight w:val="none"/>
          <w:u w:val="none"/>
          <w:lang w:val="zh-CN"/>
        </w:rPr>
        <w:t>（二）预设问题及评价重点。</w:t>
      </w:r>
    </w:p>
    <w:p>
      <w:pPr>
        <w:ind w:firstLine="640" w:firstLineChars="20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按照绩效评价指标体系，预设问题主要围绕项目的决策、管理、实施、结果、产业发展、民生保障等方面。评价重点包括程序、资金、制度、绩效、分配等方面。</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2" w:firstLineChars="200"/>
        <w:textAlignment w:val="auto"/>
        <w:outlineLvl w:val="9"/>
        <w:rPr>
          <w:rFonts w:hint="eastAsia" w:ascii="Times New Roman" w:hAnsi="Times New Roman" w:eastAsia="仿宋_GB2312" w:cs="Times New Roman"/>
          <w:sz w:val="32"/>
          <w:szCs w:val="32"/>
          <w:lang w:val="zh-CN" w:eastAsia="zh-CN"/>
        </w:rPr>
      </w:pPr>
      <w:r>
        <w:rPr>
          <w:rFonts w:hint="eastAsia" w:ascii="楷体_GB2312" w:hAnsi="宋体" w:eastAsia="楷体_GB2312" w:cs="Times New Roman"/>
          <w:b/>
          <w:color w:val="auto"/>
          <w:sz w:val="32"/>
          <w:szCs w:val="32"/>
          <w:highlight w:val="none"/>
          <w:u w:val="none"/>
          <w:lang w:val="zh-CN"/>
        </w:rPr>
        <w:t>（三）评价选点。</w:t>
      </w:r>
    </w:p>
    <w:p>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无抽样点位</w:t>
      </w:r>
    </w:p>
    <w:p>
      <w:pPr>
        <w:ind w:firstLine="642" w:firstLineChars="200"/>
        <w:rPr>
          <w:rFonts w:hint="eastAsia" w:ascii="Times New Roman" w:hAnsi="Times New Roman" w:eastAsia="仿宋_GB2312" w:cs="Times New Roman"/>
          <w:color w:val="0000FF"/>
          <w:sz w:val="32"/>
          <w:szCs w:val="32"/>
          <w:lang w:eastAsia="zh-CN"/>
        </w:rPr>
      </w:pPr>
      <w:r>
        <w:rPr>
          <w:rFonts w:hint="eastAsia" w:ascii="楷体_GB2312" w:hAnsi="宋体" w:eastAsia="楷体_GB2312" w:cs="Times New Roman"/>
          <w:b/>
          <w:color w:val="auto"/>
          <w:sz w:val="32"/>
          <w:szCs w:val="32"/>
          <w:highlight w:val="none"/>
          <w:u w:val="none"/>
          <w:lang w:val="zh-CN"/>
        </w:rPr>
        <w:t>（四）评价方法。</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项目绩效评价采用多种方法，具体选择根据项目特点、评价重点和数据可获得性等因素综合考虑。</w:t>
      </w:r>
    </w:p>
    <w:p>
      <w:pPr>
        <w:ind w:firstLine="640" w:firstLineChars="200"/>
        <w:rPr>
          <w:rFonts w:hint="eastAsia" w:ascii="楷体_GB2312" w:hAnsi="宋体" w:eastAsia="楷体_GB2312" w:cs="Times New Roman"/>
          <w:b w:val="0"/>
          <w:bCs/>
          <w:color w:val="000000"/>
          <w:sz w:val="32"/>
          <w:szCs w:val="32"/>
          <w:highlight w:val="none"/>
          <w:u w:val="none"/>
          <w:lang w:val="en-US" w:eastAsia="zh-CN"/>
        </w:rPr>
      </w:pPr>
      <w:r>
        <w:rPr>
          <w:rFonts w:hint="eastAsia" w:ascii="楷体_GB2312" w:hAnsi="宋体" w:eastAsia="楷体_GB2312" w:cs="Times New Roman"/>
          <w:b w:val="0"/>
          <w:bCs/>
          <w:color w:val="000000"/>
          <w:sz w:val="32"/>
          <w:szCs w:val="32"/>
          <w:highlight w:val="none"/>
          <w:u w:val="none"/>
          <w:lang w:val="en-US" w:eastAsia="zh-CN"/>
        </w:rPr>
        <w:t>1.成本效益分析法</w:t>
      </w:r>
    </w:p>
    <w:p>
      <w:pPr>
        <w:ind w:firstLine="640" w:firstLineChars="200"/>
        <w:rPr>
          <w:rFonts w:hint="eastAsia" w:ascii="Times New Roman" w:hAnsi="Times New Roman" w:eastAsia="仿宋_GB2312" w:cs="Times New Roman"/>
          <w:b w:val="0"/>
          <w:bCs/>
          <w:color w:val="000000"/>
          <w:sz w:val="32"/>
          <w:szCs w:val="32"/>
          <w:lang w:eastAsia="zh-CN"/>
        </w:rPr>
      </w:pPr>
      <w:r>
        <w:rPr>
          <w:rFonts w:hint="eastAsia" w:ascii="Times New Roman" w:hAnsi="Times New Roman" w:eastAsia="仿宋_GB2312" w:cs="Times New Roman"/>
          <w:b w:val="0"/>
          <w:bCs/>
          <w:color w:val="000000"/>
          <w:sz w:val="32"/>
          <w:szCs w:val="32"/>
          <w:lang w:eastAsia="zh-CN"/>
        </w:rPr>
        <w:t>对比项目成本与产生的经济效益，评估项目的经济合理性。</w:t>
      </w:r>
    </w:p>
    <w:p>
      <w:pPr>
        <w:ind w:firstLine="640" w:firstLineChars="200"/>
        <w:rPr>
          <w:rFonts w:hint="eastAsia" w:ascii="楷体_GB2312" w:hAnsi="宋体" w:eastAsia="楷体_GB2312" w:cs="Times New Roman"/>
          <w:b w:val="0"/>
          <w:bCs/>
          <w:color w:val="000000"/>
          <w:sz w:val="32"/>
          <w:szCs w:val="32"/>
          <w:highlight w:val="none"/>
          <w:u w:val="none"/>
          <w:lang w:val="en-US" w:eastAsia="zh-CN"/>
        </w:rPr>
      </w:pPr>
      <w:r>
        <w:rPr>
          <w:rFonts w:hint="eastAsia" w:ascii="楷体_GB2312" w:hAnsi="宋体" w:eastAsia="楷体_GB2312" w:cs="Times New Roman"/>
          <w:b w:val="0"/>
          <w:bCs/>
          <w:color w:val="000000"/>
          <w:sz w:val="32"/>
          <w:szCs w:val="32"/>
          <w:highlight w:val="none"/>
          <w:u w:val="none"/>
          <w:lang w:val="en-US" w:eastAsia="zh-CN"/>
        </w:rPr>
        <w:t>2.标杆管理法</w:t>
      </w:r>
    </w:p>
    <w:p>
      <w:pPr>
        <w:ind w:firstLine="640" w:firstLineChars="200"/>
        <w:rPr>
          <w:rFonts w:hint="eastAsia" w:ascii="Times New Roman" w:hAnsi="Times New Roman" w:eastAsia="仿宋_GB2312" w:cs="Times New Roman"/>
          <w:b w:val="0"/>
          <w:bCs/>
          <w:color w:val="000000"/>
          <w:sz w:val="32"/>
          <w:szCs w:val="32"/>
          <w:lang w:eastAsia="zh-CN"/>
        </w:rPr>
      </w:pPr>
      <w:r>
        <w:rPr>
          <w:rFonts w:hint="eastAsia" w:ascii="Times New Roman" w:hAnsi="Times New Roman" w:eastAsia="仿宋_GB2312" w:cs="Times New Roman"/>
          <w:b w:val="0"/>
          <w:bCs/>
          <w:color w:val="000000"/>
          <w:sz w:val="32"/>
          <w:szCs w:val="32"/>
          <w:lang w:eastAsia="zh-CN"/>
        </w:rPr>
        <w:t>通过与行业标准或最佳实践进行比较，评估项目效率和效果。</w:t>
      </w:r>
    </w:p>
    <w:p>
      <w:pPr>
        <w:ind w:firstLine="640" w:firstLineChars="200"/>
        <w:rPr>
          <w:rFonts w:hint="eastAsia" w:ascii="楷体_GB2312" w:hAnsi="宋体" w:eastAsia="楷体_GB2312" w:cs="Times New Roman"/>
          <w:b w:val="0"/>
          <w:bCs/>
          <w:color w:val="000000"/>
          <w:sz w:val="32"/>
          <w:szCs w:val="32"/>
          <w:highlight w:val="none"/>
          <w:u w:val="none"/>
          <w:lang w:val="en-US" w:eastAsia="zh-CN"/>
        </w:rPr>
      </w:pPr>
      <w:r>
        <w:rPr>
          <w:rFonts w:hint="eastAsia" w:ascii="楷体_GB2312" w:hAnsi="宋体" w:eastAsia="楷体_GB2312" w:cs="Times New Roman"/>
          <w:b w:val="0"/>
          <w:bCs/>
          <w:color w:val="000000"/>
          <w:sz w:val="32"/>
          <w:szCs w:val="32"/>
          <w:highlight w:val="none"/>
          <w:u w:val="none"/>
          <w:lang w:val="en-US" w:eastAsia="zh-CN"/>
        </w:rPr>
        <w:t>3.单位自评法</w:t>
      </w:r>
    </w:p>
    <w:p>
      <w:pPr>
        <w:ind w:firstLine="640" w:firstLineChars="200"/>
        <w:rPr>
          <w:rFonts w:hint="eastAsia" w:ascii="Times New Roman" w:hAnsi="Times New Roman" w:eastAsia="仿宋_GB2312" w:cs="Times New Roman"/>
          <w:b w:val="0"/>
          <w:bCs/>
          <w:color w:val="000000"/>
          <w:sz w:val="32"/>
          <w:szCs w:val="32"/>
          <w:lang w:eastAsia="zh-CN"/>
        </w:rPr>
      </w:pPr>
      <w:r>
        <w:rPr>
          <w:rFonts w:hint="eastAsia" w:ascii="Times New Roman" w:hAnsi="Times New Roman" w:eastAsia="仿宋_GB2312" w:cs="Times New Roman"/>
          <w:b w:val="0"/>
          <w:bCs/>
          <w:color w:val="000000"/>
          <w:sz w:val="32"/>
          <w:szCs w:val="32"/>
          <w:lang w:eastAsia="zh-CN"/>
        </w:rPr>
        <w:t>项目执行单位自我评估，提供第一手数据和经验总结。</w:t>
      </w:r>
    </w:p>
    <w:p>
      <w:pPr>
        <w:ind w:firstLine="640" w:firstLineChars="200"/>
        <w:rPr>
          <w:rFonts w:hint="eastAsia" w:ascii="楷体_GB2312" w:hAnsi="宋体" w:eastAsia="楷体_GB2312" w:cs="Times New Roman"/>
          <w:b w:val="0"/>
          <w:bCs/>
          <w:color w:val="000000"/>
          <w:sz w:val="32"/>
          <w:szCs w:val="32"/>
          <w:highlight w:val="none"/>
          <w:u w:val="none"/>
          <w:lang w:val="en-US" w:eastAsia="zh-CN"/>
        </w:rPr>
      </w:pPr>
      <w:r>
        <w:rPr>
          <w:rFonts w:hint="eastAsia" w:ascii="楷体_GB2312" w:hAnsi="宋体" w:eastAsia="楷体_GB2312" w:cs="Times New Roman"/>
          <w:b w:val="0"/>
          <w:bCs/>
          <w:color w:val="000000"/>
          <w:sz w:val="32"/>
          <w:szCs w:val="32"/>
          <w:highlight w:val="none"/>
          <w:u w:val="none"/>
          <w:lang w:val="en-US" w:eastAsia="zh-CN"/>
        </w:rPr>
        <w:t>4.实地勘察法</w:t>
      </w:r>
    </w:p>
    <w:p>
      <w:pPr>
        <w:ind w:firstLine="640" w:firstLineChars="200"/>
        <w:rPr>
          <w:rFonts w:hint="eastAsia" w:ascii="Times New Roman" w:hAnsi="Times New Roman" w:eastAsia="仿宋_GB2312" w:cs="Times New Roman"/>
          <w:b w:val="0"/>
          <w:bCs/>
          <w:color w:val="000000"/>
          <w:sz w:val="32"/>
          <w:szCs w:val="32"/>
          <w:lang w:eastAsia="zh-CN"/>
        </w:rPr>
      </w:pPr>
      <w:r>
        <w:rPr>
          <w:rFonts w:hint="eastAsia" w:ascii="Times New Roman" w:hAnsi="Times New Roman" w:eastAsia="仿宋_GB2312" w:cs="Times New Roman"/>
          <w:b w:val="0"/>
          <w:bCs/>
          <w:color w:val="000000"/>
          <w:sz w:val="32"/>
          <w:szCs w:val="32"/>
          <w:lang w:eastAsia="zh-CN"/>
        </w:rPr>
        <w:t>现场考察项目实施情况，收集直观的数据和信息。</w:t>
      </w:r>
    </w:p>
    <w:p>
      <w:pPr>
        <w:ind w:firstLine="640" w:firstLineChars="200"/>
        <w:rPr>
          <w:rFonts w:hint="eastAsia" w:ascii="楷体_GB2312" w:hAnsi="宋体" w:eastAsia="楷体_GB2312" w:cs="Times New Roman"/>
          <w:b w:val="0"/>
          <w:bCs/>
          <w:color w:val="000000"/>
          <w:sz w:val="32"/>
          <w:szCs w:val="32"/>
          <w:highlight w:val="none"/>
          <w:u w:val="none"/>
          <w:lang w:val="en-US" w:eastAsia="zh-CN"/>
        </w:rPr>
      </w:pPr>
      <w:r>
        <w:rPr>
          <w:rFonts w:hint="eastAsia" w:ascii="楷体_GB2312" w:hAnsi="宋体" w:eastAsia="楷体_GB2312" w:cs="Times New Roman"/>
          <w:b w:val="0"/>
          <w:bCs/>
          <w:color w:val="000000"/>
          <w:sz w:val="32"/>
          <w:szCs w:val="32"/>
          <w:highlight w:val="none"/>
          <w:u w:val="none"/>
          <w:lang w:val="en-US" w:eastAsia="zh-CN"/>
        </w:rPr>
        <w:t>5.座谈调研法</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val="0"/>
          <w:bCs/>
          <w:color w:val="000000"/>
          <w:sz w:val="32"/>
          <w:szCs w:val="32"/>
          <w:lang w:eastAsia="zh-CN"/>
        </w:rPr>
        <w:t>通过座谈会收集项目参与者的反馈，评估项目满意度和影响</w:t>
      </w:r>
      <w:r>
        <w:rPr>
          <w:rFonts w:hint="eastAsia" w:ascii="Times New Roman" w:hAnsi="Times New Roman" w:eastAsia="仿宋_GB2312" w:cs="Times New Roman"/>
          <w:color w:val="000000"/>
          <w:sz w:val="32"/>
          <w:szCs w:val="32"/>
          <w:lang w:eastAsia="zh-CN"/>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sz w:val="32"/>
          <w:szCs w:val="32"/>
          <w:lang w:eastAsia="zh-CN"/>
        </w:rPr>
      </w:pPr>
      <w:r>
        <w:rPr>
          <w:rFonts w:hint="eastAsia" w:ascii="楷体_GB2312" w:hAnsi="宋体" w:eastAsia="楷体_GB2312" w:cs="Times New Roman"/>
          <w:b/>
          <w:color w:val="auto"/>
          <w:sz w:val="32"/>
          <w:szCs w:val="32"/>
          <w:highlight w:val="none"/>
          <w:u w:val="none"/>
          <w:lang w:val="zh-CN"/>
        </w:rPr>
        <w:t>（五）评价组织。</w:t>
      </w:r>
    </w:p>
    <w:p>
      <w:pPr>
        <w:ind w:firstLine="640" w:firstLineChars="200"/>
        <w:rPr>
          <w:rFonts w:hint="eastAsia" w:ascii="Times New Roman" w:hAnsi="Times New Roman" w:eastAsia="仿宋_GB2312" w:cs="Times New Roman"/>
          <w:color w:val="000000"/>
          <w:sz w:val="32"/>
          <w:szCs w:val="32"/>
          <w:lang w:eastAsia="zh-CN"/>
        </w:rPr>
      </w:pPr>
      <w:r>
        <w:rPr>
          <w:rFonts w:hint="eastAsia" w:ascii="楷体_GB2312" w:hAnsi="宋体" w:eastAsia="楷体_GB2312" w:cs="Times New Roman"/>
          <w:b w:val="0"/>
          <w:bCs/>
          <w:color w:val="000000"/>
          <w:sz w:val="32"/>
          <w:szCs w:val="32"/>
          <w:highlight w:val="none"/>
          <w:u w:val="none"/>
          <w:lang w:val="en-US" w:eastAsia="zh-CN"/>
        </w:rPr>
        <w:t>1.项目负责人</w:t>
      </w:r>
    </w:p>
    <w:p>
      <w:pPr>
        <w:ind w:firstLine="640" w:firstLineChars="20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协调评价工作，提供信息和数据支持。</w:t>
      </w:r>
    </w:p>
    <w:p>
      <w:pPr>
        <w:ind w:firstLine="640" w:firstLineChars="200"/>
        <w:rPr>
          <w:rFonts w:hint="eastAsia" w:ascii="楷体_GB2312" w:hAnsi="宋体" w:eastAsia="楷体_GB2312" w:cs="Times New Roman"/>
          <w:b w:val="0"/>
          <w:bCs/>
          <w:color w:val="000000"/>
          <w:sz w:val="32"/>
          <w:szCs w:val="32"/>
          <w:highlight w:val="none"/>
          <w:u w:val="none"/>
          <w:lang w:val="en-US" w:eastAsia="zh-CN"/>
        </w:rPr>
      </w:pPr>
      <w:r>
        <w:rPr>
          <w:rFonts w:hint="eastAsia" w:ascii="楷体_GB2312" w:hAnsi="宋体" w:eastAsia="楷体_GB2312" w:cs="Times New Roman"/>
          <w:b w:val="0"/>
          <w:bCs/>
          <w:color w:val="000000"/>
          <w:sz w:val="32"/>
          <w:szCs w:val="32"/>
          <w:highlight w:val="none"/>
          <w:u w:val="none"/>
          <w:lang w:val="en-US" w:eastAsia="zh-CN"/>
        </w:rPr>
        <w:t>2.项目相关者</w:t>
      </w:r>
    </w:p>
    <w:p>
      <w:pPr>
        <w:ind w:firstLine="640" w:firstLineChars="20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提供项目实施过程中的反馈和意见，参与评价结果的讨论和决策。</w:t>
      </w:r>
    </w:p>
    <w:p>
      <w:pPr>
        <w:ind w:firstLine="640" w:firstLineChars="200"/>
        <w:rPr>
          <w:rFonts w:hint="eastAsia" w:ascii="楷体_GB2312" w:hAnsi="宋体" w:eastAsia="楷体_GB2312" w:cs="Times New Roman"/>
          <w:b w:val="0"/>
          <w:bCs/>
          <w:color w:val="000000"/>
          <w:sz w:val="32"/>
          <w:szCs w:val="32"/>
          <w:highlight w:val="none"/>
          <w:u w:val="none"/>
          <w:lang w:val="en-US" w:eastAsia="zh-CN"/>
        </w:rPr>
      </w:pPr>
      <w:r>
        <w:rPr>
          <w:rFonts w:hint="eastAsia" w:ascii="楷体_GB2312" w:hAnsi="宋体" w:eastAsia="楷体_GB2312" w:cs="Times New Roman"/>
          <w:b w:val="0"/>
          <w:bCs/>
          <w:color w:val="000000"/>
          <w:sz w:val="32"/>
          <w:szCs w:val="32"/>
          <w:highlight w:val="none"/>
          <w:u w:val="none"/>
          <w:lang w:val="en-US" w:eastAsia="zh-CN"/>
        </w:rPr>
        <w:t>3.财务人员</w:t>
      </w:r>
    </w:p>
    <w:p>
      <w:pPr>
        <w:ind w:firstLine="640" w:firstLineChars="20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负责数据收集、整理、分析等技术支持工作。</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仿宋_GB2312" w:hAnsi="宋体" w:eastAsia="仿宋_GB2312" w:cs="Times New Roman"/>
          <w:color w:val="auto"/>
          <w:sz w:val="32"/>
          <w:szCs w:val="32"/>
          <w:highlight w:val="none"/>
          <w:u w:val="none"/>
          <w:lang w:val="zh-CN"/>
        </w:rPr>
      </w:pPr>
      <w:r>
        <w:rPr>
          <w:rFonts w:hint="eastAsia" w:ascii="黑体" w:hAnsi="宋体" w:eastAsia="黑体" w:cs="Times New Roman"/>
          <w:color w:val="auto"/>
          <w:sz w:val="32"/>
          <w:szCs w:val="32"/>
          <w:highlight w:val="none"/>
          <w:u w:val="none"/>
        </w:rPr>
        <w:t>三、</w:t>
      </w:r>
      <w:r>
        <w:rPr>
          <w:rFonts w:hint="eastAsia" w:ascii="黑体" w:hAnsi="宋体" w:eastAsia="黑体" w:cs="Times New Roman"/>
          <w:color w:val="auto"/>
          <w:sz w:val="32"/>
          <w:szCs w:val="32"/>
          <w:highlight w:val="none"/>
          <w:u w:val="none"/>
          <w:lang w:eastAsia="zh-CN"/>
        </w:rPr>
        <w:t>绩效分析</w:t>
      </w:r>
      <w:r>
        <w:rPr>
          <w:rFonts w:hint="eastAsia" w:ascii="仿宋_GB2312" w:hAnsi="宋体" w:eastAsia="仿宋_GB2312" w:cs="Times New Roman"/>
          <w:color w:val="auto"/>
          <w:sz w:val="32"/>
          <w:szCs w:val="32"/>
          <w:highlight w:val="none"/>
          <w:u w:val="none"/>
          <w:lang w:val="zh-CN"/>
        </w:rPr>
        <w:tab/>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eastAsia="zh-CN"/>
        </w:rPr>
        <w:t>根据</w:t>
      </w:r>
      <w:r>
        <w:rPr>
          <w:rFonts w:hint="eastAsia" w:ascii="Times New Roman" w:hAnsi="Times New Roman" w:eastAsia="仿宋_GB2312" w:cs="Times New Roman"/>
          <w:sz w:val="32"/>
          <w:szCs w:val="32"/>
          <w:lang w:val="zh-CN" w:eastAsia="zh-CN"/>
        </w:rPr>
        <w:t>项目</w:t>
      </w:r>
      <w:r>
        <w:rPr>
          <w:rFonts w:hint="default" w:ascii="Times New Roman" w:hAnsi="Times New Roman" w:eastAsia="仿宋_GB2312" w:cs="Times New Roman"/>
          <w:sz w:val="32"/>
          <w:szCs w:val="32"/>
          <w:lang w:val="zh-CN" w:eastAsia="zh-CN"/>
        </w:rPr>
        <w:t>预算绩效评价指标体系“</w:t>
      </w:r>
      <w:r>
        <w:rPr>
          <w:rFonts w:hint="eastAsia" w:ascii="Times New Roman" w:hAnsi="Times New Roman" w:eastAsia="仿宋_GB2312" w:cs="Times New Roman"/>
          <w:sz w:val="32"/>
          <w:szCs w:val="32"/>
          <w:lang w:val="zh-CN" w:eastAsia="zh-CN"/>
        </w:rPr>
        <w:t>通用指标</w:t>
      </w:r>
      <w:r>
        <w:rPr>
          <w:rFonts w:hint="default"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zh-CN" w:eastAsia="zh-CN"/>
        </w:rPr>
        <w:t>“专用指标”“个性指标”</w:t>
      </w:r>
      <w:r>
        <w:rPr>
          <w:rFonts w:hint="default" w:ascii="Times New Roman" w:hAnsi="Times New Roman" w:eastAsia="仿宋_GB2312" w:cs="Times New Roman"/>
          <w:sz w:val="32"/>
          <w:szCs w:val="32"/>
          <w:lang w:val="zh-CN" w:eastAsia="zh-CN"/>
        </w:rPr>
        <w:t>涉及</w:t>
      </w:r>
      <w:r>
        <w:rPr>
          <w:rFonts w:hint="eastAsia" w:ascii="Times New Roman" w:hAnsi="Times New Roman" w:eastAsia="仿宋_GB2312" w:cs="Times New Roman"/>
          <w:sz w:val="32"/>
          <w:szCs w:val="32"/>
          <w:lang w:val="zh-CN" w:eastAsia="zh-CN"/>
        </w:rPr>
        <w:t>二、三级</w:t>
      </w:r>
      <w:r>
        <w:rPr>
          <w:rFonts w:hint="default" w:ascii="Times New Roman" w:hAnsi="Times New Roman" w:eastAsia="仿宋_GB2312" w:cs="Times New Roman"/>
          <w:sz w:val="32"/>
          <w:szCs w:val="32"/>
          <w:lang w:val="zh-CN" w:eastAsia="zh-CN"/>
        </w:rPr>
        <w:t>指标进行</w:t>
      </w:r>
      <w:r>
        <w:rPr>
          <w:rFonts w:hint="eastAsia" w:ascii="Times New Roman" w:hAnsi="Times New Roman" w:eastAsia="仿宋_GB2312" w:cs="Times New Roman"/>
          <w:sz w:val="32"/>
          <w:szCs w:val="32"/>
          <w:lang w:val="zh-CN" w:eastAsia="zh-CN"/>
        </w:rPr>
        <w:t>逐项</w:t>
      </w:r>
      <w:r>
        <w:rPr>
          <w:rFonts w:hint="default" w:ascii="Times New Roman" w:hAnsi="Times New Roman" w:eastAsia="仿宋_GB2312" w:cs="Times New Roman"/>
          <w:sz w:val="32"/>
          <w:szCs w:val="32"/>
          <w:lang w:val="zh-CN" w:eastAsia="zh-CN"/>
        </w:rPr>
        <w:t>绩效分析</w:t>
      </w:r>
      <w:r>
        <w:rPr>
          <w:rFonts w:hint="eastAsia" w:ascii="Times New Roman" w:hAnsi="Times New Roman" w:eastAsia="仿宋_GB2312" w:cs="Times New Roman"/>
          <w:sz w:val="32"/>
          <w:szCs w:val="32"/>
          <w:lang w:val="zh-CN" w:eastAsia="zh-CN"/>
        </w:rPr>
        <w:t>并评分</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ind w:firstLine="640" w:firstLineChars="200"/>
        <w:rPr>
          <w:rFonts w:hint="eastAsia" w:ascii="Times New Roman" w:hAnsi="Times New Roman" w:eastAsia="仿宋_GB2312" w:cs="Times New Roman"/>
          <w:color w:val="00B0F0"/>
          <w:sz w:val="32"/>
          <w:szCs w:val="32"/>
          <w:lang w:eastAsia="zh-CN"/>
        </w:rPr>
      </w:pPr>
      <w:r>
        <w:rPr>
          <w:rFonts w:hint="eastAsia" w:ascii="楷体_GB2312" w:hAnsi="楷体_GB2312" w:eastAsia="楷体_GB2312" w:cs="楷体_GB2312"/>
          <w:color w:val="auto"/>
          <w:sz w:val="32"/>
          <w:szCs w:val="32"/>
          <w:lang w:val="en-US" w:eastAsia="zh-CN"/>
        </w:rPr>
        <w:t>1.</w:t>
      </w:r>
      <w:r>
        <w:rPr>
          <w:rFonts w:hint="eastAsia" w:ascii="楷体_GB2312" w:hAnsi="楷体_GB2312" w:eastAsia="楷体_GB2312" w:cs="楷体_GB2312"/>
          <w:color w:val="auto"/>
          <w:sz w:val="32"/>
          <w:szCs w:val="32"/>
          <w:lang w:eastAsia="zh-CN"/>
        </w:rPr>
        <w:t>项目决策。</w:t>
      </w:r>
    </w:p>
    <w:p>
      <w:pPr>
        <w:ind w:firstLine="640" w:firstLineChars="20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000000"/>
          <w:sz w:val="32"/>
          <w:szCs w:val="32"/>
          <w:lang w:eastAsia="zh-CN"/>
        </w:rPr>
        <w:t>项目设立、调整延续等方面符合资金管理基本规范和决策程序要求。项目规划符合中央、省委省政府有关决策部署安排，充分评估论证项目立项必要性、前瞻性、合理性和可行性，项目总体绩效目标设置科学合理、规范完整、量化细化、预算匹配。项目资金属于政府支持范围，且符合财政事权支出责任划分规定。资金投向与项目总体规划、相关行业事业发展相匹配。聚焦重大任务、重点领域、重点环节和重点项目，体现“集中财力办大事”原则，避免“撒胡椒面”。指标总分</w:t>
      </w:r>
      <w:r>
        <w:rPr>
          <w:rFonts w:hint="eastAsia" w:ascii="Times New Roman" w:hAnsi="Times New Roman" w:eastAsia="仿宋_GB2312" w:cs="Times New Roman"/>
          <w:color w:val="000000"/>
          <w:sz w:val="32"/>
          <w:szCs w:val="32"/>
          <w:lang w:val="en-US" w:eastAsia="zh-CN"/>
        </w:rPr>
        <w:t>18</w:t>
      </w:r>
      <w:r>
        <w:rPr>
          <w:rFonts w:hint="eastAsia" w:ascii="Times New Roman" w:hAnsi="Times New Roman" w:eastAsia="仿宋_GB2312" w:cs="Times New Roman"/>
          <w:color w:val="000000"/>
          <w:sz w:val="32"/>
          <w:szCs w:val="32"/>
          <w:lang w:eastAsia="zh-CN"/>
        </w:rPr>
        <w:t>分，评价得分</w:t>
      </w:r>
      <w:r>
        <w:rPr>
          <w:rFonts w:hint="eastAsia" w:ascii="Times New Roman" w:hAnsi="Times New Roman" w:eastAsia="仿宋_GB2312" w:cs="Times New Roman"/>
          <w:color w:val="000000"/>
          <w:sz w:val="32"/>
          <w:szCs w:val="32"/>
          <w:lang w:val="en-US" w:eastAsia="zh-CN"/>
        </w:rPr>
        <w:t>17</w:t>
      </w:r>
      <w:r>
        <w:rPr>
          <w:rFonts w:hint="eastAsia" w:ascii="Times New Roman" w:hAnsi="Times New Roman" w:eastAsia="仿宋_GB2312" w:cs="Times New Roman"/>
          <w:color w:val="000000"/>
          <w:sz w:val="32"/>
          <w:szCs w:val="32"/>
          <w:lang w:eastAsia="zh-CN"/>
        </w:rPr>
        <w:t>分。</w:t>
      </w:r>
    </w:p>
    <w:p>
      <w:pPr>
        <w:ind w:firstLine="640" w:firstLineChars="200"/>
        <w:rPr>
          <w:rFonts w:hint="eastAsia" w:ascii="Times New Roman" w:hAnsi="Times New Roman" w:eastAsia="仿宋_GB2312" w:cs="Times New Roman"/>
          <w:color w:val="00B0F0"/>
          <w:sz w:val="32"/>
          <w:szCs w:val="32"/>
          <w:lang w:eastAsia="zh-CN"/>
        </w:rPr>
      </w:pPr>
      <w:r>
        <w:rPr>
          <w:rFonts w:hint="eastAsia" w:ascii="楷体_GB2312" w:hAnsi="楷体_GB2312" w:eastAsia="楷体_GB2312" w:cs="楷体_GB2312"/>
          <w:color w:val="auto"/>
          <w:sz w:val="32"/>
          <w:szCs w:val="32"/>
          <w:lang w:val="en-US" w:eastAsia="zh-CN"/>
        </w:rPr>
        <w:t>2.</w:t>
      </w:r>
      <w:r>
        <w:rPr>
          <w:rFonts w:hint="eastAsia" w:ascii="楷体_GB2312" w:hAnsi="楷体_GB2312" w:eastAsia="楷体_GB2312" w:cs="楷体_GB2312"/>
          <w:color w:val="auto"/>
          <w:sz w:val="32"/>
          <w:szCs w:val="32"/>
          <w:lang w:eastAsia="zh-CN"/>
        </w:rPr>
        <w:t>项目管理。</w:t>
      </w:r>
    </w:p>
    <w:p>
      <w:pPr>
        <w:ind w:firstLine="640" w:firstLineChars="20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000000"/>
          <w:sz w:val="32"/>
          <w:szCs w:val="32"/>
          <w:lang w:eastAsia="zh-CN"/>
        </w:rPr>
        <w:t>资金管理办法等管理制度体系健全完善，不存在管理制度缺失、管理办法过期情况。资金分配因素选取充分考虑相关行业事业发展实际和发展需求，资金分配因素的权重设置有效突出项目实施重点，资金区域分布结果公平合理。建设项目储备库，实行入库项目动态管理、推动资金竞争性分配，明确项目申报审核程序，按规定程序履行项目审批。资金分配依据充分合理。如涉及多种分配法，按相应资金量的权重进行测算。项目按中省要求全面完成绩效目标（含事前评估）、绩效评价、以前年度问题整改等预算绩效管理工作，省级部门对市县主管部门预算绩效管理要求到位，不存在对市县资金分配和项目管理指导力度不够的情况。指标总分18分，评价得分1</w:t>
      </w:r>
      <w:r>
        <w:rPr>
          <w:rFonts w:hint="eastAsia" w:ascii="Times New Roman" w:hAnsi="Times New Roman" w:eastAsia="仿宋_GB2312" w:cs="Times New Roman"/>
          <w:color w:val="000000"/>
          <w:sz w:val="32"/>
          <w:szCs w:val="32"/>
          <w:lang w:val="en-US" w:eastAsia="zh-CN"/>
        </w:rPr>
        <w:t>6</w:t>
      </w:r>
      <w:r>
        <w:rPr>
          <w:rFonts w:hint="eastAsia" w:ascii="Times New Roman" w:hAnsi="Times New Roman" w:eastAsia="仿宋_GB2312" w:cs="Times New Roman"/>
          <w:color w:val="000000"/>
          <w:sz w:val="32"/>
          <w:szCs w:val="32"/>
          <w:lang w:eastAsia="zh-CN"/>
        </w:rPr>
        <w:t>分。</w:t>
      </w:r>
    </w:p>
    <w:p>
      <w:pPr>
        <w:ind w:firstLine="640" w:firstLineChars="200"/>
        <w:rPr>
          <w:rFonts w:hint="eastAsia" w:ascii="Times New Roman" w:hAnsi="Times New Roman" w:eastAsia="仿宋_GB2312" w:cs="Times New Roman"/>
          <w:color w:val="00B0F0"/>
          <w:sz w:val="32"/>
          <w:szCs w:val="32"/>
          <w:lang w:eastAsia="zh-CN"/>
        </w:rPr>
      </w:pPr>
      <w:r>
        <w:rPr>
          <w:rFonts w:hint="eastAsia" w:ascii="楷体_GB2312" w:hAnsi="楷体_GB2312" w:eastAsia="楷体_GB2312" w:cs="楷体_GB2312"/>
          <w:color w:val="auto"/>
          <w:sz w:val="32"/>
          <w:szCs w:val="32"/>
          <w:lang w:val="en-US" w:eastAsia="zh-CN"/>
        </w:rPr>
        <w:t>3.项目实施。</w:t>
      </w:r>
    </w:p>
    <w:p>
      <w:pPr>
        <w:ind w:firstLine="640" w:firstLineChars="200"/>
        <w:rPr>
          <w:rFonts w:hint="eastAsia" w:ascii="Times New Roman" w:hAnsi="Times New Roman" w:eastAsia="仿宋_GB2312" w:cs="Times New Roman"/>
          <w:color w:val="00B0F0"/>
          <w:sz w:val="32"/>
          <w:szCs w:val="32"/>
          <w:lang w:eastAsia="zh-CN"/>
        </w:rPr>
      </w:pPr>
      <w:r>
        <w:rPr>
          <w:rFonts w:hint="eastAsia" w:ascii="Times New Roman" w:hAnsi="Times New Roman" w:eastAsia="仿宋_GB2312" w:cs="Times New Roman"/>
          <w:color w:val="000000"/>
          <w:sz w:val="32"/>
          <w:szCs w:val="32"/>
          <w:lang w:eastAsia="zh-CN"/>
        </w:rPr>
        <w:t>项目资金财政拨付、单位执行和地方配套到位情况。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指标总分</w:t>
      </w:r>
      <w:r>
        <w:rPr>
          <w:rFonts w:hint="eastAsia" w:ascii="Times New Roman" w:hAnsi="Times New Roman" w:eastAsia="仿宋_GB2312" w:cs="Times New Roman"/>
          <w:color w:val="000000"/>
          <w:sz w:val="32"/>
          <w:szCs w:val="32"/>
          <w:lang w:val="en-US" w:eastAsia="zh-CN"/>
        </w:rPr>
        <w:t>9</w:t>
      </w:r>
      <w:r>
        <w:rPr>
          <w:rFonts w:hint="eastAsia" w:ascii="Times New Roman" w:hAnsi="Times New Roman" w:eastAsia="仿宋_GB2312" w:cs="Times New Roman"/>
          <w:color w:val="000000"/>
          <w:sz w:val="32"/>
          <w:szCs w:val="32"/>
          <w:lang w:eastAsia="zh-CN"/>
        </w:rPr>
        <w:t>分，评价得分</w:t>
      </w:r>
      <w:r>
        <w:rPr>
          <w:rFonts w:hint="eastAsia" w:ascii="Times New Roman" w:hAnsi="Times New Roman" w:eastAsia="仿宋_GB2312" w:cs="Times New Roman"/>
          <w:color w:val="000000"/>
          <w:sz w:val="32"/>
          <w:szCs w:val="32"/>
          <w:lang w:val="en-US" w:eastAsia="zh-CN"/>
        </w:rPr>
        <w:t>8.24</w:t>
      </w:r>
      <w:r>
        <w:rPr>
          <w:rFonts w:hint="eastAsia" w:ascii="Times New Roman" w:hAnsi="Times New Roman" w:eastAsia="仿宋_GB2312" w:cs="Times New Roman"/>
          <w:color w:val="000000"/>
          <w:sz w:val="32"/>
          <w:szCs w:val="32"/>
          <w:lang w:eastAsia="zh-CN"/>
        </w:rPr>
        <w:t>分。</w:t>
      </w:r>
    </w:p>
    <w:p>
      <w:pPr>
        <w:keepNext w:val="0"/>
        <w:keepLines w:val="0"/>
        <w:pageBreakBefore w:val="0"/>
        <w:widowControl w:val="0"/>
        <w:kinsoku/>
        <w:wordWrap/>
        <w:overflowPunct/>
        <w:topLinePunct w:val="0"/>
        <w:autoSpaceDE/>
        <w:autoSpaceDN/>
        <w:bidi w:val="0"/>
        <w:adjustRightInd/>
        <w:snapToGrid/>
        <w:spacing w:line="578" w:lineRule="exact"/>
        <w:ind w:left="420" w:leftChars="200" w:firstLine="0" w:firstLineChars="0"/>
        <w:textAlignment w:val="auto"/>
        <w:outlineLvl w:val="9"/>
        <w:rPr>
          <w:rFonts w:hint="eastAsia" w:ascii="Times New Roman" w:hAnsi="Times New Roman" w:eastAsia="仿宋_GB2312" w:cs="Times New Roman"/>
          <w:color w:val="auto"/>
          <w:sz w:val="32"/>
          <w:szCs w:val="32"/>
          <w:lang w:eastAsia="zh-CN"/>
        </w:rPr>
      </w:pPr>
      <w:r>
        <w:rPr>
          <w:rFonts w:hint="eastAsia" w:ascii="楷体_GB2312" w:hAnsi="楷体_GB2312" w:eastAsia="楷体_GB2312" w:cs="楷体_GB2312"/>
          <w:color w:val="auto"/>
          <w:sz w:val="32"/>
          <w:szCs w:val="32"/>
          <w:lang w:val="en-US" w:eastAsia="zh-CN"/>
        </w:rPr>
        <w:t>4.项目结果。</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color w:val="000000"/>
          <w:sz w:val="32"/>
          <w:szCs w:val="32"/>
          <w:lang w:eastAsia="zh-CN"/>
        </w:rPr>
        <w:t>项目是否完成预期目标，实施结果是否与绩效目标相匹配，反映目标实现程度。际完成时间小于计划完成时间。指标总分9分，评价得分8.</w:t>
      </w:r>
      <w:r>
        <w:rPr>
          <w:rFonts w:hint="eastAsia" w:ascii="Times New Roman" w:hAnsi="Times New Roman" w:eastAsia="仿宋_GB2312" w:cs="Times New Roman"/>
          <w:color w:val="000000"/>
          <w:sz w:val="32"/>
          <w:szCs w:val="32"/>
          <w:lang w:val="en-US" w:eastAsia="zh-CN"/>
        </w:rPr>
        <w:t>75</w:t>
      </w:r>
      <w:r>
        <w:rPr>
          <w:rFonts w:hint="eastAsia" w:ascii="Times New Roman" w:hAnsi="Times New Roman" w:eastAsia="仿宋_GB2312" w:cs="Times New Roman"/>
          <w:color w:val="000000"/>
          <w:sz w:val="32"/>
          <w:szCs w:val="32"/>
          <w:lang w:eastAsia="zh-CN"/>
        </w:rPr>
        <w:t>分。</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outlineLvl w:val="9"/>
        <w:rPr>
          <w:rFonts w:hint="eastAsia" w:ascii="楷体_GB2312" w:hAnsi="楷体_GB2312" w:eastAsia="楷体_GB2312" w:cs="楷体_GB2312"/>
          <w:color w:val="auto"/>
          <w:sz w:val="32"/>
          <w:szCs w:val="32"/>
          <w:lang w:val="zh-CN" w:eastAsia="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Times New Roman"/>
          <w:color w:val="auto"/>
          <w:sz w:val="32"/>
          <w:szCs w:val="32"/>
          <w:lang w:val="zh-CN" w:eastAsia="zh-CN"/>
        </w:rPr>
        <w:t>根据</w:t>
      </w:r>
      <w:r>
        <w:rPr>
          <w:rFonts w:hint="eastAsia" w:ascii="Times New Roman" w:hAnsi="Times New Roman" w:eastAsia="仿宋_GB2312" w:cs="Times New Roman"/>
          <w:color w:val="auto"/>
          <w:sz w:val="32"/>
          <w:szCs w:val="32"/>
          <w:lang w:val="en-US" w:eastAsia="zh-CN"/>
        </w:rPr>
        <w:t>专项预算项目资金支持对象选择所属指标进行绩效分析。支持对象</w:t>
      </w:r>
      <w:r>
        <w:rPr>
          <w:rFonts w:hint="eastAsia" w:ascii="Times New Roman" w:hAnsi="Times New Roman" w:eastAsia="仿宋_GB2312" w:cs="Times New Roman"/>
          <w:color w:val="auto"/>
          <w:sz w:val="32"/>
          <w:szCs w:val="32"/>
          <w:lang w:val="zh-CN" w:eastAsia="zh-CN"/>
        </w:rPr>
        <w:t>包括产业发展、民生保障、基础设施、行政运转等方面。</w:t>
      </w:r>
    </w:p>
    <w:p>
      <w:pPr>
        <w:ind w:firstLine="640" w:firstLineChars="20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1.产业发展。</w:t>
      </w:r>
    </w:p>
    <w:p>
      <w:pPr>
        <w:ind w:firstLine="640" w:firstLineChars="20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项目实施与省委省政府支持重点、产业支持政策符合。项目实施对相关企业（机构）成长性起促进作用。</w:t>
      </w:r>
    </w:p>
    <w:p>
      <w:pPr>
        <w:ind w:firstLine="640" w:firstLineChars="200"/>
        <w:rPr>
          <w:rFonts w:hint="eastAsia" w:ascii="Times New Roman" w:hAnsi="Times New Roman" w:eastAsia="仿宋_GB2312" w:cs="Times New Roman"/>
          <w:color w:val="00B0F0"/>
          <w:sz w:val="32"/>
          <w:szCs w:val="32"/>
          <w:lang w:val="zh-CN" w:eastAsia="zh-CN"/>
        </w:rPr>
      </w:pPr>
      <w:r>
        <w:rPr>
          <w:rFonts w:hint="eastAsia" w:ascii="楷体_GB2312" w:hAnsi="楷体_GB2312" w:eastAsia="楷体_GB2312" w:cs="楷体_GB2312"/>
          <w:color w:val="auto"/>
          <w:sz w:val="32"/>
          <w:szCs w:val="32"/>
          <w:lang w:val="en-US" w:eastAsia="zh-CN"/>
        </w:rPr>
        <w:t>2.</w:t>
      </w:r>
      <w:r>
        <w:rPr>
          <w:rFonts w:hint="eastAsia" w:ascii="楷体_GB2312" w:hAnsi="楷体_GB2312" w:eastAsia="楷体_GB2312" w:cs="楷体_GB2312"/>
          <w:color w:val="auto"/>
          <w:sz w:val="32"/>
          <w:szCs w:val="32"/>
          <w:lang w:val="zh-CN" w:eastAsia="zh-CN"/>
        </w:rPr>
        <w:t>民生保障。</w:t>
      </w:r>
    </w:p>
    <w:p>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color w:val="000000"/>
          <w:sz w:val="32"/>
          <w:szCs w:val="32"/>
          <w:lang w:val="zh-CN" w:eastAsia="zh-CN"/>
        </w:rPr>
        <w:t>按实际区域分配结果选择客观因素测算验证资金分配是否科学合理、均衡公平。区域均衡情况得到改善、区域间差距缩小。项目资金分配和实施结果精准，不存在明显的排他性和歧视性情形，及时落实到支持对象个人。资金实际补贴标准符合资金管理办法规定的补助标准，及时按标准兑现。资金涉及相关受益群体、支持对象的满意度调查访谈情况好，项目相关方在项目实施过程中的人民群众满意值和获得感强。</w:t>
      </w:r>
    </w:p>
    <w:p>
      <w:pPr>
        <w:ind w:firstLine="640" w:firstLineChars="20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3.基础设施。</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无在建项目。</w:t>
      </w:r>
    </w:p>
    <w:p>
      <w:pPr>
        <w:ind w:firstLine="640" w:firstLineChars="200"/>
        <w:rPr>
          <w:rFonts w:hint="eastAsia" w:ascii="Times New Roman" w:hAnsi="Times New Roman" w:eastAsia="仿宋_GB2312" w:cs="Times New Roman"/>
          <w:color w:val="00B0F0"/>
          <w:sz w:val="32"/>
          <w:szCs w:val="32"/>
          <w:lang w:val="zh-CN" w:eastAsia="zh-CN"/>
        </w:rPr>
      </w:pPr>
      <w:r>
        <w:rPr>
          <w:rFonts w:hint="eastAsia" w:ascii="楷体_GB2312" w:hAnsi="楷体_GB2312" w:eastAsia="楷体_GB2312" w:cs="楷体_GB2312"/>
          <w:color w:val="auto"/>
          <w:sz w:val="32"/>
          <w:szCs w:val="32"/>
          <w:lang w:val="en-US" w:eastAsia="zh-CN"/>
        </w:rPr>
        <w:t>4.</w:t>
      </w:r>
      <w:r>
        <w:rPr>
          <w:rFonts w:hint="eastAsia" w:ascii="楷体_GB2312" w:hAnsi="楷体_GB2312" w:eastAsia="楷体_GB2312" w:cs="楷体_GB2312"/>
          <w:color w:val="auto"/>
          <w:sz w:val="32"/>
          <w:szCs w:val="32"/>
          <w:lang w:val="zh-CN" w:eastAsia="zh-CN"/>
        </w:rPr>
        <w:t>行政运转。</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sz w:val="32"/>
          <w:szCs w:val="32"/>
          <w:lang w:val="zh-CN" w:eastAsia="zh-CN"/>
        </w:rPr>
        <w:t>按规定用途、适用范围进行本地区专项资金分配。资金管理程序符合专项资金管理要求。资金分配标准符合专项资金管理要求。</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outlineLvl w:val="9"/>
        <w:rPr>
          <w:rFonts w:hint="eastAsia" w:ascii="Times New Roman" w:hAnsi="Times New Roman" w:eastAsia="仿宋_GB2312" w:cs="Times New Roman"/>
          <w:sz w:val="32"/>
          <w:szCs w:val="32"/>
          <w:lang w:val="en-US" w:eastAsia="zh-CN"/>
        </w:rPr>
      </w:pPr>
      <w:r>
        <w:rPr>
          <w:rFonts w:hint="eastAsia" w:ascii="楷体_GB2312" w:hAnsi="宋体" w:eastAsia="楷体_GB2312" w:cs="Times New Roman"/>
          <w:b/>
          <w:color w:val="auto"/>
          <w:sz w:val="32"/>
          <w:szCs w:val="32"/>
          <w:highlight w:val="none"/>
          <w:u w:val="none"/>
          <w:lang w:val="zh-CN"/>
        </w:rPr>
        <w:t>（三）</w:t>
      </w:r>
      <w:r>
        <w:rPr>
          <w:rFonts w:hint="eastAsia" w:ascii="楷体_GB2312" w:hAnsi="宋体"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仿宋_GB2312" w:cs="Times New Roman"/>
          <w:color w:val="auto"/>
          <w:sz w:val="32"/>
          <w:szCs w:val="32"/>
          <w:lang w:val="zh-CN" w:eastAsia="zh-CN"/>
        </w:rPr>
      </w:pPr>
      <w:r>
        <w:rPr>
          <w:rFonts w:hint="eastAsia" w:ascii="Times New Roman" w:hAnsi="Times New Roman" w:eastAsia="仿宋_GB2312" w:cs="Times New Roman"/>
          <w:color w:val="auto"/>
          <w:sz w:val="32"/>
          <w:szCs w:val="32"/>
          <w:lang w:val="en-US" w:eastAsia="zh-CN"/>
        </w:rPr>
        <w:t>无个性指标。</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黑体" w:hAnsi="宋体" w:eastAsia="黑体" w:cs="Times New Roman"/>
          <w:color w:val="auto"/>
          <w:kern w:val="0"/>
          <w:position w:val="3"/>
          <w:sz w:val="32"/>
          <w:szCs w:val="32"/>
          <w:highlight w:val="none"/>
          <w:u w:val="none"/>
          <w:lang w:val="en-US" w:eastAsia="en-US" w:bidi="ar-SA"/>
        </w:rPr>
      </w:pPr>
      <w:r>
        <w:rPr>
          <w:rFonts w:hint="eastAsia" w:ascii="黑体" w:hAnsi="宋体" w:eastAsia="黑体" w:cs="Times New Roman"/>
          <w:color w:val="auto"/>
          <w:kern w:val="0"/>
          <w:position w:val="3"/>
          <w:sz w:val="32"/>
          <w:szCs w:val="32"/>
          <w:highlight w:val="none"/>
          <w:u w:val="none"/>
          <w:lang w:val="en-US" w:eastAsia="zh-CN" w:bidi="ar-SA"/>
        </w:rPr>
        <w:t>四</w:t>
      </w:r>
      <w:r>
        <w:rPr>
          <w:rFonts w:hint="eastAsia" w:ascii="黑体" w:hAnsi="宋体" w:eastAsia="黑体" w:cs="Times New Roman"/>
          <w:color w:val="auto"/>
          <w:kern w:val="0"/>
          <w:position w:val="3"/>
          <w:sz w:val="32"/>
          <w:szCs w:val="32"/>
          <w:highlight w:val="none"/>
          <w:u w:val="none"/>
          <w:lang w:val="en-US" w:eastAsia="en-US" w:bidi="ar-SA"/>
        </w:rPr>
        <w:t>、评价结论</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b w:val="0"/>
          <w:bCs w:val="0"/>
          <w:kern w:val="0"/>
          <w:position w:val="3"/>
          <w:sz w:val="32"/>
          <w:szCs w:val="32"/>
          <w:highlight w:val="none"/>
          <w:lang w:val="en-US" w:eastAsia="zh-CN" w:bidi="ar-SA"/>
        </w:rPr>
      </w:pPr>
      <w:r>
        <w:rPr>
          <w:rFonts w:hint="eastAsia" w:ascii="仿宋_GB2312" w:hAnsi="仿宋_GB2312" w:eastAsia="仿宋_GB2312" w:cs="仿宋_GB2312"/>
          <w:b w:val="0"/>
          <w:bCs w:val="0"/>
          <w:color w:val="000000"/>
          <w:kern w:val="0"/>
          <w:position w:val="3"/>
          <w:sz w:val="32"/>
          <w:szCs w:val="32"/>
          <w:highlight w:val="none"/>
          <w:lang w:val="zh-CN" w:eastAsia="en-US" w:bidi="ar-SA"/>
        </w:rPr>
        <w:t>评价总分为</w:t>
      </w:r>
      <w:r>
        <w:rPr>
          <w:rFonts w:hint="eastAsia" w:ascii="仿宋_GB2312" w:hAnsi="仿宋_GB2312" w:eastAsia="仿宋_GB2312" w:cs="仿宋_GB2312"/>
          <w:b w:val="0"/>
          <w:bCs w:val="0"/>
          <w:color w:val="000000"/>
          <w:kern w:val="0"/>
          <w:position w:val="3"/>
          <w:sz w:val="32"/>
          <w:szCs w:val="32"/>
          <w:highlight w:val="none"/>
          <w:lang w:val="en-US" w:eastAsia="zh-CN" w:bidi="ar-SA"/>
        </w:rPr>
        <w:t>95.99</w:t>
      </w:r>
      <w:r>
        <w:rPr>
          <w:rFonts w:hint="eastAsia" w:ascii="仿宋_GB2312" w:hAnsi="仿宋_GB2312" w:eastAsia="仿宋_GB2312" w:cs="仿宋_GB2312"/>
          <w:b w:val="0"/>
          <w:bCs w:val="0"/>
          <w:color w:val="000000"/>
          <w:kern w:val="0"/>
          <w:position w:val="3"/>
          <w:sz w:val="32"/>
          <w:szCs w:val="32"/>
          <w:highlight w:val="none"/>
          <w:lang w:val="zh-CN" w:eastAsia="en-US" w:bidi="ar-SA"/>
        </w:rPr>
        <w:t>分，这表明项目在执行过程中表现良好，达到了预期的大部分目标。项目实施情况显示，资金使用效率较高，项目进度符合计划，产出质量符合预期标准。同时，项目在促进目标群体受益方面取得了显著成果，社会影响积极。</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黑体" w:hAnsi="宋体" w:eastAsia="黑体" w:cs="Times New Roman"/>
          <w:color w:val="auto"/>
          <w:kern w:val="0"/>
          <w:position w:val="3"/>
          <w:sz w:val="32"/>
          <w:szCs w:val="32"/>
          <w:highlight w:val="none"/>
          <w:u w:val="none"/>
          <w:lang w:val="en-US" w:eastAsia="zh-CN" w:bidi="ar-SA"/>
        </w:rPr>
      </w:pPr>
      <w:r>
        <w:rPr>
          <w:rFonts w:hint="eastAsia" w:ascii="黑体" w:hAnsi="宋体" w:eastAsia="黑体" w:cs="Times New Roman"/>
          <w:color w:val="auto"/>
          <w:kern w:val="0"/>
          <w:position w:val="3"/>
          <w:sz w:val="32"/>
          <w:szCs w:val="32"/>
          <w:highlight w:val="none"/>
          <w:u w:val="none"/>
          <w:lang w:val="en-US" w:eastAsia="zh-CN" w:bidi="ar-SA"/>
        </w:rPr>
        <w:t>五、存在主要问题</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楷体_GB2312" w:hAnsi="楷体_GB2312" w:eastAsia="楷体_GB2312" w:cs="楷体_GB2312"/>
          <w:color w:val="auto"/>
          <w:kern w:val="2"/>
          <w:position w:val="0"/>
          <w:sz w:val="32"/>
          <w:szCs w:val="32"/>
          <w:lang w:val="en-US" w:eastAsia="zh-CN" w:bidi="ar-SA"/>
        </w:rPr>
      </w:pPr>
      <w:r>
        <w:rPr>
          <w:rFonts w:hint="eastAsia" w:ascii="楷体_GB2312" w:hAnsi="楷体_GB2312" w:eastAsia="楷体_GB2312" w:cs="楷体_GB2312"/>
          <w:color w:val="auto"/>
          <w:kern w:val="2"/>
          <w:position w:val="0"/>
          <w:sz w:val="32"/>
          <w:szCs w:val="32"/>
          <w:lang w:val="en-US" w:eastAsia="zh-CN" w:bidi="ar-SA"/>
        </w:rPr>
        <w:t>1.资金使用效率</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尽管总体资金使用效率较高，但在某些子项目中，发现有部分资金未能有效利用，导致资源浪费。</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楷体_GB2312" w:hAnsi="楷体_GB2312" w:eastAsia="楷体_GB2312" w:cs="楷体_GB2312"/>
          <w:color w:val="auto"/>
          <w:kern w:val="2"/>
          <w:position w:val="0"/>
          <w:sz w:val="32"/>
          <w:szCs w:val="32"/>
          <w:lang w:val="en-US" w:eastAsia="zh-CN" w:bidi="ar-SA"/>
        </w:rPr>
      </w:pPr>
      <w:r>
        <w:rPr>
          <w:rFonts w:hint="eastAsia" w:ascii="楷体_GB2312" w:hAnsi="楷体_GB2312" w:eastAsia="楷体_GB2312" w:cs="楷体_GB2312"/>
          <w:color w:val="auto"/>
          <w:kern w:val="2"/>
          <w:position w:val="0"/>
          <w:sz w:val="32"/>
          <w:szCs w:val="32"/>
          <w:lang w:val="en-US" w:eastAsia="zh-CN" w:bidi="ar-SA"/>
        </w:rPr>
        <w:t>2.政策适应性</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项目在执行过程中，发现原有政策与当前环境变化存在不匹配的情况，导致项目实施效果受到影响。</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楷体_GB2312" w:hAnsi="楷体_GB2312" w:eastAsia="楷体_GB2312" w:cs="楷体_GB2312"/>
          <w:color w:val="auto"/>
          <w:kern w:val="2"/>
          <w:position w:val="0"/>
          <w:sz w:val="32"/>
          <w:szCs w:val="32"/>
          <w:lang w:val="en-US" w:eastAsia="zh-CN" w:bidi="ar-SA"/>
        </w:rPr>
      </w:pPr>
      <w:r>
        <w:rPr>
          <w:rFonts w:hint="eastAsia" w:ascii="楷体_GB2312" w:hAnsi="楷体_GB2312" w:eastAsia="楷体_GB2312" w:cs="楷体_GB2312"/>
          <w:color w:val="auto"/>
          <w:kern w:val="2"/>
          <w:position w:val="0"/>
          <w:sz w:val="32"/>
          <w:szCs w:val="32"/>
          <w:lang w:val="en-US" w:eastAsia="zh-CN" w:bidi="ar-SA"/>
        </w:rPr>
        <w:t>3.公众参与度</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项目在公众参与度方面有待提升，部分目标群体对项目了解不足，参与度不高。</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黑体" w:cs="仿宋_GB2312"/>
          <w:b w:val="0"/>
          <w:bCs w:val="0"/>
          <w:color w:val="00B0F0"/>
          <w:kern w:val="0"/>
          <w:position w:val="0"/>
          <w:sz w:val="32"/>
          <w:szCs w:val="32"/>
          <w:highlight w:val="none"/>
          <w:lang w:val="en-US"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bookmarkStart w:id="65" w:name="_Hlk110546638"/>
    </w:p>
    <w:p>
      <w:pPr>
        <w:ind w:firstLine="640" w:firstLineChars="200"/>
        <w:rPr>
          <w:rFonts w:hint="eastAsia" w:ascii="楷体_GB2312" w:hAnsi="楷体_GB2312" w:eastAsia="楷体_GB2312" w:cs="楷体_GB2312"/>
          <w:color w:val="auto"/>
          <w:kern w:val="2"/>
          <w:position w:val="0"/>
          <w:sz w:val="32"/>
          <w:szCs w:val="32"/>
          <w:lang w:val="en-US" w:eastAsia="zh-CN" w:bidi="ar-SA"/>
        </w:rPr>
      </w:pPr>
      <w:r>
        <w:rPr>
          <w:rFonts w:hint="eastAsia" w:ascii="楷体_GB2312" w:hAnsi="楷体_GB2312" w:eastAsia="楷体_GB2312" w:cs="楷体_GB2312"/>
          <w:color w:val="auto"/>
          <w:kern w:val="2"/>
          <w:position w:val="0"/>
          <w:sz w:val="32"/>
          <w:szCs w:val="32"/>
          <w:lang w:val="en-US" w:eastAsia="zh-CN" w:bidi="ar-SA"/>
        </w:rPr>
        <w:t>1.优化资金使用：</w:t>
      </w:r>
    </w:p>
    <w:p>
      <w:pPr>
        <w:ind w:firstLine="640" w:firstLineChars="200"/>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建议对资金使用进行更细致的规划和监控，确保每一笔资金都能发挥最大效益。</w:t>
      </w:r>
    </w:p>
    <w:p>
      <w:pPr>
        <w:ind w:firstLine="640" w:firstLineChars="200"/>
        <w:rPr>
          <w:rFonts w:hint="eastAsia" w:ascii="楷体_GB2312" w:hAnsi="楷体_GB2312" w:eastAsia="楷体_GB2312" w:cs="楷体_GB2312"/>
          <w:color w:val="auto"/>
          <w:kern w:val="2"/>
          <w:position w:val="0"/>
          <w:sz w:val="32"/>
          <w:szCs w:val="32"/>
          <w:lang w:val="en-US" w:eastAsia="zh-CN" w:bidi="ar-SA"/>
        </w:rPr>
      </w:pPr>
      <w:r>
        <w:rPr>
          <w:rFonts w:hint="eastAsia" w:ascii="楷体_GB2312" w:hAnsi="楷体_GB2312" w:eastAsia="楷体_GB2312" w:cs="楷体_GB2312"/>
          <w:color w:val="auto"/>
          <w:kern w:val="2"/>
          <w:position w:val="0"/>
          <w:sz w:val="32"/>
          <w:szCs w:val="32"/>
          <w:lang w:val="en-US" w:eastAsia="zh-CN" w:bidi="ar-SA"/>
        </w:rPr>
        <w:t>2.完善政策适应性</w:t>
      </w:r>
    </w:p>
    <w:p>
      <w:pPr>
        <w:ind w:firstLine="640" w:firstLineChars="200"/>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建议定期评估政策的有效性，根据当前环境变化及时调整，确保项目能够更好地适应外部环境。</w:t>
      </w:r>
    </w:p>
    <w:p>
      <w:pPr>
        <w:ind w:firstLine="640" w:firstLineChars="200"/>
        <w:rPr>
          <w:rFonts w:hint="eastAsia" w:ascii="楷体_GB2312" w:hAnsi="楷体_GB2312" w:eastAsia="楷体_GB2312" w:cs="楷体_GB2312"/>
          <w:color w:val="auto"/>
          <w:kern w:val="2"/>
          <w:position w:val="0"/>
          <w:sz w:val="32"/>
          <w:szCs w:val="32"/>
          <w:lang w:val="en-US" w:eastAsia="zh-CN" w:bidi="ar-SA"/>
        </w:rPr>
      </w:pPr>
      <w:r>
        <w:rPr>
          <w:rFonts w:hint="eastAsia" w:ascii="楷体_GB2312" w:hAnsi="楷体_GB2312" w:eastAsia="楷体_GB2312" w:cs="楷体_GB2312"/>
          <w:color w:val="auto"/>
          <w:kern w:val="2"/>
          <w:position w:val="0"/>
          <w:sz w:val="32"/>
          <w:szCs w:val="32"/>
          <w:lang w:val="en-US" w:eastAsia="zh-CN" w:bidi="ar-SA"/>
        </w:rPr>
        <w:t>3.提升公众参与度</w:t>
      </w:r>
    </w:p>
    <w:p>
      <w:pPr>
        <w:ind w:firstLine="640" w:firstLineChars="200"/>
        <w:rPr>
          <w:rFonts w:hint="eastAsia" w:ascii="仿宋_GB2312" w:hAnsi="仿宋_GB2312" w:eastAsia="仿宋_GB2312" w:cs="仿宋_GB2312"/>
          <w:b w:val="0"/>
          <w:bCs w:val="0"/>
          <w:color w:val="00B0F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建议通过多种渠道增加项目透明度，提高目标群体对项目的了解和参与度。</w:t>
      </w:r>
    </w:p>
    <w:p>
      <w:pPr>
        <w:ind w:firstLine="640" w:firstLineChars="200"/>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通过上述措施的实施，专项预算项目有望在未来的执行中取得更好的绩效，实现更高的目标。</w:t>
      </w:r>
    </w:p>
    <w:p>
      <w:pPr>
        <w:rPr>
          <w:rFonts w:hint="eastAsia" w:ascii="Times New Roman" w:hAnsi="Times New Roman" w:eastAsia="仿宋_GB2312" w:cs="Times New Roman"/>
          <w:sz w:val="32"/>
          <w:szCs w:val="32"/>
          <w:lang w:val="en" w:eastAsia="zh-CN"/>
        </w:rPr>
      </w:pPr>
    </w:p>
    <w:bookmarkEnd w:id="65"/>
    <w:p>
      <w:pPr>
        <w:pStyle w:val="4"/>
        <w:jc w:val="center"/>
        <w:rPr>
          <w:rFonts w:hint="default" w:ascii="Times New Roman" w:hAnsi="Times New Roman" w:eastAsia="黑体" w:cs="Times New Roman"/>
        </w:rPr>
        <w:sectPr>
          <w:pgSz w:w="11906" w:h="16838"/>
          <w:pgMar w:top="1440" w:right="1800" w:bottom="1440" w:left="1800" w:header="851" w:footer="992" w:gutter="0"/>
          <w:cols w:space="425" w:num="1"/>
          <w:docGrid w:type="lines" w:linePitch="312" w:charSpace="0"/>
        </w:sectPr>
      </w:pPr>
    </w:p>
    <w:p>
      <w:pPr>
        <w:pStyle w:val="4"/>
        <w:keepNext/>
        <w:keepLines/>
        <w:pageBreakBefore w:val="0"/>
        <w:widowControl w:val="0"/>
        <w:kinsoku/>
        <w:wordWrap/>
        <w:overflowPunct/>
        <w:topLinePunct w:val="0"/>
        <w:autoSpaceDE/>
        <w:autoSpaceDN/>
        <w:bidi w:val="0"/>
        <w:adjustRightInd/>
        <w:snapToGrid/>
        <w:spacing w:line="579" w:lineRule="auto"/>
        <w:jc w:val="center"/>
        <w:textAlignment w:val="auto"/>
        <w:rPr>
          <w:rFonts w:hint="default" w:ascii="Times New Roman" w:hAnsi="Times New Roman" w:eastAsia="黑体" w:cs="Times New Roman"/>
        </w:rPr>
      </w:pPr>
      <w:bookmarkStart w:id="66" w:name="_Toc1372514455"/>
      <w:r>
        <w:rPr>
          <w:rFonts w:hint="default" w:ascii="Times New Roman" w:hAnsi="Times New Roman" w:eastAsia="黑体" w:cs="Times New Roman"/>
        </w:rPr>
        <w:t>第五部分 附表</w:t>
      </w:r>
      <w:bookmarkEnd w:id="66"/>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Times New Roman" w:hAnsi="Times New Roman" w:eastAsia="仿宋" w:cs="Times New Roman"/>
          <w:sz w:val="32"/>
          <w:szCs w:val="32"/>
        </w:rPr>
      </w:pPr>
      <w:bookmarkStart w:id="67" w:name="_Toc1021303472"/>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一、收入支出决算总表</w:t>
      </w:r>
      <w:bookmarkEnd w:id="67"/>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Times New Roman" w:hAnsi="Times New Roman" w:eastAsia="仿宋" w:cs="Times New Roman"/>
          <w:sz w:val="32"/>
          <w:szCs w:val="32"/>
        </w:rPr>
      </w:pPr>
      <w:bookmarkStart w:id="68" w:name="_Toc1802979901"/>
      <w:r>
        <w:rPr>
          <w:rFonts w:hint="default" w:ascii="Times New Roman" w:hAnsi="Times New Roman" w:eastAsia="仿宋" w:cs="Times New Roman"/>
          <w:sz w:val="32"/>
          <w:szCs w:val="32"/>
        </w:rPr>
        <w:t>二、收入决算表</w:t>
      </w:r>
      <w:bookmarkEnd w:id="68"/>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Times New Roman" w:hAnsi="Times New Roman" w:eastAsia="仿宋" w:cs="Times New Roman"/>
          <w:sz w:val="32"/>
          <w:szCs w:val="32"/>
        </w:rPr>
      </w:pPr>
      <w:bookmarkStart w:id="69" w:name="_Toc330021416"/>
      <w:r>
        <w:rPr>
          <w:rFonts w:hint="default" w:ascii="Times New Roman" w:hAnsi="Times New Roman" w:eastAsia="仿宋" w:cs="Times New Roman"/>
          <w:sz w:val="32"/>
          <w:szCs w:val="32"/>
        </w:rPr>
        <w:t>三、支出决算表</w:t>
      </w:r>
      <w:bookmarkEnd w:id="69"/>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Times New Roman" w:hAnsi="Times New Roman" w:eastAsia="仿宋" w:cs="Times New Roman"/>
          <w:sz w:val="32"/>
          <w:szCs w:val="32"/>
        </w:rPr>
      </w:pPr>
      <w:bookmarkStart w:id="70" w:name="_Toc247921104"/>
      <w:r>
        <w:rPr>
          <w:rFonts w:hint="default" w:ascii="Times New Roman" w:hAnsi="Times New Roman" w:eastAsia="仿宋" w:cs="Times New Roman"/>
          <w:sz w:val="32"/>
          <w:szCs w:val="32"/>
        </w:rPr>
        <w:t>四、财政拨款收入支出决算总表</w:t>
      </w:r>
      <w:bookmarkEnd w:id="70"/>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Times New Roman" w:hAnsi="Times New Roman" w:eastAsia="仿宋" w:cs="Times New Roman"/>
          <w:sz w:val="32"/>
          <w:szCs w:val="32"/>
        </w:rPr>
      </w:pPr>
      <w:bookmarkStart w:id="71" w:name="_Toc2096844127"/>
      <w:r>
        <w:rPr>
          <w:rFonts w:hint="default" w:ascii="Times New Roman" w:hAnsi="Times New Roman" w:eastAsia="仿宋" w:cs="Times New Roman"/>
          <w:sz w:val="32"/>
          <w:szCs w:val="32"/>
        </w:rPr>
        <w:t>五、财政拨款支出决算明细表</w:t>
      </w:r>
      <w:bookmarkEnd w:id="71"/>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Times New Roman" w:hAnsi="Times New Roman" w:eastAsia="仿宋" w:cs="Times New Roman"/>
          <w:sz w:val="32"/>
          <w:szCs w:val="32"/>
        </w:rPr>
      </w:pPr>
      <w:bookmarkStart w:id="72" w:name="_Toc1313884174"/>
      <w:r>
        <w:rPr>
          <w:rFonts w:hint="default" w:ascii="Times New Roman" w:hAnsi="Times New Roman" w:eastAsia="仿宋" w:cs="Times New Roman"/>
          <w:sz w:val="32"/>
          <w:szCs w:val="32"/>
        </w:rPr>
        <w:t>六、一般公共预算财政拨款支出决算表</w:t>
      </w:r>
      <w:bookmarkEnd w:id="72"/>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Times New Roman" w:hAnsi="Times New Roman" w:eastAsia="仿宋" w:cs="Times New Roman"/>
          <w:sz w:val="32"/>
          <w:szCs w:val="32"/>
        </w:rPr>
      </w:pPr>
      <w:bookmarkStart w:id="73" w:name="_Toc1394119862"/>
      <w:r>
        <w:rPr>
          <w:rFonts w:hint="default" w:ascii="Times New Roman" w:hAnsi="Times New Roman" w:eastAsia="仿宋" w:cs="Times New Roman"/>
          <w:sz w:val="32"/>
          <w:szCs w:val="32"/>
        </w:rPr>
        <w:t>七、一般公共预算财政拨款支出决算明细表</w:t>
      </w:r>
      <w:bookmarkEnd w:id="73"/>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Times New Roman" w:hAnsi="Times New Roman" w:eastAsia="仿宋" w:cs="Times New Roman"/>
          <w:sz w:val="32"/>
          <w:szCs w:val="32"/>
        </w:rPr>
      </w:pPr>
      <w:bookmarkStart w:id="74" w:name="_Toc781878416"/>
      <w:r>
        <w:rPr>
          <w:rFonts w:hint="default" w:ascii="Times New Roman" w:hAnsi="Times New Roman" w:eastAsia="仿宋" w:cs="Times New Roman"/>
          <w:sz w:val="32"/>
          <w:szCs w:val="32"/>
        </w:rPr>
        <w:t>八、一般公共预算财政拨款基本支出决算表</w:t>
      </w:r>
      <w:bookmarkEnd w:id="74"/>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Times New Roman" w:hAnsi="Times New Roman" w:eastAsia="仿宋" w:cs="Times New Roman"/>
          <w:sz w:val="32"/>
          <w:szCs w:val="32"/>
        </w:rPr>
      </w:pPr>
      <w:bookmarkStart w:id="75" w:name="_Toc96162118"/>
      <w:r>
        <w:rPr>
          <w:rFonts w:hint="default" w:ascii="Times New Roman" w:hAnsi="Times New Roman" w:eastAsia="仿宋" w:cs="Times New Roman"/>
          <w:sz w:val="32"/>
          <w:szCs w:val="32"/>
        </w:rPr>
        <w:t>九、一般公共预算财政拨款项目支出决算表</w:t>
      </w:r>
      <w:bookmarkEnd w:id="75"/>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Times New Roman" w:hAnsi="Times New Roman" w:eastAsia="仿宋" w:cs="Times New Roman"/>
          <w:sz w:val="32"/>
          <w:szCs w:val="32"/>
        </w:rPr>
      </w:pPr>
      <w:bookmarkStart w:id="76" w:name="_Toc1812591307"/>
      <w:r>
        <w:rPr>
          <w:rFonts w:hint="default" w:ascii="Times New Roman" w:hAnsi="Times New Roman" w:eastAsia="仿宋" w:cs="Times New Roman"/>
          <w:sz w:val="32"/>
          <w:szCs w:val="32"/>
        </w:rPr>
        <w:t>十、政府性基金预算财政拨款收入支出决算表</w:t>
      </w:r>
      <w:bookmarkEnd w:id="76"/>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Times New Roman" w:hAnsi="Times New Roman" w:eastAsia="仿宋" w:cs="Times New Roman"/>
          <w:sz w:val="32"/>
          <w:szCs w:val="32"/>
        </w:rPr>
      </w:pPr>
      <w:bookmarkStart w:id="77" w:name="_Toc674218104"/>
      <w:r>
        <w:rPr>
          <w:rFonts w:hint="default" w:ascii="Times New Roman" w:hAnsi="Times New Roman" w:eastAsia="仿宋" w:cs="Times New Roman"/>
          <w:sz w:val="32"/>
          <w:szCs w:val="32"/>
        </w:rPr>
        <w:t>十一、国有资本经营预算财政拨款收入支出决算表</w:t>
      </w:r>
      <w:bookmarkEnd w:id="77"/>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Times New Roman" w:hAnsi="Times New Roman" w:eastAsia="仿宋" w:cs="Times New Roman"/>
          <w:sz w:val="32"/>
          <w:szCs w:val="32"/>
        </w:rPr>
      </w:pPr>
      <w:bookmarkStart w:id="78" w:name="_Toc862164800"/>
      <w:r>
        <w:rPr>
          <w:rFonts w:hint="default" w:ascii="Times New Roman" w:hAnsi="Times New Roman" w:eastAsia="仿宋" w:cs="Times New Roman"/>
          <w:sz w:val="32"/>
          <w:szCs w:val="32"/>
        </w:rPr>
        <w:t>十二、国有资本经营预算财政拨款支出决算表</w:t>
      </w:r>
      <w:bookmarkEnd w:id="78"/>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Times New Roman" w:hAnsi="Times New Roman" w:eastAsia="仿宋" w:cs="Times New Roman"/>
          <w:sz w:val="32"/>
          <w:szCs w:val="32"/>
        </w:rPr>
      </w:pPr>
      <w:bookmarkStart w:id="79" w:name="_Toc360016178"/>
      <w:r>
        <w:rPr>
          <w:rFonts w:hint="default" w:ascii="Times New Roman" w:hAnsi="Times New Roman" w:eastAsia="仿宋" w:cs="Times New Roman"/>
          <w:sz w:val="32"/>
          <w:szCs w:val="32"/>
        </w:rPr>
        <w:t>十三、财政拨款“三公”经费支出决算表</w:t>
      </w:r>
      <w:bookmarkEnd w:id="79"/>
    </w:p>
    <w:sectPr>
      <w:footerReference r:id="rId9" w:type="firs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仿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方正仿宋_GBK"/>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
                          </w:sdtPr>
                          <w:sdtContent>
                            <w:p>
                              <w:pPr>
                                <w:pStyle w:val="10"/>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BhrYRyMwIAAGMEAAAOAAAAAAAAAAEAIAAA&#10;ADUBAABkcnMvZTJvRG9jLnhtbFBLBQYAAAAABgAGAFkBAADaBQAAAAA=&#10;">
              <v:fill on="f" focussize="0,0"/>
              <v:stroke on="f" weight="0.5pt"/>
              <v:imagedata o:title=""/>
              <o:lock v:ext="edit" aspectratio="f"/>
              <v:textbox inset="0mm,0mm,0mm,0mm" style="mso-fit-shape-to-text:t;">
                <w:txbxContent>
                  <w:sdt>
                    <w:sdtPr>
                      <w:id w:val="-1"/>
                    </w:sdtPr>
                    <w:sdtContent>
                      <w:p>
                        <w:pPr>
                          <w:pStyle w:val="10"/>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v:textbox>
            </v:shape>
          </w:pict>
        </mc:Fallback>
      </mc:AlternateContent>
    </w:r>
  </w:p>
  <w:p>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posOffset>2568575</wp:posOffset>
              </wp:positionH>
              <wp:positionV relativeFrom="paragraph">
                <wp:posOffset>-142875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jc w:val="cen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2.25pt;margin-top:-11.25pt;height:144pt;width:144pt;mso-position-horizontal-relative:margin;mso-wrap-style:none;z-index:251659264;mso-width-relative:page;mso-height-relative:page;" filled="f" stroked="f" coordsize="21600,21600" o:gfxdata="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CJJcEV2AAAAAsBAAAPAAAAAAAAAAEA&#10;IAAAADgAAABkcnMvZG93bnJldi54bWxQSwECFAAUAAAACACHTuJAf46tETICAABhBAAADgAAAAAA&#10;AAABACAAAAA9AQAAZHJzL2Uyb0RvYy54bWxQSwUGAAAAAAYABgBZAQAA4QUAAAAA&#10;">
              <v:fill on="f" focussize="0,0"/>
              <v:stroke on="f" weight="0.5pt"/>
              <v:imagedata o:title=""/>
              <o:lock v:ext="edit" aspectratio="f"/>
              <v:textbox inset="0mm,0mm,0mm,0mm" style="mso-fit-shape-to-text:t;">
                <w:txbxContent>
                  <w:p>
                    <w:pPr>
                      <w:pStyle w:val="10"/>
                      <w:jc w:val="center"/>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FFB311C9"/>
    <w:multiLevelType w:val="singleLevel"/>
    <w:tmpl w:val="FFB311C9"/>
    <w:lvl w:ilvl="0" w:tentative="0">
      <w:start w:val="2"/>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5961C04"/>
    <w:multiLevelType w:val="singleLevel"/>
    <w:tmpl w:val="55961C04"/>
    <w:lvl w:ilvl="0" w:tentative="0">
      <w:start w:val="1"/>
      <w:numFmt w:val="chineseCounting"/>
      <w:suff w:val="space"/>
      <w:lvlText w:val="第%1部分"/>
      <w:lvlJc w:val="left"/>
      <w:rPr>
        <w:rFonts w:hint="eastAsia"/>
      </w:rPr>
    </w:lvl>
  </w:abstractNum>
  <w:abstractNum w:abstractNumId="4">
    <w:nsid w:val="5F7F1B13"/>
    <w:multiLevelType w:val="singleLevel"/>
    <w:tmpl w:val="5F7F1B13"/>
    <w:lvl w:ilvl="0" w:tentative="0">
      <w:start w:val="2"/>
      <w:numFmt w:val="chineseCounting"/>
      <w:suff w:val="nothing"/>
      <w:lvlText w:val="（%1）"/>
      <w:lvlJc w:val="left"/>
      <w:pPr>
        <w:ind w:left="-3"/>
      </w:pPr>
      <w:rPr>
        <w:rFonts w:hint="eastAsia"/>
      </w:rPr>
    </w:lvl>
  </w:abstractNum>
  <w:abstractNum w:abstractNumId="5">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3"/>
  </w:num>
  <w:num w:numId="2">
    <w:abstractNumId w:val="5"/>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6E0107"/>
    <w:rsid w:val="07996F6E"/>
    <w:rsid w:val="07DFD8BA"/>
    <w:rsid w:val="0A2032A3"/>
    <w:rsid w:val="0D35B1ED"/>
    <w:rsid w:val="0E7ED1F5"/>
    <w:rsid w:val="0F98263C"/>
    <w:rsid w:val="101860EC"/>
    <w:rsid w:val="10C055FF"/>
    <w:rsid w:val="118107EC"/>
    <w:rsid w:val="11FB704F"/>
    <w:rsid w:val="13D50BC4"/>
    <w:rsid w:val="13F5616D"/>
    <w:rsid w:val="16BB723D"/>
    <w:rsid w:val="17F9714D"/>
    <w:rsid w:val="1918F934"/>
    <w:rsid w:val="1BE8440E"/>
    <w:rsid w:val="1D155CEE"/>
    <w:rsid w:val="1DFBC4B3"/>
    <w:rsid w:val="1E740ACF"/>
    <w:rsid w:val="1F19C781"/>
    <w:rsid w:val="1F33FCE5"/>
    <w:rsid w:val="1F7F7398"/>
    <w:rsid w:val="1FD2DB6F"/>
    <w:rsid w:val="1FF35744"/>
    <w:rsid w:val="1FF6BC77"/>
    <w:rsid w:val="1FF9236D"/>
    <w:rsid w:val="2333840E"/>
    <w:rsid w:val="23860B96"/>
    <w:rsid w:val="240371BF"/>
    <w:rsid w:val="257C638F"/>
    <w:rsid w:val="29FD04D3"/>
    <w:rsid w:val="2BFF7BC6"/>
    <w:rsid w:val="2C8A61B5"/>
    <w:rsid w:val="2CD59C95"/>
    <w:rsid w:val="2DF04E50"/>
    <w:rsid w:val="2EFD05E5"/>
    <w:rsid w:val="2F040D46"/>
    <w:rsid w:val="2F4F95CE"/>
    <w:rsid w:val="2FACAFDD"/>
    <w:rsid w:val="2FAE5751"/>
    <w:rsid w:val="2FB1A395"/>
    <w:rsid w:val="2FCF0B76"/>
    <w:rsid w:val="2FD9A7D8"/>
    <w:rsid w:val="319F7F4E"/>
    <w:rsid w:val="3304709D"/>
    <w:rsid w:val="36AA5135"/>
    <w:rsid w:val="36BE0DA7"/>
    <w:rsid w:val="376B6AA6"/>
    <w:rsid w:val="376D39B2"/>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7F28AD"/>
    <w:rsid w:val="3FBE5714"/>
    <w:rsid w:val="3FDD8615"/>
    <w:rsid w:val="3FDFB2FF"/>
    <w:rsid w:val="3FF4CAE0"/>
    <w:rsid w:val="3FF75FAF"/>
    <w:rsid w:val="3FF7B227"/>
    <w:rsid w:val="44E268DA"/>
    <w:rsid w:val="457F4F6B"/>
    <w:rsid w:val="459DF864"/>
    <w:rsid w:val="4737FB58"/>
    <w:rsid w:val="47ECCB02"/>
    <w:rsid w:val="47FA6A3F"/>
    <w:rsid w:val="49D7AE48"/>
    <w:rsid w:val="4A3F6C7E"/>
    <w:rsid w:val="4A627F82"/>
    <w:rsid w:val="4B0E749A"/>
    <w:rsid w:val="4B4F25DA"/>
    <w:rsid w:val="4BBB4781"/>
    <w:rsid w:val="4BD709A5"/>
    <w:rsid w:val="4BDD9BFF"/>
    <w:rsid w:val="4BE068DB"/>
    <w:rsid w:val="4D577224"/>
    <w:rsid w:val="4DBF1CEB"/>
    <w:rsid w:val="4DBF6A6B"/>
    <w:rsid w:val="4DF6A672"/>
    <w:rsid w:val="4EAB630A"/>
    <w:rsid w:val="4ECE2238"/>
    <w:rsid w:val="4F2B4DFC"/>
    <w:rsid w:val="4F7EA413"/>
    <w:rsid w:val="4FAB812F"/>
    <w:rsid w:val="4FE9BD67"/>
    <w:rsid w:val="4FEE4C07"/>
    <w:rsid w:val="4FFB052F"/>
    <w:rsid w:val="537E6D0A"/>
    <w:rsid w:val="53AB6B88"/>
    <w:rsid w:val="53F74C96"/>
    <w:rsid w:val="5583522D"/>
    <w:rsid w:val="57BD3DD4"/>
    <w:rsid w:val="57F9CD1E"/>
    <w:rsid w:val="5AF92295"/>
    <w:rsid w:val="5AF9D8E9"/>
    <w:rsid w:val="5BDD38BD"/>
    <w:rsid w:val="5BDD79E6"/>
    <w:rsid w:val="5BEFC772"/>
    <w:rsid w:val="5BFF5DFC"/>
    <w:rsid w:val="5CD71FC4"/>
    <w:rsid w:val="5D1F11B5"/>
    <w:rsid w:val="5D3647F9"/>
    <w:rsid w:val="5DA644D4"/>
    <w:rsid w:val="5DAE1B18"/>
    <w:rsid w:val="5DE7D9E5"/>
    <w:rsid w:val="5ECEC941"/>
    <w:rsid w:val="5EFB582A"/>
    <w:rsid w:val="5EFF8FC6"/>
    <w:rsid w:val="5F5BA39A"/>
    <w:rsid w:val="5F7D3B79"/>
    <w:rsid w:val="5F7F4610"/>
    <w:rsid w:val="5FBF9FF3"/>
    <w:rsid w:val="5FCD4E2C"/>
    <w:rsid w:val="5FEF394A"/>
    <w:rsid w:val="5FF67715"/>
    <w:rsid w:val="61CA71D5"/>
    <w:rsid w:val="627EE9EA"/>
    <w:rsid w:val="63B23AA5"/>
    <w:rsid w:val="647F5392"/>
    <w:rsid w:val="64E322C4"/>
    <w:rsid w:val="65FB93B9"/>
    <w:rsid w:val="6633C463"/>
    <w:rsid w:val="67D55B77"/>
    <w:rsid w:val="67EE7F84"/>
    <w:rsid w:val="686F5F53"/>
    <w:rsid w:val="68B72652"/>
    <w:rsid w:val="6AFFCEAF"/>
    <w:rsid w:val="6B96E9E6"/>
    <w:rsid w:val="6BCE57B5"/>
    <w:rsid w:val="6BFEA4DB"/>
    <w:rsid w:val="6BFF51DA"/>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D7B056"/>
    <w:rsid w:val="6FEFFFD8"/>
    <w:rsid w:val="6FF5CC65"/>
    <w:rsid w:val="6FFB47EC"/>
    <w:rsid w:val="6FFF034A"/>
    <w:rsid w:val="712A28F1"/>
    <w:rsid w:val="715C0E4B"/>
    <w:rsid w:val="71FFD401"/>
    <w:rsid w:val="72233669"/>
    <w:rsid w:val="72734D90"/>
    <w:rsid w:val="7332FE48"/>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E97D8"/>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823FC1C1"/>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6B49BA"/>
    <w:rsid w:val="EF7B8152"/>
    <w:rsid w:val="EF8E27E2"/>
    <w:rsid w:val="EFBFB2F4"/>
    <w:rsid w:val="EFBFFA21"/>
    <w:rsid w:val="EFDF4337"/>
    <w:rsid w:val="EFF7097E"/>
    <w:rsid w:val="F2BEBCB8"/>
    <w:rsid w:val="F36FB518"/>
    <w:rsid w:val="F3DE1A04"/>
    <w:rsid w:val="F3E244FA"/>
    <w:rsid w:val="F3EFB7CA"/>
    <w:rsid w:val="F3F722E5"/>
    <w:rsid w:val="F699BB1A"/>
    <w:rsid w:val="F6DEABFE"/>
    <w:rsid w:val="F777BE62"/>
    <w:rsid w:val="F7B650C7"/>
    <w:rsid w:val="F7EF9033"/>
    <w:rsid w:val="F7FDC2B1"/>
    <w:rsid w:val="F8DDDAC6"/>
    <w:rsid w:val="F96B55C8"/>
    <w:rsid w:val="FA2F5BEB"/>
    <w:rsid w:val="FA5A0943"/>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6FE995"/>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spacing w:after="120"/>
      <w:ind w:left="200" w:leftChars="200"/>
    </w:pPr>
    <w:rPr>
      <w:rFonts w:ascii="仿宋_GB2312"/>
      <w:szCs w:val="32"/>
    </w:r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next w:val="1"/>
    <w:qFormat/>
    <w:uiPriority w:val="0"/>
    <w:pPr>
      <w:widowControl w:val="0"/>
      <w:ind w:left="200" w:leftChars="200" w:hanging="200" w:hangingChars="200"/>
      <w:jc w:val="both"/>
    </w:pPr>
    <w:rPr>
      <w:rFonts w:ascii="Calibri" w:hAnsi="Calibri" w:eastAsia="宋体" w:cs="Times New Roman"/>
      <w:kern w:val="2"/>
      <w:sz w:val="21"/>
      <w:szCs w:val="24"/>
      <w:lang w:val="en-US" w:eastAsia="zh-CN" w:bidi="ar-SA"/>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34"/>
    <w:pPr>
      <w:ind w:firstLine="420" w:firstLineChars="200"/>
    </w:pPr>
  </w:style>
  <w:style w:type="character" w:customStyle="1" w:styleId="28">
    <w:name w:val="标题 1 字符"/>
    <w:basedOn w:val="16"/>
    <w:link w:val="4"/>
    <w:qFormat/>
    <w:uiPriority w:val="9"/>
    <w:rPr>
      <w:rFonts w:ascii="Times New Roman" w:hAnsi="Times New Roman"/>
      <w:b/>
      <w:bCs/>
      <w:kern w:val="44"/>
      <w:sz w:val="44"/>
      <w:szCs w:val="44"/>
    </w:rPr>
  </w:style>
  <w:style w:type="character" w:customStyle="1" w:styleId="29">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6"/>
    <w:qFormat/>
    <w:uiPriority w:val="9"/>
    <w:rPr>
      <w:rFonts w:ascii="Times New Roman" w:hAnsi="Times New Roman"/>
      <w:b/>
      <w:bCs/>
      <w:kern w:val="2"/>
      <w:sz w:val="32"/>
      <w:szCs w:val="32"/>
    </w:rPr>
  </w:style>
  <w:style w:type="paragraph" w:customStyle="1" w:styleId="33">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2022</c:v>
                </c:pt>
                <c:pt idx="1">
                  <c:v>2023</c:v>
                </c:pt>
              </c:numCache>
            </c:numRef>
          </c:cat>
          <c:val>
            <c:numRef>
              <c:f>Sheet1!$B$2:$B$3</c:f>
              <c:numCache>
                <c:formatCode>General</c:formatCode>
                <c:ptCount val="2"/>
                <c:pt idx="0">
                  <c:v>1594.7</c:v>
                </c:pt>
                <c:pt idx="1">
                  <c:v>1651.66</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2022</c:v>
                </c:pt>
                <c:pt idx="1">
                  <c:v>2023</c:v>
                </c:pt>
              </c:numCache>
            </c:numRef>
          </c:cat>
          <c:val>
            <c:numRef>
              <c:f>Sheet1!$C$2:$C$3</c:f>
              <c:numCache>
                <c:formatCode>General</c:formatCode>
                <c:ptCount val="2"/>
                <c:pt idx="0">
                  <c:v>1594.7</c:v>
                </c:pt>
                <c:pt idx="1">
                  <c:v>1651.66</c:v>
                </c:pt>
              </c:numCache>
            </c:numRef>
          </c:val>
        </c:ser>
        <c:dLbls>
          <c:showLegendKey val="0"/>
          <c:showVal val="1"/>
          <c:showCatName val="0"/>
          <c:showSerName val="0"/>
          <c:showPercent val="0"/>
          <c:showBubbleSize val="0"/>
        </c:dLbls>
        <c:gapWidth val="150"/>
        <c:overlap val="0"/>
        <c:axId val="47715968"/>
        <c:axId val="309376032"/>
      </c:barChart>
      <c:catAx>
        <c:axId val="477159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9376032"/>
        <c:crosses val="autoZero"/>
        <c:auto val="1"/>
        <c:lblAlgn val="ctr"/>
        <c:lblOffset val="100"/>
        <c:noMultiLvlLbl val="0"/>
      </c:catAx>
      <c:valAx>
        <c:axId val="309376032"/>
        <c:scaling>
          <c:orientation val="minMax"/>
          <c:max val="1800"/>
          <c:min val="0"/>
        </c:scaling>
        <c:delete val="0"/>
        <c:axPos val="l"/>
        <c:majorGridlines>
          <c:spPr>
            <a:ln w="9525" cap="flat" cmpd="sng" algn="ctr">
              <a:solidFill>
                <a:schemeClr val="tx1">
                  <a:lumMod val="15000"/>
                  <a:lumOff val="85000"/>
                </a:schemeClr>
              </a:solidFill>
              <a:round/>
            </a:ln>
            <a:effectLst/>
          </c:spPr>
        </c:majorGridlines>
        <c:numFmt formatCode="0_);[Red]\(0\)" sourceLinked="0"/>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715968"/>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1633.06</c:v>
                </c:pt>
                <c:pt idx="1">
                  <c:v>18.6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831.39</c:v>
                </c:pt>
                <c:pt idx="1">
                  <c:v>820.27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2022</c:v>
                </c:pt>
                <c:pt idx="1">
                  <c:v>2023</c:v>
                </c:pt>
              </c:numCache>
            </c:numRef>
          </c:cat>
          <c:val>
            <c:numRef>
              <c:f>Sheet1!$B$2:$B$3</c:f>
              <c:numCache>
                <c:formatCode>General</c:formatCode>
                <c:ptCount val="2"/>
                <c:pt idx="0">
                  <c:v>1594.7</c:v>
                </c:pt>
                <c:pt idx="1">
                  <c:v>1633.06</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2022</c:v>
                </c:pt>
                <c:pt idx="1">
                  <c:v>2023</c:v>
                </c:pt>
              </c:numCache>
            </c:numRef>
          </c:cat>
          <c:val>
            <c:numRef>
              <c:f>Sheet1!$C$2:$C$3</c:f>
              <c:numCache>
                <c:formatCode>General</c:formatCode>
                <c:ptCount val="2"/>
                <c:pt idx="0">
                  <c:v>1594.7</c:v>
                </c:pt>
                <c:pt idx="1">
                  <c:v>1633.06</c:v>
                </c:pt>
              </c:numCache>
            </c:numRef>
          </c:val>
        </c:ser>
        <c:dLbls>
          <c:showLegendKey val="0"/>
          <c:showVal val="1"/>
          <c:showCatName val="0"/>
          <c:showSerName val="0"/>
          <c:showPercent val="0"/>
          <c:showBubbleSize val="0"/>
        </c:dLbls>
        <c:gapWidth val="219"/>
        <c:overlap val="0"/>
        <c:axId val="186616226"/>
        <c:axId val="383551028"/>
      </c:barChart>
      <c:catAx>
        <c:axId val="186616226"/>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3551028"/>
        <c:crosses val="autoZero"/>
        <c:auto val="1"/>
        <c:lblAlgn val="ctr"/>
        <c:lblOffset val="100"/>
        <c:noMultiLvlLbl val="0"/>
      </c:catAx>
      <c:valAx>
        <c:axId val="383551028"/>
        <c:scaling>
          <c:orientation val="minMax"/>
          <c:max val="18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6616226"/>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2022</c:v>
                </c:pt>
                <c:pt idx="1">
                  <c:v>2023</c:v>
                </c:pt>
              </c:numCache>
            </c:numRef>
          </c:cat>
          <c:val>
            <c:numRef>
              <c:f>Sheet1!$B$2:$B$3</c:f>
              <c:numCache>
                <c:formatCode>General</c:formatCode>
                <c:ptCount val="2"/>
                <c:pt idx="0">
                  <c:v>1594.7</c:v>
                </c:pt>
                <c:pt idx="1">
                  <c:v>1633.06</c:v>
                </c:pt>
              </c:numCache>
            </c:numRef>
          </c:val>
        </c:ser>
        <c:dLbls>
          <c:showLegendKey val="0"/>
          <c:showVal val="1"/>
          <c:showCatName val="0"/>
          <c:showSerName val="0"/>
          <c:showPercent val="0"/>
          <c:showBubbleSize val="0"/>
        </c:dLbls>
        <c:gapWidth val="219"/>
        <c:overlap val="-27"/>
        <c:axId val="241439377"/>
        <c:axId val="437252374"/>
      </c:barChart>
      <c:catAx>
        <c:axId val="24143937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7252374"/>
        <c:crosses val="autoZero"/>
        <c:auto val="1"/>
        <c:lblAlgn val="ctr"/>
        <c:lblOffset val="100"/>
        <c:noMultiLvlLbl val="0"/>
      </c:catAx>
      <c:valAx>
        <c:axId val="437252374"/>
        <c:scaling>
          <c:orientation val="minMax"/>
          <c:max val="18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1439377"/>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一般公共预算财政拨款支出决算结构</a:t>
            </a:r>
            <a:endParaRPr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3"/>
              <c:layout>
                <c:manualLayout>
                  <c:x val="0.0386594149639865"/>
                  <c:y val="-0.0055126791620727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1425.54</c:v>
                </c:pt>
                <c:pt idx="1">
                  <c:v>103.85</c:v>
                </c:pt>
                <c:pt idx="2">
                  <c:v>50.78</c:v>
                </c:pt>
                <c:pt idx="3">
                  <c:v>52.89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c:v>
                </c:pt>
                <c:pt idx="1">
                  <c:v>公务接待费</c:v>
                </c:pt>
              </c:strCache>
            </c:strRef>
          </c:cat>
          <c:val>
            <c:numRef>
              <c:f>Sheet1!$B$2:$B$3</c:f>
              <c:numCache>
                <c:formatCode>General</c:formatCode>
                <c:ptCount val="2"/>
                <c:pt idx="0">
                  <c:v>14.8</c:v>
                </c:pt>
                <c:pt idx="1">
                  <c:v>0.15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37</Pages>
  <Words>1535</Words>
  <Characters>8751</Characters>
  <Lines>72</Lines>
  <Paragraphs>20</Paragraphs>
  <TotalTime>89</TotalTime>
  <ScaleCrop>false</ScaleCrop>
  <LinksUpToDate>false</LinksUpToDate>
  <CharactersWithSpaces>10266</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2024-08-06T23:12:00Z</dcterms:created>
  <dc:creator>曹颖</dc:creator>
  <cp:lastModifiedBy>user</cp:lastModifiedBy>
  <cp:lastPrinted>2023-08-05T02:35:00Z</cp:lastPrinted>
  <dcterms:modified xsi:type="dcterms:W3CDTF">2024-11-14T16:34:43Z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0D419EFF5E5251A223B63567DE459904_43</vt:lpwstr>
  </property>
</Properties>
</file>