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中共红原县委组织部</w:t>
      </w:r>
    </w:p>
    <w:p>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lang w:eastAsia="zh-CN"/>
        </w:rPr>
        <w:t>2024年</w:t>
      </w:r>
      <w:r>
        <w:rPr>
          <w:rFonts w:hint="default" w:ascii="Times New Roman" w:hAnsi="Times New Roman" w:eastAsia="方正小标宋简体" w:cs="Times New Roman"/>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default" w:ascii="Times New Roman" w:hAnsi="Times New Roman"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42"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（一）基本职能</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共红原县委员会组织部(简称县委组织部),是县委主管组织工作、干部工作、老干部工作、公务员工作、人才工作、县直机关工委工作、非公经济和社会组织工作的职能部门，为正科级，列县委工作机关序列。主要工作如下：</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负责全县科级领导班子和干部队伍建设的总体规划和宏观管理。负责县委管理科级领导班子和领导干部的考察考核、日常管理，提出调整建议，审核办理任免、工资、退休、兼职、待遇等有关事项；负责全县优秀年轻干部队伍建设工作。</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3.负责管理全县公务员工作。承担管理公务员录用、调配、考核、奖惩、培训、监督、工资福利等工作，指导公务员队伍建设和绩效管理。</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4.负责全县人才队伍建设宏观指导、政策落实、综合协调和督促检查；牵头推进人才发展体制机制改革，统筹实施重大人才工程和人才表彰奖励。</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5.负责组织、指导全县干部教育培训工作的宏观指导、政策规划、组织协调和督促检查，负责县委重点培训项目的策划、实施和管理，指导全县干部教育培训基地建设管理、师资队伍建设等工作。</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6.负责全县干部监督工作的宏观指导和综合协调，制定和落实干部监督工作制度，组织开展对选人用人工作情况的监督检查，受理和办理有关问题举报，组织实施领导干部报告个人有关事项及抽查核实工作。</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8.负责全县非公有制经济组织和社会组织党建工作统一部署，宏观指导和督促检查；负责研究、指导和批准非公有制经济组织和社会组织党的基层组织的设置；直接联系和管理非公企业和社会组织党组织。</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负责制定全县直属机关党的建设工作规划，指导县直机关党组织搞好党的思想建设、组织建设、作风建设和制度建设，并做好协调、管理、教育、监督工作。指导县属机关党组织搞好发展党员、民主评议党员、党员干部民主生活会的评议工作。</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10.统一归口管理县委机构编制委员会办公室。</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11.承担县委党建领导小组、县人才工作领导小组日常工作。</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12.完成县委交办的其他任务。</w:t>
      </w:r>
    </w:p>
    <w:p>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42"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（二）2024年重点工作任务</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2024年中共红原县委组织部重点围绕思想政治建设课题，常态</w:t>
      </w:r>
      <w:r>
        <w:rPr>
          <w:rFonts w:hint="eastAsia" w:ascii="Times New Roman" w:hAnsi="Times New Roman" w:eastAsia="仿宋_GB2312" w:cs="Times New Roman"/>
          <w:sz w:val="32"/>
          <w:szCs w:val="32"/>
          <w:lang w:val="en-US" w:eastAsia="zh-CN"/>
        </w:rPr>
        <w:t>化</w:t>
      </w:r>
      <w:bookmarkStart w:id="0" w:name="_GoBack"/>
      <w:bookmarkEnd w:id="0"/>
      <w:r>
        <w:rPr>
          <w:rFonts w:hint="default" w:ascii="Times New Roman" w:hAnsi="Times New Roman" w:eastAsia="仿宋_GB2312" w:cs="Times New Roman"/>
          <w:sz w:val="32"/>
          <w:szCs w:val="32"/>
          <w:lang w:val="en-US" w:eastAsia="zh-CN"/>
        </w:rPr>
        <w:t>开展党员干部对党忠诚教育、理想信念教育和党性教育，把学习贯彻党的二十大精神作为干部教育培训的必修课，引导广大党员和群众坚定听党话、跟党走。聚焦实施“有人可选”工程、“用则能战”工程，坚持从全局出发，不断优化干部“选育管用”，建设堪当重任的高素质干部队伍；推进“规范提质”、作用发挥”、“品牌培树”行动，增强党组织政治功能和组织功能；凸显“引育并重”、才为我用”理念，构建全方位发展的人才工作格局；鲜明“能干善为”、“公道正派”、“争创一流”导向，锻造政治过硬的组工队伍和模范部门。奋力推动全县组织工作整体提升、全面提质，为紧扣“五个关键”、实施“五个工程”、争创“五个示范”、建设“五个家园”提供坚强组织保证。</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w:t>
      </w:r>
      <w:r>
        <w:rPr>
          <w:rFonts w:hint="default" w:ascii="Times New Roman" w:hAnsi="Times New Roman" w:eastAsia="黑体" w:cs="Times New Roman"/>
          <w:sz w:val="32"/>
          <w:szCs w:val="32"/>
          <w:lang w:eastAsia="zh-CN"/>
        </w:rPr>
        <w:t>预算单位构成</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县委组织部下设单位5个，其中参照公务员法管理的事业单位2个，其他事业单位3个。分别是：党员教育中心、玉堂干休所、信息中心、关心下一代中心、老干部活动中心。</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三、收支预算总体情况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2024年县委组织部收入预算总额为</w:t>
      </w:r>
      <w:r>
        <w:rPr>
          <w:rFonts w:hint="eastAsia" w:ascii="Times New Roman" w:hAnsi="Times New Roman" w:eastAsia="仿宋_GB2312" w:cs="Times New Roman"/>
          <w:sz w:val="32"/>
          <w:szCs w:val="32"/>
          <w:lang w:val="en-US" w:eastAsia="zh-CN"/>
        </w:rPr>
        <w:t>1380.19</w:t>
      </w:r>
      <w:r>
        <w:rPr>
          <w:rFonts w:hint="default" w:ascii="Times New Roman" w:hAnsi="Times New Roman" w:eastAsia="仿宋_GB2312" w:cs="Times New Roman"/>
          <w:sz w:val="32"/>
          <w:szCs w:val="32"/>
          <w:lang w:val="en-US" w:eastAsia="zh-CN"/>
        </w:rPr>
        <w:t>万元，其中：当年财政拨款收入</w:t>
      </w:r>
      <w:r>
        <w:rPr>
          <w:rFonts w:hint="eastAsia" w:ascii="Times New Roman" w:hAnsi="Times New Roman" w:eastAsia="仿宋_GB2312" w:cs="Times New Roman"/>
          <w:sz w:val="32"/>
          <w:szCs w:val="32"/>
          <w:lang w:val="en-US" w:eastAsia="zh-CN"/>
        </w:rPr>
        <w:t>1380.19</w:t>
      </w:r>
      <w:r>
        <w:rPr>
          <w:rFonts w:hint="default" w:ascii="Times New Roman" w:hAnsi="Times New Roman" w:eastAsia="仿宋_GB2312" w:cs="Times New Roman"/>
          <w:sz w:val="32"/>
          <w:szCs w:val="32"/>
          <w:lang w:val="en-US" w:eastAsia="zh-CN"/>
        </w:rPr>
        <w:t>万元。相应安排支出预算</w:t>
      </w:r>
      <w:r>
        <w:rPr>
          <w:rFonts w:hint="eastAsia" w:ascii="Times New Roman" w:hAnsi="Times New Roman" w:eastAsia="仿宋_GB2312" w:cs="Times New Roman"/>
          <w:sz w:val="32"/>
          <w:szCs w:val="32"/>
          <w:lang w:val="en-US" w:eastAsia="zh-CN"/>
        </w:rPr>
        <w:t>1380.19</w:t>
      </w:r>
      <w:r>
        <w:rPr>
          <w:rFonts w:hint="default" w:ascii="Times New Roman" w:hAnsi="Times New Roman" w:eastAsia="仿宋_GB2312" w:cs="Times New Roman"/>
          <w:sz w:val="32"/>
          <w:szCs w:val="32"/>
          <w:lang w:val="en-US" w:eastAsia="zh-CN"/>
        </w:rPr>
        <w:t>万元，其中：一般公共服务</w:t>
      </w:r>
      <w:r>
        <w:rPr>
          <w:rFonts w:hint="eastAsia" w:ascii="Times New Roman" w:hAnsi="Times New Roman" w:eastAsia="仿宋_GB2312" w:cs="Times New Roman"/>
          <w:sz w:val="32"/>
          <w:szCs w:val="32"/>
          <w:lang w:val="en-US" w:eastAsia="zh-CN"/>
        </w:rPr>
        <w:t>1160.57</w:t>
      </w:r>
      <w:r>
        <w:rPr>
          <w:rFonts w:hint="default" w:ascii="Times New Roman" w:hAnsi="Times New Roman" w:eastAsia="仿宋_GB2312" w:cs="Times New Roman"/>
          <w:sz w:val="32"/>
          <w:szCs w:val="32"/>
          <w:lang w:val="en-US" w:eastAsia="zh-CN"/>
        </w:rPr>
        <w:t>万元，社会保障和就业</w:t>
      </w:r>
      <w:r>
        <w:rPr>
          <w:rFonts w:hint="eastAsia" w:ascii="Times New Roman" w:hAnsi="Times New Roman" w:eastAsia="仿宋_GB2312" w:cs="Times New Roman"/>
          <w:sz w:val="32"/>
          <w:szCs w:val="32"/>
          <w:lang w:val="en-US" w:eastAsia="zh-CN"/>
        </w:rPr>
        <w:t>114.85</w:t>
      </w:r>
      <w:r>
        <w:rPr>
          <w:rFonts w:hint="default" w:ascii="Times New Roman" w:hAnsi="Times New Roman" w:eastAsia="仿宋_GB2312" w:cs="Times New Roman"/>
          <w:sz w:val="32"/>
          <w:szCs w:val="32"/>
          <w:lang w:val="en-US" w:eastAsia="zh-CN"/>
        </w:rPr>
        <w:t>万元，医疗卫生</w:t>
      </w:r>
      <w:r>
        <w:rPr>
          <w:rFonts w:hint="eastAsia" w:ascii="Times New Roman" w:hAnsi="Times New Roman" w:eastAsia="仿宋_GB2312" w:cs="Times New Roman"/>
          <w:sz w:val="32"/>
          <w:szCs w:val="32"/>
          <w:lang w:val="en-US" w:eastAsia="zh-CN"/>
        </w:rPr>
        <w:t>40.9</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63.87</w:t>
      </w:r>
      <w:r>
        <w:rPr>
          <w:rFonts w:hint="default" w:ascii="Times New Roman" w:hAnsi="Times New Roman" w:eastAsia="仿宋_GB2312" w:cs="Times New Roman"/>
          <w:sz w:val="32"/>
          <w:szCs w:val="32"/>
          <w:lang w:val="en-US" w:eastAsia="zh-CN"/>
        </w:rPr>
        <w:t>万元。</w:t>
      </w:r>
    </w:p>
    <w:p>
      <w:pPr>
        <w:keepNext w:val="0"/>
        <w:keepLines w:val="0"/>
        <w:pageBreakBefore w:val="0"/>
        <w:numPr>
          <w:ilvl w:val="0"/>
          <w:numId w:val="1"/>
        </w:numPr>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支出预算安排情况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县委组织部预算安排支出主要用于保障该部门机构正常运转、完成日常工作任务以及承担全县组织工作事业发展相关工作。</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基本支出842.71万元。其中人员经费支出</w:t>
      </w:r>
      <w:r>
        <w:rPr>
          <w:rFonts w:hint="eastAsia" w:ascii="Times New Roman" w:hAnsi="Times New Roman" w:eastAsia="仿宋_GB2312" w:cs="Times New Roman"/>
          <w:sz w:val="32"/>
          <w:szCs w:val="32"/>
          <w:lang w:val="en-US" w:eastAsia="zh-CN"/>
        </w:rPr>
        <w:t>781.73</w:t>
      </w:r>
      <w:r>
        <w:rPr>
          <w:rFonts w:hint="default" w:ascii="Times New Roman" w:hAnsi="Times New Roman" w:eastAsia="仿宋_GB2312" w:cs="Times New Roman"/>
          <w:sz w:val="32"/>
          <w:szCs w:val="32"/>
          <w:lang w:val="en-US" w:eastAsia="zh-CN"/>
        </w:rPr>
        <w:t>万元，机关运行经费</w:t>
      </w:r>
      <w:r>
        <w:rPr>
          <w:rFonts w:hint="eastAsia" w:ascii="Times New Roman" w:hAnsi="Times New Roman" w:eastAsia="仿宋_GB2312" w:cs="Times New Roman"/>
          <w:sz w:val="32"/>
          <w:szCs w:val="32"/>
          <w:lang w:val="en-US" w:eastAsia="zh-CN"/>
        </w:rPr>
        <w:t>60.98</w:t>
      </w:r>
      <w:r>
        <w:rPr>
          <w:rFonts w:hint="default" w:ascii="Times New Roman" w:hAnsi="Times New Roman" w:eastAsia="仿宋_GB2312" w:cs="Times New Roman"/>
          <w:sz w:val="32"/>
          <w:szCs w:val="32"/>
          <w:lang w:val="en-US" w:eastAsia="zh-CN"/>
        </w:rPr>
        <w:t>万元，其中：办公费</w:t>
      </w:r>
      <w:r>
        <w:rPr>
          <w:rFonts w:hint="eastAsia" w:ascii="Times New Roman" w:hAnsi="Times New Roman" w:eastAsia="仿宋_GB2312" w:cs="Times New Roman"/>
          <w:sz w:val="32"/>
          <w:szCs w:val="32"/>
          <w:lang w:val="en-US" w:eastAsia="zh-CN"/>
        </w:rPr>
        <w:t>7.79</w:t>
      </w:r>
      <w:r>
        <w:rPr>
          <w:rFonts w:hint="default" w:ascii="Times New Roman" w:hAnsi="Times New Roman" w:eastAsia="仿宋_GB2312" w:cs="Times New Roman"/>
          <w:sz w:val="32"/>
          <w:szCs w:val="32"/>
          <w:lang w:val="en-US" w:eastAsia="zh-CN"/>
        </w:rPr>
        <w:t>万元，差旅费</w:t>
      </w:r>
      <w:r>
        <w:rPr>
          <w:rFonts w:hint="eastAsia" w:ascii="Times New Roman" w:hAnsi="Times New Roman" w:eastAsia="仿宋_GB2312" w:cs="Times New Roman"/>
          <w:sz w:val="32"/>
          <w:szCs w:val="32"/>
          <w:lang w:val="en-US" w:eastAsia="zh-CN"/>
        </w:rPr>
        <w:t>12.61</w:t>
      </w:r>
      <w:r>
        <w:rPr>
          <w:rFonts w:hint="default" w:ascii="Times New Roman" w:hAnsi="Times New Roman" w:eastAsia="仿宋_GB2312" w:cs="Times New Roman"/>
          <w:sz w:val="32"/>
          <w:szCs w:val="32"/>
          <w:lang w:val="en-US" w:eastAsia="zh-CN"/>
        </w:rPr>
        <w:t>万元，印刷费</w:t>
      </w:r>
      <w:r>
        <w:rPr>
          <w:rFonts w:hint="eastAsia" w:ascii="Times New Roman" w:hAnsi="Times New Roman" w:eastAsia="仿宋_GB2312" w:cs="Times New Roman"/>
          <w:sz w:val="32"/>
          <w:szCs w:val="32"/>
          <w:lang w:val="en-US" w:eastAsia="zh-CN"/>
        </w:rPr>
        <w:t>3.8</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手续费</w:t>
      </w:r>
      <w:r>
        <w:rPr>
          <w:rFonts w:hint="eastAsia" w:ascii="Times New Roman" w:hAnsi="Times New Roman" w:eastAsia="仿宋_GB2312" w:cs="Times New Roman"/>
          <w:sz w:val="32"/>
          <w:szCs w:val="32"/>
          <w:lang w:val="en-US" w:eastAsia="zh-CN"/>
        </w:rPr>
        <w:t>0.04</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水费</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电费</w:t>
      </w:r>
      <w:r>
        <w:rPr>
          <w:rFonts w:hint="eastAsia" w:ascii="Times New Roman" w:hAnsi="Times New Roman" w:eastAsia="仿宋_GB2312" w:cs="Times New Roman"/>
          <w:sz w:val="32"/>
          <w:szCs w:val="32"/>
          <w:lang w:val="en-US" w:eastAsia="zh-CN"/>
        </w:rPr>
        <w:t>1.85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邮电费</w:t>
      </w:r>
      <w:r>
        <w:rPr>
          <w:rFonts w:hint="eastAsia"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取暖费</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维修（护）费</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公务接待费</w:t>
      </w:r>
      <w:r>
        <w:rPr>
          <w:rFonts w:hint="eastAsia"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工会经费</w:t>
      </w:r>
      <w:r>
        <w:rPr>
          <w:rFonts w:hint="eastAsia" w:ascii="Times New Roman" w:hAnsi="Times New Roman" w:eastAsia="仿宋_GB2312" w:cs="Times New Roman"/>
          <w:sz w:val="32"/>
          <w:szCs w:val="32"/>
          <w:lang w:val="en-US" w:eastAsia="zh-CN"/>
        </w:rPr>
        <w:t>5.75</w:t>
      </w:r>
      <w:r>
        <w:rPr>
          <w:rFonts w:hint="default" w:ascii="Times New Roman" w:hAnsi="Times New Roman" w:eastAsia="仿宋_GB2312" w:cs="Times New Roman"/>
          <w:sz w:val="32"/>
          <w:szCs w:val="32"/>
          <w:lang w:val="en-US" w:eastAsia="zh-CN"/>
        </w:rPr>
        <w:t>万元，公务用车运行维护费</w:t>
      </w:r>
      <w:r>
        <w:rPr>
          <w:rFonts w:hint="eastAsia" w:ascii="Times New Roman" w:hAnsi="Times New Roman" w:eastAsia="仿宋_GB2312" w:cs="Times New Roman"/>
          <w:sz w:val="32"/>
          <w:szCs w:val="32"/>
          <w:lang w:val="en-US" w:eastAsia="zh-CN"/>
        </w:rPr>
        <w:t>11.6</w:t>
      </w:r>
      <w:r>
        <w:rPr>
          <w:rFonts w:hint="default" w:ascii="Times New Roman" w:hAnsi="Times New Roman" w:eastAsia="仿宋_GB2312" w:cs="Times New Roman"/>
          <w:sz w:val="32"/>
          <w:szCs w:val="32"/>
          <w:lang w:val="en-US" w:eastAsia="zh-CN"/>
        </w:rPr>
        <w:t>万元。</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按支出功能分类主要用于以下方面:</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（一）一般公共服务1160.57万元，主要用于机关及下属事业单位人员工资、日常运转以及为完成特定行政工作任务和事业发展目标而安排的年度项目支出。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（二）社会保障和就业114.85万元，主要用于机关及下属事业单位养老保险及职业年金缴费。</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（三）医疗卫生40.9万元，主要用于机关及下属事业单位按照规定标准为职工缴纳的基本医疗保险及公务员医疗补助等支出。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（四）住房保障支出63.87万元，用于机关及下属事业单位按照规定标准为职工缴纳住房公积金等支出。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本年度预算拨款收入</w:t>
      </w:r>
      <w:r>
        <w:rPr>
          <w:rFonts w:hint="default" w:ascii="Times New Roman" w:hAnsi="Times New Roman" w:eastAsia="仿宋_GB2312" w:cs="Times New Roman"/>
          <w:sz w:val="32"/>
          <w:szCs w:val="32"/>
        </w:rPr>
        <w:t>1380.19</w:t>
      </w:r>
      <w:r>
        <w:rPr>
          <w:rFonts w:hint="default" w:ascii="Times New Roman" w:hAnsi="Times New Roman" w:eastAsia="仿宋_GB2312" w:cs="Times New Roman"/>
          <w:sz w:val="32"/>
          <w:szCs w:val="32"/>
          <w:lang w:val="en-US" w:eastAsia="zh-CN"/>
        </w:rPr>
        <w:t>万元较上年度预算</w:t>
      </w:r>
      <w:r>
        <w:rPr>
          <w:rFonts w:hint="default" w:ascii="Times New Roman" w:hAnsi="Times New Roman" w:eastAsia="仿宋_GB2312" w:cs="Times New Roman"/>
          <w:sz w:val="32"/>
          <w:szCs w:val="32"/>
        </w:rPr>
        <w:t>1183.67</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增长</w:t>
      </w:r>
      <w:r>
        <w:rPr>
          <w:rFonts w:hint="default" w:ascii="Times New Roman" w:hAnsi="Times New Roman" w:eastAsia="仿宋_GB2312" w:cs="Times New Roman"/>
          <w:sz w:val="32"/>
          <w:szCs w:val="32"/>
          <w:lang w:val="en-US" w:eastAsia="zh-CN"/>
        </w:rPr>
        <w:t>了</w:t>
      </w:r>
      <w:r>
        <w:rPr>
          <w:rFonts w:hint="eastAsia" w:ascii="Times New Roman" w:hAnsi="Times New Roman" w:eastAsia="仿宋_GB2312" w:cs="Times New Roman"/>
          <w:sz w:val="32"/>
          <w:szCs w:val="32"/>
          <w:lang w:val="en-US" w:eastAsia="zh-CN"/>
        </w:rPr>
        <w:t>16.6</w:t>
      </w:r>
      <w:r>
        <w:rPr>
          <w:rFonts w:hint="default" w:ascii="Times New Roman" w:hAnsi="Times New Roman" w:eastAsia="仿宋_GB2312" w:cs="Times New Roman"/>
          <w:sz w:val="32"/>
          <w:szCs w:val="32"/>
          <w:lang w:val="en-US" w:eastAsia="zh-CN"/>
        </w:rPr>
        <w:t>%，其中基本行政运行经费预算</w:t>
      </w:r>
      <w:r>
        <w:rPr>
          <w:rFonts w:hint="eastAsia" w:ascii="Times New Roman" w:hAnsi="Times New Roman" w:eastAsia="仿宋_GB2312" w:cs="Times New Roman"/>
          <w:sz w:val="32"/>
          <w:szCs w:val="32"/>
          <w:lang w:val="en-US" w:eastAsia="zh-CN"/>
        </w:rPr>
        <w:t>496.32</w:t>
      </w:r>
      <w:r>
        <w:rPr>
          <w:rFonts w:hint="default" w:ascii="Times New Roman" w:hAnsi="Times New Roman" w:eastAsia="仿宋_GB2312" w:cs="Times New Roman"/>
          <w:sz w:val="32"/>
          <w:szCs w:val="32"/>
          <w:lang w:val="en-US" w:eastAsia="zh-CN"/>
        </w:rPr>
        <w:t>万元，占全部总预算的</w:t>
      </w:r>
      <w:r>
        <w:rPr>
          <w:rFonts w:hint="eastAsia" w:ascii="Times New Roman" w:hAnsi="Times New Roman" w:eastAsia="仿宋_GB2312" w:cs="Times New Roman"/>
          <w:sz w:val="32"/>
          <w:szCs w:val="32"/>
          <w:lang w:val="en-US" w:eastAsia="zh-CN"/>
        </w:rPr>
        <w:t>35.96</w:t>
      </w:r>
      <w:r>
        <w:rPr>
          <w:rFonts w:hint="default" w:ascii="Times New Roman" w:hAnsi="Times New Roman" w:eastAsia="仿宋_GB2312" w:cs="Times New Roman"/>
          <w:sz w:val="32"/>
          <w:szCs w:val="32"/>
          <w:lang w:val="en-US" w:eastAsia="zh-CN"/>
        </w:rPr>
        <w:t>%，较上年</w:t>
      </w:r>
      <w:r>
        <w:rPr>
          <w:rFonts w:hint="eastAsia" w:ascii="Times New Roman" w:hAnsi="Times New Roman" w:eastAsia="仿宋_GB2312" w:cs="Times New Roman"/>
          <w:sz w:val="32"/>
          <w:szCs w:val="32"/>
          <w:lang w:val="en-US" w:eastAsia="zh-CN"/>
        </w:rPr>
        <w:t>434.7</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增长</w:t>
      </w:r>
      <w:r>
        <w:rPr>
          <w:rFonts w:hint="default" w:ascii="Times New Roman" w:hAnsi="Times New Roman" w:eastAsia="仿宋_GB2312" w:cs="Times New Roman"/>
          <w:sz w:val="32"/>
          <w:szCs w:val="32"/>
          <w:lang w:val="en-US" w:eastAsia="zh-CN"/>
        </w:rPr>
        <w:t>了</w:t>
      </w:r>
      <w:r>
        <w:rPr>
          <w:rFonts w:hint="eastAsia" w:ascii="Times New Roman" w:hAnsi="Times New Roman" w:eastAsia="仿宋_GB2312" w:cs="Times New Roman"/>
          <w:sz w:val="32"/>
          <w:szCs w:val="32"/>
          <w:lang w:val="en-US" w:eastAsia="zh-CN"/>
        </w:rPr>
        <w:t>14.18</w:t>
      </w:r>
      <w:r>
        <w:rPr>
          <w:rFonts w:hint="default" w:ascii="Times New Roman" w:hAnsi="Times New Roman" w:eastAsia="仿宋_GB2312" w:cs="Times New Roman"/>
          <w:sz w:val="32"/>
          <w:szCs w:val="32"/>
          <w:lang w:val="en-US" w:eastAsia="zh-CN"/>
        </w:rPr>
        <w:t>%，原因为</w:t>
      </w:r>
      <w:r>
        <w:rPr>
          <w:rFonts w:hint="eastAsia" w:ascii="Times New Roman" w:hAnsi="Times New Roman" w:eastAsia="仿宋_GB2312" w:cs="Times New Roman"/>
          <w:sz w:val="32"/>
          <w:szCs w:val="32"/>
          <w:lang w:val="en-US" w:eastAsia="zh-CN"/>
        </w:rPr>
        <w:t>各股室工作计划增加，经费增加</w:t>
      </w:r>
      <w:r>
        <w:rPr>
          <w:rFonts w:hint="default" w:ascii="Times New Roman" w:hAnsi="Times New Roman" w:eastAsia="仿宋_GB2312" w:cs="Times New Roman"/>
          <w:sz w:val="32"/>
          <w:szCs w:val="32"/>
          <w:lang w:val="en-US" w:eastAsia="zh-CN"/>
        </w:rPr>
        <w:t>；专项业务工作经费预算</w:t>
      </w:r>
      <w:r>
        <w:rPr>
          <w:rFonts w:hint="eastAsia" w:ascii="Times New Roman" w:hAnsi="Times New Roman" w:eastAsia="仿宋_GB2312" w:cs="Times New Roman"/>
          <w:sz w:val="32"/>
          <w:szCs w:val="32"/>
          <w:lang w:val="en-US" w:eastAsia="zh-CN"/>
        </w:rPr>
        <w:t>537.48</w:t>
      </w:r>
      <w:r>
        <w:rPr>
          <w:rFonts w:hint="default" w:ascii="Times New Roman" w:hAnsi="Times New Roman" w:eastAsia="仿宋_GB2312" w:cs="Times New Roman"/>
          <w:sz w:val="32"/>
          <w:szCs w:val="32"/>
          <w:lang w:val="en-US" w:eastAsia="zh-CN"/>
        </w:rPr>
        <w:t>万元，占总预算的</w:t>
      </w:r>
      <w:r>
        <w:rPr>
          <w:rFonts w:hint="eastAsia" w:ascii="Times New Roman" w:hAnsi="Times New Roman" w:eastAsia="仿宋_GB2312" w:cs="Times New Roman"/>
          <w:sz w:val="32"/>
          <w:szCs w:val="32"/>
          <w:lang w:val="en-US" w:eastAsia="zh-CN"/>
        </w:rPr>
        <w:t>38.94</w:t>
      </w:r>
      <w:r>
        <w:rPr>
          <w:rFonts w:hint="default" w:ascii="Times New Roman" w:hAnsi="Times New Roman" w:eastAsia="仿宋_GB2312" w:cs="Times New Roman"/>
          <w:sz w:val="32"/>
          <w:szCs w:val="32"/>
          <w:lang w:val="en-US" w:eastAsia="zh-CN"/>
        </w:rPr>
        <w:t>%，较上年预算</w:t>
      </w:r>
      <w:r>
        <w:rPr>
          <w:rFonts w:hint="eastAsia" w:ascii="Times New Roman" w:hAnsi="Times New Roman" w:eastAsia="仿宋_GB2312" w:cs="Times New Roman"/>
          <w:sz w:val="32"/>
          <w:szCs w:val="32"/>
          <w:lang w:val="en-US" w:eastAsia="zh-CN"/>
        </w:rPr>
        <w:t>451.77</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增长</w:t>
      </w:r>
      <w:r>
        <w:rPr>
          <w:rFonts w:hint="default" w:ascii="Times New Roman" w:hAnsi="Times New Roman" w:eastAsia="仿宋_GB2312" w:cs="Times New Roman"/>
          <w:sz w:val="32"/>
          <w:szCs w:val="32"/>
          <w:lang w:val="en-US" w:eastAsia="zh-CN"/>
        </w:rPr>
        <w:t>了</w:t>
      </w:r>
      <w:r>
        <w:rPr>
          <w:rFonts w:hint="eastAsia" w:ascii="Times New Roman" w:hAnsi="Times New Roman" w:eastAsia="仿宋_GB2312" w:cs="Times New Roman"/>
          <w:sz w:val="32"/>
          <w:szCs w:val="32"/>
          <w:lang w:val="en-US" w:eastAsia="zh-CN"/>
        </w:rPr>
        <w:t>18.97</w:t>
      </w:r>
      <w:r>
        <w:rPr>
          <w:rFonts w:hint="default" w:ascii="Times New Roman" w:hAnsi="Times New Roman" w:eastAsia="仿宋_GB2312" w:cs="Times New Roman"/>
          <w:sz w:val="32"/>
          <w:szCs w:val="32"/>
          <w:lang w:val="en-US" w:eastAsia="zh-CN"/>
        </w:rPr>
        <w:t>%，主要原因为</w:t>
      </w:r>
      <w:r>
        <w:rPr>
          <w:rFonts w:hint="eastAsia" w:ascii="Times New Roman" w:hAnsi="Times New Roman" w:eastAsia="仿宋_GB2312" w:cs="Times New Roman"/>
          <w:sz w:val="32"/>
          <w:szCs w:val="32"/>
          <w:lang w:val="en-US" w:eastAsia="zh-CN"/>
        </w:rPr>
        <w:t>各股室2024年专项需求增加，项目经费增长</w:t>
      </w:r>
      <w:r>
        <w:rPr>
          <w:rFonts w:hint="default" w:ascii="Times New Roman" w:hAnsi="Times New Roman" w:eastAsia="仿宋_GB2312" w:cs="Times New Roman"/>
          <w:sz w:val="32"/>
          <w:szCs w:val="32"/>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640" w:firstLineChars="20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本年度三公经费预算安排支出为</w:t>
      </w:r>
      <w:r>
        <w:rPr>
          <w:rFonts w:hint="default" w:ascii="Times New Roman" w:hAnsi="Times New Roman" w:eastAsia="仿宋_GB2312" w:cs="Times New Roman"/>
          <w:sz w:val="32"/>
          <w:szCs w:val="32"/>
        </w:rPr>
        <w:t>11.95</w:t>
      </w:r>
      <w:r>
        <w:rPr>
          <w:rFonts w:hint="default" w:ascii="Times New Roman" w:hAnsi="Times New Roman" w:eastAsia="仿宋_GB2312" w:cs="Times New Roman"/>
          <w:sz w:val="32"/>
          <w:szCs w:val="32"/>
          <w:lang w:val="en-US" w:eastAsia="zh-CN"/>
        </w:rPr>
        <w:t>万元，其中：出国费0万元，与上年持平，主要原因为未安排因公出国；公车购置费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元，与上年持平；公务用车维护费支出</w:t>
      </w:r>
      <w:r>
        <w:rPr>
          <w:rFonts w:hint="default" w:ascii="Times New Roman" w:hAnsi="Times New Roman" w:eastAsia="仿宋_GB2312" w:cs="Times New Roman"/>
          <w:sz w:val="32"/>
          <w:szCs w:val="32"/>
        </w:rPr>
        <w:t>11.6</w:t>
      </w:r>
      <w:r>
        <w:rPr>
          <w:rFonts w:hint="default" w:ascii="Times New Roman" w:hAnsi="Times New Roman" w:eastAsia="仿宋_GB2312" w:cs="Times New Roman"/>
          <w:sz w:val="32"/>
          <w:szCs w:val="32"/>
          <w:lang w:val="en-US" w:eastAsia="zh-CN"/>
        </w:rPr>
        <w:t>万元，较上年度预算</w:t>
      </w:r>
      <w:r>
        <w:rPr>
          <w:rFonts w:hint="eastAsia" w:ascii="Times New Roman" w:hAnsi="Times New Roman" w:eastAsia="仿宋_GB2312" w:cs="Times New Roman"/>
          <w:sz w:val="32"/>
          <w:szCs w:val="32"/>
          <w:lang w:val="en-US" w:eastAsia="zh-CN"/>
        </w:rPr>
        <w:t>5.8</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增加5.8万元</w:t>
      </w:r>
      <w:r>
        <w:rPr>
          <w:rFonts w:hint="default" w:ascii="Times New Roman" w:hAnsi="Times New Roman" w:eastAsia="仿宋_GB2312" w:cs="Times New Roman"/>
          <w:sz w:val="32"/>
          <w:szCs w:val="32"/>
          <w:lang w:val="en-US" w:eastAsia="zh-CN"/>
        </w:rPr>
        <w:t>，主要原因</w:t>
      </w:r>
      <w:r>
        <w:rPr>
          <w:rFonts w:hint="eastAsia" w:ascii="Times New Roman" w:hAnsi="Times New Roman" w:eastAsia="仿宋_GB2312" w:cs="Times New Roman"/>
          <w:sz w:val="32"/>
          <w:szCs w:val="32"/>
          <w:lang w:val="en-US" w:eastAsia="zh-CN"/>
        </w:rPr>
        <w:t>车辆老化，大修次数增加；下乡出差工作多，维护需要增加。</w:t>
      </w:r>
      <w:r>
        <w:rPr>
          <w:rFonts w:hint="default" w:ascii="Times New Roman" w:hAnsi="Times New Roman" w:eastAsia="仿宋_GB2312" w:cs="Times New Roman"/>
          <w:sz w:val="32"/>
          <w:szCs w:val="32"/>
          <w:lang w:val="en-US" w:eastAsia="zh-CN"/>
        </w:rPr>
        <w:t>公务接待费</w:t>
      </w:r>
      <w:r>
        <w:rPr>
          <w:rFonts w:hint="eastAsia"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zCs w:val="32"/>
          <w:lang w:val="en-US" w:eastAsia="zh-CN"/>
        </w:rPr>
        <w:t>万元，较上年度预算减少</w:t>
      </w: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lang w:val="en-US" w:eastAsia="zh-CN"/>
        </w:rPr>
        <w:t>万元，主要原因为严格执行“八项规定、六项禁令”，结合本年度工作需要，减少不必要的开支。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640" w:firstLineChars="20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2024年无使用政府性基金预算拨款安排的支出</w:t>
      </w:r>
      <w:r>
        <w:rPr>
          <w:rFonts w:hint="default" w:ascii="Times New Roman" w:hAnsi="Times New Roman" w:eastAsia="仿宋_GB2312" w:cs="Times New Roman"/>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right="0" w:rightChars="0" w:firstLine="640" w:firstLineChars="20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right="0" w:rightChars="0" w:firstLine="640" w:firstLineChars="20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642" w:firstLineChars="20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（一）政府采购预算情况</w:t>
      </w:r>
      <w:r>
        <w:rPr>
          <w:rFonts w:hint="default" w:ascii="Times New Roman" w:hAnsi="Times New Roman" w:eastAsia="黑体" w:cs="Times New Roman"/>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2024年度</w:t>
      </w:r>
      <w:r>
        <w:rPr>
          <w:rFonts w:hint="eastAsia" w:ascii="Times New Roman" w:hAnsi="Times New Roman" w:eastAsia="仿宋_GB2312" w:cs="Times New Roman"/>
          <w:sz w:val="32"/>
          <w:szCs w:val="32"/>
          <w:lang w:val="en-US" w:eastAsia="zh-CN"/>
        </w:rPr>
        <w:t>未</w:t>
      </w:r>
      <w:r>
        <w:rPr>
          <w:rFonts w:hint="default" w:ascii="Times New Roman" w:hAnsi="Times New Roman" w:eastAsia="仿宋_GB2312" w:cs="Times New Roman"/>
          <w:sz w:val="32"/>
          <w:szCs w:val="32"/>
          <w:lang w:val="en-US" w:eastAsia="zh-CN"/>
        </w:rPr>
        <w:t>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right="0" w:rightChars="0" w:firstLine="642" w:firstLineChars="200"/>
        <w:jc w:val="left"/>
        <w:textAlignment w:val="auto"/>
        <w:rPr>
          <w:rFonts w:hint="default" w:ascii="Times New Roman" w:hAnsi="Times New Roman" w:cs="Times New Roman"/>
        </w:rPr>
      </w:pPr>
      <w:r>
        <w:rPr>
          <w:rFonts w:hint="default" w:ascii="Times New Roman" w:hAnsi="Times New Roman" w:eastAsia="楷体_GB2312" w:cs="Times New Roman"/>
          <w:b/>
          <w:bCs/>
          <w:color w:val="333333"/>
          <w:kern w:val="0"/>
          <w:sz w:val="32"/>
          <w:szCs w:val="32"/>
          <w:shd w:val="clear" w:color="auto" w:fill="FFFFFF"/>
          <w:lang w:val="en-US" w:eastAsia="zh-CN" w:bidi="ar"/>
        </w:rPr>
        <w:t>（二）政府财政国有资产占用情况</w:t>
      </w:r>
      <w:r>
        <w:rPr>
          <w:rFonts w:hint="default" w:ascii="Times New Roman" w:hAnsi="Times New Roman" w:eastAsia="微软雅黑" w:cs="Times New Roman"/>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截止2023年底，实际共有固定资产价值</w:t>
      </w:r>
      <w:r>
        <w:rPr>
          <w:rFonts w:hint="eastAsia" w:ascii="Times New Roman" w:hAnsi="Times New Roman" w:eastAsia="仿宋_GB2312" w:cs="Times New Roman"/>
          <w:sz w:val="32"/>
          <w:szCs w:val="32"/>
          <w:lang w:val="en-US" w:eastAsia="zh-CN"/>
        </w:rPr>
        <w:t>95.09</w:t>
      </w:r>
      <w:r>
        <w:rPr>
          <w:rFonts w:hint="default" w:ascii="Times New Roman" w:hAnsi="Times New Roman" w:eastAsia="仿宋_GB2312" w:cs="Times New Roman"/>
          <w:sz w:val="32"/>
          <w:szCs w:val="32"/>
          <w:lang w:eastAsia="zh-CN"/>
        </w:rPr>
        <w:t>万元：其中：公务用车</w:t>
      </w:r>
      <w:r>
        <w:rPr>
          <w:rFonts w:hint="default" w:ascii="Times New Roman" w:hAnsi="Times New Roman" w:eastAsia="方正仿宋_GBK" w:cs="Times New Roman"/>
          <w:b w:val="0"/>
          <w:bCs/>
          <w:i w:val="0"/>
          <w:sz w:val="32"/>
          <w:szCs w:val="32"/>
          <w:u w:val="none"/>
        </w:rPr>
        <w:t>52.1</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right="0" w:rightChars="0" w:firstLine="642" w:firstLineChars="200"/>
        <w:jc w:val="left"/>
        <w:textAlignment w:val="auto"/>
        <w:rPr>
          <w:rFonts w:hint="default" w:ascii="Times New Roman" w:hAnsi="Times New Roman" w:eastAsia="楷体_GB2312" w:cs="Times New Roman"/>
          <w:b/>
          <w:bCs/>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绩效目标是预算编制的前提和基础，按照“费随事定”的原则，2024年我单位项目支出按要求编制了绩效目标。</w:t>
      </w:r>
    </w:p>
    <w:p>
      <w:pPr>
        <w:keepNext w:val="0"/>
        <w:keepLines w:val="0"/>
        <w:pageBreakBefore w:val="0"/>
        <w:kinsoku/>
        <w:wordWrap/>
        <w:overflowPunct/>
        <w:topLinePunct w:val="0"/>
        <w:autoSpaceDE/>
        <w:autoSpaceDN/>
        <w:bidi w:val="0"/>
        <w:spacing w:line="576" w:lineRule="exact"/>
        <w:ind w:left="638" w:leftChars="304" w:right="0" w:rightChars="0" w:firstLine="0" w:firstLine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color w:val="333333"/>
          <w:kern w:val="0"/>
          <w:sz w:val="32"/>
          <w:szCs w:val="32"/>
          <w:shd w:val="clear" w:color="auto" w:fill="FFFFFF"/>
          <w:lang w:val="en-US" w:eastAsia="zh-CN" w:bidi="ar"/>
        </w:rPr>
        <w:t>十、名词解释</w:t>
      </w:r>
      <w:r>
        <w:rPr>
          <w:rFonts w:hint="default" w:ascii="Times New Roman" w:hAnsi="Times New Roman" w:eastAsia="宋体" w:cs="Times New Roman"/>
          <w:sz w:val="28"/>
          <w:szCs w:val="28"/>
          <w:lang w:val="en-US" w:eastAsia="zh-CN"/>
        </w:rPr>
        <w:br w:type="textWrapping"/>
      </w:r>
      <w:r>
        <w:rPr>
          <w:rFonts w:hint="default" w:ascii="Times New Roman" w:hAnsi="Times New Roman" w:eastAsia="仿宋_GB2312" w:cs="Times New Roman"/>
          <w:sz w:val="32"/>
          <w:szCs w:val="32"/>
          <w:lang w:val="en-US" w:eastAsia="zh-CN"/>
        </w:rPr>
        <w:t xml:space="preserve">1.财政拨款收入：指财政部门核拨给单位的财政预算资金。 </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3.基本支出：指为保障单位机关正常运转、完成日常工作任务而发生的人员支出和公用支出。</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4.项目支出：指在基本支出之外为完成特定行政任务和事业发展目标所发生的支出。</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Dialog . plain">
    <w:altName w:val="仿宋"/>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A6E1F7B"/>
    <w:rsid w:val="0CEE610B"/>
    <w:rsid w:val="0DF76B88"/>
    <w:rsid w:val="10B92046"/>
    <w:rsid w:val="18870CA9"/>
    <w:rsid w:val="18DE7327"/>
    <w:rsid w:val="25736E70"/>
    <w:rsid w:val="28CA79FA"/>
    <w:rsid w:val="2D241839"/>
    <w:rsid w:val="32B9061F"/>
    <w:rsid w:val="41C14C68"/>
    <w:rsid w:val="4A7D7DE9"/>
    <w:rsid w:val="546703A6"/>
    <w:rsid w:val="550D5715"/>
    <w:rsid w:val="555E53B0"/>
    <w:rsid w:val="56F015BA"/>
    <w:rsid w:val="58063D6C"/>
    <w:rsid w:val="589E5BC9"/>
    <w:rsid w:val="5FDE419E"/>
    <w:rsid w:val="636966A0"/>
    <w:rsid w:val="65CF619D"/>
    <w:rsid w:val="670175BB"/>
    <w:rsid w:val="69772B35"/>
    <w:rsid w:val="6A7F4532"/>
    <w:rsid w:val="6E711791"/>
    <w:rsid w:val="6FBF4B32"/>
    <w:rsid w:val="70F00356"/>
    <w:rsid w:val="7B312348"/>
    <w:rsid w:val="7D7EE203"/>
    <w:rsid w:val="7DDEE067"/>
    <w:rsid w:val="7EDE8A52"/>
    <w:rsid w:val="7FBBF8B8"/>
    <w:rsid w:val="BBA451BE"/>
    <w:rsid w:val="BEAF0EAE"/>
    <w:rsid w:val="CFEE289C"/>
    <w:rsid w:val="E4FA84BA"/>
    <w:rsid w:val="E9EF9F7C"/>
    <w:rsid w:val="EDFBB663"/>
    <w:rsid w:val="FBBD8A35"/>
    <w:rsid w:val="FBDBB91D"/>
    <w:rsid w:val="FFB509D2"/>
    <w:rsid w:val="FFEDF4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styleId="9">
    <w:name w:val="line number"/>
    <w:basedOn w:val="7"/>
    <w:qFormat/>
    <w:uiPriority w:val="0"/>
    <w:rPr>
      <w:rFonts w:hint="default"/>
      <w:sz w:val="22"/>
    </w:rPr>
  </w:style>
  <w:style w:type="character" w:styleId="10">
    <w:name w:val="Hyperlink"/>
    <w:qFormat/>
    <w:uiPriority w:val="0"/>
    <w:rPr>
      <w:rFonts w:hint="default"/>
      <w:sz w:val="22"/>
    </w:rPr>
  </w:style>
  <w:style w:type="character" w:customStyle="1" w:styleId="11">
    <w:name w:val="font01"/>
    <w:basedOn w:val="7"/>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2018-01-31T23:35:00Z</dcterms:created>
  <dc:creator>Administrator</dc:creator>
  <cp:lastModifiedBy>user</cp:lastModifiedBy>
  <dcterms:modified xsi:type="dcterms:W3CDTF">2024-04-16T14:47:25Z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03875049C7FAD213EAA21C66B11EA07D</vt:lpwstr>
  </property>
</Properties>
</file>