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eastAsia="方正小标宋简体"/>
          <w:sz w:val="72"/>
          <w:szCs w:val="72"/>
        </w:rPr>
      </w:pPr>
      <w:bookmarkStart w:id="0" w:name="_Toc15378441"/>
      <w:bookmarkStart w:id="1" w:name="_Toc15396475"/>
      <w:bookmarkStart w:id="2" w:name="_Toc15377193"/>
      <w:bookmarkStart w:id="3" w:name="_Toc15396597"/>
      <w:bookmarkStart w:id="4" w:name="_Toc15377425"/>
      <w:bookmarkStart w:id="5" w:name="_Toc15306267"/>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6" w:name="_Toc909345702"/>
      <w:r>
        <w:rPr>
          <w:rFonts w:hint="eastAsia" w:ascii="方正小标宋简体" w:eastAsia="方正小标宋简体" w:cs="方正小标宋简体"/>
          <w:sz w:val="72"/>
          <w:szCs w:val="72"/>
        </w:rPr>
        <w:t>2022年度</w:t>
      </w:r>
      <w:bookmarkEnd w:id="0"/>
      <w:bookmarkEnd w:id="1"/>
      <w:bookmarkEnd w:id="2"/>
      <w:bookmarkEnd w:id="3"/>
      <w:bookmarkEnd w:id="4"/>
      <w:bookmarkEnd w:id="6"/>
    </w:p>
    <w:bookmarkEnd w:id="5"/>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610536009"/>
      <w:bookmarkStart w:id="8" w:name="_Toc15377194"/>
      <w:bookmarkStart w:id="9" w:name="_Toc15377426"/>
      <w:bookmarkStart w:id="10" w:name="_Toc672083472"/>
      <w:bookmarkStart w:id="11" w:name="_Toc15378442"/>
      <w:bookmarkStart w:id="12" w:name="_Toc32655"/>
      <w:bookmarkStart w:id="13" w:name="_Toc15396476"/>
      <w:bookmarkStart w:id="14" w:name="_Toc15396598"/>
      <w:r>
        <w:rPr>
          <w:rFonts w:hint="eastAsia" w:ascii="方正小标宋简体" w:hAnsi="宋体" w:eastAsia="方正小标宋简体"/>
          <w:color w:val="000000"/>
          <w:spacing w:val="-17"/>
          <w:w w:val="90"/>
          <w:sz w:val="72"/>
          <w:szCs w:val="72"/>
        </w:rPr>
        <w:t>四川省阿坝州</w:t>
      </w:r>
      <w:r>
        <w:rPr>
          <w:rFonts w:hint="eastAsia" w:ascii="方正小标宋简体" w:hAnsi="宋体" w:eastAsia="方正小标宋简体"/>
          <w:color w:val="000000"/>
          <w:spacing w:val="-17"/>
          <w:w w:val="90"/>
          <w:sz w:val="72"/>
          <w:szCs w:val="72"/>
          <w:lang w:eastAsia="zh-CN"/>
        </w:rPr>
        <w:t>红原县</w:t>
      </w:r>
      <w:bookmarkStart w:id="15" w:name="_Toc15306268"/>
      <w:r>
        <w:rPr>
          <w:rFonts w:hint="eastAsia" w:ascii="方正小标宋简体" w:hAnsi="宋体" w:eastAsia="方正小标宋简体"/>
          <w:color w:val="000000"/>
          <w:spacing w:val="-17"/>
          <w:w w:val="90"/>
          <w:sz w:val="72"/>
          <w:szCs w:val="72"/>
          <w:lang w:val="en-US" w:eastAsia="zh-CN"/>
        </w:rPr>
        <w:t>委组织</w:t>
      </w:r>
      <w:r>
        <w:rPr>
          <w:rFonts w:hint="eastAsia" w:ascii="方正小标宋简体" w:hAnsi="宋体" w:eastAsia="方正小标宋简体"/>
          <w:color w:val="000000"/>
          <w:spacing w:val="-17"/>
          <w:w w:val="90"/>
          <w:sz w:val="72"/>
          <w:szCs w:val="72"/>
        </w:rPr>
        <w:t>部</w:t>
      </w:r>
      <w:r>
        <w:rPr>
          <w:rFonts w:hint="eastAsia" w:ascii="方正小标宋简体" w:hAnsi="宋体" w:eastAsia="方正小标宋简体"/>
          <w:color w:val="000000"/>
          <w:sz w:val="72"/>
          <w:szCs w:val="72"/>
          <w:lang w:eastAsia="zh-CN"/>
        </w:rPr>
        <w:t>部</w:t>
      </w:r>
      <w:r>
        <w:rPr>
          <w:rFonts w:hint="eastAsia" w:ascii="方正小标宋简体" w:hAnsi="宋体" w:eastAsia="方正小标宋简体"/>
          <w:color w:val="000000"/>
          <w:sz w:val="72"/>
          <w:szCs w:val="72"/>
        </w:rPr>
        <w:t>门决算</w:t>
      </w:r>
      <w:bookmarkEnd w:id="7"/>
      <w:bookmarkEnd w:id="8"/>
      <w:bookmarkEnd w:id="9"/>
      <w:bookmarkEnd w:id="10"/>
      <w:bookmarkEnd w:id="11"/>
      <w:bookmarkEnd w:id="12"/>
      <w:bookmarkEnd w:id="13"/>
      <w:bookmarkEnd w:id="14"/>
      <w:bookmarkEnd w:id="15"/>
    </w:p>
    <w:p>
      <w:pPr>
        <w:widowControl/>
        <w:jc w:val="center"/>
        <w:rPr>
          <w:rFonts w:hint="eastAsia" w:ascii="黑体" w:eastAsia="黑体"/>
          <w:sz w:val="48"/>
          <w:szCs w:val="48"/>
        </w:rPr>
        <w:sectPr>
          <w:headerReference r:id="rId3" w:type="default"/>
          <w:footerReference r:id="rId4" w:type="default"/>
          <w:pgSz w:w="11906" w:h="16838"/>
          <w:pgMar w:top="1440" w:right="1800" w:bottom="1440" w:left="1800" w:header="851" w:footer="992" w:gutter="0"/>
          <w:pgNumType w:fmt="numberInDash" w:start="1"/>
          <w:cols w:space="720" w:num="1"/>
          <w:titlePg/>
          <w:docGrid w:type="lines" w:linePitch="312" w:charSpace="0"/>
        </w:sectPr>
      </w:pPr>
    </w:p>
    <w:sdt>
      <w:sdtPr>
        <w:rPr>
          <w:rFonts w:hint="eastAsia" w:ascii="方正小标宋简体" w:hAnsi="方正小标宋简体" w:eastAsia="方正小标宋简体" w:cs="方正小标宋简体"/>
          <w:kern w:val="2"/>
          <w:sz w:val="44"/>
          <w:szCs w:val="44"/>
          <w:lang w:val="en-US" w:eastAsia="zh-CN" w:bidi="ar-SA"/>
        </w:rPr>
        <w:id w:val="746874551"/>
        <w15:color w:val="DBDBDB"/>
        <w:docPartObj>
          <w:docPartGallery w:val="Table of Contents"/>
          <w:docPartUnique/>
        </w:docPartObj>
      </w:sdtPr>
      <w:sdtEndPr>
        <w:rPr>
          <w:rFonts w:hint="eastAsia" w:ascii="黑体" w:hAnsi="Times New Roman" w:eastAsia="黑体" w:cs="Times New Roman"/>
          <w:b/>
          <w:bCs/>
          <w:kern w:val="44"/>
          <w:sz w:val="44"/>
          <w:szCs w:val="44"/>
          <w:lang w:val="en-US" w:eastAsia="zh-CN" w:bidi="ar-SA"/>
        </w:rPr>
      </w:sdtEndPr>
      <w:sdtContent>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44"/>
              <w:szCs w:val="44"/>
            </w:rPr>
          </w:pPr>
          <w:bookmarkStart w:id="16" w:name="_Toc15377196"/>
          <w:bookmarkStart w:id="17" w:name="_Toc15396599"/>
          <w:r>
            <w:rPr>
              <w:rFonts w:hint="eastAsia" w:ascii="方正小标宋简体" w:hAnsi="方正小标宋简体" w:eastAsia="方正小标宋简体" w:cs="方正小标宋简体"/>
              <w:sz w:val="44"/>
              <w:szCs w:val="44"/>
            </w:rPr>
            <w:t>目录</w:t>
          </w:r>
        </w:p>
        <w:p>
          <w:pPr>
            <w:spacing w:before="0" w:beforeLines="0" w:after="0" w:afterLines="0" w:line="240" w:lineRule="auto"/>
            <w:ind w:left="0" w:leftChars="0" w:right="0" w:rightChars="0" w:firstLine="0" w:firstLineChars="0"/>
            <w:jc w:val="center"/>
            <w:rPr>
              <w:rFonts w:ascii="宋体" w:hAnsi="宋体" w:eastAsia="宋体"/>
              <w:sz w:val="21"/>
            </w:rPr>
          </w:pPr>
        </w:p>
        <w:p>
          <w:pPr>
            <w:pStyle w:val="31"/>
            <w:tabs>
              <w:tab w:val="right" w:leader="dot" w:pos="8306"/>
            </w:tabs>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val="0"/>
              <w:sz w:val="28"/>
              <w:szCs w:val="28"/>
            </w:rPr>
            <w:fldChar w:fldCharType="begin"/>
          </w:r>
          <w:r>
            <w:rPr>
              <w:rFonts w:hint="eastAsia" w:asciiTheme="minorEastAsia" w:hAnsiTheme="minorEastAsia" w:eastAsiaTheme="minorEastAsia" w:cstheme="minorEastAsia"/>
              <w:b w:val="0"/>
              <w:sz w:val="28"/>
              <w:szCs w:val="28"/>
            </w:rPr>
            <w:instrText xml:space="preserve">TOC \o "1-2" \h \u </w:instrText>
          </w:r>
          <w:r>
            <w:rPr>
              <w:rFonts w:hint="eastAsia" w:asciiTheme="minorEastAsia" w:hAnsiTheme="minorEastAsia" w:eastAsiaTheme="minorEastAsia" w:cstheme="minorEastAsia"/>
              <w:b w:val="0"/>
              <w:sz w:val="28"/>
              <w:szCs w:val="28"/>
            </w:rPr>
            <w:fldChar w:fldCharType="separate"/>
          </w:r>
          <w:r>
            <w:rPr>
              <w:rFonts w:hint="eastAsia" w:asciiTheme="minorEastAsia" w:hAnsiTheme="minorEastAsia" w:eastAsiaTheme="minorEastAsia" w:cstheme="minorEastAsia"/>
              <w:b/>
              <w:sz w:val="28"/>
              <w:szCs w:val="28"/>
            </w:rPr>
            <w:fldChar w:fldCharType="begin"/>
          </w:r>
          <w:r>
            <w:rPr>
              <w:rFonts w:hint="eastAsia" w:asciiTheme="minorEastAsia" w:hAnsiTheme="minorEastAsia" w:eastAsiaTheme="minorEastAsia" w:cstheme="minorEastAsia"/>
              <w:b/>
              <w:sz w:val="28"/>
              <w:szCs w:val="28"/>
            </w:rPr>
            <w:instrText xml:space="preserve"> HYPERLINK \l _Toc807663363 </w:instrText>
          </w:r>
          <w:r>
            <w:rPr>
              <w:rFonts w:hint="eastAsia" w:asciiTheme="minorEastAsia" w:hAnsiTheme="minorEastAsia" w:eastAsiaTheme="minorEastAsia" w:cstheme="minorEastAsia"/>
              <w:b/>
              <w:sz w:val="28"/>
              <w:szCs w:val="28"/>
            </w:rPr>
            <w:fldChar w:fldCharType="separate"/>
          </w:r>
          <w:r>
            <w:rPr>
              <w:rFonts w:hint="eastAsia" w:asciiTheme="minorEastAsia" w:hAnsiTheme="minorEastAsia" w:eastAsiaTheme="minorEastAsia" w:cstheme="minorEastAsia"/>
              <w:b/>
              <w:sz w:val="28"/>
              <w:szCs w:val="28"/>
            </w:rPr>
            <w:t xml:space="preserve">第一部分 </w:t>
          </w:r>
          <w:r>
            <w:rPr>
              <w:rFonts w:hint="eastAsia" w:asciiTheme="minorEastAsia" w:hAnsiTheme="minorEastAsia" w:eastAsiaTheme="minorEastAsia" w:cstheme="minorEastAsia"/>
              <w:b/>
              <w:bCs w:val="0"/>
              <w:sz w:val="28"/>
              <w:szCs w:val="28"/>
            </w:rPr>
            <w:t>部门概况</w:t>
          </w:r>
          <w:r>
            <w:rPr>
              <w:rFonts w:hint="eastAsia" w:asciiTheme="minorEastAsia" w:hAnsiTheme="minorEastAsia" w:eastAsiaTheme="minorEastAsia" w:cstheme="minorEastAsia"/>
              <w:b/>
              <w:sz w:val="28"/>
              <w:szCs w:val="28"/>
            </w:rPr>
            <w:tab/>
          </w:r>
          <w:r>
            <w:rPr>
              <w:rFonts w:hint="eastAsia" w:asciiTheme="minorEastAsia" w:hAnsiTheme="minorEastAsia" w:eastAsiaTheme="minorEastAsia" w:cstheme="minorEastAsia"/>
              <w:b/>
              <w:sz w:val="28"/>
              <w:szCs w:val="28"/>
            </w:rPr>
            <w:fldChar w:fldCharType="begin"/>
          </w:r>
          <w:r>
            <w:rPr>
              <w:rFonts w:hint="eastAsia" w:asciiTheme="minorEastAsia" w:hAnsiTheme="minorEastAsia" w:eastAsiaTheme="minorEastAsia" w:cstheme="minorEastAsia"/>
              <w:b/>
              <w:sz w:val="28"/>
              <w:szCs w:val="28"/>
            </w:rPr>
            <w:instrText xml:space="preserve"> PAGEREF _Toc807663363 \h </w:instrText>
          </w:r>
          <w:r>
            <w:rPr>
              <w:rFonts w:hint="eastAsia" w:asciiTheme="minorEastAsia" w:hAnsiTheme="minorEastAsia" w:eastAsiaTheme="minorEastAsia" w:cstheme="minorEastAsia"/>
              <w:b/>
              <w:sz w:val="28"/>
              <w:szCs w:val="28"/>
            </w:rPr>
            <w:fldChar w:fldCharType="separate"/>
          </w:r>
          <w:r>
            <w:rPr>
              <w:rFonts w:hint="eastAsia" w:asciiTheme="minorEastAsia" w:hAnsiTheme="minorEastAsia" w:eastAsiaTheme="minorEastAsia" w:cstheme="minorEastAsia"/>
              <w:b/>
              <w:sz w:val="28"/>
              <w:szCs w:val="28"/>
            </w:rPr>
            <w:t>- 1 -</w:t>
          </w:r>
          <w:r>
            <w:rPr>
              <w:rFonts w:hint="eastAsia" w:asciiTheme="minorEastAsia" w:hAnsiTheme="minorEastAsia" w:eastAsiaTheme="minorEastAsia" w:cstheme="minorEastAsia"/>
              <w:b/>
              <w:sz w:val="28"/>
              <w:szCs w:val="28"/>
            </w:rPr>
            <w:fldChar w:fldCharType="end"/>
          </w:r>
          <w:r>
            <w:rPr>
              <w:rFonts w:hint="eastAsia" w:asciiTheme="minorEastAsia" w:hAnsiTheme="minorEastAsia" w:eastAsiaTheme="minorEastAsia" w:cstheme="minorEastAsia"/>
              <w:b/>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_Toc1194075686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一、 部门职责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_Toc1194075686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_Toc651278488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二、机</w:t>
          </w:r>
          <w:r>
            <w:rPr>
              <w:rFonts w:hint="eastAsia" w:asciiTheme="minorEastAsia" w:hAnsiTheme="minorEastAsia" w:eastAsiaTheme="minorEastAsia" w:cstheme="minorEastAsia"/>
              <w:bCs w:val="0"/>
              <w:sz w:val="28"/>
              <w:szCs w:val="28"/>
            </w:rPr>
            <w:t>构设置</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_Toc651278488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1"/>
            <w:tabs>
              <w:tab w:val="right" w:leader="dot" w:pos="8306"/>
            </w:tabs>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fldChar w:fldCharType="begin"/>
          </w:r>
          <w:r>
            <w:rPr>
              <w:rFonts w:hint="eastAsia" w:asciiTheme="minorEastAsia" w:hAnsiTheme="minorEastAsia" w:eastAsiaTheme="minorEastAsia" w:cstheme="minorEastAsia"/>
              <w:b/>
              <w:sz w:val="28"/>
              <w:szCs w:val="28"/>
            </w:rPr>
            <w:instrText xml:space="preserve"> HYPERLINK \l _Toc1042884397 </w:instrText>
          </w:r>
          <w:r>
            <w:rPr>
              <w:rFonts w:hint="eastAsia" w:asciiTheme="minorEastAsia" w:hAnsiTheme="minorEastAsia" w:eastAsiaTheme="minorEastAsia" w:cstheme="minorEastAsia"/>
              <w:b/>
              <w:sz w:val="28"/>
              <w:szCs w:val="28"/>
            </w:rPr>
            <w:fldChar w:fldCharType="separate"/>
          </w:r>
          <w:r>
            <w:rPr>
              <w:rFonts w:hint="eastAsia" w:asciiTheme="minorEastAsia" w:hAnsiTheme="minorEastAsia" w:eastAsiaTheme="minorEastAsia" w:cstheme="minorEastAsia"/>
              <w:b/>
              <w:sz w:val="28"/>
              <w:szCs w:val="28"/>
            </w:rPr>
            <w:t>第二部分 2022年度</w:t>
          </w:r>
          <w:r>
            <w:rPr>
              <w:rFonts w:hint="eastAsia" w:asciiTheme="minorEastAsia" w:hAnsiTheme="minorEastAsia" w:eastAsiaTheme="minorEastAsia" w:cstheme="minorEastAsia"/>
              <w:b/>
              <w:bCs/>
              <w:sz w:val="28"/>
              <w:szCs w:val="28"/>
            </w:rPr>
            <w:t>部门决算情况说明</w:t>
          </w:r>
          <w:r>
            <w:rPr>
              <w:rFonts w:hint="eastAsia" w:asciiTheme="minorEastAsia" w:hAnsiTheme="minorEastAsia" w:eastAsiaTheme="minorEastAsia" w:cstheme="minorEastAsia"/>
              <w:b/>
              <w:sz w:val="28"/>
              <w:szCs w:val="28"/>
            </w:rPr>
            <w:tab/>
          </w:r>
          <w:r>
            <w:rPr>
              <w:rFonts w:hint="eastAsia" w:asciiTheme="minorEastAsia" w:hAnsiTheme="minorEastAsia" w:eastAsiaTheme="minorEastAsia" w:cstheme="minorEastAsia"/>
              <w:b/>
              <w:sz w:val="28"/>
              <w:szCs w:val="28"/>
            </w:rPr>
            <w:fldChar w:fldCharType="begin"/>
          </w:r>
          <w:r>
            <w:rPr>
              <w:rFonts w:hint="eastAsia" w:asciiTheme="minorEastAsia" w:hAnsiTheme="minorEastAsia" w:eastAsiaTheme="minorEastAsia" w:cstheme="minorEastAsia"/>
              <w:b/>
              <w:sz w:val="28"/>
              <w:szCs w:val="28"/>
            </w:rPr>
            <w:instrText xml:space="preserve"> PAGEREF _Toc1042884397 \h </w:instrText>
          </w:r>
          <w:r>
            <w:rPr>
              <w:rFonts w:hint="eastAsia" w:asciiTheme="minorEastAsia" w:hAnsiTheme="minorEastAsia" w:eastAsiaTheme="minorEastAsia" w:cstheme="minorEastAsia"/>
              <w:b/>
              <w:sz w:val="28"/>
              <w:szCs w:val="28"/>
            </w:rPr>
            <w:fldChar w:fldCharType="separate"/>
          </w:r>
          <w:r>
            <w:rPr>
              <w:rFonts w:hint="eastAsia" w:asciiTheme="minorEastAsia" w:hAnsiTheme="minorEastAsia" w:eastAsiaTheme="minorEastAsia" w:cstheme="minorEastAsia"/>
              <w:b/>
              <w:sz w:val="28"/>
              <w:szCs w:val="28"/>
            </w:rPr>
            <w:t>- 4 -</w:t>
          </w:r>
          <w:r>
            <w:rPr>
              <w:rFonts w:hint="eastAsia" w:asciiTheme="minorEastAsia" w:hAnsiTheme="minorEastAsia" w:eastAsiaTheme="minorEastAsia" w:cstheme="minorEastAsia"/>
              <w:b/>
              <w:sz w:val="28"/>
              <w:szCs w:val="28"/>
            </w:rPr>
            <w:fldChar w:fldCharType="end"/>
          </w:r>
          <w:r>
            <w:rPr>
              <w:rFonts w:hint="eastAsia" w:asciiTheme="minorEastAsia" w:hAnsiTheme="minorEastAsia" w:eastAsiaTheme="minorEastAsia" w:cstheme="minorEastAsia"/>
              <w:b/>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_Toc989714723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一、 收入支出决算总体情况说明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_Toc989714723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_Toc1185396653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二、 收入决算情况说明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_Toc1185396653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_Toc1423442590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三、 支出决算情况说明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_Toc1423442590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- 5 -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_Toc610978750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四、财政拨款收入支出决算总体情况说明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_Toc610978750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- 6 -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_Toc1956058809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五、一般公共预算财政拨款支出决算情况说明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_Toc1956058809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- 6 -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_Toc1689725701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六、一般公共预算财政拨款基本支出决算情况说明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_Toc1689725701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- 8 -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_Toc1633529904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七、财政拨款“三公”经费支出决算情况说明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_Toc1633529904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- 9 -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_Toc970930124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八、政府性基金预算支出决算情况说明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_Toc970930124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_Toc311872342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九、 国有资本经营预算支出决算情况说明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_Toc311872342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_Toc329557682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十、 其他重要事项的情况说明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_Toc329557682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1"/>
            <w:tabs>
              <w:tab w:val="right" w:leader="dot" w:pos="8306"/>
            </w:tabs>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fldChar w:fldCharType="begin"/>
          </w:r>
          <w:r>
            <w:rPr>
              <w:rFonts w:hint="eastAsia" w:asciiTheme="minorEastAsia" w:hAnsiTheme="minorEastAsia" w:eastAsiaTheme="minorEastAsia" w:cstheme="minorEastAsia"/>
              <w:b/>
              <w:sz w:val="28"/>
              <w:szCs w:val="28"/>
            </w:rPr>
            <w:instrText xml:space="preserve"> HYPERLINK \l _Toc654588456 </w:instrText>
          </w:r>
          <w:r>
            <w:rPr>
              <w:rFonts w:hint="eastAsia" w:asciiTheme="minorEastAsia" w:hAnsiTheme="minorEastAsia" w:eastAsiaTheme="minorEastAsia" w:cstheme="minorEastAsia"/>
              <w:b/>
              <w:sz w:val="28"/>
              <w:szCs w:val="28"/>
            </w:rPr>
            <w:fldChar w:fldCharType="separate"/>
          </w:r>
          <w:r>
            <w:rPr>
              <w:rFonts w:hint="eastAsia" w:asciiTheme="minorEastAsia" w:hAnsiTheme="minorEastAsia" w:eastAsiaTheme="minorEastAsia" w:cstheme="minorEastAsia"/>
              <w:b/>
              <w:sz w:val="28"/>
              <w:szCs w:val="28"/>
            </w:rPr>
            <w:t>第三部分 名词解释</w:t>
          </w:r>
          <w:r>
            <w:rPr>
              <w:rFonts w:hint="eastAsia" w:asciiTheme="minorEastAsia" w:hAnsiTheme="minorEastAsia" w:eastAsiaTheme="minorEastAsia" w:cstheme="minorEastAsia"/>
              <w:b/>
              <w:sz w:val="28"/>
              <w:szCs w:val="28"/>
            </w:rPr>
            <w:tab/>
          </w:r>
          <w:r>
            <w:rPr>
              <w:rFonts w:hint="eastAsia" w:asciiTheme="minorEastAsia" w:hAnsiTheme="minorEastAsia" w:eastAsiaTheme="minorEastAsia" w:cstheme="minorEastAsia"/>
              <w:b/>
              <w:sz w:val="28"/>
              <w:szCs w:val="28"/>
            </w:rPr>
            <w:fldChar w:fldCharType="begin"/>
          </w:r>
          <w:r>
            <w:rPr>
              <w:rFonts w:hint="eastAsia" w:asciiTheme="minorEastAsia" w:hAnsiTheme="minorEastAsia" w:eastAsiaTheme="minorEastAsia" w:cstheme="minorEastAsia"/>
              <w:b/>
              <w:sz w:val="28"/>
              <w:szCs w:val="28"/>
            </w:rPr>
            <w:instrText xml:space="preserve"> PAGEREF _Toc654588456 \h </w:instrText>
          </w:r>
          <w:r>
            <w:rPr>
              <w:rFonts w:hint="eastAsia" w:asciiTheme="minorEastAsia" w:hAnsiTheme="minorEastAsia" w:eastAsiaTheme="minorEastAsia" w:cstheme="minorEastAsia"/>
              <w:b/>
              <w:sz w:val="28"/>
              <w:szCs w:val="28"/>
            </w:rPr>
            <w:fldChar w:fldCharType="separate"/>
          </w:r>
          <w:r>
            <w:rPr>
              <w:rFonts w:hint="eastAsia" w:asciiTheme="minorEastAsia" w:hAnsiTheme="minorEastAsia" w:eastAsiaTheme="minorEastAsia" w:cstheme="minorEastAsia"/>
              <w:b/>
              <w:sz w:val="28"/>
              <w:szCs w:val="28"/>
            </w:rPr>
            <w:t>- 16 -</w:t>
          </w:r>
          <w:r>
            <w:rPr>
              <w:rFonts w:hint="eastAsia" w:asciiTheme="minorEastAsia" w:hAnsiTheme="minorEastAsia" w:eastAsiaTheme="minorEastAsia" w:cstheme="minorEastAsia"/>
              <w:b/>
              <w:sz w:val="28"/>
              <w:szCs w:val="28"/>
            </w:rPr>
            <w:fldChar w:fldCharType="end"/>
          </w:r>
          <w:r>
            <w:rPr>
              <w:rFonts w:hint="eastAsia" w:asciiTheme="minorEastAsia" w:hAnsiTheme="minorEastAsia" w:eastAsiaTheme="minorEastAsia" w:cstheme="minorEastAsia"/>
              <w:b/>
              <w:sz w:val="28"/>
              <w:szCs w:val="28"/>
            </w:rPr>
            <w:fldChar w:fldCharType="end"/>
          </w:r>
        </w:p>
        <w:p>
          <w:pPr>
            <w:pStyle w:val="31"/>
            <w:tabs>
              <w:tab w:val="right" w:leader="dot" w:pos="8306"/>
            </w:tabs>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fldChar w:fldCharType="begin"/>
          </w:r>
          <w:r>
            <w:rPr>
              <w:rFonts w:hint="eastAsia" w:asciiTheme="minorEastAsia" w:hAnsiTheme="minorEastAsia" w:eastAsiaTheme="minorEastAsia" w:cstheme="minorEastAsia"/>
              <w:b/>
              <w:sz w:val="28"/>
              <w:szCs w:val="28"/>
            </w:rPr>
            <w:instrText xml:space="preserve"> HYPERLINK \l _Toc346279852 </w:instrText>
          </w:r>
          <w:r>
            <w:rPr>
              <w:rFonts w:hint="eastAsia" w:asciiTheme="minorEastAsia" w:hAnsiTheme="minorEastAsia" w:eastAsiaTheme="minorEastAsia" w:cstheme="minorEastAsia"/>
              <w:b/>
              <w:sz w:val="28"/>
              <w:szCs w:val="28"/>
            </w:rPr>
            <w:fldChar w:fldCharType="separate"/>
          </w:r>
          <w:r>
            <w:rPr>
              <w:rFonts w:hint="eastAsia" w:asciiTheme="minorEastAsia" w:hAnsiTheme="minorEastAsia" w:eastAsiaTheme="minorEastAsia" w:cstheme="minorEastAsia"/>
              <w:b/>
              <w:sz w:val="28"/>
              <w:szCs w:val="28"/>
            </w:rPr>
            <w:t>第四部分 附件</w:t>
          </w:r>
          <w:r>
            <w:rPr>
              <w:rFonts w:hint="eastAsia" w:asciiTheme="minorEastAsia" w:hAnsiTheme="minorEastAsia" w:eastAsiaTheme="minorEastAsia" w:cstheme="minorEastAsia"/>
              <w:b/>
              <w:sz w:val="28"/>
              <w:szCs w:val="28"/>
            </w:rPr>
            <w:tab/>
          </w:r>
          <w:r>
            <w:rPr>
              <w:rFonts w:hint="eastAsia" w:asciiTheme="minorEastAsia" w:hAnsiTheme="minorEastAsia" w:eastAsiaTheme="minorEastAsia" w:cstheme="minorEastAsia"/>
              <w:b/>
              <w:sz w:val="28"/>
              <w:szCs w:val="28"/>
            </w:rPr>
            <w:fldChar w:fldCharType="begin"/>
          </w:r>
          <w:r>
            <w:rPr>
              <w:rFonts w:hint="eastAsia" w:asciiTheme="minorEastAsia" w:hAnsiTheme="minorEastAsia" w:eastAsiaTheme="minorEastAsia" w:cstheme="minorEastAsia"/>
              <w:b/>
              <w:sz w:val="28"/>
              <w:szCs w:val="28"/>
            </w:rPr>
            <w:instrText xml:space="preserve"> PAGEREF _Toc346279852 \h </w:instrText>
          </w:r>
          <w:r>
            <w:rPr>
              <w:rFonts w:hint="eastAsia" w:asciiTheme="minorEastAsia" w:hAnsiTheme="minorEastAsia" w:eastAsiaTheme="minorEastAsia" w:cstheme="minorEastAsia"/>
              <w:b/>
              <w:sz w:val="28"/>
              <w:szCs w:val="28"/>
            </w:rPr>
            <w:fldChar w:fldCharType="separate"/>
          </w:r>
          <w:r>
            <w:rPr>
              <w:rFonts w:hint="eastAsia" w:asciiTheme="minorEastAsia" w:hAnsiTheme="minorEastAsia" w:eastAsiaTheme="minorEastAsia" w:cstheme="minorEastAsia"/>
              <w:b/>
              <w:sz w:val="28"/>
              <w:szCs w:val="28"/>
            </w:rPr>
            <w:t>- 19 -</w:t>
          </w:r>
          <w:r>
            <w:rPr>
              <w:rFonts w:hint="eastAsia" w:asciiTheme="minorEastAsia" w:hAnsiTheme="minorEastAsia" w:eastAsiaTheme="minorEastAsia" w:cstheme="minorEastAsia"/>
              <w:b/>
              <w:sz w:val="28"/>
              <w:szCs w:val="28"/>
            </w:rPr>
            <w:fldChar w:fldCharType="end"/>
          </w:r>
          <w:r>
            <w:rPr>
              <w:rFonts w:hint="eastAsia" w:asciiTheme="minorEastAsia" w:hAnsiTheme="minorEastAsia" w:eastAsiaTheme="minorEastAsia" w:cstheme="minorEastAsia"/>
              <w:b/>
              <w:sz w:val="28"/>
              <w:szCs w:val="28"/>
            </w:rPr>
            <w:fldChar w:fldCharType="end"/>
          </w:r>
        </w:p>
        <w:p>
          <w:pPr>
            <w:pStyle w:val="31"/>
            <w:tabs>
              <w:tab w:val="right" w:leader="dot" w:pos="8306"/>
            </w:tabs>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fldChar w:fldCharType="begin"/>
          </w:r>
          <w:r>
            <w:rPr>
              <w:rFonts w:hint="eastAsia" w:asciiTheme="minorEastAsia" w:hAnsiTheme="minorEastAsia" w:eastAsiaTheme="minorEastAsia" w:cstheme="minorEastAsia"/>
              <w:b/>
              <w:sz w:val="28"/>
              <w:szCs w:val="28"/>
            </w:rPr>
            <w:instrText xml:space="preserve"> HYPERLINK \l _Toc443910203 </w:instrText>
          </w:r>
          <w:r>
            <w:rPr>
              <w:rFonts w:hint="eastAsia" w:asciiTheme="minorEastAsia" w:hAnsiTheme="minorEastAsia" w:eastAsiaTheme="minorEastAsia" w:cstheme="minorEastAsia"/>
              <w:b/>
              <w:sz w:val="28"/>
              <w:szCs w:val="28"/>
            </w:rPr>
            <w:fldChar w:fldCharType="separate"/>
          </w:r>
          <w:r>
            <w:rPr>
              <w:rFonts w:hint="eastAsia" w:asciiTheme="minorEastAsia" w:hAnsiTheme="minorEastAsia" w:eastAsiaTheme="minorEastAsia" w:cstheme="minorEastAsia"/>
              <w:b/>
              <w:sz w:val="28"/>
              <w:szCs w:val="28"/>
            </w:rPr>
            <w:t>附件</w:t>
          </w:r>
          <w:r>
            <w:rPr>
              <w:rFonts w:hint="eastAsia" w:asciiTheme="minorEastAsia" w:hAnsiTheme="minorEastAsia" w:eastAsiaTheme="minorEastAsia" w:cstheme="minorEastAsia"/>
              <w:b/>
              <w:sz w:val="28"/>
              <w:szCs w:val="28"/>
            </w:rPr>
            <w:tab/>
          </w:r>
          <w:r>
            <w:rPr>
              <w:rFonts w:hint="eastAsia" w:asciiTheme="minorEastAsia" w:hAnsiTheme="minorEastAsia" w:eastAsiaTheme="minorEastAsia" w:cstheme="minorEastAsia"/>
              <w:b/>
              <w:sz w:val="28"/>
              <w:szCs w:val="28"/>
            </w:rPr>
            <w:fldChar w:fldCharType="begin"/>
          </w:r>
          <w:r>
            <w:rPr>
              <w:rFonts w:hint="eastAsia" w:asciiTheme="minorEastAsia" w:hAnsiTheme="minorEastAsia" w:eastAsiaTheme="minorEastAsia" w:cstheme="minorEastAsia"/>
              <w:b/>
              <w:sz w:val="28"/>
              <w:szCs w:val="28"/>
            </w:rPr>
            <w:instrText xml:space="preserve"> PAGEREF _Toc443910203 \h </w:instrText>
          </w:r>
          <w:r>
            <w:rPr>
              <w:rFonts w:hint="eastAsia" w:asciiTheme="minorEastAsia" w:hAnsiTheme="minorEastAsia" w:eastAsiaTheme="minorEastAsia" w:cstheme="minorEastAsia"/>
              <w:b/>
              <w:sz w:val="28"/>
              <w:szCs w:val="28"/>
            </w:rPr>
            <w:fldChar w:fldCharType="separate"/>
          </w:r>
          <w:r>
            <w:rPr>
              <w:rFonts w:hint="eastAsia" w:asciiTheme="minorEastAsia" w:hAnsiTheme="minorEastAsia" w:eastAsiaTheme="minorEastAsia" w:cstheme="minorEastAsia"/>
              <w:b/>
              <w:sz w:val="28"/>
              <w:szCs w:val="28"/>
            </w:rPr>
            <w:t>- 19 -</w:t>
          </w:r>
          <w:r>
            <w:rPr>
              <w:rFonts w:hint="eastAsia" w:asciiTheme="minorEastAsia" w:hAnsiTheme="minorEastAsia" w:eastAsiaTheme="minorEastAsia" w:cstheme="minorEastAsia"/>
              <w:b/>
              <w:sz w:val="28"/>
              <w:szCs w:val="28"/>
            </w:rPr>
            <w:fldChar w:fldCharType="end"/>
          </w:r>
          <w:r>
            <w:rPr>
              <w:rFonts w:hint="eastAsia" w:asciiTheme="minorEastAsia" w:hAnsiTheme="minorEastAsia" w:eastAsiaTheme="minorEastAsia" w:cstheme="minorEastAsia"/>
              <w:b/>
              <w:sz w:val="28"/>
              <w:szCs w:val="28"/>
            </w:rPr>
            <w:fldChar w:fldCharType="end"/>
          </w:r>
        </w:p>
        <w:p>
          <w:pPr>
            <w:pStyle w:val="31"/>
            <w:tabs>
              <w:tab w:val="right" w:leader="dot" w:pos="8306"/>
            </w:tabs>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fldChar w:fldCharType="begin"/>
          </w:r>
          <w:r>
            <w:rPr>
              <w:rFonts w:hint="eastAsia" w:asciiTheme="minorEastAsia" w:hAnsiTheme="minorEastAsia" w:eastAsiaTheme="minorEastAsia" w:cstheme="minorEastAsia"/>
              <w:b/>
              <w:sz w:val="28"/>
              <w:szCs w:val="28"/>
            </w:rPr>
            <w:instrText xml:space="preserve"> HYPERLINK \l _Toc54976256 </w:instrText>
          </w:r>
          <w:r>
            <w:rPr>
              <w:rFonts w:hint="eastAsia" w:asciiTheme="minorEastAsia" w:hAnsiTheme="minorEastAsia" w:eastAsiaTheme="minorEastAsia" w:cstheme="minorEastAsia"/>
              <w:b/>
              <w:sz w:val="28"/>
              <w:szCs w:val="28"/>
            </w:rPr>
            <w:fldChar w:fldCharType="separate"/>
          </w:r>
          <w:r>
            <w:rPr>
              <w:rFonts w:hint="eastAsia" w:asciiTheme="minorEastAsia" w:hAnsiTheme="minorEastAsia" w:eastAsiaTheme="minorEastAsia" w:cstheme="minorEastAsia"/>
              <w:b/>
              <w:sz w:val="28"/>
              <w:szCs w:val="28"/>
            </w:rPr>
            <w:t>第五部分 附表</w:t>
          </w:r>
          <w:r>
            <w:rPr>
              <w:rFonts w:hint="eastAsia" w:asciiTheme="minorEastAsia" w:hAnsiTheme="minorEastAsia" w:eastAsiaTheme="minorEastAsia" w:cstheme="minorEastAsia"/>
              <w:b/>
              <w:sz w:val="28"/>
              <w:szCs w:val="28"/>
            </w:rPr>
            <w:tab/>
          </w:r>
          <w:r>
            <w:rPr>
              <w:rFonts w:hint="eastAsia" w:asciiTheme="minorEastAsia" w:hAnsiTheme="minorEastAsia" w:eastAsiaTheme="minorEastAsia" w:cstheme="minorEastAsia"/>
              <w:b/>
              <w:sz w:val="28"/>
              <w:szCs w:val="28"/>
            </w:rPr>
            <w:fldChar w:fldCharType="begin"/>
          </w:r>
          <w:r>
            <w:rPr>
              <w:rFonts w:hint="eastAsia" w:asciiTheme="minorEastAsia" w:hAnsiTheme="minorEastAsia" w:eastAsiaTheme="minorEastAsia" w:cstheme="minorEastAsia"/>
              <w:b/>
              <w:sz w:val="28"/>
              <w:szCs w:val="28"/>
            </w:rPr>
            <w:instrText xml:space="preserve"> PAGEREF _Toc54976256 \h </w:instrText>
          </w:r>
          <w:r>
            <w:rPr>
              <w:rFonts w:hint="eastAsia" w:asciiTheme="minorEastAsia" w:hAnsiTheme="minorEastAsia" w:eastAsiaTheme="minorEastAsia" w:cstheme="minorEastAsia"/>
              <w:b/>
              <w:sz w:val="28"/>
              <w:szCs w:val="28"/>
            </w:rPr>
            <w:fldChar w:fldCharType="separate"/>
          </w:r>
          <w:r>
            <w:rPr>
              <w:rFonts w:hint="eastAsia" w:asciiTheme="minorEastAsia" w:hAnsiTheme="minorEastAsia" w:eastAsiaTheme="minorEastAsia" w:cstheme="minorEastAsia"/>
              <w:b/>
              <w:sz w:val="28"/>
              <w:szCs w:val="28"/>
            </w:rPr>
            <w:t>- 23 -</w:t>
          </w:r>
          <w:r>
            <w:rPr>
              <w:rFonts w:hint="eastAsia" w:asciiTheme="minorEastAsia" w:hAnsiTheme="minorEastAsia" w:eastAsiaTheme="minorEastAsia" w:cstheme="minorEastAsia"/>
              <w:b/>
              <w:sz w:val="28"/>
              <w:szCs w:val="28"/>
            </w:rPr>
            <w:fldChar w:fldCharType="end"/>
          </w:r>
          <w:r>
            <w:rPr>
              <w:rFonts w:hint="eastAsia" w:asciiTheme="minorEastAsia" w:hAnsiTheme="minorEastAsia" w:eastAsiaTheme="minorEastAsia" w:cstheme="minorEastAsia"/>
              <w:b/>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_Toc273163054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一、收</w:t>
          </w:r>
          <w:r>
            <w:rPr>
              <w:rFonts w:hint="eastAsia" w:asciiTheme="minorEastAsia" w:hAnsiTheme="minorEastAsia" w:eastAsiaTheme="minorEastAsia" w:cstheme="minorEastAsia"/>
              <w:bCs w:val="0"/>
              <w:sz w:val="28"/>
              <w:szCs w:val="28"/>
            </w:rPr>
            <w:t>入支出决算总表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_Toc273163054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_Toc1215548876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二、收</w:t>
          </w:r>
          <w:r>
            <w:rPr>
              <w:rFonts w:hint="eastAsia" w:asciiTheme="minorEastAsia" w:hAnsiTheme="minorEastAsia" w:eastAsiaTheme="minorEastAsia" w:cstheme="minorEastAsia"/>
              <w:bCs w:val="0"/>
              <w:sz w:val="28"/>
              <w:szCs w:val="28"/>
            </w:rPr>
            <w:t>入决算表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_Toc1215548876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_Toc203688948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Cs w:val="0"/>
              <w:sz w:val="28"/>
              <w:szCs w:val="28"/>
            </w:rPr>
            <w:t>三、</w:t>
          </w:r>
          <w:r>
            <w:rPr>
              <w:rFonts w:hint="eastAsia" w:asciiTheme="minorEastAsia" w:hAnsiTheme="minorEastAsia" w:eastAsiaTheme="minorEastAsia" w:cstheme="minorEastAsia"/>
              <w:sz w:val="28"/>
              <w:szCs w:val="28"/>
            </w:rPr>
            <w:t>支</w:t>
          </w:r>
          <w:r>
            <w:rPr>
              <w:rFonts w:hint="eastAsia" w:asciiTheme="minorEastAsia" w:hAnsiTheme="minorEastAsia" w:eastAsiaTheme="minorEastAsia" w:cstheme="minorEastAsia"/>
              <w:bCs w:val="0"/>
              <w:sz w:val="28"/>
              <w:szCs w:val="28"/>
            </w:rPr>
            <w:t>出决算表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_Toc203688948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_Toc1379560228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Cs w:val="0"/>
              <w:sz w:val="28"/>
              <w:szCs w:val="28"/>
            </w:rPr>
            <w:t>四、</w:t>
          </w:r>
          <w:r>
            <w:rPr>
              <w:rFonts w:hint="eastAsia" w:asciiTheme="minorEastAsia" w:hAnsiTheme="minorEastAsia" w:eastAsiaTheme="minorEastAsia" w:cstheme="minorEastAsia"/>
              <w:sz w:val="28"/>
              <w:szCs w:val="28"/>
            </w:rPr>
            <w:t>财</w:t>
          </w:r>
          <w:r>
            <w:rPr>
              <w:rFonts w:hint="eastAsia" w:asciiTheme="minorEastAsia" w:hAnsiTheme="minorEastAsia" w:eastAsiaTheme="minorEastAsia" w:cstheme="minorEastAsia"/>
              <w:bCs w:val="0"/>
              <w:sz w:val="28"/>
              <w:szCs w:val="28"/>
            </w:rPr>
            <w:t>政拨款收入支出决算总表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_Toc1379560228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_Toc1835811576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Cs w:val="0"/>
              <w:sz w:val="28"/>
              <w:szCs w:val="28"/>
            </w:rPr>
            <w:t>五、</w:t>
          </w:r>
          <w:r>
            <w:rPr>
              <w:rFonts w:hint="eastAsia" w:asciiTheme="minorEastAsia" w:hAnsiTheme="minorEastAsia" w:eastAsiaTheme="minorEastAsia" w:cstheme="minorEastAsia"/>
              <w:sz w:val="28"/>
              <w:szCs w:val="28"/>
            </w:rPr>
            <w:t>财</w:t>
          </w:r>
          <w:r>
            <w:rPr>
              <w:rFonts w:hint="eastAsia" w:asciiTheme="minorEastAsia" w:hAnsiTheme="minorEastAsia" w:eastAsiaTheme="minorEastAsia" w:cstheme="minorEastAsia"/>
              <w:bCs w:val="0"/>
              <w:sz w:val="28"/>
              <w:szCs w:val="28"/>
            </w:rPr>
            <w:t>政拨款支出决算明细表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_Toc1835811576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_Toc265366069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Cs w:val="0"/>
              <w:sz w:val="28"/>
              <w:szCs w:val="28"/>
            </w:rPr>
            <w:t>六、</w:t>
          </w:r>
          <w:r>
            <w:rPr>
              <w:rFonts w:hint="eastAsia" w:asciiTheme="minorEastAsia" w:hAnsiTheme="minorEastAsia" w:eastAsiaTheme="minorEastAsia" w:cstheme="minorEastAsia"/>
              <w:sz w:val="28"/>
              <w:szCs w:val="28"/>
            </w:rPr>
            <w:t>一</w:t>
          </w:r>
          <w:r>
            <w:rPr>
              <w:rFonts w:hint="eastAsia" w:asciiTheme="minorEastAsia" w:hAnsiTheme="minorEastAsia" w:eastAsiaTheme="minorEastAsia" w:cstheme="minorEastAsia"/>
              <w:bCs w:val="0"/>
              <w:sz w:val="28"/>
              <w:szCs w:val="28"/>
            </w:rPr>
            <w:t>般公共预算财政拨款支出决算表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_Toc265366069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_Toc1154336988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Cs w:val="0"/>
              <w:sz w:val="28"/>
              <w:szCs w:val="28"/>
            </w:rPr>
            <w:t>七、</w:t>
          </w:r>
          <w:r>
            <w:rPr>
              <w:rFonts w:hint="eastAsia" w:asciiTheme="minorEastAsia" w:hAnsiTheme="minorEastAsia" w:eastAsiaTheme="minorEastAsia" w:cstheme="minorEastAsia"/>
              <w:sz w:val="28"/>
              <w:szCs w:val="28"/>
            </w:rPr>
            <w:t>一</w:t>
          </w:r>
          <w:r>
            <w:rPr>
              <w:rFonts w:hint="eastAsia" w:asciiTheme="minorEastAsia" w:hAnsiTheme="minorEastAsia" w:eastAsiaTheme="minorEastAsia" w:cstheme="minorEastAsia"/>
              <w:bCs w:val="0"/>
              <w:sz w:val="28"/>
              <w:szCs w:val="28"/>
            </w:rPr>
            <w:t>般公共预算财政拨款支出决算明细表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_Toc1154336988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_Toc1939800245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Cs w:val="0"/>
              <w:sz w:val="28"/>
              <w:szCs w:val="28"/>
            </w:rPr>
            <w:t>八、</w:t>
          </w:r>
          <w:r>
            <w:rPr>
              <w:rFonts w:hint="eastAsia" w:asciiTheme="minorEastAsia" w:hAnsiTheme="minorEastAsia" w:eastAsiaTheme="minorEastAsia" w:cstheme="minorEastAsia"/>
              <w:sz w:val="28"/>
              <w:szCs w:val="28"/>
            </w:rPr>
            <w:t>一</w:t>
          </w:r>
          <w:r>
            <w:rPr>
              <w:rFonts w:hint="eastAsia" w:asciiTheme="minorEastAsia" w:hAnsiTheme="minorEastAsia" w:eastAsiaTheme="minorEastAsia" w:cstheme="minorEastAsia"/>
              <w:bCs w:val="0"/>
              <w:sz w:val="28"/>
              <w:szCs w:val="28"/>
            </w:rPr>
            <w:t>般公共预算财政拨款基本支出决算表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_Toc1939800245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_Toc1699375803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Cs w:val="0"/>
              <w:sz w:val="28"/>
              <w:szCs w:val="28"/>
            </w:rPr>
            <w:t>九、</w:t>
          </w:r>
          <w:r>
            <w:rPr>
              <w:rFonts w:hint="eastAsia" w:asciiTheme="minorEastAsia" w:hAnsiTheme="minorEastAsia" w:eastAsiaTheme="minorEastAsia" w:cstheme="minorEastAsia"/>
              <w:sz w:val="28"/>
              <w:szCs w:val="28"/>
            </w:rPr>
            <w:t>一</w:t>
          </w:r>
          <w:r>
            <w:rPr>
              <w:rFonts w:hint="eastAsia" w:asciiTheme="minorEastAsia" w:hAnsiTheme="minorEastAsia" w:eastAsiaTheme="minorEastAsia" w:cstheme="minorEastAsia"/>
              <w:bCs w:val="0"/>
              <w:sz w:val="28"/>
              <w:szCs w:val="28"/>
            </w:rPr>
            <w:t>般公共预算财政拨款项目支出决算表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_Toc1699375803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_Toc2063682690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Cs w:val="0"/>
              <w:sz w:val="28"/>
              <w:szCs w:val="28"/>
            </w:rPr>
            <w:t>十、</w:t>
          </w:r>
          <w:r>
            <w:rPr>
              <w:rFonts w:hint="eastAsia" w:asciiTheme="minorEastAsia" w:hAnsiTheme="minorEastAsia" w:eastAsiaTheme="minorEastAsia" w:cstheme="minorEastAsia"/>
              <w:sz w:val="28"/>
              <w:szCs w:val="28"/>
            </w:rPr>
            <w:t>政</w:t>
          </w:r>
          <w:r>
            <w:rPr>
              <w:rFonts w:hint="eastAsia" w:asciiTheme="minorEastAsia" w:hAnsiTheme="minorEastAsia" w:eastAsiaTheme="minorEastAsia" w:cstheme="minorEastAsia"/>
              <w:bCs w:val="0"/>
              <w:sz w:val="28"/>
              <w:szCs w:val="28"/>
            </w:rPr>
            <w:t>府性基金预算财政拨款收入支出决算表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_Toc2063682690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_Toc402852606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Cs w:val="0"/>
              <w:sz w:val="28"/>
              <w:szCs w:val="28"/>
            </w:rPr>
            <w:t>十一、</w:t>
          </w:r>
          <w:r>
            <w:rPr>
              <w:rFonts w:hint="eastAsia" w:asciiTheme="minorEastAsia" w:hAnsiTheme="minorEastAsia" w:eastAsiaTheme="minorEastAsia" w:cstheme="minorEastAsia"/>
              <w:sz w:val="28"/>
              <w:szCs w:val="28"/>
            </w:rPr>
            <w:t>国</w:t>
          </w:r>
          <w:r>
            <w:rPr>
              <w:rFonts w:hint="eastAsia" w:asciiTheme="minorEastAsia" w:hAnsiTheme="minorEastAsia" w:eastAsiaTheme="minorEastAsia" w:cstheme="minorEastAsia"/>
              <w:bCs w:val="0"/>
              <w:sz w:val="28"/>
              <w:szCs w:val="28"/>
            </w:rPr>
            <w:t>有资本经营预算财政拨款收入支出决算表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_Toc402852606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_Toc359555519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Cs w:val="0"/>
              <w:sz w:val="28"/>
              <w:szCs w:val="28"/>
            </w:rPr>
            <w:t>十二、国有资本经营预算财政拨款支出决算表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_Toc359555519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32"/>
            <w:tabs>
              <w:tab w:val="right" w:leader="do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_Toc1110274729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Cs w:val="0"/>
              <w:sz w:val="28"/>
              <w:szCs w:val="28"/>
            </w:rPr>
            <w:t>十三、财政拨款“三公”经费支出决算表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_Toc1110274729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
            <w:jc w:val="center"/>
            <w:outlineLvl w:val="9"/>
            <w:rPr>
              <w:rFonts w:hint="eastAsia"/>
            </w:rPr>
            <w:sectPr>
              <w:footerReference r:id="rId5" w:type="default"/>
              <w:pgSz w:w="11906" w:h="16838"/>
              <w:pgMar w:top="1440" w:right="1800" w:bottom="1440" w:left="1800" w:header="851" w:footer="992" w:gutter="0"/>
              <w:pgNumType w:fmt="numberInDash" w:start="1"/>
              <w:cols w:space="720" w:num="1"/>
              <w:docGrid w:type="lines" w:linePitch="312" w:charSpace="0"/>
            </w:sectPr>
          </w:pPr>
          <w:r>
            <w:rPr>
              <w:rFonts w:hint="eastAsia" w:asciiTheme="minorEastAsia" w:hAnsiTheme="minorEastAsia" w:eastAsiaTheme="minorEastAsia" w:cstheme="minorEastAsia"/>
              <w:b/>
              <w:sz w:val="28"/>
              <w:szCs w:val="28"/>
            </w:rPr>
            <w:fldChar w:fldCharType="end"/>
          </w:r>
        </w:p>
      </w:sdtContent>
    </w:sdt>
    <w:p>
      <w:pPr>
        <w:pStyle w:val="2"/>
        <w:jc w:val="center"/>
        <w:rPr>
          <w:rStyle w:val="20"/>
          <w:rFonts w:ascii="黑体" w:eastAsia="黑体"/>
          <w:b/>
          <w:bCs w:val="0"/>
        </w:rPr>
      </w:pPr>
      <w:bookmarkStart w:id="18" w:name="_Toc807663363"/>
      <w:r>
        <w:rPr>
          <w:rFonts w:hint="eastAsia" w:ascii="黑体" w:eastAsia="黑体"/>
          <w:b w:val="0"/>
        </w:rPr>
        <w:t xml:space="preserve">第一部分 </w:t>
      </w:r>
      <w:r>
        <w:rPr>
          <w:rStyle w:val="20"/>
          <w:rFonts w:hint="eastAsia" w:ascii="黑体" w:eastAsia="黑体"/>
          <w:b w:val="0"/>
          <w:bCs w:val="0"/>
        </w:rPr>
        <w:t>部门概况</w:t>
      </w:r>
      <w:bookmarkEnd w:id="16"/>
      <w:bookmarkEnd w:id="17"/>
      <w:bookmarkEnd w:id="18"/>
    </w:p>
    <w:p>
      <w:pPr>
        <w:widowControl/>
        <w:jc w:val="left"/>
        <w:rPr>
          <w:rFonts w:ascii="黑体" w:eastAsia="黑体"/>
          <w:sz w:val="32"/>
          <w:szCs w:val="32"/>
        </w:rPr>
      </w:pPr>
    </w:p>
    <w:p>
      <w:pPr>
        <w:pStyle w:val="3"/>
        <w:numPr>
          <w:ilvl w:val="0"/>
          <w:numId w:val="1"/>
        </w:numPr>
        <w:rPr>
          <w:rFonts w:hint="eastAsia" w:ascii="黑体" w:eastAsia="黑体"/>
          <w:b w:val="0"/>
        </w:rPr>
      </w:pPr>
      <w:bookmarkStart w:id="19" w:name="_Toc1194075686"/>
      <w:r>
        <w:rPr>
          <w:rFonts w:hint="eastAsia" w:ascii="黑体" w:eastAsia="黑体"/>
          <w:b w:val="0"/>
        </w:rPr>
        <w:t>部门职责</w:t>
      </w:r>
      <w:bookmarkEnd w:id="19"/>
    </w:p>
    <w:p>
      <w:pPr>
        <w:pStyle w:val="5"/>
        <w:keepNext w:val="0"/>
        <w:keepLines w:val="0"/>
        <w:pageBreakBefore w:val="0"/>
        <w:widowControl w:val="0"/>
        <w:kinsoku/>
        <w:wordWrap/>
        <w:overflowPunct/>
        <w:topLinePunct w:val="0"/>
        <w:autoSpaceDE/>
        <w:autoSpaceDN/>
        <w:bidi w:val="0"/>
        <w:adjustRightInd w:val="0"/>
        <w:snapToGrid w:val="0"/>
        <w:spacing w:beforeLines="0" w:line="576" w:lineRule="exact"/>
        <w:ind w:left="0" w:leftChars="0" w:right="0" w:rightChars="0" w:firstLine="642" w:firstLineChars="200"/>
        <w:textAlignment w:val="auto"/>
        <w:rPr>
          <w:rFonts w:hint="eastAsia" w:eastAsia="仿宋_GB2312"/>
          <w:b/>
          <w:bCs w:val="0"/>
          <w:sz w:val="32"/>
          <w:szCs w:val="32"/>
          <w:lang w:eastAsia="zh-CN"/>
        </w:rPr>
      </w:pPr>
      <w:r>
        <w:rPr>
          <w:rFonts w:hint="eastAsia"/>
          <w:b/>
          <w:bCs w:val="0"/>
          <w:sz w:val="32"/>
          <w:szCs w:val="32"/>
        </w:rPr>
        <w:t>县委组织部</w:t>
      </w:r>
      <w:r>
        <w:rPr>
          <w:rFonts w:hint="eastAsia"/>
          <w:b/>
          <w:bCs w:val="0"/>
          <w:sz w:val="32"/>
          <w:szCs w:val="32"/>
          <w:lang w:val="en-US" w:eastAsia="zh-CN"/>
        </w:rPr>
        <w:t>的</w:t>
      </w:r>
      <w:r>
        <w:rPr>
          <w:rFonts w:hint="eastAsia"/>
          <w:b/>
          <w:bCs w:val="0"/>
          <w:sz w:val="32"/>
          <w:szCs w:val="32"/>
          <w:lang w:eastAsia="zh-CN"/>
        </w:rPr>
        <w:t>主要</w:t>
      </w:r>
      <w:r>
        <w:rPr>
          <w:rFonts w:hint="eastAsia"/>
          <w:b/>
          <w:bCs w:val="0"/>
          <w:sz w:val="32"/>
          <w:szCs w:val="32"/>
          <w:lang w:val="en-US" w:eastAsia="zh-CN"/>
        </w:rPr>
        <w:t>职责是</w:t>
      </w:r>
      <w:r>
        <w:rPr>
          <w:rFonts w:hint="eastAsia"/>
          <w:b/>
          <w:bCs w:val="0"/>
          <w:sz w:val="32"/>
          <w:szCs w:val="32"/>
          <w:lang w:eastAsia="zh-CN"/>
        </w:rPr>
        <w:t>：</w:t>
      </w:r>
    </w:p>
    <w:p>
      <w:pPr>
        <w:pStyle w:val="5"/>
        <w:keepNext w:val="0"/>
        <w:keepLines w:val="0"/>
        <w:pageBreakBefore w:val="0"/>
        <w:widowControl w:val="0"/>
        <w:kinsoku/>
        <w:wordWrap/>
        <w:overflowPunct/>
        <w:topLinePunct w:val="0"/>
        <w:autoSpaceDE/>
        <w:autoSpaceDN/>
        <w:bidi w:val="0"/>
        <w:adjustRightInd w:val="0"/>
        <w:snapToGrid w:val="0"/>
        <w:spacing w:beforeLines="0" w:line="576" w:lineRule="exact"/>
        <w:ind w:left="0" w:leftChars="0" w:right="0" w:rightChars="0" w:firstLine="640" w:firstLineChars="200"/>
        <w:textAlignment w:val="auto"/>
        <w:rPr>
          <w:rFonts w:hint="eastAsia"/>
          <w:bCs/>
          <w:sz w:val="32"/>
          <w:szCs w:val="32"/>
        </w:rPr>
      </w:pPr>
      <w:r>
        <w:rPr>
          <w:rFonts w:hint="eastAsia"/>
          <w:bCs/>
          <w:sz w:val="32"/>
          <w:szCs w:val="32"/>
          <w:lang w:val="en-US" w:eastAsia="zh-CN"/>
        </w:rPr>
        <w:t>1.</w:t>
      </w:r>
      <w:r>
        <w:rPr>
          <w:rFonts w:hint="eastAsia"/>
          <w:bCs/>
          <w:sz w:val="32"/>
          <w:szCs w:val="32"/>
        </w:rPr>
        <w:t>负责全县的组织体系、组织制度建设，负责基层党组织建设规划指导和党员队伍宏观管理，指导开展党员教育工作。指导全县基层党组织的思想、作风和组织建设。落实党内组织生活的各项制度；组织发展新党员工作，落实党员队伍建设工作；审核基层党组织设置，理顺党组织的管理隶属关系；负责全县党费的收缴、使用和管理。</w:t>
      </w:r>
    </w:p>
    <w:p>
      <w:pPr>
        <w:pStyle w:val="5"/>
        <w:keepNext w:val="0"/>
        <w:keepLines w:val="0"/>
        <w:pageBreakBefore w:val="0"/>
        <w:widowControl w:val="0"/>
        <w:kinsoku/>
        <w:wordWrap/>
        <w:overflowPunct/>
        <w:topLinePunct w:val="0"/>
        <w:autoSpaceDE/>
        <w:autoSpaceDN/>
        <w:bidi w:val="0"/>
        <w:adjustRightInd w:val="0"/>
        <w:snapToGrid w:val="0"/>
        <w:spacing w:beforeLines="0" w:line="576" w:lineRule="exact"/>
        <w:ind w:left="0" w:leftChars="0" w:right="0" w:rightChars="0" w:firstLine="640" w:firstLineChars="200"/>
        <w:textAlignment w:val="auto"/>
        <w:rPr>
          <w:rFonts w:hint="eastAsia"/>
          <w:bCs/>
          <w:sz w:val="32"/>
          <w:szCs w:val="32"/>
        </w:rPr>
      </w:pPr>
      <w:r>
        <w:rPr>
          <w:rFonts w:hint="eastAsia"/>
          <w:bCs/>
          <w:sz w:val="32"/>
          <w:szCs w:val="32"/>
          <w:lang w:val="en-US" w:eastAsia="zh-CN"/>
        </w:rPr>
        <w:t>2.</w:t>
      </w:r>
      <w:r>
        <w:rPr>
          <w:rFonts w:hint="eastAsia"/>
          <w:bCs/>
          <w:sz w:val="32"/>
          <w:szCs w:val="32"/>
        </w:rPr>
        <w:t>负责全县科级领导班子和干部队伍建设的总体规划和宏观管理。负责县委管理科级领导班子和领导干部的考察考核、 日常管理，提出调整建议，审核办理任免、工资、退休、兼职、待遇等有关事项；负责全县优秀年轻干部队伍建设工作。</w:t>
      </w:r>
    </w:p>
    <w:p>
      <w:pPr>
        <w:pStyle w:val="5"/>
        <w:keepNext w:val="0"/>
        <w:keepLines w:val="0"/>
        <w:pageBreakBefore w:val="0"/>
        <w:widowControl w:val="0"/>
        <w:kinsoku/>
        <w:wordWrap/>
        <w:overflowPunct/>
        <w:topLinePunct w:val="0"/>
        <w:autoSpaceDE/>
        <w:autoSpaceDN/>
        <w:bidi w:val="0"/>
        <w:adjustRightInd w:val="0"/>
        <w:snapToGrid w:val="0"/>
        <w:spacing w:beforeLines="0" w:line="576" w:lineRule="exact"/>
        <w:ind w:left="0" w:leftChars="0" w:right="0" w:rightChars="0" w:firstLine="640" w:firstLineChars="200"/>
        <w:textAlignment w:val="auto"/>
        <w:rPr>
          <w:rFonts w:hint="eastAsia"/>
          <w:bCs/>
          <w:sz w:val="32"/>
          <w:szCs w:val="32"/>
        </w:rPr>
      </w:pPr>
      <w:r>
        <w:rPr>
          <w:rFonts w:hint="eastAsia"/>
          <w:bCs/>
          <w:sz w:val="32"/>
          <w:szCs w:val="32"/>
          <w:lang w:val="en-US" w:eastAsia="zh-CN"/>
        </w:rPr>
        <w:t>3.</w:t>
      </w:r>
      <w:r>
        <w:rPr>
          <w:rFonts w:hint="eastAsia"/>
          <w:bCs/>
          <w:sz w:val="32"/>
          <w:szCs w:val="32"/>
        </w:rPr>
        <w:t>负责管理全县公务员工作。承担管理公务员录用、调配、考核、奖惩、培训、监督、工资福利等工作，指导公务员队伍建设和绩效管理。</w:t>
      </w:r>
    </w:p>
    <w:p>
      <w:pPr>
        <w:pStyle w:val="5"/>
        <w:keepNext w:val="0"/>
        <w:keepLines w:val="0"/>
        <w:pageBreakBefore w:val="0"/>
        <w:widowControl w:val="0"/>
        <w:kinsoku/>
        <w:wordWrap/>
        <w:overflowPunct/>
        <w:topLinePunct w:val="0"/>
        <w:autoSpaceDE/>
        <w:autoSpaceDN/>
        <w:bidi w:val="0"/>
        <w:adjustRightInd w:val="0"/>
        <w:snapToGrid w:val="0"/>
        <w:spacing w:beforeLines="0" w:line="576" w:lineRule="exact"/>
        <w:ind w:left="0" w:leftChars="0" w:right="0" w:rightChars="0" w:firstLine="640" w:firstLineChars="200"/>
        <w:textAlignment w:val="auto"/>
        <w:rPr>
          <w:rFonts w:hint="eastAsia"/>
          <w:bCs/>
          <w:sz w:val="32"/>
          <w:szCs w:val="32"/>
        </w:rPr>
      </w:pPr>
      <w:r>
        <w:rPr>
          <w:rFonts w:hint="eastAsia"/>
          <w:bCs/>
          <w:sz w:val="32"/>
          <w:szCs w:val="32"/>
          <w:lang w:val="en-US" w:eastAsia="zh-CN"/>
        </w:rPr>
        <w:t>4.</w:t>
      </w:r>
      <w:r>
        <w:rPr>
          <w:rFonts w:hint="eastAsia"/>
          <w:bCs/>
          <w:sz w:val="32"/>
          <w:szCs w:val="32"/>
        </w:rPr>
        <w:t>负责全县人才队伍建设宏观指导、政策落实、综合协调和督促检查；牵头推进人才发展体制机制改革，统筹实施重大人才工程和人才表彰奖励。</w:t>
      </w:r>
    </w:p>
    <w:p>
      <w:pPr>
        <w:pStyle w:val="5"/>
        <w:keepNext w:val="0"/>
        <w:keepLines w:val="0"/>
        <w:pageBreakBefore w:val="0"/>
        <w:widowControl w:val="0"/>
        <w:kinsoku/>
        <w:wordWrap/>
        <w:overflowPunct/>
        <w:topLinePunct w:val="0"/>
        <w:autoSpaceDE/>
        <w:autoSpaceDN/>
        <w:bidi w:val="0"/>
        <w:adjustRightInd w:val="0"/>
        <w:snapToGrid w:val="0"/>
        <w:spacing w:beforeLines="0" w:line="576" w:lineRule="exact"/>
        <w:ind w:left="0" w:leftChars="0" w:right="0" w:rightChars="0" w:firstLine="640" w:firstLineChars="200"/>
        <w:textAlignment w:val="auto"/>
        <w:rPr>
          <w:rFonts w:hint="eastAsia"/>
          <w:bCs/>
          <w:sz w:val="32"/>
          <w:szCs w:val="32"/>
        </w:rPr>
      </w:pPr>
      <w:r>
        <w:rPr>
          <w:rFonts w:hint="eastAsia"/>
          <w:bCs/>
          <w:sz w:val="32"/>
          <w:szCs w:val="32"/>
          <w:lang w:val="en-US" w:eastAsia="zh-CN"/>
        </w:rPr>
        <w:t>5.</w:t>
      </w:r>
      <w:r>
        <w:rPr>
          <w:rFonts w:hint="eastAsia"/>
          <w:bCs/>
          <w:sz w:val="32"/>
          <w:szCs w:val="32"/>
        </w:rPr>
        <w:t>负责组织、指导全县干部教育培训工作的宏观指导、政策规划、组织协调和督促检查，负责县委重点培训项目的策划、实施和管理，指导全县干部教育培训基地建设管理、师资队伍建设等工作。</w:t>
      </w:r>
    </w:p>
    <w:p>
      <w:pPr>
        <w:pStyle w:val="5"/>
        <w:keepNext w:val="0"/>
        <w:keepLines w:val="0"/>
        <w:pageBreakBefore w:val="0"/>
        <w:widowControl w:val="0"/>
        <w:kinsoku/>
        <w:wordWrap/>
        <w:overflowPunct/>
        <w:topLinePunct w:val="0"/>
        <w:autoSpaceDE/>
        <w:autoSpaceDN/>
        <w:bidi w:val="0"/>
        <w:adjustRightInd w:val="0"/>
        <w:snapToGrid w:val="0"/>
        <w:spacing w:beforeLines="0" w:line="576" w:lineRule="exact"/>
        <w:ind w:left="0" w:leftChars="0" w:right="0" w:rightChars="0" w:firstLine="640" w:firstLineChars="200"/>
        <w:textAlignment w:val="auto"/>
        <w:rPr>
          <w:rFonts w:hint="eastAsia"/>
          <w:bCs/>
          <w:sz w:val="32"/>
          <w:szCs w:val="32"/>
        </w:rPr>
      </w:pPr>
      <w:r>
        <w:rPr>
          <w:rFonts w:hint="eastAsia"/>
          <w:bCs/>
          <w:sz w:val="32"/>
          <w:szCs w:val="32"/>
          <w:lang w:val="en-US" w:eastAsia="zh-CN"/>
        </w:rPr>
        <w:t>6.</w:t>
      </w:r>
      <w:r>
        <w:rPr>
          <w:rFonts w:hint="eastAsia"/>
          <w:bCs/>
          <w:sz w:val="32"/>
          <w:szCs w:val="32"/>
        </w:rPr>
        <w:t>负责全县干部监督工作的宏观指导和综合协调，制定和落实干部监督工作制度，组织开展对选人用人工作情况的监督检查，受理和办理有关问题举报，组织实施领导干部报告个人有关事项及抽查核实工作。</w:t>
      </w:r>
    </w:p>
    <w:p>
      <w:pPr>
        <w:pStyle w:val="5"/>
        <w:keepNext w:val="0"/>
        <w:keepLines w:val="0"/>
        <w:pageBreakBefore w:val="0"/>
        <w:widowControl w:val="0"/>
        <w:kinsoku/>
        <w:wordWrap/>
        <w:overflowPunct/>
        <w:topLinePunct w:val="0"/>
        <w:autoSpaceDE/>
        <w:autoSpaceDN/>
        <w:bidi w:val="0"/>
        <w:adjustRightInd w:val="0"/>
        <w:snapToGrid w:val="0"/>
        <w:spacing w:beforeLines="0" w:line="576" w:lineRule="exact"/>
        <w:ind w:left="0" w:leftChars="0" w:right="0" w:rightChars="0" w:firstLine="640" w:firstLineChars="200"/>
        <w:textAlignment w:val="auto"/>
        <w:rPr>
          <w:rFonts w:hint="eastAsia"/>
          <w:bCs/>
          <w:sz w:val="32"/>
          <w:szCs w:val="32"/>
        </w:rPr>
      </w:pPr>
      <w:r>
        <w:rPr>
          <w:rFonts w:hint="eastAsia"/>
          <w:bCs/>
          <w:sz w:val="32"/>
          <w:szCs w:val="32"/>
          <w:lang w:val="en-US" w:eastAsia="zh-CN"/>
        </w:rPr>
        <w:t>7.</w:t>
      </w:r>
      <w:r>
        <w:rPr>
          <w:rFonts w:hint="eastAsia"/>
          <w:bCs/>
          <w:sz w:val="32"/>
          <w:szCs w:val="32"/>
        </w:rPr>
        <w:t>贯彻“统一指导、分级管理、原单位负责”的老干部工作方针，检查、督促各单位落实老干部的政治、生活待遇；负责副县级及以上离退休干部的管理和服务；负责离(退)休干部党支部建设，做好离(退)休干部思想政治工作；负责离(退)休干部活动中心建设，组织开展各种健康有益的活动。</w:t>
      </w:r>
    </w:p>
    <w:p>
      <w:pPr>
        <w:pStyle w:val="5"/>
        <w:keepNext w:val="0"/>
        <w:keepLines w:val="0"/>
        <w:pageBreakBefore w:val="0"/>
        <w:widowControl w:val="0"/>
        <w:kinsoku/>
        <w:wordWrap/>
        <w:overflowPunct/>
        <w:topLinePunct w:val="0"/>
        <w:autoSpaceDE/>
        <w:autoSpaceDN/>
        <w:bidi w:val="0"/>
        <w:adjustRightInd w:val="0"/>
        <w:snapToGrid w:val="0"/>
        <w:spacing w:beforeLines="0" w:line="576" w:lineRule="exact"/>
        <w:ind w:left="0" w:leftChars="0" w:right="0" w:rightChars="0" w:firstLine="640" w:firstLineChars="200"/>
        <w:textAlignment w:val="auto"/>
        <w:rPr>
          <w:rFonts w:hint="eastAsia"/>
          <w:bCs/>
          <w:sz w:val="32"/>
          <w:szCs w:val="32"/>
        </w:rPr>
      </w:pPr>
      <w:r>
        <w:rPr>
          <w:rFonts w:hint="eastAsia"/>
          <w:bCs/>
          <w:sz w:val="32"/>
          <w:szCs w:val="32"/>
          <w:lang w:val="en-US" w:eastAsia="zh-CN"/>
        </w:rPr>
        <w:t>8.</w:t>
      </w:r>
      <w:r>
        <w:rPr>
          <w:rFonts w:hint="eastAsia"/>
          <w:bCs/>
          <w:sz w:val="32"/>
          <w:szCs w:val="32"/>
        </w:rPr>
        <w:t>负责全县非公有制经济组织和社会组织党建工作统一部署，宏观指导和督促检查；负责研究、指导和批准非公有制经济组织和社会组织党的基层组织的设置；直接联系和管理非公企业和社会组织党组织。</w:t>
      </w:r>
    </w:p>
    <w:p>
      <w:pPr>
        <w:pStyle w:val="5"/>
        <w:keepNext w:val="0"/>
        <w:keepLines w:val="0"/>
        <w:pageBreakBefore w:val="0"/>
        <w:widowControl w:val="0"/>
        <w:kinsoku/>
        <w:wordWrap/>
        <w:overflowPunct/>
        <w:topLinePunct w:val="0"/>
        <w:autoSpaceDE/>
        <w:autoSpaceDN/>
        <w:bidi w:val="0"/>
        <w:adjustRightInd w:val="0"/>
        <w:snapToGrid w:val="0"/>
        <w:spacing w:beforeLines="0" w:line="576" w:lineRule="exact"/>
        <w:ind w:left="0" w:leftChars="0" w:right="0" w:rightChars="0" w:firstLine="640" w:firstLineChars="200"/>
        <w:textAlignment w:val="auto"/>
        <w:rPr>
          <w:rFonts w:hint="eastAsia"/>
          <w:bCs/>
          <w:sz w:val="32"/>
          <w:szCs w:val="32"/>
        </w:rPr>
      </w:pPr>
      <w:r>
        <w:rPr>
          <w:rFonts w:hint="eastAsia"/>
          <w:bCs/>
          <w:sz w:val="32"/>
          <w:szCs w:val="32"/>
          <w:lang w:val="en-US" w:eastAsia="zh-CN"/>
        </w:rPr>
        <w:t>9.</w:t>
      </w:r>
      <w:r>
        <w:rPr>
          <w:rFonts w:hint="eastAsia"/>
          <w:bCs/>
          <w:sz w:val="32"/>
          <w:szCs w:val="32"/>
        </w:rPr>
        <w:t>负责制定全县直属机关党的建设工作规划，指导县直机关党组织搞好党的思想建设、组织建设、作风建设和制度建设，并做好协调、管理、教育、监督工作。指导县属机关党组织搞好发展党员、民主评议党员、党员干部民主生活会的评议工作。</w:t>
      </w:r>
    </w:p>
    <w:p>
      <w:pPr>
        <w:pStyle w:val="5"/>
        <w:keepNext w:val="0"/>
        <w:keepLines w:val="0"/>
        <w:pageBreakBefore w:val="0"/>
        <w:widowControl w:val="0"/>
        <w:kinsoku/>
        <w:wordWrap/>
        <w:overflowPunct/>
        <w:topLinePunct w:val="0"/>
        <w:autoSpaceDE/>
        <w:autoSpaceDN/>
        <w:bidi w:val="0"/>
        <w:adjustRightInd w:val="0"/>
        <w:snapToGrid w:val="0"/>
        <w:spacing w:beforeLines="0" w:line="576" w:lineRule="exact"/>
        <w:ind w:left="0" w:leftChars="0" w:right="0" w:rightChars="0" w:firstLine="640" w:firstLineChars="200"/>
        <w:textAlignment w:val="auto"/>
        <w:rPr>
          <w:rFonts w:hint="eastAsia"/>
          <w:bCs/>
          <w:sz w:val="32"/>
          <w:szCs w:val="32"/>
        </w:rPr>
      </w:pPr>
      <w:r>
        <w:rPr>
          <w:rFonts w:hint="eastAsia"/>
          <w:bCs/>
          <w:sz w:val="32"/>
          <w:szCs w:val="32"/>
          <w:lang w:val="en-US" w:eastAsia="zh-CN"/>
        </w:rPr>
        <w:t>10.</w:t>
      </w:r>
      <w:r>
        <w:rPr>
          <w:rFonts w:hint="eastAsia"/>
          <w:bCs/>
          <w:sz w:val="32"/>
          <w:szCs w:val="32"/>
        </w:rPr>
        <w:t>统一归口管理县委机构编制委员会办公室。</w:t>
      </w:r>
    </w:p>
    <w:p>
      <w:pPr>
        <w:pStyle w:val="5"/>
        <w:keepNext w:val="0"/>
        <w:keepLines w:val="0"/>
        <w:pageBreakBefore w:val="0"/>
        <w:widowControl w:val="0"/>
        <w:kinsoku/>
        <w:wordWrap/>
        <w:overflowPunct/>
        <w:topLinePunct w:val="0"/>
        <w:autoSpaceDE/>
        <w:autoSpaceDN/>
        <w:bidi w:val="0"/>
        <w:adjustRightInd w:val="0"/>
        <w:snapToGrid w:val="0"/>
        <w:spacing w:beforeLines="0" w:line="576" w:lineRule="exact"/>
        <w:ind w:left="0" w:leftChars="0" w:right="0" w:rightChars="0" w:firstLine="640" w:firstLineChars="200"/>
        <w:textAlignment w:val="auto"/>
        <w:rPr>
          <w:rFonts w:hint="eastAsia"/>
          <w:bCs/>
          <w:sz w:val="32"/>
          <w:szCs w:val="32"/>
        </w:rPr>
      </w:pPr>
      <w:r>
        <w:rPr>
          <w:rFonts w:hint="eastAsia"/>
          <w:bCs/>
          <w:sz w:val="32"/>
          <w:szCs w:val="32"/>
          <w:lang w:val="en-US" w:eastAsia="zh-CN"/>
        </w:rPr>
        <w:t>11.</w:t>
      </w:r>
      <w:r>
        <w:rPr>
          <w:rFonts w:hint="eastAsia"/>
          <w:bCs/>
          <w:sz w:val="32"/>
          <w:szCs w:val="32"/>
        </w:rPr>
        <w:t>承担县委党建领导小组、县人才工作领导小组日常工作。</w:t>
      </w:r>
    </w:p>
    <w:p>
      <w:pPr>
        <w:pStyle w:val="5"/>
        <w:keepNext w:val="0"/>
        <w:keepLines w:val="0"/>
        <w:pageBreakBefore w:val="0"/>
        <w:widowControl w:val="0"/>
        <w:kinsoku/>
        <w:wordWrap/>
        <w:overflowPunct/>
        <w:topLinePunct w:val="0"/>
        <w:autoSpaceDE/>
        <w:autoSpaceDN/>
        <w:bidi w:val="0"/>
        <w:adjustRightInd w:val="0"/>
        <w:snapToGrid w:val="0"/>
        <w:spacing w:beforeLines="0" w:line="576" w:lineRule="exact"/>
        <w:ind w:left="0" w:leftChars="0" w:right="0" w:rightChars="0" w:firstLine="640" w:firstLineChars="200"/>
        <w:textAlignment w:val="auto"/>
        <w:rPr>
          <w:rFonts w:hint="default" w:eastAsia="宋体"/>
          <w:lang w:val="en-US" w:eastAsia="zh-CN"/>
        </w:rPr>
      </w:pPr>
      <w:r>
        <w:rPr>
          <w:rFonts w:hint="eastAsia"/>
          <w:bCs/>
          <w:sz w:val="32"/>
          <w:szCs w:val="32"/>
          <w:lang w:val="en-US" w:eastAsia="zh-CN"/>
        </w:rPr>
        <w:t>12.</w:t>
      </w:r>
      <w:r>
        <w:rPr>
          <w:rFonts w:hint="eastAsia"/>
          <w:bCs/>
          <w:sz w:val="32"/>
          <w:szCs w:val="32"/>
        </w:rPr>
        <w:t>完成县委交办的其他任务。</w:t>
      </w:r>
    </w:p>
    <w:p>
      <w:pPr>
        <w:pStyle w:val="3"/>
        <w:rPr>
          <w:rStyle w:val="21"/>
          <w:b w:val="0"/>
          <w:bCs w:val="0"/>
        </w:rPr>
      </w:pPr>
      <w:bookmarkStart w:id="20" w:name="_Toc651278488"/>
      <w:bookmarkStart w:id="21" w:name="_Toc15377200"/>
      <w:bookmarkStart w:id="22" w:name="_Toc15396601"/>
      <w:r>
        <w:rPr>
          <w:rFonts w:hint="eastAsia" w:ascii="黑体" w:eastAsia="黑体"/>
          <w:b w:val="0"/>
        </w:rPr>
        <w:t>二、机</w:t>
      </w:r>
      <w:r>
        <w:rPr>
          <w:rStyle w:val="21"/>
          <w:rFonts w:hint="eastAsia" w:ascii="黑体" w:eastAsia="黑体"/>
          <w:b w:val="0"/>
          <w:bCs w:val="0"/>
        </w:rPr>
        <w:t>构设置</w:t>
      </w:r>
      <w:bookmarkEnd w:id="20"/>
      <w:bookmarkEnd w:id="21"/>
      <w:bookmarkEnd w:id="22"/>
    </w:p>
    <w:p>
      <w:pPr>
        <w:rPr>
          <w:rFonts w:hint="eastAsia" w:ascii="仿宋_GB2312" w:hAnsi="Times New Roman" w:eastAsia="仿宋_GB2312" w:cs="Times New Roman"/>
          <w:bCs/>
          <w:kern w:val="0"/>
          <w:sz w:val="32"/>
          <w:szCs w:val="32"/>
          <w:lang w:val="en-US" w:eastAsia="zh-CN" w:bidi="ar-SA"/>
        </w:rPr>
      </w:pPr>
      <w:r>
        <w:rPr>
          <w:rFonts w:hint="eastAsia" w:ascii="仿宋_GB2312" w:eastAsia="仿宋_GB2312" w:cs="Times New Roman"/>
          <w:bCs/>
          <w:kern w:val="0"/>
          <w:sz w:val="32"/>
          <w:szCs w:val="32"/>
          <w:lang w:val="en-US" w:eastAsia="zh-CN" w:bidi="ar-SA"/>
        </w:rPr>
        <w:t xml:space="preserve">    </w:t>
      </w:r>
      <w:r>
        <w:rPr>
          <w:rFonts w:hint="eastAsia" w:ascii="仿宋_GB2312" w:hAnsi="Times New Roman" w:eastAsia="仿宋_GB2312" w:cs="Times New Roman"/>
          <w:bCs/>
          <w:kern w:val="0"/>
          <w:sz w:val="32"/>
          <w:szCs w:val="32"/>
          <w:lang w:val="en-US" w:eastAsia="zh-CN" w:bidi="ar-SA"/>
        </w:rPr>
        <w:t>县委组织部下属二级预算单位2个，其中行政单位1个，其他事业单位1个。</w:t>
      </w:r>
    </w:p>
    <w:p>
      <w:pPr>
        <w:pStyle w:val="5"/>
        <w:adjustRightInd w:val="0"/>
        <w:snapToGrid w:val="0"/>
        <w:spacing w:beforeLines="0" w:line="600" w:lineRule="exact"/>
        <w:ind w:firstLine="668" w:firstLineChars="209"/>
        <w:rPr>
          <w:rFonts w:hint="eastAsia" w:ascii="仿宋_GB2312" w:hAnsi="Times New Roman" w:eastAsia="仿宋_GB2312" w:cs="Times New Roman"/>
          <w:bCs/>
          <w:kern w:val="0"/>
          <w:sz w:val="32"/>
          <w:szCs w:val="32"/>
          <w:lang w:val="en-US" w:eastAsia="zh-CN" w:bidi="ar-SA"/>
        </w:rPr>
      </w:pPr>
      <w:r>
        <w:rPr>
          <w:rFonts w:hint="eastAsia" w:ascii="仿宋_GB2312" w:hAnsi="Times New Roman" w:eastAsia="仿宋_GB2312" w:cs="Times New Roman"/>
          <w:bCs/>
          <w:kern w:val="0"/>
          <w:sz w:val="32"/>
          <w:szCs w:val="32"/>
          <w:lang w:val="en-US" w:eastAsia="zh-CN" w:bidi="ar-SA"/>
        </w:rPr>
        <w:t>纳入县委组织部2022年度部门决算编制范围的二级预算单位包括：</w:t>
      </w:r>
    </w:p>
    <w:p>
      <w:pPr>
        <w:pStyle w:val="5"/>
        <w:numPr>
          <w:ilvl w:val="0"/>
          <w:numId w:val="2"/>
        </w:numPr>
        <w:adjustRightInd w:val="0"/>
        <w:snapToGrid w:val="0"/>
        <w:spacing w:beforeLines="0" w:line="600" w:lineRule="exact"/>
        <w:outlineLvl w:val="2"/>
        <w:rPr>
          <w:rFonts w:hint="eastAsia" w:ascii="仿宋_GB2312" w:hAnsi="Times New Roman" w:eastAsia="仿宋_GB2312" w:cs="Times New Roman"/>
          <w:bCs/>
          <w:kern w:val="0"/>
          <w:sz w:val="32"/>
          <w:szCs w:val="32"/>
          <w:lang w:val="en-US" w:eastAsia="zh-CN" w:bidi="ar-SA"/>
        </w:rPr>
      </w:pPr>
      <w:r>
        <w:rPr>
          <w:rFonts w:hint="eastAsia" w:ascii="仿宋_GB2312" w:hAnsi="Times New Roman" w:eastAsia="仿宋_GB2312" w:cs="Times New Roman"/>
          <w:bCs/>
          <w:kern w:val="0"/>
          <w:sz w:val="32"/>
          <w:szCs w:val="32"/>
          <w:lang w:val="en-US" w:eastAsia="zh-CN" w:bidi="ar-SA"/>
        </w:rPr>
        <w:t>中共阿坝州红原县委组织部</w:t>
      </w:r>
    </w:p>
    <w:p>
      <w:pPr>
        <w:pStyle w:val="5"/>
        <w:numPr>
          <w:ilvl w:val="0"/>
          <w:numId w:val="2"/>
        </w:numPr>
        <w:adjustRightInd w:val="0"/>
        <w:snapToGrid w:val="0"/>
        <w:spacing w:beforeLines="0" w:line="600" w:lineRule="exact"/>
        <w:outlineLvl w:val="2"/>
        <w:rPr>
          <w:rFonts w:hint="eastAsia" w:ascii="仿宋_GB2312" w:hAnsi="Times New Roman" w:eastAsia="仿宋_GB2312" w:cs="Times New Roman"/>
          <w:bCs/>
          <w:kern w:val="0"/>
          <w:sz w:val="32"/>
          <w:szCs w:val="32"/>
          <w:lang w:val="en-US" w:eastAsia="zh-CN" w:bidi="ar-SA"/>
        </w:rPr>
      </w:pPr>
      <w:r>
        <w:rPr>
          <w:rFonts w:hint="eastAsia" w:ascii="仿宋_GB2312" w:hAnsi="Times New Roman" w:eastAsia="仿宋_GB2312" w:cs="Times New Roman"/>
          <w:bCs/>
          <w:kern w:val="0"/>
          <w:sz w:val="32"/>
          <w:szCs w:val="32"/>
          <w:lang w:val="en-US" w:eastAsia="zh-CN" w:bidi="ar-SA"/>
        </w:rPr>
        <w:t>中共阿坝州红原县委组织部老干部活动中心</w:t>
      </w:r>
    </w:p>
    <w:p>
      <w:pPr>
        <w:widowControl/>
        <w:jc w:val="left"/>
        <w:rPr>
          <w:rFonts w:ascii="仿宋" w:eastAsia="仿宋"/>
          <w:kern w:val="0"/>
          <w:sz w:val="32"/>
          <w:szCs w:val="32"/>
        </w:rPr>
      </w:pPr>
      <w:r>
        <w:rPr>
          <w:rFonts w:ascii="仿宋" w:eastAsia="仿宋"/>
          <w:sz w:val="32"/>
          <w:szCs w:val="32"/>
        </w:rPr>
        <w:br w:type="page"/>
      </w:r>
    </w:p>
    <w:p>
      <w:pPr>
        <w:pStyle w:val="2"/>
        <w:ind w:right="440"/>
        <w:jc w:val="center"/>
        <w:rPr>
          <w:rStyle w:val="20"/>
          <w:rFonts w:ascii="黑体" w:eastAsia="黑体"/>
          <w:b w:val="0"/>
          <w:bCs/>
        </w:rPr>
      </w:pPr>
      <w:bookmarkStart w:id="23" w:name="_Toc1042884397"/>
      <w:bookmarkStart w:id="24" w:name="_Toc15396602"/>
      <w:bookmarkStart w:id="25" w:name="_Toc15377204"/>
      <w:r>
        <w:rPr>
          <w:rFonts w:hint="eastAsia" w:ascii="黑体" w:eastAsia="黑体"/>
          <w:b w:val="0"/>
        </w:rPr>
        <w:t>第二部分 2022年度</w:t>
      </w:r>
      <w:r>
        <w:rPr>
          <w:rStyle w:val="20"/>
          <w:rFonts w:hint="eastAsia" w:ascii="黑体" w:eastAsia="黑体"/>
          <w:b w:val="0"/>
          <w:bCs/>
        </w:rPr>
        <w:t>部门决算情况说明</w:t>
      </w:r>
      <w:bookmarkEnd w:id="23"/>
      <w:bookmarkEnd w:id="24"/>
      <w:bookmarkEnd w:id="25"/>
    </w:p>
    <w:p/>
    <w:p>
      <w:pPr>
        <w:pStyle w:val="27"/>
        <w:numPr>
          <w:ilvl w:val="0"/>
          <w:numId w:val="3"/>
        </w:numPr>
        <w:spacing w:line="600" w:lineRule="exact"/>
        <w:ind w:firstLineChars="0"/>
        <w:outlineLvl w:val="1"/>
        <w:rPr>
          <w:rStyle w:val="21"/>
          <w:rFonts w:ascii="黑体" w:eastAsia="黑体"/>
          <w:b w:val="0"/>
        </w:rPr>
      </w:pPr>
      <w:bookmarkStart w:id="26" w:name="_Toc15396603"/>
      <w:bookmarkStart w:id="27" w:name="_Toc15377205"/>
      <w:bookmarkStart w:id="28" w:name="_Toc989714723"/>
      <w:r>
        <w:rPr>
          <w:rFonts w:hint="eastAsia" w:ascii="黑体" w:eastAsia="黑体"/>
          <w:sz w:val="32"/>
          <w:szCs w:val="32"/>
        </w:rPr>
        <w:t>收</w:t>
      </w:r>
      <w:r>
        <w:rPr>
          <w:rStyle w:val="21"/>
          <w:rFonts w:hint="eastAsia" w:ascii="黑体" w:eastAsia="黑体"/>
          <w:b w:val="0"/>
        </w:rPr>
        <w:t>入支出决算总体情况说明</w:t>
      </w:r>
      <w:bookmarkEnd w:id="26"/>
      <w:bookmarkEnd w:id="27"/>
      <w:bookmarkEnd w:id="28"/>
    </w:p>
    <w:p>
      <w:pPr>
        <w:spacing w:line="600" w:lineRule="exact"/>
        <w:ind w:firstLine="640" w:firstLineChars="200"/>
        <w:rPr>
          <w:rFonts w:hint="eastAsia" w:ascii="仿宋" w:eastAsia="仿宋"/>
          <w:sz w:val="32"/>
          <w:szCs w:val="32"/>
        </w:rPr>
      </w:pPr>
      <w:r>
        <w:rPr>
          <w:rFonts w:hint="eastAsia" w:ascii="仿宋" w:eastAsia="仿宋"/>
          <w:sz w:val="32"/>
          <w:szCs w:val="32"/>
        </w:rPr>
        <w:t>2022年度收、支总计1594.7万元。与2021年相比，收</w:t>
      </w:r>
      <w:r>
        <w:rPr>
          <w:rFonts w:hint="eastAsia" w:ascii="仿宋" w:eastAsia="仿宋"/>
          <w:sz w:val="32"/>
          <w:szCs w:val="32"/>
          <w:lang w:eastAsia="zh-CN"/>
        </w:rPr>
        <w:t>入增加</w:t>
      </w:r>
      <w:r>
        <w:rPr>
          <w:rFonts w:hint="eastAsia" w:ascii="仿宋" w:eastAsia="仿宋"/>
          <w:sz w:val="32"/>
          <w:szCs w:val="32"/>
          <w:lang w:val="en-US" w:eastAsia="zh-CN"/>
        </w:rPr>
        <w:t>300.82</w:t>
      </w:r>
      <w:r>
        <w:rPr>
          <w:rFonts w:hint="eastAsia" w:ascii="仿宋" w:eastAsia="仿宋"/>
          <w:sz w:val="32"/>
          <w:szCs w:val="32"/>
        </w:rPr>
        <w:t>万元</w:t>
      </w:r>
      <w:r>
        <w:rPr>
          <w:rFonts w:hint="eastAsia" w:ascii="仿宋" w:eastAsia="仿宋"/>
          <w:sz w:val="32"/>
          <w:szCs w:val="32"/>
          <w:lang w:val="en-US" w:eastAsia="zh-CN"/>
        </w:rPr>
        <w:t>,</w:t>
      </w:r>
      <w:r>
        <w:rPr>
          <w:rFonts w:hint="eastAsia" w:ascii="仿宋" w:eastAsia="仿宋"/>
          <w:sz w:val="32"/>
          <w:szCs w:val="32"/>
        </w:rPr>
        <w:t>增长</w:t>
      </w:r>
      <w:r>
        <w:rPr>
          <w:rFonts w:hint="eastAsia" w:ascii="仿宋" w:eastAsia="仿宋"/>
          <w:sz w:val="32"/>
          <w:szCs w:val="32"/>
          <w:lang w:val="en-US" w:eastAsia="zh-CN"/>
        </w:rPr>
        <w:t>23.25</w:t>
      </w:r>
      <w:r>
        <w:rPr>
          <w:rFonts w:ascii="仿宋" w:eastAsia="仿宋"/>
          <w:sz w:val="32"/>
          <w:szCs w:val="32"/>
        </w:rPr>
        <w:t>%</w:t>
      </w:r>
      <w:r>
        <w:rPr>
          <w:rFonts w:hint="eastAsia" w:ascii="仿宋" w:eastAsia="仿宋"/>
          <w:sz w:val="32"/>
          <w:szCs w:val="32"/>
          <w:lang w:val="en-US" w:eastAsia="zh-CN"/>
        </w:rPr>
        <w:t>,</w:t>
      </w:r>
      <w:r>
        <w:rPr>
          <w:rFonts w:hint="eastAsia" w:ascii="仿宋" w:eastAsia="仿宋"/>
          <w:sz w:val="32"/>
          <w:szCs w:val="32"/>
          <w:lang w:eastAsia="zh-CN"/>
        </w:rPr>
        <w:t>支出增加</w:t>
      </w:r>
      <w:r>
        <w:rPr>
          <w:rFonts w:hint="eastAsia" w:ascii="仿宋" w:eastAsia="仿宋"/>
          <w:sz w:val="32"/>
          <w:szCs w:val="32"/>
          <w:lang w:val="en-US" w:eastAsia="zh-CN"/>
        </w:rPr>
        <w:t>253.42</w:t>
      </w:r>
      <w:r>
        <w:rPr>
          <w:rFonts w:hint="eastAsia" w:ascii="仿宋" w:eastAsia="仿宋"/>
          <w:sz w:val="32"/>
          <w:szCs w:val="32"/>
        </w:rPr>
        <w:t>万元，增长</w:t>
      </w:r>
      <w:r>
        <w:rPr>
          <w:rFonts w:hint="eastAsia" w:ascii="仿宋" w:eastAsia="仿宋"/>
          <w:sz w:val="32"/>
          <w:szCs w:val="32"/>
          <w:lang w:val="en-US" w:eastAsia="zh-CN"/>
        </w:rPr>
        <w:t>18.89</w:t>
      </w:r>
      <w:r>
        <w:rPr>
          <w:rFonts w:ascii="仿宋" w:eastAsia="仿宋"/>
          <w:sz w:val="32"/>
          <w:szCs w:val="32"/>
        </w:rPr>
        <w:t>%</w:t>
      </w:r>
      <w:r>
        <w:rPr>
          <w:rFonts w:hint="eastAsia" w:ascii="仿宋" w:eastAsia="仿宋"/>
          <w:sz w:val="32"/>
          <w:szCs w:val="32"/>
        </w:rPr>
        <w:t>。主要变动原因是</w:t>
      </w:r>
      <w:r>
        <w:rPr>
          <w:rFonts w:hint="eastAsia" w:ascii="仿宋" w:hAnsi="仿宋" w:eastAsia="仿宋"/>
          <w:color w:val="000000"/>
          <w:sz w:val="32"/>
          <w:szCs w:val="32"/>
        </w:rPr>
        <w:t>人员增加和项目经费支出增加</w:t>
      </w:r>
      <w:r>
        <w:rPr>
          <w:rFonts w:hint="eastAsia" w:ascii="仿宋" w:eastAsia="仿宋"/>
          <w:sz w:val="32"/>
          <w:szCs w:val="32"/>
        </w:rPr>
        <w:t>。</w:t>
      </w:r>
    </w:p>
    <w:p>
      <w:pPr>
        <w:pStyle w:val="5"/>
        <w:jc w:val="center"/>
      </w:pPr>
      <w:r>
        <w:drawing>
          <wp:inline distT="0" distB="0" distL="114300" distR="114300">
            <wp:extent cx="4563745" cy="2743200"/>
            <wp:effectExtent l="4445" t="4445" r="22860" b="14605"/>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1280" w:firstLineChars="400"/>
        <w:rPr>
          <w:rFonts w:hint="eastAsia"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w:t>
      </w:r>
    </w:p>
    <w:p>
      <w:pPr>
        <w:pStyle w:val="5"/>
      </w:pPr>
    </w:p>
    <w:p>
      <w:pPr>
        <w:pStyle w:val="27"/>
        <w:numPr>
          <w:ilvl w:val="0"/>
          <w:numId w:val="3"/>
        </w:numPr>
        <w:spacing w:line="600" w:lineRule="exact"/>
        <w:ind w:firstLineChars="0"/>
        <w:outlineLvl w:val="1"/>
        <w:rPr>
          <w:rStyle w:val="21"/>
          <w:rFonts w:ascii="黑体" w:eastAsia="黑体"/>
          <w:b w:val="0"/>
        </w:rPr>
      </w:pPr>
      <w:bookmarkStart w:id="29" w:name="_Toc1185396653"/>
      <w:bookmarkStart w:id="30" w:name="_Toc15396604"/>
      <w:bookmarkStart w:id="31" w:name="_Toc15377206"/>
      <w:r>
        <w:rPr>
          <w:rFonts w:hint="eastAsia" w:ascii="黑体" w:eastAsia="黑体"/>
          <w:sz w:val="32"/>
          <w:szCs w:val="32"/>
        </w:rPr>
        <w:t>收</w:t>
      </w:r>
      <w:r>
        <w:rPr>
          <w:rStyle w:val="21"/>
          <w:rFonts w:hint="eastAsia" w:ascii="黑体" w:eastAsia="黑体"/>
          <w:b w:val="0"/>
        </w:rPr>
        <w:t>入决算情况说明</w:t>
      </w:r>
      <w:bookmarkEnd w:id="29"/>
      <w:bookmarkEnd w:id="30"/>
      <w:bookmarkEnd w:id="31"/>
    </w:p>
    <w:p>
      <w:pPr>
        <w:spacing w:line="600" w:lineRule="exact"/>
        <w:ind w:firstLine="640" w:firstLineChars="200"/>
        <w:outlineLvl w:val="1"/>
        <w:rPr>
          <w:rFonts w:ascii="仿宋" w:eastAsia="仿宋"/>
          <w:sz w:val="32"/>
          <w:szCs w:val="32"/>
        </w:rPr>
      </w:pPr>
      <w:bookmarkStart w:id="32" w:name="_Toc668778637"/>
      <w:r>
        <w:rPr>
          <w:rFonts w:ascii="仿宋" w:eastAsia="仿宋"/>
          <w:sz w:val="32"/>
          <w:szCs w:val="32"/>
        </w:rPr>
        <w:t>20</w:t>
      </w:r>
      <w:r>
        <w:rPr>
          <w:rFonts w:hint="eastAsia" w:ascii="仿宋" w:eastAsia="仿宋"/>
          <w:sz w:val="32"/>
          <w:szCs w:val="32"/>
        </w:rPr>
        <w:t>22年本年收入合计1594.7万元，其中：一般公共预算财政拨款收入1594.7万元，占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bookmarkEnd w:id="32"/>
    </w:p>
    <w:p>
      <w:pPr>
        <w:pStyle w:val="5"/>
        <w:jc w:val="center"/>
      </w:pPr>
      <w:r>
        <w:drawing>
          <wp:inline distT="0" distB="0" distL="114300" distR="114300">
            <wp:extent cx="4607560" cy="2736215"/>
            <wp:effectExtent l="5080" t="5080" r="16510" b="20955"/>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2240" w:firstLineChars="700"/>
        <w:rPr>
          <w:rFonts w:hint="eastAsia" w:ascii="仿宋" w:eastAsia="仿宋"/>
          <w:sz w:val="32"/>
          <w:szCs w:val="32"/>
        </w:rPr>
      </w:pPr>
      <w:r>
        <w:rPr>
          <w:rFonts w:hint="eastAsia" w:ascii="仿宋" w:eastAsia="仿宋"/>
          <w:sz w:val="32"/>
          <w:szCs w:val="32"/>
        </w:rPr>
        <w:t>（图2：收入决算结构图）</w:t>
      </w:r>
    </w:p>
    <w:p>
      <w:pPr>
        <w:pStyle w:val="5"/>
      </w:pPr>
    </w:p>
    <w:p>
      <w:pPr>
        <w:pStyle w:val="27"/>
        <w:numPr>
          <w:ilvl w:val="0"/>
          <w:numId w:val="3"/>
        </w:numPr>
        <w:spacing w:line="600" w:lineRule="exact"/>
        <w:ind w:firstLineChars="0"/>
        <w:outlineLvl w:val="1"/>
        <w:rPr>
          <w:rStyle w:val="21"/>
          <w:rFonts w:ascii="黑体" w:eastAsia="黑体"/>
          <w:b w:val="0"/>
        </w:rPr>
      </w:pPr>
      <w:bookmarkStart w:id="33" w:name="_Toc1423442590"/>
      <w:bookmarkStart w:id="34" w:name="_Toc15377207"/>
      <w:bookmarkStart w:id="35" w:name="_Toc15396605"/>
      <w:r>
        <w:rPr>
          <w:rFonts w:hint="eastAsia" w:ascii="黑体" w:eastAsia="黑体"/>
          <w:sz w:val="32"/>
          <w:szCs w:val="32"/>
        </w:rPr>
        <w:t>支</w:t>
      </w:r>
      <w:r>
        <w:rPr>
          <w:rStyle w:val="21"/>
          <w:rFonts w:hint="eastAsia" w:ascii="黑体" w:eastAsia="黑体"/>
          <w:b w:val="0"/>
        </w:rPr>
        <w:t>出决算情况说明</w:t>
      </w:r>
      <w:bookmarkEnd w:id="33"/>
      <w:bookmarkEnd w:id="34"/>
      <w:bookmarkEnd w:id="35"/>
    </w:p>
    <w:p>
      <w:pPr>
        <w:spacing w:line="600" w:lineRule="exact"/>
        <w:ind w:firstLine="640" w:firstLineChars="200"/>
        <w:outlineLvl w:val="1"/>
        <w:rPr>
          <w:rFonts w:ascii="仿宋" w:eastAsia="仿宋"/>
          <w:sz w:val="32"/>
          <w:szCs w:val="32"/>
          <w:shd w:val="pct10" w:color="auto" w:fill="FFFFFF"/>
        </w:rPr>
      </w:pPr>
      <w:bookmarkStart w:id="36" w:name="_Toc1185741923"/>
      <w:r>
        <w:rPr>
          <w:rFonts w:ascii="仿宋" w:eastAsia="仿宋"/>
          <w:sz w:val="32"/>
          <w:szCs w:val="32"/>
        </w:rPr>
        <w:t>20</w:t>
      </w:r>
      <w:r>
        <w:rPr>
          <w:rFonts w:hint="eastAsia" w:ascii="仿宋" w:eastAsia="仿宋"/>
          <w:sz w:val="32"/>
          <w:szCs w:val="32"/>
        </w:rPr>
        <w:t>22年本年支出合计1594.7万元，其中：基本支出720.54万元，占</w:t>
      </w:r>
      <w:r>
        <w:rPr>
          <w:rFonts w:hint="eastAsia" w:ascii="仿宋" w:eastAsia="仿宋"/>
          <w:sz w:val="32"/>
          <w:szCs w:val="32"/>
          <w:lang w:val="en-US" w:eastAsia="zh-CN"/>
        </w:rPr>
        <w:t>45.18</w:t>
      </w:r>
      <w:r>
        <w:rPr>
          <w:rFonts w:ascii="仿宋" w:eastAsia="仿宋"/>
          <w:sz w:val="32"/>
          <w:szCs w:val="32"/>
        </w:rPr>
        <w:t>%</w:t>
      </w:r>
      <w:r>
        <w:rPr>
          <w:rFonts w:hint="eastAsia" w:ascii="仿宋" w:eastAsia="仿宋"/>
          <w:sz w:val="32"/>
          <w:szCs w:val="32"/>
        </w:rPr>
        <w:t>；项目支出874.16万元，占</w:t>
      </w:r>
      <w:r>
        <w:rPr>
          <w:rFonts w:hint="eastAsia" w:ascii="仿宋" w:eastAsia="仿宋"/>
          <w:sz w:val="32"/>
          <w:szCs w:val="32"/>
          <w:lang w:val="en-US" w:eastAsia="zh-CN"/>
        </w:rPr>
        <w:t>54.82</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bookmarkEnd w:id="36"/>
    </w:p>
    <w:p>
      <w:pPr>
        <w:pStyle w:val="5"/>
        <w:jc w:val="center"/>
        <w:rPr>
          <w:rFonts w:ascii="仿宋" w:eastAsia="仿宋"/>
          <w:sz w:val="32"/>
          <w:szCs w:val="32"/>
          <w:shd w:val="pct10" w:color="auto" w:fill="FFFFFF"/>
        </w:rPr>
      </w:pPr>
      <w:r>
        <w:drawing>
          <wp:inline distT="0" distB="0" distL="114300" distR="114300">
            <wp:extent cx="4561840" cy="2743200"/>
            <wp:effectExtent l="4445" t="5080" r="5715" b="1397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jc w:val="center"/>
        <w:rPr>
          <w:rFonts w:ascii="仿宋_GB2312" w:eastAsia="仿宋_GB2312"/>
          <w:sz w:val="32"/>
          <w:szCs w:val="32"/>
        </w:rPr>
      </w:pPr>
      <w:r>
        <w:rPr>
          <w:rFonts w:hint="eastAsia" w:ascii="仿宋" w:eastAsia="仿宋"/>
          <w:sz w:val="32"/>
          <w:szCs w:val="32"/>
        </w:rPr>
        <w:t>（图3：支出决算结构图）</w:t>
      </w:r>
    </w:p>
    <w:p>
      <w:pPr>
        <w:spacing w:line="600" w:lineRule="exact"/>
        <w:ind w:firstLine="640" w:firstLineChars="200"/>
        <w:outlineLvl w:val="1"/>
        <w:rPr>
          <w:rStyle w:val="21"/>
          <w:rFonts w:ascii="黑体" w:eastAsia="黑体"/>
          <w:b w:val="0"/>
        </w:rPr>
      </w:pPr>
      <w:bookmarkStart w:id="37" w:name="_Toc15377208"/>
      <w:bookmarkStart w:id="38" w:name="_Toc15396606"/>
      <w:bookmarkStart w:id="39" w:name="_Toc610978750"/>
      <w:r>
        <w:rPr>
          <w:rFonts w:hint="eastAsia" w:ascii="黑体" w:eastAsia="黑体"/>
          <w:sz w:val="32"/>
          <w:szCs w:val="32"/>
        </w:rPr>
        <w:t>四、财</w:t>
      </w:r>
      <w:r>
        <w:rPr>
          <w:rStyle w:val="21"/>
          <w:rFonts w:hint="eastAsia" w:ascii="黑体" w:eastAsia="黑体"/>
          <w:b w:val="0"/>
        </w:rPr>
        <w:t>政拨款收入支出决算总体情况说明</w:t>
      </w:r>
      <w:bookmarkEnd w:id="37"/>
      <w:bookmarkEnd w:id="38"/>
      <w:bookmarkEnd w:id="39"/>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22年财政拨款收、支总计1594.7万元。与</w:t>
      </w:r>
      <w:r>
        <w:rPr>
          <w:rFonts w:ascii="仿宋" w:eastAsia="仿宋"/>
          <w:sz w:val="32"/>
          <w:szCs w:val="32"/>
        </w:rPr>
        <w:t>20</w:t>
      </w:r>
      <w:r>
        <w:rPr>
          <w:rFonts w:hint="eastAsia" w:ascii="仿宋" w:eastAsia="仿宋"/>
          <w:sz w:val="32"/>
          <w:szCs w:val="32"/>
        </w:rPr>
        <w:t>21年相比，财政拨款收</w:t>
      </w:r>
      <w:r>
        <w:rPr>
          <w:rFonts w:hint="eastAsia" w:ascii="仿宋" w:eastAsia="仿宋"/>
          <w:sz w:val="32"/>
          <w:szCs w:val="32"/>
          <w:lang w:eastAsia="zh-CN"/>
        </w:rPr>
        <w:t>入增加</w:t>
      </w:r>
      <w:r>
        <w:rPr>
          <w:rFonts w:hint="eastAsia" w:ascii="仿宋" w:eastAsia="仿宋"/>
          <w:sz w:val="32"/>
          <w:szCs w:val="32"/>
          <w:lang w:val="en-US" w:eastAsia="zh-CN"/>
        </w:rPr>
        <w:t>300.82</w:t>
      </w:r>
      <w:r>
        <w:rPr>
          <w:rFonts w:hint="eastAsia" w:ascii="仿宋" w:eastAsia="仿宋"/>
          <w:sz w:val="32"/>
          <w:szCs w:val="32"/>
        </w:rPr>
        <w:t>万元</w:t>
      </w:r>
      <w:r>
        <w:rPr>
          <w:rFonts w:hint="eastAsia" w:ascii="仿宋" w:eastAsia="仿宋"/>
          <w:sz w:val="32"/>
          <w:szCs w:val="32"/>
          <w:lang w:val="en-US" w:eastAsia="zh-CN"/>
        </w:rPr>
        <w:t>,</w:t>
      </w:r>
      <w:r>
        <w:rPr>
          <w:rFonts w:hint="eastAsia" w:ascii="仿宋" w:eastAsia="仿宋"/>
          <w:sz w:val="32"/>
          <w:szCs w:val="32"/>
        </w:rPr>
        <w:t>增长</w:t>
      </w:r>
      <w:r>
        <w:rPr>
          <w:rFonts w:hint="eastAsia" w:ascii="仿宋" w:eastAsia="仿宋"/>
          <w:sz w:val="32"/>
          <w:szCs w:val="32"/>
          <w:lang w:val="en-US" w:eastAsia="zh-CN"/>
        </w:rPr>
        <w:t>23.25</w:t>
      </w:r>
      <w:r>
        <w:rPr>
          <w:rFonts w:ascii="仿宋" w:eastAsia="仿宋"/>
          <w:sz w:val="32"/>
          <w:szCs w:val="32"/>
        </w:rPr>
        <w:t>%</w:t>
      </w:r>
      <w:r>
        <w:rPr>
          <w:rFonts w:hint="eastAsia" w:ascii="仿宋" w:eastAsia="仿宋"/>
          <w:sz w:val="32"/>
          <w:szCs w:val="32"/>
          <w:lang w:val="en-US" w:eastAsia="zh-CN"/>
        </w:rPr>
        <w:t>,</w:t>
      </w:r>
      <w:r>
        <w:rPr>
          <w:rFonts w:hint="eastAsia" w:ascii="仿宋" w:eastAsia="仿宋"/>
          <w:sz w:val="32"/>
          <w:szCs w:val="32"/>
        </w:rPr>
        <w:t>财政拨款</w:t>
      </w:r>
      <w:r>
        <w:rPr>
          <w:rFonts w:hint="eastAsia" w:ascii="仿宋" w:eastAsia="仿宋"/>
          <w:sz w:val="32"/>
          <w:szCs w:val="32"/>
          <w:lang w:eastAsia="zh-CN"/>
        </w:rPr>
        <w:t>支出增加</w:t>
      </w:r>
      <w:r>
        <w:rPr>
          <w:rFonts w:hint="eastAsia" w:ascii="仿宋" w:eastAsia="仿宋"/>
          <w:sz w:val="32"/>
          <w:szCs w:val="32"/>
          <w:lang w:val="en-US" w:eastAsia="zh-CN"/>
        </w:rPr>
        <w:t>253.42</w:t>
      </w:r>
      <w:r>
        <w:rPr>
          <w:rFonts w:hint="eastAsia" w:ascii="仿宋" w:eastAsia="仿宋"/>
          <w:sz w:val="32"/>
          <w:szCs w:val="32"/>
        </w:rPr>
        <w:t>万元，增长</w:t>
      </w:r>
      <w:r>
        <w:rPr>
          <w:rFonts w:hint="eastAsia" w:ascii="仿宋" w:eastAsia="仿宋"/>
          <w:sz w:val="32"/>
          <w:szCs w:val="32"/>
          <w:lang w:val="en-US" w:eastAsia="zh-CN"/>
        </w:rPr>
        <w:t>18.89</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人员增加和</w:t>
      </w:r>
      <w:r>
        <w:rPr>
          <w:rFonts w:hint="eastAsia" w:ascii="仿宋" w:hAnsi="仿宋" w:eastAsia="仿宋"/>
          <w:color w:val="000000"/>
          <w:sz w:val="32"/>
          <w:szCs w:val="32"/>
        </w:rPr>
        <w:t>项目经费支出增加</w:t>
      </w:r>
      <w:r>
        <w:rPr>
          <w:rFonts w:hint="eastAsia" w:ascii="仿宋" w:hAnsi="仿宋" w:eastAsia="仿宋"/>
          <w:color w:val="000000"/>
          <w:sz w:val="32"/>
          <w:szCs w:val="32"/>
          <w:lang w:eastAsia="zh-CN"/>
        </w:rPr>
        <w:t>。</w:t>
      </w:r>
    </w:p>
    <w:p>
      <w:pPr>
        <w:pStyle w:val="5"/>
        <w:jc w:val="center"/>
        <w:rPr>
          <w:rFonts w:ascii="仿宋" w:eastAsia="仿宋"/>
          <w:sz w:val="32"/>
          <w:szCs w:val="32"/>
        </w:rPr>
      </w:pPr>
      <w:r>
        <w:drawing>
          <wp:inline distT="0" distB="0" distL="114300" distR="114300">
            <wp:extent cx="4563745" cy="2743200"/>
            <wp:effectExtent l="4445" t="4445" r="22860" b="14605"/>
            <wp:docPr id="1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jc w:val="center"/>
        <w:rPr>
          <w:rFonts w:hint="eastAsia" w:ascii="仿宋" w:eastAsia="仿宋"/>
          <w:sz w:val="32"/>
          <w:szCs w:val="32"/>
        </w:rPr>
      </w:pPr>
      <w:r>
        <w:rPr>
          <w:rFonts w:hint="eastAsia" w:ascii="仿宋" w:eastAsia="仿宋"/>
          <w:sz w:val="32"/>
          <w:szCs w:val="32"/>
        </w:rPr>
        <w:t>（图4：财政拨款收、支决算总计变动情况）</w:t>
      </w:r>
    </w:p>
    <w:p>
      <w:pPr>
        <w:pStyle w:val="5"/>
      </w:pPr>
    </w:p>
    <w:p>
      <w:pPr>
        <w:spacing w:line="600" w:lineRule="exact"/>
        <w:ind w:firstLine="640" w:firstLineChars="200"/>
        <w:outlineLvl w:val="1"/>
        <w:rPr>
          <w:rStyle w:val="21"/>
          <w:rFonts w:ascii="黑体" w:eastAsia="黑体"/>
          <w:b w:val="0"/>
        </w:rPr>
      </w:pPr>
      <w:bookmarkStart w:id="40" w:name="_Toc15396607"/>
      <w:bookmarkStart w:id="41" w:name="_Toc1956058809"/>
      <w:bookmarkStart w:id="42" w:name="_Toc15377209"/>
      <w:r>
        <w:rPr>
          <w:rFonts w:hint="eastAsia" w:ascii="黑体" w:eastAsia="黑体"/>
          <w:sz w:val="32"/>
          <w:szCs w:val="32"/>
        </w:rPr>
        <w:t>五、</w:t>
      </w:r>
      <w:r>
        <w:rPr>
          <w:rFonts w:hint="eastAsia" w:ascii="黑体" w:eastAsia="黑体"/>
          <w:b/>
          <w:sz w:val="32"/>
          <w:szCs w:val="32"/>
        </w:rPr>
        <w:t>一</w:t>
      </w:r>
      <w:r>
        <w:rPr>
          <w:rStyle w:val="21"/>
          <w:rFonts w:hint="eastAsia" w:ascii="黑体" w:eastAsia="黑体"/>
          <w:b w:val="0"/>
        </w:rPr>
        <w:t>般公共预算财政拨款支出决算情况说明</w:t>
      </w:r>
      <w:bookmarkEnd w:id="40"/>
      <w:bookmarkEnd w:id="41"/>
      <w:bookmarkEnd w:id="42"/>
    </w:p>
    <w:p>
      <w:pPr>
        <w:spacing w:line="600" w:lineRule="exact"/>
        <w:ind w:firstLine="642" w:firstLineChars="200"/>
        <w:outlineLvl w:val="2"/>
        <w:rPr>
          <w:rFonts w:ascii="仿宋" w:eastAsia="仿宋"/>
          <w:b/>
          <w:sz w:val="32"/>
          <w:szCs w:val="32"/>
        </w:rPr>
      </w:pPr>
      <w:bookmarkStart w:id="43" w:name="_Toc15377210"/>
      <w:r>
        <w:rPr>
          <w:rFonts w:hint="eastAsia" w:ascii="仿宋" w:eastAsia="仿宋"/>
          <w:b/>
          <w:sz w:val="32"/>
          <w:szCs w:val="32"/>
        </w:rPr>
        <w:t>（一）一般公共预算财政拨款支出决算总体情况</w:t>
      </w:r>
      <w:bookmarkEnd w:id="43"/>
    </w:p>
    <w:p>
      <w:pPr>
        <w:spacing w:line="60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22年一般公共预算财政拨款支出1594.7万元，占本年支出合计的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21年相比，一般公共预算财政拨款支出增加</w:t>
      </w:r>
      <w:r>
        <w:rPr>
          <w:rFonts w:hint="eastAsia" w:ascii="仿宋" w:eastAsia="仿宋"/>
          <w:sz w:val="32"/>
          <w:szCs w:val="32"/>
          <w:lang w:val="en-US" w:eastAsia="zh-CN"/>
        </w:rPr>
        <w:t>253.42</w:t>
      </w:r>
      <w:r>
        <w:rPr>
          <w:rFonts w:hint="eastAsia" w:ascii="仿宋" w:eastAsia="仿宋"/>
          <w:sz w:val="32"/>
          <w:szCs w:val="32"/>
        </w:rPr>
        <w:t>万元，增长</w:t>
      </w:r>
      <w:r>
        <w:rPr>
          <w:rFonts w:hint="eastAsia" w:ascii="仿宋" w:eastAsia="仿宋"/>
          <w:sz w:val="32"/>
          <w:szCs w:val="32"/>
          <w:lang w:val="en-US" w:eastAsia="zh-CN"/>
        </w:rPr>
        <w:t>18.89</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人员增加和</w:t>
      </w:r>
      <w:r>
        <w:rPr>
          <w:rFonts w:hint="eastAsia" w:ascii="仿宋" w:hAnsi="仿宋" w:eastAsia="仿宋"/>
          <w:color w:val="000000"/>
          <w:sz w:val="32"/>
          <w:szCs w:val="32"/>
        </w:rPr>
        <w:t>项目经费支出增加</w:t>
      </w:r>
      <w:r>
        <w:rPr>
          <w:rFonts w:hint="eastAsia" w:ascii="仿宋" w:hAnsi="仿宋" w:eastAsia="仿宋"/>
          <w:color w:val="000000"/>
          <w:sz w:val="32"/>
          <w:szCs w:val="32"/>
          <w:lang w:eastAsia="zh-CN"/>
        </w:rPr>
        <w:t>。</w:t>
      </w:r>
    </w:p>
    <w:p>
      <w:pPr>
        <w:pStyle w:val="5"/>
        <w:rPr>
          <w:rFonts w:ascii="仿宋" w:eastAsia="仿宋"/>
          <w:sz w:val="32"/>
          <w:szCs w:val="32"/>
        </w:rPr>
      </w:pPr>
    </w:p>
    <w:p>
      <w:pPr>
        <w:pStyle w:val="5"/>
        <w:jc w:val="center"/>
      </w:pPr>
    </w:p>
    <w:p>
      <w:pPr>
        <w:pStyle w:val="5"/>
        <w:jc w:val="center"/>
      </w:pPr>
      <w:r>
        <w:drawing>
          <wp:inline distT="0" distB="0" distL="114300" distR="114300">
            <wp:extent cx="4561205" cy="2743200"/>
            <wp:effectExtent l="4445" t="4445" r="6350" b="14605"/>
            <wp:docPr id="1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pPr>
      <w:r>
        <w:rPr>
          <w:rFonts w:hint="eastAsia" w:ascii="仿宋" w:eastAsia="仿宋"/>
          <w:sz w:val="32"/>
          <w:szCs w:val="32"/>
        </w:rPr>
        <w:t>（图5：一般公共预算财政拨款支出决算变动情况）</w:t>
      </w:r>
    </w:p>
    <w:p>
      <w:pPr>
        <w:spacing w:line="600" w:lineRule="exact"/>
        <w:ind w:firstLine="642" w:firstLineChars="200"/>
        <w:outlineLvl w:val="2"/>
        <w:rPr>
          <w:rFonts w:ascii="仿宋" w:eastAsia="仿宋"/>
          <w:b/>
          <w:sz w:val="32"/>
          <w:szCs w:val="32"/>
        </w:rPr>
      </w:pPr>
      <w:bookmarkStart w:id="44" w:name="_Toc15377211"/>
      <w:r>
        <w:rPr>
          <w:rFonts w:hint="eastAsia" w:ascii="仿宋" w:eastAsia="仿宋"/>
          <w:b/>
          <w:sz w:val="32"/>
          <w:szCs w:val="32"/>
        </w:rPr>
        <w:t>（二）一般公共预算财政拨款支出决算结构情况</w:t>
      </w:r>
      <w:bookmarkEnd w:id="44"/>
    </w:p>
    <w:p>
      <w:pPr>
        <w:spacing w:line="600" w:lineRule="exact"/>
        <w:ind w:firstLine="640"/>
        <w:rPr>
          <w:rFonts w:hint="eastAsia" w:ascii="仿宋" w:eastAsia="仿宋"/>
          <w:sz w:val="32"/>
          <w:szCs w:val="32"/>
        </w:rPr>
      </w:pPr>
      <w:r>
        <w:rPr>
          <w:rFonts w:ascii="仿宋" w:eastAsia="仿宋"/>
          <w:sz w:val="32"/>
          <w:szCs w:val="32"/>
        </w:rPr>
        <w:t>20</w:t>
      </w:r>
      <w:r>
        <w:rPr>
          <w:rFonts w:hint="eastAsia" w:ascii="仿宋" w:eastAsia="仿宋"/>
          <w:sz w:val="32"/>
          <w:szCs w:val="32"/>
        </w:rPr>
        <w:t>22年一般公共预算财政拨款支出1594.7万元，主要用于以下方面</w:t>
      </w:r>
      <w:r>
        <w:rPr>
          <w:rFonts w:ascii="仿宋" w:eastAsia="仿宋"/>
          <w:sz w:val="32"/>
          <w:szCs w:val="32"/>
        </w:rPr>
        <w:t>:</w:t>
      </w:r>
      <w:r>
        <w:rPr>
          <w:rFonts w:hint="eastAsia" w:ascii="仿宋" w:eastAsia="仿宋"/>
          <w:b/>
          <w:sz w:val="32"/>
          <w:szCs w:val="32"/>
        </w:rPr>
        <w:t>一般公共服务</w:t>
      </w:r>
      <w:r>
        <w:rPr>
          <w:rFonts w:hint="eastAsia" w:ascii="仿宋" w:eastAsia="仿宋"/>
          <w:b/>
          <w:bCs/>
          <w:sz w:val="32"/>
          <w:szCs w:val="32"/>
        </w:rPr>
        <w:t>支出</w:t>
      </w:r>
      <w:r>
        <w:rPr>
          <w:rFonts w:hint="eastAsia" w:ascii="仿宋" w:eastAsia="仿宋"/>
          <w:sz w:val="32"/>
          <w:szCs w:val="32"/>
        </w:rPr>
        <w:t>1418.22万元，占</w:t>
      </w:r>
      <w:r>
        <w:rPr>
          <w:rFonts w:hint="eastAsia" w:ascii="仿宋" w:eastAsia="仿宋"/>
          <w:sz w:val="32"/>
          <w:szCs w:val="32"/>
          <w:lang w:val="en-US" w:eastAsia="zh-CN"/>
        </w:rPr>
        <w:t>88.93</w:t>
      </w:r>
      <w:r>
        <w:rPr>
          <w:rFonts w:ascii="仿宋" w:eastAsia="仿宋"/>
          <w:sz w:val="32"/>
          <w:szCs w:val="32"/>
        </w:rPr>
        <w:t>%</w:t>
      </w:r>
      <w:r>
        <w:rPr>
          <w:rFonts w:hint="eastAsia" w:ascii="仿宋" w:eastAsia="仿宋"/>
          <w:sz w:val="32"/>
          <w:szCs w:val="32"/>
        </w:rPr>
        <w:t>；</w:t>
      </w:r>
      <w:r>
        <w:rPr>
          <w:rFonts w:hint="eastAsia" w:ascii="仿宋" w:eastAsia="仿宋"/>
          <w:b/>
          <w:sz w:val="32"/>
          <w:szCs w:val="32"/>
        </w:rPr>
        <w:t>教育支出</w:t>
      </w:r>
      <w:r>
        <w:rPr>
          <w:rFonts w:hint="eastAsia" w:ascii="仿宋" w:eastAsia="仿宋"/>
          <w:sz w:val="32"/>
          <w:szCs w:val="32"/>
        </w:rPr>
        <w:t>12.44万元，占</w:t>
      </w:r>
      <w:r>
        <w:rPr>
          <w:rFonts w:hint="eastAsia" w:ascii="仿宋" w:eastAsia="仿宋"/>
          <w:sz w:val="32"/>
          <w:szCs w:val="32"/>
          <w:lang w:val="en-US" w:eastAsia="zh-CN"/>
        </w:rPr>
        <w:t>0.78</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w:t>
      </w:r>
      <w:r>
        <w:rPr>
          <w:rFonts w:hint="eastAsia" w:ascii="仿宋" w:eastAsia="仿宋"/>
          <w:b/>
          <w:bCs/>
          <w:sz w:val="32"/>
          <w:szCs w:val="32"/>
        </w:rPr>
        <w:t>支出</w:t>
      </w:r>
      <w:r>
        <w:rPr>
          <w:rFonts w:hint="eastAsia" w:ascii="仿宋" w:eastAsia="仿宋"/>
          <w:sz w:val="32"/>
          <w:szCs w:val="32"/>
        </w:rPr>
        <w:t>81.45万元，占</w:t>
      </w:r>
      <w:r>
        <w:rPr>
          <w:rFonts w:hint="eastAsia" w:ascii="仿宋" w:eastAsia="仿宋"/>
          <w:sz w:val="32"/>
          <w:szCs w:val="32"/>
          <w:lang w:val="en-US" w:eastAsia="zh-CN"/>
        </w:rPr>
        <w:t>5.11</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rPr>
        <w:t>37.29万元，占</w:t>
      </w:r>
      <w:r>
        <w:rPr>
          <w:rFonts w:hint="eastAsia" w:ascii="仿宋" w:eastAsia="仿宋"/>
          <w:sz w:val="32"/>
          <w:szCs w:val="32"/>
          <w:lang w:val="en-US" w:eastAsia="zh-CN"/>
        </w:rPr>
        <w:t>2.34</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住房保障支出</w:t>
      </w:r>
      <w:r>
        <w:rPr>
          <w:rFonts w:hint="eastAsia" w:ascii="仿宋" w:eastAsia="仿宋"/>
          <w:sz w:val="32"/>
          <w:szCs w:val="32"/>
        </w:rPr>
        <w:t>45.31万元，占</w:t>
      </w:r>
      <w:r>
        <w:rPr>
          <w:rFonts w:hint="eastAsia" w:ascii="仿宋" w:eastAsia="仿宋"/>
          <w:sz w:val="32"/>
          <w:szCs w:val="32"/>
          <w:lang w:val="en-US" w:eastAsia="zh-CN"/>
        </w:rPr>
        <w:t>2.84</w:t>
      </w:r>
      <w:r>
        <w:rPr>
          <w:rFonts w:ascii="仿宋" w:eastAsia="仿宋"/>
          <w:sz w:val="32"/>
          <w:szCs w:val="32"/>
        </w:rPr>
        <w:t>%</w:t>
      </w:r>
      <w:r>
        <w:rPr>
          <w:rFonts w:hint="eastAsia" w:ascii="仿宋" w:eastAsia="仿宋"/>
          <w:sz w:val="32"/>
          <w:szCs w:val="32"/>
        </w:rPr>
        <w:t>。</w:t>
      </w:r>
    </w:p>
    <w:p>
      <w:pPr>
        <w:pStyle w:val="5"/>
        <w:jc w:val="center"/>
      </w:pPr>
      <w:r>
        <w:drawing>
          <wp:inline distT="0" distB="0" distL="114300" distR="114300">
            <wp:extent cx="4561840" cy="2743200"/>
            <wp:effectExtent l="4445" t="5080" r="5715" b="1397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5"/>
        <w:jc w:val="center"/>
        <w:rPr>
          <w:rFonts w:ascii="仿宋" w:eastAsia="仿宋"/>
          <w:sz w:val="32"/>
          <w:szCs w:val="32"/>
        </w:rPr>
      </w:pPr>
      <w:r>
        <w:rPr>
          <w:rFonts w:hint="eastAsia" w:ascii="仿宋" w:eastAsia="仿宋"/>
          <w:sz w:val="32"/>
          <w:szCs w:val="32"/>
        </w:rPr>
        <w:t>（图6：一般公共预算财政拨款支出决算结构）</w:t>
      </w:r>
    </w:p>
    <w:p>
      <w:pPr>
        <w:spacing w:line="600" w:lineRule="exact"/>
        <w:ind w:firstLine="642" w:firstLineChars="200"/>
        <w:outlineLvl w:val="2"/>
        <w:rPr>
          <w:rFonts w:ascii="仿宋" w:eastAsia="仿宋"/>
          <w:b/>
          <w:sz w:val="32"/>
          <w:szCs w:val="32"/>
        </w:rPr>
      </w:pPr>
      <w:bookmarkStart w:id="45" w:name="_Toc15377212"/>
      <w:r>
        <w:rPr>
          <w:rFonts w:hint="eastAsia" w:ascii="仿宋" w:eastAsia="仿宋"/>
          <w:b/>
          <w:sz w:val="32"/>
          <w:szCs w:val="32"/>
        </w:rPr>
        <w:t>（三）一般公共预算财政拨款支出决算具体情况</w:t>
      </w:r>
      <w:bookmarkEnd w:id="45"/>
    </w:p>
    <w:p>
      <w:pPr>
        <w:spacing w:line="600" w:lineRule="exact"/>
        <w:ind w:firstLine="642" w:firstLineChars="200"/>
        <w:outlineLvl w:val="2"/>
        <w:rPr>
          <w:rFonts w:ascii="仿宋" w:eastAsia="仿宋"/>
          <w:sz w:val="32"/>
          <w:szCs w:val="32"/>
        </w:rPr>
      </w:pPr>
      <w:bookmarkStart w:id="46" w:name="_Toc15377444"/>
      <w:bookmarkStart w:id="47" w:name="_Toc15377213"/>
      <w:bookmarkStart w:id="48" w:name="_Toc15378460"/>
      <w:r>
        <w:rPr>
          <w:rFonts w:hint="eastAsia" w:ascii="仿宋" w:eastAsia="仿宋"/>
          <w:b/>
          <w:sz w:val="32"/>
          <w:szCs w:val="32"/>
        </w:rPr>
        <w:t>2022年一般公共预算支出决算数为</w:t>
      </w:r>
      <w:r>
        <w:rPr>
          <w:rFonts w:hint="eastAsia" w:ascii="仿宋" w:eastAsia="仿宋"/>
          <w:sz w:val="32"/>
          <w:szCs w:val="32"/>
        </w:rPr>
        <w:t>1594.7，</w:t>
      </w:r>
      <w:r>
        <w:rPr>
          <w:rStyle w:val="18"/>
          <w:rFonts w:hint="eastAsia" w:ascii="仿宋" w:eastAsia="仿宋"/>
          <w:bCs/>
          <w:sz w:val="32"/>
          <w:szCs w:val="32"/>
        </w:rPr>
        <w:t>完成预算</w:t>
      </w:r>
      <w:r>
        <w:rPr>
          <w:rStyle w:val="18"/>
          <w:rFonts w:hint="eastAsia" w:ascii="仿宋" w:eastAsia="仿宋"/>
          <w:bCs/>
          <w:sz w:val="32"/>
          <w:szCs w:val="32"/>
          <w:lang w:val="en-US" w:eastAsia="zh-CN"/>
        </w:rPr>
        <w:t>100</w:t>
      </w:r>
      <w:r>
        <w:rPr>
          <w:rStyle w:val="18"/>
          <w:rFonts w:ascii="仿宋" w:eastAsia="仿宋"/>
          <w:bCs/>
          <w:sz w:val="32"/>
          <w:szCs w:val="32"/>
        </w:rPr>
        <w:t>%</w:t>
      </w:r>
      <w:r>
        <w:rPr>
          <w:rStyle w:val="18"/>
          <w:rFonts w:hint="eastAsia" w:ascii="仿宋" w:eastAsia="仿宋"/>
          <w:bCs/>
          <w:sz w:val="32"/>
          <w:szCs w:val="32"/>
        </w:rPr>
        <w:t>。其中：</w:t>
      </w:r>
      <w:bookmarkEnd w:id="46"/>
      <w:bookmarkEnd w:id="47"/>
      <w:bookmarkEnd w:id="48"/>
    </w:p>
    <w:p>
      <w:pPr>
        <w:numPr>
          <w:ilvl w:val="0"/>
          <w:numId w:val="0"/>
        </w:numPr>
        <w:spacing w:line="600" w:lineRule="exact"/>
        <w:ind w:firstLine="642" w:firstLineChars="200"/>
        <w:rPr>
          <w:rStyle w:val="18"/>
          <w:rFonts w:hint="eastAsia" w:ascii="仿宋" w:hAnsi="仿宋" w:eastAsia="仿宋"/>
          <w:b w:val="0"/>
          <w:bCs w:val="0"/>
          <w:color w:val="000000"/>
          <w:sz w:val="32"/>
          <w:szCs w:val="32"/>
          <w:lang w:val="en-US" w:eastAsia="zh-CN"/>
        </w:rPr>
      </w:pPr>
      <w:bookmarkStart w:id="49" w:name="_Toc15396608"/>
      <w:bookmarkStart w:id="50" w:name="_Toc15377214"/>
      <w:r>
        <w:rPr>
          <w:rFonts w:hint="eastAsia" w:ascii="仿宋" w:hAnsi="仿宋" w:eastAsia="仿宋"/>
          <w:b/>
          <w:color w:val="000000" w:themeColor="text1"/>
          <w:sz w:val="32"/>
          <w:szCs w:val="32"/>
          <w:lang w:val="en-US" w:eastAsia="zh-CN"/>
        </w:rPr>
        <w:t>1.</w:t>
      </w:r>
      <w:r>
        <w:rPr>
          <w:rFonts w:hint="eastAsia" w:ascii="仿宋" w:hAnsi="仿宋" w:eastAsia="仿宋"/>
          <w:b/>
          <w:color w:val="000000" w:themeColor="text1"/>
          <w:sz w:val="32"/>
          <w:szCs w:val="32"/>
        </w:rPr>
        <w:t>一般公共服务（类）</w:t>
      </w:r>
      <w:r>
        <w:rPr>
          <w:rFonts w:hint="eastAsia" w:ascii="仿宋" w:hAnsi="仿宋" w:eastAsia="仿宋"/>
          <w:b/>
          <w:color w:val="000000" w:themeColor="text1"/>
          <w:sz w:val="32"/>
          <w:szCs w:val="32"/>
          <w:lang w:eastAsia="zh-CN"/>
        </w:rPr>
        <w:t>：</w:t>
      </w:r>
      <w:r>
        <w:rPr>
          <w:rStyle w:val="18"/>
          <w:rFonts w:hint="eastAsia" w:ascii="仿宋" w:hAnsi="仿宋" w:eastAsia="仿宋"/>
          <w:b/>
          <w:bCs w:val="0"/>
          <w:color w:val="000000"/>
          <w:sz w:val="32"/>
          <w:szCs w:val="32"/>
          <w:lang w:val="en-US" w:eastAsia="zh-CN"/>
        </w:rPr>
        <w:t>2013201行政运行</w:t>
      </w:r>
      <w:r>
        <w:rPr>
          <w:rStyle w:val="18"/>
          <w:rFonts w:hint="eastAsia" w:ascii="仿宋" w:hAnsi="仿宋" w:eastAsia="仿宋"/>
          <w:b w:val="0"/>
          <w:bCs w:val="0"/>
          <w:color w:val="000000"/>
          <w:sz w:val="32"/>
          <w:szCs w:val="32"/>
          <w:lang w:val="en-US" w:eastAsia="zh-CN"/>
        </w:rPr>
        <w:t>支出决算452.04万元，</w:t>
      </w:r>
      <w:r>
        <w:rPr>
          <w:rStyle w:val="18"/>
          <w:rFonts w:hint="eastAsia" w:ascii="仿宋" w:hAnsi="仿宋" w:eastAsia="仿宋"/>
          <w:b w:val="0"/>
          <w:bCs/>
          <w:color w:val="000000"/>
          <w:sz w:val="32"/>
          <w:szCs w:val="32"/>
        </w:rPr>
        <w:t>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lang w:eastAsia="zh-CN"/>
        </w:rPr>
        <w:t>；</w:t>
      </w:r>
      <w:r>
        <w:rPr>
          <w:rStyle w:val="18"/>
          <w:rFonts w:hint="eastAsia" w:ascii="仿宋" w:hAnsi="仿宋" w:eastAsia="仿宋"/>
          <w:b/>
          <w:bCs w:val="0"/>
          <w:color w:val="000000"/>
          <w:sz w:val="32"/>
          <w:szCs w:val="32"/>
          <w:lang w:val="en-US" w:eastAsia="zh-CN"/>
        </w:rPr>
        <w:t>2013202一般行政管理事务</w:t>
      </w:r>
      <w:r>
        <w:rPr>
          <w:rStyle w:val="18"/>
          <w:rFonts w:hint="eastAsia" w:ascii="仿宋" w:hAnsi="仿宋" w:eastAsia="仿宋"/>
          <w:b w:val="0"/>
          <w:bCs w:val="0"/>
          <w:color w:val="000000"/>
          <w:sz w:val="32"/>
          <w:szCs w:val="32"/>
          <w:lang w:val="en-US" w:eastAsia="zh-CN"/>
        </w:rPr>
        <w:t>支出决算445.49万元，</w:t>
      </w:r>
      <w:r>
        <w:rPr>
          <w:rStyle w:val="18"/>
          <w:rFonts w:hint="eastAsia" w:ascii="仿宋" w:hAnsi="仿宋" w:eastAsia="仿宋"/>
          <w:b w:val="0"/>
          <w:bCs/>
          <w:color w:val="000000"/>
          <w:sz w:val="32"/>
          <w:szCs w:val="32"/>
        </w:rPr>
        <w:t>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lang w:eastAsia="zh-CN"/>
        </w:rPr>
        <w:t>；</w:t>
      </w:r>
      <w:r>
        <w:rPr>
          <w:rStyle w:val="18"/>
          <w:rFonts w:hint="eastAsia" w:ascii="仿宋" w:hAnsi="仿宋" w:eastAsia="仿宋" w:cs="Times New Roman"/>
          <w:b/>
          <w:bCs/>
          <w:color w:val="000000"/>
          <w:sz w:val="32"/>
          <w:szCs w:val="32"/>
          <w:lang w:val="en-US" w:eastAsia="zh-CN"/>
        </w:rPr>
        <w:t>2013204公务员事务</w:t>
      </w:r>
      <w:r>
        <w:rPr>
          <w:rStyle w:val="18"/>
          <w:rFonts w:hint="eastAsia" w:ascii="仿宋" w:hAnsi="仿宋" w:eastAsia="仿宋"/>
          <w:b w:val="0"/>
          <w:bCs w:val="0"/>
          <w:color w:val="000000"/>
          <w:sz w:val="32"/>
          <w:szCs w:val="32"/>
          <w:lang w:val="en-US" w:eastAsia="zh-CN"/>
        </w:rPr>
        <w:t>支出36.94万元，</w:t>
      </w:r>
      <w:r>
        <w:rPr>
          <w:rStyle w:val="18"/>
          <w:rFonts w:hint="eastAsia" w:ascii="仿宋" w:hAnsi="仿宋" w:eastAsia="仿宋"/>
          <w:b w:val="0"/>
          <w:bCs/>
          <w:color w:val="000000"/>
          <w:sz w:val="32"/>
          <w:szCs w:val="32"/>
        </w:rPr>
        <w:t>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lang w:eastAsia="zh-CN"/>
        </w:rPr>
        <w:t>；</w:t>
      </w:r>
      <w:r>
        <w:rPr>
          <w:rStyle w:val="18"/>
          <w:rFonts w:hint="eastAsia" w:ascii="仿宋" w:hAnsi="仿宋" w:eastAsia="仿宋" w:cs="Times New Roman"/>
          <w:b/>
          <w:bCs/>
          <w:color w:val="000000"/>
          <w:sz w:val="32"/>
          <w:szCs w:val="32"/>
          <w:lang w:val="en-US" w:eastAsia="zh-CN"/>
        </w:rPr>
        <w:t>2</w:t>
      </w:r>
      <w:r>
        <w:rPr>
          <w:rStyle w:val="18"/>
          <w:rFonts w:hint="eastAsia" w:ascii="仿宋" w:hAnsi="仿宋" w:eastAsia="仿宋"/>
          <w:b/>
          <w:bCs/>
          <w:color w:val="000000"/>
          <w:sz w:val="32"/>
          <w:szCs w:val="32"/>
          <w:lang w:val="en-US" w:eastAsia="zh-CN"/>
        </w:rPr>
        <w:t>013250事业运行</w:t>
      </w:r>
      <w:r>
        <w:rPr>
          <w:rStyle w:val="18"/>
          <w:rFonts w:hint="eastAsia" w:ascii="仿宋" w:hAnsi="仿宋" w:eastAsia="仿宋"/>
          <w:b w:val="0"/>
          <w:bCs w:val="0"/>
          <w:color w:val="000000"/>
          <w:sz w:val="32"/>
          <w:szCs w:val="32"/>
          <w:lang w:val="en-US" w:eastAsia="zh-CN"/>
        </w:rPr>
        <w:t>支出104.45万元，</w:t>
      </w:r>
      <w:r>
        <w:rPr>
          <w:rStyle w:val="18"/>
          <w:rFonts w:hint="eastAsia" w:ascii="仿宋" w:hAnsi="仿宋" w:eastAsia="仿宋"/>
          <w:b w:val="0"/>
          <w:bCs/>
          <w:color w:val="000000"/>
          <w:sz w:val="32"/>
          <w:szCs w:val="32"/>
        </w:rPr>
        <w:t>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lang w:eastAsia="zh-CN"/>
        </w:rPr>
        <w:t>；</w:t>
      </w:r>
      <w:r>
        <w:rPr>
          <w:rStyle w:val="18"/>
          <w:rFonts w:hint="eastAsia" w:ascii="仿宋" w:hAnsi="仿宋" w:eastAsia="仿宋"/>
          <w:bCs/>
          <w:color w:val="000000"/>
          <w:sz w:val="32"/>
          <w:szCs w:val="32"/>
          <w:lang w:val="en-US" w:eastAsia="zh-CN"/>
        </w:rPr>
        <w:t>2013299其他组织事务</w:t>
      </w:r>
      <w:r>
        <w:rPr>
          <w:rStyle w:val="18"/>
          <w:rFonts w:hint="eastAsia" w:ascii="仿宋" w:hAnsi="仿宋" w:eastAsia="仿宋"/>
          <w:b w:val="0"/>
          <w:bCs w:val="0"/>
          <w:color w:val="000000"/>
          <w:sz w:val="32"/>
          <w:szCs w:val="32"/>
          <w:lang w:val="en-US" w:eastAsia="zh-CN"/>
        </w:rPr>
        <w:t>支出决算379.3万元，</w:t>
      </w:r>
      <w:r>
        <w:rPr>
          <w:rStyle w:val="18"/>
          <w:rFonts w:hint="eastAsia" w:ascii="仿宋" w:hAnsi="仿宋" w:eastAsia="仿宋"/>
          <w:b w:val="0"/>
          <w:bCs/>
          <w:color w:val="000000"/>
          <w:sz w:val="32"/>
          <w:szCs w:val="32"/>
        </w:rPr>
        <w:t>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lang w:eastAsia="zh-CN"/>
        </w:rPr>
        <w:t>。</w:t>
      </w:r>
    </w:p>
    <w:p>
      <w:pPr>
        <w:spacing w:line="600" w:lineRule="exact"/>
        <w:ind w:firstLine="640"/>
        <w:rPr>
          <w:rFonts w:hint="default" w:ascii="仿宋" w:hAnsi="仿宋" w:eastAsia="仿宋"/>
          <w:color w:val="000000" w:themeColor="text1"/>
          <w:sz w:val="32"/>
          <w:szCs w:val="32"/>
          <w:lang w:val="en-US" w:eastAsia="zh-CN"/>
        </w:rPr>
      </w:pPr>
      <w:r>
        <w:rPr>
          <w:rFonts w:hint="eastAsia" w:ascii="仿宋" w:hAnsi="仿宋" w:eastAsia="仿宋"/>
          <w:b/>
          <w:color w:val="000000" w:themeColor="text1"/>
          <w:sz w:val="32"/>
          <w:szCs w:val="32"/>
          <w:lang w:val="en-US" w:eastAsia="zh-CN"/>
        </w:rPr>
        <w:t>2.</w:t>
      </w:r>
      <w:r>
        <w:rPr>
          <w:rFonts w:hint="eastAsia" w:ascii="仿宋" w:hAnsi="仿宋" w:eastAsia="仿宋"/>
          <w:b/>
          <w:color w:val="000000" w:themeColor="text1"/>
          <w:sz w:val="32"/>
          <w:szCs w:val="32"/>
        </w:rPr>
        <w:t>教育（类）</w:t>
      </w:r>
      <w:r>
        <w:rPr>
          <w:rFonts w:hint="eastAsia" w:ascii="仿宋" w:hAnsi="仿宋" w:eastAsia="仿宋"/>
          <w:b w:val="0"/>
          <w:bCs w:val="0"/>
          <w:color w:val="000000" w:themeColor="text1"/>
          <w:sz w:val="32"/>
          <w:szCs w:val="32"/>
          <w:lang w:eastAsia="zh-CN"/>
        </w:rPr>
        <w:t>：</w:t>
      </w:r>
      <w:r>
        <w:rPr>
          <w:rStyle w:val="18"/>
          <w:rFonts w:hint="eastAsia" w:ascii="仿宋" w:hAnsi="仿宋" w:eastAsia="仿宋"/>
          <w:b/>
          <w:bCs w:val="0"/>
          <w:color w:val="000000"/>
          <w:sz w:val="32"/>
          <w:szCs w:val="32"/>
          <w:lang w:val="en-US" w:eastAsia="zh-CN"/>
        </w:rPr>
        <w:t>2050802干部教育</w:t>
      </w:r>
      <w:r>
        <w:rPr>
          <w:rStyle w:val="18"/>
          <w:rFonts w:hint="eastAsia" w:ascii="仿宋" w:hAnsi="仿宋" w:eastAsia="仿宋"/>
          <w:b w:val="0"/>
          <w:bCs/>
          <w:color w:val="000000"/>
          <w:sz w:val="32"/>
          <w:szCs w:val="32"/>
          <w:lang w:val="en-US" w:eastAsia="zh-CN"/>
        </w:rPr>
        <w:t>支出12.44万元，完</w:t>
      </w:r>
      <w:r>
        <w:rPr>
          <w:rStyle w:val="18"/>
          <w:rFonts w:hint="eastAsia" w:ascii="仿宋" w:hAnsi="仿宋" w:eastAsia="仿宋"/>
          <w:b w:val="0"/>
          <w:bCs/>
          <w:color w:val="000000"/>
          <w:sz w:val="32"/>
          <w:szCs w:val="32"/>
        </w:rPr>
        <w:t>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lang w:val="en-US" w:eastAsia="zh-CN"/>
        </w:rPr>
        <w:t>。</w:t>
      </w:r>
    </w:p>
    <w:p>
      <w:pPr>
        <w:spacing w:line="600" w:lineRule="exact"/>
        <w:ind w:firstLine="640"/>
        <w:rPr>
          <w:rFonts w:hint="default" w:ascii="仿宋" w:hAnsi="仿宋" w:eastAsia="仿宋"/>
          <w:color w:val="000000" w:themeColor="text1"/>
          <w:sz w:val="32"/>
          <w:szCs w:val="32"/>
          <w:lang w:val="en-US" w:eastAsia="zh-CN"/>
        </w:rPr>
      </w:pPr>
      <w:r>
        <w:rPr>
          <w:rFonts w:hint="eastAsia" w:ascii="仿宋" w:hAnsi="仿宋" w:eastAsia="仿宋"/>
          <w:b/>
          <w:color w:val="000000" w:themeColor="text1"/>
          <w:sz w:val="32"/>
          <w:szCs w:val="32"/>
          <w:lang w:val="en-US" w:eastAsia="zh-CN"/>
        </w:rPr>
        <w:t>3.</w:t>
      </w:r>
      <w:r>
        <w:rPr>
          <w:rFonts w:hint="eastAsia" w:ascii="仿宋" w:hAnsi="仿宋" w:eastAsia="仿宋"/>
          <w:b/>
          <w:color w:val="000000" w:themeColor="text1"/>
          <w:sz w:val="32"/>
          <w:szCs w:val="32"/>
        </w:rPr>
        <w:t>社会保障和就业（类）</w:t>
      </w:r>
      <w:r>
        <w:rPr>
          <w:rFonts w:hint="eastAsia" w:ascii="仿宋" w:hAnsi="仿宋" w:eastAsia="仿宋"/>
          <w:b/>
          <w:color w:val="000000" w:themeColor="text1"/>
          <w:sz w:val="32"/>
          <w:szCs w:val="32"/>
          <w:lang w:eastAsia="zh-CN"/>
        </w:rPr>
        <w:t>：</w:t>
      </w:r>
      <w:r>
        <w:rPr>
          <w:rFonts w:hint="eastAsia" w:ascii="仿宋" w:hAnsi="仿宋" w:eastAsia="仿宋"/>
          <w:b/>
          <w:bCs/>
          <w:color w:val="000000" w:themeColor="text1"/>
          <w:sz w:val="32"/>
          <w:szCs w:val="32"/>
          <w:lang w:val="en-US" w:eastAsia="zh-CN"/>
        </w:rPr>
        <w:t>2080505机关事业单位基本养老保险缴费</w:t>
      </w:r>
      <w:r>
        <w:rPr>
          <w:rFonts w:hint="eastAsia" w:ascii="仿宋" w:hAnsi="仿宋" w:eastAsia="仿宋"/>
          <w:color w:val="000000" w:themeColor="text1"/>
          <w:sz w:val="32"/>
          <w:szCs w:val="32"/>
          <w:lang w:val="en-US" w:eastAsia="zh-CN"/>
        </w:rPr>
        <w:t>支出54.3万元，</w:t>
      </w:r>
      <w:r>
        <w:rPr>
          <w:rStyle w:val="18"/>
          <w:rFonts w:hint="eastAsia" w:ascii="仿宋" w:hAnsi="仿宋" w:eastAsia="仿宋"/>
          <w:b w:val="0"/>
          <w:bCs/>
          <w:color w:val="000000"/>
          <w:sz w:val="32"/>
          <w:szCs w:val="32"/>
        </w:rPr>
        <w:t>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lang w:eastAsia="zh-CN"/>
        </w:rPr>
        <w:t>；</w:t>
      </w:r>
      <w:r>
        <w:rPr>
          <w:rStyle w:val="18"/>
          <w:rFonts w:hint="eastAsia" w:ascii="仿宋" w:hAnsi="仿宋" w:eastAsia="仿宋"/>
          <w:b/>
          <w:bCs w:val="0"/>
          <w:color w:val="000000"/>
          <w:sz w:val="32"/>
          <w:szCs w:val="32"/>
          <w:lang w:val="en-US" w:eastAsia="zh-CN"/>
        </w:rPr>
        <w:t>2080506机关事业单位职业年金缴费</w:t>
      </w:r>
      <w:r>
        <w:rPr>
          <w:rStyle w:val="18"/>
          <w:rFonts w:hint="eastAsia" w:ascii="仿宋" w:hAnsi="仿宋" w:eastAsia="仿宋"/>
          <w:b w:val="0"/>
          <w:bCs/>
          <w:color w:val="000000"/>
          <w:sz w:val="32"/>
          <w:szCs w:val="32"/>
          <w:lang w:val="en-US" w:eastAsia="zh-CN"/>
        </w:rPr>
        <w:t>支出27.15万元，完成预算100%。</w:t>
      </w:r>
    </w:p>
    <w:p>
      <w:pPr>
        <w:spacing w:line="600" w:lineRule="exact"/>
        <w:ind w:firstLine="640"/>
        <w:rPr>
          <w:rFonts w:hint="default" w:ascii="仿宋" w:hAnsi="仿宋" w:eastAsia="仿宋"/>
          <w:color w:val="000000" w:themeColor="text1"/>
          <w:sz w:val="32"/>
          <w:szCs w:val="32"/>
          <w:lang w:val="en-US" w:eastAsia="zh-CN"/>
        </w:rPr>
      </w:pPr>
      <w:r>
        <w:rPr>
          <w:rFonts w:hint="eastAsia" w:ascii="仿宋" w:hAnsi="仿宋" w:eastAsia="仿宋"/>
          <w:b/>
          <w:bCs/>
          <w:color w:val="000000" w:themeColor="text1"/>
          <w:sz w:val="32"/>
          <w:szCs w:val="32"/>
          <w:lang w:val="en-US" w:eastAsia="zh-CN"/>
        </w:rPr>
        <w:t>4.</w:t>
      </w:r>
      <w:r>
        <w:rPr>
          <w:rFonts w:hint="eastAsia" w:ascii="仿宋" w:hAnsi="仿宋" w:eastAsia="仿宋"/>
          <w:b/>
          <w:bCs/>
          <w:color w:val="000000" w:themeColor="text1"/>
          <w:sz w:val="32"/>
          <w:szCs w:val="32"/>
        </w:rPr>
        <w:t>卫生健康</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类</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:2101101行政单位医疗</w:t>
      </w:r>
      <w:r>
        <w:rPr>
          <w:rFonts w:hint="eastAsia" w:ascii="仿宋" w:hAnsi="仿宋" w:eastAsia="仿宋"/>
          <w:color w:val="000000" w:themeColor="text1"/>
          <w:sz w:val="32"/>
          <w:szCs w:val="32"/>
          <w:lang w:val="en-US" w:eastAsia="zh-CN"/>
        </w:rPr>
        <w:t>支出23.79万元，</w:t>
      </w:r>
      <w:r>
        <w:rPr>
          <w:rStyle w:val="18"/>
          <w:rFonts w:hint="eastAsia" w:ascii="仿宋" w:hAnsi="仿宋" w:eastAsia="仿宋"/>
          <w:b w:val="0"/>
          <w:bCs/>
          <w:color w:val="000000"/>
          <w:sz w:val="32"/>
          <w:szCs w:val="32"/>
        </w:rPr>
        <w:t>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lang w:eastAsia="zh-CN"/>
        </w:rPr>
        <w:t>；</w:t>
      </w:r>
      <w:r>
        <w:rPr>
          <w:rStyle w:val="18"/>
          <w:rFonts w:hint="eastAsia" w:ascii="仿宋" w:hAnsi="仿宋" w:eastAsia="仿宋"/>
          <w:b/>
          <w:bCs w:val="0"/>
          <w:color w:val="000000"/>
          <w:sz w:val="32"/>
          <w:szCs w:val="32"/>
          <w:lang w:val="en-US" w:eastAsia="zh-CN"/>
        </w:rPr>
        <w:t>2101102事业单位医疗</w:t>
      </w:r>
      <w:r>
        <w:rPr>
          <w:rStyle w:val="18"/>
          <w:rFonts w:hint="eastAsia" w:ascii="仿宋" w:hAnsi="仿宋" w:eastAsia="仿宋"/>
          <w:b w:val="0"/>
          <w:bCs/>
          <w:color w:val="000000"/>
          <w:sz w:val="32"/>
          <w:szCs w:val="32"/>
          <w:lang w:val="en-US" w:eastAsia="zh-CN"/>
        </w:rPr>
        <w:t>支出5.88万元，完成预</w:t>
      </w:r>
      <w:r>
        <w:rPr>
          <w:rStyle w:val="18"/>
          <w:rFonts w:hint="eastAsia" w:ascii="仿宋" w:hAnsi="仿宋" w:eastAsia="仿宋" w:cs="Times New Roman"/>
          <w:b w:val="0"/>
          <w:bCs/>
          <w:color w:val="000000"/>
          <w:sz w:val="32"/>
          <w:szCs w:val="32"/>
          <w:lang w:val="en-US" w:eastAsia="zh-CN"/>
        </w:rPr>
        <w:t>算100%</w:t>
      </w:r>
      <w:r>
        <w:rPr>
          <w:rStyle w:val="18"/>
          <w:rFonts w:hint="eastAsia" w:ascii="仿宋" w:hAnsi="仿宋" w:eastAsia="仿宋"/>
          <w:b w:val="0"/>
          <w:bCs/>
          <w:color w:val="000000"/>
          <w:sz w:val="32"/>
          <w:szCs w:val="32"/>
          <w:lang w:val="en-US" w:eastAsia="zh-CN"/>
        </w:rPr>
        <w:t>；</w:t>
      </w:r>
      <w:r>
        <w:rPr>
          <w:rStyle w:val="18"/>
          <w:rFonts w:hint="eastAsia" w:ascii="仿宋" w:hAnsi="仿宋" w:eastAsia="仿宋"/>
          <w:b/>
          <w:bCs w:val="0"/>
          <w:color w:val="000000"/>
          <w:sz w:val="32"/>
          <w:szCs w:val="32"/>
          <w:lang w:val="en-US" w:eastAsia="zh-CN"/>
        </w:rPr>
        <w:t>2101103公务员医疗补助</w:t>
      </w:r>
      <w:r>
        <w:rPr>
          <w:rStyle w:val="18"/>
          <w:rFonts w:hint="eastAsia" w:ascii="仿宋" w:hAnsi="仿宋" w:eastAsia="仿宋"/>
          <w:b w:val="0"/>
          <w:bCs/>
          <w:color w:val="000000"/>
          <w:sz w:val="32"/>
          <w:szCs w:val="32"/>
          <w:lang w:val="en-US" w:eastAsia="zh-CN"/>
        </w:rPr>
        <w:t>支出6.43万元，完成预算100%；</w:t>
      </w:r>
      <w:r>
        <w:rPr>
          <w:rStyle w:val="18"/>
          <w:rFonts w:hint="eastAsia" w:ascii="仿宋" w:hAnsi="仿宋" w:eastAsia="仿宋"/>
          <w:b/>
          <w:bCs w:val="0"/>
          <w:color w:val="000000"/>
          <w:sz w:val="32"/>
          <w:szCs w:val="32"/>
          <w:lang w:val="en-US" w:eastAsia="zh-CN"/>
        </w:rPr>
        <w:t>2101199其他行政事业单位医疗</w:t>
      </w:r>
      <w:r>
        <w:rPr>
          <w:rStyle w:val="18"/>
          <w:rFonts w:hint="eastAsia" w:ascii="仿宋" w:hAnsi="仿宋" w:eastAsia="仿宋"/>
          <w:b w:val="0"/>
          <w:bCs/>
          <w:color w:val="000000"/>
          <w:sz w:val="32"/>
          <w:szCs w:val="32"/>
          <w:lang w:val="en-US" w:eastAsia="zh-CN"/>
        </w:rPr>
        <w:t>支出1.19万元，完成预算100%。</w:t>
      </w:r>
    </w:p>
    <w:p>
      <w:pPr>
        <w:spacing w:line="600" w:lineRule="exact"/>
        <w:ind w:firstLine="642" w:firstLineChars="200"/>
        <w:rPr>
          <w:rStyle w:val="18"/>
          <w:rFonts w:ascii="仿宋" w:hAnsi="仿宋" w:eastAsia="仿宋"/>
          <w:bCs/>
          <w:color w:val="000000"/>
          <w:sz w:val="32"/>
          <w:szCs w:val="32"/>
        </w:rPr>
      </w:pPr>
      <w:r>
        <w:rPr>
          <w:rFonts w:hint="eastAsia" w:ascii="仿宋" w:hAnsi="仿宋" w:eastAsia="仿宋"/>
          <w:b/>
          <w:bCs/>
          <w:color w:val="000000" w:themeColor="text1"/>
          <w:sz w:val="32"/>
          <w:szCs w:val="32"/>
          <w:lang w:val="en-US" w:eastAsia="zh-CN"/>
        </w:rPr>
        <w:t>5.</w:t>
      </w:r>
      <w:r>
        <w:rPr>
          <w:rFonts w:hint="eastAsia" w:ascii="仿宋" w:hAnsi="仿宋" w:eastAsia="仿宋"/>
          <w:b/>
          <w:bCs/>
          <w:color w:val="000000" w:themeColor="text1"/>
          <w:sz w:val="32"/>
          <w:szCs w:val="32"/>
        </w:rPr>
        <w:t>住房保障</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类</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w:t>
      </w:r>
      <w:r>
        <w:rPr>
          <w:rFonts w:hint="eastAsia" w:ascii="仿宋" w:hAnsi="仿宋" w:eastAsia="仿宋"/>
          <w:b/>
          <w:bCs/>
          <w:color w:val="000000"/>
          <w:sz w:val="32"/>
          <w:szCs w:val="32"/>
          <w:lang w:val="en-US" w:eastAsia="zh-CN"/>
        </w:rPr>
        <w:t>2210201住房公积金</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45.31</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1"/>
        </w:rPr>
      </w:pPr>
      <w:bookmarkStart w:id="51" w:name="_Toc1689725701"/>
      <w:r>
        <w:rPr>
          <w:rFonts w:hint="eastAsia" w:ascii="黑体" w:eastAsia="黑体"/>
          <w:sz w:val="32"/>
          <w:szCs w:val="32"/>
        </w:rPr>
        <w:t>六</w:t>
      </w:r>
      <w:r>
        <w:rPr>
          <w:rFonts w:hint="eastAsia" w:ascii="黑体" w:eastAsia="黑体"/>
          <w:b/>
          <w:sz w:val="32"/>
          <w:szCs w:val="32"/>
        </w:rPr>
        <w:t>、一</w:t>
      </w:r>
      <w:r>
        <w:rPr>
          <w:rStyle w:val="21"/>
          <w:rFonts w:hint="eastAsia" w:ascii="黑体" w:eastAsia="黑体"/>
          <w:b w:val="0"/>
        </w:rPr>
        <w:t>般公共预算财政拨款基本支出决算情况说明</w:t>
      </w:r>
      <w:bookmarkEnd w:id="49"/>
      <w:bookmarkEnd w:id="50"/>
      <w:bookmarkEnd w:id="51"/>
      <w:r>
        <w:rPr>
          <w:rStyle w:val="21"/>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22年一般公共预算财政拨款基本支出</w:t>
      </w:r>
      <w:r>
        <w:rPr>
          <w:rFonts w:hint="eastAsia" w:ascii="仿宋" w:eastAsia="仿宋"/>
          <w:sz w:val="32"/>
          <w:szCs w:val="32"/>
          <w:lang w:val="en-US" w:eastAsia="zh-CN"/>
        </w:rPr>
        <w:t>720.55</w:t>
      </w:r>
      <w:r>
        <w:rPr>
          <w:rFonts w:hint="eastAsia" w:ascii="仿宋" w:eastAsia="仿宋"/>
          <w:sz w:val="32"/>
          <w:szCs w:val="32"/>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646"/>
        <w:textAlignment w:val="auto"/>
        <w:rPr>
          <w:rFonts w:ascii="仿宋" w:eastAsia="仿宋"/>
          <w:b/>
          <w:sz w:val="32"/>
          <w:szCs w:val="32"/>
        </w:rPr>
      </w:pPr>
      <w:r>
        <w:rPr>
          <w:rFonts w:hint="eastAsia" w:ascii="仿宋" w:eastAsia="仿宋"/>
          <w:sz w:val="32"/>
          <w:szCs w:val="32"/>
        </w:rPr>
        <w:t>人员经费</w:t>
      </w:r>
      <w:r>
        <w:rPr>
          <w:rFonts w:hint="eastAsia" w:ascii="仿宋" w:eastAsia="仿宋"/>
          <w:sz w:val="32"/>
          <w:szCs w:val="32"/>
          <w:lang w:val="en-US" w:eastAsia="zh-CN"/>
        </w:rPr>
        <w:t>656.47</w:t>
      </w:r>
      <w:r>
        <w:rPr>
          <w:rFonts w:hint="eastAsia" w:ascii="仿宋" w:eastAsia="仿宋"/>
          <w:sz w:val="32"/>
          <w:szCs w:val="32"/>
        </w:rPr>
        <w:t>万元，主要包括：基本工资</w:t>
      </w:r>
      <w:r>
        <w:rPr>
          <w:rFonts w:hint="eastAsia" w:ascii="仿宋" w:eastAsia="仿宋"/>
          <w:sz w:val="32"/>
          <w:szCs w:val="32"/>
          <w:lang w:val="en-US" w:eastAsia="zh-CN"/>
        </w:rPr>
        <w:t>111.51万元</w:t>
      </w:r>
      <w:r>
        <w:rPr>
          <w:rFonts w:hint="eastAsia" w:ascii="仿宋" w:eastAsia="仿宋"/>
          <w:sz w:val="32"/>
          <w:szCs w:val="32"/>
        </w:rPr>
        <w:t>、津贴补贴</w:t>
      </w:r>
      <w:r>
        <w:rPr>
          <w:rFonts w:hint="eastAsia" w:ascii="仿宋" w:eastAsia="仿宋"/>
          <w:sz w:val="32"/>
          <w:szCs w:val="32"/>
          <w:lang w:val="en-US" w:eastAsia="zh-CN"/>
        </w:rPr>
        <w:t>329.25</w:t>
      </w:r>
      <w:r>
        <w:rPr>
          <w:rFonts w:hint="eastAsia" w:ascii="仿宋" w:eastAsia="仿宋"/>
          <w:sz w:val="32"/>
          <w:szCs w:val="32"/>
        </w:rPr>
        <w:t>万元、奖金</w:t>
      </w:r>
      <w:r>
        <w:rPr>
          <w:rFonts w:hint="eastAsia" w:ascii="仿宋" w:eastAsia="仿宋"/>
          <w:sz w:val="32"/>
          <w:szCs w:val="32"/>
          <w:lang w:val="en-US" w:eastAsia="zh-CN"/>
        </w:rPr>
        <w:t>10.8</w:t>
      </w:r>
      <w:r>
        <w:rPr>
          <w:rFonts w:hint="eastAsia" w:ascii="仿宋" w:eastAsia="仿宋"/>
          <w:sz w:val="32"/>
          <w:szCs w:val="32"/>
        </w:rPr>
        <w:t>万元、绩效工资</w:t>
      </w:r>
      <w:r>
        <w:rPr>
          <w:rFonts w:hint="eastAsia" w:ascii="仿宋" w:eastAsia="仿宋"/>
          <w:sz w:val="32"/>
          <w:szCs w:val="32"/>
          <w:lang w:val="en-US" w:eastAsia="zh-CN"/>
        </w:rPr>
        <w:t>18.21</w:t>
      </w:r>
      <w:r>
        <w:rPr>
          <w:rFonts w:hint="eastAsia" w:ascii="仿宋" w:eastAsia="仿宋"/>
          <w:sz w:val="32"/>
          <w:szCs w:val="32"/>
        </w:rPr>
        <w:t>万元、机关事业单位基本养老保险缴费</w:t>
      </w:r>
      <w:r>
        <w:rPr>
          <w:rFonts w:hint="eastAsia" w:ascii="仿宋" w:eastAsia="仿宋"/>
          <w:sz w:val="32"/>
          <w:szCs w:val="32"/>
          <w:lang w:val="en-US" w:eastAsia="zh-CN"/>
        </w:rPr>
        <w:t>54.3</w:t>
      </w:r>
      <w:r>
        <w:rPr>
          <w:rFonts w:hint="eastAsia" w:ascii="仿宋" w:eastAsia="仿宋"/>
          <w:sz w:val="32"/>
          <w:szCs w:val="32"/>
        </w:rPr>
        <w:t>万元、职业年金缴费</w:t>
      </w:r>
      <w:r>
        <w:rPr>
          <w:rFonts w:hint="eastAsia" w:ascii="仿宋" w:eastAsia="仿宋"/>
          <w:sz w:val="32"/>
          <w:szCs w:val="32"/>
          <w:lang w:val="en-US" w:eastAsia="zh-CN"/>
        </w:rPr>
        <w:t>27.15</w:t>
      </w:r>
      <w:r>
        <w:rPr>
          <w:rFonts w:hint="eastAsia" w:ascii="仿宋" w:eastAsia="仿宋"/>
          <w:sz w:val="32"/>
          <w:szCs w:val="32"/>
        </w:rPr>
        <w:t>万元、职工基本医疗保险缴费</w:t>
      </w:r>
      <w:r>
        <w:rPr>
          <w:rFonts w:hint="eastAsia" w:ascii="仿宋" w:eastAsia="仿宋"/>
          <w:sz w:val="32"/>
          <w:szCs w:val="32"/>
          <w:lang w:val="en-US" w:eastAsia="zh-CN"/>
        </w:rPr>
        <w:t>29.67</w:t>
      </w:r>
      <w:r>
        <w:rPr>
          <w:rFonts w:hint="eastAsia" w:ascii="仿宋" w:eastAsia="仿宋"/>
          <w:sz w:val="32"/>
          <w:szCs w:val="32"/>
        </w:rPr>
        <w:t>万元</w:t>
      </w:r>
      <w:r>
        <w:rPr>
          <w:rFonts w:hint="eastAsia" w:ascii="仿宋" w:eastAsia="仿宋"/>
          <w:sz w:val="32"/>
          <w:szCs w:val="32"/>
          <w:lang w:val="en-US" w:eastAsia="zh-CN"/>
        </w:rPr>
        <w:t>、公务员医疗补助缴费7.62</w:t>
      </w:r>
      <w:r>
        <w:rPr>
          <w:rFonts w:hint="eastAsia" w:ascii="仿宋" w:eastAsia="仿宋"/>
          <w:sz w:val="32"/>
          <w:szCs w:val="32"/>
        </w:rPr>
        <w:t>万元</w:t>
      </w:r>
      <w:r>
        <w:rPr>
          <w:rFonts w:hint="eastAsia" w:ascii="仿宋" w:eastAsia="仿宋"/>
          <w:sz w:val="32"/>
          <w:szCs w:val="32"/>
          <w:lang w:val="en-US" w:eastAsia="zh-CN"/>
        </w:rPr>
        <w:t>、</w:t>
      </w:r>
      <w:r>
        <w:rPr>
          <w:rFonts w:hint="eastAsia" w:ascii="仿宋" w:eastAsia="仿宋"/>
          <w:sz w:val="32"/>
          <w:szCs w:val="32"/>
        </w:rPr>
        <w:t>其他社会保障缴费</w:t>
      </w:r>
      <w:r>
        <w:rPr>
          <w:rFonts w:hint="eastAsia" w:ascii="仿宋" w:eastAsia="仿宋"/>
          <w:sz w:val="32"/>
          <w:szCs w:val="32"/>
          <w:lang w:val="en-US" w:eastAsia="zh-CN"/>
        </w:rPr>
        <w:t>5.73</w:t>
      </w:r>
      <w:r>
        <w:rPr>
          <w:rFonts w:hint="eastAsia" w:ascii="仿宋" w:eastAsia="仿宋"/>
          <w:sz w:val="32"/>
          <w:szCs w:val="32"/>
        </w:rPr>
        <w:t>万元、生活补助</w:t>
      </w:r>
      <w:r>
        <w:rPr>
          <w:rFonts w:hint="eastAsia" w:ascii="仿宋" w:eastAsia="仿宋"/>
          <w:sz w:val="32"/>
          <w:szCs w:val="32"/>
          <w:lang w:val="en-US" w:eastAsia="zh-CN"/>
        </w:rPr>
        <w:t>16.78</w:t>
      </w:r>
      <w:r>
        <w:rPr>
          <w:rFonts w:hint="eastAsia" w:ascii="仿宋" w:eastAsia="仿宋"/>
          <w:sz w:val="32"/>
          <w:szCs w:val="32"/>
        </w:rPr>
        <w:t>万元、医疗费补助</w:t>
      </w:r>
      <w:r>
        <w:rPr>
          <w:rFonts w:hint="eastAsia" w:ascii="仿宋" w:eastAsia="仿宋"/>
          <w:sz w:val="32"/>
          <w:szCs w:val="32"/>
          <w:lang w:val="en-US" w:eastAsia="zh-CN"/>
        </w:rPr>
        <w:t>0.12</w:t>
      </w:r>
      <w:r>
        <w:rPr>
          <w:rFonts w:hint="eastAsia" w:ascii="仿宋" w:eastAsia="仿宋"/>
          <w:sz w:val="32"/>
          <w:szCs w:val="32"/>
        </w:rPr>
        <w:t>万元、奖励金</w:t>
      </w:r>
      <w:r>
        <w:rPr>
          <w:rFonts w:hint="eastAsia" w:ascii="仿宋" w:eastAsia="仿宋"/>
          <w:sz w:val="32"/>
          <w:szCs w:val="32"/>
          <w:lang w:val="en-US" w:eastAsia="zh-CN"/>
        </w:rPr>
        <w:t>0.01</w:t>
      </w:r>
      <w:r>
        <w:rPr>
          <w:rFonts w:hint="eastAsia" w:ascii="仿宋" w:eastAsia="仿宋"/>
          <w:sz w:val="32"/>
          <w:szCs w:val="32"/>
        </w:rPr>
        <w:t>万元、住房公积金</w:t>
      </w:r>
      <w:r>
        <w:rPr>
          <w:rFonts w:hint="eastAsia" w:ascii="仿宋" w:eastAsia="仿宋"/>
          <w:sz w:val="32"/>
          <w:szCs w:val="32"/>
          <w:lang w:val="en-US" w:eastAsia="zh-CN"/>
        </w:rPr>
        <w:t>45.31</w:t>
      </w:r>
      <w:r>
        <w:rPr>
          <w:rFonts w:hint="eastAsia" w:ascii="仿宋" w:eastAsia="仿宋"/>
          <w:sz w:val="32"/>
          <w:szCs w:val="32"/>
        </w:rPr>
        <w:t>万元。</w:t>
      </w:r>
      <w:r>
        <w:rPr>
          <w:rFonts w:ascii="仿宋" w:eastAsia="仿宋"/>
          <w:sz w:val="32"/>
          <w:szCs w:val="32"/>
        </w:rPr>
        <w:br w:type="textWrapping"/>
      </w:r>
      <w:r>
        <w:rPr>
          <w:rFonts w:hint="eastAsia" w:ascii="仿宋" w:eastAsia="仿宋"/>
          <w:sz w:val="32"/>
          <w:szCs w:val="32"/>
          <w:lang w:val="en-US" w:eastAsia="zh-CN"/>
        </w:rPr>
        <w:t xml:space="preserve">    </w:t>
      </w:r>
      <w:r>
        <w:rPr>
          <w:rFonts w:hint="eastAsia" w:ascii="仿宋" w:eastAsia="仿宋"/>
          <w:sz w:val="32"/>
          <w:szCs w:val="32"/>
        </w:rPr>
        <w:t>公用经费</w:t>
      </w:r>
      <w:r>
        <w:rPr>
          <w:rFonts w:hint="eastAsia" w:ascii="仿宋" w:eastAsia="仿宋"/>
          <w:sz w:val="32"/>
          <w:szCs w:val="32"/>
          <w:lang w:val="en-US" w:eastAsia="zh-CN"/>
        </w:rPr>
        <w:t>64.08</w:t>
      </w:r>
      <w:r>
        <w:rPr>
          <w:rFonts w:hint="eastAsia" w:ascii="仿宋" w:eastAsia="仿宋"/>
          <w:sz w:val="32"/>
          <w:szCs w:val="32"/>
        </w:rPr>
        <w:t>万元，主要包括：办公费</w:t>
      </w:r>
      <w:r>
        <w:rPr>
          <w:rFonts w:hint="eastAsia" w:ascii="仿宋" w:eastAsia="仿宋"/>
          <w:sz w:val="32"/>
          <w:szCs w:val="32"/>
          <w:lang w:val="en-US" w:eastAsia="zh-CN"/>
        </w:rPr>
        <w:t>26.5</w:t>
      </w:r>
      <w:r>
        <w:rPr>
          <w:rFonts w:hint="eastAsia" w:ascii="仿宋" w:eastAsia="仿宋"/>
          <w:sz w:val="32"/>
          <w:szCs w:val="32"/>
        </w:rPr>
        <w:t>万元、印刷费</w:t>
      </w:r>
      <w:r>
        <w:rPr>
          <w:rFonts w:hint="eastAsia" w:ascii="仿宋" w:eastAsia="仿宋"/>
          <w:sz w:val="32"/>
          <w:szCs w:val="32"/>
          <w:lang w:val="en-US" w:eastAsia="zh-CN"/>
        </w:rPr>
        <w:t>4</w:t>
      </w:r>
      <w:r>
        <w:rPr>
          <w:rFonts w:hint="eastAsia" w:ascii="仿宋" w:eastAsia="仿宋"/>
          <w:sz w:val="32"/>
          <w:szCs w:val="32"/>
        </w:rPr>
        <w:t>万元、水费</w:t>
      </w:r>
      <w:r>
        <w:rPr>
          <w:rFonts w:hint="eastAsia" w:ascii="仿宋" w:eastAsia="仿宋"/>
          <w:sz w:val="32"/>
          <w:szCs w:val="32"/>
          <w:lang w:val="en-US" w:eastAsia="zh-CN"/>
        </w:rPr>
        <w:t>0.2</w:t>
      </w:r>
      <w:r>
        <w:rPr>
          <w:rFonts w:hint="eastAsia" w:ascii="仿宋" w:eastAsia="仿宋"/>
          <w:sz w:val="32"/>
          <w:szCs w:val="32"/>
        </w:rPr>
        <w:t>万元、电费</w:t>
      </w:r>
      <w:r>
        <w:rPr>
          <w:rFonts w:hint="eastAsia" w:ascii="仿宋" w:eastAsia="仿宋"/>
          <w:sz w:val="32"/>
          <w:szCs w:val="32"/>
          <w:lang w:val="en-US" w:eastAsia="zh-CN"/>
        </w:rPr>
        <w:t>1</w:t>
      </w:r>
      <w:r>
        <w:rPr>
          <w:rFonts w:hint="eastAsia" w:ascii="仿宋" w:eastAsia="仿宋"/>
          <w:sz w:val="32"/>
          <w:szCs w:val="32"/>
        </w:rPr>
        <w:t>万元、邮电费</w:t>
      </w:r>
      <w:r>
        <w:rPr>
          <w:rFonts w:hint="eastAsia" w:ascii="仿宋" w:eastAsia="仿宋"/>
          <w:sz w:val="32"/>
          <w:szCs w:val="32"/>
          <w:lang w:val="en-US" w:eastAsia="zh-CN"/>
        </w:rPr>
        <w:t>1.76</w:t>
      </w:r>
      <w:r>
        <w:rPr>
          <w:rFonts w:hint="eastAsia" w:ascii="仿宋" w:eastAsia="仿宋"/>
          <w:sz w:val="32"/>
          <w:szCs w:val="32"/>
        </w:rPr>
        <w:t>万元、差旅费</w:t>
      </w:r>
      <w:r>
        <w:rPr>
          <w:rFonts w:hint="eastAsia" w:ascii="仿宋" w:eastAsia="仿宋"/>
          <w:sz w:val="32"/>
          <w:szCs w:val="32"/>
          <w:lang w:val="en-US" w:eastAsia="zh-CN"/>
        </w:rPr>
        <w:t>1</w:t>
      </w:r>
      <w:r>
        <w:rPr>
          <w:rFonts w:hint="eastAsia" w:ascii="仿宋" w:eastAsia="仿宋"/>
          <w:sz w:val="32"/>
          <w:szCs w:val="32"/>
        </w:rPr>
        <w:t>万元、因公出国（境）费用、维修（护）费</w:t>
      </w:r>
      <w:r>
        <w:rPr>
          <w:rFonts w:hint="eastAsia" w:ascii="仿宋" w:eastAsia="仿宋"/>
          <w:sz w:val="32"/>
          <w:szCs w:val="32"/>
          <w:lang w:val="en-US" w:eastAsia="zh-CN"/>
        </w:rPr>
        <w:t>3.55</w:t>
      </w:r>
      <w:r>
        <w:rPr>
          <w:rFonts w:hint="eastAsia" w:ascii="仿宋" w:eastAsia="仿宋"/>
          <w:sz w:val="32"/>
          <w:szCs w:val="32"/>
        </w:rPr>
        <w:t>万元、会议费</w:t>
      </w:r>
      <w:r>
        <w:rPr>
          <w:rFonts w:hint="eastAsia" w:ascii="仿宋" w:eastAsia="仿宋"/>
          <w:sz w:val="32"/>
          <w:szCs w:val="32"/>
          <w:lang w:val="en-US" w:eastAsia="zh-CN"/>
        </w:rPr>
        <w:t>7.31</w:t>
      </w:r>
      <w:r>
        <w:rPr>
          <w:rFonts w:hint="eastAsia" w:ascii="仿宋" w:eastAsia="仿宋"/>
          <w:sz w:val="32"/>
          <w:szCs w:val="32"/>
        </w:rPr>
        <w:t>万元、培训费</w:t>
      </w:r>
      <w:r>
        <w:rPr>
          <w:rFonts w:hint="eastAsia" w:ascii="仿宋" w:eastAsia="仿宋"/>
          <w:sz w:val="32"/>
          <w:szCs w:val="32"/>
          <w:lang w:val="en-US" w:eastAsia="zh-CN"/>
        </w:rPr>
        <w:t>3</w:t>
      </w:r>
      <w:r>
        <w:rPr>
          <w:rFonts w:hint="eastAsia" w:ascii="仿宋" w:eastAsia="仿宋"/>
          <w:sz w:val="32"/>
          <w:szCs w:val="32"/>
        </w:rPr>
        <w:t>万元、公务接待费</w:t>
      </w:r>
      <w:r>
        <w:rPr>
          <w:rFonts w:hint="eastAsia" w:ascii="仿宋" w:eastAsia="仿宋"/>
          <w:sz w:val="32"/>
          <w:szCs w:val="32"/>
          <w:lang w:val="en-US" w:eastAsia="zh-CN"/>
        </w:rPr>
        <w:t>0.09</w:t>
      </w:r>
      <w:r>
        <w:rPr>
          <w:rFonts w:hint="eastAsia" w:ascii="仿宋" w:eastAsia="仿宋"/>
          <w:sz w:val="32"/>
          <w:szCs w:val="32"/>
        </w:rPr>
        <w:t>万元、工会经费</w:t>
      </w:r>
      <w:r>
        <w:rPr>
          <w:rFonts w:hint="eastAsia" w:ascii="仿宋" w:eastAsia="仿宋"/>
          <w:sz w:val="32"/>
          <w:szCs w:val="32"/>
          <w:lang w:val="en-US" w:eastAsia="zh-CN"/>
        </w:rPr>
        <w:t>3.23</w:t>
      </w:r>
      <w:r>
        <w:rPr>
          <w:rFonts w:hint="eastAsia" w:ascii="仿宋" w:eastAsia="仿宋"/>
          <w:sz w:val="32"/>
          <w:szCs w:val="32"/>
        </w:rPr>
        <w:t>万元、公务用车运行维护费</w:t>
      </w:r>
      <w:r>
        <w:rPr>
          <w:rFonts w:hint="eastAsia" w:ascii="仿宋" w:eastAsia="仿宋"/>
          <w:sz w:val="32"/>
          <w:szCs w:val="32"/>
          <w:lang w:val="en-US" w:eastAsia="zh-CN"/>
        </w:rPr>
        <w:t>12.43</w:t>
      </w:r>
      <w:r>
        <w:rPr>
          <w:rFonts w:hint="eastAsia" w:ascii="仿宋" w:eastAsia="仿宋"/>
          <w:sz w:val="32"/>
          <w:szCs w:val="32"/>
        </w:rPr>
        <w:t>万元。</w:t>
      </w:r>
    </w:p>
    <w:p>
      <w:pPr>
        <w:spacing w:line="600" w:lineRule="exact"/>
        <w:ind w:firstLine="640"/>
        <w:outlineLvl w:val="1"/>
        <w:rPr>
          <w:rStyle w:val="21"/>
          <w:rFonts w:ascii="黑体" w:eastAsia="黑体"/>
          <w:b w:val="0"/>
        </w:rPr>
      </w:pPr>
      <w:bookmarkStart w:id="52" w:name="_Toc15377215"/>
      <w:bookmarkStart w:id="53" w:name="_Toc1633529904"/>
      <w:bookmarkStart w:id="54" w:name="_Toc15396609"/>
      <w:r>
        <w:rPr>
          <w:rFonts w:hint="eastAsia" w:ascii="黑体" w:eastAsia="黑体"/>
          <w:sz w:val="32"/>
          <w:szCs w:val="32"/>
        </w:rPr>
        <w:t>七、</w:t>
      </w:r>
      <w:r>
        <w:rPr>
          <w:rStyle w:val="21"/>
          <w:rFonts w:hint="eastAsia" w:ascii="黑体" w:eastAsia="黑体"/>
          <w:b w:val="0"/>
        </w:rPr>
        <w:t>财政拨款</w:t>
      </w:r>
      <w:r>
        <w:rPr>
          <w:rStyle w:val="21"/>
          <w:rFonts w:hint="eastAsia" w:ascii="黑体" w:eastAsia="黑体"/>
        </w:rPr>
        <w:t>“</w:t>
      </w:r>
      <w:r>
        <w:rPr>
          <w:rStyle w:val="21"/>
          <w:rFonts w:hint="eastAsia" w:ascii="黑体" w:eastAsia="黑体"/>
          <w:b w:val="0"/>
        </w:rPr>
        <w:t>三公”经费支出决算情况说明</w:t>
      </w:r>
      <w:bookmarkEnd w:id="52"/>
      <w:bookmarkEnd w:id="53"/>
      <w:bookmarkEnd w:id="54"/>
    </w:p>
    <w:p>
      <w:pPr>
        <w:spacing w:line="600" w:lineRule="exact"/>
        <w:ind w:firstLine="640"/>
        <w:outlineLvl w:val="2"/>
        <w:rPr>
          <w:rFonts w:ascii="仿宋" w:eastAsia="仿宋"/>
          <w:b/>
          <w:sz w:val="32"/>
          <w:szCs w:val="32"/>
        </w:rPr>
      </w:pPr>
      <w:bookmarkStart w:id="55" w:name="_Toc15377216"/>
      <w:r>
        <w:rPr>
          <w:rFonts w:hint="eastAsia" w:ascii="仿宋" w:eastAsia="仿宋"/>
          <w:b/>
          <w:sz w:val="32"/>
          <w:szCs w:val="32"/>
        </w:rPr>
        <w:t>（一）“三公”经费财政拨款支出决算总体情况说明</w:t>
      </w:r>
      <w:bookmarkEnd w:id="55"/>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22年“三公”经费财政拨款支出决算为</w:t>
      </w:r>
      <w:r>
        <w:rPr>
          <w:rFonts w:hint="eastAsia" w:ascii="仿宋" w:eastAsia="仿宋"/>
          <w:sz w:val="32"/>
          <w:szCs w:val="32"/>
          <w:lang w:val="en-US" w:eastAsia="zh-CN"/>
        </w:rPr>
        <w:t>12.52</w:t>
      </w:r>
      <w:r>
        <w:rPr>
          <w:rFonts w:hint="eastAsia" w:ascii="仿宋" w:eastAsia="仿宋"/>
          <w:sz w:val="32"/>
          <w:szCs w:val="32"/>
        </w:rPr>
        <w:t>万元，完成预算</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，较上年增加</w:t>
      </w:r>
      <w:r>
        <w:rPr>
          <w:rFonts w:hint="eastAsia" w:ascii="仿宋" w:eastAsia="仿宋"/>
          <w:sz w:val="32"/>
          <w:szCs w:val="32"/>
          <w:lang w:val="en-US" w:eastAsia="zh-CN"/>
        </w:rPr>
        <w:t>0.51</w:t>
      </w:r>
      <w:r>
        <w:rPr>
          <w:rFonts w:hint="eastAsia" w:ascii="仿宋" w:eastAsia="仿宋"/>
          <w:sz w:val="32"/>
          <w:szCs w:val="32"/>
        </w:rPr>
        <w:t>万元，增长</w:t>
      </w:r>
      <w:r>
        <w:rPr>
          <w:rFonts w:hint="eastAsia" w:ascii="仿宋" w:eastAsia="仿宋"/>
          <w:sz w:val="32"/>
          <w:szCs w:val="32"/>
          <w:lang w:val="en-US" w:eastAsia="zh-CN"/>
        </w:rPr>
        <w:t>3.38</w:t>
      </w:r>
      <w:r>
        <w:rPr>
          <w:rFonts w:hint="eastAsia" w:ascii="仿宋" w:eastAsia="仿宋"/>
          <w:sz w:val="32"/>
          <w:szCs w:val="32"/>
        </w:rPr>
        <w:t>%。决算数与预算数持平。</w:t>
      </w:r>
    </w:p>
    <w:p>
      <w:pPr>
        <w:spacing w:line="600" w:lineRule="exact"/>
        <w:ind w:firstLine="640"/>
        <w:outlineLvl w:val="2"/>
        <w:rPr>
          <w:rFonts w:ascii="仿宋" w:eastAsia="仿宋"/>
          <w:b/>
          <w:sz w:val="32"/>
          <w:szCs w:val="32"/>
        </w:rPr>
      </w:pPr>
      <w:bookmarkStart w:id="56" w:name="_Toc15377217"/>
      <w:r>
        <w:rPr>
          <w:rFonts w:hint="eastAsia" w:ascii="仿宋" w:eastAsia="仿宋"/>
          <w:b/>
          <w:sz w:val="32"/>
          <w:szCs w:val="32"/>
        </w:rPr>
        <w:t>（二）“三公”经费财政拨款支出决算具体情况说明</w:t>
      </w:r>
      <w:bookmarkEnd w:id="56"/>
    </w:p>
    <w:p>
      <w:pPr>
        <w:spacing w:line="600" w:lineRule="exact"/>
        <w:ind w:firstLine="640"/>
        <w:rPr>
          <w:rFonts w:hint="eastAsia" w:ascii="仿宋" w:eastAsia="仿宋"/>
          <w:sz w:val="32"/>
          <w:szCs w:val="32"/>
        </w:rPr>
      </w:pPr>
      <w:r>
        <w:rPr>
          <w:rFonts w:ascii="仿宋" w:eastAsia="仿宋"/>
          <w:sz w:val="32"/>
          <w:szCs w:val="32"/>
        </w:rPr>
        <w:t>20</w:t>
      </w:r>
      <w:r>
        <w:rPr>
          <w:rFonts w:hint="eastAsia" w:ascii="仿宋" w:eastAsia="仿宋"/>
          <w:sz w:val="32"/>
          <w:szCs w:val="32"/>
        </w:rPr>
        <w:t>22年“三公”经费财政拨款支出决算中，因公出国（境）费支出决算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12.43</w:t>
      </w:r>
      <w:r>
        <w:rPr>
          <w:rFonts w:hint="eastAsia" w:ascii="仿宋" w:eastAsia="仿宋"/>
          <w:sz w:val="32"/>
          <w:szCs w:val="32"/>
        </w:rPr>
        <w:t>万元，占</w:t>
      </w:r>
      <w:r>
        <w:rPr>
          <w:rFonts w:hint="eastAsia" w:ascii="仿宋" w:eastAsia="仿宋"/>
          <w:sz w:val="32"/>
          <w:szCs w:val="32"/>
          <w:lang w:val="en-US" w:eastAsia="zh-CN"/>
        </w:rPr>
        <w:t>99.28</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0.9</w:t>
      </w:r>
      <w:r>
        <w:rPr>
          <w:rFonts w:hint="eastAsia" w:ascii="仿宋" w:eastAsia="仿宋"/>
          <w:sz w:val="32"/>
          <w:szCs w:val="32"/>
        </w:rPr>
        <w:t>万元，占</w:t>
      </w:r>
      <w:r>
        <w:rPr>
          <w:rFonts w:hint="eastAsia" w:ascii="仿宋" w:eastAsia="仿宋"/>
          <w:sz w:val="32"/>
          <w:szCs w:val="32"/>
          <w:lang w:val="en-US" w:eastAsia="zh-CN"/>
        </w:rPr>
        <w:t>0.72</w:t>
      </w:r>
      <w:r>
        <w:rPr>
          <w:rFonts w:ascii="仿宋" w:eastAsia="仿宋"/>
          <w:sz w:val="32"/>
          <w:szCs w:val="32"/>
        </w:rPr>
        <w:t>%</w:t>
      </w:r>
      <w:r>
        <w:rPr>
          <w:rFonts w:hint="eastAsia" w:ascii="仿宋" w:eastAsia="仿宋"/>
          <w:sz w:val="32"/>
          <w:szCs w:val="32"/>
        </w:rPr>
        <w:t>。具体情况如下：</w:t>
      </w:r>
    </w:p>
    <w:p>
      <w:pPr>
        <w:jc w:val="center"/>
      </w:pPr>
      <w:r>
        <w:drawing>
          <wp:inline distT="0" distB="0" distL="114300" distR="114300">
            <wp:extent cx="4562475" cy="2743200"/>
            <wp:effectExtent l="4445" t="4445" r="5080"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jc w:val="center"/>
        <w:rPr>
          <w:rFonts w:ascii="仿宋" w:eastAsia="仿宋"/>
          <w:sz w:val="32"/>
          <w:szCs w:val="32"/>
        </w:rPr>
      </w:pPr>
      <w:r>
        <w:rPr>
          <w:rFonts w:hint="eastAsia" w:ascii="仿宋" w:eastAsia="仿宋"/>
          <w:sz w:val="32"/>
          <w:szCs w:val="32"/>
        </w:rPr>
        <w:t>（图7：“三公”经费财政拨款支出结构）</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8"/>
          <w:rFonts w:hint="eastAsia" w:ascii="仿宋" w:eastAsia="仿宋"/>
          <w:b w:val="0"/>
          <w:bCs/>
          <w:sz w:val="32"/>
          <w:szCs w:val="32"/>
        </w:rPr>
        <w:t>完成预算</w:t>
      </w:r>
      <w:r>
        <w:rPr>
          <w:rStyle w:val="18"/>
          <w:rFonts w:hint="eastAsia" w:ascii="仿宋" w:eastAsia="仿宋"/>
          <w:b w:val="0"/>
          <w:bCs/>
          <w:sz w:val="32"/>
          <w:szCs w:val="32"/>
          <w:lang w:val="en-US" w:eastAsia="zh-CN"/>
        </w:rPr>
        <w:t>0</w:t>
      </w:r>
      <w:r>
        <w:rPr>
          <w:rStyle w:val="18"/>
          <w:rFonts w:ascii="仿宋" w:eastAsia="仿宋"/>
          <w:b w:val="0"/>
          <w:bCs/>
          <w:sz w:val="32"/>
          <w:szCs w:val="32"/>
        </w:rPr>
        <w:t>%</w:t>
      </w:r>
      <w:r>
        <w:rPr>
          <w:rStyle w:val="18"/>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w:t>
      </w:r>
      <w:r>
        <w:rPr>
          <w:rFonts w:hint="eastAsia" w:ascii="仿宋_GB2312" w:eastAsia="仿宋_GB2312"/>
          <w:sz w:val="32"/>
          <w:szCs w:val="32"/>
          <w:lang w:eastAsia="zh-CN"/>
        </w:rPr>
        <w:t>与</w:t>
      </w: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eastAsia="zh-CN"/>
        </w:rPr>
        <w:t>持平</w:t>
      </w:r>
      <w:r>
        <w:rPr>
          <w:rFonts w:hint="eastAsia" w:ascii="仿宋_GB2312" w:eastAsia="仿宋_GB2312"/>
          <w:sz w:val="32"/>
          <w:szCs w:val="32"/>
        </w:rPr>
        <w:t>。</w:t>
      </w:r>
    </w:p>
    <w:p>
      <w:pPr>
        <w:spacing w:line="600" w:lineRule="exact"/>
        <w:ind w:firstLine="640"/>
        <w:rPr>
          <w:rFonts w:ascii="仿宋_GB2312" w:eastAsia="仿宋_GB2312"/>
          <w:sz w:val="32"/>
          <w:szCs w:val="32"/>
        </w:rPr>
      </w:pPr>
      <w:r>
        <w:rPr>
          <w:rFonts w:hint="eastAsia" w:ascii="仿宋_GB2312" w:eastAsia="仿宋_GB2312"/>
          <w:sz w:val="32"/>
          <w:szCs w:val="32"/>
        </w:rPr>
        <w:t>开支内容包括：…（团组名称、出访地点、取得成效）等。</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12.43</w:t>
      </w:r>
      <w:r>
        <w:rPr>
          <w:rFonts w:hint="eastAsia" w:ascii="仿宋_GB2312" w:eastAsia="仿宋_GB2312"/>
          <w:sz w:val="32"/>
          <w:szCs w:val="32"/>
        </w:rPr>
        <w:t>万元,</w:t>
      </w:r>
      <w:r>
        <w:rPr>
          <w:rStyle w:val="18"/>
          <w:rFonts w:hint="eastAsia" w:ascii="仿宋" w:eastAsia="仿宋"/>
          <w:b w:val="0"/>
          <w:bCs/>
          <w:sz w:val="32"/>
          <w:szCs w:val="32"/>
        </w:rPr>
        <w:t>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21年增加</w:t>
      </w:r>
      <w:r>
        <w:rPr>
          <w:rFonts w:hint="eastAsia" w:ascii="仿宋_GB2312" w:eastAsia="仿宋_GB2312"/>
          <w:sz w:val="32"/>
          <w:szCs w:val="32"/>
          <w:lang w:val="en-US" w:eastAsia="zh-CN"/>
        </w:rPr>
        <w:t>0.47</w:t>
      </w:r>
      <w:r>
        <w:rPr>
          <w:rFonts w:hint="eastAsia" w:ascii="仿宋_GB2312" w:eastAsia="仿宋_GB2312"/>
          <w:sz w:val="32"/>
          <w:szCs w:val="32"/>
        </w:rPr>
        <w:t>万元，增长</w:t>
      </w:r>
      <w:r>
        <w:rPr>
          <w:rFonts w:hint="eastAsia" w:ascii="仿宋_GB2312" w:eastAsia="仿宋_GB2312"/>
          <w:sz w:val="32"/>
          <w:szCs w:val="32"/>
          <w:lang w:val="en-US" w:eastAsia="zh-CN"/>
        </w:rPr>
        <w:t>0.39</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车辆使用时间长，维修管理经费增加</w:t>
      </w:r>
      <w:bookmarkStart w:id="108" w:name="_GoBack"/>
      <w:bookmarkEnd w:id="108"/>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万元，主要用于…。截至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2</w:t>
      </w:r>
      <w:r>
        <w:rPr>
          <w:rFonts w:hint="eastAsia" w:ascii="仿宋_GB2312" w:eastAsia="仿宋_GB2312"/>
          <w:sz w:val="32"/>
          <w:szCs w:val="32"/>
        </w:rPr>
        <w:t>辆，其中：轿车</w:t>
      </w:r>
      <w:r>
        <w:rPr>
          <w:rFonts w:hint="eastAsia" w:ascii="仿宋_GB2312" w:eastAsia="仿宋_GB2312"/>
          <w:sz w:val="32"/>
          <w:szCs w:val="32"/>
          <w:lang w:val="en-US" w:eastAsia="zh-CN"/>
        </w:rPr>
        <w:t>1</w:t>
      </w:r>
      <w:r>
        <w:rPr>
          <w:rFonts w:hint="eastAsia" w:ascii="仿宋_GB2312" w:eastAsia="仿宋_GB2312"/>
          <w:sz w:val="32"/>
          <w:szCs w:val="32"/>
        </w:rPr>
        <w:t>辆、越野车</w:t>
      </w:r>
      <w:r>
        <w:rPr>
          <w:rFonts w:hint="eastAsia" w:ascii="仿宋_GB2312" w:eastAsia="仿宋_GB2312"/>
          <w:sz w:val="32"/>
          <w:szCs w:val="32"/>
          <w:lang w:val="en-US" w:eastAsia="zh-CN"/>
        </w:rPr>
        <w:t>1</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12.43</w:t>
      </w:r>
      <w:r>
        <w:rPr>
          <w:rFonts w:hint="eastAsia" w:ascii="仿宋_GB2312" w:eastAsia="仿宋_GB2312"/>
          <w:sz w:val="32"/>
          <w:szCs w:val="32"/>
        </w:rPr>
        <w:t>万元。</w:t>
      </w:r>
      <w:r>
        <w:rPr>
          <w:rFonts w:hint="eastAsia" w:ascii="仿宋_GB2312" w:eastAsia="仿宋_GB2312"/>
          <w:sz w:val="32"/>
          <w:szCs w:val="32"/>
          <w:lang w:eastAsia="zh-CN"/>
        </w:rPr>
        <w:t>主要用于党建工作、干部调研、选人用人实地考察、人才服务、老干部慰问等工作。</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0.09</w:t>
      </w:r>
      <w:r>
        <w:rPr>
          <w:rFonts w:hint="eastAsia" w:ascii="仿宋_GB2312" w:eastAsia="仿宋_GB2312"/>
          <w:sz w:val="32"/>
          <w:szCs w:val="32"/>
        </w:rPr>
        <w:t>万元，</w:t>
      </w:r>
      <w:r>
        <w:rPr>
          <w:rStyle w:val="18"/>
          <w:rFonts w:hint="eastAsia" w:ascii="仿宋" w:eastAsia="仿宋"/>
          <w:b w:val="0"/>
          <w:bCs/>
          <w:sz w:val="32"/>
          <w:szCs w:val="32"/>
        </w:rPr>
        <w:t>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21年增加</w:t>
      </w:r>
      <w:r>
        <w:rPr>
          <w:rFonts w:hint="eastAsia" w:ascii="仿宋_GB2312" w:eastAsia="仿宋_GB2312"/>
          <w:sz w:val="32"/>
          <w:szCs w:val="32"/>
          <w:lang w:val="en-US" w:eastAsia="zh-CN"/>
        </w:rPr>
        <w:t>0.04</w:t>
      </w:r>
      <w:r>
        <w:rPr>
          <w:rFonts w:hint="eastAsia" w:ascii="仿宋_GB2312" w:eastAsia="仿宋_GB2312"/>
          <w:sz w:val="32"/>
          <w:szCs w:val="32"/>
        </w:rPr>
        <w:t>万元，增长</w:t>
      </w:r>
      <w:r>
        <w:rPr>
          <w:rFonts w:hint="eastAsia" w:ascii="仿宋_GB2312" w:eastAsia="仿宋_GB2312"/>
          <w:sz w:val="32"/>
          <w:szCs w:val="32"/>
          <w:lang w:val="en-US" w:eastAsia="zh-CN"/>
        </w:rPr>
        <w:t>80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执行公务产生费用</w:t>
      </w:r>
      <w:r>
        <w:rPr>
          <w:rFonts w:hint="eastAsia" w:ascii="仿宋_GB2312" w:eastAsia="仿宋_GB2312"/>
          <w:sz w:val="32"/>
          <w:szCs w:val="32"/>
        </w:rPr>
        <w:t>。其中：</w:t>
      </w:r>
    </w:p>
    <w:p>
      <w:pPr>
        <w:spacing w:line="600" w:lineRule="exact"/>
        <w:ind w:firstLine="640"/>
        <w:rPr>
          <w:rFonts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lang w:val="en-US" w:eastAsia="zh-CN"/>
        </w:rPr>
        <w:t>0.09</w:t>
      </w:r>
      <w:r>
        <w:rPr>
          <w:rFonts w:hint="eastAsia" w:ascii="仿宋_GB2312" w:eastAsia="仿宋_GB2312"/>
          <w:sz w:val="32"/>
          <w:szCs w:val="32"/>
        </w:rPr>
        <w:t>万元，主要用于执行公务、开展业务活动开支的交通费、住宿费、用餐费等。国内公务接待</w:t>
      </w:r>
      <w:r>
        <w:rPr>
          <w:rFonts w:hint="eastAsia" w:ascii="仿宋_GB2312" w:eastAsia="仿宋_GB2312"/>
          <w:sz w:val="32"/>
          <w:szCs w:val="32"/>
          <w:lang w:val="en-US" w:eastAsia="zh-CN"/>
        </w:rPr>
        <w:t>1</w:t>
      </w:r>
      <w:r>
        <w:rPr>
          <w:rFonts w:hint="eastAsia" w:ascii="仿宋_GB2312" w:eastAsia="仿宋_GB2312"/>
          <w:sz w:val="32"/>
          <w:szCs w:val="32"/>
        </w:rPr>
        <w:t>批次，</w:t>
      </w:r>
      <w:r>
        <w:rPr>
          <w:rFonts w:hint="eastAsia" w:ascii="仿宋_GB2312" w:eastAsia="仿宋_GB2312"/>
          <w:sz w:val="32"/>
          <w:szCs w:val="32"/>
          <w:lang w:val="en-US" w:eastAsia="zh-CN"/>
        </w:rPr>
        <w:t>5</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0.09</w:t>
      </w:r>
      <w:r>
        <w:rPr>
          <w:rFonts w:hint="eastAsia" w:ascii="仿宋_GB2312" w:eastAsia="仿宋_GB2312"/>
          <w:sz w:val="32"/>
          <w:szCs w:val="32"/>
        </w:rPr>
        <w:t>万元，具体内容包括：</w:t>
      </w:r>
      <w:r>
        <w:rPr>
          <w:rFonts w:hint="default" w:ascii="Times New Roman" w:hAnsi="Times New Roman" w:eastAsia="仿宋_GB2312" w:cs="Times New Roman"/>
          <w:color w:val="auto"/>
          <w:sz w:val="32"/>
          <w:szCs w:val="32"/>
          <w:lang w:eastAsia="zh-CN"/>
        </w:rPr>
        <w:t>接待省</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州工作检查组</w:t>
      </w:r>
      <w:r>
        <w:rPr>
          <w:rFonts w:hint="default"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lang w:val="en-US" w:eastAsia="zh-CN"/>
        </w:rPr>
        <w:t>09</w:t>
      </w:r>
      <w:r>
        <w:rPr>
          <w:rFonts w:hint="default" w:ascii="Times New Roman" w:hAnsi="Times New Roman" w:eastAsia="仿宋_GB2312" w:cs="Times New Roman"/>
          <w:color w:val="auto"/>
          <w:sz w:val="32"/>
          <w:szCs w:val="32"/>
          <w:lang w:val="en-US" w:eastAsia="zh-CN"/>
        </w:rPr>
        <w:t>万元</w:t>
      </w:r>
      <w:r>
        <w:rPr>
          <w:rFonts w:hint="eastAsia" w:ascii="仿宋_GB2312" w:eastAsia="仿宋_GB2312"/>
          <w:sz w:val="32"/>
          <w:szCs w:val="32"/>
        </w:rPr>
        <w:t>。</w:t>
      </w:r>
    </w:p>
    <w:p>
      <w:pPr>
        <w:spacing w:line="600" w:lineRule="exact"/>
        <w:ind w:firstLine="642" w:firstLineChars="200"/>
        <w:rPr>
          <w:rFonts w:ascii="黑体" w:eastAsia="黑体"/>
          <w:sz w:val="32"/>
          <w:szCs w:val="32"/>
        </w:rPr>
      </w:pP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万元，主要用于接待</w:t>
      </w:r>
      <w:r>
        <w:rPr>
          <w:rFonts w:ascii="仿宋_GB2312" w:eastAsia="仿宋_GB2312"/>
          <w:sz w:val="32"/>
          <w:szCs w:val="32"/>
        </w:rPr>
        <w:t>…</w:t>
      </w:r>
      <w:r>
        <w:rPr>
          <w:rFonts w:hint="eastAsia" w:ascii="仿宋_GB2312" w:eastAsia="仿宋_GB2312"/>
          <w:sz w:val="32"/>
          <w:szCs w:val="32"/>
        </w:rPr>
        <w:t>（具体项目）。外事接待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bookmarkStart w:id="57" w:name="_Toc15396610"/>
      <w:bookmarkStart w:id="58" w:name="_Toc15377218"/>
    </w:p>
    <w:p>
      <w:pPr>
        <w:spacing w:line="600" w:lineRule="exact"/>
        <w:ind w:firstLine="640"/>
        <w:outlineLvl w:val="1"/>
        <w:rPr>
          <w:rStyle w:val="21"/>
          <w:rFonts w:ascii="黑体" w:eastAsia="黑体"/>
        </w:rPr>
      </w:pPr>
      <w:bookmarkStart w:id="59" w:name="_Toc970930124"/>
      <w:r>
        <w:rPr>
          <w:rFonts w:hint="eastAsia" w:ascii="黑体" w:eastAsia="黑体"/>
          <w:sz w:val="32"/>
          <w:szCs w:val="32"/>
        </w:rPr>
        <w:t>八、</w:t>
      </w:r>
      <w:r>
        <w:rPr>
          <w:rStyle w:val="21"/>
          <w:rFonts w:hint="eastAsia" w:ascii="黑体" w:eastAsia="黑体"/>
          <w:b w:val="0"/>
        </w:rPr>
        <w:t>政府性基金预算支出决算情况说明</w:t>
      </w:r>
      <w:bookmarkEnd w:id="57"/>
      <w:bookmarkEnd w:id="58"/>
      <w:bookmarkEnd w:id="59"/>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4"/>
        </w:numPr>
        <w:spacing w:line="600" w:lineRule="exact"/>
        <w:ind w:firstLine="640"/>
        <w:outlineLvl w:val="1"/>
        <w:rPr>
          <w:rStyle w:val="21"/>
          <w:rFonts w:ascii="黑体" w:eastAsia="黑体"/>
          <w:b w:val="0"/>
        </w:rPr>
      </w:pPr>
      <w:bookmarkStart w:id="60" w:name="_Toc15396611"/>
      <w:bookmarkStart w:id="61" w:name="_Toc15377219"/>
      <w:bookmarkStart w:id="62" w:name="_Toc311872342"/>
      <w:r>
        <w:rPr>
          <w:rStyle w:val="21"/>
          <w:rFonts w:hint="eastAsia" w:ascii="黑体" w:eastAsia="黑体"/>
          <w:b w:val="0"/>
        </w:rPr>
        <w:t>国有资本经营预算支出决算情况说明</w:t>
      </w:r>
      <w:bookmarkEnd w:id="60"/>
      <w:bookmarkEnd w:id="61"/>
      <w:bookmarkEnd w:id="62"/>
    </w:p>
    <w:p>
      <w:pPr>
        <w:spacing w:line="600" w:lineRule="exact"/>
        <w:ind w:firstLine="640"/>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22年国有资本经营预算财政拨款支出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4"/>
        </w:numPr>
        <w:spacing w:line="600" w:lineRule="exact"/>
        <w:ind w:firstLine="640"/>
        <w:outlineLvl w:val="1"/>
        <w:rPr>
          <w:rStyle w:val="21"/>
          <w:rFonts w:ascii="黑体" w:eastAsia="黑体"/>
          <w:b w:val="0"/>
        </w:rPr>
      </w:pPr>
      <w:bookmarkStart w:id="63" w:name="_Toc15396612"/>
      <w:bookmarkStart w:id="64" w:name="_Toc15377221"/>
      <w:bookmarkStart w:id="65" w:name="_Toc329557682"/>
      <w:r>
        <w:rPr>
          <w:rStyle w:val="21"/>
          <w:rFonts w:hint="eastAsia" w:ascii="黑体" w:eastAsia="黑体"/>
          <w:b w:val="0"/>
        </w:rPr>
        <w:t>其他重要事项的情况说明</w:t>
      </w:r>
      <w:bookmarkEnd w:id="63"/>
      <w:bookmarkEnd w:id="64"/>
      <w:bookmarkEnd w:id="65"/>
    </w:p>
    <w:p>
      <w:pPr>
        <w:spacing w:line="600" w:lineRule="exact"/>
        <w:ind w:firstLine="642" w:firstLineChars="200"/>
        <w:outlineLvl w:val="2"/>
        <w:rPr>
          <w:rFonts w:ascii="仿宋" w:eastAsia="仿宋"/>
          <w:sz w:val="32"/>
          <w:szCs w:val="32"/>
        </w:rPr>
      </w:pPr>
      <w:bookmarkStart w:id="66" w:name="_Toc15377222"/>
      <w:r>
        <w:rPr>
          <w:rFonts w:hint="eastAsia" w:ascii="仿宋" w:eastAsia="仿宋"/>
          <w:b/>
          <w:sz w:val="32"/>
          <w:szCs w:val="32"/>
        </w:rPr>
        <w:t>（一）机关运行经费支出情况</w:t>
      </w:r>
      <w:bookmarkEnd w:id="66"/>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color w:val="000000"/>
          <w:sz w:val="32"/>
          <w:szCs w:val="32"/>
          <w:lang w:val="en-US" w:eastAsia="zh-CN"/>
        </w:rPr>
        <w:t>组织部</w:t>
      </w:r>
      <w:r>
        <w:rPr>
          <w:rFonts w:hint="eastAsia" w:ascii="仿宋_GB2312" w:eastAsia="仿宋_GB2312"/>
          <w:sz w:val="32"/>
          <w:szCs w:val="32"/>
        </w:rPr>
        <w:t>机关运行经费支出1594.7万元，比</w:t>
      </w:r>
      <w:r>
        <w:rPr>
          <w:rFonts w:ascii="仿宋_GB2312" w:eastAsia="仿宋_GB2312"/>
          <w:sz w:val="32"/>
          <w:szCs w:val="32"/>
        </w:rPr>
        <w:t>20</w:t>
      </w:r>
      <w:r>
        <w:rPr>
          <w:rFonts w:hint="eastAsia" w:ascii="仿宋_GB2312" w:eastAsia="仿宋_GB2312"/>
          <w:sz w:val="32"/>
          <w:szCs w:val="32"/>
        </w:rPr>
        <w:t>21年增加</w:t>
      </w:r>
      <w:r>
        <w:rPr>
          <w:rFonts w:hint="eastAsia" w:ascii="仿宋_GB2312" w:eastAsia="仿宋_GB2312"/>
          <w:sz w:val="32"/>
          <w:szCs w:val="32"/>
          <w:lang w:val="en-US" w:eastAsia="zh-CN"/>
        </w:rPr>
        <w:t>253.42</w:t>
      </w:r>
      <w:r>
        <w:rPr>
          <w:rFonts w:hint="eastAsia" w:ascii="仿宋_GB2312" w:eastAsia="仿宋_GB2312"/>
          <w:sz w:val="32"/>
          <w:szCs w:val="32"/>
        </w:rPr>
        <w:t>万元，增长</w:t>
      </w:r>
      <w:r>
        <w:rPr>
          <w:rFonts w:hint="eastAsia" w:ascii="仿宋_GB2312" w:eastAsia="仿宋_GB2312"/>
          <w:sz w:val="32"/>
          <w:szCs w:val="32"/>
          <w:lang w:val="en-US" w:eastAsia="zh-CN"/>
        </w:rPr>
        <w:t>18.89</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人员增长及项目费用均有所上升</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ascii="仿宋" w:eastAsia="仿宋"/>
          <w:b/>
          <w:sz w:val="32"/>
          <w:szCs w:val="32"/>
        </w:rPr>
      </w:pPr>
      <w:bookmarkStart w:id="67" w:name="_Toc15377223"/>
      <w:r>
        <w:rPr>
          <w:rFonts w:hint="eastAsia" w:ascii="仿宋" w:eastAsia="仿宋"/>
          <w:b/>
          <w:sz w:val="32"/>
          <w:szCs w:val="32"/>
        </w:rPr>
        <w:t>（二）政府采购支出情况</w:t>
      </w:r>
      <w:bookmarkEnd w:id="67"/>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sz w:val="32"/>
          <w:szCs w:val="32"/>
          <w:lang w:eastAsia="zh-CN"/>
        </w:rPr>
        <w:t>组织部</w:t>
      </w:r>
      <w:r>
        <w:rPr>
          <w:rFonts w:hint="eastAsia" w:ascii="仿宋_GB2312" w:eastAsia="仿宋_GB2312"/>
          <w:sz w:val="32"/>
          <w:szCs w:val="32"/>
        </w:rPr>
        <w:t>政府采购支出总额</w:t>
      </w:r>
      <w:r>
        <w:rPr>
          <w:rFonts w:hint="eastAsia" w:ascii="仿宋_GB2312" w:eastAsia="仿宋_GB2312"/>
          <w:sz w:val="32"/>
          <w:szCs w:val="32"/>
          <w:lang w:val="en-US" w:eastAsia="zh-CN"/>
        </w:rPr>
        <w:t>0</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0</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ascii="仿宋" w:eastAsia="仿宋"/>
          <w:b/>
          <w:sz w:val="32"/>
          <w:szCs w:val="32"/>
        </w:rPr>
      </w:pPr>
      <w:bookmarkStart w:id="68" w:name="_Toc15377224"/>
      <w:r>
        <w:rPr>
          <w:rFonts w:hint="eastAsia" w:ascii="仿宋" w:eastAsia="仿宋"/>
          <w:b/>
          <w:sz w:val="32"/>
          <w:szCs w:val="32"/>
        </w:rPr>
        <w:t>（三）国有资产占有使用情况</w:t>
      </w:r>
      <w:bookmarkEnd w:id="68"/>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组织部</w:t>
      </w:r>
      <w:r>
        <w:rPr>
          <w:rFonts w:hint="eastAsia" w:ascii="仿宋_GB2312" w:eastAsia="仿宋_GB2312"/>
          <w:sz w:val="32"/>
          <w:szCs w:val="32"/>
        </w:rPr>
        <w:t>共有车辆</w:t>
      </w:r>
      <w:r>
        <w:rPr>
          <w:rFonts w:hint="eastAsia" w:ascii="仿宋_GB2312" w:eastAsia="仿宋_GB2312"/>
          <w:sz w:val="32"/>
          <w:szCs w:val="32"/>
          <w:lang w:val="en-US" w:eastAsia="zh-CN"/>
        </w:rPr>
        <w:t>2</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2</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辆，其他用车主要是用于……。单价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autoSpaceDE w:val="0"/>
        <w:autoSpaceDN w:val="0"/>
        <w:adjustRightInd w:val="0"/>
        <w:spacing w:line="600" w:lineRule="exact"/>
        <w:ind w:firstLine="642" w:firstLineChars="200"/>
        <w:jc w:val="left"/>
        <w:outlineLvl w:val="2"/>
        <w:rPr>
          <w:rFonts w:ascii="仿宋" w:eastAsia="仿宋"/>
          <w:b/>
          <w:sz w:val="32"/>
          <w:szCs w:val="32"/>
        </w:rPr>
      </w:pPr>
      <w:r>
        <w:rPr>
          <w:rFonts w:hint="eastAsia" w:ascii="仿宋" w:eastAsia="仿宋"/>
          <w:b/>
          <w:sz w:val="32"/>
          <w:szCs w:val="32"/>
        </w:rPr>
        <w:t>（四）预算绩效管理情况</w:t>
      </w:r>
    </w:p>
    <w:p>
      <w:pPr>
        <w:widowControl/>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根据预算绩效管理要求，本部门在2022年度预算编制阶段，组织对</w:t>
      </w:r>
      <w:r>
        <w:rPr>
          <w:rFonts w:hint="eastAsia" w:ascii="仿宋_GB2312" w:hAnsi="仿宋_GB2312" w:eastAsia="仿宋_GB2312" w:cs="仿宋_GB2312"/>
          <w:sz w:val="32"/>
          <w:szCs w:val="32"/>
          <w:lang w:val="en-US" w:eastAsia="zh-CN"/>
        </w:rPr>
        <w:t>人才发展专项资金</w:t>
      </w:r>
      <w:r>
        <w:rPr>
          <w:rFonts w:hint="eastAsia" w:ascii="仿宋_GB2312" w:hAnsi="仿宋_GB2312" w:eastAsia="仿宋_GB2312" w:cs="仿宋_GB2312"/>
          <w:sz w:val="32"/>
          <w:szCs w:val="32"/>
        </w:rPr>
        <w:t>项目</w:t>
      </w:r>
      <w:r>
        <w:rPr>
          <w:rFonts w:hint="eastAsia" w:ascii="仿宋_GB2312" w:eastAsia="仿宋_GB2312" w:cs="仿宋_GB2312"/>
          <w:sz w:val="32"/>
          <w:szCs w:val="32"/>
        </w:rPr>
        <w:t>开展了预算事前绩效评估，对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个项目开展绩效监控。</w:t>
      </w:r>
    </w:p>
    <w:p>
      <w:pPr>
        <w:widowControl/>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组织对2022年度</w:t>
      </w:r>
      <w:r>
        <w:rPr>
          <w:rFonts w:hint="eastAsia" w:ascii="仿宋_GB2312" w:hAnsi="仿宋_GB2312" w:eastAsia="仿宋_GB2312" w:cs="仿宋_GB2312"/>
          <w:sz w:val="32"/>
          <w:szCs w:val="32"/>
          <w:lang w:val="en-US" w:eastAsia="zh-CN"/>
        </w:rPr>
        <w:t>人才发展专项资金</w:t>
      </w:r>
      <w:r>
        <w:rPr>
          <w:rFonts w:hint="eastAsia" w:ascii="仿宋_GB2312" w:hAnsi="仿宋_GB2312" w:eastAsia="仿宋_GB2312" w:cs="仿宋_GB2312"/>
          <w:sz w:val="32"/>
          <w:szCs w:val="32"/>
        </w:rPr>
        <w:t>项目</w:t>
      </w:r>
      <w:r>
        <w:rPr>
          <w:rFonts w:hint="eastAsia" w:ascii="仿宋_GB2312" w:eastAsia="仿宋_GB2312" w:cs="仿宋_GB2312"/>
          <w:sz w:val="32"/>
          <w:szCs w:val="32"/>
        </w:rPr>
        <w:t>绩效自评报告，绩效自评得分为</w:t>
      </w:r>
      <w:r>
        <w:rPr>
          <w:rFonts w:hint="eastAsia" w:ascii="仿宋_GB2312" w:eastAsia="仿宋_GB2312" w:cs="仿宋_GB2312"/>
          <w:sz w:val="32"/>
          <w:szCs w:val="32"/>
          <w:lang w:val="en-US" w:eastAsia="zh-CN"/>
        </w:rPr>
        <w:t>95</w:t>
      </w:r>
      <w:r>
        <w:rPr>
          <w:rFonts w:hint="eastAsia" w:ascii="仿宋_GB2312" w:eastAsia="仿宋_GB2312" w:cs="仿宋_GB2312"/>
          <w:sz w:val="32"/>
          <w:szCs w:val="32"/>
        </w:rPr>
        <w:t>分，绩效自评报告详见</w:t>
      </w:r>
      <w:r>
        <w:rPr>
          <w:rFonts w:hint="eastAsia" w:ascii="仿宋_GB2312" w:eastAsia="仿宋_GB2312" w:cs="仿宋_GB2312"/>
          <w:sz w:val="32"/>
          <w:szCs w:val="32"/>
          <w:lang w:eastAsia="zh-CN"/>
        </w:rPr>
        <w:t>下表</w:t>
      </w:r>
      <w:r>
        <w:rPr>
          <w:rFonts w:hint="eastAsia" w:ascii="仿宋_GB2312" w:eastAsia="仿宋_GB2312" w:cs="仿宋_GB2312"/>
          <w:sz w:val="32"/>
          <w:szCs w:val="32"/>
        </w:rPr>
        <w:t>。</w:t>
      </w:r>
    </w:p>
    <w:p>
      <w:pPr>
        <w:pStyle w:val="12"/>
        <w:rPr>
          <w:rFonts w:hint="eastAsia" w:ascii="仿宋_GB2312" w:eastAsia="仿宋_GB2312" w:cs="仿宋_GB2312"/>
          <w:sz w:val="32"/>
          <w:szCs w:val="32"/>
        </w:rPr>
      </w:pPr>
    </w:p>
    <w:p>
      <w:pPr>
        <w:rPr>
          <w:rFonts w:hint="eastAsia" w:ascii="仿宋_GB2312" w:eastAsia="仿宋_GB2312" w:cs="仿宋_GB2312"/>
          <w:sz w:val="32"/>
          <w:szCs w:val="32"/>
        </w:rPr>
      </w:pPr>
    </w:p>
    <w:p>
      <w:pPr>
        <w:pStyle w:val="12"/>
        <w:rPr>
          <w:rFonts w:hint="eastAsia" w:ascii="仿宋_GB2312" w:eastAsia="仿宋_GB2312" w:cs="仿宋_GB2312"/>
          <w:sz w:val="32"/>
          <w:szCs w:val="32"/>
        </w:rPr>
      </w:pPr>
    </w:p>
    <w:p>
      <w:pPr>
        <w:rPr>
          <w:rFonts w:hint="eastAsia"/>
        </w:rPr>
      </w:pPr>
    </w:p>
    <w:tbl>
      <w:tblPr>
        <w:tblStyle w:val="16"/>
        <w:tblW w:w="9369" w:type="dxa"/>
        <w:jc w:val="center"/>
        <w:tblLayout w:type="fixed"/>
        <w:tblCellMar>
          <w:top w:w="0" w:type="dxa"/>
          <w:left w:w="0" w:type="dxa"/>
          <w:bottom w:w="0" w:type="dxa"/>
          <w:right w:w="0" w:type="dxa"/>
        </w:tblCellMar>
      </w:tblPr>
      <w:tblGrid>
        <w:gridCol w:w="623"/>
        <w:gridCol w:w="1188"/>
        <w:gridCol w:w="1022"/>
        <w:gridCol w:w="737"/>
        <w:gridCol w:w="1155"/>
        <w:gridCol w:w="1711"/>
        <w:gridCol w:w="1586"/>
        <w:gridCol w:w="1347"/>
      </w:tblGrid>
      <w:tr>
        <w:tblPrEx>
          <w:tblCellMar>
            <w:top w:w="0" w:type="dxa"/>
            <w:left w:w="0" w:type="dxa"/>
            <w:bottom w:w="0" w:type="dxa"/>
            <w:right w:w="0" w:type="dxa"/>
          </w:tblCellMar>
        </w:tblPrEx>
        <w:trPr>
          <w:trHeight w:val="555" w:hRule="atLeast"/>
          <w:jc w:val="center"/>
        </w:trPr>
        <w:tc>
          <w:tcPr>
            <w:tcW w:w="9369" w:type="dxa"/>
            <w:gridSpan w:val="8"/>
            <w:tcBorders>
              <w:top w:val="nil"/>
              <w:left w:val="nil"/>
              <w:bottom w:val="nil"/>
              <w:right w:val="nil"/>
            </w:tcBorders>
            <w:shd w:val="clear" w:color="auto" w:fill="auto"/>
            <w:tcMar>
              <w:top w:w="15" w:type="dxa"/>
              <w:left w:w="15" w:type="dxa"/>
              <w:right w:w="15" w:type="dxa"/>
            </w:tcMar>
            <w:vAlign w:val="center"/>
          </w:tcPr>
          <w:p>
            <w:pPr>
              <w:widowControl/>
              <w:jc w:val="both"/>
              <w:textAlignment w:val="center"/>
              <w:rPr>
                <w:rFonts w:ascii="宋体" w:hAnsi="宋体" w:cs="宋体"/>
                <w:color w:val="000000" w:themeColor="text1"/>
                <w:kern w:val="0"/>
                <w:sz w:val="24"/>
              </w:rPr>
            </w:pPr>
          </w:p>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themeColor="text1"/>
                <w:kern w:val="0"/>
                <w:sz w:val="24"/>
              </w:rPr>
            </w:pPr>
            <w:r>
              <w:rPr>
                <w:rFonts w:hint="eastAsia" w:ascii="宋体" w:hAnsi="宋体" w:cs="宋体"/>
                <w:color w:val="000000"/>
                <w:kern w:val="0"/>
                <w:sz w:val="36"/>
                <w:szCs w:val="36"/>
              </w:rPr>
              <w:t>(</w:t>
            </w:r>
            <w:r>
              <w:rPr>
                <w:rFonts w:hint="eastAsia" w:ascii="宋体" w:hAnsi="宋体" w:cs="宋体"/>
                <w:color w:val="000000"/>
                <w:kern w:val="0"/>
                <w:sz w:val="36"/>
                <w:szCs w:val="36"/>
                <w:lang w:val="en-US" w:eastAsia="zh-CN"/>
              </w:rPr>
              <w:t>2022</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color w:val="000000" w:themeColor="text1"/>
                <w:kern w:val="0"/>
                <w:sz w:val="24"/>
                <w:lang w:val="en-US" w:eastAsia="zh-CN"/>
              </w:rPr>
            </w:pPr>
            <w:r>
              <w:rPr>
                <w:rFonts w:hint="eastAsia" w:ascii="宋体" w:hAnsi="宋体" w:cs="宋体"/>
                <w:color w:val="000000" w:themeColor="text1"/>
                <w:kern w:val="0"/>
                <w:sz w:val="24"/>
                <w:lang w:val="en-US" w:eastAsia="zh-CN"/>
              </w:rPr>
              <w:t>人才发展经费</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1440" w:firstLineChars="600"/>
              <w:jc w:val="both"/>
              <w:textAlignment w:val="center"/>
              <w:rPr>
                <w:rFonts w:hint="default" w:ascii="宋体" w:hAnsi="宋体" w:eastAsia="宋体" w:cs="宋体"/>
                <w:color w:val="000000" w:themeColor="text1"/>
                <w:kern w:val="0"/>
                <w:sz w:val="24"/>
                <w:lang w:val="en-US" w:eastAsia="zh-CN"/>
              </w:rPr>
            </w:pPr>
            <w:r>
              <w:rPr>
                <w:rFonts w:hint="eastAsia" w:ascii="宋体" w:hAnsi="宋体" w:cs="宋体"/>
                <w:color w:val="000000" w:themeColor="text1"/>
                <w:kern w:val="0"/>
                <w:sz w:val="24"/>
                <w:lang w:val="en-US" w:eastAsia="zh-CN"/>
              </w:rPr>
              <w:t>中共红原县委组织部</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预算执行情况(万元</w:t>
            </w: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lang w:val="en-US" w:eastAsia="zh-CN"/>
              </w:rPr>
              <w:t>100</w:t>
            </w:r>
            <w:r>
              <w:rPr>
                <w:rFonts w:hint="eastAsia" w:ascii="宋体" w:hAnsi="宋体" w:cs="宋体"/>
                <w:color w:val="000000" w:themeColor="text1"/>
                <w:kern w:val="0"/>
                <w:sz w:val="24"/>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lang w:val="en-US" w:eastAsia="zh-CN"/>
              </w:rPr>
              <w:t>100</w:t>
            </w:r>
            <w:r>
              <w:rPr>
                <w:rFonts w:hint="eastAsia" w:ascii="宋体" w:hAnsi="宋体" w:cs="宋体"/>
                <w:color w:val="000000" w:themeColor="text1"/>
                <w:kern w:val="0"/>
                <w:sz w:val="24"/>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lang w:val="en-US" w:eastAsia="zh-CN"/>
              </w:rPr>
              <w:t>100</w:t>
            </w:r>
            <w:r>
              <w:rPr>
                <w:rFonts w:hint="eastAsia" w:ascii="宋体" w:hAnsi="宋体" w:cs="宋体"/>
                <w:color w:val="000000" w:themeColor="text1"/>
                <w:kern w:val="0"/>
                <w:sz w:val="24"/>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lang w:val="en-US" w:eastAsia="zh-CN"/>
              </w:rPr>
              <w:t>100</w:t>
            </w:r>
            <w:r>
              <w:rPr>
                <w:rFonts w:hint="eastAsia" w:ascii="宋体" w:hAnsi="宋体" w:cs="宋体"/>
                <w:color w:val="000000" w:themeColor="text1"/>
                <w:kern w:val="0"/>
                <w:sz w:val="24"/>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0</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年度目标完成情况</w:t>
            </w: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实际完成目标</w:t>
            </w:r>
          </w:p>
        </w:tc>
      </w:tr>
      <w:tr>
        <w:tblPrEx>
          <w:tblCellMar>
            <w:top w:w="0" w:type="dxa"/>
            <w:left w:w="0" w:type="dxa"/>
            <w:bottom w:w="0" w:type="dxa"/>
            <w:right w:w="0" w:type="dxa"/>
          </w:tblCellMar>
        </w:tblPrEx>
        <w:trPr>
          <w:trHeight w:val="19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color w:val="000000" w:themeColor="text1"/>
                <w:kern w:val="0"/>
                <w:sz w:val="24"/>
                <w:lang w:val="en-US" w:eastAsia="zh-CN"/>
              </w:rPr>
            </w:pPr>
            <w:r>
              <w:rPr>
                <w:rFonts w:hint="eastAsia" w:ascii="宋体" w:hAnsi="宋体" w:cs="宋体"/>
                <w:color w:val="000000" w:themeColor="text1"/>
                <w:kern w:val="0"/>
                <w:sz w:val="24"/>
                <w:lang w:val="en-US" w:eastAsia="zh-CN"/>
              </w:rPr>
              <w:t>全县人才开发</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eastAsia="宋体" w:cs="宋体"/>
                <w:sz w:val="24"/>
                <w:szCs w:val="24"/>
              </w:rPr>
              <w:t>保障</w:t>
            </w:r>
            <w:r>
              <w:rPr>
                <w:rFonts w:hint="eastAsia" w:ascii="宋体" w:hAnsi="宋体" w:eastAsia="宋体" w:cs="宋体"/>
                <w:sz w:val="24"/>
                <w:szCs w:val="24"/>
                <w:lang w:val="en-US" w:eastAsia="zh-CN"/>
              </w:rPr>
              <w:t>全县人才开发和</w:t>
            </w:r>
            <w:r>
              <w:rPr>
                <w:rFonts w:hint="eastAsia" w:ascii="宋体" w:hAnsi="宋体" w:cs="宋体"/>
                <w:sz w:val="24"/>
                <w:szCs w:val="24"/>
                <w:lang w:val="en-US" w:eastAsia="zh-CN"/>
              </w:rPr>
              <w:t>培训</w:t>
            </w:r>
            <w:r>
              <w:rPr>
                <w:rFonts w:hint="eastAsia" w:ascii="宋体" w:hAnsi="宋体" w:eastAsia="宋体" w:cs="宋体"/>
                <w:sz w:val="24"/>
                <w:szCs w:val="24"/>
                <w:lang w:val="en-US" w:eastAsia="zh-CN"/>
              </w:rPr>
              <w:t>等工作</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ascii="宋体" w:hAnsi="宋体" w:cs="宋体"/>
                <w:color w:val="000000" w:themeColor="text1"/>
                <w:kern w:val="0"/>
                <w:sz w:val="24"/>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drawing>
                <wp:anchor distT="0" distB="0" distL="114300" distR="114300" simplePos="0" relativeHeight="2516602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 name="直接连接符_10"/>
                  <wp:cNvGraphicFramePr/>
                  <a:graphic xmlns:a="http://schemas.openxmlformats.org/drawingml/2006/main">
                    <a:graphicData uri="http://schemas.openxmlformats.org/drawingml/2006/picture">
                      <pic:pic xmlns:pic="http://schemas.openxmlformats.org/drawingml/2006/picture">
                        <pic:nvPicPr>
                          <pic:cNvPr id="8"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drawing>
                <wp:anchor distT="0" distB="0" distL="114300" distR="114300" simplePos="0" relativeHeight="2516613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3" name="直接连接符_8"/>
                  <wp:cNvGraphicFramePr/>
                  <a:graphic xmlns:a="http://schemas.openxmlformats.org/drawingml/2006/main">
                    <a:graphicData uri="http://schemas.openxmlformats.org/drawingml/2006/picture">
                      <pic:pic xmlns:pic="http://schemas.openxmlformats.org/drawingml/2006/picture">
                        <pic:nvPicPr>
                          <pic:cNvPr id="13"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 name="直接连接符_9"/>
                  <wp:cNvGraphicFramePr/>
                  <a:graphic xmlns:a="http://schemas.openxmlformats.org/drawingml/2006/main">
                    <a:graphicData uri="http://schemas.openxmlformats.org/drawingml/2006/picture">
                      <pic:pic xmlns:pic="http://schemas.openxmlformats.org/drawingml/2006/picture">
                        <pic:nvPicPr>
                          <pic:cNvPr id="10"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drawing>
                <wp:anchor distT="0" distB="0" distL="114300" distR="114300" simplePos="0" relativeHeight="25166336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 name="直接连接符_7"/>
                  <wp:cNvGraphicFramePr/>
                  <a:graphic xmlns:a="http://schemas.openxmlformats.org/drawingml/2006/main">
                    <a:graphicData uri="http://schemas.openxmlformats.org/drawingml/2006/picture">
                      <pic:pic xmlns:pic="http://schemas.openxmlformats.org/drawingml/2006/picture">
                        <pic:nvPicPr>
                          <pic:cNvPr id="11"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both"/>
              <w:textAlignment w:val="center"/>
              <w:rPr>
                <w:rFonts w:ascii="宋体" w:hAnsi="宋体" w:cs="宋体"/>
                <w:color w:val="000000" w:themeColor="text1"/>
                <w:kern w:val="0"/>
                <w:sz w:val="24"/>
              </w:rPr>
            </w:pPr>
            <w:r>
              <w:rPr>
                <w:rFonts w:hint="eastAsia" w:ascii="宋体" w:hAnsi="宋体" w:cs="宋体"/>
                <w:color w:val="000000" w:themeColor="text1"/>
                <w:kern w:val="0"/>
                <w:sz w:val="24"/>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指标评价内容</w:t>
            </w:r>
          </w:p>
        </w:tc>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实际完成指标值(包含数字及文字描述)</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r>
      <w:tr>
        <w:tblPrEx>
          <w:tblCellMar>
            <w:top w:w="0" w:type="dxa"/>
            <w:left w:w="0" w:type="dxa"/>
            <w:bottom w:w="0" w:type="dxa"/>
            <w:right w:w="0" w:type="dxa"/>
          </w:tblCellMar>
        </w:tblPrEx>
        <w:trPr>
          <w:trHeight w:val="312"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项目预期提供的产品、服务、效益或其他目标明确,即绩效目标实际明确个数/应当明确个数×100%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color w:val="000000" w:themeColor="text1"/>
                <w:sz w:val="20"/>
                <w:szCs w:val="20"/>
                <w:lang w:eastAsia="zh-CN"/>
              </w:rPr>
            </w:pPr>
            <w:r>
              <w:rPr>
                <w:rFonts w:hint="eastAsia" w:ascii="宋体" w:hAnsi="宋体" w:cs="宋体"/>
                <w:color w:val="000000" w:themeColor="text1"/>
                <w:sz w:val="20"/>
                <w:szCs w:val="20"/>
                <w:lang w:val="en-US" w:eastAsia="zh-CN"/>
              </w:rPr>
              <w:t>人才开发、培训</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color w:val="000000" w:themeColor="text1"/>
                <w:sz w:val="20"/>
                <w:szCs w:val="20"/>
                <w:lang w:eastAsia="zh-CN"/>
              </w:rPr>
            </w:pPr>
            <w:r>
              <w:rPr>
                <w:rFonts w:hint="eastAsia" w:ascii="宋体" w:hAnsi="宋体" w:cs="宋体"/>
                <w:color w:val="000000" w:themeColor="text1"/>
                <w:sz w:val="20"/>
                <w:szCs w:val="20"/>
                <w:lang w:val="en-US" w:eastAsia="zh-CN"/>
              </w:rPr>
              <w:t>人才开发、培训</w:t>
            </w:r>
          </w:p>
        </w:tc>
      </w:tr>
      <w:tr>
        <w:tblPrEx>
          <w:tblCellMar>
            <w:top w:w="0" w:type="dxa"/>
            <w:left w:w="0" w:type="dxa"/>
            <w:bottom w:w="0" w:type="dxa"/>
            <w:right w:w="0" w:type="dxa"/>
          </w:tblCellMar>
        </w:tblPrEx>
        <w:trPr>
          <w:trHeight w:val="64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项目计划实施进度明确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按时完工</w:t>
            </w:r>
          </w:p>
        </w:tc>
      </w:tr>
      <w:tr>
        <w:tblPrEx>
          <w:tblCellMar>
            <w:top w:w="0" w:type="dxa"/>
            <w:left w:w="0" w:type="dxa"/>
            <w:bottom w:w="0" w:type="dxa"/>
            <w:right w:w="0" w:type="dxa"/>
          </w:tblCellMar>
        </w:tblPrEx>
        <w:trPr>
          <w:trHeight w:val="69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绩效目标设定符合实际需求的抽样项目点个数/抽样项目点总数×100%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项目符合党中央、国务院和省委、省政府决策部署；符合当前经济社会发展需要</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连续性项目根据需要制定中长期实施规划</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实施规划符合实际，并根据情况变化适时调整</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制定项目资金管理办法</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r>
      <w:tr>
        <w:tblPrEx>
          <w:tblCellMar>
            <w:top w:w="0" w:type="dxa"/>
            <w:left w:w="0" w:type="dxa"/>
            <w:bottom w:w="0" w:type="dxa"/>
            <w:right w:w="0" w:type="dxa"/>
          </w:tblCellMar>
        </w:tblPrEx>
        <w:trPr>
          <w:trHeight w:val="75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项目资金分配决策程序明确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trHeight w:val="82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资金分配方法是否科学合理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分配过程符合相关规定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符合申报条件的抽样项目点个数/抽样项目点总数×100%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1个</w:t>
            </w:r>
          </w:p>
        </w:tc>
      </w:tr>
      <w:tr>
        <w:tblPrEx>
          <w:tblCellMar>
            <w:top w:w="0" w:type="dxa"/>
            <w:left w:w="0" w:type="dxa"/>
            <w:bottom w:w="0" w:type="dxa"/>
            <w:right w:w="0" w:type="dxa"/>
          </w:tblCellMar>
        </w:tblPrEx>
        <w:trPr>
          <w:trHeight w:val="10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财政资金占项目资金总额比重较小项目个数/项目总数×100%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按实际分配结果选择客观因素测算验证资金分配方法制定、分配要素设定、基础数据应用、测算依据选取等是否科学合理（2分）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trHeight w:val="54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县级主管部门按规定及时分配资金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trHeight w:val="744"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按规定及时拨付资金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资金使用是否合规</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资金支付依据符合规定，即支付依旧合规资金量/资金总量×100%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资金开支标准符合规定，即开支标准合规资金量/资金总量×100%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财务制度健全，管理规范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项目调整严格履行相关手续</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trHeight w:val="1044"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项目投资变更额/项目总投入×100%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trHeight w:val="14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严格执行项目有关制度规定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trHeight w:val="1063"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bdr w:val="single" w:color="000000" w:sz="4" w:space="0"/>
              </w:rPr>
              <w:drawing>
                <wp:anchor distT="0" distB="0" distL="114300" distR="114300" simplePos="0" relativeHeight="25166438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2" name="直接连接符_6"/>
                  <wp:cNvGraphicFramePr/>
                  <a:graphic xmlns:a="http://schemas.openxmlformats.org/drawingml/2006/main">
                    <a:graphicData uri="http://schemas.openxmlformats.org/drawingml/2006/picture">
                      <pic:pic xmlns:pic="http://schemas.openxmlformats.org/drawingml/2006/picture">
                        <pic:nvPicPr>
                          <pic:cNvPr id="12"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themeColor="text1"/>
                <w:kern w:val="0"/>
                <w:sz w:val="20"/>
                <w:szCs w:val="20"/>
                <w:bdr w:val="single" w:color="000000" w:sz="4" w:space="0"/>
              </w:rPr>
              <w:drawing>
                <wp:anchor distT="0" distB="0" distL="114300" distR="114300" simplePos="0" relativeHeight="251665408"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4" name="直接连接符_5"/>
                  <wp:cNvGraphicFramePr/>
                  <a:graphic xmlns:a="http://schemas.openxmlformats.org/drawingml/2006/main">
                    <a:graphicData uri="http://schemas.openxmlformats.org/drawingml/2006/picture">
                      <pic:pic xmlns:pic="http://schemas.openxmlformats.org/drawingml/2006/picture">
                        <pic:nvPicPr>
                          <pic:cNvPr id="14"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0"/>
                <w:szCs w:val="20"/>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实际完成任务量/绩效目标设定任务量×100%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trHeight w:val="1046"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符合绩效目标设定的验收标准，达到行业基准水平</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r>
      <w:tr>
        <w:tblPrEx>
          <w:tblCellMar>
            <w:top w:w="0" w:type="dxa"/>
            <w:left w:w="0" w:type="dxa"/>
            <w:bottom w:w="0" w:type="dxa"/>
            <w:right w:w="0" w:type="dxa"/>
          </w:tblCellMar>
        </w:tblPrEx>
        <w:trPr>
          <w:trHeight w:val="1291"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（实际完成时间-绩效目标设定完成时间）/绩效目标设定完成时间×100%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trHeight w:val="862"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（实际完成成本-预计完成成本）/预计完成成本×100%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trHeight w:val="123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反映相关产出对经济社会发展带来的影响和效果，根据项目实际细化具体指标。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default" w:ascii="宋体" w:hAnsi="宋体" w:eastAsia="宋体" w:cs="宋体"/>
                <w:color w:val="000000" w:themeColor="text1"/>
                <w:kern w:val="0"/>
                <w:sz w:val="20"/>
                <w:szCs w:val="20"/>
                <w:lang w:val="en-US" w:eastAsia="zh-CN"/>
              </w:rPr>
            </w:pPr>
            <w:r>
              <w:rPr>
                <w:rFonts w:hint="eastAsia" w:ascii="宋体" w:hAnsi="宋体" w:cs="宋体"/>
                <w:color w:val="000000" w:themeColor="text1"/>
                <w:kern w:val="0"/>
                <w:sz w:val="20"/>
                <w:szCs w:val="20"/>
                <w:lang w:val="en-US" w:eastAsia="zh-CN"/>
              </w:rPr>
              <w:t>优质全县人才发展</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lang w:val="en-US" w:eastAsia="zh-CN"/>
              </w:rPr>
              <w:t>优质全县人才发展</w:t>
            </w:r>
          </w:p>
        </w:tc>
      </w:tr>
      <w:tr>
        <w:tblPrEx>
          <w:tblCellMar>
            <w:top w:w="0" w:type="dxa"/>
            <w:left w:w="0" w:type="dxa"/>
            <w:bottom w:w="0" w:type="dxa"/>
            <w:right w:w="0" w:type="dxa"/>
          </w:tblCellMar>
        </w:tblPrEx>
        <w:trPr>
          <w:trHeight w:val="1464"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default" w:ascii="宋体" w:hAnsi="宋体" w:eastAsia="宋体" w:cs="宋体"/>
                <w:color w:val="000000" w:themeColor="text1"/>
                <w:sz w:val="20"/>
                <w:szCs w:val="20"/>
                <w:lang w:val="en-US" w:eastAsia="zh-CN"/>
              </w:rPr>
            </w:pPr>
            <w:r>
              <w:rPr>
                <w:rFonts w:hint="eastAsia" w:ascii="宋体" w:hAnsi="宋体" w:cs="宋体"/>
                <w:color w:val="000000" w:themeColor="text1"/>
                <w:sz w:val="20"/>
                <w:szCs w:val="20"/>
                <w:lang w:val="en-US" w:eastAsia="zh-CN"/>
              </w:rPr>
              <w:t>保障优秀人才开发、开展培训</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default" w:ascii="宋体" w:hAnsi="宋体" w:cs="宋体"/>
                <w:color w:val="000000" w:themeColor="text1"/>
                <w:sz w:val="20"/>
                <w:szCs w:val="20"/>
                <w:lang w:val="en-US"/>
              </w:rPr>
            </w:pPr>
            <w:r>
              <w:rPr>
                <w:rFonts w:hint="eastAsia" w:ascii="宋体" w:hAnsi="宋体" w:cs="宋体"/>
                <w:color w:val="000000" w:themeColor="text1"/>
                <w:sz w:val="20"/>
                <w:szCs w:val="20"/>
                <w:lang w:val="en-US" w:eastAsia="zh-CN"/>
              </w:rPr>
              <w:t>保障优秀人才开发、开展培训</w:t>
            </w:r>
          </w:p>
        </w:tc>
      </w:tr>
      <w:tr>
        <w:tblPrEx>
          <w:tblCellMar>
            <w:top w:w="0" w:type="dxa"/>
            <w:left w:w="0" w:type="dxa"/>
            <w:bottom w:w="0" w:type="dxa"/>
            <w:right w:w="0" w:type="dxa"/>
          </w:tblCellMar>
        </w:tblPrEx>
        <w:trPr>
          <w:trHeight w:val="127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反映相关产出对自然环境带来的影响和效果，根据项目实际细化具体指标。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rPr>
            </w:pPr>
            <w:r>
              <w:rPr>
                <w:rFonts w:hint="eastAsia" w:ascii="宋体" w:hAnsi="宋体" w:cs="宋体"/>
                <w:color w:val="000000" w:themeColor="text1"/>
                <w:sz w:val="20"/>
                <w:szCs w:val="20"/>
                <w:lang w:val="en-US" w:eastAsia="zh-CN"/>
              </w:rPr>
              <w:t>保障创造优秀人才、开展培训</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rPr>
            </w:pPr>
            <w:r>
              <w:rPr>
                <w:rFonts w:hint="eastAsia" w:ascii="宋体" w:hAnsi="宋体" w:cs="宋体"/>
                <w:color w:val="000000" w:themeColor="text1"/>
                <w:sz w:val="20"/>
                <w:szCs w:val="20"/>
                <w:lang w:val="en-US" w:eastAsia="zh-CN"/>
              </w:rPr>
              <w:t>保障创造优秀人才、开展培训</w:t>
            </w:r>
          </w:p>
        </w:tc>
      </w:tr>
      <w:tr>
        <w:tblPrEx>
          <w:tblCellMar>
            <w:top w:w="0" w:type="dxa"/>
            <w:left w:w="0" w:type="dxa"/>
            <w:bottom w:w="0" w:type="dxa"/>
            <w:right w:w="0" w:type="dxa"/>
          </w:tblCellMar>
        </w:tblPrEx>
        <w:trPr>
          <w:trHeight w:val="1324"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反映相关产出带来影响的可持续期限，根据项目实际细化具体指标。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default" w:ascii="宋体" w:hAnsi="宋体" w:eastAsia="宋体" w:cs="宋体"/>
                <w:color w:val="000000" w:themeColor="text1"/>
                <w:sz w:val="20"/>
                <w:szCs w:val="20"/>
                <w:lang w:val="en-US" w:eastAsia="zh-CN"/>
              </w:rPr>
            </w:pPr>
            <w:r>
              <w:rPr>
                <w:rFonts w:hint="eastAsia" w:ascii="宋体" w:hAnsi="宋体" w:cs="宋体"/>
                <w:color w:val="000000" w:themeColor="text1"/>
                <w:sz w:val="20"/>
                <w:szCs w:val="20"/>
                <w:lang w:val="en-US" w:eastAsia="zh-CN"/>
              </w:rPr>
              <w:t>保障创造优秀人才、开展培训</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rPr>
            </w:pPr>
            <w:r>
              <w:rPr>
                <w:rFonts w:hint="eastAsia" w:ascii="宋体" w:hAnsi="宋体" w:cs="宋体"/>
                <w:color w:val="000000" w:themeColor="text1"/>
                <w:sz w:val="20"/>
                <w:szCs w:val="20"/>
                <w:lang w:val="en-US" w:eastAsia="zh-CN"/>
              </w:rPr>
              <w:t>保障创造优秀人才、开展培训</w:t>
            </w:r>
          </w:p>
        </w:tc>
      </w:tr>
      <w:tr>
        <w:tblPrEx>
          <w:tblCellMar>
            <w:top w:w="0" w:type="dxa"/>
            <w:left w:w="0" w:type="dxa"/>
            <w:bottom w:w="0" w:type="dxa"/>
            <w:right w:w="0" w:type="dxa"/>
          </w:tblCellMar>
        </w:tblPrEx>
        <w:trPr>
          <w:trHeight w:val="1393"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反映服务对象或项目受益人对相关产出及其影响的认可程度，根据项目实际细化具体指标。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lang w:val="en-US" w:eastAsia="zh-CN"/>
              </w:rPr>
              <w:t>人才</w:t>
            </w:r>
            <w:r>
              <w:rPr>
                <w:rFonts w:hint="eastAsia" w:ascii="宋体" w:hAnsi="宋体" w:cs="宋体"/>
                <w:color w:val="000000" w:themeColor="text1"/>
                <w:sz w:val="20"/>
                <w:szCs w:val="20"/>
              </w:rPr>
              <w:t>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color w:val="000000" w:themeColor="text1"/>
                <w:sz w:val="20"/>
                <w:szCs w:val="20"/>
                <w:lang w:val="en-US" w:eastAsia="zh-CN"/>
              </w:rPr>
            </w:pPr>
            <w:r>
              <w:rPr>
                <w:rFonts w:hint="eastAsia" w:ascii="宋体" w:hAnsi="宋体" w:cs="宋体"/>
                <w:color w:val="000000" w:themeColor="text1"/>
                <w:sz w:val="20"/>
                <w:szCs w:val="20"/>
                <w:lang w:val="en-US" w:eastAsia="zh-CN"/>
              </w:rPr>
              <w:t>100%</w:t>
            </w:r>
          </w:p>
        </w:tc>
      </w:tr>
    </w:tbl>
    <w:p>
      <w:pPr>
        <w:widowControl/>
        <w:ind w:firstLine="642" w:firstLineChars="200"/>
        <w:jc w:val="left"/>
        <w:rPr>
          <w:rFonts w:ascii="仿宋_GB2312" w:eastAsia="仿宋_GB2312"/>
          <w:b/>
          <w:sz w:val="32"/>
          <w:szCs w:val="32"/>
        </w:rPr>
      </w:pPr>
      <w:r>
        <w:rPr>
          <w:rFonts w:ascii="仿宋_GB2312" w:eastAsia="仿宋_GB2312"/>
          <w:b/>
          <w:sz w:val="32"/>
          <w:szCs w:val="32"/>
        </w:rPr>
        <w:br w:type="page"/>
      </w:r>
    </w:p>
    <w:p>
      <w:pPr>
        <w:numPr>
          <w:ilvl w:val="0"/>
          <w:numId w:val="5"/>
        </w:numPr>
        <w:spacing w:line="600" w:lineRule="exact"/>
        <w:ind w:firstLine="660" w:firstLineChars="150"/>
        <w:jc w:val="center"/>
        <w:outlineLvl w:val="0"/>
        <w:rPr>
          <w:rStyle w:val="20"/>
          <w:rFonts w:ascii="黑体" w:eastAsia="黑体"/>
          <w:b w:val="0"/>
        </w:rPr>
      </w:pPr>
      <w:bookmarkStart w:id="69" w:name="_Toc15396613"/>
      <w:bookmarkStart w:id="70" w:name="_Toc654588456"/>
      <w:bookmarkStart w:id="71" w:name="_Toc15377225"/>
      <w:r>
        <w:rPr>
          <w:rFonts w:hint="eastAsia" w:ascii="黑体" w:eastAsia="黑体"/>
          <w:sz w:val="44"/>
          <w:szCs w:val="44"/>
        </w:rPr>
        <w:t>名</w:t>
      </w:r>
      <w:r>
        <w:rPr>
          <w:rStyle w:val="20"/>
          <w:rFonts w:hint="eastAsia" w:ascii="黑体" w:eastAsia="黑体"/>
          <w:b w:val="0"/>
        </w:rPr>
        <w:t>词解释</w:t>
      </w:r>
      <w:bookmarkEnd w:id="69"/>
      <w:bookmarkEnd w:id="70"/>
      <w:bookmarkEnd w:id="71"/>
    </w:p>
    <w:p>
      <w:pPr>
        <w:spacing w:line="600" w:lineRule="exact"/>
        <w:jc w:val="left"/>
        <w:rPr>
          <w:rFonts w:ascii="宋体"/>
          <w:b/>
          <w:sz w:val="44"/>
          <w:szCs w:val="44"/>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bookmarkStart w:id="72" w:name="_Toc26851"/>
      <w:bookmarkStart w:id="73" w:name="_Toc8561"/>
      <w:bookmarkStart w:id="74" w:name="_Toc15377226"/>
      <w:r>
        <w:rPr>
          <w:rFonts w:hint="default" w:ascii="Times New Roman" w:hAnsi="Times New Roman" w:eastAsia="仿宋_GB2312" w:cs="Times New Roman"/>
          <w:color w:val="auto"/>
          <w:kern w:val="0"/>
          <w:sz w:val="32"/>
          <w:szCs w:val="32"/>
          <w:lang w:val="en-US" w:eastAsia="zh-CN" w:bidi="ar-SA"/>
        </w:rPr>
        <w:t>1.财政拨款收入：指单位从同级财政部门取得的财政预算资金。</w:t>
      </w:r>
      <w:bookmarkEnd w:id="72"/>
      <w:bookmarkEnd w:id="7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2.事业收入：指事业单位开展专业业务活动及辅助活动取得的收入。</w:t>
      </w:r>
    </w:p>
    <w:p>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3.经营收入：指事业单位在专业业务活动及其辅助活动之外开展非独立核算经营活动取得的收入。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bookmarkStart w:id="75" w:name="_Toc14518"/>
      <w:bookmarkStart w:id="76" w:name="_Toc26643"/>
      <w:r>
        <w:rPr>
          <w:rFonts w:hint="default" w:ascii="Times New Roman" w:hAnsi="Times New Roman" w:eastAsia="仿宋_GB2312" w:cs="Times New Roman"/>
          <w:color w:val="auto"/>
          <w:kern w:val="0"/>
          <w:sz w:val="32"/>
          <w:szCs w:val="32"/>
          <w:lang w:val="en-US" w:eastAsia="zh-CN" w:bidi="ar-SA"/>
        </w:rPr>
        <w:t>4.其他收入：指单位取得的除上述收入以外的各项收入。</w:t>
      </w:r>
      <w:bookmarkEnd w:id="75"/>
      <w:bookmarkEnd w:id="76"/>
    </w:p>
    <w:p>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 xml:space="preserve">5.使用非财政拨款结余：指事业单位使用以前年度积累的非财政拨款结余弥补当年收支差额的金额。 </w:t>
      </w:r>
    </w:p>
    <w:p>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 xml:space="preserve">6.年初结转和结余：指以前年度尚未完成、结转到本年按有关规定继续使用的资金。 </w:t>
      </w:r>
    </w:p>
    <w:p>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7.结余分配：指事业单位按照会计制度规定缴纳的所得税、提取的专用结余以及转入非财政拨款结余的金额等。</w:t>
      </w:r>
    </w:p>
    <w:p>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8.年末结转和结余：指单位按有关规定结转到下年或以后年度继续使用的资金。</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9.社会保障和就业支出人力资源和社会保障管理事务行政运行（2080101）：指行政单位（包括实行公务员管理的事业单位）的基本支出。</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10.社会保障和就业支出人力资源和社会保障管理事务社会保险业务管理事务（2080107）：指社会保险业务管理和基金监督方面的支出。</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11.社会保障和就业支出人力资源和社会保障管理事务劳动人事争议调解仲裁（2080112）：指仲裁机构实体化建设、办案经费、调解仲裁能力建设等支出。</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12.社会保障和就业支出人力资源和社会保障管理事务引进人才费用（2080116）：指引进事业和专技人才等方面的支出。</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13.社会保障和就业支出人力资源和社会保障管理事务事业运行（2080150）：指事业单位的基本支出。</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14.社会保障和就业支出人力资源和社会保障管理事务其他人力资源和社会保障管理事务支出（2080199）：指除上述项目以外其他用于人力资源和社会保障管理事务方面的支出。</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15.基本支出：指为保障机构正常运转、完成日常工作任务而发生的人员支出和公用支出。</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 xml:space="preserve">16.项目支出：指在基本支出之外为完成特定行政任务和事业发展目标所发生的支出。 </w:t>
      </w:r>
    </w:p>
    <w:p>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17.“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0"/>
          <w:rFonts w:ascii="黑体" w:eastAsia="黑体"/>
          <w:b w:val="0"/>
        </w:rPr>
      </w:pPr>
      <w:r>
        <w:rPr>
          <w:rFonts w:ascii="宋体"/>
          <w:b/>
          <w:sz w:val="44"/>
          <w:szCs w:val="44"/>
        </w:rPr>
        <w:br w:type="page"/>
      </w:r>
      <w:bookmarkStart w:id="77" w:name="_Toc346279852"/>
      <w:bookmarkStart w:id="78" w:name="_Toc15396614"/>
      <w:r>
        <w:rPr>
          <w:rFonts w:hint="eastAsia" w:ascii="黑体" w:eastAsia="黑体"/>
          <w:sz w:val="44"/>
          <w:szCs w:val="44"/>
        </w:rPr>
        <w:t>第</w:t>
      </w:r>
      <w:r>
        <w:rPr>
          <w:rStyle w:val="20"/>
          <w:rFonts w:hint="eastAsia" w:ascii="黑体" w:eastAsia="黑体"/>
          <w:b w:val="0"/>
        </w:rPr>
        <w:t>四部分 附件</w:t>
      </w:r>
      <w:bookmarkEnd w:id="77"/>
      <w:bookmarkEnd w:id="78"/>
    </w:p>
    <w:p>
      <w:pPr>
        <w:spacing w:line="572" w:lineRule="exact"/>
        <w:jc w:val="left"/>
        <w:outlineLvl w:val="0"/>
        <w:rPr>
          <w:rFonts w:ascii="方正小标宋简体" w:eastAsia="方正小标宋简体" w:cs="方正小标宋简体"/>
          <w:sz w:val="44"/>
          <w:szCs w:val="44"/>
        </w:rPr>
      </w:pPr>
      <w:bookmarkStart w:id="79" w:name="_Toc443910203"/>
      <w:r>
        <w:rPr>
          <w:rFonts w:hint="eastAsia" w:ascii="黑体" w:eastAsia="黑体" w:cs="黑体"/>
          <w:sz w:val="32"/>
          <w:szCs w:val="32"/>
        </w:rPr>
        <w:t>附件</w:t>
      </w:r>
      <w:bookmarkEnd w:id="79"/>
    </w:p>
    <w:p>
      <w:pPr>
        <w:widowControl/>
        <w:spacing w:line="560" w:lineRule="exact"/>
        <w:contextualSpacing/>
        <w:jc w:val="center"/>
        <w:rPr>
          <w:rFonts w:hint="eastAsia" w:ascii="宋体"/>
          <w:b/>
          <w:sz w:val="32"/>
          <w:szCs w:val="32"/>
          <w:shd w:val="clear" w:color="auto" w:fill="FFFFFF"/>
          <w:lang w:eastAsia="zh-CN"/>
        </w:rPr>
      </w:pPr>
      <w:r>
        <w:rPr>
          <w:rFonts w:hint="eastAsia" w:ascii="宋体"/>
          <w:b/>
          <w:sz w:val="32"/>
          <w:szCs w:val="32"/>
          <w:shd w:val="clear" w:color="auto" w:fill="FFFFFF"/>
          <w:lang w:eastAsia="zh-CN"/>
        </w:rPr>
        <w:t>中共红原县委组织部</w:t>
      </w:r>
    </w:p>
    <w:p>
      <w:pPr>
        <w:widowControl/>
        <w:spacing w:line="560" w:lineRule="exact"/>
        <w:contextualSpacing/>
        <w:jc w:val="center"/>
        <w:rPr>
          <w:rFonts w:hint="eastAsia" w:ascii="宋体"/>
          <w:b/>
          <w:sz w:val="32"/>
          <w:szCs w:val="32"/>
          <w:shd w:val="clear" w:color="auto" w:fill="FFFFFF"/>
        </w:rPr>
      </w:pPr>
      <w:r>
        <w:rPr>
          <w:rFonts w:hint="eastAsia" w:ascii="宋体"/>
          <w:b/>
          <w:sz w:val="32"/>
          <w:szCs w:val="32"/>
          <w:shd w:val="clear" w:color="auto" w:fill="FFFFFF"/>
        </w:rPr>
        <w:t>2023年</w:t>
      </w:r>
      <w:r>
        <w:rPr>
          <w:rFonts w:hint="eastAsia" w:ascii="宋体"/>
          <w:b/>
          <w:sz w:val="32"/>
          <w:szCs w:val="32"/>
          <w:shd w:val="clear" w:color="auto" w:fill="FFFFFF"/>
          <w:lang w:eastAsia="zh-CN"/>
        </w:rPr>
        <w:t>部门</w:t>
      </w:r>
      <w:r>
        <w:rPr>
          <w:rFonts w:hint="eastAsia" w:ascii="宋体"/>
          <w:b/>
          <w:sz w:val="32"/>
          <w:szCs w:val="32"/>
          <w:shd w:val="clear" w:color="auto" w:fill="FFFFFF"/>
        </w:rPr>
        <w:t>整体绩效评价报告</w:t>
      </w:r>
    </w:p>
    <w:p>
      <w:pPr>
        <w:widowControl/>
        <w:spacing w:line="560" w:lineRule="exact"/>
        <w:contextualSpacing/>
        <w:jc w:val="center"/>
        <w:rPr>
          <w:rFonts w:hint="eastAsia" w:ascii="宋体"/>
          <w:b/>
          <w:sz w:val="32"/>
          <w:szCs w:val="32"/>
          <w:shd w:val="clear" w:color="auto" w:fill="FFFFFF"/>
        </w:rPr>
      </w:pPr>
    </w:p>
    <w:p>
      <w:pPr>
        <w:widowControl/>
        <w:numPr>
          <w:ilvl w:val="0"/>
          <w:numId w:val="6"/>
        </w:numPr>
        <w:adjustRightInd w:val="0"/>
        <w:snapToGrid w:val="0"/>
        <w:spacing w:line="560" w:lineRule="exact"/>
        <w:ind w:firstLine="640" w:firstLineChars="200"/>
        <w:contextualSpacing/>
        <w:jc w:val="left"/>
        <w:rPr>
          <w:rFonts w:ascii="黑体" w:eastAsia="黑体" w:cs="宋体"/>
          <w:kern w:val="0"/>
          <w:sz w:val="32"/>
          <w:szCs w:val="32"/>
          <w:shd w:val="clear" w:color="auto" w:fill="FFFFFF"/>
          <w:lang w:val="zh-CN"/>
        </w:rPr>
      </w:pPr>
      <w:r>
        <w:rPr>
          <w:rFonts w:hint="eastAsia" w:ascii="黑体" w:eastAsia="黑体" w:cs="宋体"/>
          <w:kern w:val="0"/>
          <w:sz w:val="32"/>
          <w:szCs w:val="32"/>
          <w:shd w:val="clear" w:color="auto" w:fill="FFFFFF"/>
          <w:lang w:val="zh-CN"/>
        </w:rPr>
        <w:t>部门（单位）基本情况</w:t>
      </w:r>
    </w:p>
    <w:p>
      <w:pPr>
        <w:keepNext w:val="0"/>
        <w:keepLines w:val="0"/>
        <w:pageBreakBefore w:val="0"/>
        <w:widowControl/>
        <w:numPr>
          <w:ilvl w:val="0"/>
          <w:numId w:val="7"/>
        </w:numPr>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机构组成。</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ascii="楷体_GB2312" w:eastAsia="楷体_GB2312" w:cs="楷体_GB2312"/>
          <w:b/>
          <w:bCs/>
          <w:kern w:val="0"/>
          <w:sz w:val="32"/>
          <w:szCs w:val="32"/>
          <w:shd w:val="clear" w:color="auto" w:fill="FFFFFF"/>
          <w:lang w:val="zh-CN"/>
        </w:rPr>
      </w:pPr>
      <w:r>
        <w:rPr>
          <w:rFonts w:hint="eastAsia" w:ascii="仿宋_GB2312" w:hAnsi="仿宋_GB2312" w:eastAsia="仿宋_GB2312" w:cs="仿宋_GB2312"/>
          <w:bCs/>
          <w:sz w:val="32"/>
          <w:szCs w:val="32"/>
          <w:lang w:eastAsia="zh-CN"/>
        </w:rPr>
        <w:t>县</w:t>
      </w:r>
      <w:r>
        <w:rPr>
          <w:rFonts w:hint="eastAsia" w:ascii="仿宋_GB2312" w:hAnsi="仿宋_GB2312" w:eastAsia="仿宋_GB2312" w:cs="仿宋_GB2312"/>
          <w:bCs/>
          <w:sz w:val="32"/>
          <w:szCs w:val="32"/>
        </w:rPr>
        <w:t>委组织部为独立核算全额拨款</w:t>
      </w:r>
      <w:r>
        <w:rPr>
          <w:rFonts w:hint="eastAsia" w:ascii="仿宋_GB2312" w:hAnsi="仿宋_GB2312" w:eastAsia="仿宋_GB2312" w:cs="仿宋_GB2312"/>
          <w:sz w:val="32"/>
          <w:szCs w:val="32"/>
        </w:rPr>
        <w:t>行政单位1个，</w:t>
      </w:r>
      <w:r>
        <w:rPr>
          <w:rFonts w:hint="eastAsia" w:ascii="仿宋_GB2312" w:hAnsi="仿宋_GB2312" w:eastAsia="仿宋_GB2312" w:cs="仿宋_GB2312"/>
          <w:color w:val="000000"/>
          <w:kern w:val="0"/>
          <w:sz w:val="32"/>
          <w:szCs w:val="32"/>
          <w:lang w:val="en-US" w:eastAsia="zh-CN" w:bidi="ar"/>
        </w:rPr>
        <w:t>下设参公单位2个、事业单位2个。</w:t>
      </w:r>
    </w:p>
    <w:p>
      <w:pPr>
        <w:widowControl/>
        <w:numPr>
          <w:ilvl w:val="0"/>
          <w:numId w:val="7"/>
        </w:numPr>
        <w:adjustRightInd w:val="0"/>
        <w:snapToGrid w:val="0"/>
        <w:spacing w:line="560" w:lineRule="exact"/>
        <w:ind w:left="0" w:leftChars="0" w:firstLine="642" w:firstLineChars="200"/>
        <w:contextualSpacing/>
        <w:jc w:val="left"/>
        <w:rPr>
          <w:rFonts w:hint="eastAsia"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机构职能和人员概况。</w:t>
      </w: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lang w:eastAsia="zh-CN"/>
        </w:rPr>
        <w:t>机构职能：</w:t>
      </w:r>
      <w:r>
        <w:rPr>
          <w:rFonts w:hint="eastAsia" w:ascii="仿宋_GB2312" w:hAnsi="仿宋_GB2312" w:eastAsia="仿宋_GB2312" w:cs="仿宋_GB2312"/>
          <w:bCs/>
          <w:sz w:val="32"/>
          <w:szCs w:val="32"/>
          <w:lang w:eastAsia="zh-CN"/>
        </w:rPr>
        <w:t>县</w:t>
      </w:r>
      <w:r>
        <w:rPr>
          <w:rFonts w:hint="eastAsia" w:ascii="仿宋_GB2312" w:hAnsi="仿宋_GB2312" w:eastAsia="仿宋_GB2312" w:cs="仿宋_GB2312"/>
          <w:bCs/>
          <w:sz w:val="32"/>
          <w:szCs w:val="32"/>
        </w:rPr>
        <w:t>委组织部是县委主管组织工作、干部工作和人才工作的职能部门，主要职责是研究、指导全县各级党组织特别是党的基层组织建设，协调、规划和指导全县党员教育管理和强化党员发展工作；负责乡镇、县级各部门和县委、县政府直属企事业单位以及其他列入县委管理的领导班子和领导干部的考察考核，并提出领导班子调整、配备和任免的意见和建议；研究全县干部人才队伍建设的政策、措施；负责组织、干部工作的监督检查以及有关的综合协调工作，及时向县委和州委组织部反映情况，提出建议；指导和承办离休干部和副县级以上退休干部的安置、管理、服务工作。</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Cs/>
          <w:sz w:val="32"/>
          <w:szCs w:val="32"/>
          <w:lang w:val="zh-CN"/>
        </w:rPr>
      </w:pPr>
      <w:r>
        <w:rPr>
          <w:rFonts w:hint="eastAsia" w:ascii="仿宋_GB2312" w:hAnsi="宋体" w:eastAsia="仿宋_GB2312" w:cs="宋体"/>
          <w:b/>
          <w:bCs/>
          <w:color w:val="000000"/>
          <w:kern w:val="0"/>
          <w:sz w:val="32"/>
          <w:szCs w:val="32"/>
          <w:shd w:val="clear" w:color="auto" w:fill="FFFFFF"/>
          <w:lang w:val="zh-CN"/>
        </w:rPr>
        <w:t>人员概况：</w:t>
      </w: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仿宋_GB2312"/>
          <w:bCs/>
          <w:sz w:val="32"/>
          <w:szCs w:val="32"/>
        </w:rPr>
        <w:t>年底我单位共有编制</w:t>
      </w:r>
      <w:r>
        <w:rPr>
          <w:rFonts w:hint="eastAsia" w:ascii="仿宋_GB2312" w:hAnsi="仿宋_GB2312" w:eastAsia="仿宋_GB2312" w:cs="仿宋_GB2312"/>
          <w:bCs/>
          <w:sz w:val="32"/>
          <w:szCs w:val="32"/>
          <w:lang w:val="en-US" w:eastAsia="zh-CN"/>
        </w:rPr>
        <w:t>34</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14</w:t>
      </w:r>
      <w:r>
        <w:rPr>
          <w:rFonts w:hint="eastAsia" w:ascii="仿宋_GB2312" w:hAnsi="仿宋_GB2312" w:eastAsia="仿宋_GB2312" w:cs="仿宋_GB2312"/>
          <w:bCs/>
          <w:sz w:val="32"/>
          <w:szCs w:val="32"/>
        </w:rPr>
        <w:t>个，</w:t>
      </w:r>
      <w:r>
        <w:rPr>
          <w:rFonts w:hint="eastAsia" w:ascii="仿宋_GB2312" w:hAnsi="仿宋_GB2312" w:eastAsia="仿宋_GB2312" w:cs="仿宋_GB2312"/>
          <w:bCs/>
          <w:sz w:val="32"/>
          <w:szCs w:val="32"/>
          <w:lang w:val="en-US" w:eastAsia="zh-CN"/>
        </w:rPr>
        <w:t>参公编制10个、事业编制8个、</w:t>
      </w:r>
      <w:r>
        <w:rPr>
          <w:rFonts w:hint="eastAsia" w:ascii="仿宋_GB2312" w:hAnsi="仿宋_GB2312" w:eastAsia="仿宋_GB2312" w:cs="仿宋_GB2312"/>
          <w:bCs/>
          <w:sz w:val="32"/>
          <w:szCs w:val="32"/>
        </w:rPr>
        <w:t>行政工勤编制</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个，</w:t>
      </w:r>
      <w:r>
        <w:rPr>
          <w:rFonts w:hint="eastAsia" w:ascii="仿宋_GB2312" w:hAnsi="仿宋_GB2312" w:eastAsia="仿宋_GB2312" w:cs="仿宋_GB2312"/>
          <w:b w:val="0"/>
          <w:bCs/>
          <w:color w:val="auto"/>
          <w:sz w:val="32"/>
          <w:szCs w:val="32"/>
        </w:rPr>
        <w:t>在职</w:t>
      </w:r>
      <w:r>
        <w:rPr>
          <w:rFonts w:hint="eastAsia" w:ascii="仿宋_GB2312" w:hAnsi="仿宋_GB2312" w:eastAsia="仿宋_GB2312" w:cs="仿宋_GB2312"/>
          <w:b w:val="0"/>
          <w:bCs/>
          <w:color w:val="auto"/>
          <w:sz w:val="32"/>
          <w:szCs w:val="32"/>
          <w:lang w:val="en-US" w:eastAsia="zh-CN"/>
        </w:rPr>
        <w:t>34</w:t>
      </w:r>
      <w:r>
        <w:rPr>
          <w:rFonts w:hint="eastAsia" w:ascii="仿宋_GB2312" w:hAnsi="仿宋_GB2312" w:eastAsia="仿宋_GB2312" w:cs="仿宋_GB2312"/>
          <w:b w:val="0"/>
          <w:bCs/>
          <w:color w:val="auto"/>
          <w:sz w:val="32"/>
          <w:szCs w:val="32"/>
        </w:rPr>
        <w:t>人，其中公务员</w:t>
      </w:r>
      <w:r>
        <w:rPr>
          <w:rFonts w:hint="eastAsia" w:ascii="仿宋_GB2312" w:hAnsi="仿宋_GB2312" w:eastAsia="仿宋_GB2312" w:cs="仿宋_GB2312"/>
          <w:b w:val="0"/>
          <w:bCs/>
          <w:color w:val="auto"/>
          <w:sz w:val="32"/>
          <w:szCs w:val="32"/>
          <w:lang w:val="en-US" w:eastAsia="zh-CN"/>
        </w:rPr>
        <w:t>14</w:t>
      </w:r>
      <w:r>
        <w:rPr>
          <w:rFonts w:hint="eastAsia" w:ascii="仿宋_GB2312" w:hAnsi="仿宋_GB2312" w:eastAsia="仿宋_GB2312" w:cs="仿宋_GB2312"/>
          <w:b w:val="0"/>
          <w:bCs/>
          <w:color w:val="auto"/>
          <w:sz w:val="32"/>
          <w:szCs w:val="32"/>
        </w:rPr>
        <w:t>人，参公</w:t>
      </w:r>
      <w:r>
        <w:rPr>
          <w:rFonts w:hint="eastAsia" w:ascii="仿宋_GB2312" w:hAnsi="仿宋_GB2312" w:eastAsia="仿宋_GB2312" w:cs="仿宋_GB2312"/>
          <w:b w:val="0"/>
          <w:bCs/>
          <w:color w:val="auto"/>
          <w:sz w:val="32"/>
          <w:szCs w:val="32"/>
          <w:lang w:val="en-US" w:eastAsia="zh-CN"/>
        </w:rPr>
        <w:t>10</w:t>
      </w:r>
      <w:r>
        <w:rPr>
          <w:rFonts w:hint="eastAsia" w:ascii="仿宋_GB2312" w:hAnsi="仿宋_GB2312" w:eastAsia="仿宋_GB2312" w:cs="仿宋_GB2312"/>
          <w:b w:val="0"/>
          <w:bCs/>
          <w:color w:val="auto"/>
          <w:sz w:val="32"/>
          <w:szCs w:val="32"/>
        </w:rPr>
        <w:t>人，事业</w:t>
      </w:r>
      <w:r>
        <w:rPr>
          <w:rFonts w:hint="eastAsia" w:ascii="仿宋_GB2312" w:hAnsi="仿宋_GB2312" w:eastAsia="仿宋_GB2312" w:cs="仿宋_GB2312"/>
          <w:b w:val="0"/>
          <w:bCs/>
          <w:color w:val="auto"/>
          <w:sz w:val="32"/>
          <w:szCs w:val="32"/>
          <w:lang w:val="en-US" w:eastAsia="zh-CN"/>
        </w:rPr>
        <w:t>8</w:t>
      </w:r>
      <w:r>
        <w:rPr>
          <w:rFonts w:hint="eastAsia" w:ascii="仿宋_GB2312" w:hAnsi="仿宋_GB2312" w:eastAsia="仿宋_GB2312" w:cs="仿宋_GB2312"/>
          <w:b w:val="0"/>
          <w:bCs/>
          <w:color w:val="auto"/>
          <w:sz w:val="32"/>
          <w:szCs w:val="32"/>
        </w:rPr>
        <w:t>人</w:t>
      </w:r>
      <w:r>
        <w:rPr>
          <w:rFonts w:hint="eastAsia" w:ascii="仿宋_GB2312" w:hAnsi="仿宋_GB2312" w:eastAsia="仿宋_GB2312" w:cs="仿宋_GB2312"/>
          <w:b w:val="0"/>
          <w:bCs/>
          <w:color w:val="auto"/>
          <w:sz w:val="32"/>
          <w:szCs w:val="32"/>
          <w:lang w:eastAsia="zh-CN"/>
        </w:rPr>
        <w:t>，行政工勤</w:t>
      </w:r>
      <w:r>
        <w:rPr>
          <w:rFonts w:hint="eastAsia" w:ascii="仿宋_GB2312" w:hAnsi="仿宋_GB2312" w:eastAsia="仿宋_GB2312" w:cs="仿宋_GB2312"/>
          <w:b w:val="0"/>
          <w:bCs/>
          <w:color w:val="auto"/>
          <w:sz w:val="32"/>
          <w:szCs w:val="32"/>
          <w:lang w:val="en-US" w:eastAsia="zh-CN"/>
        </w:rPr>
        <w:t>2人</w:t>
      </w:r>
      <w:r>
        <w:rPr>
          <w:rFonts w:hint="eastAsia" w:ascii="仿宋_GB2312" w:hAnsi="仿宋_GB2312" w:eastAsia="仿宋_GB2312" w:cs="仿宋_GB2312"/>
          <w:b w:val="0"/>
          <w:bCs/>
          <w:color w:val="auto"/>
          <w:sz w:val="32"/>
          <w:szCs w:val="32"/>
        </w:rPr>
        <w:t>。</w:t>
      </w:r>
    </w:p>
    <w:p>
      <w:pPr>
        <w:widowControl/>
        <w:numPr>
          <w:ilvl w:val="0"/>
          <w:numId w:val="7"/>
        </w:numPr>
        <w:adjustRightInd w:val="0"/>
        <w:snapToGrid w:val="0"/>
        <w:spacing w:line="560" w:lineRule="exact"/>
        <w:ind w:left="0" w:leftChars="0" w:firstLine="642" w:firstLineChars="200"/>
        <w:contextualSpacing/>
        <w:jc w:val="left"/>
        <w:rPr>
          <w:rFonts w:hint="eastAsia"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年度主要工作任务。</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lang w:val="zh-CN"/>
        </w:rPr>
      </w:pPr>
      <w:r>
        <w:rPr>
          <w:rFonts w:hint="eastAsia" w:ascii="仿宋_GB2312" w:hAnsi="仿宋_GB2312" w:eastAsia="仿宋_GB2312" w:cs="仿宋_GB2312"/>
          <w:bCs/>
          <w:kern w:val="2"/>
          <w:sz w:val="32"/>
          <w:szCs w:val="32"/>
          <w:lang w:val="en-US" w:eastAsia="zh-CN" w:bidi="ar-SA"/>
        </w:rPr>
        <w:t>我们重点聚焦创建“五区N点”协作机制；科学编制“十四五”基层组织建设总体规划；实施农村党员政治体检，构建党建红引领生态绿工作机制；创新党建工作项目化管理模式，持续做好驻村帮扶工作；深化“联户联情”群众工作；抓实机关党建破难补短工作；开展“两新”党建攻坚行动；开发智能化优秀人才管理服务信息系统；大力开展“硕博进阿坝”行动;扎实做好县级机关单位领导班子配备工作；持续做好职级晋升工作；做好事业管理等级首次晋升工作；进一步规范干部人事档案、考纪档案工作；开展科级领导班子运行情况分析研判等要事大事，奋力攻坚，创新突破，实现全年组织工作再新台阶。</w:t>
      </w:r>
    </w:p>
    <w:p>
      <w:pPr>
        <w:widowControl/>
        <w:adjustRightInd w:val="0"/>
        <w:snapToGrid w:val="0"/>
        <w:spacing w:line="560" w:lineRule="exact"/>
        <w:ind w:firstLine="640" w:firstLineChars="200"/>
        <w:contextualSpacing/>
        <w:jc w:val="left"/>
        <w:rPr>
          <w:rFonts w:ascii="黑体" w:eastAsia="黑体" w:cs="宋体"/>
          <w:kern w:val="0"/>
          <w:sz w:val="32"/>
          <w:szCs w:val="32"/>
          <w:shd w:val="clear" w:color="auto" w:fill="FFFFFF"/>
        </w:rPr>
      </w:pPr>
      <w:r>
        <w:rPr>
          <w:rFonts w:hint="eastAsia" w:ascii="黑体" w:eastAsia="黑体" w:cs="宋体"/>
          <w:kern w:val="0"/>
          <w:sz w:val="32"/>
          <w:szCs w:val="32"/>
          <w:shd w:val="clear" w:color="auto" w:fill="FFFFFF"/>
        </w:rPr>
        <w:t>二、部门资金收支情况</w:t>
      </w:r>
    </w:p>
    <w:p>
      <w:pPr>
        <w:widowControl/>
        <w:adjustRightInd w:val="0"/>
        <w:snapToGrid w:val="0"/>
        <w:spacing w:line="560" w:lineRule="exact"/>
        <w:ind w:firstLine="642" w:firstLineChars="200"/>
        <w:contextualSpacing/>
        <w:jc w:val="left"/>
        <w:rPr>
          <w:rFonts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（一）部门总体收支情况。</w:t>
      </w:r>
    </w:p>
    <w:p>
      <w:pPr>
        <w:widowControl/>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rPr>
      </w:pPr>
      <w:r>
        <w:rPr>
          <w:rFonts w:hint="eastAsia" w:ascii="仿宋_GB2312" w:eastAsia="仿宋_GB2312" w:cs="仿宋_GB2312"/>
          <w:kern w:val="0"/>
          <w:sz w:val="32"/>
          <w:szCs w:val="32"/>
          <w:shd w:val="clear" w:color="auto" w:fill="FFFFFF"/>
        </w:rPr>
        <w:t>1.部门总体收入情况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cs="仿宋_GB2312"/>
          <w:kern w:val="0"/>
          <w:sz w:val="32"/>
          <w:szCs w:val="32"/>
          <w:shd w:val="clear" w:color="auto" w:fill="FFFFFF"/>
        </w:rPr>
      </w:pPr>
      <w:r>
        <w:rPr>
          <w:rFonts w:hint="eastAsia" w:ascii="仿宋_GB2312" w:hAnsi="仿宋_GB2312" w:eastAsia="仿宋_GB2312" w:cs="仿宋_GB2312"/>
          <w:color w:val="000000"/>
          <w:sz w:val="32"/>
          <w:szCs w:val="32"/>
          <w:lang w:val="en-US" w:eastAsia="zh-CN"/>
        </w:rPr>
        <w:t>2022</w:t>
      </w:r>
      <w:r>
        <w:rPr>
          <w:rFonts w:hint="eastAsia" w:ascii="仿宋_GB2312" w:hAnsi="仿宋_GB2312" w:eastAsia="仿宋_GB2312" w:cs="仿宋_GB2312"/>
          <w:color w:val="000000"/>
          <w:sz w:val="32"/>
          <w:szCs w:val="32"/>
        </w:rPr>
        <w:t>年度</w:t>
      </w:r>
      <w:r>
        <w:rPr>
          <w:rFonts w:hint="eastAsia" w:ascii="仿宋_GB2312" w:hAnsi="仿宋_GB2312" w:eastAsia="仿宋_GB2312" w:cs="仿宋_GB2312"/>
          <w:color w:val="000000"/>
          <w:sz w:val="32"/>
          <w:szCs w:val="32"/>
          <w:shd w:val="clear" w:color="auto" w:fill="FFFFFF"/>
        </w:rPr>
        <w:t>财政资金</w:t>
      </w:r>
      <w:r>
        <w:rPr>
          <w:rFonts w:hint="eastAsia" w:ascii="仿宋_GB2312" w:hAnsi="仿宋_GB2312" w:eastAsia="仿宋_GB2312" w:cs="仿宋_GB2312"/>
          <w:sz w:val="32"/>
          <w:szCs w:val="32"/>
        </w:rPr>
        <w:t>收入</w:t>
      </w:r>
      <w:r>
        <w:rPr>
          <w:rFonts w:hint="eastAsia" w:ascii="仿宋_GB2312" w:hAnsi="仿宋_GB2312" w:eastAsia="仿宋_GB2312" w:cs="仿宋_GB2312"/>
          <w:color w:val="000000"/>
          <w:sz w:val="32"/>
          <w:szCs w:val="32"/>
        </w:rPr>
        <w:t>总计</w:t>
      </w:r>
      <w:r>
        <w:rPr>
          <w:rFonts w:hint="eastAsia" w:ascii="仿宋" w:eastAsia="仿宋"/>
          <w:sz w:val="32"/>
          <w:szCs w:val="32"/>
        </w:rPr>
        <w:t>1594.7</w:t>
      </w:r>
      <w:r>
        <w:rPr>
          <w:rFonts w:hint="eastAsia" w:ascii="仿宋_GB2312" w:hAnsi="仿宋_GB2312" w:eastAsia="仿宋_GB2312" w:cs="仿宋_GB2312"/>
          <w:sz w:val="32"/>
          <w:szCs w:val="32"/>
        </w:rPr>
        <w:t>万元，其中财政拨款收入</w:t>
      </w:r>
      <w:r>
        <w:rPr>
          <w:rFonts w:hint="eastAsia" w:ascii="仿宋" w:eastAsia="仿宋"/>
          <w:sz w:val="32"/>
          <w:szCs w:val="32"/>
        </w:rPr>
        <w:t>1594.7</w:t>
      </w:r>
      <w:r>
        <w:rPr>
          <w:rFonts w:hint="eastAsia" w:ascii="仿宋_GB2312" w:hAnsi="仿宋_GB2312" w:eastAsia="仿宋_GB2312" w:cs="仿宋_GB2312"/>
          <w:sz w:val="32"/>
          <w:szCs w:val="32"/>
        </w:rPr>
        <w:t>万元。</w:t>
      </w:r>
    </w:p>
    <w:p>
      <w:pPr>
        <w:widowControl/>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rPr>
      </w:pPr>
      <w:r>
        <w:rPr>
          <w:rFonts w:hint="eastAsia" w:ascii="仿宋_GB2312" w:eastAsia="仿宋_GB2312" w:cs="仿宋_GB2312"/>
          <w:kern w:val="0"/>
          <w:sz w:val="32"/>
          <w:szCs w:val="32"/>
          <w:shd w:val="clear" w:color="auto" w:fill="FFFFFF"/>
        </w:rPr>
        <w:t>2.部门总体支出情况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eastAsia="仿宋_GB2312" w:cs="仿宋_GB2312"/>
          <w:kern w:val="0"/>
          <w:sz w:val="32"/>
          <w:szCs w:val="32"/>
          <w:shd w:val="clear" w:color="auto" w:fill="FFFFFF"/>
        </w:rPr>
      </w:pPr>
      <w:r>
        <w:rPr>
          <w:rFonts w:hint="eastAsia" w:ascii="仿宋_GB2312" w:hAnsi="仿宋_GB2312" w:eastAsia="仿宋_GB2312" w:cs="仿宋_GB2312"/>
          <w:color w:val="000000"/>
          <w:sz w:val="32"/>
          <w:szCs w:val="32"/>
          <w:lang w:val="en-US" w:eastAsia="zh-CN"/>
        </w:rPr>
        <w:t>2022</w:t>
      </w:r>
      <w:r>
        <w:rPr>
          <w:rFonts w:hint="eastAsia" w:ascii="仿宋_GB2312" w:hAnsi="仿宋_GB2312" w:eastAsia="仿宋_GB2312" w:cs="仿宋_GB2312"/>
          <w:color w:val="000000"/>
          <w:sz w:val="32"/>
          <w:szCs w:val="32"/>
        </w:rPr>
        <w:t>年度</w:t>
      </w:r>
      <w:r>
        <w:rPr>
          <w:rFonts w:hint="eastAsia" w:ascii="仿宋_GB2312" w:hAnsi="仿宋_GB2312" w:eastAsia="仿宋_GB2312" w:cs="仿宋_GB2312"/>
          <w:color w:val="000000"/>
          <w:sz w:val="32"/>
          <w:szCs w:val="32"/>
          <w:shd w:val="clear" w:color="auto" w:fill="FFFFFF"/>
        </w:rPr>
        <w:t>财政资金</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color w:val="000000"/>
          <w:sz w:val="32"/>
          <w:szCs w:val="32"/>
        </w:rPr>
        <w:t>总计</w:t>
      </w:r>
      <w:r>
        <w:rPr>
          <w:rFonts w:hint="eastAsia" w:ascii="仿宋" w:eastAsia="仿宋"/>
          <w:sz w:val="32"/>
          <w:szCs w:val="32"/>
        </w:rPr>
        <w:t>1594.7</w:t>
      </w:r>
      <w:r>
        <w:rPr>
          <w:rFonts w:hint="eastAsia" w:ascii="仿宋_GB2312" w:hAnsi="仿宋_GB2312" w:eastAsia="仿宋_GB2312" w:cs="仿宋_GB2312"/>
          <w:sz w:val="32"/>
          <w:szCs w:val="32"/>
        </w:rPr>
        <w:t>万元，其中</w:t>
      </w:r>
      <w:r>
        <w:rPr>
          <w:rFonts w:hint="eastAsia" w:ascii="仿宋_GB2312" w:hAnsi="仿宋_GB2312" w:eastAsia="仿宋_GB2312" w:cs="仿宋_GB2312"/>
          <w:color w:val="000000"/>
          <w:sz w:val="32"/>
          <w:szCs w:val="32"/>
        </w:rPr>
        <w:t>一般公共服务支出</w:t>
      </w:r>
      <w:r>
        <w:rPr>
          <w:rFonts w:hint="eastAsia" w:ascii="仿宋_GB2312" w:hAnsi="仿宋_GB2312" w:eastAsia="仿宋_GB2312" w:cs="仿宋_GB2312"/>
          <w:color w:val="000000"/>
          <w:sz w:val="32"/>
          <w:szCs w:val="32"/>
          <w:lang w:val="en-US" w:eastAsia="zh-CN"/>
        </w:rPr>
        <w:t>1418.22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，教育支出12.44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，社会保障和就业支出81.45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，卫生健康支出37.29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，住房保障支出45.31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sz w:val="32"/>
          <w:szCs w:val="32"/>
        </w:rPr>
        <w:t>。</w:t>
      </w:r>
    </w:p>
    <w:p>
      <w:pPr>
        <w:widowControl/>
        <w:adjustRightInd w:val="0"/>
        <w:snapToGrid w:val="0"/>
        <w:spacing w:line="560" w:lineRule="exact"/>
        <w:contextualSpacing/>
        <w:jc w:val="left"/>
        <w:rPr>
          <w:rFonts w:hint="eastAsia" w:ascii="仿宋_GB2312" w:eastAsia="仿宋_GB2312" w:cs="仿宋_GB2312"/>
          <w:kern w:val="0"/>
          <w:sz w:val="32"/>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_GB2312"/>
          <w:b/>
          <w:bCs/>
          <w:sz w:val="32"/>
          <w:szCs w:val="32"/>
        </w:rPr>
      </w:pPr>
      <w:r>
        <w:rPr>
          <w:rFonts w:hint="eastAsia" w:ascii="黑体" w:hAnsi="宋体" w:eastAsia="黑体" w:cs="宋体"/>
          <w:color w:val="000000"/>
          <w:kern w:val="0"/>
          <w:sz w:val="32"/>
          <w:szCs w:val="32"/>
          <w:shd w:val="clear" w:color="auto" w:fill="FFFFFF"/>
        </w:rPr>
        <w:t>三、部门整体预算绩效管理情况</w:t>
      </w:r>
    </w:p>
    <w:p>
      <w:pPr>
        <w:keepNext w:val="0"/>
        <w:keepLines w:val="0"/>
        <w:pageBreakBefore w:val="0"/>
        <w:kinsoku/>
        <w:wordWrap/>
        <w:overflowPunct/>
        <w:topLinePunct w:val="0"/>
        <w:autoSpaceDE/>
        <w:autoSpaceDN/>
        <w:bidi w:val="0"/>
        <w:spacing w:line="560" w:lineRule="exact"/>
        <w:ind w:firstLine="642" w:firstLineChars="200"/>
        <w:textAlignment w:val="auto"/>
        <w:rPr>
          <w:rFonts w:ascii="仿宋" w:hAnsi="仿宋" w:eastAsia="仿宋" w:cs="仿宋_GB2312"/>
          <w:b/>
          <w:bCs/>
          <w:sz w:val="32"/>
          <w:szCs w:val="32"/>
        </w:rPr>
      </w:pPr>
      <w:r>
        <w:rPr>
          <w:rFonts w:hint="eastAsia" w:ascii="仿宋" w:hAnsi="仿宋" w:eastAsia="仿宋" w:cs="仿宋_GB2312"/>
          <w:b/>
          <w:bCs/>
          <w:sz w:val="32"/>
          <w:szCs w:val="32"/>
        </w:rPr>
        <w:t>（一）部门预算管理。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sz w:val="32"/>
          <w:szCs w:val="32"/>
          <w:lang w:val="zh-CN" w:eastAsia="zh-CN"/>
        </w:rPr>
        <w:t>县委组织部按照财政局预算编制通知和相关要求，按时保质保量进行预决算的编制，</w:t>
      </w:r>
      <w:r>
        <w:rPr>
          <w:rFonts w:hint="eastAsia" w:ascii="仿宋_GB2312" w:hAnsi="仿宋_GB2312" w:eastAsia="仿宋_GB2312" w:cs="仿宋_GB2312"/>
          <w:sz w:val="32"/>
          <w:szCs w:val="32"/>
        </w:rPr>
        <w:t>对本年度相应用款进行及时清理和处理，做到账账相符、账实相符、账证相符,先有预算再有支出的原则，及时处理相关事务；对绩效目标进行季度梳理和年度分析，及时上报相关报表；对专项预算提前细化，分科目上报，做到收支平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eastAsia="zh-CN"/>
        </w:rPr>
        <w:t>并报经相关部门审核批准后执行。</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ascii="仿宋_GB2312" w:hAnsi="宋体" w:eastAsia="仿宋_GB2312" w:cs="宋体"/>
          <w:b/>
          <w:bCs/>
          <w:color w:val="000000"/>
          <w:kern w:val="0"/>
          <w:sz w:val="32"/>
          <w:szCs w:val="32"/>
          <w:shd w:val="clear" w:color="auto" w:fill="FFFFFF"/>
          <w:lang w:val="zh-CN"/>
        </w:rPr>
      </w:pPr>
      <w:r>
        <w:rPr>
          <w:rFonts w:hint="eastAsia" w:ascii="仿宋" w:hAnsi="仿宋" w:eastAsia="仿宋" w:cs="仿宋_GB2312"/>
          <w:b/>
          <w:bCs/>
          <w:sz w:val="32"/>
          <w:szCs w:val="32"/>
        </w:rPr>
        <w:t>（二）专项预算管理。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color w:val="000000"/>
          <w:kern w:val="0"/>
          <w:sz w:val="32"/>
          <w:szCs w:val="32"/>
          <w:lang w:val="zh-CN" w:eastAsia="zh-CN" w:bidi="ar"/>
        </w:rPr>
        <w:t>县委组织部严格按照县财政的要求，及时分月、分季度上报用款计划，待财政审核通过后，严格按计划执行，各季度执行情况良好。认真执行中央八项规定，严格控制三公经费支出。</w:t>
      </w:r>
      <w:r>
        <w:rPr>
          <w:rFonts w:hint="eastAsia" w:ascii="仿宋_GB2312" w:hAnsi="仿宋_GB2312" w:eastAsia="仿宋_GB2312" w:cs="仿宋_GB2312"/>
          <w:i w:val="0"/>
          <w:caps w:val="0"/>
          <w:color w:val="000000"/>
          <w:spacing w:val="0"/>
          <w:sz w:val="32"/>
          <w:szCs w:val="32"/>
          <w:shd w:val="clear" w:fill="FFFFFF"/>
          <w:lang w:val="en-US" w:eastAsia="zh-CN"/>
        </w:rPr>
        <w:t>2022</w:t>
      </w:r>
      <w:r>
        <w:rPr>
          <w:rFonts w:hint="eastAsia" w:ascii="仿宋_GB2312" w:hAnsi="仿宋_GB2312" w:eastAsia="仿宋_GB2312" w:cs="仿宋_GB2312"/>
          <w:i w:val="0"/>
          <w:caps w:val="0"/>
          <w:color w:val="000000"/>
          <w:spacing w:val="0"/>
          <w:sz w:val="32"/>
          <w:szCs w:val="32"/>
          <w:shd w:val="clear" w:fill="FFFFFF"/>
        </w:rPr>
        <w:t>年“三公”经费支出</w:t>
      </w:r>
      <w:r>
        <w:rPr>
          <w:rFonts w:hint="eastAsia" w:ascii="仿宋_GB2312" w:hAnsi="仿宋_GB2312" w:eastAsia="仿宋_GB2312" w:cs="仿宋_GB2312"/>
          <w:i w:val="0"/>
          <w:caps w:val="0"/>
          <w:color w:val="000000"/>
          <w:spacing w:val="0"/>
          <w:sz w:val="32"/>
          <w:szCs w:val="32"/>
          <w:shd w:val="clear" w:fill="FFFFFF"/>
          <w:lang w:val="en-US" w:eastAsia="zh-CN"/>
        </w:rPr>
        <w:t>12.52</w:t>
      </w:r>
      <w:r>
        <w:rPr>
          <w:rFonts w:hint="eastAsia" w:ascii="仿宋_GB2312" w:hAnsi="仿宋_GB2312" w:eastAsia="仿宋_GB2312" w:cs="仿宋_GB2312"/>
          <w:i w:val="0"/>
          <w:caps w:val="0"/>
          <w:color w:val="000000"/>
          <w:spacing w:val="0"/>
          <w:sz w:val="32"/>
          <w:szCs w:val="32"/>
          <w:shd w:val="clear" w:fill="FFFFFF"/>
        </w:rPr>
        <w:t>万元</w:t>
      </w:r>
      <w:r>
        <w:rPr>
          <w:rFonts w:hint="eastAsia" w:ascii="仿宋_GB2312" w:hAnsi="仿宋_GB2312" w:eastAsia="仿宋_GB2312" w:cs="仿宋_GB2312"/>
          <w:i w:val="0"/>
          <w:caps w:val="0"/>
          <w:color w:val="000000"/>
          <w:spacing w:val="0"/>
          <w:sz w:val="32"/>
          <w:szCs w:val="32"/>
          <w:shd w:val="clear" w:fill="FFFFFF"/>
          <w:lang w:eastAsia="zh-CN"/>
        </w:rPr>
        <w:t>。其中，</w:t>
      </w:r>
      <w:r>
        <w:rPr>
          <w:rFonts w:hint="eastAsia" w:ascii="仿宋_GB2312" w:hAnsi="仿宋_GB2312" w:eastAsia="仿宋_GB2312" w:cs="仿宋_GB2312"/>
          <w:i w:val="0"/>
          <w:caps w:val="0"/>
          <w:color w:val="333333"/>
          <w:spacing w:val="0"/>
          <w:sz w:val="32"/>
          <w:szCs w:val="32"/>
        </w:rPr>
        <w:t>公务用车运行维护费支出</w:t>
      </w:r>
      <w:r>
        <w:rPr>
          <w:rFonts w:hint="eastAsia" w:ascii="仿宋_GB2312" w:hAnsi="仿宋_GB2312" w:eastAsia="仿宋_GB2312" w:cs="仿宋_GB2312"/>
          <w:color w:val="000000"/>
          <w:sz w:val="32"/>
          <w:szCs w:val="32"/>
          <w:lang w:val="en-US" w:eastAsia="zh-CN"/>
        </w:rPr>
        <w:t>12.43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比</w:t>
      </w:r>
      <w:r>
        <w:rPr>
          <w:rFonts w:hint="eastAsia" w:ascii="仿宋_GB2312" w:hAnsi="仿宋_GB2312" w:eastAsia="仿宋_GB2312" w:cs="仿宋_GB2312"/>
          <w:color w:val="000000"/>
          <w:sz w:val="32"/>
          <w:szCs w:val="32"/>
          <w:lang w:val="en-US" w:eastAsia="zh-CN"/>
        </w:rPr>
        <w:t>2022</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0.47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，增长</w:t>
      </w:r>
      <w:r>
        <w:rPr>
          <w:rFonts w:hint="eastAsia" w:ascii="仿宋_GB2312" w:hAnsi="仿宋_GB2312" w:eastAsia="仿宋_GB2312" w:cs="仿宋_GB2312"/>
          <w:color w:val="000000"/>
          <w:sz w:val="32"/>
          <w:szCs w:val="32"/>
          <w:lang w:val="en-US" w:eastAsia="zh-CN"/>
        </w:rPr>
        <w:t>0.39%</w:t>
      </w:r>
      <w:r>
        <w:rPr>
          <w:rFonts w:hint="eastAsia" w:ascii="仿宋_GB2312" w:hAnsi="仿宋_GB2312" w:eastAsia="仿宋_GB2312" w:cs="仿宋_GB2312"/>
          <w:color w:val="000000"/>
          <w:sz w:val="32"/>
          <w:szCs w:val="32"/>
          <w:lang w:eastAsia="zh-CN"/>
        </w:rPr>
        <w:t>。</w:t>
      </w:r>
    </w:p>
    <w:p>
      <w:pPr>
        <w:keepNext w:val="0"/>
        <w:keepLines w:val="0"/>
        <w:pageBreakBefore w:val="0"/>
        <w:kinsoku/>
        <w:wordWrap/>
        <w:overflowPunct/>
        <w:topLinePunct w:val="0"/>
        <w:autoSpaceDE/>
        <w:autoSpaceDN/>
        <w:bidi w:val="0"/>
        <w:spacing w:line="560" w:lineRule="exact"/>
        <w:ind w:firstLine="642" w:firstLineChars="200"/>
        <w:textAlignment w:val="auto"/>
        <w:rPr>
          <w:rFonts w:ascii="仿宋" w:hAnsi="仿宋" w:eastAsia="仿宋" w:cs="仿宋_GB2312"/>
          <w:b/>
          <w:bCs/>
          <w:sz w:val="32"/>
          <w:szCs w:val="32"/>
        </w:rPr>
      </w:pPr>
      <w:r>
        <w:rPr>
          <w:rFonts w:hint="eastAsia" w:ascii="仿宋" w:hAnsi="仿宋" w:eastAsia="仿宋" w:cs="仿宋_GB2312"/>
          <w:b/>
          <w:bCs/>
          <w:sz w:val="32"/>
          <w:szCs w:val="32"/>
        </w:rPr>
        <w:t>（三）结果应用情况。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eastAsia" w:ascii="黑体" w:hAnsi="宋体" w:eastAsia="黑体" w:cs="宋体"/>
          <w:color w:val="000000"/>
          <w:kern w:val="0"/>
          <w:sz w:val="32"/>
          <w:szCs w:val="32"/>
          <w:shd w:val="clear" w:color="auto" w:fill="FFFFFF"/>
        </w:rPr>
      </w:pPr>
      <w:r>
        <w:rPr>
          <w:rFonts w:hint="eastAsia" w:ascii="仿宋_GB2312" w:hAnsi="仿宋_GB2312" w:eastAsia="仿宋_GB2312" w:cs="仿宋_GB2312"/>
          <w:color w:val="000000"/>
          <w:kern w:val="0"/>
          <w:sz w:val="32"/>
          <w:szCs w:val="32"/>
          <w:lang w:val="zh-CN" w:eastAsia="zh-CN" w:bidi="ar"/>
        </w:rPr>
        <w:t>县委组织部按照岗位职责，严格执行机关财务管理制度，及时进行会计核算，严格控制支出；建立健全内部控制制度，资产管理制度，信息公开制度。在执行中新增资产严格按要求实施政府采购，并纳入国有资产管理信息系统。对预算、决算在规定时间和规定的网站进行公开，接受社会监督。</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cs="仿宋_GB2312"/>
          <w:kern w:val="0"/>
          <w:sz w:val="32"/>
          <w:szCs w:val="32"/>
          <w:shd w:val="clear" w:color="auto" w:fill="FFFFFF"/>
        </w:rPr>
      </w:pPr>
      <w:r>
        <w:rPr>
          <w:rFonts w:hint="eastAsia" w:ascii="仿宋_GB2312" w:hAnsi="仿宋_GB2312" w:eastAsia="仿宋_GB2312" w:cs="仿宋_GB2312"/>
          <w:sz w:val="32"/>
          <w:szCs w:val="32"/>
          <w:lang w:val="en-US" w:eastAsia="zh-CN"/>
        </w:rPr>
        <w:t>我部严格按照预算法按时完成预决算编制。在执行过程中有计划进行资金申报使用，完善资金管理及内部控制制度，确保资金安全，做到帐款、帐帐、帐实相符。</w:t>
      </w:r>
    </w:p>
    <w:p>
      <w:pPr>
        <w:widowControl/>
        <w:adjustRightInd w:val="0"/>
        <w:snapToGrid w:val="0"/>
        <w:spacing w:line="560" w:lineRule="exact"/>
        <w:ind w:firstLine="640" w:firstLineChars="200"/>
        <w:contextualSpacing/>
        <w:jc w:val="left"/>
        <w:rPr>
          <w:rFonts w:hint="eastAsia" w:ascii="黑体" w:eastAsia="黑体" w:cs="宋体"/>
          <w:kern w:val="0"/>
          <w:sz w:val="32"/>
          <w:szCs w:val="32"/>
          <w:shd w:val="clear" w:color="auto" w:fill="FFFFFF"/>
        </w:rPr>
      </w:pPr>
      <w:r>
        <w:rPr>
          <w:rFonts w:hint="eastAsia" w:ascii="黑体" w:eastAsia="黑体" w:cs="宋体"/>
          <w:kern w:val="0"/>
          <w:sz w:val="32"/>
          <w:szCs w:val="32"/>
          <w:shd w:val="clear" w:color="auto" w:fill="FFFFFF"/>
        </w:rPr>
        <w:t>四、评价结论及建议</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黑体" w:eastAsia="黑体" w:cs="宋体"/>
          <w:kern w:val="0"/>
          <w:sz w:val="32"/>
          <w:szCs w:val="32"/>
          <w:shd w:val="clear" w:color="auto" w:fill="FFFFFF"/>
        </w:rPr>
      </w:pPr>
      <w:r>
        <w:rPr>
          <w:rFonts w:hint="eastAsia" w:ascii="仿宋_GB2312" w:hAnsi="仿宋_GB2312" w:eastAsia="仿宋_GB2312" w:cs="仿宋_GB2312"/>
          <w:sz w:val="32"/>
          <w:szCs w:val="32"/>
          <w:lang w:val="en-US" w:eastAsia="zh-CN"/>
        </w:rPr>
        <w:t>我部严格按照预算法按时完成预决算编制。在执行过程中有计划进行资金申报使用，完善资金管理及内部控制制度，确保资金安全，做到帐款、帐帐、帐实相符。</w:t>
      </w:r>
    </w:p>
    <w:p>
      <w:pPr>
        <w:widowControl/>
        <w:numPr>
          <w:ilvl w:val="0"/>
          <w:numId w:val="8"/>
        </w:numPr>
        <w:adjustRightInd w:val="0"/>
        <w:snapToGrid w:val="0"/>
        <w:spacing w:line="560" w:lineRule="exact"/>
        <w:ind w:firstLine="642" w:firstLineChars="200"/>
        <w:contextualSpacing/>
        <w:jc w:val="left"/>
        <w:rPr>
          <w:rFonts w:hint="eastAsia"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评价结论。</w:t>
      </w:r>
    </w:p>
    <w:p>
      <w:pPr>
        <w:widowControl/>
        <w:numPr>
          <w:ilvl w:val="0"/>
          <w:numId w:val="0"/>
        </w:numPr>
        <w:adjustRightInd w:val="0"/>
        <w:snapToGrid w:val="0"/>
        <w:spacing w:line="560" w:lineRule="exact"/>
        <w:ind w:firstLine="640" w:firstLineChars="200"/>
        <w:contextualSpacing/>
        <w:jc w:val="left"/>
        <w:rPr>
          <w:rFonts w:hint="eastAsia" w:ascii="楷体_GB2312" w:eastAsia="楷体_GB2312" w:cs="楷体_GB2312"/>
          <w:b/>
          <w:bCs/>
          <w:kern w:val="0"/>
          <w:sz w:val="32"/>
          <w:szCs w:val="32"/>
          <w:shd w:val="clear" w:color="auto" w:fill="FFFFFF"/>
          <w:lang w:val="zh-CN"/>
        </w:rPr>
      </w:pPr>
      <w:r>
        <w:rPr>
          <w:rFonts w:hint="eastAsia" w:ascii="仿宋_GB2312" w:hAnsi="仿宋_GB2312" w:eastAsia="仿宋_GB2312" w:cs="仿宋_GB2312"/>
          <w:color w:val="000000"/>
          <w:kern w:val="0"/>
          <w:sz w:val="32"/>
          <w:szCs w:val="32"/>
          <w:lang w:val="zh-CN" w:bidi="ar"/>
        </w:rPr>
        <w:t>根据《</w:t>
      </w:r>
      <w:r>
        <w:rPr>
          <w:rFonts w:hint="eastAsia" w:ascii="仿宋_GB2312" w:hAnsi="仿宋_GB2312" w:eastAsia="仿宋_GB2312" w:cs="仿宋_GB2312"/>
          <w:color w:val="000000"/>
          <w:kern w:val="0"/>
          <w:sz w:val="32"/>
          <w:szCs w:val="32"/>
          <w:lang w:val="en-US" w:eastAsia="zh-CN" w:bidi="ar"/>
        </w:rPr>
        <w:t>2022</w:t>
      </w:r>
      <w:r>
        <w:rPr>
          <w:rFonts w:hint="eastAsia" w:ascii="仿宋_GB2312" w:hAnsi="仿宋_GB2312" w:eastAsia="仿宋_GB2312" w:cs="仿宋_GB2312"/>
          <w:color w:val="000000"/>
          <w:kern w:val="0"/>
          <w:sz w:val="32"/>
          <w:szCs w:val="32"/>
          <w:lang w:val="zh-CN" w:bidi="ar"/>
        </w:rPr>
        <w:t>年红原县部门支出绩效评价指标体系》评分得分9</w:t>
      </w:r>
      <w:r>
        <w:rPr>
          <w:rFonts w:hint="eastAsia" w:ascii="仿宋_GB2312" w:hAnsi="仿宋_GB2312" w:eastAsia="仿宋_GB2312" w:cs="仿宋_GB2312"/>
          <w:color w:val="000000"/>
          <w:kern w:val="0"/>
          <w:sz w:val="32"/>
          <w:szCs w:val="32"/>
          <w:lang w:val="en-US" w:eastAsia="zh-CN" w:bidi="ar"/>
        </w:rPr>
        <w:t>5</w:t>
      </w:r>
      <w:r>
        <w:rPr>
          <w:rFonts w:hint="eastAsia" w:ascii="仿宋_GB2312" w:hAnsi="仿宋_GB2312" w:eastAsia="仿宋_GB2312" w:cs="仿宋_GB2312"/>
          <w:color w:val="000000"/>
          <w:kern w:val="0"/>
          <w:sz w:val="32"/>
          <w:szCs w:val="32"/>
          <w:lang w:val="zh-CN" w:bidi="ar"/>
        </w:rPr>
        <w:t>分，部门整体支出绩效为“好”</w:t>
      </w:r>
    </w:p>
    <w:p>
      <w:pPr>
        <w:widowControl/>
        <w:numPr>
          <w:ilvl w:val="0"/>
          <w:numId w:val="8"/>
        </w:numPr>
        <w:adjustRightInd w:val="0"/>
        <w:snapToGrid w:val="0"/>
        <w:spacing w:line="560" w:lineRule="exact"/>
        <w:ind w:left="0" w:leftChars="0" w:firstLine="642" w:firstLineChars="200"/>
        <w:contextualSpacing/>
        <w:jc w:val="left"/>
        <w:rPr>
          <w:rFonts w:hint="eastAsia"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存在问题。</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楷体_GB2312" w:eastAsia="楷体_GB2312" w:cs="楷体_GB2312"/>
          <w:b/>
          <w:bCs/>
          <w:kern w:val="0"/>
          <w:sz w:val="32"/>
          <w:szCs w:val="32"/>
          <w:shd w:val="clear" w:color="auto" w:fill="FFFFFF"/>
          <w:lang w:val="zh-CN"/>
        </w:rPr>
      </w:pPr>
      <w:r>
        <w:rPr>
          <w:rFonts w:hint="eastAsia" w:ascii="仿宋_GB2312" w:hAnsi="仿宋_GB2312" w:eastAsia="仿宋_GB2312" w:cs="仿宋_GB2312"/>
          <w:color w:val="000000"/>
          <w:kern w:val="0"/>
          <w:sz w:val="32"/>
          <w:szCs w:val="32"/>
          <w:lang w:val="zh-CN" w:bidi="ar"/>
        </w:rPr>
        <w:t>没有完善的系统流程以及规章制度，工作效率有待提高。</w:t>
      </w:r>
    </w:p>
    <w:p>
      <w:pPr>
        <w:widowControl/>
        <w:numPr>
          <w:ilvl w:val="0"/>
          <w:numId w:val="8"/>
        </w:numPr>
        <w:adjustRightInd w:val="0"/>
        <w:snapToGrid w:val="0"/>
        <w:spacing w:line="560" w:lineRule="exact"/>
        <w:ind w:left="0" w:leftChars="0" w:firstLine="642" w:firstLineChars="200"/>
        <w:contextualSpacing/>
        <w:jc w:val="left"/>
        <w:rPr>
          <w:rFonts w:hint="eastAsia"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改进建议。</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bidi="ar"/>
        </w:rPr>
        <w:t>1.</w:t>
      </w:r>
      <w:r>
        <w:rPr>
          <w:rFonts w:hint="eastAsia" w:ascii="仿宋_GB2312" w:hAnsi="仿宋_GB2312" w:eastAsia="仿宋_GB2312" w:cs="仿宋_GB2312"/>
          <w:color w:val="000000"/>
          <w:kern w:val="0"/>
          <w:sz w:val="32"/>
          <w:szCs w:val="32"/>
          <w:lang w:val="zh-CN" w:bidi="ar"/>
        </w:rPr>
        <w:t>加强会计核算和会计监督的准确性和有效性，加强财务人员的专业意识，提高对预算编制的执行与认识，为绩效评价工作开展创造更好的条件。</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楷体_GB2312" w:eastAsia="楷体_GB2312" w:cs="楷体_GB2312"/>
          <w:b/>
          <w:bCs/>
          <w:kern w:val="0"/>
          <w:sz w:val="32"/>
          <w:szCs w:val="32"/>
          <w:shd w:val="clear" w:color="auto" w:fill="FFFFFF"/>
          <w:lang w:val="zh-CN"/>
        </w:rPr>
      </w:pPr>
      <w:r>
        <w:rPr>
          <w:rFonts w:hint="eastAsia" w:ascii="仿宋_GB2312" w:hAnsi="仿宋_GB2312" w:eastAsia="仿宋_GB2312" w:cs="仿宋_GB2312"/>
          <w:color w:val="000000"/>
          <w:kern w:val="0"/>
          <w:sz w:val="32"/>
          <w:szCs w:val="32"/>
          <w:lang w:bidi="ar"/>
        </w:rPr>
        <w:t>2.加强会计工作的事前、事中、事后的监督，以确保会计的延续性，建立可持续机制，提高工作人员对支出的合理、合法使用意识，做到每笔支出有据可查、有法可依。</w:t>
      </w:r>
    </w:p>
    <w:p>
      <w:pPr>
        <w:pStyle w:val="15"/>
        <w:spacing w:line="560" w:lineRule="exact"/>
        <w:ind w:left="420" w:firstLine="640"/>
        <w:rPr>
          <w:sz w:val="32"/>
          <w:lang w:val="zh-CN"/>
        </w:rPr>
      </w:pPr>
    </w:p>
    <w:p>
      <w:pPr>
        <w:spacing w:line="580" w:lineRule="exact"/>
        <w:rPr>
          <w:rStyle w:val="20"/>
          <w:rFonts w:ascii="黑体" w:eastAsia="黑体"/>
          <w:b w:val="0"/>
        </w:rPr>
      </w:pPr>
    </w:p>
    <w:p>
      <w:pPr>
        <w:widowControl/>
        <w:jc w:val="left"/>
        <w:rPr>
          <w:rStyle w:val="20"/>
          <w:rFonts w:ascii="黑体" w:eastAsia="黑体"/>
          <w:b w:val="0"/>
        </w:rPr>
      </w:pPr>
      <w:r>
        <w:rPr>
          <w:rStyle w:val="20"/>
          <w:rFonts w:ascii="黑体" w:eastAsia="黑体"/>
          <w:b w:val="0"/>
        </w:rPr>
        <w:br w:type="page"/>
      </w:r>
    </w:p>
    <w:p>
      <w:pPr>
        <w:spacing w:line="600" w:lineRule="exact"/>
        <w:jc w:val="center"/>
        <w:outlineLvl w:val="0"/>
        <w:rPr>
          <w:rFonts w:ascii="仿宋" w:eastAsia="仿宋"/>
        </w:rPr>
      </w:pPr>
      <w:bookmarkStart w:id="80" w:name="_Toc15396618"/>
      <w:bookmarkStart w:id="81" w:name="_Toc54976256"/>
      <w:r>
        <w:rPr>
          <w:rFonts w:hint="eastAsia" w:ascii="黑体" w:eastAsia="黑体"/>
          <w:sz w:val="44"/>
          <w:szCs w:val="44"/>
        </w:rPr>
        <w:t>第</w:t>
      </w:r>
      <w:r>
        <w:rPr>
          <w:rStyle w:val="20"/>
          <w:rFonts w:hint="eastAsia" w:ascii="黑体" w:eastAsia="黑体"/>
          <w:b w:val="0"/>
        </w:rPr>
        <w:t>五部分 附表</w:t>
      </w:r>
      <w:bookmarkEnd w:id="74"/>
      <w:bookmarkEnd w:id="80"/>
      <w:bookmarkEnd w:id="81"/>
      <w:bookmarkStart w:id="82" w:name="_Toc15396619"/>
    </w:p>
    <w:p>
      <w:pPr>
        <w:pStyle w:val="3"/>
        <w:rPr>
          <w:rFonts w:ascii="仿宋" w:eastAsia="仿宋"/>
        </w:rPr>
      </w:pPr>
      <w:bookmarkStart w:id="83" w:name="_Toc273163054"/>
      <w:r>
        <w:rPr>
          <w:rFonts w:hint="eastAsia" w:ascii="仿宋" w:eastAsia="仿宋"/>
          <w:b w:val="0"/>
        </w:rPr>
        <w:t>一、收</w:t>
      </w:r>
      <w:r>
        <w:rPr>
          <w:rStyle w:val="21"/>
          <w:rFonts w:hint="eastAsia" w:ascii="仿宋" w:eastAsia="仿宋"/>
          <w:b w:val="0"/>
          <w:bCs w:val="0"/>
        </w:rPr>
        <w:t>入支出决算总表</w:t>
      </w:r>
      <w:bookmarkEnd w:id="82"/>
      <w:bookmarkEnd w:id="83"/>
    </w:p>
    <w:p>
      <w:pPr>
        <w:pStyle w:val="3"/>
        <w:rPr>
          <w:rFonts w:ascii="仿宋" w:eastAsia="仿宋"/>
        </w:rPr>
      </w:pPr>
      <w:bookmarkStart w:id="84" w:name="_Toc1215548876"/>
      <w:bookmarkStart w:id="85" w:name="_Toc15396620"/>
      <w:r>
        <w:rPr>
          <w:rFonts w:hint="eastAsia" w:ascii="仿宋" w:eastAsia="仿宋"/>
          <w:b w:val="0"/>
        </w:rPr>
        <w:t>二、收</w:t>
      </w:r>
      <w:r>
        <w:rPr>
          <w:rStyle w:val="21"/>
          <w:rFonts w:hint="eastAsia" w:ascii="仿宋" w:eastAsia="仿宋"/>
          <w:b w:val="0"/>
          <w:bCs w:val="0"/>
        </w:rPr>
        <w:t>入决算表</w:t>
      </w:r>
      <w:bookmarkEnd w:id="84"/>
      <w:bookmarkEnd w:id="85"/>
    </w:p>
    <w:p>
      <w:pPr>
        <w:pStyle w:val="3"/>
        <w:rPr>
          <w:rFonts w:ascii="仿宋" w:eastAsia="仿宋"/>
        </w:rPr>
      </w:pPr>
      <w:bookmarkStart w:id="86" w:name="_Toc203688948"/>
      <w:bookmarkStart w:id="87" w:name="_Toc15396621"/>
      <w:r>
        <w:rPr>
          <w:rStyle w:val="21"/>
          <w:rFonts w:hint="eastAsia" w:ascii="仿宋" w:eastAsia="仿宋"/>
          <w:b w:val="0"/>
          <w:bCs w:val="0"/>
        </w:rPr>
        <w:t>三、</w:t>
      </w:r>
      <w:r>
        <w:rPr>
          <w:rFonts w:hint="eastAsia" w:ascii="仿宋" w:eastAsia="仿宋"/>
          <w:b w:val="0"/>
        </w:rPr>
        <w:t>支</w:t>
      </w:r>
      <w:r>
        <w:rPr>
          <w:rStyle w:val="21"/>
          <w:rFonts w:hint="eastAsia" w:ascii="仿宋" w:eastAsia="仿宋"/>
          <w:b w:val="0"/>
          <w:bCs w:val="0"/>
        </w:rPr>
        <w:t>出决算表</w:t>
      </w:r>
      <w:bookmarkEnd w:id="86"/>
      <w:bookmarkEnd w:id="87"/>
    </w:p>
    <w:p>
      <w:pPr>
        <w:pStyle w:val="3"/>
        <w:rPr>
          <w:rFonts w:ascii="仿宋" w:eastAsia="仿宋"/>
          <w:b w:val="0"/>
        </w:rPr>
      </w:pPr>
      <w:bookmarkStart w:id="88" w:name="_Toc1379560228"/>
      <w:bookmarkStart w:id="89" w:name="_Toc15396622"/>
      <w:r>
        <w:rPr>
          <w:rStyle w:val="21"/>
          <w:rFonts w:hint="eastAsia" w:ascii="仿宋" w:eastAsia="仿宋"/>
          <w:b w:val="0"/>
          <w:bCs w:val="0"/>
        </w:rPr>
        <w:t>四、</w:t>
      </w:r>
      <w:r>
        <w:rPr>
          <w:rFonts w:hint="eastAsia" w:ascii="仿宋" w:eastAsia="仿宋"/>
          <w:b w:val="0"/>
        </w:rPr>
        <w:t>财</w:t>
      </w:r>
      <w:r>
        <w:rPr>
          <w:rStyle w:val="21"/>
          <w:rFonts w:hint="eastAsia" w:ascii="仿宋" w:eastAsia="仿宋"/>
          <w:b w:val="0"/>
          <w:bCs w:val="0"/>
        </w:rPr>
        <w:t>政拨款收入支出决算总表</w:t>
      </w:r>
      <w:bookmarkEnd w:id="88"/>
      <w:bookmarkEnd w:id="89"/>
    </w:p>
    <w:p>
      <w:pPr>
        <w:pStyle w:val="3"/>
        <w:rPr>
          <w:rStyle w:val="21"/>
          <w:rFonts w:ascii="仿宋" w:eastAsia="仿宋"/>
          <w:b w:val="0"/>
          <w:bCs w:val="0"/>
        </w:rPr>
      </w:pPr>
      <w:bookmarkStart w:id="90" w:name="_Toc15396623"/>
      <w:bookmarkStart w:id="91" w:name="_Toc1835811576"/>
      <w:r>
        <w:rPr>
          <w:rStyle w:val="21"/>
          <w:rFonts w:hint="eastAsia" w:ascii="仿宋" w:eastAsia="仿宋"/>
          <w:b w:val="0"/>
          <w:bCs w:val="0"/>
        </w:rPr>
        <w:t>五、</w:t>
      </w:r>
      <w:r>
        <w:rPr>
          <w:rFonts w:hint="eastAsia" w:ascii="仿宋" w:eastAsia="仿宋"/>
          <w:b w:val="0"/>
        </w:rPr>
        <w:t>财</w:t>
      </w:r>
      <w:r>
        <w:rPr>
          <w:rStyle w:val="21"/>
          <w:rFonts w:hint="eastAsia" w:ascii="仿宋" w:eastAsia="仿宋"/>
          <w:b w:val="0"/>
          <w:bCs w:val="0"/>
        </w:rPr>
        <w:t>政拨款支出决算明细表</w:t>
      </w:r>
      <w:bookmarkEnd w:id="90"/>
      <w:bookmarkEnd w:id="91"/>
      <w:bookmarkStart w:id="92" w:name="_Toc15396624"/>
    </w:p>
    <w:p>
      <w:pPr>
        <w:pStyle w:val="3"/>
        <w:rPr>
          <w:rFonts w:ascii="仿宋" w:eastAsia="仿宋"/>
        </w:rPr>
      </w:pPr>
      <w:bookmarkStart w:id="93" w:name="_Toc265366069"/>
      <w:r>
        <w:rPr>
          <w:rStyle w:val="21"/>
          <w:rFonts w:hint="eastAsia" w:ascii="仿宋" w:eastAsia="仿宋"/>
          <w:b w:val="0"/>
          <w:bCs w:val="0"/>
        </w:rPr>
        <w:t>六、</w:t>
      </w:r>
      <w:r>
        <w:rPr>
          <w:rFonts w:hint="eastAsia" w:ascii="仿宋" w:eastAsia="仿宋"/>
          <w:b w:val="0"/>
        </w:rPr>
        <w:t>一</w:t>
      </w:r>
      <w:r>
        <w:rPr>
          <w:rStyle w:val="21"/>
          <w:rFonts w:hint="eastAsia" w:ascii="仿宋" w:eastAsia="仿宋"/>
          <w:b w:val="0"/>
          <w:bCs w:val="0"/>
        </w:rPr>
        <w:t>般公共预算财政拨款支出决算表</w:t>
      </w:r>
      <w:bookmarkEnd w:id="92"/>
      <w:bookmarkEnd w:id="93"/>
    </w:p>
    <w:p>
      <w:pPr>
        <w:pStyle w:val="3"/>
        <w:rPr>
          <w:rFonts w:ascii="仿宋" w:eastAsia="仿宋"/>
        </w:rPr>
      </w:pPr>
      <w:bookmarkStart w:id="94" w:name="_Toc1154336988"/>
      <w:bookmarkStart w:id="95" w:name="_Toc15396625"/>
      <w:r>
        <w:rPr>
          <w:rStyle w:val="21"/>
          <w:rFonts w:hint="eastAsia" w:ascii="仿宋" w:eastAsia="仿宋"/>
          <w:b w:val="0"/>
          <w:bCs w:val="0"/>
        </w:rPr>
        <w:t>七、</w:t>
      </w:r>
      <w:r>
        <w:rPr>
          <w:rFonts w:hint="eastAsia" w:ascii="仿宋" w:eastAsia="仿宋"/>
          <w:b w:val="0"/>
        </w:rPr>
        <w:t>一</w:t>
      </w:r>
      <w:r>
        <w:rPr>
          <w:rStyle w:val="21"/>
          <w:rFonts w:hint="eastAsia" w:ascii="仿宋" w:eastAsia="仿宋"/>
          <w:b w:val="0"/>
          <w:bCs w:val="0"/>
        </w:rPr>
        <w:t>般公共预算财政拨款支出决算明细表</w:t>
      </w:r>
      <w:bookmarkEnd w:id="94"/>
      <w:bookmarkEnd w:id="95"/>
    </w:p>
    <w:p>
      <w:pPr>
        <w:pStyle w:val="3"/>
        <w:rPr>
          <w:rFonts w:ascii="仿宋" w:eastAsia="仿宋"/>
        </w:rPr>
      </w:pPr>
      <w:bookmarkStart w:id="96" w:name="_Toc15396626"/>
      <w:bookmarkStart w:id="97" w:name="_Toc1939800245"/>
      <w:r>
        <w:rPr>
          <w:rStyle w:val="21"/>
          <w:rFonts w:hint="eastAsia" w:ascii="仿宋" w:eastAsia="仿宋"/>
          <w:b w:val="0"/>
          <w:bCs w:val="0"/>
        </w:rPr>
        <w:t>八、</w:t>
      </w:r>
      <w:r>
        <w:rPr>
          <w:rFonts w:hint="eastAsia" w:ascii="仿宋" w:eastAsia="仿宋"/>
          <w:b w:val="0"/>
        </w:rPr>
        <w:t>一</w:t>
      </w:r>
      <w:r>
        <w:rPr>
          <w:rStyle w:val="21"/>
          <w:rFonts w:hint="eastAsia" w:ascii="仿宋" w:eastAsia="仿宋"/>
          <w:b w:val="0"/>
          <w:bCs w:val="0"/>
        </w:rPr>
        <w:t>般公共预算财政拨款基本支出决算表</w:t>
      </w:r>
      <w:bookmarkEnd w:id="96"/>
      <w:bookmarkEnd w:id="97"/>
    </w:p>
    <w:p>
      <w:pPr>
        <w:pStyle w:val="3"/>
        <w:rPr>
          <w:rFonts w:ascii="仿宋" w:eastAsia="仿宋"/>
        </w:rPr>
      </w:pPr>
      <w:bookmarkStart w:id="98" w:name="_Toc15396627"/>
      <w:bookmarkStart w:id="99" w:name="_Toc1699375803"/>
      <w:r>
        <w:rPr>
          <w:rStyle w:val="21"/>
          <w:rFonts w:hint="eastAsia" w:ascii="仿宋" w:eastAsia="仿宋"/>
          <w:b w:val="0"/>
          <w:bCs w:val="0"/>
        </w:rPr>
        <w:t>九、</w:t>
      </w:r>
      <w:r>
        <w:rPr>
          <w:rFonts w:hint="eastAsia" w:ascii="仿宋" w:eastAsia="仿宋"/>
          <w:b w:val="0"/>
        </w:rPr>
        <w:t>一</w:t>
      </w:r>
      <w:r>
        <w:rPr>
          <w:rStyle w:val="21"/>
          <w:rFonts w:hint="eastAsia" w:ascii="仿宋" w:eastAsia="仿宋"/>
          <w:b w:val="0"/>
          <w:bCs w:val="0"/>
        </w:rPr>
        <w:t>般公共预算财政拨款项目支出决算表</w:t>
      </w:r>
      <w:bookmarkEnd w:id="98"/>
      <w:bookmarkEnd w:id="99"/>
    </w:p>
    <w:p>
      <w:pPr>
        <w:pStyle w:val="3"/>
        <w:rPr>
          <w:rFonts w:ascii="仿宋" w:eastAsia="仿宋"/>
        </w:rPr>
      </w:pPr>
      <w:bookmarkStart w:id="100" w:name="_Toc15396628"/>
      <w:bookmarkStart w:id="101" w:name="_Toc2063682690"/>
      <w:r>
        <w:rPr>
          <w:rStyle w:val="21"/>
          <w:rFonts w:hint="eastAsia" w:ascii="仿宋" w:eastAsia="仿宋"/>
          <w:b w:val="0"/>
          <w:bCs w:val="0"/>
        </w:rPr>
        <w:t>十、</w:t>
      </w:r>
      <w:bookmarkEnd w:id="100"/>
      <w:r>
        <w:rPr>
          <w:rFonts w:hint="eastAsia" w:ascii="仿宋" w:eastAsia="仿宋"/>
          <w:b w:val="0"/>
        </w:rPr>
        <w:t>政</w:t>
      </w:r>
      <w:r>
        <w:rPr>
          <w:rStyle w:val="21"/>
          <w:rFonts w:hint="eastAsia" w:ascii="仿宋" w:eastAsia="仿宋"/>
          <w:b w:val="0"/>
          <w:bCs w:val="0"/>
        </w:rPr>
        <w:t>府性基金预算财政拨款收入支出决算表</w:t>
      </w:r>
      <w:bookmarkEnd w:id="101"/>
    </w:p>
    <w:p>
      <w:pPr>
        <w:pStyle w:val="3"/>
        <w:rPr>
          <w:rFonts w:ascii="仿宋" w:eastAsia="仿宋"/>
        </w:rPr>
      </w:pPr>
      <w:bookmarkStart w:id="102" w:name="_Toc15396629"/>
      <w:bookmarkStart w:id="103" w:name="_Toc402852606"/>
      <w:r>
        <w:rPr>
          <w:rStyle w:val="21"/>
          <w:rFonts w:hint="eastAsia" w:ascii="仿宋" w:eastAsia="仿宋"/>
          <w:b w:val="0"/>
          <w:bCs w:val="0"/>
        </w:rPr>
        <w:t>十一、</w:t>
      </w:r>
      <w:bookmarkEnd w:id="102"/>
      <w:r>
        <w:rPr>
          <w:rFonts w:hint="eastAsia" w:ascii="仿宋" w:eastAsia="仿宋"/>
          <w:b w:val="0"/>
        </w:rPr>
        <w:t>国</w:t>
      </w:r>
      <w:r>
        <w:rPr>
          <w:rStyle w:val="21"/>
          <w:rFonts w:hint="eastAsia" w:ascii="仿宋" w:eastAsia="仿宋"/>
          <w:b w:val="0"/>
          <w:bCs w:val="0"/>
        </w:rPr>
        <w:t>有资本经营预算财政拨款收入支出决算表</w:t>
      </w:r>
      <w:bookmarkEnd w:id="103"/>
    </w:p>
    <w:p>
      <w:pPr>
        <w:pStyle w:val="3"/>
        <w:rPr>
          <w:rFonts w:ascii="仿宋" w:eastAsia="仿宋"/>
        </w:rPr>
      </w:pPr>
      <w:bookmarkStart w:id="104" w:name="_Toc15396630"/>
      <w:bookmarkStart w:id="105" w:name="_Toc359555519"/>
      <w:r>
        <w:rPr>
          <w:rStyle w:val="21"/>
          <w:rFonts w:hint="eastAsia" w:ascii="仿宋" w:eastAsia="仿宋"/>
          <w:b w:val="0"/>
          <w:bCs w:val="0"/>
        </w:rPr>
        <w:t>十二、</w:t>
      </w:r>
      <w:bookmarkEnd w:id="104"/>
      <w:r>
        <w:rPr>
          <w:rStyle w:val="21"/>
          <w:rFonts w:hint="eastAsia" w:ascii="仿宋" w:eastAsia="仿宋"/>
          <w:b w:val="0"/>
          <w:bCs w:val="0"/>
        </w:rPr>
        <w:t>国有资本经营预算财政拨款支出决算表</w:t>
      </w:r>
      <w:bookmarkEnd w:id="105"/>
    </w:p>
    <w:p>
      <w:pPr>
        <w:pStyle w:val="3"/>
        <w:rPr>
          <w:rFonts w:eastAsia="仿宋"/>
        </w:rPr>
      </w:pPr>
      <w:bookmarkStart w:id="106" w:name="_Toc15396631"/>
      <w:bookmarkStart w:id="107" w:name="_Toc1110274729"/>
      <w:r>
        <w:rPr>
          <w:rStyle w:val="21"/>
          <w:rFonts w:hint="eastAsia" w:ascii="仿宋" w:eastAsia="仿宋"/>
          <w:b w:val="0"/>
          <w:bCs w:val="0"/>
        </w:rPr>
        <w:t>十三、</w:t>
      </w:r>
      <w:bookmarkEnd w:id="106"/>
      <w:r>
        <w:rPr>
          <w:rStyle w:val="21"/>
          <w:rFonts w:hint="eastAsia" w:ascii="仿宋" w:eastAsia="仿宋"/>
          <w:b w:val="0"/>
          <w:bCs w:val="0"/>
        </w:rPr>
        <w:t>财政拨款“三公”经费支出决算表</w:t>
      </w:r>
      <w:bookmarkEnd w:id="107"/>
    </w:p>
    <w:sectPr>
      <w:footerReference r:id="rId6"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3077" o:spid="_x0000_s307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1541616354"/>
                </w:sdtPr>
                <w:sdtEndPr>
                  <w:rPr>
                    <w:sz w:val="24"/>
                    <w:szCs w:val="24"/>
                  </w:rPr>
                </w:sdtEndPr>
                <w:sdtContent>
                  <w:p>
                    <w:pPr>
                      <w:pStyle w:val="9"/>
                      <w:jc w:val="cente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p>
                </w:sdtContent>
              </w:sdt>
              <w:p>
                <w:pPr>
                  <w:pStyle w:val="12"/>
                </w:pPr>
              </w:p>
            </w:txbxContent>
          </v:textbox>
        </v:shape>
      </w:pic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E68C60"/>
    <w:multiLevelType w:val="singleLevel"/>
    <w:tmpl w:val="BCE68C60"/>
    <w:lvl w:ilvl="0" w:tentative="0">
      <w:start w:val="1"/>
      <w:numFmt w:val="chineseCounting"/>
      <w:suff w:val="nothing"/>
      <w:lvlText w:val="（%1）"/>
      <w:lvlJc w:val="left"/>
      <w:rPr>
        <w:rFonts w:hint="eastAsia"/>
      </w:rPr>
    </w:lvl>
  </w:abstractNum>
  <w:abstractNum w:abstractNumId="1">
    <w:nsid w:val="C2CD04E9"/>
    <w:multiLevelType w:val="singleLevel"/>
    <w:tmpl w:val="C2CD04E9"/>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4">
    <w:nsid w:val="F7FEEDAE"/>
    <w:multiLevelType w:val="singleLevel"/>
    <w:tmpl w:val="F7FEEDAE"/>
    <w:lvl w:ilvl="0" w:tentative="0">
      <w:start w:val="1"/>
      <w:numFmt w:val="chineseCounting"/>
      <w:suff w:val="nothing"/>
      <w:lvlText w:val="（%1）"/>
      <w:lvlJc w:val="left"/>
      <w:rPr>
        <w:rFonts w:hint="eastAsia"/>
      </w:rPr>
    </w:lvl>
  </w:abstractNum>
  <w:abstractNum w:abstractNumId="5">
    <w:nsid w:val="FFF674BC"/>
    <w:multiLevelType w:val="singleLevel"/>
    <w:tmpl w:val="FFF674BC"/>
    <w:lvl w:ilvl="0" w:tentative="0">
      <w:start w:val="1"/>
      <w:numFmt w:val="chineseCounting"/>
      <w:suff w:val="nothing"/>
      <w:lvlText w:val="%1、"/>
      <w:lvlJc w:val="left"/>
      <w:pPr>
        <w:ind w:left="0" w:firstLine="0"/>
      </w:pPr>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1"/>
  </w:num>
  <w:num w:numId="2">
    <w:abstractNumId w:val="7"/>
  </w:num>
  <w:num w:numId="3">
    <w:abstractNumId w:val="6"/>
  </w:num>
  <w:num w:numId="4">
    <w:abstractNumId w:val="2"/>
  </w:num>
  <w:num w:numId="5">
    <w:abstractNumId w:val="3"/>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M1MGExZDI1OTE2N2NjZTdmY2U3ZjE4ZTNlOTAyNWYifQ=="/>
  </w:docVars>
  <w:rsids>
    <w:rsidRoot w:val="005346C9"/>
    <w:rsid w:val="002C1B69"/>
    <w:rsid w:val="005346C9"/>
    <w:rsid w:val="007C6D18"/>
    <w:rsid w:val="00DB20F7"/>
    <w:rsid w:val="05230906"/>
    <w:rsid w:val="0EEE07F4"/>
    <w:rsid w:val="164F2FD0"/>
    <w:rsid w:val="16573B76"/>
    <w:rsid w:val="1CFFD221"/>
    <w:rsid w:val="1FEF4321"/>
    <w:rsid w:val="2DAC07F4"/>
    <w:rsid w:val="31C75BFC"/>
    <w:rsid w:val="36A75FFC"/>
    <w:rsid w:val="377B79BD"/>
    <w:rsid w:val="3E595ED5"/>
    <w:rsid w:val="404C551E"/>
    <w:rsid w:val="414803DC"/>
    <w:rsid w:val="43FC019D"/>
    <w:rsid w:val="4BDD7BFD"/>
    <w:rsid w:val="4DF74388"/>
    <w:rsid w:val="585B01B3"/>
    <w:rsid w:val="595D3DDF"/>
    <w:rsid w:val="5CEB0FD7"/>
    <w:rsid w:val="5CFB0178"/>
    <w:rsid w:val="5E457D25"/>
    <w:rsid w:val="5E8425FB"/>
    <w:rsid w:val="5EF48DFC"/>
    <w:rsid w:val="65ED4BEE"/>
    <w:rsid w:val="69925B6A"/>
    <w:rsid w:val="6C9F20D0"/>
    <w:rsid w:val="6E654DF6"/>
    <w:rsid w:val="6FC7CBE4"/>
    <w:rsid w:val="70A97C9F"/>
    <w:rsid w:val="72671BC0"/>
    <w:rsid w:val="7B5B1C99"/>
    <w:rsid w:val="7DAFC3E8"/>
    <w:rsid w:val="7DF3462D"/>
    <w:rsid w:val="7E61605D"/>
    <w:rsid w:val="7F17485E"/>
    <w:rsid w:val="7F4B4ED0"/>
    <w:rsid w:val="7FAB9EC9"/>
    <w:rsid w:val="7FDF05E1"/>
    <w:rsid w:val="7FDF73D7"/>
    <w:rsid w:val="7FEF45E1"/>
    <w:rsid w:val="93BB91FD"/>
    <w:rsid w:val="977F50C8"/>
    <w:rsid w:val="9EF776D3"/>
    <w:rsid w:val="B7B7F8E7"/>
    <w:rsid w:val="BEF71BD3"/>
    <w:rsid w:val="BF274C39"/>
    <w:rsid w:val="CED13531"/>
    <w:rsid w:val="D7EFCDC5"/>
    <w:rsid w:val="DEEE4444"/>
    <w:rsid w:val="DF3F9E91"/>
    <w:rsid w:val="DFFFD05C"/>
    <w:rsid w:val="E5E80000"/>
    <w:rsid w:val="EBCE3D9D"/>
    <w:rsid w:val="ECF692A4"/>
    <w:rsid w:val="EDF94116"/>
    <w:rsid w:val="EFF5DEEC"/>
    <w:rsid w:val="F6CFC849"/>
    <w:rsid w:val="FE5E0076"/>
    <w:rsid w:val="FFC28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hAnsi="仿宋_GB2312"/>
      <w:szCs w:val="32"/>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able of figures"/>
    <w:basedOn w:val="1"/>
    <w:next w:val="1"/>
    <w:qFormat/>
    <w:uiPriority w:val="0"/>
    <w:pPr>
      <w:ind w:left="200" w:leftChars="200" w:hanging="200" w:hangingChars="200"/>
    </w:pPr>
  </w:style>
  <w:style w:type="paragraph" w:styleId="13">
    <w:name w:val="toc 2"/>
    <w:basedOn w:val="1"/>
    <w:next w:val="1"/>
    <w:qFormat/>
    <w:uiPriority w:val="0"/>
    <w:pPr>
      <w:tabs>
        <w:tab w:val="right" w:leader="dot" w:pos="8296"/>
      </w:tabs>
      <w:ind w:left="20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Body Text First Indent 2"/>
    <w:basedOn w:val="6"/>
    <w:qFormat/>
    <w:uiPriority w:val="0"/>
    <w:pPr>
      <w:ind w:firstLine="200" w:firstLineChars="200"/>
    </w:p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标题 1 Char"/>
    <w:basedOn w:val="17"/>
    <w:link w:val="2"/>
    <w:qFormat/>
    <w:uiPriority w:val="0"/>
    <w:rPr>
      <w:rFonts w:ascii="Times New Roman" w:hAnsi="Times New Roman" w:eastAsia="宋体" w:cs="Times New Roman"/>
      <w:b/>
      <w:bCs/>
      <w:kern w:val="44"/>
      <w:sz w:val="44"/>
      <w:szCs w:val="44"/>
      <w:lang w:val="en-US" w:eastAsia="zh-CN" w:bidi="ar-SA"/>
    </w:rPr>
  </w:style>
  <w:style w:type="character" w:customStyle="1" w:styleId="21">
    <w:name w:val="标题 2 Char"/>
    <w:basedOn w:val="17"/>
    <w:link w:val="3"/>
    <w:qFormat/>
    <w:uiPriority w:val="0"/>
    <w:rPr>
      <w:rFonts w:ascii="Cambria" w:hAnsi="Cambria" w:eastAsia="宋体" w:cs="Times New Roman"/>
      <w:b/>
      <w:bCs/>
      <w:kern w:val="2"/>
      <w:sz w:val="32"/>
      <w:szCs w:val="32"/>
      <w:lang w:val="en-US" w:eastAsia="zh-CN" w:bidi="ar-SA"/>
    </w:rPr>
  </w:style>
  <w:style w:type="paragraph" w:customStyle="1" w:styleId="22">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TOC 标题2"/>
    <w:basedOn w:val="2"/>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0">
    <w:name w:val="四号正文"/>
    <w:basedOn w:val="1"/>
    <w:qFormat/>
    <w:uiPriority w:val="0"/>
    <w:pPr>
      <w:spacing w:line="360" w:lineRule="auto"/>
    </w:pPr>
    <w:rPr>
      <w:rFonts w:ascii="??" w:hAnsi="??"/>
      <w:color w:val="000000"/>
      <w:kern w:val="0"/>
      <w:sz w:val="28"/>
      <w:szCs w:val="21"/>
      <w:lang w:val="zh-CN"/>
    </w:r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paragraph" w:customStyle="1" w:styleId="32">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media/user/1D01-2064/&#32452;&#32455;&#37096;/&#20250;&#35745;/2022&#20915;&#31639;&#20844;&#24320;/&#32473;&#20844;&#24320;&#21150;/&#20013;&#20849;&#38463;&#22365;&#24030;&#32418;&#21407;&#21439;&#22996;&#32452;&#32455;&#37096;.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H:\&#32452;&#32455;&#37096;\&#20250;&#35745;\2022&#20915;&#31639;&#20844;&#24320;\HYX111_20231025195057\&#20013;&#20849;&#38463;&#22365;&#24030;&#32418;&#21407;&#21439;&#22996;&#32452;&#32455;&#37096;&#65288;&#26412;&#32423;&#65289;.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media/user/1D01-2064/&#32452;&#32455;&#37096;/&#20250;&#35745;/2022&#20915;&#31639;&#20844;&#24320;/HYX111_20231025195057/&#20013;&#20849;&#38463;&#22365;&#24030;&#32418;&#21407;&#21439;&#22996;&#32452;&#32455;&#37096;.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media/user/1D01-2064/&#32452;&#32455;&#37096;/&#20250;&#35745;/2022&#20915;&#31639;&#20844;&#24320;/&#32473;&#20844;&#24320;&#21150;/&#20013;&#20849;&#38463;&#22365;&#24030;&#32418;&#21407;&#21439;&#22996;&#32452;&#32455;&#37096;.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media/user/1D01-2064/&#32452;&#32455;&#37096;/&#20250;&#35745;/2022&#20915;&#31639;&#20844;&#24320;/&#32473;&#20844;&#24320;&#21150;/&#20013;&#20849;&#38463;&#22365;&#24030;&#32418;&#21407;&#21439;&#22996;&#32452;&#32455;&#37096;.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media/user/1D01-2064/&#32452;&#32455;&#37096;/&#20250;&#35745;/2022&#20915;&#31639;&#20844;&#24320;/HYX111_20231025195057/&#20013;&#20849;&#38463;&#22365;&#24030;&#32418;&#21407;&#21439;&#22996;&#32452;&#32455;&#37096;.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media/user/1D01-2064/&#32452;&#32455;&#37096;/&#20250;&#35745;/2022&#20915;&#31639;&#20844;&#24320;/HYX111_20231025195057/&#20013;&#20849;&#38463;&#22365;&#24030;&#32418;&#21407;&#21439;&#22996;&#32452;&#32455;&#3709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收、支决算总计变动情况图</a:t>
            </a:r>
            <a:endParaRPr b="1"/>
          </a:p>
        </c:rich>
      </c:tx>
      <c:layout/>
      <c:overlay val="0"/>
      <c:spPr>
        <a:noFill/>
        <a:ln>
          <a:noFill/>
        </a:ln>
        <a:effectLst/>
      </c:spPr>
    </c:title>
    <c:autoTitleDeleted val="0"/>
    <c:plotArea>
      <c:layout/>
      <c:barChart>
        <c:barDir val="col"/>
        <c:grouping val="clustered"/>
        <c:varyColors val="0"/>
        <c:ser>
          <c:idx val="0"/>
          <c:order val="0"/>
          <c:tx>
            <c:strRef>
              <c:f>'[中共阿坝州红原县委组织部.xls]G04 财政拨款收入支出决算总表'!$L$12</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'[中共阿坝州红原县委组织部.xls]G04 财政拨款收入支出决算总表'!$M$11:$N$11</c:f>
              <c:numCache>
                <c:formatCode>General</c:formatCode>
                <c:ptCount val="2"/>
                <c:pt idx="0">
                  <c:v>2021</c:v>
                </c:pt>
                <c:pt idx="1">
                  <c:v>2022</c:v>
                </c:pt>
              </c:numCache>
            </c:numRef>
          </c:cat>
          <c:val>
            <c:numRef>
              <c:f>'[中共阿坝州红原县委组织部.xls]G04 财政拨款收入支出决算总表'!$M$12:$N$12</c:f>
              <c:numCache>
                <c:formatCode>General</c:formatCode>
                <c:ptCount val="2"/>
                <c:pt idx="0">
                  <c:v>1293.88</c:v>
                </c:pt>
                <c:pt idx="1">
                  <c:v>1594.7</c:v>
                </c:pt>
              </c:numCache>
            </c:numRef>
          </c:val>
        </c:ser>
        <c:ser>
          <c:idx val="1"/>
          <c:order val="1"/>
          <c:tx>
            <c:strRef>
              <c:f>'[中共阿坝州红原县委组织部.xls]G04 财政拨款收入支出决算总表'!$L$13</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'[中共阿坝州红原县委组织部.xls]G04 财政拨款收入支出决算总表'!$M$11:$N$11</c:f>
              <c:numCache>
                <c:formatCode>General</c:formatCode>
                <c:ptCount val="2"/>
                <c:pt idx="0">
                  <c:v>2021</c:v>
                </c:pt>
                <c:pt idx="1">
                  <c:v>2022</c:v>
                </c:pt>
              </c:numCache>
            </c:numRef>
          </c:cat>
          <c:val>
            <c:numRef>
              <c:f>'[中共阿坝州红原县委组织部.xls]G04 财政拨款收入支出决算总表'!$M$13:$N$13</c:f>
              <c:numCache>
                <c:formatCode>General</c:formatCode>
                <c:ptCount val="2"/>
                <c:pt idx="0">
                  <c:v>1341.28</c:v>
                </c:pt>
                <c:pt idx="1">
                  <c:v>1594.7</c:v>
                </c:pt>
              </c:numCache>
            </c:numRef>
          </c:val>
        </c:ser>
        <c:dLbls>
          <c:showLegendKey val="0"/>
          <c:showVal val="1"/>
          <c:showCatName val="0"/>
          <c:showSerName val="0"/>
          <c:showPercent val="0"/>
          <c:showBubbleSize val="0"/>
        </c:dLbls>
        <c:gapWidth val="150"/>
        <c:overlap val="0"/>
        <c:axId val="926032691"/>
        <c:axId val="337148545"/>
      </c:barChart>
      <c:catAx>
        <c:axId val="92603269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7148545"/>
        <c:crosses val="autoZero"/>
        <c:auto val="1"/>
        <c:lblAlgn val="ctr"/>
        <c:lblOffset val="100"/>
        <c:noMultiLvlLbl val="0"/>
      </c:catAx>
      <c:valAx>
        <c:axId val="3371485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6032691"/>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'[中共阿坝州红原县委组织部（本级）.xls]G01 收入支出决算总表'!$I$12</c:f>
              <c:strCache>
                <c:ptCount val="1"/>
                <c:pt idx="0">
                  <c:v>2022</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'[中共阿坝州红原县委组织部（本级）.xls]G01 收入支出决算总表'!$J$11</c:f>
              <c:strCache>
                <c:ptCount val="1"/>
                <c:pt idx="0">
                  <c:v>一般公共预算财政拨款收入</c:v>
                </c:pt>
              </c:strCache>
            </c:strRef>
          </c:cat>
          <c:val>
            <c:numRef>
              <c:f>'[中共阿坝州红原县委组织部（本级）.xls]G01 收入支出决算总表'!$J$12</c:f>
              <c:numCache>
                <c:formatCode>General</c:formatCode>
                <c:ptCount val="1"/>
                <c:pt idx="0">
                  <c:v>1451.96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支出决算结构图</a:t>
            </a:r>
            <a:endParaRPr b="1"/>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'[中共阿坝州红原县委组织部.xls]G03 支出决算表'!$N$14:$N$15</c:f>
              <c:strCache>
                <c:ptCount val="2"/>
                <c:pt idx="0">
                  <c:v>基本支出</c:v>
                </c:pt>
                <c:pt idx="1">
                  <c:v>项目支出</c:v>
                </c:pt>
              </c:strCache>
            </c:strRef>
          </c:cat>
          <c:val>
            <c:numRef>
              <c:f>'[中共阿坝州红原县委组织部.xls]G03 支出决算表'!$O$14:$O$15</c:f>
              <c:numCache>
                <c:formatCode>General</c:formatCode>
                <c:ptCount val="2"/>
                <c:pt idx="0">
                  <c:v>45.18</c:v>
                </c:pt>
                <c:pt idx="1">
                  <c:v>54.82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财政拨款收、支决算总计变动情况</a:t>
            </a:r>
            <a:endParaRPr b="1"/>
          </a:p>
        </c:rich>
      </c:tx>
      <c:layout/>
      <c:overlay val="0"/>
      <c:spPr>
        <a:noFill/>
        <a:ln>
          <a:noFill/>
        </a:ln>
        <a:effectLst/>
      </c:spPr>
    </c:title>
    <c:autoTitleDeleted val="0"/>
    <c:plotArea>
      <c:layout/>
      <c:barChart>
        <c:barDir val="col"/>
        <c:grouping val="clustered"/>
        <c:varyColors val="0"/>
        <c:ser>
          <c:idx val="0"/>
          <c:order val="0"/>
          <c:tx>
            <c:strRef>
              <c:f>'[中共阿坝州红原县委组织部.xls]G04 财政拨款收入支出决算总表'!$L$12</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'[中共阿坝州红原县委组织部.xls]G04 财政拨款收入支出决算总表'!$M$11:$N$11</c:f>
              <c:numCache>
                <c:formatCode>General</c:formatCode>
                <c:ptCount val="2"/>
                <c:pt idx="0">
                  <c:v>2021</c:v>
                </c:pt>
                <c:pt idx="1">
                  <c:v>2022</c:v>
                </c:pt>
              </c:numCache>
            </c:numRef>
          </c:cat>
          <c:val>
            <c:numRef>
              <c:f>'[中共阿坝州红原县委组织部.xls]G04 财政拨款收入支出决算总表'!$M$12:$N$12</c:f>
              <c:numCache>
                <c:formatCode>General</c:formatCode>
                <c:ptCount val="2"/>
                <c:pt idx="0">
                  <c:v>1293.88</c:v>
                </c:pt>
                <c:pt idx="1">
                  <c:v>1594.7</c:v>
                </c:pt>
              </c:numCache>
            </c:numRef>
          </c:val>
        </c:ser>
        <c:ser>
          <c:idx val="1"/>
          <c:order val="1"/>
          <c:tx>
            <c:strRef>
              <c:f>'[中共阿坝州红原县委组织部.xls]G04 财政拨款收入支出决算总表'!$L$13</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'[中共阿坝州红原县委组织部.xls]G04 财政拨款收入支出决算总表'!$M$11:$N$11</c:f>
              <c:numCache>
                <c:formatCode>General</c:formatCode>
                <c:ptCount val="2"/>
                <c:pt idx="0">
                  <c:v>2021</c:v>
                </c:pt>
                <c:pt idx="1">
                  <c:v>2022</c:v>
                </c:pt>
              </c:numCache>
            </c:numRef>
          </c:cat>
          <c:val>
            <c:numRef>
              <c:f>'[中共阿坝州红原县委组织部.xls]G04 财政拨款收入支出决算总表'!$M$13:$N$13</c:f>
              <c:numCache>
                <c:formatCode>General</c:formatCode>
                <c:ptCount val="2"/>
                <c:pt idx="0">
                  <c:v>1341.28</c:v>
                </c:pt>
                <c:pt idx="1">
                  <c:v>1594.7</c:v>
                </c:pt>
              </c:numCache>
            </c:numRef>
          </c:val>
        </c:ser>
        <c:dLbls>
          <c:showLegendKey val="0"/>
          <c:showVal val="1"/>
          <c:showCatName val="0"/>
          <c:showSerName val="0"/>
          <c:showPercent val="0"/>
          <c:showBubbleSize val="0"/>
        </c:dLbls>
        <c:gapWidth val="150"/>
        <c:overlap val="0"/>
        <c:axId val="926032691"/>
        <c:axId val="337148545"/>
      </c:barChart>
      <c:catAx>
        <c:axId val="92603269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7148545"/>
        <c:crosses val="autoZero"/>
        <c:auto val="1"/>
        <c:lblAlgn val="ctr"/>
        <c:lblOffset val="100"/>
        <c:noMultiLvlLbl val="0"/>
      </c:catAx>
      <c:valAx>
        <c:axId val="3371485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6032691"/>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一般公共预算财政拨款支出决算变动情况</a:t>
            </a:r>
            <a:endParaRPr b="1"/>
          </a:p>
        </c:rich>
      </c:tx>
      <c:layout>
        <c:manualLayout>
          <c:xMode val="edge"/>
          <c:yMode val="edge"/>
          <c:x val="0.15125"/>
          <c:y val="0.0381944444444444"/>
        </c:manualLayout>
      </c:layout>
      <c:overlay val="0"/>
      <c:spPr>
        <a:noFill/>
        <a:ln>
          <a:noFill/>
        </a:ln>
        <a:effectLst/>
      </c:spPr>
    </c:title>
    <c:autoTitleDeleted val="0"/>
    <c:plotArea>
      <c:layout/>
      <c:barChart>
        <c:barDir val="col"/>
        <c:grouping val="clustered"/>
        <c:varyColors val="0"/>
        <c:ser>
          <c:idx val="0"/>
          <c:order val="0"/>
          <c:tx>
            <c:strRef>
              <c:f>'[中共阿坝州红原县委组织部.xls]G04 财政拨款收入支出决算总表'!$L$13</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'[中共阿坝州红原县委组织部.xls]G04 财政拨款收入支出决算总表'!$M$12:$N$12</c:f>
              <c:numCache>
                <c:formatCode>General</c:formatCode>
                <c:ptCount val="2"/>
                <c:pt idx="0">
                  <c:v>2021</c:v>
                </c:pt>
                <c:pt idx="1">
                  <c:v>2022</c:v>
                </c:pt>
              </c:numCache>
            </c:numRef>
          </c:cat>
          <c:val>
            <c:numRef>
              <c:f>'[中共阿坝州红原县委组织部.xls]G04 财政拨款收入支出决算总表'!$M$13:$N$13</c:f>
              <c:numCache>
                <c:formatCode>General</c:formatCode>
                <c:ptCount val="2"/>
                <c:pt idx="0">
                  <c:v>1341.28</c:v>
                </c:pt>
                <c:pt idx="1">
                  <c:v>1594.7</c:v>
                </c:pt>
              </c:numCache>
            </c:numRef>
          </c:val>
        </c:ser>
        <c:dLbls>
          <c:showLegendKey val="0"/>
          <c:showVal val="1"/>
          <c:showCatName val="0"/>
          <c:showSerName val="0"/>
          <c:showPercent val="0"/>
          <c:showBubbleSize val="0"/>
        </c:dLbls>
        <c:gapWidth val="75"/>
        <c:overlap val="40"/>
        <c:axId val="904238218"/>
        <c:axId val="896975952"/>
      </c:barChart>
      <c:catAx>
        <c:axId val="9042382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6975952"/>
        <c:crosses val="autoZero"/>
        <c:auto val="1"/>
        <c:lblAlgn val="ctr"/>
        <c:lblOffset val="100"/>
        <c:noMultiLvlLbl val="0"/>
      </c:catAx>
      <c:valAx>
        <c:axId val="896975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4238218"/>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一般公共预算财政拨款支出决算结构</a:t>
            </a:r>
            <a:endParaRPr b="1"/>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1"/>
              <c:layout>
                <c:manualLayout>
                  <c:x val="0.0109176608789313"/>
                  <c:y val="0.029918478538181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118905585040528"/>
                  <c:y val="0.036569260226937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0399954218528882"/>
                  <c:y val="0.038063030544174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087273461352949"/>
                  <c:y val="0.033885589126445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'[中共阿坝州红原县委组织部.xls]G03 支出决算表'!$N$15:$N$19</c:f>
              <c:strCache>
                <c:ptCount val="5"/>
                <c:pt idx="0">
                  <c:v>一般公共服务支出</c:v>
                </c:pt>
                <c:pt idx="1">
                  <c:v>教育支出</c:v>
                </c:pt>
                <c:pt idx="2">
                  <c:v>社会保障和就业支出</c:v>
                </c:pt>
                <c:pt idx="3">
                  <c:v>卫生健康支出</c:v>
                </c:pt>
                <c:pt idx="4">
                  <c:v>住房保障支出</c:v>
                </c:pt>
              </c:strCache>
            </c:strRef>
          </c:cat>
          <c:val>
            <c:numRef>
              <c:f>'[中共阿坝州红原县委组织部.xls]G03 支出决算表'!$O$15:$O$19</c:f>
              <c:numCache>
                <c:formatCode>#,##0.00</c:formatCode>
                <c:ptCount val="5"/>
                <c:pt idx="0">
                  <c:v>1418.22</c:v>
                </c:pt>
                <c:pt idx="1">
                  <c:v>12.44</c:v>
                </c:pt>
                <c:pt idx="2">
                  <c:v>81.45</c:v>
                </c:pt>
                <c:pt idx="3">
                  <c:v>37.29</c:v>
                </c:pt>
                <c:pt idx="4">
                  <c:v>45.31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“三公”经费财政拨款支出结构</a:t>
            </a:r>
            <a:endParaRPr b="1"/>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1"/>
              <c:layout>
                <c:manualLayout>
                  <c:x val="0.00376673627680535"/>
                  <c:y val="0.027334817435942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'[中共阿坝州红原县委组织部.xls]G13 财政拨款“三公”经费支出决算表'!$K$14:$K$15</c:f>
              <c:strCache>
                <c:ptCount val="2"/>
                <c:pt idx="0">
                  <c:v>公务用车运行维护费</c:v>
                </c:pt>
                <c:pt idx="1">
                  <c:v>公务接待费</c:v>
                </c:pt>
              </c:strCache>
            </c:strRef>
          </c:cat>
          <c:val>
            <c:numRef>
              <c:f>'[中共阿坝州红原县委组织部.xls]G13 财政拨款“三公”经费支出决算表'!$L$14:$L$15</c:f>
              <c:numCache>
                <c:formatCode>General</c:formatCode>
                <c:ptCount val="2"/>
                <c:pt idx="0">
                  <c:v>12.43</c:v>
                </c:pt>
                <c:pt idx="1">
                  <c:v>0.09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22</Pages>
  <Words>1226</Words>
  <Characters>6991</Characters>
  <Lines>58</Lines>
  <Paragraphs>16</Paragraphs>
  <TotalTime>6</TotalTime>
  <ScaleCrop>false</ScaleCrop>
  <LinksUpToDate>false</LinksUpToDate>
  <CharactersWithSpaces>8201</CharactersWithSpaces>
  <Application>WPS Office_11.8.2.1123_F1E327BC-269C-435d-A152-05C5408002CA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2020-08-06T09:49:00Z</dcterms:created>
  <dc:creator>曹颖</dc:creator>
  <cp:lastModifiedBy>user</cp:lastModifiedBy>
  <cp:lastPrinted>2023-11-02T05:09:00Z</cp:lastPrinted>
  <dcterms:modified xsi:type="dcterms:W3CDTF">2023-11-02T11:32:57Z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2052-11.8.2.1123</vt:lpwstr>
  </property>
  <property fmtid="{D5CDD505-2E9C-101B-9397-08002B2CF9AE}" pid="3" name="ICV">
    <vt:lpwstr>67A6EF43DEAF47F893E1D54CEFD8AA1C_12</vt:lpwstr>
  </property>
</Properties>
</file>