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188524654"/>
      <w:bookmarkStart w:id="2" w:name="_Toc15378441"/>
      <w:bookmarkStart w:id="3" w:name="_Toc15396597"/>
      <w:bookmarkStart w:id="4" w:name="_Toc8228"/>
      <w:bookmarkStart w:id="5" w:name="_Toc15377425"/>
      <w:bookmarkStart w:id="6" w:name="_Toc15377193"/>
      <w:bookmarkStart w:id="7" w:name="_Toc15396475"/>
      <w:r>
        <w:rPr>
          <w:rFonts w:hint="eastAsia" w:ascii="黑体" w:hAnsi="黑体" w:eastAsia="黑体"/>
          <w:color w:val="000000"/>
          <w:sz w:val="72"/>
          <w:szCs w:val="72"/>
          <w:lang w:val="en-US" w:eastAsia="zh-CN"/>
        </w:rPr>
        <w:t>2021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77194"/>
      <w:bookmarkStart w:id="9" w:name="_Toc15377426"/>
      <w:bookmarkStart w:id="10" w:name="_Toc32655"/>
      <w:bookmarkStart w:id="11" w:name="_Toc15378442"/>
      <w:bookmarkStart w:id="12" w:name="_Toc672083472"/>
      <w:bookmarkStart w:id="13" w:name="_Toc15396598"/>
      <w:bookmarkStart w:id="14"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5" w:name="_Toc15306268"/>
      <w:r>
        <w:rPr>
          <w:rFonts w:hint="eastAsia" w:ascii="方正小标宋简体" w:hAnsi="宋体" w:eastAsia="方正小标宋简体"/>
          <w:color w:val="000000"/>
          <w:sz w:val="72"/>
          <w:szCs w:val="72"/>
          <w:lang w:val="en-US" w:eastAsia="zh-CN"/>
        </w:rPr>
        <w:t>组织</w:t>
      </w:r>
      <w:r>
        <w:rPr>
          <w:rFonts w:hint="eastAsia" w:ascii="方正小标宋简体" w:hAnsi="宋体" w:eastAsia="方正小标宋简体"/>
          <w:color w:val="000000"/>
          <w:sz w:val="72"/>
          <w:szCs w:val="72"/>
        </w:rPr>
        <w:t>部</w:t>
      </w:r>
      <w:r>
        <w:rPr>
          <w:rFonts w:hint="eastAsia" w:ascii="方正小标宋简体" w:hAnsi="宋体" w:eastAsia="方正小标宋简体"/>
          <w:color w:val="000000"/>
          <w:sz w:val="72"/>
          <w:szCs w:val="72"/>
          <w:lang w:eastAsia="zh-CN"/>
        </w:rPr>
        <w:t>部</w:t>
      </w:r>
      <w:r>
        <w:rPr>
          <w:rFonts w:hint="eastAsia" w:ascii="方正小标宋简体" w:hAnsi="宋体" w:eastAsia="方正小标宋简体"/>
          <w:color w:val="000000"/>
          <w:sz w:val="72"/>
          <w:szCs w:val="72"/>
        </w:rPr>
        <w:t>门决算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2"/>
        <w:rPr>
          <w:rFonts w:hint="default" w:ascii="Times New Roman" w:hAnsi="Times New Roman" w:cs="Times New Roman"/>
        </w:rPr>
      </w:pPr>
      <w:r>
        <w:rPr>
          <w:rFonts w:hint="default" w:ascii="Times New Roman" w:hAnsi="Times New Roman" w:cs="Times New Roman"/>
        </w:rPr>
        <w:t>公开时间：</w:t>
      </w:r>
      <w:r>
        <w:rPr>
          <w:rFonts w:hint="default" w:ascii="Times New Roman" w:hAnsi="Times New Roman" w:cs="Times New Roman"/>
          <w:lang w:val="en-US" w:eastAsia="zh-CN"/>
        </w:rPr>
        <w:t>2022</w:t>
      </w:r>
      <w:r>
        <w:rPr>
          <w:rFonts w:hint="default" w:ascii="Times New Roman" w:hAnsi="Times New Roman" w:cs="Times New Roman"/>
        </w:rPr>
        <w:t>年</w:t>
      </w:r>
      <w:r>
        <w:rPr>
          <w:rFonts w:hint="default" w:ascii="Times New Roman" w:hAnsi="Times New Roman" w:cs="Times New Roman"/>
          <w:lang w:val="en-US" w:eastAsia="zh-CN"/>
        </w:rPr>
        <w:t>12</w:t>
      </w:r>
      <w:r>
        <w:rPr>
          <w:rFonts w:hint="default" w:ascii="Times New Roman" w:hAnsi="Times New Roman" w:cs="Times New Roman"/>
        </w:rPr>
        <w:t>月</w:t>
      </w:r>
      <w:r>
        <w:rPr>
          <w:rFonts w:hint="eastAsia" w:ascii="Times New Roman" w:hAnsi="Times New Roman" w:cs="Times New Roman"/>
          <w:lang w:val="en-US" w:eastAsia="zh-CN"/>
        </w:rPr>
        <w:t>20</w:t>
      </w:r>
      <w:r>
        <w:rPr>
          <w:rFonts w:hint="default" w:ascii="Times New Roman" w:hAnsi="Times New Roman" w:cs="Times New Roman"/>
        </w:rPr>
        <w:t>日</w:t>
      </w:r>
    </w:p>
    <w:p/>
    <w:sdt>
      <w:sdtPr>
        <w:rPr>
          <w:rFonts w:ascii="宋体" w:hAnsi="宋体" w:eastAsia="宋体" w:cs="Times New Roman"/>
          <w:kern w:val="2"/>
          <w:sz w:val="21"/>
          <w:szCs w:val="24"/>
          <w:lang w:val="en-US" w:eastAsia="zh-CN" w:bidi="ar-SA"/>
        </w:rPr>
        <w:id w:val="147451341"/>
        <w15:color w:val="DBDBDB"/>
      </w:sdtPr>
      <w:sdtEndPr>
        <w:rPr>
          <w:rFonts w:hint="eastAsia" w:ascii="方正仿宋_GBK" w:hAnsi="方正仿宋_GBK" w:eastAsia="方正仿宋_GBK" w:cs="方正仿宋_GBK"/>
          <w:kern w:val="2"/>
          <w:sz w:val="32"/>
          <w:szCs w:val="32"/>
          <w:lang w:val="en-US" w:eastAsia="zh-CN" w:bidi="ar-SA"/>
        </w:rPr>
      </w:sdtEndPr>
      <w:sdtContent>
        <w:p>
          <w:pPr>
            <w:rPr>
              <w:rFonts w:hint="eastAsia" w:ascii="方正仿宋_GBK" w:hAnsi="方正仿宋_GBK" w:eastAsia="方正仿宋_GBK" w:cs="方正仿宋_GBK"/>
              <w:kern w:val="2"/>
              <w:sz w:val="32"/>
              <w:szCs w:val="32"/>
              <w:lang w:val="en-US" w:eastAsia="zh-CN" w:bidi="ar-SA"/>
            </w:rPr>
          </w:pPr>
        </w:p>
        <w:p>
          <w:pPr>
            <w:rPr>
              <w:rFonts w:hint="eastAsia" w:ascii="方正黑体_GBK" w:hAnsi="方正黑体_GBK" w:eastAsia="方正黑体_GBK" w:cs="方正黑体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TOC \o "1-3" \h \u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黑体_GBK" w:hAnsi="方正黑体_GBK" w:eastAsia="方正黑体_GBK" w:cs="方正黑体_GBK"/>
              <w:kern w:val="2"/>
              <w:sz w:val="32"/>
              <w:szCs w:val="32"/>
              <w:lang w:val="en-US" w:eastAsia="zh-CN" w:bidi="ar-SA"/>
            </w:rPr>
            <w:fldChar w:fldCharType="begin"/>
          </w:r>
          <w:r>
            <w:rPr>
              <w:rFonts w:hint="eastAsia" w:ascii="方正黑体_GBK" w:hAnsi="方正黑体_GBK" w:eastAsia="方正黑体_GBK" w:cs="方正黑体_GBK"/>
              <w:kern w:val="2"/>
              <w:sz w:val="32"/>
              <w:szCs w:val="32"/>
              <w:lang w:val="en-US" w:eastAsia="zh-CN" w:bidi="ar-SA"/>
            </w:rPr>
            <w:instrText xml:space="preserve"> HYPERLINK \l _Toc2035916810 </w:instrText>
          </w:r>
          <w:r>
            <w:rPr>
              <w:rFonts w:hint="eastAsia" w:ascii="方正黑体_GBK" w:hAnsi="方正黑体_GBK" w:eastAsia="方正黑体_GBK" w:cs="方正黑体_GBK"/>
              <w:kern w:val="2"/>
              <w:sz w:val="32"/>
              <w:szCs w:val="32"/>
              <w:lang w:val="en-US" w:eastAsia="zh-CN" w:bidi="ar-SA"/>
            </w:rPr>
            <w:fldChar w:fldCharType="separate"/>
          </w:r>
          <w:r>
            <w:rPr>
              <w:rFonts w:hint="eastAsia" w:ascii="方正黑体_GBK" w:hAnsi="方正黑体_GBK" w:eastAsia="方正黑体_GBK" w:cs="方正黑体_GBK"/>
              <w:sz w:val="32"/>
              <w:szCs w:val="32"/>
            </w:rPr>
            <w:t xml:space="preserve">第一部分 </w:t>
          </w:r>
          <w:r>
            <w:rPr>
              <w:rFonts w:hint="eastAsia" w:ascii="方正黑体_GBK" w:hAnsi="方正黑体_GBK" w:eastAsia="方正黑体_GBK" w:cs="方正黑体_GBK"/>
              <w:bCs w:val="0"/>
              <w:sz w:val="32"/>
              <w:szCs w:val="32"/>
            </w:rPr>
            <w:t>部门概况</w:t>
          </w:r>
          <w:r>
            <w:rPr>
              <w:rFonts w:hint="eastAsia" w:ascii="方正黑体_GBK" w:hAnsi="方正黑体_GBK" w:eastAsia="方正黑体_GBK" w:cs="方正黑体_GBK"/>
              <w:kern w:val="2"/>
              <w:sz w:val="32"/>
              <w:szCs w:val="32"/>
              <w:lang w:val="en-US" w:eastAsia="zh-CN" w:bidi="ar-SA"/>
            </w:rPr>
            <w:fldChar w:fldCharType="end"/>
          </w:r>
          <w:r>
            <w:rPr>
              <w:rFonts w:hint="eastAsia" w:ascii="方正黑体_GBK" w:hAnsi="方正黑体_GBK" w:eastAsia="方正黑体_GBK" w:cs="方正黑体_GBK"/>
              <w:kern w:val="2"/>
              <w:sz w:val="32"/>
              <w:szCs w:val="32"/>
              <w:lang w:val="en-US" w:eastAsia="zh-CN" w:bidi="ar-SA"/>
            </w:rPr>
            <w:t>...........................................................- 1 -</w:t>
          </w:r>
          <w:r>
            <w:rPr>
              <w:rFonts w:hint="eastAsia" w:ascii="方正黑体_GBK" w:hAnsi="方正黑体_GBK" w:eastAsia="方正黑体_GBK" w:cs="方正黑体_GBK"/>
              <w:sz w:val="32"/>
              <w:szCs w:val="32"/>
            </w:rPr>
            <w:tab/>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_Toc629827149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基</w:t>
          </w:r>
          <w:r>
            <w:rPr>
              <w:rFonts w:hint="eastAsia" w:ascii="方正仿宋_GBK" w:hAnsi="方正仿宋_GBK" w:eastAsia="方正仿宋_GBK" w:cs="方正仿宋_GBK"/>
              <w:bCs w:val="0"/>
              <w:sz w:val="32"/>
              <w:szCs w:val="32"/>
            </w:rPr>
            <w:t>本职能及主要工作</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_Toc629827149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_Toc225589638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、机</w:t>
          </w:r>
          <w:r>
            <w:rPr>
              <w:rFonts w:hint="eastAsia" w:ascii="方正仿宋_GBK" w:hAnsi="方正仿宋_GBK" w:eastAsia="方正仿宋_GBK" w:cs="方正仿宋_GBK"/>
              <w:bCs w:val="0"/>
              <w:sz w:val="32"/>
              <w:szCs w:val="32"/>
            </w:rPr>
            <w:t>构设置</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_Toc225589638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- 12 -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2"/>
            <w:tabs>
              <w:tab w:val="right" w:leader="dot" w:pos="8844"/>
              <w:tab w:val="clear" w:pos="8296"/>
            </w:tabs>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2"/>
              <w:sz w:val="32"/>
              <w:szCs w:val="32"/>
              <w:lang w:val="en-US" w:eastAsia="zh-CN" w:bidi="ar-SA"/>
            </w:rPr>
            <w:fldChar w:fldCharType="begin"/>
          </w:r>
          <w:r>
            <w:rPr>
              <w:rFonts w:hint="eastAsia" w:ascii="方正黑体_GBK" w:hAnsi="方正黑体_GBK" w:eastAsia="方正黑体_GBK" w:cs="方正黑体_GBK"/>
              <w:kern w:val="2"/>
              <w:sz w:val="32"/>
              <w:szCs w:val="32"/>
              <w:lang w:val="en-US" w:eastAsia="zh-CN" w:bidi="ar-SA"/>
            </w:rPr>
            <w:instrText xml:space="preserve"> HYPERLINK \l _Toc1511678901 </w:instrText>
          </w:r>
          <w:r>
            <w:rPr>
              <w:rFonts w:hint="eastAsia" w:ascii="方正黑体_GBK" w:hAnsi="方正黑体_GBK" w:eastAsia="方正黑体_GBK" w:cs="方正黑体_GBK"/>
              <w:kern w:val="2"/>
              <w:sz w:val="32"/>
              <w:szCs w:val="32"/>
              <w:lang w:val="en-US" w:eastAsia="zh-CN" w:bidi="ar-SA"/>
            </w:rPr>
            <w:fldChar w:fldCharType="separate"/>
          </w:r>
          <w:r>
            <w:rPr>
              <w:rFonts w:hint="eastAsia" w:ascii="方正黑体_GBK" w:hAnsi="方正黑体_GBK" w:eastAsia="方正黑体_GBK" w:cs="方正黑体_GBK"/>
              <w:sz w:val="32"/>
              <w:szCs w:val="32"/>
            </w:rPr>
            <w:t xml:space="preserve">第二部分 </w:t>
          </w:r>
          <w:r>
            <w:rPr>
              <w:rFonts w:hint="eastAsia" w:ascii="方正黑体_GBK" w:hAnsi="方正黑体_GBK" w:eastAsia="方正黑体_GBK" w:cs="方正黑体_GBK"/>
              <w:bCs w:val="0"/>
              <w:sz w:val="32"/>
              <w:szCs w:val="32"/>
              <w:lang w:val="en-US" w:eastAsia="zh-CN"/>
            </w:rPr>
            <w:t>2021</w:t>
          </w:r>
          <w:r>
            <w:rPr>
              <w:rFonts w:hint="eastAsia" w:ascii="方正黑体_GBK" w:hAnsi="方正黑体_GBK" w:eastAsia="方正黑体_GBK" w:cs="方正黑体_GBK"/>
              <w:bCs w:val="0"/>
              <w:sz w:val="32"/>
              <w:szCs w:val="32"/>
            </w:rPr>
            <w:t>年度部门决算情况说明</w:t>
          </w:r>
          <w:r>
            <w:rPr>
              <w:rFonts w:hint="eastAsia" w:ascii="方正黑体_GBK" w:hAnsi="方正黑体_GBK" w:eastAsia="方正黑体_GBK" w:cs="方正黑体_GBK"/>
              <w:sz w:val="32"/>
              <w:szCs w:val="32"/>
            </w:rPr>
            <w:tab/>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 PAGEREF _Toc1511678901 \h </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- 13 -</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_Toc508984489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一、 收入支出决算总体情况说明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_Toc508984489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_Toc509651443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二、 收入决算情况说明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_Toc509651443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- 14 -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_Toc950299877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三、 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_Toc950299877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- 14 -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_Toc32331711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四、财政拨款收入支出决算总体情况说明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_Toc32331711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- 15 -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_Toc17694289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五、一般公共预算财政拨款支出决算情况说明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_Toc17694289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- 15 -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_Toc405016946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六、一般公共预算财政拨款基本支出决算情况说明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_Toc405016946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- 18 -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_Toc1810856623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bCs w:val="0"/>
              <w:sz w:val="32"/>
              <w:szCs w:val="32"/>
            </w:rPr>
            <w:t>七、“三公”经费财政拨款支出决算情况说明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_Toc1810856623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- 19 -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_Toc1020022880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八、政府性基金预算支出决算情况说明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_Toc1020022880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- 21 -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_Toc544753965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lang w:val="en-US" w:eastAsia="zh-CN"/>
            </w:rPr>
            <w:t>九、</w:t>
          </w:r>
          <w:r>
            <w:rPr>
              <w:rFonts w:hint="eastAsia" w:ascii="方正仿宋_GBK" w:hAnsi="方正仿宋_GBK" w:eastAsia="方正仿宋_GBK" w:cs="方正仿宋_GBK"/>
              <w:sz w:val="32"/>
              <w:szCs w:val="32"/>
            </w:rPr>
            <w:t>国有资本经营预算支出决算情况说明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_Toc544753965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- 21 -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_Toc2130352531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十、其他重要事项的情况说明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_Toc2130352531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- 21 -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2"/>
            <w:tabs>
              <w:tab w:val="right" w:leader="dot" w:pos="8844"/>
              <w:tab w:val="clear" w:pos="8296"/>
            </w:tabs>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2"/>
              <w:sz w:val="32"/>
              <w:szCs w:val="32"/>
              <w:lang w:val="en-US" w:eastAsia="zh-CN" w:bidi="ar-SA"/>
            </w:rPr>
            <w:fldChar w:fldCharType="begin"/>
          </w:r>
          <w:r>
            <w:rPr>
              <w:rFonts w:hint="eastAsia" w:ascii="方正黑体_GBK" w:hAnsi="方正黑体_GBK" w:eastAsia="方正黑体_GBK" w:cs="方正黑体_GBK"/>
              <w:kern w:val="2"/>
              <w:sz w:val="32"/>
              <w:szCs w:val="32"/>
              <w:lang w:val="en-US" w:eastAsia="zh-CN" w:bidi="ar-SA"/>
            </w:rPr>
            <w:instrText xml:space="preserve"> HYPERLINK \l _Toc1356444145 </w:instrText>
          </w:r>
          <w:r>
            <w:rPr>
              <w:rFonts w:hint="eastAsia" w:ascii="方正黑体_GBK" w:hAnsi="方正黑体_GBK" w:eastAsia="方正黑体_GBK" w:cs="方正黑体_GBK"/>
              <w:kern w:val="2"/>
              <w:sz w:val="32"/>
              <w:szCs w:val="32"/>
              <w:lang w:val="en-US" w:eastAsia="zh-CN" w:bidi="ar-SA"/>
            </w:rPr>
            <w:fldChar w:fldCharType="separate"/>
          </w:r>
          <w:r>
            <w:rPr>
              <w:rFonts w:hint="eastAsia" w:ascii="方正黑体_GBK" w:hAnsi="方正黑体_GBK" w:eastAsia="方正黑体_GBK" w:cs="方正黑体_GBK"/>
              <w:bCs w:val="0"/>
              <w:sz w:val="32"/>
              <w:szCs w:val="32"/>
              <w:lang w:eastAsia="zh-CN"/>
            </w:rPr>
            <w:t>第三部分</w:t>
          </w:r>
          <w:r>
            <w:rPr>
              <w:rFonts w:hint="eastAsia" w:ascii="方正黑体_GBK" w:hAnsi="方正黑体_GBK" w:eastAsia="方正黑体_GBK" w:cs="方正黑体_GBK"/>
              <w:bCs w:val="0"/>
              <w:sz w:val="32"/>
              <w:szCs w:val="32"/>
              <w:lang w:val="en-US" w:eastAsia="zh-CN"/>
            </w:rPr>
            <w:t xml:space="preserve">  </w:t>
          </w:r>
          <w:r>
            <w:rPr>
              <w:rFonts w:hint="eastAsia" w:ascii="方正黑体_GBK" w:hAnsi="方正黑体_GBK" w:eastAsia="方正黑体_GBK" w:cs="方正黑体_GBK"/>
              <w:bCs w:val="0"/>
              <w:sz w:val="32"/>
              <w:szCs w:val="32"/>
            </w:rPr>
            <w:t>名词解释</w:t>
          </w:r>
          <w:r>
            <w:rPr>
              <w:rFonts w:hint="eastAsia" w:ascii="方正黑体_GBK" w:hAnsi="方正黑体_GBK" w:eastAsia="方正黑体_GBK" w:cs="方正黑体_GBK"/>
              <w:sz w:val="32"/>
              <w:szCs w:val="32"/>
            </w:rPr>
            <w:tab/>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 PAGEREF _Toc1356444145 \h </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- 27 -</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kern w:val="2"/>
              <w:sz w:val="32"/>
              <w:szCs w:val="32"/>
              <w:lang w:val="en-US" w:eastAsia="zh-CN" w:bidi="ar-SA"/>
            </w:rPr>
            <w:fldChar w:fldCharType="end"/>
          </w:r>
        </w:p>
        <w:p>
          <w:pPr>
            <w:pStyle w:val="12"/>
            <w:tabs>
              <w:tab w:val="right" w:leader="dot" w:pos="8844"/>
              <w:tab w:val="clear" w:pos="8296"/>
            </w:tabs>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2"/>
              <w:sz w:val="32"/>
              <w:szCs w:val="32"/>
              <w:lang w:val="en-US" w:eastAsia="zh-CN" w:bidi="ar-SA"/>
            </w:rPr>
            <w:fldChar w:fldCharType="begin"/>
          </w:r>
          <w:r>
            <w:rPr>
              <w:rFonts w:hint="eastAsia" w:ascii="方正黑体_GBK" w:hAnsi="方正黑体_GBK" w:eastAsia="方正黑体_GBK" w:cs="方正黑体_GBK"/>
              <w:kern w:val="2"/>
              <w:sz w:val="32"/>
              <w:szCs w:val="32"/>
              <w:lang w:val="en-US" w:eastAsia="zh-CN" w:bidi="ar-SA"/>
            </w:rPr>
            <w:instrText xml:space="preserve"> HYPERLINK \l _Toc658012653 </w:instrText>
          </w:r>
          <w:r>
            <w:rPr>
              <w:rFonts w:hint="eastAsia" w:ascii="方正黑体_GBK" w:hAnsi="方正黑体_GBK" w:eastAsia="方正黑体_GBK" w:cs="方正黑体_GBK"/>
              <w:kern w:val="2"/>
              <w:sz w:val="32"/>
              <w:szCs w:val="32"/>
              <w:lang w:val="en-US" w:eastAsia="zh-CN" w:bidi="ar-SA"/>
            </w:rPr>
            <w:fldChar w:fldCharType="separate"/>
          </w:r>
          <w:r>
            <w:rPr>
              <w:rFonts w:hint="eastAsia" w:ascii="方正黑体_GBK" w:hAnsi="方正黑体_GBK" w:eastAsia="方正黑体_GBK" w:cs="方正黑体_GBK"/>
              <w:sz w:val="32"/>
              <w:szCs w:val="32"/>
            </w:rPr>
            <w:t>第四部分 附件</w:t>
          </w:r>
          <w:r>
            <w:rPr>
              <w:rFonts w:hint="eastAsia" w:ascii="方正黑体_GBK" w:hAnsi="方正黑体_GBK" w:eastAsia="方正黑体_GBK" w:cs="方正黑体_GBK"/>
              <w:sz w:val="32"/>
              <w:szCs w:val="32"/>
            </w:rPr>
            <w:tab/>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 PAGEREF _Toc658012653 \h </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- 30 -</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kern w:val="2"/>
              <w:sz w:val="32"/>
              <w:szCs w:val="32"/>
              <w:lang w:val="en-US" w:eastAsia="zh-CN" w:bidi="ar-SA"/>
            </w:rPr>
            <w:fldChar w:fldCharType="end"/>
          </w:r>
        </w:p>
        <w:p>
          <w:pPr>
            <w:pStyle w:val="12"/>
            <w:tabs>
              <w:tab w:val="right" w:leader="dot" w:pos="8844"/>
              <w:tab w:val="clear" w:pos="8296"/>
            </w:tabs>
            <w:rPr>
              <w:rFonts w:hint="eastAsia" w:ascii="方正仿宋_GBK" w:hAnsi="方正仿宋_GBK" w:eastAsia="方正仿宋_GBK" w:cs="方正仿宋_GBK"/>
              <w:sz w:val="32"/>
              <w:szCs w:val="32"/>
            </w:rPr>
          </w:pPr>
          <w:r>
            <w:rPr>
              <w:rFonts w:hint="eastAsia" w:ascii="方正黑体_GBK" w:hAnsi="方正黑体_GBK" w:eastAsia="方正黑体_GBK" w:cs="方正黑体_GBK"/>
              <w:kern w:val="2"/>
              <w:sz w:val="32"/>
              <w:szCs w:val="32"/>
              <w:lang w:val="en-US" w:eastAsia="zh-CN" w:bidi="ar-SA"/>
            </w:rPr>
            <w:fldChar w:fldCharType="begin"/>
          </w:r>
          <w:r>
            <w:rPr>
              <w:rFonts w:hint="eastAsia" w:ascii="方正黑体_GBK" w:hAnsi="方正黑体_GBK" w:eastAsia="方正黑体_GBK" w:cs="方正黑体_GBK"/>
              <w:kern w:val="2"/>
              <w:sz w:val="32"/>
              <w:szCs w:val="32"/>
              <w:lang w:val="en-US" w:eastAsia="zh-CN" w:bidi="ar-SA"/>
            </w:rPr>
            <w:instrText xml:space="preserve"> HYPERLINK \l _Toc1244877307 </w:instrText>
          </w:r>
          <w:r>
            <w:rPr>
              <w:rFonts w:hint="eastAsia" w:ascii="方正黑体_GBK" w:hAnsi="方正黑体_GBK" w:eastAsia="方正黑体_GBK" w:cs="方正黑体_GBK"/>
              <w:kern w:val="2"/>
              <w:sz w:val="32"/>
              <w:szCs w:val="32"/>
              <w:lang w:val="en-US" w:eastAsia="zh-CN" w:bidi="ar-SA"/>
            </w:rPr>
            <w:fldChar w:fldCharType="separate"/>
          </w:r>
          <w:r>
            <w:rPr>
              <w:rFonts w:hint="eastAsia" w:ascii="方正黑体_GBK" w:hAnsi="方正黑体_GBK" w:eastAsia="方正黑体_GBK" w:cs="方正黑体_GBK"/>
              <w:bCs w:val="0"/>
              <w:sz w:val="32"/>
              <w:szCs w:val="32"/>
              <w:lang w:eastAsia="zh-CN"/>
            </w:rPr>
            <w:t>第五部分 附表</w:t>
          </w:r>
          <w:r>
            <w:rPr>
              <w:rFonts w:hint="eastAsia" w:ascii="方正黑体_GBK" w:hAnsi="方正黑体_GBK" w:eastAsia="方正黑体_GBK" w:cs="方正黑体_GBK"/>
              <w:sz w:val="32"/>
              <w:szCs w:val="32"/>
            </w:rPr>
            <w:tab/>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 PAGEREF _Toc1244877307 \h </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- 33 -</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_Toc1287839803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一、收入支出决算总表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_Toc1287839803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_Toc1945425627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二、收入决算表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_Toc1945425627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_Toc1205705654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三、支出决算表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_Toc1205705654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_Toc1513429441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四、财政拨款收入支出决算总表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_Toc1513429441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_Toc1309620880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五、财政拨款支出决算明细表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_Toc1309620880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_Toc1714690143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六、一般公共预算财政拨款支出决算表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_Toc1714690143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_Toc2023080884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七、一般公共预算财政拨款支出决算明细表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_Toc2023080884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_Toc442679957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八、一般公共预算财政拨款基本支出决算表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_Toc442679957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_Toc517506373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九、一般公共预算财政拨款项目支出决算表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_Toc517506373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pStyle w:val="14"/>
            <w:tabs>
              <w:tab w:val="right" w:leader="dot" w:pos="8844"/>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 HYPERLINK \l _Toc17617722 </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sz w:val="32"/>
              <w:szCs w:val="32"/>
            </w:rPr>
            <w:t>十、一般公共预算财政拨款“三公”经费支出决算表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_Toc17617722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- 33 -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2"/>
              <w:sz w:val="32"/>
              <w:szCs w:val="32"/>
              <w:lang w:val="en-US" w:eastAsia="zh-CN" w:bidi="ar-SA"/>
            </w:rPr>
            <w:fldChar w:fldCharType="end"/>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fldChar w:fldCharType="end"/>
          </w:r>
        </w:p>
      </w:sdtContent>
    </w:sdt>
    <w:p>
      <w:pPr>
        <w:pStyle w:val="3"/>
        <w:jc w:val="center"/>
        <w:rPr>
          <w:rFonts w:hint="eastAsia" w:ascii="方正仿宋_GBK" w:hAnsi="方正仿宋_GBK" w:eastAsia="方正仿宋_GBK" w:cs="方正仿宋_GBK"/>
          <w:b w:val="0"/>
          <w:sz w:val="32"/>
          <w:szCs w:val="32"/>
        </w:rPr>
        <w:sectPr>
          <w:headerReference r:id="rId3" w:type="default"/>
          <w:pgSz w:w="11906" w:h="16838"/>
          <w:pgMar w:top="2098" w:right="1531" w:bottom="2041" w:left="1531" w:header="851" w:footer="992" w:gutter="0"/>
          <w:pgNumType w:start="1"/>
          <w:cols w:space="0" w:num="1"/>
          <w:titlePg/>
          <w:rtlGutter w:val="0"/>
          <w:docGrid w:type="lines" w:linePitch="312" w:charSpace="0"/>
        </w:sectPr>
      </w:pPr>
      <w:bookmarkStart w:id="16" w:name="_Toc15377196"/>
      <w:bookmarkStart w:id="17" w:name="_Toc15396599"/>
      <w:bookmarkStart w:id="18" w:name="_Toc21319"/>
    </w:p>
    <w:p>
      <w:pPr>
        <w:pStyle w:val="3"/>
        <w:jc w:val="center"/>
        <w:rPr>
          <w:rFonts w:ascii="黑体" w:eastAsia="黑体"/>
          <w:color w:val="000000"/>
          <w:sz w:val="32"/>
          <w:szCs w:val="32"/>
        </w:rPr>
      </w:pPr>
      <w:bookmarkStart w:id="19" w:name="_Toc2035916810"/>
      <w:r>
        <w:rPr>
          <w:rFonts w:hint="eastAsia" w:ascii="黑体" w:hAnsi="黑体" w:eastAsia="黑体"/>
          <w:b w:val="0"/>
        </w:rPr>
        <w:t xml:space="preserve">第一部分 </w:t>
      </w:r>
      <w:r>
        <w:rPr>
          <w:rStyle w:val="27"/>
          <w:rFonts w:hint="eastAsia" w:ascii="黑体" w:hAnsi="黑体" w:eastAsia="黑体"/>
          <w:b w:val="0"/>
          <w:bCs w:val="0"/>
        </w:rPr>
        <w:t>部门概况</w:t>
      </w:r>
      <w:bookmarkEnd w:id="16"/>
      <w:bookmarkEnd w:id="17"/>
      <w:bookmarkEnd w:id="18"/>
      <w:bookmarkEnd w:id="19"/>
    </w:p>
    <w:p>
      <w:pPr>
        <w:pStyle w:val="4"/>
        <w:pageBreakBefore w:val="0"/>
        <w:widowControl w:val="0"/>
        <w:numPr>
          <w:ilvl w:val="0"/>
          <w:numId w:val="0"/>
        </w:numPr>
        <w:kinsoku/>
        <w:wordWrap/>
        <w:overflowPunct/>
        <w:topLinePunct w:val="0"/>
        <w:autoSpaceDE/>
        <w:autoSpaceDN/>
        <w:bidi w:val="0"/>
        <w:adjustRightInd/>
        <w:snapToGrid/>
        <w:spacing w:line="576" w:lineRule="exact"/>
        <w:textAlignment w:val="auto"/>
        <w:rPr>
          <w:rStyle w:val="28"/>
          <w:rFonts w:hint="eastAsia" w:ascii="黑体" w:hAnsi="黑体" w:eastAsia="黑体"/>
          <w:b w:val="0"/>
          <w:bCs w:val="0"/>
        </w:rPr>
      </w:pPr>
      <w:bookmarkStart w:id="20" w:name="_Toc8422"/>
      <w:bookmarkStart w:id="21" w:name="_Toc15396600"/>
      <w:bookmarkStart w:id="22" w:name="_Toc629827149"/>
      <w:bookmarkStart w:id="23" w:name="_Toc15377197"/>
      <w:r>
        <w:rPr>
          <w:rFonts w:hint="eastAsia" w:ascii="黑体" w:hAnsi="黑体" w:eastAsia="黑体"/>
          <w:b w:val="0"/>
          <w:color w:val="000000"/>
          <w:lang w:eastAsia="zh-CN"/>
        </w:rPr>
        <w:t>一、</w:t>
      </w:r>
      <w:r>
        <w:rPr>
          <w:rFonts w:hint="eastAsia" w:ascii="黑体" w:hAnsi="黑体" w:eastAsia="黑体"/>
          <w:b w:val="0"/>
          <w:color w:val="000000"/>
        </w:rPr>
        <w:t>基</w:t>
      </w:r>
      <w:r>
        <w:rPr>
          <w:rStyle w:val="28"/>
          <w:rFonts w:hint="eastAsia" w:ascii="黑体" w:hAnsi="黑体" w:eastAsia="黑体"/>
          <w:b w:val="0"/>
          <w:bCs w:val="0"/>
        </w:rPr>
        <w:t>本职能及主要工作</w:t>
      </w:r>
      <w:bookmarkEnd w:id="20"/>
      <w:bookmarkEnd w:id="21"/>
      <w:bookmarkEnd w:id="22"/>
      <w:bookmarkEnd w:id="23"/>
      <w:bookmarkStart w:id="24" w:name="_Toc15378445"/>
      <w:bookmarkStart w:id="25" w:name="_Toc15377198"/>
    </w:p>
    <w:p>
      <w:pPr>
        <w:pStyle w:val="4"/>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b/>
          <w:bCs w:val="0"/>
          <w:color w:val="000000"/>
          <w:sz w:val="32"/>
          <w:szCs w:val="32"/>
        </w:rPr>
      </w:pPr>
      <w:bookmarkStart w:id="26" w:name="_Toc16803"/>
      <w:bookmarkStart w:id="27" w:name="_Toc1077117746"/>
      <w:r>
        <w:rPr>
          <w:rFonts w:hint="eastAsia" w:ascii="楷体_GB2312" w:hAnsi="楷体_GB2312" w:eastAsia="楷体_GB2312" w:cs="楷体_GB2312"/>
          <w:b/>
          <w:bCs w:val="0"/>
          <w:color w:val="000000"/>
          <w:sz w:val="32"/>
          <w:szCs w:val="32"/>
        </w:rPr>
        <w:t>（一）主要职能。</w:t>
      </w:r>
      <w:bookmarkEnd w:id="24"/>
      <w:bookmarkEnd w:id="25"/>
      <w:bookmarkEnd w:id="26"/>
      <w:bookmarkEnd w:id="27"/>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负责全县的组织体系、组织制度建设，负责基层党组织建设规划指导和党员队伍宏观管理，指导开展党员教育工作。指导全县基层党组织的思想、作风和组织建设。落实党内组织生活的各项制度；组织发展新党员工作，落实党员队伍建设工作；审核基层党组织设置，理顺党组织的管理隶属关系；负责全县党费的收缴、使用和管理。</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负责全县科级领导班子和干部队伍建设的总体规划和宏观管理。负责县委管理科级领导班子和领导干部的考察考核、日常管理，提出调整建议，审核办理任免、工资、退休、兼职、待遇等有关事项；负责全县优秀年轻干部队伍建设工作。</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shd w:val="clear" w:color="auto" w:fill="FFFFFF"/>
        </w:rPr>
        <w:t>负责管理全县公务员工作。承担管理公务员录用、调配、考核、奖惩、培训、监督、工资福利等工作，指导公务员队伍建设和绩效管理。</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sz w:val="32"/>
          <w:szCs w:val="32"/>
        </w:rPr>
        <w:t>负责全县人才队伍建设宏观指导、政策落实、综合协调和督促检查；牵头推进人才发展体制机制改革，统筹实施重大人才工程和人才表彰奖励。</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w:t>
      </w:r>
      <w:r>
        <w:rPr>
          <w:rFonts w:hint="eastAsia" w:ascii="仿宋_GB2312" w:hAnsi="仿宋_GB2312" w:eastAsia="仿宋_GB2312" w:cs="仿宋_GB2312"/>
          <w:sz w:val="32"/>
          <w:szCs w:val="32"/>
        </w:rPr>
        <w:t>负责组织、指导全县干部教育培训工作的宏观指导、政策规划、组织协调和督促检查，负责县委重点培训项目的策划、实施和管理，指导全县干部教育培训基地建设管理、师资队伍建设等工作。</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w:t>
      </w:r>
      <w:r>
        <w:rPr>
          <w:rFonts w:hint="eastAsia" w:ascii="仿宋_GB2312" w:hAnsi="仿宋_GB2312" w:eastAsia="仿宋_GB2312" w:cs="仿宋_GB2312"/>
          <w:sz w:val="32"/>
          <w:szCs w:val="32"/>
        </w:rPr>
        <w:t>负责全县干部监督工作的宏观指导和综合协调，制定和落实干部监督工作制度，组织开展对选人用人工作情况的监督检查，受理和办理有关问题举报，组织实施领导干部报告个人有关事项及抽查核实工作。</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w:t>
      </w:r>
      <w:r>
        <w:rPr>
          <w:rFonts w:hint="eastAsia" w:ascii="仿宋_GB2312" w:hAnsi="仿宋_GB2312" w:eastAsia="仿宋_GB2312" w:cs="仿宋_GB2312"/>
          <w:sz w:val="32"/>
          <w:szCs w:val="32"/>
        </w:rPr>
        <w:t>贯彻“统一指导、分级管理、原单位负责”的老干部工作方针，检查、督促各单位落实老干部的政治、生活待遇；负责副县级及以上离退休干部的管理和服务；负责离（退）休干部党支部建设，做好离（退）休干部思想政治工作；负责离（退）休干部活动中心建设，组织开展各种健康有益的活动。</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8.</w:t>
      </w:r>
      <w:r>
        <w:rPr>
          <w:rFonts w:hint="eastAsia" w:ascii="仿宋_GB2312" w:hAnsi="仿宋_GB2312" w:eastAsia="仿宋_GB2312" w:cs="仿宋_GB2312"/>
          <w:sz w:val="32"/>
          <w:szCs w:val="32"/>
        </w:rPr>
        <w:t>负责全县非公有制经济组织和社会组织党建工作统一部署，宏观指导和督促检查；负责研究、指导和批准非公有制经济组织和社会组织党的基层组织的设置；直接联系和管理非公企业和社会组织党组织。</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9.</w:t>
      </w:r>
      <w:r>
        <w:rPr>
          <w:rFonts w:hint="eastAsia" w:ascii="仿宋_GB2312" w:hAnsi="仿宋_GB2312" w:eastAsia="仿宋_GB2312" w:cs="仿宋_GB2312"/>
          <w:sz w:val="32"/>
          <w:szCs w:val="32"/>
        </w:rPr>
        <w:t>负责制定全县直属机关</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"http://www.so.com/s?q=%E5%85%9A%E7%9A%84%E5%BB%BA%E8%AE%BE&amp;ie=utf-8&amp;src=internal_wenda_recommend_textn" \t "https://wenda.so.com/q/_blank"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党的建设</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工作规划，指导县直机关党组织搞好党的思想建设、组织建设、作风建设和制度建设，并做好协调、管理、教育、监督工作。指导县属机关党组织搞好发展党员、民主评议党员、党员干部民主生活会的评议工作。</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10.</w:t>
      </w:r>
      <w:r>
        <w:rPr>
          <w:rFonts w:hint="eastAsia" w:ascii="仿宋_GB2312" w:hAnsi="仿宋_GB2312" w:eastAsia="仿宋_GB2312" w:cs="仿宋_GB2312"/>
          <w:sz w:val="32"/>
          <w:szCs w:val="32"/>
        </w:rPr>
        <w:t>统一归口管理县委机构编制委员会办公室。</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11.</w:t>
      </w:r>
      <w:r>
        <w:rPr>
          <w:rFonts w:hint="eastAsia" w:ascii="仿宋_GB2312" w:hAnsi="仿宋_GB2312" w:eastAsia="仿宋_GB2312" w:cs="仿宋_GB2312"/>
          <w:sz w:val="32"/>
          <w:szCs w:val="32"/>
        </w:rPr>
        <w:t>承担县委党建领导小组、县人才工作领导小组日常工作。</w:t>
      </w:r>
    </w:p>
    <w:p>
      <w:pPr>
        <w:pStyle w:val="2"/>
        <w:pageBreakBefore w:val="0"/>
        <w:widowControl w:val="0"/>
        <w:kinsoku/>
        <w:wordWrap/>
        <w:overflowPunct/>
        <w:topLinePunct w:val="0"/>
        <w:autoSpaceDE/>
        <w:autoSpaceDN/>
        <w:bidi w:val="0"/>
        <w:adjustRightInd w:val="0"/>
        <w:snapToGrid w:val="0"/>
        <w:spacing w:before="93" w:line="576" w:lineRule="exact"/>
        <w:ind w:firstLine="674" w:firstLineChars="210"/>
        <w:textAlignment w:val="auto"/>
        <w:outlineLvl w:val="2"/>
        <w:rPr>
          <w:rFonts w:ascii="仿宋" w:hAnsi="仿宋" w:eastAsia="仿宋"/>
          <w:bCs/>
          <w:color w:val="000000"/>
          <w:sz w:val="32"/>
          <w:szCs w:val="32"/>
        </w:rPr>
      </w:pPr>
      <w:bookmarkStart w:id="28" w:name="_Toc22229"/>
      <w:bookmarkStart w:id="29" w:name="_Toc2108311994"/>
      <w:r>
        <w:rPr>
          <w:rFonts w:hint="eastAsia" w:ascii="仿宋_GB2312" w:hAnsi="仿宋_GB2312" w:eastAsia="仿宋_GB2312" w:cs="仿宋_GB2312"/>
          <w:b/>
          <w:bCs/>
          <w:sz w:val="32"/>
          <w:szCs w:val="32"/>
        </w:rPr>
        <w:t>12.</w:t>
      </w:r>
      <w:r>
        <w:rPr>
          <w:rFonts w:hint="eastAsia" w:ascii="仿宋_GB2312" w:hAnsi="仿宋_GB2312" w:eastAsia="仿宋_GB2312" w:cs="仿宋_GB2312"/>
          <w:sz w:val="32"/>
          <w:szCs w:val="32"/>
        </w:rPr>
        <w:t>完成县委交办的其他任务。</w:t>
      </w:r>
      <w:bookmarkEnd w:id="28"/>
      <w:bookmarkEnd w:id="29"/>
    </w:p>
    <w:p>
      <w:pPr>
        <w:pageBreakBefore w:val="0"/>
        <w:widowControl w:val="0"/>
        <w:kinsoku/>
        <w:wordWrap/>
        <w:overflowPunct/>
        <w:topLinePunct w:val="0"/>
        <w:autoSpaceDE/>
        <w:autoSpaceDN/>
        <w:bidi w:val="0"/>
        <w:spacing w:line="576" w:lineRule="exact"/>
        <w:ind w:firstLine="640" w:firstLineChars="200"/>
        <w:textAlignment w:val="auto"/>
        <w:rPr>
          <w:rFonts w:hint="eastAsia" w:ascii="黑体" w:hAnsi="黑体" w:eastAsia="黑体" w:cs="黑体"/>
          <w:bCs/>
          <w:color w:val="000000"/>
          <w:sz w:val="32"/>
          <w:szCs w:val="32"/>
        </w:rPr>
      </w:pPr>
      <w:bookmarkStart w:id="30" w:name="_Toc15378446"/>
      <w:bookmarkStart w:id="31" w:name="_Toc15377199"/>
      <w:r>
        <w:rPr>
          <w:rFonts w:hint="eastAsia" w:ascii="黑体" w:hAnsi="黑体" w:eastAsia="黑体" w:cs="黑体"/>
          <w:bCs/>
          <w:color w:val="000000"/>
          <w:sz w:val="32"/>
          <w:szCs w:val="32"/>
        </w:rPr>
        <w:t>（二）</w:t>
      </w:r>
      <w:r>
        <w:rPr>
          <w:rFonts w:hint="eastAsia" w:ascii="黑体" w:hAnsi="黑体" w:eastAsia="黑体" w:cs="黑体"/>
          <w:bCs/>
          <w:color w:val="000000"/>
          <w:sz w:val="32"/>
          <w:szCs w:val="32"/>
          <w:lang w:val="en-US" w:eastAsia="zh-CN"/>
        </w:rPr>
        <w:t>2021</w:t>
      </w:r>
      <w:r>
        <w:rPr>
          <w:rFonts w:hint="eastAsia" w:ascii="黑体" w:hAnsi="黑体" w:eastAsia="黑体" w:cs="黑体"/>
          <w:bCs/>
          <w:color w:val="000000"/>
          <w:sz w:val="32"/>
          <w:szCs w:val="32"/>
        </w:rPr>
        <w:t>年重点工作完成情况。</w:t>
      </w:r>
      <w:bookmarkEnd w:id="30"/>
      <w:bookmarkEnd w:id="31"/>
      <w:bookmarkStart w:id="32" w:name="_Toc13424"/>
      <w:bookmarkStart w:id="33" w:name="_Toc15396601"/>
      <w:bookmarkStart w:id="34" w:name="_Toc15377200"/>
    </w:p>
    <w:p>
      <w:pPr>
        <w:pageBreakBefore w:val="0"/>
        <w:widowControl w:val="0"/>
        <w:kinsoku/>
        <w:wordWrap/>
        <w:overflowPunct/>
        <w:topLinePunct w:val="0"/>
        <w:autoSpaceDE/>
        <w:autoSpaceDN/>
        <w:bidi w:val="0"/>
        <w:spacing w:line="576" w:lineRule="exact"/>
        <w:ind w:firstLine="642"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b/>
          <w:bCs w:val="0"/>
          <w:color w:val="auto"/>
          <w:sz w:val="32"/>
          <w:szCs w:val="32"/>
          <w:lang w:val="en-US" w:eastAsia="zh-CN"/>
        </w:rPr>
        <w:t>（一）全力迎接和服务党的二十大和省第十二次党代会召开。</w:t>
      </w:r>
      <w:r>
        <w:rPr>
          <w:rFonts w:hint="default" w:ascii="Times New Roman" w:hAnsi="Times New Roman" w:eastAsia="方正仿宋_GBK" w:cs="Times New Roman"/>
          <w:color w:val="auto"/>
          <w:sz w:val="32"/>
          <w:szCs w:val="32"/>
          <w:lang w:val="en-US" w:eastAsia="zh-CN"/>
        </w:rPr>
        <w:t>严格按照中央、省、州工作要求，顺利完成党的二十大和省第十二次党代会代表候选人初步人选推荐工作，推选2名党代表出席省第十二次党代会。坚持“线上+线下”相结合，积极组织动员全县各级党组织通过张贴横幅、悬挂标语、视频展播等方式喜迎党的二十大和省第十二次党代会。在“红原组工”微信公众号开设喜迎党代会</w:t>
      </w:r>
      <w:r>
        <w:rPr>
          <w:rFonts w:hint="default" w:ascii="Times New Roman" w:hAnsi="Times New Roman" w:eastAsia="宋体"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党徽在闪耀、喜迎二十大等专栏3个，深入挖掘宣传党代表先进事迹，形象展示百年大党的光辉历程和伟大成就。党的二十大和省第十二次党代会召开后，全县广大党员干部群众收听收看开幕会和中央政治局常委记者见面会，全面掀起党代会精神学习热潮。截止目前，全县195个基层党组织开展会议精神宣传宣讲、专题研讨480余场次，邀请专家学者来县作辅导讲座30余场次，制作先进典型微视频14个，</w:t>
      </w:r>
      <w:r>
        <w:rPr>
          <w:rFonts w:hint="eastAsia" w:cs="Times New Roman"/>
          <w:color w:val="auto"/>
          <w:sz w:val="32"/>
          <w:szCs w:val="32"/>
          <w:lang w:val="en-US" w:eastAsia="zh-CN"/>
        </w:rPr>
        <w:t>宣传</w:t>
      </w:r>
      <w:r>
        <w:rPr>
          <w:rFonts w:hint="default" w:ascii="Times New Roman" w:hAnsi="Times New Roman" w:eastAsia="方正仿宋_GBK" w:cs="Times New Roman"/>
          <w:color w:val="auto"/>
          <w:sz w:val="32"/>
          <w:szCs w:val="32"/>
          <w:lang w:val="en-US" w:eastAsia="zh-CN"/>
        </w:rPr>
        <w:t>覆盖4.9万余人，有效引导广大党员干部和各族群众砥砺奋进、踔厉奋发。</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cs="Times New Roman"/>
          <w:color w:val="auto"/>
          <w:sz w:val="32"/>
          <w:szCs w:val="32"/>
          <w:lang w:val="en-US" w:eastAsia="zh-CN"/>
        </w:rPr>
        <w:t xml:space="preserve">    </w:t>
      </w:r>
      <w:r>
        <w:rPr>
          <w:rFonts w:hint="default" w:ascii="Times New Roman" w:hAnsi="Times New Roman" w:eastAsia="方正楷体_GBK" w:cs="Times New Roman"/>
          <w:b/>
          <w:bCs w:val="0"/>
          <w:color w:val="auto"/>
          <w:sz w:val="32"/>
          <w:szCs w:val="32"/>
          <w:lang w:val="en-US" w:eastAsia="zh-CN"/>
        </w:rPr>
        <w:t>（二）认真贯彻落实习近平总书记来川视察、陈希同志来红原调研重要指示精神。</w:t>
      </w:r>
      <w:r>
        <w:rPr>
          <w:rFonts w:hint="default" w:ascii="Times New Roman" w:hAnsi="Times New Roman" w:eastAsia="方正仿宋_GBK" w:cs="Times New Roman"/>
          <w:color w:val="auto"/>
          <w:sz w:val="32"/>
          <w:szCs w:val="32"/>
          <w:lang w:val="en-US" w:eastAsia="zh-CN"/>
        </w:rPr>
        <w:t>坚持把学习贯彻习近平总书记来川视察重要指示精神作为当前及今后一段时期重要政治任务，组织动员全县各级党组织和广大党员干部先学一步、深学一层，整合用好“雅克先锋”流动党校、草原阿妈、姊妹宣讲团（队）力量，分乡分村组建成立37支摩托车、马背、双语宣讲团（队），依托村委会、便民服务点等活动阵地和微信、抖音等网络媒体，通过大会传达、集中宣讲、送学上门等方式，及时将习近平总书记各项指示要求传到基层、讲给群众。聚焦做好陈希同志来红原调研服务保障工作，认真确定并积极筹备县人民医院等4个调研点位，详细梳理抓党建促乡村振兴等工作情况并作专题汇报。调研结束后，认真对陈希同志调研提出重要指示要求系统梳理，提出贯彻落实意见，对照5个方面36条具体指示，拟定贯彻落实责任分工方案，明确重点、细化任务，真正做到指示要求事事有回应、件件有落实。</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cs="Times New Roman"/>
          <w:color w:val="auto"/>
          <w:sz w:val="32"/>
          <w:szCs w:val="32"/>
          <w:lang w:val="en-US" w:eastAsia="zh-CN"/>
        </w:rPr>
        <w:t xml:space="preserve">    </w:t>
      </w:r>
      <w:r>
        <w:rPr>
          <w:rFonts w:hint="default" w:ascii="Times New Roman" w:hAnsi="Times New Roman" w:eastAsia="方正楷体_GBK" w:cs="Times New Roman"/>
          <w:b/>
          <w:bCs w:val="0"/>
          <w:color w:val="auto"/>
          <w:sz w:val="32"/>
          <w:szCs w:val="32"/>
          <w:lang w:val="en-US" w:eastAsia="zh-CN"/>
        </w:rPr>
        <w:t>（三）持续推进基层组织建设实现新</w:t>
      </w:r>
      <w:r>
        <w:rPr>
          <w:rFonts w:hint="eastAsia" w:eastAsia="方正楷体_GBK" w:cs="Times New Roman"/>
          <w:b/>
          <w:bCs w:val="0"/>
          <w:color w:val="auto"/>
          <w:sz w:val="32"/>
          <w:szCs w:val="32"/>
          <w:lang w:val="en-US" w:eastAsia="zh-CN"/>
        </w:rPr>
        <w:t>发展</w:t>
      </w:r>
      <w:r>
        <w:rPr>
          <w:rFonts w:hint="default" w:ascii="Times New Roman" w:hAnsi="Times New Roman" w:eastAsia="方正楷体_GBK" w:cs="Times New Roman"/>
          <w:b/>
          <w:bCs w:val="0"/>
          <w:color w:val="auto"/>
          <w:sz w:val="32"/>
          <w:szCs w:val="32"/>
          <w:lang w:val="en-US" w:eastAsia="zh-CN"/>
        </w:rPr>
        <w:t>。</w:t>
      </w:r>
      <w:r>
        <w:rPr>
          <w:rFonts w:hint="default" w:ascii="方正仿宋_GBK" w:hAnsi="方正仿宋_GBK" w:eastAsia="方正仿宋_GBK" w:cs="方正仿宋_GBK"/>
          <w:b/>
          <w:bCs w:val="0"/>
          <w:color w:val="auto"/>
          <w:sz w:val="32"/>
          <w:szCs w:val="32"/>
          <w:lang w:val="en-US" w:eastAsia="zh-CN"/>
        </w:rPr>
        <w:t>一是</w:t>
      </w:r>
      <w:r>
        <w:rPr>
          <w:rFonts w:hint="eastAsia" w:ascii="方正仿宋_GBK" w:hAnsi="方正仿宋_GBK" w:eastAsia="方正仿宋_GBK" w:cs="方正仿宋_GBK"/>
          <w:b/>
          <w:bCs w:val="0"/>
          <w:color w:val="auto"/>
          <w:sz w:val="32"/>
          <w:szCs w:val="32"/>
          <w:lang w:val="en-US" w:eastAsia="zh-CN"/>
        </w:rPr>
        <w:t>坚持抓政治功能建设</w:t>
      </w:r>
      <w:r>
        <w:rPr>
          <w:rFonts w:hint="default" w:ascii="方正仿宋_GBK" w:hAnsi="方正仿宋_GBK" w:eastAsia="方正仿宋_GBK" w:cs="方正仿宋_GBK"/>
          <w:b/>
          <w:bCs w:val="0"/>
          <w:color w:val="auto"/>
          <w:sz w:val="32"/>
          <w:szCs w:val="32"/>
          <w:lang w:val="en-US" w:eastAsia="zh-CN"/>
        </w:rPr>
        <w:t>。</w:t>
      </w:r>
      <w:r>
        <w:rPr>
          <w:rFonts w:hint="default" w:ascii="Times New Roman" w:hAnsi="Times New Roman" w:eastAsia="方正仿宋_GBK" w:cs="Times New Roman"/>
          <w:color w:val="auto"/>
          <w:sz w:val="32"/>
          <w:szCs w:val="32"/>
          <w:lang w:val="en-US" w:eastAsia="zh-CN"/>
        </w:rPr>
        <w:t>聚焦主题主线，积极探索建立领导干部带头学、基层组织跟进学、线上教育持续学等</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val="en-US" w:eastAsia="zh-CN"/>
        </w:rPr>
        <w:t>种学习制度，</w:t>
      </w:r>
      <w:r>
        <w:rPr>
          <w:rFonts w:hint="eastAsia" w:ascii="Times New Roman" w:hAnsi="Times New Roman" w:eastAsia="方正仿宋_GBK" w:cs="Times New Roman"/>
          <w:color w:val="auto"/>
          <w:sz w:val="32"/>
          <w:szCs w:val="32"/>
          <w:lang w:val="en-US" w:eastAsia="zh-CN"/>
        </w:rPr>
        <w:t>持续推进“两学一做”学习教育常态化制度化，推动党史学习教育走深走实，引导全县党员干部学原文读原著悟原理，用理论学习滋养初心使命，</w:t>
      </w:r>
      <w:r>
        <w:rPr>
          <w:rFonts w:hint="default" w:ascii="Times New Roman" w:hAnsi="Times New Roman" w:eastAsia="方正仿宋_GBK" w:cs="Times New Roman"/>
          <w:color w:val="auto"/>
          <w:sz w:val="32"/>
          <w:szCs w:val="32"/>
          <w:lang w:val="en-US" w:eastAsia="zh-CN"/>
        </w:rPr>
        <w:t>不断筑牢“两个维护”“两个确立”思想根基。</w:t>
      </w:r>
      <w:r>
        <w:rPr>
          <w:rFonts w:hint="eastAsia" w:ascii="Times New Roman" w:hAnsi="Times New Roman" w:eastAsia="方正仿宋_GBK" w:cs="Times New Roman"/>
          <w:color w:val="auto"/>
          <w:sz w:val="32"/>
          <w:szCs w:val="32"/>
          <w:lang w:val="en-US" w:eastAsia="zh-CN"/>
        </w:rPr>
        <w:t>指导农村、机关等各领域党组织严格执行党内政治生活制度，从严落实</w:t>
      </w:r>
      <w:r>
        <w:rPr>
          <w:rFonts w:hint="default" w:ascii="Times New Roman" w:hAnsi="Times New Roman" w:eastAsia="方正仿宋_GBK" w:cs="Times New Roman"/>
          <w:color w:val="auto"/>
          <w:sz w:val="32"/>
          <w:szCs w:val="32"/>
          <w:lang w:val="en-US" w:eastAsia="zh-CN"/>
        </w:rPr>
        <w:t>“三会一课”、积分管理、谈心</w:t>
      </w:r>
      <w:r>
        <w:rPr>
          <w:rFonts w:hint="eastAsia" w:ascii="Times New Roman" w:hAnsi="Times New Roman" w:eastAsia="方正仿宋_GBK" w:cs="Times New Roman"/>
          <w:color w:val="auto"/>
          <w:sz w:val="32"/>
          <w:szCs w:val="32"/>
          <w:lang w:val="en-US" w:eastAsia="zh-CN"/>
        </w:rPr>
        <w:t>谈话</w:t>
      </w:r>
      <w:r>
        <w:rPr>
          <w:rFonts w:hint="default" w:ascii="Times New Roman" w:hAnsi="Times New Roman" w:eastAsia="方正仿宋_GBK" w:cs="Times New Roman"/>
          <w:color w:val="auto"/>
          <w:sz w:val="32"/>
          <w:szCs w:val="32"/>
          <w:lang w:val="en-US" w:eastAsia="zh-CN"/>
        </w:rPr>
        <w:t>、民主评议党员等制度，总结推广积分制管理、星级</w:t>
      </w:r>
      <w:r>
        <w:rPr>
          <w:rFonts w:hint="eastAsia" w:ascii="Times New Roman" w:hAnsi="Times New Roman" w:eastAsia="方正仿宋_GBK" w:cs="Times New Roman"/>
          <w:color w:val="auto"/>
          <w:sz w:val="32"/>
          <w:szCs w:val="32"/>
          <w:lang w:val="en-US" w:eastAsia="zh-CN"/>
        </w:rPr>
        <w:t>评定</w:t>
      </w:r>
      <w:r>
        <w:rPr>
          <w:rFonts w:hint="default" w:ascii="Times New Roman" w:hAnsi="Times New Roman" w:eastAsia="方正仿宋_GBK" w:cs="Times New Roman"/>
          <w:color w:val="auto"/>
          <w:sz w:val="32"/>
          <w:szCs w:val="32"/>
          <w:lang w:val="en-US" w:eastAsia="zh-CN"/>
        </w:rPr>
        <w:t>等</w:t>
      </w:r>
      <w:r>
        <w:rPr>
          <w:rFonts w:hint="eastAsia" w:ascii="Times New Roman" w:hAnsi="Times New Roman" w:eastAsia="方正仿宋_GBK" w:cs="Times New Roman"/>
          <w:color w:val="auto"/>
          <w:sz w:val="32"/>
          <w:szCs w:val="32"/>
          <w:lang w:val="en-US" w:eastAsia="zh-CN"/>
        </w:rPr>
        <w:t>经验做法，切实加强和规范党内政治生活。</w:t>
      </w:r>
      <w:r>
        <w:rPr>
          <w:rFonts w:hint="eastAsia" w:ascii="方正仿宋_GBK" w:hAnsi="方正仿宋_GBK" w:eastAsia="方正仿宋_GBK" w:cs="方正仿宋_GBK"/>
          <w:b/>
          <w:bCs w:val="0"/>
          <w:color w:val="auto"/>
          <w:sz w:val="32"/>
          <w:szCs w:val="32"/>
          <w:lang w:val="en-US" w:eastAsia="zh-CN"/>
        </w:rPr>
        <w:t>二是坚持抓组织体系建设。</w:t>
      </w:r>
      <w:r>
        <w:rPr>
          <w:rFonts w:hint="default" w:ascii="Times New Roman" w:hAnsi="Times New Roman" w:eastAsia="方正仿宋_GBK" w:cs="Times New Roman"/>
          <w:color w:val="auto"/>
          <w:sz w:val="32"/>
          <w:szCs w:val="32"/>
          <w:lang w:val="en-US" w:eastAsia="zh-CN"/>
        </w:rPr>
        <w:t>对全县基层党组织进行合理调整和划分，新成立党支部7个，撤销党支部1个，合并党支部1个</w:t>
      </w:r>
      <w:r>
        <w:rPr>
          <w:rFonts w:hint="eastAsia" w:ascii="Times New Roman" w:hAnsi="Times New Roman" w:eastAsia="方正仿宋_GBK" w:cs="Times New Roman"/>
          <w:color w:val="auto"/>
          <w:sz w:val="32"/>
          <w:szCs w:val="32"/>
          <w:lang w:val="en-US" w:eastAsia="zh-CN"/>
        </w:rPr>
        <w:t>。全县现有基层党组织195个，其中：党委19个，党总支4个，党支部172个</w:t>
      </w:r>
      <w:r>
        <w:rPr>
          <w:rFonts w:hint="default" w:ascii="Times New Roman" w:hAnsi="Times New Roman" w:eastAsia="方正仿宋_GBK" w:cs="Times New Roman"/>
          <w:color w:val="auto"/>
          <w:sz w:val="32"/>
          <w:szCs w:val="32"/>
          <w:lang w:val="en-US" w:eastAsia="zh-CN"/>
        </w:rPr>
        <w:t>。扎实开展</w:t>
      </w:r>
      <w:r>
        <w:rPr>
          <w:rFonts w:hint="eastAsia" w:ascii="Times New Roman" w:hAnsi="Times New Roman" w:eastAsia="方正仿宋_GBK" w:cs="Times New Roman"/>
          <w:color w:val="auto"/>
          <w:sz w:val="32"/>
          <w:szCs w:val="32"/>
          <w:lang w:val="en-US" w:eastAsia="zh-CN"/>
        </w:rPr>
        <w:t>乡村换届</w:t>
      </w:r>
      <w:r>
        <w:rPr>
          <w:rFonts w:hint="default" w:ascii="Times New Roman" w:hAnsi="Times New Roman" w:eastAsia="方正仿宋_GBK" w:cs="Times New Roman"/>
          <w:color w:val="auto"/>
          <w:sz w:val="32"/>
          <w:szCs w:val="32"/>
          <w:lang w:val="en-US" w:eastAsia="zh-CN"/>
        </w:rPr>
        <w:t>“回头看”，县级领导带头组建10个工作组</w:t>
      </w:r>
      <w:r>
        <w:rPr>
          <w:rFonts w:hint="eastAsia" w:ascii="Times New Roman" w:hAnsi="Times New Roman" w:eastAsia="方正仿宋_GBK" w:cs="Times New Roman"/>
          <w:color w:val="auto"/>
          <w:sz w:val="32"/>
          <w:szCs w:val="32"/>
          <w:lang w:val="en-US" w:eastAsia="zh-CN"/>
        </w:rPr>
        <w:t>回访调研、分析研判，</w:t>
      </w:r>
      <w:r>
        <w:rPr>
          <w:rFonts w:hint="default" w:ascii="Times New Roman" w:hAnsi="Times New Roman" w:eastAsia="方正仿宋_GBK" w:cs="Times New Roman"/>
          <w:color w:val="auto"/>
          <w:sz w:val="32"/>
          <w:szCs w:val="32"/>
          <w:lang w:val="en-US" w:eastAsia="zh-CN"/>
        </w:rPr>
        <w:t>认真梳理查摆突出问题5类</w:t>
      </w:r>
      <w:r>
        <w:rPr>
          <w:rFonts w:hint="eastAsia"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lang w:val="en-US" w:eastAsia="zh-CN"/>
        </w:rPr>
        <w:t>条，建立问题责任清单台账</w:t>
      </w:r>
      <w:r>
        <w:rPr>
          <w:rFonts w:hint="eastAsia" w:ascii="Times New Roman" w:hAnsi="Times New Roman" w:eastAsia="方正仿宋_GBK" w:cs="Times New Roman"/>
          <w:color w:val="auto"/>
          <w:sz w:val="32"/>
          <w:szCs w:val="32"/>
          <w:lang w:val="en-US" w:eastAsia="zh-CN"/>
        </w:rPr>
        <w:t>20</w:t>
      </w:r>
      <w:r>
        <w:rPr>
          <w:rFonts w:hint="default" w:ascii="Times New Roman" w:hAnsi="Times New Roman" w:eastAsia="方正仿宋_GBK" w:cs="Times New Roman"/>
          <w:color w:val="auto"/>
          <w:sz w:val="32"/>
          <w:szCs w:val="32"/>
          <w:lang w:val="en-US" w:eastAsia="zh-CN"/>
        </w:rPr>
        <w:t>本，梳理细化整改举措和意见建议</w:t>
      </w:r>
      <w:r>
        <w:rPr>
          <w:rFonts w:hint="eastAsia" w:ascii="Times New Roman" w:hAnsi="Times New Roman" w:eastAsia="方正仿宋_GBK" w:cs="Times New Roman"/>
          <w:color w:val="auto"/>
          <w:sz w:val="32"/>
          <w:szCs w:val="32"/>
          <w:lang w:val="en-US" w:eastAsia="zh-CN"/>
        </w:rPr>
        <w:t>13</w:t>
      </w:r>
      <w:r>
        <w:rPr>
          <w:rFonts w:hint="default" w:ascii="Times New Roman" w:hAnsi="Times New Roman" w:eastAsia="方正仿宋_GBK" w:cs="Times New Roman"/>
          <w:color w:val="auto"/>
          <w:sz w:val="32"/>
          <w:szCs w:val="32"/>
          <w:lang w:val="en-US" w:eastAsia="zh-CN"/>
        </w:rPr>
        <w:t>条，</w:t>
      </w:r>
      <w:r>
        <w:rPr>
          <w:rFonts w:hint="eastAsia" w:ascii="Times New Roman" w:hAnsi="Times New Roman" w:eastAsia="方正仿宋_GBK" w:cs="Times New Roman"/>
          <w:color w:val="auto"/>
          <w:sz w:val="32"/>
          <w:szCs w:val="32"/>
          <w:lang w:val="en-US" w:eastAsia="zh-CN"/>
        </w:rPr>
        <w:t>目前已完成全部问题整改</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深入开展新一轮乡村分类转化提升行动，</w:t>
      </w:r>
      <w:r>
        <w:rPr>
          <w:rFonts w:hint="default" w:ascii="Times New Roman" w:hAnsi="Times New Roman" w:eastAsia="方正仿宋_GBK" w:cs="Times New Roman"/>
          <w:color w:val="auto"/>
          <w:sz w:val="32"/>
          <w:szCs w:val="32"/>
          <w:lang w:val="en-US" w:eastAsia="zh-CN"/>
        </w:rPr>
        <w:t>按程序分类确定乡镇先进等次3个，一般等次7个；村（社区）先进等次6个，一般等次28个，后进等次1个。</w:t>
      </w:r>
      <w:r>
        <w:rPr>
          <w:rFonts w:hint="eastAsia" w:ascii="Times New Roman" w:hAnsi="Times New Roman" w:eastAsia="方正仿宋_GBK" w:cs="Times New Roman"/>
          <w:color w:val="auto"/>
          <w:sz w:val="32"/>
          <w:szCs w:val="32"/>
          <w:lang w:val="en-US" w:eastAsia="zh-CN"/>
        </w:rPr>
        <w:t>坚持“一乡一策”“一村一策”</w:t>
      </w:r>
      <w:r>
        <w:rPr>
          <w:rFonts w:hint="default" w:ascii="Times New Roman" w:hAnsi="Times New Roman" w:eastAsia="方正仿宋_GBK" w:cs="Times New Roman"/>
          <w:color w:val="auto"/>
          <w:sz w:val="32"/>
          <w:szCs w:val="32"/>
          <w:lang w:val="en-US" w:eastAsia="zh-CN"/>
        </w:rPr>
        <w:t>制定整改方案45个</w:t>
      </w:r>
      <w:r>
        <w:rPr>
          <w:rFonts w:hint="eastAsia" w:ascii="Times New Roman" w:hAnsi="Times New Roman" w:eastAsia="方正仿宋_GBK" w:cs="Times New Roman"/>
          <w:color w:val="auto"/>
          <w:sz w:val="32"/>
          <w:szCs w:val="32"/>
          <w:lang w:val="en-US" w:eastAsia="zh-CN"/>
        </w:rPr>
        <w:t>。实行县级领导包联制度，落实“后进村”“四个一”整顿措施，持续释放党组织核心引领效应，完善上下贯通、执行有力的组织体系，增强各领域基层党组织政治功能和组织力凝聚力。</w:t>
      </w:r>
      <w:r>
        <w:rPr>
          <w:rFonts w:hint="eastAsia" w:ascii="方正仿宋_GBK" w:hAnsi="方正仿宋_GBK" w:eastAsia="方正仿宋_GBK" w:cs="方正仿宋_GBK"/>
          <w:b/>
          <w:bCs w:val="0"/>
          <w:color w:val="auto"/>
          <w:sz w:val="32"/>
          <w:szCs w:val="32"/>
          <w:lang w:val="en-US" w:eastAsia="zh-CN"/>
        </w:rPr>
        <w:t>三是坚持抓服务能力建设。</w:t>
      </w:r>
      <w:r>
        <w:rPr>
          <w:rFonts w:hint="default" w:ascii="Times New Roman" w:hAnsi="Times New Roman" w:eastAsia="方正仿宋_GBK" w:cs="Times New Roman"/>
          <w:color w:val="auto"/>
          <w:sz w:val="32"/>
          <w:szCs w:val="32"/>
          <w:lang w:val="en-US" w:eastAsia="zh-CN"/>
        </w:rPr>
        <w:t>开展村级组织活动场所</w:t>
      </w:r>
      <w:r>
        <w:rPr>
          <w:rFonts w:hint="eastAsia" w:ascii="Times New Roman" w:hAnsi="Times New Roman" w:eastAsia="方正仿宋_GBK" w:cs="Times New Roman"/>
          <w:color w:val="auto"/>
          <w:sz w:val="32"/>
          <w:szCs w:val="32"/>
          <w:lang w:val="en-US" w:eastAsia="zh-CN"/>
        </w:rPr>
        <w:t>标识标牌</w:t>
      </w:r>
      <w:r>
        <w:rPr>
          <w:rFonts w:hint="default" w:ascii="Times New Roman" w:hAnsi="Times New Roman" w:eastAsia="方正仿宋_GBK" w:cs="Times New Roman"/>
          <w:color w:val="auto"/>
          <w:sz w:val="32"/>
          <w:szCs w:val="32"/>
          <w:lang w:val="en-US" w:eastAsia="zh-CN"/>
        </w:rPr>
        <w:t>“焕新”行动</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按照《阿坝州村活动场所“6+N”功能设置指导标准》，规范悬挂</w:t>
      </w:r>
      <w:r>
        <w:rPr>
          <w:rFonts w:hint="eastAsia" w:ascii="Times New Roman" w:hAnsi="Times New Roman" w:eastAsia="方正仿宋_GBK" w:cs="Times New Roman"/>
          <w:color w:val="auto"/>
          <w:sz w:val="32"/>
          <w:szCs w:val="32"/>
          <w:lang w:val="en-US" w:eastAsia="zh-CN"/>
        </w:rPr>
        <w:t>标识标牌299个</w:t>
      </w:r>
      <w:r>
        <w:rPr>
          <w:rFonts w:hint="default" w:ascii="Times New Roman" w:hAnsi="Times New Roman" w:eastAsia="方正仿宋_GBK" w:cs="Times New Roman"/>
          <w:color w:val="auto"/>
          <w:sz w:val="32"/>
          <w:szCs w:val="32"/>
          <w:lang w:val="en-US" w:eastAsia="zh-CN"/>
        </w:rPr>
        <w:t>。全面落实2022年基层组织活动和公共服务运行费用365万元，足额落实村干部工资报酬及保险待遇。</w:t>
      </w:r>
      <w:r>
        <w:rPr>
          <w:rFonts w:hint="eastAsia" w:ascii="Times New Roman" w:hAnsi="Times New Roman" w:eastAsia="方正仿宋_GBK" w:cs="Times New Roman"/>
          <w:color w:val="auto"/>
          <w:sz w:val="32"/>
          <w:szCs w:val="32"/>
          <w:lang w:val="en-US" w:eastAsia="zh-CN"/>
        </w:rPr>
        <w:t>充</w:t>
      </w:r>
      <w:r>
        <w:rPr>
          <w:rFonts w:hint="default" w:ascii="Times New Roman" w:hAnsi="Times New Roman" w:eastAsia="方正仿宋_GBK" w:cs="Times New Roman"/>
          <w:color w:val="auto"/>
          <w:sz w:val="32"/>
          <w:szCs w:val="32"/>
          <w:lang w:val="en-US" w:eastAsia="zh-CN"/>
        </w:rPr>
        <w:t>分发挥党组织的战斗堡垒作用和党员先锋模范作用，马尔康6.0级震群地震发生后，整合</w:t>
      </w:r>
      <w:r>
        <w:rPr>
          <w:rFonts w:hint="eastAsia" w:ascii="Times New Roman" w:hAnsi="Times New Roman" w:eastAsia="方正仿宋_GBK" w:cs="Times New Roman"/>
          <w:color w:val="auto"/>
          <w:sz w:val="32"/>
          <w:szCs w:val="32"/>
          <w:lang w:val="en-US" w:eastAsia="zh-CN"/>
        </w:rPr>
        <w:t>划拨</w:t>
      </w:r>
      <w:r>
        <w:rPr>
          <w:rFonts w:hint="default" w:ascii="Times New Roman" w:hAnsi="Times New Roman" w:eastAsia="方正仿宋_GBK" w:cs="Times New Roman"/>
          <w:color w:val="auto"/>
          <w:sz w:val="32"/>
          <w:szCs w:val="32"/>
          <w:lang w:val="en-US" w:eastAsia="zh-CN"/>
        </w:rPr>
        <w:t>省州县党费20万元</w:t>
      </w:r>
      <w:r>
        <w:rPr>
          <w:rFonts w:hint="eastAsia" w:ascii="Times New Roman" w:hAnsi="Times New Roman" w:eastAsia="方正仿宋_GBK" w:cs="Times New Roman"/>
          <w:color w:val="auto"/>
          <w:sz w:val="32"/>
          <w:szCs w:val="32"/>
          <w:lang w:val="en-US" w:eastAsia="zh-CN"/>
        </w:rPr>
        <w:t>用于疫情防控，</w:t>
      </w:r>
      <w:r>
        <w:rPr>
          <w:rFonts w:hint="default" w:ascii="Times New Roman" w:hAnsi="Times New Roman" w:eastAsia="方正仿宋_GBK" w:cs="Times New Roman"/>
          <w:color w:val="auto"/>
          <w:sz w:val="32"/>
          <w:szCs w:val="32"/>
          <w:lang w:val="en-US" w:eastAsia="zh-CN"/>
        </w:rPr>
        <w:t>749名党员组建志愿服务队40支，开展志愿服务活动187场次。全力参与疫情防控</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坚持“支部吹哨，党员报到”，组建临时党支部22个，800余名机关党员干部就地就近转为志愿者</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收集解决群众诉求</w:t>
      </w:r>
      <w:r>
        <w:rPr>
          <w:rFonts w:hint="eastAsia" w:ascii="Times New Roman" w:hAnsi="Times New Roman" w:eastAsia="方正仿宋_GBK" w:cs="Times New Roman"/>
          <w:color w:val="auto"/>
          <w:sz w:val="32"/>
          <w:szCs w:val="32"/>
          <w:lang w:val="en-US" w:eastAsia="zh-CN"/>
        </w:rPr>
        <w:t>2247</w:t>
      </w:r>
      <w:r>
        <w:rPr>
          <w:rFonts w:hint="default" w:ascii="Times New Roman" w:hAnsi="Times New Roman" w:eastAsia="方正仿宋_GBK" w:cs="Times New Roman"/>
          <w:color w:val="auto"/>
          <w:sz w:val="32"/>
          <w:szCs w:val="32"/>
          <w:lang w:val="en-US" w:eastAsia="zh-CN"/>
        </w:rPr>
        <w:t>件（次），切实让“党徽在群众中闪耀”。</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cs="Times New Roman"/>
          <w:color w:val="auto"/>
          <w:sz w:val="32"/>
          <w:szCs w:val="32"/>
          <w:lang w:val="en-US" w:eastAsia="zh-CN"/>
        </w:rPr>
        <w:t xml:space="preserve">    </w:t>
      </w:r>
      <w:r>
        <w:rPr>
          <w:rFonts w:hint="default" w:ascii="Times New Roman" w:hAnsi="Times New Roman" w:eastAsia="方正楷体_GBK" w:cs="Times New Roman"/>
          <w:b/>
          <w:bCs w:val="0"/>
          <w:color w:val="auto"/>
          <w:sz w:val="32"/>
          <w:szCs w:val="32"/>
          <w:lang w:val="en-US" w:eastAsia="zh-CN"/>
        </w:rPr>
        <w:t>（四）务实推动党员队伍建设取得新进展。</w:t>
      </w:r>
      <w:r>
        <w:rPr>
          <w:rFonts w:hint="default" w:ascii="Times New Roman" w:hAnsi="Times New Roman" w:eastAsia="方正仿宋_GBK" w:cs="Times New Roman"/>
          <w:b/>
          <w:bCs w:val="0"/>
          <w:color w:val="auto"/>
          <w:sz w:val="32"/>
          <w:szCs w:val="32"/>
          <w:lang w:val="en-US" w:eastAsia="zh-CN"/>
        </w:rPr>
        <w:t>一是抓实党员发展全过程。</w:t>
      </w:r>
      <w:r>
        <w:rPr>
          <w:rFonts w:hint="default" w:ascii="Times New Roman" w:hAnsi="Times New Roman" w:eastAsia="方正仿宋_GBK" w:cs="Times New Roman"/>
          <w:color w:val="auto"/>
          <w:sz w:val="32"/>
          <w:szCs w:val="32"/>
          <w:lang w:val="en-US" w:eastAsia="zh-CN"/>
        </w:rPr>
        <w:t>聚焦全县农村发展党员工作存在突出问题，主动思考、积极探索，逐条逐项分析研究，制定出台《关于规范牧区发展农村党员工作的十条措施》。按照全县发展党员计划，严把发展党员质量关，高质量高标准完成发展党员计划。今年以来</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新发展党员204名，储备入党积极分子478名。</w:t>
      </w:r>
      <w:r>
        <w:rPr>
          <w:rFonts w:hint="default" w:ascii="Times New Roman" w:hAnsi="Times New Roman" w:eastAsia="方正仿宋_GBK" w:cs="Times New Roman"/>
          <w:b/>
          <w:bCs w:val="0"/>
          <w:color w:val="auto"/>
          <w:sz w:val="32"/>
          <w:szCs w:val="32"/>
          <w:lang w:val="en-US" w:eastAsia="zh-CN"/>
        </w:rPr>
        <w:t>二是抓紧党员教育全流程。</w:t>
      </w:r>
      <w:r>
        <w:rPr>
          <w:rFonts w:hint="default" w:ascii="Times New Roman" w:hAnsi="Times New Roman" w:eastAsia="方正仿宋_GBK" w:cs="Times New Roman"/>
          <w:color w:val="auto"/>
          <w:sz w:val="32"/>
          <w:szCs w:val="32"/>
          <w:lang w:val="en-US" w:eastAsia="zh-CN"/>
        </w:rPr>
        <w:t>制定出台《关于进一步加强党员教育管理的八条措施》，有效整合藏汉“双语”理论师资，充分运用“组织生活”“红色资源”“联户联情”等载体，倾力打造政治课堂、红色课堂、群众课堂，强化基层党员教育质效。全覆盖开展换届后干部能力素质培训，今年以来，县内主训、乡镇培训227人次；依托帮扶地、高校资源，举办培训班10期覆盖582人次；300余名乡村干部外出考察学习。</w:t>
      </w:r>
      <w:r>
        <w:rPr>
          <w:rFonts w:hint="default" w:ascii="Times New Roman" w:hAnsi="Times New Roman" w:eastAsia="方正仿宋_GBK" w:cs="Times New Roman"/>
          <w:b/>
          <w:bCs w:val="0"/>
          <w:color w:val="auto"/>
          <w:sz w:val="32"/>
          <w:szCs w:val="32"/>
          <w:lang w:val="en-US" w:eastAsia="zh-CN"/>
        </w:rPr>
        <w:t>三是抓细党员管理全环节。</w:t>
      </w:r>
      <w:r>
        <w:rPr>
          <w:rFonts w:hint="default" w:ascii="Times New Roman" w:hAnsi="Times New Roman" w:eastAsia="方正仿宋_GBK" w:cs="Times New Roman"/>
          <w:color w:val="auto"/>
          <w:sz w:val="32"/>
          <w:szCs w:val="32"/>
          <w:lang w:val="en-US" w:eastAsia="zh-CN"/>
        </w:rPr>
        <w:t>完善积分评星办法，深入开展“戴党徽、亮身份、作表率”活动</w:t>
      </w:r>
      <w:r>
        <w:rPr>
          <w:rFonts w:hint="eastAsia" w:cs="Times New Roman"/>
          <w:color w:val="auto"/>
          <w:sz w:val="32"/>
          <w:szCs w:val="32"/>
          <w:lang w:val="en-US" w:eastAsia="zh-CN"/>
        </w:rPr>
        <w:t>，定期评选表扬成效突出、群众肯定、组织认可的党员干部</w:t>
      </w:r>
      <w:r>
        <w:rPr>
          <w:rFonts w:hint="default" w:ascii="Times New Roman" w:hAnsi="Times New Roman" w:eastAsia="方正仿宋_GBK" w:cs="Times New Roman"/>
          <w:color w:val="auto"/>
          <w:sz w:val="32"/>
          <w:szCs w:val="32"/>
          <w:lang w:val="en-US" w:eastAsia="zh-CN"/>
        </w:rPr>
        <w:t>。坚持乡村干部“一对一”联系对接，做好75名流出党员管理工作。实施村党组织带头人队伍优化提升行动， 开展乡村振兴“头雁培育”行动</w:t>
      </w:r>
      <w:r>
        <w:rPr>
          <w:rFonts w:hint="eastAsia"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动态储备村级后备力量213名，确定11名新发展党员为村级后备力量。建立党建工作纪实簿“季审阅、年督导”制度，完成3轮党支部“三会一课”等制度落实情况抽查、督查。</w:t>
      </w:r>
      <w:r>
        <w:rPr>
          <w:rFonts w:hint="default" w:ascii="Times New Roman" w:hAnsi="Times New Roman" w:eastAsia="方正仿宋_GBK" w:cs="Times New Roman"/>
          <w:b/>
          <w:bCs w:val="0"/>
          <w:color w:val="auto"/>
          <w:sz w:val="32"/>
          <w:szCs w:val="32"/>
          <w:lang w:val="en-US" w:eastAsia="zh-CN"/>
        </w:rPr>
        <w:t>四是抓好组织检视全链条。</w:t>
      </w:r>
      <w:r>
        <w:rPr>
          <w:rFonts w:hint="default" w:ascii="Times New Roman" w:hAnsi="Times New Roman" w:eastAsia="方正仿宋_GBK" w:cs="Times New Roman"/>
          <w:color w:val="auto"/>
          <w:sz w:val="32"/>
          <w:szCs w:val="32"/>
          <w:lang w:val="en-US" w:eastAsia="zh-CN"/>
        </w:rPr>
        <w:t>组建专项督查整改工作组精心谋划、全面部署、全力推动检视整改工作，深入走访党员干部群众230余人次，结合上级反馈和平时掌握问题清单，按时完成“乡镇卫生院有正式党员3人未及时成立党支部。”等问题</w:t>
      </w:r>
      <w:r>
        <w:rPr>
          <w:rFonts w:hint="eastAsia" w:cs="Times New Roman"/>
          <w:color w:val="auto"/>
          <w:sz w:val="32"/>
          <w:szCs w:val="32"/>
          <w:lang w:val="en-US" w:eastAsia="zh-CN"/>
        </w:rPr>
        <w:t>检视整改工作，</w:t>
      </w:r>
      <w:r>
        <w:rPr>
          <w:rFonts w:hint="default" w:ascii="Times New Roman" w:hAnsi="Times New Roman" w:eastAsia="方正仿宋_GBK" w:cs="Times New Roman"/>
          <w:color w:val="auto"/>
          <w:sz w:val="32"/>
          <w:szCs w:val="32"/>
          <w:lang w:val="en-US" w:eastAsia="zh-CN"/>
        </w:rPr>
        <w:t>有效规范党员归口管理和党组织规范设置。</w:t>
      </w:r>
      <w:r>
        <w:rPr>
          <w:rFonts w:hint="eastAsia" w:ascii="Times New Roman" w:hAnsi="Times New Roman" w:cs="Times New Roman"/>
          <w:b/>
          <w:bCs w:val="0"/>
          <w:color w:val="auto"/>
          <w:sz w:val="32"/>
          <w:szCs w:val="32"/>
          <w:lang w:val="en-US" w:eastAsia="zh-CN"/>
        </w:rPr>
        <w:t>五是抓牢</w:t>
      </w:r>
      <w:r>
        <w:rPr>
          <w:rFonts w:hint="default" w:ascii="Times New Roman" w:hAnsi="Times New Roman" w:eastAsia="方正仿宋_GBK" w:cs="Times New Roman"/>
          <w:b/>
          <w:bCs w:val="0"/>
          <w:color w:val="auto"/>
          <w:sz w:val="32"/>
          <w:szCs w:val="32"/>
          <w:lang w:val="en-US" w:eastAsia="zh-CN"/>
        </w:rPr>
        <w:t>网宣</w:t>
      </w:r>
      <w:r>
        <w:rPr>
          <w:rFonts w:hint="default" w:ascii="Times New Roman" w:hAnsi="Times New Roman" w:eastAsia="方正仿宋_GBK" w:cs="Times New Roman"/>
          <w:b/>
          <w:bCs w:val="0"/>
          <w:color w:val="auto"/>
          <w:sz w:val="32"/>
          <w:szCs w:val="32"/>
          <w:lang w:val="en-US"/>
        </w:rPr>
        <w:t>信息</w:t>
      </w:r>
      <w:r>
        <w:rPr>
          <w:rFonts w:hint="eastAsia" w:ascii="Times New Roman" w:hAnsi="Times New Roman" w:cs="Times New Roman"/>
          <w:b/>
          <w:bCs w:val="0"/>
          <w:color w:val="auto"/>
          <w:sz w:val="32"/>
          <w:szCs w:val="32"/>
          <w:lang w:val="en-US" w:eastAsia="zh-CN"/>
        </w:rPr>
        <w:t>全覆盖</w:t>
      </w:r>
      <w:r>
        <w:rPr>
          <w:rFonts w:hint="default" w:ascii="Times New Roman" w:hAnsi="Times New Roman" w:eastAsia="方正仿宋_GBK" w:cs="Times New Roman"/>
          <w:b/>
          <w:bCs w:val="0"/>
          <w:color w:val="auto"/>
          <w:sz w:val="32"/>
          <w:szCs w:val="32"/>
          <w:lang w:val="en-US" w:eastAsia="zh-CN"/>
        </w:rPr>
        <w:t>。</w:t>
      </w:r>
      <w:r>
        <w:rPr>
          <w:rFonts w:hint="default" w:ascii="Times New Roman" w:hAnsi="Times New Roman" w:eastAsia="方正仿宋_GBK" w:cs="Times New Roman"/>
          <w:color w:val="auto"/>
          <w:sz w:val="32"/>
          <w:szCs w:val="32"/>
          <w:lang w:val="en-US" w:eastAsia="zh-CN"/>
        </w:rPr>
        <w:t>突出发挥信息网宣工作</w:t>
      </w:r>
      <w:r>
        <w:rPr>
          <w:rFonts w:hint="default" w:ascii="Times New Roman" w:hAnsi="Times New Roman" w:eastAsia="方正仿宋_GBK" w:cs="Times New Roman"/>
          <w:color w:val="auto"/>
          <w:sz w:val="32"/>
          <w:szCs w:val="32"/>
          <w:lang w:val="en-US"/>
        </w:rPr>
        <w:t>凝聚发展正能量</w:t>
      </w:r>
      <w:r>
        <w:rPr>
          <w:rFonts w:hint="default" w:ascii="Times New Roman" w:hAnsi="Times New Roman" w:eastAsia="方正仿宋_GBK" w:cs="Times New Roman"/>
          <w:color w:val="auto"/>
          <w:sz w:val="32"/>
          <w:szCs w:val="32"/>
          <w:lang w:val="en-US" w:eastAsia="zh-CN"/>
        </w:rPr>
        <w:t>的功能作用，从各乡镇、县级部门精心筛选120名理论素养高、文字功底强的干部组建组工网宣队伍，定期分解下达组工信息和网宣材料撰写任务，严格稿件质量的督办把关，实现信息网宣工作量的提升和质的突破。截止目前，</w:t>
      </w:r>
      <w:r>
        <w:rPr>
          <w:rFonts w:hint="default" w:ascii="Times New Roman" w:hAnsi="Times New Roman" w:eastAsia="方正仿宋_GBK" w:cs="Times New Roman"/>
          <w:color w:val="auto"/>
          <w:sz w:val="32"/>
          <w:szCs w:val="32"/>
          <w:lang w:val="en-US"/>
        </w:rPr>
        <w:t>向各大主流媒体平台投稿组工信息和网宣信息</w:t>
      </w:r>
      <w:r>
        <w:rPr>
          <w:rFonts w:hint="default" w:ascii="Times New Roman" w:hAnsi="Times New Roman" w:eastAsia="方正仿宋_GBK" w:cs="Times New Roman"/>
          <w:color w:val="auto"/>
          <w:sz w:val="32"/>
          <w:szCs w:val="32"/>
          <w:lang w:val="en-US" w:eastAsia="zh-CN"/>
        </w:rPr>
        <w:t>453条</w:t>
      </w:r>
      <w:r>
        <w:rPr>
          <w:rFonts w:hint="default" w:ascii="Times New Roman" w:hAnsi="Times New Roman" w:eastAsia="方正仿宋_GBK" w:cs="Times New Roman"/>
          <w:color w:val="auto"/>
          <w:sz w:val="32"/>
          <w:szCs w:val="32"/>
          <w:lang w:val="en-US"/>
        </w:rPr>
        <w:t>，</w:t>
      </w:r>
      <w:r>
        <w:rPr>
          <w:rFonts w:hint="default" w:ascii="Times New Roman" w:hAnsi="Times New Roman" w:eastAsia="方正仿宋_GBK" w:cs="Times New Roman"/>
          <w:color w:val="auto"/>
          <w:sz w:val="32"/>
          <w:szCs w:val="32"/>
          <w:lang w:val="en-US" w:eastAsia="zh-CN"/>
        </w:rPr>
        <w:t>阿坝组工、四川党建、共产党员网等媒体采用271</w:t>
      </w:r>
      <w:r>
        <w:rPr>
          <w:rFonts w:hint="default" w:ascii="Times New Roman" w:hAnsi="Times New Roman" w:eastAsia="方正仿宋_GBK" w:cs="Times New Roman"/>
          <w:color w:val="auto"/>
          <w:sz w:val="32"/>
          <w:szCs w:val="32"/>
          <w:lang w:val="en-US"/>
        </w:rPr>
        <w:t>条</w:t>
      </w:r>
      <w:r>
        <w:rPr>
          <w:rFonts w:hint="default" w:ascii="Times New Roman" w:hAnsi="Times New Roman" w:eastAsia="方正仿宋_GBK" w:cs="Times New Roman"/>
          <w:color w:val="auto"/>
          <w:sz w:val="32"/>
          <w:szCs w:val="32"/>
          <w:lang w:val="en-US" w:eastAsia="zh-CN"/>
        </w:rPr>
        <w:t>，全县信息网宣工作从全州垫底迈入全州前列，并连续2次得到州委组织部肯定。</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cs="Times New Roman"/>
          <w:color w:val="auto"/>
          <w:sz w:val="32"/>
          <w:szCs w:val="32"/>
          <w:lang w:val="en-US" w:eastAsia="zh-CN"/>
        </w:rPr>
        <w:t xml:space="preserve">    </w:t>
      </w:r>
      <w:r>
        <w:rPr>
          <w:rFonts w:hint="default" w:ascii="Times New Roman" w:hAnsi="Times New Roman" w:eastAsia="方正楷体_GBK" w:cs="Times New Roman"/>
          <w:b/>
          <w:bCs w:val="0"/>
          <w:color w:val="auto"/>
          <w:sz w:val="32"/>
          <w:szCs w:val="32"/>
          <w:lang w:val="en-US" w:eastAsia="zh-CN"/>
        </w:rPr>
        <w:t>（</w:t>
      </w:r>
      <w:r>
        <w:rPr>
          <w:rFonts w:hint="eastAsia" w:eastAsia="方正楷体_GBK" w:cs="Times New Roman"/>
          <w:b/>
          <w:bCs w:val="0"/>
          <w:color w:val="auto"/>
          <w:sz w:val="32"/>
          <w:szCs w:val="32"/>
          <w:lang w:val="en-US" w:eastAsia="zh-CN"/>
        </w:rPr>
        <w:t>五</w:t>
      </w:r>
      <w:r>
        <w:rPr>
          <w:rFonts w:hint="default" w:ascii="Times New Roman" w:hAnsi="Times New Roman" w:eastAsia="方正楷体_GBK" w:cs="Times New Roman"/>
          <w:b/>
          <w:bCs w:val="0"/>
          <w:color w:val="auto"/>
          <w:sz w:val="32"/>
          <w:szCs w:val="32"/>
          <w:lang w:val="en-US" w:eastAsia="zh-CN"/>
        </w:rPr>
        <w:t>）奋力开启抓党建促乡村振兴新局面。</w:t>
      </w:r>
      <w:r>
        <w:rPr>
          <w:rFonts w:hint="eastAsia" w:ascii="Times New Roman" w:hAnsi="Times New Roman" w:eastAsia="方正仿宋_GBK" w:cs="Times New Roman"/>
          <w:b/>
          <w:bCs w:val="0"/>
          <w:color w:val="auto"/>
          <w:sz w:val="32"/>
          <w:szCs w:val="32"/>
          <w:lang w:val="en-US" w:eastAsia="zh-CN"/>
        </w:rPr>
        <w:t>一是</w:t>
      </w:r>
      <w:r>
        <w:rPr>
          <w:rFonts w:hint="default" w:ascii="Times New Roman" w:hAnsi="Times New Roman" w:eastAsia="方正仿宋_GBK" w:cs="Times New Roman"/>
          <w:b/>
          <w:bCs w:val="0"/>
          <w:color w:val="auto"/>
          <w:sz w:val="32"/>
          <w:szCs w:val="32"/>
          <w:lang w:val="en-US" w:eastAsia="zh-CN"/>
        </w:rPr>
        <w:t>党建引领基层治理</w:t>
      </w:r>
      <w:r>
        <w:rPr>
          <w:rFonts w:hint="eastAsia" w:ascii="Times New Roman" w:hAnsi="Times New Roman" w:cs="Times New Roman"/>
          <w:b/>
          <w:bCs w:val="0"/>
          <w:color w:val="auto"/>
          <w:sz w:val="32"/>
          <w:szCs w:val="32"/>
          <w:lang w:val="en-US" w:eastAsia="zh-CN"/>
        </w:rPr>
        <w:t>取得新突破</w:t>
      </w:r>
      <w:r>
        <w:rPr>
          <w:rFonts w:hint="default" w:ascii="Times New Roman" w:hAnsi="Times New Roman" w:eastAsia="方正仿宋_GBK" w:cs="Times New Roman"/>
          <w:b/>
          <w:bCs w:val="0"/>
          <w:color w:val="auto"/>
          <w:sz w:val="32"/>
          <w:szCs w:val="32"/>
          <w:lang w:val="en-US" w:eastAsia="zh-CN"/>
        </w:rPr>
        <w:t>。</w:t>
      </w:r>
      <w:r>
        <w:rPr>
          <w:rFonts w:hint="default" w:ascii="Times New Roman" w:hAnsi="Times New Roman" w:eastAsia="方正仿宋_GBK" w:cs="Times New Roman"/>
          <w:color w:val="auto"/>
          <w:sz w:val="32"/>
          <w:szCs w:val="32"/>
          <w:lang w:val="en-US" w:eastAsia="zh-CN"/>
        </w:rPr>
        <w:t>优化调整17个城市社区网格布局，大力推动各类网格整合，实现“多网合一、一网运行”。完善网格运行机制，常态开展岗位培训等提能活动，集中学习</w:t>
      </w:r>
      <w:r>
        <w:rPr>
          <w:rFonts w:hint="default" w:ascii="Times New Roman" w:hAnsi="Times New Roman" w:eastAsia="方正仿宋_GBK" w:cs="Times New Roman"/>
          <w:color w:val="auto"/>
          <w:sz w:val="32"/>
          <w:szCs w:val="32"/>
          <w:lang w:val="en-US"/>
        </w:rPr>
        <w:t>推广“十户长”经验</w:t>
      </w:r>
      <w:r>
        <w:rPr>
          <w:rFonts w:hint="default" w:ascii="Times New Roman" w:hAnsi="Times New Roman" w:eastAsia="方正仿宋_GBK" w:cs="Times New Roman"/>
          <w:color w:val="auto"/>
          <w:sz w:val="32"/>
          <w:szCs w:val="32"/>
          <w:lang w:val="en-US" w:eastAsia="zh-CN"/>
        </w:rPr>
        <w:t>，大力</w:t>
      </w:r>
      <w:r>
        <w:rPr>
          <w:rFonts w:hint="default" w:ascii="Times New Roman" w:hAnsi="Times New Roman" w:eastAsia="方正仿宋_GBK" w:cs="Times New Roman"/>
          <w:color w:val="auto"/>
          <w:sz w:val="32"/>
          <w:szCs w:val="32"/>
          <w:lang w:val="en-US"/>
        </w:rPr>
        <w:t>推动党员兼任网格长、楼栋长，发挥党员在基层治理末梢单元骨干作用。</w:t>
      </w:r>
      <w:r>
        <w:rPr>
          <w:rFonts w:hint="default" w:ascii="Times New Roman" w:hAnsi="Times New Roman" w:eastAsia="方正仿宋_GBK" w:cs="Times New Roman"/>
          <w:color w:val="auto"/>
          <w:sz w:val="32"/>
          <w:szCs w:val="32"/>
          <w:lang w:val="en-US" w:eastAsia="zh-CN"/>
        </w:rPr>
        <w:t>规范社区专职工作者管理，完善社区专职工作者岗位等级序列和薪酬体系，鼓励报考公务员、事业人员考试，拓宽职业发展空间</w:t>
      </w:r>
      <w:r>
        <w:rPr>
          <w:rFonts w:hint="eastAsia" w:ascii="Times New Roman" w:hAnsi="Times New Roman" w:cs="Times New Roman"/>
          <w:color w:val="auto"/>
          <w:sz w:val="32"/>
          <w:szCs w:val="32"/>
          <w:lang w:val="en-US" w:eastAsia="zh-CN"/>
        </w:rPr>
        <w:t>，今年招聘社区疫情防控排查社工岗21名。</w:t>
      </w:r>
      <w:r>
        <w:rPr>
          <w:rFonts w:hint="default" w:ascii="Times New Roman" w:hAnsi="Times New Roman" w:eastAsia="方正仿宋_GBK" w:cs="Times New Roman"/>
          <w:color w:val="auto"/>
          <w:sz w:val="32"/>
          <w:szCs w:val="32"/>
          <w:lang w:val="en-US" w:eastAsia="zh-CN"/>
        </w:rPr>
        <w:t>高标准推进邛溪镇玉龙社区、瑞庆社区党群服务中心亲民化改造，将党建、治理、服务多种功能向党群服务中心整合集中，让治理有力有效有温度</w:t>
      </w:r>
      <w:r>
        <w:rPr>
          <w:rFonts w:hint="default" w:ascii="Times New Roman" w:hAnsi="Times New Roman" w:eastAsia="方正仿宋_GBK" w:cs="Times New Roman"/>
          <w:color w:val="auto"/>
          <w:sz w:val="32"/>
          <w:szCs w:val="32"/>
          <w:lang w:val="en-US"/>
        </w:rPr>
        <w:t>。</w:t>
      </w:r>
      <w:r>
        <w:rPr>
          <w:rFonts w:hint="default" w:ascii="Times New Roman" w:hAnsi="Times New Roman" w:eastAsia="方正仿宋_GBK" w:cs="Times New Roman"/>
          <w:b/>
          <w:bCs w:val="0"/>
          <w:color w:val="auto"/>
          <w:sz w:val="32"/>
          <w:szCs w:val="32"/>
          <w:lang w:val="en-US" w:eastAsia="zh-CN"/>
        </w:rPr>
        <w:t>二是驻村工作队伍展现新活力。</w:t>
      </w:r>
      <w:r>
        <w:rPr>
          <w:rFonts w:hint="default" w:ascii="Times New Roman" w:hAnsi="Times New Roman" w:eastAsia="方正仿宋_GBK" w:cs="Times New Roman"/>
          <w:color w:val="auto"/>
          <w:sz w:val="32"/>
          <w:szCs w:val="32"/>
          <w:lang w:val="en-US" w:eastAsia="zh-CN"/>
        </w:rPr>
        <w:t>进一步细化完善驻村干部管理办法，严格实行驻村工作月调度、季座谈、半年总结工作制度，组织</w:t>
      </w:r>
      <w:r>
        <w:rPr>
          <w:rFonts w:hint="default" w:ascii="Times New Roman" w:hAnsi="Times New Roman" w:eastAsia="方正仿宋_GBK" w:cs="Times New Roman"/>
          <w:color w:val="auto"/>
          <w:sz w:val="32"/>
          <w:szCs w:val="32"/>
          <w:lang w:val="en-US"/>
        </w:rPr>
        <w:t>召开</w:t>
      </w:r>
      <w:r>
        <w:rPr>
          <w:rFonts w:hint="default" w:ascii="Times New Roman" w:hAnsi="Times New Roman" w:eastAsia="方正仿宋_GBK" w:cs="Times New Roman"/>
          <w:color w:val="auto"/>
          <w:sz w:val="32"/>
          <w:szCs w:val="32"/>
          <w:lang w:val="en-US" w:eastAsia="zh-CN"/>
        </w:rPr>
        <w:t>3次</w:t>
      </w:r>
      <w:r>
        <w:rPr>
          <w:rFonts w:hint="default" w:ascii="Times New Roman" w:hAnsi="Times New Roman" w:eastAsia="方正仿宋_GBK" w:cs="Times New Roman"/>
          <w:color w:val="auto"/>
          <w:sz w:val="32"/>
          <w:szCs w:val="32"/>
          <w:lang w:val="en-US"/>
        </w:rPr>
        <w:t>驻村</w:t>
      </w:r>
      <w:r>
        <w:rPr>
          <w:rFonts w:hint="default" w:ascii="Times New Roman" w:hAnsi="Times New Roman" w:eastAsia="方正仿宋_GBK" w:cs="Times New Roman"/>
          <w:color w:val="auto"/>
          <w:sz w:val="32"/>
          <w:szCs w:val="32"/>
          <w:lang w:val="en-US" w:eastAsia="zh-CN"/>
        </w:rPr>
        <w:t>第一书记季度</w:t>
      </w:r>
      <w:r>
        <w:rPr>
          <w:rFonts w:hint="default" w:ascii="Times New Roman" w:hAnsi="Times New Roman" w:eastAsia="方正仿宋_GBK" w:cs="Times New Roman"/>
          <w:color w:val="auto"/>
          <w:sz w:val="32"/>
          <w:szCs w:val="32"/>
          <w:lang w:val="en-US"/>
        </w:rPr>
        <w:t>座谈会</w:t>
      </w:r>
      <w:r>
        <w:rPr>
          <w:rFonts w:hint="default" w:ascii="Times New Roman" w:hAnsi="Times New Roman" w:eastAsia="方正仿宋_GBK" w:cs="Times New Roman"/>
          <w:color w:val="auto"/>
          <w:sz w:val="32"/>
          <w:szCs w:val="32"/>
          <w:lang w:val="en-US" w:eastAsia="zh-CN"/>
        </w:rPr>
        <w:t>。结合开展干部作风大整顿，规范驻村干部日常考勤、请销假备案制度，现场督查、电话调度抽查在岗情况14次，点对点印发问题整改通知6份、工作提示单18份。按程序轮换第一书记和驻村工作队员5人，精心举办1期提能培训班覆盖46人，有效提升驻村干部引领带动、综合服务能力。</w:t>
      </w:r>
      <w:r>
        <w:rPr>
          <w:rFonts w:hint="default" w:ascii="Times New Roman" w:hAnsi="Times New Roman" w:eastAsia="方正仿宋_GBK" w:cs="Times New Roman"/>
          <w:b/>
          <w:bCs w:val="0"/>
          <w:color w:val="auto"/>
          <w:sz w:val="32"/>
          <w:szCs w:val="32"/>
          <w:lang w:val="en-US" w:eastAsia="zh-CN"/>
        </w:rPr>
        <w:t>三是集体经济发展实现新提升。</w:t>
      </w:r>
      <w:r>
        <w:rPr>
          <w:rFonts w:hint="default" w:ascii="Times New Roman" w:hAnsi="Times New Roman" w:eastAsia="方正仿宋_GBK" w:cs="Times New Roman"/>
          <w:color w:val="auto"/>
          <w:sz w:val="32"/>
          <w:szCs w:val="32"/>
          <w:lang w:val="en-US" w:eastAsia="zh-CN"/>
        </w:rPr>
        <w:t>大力推广“支部+合作社+牧户”的村集体经济运营模式，认真提炼总结村集体经济发展经验做法，撰写形成11篇经验信息。充分借助中省扶持村项目带动优势，积极培育牧旅融合发展的新型集体经济发展模式，成功打造热坤村“隐丛”民宿酒店、德香村悠牧部落等10余个独具特色、收益明显的村集体经济，带动建成上规模的党员示范户牧家乐20余家，542户牧户813名富余劳动力转产成为商户和经营者，集体经济引领带动群众增收致富成效持续提升。</w:t>
      </w:r>
      <w:r>
        <w:rPr>
          <w:rFonts w:hint="default" w:ascii="Times New Roman" w:hAnsi="Times New Roman" w:eastAsia="方正仿宋_GBK" w:cs="Times New Roman"/>
          <w:b/>
          <w:bCs w:val="0"/>
          <w:color w:val="auto"/>
          <w:sz w:val="32"/>
          <w:szCs w:val="32"/>
          <w:lang w:val="en-US" w:eastAsia="zh-CN"/>
        </w:rPr>
        <w:t>四是“联户联情”工作取得新成效。</w:t>
      </w:r>
      <w:r>
        <w:rPr>
          <w:rFonts w:hint="default" w:ascii="Times New Roman" w:hAnsi="Times New Roman" w:eastAsia="方正仿宋_GBK" w:cs="Times New Roman"/>
          <w:color w:val="auto"/>
          <w:sz w:val="32"/>
          <w:szCs w:val="32"/>
          <w:lang w:val="en-US" w:eastAsia="zh-CN"/>
        </w:rPr>
        <w:t>制定出台《关于进一步深入深化“联户联情”群众工作的实施方案》，整合353名乡镇机关干部、46名驻村干部、183名村（社区）“两委”干部、463名村民小组长以及部分离退休干部、农村“三老人员”力量，分村组建35支群众工作组，按需设置劝导员、巡逻员等6个工作岗，实行台账式动态管理、24小时备勤候命。动态更新完善“联户联情”群众工作台账和群众工作力量台账，紧盯</w:t>
      </w:r>
      <w:r>
        <w:rPr>
          <w:rFonts w:hint="default" w:ascii="Times New Roman" w:hAnsi="Times New Roman" w:eastAsia="方正仿宋_GBK" w:cs="Times New Roman"/>
          <w:color w:val="auto"/>
          <w:sz w:val="32"/>
          <w:szCs w:val="32"/>
          <w:lang w:val="en-US"/>
        </w:rPr>
        <w:t>维稳</w:t>
      </w:r>
      <w:r>
        <w:rPr>
          <w:rFonts w:hint="default" w:ascii="Times New Roman" w:hAnsi="Times New Roman" w:eastAsia="方正仿宋_GBK" w:cs="Times New Roman"/>
          <w:color w:val="auto"/>
          <w:sz w:val="32"/>
          <w:szCs w:val="32"/>
          <w:lang w:val="en-US" w:eastAsia="zh-CN"/>
        </w:rPr>
        <w:t>敏感、党的二十大</w:t>
      </w:r>
      <w:r>
        <w:rPr>
          <w:rFonts w:hint="default" w:ascii="Times New Roman" w:hAnsi="Times New Roman" w:cs="Times New Roman"/>
          <w:color w:val="auto"/>
          <w:sz w:val="32"/>
          <w:szCs w:val="32"/>
          <w:lang w:val="en-US" w:eastAsia="zh-CN"/>
        </w:rPr>
        <w:t>召开</w:t>
      </w:r>
      <w:r>
        <w:rPr>
          <w:rFonts w:hint="default" w:ascii="Times New Roman" w:hAnsi="Times New Roman" w:eastAsia="方正仿宋_GBK" w:cs="Times New Roman"/>
          <w:color w:val="auto"/>
          <w:sz w:val="32"/>
          <w:szCs w:val="32"/>
          <w:lang w:val="en-US" w:eastAsia="zh-CN"/>
        </w:rPr>
        <w:t>等重要节点，截止目前，已报送群众工作动态84期、舆情信息120余条。</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76" w:lineRule="exact"/>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cs="Times New Roman"/>
          <w:color w:val="auto"/>
          <w:sz w:val="32"/>
          <w:szCs w:val="32"/>
          <w:lang w:val="en-US" w:eastAsia="zh-CN"/>
        </w:rPr>
        <w:t xml:space="preserve">    </w:t>
      </w:r>
      <w:r>
        <w:rPr>
          <w:rFonts w:hint="eastAsia" w:ascii="方正楷体_GBK" w:hAnsi="方正楷体_GBK" w:eastAsia="方正楷体_GBK" w:cs="方正楷体_GBK"/>
          <w:b/>
          <w:bCs/>
          <w:color w:val="auto"/>
          <w:kern w:val="2"/>
          <w:sz w:val="32"/>
          <w:szCs w:val="32"/>
          <w:highlight w:val="none"/>
          <w:lang w:val="en-US" w:eastAsia="zh-CN" w:bidi="ar-SA"/>
        </w:rPr>
        <w:t>（六）坚持严管厚爱原则，让“能上能下”激发担当作为。</w:t>
      </w:r>
      <w:r>
        <w:rPr>
          <w:rFonts w:hint="default" w:ascii="Times New Roman" w:hAnsi="Times New Roman" w:eastAsia="方正仿宋_GBK" w:cs="Times New Roman"/>
          <w:b/>
          <w:bCs/>
          <w:color w:val="auto"/>
          <w:kern w:val="0"/>
          <w:sz w:val="32"/>
          <w:szCs w:val="32"/>
          <w:highlight w:val="none"/>
          <w:lang w:val="en-US" w:eastAsia="zh-CN" w:bidi="ar-SA"/>
        </w:rPr>
        <w:t>一是</w:t>
      </w:r>
      <w:r>
        <w:rPr>
          <w:rFonts w:hint="eastAsia" w:ascii="Times New Roman" w:hAnsi="Times New Roman" w:eastAsia="方正仿宋_GBK" w:cs="Times New Roman"/>
          <w:b/>
          <w:bCs/>
          <w:color w:val="auto"/>
          <w:kern w:val="0"/>
          <w:sz w:val="32"/>
          <w:szCs w:val="32"/>
          <w:highlight w:val="none"/>
          <w:lang w:val="en-US" w:eastAsia="zh-CN" w:bidi="ar-SA"/>
        </w:rPr>
        <w:t>大胆使用。</w:t>
      </w:r>
      <w:r>
        <w:rPr>
          <w:rFonts w:hint="eastAsia" w:ascii="Times New Roman" w:hAnsi="Times New Roman" w:cs="Times New Roman"/>
          <w:b w:val="0"/>
          <w:bCs w:val="0"/>
          <w:color w:val="auto"/>
          <w:kern w:val="0"/>
          <w:sz w:val="32"/>
          <w:szCs w:val="32"/>
          <w:highlight w:val="none"/>
          <w:lang w:val="en-US" w:eastAsia="zh-CN" w:bidi="ar-SA"/>
        </w:rPr>
        <w:t>今年</w:t>
      </w:r>
      <w:r>
        <w:rPr>
          <w:rFonts w:hint="eastAsia" w:ascii="Times New Roman" w:hAnsi="Times New Roman" w:eastAsia="方正仿宋_GBK" w:cs="Times New Roman"/>
          <w:b w:val="0"/>
          <w:bCs w:val="0"/>
          <w:color w:val="auto"/>
          <w:kern w:val="0"/>
          <w:sz w:val="32"/>
          <w:szCs w:val="32"/>
          <w:highlight w:val="none"/>
          <w:lang w:val="en-US" w:eastAsia="zh-CN" w:bidi="ar-SA"/>
        </w:rPr>
        <w:t>以来，提拔使用6</w:t>
      </w:r>
      <w:r>
        <w:rPr>
          <w:rFonts w:hint="eastAsia" w:ascii="Times New Roman" w:hAnsi="Times New Roman" w:cs="Times New Roman"/>
          <w:b w:val="0"/>
          <w:bCs w:val="0"/>
          <w:color w:val="auto"/>
          <w:kern w:val="0"/>
          <w:sz w:val="32"/>
          <w:szCs w:val="32"/>
          <w:highlight w:val="none"/>
          <w:lang w:val="en-US" w:eastAsia="zh-CN" w:bidi="ar-SA"/>
        </w:rPr>
        <w:t>1</w:t>
      </w:r>
      <w:r>
        <w:rPr>
          <w:rFonts w:hint="eastAsia" w:ascii="Times New Roman" w:hAnsi="Times New Roman" w:eastAsia="方正仿宋_GBK" w:cs="Times New Roman"/>
          <w:b w:val="0"/>
          <w:bCs w:val="0"/>
          <w:color w:val="auto"/>
          <w:kern w:val="0"/>
          <w:sz w:val="32"/>
          <w:szCs w:val="32"/>
          <w:highlight w:val="none"/>
          <w:lang w:val="en-US" w:eastAsia="zh-CN" w:bidi="ar-SA"/>
        </w:rPr>
        <w:t>名在</w:t>
      </w:r>
      <w:r>
        <w:rPr>
          <w:rFonts w:hint="default" w:ascii="Times New Roman" w:hAnsi="Times New Roman" w:eastAsia="方正仿宋_GBK" w:cs="Times New Roman"/>
          <w:b w:val="0"/>
          <w:bCs w:val="0"/>
          <w:color w:val="auto"/>
          <w:kern w:val="0"/>
          <w:sz w:val="32"/>
          <w:szCs w:val="32"/>
          <w:highlight w:val="none"/>
          <w:lang w:val="en-US" w:eastAsia="zh-CN" w:bidi="ar-SA"/>
        </w:rPr>
        <w:t>基层一线实绩突出、群众认可的</w:t>
      </w:r>
      <w:r>
        <w:rPr>
          <w:rFonts w:hint="eastAsia" w:ascii="Times New Roman" w:hAnsi="Times New Roman" w:eastAsia="方正仿宋_GBK" w:cs="Times New Roman"/>
          <w:b w:val="0"/>
          <w:bCs w:val="0"/>
          <w:color w:val="auto"/>
          <w:kern w:val="0"/>
          <w:sz w:val="32"/>
          <w:szCs w:val="32"/>
          <w:highlight w:val="none"/>
          <w:lang w:val="en-US" w:eastAsia="zh-CN" w:bidi="ar-SA"/>
        </w:rPr>
        <w:t>优秀</w:t>
      </w:r>
      <w:r>
        <w:rPr>
          <w:rFonts w:hint="default" w:ascii="Times New Roman" w:hAnsi="Times New Roman" w:eastAsia="方正仿宋_GBK" w:cs="Times New Roman"/>
          <w:b w:val="0"/>
          <w:bCs w:val="0"/>
          <w:color w:val="auto"/>
          <w:kern w:val="0"/>
          <w:sz w:val="32"/>
          <w:szCs w:val="32"/>
          <w:highlight w:val="none"/>
          <w:lang w:val="en-US" w:eastAsia="zh-CN" w:bidi="ar-SA"/>
        </w:rPr>
        <w:t>干部</w:t>
      </w:r>
      <w:r>
        <w:rPr>
          <w:rFonts w:hint="eastAsia" w:ascii="Times New Roman" w:hAnsi="Times New Roman" w:eastAsia="方正仿宋_GBK" w:cs="Times New Roman"/>
          <w:b w:val="0"/>
          <w:bCs w:val="0"/>
          <w:color w:val="auto"/>
          <w:kern w:val="0"/>
          <w:sz w:val="32"/>
          <w:szCs w:val="32"/>
          <w:highlight w:val="none"/>
          <w:lang w:val="en-US" w:eastAsia="zh-CN" w:bidi="ar-SA"/>
        </w:rPr>
        <w:t>。释放出干得好就上的明确信号。</w:t>
      </w:r>
      <w:r>
        <w:rPr>
          <w:rFonts w:hint="eastAsia" w:ascii="Times New Roman" w:hAnsi="Times New Roman" w:eastAsia="方正仿宋_GBK" w:cs="Times New Roman"/>
          <w:b/>
          <w:bCs/>
          <w:color w:val="auto"/>
          <w:kern w:val="0"/>
          <w:sz w:val="32"/>
          <w:szCs w:val="32"/>
          <w:highlight w:val="none"/>
          <w:lang w:val="en-US" w:eastAsia="zh-CN" w:bidi="ar-SA"/>
        </w:rPr>
        <w:t>二是敢于“放下”。</w:t>
      </w:r>
      <w:r>
        <w:rPr>
          <w:rFonts w:hint="eastAsia" w:ascii="Times New Roman" w:hAnsi="Times New Roman" w:eastAsia="方正仿宋_GBK" w:cs="Times New Roman"/>
          <w:b w:val="0"/>
          <w:bCs w:val="0"/>
          <w:color w:val="auto"/>
          <w:kern w:val="0"/>
          <w:sz w:val="32"/>
          <w:szCs w:val="32"/>
          <w:highlight w:val="none"/>
          <w:lang w:val="en-US" w:eastAsia="zh-CN" w:bidi="ar-SA"/>
        </w:rPr>
        <w:t>对5名工作能力较弱、不适宜担任“一把手”的正科级领导干部降为副科级；对32名年龄偏大、激情不足和身体欠佳、无法正常履职的干部进行免职；对1名干部群众反映较差的拟晋升职员等级人员及时“放下”。进一步增强干部队伍生机与活力，推动</w:t>
      </w:r>
      <w:r>
        <w:rPr>
          <w:rFonts w:hint="default" w:ascii="Times New Roman" w:hAnsi="Times New Roman" w:eastAsia="方正仿宋_GBK" w:cs="Times New Roman"/>
          <w:b w:val="0"/>
          <w:bCs w:val="0"/>
          <w:color w:val="auto"/>
          <w:kern w:val="0"/>
          <w:sz w:val="32"/>
          <w:szCs w:val="32"/>
          <w:highlight w:val="none"/>
          <w:lang w:val="en-US" w:eastAsia="zh-CN" w:bidi="ar-SA"/>
        </w:rPr>
        <w:t>形成能者上、</w:t>
      </w:r>
      <w:r>
        <w:rPr>
          <w:rFonts w:hint="eastAsia" w:ascii="Times New Roman" w:hAnsi="Times New Roman" w:eastAsia="方正仿宋_GBK" w:cs="Times New Roman"/>
          <w:b w:val="0"/>
          <w:bCs w:val="0"/>
          <w:color w:val="auto"/>
          <w:kern w:val="0"/>
          <w:sz w:val="32"/>
          <w:szCs w:val="32"/>
          <w:highlight w:val="none"/>
          <w:lang w:val="en-US" w:eastAsia="zh-CN" w:bidi="ar-SA"/>
        </w:rPr>
        <w:t>优者奖、</w:t>
      </w:r>
      <w:r>
        <w:rPr>
          <w:rFonts w:hint="default" w:ascii="Times New Roman" w:hAnsi="Times New Roman" w:eastAsia="方正仿宋_GBK" w:cs="Times New Roman"/>
          <w:b w:val="0"/>
          <w:bCs w:val="0"/>
          <w:color w:val="auto"/>
          <w:kern w:val="0"/>
          <w:sz w:val="32"/>
          <w:szCs w:val="32"/>
          <w:highlight w:val="none"/>
          <w:lang w:val="en-US" w:eastAsia="zh-CN" w:bidi="ar-SA"/>
        </w:rPr>
        <w:t>庸者下、劣者汰的用人导向。</w:t>
      </w:r>
      <w:r>
        <w:rPr>
          <w:rFonts w:hint="eastAsia" w:ascii="Times New Roman" w:hAnsi="Times New Roman" w:eastAsia="方正仿宋_GBK" w:cs="Times New Roman"/>
          <w:b/>
          <w:bCs/>
          <w:color w:val="auto"/>
          <w:kern w:val="0"/>
          <w:sz w:val="32"/>
          <w:szCs w:val="32"/>
          <w:highlight w:val="none"/>
          <w:lang w:val="en-US" w:eastAsia="zh-CN" w:bidi="ar-SA"/>
        </w:rPr>
        <w:t>三是用好政策。</w:t>
      </w:r>
      <w:r>
        <w:rPr>
          <w:rFonts w:hint="eastAsia" w:ascii="Times New Roman" w:hAnsi="Times New Roman" w:eastAsia="方正仿宋_GBK" w:cs="Times New Roman"/>
          <w:b w:val="0"/>
          <w:bCs w:val="0"/>
          <w:color w:val="auto"/>
          <w:kern w:val="0"/>
          <w:sz w:val="32"/>
          <w:szCs w:val="32"/>
          <w:highlight w:val="none"/>
          <w:lang w:val="en-US" w:eastAsia="zh-CN" w:bidi="ar-SA"/>
        </w:rPr>
        <w:t>对符合条件、表现优秀的干部，及时晋升职级，</w:t>
      </w:r>
      <w:r>
        <w:rPr>
          <w:rFonts w:hint="eastAsia" w:ascii="Times New Roman" w:hAnsi="Times New Roman" w:cs="Times New Roman"/>
          <w:b w:val="0"/>
          <w:bCs w:val="0"/>
          <w:color w:val="auto"/>
          <w:kern w:val="0"/>
          <w:sz w:val="32"/>
          <w:szCs w:val="32"/>
          <w:highlight w:val="none"/>
          <w:lang w:val="en-US" w:eastAsia="zh-CN" w:bidi="ar-SA"/>
        </w:rPr>
        <w:t>今年</w:t>
      </w:r>
      <w:r>
        <w:rPr>
          <w:rFonts w:hint="eastAsia" w:ascii="Times New Roman" w:hAnsi="Times New Roman" w:eastAsia="方正仿宋_GBK" w:cs="Times New Roman"/>
          <w:b w:val="0"/>
          <w:bCs w:val="0"/>
          <w:color w:val="auto"/>
          <w:kern w:val="0"/>
          <w:sz w:val="32"/>
          <w:szCs w:val="32"/>
          <w:highlight w:val="none"/>
          <w:lang w:val="en-US" w:eastAsia="zh-CN" w:bidi="ar-SA"/>
        </w:rPr>
        <w:t>以来，晋升三级调研员8名、四级调研员16名、一级主任科员12名、二级主任科员1名</w:t>
      </w:r>
      <w:r>
        <w:rPr>
          <w:rFonts w:hint="eastAsia" w:ascii="Times New Roman" w:hAnsi="Times New Roman" w:cs="Times New Roman"/>
          <w:b w:val="0"/>
          <w:bCs w:val="0"/>
          <w:color w:val="auto"/>
          <w:kern w:val="0"/>
          <w:sz w:val="32"/>
          <w:szCs w:val="32"/>
          <w:highlight w:val="none"/>
          <w:lang w:val="en-US" w:eastAsia="zh-CN" w:bidi="ar-SA"/>
        </w:rPr>
        <w:t>；晋升事业单位管理岗位职员等级37名</w:t>
      </w:r>
      <w:r>
        <w:rPr>
          <w:rFonts w:hint="eastAsia" w:ascii="Times New Roman" w:hAnsi="Times New Roman" w:eastAsia="方正仿宋_GBK" w:cs="Times New Roman"/>
          <w:b w:val="0"/>
          <w:bCs w:val="0"/>
          <w:color w:val="auto"/>
          <w:kern w:val="0"/>
          <w:sz w:val="32"/>
          <w:szCs w:val="32"/>
          <w:highlight w:val="none"/>
          <w:lang w:val="en-US" w:eastAsia="zh-CN" w:bidi="ar-SA"/>
        </w:rPr>
        <w:t>。近期，根据全县职级空缺情况，将启动新一轮职级晋升工作，有效发挥职级与待遇正向激励作用。</w:t>
      </w:r>
      <w:r>
        <w:rPr>
          <w:rFonts w:hint="eastAsia" w:ascii="Times New Roman" w:hAnsi="Times New Roman" w:cs="Times New Roman"/>
          <w:b/>
          <w:bCs/>
          <w:color w:val="auto"/>
          <w:kern w:val="0"/>
          <w:sz w:val="32"/>
          <w:szCs w:val="32"/>
          <w:highlight w:val="none"/>
          <w:lang w:val="en-US" w:eastAsia="zh-CN" w:bidi="ar-SA"/>
        </w:rPr>
        <w:t>四是加强干部管理。</w:t>
      </w:r>
      <w:r>
        <w:rPr>
          <w:rFonts w:hint="eastAsia" w:ascii="Times New Roman" w:hAnsi="Times New Roman" w:cs="Times New Roman"/>
          <w:b w:val="0"/>
          <w:bCs w:val="0"/>
          <w:color w:val="auto"/>
          <w:kern w:val="0"/>
          <w:sz w:val="32"/>
          <w:szCs w:val="32"/>
          <w:highlight w:val="none"/>
          <w:lang w:val="en-US" w:eastAsia="zh-CN" w:bidi="ar-SA"/>
        </w:rPr>
        <w:t>充分发挥转任职级干部熟悉县情、熟悉业务、经验丰富等优势，对全县137名转任职级干部进行分类管理（其中：单位自主管理80名，抽调中心工作组24名，执行病假工资9名，参与离退休干部管理24名），确保人人有事做、事事见成效，进一步盘活干部资源。</w:t>
      </w:r>
      <w:r>
        <w:rPr>
          <w:rFonts w:hint="default" w:ascii="Times New Roman" w:hAnsi="Times New Roman" w:eastAsia="方正仿宋_GBK" w:cs="Times New Roman"/>
          <w:color w:val="auto"/>
          <w:sz w:val="32"/>
          <w:szCs w:val="32"/>
          <w:highlight w:val="none"/>
          <w:lang w:val="en-US" w:eastAsia="zh-CN"/>
        </w:rPr>
        <w:t>全面清理规范因私出国（境）证件管理和领导干部兼职情况，进一步严实干部日常监督管理。</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cs="Times New Roman"/>
          <w:color w:val="auto"/>
          <w:sz w:val="32"/>
          <w:szCs w:val="32"/>
          <w:lang w:val="en-US" w:eastAsia="zh-CN"/>
        </w:rPr>
        <w:t xml:space="preserve">    </w:t>
      </w:r>
      <w:r>
        <w:rPr>
          <w:rFonts w:hint="default" w:ascii="Times New Roman" w:hAnsi="Times New Roman" w:eastAsia="方正楷体_GBK" w:cs="Times New Roman"/>
          <w:b/>
          <w:bCs w:val="0"/>
          <w:color w:val="auto"/>
          <w:sz w:val="32"/>
          <w:szCs w:val="32"/>
          <w:highlight w:val="none"/>
          <w:lang w:val="en-US" w:eastAsia="zh-CN"/>
        </w:rPr>
        <w:t>（</w:t>
      </w:r>
      <w:r>
        <w:rPr>
          <w:rFonts w:hint="eastAsia" w:ascii="Times New Roman" w:hAnsi="Times New Roman" w:eastAsia="方正楷体_GBK" w:cs="Times New Roman"/>
          <w:b/>
          <w:bCs w:val="0"/>
          <w:color w:val="auto"/>
          <w:sz w:val="32"/>
          <w:szCs w:val="32"/>
          <w:highlight w:val="none"/>
          <w:lang w:val="en-US" w:eastAsia="zh-CN"/>
        </w:rPr>
        <w:t>七</w:t>
      </w:r>
      <w:r>
        <w:rPr>
          <w:rFonts w:hint="default" w:ascii="Times New Roman" w:hAnsi="Times New Roman" w:eastAsia="方正楷体_GBK" w:cs="Times New Roman"/>
          <w:b/>
          <w:bCs w:val="0"/>
          <w:color w:val="auto"/>
          <w:sz w:val="32"/>
          <w:szCs w:val="32"/>
          <w:highlight w:val="none"/>
          <w:lang w:val="en-US" w:eastAsia="zh-CN"/>
        </w:rPr>
        <w:t>）加强人才队伍建设，创新人才培养模式。</w:t>
      </w:r>
      <w:r>
        <w:rPr>
          <w:rFonts w:hint="eastAsia" w:ascii="Times New Roman" w:hAnsi="Times New Roman" w:eastAsia="方正仿宋_GBK" w:cs="Times New Roman"/>
          <w:b/>
          <w:bCs w:val="0"/>
          <w:color w:val="auto"/>
          <w:sz w:val="32"/>
          <w:szCs w:val="32"/>
          <w:highlight w:val="none"/>
          <w:lang w:val="en-US" w:eastAsia="zh-CN"/>
        </w:rPr>
        <w:t>一是</w:t>
      </w:r>
      <w:r>
        <w:rPr>
          <w:rFonts w:hint="default" w:ascii="Times New Roman" w:hAnsi="Times New Roman" w:eastAsia="方正仿宋_GBK" w:cs="Times New Roman"/>
          <w:b/>
          <w:bCs w:val="0"/>
          <w:color w:val="auto"/>
          <w:sz w:val="32"/>
          <w:szCs w:val="32"/>
          <w:highlight w:val="none"/>
          <w:lang w:val="en-US" w:eastAsia="zh-CN"/>
        </w:rPr>
        <w:t>理顺运行机制</w:t>
      </w:r>
      <w:r>
        <w:rPr>
          <w:rFonts w:hint="eastAsia" w:cs="Times New Roman"/>
          <w:b/>
          <w:bCs w:val="0"/>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重新调整</w:t>
      </w:r>
      <w:r>
        <w:rPr>
          <w:rFonts w:hint="eastAsia" w:ascii="Times New Roman" w:hAnsi="Times New Roman" w:eastAsia="方正仿宋_GBK" w:cs="Times New Roman"/>
          <w:color w:val="auto"/>
          <w:sz w:val="32"/>
          <w:szCs w:val="32"/>
          <w:highlight w:val="none"/>
          <w:lang w:val="en-US" w:eastAsia="zh-CN"/>
        </w:rPr>
        <w:t>县委</w:t>
      </w:r>
      <w:r>
        <w:rPr>
          <w:rFonts w:hint="default" w:ascii="Times New Roman" w:hAnsi="Times New Roman" w:eastAsia="方正仿宋_GBK" w:cs="Times New Roman"/>
          <w:color w:val="auto"/>
          <w:sz w:val="32"/>
          <w:szCs w:val="32"/>
          <w:highlight w:val="none"/>
          <w:lang w:val="en-US" w:eastAsia="zh-CN"/>
        </w:rPr>
        <w:t>人才工作领导小组，召开了县委人才工作会议，制定《红原县“十四五”人才发展规划》《红原县乡村人才振兴五年行动实施方案》</w:t>
      </w:r>
      <w:r>
        <w:rPr>
          <w:rFonts w:hint="eastAsia" w:ascii="Times New Roman" w:hAnsi="Times New Roman" w:eastAsia="方正仿宋_GBK" w:cs="Times New Roman"/>
          <w:color w:val="auto"/>
          <w:sz w:val="32"/>
          <w:szCs w:val="32"/>
          <w:highlight w:val="none"/>
          <w:lang w:val="en-US" w:eastAsia="zh-CN"/>
        </w:rPr>
        <w:t>。计划引进3名硕士人才，兑现硕士人才住房补贴4.2万元。</w:t>
      </w:r>
      <w:r>
        <w:rPr>
          <w:rFonts w:hint="eastAsia" w:cs="Times New Roman"/>
          <w:b/>
          <w:bCs w:val="0"/>
          <w:color w:val="auto"/>
          <w:sz w:val="32"/>
          <w:szCs w:val="32"/>
          <w:highlight w:val="none"/>
          <w:lang w:val="en-US" w:eastAsia="zh-CN"/>
        </w:rPr>
        <w:t>二</w:t>
      </w:r>
      <w:r>
        <w:rPr>
          <w:rFonts w:hint="eastAsia" w:ascii="Times New Roman" w:hAnsi="Times New Roman" w:eastAsia="方正仿宋_GBK" w:cs="Times New Roman"/>
          <w:b/>
          <w:bCs w:val="0"/>
          <w:color w:val="auto"/>
          <w:sz w:val="32"/>
          <w:szCs w:val="32"/>
          <w:highlight w:val="none"/>
          <w:lang w:val="en-US" w:eastAsia="zh-CN"/>
        </w:rPr>
        <w:t>是</w:t>
      </w:r>
      <w:r>
        <w:rPr>
          <w:rFonts w:hint="eastAsia" w:cs="Times New Roman"/>
          <w:b/>
          <w:bCs w:val="0"/>
          <w:color w:val="auto"/>
          <w:sz w:val="32"/>
          <w:szCs w:val="32"/>
          <w:highlight w:val="none"/>
          <w:lang w:val="en-US" w:eastAsia="zh-CN"/>
        </w:rPr>
        <w:t>开展特色培训。</w:t>
      </w:r>
      <w:r>
        <w:rPr>
          <w:rFonts w:hint="default" w:ascii="Times New Roman" w:hAnsi="Times New Roman" w:eastAsia="方正仿宋_GBK" w:cs="Times New Roman"/>
          <w:color w:val="auto"/>
          <w:sz w:val="32"/>
          <w:szCs w:val="32"/>
          <w:highlight w:val="none"/>
          <w:lang w:val="en-US" w:eastAsia="zh-CN"/>
        </w:rPr>
        <w:t>聚焦“五个示范”以民族团结、生态文明、畜牧业现代化、清洁能源、全域旅游为主要内容，邀请国内知名专家教授进行授课。充分利用省内对口帮扶和东西部协作资源，举办</w:t>
      </w:r>
      <w:r>
        <w:rPr>
          <w:rFonts w:hint="eastAsia" w:ascii="Times New Roman" w:hAnsi="Times New Roman" w:eastAsia="方正仿宋_GBK" w:cs="Times New Roman"/>
          <w:color w:val="auto"/>
          <w:sz w:val="32"/>
          <w:szCs w:val="32"/>
          <w:highlight w:val="none"/>
          <w:lang w:val="en-US" w:eastAsia="zh-CN"/>
        </w:rPr>
        <w:t>27</w:t>
      </w:r>
      <w:r>
        <w:rPr>
          <w:rFonts w:hint="default" w:ascii="Times New Roman" w:hAnsi="Times New Roman" w:eastAsia="方正仿宋_GBK" w:cs="Times New Roman"/>
          <w:color w:val="auto"/>
          <w:sz w:val="32"/>
          <w:szCs w:val="32"/>
          <w:highlight w:val="none"/>
          <w:lang w:val="en-US" w:eastAsia="zh-CN"/>
        </w:rPr>
        <w:t>期培训班次，培训干部人才</w:t>
      </w:r>
      <w:r>
        <w:rPr>
          <w:rFonts w:hint="eastAsia" w:ascii="Times New Roman" w:hAnsi="Times New Roman" w:eastAsia="方正仿宋_GBK" w:cs="Times New Roman"/>
          <w:color w:val="auto"/>
          <w:sz w:val="32"/>
          <w:szCs w:val="32"/>
          <w:highlight w:val="none"/>
          <w:lang w:val="en-US" w:eastAsia="zh-CN"/>
        </w:rPr>
        <w:t>2500余</w:t>
      </w:r>
      <w:r>
        <w:rPr>
          <w:rFonts w:hint="default" w:ascii="Times New Roman" w:hAnsi="Times New Roman" w:eastAsia="方正仿宋_GBK" w:cs="Times New Roman"/>
          <w:color w:val="auto"/>
          <w:sz w:val="32"/>
          <w:szCs w:val="32"/>
          <w:highlight w:val="none"/>
          <w:lang w:val="en-US" w:eastAsia="zh-CN"/>
        </w:rPr>
        <w:t>人次。与永嘉县委组织部联合</w:t>
      </w:r>
      <w:r>
        <w:rPr>
          <w:rFonts w:hint="eastAsia" w:ascii="Times New Roman" w:hAnsi="Times New Roman" w:eastAsia="方正仿宋_GBK" w:cs="Times New Roman"/>
          <w:color w:val="auto"/>
          <w:sz w:val="32"/>
          <w:szCs w:val="32"/>
          <w:highlight w:val="none"/>
          <w:lang w:val="en-US" w:eastAsia="zh-CN"/>
        </w:rPr>
        <w:t>两期线上</w:t>
      </w:r>
      <w:r>
        <w:rPr>
          <w:rFonts w:hint="default" w:ascii="Times New Roman" w:hAnsi="Times New Roman" w:eastAsia="方正仿宋_GBK" w:cs="Times New Roman"/>
          <w:color w:val="auto"/>
          <w:sz w:val="32"/>
          <w:szCs w:val="32"/>
          <w:highlight w:val="none"/>
          <w:lang w:val="en-US" w:eastAsia="zh-CN"/>
        </w:rPr>
        <w:t>培训班，培训本地干部人才863人次。</w:t>
      </w:r>
      <w:r>
        <w:rPr>
          <w:rFonts w:hint="eastAsia" w:cs="Times New Roman"/>
          <w:b/>
          <w:bCs w:val="0"/>
          <w:color w:val="auto"/>
          <w:sz w:val="32"/>
          <w:szCs w:val="32"/>
          <w:highlight w:val="none"/>
          <w:lang w:val="en-US" w:eastAsia="zh-CN"/>
        </w:rPr>
        <w:t>三是加强人才交流。</w:t>
      </w:r>
      <w:r>
        <w:rPr>
          <w:rFonts w:hint="default" w:ascii="Times New Roman" w:hAnsi="Times New Roman" w:eastAsia="方正仿宋_GBK" w:cs="Times New Roman"/>
          <w:color w:val="auto"/>
          <w:sz w:val="32"/>
          <w:szCs w:val="32"/>
          <w:highlight w:val="none"/>
          <w:lang w:val="en-US" w:eastAsia="zh-CN"/>
        </w:rPr>
        <w:t>精心选派30名干部人才赴绵阳、浙江学习，精心组织遴选培育20名优秀青年干部。深入开展教育、医疗干部人才“组团式”帮扶，接收教育、卫生“组团式”帮扶干部24人。</w:t>
      </w:r>
      <w:r>
        <w:rPr>
          <w:rFonts w:hint="eastAsia" w:cs="Times New Roman"/>
          <w:b/>
          <w:bCs w:val="0"/>
          <w:color w:val="auto"/>
          <w:sz w:val="32"/>
          <w:szCs w:val="32"/>
          <w:highlight w:val="none"/>
          <w:lang w:val="en-US" w:eastAsia="zh-CN"/>
        </w:rPr>
        <w:t>四是</w:t>
      </w:r>
      <w:r>
        <w:rPr>
          <w:rFonts w:hint="default" w:cs="Times New Roman"/>
          <w:b/>
          <w:bCs w:val="0"/>
          <w:color w:val="auto"/>
          <w:sz w:val="32"/>
          <w:szCs w:val="32"/>
          <w:highlight w:val="none"/>
          <w:lang w:val="en-US" w:eastAsia="zh-CN"/>
        </w:rPr>
        <w:t>深化校院企地合作</w:t>
      </w:r>
      <w:r>
        <w:rPr>
          <w:rFonts w:hint="eastAsia" w:cs="Times New Roman"/>
          <w:b/>
          <w:bCs w:val="0"/>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推荐四川若尔盖高寒湿地生态系统国家野外科学观测研究站成功申报省级校院企地协同创新平台人才引育项目。</w:t>
      </w:r>
      <w:r>
        <w:rPr>
          <w:rFonts w:hint="default" w:ascii="Times New Roman" w:hAnsi="Times New Roman" w:cs="Times New Roman"/>
          <w:color w:val="auto"/>
          <w:sz w:val="32"/>
          <w:szCs w:val="32"/>
          <w:highlight w:val="none"/>
          <w:lang w:val="en-US" w:eastAsia="zh-CN"/>
        </w:rPr>
        <w:t xml:space="preserve">    </w:t>
      </w:r>
    </w:p>
    <w:p>
      <w:pPr>
        <w:pStyle w:val="7"/>
        <w:pageBreakBefore w:val="0"/>
        <w:widowControl w:val="0"/>
        <w:kinsoku/>
        <w:wordWrap/>
        <w:overflowPunct/>
        <w:topLinePunct w:val="0"/>
        <w:autoSpaceDE/>
        <w:autoSpaceDN/>
        <w:bidi w:val="0"/>
        <w:spacing w:line="576" w:lineRule="exact"/>
        <w:ind w:left="0" w:leftChars="0" w:firstLine="0" w:firstLineChars="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 xml:space="preserve">    </w:t>
      </w:r>
      <w:r>
        <w:rPr>
          <w:rFonts w:hint="default" w:ascii="Times New Roman" w:hAnsi="Times New Roman" w:eastAsia="方正楷体_GBK" w:cs="Times New Roman"/>
          <w:b/>
          <w:bCs w:val="0"/>
          <w:color w:val="auto"/>
          <w:sz w:val="32"/>
          <w:szCs w:val="32"/>
          <w:highlight w:val="none"/>
          <w:lang w:val="en-US" w:eastAsia="zh-CN"/>
        </w:rPr>
        <w:t>（</w:t>
      </w:r>
      <w:r>
        <w:rPr>
          <w:rFonts w:hint="eastAsia" w:ascii="Times New Roman" w:hAnsi="Times New Roman" w:eastAsia="方正楷体_GBK" w:cs="Times New Roman"/>
          <w:b/>
          <w:bCs w:val="0"/>
          <w:color w:val="auto"/>
          <w:sz w:val="32"/>
          <w:szCs w:val="32"/>
          <w:highlight w:val="none"/>
          <w:lang w:val="en-US" w:eastAsia="zh-CN"/>
        </w:rPr>
        <w:t>八</w:t>
      </w:r>
      <w:r>
        <w:rPr>
          <w:rFonts w:hint="default" w:ascii="Times New Roman" w:hAnsi="Times New Roman" w:eastAsia="方正楷体_GBK" w:cs="Times New Roman"/>
          <w:b/>
          <w:bCs w:val="0"/>
          <w:color w:val="auto"/>
          <w:sz w:val="32"/>
          <w:szCs w:val="32"/>
          <w:highlight w:val="none"/>
          <w:lang w:val="en-US" w:eastAsia="zh-CN"/>
        </w:rPr>
        <w:t>）用心用情服务老干部，关心关爱守护青少年。</w:t>
      </w:r>
      <w:r>
        <w:rPr>
          <w:rFonts w:hint="default" w:ascii="Times New Roman" w:hAnsi="Times New Roman" w:eastAsia="方正仿宋_GBK" w:cs="Times New Roman"/>
          <w:b/>
          <w:bCs w:val="0"/>
          <w:color w:val="auto"/>
          <w:sz w:val="32"/>
          <w:szCs w:val="32"/>
          <w:highlight w:val="none"/>
          <w:lang w:val="en-US" w:eastAsia="zh-CN"/>
        </w:rPr>
        <w:t>一是持续推进党建、思想和整治建设，当好引导员。</w:t>
      </w:r>
      <w:r>
        <w:rPr>
          <w:rFonts w:hint="default" w:ascii="Times New Roman" w:hAnsi="Times New Roman" w:eastAsia="方正仿宋_GBK" w:cs="Times New Roman"/>
          <w:color w:val="auto"/>
          <w:sz w:val="32"/>
          <w:szCs w:val="32"/>
          <w:highlight w:val="none"/>
          <w:lang w:val="en-US" w:eastAsia="zh-CN"/>
        </w:rPr>
        <w:t>发挥老干部活动中心主阵地作用，围绕一月一主题，举办专题学习会、专题培训、座谈交流会等15次；邀请老干部参加县内重要活动、会议5次，30人参加，收集意见建议8条</w:t>
      </w:r>
      <w:r>
        <w:rPr>
          <w:rFonts w:hint="eastAsia"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全额返还收缴党费，支持离退休党组织开展学习活动</w:t>
      </w:r>
      <w:r>
        <w:rPr>
          <w:rFonts w:hint="eastAsia"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组织30余名退休干部党组织书记、优秀老党员、在老干部中开展讲党课8次。</w:t>
      </w:r>
      <w:r>
        <w:rPr>
          <w:rFonts w:hint="default" w:ascii="Times New Roman" w:hAnsi="Times New Roman" w:eastAsia="方正仿宋_GBK" w:cs="Times New Roman"/>
          <w:b/>
          <w:bCs w:val="0"/>
          <w:color w:val="auto"/>
          <w:sz w:val="32"/>
          <w:szCs w:val="32"/>
          <w:highlight w:val="none"/>
          <w:lang w:val="en-US" w:eastAsia="zh-CN"/>
        </w:rPr>
        <w:t>二是深入加强关心关爱力度，当好服务员。</w:t>
      </w:r>
      <w:r>
        <w:rPr>
          <w:rFonts w:hint="default" w:ascii="Times New Roman" w:hAnsi="Times New Roman" w:eastAsia="方正仿宋_GBK" w:cs="Times New Roman"/>
          <w:color w:val="auto"/>
          <w:sz w:val="32"/>
          <w:szCs w:val="32"/>
          <w:highlight w:val="none"/>
          <w:lang w:val="en-US" w:eastAsia="zh-CN"/>
        </w:rPr>
        <w:t>元旦、春节期间县四大班子主要领导带队上门走访慰问离退休干部，发放慰问金共31.8万元，寄送新春《慰问信》900余份</w:t>
      </w:r>
      <w:r>
        <w:rPr>
          <w:rFonts w:hint="eastAsia"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重阳节走访离退休干部7名，发放慰问金1.2万元</w:t>
      </w:r>
      <w:r>
        <w:rPr>
          <w:rFonts w:hint="eastAsia"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集中向老干部通报全县经济社会发展情况1次，征订报刊杂志2000余份，并将老干部工作经费纳入了县级财政预算</w:t>
      </w:r>
      <w:r>
        <w:rPr>
          <w:rFonts w:hint="eastAsia"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选派17名离岗待退干部参与服务管理全县离退休干部工作。</w:t>
      </w:r>
      <w:r>
        <w:rPr>
          <w:rFonts w:hint="default" w:ascii="Times New Roman" w:hAnsi="Times New Roman" w:eastAsia="方正仿宋_GBK" w:cs="Times New Roman"/>
          <w:b/>
          <w:bCs w:val="0"/>
          <w:color w:val="auto"/>
          <w:sz w:val="32"/>
          <w:szCs w:val="32"/>
          <w:highlight w:val="none"/>
          <w:lang w:val="en-US" w:eastAsia="zh-CN"/>
        </w:rPr>
        <w:t>三是不断激发桑榆担当，当好组织员。</w:t>
      </w:r>
      <w:r>
        <w:rPr>
          <w:rFonts w:hint="default" w:ascii="Times New Roman" w:hAnsi="Times New Roman" w:eastAsia="方正仿宋_GBK" w:cs="Times New Roman"/>
          <w:color w:val="auto"/>
          <w:sz w:val="32"/>
          <w:szCs w:val="32"/>
          <w:highlight w:val="none"/>
          <w:lang w:val="en-US" w:eastAsia="zh-CN"/>
        </w:rPr>
        <w:t>组织离退休干部观看党的二十大开幕式，20名离退休干部从自身出发，畅谈个人体会，收集老干部感言20</w:t>
      </w:r>
      <w:r>
        <w:rPr>
          <w:rFonts w:hint="eastAsia" w:cs="Times New Roman"/>
          <w:color w:val="auto"/>
          <w:sz w:val="32"/>
          <w:szCs w:val="32"/>
          <w:highlight w:val="none"/>
          <w:lang w:val="en-US" w:eastAsia="zh-CN"/>
        </w:rPr>
        <w:t>余</w:t>
      </w:r>
      <w:r>
        <w:rPr>
          <w:rFonts w:hint="default" w:ascii="Times New Roman" w:hAnsi="Times New Roman" w:eastAsia="方正仿宋_GBK" w:cs="Times New Roman"/>
          <w:color w:val="auto"/>
          <w:sz w:val="32"/>
          <w:szCs w:val="32"/>
          <w:highlight w:val="none"/>
          <w:lang w:val="en-US" w:eastAsia="zh-CN"/>
        </w:rPr>
        <w:t>条</w:t>
      </w:r>
      <w:r>
        <w:rPr>
          <w:rFonts w:hint="eastAsia" w:cs="Times New Roman"/>
          <w:color w:val="auto"/>
          <w:sz w:val="32"/>
          <w:szCs w:val="32"/>
          <w:highlight w:val="none"/>
          <w:lang w:val="en-US" w:eastAsia="zh-CN"/>
        </w:rPr>
        <w:t>；组织37名退休干部参加</w:t>
      </w:r>
      <w:r>
        <w:rPr>
          <w:rFonts w:hint="default" w:ascii="Times New Roman" w:hAnsi="Times New Roman" w:eastAsia="方正仿宋_GBK" w:cs="Times New Roman"/>
          <w:color w:val="auto"/>
          <w:sz w:val="32"/>
          <w:szCs w:val="32"/>
          <w:highlight w:val="none"/>
          <w:lang w:val="en-US" w:eastAsia="zh-CN"/>
        </w:rPr>
        <w:t>“红原县退休干部学习二十大主题培训班”</w:t>
      </w:r>
      <w:r>
        <w:rPr>
          <w:rFonts w:hint="eastAsia" w:cs="Times New Roman"/>
          <w:color w:val="auto"/>
          <w:sz w:val="32"/>
          <w:szCs w:val="32"/>
          <w:highlight w:val="none"/>
          <w:lang w:val="en-US" w:eastAsia="zh-CN"/>
        </w:rPr>
        <w:t>；组织离退休干部积极申报优秀并</w:t>
      </w:r>
      <w:r>
        <w:rPr>
          <w:rFonts w:hint="default" w:ascii="Times New Roman" w:hAnsi="Times New Roman" w:eastAsia="方正仿宋_GBK" w:cs="Times New Roman"/>
          <w:color w:val="auto"/>
          <w:sz w:val="32"/>
          <w:szCs w:val="32"/>
          <w:highlight w:val="none"/>
          <w:lang w:val="en-US" w:eastAsia="zh-CN"/>
        </w:rPr>
        <w:t>荣获全州先进集体1名，先进个人2名</w:t>
      </w:r>
      <w:r>
        <w:rPr>
          <w:rFonts w:hint="eastAsia"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组织10名老干部参与协助做好疫情排查、防治防控、困难帮扶、志愿服务、建言献策等工作。</w:t>
      </w:r>
      <w:r>
        <w:rPr>
          <w:rFonts w:hint="default" w:ascii="Times New Roman" w:hAnsi="Times New Roman" w:eastAsia="方正仿宋_GBK" w:cs="Times New Roman"/>
          <w:b/>
          <w:bCs w:val="0"/>
          <w:color w:val="auto"/>
          <w:sz w:val="32"/>
          <w:szCs w:val="32"/>
          <w:highlight w:val="none"/>
          <w:lang w:val="en-US" w:eastAsia="zh-CN"/>
        </w:rPr>
        <w:t>四是用心做好关心下一代工作，当好“护林员”。</w:t>
      </w:r>
      <w:r>
        <w:rPr>
          <w:rFonts w:hint="default" w:ascii="Times New Roman" w:hAnsi="Times New Roman" w:eastAsia="方正仿宋_GBK" w:cs="Times New Roman"/>
          <w:color w:val="auto"/>
          <w:sz w:val="32"/>
          <w:szCs w:val="32"/>
          <w:highlight w:val="none"/>
          <w:lang w:val="en-US" w:eastAsia="zh-CN"/>
        </w:rPr>
        <w:t>充分发挥“五老”作用，</w:t>
      </w:r>
      <w:r>
        <w:rPr>
          <w:rFonts w:hint="eastAsia" w:cs="Times New Roman"/>
          <w:color w:val="auto"/>
          <w:sz w:val="32"/>
          <w:szCs w:val="32"/>
          <w:highlight w:val="none"/>
          <w:lang w:val="en-US" w:eastAsia="zh-CN"/>
        </w:rPr>
        <w:t>积极参与青少年教育引导12次；</w:t>
      </w:r>
      <w:r>
        <w:rPr>
          <w:rFonts w:hint="default" w:ascii="Times New Roman" w:hAnsi="Times New Roman" w:eastAsia="方正仿宋_GBK" w:cs="Times New Roman"/>
          <w:color w:val="auto"/>
          <w:sz w:val="32"/>
          <w:szCs w:val="32"/>
          <w:highlight w:val="none"/>
          <w:lang w:val="en-US" w:eastAsia="zh-CN"/>
        </w:rPr>
        <w:t>抓好青少年党性教育,打造青少年“党史红色教育课堂”</w:t>
      </w:r>
      <w:r>
        <w:rPr>
          <w:rFonts w:hint="eastAsia" w:cs="Times New Roman"/>
          <w:color w:val="auto"/>
          <w:sz w:val="32"/>
          <w:szCs w:val="32"/>
          <w:highlight w:val="none"/>
          <w:lang w:val="en-US" w:eastAsia="zh-CN"/>
        </w:rPr>
        <w:t>5堂</w:t>
      </w:r>
      <w:r>
        <w:rPr>
          <w:rFonts w:hint="default" w:ascii="Times New Roman" w:hAnsi="Times New Roman" w:eastAsia="方正仿宋_GBK" w:cs="Times New Roman"/>
          <w:color w:val="auto"/>
          <w:sz w:val="32"/>
          <w:szCs w:val="32"/>
          <w:highlight w:val="none"/>
          <w:lang w:val="en-US" w:eastAsia="zh-CN"/>
        </w:rPr>
        <w:t>，举办全县中小学老干部大讲堂2期，“银发微党课”2期，参学青少年、儿童400余人次</w:t>
      </w:r>
      <w:r>
        <w:rPr>
          <w:rFonts w:hint="eastAsia"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举办</w:t>
      </w:r>
      <w:r>
        <w:rPr>
          <w:rFonts w:hint="eastAsia" w:cs="Times New Roman"/>
          <w:color w:val="auto"/>
          <w:sz w:val="32"/>
          <w:szCs w:val="32"/>
          <w:highlight w:val="none"/>
          <w:lang w:val="en-US" w:eastAsia="zh-CN"/>
        </w:rPr>
        <w:t>各类丰富活动6次，参与青少年500余人次；</w:t>
      </w:r>
      <w:r>
        <w:rPr>
          <w:rFonts w:hint="eastAsia" w:ascii="Times New Roman" w:hAnsi="Times New Roman" w:eastAsia="方正仿宋_GBK" w:cs="Times New Roman"/>
          <w:color w:val="auto"/>
          <w:sz w:val="32"/>
          <w:szCs w:val="32"/>
          <w:highlight w:val="none"/>
          <w:lang w:val="en-US" w:eastAsia="zh-CN"/>
        </w:rPr>
        <w:t>多</w:t>
      </w:r>
      <w:r>
        <w:rPr>
          <w:rFonts w:hint="default" w:ascii="Times New Roman" w:hAnsi="Times New Roman" w:eastAsia="方正仿宋_GBK" w:cs="Times New Roman"/>
          <w:color w:val="auto"/>
          <w:sz w:val="32"/>
          <w:szCs w:val="32"/>
          <w:highlight w:val="none"/>
          <w:lang w:val="en-US" w:eastAsia="zh-CN"/>
        </w:rPr>
        <w:t>方争取帮扶资金</w:t>
      </w:r>
      <w:r>
        <w:rPr>
          <w:rFonts w:hint="eastAsia" w:ascii="Times New Roman" w:hAnsi="Times New Roman" w:eastAsia="方正仿宋_GBK" w:cs="Times New Roman"/>
          <w:color w:val="auto"/>
          <w:sz w:val="32"/>
          <w:szCs w:val="32"/>
          <w:highlight w:val="none"/>
          <w:lang w:val="en-US" w:eastAsia="zh-CN"/>
        </w:rPr>
        <w:t>17.5万元，</w:t>
      </w:r>
      <w:r>
        <w:rPr>
          <w:rFonts w:hint="default" w:ascii="Times New Roman" w:hAnsi="Times New Roman" w:eastAsia="方正仿宋_GBK" w:cs="Times New Roman"/>
          <w:color w:val="auto"/>
          <w:sz w:val="32"/>
          <w:szCs w:val="32"/>
          <w:highlight w:val="none"/>
          <w:lang w:val="en-US" w:eastAsia="zh-CN"/>
        </w:rPr>
        <w:t>开展助学、助困等帮扶活动，共帮扶</w:t>
      </w:r>
      <w:r>
        <w:rPr>
          <w:rFonts w:hint="eastAsia" w:ascii="Times New Roman" w:hAnsi="Times New Roman" w:eastAsia="方正仿宋_GBK" w:cs="Times New Roman"/>
          <w:color w:val="auto"/>
          <w:sz w:val="32"/>
          <w:szCs w:val="32"/>
          <w:highlight w:val="none"/>
          <w:lang w:val="en-US" w:eastAsia="zh-CN"/>
        </w:rPr>
        <w:t>困难</w:t>
      </w:r>
      <w:r>
        <w:rPr>
          <w:rFonts w:hint="default" w:ascii="Times New Roman" w:hAnsi="Times New Roman" w:eastAsia="方正仿宋_GBK" w:cs="Times New Roman"/>
          <w:color w:val="auto"/>
          <w:sz w:val="32"/>
          <w:szCs w:val="32"/>
          <w:highlight w:val="none"/>
          <w:lang w:val="en-US" w:eastAsia="zh-CN"/>
        </w:rPr>
        <w:t>学生</w:t>
      </w:r>
      <w:r>
        <w:rPr>
          <w:rFonts w:hint="eastAsia" w:ascii="Times New Roman" w:hAnsi="Times New Roman" w:eastAsia="方正仿宋_GBK" w:cs="Times New Roman"/>
          <w:color w:val="auto"/>
          <w:sz w:val="32"/>
          <w:szCs w:val="32"/>
          <w:highlight w:val="none"/>
          <w:lang w:val="en-US" w:eastAsia="zh-CN"/>
        </w:rPr>
        <w:t>305</w:t>
      </w:r>
      <w:r>
        <w:rPr>
          <w:rFonts w:hint="default" w:ascii="Times New Roman" w:hAnsi="Times New Roman" w:eastAsia="方正仿宋_GBK" w:cs="Times New Roman"/>
          <w:color w:val="auto"/>
          <w:sz w:val="32"/>
          <w:szCs w:val="32"/>
          <w:highlight w:val="none"/>
          <w:lang w:val="en-US" w:eastAsia="zh-CN"/>
        </w:rPr>
        <w:t>人；开展“暖冬行动”2次，为300</w:t>
      </w:r>
      <w:r>
        <w:rPr>
          <w:rFonts w:hint="eastAsia" w:ascii="Times New Roman" w:hAnsi="Times New Roman" w:eastAsia="方正仿宋_GBK" w:cs="Times New Roman"/>
          <w:color w:val="auto"/>
          <w:sz w:val="32"/>
          <w:szCs w:val="32"/>
          <w:highlight w:val="none"/>
          <w:lang w:val="en-US" w:eastAsia="zh-CN"/>
        </w:rPr>
        <w:t>余</w:t>
      </w:r>
      <w:r>
        <w:rPr>
          <w:rFonts w:hint="default" w:ascii="Times New Roman" w:hAnsi="Times New Roman" w:eastAsia="方正仿宋_GBK" w:cs="Times New Roman"/>
          <w:color w:val="auto"/>
          <w:sz w:val="32"/>
          <w:szCs w:val="32"/>
          <w:highlight w:val="none"/>
          <w:lang w:val="en-US" w:eastAsia="zh-CN"/>
        </w:rPr>
        <w:t>名弱困儿童送去“暖冬大礼包”。</w:t>
      </w:r>
    </w:p>
    <w:p>
      <w:pPr>
        <w:pStyle w:val="7"/>
        <w:pageBreakBefore w:val="0"/>
        <w:widowControl w:val="0"/>
        <w:kinsoku/>
        <w:wordWrap/>
        <w:overflowPunct/>
        <w:topLinePunct w:val="0"/>
        <w:autoSpaceDE/>
        <w:autoSpaceDN/>
        <w:bidi w:val="0"/>
        <w:spacing w:line="576" w:lineRule="exact"/>
        <w:ind w:left="0" w:leftChars="0"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w:t>
      </w:r>
      <w:r>
        <w:rPr>
          <w:rFonts w:hint="eastAsia" w:eastAsia="方正楷体_GBK" w:cs="Times New Roman"/>
          <w:b/>
          <w:bCs/>
          <w:sz w:val="32"/>
          <w:szCs w:val="32"/>
          <w:lang w:val="en-US" w:eastAsia="zh-CN"/>
        </w:rPr>
        <w:t>九</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40"/>
          <w:lang w:eastAsia="zh-CN"/>
        </w:rPr>
        <w:t>着眼组织工作“规范提能”，建设模范部门和过硬队伍</w:t>
      </w:r>
      <w:r>
        <w:rPr>
          <w:rFonts w:hint="default" w:ascii="Times New Roman" w:hAnsi="Times New Roman" w:eastAsia="方正楷体_GBK" w:cs="Times New Roman"/>
          <w:b/>
          <w:bCs/>
          <w:sz w:val="32"/>
          <w:szCs w:val="40"/>
          <w:lang w:val="en-US" w:eastAsia="zh-CN"/>
        </w:rPr>
        <w:t>。</w:t>
      </w:r>
      <w:r>
        <w:rPr>
          <w:rFonts w:hint="default" w:ascii="Times New Roman" w:hAnsi="Times New Roman" w:eastAsia="方正仿宋_GBK" w:cs="Times New Roman"/>
          <w:b/>
          <w:bCs/>
          <w:sz w:val="32"/>
          <w:szCs w:val="40"/>
          <w:lang w:val="en-US" w:eastAsia="zh-CN"/>
        </w:rPr>
        <w:t>一是</w:t>
      </w:r>
      <w:r>
        <w:rPr>
          <w:rFonts w:hint="default" w:ascii="Times New Roman" w:hAnsi="Times New Roman" w:cs="Times New Roman"/>
          <w:b/>
          <w:bCs/>
          <w:sz w:val="32"/>
          <w:szCs w:val="40"/>
          <w:lang w:val="en-US" w:eastAsia="zh-CN"/>
        </w:rPr>
        <w:t>强化</w:t>
      </w:r>
      <w:r>
        <w:rPr>
          <w:rFonts w:hint="default" w:ascii="Times New Roman" w:hAnsi="Times New Roman" w:eastAsia="方正仿宋_GBK" w:cs="Times New Roman"/>
          <w:b/>
          <w:bCs/>
          <w:sz w:val="32"/>
          <w:szCs w:val="40"/>
          <w:lang w:val="en-US" w:eastAsia="zh-CN"/>
        </w:rPr>
        <w:t>政治建设</w:t>
      </w:r>
      <w:r>
        <w:rPr>
          <w:rFonts w:hint="default" w:ascii="Times New Roman" w:hAnsi="Times New Roman" w:eastAsia="方正仿宋_GBK" w:cs="Times New Roman"/>
          <w:sz w:val="32"/>
          <w:szCs w:val="32"/>
          <w:lang w:val="en-US" w:eastAsia="zh-CN"/>
        </w:rPr>
        <w:t>。坚持把党的政治建设摆在首位，严明政治纪律和政治规矩，严格按程序、按规矩办事。制度化、规范化，</w:t>
      </w:r>
      <w:r>
        <w:rPr>
          <w:rFonts w:hint="default" w:ascii="Times New Roman" w:hAnsi="Times New Roman" w:cs="Times New Roman"/>
          <w:sz w:val="32"/>
          <w:szCs w:val="32"/>
          <w:lang w:val="en-US" w:eastAsia="zh-CN"/>
        </w:rPr>
        <w:t>开展</w:t>
      </w:r>
      <w:r>
        <w:rPr>
          <w:rFonts w:hint="default" w:ascii="Times New Roman" w:hAnsi="Times New Roman" w:eastAsia="方正仿宋_GBK" w:cs="Times New Roman"/>
          <w:sz w:val="32"/>
          <w:szCs w:val="32"/>
          <w:lang w:val="en-US" w:eastAsia="zh-CN"/>
        </w:rPr>
        <w:t>党内政治生活</w:t>
      </w:r>
      <w:r>
        <w:rPr>
          <w:rFonts w:hint="default" w:ascii="Times New Roman" w:hAnsi="Times New Roman" w:cs="Times New Roman"/>
          <w:sz w:val="32"/>
          <w:szCs w:val="32"/>
          <w:lang w:val="en-US" w:eastAsia="zh-CN"/>
        </w:rPr>
        <w:t>制度</w:t>
      </w:r>
      <w:r>
        <w:rPr>
          <w:rFonts w:hint="default" w:ascii="Times New Roman" w:hAnsi="Times New Roman" w:eastAsia="方正仿宋_GBK" w:cs="Times New Roman"/>
          <w:sz w:val="32"/>
          <w:szCs w:val="32"/>
          <w:lang w:val="en-US" w:eastAsia="zh-CN"/>
        </w:rPr>
        <w:t>。以部务会、部长办公会、干部职工大会、理论中心组等为载体，深入学习贯彻党的二十大精神、省第十二次党代会、州第十二次党代会和县第十三次党代会精神，习近平总书记来川视察重要讲话及陈希部长来州调研重要指示精神，中央省州组织部长会议精神等，</w:t>
      </w:r>
      <w:r>
        <w:rPr>
          <w:rFonts w:hint="default" w:ascii="Times New Roman" w:hAnsi="Times New Roman" w:cs="Times New Roman"/>
          <w:sz w:val="32"/>
          <w:szCs w:val="32"/>
          <w:lang w:val="en-US" w:eastAsia="zh-CN"/>
        </w:rPr>
        <w:t>进一步</w:t>
      </w:r>
      <w:r>
        <w:rPr>
          <w:rFonts w:hint="default" w:ascii="Times New Roman" w:hAnsi="Times New Roman" w:eastAsia="方正仿宋_GBK" w:cs="Times New Roman"/>
          <w:sz w:val="32"/>
          <w:szCs w:val="32"/>
          <w:lang w:val="en-US" w:eastAsia="zh-CN"/>
        </w:rPr>
        <w:t>夯实组工队伍思想</w:t>
      </w:r>
      <w:r>
        <w:rPr>
          <w:rFonts w:hint="default" w:ascii="Times New Roman" w:hAnsi="Times New Roman" w:cs="Times New Roman"/>
          <w:sz w:val="32"/>
          <w:szCs w:val="32"/>
          <w:lang w:val="en-US" w:eastAsia="zh-CN"/>
        </w:rPr>
        <w:t>根基</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val="0"/>
          <w:sz w:val="32"/>
          <w:szCs w:val="32"/>
          <w:lang w:eastAsia="zh-CN"/>
        </w:rPr>
        <w:t>二是强化能力建设</w:t>
      </w:r>
      <w:r>
        <w:rPr>
          <w:rFonts w:hint="default" w:ascii="Times New Roman" w:hAnsi="Times New Roman" w:eastAsia="方正仿宋_GBK" w:cs="Times New Roman"/>
          <w:b/>
          <w:bCs w:val="0"/>
          <w:sz w:val="32"/>
          <w:szCs w:val="32"/>
          <w:lang w:val="en-US" w:eastAsia="zh-CN"/>
        </w:rPr>
        <w:t>。</w:t>
      </w:r>
      <w:r>
        <w:rPr>
          <w:rFonts w:hint="default" w:ascii="Times New Roman" w:hAnsi="Times New Roman" w:eastAsia="方正仿宋_GBK" w:cs="Times New Roman"/>
          <w:sz w:val="32"/>
          <w:szCs w:val="32"/>
          <w:lang w:eastAsia="zh-CN"/>
        </w:rPr>
        <w:t>创新举办“组工半月谈”</w:t>
      </w:r>
      <w:r>
        <w:rPr>
          <w:rFonts w:hint="default" w:ascii="Times New Roman" w:hAnsi="Times New Roman" w:cs="Times New Roman"/>
          <w:sz w:val="32"/>
          <w:szCs w:val="32"/>
          <w:lang w:eastAsia="zh-CN"/>
        </w:rPr>
        <w:t>５期</w:t>
      </w:r>
      <w:r>
        <w:rPr>
          <w:rFonts w:hint="default" w:ascii="Times New Roman" w:hAnsi="Times New Roman" w:eastAsia="方正仿宋_GBK" w:cs="Times New Roman"/>
          <w:sz w:val="32"/>
          <w:szCs w:val="32"/>
          <w:lang w:eastAsia="zh-CN"/>
        </w:rPr>
        <w:t>，</w:t>
      </w:r>
      <w:r>
        <w:rPr>
          <w:rFonts w:hint="default" w:ascii="Times New Roman" w:hAnsi="Times New Roman" w:cs="Times New Roman"/>
          <w:sz w:val="32"/>
          <w:szCs w:val="32"/>
          <w:lang w:eastAsia="zh-CN"/>
        </w:rPr>
        <w:t>通过业务交流</w:t>
      </w:r>
      <w:r>
        <w:rPr>
          <w:rFonts w:hint="default" w:ascii="Times New Roman" w:hAnsi="Times New Roman" w:eastAsia="方正仿宋_GBK" w:cs="Times New Roman"/>
          <w:sz w:val="32"/>
          <w:szCs w:val="32"/>
          <w:lang w:val="en-US" w:eastAsia="zh-CN"/>
        </w:rPr>
        <w:t>、</w:t>
      </w:r>
      <w:r>
        <w:rPr>
          <w:rFonts w:hint="default" w:ascii="Times New Roman" w:hAnsi="Times New Roman" w:cs="Times New Roman"/>
          <w:sz w:val="32"/>
          <w:szCs w:val="32"/>
          <w:lang w:val="en-US" w:eastAsia="zh-CN"/>
        </w:rPr>
        <w:t>经验分享</w:t>
      </w:r>
      <w:r>
        <w:rPr>
          <w:rFonts w:hint="default" w:ascii="Times New Roman" w:hAnsi="Times New Roman" w:eastAsia="方正仿宋_GBK" w:cs="Times New Roman"/>
          <w:sz w:val="32"/>
          <w:szCs w:val="32"/>
          <w:lang w:val="en-US" w:eastAsia="zh-CN"/>
        </w:rPr>
        <w:t>、</w:t>
      </w:r>
      <w:r>
        <w:rPr>
          <w:rFonts w:hint="default" w:ascii="Times New Roman" w:hAnsi="Times New Roman" w:cs="Times New Roman"/>
          <w:sz w:val="32"/>
          <w:szCs w:val="32"/>
          <w:lang w:val="en-US" w:eastAsia="zh-CN"/>
        </w:rPr>
        <w:t>能力锻炼，</w:t>
      </w:r>
      <w:r>
        <w:rPr>
          <w:rFonts w:hint="default" w:ascii="Times New Roman" w:hAnsi="Times New Roman" w:eastAsia="方正仿宋_GBK" w:cs="Times New Roman"/>
          <w:sz w:val="32"/>
          <w:szCs w:val="32"/>
          <w:lang w:eastAsia="zh-CN"/>
        </w:rPr>
        <w:t>切实让</w:t>
      </w:r>
      <w:r>
        <w:rPr>
          <w:rFonts w:hint="default" w:ascii="Times New Roman" w:hAnsi="Times New Roman" w:eastAsia="方正仿宋_GBK" w:cs="Times New Roman"/>
          <w:sz w:val="32"/>
          <w:szCs w:val="32"/>
          <w:lang w:val="en-US" w:eastAsia="zh-CN"/>
        </w:rPr>
        <w:t>每一名组工干部在学思践悟中得到了更多锻炼和更大提升。</w:t>
      </w:r>
      <w:r>
        <w:rPr>
          <w:rFonts w:hint="default" w:ascii="Times New Roman" w:hAnsi="Times New Roman" w:cs="Times New Roman"/>
          <w:sz w:val="32"/>
          <w:szCs w:val="32"/>
          <w:lang w:val="en-US" w:eastAsia="zh-CN"/>
        </w:rPr>
        <w:t>落实组织部班子成员分片包联</w:t>
      </w:r>
      <w:r>
        <w:rPr>
          <w:rFonts w:hint="default" w:ascii="Times New Roman" w:hAnsi="Times New Roman" w:eastAsia="方正仿宋_GBK" w:cs="Times New Roman"/>
          <w:sz w:val="32"/>
          <w:szCs w:val="32"/>
          <w:lang w:val="en-US" w:eastAsia="zh-CN"/>
        </w:rPr>
        <w:t>、</w:t>
      </w:r>
      <w:r>
        <w:rPr>
          <w:rFonts w:hint="default" w:ascii="Times New Roman" w:hAnsi="Times New Roman" w:cs="Times New Roman"/>
          <w:sz w:val="32"/>
          <w:szCs w:val="32"/>
          <w:lang w:val="en-US" w:eastAsia="zh-CN"/>
        </w:rPr>
        <w:t>定点指导党建工作制度，配齐配强了股室人员，</w:t>
      </w:r>
      <w:r>
        <w:rPr>
          <w:rFonts w:hint="default" w:ascii="Times New Roman" w:hAnsi="Times New Roman" w:eastAsia="方正仿宋_GBK" w:cs="Times New Roman"/>
          <w:sz w:val="32"/>
          <w:szCs w:val="32"/>
          <w:lang w:val="en-US" w:eastAsia="zh-CN"/>
        </w:rPr>
        <w:t>进一步</w:t>
      </w:r>
      <w:r>
        <w:rPr>
          <w:rFonts w:hint="default" w:ascii="Times New Roman" w:hAnsi="Times New Roman" w:eastAsia="方正仿宋_GBK" w:cs="Times New Roman"/>
          <w:sz w:val="32"/>
          <w:szCs w:val="32"/>
          <w:lang w:eastAsia="zh-CN"/>
        </w:rPr>
        <w:t>加大干部多岗锻炼力度，对</w:t>
      </w:r>
      <w:r>
        <w:rPr>
          <w:rFonts w:hint="default" w:ascii="Times New Roman" w:hAnsi="Times New Roman" w:eastAsia="方正仿宋_GBK" w:cs="Times New Roman"/>
          <w:sz w:val="32"/>
          <w:szCs w:val="32"/>
          <w:lang w:val="en-US" w:eastAsia="zh-CN"/>
        </w:rPr>
        <w:t>4名干部进行岗位轮换，股室交流</w:t>
      </w:r>
      <w:r>
        <w:rPr>
          <w:rFonts w:hint="default" w:ascii="Times New Roman" w:hAnsi="Times New Roman" w:eastAsia="方正仿宋_GBK" w:cs="Times New Roman"/>
          <w:sz w:val="32"/>
          <w:szCs w:val="32"/>
          <w:lang w:eastAsia="zh-CN"/>
        </w:rPr>
        <w:t>。</w:t>
      </w:r>
      <w:r>
        <w:rPr>
          <w:rFonts w:hint="default" w:ascii="Times New Roman" w:hAnsi="Times New Roman" w:cs="Times New Roman"/>
          <w:sz w:val="32"/>
          <w:szCs w:val="32"/>
          <w:lang w:eastAsia="zh-CN"/>
        </w:rPr>
        <w:t>建立年度重点工作清单，细化工作任务，明确责任分工，完成时限，进一步提升履行职责的效率</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val="0"/>
          <w:sz w:val="32"/>
          <w:szCs w:val="32"/>
          <w:lang w:val="en-US" w:eastAsia="zh-CN"/>
        </w:rPr>
        <w:t>三是强化作风建设。</w:t>
      </w:r>
      <w:r>
        <w:rPr>
          <w:rFonts w:hint="default" w:ascii="Times New Roman" w:hAnsi="Times New Roman" w:eastAsia="方正仿宋_GBK" w:cs="Times New Roman"/>
          <w:sz w:val="32"/>
          <w:szCs w:val="32"/>
          <w:lang w:eastAsia="zh-CN"/>
        </w:rPr>
        <w:t>规范</w:t>
      </w:r>
      <w:r>
        <w:rPr>
          <w:rFonts w:hint="default" w:ascii="Times New Roman" w:hAnsi="Times New Roman" w:cs="Times New Roman"/>
          <w:sz w:val="32"/>
          <w:szCs w:val="32"/>
          <w:lang w:eastAsia="zh-CN"/>
        </w:rPr>
        <w:t>干部</w:t>
      </w:r>
      <w:r>
        <w:rPr>
          <w:rFonts w:hint="default" w:ascii="Times New Roman" w:hAnsi="Times New Roman" w:eastAsia="方正仿宋_GBK" w:cs="Times New Roman"/>
          <w:sz w:val="32"/>
          <w:szCs w:val="32"/>
          <w:lang w:eastAsia="zh-CN"/>
        </w:rPr>
        <w:t>日常管理</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lang w:val="en-US" w:eastAsia="zh-CN"/>
        </w:rPr>
        <w:t>制定《县委组织部干部职工日常管理制度》《干部职工精细化管理制度》。</w:t>
      </w:r>
      <w:r>
        <w:rPr>
          <w:rFonts w:hint="default" w:ascii="Times New Roman" w:hAnsi="Times New Roman" w:cs="Times New Roman"/>
          <w:sz w:val="32"/>
          <w:szCs w:val="32"/>
          <w:lang w:val="en-US" w:eastAsia="zh-CN"/>
        </w:rPr>
        <w:t>制发</w:t>
      </w:r>
      <w:r>
        <w:rPr>
          <w:rFonts w:hint="default" w:ascii="Times New Roman" w:hAnsi="Times New Roman" w:eastAsia="方正仿宋_GBK" w:cs="Times New Roman"/>
          <w:sz w:val="32"/>
          <w:szCs w:val="32"/>
          <w:lang w:val="en-US" w:eastAsia="zh-CN"/>
        </w:rPr>
        <w:t>《县委组织部干部职工作风教育整顿方案》，班子成员、干部职工对标对表查摆问题14条，建立问题台账，明确整改时限，</w:t>
      </w:r>
      <w:r>
        <w:rPr>
          <w:rFonts w:hint="default" w:ascii="Times New Roman" w:hAnsi="Times New Roman" w:cs="Times New Roman"/>
          <w:sz w:val="32"/>
          <w:szCs w:val="32"/>
          <w:lang w:val="en-US" w:eastAsia="zh-CN"/>
        </w:rPr>
        <w:t>并</w:t>
      </w:r>
      <w:r>
        <w:rPr>
          <w:rFonts w:hint="default" w:ascii="Times New Roman" w:hAnsi="Times New Roman" w:eastAsia="方正仿宋_GBK" w:cs="Times New Roman"/>
          <w:sz w:val="32"/>
          <w:szCs w:val="32"/>
          <w:lang w:val="en-US" w:eastAsia="zh-CN"/>
        </w:rPr>
        <w:t>完成整改销号。制定完善部机关《公务接待制度》《请销假制度》《财务管理制度》《三重一大议事规则》等20余项具体规章制度，</w:t>
      </w:r>
      <w:r>
        <w:rPr>
          <w:rFonts w:hint="default" w:ascii="Times New Roman" w:hAnsi="Times New Roman" w:eastAsia="方正仿宋_GBK" w:cs="Times New Roman"/>
          <w:sz w:val="32"/>
          <w:szCs w:val="32"/>
        </w:rPr>
        <w:t>进一步</w:t>
      </w:r>
      <w:r>
        <w:rPr>
          <w:rFonts w:hint="default" w:ascii="Times New Roman" w:hAnsi="Times New Roman" w:eastAsia="方正仿宋_GBK" w:cs="Times New Roman"/>
          <w:sz w:val="32"/>
          <w:szCs w:val="32"/>
          <w:lang w:val="en-US" w:eastAsia="zh-CN"/>
        </w:rPr>
        <w:t>强化内部</w:t>
      </w:r>
      <w:r>
        <w:rPr>
          <w:rFonts w:hint="default" w:ascii="Times New Roman" w:hAnsi="Times New Roman" w:cs="Times New Roman"/>
          <w:sz w:val="32"/>
          <w:szCs w:val="32"/>
          <w:lang w:val="en-US" w:eastAsia="zh-CN"/>
        </w:rPr>
        <w:t>运行</w:t>
      </w:r>
      <w:r>
        <w:rPr>
          <w:rFonts w:hint="default" w:ascii="Times New Roman" w:hAnsi="Times New Roman" w:eastAsia="方正仿宋_GBK" w:cs="Times New Roman"/>
          <w:sz w:val="32"/>
          <w:szCs w:val="32"/>
          <w:lang w:val="en-US" w:eastAsia="zh-CN"/>
        </w:rPr>
        <w:t>规范</w:t>
      </w:r>
      <w:r>
        <w:rPr>
          <w:rFonts w:hint="default" w:ascii="Times New Roman" w:hAnsi="Times New Roman" w:cs="Times New Roman"/>
          <w:sz w:val="32"/>
          <w:szCs w:val="32"/>
          <w:lang w:val="en-US" w:eastAsia="zh-CN"/>
        </w:rPr>
        <w:t>化</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深入开展</w:t>
      </w:r>
      <w:r>
        <w:rPr>
          <w:rFonts w:hint="default" w:ascii="Times New Roman" w:hAnsi="Times New Roman" w:eastAsia="方正仿宋_GBK" w:cs="Times New Roman"/>
          <w:sz w:val="32"/>
          <w:szCs w:val="32"/>
          <w:lang w:val="en-US" w:eastAsia="zh-CN"/>
        </w:rPr>
        <w:t>“两联一进”和“我为群众办实事”实践活动，组织干部职工到走访包联群众24户，62人，开展政策法规宣传6次，帮助协调困难问题5件。</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28"/>
          <w:b w:val="0"/>
          <w:bCs w:val="0"/>
        </w:rPr>
      </w:pPr>
      <w:bookmarkStart w:id="35" w:name="_Toc225589638"/>
      <w:r>
        <w:rPr>
          <w:rFonts w:hint="eastAsia" w:ascii="黑体" w:eastAsia="黑体"/>
          <w:b w:val="0"/>
          <w:color w:val="000000"/>
          <w:lang w:eastAsia="zh-CN"/>
        </w:rPr>
        <w:t>二</w:t>
      </w:r>
      <w:r>
        <w:rPr>
          <w:rFonts w:hint="eastAsia" w:ascii="黑体" w:eastAsia="黑体"/>
          <w:b w:val="0"/>
          <w:color w:val="000000"/>
        </w:rPr>
        <w:t>、</w:t>
      </w:r>
      <w:r>
        <w:rPr>
          <w:rFonts w:hint="eastAsia" w:ascii="黑体" w:hAnsi="黑体" w:eastAsia="黑体"/>
          <w:b w:val="0"/>
          <w:color w:val="000000"/>
        </w:rPr>
        <w:t>机</w:t>
      </w:r>
      <w:r>
        <w:rPr>
          <w:rStyle w:val="28"/>
          <w:rFonts w:hint="eastAsia" w:ascii="黑体" w:hAnsi="黑体" w:eastAsia="黑体"/>
          <w:b w:val="0"/>
          <w:bCs w:val="0"/>
        </w:rPr>
        <w:t>构设置</w:t>
      </w:r>
      <w:bookmarkEnd w:id="32"/>
      <w:bookmarkEnd w:id="33"/>
      <w:bookmarkEnd w:id="34"/>
      <w:bookmarkEnd w:id="35"/>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ascii="仿宋_GB2312" w:hAnsi="仿宋_GB2312" w:eastAsia="仿宋_GB2312" w:cs="仿宋_GB2312"/>
          <w:bCs/>
          <w:sz w:val="32"/>
          <w:szCs w:val="32"/>
        </w:rPr>
        <w:t>我单位</w:t>
      </w:r>
      <w:bookmarkStart w:id="187" w:name="_GoBack"/>
      <w:bookmarkEnd w:id="187"/>
      <w:r>
        <w:rPr>
          <w:rFonts w:hint="eastAsia"/>
          <w:sz w:val="32"/>
          <w:szCs w:val="32"/>
          <w:lang w:eastAsia="zh-CN"/>
        </w:rPr>
        <w:t>下设单位</w:t>
      </w:r>
      <w:r>
        <w:rPr>
          <w:rFonts w:hint="eastAsia"/>
          <w:sz w:val="32"/>
          <w:szCs w:val="32"/>
          <w:lang w:val="en-US" w:eastAsia="zh-CN"/>
        </w:rPr>
        <w:t>5</w:t>
      </w:r>
      <w:r>
        <w:rPr>
          <w:rFonts w:hint="eastAsia"/>
          <w:sz w:val="32"/>
          <w:szCs w:val="32"/>
        </w:rPr>
        <w:t>个，其中参照公务员法管理的事业单位</w:t>
      </w:r>
      <w:r>
        <w:rPr>
          <w:rFonts w:hint="eastAsia"/>
          <w:bCs/>
          <w:sz w:val="32"/>
          <w:szCs w:val="32"/>
          <w:lang w:val="en-US" w:eastAsia="zh-CN"/>
        </w:rPr>
        <w:t>2</w:t>
      </w:r>
      <w:r>
        <w:rPr>
          <w:rFonts w:hint="eastAsia"/>
          <w:sz w:val="32"/>
          <w:szCs w:val="32"/>
        </w:rPr>
        <w:t>个，其他事业单位</w:t>
      </w:r>
      <w:r>
        <w:rPr>
          <w:rFonts w:hint="eastAsia"/>
          <w:sz w:val="32"/>
          <w:szCs w:val="32"/>
          <w:lang w:val="en-US" w:eastAsia="zh-CN"/>
        </w:rPr>
        <w:t>3</w:t>
      </w:r>
      <w:r>
        <w:rPr>
          <w:rFonts w:hint="eastAsia"/>
          <w:sz w:val="32"/>
          <w:szCs w:val="32"/>
        </w:rPr>
        <w:t>个。</w:t>
      </w:r>
      <w:r>
        <w:rPr>
          <w:rFonts w:hint="eastAsia"/>
          <w:sz w:val="32"/>
          <w:szCs w:val="32"/>
          <w:lang w:eastAsia="zh-CN"/>
        </w:rPr>
        <w:t>分别是：党员教育中心、玉堂干休所、信息中心、关心下一代中心、老干部活动中心。</w:t>
      </w:r>
    </w:p>
    <w:p>
      <w:pPr>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color w:val="000000"/>
          <w:kern w:val="0"/>
          <w:sz w:val="32"/>
          <w:szCs w:val="32"/>
        </w:rPr>
      </w:pPr>
      <w:r>
        <w:rPr>
          <w:rFonts w:ascii="仿宋" w:hAnsi="仿宋" w:eastAsia="仿宋"/>
          <w:color w:val="000000"/>
          <w:sz w:val="32"/>
          <w:szCs w:val="32"/>
        </w:rPr>
        <w:br w:type="page"/>
      </w:r>
    </w:p>
    <w:p>
      <w:pPr>
        <w:pStyle w:val="3"/>
        <w:pageBreakBefore w:val="0"/>
        <w:widowControl w:val="0"/>
        <w:kinsoku/>
        <w:wordWrap/>
        <w:overflowPunct/>
        <w:topLinePunct w:val="0"/>
        <w:autoSpaceDE/>
        <w:autoSpaceDN/>
        <w:bidi w:val="0"/>
        <w:adjustRightInd/>
        <w:snapToGrid/>
        <w:spacing w:line="576" w:lineRule="exact"/>
        <w:ind w:right="440"/>
        <w:jc w:val="right"/>
        <w:textAlignment w:val="auto"/>
      </w:pPr>
      <w:bookmarkStart w:id="36" w:name="_Toc15377204"/>
      <w:bookmarkStart w:id="37" w:name="_Toc15396602"/>
      <w:bookmarkStart w:id="38" w:name="_Toc1511678901"/>
      <w:bookmarkStart w:id="39" w:name="_Toc31163"/>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lang w:val="en-US" w:eastAsia="zh-CN"/>
        </w:rPr>
        <w:t>2021</w:t>
      </w:r>
      <w:r>
        <w:rPr>
          <w:rStyle w:val="27"/>
          <w:rFonts w:hint="eastAsia" w:ascii="黑体" w:hAnsi="黑体" w:eastAsia="黑体"/>
          <w:b w:val="0"/>
          <w:bCs w:val="0"/>
        </w:rPr>
        <w:t>年度部门决算情况说明</w:t>
      </w:r>
      <w:bookmarkEnd w:id="36"/>
      <w:bookmarkEnd w:id="37"/>
      <w:bookmarkEnd w:id="38"/>
      <w:bookmarkEnd w:id="39"/>
    </w:p>
    <w:p>
      <w:pPr>
        <w:pStyle w:val="26"/>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textAlignment w:val="auto"/>
        <w:outlineLvl w:val="1"/>
        <w:rPr>
          <w:rStyle w:val="28"/>
          <w:rFonts w:ascii="黑体" w:hAnsi="黑体" w:eastAsia="黑体"/>
          <w:b w:val="0"/>
        </w:rPr>
      </w:pPr>
      <w:bookmarkStart w:id="40" w:name="_Toc508984489"/>
      <w:bookmarkStart w:id="41" w:name="_Toc15377205"/>
      <w:bookmarkStart w:id="42" w:name="_Toc11895"/>
      <w:bookmarkStart w:id="43"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40"/>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年度收入总计</w:t>
      </w:r>
      <w:r>
        <w:rPr>
          <w:rFonts w:hint="eastAsia" w:ascii="仿宋_GB2312" w:hAnsi="仿宋_GB2312" w:eastAsia="仿宋_GB2312" w:cs="仿宋_GB2312"/>
          <w:color w:val="000000"/>
          <w:sz w:val="32"/>
          <w:szCs w:val="32"/>
          <w:lang w:val="en-US" w:eastAsia="zh-CN"/>
        </w:rPr>
        <w:t>1293.88</w:t>
      </w:r>
      <w:r>
        <w:rPr>
          <w:rFonts w:hint="eastAsia" w:ascii="仿宋_GB2312" w:hAnsi="仿宋_GB2312" w:eastAsia="仿宋_GB2312" w:cs="仿宋_GB2312"/>
          <w:color w:val="000000"/>
          <w:sz w:val="32"/>
          <w:szCs w:val="32"/>
        </w:rPr>
        <w:t>万元，其中：财政拨款收入</w:t>
      </w:r>
      <w:r>
        <w:rPr>
          <w:rFonts w:hint="eastAsia" w:ascii="仿宋_GB2312" w:hAnsi="仿宋_GB2312" w:eastAsia="仿宋_GB2312" w:cs="仿宋_GB2312"/>
          <w:color w:val="000000"/>
          <w:sz w:val="32"/>
          <w:szCs w:val="32"/>
          <w:lang w:val="en-US" w:eastAsia="zh-CN"/>
        </w:rPr>
        <w:t>1293.88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%。上年结转和结余</w:t>
      </w:r>
      <w:r>
        <w:rPr>
          <w:rFonts w:hint="eastAsia" w:ascii="仿宋_GB2312" w:hAnsi="仿宋_GB2312" w:eastAsia="仿宋_GB2312" w:cs="仿宋_GB2312"/>
          <w:color w:val="000000"/>
          <w:sz w:val="32"/>
          <w:szCs w:val="32"/>
          <w:lang w:val="en-US" w:eastAsia="zh-CN"/>
        </w:rPr>
        <w:t>47.4</w:t>
      </w:r>
      <w:r>
        <w:rPr>
          <w:rFonts w:hint="eastAsia" w:ascii="仿宋_GB2312" w:hAnsi="仿宋_GB2312" w:eastAsia="仿宋_GB2312" w:cs="仿宋_GB2312"/>
          <w:color w:val="000000"/>
          <w:sz w:val="32"/>
          <w:szCs w:val="32"/>
        </w:rPr>
        <w:t>万元，其中：项目支出结转和结余</w:t>
      </w:r>
      <w:r>
        <w:rPr>
          <w:rFonts w:hint="eastAsia" w:ascii="仿宋_GB2312" w:hAnsi="仿宋_GB2312" w:eastAsia="仿宋_GB2312" w:cs="仿宋_GB2312"/>
          <w:color w:val="000000"/>
          <w:sz w:val="32"/>
          <w:szCs w:val="32"/>
          <w:lang w:val="en-US" w:eastAsia="zh-CN"/>
        </w:rPr>
        <w:t>47.4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年度支出总计</w:t>
      </w:r>
      <w:r>
        <w:rPr>
          <w:rFonts w:hint="eastAsia" w:ascii="仿宋_GB2312" w:hAnsi="仿宋_GB2312" w:eastAsia="仿宋_GB2312" w:cs="仿宋_GB2312"/>
          <w:color w:val="000000"/>
          <w:sz w:val="32"/>
          <w:szCs w:val="32"/>
          <w:lang w:val="en-US" w:eastAsia="zh-CN"/>
        </w:rPr>
        <w:t>1341.28</w:t>
      </w:r>
      <w:r>
        <w:rPr>
          <w:rFonts w:hint="eastAsia" w:ascii="仿宋_GB2312" w:hAnsi="仿宋_GB2312" w:eastAsia="仿宋_GB2312" w:cs="仿宋_GB2312"/>
          <w:color w:val="000000"/>
          <w:sz w:val="32"/>
          <w:szCs w:val="32"/>
        </w:rPr>
        <w:t>万元，其中，一般公共服务支出</w:t>
      </w:r>
      <w:r>
        <w:rPr>
          <w:rFonts w:hint="eastAsia" w:ascii="仿宋_GB2312" w:hAnsi="仿宋_GB2312" w:eastAsia="仿宋_GB2312" w:cs="仿宋_GB2312"/>
          <w:color w:val="000000"/>
          <w:sz w:val="32"/>
          <w:szCs w:val="32"/>
          <w:lang w:val="en-US" w:eastAsia="zh-CN"/>
        </w:rPr>
        <w:t>960.33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71.60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380.96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28.40</w:t>
      </w:r>
      <w:r>
        <w:rPr>
          <w:rFonts w:hint="eastAsia" w:ascii="仿宋_GB2312" w:hAnsi="仿宋_GB2312" w:eastAsia="仿宋_GB2312" w:cs="仿宋_GB2312"/>
          <w:color w:val="000000"/>
          <w:sz w:val="32"/>
          <w:szCs w:val="32"/>
        </w:rPr>
        <w:t>%（教育支出</w:t>
      </w:r>
      <w:r>
        <w:rPr>
          <w:rFonts w:hint="eastAsia" w:ascii="仿宋_GB2312" w:hAnsi="仿宋_GB2312" w:eastAsia="仿宋_GB2312" w:cs="仿宋_GB2312"/>
          <w:color w:val="000000"/>
          <w:sz w:val="32"/>
          <w:szCs w:val="32"/>
          <w:lang w:val="en-US" w:eastAsia="zh-CN"/>
        </w:rPr>
        <w:t>240.97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63.25</w:t>
      </w:r>
      <w:r>
        <w:rPr>
          <w:rFonts w:hint="eastAsia" w:ascii="仿宋_GB2312" w:hAnsi="仿宋_GB2312" w:eastAsia="仿宋_GB2312" w:cs="仿宋_GB2312"/>
          <w:color w:val="000000"/>
          <w:sz w:val="32"/>
          <w:szCs w:val="32"/>
        </w:rPr>
        <w:t>%；文化旅游体育与传媒支出</w:t>
      </w:r>
      <w:r>
        <w:rPr>
          <w:rFonts w:hint="eastAsia" w:ascii="仿宋_GB2312" w:hAnsi="仿宋_GB2312" w:eastAsia="仿宋_GB2312" w:cs="仿宋_GB2312"/>
          <w:color w:val="000000"/>
          <w:sz w:val="32"/>
          <w:szCs w:val="32"/>
          <w:lang w:val="en-US" w:eastAsia="zh-CN"/>
        </w:rPr>
        <w:t>0.5万元，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0.13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社会</w:t>
      </w:r>
      <w:r>
        <w:rPr>
          <w:rFonts w:hint="eastAsia" w:ascii="仿宋_GB2312" w:hAnsi="仿宋_GB2312" w:eastAsia="仿宋_GB2312" w:cs="仿宋_GB2312"/>
          <w:color w:val="000000"/>
          <w:sz w:val="32"/>
          <w:szCs w:val="32"/>
          <w:lang w:eastAsia="zh-CN"/>
        </w:rPr>
        <w:t>保障</w:t>
      </w:r>
      <w:r>
        <w:rPr>
          <w:rFonts w:hint="eastAsia" w:ascii="仿宋_GB2312" w:hAnsi="仿宋_GB2312" w:eastAsia="仿宋_GB2312" w:cs="仿宋_GB2312"/>
          <w:color w:val="000000"/>
          <w:sz w:val="32"/>
          <w:szCs w:val="32"/>
        </w:rPr>
        <w:t>和就业支出</w:t>
      </w:r>
      <w:r>
        <w:rPr>
          <w:rFonts w:hint="eastAsia" w:ascii="仿宋_GB2312" w:hAnsi="仿宋_GB2312" w:eastAsia="仿宋_GB2312" w:cs="仿宋_GB2312"/>
          <w:color w:val="000000"/>
          <w:sz w:val="32"/>
          <w:szCs w:val="32"/>
          <w:lang w:val="en-US" w:eastAsia="zh-CN"/>
        </w:rPr>
        <w:t>66.00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17.32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卫生健康</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28.92</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7.60</w:t>
      </w:r>
      <w:r>
        <w:rPr>
          <w:rFonts w:hint="eastAsia" w:ascii="仿宋_GB2312" w:hAnsi="仿宋_GB2312" w:eastAsia="仿宋_GB2312" w:cs="仿宋_GB2312"/>
          <w:color w:val="000000"/>
          <w:sz w:val="32"/>
          <w:szCs w:val="32"/>
        </w:rPr>
        <w:t>%；房保障支出</w:t>
      </w:r>
      <w:r>
        <w:rPr>
          <w:rFonts w:hint="eastAsia" w:ascii="仿宋_GB2312" w:hAnsi="仿宋_GB2312" w:eastAsia="仿宋_GB2312" w:cs="仿宋_GB2312"/>
          <w:color w:val="000000"/>
          <w:sz w:val="32"/>
          <w:szCs w:val="32"/>
          <w:lang w:val="en-US" w:eastAsia="zh-CN"/>
        </w:rPr>
        <w:t>44.57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11.70</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73600" behindDoc="1" locked="0" layoutInCell="1" allowOverlap="1">
            <wp:simplePos x="0" y="0"/>
            <wp:positionH relativeFrom="column">
              <wp:posOffset>299085</wp:posOffset>
            </wp:positionH>
            <wp:positionV relativeFrom="paragraph">
              <wp:posOffset>1151255</wp:posOffset>
            </wp:positionV>
            <wp:extent cx="5054600" cy="2159000"/>
            <wp:effectExtent l="4445" t="4445" r="8255" b="8255"/>
            <wp:wrapTight wrapText="bothSides">
              <wp:wrapPolygon>
                <wp:start x="-19" y="-44"/>
                <wp:lineTo x="-19" y="21492"/>
                <wp:lineTo x="21554" y="21492"/>
                <wp:lineTo x="21554" y="-44"/>
                <wp:lineTo x="-19" y="-44"/>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年相比，总收入增加</w:t>
      </w:r>
      <w:r>
        <w:rPr>
          <w:rFonts w:hint="eastAsia" w:ascii="仿宋_GB2312" w:hAnsi="仿宋_GB2312" w:eastAsia="仿宋_GB2312" w:cs="仿宋_GB2312"/>
          <w:color w:val="000000"/>
          <w:sz w:val="32"/>
          <w:szCs w:val="32"/>
          <w:lang w:val="en-US" w:eastAsia="zh-CN"/>
        </w:rPr>
        <w:t>215.46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19.98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总支出增加</w:t>
      </w:r>
      <w:r>
        <w:rPr>
          <w:rFonts w:hint="eastAsia" w:ascii="仿宋_GB2312" w:hAnsi="仿宋_GB2312" w:eastAsia="仿宋_GB2312" w:cs="仿宋_GB2312"/>
          <w:color w:val="000000"/>
          <w:sz w:val="32"/>
          <w:szCs w:val="32"/>
          <w:lang w:val="en-US" w:eastAsia="zh-CN"/>
        </w:rPr>
        <w:t>116.26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9.49</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rPr>
        <w:t>主要变动原因是人员增加和项目经费支出增加</w:t>
      </w:r>
      <w:r>
        <w:rPr>
          <w:rFonts w:hint="eastAsia" w:ascii="仿宋_GB2312" w:hAnsi="仿宋_GB2312" w:eastAsia="仿宋_GB2312" w:cs="仿宋_GB2312"/>
          <w:color w:val="000000"/>
          <w:sz w:val="32"/>
          <w:szCs w:val="32"/>
        </w:rPr>
        <w:t>。</w:t>
      </w:r>
    </w:p>
    <w:p>
      <w:pPr>
        <w:spacing w:line="600" w:lineRule="exact"/>
        <w:jc w:val="center"/>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6"/>
        <w:numPr>
          <w:ilvl w:val="0"/>
          <w:numId w:val="1"/>
        </w:numPr>
        <w:spacing w:line="600" w:lineRule="exact"/>
        <w:ind w:firstLineChars="0"/>
        <w:outlineLvl w:val="1"/>
        <w:rPr>
          <w:rStyle w:val="28"/>
          <w:rFonts w:ascii="黑体" w:hAnsi="黑体" w:eastAsia="黑体"/>
          <w:b w:val="0"/>
        </w:rPr>
      </w:pPr>
      <w:bookmarkStart w:id="44" w:name="_Toc15377206"/>
      <w:bookmarkStart w:id="45" w:name="_Toc26006"/>
      <w:bookmarkStart w:id="46" w:name="_Toc15396604"/>
      <w:bookmarkStart w:id="47" w:name="_Toc509651443"/>
      <w:r>
        <w:rPr>
          <w:rFonts w:hint="eastAsia" w:ascii="黑体" w:hAnsi="黑体" w:eastAsia="黑体"/>
          <w:color w:val="000000"/>
          <w:sz w:val="32"/>
          <w:szCs w:val="32"/>
        </w:rPr>
        <w:t>收</w:t>
      </w:r>
      <w:r>
        <w:rPr>
          <w:rStyle w:val="28"/>
          <w:rFonts w:hint="eastAsia" w:ascii="黑体" w:hAnsi="黑体" w:eastAsia="黑体"/>
          <w:b w:val="0"/>
        </w:rPr>
        <w:t>入决算情况说明</w:t>
      </w:r>
      <w:bookmarkEnd w:id="44"/>
      <w:bookmarkEnd w:id="45"/>
      <w:bookmarkEnd w:id="46"/>
      <w:bookmarkEnd w:id="4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 w:hAnsi="仿宋" w:eastAsia="仿宋"/>
          <w:color w:val="000000" w:themeColor="text1"/>
          <w:sz w:val="32"/>
          <w:szCs w:val="32"/>
          <w14:textFill>
            <w14:solidFill>
              <w14:schemeClr w14:val="tx1"/>
            </w14:solidFill>
          </w14:textFill>
        </w:rPr>
      </w:pPr>
      <w:bookmarkStart w:id="48" w:name="_Toc22194"/>
      <w:bookmarkStart w:id="49" w:name="_Toc1280542725"/>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1293.88</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1293.88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上级补助收入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48"/>
      <w:bookmarkEnd w:id="49"/>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6432" behindDoc="1" locked="0" layoutInCell="1" allowOverlap="1">
            <wp:simplePos x="0" y="0"/>
            <wp:positionH relativeFrom="column">
              <wp:posOffset>566420</wp:posOffset>
            </wp:positionH>
            <wp:positionV relativeFrom="paragraph">
              <wp:posOffset>137160</wp:posOffset>
            </wp:positionV>
            <wp:extent cx="4757420" cy="2003425"/>
            <wp:effectExtent l="4445" t="4445" r="19685" b="11430"/>
            <wp:wrapTight wrapText="bothSides">
              <wp:wrapPolygon>
                <wp:start x="-20" y="-48"/>
                <wp:lineTo x="-20" y="21518"/>
                <wp:lineTo x="21516" y="21518"/>
                <wp:lineTo x="21516" y="-48"/>
                <wp:lineTo x="-20" y="-48"/>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6"/>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textAlignment w:val="auto"/>
        <w:outlineLvl w:val="1"/>
        <w:rPr>
          <w:rStyle w:val="28"/>
          <w:rFonts w:ascii="黑体" w:hAnsi="黑体" w:eastAsia="黑体"/>
          <w:b w:val="0"/>
        </w:rPr>
      </w:pPr>
      <w:bookmarkStart w:id="50" w:name="_Toc15377207"/>
      <w:bookmarkStart w:id="51" w:name="_Toc950299877"/>
      <w:bookmarkStart w:id="52" w:name="_Toc15528"/>
      <w:bookmarkStart w:id="53"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50"/>
      <w:bookmarkEnd w:id="51"/>
      <w:bookmarkEnd w:id="52"/>
      <w:bookmarkEnd w:id="5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hAnsi="仿宋_GB2312" w:eastAsia="仿宋_GB2312" w:cs="仿宋_GB2312"/>
          <w:color w:val="000000"/>
          <w:sz w:val="32"/>
          <w:szCs w:val="32"/>
        </w:rPr>
      </w:pPr>
      <w:bookmarkStart w:id="54" w:name="_Toc10457"/>
      <w:bookmarkStart w:id="55" w:name="_Toc142020486"/>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1341.28</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707.57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52.75</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633.71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47.25</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w:t>
      </w:r>
      <w:r>
        <w:rPr>
          <w:rFonts w:hint="eastAsia" w:ascii="仿宋_GB2312" w:hAnsi="仿宋_GB2312" w:eastAsia="仿宋_GB2312" w:cs="仿宋_GB2312"/>
          <w:color w:val="000000"/>
          <w:sz w:val="32"/>
          <w:szCs w:val="32"/>
          <w:lang w:val="en-US" w:eastAsia="zh-CN"/>
        </w:rPr>
        <w:t>出0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54"/>
      <w:bookmarkEnd w:id="55"/>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537845</wp:posOffset>
            </wp:positionH>
            <wp:positionV relativeFrom="paragraph">
              <wp:posOffset>13970</wp:posOffset>
            </wp:positionV>
            <wp:extent cx="4815840" cy="1490345"/>
            <wp:effectExtent l="5080" t="5080" r="17780" b="9525"/>
            <wp:wrapTight wrapText="bothSides">
              <wp:wrapPolygon>
                <wp:start x="-23" y="-74"/>
                <wp:lineTo x="-23" y="21462"/>
                <wp:lineTo x="21509" y="21462"/>
                <wp:lineTo x="21509" y="-74"/>
                <wp:lineTo x="-23" y="-7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jc w:val="center"/>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（图3：支出决算结构图）（饼状图）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8"/>
          <w:rFonts w:ascii="黑体" w:hAnsi="黑体" w:eastAsia="黑体"/>
          <w:b w:val="0"/>
        </w:rPr>
      </w:pPr>
      <w:bookmarkStart w:id="56" w:name="_Toc15377208"/>
      <w:bookmarkStart w:id="57" w:name="_Toc27709"/>
      <w:bookmarkStart w:id="58" w:name="_Toc15396606"/>
      <w:bookmarkStart w:id="59" w:name="_Toc32331711"/>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56"/>
      <w:bookmarkEnd w:id="57"/>
      <w:bookmarkEnd w:id="58"/>
      <w:bookmarkEnd w:id="59"/>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_GB2312"/>
          <w:color w:val="000000"/>
          <w:sz w:val="32"/>
          <w:szCs w:val="32"/>
          <w:lang w:eastAsia="zh-CN"/>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1293.88</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215.46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19.98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1341.28</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116.26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9.49</w:t>
      </w:r>
      <w:r>
        <w:rPr>
          <w:rFonts w:ascii="仿宋" w:hAnsi="仿宋" w:eastAsia="仿宋"/>
          <w:color w:val="000000"/>
          <w:sz w:val="32"/>
          <w:szCs w:val="32"/>
        </w:rPr>
        <w:t>%</w:t>
      </w:r>
      <w:r>
        <w:rPr>
          <w:rFonts w:hint="eastAsia" w:ascii="仿宋" w:hAnsi="仿宋" w:eastAsia="仿宋"/>
          <w:color w:val="000000"/>
          <w:sz w:val="32"/>
          <w:szCs w:val="32"/>
        </w:rPr>
        <w:t>。主要变动原因是人员增加和项目经费支出增加</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highlight w:val="none"/>
          <w:lang w:eastAsia="zh-CN"/>
          <w14:textFill>
            <w14:solidFill>
              <w14:schemeClr w14:val="tx1"/>
            </w14:solidFill>
          </w14:textFill>
        </w:rPr>
        <w:drawing>
          <wp:anchor distT="0" distB="0" distL="114935" distR="114935" simplePos="0" relativeHeight="251662336" behindDoc="1" locked="0" layoutInCell="1" allowOverlap="1">
            <wp:simplePos x="0" y="0"/>
            <wp:positionH relativeFrom="column">
              <wp:posOffset>537845</wp:posOffset>
            </wp:positionH>
            <wp:positionV relativeFrom="paragraph">
              <wp:posOffset>95250</wp:posOffset>
            </wp:positionV>
            <wp:extent cx="4709160" cy="2547620"/>
            <wp:effectExtent l="4445" t="4445" r="10795" b="19685"/>
            <wp:wrapTight wrapText="bothSides">
              <wp:wrapPolygon>
                <wp:start x="-20" y="-38"/>
                <wp:lineTo x="-20" y="21444"/>
                <wp:lineTo x="21562" y="21444"/>
                <wp:lineTo x="21562" y="-38"/>
                <wp:lineTo x="-20" y="-38"/>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8"/>
          <w:rFonts w:hint="eastAsia" w:ascii="黑体" w:hAnsi="黑体" w:eastAsia="黑体"/>
          <w:b w:val="0"/>
        </w:rPr>
      </w:pPr>
      <w:bookmarkStart w:id="60" w:name="_Toc15396607"/>
      <w:bookmarkStart w:id="61" w:name="_Toc17694289"/>
      <w:bookmarkStart w:id="62" w:name="_Toc15377209"/>
      <w:bookmarkStart w:id="63" w:name="_Toc9113"/>
      <w:r>
        <w:rPr>
          <w:rStyle w:val="28"/>
          <w:rFonts w:hint="eastAsia" w:ascii="黑体" w:hAnsi="黑体" w:eastAsia="黑体"/>
          <w:b w:val="0"/>
        </w:rPr>
        <w:t>五、一般公共预算财政拨款支出决算情况说明</w:t>
      </w:r>
      <w:bookmarkEnd w:id="60"/>
      <w:bookmarkEnd w:id="61"/>
      <w:bookmarkEnd w:id="62"/>
      <w:bookmarkEnd w:id="63"/>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ascii="仿宋" w:hAnsi="仿宋" w:eastAsia="仿宋"/>
          <w:b/>
          <w:color w:val="000000"/>
          <w:sz w:val="32"/>
          <w:szCs w:val="32"/>
        </w:rPr>
      </w:pPr>
      <w:bookmarkStart w:id="64" w:name="_Toc27803"/>
      <w:bookmarkStart w:id="65" w:name="_Toc1651977881"/>
      <w:bookmarkStart w:id="66" w:name="_Toc15377210"/>
      <w:r>
        <w:rPr>
          <w:rFonts w:hint="eastAsia" w:ascii="仿宋" w:hAnsi="仿宋" w:eastAsia="仿宋"/>
          <w:b/>
          <w:color w:val="000000"/>
          <w:sz w:val="32"/>
          <w:szCs w:val="32"/>
        </w:rPr>
        <w:t>（一）一般公共预算财政拨款支出决算总体情况</w:t>
      </w:r>
      <w:bookmarkEnd w:id="64"/>
      <w:bookmarkEnd w:id="65"/>
      <w:bookmarkEnd w:id="66"/>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1341.28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116.26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9.49</w:t>
      </w:r>
      <w:r>
        <w:rPr>
          <w:rFonts w:ascii="仿宋" w:hAnsi="仿宋" w:eastAsia="仿宋"/>
          <w:color w:val="000000"/>
          <w:sz w:val="32"/>
          <w:szCs w:val="32"/>
        </w:rPr>
        <w:t>%</w:t>
      </w:r>
      <w:r>
        <w:rPr>
          <w:rFonts w:hint="eastAsia" w:ascii="仿宋" w:hAnsi="仿宋" w:eastAsia="仿宋"/>
          <w:color w:val="000000"/>
          <w:sz w:val="32"/>
          <w:szCs w:val="32"/>
        </w:rPr>
        <w:t>。主要变动原因是人员增加和项目经费支出</w:t>
      </w:r>
      <w:r>
        <w:rPr>
          <w:rFonts w:hint="eastAsia" w:ascii="仿宋" w:hAnsi="仿宋" w:eastAsia="仿宋"/>
          <w:color w:val="000000"/>
          <w:sz w:val="32"/>
          <w:szCs w:val="32"/>
          <w:lang w:eastAsia="zh-CN"/>
        </w:rPr>
        <w:t>增加。</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3360" behindDoc="1" locked="0" layoutInCell="1" allowOverlap="1">
            <wp:simplePos x="0" y="0"/>
            <wp:positionH relativeFrom="column">
              <wp:posOffset>413385</wp:posOffset>
            </wp:positionH>
            <wp:positionV relativeFrom="paragraph">
              <wp:posOffset>43180</wp:posOffset>
            </wp:positionV>
            <wp:extent cx="5059045" cy="3130550"/>
            <wp:effectExtent l="4445" t="4445" r="22860" b="8255"/>
            <wp:wrapTight wrapText="bothSides">
              <wp:wrapPolygon>
                <wp:start x="-54" y="44"/>
                <wp:lineTo x="-54" y="21600"/>
                <wp:lineTo x="21581" y="21600"/>
                <wp:lineTo x="21581" y="44"/>
                <wp:lineTo x="-54" y="44"/>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ascii="仿宋" w:hAnsi="仿宋" w:eastAsia="仿宋"/>
          <w:b/>
          <w:color w:val="000000"/>
          <w:sz w:val="32"/>
          <w:szCs w:val="32"/>
        </w:rPr>
      </w:pPr>
      <w:bookmarkStart w:id="67" w:name="_Toc365647532"/>
      <w:bookmarkStart w:id="68" w:name="_Toc15377211"/>
      <w:bookmarkStart w:id="69" w:name="_Toc10567"/>
      <w:r>
        <w:rPr>
          <w:rFonts w:hint="eastAsia" w:ascii="仿宋" w:hAnsi="仿宋" w:eastAsia="仿宋"/>
          <w:b/>
          <w:color w:val="000000"/>
          <w:sz w:val="32"/>
          <w:szCs w:val="32"/>
        </w:rPr>
        <w:t>（二）一般公共预算财政拨款支出决算结构情况</w:t>
      </w:r>
      <w:bookmarkEnd w:id="67"/>
      <w:bookmarkEnd w:id="68"/>
      <w:bookmarkEnd w:id="69"/>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1341.28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960.33元，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71.60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b/>
          <w:color w:val="000000" w:themeColor="text1"/>
          <w:sz w:val="32"/>
          <w:szCs w:val="32"/>
          <w:lang w:val="en-US" w:eastAsia="zh-CN"/>
          <w14:textFill>
            <w14:solidFill>
              <w14:schemeClr w14:val="tx1"/>
            </w14:solidFill>
          </w14:textFill>
        </w:rPr>
        <w:t>205</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240.97</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17.97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文化旅游体育与传媒（类）</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0.5万元，占0.04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66.00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4.92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28.92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2.15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44.57</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3.32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pStyle w:val="7"/>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pStyle w:val="7"/>
        <w:rPr>
          <w:rFonts w:hint="eastAsia"/>
          <w:lang w:eastAsia="zh-CN"/>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4384" behindDoc="0" locked="0" layoutInCell="1" allowOverlap="1">
            <wp:simplePos x="0" y="0"/>
            <wp:positionH relativeFrom="column">
              <wp:posOffset>29210</wp:posOffset>
            </wp:positionH>
            <wp:positionV relativeFrom="paragraph">
              <wp:posOffset>-41275</wp:posOffset>
            </wp:positionV>
            <wp:extent cx="5617210" cy="3082925"/>
            <wp:effectExtent l="4445" t="4445" r="17145" b="177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hint="eastAsia" w:ascii="仿宋" w:hAnsi="仿宋" w:eastAsia="仿宋"/>
          <w:b/>
          <w:color w:val="000000"/>
          <w:sz w:val="32"/>
          <w:szCs w:val="32"/>
        </w:rPr>
      </w:pPr>
      <w:r>
        <w:rPr>
          <w:rFonts w:hint="eastAsia" w:ascii="仿宋" w:hAnsi="仿宋" w:eastAsia="仿宋"/>
          <w:color w:val="000000"/>
          <w:sz w:val="32"/>
          <w:szCs w:val="32"/>
        </w:rPr>
        <w:t>（图6：一般公共预算财政拨款支出决算结构）（饼状图）</w:t>
      </w:r>
      <w:bookmarkStart w:id="70" w:name="_Toc15377212"/>
    </w:p>
    <w:p>
      <w:pPr>
        <w:spacing w:line="600" w:lineRule="exact"/>
        <w:ind w:firstLine="642" w:firstLineChars="200"/>
        <w:outlineLvl w:val="2"/>
        <w:rPr>
          <w:rFonts w:ascii="仿宋" w:hAnsi="仿宋" w:eastAsia="仿宋"/>
          <w:b/>
          <w:color w:val="000000"/>
          <w:sz w:val="32"/>
          <w:szCs w:val="32"/>
        </w:rPr>
      </w:pPr>
      <w:bookmarkStart w:id="71" w:name="_Toc15708"/>
      <w:bookmarkStart w:id="72" w:name="_Toc1926984594"/>
      <w:r>
        <w:rPr>
          <w:rFonts w:hint="eastAsia" w:ascii="仿宋" w:hAnsi="仿宋" w:eastAsia="仿宋"/>
          <w:b/>
          <w:color w:val="000000"/>
          <w:sz w:val="32"/>
          <w:szCs w:val="32"/>
        </w:rPr>
        <w:t>（三）一般公共预算财政拨款支出决算具体情况</w:t>
      </w:r>
      <w:bookmarkEnd w:id="70"/>
      <w:bookmarkEnd w:id="71"/>
      <w:bookmarkEnd w:id="72"/>
    </w:p>
    <w:p>
      <w:pPr>
        <w:spacing w:line="600" w:lineRule="exact"/>
        <w:ind w:firstLine="642" w:firstLineChars="200"/>
        <w:outlineLvl w:val="2"/>
        <w:rPr>
          <w:rFonts w:ascii="仿宋" w:hAnsi="仿宋" w:eastAsia="仿宋"/>
          <w:color w:val="FF0000"/>
          <w:sz w:val="32"/>
          <w:szCs w:val="32"/>
        </w:rPr>
      </w:pPr>
      <w:bookmarkStart w:id="73" w:name="_Toc15377444"/>
      <w:bookmarkStart w:id="74" w:name="_Toc12098"/>
      <w:bookmarkStart w:id="75" w:name="_Toc15377213"/>
      <w:bookmarkStart w:id="76" w:name="_Toc15378460"/>
      <w:bookmarkStart w:id="77" w:name="_Toc1529159379"/>
      <w:r>
        <w:rPr>
          <w:rFonts w:hint="eastAsia" w:ascii="仿宋" w:hAnsi="仿宋" w:eastAsia="仿宋"/>
          <w:b/>
          <w:color w:val="000000" w:themeColor="text1"/>
          <w:sz w:val="32"/>
          <w:szCs w:val="32"/>
          <w:lang w:val="en-US" w:eastAsia="zh-CN"/>
          <w14:textFill>
            <w14:solidFill>
              <w14:schemeClr w14:val="tx1"/>
            </w14:solidFill>
          </w14:textFill>
        </w:rPr>
        <w:t>2021</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1341.28</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73"/>
      <w:bookmarkEnd w:id="74"/>
      <w:bookmarkEnd w:id="75"/>
      <w:bookmarkEnd w:id="76"/>
      <w:bookmarkEnd w:id="77"/>
    </w:p>
    <w:p>
      <w:pPr>
        <w:numPr>
          <w:ilvl w:val="0"/>
          <w:numId w:val="0"/>
        </w:numPr>
        <w:spacing w:line="600" w:lineRule="exact"/>
        <w:ind w:firstLine="642" w:firstLineChars="200"/>
        <w:rPr>
          <w:rStyle w:val="17"/>
          <w:rFonts w:hint="eastAsia" w:ascii="仿宋" w:hAnsi="仿宋" w:eastAsia="仿宋"/>
          <w:b w:val="0"/>
          <w:bCs w:val="0"/>
          <w:color w:val="000000"/>
          <w:sz w:val="32"/>
          <w:szCs w:val="32"/>
          <w:lang w:val="en-US" w:eastAsia="zh-CN"/>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b/>
          <w:color w:val="000000" w:themeColor="text1"/>
          <w:sz w:val="32"/>
          <w:szCs w:val="32"/>
          <w:lang w:eastAsia="zh-CN"/>
          <w14:textFill>
            <w14:solidFill>
              <w14:schemeClr w14:val="tx1"/>
            </w14:solidFill>
          </w14:textFill>
        </w:rPr>
        <w:t>：</w:t>
      </w:r>
      <w:r>
        <w:rPr>
          <w:rStyle w:val="17"/>
          <w:rFonts w:hint="eastAsia" w:ascii="仿宋" w:hAnsi="仿宋" w:eastAsia="仿宋"/>
          <w:b/>
          <w:bCs w:val="0"/>
          <w:color w:val="000000"/>
          <w:sz w:val="32"/>
          <w:szCs w:val="32"/>
          <w:lang w:val="en-US" w:eastAsia="zh-CN"/>
        </w:rPr>
        <w:t>2013201行政运行</w:t>
      </w:r>
      <w:r>
        <w:rPr>
          <w:rStyle w:val="17"/>
          <w:rFonts w:hint="eastAsia" w:ascii="仿宋" w:hAnsi="仿宋" w:eastAsia="仿宋"/>
          <w:b w:val="0"/>
          <w:bCs w:val="0"/>
          <w:color w:val="000000"/>
          <w:sz w:val="32"/>
          <w:szCs w:val="32"/>
          <w:lang w:val="en-US" w:eastAsia="zh-CN"/>
        </w:rPr>
        <w:t>支出决算478.76万元，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lang w:eastAsia="zh-CN"/>
        </w:rPr>
        <w:t>；</w:t>
      </w:r>
      <w:r>
        <w:rPr>
          <w:rStyle w:val="17"/>
          <w:rFonts w:hint="eastAsia" w:ascii="仿宋" w:hAnsi="仿宋" w:eastAsia="仿宋"/>
          <w:b/>
          <w:bCs w:val="0"/>
          <w:color w:val="000000"/>
          <w:sz w:val="32"/>
          <w:szCs w:val="32"/>
          <w:lang w:val="en-US" w:eastAsia="zh-CN"/>
        </w:rPr>
        <w:t>2013202一般行政管理事务</w:t>
      </w:r>
      <w:r>
        <w:rPr>
          <w:rStyle w:val="17"/>
          <w:rFonts w:hint="eastAsia" w:ascii="仿宋" w:hAnsi="仿宋" w:eastAsia="仿宋"/>
          <w:b w:val="0"/>
          <w:bCs w:val="0"/>
          <w:color w:val="000000"/>
          <w:sz w:val="32"/>
          <w:szCs w:val="32"/>
          <w:lang w:val="en-US" w:eastAsia="zh-CN"/>
        </w:rPr>
        <w:t>支出决算253.13万元，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lang w:eastAsia="zh-CN"/>
        </w:rPr>
        <w:t>；</w:t>
      </w:r>
      <w:r>
        <w:rPr>
          <w:rStyle w:val="17"/>
          <w:rFonts w:hint="eastAsia" w:ascii="仿宋" w:hAnsi="仿宋" w:eastAsia="仿宋"/>
          <w:b/>
          <w:bCs/>
          <w:color w:val="000000"/>
          <w:sz w:val="32"/>
          <w:szCs w:val="32"/>
          <w:lang w:val="en-US" w:eastAsia="zh-CN"/>
        </w:rPr>
        <w:t>2013250事业运行</w:t>
      </w:r>
      <w:r>
        <w:rPr>
          <w:rStyle w:val="17"/>
          <w:rFonts w:hint="eastAsia" w:ascii="仿宋" w:hAnsi="仿宋" w:eastAsia="仿宋"/>
          <w:b w:val="0"/>
          <w:bCs w:val="0"/>
          <w:color w:val="000000"/>
          <w:sz w:val="32"/>
          <w:szCs w:val="32"/>
          <w:lang w:val="en-US" w:eastAsia="zh-CN"/>
        </w:rPr>
        <w:t>支出89.33万元，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lang w:eastAsia="zh-CN"/>
        </w:rPr>
        <w:t>；</w:t>
      </w:r>
      <w:r>
        <w:rPr>
          <w:rStyle w:val="17"/>
          <w:rFonts w:hint="eastAsia" w:ascii="仿宋" w:hAnsi="仿宋" w:eastAsia="仿宋"/>
          <w:bCs/>
          <w:color w:val="000000"/>
          <w:sz w:val="32"/>
          <w:szCs w:val="32"/>
          <w:lang w:val="en-US" w:eastAsia="zh-CN"/>
        </w:rPr>
        <w:t>2013299其他组织事务</w:t>
      </w:r>
      <w:r>
        <w:rPr>
          <w:rStyle w:val="17"/>
          <w:rFonts w:hint="eastAsia" w:ascii="仿宋" w:hAnsi="仿宋" w:eastAsia="仿宋"/>
          <w:b w:val="0"/>
          <w:bCs w:val="0"/>
          <w:color w:val="000000"/>
          <w:sz w:val="32"/>
          <w:szCs w:val="32"/>
          <w:lang w:val="en-US" w:eastAsia="zh-CN"/>
        </w:rPr>
        <w:t>支出决算139.11万元，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lang w:eastAsia="zh-CN"/>
        </w:rPr>
        <w:t>。</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b w:val="0"/>
          <w:bCs w:val="0"/>
          <w:color w:val="000000" w:themeColor="text1"/>
          <w:sz w:val="32"/>
          <w:szCs w:val="32"/>
          <w:lang w:eastAsia="zh-CN"/>
          <w14:textFill>
            <w14:solidFill>
              <w14:schemeClr w14:val="tx1"/>
            </w14:solidFill>
          </w14:textFill>
        </w:rPr>
        <w:t>：</w:t>
      </w:r>
      <w:r>
        <w:rPr>
          <w:rStyle w:val="17"/>
          <w:rFonts w:hint="eastAsia" w:ascii="仿宋" w:hAnsi="仿宋" w:eastAsia="仿宋"/>
          <w:b/>
          <w:bCs w:val="0"/>
          <w:color w:val="000000"/>
          <w:sz w:val="32"/>
          <w:szCs w:val="32"/>
          <w:lang w:val="en-US" w:eastAsia="zh-CN"/>
        </w:rPr>
        <w:t>2050802干部教育</w:t>
      </w:r>
      <w:r>
        <w:rPr>
          <w:rStyle w:val="17"/>
          <w:rFonts w:hint="eastAsia" w:ascii="仿宋" w:hAnsi="仿宋" w:eastAsia="仿宋"/>
          <w:b w:val="0"/>
          <w:bCs/>
          <w:color w:val="000000"/>
          <w:sz w:val="32"/>
          <w:szCs w:val="32"/>
          <w:lang w:val="en-US" w:eastAsia="zh-CN"/>
        </w:rPr>
        <w:t>支出240.97万元，</w:t>
      </w:r>
      <w:r>
        <w:rPr>
          <w:rStyle w:val="17"/>
          <w:rFonts w:hint="eastAsia" w:ascii="仿宋" w:hAnsi="仿宋" w:eastAsia="仿宋"/>
          <w:b w:val="0"/>
          <w:bCs/>
          <w:color w:val="000000"/>
          <w:sz w:val="32"/>
          <w:szCs w:val="32"/>
        </w:rPr>
        <w:t>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lang w:val="en-US" w:eastAsia="zh-CN"/>
        </w:rPr>
        <w:t>。</w:t>
      </w:r>
    </w:p>
    <w:p>
      <w:pPr>
        <w:spacing w:line="600" w:lineRule="exact"/>
        <w:ind w:firstLine="640"/>
        <w:rPr>
          <w:rFonts w:hint="eastAsia" w:ascii="仿宋" w:hAnsi="仿宋" w:eastAsia="仿宋"/>
          <w:b/>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3.文化旅游体育与传媒支出</w:t>
      </w:r>
      <w:r>
        <w:rPr>
          <w:rFonts w:hint="eastAsia" w:ascii="仿宋" w:hAnsi="仿宋" w:eastAsia="仿宋"/>
          <w:b/>
          <w:color w:val="000000" w:themeColor="text1"/>
          <w:sz w:val="32"/>
          <w:szCs w:val="32"/>
          <w14:textFill>
            <w14:solidFill>
              <w14:schemeClr w14:val="tx1"/>
            </w14:solidFill>
          </w14:textFill>
        </w:rPr>
        <w:t>（类）</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2070199</w:t>
      </w:r>
      <w:r>
        <w:rPr>
          <w:rFonts w:hint="eastAsia" w:ascii="仿宋" w:hAnsi="仿宋" w:eastAsia="仿宋"/>
          <w:b/>
          <w:color w:val="000000" w:themeColor="text1"/>
          <w:sz w:val="32"/>
          <w:szCs w:val="32"/>
          <w:lang w:eastAsia="zh-CN"/>
          <w14:textFill>
            <w14:solidFill>
              <w14:schemeClr w14:val="tx1"/>
            </w14:solidFill>
          </w14:textFill>
        </w:rPr>
        <w:t>其他文化和旅游</w:t>
      </w:r>
      <w:r>
        <w:rPr>
          <w:rStyle w:val="17"/>
          <w:rFonts w:hint="eastAsia" w:ascii="仿宋" w:hAnsi="仿宋" w:eastAsia="仿宋"/>
          <w:b w:val="0"/>
          <w:bCs/>
          <w:color w:val="000000"/>
          <w:sz w:val="32"/>
          <w:szCs w:val="32"/>
          <w:lang w:val="en-US" w:eastAsia="zh-CN"/>
        </w:rPr>
        <w:t>支出0.5万元，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lang w:eastAsia="zh-CN"/>
        </w:rPr>
        <w:t>。</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2080505机关事业单位基本养老保险缴费</w:t>
      </w:r>
      <w:r>
        <w:rPr>
          <w:rFonts w:hint="eastAsia" w:ascii="仿宋" w:hAnsi="仿宋" w:eastAsia="仿宋"/>
          <w:color w:val="000000" w:themeColor="text1"/>
          <w:sz w:val="32"/>
          <w:szCs w:val="32"/>
          <w:lang w:val="en-US" w:eastAsia="zh-CN"/>
          <w14:textFill>
            <w14:solidFill>
              <w14:schemeClr w14:val="tx1"/>
            </w14:solidFill>
          </w14:textFill>
        </w:rPr>
        <w:t>支出44.00万元，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lang w:eastAsia="zh-CN"/>
        </w:rPr>
        <w:t>；</w:t>
      </w:r>
      <w:r>
        <w:rPr>
          <w:rStyle w:val="17"/>
          <w:rFonts w:hint="eastAsia" w:ascii="仿宋" w:hAnsi="仿宋" w:eastAsia="仿宋"/>
          <w:b/>
          <w:bCs w:val="0"/>
          <w:color w:val="000000"/>
          <w:sz w:val="32"/>
          <w:szCs w:val="32"/>
          <w:lang w:val="en-US" w:eastAsia="zh-CN"/>
        </w:rPr>
        <w:t>2080506机关事业单位职业年金缴费</w:t>
      </w:r>
      <w:r>
        <w:rPr>
          <w:rStyle w:val="17"/>
          <w:rFonts w:hint="eastAsia" w:ascii="仿宋" w:hAnsi="仿宋" w:eastAsia="仿宋"/>
          <w:b w:val="0"/>
          <w:bCs/>
          <w:color w:val="000000"/>
          <w:sz w:val="32"/>
          <w:szCs w:val="32"/>
          <w:lang w:val="en-US" w:eastAsia="zh-CN"/>
        </w:rPr>
        <w:t>支出22.00万元，完成预算100%。</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5.</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:2101101行政单位医疗</w:t>
      </w:r>
      <w:r>
        <w:rPr>
          <w:rFonts w:hint="eastAsia" w:ascii="仿宋" w:hAnsi="仿宋" w:eastAsia="仿宋"/>
          <w:color w:val="000000" w:themeColor="text1"/>
          <w:sz w:val="32"/>
          <w:szCs w:val="32"/>
          <w:lang w:val="en-US" w:eastAsia="zh-CN"/>
          <w14:textFill>
            <w14:solidFill>
              <w14:schemeClr w14:val="tx1"/>
            </w14:solidFill>
          </w14:textFill>
        </w:rPr>
        <w:t>支出17.43万元，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lang w:eastAsia="zh-CN"/>
        </w:rPr>
        <w:t>；</w:t>
      </w:r>
      <w:r>
        <w:rPr>
          <w:rStyle w:val="17"/>
          <w:rFonts w:hint="eastAsia" w:ascii="仿宋" w:hAnsi="仿宋" w:eastAsia="仿宋"/>
          <w:b/>
          <w:bCs w:val="0"/>
          <w:color w:val="000000"/>
          <w:sz w:val="32"/>
          <w:szCs w:val="32"/>
          <w:lang w:val="en-US" w:eastAsia="zh-CN"/>
        </w:rPr>
        <w:t>2101102事业单位医疗</w:t>
      </w:r>
      <w:r>
        <w:rPr>
          <w:rStyle w:val="17"/>
          <w:rFonts w:hint="eastAsia" w:ascii="仿宋" w:hAnsi="仿宋" w:eastAsia="仿宋"/>
          <w:b w:val="0"/>
          <w:bCs/>
          <w:color w:val="000000"/>
          <w:sz w:val="32"/>
          <w:szCs w:val="32"/>
          <w:lang w:val="en-US" w:eastAsia="zh-CN"/>
        </w:rPr>
        <w:t>支出3.84万元，完成预</w:t>
      </w:r>
      <w:r>
        <w:rPr>
          <w:rStyle w:val="17"/>
          <w:rFonts w:hint="eastAsia" w:ascii="仿宋" w:hAnsi="仿宋" w:eastAsia="仿宋" w:cs="Times New Roman"/>
          <w:b w:val="0"/>
          <w:bCs/>
          <w:color w:val="000000"/>
          <w:sz w:val="32"/>
          <w:szCs w:val="32"/>
          <w:lang w:val="en-US" w:eastAsia="zh-CN"/>
        </w:rPr>
        <w:t>算100%</w:t>
      </w:r>
      <w:r>
        <w:rPr>
          <w:rStyle w:val="17"/>
          <w:rFonts w:hint="eastAsia" w:ascii="仿宋" w:hAnsi="仿宋" w:eastAsia="仿宋"/>
          <w:b w:val="0"/>
          <w:bCs/>
          <w:color w:val="000000"/>
          <w:sz w:val="32"/>
          <w:szCs w:val="32"/>
          <w:lang w:val="en-US" w:eastAsia="zh-CN"/>
        </w:rPr>
        <w:t>；</w:t>
      </w:r>
      <w:r>
        <w:rPr>
          <w:rStyle w:val="17"/>
          <w:rFonts w:hint="eastAsia" w:ascii="仿宋" w:hAnsi="仿宋" w:eastAsia="仿宋"/>
          <w:b/>
          <w:bCs w:val="0"/>
          <w:color w:val="000000"/>
          <w:sz w:val="32"/>
          <w:szCs w:val="32"/>
          <w:lang w:val="en-US" w:eastAsia="zh-CN"/>
        </w:rPr>
        <w:t>2101103公务员医疗补助</w:t>
      </w:r>
      <w:r>
        <w:rPr>
          <w:rStyle w:val="17"/>
          <w:rFonts w:hint="eastAsia" w:ascii="仿宋" w:hAnsi="仿宋" w:eastAsia="仿宋"/>
          <w:b w:val="0"/>
          <w:bCs/>
          <w:color w:val="000000"/>
          <w:sz w:val="32"/>
          <w:szCs w:val="32"/>
          <w:lang w:val="en-US" w:eastAsia="zh-CN"/>
        </w:rPr>
        <w:t>支出6.44万元，完成预算100%；</w:t>
      </w:r>
      <w:r>
        <w:rPr>
          <w:rStyle w:val="17"/>
          <w:rFonts w:hint="eastAsia" w:ascii="仿宋" w:hAnsi="仿宋" w:eastAsia="仿宋"/>
          <w:b/>
          <w:bCs w:val="0"/>
          <w:color w:val="000000"/>
          <w:sz w:val="32"/>
          <w:szCs w:val="32"/>
          <w:lang w:val="en-US" w:eastAsia="zh-CN"/>
        </w:rPr>
        <w:t>2101199其他行政事业单位医疗</w:t>
      </w:r>
      <w:r>
        <w:rPr>
          <w:rStyle w:val="17"/>
          <w:rFonts w:hint="eastAsia" w:ascii="仿宋" w:hAnsi="仿宋" w:eastAsia="仿宋"/>
          <w:b w:val="0"/>
          <w:bCs/>
          <w:color w:val="000000"/>
          <w:sz w:val="32"/>
          <w:szCs w:val="32"/>
          <w:lang w:val="en-US" w:eastAsia="zh-CN"/>
        </w:rPr>
        <w:t>支出1.21万元，完成预算100%。</w:t>
      </w:r>
    </w:p>
    <w:p>
      <w:pPr>
        <w:spacing w:line="600" w:lineRule="exact"/>
        <w:ind w:firstLine="642" w:firstLineChars="200"/>
        <w:rPr>
          <w:rStyle w:val="17"/>
          <w:rFonts w:ascii="仿宋" w:hAnsi="仿宋" w:eastAsia="仿宋"/>
          <w:bCs/>
          <w:color w:val="000000"/>
          <w:sz w:val="32"/>
          <w:szCs w:val="32"/>
        </w:rPr>
      </w:pPr>
      <w:r>
        <w:rPr>
          <w:rFonts w:hint="eastAsia" w:ascii="仿宋" w:hAnsi="仿宋" w:eastAsia="仿宋"/>
          <w:b/>
          <w:bCs/>
          <w:color w:val="000000" w:themeColor="text1"/>
          <w:sz w:val="32"/>
          <w:szCs w:val="32"/>
          <w:lang w:val="en-US" w:eastAsia="zh-CN"/>
          <w14:textFill>
            <w14:solidFill>
              <w14:schemeClr w14:val="tx1"/>
            </w14:solidFill>
          </w14:textFill>
        </w:rPr>
        <w:t>6.</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w:t>
      </w:r>
      <w:r>
        <w:rPr>
          <w:rFonts w:hint="eastAsia" w:ascii="仿宋" w:hAnsi="仿宋" w:eastAsia="仿宋"/>
          <w:b/>
          <w:bCs/>
          <w:color w:val="000000"/>
          <w:sz w:val="32"/>
          <w:szCs w:val="32"/>
          <w:lang w:val="en-US" w:eastAsia="zh-CN"/>
        </w:rPr>
        <w:t>2210201住房公积金</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44.57</w:t>
      </w:r>
      <w:r>
        <w:rPr>
          <w:rStyle w:val="17"/>
          <w:rFonts w:hint="eastAsia" w:ascii="仿宋" w:hAnsi="仿宋" w:eastAsia="仿宋"/>
          <w:b w:val="0"/>
          <w:bCs/>
          <w:color w:val="000000"/>
          <w:sz w:val="32"/>
          <w:szCs w:val="32"/>
        </w:rPr>
        <w:t>万元，完成预算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8"/>
        </w:rPr>
      </w:pPr>
      <w:bookmarkStart w:id="78" w:name="_Toc405016946"/>
      <w:bookmarkStart w:id="79" w:name="_Toc15396608"/>
      <w:bookmarkStart w:id="80" w:name="_Toc15377214"/>
      <w:bookmarkStart w:id="81" w:name="_Toc2708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78"/>
      <w:bookmarkEnd w:id="79"/>
      <w:bookmarkEnd w:id="80"/>
      <w:bookmarkEnd w:id="81"/>
      <w:r>
        <w:rPr>
          <w:rStyle w:val="28"/>
          <w:rFonts w:ascii="黑体" w:hAns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1341.28</w:t>
      </w:r>
      <w:r>
        <w:rPr>
          <w:rFonts w:hint="eastAsia" w:ascii="仿宋_GB2312" w:hAnsi="仿宋_GB2312" w:eastAsia="仿宋_GB2312" w:cs="仿宋_GB2312"/>
          <w:color w:val="000000"/>
          <w:sz w:val="32"/>
          <w:szCs w:val="32"/>
        </w:rPr>
        <w:t>万元，其中：</w:t>
      </w:r>
    </w:p>
    <w:p>
      <w:pPr>
        <w:spacing w:line="600" w:lineRule="exact"/>
        <w:ind w:firstLine="645"/>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740.42</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99.45万元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357.61万元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8.62万元</w:t>
      </w:r>
      <w:r>
        <w:rPr>
          <w:rFonts w:hint="eastAsia" w:ascii="仿宋_GB2312" w:hAnsi="仿宋_GB2312" w:eastAsia="仿宋_GB2312" w:cs="仿宋_GB2312"/>
          <w:color w:val="000000"/>
          <w:sz w:val="32"/>
          <w:szCs w:val="32"/>
        </w:rPr>
        <w:t>、绩效工资</w:t>
      </w:r>
      <w:r>
        <w:rPr>
          <w:rFonts w:hint="eastAsia" w:ascii="仿宋_GB2312" w:hAnsi="仿宋_GB2312" w:eastAsia="仿宋_GB2312" w:cs="仿宋_GB2312"/>
          <w:color w:val="000000"/>
          <w:sz w:val="32"/>
          <w:szCs w:val="32"/>
          <w:lang w:val="en-US" w:eastAsia="zh-CN"/>
        </w:rPr>
        <w:t>9.66万元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44.00万元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22.00万元</w:t>
      </w:r>
      <w:r>
        <w:rPr>
          <w:rFonts w:hint="eastAsia" w:ascii="仿宋_GB2312" w:hAnsi="仿宋_GB2312" w:eastAsia="仿宋_GB2312" w:cs="仿宋_GB2312"/>
          <w:color w:val="000000"/>
          <w:sz w:val="32"/>
          <w:szCs w:val="32"/>
        </w:rPr>
        <w:t>、职工基本医疗保险缴费</w:t>
      </w:r>
      <w:r>
        <w:rPr>
          <w:rFonts w:hint="eastAsia" w:ascii="仿宋_GB2312" w:hAnsi="仿宋_GB2312" w:eastAsia="仿宋_GB2312" w:cs="仿宋_GB2312"/>
          <w:color w:val="000000"/>
          <w:sz w:val="32"/>
          <w:szCs w:val="32"/>
          <w:lang w:val="en-US" w:eastAsia="zh-CN"/>
        </w:rPr>
        <w:t>21.27万元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公务员医疗补助缴费</w:t>
      </w:r>
      <w:r>
        <w:rPr>
          <w:rFonts w:hint="eastAsia" w:ascii="仿宋_GB2312" w:hAnsi="仿宋_GB2312" w:eastAsia="仿宋_GB2312" w:cs="仿宋_GB2312"/>
          <w:color w:val="000000"/>
          <w:sz w:val="32"/>
          <w:szCs w:val="32"/>
          <w:lang w:val="en-US" w:eastAsia="zh-CN"/>
        </w:rPr>
        <w:t>7.65万元、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5.04万元</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44.57万元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医疗费2.38万元</w:t>
      </w:r>
      <w:r>
        <w:rPr>
          <w:rFonts w:hint="eastAsia"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color w:val="000000"/>
          <w:sz w:val="32"/>
          <w:szCs w:val="32"/>
          <w:highlight w:val="none"/>
        </w:rPr>
        <w:t>其他对个人和家庭的补助支出</w:t>
      </w:r>
      <w:r>
        <w:rPr>
          <w:rFonts w:hint="eastAsia" w:ascii="仿宋_GB2312" w:hAnsi="仿宋_GB2312" w:eastAsia="仿宋_GB2312" w:cs="仿宋_GB2312"/>
          <w:color w:val="000000"/>
          <w:sz w:val="32"/>
          <w:szCs w:val="32"/>
          <w:highlight w:val="none"/>
          <w:lang w:val="en-US" w:eastAsia="zh-CN"/>
        </w:rPr>
        <w:t>118.18万元</w:t>
      </w:r>
      <w:r>
        <w:rPr>
          <w:rFonts w:hint="eastAsia" w:ascii="仿宋_GB2312" w:hAnsi="仿宋_GB2312" w:eastAsia="仿宋_GB2312" w:cs="仿宋_GB2312"/>
          <w:color w:val="000000"/>
          <w:sz w:val="32"/>
          <w:szCs w:val="32"/>
          <w:highlight w:val="none"/>
        </w:rPr>
        <w:t>等。</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600.86</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419.30万元</w:t>
      </w:r>
      <w:r>
        <w:rPr>
          <w:rFonts w:hint="eastAsia" w:ascii="仿宋_GB2312" w:hAnsi="仿宋_GB2312" w:eastAsia="仿宋_GB2312" w:cs="仿宋_GB2312"/>
          <w:color w:val="000000"/>
          <w:sz w:val="32"/>
          <w:szCs w:val="32"/>
        </w:rPr>
        <w:t>、印刷费</w:t>
      </w:r>
      <w:r>
        <w:rPr>
          <w:rFonts w:hint="eastAsia" w:ascii="仿宋_GB2312" w:hAnsi="仿宋_GB2312" w:eastAsia="仿宋_GB2312" w:cs="仿宋_GB2312"/>
          <w:color w:val="000000"/>
          <w:sz w:val="32"/>
          <w:szCs w:val="32"/>
          <w:lang w:val="en-US" w:eastAsia="zh-CN"/>
        </w:rPr>
        <w:t>15.64万元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手续费</w:t>
      </w:r>
      <w:r>
        <w:rPr>
          <w:rFonts w:hint="eastAsia" w:ascii="仿宋_GB2312" w:hAnsi="仿宋_GB2312" w:eastAsia="仿宋_GB2312" w:cs="仿宋_GB2312"/>
          <w:color w:val="000000"/>
          <w:sz w:val="32"/>
          <w:szCs w:val="32"/>
          <w:lang w:val="en-US" w:eastAsia="zh-CN"/>
        </w:rPr>
        <w:t>0.12万元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水费</w:t>
      </w:r>
      <w:r>
        <w:rPr>
          <w:rFonts w:hint="eastAsia" w:ascii="仿宋_GB2312" w:hAnsi="仿宋_GB2312" w:eastAsia="仿宋_GB2312" w:cs="仿宋_GB2312"/>
          <w:color w:val="000000"/>
          <w:sz w:val="32"/>
          <w:szCs w:val="32"/>
          <w:lang w:val="en-US" w:eastAsia="zh-CN"/>
        </w:rPr>
        <w:t>0.3万元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3.2万元</w:t>
      </w:r>
      <w:r>
        <w:rPr>
          <w:rFonts w:hint="eastAsia" w:ascii="仿宋_GB2312" w:hAnsi="仿宋_GB2312" w:eastAsia="仿宋_GB2312" w:cs="仿宋_GB2312"/>
          <w:color w:val="000000"/>
          <w:sz w:val="32"/>
          <w:szCs w:val="32"/>
        </w:rPr>
        <w:t>、邮电费</w:t>
      </w:r>
      <w:r>
        <w:rPr>
          <w:rFonts w:hint="eastAsia" w:ascii="仿宋_GB2312" w:hAnsi="仿宋_GB2312" w:eastAsia="仿宋_GB2312" w:cs="仿宋_GB2312"/>
          <w:color w:val="000000"/>
          <w:sz w:val="32"/>
          <w:szCs w:val="32"/>
          <w:lang w:val="en-US" w:eastAsia="zh-CN"/>
        </w:rPr>
        <w:t>3.41万元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取暖费</w:t>
      </w:r>
      <w:r>
        <w:rPr>
          <w:rFonts w:hint="eastAsia" w:ascii="仿宋_GB2312" w:hAnsi="仿宋_GB2312" w:eastAsia="仿宋_GB2312" w:cs="仿宋_GB2312"/>
          <w:color w:val="000000"/>
          <w:sz w:val="32"/>
          <w:szCs w:val="32"/>
          <w:lang w:val="en-US" w:eastAsia="zh-CN"/>
        </w:rPr>
        <w:t>0.5万元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差旅费</w:t>
      </w:r>
      <w:r>
        <w:rPr>
          <w:rFonts w:hint="eastAsia" w:ascii="仿宋_GB2312" w:hAnsi="仿宋_GB2312" w:eastAsia="仿宋_GB2312" w:cs="仿宋_GB2312"/>
          <w:color w:val="000000"/>
          <w:sz w:val="32"/>
          <w:szCs w:val="32"/>
          <w:lang w:val="en-US" w:eastAsia="zh-CN"/>
        </w:rPr>
        <w:t>4万元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维修（护）费9.18万元、</w:t>
      </w:r>
      <w:r>
        <w:rPr>
          <w:rFonts w:hint="eastAsia" w:ascii="仿宋_GB2312" w:hAnsi="仿宋_GB2312" w:eastAsia="仿宋_GB2312" w:cs="仿宋_GB2312"/>
          <w:color w:val="000000"/>
          <w:sz w:val="32"/>
          <w:szCs w:val="32"/>
        </w:rPr>
        <w:t>培训费</w:t>
      </w:r>
      <w:r>
        <w:rPr>
          <w:rFonts w:hint="eastAsia" w:ascii="仿宋_GB2312" w:hAnsi="仿宋_GB2312" w:eastAsia="仿宋_GB2312" w:cs="仿宋_GB2312"/>
          <w:color w:val="000000"/>
          <w:sz w:val="32"/>
          <w:szCs w:val="32"/>
          <w:lang w:val="en-US" w:eastAsia="zh-CN"/>
        </w:rPr>
        <w:t>126.32万元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公务接待费</w:t>
      </w:r>
      <w:r>
        <w:rPr>
          <w:rFonts w:hint="eastAsia" w:ascii="仿宋_GB2312" w:hAnsi="仿宋_GB2312" w:eastAsia="仿宋_GB2312" w:cs="仿宋_GB2312"/>
          <w:color w:val="000000"/>
          <w:sz w:val="32"/>
          <w:szCs w:val="32"/>
          <w:lang w:val="en-US" w:eastAsia="zh-CN"/>
        </w:rPr>
        <w:t>0.05万元、</w:t>
      </w:r>
      <w:r>
        <w:rPr>
          <w:rFonts w:hint="eastAsia" w:ascii="仿宋_GB2312" w:hAnsi="仿宋_GB2312" w:eastAsia="仿宋_GB2312" w:cs="仿宋_GB2312"/>
          <w:color w:val="000000"/>
          <w:sz w:val="32"/>
          <w:szCs w:val="32"/>
        </w:rPr>
        <w:t>公务用车运行维护费</w:t>
      </w:r>
      <w:r>
        <w:rPr>
          <w:rFonts w:hint="eastAsia" w:ascii="仿宋_GB2312" w:hAnsi="仿宋_GB2312" w:eastAsia="仿宋_GB2312" w:cs="仿宋_GB2312"/>
          <w:color w:val="000000"/>
          <w:sz w:val="32"/>
          <w:szCs w:val="32"/>
          <w:lang w:val="en-US" w:eastAsia="zh-CN"/>
        </w:rPr>
        <w:t>11.96万元、基础设施建设6.88万元</w:t>
      </w:r>
      <w:r>
        <w:rPr>
          <w:rFonts w:hint="eastAsia" w:ascii="仿宋_GB2312" w:hAnsi="仿宋_GB2312" w:eastAsia="仿宋_GB2312" w:cs="仿宋_GB2312"/>
          <w:color w:val="000000"/>
          <w:sz w:val="32"/>
          <w:szCs w:val="32"/>
        </w:rPr>
        <w:t>等。</w:t>
      </w:r>
    </w:p>
    <w:p>
      <w:pPr>
        <w:spacing w:line="600" w:lineRule="exact"/>
        <w:ind w:firstLine="640"/>
        <w:outlineLvl w:val="1"/>
        <w:rPr>
          <w:rStyle w:val="28"/>
          <w:rFonts w:hint="eastAsia" w:ascii="黑体" w:hAnsi="黑体" w:eastAsia="黑体" w:cs="黑体"/>
          <w:b w:val="0"/>
          <w:bCs w:val="0"/>
        </w:rPr>
      </w:pPr>
      <w:bookmarkStart w:id="82" w:name="_Toc15396609"/>
      <w:bookmarkStart w:id="83" w:name="_Toc1810856623"/>
      <w:bookmarkStart w:id="84" w:name="_Toc15377215"/>
      <w:bookmarkStart w:id="85" w:name="_Toc31086"/>
      <w:r>
        <w:rPr>
          <w:rFonts w:hint="eastAsia" w:ascii="黑体" w:hAnsi="黑体" w:eastAsia="黑体" w:cs="黑体"/>
          <w:b w:val="0"/>
          <w:bCs w:val="0"/>
          <w:color w:val="000000"/>
          <w:sz w:val="32"/>
          <w:szCs w:val="32"/>
        </w:rPr>
        <w:t>七、</w:t>
      </w:r>
      <w:r>
        <w:rPr>
          <w:rStyle w:val="28"/>
          <w:rFonts w:hint="eastAsia" w:ascii="黑体" w:hAnsi="黑体" w:eastAsia="黑体" w:cs="黑体"/>
          <w:b w:val="0"/>
          <w:bCs w:val="0"/>
        </w:rPr>
        <w:t>“三公”经费财政拨款支出决算情况说明</w:t>
      </w:r>
      <w:bookmarkEnd w:id="82"/>
      <w:bookmarkEnd w:id="83"/>
      <w:bookmarkEnd w:id="84"/>
      <w:bookmarkEnd w:id="85"/>
    </w:p>
    <w:p>
      <w:pPr>
        <w:spacing w:line="600" w:lineRule="exact"/>
        <w:ind w:firstLine="640"/>
        <w:outlineLvl w:val="2"/>
        <w:rPr>
          <w:rFonts w:hint="eastAsia" w:ascii="仿宋_GB2312" w:hAnsi="仿宋_GB2312" w:eastAsia="仿宋_GB2312" w:cs="仿宋_GB2312"/>
          <w:b/>
          <w:color w:val="000000"/>
          <w:sz w:val="32"/>
          <w:szCs w:val="32"/>
        </w:rPr>
      </w:pPr>
      <w:bookmarkStart w:id="86" w:name="_Toc713013642"/>
      <w:bookmarkStart w:id="87" w:name="_Toc15377216"/>
      <w:bookmarkStart w:id="88" w:name="_Toc31996"/>
      <w:r>
        <w:rPr>
          <w:rFonts w:hint="eastAsia" w:ascii="仿宋_GB2312" w:hAnsi="仿宋_GB2312" w:eastAsia="仿宋_GB2312" w:cs="仿宋_GB2312"/>
          <w:b/>
          <w:color w:val="000000"/>
          <w:sz w:val="32"/>
          <w:szCs w:val="32"/>
        </w:rPr>
        <w:t>（一）“三公”经费财政拨款支出决算总体情况说明</w:t>
      </w:r>
      <w:bookmarkEnd w:id="86"/>
      <w:bookmarkEnd w:id="87"/>
      <w:bookmarkEnd w:id="88"/>
    </w:p>
    <w:p>
      <w:pPr>
        <w:spacing w:line="600" w:lineRule="exact"/>
        <w:ind w:firstLine="640"/>
        <w:rPr>
          <w:rFonts w:ascii="仿宋" w:hAnsi="仿宋" w:eastAsia="仿宋"/>
          <w:b/>
          <w:color w:val="FF0000"/>
          <w:sz w:val="32"/>
          <w:szCs w:val="32"/>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12.01</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89" w:name="_Toc15377217"/>
      <w:bookmarkStart w:id="90" w:name="_Toc19044"/>
      <w:bookmarkStart w:id="91" w:name="_Toc1997303515"/>
      <w:r>
        <w:rPr>
          <w:rFonts w:hint="eastAsia" w:ascii="仿宋" w:hAnsi="仿宋" w:eastAsia="仿宋"/>
          <w:b/>
          <w:color w:val="000000"/>
          <w:sz w:val="32"/>
          <w:szCs w:val="32"/>
        </w:rPr>
        <w:t>（二）“三公”经费财政拨款支出决算具体情况说明</w:t>
      </w:r>
      <w:bookmarkEnd w:id="89"/>
      <w:bookmarkEnd w:id="90"/>
      <w:bookmarkEnd w:id="9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11.96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99.58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0.42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5408" behindDoc="1" locked="0" layoutInCell="1" allowOverlap="1">
            <wp:simplePos x="0" y="0"/>
            <wp:positionH relativeFrom="column">
              <wp:posOffset>163195</wp:posOffset>
            </wp:positionH>
            <wp:positionV relativeFrom="paragraph">
              <wp:posOffset>4445</wp:posOffset>
            </wp:positionV>
            <wp:extent cx="5135880" cy="2265680"/>
            <wp:effectExtent l="4445" t="4445" r="22225" b="15875"/>
            <wp:wrapTight wrapText="bothSides">
              <wp:wrapPolygon>
                <wp:start x="-19" y="-42"/>
                <wp:lineTo x="-19" y="21388"/>
                <wp:lineTo x="21533" y="21388"/>
                <wp:lineTo x="21533" y="-42"/>
                <wp:lineTo x="-19" y="-42"/>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0"/>
        </w:numPr>
        <w:spacing w:line="600" w:lineRule="exact"/>
        <w:ind w:firstLine="642" w:firstLineChars="200"/>
        <w:rPr>
          <w:rFonts w:ascii="仿宋_GB2312" w:eastAsia="仿宋_GB2312"/>
          <w:b/>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val="en-US" w:eastAsia="zh-CN"/>
        </w:rPr>
        <w:t>与2020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决算数一致</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未安排</w:t>
      </w:r>
      <w:r>
        <w:rPr>
          <w:rFonts w:hint="eastAsia" w:ascii="仿宋_GB2312" w:eastAsia="仿宋_GB2312"/>
          <w:b w:val="0"/>
          <w:bCs w:val="0"/>
          <w:color w:val="000000"/>
          <w:sz w:val="32"/>
          <w:szCs w:val="32"/>
        </w:rPr>
        <w:t>因公出国（境）</w:t>
      </w:r>
      <w:r>
        <w:rPr>
          <w:rFonts w:hint="eastAsia" w:ascii="仿宋_GB2312" w:eastAsia="仿宋_GB2312"/>
          <w:b w:val="0"/>
          <w:bCs w:val="0"/>
          <w:color w:val="000000"/>
          <w:sz w:val="32"/>
          <w:szCs w:val="32"/>
          <w:lang w:eastAsia="zh-CN"/>
        </w:rPr>
        <w:t>。</w:t>
      </w:r>
    </w:p>
    <w:p>
      <w:pPr>
        <w:spacing w:line="520"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11.96</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0.36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2.92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勤俭节约</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11.96</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出差、下乡</w:t>
      </w:r>
      <w:r>
        <w:rPr>
          <w:rFonts w:hint="eastAsia" w:ascii="仿宋_GB2312" w:eastAsia="仿宋_GB2312"/>
          <w:color w:val="000000"/>
          <w:sz w:val="32"/>
          <w:szCs w:val="32"/>
        </w:rPr>
        <w:t>（具体工作）等所需的公务用车燃料费、维修费、过路过桥费、保险费等支出。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0.05</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0.05</w:t>
      </w:r>
      <w:r>
        <w:rPr>
          <w:rFonts w:hint="eastAsia" w:ascii="仿宋_GB2312" w:eastAsia="仿宋_GB2312"/>
          <w:sz w:val="32"/>
          <w:szCs w:val="32"/>
        </w:rPr>
        <w:t>万元，增长</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执行公务产生费用</w:t>
      </w:r>
      <w:r>
        <w:rPr>
          <w:rFonts w:hint="eastAsia" w:ascii="仿宋_GB2312" w:eastAsia="仿宋_GB2312"/>
          <w:sz w:val="32"/>
          <w:szCs w:val="32"/>
        </w:rPr>
        <w:t>。其中：</w:t>
      </w: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sz w:val="32"/>
          <w:szCs w:val="32"/>
          <w:lang w:val="en-US"/>
        </w:rPr>
      </w:pPr>
      <w:r>
        <w:rPr>
          <w:rFonts w:hint="eastAsia" w:ascii="仿宋" w:eastAsia="仿宋"/>
          <w:b/>
          <w:sz w:val="32"/>
          <w:szCs w:val="32"/>
        </w:rPr>
        <w:t>国内公务接待支出</w:t>
      </w:r>
      <w:r>
        <w:rPr>
          <w:rFonts w:hint="eastAsia" w:ascii="仿宋" w:eastAsia="仿宋"/>
          <w:sz w:val="32"/>
          <w:szCs w:val="32"/>
          <w:lang w:val="en-US" w:eastAsia="zh-CN"/>
        </w:rPr>
        <w:t>0.05</w:t>
      </w:r>
      <w:r>
        <w:rPr>
          <w:rFonts w:hint="eastAsia" w:ascii="仿宋_GB2312" w:eastAsia="仿宋_GB2312"/>
          <w:sz w:val="32"/>
          <w:szCs w:val="32"/>
        </w:rPr>
        <w:t>万元</w:t>
      </w:r>
      <w:r>
        <w:rPr>
          <w:rFonts w:hint="default" w:ascii="Times New Roman" w:hAnsi="Times New Roman" w:eastAsia="仿宋_GB2312" w:cs="Times New Roman"/>
          <w:sz w:val="32"/>
          <w:szCs w:val="32"/>
        </w:rPr>
        <w:t>，主要用于执行公务、开展业务活动开支的用餐费等。国内公务接待</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批次，</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人次（不包括陪同人员），共计支出</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万元，具体内容包括：</w:t>
      </w:r>
      <w:r>
        <w:rPr>
          <w:rFonts w:hint="default" w:ascii="Times New Roman" w:hAnsi="Times New Roman" w:eastAsia="仿宋_GB2312" w:cs="Times New Roman"/>
          <w:color w:val="auto"/>
          <w:sz w:val="32"/>
          <w:szCs w:val="32"/>
          <w:lang w:eastAsia="zh-CN"/>
        </w:rPr>
        <w:t>接待省州工作检查组</w:t>
      </w:r>
      <w:r>
        <w:rPr>
          <w:rFonts w:hint="default"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lang w:val="en-US" w:eastAsia="zh-CN"/>
        </w:rPr>
        <w:t>05</w:t>
      </w:r>
      <w:r>
        <w:rPr>
          <w:rFonts w:hint="default" w:ascii="Times New Roman" w:hAnsi="Times New Roman" w:eastAsia="仿宋_GB2312" w:cs="Times New Roman"/>
          <w:color w:val="auto"/>
          <w:sz w:val="32"/>
          <w:szCs w:val="32"/>
          <w:lang w:val="en-US" w:eastAsia="zh-CN"/>
        </w:rPr>
        <w:t>万元。</w:t>
      </w:r>
    </w:p>
    <w:p>
      <w:pPr>
        <w:spacing w:line="600" w:lineRule="exact"/>
        <w:ind w:firstLine="640"/>
        <w:rPr>
          <w:rFonts w:ascii="仿宋_GB2312" w:eastAsia="仿宋_GB2312"/>
          <w:sz w:val="32"/>
          <w:szCs w:val="32"/>
        </w:rPr>
      </w:pPr>
    </w:p>
    <w:p>
      <w:pPr>
        <w:spacing w:line="600" w:lineRule="exact"/>
        <w:ind w:firstLine="640" w:firstLineChars="200"/>
        <w:outlineLvl w:val="1"/>
        <w:rPr>
          <w:rStyle w:val="28"/>
          <w:rFonts w:ascii="黑体" w:hAnsi="黑体" w:eastAsia="黑体"/>
        </w:rPr>
      </w:pPr>
      <w:bookmarkStart w:id="92" w:name="_Toc19370"/>
      <w:bookmarkStart w:id="93" w:name="_Toc15377218"/>
      <w:bookmarkStart w:id="94" w:name="_Toc1020022880"/>
      <w:bookmarkStart w:id="95" w:name="_Toc15396610"/>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92"/>
      <w:bookmarkEnd w:id="93"/>
      <w:bookmarkEnd w:id="94"/>
      <w:bookmarkEnd w:id="9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28"/>
          <w:rFonts w:ascii="黑体" w:hAnsi="黑体" w:eastAsia="黑体"/>
          <w:b w:val="0"/>
        </w:rPr>
      </w:pPr>
      <w:bookmarkStart w:id="96" w:name="_Toc15377219"/>
      <w:bookmarkStart w:id="97" w:name="_Toc544753965"/>
      <w:bookmarkStart w:id="98" w:name="_Toc30285"/>
      <w:bookmarkStart w:id="99" w:name="_Toc15396611"/>
      <w:r>
        <w:rPr>
          <w:rStyle w:val="28"/>
          <w:rFonts w:hint="eastAsia" w:ascii="黑体" w:hAnsi="黑体" w:eastAsia="黑体"/>
          <w:b w:val="0"/>
          <w:lang w:val="en-US" w:eastAsia="zh-CN"/>
        </w:rPr>
        <w:t>九、</w:t>
      </w:r>
      <w:r>
        <w:rPr>
          <w:rStyle w:val="28"/>
          <w:rFonts w:hint="eastAsia" w:ascii="黑体" w:hAnsi="黑体" w:eastAsia="黑体"/>
          <w:b w:val="0"/>
        </w:rPr>
        <w:t>国有资本经营预算支出决算情况说明</w:t>
      </w:r>
      <w:bookmarkEnd w:id="96"/>
      <w:bookmarkEnd w:id="97"/>
      <w:bookmarkEnd w:id="98"/>
      <w:bookmarkEnd w:id="99"/>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8"/>
          <w:rFonts w:ascii="黑体" w:hAnsi="黑体" w:eastAsia="黑体"/>
        </w:rPr>
      </w:pPr>
      <w:bookmarkStart w:id="100" w:name="_Toc27185"/>
      <w:bookmarkStart w:id="101" w:name="_Toc15396612"/>
      <w:bookmarkStart w:id="102" w:name="_Toc15377221"/>
      <w:bookmarkStart w:id="103" w:name="_Toc213035253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100"/>
      <w:bookmarkEnd w:id="101"/>
      <w:bookmarkEnd w:id="102"/>
      <w:bookmarkEnd w:id="103"/>
    </w:p>
    <w:p>
      <w:pPr>
        <w:spacing w:line="600" w:lineRule="exact"/>
        <w:ind w:firstLine="642" w:firstLineChars="200"/>
        <w:outlineLvl w:val="2"/>
        <w:rPr>
          <w:rFonts w:ascii="仿宋" w:hAnsi="仿宋" w:eastAsia="仿宋"/>
          <w:color w:val="000000"/>
          <w:sz w:val="32"/>
          <w:szCs w:val="32"/>
        </w:rPr>
      </w:pPr>
      <w:bookmarkStart w:id="104" w:name="_Toc15377222"/>
      <w:bookmarkStart w:id="105" w:name="_Toc570811375"/>
      <w:bookmarkStart w:id="106" w:name="_Toc30093"/>
      <w:r>
        <w:rPr>
          <w:rFonts w:hint="eastAsia" w:ascii="仿宋" w:hAnsi="仿宋" w:eastAsia="仿宋"/>
          <w:b/>
          <w:color w:val="000000"/>
          <w:sz w:val="32"/>
          <w:szCs w:val="32"/>
        </w:rPr>
        <w:t>（一）机关运行经费支出情况</w:t>
      </w:r>
      <w:bookmarkEnd w:id="104"/>
      <w:bookmarkEnd w:id="105"/>
      <w:bookmarkEnd w:id="106"/>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1341.28</w:t>
      </w:r>
      <w:r>
        <w:rPr>
          <w:rFonts w:hint="eastAsia" w:ascii="仿宋_GB2312" w:eastAsia="仿宋_GB2312"/>
          <w:color w:val="000000"/>
          <w:sz w:val="32"/>
          <w:szCs w:val="32"/>
        </w:rPr>
        <w:t>万元，</w:t>
      </w:r>
      <w:r>
        <w:rPr>
          <w:rFonts w:hint="eastAsia" w:ascii="仿宋_GB2312" w:eastAsia="仿宋_GB2312"/>
          <w:color w:val="auto"/>
          <w:sz w:val="32"/>
          <w:szCs w:val="32"/>
          <w:highlight w:val="none"/>
        </w:rPr>
        <w:t>比</w:t>
      </w:r>
      <w:r>
        <w:rPr>
          <w:rFonts w:hint="eastAsia" w:ascii="仿宋_GB2312" w:eastAsia="仿宋_GB2312"/>
          <w:color w:val="auto"/>
          <w:sz w:val="32"/>
          <w:szCs w:val="32"/>
          <w:highlight w:val="none"/>
          <w:lang w:val="en-US" w:eastAsia="zh-CN"/>
        </w:rPr>
        <w:t>2020</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116.26</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9.49</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w:t>
      </w:r>
      <w:r>
        <w:rPr>
          <w:rFonts w:hint="eastAsia" w:ascii="仿宋_GB2312" w:eastAsia="仿宋_GB2312"/>
          <w:color w:val="000000" w:themeColor="text1"/>
          <w:sz w:val="32"/>
          <w:szCs w:val="32"/>
          <w:lang w:val="en-US" w:eastAsia="zh-CN"/>
          <w14:textFill>
            <w14:solidFill>
              <w14:schemeClr w14:val="tx1"/>
            </w14:solidFill>
          </w14:textFill>
        </w:rPr>
        <w:t>经费</w:t>
      </w:r>
      <w:r>
        <w:rPr>
          <w:rFonts w:hint="eastAsia" w:ascii="仿宋_GB2312" w:eastAsia="仿宋_GB2312"/>
          <w:color w:val="000000" w:themeColor="text1"/>
          <w:sz w:val="32"/>
          <w:szCs w:val="32"/>
          <w:lang w:eastAsia="zh-CN"/>
          <w14:textFill>
            <w14:solidFill>
              <w14:schemeClr w14:val="tx1"/>
            </w14:solidFill>
          </w14:textFill>
        </w:rPr>
        <w:t>和业务工作经费支出增加。</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7" w:name="_Toc56502288"/>
      <w:bookmarkStart w:id="108" w:name="_Toc15377223"/>
      <w:bookmarkStart w:id="109" w:name="_Toc5908"/>
      <w:r>
        <w:rPr>
          <w:rFonts w:hint="eastAsia" w:ascii="仿宋" w:hAnsi="仿宋" w:eastAsia="仿宋"/>
          <w:b/>
          <w:color w:val="000000"/>
          <w:sz w:val="32"/>
          <w:szCs w:val="32"/>
        </w:rPr>
        <w:t>（二）政府采购支出情况</w:t>
      </w:r>
      <w:bookmarkEnd w:id="107"/>
      <w:bookmarkEnd w:id="108"/>
      <w:bookmarkEnd w:id="109"/>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10" w:name="_Toc15377224"/>
      <w:bookmarkStart w:id="111" w:name="_Toc15768"/>
      <w:bookmarkStart w:id="112" w:name="_Toc1616971647"/>
      <w:r>
        <w:rPr>
          <w:rFonts w:hint="eastAsia" w:ascii="仿宋" w:hAnsi="仿宋" w:eastAsia="仿宋"/>
          <w:b/>
          <w:color w:val="000000"/>
          <w:sz w:val="32"/>
          <w:szCs w:val="32"/>
        </w:rPr>
        <w:t>（三）国有资产占有使用情况</w:t>
      </w:r>
      <w:bookmarkEnd w:id="110"/>
      <w:bookmarkEnd w:id="111"/>
      <w:bookmarkEnd w:id="112"/>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13" w:name="_Toc26353"/>
      <w:bookmarkStart w:id="114" w:name="_Toc196224408"/>
      <w:r>
        <w:rPr>
          <w:rFonts w:hint="eastAsia" w:ascii="仿宋" w:hAnsi="仿宋" w:eastAsia="仿宋"/>
          <w:b/>
          <w:color w:val="000000"/>
          <w:sz w:val="32"/>
          <w:szCs w:val="32"/>
        </w:rPr>
        <w:t>（四）预算绩效管理情况。</w:t>
      </w:r>
      <w:bookmarkEnd w:id="113"/>
      <w:bookmarkEnd w:id="11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人才发展专项资金</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完成效果较好。</w:t>
      </w:r>
    </w:p>
    <w:p>
      <w:pPr>
        <w:numPr>
          <w:ilvl w:val="0"/>
          <w:numId w:val="0"/>
        </w:numPr>
        <w:spacing w:line="580" w:lineRule="exact"/>
        <w:ind w:firstLine="642"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项目绩效目标完成情况。</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人才工作经费”</w:t>
      </w:r>
      <w:r>
        <w:rPr>
          <w:rFonts w:hint="eastAsia" w:ascii="仿宋_GB2312" w:hAnsi="仿宋_GB2312" w:eastAsia="仿宋_GB2312" w:cs="仿宋_GB2312"/>
          <w:sz w:val="32"/>
          <w:szCs w:val="32"/>
        </w:rPr>
        <w:t>项目绩效目标实际完成情况。</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（1）人才发展工作经费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全县人才开发和培训等工作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实施效果不明显</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加大投入力度。</w:t>
      </w:r>
    </w:p>
    <w:p>
      <w:pPr>
        <w:pStyle w:val="13"/>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13"/>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13"/>
        <w:rPr>
          <w:rFonts w:hint="eastAsia" w:ascii="仿宋_GB2312" w:hAnsi="仿宋_GB2312" w:eastAsia="仿宋_GB2312" w:cs="仿宋_GB2312"/>
          <w:sz w:val="32"/>
          <w:szCs w:val="32"/>
          <w:lang w:val="en-US" w:eastAsia="zh-CN"/>
        </w:rPr>
      </w:pPr>
    </w:p>
    <w:p>
      <w:pPr>
        <w:pStyle w:val="13"/>
        <w:ind w:left="0" w:leftChars="0" w:firstLine="0" w:firstLineChars="0"/>
      </w:pPr>
    </w:p>
    <w:p>
      <w:pPr>
        <w:pStyle w:val="10"/>
        <w:rPr>
          <w:rFonts w:hint="eastAsia" w:ascii="仿宋_GB2312" w:hAnsi="仿宋_GB2312" w:eastAsia="仿宋_GB2312" w:cs="仿宋_GB2312"/>
          <w:sz w:val="32"/>
          <w:szCs w:val="32"/>
          <w:lang w:val="en-US" w:eastAsia="zh-CN"/>
        </w:rPr>
      </w:pPr>
    </w:p>
    <w:p>
      <w:pPr>
        <w:pStyle w:val="10"/>
        <w:rPr>
          <w:rFonts w:hint="eastAsia" w:ascii="仿宋_GB2312" w:hAnsi="仿宋_GB2312" w:eastAsia="仿宋_GB2312" w:cs="仿宋_GB2312"/>
          <w:sz w:val="32"/>
          <w:szCs w:val="32"/>
          <w:lang w:val="en-US" w:eastAsia="zh-CN"/>
        </w:rPr>
      </w:pPr>
    </w:p>
    <w:p>
      <w:pPr>
        <w:pStyle w:val="10"/>
        <w:rPr>
          <w:rFonts w:hint="eastAsia" w:ascii="仿宋_GB2312" w:hAnsi="仿宋_GB2312" w:eastAsia="仿宋_GB2312" w:cs="仿宋_GB2312"/>
          <w:sz w:val="32"/>
          <w:szCs w:val="32"/>
          <w:lang w:val="en-US" w:eastAsia="zh-CN"/>
        </w:rPr>
      </w:pPr>
    </w:p>
    <w:tbl>
      <w:tblPr>
        <w:tblStyle w:val="15"/>
        <w:tblW w:w="9369" w:type="dxa"/>
        <w:jc w:val="center"/>
        <w:tblLayout w:type="fixed"/>
        <w:tblCellMar>
          <w:top w:w="0" w:type="dxa"/>
          <w:left w:w="0" w:type="dxa"/>
          <w:bottom w:w="0" w:type="dxa"/>
          <w:right w:w="0" w:type="dxa"/>
        </w:tblCellMar>
      </w:tblPr>
      <w:tblGrid>
        <w:gridCol w:w="623"/>
        <w:gridCol w:w="1188"/>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9369" w:type="dxa"/>
            <w:gridSpan w:val="8"/>
            <w:tcBorders>
              <w:top w:val="nil"/>
              <w:left w:val="nil"/>
              <w:bottom w:val="nil"/>
              <w:right w:val="nil"/>
            </w:tcBorders>
            <w:shd w:val="clear" w:color="auto" w:fill="auto"/>
            <w:tcMar>
              <w:top w:w="15" w:type="dxa"/>
              <w:left w:w="15" w:type="dxa"/>
              <w:right w:w="15" w:type="dxa"/>
            </w:tcMar>
            <w:vAlign w:val="center"/>
          </w:tcPr>
          <w:p>
            <w:pPr>
              <w:widowControl/>
              <w:jc w:val="both"/>
              <w:textAlignment w:val="center"/>
              <w:rPr>
                <w:rFonts w:ascii="宋体" w:hAnsi="宋体" w:cs="宋体"/>
                <w:color w:val="000000" w:themeColor="text1"/>
                <w:kern w:val="0"/>
                <w:sz w:val="24"/>
                <w14:textFill>
                  <w14:solidFill>
                    <w14:schemeClr w14:val="tx1"/>
                  </w14:solidFill>
                </w14:textFill>
              </w:rPr>
            </w:pPr>
          </w:p>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人才发展经费</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1440" w:firstLineChars="600"/>
              <w:jc w:val="both"/>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中共红原县委组织部</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100</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100</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100</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100</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全县人才开发</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eastAsia="宋体" w:cs="宋体"/>
                <w:sz w:val="24"/>
                <w:szCs w:val="24"/>
              </w:rPr>
              <w:t>保障</w:t>
            </w:r>
            <w:r>
              <w:rPr>
                <w:rFonts w:hint="eastAsia" w:ascii="宋体" w:hAnsi="宋体" w:eastAsia="宋体" w:cs="宋体"/>
                <w:sz w:val="24"/>
                <w:szCs w:val="24"/>
                <w:lang w:val="en-US" w:eastAsia="zh-CN"/>
              </w:rPr>
              <w:t>全县人才开发和</w:t>
            </w:r>
            <w:r>
              <w:rPr>
                <w:rFonts w:hint="eastAsia" w:ascii="宋体" w:hAnsi="宋体" w:cs="宋体"/>
                <w:sz w:val="24"/>
                <w:szCs w:val="24"/>
                <w:lang w:val="en-US" w:eastAsia="zh-CN"/>
              </w:rPr>
              <w:t>培训</w:t>
            </w:r>
            <w:r>
              <w:rPr>
                <w:rFonts w:hint="eastAsia" w:ascii="宋体" w:hAnsi="宋体" w:eastAsia="宋体" w:cs="宋体"/>
                <w:sz w:val="24"/>
                <w:szCs w:val="24"/>
                <w:lang w:val="en-US" w:eastAsia="zh-CN"/>
              </w:rPr>
              <w:t>等工作</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3" name="直接连接符_8"/>
                  <wp:cNvGraphicFramePr/>
                  <a:graphic xmlns:a="http://schemas.openxmlformats.org/drawingml/2006/main">
                    <a:graphicData uri="http://schemas.openxmlformats.org/drawingml/2006/picture">
                      <pic:pic xmlns:pic="http://schemas.openxmlformats.org/drawingml/2006/picture">
                        <pic:nvPicPr>
                          <pic:cNvPr id="13"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7052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7"/>
                  <wp:cNvGraphicFramePr/>
                  <a:graphic xmlns:a="http://schemas.openxmlformats.org/drawingml/2006/main">
                    <a:graphicData uri="http://schemas.openxmlformats.org/drawingml/2006/picture">
                      <pic:pic xmlns:pic="http://schemas.openxmlformats.org/drawingml/2006/picture">
                        <pic:nvPicPr>
                          <pic:cNvPr id="11"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both"/>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人才开发、培训</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人才开发、培训</w:t>
            </w:r>
          </w:p>
        </w:tc>
      </w:tr>
      <w:tr>
        <w:tblPrEx>
          <w:tblCellMar>
            <w:top w:w="0" w:type="dxa"/>
            <w:left w:w="0" w:type="dxa"/>
            <w:bottom w:w="0" w:type="dxa"/>
            <w:right w:w="0" w:type="dxa"/>
          </w:tblCellMar>
        </w:tblPrEx>
        <w:trPr>
          <w:trHeight w:val="64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155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257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直接连接符_5"/>
                  <wp:cNvGraphicFramePr/>
                  <a:graphic xmlns:a="http://schemas.openxmlformats.org/drawingml/2006/main">
                    <a:graphicData uri="http://schemas.openxmlformats.org/drawingml/2006/picture">
                      <pic:pic xmlns:pic="http://schemas.openxmlformats.org/drawingml/2006/picture">
                        <pic:nvPicPr>
                          <pic:cNvPr id="14"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default"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优质全县人才发展</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优质全县人才发展</w:t>
            </w:r>
          </w:p>
        </w:tc>
      </w:tr>
      <w:tr>
        <w:tblPrEx>
          <w:tblCellMar>
            <w:top w:w="0" w:type="dxa"/>
            <w:left w:w="0" w:type="dxa"/>
            <w:bottom w:w="0" w:type="dxa"/>
            <w:right w:w="0" w:type="dxa"/>
          </w:tblCellMar>
        </w:tblPrEx>
        <w:trPr>
          <w:trHeight w:val="1276"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保障优秀人才开发、开展培训</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cs="宋体"/>
                <w:color w:val="000000" w:themeColor="text1"/>
                <w:sz w:val="20"/>
                <w:szCs w:val="20"/>
                <w:lang w:val="en-US"/>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保障优秀人才开发、开展培训</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保障创造优秀人才、开展培训</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保障创造优秀人才、开展培训</w:t>
            </w:r>
          </w:p>
        </w:tc>
      </w:tr>
      <w:tr>
        <w:tblPrEx>
          <w:tblCellMar>
            <w:top w:w="0" w:type="dxa"/>
            <w:left w:w="0" w:type="dxa"/>
            <w:bottom w:w="0" w:type="dxa"/>
            <w:right w:w="0" w:type="dxa"/>
          </w:tblCellMar>
        </w:tblPrEx>
        <w:trPr>
          <w:trHeight w:val="76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保障创造优秀人才、开展培训</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保障创造优秀人才、开展培训</w:t>
            </w:r>
          </w:p>
        </w:tc>
      </w:tr>
      <w:tr>
        <w:tblPrEx>
          <w:tblCellMar>
            <w:top w:w="0" w:type="dxa"/>
            <w:left w:w="0" w:type="dxa"/>
            <w:bottom w:w="0" w:type="dxa"/>
            <w:right w:w="0" w:type="dxa"/>
          </w:tblCellMar>
        </w:tblPrEx>
        <w:trPr>
          <w:trHeight w:val="108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人才</w:t>
            </w:r>
            <w:r>
              <w:rPr>
                <w:rFonts w:hint="eastAsia" w:ascii="宋体" w:hAnsi="宋体" w:cs="宋体"/>
                <w:color w:val="000000" w:themeColor="text1"/>
                <w:sz w:val="20"/>
                <w:szCs w:val="20"/>
                <w14:textFill>
                  <w14:solidFill>
                    <w14:schemeClr w14:val="tx1"/>
                  </w14:solidFill>
                </w14:textFill>
              </w:rPr>
              <w:t>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100%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组织部</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年部门整体支出绩效评价报告》见附件（附件1）。</w:t>
      </w:r>
    </w:p>
    <w:p>
      <w:pPr>
        <w:pStyle w:val="3"/>
        <w:pageBreakBefore w:val="0"/>
        <w:kinsoku/>
        <w:wordWrap/>
        <w:overflowPunct/>
        <w:topLinePunct w:val="0"/>
        <w:bidi w:val="0"/>
        <w:spacing w:line="576" w:lineRule="exact"/>
        <w:jc w:val="both"/>
        <w:textAlignment w:val="auto"/>
        <w:rPr>
          <w:rFonts w:hint="default" w:ascii="Times New Roman" w:hAnsi="Times New Roman" w:eastAsia="方正小标宋简体" w:cs="Times New Roman"/>
          <w:b w:val="0"/>
          <w:bCs w:val="0"/>
          <w:sz w:val="44"/>
          <w:lang w:eastAsia="zh-CN"/>
        </w:rPr>
      </w:pPr>
      <w:bookmarkStart w:id="115" w:name="_Toc20774"/>
      <w:bookmarkStart w:id="116" w:name="_Toc26583"/>
      <w:bookmarkStart w:id="117" w:name="_Toc22453"/>
      <w:bookmarkStart w:id="118" w:name="_Toc15377225"/>
      <w:bookmarkStart w:id="119" w:name="_Toc15396613"/>
      <w:bookmarkStart w:id="120" w:name="_Toc15377226"/>
    </w:p>
    <w:p>
      <w:pPr>
        <w:rPr>
          <w:rFonts w:hint="default" w:ascii="Times New Roman" w:hAnsi="Times New Roman" w:eastAsia="方正小标宋简体" w:cs="Times New Roman"/>
          <w:b w:val="0"/>
          <w:bCs w:val="0"/>
          <w:sz w:val="44"/>
          <w:lang w:eastAsia="zh-CN"/>
        </w:rPr>
      </w:pPr>
    </w:p>
    <w:p>
      <w:pPr>
        <w:pStyle w:val="13"/>
        <w:rPr>
          <w:rFonts w:hint="default" w:ascii="Times New Roman" w:hAnsi="Times New Roman" w:eastAsia="方正小标宋简体" w:cs="Times New Roman"/>
          <w:b w:val="0"/>
          <w:bCs w:val="0"/>
          <w:sz w:val="44"/>
          <w:lang w:eastAsia="zh-CN"/>
        </w:rPr>
      </w:pPr>
    </w:p>
    <w:p>
      <w:pPr>
        <w:rPr>
          <w:rFonts w:hint="default" w:ascii="Times New Roman" w:hAnsi="Times New Roman" w:eastAsia="方正小标宋简体" w:cs="Times New Roman"/>
          <w:b w:val="0"/>
          <w:bCs w:val="0"/>
          <w:sz w:val="44"/>
          <w:lang w:eastAsia="zh-CN"/>
        </w:rPr>
      </w:pPr>
    </w:p>
    <w:p>
      <w:pPr>
        <w:pStyle w:val="13"/>
        <w:rPr>
          <w:rFonts w:hint="default" w:ascii="Times New Roman" w:hAnsi="Times New Roman" w:eastAsia="方正小标宋简体" w:cs="Times New Roman"/>
          <w:b w:val="0"/>
          <w:bCs w:val="0"/>
          <w:sz w:val="44"/>
          <w:lang w:eastAsia="zh-CN"/>
        </w:rPr>
      </w:pPr>
    </w:p>
    <w:p>
      <w:pPr>
        <w:rPr>
          <w:rFonts w:hint="default" w:ascii="Times New Roman" w:hAnsi="Times New Roman" w:eastAsia="方正小标宋简体" w:cs="Times New Roman"/>
          <w:b w:val="0"/>
          <w:bCs w:val="0"/>
          <w:sz w:val="44"/>
          <w:lang w:eastAsia="zh-CN"/>
        </w:rPr>
      </w:pPr>
    </w:p>
    <w:p>
      <w:pPr>
        <w:pStyle w:val="13"/>
        <w:rPr>
          <w:rFonts w:hint="default" w:ascii="Times New Roman" w:hAnsi="Times New Roman" w:eastAsia="方正小标宋简体" w:cs="Times New Roman"/>
          <w:b w:val="0"/>
          <w:bCs w:val="0"/>
          <w:sz w:val="44"/>
          <w:lang w:eastAsia="zh-CN"/>
        </w:rPr>
      </w:pPr>
    </w:p>
    <w:p>
      <w:pPr>
        <w:rPr>
          <w:rFonts w:hint="default" w:ascii="Times New Roman" w:hAnsi="Times New Roman" w:eastAsia="方正小标宋简体" w:cs="Times New Roman"/>
          <w:b w:val="0"/>
          <w:bCs w:val="0"/>
          <w:sz w:val="44"/>
          <w:lang w:eastAsia="zh-CN"/>
        </w:rPr>
      </w:pPr>
    </w:p>
    <w:p>
      <w:pPr>
        <w:pStyle w:val="13"/>
        <w:rPr>
          <w:rFonts w:hint="default" w:ascii="Times New Roman" w:hAnsi="Times New Roman" w:eastAsia="方正小标宋简体" w:cs="Times New Roman"/>
          <w:b w:val="0"/>
          <w:bCs w:val="0"/>
          <w:sz w:val="44"/>
          <w:lang w:eastAsia="zh-CN"/>
        </w:rPr>
      </w:pPr>
    </w:p>
    <w:p>
      <w:pPr>
        <w:rPr>
          <w:rFonts w:hint="default" w:ascii="Times New Roman" w:hAnsi="Times New Roman" w:eastAsia="方正小标宋简体" w:cs="Times New Roman"/>
          <w:b w:val="0"/>
          <w:bCs w:val="0"/>
          <w:sz w:val="44"/>
          <w:lang w:eastAsia="zh-CN"/>
        </w:rPr>
      </w:pPr>
    </w:p>
    <w:p>
      <w:pPr>
        <w:pStyle w:val="13"/>
        <w:rPr>
          <w:rFonts w:hint="default" w:ascii="Times New Roman" w:hAnsi="Times New Roman" w:eastAsia="方正小标宋简体" w:cs="Times New Roman"/>
          <w:b w:val="0"/>
          <w:bCs w:val="0"/>
          <w:sz w:val="44"/>
          <w:lang w:eastAsia="zh-CN"/>
        </w:rPr>
      </w:pPr>
    </w:p>
    <w:p>
      <w:pPr>
        <w:rPr>
          <w:rFonts w:hint="default" w:ascii="Times New Roman" w:hAnsi="Times New Roman" w:eastAsia="方正小标宋简体" w:cs="Times New Roman"/>
          <w:b w:val="0"/>
          <w:bCs w:val="0"/>
          <w:sz w:val="44"/>
          <w:lang w:eastAsia="zh-CN"/>
        </w:rPr>
      </w:pPr>
    </w:p>
    <w:p>
      <w:pPr>
        <w:pStyle w:val="13"/>
        <w:rPr>
          <w:rFonts w:hint="default" w:ascii="Times New Roman" w:hAnsi="Times New Roman" w:eastAsia="方正小标宋简体" w:cs="Times New Roman"/>
          <w:b w:val="0"/>
          <w:bCs w:val="0"/>
          <w:sz w:val="44"/>
          <w:lang w:eastAsia="zh-CN"/>
        </w:rPr>
      </w:pPr>
    </w:p>
    <w:p>
      <w:pPr>
        <w:rPr>
          <w:rFonts w:hint="default" w:ascii="Times New Roman" w:hAnsi="Times New Roman" w:eastAsia="方正小标宋简体" w:cs="Times New Roman"/>
          <w:b w:val="0"/>
          <w:bCs w:val="0"/>
          <w:sz w:val="44"/>
          <w:lang w:eastAsia="zh-CN"/>
        </w:rPr>
      </w:pPr>
    </w:p>
    <w:p>
      <w:pPr>
        <w:pStyle w:val="13"/>
        <w:rPr>
          <w:rFonts w:hint="default"/>
          <w:lang w:eastAsia="zh-CN"/>
        </w:rPr>
      </w:pPr>
    </w:p>
    <w:p>
      <w:pPr>
        <w:pStyle w:val="3"/>
        <w:pageBreakBefore w:val="0"/>
        <w:kinsoku/>
        <w:wordWrap/>
        <w:overflowPunct/>
        <w:topLinePunct w:val="0"/>
        <w:bidi w:val="0"/>
        <w:spacing w:line="576" w:lineRule="exact"/>
        <w:jc w:val="center"/>
        <w:textAlignment w:val="auto"/>
        <w:rPr>
          <w:rFonts w:hint="default" w:ascii="Times New Roman" w:hAnsi="Times New Roman" w:eastAsia="仿宋_GB2312" w:cs="Times New Roman"/>
          <w:b/>
          <w:sz w:val="44"/>
          <w:szCs w:val="44"/>
        </w:rPr>
      </w:pPr>
      <w:bookmarkStart w:id="121" w:name="_Toc1356444145"/>
      <w:r>
        <w:rPr>
          <w:rFonts w:hint="default" w:ascii="Times New Roman" w:hAnsi="Times New Roman" w:eastAsia="方正小标宋简体" w:cs="Times New Roman"/>
          <w:b w:val="0"/>
          <w:bCs w:val="0"/>
          <w:sz w:val="44"/>
          <w:lang w:eastAsia="zh-CN"/>
        </w:rPr>
        <w:t>第三部分</w:t>
      </w:r>
      <w:r>
        <w:rPr>
          <w:rFonts w:hint="default" w:ascii="Times New Roman" w:hAnsi="Times New Roman" w:eastAsia="方正小标宋简体" w:cs="Times New Roman"/>
          <w:b w:val="0"/>
          <w:bCs w:val="0"/>
          <w:sz w:val="44"/>
          <w:lang w:val="en-US" w:eastAsia="zh-CN"/>
        </w:rPr>
        <w:t xml:space="preserve">  </w:t>
      </w:r>
      <w:r>
        <w:rPr>
          <w:rFonts w:hint="default" w:ascii="Times New Roman" w:hAnsi="Times New Roman" w:eastAsia="方正小标宋简体" w:cs="Times New Roman"/>
          <w:b w:val="0"/>
          <w:bCs w:val="0"/>
          <w:sz w:val="44"/>
        </w:rPr>
        <w:t>名词解释</w:t>
      </w:r>
      <w:bookmarkEnd w:id="115"/>
      <w:bookmarkEnd w:id="116"/>
      <w:bookmarkEnd w:id="117"/>
      <w:bookmarkEnd w:id="118"/>
      <w:bookmarkEnd w:id="119"/>
      <w:bookmarkEnd w:id="12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bookmarkStart w:id="122" w:name="_Toc26851"/>
      <w:bookmarkStart w:id="123" w:name="_Toc8561"/>
      <w:r>
        <w:rPr>
          <w:rFonts w:hint="default" w:ascii="Times New Roman" w:hAnsi="Times New Roman" w:eastAsia="仿宋_GB2312" w:cs="Times New Roman"/>
          <w:color w:val="auto"/>
          <w:kern w:val="0"/>
          <w:sz w:val="32"/>
          <w:szCs w:val="32"/>
          <w:lang w:val="en-US" w:eastAsia="zh-CN" w:bidi="ar-SA"/>
        </w:rPr>
        <w:t>1.财政拨款收入：指单位从同级财政部门取得的财政预算资金。</w:t>
      </w:r>
      <w:bookmarkEnd w:id="122"/>
      <w:bookmarkEnd w:id="12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2.事业收入：指事业单位开展专业业务活动及辅助活动取得的收入。</w:t>
      </w:r>
    </w:p>
    <w:p>
      <w:pPr>
        <w:pStyle w:val="25"/>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bookmarkStart w:id="124" w:name="_Toc14518"/>
      <w:bookmarkStart w:id="125" w:name="_Toc26643"/>
      <w:r>
        <w:rPr>
          <w:rFonts w:hint="default" w:ascii="Times New Roman" w:hAnsi="Times New Roman" w:eastAsia="仿宋_GB2312" w:cs="Times New Roman"/>
          <w:color w:val="auto"/>
          <w:kern w:val="0"/>
          <w:sz w:val="32"/>
          <w:szCs w:val="32"/>
          <w:lang w:val="en-US" w:eastAsia="zh-CN" w:bidi="ar-SA"/>
        </w:rPr>
        <w:t>4.其他收入：指单位取得的除上述收入以外的各项收入。</w:t>
      </w:r>
      <w:bookmarkEnd w:id="124"/>
      <w:bookmarkEnd w:id="125"/>
    </w:p>
    <w:p>
      <w:pPr>
        <w:pStyle w:val="25"/>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 xml:space="preserve">5.使用非财政拨款结余：指事业单位使用以前年度积累的非财政拨款结余弥补当年收支差额的金额。 </w:t>
      </w:r>
    </w:p>
    <w:p>
      <w:pPr>
        <w:pStyle w:val="25"/>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 xml:space="preserve">6.年初结转和结余：指以前年度尚未完成、结转到本年按有关规定继续使用的资金。 </w:t>
      </w:r>
    </w:p>
    <w:p>
      <w:pPr>
        <w:pStyle w:val="25"/>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7.结余分配：指事业单位按照会计制度规定缴纳的所得税、提取的专用结余以及转入非财政拨款结余的金额等。</w:t>
      </w:r>
    </w:p>
    <w:p>
      <w:pPr>
        <w:pStyle w:val="25"/>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8.年末结转和结余：指单位按有关规定结转到下年或以后年度继续使用的资金。</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9.社会保障和就业支出人力资源和社会保障管理事务行政运行（2080101）：指行政单位（包括实行公务员管理的事业单位）的基本支出。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10.社会保障和就业支出人力资源和社会保障管理事务社会保险业务管理事务（2080107）：指社会保险业务管理和基金监督方面的支出。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11.社会保障和就业支出人力资源和社会保障管理事务劳动人事争议调解仲裁（2080112）：指仲裁机构实体化建设、办案经费、调解仲裁能力建设等支出。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12.社会保障和就业支出人力资源和社会保障管理事务引进人才费用（2080116）：指引进事业和专技人才等方面的支出。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13.社会保障和就业支出人力资源和社会保障管理事务事业运行（2080150）：指事业单位的基本支出。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14.社会保障和就业支出人力资源和社会保障管理事务其他人力资源和社会保障管理事务支出（2080199）：指除上述项目以外其他用于人力资源和社会保障管理事务方面的支出。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15.基本支出：指为保障机构正常运转、完成日常工作任务而发生的人员支出和公用支出。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 xml:space="preserve">16.项目支出：指在基本支出之外为完成特定行政任务和事业发展目标所发生的支出。 </w:t>
      </w:r>
    </w:p>
    <w:p>
      <w:pPr>
        <w:pStyle w:val="25"/>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17.“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bidi w:val="0"/>
        <w:snapToGrid/>
        <w:spacing w:line="560" w:lineRule="exact"/>
        <w:jc w:val="center"/>
        <w:textAlignment w:val="auto"/>
        <w:outlineLvl w:val="0"/>
        <w:rPr>
          <w:rStyle w:val="27"/>
          <w:rFonts w:ascii="黑体" w:hAnsi="黑体" w:eastAsia="黑体"/>
          <w:b w:val="0"/>
        </w:rPr>
      </w:pPr>
      <w:r>
        <w:rPr>
          <w:rFonts w:ascii="宋体"/>
          <w:b/>
          <w:color w:val="000000"/>
          <w:sz w:val="44"/>
          <w:szCs w:val="44"/>
        </w:rPr>
        <w:br w:type="page"/>
      </w:r>
      <w:bookmarkStart w:id="126" w:name="_Toc9421"/>
      <w:bookmarkStart w:id="127" w:name="_Toc15396614"/>
      <w:bookmarkStart w:id="128" w:name="_Toc658012653"/>
      <w:r>
        <w:rPr>
          <w:rFonts w:hint="eastAsia" w:ascii="黑体" w:hAnsi="黑体" w:eastAsia="黑体"/>
          <w:color w:val="000000"/>
          <w:sz w:val="44"/>
          <w:szCs w:val="44"/>
        </w:rPr>
        <w:t>第</w:t>
      </w:r>
      <w:r>
        <w:rPr>
          <w:rStyle w:val="27"/>
          <w:rFonts w:hint="eastAsia" w:ascii="黑体" w:hAnsi="黑体" w:eastAsia="黑体"/>
          <w:b w:val="0"/>
        </w:rPr>
        <w:t>四部分 附件</w:t>
      </w:r>
      <w:bookmarkEnd w:id="126"/>
      <w:bookmarkEnd w:id="127"/>
      <w:bookmarkEnd w:id="128"/>
    </w:p>
    <w:p>
      <w:pPr>
        <w:spacing w:line="600" w:lineRule="exact"/>
        <w:jc w:val="left"/>
        <w:outlineLvl w:val="0"/>
        <w:rPr>
          <w:rFonts w:ascii="方正小标宋简体" w:hAnsi="方正小标宋简体" w:eastAsia="方正小标宋简体" w:cs="方正小标宋简体"/>
          <w:sz w:val="32"/>
          <w:szCs w:val="32"/>
        </w:rPr>
      </w:pPr>
      <w:bookmarkStart w:id="129" w:name="_Toc19034"/>
      <w:bookmarkStart w:id="130" w:name="_Toc868307881"/>
      <w:r>
        <w:rPr>
          <w:rFonts w:hint="eastAsia" w:ascii="黑体" w:hAnsi="黑体" w:eastAsia="黑体" w:cs="黑体"/>
          <w:sz w:val="32"/>
          <w:szCs w:val="32"/>
        </w:rPr>
        <w:t>附件1</w:t>
      </w:r>
      <w:bookmarkEnd w:id="129"/>
      <w:bookmarkEnd w:id="130"/>
    </w:p>
    <w:p>
      <w:pPr>
        <w:spacing w:line="580" w:lineRule="exact"/>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中共红原县委组织部</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en-US" w:eastAsia="zh-CN"/>
        </w:rPr>
        <w:t>2021</w:t>
      </w:r>
      <w:r>
        <w:rPr>
          <w:rFonts w:ascii="方正小标宋简体" w:hAnsi="宋体" w:eastAsia="方正小标宋简体"/>
          <w:color w:val="000000"/>
          <w:kern w:val="0"/>
          <w:sz w:val="44"/>
          <w:szCs w:val="44"/>
        </w:rPr>
        <w:t>年部门</w:t>
      </w:r>
      <w:r>
        <w:rPr>
          <w:rFonts w:hint="eastAsia" w:ascii="方正小标宋简体" w:hAnsi="宋体" w:eastAsia="方正小标宋简体"/>
          <w:color w:val="000000"/>
          <w:kern w:val="0"/>
          <w:sz w:val="44"/>
          <w:szCs w:val="44"/>
          <w:lang w:val="zh-CN"/>
        </w:rPr>
        <w:t>整体支出绩效评价报告</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960" w:firstLineChars="3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sz w:val="32"/>
          <w:szCs w:val="32"/>
        </w:rPr>
        <w:t>行政单位1个，</w:t>
      </w:r>
      <w:r>
        <w:rPr>
          <w:rFonts w:hint="eastAsia" w:ascii="仿宋_GB2312" w:hAnsi="仿宋_GB2312" w:eastAsia="仿宋_GB2312" w:cs="仿宋_GB2312"/>
          <w:color w:val="000000"/>
          <w:kern w:val="0"/>
          <w:sz w:val="32"/>
          <w:szCs w:val="32"/>
          <w:lang w:val="en-US" w:eastAsia="zh-CN" w:bidi="ar"/>
        </w:rPr>
        <w:t>下设参公单位2个、事业单位2个。</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（二）机构职能。</w:t>
      </w:r>
      <w:r>
        <w:rPr>
          <w:rFonts w:hint="eastAsia" w:ascii="仿宋_GB2312" w:hAnsi="仿宋_GB2312" w:eastAsia="仿宋_GB2312" w:cs="仿宋_GB2312"/>
          <w:bCs/>
          <w:sz w:val="32"/>
          <w:szCs w:val="32"/>
        </w:rPr>
        <w:t>委组织部是县委主管组织工作、干部工作和人才工作的职能部门，主要职责是研究、指导全县各级党组织特别是党的基层组织建设，协调、规划和指导全县党员教育管理和强化党员发展工作；负责乡镇、县级各部门和县委、县政府直属企事业单位以及其他列入县委管理的领导班子和领导干部的考察考核，并提出领导班子调整、配备和任免的意见和建议；研究全县干部人才队伍建设的政策、措施；负责组织、干部工作的监督检查以及有关的综合协调工作，及时向县委和州委组织部反映情况，提出建议；指导和承办离休干部和副县级以上退休干部的安置、管理、服务工作。</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ascii="仿宋_GB2312" w:hAnsi="宋体" w:eastAsia="仿宋_GB2312" w:cs="宋体"/>
          <w:b w:val="0"/>
          <w:bCs/>
          <w:color w:val="auto"/>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（三）人员概况。</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2021</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32</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val="en-US" w:eastAsia="zh-CN"/>
        </w:rPr>
        <w:t>参公编制9个、事业编制7个、</w:t>
      </w:r>
      <w:r>
        <w:rPr>
          <w:rFonts w:hint="eastAsia" w:ascii="仿宋_GB2312" w:hAnsi="仿宋_GB2312" w:eastAsia="仿宋_GB2312" w:cs="仿宋_GB2312"/>
          <w:bCs/>
          <w:sz w:val="32"/>
          <w:szCs w:val="32"/>
        </w:rPr>
        <w:t>行政工勤编制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个，</w:t>
      </w:r>
      <w:r>
        <w:rPr>
          <w:rFonts w:hint="eastAsia" w:ascii="仿宋_GB2312" w:hAnsi="仿宋_GB2312" w:eastAsia="仿宋_GB2312" w:cs="仿宋_GB2312"/>
          <w:b w:val="0"/>
          <w:bCs/>
          <w:color w:val="auto"/>
          <w:sz w:val="32"/>
          <w:szCs w:val="32"/>
        </w:rPr>
        <w:t>在职</w:t>
      </w:r>
      <w:r>
        <w:rPr>
          <w:rFonts w:hint="eastAsia" w:ascii="仿宋_GB2312" w:hAnsi="仿宋_GB2312" w:eastAsia="仿宋_GB2312" w:cs="仿宋_GB2312"/>
          <w:b w:val="0"/>
          <w:bCs/>
          <w:color w:val="auto"/>
          <w:sz w:val="32"/>
          <w:szCs w:val="32"/>
          <w:lang w:val="en-US" w:eastAsia="zh-CN"/>
        </w:rPr>
        <w:t>27</w:t>
      </w:r>
      <w:r>
        <w:rPr>
          <w:rFonts w:hint="eastAsia" w:ascii="仿宋_GB2312" w:hAnsi="仿宋_GB2312" w:eastAsia="仿宋_GB2312" w:cs="仿宋_GB2312"/>
          <w:b w:val="0"/>
          <w:bCs/>
          <w:color w:val="auto"/>
          <w:sz w:val="32"/>
          <w:szCs w:val="32"/>
        </w:rPr>
        <w:t>人，其中公务员</w:t>
      </w:r>
      <w:r>
        <w:rPr>
          <w:rFonts w:hint="eastAsia" w:ascii="仿宋_GB2312" w:hAnsi="仿宋_GB2312" w:eastAsia="仿宋_GB2312" w:cs="仿宋_GB2312"/>
          <w:b w:val="0"/>
          <w:bCs/>
          <w:color w:val="auto"/>
          <w:sz w:val="32"/>
          <w:szCs w:val="32"/>
          <w:lang w:val="en-US" w:eastAsia="zh-CN"/>
        </w:rPr>
        <w:t>12</w:t>
      </w:r>
      <w:r>
        <w:rPr>
          <w:rFonts w:hint="eastAsia" w:ascii="仿宋_GB2312" w:hAnsi="仿宋_GB2312" w:eastAsia="仿宋_GB2312" w:cs="仿宋_GB2312"/>
          <w:b w:val="0"/>
          <w:bCs/>
          <w:color w:val="auto"/>
          <w:sz w:val="32"/>
          <w:szCs w:val="32"/>
        </w:rPr>
        <w:t>人，参公</w:t>
      </w:r>
      <w:r>
        <w:rPr>
          <w:rFonts w:hint="eastAsia" w:ascii="仿宋_GB2312" w:hAnsi="仿宋_GB2312" w:eastAsia="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rPr>
        <w:t>人，事业</w:t>
      </w: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rPr>
        <w:t>人</w:t>
      </w:r>
      <w:r>
        <w:rPr>
          <w:rFonts w:hint="eastAsia" w:ascii="仿宋_GB2312" w:hAnsi="仿宋_GB2312" w:eastAsia="仿宋_GB2312" w:cs="仿宋_GB2312"/>
          <w:b w:val="0"/>
          <w:bCs/>
          <w:color w:val="auto"/>
          <w:sz w:val="32"/>
          <w:szCs w:val="32"/>
          <w:lang w:eastAsia="zh-CN"/>
        </w:rPr>
        <w:t>，行政工勤</w:t>
      </w:r>
      <w:r>
        <w:rPr>
          <w:rFonts w:hint="eastAsia" w:ascii="仿宋_GB2312" w:hAnsi="仿宋_GB2312" w:eastAsia="仿宋_GB2312" w:cs="仿宋_GB2312"/>
          <w:b w:val="0"/>
          <w:bCs/>
          <w:color w:val="auto"/>
          <w:sz w:val="32"/>
          <w:szCs w:val="32"/>
          <w:lang w:val="en-US" w:eastAsia="zh-CN"/>
        </w:rPr>
        <w:t>3人</w:t>
      </w:r>
      <w:r>
        <w:rPr>
          <w:rFonts w:hint="eastAsia" w:ascii="仿宋_GB2312" w:hAnsi="仿宋_GB2312" w:eastAsia="仿宋_GB2312" w:cs="仿宋_GB2312"/>
          <w:b w:val="0"/>
          <w:bCs/>
          <w:color w:val="auto"/>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（一）部门财政资金收入情况。</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color w:val="000000"/>
          <w:sz w:val="32"/>
          <w:szCs w:val="32"/>
          <w:shd w:val="clear" w:color="auto" w:fill="FFFFFF"/>
        </w:rPr>
        <w:t>财政资金</w:t>
      </w:r>
      <w:r>
        <w:rPr>
          <w:rFonts w:hint="eastAsia" w:ascii="仿宋_GB2312" w:hAnsi="仿宋_GB2312" w:eastAsia="仿宋_GB2312" w:cs="仿宋_GB2312"/>
          <w:sz w:val="32"/>
          <w:szCs w:val="32"/>
        </w:rPr>
        <w:t>收入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sz w:val="32"/>
          <w:szCs w:val="32"/>
          <w:lang w:val="en-US" w:eastAsia="zh-CN"/>
        </w:rPr>
        <w:t>1293.88</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1293.88</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zh-CN"/>
        </w:rPr>
        <w:t>二）部门财政资金支出情况。</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年本年</w:t>
      </w:r>
      <w:r>
        <w:rPr>
          <w:rFonts w:hint="eastAsia" w:ascii="仿宋_GB2312" w:hAnsi="仿宋_GB2312" w:eastAsia="仿宋_GB2312" w:cs="仿宋_GB2312"/>
          <w:color w:val="000000"/>
          <w:kern w:val="0"/>
          <w:sz w:val="32"/>
          <w:szCs w:val="32"/>
          <w:lang w:val="zh-CN"/>
        </w:rPr>
        <w:t>财政资金</w:t>
      </w:r>
      <w:r>
        <w:rPr>
          <w:rFonts w:hint="eastAsia" w:ascii="仿宋_GB2312" w:hAnsi="仿宋_GB2312" w:eastAsia="仿宋_GB2312" w:cs="仿宋_GB2312"/>
          <w:color w:val="000000"/>
          <w:sz w:val="32"/>
          <w:szCs w:val="32"/>
        </w:rPr>
        <w:t>支出合计</w:t>
      </w:r>
      <w:r>
        <w:rPr>
          <w:rFonts w:hint="eastAsia" w:ascii="仿宋_GB2312" w:hAnsi="仿宋_GB2312" w:eastAsia="仿宋_GB2312" w:cs="仿宋_GB2312"/>
          <w:color w:val="000000"/>
          <w:sz w:val="32"/>
          <w:szCs w:val="32"/>
          <w:lang w:val="en-US" w:eastAsia="zh-CN"/>
        </w:rPr>
        <w:t>1341.28</w:t>
      </w:r>
      <w:r>
        <w:rPr>
          <w:rFonts w:hint="eastAsia" w:ascii="仿宋_GB2312" w:hAnsi="仿宋_GB2312" w:eastAsia="仿宋_GB2312" w:cs="仿宋_GB2312"/>
          <w:color w:val="000000"/>
          <w:sz w:val="32"/>
          <w:szCs w:val="32"/>
        </w:rPr>
        <w:t>万元，一般公共服务支出</w:t>
      </w:r>
      <w:r>
        <w:rPr>
          <w:rFonts w:hint="eastAsia" w:ascii="仿宋_GB2312" w:hAnsi="仿宋_GB2312" w:eastAsia="仿宋_GB2312" w:cs="仿宋_GB2312"/>
          <w:color w:val="000000"/>
          <w:sz w:val="32"/>
          <w:szCs w:val="32"/>
          <w:lang w:val="en-US" w:eastAsia="zh-CN"/>
        </w:rPr>
        <w:t>960.33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380.95</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 w:hAnsi="仿宋" w:eastAsia="仿宋" w:cs="仿宋_GB2312"/>
          <w:b/>
          <w:bCs/>
          <w:sz w:val="32"/>
          <w:szCs w:val="32"/>
        </w:rPr>
      </w:pPr>
      <w:r>
        <w:rPr>
          <w:rFonts w:hint="eastAsia" w:ascii="仿宋" w:hAnsi="仿宋" w:eastAsia="仿宋" w:cs="仿宋_GB2312"/>
          <w:b/>
          <w:bCs/>
          <w:sz w:val="32"/>
          <w:szCs w:val="32"/>
        </w:rPr>
        <w:t>（一）部门预算管理。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sz w:val="32"/>
          <w:szCs w:val="32"/>
          <w:lang w:val="zh-CN" w:eastAsia="zh-CN"/>
        </w:rPr>
        <w:t>县委组织部按照财政局预算编制通知和相关要求，按时保质保量进行预决算的编制，</w:t>
      </w:r>
      <w:r>
        <w:rPr>
          <w:rFonts w:hint="eastAsia" w:ascii="仿宋_GB2312" w:hAnsi="仿宋_GB2312" w:eastAsia="仿宋_GB2312" w:cs="仿宋_GB2312"/>
          <w:sz w:val="32"/>
          <w:szCs w:val="32"/>
        </w:rPr>
        <w:t>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eastAsia="zh-CN"/>
        </w:rPr>
        <w:t>并报经相关部门审核批准后执行。</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年部门预算</w:t>
      </w:r>
      <w:r>
        <w:rPr>
          <w:rFonts w:hint="eastAsia" w:ascii="仿宋_GB2312" w:hAnsi="仿宋_GB2312" w:eastAsia="仿宋_GB2312" w:cs="仿宋_GB2312"/>
          <w:sz w:val="32"/>
          <w:szCs w:val="32"/>
          <w:lang w:val="en-US" w:eastAsia="zh-CN"/>
        </w:rPr>
        <w:t>1293.88</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ascii="仿宋_GB2312" w:hAnsi="宋体" w:eastAsia="仿宋_GB2312" w:cs="宋体"/>
          <w:b/>
          <w:bCs/>
          <w:color w:val="000000"/>
          <w:kern w:val="0"/>
          <w:sz w:val="32"/>
          <w:szCs w:val="32"/>
          <w:shd w:val="clear" w:color="auto" w:fill="FFFFFF"/>
          <w:lang w:val="zh-CN"/>
        </w:rPr>
      </w:pPr>
      <w:r>
        <w:rPr>
          <w:rFonts w:hint="eastAsia" w:ascii="仿宋" w:hAnsi="仿宋" w:eastAsia="仿宋" w:cs="仿宋_GB2312"/>
          <w:b/>
          <w:bCs/>
          <w:sz w:val="32"/>
          <w:szCs w:val="32"/>
        </w:rPr>
        <w:t>（二）专项预算管理。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县委组织部严格按照县财政的要求，及时分月、分季度上报用款计划，待财政审核通过后，严格按计划执行，各季度执行情况良好。认真执行中央八项规定，严格控制三公经费支出。</w:t>
      </w:r>
      <w:r>
        <w:rPr>
          <w:rFonts w:hint="eastAsia" w:ascii="仿宋_GB2312" w:hAnsi="仿宋_GB2312" w:eastAsia="仿宋_GB2312" w:cs="仿宋_GB2312"/>
          <w:i w:val="0"/>
          <w:caps w:val="0"/>
          <w:color w:val="000000"/>
          <w:spacing w:val="0"/>
          <w:sz w:val="32"/>
          <w:szCs w:val="32"/>
          <w:shd w:val="clear" w:fill="FFFFFF"/>
          <w:lang w:val="en-US" w:eastAsia="zh-CN"/>
        </w:rPr>
        <w:t>2020</w:t>
      </w:r>
      <w:r>
        <w:rPr>
          <w:rFonts w:hint="eastAsia" w:ascii="仿宋_GB2312" w:hAnsi="仿宋_GB2312" w:eastAsia="仿宋_GB2312" w:cs="仿宋_GB2312"/>
          <w:i w:val="0"/>
          <w:caps w:val="0"/>
          <w:color w:val="000000"/>
          <w:spacing w:val="0"/>
          <w:sz w:val="32"/>
          <w:szCs w:val="32"/>
          <w:shd w:val="clear" w:fill="FFFFFF"/>
        </w:rPr>
        <w:t>年“三公”经费支出</w:t>
      </w:r>
      <w:r>
        <w:rPr>
          <w:rFonts w:hint="eastAsia" w:ascii="仿宋_GB2312" w:hAnsi="仿宋_GB2312" w:eastAsia="仿宋_GB2312" w:cs="仿宋_GB2312"/>
          <w:i w:val="0"/>
          <w:caps w:val="0"/>
          <w:color w:val="000000"/>
          <w:spacing w:val="0"/>
          <w:sz w:val="32"/>
          <w:szCs w:val="32"/>
          <w:shd w:val="clear" w:fill="FFFFFF"/>
          <w:lang w:val="en-US" w:eastAsia="zh-CN"/>
        </w:rPr>
        <w:t>12.01</w:t>
      </w:r>
      <w:r>
        <w:rPr>
          <w:rFonts w:hint="eastAsia" w:ascii="仿宋_GB2312" w:hAnsi="仿宋_GB2312" w:eastAsia="仿宋_GB2312" w:cs="仿宋_GB2312"/>
          <w:i w:val="0"/>
          <w:caps w:val="0"/>
          <w:color w:val="000000"/>
          <w:spacing w:val="0"/>
          <w:sz w:val="32"/>
          <w:szCs w:val="32"/>
          <w:shd w:val="clear" w:fill="FFFFFF"/>
        </w:rPr>
        <w:t>万元</w:t>
      </w:r>
      <w:r>
        <w:rPr>
          <w:rFonts w:hint="eastAsia" w:ascii="仿宋_GB2312" w:hAnsi="仿宋_GB2312" w:eastAsia="仿宋_GB2312" w:cs="仿宋_GB2312"/>
          <w:i w:val="0"/>
          <w:caps w:val="0"/>
          <w:color w:val="000000"/>
          <w:spacing w:val="0"/>
          <w:sz w:val="32"/>
          <w:szCs w:val="32"/>
          <w:shd w:val="clear" w:fill="FFFFFF"/>
          <w:lang w:eastAsia="zh-CN"/>
        </w:rPr>
        <w:t>。其中，</w:t>
      </w:r>
      <w:r>
        <w:rPr>
          <w:rFonts w:hint="eastAsia" w:ascii="仿宋_GB2312" w:hAnsi="仿宋_GB2312" w:eastAsia="仿宋_GB2312" w:cs="仿宋_GB2312"/>
          <w:i w:val="0"/>
          <w:caps w:val="0"/>
          <w:color w:val="333333"/>
          <w:spacing w:val="0"/>
          <w:sz w:val="32"/>
          <w:szCs w:val="32"/>
        </w:rPr>
        <w:t>公务用车运行维护费支出</w:t>
      </w:r>
      <w:r>
        <w:rPr>
          <w:rFonts w:hint="eastAsia" w:ascii="仿宋_GB2312" w:hAnsi="仿宋_GB2312" w:eastAsia="仿宋_GB2312" w:cs="仿宋_GB2312"/>
          <w:color w:val="000000"/>
          <w:sz w:val="32"/>
          <w:szCs w:val="32"/>
          <w:lang w:val="en-US" w:eastAsia="zh-CN"/>
        </w:rPr>
        <w:t>11.96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0.36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8.11%</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 w:hAnsi="仿宋" w:eastAsia="仿宋" w:cs="仿宋_GB2312"/>
          <w:b/>
          <w:bCs/>
          <w:sz w:val="32"/>
          <w:szCs w:val="32"/>
        </w:rPr>
      </w:pPr>
      <w:r>
        <w:rPr>
          <w:rFonts w:hint="eastAsia" w:ascii="仿宋" w:hAnsi="仿宋" w:eastAsia="仿宋" w:cs="仿宋_GB2312"/>
          <w:b/>
          <w:bCs/>
          <w:sz w:val="32"/>
          <w:szCs w:val="32"/>
        </w:rPr>
        <w:t>（三）结果应用情况。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eastAsia" w:ascii="黑体" w:hAnsi="宋体" w:eastAsia="黑体" w:cs="宋体"/>
          <w:color w:val="000000"/>
          <w:kern w:val="0"/>
          <w:sz w:val="32"/>
          <w:szCs w:val="32"/>
          <w:shd w:val="clear" w:color="auto" w:fill="FFFFFF"/>
        </w:rPr>
      </w:pPr>
      <w:r>
        <w:rPr>
          <w:rFonts w:hint="eastAsia" w:ascii="仿宋_GB2312" w:hAnsi="仿宋_GB2312" w:eastAsia="仿宋_GB2312" w:cs="仿宋_GB2312"/>
          <w:color w:val="000000"/>
          <w:kern w:val="0"/>
          <w:sz w:val="32"/>
          <w:szCs w:val="32"/>
          <w:lang w:val="zh-CN" w:eastAsia="zh-CN" w:bidi="ar"/>
        </w:rPr>
        <w:t>县委组织部按照岗位职责，严格执行机关财务管理制度，及时进行会计核算，严格控制支出；建立健全内部控制制度，资产管理制度，信息公开制度。在执行中新增资产严格按要求实施政府采购，并纳入国有资产管理信息系统。对预算、决算在规定时间和规定的网站进行公开，接受社会监督。</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我部严格按照预算法按时完成预决算编制。在执行过程中有计划进行资金申报使用，完善资金管理及内部控制制度，确保资金安全，做到帐款、帐帐、帐实相符。</w:t>
      </w:r>
    </w:p>
    <w:p>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评价结论。</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bidi="ar"/>
        </w:rPr>
        <w:t>根据《</w:t>
      </w:r>
      <w:r>
        <w:rPr>
          <w:rFonts w:hint="eastAsia" w:ascii="仿宋_GB2312" w:hAnsi="仿宋_GB2312" w:eastAsia="仿宋_GB2312" w:cs="仿宋_GB2312"/>
          <w:color w:val="000000"/>
          <w:kern w:val="0"/>
          <w:sz w:val="32"/>
          <w:szCs w:val="32"/>
          <w:lang w:val="en-US" w:eastAsia="zh-CN" w:bidi="ar"/>
        </w:rPr>
        <w:t>2021</w:t>
      </w:r>
      <w:r>
        <w:rPr>
          <w:rFonts w:hint="eastAsia" w:ascii="仿宋_GB2312" w:hAnsi="仿宋_GB2312" w:eastAsia="仿宋_GB2312" w:cs="仿宋_GB2312"/>
          <w:color w:val="000000"/>
          <w:kern w:val="0"/>
          <w:sz w:val="32"/>
          <w:szCs w:val="32"/>
          <w:lang w:val="zh-CN" w:bidi="ar"/>
        </w:rPr>
        <w:t>年红原县部门支出绩效评价指标体系》评分得分9</w:t>
      </w:r>
      <w:r>
        <w:rPr>
          <w:rFonts w:hint="eastAsia" w:ascii="仿宋_GB2312" w:hAnsi="仿宋_GB2312" w:eastAsia="仿宋_GB2312" w:cs="仿宋_GB2312"/>
          <w:color w:val="000000"/>
          <w:kern w:val="0"/>
          <w:sz w:val="32"/>
          <w:szCs w:val="32"/>
          <w:lang w:val="en-US" w:eastAsia="zh-CN" w:bidi="ar"/>
        </w:rPr>
        <w:t>7</w:t>
      </w:r>
      <w:r>
        <w:rPr>
          <w:rFonts w:hint="eastAsia" w:ascii="仿宋_GB2312" w:hAnsi="仿宋_GB2312" w:eastAsia="仿宋_GB2312" w:cs="仿宋_GB2312"/>
          <w:color w:val="000000"/>
          <w:kern w:val="0"/>
          <w:sz w:val="32"/>
          <w:szCs w:val="32"/>
          <w:lang w:val="zh-CN" w:bidi="ar"/>
        </w:rPr>
        <w:t>分，部门整体支出绩效为“好”。</w:t>
      </w:r>
    </w:p>
    <w:p>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2" w:firstLineChars="200"/>
        <w:jc w:val="left"/>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bidi="ar"/>
        </w:rPr>
        <w:t>没有完善的系统流程以及规章制度，工作效率有待提高。</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（三）改进建议。</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val="zh-CN" w:bidi="ar"/>
        </w:rPr>
        <w:t>加强会计核算和会计监督的准确性和有效性，加强财务人员的专业意识，提高对预算编制的执行与认识，为绩效评价工作开展创造更好的条件。</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2.加强会计工作的事前、事中、事后的监督，以确保会计的延续性，建立可持续机制，提高工作人员对支出的合理、合法使用意识，做到每笔支出有据可查、有法可依。</w:t>
      </w:r>
    </w:p>
    <w:p>
      <w:pPr>
        <w:pStyle w:val="10"/>
        <w:rPr>
          <w:rFonts w:hint="eastAsia" w:ascii="黑体" w:hAnsi="黑体" w:eastAsia="黑体"/>
          <w:color w:val="000000"/>
          <w:sz w:val="44"/>
          <w:szCs w:val="44"/>
        </w:rPr>
      </w:pPr>
      <w:bookmarkStart w:id="131" w:name="_Toc12837"/>
      <w:bookmarkStart w:id="132" w:name="_Toc15396618"/>
    </w:p>
    <w:bookmarkEnd w:id="120"/>
    <w:bookmarkEnd w:id="131"/>
    <w:bookmarkEnd w:id="132"/>
    <w:p>
      <w:pPr>
        <w:pStyle w:val="3"/>
        <w:bidi w:val="0"/>
        <w:jc w:val="center"/>
        <w:rPr>
          <w:rFonts w:hint="default" w:ascii="Times New Roman" w:hAnsi="Times New Roman" w:eastAsia="方正小标宋简体" w:cs="Times New Roman"/>
          <w:b w:val="0"/>
          <w:bCs w:val="0"/>
          <w:lang w:eastAsia="zh-CN"/>
        </w:rPr>
      </w:pPr>
      <w:bookmarkStart w:id="133" w:name="_Toc5256"/>
      <w:bookmarkStart w:id="134" w:name="_Toc29358"/>
      <w:bookmarkStart w:id="135" w:name="_Toc5997"/>
      <w:bookmarkStart w:id="136" w:name="_Toc1244877307"/>
      <w:r>
        <w:rPr>
          <w:rFonts w:hint="default" w:ascii="Times New Roman" w:hAnsi="Times New Roman" w:eastAsia="方正小标宋简体" w:cs="Times New Roman"/>
          <w:b w:val="0"/>
          <w:bCs w:val="0"/>
          <w:lang w:eastAsia="zh-CN"/>
        </w:rPr>
        <w:t>第五部分 附表</w:t>
      </w:r>
      <w:bookmarkEnd w:id="133"/>
      <w:bookmarkEnd w:id="134"/>
      <w:bookmarkEnd w:id="135"/>
      <w:bookmarkEnd w:id="136"/>
      <w:bookmarkStart w:id="137" w:name="_Toc15396619"/>
    </w:p>
    <w:p>
      <w:pPr>
        <w:pStyle w:val="4"/>
        <w:bidi w:val="0"/>
        <w:rPr>
          <w:rFonts w:hint="default" w:ascii="Times New Roman" w:hAnsi="Times New Roman" w:cs="Times New Roman"/>
        </w:rPr>
      </w:pPr>
      <w:bookmarkStart w:id="138" w:name="_Toc31713"/>
      <w:bookmarkStart w:id="139" w:name="_Toc25282"/>
      <w:bookmarkStart w:id="140" w:name="_Toc1287839803"/>
      <w:bookmarkStart w:id="141" w:name="_Toc26548"/>
      <w:r>
        <w:rPr>
          <w:rFonts w:hint="default" w:ascii="Times New Roman" w:hAnsi="Times New Roman" w:cs="Times New Roman"/>
        </w:rPr>
        <w:t>一、收入支出决算总表</w:t>
      </w:r>
      <w:bookmarkEnd w:id="137"/>
      <w:bookmarkEnd w:id="138"/>
      <w:bookmarkEnd w:id="139"/>
      <w:bookmarkEnd w:id="140"/>
      <w:bookmarkEnd w:id="141"/>
    </w:p>
    <w:p>
      <w:pPr>
        <w:pStyle w:val="4"/>
        <w:bidi w:val="0"/>
        <w:rPr>
          <w:rFonts w:hint="default" w:ascii="Times New Roman" w:hAnsi="Times New Roman" w:cs="Times New Roman"/>
        </w:rPr>
      </w:pPr>
      <w:bookmarkStart w:id="142" w:name="_Toc8150"/>
      <w:bookmarkStart w:id="143" w:name="_Toc14829"/>
      <w:bookmarkStart w:id="144" w:name="_Toc14554"/>
      <w:bookmarkStart w:id="145" w:name="_Toc15396620"/>
      <w:bookmarkStart w:id="146" w:name="_Toc1945425627"/>
      <w:r>
        <w:rPr>
          <w:rFonts w:hint="default" w:ascii="Times New Roman" w:hAnsi="Times New Roman" w:cs="Times New Roman"/>
        </w:rPr>
        <w:t>二、收入决算表</w:t>
      </w:r>
      <w:bookmarkEnd w:id="142"/>
      <w:bookmarkEnd w:id="143"/>
      <w:bookmarkEnd w:id="144"/>
      <w:bookmarkEnd w:id="145"/>
      <w:bookmarkEnd w:id="146"/>
    </w:p>
    <w:p>
      <w:pPr>
        <w:pStyle w:val="4"/>
        <w:bidi w:val="0"/>
        <w:rPr>
          <w:rFonts w:hint="default" w:ascii="Times New Roman" w:hAnsi="Times New Roman" w:cs="Times New Roman"/>
        </w:rPr>
      </w:pPr>
      <w:bookmarkStart w:id="147" w:name="_Toc15396621"/>
      <w:bookmarkStart w:id="148" w:name="_Toc28013"/>
      <w:bookmarkStart w:id="149" w:name="_Toc1205705654"/>
      <w:bookmarkStart w:id="150" w:name="_Toc6698"/>
      <w:bookmarkStart w:id="151" w:name="_Toc7522"/>
      <w:r>
        <w:rPr>
          <w:rFonts w:hint="default" w:ascii="Times New Roman" w:hAnsi="Times New Roman" w:cs="Times New Roman"/>
        </w:rPr>
        <w:t>三、支出决算表</w:t>
      </w:r>
      <w:bookmarkEnd w:id="147"/>
      <w:bookmarkEnd w:id="148"/>
      <w:bookmarkEnd w:id="149"/>
      <w:bookmarkEnd w:id="150"/>
      <w:bookmarkEnd w:id="151"/>
    </w:p>
    <w:p>
      <w:pPr>
        <w:pStyle w:val="4"/>
        <w:bidi w:val="0"/>
        <w:rPr>
          <w:rFonts w:hint="default" w:ascii="Times New Roman" w:hAnsi="Times New Roman" w:cs="Times New Roman"/>
        </w:rPr>
      </w:pPr>
      <w:bookmarkStart w:id="152" w:name="_Toc1513429441"/>
      <w:bookmarkStart w:id="153" w:name="_Toc15396622"/>
      <w:bookmarkStart w:id="154" w:name="_Toc16863"/>
      <w:bookmarkStart w:id="155" w:name="_Toc19998"/>
      <w:bookmarkStart w:id="156" w:name="_Toc29803"/>
      <w:r>
        <w:rPr>
          <w:rFonts w:hint="default" w:ascii="Times New Roman" w:hAnsi="Times New Roman" w:cs="Times New Roman"/>
        </w:rPr>
        <w:t>四、财政拨款收入支出决算总表</w:t>
      </w:r>
      <w:bookmarkEnd w:id="152"/>
      <w:bookmarkEnd w:id="153"/>
      <w:bookmarkEnd w:id="154"/>
      <w:bookmarkEnd w:id="155"/>
      <w:bookmarkEnd w:id="156"/>
    </w:p>
    <w:p>
      <w:pPr>
        <w:pStyle w:val="4"/>
        <w:bidi w:val="0"/>
        <w:rPr>
          <w:rFonts w:hint="default" w:ascii="Times New Roman" w:hAnsi="Times New Roman" w:cs="Times New Roman"/>
        </w:rPr>
      </w:pPr>
      <w:bookmarkStart w:id="157" w:name="_Toc15396623"/>
      <w:bookmarkStart w:id="158" w:name="_Toc12334"/>
      <w:bookmarkStart w:id="159" w:name="_Toc1309620880"/>
      <w:bookmarkStart w:id="160" w:name="_Toc28504"/>
      <w:bookmarkStart w:id="161" w:name="_Toc20194"/>
      <w:r>
        <w:rPr>
          <w:rFonts w:hint="default" w:ascii="Times New Roman" w:hAnsi="Times New Roman" w:cs="Times New Roman"/>
        </w:rPr>
        <w:t>五、财政拨款支出决算明细表</w:t>
      </w:r>
      <w:bookmarkEnd w:id="157"/>
      <w:bookmarkEnd w:id="158"/>
      <w:bookmarkEnd w:id="159"/>
      <w:bookmarkEnd w:id="160"/>
      <w:bookmarkEnd w:id="161"/>
      <w:bookmarkStart w:id="162" w:name="_Toc15396624"/>
    </w:p>
    <w:p>
      <w:pPr>
        <w:pStyle w:val="4"/>
        <w:bidi w:val="0"/>
        <w:rPr>
          <w:rFonts w:hint="default" w:ascii="Times New Roman" w:hAnsi="Times New Roman" w:cs="Times New Roman"/>
        </w:rPr>
      </w:pPr>
      <w:bookmarkStart w:id="163" w:name="_Toc18910"/>
      <w:bookmarkStart w:id="164" w:name="_Toc1714690143"/>
      <w:bookmarkStart w:id="165" w:name="_Toc32561"/>
      <w:bookmarkStart w:id="166" w:name="_Toc11008"/>
      <w:r>
        <w:rPr>
          <w:rFonts w:hint="default" w:ascii="Times New Roman" w:hAnsi="Times New Roman" w:cs="Times New Roman"/>
        </w:rPr>
        <w:t>六、一般公共预算财政拨款支出决算表</w:t>
      </w:r>
      <w:bookmarkEnd w:id="162"/>
      <w:bookmarkEnd w:id="163"/>
      <w:bookmarkEnd w:id="164"/>
      <w:bookmarkEnd w:id="165"/>
      <w:bookmarkEnd w:id="166"/>
    </w:p>
    <w:p>
      <w:pPr>
        <w:pStyle w:val="4"/>
        <w:bidi w:val="0"/>
        <w:rPr>
          <w:rFonts w:hint="default" w:ascii="Times New Roman" w:hAnsi="Times New Roman" w:cs="Times New Roman"/>
        </w:rPr>
      </w:pPr>
      <w:bookmarkStart w:id="167" w:name="_Toc18223"/>
      <w:bookmarkStart w:id="168" w:name="_Toc2023080884"/>
      <w:bookmarkStart w:id="169" w:name="_Toc15396625"/>
      <w:bookmarkStart w:id="170" w:name="_Toc32384"/>
      <w:bookmarkStart w:id="171" w:name="_Toc31945"/>
      <w:r>
        <w:rPr>
          <w:rFonts w:hint="default" w:ascii="Times New Roman" w:hAnsi="Times New Roman" w:cs="Times New Roman"/>
        </w:rPr>
        <w:t>七、一般公共预算财政拨款支出决算明细表</w:t>
      </w:r>
      <w:bookmarkEnd w:id="167"/>
      <w:bookmarkEnd w:id="168"/>
      <w:bookmarkEnd w:id="169"/>
      <w:bookmarkEnd w:id="170"/>
      <w:bookmarkEnd w:id="171"/>
    </w:p>
    <w:p>
      <w:pPr>
        <w:pStyle w:val="4"/>
        <w:bidi w:val="0"/>
        <w:rPr>
          <w:rFonts w:hint="default" w:ascii="Times New Roman" w:hAnsi="Times New Roman" w:cs="Times New Roman"/>
        </w:rPr>
      </w:pPr>
      <w:bookmarkStart w:id="172" w:name="_Toc442679957"/>
      <w:bookmarkStart w:id="173" w:name="_Toc18402"/>
      <w:bookmarkStart w:id="174" w:name="_Toc23242"/>
      <w:bookmarkStart w:id="175" w:name="_Toc22409"/>
      <w:bookmarkStart w:id="176" w:name="_Toc15396626"/>
      <w:r>
        <w:rPr>
          <w:rFonts w:hint="default" w:ascii="Times New Roman" w:hAnsi="Times New Roman" w:cs="Times New Roman"/>
        </w:rPr>
        <w:t>八、一般公共预算财政拨款基本支出决算表</w:t>
      </w:r>
      <w:bookmarkEnd w:id="172"/>
      <w:bookmarkEnd w:id="173"/>
      <w:bookmarkEnd w:id="174"/>
      <w:bookmarkEnd w:id="175"/>
      <w:bookmarkEnd w:id="176"/>
    </w:p>
    <w:p>
      <w:pPr>
        <w:pStyle w:val="4"/>
        <w:bidi w:val="0"/>
        <w:rPr>
          <w:rFonts w:hint="default" w:ascii="Times New Roman" w:hAnsi="Times New Roman" w:cs="Times New Roman"/>
        </w:rPr>
      </w:pPr>
      <w:bookmarkStart w:id="177" w:name="_Toc517506373"/>
      <w:bookmarkStart w:id="178" w:name="_Toc5238"/>
      <w:bookmarkStart w:id="179" w:name="_Toc28821"/>
      <w:bookmarkStart w:id="180" w:name="_Toc25048"/>
      <w:bookmarkStart w:id="181" w:name="_Toc15396627"/>
      <w:r>
        <w:rPr>
          <w:rFonts w:hint="default" w:ascii="Times New Roman" w:hAnsi="Times New Roman" w:cs="Times New Roman"/>
        </w:rPr>
        <w:t>九、一般公共预算财政拨款项目支出决算表</w:t>
      </w:r>
      <w:bookmarkEnd w:id="177"/>
      <w:bookmarkEnd w:id="178"/>
      <w:bookmarkEnd w:id="179"/>
      <w:bookmarkEnd w:id="180"/>
      <w:bookmarkEnd w:id="181"/>
    </w:p>
    <w:p>
      <w:pPr>
        <w:pStyle w:val="4"/>
        <w:bidi w:val="0"/>
        <w:rPr>
          <w:rFonts w:hint="default" w:ascii="Times New Roman" w:hAnsi="Times New Roman" w:cs="Times New Roman"/>
        </w:rPr>
      </w:pPr>
      <w:bookmarkStart w:id="182" w:name="_Toc14638"/>
      <w:bookmarkStart w:id="183" w:name="_Toc15396628"/>
      <w:bookmarkStart w:id="184" w:name="_Toc17617722"/>
      <w:bookmarkStart w:id="185" w:name="_Toc5985"/>
      <w:bookmarkStart w:id="186" w:name="_Toc24104"/>
      <w:r>
        <w:rPr>
          <w:rFonts w:hint="default" w:ascii="Times New Roman" w:hAnsi="Times New Roman" w:cs="Times New Roman"/>
        </w:rPr>
        <w:t>十、一般公共预算财政拨款“三公”经费支出决算表</w:t>
      </w:r>
      <w:bookmarkEnd w:id="182"/>
      <w:bookmarkEnd w:id="183"/>
      <w:bookmarkEnd w:id="184"/>
      <w:bookmarkEnd w:id="185"/>
      <w:bookmarkEnd w:id="186"/>
    </w:p>
    <w:p>
      <w:pPr>
        <w:pStyle w:val="4"/>
        <w:rPr>
          <w:rFonts w:ascii="仿宋" w:hAnsi="仿宋" w:eastAsia="仿宋"/>
          <w:color w:val="000000" w:themeColor="text1"/>
          <w14:textFill>
            <w14:solidFill>
              <w14:schemeClr w14:val="tx1"/>
            </w14:solidFill>
          </w14:textFill>
        </w:rPr>
      </w:pPr>
    </w:p>
    <w:sectPr>
      <w:footerReference r:id="rId5" w:type="first"/>
      <w:footerReference r:id="rId4" w:type="default"/>
      <w:pgSz w:w="11906" w:h="16838"/>
      <w:pgMar w:top="2098" w:right="1531" w:bottom="2041" w:left="1531" w:header="851" w:footer="992" w:gutter="0"/>
      <w:pgNumType w:fmt="numberInDash"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9p2MgIAAGMEAAAOAAAAZHJz&#10;L2Uyb0RvYy54bWytVM2O0zAQviPxDpbvNGkRS1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mKYRsVPP76ffj6cfn0jOINAjQszxN07RMb2nW0RPJwHHCbebeV1+oIRgR/y&#10;Hi/yijYSni5NJ9NpDheHb9gAP3u87nyI74XVJBkF9ahfJys7bELsQ4eQlM3YtVSqq6EypCno1es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KT72nYyAgAAYw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89aE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LqbphGxS/fv11+/Lr8/EpwBoFqF+aI2zlExuatbRA8nAccJt5N6XX6ghGBH/Ke&#10;r/KKJhKeLs2ms9kYLg7fsAF+9njd+RDfCatJMnLqUb9WVnbahtiFDiEpm7EbqVRbQ2VIndOb12/G&#10;7YWrB+DKIEci0T02WbHZNz2zvS3OIOZt1xvB8Y1E8i0L8YF5NAMejHGJ91hKZZHE9hYllfVf/nWe&#10;4lEjeCmp0Vw5NZglStR7g9oBMA6GH4z9YJijvrPo1gnG0PHWxAUf1WCW3urPmKFVygEXMxyZchoH&#10;8y52DY4Z5GK1aoOOzstD1V1A5zkWt2bneEqThAxudYwQs9U4CdSp0uuG3mur1M9Jau4/923U47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vfPWhD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2A1AE35C"/>
    <w:multiLevelType w:val="singleLevel"/>
    <w:tmpl w:val="2A1AE35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2B4D"/>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7E6328"/>
    <w:rsid w:val="01964198"/>
    <w:rsid w:val="0AC64761"/>
    <w:rsid w:val="0B5D6582"/>
    <w:rsid w:val="0B951746"/>
    <w:rsid w:val="0D035E72"/>
    <w:rsid w:val="0DBD00F0"/>
    <w:rsid w:val="0E0A2A70"/>
    <w:rsid w:val="0F2E3244"/>
    <w:rsid w:val="10B14285"/>
    <w:rsid w:val="10C055FF"/>
    <w:rsid w:val="1293358D"/>
    <w:rsid w:val="12EB70AC"/>
    <w:rsid w:val="159920E7"/>
    <w:rsid w:val="15C50605"/>
    <w:rsid w:val="160E478E"/>
    <w:rsid w:val="168226A7"/>
    <w:rsid w:val="16BB723D"/>
    <w:rsid w:val="17ED13F1"/>
    <w:rsid w:val="1A373375"/>
    <w:rsid w:val="1AC678B0"/>
    <w:rsid w:val="1AC74CD4"/>
    <w:rsid w:val="1AE3352B"/>
    <w:rsid w:val="1B8238E9"/>
    <w:rsid w:val="1C193181"/>
    <w:rsid w:val="1CD51988"/>
    <w:rsid w:val="1DF972D6"/>
    <w:rsid w:val="1E551E5E"/>
    <w:rsid w:val="1F121B25"/>
    <w:rsid w:val="1F335DB2"/>
    <w:rsid w:val="1F3A1122"/>
    <w:rsid w:val="1FBF762F"/>
    <w:rsid w:val="2085081F"/>
    <w:rsid w:val="21306C78"/>
    <w:rsid w:val="21EC18AC"/>
    <w:rsid w:val="21FC70CE"/>
    <w:rsid w:val="22D82EA9"/>
    <w:rsid w:val="240371BF"/>
    <w:rsid w:val="271D059E"/>
    <w:rsid w:val="27241A81"/>
    <w:rsid w:val="27F76716"/>
    <w:rsid w:val="27FF0E47"/>
    <w:rsid w:val="28EF6E03"/>
    <w:rsid w:val="291E3848"/>
    <w:rsid w:val="29C92FB1"/>
    <w:rsid w:val="29FD04D3"/>
    <w:rsid w:val="2C9662F0"/>
    <w:rsid w:val="2D176C08"/>
    <w:rsid w:val="2D93364A"/>
    <w:rsid w:val="2F245142"/>
    <w:rsid w:val="2FBD26B8"/>
    <w:rsid w:val="301D445D"/>
    <w:rsid w:val="30C233A2"/>
    <w:rsid w:val="30FD223C"/>
    <w:rsid w:val="31264811"/>
    <w:rsid w:val="319F7F4E"/>
    <w:rsid w:val="31B7395F"/>
    <w:rsid w:val="31D472B5"/>
    <w:rsid w:val="322322D3"/>
    <w:rsid w:val="33654AB0"/>
    <w:rsid w:val="352D7123"/>
    <w:rsid w:val="353F5724"/>
    <w:rsid w:val="362C01E2"/>
    <w:rsid w:val="37052C7C"/>
    <w:rsid w:val="377E7EE7"/>
    <w:rsid w:val="39DA286E"/>
    <w:rsid w:val="3AA23B07"/>
    <w:rsid w:val="3CA3BC2B"/>
    <w:rsid w:val="3D054EB0"/>
    <w:rsid w:val="3D594418"/>
    <w:rsid w:val="3D8D5E4E"/>
    <w:rsid w:val="3DA47254"/>
    <w:rsid w:val="3FB362B2"/>
    <w:rsid w:val="421151B0"/>
    <w:rsid w:val="428D3F90"/>
    <w:rsid w:val="4649691D"/>
    <w:rsid w:val="4693415A"/>
    <w:rsid w:val="471A4E4C"/>
    <w:rsid w:val="47975193"/>
    <w:rsid w:val="479F009E"/>
    <w:rsid w:val="48314B3C"/>
    <w:rsid w:val="49163D99"/>
    <w:rsid w:val="4B1931D8"/>
    <w:rsid w:val="4BD5021B"/>
    <w:rsid w:val="4C5D0F1C"/>
    <w:rsid w:val="4ECE2238"/>
    <w:rsid w:val="50867BC2"/>
    <w:rsid w:val="5190570E"/>
    <w:rsid w:val="53A74F4F"/>
    <w:rsid w:val="56925BB0"/>
    <w:rsid w:val="57A70DE1"/>
    <w:rsid w:val="58AA3E3B"/>
    <w:rsid w:val="59CA0CEB"/>
    <w:rsid w:val="59EE4C58"/>
    <w:rsid w:val="59F9240C"/>
    <w:rsid w:val="5B724C4A"/>
    <w:rsid w:val="5C344F77"/>
    <w:rsid w:val="5CCD1F8B"/>
    <w:rsid w:val="5ECA7D20"/>
    <w:rsid w:val="5FAE17D9"/>
    <w:rsid w:val="5FFFE927"/>
    <w:rsid w:val="610927E9"/>
    <w:rsid w:val="6132769A"/>
    <w:rsid w:val="61B06740"/>
    <w:rsid w:val="61E3614D"/>
    <w:rsid w:val="62D0305F"/>
    <w:rsid w:val="62F27AEB"/>
    <w:rsid w:val="63900C96"/>
    <w:rsid w:val="63A0789F"/>
    <w:rsid w:val="647A4FA3"/>
    <w:rsid w:val="65BE7D27"/>
    <w:rsid w:val="65C1790C"/>
    <w:rsid w:val="65EA5037"/>
    <w:rsid w:val="67CB3F55"/>
    <w:rsid w:val="6906671D"/>
    <w:rsid w:val="6B1C651A"/>
    <w:rsid w:val="6BE73513"/>
    <w:rsid w:val="6DA24C6D"/>
    <w:rsid w:val="6E87359C"/>
    <w:rsid w:val="6EAE4D19"/>
    <w:rsid w:val="716254D9"/>
    <w:rsid w:val="724F2651"/>
    <w:rsid w:val="72734D90"/>
    <w:rsid w:val="73A40BD9"/>
    <w:rsid w:val="740D3A23"/>
    <w:rsid w:val="76D62575"/>
    <w:rsid w:val="77082D8F"/>
    <w:rsid w:val="77A31AB9"/>
    <w:rsid w:val="79DF3CF9"/>
    <w:rsid w:val="7A0B7B0A"/>
    <w:rsid w:val="7A581B56"/>
    <w:rsid w:val="7A714416"/>
    <w:rsid w:val="7A721D59"/>
    <w:rsid w:val="7D2E23FB"/>
    <w:rsid w:val="7EC45CA9"/>
    <w:rsid w:val="7FBF32E9"/>
    <w:rsid w:val="BCFF8B50"/>
    <w:rsid w:val="C05E575D"/>
    <w:rsid w:val="D7BB6572"/>
    <w:rsid w:val="DBFF8D0C"/>
    <w:rsid w:val="F6E301CA"/>
    <w:rsid w:val="F8BA636E"/>
    <w:rsid w:val="FCFD020D"/>
    <w:rsid w:val="FFFBB07E"/>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w:basedOn w:val="1"/>
    <w:link w:val="24"/>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line="560" w:lineRule="atLeast"/>
      <w:ind w:firstLine="640" w:firstLineChars="200"/>
    </w:pPr>
    <w:rPr>
      <w:rFonts w:ascii="仿宋_GB2312" w:eastAsia="仿宋_GB2312"/>
      <w:sz w:val="32"/>
    </w:rPr>
  </w:style>
  <w:style w:type="paragraph" w:styleId="7">
    <w:name w:val="Body Text First Indent 2"/>
    <w:basedOn w:val="6"/>
    <w:next w:val="1"/>
    <w:qFormat/>
    <w:uiPriority w:val="0"/>
    <w:pPr>
      <w:ind w:firstLine="42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2"/>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方正黑体GBK 字符"/>
    <w:basedOn w:val="16"/>
    <w:link w:val="34"/>
    <w:qFormat/>
    <w:uiPriority w:val="0"/>
    <w:rPr>
      <w:rFonts w:eastAsia="方正黑体_GBK"/>
    </w:rPr>
  </w:style>
  <w:style w:type="paragraph" w:customStyle="1" w:styleId="34">
    <w:name w:val="方正黑体GBK"/>
    <w:basedOn w:val="7"/>
    <w:next w:val="7"/>
    <w:link w:val="33"/>
    <w:qFormat/>
    <w:uiPriority w:val="0"/>
    <w:rPr>
      <w:rFonts w:eastAsia="方正黑体_GBK"/>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200" b="1" i="0" u="none" strike="noStrike" kern="1200" cap="all" spc="150" baseline="0">
                <a:solidFill>
                  <a:schemeClr val="tx1">
                    <a:lumMod val="50000"/>
                    <a:lumOff val="50000"/>
                  </a:schemeClr>
                </a:solidFill>
                <a:latin typeface="+mn-lt"/>
                <a:ea typeface="+mn-ea"/>
                <a:cs typeface="+mn-cs"/>
              </a:defRPr>
            </a:pPr>
            <a:r>
              <a:rPr lang="en-US" altLang="zh-CN" sz="1200"/>
              <a:t>2021</a:t>
            </a:r>
            <a:r>
              <a:rPr sz="1200"/>
              <a:t>年收、支决算总计变动情况图（万元）</a:t>
            </a:r>
            <a:endParaRPr sz="1200"/>
          </a:p>
        </c:rich>
      </c:tx>
      <c:layout>
        <c:manualLayout>
          <c:xMode val="edge"/>
          <c:yMode val="edge"/>
          <c:x val="0.0923366834170857"/>
          <c:y val="0.0344775403793713"/>
        </c:manualLayout>
      </c:layout>
      <c:overlay val="0"/>
      <c:spPr>
        <a:noFill/>
        <a:ln>
          <a:noFill/>
        </a:ln>
        <a:effectLst/>
      </c:spPr>
    </c:title>
    <c:autoTitleDeleted val="0"/>
    <c:plotArea>
      <c:layout>
        <c:manualLayout>
          <c:layoutTarget val="inner"/>
          <c:xMode val="edge"/>
          <c:yMode val="edge"/>
          <c:x val="0.0763316582914573"/>
          <c:y val="0.225903921568627"/>
          <c:w val="0.927925"/>
          <c:h val="0.716566666666667"/>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1341.28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Sheet1!$B$2</c:f>
              <c:numCache>
                <c:formatCode>General</c:formatCode>
                <c:ptCount val="1"/>
                <c:pt idx="0">
                  <c:v>1078.42</c:v>
                </c:pt>
              </c:numCache>
            </c:numRef>
          </c:val>
        </c:ser>
        <c:ser>
          <c:idx val="1"/>
          <c:order val="1"/>
          <c:tx>
            <c:strRef>
              <c:f>Sheet1!$C$1</c:f>
              <c:strCache>
                <c:ptCount val="1"/>
                <c:pt idx="0">
                  <c:v>支出</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1293.88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Sheet1!$C$2</c:f>
              <c:numCache>
                <c:formatCode>General</c:formatCode>
                <c:ptCount val="1"/>
                <c:pt idx="0">
                  <c:v>1225.02</c:v>
                </c:pt>
              </c:numCache>
            </c:numRef>
          </c:val>
        </c:ser>
        <c:ser>
          <c:idx val="2"/>
          <c:order val="2"/>
          <c:tx>
            <c:strRef>
              <c:f>Sheet1!#REF!</c:f>
              <c:strCache>
                <c:ptCount val="1"/>
                <c:pt idx="0">
                  <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64"/>
        <c:overlap val="-22"/>
        <c:axId val="968769396"/>
        <c:axId val="842422400"/>
      </c:barChart>
      <c:catAx>
        <c:axId val="9687693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收入决算结构图</c:v>
                </c:pt>
              </c:strCache>
            </c:strRef>
          </c:tx>
          <c:spPr>
            <a:effectLst/>
          </c:spPr>
          <c:explosion val="0"/>
          <c:dPt>
            <c:idx val="0"/>
            <c:bubble3D val="0"/>
            <c:explosion val="0"/>
            <c:spPr>
              <a:solidFill>
                <a:schemeClr val="accent1"/>
              </a:solidFill>
              <a:ln w="2540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1078.42</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0"/>
              <c:layout>
                <c:manualLayout>
                  <c:x val="-0.0993880750474132"/>
                  <c:y val="-0.050588000209494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47.25</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954323816079516"/>
                  <c:y val="0.044196903869419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52.75</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577.06</c:v>
                </c:pt>
                <c:pt idx="1">
                  <c:v>647.96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900" b="1" i="0" u="none" strike="noStrike" kern="1200" cap="all" spc="150" baseline="0">
                <a:solidFill>
                  <a:schemeClr val="tx1">
                    <a:lumMod val="50000"/>
                    <a:lumOff val="50000"/>
                  </a:schemeClr>
                </a:solidFill>
                <a:latin typeface="+mn-lt"/>
                <a:ea typeface="+mn-ea"/>
                <a:cs typeface="+mn-cs"/>
              </a:defRPr>
            </a:pPr>
            <a:r>
              <a:rPr sz="900"/>
              <a:t>2018、2019年度财政拨款收、支决算总计变动情况图</a:t>
            </a:r>
            <a:endParaRPr sz="900"/>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2020年</c:v>
                </c:pt>
                <c:pt idx="1">
                  <c:v>2021年</c:v>
                </c:pt>
              </c:strCache>
            </c:strRef>
          </c:cat>
          <c:val>
            <c:numRef>
              <c:f>Sheet1!$B$2:$B$3</c:f>
              <c:numCache>
                <c:formatCode>General</c:formatCode>
                <c:ptCount val="2"/>
                <c:pt idx="0">
                  <c:v>1078.42</c:v>
                </c:pt>
                <c:pt idx="1">
                  <c:v>1293.88</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2020年</c:v>
                </c:pt>
                <c:pt idx="1">
                  <c:v>2021年</c:v>
                </c:pt>
              </c:strCache>
            </c:strRef>
          </c:cat>
          <c:val>
            <c:numRef>
              <c:f>Sheet1!$C$2:$C$3</c:f>
              <c:numCache>
                <c:formatCode>General</c:formatCode>
                <c:ptCount val="2"/>
                <c:pt idx="0">
                  <c:v>1225.02</c:v>
                </c:pt>
                <c:pt idx="1">
                  <c:v>1341.28</c:v>
                </c:pt>
              </c:numCache>
            </c:numRef>
          </c:val>
        </c:ser>
        <c:dLbls>
          <c:showLegendKey val="0"/>
          <c:showVal val="1"/>
          <c:showCatName val="0"/>
          <c:showSerName val="0"/>
          <c:showPercent val="0"/>
          <c:showBubbleSize val="0"/>
        </c:dLbls>
        <c:gapWidth val="164"/>
        <c:overlap val="-22"/>
        <c:axId val="812231112"/>
        <c:axId val="567768063"/>
      </c:barChart>
      <c:catAx>
        <c:axId val="8122311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0"/>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1"/>
        <c:delete val="1"/>
      </c:legendEntry>
      <c:legendEntry>
        <c:idx val="2"/>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7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40" b="1" i="0" u="none" strike="noStrike" kern="1200" cap="all" spc="150" baseline="0">
                <a:solidFill>
                  <a:schemeClr val="dk1"/>
                </a:solidFill>
                <a:latin typeface="+mn-lt"/>
                <a:ea typeface="+mn-ea"/>
                <a:cs typeface="+mn-cs"/>
              </a:defRPr>
            </a:pPr>
            <a:r>
              <a:rPr lang="en-US" altLang="zh-CN" sz="1440">
                <a:solidFill>
                  <a:schemeClr val="dk1"/>
                </a:solidFill>
                <a:latin typeface="+mn-lt"/>
                <a:ea typeface="+mn-ea"/>
                <a:cs typeface="+mn-cs"/>
              </a:rPr>
              <a:t>2020</a:t>
            </a:r>
            <a:r>
              <a:rPr sz="1440">
                <a:solidFill>
                  <a:schemeClr val="dk1"/>
                </a:solidFill>
                <a:latin typeface="+mn-lt"/>
                <a:ea typeface="+mn-ea"/>
                <a:cs typeface="+mn-cs"/>
              </a:rPr>
              <a:t>、</a:t>
            </a:r>
            <a:r>
              <a:rPr lang="en-US" altLang="zh-CN" sz="1440">
                <a:solidFill>
                  <a:schemeClr val="dk1"/>
                </a:solidFill>
                <a:latin typeface="+mn-lt"/>
                <a:ea typeface="+mn-ea"/>
                <a:cs typeface="+mn-cs"/>
              </a:rPr>
              <a:t>2021</a:t>
            </a:r>
            <a:r>
              <a:rPr sz="1440">
                <a:solidFill>
                  <a:schemeClr val="dk1"/>
                </a:solidFill>
                <a:latin typeface="+mn-lt"/>
                <a:ea typeface="+mn-ea"/>
                <a:cs typeface="+mn-cs"/>
              </a:rPr>
              <a:t>年度一般公共预算财政拨款支出决算变动情况图</a:t>
            </a:r>
            <a:endParaRPr sz="1440">
              <a:solidFill>
                <a:schemeClr val="dk1"/>
              </a:solidFill>
              <a:latin typeface="+mn-lt"/>
              <a:ea typeface="+mn-ea"/>
              <a:cs typeface="+mn-cs"/>
            </a:endParaRPr>
          </a:p>
        </c:rich>
      </c:tx>
      <c:layout>
        <c:manualLayout>
          <c:xMode val="edge"/>
          <c:yMode val="edge"/>
          <c:x val="0.117296347433162"/>
          <c:y val="0.0273833671399594"/>
        </c:manualLayout>
      </c:layout>
      <c:overlay val="0"/>
      <c:spPr>
        <a:noFill/>
        <a:ln>
          <a:noFill/>
        </a:ln>
        <a:effectLst/>
      </c:spPr>
    </c:title>
    <c:autoTitleDeleted val="0"/>
    <c:plotArea>
      <c:layout>
        <c:manualLayout>
          <c:layoutTarget val="inner"/>
          <c:xMode val="edge"/>
          <c:yMode val="edge"/>
          <c:x val="0.105284297728129"/>
          <c:y val="0.346754563894523"/>
          <c:w val="0.870867327726873"/>
          <c:h val="0.529148073022312"/>
        </c:manualLayout>
      </c:layout>
      <c:barChart>
        <c:barDir val="col"/>
        <c:grouping val="clustered"/>
        <c:varyColors val="0"/>
        <c:ser>
          <c:idx val="0"/>
          <c:order val="0"/>
          <c:tx>
            <c:strRef>
              <c:f>Sheet1!#REF!</c:f>
              <c:strCache>
                <c:ptCount val="1"/>
                <c:pt idx="0">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200" b="0" i="0" u="none" strike="noStrike" kern="1200" baseline="0">
                    <a:solidFill>
                      <a:schemeClr val="dk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2020年</c:v>
                </c:pt>
                <c:pt idx="1">
                  <c:v>2021年</c:v>
                </c:pt>
              </c:strCache>
            </c:strRef>
          </c:cat>
          <c:val>
            <c:numRef>
              <c:f>Sheet1!$B$2:$B$3</c:f>
              <c:numCache>
                <c:formatCode>General</c:formatCode>
                <c:ptCount val="2"/>
                <c:pt idx="0">
                  <c:v>1225.02</c:v>
                </c:pt>
                <c:pt idx="1">
                  <c:v>1341.28</c:v>
                </c:pt>
              </c:numCache>
            </c:numRef>
          </c:val>
        </c:ser>
        <c:dLbls>
          <c:showLegendKey val="0"/>
          <c:showVal val="1"/>
          <c:showCatName val="0"/>
          <c:showSerName val="0"/>
          <c:showPercent val="0"/>
          <c:showBubbleSize val="0"/>
        </c:dLbls>
        <c:gapWidth val="164"/>
        <c:overlap val="-22"/>
        <c:axId val="973666578"/>
        <c:axId val="135195795"/>
      </c:barChart>
      <c:catAx>
        <c:axId val="97366657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973666578"/>
        <c:crosses val="autoZero"/>
        <c:crossBetween val="between"/>
      </c:valAx>
      <c:spPr>
        <a:noFill/>
        <a:ln>
          <a:noFill/>
        </a:ln>
        <a:effectLst/>
      </c:spPr>
    </c:plotArea>
    <c:legend>
      <c:legendPos val="t"/>
      <c:legendEntry>
        <c:idx val="0"/>
        <c:delete val="1"/>
      </c:legendEntry>
      <c:legendEntry>
        <c:idx val="1"/>
        <c:delete val="1"/>
      </c:legendEntry>
      <c:legendEntry>
        <c:idx val="2"/>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Entry>
      <c:layout/>
      <c:overlay val="0"/>
      <c:spPr>
        <a:noFill/>
        <a:ln>
          <a:noFill/>
        </a:ln>
        <a:effectLst/>
      </c:spPr>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
    <c:plotVisOnly val="1"/>
    <c:dispBlanksAs val="gap"/>
    <c:showDLblsOverMax val="0"/>
  </c:chart>
  <c:spPr>
    <a:solidFill>
      <a:schemeClr val="lt1"/>
    </a:solidFill>
    <a:ln w="25400" cap="flat" cmpd="sng" algn="ctr">
      <a:solidFill>
        <a:schemeClr val="dk1"/>
      </a:solidFill>
      <a:prstDash val="solid"/>
      <a:round/>
    </a:ln>
    <a:effectLst/>
    <a:sp3d>
      <a:extrusionClr>
        <a:srgbClr val="FFFFFF"/>
      </a:extrusionClr>
      <a:contourClr>
        <a:srgbClr val="FFFFFF"/>
      </a:contourClr>
    </a:sp3d>
  </c:spPr>
  <c:txPr>
    <a:bodyPr rot="0" spcFirstLastPara="0" vertOverflow="ellipsis" horzOverflow="overflow" vert="horz" wrap="square" anchor="ctr" anchorCtr="1"/>
    <a:lstStyle/>
    <a:p>
      <a:pPr>
        <a:defRPr lang="zh-CN" sz="1200">
          <a:solidFill>
            <a:schemeClr val="dk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cap="all" baseline="0">
                <a:solidFill>
                  <a:schemeClr val="tx1">
                    <a:lumMod val="65000"/>
                    <a:lumOff val="35000"/>
                  </a:schemeClr>
                </a:solidFill>
                <a:latin typeface="+mn-lt"/>
                <a:ea typeface="+mn-ea"/>
                <a:cs typeface="+mn-cs"/>
              </a:defRPr>
            </a:pPr>
            <a:r>
              <a:t>一般公共预算财政拨款支出决算结构图</a:t>
            </a:r>
          </a:p>
        </c:rich>
      </c:tx>
      <c:layout>
        <c:manualLayout>
          <c:xMode val="edge"/>
          <c:yMode val="edge"/>
          <c:x val="0.18595975582184"/>
          <c:y val="0.0247167868177137"/>
        </c:manualLayout>
      </c:layout>
      <c:overlay val="0"/>
      <c:spPr>
        <a:noFill/>
        <a:ln>
          <a:noFill/>
        </a:ln>
        <a:effectLst/>
      </c:spPr>
    </c:title>
    <c:autoTitleDeleted val="0"/>
    <c:plotArea>
      <c:layout>
        <c:manualLayout>
          <c:layoutTarget val="inner"/>
          <c:xMode val="edge"/>
          <c:yMode val="edge"/>
          <c:x val="0.0818855980104002"/>
          <c:y val="0.211019567456231"/>
          <c:w val="0.8362288039792"/>
          <c:h val="0.693305870236869"/>
        </c:manualLayout>
      </c:layout>
      <c:ofPieChart>
        <c:ofPieType val="pie"/>
        <c:varyColors val="1"/>
        <c:ser>
          <c:idx val="0"/>
          <c:order val="0"/>
          <c:tx>
            <c:strRef>
              <c:f>Sheet1!$B$1</c:f>
              <c:strCache>
                <c:ptCount val="1"/>
                <c:pt idx="0">
                  <c:v>支出</c:v>
                </c:pt>
              </c:strCache>
            </c:strRef>
          </c:tx>
          <c:spPr/>
          <c:explosion val="0"/>
          <c:dPt>
            <c:idx val="0"/>
            <c:bubble3D val="0"/>
            <c:explosion val="0"/>
            <c:spPr>
              <a:solidFill>
                <a:schemeClr val="accent1"/>
              </a:solidFill>
              <a:ln>
                <a:noFill/>
              </a:ln>
              <a:effectLst>
                <a:outerShdw blurRad="63500" sx="102000" sy="102000" algn="ctr" rotWithShape="0">
                  <a:prstClr val="black">
                    <a:alpha val="20000"/>
                  </a:prstClr>
                </a:outerShdw>
              </a:effectLst>
            </c:spPr>
          </c:dPt>
          <c:dPt>
            <c:idx val="1"/>
            <c:bubble3D val="0"/>
            <c:explosion val="0"/>
            <c:spPr>
              <a:solidFill>
                <a:schemeClr val="accent2"/>
              </a:solidFill>
              <a:ln>
                <a:noFill/>
              </a:ln>
              <a:effectLst>
                <a:outerShdw blurRad="63500" sx="102000" sy="102000" algn="ctr" rotWithShape="0">
                  <a:prstClr val="black">
                    <a:alpha val="20000"/>
                  </a:prstClr>
                </a:outerShdw>
              </a:effectLst>
            </c:spPr>
          </c:dPt>
          <c:dPt>
            <c:idx val="2"/>
            <c:bubble3D val="0"/>
            <c:explosion val="0"/>
            <c:spPr>
              <a:solidFill>
                <a:schemeClr val="accent3"/>
              </a:solidFill>
              <a:ln>
                <a:noFill/>
              </a:ln>
              <a:effectLst>
                <a:outerShdw blurRad="63500" sx="102000" sy="102000" algn="ctr" rotWithShape="0">
                  <a:prstClr val="black">
                    <a:alpha val="20000"/>
                  </a:prstClr>
                </a:outerShdw>
              </a:effectLst>
            </c:spPr>
          </c:dPt>
          <c:dPt>
            <c:idx val="3"/>
            <c:bubble3D val="0"/>
            <c:explosion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Lbls>
            <c:dLbl>
              <c:idx val="0"/>
              <c:layout>
                <c:manualLayout>
                  <c:x val="0"/>
                  <c:y val="0.207003089598352"/>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一般公共服务</a:t>
                    </a:r>
                  </a:p>
                  <a:p>
                    <a:pPr defTabSz="914400">
                      <a:defRPr lang="zh-CN" sz="1000" b="1" i="0" u="none" strike="noStrike" kern="1200" spc="0" baseline="0">
                        <a:solidFill>
                          <a:schemeClr val="accent1"/>
                        </a:solidFill>
                        <a:latin typeface="+mn-lt"/>
                        <a:ea typeface="+mn-ea"/>
                        <a:cs typeface="+mn-cs"/>
                      </a:defRPr>
                    </a:pPr>
                    <a:r>
                      <a:rPr lang="en-US" altLang="zh-CN" sz="900"/>
                      <a:t>71.60</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84784083201447"/>
                  <c:y val="0.0370751802265705"/>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教育</a:t>
                    </a:r>
                  </a:p>
                  <a:p>
                    <a:pPr defTabSz="914400">
                      <a:defRPr lang="zh-CN" sz="1000" b="1" i="0" u="none" strike="noStrike" kern="1200" spc="0" baseline="0">
                        <a:solidFill>
                          <a:schemeClr val="accent2"/>
                        </a:solidFill>
                        <a:latin typeface="+mn-lt"/>
                        <a:ea typeface="+mn-ea"/>
                        <a:cs typeface="+mn-cs"/>
                      </a:defRPr>
                    </a:pPr>
                    <a:r>
                      <a:rPr lang="en-US" altLang="zh-CN"/>
                      <a:t>17.97</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manualLayout>
                  <c:x val="0.028826588288492"/>
                  <c:y val="0.037075180226570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474790865928103"/>
                  <c:y val="0.27497425334706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6"/>
              <c:layout>
                <c:manualLayout>
                  <c:x val="0.00508704499208682"/>
                  <c:y val="0.12976313079299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lumMod val="60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c:v>
                </c:pt>
                <c:pt idx="1">
                  <c:v>教育</c:v>
                </c:pt>
                <c:pt idx="2">
                  <c:v>社会保障和就业</c:v>
                </c:pt>
                <c:pt idx="3">
                  <c:v>卫生健康</c:v>
                </c:pt>
                <c:pt idx="4">
                  <c:v>住房保障</c:v>
                </c:pt>
                <c:pt idx="5">
                  <c:v>文化旅游体育与传媒</c:v>
                </c:pt>
              </c:strCache>
            </c:strRef>
          </c:cat>
          <c:val>
            <c:numRef>
              <c:f>Sheet1!$B$2:$B$7</c:f>
              <c:numCache>
                <c:formatCode>General</c:formatCode>
                <c:ptCount val="6"/>
                <c:pt idx="0">
                  <c:v>960.33</c:v>
                </c:pt>
                <c:pt idx="1">
                  <c:v>240.97</c:v>
                </c:pt>
                <c:pt idx="2">
                  <c:v>66</c:v>
                </c:pt>
                <c:pt idx="3">
                  <c:v>28.92</c:v>
                </c:pt>
                <c:pt idx="4">
                  <c:v>44.57</c:v>
                </c:pt>
                <c:pt idx="5">
                  <c:v>0.5</c:v>
                </c:pt>
              </c:numCache>
            </c:numRef>
          </c:val>
        </c:ser>
        <c:dLbls>
          <c:showLegendKey val="0"/>
          <c:showVal val="0"/>
          <c:showCatName val="1"/>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t>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99.58</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0.42</a:t>
                    </a:r>
                    <a:r>
                      <a:t>%</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接待费</c:v>
                </c:pt>
              </c:strCache>
            </c:strRef>
          </c:cat>
          <c:val>
            <c:numRef>
              <c:f>Sheet1!$B$2:$B$3</c:f>
              <c:numCache>
                <c:formatCode>General</c:formatCode>
                <c:ptCount val="2"/>
                <c:pt idx="0">
                  <c:v>11.96</c:v>
                </c:pt>
                <c:pt idx="1">
                  <c:v>0.05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TotalTime>
  <ScaleCrop>false</ScaleCrop>
  <LinksUpToDate>false</LinksUpToDate>
  <CharactersWithSpaces>8587</CharactersWithSpaces>
  <Application>WPS Office_11.8.2.1123_F1E327BC-269C-435d-A152-05C5408002CA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2020-08-05T17:49:00Z</dcterms:created>
  <dc:creator>曹颖</dc:creator>
  <cp:lastModifiedBy>user</cp:lastModifiedBy>
  <cp:lastPrinted>2022-12-21T02:33:00Z</cp:lastPrinted>
  <dcterms:modified xsi:type="dcterms:W3CDTF">2023-10-24T16:05:41Z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2052-11.8.2.1123</vt:lpwstr>
  </property>
  <property fmtid="{D5CDD505-2E9C-101B-9397-08002B2CF9AE}" pid="3" name="ICV">
    <vt:lpwstr>A5EB23D942D099998213A063983074BB</vt:lpwstr>
  </property>
</Properties>
</file>