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77193"/>
      <w:bookmarkStart w:id="4" w:name="_Toc15396475"/>
      <w:bookmarkStart w:id="5" w:name="_Toc15396597"/>
      <w:bookmarkStart w:id="6" w:name="_Toc8228"/>
      <w:r>
        <w:rPr>
          <w:rFonts w:hint="eastAsia" w:ascii="黑体" w:hAnsi="黑体" w:eastAsia="黑体"/>
          <w:color w:val="000000"/>
          <w:sz w:val="72"/>
          <w:szCs w:val="72"/>
          <w:lang w:val="en-US" w:eastAsia="zh-CN"/>
        </w:rPr>
        <w:t>2020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96598"/>
      <w:bookmarkStart w:id="9" w:name="_Toc15396476"/>
      <w:bookmarkStart w:id="10" w:name="_Toc32655"/>
      <w:bookmarkStart w:id="11" w:name="_Toc15377194"/>
      <w:bookmarkStart w:id="12" w:name="_Toc15378442"/>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组织</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1"/>
      </w:pPr>
      <w:r>
        <w:rPr>
          <w:rFonts w:hint="eastAsia"/>
        </w:rPr>
        <w:t>公开时间：</w:t>
      </w:r>
      <w:r>
        <w:rPr>
          <w:rFonts w:hint="eastAsia"/>
          <w:lang w:val="en-US" w:eastAsia="zh-CN"/>
        </w:rPr>
        <w:t>2021</w:t>
      </w:r>
      <w:r>
        <w:rPr>
          <w:rFonts w:hint="eastAsia"/>
        </w:rPr>
        <w:t>年</w:t>
      </w:r>
      <w:r>
        <w:rPr>
          <w:rFonts w:hint="eastAsia"/>
          <w:lang w:val="en-US" w:eastAsia="zh-CN"/>
        </w:rPr>
        <w:t>12</w:t>
      </w:r>
      <w:r>
        <w:rPr>
          <w:rFonts w:hint="eastAsia"/>
        </w:rPr>
        <w:t>月</w:t>
      </w:r>
      <w:r>
        <w:rPr>
          <w:rFonts w:hint="eastAsia"/>
          <w:lang w:val="en-US" w:eastAsia="zh-CN"/>
        </w:rPr>
        <w:t>3</w:t>
      </w:r>
      <w:r>
        <w:rPr>
          <w:rFonts w:hint="eastAsia"/>
        </w:rPr>
        <w:t>日</w:t>
      </w:r>
    </w:p>
    <w:sdt>
      <w:sdtPr>
        <w:rPr>
          <w:rFonts w:ascii="宋体" w:hAnsi="宋体" w:eastAsia="宋体" w:cs="Times New Roman"/>
          <w:kern w:val="2"/>
          <w:sz w:val="21"/>
          <w:szCs w:val="24"/>
          <w:lang w:val="en-US" w:eastAsia="zh-CN" w:bidi="ar-SA"/>
        </w:rPr>
        <w:id w:val="147451341"/>
        <w15:color w:val="DBDBDB"/>
      </w:sdtPr>
      <w:sdtEndPr>
        <w:rPr>
          <w:rFonts w:hint="eastAsia"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both"/>
          </w:pPr>
          <w:r>
            <w:rPr>
              <w:rFonts w:hint="eastAsia"/>
            </w:rPr>
            <w:fldChar w:fldCharType="begin"/>
          </w:r>
          <w:r>
            <w:rPr>
              <w:rFonts w:hint="eastAsia"/>
            </w:rPr>
            <w:instrText xml:space="preserve">TOC \o "1-3" \h \u </w:instrText>
          </w:r>
          <w:r>
            <w:rPr>
              <w:rFonts w:hint="eastAsia"/>
            </w:rPr>
            <w:fldChar w:fldCharType="separate"/>
          </w:r>
        </w:p>
        <w:p>
          <w:pPr>
            <w:pStyle w:val="11"/>
            <w:tabs>
              <w:tab w:val="right" w:leader="dot" w:pos="8306"/>
              <w:tab w:val="clear" w:pos="8296"/>
            </w:tabs>
          </w:pPr>
          <w:r>
            <w:rPr>
              <w:rFonts w:hint="eastAsia"/>
            </w:rPr>
            <w:fldChar w:fldCharType="begin"/>
          </w:r>
          <w:r>
            <w:rPr>
              <w:rFonts w:hint="eastAsia"/>
            </w:rPr>
            <w:instrText xml:space="preserve"> HYPERLINK \l _Toc21319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_Toc21319 </w:instrText>
          </w:r>
          <w:r>
            <w:fldChar w:fldCharType="separate"/>
          </w:r>
          <w:r>
            <w:t>4</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_Toc8422 </w:instrText>
          </w:r>
          <w:r>
            <w:rPr>
              <w:rFonts w:hint="eastAsia"/>
            </w:rPr>
            <w:fldChar w:fldCharType="separate"/>
          </w:r>
          <w:r>
            <w:rPr>
              <w:rFonts w:hint="eastAsia" w:ascii="黑体" w:hAnsi="黑体" w:eastAsia="黑体"/>
              <w:bCs w:val="0"/>
            </w:rPr>
            <w:t xml:space="preserve">一、 </w:t>
          </w:r>
          <w:r>
            <w:rPr>
              <w:rFonts w:hint="eastAsia" w:ascii="黑体" w:hAnsi="黑体" w:eastAsia="黑体"/>
            </w:rPr>
            <w:t>基</w:t>
          </w:r>
          <w:r>
            <w:rPr>
              <w:rFonts w:hint="eastAsia" w:ascii="黑体" w:hAnsi="黑体" w:eastAsia="黑体"/>
              <w:bCs w:val="0"/>
            </w:rPr>
            <w:t>本职能及主要工作</w:t>
          </w:r>
          <w:r>
            <w:tab/>
          </w:r>
          <w:r>
            <w:fldChar w:fldCharType="begin"/>
          </w:r>
          <w:r>
            <w:instrText xml:space="preserve"> PAGEREF _Toc8422 </w:instrText>
          </w:r>
          <w:r>
            <w:fldChar w:fldCharType="separate"/>
          </w:r>
          <w:r>
            <w:t>4</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_Toc13424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_Toc13424 </w:instrText>
          </w:r>
          <w:r>
            <w:fldChar w:fldCharType="separate"/>
          </w:r>
          <w:r>
            <w:t>6</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_Toc31163 </w:instrText>
          </w:r>
          <w:r>
            <w:rPr>
              <w:rFonts w:hint="eastAsia"/>
            </w:rPr>
            <w:fldChar w:fldCharType="separate"/>
          </w:r>
          <w:r>
            <w:rPr>
              <w:rFonts w:hint="eastAsia" w:ascii="黑体" w:hAnsi="黑体" w:eastAsia="黑体"/>
            </w:rPr>
            <w:t>第二部分</w:t>
          </w:r>
          <w:r>
            <w:rPr>
              <w:rFonts w:hint="eastAsia" w:ascii="黑体" w:hAnsi="黑体" w:eastAsia="黑体"/>
              <w:lang w:val="en-US" w:eastAsia="zh-CN"/>
            </w:rPr>
            <w:t>2020</w:t>
          </w:r>
          <w:r>
            <w:rPr>
              <w:rFonts w:hint="eastAsia" w:ascii="黑体" w:hAnsi="黑体" w:eastAsia="黑体"/>
              <w:bCs w:val="0"/>
            </w:rPr>
            <w:t>年度部门决算情况说明</w:t>
          </w:r>
          <w:r>
            <w:tab/>
          </w:r>
          <w:r>
            <w:fldChar w:fldCharType="begin"/>
          </w:r>
          <w:r>
            <w:instrText xml:space="preserve"> PAGEREF _Toc31163 </w:instrText>
          </w:r>
          <w:r>
            <w:fldChar w:fldCharType="separate"/>
          </w:r>
          <w:r>
            <w:t>11</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_Toc11895 </w:instrText>
          </w:r>
          <w:r>
            <w:rPr>
              <w:rFonts w:hint="eastAsia"/>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_Toc11895 </w:instrText>
          </w:r>
          <w:r>
            <w:fldChar w:fldCharType="separate"/>
          </w:r>
          <w:r>
            <w:t>11</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_Toc26006 </w:instrText>
          </w:r>
          <w:r>
            <w:rPr>
              <w:rFonts w:hint="eastAsia"/>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_Toc26006 </w:instrText>
          </w:r>
          <w:r>
            <w:fldChar w:fldCharType="separate"/>
          </w:r>
          <w:r>
            <w:t>12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_Toc15528 </w:instrText>
          </w:r>
          <w:r>
            <w:rPr>
              <w:rFonts w:hint="eastAsia"/>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_Toc15528 </w:instrText>
          </w:r>
          <w:r>
            <w:fldChar w:fldCharType="separate"/>
          </w:r>
          <w:r>
            <w:t>12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_Toc27709 </w:instrText>
          </w:r>
          <w:r>
            <w:rPr>
              <w:rFonts w:hint="eastAsia"/>
            </w:rPr>
            <w:fldChar w:fldCharType="separate"/>
          </w:r>
          <w:r>
            <w:rPr>
              <w:rFonts w:hint="eastAsia" w:ascii="黑体" w:hAnsi="黑体" w:eastAsia="黑体"/>
              <w:szCs w:val="32"/>
            </w:rPr>
            <w:t>四、财</w:t>
          </w:r>
          <w:r>
            <w:rPr>
              <w:rFonts w:hint="eastAsia" w:ascii="黑体" w:hAnsi="黑体" w:eastAsia="黑体"/>
            </w:rPr>
            <w:t>政拨款收入支出决算总体</w:t>
          </w:r>
          <w:bookmarkStart w:id="120" w:name="_GoBack"/>
          <w:bookmarkEnd w:id="120"/>
          <w:r>
            <w:rPr>
              <w:rFonts w:hint="eastAsia" w:ascii="黑体" w:hAnsi="黑体" w:eastAsia="黑体"/>
            </w:rPr>
            <w:t>情况说明</w:t>
          </w:r>
          <w:r>
            <w:tab/>
          </w:r>
          <w:r>
            <w:fldChar w:fldCharType="begin"/>
          </w:r>
          <w:r>
            <w:instrText xml:space="preserve"> PAGEREF _Toc27709 </w:instrText>
          </w:r>
          <w:r>
            <w:fldChar w:fldCharType="separate"/>
          </w:r>
          <w:r>
            <w:t>13</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_Toc9113 </w:instrText>
          </w:r>
          <w:r>
            <w:rPr>
              <w:rFonts w:hint="eastAsia"/>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_Toc9113 </w:instrText>
          </w:r>
          <w:r>
            <w:fldChar w:fldCharType="separate"/>
          </w:r>
          <w:r>
            <w:t>13</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_Toc27803 </w:instrText>
          </w:r>
          <w:r>
            <w:rPr>
              <w:rFonts w:hint="eastAsia"/>
            </w:rPr>
            <w:fldChar w:fldCharType="separate"/>
          </w:r>
          <w:r>
            <w:rPr>
              <w:rFonts w:hint="eastAsia" w:ascii="仿宋" w:hAnsi="仿宋" w:eastAsia="仿宋"/>
              <w:szCs w:val="32"/>
            </w:rPr>
            <w:t>（一）一般公共预算财政拨款支出决算总体情况</w:t>
          </w:r>
          <w:r>
            <w:tab/>
          </w:r>
          <w:r>
            <w:fldChar w:fldCharType="begin"/>
          </w:r>
          <w:r>
            <w:instrText xml:space="preserve"> PAGEREF _Toc27803 </w:instrText>
          </w:r>
          <w:r>
            <w:fldChar w:fldCharType="separate"/>
          </w:r>
          <w:r>
            <w:t>13</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_Toc10567 </w:instrText>
          </w:r>
          <w:r>
            <w:rPr>
              <w:rFonts w:hint="eastAsia"/>
            </w:rPr>
            <w:fldChar w:fldCharType="separate"/>
          </w:r>
          <w:r>
            <w:rPr>
              <w:rFonts w:hint="eastAsia" w:ascii="仿宋" w:hAnsi="仿宋" w:eastAsia="仿宋"/>
              <w:szCs w:val="32"/>
            </w:rPr>
            <w:t>（二）一般公共预算财政拨款支出决算结构情况</w:t>
          </w:r>
          <w:r>
            <w:tab/>
          </w:r>
          <w:r>
            <w:fldChar w:fldCharType="begin"/>
          </w:r>
          <w:r>
            <w:instrText xml:space="preserve"> PAGEREF _Toc10567 </w:instrText>
          </w:r>
          <w:r>
            <w:fldChar w:fldCharType="separate"/>
          </w:r>
          <w:r>
            <w:t>14</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_Toc15708 </w:instrText>
          </w:r>
          <w:r>
            <w:rPr>
              <w:rFonts w:hint="eastAsia"/>
            </w:rPr>
            <w:fldChar w:fldCharType="separate"/>
          </w:r>
          <w:r>
            <w:rPr>
              <w:rFonts w:hint="eastAsia" w:ascii="仿宋" w:hAnsi="仿宋" w:eastAsia="仿宋"/>
              <w:szCs w:val="32"/>
            </w:rPr>
            <w:t>（三）一般公共预算财政拨款支出决算具体情况</w:t>
          </w:r>
          <w:r>
            <w:tab/>
          </w:r>
          <w:r>
            <w:fldChar w:fldCharType="begin"/>
          </w:r>
          <w:r>
            <w:instrText xml:space="preserve"> PAGEREF _Toc15708 </w:instrText>
          </w:r>
          <w:r>
            <w:fldChar w:fldCharType="separate"/>
          </w:r>
          <w:r>
            <w:t>15</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_Toc12098 </w:instrText>
          </w:r>
          <w:r>
            <w:rPr>
              <w:rFonts w:hint="eastAsia"/>
            </w:rPr>
            <w:fldChar w:fldCharType="separate"/>
          </w:r>
          <w:r>
            <w:rPr>
              <w:rFonts w:hint="eastAsia" w:ascii="仿宋" w:hAnsi="仿宋" w:eastAsia="仿宋"/>
              <w:szCs w:val="32"/>
              <w:lang w:val="en-US" w:eastAsia="zh-CN"/>
            </w:rPr>
            <w:t>2020</w:t>
          </w:r>
          <w:r>
            <w:rPr>
              <w:rFonts w:hint="eastAsia" w:ascii="仿宋" w:hAnsi="仿宋" w:eastAsia="仿宋"/>
              <w:szCs w:val="32"/>
            </w:rPr>
            <w:t>年般公共预算支出决算数为</w:t>
          </w:r>
          <w:r>
            <w:rPr>
              <w:rFonts w:hint="eastAsia" w:ascii="仿宋" w:hAnsi="仿宋" w:eastAsia="仿宋"/>
              <w:szCs w:val="32"/>
              <w:lang w:val="en-US" w:eastAsia="zh-CN"/>
            </w:rPr>
            <w:t>1225.0</w:t>
          </w:r>
          <w:r>
            <w:rPr>
              <w:rFonts w:hint="eastAsia" w:ascii="仿宋" w:hAnsi="仿宋" w:eastAsia="仿宋"/>
              <w:szCs w:val="32"/>
            </w:rPr>
            <w:t>，</w:t>
          </w:r>
          <w:r>
            <w:rPr>
              <w:rFonts w:hint="eastAsia" w:ascii="仿宋" w:hAnsi="仿宋" w:eastAsia="仿宋"/>
              <w:bCs/>
              <w:szCs w:val="32"/>
            </w:rPr>
            <w:t>完成预算</w:t>
          </w:r>
          <w:r>
            <w:rPr>
              <w:rFonts w:hint="eastAsia" w:ascii="仿宋" w:hAnsi="仿宋" w:eastAsia="仿宋"/>
              <w:bCs/>
              <w:szCs w:val="32"/>
              <w:lang w:val="en-US" w:eastAsia="zh-CN"/>
            </w:rPr>
            <w:t>100</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_Toc12098 </w:instrText>
          </w:r>
          <w:r>
            <w:fldChar w:fldCharType="separate"/>
          </w:r>
          <w:r>
            <w:t>15</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_Toc27084 </w:instrText>
          </w:r>
          <w:r>
            <w:rPr>
              <w:rFonts w:hint="eastAsia"/>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_Toc27084 </w:instrText>
          </w:r>
          <w:r>
            <w:fldChar w:fldCharType="separate"/>
          </w:r>
          <w:r>
            <w:t>16</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_Toc31086 </w:instrText>
          </w:r>
          <w:r>
            <w:rPr>
              <w:rFonts w:hint="eastAsia"/>
            </w:rPr>
            <w:fldChar w:fldCharType="separate"/>
          </w:r>
          <w:r>
            <w:rPr>
              <w:rFonts w:hint="eastAsia" w:ascii="黑体" w:hAnsi="黑体" w:eastAsia="黑体" w:cs="黑体"/>
              <w:bCs w:val="0"/>
              <w:szCs w:val="32"/>
            </w:rPr>
            <w:t>七、</w:t>
          </w:r>
          <w:r>
            <w:rPr>
              <w:rFonts w:hint="eastAsia" w:ascii="黑体" w:hAnsi="黑体" w:eastAsia="黑体" w:cs="黑体"/>
              <w:bCs w:val="0"/>
            </w:rPr>
            <w:t>“三公”经费财政拨款支出决算情况说明</w:t>
          </w:r>
          <w:r>
            <w:tab/>
          </w:r>
          <w:r>
            <w:fldChar w:fldCharType="begin"/>
          </w:r>
          <w:r>
            <w:instrText xml:space="preserve"> PAGEREF _Toc31086 </w:instrText>
          </w:r>
          <w:r>
            <w:fldChar w:fldCharType="separate"/>
          </w:r>
          <w:r>
            <w:t>17</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_Toc31996 </w:instrText>
          </w:r>
          <w:r>
            <w:rPr>
              <w:rFonts w:hint="eastAsia"/>
            </w:rPr>
            <w:fldChar w:fldCharType="separate"/>
          </w:r>
          <w:r>
            <w:rPr>
              <w:rFonts w:hint="eastAsia" w:ascii="仿宋_GB2312" w:hAnsi="仿宋_GB2312" w:eastAsia="仿宋_GB2312" w:cs="仿宋_GB2312"/>
              <w:szCs w:val="32"/>
            </w:rPr>
            <w:t>（一）“三公”经费财政拨款支出决算总体情况说明</w:t>
          </w:r>
          <w:r>
            <w:tab/>
          </w:r>
          <w:r>
            <w:fldChar w:fldCharType="begin"/>
          </w:r>
          <w:r>
            <w:instrText xml:space="preserve"> PAGEREF _Toc31996 </w:instrText>
          </w:r>
          <w:r>
            <w:fldChar w:fldCharType="separate"/>
          </w:r>
          <w:r>
            <w:t>17</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_Toc19044 </w:instrText>
          </w:r>
          <w:r>
            <w:rPr>
              <w:rFonts w:hint="eastAsia"/>
            </w:rPr>
            <w:fldChar w:fldCharType="separate"/>
          </w:r>
          <w:r>
            <w:rPr>
              <w:rFonts w:hint="eastAsia" w:ascii="仿宋" w:hAnsi="仿宋" w:eastAsia="仿宋"/>
              <w:szCs w:val="32"/>
            </w:rPr>
            <w:t>（二）“三公”经费财政拨款支出决算具体情况说明</w:t>
          </w:r>
          <w:r>
            <w:tab/>
          </w:r>
          <w:r>
            <w:fldChar w:fldCharType="begin"/>
          </w:r>
          <w:r>
            <w:instrText xml:space="preserve"> PAGEREF _Toc19044 </w:instrText>
          </w:r>
          <w:r>
            <w:fldChar w:fldCharType="separate"/>
          </w:r>
          <w:r>
            <w:t>17</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_Toc19370 </w:instrText>
          </w:r>
          <w:r>
            <w:rPr>
              <w:rFonts w:hint="eastAsia"/>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_Toc19370 </w:instrText>
          </w:r>
          <w:r>
            <w:fldChar w:fldCharType="separate"/>
          </w:r>
          <w:r>
            <w:t>18</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_Toc30285 </w:instrText>
          </w:r>
          <w:r>
            <w:rPr>
              <w:rFonts w:hint="eastAsia"/>
            </w:rPr>
            <w:fldChar w:fldCharType="separate"/>
          </w:r>
          <w:r>
            <w:rPr>
              <w:rFonts w:hint="eastAsia" w:ascii="黑体" w:hAnsi="黑体" w:eastAsia="黑体"/>
              <w:lang w:val="en-US" w:eastAsia="zh-CN"/>
            </w:rPr>
            <w:t>九、</w:t>
          </w:r>
          <w:r>
            <w:rPr>
              <w:rFonts w:hint="eastAsia" w:ascii="黑体" w:hAnsi="黑体" w:eastAsia="黑体"/>
            </w:rPr>
            <w:t>国有资本经营预算支出决算情况说明</w:t>
          </w:r>
          <w:r>
            <w:tab/>
          </w:r>
          <w:r>
            <w:fldChar w:fldCharType="begin"/>
          </w:r>
          <w:r>
            <w:instrText xml:space="preserve"> PAGEREF _Toc30285 </w:instrText>
          </w:r>
          <w:r>
            <w:fldChar w:fldCharType="separate"/>
          </w:r>
          <w:r>
            <w:t>18</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_Toc27185 </w:instrText>
          </w:r>
          <w:r>
            <w:rPr>
              <w:rFonts w:hint="eastAsia"/>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_Toc27185 </w:instrText>
          </w:r>
          <w:r>
            <w:fldChar w:fldCharType="separate"/>
          </w:r>
          <w:r>
            <w:t>18</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_Toc30093 </w:instrText>
          </w:r>
          <w:r>
            <w:rPr>
              <w:rFonts w:hint="eastAsia"/>
            </w:rPr>
            <w:fldChar w:fldCharType="separate"/>
          </w:r>
          <w:r>
            <w:rPr>
              <w:rFonts w:hint="eastAsia" w:ascii="仿宋" w:hAnsi="仿宋" w:eastAsia="仿宋"/>
              <w:szCs w:val="32"/>
            </w:rPr>
            <w:t>（一）机关运行经费支出情况</w:t>
          </w:r>
          <w:r>
            <w:tab/>
          </w:r>
          <w:r>
            <w:fldChar w:fldCharType="begin"/>
          </w:r>
          <w:r>
            <w:instrText xml:space="preserve"> PAGEREF _Toc30093 </w:instrText>
          </w:r>
          <w:r>
            <w:fldChar w:fldCharType="separate"/>
          </w:r>
          <w:r>
            <w:t>18</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_Toc5908 </w:instrText>
          </w:r>
          <w:r>
            <w:rPr>
              <w:rFonts w:hint="eastAsia"/>
            </w:rPr>
            <w:fldChar w:fldCharType="separate"/>
          </w:r>
          <w:r>
            <w:rPr>
              <w:rFonts w:hint="eastAsia" w:ascii="仿宋" w:hAnsi="仿宋" w:eastAsia="仿宋"/>
              <w:szCs w:val="32"/>
            </w:rPr>
            <w:t>（二）政府采购支出情况</w:t>
          </w:r>
          <w:r>
            <w:tab/>
          </w:r>
          <w:r>
            <w:fldChar w:fldCharType="begin"/>
          </w:r>
          <w:r>
            <w:instrText xml:space="preserve"> PAGEREF _Toc5908 </w:instrText>
          </w:r>
          <w:r>
            <w:fldChar w:fldCharType="separate"/>
          </w:r>
          <w:r>
            <w:t>18</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_Toc15768 </w:instrText>
          </w:r>
          <w:r>
            <w:rPr>
              <w:rFonts w:hint="eastAsia"/>
            </w:rPr>
            <w:fldChar w:fldCharType="separate"/>
          </w:r>
          <w:r>
            <w:rPr>
              <w:rFonts w:hint="eastAsia" w:ascii="仿宋" w:hAnsi="仿宋" w:eastAsia="仿宋"/>
              <w:szCs w:val="32"/>
            </w:rPr>
            <w:t>（三）国有资产占有使用情况</w:t>
          </w:r>
          <w:r>
            <w:tab/>
          </w:r>
          <w:r>
            <w:fldChar w:fldCharType="begin"/>
          </w:r>
          <w:r>
            <w:instrText xml:space="preserve"> PAGEREF _Toc15768 </w:instrText>
          </w:r>
          <w:r>
            <w:fldChar w:fldCharType="separate"/>
          </w:r>
          <w:r>
            <w:t>19</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_Toc26353 </w:instrText>
          </w:r>
          <w:r>
            <w:rPr>
              <w:rFonts w:hint="eastAsia"/>
            </w:rPr>
            <w:fldChar w:fldCharType="separate"/>
          </w:r>
          <w:r>
            <w:rPr>
              <w:rFonts w:hint="eastAsia" w:ascii="仿宋" w:hAnsi="仿宋" w:eastAsia="仿宋"/>
              <w:szCs w:val="32"/>
            </w:rPr>
            <w:t>（四）预算绩效管理情况。</w:t>
          </w:r>
          <w:r>
            <w:tab/>
          </w:r>
          <w:r>
            <w:fldChar w:fldCharType="begin"/>
          </w:r>
          <w:r>
            <w:instrText xml:space="preserve"> PAGEREF _Toc26353 </w:instrText>
          </w:r>
          <w:r>
            <w:fldChar w:fldCharType="separate"/>
          </w:r>
          <w:r>
            <w:t>19</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_Toc6574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_Toc6574 </w:instrText>
          </w:r>
          <w:r>
            <w:fldChar w:fldCharType="separate"/>
          </w:r>
          <w:r>
            <w:t>23</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_Toc9421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_Toc9421 </w:instrText>
          </w:r>
          <w:r>
            <w:fldChar w:fldCharType="separate"/>
          </w:r>
          <w:r>
            <w:t>27</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_Toc19034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_Toc19034 </w:instrText>
          </w:r>
          <w:r>
            <w:fldChar w:fldCharType="separate"/>
          </w:r>
          <w:r>
            <w:t>27</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_Toc12837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_Toc12837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_Toc10714 </w:instrText>
          </w:r>
          <w:r>
            <w:rPr>
              <w:rFonts w:hint="eastAsia"/>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_Toc10714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_Toc19498 </w:instrText>
          </w:r>
          <w:r>
            <w:rPr>
              <w:rFonts w:hint="eastAsia"/>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_Toc19498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_Toc17631 </w:instrText>
          </w:r>
          <w:r>
            <w:rPr>
              <w:rFonts w:hint="eastAsia"/>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_Toc17631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_Toc2049 </w:instrText>
          </w:r>
          <w:r>
            <w:rPr>
              <w:rFonts w:hint="eastAsia"/>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_Toc2049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_Toc4683 </w:instrText>
          </w:r>
          <w:r>
            <w:rPr>
              <w:rFonts w:hint="eastAsia"/>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_Toc4683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_Toc9742 </w:instrText>
          </w:r>
          <w:r>
            <w:rPr>
              <w:rFonts w:hint="eastAsia"/>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_Toc9742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_Toc2513 </w:instrText>
          </w:r>
          <w:r>
            <w:rPr>
              <w:rFonts w:hint="eastAsia"/>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_Toc2513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_Toc7313 </w:instrText>
          </w:r>
          <w:r>
            <w:rPr>
              <w:rFonts w:hint="eastAsia"/>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_Toc7313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_Toc6310 </w:instrText>
          </w:r>
          <w:r>
            <w:rPr>
              <w:rFonts w:hint="eastAsia"/>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_Toc6310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_Toc31768 </w:instrText>
          </w:r>
          <w:r>
            <w:rPr>
              <w:rFonts w:hint="eastAsia"/>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_Toc31768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_Toc11425 </w:instrText>
          </w:r>
          <w:r>
            <w:rPr>
              <w:rFonts w:hint="eastAsia"/>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_Toc11425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_Toc9365 </w:instrText>
          </w:r>
          <w:r>
            <w:rPr>
              <w:rFonts w:hint="eastAsia"/>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_Toc9365 </w:instrText>
          </w:r>
          <w:r>
            <w:fldChar w:fldCharType="separate"/>
          </w:r>
          <w:r>
            <w:t>30</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_Toc4479 </w:instrText>
          </w:r>
          <w:r>
            <w:rPr>
              <w:rFonts w:hint="eastAsia"/>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_Toc4479 </w:instrText>
          </w:r>
          <w:r>
            <w:fldChar w:fldCharType="separate"/>
          </w:r>
          <w:r>
            <w:t>30</w:t>
          </w:r>
          <w:r>
            <w:fldChar w:fldCharType="end"/>
          </w:r>
          <w:r>
            <w:rPr>
              <w:rFonts w:hint="eastAsia"/>
            </w:rPr>
            <w:fldChar w:fldCharType="end"/>
          </w:r>
        </w:p>
        <w:p>
          <w:pPr>
            <w:rPr>
              <w:rFonts w:hint="eastAsia"/>
            </w:rPr>
          </w:pPr>
          <w:r>
            <w:rPr>
              <w:rFonts w:hint="eastAsia"/>
            </w:rPr>
            <w:fldChar w:fldCharType="end"/>
          </w:r>
        </w:p>
      </w:sdtContent>
    </w:sdt>
    <w:p>
      <w:pPr>
        <w:widowControl/>
        <w:spacing w:line="440" w:lineRule="exact"/>
        <w:jc w:val="left"/>
        <w:rPr>
          <w:rFonts w:ascii="仿宋" w:hAnsi="仿宋" w:eastAsia="仿宋"/>
          <w:bCs/>
          <w:kern w:val="44"/>
          <w:sz w:val="24"/>
        </w:rPr>
      </w:pPr>
      <w:bookmarkStart w:id="14" w:name="_Toc15377196"/>
      <w:bookmarkStart w:id="15" w:name="_Toc15396599"/>
      <w:r>
        <w:rPr>
          <w:rFonts w:ascii="仿宋" w:hAnsi="仿宋" w:eastAsia="仿宋"/>
          <w:b/>
          <w:sz w:val="24"/>
        </w:rPr>
        <w:br w:type="page"/>
      </w:r>
    </w:p>
    <w:p>
      <w:pPr>
        <w:pStyle w:val="3"/>
        <w:jc w:val="center"/>
        <w:rPr>
          <w:rFonts w:ascii="黑体" w:eastAsia="黑体"/>
          <w:color w:val="000000"/>
          <w:sz w:val="32"/>
          <w:szCs w:val="32"/>
        </w:rPr>
      </w:pPr>
      <w:bookmarkStart w:id="16" w:name="_Toc21319"/>
      <w:r>
        <w:rPr>
          <w:rFonts w:hint="eastAsia" w:ascii="黑体" w:hAnsi="黑体" w:eastAsia="黑体"/>
          <w:b w:val="0"/>
        </w:rPr>
        <w:t xml:space="preserve">第一部分 </w:t>
      </w:r>
      <w:r>
        <w:rPr>
          <w:rStyle w:val="26"/>
          <w:rFonts w:hint="eastAsia" w:ascii="黑体" w:hAnsi="黑体" w:eastAsia="黑体"/>
          <w:b w:val="0"/>
          <w:bCs w:val="0"/>
        </w:rPr>
        <w:t>部门概况</w:t>
      </w:r>
      <w:bookmarkEnd w:id="14"/>
      <w:bookmarkEnd w:id="15"/>
      <w:bookmarkEnd w:id="16"/>
    </w:p>
    <w:p>
      <w:pPr>
        <w:pStyle w:val="4"/>
        <w:pageBreakBefore w:val="0"/>
        <w:widowControl w:val="0"/>
        <w:numPr>
          <w:ilvl w:val="0"/>
          <w:numId w:val="1"/>
        </w:numPr>
        <w:kinsoku/>
        <w:wordWrap/>
        <w:overflowPunct/>
        <w:topLinePunct w:val="0"/>
        <w:autoSpaceDE/>
        <w:autoSpaceDN/>
        <w:bidi w:val="0"/>
        <w:adjustRightInd/>
        <w:snapToGrid/>
        <w:spacing w:line="560" w:lineRule="exact"/>
        <w:textAlignment w:val="auto"/>
        <w:rPr>
          <w:rStyle w:val="27"/>
          <w:rFonts w:hint="eastAsia" w:ascii="黑体" w:hAnsi="黑体" w:eastAsia="黑体"/>
          <w:b w:val="0"/>
          <w:bCs w:val="0"/>
        </w:rPr>
      </w:pPr>
      <w:bookmarkStart w:id="17" w:name="_Toc8422"/>
      <w:bookmarkStart w:id="18" w:name="_Toc15377197"/>
      <w:bookmarkStart w:id="19" w:name="_Toc15396600"/>
      <w:r>
        <w:rPr>
          <w:rFonts w:hint="eastAsia" w:ascii="黑体" w:hAnsi="黑体" w:eastAsia="黑体"/>
          <w:b w:val="0"/>
          <w:color w:val="000000"/>
        </w:rPr>
        <w:t>基</w:t>
      </w:r>
      <w:r>
        <w:rPr>
          <w:rStyle w:val="27"/>
          <w:rFonts w:hint="eastAsia" w:ascii="黑体" w:hAnsi="黑体" w:eastAsia="黑体"/>
          <w:b w:val="0"/>
          <w:bCs w:val="0"/>
        </w:rPr>
        <w:t>本职能及主要工作</w:t>
      </w:r>
      <w:bookmarkEnd w:id="17"/>
      <w:bookmarkEnd w:id="18"/>
      <w:bookmarkEnd w:id="19"/>
      <w:bookmarkStart w:id="20" w:name="_Toc15377198"/>
      <w:bookmarkStart w:id="21" w:name="_Toc15378445"/>
    </w:p>
    <w:p>
      <w:pPr>
        <w:pStyle w:val="4"/>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val="0"/>
          <w:color w:val="000000"/>
          <w:sz w:val="32"/>
          <w:szCs w:val="32"/>
        </w:rPr>
      </w:pPr>
      <w:bookmarkStart w:id="22" w:name="_Toc16803"/>
      <w:r>
        <w:rPr>
          <w:rFonts w:hint="eastAsia" w:ascii="楷体_GB2312" w:hAnsi="楷体_GB2312" w:eastAsia="楷体_GB2312" w:cs="楷体_GB2312"/>
          <w:b/>
          <w:bCs w:val="0"/>
          <w:color w:val="000000"/>
          <w:sz w:val="32"/>
          <w:szCs w:val="32"/>
        </w:rPr>
        <w:t>（一）主要职能。</w:t>
      </w:r>
      <w:bookmarkEnd w:id="20"/>
      <w:bookmarkEnd w:id="21"/>
      <w:bookmarkEnd w:id="22"/>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shd w:val="clear" w:color="auto" w:fill="FFFFFF"/>
        </w:rPr>
        <w:t>负责管理全县公务员工作。承担管理公务员录用、调配、考核、奖惩、培训、监督、工资福利等工作，指导公务员队伍建设和绩效管理。</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sz w:val="32"/>
          <w:szCs w:val="32"/>
        </w:rPr>
        <w:t>负责全县人才队伍建设宏观指导、政策落实、综合协调和督促检查；牵头推进人才发展体制机制改革，统筹实施重大人才工程和人才表彰奖励。</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w:t>
      </w:r>
      <w:r>
        <w:rPr>
          <w:rFonts w:hint="eastAsia" w:ascii="仿宋_GB2312" w:hAnsi="仿宋_GB2312" w:eastAsia="仿宋_GB2312" w:cs="仿宋_GB2312"/>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w:t>
      </w:r>
      <w:r>
        <w:rPr>
          <w:rFonts w:hint="eastAsia" w:ascii="仿宋_GB2312" w:hAnsi="仿宋_GB2312" w:eastAsia="仿宋_GB2312" w:cs="仿宋_GB2312"/>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w:t>
      </w:r>
      <w:r>
        <w:rPr>
          <w:rFonts w:hint="eastAsia" w:ascii="仿宋_GB2312" w:hAnsi="仿宋_GB2312" w:eastAsia="仿宋_GB2312" w:cs="仿宋_GB2312"/>
          <w:sz w:val="32"/>
          <w:szCs w:val="32"/>
        </w:rPr>
        <w:t>负责全县非公有制经济组织和社会组织党建工作统一部署，宏观指导和督促检查；负责研究、指导和批准非公有制经济组织和社会组织党的基层组织的设置；直接联系和管理非公企业和社会组织党组织。</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w:t>
      </w:r>
      <w:r>
        <w:rPr>
          <w:rFonts w:hint="eastAsia" w:ascii="仿宋_GB2312" w:hAnsi="仿宋_GB2312" w:eastAsia="仿宋_GB2312" w:cs="仿宋_GB2312"/>
          <w:sz w:val="32"/>
          <w:szCs w:val="32"/>
        </w:rPr>
        <w:t>负责制定全县直属机关</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"http://www.so.com/s?q=%E5%85%9A%E7%9A%84%E5%BB%BA%E8%AE%BE&amp;ie=utf-8&amp;src=internal_wenda_recommend_textn" \t "https://wenda.so.com/q/_blank"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党的建设</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工作规划，指导县直机关党组织搞好党的思想建设、组织建设、作风建设和制度建设，并做好协调、管理、教育、监督工作。指导县属机关党组织搞好发展党员、民主评议党员、党员干部民主生活会的评议工作。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w:t>
      </w:r>
      <w:r>
        <w:rPr>
          <w:rFonts w:hint="eastAsia" w:ascii="仿宋_GB2312" w:hAnsi="仿宋_GB2312" w:eastAsia="仿宋_GB2312" w:cs="仿宋_GB2312"/>
          <w:sz w:val="32"/>
          <w:szCs w:val="32"/>
        </w:rPr>
        <w:t>统一归口管理县委机构编制委员会办公室。</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w:t>
      </w:r>
      <w:r>
        <w:rPr>
          <w:rFonts w:hint="eastAsia" w:ascii="仿宋_GB2312" w:hAnsi="仿宋_GB2312" w:eastAsia="仿宋_GB2312" w:cs="仿宋_GB2312"/>
          <w:sz w:val="32"/>
          <w:szCs w:val="32"/>
        </w:rPr>
        <w:t>承担县委党建领导小组、县人才工作领导小组日常工作。</w:t>
      </w:r>
    </w:p>
    <w:p>
      <w:pPr>
        <w:pStyle w:val="6"/>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ascii="仿宋" w:hAnsi="仿宋" w:eastAsia="仿宋"/>
          <w:bCs/>
          <w:color w:val="000000"/>
          <w:sz w:val="32"/>
          <w:szCs w:val="32"/>
        </w:rPr>
      </w:pPr>
      <w:bookmarkStart w:id="23" w:name="_Toc22229"/>
      <w:r>
        <w:rPr>
          <w:rFonts w:hint="eastAsia" w:ascii="仿宋_GB2312" w:hAnsi="仿宋_GB2312" w:eastAsia="仿宋_GB2312" w:cs="仿宋_GB2312"/>
          <w:b/>
          <w:bCs/>
          <w:sz w:val="32"/>
          <w:szCs w:val="32"/>
        </w:rPr>
        <w:t>12.</w:t>
      </w:r>
      <w:r>
        <w:rPr>
          <w:rFonts w:hint="eastAsia" w:ascii="仿宋_GB2312" w:hAnsi="仿宋_GB2312" w:eastAsia="仿宋_GB2312" w:cs="仿宋_GB2312"/>
          <w:sz w:val="32"/>
          <w:szCs w:val="32"/>
        </w:rPr>
        <w:t>完成县委交办的其他任务。</w:t>
      </w:r>
      <w:bookmarkEnd w:id="23"/>
    </w:p>
    <w:p>
      <w:pPr>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Cs/>
          <w:color w:val="000000"/>
          <w:sz w:val="32"/>
          <w:szCs w:val="32"/>
        </w:rPr>
      </w:pPr>
      <w:bookmarkStart w:id="24" w:name="_Toc15378446"/>
      <w:bookmarkStart w:id="25" w:name="_Toc15377199"/>
      <w:r>
        <w:rPr>
          <w:rFonts w:hint="eastAsia" w:ascii="黑体" w:hAnsi="黑体" w:eastAsia="黑体" w:cs="黑体"/>
          <w:bCs/>
          <w:color w:val="000000"/>
          <w:sz w:val="32"/>
          <w:szCs w:val="32"/>
        </w:rPr>
        <w:t>（二）</w:t>
      </w:r>
      <w:r>
        <w:rPr>
          <w:rFonts w:hint="eastAsia" w:ascii="黑体" w:hAnsi="黑体" w:eastAsia="黑体" w:cs="黑体"/>
          <w:bCs/>
          <w:color w:val="000000"/>
          <w:sz w:val="32"/>
          <w:szCs w:val="32"/>
          <w:lang w:val="en-US" w:eastAsia="zh-CN"/>
        </w:rPr>
        <w:t>2020</w:t>
      </w:r>
      <w:r>
        <w:rPr>
          <w:rFonts w:hint="eastAsia" w:ascii="黑体" w:hAnsi="黑体" w:eastAsia="黑体" w:cs="黑体"/>
          <w:bCs/>
          <w:color w:val="000000"/>
          <w:sz w:val="32"/>
          <w:szCs w:val="32"/>
        </w:rPr>
        <w:t>年重点工作完成情况。</w:t>
      </w:r>
      <w:bookmarkEnd w:id="24"/>
      <w:bookmarkEnd w:id="25"/>
    </w:p>
    <w:p>
      <w:pPr>
        <w:pStyle w:val="13"/>
        <w:keepNext w:val="0"/>
        <w:keepLines w:val="0"/>
        <w:pageBreakBefore w:val="0"/>
        <w:widowControl w:val="0"/>
        <w:kinsoku/>
        <w:wordWrap/>
        <w:overflowPunct/>
        <w:topLinePunct w:val="0"/>
        <w:autoSpaceDE/>
        <w:autoSpaceDN/>
        <w:bidi w:val="0"/>
        <w:adjustRightInd/>
        <w:spacing w:line="576" w:lineRule="exact"/>
        <w:ind w:firstLine="634"/>
        <w:textAlignment w:val="auto"/>
        <w:rPr>
          <w:b w:val="0"/>
          <w:bCs w:val="0"/>
        </w:rPr>
      </w:pPr>
      <w:bookmarkStart w:id="26" w:name="_Toc13424"/>
      <w:bookmarkStart w:id="27" w:name="_Toc15377200"/>
      <w:bookmarkStart w:id="28" w:name="_Toc15396601"/>
      <w:r>
        <w:rPr>
          <w:rFonts w:hint="eastAsia" w:ascii="楷体_GB2312" w:hAnsi="楷体_GB2312" w:eastAsia="楷体_GB2312" w:cs="楷体_GB2312"/>
          <w:b/>
          <w:bCs/>
          <w:color w:val="000000"/>
          <w:szCs w:val="32"/>
          <w:lang w:eastAsia="zh-CN"/>
        </w:rPr>
        <w:t>（</w:t>
      </w:r>
      <w:r>
        <w:rPr>
          <w:rFonts w:hint="eastAsia" w:ascii="楷体_GB2312" w:hAnsi="楷体_GB2312" w:eastAsia="楷体_GB2312" w:cs="楷体_GB2312"/>
          <w:b/>
          <w:bCs/>
          <w:color w:val="000000"/>
          <w:szCs w:val="32"/>
          <w:lang w:val="en-US" w:eastAsia="zh-CN"/>
        </w:rPr>
        <w:t>一</w:t>
      </w:r>
      <w:r>
        <w:rPr>
          <w:rFonts w:hint="eastAsia" w:ascii="楷体_GB2312" w:hAnsi="楷体_GB2312" w:eastAsia="楷体_GB2312" w:cs="楷体_GB2312"/>
          <w:b/>
          <w:bCs/>
          <w:color w:val="000000"/>
          <w:szCs w:val="32"/>
          <w:lang w:eastAsia="zh-CN"/>
        </w:rPr>
        <w:t>）</w:t>
      </w:r>
      <w:r>
        <w:rPr>
          <w:rFonts w:hint="eastAsia" w:ascii="楷体_GB2312" w:hAnsi="楷体_GB2312" w:eastAsia="楷体_GB2312" w:cs="楷体_GB2312"/>
          <w:b/>
          <w:bCs/>
          <w:color w:val="000000"/>
          <w:szCs w:val="32"/>
        </w:rPr>
        <w:t>抓实“两项引领”</w:t>
      </w:r>
      <w:r>
        <w:rPr>
          <w:rFonts w:hint="eastAsia" w:ascii="楷体_GB2312" w:hAnsi="楷体_GB2312" w:eastAsia="楷体_GB2312" w:cs="楷体_GB2312"/>
          <w:b/>
          <w:bCs/>
          <w:color w:val="000000"/>
          <w:szCs w:val="32"/>
          <w:lang w:val="en-US" w:eastAsia="zh-CN"/>
        </w:rPr>
        <w:t>工作</w:t>
      </w:r>
      <w:r>
        <w:rPr>
          <w:rFonts w:hint="eastAsia" w:ascii="楷体_GB2312" w:hAnsi="楷体_GB2312" w:eastAsia="楷体_GB2312" w:cs="楷体_GB2312"/>
          <w:b/>
          <w:bCs/>
          <w:color w:val="000000"/>
          <w:szCs w:val="32"/>
        </w:rPr>
        <w:t>。</w:t>
      </w:r>
      <w:r>
        <w:rPr>
          <w:rFonts w:hint="eastAsia"/>
          <w:b/>
          <w:bCs/>
          <w:szCs w:val="22"/>
        </w:rPr>
        <w:t>一是</w:t>
      </w:r>
      <w:r>
        <w:rPr>
          <w:rFonts w:hint="eastAsia"/>
          <w:b w:val="0"/>
          <w:bCs w:val="0"/>
        </w:rPr>
        <w:t>党建引领促脱贫攻坚工作</w:t>
      </w:r>
      <w:r>
        <w:rPr>
          <w:rFonts w:hint="eastAsia"/>
          <w:b w:val="0"/>
          <w:bCs w:val="0"/>
          <w:lang w:eastAsia="zh-CN"/>
        </w:rPr>
        <w:t>。</w:t>
      </w:r>
      <w:r>
        <w:rPr>
          <w:rFonts w:hint="eastAsia"/>
          <w:b w:val="0"/>
          <w:bCs w:val="0"/>
        </w:rPr>
        <w:t>因特殊原因调整轮换第一书记1名，调整轮换驻村工作队队员2名，选派1名本地双语干部任村支部副书记，协助村第一书记工作。</w:t>
      </w:r>
      <w:r>
        <w:rPr>
          <w:rFonts w:hint="eastAsia"/>
          <w:b/>
          <w:bCs/>
          <w:szCs w:val="22"/>
        </w:rPr>
        <w:t>二是</w:t>
      </w:r>
      <w:r>
        <w:rPr>
          <w:rFonts w:hint="eastAsia"/>
          <w:b w:val="0"/>
          <w:bCs w:val="0"/>
        </w:rPr>
        <w:t>党建引领促基层治理工作</w:t>
      </w:r>
      <w:r>
        <w:rPr>
          <w:rFonts w:hint="eastAsia"/>
          <w:b w:val="0"/>
          <w:bCs w:val="0"/>
          <w:lang w:eastAsia="zh-CN"/>
        </w:rPr>
        <w:t>。</w:t>
      </w:r>
      <w:r>
        <w:rPr>
          <w:rFonts w:hint="eastAsia"/>
          <w:b/>
          <w:bCs/>
        </w:rPr>
        <w:t>乡村基层治理方面，</w:t>
      </w:r>
      <w:r>
        <w:rPr>
          <w:rFonts w:hint="eastAsia"/>
          <w:b w:val="0"/>
          <w:bCs w:val="0"/>
        </w:rPr>
        <w:t>压实牵头责任</w:t>
      </w:r>
      <w:r>
        <w:rPr>
          <w:rFonts w:hint="eastAsia"/>
          <w:b w:val="0"/>
          <w:bCs w:val="0"/>
          <w:lang w:eastAsia="zh-CN"/>
        </w:rPr>
        <w:t>，</w:t>
      </w:r>
      <w:r>
        <w:rPr>
          <w:rFonts w:hint="eastAsia"/>
          <w:b w:val="0"/>
          <w:bCs w:val="0"/>
        </w:rPr>
        <w:t>创新探索符合藏区牧区特点的党建引领基层治理新模式，构建党组织领导主轴，用好网格化、信息化平台，提升管理、服务、应急能力，形成自治、法治、德治、智治工作机制，在乡镇全面推行“瓦切党建引领牧区基层治理1234+N模式”。</w:t>
      </w:r>
      <w:r>
        <w:rPr>
          <w:rFonts w:hint="eastAsia"/>
          <w:b/>
          <w:bCs/>
        </w:rPr>
        <w:t>城市基层治理方面</w:t>
      </w:r>
      <w:r>
        <w:rPr>
          <w:rFonts w:hint="eastAsia"/>
          <w:b w:val="0"/>
          <w:bCs w:val="0"/>
        </w:rPr>
        <w:t>，压实民政、住建等部门牵头责任，探索建立“513233”城市领域基层治理“红原模式”。</w:t>
      </w:r>
      <w:r>
        <w:rPr>
          <w:rFonts w:hint="eastAsia"/>
          <w:b/>
          <w:bCs/>
        </w:rPr>
        <w:t>专项试点工作组方面，</w:t>
      </w:r>
      <w:r>
        <w:rPr>
          <w:rFonts w:hint="eastAsia"/>
          <w:b w:val="0"/>
          <w:bCs w:val="0"/>
        </w:rPr>
        <w:t>在统筹抓实10个基层治理专项工作的同时，坚持先行先试、以点带面、点面结合、辐射全县思路，狠抓基层组织治理、基层社会治理、基层疾控和公共卫生应急管理体系“三项试点”落地落实、取得实效。</w:t>
      </w:r>
    </w:p>
    <w:p>
      <w:pPr>
        <w:pStyle w:val="13"/>
        <w:keepNext w:val="0"/>
        <w:keepLines w:val="0"/>
        <w:pageBreakBefore w:val="0"/>
        <w:widowControl w:val="0"/>
        <w:kinsoku/>
        <w:wordWrap/>
        <w:overflowPunct/>
        <w:topLinePunct w:val="0"/>
        <w:autoSpaceDE/>
        <w:autoSpaceDN/>
        <w:bidi w:val="0"/>
        <w:adjustRightInd/>
        <w:spacing w:line="576" w:lineRule="exact"/>
        <w:ind w:firstLine="634"/>
        <w:textAlignment w:val="auto"/>
        <w:rPr>
          <w:rFonts w:hint="eastAsia" w:ascii="仿宋_GB2312" w:hAnsi="仿宋_GB2312" w:eastAsia="仿宋_GB2312" w:cs="仿宋_GB2312"/>
          <w:b w:val="0"/>
          <w:bCs/>
          <w:szCs w:val="22"/>
        </w:rPr>
      </w:pPr>
      <w:r>
        <w:rPr>
          <w:rFonts w:hint="eastAsia" w:ascii="楷体_GB2312" w:hAnsi="楷体_GB2312" w:eastAsia="楷体_GB2312" w:cs="楷体_GB2312"/>
          <w:b/>
          <w:bCs/>
          <w:color w:val="000000"/>
          <w:szCs w:val="32"/>
        </w:rPr>
        <w:t>（</w:t>
      </w:r>
      <w:r>
        <w:rPr>
          <w:rFonts w:hint="eastAsia" w:ascii="楷体_GB2312" w:hAnsi="楷体_GB2312" w:eastAsia="楷体_GB2312" w:cs="楷体_GB2312"/>
          <w:b/>
          <w:bCs/>
          <w:color w:val="000000"/>
          <w:szCs w:val="32"/>
          <w:lang w:val="en-US" w:eastAsia="zh-CN"/>
        </w:rPr>
        <w:t>二</w:t>
      </w:r>
      <w:r>
        <w:rPr>
          <w:rFonts w:hint="eastAsia" w:ascii="楷体_GB2312" w:hAnsi="楷体_GB2312" w:eastAsia="楷体_GB2312" w:cs="楷体_GB2312"/>
          <w:b/>
          <w:bCs/>
          <w:color w:val="000000"/>
          <w:szCs w:val="32"/>
        </w:rPr>
        <w:t>）抓实基层党组织建设。</w:t>
      </w:r>
      <w:r>
        <w:rPr>
          <w:rFonts w:hint="eastAsia"/>
          <w:b/>
          <w:bCs/>
          <w:szCs w:val="22"/>
        </w:rPr>
        <w:t>一是乡村分类转化提升行动。</w:t>
      </w:r>
      <w:r>
        <w:rPr>
          <w:rFonts w:hint="eastAsia"/>
          <w:b w:val="0"/>
          <w:bCs w:val="0"/>
          <w:szCs w:val="22"/>
        </w:rPr>
        <w:t>研究制定《红原县2020年乡村分类转化提升规划》，逐乡逐村开展分类转化提升行动“回头看”，有35个乡村巩固为先进，10个乡村提升为一般，全面开展德香村、下哈拉玛村脱贫成果巩固、让里村社会治理乱点乱象、刷经寺镇村级建制调整改革试点，全面消除软弱涣散乡村；</w:t>
      </w:r>
      <w:r>
        <w:rPr>
          <w:rFonts w:hint="eastAsia"/>
          <w:b/>
          <w:bCs/>
          <w:szCs w:val="22"/>
        </w:rPr>
        <w:t>二是生态功能区党建示范带建设。</w:t>
      </w:r>
      <w:r>
        <w:rPr>
          <w:rFonts w:hint="eastAsia"/>
          <w:b w:val="0"/>
          <w:bCs w:val="0"/>
          <w:szCs w:val="22"/>
        </w:rPr>
        <w:t>建立生态保护发展“大党委”议事协调机制暨生态功能区党建示范带建设领导小组，完善乡村生态修复保护联席会议制度。依托安曲镇哈拉玛村草畜平衡集体经济建设实训基地、更攀合作社特色产业发展实训基地建设打造生态功能区党建示范点；</w:t>
      </w:r>
      <w:r>
        <w:rPr>
          <w:rFonts w:hint="eastAsia"/>
          <w:b/>
          <w:bCs/>
          <w:szCs w:val="22"/>
        </w:rPr>
        <w:t>三是基层干部素质提升行动。</w:t>
      </w:r>
      <w:r>
        <w:rPr>
          <w:rFonts w:hint="eastAsia"/>
          <w:b w:val="0"/>
          <w:bCs w:val="0"/>
          <w:szCs w:val="22"/>
        </w:rPr>
        <w:t>整合县委党校现有资源，推进红原县牧业技术学校改革，大力开展基层干部素质提升行动，有序推进6个州级实训基地申报和建设工作。建立乡镇党务工作者后备人才库，落实结对帮带培养和梯次培养机制，组织开展党务工作者党建业务知识测试；</w:t>
      </w:r>
      <w:r>
        <w:rPr>
          <w:rFonts w:hint="eastAsia"/>
          <w:b/>
          <w:bCs/>
          <w:szCs w:val="22"/>
        </w:rPr>
        <w:t>四是做好乡村“两项改革”“后半篇文章”</w:t>
      </w:r>
      <w:r>
        <w:rPr>
          <w:rFonts w:hint="eastAsia"/>
          <w:b/>
          <w:bCs/>
          <w:szCs w:val="22"/>
          <w:lang w:eastAsia="zh-CN"/>
        </w:rPr>
        <w:t>。</w:t>
      </w:r>
      <w:r>
        <w:rPr>
          <w:rFonts w:hint="eastAsia"/>
          <w:b w:val="0"/>
          <w:bCs w:val="0"/>
          <w:szCs w:val="22"/>
        </w:rPr>
        <w:t>扎实抓好过渡政策宣传、村干部分流安置、过渡班子组建等重点工作，严把政策、人选、审核、责任“四道关”，落实村干部任职资格联审和村党组织书记县级备案制度，稳妥有序推进涉改村过渡班子建设工作；</w:t>
      </w:r>
      <w:r>
        <w:rPr>
          <w:rFonts w:hint="eastAsia"/>
          <w:b/>
          <w:bCs/>
          <w:szCs w:val="22"/>
          <w:lang w:val="en-US" w:eastAsia="zh-CN"/>
        </w:rPr>
        <w:t>五是</w:t>
      </w:r>
      <w:r>
        <w:rPr>
          <w:rFonts w:hint="eastAsia"/>
          <w:b/>
          <w:bCs/>
          <w:szCs w:val="22"/>
        </w:rPr>
        <w:t>推进党组织工作全覆盖</w:t>
      </w:r>
      <w:r>
        <w:rPr>
          <w:rStyle w:val="32"/>
          <w:rFonts w:hint="eastAsia" w:ascii="仿宋_GB2312" w:hAnsi="仿宋_GB2312" w:eastAsia="仿宋_GB2312" w:cs="仿宋_GB2312"/>
          <w:b/>
          <w:bCs/>
        </w:rPr>
        <w:t>。</w:t>
      </w:r>
      <w:r>
        <w:rPr>
          <w:rFonts w:hint="eastAsia"/>
          <w:b w:val="0"/>
          <w:bCs/>
        </w:rPr>
        <w:t>全县有基层党组织1</w:t>
      </w:r>
      <w:r>
        <w:rPr>
          <w:b w:val="0"/>
          <w:bCs/>
        </w:rPr>
        <w:t>80</w:t>
      </w:r>
      <w:r>
        <w:rPr>
          <w:rFonts w:hint="eastAsia"/>
          <w:b w:val="0"/>
          <w:bCs/>
        </w:rPr>
        <w:t>个，党总支4个</w:t>
      </w:r>
      <w:r>
        <w:rPr>
          <w:rFonts w:hint="eastAsia"/>
          <w:b w:val="0"/>
          <w:bCs/>
          <w:lang w:eastAsia="zh-CN"/>
        </w:rPr>
        <w:t>，</w:t>
      </w:r>
      <w:r>
        <w:rPr>
          <w:rFonts w:hint="eastAsia"/>
          <w:b w:val="0"/>
          <w:bCs/>
        </w:rPr>
        <w:t>支部161</w:t>
      </w:r>
      <w:r>
        <w:rPr>
          <w:rFonts w:hint="eastAsia"/>
          <w:b w:val="0"/>
          <w:bCs/>
          <w:lang w:val="en-US" w:eastAsia="zh-CN"/>
        </w:rPr>
        <w:t>个</w:t>
      </w:r>
      <w:r>
        <w:rPr>
          <w:rFonts w:hint="eastAsia"/>
          <w:b w:val="0"/>
          <w:bCs/>
        </w:rPr>
        <w:t>。</w:t>
      </w:r>
      <w:r>
        <w:rPr>
          <w:rStyle w:val="32"/>
          <w:rFonts w:hint="eastAsia" w:ascii="仿宋_GB2312" w:hAnsi="仿宋_GB2312" w:eastAsia="仿宋_GB2312" w:cs="仿宋_GB2312"/>
          <w:b/>
          <w:bCs/>
          <w:lang w:val="en-US" w:eastAsia="zh-CN"/>
        </w:rPr>
        <w:t>六</w:t>
      </w:r>
      <w:r>
        <w:rPr>
          <w:rStyle w:val="32"/>
          <w:rFonts w:hint="eastAsia" w:ascii="仿宋_GB2312" w:hAnsi="仿宋_GB2312" w:eastAsia="仿宋_GB2312" w:cs="仿宋_GB2312"/>
          <w:b/>
          <w:bCs/>
        </w:rPr>
        <w:t>是持续推动</w:t>
      </w:r>
      <w:r>
        <w:rPr>
          <w:rStyle w:val="32"/>
          <w:rFonts w:hint="eastAsia" w:ascii="仿宋_GB2312" w:hAnsi="仿宋_GB2312" w:eastAsia="仿宋_GB2312" w:cs="仿宋_GB2312"/>
          <w:b/>
          <w:bCs/>
          <w:lang w:val="en-US" w:eastAsia="zh-CN"/>
        </w:rPr>
        <w:t>基层党组织</w:t>
      </w:r>
      <w:r>
        <w:rPr>
          <w:rStyle w:val="32"/>
          <w:rFonts w:hint="eastAsia" w:ascii="仿宋_GB2312" w:hAnsi="仿宋_GB2312" w:eastAsia="仿宋_GB2312" w:cs="仿宋_GB2312"/>
          <w:b/>
          <w:bCs/>
        </w:rPr>
        <w:t>组织力建设。</w:t>
      </w:r>
      <w:r>
        <w:rPr>
          <w:rFonts w:hint="eastAsia"/>
          <w:b w:val="0"/>
          <w:bCs/>
        </w:rPr>
        <w:t>全县有入库党员3682名，其中农村</w:t>
      </w:r>
      <w:r>
        <w:rPr>
          <w:rFonts w:hint="eastAsia" w:ascii="仿宋_GB2312" w:hAnsi="仿宋_GB2312" w:eastAsia="仿宋_GB2312" w:cs="仿宋_GB2312"/>
          <w:b w:val="0"/>
          <w:bCs/>
        </w:rPr>
        <w:t>党员1443人，少数民族党员2590人，大专及以上学历1908人。</w:t>
      </w:r>
      <w:r>
        <w:rPr>
          <w:rStyle w:val="32"/>
          <w:rFonts w:hint="eastAsia" w:ascii="仿宋_GB2312" w:hAnsi="仿宋_GB2312" w:eastAsia="仿宋_GB2312" w:cs="仿宋_GB2312"/>
          <w:b/>
          <w:bCs w:val="0"/>
          <w:lang w:val="en-US" w:eastAsia="zh-CN"/>
        </w:rPr>
        <w:t>七</w:t>
      </w:r>
      <w:r>
        <w:rPr>
          <w:rStyle w:val="32"/>
          <w:rFonts w:hint="eastAsia" w:ascii="仿宋_GB2312" w:hAnsi="仿宋_GB2312" w:eastAsia="仿宋_GB2312" w:cs="仿宋_GB2312"/>
          <w:b/>
          <w:bCs w:val="0"/>
        </w:rPr>
        <w:t>是做好中省扶持壮大村级集体经济。</w:t>
      </w:r>
      <w:r>
        <w:rPr>
          <w:rFonts w:hint="eastAsia" w:ascii="仿宋_GB2312" w:hAnsi="仿宋_GB2312" w:eastAsia="仿宋_GB2312" w:cs="仿宋_GB2312"/>
          <w:b w:val="0"/>
          <w:bCs/>
        </w:rPr>
        <w:t>按照“中省尽力补助、市县适当投入”原则，每个村一次性补助100万元，其中中央和省级财政补助80万元/村，州县财政配套20万元/村。2020年定向扶持安曲镇下哈拉玛村游客接待中心、龙日乡格玛村购买商铺。</w:t>
      </w:r>
      <w:r>
        <w:rPr>
          <w:rFonts w:hint="eastAsia" w:ascii="仿宋_GB2312" w:hAnsi="仿宋_GB2312" w:eastAsia="仿宋_GB2312" w:cs="仿宋_GB2312"/>
          <w:b/>
          <w:bCs w:val="0"/>
          <w:szCs w:val="22"/>
          <w:lang w:val="en-US" w:eastAsia="zh-CN"/>
        </w:rPr>
        <w:t>八是全面抓</w:t>
      </w:r>
      <w:r>
        <w:rPr>
          <w:rFonts w:hint="eastAsia" w:hAnsi="仿宋_GB2312" w:cs="仿宋_GB2312"/>
          <w:b/>
          <w:bCs w:val="0"/>
          <w:szCs w:val="22"/>
          <w:lang w:val="en-US" w:eastAsia="zh-CN"/>
        </w:rPr>
        <w:t>好</w:t>
      </w:r>
      <w:r>
        <w:rPr>
          <w:rFonts w:hint="eastAsia" w:ascii="仿宋_GB2312" w:hAnsi="仿宋_GB2312" w:eastAsia="仿宋_GB2312" w:cs="仿宋_GB2312"/>
          <w:b/>
          <w:bCs w:val="0"/>
          <w:szCs w:val="22"/>
          <w:lang w:val="en-US" w:eastAsia="zh-CN"/>
        </w:rPr>
        <w:t>机关党建工作。</w:t>
      </w:r>
      <w:r>
        <w:rPr>
          <w:rFonts w:hint="eastAsia" w:ascii="仿宋_GB2312" w:hAnsi="仿宋_GB2312" w:eastAsia="仿宋_GB2312" w:cs="仿宋_GB2312"/>
          <w:b w:val="0"/>
          <w:bCs/>
          <w:szCs w:val="22"/>
          <w:lang w:val="en-US" w:eastAsia="zh-CN"/>
        </w:rPr>
        <w:t>顺利完成全县21个省州驻县单位、79个县直机关单位、8个非公经济组织、1个国有企业党支部换届工作。</w:t>
      </w:r>
      <w:r>
        <w:rPr>
          <w:rFonts w:hint="eastAsia" w:ascii="仿宋_GB2312" w:hAnsi="仿宋_GB2312" w:eastAsia="仿宋_GB2312" w:cs="仿宋_GB2312"/>
          <w:b w:val="0"/>
          <w:bCs/>
          <w:szCs w:val="22"/>
        </w:rPr>
        <w:t>对全县16所中小学校、2所公立幼儿园开展专题调研，拟定《全面加强全县中小学校党建工作的十二条措施》</w:t>
      </w:r>
      <w:r>
        <w:rPr>
          <w:rFonts w:hint="eastAsia" w:ascii="仿宋_GB2312" w:hAnsi="仿宋_GB2312" w:eastAsia="仿宋_GB2312" w:cs="仿宋_GB2312"/>
          <w:b w:val="0"/>
          <w:bCs/>
          <w:szCs w:val="22"/>
          <w:lang w:eastAsia="zh-CN"/>
        </w:rPr>
        <w:t>。</w:t>
      </w:r>
      <w:r>
        <w:rPr>
          <w:rFonts w:hint="eastAsia" w:ascii="仿宋_GB2312" w:hAnsi="仿宋_GB2312" w:eastAsia="仿宋_GB2312" w:cs="仿宋_GB2312"/>
          <w:b/>
          <w:bCs w:val="0"/>
          <w:szCs w:val="22"/>
          <w:lang w:val="en-US" w:eastAsia="zh-CN"/>
        </w:rPr>
        <w:t>九持续抓</w:t>
      </w:r>
      <w:r>
        <w:rPr>
          <w:rFonts w:hint="eastAsia" w:hAnsi="仿宋_GB2312" w:cs="仿宋_GB2312"/>
          <w:b/>
          <w:bCs w:val="0"/>
          <w:szCs w:val="22"/>
          <w:lang w:val="en-US" w:eastAsia="zh-CN"/>
        </w:rPr>
        <w:t>好</w:t>
      </w:r>
      <w:r>
        <w:rPr>
          <w:rFonts w:hint="eastAsia" w:ascii="仿宋_GB2312" w:hAnsi="仿宋_GB2312" w:eastAsia="仿宋_GB2312" w:cs="仿宋_GB2312"/>
          <w:b/>
          <w:bCs w:val="0"/>
          <w:szCs w:val="22"/>
          <w:lang w:val="en-US" w:eastAsia="zh-CN"/>
        </w:rPr>
        <w:t>“两新”组织党建。</w:t>
      </w:r>
      <w:r>
        <w:rPr>
          <w:rFonts w:hint="eastAsia" w:ascii="仿宋_GB2312" w:hAnsi="仿宋_GB2312" w:eastAsia="仿宋_GB2312" w:cs="仿宋_GB2312"/>
          <w:b w:val="0"/>
          <w:bCs/>
          <w:szCs w:val="22"/>
        </w:rPr>
        <w:t>组织召开非公有制经济组织和社会组织党建工作第一次联席会议，制定审议《红原县非公有制经济组织和社会组织党建工作联席会议工作规则》《红原县非公有制经济组织和社会组织党建工作指导员选派实施细则（试行）》，明确3名部班子成员和5名行业部门分管领导，分片联系指导各非公企业和社会组织党建工作。</w:t>
      </w:r>
    </w:p>
    <w:p>
      <w:pPr>
        <w:pStyle w:val="13"/>
        <w:keepNext w:val="0"/>
        <w:keepLines w:val="0"/>
        <w:pageBreakBefore w:val="0"/>
        <w:widowControl w:val="0"/>
        <w:kinsoku/>
        <w:wordWrap/>
        <w:overflowPunct/>
        <w:topLinePunct w:val="0"/>
        <w:autoSpaceDE/>
        <w:autoSpaceDN/>
        <w:bidi w:val="0"/>
        <w:adjustRightInd/>
        <w:spacing w:line="576" w:lineRule="exact"/>
        <w:ind w:firstLine="634"/>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bCs/>
          <w:color w:val="000000"/>
          <w:szCs w:val="32"/>
        </w:rPr>
        <w:t>（三）抓实党建促脱贫。</w:t>
      </w:r>
      <w:r>
        <w:rPr>
          <w:rFonts w:hint="eastAsia" w:ascii="仿宋_GB2312" w:hAnsi="仿宋_GB2312" w:eastAsia="仿宋_GB2312" w:cs="仿宋_GB2312"/>
          <w:b/>
          <w:bCs w:val="0"/>
          <w:color w:val="auto"/>
          <w:szCs w:val="22"/>
          <w:lang w:val="en-US" w:eastAsia="zh-CN"/>
        </w:rPr>
        <w:t>一是常态抓“联户联情”群众工作。</w:t>
      </w:r>
      <w:r>
        <w:rPr>
          <w:rFonts w:hint="eastAsia" w:ascii="仿宋_GB2312" w:hAnsi="仿宋_GB2312" w:eastAsia="仿宋_GB2312" w:cs="仿宋_GB2312"/>
          <w:b w:val="0"/>
          <w:bCs/>
          <w:color w:val="auto"/>
          <w:szCs w:val="22"/>
          <w:lang w:val="en-US" w:eastAsia="zh-CN"/>
        </w:rPr>
        <w:t>制发《红原县“联户联情”群众工作深化行动实施方案》，围绕“三包三联”活动开展，落实“3445”工作举措，着力推动“联户联情”工作出实效。推行“每周联席会、群众工作月、季度研判会”等制度，先后</w:t>
      </w:r>
      <w:r>
        <w:rPr>
          <w:rFonts w:hint="eastAsia" w:hAnsi="仿宋_GB2312" w:cs="仿宋_GB2312"/>
          <w:b w:val="0"/>
          <w:bCs/>
          <w:color w:val="auto"/>
          <w:szCs w:val="22"/>
          <w:lang w:val="en-US" w:eastAsia="zh-CN"/>
        </w:rPr>
        <w:t>开展</w:t>
      </w:r>
      <w:r>
        <w:rPr>
          <w:rFonts w:hint="eastAsia" w:ascii="仿宋_GB2312" w:hAnsi="仿宋_GB2312" w:eastAsia="仿宋_GB2312" w:cs="仿宋_GB2312"/>
          <w:b w:val="0"/>
          <w:bCs/>
          <w:color w:val="auto"/>
          <w:szCs w:val="22"/>
          <w:lang w:val="en-US" w:eastAsia="zh-CN"/>
        </w:rPr>
        <w:t>“联户联情”挂牌督战</w:t>
      </w:r>
      <w:r>
        <w:rPr>
          <w:rFonts w:hint="eastAsia" w:hAnsi="仿宋_GB2312" w:cs="仿宋_GB2312"/>
          <w:b w:val="0"/>
          <w:bCs/>
          <w:color w:val="auto"/>
          <w:szCs w:val="22"/>
          <w:lang w:val="en-US" w:eastAsia="zh-CN"/>
        </w:rPr>
        <w:t>3次</w:t>
      </w:r>
      <w:r>
        <w:rPr>
          <w:rFonts w:hint="eastAsia" w:ascii="仿宋_GB2312" w:hAnsi="仿宋_GB2312" w:eastAsia="仿宋_GB2312" w:cs="仿宋_GB2312"/>
          <w:b w:val="0"/>
          <w:bCs/>
          <w:color w:val="auto"/>
          <w:szCs w:val="22"/>
          <w:lang w:val="en-US" w:eastAsia="zh-CN"/>
        </w:rPr>
        <w:t>，督促各级各部门抓实“联户联情”工作纪实和痕迹管理。</w:t>
      </w:r>
      <w:r>
        <w:rPr>
          <w:rFonts w:hint="eastAsia" w:ascii="仿宋_GB2312" w:hAnsi="仿宋_GB2312" w:eastAsia="仿宋_GB2312" w:cs="仿宋_GB2312"/>
          <w:b/>
          <w:bCs w:val="0"/>
          <w:color w:val="auto"/>
          <w:szCs w:val="22"/>
          <w:lang w:val="en-US" w:eastAsia="zh-CN"/>
        </w:rPr>
        <w:t>二是抓实“五个一”联系帮扶工作。</w:t>
      </w:r>
      <w:r>
        <w:rPr>
          <w:rFonts w:hint="eastAsia" w:ascii="仿宋_GB2312" w:hAnsi="仿宋_GB2312" w:eastAsia="仿宋_GB2312" w:cs="仿宋_GB2312"/>
          <w:b w:val="0"/>
          <w:bCs/>
          <w:color w:val="auto"/>
          <w:szCs w:val="22"/>
          <w:lang w:val="en-US" w:eastAsia="zh-CN"/>
        </w:rPr>
        <w:t>深入</w:t>
      </w:r>
      <w:r>
        <w:rPr>
          <w:rFonts w:hint="default" w:ascii="仿宋_GB2312" w:hAnsi="仿宋_GB2312" w:eastAsia="仿宋_GB2312" w:cs="仿宋_GB2312"/>
          <w:b w:val="0"/>
          <w:bCs/>
          <w:color w:val="auto"/>
          <w:szCs w:val="22"/>
          <w:lang w:val="en-US" w:eastAsia="zh-CN"/>
        </w:rPr>
        <w:t>全县1</w:t>
      </w:r>
      <w:r>
        <w:rPr>
          <w:rFonts w:hint="eastAsia" w:ascii="仿宋_GB2312" w:hAnsi="仿宋_GB2312" w:eastAsia="仿宋_GB2312" w:cs="仿宋_GB2312"/>
          <w:b w:val="0"/>
          <w:bCs/>
          <w:color w:val="auto"/>
          <w:szCs w:val="22"/>
          <w:lang w:val="en-US" w:eastAsia="zh-CN"/>
        </w:rPr>
        <w:t>0</w:t>
      </w:r>
      <w:r>
        <w:rPr>
          <w:rFonts w:hint="default" w:ascii="仿宋_GB2312" w:hAnsi="仿宋_GB2312" w:eastAsia="仿宋_GB2312" w:cs="仿宋_GB2312"/>
          <w:b w:val="0"/>
          <w:bCs/>
          <w:color w:val="auto"/>
          <w:szCs w:val="22"/>
          <w:lang w:val="en-US" w:eastAsia="zh-CN"/>
        </w:rPr>
        <w:t>个</w:t>
      </w:r>
      <w:r>
        <w:rPr>
          <w:rFonts w:hint="eastAsia" w:ascii="仿宋_GB2312" w:hAnsi="仿宋_GB2312" w:eastAsia="仿宋_GB2312" w:cs="仿宋_GB2312"/>
          <w:b w:val="0"/>
          <w:bCs/>
          <w:color w:val="auto"/>
          <w:szCs w:val="22"/>
          <w:lang w:val="en-US" w:eastAsia="zh-CN"/>
        </w:rPr>
        <w:t>乡镇13个</w:t>
      </w:r>
      <w:r>
        <w:rPr>
          <w:rFonts w:hint="default" w:ascii="仿宋_GB2312" w:hAnsi="仿宋_GB2312" w:eastAsia="仿宋_GB2312" w:cs="仿宋_GB2312"/>
          <w:b w:val="0"/>
          <w:bCs/>
          <w:color w:val="auto"/>
          <w:szCs w:val="22"/>
          <w:lang w:val="en-US" w:eastAsia="zh-CN"/>
        </w:rPr>
        <w:t>贫困村</w:t>
      </w:r>
      <w:r>
        <w:rPr>
          <w:rFonts w:hint="eastAsia" w:ascii="仿宋_GB2312" w:hAnsi="仿宋_GB2312" w:eastAsia="仿宋_GB2312" w:cs="仿宋_GB2312"/>
          <w:b w:val="0"/>
          <w:bCs/>
          <w:color w:val="auto"/>
          <w:szCs w:val="22"/>
          <w:lang w:val="en-US" w:eastAsia="zh-CN"/>
        </w:rPr>
        <w:t>开展挂牌督战</w:t>
      </w:r>
      <w:r>
        <w:rPr>
          <w:rFonts w:hint="eastAsia" w:hAnsi="仿宋_GB2312" w:cs="仿宋_GB2312"/>
          <w:b w:val="0"/>
          <w:bCs/>
          <w:color w:val="auto"/>
          <w:szCs w:val="22"/>
          <w:lang w:val="en-US" w:eastAsia="zh-CN"/>
        </w:rPr>
        <w:t>3次</w:t>
      </w:r>
      <w:r>
        <w:rPr>
          <w:rFonts w:hint="eastAsia" w:ascii="仿宋_GB2312" w:hAnsi="仿宋_GB2312" w:eastAsia="仿宋_GB2312" w:cs="仿宋_GB2312"/>
          <w:b w:val="0"/>
          <w:bCs/>
          <w:color w:val="auto"/>
          <w:szCs w:val="22"/>
          <w:lang w:val="en-US" w:eastAsia="zh-CN"/>
        </w:rPr>
        <w:t>，</w:t>
      </w:r>
      <w:r>
        <w:rPr>
          <w:rFonts w:hint="eastAsia" w:ascii="仿宋_GB2312" w:hAnsi="仿宋_GB2312" w:eastAsia="仿宋_GB2312" w:cs="仿宋_GB2312"/>
          <w:sz w:val="32"/>
          <w:szCs w:val="32"/>
        </w:rPr>
        <w:t>建立“问题+措施+责任+时限+任务”台账</w:t>
      </w:r>
      <w:r>
        <w:rPr>
          <w:rFonts w:hint="eastAsia" w:ascii="仿宋_GB2312" w:hAnsi="仿宋_GB2312" w:eastAsia="仿宋_GB2312" w:cs="仿宋_GB2312"/>
          <w:b w:val="0"/>
          <w:bCs/>
          <w:color w:val="auto"/>
          <w:szCs w:val="22"/>
          <w:lang w:val="en-US" w:eastAsia="zh-CN"/>
        </w:rPr>
        <w:t>，</w:t>
      </w:r>
      <w:r>
        <w:rPr>
          <w:rFonts w:hint="eastAsia" w:hAnsi="仿宋_GB2312" w:cs="仿宋_GB2312"/>
          <w:b w:val="0"/>
          <w:bCs/>
          <w:color w:val="auto"/>
          <w:szCs w:val="22"/>
          <w:lang w:val="en-US" w:eastAsia="zh-CN"/>
        </w:rPr>
        <w:t>同时</w:t>
      </w:r>
      <w:r>
        <w:rPr>
          <w:rFonts w:hint="eastAsia" w:ascii="仿宋_GB2312" w:hAnsi="仿宋_GB2312" w:eastAsia="仿宋_GB2312" w:cs="仿宋_GB2312"/>
          <w:b w:val="0"/>
          <w:bCs/>
          <w:color w:val="auto"/>
          <w:szCs w:val="22"/>
          <w:lang w:val="en-US" w:eastAsia="zh-CN"/>
        </w:rPr>
        <w:t>坚持每季度组织召开第一书记座谈会</w:t>
      </w:r>
      <w:r>
        <w:rPr>
          <w:rFonts w:hint="eastAsia" w:hAnsi="仿宋_GB2312" w:cs="仿宋_GB2312"/>
          <w:b w:val="0"/>
          <w:bCs/>
          <w:color w:val="auto"/>
          <w:szCs w:val="22"/>
          <w:lang w:val="en-US" w:eastAsia="zh-CN"/>
        </w:rPr>
        <w:t>。</w:t>
      </w:r>
      <w:r>
        <w:rPr>
          <w:rFonts w:hint="eastAsia" w:ascii="仿宋_GB2312" w:hAnsi="仿宋_GB2312" w:eastAsia="仿宋_GB2312" w:cs="仿宋_GB2312"/>
          <w:color w:val="000000"/>
          <w:spacing w:val="4"/>
          <w:sz w:val="32"/>
          <w:szCs w:val="32"/>
        </w:rPr>
        <w:t>严格落实《关爱激励脱贫攻坚一线干部十五条办法》，</w:t>
      </w:r>
      <w:r>
        <w:rPr>
          <w:rFonts w:hint="eastAsia" w:ascii="仿宋_GB2312" w:hAnsi="仿宋_GB2312" w:eastAsia="仿宋_GB2312" w:cs="仿宋_GB2312"/>
          <w:color w:val="000000"/>
          <w:sz w:val="32"/>
          <w:szCs w:val="32"/>
        </w:rPr>
        <w:t>及时落实</w:t>
      </w:r>
      <w:r>
        <w:rPr>
          <w:rFonts w:hint="eastAsia" w:ascii="仿宋_GB2312" w:hAnsi="仿宋_GB2312" w:eastAsia="仿宋_GB2312" w:cs="仿宋_GB2312"/>
          <w:sz w:val="32"/>
          <w:szCs w:val="32"/>
        </w:rPr>
        <w:t>驻村</w:t>
      </w:r>
      <w:r>
        <w:rPr>
          <w:rFonts w:hint="eastAsia" w:ascii="仿宋_GB2312" w:hAnsi="仿宋_GB2312" w:eastAsia="仿宋_GB2312" w:cs="仿宋_GB2312"/>
          <w:color w:val="000000"/>
          <w:sz w:val="32"/>
          <w:szCs w:val="32"/>
        </w:rPr>
        <w:t>工作经费、兑现生活补贴，</w:t>
      </w:r>
      <w:r>
        <w:rPr>
          <w:rFonts w:hint="eastAsia" w:hAnsi="仿宋_GB2312" w:cs="仿宋_GB2312"/>
          <w:color w:val="000000"/>
          <w:sz w:val="32"/>
          <w:szCs w:val="32"/>
          <w:lang w:eastAsia="zh-CN"/>
        </w:rPr>
        <w:t>推荐</w:t>
      </w:r>
      <w:r>
        <w:rPr>
          <w:rFonts w:hint="eastAsia" w:hAnsi="仿宋_GB2312" w:cs="仿宋_GB2312"/>
          <w:sz w:val="32"/>
          <w:szCs w:val="32"/>
          <w:lang w:eastAsia="zh-CN"/>
        </w:rPr>
        <w:t>提拔</w:t>
      </w:r>
      <w:r>
        <w:rPr>
          <w:rFonts w:hint="eastAsia" w:hAnsi="仿宋_GB2312" w:cs="仿宋_GB2312"/>
          <w:sz w:val="32"/>
          <w:szCs w:val="32"/>
          <w:lang w:val="en-US" w:eastAsia="zh-CN"/>
        </w:rPr>
        <w:t>6名第一书记，</w:t>
      </w:r>
      <w:r>
        <w:rPr>
          <w:rFonts w:hint="eastAsia" w:ascii="仿宋_GB2312" w:hAnsi="仿宋_GB2312" w:eastAsia="仿宋_GB2312" w:cs="仿宋_GB2312"/>
          <w:sz w:val="32"/>
          <w:szCs w:val="32"/>
        </w:rPr>
        <w:t>6名省内对口帮扶藏区贫困县、1名优秀第一书记、3名驻村工作队员获省级表扬。</w:t>
      </w:r>
    </w:p>
    <w:p>
      <w:pPr>
        <w:pStyle w:val="13"/>
        <w:keepNext w:val="0"/>
        <w:keepLines w:val="0"/>
        <w:pageBreakBefore w:val="0"/>
        <w:widowControl w:val="0"/>
        <w:kinsoku/>
        <w:wordWrap/>
        <w:overflowPunct/>
        <w:topLinePunct w:val="0"/>
        <w:autoSpaceDE/>
        <w:autoSpaceDN/>
        <w:bidi w:val="0"/>
        <w:adjustRightInd/>
        <w:spacing w:line="576" w:lineRule="exact"/>
        <w:ind w:firstLine="634"/>
        <w:textAlignment w:val="auto"/>
        <w:rPr>
          <w:rFonts w:hint="eastAsia" w:hAnsi="仿宋_GB2312" w:cs="仿宋_GB2312"/>
          <w:szCs w:val="32"/>
        </w:rPr>
      </w:pPr>
      <w:r>
        <w:rPr>
          <w:rFonts w:hint="eastAsia" w:ascii="楷体_GB2312" w:hAnsi="楷体_GB2312" w:eastAsia="楷体_GB2312" w:cs="楷体_GB2312"/>
          <w:b/>
          <w:bCs/>
          <w:color w:val="000000"/>
          <w:szCs w:val="32"/>
          <w:lang w:eastAsia="zh-CN"/>
        </w:rPr>
        <w:t>（四）抓实干部队伍建设。</w:t>
      </w:r>
      <w:r>
        <w:rPr>
          <w:rFonts w:hint="eastAsia" w:hAnsi="仿宋_GB2312" w:cs="仿宋_GB2312"/>
          <w:b/>
          <w:szCs w:val="32"/>
        </w:rPr>
        <w:t>一是突出政治标准配班子。</w:t>
      </w:r>
      <w:r>
        <w:rPr>
          <w:rFonts w:hint="eastAsia" w:hAnsi="仿宋_GB2312" w:cs="仿宋_GB2312"/>
          <w:bCs/>
          <w:szCs w:val="32"/>
        </w:rPr>
        <w:t>坚持鲜明用人导向，注重“五个一线”选拔干部。今年以来，</w:t>
      </w:r>
      <w:r>
        <w:rPr>
          <w:rFonts w:hint="eastAsia" w:hAnsi="仿宋_GB2312" w:cs="仿宋_GB2312"/>
          <w:szCs w:val="32"/>
        </w:rPr>
        <w:t>共调整</w:t>
      </w:r>
      <w:r>
        <w:rPr>
          <w:rFonts w:hint="eastAsia" w:hAnsi="仿宋_GB2312" w:cs="仿宋_GB2312"/>
          <w:szCs w:val="32"/>
          <w:lang w:val="en-US" w:eastAsia="zh-CN"/>
        </w:rPr>
        <w:t>4</w:t>
      </w:r>
      <w:r>
        <w:rPr>
          <w:rFonts w:hint="eastAsia" w:hAnsi="仿宋_GB2312" w:cs="仿宋_GB2312"/>
          <w:szCs w:val="32"/>
        </w:rPr>
        <w:t>批次，涉及</w:t>
      </w:r>
      <w:r>
        <w:rPr>
          <w:rFonts w:hint="eastAsia" w:hAnsi="仿宋_GB2312" w:cs="仿宋_GB2312"/>
          <w:szCs w:val="32"/>
          <w:lang w:val="en-US" w:eastAsia="zh-CN"/>
        </w:rPr>
        <w:t>144</w:t>
      </w:r>
      <w:r>
        <w:rPr>
          <w:rFonts w:hint="eastAsia" w:hAnsi="仿宋_GB2312" w:cs="仿宋_GB2312"/>
          <w:szCs w:val="32"/>
        </w:rPr>
        <w:t>人，其中，交流</w:t>
      </w:r>
      <w:r>
        <w:rPr>
          <w:rFonts w:hint="eastAsia" w:hAnsi="仿宋_GB2312" w:cs="仿宋_GB2312"/>
          <w:szCs w:val="32"/>
          <w:lang w:val="en-US" w:eastAsia="zh-CN"/>
        </w:rPr>
        <w:t>30</w:t>
      </w:r>
      <w:r>
        <w:rPr>
          <w:rFonts w:hint="eastAsia" w:hAnsi="仿宋_GB2312" w:cs="仿宋_GB2312"/>
          <w:szCs w:val="32"/>
        </w:rPr>
        <w:t>人，提拔</w:t>
      </w:r>
      <w:r>
        <w:rPr>
          <w:rFonts w:hint="eastAsia" w:hAnsi="仿宋_GB2312" w:cs="仿宋_GB2312"/>
          <w:szCs w:val="32"/>
          <w:lang w:val="en-US" w:eastAsia="zh-CN"/>
        </w:rPr>
        <w:t>56人</w:t>
      </w:r>
      <w:r>
        <w:rPr>
          <w:rFonts w:hint="eastAsia" w:hAnsi="仿宋_GB2312" w:cs="仿宋_GB2312"/>
          <w:szCs w:val="32"/>
        </w:rPr>
        <w:t>，调任2人，转任2人，重新任职2人，乡镇区划调整继任5人（含兼职1人），机构改革调整1</w:t>
      </w:r>
      <w:r>
        <w:rPr>
          <w:rFonts w:hint="eastAsia" w:hAnsi="仿宋_GB2312" w:cs="仿宋_GB2312"/>
          <w:szCs w:val="32"/>
          <w:lang w:val="en-US" w:eastAsia="zh-CN"/>
        </w:rPr>
        <w:t>9</w:t>
      </w:r>
      <w:r>
        <w:rPr>
          <w:rFonts w:hint="eastAsia" w:hAnsi="仿宋_GB2312" w:cs="仿宋_GB2312"/>
          <w:szCs w:val="32"/>
        </w:rPr>
        <w:t>人（含继任</w:t>
      </w:r>
      <w:r>
        <w:rPr>
          <w:rFonts w:hint="eastAsia" w:hAnsi="仿宋_GB2312" w:cs="仿宋_GB2312"/>
          <w:szCs w:val="32"/>
          <w:lang w:val="en-US" w:eastAsia="zh-CN"/>
        </w:rPr>
        <w:t>14</w:t>
      </w:r>
      <w:r>
        <w:rPr>
          <w:rFonts w:hint="eastAsia" w:hAnsi="仿宋_GB2312" w:cs="仿宋_GB2312"/>
          <w:szCs w:val="32"/>
        </w:rPr>
        <w:t>人，兼任2人，免职3人），</w:t>
      </w:r>
      <w:r>
        <w:rPr>
          <w:rFonts w:hint="eastAsia"/>
          <w:b w:val="0"/>
          <w:bCs w:val="0"/>
        </w:rPr>
        <w:t>援藏选配8人，免职20人（含调出免职2人）</w:t>
      </w:r>
      <w:r>
        <w:rPr>
          <w:rFonts w:hint="eastAsia"/>
          <w:b w:val="0"/>
          <w:bCs w:val="0"/>
          <w:lang w:eastAsia="zh-CN"/>
        </w:rPr>
        <w:t>，</w:t>
      </w:r>
      <w:r>
        <w:rPr>
          <w:rFonts w:hint="eastAsia"/>
          <w:b w:val="0"/>
          <w:bCs w:val="0"/>
        </w:rPr>
        <w:t>完成155人的第二次职级晋升工作。</w:t>
      </w:r>
      <w:r>
        <w:rPr>
          <w:rFonts w:hint="eastAsia" w:hAnsi="仿宋_GB2312" w:cs="仿宋_GB2312"/>
          <w:b/>
          <w:szCs w:val="32"/>
        </w:rPr>
        <w:t>二是</w:t>
      </w:r>
      <w:r>
        <w:rPr>
          <w:rFonts w:hint="eastAsia" w:hAnsi="仿宋_GB2312" w:cs="仿宋_GB2312"/>
          <w:b/>
          <w:bCs/>
          <w:szCs w:val="32"/>
        </w:rPr>
        <w:t>突出关怀激励爱干部。</w:t>
      </w:r>
      <w:r>
        <w:rPr>
          <w:rFonts w:hint="eastAsia" w:hAnsi="仿宋_GB2312" w:cs="仿宋_GB2312"/>
          <w:szCs w:val="32"/>
        </w:rPr>
        <w:t>制发《关于进一步畅通党政人才、专业技术人才、企业经营管理人才流动通道激励干部人才担当作为试点工作方案》《关于进一步关心爱护干部职工激励干事创业担当作为的十二条措施》。</w:t>
      </w:r>
    </w:p>
    <w:p>
      <w:pPr>
        <w:pStyle w:val="13"/>
        <w:keepNext w:val="0"/>
        <w:keepLines w:val="0"/>
        <w:pageBreakBefore w:val="0"/>
        <w:widowControl w:val="0"/>
        <w:kinsoku/>
        <w:wordWrap/>
        <w:overflowPunct/>
        <w:topLinePunct w:val="0"/>
        <w:autoSpaceDE/>
        <w:autoSpaceDN/>
        <w:bidi w:val="0"/>
        <w:adjustRightInd/>
        <w:spacing w:line="576" w:lineRule="exact"/>
        <w:ind w:firstLine="634"/>
        <w:textAlignment w:val="auto"/>
        <w:rPr>
          <w:rFonts w:hint="eastAsia" w:ascii="仿宋_GB2312" w:hAnsi="宋体" w:eastAsia="仿宋_GB2312"/>
          <w:color w:val="auto"/>
          <w:sz w:val="32"/>
          <w:szCs w:val="32"/>
          <w:lang w:val="en-US" w:eastAsia="zh-CN"/>
        </w:rPr>
      </w:pPr>
      <w:r>
        <w:rPr>
          <w:rFonts w:hint="eastAsia" w:ascii="楷体_GB2312" w:hAnsi="楷体_GB2312" w:eastAsia="楷体_GB2312" w:cs="楷体_GB2312"/>
          <w:b/>
          <w:bCs/>
          <w:color w:val="000000"/>
          <w:szCs w:val="32"/>
          <w:lang w:eastAsia="zh-CN"/>
        </w:rPr>
        <w:t>（五）抓实人才强县工作。</w:t>
      </w:r>
      <w:r>
        <w:rPr>
          <w:rFonts w:hint="eastAsia" w:ascii="仿宋_GB2312" w:hAnsi="仿宋_GB2312" w:eastAsia="仿宋_GB2312" w:cs="仿宋_GB2312"/>
          <w:b/>
          <w:bCs/>
          <w:color w:val="000000"/>
          <w:sz w:val="32"/>
          <w:szCs w:val="32"/>
        </w:rPr>
        <w:t>一是招才引智优化人才结构。</w:t>
      </w:r>
      <w:r>
        <w:rPr>
          <w:rFonts w:hint="eastAsia"/>
          <w:b w:val="0"/>
          <w:bCs/>
        </w:rPr>
        <w:t>开展“硕博进阿坝行动”，</w:t>
      </w:r>
      <w:r>
        <w:rPr>
          <w:rFonts w:hint="eastAsia" w:ascii="仿宋_GB2312" w:hAnsi="仿宋_GB2312" w:eastAsia="仿宋_GB2312" w:cs="仿宋_GB2312"/>
          <w:sz w:val="32"/>
          <w:szCs w:val="32"/>
          <w:lang w:val="en-US" w:eastAsia="zh-CN"/>
        </w:rPr>
        <w:t>与1名人才签订就业协议</w:t>
      </w:r>
      <w:r>
        <w:rPr>
          <w:rFonts w:hint="eastAsia"/>
          <w:b w:val="0"/>
          <w:bCs/>
        </w:rPr>
        <w:t>。</w:t>
      </w:r>
      <w:r>
        <w:rPr>
          <w:rFonts w:hint="eastAsia" w:ascii="仿宋_GB2312" w:hAnsi="仿宋_GB2312" w:eastAsia="仿宋_GB2312" w:cs="仿宋_GB2312"/>
          <w:b w:val="0"/>
          <w:bCs w:val="0"/>
          <w:sz w:val="32"/>
          <w:szCs w:val="32"/>
          <w:lang w:val="en-US" w:eastAsia="zh-CN"/>
        </w:rPr>
        <w:t>依托</w:t>
      </w:r>
      <w:r>
        <w:rPr>
          <w:rFonts w:hint="eastAsia" w:ascii="仿宋" w:hAnsi="仿宋" w:eastAsia="仿宋" w:cs="仿宋"/>
          <w:b w:val="0"/>
          <w:bCs w:val="0"/>
          <w:color w:val="auto"/>
          <w:kern w:val="24"/>
          <w:sz w:val="32"/>
          <w:szCs w:val="32"/>
        </w:rPr>
        <w:t>“深度贫困县人才振兴工程”</w:t>
      </w:r>
      <w:r>
        <w:rPr>
          <w:rFonts w:hint="eastAsia" w:ascii="仿宋" w:hAnsi="仿宋" w:eastAsia="仿宋" w:cs="仿宋"/>
          <w:b w:val="0"/>
          <w:bCs w:val="0"/>
          <w:color w:val="auto"/>
          <w:kern w:val="24"/>
          <w:sz w:val="32"/>
          <w:szCs w:val="32"/>
          <w:lang w:eastAsia="zh-CN"/>
        </w:rPr>
        <w:t>，</w:t>
      </w:r>
      <w:r>
        <w:rPr>
          <w:rFonts w:hint="eastAsia" w:ascii="仿宋_GB2312" w:hAnsi="仿宋_GB2312" w:eastAsia="仿宋_GB2312" w:cs="仿宋_GB2312"/>
          <w:sz w:val="32"/>
          <w:szCs w:val="32"/>
          <w:lang w:val="en-US" w:eastAsia="zh-CN"/>
        </w:rPr>
        <w:t>与7名紧缺专业</w:t>
      </w:r>
      <w:r>
        <w:rPr>
          <w:rFonts w:hint="eastAsia" w:hAnsi="仿宋_GB2312" w:cs="仿宋_GB2312"/>
          <w:sz w:val="32"/>
          <w:szCs w:val="32"/>
          <w:lang w:val="en-US" w:eastAsia="zh-CN"/>
        </w:rPr>
        <w:t>人才</w:t>
      </w:r>
      <w:r>
        <w:rPr>
          <w:rFonts w:hint="eastAsia" w:ascii="仿宋_GB2312" w:hAnsi="仿宋_GB2312" w:eastAsia="仿宋_GB2312" w:cs="仿宋_GB2312"/>
          <w:sz w:val="32"/>
          <w:szCs w:val="32"/>
          <w:lang w:val="en-US" w:eastAsia="zh-CN"/>
        </w:rPr>
        <w:t>签订定向培养协议，</w:t>
      </w:r>
      <w:r>
        <w:rPr>
          <w:rFonts w:hint="eastAsia" w:ascii="仿宋_GB2312" w:hAnsi="仿宋_GB2312" w:eastAsia="仿宋_GB2312" w:cs="仿宋_GB2312"/>
          <w:color w:val="000000"/>
          <w:sz w:val="32"/>
          <w:szCs w:val="32"/>
        </w:rPr>
        <w:t>年轻干部铸魂工程遴选</w:t>
      </w:r>
      <w:r>
        <w:rPr>
          <w:rFonts w:hint="eastAsia" w:hAnsi="仿宋_GB2312" w:cs="仿宋_GB2312"/>
          <w:color w:val="000000"/>
          <w:sz w:val="32"/>
          <w:szCs w:val="32"/>
          <w:lang w:val="en-US" w:eastAsia="zh-CN"/>
        </w:rPr>
        <w:t>14</w:t>
      </w:r>
      <w:r>
        <w:rPr>
          <w:rFonts w:hint="eastAsia" w:ascii="仿宋_GB2312" w:hAnsi="仿宋_GB2312" w:eastAsia="仿宋_GB2312" w:cs="仿宋_GB2312"/>
          <w:color w:val="000000"/>
          <w:sz w:val="32"/>
          <w:szCs w:val="32"/>
        </w:rPr>
        <w:t>名优秀年轻干部人才</w:t>
      </w:r>
      <w:r>
        <w:rPr>
          <w:rFonts w:hint="eastAsia" w:hAnsi="仿宋_GB2312" w:cs="仿宋_GB2312"/>
          <w:color w:val="000000"/>
          <w:sz w:val="32"/>
          <w:szCs w:val="32"/>
          <w:lang w:eastAsia="zh-CN"/>
        </w:rPr>
        <w:t>。</w:t>
      </w:r>
      <w:r>
        <w:rPr>
          <w:rFonts w:hint="eastAsia" w:hAnsi="仿宋_GB2312" w:cs="仿宋_GB2312"/>
          <w:b/>
          <w:bCs/>
          <w:color w:val="000000"/>
          <w:szCs w:val="32"/>
          <w:lang w:eastAsia="zh-CN"/>
        </w:rPr>
        <w:t>二</w:t>
      </w:r>
      <w:r>
        <w:rPr>
          <w:rFonts w:hint="eastAsia" w:hAnsi="仿宋_GB2312" w:cs="仿宋_GB2312"/>
          <w:b/>
          <w:bCs/>
          <w:color w:val="000000"/>
          <w:szCs w:val="32"/>
        </w:rPr>
        <w:t>是用心育才构筑人才高地。</w:t>
      </w:r>
      <w:r>
        <w:rPr>
          <w:rFonts w:hint="eastAsia" w:ascii="仿宋_GB2312" w:hAnsi="仿宋_GB2312" w:eastAsia="仿宋_GB2312" w:cs="仿宋_GB2312"/>
          <w:color w:val="000000"/>
          <w:sz w:val="32"/>
          <w:szCs w:val="32"/>
        </w:rPr>
        <w:t>选派</w:t>
      </w:r>
      <w:r>
        <w:rPr>
          <w:rFonts w:hint="eastAsia" w:hAnsi="仿宋_GB2312" w:cs="仿宋_GB2312"/>
          <w:color w:val="000000"/>
          <w:sz w:val="32"/>
          <w:szCs w:val="32"/>
          <w:lang w:val="en-US" w:eastAsia="zh-CN"/>
        </w:rPr>
        <w:t>11</w:t>
      </w:r>
      <w:r>
        <w:rPr>
          <w:rFonts w:hint="eastAsia" w:ascii="仿宋_GB2312" w:hAnsi="仿宋_GB2312" w:eastAsia="仿宋_GB2312" w:cs="仿宋_GB2312"/>
          <w:color w:val="000000"/>
          <w:sz w:val="32"/>
          <w:szCs w:val="32"/>
        </w:rPr>
        <w:t>名党政干部和</w:t>
      </w:r>
      <w:r>
        <w:rPr>
          <w:rFonts w:hint="eastAsia" w:hAnsi="仿宋_GB2312" w:cs="仿宋_GB2312"/>
          <w:color w:val="000000"/>
          <w:sz w:val="32"/>
          <w:szCs w:val="32"/>
          <w:lang w:val="en-US" w:eastAsia="zh-CN"/>
        </w:rPr>
        <w:t>2</w:t>
      </w:r>
      <w:r>
        <w:rPr>
          <w:rFonts w:hint="eastAsia" w:ascii="仿宋_GB2312" w:hAnsi="仿宋_GB2312" w:eastAsia="仿宋_GB2312" w:cs="仿宋_GB2312"/>
          <w:color w:val="000000"/>
          <w:sz w:val="32"/>
          <w:szCs w:val="32"/>
        </w:rPr>
        <w:t>专技人才顶岗挂职，</w:t>
      </w:r>
      <w:r>
        <w:rPr>
          <w:rFonts w:hint="eastAsia" w:eastAsia="仿宋_GB2312"/>
          <w:color w:val="auto"/>
          <w:sz w:val="32"/>
          <w:szCs w:val="32"/>
        </w:rPr>
        <w:t>建立由乡镇、县级部门</w:t>
      </w:r>
      <w:r>
        <w:rPr>
          <w:rFonts w:hint="eastAsia" w:ascii="仿宋_GB2312" w:hAnsi="仿宋_GB2312" w:eastAsia="仿宋_GB2312" w:cs="仿宋_GB2312"/>
          <w:color w:val="auto"/>
          <w:sz w:val="32"/>
          <w:szCs w:val="32"/>
          <w:lang w:val="en-US" w:eastAsia="zh-CN"/>
        </w:rPr>
        <w:t>279</w:t>
      </w:r>
      <w:r>
        <w:rPr>
          <w:rFonts w:hint="eastAsia" w:ascii="仿宋_GB2312" w:hAnsi="仿宋_GB2312" w:eastAsia="仿宋_GB2312" w:cs="仿宋_GB2312"/>
          <w:color w:val="auto"/>
          <w:sz w:val="32"/>
          <w:szCs w:val="32"/>
        </w:rPr>
        <w:t>名干部组成的红原县藏汉“双语</w:t>
      </w:r>
      <w:r>
        <w:rPr>
          <w:rFonts w:hint="eastAsia" w:hAnsi="仿宋_GB2312" w:cs="仿宋_GB2312"/>
          <w:color w:val="auto"/>
          <w:sz w:val="32"/>
          <w:szCs w:val="32"/>
          <w:lang w:eastAsia="zh-CN"/>
        </w:rPr>
        <w:t>”</w:t>
      </w:r>
      <w:r>
        <w:rPr>
          <w:rFonts w:hint="eastAsia" w:ascii="仿宋_GB2312" w:hAnsi="仿宋_GB2312" w:eastAsia="仿宋_GB2312" w:cs="仿宋_GB2312"/>
          <w:color w:val="000000"/>
          <w:sz w:val="32"/>
          <w:szCs w:val="32"/>
        </w:rPr>
        <w:t>师资库</w:t>
      </w:r>
      <w:r>
        <w:rPr>
          <w:rFonts w:hint="eastAsia" w:hAnsi="仿宋_GB2312" w:cs="仿宋_GB2312"/>
          <w:color w:val="auto"/>
          <w:sz w:val="32"/>
          <w:szCs w:val="32"/>
          <w:lang w:eastAsia="zh-CN"/>
        </w:rPr>
        <w:t>，</w:t>
      </w:r>
      <w:r>
        <w:rPr>
          <w:rFonts w:hint="eastAsia" w:ascii="仿宋_GB2312" w:hAnsi="仿宋_GB2312" w:eastAsia="仿宋_GB2312" w:cs="仿宋_GB2312"/>
          <w:color w:val="000000"/>
          <w:sz w:val="32"/>
          <w:szCs w:val="32"/>
        </w:rPr>
        <w:t>确定参加藏语培训</w:t>
      </w:r>
      <w:r>
        <w:rPr>
          <w:rFonts w:hint="eastAsia" w:hAnsi="仿宋_GB2312" w:cs="仿宋_GB2312"/>
          <w:color w:val="000000"/>
          <w:sz w:val="32"/>
          <w:szCs w:val="32"/>
          <w:lang w:val="en-US" w:eastAsia="zh-CN"/>
        </w:rPr>
        <w:t>1293</w:t>
      </w:r>
      <w:r>
        <w:rPr>
          <w:rFonts w:hint="eastAsia" w:ascii="仿宋_GB2312" w:hAnsi="仿宋_GB2312" w:eastAsia="仿宋_GB2312" w:cs="仿宋_GB2312"/>
          <w:color w:val="000000"/>
          <w:sz w:val="32"/>
          <w:szCs w:val="32"/>
        </w:rPr>
        <w:t>人、汉语培训</w:t>
      </w:r>
      <w:r>
        <w:rPr>
          <w:rFonts w:hint="eastAsia" w:hAnsi="仿宋_GB2312" w:cs="仿宋_GB2312"/>
          <w:color w:val="000000"/>
          <w:sz w:val="32"/>
          <w:szCs w:val="32"/>
          <w:lang w:val="en-US" w:eastAsia="zh-CN"/>
        </w:rPr>
        <w:t>200</w:t>
      </w:r>
      <w:r>
        <w:rPr>
          <w:rFonts w:hint="eastAsia" w:ascii="仿宋_GB2312" w:hAnsi="仿宋_GB2312" w:eastAsia="仿宋_GB2312" w:cs="仿宋_GB2312"/>
          <w:color w:val="000000"/>
          <w:sz w:val="32"/>
          <w:szCs w:val="32"/>
        </w:rPr>
        <w:t>人</w:t>
      </w:r>
      <w:r>
        <w:rPr>
          <w:rFonts w:hint="eastAsia" w:hAnsi="仿宋_GB2312" w:cs="仿宋_GB2312"/>
          <w:color w:val="000000"/>
          <w:sz w:val="32"/>
          <w:szCs w:val="32"/>
          <w:lang w:eastAsia="zh-CN"/>
        </w:rPr>
        <w:t>，</w:t>
      </w:r>
      <w:r>
        <w:rPr>
          <w:rFonts w:hint="eastAsia"/>
          <w:b w:val="0"/>
          <w:bCs/>
        </w:rPr>
        <w:t>在“微红原”推送10期藏汉“双语”教学视频，印制《红原县常用藏汉双语会话手册》1000</w:t>
      </w:r>
      <w:r>
        <w:rPr>
          <w:rFonts w:hint="eastAsia"/>
          <w:b w:val="0"/>
          <w:bCs/>
          <w:lang w:eastAsia="zh-CN"/>
        </w:rPr>
        <w:t>。积极</w:t>
      </w:r>
      <w:r>
        <w:rPr>
          <w:rFonts w:hint="eastAsia" w:hAnsi="仿宋_GB2312" w:cs="仿宋_GB2312"/>
          <w:color w:val="auto"/>
          <w:sz w:val="32"/>
          <w:szCs w:val="32"/>
          <w:lang w:val="en-US" w:eastAsia="zh-CN"/>
        </w:rPr>
        <w:t>与</w:t>
      </w:r>
      <w:r>
        <w:rPr>
          <w:rFonts w:hint="eastAsia" w:ascii="仿宋_GB2312" w:hAnsi="宋体" w:eastAsia="仿宋_GB2312"/>
          <w:color w:val="auto"/>
          <w:sz w:val="32"/>
          <w:szCs w:val="32"/>
        </w:rPr>
        <w:t>对口帮扶地</w:t>
      </w:r>
      <w:r>
        <w:rPr>
          <w:rFonts w:hint="eastAsia" w:hAnsi="宋体"/>
          <w:color w:val="auto"/>
          <w:sz w:val="32"/>
          <w:szCs w:val="32"/>
          <w:lang w:eastAsia="zh-CN"/>
        </w:rPr>
        <w:t>浙江温州</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rPr>
        <w:t>绵阳沟通协调，构建以项目、资金、技术、干部人才为重点的“四位一体”全方位对口援建</w:t>
      </w:r>
      <w:r>
        <w:rPr>
          <w:rFonts w:hint="eastAsia" w:hAnsi="宋体"/>
          <w:color w:val="auto"/>
          <w:sz w:val="32"/>
          <w:szCs w:val="32"/>
          <w:lang w:eastAsia="zh-CN"/>
        </w:rPr>
        <w:t>，</w:t>
      </w:r>
      <w:r>
        <w:rPr>
          <w:rFonts w:hint="eastAsia" w:ascii="仿宋_GB2312" w:hAnsi="宋体" w:eastAsia="仿宋_GB2312"/>
          <w:color w:val="auto"/>
          <w:sz w:val="32"/>
          <w:szCs w:val="32"/>
        </w:rPr>
        <w:t>绵阳</w:t>
      </w:r>
      <w:r>
        <w:rPr>
          <w:rFonts w:hint="eastAsia" w:ascii="仿宋_GB2312" w:hAnsi="宋体" w:eastAsia="仿宋_GB2312"/>
          <w:color w:val="auto"/>
          <w:sz w:val="32"/>
          <w:szCs w:val="32"/>
          <w:lang w:eastAsia="zh-CN"/>
        </w:rPr>
        <w:t>支援</w:t>
      </w:r>
      <w:r>
        <w:rPr>
          <w:rFonts w:hint="eastAsia" w:ascii="仿宋_GB2312" w:hAnsi="宋体" w:eastAsia="仿宋_GB2312"/>
          <w:color w:val="auto"/>
          <w:sz w:val="32"/>
          <w:szCs w:val="32"/>
        </w:rPr>
        <w:t>80万元，</w:t>
      </w:r>
      <w:r>
        <w:rPr>
          <w:rFonts w:hint="eastAsia" w:ascii="仿宋_GB2312" w:hAnsi="宋体" w:eastAsia="仿宋_GB2312"/>
          <w:color w:val="auto"/>
          <w:sz w:val="32"/>
          <w:szCs w:val="32"/>
          <w:lang w:eastAsia="zh-CN"/>
        </w:rPr>
        <w:t>温州市支援</w:t>
      </w:r>
      <w:r>
        <w:rPr>
          <w:rFonts w:hint="eastAsia" w:ascii="仿宋_GB2312" w:hAnsi="宋体" w:eastAsia="仿宋_GB2312"/>
          <w:color w:val="auto"/>
          <w:sz w:val="32"/>
          <w:szCs w:val="32"/>
          <w:lang w:val="en-US" w:eastAsia="zh-CN"/>
        </w:rPr>
        <w:t>100万元，</w:t>
      </w:r>
      <w:r>
        <w:rPr>
          <w:rFonts w:hint="eastAsia" w:hAnsi="宋体"/>
          <w:color w:val="auto"/>
          <w:sz w:val="32"/>
          <w:szCs w:val="32"/>
          <w:lang w:val="en-US" w:eastAsia="zh-CN"/>
        </w:rPr>
        <w:t>因地制宜</w:t>
      </w:r>
      <w:r>
        <w:rPr>
          <w:rFonts w:hint="eastAsia" w:ascii="仿宋_GB2312" w:hAnsi="仿宋_GB2312" w:eastAsia="仿宋_GB2312" w:cs="仿宋_GB2312"/>
          <w:color w:val="000000"/>
          <w:sz w:val="32"/>
          <w:szCs w:val="32"/>
        </w:rPr>
        <w:t>举办</w:t>
      </w:r>
      <w:r>
        <w:rPr>
          <w:rFonts w:hint="eastAsia" w:ascii="仿宋_GB2312" w:hAnsi="宋体" w:eastAsia="仿宋_GB2312"/>
          <w:color w:val="auto"/>
          <w:sz w:val="32"/>
          <w:szCs w:val="32"/>
          <w:lang w:val="en-US" w:eastAsia="zh-CN"/>
        </w:rPr>
        <w:t>26期主体培训班次，培训干部人才1524人次。</w:t>
      </w:r>
    </w:p>
    <w:p>
      <w:pPr>
        <w:pStyle w:val="13"/>
        <w:keepNext w:val="0"/>
        <w:keepLines w:val="0"/>
        <w:pageBreakBefore w:val="0"/>
        <w:widowControl w:val="0"/>
        <w:kinsoku/>
        <w:wordWrap/>
        <w:overflowPunct/>
        <w:topLinePunct w:val="0"/>
        <w:autoSpaceDE/>
        <w:autoSpaceDN/>
        <w:bidi w:val="0"/>
        <w:adjustRightInd/>
        <w:spacing w:line="576" w:lineRule="exact"/>
        <w:ind w:firstLine="634"/>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szCs w:val="32"/>
          <w:lang w:eastAsia="zh-CN"/>
        </w:rPr>
        <w:t>（六）抓实老干部管理服务工作。</w:t>
      </w:r>
      <w:r>
        <w:rPr>
          <w:rFonts w:hint="eastAsia" w:ascii="楷体_GB2312" w:hAnsi="楷体_GB2312" w:eastAsia="楷体_GB2312" w:cs="楷体_GB2312"/>
          <w:b/>
          <w:bCs/>
          <w:color w:val="000000"/>
          <w:sz w:val="32"/>
          <w:szCs w:val="32"/>
          <w:lang w:eastAsia="zh-CN"/>
        </w:rPr>
        <w:t>一</w:t>
      </w:r>
      <w:r>
        <w:rPr>
          <w:rFonts w:hint="eastAsia" w:ascii="仿宋_GB2312" w:hAnsi="仿宋_GB2312" w:eastAsia="仿宋_GB2312" w:cs="仿宋_GB2312"/>
          <w:b/>
          <w:color w:val="000000"/>
          <w:sz w:val="32"/>
          <w:szCs w:val="32"/>
        </w:rPr>
        <w:t>是强化组织引领。</w:t>
      </w:r>
      <w:r>
        <w:rPr>
          <w:rFonts w:hint="eastAsia" w:hAnsi="仿宋_GB2312" w:cs="仿宋_GB2312"/>
          <w:b w:val="0"/>
          <w:bCs/>
          <w:color w:val="000000"/>
          <w:sz w:val="32"/>
          <w:szCs w:val="32"/>
          <w:lang w:eastAsia="zh-CN"/>
        </w:rPr>
        <w:t>积极开展各总支、支部换届工作，</w:t>
      </w:r>
      <w:r>
        <w:rPr>
          <w:rFonts w:hint="eastAsia" w:ascii="仿宋_GB2312" w:hAnsi="仿宋_GB2312" w:eastAsia="仿宋_GB2312" w:cs="仿宋_GB2312"/>
          <w:b w:val="0"/>
          <w:bCs/>
          <w:color w:val="auto"/>
          <w:sz w:val="32"/>
          <w:szCs w:val="32"/>
          <w:lang w:val="en-US" w:eastAsia="zh-CN"/>
        </w:rPr>
        <w:t>选举产生21名支部委员</w:t>
      </w:r>
      <w:r>
        <w:rPr>
          <w:rFonts w:hint="eastAsia" w:ascii="仿宋_GB2312" w:hAnsi="仿宋_GB2312" w:eastAsia="仿宋_GB2312" w:cs="仿宋_GB2312"/>
          <w:b w:val="0"/>
          <w:bCs/>
          <w:color w:val="000000"/>
          <w:sz w:val="32"/>
          <w:szCs w:val="32"/>
        </w:rPr>
        <w:t>。</w:t>
      </w:r>
      <w:r>
        <w:rPr>
          <w:rFonts w:hint="eastAsia" w:hAnsi="仿宋_GB2312" w:cs="仿宋_GB2312"/>
          <w:bCs/>
          <w:color w:val="000000"/>
          <w:sz w:val="32"/>
          <w:szCs w:val="32"/>
          <w:lang w:eastAsia="zh-CN"/>
        </w:rPr>
        <w:t>二</w:t>
      </w:r>
      <w:r>
        <w:rPr>
          <w:rFonts w:hint="eastAsia" w:ascii="仿宋_GB2312" w:hAnsi="仿宋_GB2312" w:eastAsia="仿宋_GB2312" w:cs="仿宋_GB2312"/>
          <w:b/>
          <w:color w:val="000000"/>
          <w:sz w:val="32"/>
          <w:szCs w:val="32"/>
        </w:rPr>
        <w:t>是夯实基础保障。</w:t>
      </w:r>
      <w:r>
        <w:rPr>
          <w:rFonts w:hint="eastAsia" w:ascii="仿宋" w:hAnsi="仿宋" w:eastAsia="仿宋"/>
          <w:sz w:val="32"/>
          <w:szCs w:val="32"/>
        </w:rPr>
        <w:t>新建有氧老干部活动中心室内面积239</w:t>
      </w:r>
      <w:r>
        <w:rPr>
          <w:rFonts w:hint="eastAsia" w:ascii="仿宋" w:hAnsi="仿宋" w:eastAsia="仿宋" w:cs="宋体"/>
          <w:sz w:val="32"/>
          <w:szCs w:val="32"/>
        </w:rPr>
        <w:t>㎡，</w:t>
      </w:r>
      <w:r>
        <w:rPr>
          <w:rFonts w:hint="eastAsia" w:ascii="仿宋" w:hAnsi="仿宋" w:eastAsia="仿宋" w:cs="宋体"/>
          <w:sz w:val="32"/>
          <w:szCs w:val="32"/>
          <w:lang w:eastAsia="zh-CN"/>
        </w:rPr>
        <w:t>投资</w:t>
      </w:r>
      <w:r>
        <w:rPr>
          <w:rFonts w:hint="eastAsia" w:ascii="仿宋" w:hAnsi="仿宋" w:eastAsia="仿宋" w:cs="宋体"/>
          <w:sz w:val="32"/>
          <w:szCs w:val="32"/>
          <w:lang w:val="en-US" w:eastAsia="zh-CN"/>
        </w:rPr>
        <w:t>135万元。三</w:t>
      </w:r>
      <w:r>
        <w:rPr>
          <w:rFonts w:hint="eastAsia" w:ascii="仿宋_GB2312" w:hAnsi="仿宋_GB2312" w:eastAsia="仿宋_GB2312" w:cs="仿宋_GB2312"/>
          <w:b/>
          <w:color w:val="000000"/>
          <w:sz w:val="32"/>
          <w:szCs w:val="32"/>
        </w:rPr>
        <w:t>是激励余热发挥。</w:t>
      </w:r>
      <w:r>
        <w:rPr>
          <w:rFonts w:hint="eastAsia" w:ascii="仿宋_GB2312" w:hAnsi="仿宋_GB2312" w:eastAsia="仿宋_GB2312" w:cs="仿宋_GB2312"/>
          <w:bCs/>
          <w:color w:val="000000"/>
          <w:sz w:val="32"/>
          <w:szCs w:val="32"/>
        </w:rPr>
        <w:t>组织离退休干部开展</w:t>
      </w:r>
      <w:r>
        <w:rPr>
          <w:rFonts w:hint="eastAsia" w:ascii="仿宋" w:hAnsi="仿宋" w:eastAsia="仿宋" w:cs="宋体"/>
          <w:sz w:val="32"/>
          <w:szCs w:val="32"/>
          <w:lang w:val="en-US" w:eastAsia="zh-CN"/>
        </w:rPr>
        <w:t>献礼建县60周年行动，</w:t>
      </w:r>
      <w:r>
        <w:rPr>
          <w:rFonts w:hint="eastAsia" w:ascii="仿宋_GB2312" w:hAnsi="仿宋_GB2312" w:eastAsia="仿宋_GB2312" w:cs="仿宋_GB2312"/>
          <w:sz w:val="32"/>
          <w:szCs w:val="32"/>
          <w:lang w:val="en-US" w:eastAsia="zh-CN"/>
        </w:rPr>
        <w:t>在《红柳》杂志刊登一期夕阳专刊</w:t>
      </w:r>
      <w:r>
        <w:rPr>
          <w:rFonts w:hint="eastAsia" w:hAnsi="仿宋_GB2312" w:cs="仿宋_GB2312"/>
          <w:sz w:val="32"/>
          <w:szCs w:val="32"/>
          <w:lang w:val="en-US" w:eastAsia="zh-CN"/>
        </w:rPr>
        <w:t>。邀请</w:t>
      </w:r>
      <w:r>
        <w:rPr>
          <w:rFonts w:hint="eastAsia" w:ascii="仿宋_GB2312" w:hAnsi="仿宋_GB2312" w:eastAsia="仿宋_GB2312" w:cs="仿宋_GB2312"/>
          <w:sz w:val="32"/>
          <w:szCs w:val="32"/>
          <w:lang w:val="en-US" w:eastAsia="zh-CN"/>
        </w:rPr>
        <w:t>离退休老干部参加建县60周年老干座谈会，</w:t>
      </w:r>
      <w:r>
        <w:rPr>
          <w:rFonts w:hint="eastAsia" w:ascii="仿宋_GB2312" w:hAnsi="仿宋_GB2312" w:eastAsia="仿宋_GB2312" w:cs="仿宋_GB2312"/>
          <w:bCs/>
          <w:color w:val="000000"/>
          <w:sz w:val="32"/>
          <w:szCs w:val="32"/>
        </w:rPr>
        <w:t>激励老干部发挥余热，为经济社会发展建言献策。</w:t>
      </w:r>
    </w:p>
    <w:p>
      <w:pPr>
        <w:pStyle w:val="4"/>
        <w:pageBreakBefore w:val="0"/>
        <w:widowControl w:val="0"/>
        <w:kinsoku/>
        <w:wordWrap/>
        <w:overflowPunct/>
        <w:topLinePunct w:val="0"/>
        <w:autoSpaceDE/>
        <w:autoSpaceDN/>
        <w:bidi w:val="0"/>
        <w:spacing w:line="560" w:lineRule="exact"/>
        <w:ind w:firstLine="640" w:firstLineChars="200"/>
        <w:textAlignment w:val="auto"/>
        <w:rPr>
          <w:rStyle w:val="27"/>
          <w:b w:val="0"/>
          <w:bCs w:val="0"/>
        </w:rPr>
      </w:pPr>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6"/>
      <w:bookmarkEnd w:id="27"/>
      <w:bookmarkEnd w:id="28"/>
    </w:p>
    <w:p>
      <w:pPr>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color w:val="000000"/>
          <w:kern w:val="0"/>
          <w:sz w:val="32"/>
          <w:szCs w:val="32"/>
        </w:rPr>
      </w:pP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sz w:val="32"/>
          <w:szCs w:val="32"/>
        </w:rPr>
        <w:t>行政单位1个，其中行政单位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ascii="仿宋" w:hAnsi="仿宋" w:eastAsia="仿宋"/>
          <w:color w:val="000000"/>
          <w:sz w:val="32"/>
          <w:szCs w:val="32"/>
        </w:rPr>
        <w:br w:type="page"/>
      </w:r>
    </w:p>
    <w:p>
      <w:pPr>
        <w:pStyle w:val="3"/>
        <w:ind w:right="440"/>
        <w:jc w:val="right"/>
        <w:rPr>
          <w:rStyle w:val="26"/>
          <w:rFonts w:ascii="黑体" w:hAnsi="黑体" w:eastAsia="黑体"/>
          <w:b w:val="0"/>
          <w:bCs w:val="0"/>
        </w:rPr>
      </w:pPr>
      <w:bookmarkStart w:id="29" w:name="_Toc31163"/>
      <w:bookmarkStart w:id="30" w:name="_Toc15377204"/>
      <w:bookmarkStart w:id="3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lang w:val="en-US" w:eastAsia="zh-CN"/>
        </w:rPr>
        <w:t>2020</w:t>
      </w:r>
      <w:r>
        <w:rPr>
          <w:rStyle w:val="26"/>
          <w:rFonts w:hint="eastAsia" w:ascii="黑体" w:hAnsi="黑体" w:eastAsia="黑体"/>
          <w:b w:val="0"/>
          <w:bCs w:val="0"/>
        </w:rPr>
        <w:t>年度部门决算情况说明</w:t>
      </w:r>
      <w:bookmarkEnd w:id="29"/>
      <w:bookmarkEnd w:id="30"/>
      <w:bookmarkEnd w:id="31"/>
    </w:p>
    <w:p/>
    <w:p>
      <w:pPr>
        <w:pStyle w:val="25"/>
        <w:numPr>
          <w:ilvl w:val="0"/>
          <w:numId w:val="2"/>
        </w:numPr>
        <w:spacing w:line="600" w:lineRule="exact"/>
        <w:ind w:firstLineChars="0"/>
        <w:outlineLvl w:val="1"/>
        <w:rPr>
          <w:rStyle w:val="27"/>
          <w:rFonts w:ascii="黑体" w:hAnsi="黑体" w:eastAsia="黑体"/>
          <w:b w:val="0"/>
        </w:rPr>
      </w:pPr>
      <w:bookmarkStart w:id="32" w:name="_Toc15377205"/>
      <w:bookmarkStart w:id="33" w:name="_Toc15396603"/>
      <w:bookmarkStart w:id="34" w:name="_Toc1189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2"/>
      <w:bookmarkEnd w:id="33"/>
      <w:bookmarkEnd w:id="34"/>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年度收收入总计</w:t>
      </w:r>
      <w:r>
        <w:rPr>
          <w:rFonts w:hint="eastAsia" w:ascii="仿宋_GB2312" w:hAnsi="仿宋_GB2312" w:eastAsia="仿宋_GB2312" w:cs="仿宋_GB2312"/>
          <w:color w:val="000000"/>
          <w:sz w:val="32"/>
          <w:szCs w:val="32"/>
          <w:lang w:val="en-US" w:eastAsia="zh-CN"/>
        </w:rPr>
        <w:t>1078.42</w:t>
      </w:r>
      <w:r>
        <w:rPr>
          <w:rFonts w:hint="eastAsia" w:ascii="仿宋_GB2312" w:hAnsi="仿宋_GB2312" w:eastAsia="仿宋_GB2312" w:cs="仿宋_GB2312"/>
          <w:color w:val="000000"/>
          <w:sz w:val="32"/>
          <w:szCs w:val="32"/>
        </w:rPr>
        <w:t>万元，其中：财政拨款收入</w:t>
      </w:r>
      <w:r>
        <w:rPr>
          <w:rFonts w:hint="eastAsia" w:ascii="仿宋_GB2312" w:hAnsi="仿宋_GB2312" w:eastAsia="仿宋_GB2312" w:cs="仿宋_GB2312"/>
          <w:color w:val="000000"/>
          <w:sz w:val="32"/>
          <w:szCs w:val="32"/>
          <w:lang w:val="en-US" w:eastAsia="zh-CN"/>
        </w:rPr>
        <w:t>1078.42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%。上年结转和结余</w:t>
      </w:r>
      <w:r>
        <w:rPr>
          <w:rFonts w:hint="eastAsia" w:ascii="仿宋_GB2312" w:hAnsi="仿宋_GB2312" w:eastAsia="仿宋_GB2312" w:cs="仿宋_GB2312"/>
          <w:color w:val="000000"/>
          <w:sz w:val="32"/>
          <w:szCs w:val="32"/>
          <w:lang w:val="en-US" w:eastAsia="zh-CN"/>
        </w:rPr>
        <w:t>167.66</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167.66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年度支出总计</w:t>
      </w:r>
      <w:r>
        <w:rPr>
          <w:rFonts w:hint="eastAsia" w:ascii="仿宋_GB2312" w:hAnsi="仿宋_GB2312" w:eastAsia="仿宋_GB2312" w:cs="仿宋_GB2312"/>
          <w:color w:val="000000"/>
          <w:sz w:val="32"/>
          <w:szCs w:val="32"/>
          <w:lang w:val="en-US" w:eastAsia="zh-CN"/>
        </w:rPr>
        <w:t>1225.02</w:t>
      </w:r>
      <w:r>
        <w:rPr>
          <w:rFonts w:hint="eastAsia" w:ascii="仿宋_GB2312" w:hAnsi="仿宋_GB2312" w:eastAsia="仿宋_GB2312" w:cs="仿宋_GB2312"/>
          <w:color w:val="000000"/>
          <w:sz w:val="32"/>
          <w:szCs w:val="32"/>
        </w:rPr>
        <w:t>万元，其中，一般公共服务支出</w:t>
      </w:r>
      <w:r>
        <w:rPr>
          <w:rFonts w:hint="eastAsia" w:ascii="仿宋_GB2312" w:hAnsi="仿宋_GB2312" w:eastAsia="仿宋_GB2312" w:cs="仿宋_GB2312"/>
          <w:color w:val="000000"/>
          <w:sz w:val="32"/>
          <w:szCs w:val="32"/>
          <w:lang w:val="en-US" w:eastAsia="zh-CN"/>
        </w:rPr>
        <w:t>1060.96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86.61</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164.06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13.39</w:t>
      </w:r>
      <w:r>
        <w:rPr>
          <w:rFonts w:hint="eastAsia" w:ascii="仿宋_GB2312" w:hAnsi="仿宋_GB2312" w:eastAsia="仿宋_GB2312" w:cs="仿宋_GB2312"/>
          <w:color w:val="000000"/>
          <w:sz w:val="32"/>
          <w:szCs w:val="32"/>
        </w:rPr>
        <w:t>%（教育支出</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5.5</w:t>
      </w: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9.46万元，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5.77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社会保险和就业支出</w:t>
      </w:r>
      <w:r>
        <w:rPr>
          <w:rFonts w:hint="eastAsia" w:ascii="仿宋_GB2312" w:hAnsi="仿宋_GB2312" w:eastAsia="仿宋_GB2312" w:cs="仿宋_GB2312"/>
          <w:color w:val="000000"/>
          <w:sz w:val="32"/>
          <w:szCs w:val="32"/>
          <w:lang w:val="en-US" w:eastAsia="zh-CN"/>
        </w:rPr>
        <w:t>66.73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40.67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卫生健康</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32.06</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19.54</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2.88万元，</w:t>
      </w:r>
      <w:r>
        <w:rPr>
          <w:rFonts w:hint="eastAsia" w:ascii="仿宋_GB2312" w:hAnsi="仿宋_GB2312" w:eastAsia="仿宋_GB2312" w:cs="仿宋_GB2312"/>
          <w:color w:val="000000"/>
          <w:sz w:val="32"/>
          <w:szCs w:val="32"/>
        </w:rPr>
        <w:t>住占</w:t>
      </w:r>
      <w:r>
        <w:rPr>
          <w:rFonts w:hint="eastAsia" w:ascii="仿宋_GB2312" w:hAnsi="仿宋_GB2312" w:eastAsia="仿宋_GB2312" w:cs="仿宋_GB2312"/>
          <w:color w:val="000000"/>
          <w:sz w:val="32"/>
          <w:szCs w:val="32"/>
          <w:lang w:val="en-US" w:eastAsia="zh-CN"/>
        </w:rPr>
        <w:t>1.76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房保障支出</w:t>
      </w:r>
      <w:r>
        <w:rPr>
          <w:rFonts w:hint="eastAsia" w:ascii="仿宋_GB2312" w:hAnsi="仿宋_GB2312" w:eastAsia="仿宋_GB2312" w:cs="仿宋_GB2312"/>
          <w:color w:val="000000"/>
          <w:sz w:val="32"/>
          <w:szCs w:val="32"/>
          <w:lang w:val="en-US" w:eastAsia="zh-CN"/>
        </w:rPr>
        <w:t>43.94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26.78</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年年末结转和结余</w:t>
      </w:r>
      <w:r>
        <w:rPr>
          <w:rFonts w:hint="eastAsia" w:ascii="仿宋_GB2312" w:hAnsi="仿宋_GB2312" w:eastAsia="仿宋_GB2312" w:cs="仿宋_GB2312"/>
          <w:color w:val="000000"/>
          <w:sz w:val="32"/>
          <w:szCs w:val="32"/>
          <w:lang w:val="en-US" w:eastAsia="zh-CN"/>
        </w:rPr>
        <w:t>21.04</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21.04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rPr>
        <w:t>年相比，总收入增加</w:t>
      </w:r>
      <w:r>
        <w:rPr>
          <w:rFonts w:hint="eastAsia" w:ascii="仿宋_GB2312" w:hAnsi="仿宋_GB2312" w:eastAsia="仿宋_GB2312" w:cs="仿宋_GB2312"/>
          <w:color w:val="000000"/>
          <w:sz w:val="32"/>
          <w:szCs w:val="32"/>
          <w:lang w:val="en-US" w:eastAsia="zh-CN"/>
        </w:rPr>
        <w:t>93.86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9.53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总支出增加</w:t>
      </w:r>
      <w:r>
        <w:rPr>
          <w:rFonts w:hint="eastAsia" w:ascii="仿宋_GB2312" w:hAnsi="仿宋_GB2312" w:eastAsia="仿宋_GB2312" w:cs="仿宋_GB2312"/>
          <w:color w:val="000000"/>
          <w:sz w:val="32"/>
          <w:szCs w:val="32"/>
          <w:lang w:val="en-US" w:eastAsia="zh-CN"/>
        </w:rPr>
        <w:t>126.93</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11.60</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_GB2312" w:hAnsi="仿宋_GB2312" w:eastAsia="仿宋_GB2312" w:cs="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-13970</wp:posOffset>
            </wp:positionH>
            <wp:positionV relativeFrom="paragraph">
              <wp:posOffset>7620</wp:posOffset>
            </wp:positionV>
            <wp:extent cx="5054600" cy="2159000"/>
            <wp:effectExtent l="4445" t="4445" r="8255" b="8255"/>
            <wp:wrapTight wrapText="bothSides">
              <wp:wrapPolygon>
                <wp:start x="-19" y="-44"/>
                <wp:lineTo x="-19" y="21492"/>
                <wp:lineTo x="21554" y="21492"/>
                <wp:lineTo x="21554" y="-44"/>
                <wp:lineTo x="-19"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2"/>
        </w:numPr>
        <w:spacing w:line="600" w:lineRule="exact"/>
        <w:ind w:firstLineChars="0"/>
        <w:outlineLvl w:val="1"/>
        <w:rPr>
          <w:rStyle w:val="27"/>
          <w:rFonts w:ascii="黑体" w:hAnsi="黑体" w:eastAsia="黑体"/>
          <w:b w:val="0"/>
        </w:rPr>
      </w:pPr>
      <w:bookmarkStart w:id="35" w:name="_Toc15377206"/>
      <w:bookmarkStart w:id="36" w:name="_Toc26006"/>
      <w:bookmarkStart w:id="3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35"/>
      <w:bookmarkEnd w:id="36"/>
      <w:bookmarkEnd w:id="37"/>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38" w:name="_Toc22194"/>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1078.42</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1078.42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38"/>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5408" behindDoc="1" locked="0" layoutInCell="1" allowOverlap="1">
            <wp:simplePos x="0" y="0"/>
            <wp:positionH relativeFrom="column">
              <wp:posOffset>128270</wp:posOffset>
            </wp:positionH>
            <wp:positionV relativeFrom="paragraph">
              <wp:posOffset>108585</wp:posOffset>
            </wp:positionV>
            <wp:extent cx="4757420" cy="2003425"/>
            <wp:effectExtent l="4445" t="4445" r="19685" b="11430"/>
            <wp:wrapTight wrapText="bothSides">
              <wp:wrapPolygon>
                <wp:start x="-20" y="-48"/>
                <wp:lineTo x="-20" y="21518"/>
                <wp:lineTo x="21516" y="21518"/>
                <wp:lineTo x="21516"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5"/>
        <w:numPr>
          <w:ilvl w:val="0"/>
          <w:numId w:val="2"/>
        </w:numPr>
        <w:spacing w:line="600" w:lineRule="exact"/>
        <w:ind w:firstLineChars="0"/>
        <w:outlineLvl w:val="1"/>
        <w:rPr>
          <w:rStyle w:val="27"/>
          <w:rFonts w:ascii="黑体" w:hAnsi="黑体" w:eastAsia="黑体"/>
          <w:b w:val="0"/>
        </w:rPr>
      </w:pPr>
      <w:bookmarkStart w:id="39" w:name="_Toc15528"/>
      <w:bookmarkStart w:id="40" w:name="_Toc15396605"/>
      <w:bookmarkStart w:id="41"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39"/>
      <w:bookmarkEnd w:id="40"/>
      <w:bookmarkEnd w:id="41"/>
    </w:p>
    <w:p>
      <w:pPr>
        <w:spacing w:line="600" w:lineRule="exact"/>
        <w:ind w:firstLine="640" w:firstLineChars="200"/>
        <w:outlineLvl w:val="1"/>
        <w:rPr>
          <w:rFonts w:hint="eastAsia" w:ascii="仿宋_GB2312" w:hAnsi="仿宋_GB2312" w:eastAsia="仿宋_GB2312" w:cs="仿宋_GB2312"/>
          <w:color w:val="000000"/>
          <w:sz w:val="32"/>
          <w:szCs w:val="32"/>
        </w:rPr>
      </w:pPr>
      <w:bookmarkStart w:id="42" w:name="_Toc10457"/>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1225.02</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577.06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47.11</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647.96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52.89</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w:t>
      </w:r>
      <w:r>
        <w:rPr>
          <w:rFonts w:hint="eastAsia" w:ascii="仿宋_GB2312" w:hAnsi="仿宋_GB2312" w:eastAsia="仿宋_GB2312" w:cs="仿宋_GB2312"/>
          <w:color w:val="000000"/>
          <w:sz w:val="32"/>
          <w:szCs w:val="32"/>
          <w:lang w:val="en-US" w:eastAsia="zh-CN"/>
        </w:rPr>
        <w:t>出0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42"/>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233045</wp:posOffset>
            </wp:positionH>
            <wp:positionV relativeFrom="paragraph">
              <wp:posOffset>4445</wp:posOffset>
            </wp:positionV>
            <wp:extent cx="4815840" cy="1490345"/>
            <wp:effectExtent l="5080" t="5080" r="17780" b="9525"/>
            <wp:wrapTight wrapText="bothSides">
              <wp:wrapPolygon>
                <wp:start x="-23" y="-74"/>
                <wp:lineTo x="-23" y="21462"/>
                <wp:lineTo x="21509" y="21462"/>
                <wp:lineTo x="21509"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7"/>
          <w:rFonts w:ascii="黑体" w:hAnsi="黑体" w:eastAsia="黑体"/>
          <w:b w:val="0"/>
        </w:rPr>
      </w:pPr>
      <w:bookmarkStart w:id="43" w:name="_Toc15396606"/>
      <w:bookmarkStart w:id="44" w:name="_Toc15377208"/>
      <w:bookmarkStart w:id="45" w:name="_Toc27709"/>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3"/>
      <w:bookmarkEnd w:id="44"/>
      <w:bookmarkEnd w:id="45"/>
    </w:p>
    <w:p>
      <w:pPr>
        <w:spacing w:line="600" w:lineRule="exact"/>
        <w:ind w:firstLine="640"/>
        <w:rPr>
          <w:rFonts w:hint="eastAsia" w:ascii="仿宋" w:hAnsi="仿宋" w:eastAsia="仿宋_GB2312"/>
          <w:color w:val="000000"/>
          <w:sz w:val="32"/>
          <w:szCs w:val="32"/>
          <w:lang w:eastAsia="zh-CN"/>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1078.42</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93.86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1225.02</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126.93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11.60</w:t>
      </w:r>
      <w:r>
        <w:rPr>
          <w:rFonts w:ascii="仿宋" w:hAnsi="仿宋" w:eastAsia="仿宋"/>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204470</wp:posOffset>
            </wp:positionH>
            <wp:positionV relativeFrom="paragraph">
              <wp:posOffset>76200</wp:posOffset>
            </wp:positionV>
            <wp:extent cx="4709160" cy="2547620"/>
            <wp:effectExtent l="4445" t="4445" r="10795" b="19685"/>
            <wp:wrapTight wrapText="bothSides">
              <wp:wrapPolygon>
                <wp:start x="-20" y="-38"/>
                <wp:lineTo x="-20" y="21444"/>
                <wp:lineTo x="21562" y="21444"/>
                <wp:lineTo x="21562" y="-38"/>
                <wp:lineTo x="-20" y="-3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rPr>
      </w:pPr>
      <w:bookmarkStart w:id="46" w:name="_Toc15396607"/>
      <w:bookmarkStart w:id="47" w:name="_Toc9113"/>
      <w:bookmarkStart w:id="48"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15377210"/>
      <w:bookmarkStart w:id="50" w:name="_Toc27803"/>
      <w:r>
        <w:rPr>
          <w:rFonts w:hint="eastAsia" w:ascii="仿宋" w:hAnsi="仿宋" w:eastAsia="仿宋"/>
          <w:b/>
          <w:color w:val="000000"/>
          <w:sz w:val="32"/>
          <w:szCs w:val="32"/>
        </w:rPr>
        <w:t>（一）一般公共预算财政拨款支出决算总体情况</w:t>
      </w:r>
      <w:bookmarkEnd w:id="49"/>
      <w:bookmarkEnd w:id="50"/>
    </w:p>
    <w:p>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 xml:space="preserve">    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1060.96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86.61</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210.38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24.73</w:t>
      </w:r>
      <w:r>
        <w:rPr>
          <w:rFonts w:ascii="仿宋" w:hAnsi="仿宋" w:eastAsia="仿宋"/>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 w:hAnsi="仿宋" w:eastAsia="仿宋"/>
          <w:color w:val="000000"/>
          <w:sz w:val="32"/>
          <w:szCs w:val="32"/>
          <w:lang w:eastAsia="zh-CN"/>
        </w:rPr>
        <w:t>。</w:t>
      </w:r>
    </w:p>
    <w:p>
      <w:pPr>
        <w:pStyle w:val="2"/>
        <w:rPr>
          <w:rFonts w:hint="eastAsia"/>
          <w:lang w:val="en-US" w:eastAsia="zh-CN"/>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60960</wp:posOffset>
            </wp:positionH>
            <wp:positionV relativeFrom="paragraph">
              <wp:posOffset>33655</wp:posOffset>
            </wp:positionV>
            <wp:extent cx="5059045" cy="3130550"/>
            <wp:effectExtent l="4445" t="4445" r="22860" b="8255"/>
            <wp:wrapTight wrapText="bothSides">
              <wp:wrapPolygon>
                <wp:start x="-54" y="44"/>
                <wp:lineTo x="-54" y="21600"/>
                <wp:lineTo x="21581" y="21600"/>
                <wp:lineTo x="21581" y="44"/>
                <wp:lineTo x="-54" y="4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1" w:name="_Toc15377211"/>
      <w:bookmarkStart w:id="52" w:name="_Toc10567"/>
      <w:r>
        <w:rPr>
          <w:rFonts w:hint="eastAsia" w:ascii="仿宋" w:hAnsi="仿宋" w:eastAsia="仿宋"/>
          <w:b/>
          <w:color w:val="000000"/>
          <w:sz w:val="32"/>
          <w:szCs w:val="32"/>
        </w:rPr>
        <w:t>（二）一般公共预算财政拨款支出决算结构情况</w:t>
      </w:r>
      <w:bookmarkEnd w:id="51"/>
      <w:bookmarkEnd w:id="52"/>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1225.02</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1060.96元，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86.60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0.73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文化旅游体育与传媒</w:t>
      </w:r>
      <w:r>
        <w:rPr>
          <w:rFonts w:hint="eastAsia" w:ascii="仿宋" w:hAnsi="仿宋" w:eastAsia="仿宋"/>
          <w:b/>
          <w:color w:val="000000" w:themeColor="text1"/>
          <w:sz w:val="32"/>
          <w:szCs w:val="32"/>
          <w14:textFill>
            <w14:solidFill>
              <w14:schemeClr w14:val="tx1"/>
            </w14:solidFill>
          </w14:textFill>
        </w:rPr>
        <w:t>（类）</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9.46万元，占0.77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66.73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5.45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32.05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213</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2.88万元，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0.24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43.94</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3.59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0" locked="0" layoutInCell="1" allowOverlap="1">
            <wp:simplePos x="0" y="0"/>
            <wp:positionH relativeFrom="column">
              <wp:posOffset>295275</wp:posOffset>
            </wp:positionH>
            <wp:positionV relativeFrom="paragraph">
              <wp:posOffset>-422275</wp:posOffset>
            </wp:positionV>
            <wp:extent cx="5236845" cy="1958975"/>
            <wp:effectExtent l="5080" t="4445" r="1587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b/>
          <w:color w:val="000000"/>
          <w:sz w:val="32"/>
          <w:szCs w:val="32"/>
        </w:rPr>
      </w:pPr>
      <w:r>
        <w:rPr>
          <w:rFonts w:hint="eastAsia" w:ascii="仿宋" w:hAnsi="仿宋" w:eastAsia="仿宋"/>
          <w:color w:val="000000"/>
          <w:sz w:val="32"/>
          <w:szCs w:val="32"/>
        </w:rPr>
        <w:t>（图6：一般公共预算财政拨款支出决算结构）（饼状图）</w:t>
      </w:r>
      <w:bookmarkStart w:id="53" w:name="_Toc15377212"/>
    </w:p>
    <w:p>
      <w:pPr>
        <w:spacing w:line="600" w:lineRule="exact"/>
        <w:ind w:firstLine="643" w:firstLineChars="200"/>
        <w:outlineLvl w:val="2"/>
        <w:rPr>
          <w:rFonts w:ascii="仿宋" w:hAnsi="仿宋" w:eastAsia="仿宋"/>
          <w:b/>
          <w:color w:val="000000"/>
          <w:sz w:val="32"/>
          <w:szCs w:val="32"/>
        </w:rPr>
      </w:pPr>
      <w:bookmarkStart w:id="54" w:name="_Toc15708"/>
      <w:r>
        <w:rPr>
          <w:rFonts w:hint="eastAsia" w:ascii="仿宋" w:hAnsi="仿宋" w:eastAsia="仿宋"/>
          <w:b/>
          <w:color w:val="000000"/>
          <w:sz w:val="32"/>
          <w:szCs w:val="32"/>
        </w:rPr>
        <w:t>（三）一般公共预算财政拨款支出决算具体情况</w:t>
      </w:r>
      <w:bookmarkEnd w:id="53"/>
      <w:bookmarkEnd w:id="54"/>
    </w:p>
    <w:p>
      <w:pPr>
        <w:spacing w:line="600" w:lineRule="exact"/>
        <w:ind w:firstLine="643" w:firstLineChars="200"/>
        <w:outlineLvl w:val="2"/>
        <w:rPr>
          <w:rFonts w:ascii="仿宋" w:hAnsi="仿宋" w:eastAsia="仿宋"/>
          <w:color w:val="FF0000"/>
          <w:sz w:val="32"/>
          <w:szCs w:val="32"/>
        </w:rPr>
      </w:pPr>
      <w:bookmarkStart w:id="55" w:name="_Toc15377444"/>
      <w:bookmarkStart w:id="56" w:name="_Toc15378460"/>
      <w:bookmarkStart w:id="57" w:name="_Toc12098"/>
      <w:bookmarkStart w:id="58" w:name="_Toc15377213"/>
      <w:r>
        <w:rPr>
          <w:rFonts w:hint="eastAsia" w:ascii="仿宋" w:hAnsi="仿宋" w:eastAsia="仿宋"/>
          <w:b/>
          <w:color w:val="000000" w:themeColor="text1"/>
          <w:sz w:val="32"/>
          <w:szCs w:val="32"/>
          <w:lang w:val="en-US" w:eastAsia="zh-CN"/>
          <w14:textFill>
            <w14:solidFill>
              <w14:schemeClr w14:val="tx1"/>
            </w14:solidFill>
          </w14:textFill>
        </w:rPr>
        <w:t>2020</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1225.02</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55"/>
      <w:bookmarkEnd w:id="56"/>
      <w:bookmarkEnd w:id="57"/>
      <w:bookmarkEnd w:id="58"/>
    </w:p>
    <w:p>
      <w:pPr>
        <w:numPr>
          <w:numId w:val="0"/>
        </w:numPr>
        <w:spacing w:line="600" w:lineRule="exact"/>
        <w:ind w:firstLine="643" w:firstLineChars="200"/>
        <w:rPr>
          <w:rStyle w:val="16"/>
          <w:rFonts w:hint="eastAsia" w:ascii="仿宋" w:hAnsi="仿宋" w:eastAsia="仿宋"/>
          <w:b w:val="0"/>
          <w:bCs w:val="0"/>
          <w:color w:val="000000"/>
          <w:sz w:val="32"/>
          <w:szCs w:val="32"/>
          <w:lang w:val="en-US" w:eastAsia="zh-CN"/>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eastAsia="zh-CN"/>
          <w14:textFill>
            <w14:solidFill>
              <w14:schemeClr w14:val="tx1"/>
            </w14:solidFill>
          </w14:textFill>
        </w:rPr>
        <w:t>：2010302一般行政管理事务</w:t>
      </w:r>
      <w:r>
        <w:rPr>
          <w:rStyle w:val="16"/>
          <w:rFonts w:hint="eastAsia" w:ascii="仿宋" w:hAnsi="仿宋" w:eastAsia="仿宋"/>
          <w:b w:val="0"/>
          <w:bCs w:val="0"/>
          <w:color w:val="000000"/>
          <w:sz w:val="32"/>
          <w:szCs w:val="32"/>
          <w:lang w:val="en-US" w:eastAsia="zh-CN"/>
        </w:rPr>
        <w:t>支出决算0.6万元，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2013201行政运行</w:t>
      </w:r>
      <w:r>
        <w:rPr>
          <w:rStyle w:val="16"/>
          <w:rFonts w:hint="eastAsia" w:ascii="仿宋" w:hAnsi="仿宋" w:eastAsia="仿宋"/>
          <w:b w:val="0"/>
          <w:bCs w:val="0"/>
          <w:color w:val="000000"/>
          <w:sz w:val="32"/>
          <w:szCs w:val="32"/>
          <w:lang w:val="en-US" w:eastAsia="zh-CN"/>
        </w:rPr>
        <w:t>支出决算349.8万元，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2013202一般行政管理事务</w:t>
      </w:r>
      <w:r>
        <w:rPr>
          <w:rStyle w:val="16"/>
          <w:rFonts w:hint="eastAsia" w:ascii="仿宋" w:hAnsi="仿宋" w:eastAsia="仿宋"/>
          <w:b w:val="0"/>
          <w:bCs w:val="0"/>
          <w:color w:val="000000"/>
          <w:sz w:val="32"/>
          <w:szCs w:val="32"/>
          <w:lang w:val="en-US" w:eastAsia="zh-CN"/>
        </w:rPr>
        <w:t>支出决算437.34万元，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color w:val="000000"/>
          <w:sz w:val="32"/>
          <w:szCs w:val="32"/>
          <w:lang w:val="en-US" w:eastAsia="zh-CN"/>
        </w:rPr>
        <w:t>2013250事业运行</w:t>
      </w:r>
      <w:r>
        <w:rPr>
          <w:rStyle w:val="16"/>
          <w:rFonts w:hint="eastAsia" w:ascii="仿宋" w:hAnsi="仿宋" w:eastAsia="仿宋"/>
          <w:b w:val="0"/>
          <w:bCs w:val="0"/>
          <w:color w:val="000000"/>
          <w:sz w:val="32"/>
          <w:szCs w:val="32"/>
          <w:lang w:val="en-US" w:eastAsia="zh-CN"/>
        </w:rPr>
        <w:t>支出84.54万元，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2013299其他组织事务</w:t>
      </w:r>
      <w:r>
        <w:rPr>
          <w:rStyle w:val="16"/>
          <w:rFonts w:hint="eastAsia" w:ascii="仿宋" w:hAnsi="仿宋" w:eastAsia="仿宋"/>
          <w:b w:val="0"/>
          <w:bCs w:val="0"/>
          <w:color w:val="000000"/>
          <w:sz w:val="32"/>
          <w:szCs w:val="32"/>
          <w:lang w:val="en-US" w:eastAsia="zh-CN"/>
        </w:rPr>
        <w:t>支出决算189.22万元，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val="0"/>
          <w:bCs w:val="0"/>
          <w:color w:val="000000" w:themeColor="text1"/>
          <w:sz w:val="32"/>
          <w:szCs w:val="32"/>
          <w:lang w:eastAsia="zh-CN"/>
          <w14:textFill>
            <w14:solidFill>
              <w14:schemeClr w14:val="tx1"/>
            </w14:solidFill>
          </w14:textFill>
        </w:rPr>
        <w:t>：</w:t>
      </w:r>
      <w:r>
        <w:rPr>
          <w:rStyle w:val="16"/>
          <w:rFonts w:hint="eastAsia" w:ascii="仿宋" w:hAnsi="仿宋" w:eastAsia="仿宋"/>
          <w:b/>
          <w:bCs w:val="0"/>
          <w:color w:val="000000"/>
          <w:sz w:val="32"/>
          <w:szCs w:val="32"/>
          <w:lang w:val="en-US" w:eastAsia="zh-CN"/>
        </w:rPr>
        <w:t>2059999其他教育</w:t>
      </w:r>
      <w:r>
        <w:rPr>
          <w:rStyle w:val="16"/>
          <w:rFonts w:hint="eastAsia" w:ascii="仿宋" w:hAnsi="仿宋" w:eastAsia="仿宋"/>
          <w:b w:val="0"/>
          <w:bCs/>
          <w:color w:val="000000"/>
          <w:sz w:val="32"/>
          <w:szCs w:val="32"/>
          <w:lang w:val="en-US" w:eastAsia="zh-CN"/>
        </w:rPr>
        <w:t>支出9万元，</w:t>
      </w:r>
      <w:r>
        <w:rPr>
          <w:rStyle w:val="16"/>
          <w:rFonts w:hint="eastAsia" w:ascii="仿宋" w:hAnsi="仿宋" w:eastAsia="仿宋"/>
          <w:b w:val="0"/>
          <w:bCs/>
          <w:color w:val="000000"/>
          <w:sz w:val="32"/>
          <w:szCs w:val="32"/>
        </w:rPr>
        <w:t>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val="en-US" w:eastAsia="zh-CN"/>
        </w:rPr>
        <w:t>。</w:t>
      </w:r>
    </w:p>
    <w:p>
      <w:pPr>
        <w:spacing w:line="600" w:lineRule="exact"/>
        <w:ind w:firstLine="640"/>
        <w:rPr>
          <w:rFonts w:hint="eastAsia" w:ascii="仿宋" w:hAnsi="仿宋" w:eastAsia="仿宋"/>
          <w:b/>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3.文化旅游体育与传媒支出</w:t>
      </w:r>
      <w:r>
        <w:rPr>
          <w:rFonts w:hint="eastAsia" w:ascii="仿宋" w:hAnsi="仿宋" w:eastAsia="仿宋"/>
          <w:b/>
          <w:color w:val="000000" w:themeColor="text1"/>
          <w:sz w:val="32"/>
          <w:szCs w:val="32"/>
          <w14:textFill>
            <w14:solidFill>
              <w14:schemeClr w14:val="tx1"/>
            </w14:solidFill>
          </w14:textFill>
        </w:rPr>
        <w:t>（类）</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2070199</w:t>
      </w:r>
      <w:r>
        <w:rPr>
          <w:rFonts w:hint="eastAsia" w:ascii="仿宋" w:hAnsi="仿宋" w:eastAsia="仿宋"/>
          <w:b/>
          <w:color w:val="000000" w:themeColor="text1"/>
          <w:sz w:val="32"/>
          <w:szCs w:val="32"/>
          <w:lang w:eastAsia="zh-CN"/>
          <w14:textFill>
            <w14:solidFill>
              <w14:schemeClr w14:val="tx1"/>
            </w14:solidFill>
          </w14:textFill>
        </w:rPr>
        <w:t>其他文化和旅游</w:t>
      </w:r>
      <w:r>
        <w:rPr>
          <w:rStyle w:val="16"/>
          <w:rFonts w:hint="eastAsia" w:ascii="仿宋" w:hAnsi="仿宋" w:eastAsia="仿宋"/>
          <w:b w:val="0"/>
          <w:bCs/>
          <w:color w:val="000000"/>
          <w:sz w:val="32"/>
          <w:szCs w:val="32"/>
          <w:lang w:val="en-US" w:eastAsia="zh-CN"/>
        </w:rPr>
        <w:t>支出9.46万元，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2080505机关事业单位基本养老保险缴费</w:t>
      </w:r>
      <w:r>
        <w:rPr>
          <w:rFonts w:hint="eastAsia" w:ascii="仿宋" w:hAnsi="仿宋" w:eastAsia="仿宋"/>
          <w:color w:val="000000" w:themeColor="text1"/>
          <w:sz w:val="32"/>
          <w:szCs w:val="32"/>
          <w:lang w:val="en-US" w:eastAsia="zh-CN"/>
          <w14:textFill>
            <w14:solidFill>
              <w14:schemeClr w14:val="tx1"/>
            </w14:solidFill>
          </w14:textFill>
        </w:rPr>
        <w:t>支出44.51万元，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2080506机关事业单位职业年金缴费</w:t>
      </w:r>
      <w:r>
        <w:rPr>
          <w:rStyle w:val="16"/>
          <w:rFonts w:hint="eastAsia" w:ascii="仿宋" w:hAnsi="仿宋" w:eastAsia="仿宋"/>
          <w:b w:val="0"/>
          <w:bCs/>
          <w:color w:val="000000"/>
          <w:sz w:val="32"/>
          <w:szCs w:val="32"/>
          <w:lang w:val="en-US" w:eastAsia="zh-CN"/>
        </w:rPr>
        <w:t>支出22.22万元，完成预算100%。</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5.</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:2101101行政单位医疗</w:t>
      </w:r>
      <w:r>
        <w:rPr>
          <w:rFonts w:hint="eastAsia" w:ascii="仿宋" w:hAnsi="仿宋" w:eastAsia="仿宋"/>
          <w:color w:val="000000" w:themeColor="text1"/>
          <w:sz w:val="32"/>
          <w:szCs w:val="32"/>
          <w:lang w:val="en-US" w:eastAsia="zh-CN"/>
          <w14:textFill>
            <w14:solidFill>
              <w14:schemeClr w14:val="tx1"/>
            </w14:solidFill>
          </w14:textFill>
        </w:rPr>
        <w:t>支出19.67万元，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2101102事业单位医疗</w:t>
      </w:r>
      <w:r>
        <w:rPr>
          <w:rStyle w:val="16"/>
          <w:rFonts w:hint="eastAsia" w:ascii="仿宋" w:hAnsi="仿宋" w:eastAsia="仿宋"/>
          <w:b w:val="0"/>
          <w:bCs/>
          <w:color w:val="000000"/>
          <w:sz w:val="32"/>
          <w:szCs w:val="32"/>
          <w:lang w:val="en-US" w:eastAsia="zh-CN"/>
        </w:rPr>
        <w:t>支出5.01万元，完成预算100%；</w:t>
      </w:r>
      <w:r>
        <w:rPr>
          <w:rStyle w:val="16"/>
          <w:rFonts w:hint="eastAsia" w:ascii="仿宋" w:hAnsi="仿宋" w:eastAsia="仿宋"/>
          <w:b/>
          <w:bCs w:val="0"/>
          <w:color w:val="000000"/>
          <w:sz w:val="32"/>
          <w:szCs w:val="32"/>
          <w:lang w:val="en-US" w:eastAsia="zh-CN"/>
        </w:rPr>
        <w:t>2101103公务员医疗补助</w:t>
      </w:r>
      <w:r>
        <w:rPr>
          <w:rStyle w:val="16"/>
          <w:rFonts w:hint="eastAsia" w:ascii="仿宋" w:hAnsi="仿宋" w:eastAsia="仿宋"/>
          <w:b w:val="0"/>
          <w:bCs/>
          <w:color w:val="000000"/>
          <w:sz w:val="32"/>
          <w:szCs w:val="32"/>
          <w:lang w:val="en-US" w:eastAsia="zh-CN"/>
        </w:rPr>
        <w:t>支出5.88万元，完成预算100%；</w:t>
      </w:r>
      <w:r>
        <w:rPr>
          <w:rStyle w:val="16"/>
          <w:rFonts w:hint="eastAsia" w:ascii="仿宋" w:hAnsi="仿宋" w:eastAsia="仿宋"/>
          <w:b/>
          <w:bCs w:val="0"/>
          <w:color w:val="000000"/>
          <w:sz w:val="32"/>
          <w:szCs w:val="32"/>
          <w:lang w:val="en-US" w:eastAsia="zh-CN"/>
        </w:rPr>
        <w:t>2101199其他行政事业单位医疗</w:t>
      </w:r>
      <w:r>
        <w:rPr>
          <w:rStyle w:val="16"/>
          <w:rFonts w:hint="eastAsia" w:ascii="仿宋" w:hAnsi="仿宋" w:eastAsia="仿宋"/>
          <w:b w:val="0"/>
          <w:bCs/>
          <w:color w:val="000000"/>
          <w:sz w:val="32"/>
          <w:szCs w:val="32"/>
          <w:lang w:val="en-US" w:eastAsia="zh-CN"/>
        </w:rPr>
        <w:t>支出1.49万元，完成预算100%。</w:t>
      </w:r>
    </w:p>
    <w:p>
      <w:pPr>
        <w:spacing w:line="600" w:lineRule="exact"/>
        <w:ind w:firstLine="643" w:firstLineChars="200"/>
        <w:rPr>
          <w:rFonts w:hint="eastAsia" w:ascii="仿宋" w:hAnsi="仿宋" w:eastAsia="仿宋"/>
          <w:b/>
          <w:bCs/>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6.农林水支出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 对村民委员会和村党支部的补助</w:t>
      </w:r>
      <w:r>
        <w:rPr>
          <w:rStyle w:val="16"/>
          <w:rFonts w:hint="eastAsia" w:ascii="仿宋" w:hAnsi="仿宋" w:eastAsia="仿宋"/>
          <w:b w:val="0"/>
          <w:bCs/>
          <w:color w:val="000000"/>
          <w:sz w:val="32"/>
          <w:szCs w:val="32"/>
          <w:lang w:val="en-US" w:eastAsia="zh-CN"/>
        </w:rPr>
        <w:t>支出:2.88万元，完成预算100%。</w:t>
      </w:r>
    </w:p>
    <w:p>
      <w:pPr>
        <w:spacing w:line="600" w:lineRule="exact"/>
        <w:ind w:firstLine="643" w:firstLineChars="200"/>
        <w:rPr>
          <w:rStyle w:val="16"/>
          <w:rFonts w:ascii="仿宋" w:hAnsi="仿宋" w:eastAsia="仿宋"/>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7.</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w:t>
      </w:r>
      <w:r>
        <w:rPr>
          <w:rFonts w:hint="eastAsia" w:ascii="仿宋" w:hAnsi="仿宋" w:eastAsia="仿宋"/>
          <w:b/>
          <w:bCs/>
          <w:color w:val="000000"/>
          <w:sz w:val="32"/>
          <w:szCs w:val="32"/>
          <w:lang w:val="en-US" w:eastAsia="zh-CN"/>
        </w:rPr>
        <w:t>2210201住房公积金</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43.94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7"/>
        </w:rPr>
      </w:pPr>
      <w:bookmarkStart w:id="59" w:name="_Toc27084"/>
      <w:bookmarkStart w:id="60" w:name="_Toc15377214"/>
      <w:bookmarkStart w:id="6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9"/>
      <w:bookmarkEnd w:id="60"/>
      <w:bookmarkEnd w:id="61"/>
      <w:r>
        <w:rPr>
          <w:rStyle w:val="27"/>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1225.02</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769.33</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99.92万元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251.33万元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4.82万元</w:t>
      </w:r>
      <w:r>
        <w:rPr>
          <w:rFonts w:hint="eastAsia" w:ascii="仿宋_GB2312" w:hAnsi="仿宋_GB2312" w:eastAsia="仿宋_GB2312" w:cs="仿宋_GB2312"/>
          <w:color w:val="000000"/>
          <w:sz w:val="32"/>
          <w:szCs w:val="32"/>
        </w:rPr>
        <w:t>、绩效工资</w:t>
      </w:r>
      <w:r>
        <w:rPr>
          <w:rFonts w:hint="eastAsia" w:ascii="仿宋_GB2312" w:hAnsi="仿宋_GB2312" w:eastAsia="仿宋_GB2312" w:cs="仿宋_GB2312"/>
          <w:color w:val="000000"/>
          <w:sz w:val="32"/>
          <w:szCs w:val="32"/>
          <w:lang w:val="en-US" w:eastAsia="zh-CN"/>
        </w:rPr>
        <w:t>20.54万元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44.51万元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22.22万元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24.68万元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公务员医疗补助缴费</w:t>
      </w:r>
      <w:r>
        <w:rPr>
          <w:rFonts w:hint="eastAsia" w:ascii="仿宋_GB2312" w:hAnsi="仿宋_GB2312" w:eastAsia="仿宋_GB2312" w:cs="仿宋_GB2312"/>
          <w:color w:val="000000"/>
          <w:sz w:val="32"/>
          <w:szCs w:val="32"/>
          <w:lang w:val="en-US" w:eastAsia="zh-CN"/>
        </w:rPr>
        <w:t>7.37万元、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5.89万元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43.94万元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医疗费2.84万元</w:t>
      </w:r>
      <w:r>
        <w:rPr>
          <w:rFonts w:hint="eastAsia" w:ascii="仿宋_GB2312" w:hAnsi="仿宋_GB2312" w:eastAsia="仿宋_GB2312" w:cs="仿宋_GB2312"/>
          <w:color w:val="000000"/>
          <w:sz w:val="32"/>
          <w:szCs w:val="32"/>
        </w:rPr>
        <w:t>、抚恤金</w:t>
      </w:r>
      <w:r>
        <w:rPr>
          <w:rFonts w:hint="eastAsia" w:ascii="仿宋_GB2312" w:hAnsi="仿宋_GB2312" w:eastAsia="仿宋_GB2312" w:cs="仿宋_GB2312"/>
          <w:color w:val="000000"/>
          <w:sz w:val="32"/>
          <w:szCs w:val="32"/>
          <w:lang w:val="en-US" w:eastAsia="zh-CN"/>
        </w:rPr>
        <w:t>20万元、生活补助179.45</w:t>
      </w:r>
      <w:r>
        <w:rPr>
          <w:rFonts w:hint="eastAsia" w:ascii="仿宋_GB2312" w:hAnsi="仿宋_GB2312" w:eastAsia="仿宋_GB2312" w:cs="仿宋_GB2312"/>
          <w:color w:val="000000"/>
          <w:sz w:val="32"/>
          <w:szCs w:val="32"/>
          <w:highlight w:val="none"/>
          <w:lang w:val="en-US" w:eastAsia="zh-CN"/>
        </w:rPr>
        <w:t>万元、</w:t>
      </w:r>
      <w:r>
        <w:rPr>
          <w:rFonts w:hint="eastAsia" w:ascii="仿宋_GB2312" w:hAnsi="仿宋_GB2312" w:eastAsia="仿宋_GB2312" w:cs="仿宋_GB2312"/>
          <w:color w:val="000000"/>
          <w:sz w:val="32"/>
          <w:szCs w:val="32"/>
          <w:highlight w:val="none"/>
        </w:rPr>
        <w:t>医疗费补助</w:t>
      </w:r>
      <w:r>
        <w:rPr>
          <w:rFonts w:hint="eastAsia" w:ascii="仿宋_GB2312" w:hAnsi="仿宋_GB2312" w:eastAsia="仿宋_GB2312" w:cs="仿宋_GB2312"/>
          <w:color w:val="000000"/>
          <w:sz w:val="32"/>
          <w:szCs w:val="32"/>
          <w:highlight w:val="none"/>
          <w:lang w:val="en-US" w:eastAsia="zh-CN"/>
        </w:rPr>
        <w:t>0.87万元</w:t>
      </w:r>
      <w:r>
        <w:rPr>
          <w:rFonts w:hint="eastAsia" w:ascii="仿宋_GB2312" w:hAnsi="仿宋_GB2312" w:eastAsia="仿宋_GB2312" w:cs="仿宋_GB2312"/>
          <w:color w:val="000000"/>
          <w:sz w:val="32"/>
          <w:szCs w:val="32"/>
          <w:highlight w:val="none"/>
        </w:rPr>
        <w:t>、奖励金</w:t>
      </w:r>
      <w:r>
        <w:rPr>
          <w:rFonts w:hint="eastAsia" w:ascii="仿宋_GB2312" w:hAnsi="仿宋_GB2312" w:eastAsia="仿宋_GB2312" w:cs="仿宋_GB2312"/>
          <w:color w:val="000000"/>
          <w:sz w:val="32"/>
          <w:szCs w:val="32"/>
          <w:highlight w:val="none"/>
          <w:lang w:val="en-US" w:eastAsia="zh-CN"/>
        </w:rPr>
        <w:t>0.02万元</w:t>
      </w:r>
      <w:r>
        <w:rPr>
          <w:rFonts w:hint="eastAsia" w:ascii="仿宋_GB2312" w:hAnsi="仿宋_GB2312" w:eastAsia="仿宋_GB2312" w:cs="仿宋_GB2312"/>
          <w:color w:val="000000"/>
          <w:sz w:val="32"/>
          <w:szCs w:val="32"/>
          <w:highlight w:val="none"/>
        </w:rPr>
        <w:t>、其他对个人和家庭的补助支出</w:t>
      </w:r>
      <w:r>
        <w:rPr>
          <w:rFonts w:hint="eastAsia" w:ascii="仿宋_GB2312" w:hAnsi="仿宋_GB2312" w:eastAsia="仿宋_GB2312" w:cs="仿宋_GB2312"/>
          <w:color w:val="000000"/>
          <w:sz w:val="32"/>
          <w:szCs w:val="32"/>
          <w:highlight w:val="none"/>
          <w:lang w:val="en-US" w:eastAsia="zh-CN"/>
        </w:rPr>
        <w:t>40.92万元</w:t>
      </w:r>
      <w:r>
        <w:rPr>
          <w:rFonts w:hint="eastAsia" w:ascii="仿宋_GB2312" w:hAnsi="仿宋_GB2312" w:eastAsia="仿宋_GB2312" w:cs="仿宋_GB2312"/>
          <w:color w:val="000000"/>
          <w:sz w:val="32"/>
          <w:szCs w:val="32"/>
          <w:highlight w:val="none"/>
        </w:rPr>
        <w:t>等。</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455.69</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194.57万元</w:t>
      </w:r>
      <w:r>
        <w:rPr>
          <w:rFonts w:hint="eastAsia" w:ascii="仿宋_GB2312" w:hAnsi="仿宋_GB2312" w:eastAsia="仿宋_GB2312" w:cs="仿宋_GB2312"/>
          <w:color w:val="000000"/>
          <w:sz w:val="32"/>
          <w:szCs w:val="32"/>
        </w:rPr>
        <w:t>、印刷费</w:t>
      </w:r>
      <w:r>
        <w:rPr>
          <w:rFonts w:hint="eastAsia" w:ascii="仿宋_GB2312" w:hAnsi="仿宋_GB2312" w:eastAsia="仿宋_GB2312" w:cs="仿宋_GB2312"/>
          <w:color w:val="000000"/>
          <w:sz w:val="32"/>
          <w:szCs w:val="32"/>
          <w:lang w:val="en-US" w:eastAsia="zh-CN"/>
        </w:rPr>
        <w:t>3万元</w:t>
      </w:r>
      <w:r>
        <w:rPr>
          <w:rFonts w:hint="eastAsia" w:ascii="仿宋_GB2312" w:hAnsi="仿宋_GB2312" w:eastAsia="仿宋_GB2312" w:cs="仿宋_GB2312"/>
          <w:color w:val="000000"/>
          <w:sz w:val="32"/>
          <w:szCs w:val="32"/>
        </w:rPr>
        <w:t>、水费</w:t>
      </w:r>
      <w:r>
        <w:rPr>
          <w:rFonts w:hint="eastAsia" w:ascii="仿宋_GB2312" w:hAnsi="仿宋_GB2312" w:eastAsia="仿宋_GB2312" w:cs="仿宋_GB2312"/>
          <w:color w:val="000000"/>
          <w:sz w:val="32"/>
          <w:szCs w:val="32"/>
          <w:lang w:val="en-US" w:eastAsia="zh-CN"/>
        </w:rPr>
        <w:t>0.5万元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3万元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3万元</w:t>
      </w:r>
      <w:r>
        <w:rPr>
          <w:rFonts w:hint="eastAsia" w:ascii="仿宋_GB2312" w:hAnsi="仿宋_GB2312" w:eastAsia="仿宋_GB2312" w:cs="仿宋_GB2312"/>
          <w:color w:val="000000"/>
          <w:sz w:val="32"/>
          <w:szCs w:val="32"/>
        </w:rPr>
        <w:t>、差旅费</w:t>
      </w:r>
      <w:r>
        <w:rPr>
          <w:rFonts w:hint="eastAsia" w:ascii="仿宋_GB2312" w:hAnsi="仿宋_GB2312" w:eastAsia="仿宋_GB2312" w:cs="仿宋_GB2312"/>
          <w:color w:val="000000"/>
          <w:sz w:val="32"/>
          <w:szCs w:val="32"/>
          <w:lang w:val="en-US" w:eastAsia="zh-CN"/>
        </w:rPr>
        <w:t>10万元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维修（护）费19.84万元、</w:t>
      </w:r>
      <w:r>
        <w:rPr>
          <w:rFonts w:hint="eastAsia" w:ascii="仿宋_GB2312" w:hAnsi="仿宋_GB2312" w:eastAsia="仿宋_GB2312" w:cs="仿宋_GB2312"/>
          <w:color w:val="000000"/>
          <w:sz w:val="32"/>
          <w:szCs w:val="32"/>
        </w:rPr>
        <w:t>培训费</w:t>
      </w:r>
      <w:r>
        <w:rPr>
          <w:rFonts w:hint="eastAsia" w:ascii="仿宋_GB2312" w:hAnsi="仿宋_GB2312" w:eastAsia="仿宋_GB2312" w:cs="仿宋_GB2312"/>
          <w:color w:val="000000"/>
          <w:sz w:val="32"/>
          <w:szCs w:val="32"/>
          <w:lang w:val="en-US" w:eastAsia="zh-CN"/>
        </w:rPr>
        <w:t>180.32万元</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12.32万元、其他商品和服务支出29.14万元</w:t>
      </w:r>
      <w:r>
        <w:rPr>
          <w:rFonts w:hint="eastAsia" w:ascii="仿宋_GB2312" w:hAnsi="仿宋_GB2312" w:eastAsia="仿宋_GB2312" w:cs="仿宋_GB2312"/>
          <w:color w:val="000000"/>
          <w:sz w:val="32"/>
          <w:szCs w:val="32"/>
        </w:rPr>
        <w:t>等。</w:t>
      </w:r>
    </w:p>
    <w:p>
      <w:pPr>
        <w:spacing w:line="600" w:lineRule="exact"/>
        <w:ind w:firstLine="640"/>
        <w:outlineLvl w:val="1"/>
        <w:rPr>
          <w:rStyle w:val="27"/>
          <w:rFonts w:hint="eastAsia" w:ascii="黑体" w:hAnsi="黑体" w:eastAsia="黑体" w:cs="黑体"/>
          <w:b w:val="0"/>
          <w:bCs w:val="0"/>
        </w:rPr>
      </w:pPr>
      <w:bookmarkStart w:id="62" w:name="_Toc31086"/>
      <w:bookmarkStart w:id="63" w:name="_Toc15377215"/>
      <w:bookmarkStart w:id="64" w:name="_Toc15396609"/>
      <w:r>
        <w:rPr>
          <w:rFonts w:hint="eastAsia" w:ascii="黑体" w:hAnsi="黑体" w:eastAsia="黑体" w:cs="黑体"/>
          <w:b w:val="0"/>
          <w:bCs w:val="0"/>
          <w:color w:val="000000"/>
          <w:sz w:val="32"/>
          <w:szCs w:val="32"/>
        </w:rPr>
        <w:t>七、</w:t>
      </w:r>
      <w:r>
        <w:rPr>
          <w:rStyle w:val="27"/>
          <w:rFonts w:hint="eastAsia" w:ascii="黑体" w:hAnsi="黑体" w:eastAsia="黑体" w:cs="黑体"/>
          <w:b w:val="0"/>
          <w:bCs w:val="0"/>
        </w:rPr>
        <w:t>“三公”经费财政拨款支出决算情况说明</w:t>
      </w:r>
      <w:bookmarkEnd w:id="62"/>
      <w:bookmarkEnd w:id="63"/>
      <w:bookmarkEnd w:id="64"/>
    </w:p>
    <w:p>
      <w:pPr>
        <w:spacing w:line="600" w:lineRule="exact"/>
        <w:ind w:firstLine="640"/>
        <w:outlineLvl w:val="2"/>
        <w:rPr>
          <w:rFonts w:hint="eastAsia" w:ascii="仿宋_GB2312" w:hAnsi="仿宋_GB2312" w:eastAsia="仿宋_GB2312" w:cs="仿宋_GB2312"/>
          <w:b/>
          <w:color w:val="000000"/>
          <w:sz w:val="32"/>
          <w:szCs w:val="32"/>
        </w:rPr>
      </w:pPr>
      <w:bookmarkStart w:id="65" w:name="_Toc31996"/>
      <w:bookmarkStart w:id="66" w:name="_Toc15377216"/>
      <w:r>
        <w:rPr>
          <w:rFonts w:hint="eastAsia" w:ascii="仿宋_GB2312" w:hAnsi="仿宋_GB2312" w:eastAsia="仿宋_GB2312" w:cs="仿宋_GB2312"/>
          <w:b/>
          <w:color w:val="000000"/>
          <w:sz w:val="32"/>
          <w:szCs w:val="32"/>
        </w:rPr>
        <w:t>（一）“三公”经费财政拨款支出决算总体情况说明</w:t>
      </w:r>
      <w:bookmarkEnd w:id="65"/>
      <w:bookmarkEnd w:id="66"/>
    </w:p>
    <w:p>
      <w:pPr>
        <w:spacing w:line="600" w:lineRule="exact"/>
        <w:ind w:firstLine="640"/>
        <w:rPr>
          <w:rFonts w:ascii="仿宋" w:hAnsi="仿宋" w:eastAsia="仿宋"/>
          <w:b/>
          <w:color w:val="FF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12.32</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7" w:name="_Toc19044"/>
      <w:bookmarkStart w:id="68" w:name="_Toc15377217"/>
      <w:r>
        <w:rPr>
          <w:rFonts w:hint="eastAsia" w:ascii="仿宋" w:hAnsi="仿宋" w:eastAsia="仿宋"/>
          <w:b/>
          <w:color w:val="000000"/>
          <w:sz w:val="32"/>
          <w:szCs w:val="32"/>
        </w:rPr>
        <w:t>（二）“三公”经费财政拨款支出决算具体情况说明</w:t>
      </w:r>
      <w:bookmarkEnd w:id="67"/>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12.32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163195</wp:posOffset>
            </wp:positionH>
            <wp:positionV relativeFrom="paragraph">
              <wp:posOffset>13970</wp:posOffset>
            </wp:positionV>
            <wp:extent cx="4841240" cy="2237740"/>
            <wp:effectExtent l="4445" t="4445" r="12065" b="5715"/>
            <wp:wrapTight wrapText="bothSides">
              <wp:wrapPolygon>
                <wp:start x="-20" y="-43"/>
                <wp:lineTo x="-20" y="21471"/>
                <wp:lineTo x="21569" y="21471"/>
                <wp:lineTo x="21569" y="-43"/>
                <wp:lineTo x="-20"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0"/>
        </w:num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与2019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决算数一致</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未安排</w:t>
      </w:r>
      <w:r>
        <w:rPr>
          <w:rFonts w:hint="eastAsia" w:ascii="仿宋_GB2312" w:eastAsia="仿宋_GB2312"/>
          <w:b w:val="0"/>
          <w:bCs w:val="0"/>
          <w:color w:val="000000"/>
          <w:sz w:val="32"/>
          <w:szCs w:val="32"/>
        </w:rPr>
        <w:t>因公出国（境）</w:t>
      </w:r>
      <w:r>
        <w:rPr>
          <w:rFonts w:hint="eastAsia" w:ascii="仿宋_GB2312" w:eastAsia="仿宋_GB2312"/>
          <w:b w:val="0"/>
          <w:bCs w:val="0"/>
          <w:color w:val="000000"/>
          <w:sz w:val="32"/>
          <w:szCs w:val="32"/>
          <w:lang w:eastAsia="zh-CN"/>
        </w:rPr>
        <w:t>。</w:t>
      </w:r>
    </w:p>
    <w:p>
      <w:pPr>
        <w:spacing w:line="52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12.32</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8.54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12.44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勤俭节约</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12.32</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出差、下乡</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outlineLvl w:val="1"/>
        <w:rPr>
          <w:rStyle w:val="27"/>
          <w:rFonts w:ascii="黑体" w:hAnsi="黑体" w:eastAsia="黑体"/>
        </w:rPr>
      </w:pPr>
      <w:bookmarkStart w:id="69" w:name="_Toc15377218"/>
      <w:bookmarkStart w:id="70" w:name="_Toc15396610"/>
      <w:bookmarkStart w:id="71" w:name="_Toc1937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69"/>
      <w:bookmarkEnd w:id="70"/>
      <w:bookmarkEnd w:id="7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7"/>
          <w:rFonts w:ascii="黑体" w:hAnsi="黑体" w:eastAsia="黑体"/>
          <w:b w:val="0"/>
        </w:rPr>
      </w:pPr>
      <w:bookmarkStart w:id="72" w:name="_Toc15396611"/>
      <w:bookmarkStart w:id="73" w:name="_Toc15377219"/>
      <w:bookmarkStart w:id="74" w:name="_Toc30285"/>
      <w:r>
        <w:rPr>
          <w:rStyle w:val="27"/>
          <w:rFonts w:hint="eastAsia" w:ascii="黑体" w:hAnsi="黑体" w:eastAsia="黑体"/>
          <w:b w:val="0"/>
          <w:lang w:val="en-US" w:eastAsia="zh-CN"/>
        </w:rPr>
        <w:t>九、</w:t>
      </w:r>
      <w:r>
        <w:rPr>
          <w:rStyle w:val="27"/>
          <w:rFonts w:hint="eastAsia" w:ascii="黑体" w:hAnsi="黑体" w:eastAsia="黑体"/>
          <w:b w:val="0"/>
        </w:rPr>
        <w:t>国有资本经营预算支出决算情况说明</w:t>
      </w:r>
      <w:bookmarkEnd w:id="72"/>
      <w:bookmarkEnd w:id="73"/>
      <w:bookmarkEnd w:id="74"/>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7"/>
          <w:rFonts w:ascii="黑体" w:hAnsi="黑体" w:eastAsia="黑体"/>
        </w:rPr>
      </w:pPr>
      <w:bookmarkStart w:id="75" w:name="_Toc15396612"/>
      <w:bookmarkStart w:id="76" w:name="_Toc15377221"/>
      <w:bookmarkStart w:id="77" w:name="_Toc27185"/>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75"/>
      <w:bookmarkEnd w:id="76"/>
      <w:bookmarkEnd w:id="77"/>
    </w:p>
    <w:p>
      <w:pPr>
        <w:spacing w:line="600" w:lineRule="exact"/>
        <w:ind w:firstLine="643" w:firstLineChars="200"/>
        <w:outlineLvl w:val="2"/>
        <w:rPr>
          <w:rFonts w:ascii="仿宋" w:hAnsi="仿宋" w:eastAsia="仿宋"/>
          <w:color w:val="000000"/>
          <w:sz w:val="32"/>
          <w:szCs w:val="32"/>
        </w:rPr>
      </w:pPr>
      <w:bookmarkStart w:id="78" w:name="_Toc15377222"/>
      <w:bookmarkStart w:id="79" w:name="_Toc30093"/>
      <w:r>
        <w:rPr>
          <w:rFonts w:hint="eastAsia" w:ascii="仿宋" w:hAnsi="仿宋" w:eastAsia="仿宋"/>
          <w:b/>
          <w:color w:val="000000"/>
          <w:sz w:val="32"/>
          <w:szCs w:val="32"/>
        </w:rPr>
        <w:t>（一）机关运行经费支出情况</w:t>
      </w:r>
      <w:bookmarkEnd w:id="78"/>
      <w:bookmarkEnd w:id="79"/>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1225.02</w:t>
      </w:r>
      <w:r>
        <w:rPr>
          <w:rFonts w:hint="eastAsia" w:ascii="仿宋_GB2312" w:eastAsia="仿宋_GB2312"/>
          <w:color w:val="000000"/>
          <w:sz w:val="32"/>
          <w:szCs w:val="32"/>
        </w:rPr>
        <w:t>万元，</w:t>
      </w:r>
      <w:r>
        <w:rPr>
          <w:rFonts w:hint="eastAsia" w:ascii="仿宋_GB2312" w:eastAsia="仿宋_GB2312"/>
          <w:color w:val="auto"/>
          <w:sz w:val="32"/>
          <w:szCs w:val="32"/>
          <w:highlight w:val="none"/>
        </w:rPr>
        <w:t>比</w:t>
      </w:r>
      <w:r>
        <w:rPr>
          <w:rFonts w:hint="eastAsia" w:ascii="仿宋_GB2312" w:eastAsia="仿宋_GB2312"/>
          <w:color w:val="auto"/>
          <w:sz w:val="32"/>
          <w:szCs w:val="32"/>
          <w:highlight w:val="none"/>
          <w:lang w:val="en-US" w:eastAsia="zh-CN"/>
        </w:rPr>
        <w:t>2019</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126.93</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11.60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lang w:val="en-US" w:eastAsia="zh-CN"/>
          <w14:textFill>
            <w14:solidFill>
              <w14:schemeClr w14:val="tx1"/>
            </w14:solidFill>
          </w14:textFill>
        </w:rPr>
        <w:t>经费</w:t>
      </w:r>
      <w:r>
        <w:rPr>
          <w:rFonts w:hint="eastAsia" w:ascii="仿宋_GB2312" w:eastAsia="仿宋_GB2312"/>
          <w:color w:val="000000" w:themeColor="text1"/>
          <w:sz w:val="32"/>
          <w:szCs w:val="32"/>
          <w:lang w:eastAsia="zh-CN"/>
          <w14:textFill>
            <w14:solidFill>
              <w14:schemeClr w14:val="tx1"/>
            </w14:solidFill>
          </w14:textFill>
        </w:rPr>
        <w:t>和业务工作经费支出增加。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0" w:name="_Toc15377223"/>
      <w:bookmarkStart w:id="81" w:name="_Toc5908"/>
      <w:r>
        <w:rPr>
          <w:rFonts w:hint="eastAsia" w:ascii="仿宋" w:hAnsi="仿宋" w:eastAsia="仿宋"/>
          <w:b/>
          <w:color w:val="000000"/>
          <w:sz w:val="32"/>
          <w:szCs w:val="32"/>
        </w:rPr>
        <w:t>（二）政府采购支出情况</w:t>
      </w:r>
      <w:bookmarkEnd w:id="80"/>
      <w:bookmarkEnd w:id="81"/>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5768"/>
      <w:bookmarkStart w:id="83" w:name="_Toc15377224"/>
      <w:r>
        <w:rPr>
          <w:rFonts w:hint="eastAsia" w:ascii="仿宋" w:hAnsi="仿宋" w:eastAsia="仿宋"/>
          <w:b/>
          <w:color w:val="000000"/>
          <w:sz w:val="32"/>
          <w:szCs w:val="32"/>
        </w:rPr>
        <w:t>（三）国有资产占有使用情况</w:t>
      </w:r>
      <w:bookmarkEnd w:id="82"/>
      <w:bookmarkEnd w:id="83"/>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4" w:name="_Toc26353"/>
      <w:r>
        <w:rPr>
          <w:rFonts w:hint="eastAsia" w:ascii="仿宋" w:hAnsi="仿宋" w:eastAsia="仿宋"/>
          <w:b/>
          <w:color w:val="000000"/>
          <w:sz w:val="32"/>
          <w:szCs w:val="32"/>
        </w:rPr>
        <w:t>（四）预算绩效管理情况。</w:t>
      </w:r>
      <w:bookmarkEnd w:id="8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人才发展专项资金</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完成效果较好。</w:t>
      </w:r>
    </w:p>
    <w:p>
      <w:pPr>
        <w:numPr>
          <w:numId w:val="0"/>
        </w:num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项目绩效目标完成情况。</w:t>
      </w:r>
    </w:p>
    <w:p>
      <w:pPr>
        <w:numPr>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人才工作经费”</w:t>
      </w:r>
      <w:r>
        <w:rPr>
          <w:rFonts w:hint="eastAsia" w:ascii="仿宋_GB2312" w:hAnsi="仿宋_GB2312" w:eastAsia="仿宋_GB2312" w:cs="仿宋_GB2312"/>
          <w:sz w:val="32"/>
          <w:szCs w:val="32"/>
        </w:rPr>
        <w:t>项目绩效目标实际完成情况。</w:t>
      </w:r>
    </w:p>
    <w:p>
      <w:pPr>
        <w:numPr>
          <w:ilvl w:val="0"/>
          <w:numId w:val="3"/>
        </w:num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人才发展工作经费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全县人才开发和慰问等日常工作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实施效果不明显</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加大投入力度。</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14"/>
        <w:tblW w:w="9369" w:type="dxa"/>
        <w:jc w:val="center"/>
        <w:tblLayout w:type="fixed"/>
        <w:tblCellMar>
          <w:top w:w="0" w:type="dxa"/>
          <w:left w:w="0" w:type="dxa"/>
          <w:bottom w:w="0" w:type="dxa"/>
          <w:right w:w="0" w:type="dxa"/>
        </w:tblCellMar>
      </w:tblPr>
      <w:tblGrid>
        <w:gridCol w:w="623"/>
        <w:gridCol w:w="1188"/>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ascii="宋体" w:hAnsi="宋体" w:cs="宋体"/>
                <w:color w:val="000000" w:themeColor="text1"/>
                <w:kern w:val="0"/>
                <w:sz w:val="24"/>
                <w14:textFill>
                  <w14:solidFill>
                    <w14:schemeClr w14:val="tx1"/>
                  </w14:solidFill>
                </w14:textFill>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人才发展经费</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1440" w:firstLineChars="600"/>
              <w:jc w:val="both"/>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中共红原县委组织部</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全县人才开发</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eastAsia="宋体" w:cs="宋体"/>
                <w:sz w:val="24"/>
                <w:szCs w:val="24"/>
              </w:rPr>
              <w:t>保障</w:t>
            </w:r>
            <w:r>
              <w:rPr>
                <w:rFonts w:hint="eastAsia" w:ascii="宋体" w:hAnsi="宋体" w:eastAsia="宋体" w:cs="宋体"/>
                <w:sz w:val="24"/>
                <w:szCs w:val="24"/>
                <w:lang w:val="en-US" w:eastAsia="zh-CN"/>
              </w:rPr>
              <w:t>全县人才开发和慰问等日常工作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3" name="直接连接符_8"/>
                  <wp:cNvGraphicFramePr/>
                  <a:graphic xmlns:a="http://schemas.openxmlformats.org/drawingml/2006/main">
                    <a:graphicData uri="http://schemas.openxmlformats.org/drawingml/2006/picture">
                      <pic:pic xmlns:pic="http://schemas.openxmlformats.org/drawingml/2006/picture">
                        <pic:nvPicPr>
                          <pic:cNvPr id="1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人才开发</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人才开发</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优质全县人才发展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优质全县人才发展</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保障优秀人才开发</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cs="宋体"/>
                <w:color w:val="000000" w:themeColor="text1"/>
                <w:sz w:val="20"/>
                <w:szCs w:val="20"/>
                <w:lang w:val="en-US"/>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保障优秀人才开发</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w:t>
            </w:r>
            <w:r>
              <w:rPr>
                <w:rFonts w:hint="eastAsia" w:ascii="宋体" w:hAnsi="宋体" w:cs="宋体"/>
                <w:color w:val="000000" w:themeColor="text1"/>
                <w:sz w:val="20"/>
                <w:szCs w:val="20"/>
                <w14:textFill>
                  <w14:solidFill>
                    <w14:schemeClr w14:val="tx1"/>
                  </w14:solidFill>
                </w14:textFill>
              </w:rPr>
              <w:t>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100%</w:t>
            </w:r>
          </w:p>
        </w:tc>
      </w:tr>
    </w:tbl>
    <w:p>
      <w:pPr>
        <w:spacing w:line="580" w:lineRule="exact"/>
        <w:ind w:left="630"/>
        <w:rPr>
          <w:rFonts w:hint="eastAsia" w:ascii="楷体_GB2312" w:hAnsi="楷体_GB2312" w:eastAsia="楷体_GB2312" w:cs="楷体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组织部</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年部门整体支出绩效评价报告》见附件（附件1）。</w:t>
      </w:r>
    </w:p>
    <w:p>
      <w:pPr>
        <w:pStyle w:val="2"/>
        <w:rPr>
          <w:rFonts w:hint="eastAsia" w:ascii="仿宋_GB2312" w:hAnsi="仿宋_GB2312" w:eastAsia="仿宋_GB2312" w:cs="仿宋_GB2312"/>
          <w:sz w:val="32"/>
          <w:szCs w:val="32"/>
        </w:rPr>
      </w:pPr>
    </w:p>
    <w:p>
      <w:pPr>
        <w:pStyle w:val="2"/>
        <w:rPr>
          <w:rFonts w:hint="default" w:ascii="仿宋_GB2312" w:hAnsi="仿宋_GB2312" w:eastAsia="仿宋_GB2312" w:cs="仿宋_GB2312"/>
          <w:sz w:val="32"/>
          <w:szCs w:val="32"/>
          <w:lang w:val="en-US" w:eastAsia="zh-CN"/>
        </w:rPr>
      </w:pPr>
    </w:p>
    <w:p>
      <w:pPr>
        <w:pStyle w:val="2"/>
        <w:rPr>
          <w:rFonts w:hint="default"/>
          <w:lang w:val="en-US" w:eastAsia="zh-CN"/>
        </w:rPr>
      </w:pPr>
    </w:p>
    <w:p>
      <w:pPr>
        <w:numPr>
          <w:ilvl w:val="0"/>
          <w:numId w:val="4"/>
        </w:numPr>
        <w:spacing w:line="600" w:lineRule="exact"/>
        <w:ind w:firstLine="660" w:firstLineChars="150"/>
        <w:jc w:val="center"/>
        <w:outlineLvl w:val="0"/>
        <w:rPr>
          <w:rStyle w:val="26"/>
          <w:rFonts w:ascii="黑体" w:hAnsi="黑体" w:eastAsia="黑体"/>
          <w:b w:val="0"/>
        </w:rPr>
      </w:pPr>
      <w:bookmarkStart w:id="85" w:name="_Toc15377225"/>
      <w:bookmarkStart w:id="86" w:name="_Toc6574"/>
      <w:bookmarkStart w:id="87"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85"/>
      <w:bookmarkEnd w:id="86"/>
      <w:bookmarkEnd w:id="87"/>
    </w:p>
    <w:p>
      <w:pPr>
        <w:spacing w:line="600" w:lineRule="exact"/>
        <w:jc w:val="left"/>
        <w:rPr>
          <w:rFonts w:ascii="宋体"/>
          <w:b/>
          <w:color w:val="000000"/>
          <w:sz w:val="44"/>
          <w:szCs w:val="44"/>
        </w:rPr>
      </w:pP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4.其他收入：指单位取得的除上述收入以外的各项收入。主要是</w:t>
      </w:r>
      <w:r>
        <w:rPr>
          <w:rFonts w:hint="eastAsia" w:ascii="仿宋_GB2312" w:hAnsi="仿宋_GB2312" w:eastAsia="仿宋_GB2312" w:cs="仿宋_GB2312"/>
          <w:sz w:val="32"/>
          <w:szCs w:val="32"/>
          <w:lang w:eastAsia="zh-CN"/>
        </w:rPr>
        <w:t>利息收入</w:t>
      </w:r>
      <w:r>
        <w:rPr>
          <w:rFonts w:hint="eastAsia" w:ascii="仿宋_GB2312" w:hAnsi="仿宋_GB2312" w:eastAsia="仿宋_GB2312" w:cs="仿宋_GB2312"/>
          <w:sz w:val="32"/>
          <w:szCs w:val="32"/>
        </w:rPr>
        <w:t xml:space="preserve">等。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8、年末结转和结余：指单位按有关规定结转到下年或以后年度继续使用的资金。</w:t>
      </w:r>
    </w:p>
    <w:p>
      <w:pPr>
        <w:pStyle w:val="24"/>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9</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一般公共服务（类）：</w:t>
      </w:r>
      <w:r>
        <w:rPr>
          <w:rFonts w:hint="eastAsia" w:ascii="仿宋_GB2312" w:hAnsi="仿宋_GB2312" w:eastAsia="仿宋_GB2312" w:cs="仿宋_GB2312"/>
          <w:color w:val="000000"/>
          <w:sz w:val="32"/>
          <w:szCs w:val="32"/>
          <w:lang w:eastAsia="zh-CN"/>
        </w:rPr>
        <w:t>行政运行（项）：</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行政机关用于保障机构正常正常运转，开展日常工作的基本支出。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一般公共服务（类）：</w:t>
      </w:r>
      <w:r>
        <w:rPr>
          <w:rFonts w:hint="eastAsia" w:ascii="仿宋_GB2312" w:hAnsi="仿宋_GB2312" w:eastAsia="仿宋_GB2312" w:cs="仿宋_GB2312"/>
          <w:color w:val="000000"/>
          <w:sz w:val="32"/>
          <w:szCs w:val="32"/>
          <w:lang w:eastAsia="zh-CN"/>
        </w:rPr>
        <w:t>一般行政管理</w:t>
      </w:r>
      <w:r>
        <w:rPr>
          <w:rFonts w:hint="eastAsia" w:ascii="仿宋_GB2312" w:hAnsi="仿宋_GB2312" w:eastAsia="仿宋_GB2312" w:cs="仿宋_GB2312"/>
          <w:color w:val="000000"/>
          <w:sz w:val="32"/>
          <w:szCs w:val="32"/>
          <w:lang w:val="en-US" w:eastAsia="zh-CN"/>
        </w:rPr>
        <w:t xml:space="preserve"> 事务（项）：指行政机关开展专项工作等未单独设置项级科目的专门性管理工作的项目支出。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社会保障和就业（类）</w:t>
      </w:r>
      <w:r>
        <w:rPr>
          <w:rFonts w:hint="eastAsia" w:ascii="仿宋_GB2312" w:hAnsi="仿宋_GB2312" w:eastAsia="仿宋_GB2312" w:cs="仿宋_GB2312"/>
          <w:color w:val="000000"/>
          <w:sz w:val="32"/>
          <w:szCs w:val="32"/>
          <w:lang w:eastAsia="zh-CN"/>
        </w:rPr>
        <w:t>行政事业单位</w:t>
      </w:r>
      <w:r>
        <w:rPr>
          <w:rFonts w:hint="eastAsia" w:ascii="仿宋_GB2312" w:hAnsi="仿宋_GB2312" w:eastAsia="仿宋_GB2312" w:cs="仿宋_GB2312"/>
          <w:color w:val="000000"/>
          <w:sz w:val="32"/>
          <w:szCs w:val="32"/>
          <w:lang w:val="en-US" w:eastAsia="zh-CN"/>
        </w:rPr>
        <w:t>退休</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机关事业单位</w:t>
      </w:r>
      <w:r>
        <w:rPr>
          <w:rFonts w:hint="eastAsia" w:ascii="仿宋_GB2312" w:hAnsi="仿宋_GB2312" w:eastAsia="仿宋_GB2312" w:cs="仿宋_GB2312"/>
          <w:color w:val="000000"/>
          <w:sz w:val="32"/>
          <w:szCs w:val="32"/>
          <w:lang w:val="en-US" w:eastAsia="zh-CN"/>
        </w:rPr>
        <w:t>基本养老保险缴费支出</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部门实施养老保险制度由单位缴纳的养老保险费的支出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社会保障和就业（类）</w:t>
      </w:r>
      <w:r>
        <w:rPr>
          <w:rFonts w:hint="eastAsia" w:ascii="仿宋_GB2312" w:hAnsi="仿宋_GB2312" w:eastAsia="仿宋_GB2312" w:cs="仿宋_GB2312"/>
          <w:color w:val="000000"/>
          <w:sz w:val="32"/>
          <w:szCs w:val="32"/>
          <w:lang w:eastAsia="zh-CN"/>
        </w:rPr>
        <w:t>行政事业单位</w:t>
      </w:r>
      <w:r>
        <w:rPr>
          <w:rFonts w:hint="eastAsia" w:ascii="仿宋_GB2312" w:hAnsi="仿宋_GB2312" w:eastAsia="仿宋_GB2312" w:cs="仿宋_GB2312"/>
          <w:color w:val="000000"/>
          <w:sz w:val="32"/>
          <w:szCs w:val="32"/>
          <w:lang w:val="en-US" w:eastAsia="zh-CN"/>
        </w:rPr>
        <w:t>退休</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机关事业单位</w:t>
      </w:r>
      <w:r>
        <w:rPr>
          <w:rFonts w:hint="eastAsia" w:ascii="仿宋_GB2312" w:hAnsi="仿宋_GB2312" w:eastAsia="仿宋_GB2312" w:cs="仿宋_GB2312"/>
          <w:color w:val="000000"/>
          <w:sz w:val="32"/>
          <w:szCs w:val="32"/>
          <w:lang w:val="en-US" w:eastAsia="zh-CN"/>
        </w:rPr>
        <w:t>职业年金缴费支出</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部门实施养老保险制度由单位缴纳的职业年金的支出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医疗卫生与计划生育（类）</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行政机关用于缴纳单位</w:t>
      </w:r>
      <w:r>
        <w:rPr>
          <w:rFonts w:hint="eastAsia" w:ascii="仿宋_GB2312" w:hAnsi="仿宋_GB2312" w:eastAsia="仿宋_GB2312" w:cs="仿宋_GB2312"/>
          <w:color w:val="000000"/>
          <w:sz w:val="32"/>
          <w:szCs w:val="32"/>
          <w:lang w:val="en-US" w:eastAsia="zh-CN"/>
        </w:rPr>
        <w:t>基本医疗保险的支出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.医疗卫生与计划生育（类）</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指行政机关及参公管理事业单位</w:t>
      </w:r>
      <w:r>
        <w:rPr>
          <w:rFonts w:hint="eastAsia" w:ascii="仿宋_GB2312" w:hAnsi="仿宋_GB2312" w:eastAsia="仿宋_GB2312" w:cs="仿宋_GB2312"/>
          <w:color w:val="000000"/>
          <w:sz w:val="32"/>
          <w:szCs w:val="32"/>
          <w:lang w:val="en-US" w:eastAsia="zh-CN"/>
        </w:rPr>
        <w:t xml:space="preserve"> 用于集中缴纳公务员医疗补助的支出。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.住房保障（类）</w:t>
      </w:r>
      <w:r>
        <w:rPr>
          <w:rFonts w:hint="eastAsia" w:ascii="仿宋_GB2312" w:hAnsi="仿宋_GB2312" w:eastAsia="仿宋_GB2312" w:cs="仿宋_GB2312"/>
          <w:color w:val="000000"/>
          <w:sz w:val="32"/>
          <w:szCs w:val="32"/>
          <w:lang w:eastAsia="zh-CN"/>
        </w:rPr>
        <w:t>住房改革支出</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住房公积金</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按照《住房公积金管理条例》的规定，由单位</w:t>
      </w:r>
      <w:r>
        <w:rPr>
          <w:rFonts w:hint="eastAsia" w:ascii="仿宋_GB2312" w:hAnsi="仿宋_GB2312" w:eastAsia="仿宋_GB2312" w:cs="仿宋_GB2312"/>
          <w:color w:val="000000"/>
          <w:sz w:val="32"/>
          <w:szCs w:val="32"/>
          <w:lang w:val="en-US" w:eastAsia="zh-CN"/>
        </w:rPr>
        <w:t xml:space="preserve"> 及其在职职工缴存的住房公积金</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.“三公”经费：指部门用财政拨款安排的</w:t>
      </w:r>
      <w:r>
        <w:rPr>
          <w:rFonts w:hint="eastAsia" w:ascii="仿宋_GB2312" w:hAnsi="仿宋_GB2312" w:eastAsia="仿宋_GB2312" w:cs="仿宋_GB2312"/>
          <w:sz w:val="32"/>
          <w:szCs w:val="32"/>
          <w:lang w:eastAsia="zh-CN"/>
        </w:rPr>
        <w:t>公</w:t>
      </w:r>
      <w:r>
        <w:rPr>
          <w:rFonts w:hint="eastAsia" w:ascii="仿宋_GB2312" w:hAnsi="仿宋_GB2312" w:eastAsia="仿宋_GB2312" w:cs="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.机关运行经费：为保障行政单位运行用于购买货物和服务的各项资金，包括办公</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印刷费、邮电费、差旅费、日常维修费、办公用房水电费、办公用房取暖费、公务用车运行维护费以及其他费用。</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（解释本部门决算报表中全部功能分类科目至项级，请参照《</w:t>
      </w:r>
      <w:r>
        <w:rPr>
          <w:rFonts w:hint="eastAsia" w:ascii="仿宋_GB2312" w:hAnsi="仿宋_GB2312" w:eastAsia="仿宋_GB2312" w:cs="仿宋_GB2312"/>
          <w:b/>
          <w:color w:val="000000"/>
          <w:sz w:val="32"/>
          <w:szCs w:val="32"/>
          <w:lang w:val="en-US" w:eastAsia="zh-CN"/>
        </w:rPr>
        <w:t>2020</w:t>
      </w:r>
      <w:r>
        <w:rPr>
          <w:rFonts w:hint="eastAsia" w:ascii="仿宋_GB2312" w:hAnsi="仿宋_GB2312" w:eastAsia="仿宋_GB2312" w:cs="仿宋_GB2312"/>
          <w:b/>
          <w:color w:val="000000"/>
          <w:sz w:val="32"/>
          <w:szCs w:val="32"/>
        </w:rPr>
        <w:t>年政府收支分类科目》增减内容。）</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88" w:name="_Toc15377226"/>
      <w:r>
        <w:rPr>
          <w:rFonts w:hint="eastAsia" w:ascii="仿宋_GB2312" w:hAnsi="仿宋_GB2312" w:eastAsia="仿宋_GB2312" w:cs="仿宋_GB2312"/>
          <w:color w:val="000000"/>
          <w:sz w:val="32"/>
          <w:szCs w:val="32"/>
        </w:rPr>
        <w:t>27.基本支出：指为保障机构正常运转、完成日常工作任务而发生的人员支出和公用支出。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28.项目支出：指在基本支出之外为完成特定行政任务和事业发展目标所发生的支出。 </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29.经营支出：指事业单位在专业业务活动及其辅助活动之外开展非独立核算经营活动发生的支出。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w:t>
      </w:r>
    </w:p>
    <w:p>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（名词解释部分请根据各部门实际列支情况罗列，并根据本部门职责职能增减名词解释内容。）</w:t>
      </w:r>
    </w:p>
    <w:p>
      <w:pPr>
        <w:keepNext w:val="0"/>
        <w:keepLines w:val="0"/>
        <w:pageBreakBefore w:val="0"/>
        <w:widowControl w:val="0"/>
        <w:kinsoku/>
        <w:wordWrap/>
        <w:overflowPunct/>
        <w:topLinePunct w:val="0"/>
        <w:bidi w:val="0"/>
        <w:snapToGrid/>
        <w:spacing w:line="560" w:lineRule="exact"/>
        <w:jc w:val="center"/>
        <w:textAlignment w:val="auto"/>
        <w:outlineLvl w:val="0"/>
        <w:rPr>
          <w:rStyle w:val="26"/>
          <w:rFonts w:ascii="黑体" w:hAnsi="黑体" w:eastAsia="黑体"/>
          <w:b w:val="0"/>
        </w:rPr>
      </w:pPr>
      <w:r>
        <w:rPr>
          <w:rFonts w:ascii="宋体"/>
          <w:b/>
          <w:color w:val="000000"/>
          <w:sz w:val="44"/>
          <w:szCs w:val="44"/>
        </w:rPr>
        <w:br w:type="page"/>
      </w:r>
      <w:bookmarkStart w:id="89" w:name="_Toc9421"/>
      <w:bookmarkStart w:id="90"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89"/>
      <w:bookmarkEnd w:id="90"/>
    </w:p>
    <w:p>
      <w:pPr>
        <w:spacing w:line="600" w:lineRule="exact"/>
        <w:jc w:val="left"/>
        <w:outlineLvl w:val="0"/>
        <w:rPr>
          <w:rFonts w:ascii="方正小标宋简体" w:hAnsi="方正小标宋简体" w:eastAsia="方正小标宋简体" w:cs="方正小标宋简体"/>
          <w:sz w:val="32"/>
          <w:szCs w:val="32"/>
        </w:rPr>
      </w:pPr>
      <w:bookmarkStart w:id="91" w:name="_Toc19034"/>
      <w:r>
        <w:rPr>
          <w:rFonts w:hint="eastAsia" w:ascii="黑体" w:hAnsi="黑体" w:eastAsia="黑体" w:cs="黑体"/>
          <w:sz w:val="32"/>
          <w:szCs w:val="32"/>
        </w:rPr>
        <w:t>附件1</w:t>
      </w:r>
      <w:bookmarkEnd w:id="91"/>
    </w:p>
    <w:p>
      <w:pPr>
        <w:spacing w:line="58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中共红原县委组织部</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2020</w:t>
      </w:r>
      <w:r>
        <w:rPr>
          <w:rFonts w:ascii="方正小标宋简体" w:hAnsi="宋体" w:eastAsia="方正小标宋简体"/>
          <w:color w:val="000000"/>
          <w:kern w:val="0"/>
          <w:sz w:val="44"/>
          <w:szCs w:val="44"/>
        </w:rPr>
        <w:t>年部门</w:t>
      </w:r>
      <w:r>
        <w:rPr>
          <w:rFonts w:hint="eastAsia" w:ascii="方正小标宋简体" w:hAnsi="宋体" w:eastAsia="方正小标宋简体"/>
          <w:color w:val="000000"/>
          <w:kern w:val="0"/>
          <w:sz w:val="44"/>
          <w:szCs w:val="44"/>
          <w:lang w:val="zh-CN"/>
        </w:rPr>
        <w:t>整体支出绩效评价报告</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960" w:firstLineChars="3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sz w:val="32"/>
          <w:szCs w:val="32"/>
        </w:rPr>
        <w:t>行政单位1个，</w:t>
      </w:r>
      <w:r>
        <w:rPr>
          <w:rFonts w:hint="eastAsia" w:ascii="仿宋_GB2312" w:hAnsi="仿宋_GB2312" w:eastAsia="仿宋_GB2312" w:cs="仿宋_GB2312"/>
          <w:color w:val="000000"/>
          <w:kern w:val="0"/>
          <w:sz w:val="32"/>
          <w:szCs w:val="32"/>
          <w:lang w:val="en-US" w:eastAsia="zh-CN" w:bidi="ar"/>
        </w:rPr>
        <w:t>下设参公单位2个、事业单位2个。</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（二）机构职能。</w:t>
      </w:r>
      <w:r>
        <w:rPr>
          <w:rFonts w:hint="eastAsia" w:ascii="仿宋_GB2312" w:hAnsi="仿宋_GB2312" w:eastAsia="仿宋_GB2312" w:cs="仿宋_GB2312"/>
          <w:bCs/>
          <w:sz w:val="32"/>
          <w:szCs w:val="32"/>
        </w:rPr>
        <w:t>委组织部是县委主管组织工作、干部工作和人才工作的职能部门，主要职责是研究、指导全县各级党组织特别是党的基层组织建设，协调、规划和指导全县党员教育管理和强化党员发展工作；负责乡镇、县级各部门和县委、县政府直属企事业单位以及其他列入县委管理的领导班子和领导干部的考察考核，并提出领导班子调整、配备和任免的意见和建议；研究全县干部人才队伍建设的政策、措施；负责组织、干部工作的监督检查以及有关的综合协调工作，及时向县委和州委组织部反映情况，提出建议；指导和承办离休干部和副县级以上退休干部的安置、管理、服务工作。</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仿宋_GB2312" w:hAnsi="宋体" w:eastAsia="仿宋_GB2312" w:cs="宋体"/>
          <w:b w:val="0"/>
          <w:bCs/>
          <w:color w:val="auto"/>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32</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val="en-US" w:eastAsia="zh-CN"/>
        </w:rPr>
        <w:t>参公编制9个、事业编制7个、</w:t>
      </w:r>
      <w:r>
        <w:rPr>
          <w:rFonts w:hint="eastAsia" w:ascii="仿宋_GB2312" w:hAnsi="仿宋_GB2312" w:eastAsia="仿宋_GB2312" w:cs="仿宋_GB2312"/>
          <w:bCs/>
          <w:sz w:val="32"/>
          <w:szCs w:val="32"/>
        </w:rPr>
        <w:t>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w:t>
      </w:r>
      <w:r>
        <w:rPr>
          <w:rFonts w:hint="eastAsia" w:ascii="仿宋_GB2312" w:hAnsi="仿宋_GB2312" w:eastAsia="仿宋_GB2312" w:cs="仿宋_GB2312"/>
          <w:b w:val="0"/>
          <w:bCs/>
          <w:color w:val="auto"/>
          <w:sz w:val="32"/>
          <w:szCs w:val="32"/>
        </w:rPr>
        <w:t>在职</w:t>
      </w:r>
      <w:r>
        <w:rPr>
          <w:rFonts w:hint="eastAsia" w:ascii="仿宋_GB2312" w:hAnsi="仿宋_GB2312" w:eastAsia="仿宋_GB2312" w:cs="仿宋_GB2312"/>
          <w:b w:val="0"/>
          <w:bCs/>
          <w:color w:val="auto"/>
          <w:sz w:val="32"/>
          <w:szCs w:val="32"/>
          <w:lang w:val="en-US" w:eastAsia="zh-CN"/>
        </w:rPr>
        <w:t>27</w:t>
      </w:r>
      <w:r>
        <w:rPr>
          <w:rFonts w:hint="eastAsia" w:ascii="仿宋_GB2312" w:hAnsi="仿宋_GB2312" w:eastAsia="仿宋_GB2312" w:cs="仿宋_GB2312"/>
          <w:b w:val="0"/>
          <w:bCs/>
          <w:color w:val="auto"/>
          <w:sz w:val="32"/>
          <w:szCs w:val="32"/>
        </w:rPr>
        <w:t>人，其中公务员</w:t>
      </w:r>
      <w:r>
        <w:rPr>
          <w:rFonts w:hint="eastAsia" w:ascii="仿宋_GB2312" w:hAnsi="仿宋_GB2312" w:eastAsia="仿宋_GB2312" w:cs="仿宋_GB2312"/>
          <w:b w:val="0"/>
          <w:bCs/>
          <w:color w:val="auto"/>
          <w:sz w:val="32"/>
          <w:szCs w:val="32"/>
          <w:lang w:val="en-US" w:eastAsia="zh-CN"/>
        </w:rPr>
        <w:t>12</w:t>
      </w:r>
      <w:r>
        <w:rPr>
          <w:rFonts w:hint="eastAsia" w:ascii="仿宋_GB2312" w:hAnsi="仿宋_GB2312" w:eastAsia="仿宋_GB2312" w:cs="仿宋_GB2312"/>
          <w:b w:val="0"/>
          <w:bCs/>
          <w:color w:val="auto"/>
          <w:sz w:val="32"/>
          <w:szCs w:val="32"/>
        </w:rPr>
        <w:t>人，参公</w:t>
      </w: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rPr>
        <w:t>人，事业</w:t>
      </w: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人</w:t>
      </w:r>
      <w:r>
        <w:rPr>
          <w:rFonts w:hint="eastAsia" w:ascii="仿宋_GB2312" w:hAnsi="仿宋_GB2312" w:eastAsia="仿宋_GB2312" w:cs="仿宋_GB2312"/>
          <w:b w:val="0"/>
          <w:bCs/>
          <w:color w:val="auto"/>
          <w:sz w:val="32"/>
          <w:szCs w:val="32"/>
          <w:lang w:eastAsia="zh-CN"/>
        </w:rPr>
        <w:t>，行政工勤</w:t>
      </w:r>
      <w:r>
        <w:rPr>
          <w:rFonts w:hint="eastAsia" w:ascii="仿宋_GB2312" w:hAnsi="仿宋_GB2312" w:eastAsia="仿宋_GB2312" w:cs="仿宋_GB2312"/>
          <w:b w:val="0"/>
          <w:bCs/>
          <w:color w:val="auto"/>
          <w:sz w:val="32"/>
          <w:szCs w:val="32"/>
          <w:lang w:val="en-US" w:eastAsia="zh-CN"/>
        </w:rPr>
        <w:t>3人</w:t>
      </w:r>
      <w:r>
        <w:rPr>
          <w:rFonts w:hint="eastAsia" w:ascii="仿宋_GB2312" w:hAnsi="仿宋_GB2312" w:eastAsia="仿宋_GB2312" w:cs="仿宋_GB2312"/>
          <w:b w:val="0"/>
          <w:bCs/>
          <w:color w:val="auto"/>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shd w:val="clear" w:color="auto" w:fill="FFFFFF"/>
        </w:rPr>
        <w:t>财政资金</w:t>
      </w:r>
      <w:r>
        <w:rPr>
          <w:rFonts w:hint="eastAsia" w:ascii="仿宋_GB2312" w:hAnsi="仿宋_GB2312" w:eastAsia="仿宋_GB2312" w:cs="仿宋_GB2312"/>
          <w:sz w:val="32"/>
          <w:szCs w:val="32"/>
        </w:rPr>
        <w:t>收入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sz w:val="32"/>
          <w:szCs w:val="32"/>
          <w:lang w:val="en-US" w:eastAsia="zh-CN"/>
        </w:rPr>
        <w:t>1078.42</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1078.42</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zh-CN"/>
        </w:rPr>
        <w:t>二）部门财政资金支出情况。</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w:t>
      </w:r>
      <w:r>
        <w:rPr>
          <w:rFonts w:hint="eastAsia" w:ascii="仿宋_GB2312" w:hAnsi="仿宋_GB2312" w:eastAsia="仿宋_GB2312" w:cs="仿宋_GB2312"/>
          <w:color w:val="000000"/>
          <w:kern w:val="0"/>
          <w:sz w:val="32"/>
          <w:szCs w:val="32"/>
          <w:lang w:val="zh-CN"/>
        </w:rPr>
        <w:t>财政资金</w:t>
      </w:r>
      <w:r>
        <w:rPr>
          <w:rFonts w:hint="eastAsia" w:ascii="仿宋_GB2312" w:hAnsi="仿宋_GB2312" w:eastAsia="仿宋_GB2312" w:cs="仿宋_GB2312"/>
          <w:color w:val="000000"/>
          <w:sz w:val="32"/>
          <w:szCs w:val="32"/>
        </w:rPr>
        <w:t>支出合计</w:t>
      </w:r>
      <w:r>
        <w:rPr>
          <w:rFonts w:hint="eastAsia" w:ascii="仿宋_GB2312" w:hAnsi="仿宋_GB2312" w:eastAsia="仿宋_GB2312" w:cs="仿宋_GB2312"/>
          <w:color w:val="000000"/>
          <w:sz w:val="32"/>
          <w:szCs w:val="32"/>
          <w:lang w:val="en-US" w:eastAsia="zh-CN"/>
        </w:rPr>
        <w:t>1225.02</w:t>
      </w:r>
      <w:r>
        <w:rPr>
          <w:rFonts w:hint="eastAsia" w:ascii="仿宋_GB2312" w:hAnsi="仿宋_GB2312" w:eastAsia="仿宋_GB2312" w:cs="仿宋_GB2312"/>
          <w:color w:val="000000"/>
          <w:sz w:val="32"/>
          <w:szCs w:val="32"/>
        </w:rPr>
        <w:t>万元，其中：</w:t>
      </w:r>
      <w:r>
        <w:rPr>
          <w:rFonts w:hint="eastAsia" w:ascii="仿宋_GB2312" w:hAnsi="仿宋_GB2312" w:eastAsia="仿宋_GB2312" w:cs="仿宋_GB2312"/>
          <w:sz w:val="32"/>
          <w:szCs w:val="32"/>
          <w:lang w:val="en-US" w:eastAsia="zh-CN"/>
        </w:rPr>
        <w:t>577.06</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647.96</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（一）部门预算管理。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sz w:val="32"/>
          <w:szCs w:val="32"/>
          <w:lang w:val="zh-CN" w:eastAsia="zh-CN"/>
        </w:rPr>
        <w:t>县委组织部按照财政局预算编制通知和相关要求，按时保质保量进行预决算的编制，</w:t>
      </w:r>
      <w:r>
        <w:rPr>
          <w:rFonts w:hint="eastAsia" w:ascii="仿宋_GB2312" w:hAnsi="仿宋_GB2312" w:eastAsia="仿宋_GB2312" w:cs="仿宋_GB2312"/>
          <w:sz w:val="32"/>
          <w:szCs w:val="32"/>
        </w:rPr>
        <w:t>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eastAsia="zh-CN"/>
        </w:rPr>
        <w:t>并报经相关部门审核批准后执行。</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val="en-US" w:eastAsia="zh-CN"/>
        </w:rPr>
        <w:t>1078.42</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仿宋_GB2312" w:hAnsi="宋体" w:eastAsia="仿宋_GB2312" w:cs="宋体"/>
          <w:b/>
          <w:bCs/>
          <w:color w:val="000000"/>
          <w:kern w:val="0"/>
          <w:sz w:val="32"/>
          <w:szCs w:val="32"/>
          <w:shd w:val="clear" w:color="auto" w:fill="FFFFFF"/>
          <w:lang w:val="zh-CN"/>
        </w:rPr>
      </w:pPr>
      <w:r>
        <w:rPr>
          <w:rFonts w:hint="eastAsia" w:ascii="仿宋" w:hAnsi="仿宋" w:eastAsia="仿宋" w:cs="仿宋_GB2312"/>
          <w:b/>
          <w:bCs/>
          <w:sz w:val="32"/>
          <w:szCs w:val="32"/>
        </w:rPr>
        <w:t>（二）专项预算管理。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县委组织部严格按照县财政的要求，及时分月、分季度上报用款计划，待财政审核通过后，严格按计划执行，各季度执行情况良好。认真执行中央八项规定，严格控制三公经费支出。</w:t>
      </w:r>
      <w:r>
        <w:rPr>
          <w:rFonts w:hint="eastAsia" w:ascii="仿宋_GB2312" w:hAnsi="仿宋_GB2312" w:eastAsia="仿宋_GB2312" w:cs="仿宋_GB2312"/>
          <w:i w:val="0"/>
          <w:caps w:val="0"/>
          <w:color w:val="000000"/>
          <w:spacing w:val="0"/>
          <w:sz w:val="32"/>
          <w:szCs w:val="32"/>
          <w:shd w:val="clear" w:fill="FFFFFF"/>
          <w:lang w:val="en-US" w:eastAsia="zh-CN"/>
        </w:rPr>
        <w:t>2020</w:t>
      </w:r>
      <w:r>
        <w:rPr>
          <w:rFonts w:hint="eastAsia" w:ascii="仿宋_GB2312" w:hAnsi="仿宋_GB2312" w:eastAsia="仿宋_GB2312" w:cs="仿宋_GB2312"/>
          <w:i w:val="0"/>
          <w:caps w:val="0"/>
          <w:color w:val="000000"/>
          <w:spacing w:val="0"/>
          <w:sz w:val="32"/>
          <w:szCs w:val="32"/>
          <w:shd w:val="clear" w:fill="FFFFFF"/>
        </w:rPr>
        <w:t>年“三公”经费支出</w:t>
      </w:r>
      <w:r>
        <w:rPr>
          <w:rFonts w:hint="eastAsia" w:ascii="仿宋_GB2312" w:hAnsi="仿宋_GB2312" w:eastAsia="仿宋_GB2312" w:cs="仿宋_GB2312"/>
          <w:i w:val="0"/>
          <w:caps w:val="0"/>
          <w:color w:val="000000"/>
          <w:spacing w:val="0"/>
          <w:sz w:val="32"/>
          <w:szCs w:val="32"/>
          <w:shd w:val="clear" w:fill="FFFFFF"/>
          <w:lang w:val="en-US" w:eastAsia="zh-CN"/>
        </w:rPr>
        <w:t>12.32</w:t>
      </w:r>
      <w:r>
        <w:rPr>
          <w:rFonts w:hint="eastAsia" w:ascii="仿宋_GB2312" w:hAnsi="仿宋_GB2312" w:eastAsia="仿宋_GB2312" w:cs="仿宋_GB2312"/>
          <w:i w:val="0"/>
          <w:caps w:val="0"/>
          <w:color w:val="000000"/>
          <w:spacing w:val="0"/>
          <w:sz w:val="32"/>
          <w:szCs w:val="32"/>
          <w:shd w:val="clear" w:fill="FFFFFF"/>
        </w:rPr>
        <w:t>万元</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333333"/>
          <w:spacing w:val="0"/>
          <w:sz w:val="32"/>
          <w:szCs w:val="32"/>
        </w:rPr>
        <w:t>公务用车运行维护费支出</w:t>
      </w:r>
      <w:r>
        <w:rPr>
          <w:rFonts w:hint="eastAsia" w:ascii="仿宋_GB2312" w:hAnsi="仿宋_GB2312" w:eastAsia="仿宋_GB2312" w:cs="仿宋_GB2312"/>
          <w:color w:val="000000"/>
          <w:sz w:val="32"/>
          <w:szCs w:val="32"/>
          <w:lang w:val="en-US" w:eastAsia="zh-CN"/>
        </w:rPr>
        <w:t>12.32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比</w:t>
      </w:r>
      <w:r>
        <w:rPr>
          <w:rFonts w:hint="eastAsia" w:ascii="仿宋_GB2312" w:hAnsi="仿宋_GB2312"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2.23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18.83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（三）结果应用情况。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lang w:val="zh-CN" w:eastAsia="zh-CN" w:bidi="ar"/>
        </w:rPr>
        <w:t>县委组织部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我部严格按照预算法按时完成预决算编制。在执行过程中有计划进行资金申报使用，完善资金管理及内部控制制度，确保资金安全，做到帐款、帐帐、帐实相符。</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评价结论。</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根据《</w:t>
      </w:r>
      <w:r>
        <w:rPr>
          <w:rFonts w:hint="eastAsia" w:ascii="仿宋_GB2312" w:hAnsi="仿宋_GB2312" w:eastAsia="仿宋_GB2312" w:cs="仿宋_GB2312"/>
          <w:color w:val="000000"/>
          <w:kern w:val="0"/>
          <w:sz w:val="32"/>
          <w:szCs w:val="32"/>
          <w:lang w:val="en-US" w:eastAsia="zh-CN" w:bidi="ar"/>
        </w:rPr>
        <w:t>2020</w:t>
      </w:r>
      <w:r>
        <w:rPr>
          <w:rFonts w:hint="eastAsia" w:ascii="仿宋_GB2312" w:hAnsi="仿宋_GB2312" w:eastAsia="仿宋_GB2312" w:cs="仿宋_GB2312"/>
          <w:color w:val="000000"/>
          <w:kern w:val="0"/>
          <w:sz w:val="32"/>
          <w:szCs w:val="32"/>
          <w:lang w:val="zh-CN" w:bidi="ar"/>
        </w:rPr>
        <w:t>年红原县部门支出绩效评价指标体系》评分得分9</w:t>
      </w:r>
      <w:r>
        <w:rPr>
          <w:rFonts w:hint="eastAsia" w:ascii="仿宋_GB2312" w:hAnsi="仿宋_GB2312" w:eastAsia="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val="zh-CN" w:bidi="ar"/>
        </w:rPr>
        <w:t>分，部门整体支出绩效为“好”。</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没有完善的系统流程以及规章制度，工作效率有待提高。</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加强会计核算和会计监督的准确性和有效性，加强财务人员的专业意识，提高对预算编制的执行与认识，为绩效评价工作开展创造更好的条件。</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2.加强会计工作的事前、事中、事后的监督，以确保会计的延续性，建立可持续机制，提高工作人员对支出的合理、合法使用意识，做到每笔支出有据可查、有法可依。</w:t>
      </w:r>
    </w:p>
    <w:p>
      <w:pPr>
        <w:spacing w:line="600" w:lineRule="exact"/>
        <w:jc w:val="both"/>
        <w:outlineLvl w:val="0"/>
        <w:rPr>
          <w:rFonts w:hint="eastAsia" w:ascii="黑体" w:hAnsi="黑体" w:eastAsia="黑体"/>
          <w:color w:val="000000"/>
          <w:sz w:val="44"/>
          <w:szCs w:val="44"/>
        </w:rPr>
      </w:pPr>
      <w:bookmarkStart w:id="92" w:name="_Toc15396618"/>
    </w:p>
    <w:p>
      <w:pPr>
        <w:spacing w:line="600" w:lineRule="exact"/>
        <w:jc w:val="center"/>
        <w:outlineLvl w:val="0"/>
        <w:rPr>
          <w:rFonts w:hint="eastAsia" w:ascii="黑体" w:hAnsi="黑体" w:eastAsia="黑体"/>
          <w:color w:val="000000"/>
          <w:sz w:val="44"/>
          <w:szCs w:val="44"/>
        </w:rPr>
      </w:pPr>
      <w:bookmarkStart w:id="93" w:name="_Toc12837"/>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88"/>
      <w:bookmarkEnd w:id="92"/>
      <w:bookmarkEnd w:id="93"/>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94" w:name="_Toc10714"/>
      <w:bookmarkStart w:id="95"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94"/>
      <w:bookmarkEnd w:id="95"/>
    </w:p>
    <w:p>
      <w:pPr>
        <w:pStyle w:val="4"/>
        <w:rPr>
          <w:rFonts w:ascii="仿宋" w:hAnsi="仿宋" w:eastAsia="仿宋"/>
          <w:color w:val="000000"/>
        </w:rPr>
      </w:pPr>
      <w:bookmarkStart w:id="96" w:name="_Toc19498"/>
      <w:bookmarkStart w:id="97"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96"/>
      <w:bookmarkEnd w:id="97"/>
    </w:p>
    <w:p>
      <w:pPr>
        <w:pStyle w:val="4"/>
        <w:rPr>
          <w:rFonts w:ascii="仿宋" w:hAnsi="仿宋" w:eastAsia="仿宋"/>
          <w:color w:val="000000"/>
        </w:rPr>
      </w:pPr>
      <w:bookmarkStart w:id="98" w:name="_Toc17631"/>
      <w:bookmarkStart w:id="99"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98"/>
      <w:bookmarkEnd w:id="99"/>
    </w:p>
    <w:p>
      <w:pPr>
        <w:pStyle w:val="4"/>
        <w:rPr>
          <w:rFonts w:ascii="仿宋" w:hAnsi="仿宋" w:eastAsia="仿宋"/>
          <w:b w:val="0"/>
          <w:color w:val="000000"/>
        </w:rPr>
      </w:pPr>
      <w:bookmarkStart w:id="100" w:name="_Toc15396622"/>
      <w:bookmarkStart w:id="101" w:name="_Toc204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00"/>
      <w:bookmarkEnd w:id="101"/>
    </w:p>
    <w:p>
      <w:pPr>
        <w:pStyle w:val="4"/>
        <w:rPr>
          <w:rStyle w:val="27"/>
          <w:rFonts w:ascii="仿宋" w:hAnsi="仿宋" w:eastAsia="仿宋"/>
          <w:b w:val="0"/>
          <w:bCs w:val="0"/>
        </w:rPr>
      </w:pPr>
      <w:bookmarkStart w:id="102" w:name="_Toc4683"/>
      <w:bookmarkStart w:id="103"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02"/>
      <w:bookmarkEnd w:id="103"/>
      <w:bookmarkStart w:id="104" w:name="_Toc15396624"/>
    </w:p>
    <w:p>
      <w:pPr>
        <w:pStyle w:val="4"/>
        <w:rPr>
          <w:rFonts w:ascii="仿宋" w:hAnsi="仿宋" w:eastAsia="仿宋"/>
          <w:color w:val="000000"/>
        </w:rPr>
      </w:pPr>
      <w:bookmarkStart w:id="105" w:name="_Toc9742"/>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04"/>
      <w:bookmarkEnd w:id="105"/>
    </w:p>
    <w:p>
      <w:pPr>
        <w:pStyle w:val="4"/>
        <w:rPr>
          <w:rFonts w:ascii="仿宋" w:hAnsi="仿宋" w:eastAsia="仿宋"/>
          <w:color w:val="000000"/>
        </w:rPr>
      </w:pPr>
      <w:bookmarkStart w:id="106" w:name="_Toc2513"/>
      <w:bookmarkStart w:id="10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06"/>
      <w:bookmarkEnd w:id="107"/>
    </w:p>
    <w:p>
      <w:pPr>
        <w:pStyle w:val="4"/>
        <w:rPr>
          <w:rFonts w:ascii="仿宋" w:hAnsi="仿宋" w:eastAsia="仿宋"/>
          <w:color w:val="000000"/>
        </w:rPr>
      </w:pPr>
      <w:bookmarkStart w:id="108" w:name="_Toc7313"/>
      <w:bookmarkStart w:id="109"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08"/>
      <w:bookmarkEnd w:id="109"/>
    </w:p>
    <w:p>
      <w:pPr>
        <w:pStyle w:val="4"/>
        <w:rPr>
          <w:rFonts w:ascii="仿宋" w:hAnsi="仿宋" w:eastAsia="仿宋"/>
          <w:color w:val="000000"/>
        </w:rPr>
      </w:pPr>
      <w:bookmarkStart w:id="110" w:name="_Toc6310"/>
      <w:bookmarkStart w:id="111"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10"/>
      <w:bookmarkEnd w:id="111"/>
    </w:p>
    <w:p>
      <w:pPr>
        <w:pStyle w:val="4"/>
        <w:rPr>
          <w:rFonts w:ascii="仿宋" w:hAnsi="仿宋" w:eastAsia="仿宋"/>
          <w:color w:val="000000"/>
        </w:rPr>
      </w:pPr>
      <w:bookmarkStart w:id="112" w:name="_Toc31768"/>
      <w:bookmarkStart w:id="113"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12"/>
      <w:bookmarkEnd w:id="113"/>
    </w:p>
    <w:p>
      <w:pPr>
        <w:pStyle w:val="4"/>
        <w:rPr>
          <w:rFonts w:ascii="仿宋" w:hAnsi="仿宋" w:eastAsia="仿宋"/>
          <w:color w:val="000000"/>
        </w:rPr>
      </w:pPr>
      <w:bookmarkStart w:id="114" w:name="_Toc11425"/>
      <w:bookmarkStart w:id="115"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14"/>
      <w:bookmarkEnd w:id="115"/>
    </w:p>
    <w:p>
      <w:pPr>
        <w:pStyle w:val="4"/>
        <w:rPr>
          <w:rFonts w:ascii="仿宋" w:hAnsi="仿宋" w:eastAsia="仿宋"/>
          <w:color w:val="000000"/>
        </w:rPr>
      </w:pPr>
      <w:bookmarkStart w:id="116" w:name="_Toc9365"/>
      <w:bookmarkStart w:id="117"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16"/>
      <w:bookmarkEnd w:id="117"/>
    </w:p>
    <w:p>
      <w:pPr>
        <w:pStyle w:val="4"/>
        <w:rPr>
          <w:rFonts w:ascii="仿宋" w:hAnsi="仿宋" w:eastAsia="仿宋"/>
          <w:color w:val="000000" w:themeColor="text1"/>
          <w14:textFill>
            <w14:solidFill>
              <w14:schemeClr w14:val="tx1"/>
            </w14:solidFill>
          </w14:textFill>
        </w:rPr>
      </w:pPr>
      <w:bookmarkStart w:id="118" w:name="_Toc15396631"/>
      <w:bookmarkStart w:id="119" w:name="_Toc4479"/>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18"/>
      <w:bookmarkEnd w:id="11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0E3F13A3"/>
    <w:multiLevelType w:val="singleLevel"/>
    <w:tmpl w:val="0E3F13A3"/>
    <w:lvl w:ilvl="0" w:tentative="0">
      <w:start w:val="1"/>
      <w:numFmt w:val="decimal"/>
      <w:suff w:val="nothing"/>
      <w:lvlText w:val="（%1）"/>
      <w:lvlJc w:val="left"/>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A1AE35C"/>
    <w:multiLevelType w:val="singleLevel"/>
    <w:tmpl w:val="2A1AE35C"/>
    <w:lvl w:ilvl="0" w:tentative="0">
      <w:start w:val="1"/>
      <w:numFmt w:val="chineseCounting"/>
      <w:suff w:val="nothing"/>
      <w:lvlText w:val="（%1）"/>
      <w:lvlJc w:val="left"/>
      <w:rPr>
        <w:rFonts w:hint="eastAsia"/>
      </w:rPr>
    </w:lvl>
  </w:abstractNum>
  <w:abstractNum w:abstractNumId="4">
    <w:nsid w:val="628AEC3B"/>
    <w:multiLevelType w:val="singleLevel"/>
    <w:tmpl w:val="628AEC3B"/>
    <w:lvl w:ilvl="0" w:tentative="0">
      <w:start w:val="1"/>
      <w:numFmt w:val="chineseCounting"/>
      <w:suff w:val="nothing"/>
      <w:lvlText w:val="%1、"/>
      <w:lvlJc w:val="left"/>
      <w:rPr>
        <w:rFonts w:hint="eastAsi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2B4D"/>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7E6328"/>
    <w:rsid w:val="01964198"/>
    <w:rsid w:val="0AC64761"/>
    <w:rsid w:val="0B5D6582"/>
    <w:rsid w:val="0B951746"/>
    <w:rsid w:val="0D035E72"/>
    <w:rsid w:val="0DBD00F0"/>
    <w:rsid w:val="0E0A2A70"/>
    <w:rsid w:val="0F2E3244"/>
    <w:rsid w:val="10B14285"/>
    <w:rsid w:val="10C055FF"/>
    <w:rsid w:val="1293358D"/>
    <w:rsid w:val="12EB70AC"/>
    <w:rsid w:val="159920E7"/>
    <w:rsid w:val="15C50605"/>
    <w:rsid w:val="160E478E"/>
    <w:rsid w:val="168226A7"/>
    <w:rsid w:val="16BB723D"/>
    <w:rsid w:val="17ED13F1"/>
    <w:rsid w:val="1A373375"/>
    <w:rsid w:val="1AC678B0"/>
    <w:rsid w:val="1AC74CD4"/>
    <w:rsid w:val="1AE3352B"/>
    <w:rsid w:val="1B8238E9"/>
    <w:rsid w:val="1C193181"/>
    <w:rsid w:val="1CD51988"/>
    <w:rsid w:val="1DF972D6"/>
    <w:rsid w:val="1E551E5E"/>
    <w:rsid w:val="1F121B25"/>
    <w:rsid w:val="1F335DB2"/>
    <w:rsid w:val="1F3A1122"/>
    <w:rsid w:val="1FBF762F"/>
    <w:rsid w:val="2085081F"/>
    <w:rsid w:val="21306C78"/>
    <w:rsid w:val="21EC18AC"/>
    <w:rsid w:val="21FC70CE"/>
    <w:rsid w:val="22D82EA9"/>
    <w:rsid w:val="240371BF"/>
    <w:rsid w:val="271D059E"/>
    <w:rsid w:val="27241A81"/>
    <w:rsid w:val="27F76716"/>
    <w:rsid w:val="28EF6E03"/>
    <w:rsid w:val="291E3848"/>
    <w:rsid w:val="29C92FB1"/>
    <w:rsid w:val="29FD04D3"/>
    <w:rsid w:val="2C9662F0"/>
    <w:rsid w:val="2D176C08"/>
    <w:rsid w:val="2D93364A"/>
    <w:rsid w:val="2F245142"/>
    <w:rsid w:val="301D445D"/>
    <w:rsid w:val="30C233A2"/>
    <w:rsid w:val="30FD223C"/>
    <w:rsid w:val="31264811"/>
    <w:rsid w:val="319F7F4E"/>
    <w:rsid w:val="31B7395F"/>
    <w:rsid w:val="31D472B5"/>
    <w:rsid w:val="322322D3"/>
    <w:rsid w:val="33654AB0"/>
    <w:rsid w:val="352D7123"/>
    <w:rsid w:val="353F5724"/>
    <w:rsid w:val="362C01E2"/>
    <w:rsid w:val="37052C7C"/>
    <w:rsid w:val="377E7EE7"/>
    <w:rsid w:val="39DA286E"/>
    <w:rsid w:val="3AA23B07"/>
    <w:rsid w:val="3D054EB0"/>
    <w:rsid w:val="3D594418"/>
    <w:rsid w:val="3D8D5E4E"/>
    <w:rsid w:val="3DA47254"/>
    <w:rsid w:val="3FB362B2"/>
    <w:rsid w:val="421151B0"/>
    <w:rsid w:val="428D3F90"/>
    <w:rsid w:val="4649691D"/>
    <w:rsid w:val="4693415A"/>
    <w:rsid w:val="471A4E4C"/>
    <w:rsid w:val="47975193"/>
    <w:rsid w:val="479F009E"/>
    <w:rsid w:val="48314B3C"/>
    <w:rsid w:val="49163D99"/>
    <w:rsid w:val="4B1931D8"/>
    <w:rsid w:val="4BD5021B"/>
    <w:rsid w:val="4C5D0F1C"/>
    <w:rsid w:val="4ECE2238"/>
    <w:rsid w:val="50867BC2"/>
    <w:rsid w:val="5190570E"/>
    <w:rsid w:val="53A74F4F"/>
    <w:rsid w:val="56925BB0"/>
    <w:rsid w:val="57A70DE1"/>
    <w:rsid w:val="58AA3E3B"/>
    <w:rsid w:val="59CA0CEB"/>
    <w:rsid w:val="59EE4C58"/>
    <w:rsid w:val="59F9240C"/>
    <w:rsid w:val="5B724C4A"/>
    <w:rsid w:val="5C344F77"/>
    <w:rsid w:val="5CCD1F8B"/>
    <w:rsid w:val="5ECA7D20"/>
    <w:rsid w:val="5FAE17D9"/>
    <w:rsid w:val="610927E9"/>
    <w:rsid w:val="6132769A"/>
    <w:rsid w:val="61B06740"/>
    <w:rsid w:val="61E3614D"/>
    <w:rsid w:val="62D0305F"/>
    <w:rsid w:val="62F27AEB"/>
    <w:rsid w:val="63900C96"/>
    <w:rsid w:val="63A0789F"/>
    <w:rsid w:val="647A4FA3"/>
    <w:rsid w:val="65BE7D27"/>
    <w:rsid w:val="65C1790C"/>
    <w:rsid w:val="65EA5037"/>
    <w:rsid w:val="67CB3F55"/>
    <w:rsid w:val="6906671D"/>
    <w:rsid w:val="6B1C651A"/>
    <w:rsid w:val="6BE73513"/>
    <w:rsid w:val="6DA24C6D"/>
    <w:rsid w:val="6E87359C"/>
    <w:rsid w:val="6EAE4D19"/>
    <w:rsid w:val="716254D9"/>
    <w:rsid w:val="724F2651"/>
    <w:rsid w:val="72734D90"/>
    <w:rsid w:val="73A40BD9"/>
    <w:rsid w:val="740D3A23"/>
    <w:rsid w:val="76D62575"/>
    <w:rsid w:val="77082D8F"/>
    <w:rsid w:val="77A31AB9"/>
    <w:rsid w:val="79DF3CF9"/>
    <w:rsid w:val="7A0B7B0A"/>
    <w:rsid w:val="7A581B56"/>
    <w:rsid w:val="7A714416"/>
    <w:rsid w:val="7A721D59"/>
    <w:rsid w:val="7D2E23FB"/>
    <w:rsid w:val="7EC45CA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Body Text Indent"/>
    <w:basedOn w:val="1"/>
    <w:qFormat/>
    <w:uiPriority w:val="0"/>
    <w:pPr>
      <w:spacing w:line="560" w:lineRule="atLeast"/>
      <w:ind w:firstLine="640" w:firstLineChars="200"/>
    </w:pPr>
    <w:rPr>
      <w:rFonts w:ascii="仿宋_GB2312" w:eastAsia="仿宋_GB2312"/>
      <w:sz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7"/>
    <w:qFormat/>
    <w:uiPriority w:val="0"/>
    <w:pPr>
      <w:ind w:firstLine="42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2"/>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方正黑体GBK 字符"/>
    <w:basedOn w:val="15"/>
    <w:link w:val="33"/>
    <w:qFormat/>
    <w:uiPriority w:val="0"/>
    <w:rPr>
      <w:rFonts w:eastAsia="方正黑体_GBK"/>
    </w:rPr>
  </w:style>
  <w:style w:type="paragraph" w:customStyle="1" w:styleId="33">
    <w:name w:val="方正黑体GBK"/>
    <w:basedOn w:val="13"/>
    <w:next w:val="13"/>
    <w:link w:val="32"/>
    <w:qFormat/>
    <w:uiPriority w:val="0"/>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200" b="1" i="0" u="none" strike="noStrike" kern="1200" cap="all" spc="150" baseline="0">
                <a:solidFill>
                  <a:schemeClr val="tx1">
                    <a:lumMod val="50000"/>
                    <a:lumOff val="50000"/>
                  </a:schemeClr>
                </a:solidFill>
                <a:latin typeface="+mn-lt"/>
                <a:ea typeface="+mn-ea"/>
                <a:cs typeface="+mn-cs"/>
              </a:defRPr>
            </a:pPr>
            <a:r>
              <a:rPr lang="en-US" altLang="zh-CN" sz="1200"/>
              <a:t>2020</a:t>
            </a:r>
            <a:r>
              <a:rPr sz="1200"/>
              <a:t>年收、支决算总计变动情况图（万元）</a:t>
            </a:r>
            <a:endParaRPr sz="1200"/>
          </a:p>
        </c:rich>
      </c:tx>
      <c:layout>
        <c:manualLayout>
          <c:xMode val="edge"/>
          <c:yMode val="edge"/>
          <c:x val="0.0923366834170857"/>
          <c:y val="0.0344775403793713"/>
        </c:manualLayout>
      </c:layout>
      <c:overlay val="0"/>
      <c:spPr>
        <a:noFill/>
        <a:ln>
          <a:noFill/>
        </a:ln>
        <a:effectLst/>
      </c:spPr>
    </c:title>
    <c:autoTitleDeleted val="0"/>
    <c:plotArea>
      <c:layout>
        <c:manualLayout>
          <c:layoutTarget val="inner"/>
          <c:xMode val="edge"/>
          <c:yMode val="edge"/>
          <c:x val="0.0703015075376884"/>
          <c:y val="0.221492156862745"/>
          <c:w val="0.927925"/>
          <c:h val="0.716566666666667"/>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1078.42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1078.42</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1225.02</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plotArea>
      <c:layout/>
      <c:pie3D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2540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1078.42</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577.06</c:v>
                </c:pt>
                <c:pt idx="1">
                  <c:v>647.96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900" b="1" i="0" u="none" strike="noStrike" kern="1200" cap="all" spc="150" baseline="0">
                <a:solidFill>
                  <a:schemeClr val="tx1">
                    <a:lumMod val="50000"/>
                    <a:lumOff val="50000"/>
                  </a:schemeClr>
                </a:solidFill>
                <a:latin typeface="+mn-lt"/>
                <a:ea typeface="+mn-ea"/>
                <a:cs typeface="+mn-cs"/>
              </a:defRPr>
            </a:pPr>
            <a:r>
              <a:rPr sz="900"/>
              <a:t>2018、2019年度财政拨款收、支决算总计变动情况图</a:t>
            </a:r>
            <a:endParaRPr sz="900"/>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Sheet1!$B$2:$B$3</c:f>
              <c:numCache>
                <c:formatCode>General</c:formatCode>
                <c:ptCount val="2"/>
                <c:pt idx="0">
                  <c:v>984.56</c:v>
                </c:pt>
                <c:pt idx="1">
                  <c:v>1078.42</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Sheet1!$C$2:$C$3</c:f>
              <c:numCache>
                <c:formatCode>General</c:formatCode>
                <c:ptCount val="2"/>
                <c:pt idx="0">
                  <c:v>1098.06</c:v>
                </c:pt>
                <c:pt idx="1">
                  <c:v>1225.02</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40" b="1" i="0" u="none" strike="noStrike" kern="1200" cap="all" spc="150" baseline="0">
                <a:solidFill>
                  <a:schemeClr val="dk1"/>
                </a:solidFill>
                <a:latin typeface="+mn-lt"/>
                <a:ea typeface="+mn-ea"/>
                <a:cs typeface="+mn-cs"/>
              </a:defRPr>
            </a:pPr>
            <a:r>
              <a:rPr lang="en-US" altLang="zh-CN" sz="1440">
                <a:solidFill>
                  <a:schemeClr val="dk1"/>
                </a:solidFill>
                <a:latin typeface="+mn-lt"/>
                <a:ea typeface="+mn-ea"/>
                <a:cs typeface="+mn-cs"/>
              </a:rPr>
              <a:t>2019</a:t>
            </a:r>
            <a:r>
              <a:rPr sz="1440">
                <a:solidFill>
                  <a:schemeClr val="dk1"/>
                </a:solidFill>
                <a:latin typeface="+mn-lt"/>
                <a:ea typeface="+mn-ea"/>
                <a:cs typeface="+mn-cs"/>
              </a:rPr>
              <a:t>、</a:t>
            </a:r>
            <a:r>
              <a:rPr lang="en-US" altLang="zh-CN" sz="1440">
                <a:solidFill>
                  <a:schemeClr val="dk1"/>
                </a:solidFill>
                <a:latin typeface="+mn-lt"/>
                <a:ea typeface="+mn-ea"/>
                <a:cs typeface="+mn-cs"/>
              </a:rPr>
              <a:t>2020</a:t>
            </a:r>
            <a:r>
              <a:rPr sz="1440">
                <a:solidFill>
                  <a:schemeClr val="dk1"/>
                </a:solidFill>
                <a:latin typeface="+mn-lt"/>
                <a:ea typeface="+mn-ea"/>
                <a:cs typeface="+mn-cs"/>
              </a:rPr>
              <a:t>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manualLayout>
          <c:layoutTarget val="inner"/>
          <c:xMode val="edge"/>
          <c:yMode val="edge"/>
          <c:x val="0.105284297728129"/>
          <c:y val="0.346754563894523"/>
          <c:w val="0.870867327726873"/>
          <c:h val="0.529148073022312"/>
        </c:manualLayout>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Sheet1!$B$2:$B$3</c:f>
              <c:numCache>
                <c:formatCode>General</c:formatCode>
                <c:ptCount val="2"/>
                <c:pt idx="0">
                  <c:v>850.58</c:v>
                </c:pt>
                <c:pt idx="1">
                  <c:v>1060.96</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dk1"/>
      </a:solidFill>
      <a:prstDash val="solid"/>
      <a:round/>
    </a:ln>
    <a:effectLst/>
    <a:sp3d>
      <a:extrusionClr>
        <a:srgbClr val="FFFFFF"/>
      </a:extrusionClr>
      <a:contourClr>
        <a:srgbClr val="FFFFFF"/>
      </a:contourClr>
    </a:sp3d>
  </c:spPr>
  <c:txPr>
    <a:bodyPr rot="0" spcFirstLastPara="0" vertOverflow="ellipsis" horzOverflow="overflow" vert="horz" wrap="square" anchor="ctr" anchorCtr="1"/>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cap="all"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ofPieChart>
        <c:ofPieType val="pie"/>
        <c:varyColors val="1"/>
        <c:ser>
          <c:idx val="0"/>
          <c:order val="0"/>
          <c:tx>
            <c:strRef>
              <c:f>Sheet1!$B$1</c:f>
              <c:strCache>
                <c:ptCount val="1"/>
                <c:pt idx="0">
                  <c:v>支出</c:v>
                </c:pt>
              </c:strCache>
            </c:strRef>
          </c:tx>
          <c:spPr/>
          <c:explosion val="0"/>
          <c:dPt>
            <c:idx val="0"/>
            <c:bubble3D val="0"/>
            <c:explosion val="0"/>
            <c:spPr>
              <a:solidFill>
                <a:schemeClr val="accent1"/>
              </a:solidFill>
              <a:ln>
                <a:noFill/>
              </a:ln>
              <a:effectLst>
                <a:outerShdw blurRad="63500" sx="102000" sy="102000" algn="ctr" rotWithShape="0">
                  <a:prstClr val="black">
                    <a:alpha val="20000"/>
                  </a:prstClr>
                </a:outerShdw>
              </a:effectLst>
            </c:spPr>
          </c:dPt>
          <c:dPt>
            <c:idx val="1"/>
            <c:bubble3D val="0"/>
            <c:explosion val="0"/>
            <c:spPr>
              <a:solidFill>
                <a:schemeClr val="accent2"/>
              </a:solidFill>
              <a:ln>
                <a:noFill/>
              </a:ln>
              <a:effectLst>
                <a:outerShdw blurRad="63500" sx="102000" sy="102000" algn="ctr" rotWithShape="0">
                  <a:prstClr val="black">
                    <a:alpha val="20000"/>
                  </a:prstClr>
                </a:outerShdw>
              </a:effectLst>
            </c:spPr>
          </c:dPt>
          <c:dPt>
            <c:idx val="2"/>
            <c:bubble3D val="0"/>
            <c:explosion val="0"/>
            <c:spPr>
              <a:solidFill>
                <a:schemeClr val="accent3"/>
              </a:solidFill>
              <a:ln>
                <a:noFill/>
              </a:ln>
              <a:effectLst>
                <a:outerShdw blurRad="63500" sx="102000" sy="102000" algn="ctr" rotWithShape="0">
                  <a:prstClr val="black">
                    <a:alpha val="20000"/>
                  </a:prstClr>
                </a:outerShdw>
              </a:effectLst>
            </c:spPr>
          </c:dPt>
          <c:dPt>
            <c:idx val="3"/>
            <c:bubble3D val="0"/>
            <c:explosion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lumMod val="60000"/>
                        </a:schemeClr>
                      </a:solidFill>
                      <a:latin typeface="+mn-lt"/>
                      <a:ea typeface="+mn-ea"/>
                      <a:cs typeface="+mn-cs"/>
                    </a:defRPr>
                  </a:pPr>
                </a:p>
              </c:txPr>
              <c:dLblPos val="outEnd"/>
              <c:showLegendKey val="0"/>
              <c:showVal val="0"/>
              <c:showCatName val="1"/>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c:v>
                </c:pt>
                <c:pt idx="1">
                  <c:v>教育</c:v>
                </c:pt>
                <c:pt idx="2">
                  <c:v>社会保障和就业</c:v>
                </c:pt>
                <c:pt idx="3">
                  <c:v>卫生健康</c:v>
                </c:pt>
                <c:pt idx="4">
                  <c:v>住房保障</c:v>
                </c:pt>
                <c:pt idx="5">
                  <c:v>文化旅游体育与传媒</c:v>
                </c:pt>
                <c:pt idx="6">
                  <c:v>农林水</c:v>
                </c:pt>
              </c:strCache>
            </c:strRef>
          </c:cat>
          <c:val>
            <c:numRef>
              <c:f>Sheet1!$B$2:$B$8</c:f>
              <c:numCache>
                <c:formatCode>General</c:formatCode>
                <c:ptCount val="7"/>
                <c:pt idx="0">
                  <c:v>1060.96</c:v>
                </c:pt>
                <c:pt idx="1">
                  <c:v>9</c:v>
                </c:pt>
                <c:pt idx="2">
                  <c:v>66.73</c:v>
                </c:pt>
                <c:pt idx="3">
                  <c:v>32.05</c:v>
                </c:pt>
                <c:pt idx="4">
                  <c:v>43.94</c:v>
                </c:pt>
                <c:pt idx="5">
                  <c:v>9.46</c:v>
                </c:pt>
                <c:pt idx="6">
                  <c:v>2.88</c:v>
                </c:pt>
              </c:numCache>
            </c:numRef>
          </c:val>
        </c:ser>
        <c:dLbls>
          <c:showLegendKey val="0"/>
          <c:showVal val="0"/>
          <c:showCatName val="1"/>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12.32</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TotalTime>
  <ScaleCrop>false</ScaleCrop>
  <LinksUpToDate>false</LinksUpToDate>
  <CharactersWithSpaces>8587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2020-11-04T05:54:00Z</cp:lastPrinted>
  <dcterms:modified xsi:type="dcterms:W3CDTF">2021-12-04T12:06:56Z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5EB26FC93A95460D86815A782391D744</vt:lpwstr>
  </property>
</Properties>
</file>