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425"/>
      <w:bookmarkStart w:id="2" w:name="_Toc15378441"/>
      <w:bookmarkStart w:id="3" w:name="_Toc15377193"/>
      <w:bookmarkStart w:id="4" w:name="_Toc15396475"/>
      <w:bookmarkStart w:id="5" w:name="_Toc15396597"/>
      <w:bookmarkStart w:id="6" w:name="_Toc8228"/>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bookmarkEnd w:id="6"/>
    </w:p>
    <w:p>
      <w:pPr>
        <w:adjustRightInd w:val="0"/>
        <w:snapToGrid w:val="0"/>
        <w:spacing w:line="360" w:lineRule="auto"/>
        <w:jc w:val="center"/>
        <w:outlineLvl w:val="0"/>
        <w:rPr>
          <w:rFonts w:ascii="方正小标宋简体" w:hAnsi="宋体" w:eastAsia="方正小标宋简体"/>
          <w:color w:val="000000"/>
          <w:sz w:val="72"/>
          <w:szCs w:val="72"/>
        </w:rPr>
      </w:pPr>
      <w:bookmarkStart w:id="7" w:name="_Toc32655"/>
      <w:bookmarkStart w:id="8" w:name="_Toc15396476"/>
      <w:bookmarkStart w:id="9" w:name="_Toc15396598"/>
      <w:bookmarkStart w:id="10" w:name="_Toc15377426"/>
      <w:bookmarkStart w:id="11" w:name="_Toc15378442"/>
      <w:bookmarkStart w:id="12" w:name="_Toc15377194"/>
      <w:r>
        <w:rPr>
          <w:rFonts w:hint="eastAsia" w:ascii="方正小标宋简体" w:hAnsi="宋体" w:eastAsia="方正小标宋简体"/>
          <w:color w:val="000000"/>
          <w:sz w:val="72"/>
          <w:szCs w:val="72"/>
        </w:rPr>
        <w:t>四川省阿坝州</w:t>
      </w:r>
      <w:r>
        <w:rPr>
          <w:rFonts w:hint="eastAsia" w:ascii="方正小标宋简体" w:hAnsi="宋体" w:eastAsia="方正小标宋简体"/>
          <w:color w:val="000000"/>
          <w:sz w:val="72"/>
          <w:szCs w:val="72"/>
          <w:lang w:eastAsia="zh-CN"/>
        </w:rPr>
        <w:t>红原县</w:t>
      </w:r>
      <w:bookmarkEnd w:id="0"/>
      <w:bookmarkStart w:id="13" w:name="_Toc15306268"/>
      <w:r>
        <w:rPr>
          <w:rFonts w:hint="eastAsia" w:ascii="方正小标宋简体" w:hAnsi="宋体" w:eastAsia="方正小标宋简体"/>
          <w:color w:val="000000"/>
          <w:sz w:val="72"/>
          <w:szCs w:val="72"/>
          <w:lang w:val="en-US" w:eastAsia="zh-CN"/>
        </w:rPr>
        <w:t>组织</w:t>
      </w:r>
      <w:r>
        <w:rPr>
          <w:rFonts w:hint="eastAsia" w:ascii="方正小标宋简体" w:hAnsi="宋体" w:eastAsia="方正小标宋简体"/>
          <w:color w:val="000000"/>
          <w:sz w:val="72"/>
          <w:szCs w:val="72"/>
        </w:rPr>
        <w:t>部门决算</w:t>
      </w:r>
      <w:bookmarkEnd w:id="7"/>
      <w:bookmarkEnd w:id="8"/>
      <w:bookmarkEnd w:id="9"/>
      <w:bookmarkEnd w:id="10"/>
      <w:bookmarkEnd w:id="11"/>
      <w:bookmarkEnd w:id="12"/>
      <w:bookmarkEnd w:id="13"/>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p>
    <w:sdt>
      <w:sdtPr>
        <w:rPr>
          <w:rFonts w:ascii="宋体" w:hAnsi="宋体" w:eastAsia="宋体" w:cs="Times New Roman"/>
          <w:kern w:val="2"/>
          <w:sz w:val="21"/>
          <w:szCs w:val="24"/>
          <w:lang w:val="en-US" w:eastAsia="zh-CN" w:bidi="ar-SA"/>
        </w:rPr>
        <w:id w:val="147451341"/>
        <w15:color w:val="DBDBDB"/>
        <w:docPartObj>
          <w:docPartGallery w:val="Table of Contents"/>
          <w:docPartUnique/>
        </w:docPartObj>
      </w:sdtPr>
      <w:sdtEndPr>
        <w:rPr>
          <w:rFonts w:hint="eastAsia" w:ascii="Times New Roman" w:hAnsi="Times New Roman" w:eastAsia="宋体" w:cs="Times New Roman"/>
          <w:kern w:val="2"/>
          <w:sz w:val="21"/>
          <w:szCs w:val="24"/>
          <w:lang w:val="en-US" w:eastAsia="zh-CN" w:bidi="ar-SA"/>
        </w:rPr>
      </w:sdtEndPr>
      <w:sdtContent>
        <w:p>
          <w:pPr>
            <w:spacing w:before="0" w:beforeLines="0" w:after="0" w:afterLines="0" w:line="240" w:lineRule="auto"/>
            <w:ind w:left="0" w:leftChars="0" w:right="0" w:rightChars="0" w:firstLine="0" w:firstLineChars="0"/>
            <w:jc w:val="both"/>
          </w:pPr>
          <w:bookmarkStart w:id="120" w:name="_GoBack"/>
          <w:bookmarkEnd w:id="120"/>
          <w:r>
            <w:rPr>
              <w:rFonts w:hint="eastAsia"/>
            </w:rPr>
            <w:fldChar w:fldCharType="begin"/>
          </w:r>
          <w:r>
            <w:rPr>
              <w:rFonts w:hint="eastAsia"/>
            </w:rPr>
            <w:instrText xml:space="preserve">TOC \o "1-3" \h \u </w:instrText>
          </w:r>
          <w:r>
            <w:rPr>
              <w:rFonts w:hint="eastAsia"/>
            </w:rPr>
            <w:fldChar w:fldCharType="separate"/>
          </w:r>
        </w:p>
        <w:p>
          <w:pPr>
            <w:pStyle w:val="11"/>
            <w:tabs>
              <w:tab w:val="right" w:leader="dot" w:pos="8306"/>
              <w:tab w:val="clear" w:pos="8296"/>
            </w:tabs>
          </w:pPr>
          <w:r>
            <w:rPr>
              <w:rFonts w:hint="eastAsia"/>
            </w:rPr>
            <w:fldChar w:fldCharType="begin"/>
          </w:r>
          <w:r>
            <w:rPr>
              <w:rFonts w:hint="eastAsia"/>
            </w:rPr>
            <w:instrText xml:space="preserve"> HYPERLINK \l _Toc21319 </w:instrText>
          </w:r>
          <w:r>
            <w:rPr>
              <w:rFonts w:hint="eastAsia"/>
            </w:rPr>
            <w:fldChar w:fldCharType="separate"/>
          </w:r>
          <w:r>
            <w:rPr>
              <w:rFonts w:hint="eastAsia" w:ascii="黑体" w:hAnsi="黑体" w:eastAsia="黑体"/>
            </w:rPr>
            <w:t xml:space="preserve">第一部分 </w:t>
          </w:r>
          <w:r>
            <w:rPr>
              <w:rFonts w:hint="eastAsia" w:ascii="黑体" w:hAnsi="黑体" w:eastAsia="黑体"/>
              <w:bCs w:val="0"/>
            </w:rPr>
            <w:t>部门概况</w:t>
          </w:r>
          <w:r>
            <w:tab/>
          </w:r>
          <w:r>
            <w:fldChar w:fldCharType="begin"/>
          </w:r>
          <w:r>
            <w:instrText xml:space="preserve"> PAGEREF _Toc21319 </w:instrText>
          </w:r>
          <w:r>
            <w:fldChar w:fldCharType="separate"/>
          </w:r>
          <w:r>
            <w:t>4</w:t>
          </w:r>
          <w:r>
            <w:fldChar w:fldCharType="end"/>
          </w:r>
          <w:r>
            <w:rPr>
              <w:rFonts w:hint="eastAsia"/>
            </w:rPr>
            <w:fldChar w:fldCharType="end"/>
          </w:r>
        </w:p>
        <w:p>
          <w:pPr>
            <w:pStyle w:val="12"/>
            <w:tabs>
              <w:tab w:val="right" w:leader="dot" w:pos="8306"/>
              <w:tab w:val="clear" w:pos="8296"/>
            </w:tabs>
          </w:pPr>
          <w:r>
            <w:rPr>
              <w:rFonts w:hint="eastAsia"/>
            </w:rPr>
            <w:fldChar w:fldCharType="begin"/>
          </w:r>
          <w:r>
            <w:rPr>
              <w:rFonts w:hint="eastAsia"/>
            </w:rPr>
            <w:instrText xml:space="preserve"> HYPERLINK \l _Toc8422 </w:instrText>
          </w:r>
          <w:r>
            <w:rPr>
              <w:rFonts w:hint="eastAsia"/>
            </w:rPr>
            <w:fldChar w:fldCharType="separate"/>
          </w:r>
          <w:r>
            <w:rPr>
              <w:rFonts w:hint="eastAsia" w:ascii="黑体" w:hAnsi="黑体" w:eastAsia="黑体"/>
              <w:bCs w:val="0"/>
            </w:rPr>
            <w:t xml:space="preserve">一、 </w:t>
          </w:r>
          <w:r>
            <w:rPr>
              <w:rFonts w:hint="eastAsia" w:ascii="黑体" w:hAnsi="黑体" w:eastAsia="黑体"/>
            </w:rPr>
            <w:t>基</w:t>
          </w:r>
          <w:r>
            <w:rPr>
              <w:rFonts w:hint="eastAsia" w:ascii="黑体" w:hAnsi="黑体" w:eastAsia="黑体"/>
              <w:bCs w:val="0"/>
            </w:rPr>
            <w:t>本职能及主要工作</w:t>
          </w:r>
          <w:r>
            <w:tab/>
          </w:r>
          <w:r>
            <w:fldChar w:fldCharType="begin"/>
          </w:r>
          <w:r>
            <w:instrText xml:space="preserve"> PAGEREF _Toc8422 </w:instrText>
          </w:r>
          <w:r>
            <w:fldChar w:fldCharType="separate"/>
          </w:r>
          <w:r>
            <w:t>4</w:t>
          </w:r>
          <w:r>
            <w:fldChar w:fldCharType="end"/>
          </w:r>
          <w:r>
            <w:rPr>
              <w:rFonts w:hint="eastAsia"/>
            </w:rPr>
            <w:fldChar w:fldCharType="end"/>
          </w:r>
        </w:p>
        <w:p>
          <w:pPr>
            <w:pStyle w:val="12"/>
            <w:tabs>
              <w:tab w:val="right" w:leader="dot" w:pos="8306"/>
              <w:tab w:val="clear" w:pos="8296"/>
            </w:tabs>
          </w:pPr>
          <w:r>
            <w:rPr>
              <w:rFonts w:hint="eastAsia"/>
            </w:rPr>
            <w:fldChar w:fldCharType="begin"/>
          </w:r>
          <w:r>
            <w:rPr>
              <w:rFonts w:hint="eastAsia"/>
            </w:rPr>
            <w:instrText xml:space="preserve"> HYPERLINK \l _Toc13424 </w:instrText>
          </w:r>
          <w:r>
            <w:rPr>
              <w:rFonts w:hint="eastAsia"/>
            </w:rPr>
            <w:fldChar w:fldCharType="separate"/>
          </w:r>
          <w:r>
            <w:rPr>
              <w:rFonts w:hint="eastAsia" w:ascii="黑体" w:eastAsia="黑体"/>
            </w:rPr>
            <w:t>二、</w:t>
          </w:r>
          <w:r>
            <w:rPr>
              <w:rFonts w:hint="eastAsia" w:ascii="黑体" w:hAnsi="黑体" w:eastAsia="黑体"/>
            </w:rPr>
            <w:t>机</w:t>
          </w:r>
          <w:r>
            <w:rPr>
              <w:rFonts w:hint="eastAsia" w:ascii="黑体" w:hAnsi="黑体" w:eastAsia="黑体"/>
              <w:bCs w:val="0"/>
            </w:rPr>
            <w:t>构设置</w:t>
          </w:r>
          <w:r>
            <w:tab/>
          </w:r>
          <w:r>
            <w:fldChar w:fldCharType="begin"/>
          </w:r>
          <w:r>
            <w:instrText xml:space="preserve"> PAGEREF _Toc13424 </w:instrText>
          </w:r>
          <w:r>
            <w:fldChar w:fldCharType="separate"/>
          </w:r>
          <w:r>
            <w:t>12</w:t>
          </w:r>
          <w:r>
            <w:fldChar w:fldCharType="end"/>
          </w:r>
          <w:r>
            <w:rPr>
              <w:rFonts w:hint="eastAsia"/>
            </w:rPr>
            <w:fldChar w:fldCharType="end"/>
          </w:r>
        </w:p>
        <w:p>
          <w:pPr>
            <w:pStyle w:val="11"/>
            <w:tabs>
              <w:tab w:val="right" w:leader="dot" w:pos="8306"/>
              <w:tab w:val="clear" w:pos="8296"/>
            </w:tabs>
          </w:pPr>
          <w:r>
            <w:rPr>
              <w:rFonts w:hint="eastAsia"/>
            </w:rPr>
            <w:fldChar w:fldCharType="begin"/>
          </w:r>
          <w:r>
            <w:rPr>
              <w:rFonts w:hint="eastAsia"/>
            </w:rPr>
            <w:instrText xml:space="preserve"> HYPERLINK \l _Toc31163 </w:instrText>
          </w:r>
          <w:r>
            <w:rPr>
              <w:rFonts w:hint="eastAsia"/>
            </w:rPr>
            <w:fldChar w:fldCharType="separate"/>
          </w:r>
          <w:r>
            <w:rPr>
              <w:rFonts w:hint="eastAsia" w:ascii="黑体" w:hAnsi="黑体" w:eastAsia="黑体"/>
            </w:rPr>
            <w:t xml:space="preserve">第二部分 </w:t>
          </w:r>
          <w:r>
            <w:rPr>
              <w:rFonts w:hint="eastAsia" w:ascii="黑体" w:hAnsi="黑体" w:eastAsia="黑体"/>
              <w:bCs w:val="0"/>
            </w:rPr>
            <w:t>2019年度部门决算情况说明</w:t>
          </w:r>
          <w:r>
            <w:tab/>
          </w:r>
          <w:r>
            <w:fldChar w:fldCharType="begin"/>
          </w:r>
          <w:r>
            <w:instrText xml:space="preserve"> PAGEREF _Toc31163 </w:instrText>
          </w:r>
          <w:r>
            <w:fldChar w:fldCharType="separate"/>
          </w:r>
          <w:r>
            <w:t>13</w:t>
          </w:r>
          <w:r>
            <w:fldChar w:fldCharType="end"/>
          </w:r>
          <w:r>
            <w:rPr>
              <w:rFonts w:hint="eastAsia"/>
            </w:rPr>
            <w:fldChar w:fldCharType="end"/>
          </w:r>
        </w:p>
        <w:p>
          <w:pPr>
            <w:pStyle w:val="12"/>
            <w:tabs>
              <w:tab w:val="right" w:leader="dot" w:pos="8306"/>
              <w:tab w:val="clear" w:pos="8296"/>
            </w:tabs>
          </w:pPr>
          <w:r>
            <w:rPr>
              <w:rFonts w:hint="eastAsia"/>
            </w:rPr>
            <w:fldChar w:fldCharType="begin"/>
          </w:r>
          <w:r>
            <w:rPr>
              <w:rFonts w:hint="eastAsia"/>
            </w:rPr>
            <w:instrText xml:space="preserve"> HYPERLINK \l _Toc11895 </w:instrText>
          </w:r>
          <w:r>
            <w:rPr>
              <w:rFonts w:hint="eastAsia"/>
            </w:rPr>
            <w:fldChar w:fldCharType="separate"/>
          </w:r>
          <w:r>
            <w:rPr>
              <w:rFonts w:hint="default" w:ascii="黑体" w:hAnsi="黑体" w:eastAsia="黑体"/>
            </w:rPr>
            <w:t xml:space="preserve">一、 </w:t>
          </w:r>
          <w:r>
            <w:rPr>
              <w:rFonts w:hint="eastAsia" w:ascii="黑体" w:hAnsi="黑体" w:eastAsia="黑体"/>
              <w:szCs w:val="32"/>
            </w:rPr>
            <w:t>收</w:t>
          </w:r>
          <w:r>
            <w:rPr>
              <w:rFonts w:hint="eastAsia" w:ascii="黑体" w:hAnsi="黑体" w:eastAsia="黑体"/>
            </w:rPr>
            <w:t>入支出决算总体情况说明</w:t>
          </w:r>
          <w:r>
            <w:tab/>
          </w:r>
          <w:r>
            <w:fldChar w:fldCharType="begin"/>
          </w:r>
          <w:r>
            <w:instrText xml:space="preserve"> PAGEREF _Toc11895 </w:instrText>
          </w:r>
          <w:r>
            <w:fldChar w:fldCharType="separate"/>
          </w:r>
          <w:r>
            <w:t>13</w:t>
          </w:r>
          <w:r>
            <w:fldChar w:fldCharType="end"/>
          </w:r>
          <w:r>
            <w:rPr>
              <w:rFonts w:hint="eastAsia"/>
            </w:rPr>
            <w:fldChar w:fldCharType="end"/>
          </w:r>
        </w:p>
        <w:p>
          <w:pPr>
            <w:pStyle w:val="12"/>
            <w:tabs>
              <w:tab w:val="right" w:leader="dot" w:pos="8306"/>
              <w:tab w:val="clear" w:pos="8296"/>
            </w:tabs>
          </w:pPr>
          <w:r>
            <w:rPr>
              <w:rFonts w:hint="eastAsia"/>
            </w:rPr>
            <w:fldChar w:fldCharType="begin"/>
          </w:r>
          <w:r>
            <w:rPr>
              <w:rFonts w:hint="eastAsia"/>
            </w:rPr>
            <w:instrText xml:space="preserve"> HYPERLINK \l _Toc26006 </w:instrText>
          </w:r>
          <w:r>
            <w:rPr>
              <w:rFonts w:hint="eastAsia"/>
            </w:rPr>
            <w:fldChar w:fldCharType="separate"/>
          </w:r>
          <w:r>
            <w:rPr>
              <w:rFonts w:hint="default" w:ascii="黑体" w:hAnsi="黑体" w:eastAsia="黑体"/>
            </w:rPr>
            <w:t xml:space="preserve">二、 </w:t>
          </w:r>
          <w:r>
            <w:rPr>
              <w:rFonts w:hint="eastAsia" w:ascii="黑体" w:hAnsi="黑体" w:eastAsia="黑体"/>
              <w:szCs w:val="32"/>
            </w:rPr>
            <w:t>收</w:t>
          </w:r>
          <w:r>
            <w:rPr>
              <w:rFonts w:hint="eastAsia" w:ascii="黑体" w:hAnsi="黑体" w:eastAsia="黑体"/>
            </w:rPr>
            <w:t>入决算情况说明</w:t>
          </w:r>
          <w:r>
            <w:tab/>
          </w:r>
          <w:r>
            <w:fldChar w:fldCharType="begin"/>
          </w:r>
          <w:r>
            <w:instrText xml:space="preserve"> PAGEREF _Toc26006 </w:instrText>
          </w:r>
          <w:r>
            <w:fldChar w:fldCharType="separate"/>
          </w:r>
          <w:r>
            <w:t>14</w:t>
          </w:r>
          <w:r>
            <w:fldChar w:fldCharType="end"/>
          </w:r>
          <w:r>
            <w:rPr>
              <w:rFonts w:hint="eastAsia"/>
            </w:rPr>
            <w:fldChar w:fldCharType="end"/>
          </w:r>
        </w:p>
        <w:p>
          <w:pPr>
            <w:pStyle w:val="12"/>
            <w:tabs>
              <w:tab w:val="right" w:leader="dot" w:pos="8306"/>
              <w:tab w:val="clear" w:pos="8296"/>
            </w:tabs>
          </w:pPr>
          <w:r>
            <w:rPr>
              <w:rFonts w:hint="eastAsia"/>
            </w:rPr>
            <w:fldChar w:fldCharType="begin"/>
          </w:r>
          <w:r>
            <w:rPr>
              <w:rFonts w:hint="eastAsia"/>
            </w:rPr>
            <w:instrText xml:space="preserve"> HYPERLINK \l _Toc15528 </w:instrText>
          </w:r>
          <w:r>
            <w:rPr>
              <w:rFonts w:hint="eastAsia"/>
            </w:rPr>
            <w:fldChar w:fldCharType="separate"/>
          </w:r>
          <w:r>
            <w:rPr>
              <w:rFonts w:hint="default" w:ascii="黑体" w:hAnsi="黑体" w:eastAsia="黑体"/>
            </w:rPr>
            <w:t xml:space="preserve">三、 </w:t>
          </w:r>
          <w:r>
            <w:rPr>
              <w:rFonts w:hint="eastAsia" w:ascii="黑体" w:hAnsi="黑体" w:eastAsia="黑体"/>
              <w:szCs w:val="32"/>
            </w:rPr>
            <w:t>支</w:t>
          </w:r>
          <w:r>
            <w:rPr>
              <w:rFonts w:hint="eastAsia" w:ascii="黑体" w:hAnsi="黑体" w:eastAsia="黑体"/>
            </w:rPr>
            <w:t>出决算情况说明</w:t>
          </w:r>
          <w:r>
            <w:tab/>
          </w:r>
          <w:r>
            <w:fldChar w:fldCharType="begin"/>
          </w:r>
          <w:r>
            <w:instrText xml:space="preserve"> PAGEREF _Toc15528 </w:instrText>
          </w:r>
          <w:r>
            <w:fldChar w:fldCharType="separate"/>
          </w:r>
          <w:r>
            <w:t>14</w:t>
          </w:r>
          <w:r>
            <w:fldChar w:fldCharType="end"/>
          </w:r>
          <w:r>
            <w:rPr>
              <w:rFonts w:hint="eastAsia"/>
            </w:rPr>
            <w:fldChar w:fldCharType="end"/>
          </w:r>
        </w:p>
        <w:p>
          <w:pPr>
            <w:pStyle w:val="12"/>
            <w:tabs>
              <w:tab w:val="right" w:leader="dot" w:pos="8306"/>
              <w:tab w:val="clear" w:pos="8296"/>
            </w:tabs>
          </w:pPr>
          <w:r>
            <w:rPr>
              <w:rFonts w:hint="eastAsia"/>
            </w:rPr>
            <w:fldChar w:fldCharType="begin"/>
          </w:r>
          <w:r>
            <w:rPr>
              <w:rFonts w:hint="eastAsia"/>
            </w:rPr>
            <w:instrText xml:space="preserve"> HYPERLINK \l _Toc27709 </w:instrText>
          </w:r>
          <w:r>
            <w:rPr>
              <w:rFonts w:hint="eastAsia"/>
            </w:rPr>
            <w:fldChar w:fldCharType="separate"/>
          </w:r>
          <w:r>
            <w:rPr>
              <w:rFonts w:hint="eastAsia" w:ascii="黑体" w:hAnsi="黑体" w:eastAsia="黑体"/>
              <w:szCs w:val="32"/>
            </w:rPr>
            <w:t>四、财</w:t>
          </w:r>
          <w:r>
            <w:rPr>
              <w:rFonts w:hint="eastAsia" w:ascii="黑体" w:hAnsi="黑体" w:eastAsia="黑体"/>
            </w:rPr>
            <w:t>政拨款收入支出决算总体情况说明</w:t>
          </w:r>
          <w:r>
            <w:tab/>
          </w:r>
          <w:r>
            <w:fldChar w:fldCharType="begin"/>
          </w:r>
          <w:r>
            <w:instrText xml:space="preserve"> PAGEREF _Toc27709 </w:instrText>
          </w:r>
          <w:r>
            <w:fldChar w:fldCharType="separate"/>
          </w:r>
          <w:r>
            <w:t>15</w:t>
          </w:r>
          <w:r>
            <w:fldChar w:fldCharType="end"/>
          </w:r>
          <w:r>
            <w:rPr>
              <w:rFonts w:hint="eastAsia"/>
            </w:rPr>
            <w:fldChar w:fldCharType="end"/>
          </w:r>
        </w:p>
        <w:p>
          <w:pPr>
            <w:pStyle w:val="12"/>
            <w:tabs>
              <w:tab w:val="right" w:leader="dot" w:pos="8306"/>
              <w:tab w:val="clear" w:pos="8296"/>
            </w:tabs>
          </w:pPr>
          <w:r>
            <w:rPr>
              <w:rFonts w:hint="eastAsia"/>
            </w:rPr>
            <w:fldChar w:fldCharType="begin"/>
          </w:r>
          <w:r>
            <w:rPr>
              <w:rFonts w:hint="eastAsia"/>
            </w:rPr>
            <w:instrText xml:space="preserve"> HYPERLINK \l _Toc9113 </w:instrText>
          </w:r>
          <w:r>
            <w:rPr>
              <w:rFonts w:hint="eastAsia"/>
            </w:rPr>
            <w:fldChar w:fldCharType="separate"/>
          </w:r>
          <w:r>
            <w:rPr>
              <w:rFonts w:hint="eastAsia" w:ascii="黑体" w:hAnsi="黑体" w:eastAsia="黑体"/>
              <w:szCs w:val="32"/>
            </w:rPr>
            <w:t>五、一</w:t>
          </w:r>
          <w:r>
            <w:rPr>
              <w:rFonts w:hint="eastAsia" w:ascii="黑体" w:hAnsi="黑体" w:eastAsia="黑体"/>
            </w:rPr>
            <w:t>般公共预算财政拨款支出决算情况说明</w:t>
          </w:r>
          <w:r>
            <w:tab/>
          </w:r>
          <w:r>
            <w:fldChar w:fldCharType="begin"/>
          </w:r>
          <w:r>
            <w:instrText xml:space="preserve"> PAGEREF _Toc9113 </w:instrText>
          </w:r>
          <w:r>
            <w:fldChar w:fldCharType="separate"/>
          </w:r>
          <w:r>
            <w:t>15</w:t>
          </w:r>
          <w:r>
            <w:fldChar w:fldCharType="end"/>
          </w:r>
          <w:r>
            <w:rPr>
              <w:rFonts w:hint="eastAsia"/>
            </w:rPr>
            <w:fldChar w:fldCharType="end"/>
          </w:r>
        </w:p>
        <w:p>
          <w:pPr>
            <w:pStyle w:val="8"/>
            <w:tabs>
              <w:tab w:val="right" w:leader="dot" w:pos="8306"/>
              <w:tab w:val="clear" w:pos="8296"/>
            </w:tabs>
          </w:pPr>
          <w:r>
            <w:rPr>
              <w:rFonts w:hint="eastAsia"/>
            </w:rPr>
            <w:fldChar w:fldCharType="begin"/>
          </w:r>
          <w:r>
            <w:rPr>
              <w:rFonts w:hint="eastAsia"/>
            </w:rPr>
            <w:instrText xml:space="preserve"> HYPERLINK \l _Toc27803 </w:instrText>
          </w:r>
          <w:r>
            <w:rPr>
              <w:rFonts w:hint="eastAsia"/>
            </w:rPr>
            <w:fldChar w:fldCharType="separate"/>
          </w:r>
          <w:r>
            <w:rPr>
              <w:rFonts w:hint="eastAsia" w:ascii="仿宋" w:hAnsi="仿宋" w:eastAsia="仿宋"/>
              <w:szCs w:val="32"/>
            </w:rPr>
            <w:t>（一）一般公共预算财政拨款支出决算总体情况</w:t>
          </w:r>
          <w:r>
            <w:tab/>
          </w:r>
          <w:r>
            <w:fldChar w:fldCharType="begin"/>
          </w:r>
          <w:r>
            <w:instrText xml:space="preserve"> PAGEREF _Toc27803 </w:instrText>
          </w:r>
          <w:r>
            <w:fldChar w:fldCharType="separate"/>
          </w:r>
          <w:r>
            <w:t>15</w:t>
          </w:r>
          <w:r>
            <w:fldChar w:fldCharType="end"/>
          </w:r>
          <w:r>
            <w:rPr>
              <w:rFonts w:hint="eastAsia"/>
            </w:rPr>
            <w:fldChar w:fldCharType="end"/>
          </w:r>
        </w:p>
        <w:p>
          <w:pPr>
            <w:pStyle w:val="8"/>
            <w:tabs>
              <w:tab w:val="right" w:leader="dot" w:pos="8306"/>
              <w:tab w:val="clear" w:pos="8296"/>
            </w:tabs>
          </w:pPr>
          <w:r>
            <w:rPr>
              <w:rFonts w:hint="eastAsia"/>
            </w:rPr>
            <w:fldChar w:fldCharType="begin"/>
          </w:r>
          <w:r>
            <w:rPr>
              <w:rFonts w:hint="eastAsia"/>
            </w:rPr>
            <w:instrText xml:space="preserve"> HYPERLINK \l _Toc10567 </w:instrText>
          </w:r>
          <w:r>
            <w:rPr>
              <w:rFonts w:hint="eastAsia"/>
            </w:rPr>
            <w:fldChar w:fldCharType="separate"/>
          </w:r>
          <w:r>
            <w:rPr>
              <w:rFonts w:hint="eastAsia" w:ascii="仿宋" w:hAnsi="仿宋" w:eastAsia="仿宋"/>
              <w:szCs w:val="32"/>
            </w:rPr>
            <w:t>（二）一般公共预算财政拨款支出决算结构情况</w:t>
          </w:r>
          <w:r>
            <w:tab/>
          </w:r>
          <w:r>
            <w:fldChar w:fldCharType="begin"/>
          </w:r>
          <w:r>
            <w:instrText xml:space="preserve"> PAGEREF _Toc10567 </w:instrText>
          </w:r>
          <w:r>
            <w:fldChar w:fldCharType="separate"/>
          </w:r>
          <w:r>
            <w:t>16</w:t>
          </w:r>
          <w:r>
            <w:fldChar w:fldCharType="end"/>
          </w:r>
          <w:r>
            <w:rPr>
              <w:rFonts w:hint="eastAsia"/>
            </w:rPr>
            <w:fldChar w:fldCharType="end"/>
          </w:r>
        </w:p>
        <w:p>
          <w:pPr>
            <w:pStyle w:val="8"/>
            <w:tabs>
              <w:tab w:val="right" w:leader="dot" w:pos="8306"/>
              <w:tab w:val="clear" w:pos="8296"/>
            </w:tabs>
          </w:pPr>
          <w:r>
            <w:rPr>
              <w:rFonts w:hint="eastAsia"/>
            </w:rPr>
            <w:fldChar w:fldCharType="begin"/>
          </w:r>
          <w:r>
            <w:rPr>
              <w:rFonts w:hint="eastAsia"/>
            </w:rPr>
            <w:instrText xml:space="preserve"> HYPERLINK \l _Toc15708 </w:instrText>
          </w:r>
          <w:r>
            <w:rPr>
              <w:rFonts w:hint="eastAsia"/>
            </w:rPr>
            <w:fldChar w:fldCharType="separate"/>
          </w:r>
          <w:r>
            <w:rPr>
              <w:rFonts w:hint="eastAsia" w:ascii="仿宋" w:hAnsi="仿宋" w:eastAsia="仿宋"/>
              <w:szCs w:val="32"/>
            </w:rPr>
            <w:t>（三）一般公共预算财政拨款支出决算具体情况</w:t>
          </w:r>
          <w:r>
            <w:tab/>
          </w:r>
          <w:r>
            <w:fldChar w:fldCharType="begin"/>
          </w:r>
          <w:r>
            <w:instrText xml:space="preserve"> PAGEREF _Toc15708 </w:instrText>
          </w:r>
          <w:r>
            <w:fldChar w:fldCharType="separate"/>
          </w:r>
          <w:r>
            <w:t>17</w:t>
          </w:r>
          <w:r>
            <w:fldChar w:fldCharType="end"/>
          </w:r>
          <w:r>
            <w:rPr>
              <w:rFonts w:hint="eastAsia"/>
            </w:rPr>
            <w:fldChar w:fldCharType="end"/>
          </w:r>
        </w:p>
        <w:p>
          <w:pPr>
            <w:pStyle w:val="8"/>
            <w:tabs>
              <w:tab w:val="right" w:leader="dot" w:pos="8306"/>
              <w:tab w:val="clear" w:pos="8296"/>
            </w:tabs>
          </w:pPr>
          <w:r>
            <w:rPr>
              <w:rFonts w:hint="eastAsia"/>
            </w:rPr>
            <w:fldChar w:fldCharType="begin"/>
          </w:r>
          <w:r>
            <w:rPr>
              <w:rFonts w:hint="eastAsia"/>
            </w:rPr>
            <w:instrText xml:space="preserve"> HYPERLINK \l _Toc12098 </w:instrText>
          </w:r>
          <w:r>
            <w:rPr>
              <w:rFonts w:hint="eastAsia"/>
            </w:rPr>
            <w:fldChar w:fldCharType="separate"/>
          </w:r>
          <w:r>
            <w:rPr>
              <w:rFonts w:hint="eastAsia" w:ascii="仿宋" w:hAnsi="仿宋" w:eastAsia="仿宋"/>
              <w:szCs w:val="32"/>
            </w:rPr>
            <w:t>2019年般公共预算支出决算数为</w:t>
          </w:r>
          <w:r>
            <w:rPr>
              <w:rFonts w:hint="eastAsia" w:ascii="仿宋" w:hAnsi="仿宋" w:eastAsia="仿宋"/>
              <w:szCs w:val="32"/>
              <w:lang w:val="en-US" w:eastAsia="zh-CN"/>
            </w:rPr>
            <w:t>1098.09</w:t>
          </w:r>
          <w:r>
            <w:rPr>
              <w:rFonts w:hint="eastAsia" w:ascii="仿宋" w:hAnsi="仿宋" w:eastAsia="仿宋"/>
              <w:szCs w:val="32"/>
            </w:rPr>
            <w:t>，</w:t>
          </w:r>
          <w:r>
            <w:rPr>
              <w:rFonts w:hint="eastAsia" w:ascii="仿宋" w:hAnsi="仿宋" w:eastAsia="仿宋"/>
              <w:bCs/>
              <w:szCs w:val="32"/>
            </w:rPr>
            <w:t>完成预算</w:t>
          </w:r>
          <w:r>
            <w:rPr>
              <w:rFonts w:hint="eastAsia" w:ascii="仿宋" w:hAnsi="仿宋" w:eastAsia="仿宋"/>
              <w:bCs/>
              <w:szCs w:val="32"/>
              <w:lang w:val="en-US" w:eastAsia="zh-CN"/>
            </w:rPr>
            <w:t>100</w:t>
          </w:r>
          <w:r>
            <w:rPr>
              <w:rFonts w:ascii="仿宋" w:hAnsi="仿宋" w:eastAsia="仿宋"/>
              <w:bCs/>
              <w:szCs w:val="32"/>
            </w:rPr>
            <w:t>%</w:t>
          </w:r>
          <w:r>
            <w:rPr>
              <w:rFonts w:hint="eastAsia" w:ascii="仿宋" w:hAnsi="仿宋" w:eastAsia="仿宋"/>
              <w:bCs/>
              <w:szCs w:val="32"/>
            </w:rPr>
            <w:t>。其中：</w:t>
          </w:r>
          <w:r>
            <w:tab/>
          </w:r>
          <w:r>
            <w:fldChar w:fldCharType="begin"/>
          </w:r>
          <w:r>
            <w:instrText xml:space="preserve"> PAGEREF _Toc12098 </w:instrText>
          </w:r>
          <w:r>
            <w:fldChar w:fldCharType="separate"/>
          </w:r>
          <w:r>
            <w:t>17</w:t>
          </w:r>
          <w:r>
            <w:fldChar w:fldCharType="end"/>
          </w:r>
          <w:r>
            <w:rPr>
              <w:rFonts w:hint="eastAsia"/>
            </w:rPr>
            <w:fldChar w:fldCharType="end"/>
          </w:r>
        </w:p>
        <w:p>
          <w:pPr>
            <w:pStyle w:val="12"/>
            <w:tabs>
              <w:tab w:val="right" w:leader="dot" w:pos="8306"/>
              <w:tab w:val="clear" w:pos="8296"/>
            </w:tabs>
          </w:pPr>
          <w:r>
            <w:rPr>
              <w:rFonts w:hint="eastAsia"/>
            </w:rPr>
            <w:fldChar w:fldCharType="begin"/>
          </w:r>
          <w:r>
            <w:rPr>
              <w:rFonts w:hint="eastAsia"/>
            </w:rPr>
            <w:instrText xml:space="preserve"> HYPERLINK \l _Toc27084 </w:instrText>
          </w:r>
          <w:r>
            <w:rPr>
              <w:rFonts w:hint="eastAsia"/>
            </w:rPr>
            <w:fldChar w:fldCharType="separate"/>
          </w:r>
          <w:r>
            <w:rPr>
              <w:rFonts w:hint="eastAsia" w:ascii="黑体" w:eastAsia="黑体"/>
              <w:szCs w:val="32"/>
            </w:rPr>
            <w:t>六、</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_Toc27084 </w:instrText>
          </w:r>
          <w:r>
            <w:fldChar w:fldCharType="separate"/>
          </w:r>
          <w:r>
            <w:t>18</w:t>
          </w:r>
          <w:r>
            <w:fldChar w:fldCharType="end"/>
          </w:r>
          <w:r>
            <w:rPr>
              <w:rFonts w:hint="eastAsia"/>
            </w:rPr>
            <w:fldChar w:fldCharType="end"/>
          </w:r>
        </w:p>
        <w:p>
          <w:pPr>
            <w:pStyle w:val="12"/>
            <w:tabs>
              <w:tab w:val="right" w:leader="dot" w:pos="8306"/>
              <w:tab w:val="clear" w:pos="8296"/>
            </w:tabs>
          </w:pPr>
          <w:r>
            <w:rPr>
              <w:rFonts w:hint="eastAsia"/>
            </w:rPr>
            <w:fldChar w:fldCharType="begin"/>
          </w:r>
          <w:r>
            <w:rPr>
              <w:rFonts w:hint="eastAsia"/>
            </w:rPr>
            <w:instrText xml:space="preserve"> HYPERLINK \l _Toc31086 </w:instrText>
          </w:r>
          <w:r>
            <w:rPr>
              <w:rFonts w:hint="eastAsia"/>
            </w:rPr>
            <w:fldChar w:fldCharType="separate"/>
          </w:r>
          <w:r>
            <w:rPr>
              <w:rFonts w:hint="eastAsia" w:ascii="黑体" w:hAnsi="黑体" w:eastAsia="黑体" w:cs="黑体"/>
              <w:bCs w:val="0"/>
              <w:szCs w:val="32"/>
            </w:rPr>
            <w:t>七、</w:t>
          </w:r>
          <w:r>
            <w:rPr>
              <w:rFonts w:hint="eastAsia" w:ascii="黑体" w:hAnsi="黑体" w:eastAsia="黑体" w:cs="黑体"/>
              <w:bCs w:val="0"/>
            </w:rPr>
            <w:t>“三公”经费财政拨款支出决算情况说明</w:t>
          </w:r>
          <w:r>
            <w:tab/>
          </w:r>
          <w:r>
            <w:fldChar w:fldCharType="begin"/>
          </w:r>
          <w:r>
            <w:instrText xml:space="preserve"> PAGEREF _Toc31086 </w:instrText>
          </w:r>
          <w:r>
            <w:fldChar w:fldCharType="separate"/>
          </w:r>
          <w:r>
            <w:t>19</w:t>
          </w:r>
          <w:r>
            <w:fldChar w:fldCharType="end"/>
          </w:r>
          <w:r>
            <w:rPr>
              <w:rFonts w:hint="eastAsia"/>
            </w:rPr>
            <w:fldChar w:fldCharType="end"/>
          </w:r>
        </w:p>
        <w:p>
          <w:pPr>
            <w:pStyle w:val="8"/>
            <w:tabs>
              <w:tab w:val="right" w:leader="dot" w:pos="8306"/>
              <w:tab w:val="clear" w:pos="8296"/>
            </w:tabs>
          </w:pPr>
          <w:r>
            <w:rPr>
              <w:rFonts w:hint="eastAsia"/>
            </w:rPr>
            <w:fldChar w:fldCharType="begin"/>
          </w:r>
          <w:r>
            <w:rPr>
              <w:rFonts w:hint="eastAsia"/>
            </w:rPr>
            <w:instrText xml:space="preserve"> HYPERLINK \l _Toc31996 </w:instrText>
          </w:r>
          <w:r>
            <w:rPr>
              <w:rFonts w:hint="eastAsia"/>
            </w:rPr>
            <w:fldChar w:fldCharType="separate"/>
          </w:r>
          <w:r>
            <w:rPr>
              <w:rFonts w:hint="eastAsia" w:ascii="仿宋_GB2312" w:hAnsi="仿宋_GB2312" w:eastAsia="仿宋_GB2312" w:cs="仿宋_GB2312"/>
              <w:szCs w:val="32"/>
            </w:rPr>
            <w:t>（一）“三公”经费财政拨款支出决算总体情况说明</w:t>
          </w:r>
          <w:r>
            <w:tab/>
          </w:r>
          <w:r>
            <w:fldChar w:fldCharType="begin"/>
          </w:r>
          <w:r>
            <w:instrText xml:space="preserve"> PAGEREF _Toc31996 </w:instrText>
          </w:r>
          <w:r>
            <w:fldChar w:fldCharType="separate"/>
          </w:r>
          <w:r>
            <w:t>19</w:t>
          </w:r>
          <w:r>
            <w:fldChar w:fldCharType="end"/>
          </w:r>
          <w:r>
            <w:rPr>
              <w:rFonts w:hint="eastAsia"/>
            </w:rPr>
            <w:fldChar w:fldCharType="end"/>
          </w:r>
        </w:p>
        <w:p>
          <w:pPr>
            <w:pStyle w:val="8"/>
            <w:tabs>
              <w:tab w:val="right" w:leader="dot" w:pos="8306"/>
              <w:tab w:val="clear" w:pos="8296"/>
            </w:tabs>
          </w:pPr>
          <w:r>
            <w:rPr>
              <w:rFonts w:hint="eastAsia"/>
            </w:rPr>
            <w:fldChar w:fldCharType="begin"/>
          </w:r>
          <w:r>
            <w:rPr>
              <w:rFonts w:hint="eastAsia"/>
            </w:rPr>
            <w:instrText xml:space="preserve"> HYPERLINK \l _Toc19044 </w:instrText>
          </w:r>
          <w:r>
            <w:rPr>
              <w:rFonts w:hint="eastAsia"/>
            </w:rPr>
            <w:fldChar w:fldCharType="separate"/>
          </w:r>
          <w:r>
            <w:rPr>
              <w:rFonts w:hint="eastAsia" w:ascii="仿宋" w:hAnsi="仿宋" w:eastAsia="仿宋"/>
              <w:szCs w:val="32"/>
            </w:rPr>
            <w:t>（二）“三公”经费财政拨款支出决算具体情况说明</w:t>
          </w:r>
          <w:r>
            <w:tab/>
          </w:r>
          <w:r>
            <w:fldChar w:fldCharType="begin"/>
          </w:r>
          <w:r>
            <w:instrText xml:space="preserve"> PAGEREF _Toc19044 </w:instrText>
          </w:r>
          <w:r>
            <w:fldChar w:fldCharType="separate"/>
          </w:r>
          <w:r>
            <w:t>19</w:t>
          </w:r>
          <w:r>
            <w:fldChar w:fldCharType="end"/>
          </w:r>
          <w:r>
            <w:rPr>
              <w:rFonts w:hint="eastAsia"/>
            </w:rPr>
            <w:fldChar w:fldCharType="end"/>
          </w:r>
        </w:p>
        <w:p>
          <w:pPr>
            <w:pStyle w:val="12"/>
            <w:tabs>
              <w:tab w:val="right" w:leader="dot" w:pos="8306"/>
              <w:tab w:val="clear" w:pos="8296"/>
            </w:tabs>
          </w:pPr>
          <w:r>
            <w:rPr>
              <w:rFonts w:hint="eastAsia"/>
            </w:rPr>
            <w:fldChar w:fldCharType="begin"/>
          </w:r>
          <w:r>
            <w:rPr>
              <w:rFonts w:hint="eastAsia"/>
            </w:rPr>
            <w:instrText xml:space="preserve"> HYPERLINK \l _Toc19370 </w:instrText>
          </w:r>
          <w:r>
            <w:rPr>
              <w:rFonts w:hint="eastAsia"/>
            </w:rPr>
            <w:fldChar w:fldCharType="separate"/>
          </w:r>
          <w:r>
            <w:rPr>
              <w:rFonts w:hint="eastAsia" w:ascii="黑体" w:eastAsia="黑体"/>
              <w:szCs w:val="32"/>
            </w:rPr>
            <w:t>八、</w:t>
          </w:r>
          <w:r>
            <w:rPr>
              <w:rFonts w:hint="eastAsia" w:ascii="黑体" w:hAnsi="黑体" w:eastAsia="黑体"/>
            </w:rPr>
            <w:t>政府性基金预算支出决算情况说明</w:t>
          </w:r>
          <w:r>
            <w:tab/>
          </w:r>
          <w:r>
            <w:fldChar w:fldCharType="begin"/>
          </w:r>
          <w:r>
            <w:instrText xml:space="preserve"> PAGEREF _Toc19370 </w:instrText>
          </w:r>
          <w:r>
            <w:fldChar w:fldCharType="separate"/>
          </w:r>
          <w:r>
            <w:t>21</w:t>
          </w:r>
          <w:r>
            <w:fldChar w:fldCharType="end"/>
          </w:r>
          <w:r>
            <w:rPr>
              <w:rFonts w:hint="eastAsia"/>
            </w:rPr>
            <w:fldChar w:fldCharType="end"/>
          </w:r>
        </w:p>
        <w:p>
          <w:pPr>
            <w:pStyle w:val="12"/>
            <w:tabs>
              <w:tab w:val="right" w:leader="dot" w:pos="8306"/>
              <w:tab w:val="clear" w:pos="8296"/>
            </w:tabs>
          </w:pPr>
          <w:r>
            <w:rPr>
              <w:rFonts w:hint="eastAsia"/>
            </w:rPr>
            <w:fldChar w:fldCharType="begin"/>
          </w:r>
          <w:r>
            <w:rPr>
              <w:rFonts w:hint="eastAsia"/>
            </w:rPr>
            <w:instrText xml:space="preserve"> HYPERLINK \l _Toc30285 </w:instrText>
          </w:r>
          <w:r>
            <w:rPr>
              <w:rFonts w:hint="eastAsia"/>
            </w:rPr>
            <w:fldChar w:fldCharType="separate"/>
          </w:r>
          <w:r>
            <w:rPr>
              <w:rFonts w:hint="eastAsia" w:ascii="黑体" w:hAnsi="黑体" w:eastAsia="黑体"/>
              <w:lang w:val="en-US" w:eastAsia="zh-CN"/>
            </w:rPr>
            <w:t>九、</w:t>
          </w:r>
          <w:r>
            <w:rPr>
              <w:rFonts w:hint="eastAsia" w:ascii="黑体" w:hAnsi="黑体" w:eastAsia="黑体"/>
            </w:rPr>
            <w:t>国有资本经营预算支出决算情况说明</w:t>
          </w:r>
          <w:r>
            <w:tab/>
          </w:r>
          <w:r>
            <w:fldChar w:fldCharType="begin"/>
          </w:r>
          <w:r>
            <w:instrText xml:space="preserve"> PAGEREF _Toc30285 </w:instrText>
          </w:r>
          <w:r>
            <w:fldChar w:fldCharType="separate"/>
          </w:r>
          <w:r>
            <w:t>21</w:t>
          </w:r>
          <w:r>
            <w:fldChar w:fldCharType="end"/>
          </w:r>
          <w:r>
            <w:rPr>
              <w:rFonts w:hint="eastAsia"/>
            </w:rPr>
            <w:fldChar w:fldCharType="end"/>
          </w:r>
        </w:p>
        <w:p>
          <w:pPr>
            <w:pStyle w:val="12"/>
            <w:tabs>
              <w:tab w:val="right" w:leader="dot" w:pos="8306"/>
              <w:tab w:val="clear" w:pos="8296"/>
            </w:tabs>
          </w:pPr>
          <w:r>
            <w:rPr>
              <w:rFonts w:hint="eastAsia"/>
            </w:rPr>
            <w:fldChar w:fldCharType="begin"/>
          </w:r>
          <w:r>
            <w:rPr>
              <w:rFonts w:hint="eastAsia"/>
            </w:rPr>
            <w:instrText xml:space="preserve"> HYPERLINK \l _Toc27185 </w:instrText>
          </w:r>
          <w:r>
            <w:rPr>
              <w:rFonts w:hint="eastAsia"/>
            </w:rPr>
            <w:fldChar w:fldCharType="separate"/>
          </w:r>
          <w:r>
            <w:rPr>
              <w:rFonts w:hint="eastAsia" w:ascii="黑体" w:hAnsi="黑体" w:eastAsia="黑体"/>
              <w:szCs w:val="32"/>
            </w:rPr>
            <w:t>十</w:t>
          </w:r>
          <w:r>
            <w:rPr>
              <w:rFonts w:hint="eastAsia" w:ascii="黑体" w:hAnsi="黑体" w:eastAsia="黑体"/>
            </w:rPr>
            <w:t>、其他重要事项的情况说明</w:t>
          </w:r>
          <w:r>
            <w:tab/>
          </w:r>
          <w:r>
            <w:fldChar w:fldCharType="begin"/>
          </w:r>
          <w:r>
            <w:instrText xml:space="preserve"> PAGEREF _Toc27185 </w:instrText>
          </w:r>
          <w:r>
            <w:fldChar w:fldCharType="separate"/>
          </w:r>
          <w:r>
            <w:t>21</w:t>
          </w:r>
          <w:r>
            <w:fldChar w:fldCharType="end"/>
          </w:r>
          <w:r>
            <w:rPr>
              <w:rFonts w:hint="eastAsia"/>
            </w:rPr>
            <w:fldChar w:fldCharType="end"/>
          </w:r>
        </w:p>
        <w:p>
          <w:pPr>
            <w:pStyle w:val="8"/>
            <w:tabs>
              <w:tab w:val="right" w:leader="dot" w:pos="8306"/>
              <w:tab w:val="clear" w:pos="8296"/>
            </w:tabs>
          </w:pPr>
          <w:r>
            <w:rPr>
              <w:rFonts w:hint="eastAsia"/>
            </w:rPr>
            <w:fldChar w:fldCharType="begin"/>
          </w:r>
          <w:r>
            <w:rPr>
              <w:rFonts w:hint="eastAsia"/>
            </w:rPr>
            <w:instrText xml:space="preserve"> HYPERLINK \l _Toc30093 </w:instrText>
          </w:r>
          <w:r>
            <w:rPr>
              <w:rFonts w:hint="eastAsia"/>
            </w:rPr>
            <w:fldChar w:fldCharType="separate"/>
          </w:r>
          <w:r>
            <w:rPr>
              <w:rFonts w:hint="eastAsia" w:ascii="仿宋" w:hAnsi="仿宋" w:eastAsia="仿宋"/>
              <w:szCs w:val="32"/>
            </w:rPr>
            <w:t>（一）机关运行经费支出情况</w:t>
          </w:r>
          <w:r>
            <w:tab/>
          </w:r>
          <w:r>
            <w:fldChar w:fldCharType="begin"/>
          </w:r>
          <w:r>
            <w:instrText xml:space="preserve"> PAGEREF _Toc30093 </w:instrText>
          </w:r>
          <w:r>
            <w:fldChar w:fldCharType="separate"/>
          </w:r>
          <w:r>
            <w:t>21</w:t>
          </w:r>
          <w:r>
            <w:fldChar w:fldCharType="end"/>
          </w:r>
          <w:r>
            <w:rPr>
              <w:rFonts w:hint="eastAsia"/>
            </w:rPr>
            <w:fldChar w:fldCharType="end"/>
          </w:r>
        </w:p>
        <w:p>
          <w:pPr>
            <w:pStyle w:val="8"/>
            <w:tabs>
              <w:tab w:val="right" w:leader="dot" w:pos="8306"/>
              <w:tab w:val="clear" w:pos="8296"/>
            </w:tabs>
          </w:pPr>
          <w:r>
            <w:rPr>
              <w:rFonts w:hint="eastAsia"/>
            </w:rPr>
            <w:fldChar w:fldCharType="begin"/>
          </w:r>
          <w:r>
            <w:rPr>
              <w:rFonts w:hint="eastAsia"/>
            </w:rPr>
            <w:instrText xml:space="preserve"> HYPERLINK \l _Toc5908 </w:instrText>
          </w:r>
          <w:r>
            <w:rPr>
              <w:rFonts w:hint="eastAsia"/>
            </w:rPr>
            <w:fldChar w:fldCharType="separate"/>
          </w:r>
          <w:r>
            <w:rPr>
              <w:rFonts w:hint="eastAsia" w:ascii="仿宋" w:hAnsi="仿宋" w:eastAsia="仿宋"/>
              <w:szCs w:val="32"/>
            </w:rPr>
            <w:t>（二）政府采购支出情况</w:t>
          </w:r>
          <w:r>
            <w:tab/>
          </w:r>
          <w:r>
            <w:fldChar w:fldCharType="begin"/>
          </w:r>
          <w:r>
            <w:instrText xml:space="preserve"> PAGEREF _Toc5908 </w:instrText>
          </w:r>
          <w:r>
            <w:fldChar w:fldCharType="separate"/>
          </w:r>
          <w:r>
            <w:t>21</w:t>
          </w:r>
          <w:r>
            <w:fldChar w:fldCharType="end"/>
          </w:r>
          <w:r>
            <w:rPr>
              <w:rFonts w:hint="eastAsia"/>
            </w:rPr>
            <w:fldChar w:fldCharType="end"/>
          </w:r>
        </w:p>
        <w:p>
          <w:pPr>
            <w:pStyle w:val="8"/>
            <w:tabs>
              <w:tab w:val="right" w:leader="dot" w:pos="8306"/>
              <w:tab w:val="clear" w:pos="8296"/>
            </w:tabs>
          </w:pPr>
          <w:r>
            <w:rPr>
              <w:rFonts w:hint="eastAsia"/>
            </w:rPr>
            <w:fldChar w:fldCharType="begin"/>
          </w:r>
          <w:r>
            <w:rPr>
              <w:rFonts w:hint="eastAsia"/>
            </w:rPr>
            <w:instrText xml:space="preserve"> HYPERLINK \l _Toc15768 </w:instrText>
          </w:r>
          <w:r>
            <w:rPr>
              <w:rFonts w:hint="eastAsia"/>
            </w:rPr>
            <w:fldChar w:fldCharType="separate"/>
          </w:r>
          <w:r>
            <w:rPr>
              <w:rFonts w:hint="eastAsia" w:ascii="仿宋" w:hAnsi="仿宋" w:eastAsia="仿宋"/>
              <w:szCs w:val="32"/>
            </w:rPr>
            <w:t>（三）国有资产占有使用情况</w:t>
          </w:r>
          <w:r>
            <w:tab/>
          </w:r>
          <w:r>
            <w:fldChar w:fldCharType="begin"/>
          </w:r>
          <w:r>
            <w:instrText xml:space="preserve"> PAGEREF _Toc15768 </w:instrText>
          </w:r>
          <w:r>
            <w:fldChar w:fldCharType="separate"/>
          </w:r>
          <w:r>
            <w:t>21</w:t>
          </w:r>
          <w:r>
            <w:fldChar w:fldCharType="end"/>
          </w:r>
          <w:r>
            <w:rPr>
              <w:rFonts w:hint="eastAsia"/>
            </w:rPr>
            <w:fldChar w:fldCharType="end"/>
          </w:r>
        </w:p>
        <w:p>
          <w:pPr>
            <w:pStyle w:val="8"/>
            <w:tabs>
              <w:tab w:val="right" w:leader="dot" w:pos="8306"/>
              <w:tab w:val="clear" w:pos="8296"/>
            </w:tabs>
          </w:pPr>
          <w:r>
            <w:rPr>
              <w:rFonts w:hint="eastAsia"/>
            </w:rPr>
            <w:fldChar w:fldCharType="begin"/>
          </w:r>
          <w:r>
            <w:rPr>
              <w:rFonts w:hint="eastAsia"/>
            </w:rPr>
            <w:instrText xml:space="preserve"> HYPERLINK \l _Toc26353 </w:instrText>
          </w:r>
          <w:r>
            <w:rPr>
              <w:rFonts w:hint="eastAsia"/>
            </w:rPr>
            <w:fldChar w:fldCharType="separate"/>
          </w:r>
          <w:r>
            <w:rPr>
              <w:rFonts w:hint="eastAsia" w:ascii="仿宋" w:hAnsi="仿宋" w:eastAsia="仿宋"/>
              <w:szCs w:val="32"/>
            </w:rPr>
            <w:t>（四）预算绩效管理情况。</w:t>
          </w:r>
          <w:r>
            <w:tab/>
          </w:r>
          <w:r>
            <w:fldChar w:fldCharType="begin"/>
          </w:r>
          <w:r>
            <w:instrText xml:space="preserve"> PAGEREF _Toc26353 </w:instrText>
          </w:r>
          <w:r>
            <w:fldChar w:fldCharType="separate"/>
          </w:r>
          <w:r>
            <w:t>21</w:t>
          </w:r>
          <w:r>
            <w:fldChar w:fldCharType="end"/>
          </w:r>
          <w:r>
            <w:rPr>
              <w:rFonts w:hint="eastAsia"/>
            </w:rPr>
            <w:fldChar w:fldCharType="end"/>
          </w:r>
        </w:p>
        <w:p>
          <w:pPr>
            <w:pStyle w:val="11"/>
            <w:tabs>
              <w:tab w:val="right" w:leader="dot" w:pos="8306"/>
              <w:tab w:val="clear" w:pos="8296"/>
            </w:tabs>
          </w:pPr>
          <w:r>
            <w:rPr>
              <w:rFonts w:hint="eastAsia"/>
            </w:rPr>
            <w:fldChar w:fldCharType="begin"/>
          </w:r>
          <w:r>
            <w:rPr>
              <w:rFonts w:hint="eastAsia"/>
            </w:rPr>
            <w:instrText xml:space="preserve"> HYPERLINK \l _Toc6574 </w:instrText>
          </w:r>
          <w:r>
            <w:rPr>
              <w:rFonts w:hint="eastAsia"/>
            </w:rPr>
            <w:fldChar w:fldCharType="separate"/>
          </w:r>
          <w:r>
            <w:rPr>
              <w:rFonts w:hint="eastAsia" w:ascii="黑体" w:hAnsi="黑体" w:eastAsia="黑体"/>
            </w:rPr>
            <w:t xml:space="preserve">第三部分 </w:t>
          </w:r>
          <w:r>
            <w:rPr>
              <w:rFonts w:hint="eastAsia" w:ascii="黑体" w:hAnsi="黑体" w:eastAsia="黑体"/>
              <w:szCs w:val="44"/>
            </w:rPr>
            <w:t>名</w:t>
          </w:r>
          <w:r>
            <w:rPr>
              <w:rFonts w:hint="eastAsia" w:ascii="黑体" w:hAnsi="黑体" w:eastAsia="黑体"/>
            </w:rPr>
            <w:t>词解释</w:t>
          </w:r>
          <w:r>
            <w:tab/>
          </w:r>
          <w:r>
            <w:fldChar w:fldCharType="begin"/>
          </w:r>
          <w:r>
            <w:instrText xml:space="preserve"> PAGEREF _Toc6574 </w:instrText>
          </w:r>
          <w:r>
            <w:fldChar w:fldCharType="separate"/>
          </w:r>
          <w:r>
            <w:t>25</w:t>
          </w:r>
          <w:r>
            <w:fldChar w:fldCharType="end"/>
          </w:r>
          <w:r>
            <w:rPr>
              <w:rFonts w:hint="eastAsia"/>
            </w:rPr>
            <w:fldChar w:fldCharType="end"/>
          </w:r>
        </w:p>
        <w:p>
          <w:pPr>
            <w:pStyle w:val="11"/>
            <w:tabs>
              <w:tab w:val="right" w:leader="dot" w:pos="8306"/>
              <w:tab w:val="clear" w:pos="8296"/>
            </w:tabs>
          </w:pPr>
          <w:r>
            <w:rPr>
              <w:rFonts w:hint="eastAsia"/>
            </w:rPr>
            <w:fldChar w:fldCharType="begin"/>
          </w:r>
          <w:r>
            <w:rPr>
              <w:rFonts w:hint="eastAsia"/>
            </w:rPr>
            <w:instrText xml:space="preserve"> HYPERLINK \l _Toc9421 </w:instrText>
          </w:r>
          <w:r>
            <w:rPr>
              <w:rFonts w:hint="eastAsia"/>
            </w:rPr>
            <w:fldChar w:fldCharType="separate"/>
          </w:r>
          <w:r>
            <w:rPr>
              <w:rFonts w:hint="eastAsia" w:ascii="黑体" w:hAnsi="黑体" w:eastAsia="黑体"/>
              <w:szCs w:val="44"/>
            </w:rPr>
            <w:t>第</w:t>
          </w:r>
          <w:r>
            <w:rPr>
              <w:rFonts w:hint="eastAsia" w:ascii="黑体" w:hAnsi="黑体" w:eastAsia="黑体"/>
            </w:rPr>
            <w:t>四部分 附件</w:t>
          </w:r>
          <w:r>
            <w:tab/>
          </w:r>
          <w:r>
            <w:fldChar w:fldCharType="begin"/>
          </w:r>
          <w:r>
            <w:instrText xml:space="preserve"> PAGEREF _Toc9421 </w:instrText>
          </w:r>
          <w:r>
            <w:fldChar w:fldCharType="separate"/>
          </w:r>
          <w:r>
            <w:t>29</w:t>
          </w:r>
          <w:r>
            <w:fldChar w:fldCharType="end"/>
          </w:r>
          <w:r>
            <w:rPr>
              <w:rFonts w:hint="eastAsia"/>
            </w:rPr>
            <w:fldChar w:fldCharType="end"/>
          </w:r>
        </w:p>
        <w:p>
          <w:pPr>
            <w:pStyle w:val="11"/>
            <w:tabs>
              <w:tab w:val="right" w:leader="dot" w:pos="8306"/>
              <w:tab w:val="clear" w:pos="8296"/>
            </w:tabs>
          </w:pPr>
          <w:r>
            <w:rPr>
              <w:rFonts w:hint="eastAsia"/>
            </w:rPr>
            <w:fldChar w:fldCharType="begin"/>
          </w:r>
          <w:r>
            <w:rPr>
              <w:rFonts w:hint="eastAsia"/>
            </w:rPr>
            <w:instrText xml:space="preserve"> HYPERLINK \l _Toc19034 </w:instrText>
          </w:r>
          <w:r>
            <w:rPr>
              <w:rFonts w:hint="eastAsia"/>
            </w:rPr>
            <w:fldChar w:fldCharType="separate"/>
          </w:r>
          <w:r>
            <w:rPr>
              <w:rFonts w:hint="eastAsia" w:ascii="黑体" w:hAnsi="黑体" w:eastAsia="黑体" w:cs="黑体"/>
              <w:szCs w:val="32"/>
            </w:rPr>
            <w:t>附件1</w:t>
          </w:r>
          <w:r>
            <w:tab/>
          </w:r>
          <w:r>
            <w:fldChar w:fldCharType="begin"/>
          </w:r>
          <w:r>
            <w:instrText xml:space="preserve"> PAGEREF _Toc19034 </w:instrText>
          </w:r>
          <w:r>
            <w:fldChar w:fldCharType="separate"/>
          </w:r>
          <w:r>
            <w:t>29</w:t>
          </w:r>
          <w:r>
            <w:fldChar w:fldCharType="end"/>
          </w:r>
          <w:r>
            <w:rPr>
              <w:rFonts w:hint="eastAsia"/>
            </w:rPr>
            <w:fldChar w:fldCharType="end"/>
          </w:r>
        </w:p>
        <w:p>
          <w:pPr>
            <w:pStyle w:val="11"/>
            <w:tabs>
              <w:tab w:val="right" w:leader="dot" w:pos="8306"/>
              <w:tab w:val="clear" w:pos="8296"/>
            </w:tabs>
          </w:pPr>
          <w:r>
            <w:rPr>
              <w:rFonts w:hint="eastAsia"/>
            </w:rPr>
            <w:fldChar w:fldCharType="begin"/>
          </w:r>
          <w:r>
            <w:rPr>
              <w:rFonts w:hint="eastAsia"/>
            </w:rPr>
            <w:instrText xml:space="preserve"> HYPERLINK \l _Toc12837 </w:instrText>
          </w:r>
          <w:r>
            <w:rPr>
              <w:rFonts w:hint="eastAsia"/>
            </w:rPr>
            <w:fldChar w:fldCharType="separate"/>
          </w:r>
          <w:r>
            <w:rPr>
              <w:rFonts w:hint="eastAsia" w:ascii="黑体" w:hAnsi="黑体" w:eastAsia="黑体"/>
              <w:szCs w:val="44"/>
            </w:rPr>
            <w:t>第</w:t>
          </w:r>
          <w:r>
            <w:rPr>
              <w:rFonts w:hint="eastAsia" w:ascii="黑体" w:hAnsi="黑体" w:eastAsia="黑体"/>
            </w:rPr>
            <w:t>五部分 附表</w:t>
          </w:r>
          <w:r>
            <w:tab/>
          </w:r>
          <w:r>
            <w:fldChar w:fldCharType="begin"/>
          </w:r>
          <w:r>
            <w:instrText xml:space="preserve"> PAGEREF _Toc12837 </w:instrText>
          </w:r>
          <w:r>
            <w:fldChar w:fldCharType="separate"/>
          </w:r>
          <w:r>
            <w:t>32</w:t>
          </w:r>
          <w:r>
            <w:fldChar w:fldCharType="end"/>
          </w:r>
          <w:r>
            <w:rPr>
              <w:rFonts w:hint="eastAsia"/>
            </w:rPr>
            <w:fldChar w:fldCharType="end"/>
          </w:r>
        </w:p>
        <w:p>
          <w:pPr>
            <w:pStyle w:val="12"/>
            <w:tabs>
              <w:tab w:val="right" w:leader="dot" w:pos="8306"/>
              <w:tab w:val="clear" w:pos="8296"/>
            </w:tabs>
          </w:pPr>
          <w:r>
            <w:rPr>
              <w:rFonts w:hint="eastAsia"/>
            </w:rPr>
            <w:fldChar w:fldCharType="begin"/>
          </w:r>
          <w:r>
            <w:rPr>
              <w:rFonts w:hint="eastAsia"/>
            </w:rPr>
            <w:instrText xml:space="preserve"> HYPERLINK \l _Toc10714 </w:instrText>
          </w:r>
          <w:r>
            <w:rPr>
              <w:rFonts w:hint="eastAsia"/>
            </w:rPr>
            <w:fldChar w:fldCharType="separate"/>
          </w:r>
          <w:r>
            <w:rPr>
              <w:rFonts w:hint="eastAsia" w:ascii="仿宋" w:hAnsi="仿宋" w:eastAsia="仿宋"/>
            </w:rPr>
            <w:t>一、收</w:t>
          </w:r>
          <w:r>
            <w:rPr>
              <w:rFonts w:hint="eastAsia" w:ascii="仿宋" w:hAnsi="仿宋" w:eastAsia="仿宋"/>
              <w:bCs w:val="0"/>
            </w:rPr>
            <w:t>入支出决算总表</w:t>
          </w:r>
          <w:r>
            <w:tab/>
          </w:r>
          <w:r>
            <w:fldChar w:fldCharType="begin"/>
          </w:r>
          <w:r>
            <w:instrText xml:space="preserve"> PAGEREF _Toc10714 </w:instrText>
          </w:r>
          <w:r>
            <w:fldChar w:fldCharType="separate"/>
          </w:r>
          <w:r>
            <w:t>32</w:t>
          </w:r>
          <w:r>
            <w:fldChar w:fldCharType="end"/>
          </w:r>
          <w:r>
            <w:rPr>
              <w:rFonts w:hint="eastAsia"/>
            </w:rPr>
            <w:fldChar w:fldCharType="end"/>
          </w:r>
        </w:p>
        <w:p>
          <w:pPr>
            <w:pStyle w:val="12"/>
            <w:tabs>
              <w:tab w:val="right" w:leader="dot" w:pos="8306"/>
              <w:tab w:val="clear" w:pos="8296"/>
            </w:tabs>
          </w:pPr>
          <w:r>
            <w:rPr>
              <w:rFonts w:hint="eastAsia"/>
            </w:rPr>
            <w:fldChar w:fldCharType="begin"/>
          </w:r>
          <w:r>
            <w:rPr>
              <w:rFonts w:hint="eastAsia"/>
            </w:rPr>
            <w:instrText xml:space="preserve"> HYPERLINK \l _Toc19498 </w:instrText>
          </w:r>
          <w:r>
            <w:rPr>
              <w:rFonts w:hint="eastAsia"/>
            </w:rPr>
            <w:fldChar w:fldCharType="separate"/>
          </w:r>
          <w:r>
            <w:rPr>
              <w:rFonts w:hint="eastAsia" w:ascii="仿宋" w:hAnsi="仿宋" w:eastAsia="仿宋"/>
            </w:rPr>
            <w:t>二、收</w:t>
          </w:r>
          <w:r>
            <w:rPr>
              <w:rFonts w:hint="eastAsia" w:ascii="仿宋" w:hAnsi="仿宋" w:eastAsia="仿宋"/>
              <w:bCs w:val="0"/>
            </w:rPr>
            <w:t>入决算表</w:t>
          </w:r>
          <w:r>
            <w:tab/>
          </w:r>
          <w:r>
            <w:fldChar w:fldCharType="begin"/>
          </w:r>
          <w:r>
            <w:instrText xml:space="preserve"> PAGEREF _Toc19498 </w:instrText>
          </w:r>
          <w:r>
            <w:fldChar w:fldCharType="separate"/>
          </w:r>
          <w:r>
            <w:t>32</w:t>
          </w:r>
          <w:r>
            <w:fldChar w:fldCharType="end"/>
          </w:r>
          <w:r>
            <w:rPr>
              <w:rFonts w:hint="eastAsia"/>
            </w:rPr>
            <w:fldChar w:fldCharType="end"/>
          </w:r>
        </w:p>
        <w:p>
          <w:pPr>
            <w:pStyle w:val="12"/>
            <w:tabs>
              <w:tab w:val="right" w:leader="dot" w:pos="8306"/>
              <w:tab w:val="clear" w:pos="8296"/>
            </w:tabs>
          </w:pPr>
          <w:r>
            <w:rPr>
              <w:rFonts w:hint="eastAsia"/>
            </w:rPr>
            <w:fldChar w:fldCharType="begin"/>
          </w:r>
          <w:r>
            <w:rPr>
              <w:rFonts w:hint="eastAsia"/>
            </w:rPr>
            <w:instrText xml:space="preserve"> HYPERLINK \l _Toc17631 </w:instrText>
          </w:r>
          <w:r>
            <w:rPr>
              <w:rFonts w:hint="eastAsia"/>
            </w:rPr>
            <w:fldChar w:fldCharType="separate"/>
          </w:r>
          <w:r>
            <w:rPr>
              <w:rFonts w:hint="eastAsia" w:ascii="仿宋" w:hAnsi="仿宋" w:eastAsia="仿宋"/>
              <w:bCs w:val="0"/>
            </w:rPr>
            <w:t>三、</w:t>
          </w:r>
          <w:r>
            <w:rPr>
              <w:rFonts w:hint="eastAsia" w:ascii="仿宋" w:hAnsi="仿宋" w:eastAsia="仿宋"/>
            </w:rPr>
            <w:t>支</w:t>
          </w:r>
          <w:r>
            <w:rPr>
              <w:rFonts w:hint="eastAsia" w:ascii="仿宋" w:hAnsi="仿宋" w:eastAsia="仿宋"/>
              <w:bCs w:val="0"/>
            </w:rPr>
            <w:t>出决算表</w:t>
          </w:r>
          <w:r>
            <w:tab/>
          </w:r>
          <w:r>
            <w:fldChar w:fldCharType="begin"/>
          </w:r>
          <w:r>
            <w:instrText xml:space="preserve"> PAGEREF _Toc17631 </w:instrText>
          </w:r>
          <w:r>
            <w:fldChar w:fldCharType="separate"/>
          </w:r>
          <w:r>
            <w:t>32</w:t>
          </w:r>
          <w:r>
            <w:fldChar w:fldCharType="end"/>
          </w:r>
          <w:r>
            <w:rPr>
              <w:rFonts w:hint="eastAsia"/>
            </w:rPr>
            <w:fldChar w:fldCharType="end"/>
          </w:r>
        </w:p>
        <w:p>
          <w:pPr>
            <w:pStyle w:val="12"/>
            <w:tabs>
              <w:tab w:val="right" w:leader="dot" w:pos="8306"/>
              <w:tab w:val="clear" w:pos="8296"/>
            </w:tabs>
          </w:pPr>
          <w:r>
            <w:rPr>
              <w:rFonts w:hint="eastAsia"/>
            </w:rPr>
            <w:fldChar w:fldCharType="begin"/>
          </w:r>
          <w:r>
            <w:rPr>
              <w:rFonts w:hint="eastAsia"/>
            </w:rPr>
            <w:instrText xml:space="preserve"> HYPERLINK \l _Toc2049 </w:instrText>
          </w:r>
          <w:r>
            <w:rPr>
              <w:rFonts w:hint="eastAsia"/>
            </w:rPr>
            <w:fldChar w:fldCharType="separate"/>
          </w:r>
          <w:r>
            <w:rPr>
              <w:rFonts w:hint="eastAsia" w:ascii="仿宋" w:hAnsi="仿宋" w:eastAsia="仿宋"/>
              <w:bCs w:val="0"/>
            </w:rPr>
            <w:t>四、</w:t>
          </w:r>
          <w:r>
            <w:rPr>
              <w:rFonts w:hint="eastAsia" w:ascii="仿宋" w:hAnsi="仿宋" w:eastAsia="仿宋"/>
            </w:rPr>
            <w:t>财</w:t>
          </w:r>
          <w:r>
            <w:rPr>
              <w:rFonts w:hint="eastAsia" w:ascii="仿宋" w:hAnsi="仿宋" w:eastAsia="仿宋"/>
              <w:bCs w:val="0"/>
            </w:rPr>
            <w:t>政拨款收入支出决算总表</w:t>
          </w:r>
          <w:r>
            <w:tab/>
          </w:r>
          <w:r>
            <w:fldChar w:fldCharType="begin"/>
          </w:r>
          <w:r>
            <w:instrText xml:space="preserve"> PAGEREF _Toc2049 </w:instrText>
          </w:r>
          <w:r>
            <w:fldChar w:fldCharType="separate"/>
          </w:r>
          <w:r>
            <w:t>32</w:t>
          </w:r>
          <w:r>
            <w:fldChar w:fldCharType="end"/>
          </w:r>
          <w:r>
            <w:rPr>
              <w:rFonts w:hint="eastAsia"/>
            </w:rPr>
            <w:fldChar w:fldCharType="end"/>
          </w:r>
        </w:p>
        <w:p>
          <w:pPr>
            <w:pStyle w:val="12"/>
            <w:tabs>
              <w:tab w:val="right" w:leader="dot" w:pos="8306"/>
              <w:tab w:val="clear" w:pos="8296"/>
            </w:tabs>
          </w:pPr>
          <w:r>
            <w:rPr>
              <w:rFonts w:hint="eastAsia"/>
            </w:rPr>
            <w:fldChar w:fldCharType="begin"/>
          </w:r>
          <w:r>
            <w:rPr>
              <w:rFonts w:hint="eastAsia"/>
            </w:rPr>
            <w:instrText xml:space="preserve"> HYPERLINK \l _Toc4683 </w:instrText>
          </w:r>
          <w:r>
            <w:rPr>
              <w:rFonts w:hint="eastAsia"/>
            </w:rPr>
            <w:fldChar w:fldCharType="separate"/>
          </w:r>
          <w:r>
            <w:rPr>
              <w:rFonts w:hint="eastAsia" w:ascii="仿宋" w:hAnsi="仿宋" w:eastAsia="仿宋"/>
              <w:bCs w:val="0"/>
            </w:rPr>
            <w:t>五、</w:t>
          </w:r>
          <w:r>
            <w:rPr>
              <w:rFonts w:hint="eastAsia" w:ascii="仿宋" w:hAnsi="仿宋" w:eastAsia="仿宋"/>
            </w:rPr>
            <w:t>财</w:t>
          </w:r>
          <w:r>
            <w:rPr>
              <w:rFonts w:hint="eastAsia" w:ascii="仿宋" w:hAnsi="仿宋" w:eastAsia="仿宋"/>
              <w:bCs w:val="0"/>
            </w:rPr>
            <w:t>政拨款支出决算明细表</w:t>
          </w:r>
          <w:r>
            <w:tab/>
          </w:r>
          <w:r>
            <w:fldChar w:fldCharType="begin"/>
          </w:r>
          <w:r>
            <w:instrText xml:space="preserve"> PAGEREF _Toc4683 </w:instrText>
          </w:r>
          <w:r>
            <w:fldChar w:fldCharType="separate"/>
          </w:r>
          <w:r>
            <w:t>32</w:t>
          </w:r>
          <w:r>
            <w:fldChar w:fldCharType="end"/>
          </w:r>
          <w:r>
            <w:rPr>
              <w:rFonts w:hint="eastAsia"/>
            </w:rPr>
            <w:fldChar w:fldCharType="end"/>
          </w:r>
        </w:p>
        <w:p>
          <w:pPr>
            <w:pStyle w:val="12"/>
            <w:tabs>
              <w:tab w:val="right" w:leader="dot" w:pos="8306"/>
              <w:tab w:val="clear" w:pos="8296"/>
            </w:tabs>
          </w:pPr>
          <w:r>
            <w:rPr>
              <w:rFonts w:hint="eastAsia"/>
            </w:rPr>
            <w:fldChar w:fldCharType="begin"/>
          </w:r>
          <w:r>
            <w:rPr>
              <w:rFonts w:hint="eastAsia"/>
            </w:rPr>
            <w:instrText xml:space="preserve"> HYPERLINK \l _Toc9742 </w:instrText>
          </w:r>
          <w:r>
            <w:rPr>
              <w:rFonts w:hint="eastAsia"/>
            </w:rPr>
            <w:fldChar w:fldCharType="separate"/>
          </w:r>
          <w:r>
            <w:rPr>
              <w:rFonts w:hint="eastAsia" w:ascii="仿宋" w:hAnsi="仿宋" w:eastAsia="仿宋"/>
              <w:bCs w:val="0"/>
            </w:rPr>
            <w:t>六、</w:t>
          </w:r>
          <w:r>
            <w:rPr>
              <w:rFonts w:hint="eastAsia" w:ascii="仿宋" w:hAnsi="仿宋" w:eastAsia="仿宋"/>
            </w:rPr>
            <w:t>一</w:t>
          </w:r>
          <w:r>
            <w:rPr>
              <w:rFonts w:hint="eastAsia" w:ascii="仿宋" w:hAnsi="仿宋" w:eastAsia="仿宋"/>
              <w:bCs w:val="0"/>
            </w:rPr>
            <w:t>般公共预算财政拨款支出决算表</w:t>
          </w:r>
          <w:r>
            <w:tab/>
          </w:r>
          <w:r>
            <w:fldChar w:fldCharType="begin"/>
          </w:r>
          <w:r>
            <w:instrText xml:space="preserve"> PAGEREF _Toc9742 </w:instrText>
          </w:r>
          <w:r>
            <w:fldChar w:fldCharType="separate"/>
          </w:r>
          <w:r>
            <w:t>32</w:t>
          </w:r>
          <w:r>
            <w:fldChar w:fldCharType="end"/>
          </w:r>
          <w:r>
            <w:rPr>
              <w:rFonts w:hint="eastAsia"/>
            </w:rPr>
            <w:fldChar w:fldCharType="end"/>
          </w:r>
        </w:p>
        <w:p>
          <w:pPr>
            <w:pStyle w:val="12"/>
            <w:tabs>
              <w:tab w:val="right" w:leader="dot" w:pos="8306"/>
              <w:tab w:val="clear" w:pos="8296"/>
            </w:tabs>
          </w:pPr>
          <w:r>
            <w:rPr>
              <w:rFonts w:hint="eastAsia"/>
            </w:rPr>
            <w:fldChar w:fldCharType="begin"/>
          </w:r>
          <w:r>
            <w:rPr>
              <w:rFonts w:hint="eastAsia"/>
            </w:rPr>
            <w:instrText xml:space="preserve"> HYPERLINK \l _Toc2513 </w:instrText>
          </w:r>
          <w:r>
            <w:rPr>
              <w:rFonts w:hint="eastAsia"/>
            </w:rPr>
            <w:fldChar w:fldCharType="separate"/>
          </w:r>
          <w:r>
            <w:rPr>
              <w:rFonts w:hint="eastAsia" w:ascii="仿宋" w:hAnsi="仿宋" w:eastAsia="仿宋"/>
              <w:bCs w:val="0"/>
            </w:rPr>
            <w:t>七、</w:t>
          </w:r>
          <w:r>
            <w:rPr>
              <w:rFonts w:hint="eastAsia" w:ascii="仿宋" w:hAnsi="仿宋" w:eastAsia="仿宋"/>
            </w:rPr>
            <w:t>一</w:t>
          </w:r>
          <w:r>
            <w:rPr>
              <w:rFonts w:hint="eastAsia" w:ascii="仿宋" w:hAnsi="仿宋" w:eastAsia="仿宋"/>
              <w:bCs w:val="0"/>
            </w:rPr>
            <w:t>般公共预算财政拨款支出决算明细表</w:t>
          </w:r>
          <w:r>
            <w:tab/>
          </w:r>
          <w:r>
            <w:fldChar w:fldCharType="begin"/>
          </w:r>
          <w:r>
            <w:instrText xml:space="preserve"> PAGEREF _Toc2513 </w:instrText>
          </w:r>
          <w:r>
            <w:fldChar w:fldCharType="separate"/>
          </w:r>
          <w:r>
            <w:t>32</w:t>
          </w:r>
          <w:r>
            <w:fldChar w:fldCharType="end"/>
          </w:r>
          <w:r>
            <w:rPr>
              <w:rFonts w:hint="eastAsia"/>
            </w:rPr>
            <w:fldChar w:fldCharType="end"/>
          </w:r>
        </w:p>
        <w:p>
          <w:pPr>
            <w:pStyle w:val="12"/>
            <w:tabs>
              <w:tab w:val="right" w:leader="dot" w:pos="8306"/>
              <w:tab w:val="clear" w:pos="8296"/>
            </w:tabs>
          </w:pPr>
          <w:r>
            <w:rPr>
              <w:rFonts w:hint="eastAsia"/>
            </w:rPr>
            <w:fldChar w:fldCharType="begin"/>
          </w:r>
          <w:r>
            <w:rPr>
              <w:rFonts w:hint="eastAsia"/>
            </w:rPr>
            <w:instrText xml:space="preserve"> HYPERLINK \l _Toc7313 </w:instrText>
          </w:r>
          <w:r>
            <w:rPr>
              <w:rFonts w:hint="eastAsia"/>
            </w:rPr>
            <w:fldChar w:fldCharType="separate"/>
          </w:r>
          <w:r>
            <w:rPr>
              <w:rFonts w:hint="eastAsia" w:ascii="仿宋" w:hAnsi="仿宋" w:eastAsia="仿宋"/>
              <w:bCs w:val="0"/>
            </w:rPr>
            <w:t>八、</w:t>
          </w:r>
          <w:r>
            <w:rPr>
              <w:rFonts w:hint="eastAsia" w:ascii="仿宋" w:hAnsi="仿宋" w:eastAsia="仿宋"/>
            </w:rPr>
            <w:t>一</w:t>
          </w:r>
          <w:r>
            <w:rPr>
              <w:rFonts w:hint="eastAsia" w:ascii="仿宋" w:hAnsi="仿宋" w:eastAsia="仿宋"/>
              <w:bCs w:val="0"/>
            </w:rPr>
            <w:t>般公共预算财政拨款基本支出决算表</w:t>
          </w:r>
          <w:r>
            <w:tab/>
          </w:r>
          <w:r>
            <w:fldChar w:fldCharType="begin"/>
          </w:r>
          <w:r>
            <w:instrText xml:space="preserve"> PAGEREF _Toc7313 </w:instrText>
          </w:r>
          <w:r>
            <w:fldChar w:fldCharType="separate"/>
          </w:r>
          <w:r>
            <w:t>32</w:t>
          </w:r>
          <w:r>
            <w:fldChar w:fldCharType="end"/>
          </w:r>
          <w:r>
            <w:rPr>
              <w:rFonts w:hint="eastAsia"/>
            </w:rPr>
            <w:fldChar w:fldCharType="end"/>
          </w:r>
        </w:p>
        <w:p>
          <w:pPr>
            <w:pStyle w:val="12"/>
            <w:tabs>
              <w:tab w:val="right" w:leader="dot" w:pos="8306"/>
              <w:tab w:val="clear" w:pos="8296"/>
            </w:tabs>
          </w:pPr>
          <w:r>
            <w:rPr>
              <w:rFonts w:hint="eastAsia"/>
            </w:rPr>
            <w:fldChar w:fldCharType="begin"/>
          </w:r>
          <w:r>
            <w:rPr>
              <w:rFonts w:hint="eastAsia"/>
            </w:rPr>
            <w:instrText xml:space="preserve"> HYPERLINK \l _Toc6310 </w:instrText>
          </w:r>
          <w:r>
            <w:rPr>
              <w:rFonts w:hint="eastAsia"/>
            </w:rPr>
            <w:fldChar w:fldCharType="separate"/>
          </w:r>
          <w:r>
            <w:rPr>
              <w:rFonts w:hint="eastAsia" w:ascii="仿宋" w:hAnsi="仿宋" w:eastAsia="仿宋"/>
              <w:bCs w:val="0"/>
            </w:rPr>
            <w:t>九、</w:t>
          </w:r>
          <w:r>
            <w:rPr>
              <w:rFonts w:hint="eastAsia" w:ascii="仿宋" w:hAnsi="仿宋" w:eastAsia="仿宋"/>
            </w:rPr>
            <w:t>一</w:t>
          </w:r>
          <w:r>
            <w:rPr>
              <w:rFonts w:hint="eastAsia" w:ascii="仿宋" w:hAnsi="仿宋" w:eastAsia="仿宋"/>
              <w:bCs w:val="0"/>
            </w:rPr>
            <w:t>般公共预算财政拨款项目支出决算表</w:t>
          </w:r>
          <w:r>
            <w:tab/>
          </w:r>
          <w:r>
            <w:fldChar w:fldCharType="begin"/>
          </w:r>
          <w:r>
            <w:instrText xml:space="preserve"> PAGEREF _Toc6310 </w:instrText>
          </w:r>
          <w:r>
            <w:fldChar w:fldCharType="separate"/>
          </w:r>
          <w:r>
            <w:t>32</w:t>
          </w:r>
          <w:r>
            <w:fldChar w:fldCharType="end"/>
          </w:r>
          <w:r>
            <w:rPr>
              <w:rFonts w:hint="eastAsia"/>
            </w:rPr>
            <w:fldChar w:fldCharType="end"/>
          </w:r>
        </w:p>
        <w:p>
          <w:pPr>
            <w:pStyle w:val="12"/>
            <w:tabs>
              <w:tab w:val="right" w:leader="dot" w:pos="8306"/>
              <w:tab w:val="clear" w:pos="8296"/>
            </w:tabs>
          </w:pPr>
          <w:r>
            <w:rPr>
              <w:rFonts w:hint="eastAsia"/>
            </w:rPr>
            <w:fldChar w:fldCharType="begin"/>
          </w:r>
          <w:r>
            <w:rPr>
              <w:rFonts w:hint="eastAsia"/>
            </w:rPr>
            <w:instrText xml:space="preserve"> HYPERLINK \l _Toc31768 </w:instrText>
          </w:r>
          <w:r>
            <w:rPr>
              <w:rFonts w:hint="eastAsia"/>
            </w:rPr>
            <w:fldChar w:fldCharType="separate"/>
          </w:r>
          <w:r>
            <w:rPr>
              <w:rFonts w:hint="eastAsia" w:ascii="仿宋" w:hAnsi="仿宋" w:eastAsia="仿宋"/>
              <w:bCs w:val="0"/>
            </w:rPr>
            <w:t>十、</w:t>
          </w:r>
          <w:r>
            <w:rPr>
              <w:rFonts w:hint="eastAsia" w:ascii="仿宋" w:hAnsi="仿宋" w:eastAsia="仿宋"/>
            </w:rPr>
            <w:t>一</w:t>
          </w:r>
          <w:r>
            <w:rPr>
              <w:rFonts w:hint="eastAsia" w:ascii="仿宋" w:hAnsi="仿宋" w:eastAsia="仿宋"/>
              <w:bCs w:val="0"/>
            </w:rPr>
            <w:t>般公共预算财政拨款“三公”经费支出决算表</w:t>
          </w:r>
          <w:r>
            <w:tab/>
          </w:r>
          <w:r>
            <w:fldChar w:fldCharType="begin"/>
          </w:r>
          <w:r>
            <w:instrText xml:space="preserve"> PAGEREF _Toc31768 </w:instrText>
          </w:r>
          <w:r>
            <w:fldChar w:fldCharType="separate"/>
          </w:r>
          <w:r>
            <w:t>32</w:t>
          </w:r>
          <w:r>
            <w:fldChar w:fldCharType="end"/>
          </w:r>
          <w:r>
            <w:rPr>
              <w:rFonts w:hint="eastAsia"/>
            </w:rPr>
            <w:fldChar w:fldCharType="end"/>
          </w:r>
        </w:p>
        <w:p>
          <w:pPr>
            <w:pStyle w:val="12"/>
            <w:tabs>
              <w:tab w:val="right" w:leader="dot" w:pos="8306"/>
              <w:tab w:val="clear" w:pos="8296"/>
            </w:tabs>
          </w:pPr>
          <w:r>
            <w:rPr>
              <w:rFonts w:hint="eastAsia"/>
            </w:rPr>
            <w:fldChar w:fldCharType="begin"/>
          </w:r>
          <w:r>
            <w:rPr>
              <w:rFonts w:hint="eastAsia"/>
            </w:rPr>
            <w:instrText xml:space="preserve"> HYPERLINK \l _Toc11425 </w:instrText>
          </w:r>
          <w:r>
            <w:rPr>
              <w:rFonts w:hint="eastAsia"/>
            </w:rPr>
            <w:fldChar w:fldCharType="separate"/>
          </w:r>
          <w:r>
            <w:rPr>
              <w:rFonts w:hint="eastAsia" w:ascii="仿宋" w:hAnsi="仿宋" w:eastAsia="仿宋"/>
              <w:bCs w:val="0"/>
            </w:rPr>
            <w:t>十一、</w:t>
          </w:r>
          <w:r>
            <w:rPr>
              <w:rFonts w:hint="eastAsia" w:ascii="仿宋" w:hAnsi="仿宋" w:eastAsia="仿宋"/>
            </w:rPr>
            <w:t>政</w:t>
          </w:r>
          <w:r>
            <w:rPr>
              <w:rFonts w:hint="eastAsia" w:ascii="仿宋" w:hAnsi="仿宋" w:eastAsia="仿宋"/>
              <w:bCs w:val="0"/>
            </w:rPr>
            <w:t>府性基金预算财政拨款收入支出决算表</w:t>
          </w:r>
          <w:r>
            <w:tab/>
          </w:r>
          <w:r>
            <w:fldChar w:fldCharType="begin"/>
          </w:r>
          <w:r>
            <w:instrText xml:space="preserve"> PAGEREF _Toc11425 </w:instrText>
          </w:r>
          <w:r>
            <w:fldChar w:fldCharType="separate"/>
          </w:r>
          <w:r>
            <w:t>32</w:t>
          </w:r>
          <w:r>
            <w:fldChar w:fldCharType="end"/>
          </w:r>
          <w:r>
            <w:rPr>
              <w:rFonts w:hint="eastAsia"/>
            </w:rPr>
            <w:fldChar w:fldCharType="end"/>
          </w:r>
        </w:p>
        <w:p>
          <w:pPr>
            <w:pStyle w:val="12"/>
            <w:tabs>
              <w:tab w:val="right" w:leader="dot" w:pos="8306"/>
              <w:tab w:val="clear" w:pos="8296"/>
            </w:tabs>
          </w:pPr>
          <w:r>
            <w:rPr>
              <w:rFonts w:hint="eastAsia"/>
            </w:rPr>
            <w:fldChar w:fldCharType="begin"/>
          </w:r>
          <w:r>
            <w:rPr>
              <w:rFonts w:hint="eastAsia"/>
            </w:rPr>
            <w:instrText xml:space="preserve"> HYPERLINK \l _Toc9365 </w:instrText>
          </w:r>
          <w:r>
            <w:rPr>
              <w:rFonts w:hint="eastAsia"/>
            </w:rPr>
            <w:fldChar w:fldCharType="separate"/>
          </w:r>
          <w:r>
            <w:rPr>
              <w:rFonts w:hint="eastAsia" w:ascii="仿宋" w:hAnsi="仿宋" w:eastAsia="仿宋"/>
              <w:bCs w:val="0"/>
            </w:rPr>
            <w:t>十二、</w:t>
          </w:r>
          <w:r>
            <w:rPr>
              <w:rFonts w:hint="eastAsia" w:ascii="仿宋" w:hAnsi="仿宋" w:eastAsia="仿宋"/>
            </w:rPr>
            <w:t>政</w:t>
          </w:r>
          <w:r>
            <w:rPr>
              <w:rFonts w:hint="eastAsia" w:ascii="仿宋" w:hAnsi="仿宋" w:eastAsia="仿宋"/>
              <w:bCs w:val="0"/>
            </w:rPr>
            <w:t>府性基金预算财政拨款“三公”经费支出决算表</w:t>
          </w:r>
          <w:r>
            <w:tab/>
          </w:r>
          <w:r>
            <w:fldChar w:fldCharType="begin"/>
          </w:r>
          <w:r>
            <w:instrText xml:space="preserve"> PAGEREF _Toc9365 </w:instrText>
          </w:r>
          <w:r>
            <w:fldChar w:fldCharType="separate"/>
          </w:r>
          <w:r>
            <w:t>32</w:t>
          </w:r>
          <w:r>
            <w:fldChar w:fldCharType="end"/>
          </w:r>
          <w:r>
            <w:rPr>
              <w:rFonts w:hint="eastAsia"/>
            </w:rPr>
            <w:fldChar w:fldCharType="end"/>
          </w:r>
        </w:p>
        <w:p>
          <w:pPr>
            <w:pStyle w:val="12"/>
            <w:tabs>
              <w:tab w:val="right" w:leader="dot" w:pos="8306"/>
              <w:tab w:val="clear" w:pos="8296"/>
            </w:tabs>
          </w:pPr>
          <w:r>
            <w:rPr>
              <w:rFonts w:hint="eastAsia"/>
            </w:rPr>
            <w:fldChar w:fldCharType="begin"/>
          </w:r>
          <w:r>
            <w:rPr>
              <w:rFonts w:hint="eastAsia"/>
            </w:rPr>
            <w:instrText xml:space="preserve"> HYPERLINK \l _Toc4479 </w:instrText>
          </w:r>
          <w:r>
            <w:rPr>
              <w:rFonts w:hint="eastAsia"/>
            </w:rPr>
            <w:fldChar w:fldCharType="separate"/>
          </w:r>
          <w:r>
            <w:rPr>
              <w:rFonts w:hint="eastAsia" w:ascii="仿宋" w:hAnsi="仿宋" w:eastAsia="仿宋"/>
              <w:bCs w:val="0"/>
            </w:rPr>
            <w:t>十三、</w:t>
          </w:r>
          <w:r>
            <w:rPr>
              <w:rFonts w:hint="eastAsia" w:ascii="仿宋" w:hAnsi="仿宋" w:eastAsia="仿宋"/>
            </w:rPr>
            <w:t>国</w:t>
          </w:r>
          <w:r>
            <w:rPr>
              <w:rFonts w:hint="eastAsia" w:ascii="仿宋" w:hAnsi="仿宋" w:eastAsia="仿宋"/>
              <w:bCs w:val="0"/>
            </w:rPr>
            <w:t>有资本经营预算支出决算表</w:t>
          </w:r>
          <w:r>
            <w:tab/>
          </w:r>
          <w:r>
            <w:fldChar w:fldCharType="begin"/>
          </w:r>
          <w:r>
            <w:instrText xml:space="preserve"> PAGEREF _Toc4479 </w:instrText>
          </w:r>
          <w:r>
            <w:fldChar w:fldCharType="separate"/>
          </w:r>
          <w:r>
            <w:t>32</w:t>
          </w:r>
          <w:r>
            <w:fldChar w:fldCharType="end"/>
          </w:r>
          <w:r>
            <w:rPr>
              <w:rFonts w:hint="eastAsia"/>
            </w:rPr>
            <w:fldChar w:fldCharType="end"/>
          </w:r>
        </w:p>
        <w:p>
          <w:pPr>
            <w:rPr>
              <w:rFonts w:hint="eastAsia"/>
            </w:rPr>
          </w:pPr>
          <w:r>
            <w:rPr>
              <w:rFonts w:hint="eastAsia"/>
            </w:rPr>
            <w:fldChar w:fldCharType="end"/>
          </w:r>
        </w:p>
      </w:sdtContent>
    </w:sdt>
    <w:p>
      <w:pPr>
        <w:widowControl/>
        <w:spacing w:line="440" w:lineRule="exact"/>
        <w:jc w:val="left"/>
        <w:rPr>
          <w:rFonts w:ascii="仿宋" w:hAnsi="仿宋" w:eastAsia="仿宋"/>
          <w:bCs/>
          <w:kern w:val="44"/>
          <w:sz w:val="24"/>
        </w:rPr>
      </w:pPr>
      <w:bookmarkStart w:id="14" w:name="_Toc15377196"/>
      <w:bookmarkStart w:id="15" w:name="_Toc15396599"/>
      <w:r>
        <w:rPr>
          <w:rFonts w:ascii="仿宋" w:hAnsi="仿宋" w:eastAsia="仿宋"/>
          <w:b/>
          <w:sz w:val="24"/>
        </w:rPr>
        <w:br w:type="page"/>
      </w:r>
    </w:p>
    <w:p>
      <w:pPr>
        <w:pStyle w:val="3"/>
        <w:jc w:val="center"/>
        <w:rPr>
          <w:rFonts w:ascii="黑体" w:eastAsia="黑体"/>
          <w:color w:val="000000"/>
          <w:sz w:val="32"/>
          <w:szCs w:val="32"/>
        </w:rPr>
      </w:pPr>
      <w:bookmarkStart w:id="16" w:name="_Toc21319"/>
      <w:r>
        <w:rPr>
          <w:rFonts w:hint="eastAsia" w:ascii="黑体" w:hAnsi="黑体" w:eastAsia="黑体"/>
          <w:b w:val="0"/>
        </w:rPr>
        <w:t xml:space="preserve">第一部分 </w:t>
      </w:r>
      <w:r>
        <w:rPr>
          <w:rStyle w:val="26"/>
          <w:rFonts w:hint="eastAsia" w:ascii="黑体" w:hAnsi="黑体" w:eastAsia="黑体"/>
          <w:b w:val="0"/>
          <w:bCs w:val="0"/>
        </w:rPr>
        <w:t>部门概况</w:t>
      </w:r>
      <w:bookmarkEnd w:id="14"/>
      <w:bookmarkEnd w:id="15"/>
      <w:bookmarkEnd w:id="16"/>
    </w:p>
    <w:p>
      <w:pPr>
        <w:pStyle w:val="4"/>
        <w:pageBreakBefore w:val="0"/>
        <w:widowControl w:val="0"/>
        <w:numPr>
          <w:ilvl w:val="0"/>
          <w:numId w:val="1"/>
        </w:numPr>
        <w:kinsoku/>
        <w:wordWrap/>
        <w:overflowPunct/>
        <w:topLinePunct w:val="0"/>
        <w:autoSpaceDE/>
        <w:autoSpaceDN/>
        <w:bidi w:val="0"/>
        <w:adjustRightInd/>
        <w:snapToGrid/>
        <w:spacing w:line="560" w:lineRule="exact"/>
        <w:textAlignment w:val="auto"/>
        <w:rPr>
          <w:rStyle w:val="27"/>
          <w:rFonts w:hint="eastAsia" w:ascii="黑体" w:hAnsi="黑体" w:eastAsia="黑体"/>
          <w:b w:val="0"/>
          <w:bCs w:val="0"/>
        </w:rPr>
      </w:pPr>
      <w:bookmarkStart w:id="17" w:name="_Toc8422"/>
      <w:bookmarkStart w:id="18" w:name="_Toc15396600"/>
      <w:bookmarkStart w:id="19" w:name="_Toc15377197"/>
      <w:r>
        <w:rPr>
          <w:rFonts w:hint="eastAsia" w:ascii="黑体" w:hAnsi="黑体" w:eastAsia="黑体"/>
          <w:b w:val="0"/>
          <w:color w:val="000000"/>
        </w:rPr>
        <w:t>基</w:t>
      </w:r>
      <w:r>
        <w:rPr>
          <w:rStyle w:val="27"/>
          <w:rFonts w:hint="eastAsia" w:ascii="黑体" w:hAnsi="黑体" w:eastAsia="黑体"/>
          <w:b w:val="0"/>
          <w:bCs w:val="0"/>
        </w:rPr>
        <w:t>本职能及主要工作</w:t>
      </w:r>
      <w:bookmarkEnd w:id="17"/>
      <w:bookmarkEnd w:id="18"/>
      <w:bookmarkEnd w:id="19"/>
      <w:bookmarkStart w:id="20" w:name="_Toc15378445"/>
      <w:bookmarkStart w:id="21" w:name="_Toc15377198"/>
    </w:p>
    <w:p>
      <w:pPr>
        <w:pStyle w:val="4"/>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b/>
          <w:bCs w:val="0"/>
          <w:color w:val="000000"/>
          <w:sz w:val="32"/>
          <w:szCs w:val="32"/>
        </w:rPr>
      </w:pPr>
      <w:bookmarkStart w:id="22" w:name="_Toc16803"/>
      <w:r>
        <w:rPr>
          <w:rFonts w:hint="eastAsia" w:ascii="楷体_GB2312" w:hAnsi="楷体_GB2312" w:eastAsia="楷体_GB2312" w:cs="楷体_GB2312"/>
          <w:b/>
          <w:bCs w:val="0"/>
          <w:color w:val="000000"/>
          <w:sz w:val="32"/>
          <w:szCs w:val="32"/>
        </w:rPr>
        <w:t>（一）主要职能。</w:t>
      </w:r>
      <w:bookmarkEnd w:id="20"/>
      <w:bookmarkEnd w:id="21"/>
      <w:bookmarkEnd w:id="22"/>
    </w:p>
    <w:p>
      <w:pPr>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w:t>
      </w:r>
      <w:r>
        <w:rPr>
          <w:rFonts w:hint="eastAsia" w:ascii="仿宋_GB2312" w:hAnsi="仿宋_GB2312" w:eastAsia="仿宋_GB2312" w:cs="仿宋_GB2312"/>
          <w:sz w:val="32"/>
          <w:szCs w:val="32"/>
        </w:rPr>
        <w:t>负责全县的组织体系、组织制度建设，负责基层党组织建设规划指导和党员队伍宏观管理，指导开展党员教育工作。指导全县基层党组织的思想、作风和组织建设。落实党内组织生活的各项制度；组织发展新党员工作，落实党员队伍建设工作；审核基层党组织设置，理顺党组织的管理隶属关系；负责全县党费的收缴、使用和管理。</w:t>
      </w:r>
    </w:p>
    <w:p>
      <w:pPr>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w:t>
      </w:r>
      <w:r>
        <w:rPr>
          <w:rFonts w:hint="eastAsia" w:ascii="仿宋_GB2312" w:hAnsi="仿宋_GB2312" w:eastAsia="仿宋_GB2312" w:cs="仿宋_GB2312"/>
          <w:sz w:val="32"/>
          <w:szCs w:val="32"/>
        </w:rPr>
        <w:t>负责全县科级领导班子和干部队伍建设的总体规划和宏观管理。负责县委管理科级领导班子和领导干部的考察考核、日常管理，提出调整建议，审核办理任免、工资、退休、兼职、待遇等有关事项；负责全县优秀年轻干部队伍建设工作。</w:t>
      </w:r>
    </w:p>
    <w:p>
      <w:pPr>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b/>
          <w:bCs/>
          <w:sz w:val="32"/>
          <w:szCs w:val="32"/>
        </w:rPr>
        <w:t>3.</w:t>
      </w:r>
      <w:r>
        <w:rPr>
          <w:rFonts w:hint="eastAsia" w:ascii="仿宋_GB2312" w:hAnsi="仿宋_GB2312" w:eastAsia="仿宋_GB2312" w:cs="仿宋_GB2312"/>
          <w:sz w:val="32"/>
          <w:szCs w:val="32"/>
          <w:shd w:val="clear" w:color="auto" w:fill="FFFFFF"/>
        </w:rPr>
        <w:t>负责管理全县公务员工作。承担管理公务员录用、调配、考核、奖惩、培训、监督、工资福利等工作，指导公务员队伍建设和绩效管理。</w:t>
      </w:r>
    </w:p>
    <w:p>
      <w:pPr>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4.</w:t>
      </w:r>
      <w:r>
        <w:rPr>
          <w:rFonts w:hint="eastAsia" w:ascii="仿宋_GB2312" w:hAnsi="仿宋_GB2312" w:eastAsia="仿宋_GB2312" w:cs="仿宋_GB2312"/>
          <w:sz w:val="32"/>
          <w:szCs w:val="32"/>
        </w:rPr>
        <w:t>负责全县人才队伍建设宏观指导、政策落实、综合协调和督促检查；牵头推进人才发展体制机制改革，统筹实施重大人才工程和人才表彰奖励。</w:t>
      </w:r>
    </w:p>
    <w:p>
      <w:pPr>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5.</w:t>
      </w:r>
      <w:r>
        <w:rPr>
          <w:rFonts w:hint="eastAsia" w:ascii="仿宋_GB2312" w:hAnsi="仿宋_GB2312" w:eastAsia="仿宋_GB2312" w:cs="仿宋_GB2312"/>
          <w:sz w:val="32"/>
          <w:szCs w:val="32"/>
        </w:rPr>
        <w:t>负责组织、指导全县干部教育培训工作的宏观指导、政策规划、组织协调和督促检查，负责县委重点培训项目的策划、实施和管理，指导全县干部教育培训基地建设管理、师资队伍建设等工作。</w:t>
      </w:r>
    </w:p>
    <w:p>
      <w:pPr>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6.</w:t>
      </w:r>
      <w:r>
        <w:rPr>
          <w:rFonts w:hint="eastAsia" w:ascii="仿宋_GB2312" w:hAnsi="仿宋_GB2312" w:eastAsia="仿宋_GB2312" w:cs="仿宋_GB2312"/>
          <w:sz w:val="32"/>
          <w:szCs w:val="32"/>
        </w:rPr>
        <w:t>负责全县干部监督工作的宏观指导和综合协调，制定和落实干部监督工作制度，组织开展对选人用人工作情况的监督检查，受理和办理有关问题举报，组织实施领导干部报告个人有关事项及抽查核实工作。</w:t>
      </w:r>
    </w:p>
    <w:p>
      <w:pPr>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7.</w:t>
      </w:r>
      <w:r>
        <w:rPr>
          <w:rFonts w:hint="eastAsia" w:ascii="仿宋_GB2312" w:hAnsi="仿宋_GB2312" w:eastAsia="仿宋_GB2312" w:cs="仿宋_GB2312"/>
          <w:sz w:val="32"/>
          <w:szCs w:val="32"/>
        </w:rPr>
        <w:t>贯彻“统一指导、分级管理、原单位负责”的老干部工作方针，检查、督促各单位落实老干部的政治、生活待遇；负责副县级及以上离退休干部的管理和服务；负责离（退）休干部党支部建设，做好离（退）休干部思想政治工作；负责离（退）休干部活动中心建设，组织开展各种健康有益的活动。</w:t>
      </w:r>
    </w:p>
    <w:p>
      <w:pPr>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8.</w:t>
      </w:r>
      <w:r>
        <w:rPr>
          <w:rFonts w:hint="eastAsia" w:ascii="仿宋_GB2312" w:hAnsi="仿宋_GB2312" w:eastAsia="仿宋_GB2312" w:cs="仿宋_GB2312"/>
          <w:sz w:val="32"/>
          <w:szCs w:val="32"/>
        </w:rPr>
        <w:t>负责全县非公有制经济组织和社会组织党建工作统一部署，宏观指导和督促检查；负责研究、指导和批准非公有制经济组织和社会组织党的基层组织的设置；直接联系和管理非公企业和社会组织党组织。</w:t>
      </w:r>
    </w:p>
    <w:p>
      <w:pPr>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9.</w:t>
      </w:r>
      <w:r>
        <w:rPr>
          <w:rFonts w:hint="eastAsia" w:ascii="仿宋_GB2312" w:hAnsi="仿宋_GB2312" w:eastAsia="仿宋_GB2312" w:cs="仿宋_GB2312"/>
          <w:sz w:val="32"/>
          <w:szCs w:val="32"/>
        </w:rPr>
        <w:t>负责制定全县直属机关</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"http://www.so.com/s?q=%E5%85%9A%E7%9A%84%E5%BB%BA%E8%AE%BE&amp;ie=utf-8&amp;src=internal_wenda_recommend_textn" \t "https://wenda.so.com/q/_blank"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党的建设</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工作规划，指导县直机关党组织搞好党的思想建设、组织建设、作风建设和制度建设，并做好协调、管理、教育、监督工作。指导县属机关党组织搞好发展党员、民主评议党员、党员干部民主生活会的评议工作。</w:t>
      </w:r>
    </w:p>
    <w:p>
      <w:pPr>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10.</w:t>
      </w:r>
      <w:r>
        <w:rPr>
          <w:rFonts w:hint="eastAsia" w:ascii="仿宋_GB2312" w:hAnsi="仿宋_GB2312" w:eastAsia="仿宋_GB2312" w:cs="仿宋_GB2312"/>
          <w:sz w:val="32"/>
          <w:szCs w:val="32"/>
        </w:rPr>
        <w:t>统一归口管理县委机构编制委员会办公室。</w:t>
      </w:r>
    </w:p>
    <w:p>
      <w:pPr>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11.</w:t>
      </w:r>
      <w:r>
        <w:rPr>
          <w:rFonts w:hint="eastAsia" w:ascii="仿宋_GB2312" w:hAnsi="仿宋_GB2312" w:eastAsia="仿宋_GB2312" w:cs="仿宋_GB2312"/>
          <w:sz w:val="32"/>
          <w:szCs w:val="32"/>
        </w:rPr>
        <w:t>承担县委党建领导小组、县人才工作领导小组日常工作。</w:t>
      </w:r>
    </w:p>
    <w:p>
      <w:pPr>
        <w:pStyle w:val="6"/>
        <w:pageBreakBefore w:val="0"/>
        <w:widowControl w:val="0"/>
        <w:kinsoku/>
        <w:wordWrap/>
        <w:overflowPunct/>
        <w:topLinePunct w:val="0"/>
        <w:autoSpaceDE/>
        <w:autoSpaceDN/>
        <w:bidi w:val="0"/>
        <w:adjustRightInd w:val="0"/>
        <w:snapToGrid w:val="0"/>
        <w:spacing w:before="93" w:line="560" w:lineRule="exact"/>
        <w:ind w:firstLine="675" w:firstLineChars="210"/>
        <w:textAlignment w:val="auto"/>
        <w:outlineLvl w:val="2"/>
        <w:rPr>
          <w:rFonts w:ascii="仿宋" w:hAnsi="仿宋" w:eastAsia="仿宋"/>
          <w:bCs/>
          <w:color w:val="000000"/>
          <w:sz w:val="32"/>
          <w:szCs w:val="32"/>
        </w:rPr>
      </w:pPr>
      <w:bookmarkStart w:id="23" w:name="_Toc22229"/>
      <w:r>
        <w:rPr>
          <w:rFonts w:hint="eastAsia" w:ascii="仿宋_GB2312" w:hAnsi="仿宋_GB2312" w:eastAsia="仿宋_GB2312" w:cs="仿宋_GB2312"/>
          <w:b/>
          <w:bCs/>
          <w:sz w:val="32"/>
          <w:szCs w:val="32"/>
        </w:rPr>
        <w:t>12.</w:t>
      </w:r>
      <w:r>
        <w:rPr>
          <w:rFonts w:hint="eastAsia" w:ascii="仿宋_GB2312" w:hAnsi="仿宋_GB2312" w:eastAsia="仿宋_GB2312" w:cs="仿宋_GB2312"/>
          <w:sz w:val="32"/>
          <w:szCs w:val="32"/>
        </w:rPr>
        <w:t>完成县委交办的其他任务。</w:t>
      </w:r>
      <w:bookmarkEnd w:id="23"/>
    </w:p>
    <w:p>
      <w:pPr>
        <w:pageBreakBefore w:val="0"/>
        <w:widowControl w:val="0"/>
        <w:kinsoku/>
        <w:wordWrap/>
        <w:overflowPunct/>
        <w:topLinePunct w:val="0"/>
        <w:autoSpaceDE/>
        <w:autoSpaceDN/>
        <w:bidi w:val="0"/>
        <w:spacing w:line="560" w:lineRule="exact"/>
        <w:ind w:firstLine="640" w:firstLineChars="200"/>
        <w:textAlignment w:val="auto"/>
        <w:rPr>
          <w:rFonts w:hint="eastAsia" w:ascii="黑体" w:hAnsi="黑体" w:eastAsia="黑体" w:cs="黑体"/>
          <w:bCs/>
          <w:color w:val="000000"/>
          <w:sz w:val="32"/>
          <w:szCs w:val="32"/>
        </w:rPr>
      </w:pPr>
      <w:bookmarkStart w:id="24" w:name="_Toc15377199"/>
      <w:bookmarkStart w:id="25" w:name="_Toc15378446"/>
      <w:r>
        <w:rPr>
          <w:rFonts w:hint="eastAsia" w:ascii="黑体" w:hAnsi="黑体" w:eastAsia="黑体" w:cs="黑体"/>
          <w:bCs/>
          <w:color w:val="000000"/>
          <w:sz w:val="32"/>
          <w:szCs w:val="32"/>
        </w:rPr>
        <w:t>（二）2019年重点工作完成情况。</w:t>
      </w:r>
      <w:bookmarkEnd w:id="24"/>
      <w:bookmarkEnd w:id="25"/>
    </w:p>
    <w:p>
      <w:pPr>
        <w:pageBreakBefore w:val="0"/>
        <w:widowControl w:val="0"/>
        <w:kinsoku/>
        <w:wordWrap/>
        <w:overflowPunct/>
        <w:topLinePunct w:val="0"/>
        <w:autoSpaceDE/>
        <w:autoSpaceDN/>
        <w:bidi w:val="0"/>
        <w:spacing w:line="560" w:lineRule="exact"/>
        <w:ind w:firstLine="643" w:firstLineChars="200"/>
        <w:textAlignment w:val="auto"/>
        <w:rPr>
          <w:rFonts w:ascii="楷体_GB2312" w:hAnsi="楷体_GB2312" w:eastAsia="楷体_GB2312" w:cs="楷体_GB2312"/>
          <w:b/>
          <w:bCs/>
          <w:color w:val="FF0000"/>
          <w:sz w:val="32"/>
          <w:szCs w:val="32"/>
        </w:rPr>
      </w:pPr>
      <w:r>
        <w:rPr>
          <w:rFonts w:hint="eastAsia" w:ascii="楷体_GB2312" w:hAnsi="楷体_GB2312" w:eastAsia="楷体_GB2312" w:cs="楷体_GB2312"/>
          <w:b/>
          <w:bCs/>
          <w:color w:val="000000"/>
          <w:sz w:val="32"/>
          <w:szCs w:val="32"/>
        </w:rPr>
        <w:t>（一）扎实开展“不忘初心、牢记使命”主题教育活动。</w:t>
      </w:r>
      <w:r>
        <w:rPr>
          <w:rFonts w:hint="eastAsia" w:ascii="仿宋_GB2312" w:eastAsia="仿宋_GB2312"/>
          <w:sz w:val="32"/>
          <w:szCs w:val="32"/>
        </w:rPr>
        <w:t>自“不忘初心、牢记使命”主题教育开展以来，召开主题教育领导小组会议2次，抽调23名骨干，成立县委主题教育领导小组办公室和6个县委巡回指导组，印发</w:t>
      </w:r>
      <w:r>
        <w:rPr>
          <w:rFonts w:hint="eastAsia" w:ascii="仿宋_GB2312" w:hAnsi="Times New Roman" w:eastAsia="仿宋_GB2312"/>
          <w:sz w:val="32"/>
          <w:szCs w:val="32"/>
        </w:rPr>
        <w:t>主题教育实施意见等11个方案，督促指导全县167个党组织按期召开动员会并制定本单位“1+1+N”工作方案，开展</w:t>
      </w:r>
      <w:r>
        <w:rPr>
          <w:rFonts w:hint="eastAsia" w:ascii="仿宋_GB2312" w:hAnsi="仿宋_GB2312" w:eastAsia="仿宋_GB2312" w:cs="仿宋_GB2312"/>
          <w:sz w:val="32"/>
          <w:szCs w:val="32"/>
        </w:rPr>
        <w:t>一轮全覆盖督查，对进度较慢的15个党组织进行集中约谈提醒，开展为期9天的县级领导集中学习研讨班，举办</w:t>
      </w:r>
      <w:r>
        <w:rPr>
          <w:rFonts w:hint="eastAsia" w:ascii="仿宋_GB2312" w:eastAsia="仿宋_GB2312"/>
          <w:sz w:val="32"/>
          <w:szCs w:val="32"/>
        </w:rPr>
        <w:t>全县主题教育党支部书记全覆盖培训会，410名领导干部和156名党支部书记赴一线讲专题党课，发放藏汉版《应知应会》读本等学习资料20000余册，</w:t>
      </w:r>
      <w:r>
        <w:rPr>
          <w:rFonts w:hint="eastAsia" w:ascii="仿宋_GB2312" w:hAnsi="仿宋_GB2312" w:eastAsia="仿宋_GB2312" w:cs="仿宋_GB2312"/>
          <w:sz w:val="32"/>
          <w:szCs w:val="32"/>
        </w:rPr>
        <w:t>成立11支临时“马背党支部”分赴各远牧点送学上门，</w:t>
      </w:r>
      <w:r>
        <w:rPr>
          <w:rFonts w:hint="eastAsia" w:ascii="仿宋_GB2312" w:hAnsi="Times New Roman" w:eastAsia="仿宋_GB2312"/>
          <w:sz w:val="32"/>
          <w:szCs w:val="32"/>
        </w:rPr>
        <w:t>确定调研</w:t>
      </w:r>
      <w:r>
        <w:rPr>
          <w:rFonts w:hint="eastAsia" w:ascii="仿宋_GB2312" w:hAnsi="仿宋_GB2312" w:eastAsia="仿宋_GB2312" w:cs="仿宋_GB2312"/>
          <w:sz w:val="32"/>
          <w:szCs w:val="32"/>
        </w:rPr>
        <w:t>课题310余个，向基层</w:t>
      </w:r>
      <w:r>
        <w:rPr>
          <w:rFonts w:hint="eastAsia" w:ascii="仿宋_GB2312" w:hAnsi="Times New Roman" w:eastAsia="仿宋_GB2312"/>
          <w:sz w:val="32"/>
          <w:szCs w:val="32"/>
        </w:rPr>
        <w:t>征集意见建议730余条，班子之间互提问题1390余个，</w:t>
      </w:r>
      <w:r>
        <w:rPr>
          <w:rFonts w:hint="eastAsia" w:ascii="仿宋_GB2312" w:hAnsi="仿宋_GB2312" w:eastAsia="仿宋_GB2312" w:cs="仿宋_GB2312"/>
          <w:sz w:val="32"/>
          <w:szCs w:val="32"/>
        </w:rPr>
        <w:t>制定“10+7”专项整治方案，整改问题27个。</w:t>
      </w:r>
    </w:p>
    <w:p>
      <w:pPr>
        <w:pageBreakBefore w:val="0"/>
        <w:widowControl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color w:val="FF0000"/>
          <w:sz w:val="32"/>
          <w:szCs w:val="32"/>
        </w:rPr>
      </w:pPr>
      <w:r>
        <w:rPr>
          <w:rFonts w:hint="eastAsia" w:ascii="楷体_GB2312" w:hAnsi="楷体_GB2312" w:eastAsia="楷体_GB2312" w:cs="楷体_GB2312"/>
          <w:b/>
          <w:bCs/>
          <w:color w:val="000000"/>
          <w:sz w:val="32"/>
          <w:szCs w:val="32"/>
        </w:rPr>
        <w:t>（二）抓实基层党组织建设。</w:t>
      </w:r>
      <w:r>
        <w:rPr>
          <w:rFonts w:hint="eastAsia" w:ascii="仿宋_GB2312" w:hAnsi="仿宋_GB2312" w:eastAsia="仿宋_GB2312" w:cs="仿宋_GB2312"/>
          <w:b/>
          <w:bCs/>
          <w:kern w:val="0"/>
          <w:sz w:val="32"/>
          <w:szCs w:val="32"/>
        </w:rPr>
        <w:t>一是大力实施优秀农民工回引培养工程。</w:t>
      </w:r>
      <w:r>
        <w:rPr>
          <w:rFonts w:hint="eastAsia" w:ascii="仿宋_GB2312" w:hAnsi="仿宋_GB2312" w:eastAsia="仿宋_GB2312" w:cs="仿宋_GB2312"/>
          <w:kern w:val="0"/>
          <w:sz w:val="32"/>
          <w:szCs w:val="32"/>
        </w:rPr>
        <w:t>排查农民工860名、农民工党员66名、农民工村干部71名、优秀农民工66名和农民工后备力量58名，建立4本台账。对303名有入党意愿、40名有担任村干部意愿、56名有返乡创业意愿的返乡创业农民工，分别落实1名乡镇联系领导、1名创业指导员、1名党建辅导员结对联系。回引农民工致富带头人22名、回引村支部书记、主任24名，为8名返乡农民工发放创业担保贷款110万元。</w:t>
      </w:r>
      <w:r>
        <w:rPr>
          <w:rFonts w:hint="eastAsia" w:ascii="仿宋_GB2312" w:hAnsi="仿宋_GB2312" w:eastAsia="仿宋_GB2312" w:cs="仿宋_GB2312"/>
          <w:b/>
          <w:bCs/>
          <w:kern w:val="0"/>
          <w:sz w:val="32"/>
          <w:szCs w:val="32"/>
        </w:rPr>
        <w:t>二是扶持发展壮大村集体经济。</w:t>
      </w:r>
      <w:r>
        <w:rPr>
          <w:rFonts w:hint="eastAsia" w:ascii="仿宋_GB2312" w:hAnsi="仿宋_GB2312" w:eastAsia="仿宋_GB2312" w:cs="仿宋_GB2312"/>
          <w:kern w:val="0"/>
          <w:sz w:val="32"/>
          <w:szCs w:val="32"/>
        </w:rPr>
        <w:t>借助中省扶持村集体经济政策，按照每村中省配套80万元、县级配套20万元，重点打造扶持瓦切镇德香村、邛溪镇热坤村、安曲镇夺龙村集体经济项目，编制“1+3”实施方案，建立党组织领导、法人治理、经营运行、收益分配、监督管理、风险防范等机制，总结形成“支部领头+党员带头+产业龙头”经验做法，在全县41家村集体经济中全面推开，加快形成整体联动推进格局。</w:t>
      </w:r>
      <w:r>
        <w:rPr>
          <w:rFonts w:hint="eastAsia" w:ascii="仿宋_GB2312" w:hAnsi="仿宋_GB2312" w:eastAsia="仿宋_GB2312" w:cs="仿宋_GB2312"/>
          <w:b/>
          <w:bCs/>
          <w:kern w:val="0"/>
          <w:sz w:val="32"/>
          <w:szCs w:val="32"/>
        </w:rPr>
        <w:t>三是选优配强村“两委”干部。</w:t>
      </w:r>
      <w:r>
        <w:rPr>
          <w:rFonts w:hint="eastAsia" w:ascii="仿宋_GB2312" w:hAnsi="仿宋_GB2312" w:eastAsia="仿宋_GB2312" w:cs="仿宋_GB2312"/>
          <w:kern w:val="0"/>
          <w:sz w:val="32"/>
          <w:szCs w:val="32"/>
        </w:rPr>
        <w:t>完成2名农民工村支部书记补配，回引农民工村支部书记11名、村主任13名，完成5个村“一肩挑”、占比近15%。清理7名曾有刑事处罚村干部、撤换1名弱村村支部书记、配齐11名村干部缺额。结合主题教育和农民工党建等工作，稳妥调整撤换6名60岁以上和2名不胜任不尽职村支部书记，每村定向储备农民工后备力量不少于2名。</w:t>
      </w:r>
      <w:r>
        <w:rPr>
          <w:rFonts w:hint="eastAsia" w:ascii="仿宋_GB2312" w:hAnsi="仿宋_GB2312" w:eastAsia="仿宋_GB2312" w:cs="仿宋_GB2312"/>
          <w:b/>
          <w:bCs/>
          <w:kern w:val="0"/>
          <w:sz w:val="32"/>
          <w:szCs w:val="32"/>
        </w:rPr>
        <w:t>四是集中整治一批软弱涣散基层党组织。</w:t>
      </w:r>
      <w:r>
        <w:rPr>
          <w:rFonts w:hint="eastAsia" w:ascii="仿宋_GB2312" w:hAnsi="仿宋_GB2312" w:eastAsia="仿宋_GB2312" w:cs="仿宋_GB2312"/>
          <w:kern w:val="0"/>
          <w:sz w:val="32"/>
          <w:szCs w:val="32"/>
        </w:rPr>
        <w:t>35名县级领导带队走遍11个乡镇34个村，逐一分析研判村“两委”班子运行情况，对照“五种类型村”拉网排查、把脉问诊，村村建立“体检档案”，摸排出集中整治软弱涣散村党组织4个。其中，基层社会治理矛盾突出问题的村有1个，信访问题突出的村有1个、党组织书记不胜任不尽职的村有2个。结合开展基层党支部换届回头看，盯住3个“超大支部”尽快整改，完成2个单位应建未建党组织，成立两新党组织1个。</w:t>
      </w:r>
      <w:r>
        <w:rPr>
          <w:rFonts w:hint="eastAsia" w:ascii="仿宋_GB2312" w:hAnsi="仿宋_GB2312" w:eastAsia="仿宋_GB2312" w:cs="仿宋_GB2312"/>
          <w:b/>
          <w:bCs/>
          <w:kern w:val="0"/>
          <w:sz w:val="32"/>
          <w:szCs w:val="32"/>
        </w:rPr>
        <w:t>五是动态储备一批乡村组织振兴项目。</w:t>
      </w:r>
      <w:r>
        <w:rPr>
          <w:rFonts w:hint="eastAsia" w:ascii="仿宋_GB2312" w:hAnsi="仿宋_GB2312" w:eastAsia="仿宋_GB2312" w:cs="仿宋_GB2312"/>
          <w:kern w:val="0"/>
          <w:sz w:val="32"/>
          <w:szCs w:val="32"/>
        </w:rPr>
        <w:t>完成11个乡镇34个村组织振兴储备项目入库工作，将全县45个拟建项目，纳入台账化管理，明确项目名称、建设性质、建设地点、建设内容及规模、建设年限、概算总投资、量化绩效目标等内容，进一步规范和加强全县乡村振兴项目管理，提高资金使用效益，促进项目决策科学化、民主化。</w:t>
      </w:r>
      <w:r>
        <w:rPr>
          <w:rFonts w:hint="eastAsia" w:ascii="仿宋_GB2312" w:hAnsi="仿宋_GB2312" w:eastAsia="仿宋_GB2312" w:cs="仿宋_GB2312"/>
          <w:b/>
          <w:bCs/>
          <w:kern w:val="0"/>
          <w:sz w:val="32"/>
          <w:szCs w:val="32"/>
        </w:rPr>
        <w:t>六是开展藏区组织体系建设课题调研。</w:t>
      </w:r>
      <w:r>
        <w:rPr>
          <w:rFonts w:hint="eastAsia" w:ascii="仿宋_GB2312" w:hAnsi="仿宋_GB2312" w:eastAsia="仿宋_GB2312" w:cs="仿宋_GB2312"/>
          <w:kern w:val="0"/>
          <w:sz w:val="32"/>
          <w:szCs w:val="32"/>
        </w:rPr>
        <w:t>红原牵头会同阿坝、若尔盖、壤塘，深入4个县困难大、矛盾多、情况复杂、群众问题反映强烈的8个乡镇、26个村，重点聚焦软弱涣散乡村，紧扣州委区域发展新定位，采取走访看、座谈听、抓典型、剖案例、问卷调查等方式，侧重围绕阿若红壤片区组织体系建设历史沿革、当前现状、存在问题进行深入调研，研究思考加强藏区组织体系建设的基本路径，并形成专题报告。</w:t>
      </w:r>
    </w:p>
    <w:p>
      <w:pPr>
        <w:pageBreakBefore w:val="0"/>
        <w:widowControl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color w:val="000000"/>
          <w:sz w:val="32"/>
          <w:szCs w:val="32"/>
        </w:rPr>
      </w:pPr>
      <w:r>
        <w:rPr>
          <w:rFonts w:hint="eastAsia" w:ascii="楷体_GB2312" w:hAnsi="楷体_GB2312" w:eastAsia="楷体_GB2312" w:cs="楷体_GB2312"/>
          <w:b/>
          <w:bCs/>
          <w:color w:val="000000"/>
          <w:sz w:val="32"/>
          <w:szCs w:val="32"/>
        </w:rPr>
        <w:t>（三）抓实党建促脱贫和</w:t>
      </w:r>
      <w:r>
        <w:rPr>
          <w:rFonts w:hint="eastAsia" w:ascii="楷体_GB2312" w:hAnsi="楷体_GB2312" w:eastAsia="楷体_GB2312" w:cs="楷体_GB2312"/>
          <w:b/>
          <w:bCs/>
          <w:color w:val="000000"/>
          <w:kern w:val="0"/>
          <w:sz w:val="32"/>
          <w:szCs w:val="32"/>
          <w:lang w:bidi="ar"/>
        </w:rPr>
        <w:t>“联户联情”群众工作</w:t>
      </w:r>
      <w:r>
        <w:rPr>
          <w:rFonts w:hint="eastAsia" w:ascii="楷体_GB2312" w:hAnsi="楷体_GB2312" w:eastAsia="楷体_GB2312" w:cs="楷体_GB2312"/>
          <w:b/>
          <w:bCs/>
          <w:color w:val="000000"/>
          <w:sz w:val="32"/>
          <w:szCs w:val="32"/>
        </w:rPr>
        <w:t>。</w:t>
      </w:r>
      <w:r>
        <w:rPr>
          <w:rFonts w:hint="eastAsia" w:ascii="仿宋_GB2312" w:hAnsi="仿宋_GB2312" w:eastAsia="仿宋_GB2312" w:cs="仿宋_GB2312"/>
          <w:b/>
          <w:bCs/>
          <w:color w:val="000000"/>
          <w:kern w:val="0"/>
          <w:sz w:val="32"/>
          <w:szCs w:val="32"/>
          <w:lang w:bidi="ar"/>
        </w:rPr>
        <w:t>一是全面抓实党建促脱贫。</w:t>
      </w:r>
      <w:r>
        <w:rPr>
          <w:rFonts w:hint="eastAsia" w:ascii="仿宋_GB2312" w:hAnsi="仿宋_GB2312" w:eastAsia="仿宋_GB2312" w:cs="仿宋_GB2312"/>
          <w:color w:val="000000"/>
          <w:kern w:val="0"/>
          <w:sz w:val="32"/>
          <w:szCs w:val="32"/>
          <w:lang w:bidi="ar"/>
        </w:rPr>
        <w:t>期满轮换第一书记2名，调整贫困村驻村工作队员13名（其中：1名能力突出、群众满意的驻村工作队员接任第一书记）。</w:t>
      </w:r>
      <w:r>
        <w:rPr>
          <w:rFonts w:hint="eastAsia" w:ascii="仿宋_GB2312" w:hAnsi="仿宋_GB2312" w:eastAsia="仿宋_GB2312" w:cs="仿宋_GB2312"/>
          <w:color w:val="000000"/>
          <w:sz w:val="32"/>
          <w:szCs w:val="32"/>
        </w:rPr>
        <w:t>借助浙江、绵阳、西南民大、省食药监局等对口援建帮扶资源，举办脱贫一线干部培训1期，受训120人次。针对中央、省、州各级各类巡视督查反馈问题，认真组织开展自查自纠，梳理存在问题，分类列出问题清单，集中约谈20人，整改3类14项突出问题，确保联系帮扶工作高质高效推进。</w:t>
      </w:r>
      <w:r>
        <w:rPr>
          <w:rFonts w:hint="eastAsia" w:ascii="仿宋_GB2312" w:hAnsi="仿宋_GB2312" w:eastAsia="仿宋_GB2312" w:cs="仿宋_GB2312"/>
          <w:color w:val="000000"/>
          <w:spacing w:val="4"/>
          <w:sz w:val="32"/>
          <w:szCs w:val="32"/>
        </w:rPr>
        <w:t>严格落实《关爱激励脱贫攻坚一线干部十五条办法》，</w:t>
      </w:r>
      <w:r>
        <w:rPr>
          <w:rFonts w:hint="eastAsia" w:ascii="仿宋_GB2312" w:hAnsi="仿宋_GB2312" w:eastAsia="仿宋_GB2312" w:cs="仿宋_GB2312"/>
          <w:color w:val="000000"/>
          <w:sz w:val="32"/>
          <w:szCs w:val="32"/>
        </w:rPr>
        <w:t>及时落实工作经费、兑现生活补贴，推荐优秀第一书记、驻村工作队员2名，进一步激发了脱贫攻坚一线干部干事创业的激情</w:t>
      </w:r>
      <w:r>
        <w:rPr>
          <w:rFonts w:hint="eastAsia" w:ascii="仿宋_GB2312" w:hAnsi="仿宋_GB2312" w:eastAsia="仿宋_GB2312" w:cs="仿宋_GB2312"/>
          <w:color w:val="000000"/>
          <w:kern w:val="0"/>
          <w:sz w:val="32"/>
          <w:szCs w:val="32"/>
          <w:lang w:bidi="ar"/>
        </w:rPr>
        <w:t>。</w:t>
      </w:r>
      <w:r>
        <w:rPr>
          <w:rFonts w:hint="eastAsia" w:ascii="仿宋_GB2312" w:hAnsi="仿宋_GB2312" w:eastAsia="仿宋_GB2312" w:cs="仿宋_GB2312"/>
          <w:b/>
          <w:bCs/>
          <w:color w:val="000000"/>
          <w:kern w:val="0"/>
          <w:sz w:val="32"/>
          <w:szCs w:val="32"/>
          <w:lang w:bidi="ar"/>
        </w:rPr>
        <w:t>二是强力推动“联户联情”群众工作全覆盖，</w:t>
      </w:r>
      <w:r>
        <w:rPr>
          <w:rFonts w:hint="eastAsia" w:ascii="仿宋_GB2312" w:hAnsi="仿宋_GB2312" w:eastAsia="仿宋_GB2312" w:cs="仿宋_GB2312"/>
          <w:b/>
          <w:bCs/>
          <w:color w:val="000000"/>
          <w:sz w:val="32"/>
          <w:szCs w:val="32"/>
        </w:rPr>
        <w:t>密切联系群众。</w:t>
      </w:r>
      <w:r>
        <w:rPr>
          <w:rFonts w:hint="eastAsia" w:ascii="仿宋_GB2312" w:hAnsi="仿宋_GB2312" w:eastAsia="仿宋_GB2312" w:cs="仿宋_GB2312"/>
          <w:color w:val="000000"/>
          <w:sz w:val="32"/>
          <w:szCs w:val="32"/>
        </w:rPr>
        <w:t>截止目前，全县2900余名干部参与，走访群众26000余户，收集群众困难诉求759条，帮助解决难题490余件，发放慰问物资合计40余万元。</w:t>
      </w:r>
      <w:r>
        <w:rPr>
          <w:rFonts w:hint="eastAsia" w:ascii="仿宋_GB2312" w:hAnsi="仿宋_GB2312" w:eastAsia="仿宋_GB2312" w:cs="仿宋_GB2312"/>
          <w:b/>
          <w:bCs/>
          <w:color w:val="000000"/>
          <w:sz w:val="32"/>
          <w:szCs w:val="32"/>
        </w:rPr>
        <w:t>丰富载体内容。</w:t>
      </w:r>
      <w:r>
        <w:rPr>
          <w:rFonts w:hint="eastAsia" w:ascii="仿宋_GB2312" w:hAnsi="仿宋_GB2312" w:eastAsia="仿宋_GB2312" w:cs="仿宋_GB2312"/>
          <w:color w:val="000000"/>
          <w:sz w:val="32"/>
          <w:szCs w:val="32"/>
        </w:rPr>
        <w:t>上半年，依托“一校三团”组织开展政策法规宣讲230余场次，组织赛马、锅庄民歌比赛、篮球赛、文艺汇演等群体文娱活动290余场次，参与人员达32000余人。</w:t>
      </w:r>
      <w:r>
        <w:rPr>
          <w:rFonts w:hint="eastAsia" w:ascii="仿宋_GB2312" w:hAnsi="仿宋_GB2312" w:eastAsia="仿宋_GB2312" w:cs="仿宋_GB2312"/>
          <w:b/>
          <w:bCs/>
          <w:color w:val="000000"/>
          <w:sz w:val="32"/>
          <w:szCs w:val="32"/>
        </w:rPr>
        <w:t>强化制度保障。</w:t>
      </w:r>
      <w:r>
        <w:rPr>
          <w:rFonts w:hint="eastAsia" w:ascii="仿宋_GB2312" w:hAnsi="仿宋_GB2312" w:eastAsia="仿宋_GB2312" w:cs="仿宋_GB2312"/>
          <w:color w:val="000000"/>
          <w:sz w:val="32"/>
          <w:szCs w:val="32"/>
        </w:rPr>
        <w:t>结合牧区群众工作实际，制定《红原县关于进一步推进“联户联情”群众工作全覆盖的六项制度》，大力</w:t>
      </w:r>
      <w:r>
        <w:rPr>
          <w:rFonts w:hint="eastAsia" w:ascii="仿宋_GB2312" w:hAnsi="仿宋_GB2312" w:eastAsia="仿宋_GB2312" w:cs="仿宋_GB2312"/>
          <w:bCs/>
          <w:color w:val="000000"/>
          <w:sz w:val="32"/>
          <w:szCs w:val="32"/>
        </w:rPr>
        <w:t>推行党组织、党员、贫困户、普通群众“四位一体”星级激励管理模式，采取</w:t>
      </w:r>
      <w:r>
        <w:rPr>
          <w:rFonts w:hint="eastAsia" w:ascii="仿宋_GB2312" w:hAnsi="仿宋_GB2312" w:eastAsia="仿宋_GB2312" w:cs="仿宋_GB2312"/>
          <w:color w:val="000000"/>
          <w:sz w:val="32"/>
          <w:szCs w:val="32"/>
        </w:rPr>
        <w:t>以案说“法”、以事明“效”、以访问“情”的督导方式，着力推动“联户联情”工作规范化、制度化运行。</w:t>
      </w:r>
    </w:p>
    <w:p>
      <w:pPr>
        <w:pageBreakBefore w:val="0"/>
        <w:widowControl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color w:val="000000"/>
          <w:kern w:val="0"/>
          <w:sz w:val="32"/>
          <w:szCs w:val="32"/>
        </w:rPr>
      </w:pPr>
      <w:r>
        <w:rPr>
          <w:rFonts w:hint="eastAsia" w:ascii="楷体_GB2312" w:hAnsi="楷体_GB2312" w:eastAsia="楷体_GB2312" w:cs="楷体_GB2312"/>
          <w:b/>
          <w:bCs/>
          <w:color w:val="000000"/>
          <w:sz w:val="32"/>
          <w:szCs w:val="32"/>
        </w:rPr>
        <w:t>（四）抓实干部队伍建设。</w:t>
      </w:r>
      <w:r>
        <w:rPr>
          <w:rFonts w:hint="eastAsia" w:ascii="仿宋_GB2312" w:hAnsi="仿宋_GB2312" w:eastAsia="仿宋_GB2312" w:cs="仿宋_GB2312"/>
          <w:b/>
          <w:sz w:val="32"/>
          <w:szCs w:val="32"/>
        </w:rPr>
        <w:t>一是突出政治标准配班子。</w:t>
      </w:r>
      <w:r>
        <w:rPr>
          <w:rFonts w:hint="eastAsia" w:ascii="仿宋_GB2312" w:hAnsi="仿宋_GB2312" w:eastAsia="仿宋_GB2312" w:cs="仿宋_GB2312"/>
          <w:sz w:val="32"/>
          <w:szCs w:val="32"/>
        </w:rPr>
        <w:t>在全州率先启动机构改革工作，选优配强8个党委部门和27个政府部门科级领导班子，实现“无提拔任职、无机改转非、无暂缓安置”；截止10月15日，共人事调整4批次涉及134人，其中，提拔10人，交流42人，机改继任56人，兼职2人，免兼职7人，免职17人。</w:t>
      </w:r>
      <w:r>
        <w:rPr>
          <w:rFonts w:hint="eastAsia" w:ascii="仿宋_GB2312" w:hAnsi="仿宋_GB2312" w:eastAsia="仿宋_GB2312" w:cs="仿宋_GB2312"/>
          <w:b/>
          <w:sz w:val="32"/>
          <w:szCs w:val="32"/>
        </w:rPr>
        <w:t>二是</w:t>
      </w:r>
      <w:r>
        <w:rPr>
          <w:rFonts w:hint="eastAsia" w:ascii="仿宋_GB2312" w:hAnsi="仿宋_GB2312" w:eastAsia="仿宋_GB2312" w:cs="仿宋_GB2312"/>
          <w:b/>
          <w:bCs/>
          <w:sz w:val="32"/>
          <w:szCs w:val="32"/>
        </w:rPr>
        <w:t>突出关怀激励爱干部。</w:t>
      </w:r>
      <w:r>
        <w:rPr>
          <w:rFonts w:hint="eastAsia" w:ascii="仿宋_GB2312" w:hAnsi="仿宋_GB2312" w:eastAsia="仿宋_GB2312" w:cs="仿宋_GB2312"/>
          <w:bCs/>
          <w:sz w:val="32"/>
          <w:szCs w:val="32"/>
        </w:rPr>
        <w:t>根据《阿坝州县以下机关建立公务员职务与职级并行制度》，分两次对23名符合晋升上一职级的干部进行晋升；对公检法、森林公安4个单位符合条件干部进行套转、晋升；按照《阿坝州公务员职务与职级并行制度实施方案》</w:t>
      </w:r>
      <w:r>
        <w:rPr>
          <w:rFonts w:hint="eastAsia" w:ascii="仿宋_GB2312" w:hAnsi="仿宋_GB2312" w:eastAsia="仿宋_GB2312" w:cs="仿宋_GB2312"/>
          <w:sz w:val="32"/>
          <w:szCs w:val="32"/>
        </w:rPr>
        <w:t>，清理因历史原因未作登记干部，提请县委常委会研究补登155名公务员（参公人员），套转综合类公务员545人。</w:t>
      </w:r>
      <w:r>
        <w:rPr>
          <w:rFonts w:hint="eastAsia" w:ascii="仿宋_GB2312" w:hAnsi="仿宋_GB2312" w:eastAsia="仿宋_GB2312" w:cs="仿宋_GB2312"/>
          <w:b/>
          <w:bCs/>
          <w:sz w:val="32"/>
          <w:szCs w:val="32"/>
        </w:rPr>
        <w:t>三是</w:t>
      </w:r>
      <w:r>
        <w:rPr>
          <w:rFonts w:hint="eastAsia" w:ascii="仿宋_GB2312" w:hAnsi="仿宋_GB2312" w:eastAsia="仿宋_GB2312" w:cs="仿宋_GB2312"/>
          <w:b/>
          <w:sz w:val="32"/>
          <w:szCs w:val="32"/>
        </w:rPr>
        <w:t>突出跟踪督促抓整改。</w:t>
      </w:r>
      <w:r>
        <w:rPr>
          <w:rFonts w:hint="eastAsia" w:ascii="仿宋_GB2312" w:hAnsi="仿宋_GB2312" w:eastAsia="仿宋_GB2312" w:cs="仿宋_GB2312"/>
          <w:bCs/>
          <w:sz w:val="32"/>
          <w:szCs w:val="32"/>
        </w:rPr>
        <w:t>瞄准</w:t>
      </w:r>
      <w:r>
        <w:rPr>
          <w:rFonts w:hint="eastAsia" w:ascii="仿宋_GB2312" w:hAnsi="仿宋_GB2312" w:eastAsia="仿宋_GB2312" w:cs="仿宋_GB2312"/>
          <w:sz w:val="32"/>
          <w:szCs w:val="32"/>
        </w:rPr>
        <w:t>省委反馈选人用人</w:t>
      </w:r>
      <w:r>
        <w:rPr>
          <w:rFonts w:hint="eastAsia" w:ascii="仿宋_GB2312" w:hAnsi="仿宋_GB2312" w:eastAsia="仿宋_GB2312" w:cs="仿宋_GB2312"/>
          <w:kern w:val="0"/>
          <w:sz w:val="32"/>
          <w:szCs w:val="32"/>
        </w:rPr>
        <w:t>5</w:t>
      </w:r>
      <w:r>
        <w:rPr>
          <w:rFonts w:hint="eastAsia" w:ascii="仿宋_GB2312" w:hAnsi="仿宋_GB2312" w:eastAsia="仿宋_GB2312" w:cs="仿宋_GB2312"/>
          <w:kern w:val="0"/>
          <w:sz w:val="32"/>
          <w:szCs w:val="32"/>
          <w:lang w:val="zh-CN"/>
        </w:rPr>
        <w:t>类</w:t>
      </w:r>
      <w:r>
        <w:rPr>
          <w:rFonts w:hint="eastAsia" w:ascii="仿宋_GB2312" w:hAnsi="仿宋_GB2312" w:eastAsia="仿宋_GB2312" w:cs="仿宋_GB2312"/>
          <w:kern w:val="0"/>
          <w:sz w:val="32"/>
          <w:szCs w:val="32"/>
        </w:rPr>
        <w:t>17个</w:t>
      </w:r>
      <w:r>
        <w:rPr>
          <w:rFonts w:hint="eastAsia" w:ascii="仿宋_GB2312" w:hAnsi="仿宋_GB2312" w:eastAsia="仿宋_GB2312" w:cs="仿宋_GB2312"/>
          <w:sz w:val="32"/>
          <w:szCs w:val="32"/>
        </w:rPr>
        <w:t>问题，制定整改方案，建立台账清单，</w:t>
      </w:r>
      <w:r>
        <w:rPr>
          <w:rFonts w:hint="eastAsia" w:ascii="仿宋_GB2312" w:hAnsi="仿宋_GB2312" w:eastAsia="仿宋_GB2312" w:cs="仿宋_GB2312"/>
          <w:kern w:val="0"/>
          <w:sz w:val="32"/>
          <w:szCs w:val="32"/>
        </w:rPr>
        <w:t>于</w:t>
      </w:r>
      <w:r>
        <w:rPr>
          <w:rFonts w:hint="eastAsia" w:ascii="仿宋_GB2312" w:hAnsi="仿宋_GB2312" w:eastAsia="仿宋_GB2312" w:cs="仿宋_GB2312"/>
          <w:kern w:val="0"/>
          <w:sz w:val="32"/>
          <w:szCs w:val="32"/>
          <w:lang w:val="zh-CN"/>
        </w:rPr>
        <w:t>2月25日</w:t>
      </w:r>
      <w:r>
        <w:rPr>
          <w:rFonts w:hint="eastAsia" w:ascii="仿宋_GB2312" w:hAnsi="仿宋_GB2312" w:eastAsia="仿宋_GB2312" w:cs="仿宋_GB2312"/>
          <w:kern w:val="0"/>
          <w:sz w:val="32"/>
          <w:szCs w:val="32"/>
        </w:rPr>
        <w:t>全面完成问题</w:t>
      </w:r>
      <w:r>
        <w:rPr>
          <w:rFonts w:hint="eastAsia" w:ascii="仿宋_GB2312" w:hAnsi="仿宋_GB2312" w:eastAsia="仿宋_GB2312" w:cs="仿宋_GB2312"/>
          <w:kern w:val="0"/>
          <w:sz w:val="32"/>
          <w:szCs w:val="32"/>
          <w:lang w:val="zh-CN"/>
        </w:rPr>
        <w:t>调查核实，</w:t>
      </w:r>
      <w:r>
        <w:rPr>
          <w:rFonts w:hint="eastAsia" w:ascii="仿宋_GB2312" w:hAnsi="仿宋_GB2312" w:eastAsia="仿宋_GB2312" w:cs="仿宋_GB2312"/>
          <w:kern w:val="0"/>
          <w:sz w:val="32"/>
          <w:szCs w:val="32"/>
        </w:rPr>
        <w:t>已全面完成整改。</w:t>
      </w:r>
      <w:r>
        <w:rPr>
          <w:rFonts w:hint="eastAsia" w:ascii="仿宋_GB2312" w:hAnsi="仿宋_GB2312" w:eastAsia="仿宋_GB2312" w:cs="仿宋_GB2312"/>
          <w:b/>
          <w:bCs/>
          <w:kern w:val="0"/>
          <w:sz w:val="32"/>
          <w:szCs w:val="32"/>
        </w:rPr>
        <w:t>四是突出常态培训提能力。</w:t>
      </w:r>
      <w:r>
        <w:rPr>
          <w:rFonts w:hint="eastAsia" w:ascii="仿宋_GB2312" w:hAnsi="仿宋_GB2312" w:eastAsia="仿宋_GB2312" w:cs="仿宋_GB2312"/>
          <w:kern w:val="0"/>
          <w:sz w:val="32"/>
          <w:szCs w:val="32"/>
          <w:lang w:val="zh-CN"/>
        </w:rPr>
        <w:t>编制《红原县干部工作规范化手册（</w:t>
      </w:r>
      <w:r>
        <w:rPr>
          <w:rFonts w:hint="eastAsia" w:ascii="仿宋_GB2312" w:hAnsi="仿宋_GB2312" w:eastAsia="仿宋_GB2312" w:cs="仿宋_GB2312"/>
          <w:kern w:val="0"/>
          <w:sz w:val="32"/>
          <w:szCs w:val="32"/>
        </w:rPr>
        <w:t>2019年版</w:t>
      </w:r>
      <w:r>
        <w:rPr>
          <w:rFonts w:hint="eastAsia" w:ascii="仿宋_GB2312" w:hAnsi="仿宋_GB2312" w:eastAsia="仿宋_GB2312" w:cs="仿宋_GB2312"/>
          <w:kern w:val="0"/>
          <w:sz w:val="32"/>
          <w:szCs w:val="32"/>
          <w:lang w:val="zh-CN"/>
        </w:rPr>
        <w:t>）》《红原县科级党政领导干部选用规范化操作工作手册》；</w:t>
      </w:r>
      <w:r>
        <w:rPr>
          <w:rFonts w:hint="eastAsia" w:ascii="仿宋_GB2312" w:hAnsi="仿宋_GB2312" w:eastAsia="仿宋_GB2312" w:cs="仿宋_GB2312"/>
          <w:kern w:val="0"/>
          <w:sz w:val="32"/>
          <w:szCs w:val="32"/>
        </w:rPr>
        <w:t>举办两期干部读书班，</w:t>
      </w:r>
      <w:r>
        <w:rPr>
          <w:rFonts w:hint="eastAsia" w:ascii="仿宋_GB2312" w:hAnsi="仿宋_GB2312" w:eastAsia="仿宋_GB2312" w:cs="仿宋_GB2312"/>
          <w:sz w:val="32"/>
          <w:szCs w:val="32"/>
        </w:rPr>
        <w:t>持续为干部进行思想补钙，教育引导大家紧扣全县重点工作不忘初心、牢记使命、锐意进取；</w:t>
      </w:r>
      <w:r>
        <w:rPr>
          <w:rFonts w:hint="eastAsia" w:ascii="仿宋_GB2312" w:hAnsi="仿宋_GB2312" w:eastAsia="仿宋_GB2312" w:cs="仿宋_GB2312"/>
          <w:kern w:val="0"/>
          <w:sz w:val="32"/>
          <w:szCs w:val="32"/>
          <w:lang w:val="zh-CN"/>
        </w:rPr>
        <w:t>计划</w:t>
      </w:r>
      <w:r>
        <w:rPr>
          <w:rFonts w:hint="eastAsia" w:ascii="仿宋_GB2312" w:hAnsi="仿宋_GB2312" w:eastAsia="仿宋_GB2312" w:cs="仿宋_GB2312"/>
          <w:kern w:val="0"/>
          <w:sz w:val="32"/>
          <w:szCs w:val="32"/>
        </w:rPr>
        <w:t>11月</w:t>
      </w:r>
      <w:r>
        <w:rPr>
          <w:rFonts w:hint="eastAsia" w:ascii="仿宋_GB2312" w:hAnsi="仿宋_GB2312" w:eastAsia="仿宋_GB2312" w:cs="仿宋_GB2312"/>
          <w:kern w:val="0"/>
          <w:sz w:val="32"/>
          <w:szCs w:val="32"/>
          <w:lang w:val="zh-CN"/>
        </w:rPr>
        <w:t>举办干部业务工作培训班，加强组工干部和考察员</w:t>
      </w:r>
      <w:r>
        <w:rPr>
          <w:rFonts w:hint="eastAsia" w:ascii="仿宋_GB2312" w:hAnsi="仿宋_GB2312" w:eastAsia="仿宋_GB2312" w:cs="仿宋_GB2312"/>
          <w:kern w:val="0"/>
          <w:sz w:val="32"/>
          <w:szCs w:val="32"/>
        </w:rPr>
        <w:t>队伍建设，推动培训提能步入常态。</w:t>
      </w:r>
      <w:r>
        <w:rPr>
          <w:rFonts w:hint="eastAsia" w:ascii="仿宋_GB2312" w:hAnsi="仿宋_GB2312" w:eastAsia="仿宋_GB2312" w:cs="仿宋_GB2312"/>
          <w:b/>
          <w:sz w:val="32"/>
          <w:szCs w:val="32"/>
        </w:rPr>
        <w:t>五是突出规范有序建档案。</w:t>
      </w:r>
      <w:r>
        <w:rPr>
          <w:rFonts w:hint="eastAsia" w:ascii="仿宋_GB2312" w:hAnsi="仿宋_GB2312" w:eastAsia="仿宋_GB2312" w:cs="仿宋_GB2312"/>
          <w:bCs/>
          <w:sz w:val="32"/>
          <w:szCs w:val="32"/>
        </w:rPr>
        <w:t>以全省组织系统落实中央巡视组反馈意见为问题导向，全面清理核查干部人事档案，组织开展专题培训，坚持不定期和每月定期督查指导部门干部人事档案数字化建设工作，指导督促人社局、教育干部人事档案数字化工作。</w:t>
      </w:r>
    </w:p>
    <w:p>
      <w:pPr>
        <w:pageBreakBefore w:val="0"/>
        <w:widowControl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color w:val="000000"/>
          <w:sz w:val="32"/>
          <w:szCs w:val="32"/>
        </w:rPr>
      </w:pPr>
      <w:r>
        <w:rPr>
          <w:rFonts w:hint="eastAsia" w:ascii="楷体_GB2312" w:hAnsi="楷体_GB2312" w:eastAsia="楷体_GB2312" w:cs="楷体_GB2312"/>
          <w:b/>
          <w:bCs/>
          <w:color w:val="000000"/>
          <w:sz w:val="32"/>
          <w:szCs w:val="32"/>
        </w:rPr>
        <w:t>（五）抓实人才强县工作。</w:t>
      </w:r>
      <w:r>
        <w:rPr>
          <w:rFonts w:hint="eastAsia" w:ascii="仿宋_GB2312" w:hAnsi="仿宋_GB2312" w:eastAsia="仿宋_GB2312" w:cs="仿宋_GB2312"/>
          <w:b/>
          <w:bCs/>
          <w:color w:val="000000"/>
          <w:sz w:val="32"/>
          <w:szCs w:val="32"/>
        </w:rPr>
        <w:t>一是招才引智优化人才结构。</w:t>
      </w:r>
      <w:r>
        <w:rPr>
          <w:rFonts w:hint="eastAsia" w:ascii="仿宋_GB2312" w:hAnsi="仿宋_GB2312" w:eastAsia="仿宋_GB2312" w:cs="仿宋_GB2312"/>
          <w:color w:val="000000"/>
          <w:sz w:val="32"/>
          <w:szCs w:val="32"/>
        </w:rPr>
        <w:t>招聘事业人员9人，“川渝高校行”活动招聘急需紧缺专技人才2人，年轻干部铸魂工程遴选21名优秀年轻干部人才。</w:t>
      </w:r>
      <w:r>
        <w:rPr>
          <w:rFonts w:hint="eastAsia" w:ascii="仿宋_GB2312" w:hAnsi="仿宋_GB2312" w:eastAsia="仿宋_GB2312" w:cs="仿宋_GB2312"/>
          <w:b/>
          <w:bCs/>
          <w:color w:val="000000"/>
          <w:sz w:val="32"/>
          <w:szCs w:val="32"/>
        </w:rPr>
        <w:t>二是用心育才构筑人才高地。</w:t>
      </w:r>
      <w:r>
        <w:rPr>
          <w:rFonts w:hint="eastAsia" w:ascii="仿宋_GB2312" w:hAnsi="仿宋_GB2312" w:eastAsia="仿宋_GB2312" w:cs="仿宋_GB2312"/>
          <w:color w:val="000000"/>
          <w:sz w:val="32"/>
          <w:szCs w:val="32"/>
        </w:rPr>
        <w:t>选派2名党政干部和13名专技人才顶岗挂职，选派县级领导7人次、科级及以下干部28人次参加省州培训。建立由279名干部组成的藏汉“双语”师资库，确定参加藏语培训1144人、汉语培训214人。举办党政类、专业类培训班各3期、参训460余人。</w:t>
      </w:r>
      <w:r>
        <w:rPr>
          <w:rFonts w:hint="eastAsia" w:ascii="仿宋_GB2312" w:hAnsi="仿宋_GB2312" w:eastAsia="仿宋_GB2312" w:cs="仿宋_GB2312"/>
          <w:b/>
          <w:bCs/>
          <w:color w:val="000000"/>
          <w:sz w:val="32"/>
          <w:szCs w:val="32"/>
        </w:rPr>
        <w:t>三是严管厚爱强化人才管理。</w:t>
      </w:r>
      <w:r>
        <w:rPr>
          <w:rFonts w:hint="eastAsia" w:ascii="仿宋_GB2312" w:hAnsi="仿宋_GB2312" w:eastAsia="仿宋_GB2312" w:cs="仿宋_GB2312"/>
          <w:color w:val="000000"/>
          <w:sz w:val="32"/>
          <w:szCs w:val="32"/>
        </w:rPr>
        <w:t>召开援藏干部人才“安全工作培训会”，看望2名生病住院援藏干部人才，落实援藏干部人才通讯费68160元。依托更攀合作社成立“农民工人才综合服务工作站”，从人才专项经费列支8万元用于购买办公用品等，通过</w:t>
      </w:r>
      <w:r>
        <w:rPr>
          <w:rFonts w:hint="eastAsia" w:ascii="仿宋_GB2312" w:hAnsi="仿宋_GB2312" w:eastAsia="仿宋_GB2312" w:cs="仿宋_GB2312"/>
          <w:color w:val="000000"/>
          <w:sz w:val="32"/>
          <w:szCs w:val="32"/>
          <w:shd w:val="clear" w:color="auto" w:fill="FFFFFF"/>
        </w:rPr>
        <w:t>召开座谈会、走访慰问、坝坝会、拨打暖心电话等方式，对</w:t>
      </w:r>
      <w:r>
        <w:rPr>
          <w:rFonts w:hint="eastAsia" w:ascii="仿宋_GB2312" w:hAnsi="仿宋_GB2312" w:eastAsia="仿宋_GB2312" w:cs="仿宋_GB2312"/>
          <w:color w:val="000000"/>
          <w:sz w:val="32"/>
          <w:szCs w:val="32"/>
        </w:rPr>
        <w:t>红原县籍农民工</w:t>
      </w:r>
      <w:r>
        <w:rPr>
          <w:rFonts w:hint="eastAsia" w:ascii="仿宋_GB2312" w:hAnsi="仿宋_GB2312" w:eastAsia="仿宋_GB2312" w:cs="仿宋_GB2312"/>
          <w:color w:val="000000"/>
          <w:sz w:val="32"/>
          <w:szCs w:val="32"/>
          <w:shd w:val="clear" w:color="auto" w:fill="FFFFFF"/>
        </w:rPr>
        <w:t>进行全覆盖走访</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color w:val="000000"/>
          <w:kern w:val="24"/>
          <w:sz w:val="32"/>
          <w:szCs w:val="32"/>
        </w:rPr>
        <w:t>四是以才为本推进人才振兴。</w:t>
      </w:r>
      <w:r>
        <w:rPr>
          <w:rFonts w:hint="eastAsia" w:ascii="仿宋_GB2312" w:hAnsi="仿宋_GB2312" w:eastAsia="仿宋_GB2312" w:cs="仿宋_GB2312"/>
          <w:color w:val="000000"/>
          <w:sz w:val="32"/>
          <w:szCs w:val="32"/>
        </w:rPr>
        <w:t>印发《红原县免费定向培养紧缺专业大学生在校培养管理办法》，召集人社、编办等部门研究定向培养需求，确定4名定向培养对象。拟定《红原县科技扶贫万里行活动2019年度专家服务团工作方案》，建立组织部牵头、科农局负责工作机制，今年专家服务团3次赴县开展科技扶贫万里行活动。</w:t>
      </w:r>
    </w:p>
    <w:p>
      <w:pPr>
        <w:pageBreakBefore w:val="0"/>
        <w:widowControl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bCs/>
          <w:color w:val="000000"/>
          <w:sz w:val="32"/>
          <w:szCs w:val="32"/>
        </w:rPr>
      </w:pPr>
      <w:r>
        <w:rPr>
          <w:rFonts w:hint="eastAsia" w:ascii="楷体_GB2312" w:hAnsi="楷体_GB2312" w:eastAsia="楷体_GB2312" w:cs="楷体_GB2312"/>
          <w:b/>
          <w:bCs/>
          <w:color w:val="000000"/>
          <w:sz w:val="32"/>
          <w:szCs w:val="32"/>
        </w:rPr>
        <w:t>（六）抓实老干部管理服务工作。</w:t>
      </w:r>
      <w:r>
        <w:rPr>
          <w:rFonts w:hint="eastAsia" w:ascii="仿宋_GB2312" w:hAnsi="仿宋_GB2312" w:eastAsia="仿宋_GB2312" w:cs="仿宋_GB2312"/>
          <w:b/>
          <w:color w:val="000000"/>
          <w:sz w:val="32"/>
          <w:szCs w:val="32"/>
        </w:rPr>
        <w:t>一是突出思想建设。</w:t>
      </w:r>
      <w:r>
        <w:rPr>
          <w:rFonts w:hint="eastAsia" w:ascii="仿宋_GB2312" w:hAnsi="仿宋_GB2312" w:eastAsia="仿宋_GB2312" w:cs="仿宋_GB2312"/>
          <w:bCs/>
          <w:color w:val="000000"/>
          <w:sz w:val="32"/>
          <w:szCs w:val="32"/>
        </w:rPr>
        <w:t>制定每月学习计划，采取集中学、分组学、自学等形式，组织专题学习4次，举办1期离退休干部理论培训，按时间阶段，扎实开展不忘初心、牢记使命主题教育，推广运用“学习强国”平台拓宽理论学习渠道，让广大离退休干部“政治坚定、思想常新、理想永存”。</w:t>
      </w:r>
      <w:r>
        <w:rPr>
          <w:rFonts w:hint="eastAsia" w:ascii="仿宋_GB2312" w:hAnsi="仿宋_GB2312" w:eastAsia="仿宋_GB2312" w:cs="仿宋_GB2312"/>
          <w:b/>
          <w:color w:val="000000"/>
          <w:sz w:val="32"/>
          <w:szCs w:val="32"/>
        </w:rPr>
        <w:t>二是强化组织引领。</w:t>
      </w:r>
      <w:r>
        <w:rPr>
          <w:rFonts w:hint="eastAsia" w:ascii="仿宋_GB2312" w:hAnsi="仿宋_GB2312" w:eastAsia="仿宋_GB2312" w:cs="仿宋_GB2312"/>
          <w:bCs/>
          <w:color w:val="000000"/>
          <w:sz w:val="32"/>
          <w:szCs w:val="32"/>
        </w:rPr>
        <w:t>落实县委老干部局班子成员联系离退休干部党支部制度，加强流动离退休干部党员管理。落实离退休干部党组织书记（委员）工作补贴，按收缴比例全额下拨党费，制定党内帮扶基金、支部活动经费管理使用办法。以支部为核心认真开展不忘初心、牢记使命主题教育。</w:t>
      </w:r>
      <w:r>
        <w:rPr>
          <w:rFonts w:hint="eastAsia" w:ascii="仿宋_GB2312" w:hAnsi="仿宋_GB2312" w:eastAsia="仿宋_GB2312" w:cs="仿宋_GB2312"/>
          <w:b/>
          <w:color w:val="000000"/>
          <w:sz w:val="32"/>
          <w:szCs w:val="32"/>
        </w:rPr>
        <w:t>三是夯实基础保障。</w:t>
      </w:r>
      <w:r>
        <w:rPr>
          <w:rFonts w:hint="eastAsia" w:ascii="仿宋_GB2312" w:hAnsi="仿宋_GB2312" w:eastAsia="仿宋_GB2312" w:cs="仿宋_GB2312"/>
          <w:bCs/>
          <w:color w:val="000000"/>
          <w:sz w:val="32"/>
          <w:szCs w:val="32"/>
        </w:rPr>
        <w:t>将老干部工作经费纳入财政预算，落实县级领导、乡镇和部门主要负责人“一对一、一对多”联系制度，完成天府晚霞老干部信息系统的信息录入，系统运行。足额落实离退休干部各项待遇，征订报刊杂志1000余份，寄送新春《慰问信》900余封，重要节日、生病住院、去世走访慰问发放3万余元，发放共享红原发展改革成果奖30余万元。</w:t>
      </w:r>
      <w:r>
        <w:rPr>
          <w:rFonts w:hint="eastAsia" w:ascii="仿宋_GB2312" w:hAnsi="仿宋_GB2312" w:eastAsia="仿宋_GB2312" w:cs="仿宋_GB2312"/>
          <w:b/>
          <w:color w:val="000000"/>
          <w:sz w:val="32"/>
          <w:szCs w:val="32"/>
        </w:rPr>
        <w:t>四是激励余热发挥。</w:t>
      </w:r>
      <w:r>
        <w:rPr>
          <w:rFonts w:hint="eastAsia" w:ascii="仿宋_GB2312" w:hAnsi="仿宋_GB2312" w:eastAsia="仿宋_GB2312" w:cs="仿宋_GB2312"/>
          <w:bCs/>
          <w:color w:val="000000"/>
          <w:sz w:val="32"/>
          <w:szCs w:val="32"/>
        </w:rPr>
        <w:t>组织离退休干部开展藏区民主改革60周年、庆祝建国70周年等活动，邀请22名老干部代表参加各类重要会议7场次，原藏文中学教师甲洛同志获得全州最美老干部称号。分类建立红原县银发人才库、老干部志愿服务队，激励老干部发挥余热，为经济社会发展建言献策。</w:t>
      </w:r>
    </w:p>
    <w:p>
      <w:pPr>
        <w:pageBreakBefore w:val="0"/>
        <w:widowControl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bCs/>
          <w:sz w:val="32"/>
          <w:szCs w:val="32"/>
        </w:rPr>
      </w:pPr>
      <w:r>
        <w:rPr>
          <w:rFonts w:hint="eastAsia" w:ascii="楷体_GB2312" w:hAnsi="楷体_GB2312" w:eastAsia="楷体_GB2312" w:cs="楷体_GB2312"/>
          <w:b/>
          <w:sz w:val="32"/>
          <w:szCs w:val="32"/>
        </w:rPr>
        <w:t>（七）突出规范做好干部人事档案工作。</w:t>
      </w:r>
      <w:r>
        <w:rPr>
          <w:rFonts w:hint="eastAsia" w:ascii="仿宋_GB2312" w:hAnsi="仿宋_GB2312" w:eastAsia="仿宋_GB2312" w:cs="仿宋_GB2312"/>
          <w:bCs/>
          <w:sz w:val="32"/>
          <w:szCs w:val="32"/>
        </w:rPr>
        <w:t>以省委选人用人巡视反馈意见为问题导向，全面清理核查干部人事档案专项认定，严格按照相关规定及时对专审存在的问题进行了整改，组织全县各乡镇、机关单位开展干部人事档案专题培训。不定期督查指导部门干部人事档案数字化建设工作，做好年底部门干部人事档案数字化建设省级验收。</w:t>
      </w:r>
    </w:p>
    <w:p>
      <w:pPr>
        <w:pageBreakBefore w:val="0"/>
        <w:widowControl w:val="0"/>
        <w:kinsoku/>
        <w:wordWrap/>
        <w:overflowPunct/>
        <w:topLinePunct w:val="0"/>
        <w:autoSpaceDE/>
        <w:autoSpaceDN/>
        <w:bidi w:val="0"/>
        <w:spacing w:line="560" w:lineRule="exact"/>
        <w:ind w:firstLine="643" w:firstLineChars="200"/>
        <w:textAlignment w:val="auto"/>
        <w:rPr>
          <w:rFonts w:hint="eastAsia" w:ascii="仿宋" w:hAnsi="仿宋" w:eastAsia="仿宋" w:cs="仿宋"/>
          <w:color w:val="000000"/>
          <w:sz w:val="32"/>
          <w:szCs w:val="32"/>
        </w:rPr>
      </w:pPr>
      <w:r>
        <w:rPr>
          <w:rFonts w:hint="eastAsia" w:ascii="楷体_GB2312" w:hAnsi="楷体_GB2312" w:eastAsia="楷体_GB2312" w:cs="楷体_GB2312"/>
          <w:b/>
          <w:color w:val="000000"/>
          <w:sz w:val="32"/>
          <w:szCs w:val="32"/>
        </w:rPr>
        <w:t>（八）抓实公务员工作。</w:t>
      </w:r>
      <w:r>
        <w:rPr>
          <w:rFonts w:hint="eastAsia" w:ascii="仿宋_GB2312" w:hAnsi="仿宋_GB2312" w:eastAsia="仿宋_GB2312" w:cs="仿宋_GB2312"/>
          <w:bCs/>
          <w:sz w:val="32"/>
          <w:szCs w:val="32"/>
        </w:rPr>
        <w:t>收集各单位公务员招录需求，下半年新招录人民警察5名、机要密码干部1名。办理县外调动手续共33名、县内9名。上报公务员</w:t>
      </w:r>
      <w:r>
        <w:rPr>
          <w:rFonts w:hint="eastAsia" w:ascii="仿宋_GB2312" w:hAnsi="仿宋_GB2312" w:eastAsia="仿宋_GB2312" w:cs="仿宋_GB2312"/>
          <w:bCs/>
          <w:color w:val="000000"/>
          <w:sz w:val="32"/>
          <w:szCs w:val="32"/>
        </w:rPr>
        <w:t>转正定级33名，审核办理10名行政人员退休事宜，落实5名死亡人员丧葬抚恤金。组织9+3学历干部参加3期全省藏区培训班，87人次。完成全县公务员工资审核及执法警务类职务职级并行职务工资变动。经推荐上报，邓咏梅同志获全省人民满意公务员称号。</w:t>
      </w:r>
    </w:p>
    <w:p>
      <w:pPr>
        <w:pStyle w:val="4"/>
        <w:pageBreakBefore w:val="0"/>
        <w:widowControl w:val="0"/>
        <w:kinsoku/>
        <w:wordWrap/>
        <w:overflowPunct/>
        <w:topLinePunct w:val="0"/>
        <w:autoSpaceDE/>
        <w:autoSpaceDN/>
        <w:bidi w:val="0"/>
        <w:spacing w:line="560" w:lineRule="exact"/>
        <w:ind w:firstLine="640" w:firstLineChars="200"/>
        <w:textAlignment w:val="auto"/>
        <w:rPr>
          <w:rStyle w:val="27"/>
          <w:b w:val="0"/>
          <w:bCs w:val="0"/>
        </w:rPr>
      </w:pPr>
      <w:bookmarkStart w:id="26" w:name="_Toc13424"/>
      <w:bookmarkStart w:id="27" w:name="_Toc15396601"/>
      <w:bookmarkStart w:id="28" w:name="_Toc15377200"/>
      <w:r>
        <w:rPr>
          <w:rFonts w:hint="eastAsia" w:ascii="黑体" w:eastAsia="黑体"/>
          <w:b w:val="0"/>
          <w:color w:val="000000"/>
        </w:rPr>
        <w:t>二、</w:t>
      </w:r>
      <w:r>
        <w:rPr>
          <w:rFonts w:hint="eastAsia" w:ascii="黑体" w:hAnsi="黑体" w:eastAsia="黑体"/>
          <w:b w:val="0"/>
          <w:color w:val="000000"/>
        </w:rPr>
        <w:t>机</w:t>
      </w:r>
      <w:r>
        <w:rPr>
          <w:rStyle w:val="27"/>
          <w:rFonts w:hint="eastAsia" w:ascii="黑体" w:hAnsi="黑体" w:eastAsia="黑体"/>
          <w:b w:val="0"/>
          <w:bCs w:val="0"/>
        </w:rPr>
        <w:t>构设置</w:t>
      </w:r>
      <w:bookmarkEnd w:id="26"/>
      <w:bookmarkEnd w:id="27"/>
      <w:bookmarkEnd w:id="28"/>
    </w:p>
    <w:p>
      <w:pPr>
        <w:pageBreakBefore w:val="0"/>
        <w:widowControl w:val="0"/>
        <w:kinsoku/>
        <w:wordWrap/>
        <w:overflowPunct/>
        <w:topLinePunct w:val="0"/>
        <w:autoSpaceDE/>
        <w:autoSpaceDN/>
        <w:bidi w:val="0"/>
        <w:spacing w:line="560" w:lineRule="exact"/>
        <w:ind w:firstLine="640" w:firstLineChars="200"/>
        <w:textAlignment w:val="auto"/>
        <w:rPr>
          <w:rFonts w:ascii="仿宋" w:hAnsi="仿宋" w:eastAsia="仿宋"/>
          <w:color w:val="000000"/>
          <w:kern w:val="0"/>
          <w:sz w:val="32"/>
          <w:szCs w:val="32"/>
        </w:rPr>
      </w:pPr>
      <w:r>
        <w:rPr>
          <w:rFonts w:hint="eastAsia" w:ascii="仿宋_GB2312" w:hAnsi="仿宋_GB2312" w:eastAsia="仿宋_GB2312" w:cs="仿宋_GB2312"/>
          <w:bCs/>
          <w:sz w:val="32"/>
          <w:szCs w:val="32"/>
        </w:rPr>
        <w:t>我单位为独立核算全额拨款</w:t>
      </w:r>
      <w:r>
        <w:rPr>
          <w:rFonts w:hint="eastAsia" w:ascii="仿宋_GB2312" w:hAnsi="仿宋_GB2312" w:eastAsia="仿宋_GB2312" w:cs="仿宋_GB2312"/>
          <w:sz w:val="32"/>
          <w:szCs w:val="32"/>
        </w:rPr>
        <w:t>行政单位1个，其中行政单位</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个，参照公务员法管理的事业单位</w:t>
      </w:r>
      <w:r>
        <w:rPr>
          <w:rFonts w:hint="eastAsia" w:ascii="仿宋_GB2312" w:hAnsi="仿宋_GB2312" w:eastAsia="仿宋_GB2312" w:cs="仿宋_GB2312"/>
          <w:bCs/>
          <w:sz w:val="32"/>
          <w:szCs w:val="32"/>
          <w:lang w:val="en-US" w:eastAsia="zh-CN"/>
        </w:rPr>
        <w:t>1</w:t>
      </w:r>
      <w:r>
        <w:rPr>
          <w:rFonts w:hint="eastAsia" w:ascii="仿宋_GB2312" w:hAnsi="仿宋_GB2312" w:eastAsia="仿宋_GB2312" w:cs="仿宋_GB2312"/>
          <w:sz w:val="32"/>
          <w:szCs w:val="32"/>
        </w:rPr>
        <w:t>个，其他事业单位</w:t>
      </w:r>
      <w:r>
        <w:rPr>
          <w:rFonts w:hint="eastAsia" w:ascii="仿宋" w:hAnsi="仿宋" w:eastAsia="仿宋"/>
          <w:sz w:val="32"/>
          <w:szCs w:val="32"/>
          <w:lang w:val="en-US" w:eastAsia="zh-CN"/>
        </w:rPr>
        <w:t>1</w:t>
      </w:r>
      <w:r>
        <w:rPr>
          <w:rFonts w:hint="eastAsia" w:ascii="仿宋" w:hAnsi="仿宋" w:eastAsia="仿宋"/>
          <w:sz w:val="32"/>
          <w:szCs w:val="32"/>
        </w:rPr>
        <w:t>个。</w:t>
      </w:r>
      <w:r>
        <w:rPr>
          <w:rFonts w:ascii="仿宋" w:hAnsi="仿宋" w:eastAsia="仿宋"/>
          <w:color w:val="000000"/>
          <w:sz w:val="32"/>
          <w:szCs w:val="32"/>
        </w:rPr>
        <w:br w:type="page"/>
      </w:r>
    </w:p>
    <w:p>
      <w:pPr>
        <w:pStyle w:val="3"/>
        <w:ind w:right="440"/>
        <w:jc w:val="right"/>
        <w:rPr>
          <w:rStyle w:val="26"/>
          <w:rFonts w:ascii="黑体" w:hAnsi="黑体" w:eastAsia="黑体"/>
          <w:b w:val="0"/>
          <w:bCs w:val="0"/>
        </w:rPr>
      </w:pPr>
      <w:bookmarkStart w:id="29" w:name="_Toc15396602"/>
      <w:bookmarkStart w:id="30" w:name="_Toc15377204"/>
      <w:bookmarkStart w:id="31" w:name="_Toc31163"/>
      <w:r>
        <w:rPr>
          <w:rFonts w:hint="eastAsia" w:ascii="黑体" w:hAnsi="黑体" w:eastAsia="黑体"/>
          <w:b w:val="0"/>
          <w:color w:val="000000"/>
        </w:rPr>
        <w:t>第二部分</w:t>
      </w:r>
      <w:r>
        <w:rPr>
          <w:rFonts w:hint="eastAsia" w:ascii="黑体" w:hAnsi="黑体" w:eastAsia="黑体"/>
          <w:color w:val="000000"/>
        </w:rPr>
        <w:t xml:space="preserve"> </w:t>
      </w:r>
      <w:r>
        <w:rPr>
          <w:rStyle w:val="26"/>
          <w:rFonts w:hint="eastAsia" w:ascii="黑体" w:hAnsi="黑体" w:eastAsia="黑体"/>
          <w:b w:val="0"/>
          <w:bCs w:val="0"/>
        </w:rPr>
        <w:t>2019年度部门决算情况说明</w:t>
      </w:r>
      <w:bookmarkEnd w:id="29"/>
      <w:bookmarkEnd w:id="30"/>
      <w:bookmarkEnd w:id="31"/>
    </w:p>
    <w:p/>
    <w:p>
      <w:pPr>
        <w:pStyle w:val="25"/>
        <w:numPr>
          <w:ilvl w:val="0"/>
          <w:numId w:val="2"/>
        </w:numPr>
        <w:spacing w:line="600" w:lineRule="exact"/>
        <w:ind w:firstLineChars="0"/>
        <w:outlineLvl w:val="1"/>
        <w:rPr>
          <w:rStyle w:val="27"/>
          <w:rFonts w:ascii="黑体" w:hAnsi="黑体" w:eastAsia="黑体"/>
          <w:b w:val="0"/>
        </w:rPr>
      </w:pPr>
      <w:bookmarkStart w:id="32" w:name="_Toc11895"/>
      <w:bookmarkStart w:id="33" w:name="_Toc15377205"/>
      <w:bookmarkStart w:id="34" w:name="_Toc15396603"/>
      <w:r>
        <w:rPr>
          <w:rFonts w:hint="eastAsia" w:ascii="黑体" w:hAnsi="黑体" w:eastAsia="黑体"/>
          <w:color w:val="000000"/>
          <w:sz w:val="32"/>
          <w:szCs w:val="32"/>
        </w:rPr>
        <w:t>收</w:t>
      </w:r>
      <w:r>
        <w:rPr>
          <w:rStyle w:val="27"/>
          <w:rFonts w:hint="eastAsia" w:ascii="黑体" w:hAnsi="黑体" w:eastAsia="黑体"/>
          <w:b w:val="0"/>
        </w:rPr>
        <w:t>入支出决算总体情况说明</w:t>
      </w:r>
      <w:bookmarkEnd w:id="32"/>
      <w:bookmarkEnd w:id="33"/>
      <w:bookmarkEnd w:id="34"/>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2019年度收收入总计</w:t>
      </w:r>
      <w:r>
        <w:rPr>
          <w:rFonts w:hint="eastAsia" w:ascii="仿宋_GB2312" w:hAnsi="仿宋_GB2312" w:eastAsia="仿宋_GB2312" w:cs="仿宋_GB2312"/>
          <w:color w:val="000000"/>
          <w:sz w:val="32"/>
          <w:szCs w:val="32"/>
          <w:lang w:val="en-US" w:eastAsia="zh-CN"/>
        </w:rPr>
        <w:t>984</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56</w:t>
      </w:r>
      <w:r>
        <w:rPr>
          <w:rFonts w:hint="eastAsia" w:ascii="仿宋_GB2312" w:hAnsi="仿宋_GB2312" w:eastAsia="仿宋_GB2312" w:cs="仿宋_GB2312"/>
          <w:color w:val="000000"/>
          <w:sz w:val="32"/>
          <w:szCs w:val="32"/>
        </w:rPr>
        <w:t>万元，其中：财政拨款收入</w:t>
      </w:r>
      <w:r>
        <w:rPr>
          <w:rFonts w:hint="eastAsia" w:ascii="仿宋_GB2312" w:hAnsi="仿宋_GB2312" w:eastAsia="仿宋_GB2312" w:cs="仿宋_GB2312"/>
          <w:color w:val="000000"/>
          <w:sz w:val="32"/>
          <w:szCs w:val="32"/>
          <w:lang w:val="en-US" w:eastAsia="zh-CN"/>
        </w:rPr>
        <w:t>984.56</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%。上年结转和结余</w:t>
      </w:r>
      <w:r>
        <w:rPr>
          <w:rFonts w:hint="eastAsia" w:ascii="仿宋_GB2312" w:hAnsi="仿宋_GB2312" w:eastAsia="仿宋_GB2312" w:cs="仿宋_GB2312"/>
          <w:color w:val="000000"/>
          <w:sz w:val="32"/>
          <w:szCs w:val="32"/>
          <w:lang w:val="en-US" w:eastAsia="zh-CN"/>
        </w:rPr>
        <w:t>124.22</w:t>
      </w:r>
      <w:r>
        <w:rPr>
          <w:rFonts w:hint="eastAsia" w:ascii="仿宋_GB2312" w:hAnsi="仿宋_GB2312" w:eastAsia="仿宋_GB2312" w:cs="仿宋_GB2312"/>
          <w:color w:val="000000"/>
          <w:sz w:val="32"/>
          <w:szCs w:val="32"/>
        </w:rPr>
        <w:t>万元，其中：项目支出结转和结余</w:t>
      </w:r>
      <w:r>
        <w:rPr>
          <w:rFonts w:hint="eastAsia" w:ascii="仿宋_GB2312" w:hAnsi="仿宋_GB2312" w:eastAsia="仿宋_GB2312" w:cs="仿宋_GB2312"/>
          <w:color w:val="000000"/>
          <w:sz w:val="32"/>
          <w:szCs w:val="32"/>
          <w:lang w:val="en-US" w:eastAsia="zh-CN"/>
        </w:rPr>
        <w:t>124.22</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年度支出总计</w:t>
      </w:r>
      <w:r>
        <w:rPr>
          <w:rFonts w:hint="eastAsia" w:ascii="仿宋_GB2312" w:hAnsi="仿宋_GB2312" w:eastAsia="仿宋_GB2312" w:cs="仿宋_GB2312"/>
          <w:color w:val="000000"/>
          <w:sz w:val="32"/>
          <w:szCs w:val="32"/>
          <w:lang w:val="en-US" w:eastAsia="zh-CN"/>
        </w:rPr>
        <w:t>1098.09</w:t>
      </w:r>
      <w:r>
        <w:rPr>
          <w:rFonts w:hint="eastAsia" w:ascii="仿宋_GB2312" w:hAnsi="仿宋_GB2312" w:eastAsia="仿宋_GB2312" w:cs="仿宋_GB2312"/>
          <w:color w:val="000000"/>
          <w:sz w:val="32"/>
          <w:szCs w:val="32"/>
        </w:rPr>
        <w:t>万元，其中，一般公共服务支出</w:t>
      </w:r>
      <w:r>
        <w:rPr>
          <w:rFonts w:hint="eastAsia" w:ascii="仿宋_GB2312" w:hAnsi="仿宋_GB2312" w:eastAsia="仿宋_GB2312" w:cs="仿宋_GB2312"/>
          <w:color w:val="000000"/>
          <w:sz w:val="32"/>
          <w:szCs w:val="32"/>
          <w:lang w:val="en-US" w:eastAsia="zh-CN"/>
        </w:rPr>
        <w:t>850.58</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77.46</w:t>
      </w:r>
      <w:r>
        <w:rPr>
          <w:rFonts w:hint="eastAsia" w:ascii="仿宋_GB2312" w:hAnsi="仿宋_GB2312" w:eastAsia="仿宋_GB2312" w:cs="仿宋_GB2312"/>
          <w:color w:val="000000"/>
          <w:sz w:val="32"/>
          <w:szCs w:val="32"/>
        </w:rPr>
        <w:t>%;项目支出</w:t>
      </w:r>
      <w:r>
        <w:rPr>
          <w:rFonts w:hint="eastAsia" w:ascii="仿宋_GB2312" w:hAnsi="仿宋_GB2312" w:eastAsia="仿宋_GB2312" w:cs="仿宋_GB2312"/>
          <w:color w:val="000000"/>
          <w:sz w:val="32"/>
          <w:szCs w:val="32"/>
          <w:lang w:val="en-US" w:eastAsia="zh-CN"/>
        </w:rPr>
        <w:t>247.51</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22.54</w:t>
      </w:r>
      <w:r>
        <w:rPr>
          <w:rFonts w:hint="eastAsia" w:ascii="仿宋_GB2312" w:hAnsi="仿宋_GB2312" w:eastAsia="仿宋_GB2312" w:cs="仿宋_GB2312"/>
          <w:color w:val="000000"/>
          <w:sz w:val="32"/>
          <w:szCs w:val="32"/>
        </w:rPr>
        <w:t>%（教育支出</w:t>
      </w:r>
      <w:r>
        <w:rPr>
          <w:rFonts w:hint="eastAsia" w:ascii="仿宋_GB2312" w:hAnsi="仿宋_GB2312" w:eastAsia="仿宋_GB2312" w:cs="仿宋_GB2312"/>
          <w:color w:val="000000"/>
          <w:sz w:val="32"/>
          <w:szCs w:val="32"/>
          <w:lang w:val="en-US" w:eastAsia="zh-CN"/>
        </w:rPr>
        <w:t>112</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45.25</w:t>
      </w:r>
      <w:r>
        <w:rPr>
          <w:rFonts w:hint="eastAsia" w:ascii="仿宋_GB2312" w:hAnsi="仿宋_GB2312" w:eastAsia="仿宋_GB2312" w:cs="仿宋_GB2312"/>
          <w:color w:val="000000"/>
          <w:sz w:val="32"/>
          <w:szCs w:val="32"/>
        </w:rPr>
        <w:t>%；社会保险和就业支出</w:t>
      </w:r>
      <w:r>
        <w:rPr>
          <w:rFonts w:hint="eastAsia" w:ascii="仿宋_GB2312" w:hAnsi="仿宋_GB2312" w:eastAsia="仿宋_GB2312" w:cs="仿宋_GB2312"/>
          <w:color w:val="000000"/>
          <w:sz w:val="32"/>
          <w:szCs w:val="32"/>
          <w:lang w:val="en-US" w:eastAsia="zh-CN"/>
        </w:rPr>
        <w:t>66.45</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26.85</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卫生健康</w:t>
      </w:r>
      <w:r>
        <w:rPr>
          <w:rFonts w:hint="eastAsia" w:ascii="仿宋_GB2312" w:hAnsi="仿宋_GB2312" w:eastAsia="仿宋_GB2312" w:cs="仿宋_GB2312"/>
          <w:color w:val="000000"/>
          <w:sz w:val="32"/>
          <w:szCs w:val="32"/>
        </w:rPr>
        <w:t>支出</w:t>
      </w:r>
      <w:r>
        <w:rPr>
          <w:rFonts w:hint="eastAsia" w:ascii="仿宋_GB2312" w:hAnsi="仿宋_GB2312" w:eastAsia="仿宋_GB2312" w:cs="仿宋_GB2312"/>
          <w:color w:val="000000"/>
          <w:sz w:val="32"/>
          <w:szCs w:val="32"/>
          <w:lang w:val="en-US" w:eastAsia="zh-CN"/>
        </w:rPr>
        <w:t>29.05</w:t>
      </w:r>
      <w:r>
        <w:rPr>
          <w:rFonts w:hint="eastAsia" w:ascii="仿宋_GB2312" w:hAnsi="仿宋_GB2312" w:eastAsia="仿宋_GB2312" w:cs="仿宋_GB2312"/>
          <w:color w:val="000000"/>
          <w:sz w:val="32"/>
          <w:szCs w:val="32"/>
        </w:rPr>
        <w:t>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占</w:t>
      </w:r>
      <w:r>
        <w:rPr>
          <w:rFonts w:hint="eastAsia" w:ascii="仿宋_GB2312" w:hAnsi="仿宋_GB2312" w:eastAsia="仿宋_GB2312" w:cs="仿宋_GB2312"/>
          <w:color w:val="000000"/>
          <w:sz w:val="32"/>
          <w:szCs w:val="32"/>
          <w:lang w:val="en-US" w:eastAsia="zh-CN"/>
        </w:rPr>
        <w:t>11.73</w:t>
      </w:r>
      <w:r>
        <w:rPr>
          <w:rFonts w:hint="eastAsia" w:ascii="仿宋_GB2312" w:hAnsi="仿宋_GB2312" w:eastAsia="仿宋_GB2312" w:cs="仿宋_GB2312"/>
          <w:color w:val="000000"/>
          <w:sz w:val="32"/>
          <w:szCs w:val="32"/>
        </w:rPr>
        <w:t>%；住房保障支出</w:t>
      </w:r>
      <w:r>
        <w:rPr>
          <w:rFonts w:hint="eastAsia" w:ascii="仿宋_GB2312" w:hAnsi="仿宋_GB2312" w:eastAsia="仿宋_GB2312" w:cs="仿宋_GB2312"/>
          <w:color w:val="000000"/>
          <w:sz w:val="32"/>
          <w:szCs w:val="32"/>
          <w:lang w:val="en-US" w:eastAsia="zh-CN"/>
        </w:rPr>
        <w:t>40.01</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16.17</w:t>
      </w:r>
      <w:r>
        <w:rPr>
          <w:rFonts w:hint="eastAsia" w:ascii="仿宋_GB2312" w:hAnsi="仿宋_GB2312" w:eastAsia="仿宋_GB2312" w:cs="仿宋_GB2312"/>
          <w:color w:val="000000"/>
          <w:sz w:val="32"/>
          <w:szCs w:val="32"/>
        </w:rPr>
        <w:t>%）。</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2019</w:t>
      </w:r>
      <w:r>
        <w:rPr>
          <w:rFonts w:hint="eastAsia" w:ascii="仿宋_GB2312" w:hAnsi="仿宋_GB2312" w:eastAsia="仿宋_GB2312" w:cs="仿宋_GB2312"/>
          <w:color w:val="000000"/>
          <w:sz w:val="32"/>
          <w:szCs w:val="32"/>
        </w:rPr>
        <w:t>年年末结转和结余</w:t>
      </w:r>
      <w:r>
        <w:rPr>
          <w:rFonts w:hint="eastAsia" w:ascii="仿宋_GB2312" w:hAnsi="仿宋_GB2312" w:eastAsia="仿宋_GB2312" w:cs="仿宋_GB2312"/>
          <w:color w:val="000000"/>
          <w:sz w:val="32"/>
          <w:szCs w:val="32"/>
          <w:lang w:val="en-US" w:eastAsia="zh-CN"/>
        </w:rPr>
        <w:t>10.69</w:t>
      </w:r>
      <w:r>
        <w:rPr>
          <w:rFonts w:hint="eastAsia" w:ascii="仿宋_GB2312" w:hAnsi="仿宋_GB2312" w:eastAsia="仿宋_GB2312" w:cs="仿宋_GB2312"/>
          <w:color w:val="000000"/>
          <w:sz w:val="32"/>
          <w:szCs w:val="32"/>
        </w:rPr>
        <w:t>万元，其中：项目支出结转和结余</w:t>
      </w:r>
      <w:r>
        <w:rPr>
          <w:rFonts w:hint="eastAsia" w:ascii="仿宋_GB2312" w:hAnsi="仿宋_GB2312" w:eastAsia="仿宋_GB2312" w:cs="仿宋_GB2312"/>
          <w:color w:val="000000"/>
          <w:sz w:val="32"/>
          <w:szCs w:val="32"/>
          <w:lang w:val="en-US" w:eastAsia="zh-CN"/>
        </w:rPr>
        <w:t>10.69</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w:t>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_GB2312" w:hAnsi="仿宋_GB2312" w:eastAsia="仿宋_GB2312" w:cs="仿宋_GB2312"/>
          <w:color w:val="000000"/>
          <w:sz w:val="32"/>
          <w:szCs w:val="32"/>
        </w:rPr>
        <w:t>与</w:t>
      </w:r>
      <w:r>
        <w:rPr>
          <w:rFonts w:hint="eastAsia" w:ascii="仿宋_GB2312" w:hAnsi="仿宋_GB2312" w:eastAsia="仿宋_GB2312" w:cs="仿宋_GB2312"/>
          <w:color w:val="000000"/>
          <w:sz w:val="32"/>
          <w:szCs w:val="32"/>
          <w:lang w:val="en-US" w:eastAsia="zh-CN"/>
        </w:rPr>
        <w:t>2018</w:t>
      </w:r>
      <w:r>
        <w:rPr>
          <w:rFonts w:hint="eastAsia" w:ascii="仿宋_GB2312" w:hAnsi="仿宋_GB2312" w:eastAsia="仿宋_GB2312" w:cs="仿宋_GB2312"/>
          <w:color w:val="000000"/>
          <w:sz w:val="32"/>
          <w:szCs w:val="32"/>
        </w:rPr>
        <w:t>年相比，总收入增加</w:t>
      </w:r>
      <w:r>
        <w:rPr>
          <w:rFonts w:hint="eastAsia" w:ascii="仿宋_GB2312" w:hAnsi="仿宋_GB2312" w:eastAsia="仿宋_GB2312" w:cs="仿宋_GB2312"/>
          <w:color w:val="000000"/>
          <w:sz w:val="32"/>
          <w:szCs w:val="32"/>
          <w:lang w:val="en-US" w:eastAsia="zh-CN"/>
        </w:rPr>
        <w:t>24.61</w:t>
      </w:r>
      <w:r>
        <w:rPr>
          <w:rFonts w:hint="eastAsia" w:ascii="仿宋_GB2312" w:hAnsi="仿宋_GB2312" w:eastAsia="仿宋_GB2312" w:cs="仿宋_GB2312"/>
          <w:color w:val="000000"/>
          <w:sz w:val="32"/>
          <w:szCs w:val="32"/>
        </w:rPr>
        <w:t>万元，增长</w:t>
      </w:r>
      <w:r>
        <w:rPr>
          <w:rFonts w:hint="eastAsia" w:ascii="仿宋_GB2312" w:hAnsi="仿宋_GB2312" w:eastAsia="仿宋_GB2312" w:cs="仿宋_GB2312"/>
          <w:color w:val="000000"/>
          <w:sz w:val="32"/>
          <w:szCs w:val="32"/>
          <w:lang w:val="en-US" w:eastAsia="zh-CN"/>
        </w:rPr>
        <w:t>2.56</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总支出增加</w:t>
      </w:r>
      <w:r>
        <w:rPr>
          <w:rFonts w:hint="eastAsia" w:ascii="仿宋_GB2312" w:hAnsi="仿宋_GB2312" w:eastAsia="仿宋_GB2312" w:cs="仿宋_GB2312"/>
          <w:color w:val="000000"/>
          <w:sz w:val="32"/>
          <w:szCs w:val="32"/>
          <w:lang w:val="en-US" w:eastAsia="zh-CN"/>
        </w:rPr>
        <w:t>84.62</w:t>
      </w:r>
      <w:r>
        <w:rPr>
          <w:rFonts w:hint="eastAsia" w:ascii="仿宋_GB2312" w:hAnsi="仿宋_GB2312" w:eastAsia="仿宋_GB2312" w:cs="仿宋_GB2312"/>
          <w:color w:val="000000"/>
          <w:sz w:val="32"/>
          <w:szCs w:val="32"/>
        </w:rPr>
        <w:t>万元，增长</w:t>
      </w:r>
      <w:r>
        <w:rPr>
          <w:rFonts w:hint="eastAsia" w:ascii="仿宋_GB2312" w:hAnsi="仿宋_GB2312" w:eastAsia="仿宋_GB2312" w:cs="仿宋_GB2312"/>
          <w:color w:val="000000"/>
          <w:sz w:val="32"/>
          <w:szCs w:val="32"/>
          <w:lang w:val="en-US" w:eastAsia="zh-CN"/>
        </w:rPr>
        <w:t>8.35</w:t>
      </w:r>
      <w:r>
        <w:rPr>
          <w:rFonts w:hint="eastAsia" w:ascii="仿宋_GB2312" w:hAnsi="仿宋_GB2312" w:eastAsia="仿宋_GB2312" w:cs="仿宋_GB2312"/>
          <w:color w:val="000000"/>
          <w:sz w:val="32"/>
          <w:szCs w:val="32"/>
        </w:rPr>
        <w:t>%。</w:t>
      </w:r>
      <w:r>
        <w:rPr>
          <w:rFonts w:hint="eastAsia" w:ascii="仿宋" w:hAnsi="仿宋" w:eastAsia="仿宋"/>
          <w:color w:val="000000"/>
          <w:sz w:val="32"/>
          <w:szCs w:val="32"/>
        </w:rPr>
        <w:t>主要变动原因是人员增加和项目经费支出增加</w:t>
      </w:r>
      <w:r>
        <w:rPr>
          <w:rFonts w:hint="eastAsia" w:ascii="仿宋_GB2312" w:hAnsi="仿宋_GB2312" w:eastAsia="仿宋_GB2312" w:cs="仿宋_GB2312"/>
          <w:color w:val="000000"/>
          <w:sz w:val="32"/>
          <w:szCs w:val="32"/>
        </w:rPr>
        <w:t>。</w:t>
      </w:r>
    </w:p>
    <w:p>
      <w:pPr>
        <w:spacing w:line="600" w:lineRule="exact"/>
        <w:ind w:firstLine="640" w:firstLineChars="200"/>
        <w:rPr>
          <w:rFonts w:ascii="仿宋_GB2312" w:eastAsia="仿宋_GB2312"/>
          <w:color w:val="000000"/>
          <w:sz w:val="32"/>
          <w:szCs w:val="32"/>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935" distR="114935" simplePos="0" relativeHeight="251660288" behindDoc="1" locked="0" layoutInCell="1" allowOverlap="1">
            <wp:simplePos x="0" y="0"/>
            <wp:positionH relativeFrom="column">
              <wp:posOffset>-13970</wp:posOffset>
            </wp:positionH>
            <wp:positionV relativeFrom="paragraph">
              <wp:posOffset>7620</wp:posOffset>
            </wp:positionV>
            <wp:extent cx="5054600" cy="2159000"/>
            <wp:effectExtent l="4445" t="4445" r="8255" b="8255"/>
            <wp:wrapTight wrapText="bothSides">
              <wp:wrapPolygon>
                <wp:start x="-19" y="-44"/>
                <wp:lineTo x="-19" y="21492"/>
                <wp:lineTo x="21554" y="21492"/>
                <wp:lineTo x="21554" y="-44"/>
                <wp:lineTo x="-19" y="-44"/>
              </wp:wrapPolygon>
            </wp:wrapTight>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：收、支决算总计变动情况图）（柱状图）</w:t>
      </w:r>
    </w:p>
    <w:p>
      <w:pPr>
        <w:pStyle w:val="25"/>
        <w:numPr>
          <w:ilvl w:val="0"/>
          <w:numId w:val="2"/>
        </w:numPr>
        <w:spacing w:line="600" w:lineRule="exact"/>
        <w:ind w:firstLineChars="0"/>
        <w:outlineLvl w:val="1"/>
        <w:rPr>
          <w:rStyle w:val="27"/>
          <w:rFonts w:ascii="黑体" w:hAnsi="黑体" w:eastAsia="黑体"/>
          <w:b w:val="0"/>
        </w:rPr>
      </w:pPr>
      <w:bookmarkStart w:id="35" w:name="_Toc15377206"/>
      <w:bookmarkStart w:id="36" w:name="_Toc26006"/>
      <w:bookmarkStart w:id="37" w:name="_Toc15396604"/>
      <w:r>
        <w:rPr>
          <w:rFonts w:hint="eastAsia" w:ascii="黑体" w:hAnsi="黑体" w:eastAsia="黑体"/>
          <w:color w:val="000000"/>
          <w:sz w:val="32"/>
          <w:szCs w:val="32"/>
        </w:rPr>
        <w:t>收</w:t>
      </w:r>
      <w:r>
        <w:rPr>
          <w:rStyle w:val="27"/>
          <w:rFonts w:hint="eastAsia" w:ascii="黑体" w:hAnsi="黑体" w:eastAsia="黑体"/>
          <w:b w:val="0"/>
        </w:rPr>
        <w:t>入决算情况说明</w:t>
      </w:r>
      <w:bookmarkEnd w:id="35"/>
      <w:bookmarkEnd w:id="36"/>
      <w:bookmarkEnd w:id="37"/>
    </w:p>
    <w:p>
      <w:pPr>
        <w:spacing w:line="600" w:lineRule="exact"/>
        <w:ind w:firstLine="640" w:firstLineChars="200"/>
        <w:outlineLvl w:val="1"/>
        <w:rPr>
          <w:rFonts w:hint="eastAsia" w:ascii="仿宋" w:hAnsi="仿宋" w:eastAsia="仿宋"/>
          <w:color w:val="000000" w:themeColor="text1"/>
          <w:sz w:val="32"/>
          <w:szCs w:val="32"/>
          <w14:textFill>
            <w14:solidFill>
              <w14:schemeClr w14:val="tx1"/>
            </w14:solidFill>
          </w14:textFill>
        </w:rPr>
      </w:pPr>
      <w:bookmarkStart w:id="38" w:name="_Toc22194"/>
      <w:r>
        <w:rPr>
          <w:rFonts w:hint="eastAsia" w:ascii="仿宋_GB2312" w:hAnsi="仿宋_GB2312" w:eastAsia="仿宋_GB2312" w:cs="仿宋_GB2312"/>
          <w:color w:val="000000"/>
          <w:sz w:val="32"/>
          <w:szCs w:val="32"/>
        </w:rPr>
        <w:t>2019年本年收入合计</w:t>
      </w:r>
      <w:r>
        <w:rPr>
          <w:rFonts w:hint="eastAsia" w:ascii="仿宋_GB2312" w:hAnsi="仿宋_GB2312" w:eastAsia="仿宋_GB2312" w:cs="仿宋_GB2312"/>
          <w:color w:val="000000"/>
          <w:sz w:val="32"/>
          <w:szCs w:val="32"/>
          <w:lang w:val="en-US" w:eastAsia="zh-CN"/>
        </w:rPr>
        <w:t>984.56</w:t>
      </w:r>
      <w:r>
        <w:rPr>
          <w:rFonts w:hint="eastAsia" w:ascii="仿宋_GB2312" w:hAnsi="仿宋_GB2312" w:eastAsia="仿宋_GB2312" w:cs="仿宋_GB2312"/>
          <w:color w:val="000000"/>
          <w:sz w:val="32"/>
          <w:szCs w:val="32"/>
        </w:rPr>
        <w:t>万元，其中：一般公共预算财政拨款收入</w:t>
      </w:r>
      <w:r>
        <w:rPr>
          <w:rFonts w:hint="eastAsia" w:ascii="仿宋_GB2312" w:hAnsi="仿宋_GB2312" w:eastAsia="仿宋_GB2312" w:cs="仿宋_GB2312"/>
          <w:color w:val="000000"/>
          <w:sz w:val="32"/>
          <w:szCs w:val="32"/>
          <w:lang w:val="en-US" w:eastAsia="zh-CN"/>
        </w:rPr>
        <w:t>984.56</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%；政府性基金预算财政拨款收入</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themeColor="text1"/>
          <w:sz w:val="32"/>
          <w:szCs w:val="32"/>
          <w14:textFill>
            <w14:solidFill>
              <w14:schemeClr w14:val="tx1"/>
            </w14:solidFill>
          </w14:textFill>
        </w:rPr>
        <w:t>上级补助收入</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%；事业收入</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%；经营收入</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%；附属单位上缴收入</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%；其他收入</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w:t>
      </w:r>
      <w:bookmarkEnd w:id="38"/>
    </w:p>
    <w:p>
      <w:pPr>
        <w:spacing w:line="600" w:lineRule="exact"/>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300" distR="114300" simplePos="0" relativeHeight="251748352" behindDoc="1" locked="0" layoutInCell="1" allowOverlap="1">
            <wp:simplePos x="0" y="0"/>
            <wp:positionH relativeFrom="column">
              <wp:posOffset>128270</wp:posOffset>
            </wp:positionH>
            <wp:positionV relativeFrom="paragraph">
              <wp:posOffset>108585</wp:posOffset>
            </wp:positionV>
            <wp:extent cx="4757420" cy="2003425"/>
            <wp:effectExtent l="4445" t="4445" r="19685" b="11430"/>
            <wp:wrapTight wrapText="bothSides">
              <wp:wrapPolygon>
                <wp:start x="-20" y="-48"/>
                <wp:lineTo x="-20" y="21518"/>
                <wp:lineTo x="21516" y="21518"/>
                <wp:lineTo x="21516" y="-48"/>
                <wp:lineTo x="-20" y="-48"/>
              </wp:wrapPolygon>
            </wp:wrapTight>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rPr>
          <w:rFonts w:ascii="仿宋_GB2312" w:eastAsia="仿宋_GB2312"/>
          <w:color w:val="FF0000"/>
          <w:sz w:val="32"/>
          <w:szCs w:val="32"/>
        </w:rPr>
      </w:pPr>
      <w:r>
        <w:rPr>
          <w:rFonts w:hint="eastAsia" w:ascii="仿宋" w:hAnsi="仿宋" w:eastAsia="仿宋"/>
          <w:color w:val="000000" w:themeColor="text1"/>
          <w:sz w:val="32"/>
          <w:szCs w:val="32"/>
          <w14:textFill>
            <w14:solidFill>
              <w14:schemeClr w14:val="tx1"/>
            </w14:solidFill>
          </w14:textFill>
        </w:rPr>
        <w:t>（图2：收入决算结构图）（饼状图）</w:t>
      </w:r>
    </w:p>
    <w:p>
      <w:pPr>
        <w:pStyle w:val="25"/>
        <w:numPr>
          <w:ilvl w:val="0"/>
          <w:numId w:val="2"/>
        </w:numPr>
        <w:spacing w:line="600" w:lineRule="exact"/>
        <w:ind w:firstLineChars="0"/>
        <w:outlineLvl w:val="1"/>
        <w:rPr>
          <w:rStyle w:val="27"/>
          <w:rFonts w:ascii="黑体" w:hAnsi="黑体" w:eastAsia="黑体"/>
          <w:b w:val="0"/>
        </w:rPr>
      </w:pPr>
      <w:bookmarkStart w:id="39" w:name="_Toc15377207"/>
      <w:bookmarkStart w:id="40" w:name="_Toc15396605"/>
      <w:bookmarkStart w:id="41" w:name="_Toc15528"/>
      <w:r>
        <w:rPr>
          <w:rFonts w:hint="eastAsia" w:ascii="黑体" w:hAnsi="黑体" w:eastAsia="黑体"/>
          <w:color w:val="000000"/>
          <w:sz w:val="32"/>
          <w:szCs w:val="32"/>
        </w:rPr>
        <w:t>支</w:t>
      </w:r>
      <w:r>
        <w:rPr>
          <w:rStyle w:val="27"/>
          <w:rFonts w:hint="eastAsia" w:ascii="黑体" w:hAnsi="黑体" w:eastAsia="黑体"/>
          <w:b w:val="0"/>
        </w:rPr>
        <w:t>出决算情况说明</w:t>
      </w:r>
      <w:bookmarkEnd w:id="39"/>
      <w:bookmarkEnd w:id="40"/>
      <w:bookmarkEnd w:id="41"/>
    </w:p>
    <w:p>
      <w:pPr>
        <w:spacing w:line="600" w:lineRule="exact"/>
        <w:ind w:firstLine="640" w:firstLineChars="200"/>
        <w:outlineLvl w:val="1"/>
        <w:rPr>
          <w:rFonts w:hint="eastAsia" w:ascii="仿宋_GB2312" w:hAnsi="仿宋_GB2312" w:eastAsia="仿宋_GB2312" w:cs="仿宋_GB2312"/>
          <w:color w:val="000000"/>
          <w:sz w:val="32"/>
          <w:szCs w:val="32"/>
        </w:rPr>
      </w:pPr>
      <w:bookmarkStart w:id="42" w:name="_Toc10457"/>
      <w:r>
        <w:rPr>
          <w:rFonts w:hint="eastAsia" w:ascii="仿宋_GB2312" w:hAnsi="仿宋_GB2312" w:eastAsia="仿宋_GB2312" w:cs="仿宋_GB2312"/>
          <w:color w:val="000000"/>
          <w:sz w:val="32"/>
          <w:szCs w:val="32"/>
        </w:rPr>
        <w:t>2019年本年支出合计</w:t>
      </w:r>
      <w:r>
        <w:rPr>
          <w:rFonts w:hint="eastAsia" w:ascii="仿宋_GB2312" w:hAnsi="仿宋_GB2312" w:eastAsia="仿宋_GB2312" w:cs="仿宋_GB2312"/>
          <w:color w:val="000000"/>
          <w:sz w:val="32"/>
          <w:szCs w:val="32"/>
          <w:lang w:val="en-US" w:eastAsia="zh-CN"/>
        </w:rPr>
        <w:t>1098.09</w:t>
      </w:r>
      <w:r>
        <w:rPr>
          <w:rFonts w:hint="eastAsia" w:ascii="仿宋_GB2312" w:hAnsi="仿宋_GB2312" w:eastAsia="仿宋_GB2312" w:cs="仿宋_GB2312"/>
          <w:color w:val="000000"/>
          <w:sz w:val="32"/>
          <w:szCs w:val="32"/>
        </w:rPr>
        <w:t>万元，其中：基本支出</w:t>
      </w:r>
      <w:r>
        <w:rPr>
          <w:rFonts w:hint="eastAsia" w:ascii="仿宋_GB2312" w:hAnsi="仿宋_GB2312" w:eastAsia="仿宋_GB2312" w:cs="仿宋_GB2312"/>
          <w:color w:val="000000"/>
          <w:sz w:val="32"/>
          <w:szCs w:val="32"/>
          <w:lang w:val="en-US" w:eastAsia="zh-CN"/>
        </w:rPr>
        <w:t>577.2</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52.56</w:t>
      </w:r>
      <w:r>
        <w:rPr>
          <w:rFonts w:hint="eastAsia" w:ascii="仿宋_GB2312" w:hAnsi="仿宋_GB2312" w:eastAsia="仿宋_GB2312" w:cs="仿宋_GB2312"/>
          <w:color w:val="000000"/>
          <w:sz w:val="32"/>
          <w:szCs w:val="32"/>
        </w:rPr>
        <w:t>%；项目支出</w:t>
      </w:r>
      <w:r>
        <w:rPr>
          <w:rFonts w:hint="eastAsia" w:ascii="仿宋_GB2312" w:hAnsi="仿宋_GB2312" w:eastAsia="仿宋_GB2312" w:cs="仿宋_GB2312"/>
          <w:color w:val="000000"/>
          <w:sz w:val="32"/>
          <w:szCs w:val="32"/>
          <w:lang w:val="en-US" w:eastAsia="zh-CN"/>
        </w:rPr>
        <w:t>520.89</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47.44</w:t>
      </w:r>
      <w:r>
        <w:rPr>
          <w:rFonts w:hint="eastAsia" w:ascii="仿宋_GB2312" w:hAnsi="仿宋_GB2312" w:eastAsia="仿宋_GB2312" w:cs="仿宋_GB2312"/>
          <w:color w:val="000000"/>
          <w:sz w:val="32"/>
          <w:szCs w:val="32"/>
        </w:rPr>
        <w:t>%；上缴上级支出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%；经营支</w:t>
      </w:r>
      <w:r>
        <w:rPr>
          <w:rFonts w:hint="eastAsia" w:ascii="仿宋_GB2312" w:hAnsi="仿宋_GB2312" w:eastAsia="仿宋_GB2312" w:cs="仿宋_GB2312"/>
          <w:color w:val="000000"/>
          <w:sz w:val="32"/>
          <w:szCs w:val="32"/>
          <w:lang w:val="en-US" w:eastAsia="zh-CN"/>
        </w:rPr>
        <w:t>出0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%；对附属单位补助支出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w:t>
      </w:r>
      <w:bookmarkEnd w:id="42"/>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935" distR="114935" simplePos="0" relativeHeight="251663360" behindDoc="1" locked="0" layoutInCell="1" allowOverlap="1">
            <wp:simplePos x="0" y="0"/>
            <wp:positionH relativeFrom="column">
              <wp:posOffset>233045</wp:posOffset>
            </wp:positionH>
            <wp:positionV relativeFrom="paragraph">
              <wp:posOffset>4445</wp:posOffset>
            </wp:positionV>
            <wp:extent cx="4815840" cy="1490345"/>
            <wp:effectExtent l="5080" t="5080" r="17780" b="9525"/>
            <wp:wrapTight wrapText="bothSides">
              <wp:wrapPolygon>
                <wp:start x="-23" y="-74"/>
                <wp:lineTo x="-23" y="21462"/>
                <wp:lineTo x="21509" y="21462"/>
                <wp:lineTo x="21509" y="-74"/>
                <wp:lineTo x="-23" y="-74"/>
              </wp:wrapPolygon>
            </wp:wrapTight>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_GB2312" w:eastAsia="仿宋_GB2312"/>
          <w:color w:val="FF0000"/>
          <w:sz w:val="32"/>
          <w:szCs w:val="32"/>
        </w:rPr>
      </w:pPr>
      <w:r>
        <w:rPr>
          <w:rFonts w:hint="eastAsia" w:ascii="仿宋" w:hAnsi="仿宋" w:eastAsia="仿宋"/>
          <w:color w:val="000000" w:themeColor="text1"/>
          <w:sz w:val="32"/>
          <w:szCs w:val="32"/>
          <w14:textFill>
            <w14:solidFill>
              <w14:schemeClr w14:val="tx1"/>
            </w14:solidFill>
          </w14:textFill>
        </w:rPr>
        <w:t>（图3：支出决算结构图）（饼状图）</w:t>
      </w:r>
    </w:p>
    <w:p>
      <w:pPr>
        <w:spacing w:line="600" w:lineRule="exact"/>
        <w:ind w:firstLine="640" w:firstLineChars="200"/>
        <w:outlineLvl w:val="1"/>
        <w:rPr>
          <w:rStyle w:val="27"/>
          <w:rFonts w:ascii="黑体" w:hAnsi="黑体" w:eastAsia="黑体"/>
          <w:b w:val="0"/>
        </w:rPr>
      </w:pPr>
      <w:bookmarkStart w:id="43" w:name="_Toc27709"/>
      <w:bookmarkStart w:id="44" w:name="_Toc15396606"/>
      <w:bookmarkStart w:id="45" w:name="_Toc15377208"/>
      <w:r>
        <w:rPr>
          <w:rFonts w:hint="eastAsia" w:ascii="黑体" w:hAnsi="黑体" w:eastAsia="黑体"/>
          <w:color w:val="000000"/>
          <w:sz w:val="32"/>
          <w:szCs w:val="32"/>
        </w:rPr>
        <w:t>四、财</w:t>
      </w:r>
      <w:r>
        <w:rPr>
          <w:rStyle w:val="27"/>
          <w:rFonts w:hint="eastAsia" w:ascii="黑体" w:hAnsi="黑体" w:eastAsia="黑体"/>
          <w:b w:val="0"/>
        </w:rPr>
        <w:t>政拨款收入支出决算总体情况说明</w:t>
      </w:r>
      <w:bookmarkEnd w:id="43"/>
      <w:bookmarkEnd w:id="44"/>
      <w:bookmarkEnd w:id="45"/>
    </w:p>
    <w:p>
      <w:pPr>
        <w:spacing w:line="600" w:lineRule="exact"/>
        <w:ind w:firstLine="640"/>
        <w:rPr>
          <w:rFonts w:hint="eastAsia" w:ascii="仿宋" w:hAnsi="仿宋" w:eastAsia="仿宋_GB2312"/>
          <w:color w:val="000000"/>
          <w:sz w:val="32"/>
          <w:szCs w:val="32"/>
          <w:lang w:eastAsia="zh-CN"/>
        </w:rPr>
      </w:pPr>
      <w:r>
        <w:rPr>
          <w:rFonts w:ascii="仿宋" w:hAnsi="仿宋" w:eastAsia="仿宋"/>
          <w:color w:val="000000"/>
          <w:sz w:val="32"/>
          <w:szCs w:val="32"/>
        </w:rPr>
        <w:t>201</w:t>
      </w:r>
      <w:r>
        <w:rPr>
          <w:rFonts w:hint="eastAsia" w:ascii="仿宋" w:hAnsi="仿宋" w:eastAsia="仿宋"/>
          <w:color w:val="000000"/>
          <w:sz w:val="32"/>
          <w:szCs w:val="32"/>
        </w:rPr>
        <w:t>9年财政拨款收</w:t>
      </w:r>
      <w:r>
        <w:rPr>
          <w:rFonts w:hint="eastAsia" w:ascii="仿宋" w:hAnsi="仿宋" w:eastAsia="仿宋"/>
          <w:color w:val="000000"/>
          <w:sz w:val="32"/>
          <w:szCs w:val="32"/>
          <w:lang w:val="en-US" w:eastAsia="zh-CN"/>
        </w:rPr>
        <w:t>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984.56</w:t>
      </w:r>
      <w:r>
        <w:rPr>
          <w:rFonts w:hint="eastAsia" w:ascii="仿宋" w:hAnsi="仿宋" w:eastAsia="仿宋"/>
          <w:color w:val="000000"/>
          <w:sz w:val="32"/>
          <w:szCs w:val="32"/>
        </w:rPr>
        <w:t>万元。与</w:t>
      </w:r>
      <w:r>
        <w:rPr>
          <w:rFonts w:ascii="仿宋" w:hAnsi="仿宋" w:eastAsia="仿宋"/>
          <w:color w:val="000000"/>
          <w:sz w:val="32"/>
          <w:szCs w:val="32"/>
        </w:rPr>
        <w:t>201</w:t>
      </w:r>
      <w:r>
        <w:rPr>
          <w:rFonts w:hint="eastAsia" w:ascii="仿宋" w:hAnsi="仿宋" w:eastAsia="仿宋"/>
          <w:color w:val="000000"/>
          <w:sz w:val="32"/>
          <w:szCs w:val="32"/>
        </w:rPr>
        <w:t>8年相比，财政拨款收</w:t>
      </w:r>
      <w:r>
        <w:rPr>
          <w:rFonts w:hint="eastAsia" w:ascii="仿宋" w:hAnsi="仿宋" w:eastAsia="仿宋"/>
          <w:color w:val="000000"/>
          <w:sz w:val="32"/>
          <w:szCs w:val="32"/>
          <w:lang w:val="en-US" w:eastAsia="zh-CN"/>
        </w:rPr>
        <w:t>入</w:t>
      </w:r>
      <w:r>
        <w:rPr>
          <w:rFonts w:hint="eastAsia" w:ascii="仿宋" w:hAnsi="仿宋" w:eastAsia="仿宋"/>
          <w:color w:val="000000"/>
          <w:sz w:val="32"/>
          <w:szCs w:val="32"/>
        </w:rPr>
        <w:t>增加</w:t>
      </w:r>
      <w:r>
        <w:rPr>
          <w:rFonts w:hint="eastAsia" w:ascii="仿宋" w:hAnsi="仿宋" w:eastAsia="仿宋"/>
          <w:color w:val="000000"/>
          <w:sz w:val="32"/>
          <w:szCs w:val="32"/>
          <w:lang w:val="en-US" w:eastAsia="zh-CN"/>
        </w:rPr>
        <w:t>24.61</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2.56</w:t>
      </w:r>
      <w:r>
        <w:rPr>
          <w:rFonts w:ascii="仿宋" w:hAnsi="仿宋" w:eastAsia="仿宋"/>
          <w:color w:val="000000"/>
          <w:sz w:val="32"/>
          <w:szCs w:val="32"/>
        </w:rPr>
        <w:t>%</w:t>
      </w:r>
      <w:r>
        <w:rPr>
          <w:rFonts w:hint="eastAsia" w:ascii="仿宋" w:hAnsi="仿宋" w:eastAsia="仿宋"/>
          <w:color w:val="000000"/>
          <w:sz w:val="32"/>
          <w:szCs w:val="32"/>
        </w:rPr>
        <w:t>。</w:t>
      </w:r>
      <w:r>
        <w:rPr>
          <w:rFonts w:ascii="仿宋" w:hAnsi="仿宋" w:eastAsia="仿宋"/>
          <w:color w:val="000000"/>
          <w:sz w:val="32"/>
          <w:szCs w:val="32"/>
        </w:rPr>
        <w:t>201</w:t>
      </w:r>
      <w:r>
        <w:rPr>
          <w:rFonts w:hint="eastAsia" w:ascii="仿宋" w:hAnsi="仿宋" w:eastAsia="仿宋"/>
          <w:color w:val="000000"/>
          <w:sz w:val="32"/>
          <w:szCs w:val="32"/>
        </w:rPr>
        <w:t>9年财政拨款</w:t>
      </w:r>
      <w:r>
        <w:rPr>
          <w:rFonts w:hint="eastAsia" w:ascii="仿宋" w:hAnsi="仿宋" w:eastAsia="仿宋"/>
          <w:color w:val="000000"/>
          <w:sz w:val="32"/>
          <w:szCs w:val="32"/>
          <w:lang w:val="en-US" w:eastAsia="zh-CN"/>
        </w:rPr>
        <w:t>支出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1098.56</w:t>
      </w:r>
      <w:r>
        <w:rPr>
          <w:rFonts w:hint="eastAsia" w:ascii="仿宋" w:hAnsi="仿宋" w:eastAsia="仿宋"/>
          <w:color w:val="000000"/>
          <w:sz w:val="32"/>
          <w:szCs w:val="32"/>
        </w:rPr>
        <w:t>万元。与</w:t>
      </w:r>
      <w:r>
        <w:rPr>
          <w:rFonts w:ascii="仿宋" w:hAnsi="仿宋" w:eastAsia="仿宋"/>
          <w:color w:val="000000"/>
          <w:sz w:val="32"/>
          <w:szCs w:val="32"/>
        </w:rPr>
        <w:t>201</w:t>
      </w:r>
      <w:r>
        <w:rPr>
          <w:rFonts w:hint="eastAsia" w:ascii="仿宋" w:hAnsi="仿宋" w:eastAsia="仿宋"/>
          <w:color w:val="000000"/>
          <w:sz w:val="32"/>
          <w:szCs w:val="32"/>
        </w:rPr>
        <w:t>8年相比，财政拨款</w:t>
      </w:r>
      <w:r>
        <w:rPr>
          <w:rFonts w:hint="eastAsia" w:ascii="仿宋" w:hAnsi="仿宋" w:eastAsia="仿宋"/>
          <w:color w:val="000000"/>
          <w:sz w:val="32"/>
          <w:szCs w:val="32"/>
          <w:lang w:val="en-US" w:eastAsia="zh-CN"/>
        </w:rPr>
        <w:t>支出</w:t>
      </w:r>
      <w:r>
        <w:rPr>
          <w:rFonts w:hint="eastAsia" w:ascii="仿宋" w:hAnsi="仿宋" w:eastAsia="仿宋"/>
          <w:color w:val="000000"/>
          <w:sz w:val="32"/>
          <w:szCs w:val="32"/>
        </w:rPr>
        <w:t>增加</w:t>
      </w:r>
      <w:r>
        <w:rPr>
          <w:rFonts w:hint="eastAsia" w:ascii="仿宋" w:hAnsi="仿宋" w:eastAsia="仿宋"/>
          <w:color w:val="000000"/>
          <w:sz w:val="32"/>
          <w:szCs w:val="32"/>
          <w:lang w:val="en-US" w:eastAsia="zh-CN"/>
        </w:rPr>
        <w:t>84.62</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8.35</w:t>
      </w:r>
      <w:r>
        <w:rPr>
          <w:rFonts w:ascii="仿宋" w:hAnsi="仿宋" w:eastAsia="仿宋"/>
          <w:color w:val="000000"/>
          <w:sz w:val="32"/>
          <w:szCs w:val="32"/>
        </w:rPr>
        <w:t>%</w:t>
      </w:r>
      <w:r>
        <w:rPr>
          <w:rFonts w:hint="eastAsia" w:ascii="仿宋" w:hAnsi="仿宋" w:eastAsia="仿宋"/>
          <w:color w:val="000000"/>
          <w:sz w:val="32"/>
          <w:szCs w:val="32"/>
        </w:rPr>
        <w:t>。主要变动原因是人员增加和项目经费支出增加</w:t>
      </w:r>
      <w:r>
        <w:rPr>
          <w:rFonts w:hint="eastAsia" w:ascii="仿宋_GB2312" w:hAnsi="仿宋_GB2312" w:eastAsia="仿宋_GB2312" w:cs="仿宋_GB2312"/>
          <w:color w:val="000000"/>
          <w:sz w:val="32"/>
          <w:szCs w:val="32"/>
          <w:lang w:eastAsia="zh-CN"/>
        </w:rPr>
        <w:t>。</w:t>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highlight w:val="none"/>
          <w:lang w:eastAsia="zh-CN"/>
          <w14:textFill>
            <w14:solidFill>
              <w14:schemeClr w14:val="tx1"/>
            </w14:solidFill>
          </w14:textFill>
        </w:rPr>
        <w:drawing>
          <wp:anchor distT="0" distB="0" distL="114935" distR="114935" simplePos="0" relativeHeight="251667456" behindDoc="1" locked="0" layoutInCell="1" allowOverlap="1">
            <wp:simplePos x="0" y="0"/>
            <wp:positionH relativeFrom="column">
              <wp:posOffset>204470</wp:posOffset>
            </wp:positionH>
            <wp:positionV relativeFrom="paragraph">
              <wp:posOffset>76200</wp:posOffset>
            </wp:positionV>
            <wp:extent cx="4709160" cy="2547620"/>
            <wp:effectExtent l="4445" t="4445" r="10795" b="19685"/>
            <wp:wrapTight wrapText="bothSides">
              <wp:wrapPolygon>
                <wp:start x="-20" y="-38"/>
                <wp:lineTo x="-20" y="21444"/>
                <wp:lineTo x="21562" y="21444"/>
                <wp:lineTo x="21562" y="-38"/>
                <wp:lineTo x="-20" y="-38"/>
              </wp:wrapPolygon>
            </wp:wrapTight>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b/>
          <w:color w:val="00B050"/>
          <w:sz w:val="32"/>
          <w:szCs w:val="32"/>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pPr>
        <w:spacing w:line="600" w:lineRule="exact"/>
        <w:ind w:firstLine="640" w:firstLineChars="200"/>
        <w:outlineLvl w:val="1"/>
        <w:rPr>
          <w:rStyle w:val="27"/>
          <w:rFonts w:ascii="黑体" w:hAnsi="黑体" w:eastAsia="黑体"/>
          <w:b w:val="0"/>
        </w:rPr>
      </w:pPr>
      <w:bookmarkStart w:id="46" w:name="_Toc15396607"/>
      <w:bookmarkStart w:id="47" w:name="_Toc15377209"/>
      <w:bookmarkStart w:id="48" w:name="_Toc9113"/>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7"/>
          <w:rFonts w:hint="eastAsia" w:ascii="黑体" w:hAnsi="黑体" w:eastAsia="黑体"/>
          <w:b w:val="0"/>
        </w:rPr>
        <w:t>般公共预算财政拨款支出决算情况说明</w:t>
      </w:r>
      <w:bookmarkEnd w:id="46"/>
      <w:bookmarkEnd w:id="47"/>
      <w:bookmarkEnd w:id="48"/>
    </w:p>
    <w:p>
      <w:pPr>
        <w:spacing w:line="600" w:lineRule="exact"/>
        <w:ind w:firstLine="643" w:firstLineChars="200"/>
        <w:outlineLvl w:val="2"/>
        <w:rPr>
          <w:rFonts w:ascii="仿宋" w:hAnsi="仿宋" w:eastAsia="仿宋"/>
          <w:b/>
          <w:color w:val="000000"/>
          <w:sz w:val="32"/>
          <w:szCs w:val="32"/>
        </w:rPr>
      </w:pPr>
      <w:bookmarkStart w:id="49" w:name="_Toc15377210"/>
      <w:bookmarkStart w:id="50" w:name="_Toc27803"/>
      <w:r>
        <w:rPr>
          <w:rFonts w:hint="eastAsia" w:ascii="仿宋" w:hAnsi="仿宋" w:eastAsia="仿宋"/>
          <w:b/>
          <w:color w:val="000000"/>
          <w:sz w:val="32"/>
          <w:szCs w:val="32"/>
        </w:rPr>
        <w:t>（一）一般公共预算财政拨款支出决算总体情况</w:t>
      </w:r>
      <w:bookmarkEnd w:id="49"/>
      <w:bookmarkEnd w:id="50"/>
    </w:p>
    <w:p>
      <w:pPr>
        <w:spacing w:line="600" w:lineRule="exact"/>
        <w:rPr>
          <w:rFonts w:hint="eastAsia" w:ascii="仿宋" w:hAnsi="仿宋" w:eastAsia="仿宋"/>
          <w:color w:val="000000"/>
          <w:sz w:val="32"/>
          <w:szCs w:val="32"/>
          <w:lang w:eastAsia="zh-CN"/>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w:t>
      </w:r>
      <w:r>
        <w:rPr>
          <w:rFonts w:hint="eastAsia" w:ascii="仿宋" w:hAnsi="仿宋" w:eastAsia="仿宋"/>
          <w:color w:val="000000"/>
          <w:sz w:val="32"/>
          <w:szCs w:val="32"/>
          <w:lang w:val="en-US" w:eastAsia="zh-CN"/>
        </w:rPr>
        <w:t>850.58</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77.46</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8年相比，一般公共预算财政拨款增加</w:t>
      </w:r>
      <w:r>
        <w:rPr>
          <w:rFonts w:hint="eastAsia" w:ascii="仿宋" w:hAnsi="仿宋" w:eastAsia="仿宋"/>
          <w:color w:val="000000"/>
          <w:sz w:val="32"/>
          <w:szCs w:val="32"/>
          <w:lang w:val="en-US" w:eastAsia="zh-CN"/>
        </w:rPr>
        <w:t>161.44</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23.43</w:t>
      </w:r>
      <w:r>
        <w:rPr>
          <w:rFonts w:ascii="仿宋" w:hAnsi="仿宋" w:eastAsia="仿宋"/>
          <w:color w:val="000000"/>
          <w:sz w:val="32"/>
          <w:szCs w:val="32"/>
        </w:rPr>
        <w:t>%</w:t>
      </w:r>
      <w:r>
        <w:rPr>
          <w:rFonts w:hint="eastAsia" w:ascii="仿宋" w:hAnsi="仿宋" w:eastAsia="仿宋"/>
          <w:color w:val="000000"/>
          <w:sz w:val="32"/>
          <w:szCs w:val="32"/>
        </w:rPr>
        <w:t>。主要变动原因是人员增加和项目经费支出增加</w:t>
      </w:r>
      <w:r>
        <w:rPr>
          <w:rFonts w:hint="eastAsia" w:ascii="仿宋" w:hAnsi="仿宋" w:eastAsia="仿宋"/>
          <w:color w:val="000000"/>
          <w:sz w:val="32"/>
          <w:szCs w:val="32"/>
          <w:lang w:eastAsia="zh-CN"/>
        </w:rPr>
        <w:t>。</w:t>
      </w:r>
    </w:p>
    <w:p>
      <w:pPr>
        <w:pStyle w:val="2"/>
        <w:rPr>
          <w:rFonts w:hint="eastAsia"/>
          <w:lang w:val="en-US" w:eastAsia="zh-CN"/>
        </w:rPr>
      </w:pPr>
    </w:p>
    <w:p>
      <w:pPr>
        <w:spacing w:line="600" w:lineRule="exac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935" distR="114935" simplePos="0" relativeHeight="251682816" behindDoc="1" locked="0" layoutInCell="1" allowOverlap="1">
            <wp:simplePos x="0" y="0"/>
            <wp:positionH relativeFrom="column">
              <wp:posOffset>51435</wp:posOffset>
            </wp:positionH>
            <wp:positionV relativeFrom="paragraph">
              <wp:posOffset>33655</wp:posOffset>
            </wp:positionV>
            <wp:extent cx="5059045" cy="3130550"/>
            <wp:effectExtent l="4445" t="4445" r="22860" b="8255"/>
            <wp:wrapTight wrapText="bothSides">
              <wp:wrapPolygon>
                <wp:start x="-54" y="44"/>
                <wp:lineTo x="-54" y="21600"/>
                <wp:lineTo x="21581" y="21600"/>
                <wp:lineTo x="21581" y="44"/>
                <wp:lineTo x="-54" y="44"/>
              </wp:wrapPolygon>
            </wp:wrapTight>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 w:hAnsi="仿宋" w:eastAsia="仿宋"/>
          <w:color w:val="000000" w:themeColor="text1"/>
          <w:sz w:val="32"/>
          <w:szCs w:val="32"/>
          <w14:textFill>
            <w14:solidFill>
              <w14:schemeClr w14:val="tx1"/>
            </w14:solidFill>
          </w14:textFill>
        </w:rPr>
        <w:t>（图5：一般公共预算财政拨款支出决算变动情况）（柱状图）</w:t>
      </w:r>
    </w:p>
    <w:p>
      <w:pPr>
        <w:spacing w:line="600" w:lineRule="exact"/>
        <w:ind w:firstLine="643" w:firstLineChars="200"/>
        <w:outlineLvl w:val="2"/>
        <w:rPr>
          <w:rFonts w:ascii="仿宋" w:hAnsi="仿宋" w:eastAsia="仿宋"/>
          <w:b/>
          <w:color w:val="000000"/>
          <w:sz w:val="32"/>
          <w:szCs w:val="32"/>
        </w:rPr>
      </w:pPr>
      <w:bookmarkStart w:id="51" w:name="_Toc15377211"/>
      <w:bookmarkStart w:id="52" w:name="_Toc10567"/>
      <w:r>
        <w:rPr>
          <w:rFonts w:hint="eastAsia" w:ascii="仿宋" w:hAnsi="仿宋" w:eastAsia="仿宋"/>
          <w:b/>
          <w:color w:val="000000"/>
          <w:sz w:val="32"/>
          <w:szCs w:val="32"/>
        </w:rPr>
        <w:t>（二）一般公共预算财政拨款支出决算结构情况</w:t>
      </w:r>
      <w:bookmarkEnd w:id="51"/>
      <w:bookmarkEnd w:id="52"/>
    </w:p>
    <w:p>
      <w:pPr>
        <w:spacing w:line="600" w:lineRule="exact"/>
        <w:ind w:firstLine="640"/>
        <w:rPr>
          <w:rFonts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themeColor="text1"/>
          <w:sz w:val="32"/>
          <w:szCs w:val="32"/>
          <w:lang w:val="en-US" w:eastAsia="zh-CN"/>
          <w14:textFill>
            <w14:solidFill>
              <w14:schemeClr w14:val="tx1"/>
            </w14:solidFill>
          </w14:textFill>
        </w:rPr>
        <w:t>1098.09</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p>
    <w:p>
      <w:pPr>
        <w:spacing w:line="600" w:lineRule="exact"/>
        <w:ind w:firstLine="640"/>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一般公共服务（类）</w:t>
      </w:r>
      <w:r>
        <w:rPr>
          <w:rFonts w:hint="eastAsia" w:ascii="仿宋" w:hAnsi="仿宋" w:eastAsia="仿宋"/>
          <w:b/>
          <w:color w:val="000000" w:themeColor="text1"/>
          <w:sz w:val="32"/>
          <w:szCs w:val="32"/>
          <w:lang w:val="en-US" w:eastAsia="zh-CN"/>
          <w14:textFill>
            <w14:solidFill>
              <w14:schemeClr w14:val="tx1"/>
            </w14:solidFill>
          </w14:textFill>
        </w:rPr>
        <w:t>201</w:t>
      </w:r>
      <w:r>
        <w:rPr>
          <w:rFonts w:hint="eastAsia" w:ascii="仿宋" w:hAnsi="仿宋" w:eastAsia="仿宋"/>
          <w:b w:val="0"/>
          <w:bCs w:val="0"/>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850.57元，</w:t>
      </w:r>
      <w:r>
        <w:rPr>
          <w:rFonts w:hint="eastAsia" w:ascii="仿宋" w:hAnsi="仿宋" w:eastAsia="仿宋"/>
          <w:color w:val="000000" w:themeColor="text1"/>
          <w:sz w:val="32"/>
          <w:szCs w:val="32"/>
          <w14:textFill>
            <w14:solidFill>
              <w14:schemeClr w14:val="tx1"/>
            </w14:solidFill>
          </w14:textFill>
        </w:rPr>
        <w:t>占</w:t>
      </w:r>
      <w:r>
        <w:rPr>
          <w:rFonts w:hint="eastAsia" w:ascii="仿宋" w:hAnsi="仿宋" w:eastAsia="仿宋"/>
          <w:color w:val="000000" w:themeColor="text1"/>
          <w:sz w:val="32"/>
          <w:szCs w:val="32"/>
          <w:lang w:val="en-US" w:eastAsia="zh-CN"/>
          <w14:textFill>
            <w14:solidFill>
              <w14:schemeClr w14:val="tx1"/>
            </w14:solidFill>
          </w14:textFill>
        </w:rPr>
        <w:t>77.50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教育支出（类）</w:t>
      </w:r>
      <w:r>
        <w:rPr>
          <w:rFonts w:hint="eastAsia" w:ascii="仿宋" w:hAnsi="仿宋" w:eastAsia="仿宋"/>
          <w:b/>
          <w:color w:val="000000" w:themeColor="text1"/>
          <w:sz w:val="32"/>
          <w:szCs w:val="32"/>
          <w:lang w:val="en-US" w:eastAsia="zh-CN"/>
          <w14:textFill>
            <w14:solidFill>
              <w14:schemeClr w14:val="tx1"/>
            </w14:solidFill>
          </w14:textFill>
        </w:rPr>
        <w:t>205</w:t>
      </w:r>
      <w:r>
        <w:rPr>
          <w:rFonts w:hint="eastAsia" w:ascii="仿宋" w:hAnsi="仿宋" w:eastAsia="仿宋"/>
          <w:b w:val="0"/>
          <w:bCs w:val="0"/>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112</w:t>
      </w:r>
      <w:r>
        <w:rPr>
          <w:rFonts w:hint="eastAsia" w:ascii="仿宋" w:hAnsi="仿宋" w:eastAsia="仿宋"/>
          <w:color w:val="000000" w:themeColor="text1"/>
          <w:sz w:val="32"/>
          <w:szCs w:val="32"/>
          <w14:textFill>
            <w14:solidFill>
              <w14:schemeClr w14:val="tx1"/>
            </w14:solidFill>
          </w14:textFill>
        </w:rPr>
        <w:t>万元</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占</w:t>
      </w:r>
      <w:r>
        <w:rPr>
          <w:rFonts w:hint="eastAsia" w:ascii="仿宋" w:hAnsi="仿宋" w:eastAsia="仿宋"/>
          <w:color w:val="000000" w:themeColor="text1"/>
          <w:sz w:val="32"/>
          <w:szCs w:val="32"/>
          <w:lang w:val="en-US" w:eastAsia="zh-CN"/>
          <w14:textFill>
            <w14:solidFill>
              <w14:schemeClr w14:val="tx1"/>
            </w14:solidFill>
          </w14:textFill>
        </w:rPr>
        <w:t>10.20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社会保障和就业（类）</w:t>
      </w:r>
      <w:r>
        <w:rPr>
          <w:rFonts w:hint="eastAsia" w:ascii="仿宋" w:hAnsi="仿宋" w:eastAsia="仿宋"/>
          <w:b/>
          <w:color w:val="000000" w:themeColor="text1"/>
          <w:sz w:val="32"/>
          <w:szCs w:val="32"/>
          <w:lang w:val="en-US" w:eastAsia="zh-CN"/>
          <w14:textFill>
            <w14:solidFill>
              <w14:schemeClr w14:val="tx1"/>
            </w14:solidFill>
          </w14:textFill>
        </w:rPr>
        <w:t>208</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66.46</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6.05</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卫生健康</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类</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210</w:t>
      </w:r>
      <w:r>
        <w:rPr>
          <w:rFonts w:hint="eastAsia" w:ascii="仿宋" w:hAnsi="仿宋" w:eastAsia="仿宋"/>
          <w:b/>
          <w:bCs/>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29.04</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2.65</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住房保障</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类</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221</w:t>
      </w:r>
      <w:r>
        <w:rPr>
          <w:rFonts w:hint="eastAsia" w:ascii="仿宋" w:hAnsi="仿宋" w:eastAsia="仿宋"/>
          <w:b/>
          <w:bCs/>
          <w:color w:val="000000" w:themeColor="text1"/>
          <w:sz w:val="32"/>
          <w:szCs w:val="32"/>
          <w14:textFill>
            <w14:solidFill>
              <w14:schemeClr w14:val="tx1"/>
            </w14:solidFill>
          </w14:textFill>
        </w:rPr>
        <w:t>支出</w:t>
      </w:r>
      <w:r>
        <w:rPr>
          <w:rFonts w:hint="eastAsia" w:ascii="仿宋" w:hAnsi="仿宋" w:eastAsia="仿宋"/>
          <w:b w:val="0"/>
          <w:bCs w:val="0"/>
          <w:color w:val="000000" w:themeColor="text1"/>
          <w:sz w:val="32"/>
          <w:szCs w:val="32"/>
          <w:lang w:val="en-US" w:eastAsia="zh-CN"/>
          <w14:textFill>
            <w14:solidFill>
              <w14:schemeClr w14:val="tx1"/>
            </w14:solidFill>
          </w14:textFill>
        </w:rPr>
        <w:t>40.01</w:t>
      </w:r>
      <w:r>
        <w:rPr>
          <w:rFonts w:hint="eastAsia" w:ascii="仿宋" w:hAnsi="仿宋" w:eastAsia="仿宋"/>
          <w:b w:val="0"/>
          <w:bCs w:val="0"/>
          <w:color w:val="000000" w:themeColor="text1"/>
          <w:sz w:val="32"/>
          <w:szCs w:val="32"/>
          <w14:textFill>
            <w14:solidFill>
              <w14:schemeClr w14:val="tx1"/>
            </w14:solidFill>
          </w14:textFill>
        </w:rPr>
        <w:t>万元</w:t>
      </w:r>
      <w:r>
        <w:rPr>
          <w:rFonts w:hint="eastAsia" w:ascii="仿宋" w:hAnsi="仿宋" w:eastAsia="仿宋"/>
          <w:color w:val="000000" w:themeColor="text1"/>
          <w:sz w:val="32"/>
          <w:szCs w:val="32"/>
          <w14:textFill>
            <w14:solidFill>
              <w14:schemeClr w14:val="tx1"/>
            </w14:solidFill>
          </w14:textFill>
        </w:rPr>
        <w:t>，占</w:t>
      </w:r>
      <w:r>
        <w:rPr>
          <w:rFonts w:hint="eastAsia" w:ascii="仿宋" w:hAnsi="仿宋" w:eastAsia="仿宋"/>
          <w:color w:val="000000" w:themeColor="text1"/>
          <w:sz w:val="32"/>
          <w:szCs w:val="32"/>
          <w:lang w:val="en-US" w:eastAsia="zh-CN"/>
          <w14:textFill>
            <w14:solidFill>
              <w14:schemeClr w14:val="tx1"/>
            </w14:solidFill>
          </w14:textFill>
        </w:rPr>
        <w:t>3.64</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935" distR="114935" simplePos="0" relativeHeight="251746304" behindDoc="0" locked="0" layoutInCell="1" allowOverlap="1">
            <wp:simplePos x="0" y="0"/>
            <wp:positionH relativeFrom="column">
              <wp:posOffset>-9525</wp:posOffset>
            </wp:positionH>
            <wp:positionV relativeFrom="paragraph">
              <wp:posOffset>56515</wp:posOffset>
            </wp:positionV>
            <wp:extent cx="5236845" cy="1958975"/>
            <wp:effectExtent l="5080" t="4445" r="15875" b="17780"/>
            <wp:wrapNone/>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rPr>
          <w:rFonts w:hint="eastAsia" w:ascii="仿宋" w:hAnsi="仿宋" w:eastAsia="仿宋"/>
          <w:color w:val="000000"/>
          <w:sz w:val="32"/>
          <w:szCs w:val="32"/>
        </w:rPr>
      </w:pPr>
    </w:p>
    <w:p>
      <w:pPr>
        <w:spacing w:line="600" w:lineRule="exact"/>
        <w:ind w:firstLine="640" w:firstLineChars="200"/>
        <w:rPr>
          <w:rFonts w:hint="eastAsia" w:ascii="仿宋" w:hAnsi="仿宋" w:eastAsia="仿宋"/>
          <w:b/>
          <w:color w:val="000000"/>
          <w:sz w:val="32"/>
          <w:szCs w:val="32"/>
        </w:rPr>
      </w:pPr>
      <w:r>
        <w:rPr>
          <w:rFonts w:hint="eastAsia" w:ascii="仿宋" w:hAnsi="仿宋" w:eastAsia="仿宋"/>
          <w:color w:val="000000"/>
          <w:sz w:val="32"/>
          <w:szCs w:val="32"/>
        </w:rPr>
        <w:t>（图6：一般公共预算财政拨款支出决算结构）（饼状图）</w:t>
      </w:r>
      <w:bookmarkStart w:id="53" w:name="_Toc15377212"/>
    </w:p>
    <w:p>
      <w:pPr>
        <w:spacing w:line="600" w:lineRule="exact"/>
        <w:ind w:firstLine="643" w:firstLineChars="200"/>
        <w:outlineLvl w:val="2"/>
        <w:rPr>
          <w:rFonts w:ascii="仿宋" w:hAnsi="仿宋" w:eastAsia="仿宋"/>
          <w:b/>
          <w:color w:val="000000"/>
          <w:sz w:val="32"/>
          <w:szCs w:val="32"/>
        </w:rPr>
      </w:pPr>
      <w:bookmarkStart w:id="54" w:name="_Toc15708"/>
      <w:r>
        <w:rPr>
          <w:rFonts w:hint="eastAsia" w:ascii="仿宋" w:hAnsi="仿宋" w:eastAsia="仿宋"/>
          <w:b/>
          <w:color w:val="000000"/>
          <w:sz w:val="32"/>
          <w:szCs w:val="32"/>
        </w:rPr>
        <w:t>（三）一般公共预算财政拨款支出决算具体情况</w:t>
      </w:r>
      <w:bookmarkEnd w:id="53"/>
      <w:bookmarkEnd w:id="54"/>
    </w:p>
    <w:p>
      <w:pPr>
        <w:spacing w:line="600" w:lineRule="exact"/>
        <w:ind w:firstLine="643" w:firstLineChars="200"/>
        <w:outlineLvl w:val="2"/>
        <w:rPr>
          <w:rFonts w:ascii="仿宋" w:hAnsi="仿宋" w:eastAsia="仿宋"/>
          <w:color w:val="FF0000"/>
          <w:sz w:val="32"/>
          <w:szCs w:val="32"/>
        </w:rPr>
      </w:pPr>
      <w:bookmarkStart w:id="55" w:name="_Toc15377444"/>
      <w:bookmarkStart w:id="56" w:name="_Toc15378460"/>
      <w:bookmarkStart w:id="57" w:name="_Toc15377213"/>
      <w:bookmarkStart w:id="58" w:name="_Toc12098"/>
      <w:r>
        <w:rPr>
          <w:rFonts w:hint="eastAsia" w:ascii="仿宋" w:hAnsi="仿宋" w:eastAsia="仿宋"/>
          <w:b/>
          <w:color w:val="000000" w:themeColor="text1"/>
          <w:sz w:val="32"/>
          <w:szCs w:val="32"/>
          <w14:textFill>
            <w14:solidFill>
              <w14:schemeClr w14:val="tx1"/>
            </w14:solidFill>
          </w14:textFill>
        </w:rPr>
        <w:t>2019年般公共预算支出决算数为</w:t>
      </w:r>
      <w:r>
        <w:rPr>
          <w:rFonts w:hint="eastAsia" w:ascii="仿宋" w:hAnsi="仿宋" w:eastAsia="仿宋"/>
          <w:b/>
          <w:color w:val="000000" w:themeColor="text1"/>
          <w:sz w:val="32"/>
          <w:szCs w:val="32"/>
          <w:lang w:val="en-US" w:eastAsia="zh-CN"/>
          <w14:textFill>
            <w14:solidFill>
              <w14:schemeClr w14:val="tx1"/>
            </w14:solidFill>
          </w14:textFill>
        </w:rPr>
        <w:t>1098.09</w:t>
      </w:r>
      <w:r>
        <w:rPr>
          <w:rFonts w:hint="eastAsia" w:ascii="仿宋" w:hAnsi="仿宋" w:eastAsia="仿宋"/>
          <w:color w:val="000000" w:themeColor="text1"/>
          <w:sz w:val="32"/>
          <w:szCs w:val="32"/>
          <w14:textFill>
            <w14:solidFill>
              <w14:schemeClr w14:val="tx1"/>
            </w14:solidFill>
          </w14:textFill>
        </w:rPr>
        <w:t>，</w:t>
      </w:r>
      <w:r>
        <w:rPr>
          <w:rStyle w:val="16"/>
          <w:rFonts w:hint="eastAsia" w:ascii="仿宋" w:hAnsi="仿宋" w:eastAsia="仿宋"/>
          <w:bCs/>
          <w:color w:val="000000" w:themeColor="text1"/>
          <w:sz w:val="32"/>
          <w:szCs w:val="32"/>
          <w14:textFill>
            <w14:solidFill>
              <w14:schemeClr w14:val="tx1"/>
            </w14:solidFill>
          </w14:textFill>
        </w:rPr>
        <w:t>完成</w:t>
      </w:r>
      <w:r>
        <w:rPr>
          <w:rStyle w:val="16"/>
          <w:rFonts w:hint="eastAsia" w:ascii="仿宋" w:hAnsi="仿宋" w:eastAsia="仿宋"/>
          <w:bCs/>
          <w:color w:val="000000"/>
          <w:sz w:val="32"/>
          <w:szCs w:val="32"/>
        </w:rPr>
        <w:t>预算</w:t>
      </w:r>
      <w:r>
        <w:rPr>
          <w:rStyle w:val="16"/>
          <w:rFonts w:hint="eastAsia" w:ascii="仿宋" w:hAnsi="仿宋" w:eastAsia="仿宋"/>
          <w:bCs/>
          <w:color w:val="000000"/>
          <w:sz w:val="32"/>
          <w:szCs w:val="32"/>
          <w:lang w:val="en-US" w:eastAsia="zh-CN"/>
        </w:rPr>
        <w:t>100</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。其中：</w:t>
      </w:r>
      <w:bookmarkEnd w:id="55"/>
      <w:bookmarkEnd w:id="56"/>
      <w:bookmarkEnd w:id="57"/>
      <w:bookmarkEnd w:id="58"/>
    </w:p>
    <w:p>
      <w:pPr>
        <w:spacing w:line="600" w:lineRule="exact"/>
        <w:ind w:firstLine="640"/>
        <w:rPr>
          <w:rStyle w:val="16"/>
          <w:rFonts w:hint="eastAsia" w:ascii="仿宋" w:hAnsi="仿宋" w:eastAsia="仿宋"/>
          <w:b w:val="0"/>
          <w:bCs w:val="0"/>
          <w:color w:val="000000"/>
          <w:sz w:val="32"/>
          <w:szCs w:val="32"/>
          <w:lang w:val="en-US" w:eastAsia="zh-CN"/>
        </w:rPr>
      </w:pPr>
      <w:r>
        <w:rPr>
          <w:rFonts w:hint="eastAsia" w:ascii="仿宋" w:hAnsi="仿宋" w:eastAsia="仿宋"/>
          <w:b/>
          <w:color w:val="000000" w:themeColor="text1"/>
          <w:sz w:val="32"/>
          <w:szCs w:val="32"/>
          <w:lang w:val="en-US" w:eastAsia="zh-CN"/>
          <w14:textFill>
            <w14:solidFill>
              <w14:schemeClr w14:val="tx1"/>
            </w14:solidFill>
          </w14:textFill>
        </w:rPr>
        <w:t>1.</w:t>
      </w:r>
      <w:r>
        <w:rPr>
          <w:rFonts w:hint="eastAsia" w:ascii="仿宋" w:hAnsi="仿宋" w:eastAsia="仿宋"/>
          <w:b/>
          <w:color w:val="000000" w:themeColor="text1"/>
          <w:sz w:val="32"/>
          <w:szCs w:val="32"/>
          <w14:textFill>
            <w14:solidFill>
              <w14:schemeClr w14:val="tx1"/>
            </w14:solidFill>
          </w14:textFill>
        </w:rPr>
        <w:t>一般公共服务（类）</w:t>
      </w:r>
      <w:r>
        <w:rPr>
          <w:rFonts w:hint="eastAsia" w:ascii="仿宋" w:hAnsi="仿宋" w:eastAsia="仿宋"/>
          <w:b/>
          <w:color w:val="000000" w:themeColor="text1"/>
          <w:sz w:val="32"/>
          <w:szCs w:val="32"/>
          <w:lang w:eastAsia="zh-CN"/>
          <w14:textFill>
            <w14:solidFill>
              <w14:schemeClr w14:val="tx1"/>
            </w14:solidFill>
          </w14:textFill>
        </w:rPr>
        <w:t>：</w:t>
      </w:r>
      <w:r>
        <w:rPr>
          <w:rStyle w:val="16"/>
          <w:rFonts w:hint="eastAsia" w:ascii="仿宋" w:hAnsi="仿宋" w:eastAsia="仿宋"/>
          <w:b/>
          <w:bCs w:val="0"/>
          <w:color w:val="000000"/>
          <w:sz w:val="32"/>
          <w:szCs w:val="32"/>
          <w:lang w:val="en-US" w:eastAsia="zh-CN"/>
        </w:rPr>
        <w:t>2013201行政运行</w:t>
      </w:r>
      <w:r>
        <w:rPr>
          <w:rStyle w:val="16"/>
          <w:rFonts w:hint="eastAsia" w:ascii="仿宋" w:hAnsi="仿宋" w:eastAsia="仿宋"/>
          <w:b w:val="0"/>
          <w:bCs w:val="0"/>
          <w:color w:val="000000"/>
          <w:sz w:val="32"/>
          <w:szCs w:val="32"/>
          <w:lang w:val="en-US" w:eastAsia="zh-CN"/>
        </w:rPr>
        <w:t>支出决算389.03万元，</w:t>
      </w:r>
      <w:r>
        <w:rPr>
          <w:rStyle w:val="16"/>
          <w:rFonts w:hint="eastAsia" w:ascii="仿宋" w:hAnsi="仿宋" w:eastAsia="仿宋"/>
          <w:b w:val="0"/>
          <w:bCs/>
          <w:color w:val="000000"/>
          <w:sz w:val="32"/>
          <w:szCs w:val="32"/>
        </w:rPr>
        <w:t>完成预算</w:t>
      </w:r>
      <w:r>
        <w:rPr>
          <w:rStyle w:val="16"/>
          <w:rFonts w:ascii="仿宋" w:hAnsi="仿宋" w:eastAsia="仿宋"/>
          <w:b w:val="0"/>
          <w:bCs/>
          <w:color w:val="000000"/>
          <w:sz w:val="32"/>
          <w:szCs w:val="32"/>
        </w:rPr>
        <w:t>100%</w:t>
      </w:r>
      <w:r>
        <w:rPr>
          <w:rStyle w:val="16"/>
          <w:rFonts w:hint="eastAsia" w:ascii="仿宋" w:hAnsi="仿宋" w:eastAsia="仿宋"/>
          <w:b w:val="0"/>
          <w:bCs/>
          <w:color w:val="000000"/>
          <w:sz w:val="32"/>
          <w:szCs w:val="32"/>
          <w:lang w:eastAsia="zh-CN"/>
        </w:rPr>
        <w:t>；</w:t>
      </w:r>
      <w:r>
        <w:rPr>
          <w:rStyle w:val="16"/>
          <w:rFonts w:hint="eastAsia" w:ascii="仿宋" w:hAnsi="仿宋" w:eastAsia="仿宋"/>
          <w:b/>
          <w:bCs w:val="0"/>
          <w:color w:val="000000"/>
          <w:sz w:val="32"/>
          <w:szCs w:val="32"/>
          <w:lang w:val="en-US" w:eastAsia="zh-CN"/>
        </w:rPr>
        <w:t>2013202一般行政管理事务</w:t>
      </w:r>
      <w:r>
        <w:rPr>
          <w:rStyle w:val="16"/>
          <w:rFonts w:hint="eastAsia" w:ascii="仿宋" w:hAnsi="仿宋" w:eastAsia="仿宋"/>
          <w:b w:val="0"/>
          <w:bCs w:val="0"/>
          <w:color w:val="000000"/>
          <w:sz w:val="32"/>
          <w:szCs w:val="32"/>
          <w:lang w:val="en-US" w:eastAsia="zh-CN"/>
        </w:rPr>
        <w:t>支出决算305.96万元，</w:t>
      </w:r>
      <w:r>
        <w:rPr>
          <w:rStyle w:val="16"/>
          <w:rFonts w:hint="eastAsia" w:ascii="仿宋" w:hAnsi="仿宋" w:eastAsia="仿宋"/>
          <w:b w:val="0"/>
          <w:bCs/>
          <w:color w:val="000000"/>
          <w:sz w:val="32"/>
          <w:szCs w:val="32"/>
        </w:rPr>
        <w:t>完成预算</w:t>
      </w:r>
      <w:r>
        <w:rPr>
          <w:rStyle w:val="16"/>
          <w:rFonts w:ascii="仿宋" w:hAnsi="仿宋" w:eastAsia="仿宋"/>
          <w:b w:val="0"/>
          <w:bCs/>
          <w:color w:val="000000"/>
          <w:sz w:val="32"/>
          <w:szCs w:val="32"/>
        </w:rPr>
        <w:t>100%</w:t>
      </w:r>
      <w:r>
        <w:rPr>
          <w:rStyle w:val="16"/>
          <w:rFonts w:hint="eastAsia" w:ascii="仿宋" w:hAnsi="仿宋" w:eastAsia="仿宋"/>
          <w:b w:val="0"/>
          <w:bCs/>
          <w:color w:val="000000"/>
          <w:sz w:val="32"/>
          <w:szCs w:val="32"/>
          <w:lang w:eastAsia="zh-CN"/>
        </w:rPr>
        <w:t>；</w:t>
      </w:r>
      <w:r>
        <w:rPr>
          <w:rStyle w:val="16"/>
          <w:rFonts w:hint="eastAsia" w:ascii="仿宋" w:hAnsi="仿宋" w:eastAsia="仿宋"/>
          <w:b/>
          <w:bCs/>
          <w:color w:val="000000"/>
          <w:sz w:val="32"/>
          <w:szCs w:val="32"/>
          <w:lang w:val="en-US" w:eastAsia="zh-CN"/>
        </w:rPr>
        <w:t>2013250事业运行</w:t>
      </w:r>
      <w:r>
        <w:rPr>
          <w:rStyle w:val="16"/>
          <w:rFonts w:hint="eastAsia" w:ascii="仿宋" w:hAnsi="仿宋" w:eastAsia="仿宋"/>
          <w:b w:val="0"/>
          <w:bCs w:val="0"/>
          <w:color w:val="000000"/>
          <w:sz w:val="32"/>
          <w:szCs w:val="32"/>
          <w:lang w:val="en-US" w:eastAsia="zh-CN"/>
        </w:rPr>
        <w:t>支出52.38万元，</w:t>
      </w:r>
      <w:r>
        <w:rPr>
          <w:rStyle w:val="16"/>
          <w:rFonts w:hint="eastAsia" w:ascii="仿宋" w:hAnsi="仿宋" w:eastAsia="仿宋"/>
          <w:b w:val="0"/>
          <w:bCs/>
          <w:color w:val="000000"/>
          <w:sz w:val="32"/>
          <w:szCs w:val="32"/>
        </w:rPr>
        <w:t>完成预算</w:t>
      </w:r>
      <w:r>
        <w:rPr>
          <w:rStyle w:val="16"/>
          <w:rFonts w:ascii="仿宋" w:hAnsi="仿宋" w:eastAsia="仿宋"/>
          <w:b w:val="0"/>
          <w:bCs/>
          <w:color w:val="000000"/>
          <w:sz w:val="32"/>
          <w:szCs w:val="32"/>
        </w:rPr>
        <w:t>100%</w:t>
      </w:r>
      <w:r>
        <w:rPr>
          <w:rStyle w:val="16"/>
          <w:rFonts w:hint="eastAsia" w:ascii="仿宋" w:hAnsi="仿宋" w:eastAsia="仿宋"/>
          <w:b w:val="0"/>
          <w:bCs/>
          <w:color w:val="000000"/>
          <w:sz w:val="32"/>
          <w:szCs w:val="32"/>
          <w:lang w:eastAsia="zh-CN"/>
        </w:rPr>
        <w:t>；</w:t>
      </w:r>
      <w:r>
        <w:rPr>
          <w:rStyle w:val="16"/>
          <w:rFonts w:hint="eastAsia" w:ascii="仿宋" w:hAnsi="仿宋" w:eastAsia="仿宋"/>
          <w:bCs/>
          <w:color w:val="000000"/>
          <w:sz w:val="32"/>
          <w:szCs w:val="32"/>
          <w:lang w:val="en-US" w:eastAsia="zh-CN"/>
        </w:rPr>
        <w:t>2013299其他组织事务</w:t>
      </w:r>
      <w:r>
        <w:rPr>
          <w:rStyle w:val="16"/>
          <w:rFonts w:hint="eastAsia" w:ascii="仿宋" w:hAnsi="仿宋" w:eastAsia="仿宋"/>
          <w:b w:val="0"/>
          <w:bCs w:val="0"/>
          <w:color w:val="000000"/>
          <w:sz w:val="32"/>
          <w:szCs w:val="32"/>
          <w:lang w:val="en-US" w:eastAsia="zh-CN"/>
        </w:rPr>
        <w:t>支出决算101.43万元，</w:t>
      </w:r>
      <w:r>
        <w:rPr>
          <w:rStyle w:val="16"/>
          <w:rFonts w:hint="eastAsia" w:ascii="仿宋" w:hAnsi="仿宋" w:eastAsia="仿宋"/>
          <w:b w:val="0"/>
          <w:bCs/>
          <w:color w:val="000000"/>
          <w:sz w:val="32"/>
          <w:szCs w:val="32"/>
        </w:rPr>
        <w:t>完成预算</w:t>
      </w:r>
      <w:r>
        <w:rPr>
          <w:rStyle w:val="16"/>
          <w:rFonts w:ascii="仿宋" w:hAnsi="仿宋" w:eastAsia="仿宋"/>
          <w:b w:val="0"/>
          <w:bCs/>
          <w:color w:val="000000"/>
          <w:sz w:val="32"/>
          <w:szCs w:val="32"/>
        </w:rPr>
        <w:t>100%</w:t>
      </w:r>
      <w:r>
        <w:rPr>
          <w:rStyle w:val="16"/>
          <w:rFonts w:hint="eastAsia" w:ascii="仿宋" w:hAnsi="仿宋" w:eastAsia="仿宋"/>
          <w:b w:val="0"/>
          <w:bCs/>
          <w:color w:val="000000"/>
          <w:sz w:val="32"/>
          <w:szCs w:val="32"/>
          <w:lang w:eastAsia="zh-CN"/>
        </w:rPr>
        <w:t>；</w:t>
      </w:r>
      <w:r>
        <w:rPr>
          <w:rStyle w:val="16"/>
          <w:rFonts w:hint="eastAsia" w:ascii="仿宋" w:hAnsi="仿宋" w:eastAsia="仿宋"/>
          <w:bCs/>
          <w:color w:val="000000"/>
          <w:sz w:val="32"/>
          <w:szCs w:val="32"/>
          <w:lang w:val="en-US" w:eastAsia="zh-CN"/>
        </w:rPr>
        <w:t>2019999其他一般公共服务支出</w:t>
      </w:r>
      <w:r>
        <w:rPr>
          <w:rStyle w:val="16"/>
          <w:rFonts w:hint="eastAsia" w:ascii="仿宋" w:hAnsi="仿宋" w:eastAsia="仿宋"/>
          <w:b w:val="0"/>
          <w:bCs w:val="0"/>
          <w:color w:val="000000"/>
          <w:sz w:val="32"/>
          <w:szCs w:val="32"/>
          <w:lang w:val="en-US" w:eastAsia="zh-CN"/>
        </w:rPr>
        <w:t>1.5万元，</w:t>
      </w:r>
      <w:r>
        <w:rPr>
          <w:rStyle w:val="16"/>
          <w:rFonts w:hint="eastAsia" w:ascii="仿宋" w:hAnsi="仿宋" w:eastAsia="仿宋"/>
          <w:b w:val="0"/>
          <w:bCs/>
          <w:color w:val="000000"/>
          <w:sz w:val="32"/>
          <w:szCs w:val="32"/>
        </w:rPr>
        <w:t>完成预算</w:t>
      </w:r>
      <w:r>
        <w:rPr>
          <w:rStyle w:val="16"/>
          <w:rFonts w:ascii="仿宋" w:hAnsi="仿宋" w:eastAsia="仿宋"/>
          <w:b w:val="0"/>
          <w:bCs/>
          <w:color w:val="000000"/>
          <w:sz w:val="32"/>
          <w:szCs w:val="32"/>
        </w:rPr>
        <w:t>100%</w:t>
      </w:r>
      <w:r>
        <w:rPr>
          <w:rStyle w:val="16"/>
          <w:rFonts w:hint="eastAsia" w:ascii="仿宋" w:hAnsi="仿宋" w:eastAsia="仿宋"/>
          <w:b w:val="0"/>
          <w:bCs/>
          <w:color w:val="000000"/>
          <w:sz w:val="32"/>
          <w:szCs w:val="32"/>
          <w:lang w:eastAsia="zh-CN"/>
        </w:rPr>
        <w:t>。</w:t>
      </w:r>
    </w:p>
    <w:p>
      <w:pPr>
        <w:spacing w:line="600" w:lineRule="exact"/>
        <w:ind w:firstLine="640"/>
        <w:rPr>
          <w:rFonts w:hint="default" w:ascii="仿宋" w:hAnsi="仿宋" w:eastAsia="仿宋"/>
          <w:color w:val="000000" w:themeColor="text1"/>
          <w:sz w:val="32"/>
          <w:szCs w:val="32"/>
          <w:lang w:val="en-US" w:eastAsia="zh-CN"/>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2.</w:t>
      </w:r>
      <w:r>
        <w:rPr>
          <w:rFonts w:hint="eastAsia" w:ascii="仿宋" w:hAnsi="仿宋" w:eastAsia="仿宋"/>
          <w:b/>
          <w:color w:val="000000" w:themeColor="text1"/>
          <w:sz w:val="32"/>
          <w:szCs w:val="32"/>
          <w14:textFill>
            <w14:solidFill>
              <w14:schemeClr w14:val="tx1"/>
            </w14:solidFill>
          </w14:textFill>
        </w:rPr>
        <w:t>教育支出（类）</w:t>
      </w:r>
      <w:r>
        <w:rPr>
          <w:rFonts w:hint="eastAsia" w:ascii="仿宋" w:hAnsi="仿宋" w:eastAsia="仿宋"/>
          <w:b w:val="0"/>
          <w:bCs w:val="0"/>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2050802干部教育</w:t>
      </w:r>
      <w:r>
        <w:rPr>
          <w:rFonts w:hint="eastAsia" w:ascii="仿宋" w:hAnsi="仿宋" w:eastAsia="仿宋"/>
          <w:color w:val="000000" w:themeColor="text1"/>
          <w:sz w:val="32"/>
          <w:szCs w:val="32"/>
          <w:lang w:val="en-US" w:eastAsia="zh-CN"/>
          <w14:textFill>
            <w14:solidFill>
              <w14:schemeClr w14:val="tx1"/>
            </w14:solidFill>
          </w14:textFill>
        </w:rPr>
        <w:t>支出100万元，</w:t>
      </w:r>
      <w:r>
        <w:rPr>
          <w:rStyle w:val="16"/>
          <w:rFonts w:hint="eastAsia" w:ascii="仿宋" w:hAnsi="仿宋" w:eastAsia="仿宋"/>
          <w:b w:val="0"/>
          <w:bCs/>
          <w:color w:val="000000"/>
          <w:sz w:val="32"/>
          <w:szCs w:val="32"/>
        </w:rPr>
        <w:t>完成预算</w:t>
      </w:r>
      <w:r>
        <w:rPr>
          <w:rStyle w:val="16"/>
          <w:rFonts w:ascii="仿宋" w:hAnsi="仿宋" w:eastAsia="仿宋"/>
          <w:b w:val="0"/>
          <w:bCs/>
          <w:color w:val="000000"/>
          <w:sz w:val="32"/>
          <w:szCs w:val="32"/>
        </w:rPr>
        <w:t>100%</w:t>
      </w:r>
      <w:r>
        <w:rPr>
          <w:rStyle w:val="16"/>
          <w:rFonts w:hint="eastAsia" w:ascii="仿宋" w:hAnsi="仿宋" w:eastAsia="仿宋"/>
          <w:b w:val="0"/>
          <w:bCs/>
          <w:color w:val="000000"/>
          <w:sz w:val="32"/>
          <w:szCs w:val="32"/>
          <w:lang w:eastAsia="zh-CN"/>
        </w:rPr>
        <w:t>；</w:t>
      </w:r>
      <w:r>
        <w:rPr>
          <w:rStyle w:val="16"/>
          <w:rFonts w:hint="eastAsia" w:ascii="仿宋" w:hAnsi="仿宋" w:eastAsia="仿宋"/>
          <w:b/>
          <w:bCs w:val="0"/>
          <w:color w:val="000000"/>
          <w:sz w:val="32"/>
          <w:szCs w:val="32"/>
          <w:lang w:val="en-US" w:eastAsia="zh-CN"/>
        </w:rPr>
        <w:t>2059999其他教育</w:t>
      </w:r>
      <w:r>
        <w:rPr>
          <w:rStyle w:val="16"/>
          <w:rFonts w:hint="eastAsia" w:ascii="仿宋" w:hAnsi="仿宋" w:eastAsia="仿宋"/>
          <w:b w:val="0"/>
          <w:bCs/>
          <w:color w:val="000000"/>
          <w:sz w:val="32"/>
          <w:szCs w:val="32"/>
          <w:lang w:val="en-US" w:eastAsia="zh-CN"/>
        </w:rPr>
        <w:t>支出12万元，</w:t>
      </w:r>
      <w:r>
        <w:rPr>
          <w:rStyle w:val="16"/>
          <w:rFonts w:hint="eastAsia" w:ascii="仿宋" w:hAnsi="仿宋" w:eastAsia="仿宋"/>
          <w:b w:val="0"/>
          <w:bCs/>
          <w:color w:val="000000"/>
          <w:sz w:val="32"/>
          <w:szCs w:val="32"/>
        </w:rPr>
        <w:t>成预算</w:t>
      </w:r>
      <w:r>
        <w:rPr>
          <w:rStyle w:val="16"/>
          <w:rFonts w:ascii="仿宋" w:hAnsi="仿宋" w:eastAsia="仿宋"/>
          <w:b w:val="0"/>
          <w:bCs/>
          <w:color w:val="000000"/>
          <w:sz w:val="32"/>
          <w:szCs w:val="32"/>
        </w:rPr>
        <w:t>100%</w:t>
      </w:r>
      <w:r>
        <w:rPr>
          <w:rStyle w:val="16"/>
          <w:rFonts w:hint="eastAsia" w:ascii="仿宋" w:hAnsi="仿宋" w:eastAsia="仿宋"/>
          <w:b w:val="0"/>
          <w:bCs/>
          <w:color w:val="000000"/>
          <w:sz w:val="32"/>
          <w:szCs w:val="32"/>
          <w:lang w:val="en-US" w:eastAsia="zh-CN"/>
        </w:rPr>
        <w:t>。</w:t>
      </w:r>
    </w:p>
    <w:p>
      <w:pPr>
        <w:spacing w:line="600" w:lineRule="exact"/>
        <w:ind w:firstLine="640"/>
        <w:rPr>
          <w:rFonts w:hint="default" w:ascii="仿宋" w:hAnsi="仿宋" w:eastAsia="仿宋"/>
          <w:color w:val="000000" w:themeColor="text1"/>
          <w:sz w:val="32"/>
          <w:szCs w:val="32"/>
          <w:lang w:val="en-US" w:eastAsia="zh-CN"/>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3.</w:t>
      </w:r>
      <w:r>
        <w:rPr>
          <w:rFonts w:hint="eastAsia" w:ascii="仿宋" w:hAnsi="仿宋" w:eastAsia="仿宋"/>
          <w:b/>
          <w:color w:val="000000" w:themeColor="text1"/>
          <w:sz w:val="32"/>
          <w:szCs w:val="32"/>
          <w14:textFill>
            <w14:solidFill>
              <w14:schemeClr w14:val="tx1"/>
            </w14:solidFill>
          </w14:textFill>
        </w:rPr>
        <w:t>社会保障和就业（类）</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2080505机关事业单位基本养老保险缴费</w:t>
      </w:r>
      <w:r>
        <w:rPr>
          <w:rFonts w:hint="eastAsia" w:ascii="仿宋" w:hAnsi="仿宋" w:eastAsia="仿宋"/>
          <w:color w:val="000000" w:themeColor="text1"/>
          <w:sz w:val="32"/>
          <w:szCs w:val="32"/>
          <w:lang w:val="en-US" w:eastAsia="zh-CN"/>
          <w14:textFill>
            <w14:solidFill>
              <w14:schemeClr w14:val="tx1"/>
            </w14:solidFill>
          </w14:textFill>
        </w:rPr>
        <w:t>支出46.15万元，</w:t>
      </w:r>
      <w:r>
        <w:rPr>
          <w:rStyle w:val="16"/>
          <w:rFonts w:hint="eastAsia" w:ascii="仿宋" w:hAnsi="仿宋" w:eastAsia="仿宋"/>
          <w:b w:val="0"/>
          <w:bCs/>
          <w:color w:val="000000"/>
          <w:sz w:val="32"/>
          <w:szCs w:val="32"/>
        </w:rPr>
        <w:t>完成预算</w:t>
      </w:r>
      <w:r>
        <w:rPr>
          <w:rStyle w:val="16"/>
          <w:rFonts w:ascii="仿宋" w:hAnsi="仿宋" w:eastAsia="仿宋"/>
          <w:b w:val="0"/>
          <w:bCs/>
          <w:color w:val="000000"/>
          <w:sz w:val="32"/>
          <w:szCs w:val="32"/>
        </w:rPr>
        <w:t>100%</w:t>
      </w:r>
      <w:r>
        <w:rPr>
          <w:rStyle w:val="16"/>
          <w:rFonts w:hint="eastAsia" w:ascii="仿宋" w:hAnsi="仿宋" w:eastAsia="仿宋"/>
          <w:b w:val="0"/>
          <w:bCs/>
          <w:color w:val="000000"/>
          <w:sz w:val="32"/>
          <w:szCs w:val="32"/>
          <w:lang w:eastAsia="zh-CN"/>
        </w:rPr>
        <w:t>；</w:t>
      </w:r>
      <w:r>
        <w:rPr>
          <w:rStyle w:val="16"/>
          <w:rFonts w:hint="eastAsia" w:ascii="仿宋" w:hAnsi="仿宋" w:eastAsia="仿宋"/>
          <w:b/>
          <w:bCs w:val="0"/>
          <w:color w:val="000000"/>
          <w:sz w:val="32"/>
          <w:szCs w:val="32"/>
          <w:lang w:val="en-US" w:eastAsia="zh-CN"/>
        </w:rPr>
        <w:t>2080506机关事业单位职业年金缴费</w:t>
      </w:r>
      <w:r>
        <w:rPr>
          <w:rStyle w:val="16"/>
          <w:rFonts w:hint="eastAsia" w:ascii="仿宋" w:hAnsi="仿宋" w:eastAsia="仿宋"/>
          <w:b w:val="0"/>
          <w:bCs/>
          <w:color w:val="000000"/>
          <w:sz w:val="32"/>
          <w:szCs w:val="32"/>
          <w:lang w:val="en-US" w:eastAsia="zh-CN"/>
        </w:rPr>
        <w:t>支出20.31万元，完成预算100%。</w:t>
      </w:r>
    </w:p>
    <w:p>
      <w:pPr>
        <w:spacing w:line="600" w:lineRule="exact"/>
        <w:ind w:firstLine="640"/>
        <w:rPr>
          <w:rFonts w:hint="default" w:ascii="仿宋" w:hAnsi="仿宋" w:eastAsia="仿宋"/>
          <w:color w:val="000000" w:themeColor="text1"/>
          <w:sz w:val="32"/>
          <w:szCs w:val="32"/>
          <w:lang w:val="en-US" w:eastAsia="zh-CN"/>
          <w14:textFill>
            <w14:solidFill>
              <w14:schemeClr w14:val="tx1"/>
            </w14:solidFill>
          </w14:textFill>
        </w:rPr>
      </w:pPr>
      <w:r>
        <w:rPr>
          <w:rFonts w:hint="eastAsia" w:ascii="仿宋" w:hAnsi="仿宋" w:eastAsia="仿宋"/>
          <w:b/>
          <w:bCs/>
          <w:color w:val="000000" w:themeColor="text1"/>
          <w:sz w:val="32"/>
          <w:szCs w:val="32"/>
          <w:lang w:val="en-US" w:eastAsia="zh-CN"/>
          <w14:textFill>
            <w14:solidFill>
              <w14:schemeClr w14:val="tx1"/>
            </w14:solidFill>
          </w14:textFill>
        </w:rPr>
        <w:t>4.</w:t>
      </w:r>
      <w:r>
        <w:rPr>
          <w:rFonts w:hint="eastAsia" w:ascii="仿宋" w:hAnsi="仿宋" w:eastAsia="仿宋"/>
          <w:b/>
          <w:bCs/>
          <w:color w:val="000000" w:themeColor="text1"/>
          <w:sz w:val="32"/>
          <w:szCs w:val="32"/>
          <w14:textFill>
            <w14:solidFill>
              <w14:schemeClr w14:val="tx1"/>
            </w14:solidFill>
          </w14:textFill>
        </w:rPr>
        <w:t>卫生健康</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类</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:2101101行政单位医疗</w:t>
      </w:r>
      <w:r>
        <w:rPr>
          <w:rFonts w:hint="eastAsia" w:ascii="仿宋" w:hAnsi="仿宋" w:eastAsia="仿宋"/>
          <w:color w:val="000000" w:themeColor="text1"/>
          <w:sz w:val="32"/>
          <w:szCs w:val="32"/>
          <w:lang w:val="en-US" w:eastAsia="zh-CN"/>
          <w14:textFill>
            <w14:solidFill>
              <w14:schemeClr w14:val="tx1"/>
            </w14:solidFill>
          </w14:textFill>
        </w:rPr>
        <w:t>支出18.97万元，</w:t>
      </w:r>
      <w:r>
        <w:rPr>
          <w:rStyle w:val="16"/>
          <w:rFonts w:hint="eastAsia" w:ascii="仿宋" w:hAnsi="仿宋" w:eastAsia="仿宋"/>
          <w:b w:val="0"/>
          <w:bCs/>
          <w:color w:val="000000"/>
          <w:sz w:val="32"/>
          <w:szCs w:val="32"/>
        </w:rPr>
        <w:t>完成预算</w:t>
      </w:r>
      <w:r>
        <w:rPr>
          <w:rStyle w:val="16"/>
          <w:rFonts w:ascii="仿宋" w:hAnsi="仿宋" w:eastAsia="仿宋"/>
          <w:b w:val="0"/>
          <w:bCs/>
          <w:color w:val="000000"/>
          <w:sz w:val="32"/>
          <w:szCs w:val="32"/>
        </w:rPr>
        <w:t>100%</w:t>
      </w:r>
      <w:r>
        <w:rPr>
          <w:rStyle w:val="16"/>
          <w:rFonts w:hint="eastAsia" w:ascii="仿宋" w:hAnsi="仿宋" w:eastAsia="仿宋"/>
          <w:b w:val="0"/>
          <w:bCs/>
          <w:color w:val="000000"/>
          <w:sz w:val="32"/>
          <w:szCs w:val="32"/>
          <w:lang w:eastAsia="zh-CN"/>
        </w:rPr>
        <w:t>；</w:t>
      </w:r>
      <w:r>
        <w:rPr>
          <w:rStyle w:val="16"/>
          <w:rFonts w:hint="eastAsia" w:ascii="仿宋" w:hAnsi="仿宋" w:eastAsia="仿宋"/>
          <w:b/>
          <w:bCs w:val="0"/>
          <w:color w:val="000000"/>
          <w:sz w:val="32"/>
          <w:szCs w:val="32"/>
          <w:lang w:val="en-US" w:eastAsia="zh-CN"/>
        </w:rPr>
        <w:t>2101102事业单位医疗</w:t>
      </w:r>
      <w:r>
        <w:rPr>
          <w:rStyle w:val="16"/>
          <w:rFonts w:hint="eastAsia" w:ascii="仿宋" w:hAnsi="仿宋" w:eastAsia="仿宋"/>
          <w:b w:val="0"/>
          <w:bCs/>
          <w:color w:val="000000"/>
          <w:sz w:val="32"/>
          <w:szCs w:val="32"/>
          <w:lang w:val="en-US" w:eastAsia="zh-CN"/>
        </w:rPr>
        <w:t>支出3.87万元，完成预算100%；</w:t>
      </w:r>
      <w:r>
        <w:rPr>
          <w:rStyle w:val="16"/>
          <w:rFonts w:hint="eastAsia" w:ascii="仿宋" w:hAnsi="仿宋" w:eastAsia="仿宋"/>
          <w:b/>
          <w:bCs w:val="0"/>
          <w:color w:val="000000"/>
          <w:sz w:val="32"/>
          <w:szCs w:val="32"/>
          <w:lang w:val="en-US" w:eastAsia="zh-CN"/>
        </w:rPr>
        <w:t>2101103公务员医疗补助</w:t>
      </w:r>
      <w:r>
        <w:rPr>
          <w:rStyle w:val="16"/>
          <w:rFonts w:hint="eastAsia" w:ascii="仿宋" w:hAnsi="仿宋" w:eastAsia="仿宋"/>
          <w:b w:val="0"/>
          <w:bCs/>
          <w:color w:val="000000"/>
          <w:sz w:val="32"/>
          <w:szCs w:val="32"/>
          <w:lang w:val="en-US" w:eastAsia="zh-CN"/>
        </w:rPr>
        <w:t>支出5.42万元，完成预算100%；</w:t>
      </w:r>
      <w:r>
        <w:rPr>
          <w:rStyle w:val="16"/>
          <w:rFonts w:hint="eastAsia" w:ascii="仿宋" w:hAnsi="仿宋" w:eastAsia="仿宋"/>
          <w:b/>
          <w:bCs w:val="0"/>
          <w:color w:val="000000"/>
          <w:sz w:val="32"/>
          <w:szCs w:val="32"/>
          <w:lang w:val="en-US" w:eastAsia="zh-CN"/>
        </w:rPr>
        <w:t>2101199其他行政事业单位医疗</w:t>
      </w:r>
      <w:r>
        <w:rPr>
          <w:rStyle w:val="16"/>
          <w:rFonts w:hint="eastAsia" w:ascii="仿宋" w:hAnsi="仿宋" w:eastAsia="仿宋"/>
          <w:b w:val="0"/>
          <w:bCs/>
          <w:color w:val="000000"/>
          <w:sz w:val="32"/>
          <w:szCs w:val="32"/>
          <w:lang w:val="en-US" w:eastAsia="zh-CN"/>
        </w:rPr>
        <w:t>支出0.78万元，完成预算100%。</w:t>
      </w:r>
    </w:p>
    <w:p>
      <w:pPr>
        <w:spacing w:line="600" w:lineRule="exact"/>
        <w:ind w:firstLine="643" w:firstLineChars="200"/>
        <w:rPr>
          <w:rStyle w:val="16"/>
          <w:rFonts w:ascii="仿宋" w:hAnsi="仿宋" w:eastAsia="仿宋"/>
          <w:bCs/>
          <w:color w:val="000000"/>
          <w:sz w:val="32"/>
          <w:szCs w:val="32"/>
        </w:rPr>
      </w:pPr>
      <w:r>
        <w:rPr>
          <w:rFonts w:hint="eastAsia" w:ascii="仿宋" w:hAnsi="仿宋" w:eastAsia="仿宋"/>
          <w:b/>
          <w:bCs/>
          <w:color w:val="000000" w:themeColor="text1"/>
          <w:sz w:val="32"/>
          <w:szCs w:val="32"/>
          <w:lang w:val="en-US" w:eastAsia="zh-CN"/>
          <w14:textFill>
            <w14:solidFill>
              <w14:schemeClr w14:val="tx1"/>
            </w14:solidFill>
          </w14:textFill>
        </w:rPr>
        <w:t>5.</w:t>
      </w:r>
      <w:r>
        <w:rPr>
          <w:rFonts w:hint="eastAsia" w:ascii="仿宋" w:hAnsi="仿宋" w:eastAsia="仿宋"/>
          <w:b/>
          <w:bCs/>
          <w:color w:val="000000" w:themeColor="text1"/>
          <w:sz w:val="32"/>
          <w:szCs w:val="32"/>
          <w14:textFill>
            <w14:solidFill>
              <w14:schemeClr w14:val="tx1"/>
            </w14:solidFill>
          </w14:textFill>
        </w:rPr>
        <w:t>住房保障</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类</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w:t>
      </w:r>
      <w:r>
        <w:rPr>
          <w:rFonts w:hint="eastAsia" w:ascii="仿宋" w:hAnsi="仿宋" w:eastAsia="仿宋"/>
          <w:b/>
          <w:bCs/>
          <w:color w:val="000000"/>
          <w:sz w:val="32"/>
          <w:szCs w:val="32"/>
          <w:lang w:val="en-US" w:eastAsia="zh-CN"/>
        </w:rPr>
        <w:t>2210201住房公积金</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40.01</w:t>
      </w:r>
      <w:r>
        <w:rPr>
          <w:rStyle w:val="16"/>
          <w:rFonts w:hint="eastAsia" w:ascii="仿宋" w:hAnsi="仿宋" w:eastAsia="仿宋"/>
          <w:b w:val="0"/>
          <w:bCs/>
          <w:color w:val="000000"/>
          <w:sz w:val="32"/>
          <w:szCs w:val="32"/>
        </w:rPr>
        <w:t>万元，完成预算</w:t>
      </w:r>
      <w:r>
        <w:rPr>
          <w:rStyle w:val="16"/>
          <w:rFonts w:ascii="仿宋" w:hAnsi="仿宋" w:eastAsia="仿宋"/>
          <w:b w:val="0"/>
          <w:bCs/>
          <w:color w:val="000000"/>
          <w:sz w:val="32"/>
          <w:szCs w:val="32"/>
        </w:rPr>
        <w:t>100%</w:t>
      </w:r>
      <w:r>
        <w:rPr>
          <w:rStyle w:val="16"/>
          <w:rFonts w:hint="eastAsia" w:ascii="仿宋" w:hAnsi="仿宋" w:eastAsia="仿宋"/>
          <w:b w:val="0"/>
          <w:bCs/>
          <w:color w:val="000000"/>
          <w:sz w:val="32"/>
          <w:szCs w:val="32"/>
          <w:lang w:eastAsia="zh-CN"/>
        </w:rPr>
        <w:t>。</w:t>
      </w:r>
    </w:p>
    <w:p>
      <w:pPr>
        <w:tabs>
          <w:tab w:val="right" w:pos="8306"/>
        </w:tabs>
        <w:spacing w:line="600" w:lineRule="exact"/>
        <w:ind w:firstLine="640"/>
        <w:outlineLvl w:val="1"/>
        <w:rPr>
          <w:rStyle w:val="27"/>
        </w:rPr>
      </w:pPr>
      <w:bookmarkStart w:id="59" w:name="_Toc27084"/>
      <w:bookmarkStart w:id="60" w:name="_Toc15377214"/>
      <w:bookmarkStart w:id="6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7"/>
          <w:rFonts w:hint="eastAsia" w:ascii="黑体" w:hAnsi="黑体" w:eastAsia="黑体"/>
          <w:b w:val="0"/>
        </w:rPr>
        <w:t>般公共预算财政拨款基本支出决算情况说明</w:t>
      </w:r>
      <w:bookmarkEnd w:id="59"/>
      <w:bookmarkEnd w:id="60"/>
      <w:bookmarkEnd w:id="61"/>
      <w:r>
        <w:rPr>
          <w:rStyle w:val="27"/>
          <w:rFonts w:ascii="黑体" w:hAnsi="黑体" w:eastAsia="黑体"/>
          <w:b w:val="0"/>
        </w:rPr>
        <w:tab/>
      </w:r>
    </w:p>
    <w:p>
      <w:pPr>
        <w:spacing w:line="600" w:lineRule="exact"/>
        <w:ind w:firstLine="645"/>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2019年一般公共预算财政拨款基本支出</w:t>
      </w:r>
      <w:r>
        <w:rPr>
          <w:rFonts w:hint="eastAsia" w:ascii="仿宋_GB2312" w:hAnsi="仿宋_GB2312" w:eastAsia="仿宋_GB2312" w:cs="仿宋_GB2312"/>
          <w:color w:val="000000"/>
          <w:sz w:val="32"/>
          <w:szCs w:val="32"/>
          <w:lang w:val="en-US" w:eastAsia="zh-CN"/>
        </w:rPr>
        <w:t>1098.09</w:t>
      </w:r>
      <w:r>
        <w:rPr>
          <w:rFonts w:hint="eastAsia" w:ascii="仿宋_GB2312" w:hAnsi="仿宋_GB2312" w:eastAsia="仿宋_GB2312" w:cs="仿宋_GB2312"/>
          <w:color w:val="000000"/>
          <w:sz w:val="32"/>
          <w:szCs w:val="32"/>
        </w:rPr>
        <w:t>万元，其中：</w:t>
      </w:r>
    </w:p>
    <w:p>
      <w:pPr>
        <w:spacing w:line="600" w:lineRule="exact"/>
        <w:ind w:firstLine="645"/>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人员经费</w:t>
      </w:r>
      <w:r>
        <w:rPr>
          <w:rFonts w:hint="eastAsia" w:ascii="仿宋_GB2312" w:hAnsi="仿宋_GB2312" w:eastAsia="仿宋_GB2312" w:cs="仿宋_GB2312"/>
          <w:color w:val="000000"/>
          <w:sz w:val="32"/>
          <w:szCs w:val="32"/>
          <w:lang w:val="en-US" w:eastAsia="zh-CN"/>
        </w:rPr>
        <w:t>643.62</w:t>
      </w:r>
      <w:r>
        <w:rPr>
          <w:rFonts w:hint="eastAsia" w:ascii="仿宋_GB2312" w:hAnsi="仿宋_GB2312" w:eastAsia="仿宋_GB2312" w:cs="仿宋_GB2312"/>
          <w:color w:val="000000"/>
          <w:sz w:val="32"/>
          <w:szCs w:val="32"/>
        </w:rPr>
        <w:t>万元，主要包括：基本工资</w:t>
      </w:r>
      <w:r>
        <w:rPr>
          <w:rFonts w:hint="eastAsia" w:ascii="仿宋_GB2312" w:hAnsi="仿宋_GB2312" w:eastAsia="仿宋_GB2312" w:cs="仿宋_GB2312"/>
          <w:color w:val="000000"/>
          <w:sz w:val="32"/>
          <w:szCs w:val="32"/>
          <w:lang w:val="en-US" w:eastAsia="zh-CN"/>
        </w:rPr>
        <w:t>87.87万元</w:t>
      </w:r>
      <w:r>
        <w:rPr>
          <w:rFonts w:hint="eastAsia" w:ascii="仿宋_GB2312" w:hAnsi="仿宋_GB2312" w:eastAsia="仿宋_GB2312" w:cs="仿宋_GB2312"/>
          <w:color w:val="000000"/>
          <w:sz w:val="32"/>
          <w:szCs w:val="32"/>
        </w:rPr>
        <w:t>、津贴补贴</w:t>
      </w:r>
      <w:r>
        <w:rPr>
          <w:rFonts w:hint="eastAsia" w:ascii="仿宋_GB2312" w:hAnsi="仿宋_GB2312" w:eastAsia="仿宋_GB2312" w:cs="仿宋_GB2312"/>
          <w:color w:val="000000"/>
          <w:sz w:val="32"/>
          <w:szCs w:val="32"/>
          <w:lang w:val="en-US" w:eastAsia="zh-CN"/>
        </w:rPr>
        <w:t>155.37万元</w:t>
      </w:r>
      <w:r>
        <w:rPr>
          <w:rFonts w:hint="eastAsia" w:ascii="仿宋_GB2312" w:hAnsi="仿宋_GB2312" w:eastAsia="仿宋_GB2312" w:cs="仿宋_GB2312"/>
          <w:color w:val="000000"/>
          <w:sz w:val="32"/>
          <w:szCs w:val="32"/>
        </w:rPr>
        <w:t>、奖金</w:t>
      </w:r>
      <w:r>
        <w:rPr>
          <w:rFonts w:hint="eastAsia" w:ascii="仿宋_GB2312" w:hAnsi="仿宋_GB2312" w:eastAsia="仿宋_GB2312" w:cs="仿宋_GB2312"/>
          <w:color w:val="000000"/>
          <w:sz w:val="32"/>
          <w:szCs w:val="32"/>
          <w:lang w:val="en-US" w:eastAsia="zh-CN"/>
        </w:rPr>
        <w:t>63.18万元</w:t>
      </w:r>
      <w:r>
        <w:rPr>
          <w:rFonts w:hint="eastAsia" w:ascii="仿宋_GB2312" w:hAnsi="仿宋_GB2312" w:eastAsia="仿宋_GB2312" w:cs="仿宋_GB2312"/>
          <w:color w:val="000000"/>
          <w:sz w:val="32"/>
          <w:szCs w:val="32"/>
        </w:rPr>
        <w:t>、绩效工资</w:t>
      </w:r>
      <w:r>
        <w:rPr>
          <w:rFonts w:hint="eastAsia" w:ascii="仿宋_GB2312" w:hAnsi="仿宋_GB2312" w:eastAsia="仿宋_GB2312" w:cs="仿宋_GB2312"/>
          <w:color w:val="000000"/>
          <w:sz w:val="32"/>
          <w:szCs w:val="32"/>
          <w:lang w:val="en-US" w:eastAsia="zh-CN"/>
        </w:rPr>
        <w:t>7.83万元</w:t>
      </w:r>
      <w:r>
        <w:rPr>
          <w:rFonts w:hint="eastAsia" w:ascii="仿宋_GB2312" w:hAnsi="仿宋_GB2312" w:eastAsia="仿宋_GB2312" w:cs="仿宋_GB2312"/>
          <w:color w:val="000000"/>
          <w:sz w:val="32"/>
          <w:szCs w:val="32"/>
        </w:rPr>
        <w:t>、机关事业单位基本养老保险缴费</w:t>
      </w:r>
      <w:r>
        <w:rPr>
          <w:rFonts w:hint="eastAsia" w:ascii="仿宋_GB2312" w:hAnsi="仿宋_GB2312" w:eastAsia="仿宋_GB2312" w:cs="仿宋_GB2312"/>
          <w:color w:val="000000"/>
          <w:sz w:val="32"/>
          <w:szCs w:val="32"/>
          <w:lang w:val="en-US" w:eastAsia="zh-CN"/>
        </w:rPr>
        <w:t>46.15万元</w:t>
      </w:r>
      <w:r>
        <w:rPr>
          <w:rFonts w:hint="eastAsia" w:ascii="仿宋_GB2312" w:hAnsi="仿宋_GB2312" w:eastAsia="仿宋_GB2312" w:cs="仿宋_GB2312"/>
          <w:color w:val="000000"/>
          <w:sz w:val="32"/>
          <w:szCs w:val="32"/>
        </w:rPr>
        <w:t>、职业年金缴费</w:t>
      </w:r>
      <w:r>
        <w:rPr>
          <w:rFonts w:hint="eastAsia" w:ascii="仿宋_GB2312" w:hAnsi="仿宋_GB2312" w:eastAsia="仿宋_GB2312" w:cs="仿宋_GB2312"/>
          <w:color w:val="000000"/>
          <w:sz w:val="32"/>
          <w:szCs w:val="32"/>
          <w:lang w:val="en-US" w:eastAsia="zh-CN"/>
        </w:rPr>
        <w:t>20.31万元</w:t>
      </w:r>
      <w:r>
        <w:rPr>
          <w:rFonts w:hint="eastAsia" w:ascii="仿宋_GB2312" w:hAnsi="仿宋_GB2312" w:eastAsia="仿宋_GB2312" w:cs="仿宋_GB2312"/>
          <w:color w:val="000000"/>
          <w:sz w:val="32"/>
          <w:szCs w:val="32"/>
        </w:rPr>
        <w:t>、职工基本医疗保险缴费</w:t>
      </w:r>
      <w:r>
        <w:rPr>
          <w:rFonts w:hint="eastAsia" w:ascii="仿宋_GB2312" w:hAnsi="仿宋_GB2312" w:eastAsia="仿宋_GB2312" w:cs="仿宋_GB2312"/>
          <w:color w:val="000000"/>
          <w:sz w:val="32"/>
          <w:szCs w:val="32"/>
          <w:lang w:val="en-US" w:eastAsia="zh-CN"/>
        </w:rPr>
        <w:t>22.84万元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公务员医疗补助缴费</w:t>
      </w:r>
      <w:r>
        <w:rPr>
          <w:rFonts w:hint="eastAsia" w:ascii="仿宋_GB2312" w:hAnsi="仿宋_GB2312" w:eastAsia="仿宋_GB2312" w:cs="仿宋_GB2312"/>
          <w:color w:val="000000"/>
          <w:sz w:val="32"/>
          <w:szCs w:val="32"/>
          <w:lang w:val="en-US" w:eastAsia="zh-CN"/>
        </w:rPr>
        <w:t>6.2万元、</w:t>
      </w:r>
      <w:r>
        <w:rPr>
          <w:rFonts w:hint="eastAsia" w:ascii="仿宋_GB2312" w:hAnsi="仿宋_GB2312" w:eastAsia="仿宋_GB2312" w:cs="仿宋_GB2312"/>
          <w:color w:val="000000"/>
          <w:sz w:val="32"/>
          <w:szCs w:val="32"/>
        </w:rPr>
        <w:t>其他社会保障缴费</w:t>
      </w:r>
      <w:r>
        <w:rPr>
          <w:rFonts w:hint="eastAsia" w:ascii="仿宋_GB2312" w:hAnsi="仿宋_GB2312" w:eastAsia="仿宋_GB2312" w:cs="仿宋_GB2312"/>
          <w:color w:val="000000"/>
          <w:sz w:val="32"/>
          <w:szCs w:val="32"/>
          <w:lang w:val="en-US" w:eastAsia="zh-CN"/>
        </w:rPr>
        <w:t>5万元</w:t>
      </w:r>
      <w:r>
        <w:rPr>
          <w:rFonts w:hint="eastAsia" w:ascii="仿宋_GB2312" w:hAnsi="仿宋_GB2312" w:eastAsia="仿宋_GB2312" w:cs="仿宋_GB2312"/>
          <w:color w:val="000000"/>
          <w:sz w:val="32"/>
          <w:szCs w:val="32"/>
        </w:rPr>
        <w:t>、住房公积金</w:t>
      </w:r>
      <w:r>
        <w:rPr>
          <w:rFonts w:hint="eastAsia" w:ascii="仿宋_GB2312" w:hAnsi="仿宋_GB2312" w:eastAsia="仿宋_GB2312" w:cs="仿宋_GB2312"/>
          <w:color w:val="000000"/>
          <w:sz w:val="32"/>
          <w:szCs w:val="32"/>
          <w:lang w:val="en-US" w:eastAsia="zh-CN"/>
        </w:rPr>
        <w:t>40.01万元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医疗费2.4万元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highlight w:val="none"/>
        </w:rPr>
        <w:t>医疗费补助</w:t>
      </w:r>
      <w:r>
        <w:rPr>
          <w:rFonts w:hint="eastAsia" w:ascii="仿宋_GB2312" w:hAnsi="仿宋_GB2312" w:eastAsia="仿宋_GB2312" w:cs="仿宋_GB2312"/>
          <w:color w:val="000000"/>
          <w:sz w:val="32"/>
          <w:szCs w:val="32"/>
          <w:highlight w:val="none"/>
          <w:lang w:val="en-US" w:eastAsia="zh-CN"/>
        </w:rPr>
        <w:t>6.45万元</w:t>
      </w:r>
      <w:r>
        <w:rPr>
          <w:rFonts w:hint="eastAsia" w:ascii="仿宋_GB2312" w:hAnsi="仿宋_GB2312" w:eastAsia="仿宋_GB2312" w:cs="仿宋_GB2312"/>
          <w:color w:val="000000"/>
          <w:sz w:val="32"/>
          <w:szCs w:val="32"/>
          <w:highlight w:val="none"/>
        </w:rPr>
        <w:t>、奖励金</w:t>
      </w:r>
      <w:r>
        <w:rPr>
          <w:rFonts w:hint="eastAsia" w:ascii="仿宋_GB2312" w:hAnsi="仿宋_GB2312" w:eastAsia="仿宋_GB2312" w:cs="仿宋_GB2312"/>
          <w:color w:val="000000"/>
          <w:sz w:val="32"/>
          <w:szCs w:val="32"/>
          <w:highlight w:val="none"/>
          <w:lang w:val="en-US" w:eastAsia="zh-CN"/>
        </w:rPr>
        <w:t>12.68万元</w:t>
      </w:r>
      <w:r>
        <w:rPr>
          <w:rFonts w:hint="eastAsia" w:ascii="仿宋_GB2312" w:hAnsi="仿宋_GB2312" w:eastAsia="仿宋_GB2312" w:cs="仿宋_GB2312"/>
          <w:color w:val="000000"/>
          <w:sz w:val="32"/>
          <w:szCs w:val="32"/>
          <w:highlight w:val="none"/>
        </w:rPr>
        <w:t>、其他对个人和家庭的补助支出</w:t>
      </w:r>
      <w:r>
        <w:rPr>
          <w:rFonts w:hint="eastAsia" w:ascii="仿宋_GB2312" w:hAnsi="仿宋_GB2312" w:eastAsia="仿宋_GB2312" w:cs="仿宋_GB2312"/>
          <w:color w:val="000000"/>
          <w:sz w:val="32"/>
          <w:szCs w:val="32"/>
          <w:highlight w:val="none"/>
          <w:lang w:val="en-US" w:eastAsia="zh-CN"/>
        </w:rPr>
        <w:t>167.32</w:t>
      </w:r>
      <w:r>
        <w:rPr>
          <w:rFonts w:hint="eastAsia" w:ascii="仿宋_GB2312" w:hAnsi="仿宋_GB2312" w:eastAsia="仿宋_GB2312" w:cs="仿宋_GB2312"/>
          <w:color w:val="000000"/>
          <w:sz w:val="32"/>
          <w:szCs w:val="32"/>
          <w:highlight w:val="none"/>
        </w:rPr>
        <w:t>等。</w:t>
      </w:r>
      <w:r>
        <w:rPr>
          <w:rFonts w:hint="eastAsia" w:ascii="仿宋_GB2312" w:hAnsi="仿宋_GB2312" w:eastAsia="仿宋_GB2312" w:cs="仿宋_GB2312"/>
          <w:color w:val="000000"/>
          <w:sz w:val="32"/>
          <w:szCs w:val="32"/>
          <w:highlight w:val="none"/>
        </w:rPr>
        <w:br w:type="textWrapping"/>
      </w:r>
      <w:r>
        <w:rPr>
          <w:rFonts w:hint="eastAsia" w:ascii="仿宋_GB2312" w:hAnsi="仿宋_GB2312" w:eastAsia="仿宋_GB2312" w:cs="仿宋_GB2312"/>
          <w:color w:val="000000"/>
          <w:sz w:val="32"/>
          <w:szCs w:val="32"/>
        </w:rPr>
        <w:t>　　日常公用经费</w:t>
      </w:r>
      <w:r>
        <w:rPr>
          <w:rFonts w:hint="eastAsia" w:ascii="仿宋_GB2312" w:hAnsi="仿宋_GB2312" w:eastAsia="仿宋_GB2312" w:cs="仿宋_GB2312"/>
          <w:color w:val="000000"/>
          <w:sz w:val="32"/>
          <w:szCs w:val="32"/>
          <w:lang w:val="en-US" w:eastAsia="zh-CN"/>
        </w:rPr>
        <w:t>454.47</w:t>
      </w:r>
      <w:r>
        <w:rPr>
          <w:rFonts w:hint="eastAsia" w:ascii="仿宋_GB2312" w:hAnsi="仿宋_GB2312" w:eastAsia="仿宋_GB2312" w:cs="仿宋_GB2312"/>
          <w:color w:val="000000"/>
          <w:sz w:val="32"/>
          <w:szCs w:val="32"/>
        </w:rPr>
        <w:t>万元，主要包括：办公费</w:t>
      </w:r>
      <w:r>
        <w:rPr>
          <w:rFonts w:hint="eastAsia" w:ascii="仿宋_GB2312" w:hAnsi="仿宋_GB2312" w:eastAsia="仿宋_GB2312" w:cs="仿宋_GB2312"/>
          <w:color w:val="000000"/>
          <w:sz w:val="32"/>
          <w:szCs w:val="32"/>
          <w:lang w:val="en-US" w:eastAsia="zh-CN"/>
        </w:rPr>
        <w:t>84.96万元</w:t>
      </w:r>
      <w:r>
        <w:rPr>
          <w:rFonts w:hint="eastAsia" w:ascii="仿宋_GB2312" w:hAnsi="仿宋_GB2312" w:eastAsia="仿宋_GB2312" w:cs="仿宋_GB2312"/>
          <w:color w:val="000000"/>
          <w:sz w:val="32"/>
          <w:szCs w:val="32"/>
        </w:rPr>
        <w:t>、印刷费</w:t>
      </w:r>
      <w:r>
        <w:rPr>
          <w:rFonts w:hint="eastAsia" w:ascii="仿宋_GB2312" w:hAnsi="仿宋_GB2312" w:eastAsia="仿宋_GB2312" w:cs="仿宋_GB2312"/>
          <w:color w:val="000000"/>
          <w:sz w:val="32"/>
          <w:szCs w:val="32"/>
          <w:lang w:val="en-US" w:eastAsia="zh-CN"/>
        </w:rPr>
        <w:t>16.89万元</w:t>
      </w:r>
      <w:r>
        <w:rPr>
          <w:rFonts w:hint="eastAsia" w:ascii="仿宋_GB2312" w:hAnsi="仿宋_GB2312" w:eastAsia="仿宋_GB2312" w:cs="仿宋_GB2312"/>
          <w:color w:val="000000"/>
          <w:sz w:val="32"/>
          <w:szCs w:val="32"/>
        </w:rPr>
        <w:t>、手续费</w:t>
      </w:r>
      <w:r>
        <w:rPr>
          <w:rFonts w:hint="eastAsia" w:ascii="仿宋_GB2312" w:hAnsi="仿宋_GB2312" w:eastAsia="仿宋_GB2312" w:cs="仿宋_GB2312"/>
          <w:color w:val="000000"/>
          <w:sz w:val="32"/>
          <w:szCs w:val="32"/>
          <w:lang w:val="en-US" w:eastAsia="zh-CN"/>
        </w:rPr>
        <w:t>0.12万元</w:t>
      </w:r>
      <w:r>
        <w:rPr>
          <w:rFonts w:hint="eastAsia" w:ascii="仿宋_GB2312" w:hAnsi="仿宋_GB2312" w:eastAsia="仿宋_GB2312" w:cs="仿宋_GB2312"/>
          <w:color w:val="000000"/>
          <w:sz w:val="32"/>
          <w:szCs w:val="32"/>
        </w:rPr>
        <w:t>、水费</w:t>
      </w:r>
      <w:r>
        <w:rPr>
          <w:rFonts w:hint="eastAsia" w:ascii="仿宋_GB2312" w:hAnsi="仿宋_GB2312" w:eastAsia="仿宋_GB2312" w:cs="仿宋_GB2312"/>
          <w:color w:val="000000"/>
          <w:sz w:val="32"/>
          <w:szCs w:val="32"/>
          <w:lang w:val="en-US" w:eastAsia="zh-CN"/>
        </w:rPr>
        <w:t>0.35万元</w:t>
      </w:r>
      <w:r>
        <w:rPr>
          <w:rFonts w:hint="eastAsia" w:ascii="仿宋_GB2312" w:hAnsi="仿宋_GB2312" w:eastAsia="仿宋_GB2312" w:cs="仿宋_GB2312"/>
          <w:color w:val="000000"/>
          <w:sz w:val="32"/>
          <w:szCs w:val="32"/>
        </w:rPr>
        <w:t>、电费</w:t>
      </w:r>
      <w:r>
        <w:rPr>
          <w:rFonts w:hint="eastAsia" w:ascii="仿宋_GB2312" w:hAnsi="仿宋_GB2312" w:eastAsia="仿宋_GB2312" w:cs="仿宋_GB2312"/>
          <w:color w:val="000000"/>
          <w:sz w:val="32"/>
          <w:szCs w:val="32"/>
          <w:lang w:val="en-US" w:eastAsia="zh-CN"/>
        </w:rPr>
        <w:t>4.54万元</w:t>
      </w:r>
      <w:r>
        <w:rPr>
          <w:rFonts w:hint="eastAsia" w:ascii="仿宋_GB2312" w:hAnsi="仿宋_GB2312" w:eastAsia="仿宋_GB2312" w:cs="仿宋_GB2312"/>
          <w:color w:val="000000"/>
          <w:sz w:val="32"/>
          <w:szCs w:val="32"/>
        </w:rPr>
        <w:t>、邮电费</w:t>
      </w:r>
      <w:r>
        <w:rPr>
          <w:rFonts w:hint="eastAsia" w:ascii="仿宋_GB2312" w:hAnsi="仿宋_GB2312" w:eastAsia="仿宋_GB2312" w:cs="仿宋_GB2312"/>
          <w:color w:val="000000"/>
          <w:sz w:val="32"/>
          <w:szCs w:val="32"/>
          <w:lang w:val="en-US" w:eastAsia="zh-CN"/>
        </w:rPr>
        <w:t>10.82万元</w:t>
      </w:r>
      <w:r>
        <w:rPr>
          <w:rFonts w:hint="eastAsia" w:ascii="仿宋_GB2312" w:hAnsi="仿宋_GB2312" w:eastAsia="仿宋_GB2312" w:cs="仿宋_GB2312"/>
          <w:color w:val="000000"/>
          <w:sz w:val="32"/>
          <w:szCs w:val="32"/>
        </w:rPr>
        <w:t>、差旅费</w:t>
      </w:r>
      <w:r>
        <w:rPr>
          <w:rFonts w:hint="eastAsia" w:ascii="仿宋_GB2312" w:hAnsi="仿宋_GB2312" w:eastAsia="仿宋_GB2312" w:cs="仿宋_GB2312"/>
          <w:color w:val="000000"/>
          <w:sz w:val="32"/>
          <w:szCs w:val="32"/>
          <w:lang w:val="en-US" w:eastAsia="zh-CN"/>
        </w:rPr>
        <w:t>48.17万元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维修（护）费6.55万元、</w:t>
      </w:r>
      <w:r>
        <w:rPr>
          <w:rFonts w:hint="eastAsia" w:ascii="仿宋_GB2312" w:hAnsi="仿宋_GB2312" w:eastAsia="仿宋_GB2312" w:cs="仿宋_GB2312"/>
          <w:color w:val="000000"/>
          <w:sz w:val="32"/>
          <w:szCs w:val="32"/>
        </w:rPr>
        <w:t>租赁费</w:t>
      </w:r>
      <w:r>
        <w:rPr>
          <w:rFonts w:hint="eastAsia" w:ascii="仿宋_GB2312" w:hAnsi="仿宋_GB2312" w:eastAsia="仿宋_GB2312" w:cs="仿宋_GB2312"/>
          <w:color w:val="000000"/>
          <w:sz w:val="32"/>
          <w:szCs w:val="32"/>
          <w:lang w:val="en-US" w:eastAsia="zh-CN"/>
        </w:rPr>
        <w:t>0.87万元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会议费40万元、</w:t>
      </w:r>
      <w:r>
        <w:rPr>
          <w:rFonts w:hint="eastAsia" w:ascii="仿宋_GB2312" w:hAnsi="仿宋_GB2312" w:eastAsia="仿宋_GB2312" w:cs="仿宋_GB2312"/>
          <w:color w:val="000000"/>
          <w:sz w:val="32"/>
          <w:szCs w:val="32"/>
        </w:rPr>
        <w:t>培训费</w:t>
      </w:r>
      <w:r>
        <w:rPr>
          <w:rFonts w:hint="eastAsia" w:ascii="仿宋_GB2312" w:hAnsi="仿宋_GB2312" w:eastAsia="仿宋_GB2312" w:cs="仿宋_GB2312"/>
          <w:color w:val="000000"/>
          <w:sz w:val="32"/>
          <w:szCs w:val="32"/>
          <w:lang w:val="en-US" w:eastAsia="zh-CN"/>
        </w:rPr>
        <w:t>187.54万元</w:t>
      </w:r>
      <w:r>
        <w:rPr>
          <w:rFonts w:hint="eastAsia" w:ascii="仿宋_GB2312" w:hAnsi="仿宋_GB2312" w:eastAsia="仿宋_GB2312" w:cs="仿宋_GB2312"/>
          <w:color w:val="000000"/>
          <w:sz w:val="32"/>
          <w:szCs w:val="32"/>
        </w:rPr>
        <w:t>、公务接待费</w:t>
      </w:r>
      <w:r>
        <w:rPr>
          <w:rFonts w:hint="eastAsia" w:ascii="仿宋_GB2312" w:hAnsi="仿宋_GB2312" w:eastAsia="仿宋_GB2312" w:cs="仿宋_GB2312"/>
          <w:color w:val="000000"/>
          <w:sz w:val="32"/>
          <w:szCs w:val="32"/>
          <w:lang w:val="en-US" w:eastAsia="zh-CN"/>
        </w:rPr>
        <w:t>0.71万元</w:t>
      </w:r>
      <w:r>
        <w:rPr>
          <w:rFonts w:hint="eastAsia" w:ascii="仿宋_GB2312" w:hAnsi="仿宋_GB2312" w:eastAsia="仿宋_GB2312" w:cs="仿宋_GB2312"/>
          <w:color w:val="000000"/>
          <w:sz w:val="32"/>
          <w:szCs w:val="32"/>
        </w:rPr>
        <w:t>、劳务费</w:t>
      </w:r>
      <w:r>
        <w:rPr>
          <w:rFonts w:hint="eastAsia" w:ascii="仿宋_GB2312" w:hAnsi="仿宋_GB2312" w:eastAsia="仿宋_GB2312" w:cs="仿宋_GB2312"/>
          <w:color w:val="000000"/>
          <w:sz w:val="32"/>
          <w:szCs w:val="32"/>
          <w:lang w:val="en-US" w:eastAsia="zh-CN"/>
        </w:rPr>
        <w:t>2.69万元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委托业务费0.73万元，工会经费6.93万元、</w:t>
      </w:r>
      <w:r>
        <w:rPr>
          <w:rFonts w:hint="eastAsia" w:ascii="仿宋_GB2312" w:hAnsi="仿宋_GB2312" w:eastAsia="仿宋_GB2312" w:cs="仿宋_GB2312"/>
          <w:color w:val="000000"/>
          <w:sz w:val="32"/>
          <w:szCs w:val="32"/>
        </w:rPr>
        <w:t>公务用车运行维护费</w:t>
      </w:r>
      <w:r>
        <w:rPr>
          <w:rFonts w:hint="eastAsia" w:ascii="仿宋_GB2312" w:hAnsi="仿宋_GB2312" w:eastAsia="仿宋_GB2312" w:cs="仿宋_GB2312"/>
          <w:color w:val="000000"/>
          <w:sz w:val="32"/>
          <w:szCs w:val="32"/>
          <w:lang w:val="en-US" w:eastAsia="zh-CN"/>
        </w:rPr>
        <w:t>20.15万元、办公设备购置12万元、</w:t>
      </w:r>
      <w:r>
        <w:rPr>
          <w:rFonts w:hint="eastAsia" w:ascii="仿宋" w:hAnsi="仿宋" w:eastAsia="仿宋"/>
          <w:color w:val="000000"/>
          <w:sz w:val="32"/>
          <w:szCs w:val="32"/>
        </w:rPr>
        <w:t>信息网络及软件购置更新</w:t>
      </w:r>
      <w:r>
        <w:rPr>
          <w:rFonts w:hint="eastAsia" w:ascii="仿宋" w:hAnsi="仿宋" w:eastAsia="仿宋"/>
          <w:color w:val="000000"/>
          <w:sz w:val="32"/>
          <w:szCs w:val="32"/>
          <w:lang w:val="en-US" w:eastAsia="zh-CN"/>
        </w:rPr>
        <w:t>10.45万元</w:t>
      </w:r>
      <w:r>
        <w:rPr>
          <w:rFonts w:hint="eastAsia" w:ascii="仿宋_GB2312" w:hAnsi="仿宋_GB2312" w:eastAsia="仿宋_GB2312" w:cs="仿宋_GB2312"/>
          <w:color w:val="000000"/>
          <w:sz w:val="32"/>
          <w:szCs w:val="32"/>
        </w:rPr>
        <w:t>等。</w:t>
      </w:r>
    </w:p>
    <w:p>
      <w:pPr>
        <w:spacing w:line="600" w:lineRule="exact"/>
        <w:ind w:firstLine="640"/>
        <w:outlineLvl w:val="1"/>
        <w:rPr>
          <w:rStyle w:val="27"/>
          <w:rFonts w:hint="eastAsia" w:ascii="黑体" w:hAnsi="黑体" w:eastAsia="黑体" w:cs="黑体"/>
          <w:b w:val="0"/>
          <w:bCs w:val="0"/>
        </w:rPr>
      </w:pPr>
      <w:bookmarkStart w:id="62" w:name="_Toc31086"/>
      <w:bookmarkStart w:id="63" w:name="_Toc15377215"/>
      <w:bookmarkStart w:id="64" w:name="_Toc15396609"/>
      <w:r>
        <w:rPr>
          <w:rFonts w:hint="eastAsia" w:ascii="黑体" w:hAnsi="黑体" w:eastAsia="黑体" w:cs="黑体"/>
          <w:b w:val="0"/>
          <w:bCs w:val="0"/>
          <w:color w:val="000000"/>
          <w:sz w:val="32"/>
          <w:szCs w:val="32"/>
        </w:rPr>
        <w:t>七、</w:t>
      </w:r>
      <w:r>
        <w:rPr>
          <w:rStyle w:val="27"/>
          <w:rFonts w:hint="eastAsia" w:ascii="黑体" w:hAnsi="黑体" w:eastAsia="黑体" w:cs="黑体"/>
          <w:b w:val="0"/>
          <w:bCs w:val="0"/>
        </w:rPr>
        <w:t>“三公”经费财政拨款支出决算情况说明</w:t>
      </w:r>
      <w:bookmarkEnd w:id="62"/>
      <w:bookmarkEnd w:id="63"/>
      <w:bookmarkEnd w:id="64"/>
    </w:p>
    <w:p>
      <w:pPr>
        <w:spacing w:line="600" w:lineRule="exact"/>
        <w:ind w:firstLine="640"/>
        <w:outlineLvl w:val="2"/>
        <w:rPr>
          <w:rFonts w:hint="eastAsia" w:ascii="仿宋_GB2312" w:hAnsi="仿宋_GB2312" w:eastAsia="仿宋_GB2312" w:cs="仿宋_GB2312"/>
          <w:b/>
          <w:color w:val="000000"/>
          <w:sz w:val="32"/>
          <w:szCs w:val="32"/>
        </w:rPr>
      </w:pPr>
      <w:bookmarkStart w:id="65" w:name="_Toc15377216"/>
      <w:bookmarkStart w:id="66" w:name="_Toc31996"/>
      <w:r>
        <w:rPr>
          <w:rFonts w:hint="eastAsia" w:ascii="仿宋_GB2312" w:hAnsi="仿宋_GB2312" w:eastAsia="仿宋_GB2312" w:cs="仿宋_GB2312"/>
          <w:b/>
          <w:color w:val="000000"/>
          <w:sz w:val="32"/>
          <w:szCs w:val="32"/>
        </w:rPr>
        <w:t>（一）“三公”经费财政拨款支出决算总体情况说明</w:t>
      </w:r>
      <w:bookmarkEnd w:id="65"/>
      <w:bookmarkEnd w:id="66"/>
    </w:p>
    <w:p>
      <w:pPr>
        <w:spacing w:line="600" w:lineRule="exact"/>
        <w:ind w:firstLine="640"/>
        <w:rPr>
          <w:rFonts w:ascii="仿宋" w:hAnsi="仿宋" w:eastAsia="仿宋"/>
          <w:b/>
          <w:color w:val="FF0000"/>
          <w:sz w:val="32"/>
          <w:szCs w:val="32"/>
        </w:rPr>
      </w:pPr>
      <w:r>
        <w:rPr>
          <w:rFonts w:hint="eastAsia" w:ascii="仿宋_GB2312" w:hAnsi="仿宋_GB2312" w:eastAsia="仿宋_GB2312" w:cs="仿宋_GB2312"/>
          <w:color w:val="000000"/>
          <w:sz w:val="32"/>
          <w:szCs w:val="32"/>
        </w:rPr>
        <w:t>2019年“三公”经费财政拨款支出决算为</w:t>
      </w:r>
      <w:r>
        <w:rPr>
          <w:rFonts w:hint="eastAsia" w:ascii="仿宋_GB2312" w:hAnsi="仿宋_GB2312" w:eastAsia="仿宋_GB2312" w:cs="仿宋_GB2312"/>
          <w:color w:val="000000"/>
          <w:sz w:val="32"/>
          <w:szCs w:val="32"/>
          <w:lang w:val="en-US" w:eastAsia="zh-CN"/>
        </w:rPr>
        <w:t>20.86</w:t>
      </w:r>
      <w:r>
        <w:rPr>
          <w:rFonts w:hint="eastAsia" w:ascii="仿宋_GB2312" w:hAnsi="仿宋_GB2312" w:eastAsia="仿宋_GB2312" w:cs="仿宋_GB2312"/>
          <w:color w:val="000000"/>
          <w:sz w:val="32"/>
          <w:szCs w:val="32"/>
        </w:rPr>
        <w:t>万元，完成预算</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%，决算数与预算数持平。</w:t>
      </w:r>
    </w:p>
    <w:p>
      <w:pPr>
        <w:spacing w:line="600" w:lineRule="exact"/>
        <w:ind w:firstLine="640"/>
        <w:outlineLvl w:val="2"/>
        <w:rPr>
          <w:rFonts w:ascii="仿宋" w:hAnsi="仿宋" w:eastAsia="仿宋"/>
          <w:b/>
          <w:color w:val="000000"/>
          <w:sz w:val="32"/>
          <w:szCs w:val="32"/>
        </w:rPr>
      </w:pPr>
      <w:bookmarkStart w:id="67" w:name="_Toc15377217"/>
      <w:bookmarkStart w:id="68" w:name="_Toc19044"/>
      <w:r>
        <w:rPr>
          <w:rFonts w:hint="eastAsia" w:ascii="仿宋" w:hAnsi="仿宋" w:eastAsia="仿宋"/>
          <w:b/>
          <w:color w:val="000000"/>
          <w:sz w:val="32"/>
          <w:szCs w:val="32"/>
        </w:rPr>
        <w:t>（二）“三公”经费财政拨款支出决算具体情况说明</w:t>
      </w:r>
      <w:bookmarkEnd w:id="67"/>
      <w:bookmarkEnd w:id="68"/>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20.15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96.60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0.71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3.4</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anchor distT="0" distB="0" distL="114300" distR="114300" simplePos="0" relativeHeight="251747328" behindDoc="1" locked="0" layoutInCell="1" allowOverlap="1">
            <wp:simplePos x="0" y="0"/>
            <wp:positionH relativeFrom="column">
              <wp:posOffset>163195</wp:posOffset>
            </wp:positionH>
            <wp:positionV relativeFrom="paragraph">
              <wp:posOffset>13970</wp:posOffset>
            </wp:positionV>
            <wp:extent cx="4841240" cy="2237740"/>
            <wp:effectExtent l="4445" t="4445" r="12065" b="5715"/>
            <wp:wrapTight wrapText="bothSides">
              <wp:wrapPolygon>
                <wp:start x="-20" y="-43"/>
                <wp:lineTo x="-20" y="21471"/>
                <wp:lineTo x="21569" y="21471"/>
                <wp:lineTo x="21569" y="-43"/>
                <wp:lineTo x="-20" y="-43"/>
              </wp:wrapPolygon>
            </wp:wrapTight>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numPr>
          <w:ilvl w:val="0"/>
          <w:numId w:val="0"/>
        </w:numPr>
        <w:spacing w:line="600" w:lineRule="exact"/>
        <w:ind w:firstLine="643" w:firstLineChars="200"/>
        <w:rPr>
          <w:rFonts w:ascii="仿宋_GB2312" w:eastAsia="仿宋_GB2312"/>
          <w:b/>
          <w:color w:val="000000"/>
          <w:sz w:val="32"/>
          <w:szCs w:val="32"/>
        </w:rPr>
      </w:pPr>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w:t>
      </w:r>
      <w:r>
        <w:rPr>
          <w:rFonts w:hint="eastAsia" w:ascii="仿宋_GB2312" w:eastAsia="仿宋_GB2312"/>
          <w:color w:val="000000"/>
          <w:sz w:val="32"/>
          <w:szCs w:val="32"/>
          <w:lang w:val="en-US" w:eastAsia="zh-CN"/>
        </w:rPr>
        <w:t>与</w:t>
      </w: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val="en-US" w:eastAsia="zh-CN"/>
        </w:rPr>
        <w:t>决算数一致</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未安排</w:t>
      </w:r>
      <w:r>
        <w:rPr>
          <w:rFonts w:hint="eastAsia" w:ascii="仿宋_GB2312" w:eastAsia="仿宋_GB2312"/>
          <w:b w:val="0"/>
          <w:bCs w:val="0"/>
          <w:color w:val="000000"/>
          <w:sz w:val="32"/>
          <w:szCs w:val="32"/>
        </w:rPr>
        <w:t>因公出国（境）</w:t>
      </w:r>
      <w:r>
        <w:rPr>
          <w:rFonts w:hint="eastAsia" w:ascii="仿宋_GB2312" w:eastAsia="仿宋_GB2312"/>
          <w:b w:val="0"/>
          <w:bCs w:val="0"/>
          <w:color w:val="000000"/>
          <w:sz w:val="32"/>
          <w:szCs w:val="32"/>
          <w:lang w:eastAsia="zh-CN"/>
        </w:rPr>
        <w:t>。</w:t>
      </w:r>
    </w:p>
    <w:p>
      <w:pPr>
        <w:spacing w:line="520" w:lineRule="exact"/>
        <w:ind w:firstLine="643" w:firstLineChars="20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20.15</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hint="eastAsia" w:ascii="仿宋_GB2312" w:eastAsia="仿宋_GB2312"/>
          <w:color w:val="000000"/>
          <w:sz w:val="32"/>
          <w:szCs w:val="32"/>
          <w:lang w:val="en-US" w:eastAsia="zh-CN"/>
        </w:rPr>
        <w:t>2.23</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12.44</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下乡和出差次数较多</w:t>
      </w:r>
      <w:r>
        <w:rPr>
          <w:rFonts w:ascii="仿宋_GB2312" w:eastAsia="仿宋_GB2312"/>
          <w:color w:val="000000"/>
          <w:sz w:val="32"/>
          <w:szCs w:val="32"/>
        </w:rPr>
        <w:t>,</w:t>
      </w:r>
      <w:r>
        <w:rPr>
          <w:rFonts w:hint="eastAsia" w:ascii="仿宋_GB2312" w:eastAsia="仿宋_GB2312"/>
          <w:color w:val="000000"/>
          <w:sz w:val="32"/>
          <w:szCs w:val="32"/>
        </w:rPr>
        <w:t>车辆维修费用和业务用车增加。</w:t>
      </w:r>
    </w:p>
    <w:p>
      <w:pPr>
        <w:spacing w:line="60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 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20.15</w:t>
      </w:r>
      <w:r>
        <w:rPr>
          <w:rFonts w:hint="eastAsia" w:ascii="仿宋_GB2312" w:eastAsia="仿宋_GB2312"/>
          <w:color w:val="000000"/>
          <w:sz w:val="32"/>
          <w:szCs w:val="32"/>
        </w:rPr>
        <w:t>万元。主要用于</w:t>
      </w:r>
      <w:r>
        <w:rPr>
          <w:rFonts w:hint="eastAsia" w:ascii="仿宋_GB2312" w:eastAsia="仿宋_GB2312"/>
          <w:color w:val="000000"/>
          <w:sz w:val="32"/>
          <w:szCs w:val="32"/>
          <w:lang w:val="en-US" w:eastAsia="zh-CN"/>
        </w:rPr>
        <w:t>出差、下乡</w:t>
      </w:r>
      <w:r>
        <w:rPr>
          <w:rFonts w:hint="eastAsia" w:ascii="仿宋_GB2312" w:eastAsia="仿宋_GB2312"/>
          <w:color w:val="000000"/>
          <w:sz w:val="32"/>
          <w:szCs w:val="32"/>
        </w:rPr>
        <w:t>（具体工作）等所需的公务用车燃料费、维修费、过路过桥费、保险费等支出。</w:t>
      </w:r>
    </w:p>
    <w:p>
      <w:pPr>
        <w:numPr>
          <w:ilvl w:val="0"/>
          <w:numId w:val="0"/>
        </w:numPr>
        <w:spacing w:line="600" w:lineRule="exact"/>
        <w:ind w:firstLine="643" w:firstLineChars="200"/>
        <w:rPr>
          <w:rFonts w:hint="eastAsia" w:ascii="仿宋_GB2312" w:eastAsia="仿宋_GB2312"/>
          <w:color w:val="000000"/>
          <w:sz w:val="32"/>
          <w:szCs w:val="32"/>
          <w:lang w:val="en-US" w:eastAsia="zh-CN"/>
        </w:rPr>
      </w:pPr>
      <w:r>
        <w:rPr>
          <w:rFonts w:hint="eastAsia" w:ascii="仿宋_GB2312" w:eastAsia="仿宋_GB2312"/>
          <w:b/>
          <w:color w:val="000000"/>
          <w:sz w:val="32"/>
          <w:szCs w:val="32"/>
          <w:lang w:val="en-US" w:eastAsia="zh-CN"/>
        </w:rPr>
        <w:t>4.</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0.71</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hint="eastAsia" w:ascii="仿宋_GB2312" w:eastAsia="仿宋_GB2312"/>
          <w:color w:val="000000"/>
          <w:sz w:val="32"/>
          <w:szCs w:val="32"/>
          <w:lang w:val="en-US" w:eastAsia="zh-CN"/>
        </w:rPr>
        <w:t>0.05</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7.58</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公务接待增加。</w:t>
      </w:r>
    </w:p>
    <w:p>
      <w:pPr>
        <w:numPr>
          <w:ilvl w:val="0"/>
          <w:numId w:val="0"/>
        </w:num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hAnsi="仿宋_GB2312" w:eastAsia="仿宋_GB2312" w:cs="仿宋_GB2312"/>
          <w:b/>
          <w:bCs/>
          <w:color w:val="000000"/>
          <w:sz w:val="32"/>
          <w:szCs w:val="32"/>
          <w:lang w:val="en-US" w:eastAsia="zh-CN"/>
        </w:rPr>
        <w:t>国</w:t>
      </w:r>
      <w:r>
        <w:rPr>
          <w:rFonts w:hint="eastAsia" w:ascii="仿宋_GB2312" w:hAnsi="仿宋_GB2312" w:eastAsia="仿宋_GB2312" w:cs="仿宋_GB2312"/>
          <w:b/>
          <w:bCs/>
          <w:color w:val="000000"/>
          <w:sz w:val="32"/>
          <w:szCs w:val="32"/>
        </w:rPr>
        <w:t>内公务接待支出</w:t>
      </w:r>
      <w:r>
        <w:rPr>
          <w:rFonts w:hint="eastAsia" w:ascii="仿宋_GB2312" w:hAnsi="仿宋_GB2312" w:eastAsia="仿宋_GB2312" w:cs="仿宋_GB2312"/>
          <w:b/>
          <w:bCs/>
          <w:color w:val="000000"/>
          <w:sz w:val="32"/>
          <w:szCs w:val="32"/>
          <w:lang w:val="en-US" w:eastAsia="zh-CN"/>
        </w:rPr>
        <w:t>0.71</w:t>
      </w:r>
      <w:r>
        <w:rPr>
          <w:rFonts w:hint="eastAsia" w:ascii="仿宋_GB2312" w:eastAsia="仿宋_GB2312"/>
          <w:color w:val="000000"/>
          <w:sz w:val="32"/>
          <w:szCs w:val="32"/>
        </w:rPr>
        <w:t>万元，主要用于执行公务、开展业务活动开支的用餐费。国内公务接待</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80</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0.71</w:t>
      </w:r>
      <w:r>
        <w:rPr>
          <w:rFonts w:hint="eastAsia" w:ascii="仿宋_GB2312" w:eastAsia="仿宋_GB2312"/>
          <w:color w:val="000000"/>
          <w:sz w:val="32"/>
          <w:szCs w:val="32"/>
        </w:rPr>
        <w:t>万元，具体内容包括：</w:t>
      </w:r>
      <w:r>
        <w:rPr>
          <w:rFonts w:hint="eastAsia" w:ascii="仿宋_GB2312" w:eastAsia="仿宋_GB2312"/>
          <w:color w:val="000000"/>
          <w:sz w:val="32"/>
          <w:szCs w:val="32"/>
          <w:lang w:eastAsia="zh-CN"/>
        </w:rPr>
        <w:t>省级领导、州级领导调研、考察组织工作</w:t>
      </w:r>
      <w:r>
        <w:rPr>
          <w:rFonts w:hint="eastAsia" w:ascii="仿宋_GB2312" w:eastAsia="仿宋_GB2312"/>
          <w:color w:val="000000"/>
          <w:sz w:val="32"/>
          <w:szCs w:val="32"/>
        </w:rPr>
        <w:t>。</w:t>
      </w:r>
    </w:p>
    <w:p>
      <w:pPr>
        <w:spacing w:line="600" w:lineRule="exact"/>
        <w:ind w:firstLine="643" w:firstLineChars="200"/>
        <w:rPr>
          <w:rFonts w:ascii="黑体" w:eastAsia="黑体"/>
          <w:color w:val="000000"/>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，外事接待</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批次，</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人，共计支出</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w:t>
      </w:r>
      <w:r>
        <w:rPr>
          <w:rFonts w:hint="eastAsia" w:ascii="仿宋_GB2312" w:eastAsia="仿宋_GB2312"/>
          <w:color w:val="000000" w:themeColor="text1"/>
          <w:sz w:val="32"/>
          <w:szCs w:val="32"/>
          <w:lang w:eastAsia="zh-CN"/>
          <w14:textFill>
            <w14:solidFill>
              <w14:schemeClr w14:val="tx1"/>
            </w14:solidFill>
          </w14:textFill>
        </w:rPr>
        <w:t>。</w:t>
      </w:r>
      <w:bookmarkStart w:id="69" w:name="_Toc15377218"/>
      <w:bookmarkStart w:id="70" w:name="_Toc15396610"/>
    </w:p>
    <w:p>
      <w:pPr>
        <w:spacing w:line="600" w:lineRule="exact"/>
        <w:ind w:firstLine="640"/>
        <w:outlineLvl w:val="1"/>
        <w:rPr>
          <w:rStyle w:val="27"/>
          <w:rFonts w:ascii="黑体" w:hAnsi="黑体" w:eastAsia="黑体"/>
        </w:rPr>
      </w:pPr>
      <w:bookmarkStart w:id="71" w:name="_Toc19370"/>
      <w:r>
        <w:rPr>
          <w:rFonts w:hint="eastAsia" w:ascii="黑体" w:eastAsia="黑体"/>
          <w:color w:val="000000"/>
          <w:sz w:val="32"/>
          <w:szCs w:val="32"/>
        </w:rPr>
        <w:t>八、</w:t>
      </w:r>
      <w:r>
        <w:rPr>
          <w:rStyle w:val="27"/>
          <w:rFonts w:hint="eastAsia" w:ascii="黑体" w:hAnsi="黑体" w:eastAsia="黑体"/>
          <w:b w:val="0"/>
        </w:rPr>
        <w:t>政府性基金预算支出决算情况说明</w:t>
      </w:r>
      <w:bookmarkEnd w:id="69"/>
      <w:bookmarkEnd w:id="70"/>
      <w:bookmarkEnd w:id="71"/>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0"/>
        </w:numPr>
        <w:spacing w:line="600" w:lineRule="exact"/>
        <w:ind w:firstLine="640" w:firstLineChars="200"/>
        <w:outlineLvl w:val="1"/>
        <w:rPr>
          <w:rStyle w:val="27"/>
          <w:rFonts w:ascii="黑体" w:hAnsi="黑体" w:eastAsia="黑体"/>
          <w:b w:val="0"/>
        </w:rPr>
      </w:pPr>
      <w:bookmarkStart w:id="72" w:name="_Toc15396611"/>
      <w:bookmarkStart w:id="73" w:name="_Toc15377219"/>
      <w:bookmarkStart w:id="74" w:name="_Toc30285"/>
      <w:r>
        <w:rPr>
          <w:rStyle w:val="27"/>
          <w:rFonts w:hint="eastAsia" w:ascii="黑体" w:hAnsi="黑体" w:eastAsia="黑体"/>
          <w:b w:val="0"/>
          <w:lang w:val="en-US" w:eastAsia="zh-CN"/>
        </w:rPr>
        <w:t>九、</w:t>
      </w:r>
      <w:r>
        <w:rPr>
          <w:rStyle w:val="27"/>
          <w:rFonts w:hint="eastAsia" w:ascii="黑体" w:hAnsi="黑体" w:eastAsia="黑体"/>
          <w:b w:val="0"/>
        </w:rPr>
        <w:t>国有资本经营预算支出决算情况说明</w:t>
      </w:r>
      <w:bookmarkEnd w:id="72"/>
      <w:bookmarkEnd w:id="73"/>
      <w:bookmarkEnd w:id="74"/>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firstLineChars="200"/>
        <w:outlineLvl w:val="1"/>
        <w:rPr>
          <w:rStyle w:val="27"/>
          <w:rFonts w:ascii="黑体" w:hAnsi="黑体" w:eastAsia="黑体"/>
        </w:rPr>
      </w:pPr>
      <w:bookmarkStart w:id="75" w:name="_Toc15396612"/>
      <w:bookmarkStart w:id="76" w:name="_Toc15377221"/>
      <w:bookmarkStart w:id="77" w:name="_Toc27185"/>
      <w:r>
        <w:rPr>
          <w:rFonts w:hint="eastAsia" w:ascii="黑体" w:hAnsi="黑体" w:eastAsia="黑体"/>
          <w:color w:val="000000"/>
          <w:sz w:val="32"/>
          <w:szCs w:val="32"/>
        </w:rPr>
        <w:t>十</w:t>
      </w:r>
      <w:r>
        <w:rPr>
          <w:rStyle w:val="27"/>
          <w:rFonts w:hint="eastAsia" w:ascii="黑体" w:hAnsi="黑体" w:eastAsia="黑体"/>
        </w:rPr>
        <w:t>、</w:t>
      </w:r>
      <w:r>
        <w:rPr>
          <w:rStyle w:val="27"/>
          <w:rFonts w:hint="eastAsia" w:ascii="黑体" w:hAnsi="黑体" w:eastAsia="黑体"/>
          <w:b w:val="0"/>
        </w:rPr>
        <w:t>其他重要事项的情况说明</w:t>
      </w:r>
      <w:bookmarkEnd w:id="75"/>
      <w:bookmarkEnd w:id="76"/>
      <w:bookmarkEnd w:id="77"/>
    </w:p>
    <w:p>
      <w:pPr>
        <w:spacing w:line="600" w:lineRule="exact"/>
        <w:ind w:firstLine="643" w:firstLineChars="200"/>
        <w:outlineLvl w:val="2"/>
        <w:rPr>
          <w:rFonts w:ascii="仿宋" w:hAnsi="仿宋" w:eastAsia="仿宋"/>
          <w:color w:val="000000"/>
          <w:sz w:val="32"/>
          <w:szCs w:val="32"/>
        </w:rPr>
      </w:pPr>
      <w:bookmarkStart w:id="78" w:name="_Toc15377222"/>
      <w:bookmarkStart w:id="79" w:name="_Toc30093"/>
      <w:r>
        <w:rPr>
          <w:rFonts w:hint="eastAsia" w:ascii="仿宋" w:hAnsi="仿宋" w:eastAsia="仿宋"/>
          <w:b/>
          <w:color w:val="000000"/>
          <w:sz w:val="32"/>
          <w:szCs w:val="32"/>
        </w:rPr>
        <w:t>（一）机关运行经费支出情况</w:t>
      </w:r>
      <w:bookmarkEnd w:id="78"/>
      <w:bookmarkEnd w:id="79"/>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val="en-US" w:eastAsia="zh-CN"/>
        </w:rPr>
        <w:t>组织部</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1098.09</w:t>
      </w:r>
      <w:r>
        <w:rPr>
          <w:rFonts w:hint="eastAsia" w:ascii="仿宋_GB2312" w:eastAsia="仿宋_GB2312"/>
          <w:color w:val="000000"/>
          <w:sz w:val="32"/>
          <w:szCs w:val="32"/>
        </w:rPr>
        <w:t>万元，</w:t>
      </w:r>
      <w:r>
        <w:rPr>
          <w:rFonts w:hint="eastAsia" w:ascii="仿宋_GB2312" w:eastAsia="仿宋_GB2312"/>
          <w:color w:val="auto"/>
          <w:sz w:val="32"/>
          <w:szCs w:val="32"/>
          <w:highlight w:val="none"/>
        </w:rPr>
        <w:t>比</w:t>
      </w:r>
      <w:r>
        <w:rPr>
          <w:rFonts w:ascii="仿宋_GB2312" w:eastAsia="仿宋_GB2312"/>
          <w:color w:val="auto"/>
          <w:sz w:val="32"/>
          <w:szCs w:val="32"/>
          <w:highlight w:val="none"/>
        </w:rPr>
        <w:t>201</w:t>
      </w:r>
      <w:r>
        <w:rPr>
          <w:rFonts w:hint="eastAsia" w:ascii="仿宋_GB2312" w:eastAsia="仿宋_GB2312"/>
          <w:color w:val="auto"/>
          <w:sz w:val="32"/>
          <w:szCs w:val="32"/>
          <w:highlight w:val="none"/>
        </w:rPr>
        <w:t>8年增加</w:t>
      </w:r>
      <w:r>
        <w:rPr>
          <w:rFonts w:hint="eastAsia" w:ascii="仿宋_GB2312" w:eastAsia="仿宋_GB2312"/>
          <w:color w:val="auto"/>
          <w:sz w:val="32"/>
          <w:szCs w:val="32"/>
          <w:highlight w:val="none"/>
          <w:lang w:val="en-US" w:eastAsia="zh-CN"/>
        </w:rPr>
        <w:t>84.62</w:t>
      </w:r>
      <w:r>
        <w:rPr>
          <w:rFonts w:hint="eastAsia" w:ascii="仿宋_GB2312" w:eastAsia="仿宋_GB2312"/>
          <w:color w:val="auto"/>
          <w:sz w:val="32"/>
          <w:szCs w:val="32"/>
          <w:highlight w:val="none"/>
        </w:rPr>
        <w:t>万元，增长</w:t>
      </w:r>
      <w:r>
        <w:rPr>
          <w:rFonts w:hint="eastAsia" w:ascii="仿宋_GB2312" w:eastAsia="仿宋_GB2312"/>
          <w:color w:val="auto"/>
          <w:sz w:val="32"/>
          <w:szCs w:val="32"/>
          <w:highlight w:val="none"/>
          <w:lang w:val="en-US" w:eastAsia="zh-CN"/>
        </w:rPr>
        <w:t>8.35</w:t>
      </w:r>
      <w:r>
        <w:rPr>
          <w:rFonts w:ascii="仿宋_GB2312" w:eastAsia="仿宋_GB2312"/>
          <w:color w:val="auto"/>
          <w:sz w:val="32"/>
          <w:szCs w:val="32"/>
          <w:highlight w:val="none"/>
        </w:rPr>
        <w:t>%</w:t>
      </w:r>
      <w:r>
        <w:rPr>
          <w:rFonts w:hint="eastAsia" w:ascii="仿宋_GB2312" w:eastAsia="仿宋_GB2312"/>
          <w:color w:val="auto"/>
          <w:sz w:val="32"/>
          <w:szCs w:val="32"/>
          <w:highlight w:val="none"/>
        </w:rPr>
        <w:t>。</w:t>
      </w:r>
      <w:r>
        <w:rPr>
          <w:rFonts w:hint="eastAsia" w:ascii="仿宋_GB2312" w:eastAsia="仿宋_GB2312"/>
          <w:color w:val="000000" w:themeColor="text1"/>
          <w:sz w:val="32"/>
          <w:szCs w:val="32"/>
          <w14:textFill>
            <w14:solidFill>
              <w14:schemeClr w14:val="tx1"/>
            </w14:solidFill>
          </w14:textFill>
        </w:rPr>
        <w:t>主要原因是</w:t>
      </w:r>
      <w:r>
        <w:rPr>
          <w:rFonts w:hint="eastAsia" w:ascii="仿宋_GB2312" w:eastAsia="仿宋_GB2312"/>
          <w:color w:val="000000" w:themeColor="text1"/>
          <w:sz w:val="32"/>
          <w:szCs w:val="32"/>
          <w:lang w:eastAsia="zh-CN"/>
          <w14:textFill>
            <w14:solidFill>
              <w14:schemeClr w14:val="tx1"/>
            </w14:solidFill>
          </w14:textFill>
        </w:rPr>
        <w:t>人员</w:t>
      </w:r>
      <w:r>
        <w:rPr>
          <w:rFonts w:hint="eastAsia" w:ascii="仿宋_GB2312" w:eastAsia="仿宋_GB2312"/>
          <w:color w:val="000000" w:themeColor="text1"/>
          <w:sz w:val="32"/>
          <w:szCs w:val="32"/>
          <w:lang w:val="en-US" w:eastAsia="zh-CN"/>
          <w14:textFill>
            <w14:solidFill>
              <w14:schemeClr w14:val="tx1"/>
            </w14:solidFill>
          </w14:textFill>
        </w:rPr>
        <w:t>经费</w:t>
      </w:r>
      <w:r>
        <w:rPr>
          <w:rFonts w:hint="eastAsia" w:ascii="仿宋_GB2312" w:eastAsia="仿宋_GB2312"/>
          <w:color w:val="000000" w:themeColor="text1"/>
          <w:sz w:val="32"/>
          <w:szCs w:val="32"/>
          <w:lang w:eastAsia="zh-CN"/>
          <w14:textFill>
            <w14:solidFill>
              <w14:schemeClr w14:val="tx1"/>
            </w14:solidFill>
          </w14:textFill>
        </w:rPr>
        <w:t>和业务工作经费支出增加。</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80" w:name="_Toc5908"/>
      <w:bookmarkStart w:id="81" w:name="_Toc15377223"/>
      <w:r>
        <w:rPr>
          <w:rFonts w:hint="eastAsia" w:ascii="仿宋" w:hAnsi="仿宋" w:eastAsia="仿宋"/>
          <w:b/>
          <w:color w:val="000000"/>
          <w:sz w:val="32"/>
          <w:szCs w:val="32"/>
        </w:rPr>
        <w:t>（二）政府采购支出情况</w:t>
      </w:r>
      <w:bookmarkEnd w:id="80"/>
      <w:bookmarkEnd w:id="81"/>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val="en-US" w:eastAsia="zh-CN"/>
        </w:rPr>
        <w:t>组织部</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11.15</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11.15</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11.15</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82" w:name="_Toc15377224"/>
      <w:bookmarkStart w:id="83" w:name="_Toc15768"/>
      <w:r>
        <w:rPr>
          <w:rFonts w:hint="eastAsia" w:ascii="仿宋" w:hAnsi="仿宋" w:eastAsia="仿宋"/>
          <w:b/>
          <w:color w:val="000000"/>
          <w:sz w:val="32"/>
          <w:szCs w:val="32"/>
        </w:rPr>
        <w:t>（三）国有资产占有使用情况</w:t>
      </w:r>
      <w:bookmarkEnd w:id="82"/>
      <w:bookmarkEnd w:id="83"/>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val="en-US" w:eastAsia="zh-CN"/>
        </w:rPr>
        <w:t>组织部</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84" w:name="_Toc26353"/>
      <w:r>
        <w:rPr>
          <w:rFonts w:hint="eastAsia" w:ascii="仿宋" w:hAnsi="仿宋" w:eastAsia="仿宋"/>
          <w:b/>
          <w:color w:val="000000"/>
          <w:sz w:val="32"/>
          <w:szCs w:val="32"/>
        </w:rPr>
        <w:t>（四）预算绩效管理情况。</w:t>
      </w:r>
      <w:bookmarkEnd w:id="84"/>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sz w:val="32"/>
          <w:szCs w:val="32"/>
          <w:lang w:val="en-US" w:eastAsia="zh-CN"/>
        </w:rPr>
        <w:t>人才发展专项资金</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本部门按要求对2019年部门整体支出开展绩效自评，从评价情况来看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完成效果较好。</w:t>
      </w:r>
    </w:p>
    <w:p>
      <w:pPr>
        <w:numPr>
          <w:ilvl w:val="0"/>
          <w:numId w:val="3"/>
        </w:numPr>
        <w:spacing w:line="580" w:lineRule="exact"/>
        <w:ind w:firstLine="643" w:firstLineChars="200"/>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项目绩效目标完成情况。</w:t>
      </w:r>
      <w:r>
        <w:rPr>
          <w:rFonts w:hint="eastAsia" w:ascii="楷体_GB2312" w:hAnsi="楷体_GB2312" w:eastAsia="楷体_GB2312" w:cs="楷体_GB2312"/>
          <w:b/>
          <w:bCs/>
          <w:sz w:val="32"/>
          <w:szCs w:val="32"/>
        </w:rPr>
        <w:br w:type="textWrapping"/>
      </w:r>
      <w:r>
        <w:rPr>
          <w:rFonts w:hint="eastAsia" w:ascii="仿宋_GB2312" w:hAnsi="仿宋_GB2312" w:eastAsia="仿宋_GB2312" w:cs="仿宋_GB2312"/>
          <w:sz w:val="32"/>
          <w:szCs w:val="32"/>
        </w:rPr>
        <w:t xml:space="preserve">    本部门在2019年度部门决算中反映“</w:t>
      </w:r>
      <w:r>
        <w:rPr>
          <w:rFonts w:hint="eastAsia" w:ascii="仿宋_GB2312" w:hAnsi="仿宋_GB2312" w:eastAsia="仿宋_GB2312" w:cs="仿宋_GB2312"/>
          <w:sz w:val="32"/>
          <w:szCs w:val="32"/>
          <w:lang w:val="en-US" w:eastAsia="zh-CN"/>
        </w:rPr>
        <w:t>人才工作经费”</w:t>
      </w:r>
      <w:r>
        <w:rPr>
          <w:rFonts w:hint="eastAsia" w:ascii="仿宋_GB2312" w:hAnsi="仿宋_GB2312" w:eastAsia="仿宋_GB2312" w:cs="仿宋_GB2312"/>
          <w:sz w:val="32"/>
          <w:szCs w:val="32"/>
        </w:rPr>
        <w:t>项目绩效目标实际完成情况。</w:t>
      </w:r>
    </w:p>
    <w:p>
      <w:pPr>
        <w:numPr>
          <w:ilvl w:val="0"/>
          <w:numId w:val="4"/>
        </w:numPr>
        <w:spacing w:line="580" w:lineRule="exact"/>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人才发展工作经费</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56</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56</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%。通过项目实施，保障</w:t>
      </w:r>
      <w:r>
        <w:rPr>
          <w:rFonts w:hint="eastAsia" w:ascii="仿宋_GB2312" w:hAnsi="仿宋_GB2312" w:eastAsia="仿宋_GB2312" w:cs="仿宋_GB2312"/>
          <w:sz w:val="32"/>
          <w:szCs w:val="32"/>
          <w:lang w:val="en-US" w:eastAsia="zh-CN"/>
        </w:rPr>
        <w:t>全县人才开发和慰问等日常工作</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val="en-US" w:eastAsia="zh-CN"/>
        </w:rPr>
        <w:t>实施效果不明显</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val="en-US" w:eastAsia="zh-CN"/>
        </w:rPr>
        <w:t>加大投入力度。</w:t>
      </w:r>
    </w:p>
    <w:tbl>
      <w:tblPr>
        <w:tblStyle w:val="14"/>
        <w:tblW w:w="9369" w:type="dxa"/>
        <w:jc w:val="center"/>
        <w:tblLayout w:type="fixed"/>
        <w:tblCellMar>
          <w:top w:w="0" w:type="dxa"/>
          <w:left w:w="0" w:type="dxa"/>
          <w:bottom w:w="0" w:type="dxa"/>
          <w:right w:w="0" w:type="dxa"/>
        </w:tblCellMar>
      </w:tblPr>
      <w:tblGrid>
        <w:gridCol w:w="623"/>
        <w:gridCol w:w="1188"/>
        <w:gridCol w:w="1022"/>
        <w:gridCol w:w="737"/>
        <w:gridCol w:w="1155"/>
        <w:gridCol w:w="1711"/>
        <w:gridCol w:w="1586"/>
        <w:gridCol w:w="1347"/>
      </w:tblGrid>
      <w:tr>
        <w:tblPrEx>
          <w:tblCellMar>
            <w:top w:w="0" w:type="dxa"/>
            <w:left w:w="0" w:type="dxa"/>
            <w:bottom w:w="0" w:type="dxa"/>
            <w:right w:w="0" w:type="dxa"/>
          </w:tblCellMar>
        </w:tblPrEx>
        <w:trPr>
          <w:trHeight w:val="555" w:hRule="atLeast"/>
          <w:jc w:val="center"/>
        </w:trPr>
        <w:tc>
          <w:tcPr>
            <w:tcW w:w="9369" w:type="dxa"/>
            <w:gridSpan w:val="8"/>
            <w:tcBorders>
              <w:top w:val="nil"/>
              <w:left w:val="nil"/>
              <w:bottom w:val="nil"/>
              <w:right w:val="nil"/>
            </w:tcBorders>
            <w:shd w:val="clear" w:color="auto" w:fill="auto"/>
            <w:tcMar>
              <w:top w:w="15" w:type="dxa"/>
              <w:left w:w="15" w:type="dxa"/>
              <w:right w:w="15" w:type="dxa"/>
            </w:tcMar>
            <w:vAlign w:val="center"/>
          </w:tcPr>
          <w:p>
            <w:pPr>
              <w:widowControl/>
              <w:jc w:val="both"/>
              <w:textAlignment w:val="center"/>
              <w:rPr>
                <w:rFonts w:ascii="宋体" w:hAnsi="宋体" w:cs="宋体"/>
                <w:color w:val="000000" w:themeColor="text1"/>
                <w:kern w:val="0"/>
                <w:sz w:val="24"/>
                <w14:textFill>
                  <w14:solidFill>
                    <w14:schemeClr w14:val="tx1"/>
                  </w14:solidFill>
                </w14:textFill>
              </w:rPr>
            </w:pPr>
          </w:p>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555" w:hRule="atLeast"/>
          <w:jc w:val="center"/>
        </w:trPr>
        <w:tc>
          <w:tcPr>
            <w:tcW w:w="283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项目名称</w:t>
            </w:r>
          </w:p>
        </w:tc>
        <w:tc>
          <w:tcPr>
            <w:tcW w:w="653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宋体" w:hAnsi="宋体" w:eastAsia="宋体" w:cs="宋体"/>
                <w:color w:val="000000" w:themeColor="text1"/>
                <w:kern w:val="0"/>
                <w:sz w:val="24"/>
                <w:lang w:val="en-US" w:eastAsia="zh-CN"/>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人才发展经费</w:t>
            </w:r>
          </w:p>
        </w:tc>
      </w:tr>
      <w:tr>
        <w:tblPrEx>
          <w:tblCellMar>
            <w:top w:w="0" w:type="dxa"/>
            <w:left w:w="0" w:type="dxa"/>
            <w:bottom w:w="0" w:type="dxa"/>
            <w:right w:w="0" w:type="dxa"/>
          </w:tblCellMar>
        </w:tblPrEx>
        <w:trPr>
          <w:trHeight w:val="555" w:hRule="atLeast"/>
          <w:jc w:val="center"/>
        </w:trPr>
        <w:tc>
          <w:tcPr>
            <w:tcW w:w="283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预算单位</w:t>
            </w:r>
          </w:p>
        </w:tc>
        <w:tc>
          <w:tcPr>
            <w:tcW w:w="653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1440" w:firstLineChars="600"/>
              <w:jc w:val="both"/>
              <w:textAlignment w:val="center"/>
              <w:rPr>
                <w:rFonts w:hint="default" w:ascii="宋体" w:hAnsi="宋体" w:eastAsia="宋体" w:cs="宋体"/>
                <w:color w:val="000000" w:themeColor="text1"/>
                <w:kern w:val="0"/>
                <w:sz w:val="24"/>
                <w:lang w:val="en-US" w:eastAsia="zh-CN"/>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中共红原县委组织部</w:t>
            </w:r>
          </w:p>
        </w:tc>
      </w:tr>
      <w:tr>
        <w:tblPrEx>
          <w:tblCellMar>
            <w:top w:w="0" w:type="dxa"/>
            <w:left w:w="0" w:type="dxa"/>
            <w:bottom w:w="0" w:type="dxa"/>
            <w:right w:w="0" w:type="dxa"/>
          </w:tblCellMar>
        </w:tblPrEx>
        <w:trPr>
          <w:trHeight w:val="555" w:hRule="atLeast"/>
          <w:jc w:val="center"/>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预算执行情况(万元</w:t>
            </w:r>
          </w:p>
        </w:tc>
        <w:tc>
          <w:tcPr>
            <w:tcW w:w="22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预算数:</w:t>
            </w:r>
          </w:p>
        </w:tc>
        <w:tc>
          <w:tcPr>
            <w:tcW w:w="18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56</w:t>
            </w:r>
            <w:r>
              <w:rPr>
                <w:rFonts w:hint="eastAsia" w:ascii="宋体" w:hAnsi="宋体" w:cs="宋体"/>
                <w:color w:val="000000" w:themeColor="text1"/>
                <w:kern w:val="0"/>
                <w:sz w:val="24"/>
                <w14:textFill>
                  <w14:solidFill>
                    <w14:schemeClr w14:val="tx1"/>
                  </w14:solidFill>
                </w14:textFill>
              </w:rPr>
              <w:t>万元</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执行数:</w:t>
            </w:r>
          </w:p>
        </w:tc>
        <w:tc>
          <w:tcPr>
            <w:tcW w:w="29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56</w:t>
            </w:r>
            <w:r>
              <w:rPr>
                <w:rFonts w:hint="eastAsia" w:ascii="宋体" w:hAnsi="宋体" w:cs="宋体"/>
                <w:color w:val="000000" w:themeColor="text1"/>
                <w:kern w:val="0"/>
                <w:sz w:val="24"/>
                <w14:textFill>
                  <w14:solidFill>
                    <w14:schemeClr w14:val="tx1"/>
                  </w14:solidFill>
                </w14:textFill>
              </w:rPr>
              <w:t>万元</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p>
        </w:tc>
        <w:tc>
          <w:tcPr>
            <w:tcW w:w="22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其中-财政拨款:</w:t>
            </w:r>
          </w:p>
        </w:tc>
        <w:tc>
          <w:tcPr>
            <w:tcW w:w="18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56</w:t>
            </w:r>
            <w:r>
              <w:rPr>
                <w:rFonts w:hint="eastAsia" w:ascii="宋体" w:hAnsi="宋体" w:cs="宋体"/>
                <w:color w:val="000000" w:themeColor="text1"/>
                <w:kern w:val="0"/>
                <w:sz w:val="24"/>
                <w14:textFill>
                  <w14:solidFill>
                    <w14:schemeClr w14:val="tx1"/>
                  </w14:solidFill>
                </w14:textFill>
              </w:rPr>
              <w:t>万元</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其中-财政拨款:</w:t>
            </w:r>
          </w:p>
        </w:tc>
        <w:tc>
          <w:tcPr>
            <w:tcW w:w="29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56</w:t>
            </w:r>
            <w:r>
              <w:rPr>
                <w:rFonts w:hint="eastAsia" w:ascii="宋体" w:hAnsi="宋体" w:cs="宋体"/>
                <w:color w:val="000000" w:themeColor="text1"/>
                <w:kern w:val="0"/>
                <w:sz w:val="24"/>
                <w14:textFill>
                  <w14:solidFill>
                    <w14:schemeClr w14:val="tx1"/>
                  </w14:solidFill>
                </w14:textFill>
              </w:rPr>
              <w:t>万元</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p>
        </w:tc>
        <w:tc>
          <w:tcPr>
            <w:tcW w:w="22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其它资金:</w:t>
            </w:r>
          </w:p>
        </w:tc>
        <w:tc>
          <w:tcPr>
            <w:tcW w:w="18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0</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其它资金:</w:t>
            </w:r>
          </w:p>
        </w:tc>
        <w:tc>
          <w:tcPr>
            <w:tcW w:w="29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0</w:t>
            </w:r>
          </w:p>
        </w:tc>
      </w:tr>
      <w:tr>
        <w:tblPrEx>
          <w:tblCellMar>
            <w:top w:w="0" w:type="dxa"/>
            <w:left w:w="0" w:type="dxa"/>
            <w:bottom w:w="0" w:type="dxa"/>
            <w:right w:w="0" w:type="dxa"/>
          </w:tblCellMar>
        </w:tblPrEx>
        <w:trPr>
          <w:trHeight w:val="555" w:hRule="atLeast"/>
          <w:jc w:val="center"/>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年度目标完成情况</w:t>
            </w:r>
          </w:p>
        </w:tc>
        <w:tc>
          <w:tcPr>
            <w:tcW w:w="294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预期目标</w:t>
            </w:r>
          </w:p>
        </w:tc>
        <w:tc>
          <w:tcPr>
            <w:tcW w:w="579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实际完成目标</w:t>
            </w:r>
          </w:p>
        </w:tc>
      </w:tr>
      <w:tr>
        <w:tblPrEx>
          <w:tblCellMar>
            <w:top w:w="0" w:type="dxa"/>
            <w:left w:w="0" w:type="dxa"/>
            <w:bottom w:w="0" w:type="dxa"/>
            <w:right w:w="0" w:type="dxa"/>
          </w:tblCellMar>
        </w:tblPrEx>
        <w:trPr>
          <w:trHeight w:val="192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p>
        </w:tc>
        <w:tc>
          <w:tcPr>
            <w:tcW w:w="294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宋体" w:hAnsi="宋体" w:eastAsia="宋体" w:cs="宋体"/>
                <w:color w:val="000000" w:themeColor="text1"/>
                <w:kern w:val="0"/>
                <w:sz w:val="24"/>
                <w:lang w:val="en-US" w:eastAsia="zh-CN"/>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全县人才开发</w:t>
            </w:r>
          </w:p>
        </w:tc>
        <w:tc>
          <w:tcPr>
            <w:tcW w:w="579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eastAsia="宋体" w:cs="宋体"/>
                <w:sz w:val="24"/>
                <w:szCs w:val="24"/>
              </w:rPr>
              <w:t>保障</w:t>
            </w:r>
            <w:r>
              <w:rPr>
                <w:rFonts w:hint="eastAsia" w:ascii="宋体" w:hAnsi="宋体" w:eastAsia="宋体" w:cs="宋体"/>
                <w:sz w:val="24"/>
                <w:szCs w:val="24"/>
                <w:lang w:val="en-US" w:eastAsia="zh-CN"/>
              </w:rPr>
              <w:t>全县人才开发和慰问等日常工作</w:t>
            </w:r>
          </w:p>
        </w:tc>
      </w:tr>
      <w:tr>
        <w:tblPrEx>
          <w:tblCellMar>
            <w:top w:w="0" w:type="dxa"/>
            <w:left w:w="0" w:type="dxa"/>
            <w:bottom w:w="0" w:type="dxa"/>
            <w:right w:w="0" w:type="dxa"/>
          </w:tblCellMar>
        </w:tblPrEx>
        <w:trPr>
          <w:trHeight w:val="555" w:hRule="atLeast"/>
          <w:jc w:val="center"/>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ascii="宋体" w:hAnsi="宋体" w:cs="宋体"/>
                <w:color w:val="000000" w:themeColor="text1"/>
                <w:kern w:val="0"/>
                <w:sz w:val="24"/>
                <w14:textFill>
                  <w14:solidFill>
                    <w14:schemeClr w14:val="tx1"/>
                  </w14:solidFill>
                </w14:textFill>
              </w:rPr>
              <w:t>绩效指标完成情况</w:t>
            </w: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drawing>
                <wp:anchor distT="0" distB="0" distL="114300" distR="114300" simplePos="0" relativeHeight="25177190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8" name="直接连接符_10"/>
                  <wp:cNvGraphicFramePr/>
                  <a:graphic xmlns:a="http://schemas.openxmlformats.org/drawingml/2006/main">
                    <a:graphicData uri="http://schemas.openxmlformats.org/drawingml/2006/picture">
                      <pic:pic xmlns:pic="http://schemas.openxmlformats.org/drawingml/2006/picture">
                        <pic:nvPicPr>
                          <pic:cNvPr id="8" name="直接连接符_10"/>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themeColor="text1"/>
                <w:kern w:val="0"/>
                <w:sz w:val="24"/>
                <w14:textFill>
                  <w14:solidFill>
                    <w14:schemeClr w14:val="tx1"/>
                  </w14:solidFill>
                </w14:textFill>
              </w:rPr>
              <w:drawing>
                <wp:anchor distT="0" distB="0" distL="114300" distR="114300" simplePos="0" relativeHeight="251772928"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3" name="直接连接符_8"/>
                  <wp:cNvGraphicFramePr/>
                  <a:graphic xmlns:a="http://schemas.openxmlformats.org/drawingml/2006/main">
                    <a:graphicData uri="http://schemas.openxmlformats.org/drawingml/2006/picture">
                      <pic:pic xmlns:pic="http://schemas.openxmlformats.org/drawingml/2006/picture">
                        <pic:nvPicPr>
                          <pic:cNvPr id="13" name="直接连接符_8"/>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themeColor="text1"/>
                <w:kern w:val="0"/>
                <w:sz w:val="24"/>
                <w14:textFill>
                  <w14:solidFill>
                    <w14:schemeClr w14:val="tx1"/>
                  </w14:solidFill>
                </w14:textFill>
              </w:rPr>
              <w:drawing>
                <wp:anchor distT="0" distB="0" distL="114300" distR="114300" simplePos="0" relativeHeight="251773952"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0" name="直接连接符_9"/>
                  <wp:cNvGraphicFramePr/>
                  <a:graphic xmlns:a="http://schemas.openxmlformats.org/drawingml/2006/main">
                    <a:graphicData uri="http://schemas.openxmlformats.org/drawingml/2006/picture">
                      <pic:pic xmlns:pic="http://schemas.openxmlformats.org/drawingml/2006/picture">
                        <pic:nvPicPr>
                          <pic:cNvPr id="10" name="直接连接符_9"/>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themeColor="text1"/>
                <w:kern w:val="0"/>
                <w:sz w:val="24"/>
                <w14:textFill>
                  <w14:solidFill>
                    <w14:schemeClr w14:val="tx1"/>
                  </w14:solidFill>
                </w14:textFill>
              </w:rPr>
              <w:drawing>
                <wp:anchor distT="0" distB="0" distL="114300" distR="114300" simplePos="0" relativeHeight="25177497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1" name="直接连接符_7"/>
                  <wp:cNvGraphicFramePr/>
                  <a:graphic xmlns:a="http://schemas.openxmlformats.org/drawingml/2006/main">
                    <a:graphicData uri="http://schemas.openxmlformats.org/drawingml/2006/picture">
                      <pic:pic xmlns:pic="http://schemas.openxmlformats.org/drawingml/2006/picture">
                        <pic:nvPicPr>
                          <pic:cNvPr id="11" name="直接连接符_7"/>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themeColor="text1"/>
                <w:kern w:val="0"/>
                <w:sz w:val="24"/>
                <w14:textFill>
                  <w14:solidFill>
                    <w14:schemeClr w14:val="tx1"/>
                  </w14:solidFill>
                </w14:textFill>
              </w:rPr>
              <w:t>一级指标</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二级指标</w:t>
            </w: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三级指标</w:t>
            </w:r>
          </w:p>
        </w:tc>
        <w:tc>
          <w:tcPr>
            <w:tcW w:w="286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指标评价内容</w:t>
            </w:r>
          </w:p>
        </w:tc>
        <w:tc>
          <w:tcPr>
            <w:tcW w:w="158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预期指标值(包含数字及文字描述)</w:t>
            </w: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实际完成指标值(包含数字及文字描述)</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28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15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312"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28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15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76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项目决策</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绩效目标</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目标内容</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项目预期提供的产品、服务、效益或其他目标明确,即绩效目标实际明确个数/应当明确个数×100%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color w:val="000000" w:themeColor="text1"/>
                <w:sz w:val="20"/>
                <w:szCs w:val="20"/>
                <w:lang w:eastAsia="zh-CN"/>
                <w14:textFill>
                  <w14:solidFill>
                    <w14:schemeClr w14:val="tx1"/>
                  </w14:solidFill>
                </w14:textFill>
              </w:rPr>
            </w:pPr>
            <w:r>
              <w:rPr>
                <w:rFonts w:hint="eastAsia" w:ascii="宋体" w:hAnsi="宋体" w:cs="宋体"/>
                <w:color w:val="000000" w:themeColor="text1"/>
                <w:sz w:val="20"/>
                <w:szCs w:val="20"/>
                <w:lang w:val="en-US" w:eastAsia="zh-CN"/>
                <w14:textFill>
                  <w14:solidFill>
                    <w14:schemeClr w14:val="tx1"/>
                  </w14:solidFill>
                </w14:textFill>
              </w:rPr>
              <w:t>人才开发</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color w:val="000000" w:themeColor="text1"/>
                <w:sz w:val="20"/>
                <w:szCs w:val="20"/>
                <w:lang w:eastAsia="zh-CN"/>
                <w14:textFill>
                  <w14:solidFill>
                    <w14:schemeClr w14:val="tx1"/>
                  </w14:solidFill>
                </w14:textFill>
              </w:rPr>
            </w:pPr>
            <w:r>
              <w:rPr>
                <w:rFonts w:hint="eastAsia" w:ascii="宋体" w:hAnsi="宋体" w:cs="宋体"/>
                <w:color w:val="000000" w:themeColor="text1"/>
                <w:sz w:val="20"/>
                <w:szCs w:val="20"/>
                <w:lang w:val="en-US" w:eastAsia="zh-CN"/>
                <w14:textFill>
                  <w14:solidFill>
                    <w14:schemeClr w14:val="tx1"/>
                  </w14:solidFill>
                </w14:textFill>
              </w:rPr>
              <w:t>人才开发</w:t>
            </w:r>
          </w:p>
        </w:tc>
      </w:tr>
      <w:tr>
        <w:tblPrEx>
          <w:tblCellMar>
            <w:top w:w="0" w:type="dxa"/>
            <w:left w:w="0" w:type="dxa"/>
            <w:bottom w:w="0" w:type="dxa"/>
            <w:right w:w="0" w:type="dxa"/>
          </w:tblCellMar>
        </w:tblPrEx>
        <w:trPr>
          <w:trHeight w:val="64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进度计划</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项目计划实施进度明确</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按照工期进度表进行</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按时完工</w:t>
            </w:r>
          </w:p>
        </w:tc>
      </w:tr>
      <w:tr>
        <w:tblPrEx>
          <w:tblCellMar>
            <w:top w:w="0" w:type="dxa"/>
            <w:left w:w="0" w:type="dxa"/>
            <w:bottom w:w="0" w:type="dxa"/>
            <w:right w:w="0" w:type="dxa"/>
          </w:tblCellMar>
        </w:tblPrEx>
        <w:trPr>
          <w:trHeight w:val="69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目标匹配</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绩效目标设定符合实际需求的抽样项目点个数/抽样项目点总数×100%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w:t>
            </w:r>
          </w:p>
        </w:tc>
      </w:tr>
      <w:tr>
        <w:tblPrEx>
          <w:tblCellMar>
            <w:top w:w="0" w:type="dxa"/>
            <w:left w:w="0" w:type="dxa"/>
            <w:bottom w:w="0" w:type="dxa"/>
            <w:right w:w="0" w:type="dxa"/>
          </w:tblCellMar>
        </w:tblPrEx>
        <w:trPr>
          <w:trHeight w:val="76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决策依据</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政策依据</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项目符合党中央、国务院和省委、省政府决策部署；符合当前经济社会发展需要</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符合</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符合</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实施规划</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连续性项目根据需要制定中长期实施规划</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已制定</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已制定</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实施规划符合实际，并根据情况变化适时调整</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管理制度</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制定项目资金管理办法</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已制定</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已制定</w:t>
            </w:r>
          </w:p>
        </w:tc>
      </w:tr>
      <w:tr>
        <w:tblPrEx>
          <w:tblCellMar>
            <w:top w:w="0" w:type="dxa"/>
            <w:left w:w="0" w:type="dxa"/>
            <w:bottom w:w="0" w:type="dxa"/>
            <w:right w:w="0" w:type="dxa"/>
          </w:tblCellMar>
        </w:tblPrEx>
        <w:trPr>
          <w:trHeight w:val="75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项目资金分配决策程序明确</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82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资金分配</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分配方法</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资金分配方法是否科学合理</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分配过程</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分配过程符合相关规定</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76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分配结果</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审核把关</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符合申报条件的抽样项目点个数/抽样项目点总数×100%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1个</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1个</w:t>
            </w:r>
          </w:p>
        </w:tc>
      </w:tr>
      <w:tr>
        <w:tblPrEx>
          <w:tblCellMar>
            <w:top w:w="0" w:type="dxa"/>
            <w:left w:w="0" w:type="dxa"/>
            <w:bottom w:w="0" w:type="dxa"/>
            <w:right w:w="0" w:type="dxa"/>
          </w:tblCellMar>
        </w:tblPrEx>
        <w:trPr>
          <w:trHeight w:val="102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资金集中</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集中</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财政资金占项目资金总额比重较小项目个数/项目总数×100%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r>
      <w:tr>
        <w:tblPrEx>
          <w:tblCellMar>
            <w:top w:w="0" w:type="dxa"/>
            <w:left w:w="0" w:type="dxa"/>
            <w:bottom w:w="0" w:type="dxa"/>
            <w:right w:w="0" w:type="dxa"/>
          </w:tblCellMar>
        </w:tblPrEx>
        <w:trPr>
          <w:trHeight w:val="73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（均衡）</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均衡</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按实际分配结果选择客观因素测算验证资金分配方法制定、分配要素设定、基础数据应用、测算依据选取等是否科学合理（2分）</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54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项目管理</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 xml:space="preserve"> 资金到位</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分配时效</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县级主管部门按规定及时分配资金</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744"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资金拨付</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按规定及时拨付资金</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 xml:space="preserve">资金管理  </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使用范围</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资金使用是否合规</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支付依据</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资金支付依据符合规定，即支付依旧合规资金量/资金总量×100%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开支标准</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资金开支标准符合规定，即开支标准合规资金量/资金总量×100%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73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财务管理</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财务制度</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财务制度健全，管理规范</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会计核算</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会计核算规范</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组织实施（4分）</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项目调整</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项目调整严格履行相关手续</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8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投资变更</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项目投资变更额/项目总投入×100%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76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制度执行</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严格执行项目有关制度规定</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bdr w:val="single" w:color="000000" w:sz="4" w:space="0"/>
                <w14:textFill>
                  <w14:solidFill>
                    <w14:schemeClr w14:val="tx1"/>
                  </w14:solidFill>
                </w14:textFill>
              </w:rPr>
              <w:drawing>
                <wp:anchor distT="0" distB="0" distL="114300" distR="114300" simplePos="0" relativeHeight="251776000"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12" name="直接连接符_6"/>
                  <wp:cNvGraphicFramePr/>
                  <a:graphic xmlns:a="http://schemas.openxmlformats.org/drawingml/2006/main">
                    <a:graphicData uri="http://schemas.openxmlformats.org/drawingml/2006/picture">
                      <pic:pic xmlns:pic="http://schemas.openxmlformats.org/drawingml/2006/picture">
                        <pic:nvPicPr>
                          <pic:cNvPr id="12" name="直接连接符_6"/>
                          <pic:cNvPicPr/>
                        </pic:nvPicPr>
                        <pic:blipFill>
                          <a:blip r:embed="rId14"/>
                          <a:stretch>
                            <a:fillRect/>
                          </a:stretch>
                        </pic:blipFill>
                        <pic:spPr>
                          <a:xfrm>
                            <a:off x="0" y="0"/>
                            <a:ext cx="28575" cy="9525"/>
                          </a:xfrm>
                          <a:prstGeom prst="rect">
                            <a:avLst/>
                          </a:prstGeom>
                          <a:noFill/>
                          <a:ln>
                            <a:noFill/>
                          </a:ln>
                        </pic:spPr>
                      </pic:pic>
                    </a:graphicData>
                  </a:graphic>
                </wp:anchor>
              </w:drawing>
            </w:r>
            <w:r>
              <w:rPr>
                <w:rFonts w:hint="eastAsia" w:ascii="宋体" w:hAnsi="宋体" w:cs="宋体"/>
                <w:color w:val="000000" w:themeColor="text1"/>
                <w:kern w:val="0"/>
                <w:sz w:val="20"/>
                <w:szCs w:val="20"/>
                <w:bdr w:val="single" w:color="000000" w:sz="4" w:space="0"/>
                <w14:textFill>
                  <w14:solidFill>
                    <w14:schemeClr w14:val="tx1"/>
                  </w14:solidFill>
                </w14:textFill>
              </w:rPr>
              <w:drawing>
                <wp:anchor distT="0" distB="0" distL="114300" distR="114300" simplePos="0" relativeHeight="251777024"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14" name="直接连接符_5"/>
                  <wp:cNvGraphicFramePr/>
                  <a:graphic xmlns:a="http://schemas.openxmlformats.org/drawingml/2006/main">
                    <a:graphicData uri="http://schemas.openxmlformats.org/drawingml/2006/picture">
                      <pic:pic xmlns:pic="http://schemas.openxmlformats.org/drawingml/2006/picture">
                        <pic:nvPicPr>
                          <pic:cNvPr id="14" name="直接连接符_5"/>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themeColor="text1"/>
                <w:kern w:val="0"/>
                <w:sz w:val="20"/>
                <w:szCs w:val="20"/>
                <w14:textFill>
                  <w14:solidFill>
                    <w14:schemeClr w14:val="tx1"/>
                  </w14:solidFill>
                </w14:textFill>
              </w:rPr>
              <w:t>项目绩效</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项目完成</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完成数量</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实际完成任务量/绩效目标设定任务量×100%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完成质量</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符合绩效目标设定的验收标准，达到行业基准水平</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符合</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符合</w:t>
            </w:r>
          </w:p>
        </w:tc>
      </w:tr>
      <w:tr>
        <w:tblPrEx>
          <w:tblCellMar>
            <w:top w:w="0" w:type="dxa"/>
            <w:left w:w="0" w:type="dxa"/>
            <w:bottom w:w="0" w:type="dxa"/>
            <w:right w:w="0" w:type="dxa"/>
          </w:tblCellMar>
        </w:tblPrEx>
        <w:trPr>
          <w:trHeight w:val="80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完成时效</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（实际完成时间-绩效目标设定完成时间）/绩效目标设定完成时间×100%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完成成本</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（实际完成成本-预计完成成本）/预计完成成本×100%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r>
      <w:tr>
        <w:tblPrEx>
          <w:tblCellMar>
            <w:top w:w="0" w:type="dxa"/>
            <w:left w:w="0" w:type="dxa"/>
            <w:bottom w:w="0" w:type="dxa"/>
            <w:right w:w="0" w:type="dxa"/>
          </w:tblCellMar>
        </w:tblPrEx>
        <w:trPr>
          <w:trHeight w:val="72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项目效益</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经济效益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反映相关产出对经济社会发展带来的影响和效果，根据项目实际细化具体指标。</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default" w:ascii="宋体" w:hAnsi="宋体" w:eastAsia="宋体" w:cs="宋体"/>
                <w:color w:val="000000" w:themeColor="text1"/>
                <w:kern w:val="0"/>
                <w:sz w:val="20"/>
                <w:szCs w:val="20"/>
                <w:lang w:val="en-US" w:eastAsia="zh-CN"/>
                <w14:textFill>
                  <w14:solidFill>
                    <w14:schemeClr w14:val="tx1"/>
                  </w14:solidFill>
                </w14:textFill>
              </w:rPr>
            </w:pPr>
            <w:r>
              <w:rPr>
                <w:rFonts w:hint="eastAsia" w:ascii="宋体" w:hAnsi="宋体" w:cs="宋体"/>
                <w:color w:val="000000" w:themeColor="text1"/>
                <w:kern w:val="0"/>
                <w:sz w:val="20"/>
                <w:szCs w:val="20"/>
                <w:lang w:val="en-US" w:eastAsia="zh-CN"/>
                <w14:textFill>
                  <w14:solidFill>
                    <w14:schemeClr w14:val="tx1"/>
                  </w14:solidFill>
                </w14:textFill>
              </w:rPr>
              <w:t>优质全县人才发展</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lang w:val="en-US" w:eastAsia="zh-CN"/>
                <w14:textFill>
                  <w14:solidFill>
                    <w14:schemeClr w14:val="tx1"/>
                  </w14:solidFill>
                </w14:textFill>
              </w:rPr>
              <w:t>优质全县人才发展</w:t>
            </w:r>
          </w:p>
        </w:tc>
      </w:tr>
      <w:tr>
        <w:tblPrEx>
          <w:tblCellMar>
            <w:top w:w="0" w:type="dxa"/>
            <w:left w:w="0" w:type="dxa"/>
            <w:bottom w:w="0" w:type="dxa"/>
            <w:right w:w="0" w:type="dxa"/>
          </w:tblCellMar>
        </w:tblPrEx>
        <w:trPr>
          <w:trHeight w:val="1276"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社会效益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反映相关产出对社会发展带来的影响和效果，根据项目实际细化具体指标。</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hint="default" w:ascii="宋体" w:hAnsi="宋体" w:eastAsia="宋体" w:cs="宋体"/>
                <w:color w:val="000000" w:themeColor="text1"/>
                <w:sz w:val="20"/>
                <w:szCs w:val="20"/>
                <w:lang w:val="en-US" w:eastAsia="zh-CN"/>
                <w14:textFill>
                  <w14:solidFill>
                    <w14:schemeClr w14:val="tx1"/>
                  </w14:solidFill>
                </w14:textFill>
              </w:rPr>
            </w:pPr>
            <w:r>
              <w:rPr>
                <w:rFonts w:hint="eastAsia" w:ascii="宋体" w:hAnsi="宋体" w:cs="宋体"/>
                <w:color w:val="000000" w:themeColor="text1"/>
                <w:sz w:val="20"/>
                <w:szCs w:val="20"/>
                <w:lang w:val="en-US" w:eastAsia="zh-CN"/>
                <w14:textFill>
                  <w14:solidFill>
                    <w14:schemeClr w14:val="tx1"/>
                  </w14:solidFill>
                </w14:textFill>
              </w:rPr>
              <w:t>保障优秀人才开发</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hint="default" w:ascii="宋体" w:hAnsi="宋体" w:cs="宋体"/>
                <w:color w:val="000000" w:themeColor="text1"/>
                <w:sz w:val="20"/>
                <w:szCs w:val="20"/>
                <w:lang w:val="en-US"/>
                <w14:textFill>
                  <w14:solidFill>
                    <w14:schemeClr w14:val="tx1"/>
                  </w14:solidFill>
                </w14:textFill>
              </w:rPr>
            </w:pPr>
            <w:r>
              <w:rPr>
                <w:rFonts w:hint="eastAsia" w:ascii="宋体" w:hAnsi="宋体" w:cs="宋体"/>
                <w:color w:val="000000" w:themeColor="text1"/>
                <w:sz w:val="20"/>
                <w:szCs w:val="20"/>
                <w:lang w:val="en-US" w:eastAsia="zh-CN"/>
                <w14:textFill>
                  <w14:solidFill>
                    <w14:schemeClr w14:val="tx1"/>
                  </w14:solidFill>
                </w14:textFill>
              </w:rPr>
              <w:t>保障优秀人才开发</w:t>
            </w:r>
          </w:p>
        </w:tc>
      </w:tr>
      <w:tr>
        <w:tblPrEx>
          <w:tblCellMar>
            <w:top w:w="0" w:type="dxa"/>
            <w:left w:w="0" w:type="dxa"/>
            <w:bottom w:w="0" w:type="dxa"/>
            <w:right w:w="0" w:type="dxa"/>
          </w:tblCellMar>
        </w:tblPrEx>
        <w:trPr>
          <w:trHeight w:val="72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生态效益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反映相关产出对自然环境带来的影响和效果，根据项目实际细化具体指标。</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lang w:val="en-US" w:eastAsia="zh-CN"/>
                <w14:textFill>
                  <w14:solidFill>
                    <w14:schemeClr w14:val="tx1"/>
                  </w14:solidFill>
                </w14:textFill>
              </w:rPr>
              <w:t>保障创造优秀人才</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lang w:val="en-US" w:eastAsia="zh-CN"/>
                <w14:textFill>
                  <w14:solidFill>
                    <w14:schemeClr w14:val="tx1"/>
                  </w14:solidFill>
                </w14:textFill>
              </w:rPr>
              <w:t>保障创造优秀人才</w:t>
            </w:r>
          </w:p>
        </w:tc>
      </w:tr>
      <w:tr>
        <w:tblPrEx>
          <w:tblCellMar>
            <w:top w:w="0" w:type="dxa"/>
            <w:left w:w="0" w:type="dxa"/>
            <w:bottom w:w="0" w:type="dxa"/>
            <w:right w:w="0" w:type="dxa"/>
          </w:tblCellMar>
        </w:tblPrEx>
        <w:trPr>
          <w:trHeight w:val="76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可持续效益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反映相关产出带来影响的可持续期限，根据项目实际细化具体指标。</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hint="default" w:ascii="宋体" w:hAnsi="宋体" w:eastAsia="宋体" w:cs="宋体"/>
                <w:color w:val="000000" w:themeColor="text1"/>
                <w:sz w:val="20"/>
                <w:szCs w:val="20"/>
                <w:lang w:val="en-US" w:eastAsia="zh-CN"/>
                <w14:textFill>
                  <w14:solidFill>
                    <w14:schemeClr w14:val="tx1"/>
                  </w14:solidFill>
                </w14:textFill>
              </w:rPr>
            </w:pPr>
            <w:r>
              <w:rPr>
                <w:rFonts w:hint="eastAsia" w:ascii="宋体" w:hAnsi="宋体" w:cs="宋体"/>
                <w:color w:val="000000" w:themeColor="text1"/>
                <w:sz w:val="20"/>
                <w:szCs w:val="20"/>
                <w:lang w:val="en-US" w:eastAsia="zh-CN"/>
                <w14:textFill>
                  <w14:solidFill>
                    <w14:schemeClr w14:val="tx1"/>
                  </w14:solidFill>
                </w14:textFill>
              </w:rPr>
              <w:t>保障创造优秀人才</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lang w:val="en-US" w:eastAsia="zh-CN"/>
                <w14:textFill>
                  <w14:solidFill>
                    <w14:schemeClr w14:val="tx1"/>
                  </w14:solidFill>
                </w14:textFill>
              </w:rPr>
              <w:t>保障创造优秀人才</w:t>
            </w:r>
          </w:p>
        </w:tc>
      </w:tr>
      <w:tr>
        <w:tblPrEx>
          <w:tblCellMar>
            <w:top w:w="0" w:type="dxa"/>
            <w:left w:w="0" w:type="dxa"/>
            <w:bottom w:w="0" w:type="dxa"/>
            <w:right w:w="0" w:type="dxa"/>
          </w:tblCellMar>
        </w:tblPrEx>
        <w:trPr>
          <w:trHeight w:val="108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满意度</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服务对象满意度</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反映服务对象或项目受益人对相关产出及其影响的认可程度，根据项目实际细化具体指标。</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lang w:val="en-US" w:eastAsia="zh-CN"/>
                <w14:textFill>
                  <w14:solidFill>
                    <w14:schemeClr w14:val="tx1"/>
                  </w14:solidFill>
                </w14:textFill>
              </w:rPr>
              <w:t>人才</w:t>
            </w:r>
            <w:r>
              <w:rPr>
                <w:rFonts w:hint="eastAsia" w:ascii="宋体" w:hAnsi="宋体" w:cs="宋体"/>
                <w:color w:val="000000" w:themeColor="text1"/>
                <w:sz w:val="20"/>
                <w:szCs w:val="20"/>
                <w14:textFill>
                  <w14:solidFill>
                    <w14:schemeClr w14:val="tx1"/>
                  </w14:solidFill>
                </w14:textFill>
              </w:rPr>
              <w:t>满意度高，使用效益高</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eastAsia="宋体" w:cs="宋体"/>
                <w:color w:val="000000" w:themeColor="text1"/>
                <w:sz w:val="20"/>
                <w:szCs w:val="20"/>
                <w:lang w:val="en-US" w:eastAsia="zh-CN"/>
                <w14:textFill>
                  <w14:solidFill>
                    <w14:schemeClr w14:val="tx1"/>
                  </w14:solidFill>
                </w14:textFill>
              </w:rPr>
            </w:pPr>
            <w:r>
              <w:rPr>
                <w:rFonts w:hint="eastAsia" w:ascii="宋体" w:hAnsi="宋体" w:cs="宋体"/>
                <w:color w:val="000000" w:themeColor="text1"/>
                <w:sz w:val="20"/>
                <w:szCs w:val="20"/>
                <w:lang w:val="en-US" w:eastAsia="zh-CN"/>
                <w14:textFill>
                  <w14:solidFill>
                    <w14:schemeClr w14:val="tx1"/>
                  </w14:solidFill>
                </w14:textFill>
              </w:rPr>
              <w:t>100%</w:t>
            </w:r>
          </w:p>
        </w:tc>
      </w:tr>
    </w:tbl>
    <w:p>
      <w:pPr>
        <w:spacing w:line="580" w:lineRule="exact"/>
        <w:ind w:left="630"/>
        <w:rPr>
          <w:rFonts w:hint="eastAsia" w:ascii="楷体_GB2312" w:hAnsi="楷体_GB2312" w:eastAsia="楷体_GB2312" w:cs="楷体_GB2312"/>
          <w:sz w:val="32"/>
          <w:szCs w:val="32"/>
        </w:rPr>
      </w:pPr>
    </w:p>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w:t>
      </w:r>
      <w:r>
        <w:rPr>
          <w:rFonts w:hint="eastAsia" w:ascii="仿宋_GB2312" w:hAnsi="仿宋_GB2312" w:eastAsia="仿宋_GB2312" w:cs="仿宋_GB2312"/>
          <w:sz w:val="32"/>
          <w:szCs w:val="32"/>
          <w:lang w:val="en-US" w:eastAsia="zh-CN"/>
        </w:rPr>
        <w:t>组织部</w:t>
      </w:r>
      <w:r>
        <w:rPr>
          <w:rFonts w:hint="eastAsia" w:ascii="仿宋_GB2312" w:hAnsi="仿宋_GB2312" w:eastAsia="仿宋_GB2312" w:cs="仿宋_GB2312"/>
          <w:sz w:val="32"/>
          <w:szCs w:val="32"/>
        </w:rPr>
        <w:t>部门2019年部门整体支出绩效评价报告》见附件（附件1）。</w:t>
      </w:r>
    </w:p>
    <w:p>
      <w:pPr>
        <w:pStyle w:val="2"/>
        <w:rPr>
          <w:rFonts w:hint="eastAsia" w:ascii="仿宋_GB2312" w:hAnsi="仿宋_GB2312" w:eastAsia="仿宋_GB2312" w:cs="仿宋_GB2312"/>
          <w:sz w:val="32"/>
          <w:szCs w:val="32"/>
        </w:rPr>
      </w:pPr>
    </w:p>
    <w:p>
      <w:pPr>
        <w:pStyle w:val="2"/>
        <w:rPr>
          <w:rFonts w:hint="default" w:ascii="仿宋_GB2312" w:hAnsi="仿宋_GB2312" w:eastAsia="仿宋_GB2312" w:cs="仿宋_GB2312"/>
          <w:sz w:val="32"/>
          <w:szCs w:val="32"/>
          <w:lang w:val="en-US" w:eastAsia="zh-CN"/>
        </w:rPr>
      </w:pPr>
    </w:p>
    <w:p>
      <w:pPr>
        <w:pStyle w:val="2"/>
        <w:rPr>
          <w:rFonts w:hint="default"/>
          <w:lang w:val="en-US" w:eastAsia="zh-CN"/>
        </w:rPr>
      </w:pPr>
    </w:p>
    <w:p>
      <w:pPr>
        <w:numPr>
          <w:ilvl w:val="0"/>
          <w:numId w:val="5"/>
        </w:numPr>
        <w:spacing w:line="600" w:lineRule="exact"/>
        <w:ind w:firstLine="660" w:firstLineChars="150"/>
        <w:jc w:val="center"/>
        <w:outlineLvl w:val="0"/>
        <w:rPr>
          <w:rStyle w:val="26"/>
          <w:rFonts w:ascii="黑体" w:hAnsi="黑体" w:eastAsia="黑体"/>
          <w:b w:val="0"/>
        </w:rPr>
      </w:pPr>
      <w:bookmarkStart w:id="85" w:name="_Toc15396613"/>
      <w:bookmarkStart w:id="86" w:name="_Toc6574"/>
      <w:bookmarkStart w:id="87" w:name="_Toc15377225"/>
      <w:r>
        <w:rPr>
          <w:rFonts w:hint="eastAsia" w:ascii="黑体" w:hAnsi="黑体" w:eastAsia="黑体"/>
          <w:color w:val="000000"/>
          <w:sz w:val="44"/>
          <w:szCs w:val="44"/>
        </w:rPr>
        <w:t>名</w:t>
      </w:r>
      <w:r>
        <w:rPr>
          <w:rStyle w:val="26"/>
          <w:rFonts w:hint="eastAsia" w:ascii="黑体" w:hAnsi="黑体" w:eastAsia="黑体"/>
          <w:b w:val="0"/>
        </w:rPr>
        <w:t>词解释</w:t>
      </w:r>
      <w:bookmarkEnd w:id="85"/>
      <w:bookmarkEnd w:id="86"/>
      <w:bookmarkEnd w:id="87"/>
    </w:p>
    <w:p>
      <w:pPr>
        <w:spacing w:line="600" w:lineRule="exact"/>
        <w:jc w:val="left"/>
        <w:rPr>
          <w:rFonts w:ascii="宋体"/>
          <w:b/>
          <w:color w:val="000000"/>
          <w:sz w:val="44"/>
          <w:szCs w:val="44"/>
        </w:rPr>
      </w:pPr>
    </w:p>
    <w:p>
      <w:pPr>
        <w:pStyle w:val="24"/>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1.财政拨款收入：指单位从同级财政部门取得的财政预算资金。</w:t>
      </w:r>
    </w:p>
    <w:p>
      <w:pPr>
        <w:pStyle w:val="24"/>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2.事业收入：指事业单位开展专业业务活动及辅助活动取得的收入。</w:t>
      </w:r>
    </w:p>
    <w:p>
      <w:pPr>
        <w:pStyle w:val="24"/>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3.经营收入：指事业单位在专业业务活动及其辅助活动之外开展非独立核算经营活动取得的收入。</w:t>
      </w:r>
    </w:p>
    <w:p>
      <w:pPr>
        <w:pStyle w:val="24"/>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4.其他收入：指单位取得的除上述收入以外的各项收入。主要是</w:t>
      </w:r>
      <w:r>
        <w:rPr>
          <w:rFonts w:hint="eastAsia" w:ascii="仿宋_GB2312" w:hAnsi="仿宋_GB2312" w:eastAsia="仿宋_GB2312" w:cs="仿宋_GB2312"/>
          <w:sz w:val="32"/>
          <w:szCs w:val="32"/>
          <w:lang w:eastAsia="zh-CN"/>
        </w:rPr>
        <w:t>利息收入</w:t>
      </w:r>
      <w:r>
        <w:rPr>
          <w:rFonts w:hint="eastAsia" w:ascii="仿宋_GB2312" w:hAnsi="仿宋_GB2312" w:eastAsia="仿宋_GB2312" w:cs="仿宋_GB2312"/>
          <w:sz w:val="32"/>
          <w:szCs w:val="32"/>
        </w:rPr>
        <w:t xml:space="preserve">等。 </w:t>
      </w:r>
    </w:p>
    <w:p>
      <w:pPr>
        <w:pStyle w:val="24"/>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24"/>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6.年初结转和结余：指以前年度尚未完成、结转到本年按有关规定继续使用的资金。 </w:t>
      </w:r>
    </w:p>
    <w:p>
      <w:pPr>
        <w:pStyle w:val="24"/>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7.结余分配：指事业单位按照事业单位会计制度的规定从非财政补助结余中分配的事业基金和职工福利基金等。</w:t>
      </w:r>
    </w:p>
    <w:p>
      <w:pPr>
        <w:pStyle w:val="24"/>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8、年末结转和结余：指单位按有关规定结转到下年或以后年度继续使用的资金。</w:t>
      </w:r>
    </w:p>
    <w:p>
      <w:pPr>
        <w:pStyle w:val="24"/>
        <w:keepNext w:val="0"/>
        <w:keepLines w:val="0"/>
        <w:pageBreakBefore w:val="0"/>
        <w:widowControl w:val="0"/>
        <w:kinsoku/>
        <w:wordWrap/>
        <w:overflowPunct/>
        <w:topLinePunct w:val="0"/>
        <w:autoSpaceDE w:val="0"/>
        <w:autoSpaceDN w:val="0"/>
        <w:bidi w:val="0"/>
        <w:adjustRightInd w:val="0"/>
        <w:snapToGrid/>
        <w:spacing w:line="560" w:lineRule="exact"/>
        <w:ind w:left="0" w:leftChars="0" w:firstLine="640" w:firstLineChars="200"/>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 xml:space="preserve"> 9</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sz w:val="32"/>
          <w:szCs w:val="32"/>
        </w:rPr>
        <w:t>一般公共服务（类）：</w:t>
      </w:r>
      <w:r>
        <w:rPr>
          <w:rFonts w:hint="eastAsia" w:ascii="仿宋_GB2312" w:hAnsi="仿宋_GB2312" w:eastAsia="仿宋_GB2312" w:cs="仿宋_GB2312"/>
          <w:color w:val="000000"/>
          <w:sz w:val="32"/>
          <w:szCs w:val="32"/>
          <w:lang w:eastAsia="zh-CN"/>
        </w:rPr>
        <w:t>行政运行（项）：</w:t>
      </w:r>
      <w:r>
        <w:rPr>
          <w:rFonts w:hint="eastAsia" w:ascii="仿宋_GB2312" w:hAnsi="仿宋_GB2312" w:eastAsia="仿宋_GB2312" w:cs="仿宋_GB2312"/>
          <w:color w:val="000000"/>
          <w:sz w:val="32"/>
          <w:szCs w:val="32"/>
        </w:rPr>
        <w:t>指</w:t>
      </w:r>
      <w:r>
        <w:rPr>
          <w:rFonts w:hint="eastAsia" w:ascii="仿宋_GB2312" w:hAnsi="仿宋_GB2312" w:eastAsia="仿宋_GB2312" w:cs="仿宋_GB2312"/>
          <w:color w:val="000000"/>
          <w:sz w:val="32"/>
          <w:szCs w:val="32"/>
          <w:lang w:eastAsia="zh-CN"/>
        </w:rPr>
        <w:t>行政机关用于保障机构正常正常运转，开展日常工作的基本支出。</w:t>
      </w:r>
    </w:p>
    <w:p>
      <w:pPr>
        <w:pStyle w:val="24"/>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sz w:val="32"/>
          <w:szCs w:val="32"/>
        </w:rPr>
        <w:t>一般公共服务（类）：</w:t>
      </w:r>
      <w:r>
        <w:rPr>
          <w:rFonts w:hint="eastAsia" w:ascii="仿宋_GB2312" w:hAnsi="仿宋_GB2312" w:eastAsia="仿宋_GB2312" w:cs="仿宋_GB2312"/>
          <w:color w:val="000000"/>
          <w:sz w:val="32"/>
          <w:szCs w:val="32"/>
          <w:lang w:eastAsia="zh-CN"/>
        </w:rPr>
        <w:t>一般行政管理</w:t>
      </w:r>
      <w:r>
        <w:rPr>
          <w:rFonts w:hint="eastAsia" w:ascii="仿宋_GB2312" w:hAnsi="仿宋_GB2312" w:eastAsia="仿宋_GB2312" w:cs="仿宋_GB2312"/>
          <w:color w:val="000000"/>
          <w:sz w:val="32"/>
          <w:szCs w:val="32"/>
          <w:lang w:val="en-US" w:eastAsia="zh-CN"/>
        </w:rPr>
        <w:t xml:space="preserve"> 事务（项）：指行政机关开展专项工作等未单独设置项级科目的专门性管理工作的项目支出。</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sz w:val="32"/>
          <w:szCs w:val="32"/>
        </w:rPr>
        <w:t>社会保障和就业（类）</w:t>
      </w:r>
      <w:r>
        <w:rPr>
          <w:rFonts w:hint="eastAsia" w:ascii="仿宋_GB2312" w:hAnsi="仿宋_GB2312" w:eastAsia="仿宋_GB2312" w:cs="仿宋_GB2312"/>
          <w:color w:val="000000"/>
          <w:sz w:val="32"/>
          <w:szCs w:val="32"/>
          <w:lang w:eastAsia="zh-CN"/>
        </w:rPr>
        <w:t>行政事业单位</w:t>
      </w:r>
      <w:r>
        <w:rPr>
          <w:rFonts w:hint="eastAsia" w:ascii="仿宋_GB2312" w:hAnsi="仿宋_GB2312" w:eastAsia="仿宋_GB2312" w:cs="仿宋_GB2312"/>
          <w:color w:val="000000"/>
          <w:sz w:val="32"/>
          <w:szCs w:val="32"/>
          <w:lang w:val="en-US" w:eastAsia="zh-CN"/>
        </w:rPr>
        <w:t>退休</w:t>
      </w:r>
      <w:r>
        <w:rPr>
          <w:rFonts w:hint="eastAsia" w:ascii="仿宋_GB2312" w:hAnsi="仿宋_GB2312" w:eastAsia="仿宋_GB2312" w:cs="仿宋_GB2312"/>
          <w:color w:val="000000"/>
          <w:sz w:val="32"/>
          <w:szCs w:val="32"/>
        </w:rPr>
        <w:t>（款）</w:t>
      </w:r>
      <w:r>
        <w:rPr>
          <w:rFonts w:hint="eastAsia" w:ascii="仿宋_GB2312" w:hAnsi="仿宋_GB2312" w:eastAsia="仿宋_GB2312" w:cs="仿宋_GB2312"/>
          <w:color w:val="000000"/>
          <w:sz w:val="32"/>
          <w:szCs w:val="32"/>
          <w:lang w:eastAsia="zh-CN"/>
        </w:rPr>
        <w:t>机关事业单位</w:t>
      </w:r>
      <w:r>
        <w:rPr>
          <w:rFonts w:hint="eastAsia" w:ascii="仿宋_GB2312" w:hAnsi="仿宋_GB2312" w:eastAsia="仿宋_GB2312" w:cs="仿宋_GB2312"/>
          <w:color w:val="000000"/>
          <w:sz w:val="32"/>
          <w:szCs w:val="32"/>
          <w:lang w:val="en-US" w:eastAsia="zh-CN"/>
        </w:rPr>
        <w:t>基本养老保险缴费支出</w:t>
      </w:r>
      <w:r>
        <w:rPr>
          <w:rFonts w:hint="eastAsia" w:ascii="仿宋_GB2312" w:hAnsi="仿宋_GB2312" w:eastAsia="仿宋_GB2312" w:cs="仿宋_GB2312"/>
          <w:color w:val="000000"/>
          <w:sz w:val="32"/>
          <w:szCs w:val="32"/>
        </w:rPr>
        <w:t>（项）：指</w:t>
      </w:r>
      <w:r>
        <w:rPr>
          <w:rFonts w:hint="eastAsia" w:ascii="仿宋_GB2312" w:hAnsi="仿宋_GB2312" w:eastAsia="仿宋_GB2312" w:cs="仿宋_GB2312"/>
          <w:color w:val="000000"/>
          <w:sz w:val="32"/>
          <w:szCs w:val="32"/>
          <w:lang w:eastAsia="zh-CN"/>
        </w:rPr>
        <w:t>部门实施养老保险制度由单位缴纳的养老保险费的支出</w:t>
      </w:r>
      <w:r>
        <w:rPr>
          <w:rFonts w:hint="eastAsia" w:ascii="仿宋_GB2312" w:hAnsi="仿宋_GB2312" w:eastAsia="仿宋_GB2312" w:cs="仿宋_GB2312"/>
          <w:color w:val="000000"/>
          <w:sz w:val="32"/>
          <w:szCs w:val="32"/>
        </w:rPr>
        <w:t>。</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sz w:val="32"/>
          <w:szCs w:val="32"/>
        </w:rPr>
        <w:t>社会保障和就业（类）</w:t>
      </w:r>
      <w:r>
        <w:rPr>
          <w:rFonts w:hint="eastAsia" w:ascii="仿宋_GB2312" w:hAnsi="仿宋_GB2312" w:eastAsia="仿宋_GB2312" w:cs="仿宋_GB2312"/>
          <w:color w:val="000000"/>
          <w:sz w:val="32"/>
          <w:szCs w:val="32"/>
          <w:lang w:eastAsia="zh-CN"/>
        </w:rPr>
        <w:t>行政事业单位</w:t>
      </w:r>
      <w:r>
        <w:rPr>
          <w:rFonts w:hint="eastAsia" w:ascii="仿宋_GB2312" w:hAnsi="仿宋_GB2312" w:eastAsia="仿宋_GB2312" w:cs="仿宋_GB2312"/>
          <w:color w:val="000000"/>
          <w:sz w:val="32"/>
          <w:szCs w:val="32"/>
          <w:lang w:val="en-US" w:eastAsia="zh-CN"/>
        </w:rPr>
        <w:t>退休</w:t>
      </w:r>
      <w:r>
        <w:rPr>
          <w:rFonts w:hint="eastAsia" w:ascii="仿宋_GB2312" w:hAnsi="仿宋_GB2312" w:eastAsia="仿宋_GB2312" w:cs="仿宋_GB2312"/>
          <w:color w:val="000000"/>
          <w:sz w:val="32"/>
          <w:szCs w:val="32"/>
        </w:rPr>
        <w:t>（款）</w:t>
      </w:r>
      <w:r>
        <w:rPr>
          <w:rFonts w:hint="eastAsia" w:ascii="仿宋_GB2312" w:hAnsi="仿宋_GB2312" w:eastAsia="仿宋_GB2312" w:cs="仿宋_GB2312"/>
          <w:color w:val="000000"/>
          <w:sz w:val="32"/>
          <w:szCs w:val="32"/>
          <w:lang w:eastAsia="zh-CN"/>
        </w:rPr>
        <w:t>机关事业单位</w:t>
      </w:r>
      <w:r>
        <w:rPr>
          <w:rFonts w:hint="eastAsia" w:ascii="仿宋_GB2312" w:hAnsi="仿宋_GB2312" w:eastAsia="仿宋_GB2312" w:cs="仿宋_GB2312"/>
          <w:color w:val="000000"/>
          <w:sz w:val="32"/>
          <w:szCs w:val="32"/>
          <w:lang w:val="en-US" w:eastAsia="zh-CN"/>
        </w:rPr>
        <w:t>职业年金缴费支出</w:t>
      </w:r>
      <w:r>
        <w:rPr>
          <w:rFonts w:hint="eastAsia" w:ascii="仿宋_GB2312" w:hAnsi="仿宋_GB2312" w:eastAsia="仿宋_GB2312" w:cs="仿宋_GB2312"/>
          <w:color w:val="000000"/>
          <w:sz w:val="32"/>
          <w:szCs w:val="32"/>
        </w:rPr>
        <w:t>（项）：指</w:t>
      </w:r>
      <w:r>
        <w:rPr>
          <w:rFonts w:hint="eastAsia" w:ascii="仿宋_GB2312" w:hAnsi="仿宋_GB2312" w:eastAsia="仿宋_GB2312" w:cs="仿宋_GB2312"/>
          <w:color w:val="000000"/>
          <w:sz w:val="32"/>
          <w:szCs w:val="32"/>
          <w:lang w:eastAsia="zh-CN"/>
        </w:rPr>
        <w:t>部门实施养老保险制度由单位缴纳的职业年金的支出</w:t>
      </w:r>
      <w:r>
        <w:rPr>
          <w:rFonts w:hint="eastAsia" w:ascii="仿宋_GB2312" w:hAnsi="仿宋_GB2312" w:eastAsia="仿宋_GB2312" w:cs="仿宋_GB2312"/>
          <w:color w:val="000000"/>
          <w:sz w:val="32"/>
          <w:szCs w:val="32"/>
        </w:rPr>
        <w:t>。</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13.</w:t>
      </w:r>
      <w:r>
        <w:rPr>
          <w:rFonts w:hint="eastAsia" w:ascii="仿宋_GB2312" w:hAnsi="仿宋_GB2312" w:eastAsia="仿宋_GB2312" w:cs="仿宋_GB2312"/>
          <w:color w:val="000000"/>
          <w:sz w:val="32"/>
          <w:szCs w:val="32"/>
        </w:rPr>
        <w:t>医疗卫生与计划生育（类）</w:t>
      </w:r>
      <w:r>
        <w:rPr>
          <w:rFonts w:hint="eastAsia" w:ascii="仿宋_GB2312" w:hAnsi="仿宋_GB2312" w:eastAsia="仿宋_GB2312" w:cs="仿宋_GB2312"/>
          <w:color w:val="000000"/>
          <w:sz w:val="32"/>
          <w:szCs w:val="32"/>
          <w:lang w:eastAsia="zh-CN"/>
        </w:rPr>
        <w:t>行政单位医疗</w:t>
      </w:r>
      <w:r>
        <w:rPr>
          <w:rFonts w:hint="eastAsia" w:ascii="仿宋_GB2312" w:hAnsi="仿宋_GB2312" w:eastAsia="仿宋_GB2312" w:cs="仿宋_GB2312"/>
          <w:color w:val="000000"/>
          <w:sz w:val="32"/>
          <w:szCs w:val="32"/>
        </w:rPr>
        <w:t>（款）</w:t>
      </w:r>
      <w:r>
        <w:rPr>
          <w:rFonts w:hint="eastAsia" w:ascii="仿宋_GB2312" w:hAnsi="仿宋_GB2312" w:eastAsia="仿宋_GB2312" w:cs="仿宋_GB2312"/>
          <w:color w:val="000000"/>
          <w:sz w:val="32"/>
          <w:szCs w:val="32"/>
          <w:lang w:eastAsia="zh-CN"/>
        </w:rPr>
        <w:t>行政单位医疗</w:t>
      </w:r>
      <w:r>
        <w:rPr>
          <w:rFonts w:hint="eastAsia" w:ascii="仿宋_GB2312" w:hAnsi="仿宋_GB2312" w:eastAsia="仿宋_GB2312" w:cs="仿宋_GB2312"/>
          <w:color w:val="000000"/>
          <w:sz w:val="32"/>
          <w:szCs w:val="32"/>
        </w:rPr>
        <w:t>（项）：指</w:t>
      </w:r>
      <w:r>
        <w:rPr>
          <w:rFonts w:hint="eastAsia" w:ascii="仿宋_GB2312" w:hAnsi="仿宋_GB2312" w:eastAsia="仿宋_GB2312" w:cs="仿宋_GB2312"/>
          <w:color w:val="000000"/>
          <w:sz w:val="32"/>
          <w:szCs w:val="32"/>
          <w:lang w:eastAsia="zh-CN"/>
        </w:rPr>
        <w:t>行政机关用于缴纳单位</w:t>
      </w:r>
      <w:r>
        <w:rPr>
          <w:rFonts w:hint="eastAsia" w:ascii="仿宋_GB2312" w:hAnsi="仿宋_GB2312" w:eastAsia="仿宋_GB2312" w:cs="仿宋_GB2312"/>
          <w:color w:val="000000"/>
          <w:sz w:val="32"/>
          <w:szCs w:val="32"/>
          <w:lang w:val="en-US" w:eastAsia="zh-CN"/>
        </w:rPr>
        <w:t>基本医疗保险的支出</w:t>
      </w:r>
      <w:r>
        <w:rPr>
          <w:rFonts w:hint="eastAsia" w:ascii="仿宋_GB2312" w:hAnsi="仿宋_GB2312" w:eastAsia="仿宋_GB2312" w:cs="仿宋_GB2312"/>
          <w:color w:val="000000"/>
          <w:sz w:val="32"/>
          <w:szCs w:val="32"/>
        </w:rPr>
        <w:t>。</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14</w:t>
      </w:r>
      <w:r>
        <w:rPr>
          <w:rFonts w:hint="eastAsia" w:ascii="仿宋_GB2312" w:hAnsi="仿宋_GB2312" w:eastAsia="仿宋_GB2312" w:cs="仿宋_GB2312"/>
          <w:color w:val="000000"/>
          <w:sz w:val="32"/>
          <w:szCs w:val="32"/>
        </w:rPr>
        <w:t>.医疗卫生与计划生育（类）</w:t>
      </w:r>
      <w:r>
        <w:rPr>
          <w:rFonts w:hint="eastAsia" w:ascii="仿宋_GB2312" w:hAnsi="仿宋_GB2312" w:eastAsia="仿宋_GB2312" w:cs="仿宋_GB2312"/>
          <w:color w:val="000000"/>
          <w:sz w:val="32"/>
          <w:szCs w:val="32"/>
          <w:lang w:eastAsia="zh-CN"/>
        </w:rPr>
        <w:t>行政单位医疗</w:t>
      </w:r>
      <w:r>
        <w:rPr>
          <w:rFonts w:hint="eastAsia" w:ascii="仿宋_GB2312" w:hAnsi="仿宋_GB2312" w:eastAsia="仿宋_GB2312" w:cs="仿宋_GB2312"/>
          <w:color w:val="000000"/>
          <w:sz w:val="32"/>
          <w:szCs w:val="32"/>
        </w:rPr>
        <w:t>（款）</w:t>
      </w:r>
      <w:r>
        <w:rPr>
          <w:rFonts w:hint="eastAsia" w:ascii="仿宋_GB2312" w:hAnsi="仿宋_GB2312" w:eastAsia="仿宋_GB2312" w:cs="仿宋_GB2312"/>
          <w:color w:val="000000"/>
          <w:sz w:val="32"/>
          <w:szCs w:val="32"/>
          <w:lang w:eastAsia="zh-CN"/>
        </w:rPr>
        <w:t>公务员医疗补助</w:t>
      </w:r>
      <w:r>
        <w:rPr>
          <w:rFonts w:hint="eastAsia" w:ascii="仿宋_GB2312" w:hAnsi="仿宋_GB2312" w:eastAsia="仿宋_GB2312" w:cs="仿宋_GB2312"/>
          <w:color w:val="000000"/>
          <w:sz w:val="32"/>
          <w:szCs w:val="32"/>
        </w:rPr>
        <w:t>（项）：</w:t>
      </w:r>
      <w:r>
        <w:rPr>
          <w:rFonts w:hint="eastAsia" w:ascii="仿宋_GB2312" w:hAnsi="仿宋_GB2312" w:eastAsia="仿宋_GB2312" w:cs="仿宋_GB2312"/>
          <w:color w:val="000000"/>
          <w:sz w:val="32"/>
          <w:szCs w:val="32"/>
          <w:lang w:eastAsia="zh-CN"/>
        </w:rPr>
        <w:t>指行政机关及参公管理事业单位</w:t>
      </w:r>
      <w:r>
        <w:rPr>
          <w:rFonts w:hint="eastAsia" w:ascii="仿宋_GB2312" w:hAnsi="仿宋_GB2312" w:eastAsia="仿宋_GB2312" w:cs="仿宋_GB2312"/>
          <w:color w:val="000000"/>
          <w:sz w:val="32"/>
          <w:szCs w:val="32"/>
          <w:lang w:val="en-US" w:eastAsia="zh-CN"/>
        </w:rPr>
        <w:t xml:space="preserve"> 用于集中缴纳公务员医疗补助的支出。</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15</w:t>
      </w:r>
      <w:r>
        <w:rPr>
          <w:rFonts w:hint="eastAsia" w:ascii="仿宋_GB2312" w:hAnsi="仿宋_GB2312" w:eastAsia="仿宋_GB2312" w:cs="仿宋_GB2312"/>
          <w:color w:val="000000"/>
          <w:sz w:val="32"/>
          <w:szCs w:val="32"/>
        </w:rPr>
        <w:t>.住房保障（类）</w:t>
      </w:r>
      <w:r>
        <w:rPr>
          <w:rFonts w:hint="eastAsia" w:ascii="仿宋_GB2312" w:hAnsi="仿宋_GB2312" w:eastAsia="仿宋_GB2312" w:cs="仿宋_GB2312"/>
          <w:color w:val="000000"/>
          <w:sz w:val="32"/>
          <w:szCs w:val="32"/>
          <w:lang w:eastAsia="zh-CN"/>
        </w:rPr>
        <w:t>住房改革支出</w:t>
      </w:r>
      <w:r>
        <w:rPr>
          <w:rFonts w:hint="eastAsia" w:ascii="仿宋_GB2312" w:hAnsi="仿宋_GB2312" w:eastAsia="仿宋_GB2312" w:cs="仿宋_GB2312"/>
          <w:color w:val="000000"/>
          <w:sz w:val="32"/>
          <w:szCs w:val="32"/>
        </w:rPr>
        <w:t>（款）</w:t>
      </w:r>
      <w:r>
        <w:rPr>
          <w:rFonts w:hint="eastAsia" w:ascii="仿宋_GB2312" w:hAnsi="仿宋_GB2312" w:eastAsia="仿宋_GB2312" w:cs="仿宋_GB2312"/>
          <w:color w:val="000000"/>
          <w:sz w:val="32"/>
          <w:szCs w:val="32"/>
          <w:lang w:eastAsia="zh-CN"/>
        </w:rPr>
        <w:t>住房公积金</w:t>
      </w:r>
      <w:r>
        <w:rPr>
          <w:rFonts w:hint="eastAsia" w:ascii="仿宋_GB2312" w:hAnsi="仿宋_GB2312" w:eastAsia="仿宋_GB2312" w:cs="仿宋_GB2312"/>
          <w:color w:val="000000"/>
          <w:sz w:val="32"/>
          <w:szCs w:val="32"/>
        </w:rPr>
        <w:t>（项）：指</w:t>
      </w:r>
      <w:r>
        <w:rPr>
          <w:rFonts w:hint="eastAsia" w:ascii="仿宋_GB2312" w:hAnsi="仿宋_GB2312" w:eastAsia="仿宋_GB2312" w:cs="仿宋_GB2312"/>
          <w:color w:val="000000"/>
          <w:sz w:val="32"/>
          <w:szCs w:val="32"/>
          <w:lang w:eastAsia="zh-CN"/>
        </w:rPr>
        <w:t>按照《住房公积金管理条例》的规定，由单位</w:t>
      </w:r>
      <w:r>
        <w:rPr>
          <w:rFonts w:hint="eastAsia" w:ascii="仿宋_GB2312" w:hAnsi="仿宋_GB2312" w:eastAsia="仿宋_GB2312" w:cs="仿宋_GB2312"/>
          <w:color w:val="000000"/>
          <w:sz w:val="32"/>
          <w:szCs w:val="32"/>
          <w:lang w:val="en-US" w:eastAsia="zh-CN"/>
        </w:rPr>
        <w:t xml:space="preserve"> 及其在职职工缴存的住房公积金</w:t>
      </w:r>
      <w:r>
        <w:rPr>
          <w:rFonts w:hint="eastAsia" w:ascii="仿宋_GB2312" w:hAnsi="仿宋_GB2312" w:eastAsia="仿宋_GB2312" w:cs="仿宋_GB2312"/>
          <w:color w:val="000000"/>
          <w:sz w:val="32"/>
          <w:szCs w:val="32"/>
        </w:rPr>
        <w:t>。</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16</w:t>
      </w:r>
      <w:r>
        <w:rPr>
          <w:rFonts w:hint="eastAsia" w:ascii="仿宋_GB2312" w:hAnsi="仿宋_GB2312" w:eastAsia="仿宋_GB2312" w:cs="仿宋_GB2312"/>
          <w:color w:val="000000"/>
          <w:sz w:val="32"/>
          <w:szCs w:val="32"/>
        </w:rPr>
        <w:t>.基本支出：指为保障机构正常运转、完成日常工作任务而发生的人员支出和公用支出。</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17</w:t>
      </w:r>
      <w:r>
        <w:rPr>
          <w:rFonts w:hint="eastAsia" w:ascii="仿宋_GB2312" w:hAnsi="仿宋_GB2312" w:eastAsia="仿宋_GB2312" w:cs="仿宋_GB2312"/>
          <w:color w:val="000000"/>
          <w:sz w:val="32"/>
          <w:szCs w:val="32"/>
        </w:rPr>
        <w:t xml:space="preserve">.项目支出：指在基本支出之外为完成特定行政任务和事业发展目标所发生的支出。 </w:t>
      </w:r>
    </w:p>
    <w:p>
      <w:pPr>
        <w:pStyle w:val="24"/>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.“三公”经费：指部门用财政拨款安排的</w:t>
      </w:r>
      <w:r>
        <w:rPr>
          <w:rFonts w:hint="eastAsia" w:ascii="仿宋_GB2312" w:hAnsi="仿宋_GB2312" w:eastAsia="仿宋_GB2312" w:cs="仿宋_GB2312"/>
          <w:sz w:val="32"/>
          <w:szCs w:val="32"/>
          <w:lang w:eastAsia="zh-CN"/>
        </w:rPr>
        <w:t>公</w:t>
      </w:r>
      <w:r>
        <w:rPr>
          <w:rFonts w:hint="eastAsia" w:ascii="仿宋_GB2312" w:hAnsi="仿宋_GB2312" w:eastAsia="仿宋_GB2312" w:cs="仿宋_GB2312"/>
          <w:sz w:val="32"/>
          <w:szCs w:val="32"/>
        </w:rPr>
        <w:t>务用车购置及运行费和公务接待费。其中，公务用车购置及运行费反映单位公务用车车辆购置支出（含车辆购置税）及租用费、燃料费、维修费、过路过桥费、保险费等支出；公务接待费反映单位按规定开支的各类公务接待（含外宾接待）支出。</w:t>
      </w:r>
    </w:p>
    <w:p>
      <w:pPr>
        <w:pStyle w:val="24"/>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rPr>
        <w:t>.机关运行经费：为保障行政单位运行用于购买货物和服务的各项资金，包括办公</w:t>
      </w:r>
      <w:r>
        <w:rPr>
          <w:rFonts w:hint="eastAsia" w:ascii="仿宋_GB2312" w:hAnsi="仿宋_GB2312" w:eastAsia="仿宋_GB2312" w:cs="仿宋_GB2312"/>
          <w:sz w:val="32"/>
          <w:szCs w:val="32"/>
          <w:lang w:eastAsia="zh-CN"/>
        </w:rPr>
        <w:t>费、</w:t>
      </w:r>
      <w:r>
        <w:rPr>
          <w:rFonts w:hint="eastAsia" w:ascii="仿宋_GB2312" w:hAnsi="仿宋_GB2312" w:eastAsia="仿宋_GB2312" w:cs="仿宋_GB2312"/>
          <w:sz w:val="32"/>
          <w:szCs w:val="32"/>
        </w:rPr>
        <w:t>印刷费、邮电费、差旅费、日常维修费、办公用房水电费、办公用房取暖费、公务用车运行维护费以及其他费用。</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p>
    <w:p>
      <w:pPr>
        <w:keepNext w:val="0"/>
        <w:keepLines w:val="0"/>
        <w:pageBreakBefore w:val="0"/>
        <w:widowControl w:val="0"/>
        <w:kinsoku/>
        <w:wordWrap/>
        <w:overflowPunct/>
        <w:topLinePunct w:val="0"/>
        <w:bidi w:val="0"/>
        <w:snapToGrid/>
        <w:spacing w:line="560" w:lineRule="exact"/>
        <w:ind w:firstLine="640"/>
        <w:textAlignment w:val="auto"/>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（解释本部门决算报表中全部功能分类科目至项级，请参照《2019年政府收支分类科目》增减内容。）</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bookmarkStart w:id="88" w:name="_Toc15377226"/>
      <w:r>
        <w:rPr>
          <w:rFonts w:hint="eastAsia" w:ascii="仿宋_GB2312" w:hAnsi="仿宋_GB2312" w:eastAsia="仿宋_GB2312" w:cs="仿宋_GB2312"/>
          <w:color w:val="000000"/>
          <w:sz w:val="32"/>
          <w:szCs w:val="32"/>
        </w:rPr>
        <w:t>27.基本支出：指为保障机构正常运转、完成日常工作任务而发生的人员支出和公用支出。</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28.项目支出：指在基本支出之外为完成特定行政任务和事业发展目标所发生的支出。 </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29.经营支出：指事业单位在专业业务活动及其辅助活动之外开展非独立核算经营活动发生的支出。</w:t>
      </w:r>
    </w:p>
    <w:p>
      <w:pPr>
        <w:pStyle w:val="24"/>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4"/>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4"/>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32.……。</w:t>
      </w:r>
    </w:p>
    <w:p>
      <w:pPr>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（名词解释部分请根据各部门实际列支情况罗列，并根据本部门职责职能增减名词解释内容。）</w:t>
      </w:r>
    </w:p>
    <w:p>
      <w:pPr>
        <w:keepNext w:val="0"/>
        <w:keepLines w:val="0"/>
        <w:pageBreakBefore w:val="0"/>
        <w:widowControl w:val="0"/>
        <w:kinsoku/>
        <w:wordWrap/>
        <w:overflowPunct/>
        <w:topLinePunct w:val="0"/>
        <w:bidi w:val="0"/>
        <w:snapToGrid/>
        <w:spacing w:line="560" w:lineRule="exact"/>
        <w:jc w:val="center"/>
        <w:textAlignment w:val="auto"/>
        <w:outlineLvl w:val="0"/>
        <w:rPr>
          <w:rStyle w:val="26"/>
          <w:rFonts w:ascii="黑体" w:hAnsi="黑体" w:eastAsia="黑体"/>
          <w:b w:val="0"/>
        </w:rPr>
      </w:pPr>
      <w:r>
        <w:rPr>
          <w:rFonts w:ascii="宋体"/>
          <w:b/>
          <w:color w:val="000000"/>
          <w:sz w:val="44"/>
          <w:szCs w:val="44"/>
        </w:rPr>
        <w:br w:type="page"/>
      </w:r>
      <w:bookmarkStart w:id="89" w:name="_Toc9421"/>
      <w:bookmarkStart w:id="90" w:name="_Toc15396614"/>
      <w:r>
        <w:rPr>
          <w:rFonts w:hint="eastAsia" w:ascii="黑体" w:hAnsi="黑体" w:eastAsia="黑体"/>
          <w:color w:val="000000"/>
          <w:sz w:val="44"/>
          <w:szCs w:val="44"/>
        </w:rPr>
        <w:t>第</w:t>
      </w:r>
      <w:r>
        <w:rPr>
          <w:rStyle w:val="26"/>
          <w:rFonts w:hint="eastAsia" w:ascii="黑体" w:hAnsi="黑体" w:eastAsia="黑体"/>
          <w:b w:val="0"/>
        </w:rPr>
        <w:t>四部分 附件</w:t>
      </w:r>
      <w:bookmarkEnd w:id="89"/>
      <w:bookmarkEnd w:id="90"/>
    </w:p>
    <w:p>
      <w:pPr>
        <w:spacing w:line="600" w:lineRule="exact"/>
        <w:jc w:val="left"/>
        <w:outlineLvl w:val="0"/>
        <w:rPr>
          <w:rFonts w:ascii="方正小标宋简体" w:hAnsi="方正小标宋简体" w:eastAsia="方正小标宋简体" w:cs="方正小标宋简体"/>
          <w:sz w:val="32"/>
          <w:szCs w:val="32"/>
        </w:rPr>
      </w:pPr>
      <w:bookmarkStart w:id="91" w:name="_Toc19034"/>
      <w:r>
        <w:rPr>
          <w:rFonts w:hint="eastAsia" w:ascii="黑体" w:hAnsi="黑体" w:eastAsia="黑体" w:cs="黑体"/>
          <w:sz w:val="32"/>
          <w:szCs w:val="32"/>
        </w:rPr>
        <w:t>附件1</w:t>
      </w:r>
      <w:bookmarkEnd w:id="91"/>
    </w:p>
    <w:p>
      <w:pPr>
        <w:spacing w:line="580" w:lineRule="exact"/>
        <w:jc w:val="center"/>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中共红原县委组织部</w:t>
      </w:r>
    </w:p>
    <w:p>
      <w:pPr>
        <w:spacing w:line="600" w:lineRule="exact"/>
        <w:jc w:val="center"/>
        <w:rPr>
          <w:rFonts w:ascii="方正小标宋简体" w:hAnsi="宋体" w:eastAsia="方正小标宋简体"/>
          <w:color w:val="000000"/>
          <w:kern w:val="0"/>
          <w:sz w:val="44"/>
          <w:szCs w:val="44"/>
          <w:lang w:val="zh-CN"/>
        </w:rPr>
      </w:pPr>
      <w:r>
        <w:rPr>
          <w:rFonts w:ascii="方正小标宋简体" w:hAnsi="宋体" w:eastAsia="方正小标宋简体"/>
          <w:color w:val="000000"/>
          <w:kern w:val="0"/>
          <w:sz w:val="44"/>
          <w:szCs w:val="44"/>
        </w:rPr>
        <w:t>2019年部门</w:t>
      </w:r>
      <w:r>
        <w:rPr>
          <w:rFonts w:hint="eastAsia" w:ascii="方正小标宋简体" w:hAnsi="宋体" w:eastAsia="方正小标宋简体"/>
          <w:color w:val="000000"/>
          <w:kern w:val="0"/>
          <w:sz w:val="44"/>
          <w:szCs w:val="44"/>
          <w:lang w:val="zh-CN"/>
        </w:rPr>
        <w:t>整体支出绩效评价报告</w:t>
      </w:r>
    </w:p>
    <w:p>
      <w:pPr>
        <w:widowControl/>
        <w:adjustRightInd w:val="0"/>
        <w:snapToGrid w:val="0"/>
        <w:spacing w:line="580" w:lineRule="exact"/>
        <w:ind w:firstLine="640" w:firstLineChars="200"/>
        <w:contextualSpacing/>
        <w:jc w:val="left"/>
        <w:rPr>
          <w:rFonts w:hint="eastAsia" w:ascii="黑体" w:hAnsi="宋体" w:eastAsia="黑体" w:cs="宋体"/>
          <w:color w:val="000000"/>
          <w:kern w:val="0"/>
          <w:sz w:val="32"/>
          <w:szCs w:val="32"/>
          <w:shd w:val="clear" w:color="auto" w:fill="FFFFFF"/>
        </w:rPr>
      </w:pPr>
    </w:p>
    <w:p>
      <w:pPr>
        <w:keepNext w:val="0"/>
        <w:keepLines w:val="0"/>
        <w:pageBreakBefore w:val="0"/>
        <w:widowControl/>
        <w:kinsoku/>
        <w:wordWrap/>
        <w:overflowPunct/>
        <w:topLinePunct w:val="0"/>
        <w:autoSpaceDE/>
        <w:autoSpaceDN/>
        <w:bidi w:val="0"/>
        <w:adjustRightInd w:val="0"/>
        <w:snapToGrid w:val="0"/>
        <w:spacing w:line="560" w:lineRule="exact"/>
        <w:ind w:firstLine="960" w:firstLineChars="300"/>
        <w:contextualSpacing/>
        <w:jc w:val="left"/>
        <w:textAlignment w:val="auto"/>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（一）机构组成。</w:t>
      </w:r>
      <w:r>
        <w:rPr>
          <w:rFonts w:hint="eastAsia" w:ascii="仿宋_GB2312" w:hAnsi="仿宋_GB2312" w:eastAsia="仿宋_GB2312" w:cs="仿宋_GB2312"/>
          <w:bCs/>
          <w:sz w:val="32"/>
          <w:szCs w:val="32"/>
        </w:rPr>
        <w:t>我单位为独立核算全额拨款</w:t>
      </w:r>
      <w:r>
        <w:rPr>
          <w:rFonts w:hint="eastAsia" w:ascii="仿宋_GB2312" w:hAnsi="仿宋_GB2312" w:eastAsia="仿宋_GB2312" w:cs="仿宋_GB2312"/>
          <w:sz w:val="32"/>
          <w:szCs w:val="32"/>
        </w:rPr>
        <w:t>行政单位1个，</w:t>
      </w:r>
      <w:r>
        <w:rPr>
          <w:rFonts w:hint="eastAsia" w:ascii="仿宋_GB2312" w:hAnsi="仿宋_GB2312" w:eastAsia="仿宋_GB2312" w:cs="仿宋_GB2312"/>
          <w:color w:val="000000"/>
          <w:kern w:val="0"/>
          <w:sz w:val="32"/>
          <w:szCs w:val="32"/>
          <w:lang w:val="en-US" w:eastAsia="zh-CN" w:bidi="ar"/>
        </w:rPr>
        <w:t>下设参公事业单位党员教育办公室和事业单位信息中心。</w:t>
      </w:r>
    </w:p>
    <w:p>
      <w:pPr>
        <w:keepNext w:val="0"/>
        <w:keepLines w:val="0"/>
        <w:pageBreakBefore w:val="0"/>
        <w:kinsoku/>
        <w:wordWrap/>
        <w:overflowPunct/>
        <w:topLinePunct w:val="0"/>
        <w:autoSpaceDE/>
        <w:autoSpaceDN/>
        <w:bidi w:val="0"/>
        <w:spacing w:line="560" w:lineRule="exact"/>
        <w:ind w:firstLine="643" w:firstLineChars="200"/>
        <w:textAlignment w:val="auto"/>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（二）机构职能。</w:t>
      </w:r>
      <w:r>
        <w:rPr>
          <w:rFonts w:hint="eastAsia" w:ascii="仿宋_GB2312" w:hAnsi="仿宋_GB2312" w:eastAsia="仿宋_GB2312" w:cs="仿宋_GB2312"/>
          <w:bCs/>
          <w:sz w:val="32"/>
          <w:szCs w:val="32"/>
        </w:rPr>
        <w:t>委组织部是县委主管组织工作、干部工作和人才工作的职能部门，主要职责是研究、指导全县各级党组织特别是党的基层组织建设，协调、规划和指导全县党员教育管理和强化党员发展工作；负责乡镇、县级各部门和县委、县政府直属企事业单位以及其他列入县委管理的领导班子和领导干部的考察考核，并提出领导班子调整、配备和任免的意见和建议；研究全县干部人才队伍建设的政策、措施；负责组织、干部工作的监督检查以及有关的综合协调工作，及时向县委和州委组织部反映情况，提出建议；指导和承办离休干部和副县级以上退休干部的安置、管理、服务工作。</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rPr>
          <w:rFonts w:ascii="仿宋_GB2312" w:hAnsi="宋体" w:eastAsia="仿宋_GB2312" w:cs="宋体"/>
          <w:b w:val="0"/>
          <w:bCs/>
          <w:color w:val="auto"/>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（三）人员概况。</w:t>
      </w:r>
      <w:r>
        <w:rPr>
          <w:rFonts w:hint="eastAsia" w:ascii="仿宋_GB2312" w:hAnsi="仿宋_GB2312" w:eastAsia="仿宋_GB2312" w:cs="仿宋_GB2312"/>
          <w:bCs/>
          <w:sz w:val="32"/>
          <w:szCs w:val="32"/>
        </w:rPr>
        <w:t>截止</w:t>
      </w:r>
      <w:r>
        <w:rPr>
          <w:rFonts w:hint="eastAsia" w:ascii="仿宋_GB2312" w:hAnsi="仿宋_GB2312" w:eastAsia="仿宋_GB2312" w:cs="仿宋_GB2312"/>
          <w:bCs/>
          <w:sz w:val="32"/>
          <w:szCs w:val="32"/>
          <w:lang w:val="en-US" w:eastAsia="zh-CN"/>
        </w:rPr>
        <w:t>2019</w:t>
      </w:r>
      <w:r>
        <w:rPr>
          <w:rFonts w:hint="eastAsia" w:ascii="仿宋_GB2312" w:hAnsi="仿宋_GB2312" w:eastAsia="仿宋_GB2312" w:cs="仿宋_GB2312"/>
          <w:bCs/>
          <w:sz w:val="32"/>
          <w:szCs w:val="32"/>
        </w:rPr>
        <w:t>年底我单位共有编制</w:t>
      </w:r>
      <w:r>
        <w:rPr>
          <w:rFonts w:hint="eastAsia" w:ascii="仿宋_GB2312" w:hAnsi="仿宋_GB2312" w:eastAsia="仿宋_GB2312" w:cs="仿宋_GB2312"/>
          <w:bCs/>
          <w:sz w:val="32"/>
          <w:szCs w:val="32"/>
          <w:lang w:val="en-US" w:eastAsia="zh-CN"/>
        </w:rPr>
        <w:t>32</w:t>
      </w:r>
      <w:r>
        <w:rPr>
          <w:rFonts w:hint="eastAsia" w:ascii="仿宋_GB2312" w:hAnsi="仿宋_GB2312" w:eastAsia="仿宋_GB2312" w:cs="仿宋_GB2312"/>
          <w:bCs/>
          <w:sz w:val="32"/>
          <w:szCs w:val="32"/>
        </w:rPr>
        <w:t>个，其中公务员编制</w:t>
      </w:r>
      <w:r>
        <w:rPr>
          <w:rFonts w:hint="eastAsia" w:ascii="仿宋_GB2312" w:hAnsi="仿宋_GB2312" w:eastAsia="仿宋_GB2312" w:cs="仿宋_GB2312"/>
          <w:bCs/>
          <w:sz w:val="32"/>
          <w:szCs w:val="32"/>
          <w:lang w:val="en-US" w:eastAsia="zh-CN"/>
        </w:rPr>
        <w:t>14</w:t>
      </w:r>
      <w:r>
        <w:rPr>
          <w:rFonts w:hint="eastAsia" w:ascii="仿宋_GB2312" w:hAnsi="仿宋_GB2312" w:eastAsia="仿宋_GB2312" w:cs="仿宋_GB2312"/>
          <w:bCs/>
          <w:sz w:val="32"/>
          <w:szCs w:val="32"/>
        </w:rPr>
        <w:t>个，</w:t>
      </w:r>
      <w:r>
        <w:rPr>
          <w:rFonts w:hint="eastAsia" w:ascii="仿宋_GB2312" w:hAnsi="仿宋_GB2312" w:eastAsia="仿宋_GB2312" w:cs="仿宋_GB2312"/>
          <w:bCs/>
          <w:sz w:val="32"/>
          <w:szCs w:val="32"/>
          <w:lang w:val="en-US" w:eastAsia="zh-CN"/>
        </w:rPr>
        <w:t>参公编制9个、事业编制7个、</w:t>
      </w:r>
      <w:r>
        <w:rPr>
          <w:rFonts w:hint="eastAsia" w:ascii="仿宋_GB2312" w:hAnsi="仿宋_GB2312" w:eastAsia="仿宋_GB2312" w:cs="仿宋_GB2312"/>
          <w:bCs/>
          <w:sz w:val="32"/>
          <w:szCs w:val="32"/>
        </w:rPr>
        <w:t>行政工勤编制</w:t>
      </w:r>
      <w:r>
        <w:rPr>
          <w:rFonts w:hint="eastAsia"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rPr>
        <w:t>个，</w:t>
      </w:r>
      <w:r>
        <w:rPr>
          <w:rFonts w:hint="eastAsia" w:ascii="仿宋_GB2312" w:hAnsi="仿宋_GB2312" w:eastAsia="仿宋_GB2312" w:cs="仿宋_GB2312"/>
          <w:b w:val="0"/>
          <w:bCs/>
          <w:color w:val="auto"/>
          <w:sz w:val="32"/>
          <w:szCs w:val="32"/>
        </w:rPr>
        <w:t>在职</w:t>
      </w:r>
      <w:r>
        <w:rPr>
          <w:rFonts w:hint="eastAsia" w:ascii="仿宋_GB2312" w:hAnsi="仿宋_GB2312" w:eastAsia="仿宋_GB2312" w:cs="仿宋_GB2312"/>
          <w:b w:val="0"/>
          <w:bCs/>
          <w:color w:val="auto"/>
          <w:sz w:val="32"/>
          <w:szCs w:val="32"/>
          <w:lang w:val="en-US" w:eastAsia="zh-CN"/>
        </w:rPr>
        <w:t>30</w:t>
      </w:r>
      <w:r>
        <w:rPr>
          <w:rFonts w:hint="eastAsia" w:ascii="仿宋_GB2312" w:hAnsi="仿宋_GB2312" w:eastAsia="仿宋_GB2312" w:cs="仿宋_GB2312"/>
          <w:b w:val="0"/>
          <w:bCs/>
          <w:color w:val="auto"/>
          <w:sz w:val="32"/>
          <w:szCs w:val="32"/>
        </w:rPr>
        <w:t>人，其中公务员</w:t>
      </w:r>
      <w:r>
        <w:rPr>
          <w:rFonts w:hint="eastAsia" w:ascii="仿宋_GB2312" w:hAnsi="仿宋_GB2312" w:eastAsia="仿宋_GB2312" w:cs="仿宋_GB2312"/>
          <w:b w:val="0"/>
          <w:bCs/>
          <w:color w:val="auto"/>
          <w:sz w:val="32"/>
          <w:szCs w:val="32"/>
          <w:lang w:val="en-US" w:eastAsia="zh-CN"/>
        </w:rPr>
        <w:t>13</w:t>
      </w:r>
      <w:r>
        <w:rPr>
          <w:rFonts w:hint="eastAsia" w:ascii="仿宋_GB2312" w:hAnsi="仿宋_GB2312" w:eastAsia="仿宋_GB2312" w:cs="仿宋_GB2312"/>
          <w:b w:val="0"/>
          <w:bCs/>
          <w:color w:val="auto"/>
          <w:sz w:val="32"/>
          <w:szCs w:val="32"/>
        </w:rPr>
        <w:t>人，参公</w:t>
      </w:r>
      <w:r>
        <w:rPr>
          <w:rFonts w:hint="eastAsia" w:ascii="仿宋_GB2312" w:hAnsi="仿宋_GB2312" w:eastAsia="仿宋_GB2312" w:cs="仿宋_GB2312"/>
          <w:b w:val="0"/>
          <w:bCs/>
          <w:color w:val="auto"/>
          <w:sz w:val="32"/>
          <w:szCs w:val="32"/>
          <w:lang w:val="en-US" w:eastAsia="zh-CN"/>
        </w:rPr>
        <w:t>7</w:t>
      </w:r>
      <w:r>
        <w:rPr>
          <w:rFonts w:hint="eastAsia" w:ascii="仿宋_GB2312" w:hAnsi="仿宋_GB2312" w:eastAsia="仿宋_GB2312" w:cs="仿宋_GB2312"/>
          <w:b w:val="0"/>
          <w:bCs/>
          <w:color w:val="auto"/>
          <w:sz w:val="32"/>
          <w:szCs w:val="32"/>
        </w:rPr>
        <w:t>人，事业</w:t>
      </w:r>
      <w:r>
        <w:rPr>
          <w:rFonts w:hint="eastAsia" w:ascii="仿宋_GB2312" w:hAnsi="仿宋_GB2312" w:eastAsia="仿宋_GB2312" w:cs="仿宋_GB2312"/>
          <w:b w:val="0"/>
          <w:bCs/>
          <w:color w:val="auto"/>
          <w:sz w:val="32"/>
          <w:szCs w:val="32"/>
          <w:lang w:val="en-US" w:eastAsia="zh-CN"/>
        </w:rPr>
        <w:t>7</w:t>
      </w:r>
      <w:r>
        <w:rPr>
          <w:rFonts w:hint="eastAsia" w:ascii="仿宋_GB2312" w:hAnsi="仿宋_GB2312" w:eastAsia="仿宋_GB2312" w:cs="仿宋_GB2312"/>
          <w:b w:val="0"/>
          <w:bCs/>
          <w:color w:val="auto"/>
          <w:sz w:val="32"/>
          <w:szCs w:val="32"/>
        </w:rPr>
        <w:t>人</w:t>
      </w:r>
      <w:r>
        <w:rPr>
          <w:rFonts w:hint="eastAsia" w:ascii="仿宋_GB2312" w:hAnsi="仿宋_GB2312" w:eastAsia="仿宋_GB2312" w:cs="仿宋_GB2312"/>
          <w:b w:val="0"/>
          <w:bCs/>
          <w:color w:val="auto"/>
          <w:sz w:val="32"/>
          <w:szCs w:val="32"/>
          <w:lang w:eastAsia="zh-CN"/>
        </w:rPr>
        <w:t>，行政工勤</w:t>
      </w:r>
      <w:r>
        <w:rPr>
          <w:rFonts w:hint="eastAsia" w:ascii="仿宋_GB2312" w:hAnsi="仿宋_GB2312" w:eastAsia="仿宋_GB2312" w:cs="仿宋_GB2312"/>
          <w:b w:val="0"/>
          <w:bCs/>
          <w:color w:val="auto"/>
          <w:sz w:val="32"/>
          <w:szCs w:val="32"/>
          <w:lang w:val="en-US" w:eastAsia="zh-CN"/>
        </w:rPr>
        <w:t>3人</w:t>
      </w:r>
      <w:r>
        <w:rPr>
          <w:rFonts w:hint="eastAsia" w:ascii="仿宋_GB2312" w:hAnsi="仿宋_GB2312" w:eastAsia="仿宋_GB2312" w:cs="仿宋_GB2312"/>
          <w:b w:val="0"/>
          <w:bCs/>
          <w:color w:val="auto"/>
          <w:sz w:val="32"/>
          <w:szCs w:val="32"/>
        </w:rPr>
        <w:t>。</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left"/>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（一）部门财政资金收入情况。</w:t>
      </w:r>
      <w:r>
        <w:rPr>
          <w:rFonts w:hint="eastAsia" w:ascii="仿宋_GB2312" w:hAnsi="仿宋_GB2312" w:eastAsia="仿宋_GB2312" w:cs="仿宋_GB2312"/>
          <w:color w:val="000000"/>
          <w:sz w:val="32"/>
          <w:szCs w:val="32"/>
          <w:lang w:val="en-US" w:eastAsia="zh-CN"/>
        </w:rPr>
        <w:t>2019</w:t>
      </w:r>
      <w:r>
        <w:rPr>
          <w:rFonts w:hint="eastAsia" w:ascii="仿宋_GB2312" w:hAnsi="仿宋_GB2312" w:eastAsia="仿宋_GB2312" w:cs="仿宋_GB2312"/>
          <w:color w:val="000000"/>
          <w:sz w:val="32"/>
          <w:szCs w:val="32"/>
        </w:rPr>
        <w:t>年度</w:t>
      </w:r>
      <w:r>
        <w:rPr>
          <w:rFonts w:hint="eastAsia" w:ascii="仿宋_GB2312" w:hAnsi="仿宋_GB2312" w:eastAsia="仿宋_GB2312" w:cs="仿宋_GB2312"/>
          <w:color w:val="000000"/>
          <w:sz w:val="32"/>
          <w:szCs w:val="32"/>
          <w:shd w:val="clear" w:color="auto" w:fill="FFFFFF"/>
        </w:rPr>
        <w:t>财政资金</w:t>
      </w:r>
      <w:r>
        <w:rPr>
          <w:rFonts w:hint="eastAsia" w:ascii="仿宋_GB2312" w:hAnsi="仿宋_GB2312" w:eastAsia="仿宋_GB2312" w:cs="仿宋_GB2312"/>
          <w:sz w:val="32"/>
          <w:szCs w:val="32"/>
        </w:rPr>
        <w:t>收入</w:t>
      </w:r>
      <w:r>
        <w:rPr>
          <w:rFonts w:hint="eastAsia" w:ascii="仿宋_GB2312" w:hAnsi="仿宋_GB2312" w:eastAsia="仿宋_GB2312" w:cs="仿宋_GB2312"/>
          <w:color w:val="000000"/>
          <w:sz w:val="32"/>
          <w:szCs w:val="32"/>
        </w:rPr>
        <w:t>总计</w:t>
      </w:r>
      <w:r>
        <w:rPr>
          <w:rFonts w:hint="eastAsia" w:ascii="仿宋_GB2312" w:hAnsi="仿宋_GB2312" w:eastAsia="仿宋_GB2312" w:cs="仿宋_GB2312"/>
          <w:sz w:val="32"/>
          <w:szCs w:val="32"/>
          <w:lang w:val="en-US" w:eastAsia="zh-CN"/>
        </w:rPr>
        <w:t>984.56</w:t>
      </w:r>
      <w:r>
        <w:rPr>
          <w:rFonts w:hint="eastAsia" w:ascii="仿宋_GB2312" w:hAnsi="仿宋_GB2312" w:eastAsia="仿宋_GB2312" w:cs="仿宋_GB2312"/>
          <w:sz w:val="32"/>
          <w:szCs w:val="32"/>
        </w:rPr>
        <w:t>万元，其中财政拨款收入</w:t>
      </w:r>
      <w:r>
        <w:rPr>
          <w:rFonts w:hint="eastAsia" w:ascii="仿宋_GB2312" w:hAnsi="仿宋_GB2312" w:eastAsia="仿宋_GB2312" w:cs="仿宋_GB2312"/>
          <w:sz w:val="32"/>
          <w:szCs w:val="32"/>
          <w:lang w:val="en-US" w:eastAsia="zh-CN"/>
        </w:rPr>
        <w:t>984.56</w:t>
      </w:r>
      <w:r>
        <w:rPr>
          <w:rFonts w:hint="eastAsia" w:ascii="仿宋_GB2312" w:hAnsi="仿宋_GB2312" w:eastAsia="仿宋_GB2312" w:cs="仿宋_GB2312"/>
          <w:sz w:val="32"/>
          <w:szCs w:val="32"/>
        </w:rPr>
        <w:t>万元。</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w:t>
      </w:r>
      <w:r>
        <w:rPr>
          <w:rFonts w:hint="eastAsia" w:ascii="仿宋_GB2312" w:hAnsi="仿宋_GB2312" w:eastAsia="仿宋_GB2312" w:cs="仿宋_GB2312"/>
          <w:b/>
          <w:bCs/>
          <w:color w:val="000000"/>
          <w:kern w:val="0"/>
          <w:sz w:val="32"/>
          <w:szCs w:val="32"/>
          <w:shd w:val="clear" w:color="auto" w:fill="FFFFFF"/>
          <w:lang w:val="zh-CN"/>
        </w:rPr>
        <w:t>二）部门财政资金支出情况。</w:t>
      </w:r>
      <w:r>
        <w:rPr>
          <w:rFonts w:hint="eastAsia" w:ascii="仿宋_GB2312" w:hAnsi="仿宋_GB2312" w:eastAsia="仿宋_GB2312" w:cs="仿宋_GB2312"/>
          <w:color w:val="000000"/>
          <w:sz w:val="32"/>
          <w:szCs w:val="32"/>
          <w:lang w:val="en-US" w:eastAsia="zh-CN"/>
        </w:rPr>
        <w:t>2019</w:t>
      </w:r>
      <w:r>
        <w:rPr>
          <w:rFonts w:hint="eastAsia" w:ascii="仿宋_GB2312" w:hAnsi="仿宋_GB2312" w:eastAsia="仿宋_GB2312" w:cs="仿宋_GB2312"/>
          <w:color w:val="000000"/>
          <w:sz w:val="32"/>
          <w:szCs w:val="32"/>
        </w:rPr>
        <w:t>年本年</w:t>
      </w:r>
      <w:r>
        <w:rPr>
          <w:rFonts w:hint="eastAsia" w:ascii="仿宋_GB2312" w:hAnsi="仿宋_GB2312" w:eastAsia="仿宋_GB2312" w:cs="仿宋_GB2312"/>
          <w:color w:val="000000"/>
          <w:kern w:val="0"/>
          <w:sz w:val="32"/>
          <w:szCs w:val="32"/>
          <w:lang w:val="zh-CN"/>
        </w:rPr>
        <w:t>财政资金</w:t>
      </w:r>
      <w:r>
        <w:rPr>
          <w:rFonts w:hint="eastAsia" w:ascii="仿宋_GB2312" w:hAnsi="仿宋_GB2312" w:eastAsia="仿宋_GB2312" w:cs="仿宋_GB2312"/>
          <w:color w:val="000000"/>
          <w:sz w:val="32"/>
          <w:szCs w:val="32"/>
        </w:rPr>
        <w:t>支出合计</w:t>
      </w:r>
      <w:r>
        <w:rPr>
          <w:rFonts w:hint="eastAsia" w:ascii="仿宋_GB2312" w:hAnsi="仿宋_GB2312" w:eastAsia="仿宋_GB2312" w:cs="仿宋_GB2312"/>
          <w:color w:val="000000"/>
          <w:sz w:val="32"/>
          <w:szCs w:val="32"/>
          <w:lang w:val="en-US" w:eastAsia="zh-CN"/>
        </w:rPr>
        <w:t>1098.09</w:t>
      </w:r>
      <w:r>
        <w:rPr>
          <w:rFonts w:hint="eastAsia" w:ascii="仿宋_GB2312" w:hAnsi="仿宋_GB2312" w:eastAsia="仿宋_GB2312" w:cs="仿宋_GB2312"/>
          <w:color w:val="000000"/>
          <w:sz w:val="32"/>
          <w:szCs w:val="32"/>
        </w:rPr>
        <w:t>万元，其中：</w:t>
      </w:r>
      <w:r>
        <w:rPr>
          <w:rFonts w:hint="eastAsia" w:ascii="仿宋_GB2312" w:hAnsi="仿宋_GB2312" w:eastAsia="仿宋_GB2312" w:cs="仿宋_GB2312"/>
          <w:sz w:val="32"/>
          <w:szCs w:val="32"/>
          <w:lang w:val="en-US" w:eastAsia="zh-CN"/>
        </w:rPr>
        <w:t>577.2</w:t>
      </w:r>
      <w:r>
        <w:rPr>
          <w:rFonts w:hint="eastAsia" w:ascii="仿宋_GB2312" w:hAnsi="仿宋_GB2312" w:eastAsia="仿宋_GB2312" w:cs="仿宋_GB2312"/>
          <w:sz w:val="32"/>
          <w:szCs w:val="32"/>
        </w:rPr>
        <w:t>万元，项目支出</w:t>
      </w:r>
      <w:r>
        <w:rPr>
          <w:rFonts w:hint="eastAsia" w:ascii="仿宋_GB2312" w:hAnsi="仿宋_GB2312" w:eastAsia="仿宋_GB2312" w:cs="仿宋_GB2312"/>
          <w:sz w:val="32"/>
          <w:szCs w:val="32"/>
          <w:lang w:val="en-US" w:eastAsia="zh-CN"/>
        </w:rPr>
        <w:t>520.89</w:t>
      </w:r>
      <w:r>
        <w:rPr>
          <w:rFonts w:hint="eastAsia" w:ascii="仿宋_GB2312" w:hAnsi="仿宋_GB2312" w:eastAsia="仿宋_GB2312" w:cs="仿宋_GB2312"/>
          <w:sz w:val="32"/>
          <w:szCs w:val="32"/>
        </w:rPr>
        <w:t>万元。</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keepNext w:val="0"/>
        <w:keepLines w:val="0"/>
        <w:pageBreakBefore w:val="0"/>
        <w:kinsoku/>
        <w:wordWrap/>
        <w:overflowPunct/>
        <w:topLinePunct w:val="0"/>
        <w:autoSpaceDE/>
        <w:autoSpaceDN/>
        <w:bidi w:val="0"/>
        <w:spacing w:line="560" w:lineRule="exact"/>
        <w:ind w:firstLine="643" w:firstLineChars="200"/>
        <w:textAlignment w:val="auto"/>
        <w:rPr>
          <w:rFonts w:ascii="仿宋" w:hAnsi="仿宋" w:eastAsia="仿宋" w:cs="仿宋_GB2312"/>
          <w:b/>
          <w:bCs/>
          <w:sz w:val="32"/>
          <w:szCs w:val="32"/>
        </w:rPr>
      </w:pPr>
      <w:r>
        <w:rPr>
          <w:rFonts w:hint="eastAsia" w:ascii="仿宋" w:hAnsi="仿宋" w:eastAsia="仿宋" w:cs="仿宋_GB2312"/>
          <w:b/>
          <w:bCs/>
          <w:sz w:val="32"/>
          <w:szCs w:val="32"/>
        </w:rPr>
        <w:t>（一）部门预算管理。</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sz w:val="32"/>
          <w:szCs w:val="32"/>
          <w:lang w:val="zh-CN" w:eastAsia="zh-CN"/>
        </w:rPr>
        <w:t>县委组织部按照财政局预算编制通知和相关要求，按时保质保量进行预决算的编制，</w:t>
      </w:r>
      <w:r>
        <w:rPr>
          <w:rFonts w:hint="eastAsia" w:ascii="仿宋_GB2312" w:hAnsi="仿宋_GB2312" w:eastAsia="仿宋_GB2312" w:cs="仿宋_GB2312"/>
          <w:sz w:val="32"/>
          <w:szCs w:val="32"/>
        </w:rPr>
        <w:t>对本年度相应用款进行及时清理和处理，做到账账相符、账实相符、账证相符,先有预算再有支出的原则，及时处理相关事务；对绩效目标进行季度梳理和年度分析，及时上报相关报表；对专项预算提前细化，分科目上报，做到收支平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zh-CN" w:eastAsia="zh-CN"/>
        </w:rPr>
        <w:t>并报经相关部门审核批准后执行。</w:t>
      </w:r>
      <w:r>
        <w:rPr>
          <w:rFonts w:hint="eastAsia" w:ascii="仿宋_GB2312" w:hAnsi="仿宋_GB2312" w:eastAsia="仿宋_GB2312" w:cs="仿宋_GB2312"/>
          <w:sz w:val="32"/>
          <w:szCs w:val="32"/>
          <w:lang w:val="en-US" w:eastAsia="zh-CN"/>
        </w:rPr>
        <w:t>2019</w:t>
      </w:r>
      <w:r>
        <w:rPr>
          <w:rFonts w:hint="eastAsia" w:ascii="仿宋_GB2312" w:hAnsi="仿宋_GB2312" w:eastAsia="仿宋_GB2312" w:cs="仿宋_GB2312"/>
          <w:sz w:val="32"/>
          <w:szCs w:val="32"/>
        </w:rPr>
        <w:t>年部门预算</w:t>
      </w:r>
      <w:r>
        <w:rPr>
          <w:rFonts w:hint="eastAsia" w:ascii="仿宋_GB2312" w:hAnsi="仿宋_GB2312" w:eastAsia="仿宋_GB2312" w:cs="仿宋_GB2312"/>
          <w:sz w:val="32"/>
          <w:szCs w:val="32"/>
          <w:lang w:val="en-US" w:eastAsia="zh-CN"/>
        </w:rPr>
        <w:t>1098.09</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577.2</w:t>
      </w:r>
      <w:r>
        <w:rPr>
          <w:rFonts w:hint="eastAsia" w:ascii="仿宋_GB2312" w:hAnsi="仿宋_GB2312" w:eastAsia="仿宋_GB2312" w:cs="仿宋_GB2312"/>
          <w:sz w:val="32"/>
          <w:szCs w:val="32"/>
        </w:rPr>
        <w:t>万元，项目支出</w:t>
      </w:r>
      <w:r>
        <w:rPr>
          <w:rFonts w:hint="eastAsia" w:ascii="仿宋_GB2312" w:hAnsi="仿宋_GB2312" w:eastAsia="仿宋_GB2312" w:cs="仿宋_GB2312"/>
          <w:sz w:val="32"/>
          <w:szCs w:val="32"/>
          <w:lang w:val="en-US" w:eastAsia="zh-CN"/>
        </w:rPr>
        <w:t>520.89</w:t>
      </w:r>
      <w:r>
        <w:rPr>
          <w:rFonts w:hint="eastAsia" w:ascii="仿宋_GB2312" w:hAnsi="仿宋_GB2312" w:eastAsia="仿宋_GB2312" w:cs="仿宋_GB2312"/>
          <w:sz w:val="32"/>
          <w:szCs w:val="32"/>
        </w:rPr>
        <w:t>万元。</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rPr>
          <w:rFonts w:ascii="仿宋_GB2312" w:hAnsi="宋体" w:eastAsia="仿宋_GB2312" w:cs="宋体"/>
          <w:b/>
          <w:bCs/>
          <w:color w:val="000000"/>
          <w:kern w:val="0"/>
          <w:sz w:val="32"/>
          <w:szCs w:val="32"/>
          <w:shd w:val="clear" w:color="auto" w:fill="FFFFFF"/>
          <w:lang w:val="zh-CN"/>
        </w:rPr>
      </w:pPr>
      <w:r>
        <w:rPr>
          <w:rFonts w:hint="eastAsia" w:ascii="仿宋" w:hAnsi="仿宋" w:eastAsia="仿宋" w:cs="仿宋_GB2312"/>
          <w:b/>
          <w:bCs/>
          <w:sz w:val="32"/>
          <w:szCs w:val="32"/>
        </w:rPr>
        <w:t>（二）专项预算管理。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lang w:val="zh-CN" w:eastAsia="zh-CN" w:bidi="ar"/>
        </w:rPr>
      </w:pPr>
      <w:r>
        <w:rPr>
          <w:rFonts w:hint="eastAsia" w:ascii="仿宋_GB2312" w:hAnsi="仿宋_GB2312" w:eastAsia="仿宋_GB2312" w:cs="仿宋_GB2312"/>
          <w:color w:val="000000"/>
          <w:kern w:val="0"/>
          <w:sz w:val="32"/>
          <w:szCs w:val="32"/>
          <w:lang w:val="zh-CN" w:eastAsia="zh-CN" w:bidi="ar"/>
        </w:rPr>
        <w:t>县委组织部严格按照县财政的要求，及时分月、分季度上报用款计划，待财政审核通过后，严格按计划执行，各季度执行情况良好。认真执行中央八项规定，严格控制三公经费支出。</w:t>
      </w:r>
      <w:r>
        <w:rPr>
          <w:rFonts w:hint="eastAsia" w:ascii="仿宋_GB2312" w:hAnsi="仿宋_GB2312" w:eastAsia="仿宋_GB2312" w:cs="仿宋_GB2312"/>
          <w:i w:val="0"/>
          <w:caps w:val="0"/>
          <w:color w:val="000000"/>
          <w:spacing w:val="0"/>
          <w:sz w:val="32"/>
          <w:szCs w:val="32"/>
          <w:shd w:val="clear" w:fill="FFFFFF"/>
          <w:lang w:val="en-US" w:eastAsia="zh-CN"/>
        </w:rPr>
        <w:t>2019</w:t>
      </w:r>
      <w:r>
        <w:rPr>
          <w:rFonts w:hint="eastAsia" w:ascii="仿宋_GB2312" w:hAnsi="仿宋_GB2312" w:eastAsia="仿宋_GB2312" w:cs="仿宋_GB2312"/>
          <w:i w:val="0"/>
          <w:caps w:val="0"/>
          <w:color w:val="000000"/>
          <w:spacing w:val="0"/>
          <w:sz w:val="32"/>
          <w:szCs w:val="32"/>
          <w:shd w:val="clear" w:fill="FFFFFF"/>
        </w:rPr>
        <w:t>年“三公”经费支出</w:t>
      </w:r>
      <w:r>
        <w:rPr>
          <w:rFonts w:hint="eastAsia" w:ascii="仿宋_GB2312" w:hAnsi="仿宋_GB2312" w:eastAsia="仿宋_GB2312" w:cs="仿宋_GB2312"/>
          <w:i w:val="0"/>
          <w:caps w:val="0"/>
          <w:color w:val="000000"/>
          <w:spacing w:val="0"/>
          <w:sz w:val="32"/>
          <w:szCs w:val="32"/>
          <w:shd w:val="clear" w:fill="FFFFFF"/>
          <w:lang w:val="en-US" w:eastAsia="zh-CN"/>
        </w:rPr>
        <w:t>20.86</w:t>
      </w:r>
      <w:r>
        <w:rPr>
          <w:rFonts w:hint="eastAsia" w:ascii="仿宋_GB2312" w:hAnsi="仿宋_GB2312" w:eastAsia="仿宋_GB2312" w:cs="仿宋_GB2312"/>
          <w:i w:val="0"/>
          <w:caps w:val="0"/>
          <w:color w:val="000000"/>
          <w:spacing w:val="0"/>
          <w:sz w:val="32"/>
          <w:szCs w:val="32"/>
          <w:shd w:val="clear" w:fill="FFFFFF"/>
        </w:rPr>
        <w:t>万元</w:t>
      </w:r>
      <w:r>
        <w:rPr>
          <w:rFonts w:hint="eastAsia" w:ascii="仿宋_GB2312" w:hAnsi="仿宋_GB2312" w:eastAsia="仿宋_GB2312" w:cs="仿宋_GB2312"/>
          <w:i w:val="0"/>
          <w:caps w:val="0"/>
          <w:color w:val="000000"/>
          <w:spacing w:val="0"/>
          <w:sz w:val="32"/>
          <w:szCs w:val="32"/>
          <w:shd w:val="clear" w:fill="FFFFFF"/>
          <w:lang w:eastAsia="zh-CN"/>
        </w:rPr>
        <w:t>。其中，</w:t>
      </w:r>
      <w:r>
        <w:rPr>
          <w:rFonts w:hint="eastAsia" w:ascii="仿宋_GB2312" w:hAnsi="仿宋_GB2312" w:eastAsia="仿宋_GB2312" w:cs="仿宋_GB2312"/>
          <w:i w:val="0"/>
          <w:caps w:val="0"/>
          <w:color w:val="333333"/>
          <w:spacing w:val="0"/>
          <w:sz w:val="32"/>
          <w:szCs w:val="32"/>
        </w:rPr>
        <w:t>公务用车运行维护费支出</w:t>
      </w:r>
      <w:r>
        <w:rPr>
          <w:rFonts w:hint="eastAsia" w:ascii="仿宋_GB2312" w:hAnsi="仿宋_GB2312" w:eastAsia="仿宋_GB2312" w:cs="仿宋_GB2312"/>
          <w:color w:val="000000"/>
          <w:sz w:val="32"/>
          <w:szCs w:val="32"/>
          <w:lang w:val="en-US" w:eastAsia="zh-CN"/>
        </w:rPr>
        <w:t>20.15</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比</w:t>
      </w:r>
      <w:r>
        <w:rPr>
          <w:rFonts w:hint="eastAsia" w:ascii="仿宋_GB2312" w:hAnsi="仿宋_GB2312" w:eastAsia="仿宋_GB2312" w:cs="仿宋_GB2312"/>
          <w:color w:val="000000"/>
          <w:sz w:val="32"/>
          <w:szCs w:val="32"/>
          <w:lang w:val="en-US" w:eastAsia="zh-CN"/>
        </w:rPr>
        <w:t>2018</w:t>
      </w:r>
      <w:r>
        <w:rPr>
          <w:rFonts w:hint="eastAsia" w:ascii="仿宋_GB2312" w:hAnsi="仿宋_GB2312" w:eastAsia="仿宋_GB2312" w:cs="仿宋_GB2312"/>
          <w:color w:val="000000"/>
          <w:sz w:val="32"/>
          <w:szCs w:val="32"/>
        </w:rPr>
        <w:t>年增加</w:t>
      </w:r>
      <w:r>
        <w:rPr>
          <w:rFonts w:hint="eastAsia" w:ascii="仿宋_GB2312" w:hAnsi="仿宋_GB2312" w:eastAsia="仿宋_GB2312" w:cs="仿宋_GB2312"/>
          <w:color w:val="000000"/>
          <w:sz w:val="32"/>
          <w:szCs w:val="32"/>
          <w:lang w:val="en-US" w:eastAsia="zh-CN"/>
        </w:rPr>
        <w:t>2.23</w:t>
      </w:r>
      <w:r>
        <w:rPr>
          <w:rFonts w:hint="eastAsia" w:ascii="仿宋_GB2312" w:hAnsi="仿宋_GB2312" w:eastAsia="仿宋_GB2312" w:cs="仿宋_GB2312"/>
          <w:color w:val="000000"/>
          <w:sz w:val="32"/>
          <w:szCs w:val="32"/>
        </w:rPr>
        <w:t>万元，增长</w:t>
      </w:r>
      <w:r>
        <w:rPr>
          <w:rFonts w:hint="eastAsia" w:ascii="仿宋_GB2312" w:hAnsi="仿宋_GB2312" w:eastAsia="仿宋_GB2312" w:cs="仿宋_GB2312"/>
          <w:color w:val="000000"/>
          <w:sz w:val="32"/>
          <w:szCs w:val="32"/>
          <w:lang w:val="en-US" w:eastAsia="zh-CN"/>
        </w:rPr>
        <w:t>12.44</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主要原因是</w:t>
      </w:r>
      <w:r>
        <w:rPr>
          <w:rFonts w:hint="eastAsia" w:ascii="仿宋_GB2312" w:hAnsi="仿宋_GB2312" w:eastAsia="仿宋_GB2312" w:cs="仿宋_GB2312"/>
          <w:color w:val="000000"/>
          <w:sz w:val="32"/>
          <w:szCs w:val="32"/>
          <w:lang w:eastAsia="zh-CN"/>
        </w:rPr>
        <w:t>维修费用和业务用车增加</w:t>
      </w:r>
      <w:r>
        <w:rPr>
          <w:rFonts w:hint="eastAsia" w:ascii="仿宋_GB2312" w:hAnsi="仿宋_GB2312" w:eastAsia="仿宋_GB2312" w:cs="仿宋_GB2312"/>
          <w:color w:val="000000"/>
          <w:sz w:val="32"/>
          <w:szCs w:val="32"/>
        </w:rPr>
        <w:t>。公务接待费支出</w:t>
      </w:r>
      <w:r>
        <w:rPr>
          <w:rFonts w:hint="eastAsia" w:ascii="仿宋_GB2312" w:hAnsi="仿宋_GB2312" w:eastAsia="仿宋_GB2312" w:cs="仿宋_GB2312"/>
          <w:color w:val="000000"/>
          <w:sz w:val="32"/>
          <w:szCs w:val="32"/>
          <w:lang w:val="en-US" w:eastAsia="zh-CN"/>
        </w:rPr>
        <w:t>0.71</w:t>
      </w:r>
      <w:r>
        <w:rPr>
          <w:rFonts w:hint="eastAsia" w:ascii="仿宋_GB2312" w:hAnsi="仿宋_GB2312" w:eastAsia="仿宋_GB2312" w:cs="仿宋_GB2312"/>
          <w:color w:val="000000"/>
          <w:sz w:val="32"/>
          <w:szCs w:val="32"/>
        </w:rPr>
        <w:t>万元，比</w:t>
      </w:r>
      <w:r>
        <w:rPr>
          <w:rFonts w:hint="eastAsia" w:ascii="仿宋_GB2312" w:hAnsi="仿宋_GB2312" w:eastAsia="仿宋_GB2312" w:cs="仿宋_GB2312"/>
          <w:color w:val="000000"/>
          <w:sz w:val="32"/>
          <w:szCs w:val="32"/>
          <w:lang w:val="en-US" w:eastAsia="zh-CN"/>
        </w:rPr>
        <w:t>2018</w:t>
      </w:r>
      <w:r>
        <w:rPr>
          <w:rFonts w:hint="eastAsia" w:ascii="仿宋_GB2312" w:hAnsi="仿宋_GB2312" w:eastAsia="仿宋_GB2312" w:cs="仿宋_GB2312"/>
          <w:color w:val="000000"/>
          <w:sz w:val="32"/>
          <w:szCs w:val="32"/>
        </w:rPr>
        <w:t>年增加</w:t>
      </w:r>
      <w:r>
        <w:rPr>
          <w:rFonts w:hint="eastAsia" w:ascii="仿宋_GB2312" w:hAnsi="仿宋_GB2312" w:eastAsia="仿宋_GB2312" w:cs="仿宋_GB2312"/>
          <w:color w:val="000000"/>
          <w:sz w:val="32"/>
          <w:szCs w:val="32"/>
          <w:lang w:val="en-US" w:eastAsia="zh-CN"/>
        </w:rPr>
        <w:t>0.05</w:t>
      </w:r>
      <w:r>
        <w:rPr>
          <w:rFonts w:hint="eastAsia" w:ascii="仿宋_GB2312" w:hAnsi="仿宋_GB2312" w:eastAsia="仿宋_GB2312" w:cs="仿宋_GB2312"/>
          <w:color w:val="000000"/>
          <w:sz w:val="32"/>
          <w:szCs w:val="32"/>
        </w:rPr>
        <w:t>万元，增长</w:t>
      </w:r>
      <w:r>
        <w:rPr>
          <w:rFonts w:hint="eastAsia" w:ascii="仿宋_GB2312" w:hAnsi="仿宋_GB2312" w:eastAsia="仿宋_GB2312" w:cs="仿宋_GB2312"/>
          <w:sz w:val="32"/>
          <w:szCs w:val="32"/>
          <w:lang w:val="en-US" w:eastAsia="zh-CN"/>
        </w:rPr>
        <w:t>7.58</w:t>
      </w:r>
      <w:r>
        <w:rPr>
          <w:rFonts w:hint="eastAsia" w:ascii="仿宋_GB2312" w:hAnsi="仿宋_GB2312" w:eastAsia="仿宋_GB2312" w:cs="仿宋_GB2312"/>
          <w:color w:val="000000"/>
          <w:sz w:val="32"/>
          <w:szCs w:val="32"/>
        </w:rPr>
        <w:t>%。主要用于执行公务、开展业务活动开支的用餐费等。</w:t>
      </w:r>
    </w:p>
    <w:p>
      <w:pPr>
        <w:keepNext w:val="0"/>
        <w:keepLines w:val="0"/>
        <w:pageBreakBefore w:val="0"/>
        <w:kinsoku/>
        <w:wordWrap/>
        <w:overflowPunct/>
        <w:topLinePunct w:val="0"/>
        <w:autoSpaceDE/>
        <w:autoSpaceDN/>
        <w:bidi w:val="0"/>
        <w:spacing w:line="560" w:lineRule="exact"/>
        <w:ind w:firstLine="643" w:firstLineChars="200"/>
        <w:textAlignment w:val="auto"/>
        <w:rPr>
          <w:rFonts w:ascii="仿宋" w:hAnsi="仿宋" w:eastAsia="仿宋" w:cs="仿宋_GB2312"/>
          <w:b/>
          <w:bCs/>
          <w:sz w:val="32"/>
          <w:szCs w:val="32"/>
        </w:rPr>
      </w:pPr>
      <w:r>
        <w:rPr>
          <w:rFonts w:hint="eastAsia" w:ascii="仿宋" w:hAnsi="仿宋" w:eastAsia="仿宋" w:cs="仿宋_GB2312"/>
          <w:b/>
          <w:bCs/>
          <w:sz w:val="32"/>
          <w:szCs w:val="32"/>
        </w:rPr>
        <w:t>（三）结果应用情况。</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outlineLvl w:val="9"/>
        <w:rPr>
          <w:rFonts w:hint="eastAsia" w:ascii="黑体" w:hAnsi="宋体" w:eastAsia="黑体" w:cs="宋体"/>
          <w:color w:val="000000"/>
          <w:kern w:val="0"/>
          <w:sz w:val="32"/>
          <w:szCs w:val="32"/>
          <w:shd w:val="clear" w:color="auto" w:fill="FFFFFF"/>
        </w:rPr>
      </w:pPr>
      <w:r>
        <w:rPr>
          <w:rFonts w:hint="eastAsia" w:ascii="仿宋_GB2312" w:hAnsi="仿宋_GB2312" w:eastAsia="仿宋_GB2312" w:cs="仿宋_GB2312"/>
          <w:color w:val="000000"/>
          <w:kern w:val="0"/>
          <w:sz w:val="32"/>
          <w:szCs w:val="32"/>
          <w:lang w:val="zh-CN" w:eastAsia="zh-CN" w:bidi="ar"/>
        </w:rPr>
        <w:t>县委组织部按照岗位职责，严格执行机关财务管理制度，及时进行会计核算，严格控制支出；建立健全内部控制制度，资产管理制度，信息公开制度。在执行中新增资产严格按要求实施政府采购，并纳入国有资产管理信息系统。对预算、决算在规定时间和规定的网站进行公开，接受社会监督。</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sz w:val="32"/>
          <w:szCs w:val="32"/>
          <w:lang w:val="en-US" w:eastAsia="zh-CN"/>
        </w:rPr>
        <w:t>我部严格按照预算法按时完成预决算编制。在执行过程中有计划进行资金申报使用，完善资金管理及内部控制制度，确保资金安全，做到帐款、帐帐、帐实相符。</w:t>
      </w:r>
    </w:p>
    <w:p>
      <w:pPr>
        <w:keepNext w:val="0"/>
        <w:keepLines w:val="0"/>
        <w:pageBreakBefore w:val="0"/>
        <w:widowControl/>
        <w:numPr>
          <w:ilvl w:val="0"/>
          <w:numId w:val="6"/>
        </w:numPr>
        <w:kinsoku/>
        <w:wordWrap/>
        <w:overflowPunct/>
        <w:topLinePunct w:val="0"/>
        <w:autoSpaceDE/>
        <w:autoSpaceDN/>
        <w:bidi w:val="0"/>
        <w:adjustRightInd w:val="0"/>
        <w:snapToGrid w:val="0"/>
        <w:spacing w:line="560" w:lineRule="exact"/>
        <w:ind w:firstLine="643" w:firstLineChars="200"/>
        <w:contextualSpacing/>
        <w:jc w:val="left"/>
        <w:textAlignment w:val="auto"/>
        <w:rPr>
          <w:rFonts w:hint="eastAsia"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评价结论。</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lang w:val="zh-CN" w:bidi="ar"/>
        </w:rPr>
        <w:t>根据《201</w:t>
      </w:r>
      <w:r>
        <w:rPr>
          <w:rFonts w:hint="eastAsia" w:ascii="仿宋_GB2312" w:hAnsi="仿宋_GB2312" w:eastAsia="仿宋_GB2312" w:cs="仿宋_GB2312"/>
          <w:color w:val="000000"/>
          <w:kern w:val="0"/>
          <w:sz w:val="32"/>
          <w:szCs w:val="32"/>
          <w:lang w:val="en-US" w:eastAsia="zh-CN" w:bidi="ar"/>
        </w:rPr>
        <w:t>9</w:t>
      </w:r>
      <w:r>
        <w:rPr>
          <w:rFonts w:hint="eastAsia" w:ascii="仿宋_GB2312" w:hAnsi="仿宋_GB2312" w:eastAsia="仿宋_GB2312" w:cs="仿宋_GB2312"/>
          <w:color w:val="000000"/>
          <w:kern w:val="0"/>
          <w:sz w:val="32"/>
          <w:szCs w:val="32"/>
          <w:lang w:val="zh-CN" w:bidi="ar"/>
        </w:rPr>
        <w:t>年红原县部门支出绩效评价指标体系》评分得分9</w:t>
      </w:r>
      <w:r>
        <w:rPr>
          <w:rFonts w:hint="eastAsia" w:ascii="仿宋_GB2312" w:hAnsi="仿宋_GB2312" w:eastAsia="仿宋_GB2312" w:cs="仿宋_GB2312"/>
          <w:color w:val="000000"/>
          <w:kern w:val="0"/>
          <w:sz w:val="32"/>
          <w:szCs w:val="32"/>
          <w:lang w:val="en-US" w:eastAsia="zh-CN" w:bidi="ar"/>
        </w:rPr>
        <w:t>7</w:t>
      </w:r>
      <w:r>
        <w:rPr>
          <w:rFonts w:hint="eastAsia" w:ascii="仿宋_GB2312" w:hAnsi="仿宋_GB2312" w:eastAsia="仿宋_GB2312" w:cs="仿宋_GB2312"/>
          <w:color w:val="000000"/>
          <w:kern w:val="0"/>
          <w:sz w:val="32"/>
          <w:szCs w:val="32"/>
          <w:lang w:val="zh-CN" w:bidi="ar"/>
        </w:rPr>
        <w:t>分，部门整体支出绩效为“好”。</w:t>
      </w:r>
    </w:p>
    <w:p>
      <w:pPr>
        <w:keepNext w:val="0"/>
        <w:keepLines w:val="0"/>
        <w:pageBreakBefore w:val="0"/>
        <w:widowControl/>
        <w:numPr>
          <w:ilvl w:val="0"/>
          <w:numId w:val="6"/>
        </w:numPr>
        <w:kinsoku/>
        <w:wordWrap/>
        <w:overflowPunct/>
        <w:topLinePunct w:val="0"/>
        <w:autoSpaceDE/>
        <w:autoSpaceDN/>
        <w:bidi w:val="0"/>
        <w:adjustRightInd w:val="0"/>
        <w:snapToGrid w:val="0"/>
        <w:spacing w:line="560" w:lineRule="exact"/>
        <w:ind w:left="0" w:leftChars="0" w:firstLine="643" w:firstLineChars="200"/>
        <w:jc w:val="left"/>
        <w:textAlignment w:val="auto"/>
        <w:rPr>
          <w:rFonts w:hint="eastAsia"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存在问题。</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Chars="200"/>
        <w:jc w:val="left"/>
        <w:textAlignment w:val="auto"/>
        <w:rPr>
          <w:rFonts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lang w:val="zh-CN" w:bidi="ar"/>
        </w:rPr>
        <w:t>没有完善的系统流程以及规章制度，工作效率有待提高。</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（三）改进建议。</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bidi="ar"/>
        </w:rPr>
        <w:t>1.</w:t>
      </w:r>
      <w:r>
        <w:rPr>
          <w:rFonts w:hint="eastAsia" w:ascii="仿宋_GB2312" w:hAnsi="仿宋_GB2312" w:eastAsia="仿宋_GB2312" w:cs="仿宋_GB2312"/>
          <w:color w:val="000000"/>
          <w:kern w:val="0"/>
          <w:sz w:val="32"/>
          <w:szCs w:val="32"/>
          <w:lang w:val="zh-CN" w:bidi="ar"/>
        </w:rPr>
        <w:t>加强会计核算和会计监督的准确性和有效性，加强财务人员的专业意识，提高对预算编制的执行与认识，为绩效评价工作开展创造更好的条件。</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bidi="ar"/>
        </w:rPr>
        <w:t>2.加强会计工作的事前、事中、事后的监督，以确保会计的延续性，建立可持续机制，提高工作人员对支出的合理、合法使用意识，做到每笔支出有据可查、有法可依。</w:t>
      </w:r>
    </w:p>
    <w:p>
      <w:pPr>
        <w:spacing w:line="600" w:lineRule="exact"/>
        <w:jc w:val="both"/>
        <w:outlineLvl w:val="0"/>
        <w:rPr>
          <w:rFonts w:hint="eastAsia" w:ascii="黑体" w:hAnsi="黑体" w:eastAsia="黑体"/>
          <w:color w:val="000000"/>
          <w:sz w:val="44"/>
          <w:szCs w:val="44"/>
        </w:rPr>
      </w:pPr>
      <w:bookmarkStart w:id="92" w:name="_Toc15396618"/>
    </w:p>
    <w:p>
      <w:pPr>
        <w:spacing w:line="600" w:lineRule="exact"/>
        <w:jc w:val="center"/>
        <w:outlineLvl w:val="0"/>
        <w:rPr>
          <w:rStyle w:val="26"/>
          <w:rFonts w:ascii="黑体" w:hAnsi="黑体" w:eastAsia="黑体"/>
          <w:b w:val="0"/>
        </w:rPr>
      </w:pPr>
      <w:bookmarkStart w:id="93" w:name="_Toc12837"/>
      <w:r>
        <w:rPr>
          <w:rFonts w:hint="eastAsia" w:ascii="黑体" w:hAnsi="黑体" w:eastAsia="黑体"/>
          <w:color w:val="000000"/>
          <w:sz w:val="44"/>
          <w:szCs w:val="44"/>
        </w:rPr>
        <w:t>第</w:t>
      </w:r>
      <w:r>
        <w:rPr>
          <w:rStyle w:val="26"/>
          <w:rFonts w:hint="eastAsia" w:ascii="黑体" w:hAnsi="黑体" w:eastAsia="黑体"/>
          <w:b w:val="0"/>
        </w:rPr>
        <w:t>五部分 附表</w:t>
      </w:r>
      <w:bookmarkEnd w:id="88"/>
      <w:bookmarkEnd w:id="92"/>
      <w:bookmarkEnd w:id="93"/>
    </w:p>
    <w:p>
      <w:pPr>
        <w:spacing w:line="600" w:lineRule="exact"/>
        <w:jc w:val="center"/>
        <w:outlineLvl w:val="0"/>
        <w:rPr>
          <w:rFonts w:ascii="仿宋" w:hAnsi="仿宋" w:eastAsia="仿宋"/>
          <w:b/>
          <w:color w:val="000000"/>
          <w:sz w:val="44"/>
          <w:szCs w:val="44"/>
        </w:rPr>
      </w:pPr>
    </w:p>
    <w:p>
      <w:pPr>
        <w:pStyle w:val="4"/>
        <w:rPr>
          <w:rFonts w:ascii="仿宋" w:hAnsi="仿宋" w:eastAsia="仿宋"/>
          <w:color w:val="000000"/>
        </w:rPr>
      </w:pPr>
      <w:bookmarkStart w:id="94" w:name="_Toc15396619"/>
      <w:bookmarkStart w:id="95" w:name="_Toc10714"/>
      <w:r>
        <w:rPr>
          <w:rFonts w:hint="eastAsia" w:ascii="仿宋" w:hAnsi="仿宋" w:eastAsia="仿宋"/>
          <w:b w:val="0"/>
          <w:color w:val="000000"/>
        </w:rPr>
        <w:t>一、收</w:t>
      </w:r>
      <w:r>
        <w:rPr>
          <w:rStyle w:val="27"/>
          <w:rFonts w:hint="eastAsia" w:ascii="仿宋" w:hAnsi="仿宋" w:eastAsia="仿宋"/>
          <w:b w:val="0"/>
          <w:bCs w:val="0"/>
        </w:rPr>
        <w:t>入支出决算总表</w:t>
      </w:r>
      <w:bookmarkEnd w:id="94"/>
      <w:bookmarkEnd w:id="95"/>
    </w:p>
    <w:p>
      <w:pPr>
        <w:pStyle w:val="4"/>
        <w:rPr>
          <w:rFonts w:ascii="仿宋" w:hAnsi="仿宋" w:eastAsia="仿宋"/>
          <w:color w:val="000000"/>
        </w:rPr>
      </w:pPr>
      <w:bookmarkStart w:id="96" w:name="_Toc15396620"/>
      <w:bookmarkStart w:id="97" w:name="_Toc19498"/>
      <w:r>
        <w:rPr>
          <w:rFonts w:hint="eastAsia" w:ascii="仿宋" w:hAnsi="仿宋" w:eastAsia="仿宋"/>
          <w:b w:val="0"/>
          <w:color w:val="000000"/>
        </w:rPr>
        <w:t>二、收</w:t>
      </w:r>
      <w:r>
        <w:rPr>
          <w:rStyle w:val="27"/>
          <w:rFonts w:hint="eastAsia" w:ascii="仿宋" w:hAnsi="仿宋" w:eastAsia="仿宋"/>
          <w:b w:val="0"/>
          <w:bCs w:val="0"/>
        </w:rPr>
        <w:t>入决算表</w:t>
      </w:r>
      <w:bookmarkEnd w:id="96"/>
      <w:bookmarkEnd w:id="97"/>
    </w:p>
    <w:p>
      <w:pPr>
        <w:pStyle w:val="4"/>
        <w:rPr>
          <w:rFonts w:ascii="仿宋" w:hAnsi="仿宋" w:eastAsia="仿宋"/>
          <w:color w:val="000000"/>
        </w:rPr>
      </w:pPr>
      <w:bookmarkStart w:id="98" w:name="_Toc15396621"/>
      <w:bookmarkStart w:id="99" w:name="_Toc17631"/>
      <w:r>
        <w:rPr>
          <w:rStyle w:val="27"/>
          <w:rFonts w:hint="eastAsia" w:ascii="仿宋" w:hAnsi="仿宋" w:eastAsia="仿宋"/>
          <w:b w:val="0"/>
          <w:bCs w:val="0"/>
        </w:rPr>
        <w:t>三、</w:t>
      </w:r>
      <w:r>
        <w:rPr>
          <w:rFonts w:hint="eastAsia" w:ascii="仿宋" w:hAnsi="仿宋" w:eastAsia="仿宋"/>
          <w:b w:val="0"/>
          <w:color w:val="000000"/>
        </w:rPr>
        <w:t>支</w:t>
      </w:r>
      <w:r>
        <w:rPr>
          <w:rStyle w:val="27"/>
          <w:rFonts w:hint="eastAsia" w:ascii="仿宋" w:hAnsi="仿宋" w:eastAsia="仿宋"/>
          <w:b w:val="0"/>
          <w:bCs w:val="0"/>
        </w:rPr>
        <w:t>出决算表</w:t>
      </w:r>
      <w:bookmarkEnd w:id="98"/>
      <w:bookmarkEnd w:id="99"/>
    </w:p>
    <w:p>
      <w:pPr>
        <w:pStyle w:val="4"/>
        <w:rPr>
          <w:rFonts w:ascii="仿宋" w:hAnsi="仿宋" w:eastAsia="仿宋"/>
          <w:b w:val="0"/>
          <w:color w:val="000000"/>
        </w:rPr>
      </w:pPr>
      <w:bookmarkStart w:id="100" w:name="_Toc2049"/>
      <w:bookmarkStart w:id="101" w:name="_Toc15396622"/>
      <w:r>
        <w:rPr>
          <w:rStyle w:val="27"/>
          <w:rFonts w:hint="eastAsia" w:ascii="仿宋" w:hAnsi="仿宋" w:eastAsia="仿宋"/>
          <w:b w:val="0"/>
          <w:bCs w:val="0"/>
        </w:rPr>
        <w:t>四、</w:t>
      </w:r>
      <w:r>
        <w:rPr>
          <w:rFonts w:hint="eastAsia" w:ascii="仿宋" w:hAnsi="仿宋" w:eastAsia="仿宋"/>
          <w:b w:val="0"/>
          <w:color w:val="000000"/>
        </w:rPr>
        <w:t>财</w:t>
      </w:r>
      <w:r>
        <w:rPr>
          <w:rStyle w:val="27"/>
          <w:rFonts w:hint="eastAsia" w:ascii="仿宋" w:hAnsi="仿宋" w:eastAsia="仿宋"/>
          <w:b w:val="0"/>
          <w:bCs w:val="0"/>
        </w:rPr>
        <w:t>政拨款收入支出决算总表</w:t>
      </w:r>
      <w:bookmarkEnd w:id="100"/>
      <w:bookmarkEnd w:id="101"/>
    </w:p>
    <w:p>
      <w:pPr>
        <w:pStyle w:val="4"/>
        <w:rPr>
          <w:rStyle w:val="27"/>
          <w:rFonts w:ascii="仿宋" w:hAnsi="仿宋" w:eastAsia="仿宋"/>
          <w:b w:val="0"/>
          <w:bCs w:val="0"/>
        </w:rPr>
      </w:pPr>
      <w:bookmarkStart w:id="102" w:name="_Toc15396623"/>
      <w:bookmarkStart w:id="103" w:name="_Toc4683"/>
      <w:r>
        <w:rPr>
          <w:rStyle w:val="27"/>
          <w:rFonts w:hint="eastAsia" w:ascii="仿宋" w:hAnsi="仿宋" w:eastAsia="仿宋"/>
          <w:b w:val="0"/>
          <w:bCs w:val="0"/>
        </w:rPr>
        <w:t>五、</w:t>
      </w:r>
      <w:r>
        <w:rPr>
          <w:rFonts w:hint="eastAsia" w:ascii="仿宋" w:hAnsi="仿宋" w:eastAsia="仿宋"/>
          <w:b w:val="0"/>
          <w:color w:val="000000"/>
        </w:rPr>
        <w:t>财</w:t>
      </w:r>
      <w:r>
        <w:rPr>
          <w:rStyle w:val="27"/>
          <w:rFonts w:hint="eastAsia" w:ascii="仿宋" w:hAnsi="仿宋" w:eastAsia="仿宋"/>
          <w:b w:val="0"/>
          <w:bCs w:val="0"/>
        </w:rPr>
        <w:t>政拨款支出决算明细表</w:t>
      </w:r>
      <w:bookmarkEnd w:id="102"/>
      <w:bookmarkEnd w:id="103"/>
      <w:bookmarkStart w:id="104" w:name="_Toc15396624"/>
    </w:p>
    <w:p>
      <w:pPr>
        <w:pStyle w:val="4"/>
        <w:rPr>
          <w:rFonts w:ascii="仿宋" w:hAnsi="仿宋" w:eastAsia="仿宋"/>
          <w:color w:val="000000"/>
        </w:rPr>
      </w:pPr>
      <w:bookmarkStart w:id="105" w:name="_Toc9742"/>
      <w:r>
        <w:rPr>
          <w:rStyle w:val="27"/>
          <w:rFonts w:hint="eastAsia" w:ascii="仿宋" w:hAnsi="仿宋" w:eastAsia="仿宋"/>
          <w:b w:val="0"/>
          <w:bCs w:val="0"/>
        </w:rPr>
        <w:t>六、</w:t>
      </w:r>
      <w:r>
        <w:rPr>
          <w:rFonts w:hint="eastAsia" w:ascii="仿宋" w:hAnsi="仿宋" w:eastAsia="仿宋"/>
          <w:b w:val="0"/>
          <w:color w:val="000000"/>
        </w:rPr>
        <w:t>一</w:t>
      </w:r>
      <w:r>
        <w:rPr>
          <w:rStyle w:val="27"/>
          <w:rFonts w:hint="eastAsia" w:ascii="仿宋" w:hAnsi="仿宋" w:eastAsia="仿宋"/>
          <w:b w:val="0"/>
          <w:bCs w:val="0"/>
        </w:rPr>
        <w:t>般公共预算财政拨款支出决算表</w:t>
      </w:r>
      <w:bookmarkEnd w:id="104"/>
      <w:bookmarkEnd w:id="105"/>
    </w:p>
    <w:p>
      <w:pPr>
        <w:pStyle w:val="4"/>
        <w:rPr>
          <w:rFonts w:ascii="仿宋" w:hAnsi="仿宋" w:eastAsia="仿宋"/>
          <w:color w:val="000000"/>
        </w:rPr>
      </w:pPr>
      <w:bookmarkStart w:id="106" w:name="_Toc15396625"/>
      <w:bookmarkStart w:id="107" w:name="_Toc2513"/>
      <w:r>
        <w:rPr>
          <w:rStyle w:val="27"/>
          <w:rFonts w:hint="eastAsia" w:ascii="仿宋" w:hAnsi="仿宋" w:eastAsia="仿宋"/>
          <w:b w:val="0"/>
          <w:bCs w:val="0"/>
        </w:rPr>
        <w:t>七、</w:t>
      </w:r>
      <w:r>
        <w:rPr>
          <w:rFonts w:hint="eastAsia" w:ascii="仿宋" w:hAnsi="仿宋" w:eastAsia="仿宋"/>
          <w:b w:val="0"/>
          <w:color w:val="000000"/>
        </w:rPr>
        <w:t>一</w:t>
      </w:r>
      <w:r>
        <w:rPr>
          <w:rStyle w:val="27"/>
          <w:rFonts w:hint="eastAsia" w:ascii="仿宋" w:hAnsi="仿宋" w:eastAsia="仿宋"/>
          <w:b w:val="0"/>
          <w:bCs w:val="0"/>
        </w:rPr>
        <w:t>般公共预算财政拨款支出决算明细表</w:t>
      </w:r>
      <w:bookmarkEnd w:id="106"/>
      <w:bookmarkEnd w:id="107"/>
    </w:p>
    <w:p>
      <w:pPr>
        <w:pStyle w:val="4"/>
        <w:rPr>
          <w:rFonts w:ascii="仿宋" w:hAnsi="仿宋" w:eastAsia="仿宋"/>
          <w:color w:val="000000"/>
        </w:rPr>
      </w:pPr>
      <w:bookmarkStart w:id="108" w:name="_Toc15396626"/>
      <w:bookmarkStart w:id="109" w:name="_Toc7313"/>
      <w:r>
        <w:rPr>
          <w:rStyle w:val="27"/>
          <w:rFonts w:hint="eastAsia" w:ascii="仿宋" w:hAnsi="仿宋" w:eastAsia="仿宋"/>
          <w:b w:val="0"/>
          <w:bCs w:val="0"/>
        </w:rPr>
        <w:t>八、</w:t>
      </w:r>
      <w:r>
        <w:rPr>
          <w:rFonts w:hint="eastAsia" w:ascii="仿宋" w:hAnsi="仿宋" w:eastAsia="仿宋"/>
          <w:b w:val="0"/>
          <w:color w:val="000000"/>
        </w:rPr>
        <w:t>一</w:t>
      </w:r>
      <w:r>
        <w:rPr>
          <w:rStyle w:val="27"/>
          <w:rFonts w:hint="eastAsia" w:ascii="仿宋" w:hAnsi="仿宋" w:eastAsia="仿宋"/>
          <w:b w:val="0"/>
          <w:bCs w:val="0"/>
        </w:rPr>
        <w:t>般公共预算财政拨款基本支出决算表</w:t>
      </w:r>
      <w:bookmarkEnd w:id="108"/>
      <w:bookmarkEnd w:id="109"/>
    </w:p>
    <w:p>
      <w:pPr>
        <w:pStyle w:val="4"/>
        <w:rPr>
          <w:rFonts w:ascii="仿宋" w:hAnsi="仿宋" w:eastAsia="仿宋"/>
          <w:color w:val="000000"/>
        </w:rPr>
      </w:pPr>
      <w:bookmarkStart w:id="110" w:name="_Toc15396627"/>
      <w:bookmarkStart w:id="111" w:name="_Toc6310"/>
      <w:r>
        <w:rPr>
          <w:rStyle w:val="27"/>
          <w:rFonts w:hint="eastAsia" w:ascii="仿宋" w:hAnsi="仿宋" w:eastAsia="仿宋"/>
          <w:b w:val="0"/>
          <w:bCs w:val="0"/>
        </w:rPr>
        <w:t>九、</w:t>
      </w:r>
      <w:r>
        <w:rPr>
          <w:rFonts w:hint="eastAsia" w:ascii="仿宋" w:hAnsi="仿宋" w:eastAsia="仿宋"/>
          <w:b w:val="0"/>
          <w:color w:val="000000"/>
        </w:rPr>
        <w:t>一</w:t>
      </w:r>
      <w:r>
        <w:rPr>
          <w:rStyle w:val="27"/>
          <w:rFonts w:hint="eastAsia" w:ascii="仿宋" w:hAnsi="仿宋" w:eastAsia="仿宋"/>
          <w:b w:val="0"/>
          <w:bCs w:val="0"/>
        </w:rPr>
        <w:t>般公共预算财政拨款项目支出决算表</w:t>
      </w:r>
      <w:bookmarkEnd w:id="110"/>
      <w:bookmarkEnd w:id="111"/>
    </w:p>
    <w:p>
      <w:pPr>
        <w:pStyle w:val="4"/>
        <w:rPr>
          <w:rFonts w:ascii="仿宋" w:hAnsi="仿宋" w:eastAsia="仿宋"/>
          <w:color w:val="000000"/>
        </w:rPr>
      </w:pPr>
      <w:bookmarkStart w:id="112" w:name="_Toc15396628"/>
      <w:bookmarkStart w:id="113" w:name="_Toc31768"/>
      <w:r>
        <w:rPr>
          <w:rStyle w:val="27"/>
          <w:rFonts w:hint="eastAsia" w:ascii="仿宋" w:hAnsi="仿宋" w:eastAsia="仿宋"/>
          <w:b w:val="0"/>
          <w:bCs w:val="0"/>
        </w:rPr>
        <w:t>十、</w:t>
      </w:r>
      <w:r>
        <w:rPr>
          <w:rFonts w:hint="eastAsia" w:ascii="仿宋" w:hAnsi="仿宋" w:eastAsia="仿宋"/>
          <w:b w:val="0"/>
          <w:color w:val="000000"/>
        </w:rPr>
        <w:t>一</w:t>
      </w:r>
      <w:r>
        <w:rPr>
          <w:rStyle w:val="27"/>
          <w:rFonts w:hint="eastAsia" w:ascii="仿宋" w:hAnsi="仿宋" w:eastAsia="仿宋"/>
          <w:b w:val="0"/>
          <w:bCs w:val="0"/>
        </w:rPr>
        <w:t>般公共预算财政拨款“三公”经费支出决算表</w:t>
      </w:r>
      <w:bookmarkEnd w:id="112"/>
      <w:bookmarkEnd w:id="113"/>
    </w:p>
    <w:p>
      <w:pPr>
        <w:pStyle w:val="4"/>
        <w:rPr>
          <w:rFonts w:ascii="仿宋" w:hAnsi="仿宋" w:eastAsia="仿宋"/>
          <w:color w:val="000000"/>
        </w:rPr>
      </w:pPr>
      <w:bookmarkStart w:id="114" w:name="_Toc15396629"/>
      <w:bookmarkStart w:id="115" w:name="_Toc11425"/>
      <w:r>
        <w:rPr>
          <w:rStyle w:val="27"/>
          <w:rFonts w:hint="eastAsia" w:ascii="仿宋" w:hAnsi="仿宋" w:eastAsia="仿宋"/>
          <w:b w:val="0"/>
          <w:bCs w:val="0"/>
        </w:rPr>
        <w:t>十一、</w:t>
      </w:r>
      <w:r>
        <w:rPr>
          <w:rFonts w:hint="eastAsia" w:ascii="仿宋" w:hAnsi="仿宋" w:eastAsia="仿宋"/>
          <w:b w:val="0"/>
          <w:color w:val="000000"/>
        </w:rPr>
        <w:t>政</w:t>
      </w:r>
      <w:r>
        <w:rPr>
          <w:rStyle w:val="27"/>
          <w:rFonts w:hint="eastAsia" w:ascii="仿宋" w:hAnsi="仿宋" w:eastAsia="仿宋"/>
          <w:b w:val="0"/>
          <w:bCs w:val="0"/>
        </w:rPr>
        <w:t>府性基金预算财政拨款收入支出决算表</w:t>
      </w:r>
      <w:bookmarkEnd w:id="114"/>
      <w:bookmarkEnd w:id="115"/>
    </w:p>
    <w:p>
      <w:pPr>
        <w:pStyle w:val="4"/>
        <w:rPr>
          <w:rFonts w:ascii="仿宋" w:hAnsi="仿宋" w:eastAsia="仿宋"/>
          <w:color w:val="000000"/>
        </w:rPr>
      </w:pPr>
      <w:bookmarkStart w:id="116" w:name="_Toc15396630"/>
      <w:bookmarkStart w:id="117" w:name="_Toc9365"/>
      <w:r>
        <w:rPr>
          <w:rStyle w:val="27"/>
          <w:rFonts w:hint="eastAsia" w:ascii="仿宋" w:hAnsi="仿宋" w:eastAsia="仿宋"/>
          <w:b w:val="0"/>
          <w:bCs w:val="0"/>
        </w:rPr>
        <w:t>十二、</w:t>
      </w:r>
      <w:r>
        <w:rPr>
          <w:rFonts w:hint="eastAsia" w:ascii="仿宋" w:hAnsi="仿宋" w:eastAsia="仿宋"/>
          <w:b w:val="0"/>
          <w:color w:val="000000"/>
        </w:rPr>
        <w:t>政</w:t>
      </w:r>
      <w:r>
        <w:rPr>
          <w:rStyle w:val="27"/>
          <w:rFonts w:hint="eastAsia" w:ascii="仿宋" w:hAnsi="仿宋" w:eastAsia="仿宋"/>
          <w:b w:val="0"/>
          <w:bCs w:val="0"/>
        </w:rPr>
        <w:t>府性基金预算财政拨款“三公”经费支出决算表</w:t>
      </w:r>
      <w:bookmarkEnd w:id="116"/>
      <w:bookmarkEnd w:id="117"/>
    </w:p>
    <w:p>
      <w:pPr>
        <w:pStyle w:val="4"/>
        <w:rPr>
          <w:rFonts w:ascii="仿宋" w:hAnsi="仿宋" w:eastAsia="仿宋"/>
          <w:color w:val="000000" w:themeColor="text1"/>
          <w14:textFill>
            <w14:solidFill>
              <w14:schemeClr w14:val="tx1"/>
            </w14:solidFill>
          </w14:textFill>
        </w:rPr>
      </w:pPr>
      <w:bookmarkStart w:id="118" w:name="_Toc4479"/>
      <w:bookmarkStart w:id="119" w:name="_Toc15396631"/>
      <w:r>
        <w:rPr>
          <w:rStyle w:val="27"/>
          <w:rFonts w:hint="eastAsia" w:ascii="仿宋" w:hAnsi="仿宋" w:eastAsia="仿宋"/>
          <w:b w:val="0"/>
          <w:bCs w:val="0"/>
        </w:rPr>
        <w:t>十三、</w:t>
      </w:r>
      <w:r>
        <w:rPr>
          <w:rFonts w:hint="eastAsia" w:ascii="仿宋" w:hAnsi="仿宋" w:eastAsia="仿宋"/>
          <w:b w:val="0"/>
          <w:color w:val="000000"/>
        </w:rPr>
        <w:t>国</w:t>
      </w:r>
      <w:r>
        <w:rPr>
          <w:rStyle w:val="27"/>
          <w:rFonts w:hint="eastAsia" w:ascii="仿宋" w:hAnsi="仿宋" w:eastAsia="仿宋"/>
          <w:b w:val="0"/>
          <w:bCs w:val="0"/>
        </w:rPr>
        <w:t>有资本经营预算支出决算表</w:t>
      </w:r>
      <w:bookmarkEnd w:id="118"/>
      <w:bookmarkEnd w:id="119"/>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2"/>
          <w:jc w:val="center"/>
        </w:pPr>
        <w:r>
          <w:fldChar w:fldCharType="begin"/>
        </w:r>
        <w:r>
          <w:instrText xml:space="preserve">PAGE   \* MERGEFORMAT</w:instrText>
        </w:r>
        <w:r>
          <w:fldChar w:fldCharType="separate"/>
        </w:r>
        <w:r>
          <w:rPr>
            <w:lang w:val="zh-CN"/>
          </w:rPr>
          <w:t>2</w:t>
        </w:r>
        <w:r>
          <w:fldChar w:fldCharType="end"/>
        </w:r>
      </w:p>
    </w:sdtContent>
  </w:sdt>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2FA047D"/>
    <w:multiLevelType w:val="singleLevel"/>
    <w:tmpl w:val="E2FA047D"/>
    <w:lvl w:ilvl="0" w:tentative="0">
      <w:start w:val="3"/>
      <w:numFmt w:val="chineseCounting"/>
      <w:suff w:val="space"/>
      <w:lvlText w:val="第%1部分"/>
      <w:lvlJc w:val="left"/>
      <w:rPr>
        <w:rFonts w:hint="eastAsia"/>
      </w:rPr>
    </w:lvl>
  </w:abstractNum>
  <w:abstractNum w:abstractNumId="1">
    <w:nsid w:val="0E3F13A3"/>
    <w:multiLevelType w:val="singleLevel"/>
    <w:tmpl w:val="0E3F13A3"/>
    <w:lvl w:ilvl="0" w:tentative="0">
      <w:start w:val="1"/>
      <w:numFmt w:val="decimal"/>
      <w:suff w:val="nothing"/>
      <w:lvlText w:val="（%1）"/>
      <w:lvlJc w:val="left"/>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2A1AE35C"/>
    <w:multiLevelType w:val="singleLevel"/>
    <w:tmpl w:val="2A1AE35C"/>
    <w:lvl w:ilvl="0" w:tentative="0">
      <w:start w:val="1"/>
      <w:numFmt w:val="chineseCounting"/>
      <w:suff w:val="nothing"/>
      <w:lvlText w:val="（%1）"/>
      <w:lvlJc w:val="left"/>
      <w:rPr>
        <w:rFonts w:hint="eastAsia"/>
      </w:rPr>
    </w:lvl>
  </w:abstractNum>
  <w:abstractNum w:abstractNumId="4">
    <w:nsid w:val="5CED4F20"/>
    <w:multiLevelType w:val="singleLevel"/>
    <w:tmpl w:val="5CED4F20"/>
    <w:lvl w:ilvl="0" w:tentative="0">
      <w:start w:val="1"/>
      <w:numFmt w:val="decimal"/>
      <w:lvlText w:val="%1."/>
      <w:lvlJc w:val="left"/>
      <w:pPr>
        <w:tabs>
          <w:tab w:val="left" w:pos="312"/>
        </w:tabs>
      </w:pPr>
    </w:lvl>
  </w:abstractNum>
  <w:abstractNum w:abstractNumId="5">
    <w:nsid w:val="628AEC3B"/>
    <w:multiLevelType w:val="singleLevel"/>
    <w:tmpl w:val="628AEC3B"/>
    <w:lvl w:ilvl="0" w:tentative="0">
      <w:start w:val="1"/>
      <w:numFmt w:val="chineseCounting"/>
      <w:suff w:val="nothing"/>
      <w:lvlText w:val="%1、"/>
      <w:lvlJc w:val="left"/>
      <w:rPr>
        <w:rFonts w:hint="eastAsia"/>
      </w:r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7E6328"/>
    <w:rsid w:val="01964198"/>
    <w:rsid w:val="0B5D6582"/>
    <w:rsid w:val="0B951746"/>
    <w:rsid w:val="0D035E72"/>
    <w:rsid w:val="0DBD00F0"/>
    <w:rsid w:val="0E0A2A70"/>
    <w:rsid w:val="0F2E3244"/>
    <w:rsid w:val="10B14285"/>
    <w:rsid w:val="10C055FF"/>
    <w:rsid w:val="12EB70AC"/>
    <w:rsid w:val="15C50605"/>
    <w:rsid w:val="16BB723D"/>
    <w:rsid w:val="17ED13F1"/>
    <w:rsid w:val="1A373375"/>
    <w:rsid w:val="1AC678B0"/>
    <w:rsid w:val="1AE3352B"/>
    <w:rsid w:val="1B8238E9"/>
    <w:rsid w:val="1C193181"/>
    <w:rsid w:val="1CD51988"/>
    <w:rsid w:val="1F335DB2"/>
    <w:rsid w:val="1F3A1122"/>
    <w:rsid w:val="1FBF762F"/>
    <w:rsid w:val="2085081F"/>
    <w:rsid w:val="21306C78"/>
    <w:rsid w:val="21EC18AC"/>
    <w:rsid w:val="21FC70CE"/>
    <w:rsid w:val="240371BF"/>
    <w:rsid w:val="27241A81"/>
    <w:rsid w:val="27F76716"/>
    <w:rsid w:val="28EF6E03"/>
    <w:rsid w:val="291E3848"/>
    <w:rsid w:val="29C92FB1"/>
    <w:rsid w:val="29FD04D3"/>
    <w:rsid w:val="2F245142"/>
    <w:rsid w:val="30C233A2"/>
    <w:rsid w:val="30FD223C"/>
    <w:rsid w:val="319F7F4E"/>
    <w:rsid w:val="31B7395F"/>
    <w:rsid w:val="31D472B5"/>
    <w:rsid w:val="322322D3"/>
    <w:rsid w:val="33654AB0"/>
    <w:rsid w:val="352D7123"/>
    <w:rsid w:val="353F5724"/>
    <w:rsid w:val="37052C7C"/>
    <w:rsid w:val="377E7EE7"/>
    <w:rsid w:val="39DA286E"/>
    <w:rsid w:val="3D054EB0"/>
    <w:rsid w:val="3D8D5E4E"/>
    <w:rsid w:val="3DA47254"/>
    <w:rsid w:val="3FB362B2"/>
    <w:rsid w:val="421151B0"/>
    <w:rsid w:val="428D3F90"/>
    <w:rsid w:val="4649691D"/>
    <w:rsid w:val="48314B3C"/>
    <w:rsid w:val="49163D99"/>
    <w:rsid w:val="4B1931D8"/>
    <w:rsid w:val="4BD5021B"/>
    <w:rsid w:val="4C5D0F1C"/>
    <w:rsid w:val="4ECE2238"/>
    <w:rsid w:val="50867BC2"/>
    <w:rsid w:val="5190570E"/>
    <w:rsid w:val="53A74F4F"/>
    <w:rsid w:val="56925BB0"/>
    <w:rsid w:val="57A70DE1"/>
    <w:rsid w:val="5847572A"/>
    <w:rsid w:val="58AA3E3B"/>
    <w:rsid w:val="59EE4C58"/>
    <w:rsid w:val="59F9240C"/>
    <w:rsid w:val="5B724C4A"/>
    <w:rsid w:val="5C344F77"/>
    <w:rsid w:val="5CCD1F8B"/>
    <w:rsid w:val="5ECA7D20"/>
    <w:rsid w:val="610927E9"/>
    <w:rsid w:val="6132769A"/>
    <w:rsid w:val="61B06740"/>
    <w:rsid w:val="61E3614D"/>
    <w:rsid w:val="62F27AEB"/>
    <w:rsid w:val="63900C96"/>
    <w:rsid w:val="63A0789F"/>
    <w:rsid w:val="647A4FA3"/>
    <w:rsid w:val="65C1790C"/>
    <w:rsid w:val="65EA5037"/>
    <w:rsid w:val="67CB3F55"/>
    <w:rsid w:val="6B1C651A"/>
    <w:rsid w:val="6BE73513"/>
    <w:rsid w:val="6DA24C6D"/>
    <w:rsid w:val="6E87359C"/>
    <w:rsid w:val="6EAE4D19"/>
    <w:rsid w:val="716254D9"/>
    <w:rsid w:val="724F2651"/>
    <w:rsid w:val="72734D90"/>
    <w:rsid w:val="73A40BD9"/>
    <w:rsid w:val="740D3A23"/>
    <w:rsid w:val="76D62575"/>
    <w:rsid w:val="77A31AB9"/>
    <w:rsid w:val="7A581B56"/>
    <w:rsid w:val="7A714416"/>
    <w:rsid w:val="7A721D59"/>
    <w:rsid w:val="7D2E23F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5">
    <w:name w:val="Default Paragraph Font"/>
    <w:unhideWhenUsed/>
    <w:qFormat/>
    <w:uiPriority w:val="1"/>
  </w:style>
  <w:style w:type="table" w:default="1" w:styleId="14">
    <w:name w:val="Normal Table"/>
    <w:unhideWhenUsed/>
    <w:qFormat/>
    <w:uiPriority w:val="99"/>
    <w:tblPr>
      <w:tblCellMar>
        <w:top w:w="0" w:type="dxa"/>
        <w:left w:w="108" w:type="dxa"/>
        <w:bottom w:w="0" w:type="dxa"/>
        <w:right w:w="108" w:type="dxa"/>
      </w:tblCellMar>
    </w:tblPr>
  </w:style>
  <w:style w:type="paragraph" w:styleId="2">
    <w:name w:val="footer"/>
    <w:basedOn w:val="1"/>
    <w:link w:val="21"/>
    <w:qFormat/>
    <w:uiPriority w:val="99"/>
    <w:pPr>
      <w:tabs>
        <w:tab w:val="center" w:pos="4153"/>
        <w:tab w:val="right" w:pos="8306"/>
      </w:tabs>
      <w:snapToGrid w:val="0"/>
      <w:jc w:val="left"/>
    </w:pPr>
    <w:rPr>
      <w:rFonts w:ascii="Calibri" w:hAnsi="Calibri"/>
      <w:kern w:val="0"/>
      <w:sz w:val="18"/>
      <w:szCs w:val="18"/>
    </w:rPr>
  </w:style>
  <w:style w:type="paragraph" w:styleId="6">
    <w:name w:val="Body Text"/>
    <w:basedOn w:val="1"/>
    <w:link w:val="23"/>
    <w:qFormat/>
    <w:uiPriority w:val="99"/>
    <w:pPr>
      <w:spacing w:beforeLines="30"/>
    </w:pPr>
    <w:rPr>
      <w:rFonts w:ascii="仿宋_GB2312" w:eastAsia="仿宋_GB2312"/>
      <w:kern w:val="0"/>
      <w:sz w:val="30"/>
    </w:rPr>
  </w:style>
  <w:style w:type="paragraph" w:styleId="7">
    <w:name w:val="Body Text Indent"/>
    <w:basedOn w:val="1"/>
    <w:qFormat/>
    <w:uiPriority w:val="0"/>
    <w:pPr>
      <w:spacing w:line="560" w:lineRule="atLeast"/>
      <w:ind w:firstLine="640" w:firstLineChars="200"/>
    </w:pPr>
    <w:rPr>
      <w:rFonts w:ascii="仿宋_GB2312" w:eastAsia="仿宋_GB2312"/>
      <w:sz w:val="32"/>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29"/>
    <w:unhideWhenUsed/>
    <w:qFormat/>
    <w:uiPriority w:val="99"/>
    <w:rPr>
      <w:sz w:val="18"/>
      <w:szCs w:val="18"/>
    </w:rPr>
  </w:style>
  <w:style w:type="paragraph" w:styleId="10">
    <w:name w:val="header"/>
    <w:basedOn w:val="1"/>
    <w:link w:val="1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paragraph" w:styleId="13">
    <w:name w:val="Body Text First Indent 2"/>
    <w:basedOn w:val="7"/>
    <w:qFormat/>
    <w:uiPriority w:val="0"/>
    <w:pPr>
      <w:ind w:firstLine="420"/>
    </w:p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14:textFill>
        <w14:solidFill>
          <w14:schemeClr w14:val="hlink"/>
        </w14:solidFill>
      </w14:textFill>
    </w:rPr>
  </w:style>
  <w:style w:type="character" w:customStyle="1" w:styleId="18">
    <w:name w:val="Header Char"/>
    <w:basedOn w:val="15"/>
    <w:semiHidden/>
    <w:qFormat/>
    <w:uiPriority w:val="99"/>
    <w:rPr>
      <w:rFonts w:ascii="Times New Roman" w:hAnsi="Times New Roman"/>
      <w:sz w:val="18"/>
      <w:szCs w:val="18"/>
    </w:rPr>
  </w:style>
  <w:style w:type="character" w:customStyle="1" w:styleId="19">
    <w:name w:val="页眉 字符"/>
    <w:link w:val="10"/>
    <w:semiHidden/>
    <w:qFormat/>
    <w:locked/>
    <w:uiPriority w:val="99"/>
    <w:rPr>
      <w:sz w:val="18"/>
    </w:rPr>
  </w:style>
  <w:style w:type="character" w:customStyle="1" w:styleId="20">
    <w:name w:val="Footer Char"/>
    <w:basedOn w:val="15"/>
    <w:semiHidden/>
    <w:qFormat/>
    <w:uiPriority w:val="99"/>
    <w:rPr>
      <w:rFonts w:ascii="Times New Roman" w:hAnsi="Times New Roman"/>
      <w:sz w:val="18"/>
      <w:szCs w:val="18"/>
    </w:rPr>
  </w:style>
  <w:style w:type="character" w:customStyle="1" w:styleId="21">
    <w:name w:val="页脚 字符"/>
    <w:link w:val="2"/>
    <w:qFormat/>
    <w:locked/>
    <w:uiPriority w:val="99"/>
    <w:rPr>
      <w:sz w:val="18"/>
    </w:rPr>
  </w:style>
  <w:style w:type="character" w:customStyle="1" w:styleId="22">
    <w:name w:val="Body Text Char"/>
    <w:basedOn w:val="15"/>
    <w:semiHidden/>
    <w:qFormat/>
    <w:uiPriority w:val="99"/>
    <w:rPr>
      <w:rFonts w:ascii="Times New Roman" w:hAnsi="Times New Roman"/>
      <w:szCs w:val="24"/>
    </w:rPr>
  </w:style>
  <w:style w:type="character" w:customStyle="1" w:styleId="23">
    <w:name w:val="正文文本 字符"/>
    <w:link w:val="6"/>
    <w:qFormat/>
    <w:locked/>
    <w:uiPriority w:val="99"/>
    <w:rPr>
      <w:rFonts w:ascii="仿宋_GB2312" w:hAnsi="Times New Roman" w:eastAsia="仿宋_GB2312"/>
      <w:sz w:val="24"/>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5">
    <w:name w:val="List Paragraph"/>
    <w:basedOn w:val="1"/>
    <w:qFormat/>
    <w:uiPriority w:val="34"/>
    <w:pPr>
      <w:ind w:firstLine="420" w:firstLineChars="200"/>
    </w:pPr>
  </w:style>
  <w:style w:type="character" w:customStyle="1" w:styleId="26">
    <w:name w:val="标题 1 字符"/>
    <w:basedOn w:val="15"/>
    <w:link w:val="3"/>
    <w:qFormat/>
    <w:uiPriority w:val="9"/>
    <w:rPr>
      <w:rFonts w:ascii="Times New Roman" w:hAnsi="Times New Roman"/>
      <w:b/>
      <w:bCs/>
      <w:kern w:val="44"/>
      <w:sz w:val="44"/>
      <w:szCs w:val="44"/>
    </w:rPr>
  </w:style>
  <w:style w:type="character" w:customStyle="1" w:styleId="27">
    <w:name w:val="标题 2 字符"/>
    <w:basedOn w:val="15"/>
    <w:link w:val="4"/>
    <w:qFormat/>
    <w:uiPriority w:val="9"/>
    <w:rPr>
      <w:rFonts w:asciiTheme="majorHAnsi" w:hAnsiTheme="majorHAnsi" w:eastAsiaTheme="majorEastAsia" w:cstheme="majorBidi"/>
      <w:b/>
      <w:bCs/>
      <w:kern w:val="2"/>
      <w:sz w:val="32"/>
      <w:szCs w:val="32"/>
    </w:rPr>
  </w:style>
  <w:style w:type="paragraph" w:customStyle="1" w:styleId="28">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9">
    <w:name w:val="批注框文本 字符"/>
    <w:basedOn w:val="15"/>
    <w:link w:val="9"/>
    <w:semiHidden/>
    <w:qFormat/>
    <w:uiPriority w:val="99"/>
    <w:rPr>
      <w:rFonts w:ascii="Times New Roman" w:hAnsi="Times New Roman"/>
      <w:kern w:val="2"/>
      <w:sz w:val="18"/>
      <w:szCs w:val="18"/>
    </w:rPr>
  </w:style>
  <w:style w:type="character" w:customStyle="1" w:styleId="30">
    <w:name w:val="标题 3 字符"/>
    <w:basedOn w:val="15"/>
    <w:link w:val="5"/>
    <w:qFormat/>
    <w:uiPriority w:val="9"/>
    <w:rPr>
      <w:rFonts w:ascii="Times New Roman" w:hAnsi="Times New Roman"/>
      <w:b/>
      <w:bCs/>
      <w:kern w:val="2"/>
      <w:sz w:val="32"/>
      <w:szCs w:val="32"/>
    </w:rPr>
  </w:style>
  <w:style w:type="paragraph" w:customStyle="1" w:styleId="31">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7.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200" b="1" i="0" u="none" strike="noStrike" kern="1200" cap="all" spc="150" baseline="0">
                <a:solidFill>
                  <a:schemeClr val="tx1">
                    <a:lumMod val="50000"/>
                    <a:lumOff val="50000"/>
                  </a:schemeClr>
                </a:solidFill>
                <a:latin typeface="+mn-lt"/>
                <a:ea typeface="+mn-ea"/>
                <a:cs typeface="+mn-cs"/>
              </a:defRPr>
            </a:pPr>
            <a:r>
              <a:rPr sz="1200"/>
              <a:t>2019年收、支决算总计变动情况图（万元）</a:t>
            </a:r>
            <a:endParaRPr sz="1200"/>
          </a:p>
        </c:rich>
      </c:tx>
      <c:layout>
        <c:manualLayout>
          <c:xMode val="edge"/>
          <c:yMode val="edge"/>
          <c:x val="0.0923366834170857"/>
          <c:y val="0.0344775403793713"/>
        </c:manualLayout>
      </c:layout>
      <c:overlay val="0"/>
      <c:spPr>
        <a:noFill/>
        <a:ln>
          <a:noFill/>
        </a:ln>
        <a:effectLst/>
      </c:spPr>
    </c:title>
    <c:autoTitleDeleted val="0"/>
    <c:plotArea>
      <c:layout>
        <c:manualLayout>
          <c:layoutTarget val="inner"/>
          <c:xMode val="edge"/>
          <c:yMode val="edge"/>
          <c:x val="0.0703015075376884"/>
          <c:y val="0.221492156862745"/>
          <c:w val="0.927925"/>
          <c:h val="0.716566666666667"/>
        </c:manualLayout>
      </c:layout>
      <c:barChart>
        <c:barDir val="col"/>
        <c:grouping val="clustered"/>
        <c:varyColors val="0"/>
        <c:ser>
          <c:idx val="0"/>
          <c:order val="0"/>
          <c:tx>
            <c:strRef>
              <c:f>Sheet1!$B$1</c:f>
              <c:strCache>
                <c:ptCount val="1"/>
                <c:pt idx="0">
                  <c:v>收入</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Ref>
              <c:f>Sheet1!#REF!</c:f>
              <c:numCache>
                <c:ptCount val="0"/>
              </c:numCache>
            </c:numRef>
          </c:cat>
          <c:val>
            <c:numRef>
              <c:f>Sheet1!$B$2</c:f>
              <c:numCache>
                <c:formatCode>General</c:formatCode>
                <c:ptCount val="1"/>
                <c:pt idx="0">
                  <c:v>984.56</c:v>
                </c:pt>
              </c:numCache>
            </c:numRef>
          </c:val>
        </c:ser>
        <c:ser>
          <c:idx val="1"/>
          <c:order val="1"/>
          <c:tx>
            <c:strRef>
              <c:f>Sheet1!$C$1</c:f>
              <c:strCache>
                <c:ptCount val="1"/>
                <c:pt idx="0">
                  <c:v>支出</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Ref>
              <c:f>Sheet1!#REF!</c:f>
              <c:numCache>
                <c:ptCount val="0"/>
              </c:numCache>
            </c:numRef>
          </c:cat>
          <c:val>
            <c:numRef>
              <c:f>Sheet1!$C$2</c:f>
              <c:numCache>
                <c:formatCode>General</c:formatCode>
                <c:ptCount val="1"/>
                <c:pt idx="0">
                  <c:v>1098.09</c:v>
                </c:pt>
              </c:numCache>
            </c:numRef>
          </c:val>
        </c:ser>
        <c:ser>
          <c:idx val="2"/>
          <c:order val="2"/>
          <c:tx>
            <c:strRef>
              <c:f>Sheet1!#REF!</c:f>
              <c:strCache>
                <c:ptCount val="1"/>
                <c:pt idx="0">
                  <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delete val="1"/>
          </c:dLbls>
          <c:cat>
            <c:numRef>
              <c:f>Sheet1!#REF!</c:f>
              <c:numCache>
                <c:ptCount val="0"/>
              </c:numCache>
            </c:numRef>
          </c:cat>
          <c:val>
            <c:numRef>
              <c:f>Sheet1!#REF!</c:f>
              <c:numCache>
                <c:formatCode>General</c:formatCode>
                <c:ptCount val="1"/>
                <c:pt idx="0">
                  <c:v>1</c:v>
                </c:pt>
              </c:numCache>
            </c:numRef>
          </c:val>
        </c:ser>
        <c:dLbls>
          <c:showLegendKey val="0"/>
          <c:showVal val="1"/>
          <c:showCatName val="0"/>
          <c:showSerName val="0"/>
          <c:showPercent val="0"/>
          <c:showBubbleSize val="0"/>
        </c:dLbls>
        <c:gapWidth val="164"/>
        <c:overlap val="-22"/>
        <c:axId val="968769396"/>
        <c:axId val="842422400"/>
      </c:barChart>
      <c:catAx>
        <c:axId val="968769396"/>
        <c:scaling>
          <c:orientation val="minMax"/>
        </c:scaling>
        <c:delete val="0"/>
        <c:axPos val="b"/>
        <c:majorTickMark val="none"/>
        <c:minorTickMark val="none"/>
        <c:tickLblPos val="nextTo"/>
        <c:spPr>
          <a:noFill/>
          <a:ln w="19050" cap="flat" cmpd="sng" algn="ctr">
            <a:solidFill>
              <a:schemeClr val="tx1">
                <a:lumMod val="25000"/>
                <a:lumOff val="7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42422400"/>
        <c:crosses val="autoZero"/>
        <c:auto val="1"/>
        <c:lblAlgn val="ctr"/>
        <c:lblOffset val="100"/>
        <c:noMultiLvlLbl val="0"/>
      </c:catAx>
      <c:valAx>
        <c:axId val="842422400"/>
        <c:scaling>
          <c:orientation val="minMax"/>
        </c:scaling>
        <c:delete val="0"/>
        <c:axPos val="l"/>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68769396"/>
        <c:crosses val="autoZero"/>
        <c:crossBetween val="between"/>
      </c:valAx>
      <c:spPr>
        <a:noFill/>
        <a:ln>
          <a:noFill/>
        </a:ln>
        <a:effectLst/>
      </c:spPr>
    </c:plotArea>
    <c:legend>
      <c:legendPos val="r"/>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p>
        </c:rich>
      </c:tx>
      <c:layout/>
      <c:overlay val="0"/>
      <c:spPr>
        <a:noFill/>
        <a:ln>
          <a:noFill/>
        </a:ln>
        <a:effectLst/>
      </c:spPr>
    </c:title>
    <c:autoTitleDeleted val="0"/>
    <c:plotArea>
      <c:layout/>
      <c:pieChart>
        <c:varyColors val="1"/>
        <c:ser>
          <c:idx val="0"/>
          <c:order val="0"/>
          <c:tx>
            <c:strRef>
              <c:f>Sheet1!$B$1</c:f>
              <c:strCache>
                <c:ptCount val="1"/>
                <c:pt idx="0">
                  <c:v>收入决算结构图</c:v>
                </c:pt>
              </c:strCache>
            </c:strRef>
          </c:tx>
          <c:spPr/>
          <c:explosion val="0"/>
          <c:dPt>
            <c:idx val="0"/>
            <c:bubble3D val="0"/>
            <c:spPr>
              <a:solidFill>
                <a:schemeClr val="accent1"/>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一般公共预算财政拨款收入</c:v>
                </c:pt>
              </c:strCache>
            </c:strRef>
          </c:cat>
          <c:val>
            <c:numRef>
              <c:f>Sheet1!$B$2</c:f>
              <c:numCache>
                <c:formatCode>General</c:formatCode>
                <c:ptCount val="1"/>
                <c:pt idx="0">
                  <c:v>984.56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tx>
            <c:strRef>
              <c:f>Sheet1!$B$1</c:f>
              <c:strCache>
                <c:ptCount val="1"/>
                <c:pt idx="0">
                  <c:v>支出决算结构图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520.89</c:v>
                </c:pt>
                <c:pt idx="1">
                  <c:v>577.2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900" b="1" i="0" u="none" strike="noStrike" kern="1200" cap="all" spc="150" baseline="0">
                <a:solidFill>
                  <a:schemeClr val="tx1">
                    <a:lumMod val="50000"/>
                    <a:lumOff val="50000"/>
                  </a:schemeClr>
                </a:solidFill>
                <a:latin typeface="+mn-lt"/>
                <a:ea typeface="+mn-ea"/>
                <a:cs typeface="+mn-cs"/>
              </a:defRPr>
            </a:pPr>
            <a:r>
              <a:rPr sz="900"/>
              <a:t>2018、2019年度财政拨款收、支决算总计变动情况图</a:t>
            </a:r>
            <a:endParaRPr sz="900"/>
          </a:p>
        </c:rich>
      </c:tx>
      <c:layout/>
      <c:overlay val="0"/>
      <c:spPr>
        <a:noFill/>
        <a:ln>
          <a:noFill/>
        </a:ln>
        <a:effectLst/>
      </c:spPr>
    </c:title>
    <c:autoTitleDeleted val="0"/>
    <c:plotArea>
      <c:layout>
        <c:manualLayout>
          <c:layoutTarget val="inner"/>
          <c:xMode val="edge"/>
          <c:yMode val="edge"/>
          <c:x val="0.119931914893617"/>
          <c:y val="0.282071926999463"/>
          <c:w val="0.855387234042553"/>
          <c:h val="0.466290928609769"/>
        </c:manualLayout>
      </c:layout>
      <c:barChart>
        <c:barDir val="col"/>
        <c:grouping val="clustered"/>
        <c:varyColors val="0"/>
        <c:ser>
          <c:idx val="0"/>
          <c:order val="0"/>
          <c:tx>
            <c:strRef>
              <c:f>Sheet1!$B$1</c:f>
              <c:strCache>
                <c:ptCount val="1"/>
                <c:pt idx="0">
                  <c:v>收入</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0" vertOverflow="ellipsis" vert="horz" wrap="square" lIns="38100" tIns="19050" rIns="38100" bIns="19050" anchor="ctr" anchorCtr="1"/>
              <a:lstStyle/>
              <a:p>
                <a:pPr>
                  <a:defRPr lang="zh-CN" sz="75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Sheet1!$A$2:$A$3</c:f>
              <c:strCache>
                <c:ptCount val="2"/>
                <c:pt idx="0">
                  <c:v>2018年</c:v>
                </c:pt>
                <c:pt idx="1">
                  <c:v>2019年</c:v>
                </c:pt>
              </c:strCache>
            </c:strRef>
          </c:cat>
          <c:val>
            <c:numRef>
              <c:f>Sheet1!$B$2:$B$3</c:f>
              <c:numCache>
                <c:formatCode>General</c:formatCode>
                <c:ptCount val="2"/>
                <c:pt idx="0">
                  <c:v>859.9</c:v>
                </c:pt>
                <c:pt idx="1">
                  <c:v>984.56</c:v>
                </c:pt>
              </c:numCache>
            </c:numRef>
          </c:val>
        </c:ser>
        <c:ser>
          <c:idx val="1"/>
          <c:order val="1"/>
          <c:tx>
            <c:strRef>
              <c:f>Sheet1!#REF!</c:f>
              <c:strCache>
                <c:ptCount val="1"/>
                <c:pt idx="0">
                  <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delete val="1"/>
          </c:dLbls>
          <c:cat>
            <c:strRef>
              <c:f>Sheet1!$A$2:$A$3</c:f>
              <c:strCache>
                <c:ptCount val="2"/>
                <c:pt idx="0">
                  <c:v>2018年</c:v>
                </c:pt>
                <c:pt idx="1">
                  <c:v>2019年</c:v>
                </c:pt>
              </c:strCache>
            </c:strRef>
          </c:cat>
          <c:val>
            <c:numRef>
              <c:f>Sheet1!#REF!</c:f>
              <c:numCache>
                <c:formatCode>General</c:formatCode>
                <c:ptCount val="1"/>
                <c:pt idx="0">
                  <c:v>1</c:v>
                </c:pt>
              </c:numCache>
            </c:numRef>
          </c:val>
        </c:ser>
        <c:ser>
          <c:idx val="2"/>
          <c:order val="2"/>
          <c:tx>
            <c:strRef>
              <c:f>Sheet1!$C$1</c:f>
              <c:strCache>
                <c:ptCount val="1"/>
                <c:pt idx="0">
                  <c:v>支出</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spPr>
              <a:noFill/>
              <a:ln>
                <a:noFill/>
              </a:ln>
              <a:effectLst/>
            </c:spPr>
            <c:txPr>
              <a:bodyPr rot="0" spcFirstLastPara="0" vertOverflow="ellipsis" vert="horz" wrap="square" lIns="38100" tIns="19050" rIns="38100" bIns="19050" anchor="ctr" anchorCtr="1"/>
              <a:lstStyle/>
              <a:p>
                <a:pPr>
                  <a:defRPr lang="zh-CN" sz="75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Sheet1!$A$2:$A$3</c:f>
              <c:strCache>
                <c:ptCount val="2"/>
                <c:pt idx="0">
                  <c:v>2018年</c:v>
                </c:pt>
                <c:pt idx="1">
                  <c:v>2019年</c:v>
                </c:pt>
              </c:strCache>
            </c:strRef>
          </c:cat>
          <c:val>
            <c:numRef>
              <c:f>Sheet1!$C$2:$C$3</c:f>
              <c:numCache>
                <c:formatCode>General</c:formatCode>
                <c:ptCount val="2"/>
                <c:pt idx="0">
                  <c:v>1013.47</c:v>
                </c:pt>
                <c:pt idx="1">
                  <c:v>1098.06</c:v>
                </c:pt>
              </c:numCache>
            </c:numRef>
          </c:val>
        </c:ser>
        <c:dLbls>
          <c:showLegendKey val="0"/>
          <c:showVal val="1"/>
          <c:showCatName val="0"/>
          <c:showSerName val="0"/>
          <c:showPercent val="0"/>
          <c:showBubbleSize val="0"/>
        </c:dLbls>
        <c:gapWidth val="164"/>
        <c:overlap val="-22"/>
        <c:axId val="812231112"/>
        <c:axId val="567768063"/>
      </c:barChart>
      <c:catAx>
        <c:axId val="812231112"/>
        <c:scaling>
          <c:orientation val="minMax"/>
        </c:scaling>
        <c:delete val="0"/>
        <c:axPos val="b"/>
        <c:majorTickMark val="none"/>
        <c:minorTickMark val="none"/>
        <c:tickLblPos val="nextTo"/>
        <c:spPr>
          <a:noFill/>
          <a:ln w="19050" cap="flat" cmpd="sng" algn="ctr">
            <a:solidFill>
              <a:schemeClr val="tx1">
                <a:lumMod val="25000"/>
                <a:lumOff val="75000"/>
              </a:schemeClr>
            </a:solidFill>
            <a:round/>
          </a:ln>
          <a:effectLst/>
        </c:spPr>
        <c:txPr>
          <a:bodyPr rot="-60000000" spcFirstLastPara="0" vertOverflow="ellipsis" vert="horz" wrap="square" anchor="ctr" anchorCtr="1"/>
          <a:lstStyle/>
          <a:p>
            <a:pPr>
              <a:defRPr lang="zh-CN" sz="750" b="0" i="0" u="none" strike="noStrike" kern="1200" baseline="0">
                <a:solidFill>
                  <a:schemeClr val="tx1">
                    <a:lumMod val="65000"/>
                    <a:lumOff val="35000"/>
                  </a:schemeClr>
                </a:solidFill>
                <a:latin typeface="+mn-lt"/>
                <a:ea typeface="+mn-ea"/>
                <a:cs typeface="+mn-cs"/>
              </a:defRPr>
            </a:pPr>
          </a:p>
        </c:txPr>
        <c:crossAx val="567768063"/>
        <c:crosses val="autoZero"/>
        <c:auto val="1"/>
        <c:lblAlgn val="ctr"/>
        <c:lblOffset val="100"/>
        <c:noMultiLvlLbl val="0"/>
      </c:catAx>
      <c:valAx>
        <c:axId val="567768063"/>
        <c:scaling>
          <c:orientation val="minMax"/>
        </c:scaling>
        <c:delete val="0"/>
        <c:axPos val="l"/>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750" b="0" i="0" u="none" strike="noStrike" kern="1200" baseline="0">
                <a:solidFill>
                  <a:schemeClr val="tx1">
                    <a:lumMod val="65000"/>
                    <a:lumOff val="35000"/>
                  </a:schemeClr>
                </a:solidFill>
                <a:latin typeface="+mn-lt"/>
                <a:ea typeface="+mn-ea"/>
                <a:cs typeface="+mn-cs"/>
              </a:defRPr>
            </a:pPr>
          </a:p>
        </c:txPr>
        <c:crossAx val="812231112"/>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zh-CN" sz="750" b="0" i="0" u="none" strike="noStrike" kern="1200" baseline="0">
                <a:solidFill>
                  <a:schemeClr val="tx1">
                    <a:lumMod val="65000"/>
                    <a:lumOff val="35000"/>
                  </a:schemeClr>
                </a:solidFill>
                <a:latin typeface="+mn-lt"/>
                <a:ea typeface="+mn-ea"/>
                <a:cs typeface="+mn-cs"/>
              </a:defRPr>
            </a:pPr>
          </a:p>
        </c:txPr>
      </c:legendEntry>
      <c:legendEntry>
        <c:idx val="1"/>
        <c:delete val="1"/>
      </c:legendEntry>
      <c:legendEntry>
        <c:idx val="2"/>
        <c:txPr>
          <a:bodyPr rot="0" spcFirstLastPara="0" vertOverflow="ellipsis" vert="horz" wrap="square" anchor="ctr" anchorCtr="1"/>
          <a:lstStyle/>
          <a:p>
            <a:pPr>
              <a:defRPr lang="zh-CN" sz="750" b="0" i="0" u="none" strike="noStrike" kern="1200" baseline="0">
                <a:solidFill>
                  <a:schemeClr val="tx1">
                    <a:lumMod val="65000"/>
                    <a:lumOff val="35000"/>
                  </a:schemeClr>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75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sz="750"/>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40" b="1" i="0" u="none" strike="noStrike" kern="1200" cap="all" spc="150" baseline="0">
                <a:solidFill>
                  <a:schemeClr val="dk1"/>
                </a:solidFill>
                <a:latin typeface="+mn-lt"/>
                <a:ea typeface="+mn-ea"/>
                <a:cs typeface="+mn-cs"/>
              </a:defRPr>
            </a:pPr>
            <a:r>
              <a:rPr sz="1440">
                <a:solidFill>
                  <a:schemeClr val="dk1"/>
                </a:solidFill>
                <a:latin typeface="+mn-lt"/>
                <a:ea typeface="+mn-ea"/>
                <a:cs typeface="+mn-cs"/>
              </a:rPr>
              <a:t>2018、2019年度一般公共预算财政拨款支出决算变动情况图</a:t>
            </a:r>
            <a:endParaRPr sz="1440">
              <a:solidFill>
                <a:schemeClr val="dk1"/>
              </a:solidFill>
              <a:latin typeface="+mn-lt"/>
              <a:ea typeface="+mn-ea"/>
              <a:cs typeface="+mn-cs"/>
            </a:endParaRPr>
          </a:p>
        </c:rich>
      </c:tx>
      <c:layout>
        <c:manualLayout>
          <c:xMode val="edge"/>
          <c:yMode val="edge"/>
          <c:x val="0.117296347433162"/>
          <c:y val="0.0273833671399594"/>
        </c:manualLayout>
      </c:layout>
      <c:overlay val="0"/>
      <c:spPr>
        <a:noFill/>
        <a:ln>
          <a:noFill/>
        </a:ln>
        <a:effectLst/>
      </c:spPr>
    </c:title>
    <c:autoTitleDeleted val="0"/>
    <c:plotArea>
      <c:layout/>
      <c:barChart>
        <c:barDir val="col"/>
        <c:grouping val="clustered"/>
        <c:varyColors val="0"/>
        <c:ser>
          <c:idx val="0"/>
          <c:order val="0"/>
          <c:tx>
            <c:strRef>
              <c:f>Sheet1!#REF!</c:f>
              <c:strCache>
                <c:ptCount val="1"/>
                <c:pt idx="0">
                  <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delete val="1"/>
          </c:dLbls>
          <c:cat>
            <c:strRef>
              <c:f>Sheet1!$A$2:$A$3</c:f>
              <c:strCache>
                <c:ptCount val="2"/>
                <c:pt idx="0">
                  <c:v>2018年</c:v>
                </c:pt>
                <c:pt idx="1">
                  <c:v>2019年</c:v>
                </c:pt>
              </c:strCache>
            </c:strRef>
          </c:cat>
          <c:val>
            <c:numRef>
              <c:f>Sheet1!#REF!</c:f>
              <c:numCache>
                <c:formatCode>General</c:formatCode>
                <c:ptCount val="1"/>
                <c:pt idx="0">
                  <c:v>1</c:v>
                </c:pt>
              </c:numCache>
            </c:numRef>
          </c:val>
        </c:ser>
        <c:ser>
          <c:idx val="1"/>
          <c:order val="1"/>
          <c:tx>
            <c:strRef>
              <c:f>Sheet1!#REF!</c:f>
              <c:strCache>
                <c:ptCount val="1"/>
                <c:pt idx="0">
                  <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delete val="1"/>
          </c:dLbls>
          <c:cat>
            <c:strRef>
              <c:f>Sheet1!$A$2:$A$3</c:f>
              <c:strCache>
                <c:ptCount val="2"/>
                <c:pt idx="0">
                  <c:v>2018年</c:v>
                </c:pt>
                <c:pt idx="1">
                  <c:v>2019年</c:v>
                </c:pt>
              </c:strCache>
            </c:strRef>
          </c:cat>
          <c:val>
            <c:numRef>
              <c:f>Sheet1!#REF!</c:f>
              <c:numCache>
                <c:formatCode>General</c:formatCode>
                <c:ptCount val="1"/>
                <c:pt idx="0">
                  <c:v>1</c:v>
                </c:pt>
              </c:numCache>
            </c:numRef>
          </c:val>
        </c:ser>
        <c:ser>
          <c:idx val="2"/>
          <c:order val="2"/>
          <c:tx>
            <c:strRef>
              <c:f>Sheet1!$B$1</c:f>
              <c:strCache>
                <c:ptCount val="1"/>
                <c:pt idx="0">
                  <c:v>支出</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200" b="0" i="0" u="none" strike="noStrike" kern="1200" baseline="0">
                    <a:solidFill>
                      <a:schemeClr val="dk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a:solidFill>
                        <a:schemeClr val="tx1">
                          <a:lumMod val="35000"/>
                          <a:lumOff val="65000"/>
                        </a:schemeClr>
                      </a:solidFill>
                    </a:ln>
                    <a:effectLst/>
                  </c:spPr>
                </c15:leaderLines>
              </c:ext>
            </c:extLst>
          </c:dLbls>
          <c:cat>
            <c:strRef>
              <c:f>Sheet1!$A$2:$A$3</c:f>
              <c:strCache>
                <c:ptCount val="2"/>
                <c:pt idx="0">
                  <c:v>2018年</c:v>
                </c:pt>
                <c:pt idx="1">
                  <c:v>2019年</c:v>
                </c:pt>
              </c:strCache>
            </c:strRef>
          </c:cat>
          <c:val>
            <c:numRef>
              <c:f>Sheet1!$B$2:$B$3</c:f>
              <c:numCache>
                <c:formatCode>General</c:formatCode>
                <c:ptCount val="2"/>
                <c:pt idx="0">
                  <c:v>689.14</c:v>
                </c:pt>
                <c:pt idx="1">
                  <c:v>850.58</c:v>
                </c:pt>
              </c:numCache>
            </c:numRef>
          </c:val>
        </c:ser>
        <c:dLbls>
          <c:showLegendKey val="0"/>
          <c:showVal val="1"/>
          <c:showCatName val="0"/>
          <c:showSerName val="0"/>
          <c:showPercent val="0"/>
          <c:showBubbleSize val="0"/>
        </c:dLbls>
        <c:gapWidth val="164"/>
        <c:overlap val="-22"/>
        <c:axId val="973666578"/>
        <c:axId val="135195795"/>
      </c:barChart>
      <c:catAx>
        <c:axId val="973666578"/>
        <c:scaling>
          <c:orientation val="minMax"/>
        </c:scaling>
        <c:delete val="0"/>
        <c:axPos val="b"/>
        <c:majorTickMark val="out"/>
        <c:minorTickMark val="none"/>
        <c:tickLblPos val="nextTo"/>
        <c:spPr>
          <a:noFill/>
          <a:ln w="19050" cap="flat" cmpd="sng" algn="ctr">
            <a:solidFill>
              <a:schemeClr val="tx1">
                <a:lumMod val="25000"/>
                <a:lumOff val="75000"/>
              </a:schemeClr>
            </a:solidFill>
            <a:round/>
          </a:ln>
          <a:effectLst/>
        </c:spPr>
        <c:txPr>
          <a:bodyPr rot="-60000000" spcFirstLastPara="0" vertOverflow="ellipsis" vert="horz" wrap="square" anchor="ctr" anchorCtr="1"/>
          <a:lstStyle/>
          <a:p>
            <a:pPr>
              <a:defRPr lang="zh-CN" sz="1200" b="0" i="0" u="none" strike="noStrike" kern="1200" baseline="0">
                <a:solidFill>
                  <a:schemeClr val="dk1"/>
                </a:solidFill>
                <a:latin typeface="+mn-lt"/>
                <a:ea typeface="+mn-ea"/>
                <a:cs typeface="+mn-cs"/>
              </a:defRPr>
            </a:pPr>
          </a:p>
        </c:txPr>
        <c:crossAx val="135195795"/>
        <c:crosses val="autoZero"/>
        <c:auto val="1"/>
        <c:lblAlgn val="ctr"/>
        <c:lblOffset val="100"/>
        <c:noMultiLvlLbl val="0"/>
      </c:catAx>
      <c:valAx>
        <c:axId val="135195795"/>
        <c:scaling>
          <c:orientation val="minMax"/>
        </c:scaling>
        <c:delete val="0"/>
        <c:axPos val="l"/>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1200" b="0" i="0" u="none" strike="noStrike" kern="1200" baseline="0">
                <a:solidFill>
                  <a:schemeClr val="dk1"/>
                </a:solidFill>
                <a:latin typeface="+mn-lt"/>
                <a:ea typeface="+mn-ea"/>
                <a:cs typeface="+mn-cs"/>
              </a:defRPr>
            </a:pPr>
          </a:p>
        </c:txPr>
        <c:crossAx val="973666578"/>
        <c:crosses val="autoZero"/>
        <c:crossBetween val="between"/>
      </c:valAx>
      <c:spPr>
        <a:noFill/>
        <a:ln>
          <a:noFill/>
        </a:ln>
        <a:effectLst/>
      </c:spPr>
    </c:plotArea>
    <c:legend>
      <c:legendPos val="t"/>
      <c:legendEntry>
        <c:idx val="0"/>
        <c:delete val="1"/>
      </c:legendEntry>
      <c:legendEntry>
        <c:idx val="1"/>
        <c:delete val="1"/>
      </c:legendEntry>
      <c:legendEntry>
        <c:idx val="2"/>
        <c:txPr>
          <a:bodyPr rot="0" spcFirstLastPara="0" vertOverflow="ellipsis" vert="horz" wrap="square" anchor="ctr" anchorCtr="1"/>
          <a:lstStyle/>
          <a:p>
            <a:pPr>
              <a:defRPr lang="zh-CN" sz="1200" b="0" i="0" u="none" strike="noStrike" kern="1200" baseline="0">
                <a:solidFill>
                  <a:schemeClr val="dk1"/>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1200" b="0" i="0" u="none" strike="noStrike" kern="1200" baseline="0">
              <a:solidFill>
                <a:schemeClr val="dk1"/>
              </a:solidFill>
              <a:latin typeface="+mn-lt"/>
              <a:ea typeface="+mn-ea"/>
              <a:cs typeface="+mn-cs"/>
            </a:defRPr>
          </a:pPr>
        </a:p>
      </c:txPr>
    </c:legend>
    <c:plotVisOnly val="1"/>
    <c:dispBlanksAs val="gap"/>
    <c:showDLblsOverMax val="0"/>
  </c:chart>
  <c:spPr>
    <a:solidFill>
      <a:schemeClr val="lt1"/>
    </a:solidFill>
    <a:ln w="25400" cap="flat" cmpd="sng" algn="ctr">
      <a:solidFill>
        <a:schemeClr val="dk1"/>
      </a:solidFill>
      <a:prstDash val="solid"/>
      <a:round/>
    </a:ln>
    <a:effectLst/>
    <a:sp3d>
      <a:extrusionClr>
        <a:srgbClr val="FFFFFF"/>
      </a:extrusionClr>
      <a:contourClr>
        <a:srgbClr val="FFFFFF"/>
      </a:contourClr>
    </a:sp3d>
  </c:spPr>
  <c:txPr>
    <a:bodyPr/>
    <a:lstStyle/>
    <a:p>
      <a:pPr>
        <a:defRPr lang="zh-CN" sz="1200">
          <a:solidFill>
            <a:schemeClr val="dk1"/>
          </a:solidFill>
          <a:latin typeface="+mn-lt"/>
          <a:ea typeface="+mn-ea"/>
          <a:cs typeface="+mn-c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8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r>
              <a:rPr sz="1200">
                <a:solidFill>
                  <a:schemeClr val="tx1">
                    <a:lumMod val="65000"/>
                    <a:lumOff val="35000"/>
                  </a:schemeClr>
                </a:solidFill>
                <a:uFill>
                  <a:solidFill>
                    <a:schemeClr val="tx1">
                      <a:lumMod val="65000"/>
                      <a:lumOff val="35000"/>
                    </a:schemeClr>
                  </a:solidFill>
                </a:uFill>
              </a:rPr>
              <a:t>一般公共预算财政拨款支出决算结构图</a:t>
            </a:r>
            <a:endParaRPr sz="1200">
              <a:solidFill>
                <a:schemeClr val="tx1">
                  <a:lumMod val="65000"/>
                  <a:lumOff val="35000"/>
                </a:schemeClr>
              </a:solidFill>
              <a:uFill>
                <a:solidFill>
                  <a:schemeClr val="tx1">
                    <a:lumMod val="65000"/>
                    <a:lumOff val="35000"/>
                  </a:schemeClr>
                </a:solidFill>
              </a:uFill>
            </a:endParaRPr>
          </a:p>
        </c:rich>
      </c:tx>
      <c:layout/>
      <c:overlay val="0"/>
      <c:spPr>
        <a:noFill/>
        <a:ln>
          <a:noFill/>
        </a:ln>
        <a:effectLst/>
      </c:spPr>
    </c:title>
    <c:autoTitleDeleted val="0"/>
    <c:plotArea>
      <c:layout/>
      <c:pieChart>
        <c:varyColors val="1"/>
        <c:ser>
          <c:idx val="0"/>
          <c:order val="0"/>
          <c:tx>
            <c:strRef>
              <c:f>Sheet1!$B$1</c:f>
              <c:strCache>
                <c:ptCount val="1"/>
                <c:pt idx="0">
                  <c:v>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一般公共服务</c:v>
                </c:pt>
                <c:pt idx="1">
                  <c:v>教育</c:v>
                </c:pt>
                <c:pt idx="2">
                  <c:v>社会保障和就业</c:v>
                </c:pt>
                <c:pt idx="3">
                  <c:v>卫生健康</c:v>
                </c:pt>
              </c:strCache>
            </c:strRef>
          </c:cat>
          <c:val>
            <c:numRef>
              <c:f>Sheet1!$B$2:$B$5</c:f>
              <c:numCache>
                <c:formatCode>General</c:formatCode>
                <c:ptCount val="4"/>
                <c:pt idx="0">
                  <c:v>850.57</c:v>
                </c:pt>
                <c:pt idx="1">
                  <c:v>112</c:v>
                </c:pt>
                <c:pt idx="2">
                  <c:v>66.46</c:v>
                </c:pt>
                <c:pt idx="3">
                  <c:v>29.04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egendEntry>
        <c:idx val="0"/>
        <c:txPr>
          <a:bodyPr rot="0" spcFirstLastPara="0" vertOverflow="ellipsis" vert="horz" wrap="square" anchor="ctr" anchorCtr="1"/>
          <a:lstStyle/>
          <a:p>
            <a:pPr>
              <a:defRPr lang="zh-CN" sz="8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Entry>
      <c:legendEntry>
        <c:idx val="1"/>
        <c:txPr>
          <a:bodyPr rot="0" spcFirstLastPara="0" vertOverflow="ellipsis" vert="horz" wrap="square" anchor="ctr" anchorCtr="1"/>
          <a:lstStyle/>
          <a:p>
            <a:pPr>
              <a:defRPr lang="zh-CN" sz="8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Entry>
      <c:legendEntry>
        <c:idx val="2"/>
        <c:txPr>
          <a:bodyPr rot="0" spcFirstLastPara="0" vertOverflow="ellipsis" vert="horz" wrap="square" anchor="ctr" anchorCtr="1"/>
          <a:lstStyle/>
          <a:p>
            <a:pPr>
              <a:defRPr lang="zh-CN" sz="8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Entry>
      <c:legendEntry>
        <c:idx val="3"/>
        <c:txPr>
          <a:bodyPr rot="0" spcFirstLastPara="0" vertOverflow="ellipsis" vert="horz" wrap="square" anchor="ctr" anchorCtr="1"/>
          <a:lstStyle/>
          <a:p>
            <a:pPr>
              <a:defRPr lang="zh-CN" sz="8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8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a:t>
            </a:r>
            <a:r>
              <a:rPr altLang="en-US"/>
              <a:t>三公</a:t>
            </a:r>
            <a:r>
              <a:rPr lang="en-US" altLang="zh-CN"/>
              <a:t>”</a:t>
            </a:r>
            <a:r>
              <a:t>经费财政拨款支出结构图</a:t>
            </a:r>
          </a:p>
        </c:rich>
      </c:tx>
      <c:layout/>
      <c:overlay val="0"/>
      <c:spPr>
        <a:noFill/>
        <a:ln>
          <a:noFill/>
        </a:ln>
        <a:effectLst/>
      </c:spPr>
    </c:title>
    <c:autoTitleDeleted val="0"/>
    <c:plotArea>
      <c:layout/>
      <c:pieChart>
        <c:varyColors val="1"/>
        <c:ser>
          <c:idx val="0"/>
          <c:order val="0"/>
          <c:tx>
            <c:strRef>
              <c:f>Sheet1!$B$1</c:f>
              <c:strCache>
                <c:ptCount val="1"/>
                <c:pt idx="0">
                  <c:v>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公务用车运行维护费</c:v>
                </c:pt>
                <c:pt idx="1">
                  <c:v>接待费</c:v>
                </c:pt>
              </c:strCache>
            </c:strRef>
          </c:cat>
          <c:val>
            <c:numRef>
              <c:f>Sheet1!$B$2:$B$3</c:f>
              <c:numCache>
                <c:formatCode>General</c:formatCode>
                <c:ptCount val="2"/>
                <c:pt idx="0">
                  <c:v>20.15</c:v>
                </c:pt>
                <c:pt idx="1">
                  <c:v>0.71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7</TotalTime>
  <ScaleCrop>false</ScaleCrop>
  <LinksUpToDate>false</LinksUpToDate>
  <CharactersWithSpaces>8587</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R.u.n 2</cp:lastModifiedBy>
  <cp:lastPrinted>2020-11-04T05:54:00Z</cp:lastPrinted>
  <dcterms:modified xsi:type="dcterms:W3CDTF">2020-11-06T02:43:19Z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