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77193"/>
      <w:bookmarkStart w:id="4" w:name="_Toc15396475"/>
      <w:bookmarkStart w:id="5" w:name="_Toc15396597"/>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194"/>
      <w:bookmarkStart w:id="9" w:name="_Toc15377426"/>
      <w:bookmarkStart w:id="10" w:name="_Toc15396598"/>
      <w:r>
        <w:rPr>
          <w:rFonts w:hint="eastAsia" w:ascii="方正小标宋简体" w:hAnsi="宋体" w:eastAsia="方正小标宋简体"/>
          <w:color w:val="000000"/>
          <w:w w:val="95"/>
          <w:sz w:val="72"/>
          <w:szCs w:val="72"/>
        </w:rPr>
        <w:t>四川省</w:t>
      </w:r>
      <w:bookmarkEnd w:id="0"/>
      <w:bookmarkStart w:id="11" w:name="_Toc15306268"/>
      <w:r>
        <w:rPr>
          <w:rFonts w:hint="eastAsia" w:ascii="方正小标宋简体" w:hAnsi="宋体" w:eastAsia="方正小标宋简体"/>
          <w:color w:val="000000"/>
          <w:w w:val="95"/>
          <w:sz w:val="72"/>
          <w:szCs w:val="72"/>
        </w:rPr>
        <w:t>中共红原县委组织部</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bookmarkStart w:id="12" w:name="_Toc15396599"/>
      <w:bookmarkStart w:id="13" w:name="_Toc15377196"/>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fldChar w:fldCharType="end"/>
      </w:r>
    </w:p>
    <w:p>
      <w:pPr>
        <w:pStyle w:val="10"/>
      </w:pPr>
    </w:p>
    <w:p>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r>
        <w:rPr>
          <w:rFonts w:ascii="黑体" w:hAnsi="黑体" w:eastAsia="黑体"/>
          <w:b/>
        </w:rPr>
        <w:br w:type="page"/>
      </w:r>
    </w:p>
    <w:p>
      <w:pPr>
        <w:widowControl/>
        <w:jc w:val="left"/>
        <w:rPr>
          <w:rFonts w:ascii="黑体" w:hAnsi="黑体" w:eastAsia="黑体"/>
          <w:bCs/>
          <w:kern w:val="44"/>
          <w:sz w:val="44"/>
          <w:szCs w:val="44"/>
        </w:rPr>
      </w:pPr>
    </w:p>
    <w:p>
      <w:pPr>
        <w:pStyle w:val="3"/>
        <w:spacing w:line="560" w:lineRule="exact"/>
        <w:jc w:val="center"/>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pPr>
        <w:pStyle w:val="4"/>
        <w:spacing w:line="560" w:lineRule="exact"/>
        <w:rPr>
          <w:rStyle w:val="1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pPr>
        <w:pStyle w:val="6"/>
        <w:adjustRightInd w:val="0"/>
        <w:snapToGrid w:val="0"/>
        <w:spacing w:before="93" w:line="560" w:lineRule="exact"/>
        <w:ind w:firstLine="675" w:firstLineChars="210"/>
        <w:outlineLvl w:val="2"/>
        <w:rPr>
          <w:rFonts w:hint="eastAsia" w:ascii="仿宋_GB2312" w:hAnsi="仿宋_GB2312" w:eastAsia="仿宋_GB2312" w:cs="仿宋_GB2312"/>
          <w:b/>
          <w:bCs w:val="0"/>
          <w:color w:val="000000"/>
          <w:sz w:val="32"/>
          <w:szCs w:val="32"/>
        </w:rPr>
      </w:pPr>
      <w:bookmarkStart w:id="16" w:name="_Toc15378445"/>
      <w:bookmarkStart w:id="17" w:name="_Toc15377198"/>
      <w:r>
        <w:rPr>
          <w:rFonts w:hint="eastAsia" w:ascii="仿宋_GB2312" w:hAnsi="仿宋_GB2312" w:eastAsia="仿宋_GB2312" w:cs="仿宋_GB2312"/>
          <w:b/>
          <w:bCs w:val="0"/>
          <w:color w:val="000000"/>
          <w:sz w:val="32"/>
          <w:szCs w:val="32"/>
        </w:rPr>
        <w:t>（一）主要职能。</w:t>
      </w:r>
      <w:bookmarkEnd w:id="16"/>
      <w:bookmarkEnd w:id="17"/>
      <w:bookmarkStart w:id="18" w:name="_Toc15378446"/>
      <w:bookmarkStart w:id="19" w:name="_Toc15377199"/>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spacing w:line="56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shd w:val="clear" w:color="auto" w:fill="FFFFFF"/>
        </w:rPr>
        <w:t>负责管理全县公务员工作。承担管理公务员录用、调配、考核、奖惩、培训、监督、工资福利等工作，指导公务员队伍建设和绩效管理。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sz w:val="32"/>
          <w:szCs w:val="32"/>
        </w:rPr>
        <w:t>负责全县人才队伍建设宏观指导、政策落实、综合协调和督促检查；牵头推进人才发展体制机制改革，统筹实施重大人才工程和人才表彰奖励。</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w:t>
      </w:r>
      <w:r>
        <w:rPr>
          <w:rFonts w:hint="eastAsia" w:ascii="仿宋_GB2312" w:hAnsi="仿宋_GB2312" w:eastAsia="仿宋_GB2312" w:cs="仿宋_GB2312"/>
          <w:sz w:val="32"/>
          <w:szCs w:val="32"/>
        </w:rPr>
        <w:t>负责全县非公有制经济组织和社会组织党建工作统一部署，宏观指导和督促检查；负责研究、指导和批准非公有制经济组织和社会组织党的基层组织的设置；直接联系和管理非公企业和社会组织党组织。</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w:t>
      </w:r>
      <w:r>
        <w:rPr>
          <w:rFonts w:hint="eastAsia" w:ascii="仿宋_GB2312" w:hAnsi="仿宋_GB2312" w:eastAsia="仿宋_GB2312" w:cs="仿宋_GB2312"/>
          <w:sz w:val="32"/>
          <w:szCs w:val="32"/>
        </w:rPr>
        <w:t>负责制定全县直属机关</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"http://www.so.com/s?q=%E5%85%9A%E7%9A%84%E5%BB%BA%E8%AE%BE&amp;ie=utf-8&amp;src=internal_wenda_recommend_textn" \t "https://wenda.so.com/q/_blank"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党的建设</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工作规划，指导县直机关党组织搞好党的思想建设、组织建设、作风建设和制度建设，并做好协调、管理、教育、监督工作。指导县属机关党组织搞好发展党员、民主评议党员、党员干部民主生活会的评议工作。</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w:t>
      </w:r>
      <w:r>
        <w:rPr>
          <w:rFonts w:hint="eastAsia" w:ascii="仿宋_GB2312" w:hAnsi="仿宋_GB2312" w:eastAsia="仿宋_GB2312" w:cs="仿宋_GB2312"/>
          <w:sz w:val="32"/>
          <w:szCs w:val="32"/>
        </w:rPr>
        <w:t>统一归口管理县委机构编制委员会办公室。</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w:t>
      </w:r>
      <w:r>
        <w:rPr>
          <w:rFonts w:hint="eastAsia" w:ascii="仿宋_GB2312" w:hAnsi="仿宋_GB2312" w:eastAsia="仿宋_GB2312" w:cs="仿宋_GB2312"/>
          <w:sz w:val="32"/>
          <w:szCs w:val="32"/>
        </w:rPr>
        <w:t>承担县委党建领导小组、县人才工作领导小组日常工作。</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w:t>
      </w:r>
      <w:r>
        <w:rPr>
          <w:rFonts w:hint="eastAsia" w:ascii="仿宋_GB2312" w:hAnsi="仿宋_GB2312" w:eastAsia="仿宋_GB2312" w:cs="仿宋_GB2312"/>
          <w:sz w:val="32"/>
          <w:szCs w:val="32"/>
        </w:rPr>
        <w:t>完成县委交办的其他任务。</w:t>
      </w:r>
    </w:p>
    <w:p>
      <w:pPr>
        <w:pStyle w:val="6"/>
        <w:adjustRightInd w:val="0"/>
        <w:snapToGrid w:val="0"/>
        <w:spacing w:before="93" w:line="56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（二）2018年重点工作完成情况。</w:t>
      </w:r>
      <w:bookmarkEnd w:id="18"/>
      <w:bookmarkEnd w:id="19"/>
    </w:p>
    <w:p>
      <w:pPr>
        <w:spacing w:line="56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1.抓实党的政治建设。一是</w:t>
      </w:r>
      <w:r>
        <w:rPr>
          <w:rFonts w:hint="eastAsia" w:ascii="仿宋_GB2312" w:hAnsi="仿宋_GB2312" w:eastAsia="仿宋_GB2312" w:cs="仿宋_GB2312"/>
          <w:bCs/>
          <w:sz w:val="32"/>
          <w:szCs w:val="32"/>
        </w:rPr>
        <w:t>制发《关于推进“两学一做”学习教育常态化制度化的通知》，采取“以上率下带头学、精心安排常态学、创新方式全员学”的方式，积极引导161个基层党组织和3100余名党员深入开展习近平新时代中国特色社会主义思想“四川篇”学习研讨和“遵党章、学党章、讲党章”活动，推动学习教育融入日常、抓在经常。</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深入开展“大学习”，全县各级党组织采取中心组集中学、单位部门例会学、支部“三会一课”党内学、夜校宣讲全员学“四学”模式，深入学习中央、省、州、县党代会和全会精神，准确把握党的建设新部署新要求；全面推进大讨论，各基层党组织结合党建工作例会、主题党日活动、“三会一课”，把开展活动与重点项目建设、脱贫攻坚、乡村善治、从严治党等结合起来，从县情实际、部门实际、岗位实际确定讨论主题，开展讨论240余场次；深入开展大调研，各级党组织紧围绕“乡村善治”工程、构建“一核三治”基层治理体系、打好脱贫攻坚硬仗等重点课题，深入基层一线，调查研究摸实情、找症结，理思路、抓整改，不断提升基层组织组织力建设。</w:t>
      </w:r>
      <w:r>
        <w:rPr>
          <w:rFonts w:hint="eastAsia" w:ascii="仿宋_GB2312" w:hAnsi="仿宋_GB2312" w:eastAsia="仿宋_GB2312" w:cs="仿宋_GB2312"/>
          <w:b/>
          <w:bCs/>
          <w:sz w:val="32"/>
          <w:szCs w:val="32"/>
        </w:rPr>
        <w:t>三是</w:t>
      </w:r>
      <w:r>
        <w:rPr>
          <w:rFonts w:hint="eastAsia" w:ascii="仿宋_GB2312" w:hAnsi="仿宋_GB2312" w:eastAsia="仿宋_GB2312" w:cs="仿宋_GB2312"/>
          <w:bCs/>
          <w:sz w:val="32"/>
          <w:szCs w:val="32"/>
        </w:rPr>
        <w:t>今年以来，先后组织11个乡镇党委书记、乡镇长、党委组织委员、38名村（社区）党支部书、10名村后备干部、机关两新党组织负责人参加中央、省、州等示范培训班，达120余人次。同时，常态化开展党务工作者党建业务测试，倒逼基层党务工作者提升专业素养能力。</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2.抓实基层党组织建设</w:t>
      </w:r>
    </w:p>
    <w:p>
      <w:pPr>
        <w:spacing w:line="56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（1）深入推进“乡村善治”工程。</w:t>
      </w:r>
      <w:r>
        <w:rPr>
          <w:rFonts w:hint="eastAsia" w:ascii="仿宋_GB2312" w:hAnsi="仿宋_GB2312" w:eastAsia="仿宋_GB2312" w:cs="仿宋_GB2312"/>
          <w:bCs/>
          <w:sz w:val="32"/>
          <w:szCs w:val="32"/>
        </w:rPr>
        <w:t>制定《红原县“乡村善治”工程党建强村五年规划》《红原县“乡村善治”工程党建强村2018年实施方案》，开展《以“乡村善治”工程为牵引，加快构建“一核三治”基层治理体系》《党组织引领培育壮大村集体经济路径探索》课题调研，着力研究破解牧区农村经济组织党员数量少、党组织覆盖差、工作覆盖软等瓶颈问题的现实举措，探索一批加强农村基层党组织核心领导力的可行、有效、长远应对之策。同时，结合基层组织分类定级，扎实开展换届以来乡村班子运行情况分析研判，个别访谈318人，收集问题120个，意见建议542条；村“两委”班子分析研判个别访谈565人，收集共性问题87个，意见建议139条，为优化乡村班子配备提供了参考依据。</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（2）强化农村组织“五个基本”建设。一是持续提升基本组织。</w:t>
      </w:r>
      <w:r>
        <w:rPr>
          <w:rFonts w:hint="eastAsia" w:ascii="仿宋_GB2312" w:hAnsi="仿宋_GB2312" w:eastAsia="仿宋_GB2312" w:cs="仿宋_GB2312"/>
          <w:bCs/>
          <w:sz w:val="32"/>
          <w:szCs w:val="32"/>
        </w:rPr>
        <w:t>确定19个后进党组织，制定整顿方案19个，6名县级分管领导联系指导后进基层党组织，并结合“达标创星”工作确定27个村（社区）党组织开展“星级争创”活动，引导党组织创先争优，促进党组织管理规范化。</w:t>
      </w:r>
      <w:r>
        <w:rPr>
          <w:rFonts w:hint="eastAsia" w:ascii="仿宋_GB2312" w:hAnsi="仿宋_GB2312" w:eastAsia="仿宋_GB2312" w:cs="仿宋_GB2312"/>
          <w:b/>
          <w:bCs/>
          <w:sz w:val="32"/>
          <w:szCs w:val="32"/>
        </w:rPr>
        <w:t>二是持续建强基本队伍。</w:t>
      </w:r>
      <w:r>
        <w:rPr>
          <w:rFonts w:hint="eastAsia" w:ascii="仿宋_GB2312" w:hAnsi="仿宋_GB2312" w:eastAsia="仿宋_GB2312" w:cs="仿宋_GB2312"/>
          <w:bCs/>
          <w:sz w:val="32"/>
          <w:szCs w:val="32"/>
        </w:rPr>
        <w:t>分解落实2018年发展党员任务指标，已发展155名，其中农村党员105名；分领域细化党员“积分评星”六类考评标准，明确考评办法和结果运用，推进党员积分评星管理常态化；统一制定村党组织书记“一人一档”信息登记表和备案材料清单，全面完成38名村（社）党支部书记“一人一档”备案工作。按照“源头活、储备足”原则实施“双培双促”计划，规范乡镇青年人才党支部建设，每村储备2名以上后备村干部，并落实乡镇党委班子成员结对联系帮带制度，让后备干部参与乡、村重大活动或中心工作锻炼提能。</w:t>
      </w:r>
      <w:r>
        <w:rPr>
          <w:rFonts w:hint="eastAsia" w:ascii="仿宋_GB2312" w:hAnsi="仿宋_GB2312" w:eastAsia="仿宋_GB2312" w:cs="仿宋_GB2312"/>
          <w:b/>
          <w:bCs/>
          <w:sz w:val="32"/>
          <w:szCs w:val="32"/>
        </w:rPr>
        <w:t>三是持续抓实基本活动。</w:t>
      </w:r>
      <w:r>
        <w:rPr>
          <w:rFonts w:hint="eastAsia" w:ascii="仿宋_GB2312" w:hAnsi="仿宋_GB2312" w:eastAsia="仿宋_GB2312" w:cs="仿宋_GB2312"/>
          <w:bCs/>
          <w:sz w:val="32"/>
          <w:szCs w:val="32"/>
        </w:rPr>
        <w:t>全面推广“党建例会+三会一课+主题党日活动”减繁增效模式，制发《红原县党支部工作记录簿》全面纪实基层党支部组织生活；11个乡镇组建38支村级党员应急队伍，常态开展巡山护牧、汛情巡查等应急演练，今夏防汛抢险救灾中收到积极效果；34个村“农牧民夜校”采取专题讲座、案例分析、实践锻炼、文体活动等方式组织教学，每周开展集中学习2-3次，共开展专题培训和技能教学培训1575场次，送学上门2200余场次，培训教育42000余人次，帮助贫困村农牧民群众了解政策、坚定信心，掌握技术、提高技能。</w:t>
      </w:r>
      <w:r>
        <w:rPr>
          <w:rFonts w:hint="eastAsia" w:ascii="仿宋_GB2312" w:hAnsi="仿宋_GB2312" w:eastAsia="仿宋_GB2312" w:cs="仿宋_GB2312"/>
          <w:b/>
          <w:bCs/>
          <w:sz w:val="32"/>
          <w:szCs w:val="32"/>
        </w:rPr>
        <w:t>四是持续完善基本制度</w:t>
      </w:r>
      <w:r>
        <w:rPr>
          <w:rFonts w:hint="eastAsia" w:ascii="仿宋_GB2312" w:hAnsi="仿宋_GB2312" w:eastAsia="仿宋_GB2312" w:cs="仿宋_GB2312"/>
          <w:bCs/>
          <w:sz w:val="32"/>
          <w:szCs w:val="32"/>
        </w:rPr>
        <w:t>。全面实施“一定两议三监督”村级议事决策机制，加大对村级党务、村务、财务的监督力度，健全完善村两委干部轮流坐班和出勤公示制、请销假制，推行包联村（社区）乡镇干部轮流到村级民事代办点轮流坐班制度，指导督促值班村两委成员集中办理服务群众事项，简化群众办事程序。</w:t>
      </w:r>
      <w:r>
        <w:rPr>
          <w:rFonts w:hint="eastAsia" w:ascii="仿宋_GB2312" w:hAnsi="仿宋_GB2312" w:eastAsia="仿宋_GB2312" w:cs="仿宋_GB2312"/>
          <w:b/>
          <w:bCs/>
          <w:sz w:val="32"/>
          <w:szCs w:val="32"/>
        </w:rPr>
        <w:t>五是持续强化基本保障。</w:t>
      </w:r>
      <w:r>
        <w:rPr>
          <w:rFonts w:hint="eastAsia" w:ascii="仿宋_GB2312" w:hAnsi="仿宋_GB2312" w:eastAsia="仿宋_GB2312" w:cs="仿宋_GB2312"/>
          <w:bCs/>
          <w:sz w:val="32"/>
          <w:szCs w:val="32"/>
        </w:rPr>
        <w:t>按月足额兑现村干部基本报酬、临时岗位补贴，认真落实村基层组织活动和公共服务运行经费，全面落实离任村干部待遇保障政策。按考核结果为优秀等次的发放1000元/人，合格等次800元/人的标准发放绩效奖励，根据州委、州人民政府《关于进一步妥善解决离任村干部生活补贴的意见》（阿委发〔2018〕4号）和州委组织部《关于进一步做好离任村干部工作的通知》（阿委组通〔2017〕195号）文件精神，对全县30名符合条件享受离任村干部待遇人员进行审核工作，对115名离任村干部享受待遇提标进行统计审核。</w:t>
      </w:r>
    </w:p>
    <w:p>
      <w:pPr>
        <w:spacing w:line="56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（3）深入开展软弱涣散村党组织集中整顿。一是</w:t>
      </w:r>
      <w:r>
        <w:rPr>
          <w:rFonts w:hint="eastAsia" w:ascii="仿宋_GB2312" w:hAnsi="仿宋_GB2312" w:eastAsia="仿宋_GB2312" w:cs="仿宋_GB2312"/>
          <w:bCs/>
          <w:sz w:val="32"/>
          <w:szCs w:val="32"/>
        </w:rPr>
        <w:t>成立由县委书记任组长的整顿工作领导小组，下设县级工作专班和县委组织部专项工作组，乡村建立整顿工作组16个；县级召开专题部署会议3次，乡村召开专题部署会议20次，县乡村分层召开动员会议33场，组建成立的“软乡弱村”宣讲团开展巡回宣讲11场，构建起齐抓共管、迅速开局的工作推进格局。</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主动认领州委梳理的突出问题，自查梳理问题42个，完善形成整顿工作方案10个，细化30项工作任务，形成倒排工期任务表；严格落实“一周一调度，半月一督导，一月一研究”督导机制，专题督查3期，印发每周任务清单4期，开展专题分析研判暨现场观摩会1次；县委书记、组织部长、县级联系领导全覆盖与11名党委书记（乡镇长）、28名“软乡”党政班子成员、32名“弱村”两委成员和敏感时期出境到敏感区域群众全覆盖开展“一对一”谈心谈话。</w:t>
      </w:r>
      <w:r>
        <w:rPr>
          <w:rFonts w:hint="eastAsia" w:ascii="仿宋_GB2312" w:hAnsi="仿宋_GB2312" w:eastAsia="仿宋_GB2312" w:cs="仿宋_GB2312"/>
          <w:b/>
          <w:bCs/>
          <w:sz w:val="32"/>
          <w:szCs w:val="32"/>
        </w:rPr>
        <w:t>三是</w:t>
      </w:r>
      <w:r>
        <w:rPr>
          <w:rFonts w:hint="eastAsia" w:ascii="仿宋_GB2312" w:hAnsi="仿宋_GB2312" w:eastAsia="仿宋_GB2312" w:cs="仿宋_GB2312"/>
          <w:bCs/>
          <w:sz w:val="32"/>
          <w:szCs w:val="32"/>
        </w:rPr>
        <w:t>摸排违纪违法村（社区）“两委”班子成员6名，分析研判5个弱村“两委”班子运行情况，排查履职不力、能力不足村“两委”成员5名；倒查核准出境回流的9名农村党员往返机票、消费记录，9名党员均未参加法会，但均未向上级党组织履行报备手续，下一步将视9名党员认识检讨情况作出相应严厉处置。四是按县委常委会专题部署，向1128名农村党员发放张贴领袖画像，清缴销毁达赖画像19幅；集中收集保管农牧民群众持有护照944本（其中农村党员持有证件79本、村组干部持有证件25本），实现全覆盖收集管理。11个乡镇建立完善“维稳重点人员、困难党员、三老人员、建档立卡贫困户、特殊群体”五本台账。3304名党员签订《红原县严守政治纪律承诺书》3186份，其中1128名农村党员已签订1097份。以“戴党徽、亮身份、作表率”活动为契机，发放新党徽2000余枚，开展新党章专题学习9次，4乡5村严实开展重温入党誓词活动。</w:t>
      </w:r>
    </w:p>
    <w:p>
      <w:pPr>
        <w:spacing w:line="560" w:lineRule="exact"/>
        <w:ind w:firstLine="643" w:firstLineChars="200"/>
        <w:rPr>
          <w:rFonts w:hint="eastAsia" w:ascii="仿宋_GB2312" w:hAnsi="仿宋_GB2312" w:eastAsia="仿宋_GB2312" w:cs="仿宋_GB2312"/>
          <w:bCs/>
          <w:sz w:val="32"/>
          <w:szCs w:val="32"/>
        </w:rPr>
      </w:pPr>
      <w:bookmarkStart w:id="20" w:name="_Hlk521594766"/>
      <w:bookmarkStart w:id="21" w:name="_Hlk521592350"/>
      <w:r>
        <w:rPr>
          <w:rFonts w:hint="eastAsia" w:ascii="仿宋_GB2312" w:hAnsi="仿宋_GB2312" w:eastAsia="仿宋_GB2312" w:cs="仿宋_GB2312"/>
          <w:b/>
          <w:bCs/>
          <w:sz w:val="32"/>
          <w:szCs w:val="32"/>
        </w:rPr>
        <w:t>（4）推进扫黑除恶专项斗争</w:t>
      </w:r>
      <w:bookmarkEnd w:id="20"/>
      <w:bookmarkEnd w:id="21"/>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通过采取一线主动接访、入户调查走访、全面分析排查等方式，向农村党员、群众代表摸排了解情况，公开举报电话，设立举报信箱，广泛收集掌握线索，建立健全涉黑涉恶线索管理台账和违纪违法村（社区）两委班子成员处置管理台账。</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严肃处置不合格、不胜任、不称职村（社区）两委干部，结合软乡弱村集中整顿工作，坚决调整撤换违纪违法村（社区）“两委”班子成员6名，进一步优化乡村班子。</w:t>
      </w:r>
      <w:r>
        <w:rPr>
          <w:rFonts w:hint="eastAsia" w:ascii="仿宋_GB2312" w:hAnsi="仿宋_GB2312" w:eastAsia="仿宋_GB2312" w:cs="仿宋_GB2312"/>
          <w:b/>
          <w:bCs/>
          <w:sz w:val="32"/>
          <w:szCs w:val="32"/>
        </w:rPr>
        <w:t>三是</w:t>
      </w:r>
      <w:r>
        <w:rPr>
          <w:rFonts w:hint="eastAsia" w:ascii="仿宋_GB2312" w:hAnsi="仿宋_GB2312" w:eastAsia="仿宋_GB2312" w:cs="仿宋_GB2312"/>
          <w:bCs/>
          <w:sz w:val="32"/>
          <w:szCs w:val="32"/>
        </w:rPr>
        <w:t>深入推进软乡弱村集中整顿工作，按照州委组织部工作安排部署，围绕乡村两个“11条”突出问题，县乡村分层组建工作专班版和工作组，细化整顿方案措施，聚焦压紧压实责任、聚焦突出政治标准、聚焦维稳凝聚共识、聚焦班子队伍整顿，强化基层组织的组织力建设，夯实基层组织战斗堡垒，从而为扫黑除恶整治工作进一步夯实了基层组织保障。</w:t>
      </w:r>
    </w:p>
    <w:p>
      <w:pPr>
        <w:spacing w:line="560" w:lineRule="exact"/>
        <w:ind w:firstLine="643"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rPr>
        <w:t>（5）深入推进城市领域党建。</w:t>
      </w:r>
      <w:r>
        <w:rPr>
          <w:rFonts w:hint="eastAsia" w:ascii="仿宋_GB2312" w:hAnsi="仿宋_GB2312" w:eastAsia="仿宋_GB2312" w:cs="仿宋_GB2312"/>
          <w:bCs/>
          <w:sz w:val="32"/>
          <w:szCs w:val="32"/>
        </w:rPr>
        <w:t>一是持续深化牧区基层党建示范县创建成果运用，着力于建强基本队伍、规范基本制度、严格基本活动，不断增强城市领域党组织的政治、服务和发展功能。二是对城市领域党组织开展分类定级，确定1个后进社区党组织、8个后进机关党组织、1个后进医疗卫生行业党组织、1个后进国有企业党组织、1个后进非公企业党组织和1个后进中小学校党组织，制定整顿方案，落实工作举措，抓实整顿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bCs/>
          <w:sz w:val="32"/>
          <w:szCs w:val="32"/>
        </w:rPr>
        <w:t>印发《红原县机关党建“四分”工作机制实施方案》，按照“分片包联、分层明责、分类优化、分段考核”的原则，坚持把服务中心、建设队伍作为机关党建工作重心，不断增强机关党组织的政治功能、服务功能和发展功能。</w:t>
      </w:r>
      <w:r>
        <w:rPr>
          <w:rFonts w:hint="eastAsia" w:ascii="仿宋_GB2312" w:hAnsi="仿宋_GB2312" w:eastAsia="仿宋_GB2312" w:cs="仿宋_GB2312"/>
          <w:b/>
          <w:bCs/>
          <w:sz w:val="32"/>
          <w:szCs w:val="32"/>
        </w:rPr>
        <w:t>四是</w:t>
      </w:r>
      <w:r>
        <w:rPr>
          <w:rFonts w:hint="eastAsia" w:ascii="仿宋_GB2312" w:hAnsi="仿宋_GB2312" w:eastAsia="仿宋_GB2312" w:cs="仿宋_GB2312"/>
          <w:bCs/>
          <w:sz w:val="32"/>
          <w:szCs w:val="32"/>
        </w:rPr>
        <w:t>有序推进国有企业、中小学校重点工作，坚持将党建工作要求写入公司章程，落实党组织与企业领导层“双向进入、交叉任职”工作机制，建立健全了国有企业基础台账信息台账，持续推进国有企业党建37项重点任务。组织召开全县中小学校党建设工作推进会，严格落实党组织领导下的校长负责运行机制，规范校务会、校长办公会等制度。</w:t>
      </w:r>
    </w:p>
    <w:p>
      <w:pPr>
        <w:spacing w:line="560" w:lineRule="exact"/>
        <w:ind w:firstLine="642"/>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sz w:val="32"/>
          <w:szCs w:val="32"/>
        </w:rPr>
        <w:t>（6）强化党建促脱贫攻坚工作</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一是联系帮扶工作优质高效。</w:t>
      </w:r>
      <w:r>
        <w:rPr>
          <w:rFonts w:hint="eastAsia" w:ascii="仿宋_GB2312" w:hAnsi="仿宋_GB2312" w:eastAsia="仿宋_GB2312" w:cs="仿宋_GB2312"/>
          <w:kern w:val="0"/>
          <w:sz w:val="32"/>
          <w:szCs w:val="32"/>
        </w:rPr>
        <w:t>组建13支驻村工作队共41名干部，助力全县脱贫攻坚工作。省州已投入帮扶资金2780万元，走访慰问贫困群众3700余人次，全覆盖走访非贫困户</w:t>
      </w:r>
      <w:r>
        <w:rPr>
          <w:rFonts w:hint="eastAsia" w:ascii="仿宋_GB2312" w:hAnsi="仿宋_GB2312" w:eastAsia="仿宋_GB2312" w:cs="仿宋_GB2312"/>
          <w:sz w:val="32"/>
          <w:szCs w:val="32"/>
        </w:rPr>
        <w:t>4351户、非贫困户17656人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bCs/>
          <w:sz w:val="32"/>
          <w:szCs w:val="32"/>
        </w:rPr>
        <w:t>二是扶贫干部培训有的放矢。</w:t>
      </w:r>
      <w:r>
        <w:rPr>
          <w:rFonts w:hint="eastAsia" w:ascii="仿宋_GB2312" w:hAnsi="仿宋_GB2312" w:eastAsia="仿宋_GB2312" w:cs="仿宋_GB2312"/>
          <w:sz w:val="32"/>
          <w:szCs w:val="32"/>
        </w:rPr>
        <w:t>截止目前，已开办第一书记业务能力培训3期54人次，驻村工作队全覆盖培训1期41人，脱贫攻坚业务培训1期120余人，驻村干部能力素质提升培训班3期60人。</w:t>
      </w:r>
      <w:r>
        <w:rPr>
          <w:rFonts w:hint="eastAsia" w:ascii="仿宋_GB2312" w:hAnsi="仿宋_GB2312" w:eastAsia="仿宋_GB2312" w:cs="仿宋_GB2312"/>
          <w:b/>
          <w:bCs/>
          <w:kern w:val="2"/>
          <w:sz w:val="32"/>
          <w:szCs w:val="32"/>
        </w:rPr>
        <w:t>三是脱贫内生动力有效激发。</w:t>
      </w:r>
      <w:r>
        <w:rPr>
          <w:rFonts w:hint="eastAsia" w:ascii="仿宋_GB2312" w:hAnsi="仿宋_GB2312" w:eastAsia="仿宋_GB2312" w:cs="仿宋_GB2312"/>
          <w:sz w:val="32"/>
          <w:szCs w:val="32"/>
        </w:rPr>
        <w:t>截至目前，全县34所“农牧民夜校”已陆续开展各项培训490场次，专题宣讲150余场次，组织开展送学上门活动900余次，培训教育13000余人次，</w:t>
      </w:r>
      <w:r>
        <w:rPr>
          <w:rFonts w:hint="eastAsia" w:ascii="仿宋_GB2312" w:hAnsi="仿宋_GB2312" w:eastAsia="仿宋_GB2312" w:cs="仿宋_GB2312"/>
          <w:color w:val="000000"/>
          <w:sz w:val="32"/>
          <w:szCs w:val="32"/>
        </w:rPr>
        <w:t>进一步激发了</w:t>
      </w:r>
      <w:r>
        <w:rPr>
          <w:rFonts w:hint="eastAsia" w:ascii="仿宋_GB2312" w:hAnsi="仿宋_GB2312" w:eastAsia="仿宋_GB2312" w:cs="仿宋_GB2312"/>
          <w:sz w:val="32"/>
          <w:szCs w:val="32"/>
        </w:rPr>
        <w:t>脱贫攻坚内生活力。</w:t>
      </w:r>
      <w:r>
        <w:rPr>
          <w:rFonts w:hint="eastAsia" w:ascii="仿宋_GB2312" w:hAnsi="仿宋_GB2312" w:eastAsia="仿宋_GB2312" w:cs="仿宋_GB2312"/>
          <w:b/>
          <w:bCs/>
          <w:kern w:val="2"/>
          <w:sz w:val="32"/>
          <w:szCs w:val="32"/>
        </w:rPr>
        <w:t>四是关爱激励政策全面落地。</w:t>
      </w:r>
      <w:r>
        <w:rPr>
          <w:rFonts w:hint="eastAsia" w:ascii="仿宋_GB2312" w:hAnsi="仿宋_GB2312" w:eastAsia="仿宋_GB2312" w:cs="仿宋_GB2312"/>
          <w:kern w:val="2"/>
          <w:sz w:val="32"/>
          <w:szCs w:val="32"/>
        </w:rPr>
        <w:t>优先提拔重用实绩优秀的“第一书记”6名，</w:t>
      </w:r>
      <w:r>
        <w:rPr>
          <w:rFonts w:hint="eastAsia" w:ascii="仿宋_GB2312" w:hAnsi="仿宋_GB2312" w:eastAsia="仿宋_GB2312" w:cs="仿宋_GB2312"/>
          <w:color w:val="000000"/>
          <w:sz w:val="32"/>
          <w:szCs w:val="32"/>
        </w:rPr>
        <w:t>对我县长期战斗在脱贫攻坚一线病故的两名干部，按政策进行抚恤等。</w:t>
      </w:r>
      <w:r>
        <w:rPr>
          <w:rFonts w:hint="eastAsia" w:ascii="仿宋_GB2312" w:hAnsi="仿宋_GB2312" w:eastAsia="仿宋_GB2312" w:cs="仿宋_GB2312"/>
          <w:sz w:val="32"/>
          <w:szCs w:val="32"/>
        </w:rPr>
        <w:t>及时向县人民政府提出申请落实为13支驻村工作队每队落实了2万元工作经费</w:t>
      </w:r>
      <w:r>
        <w:rPr>
          <w:rFonts w:hint="eastAsia" w:ascii="仿宋_GB2312" w:hAnsi="仿宋_GB2312" w:eastAsia="仿宋_GB2312" w:cs="仿宋_GB2312"/>
          <w:kern w:val="2"/>
          <w:sz w:val="32"/>
          <w:szCs w:val="32"/>
        </w:rPr>
        <w:t>。</w:t>
      </w:r>
    </w:p>
    <w:p>
      <w:pPr>
        <w:spacing w:line="560" w:lineRule="exact"/>
        <w:ind w:firstLine="964" w:firstLineChars="3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3.抓实干部队伍建设</w:t>
      </w:r>
    </w:p>
    <w:p>
      <w:pPr>
        <w:spacing w:line="560" w:lineRule="exact"/>
        <w:ind w:firstLine="643"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color w:val="000000"/>
          <w:sz w:val="32"/>
          <w:szCs w:val="32"/>
        </w:rPr>
        <w:t>加强高素质专业化执政骨干队伍建设。一是突出政治标准加强领导班子建设。</w:t>
      </w:r>
      <w:r>
        <w:rPr>
          <w:rFonts w:hint="eastAsia" w:ascii="仿宋_GB2312" w:hAnsi="仿宋_GB2312" w:eastAsia="仿宋_GB2312" w:cs="仿宋_GB2312"/>
          <w:sz w:val="32"/>
          <w:szCs w:val="32"/>
        </w:rPr>
        <w:t>今年以来</w:t>
      </w:r>
      <w:r>
        <w:rPr>
          <w:rFonts w:hint="eastAsia" w:ascii="仿宋_GB2312" w:hAnsi="仿宋_GB2312" w:eastAsia="仿宋_GB2312" w:cs="仿宋_GB2312"/>
          <w:color w:val="000000"/>
          <w:sz w:val="32"/>
          <w:szCs w:val="32"/>
        </w:rPr>
        <w:t>共开展干部人事调整3次，涉及61人次（其中，提拔19名（含16名援藏挂职干部），交流2名，调任1名，提前退休1名，调出免职3名，问责免职1名，挂职交流34名）。</w:t>
      </w:r>
      <w:r>
        <w:rPr>
          <w:rFonts w:hint="eastAsia" w:ascii="仿宋_GB2312" w:hAnsi="仿宋_GB2312" w:eastAsia="仿宋_GB2312" w:cs="仿宋_GB2312"/>
          <w:b/>
          <w:bCs/>
          <w:color w:val="000000"/>
          <w:sz w:val="32"/>
          <w:szCs w:val="32"/>
        </w:rPr>
        <w:t>二是加强各级领导班子思想政治建设。</w:t>
      </w:r>
      <w:r>
        <w:rPr>
          <w:rFonts w:hint="eastAsia" w:ascii="仿宋_GB2312" w:hAnsi="仿宋_GB2312" w:eastAsia="仿宋_GB2312" w:cs="仿宋_GB2312"/>
          <w:sz w:val="32"/>
          <w:szCs w:val="32"/>
        </w:rPr>
        <w:t>已举办第一期干部读书班，邀请县委县政府主要领导和绵阳市第三医院的专家专题讲座，全县296名干部参训，持续为干部进行思想补钙，教育引导大家紧扣全县重点工作不忘初心、牢记使命、锐意进取，拟于近期举办第二期干部读书班。</w:t>
      </w:r>
      <w:r>
        <w:rPr>
          <w:rFonts w:hint="eastAsia" w:ascii="仿宋_GB2312" w:hAnsi="仿宋_GB2312" w:eastAsia="仿宋_GB2312" w:cs="仿宋_GB2312"/>
          <w:b/>
          <w:bCs/>
          <w:color w:val="000000"/>
          <w:sz w:val="32"/>
          <w:szCs w:val="32"/>
        </w:rPr>
        <w:t>三是加强干部人才队伍专业化建设。</w:t>
      </w:r>
      <w:r>
        <w:rPr>
          <w:rFonts w:hint="eastAsia" w:ascii="仿宋_GB2312" w:hAnsi="仿宋_GB2312" w:eastAsia="仿宋_GB2312" w:cs="仿宋_GB2312"/>
          <w:sz w:val="32"/>
          <w:szCs w:val="32"/>
        </w:rPr>
        <w:t>通过对县级各部门的全覆盖调研，纳入群众类专业干部人选18名，经济类专业干部人选25名，规划类专业干部人选6名，旅游类专业干部人选12名，项目类专业干部人选17名，维稳类专业干部人选12名。</w:t>
      </w:r>
    </w:p>
    <w:p>
      <w:pPr>
        <w:spacing w:line="560" w:lineRule="exact"/>
        <w:ind w:firstLine="643" w:firstLineChars="200"/>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全面加强干部经常性管理和监督。一是全覆盖开展乡镇领导班子运行分析研判。</w:t>
      </w:r>
      <w:r>
        <w:rPr>
          <w:rFonts w:hint="eastAsia" w:ascii="仿宋_GB2312" w:hAnsi="仿宋_GB2312" w:eastAsia="仿宋_GB2312" w:cs="仿宋_GB2312"/>
          <w:sz w:val="32"/>
          <w:szCs w:val="32"/>
        </w:rPr>
        <w:t>个别访谈318人，发放调查问卷364份，收集问题120个，意见建议542条。</w:t>
      </w:r>
      <w:r>
        <w:rPr>
          <w:rFonts w:hint="eastAsia" w:ascii="仿宋_GB2312" w:hAnsi="仿宋_GB2312" w:eastAsia="仿宋_GB2312" w:cs="仿宋_GB2312"/>
          <w:bCs/>
          <w:sz w:val="32"/>
          <w:szCs w:val="32"/>
        </w:rPr>
        <w:t>加强</w:t>
      </w:r>
      <w:r>
        <w:rPr>
          <w:rFonts w:hint="eastAsia" w:ascii="仿宋_GB2312" w:hAnsi="仿宋_GB2312" w:eastAsia="仿宋_GB2312" w:cs="仿宋_GB2312"/>
          <w:sz w:val="32"/>
          <w:szCs w:val="32"/>
        </w:rPr>
        <w:t>信访举报、巡察、日常考核等关于科级领导干部政治思想、履行职责、工作作风、道德品质、廉政勤政、组织纪律等方面问题反映的成果转化，分季度进行提醒、函询和诫勉</w:t>
      </w:r>
      <w:r>
        <w:rPr>
          <w:rFonts w:hint="eastAsia" w:ascii="仿宋_GB2312" w:hAnsi="仿宋_GB2312" w:eastAsia="仿宋_GB2312" w:cs="仿宋_GB2312"/>
          <w:bCs/>
          <w:sz w:val="32"/>
          <w:szCs w:val="32"/>
        </w:rPr>
        <w:t>。</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b/>
          <w:bCs/>
          <w:sz w:val="32"/>
          <w:szCs w:val="32"/>
        </w:rPr>
        <w:t>全方位加强干部严管厚爱。</w:t>
      </w:r>
      <w:r>
        <w:rPr>
          <w:rFonts w:hint="eastAsia" w:ascii="仿宋_GB2312" w:hAnsi="仿宋_GB2312" w:eastAsia="仿宋_GB2312" w:cs="仿宋_GB2312"/>
          <w:bCs/>
          <w:sz w:val="32"/>
          <w:szCs w:val="32"/>
        </w:rPr>
        <w:t>清理591人持有护照580本护照，261本往来港澳通行证，168本往来台湾通行证，实现集中保管；</w:t>
      </w:r>
      <w:r>
        <w:rPr>
          <w:rFonts w:hint="eastAsia" w:ascii="仿宋_GB2312" w:hAnsi="仿宋_GB2312" w:eastAsia="仿宋_GB2312" w:cs="仿宋_GB2312"/>
          <w:spacing w:val="4"/>
          <w:sz w:val="32"/>
          <w:szCs w:val="32"/>
        </w:rPr>
        <w:t>印发《红原县关爱激励脱贫攻坚一线干部的十五条办法》，</w:t>
      </w:r>
      <w:r>
        <w:rPr>
          <w:rFonts w:hint="eastAsia" w:ascii="仿宋_GB2312" w:hAnsi="仿宋_GB2312" w:eastAsia="仿宋_GB2312" w:cs="仿宋_GB2312"/>
          <w:sz w:val="32"/>
          <w:szCs w:val="32"/>
          <w:shd w:val="clear" w:color="auto" w:fill="FFFFFF"/>
        </w:rPr>
        <w:t>前后三次开展对</w:t>
      </w:r>
      <w:r>
        <w:rPr>
          <w:rFonts w:hint="eastAsia" w:ascii="仿宋_GB2312" w:hAnsi="仿宋_GB2312" w:eastAsia="仿宋_GB2312" w:cs="仿宋_GB2312"/>
          <w:spacing w:val="4"/>
          <w:sz w:val="32"/>
          <w:szCs w:val="32"/>
        </w:rPr>
        <w:t>53名</w:t>
      </w:r>
      <w:r>
        <w:rPr>
          <w:rFonts w:hint="eastAsia" w:ascii="仿宋_GB2312" w:hAnsi="仿宋_GB2312" w:eastAsia="仿宋_GB2312" w:cs="仿宋_GB2312"/>
          <w:sz w:val="32"/>
          <w:szCs w:val="32"/>
          <w:shd w:val="clear" w:color="auto" w:fill="FFFFFF"/>
        </w:rPr>
        <w:t>“领导干部</w:t>
      </w:r>
      <w:r>
        <w:rPr>
          <w:rFonts w:hint="eastAsia" w:ascii="仿宋_GB2312" w:hAnsi="仿宋_GB2312" w:eastAsia="仿宋_GB2312" w:cs="仿宋_GB2312"/>
          <w:spacing w:val="4"/>
          <w:sz w:val="32"/>
          <w:szCs w:val="32"/>
        </w:rPr>
        <w:t>违规在社会团体兼职清理整改，对1名符合兼职规定的备案，对46名需报上级审批的进行报审，对6名超龄、超职数、超届数兼职的进行免职，对5名在企业兼职的采取适当方式进行整改。</w:t>
      </w:r>
      <w:r>
        <w:rPr>
          <w:rFonts w:hint="eastAsia" w:ascii="仿宋_GB2312" w:hAnsi="仿宋_GB2312" w:eastAsia="仿宋_GB2312" w:cs="仿宋_GB2312"/>
          <w:b/>
          <w:bCs/>
          <w:sz w:val="32"/>
          <w:szCs w:val="32"/>
        </w:rPr>
        <w:t>三是全过程强化转非干部管理。</w:t>
      </w:r>
      <w:r>
        <w:rPr>
          <w:rFonts w:hint="eastAsia" w:ascii="仿宋_GB2312" w:hAnsi="仿宋_GB2312" w:eastAsia="仿宋_GB2312" w:cs="仿宋_GB2312"/>
          <w:sz w:val="32"/>
          <w:szCs w:val="32"/>
          <w:shd w:val="clear" w:color="auto" w:fill="FFFFFF"/>
        </w:rPr>
        <w:t>对全县118名转非干部全覆盖征求意见，归纳汇总存在的问题，形成《红原县关于县级转非干部处理意见的报告》《红原县关于进一步加强科级转非干部管理的报告》《红原县关于进一步加强科级转非干部管理意见》等报告，将5名转非县级干部纳入老干部工作组进行管理，通知101名科级转非干部返岗上班，对3名县级转非干部、11名科级转非干部实行病休。</w:t>
      </w:r>
    </w:p>
    <w:p>
      <w:pPr>
        <w:spacing w:line="560" w:lineRule="exact"/>
        <w:ind w:firstLine="643"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color w:val="000000"/>
          <w:sz w:val="32"/>
          <w:szCs w:val="32"/>
        </w:rPr>
        <w:t>全面做好十八大以来选人用人工作回头看。</w:t>
      </w:r>
      <w:r>
        <w:rPr>
          <w:rFonts w:hint="eastAsia" w:ascii="仿宋_GB2312" w:hAnsi="仿宋_GB2312" w:eastAsia="仿宋_GB2312" w:cs="仿宋_GB2312"/>
          <w:kern w:val="0"/>
          <w:sz w:val="32"/>
          <w:szCs w:val="32"/>
          <w:lang w:val="zh-CN"/>
        </w:rPr>
        <w:t>通过对十八大以来至今历次县委常委会干部人事专卷和考绩档案全覆盖清理自查，自查人数231人，查阅考绩档案资料231份，人事专卷15份，发现干部考察全程纪实表填写不规范等问题共63个，制定整改措施4条，截止目前已对问题进行全面整改，制定《红原县干部选拔任用事前征求意见工作制度》《红原县干部考察工作制度》《红原县党委（党组）议事决策试行办法》等4个工作制度。</w:t>
      </w:r>
    </w:p>
    <w:p>
      <w:pPr>
        <w:spacing w:line="56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sz w:val="32"/>
          <w:szCs w:val="32"/>
        </w:rPr>
        <w:t>4.抓实人才强县工作。</w:t>
      </w:r>
      <w:r>
        <w:rPr>
          <w:rFonts w:hint="eastAsia" w:ascii="仿宋_GB2312" w:hAnsi="仿宋_GB2312" w:eastAsia="仿宋_GB2312" w:cs="仿宋_GB2312"/>
          <w:kern w:val="0"/>
          <w:sz w:val="32"/>
          <w:szCs w:val="32"/>
        </w:rPr>
        <w:t xml:space="preserve">    </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（1）一是破解“引不进”难题。</w:t>
      </w:r>
      <w:r>
        <w:rPr>
          <w:rFonts w:hint="eastAsia" w:ascii="仿宋_GB2312" w:hAnsi="仿宋_GB2312" w:eastAsia="仿宋_GB2312" w:cs="仿宋_GB2312"/>
          <w:sz w:val="32"/>
          <w:szCs w:val="32"/>
        </w:rPr>
        <w:t>今年共招聘公务员18名，选调生15名。事业人员51人，其中考试招聘41人，“川渝高校行”人才招聘活动招聘急需紧缺专业技术人才10人；教育、卫生人才21人。大力运用好对口帮扶引智工作，选派我县专业技术骨干人才赴西南民族大学、绵阳市、省食药监局等地挂职，建立援藏干部“一带一建帮扶制度，并抓好落实。</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破解“育不好”难题。一是</w:t>
      </w:r>
      <w:r>
        <w:rPr>
          <w:rFonts w:hint="eastAsia" w:ascii="仿宋_GB2312" w:hAnsi="仿宋_GB2312" w:eastAsia="仿宋_GB2312" w:cs="仿宋_GB2312"/>
          <w:sz w:val="32"/>
          <w:szCs w:val="32"/>
        </w:rPr>
        <w:t>选择了14位政治素质好、有发展潜力和培养前途的年轻干部到绵阳、省食药监局、西南民族大学进行顶岗挂职锻炼，</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选派我县教育、卫生、环林、畜牧4名专业技术人才，赴绵阳挂职锻炼。</w:t>
      </w:r>
      <w:r>
        <w:rPr>
          <w:rFonts w:hint="eastAsia" w:ascii="仿宋_GB2312" w:hAnsi="仿宋_GB2312" w:eastAsia="仿宋_GB2312" w:cs="仿宋_GB2312"/>
          <w:b/>
          <w:bCs/>
          <w:sz w:val="32"/>
          <w:szCs w:val="32"/>
        </w:rPr>
        <w:t>三是做好东西扶贫协作干部交流工作。</w:t>
      </w:r>
      <w:r>
        <w:rPr>
          <w:rFonts w:hint="eastAsia" w:ascii="仿宋_GB2312" w:hAnsi="仿宋_GB2312" w:eastAsia="仿宋_GB2312" w:cs="仿宋_GB2312"/>
          <w:sz w:val="32"/>
          <w:szCs w:val="32"/>
        </w:rPr>
        <w:t>选派我县优秀党政领导干部2名和专业技术人才4名赴浙江温州市挂职锻炼；</w:t>
      </w:r>
      <w:r>
        <w:rPr>
          <w:rFonts w:hint="eastAsia" w:ascii="仿宋_GB2312" w:hAnsi="仿宋_GB2312" w:eastAsia="仿宋_GB2312" w:cs="仿宋_GB2312"/>
          <w:b/>
          <w:bCs/>
          <w:sz w:val="32"/>
          <w:szCs w:val="32"/>
        </w:rPr>
        <w:t>四是精心选派人员参加省州组织的培训。</w:t>
      </w:r>
      <w:r>
        <w:rPr>
          <w:rFonts w:hint="eastAsia" w:ascii="仿宋_GB2312" w:hAnsi="仿宋_GB2312" w:eastAsia="仿宋_GB2312" w:cs="仿宋_GB2312"/>
          <w:sz w:val="32"/>
          <w:szCs w:val="32"/>
        </w:rPr>
        <w:t>县级领导参训19人次，科级领导及一般干部参训120人次。</w:t>
      </w:r>
      <w:r>
        <w:rPr>
          <w:rFonts w:hint="eastAsia" w:ascii="仿宋_GB2312" w:hAnsi="仿宋_GB2312" w:eastAsia="仿宋_GB2312" w:cs="仿宋_GB2312"/>
          <w:b/>
          <w:bCs/>
          <w:sz w:val="32"/>
          <w:szCs w:val="32"/>
        </w:rPr>
        <w:t>五是精心组织培训。</w:t>
      </w:r>
      <w:r>
        <w:rPr>
          <w:rFonts w:hint="eastAsia" w:ascii="仿宋_GB2312" w:hAnsi="仿宋_GB2312" w:eastAsia="仿宋_GB2312" w:cs="仿宋_GB2312"/>
          <w:sz w:val="32"/>
          <w:szCs w:val="32"/>
        </w:rPr>
        <w:t>按照年初制发《中共红原县委组织部关于做好2018年绵阳市对口援助红原县干部人才培训工作的通知》，目前已举办培训班23期，培训各类人才1650余人。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color w:val="000000"/>
          <w:sz w:val="32"/>
          <w:szCs w:val="32"/>
        </w:rPr>
        <w:t>破解“留不住”难题。</w:t>
      </w:r>
      <w:r>
        <w:rPr>
          <w:rFonts w:hint="eastAsia" w:ascii="仿宋_GB2312" w:hAnsi="仿宋_GB2312" w:eastAsia="仿宋_GB2312" w:cs="仿宋_GB2312"/>
          <w:b/>
          <w:bCs/>
          <w:sz w:val="32"/>
          <w:szCs w:val="32"/>
        </w:rPr>
        <w:t>一是加强援藏干部人才服务管理工作。</w:t>
      </w:r>
      <w:r>
        <w:rPr>
          <w:rFonts w:hint="eastAsia" w:ascii="仿宋_GB2312" w:hAnsi="仿宋_GB2312" w:eastAsia="仿宋_GB2312" w:cs="仿宋_GB2312"/>
          <w:sz w:val="32"/>
          <w:szCs w:val="32"/>
        </w:rPr>
        <w:t>完善了27名援藏干部人才的实绩档案，全面总结2018年援藏工作，研究部署2019年援藏工作；</w:t>
      </w:r>
      <w:r>
        <w:rPr>
          <w:rFonts w:hint="eastAsia" w:ascii="仿宋_GB2312" w:hAnsi="仿宋_GB2312" w:eastAsia="仿宋_GB2312" w:cs="仿宋_GB2312"/>
          <w:b/>
          <w:bCs/>
          <w:sz w:val="32"/>
          <w:szCs w:val="32"/>
        </w:rPr>
        <w:t>二是做好东西扶贫协作挂职干部工作。</w:t>
      </w:r>
      <w:r>
        <w:rPr>
          <w:rFonts w:hint="eastAsia" w:ascii="仿宋_GB2312" w:hAnsi="仿宋_GB2312" w:eastAsia="仿宋_GB2312" w:cs="仿宋_GB2312"/>
          <w:sz w:val="32"/>
          <w:szCs w:val="32"/>
        </w:rPr>
        <w:t>为浙江省选派的15名挂职干部提供住房保障，在生活上给于关心，在工作上严格要求；</w:t>
      </w:r>
      <w:r>
        <w:rPr>
          <w:rFonts w:hint="eastAsia" w:ascii="仿宋_GB2312" w:hAnsi="仿宋_GB2312" w:eastAsia="仿宋_GB2312" w:cs="仿宋_GB2312"/>
          <w:b/>
          <w:bCs/>
          <w:sz w:val="32"/>
          <w:szCs w:val="32"/>
        </w:rPr>
        <w:t>三是强化人才工作经费保障。</w:t>
      </w:r>
      <w:r>
        <w:rPr>
          <w:rFonts w:hint="eastAsia" w:ascii="仿宋_GB2312" w:hAnsi="仿宋_GB2312" w:eastAsia="仿宋_GB2312" w:cs="仿宋_GB2312"/>
          <w:sz w:val="32"/>
          <w:szCs w:val="32"/>
        </w:rPr>
        <w:t>及时落实56万元人才发展专项资金；</w:t>
      </w:r>
      <w:r>
        <w:rPr>
          <w:rFonts w:hint="eastAsia" w:ascii="仿宋_GB2312" w:hAnsi="仿宋_GB2312" w:eastAsia="仿宋_GB2312" w:cs="仿宋_GB2312"/>
          <w:b/>
          <w:bCs/>
          <w:sz w:val="32"/>
          <w:szCs w:val="32"/>
        </w:rPr>
        <w:t>四是认真落实激励政策。</w:t>
      </w:r>
      <w:r>
        <w:rPr>
          <w:rFonts w:hint="eastAsia" w:ascii="仿宋_GB2312" w:hAnsi="仿宋_GB2312" w:eastAsia="仿宋_GB2312" w:cs="仿宋_GB2312"/>
          <w:sz w:val="32"/>
          <w:szCs w:val="32"/>
        </w:rPr>
        <w:t>落实好《红原县加强人才队伍建设实施办法（试行）》等相关政策，及时兑现奖励。</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抓好红原县2018年拟任科级领导职务政治理论水平任职资格考试工作，鼓励126名干部积极参加考试。</w:t>
      </w:r>
    </w:p>
    <w:p>
      <w:pPr>
        <w:spacing w:line="560" w:lineRule="exact"/>
        <w:ind w:firstLine="643" w:firstLineChars="200"/>
        <w:rPr>
          <w:rFonts w:hint="eastAsia" w:ascii="仿宋_GB2312" w:hAnsi="仿宋_GB2312" w:eastAsia="仿宋_GB2312" w:cs="仿宋_GB2312"/>
          <w:b/>
          <w:kern w:val="24"/>
          <w:sz w:val="32"/>
          <w:szCs w:val="32"/>
        </w:rPr>
      </w:pPr>
      <w:r>
        <w:rPr>
          <w:rFonts w:hint="eastAsia" w:ascii="仿宋_GB2312" w:hAnsi="仿宋_GB2312" w:eastAsia="仿宋_GB2312" w:cs="仿宋_GB2312"/>
          <w:b/>
          <w:bCs/>
          <w:sz w:val="32"/>
          <w:szCs w:val="32"/>
        </w:rPr>
        <w:t>（4）做好2018年干部藏汉”双语差异化培训工作。</w:t>
      </w:r>
      <w:r>
        <w:rPr>
          <w:rFonts w:hint="eastAsia" w:ascii="仿宋_GB2312" w:hAnsi="仿宋_GB2312" w:eastAsia="仿宋_GB2312" w:cs="仿宋_GB2312"/>
          <w:sz w:val="32"/>
          <w:szCs w:val="32"/>
        </w:rPr>
        <w:t>印发2018年红原县藏汉“双语”计划，分别举办藏、汉语师资骨干培训班，培训师资72人次；6月举办1期“丙”等级示范培训班，培训52人次；7月举办1期“乙”等级示范培训班，培训50人次。10月组织开展2018年全县藏汉“双语”差异化培训测试工作，共计350名干部参加藏语测试，243名村干部参加了汉语测试，合格率分别为93.14%和98.35%。</w:t>
      </w:r>
    </w:p>
    <w:p>
      <w:pPr>
        <w:spacing w:line="560" w:lineRule="exact"/>
        <w:ind w:right="60"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b/>
          <w:kern w:val="24"/>
          <w:sz w:val="32"/>
          <w:szCs w:val="32"/>
        </w:rPr>
        <w:t>实施“深度贫困县人才振兴工程”。</w:t>
      </w:r>
      <w:r>
        <w:rPr>
          <w:rFonts w:hint="eastAsia" w:ascii="仿宋_GB2312" w:hAnsi="仿宋_GB2312" w:eastAsia="仿宋_GB2312" w:cs="仿宋_GB2312"/>
          <w:sz w:val="32"/>
          <w:szCs w:val="32"/>
        </w:rPr>
        <w:t>召集县人社局、县委编办、县教育局等18个部门召开两次座谈会，审议《红原县推进“深度贫困县人才振兴工程”2018 年实施方案》，并报县委领导审签后印发全县。</w:t>
      </w:r>
    </w:p>
    <w:p>
      <w:pPr>
        <w:spacing w:line="560" w:lineRule="exact"/>
        <w:ind w:right="160"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（6）新时代治蜀兴川执政骨干递进培养工作。</w:t>
      </w:r>
      <w:r>
        <w:rPr>
          <w:rFonts w:hint="eastAsia" w:ascii="仿宋_GB2312" w:hAnsi="仿宋_GB2312" w:eastAsia="仿宋_GB2312" w:cs="仿宋_GB2312"/>
          <w:sz w:val="32"/>
          <w:szCs w:val="32"/>
        </w:rPr>
        <w:t>制定《2018年“新时代治蜀兴川执政骨干递进培养红原县计划”工作方案》和《红原县“新时代治蜀兴川执政骨干递进培养计划”实施方案》，草拟《红原县2018年新时代治蜀兴川干部培训实施方案》、《关于赴温州市开展培训工作的建议方案》，定于11月上中旬分别举办3期培训班：“一把手”提能、年轻干部铸魂、生态环保专业培训班，计划培训干部77人。</w:t>
      </w:r>
    </w:p>
    <w:p>
      <w:pPr>
        <w:spacing w:line="560" w:lineRule="exact"/>
        <w:ind w:firstLine="643"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sz w:val="32"/>
          <w:szCs w:val="32"/>
        </w:rPr>
        <w:t>5.抓实老干部工作。</w:t>
      </w:r>
      <w:r>
        <w:rPr>
          <w:rFonts w:hint="eastAsia" w:ascii="仿宋_GB2312" w:hAnsi="仿宋_GB2312" w:eastAsia="仿宋_GB2312" w:cs="仿宋_GB2312"/>
          <w:bCs/>
          <w:sz w:val="32"/>
          <w:szCs w:val="32"/>
        </w:rPr>
        <w:t>巩固离休干部“三个机制”、保障“两费”，完善老干部就近就地参加学习活动、医药费及时报销机制等，元旦、春节期间</w:t>
      </w:r>
      <w:r>
        <w:rPr>
          <w:rFonts w:hint="eastAsia" w:ascii="仿宋_GB2312" w:hAnsi="仿宋_GB2312" w:eastAsia="仿宋_GB2312" w:cs="仿宋_GB2312"/>
          <w:snapToGrid w:val="0"/>
          <w:kern w:val="0"/>
          <w:sz w:val="32"/>
          <w:szCs w:val="32"/>
        </w:rPr>
        <w:t>发放慰问金33.8万元。</w:t>
      </w:r>
      <w:r>
        <w:rPr>
          <w:rFonts w:hint="eastAsia" w:ascii="仿宋_GB2312" w:hAnsi="仿宋_GB2312" w:eastAsia="仿宋_GB2312" w:cs="仿宋_GB2312"/>
          <w:bCs/>
          <w:color w:val="000000"/>
          <w:sz w:val="32"/>
          <w:szCs w:val="32"/>
        </w:rPr>
        <w:t>常态组织红原、成都等4地离退休支部常态“两学一做”学习教育，向其通报经济社会发展情况2次，引导老干部聚牢思想之魂，奉献晚霞余热。</w:t>
      </w:r>
    </w:p>
    <w:p>
      <w:pPr>
        <w:spacing w:line="56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6.抓牢抓实自身建设。</w:t>
      </w:r>
      <w:r>
        <w:rPr>
          <w:rFonts w:hint="eastAsia" w:ascii="仿宋_GB2312" w:hAnsi="仿宋_GB2312" w:eastAsia="仿宋_GB2312" w:cs="仿宋_GB2312"/>
          <w:bCs/>
          <w:sz w:val="32"/>
          <w:szCs w:val="32"/>
        </w:rPr>
        <w:t>开展“重温入党誓词、重走长征路”活动，制定公文运转管理办法和公车使用管理办法，</w:t>
      </w:r>
      <w:r>
        <w:rPr>
          <w:rFonts w:hint="eastAsia" w:ascii="仿宋_GB2312" w:hAnsi="仿宋_GB2312" w:eastAsia="仿宋_GB2312" w:cs="仿宋_GB2312"/>
          <w:sz w:val="32"/>
          <w:szCs w:val="32"/>
        </w:rPr>
        <w:t>在各报刊、内刊、杂志、网站等各宣传渠道刊登文章300余篇，在18家重点网站刊登发表网评文章80余篇，更新刊发《红原组工》30期。</w:t>
      </w:r>
      <w:bookmarkStart w:id="22" w:name="_Toc15377200"/>
      <w:bookmarkStart w:id="23" w:name="_Toc15396601"/>
    </w:p>
    <w:p>
      <w:pPr>
        <w:spacing w:line="560" w:lineRule="exact"/>
        <w:ind w:firstLine="643" w:firstLineChars="200"/>
        <w:jc w:val="left"/>
        <w:rPr>
          <w:rStyle w:val="18"/>
          <w:rFonts w:hint="eastAsia" w:ascii="仿宋_GB2312" w:hAnsi="仿宋_GB2312" w:eastAsia="仿宋_GB2312" w:cs="仿宋_GB2312"/>
          <w:b/>
          <w:bCs w:val="0"/>
          <w:sz w:val="32"/>
          <w:szCs w:val="32"/>
        </w:rPr>
      </w:pPr>
      <w:r>
        <w:rPr>
          <w:rFonts w:hint="eastAsia" w:ascii="仿宋_GB2312" w:hAnsi="仿宋_GB2312" w:eastAsia="仿宋_GB2312" w:cs="仿宋_GB2312"/>
          <w:b/>
          <w:bCs w:val="0"/>
          <w:color w:val="000000"/>
          <w:sz w:val="32"/>
          <w:szCs w:val="32"/>
        </w:rPr>
        <w:t>二、机</w:t>
      </w:r>
      <w:r>
        <w:rPr>
          <w:rStyle w:val="18"/>
          <w:rFonts w:hint="eastAsia" w:ascii="仿宋_GB2312" w:hAnsi="仿宋_GB2312" w:eastAsia="仿宋_GB2312" w:cs="仿宋_GB2312"/>
          <w:b/>
          <w:bCs w:val="0"/>
          <w:sz w:val="32"/>
          <w:szCs w:val="32"/>
        </w:rPr>
        <w:t>构设置</w:t>
      </w:r>
      <w:bookmarkEnd w:id="22"/>
      <w:bookmarkEnd w:id="23"/>
    </w:p>
    <w:p>
      <w:pPr>
        <w:ind w:firstLine="800" w:firstLineChars="250"/>
        <w:rPr>
          <w:rFonts w:ascii="仿宋" w:hAnsi="仿宋" w:eastAsia="仿宋"/>
          <w:sz w:val="32"/>
          <w:szCs w:val="32"/>
        </w:rPr>
      </w:pPr>
      <w:r>
        <w:rPr>
          <w:rFonts w:hint="eastAsia" w:ascii="仿宋_GB2312" w:hAnsi="仿宋_GB2312" w:eastAsia="仿宋_GB2312" w:cs="仿宋_GB2312"/>
          <w:bCs/>
          <w:sz w:val="32"/>
          <w:szCs w:val="32"/>
        </w:rPr>
        <w:t>我单位为独立核算全额拨款</w:t>
      </w:r>
      <w:r>
        <w:rPr>
          <w:rFonts w:hint="eastAsia" w:ascii="仿宋_GB2312" w:hAnsi="Calibri" w:eastAsia="仿宋_GB2312"/>
          <w:sz w:val="30"/>
          <w:szCs w:val="30"/>
        </w:rPr>
        <w:t>行政单位1个</w:t>
      </w:r>
      <w:r>
        <w:rPr>
          <w:rFonts w:hint="eastAsia" w:ascii="仿宋_GB2312" w:hAnsi="仿宋_GB2312" w:eastAsia="仿宋_GB2312" w:cs="仿宋_GB2312"/>
          <w:sz w:val="32"/>
          <w:szCs w:val="32"/>
        </w:rPr>
        <w:t>，</w:t>
      </w:r>
      <w:r>
        <w:rPr>
          <w:rFonts w:hint="eastAsia" w:ascii="仿宋" w:hAnsi="仿宋" w:eastAsia="仿宋"/>
          <w:sz w:val="32"/>
          <w:szCs w:val="32"/>
        </w:rPr>
        <w:t>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widowControl/>
        <w:spacing w:line="560" w:lineRule="exact"/>
        <w:jc w:val="left"/>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2"/>
        <w:rPr>
          <w:rFonts w:ascii="仿宋" w:hAnsi="仿宋" w:eastAsia="仿宋"/>
          <w:color w:val="000000"/>
          <w:kern w:val="0"/>
          <w:sz w:val="32"/>
          <w:szCs w:val="32"/>
        </w:rPr>
      </w:pPr>
    </w:p>
    <w:p>
      <w:pPr>
        <w:pStyle w:val="3"/>
        <w:spacing w:line="560" w:lineRule="exact"/>
        <w:ind w:right="440"/>
        <w:jc w:val="right"/>
        <w:rPr>
          <w:rStyle w:val="17"/>
          <w:rFonts w:ascii="黑体" w:hAnsi="黑体" w:eastAsia="黑体"/>
          <w:b w:val="0"/>
          <w:bCs w:val="0"/>
        </w:rPr>
      </w:pPr>
      <w:bookmarkStart w:id="24" w:name="_Toc15396602"/>
      <w:bookmarkStart w:id="25" w:name="_Toc15377204"/>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2018</w:t>
      </w:r>
      <w:r>
        <w:rPr>
          <w:rStyle w:val="17"/>
          <w:rFonts w:hint="eastAsia" w:ascii="黑体" w:hAnsi="黑体" w:eastAsia="黑体"/>
          <w:b w:val="0"/>
          <w:bCs w:val="0"/>
        </w:rPr>
        <w:t>年度部门决算情况说明</w:t>
      </w:r>
      <w:bookmarkEnd w:id="24"/>
      <w:bookmarkEnd w:id="25"/>
    </w:p>
    <w:p>
      <w:pPr>
        <w:spacing w:line="560" w:lineRule="exact"/>
      </w:pPr>
    </w:p>
    <w:p>
      <w:pPr>
        <w:pStyle w:val="28"/>
        <w:numPr>
          <w:ilvl w:val="0"/>
          <w:numId w:val="1"/>
        </w:numPr>
        <w:spacing w:line="560" w:lineRule="exact"/>
        <w:ind w:firstLineChars="0"/>
        <w:outlineLvl w:val="1"/>
        <w:rPr>
          <w:rStyle w:val="18"/>
          <w:rFonts w:ascii="黑体" w:hAnsi="黑体" w:eastAsia="黑体"/>
          <w:b w:val="0"/>
        </w:rPr>
      </w:pPr>
      <w:bookmarkStart w:id="26" w:name="_Toc15396603"/>
      <w:bookmarkStart w:id="27" w:name="_Toc15377205"/>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6"/>
      <w:bookmarkEnd w:id="27"/>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959.95</w:t>
      </w:r>
      <w:r>
        <w:rPr>
          <w:rFonts w:hint="eastAsia" w:ascii="仿宋" w:hAnsi="仿宋" w:eastAsia="仿宋"/>
          <w:color w:val="000000"/>
          <w:sz w:val="32"/>
          <w:szCs w:val="32"/>
        </w:rPr>
        <w:t>万元，其中：财政拨款收入</w:t>
      </w:r>
      <w:r>
        <w:rPr>
          <w:rFonts w:ascii="仿宋" w:hAnsi="仿宋" w:eastAsia="仿宋"/>
          <w:color w:val="000000"/>
          <w:sz w:val="32"/>
          <w:szCs w:val="32"/>
        </w:rPr>
        <w:t>959.9</w:t>
      </w:r>
      <w:r>
        <w:rPr>
          <w:rFonts w:hint="eastAsia" w:ascii="仿宋" w:hAnsi="仿宋" w:eastAsia="仿宋"/>
          <w:color w:val="000000"/>
          <w:sz w:val="32"/>
          <w:szCs w:val="32"/>
        </w:rPr>
        <w:t>万元，占</w:t>
      </w:r>
      <w:r>
        <w:rPr>
          <w:rFonts w:ascii="仿宋" w:hAnsi="仿宋" w:eastAsia="仿宋"/>
          <w:color w:val="000000"/>
          <w:sz w:val="32"/>
          <w:szCs w:val="32"/>
        </w:rPr>
        <w:t>99.99%</w:t>
      </w:r>
      <w:r>
        <w:rPr>
          <w:rFonts w:hint="eastAsia" w:ascii="仿宋" w:hAnsi="仿宋" w:eastAsia="仿宋"/>
          <w:color w:val="000000"/>
          <w:sz w:val="32"/>
          <w:szCs w:val="32"/>
        </w:rPr>
        <w:t>；其他收入</w:t>
      </w:r>
      <w:r>
        <w:rPr>
          <w:rFonts w:ascii="仿宋" w:hAnsi="仿宋" w:eastAsia="仿宋"/>
          <w:color w:val="000000"/>
          <w:sz w:val="32"/>
          <w:szCs w:val="32"/>
        </w:rPr>
        <w:t>0.05</w:t>
      </w:r>
      <w:r>
        <w:rPr>
          <w:rFonts w:hint="eastAsia" w:ascii="仿宋" w:hAnsi="仿宋" w:eastAsia="仿宋"/>
          <w:color w:val="000000"/>
          <w:sz w:val="32"/>
          <w:szCs w:val="32"/>
        </w:rPr>
        <w:t>万元，占</w:t>
      </w:r>
      <w:r>
        <w:rPr>
          <w:rFonts w:ascii="仿宋" w:hAnsi="仿宋" w:eastAsia="仿宋"/>
          <w:color w:val="000000"/>
          <w:sz w:val="32"/>
          <w:szCs w:val="32"/>
        </w:rPr>
        <w:t>0.01%</w:t>
      </w:r>
      <w:r>
        <w:rPr>
          <w:rFonts w:hint="eastAsia" w:ascii="仿宋" w:hAnsi="仿宋" w:eastAsia="仿宋"/>
          <w:color w:val="000000"/>
          <w:sz w:val="32"/>
          <w:szCs w:val="32"/>
        </w:rPr>
        <w:t>。上年结转和结余</w:t>
      </w:r>
      <w:r>
        <w:rPr>
          <w:rFonts w:ascii="仿宋" w:hAnsi="仿宋" w:eastAsia="仿宋"/>
          <w:color w:val="000000"/>
          <w:sz w:val="32"/>
          <w:szCs w:val="32"/>
        </w:rPr>
        <w:t>65.86</w:t>
      </w:r>
      <w:r>
        <w:rPr>
          <w:rFonts w:hint="eastAsia" w:ascii="仿宋" w:hAnsi="仿宋" w:eastAsia="仿宋"/>
          <w:color w:val="000000"/>
          <w:sz w:val="32"/>
          <w:szCs w:val="32"/>
        </w:rPr>
        <w:t>万元，其中：项目支出结转和结余</w:t>
      </w:r>
      <w:r>
        <w:rPr>
          <w:rFonts w:ascii="仿宋" w:hAnsi="仿宋" w:eastAsia="仿宋"/>
          <w:color w:val="000000"/>
          <w:sz w:val="32"/>
          <w:szCs w:val="32"/>
        </w:rPr>
        <w:t>64.25</w:t>
      </w:r>
      <w:r>
        <w:rPr>
          <w:rFonts w:hint="eastAsia" w:ascii="仿宋" w:hAnsi="仿宋" w:eastAsia="仿宋"/>
          <w:color w:val="000000"/>
          <w:sz w:val="32"/>
          <w:szCs w:val="32"/>
        </w:rPr>
        <w:t>万元。</w:t>
      </w:r>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年度支出总计</w:t>
      </w:r>
      <w:r>
        <w:rPr>
          <w:rFonts w:ascii="仿宋" w:hAnsi="仿宋" w:eastAsia="仿宋"/>
          <w:color w:val="000000"/>
          <w:sz w:val="32"/>
          <w:szCs w:val="32"/>
        </w:rPr>
        <w:t>1013.47</w:t>
      </w:r>
      <w:r>
        <w:rPr>
          <w:rFonts w:hint="eastAsia" w:ascii="仿宋" w:hAnsi="仿宋" w:eastAsia="仿宋"/>
          <w:color w:val="000000"/>
          <w:sz w:val="32"/>
          <w:szCs w:val="32"/>
        </w:rPr>
        <w:t>万元，其中，一般公共服务支出</w:t>
      </w:r>
      <w:r>
        <w:rPr>
          <w:rFonts w:ascii="仿宋" w:hAnsi="仿宋" w:eastAsia="仿宋"/>
          <w:color w:val="000000"/>
          <w:sz w:val="32"/>
          <w:szCs w:val="32"/>
        </w:rPr>
        <w:t>689.14</w:t>
      </w:r>
      <w:r>
        <w:rPr>
          <w:rFonts w:hint="eastAsia" w:ascii="仿宋" w:hAnsi="仿宋" w:eastAsia="仿宋"/>
          <w:color w:val="000000"/>
          <w:sz w:val="32"/>
          <w:szCs w:val="32"/>
        </w:rPr>
        <w:t>万元，占</w:t>
      </w:r>
      <w:r>
        <w:rPr>
          <w:rFonts w:ascii="仿宋" w:hAnsi="仿宋" w:eastAsia="仿宋"/>
          <w:color w:val="000000"/>
          <w:sz w:val="32"/>
          <w:szCs w:val="32"/>
        </w:rPr>
        <w:t>68%;</w:t>
      </w:r>
      <w:r>
        <w:rPr>
          <w:rFonts w:hint="eastAsia" w:ascii="仿宋" w:hAnsi="仿宋" w:eastAsia="仿宋"/>
          <w:color w:val="000000"/>
          <w:sz w:val="32"/>
          <w:szCs w:val="32"/>
        </w:rPr>
        <w:t>项目支出</w:t>
      </w:r>
      <w:r>
        <w:rPr>
          <w:rFonts w:ascii="仿宋" w:hAnsi="仿宋" w:eastAsia="仿宋"/>
          <w:color w:val="000000"/>
          <w:sz w:val="32"/>
          <w:szCs w:val="32"/>
        </w:rPr>
        <w:t>324.33</w:t>
      </w:r>
      <w:r>
        <w:rPr>
          <w:rFonts w:hint="eastAsia" w:ascii="仿宋" w:hAnsi="仿宋" w:eastAsia="仿宋"/>
          <w:color w:val="000000"/>
          <w:sz w:val="32"/>
          <w:szCs w:val="32"/>
        </w:rPr>
        <w:t>万元，占</w:t>
      </w:r>
      <w:r>
        <w:rPr>
          <w:rFonts w:ascii="仿宋" w:hAnsi="仿宋" w:eastAsia="仿宋"/>
          <w:color w:val="000000"/>
          <w:sz w:val="32"/>
          <w:szCs w:val="32"/>
        </w:rPr>
        <w:t>32%</w:t>
      </w:r>
      <w:r>
        <w:rPr>
          <w:rFonts w:hint="eastAsia" w:ascii="仿宋" w:hAnsi="仿宋" w:eastAsia="仿宋"/>
          <w:color w:val="000000"/>
          <w:sz w:val="32"/>
          <w:szCs w:val="32"/>
        </w:rPr>
        <w:t>（教育支出</w:t>
      </w:r>
      <w:r>
        <w:rPr>
          <w:rFonts w:ascii="仿宋" w:hAnsi="仿宋" w:eastAsia="仿宋"/>
          <w:color w:val="000000"/>
          <w:sz w:val="32"/>
          <w:szCs w:val="32"/>
        </w:rPr>
        <w:t>160.97</w:t>
      </w:r>
      <w:r>
        <w:rPr>
          <w:rFonts w:hint="eastAsia" w:ascii="仿宋" w:hAnsi="仿宋" w:eastAsia="仿宋"/>
          <w:color w:val="000000"/>
          <w:sz w:val="32"/>
          <w:szCs w:val="32"/>
        </w:rPr>
        <w:t>万元，占</w:t>
      </w:r>
      <w:r>
        <w:rPr>
          <w:rFonts w:ascii="仿宋" w:hAnsi="仿宋" w:eastAsia="仿宋"/>
          <w:color w:val="000000"/>
          <w:sz w:val="32"/>
          <w:szCs w:val="32"/>
        </w:rPr>
        <w:t>16%</w:t>
      </w:r>
      <w:r>
        <w:rPr>
          <w:rFonts w:hint="eastAsia" w:ascii="仿宋" w:hAnsi="仿宋" w:eastAsia="仿宋"/>
          <w:color w:val="000000"/>
          <w:sz w:val="32"/>
          <w:szCs w:val="32"/>
        </w:rPr>
        <w:t>；文化体育与传媒支出</w:t>
      </w:r>
      <w:r>
        <w:rPr>
          <w:rFonts w:ascii="仿宋" w:hAnsi="仿宋" w:eastAsia="仿宋"/>
          <w:color w:val="000000"/>
          <w:sz w:val="32"/>
          <w:szCs w:val="32"/>
        </w:rPr>
        <w:t>9.71</w:t>
      </w:r>
      <w:r>
        <w:rPr>
          <w:rFonts w:hint="eastAsia" w:ascii="仿宋" w:hAnsi="仿宋" w:eastAsia="仿宋"/>
          <w:color w:val="000000"/>
          <w:sz w:val="32"/>
          <w:szCs w:val="32"/>
        </w:rPr>
        <w:t>万元，占</w:t>
      </w:r>
      <w:r>
        <w:rPr>
          <w:rFonts w:ascii="仿宋" w:hAnsi="仿宋" w:eastAsia="仿宋"/>
          <w:color w:val="000000"/>
          <w:sz w:val="32"/>
          <w:szCs w:val="32"/>
        </w:rPr>
        <w:t>1%</w:t>
      </w:r>
      <w:r>
        <w:rPr>
          <w:rFonts w:hint="eastAsia" w:ascii="仿宋" w:hAnsi="仿宋" w:eastAsia="仿宋"/>
          <w:color w:val="000000"/>
          <w:sz w:val="32"/>
          <w:szCs w:val="32"/>
        </w:rPr>
        <w:t>；社会保险和就业支出</w:t>
      </w:r>
      <w:r>
        <w:rPr>
          <w:rFonts w:ascii="仿宋" w:hAnsi="仿宋" w:eastAsia="仿宋"/>
          <w:color w:val="000000"/>
          <w:sz w:val="32"/>
          <w:szCs w:val="32"/>
        </w:rPr>
        <w:t>101.53</w:t>
      </w:r>
      <w:r>
        <w:rPr>
          <w:rFonts w:hint="eastAsia" w:ascii="仿宋" w:hAnsi="仿宋" w:eastAsia="仿宋"/>
          <w:color w:val="000000"/>
          <w:sz w:val="32"/>
          <w:szCs w:val="32"/>
        </w:rPr>
        <w:t>万元，占</w:t>
      </w:r>
      <w:r>
        <w:rPr>
          <w:rFonts w:ascii="仿宋" w:hAnsi="仿宋" w:eastAsia="仿宋"/>
          <w:color w:val="000000"/>
          <w:sz w:val="32"/>
          <w:szCs w:val="32"/>
        </w:rPr>
        <w:t>10%</w:t>
      </w:r>
      <w:r>
        <w:rPr>
          <w:rFonts w:hint="eastAsia" w:ascii="仿宋" w:hAnsi="仿宋" w:eastAsia="仿宋"/>
          <w:color w:val="000000"/>
          <w:sz w:val="32"/>
          <w:szCs w:val="32"/>
        </w:rPr>
        <w:t>；医疗卫生与计划生育支出</w:t>
      </w:r>
      <w:r>
        <w:rPr>
          <w:rFonts w:ascii="仿宋" w:hAnsi="仿宋" w:eastAsia="仿宋"/>
          <w:color w:val="000000"/>
          <w:sz w:val="32"/>
          <w:szCs w:val="32"/>
        </w:rPr>
        <w:t>20.76</w:t>
      </w:r>
      <w:r>
        <w:rPr>
          <w:rFonts w:hint="eastAsia" w:ascii="仿宋" w:hAnsi="仿宋" w:eastAsia="仿宋"/>
          <w:color w:val="000000"/>
          <w:sz w:val="32"/>
          <w:szCs w:val="32"/>
        </w:rPr>
        <w:t>元，占</w:t>
      </w:r>
      <w:r>
        <w:rPr>
          <w:rFonts w:ascii="仿宋" w:hAnsi="仿宋" w:eastAsia="仿宋"/>
          <w:color w:val="000000"/>
          <w:sz w:val="32"/>
          <w:szCs w:val="32"/>
        </w:rPr>
        <w:t>2%</w:t>
      </w:r>
      <w:r>
        <w:rPr>
          <w:rFonts w:hint="eastAsia" w:ascii="仿宋" w:hAnsi="仿宋" w:eastAsia="仿宋"/>
          <w:color w:val="000000"/>
          <w:sz w:val="32"/>
          <w:szCs w:val="32"/>
        </w:rPr>
        <w:t>；住房保障支出</w:t>
      </w:r>
      <w:r>
        <w:rPr>
          <w:rFonts w:ascii="仿宋" w:hAnsi="仿宋" w:eastAsia="仿宋"/>
          <w:color w:val="000000"/>
          <w:sz w:val="32"/>
          <w:szCs w:val="32"/>
        </w:rPr>
        <w:t>31.36</w:t>
      </w:r>
      <w:r>
        <w:rPr>
          <w:rFonts w:hint="eastAsia" w:ascii="仿宋" w:hAnsi="仿宋" w:eastAsia="仿宋"/>
          <w:color w:val="000000"/>
          <w:sz w:val="32"/>
          <w:szCs w:val="32"/>
        </w:rPr>
        <w:t>万元，占</w:t>
      </w:r>
      <w:r>
        <w:rPr>
          <w:rFonts w:ascii="仿宋" w:hAnsi="仿宋" w:eastAsia="仿宋"/>
          <w:color w:val="000000"/>
          <w:sz w:val="32"/>
          <w:szCs w:val="32"/>
        </w:rPr>
        <w:t>3%</w:t>
      </w:r>
      <w:r>
        <w:rPr>
          <w:rFonts w:hint="eastAsia" w:ascii="仿宋" w:hAnsi="仿宋" w:eastAsia="仿宋"/>
          <w:color w:val="000000"/>
          <w:sz w:val="32"/>
          <w:szCs w:val="32"/>
        </w:rPr>
        <w:t>）。</w:t>
      </w:r>
      <w:r>
        <w:rPr>
          <w:rFonts w:ascii="仿宋" w:hAnsi="仿宋" w:eastAsia="仿宋"/>
          <w:color w:val="000000"/>
          <w:sz w:val="32"/>
          <w:szCs w:val="32"/>
        </w:rPr>
        <w:t>2018</w:t>
      </w:r>
      <w:r>
        <w:rPr>
          <w:rFonts w:hint="eastAsia" w:ascii="仿宋" w:hAnsi="仿宋" w:eastAsia="仿宋"/>
          <w:color w:val="000000"/>
          <w:sz w:val="32"/>
          <w:szCs w:val="32"/>
        </w:rPr>
        <w:t>年年末结转和结余</w:t>
      </w:r>
      <w:r>
        <w:rPr>
          <w:rFonts w:ascii="仿宋" w:hAnsi="仿宋" w:eastAsia="仿宋"/>
          <w:color w:val="000000"/>
          <w:sz w:val="32"/>
          <w:szCs w:val="32"/>
        </w:rPr>
        <w:t>12.34</w:t>
      </w:r>
      <w:r>
        <w:rPr>
          <w:rFonts w:hint="eastAsia" w:ascii="仿宋" w:hAnsi="仿宋" w:eastAsia="仿宋"/>
          <w:color w:val="000000"/>
          <w:sz w:val="32"/>
          <w:szCs w:val="32"/>
        </w:rPr>
        <w:t>万元，其中：项目支出结转和结余</w:t>
      </w:r>
      <w:r>
        <w:rPr>
          <w:rFonts w:ascii="仿宋" w:hAnsi="仿宋" w:eastAsia="仿宋"/>
          <w:color w:val="000000"/>
          <w:sz w:val="32"/>
          <w:szCs w:val="32"/>
        </w:rPr>
        <w:t>12.29</w:t>
      </w:r>
      <w:r>
        <w:rPr>
          <w:rFonts w:hint="eastAsia" w:ascii="仿宋" w:hAnsi="仿宋" w:eastAsia="仿宋"/>
          <w:color w:val="000000"/>
          <w:sz w:val="32"/>
          <w:szCs w:val="32"/>
        </w:rPr>
        <w:t>万元，占</w:t>
      </w:r>
      <w:r>
        <w:rPr>
          <w:rFonts w:ascii="仿宋" w:hAnsi="仿宋" w:eastAsia="仿宋"/>
          <w:color w:val="000000"/>
          <w:sz w:val="32"/>
          <w:szCs w:val="32"/>
        </w:rPr>
        <w:t>99.6</w:t>
      </w:r>
      <w:r>
        <w:rPr>
          <w:rFonts w:hint="eastAsia" w:ascii="仿宋" w:hAnsi="仿宋" w:eastAsia="仿宋"/>
          <w:color w:val="000000"/>
          <w:sz w:val="32"/>
          <w:szCs w:val="32"/>
        </w:rPr>
        <w:t>；其他</w:t>
      </w:r>
      <w:r>
        <w:rPr>
          <w:rFonts w:ascii="仿宋" w:hAnsi="仿宋" w:eastAsia="仿宋"/>
          <w:color w:val="000000"/>
          <w:sz w:val="32"/>
          <w:szCs w:val="32"/>
        </w:rPr>
        <w:t>0.05</w:t>
      </w:r>
      <w:r>
        <w:rPr>
          <w:rFonts w:hint="eastAsia" w:ascii="仿宋" w:hAnsi="仿宋" w:eastAsia="仿宋"/>
          <w:color w:val="000000"/>
          <w:sz w:val="32"/>
          <w:szCs w:val="32"/>
        </w:rPr>
        <w:t>万元。</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年相比，总收入增加</w:t>
      </w:r>
      <w:r>
        <w:rPr>
          <w:rFonts w:ascii="仿宋" w:hAnsi="仿宋" w:eastAsia="仿宋"/>
          <w:color w:val="000000"/>
          <w:sz w:val="32"/>
          <w:szCs w:val="32"/>
        </w:rPr>
        <w:t>260.7</w:t>
      </w:r>
      <w:r>
        <w:rPr>
          <w:rFonts w:hint="eastAsia" w:ascii="仿宋" w:hAnsi="仿宋" w:eastAsia="仿宋"/>
          <w:color w:val="000000"/>
          <w:sz w:val="32"/>
          <w:szCs w:val="32"/>
        </w:rPr>
        <w:t>万元，增长</w:t>
      </w:r>
      <w:r>
        <w:rPr>
          <w:rFonts w:ascii="仿宋" w:hAnsi="仿宋" w:eastAsia="仿宋"/>
          <w:color w:val="000000"/>
          <w:sz w:val="32"/>
          <w:szCs w:val="32"/>
        </w:rPr>
        <w:t>27.16%</w:t>
      </w:r>
      <w:r>
        <w:rPr>
          <w:rFonts w:hint="eastAsia" w:ascii="仿宋" w:hAnsi="仿宋" w:eastAsia="仿宋"/>
          <w:color w:val="000000"/>
          <w:sz w:val="32"/>
          <w:szCs w:val="32"/>
        </w:rPr>
        <w:t>、总支出增加</w:t>
      </w:r>
      <w:r>
        <w:rPr>
          <w:rFonts w:ascii="仿宋" w:hAnsi="仿宋" w:eastAsia="仿宋"/>
          <w:color w:val="000000"/>
          <w:sz w:val="32"/>
          <w:szCs w:val="32"/>
        </w:rPr>
        <w:t>147.64</w:t>
      </w:r>
      <w:r>
        <w:rPr>
          <w:rFonts w:hint="eastAsia" w:ascii="仿宋" w:hAnsi="仿宋" w:eastAsia="仿宋"/>
          <w:color w:val="000000"/>
          <w:sz w:val="32"/>
          <w:szCs w:val="32"/>
        </w:rPr>
        <w:t>万元，增长</w:t>
      </w:r>
      <w:r>
        <w:rPr>
          <w:rFonts w:ascii="仿宋" w:hAnsi="仿宋" w:eastAsia="仿宋"/>
          <w:color w:val="000000"/>
          <w:sz w:val="32"/>
          <w:szCs w:val="32"/>
        </w:rPr>
        <w:t>10.45%</w:t>
      </w:r>
      <w:r>
        <w:rPr>
          <w:rFonts w:hint="eastAsia" w:ascii="仿宋" w:hAnsi="仿宋" w:eastAsia="仿宋"/>
          <w:color w:val="000000"/>
          <w:sz w:val="32"/>
          <w:szCs w:val="32"/>
        </w:rPr>
        <w:t>。主要变动原因是人员增加和项目经费支出增加。</w:t>
      </w:r>
    </w:p>
    <w:p>
      <w:pPr>
        <w:spacing w:line="56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8"/>
        <w:numPr>
          <w:ilvl w:val="0"/>
          <w:numId w:val="1"/>
        </w:numPr>
        <w:spacing w:line="560" w:lineRule="exact"/>
        <w:ind w:firstLineChars="0"/>
        <w:outlineLvl w:val="1"/>
        <w:rPr>
          <w:rStyle w:val="18"/>
          <w:rFonts w:ascii="黑体" w:hAnsi="黑体" w:eastAsia="黑体"/>
          <w:b w:val="0"/>
        </w:rPr>
      </w:pPr>
      <w:bookmarkStart w:id="28" w:name="_Toc15377206"/>
      <w:bookmarkStart w:id="29" w:name="_Toc15396604"/>
      <w:r>
        <w:rPr>
          <w:rFonts w:hint="eastAsia" w:ascii="黑体" w:hAnsi="黑体" w:eastAsia="黑体"/>
          <w:color w:val="000000"/>
          <w:sz w:val="32"/>
          <w:szCs w:val="32"/>
        </w:rPr>
        <w:t>收</w:t>
      </w:r>
      <w:r>
        <w:rPr>
          <w:rStyle w:val="18"/>
          <w:rFonts w:hint="eastAsia" w:ascii="黑体" w:hAnsi="黑体" w:eastAsia="黑体"/>
          <w:b w:val="0"/>
        </w:rPr>
        <w:t>入决算情况说明</w:t>
      </w:r>
      <w:bookmarkEnd w:id="28"/>
      <w:bookmarkEnd w:id="29"/>
    </w:p>
    <w:p>
      <w:pPr>
        <w:spacing w:line="52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959.95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959.9</w:t>
      </w:r>
      <w:r>
        <w:rPr>
          <w:rFonts w:hint="eastAsia" w:ascii="仿宋" w:hAnsi="仿宋" w:eastAsia="仿宋"/>
          <w:color w:val="000000"/>
          <w:sz w:val="32"/>
          <w:szCs w:val="32"/>
        </w:rPr>
        <w:t>万元，占</w:t>
      </w:r>
      <w:r>
        <w:rPr>
          <w:rFonts w:ascii="仿宋" w:hAnsi="仿宋" w:eastAsia="仿宋"/>
          <w:color w:val="000000"/>
          <w:sz w:val="32"/>
          <w:szCs w:val="32"/>
        </w:rPr>
        <w:t>99.99%</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_GB2312" w:eastAsia="仿宋_GB2312"/>
          <w:sz w:val="30"/>
          <w:szCs w:val="30"/>
        </w:rPr>
        <w:t>0.05</w:t>
      </w:r>
      <w:r>
        <w:rPr>
          <w:rFonts w:hint="eastAsia" w:ascii="仿宋" w:hAnsi="仿宋" w:eastAsia="仿宋"/>
          <w:color w:val="000000"/>
          <w:sz w:val="32"/>
          <w:szCs w:val="32"/>
        </w:rPr>
        <w:t>万元，占</w:t>
      </w:r>
      <w:r>
        <w:rPr>
          <w:rFonts w:ascii="仿宋" w:hAnsi="仿宋" w:eastAsia="仿宋"/>
          <w:color w:val="000000"/>
          <w:sz w:val="32"/>
          <w:szCs w:val="32"/>
        </w:rPr>
        <w:t>0.01%</w:t>
      </w:r>
      <w:r>
        <w:rPr>
          <w:rFonts w:hint="eastAsia" w:ascii="仿宋" w:hAnsi="仿宋" w:eastAsia="仿宋"/>
          <w:color w:val="000000"/>
          <w:sz w:val="32"/>
          <w:szCs w:val="32"/>
        </w:rPr>
        <w:t>。</w:t>
      </w:r>
    </w:p>
    <w:p>
      <w:pPr>
        <w:spacing w:line="56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8"/>
        <w:numPr>
          <w:ilvl w:val="0"/>
          <w:numId w:val="1"/>
        </w:numPr>
        <w:spacing w:line="560" w:lineRule="exact"/>
        <w:ind w:firstLineChars="0"/>
        <w:outlineLvl w:val="1"/>
        <w:rPr>
          <w:rStyle w:val="18"/>
          <w:rFonts w:ascii="黑体" w:hAnsi="黑体" w:eastAsia="黑体"/>
          <w:b w:val="0"/>
        </w:rPr>
      </w:pPr>
      <w:bookmarkStart w:id="30" w:name="_Toc15396605"/>
      <w:bookmarkStart w:id="31"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30"/>
      <w:bookmarkEnd w:id="31"/>
    </w:p>
    <w:p>
      <w:pPr>
        <w:spacing w:line="52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1013.47</w:t>
      </w:r>
      <w:r>
        <w:rPr>
          <w:rFonts w:hint="eastAsia" w:ascii="仿宋" w:hAnsi="仿宋" w:eastAsia="仿宋"/>
          <w:color w:val="000000"/>
          <w:sz w:val="32"/>
          <w:szCs w:val="32"/>
        </w:rPr>
        <w:t>万元，其中：基本支出</w:t>
      </w:r>
      <w:r>
        <w:rPr>
          <w:rFonts w:ascii="仿宋" w:hAnsi="仿宋" w:eastAsia="仿宋"/>
          <w:color w:val="000000"/>
          <w:sz w:val="32"/>
          <w:szCs w:val="32"/>
        </w:rPr>
        <w:t>689.14</w:t>
      </w:r>
      <w:r>
        <w:rPr>
          <w:rFonts w:hint="eastAsia" w:ascii="仿宋" w:hAnsi="仿宋" w:eastAsia="仿宋"/>
          <w:color w:val="000000"/>
          <w:sz w:val="32"/>
          <w:szCs w:val="32"/>
        </w:rPr>
        <w:t>万元，占</w:t>
      </w:r>
      <w:r>
        <w:rPr>
          <w:rFonts w:ascii="仿宋" w:hAnsi="仿宋" w:eastAsia="仿宋"/>
          <w:color w:val="000000"/>
          <w:sz w:val="32"/>
          <w:szCs w:val="32"/>
        </w:rPr>
        <w:t>68%</w:t>
      </w:r>
      <w:r>
        <w:rPr>
          <w:rFonts w:hint="eastAsia" w:ascii="仿宋" w:hAnsi="仿宋" w:eastAsia="仿宋"/>
          <w:color w:val="000000"/>
          <w:sz w:val="32"/>
          <w:szCs w:val="32"/>
        </w:rPr>
        <w:t>；项目支出</w:t>
      </w:r>
      <w:r>
        <w:rPr>
          <w:rFonts w:ascii="仿宋" w:hAnsi="仿宋" w:eastAsia="仿宋"/>
          <w:color w:val="000000"/>
          <w:sz w:val="32"/>
          <w:szCs w:val="32"/>
        </w:rPr>
        <w:t>34.33</w:t>
      </w:r>
      <w:r>
        <w:rPr>
          <w:rFonts w:hint="eastAsia" w:ascii="仿宋" w:hAnsi="仿宋" w:eastAsia="仿宋"/>
          <w:color w:val="000000"/>
          <w:sz w:val="32"/>
          <w:szCs w:val="32"/>
        </w:rPr>
        <w:t>万元，占</w:t>
      </w:r>
      <w:r>
        <w:rPr>
          <w:rFonts w:ascii="仿宋" w:hAnsi="仿宋" w:eastAsia="仿宋"/>
          <w:color w:val="000000"/>
          <w:sz w:val="32"/>
          <w:szCs w:val="32"/>
        </w:rPr>
        <w:t>32%;</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56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560" w:lineRule="exact"/>
        <w:ind w:firstLine="640" w:firstLineChars="200"/>
        <w:outlineLvl w:val="1"/>
        <w:rPr>
          <w:rStyle w:val="18"/>
          <w:rFonts w:ascii="黑体" w:hAnsi="黑体" w:eastAsia="黑体"/>
          <w:b w:val="0"/>
        </w:rPr>
      </w:pPr>
      <w:bookmarkStart w:id="32" w:name="_Toc15377208"/>
      <w:bookmarkStart w:id="33" w:name="_Toc15396606"/>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2"/>
      <w:bookmarkEnd w:id="33"/>
    </w:p>
    <w:p>
      <w:pPr>
        <w:spacing w:line="520" w:lineRule="exact"/>
        <w:ind w:firstLine="640"/>
        <w:rPr>
          <w:rFonts w:ascii="仿宋" w:hAnsi="仿宋" w:eastAsia="仿宋"/>
          <w:b/>
          <w:color w:val="00B05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年财政拨款收总计</w:t>
      </w:r>
      <w:r>
        <w:rPr>
          <w:rFonts w:ascii="仿宋" w:hAnsi="仿宋" w:eastAsia="仿宋" w:cs="仿宋"/>
          <w:sz w:val="30"/>
          <w:szCs w:val="30"/>
        </w:rPr>
        <w:t>959.9</w:t>
      </w:r>
      <w:r>
        <w:rPr>
          <w:rFonts w:hint="eastAsia" w:ascii="仿宋_GB2312" w:eastAsia="仿宋_GB2312"/>
          <w:sz w:val="30"/>
          <w:szCs w:val="30"/>
        </w:rPr>
        <w:t>元，比</w:t>
      </w:r>
      <w:r>
        <w:rPr>
          <w:rFonts w:ascii="仿宋_GB2312" w:eastAsia="仿宋_GB2312"/>
          <w:sz w:val="30"/>
          <w:szCs w:val="30"/>
        </w:rPr>
        <w:t>2017</w:t>
      </w:r>
      <w:r>
        <w:rPr>
          <w:rFonts w:hint="eastAsia" w:ascii="仿宋_GB2312" w:eastAsia="仿宋_GB2312"/>
          <w:sz w:val="30"/>
          <w:szCs w:val="30"/>
        </w:rPr>
        <w:t>年增加</w:t>
      </w:r>
      <w:r>
        <w:rPr>
          <w:rFonts w:ascii="仿宋_GB2312" w:eastAsia="仿宋_GB2312"/>
          <w:sz w:val="30"/>
          <w:szCs w:val="30"/>
        </w:rPr>
        <w:t>260.65</w:t>
      </w:r>
      <w:r>
        <w:rPr>
          <w:rFonts w:hint="eastAsia" w:ascii="仿宋_GB2312" w:eastAsia="仿宋_GB2312"/>
          <w:sz w:val="30"/>
          <w:szCs w:val="30"/>
        </w:rPr>
        <w:t>万元，增长</w:t>
      </w:r>
      <w:r>
        <w:rPr>
          <w:rFonts w:ascii="仿宋" w:hAnsi="仿宋" w:eastAsia="仿宋" w:cs="仿宋"/>
          <w:sz w:val="30"/>
          <w:szCs w:val="30"/>
        </w:rPr>
        <w:t>27.15%</w:t>
      </w:r>
      <w:r>
        <w:rPr>
          <w:rFonts w:hint="eastAsia" w:ascii="仿宋" w:hAnsi="仿宋" w:eastAsia="仿宋"/>
          <w:color w:val="000000"/>
          <w:sz w:val="32"/>
          <w:szCs w:val="32"/>
        </w:rPr>
        <w:t>。支出总计</w:t>
      </w:r>
      <w:r>
        <w:rPr>
          <w:rFonts w:ascii="仿宋" w:hAnsi="仿宋" w:eastAsia="仿宋"/>
          <w:color w:val="000000"/>
          <w:sz w:val="32"/>
          <w:szCs w:val="32"/>
        </w:rPr>
        <w:t>1013.47</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年相比，财政拨款支出增加</w:t>
      </w:r>
      <w:r>
        <w:rPr>
          <w:rFonts w:ascii="仿宋" w:hAnsi="仿宋" w:eastAsia="仿宋"/>
          <w:color w:val="000000"/>
          <w:sz w:val="32"/>
          <w:szCs w:val="32"/>
        </w:rPr>
        <w:t>147.64</w:t>
      </w:r>
      <w:r>
        <w:rPr>
          <w:rFonts w:hint="eastAsia" w:ascii="仿宋" w:hAnsi="仿宋" w:eastAsia="仿宋"/>
          <w:color w:val="000000"/>
          <w:sz w:val="32"/>
          <w:szCs w:val="32"/>
        </w:rPr>
        <w:t>万元，增长</w:t>
      </w:r>
      <w:r>
        <w:rPr>
          <w:rFonts w:ascii="仿宋" w:hAnsi="仿宋" w:eastAsia="仿宋"/>
          <w:color w:val="000000"/>
          <w:sz w:val="32"/>
          <w:szCs w:val="32"/>
        </w:rPr>
        <w:t>14.57%</w:t>
      </w:r>
      <w:r>
        <w:rPr>
          <w:rFonts w:hint="eastAsia" w:ascii="仿宋" w:hAnsi="仿宋" w:eastAsia="仿宋"/>
          <w:color w:val="000000"/>
          <w:sz w:val="32"/>
          <w:szCs w:val="32"/>
        </w:rPr>
        <w:t>。主要变动原因是人员增加和项目经费支出增加。</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560" w:lineRule="exact"/>
        <w:ind w:firstLine="640" w:firstLineChars="200"/>
        <w:outlineLvl w:val="1"/>
        <w:rPr>
          <w:rStyle w:val="18"/>
          <w:rFonts w:ascii="黑体" w:hAnsi="黑体" w:eastAsia="黑体"/>
          <w:b w:val="0"/>
        </w:rPr>
      </w:pPr>
      <w:bookmarkStart w:id="34" w:name="_Toc15377209"/>
      <w:bookmarkStart w:id="3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4"/>
      <w:bookmarkEnd w:id="35"/>
    </w:p>
    <w:p>
      <w:pPr>
        <w:spacing w:line="56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689.14</w:t>
      </w:r>
      <w:r>
        <w:rPr>
          <w:rFonts w:hint="eastAsia" w:ascii="仿宋" w:hAnsi="仿宋" w:eastAsia="仿宋"/>
          <w:color w:val="000000"/>
          <w:sz w:val="32"/>
          <w:szCs w:val="32"/>
        </w:rPr>
        <w:t>万元，占本年支出合计的</w:t>
      </w:r>
      <w:r>
        <w:rPr>
          <w:rFonts w:ascii="仿宋" w:hAnsi="仿宋" w:eastAsia="仿宋"/>
          <w:color w:val="000000"/>
          <w:sz w:val="32"/>
          <w:szCs w:val="32"/>
        </w:rPr>
        <w:t>85.43%</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33.13</w:t>
      </w:r>
      <w:r>
        <w:rPr>
          <w:rFonts w:hint="eastAsia" w:ascii="仿宋" w:hAnsi="仿宋" w:eastAsia="仿宋"/>
          <w:color w:val="000000"/>
          <w:sz w:val="32"/>
          <w:szCs w:val="32"/>
        </w:rPr>
        <w:t>万元，增长</w:t>
      </w:r>
      <w:r>
        <w:rPr>
          <w:rFonts w:ascii="仿宋" w:hAnsi="仿宋" w:eastAsia="仿宋"/>
          <w:color w:val="000000"/>
          <w:sz w:val="32"/>
          <w:szCs w:val="32"/>
        </w:rPr>
        <w:t>4.8%</w:t>
      </w:r>
      <w:r>
        <w:rPr>
          <w:rFonts w:hint="eastAsia" w:ascii="仿宋" w:hAnsi="仿宋" w:eastAsia="仿宋"/>
          <w:color w:val="000000"/>
          <w:sz w:val="32"/>
          <w:szCs w:val="32"/>
        </w:rPr>
        <w:t>。主要变动原因是人员增加和项目经费支出增加。</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560" w:lineRule="exact"/>
        <w:ind w:firstLine="643" w:firstLineChars="200"/>
        <w:outlineLvl w:val="2"/>
        <w:rPr>
          <w:rFonts w:ascii="仿宋" w:hAnsi="仿宋" w:eastAsia="仿宋"/>
          <w:b/>
          <w:color w:val="000000"/>
          <w:sz w:val="32"/>
          <w:szCs w:val="32"/>
        </w:rPr>
      </w:pPr>
      <w:bookmarkStart w:id="37" w:name="_Toc15377211"/>
      <w:r>
        <w:rPr>
          <w:rFonts w:hint="eastAsia" w:ascii="仿宋" w:hAnsi="仿宋" w:eastAsia="仿宋"/>
          <w:b/>
          <w:color w:val="000000"/>
          <w:sz w:val="32"/>
          <w:szCs w:val="32"/>
        </w:rPr>
        <w:t>（二）一般公共预算财政拨款支出决算结构情况</w:t>
      </w:r>
      <w:bookmarkEnd w:id="37"/>
    </w:p>
    <w:p>
      <w:pPr>
        <w:numPr>
          <w:ilvl w:val="0"/>
          <w:numId w:val="2"/>
        </w:numPr>
        <w:spacing w:line="56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1013.47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689.14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lang w:val="en-US" w:eastAsia="zh-CN"/>
        </w:rPr>
        <w:t>160.97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15.88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sz w:val="32"/>
          <w:szCs w:val="32"/>
        </w:rPr>
        <w:t>文化体育与传媒支出（类）</w:t>
      </w:r>
      <w:r>
        <w:rPr>
          <w:rFonts w:hint="eastAsia" w:ascii="仿宋" w:hAnsi="仿宋" w:eastAsia="仿宋"/>
          <w:color w:val="000000"/>
          <w:sz w:val="32"/>
          <w:szCs w:val="32"/>
        </w:rPr>
        <w:t>支出</w:t>
      </w:r>
      <w:r>
        <w:rPr>
          <w:rFonts w:ascii="仿宋" w:hAnsi="仿宋" w:eastAsia="仿宋"/>
          <w:color w:val="000000"/>
          <w:sz w:val="32"/>
          <w:szCs w:val="32"/>
        </w:rPr>
        <w:t>9.71</w:t>
      </w:r>
      <w:r>
        <w:rPr>
          <w:rFonts w:hint="eastAsia" w:ascii="仿宋" w:hAnsi="仿宋" w:eastAsia="仿宋"/>
          <w:color w:val="000000"/>
          <w:sz w:val="32"/>
          <w:szCs w:val="32"/>
        </w:rPr>
        <w:t>万元，占</w:t>
      </w:r>
      <w:r>
        <w:rPr>
          <w:rFonts w:ascii="仿宋" w:hAnsi="仿宋" w:eastAsia="仿宋"/>
          <w:color w:val="000000"/>
          <w:sz w:val="32"/>
          <w:szCs w:val="32"/>
        </w:rPr>
        <w:t>0.96%</w:t>
      </w:r>
      <w:r>
        <w:rPr>
          <w:rFonts w:hint="eastAsia" w:ascii="仿宋" w:hAnsi="仿宋" w:eastAsia="仿宋"/>
          <w:color w:val="000000"/>
          <w:sz w:val="32"/>
          <w:szCs w:val="32"/>
          <w:lang w:eastAsia="zh-CN"/>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101.53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10.02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sz w:val="32"/>
          <w:szCs w:val="32"/>
        </w:rPr>
        <w:t>医疗卫生与计划生育（类）</w:t>
      </w:r>
      <w:r>
        <w:rPr>
          <w:rFonts w:hint="eastAsia" w:ascii="仿宋" w:hAnsi="仿宋" w:eastAsia="仿宋"/>
          <w:color w:val="000000"/>
          <w:sz w:val="32"/>
          <w:szCs w:val="32"/>
        </w:rPr>
        <w:t>支出</w:t>
      </w:r>
      <w:r>
        <w:rPr>
          <w:rFonts w:ascii="仿宋" w:hAnsi="仿宋" w:eastAsia="仿宋"/>
          <w:color w:val="000000"/>
          <w:sz w:val="32"/>
          <w:szCs w:val="32"/>
        </w:rPr>
        <w:t>20.76</w:t>
      </w:r>
      <w:r>
        <w:rPr>
          <w:rFonts w:hint="eastAsia" w:ascii="仿宋" w:hAnsi="仿宋" w:eastAsia="仿宋"/>
          <w:color w:val="000000"/>
          <w:sz w:val="32"/>
          <w:szCs w:val="32"/>
        </w:rPr>
        <w:t>万元，占</w:t>
      </w:r>
      <w:r>
        <w:rPr>
          <w:rFonts w:ascii="仿宋" w:hAnsi="仿宋" w:eastAsia="仿宋"/>
          <w:color w:val="000000"/>
          <w:sz w:val="32"/>
          <w:szCs w:val="32"/>
        </w:rPr>
        <w:t>2.05%</w:t>
      </w:r>
      <w:r>
        <w:rPr>
          <w:rFonts w:hint="eastAsia" w:ascii="仿宋" w:hAnsi="仿宋" w:eastAsia="仿宋"/>
          <w:color w:val="000000" w:themeColor="text1"/>
          <w:sz w:val="32"/>
          <w:szCs w:val="32"/>
        </w:rPr>
        <w:t>；</w:t>
      </w:r>
      <w:r>
        <w:rPr>
          <w:rFonts w:hint="eastAsia" w:ascii="仿宋" w:hAnsi="仿宋" w:eastAsia="仿宋"/>
          <w:b/>
          <w:bCs/>
          <w:color w:val="000000"/>
          <w:sz w:val="32"/>
          <w:szCs w:val="32"/>
        </w:rPr>
        <w:t>住房保障支出</w:t>
      </w:r>
      <w:r>
        <w:rPr>
          <w:rFonts w:ascii="仿宋" w:hAnsi="仿宋" w:eastAsia="仿宋"/>
          <w:b/>
          <w:bCs/>
          <w:color w:val="000000"/>
          <w:sz w:val="32"/>
          <w:szCs w:val="32"/>
        </w:rPr>
        <w:t>(</w:t>
      </w:r>
      <w:r>
        <w:rPr>
          <w:rFonts w:hint="eastAsia" w:ascii="仿宋" w:hAnsi="仿宋" w:eastAsia="仿宋"/>
          <w:b/>
          <w:bCs/>
          <w:color w:val="000000"/>
          <w:sz w:val="32"/>
          <w:szCs w:val="32"/>
        </w:rPr>
        <w:t>类</w:t>
      </w:r>
      <w:r>
        <w:rPr>
          <w:rFonts w:ascii="仿宋" w:hAnsi="仿宋" w:eastAsia="仿宋"/>
          <w:b/>
          <w:bCs/>
          <w:color w:val="000000"/>
          <w:sz w:val="32"/>
          <w:szCs w:val="32"/>
        </w:rPr>
        <w:t>)</w:t>
      </w:r>
      <w:r>
        <w:rPr>
          <w:rFonts w:hint="eastAsia" w:ascii="仿宋" w:hAnsi="仿宋" w:eastAsia="仿宋"/>
          <w:color w:val="000000"/>
          <w:sz w:val="32"/>
          <w:szCs w:val="32"/>
        </w:rPr>
        <w:t>支出</w:t>
      </w:r>
      <w:r>
        <w:rPr>
          <w:rFonts w:ascii="仿宋" w:hAnsi="仿宋" w:eastAsia="仿宋"/>
          <w:color w:val="000000"/>
          <w:sz w:val="32"/>
          <w:szCs w:val="32"/>
        </w:rPr>
        <w:t>31.36</w:t>
      </w:r>
      <w:r>
        <w:rPr>
          <w:rFonts w:hint="eastAsia" w:ascii="仿宋" w:hAnsi="仿宋" w:eastAsia="仿宋"/>
          <w:color w:val="000000"/>
          <w:sz w:val="32"/>
          <w:szCs w:val="32"/>
        </w:rPr>
        <w:t>万元，占</w:t>
      </w:r>
      <w:r>
        <w:rPr>
          <w:rFonts w:ascii="仿宋" w:hAnsi="仿宋" w:eastAsia="仿宋"/>
          <w:color w:val="000000"/>
          <w:sz w:val="32"/>
          <w:szCs w:val="32"/>
        </w:rPr>
        <w:t>3.09%</w:t>
      </w:r>
      <w:r>
        <w:rPr>
          <w:rFonts w:hint="eastAsia" w:ascii="仿宋" w:hAnsi="仿宋" w:eastAsia="仿宋"/>
          <w:color w:val="000000"/>
          <w:sz w:val="32"/>
          <w:szCs w:val="32"/>
        </w:rPr>
        <w:t>。</w:t>
      </w:r>
    </w:p>
    <w:p>
      <w:pPr>
        <w:spacing w:line="560" w:lineRule="exact"/>
        <w:ind w:firstLine="643" w:firstLineChars="200"/>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pPr>
        <w:spacing w:line="560" w:lineRule="exact"/>
        <w:ind w:firstLine="643" w:firstLineChars="200"/>
        <w:outlineLvl w:val="2"/>
        <w:rPr>
          <w:rFonts w:ascii="仿宋" w:hAnsi="仿宋" w:eastAsia="仿宋"/>
          <w:color w:val="FF0000"/>
          <w:sz w:val="32"/>
          <w:szCs w:val="32"/>
        </w:rPr>
      </w:pPr>
      <w:bookmarkStart w:id="39" w:name="_Toc15377444"/>
      <w:bookmarkStart w:id="40" w:name="_Toc15377213"/>
      <w:bookmarkStart w:id="41" w:name="_Toc15378460"/>
      <w:r>
        <w:rPr>
          <w:rFonts w:ascii="仿宋" w:hAnsi="仿宋" w:eastAsia="仿宋"/>
          <w:b/>
          <w:color w:val="000000"/>
          <w:sz w:val="32"/>
          <w:szCs w:val="32"/>
        </w:rPr>
        <w:t>2018</w:t>
      </w:r>
      <w:r>
        <w:rPr>
          <w:rFonts w:hint="eastAsia" w:ascii="仿宋" w:hAnsi="仿宋" w:eastAsia="仿宋"/>
          <w:b/>
          <w:color w:val="000000"/>
          <w:sz w:val="32"/>
          <w:szCs w:val="32"/>
        </w:rPr>
        <w:t>年般公共预算支出决算数为</w:t>
      </w:r>
      <w:r>
        <w:rPr>
          <w:rFonts w:ascii="仿宋" w:hAnsi="仿宋" w:eastAsia="仿宋"/>
          <w:b/>
          <w:color w:val="000000"/>
          <w:sz w:val="32"/>
          <w:szCs w:val="32"/>
        </w:rPr>
        <w:t>1013.47</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ascii="仿宋" w:hAnsi="仿宋" w:eastAsia="仿宋"/>
          <w:bCs/>
          <w:color w:val="000000"/>
          <w:sz w:val="32"/>
          <w:szCs w:val="32"/>
        </w:rPr>
        <w:t>100%</w:t>
      </w:r>
      <w:r>
        <w:rPr>
          <w:rStyle w:val="14"/>
          <w:rFonts w:hint="eastAsia" w:ascii="仿宋" w:hAnsi="仿宋" w:eastAsia="仿宋"/>
          <w:bCs/>
          <w:color w:val="000000"/>
          <w:sz w:val="32"/>
          <w:szCs w:val="32"/>
        </w:rPr>
        <w:t>。其中：</w:t>
      </w:r>
      <w:bookmarkEnd w:id="39"/>
      <w:bookmarkEnd w:id="40"/>
      <w:bookmarkEnd w:id="41"/>
    </w:p>
    <w:p>
      <w:pPr>
        <w:numPr>
          <w:ilvl w:val="0"/>
          <w:numId w:val="3"/>
        </w:numPr>
        <w:spacing w:line="560" w:lineRule="exact"/>
        <w:ind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rPr>
        <w:t>一般公共服务（类）</w:t>
      </w:r>
      <w:r>
        <w:rPr>
          <w:rStyle w:val="14"/>
          <w:rFonts w:ascii="仿宋" w:hAnsi="仿宋" w:eastAsia="仿宋"/>
          <w:bCs/>
          <w:color w:val="000000"/>
          <w:sz w:val="32"/>
          <w:szCs w:val="32"/>
        </w:rPr>
        <w:t>:</w:t>
      </w:r>
      <w:r>
        <w:rPr>
          <w:rStyle w:val="14"/>
          <w:rFonts w:hint="eastAsia" w:ascii="仿宋" w:hAnsi="仿宋" w:eastAsia="仿宋"/>
          <w:bCs/>
          <w:color w:val="000000"/>
          <w:sz w:val="32"/>
          <w:szCs w:val="32"/>
          <w:lang w:val="en-US" w:eastAsia="zh-CN"/>
        </w:rPr>
        <w:t>2011009公务员考核</w:t>
      </w:r>
      <w:r>
        <w:rPr>
          <w:rStyle w:val="14"/>
          <w:rFonts w:hint="eastAsia" w:ascii="仿宋" w:hAnsi="仿宋" w:eastAsia="仿宋"/>
          <w:b w:val="0"/>
          <w:bCs w:val="0"/>
          <w:color w:val="000000"/>
          <w:sz w:val="32"/>
          <w:szCs w:val="32"/>
          <w:lang w:val="en-US" w:eastAsia="zh-CN"/>
        </w:rPr>
        <w:t>支出决算9.19万元，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
          <w:bCs w:val="0"/>
          <w:color w:val="000000"/>
          <w:sz w:val="32"/>
          <w:szCs w:val="32"/>
          <w:lang w:val="en-US" w:eastAsia="zh-CN"/>
        </w:rPr>
        <w:t>2013201行政运行</w:t>
      </w:r>
      <w:r>
        <w:rPr>
          <w:rStyle w:val="14"/>
          <w:rFonts w:hint="eastAsia" w:ascii="仿宋" w:hAnsi="仿宋" w:eastAsia="仿宋"/>
          <w:b w:val="0"/>
          <w:bCs w:val="0"/>
          <w:color w:val="000000"/>
          <w:sz w:val="32"/>
          <w:szCs w:val="32"/>
          <w:lang w:val="en-US" w:eastAsia="zh-CN"/>
        </w:rPr>
        <w:t>支出决算557.04万元，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 xml:space="preserve">100% </w:t>
      </w:r>
      <w:r>
        <w:rPr>
          <w:rStyle w:val="14"/>
          <w:rFonts w:hint="eastAsia" w:ascii="仿宋" w:hAnsi="仿宋" w:eastAsia="仿宋"/>
          <w:b w:val="0"/>
          <w:bCs/>
          <w:color w:val="000000"/>
          <w:sz w:val="32"/>
          <w:szCs w:val="32"/>
          <w:lang w:eastAsia="zh-CN"/>
        </w:rPr>
        <w:t>；</w:t>
      </w:r>
      <w:r>
        <w:rPr>
          <w:rStyle w:val="14"/>
          <w:rFonts w:hint="eastAsia" w:ascii="仿宋" w:hAnsi="仿宋" w:eastAsia="仿宋"/>
          <w:b/>
          <w:bCs w:val="0"/>
          <w:color w:val="000000"/>
          <w:sz w:val="32"/>
          <w:szCs w:val="32"/>
          <w:lang w:val="en-US" w:eastAsia="zh-CN"/>
        </w:rPr>
        <w:t>2013202一般行政管理事务</w:t>
      </w:r>
      <w:r>
        <w:rPr>
          <w:rStyle w:val="14"/>
          <w:rFonts w:hint="eastAsia" w:ascii="仿宋" w:hAnsi="仿宋" w:eastAsia="仿宋"/>
          <w:b w:val="0"/>
          <w:bCs w:val="0"/>
          <w:color w:val="000000"/>
          <w:sz w:val="32"/>
          <w:szCs w:val="32"/>
          <w:lang w:val="en-US" w:eastAsia="zh-CN"/>
        </w:rPr>
        <w:t>支出决算122.91万元，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r>
        <w:rPr>
          <w:rStyle w:val="14"/>
          <w:rFonts w:hint="eastAsia" w:ascii="仿宋" w:hAnsi="仿宋" w:eastAsia="仿宋"/>
          <w:b/>
          <w:bCs w:val="0"/>
          <w:color w:val="000000"/>
          <w:sz w:val="32"/>
          <w:szCs w:val="32"/>
          <w:lang w:val="en-US" w:eastAsia="zh-CN"/>
        </w:rPr>
        <w:t>2050802干部教育</w:t>
      </w:r>
      <w:r>
        <w:rPr>
          <w:rStyle w:val="14"/>
          <w:rFonts w:hint="eastAsia" w:ascii="仿宋" w:hAnsi="仿宋" w:eastAsia="仿宋"/>
          <w:b w:val="0"/>
          <w:bCs w:val="0"/>
          <w:color w:val="000000"/>
          <w:sz w:val="32"/>
          <w:szCs w:val="32"/>
          <w:lang w:val="en-US" w:eastAsia="zh-CN"/>
        </w:rPr>
        <w:t>支出决算50万元，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p>
    <w:p>
      <w:pPr>
        <w:numPr>
          <w:ilvl w:val="0"/>
          <w:numId w:val="0"/>
        </w:numPr>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教育（类）</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bCs w:val="0"/>
          <w:color w:val="000000"/>
          <w:sz w:val="32"/>
          <w:szCs w:val="32"/>
          <w:lang w:val="en-US" w:eastAsia="zh-CN"/>
        </w:rPr>
        <w:t>2059999其他教育</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110.97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文化体育与传媒（类）</w:t>
      </w:r>
      <w:r>
        <w:rPr>
          <w:rStyle w:val="14"/>
          <w:rFonts w:ascii="仿宋" w:hAnsi="仿宋" w:eastAsia="仿宋"/>
          <w:bCs/>
          <w:color w:val="000000"/>
          <w:sz w:val="32"/>
          <w:szCs w:val="32"/>
        </w:rPr>
        <w:t>:</w:t>
      </w:r>
      <w:r>
        <w:rPr>
          <w:rStyle w:val="14"/>
          <w:rFonts w:hint="eastAsia" w:ascii="仿宋" w:hAnsi="仿宋" w:eastAsia="仿宋"/>
          <w:bCs/>
          <w:color w:val="000000"/>
          <w:sz w:val="32"/>
          <w:szCs w:val="32"/>
          <w:lang w:val="en-US" w:eastAsia="zh-CN"/>
        </w:rPr>
        <w:t>2070199其他文化</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9.71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97.1%</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eastAsia="zh-CN"/>
        </w:rPr>
        <w:t>招标采购</w:t>
      </w:r>
      <w:r>
        <w:rPr>
          <w:rStyle w:val="14"/>
          <w:rFonts w:hint="eastAsia" w:ascii="仿宋" w:hAnsi="仿宋" w:eastAsia="仿宋"/>
          <w:b w:val="0"/>
          <w:bCs/>
          <w:color w:val="000000"/>
          <w:sz w:val="32"/>
          <w:szCs w:val="32"/>
        </w:rPr>
        <w:t>。</w:t>
      </w:r>
    </w:p>
    <w:p>
      <w:pPr>
        <w:spacing w:line="560" w:lineRule="exact"/>
        <w:ind w:firstLine="643" w:firstLineChars="200"/>
        <w:rPr>
          <w:rStyle w:val="14"/>
          <w:rFonts w:hint="eastAsia" w:ascii="仿宋" w:hAnsi="仿宋" w:eastAsia="仿宋"/>
          <w:b w:val="0"/>
          <w:bCs/>
          <w:color w:val="000000"/>
          <w:sz w:val="32"/>
          <w:szCs w:val="32"/>
          <w:lang w:eastAsia="zh-CN"/>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社会保障和就业</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bCs w:val="0"/>
          <w:color w:val="000000"/>
          <w:sz w:val="32"/>
          <w:szCs w:val="32"/>
          <w:lang w:val="en-US" w:eastAsia="zh-CN"/>
        </w:rPr>
        <w:t>2080505机关事业单位基本养老保险缴费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46.44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r>
        <w:rPr>
          <w:rStyle w:val="14"/>
          <w:rFonts w:hint="eastAsia" w:ascii="仿宋" w:hAnsi="仿宋" w:eastAsia="仿宋"/>
          <w:b/>
          <w:bCs w:val="0"/>
          <w:color w:val="000000"/>
          <w:sz w:val="32"/>
          <w:szCs w:val="32"/>
          <w:lang w:val="en-US" w:eastAsia="zh-CN"/>
        </w:rPr>
        <w:t>2080506机关事业单位职业年金缴费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18.58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r>
        <w:rPr>
          <w:rStyle w:val="14"/>
          <w:rFonts w:hint="eastAsia" w:ascii="仿宋" w:hAnsi="仿宋" w:eastAsia="仿宋"/>
          <w:b/>
          <w:bCs w:val="0"/>
          <w:color w:val="000000"/>
          <w:sz w:val="32"/>
          <w:szCs w:val="32"/>
          <w:lang w:val="en-US" w:eastAsia="zh-CN"/>
        </w:rPr>
        <w:t>2080801死亡抚恤</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36.52</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p>
    <w:p>
      <w:pPr>
        <w:spacing w:line="560" w:lineRule="exact"/>
        <w:ind w:firstLine="643" w:firstLineChars="200"/>
        <w:rPr>
          <w:rStyle w:val="14"/>
          <w:rFonts w:hint="eastAsia" w:ascii="仿宋" w:hAnsi="仿宋" w:eastAsia="仿宋"/>
          <w:b w:val="0"/>
          <w:bCs/>
          <w:color w:val="000000"/>
          <w:sz w:val="32"/>
          <w:szCs w:val="32"/>
          <w:lang w:eastAsia="zh-CN"/>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医疗卫生与计划生育（类）</w:t>
      </w:r>
      <w:r>
        <w:rPr>
          <w:rStyle w:val="14"/>
          <w:rFonts w:ascii="仿宋" w:hAnsi="仿宋" w:eastAsia="仿宋"/>
          <w:bCs/>
          <w:color w:val="000000"/>
          <w:sz w:val="32"/>
          <w:szCs w:val="32"/>
        </w:rPr>
        <w:t>:</w:t>
      </w:r>
      <w:r>
        <w:rPr>
          <w:rStyle w:val="14"/>
          <w:rFonts w:hint="eastAsia" w:ascii="仿宋" w:hAnsi="仿宋" w:eastAsia="仿宋"/>
          <w:bCs/>
          <w:color w:val="000000"/>
          <w:sz w:val="32"/>
          <w:szCs w:val="32"/>
          <w:lang w:val="en-US" w:eastAsia="zh-CN"/>
        </w:rPr>
        <w:t>2101101行政单位医疗</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15.27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lang w:val="en-US" w:eastAsia="zh-CN"/>
        </w:rPr>
        <w:t>2101103公务员医疗补助</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5.49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lang w:eastAsia="zh-CN"/>
        </w:rPr>
        <w:t>。</w:t>
      </w:r>
    </w:p>
    <w:p>
      <w:pPr>
        <w:spacing w:line="560" w:lineRule="exact"/>
        <w:ind w:firstLine="640" w:firstLineChars="200"/>
      </w:pPr>
      <w:r>
        <w:rPr>
          <w:rStyle w:val="14"/>
          <w:rFonts w:ascii="仿宋" w:hAnsi="仿宋" w:eastAsia="仿宋"/>
          <w:b w:val="0"/>
          <w:bCs/>
          <w:color w:val="000000"/>
          <w:sz w:val="32"/>
          <w:szCs w:val="32"/>
        </w:rPr>
        <w:t>6.</w:t>
      </w:r>
      <w:r>
        <w:rPr>
          <w:rFonts w:hint="eastAsia" w:ascii="仿宋" w:hAnsi="仿宋" w:eastAsia="仿宋"/>
          <w:b/>
          <w:bCs/>
          <w:color w:val="000000"/>
          <w:sz w:val="32"/>
          <w:szCs w:val="32"/>
        </w:rPr>
        <w:t>住房保障支出</w:t>
      </w:r>
      <w:r>
        <w:rPr>
          <w:rFonts w:ascii="仿宋" w:hAnsi="仿宋" w:eastAsia="仿宋"/>
          <w:b/>
          <w:bCs/>
          <w:color w:val="000000"/>
          <w:sz w:val="32"/>
          <w:szCs w:val="32"/>
        </w:rPr>
        <w:t>(</w:t>
      </w:r>
      <w:r>
        <w:rPr>
          <w:rFonts w:hint="eastAsia" w:ascii="仿宋" w:hAnsi="仿宋" w:eastAsia="仿宋"/>
          <w:b/>
          <w:bCs/>
          <w:color w:val="000000"/>
          <w:sz w:val="32"/>
          <w:szCs w:val="32"/>
        </w:rPr>
        <w:t>类</w:t>
      </w:r>
      <w:r>
        <w:rPr>
          <w:rFonts w:ascii="仿宋" w:hAnsi="仿宋" w:eastAsia="仿宋"/>
          <w:b/>
          <w:bCs/>
          <w:color w:val="000000"/>
          <w:sz w:val="32"/>
          <w:szCs w:val="32"/>
        </w:rPr>
        <w:t>)</w:t>
      </w:r>
      <w:r>
        <w:rPr>
          <w:rFonts w:hint="eastAsia" w:ascii="仿宋" w:hAnsi="仿宋" w:eastAsia="仿宋"/>
          <w:b/>
          <w:bCs/>
          <w:color w:val="000000"/>
          <w:sz w:val="32"/>
          <w:szCs w:val="32"/>
        </w:rPr>
        <w:t>：</w:t>
      </w:r>
      <w:r>
        <w:rPr>
          <w:rFonts w:hint="eastAsia" w:ascii="仿宋" w:hAnsi="仿宋" w:eastAsia="仿宋"/>
          <w:b/>
          <w:bCs/>
          <w:color w:val="000000"/>
          <w:sz w:val="32"/>
          <w:szCs w:val="32"/>
          <w:lang w:val="en-US" w:eastAsia="zh-CN"/>
        </w:rPr>
        <w:t>2210201住房公积金</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31.36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pStyle w:val="2"/>
      </w:pPr>
      <w:r>
        <w:rPr>
          <w:rStyle w:val="14"/>
          <w:rFonts w:ascii="仿宋" w:hAnsi="仿宋" w:eastAsia="仿宋"/>
          <w:b w:val="0"/>
          <w:bCs/>
          <w:color w:val="000000"/>
          <w:sz w:val="32"/>
          <w:szCs w:val="32"/>
        </w:rPr>
        <w:t xml:space="preserve">   </w:t>
      </w:r>
    </w:p>
    <w:p>
      <w:pPr>
        <w:tabs>
          <w:tab w:val="right" w:pos="8306"/>
        </w:tabs>
        <w:spacing w:line="560" w:lineRule="exact"/>
        <w:ind w:firstLine="640"/>
        <w:outlineLvl w:val="1"/>
        <w:rPr>
          <w:rStyle w:val="18"/>
        </w:rPr>
      </w:pPr>
      <w:bookmarkStart w:id="42" w:name="_Toc15396608"/>
      <w:bookmarkStart w:id="4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2"/>
      <w:bookmarkEnd w:id="43"/>
      <w:r>
        <w:rPr>
          <w:rStyle w:val="18"/>
          <w:rFonts w:ascii="黑体" w:hAnsi="黑体" w:eastAsia="黑体"/>
          <w:b w:val="0"/>
        </w:rPr>
        <w:tab/>
      </w:r>
    </w:p>
    <w:p>
      <w:pPr>
        <w:spacing w:line="56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674.17</w:t>
      </w:r>
      <w:r>
        <w:rPr>
          <w:rFonts w:hint="eastAsia" w:ascii="仿宋" w:hAnsi="仿宋" w:eastAsia="仿宋"/>
          <w:color w:val="000000"/>
          <w:sz w:val="32"/>
          <w:szCs w:val="32"/>
        </w:rPr>
        <w:t>万元，其中：</w:t>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549.29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81.41万元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171.18万元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84.95万元</w:t>
      </w:r>
      <w:r>
        <w:rPr>
          <w:rFonts w:hint="eastAsia" w:ascii="仿宋" w:hAnsi="仿宋" w:eastAsia="仿宋"/>
          <w:color w:val="000000"/>
          <w:sz w:val="32"/>
          <w:szCs w:val="32"/>
        </w:rPr>
        <w:t>、伙食补助费、绩效工资、机关事业单位基本养老保险缴费</w:t>
      </w:r>
      <w:r>
        <w:rPr>
          <w:rFonts w:hint="eastAsia" w:ascii="仿宋" w:hAnsi="仿宋" w:eastAsia="仿宋"/>
          <w:color w:val="000000"/>
          <w:sz w:val="32"/>
          <w:szCs w:val="32"/>
          <w:lang w:val="en-US" w:eastAsia="zh-CN"/>
        </w:rPr>
        <w:t>46.44万元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18.57万元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医疗保险缴费</w:t>
      </w:r>
      <w:r>
        <w:rPr>
          <w:rFonts w:hint="eastAsia" w:ascii="仿宋" w:hAnsi="仿宋" w:eastAsia="仿宋"/>
          <w:color w:val="000000"/>
          <w:sz w:val="32"/>
          <w:szCs w:val="32"/>
          <w:lang w:val="en-US" w:eastAsia="zh-CN"/>
        </w:rPr>
        <w:t>15.27万元、公务员医疗缴费5.49万元、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4.99万元</w:t>
      </w:r>
      <w:r>
        <w:rPr>
          <w:rFonts w:hint="eastAsia" w:ascii="仿宋" w:hAnsi="仿宋" w:eastAsia="仿宋"/>
          <w:color w:val="000000"/>
          <w:sz w:val="32"/>
          <w:szCs w:val="32"/>
        </w:rPr>
        <w:t>、其他工资福利支出、离休费</w:t>
      </w:r>
      <w:r>
        <w:rPr>
          <w:rFonts w:hint="eastAsia" w:ascii="仿宋" w:hAnsi="仿宋" w:eastAsia="仿宋"/>
          <w:color w:val="000000"/>
          <w:sz w:val="32"/>
          <w:szCs w:val="32"/>
          <w:lang w:val="en-US" w:eastAsia="zh-CN"/>
        </w:rPr>
        <w:t>17.96万元</w:t>
      </w:r>
      <w:r>
        <w:rPr>
          <w:rFonts w:hint="eastAsia" w:ascii="仿宋" w:hAnsi="仿宋" w:eastAsia="仿宋"/>
          <w:color w:val="000000"/>
          <w:sz w:val="32"/>
          <w:szCs w:val="32"/>
        </w:rPr>
        <w:t>、退休费、抚恤金</w:t>
      </w:r>
      <w:r>
        <w:rPr>
          <w:rFonts w:hint="eastAsia" w:ascii="仿宋" w:hAnsi="仿宋" w:eastAsia="仿宋"/>
          <w:color w:val="000000"/>
          <w:sz w:val="32"/>
          <w:szCs w:val="32"/>
          <w:lang w:val="en-US" w:eastAsia="zh-CN"/>
        </w:rPr>
        <w:t>36.52万元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32.63万元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2.51万元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0.02</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31.36万元</w:t>
      </w:r>
      <w:r>
        <w:rPr>
          <w:rFonts w:hint="eastAsia" w:ascii="仿宋" w:hAnsi="仿宋" w:eastAsia="仿宋"/>
          <w:color w:val="000000"/>
          <w:sz w:val="32"/>
          <w:szCs w:val="32"/>
        </w:rPr>
        <w:t>、提租补贴、购房补贴、其他对个人和家庭的补助支出等。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464.18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234万元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2.04万元</w:t>
      </w:r>
      <w:r>
        <w:rPr>
          <w:rFonts w:hint="eastAsia" w:ascii="仿宋" w:hAnsi="仿宋" w:eastAsia="仿宋"/>
          <w:color w:val="000000"/>
          <w:sz w:val="32"/>
          <w:szCs w:val="32"/>
        </w:rPr>
        <w:t>、咨询费、手续费、水费、电费</w:t>
      </w:r>
      <w:r>
        <w:rPr>
          <w:rFonts w:hint="eastAsia" w:ascii="仿宋" w:hAnsi="仿宋" w:eastAsia="仿宋"/>
          <w:color w:val="000000"/>
          <w:sz w:val="32"/>
          <w:szCs w:val="32"/>
          <w:lang w:val="en-US" w:eastAsia="zh-CN"/>
        </w:rPr>
        <w:t>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7.18万元</w:t>
      </w:r>
      <w:r>
        <w:rPr>
          <w:rFonts w:hint="eastAsia" w:ascii="仿宋" w:hAnsi="仿宋" w:eastAsia="仿宋"/>
          <w:color w:val="000000"/>
          <w:sz w:val="32"/>
          <w:szCs w:val="32"/>
        </w:rPr>
        <w:t>、取暖费、物业管理费、差旅费</w:t>
      </w:r>
      <w:r>
        <w:rPr>
          <w:rFonts w:hint="eastAsia" w:ascii="仿宋" w:hAnsi="仿宋" w:eastAsia="仿宋"/>
          <w:color w:val="000000"/>
          <w:sz w:val="32"/>
          <w:szCs w:val="32"/>
          <w:lang w:val="en-US" w:eastAsia="zh-CN"/>
        </w:rPr>
        <w:t>8万元</w:t>
      </w:r>
      <w:r>
        <w:rPr>
          <w:rFonts w:hint="eastAsia" w:ascii="仿宋" w:hAnsi="仿宋" w:eastAsia="仿宋"/>
          <w:color w:val="000000"/>
          <w:sz w:val="32"/>
          <w:szCs w:val="32"/>
        </w:rPr>
        <w:t>、因公出国（境）费用、维修（护）费</w:t>
      </w:r>
      <w:r>
        <w:rPr>
          <w:rFonts w:hint="eastAsia" w:ascii="仿宋" w:hAnsi="仿宋" w:eastAsia="仿宋"/>
          <w:color w:val="000000"/>
          <w:sz w:val="32"/>
          <w:szCs w:val="32"/>
          <w:lang w:val="en-US" w:eastAsia="zh-CN"/>
        </w:rPr>
        <w:t>0.41万元</w:t>
      </w:r>
      <w:r>
        <w:rPr>
          <w:rFonts w:hint="eastAsia" w:ascii="仿宋" w:hAnsi="仿宋" w:eastAsia="仿宋"/>
          <w:color w:val="000000"/>
          <w:sz w:val="32"/>
          <w:szCs w:val="32"/>
        </w:rPr>
        <w:t>、租赁费、会议费、培训费</w:t>
      </w:r>
      <w:r>
        <w:rPr>
          <w:rFonts w:hint="eastAsia" w:ascii="仿宋" w:hAnsi="仿宋" w:eastAsia="仿宋"/>
          <w:color w:val="000000"/>
          <w:sz w:val="32"/>
          <w:szCs w:val="32"/>
          <w:lang w:val="en-US" w:eastAsia="zh-CN"/>
        </w:rPr>
        <w:t>190.97万元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0.66</w:t>
      </w:r>
      <w:r>
        <w:rPr>
          <w:rFonts w:hint="eastAsia" w:ascii="仿宋" w:hAnsi="仿宋" w:eastAsia="仿宋"/>
          <w:color w:val="000000"/>
          <w:sz w:val="32"/>
          <w:szCs w:val="32"/>
        </w:rPr>
        <w:t>、劳务费、委托业务费、工会经费、福利费、公务用车运行维护费</w:t>
      </w:r>
      <w:r>
        <w:rPr>
          <w:rFonts w:hint="eastAsia" w:ascii="仿宋" w:hAnsi="仿宋" w:eastAsia="仿宋"/>
          <w:color w:val="000000"/>
          <w:sz w:val="32"/>
          <w:szCs w:val="32"/>
          <w:lang w:val="en-US" w:eastAsia="zh-CN"/>
        </w:rPr>
        <w:t>17.92万元</w:t>
      </w:r>
      <w:r>
        <w:rPr>
          <w:rFonts w:hint="eastAsia" w:ascii="仿宋" w:hAnsi="仿宋" w:eastAsia="仿宋"/>
          <w:color w:val="000000"/>
          <w:sz w:val="32"/>
          <w:szCs w:val="32"/>
        </w:rPr>
        <w:t>、其他交通费、税金及附加费用、其他商品和服务支出、办公设备购置、专用设备购置、信息网络及软件购置更新、其他资本性支出等。</w:t>
      </w:r>
    </w:p>
    <w:p>
      <w:pPr>
        <w:spacing w:line="560" w:lineRule="exact"/>
        <w:ind w:firstLine="640"/>
        <w:outlineLvl w:val="1"/>
        <w:rPr>
          <w:rStyle w:val="18"/>
          <w:rFonts w:ascii="黑体" w:hAnsi="黑体" w:eastAsia="黑体"/>
          <w:b w:val="0"/>
        </w:rPr>
      </w:pPr>
      <w:bookmarkStart w:id="44" w:name="_Toc15377215"/>
      <w:bookmarkStart w:id="45"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4"/>
      <w:bookmarkEnd w:id="45"/>
    </w:p>
    <w:p>
      <w:pPr>
        <w:spacing w:line="56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pPr>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18.58</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r>
        <w:rPr>
          <w:rFonts w:hint="eastAsia" w:ascii="仿宋" w:hAnsi="仿宋" w:eastAsia="仿宋"/>
          <w:color w:val="000000"/>
          <w:sz w:val="32"/>
          <w:szCs w:val="32"/>
          <w:lang w:eastAsia="zh-CN"/>
        </w:rPr>
        <w:t>决算数</w:t>
      </w:r>
      <w:r>
        <w:rPr>
          <w:rFonts w:hint="eastAsia" w:ascii="仿宋" w:hAnsi="仿宋" w:eastAsia="仿宋"/>
          <w:color w:val="000000"/>
          <w:sz w:val="32"/>
          <w:szCs w:val="32"/>
        </w:rPr>
        <w:t>与预算数持平。</w:t>
      </w:r>
    </w:p>
    <w:p>
      <w:pPr>
        <w:spacing w:line="56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pPr>
        <w:spacing w:line="56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18.58</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17.92</w:t>
      </w:r>
      <w:r>
        <w:rPr>
          <w:rFonts w:hint="eastAsia" w:ascii="仿宋" w:hAnsi="仿宋" w:eastAsia="仿宋"/>
          <w:color w:val="000000"/>
          <w:sz w:val="32"/>
          <w:szCs w:val="32"/>
        </w:rPr>
        <w:t>万元，占</w:t>
      </w:r>
      <w:r>
        <w:rPr>
          <w:rFonts w:ascii="仿宋" w:hAnsi="仿宋" w:eastAsia="仿宋"/>
          <w:color w:val="000000"/>
          <w:sz w:val="32"/>
          <w:szCs w:val="32"/>
        </w:rPr>
        <w:t>9.29%</w:t>
      </w:r>
      <w:r>
        <w:rPr>
          <w:rFonts w:hint="eastAsia" w:ascii="仿宋" w:hAnsi="仿宋" w:eastAsia="仿宋"/>
          <w:color w:val="000000"/>
          <w:sz w:val="32"/>
          <w:szCs w:val="32"/>
        </w:rPr>
        <w:t>；公务接待费支出决算</w:t>
      </w:r>
      <w:r>
        <w:rPr>
          <w:rFonts w:ascii="仿宋" w:hAnsi="仿宋" w:eastAsia="仿宋"/>
          <w:color w:val="000000"/>
          <w:sz w:val="32"/>
          <w:szCs w:val="32"/>
        </w:rPr>
        <w:t>0.66</w:t>
      </w:r>
      <w:r>
        <w:rPr>
          <w:rFonts w:hint="eastAsia" w:ascii="仿宋" w:hAnsi="仿宋" w:eastAsia="仿宋"/>
          <w:color w:val="000000"/>
          <w:sz w:val="32"/>
          <w:szCs w:val="32"/>
        </w:rPr>
        <w:t>万元，占</w:t>
      </w:r>
      <w:r>
        <w:rPr>
          <w:rFonts w:ascii="仿宋" w:hAnsi="仿宋" w:eastAsia="仿宋"/>
          <w:color w:val="000000"/>
          <w:sz w:val="32"/>
          <w:szCs w:val="32"/>
        </w:rPr>
        <w:t>0.34%</w:t>
      </w:r>
      <w:r>
        <w:rPr>
          <w:rFonts w:hint="eastAsia" w:ascii="仿宋" w:hAnsi="仿宋" w:eastAsia="仿宋"/>
          <w:color w:val="000000"/>
          <w:sz w:val="32"/>
          <w:szCs w:val="32"/>
        </w:rPr>
        <w:t>。具体情况如下：</w:t>
      </w:r>
    </w:p>
    <w:p>
      <w:pPr>
        <w:numPr>
          <w:ilvl w:val="0"/>
          <w:numId w:val="4"/>
        </w:num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人。与上年持平。</w:t>
      </w:r>
    </w:p>
    <w:p>
      <w:pPr>
        <w:spacing w:line="52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17.92</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8.96</w:t>
      </w:r>
      <w:r>
        <w:rPr>
          <w:rFonts w:hint="eastAsia" w:ascii="仿宋_GB2312" w:eastAsia="仿宋_GB2312"/>
          <w:color w:val="000000"/>
          <w:sz w:val="32"/>
          <w:szCs w:val="32"/>
        </w:rPr>
        <w:t>万元，增长</w:t>
      </w:r>
      <w:r>
        <w:rPr>
          <w:rFonts w:ascii="仿宋_GB2312" w:eastAsia="仿宋_GB2312"/>
          <w:color w:val="000000"/>
          <w:sz w:val="32"/>
          <w:szCs w:val="32"/>
        </w:rPr>
        <w:t>49.78%</w:t>
      </w:r>
      <w:r>
        <w:rPr>
          <w:rFonts w:hint="eastAsia" w:ascii="仿宋_GB2312" w:eastAsia="仿宋_GB2312"/>
          <w:color w:val="000000"/>
          <w:sz w:val="32"/>
          <w:szCs w:val="32"/>
        </w:rPr>
        <w:t>。主要原因是公务用车增加</w:t>
      </w:r>
      <w:r>
        <w:rPr>
          <w:rFonts w:ascii="仿宋_GB2312" w:eastAsia="仿宋_GB2312"/>
          <w:color w:val="000000"/>
          <w:sz w:val="32"/>
          <w:szCs w:val="32"/>
        </w:rPr>
        <w:t xml:space="preserve">, </w:t>
      </w:r>
      <w:r>
        <w:rPr>
          <w:rFonts w:hint="eastAsia" w:ascii="仿宋_GB2312" w:eastAsia="仿宋_GB2312"/>
          <w:color w:val="000000"/>
          <w:sz w:val="32"/>
          <w:szCs w:val="32"/>
        </w:rPr>
        <w:t>车辆维修费用增加和业务用车增加。</w:t>
      </w:r>
    </w:p>
    <w:p>
      <w:pPr>
        <w:spacing w:line="52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2</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2</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4"/>
        </w:numPr>
        <w:spacing w:line="52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17.92</w:t>
      </w:r>
      <w:r>
        <w:rPr>
          <w:rFonts w:hint="eastAsia" w:ascii="仿宋_GB2312" w:eastAsia="仿宋_GB2312"/>
          <w:color w:val="000000"/>
          <w:sz w:val="32"/>
          <w:szCs w:val="32"/>
        </w:rPr>
        <w:t>万元。主要用于出差、下乡等所需的公务用车燃料费、维修费、过路过桥费、保险费等支出。</w:t>
      </w:r>
    </w:p>
    <w:p>
      <w:pPr>
        <w:spacing w:line="52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0.66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0.59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89.39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公务接待活动</w:t>
      </w:r>
      <w:r>
        <w:rPr>
          <w:rFonts w:hint="eastAsia" w:ascii="仿宋_GB2312" w:eastAsia="仿宋_GB2312"/>
          <w:color w:val="000000"/>
          <w:sz w:val="32"/>
          <w:szCs w:val="32"/>
        </w:rPr>
        <w:t>增加。</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10余</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90</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0.66</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省级领导、州级领导调研、考察组织工作</w:t>
      </w:r>
      <w:r>
        <w:rPr>
          <w:rFonts w:hint="eastAsia" w:ascii="仿宋_GB2312" w:eastAsia="仿宋_GB2312"/>
          <w:color w:val="000000"/>
          <w:sz w:val="32"/>
          <w:szCs w:val="32"/>
        </w:rPr>
        <w:t>。其中：</w:t>
      </w:r>
    </w:p>
    <w:p>
      <w:pPr>
        <w:spacing w:line="56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bookmarkStart w:id="48" w:name="_Toc15377218"/>
      <w:bookmarkStart w:id="49" w:name="_Toc15396610"/>
    </w:p>
    <w:p>
      <w:pPr>
        <w:spacing w:line="56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8"/>
      <w:bookmarkEnd w:id="49"/>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5"/>
        </w:numPr>
        <w:spacing w:line="560" w:lineRule="exact"/>
        <w:ind w:firstLine="640"/>
        <w:outlineLvl w:val="1"/>
        <w:rPr>
          <w:rStyle w:val="18"/>
          <w:rFonts w:ascii="黑体" w:hAnsi="黑体" w:eastAsia="黑体"/>
          <w:b w:val="0"/>
        </w:rPr>
      </w:pPr>
      <w:bookmarkStart w:id="50" w:name="_Toc15377219"/>
      <w:bookmarkStart w:id="51" w:name="_Toc15396611"/>
      <w:r>
        <w:rPr>
          <w:rStyle w:val="18"/>
          <w:rFonts w:hint="eastAsia" w:ascii="黑体" w:hAnsi="黑体" w:eastAsia="黑体"/>
          <w:b w:val="0"/>
        </w:rPr>
        <w:t>国有资本经营预算支出决算情况说明</w:t>
      </w:r>
      <w:bookmarkEnd w:id="50"/>
      <w:bookmarkEnd w:id="51"/>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8"/>
        <w:numPr>
          <w:ilvl w:val="0"/>
          <w:numId w:val="6"/>
        </w:numPr>
        <w:spacing w:line="560" w:lineRule="exact"/>
        <w:ind w:firstLineChars="0"/>
        <w:rPr>
          <w:rStyle w:val="18"/>
          <w:rFonts w:ascii="黑体" w:hAnsi="黑体" w:eastAsia="黑体"/>
          <w:b w:val="0"/>
        </w:rPr>
      </w:pPr>
      <w:r>
        <w:rPr>
          <w:rStyle w:val="18"/>
          <w:rFonts w:hint="eastAsia" w:ascii="黑体" w:hAnsi="黑体" w:eastAsia="黑体"/>
          <w:b w:val="0"/>
        </w:rPr>
        <w:t>预算绩效情况说明</w:t>
      </w:r>
    </w:p>
    <w:p>
      <w:pPr>
        <w:numPr>
          <w:ilvl w:val="0"/>
          <w:numId w:val="7"/>
        </w:numPr>
        <w:spacing w:line="56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6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无预算项目绩效支出评价报告。</w:t>
      </w:r>
    </w:p>
    <w:p>
      <w:pPr>
        <w:spacing w:line="560" w:lineRule="exact"/>
        <w:ind w:firstLine="800" w:firstLineChars="250"/>
        <w:outlineLvl w:val="1"/>
        <w:rPr>
          <w:rStyle w:val="18"/>
          <w:rFonts w:ascii="黑体" w:hAnsi="黑体" w:eastAsia="黑体"/>
        </w:rPr>
      </w:pPr>
      <w:bookmarkStart w:id="52" w:name="_Toc15377221"/>
      <w:bookmarkStart w:id="53" w:name="_Toc15396612"/>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52"/>
      <w:bookmarkEnd w:id="53"/>
    </w:p>
    <w:p>
      <w:pPr>
        <w:spacing w:line="56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组织部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1013.47</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 w:hAnsi="仿宋" w:eastAsia="仿宋"/>
          <w:color w:val="000000"/>
          <w:sz w:val="32"/>
          <w:szCs w:val="32"/>
        </w:rPr>
        <w:t>147.64</w:t>
      </w:r>
      <w:r>
        <w:rPr>
          <w:rFonts w:hint="eastAsia" w:ascii="仿宋" w:hAnsi="仿宋" w:eastAsia="仿宋"/>
          <w:color w:val="000000"/>
          <w:sz w:val="32"/>
          <w:szCs w:val="32"/>
        </w:rPr>
        <w:t>万元，增长</w:t>
      </w:r>
      <w:r>
        <w:rPr>
          <w:rFonts w:ascii="仿宋" w:hAnsi="仿宋" w:eastAsia="仿宋"/>
          <w:color w:val="000000"/>
          <w:sz w:val="32"/>
          <w:szCs w:val="32"/>
        </w:rPr>
        <w:t>14.57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人员增加和业务工作经费支出、项目支出增加</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组织部共有资产</w:t>
      </w:r>
      <w:r>
        <w:rPr>
          <w:rFonts w:hint="eastAsia" w:ascii="仿宋_GB2312" w:eastAsia="仿宋_GB2312"/>
          <w:color w:val="000000"/>
          <w:sz w:val="32"/>
          <w:szCs w:val="32"/>
          <w:lang w:val="en-US" w:eastAsia="zh-CN"/>
        </w:rPr>
        <w:t>187万元，其中流动资产68万元，固定资产119万元，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560" w:lineRule="exact"/>
        <w:ind w:firstLine="643" w:firstLineChars="200"/>
        <w:rPr>
          <w:rFonts w:ascii="仿宋_GB2312" w:eastAsia="仿宋_GB2312"/>
          <w:b/>
          <w:color w:val="000000"/>
          <w:sz w:val="32"/>
          <w:szCs w:val="32"/>
        </w:rPr>
      </w:pPr>
    </w:p>
    <w:p>
      <w:pPr>
        <w:widowControl/>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560" w:lineRule="exact"/>
        <w:ind w:firstLine="663" w:firstLineChars="150"/>
        <w:jc w:val="center"/>
        <w:outlineLvl w:val="0"/>
        <w:rPr>
          <w:rStyle w:val="30"/>
          <w:rFonts w:ascii="黑体" w:hAnsi="黑体" w:eastAsia="黑体"/>
          <w:b w:val="0"/>
        </w:rPr>
      </w:pPr>
      <w:bookmarkStart w:id="57" w:name="_Toc15377225"/>
      <w:bookmarkStart w:id="58"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7"/>
      <w:bookmarkEnd w:id="58"/>
    </w:p>
    <w:p>
      <w:pPr>
        <w:pageBreakBefore w:val="0"/>
        <w:kinsoku/>
        <w:wordWrap/>
        <w:overflowPunct/>
        <w:topLinePunct w:val="0"/>
        <w:bidi w:val="0"/>
        <w:spacing w:line="520" w:lineRule="exact"/>
        <w:ind w:firstLine="883" w:firstLineChars="200"/>
        <w:jc w:val="left"/>
        <w:textAlignment w:val="auto"/>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7"/>
        <w:keepNext w:val="0"/>
        <w:keepLines w:val="0"/>
        <w:pageBreakBefore w:val="0"/>
        <w:widowControl w:val="0"/>
        <w:kinsoku/>
        <w:wordWrap/>
        <w:overflowPunct/>
        <w:topLinePunct w:val="0"/>
        <w:autoSpaceDE w:val="0"/>
        <w:autoSpaceDN w:val="0"/>
        <w:bidi w:val="0"/>
        <w:adjustRightInd w:val="0"/>
        <w:snapToGrid/>
        <w:spacing w:line="520" w:lineRule="exact"/>
        <w:ind w:left="0" w:leftChars="0" w:firstLine="640" w:firstLineChars="200"/>
        <w:textAlignment w:val="auto"/>
        <w:rPr>
          <w:rFonts w:hint="default" w:ascii="仿宋_GB2312" w:eastAsia="仿宋_GB2312"/>
          <w:sz w:val="32"/>
          <w:szCs w:val="32"/>
          <w:lang w:val="en-US"/>
        </w:rPr>
      </w:pPr>
      <w:r>
        <w:rPr>
          <w:rFonts w:hint="eastAsia" w:ascii="仿宋_GB2312" w:eastAsia="仿宋_GB2312"/>
          <w:sz w:val="32"/>
          <w:szCs w:val="32"/>
          <w:lang w:val="en-US" w:eastAsia="zh-CN"/>
        </w:rPr>
        <w:t xml:space="preserve"> 9</w:t>
      </w:r>
      <w:r>
        <w:rPr>
          <w:rFonts w:ascii="仿宋_GB2312" w:eastAsia="仿宋_GB2312"/>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行政运行（项）：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行政机关用于保障机构正常正常运转，开展日常工作的基本支出。</w:t>
      </w:r>
    </w:p>
    <w:p>
      <w:pPr>
        <w:pStyle w:val="27"/>
        <w:pageBreakBefore w:val="0"/>
        <w:kinsoku/>
        <w:wordWrap/>
        <w:overflowPunct/>
        <w:topLinePunct w:val="0"/>
        <w:bidi w:val="0"/>
        <w:spacing w:line="520"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一般行政管理</w:t>
      </w:r>
      <w:r>
        <w:rPr>
          <w:rFonts w:hint="eastAsia" w:ascii="仿宋_GB2312" w:eastAsia="仿宋_GB2312"/>
          <w:color w:val="000000"/>
          <w:sz w:val="32"/>
          <w:szCs w:val="32"/>
          <w:lang w:val="en-US" w:eastAsia="zh-CN"/>
        </w:rPr>
        <w:t xml:space="preserve"> 事务（项）：指行政机关开展专项工作等未单独设置项级科目的专门性管理工作的项目支出。</w:t>
      </w:r>
    </w:p>
    <w:p>
      <w:pPr>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w:t>
      </w:r>
      <w:r>
        <w:rPr>
          <w:rFonts w:hint="eastAsia" w:ascii="仿宋_GB2312" w:eastAsia="仿宋_GB2312"/>
          <w:color w:val="000000"/>
          <w:sz w:val="32"/>
          <w:szCs w:val="32"/>
          <w:lang w:val="en-US" w:eastAsia="zh-CN"/>
        </w:rPr>
        <w:t>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部门实施养老保险制度由单位缴纳的养老保险费的支出</w:t>
      </w:r>
      <w:r>
        <w:rPr>
          <w:rFonts w:hint="eastAsia" w:ascii="仿宋_GB2312" w:eastAsia="仿宋_GB2312"/>
          <w:color w:val="000000"/>
          <w:sz w:val="32"/>
          <w:szCs w:val="32"/>
        </w:rPr>
        <w:t>。</w:t>
      </w:r>
    </w:p>
    <w:p>
      <w:pPr>
        <w:pageBreakBefore w:val="0"/>
        <w:kinsoku/>
        <w:wordWrap/>
        <w:overflowPunct/>
        <w:topLinePunct w:val="0"/>
        <w:bidi w:val="0"/>
        <w:spacing w:line="52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12</w:t>
      </w:r>
      <w:r>
        <w:rPr>
          <w:rFonts w:hint="eastAsia" w:ascii="仿宋_GB2312" w:eastAsia="仿宋_GB2312"/>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w:t>
      </w:r>
      <w:r>
        <w:rPr>
          <w:rFonts w:hint="eastAsia" w:ascii="仿宋_GB2312" w:eastAsia="仿宋_GB2312"/>
          <w:color w:val="000000"/>
          <w:sz w:val="32"/>
          <w:szCs w:val="32"/>
          <w:lang w:val="en-US" w:eastAsia="zh-CN"/>
        </w:rPr>
        <w:t>职业年金缴费支出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部门实施养老保险制度由单位缴纳的职业年金的支出</w:t>
      </w:r>
      <w:r>
        <w:rPr>
          <w:rFonts w:hint="eastAsia" w:ascii="仿宋_GB2312" w:eastAsia="仿宋_GB2312"/>
          <w:color w:val="000000"/>
          <w:sz w:val="32"/>
          <w:szCs w:val="32"/>
        </w:rPr>
        <w:t>。</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行政机关用于缴纳单位</w:t>
      </w:r>
      <w:r>
        <w:rPr>
          <w:rFonts w:hint="eastAsia" w:ascii="仿宋_GB2312" w:eastAsia="仿宋_GB2312"/>
          <w:color w:val="000000"/>
          <w:sz w:val="32"/>
          <w:szCs w:val="32"/>
          <w:lang w:val="en-US" w:eastAsia="zh-CN"/>
        </w:rPr>
        <w:t>基本医疗保险的支出</w:t>
      </w:r>
      <w:r>
        <w:rPr>
          <w:rFonts w:hint="eastAsia" w:ascii="仿宋_GB2312" w:eastAsia="仿宋_GB2312"/>
          <w:color w:val="000000"/>
          <w:sz w:val="32"/>
          <w:szCs w:val="32"/>
        </w:rPr>
        <w:t>。</w:t>
      </w:r>
    </w:p>
    <w:p>
      <w:pPr>
        <w:pageBreakBefore w:val="0"/>
        <w:kinsoku/>
        <w:wordWrap/>
        <w:overflowPunct/>
        <w:topLinePunct w:val="0"/>
        <w:bidi w:val="0"/>
        <w:spacing w:line="520"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指行政机关及参公管理事业单位</w:t>
      </w:r>
      <w:r>
        <w:rPr>
          <w:rFonts w:hint="eastAsia" w:ascii="仿宋_GB2312" w:eastAsia="仿宋_GB2312"/>
          <w:color w:val="000000"/>
          <w:sz w:val="32"/>
          <w:szCs w:val="32"/>
          <w:lang w:val="en-US" w:eastAsia="zh-CN"/>
        </w:rPr>
        <w:t xml:space="preserve"> 用于集中缴纳公务员医疗补助的支出。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按照《住房公积金管理条例》的规定，由单位</w:t>
      </w:r>
      <w:r>
        <w:rPr>
          <w:rFonts w:hint="eastAsia" w:ascii="仿宋_GB2312" w:eastAsia="仿宋_GB2312"/>
          <w:color w:val="000000"/>
          <w:sz w:val="32"/>
          <w:szCs w:val="32"/>
          <w:lang w:val="en-US" w:eastAsia="zh-CN"/>
        </w:rPr>
        <w:t xml:space="preserve"> 及其在职职工缴存的住房公积金</w:t>
      </w:r>
      <w:r>
        <w:rPr>
          <w:rFonts w:hint="eastAsia" w:ascii="仿宋_GB2312" w:eastAsia="仿宋_GB2312"/>
          <w:color w:val="000000"/>
          <w:sz w:val="32"/>
          <w:szCs w:val="32"/>
        </w:rPr>
        <w:t>。</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kinsoku/>
        <w:wordWrap/>
        <w:overflowPunct/>
        <w:topLinePunct w:val="0"/>
        <w:bidi w:val="0"/>
        <w:spacing w:line="520" w:lineRule="exact"/>
        <w:ind w:firstLine="640" w:firstLineChars="200"/>
        <w:textAlignment w:val="auto"/>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jc w:val="center"/>
        <w:outlineLvl w:val="0"/>
        <w:rPr>
          <w:rStyle w:val="17"/>
        </w:rPr>
      </w:pPr>
      <w:bookmarkStart w:id="59" w:name="_Toc15377226"/>
      <w:r>
        <w:rPr>
          <w:rFonts w:ascii="宋体"/>
          <w:b/>
          <w:color w:val="000000"/>
          <w:sz w:val="44"/>
          <w:szCs w:val="44"/>
        </w:rPr>
        <w:br w:type="page"/>
      </w:r>
      <w:bookmarkStart w:id="60"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60"/>
    </w:p>
    <w:p>
      <w:pPr>
        <w:pStyle w:val="4"/>
        <w:spacing w:line="560" w:lineRule="exact"/>
        <w:rPr>
          <w:rStyle w:val="17"/>
          <w:rFonts w:ascii="仿宋" w:hAnsi="仿宋" w:eastAsia="仿宋"/>
          <w:b w:val="0"/>
          <w:bCs w:val="0"/>
          <w:sz w:val="32"/>
          <w:szCs w:val="32"/>
        </w:rPr>
      </w:pPr>
      <w:bookmarkStart w:id="61"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61"/>
    </w:p>
    <w:p>
      <w:pPr>
        <w:spacing w:line="560" w:lineRule="exact"/>
        <w:jc w:val="center"/>
        <w:outlineLvl w:val="0"/>
        <w:rPr>
          <w:rFonts w:hint="eastAsia" w:ascii="黑体" w:hAnsi="黑体" w:eastAsia="黑体" w:cs="黑体"/>
          <w:kern w:val="2"/>
          <w:sz w:val="36"/>
          <w:szCs w:val="36"/>
          <w:lang w:val="en-US" w:eastAsia="zh-CN" w:bidi="ar"/>
        </w:rPr>
      </w:pPr>
      <w:bookmarkStart w:id="62" w:name="_Toc15396616"/>
      <w:r>
        <w:rPr>
          <w:rFonts w:hint="eastAsia" w:ascii="黑体" w:hAnsi="黑体" w:eastAsia="黑体" w:cs="黑体"/>
          <w:kern w:val="2"/>
          <w:sz w:val="36"/>
          <w:szCs w:val="36"/>
          <w:lang w:val="en-US" w:eastAsia="zh-CN" w:bidi="ar"/>
        </w:rPr>
        <w:t>中共红原县委组织部</w:t>
      </w:r>
    </w:p>
    <w:p>
      <w:pPr>
        <w:spacing w:line="560" w:lineRule="exact"/>
        <w:jc w:val="center"/>
        <w:outlineLvl w:val="0"/>
        <w:rPr>
          <w:rFonts w:ascii="黑体" w:hAnsi="黑体" w:eastAsia="黑体" w:cs="方正小标宋简体"/>
          <w:sz w:val="36"/>
          <w:szCs w:val="36"/>
        </w:rPr>
      </w:pP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年部门整体支出绩效评价报告</w:t>
      </w:r>
      <w:bookmarkEnd w:id="62"/>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bookmarkStart w:id="75" w:name="_GoBack"/>
      <w:bookmarkEnd w:id="75"/>
    </w:p>
    <w:p>
      <w:pPr>
        <w:spacing w:line="520" w:lineRule="exact"/>
        <w:ind w:firstLine="643" w:firstLineChars="200"/>
        <w:jc w:val="left"/>
        <w:rPr>
          <w:rFonts w:hint="eastAsia" w:ascii="仿宋_GB2312" w:hAnsi="仿宋_GB2312" w:eastAsia="仿宋_GB2312" w:cs="仿宋_GB2312"/>
          <w:color w:val="000000"/>
          <w:kern w:val="0"/>
          <w:sz w:val="32"/>
          <w:szCs w:val="32"/>
          <w:lang w:val="zh-CN"/>
        </w:rPr>
      </w:pPr>
      <w:r>
        <w:rPr>
          <w:rFonts w:hint="eastAsia" w:ascii="仿宋" w:hAnsi="仿宋" w:eastAsia="仿宋" w:cs="仿宋_GB2312"/>
          <w:b/>
          <w:bCs/>
          <w:sz w:val="32"/>
          <w:szCs w:val="32"/>
        </w:rPr>
        <w:t>（一）机构组成</w:t>
      </w:r>
      <w:r>
        <w:rPr>
          <w:rFonts w:hint="eastAsia" w:ascii="仿宋" w:hAnsi="仿宋" w:eastAsia="仿宋" w:cs="仿宋_GB2312"/>
          <w:sz w:val="32"/>
          <w:szCs w:val="32"/>
        </w:rPr>
        <w:t>。</w:t>
      </w: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w:t>
      </w:r>
      <w:r>
        <w:rPr>
          <w:rFonts w:hint="eastAsia" w:ascii="仿宋_GB2312" w:hAnsi="仿宋_GB2312" w:eastAsia="仿宋_GB2312" w:cs="仿宋_GB2312"/>
          <w:color w:val="000000"/>
          <w:kern w:val="0"/>
          <w:sz w:val="32"/>
          <w:szCs w:val="32"/>
          <w:lang w:val="en-US" w:eastAsia="zh-CN" w:bidi="ar"/>
        </w:rPr>
        <w:t>下设参公事业单位党员教育办公室和事业单位信息中心。</w:t>
      </w:r>
    </w:p>
    <w:p>
      <w:pPr>
        <w:spacing w:line="560" w:lineRule="exact"/>
        <w:ind w:firstLine="643" w:firstLineChars="200"/>
        <w:rPr>
          <w:rFonts w:hint="eastAsia" w:ascii="仿宋_GB2312" w:hAnsi="仿宋_GB2312" w:eastAsia="仿宋_GB2312" w:cs="仿宋_GB2312"/>
          <w:sz w:val="32"/>
          <w:szCs w:val="32"/>
        </w:rPr>
      </w:pPr>
      <w:r>
        <w:rPr>
          <w:rFonts w:hint="eastAsia" w:ascii="仿宋" w:hAnsi="仿宋" w:eastAsia="仿宋" w:cs="仿宋_GB2312"/>
          <w:b/>
          <w:bCs/>
          <w:sz w:val="32"/>
          <w:szCs w:val="32"/>
        </w:rPr>
        <w:t>（二）机构职能</w:t>
      </w:r>
      <w:r>
        <w:rPr>
          <w:rFonts w:hint="eastAsia" w:ascii="仿宋" w:hAnsi="仿宋" w:eastAsia="仿宋" w:cs="仿宋_GB2312"/>
          <w:sz w:val="32"/>
          <w:szCs w:val="32"/>
        </w:rPr>
        <w:t>。</w:t>
      </w:r>
      <w:r>
        <w:rPr>
          <w:rFonts w:hint="eastAsia" w:ascii="仿宋_GB2312" w:hAnsi="仿宋_GB2312" w:eastAsia="仿宋_GB2312" w:cs="仿宋_GB2312"/>
          <w:bCs/>
          <w:sz w:val="32"/>
          <w:szCs w:val="32"/>
        </w:rPr>
        <w:t>委组织部是县委主管组织工作、干部工作和人才工作的职能部门，主要职责是研究、指导全县各级党组织特别是党的基层组织建设，协调、规划和指导全县党员教育管理和强化党员发展工作；负责乡镇、县级各部门和县委、县政府直属企事业单位以及其他列入县委管理的领导班子和领导干部的考察考核，并提出领导班子调整、配备和任免的意见和建议；研究全县干部人才队伍建设的政策、措施；负责组织、干部工作的监督检查以及有关的综合协调工作，及时向县委和州委组织部反映情况，提出建议；指导和承办离休干部和副县级以上退休干部的安置、管理、服务工作。</w:t>
      </w:r>
    </w:p>
    <w:p>
      <w:pPr>
        <w:keepNext w:val="0"/>
        <w:keepLines w:val="0"/>
        <w:pageBreakBefore w:val="0"/>
        <w:kinsoku/>
        <w:wordWrap/>
        <w:overflowPunct/>
        <w:topLinePunct w:val="0"/>
        <w:bidi w:val="0"/>
        <w:spacing w:line="560" w:lineRule="exact"/>
        <w:ind w:left="0" w:leftChars="0" w:right="0" w:rightChars="0" w:firstLine="643" w:firstLineChars="200"/>
        <w:jc w:val="left"/>
        <w:textAlignment w:val="auto"/>
        <w:outlineLvl w:val="9"/>
        <w:rPr>
          <w:rFonts w:ascii="仿宋" w:hAnsi="仿宋" w:eastAsia="仿宋" w:cs="仿宋_GB2312"/>
          <w:sz w:val="32"/>
          <w:szCs w:val="32"/>
        </w:rPr>
      </w:pPr>
      <w:r>
        <w:rPr>
          <w:rFonts w:hint="eastAsia" w:ascii="仿宋" w:hAnsi="仿宋" w:eastAsia="仿宋" w:cs="仿宋_GB2312"/>
          <w:b/>
          <w:bCs/>
          <w:sz w:val="32"/>
          <w:szCs w:val="32"/>
        </w:rPr>
        <w:t>（三）人员概况。</w:t>
      </w: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28</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参公编制</w:t>
      </w:r>
      <w:r>
        <w:rPr>
          <w:rFonts w:hint="eastAsia" w:ascii="仿宋_GB2312" w:hAnsi="仿宋_GB2312" w:eastAsia="仿宋_GB2312" w:cs="仿宋_GB2312"/>
          <w:bCs/>
          <w:sz w:val="32"/>
          <w:szCs w:val="32"/>
          <w:lang w:val="en-US" w:eastAsia="zh-CN"/>
        </w:rPr>
        <w:t>7个，</w:t>
      </w:r>
      <w:r>
        <w:rPr>
          <w:rFonts w:hint="eastAsia" w:ascii="仿宋_GB2312" w:hAnsi="仿宋_GB2312" w:eastAsia="仿宋_GB2312" w:cs="仿宋_GB2312"/>
          <w:bCs/>
          <w:sz w:val="32"/>
          <w:szCs w:val="32"/>
        </w:rPr>
        <w:t>事业编制</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26</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3人，</w:t>
      </w:r>
      <w:r>
        <w:rPr>
          <w:rFonts w:hint="eastAsia" w:ascii="仿宋_GB2312" w:hAnsi="仿宋_GB2312" w:eastAsia="仿宋_GB2312" w:cs="仿宋_GB2312"/>
          <w:bCs/>
          <w:sz w:val="32"/>
          <w:szCs w:val="32"/>
        </w:rPr>
        <w:t>参公</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人，事业</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widowControl/>
        <w:adjustRightInd w:val="0"/>
        <w:snapToGrid w:val="0"/>
        <w:spacing w:line="520" w:lineRule="exact"/>
        <w:ind w:firstLine="643" w:firstLineChars="200"/>
        <w:jc w:val="left"/>
        <w:rPr>
          <w:rFonts w:ascii="仿宋" w:hAnsi="仿宋" w:eastAsia="仿宋"/>
          <w:sz w:val="30"/>
          <w:szCs w:val="30"/>
        </w:rPr>
      </w:pPr>
      <w:r>
        <w:rPr>
          <w:rFonts w:hint="eastAsia" w:ascii="仿宋" w:hAnsi="仿宋" w:eastAsia="仿宋" w:cs="仿宋_GB2312"/>
          <w:b/>
          <w:sz w:val="32"/>
          <w:szCs w:val="32"/>
        </w:rPr>
        <w:t>（一）部门财政资金收入情况。</w:t>
      </w:r>
      <w:r>
        <w:rPr>
          <w:rFonts w:ascii="仿宋" w:hAnsi="仿宋" w:eastAsia="仿宋"/>
          <w:color w:val="000000"/>
          <w:sz w:val="32"/>
          <w:szCs w:val="32"/>
        </w:rPr>
        <w:t>2018</w:t>
      </w:r>
      <w:r>
        <w:rPr>
          <w:rFonts w:hint="eastAsia" w:ascii="仿宋" w:hAnsi="仿宋" w:eastAsia="仿宋"/>
          <w:color w:val="000000"/>
          <w:sz w:val="32"/>
          <w:szCs w:val="32"/>
        </w:rPr>
        <w:t>年度</w:t>
      </w:r>
      <w:r>
        <w:rPr>
          <w:rFonts w:hint="eastAsia" w:ascii="仿宋" w:hAnsi="仿宋" w:eastAsia="仿宋" w:cs="仿宋_GB2312"/>
          <w:color w:val="000000"/>
          <w:sz w:val="32"/>
          <w:szCs w:val="32"/>
          <w:shd w:val="clear" w:color="auto" w:fill="FFFFFF"/>
        </w:rPr>
        <w:t>财政资金</w:t>
      </w:r>
      <w:r>
        <w:rPr>
          <w:rFonts w:hint="eastAsia" w:ascii="仿宋" w:hAnsi="仿宋" w:eastAsia="仿宋"/>
          <w:sz w:val="30"/>
          <w:szCs w:val="30"/>
        </w:rPr>
        <w:t>收入</w:t>
      </w:r>
      <w:r>
        <w:rPr>
          <w:rFonts w:hint="eastAsia" w:ascii="仿宋" w:hAnsi="仿宋" w:eastAsia="仿宋"/>
          <w:color w:val="000000"/>
          <w:sz w:val="32"/>
          <w:szCs w:val="32"/>
        </w:rPr>
        <w:t>总计</w:t>
      </w:r>
      <w:r>
        <w:rPr>
          <w:rFonts w:ascii="仿宋" w:hAnsi="仿宋" w:eastAsia="仿宋"/>
          <w:sz w:val="30"/>
          <w:szCs w:val="30"/>
        </w:rPr>
        <w:t>959.95</w:t>
      </w:r>
      <w:r>
        <w:rPr>
          <w:rFonts w:hint="eastAsia" w:ascii="仿宋" w:hAnsi="仿宋" w:eastAsia="仿宋"/>
          <w:sz w:val="30"/>
          <w:szCs w:val="30"/>
        </w:rPr>
        <w:t>万元，其中财政拨款收入</w:t>
      </w:r>
      <w:r>
        <w:rPr>
          <w:rFonts w:ascii="仿宋" w:hAnsi="仿宋" w:eastAsia="仿宋"/>
          <w:sz w:val="30"/>
          <w:szCs w:val="30"/>
        </w:rPr>
        <w:t>959.9</w:t>
      </w:r>
      <w:r>
        <w:rPr>
          <w:rFonts w:hint="eastAsia" w:ascii="仿宋" w:hAnsi="仿宋" w:eastAsia="仿宋"/>
          <w:sz w:val="30"/>
          <w:szCs w:val="30"/>
        </w:rPr>
        <w:t>万元，其他收入</w:t>
      </w:r>
      <w:r>
        <w:rPr>
          <w:rFonts w:ascii="仿宋" w:hAnsi="仿宋" w:eastAsia="仿宋"/>
          <w:sz w:val="30"/>
          <w:szCs w:val="30"/>
        </w:rPr>
        <w:t>0.05</w:t>
      </w:r>
      <w:r>
        <w:rPr>
          <w:rFonts w:hint="eastAsia" w:ascii="仿宋" w:hAnsi="仿宋" w:eastAsia="仿宋"/>
          <w:sz w:val="30"/>
          <w:szCs w:val="30"/>
        </w:rPr>
        <w:t>万元。</w:t>
      </w:r>
    </w:p>
    <w:p>
      <w:pPr>
        <w:widowControl/>
        <w:adjustRightInd w:val="0"/>
        <w:snapToGrid w:val="0"/>
        <w:spacing w:line="520" w:lineRule="exact"/>
        <w:ind w:firstLine="643" w:firstLineChars="200"/>
        <w:jc w:val="left"/>
        <w:rPr>
          <w:rFonts w:ascii="仿宋" w:hAnsi="仿宋" w:eastAsia="仿宋" w:cs="宋体"/>
          <w:color w:val="000000"/>
          <w:kern w:val="0"/>
          <w:lang w:val="zh-CN"/>
        </w:rPr>
      </w:pPr>
      <w:r>
        <w:rPr>
          <w:rFonts w:hint="eastAsia" w:ascii="仿宋" w:hAnsi="仿宋" w:eastAsia="仿宋" w:cs="仿宋_GB2312"/>
          <w:b/>
          <w:sz w:val="32"/>
          <w:szCs w:val="32"/>
        </w:rPr>
        <w:t>（二）部门财政资金支出情况。</w:t>
      </w:r>
      <w:r>
        <w:rPr>
          <w:rFonts w:ascii="仿宋" w:hAnsi="仿宋" w:eastAsia="仿宋"/>
          <w:color w:val="000000"/>
          <w:sz w:val="32"/>
          <w:szCs w:val="32"/>
        </w:rPr>
        <w:t>2018</w:t>
      </w:r>
      <w:r>
        <w:rPr>
          <w:rFonts w:hint="eastAsia" w:ascii="仿宋" w:hAnsi="仿宋" w:eastAsia="仿宋"/>
          <w:color w:val="000000"/>
          <w:sz w:val="32"/>
          <w:szCs w:val="32"/>
        </w:rPr>
        <w:t>年本年</w:t>
      </w:r>
      <w:r>
        <w:rPr>
          <w:rFonts w:hint="eastAsia" w:ascii="仿宋" w:hAnsi="仿宋" w:eastAsia="仿宋" w:cs="宋体"/>
          <w:color w:val="000000"/>
          <w:kern w:val="0"/>
          <w:sz w:val="32"/>
          <w:lang w:val="zh-CN"/>
        </w:rPr>
        <w:t>财政资金</w:t>
      </w:r>
      <w:r>
        <w:rPr>
          <w:rFonts w:hint="eastAsia" w:ascii="仿宋" w:hAnsi="仿宋" w:eastAsia="仿宋"/>
          <w:color w:val="000000"/>
          <w:sz w:val="32"/>
          <w:szCs w:val="32"/>
        </w:rPr>
        <w:t>支出合计</w:t>
      </w:r>
      <w:r>
        <w:rPr>
          <w:rFonts w:ascii="仿宋" w:hAnsi="仿宋" w:eastAsia="仿宋"/>
          <w:color w:val="000000"/>
          <w:sz w:val="32"/>
          <w:szCs w:val="32"/>
        </w:rPr>
        <w:t>1013.47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674.17</w:t>
      </w:r>
      <w:r>
        <w:rPr>
          <w:rFonts w:hint="eastAsia" w:ascii="仿宋" w:hAnsi="仿宋" w:eastAsia="仿宋"/>
          <w:color w:val="000000"/>
          <w:sz w:val="32"/>
          <w:szCs w:val="32"/>
        </w:rPr>
        <w:t>万元，项目支出</w:t>
      </w:r>
      <w:r>
        <w:rPr>
          <w:rFonts w:hint="eastAsia" w:ascii="仿宋" w:hAnsi="仿宋" w:eastAsia="仿宋"/>
          <w:color w:val="000000"/>
          <w:sz w:val="32"/>
          <w:szCs w:val="32"/>
          <w:lang w:val="en-US" w:eastAsia="zh-CN"/>
        </w:rPr>
        <w:t>339.3</w:t>
      </w:r>
      <w:r>
        <w:rPr>
          <w:rFonts w:hint="eastAsia" w:ascii="仿宋" w:hAnsi="仿宋" w:eastAsia="仿宋"/>
          <w:color w:val="000000"/>
          <w:sz w:val="32"/>
          <w:szCs w:val="32"/>
        </w:rPr>
        <w:t>万元。</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三、部门整体预算绩效管理情况（根据适用指标体系进行调整）</w:t>
      </w:r>
    </w:p>
    <w:p>
      <w:pPr>
        <w:spacing w:line="56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（一）部门预算管理。</w:t>
      </w:r>
    </w:p>
    <w:p>
      <w:pPr>
        <w:widowControl/>
        <w:adjustRightInd w:val="0"/>
        <w:snapToGrid w:val="0"/>
        <w:spacing w:line="520" w:lineRule="exact"/>
        <w:ind w:firstLine="640" w:firstLineChars="20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sz w:val="32"/>
          <w:szCs w:val="32"/>
          <w:lang w:val="zh-CN" w:eastAsia="zh-CN"/>
        </w:rPr>
        <w:t>县委组织部按照财政局预算编制通知和相关要求，按时保质保量进行预决算的编制，</w:t>
      </w:r>
      <w:r>
        <w:rPr>
          <w:rFonts w:hint="eastAsia" w:ascii="仿宋_GB2312" w:hAnsi="仿宋_GB2312" w:eastAsia="仿宋_GB2312" w:cs="仿宋_GB2312"/>
          <w:sz w:val="32"/>
          <w:szCs w:val="32"/>
        </w:rPr>
        <w:t>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eastAsia="zh-CN"/>
        </w:rPr>
        <w:t>并报经相关部门审核批准后执行。</w:t>
      </w:r>
      <w:r>
        <w:rPr>
          <w:rFonts w:hint="eastAsia" w:ascii="仿宋_GB2312" w:hAnsi="仿宋_GB2312" w:eastAsia="仿宋_GB2312" w:cs="仿宋_GB2312"/>
          <w:sz w:val="32"/>
          <w:szCs w:val="32"/>
        </w:rPr>
        <w:t>2018年部门预算</w:t>
      </w:r>
      <w:r>
        <w:rPr>
          <w:rFonts w:hint="eastAsia" w:ascii="仿宋_GB2312" w:hAnsi="仿宋_GB2312" w:eastAsia="仿宋_GB2312" w:cs="仿宋_GB2312"/>
          <w:sz w:val="32"/>
          <w:szCs w:val="32"/>
          <w:lang w:val="en-US" w:eastAsia="zh-CN"/>
        </w:rPr>
        <w:t>1013.47</w:t>
      </w:r>
      <w:r>
        <w:rPr>
          <w:rFonts w:hint="eastAsia" w:ascii="仿宋_GB2312" w:hAnsi="仿宋_GB2312" w:eastAsia="仿宋_GB2312" w:cs="仿宋_GB2312"/>
          <w:sz w:val="32"/>
          <w:szCs w:val="32"/>
        </w:rPr>
        <w:t>万元。其中：基本支出689.14万元，项目支出324.33万元。</w:t>
      </w:r>
    </w:p>
    <w:p>
      <w:pPr>
        <w:spacing w:line="56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（二）专项预算管理。</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县委组织部严格按照县财政的要求，及时分月、分季度上报用款计划，待财政审核通过后，严格按计划执行，各季度执行情况良好。认真执行中央八项规定，严格控制三公经费支出。</w:t>
      </w:r>
      <w:r>
        <w:rPr>
          <w:rFonts w:hint="eastAsia" w:ascii="仿宋_GB2312" w:hAnsi="仿宋_GB2312" w:eastAsia="仿宋_GB2312" w:cs="仿宋_GB2312"/>
          <w:i w:val="0"/>
          <w:caps w:val="0"/>
          <w:color w:val="000000"/>
          <w:spacing w:val="0"/>
          <w:sz w:val="32"/>
          <w:szCs w:val="32"/>
          <w:shd w:val="clear" w:fill="FFFFFF"/>
        </w:rPr>
        <w:t>201</w:t>
      </w:r>
      <w:r>
        <w:rPr>
          <w:rFonts w:hint="eastAsia" w:ascii="仿宋_GB2312" w:hAnsi="仿宋_GB2312" w:eastAsia="仿宋_GB2312" w:cs="仿宋_GB2312"/>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年“三公”经费支出</w:t>
      </w:r>
      <w:r>
        <w:rPr>
          <w:rFonts w:hint="eastAsia" w:ascii="仿宋_GB2312" w:hAnsi="仿宋_GB2312" w:eastAsia="仿宋_GB2312" w:cs="仿宋_GB2312"/>
          <w:i w:val="0"/>
          <w:caps w:val="0"/>
          <w:color w:val="000000"/>
          <w:spacing w:val="0"/>
          <w:sz w:val="32"/>
          <w:szCs w:val="32"/>
          <w:shd w:val="clear" w:fill="FFFFFF"/>
          <w:lang w:val="en-US" w:eastAsia="zh-CN"/>
        </w:rPr>
        <w:t>18.58</w:t>
      </w:r>
      <w:r>
        <w:rPr>
          <w:rFonts w:hint="eastAsia" w:ascii="仿宋_GB2312" w:hAnsi="仿宋_GB2312" w:eastAsia="仿宋_GB2312" w:cs="仿宋_GB2312"/>
          <w:i w:val="0"/>
          <w:caps w:val="0"/>
          <w:color w:val="000000"/>
          <w:spacing w:val="0"/>
          <w:sz w:val="32"/>
          <w:szCs w:val="32"/>
          <w:shd w:val="clear" w:fill="FFFFFF"/>
        </w:rPr>
        <w:t>万元</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333333"/>
          <w:spacing w:val="0"/>
          <w:sz w:val="32"/>
          <w:szCs w:val="32"/>
        </w:rPr>
        <w:t>公务用车运行维护费支出</w:t>
      </w:r>
      <w:r>
        <w:rPr>
          <w:rFonts w:hint="eastAsia" w:ascii="仿宋_GB2312" w:hAnsi="仿宋_GB2312" w:eastAsia="仿宋_GB2312" w:cs="仿宋_GB2312"/>
          <w:color w:val="000000"/>
          <w:sz w:val="32"/>
          <w:szCs w:val="32"/>
          <w:lang w:val="en-US" w:eastAsia="zh-CN"/>
        </w:rPr>
        <w:t>17.92</w:t>
      </w:r>
      <w:r>
        <w:rPr>
          <w:rFonts w:hint="eastAsia" w:ascii="仿宋_GB2312" w:hAnsi="仿宋_GB2312" w:eastAsia="仿宋_GB2312" w:cs="仿宋_GB2312"/>
          <w:color w:val="000000"/>
          <w:sz w:val="32"/>
          <w:szCs w:val="32"/>
        </w:rPr>
        <w:t>万元；比2017年增加</w:t>
      </w:r>
      <w:r>
        <w:rPr>
          <w:rFonts w:hint="eastAsia" w:ascii="仿宋_GB2312" w:hAnsi="仿宋_GB2312" w:eastAsia="仿宋_GB2312" w:cs="仿宋_GB2312"/>
          <w:color w:val="000000"/>
          <w:sz w:val="32"/>
          <w:szCs w:val="32"/>
          <w:lang w:val="en-US" w:eastAsia="zh-CN"/>
        </w:rPr>
        <w:t>8.96</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车辆增加及维修费用增加和业务用车增加</w:t>
      </w:r>
      <w:r>
        <w:rPr>
          <w:rFonts w:hint="eastAsia" w:ascii="仿宋_GB2312" w:hAnsi="仿宋_GB2312" w:eastAsia="仿宋_GB2312" w:cs="仿宋_GB2312"/>
          <w:color w:val="000000"/>
          <w:sz w:val="32"/>
          <w:szCs w:val="32"/>
        </w:rPr>
        <w:t>。公务接待费支出</w:t>
      </w:r>
      <w:r>
        <w:rPr>
          <w:rFonts w:hint="eastAsia" w:ascii="仿宋_GB2312" w:hAnsi="仿宋_GB2312" w:eastAsia="仿宋_GB2312" w:cs="仿宋_GB2312"/>
          <w:color w:val="000000"/>
          <w:sz w:val="32"/>
          <w:szCs w:val="32"/>
          <w:lang w:val="en-US" w:eastAsia="zh-CN"/>
        </w:rPr>
        <w:t>0.66</w:t>
      </w:r>
      <w:r>
        <w:rPr>
          <w:rFonts w:hint="eastAsia" w:ascii="仿宋_GB2312" w:hAnsi="仿宋_GB2312" w:eastAsia="仿宋_GB2312" w:cs="仿宋_GB2312"/>
          <w:color w:val="000000"/>
          <w:sz w:val="32"/>
          <w:szCs w:val="32"/>
        </w:rPr>
        <w:t>万元，比2017年增加</w:t>
      </w:r>
      <w:r>
        <w:rPr>
          <w:rFonts w:hint="eastAsia" w:ascii="仿宋_GB2312" w:hAnsi="仿宋_GB2312" w:eastAsia="仿宋_GB2312" w:cs="仿宋_GB2312"/>
          <w:color w:val="000000"/>
          <w:sz w:val="32"/>
          <w:szCs w:val="32"/>
          <w:lang w:val="en-US" w:eastAsia="zh-CN"/>
        </w:rPr>
        <w:t>0.59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sz w:val="32"/>
          <w:szCs w:val="32"/>
          <w:lang w:val="en-US" w:eastAsia="zh-CN"/>
        </w:rPr>
        <w:t>89.39</w:t>
      </w:r>
      <w:r>
        <w:rPr>
          <w:rFonts w:hint="eastAsia" w:ascii="仿宋_GB2312" w:hAnsi="仿宋_GB2312" w:eastAsia="仿宋_GB2312" w:cs="仿宋_GB2312"/>
          <w:color w:val="000000"/>
          <w:sz w:val="32"/>
          <w:szCs w:val="32"/>
        </w:rPr>
        <w:t>%。主要用于执行公务、开展业务活动开支的交通费、住宿费、用餐费等。</w:t>
      </w:r>
    </w:p>
    <w:p>
      <w:pPr>
        <w:spacing w:line="56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（三）结果应用情况。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numPr>
          <w:ilvl w:val="0"/>
          <w:numId w:val="1"/>
        </w:numPr>
        <w:spacing w:line="560" w:lineRule="exact"/>
        <w:ind w:left="1360" w:leftChars="0" w:hanging="720" w:firstLineChars="0"/>
        <w:rPr>
          <w:rFonts w:hint="eastAsia" w:ascii="黑体" w:hAnsi="黑体" w:eastAsia="黑体" w:cs="黑体"/>
          <w:sz w:val="32"/>
          <w:szCs w:val="32"/>
        </w:rPr>
      </w:pPr>
      <w:r>
        <w:rPr>
          <w:rFonts w:hint="eastAsia" w:ascii="黑体" w:hAnsi="黑体" w:eastAsia="黑体" w:cs="黑体"/>
          <w:sz w:val="32"/>
          <w:szCs w:val="32"/>
        </w:rPr>
        <w:t>评价结论及建议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（一）评价结论</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zh-CN" w:bidi="ar"/>
        </w:rPr>
        <w:t>根据《2018年红原县部门支出绩效评价指标体系》评分得分9</w:t>
      </w: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zh-CN" w:bidi="ar"/>
        </w:rPr>
        <w:t>分，部门整体支出绩效为“好”。</w:t>
      </w:r>
    </w:p>
    <w:p>
      <w:pPr>
        <w:widowControl/>
        <w:adjustRightInd w:val="0"/>
        <w:snapToGrid w:val="0"/>
        <w:spacing w:line="576" w:lineRule="atLeast"/>
        <w:ind w:firstLine="720"/>
        <w:jc w:val="left"/>
        <w:rPr>
          <w:rFonts w:hint="eastAsia" w:ascii="仿宋_GB2312" w:hAnsi="仿宋_GB2312" w:eastAsia="仿宋_GB2312" w:cs="仿宋_GB2312"/>
          <w:sz w:val="32"/>
          <w:szCs w:val="32"/>
        </w:rPr>
      </w:pPr>
      <w:r>
        <w:rPr>
          <w:rFonts w:hint="eastAsia" w:ascii="仿宋" w:hAnsi="仿宋" w:eastAsia="仿宋" w:cs="仿宋_GB2312"/>
          <w:sz w:val="32"/>
          <w:szCs w:val="32"/>
        </w:rPr>
        <w:t>（</w:t>
      </w:r>
      <w:r>
        <w:rPr>
          <w:rFonts w:hint="eastAsia" w:ascii="仿宋" w:hAnsi="仿宋" w:eastAsia="仿宋" w:cs="仿宋_GB2312"/>
          <w:b/>
          <w:bCs/>
          <w:sz w:val="32"/>
          <w:szCs w:val="32"/>
        </w:rPr>
        <w:t>二）存在问题。</w:t>
      </w:r>
      <w:r>
        <w:rPr>
          <w:rFonts w:hint="eastAsia" w:ascii="仿宋_GB2312" w:hAnsi="仿宋_GB2312" w:eastAsia="仿宋_GB2312" w:cs="仿宋_GB2312"/>
          <w:color w:val="000000"/>
          <w:kern w:val="0"/>
          <w:sz w:val="32"/>
          <w:szCs w:val="32"/>
          <w:lang w:val="zh-CN" w:bidi="ar"/>
        </w:rPr>
        <w:t>没有完善的系统流程以及规章制度，工作效率有待提高。</w:t>
      </w:r>
    </w:p>
    <w:p>
      <w:pPr>
        <w:widowControl/>
        <w:adjustRightInd w:val="0"/>
        <w:snapToGrid w:val="0"/>
        <w:spacing w:line="576" w:lineRule="atLeast"/>
        <w:ind w:firstLine="720"/>
        <w:jc w:val="left"/>
        <w:rPr>
          <w:rFonts w:hint="eastAsia" w:ascii="仿宋_GB2312" w:hAnsi="仿宋_GB2312" w:eastAsia="仿宋_GB2312" w:cs="仿宋_GB2312"/>
          <w:color w:val="000000"/>
          <w:kern w:val="0"/>
          <w:sz w:val="32"/>
          <w:szCs w:val="32"/>
          <w:lang w:bidi="ar"/>
        </w:rPr>
      </w:pPr>
      <w:r>
        <w:rPr>
          <w:rFonts w:hint="eastAsia" w:ascii="仿宋" w:hAnsi="仿宋" w:eastAsia="仿宋" w:cs="仿宋_GB2312"/>
          <w:b/>
          <w:bCs/>
          <w:sz w:val="32"/>
          <w:szCs w:val="32"/>
        </w:rPr>
        <w:t>（三）改进建议。</w:t>
      </w: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加强会计核算和会计监督的准确性和有效性，加强财务人员的专业意识，提高对预算编制的执行与认识，为绩效评价工作开展创造更好的条件。</w:t>
      </w:r>
      <w:r>
        <w:rPr>
          <w:rFonts w:hint="eastAsia" w:ascii="仿宋_GB2312" w:hAnsi="仿宋_GB2312" w:eastAsia="仿宋_GB2312" w:cs="仿宋_GB2312"/>
          <w:color w:val="000000"/>
          <w:kern w:val="0"/>
          <w:sz w:val="32"/>
          <w:szCs w:val="32"/>
          <w:lang w:bidi="ar"/>
        </w:rPr>
        <w:t>2.加强会计工作的事前、事中、事后的监督，以确保会计的延续性，建立可持续机制，提高工作人员对支出的合理、合法使用意识，做到每笔支出有据可查、有法可依。</w:t>
      </w:r>
      <w:bookmarkEnd w:id="59"/>
    </w:p>
    <w:p>
      <w:pPr>
        <w:pStyle w:val="2"/>
        <w:rPr>
          <w:rFonts w:hint="eastAsia" w:ascii="仿宋_GB2312" w:hAnsi="仿宋_GB2312" w:eastAsia="仿宋_GB2312" w:cs="仿宋_GB2312"/>
          <w:color w:val="000000"/>
          <w:kern w:val="0"/>
          <w:sz w:val="32"/>
          <w:szCs w:val="32"/>
          <w:lang w:bidi="ar"/>
        </w:rPr>
      </w:pPr>
    </w:p>
    <w:p>
      <w:pPr>
        <w:pageBreakBefore w:val="0"/>
        <w:kinsoku/>
        <w:wordWrap/>
        <w:overflowPunct/>
        <w:topLinePunct w:val="0"/>
        <w:bidi w:val="0"/>
        <w:spacing w:line="520" w:lineRule="exact"/>
        <w:ind w:firstLine="880" w:firstLineChars="200"/>
        <w:jc w:val="center"/>
        <w:textAlignment w:val="auto"/>
        <w:outlineLvl w:val="0"/>
        <w:rPr>
          <w:rStyle w:val="30"/>
          <w:rFonts w:ascii="黑体" w:hAnsi="黑体" w:eastAsia="黑体"/>
          <w:b w:val="0"/>
        </w:rPr>
      </w:pPr>
      <w:r>
        <w:rPr>
          <w:rFonts w:hint="eastAsia" w:ascii="黑体" w:hAnsi="黑体" w:eastAsia="黑体"/>
          <w:color w:val="000000"/>
          <w:sz w:val="44"/>
          <w:szCs w:val="44"/>
        </w:rPr>
        <w:t>第</w:t>
      </w:r>
      <w:r>
        <w:rPr>
          <w:rStyle w:val="30"/>
          <w:rFonts w:hint="eastAsia" w:ascii="黑体" w:hAnsi="黑体" w:eastAsia="黑体"/>
          <w:b w:val="0"/>
        </w:rPr>
        <w:t>五部分 附表</w:t>
      </w:r>
    </w:p>
    <w:p>
      <w:pPr>
        <w:pageBreakBefore w:val="0"/>
        <w:kinsoku/>
        <w:wordWrap/>
        <w:overflowPunct/>
        <w:topLinePunct w:val="0"/>
        <w:bidi w:val="0"/>
        <w:spacing w:line="520" w:lineRule="exact"/>
        <w:ind w:firstLine="883" w:firstLineChars="200"/>
        <w:jc w:val="center"/>
        <w:textAlignment w:val="auto"/>
        <w:outlineLvl w:val="0"/>
        <w:rPr>
          <w:rFonts w:ascii="仿宋" w:hAnsi="仿宋" w:eastAsia="仿宋"/>
          <w:b/>
          <w:color w:val="000000"/>
          <w:sz w:val="44"/>
          <w:szCs w:val="44"/>
        </w:rPr>
      </w:pPr>
    </w:p>
    <w:p>
      <w:pPr>
        <w:pStyle w:val="4"/>
        <w:pageBreakBefore w:val="0"/>
        <w:numPr>
          <w:ilvl w:val="0"/>
          <w:numId w:val="9"/>
        </w:numPr>
        <w:kinsoku/>
        <w:wordWrap/>
        <w:overflowPunct/>
        <w:topLinePunct w:val="0"/>
        <w:bidi w:val="0"/>
        <w:spacing w:before="0" w:after="0" w:line="520" w:lineRule="exact"/>
        <w:ind w:firstLine="640" w:firstLineChars="200"/>
        <w:textAlignment w:val="auto"/>
        <w:rPr>
          <w:rFonts w:hint="eastAsia" w:ascii="仿宋" w:hAnsi="仿宋" w:eastAsia="仿宋"/>
          <w:b w:val="0"/>
          <w:color w:val="000000"/>
        </w:rPr>
      </w:pPr>
      <w:bookmarkStart w:id="63" w:name="_Toc15396620"/>
      <w:r>
        <w:rPr>
          <w:rFonts w:hint="eastAsia" w:ascii="仿宋" w:hAnsi="仿宋" w:eastAsia="仿宋"/>
          <w:b w:val="0"/>
          <w:color w:val="000000"/>
        </w:rPr>
        <w:t>收入支出决算总表</w:t>
      </w:r>
    </w:p>
    <w:p>
      <w:pPr>
        <w:pStyle w:val="4"/>
        <w:pageBreakBefore w:val="0"/>
        <w:numPr>
          <w:ilvl w:val="0"/>
          <w:numId w:val="0"/>
        </w:numPr>
        <w:kinsoku/>
        <w:wordWrap/>
        <w:overflowPunct/>
        <w:topLinePunct w:val="0"/>
        <w:bidi w:val="0"/>
        <w:spacing w:before="0" w:after="0" w:line="520" w:lineRule="exact"/>
        <w:ind w:firstLine="640" w:firstLineChars="200"/>
        <w:textAlignment w:val="auto"/>
        <w:rPr>
          <w:rFonts w:ascii="仿宋" w:hAnsi="仿宋" w:eastAsia="仿宋"/>
          <w:color w:val="000000"/>
        </w:rPr>
      </w:pPr>
      <w:r>
        <w:rPr>
          <w:rFonts w:hint="eastAsia" w:ascii="仿宋" w:hAnsi="仿宋" w:eastAsia="仿宋"/>
          <w:b w:val="0"/>
          <w:color w:val="000000"/>
        </w:rPr>
        <w:t>二、收</w:t>
      </w:r>
      <w:r>
        <w:rPr>
          <w:rStyle w:val="31"/>
          <w:rFonts w:hint="eastAsia" w:ascii="仿宋" w:hAnsi="仿宋" w:eastAsia="仿宋"/>
          <w:b w:val="0"/>
          <w:bCs w:val="0"/>
        </w:rPr>
        <w:t>入总表</w:t>
      </w:r>
      <w:bookmarkEnd w:id="63"/>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64" w:name="_Toc15396621"/>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64"/>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b w:val="0"/>
          <w:color w:val="000000"/>
        </w:rPr>
      </w:pPr>
      <w:bookmarkStart w:id="65" w:name="_Toc15396622"/>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65"/>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66" w:name="_Toc15396623"/>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66"/>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67" w:name="_Toc15396624"/>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67"/>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68" w:name="_Toc15396625"/>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68"/>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69" w:name="_Toc15396626"/>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69"/>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70" w:name="_Toc15396627"/>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70"/>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71" w:name="_Toc15396628"/>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71"/>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72" w:name="_Toc15396629"/>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72"/>
    </w:p>
    <w:p>
      <w:pPr>
        <w:pStyle w:val="4"/>
        <w:pageBreakBefore w:val="0"/>
        <w:kinsoku/>
        <w:wordWrap/>
        <w:overflowPunct/>
        <w:topLinePunct w:val="0"/>
        <w:bidi w:val="0"/>
        <w:spacing w:before="0" w:after="0" w:line="520" w:lineRule="exact"/>
        <w:ind w:firstLine="640" w:firstLineChars="200"/>
        <w:textAlignment w:val="auto"/>
        <w:rPr>
          <w:rFonts w:ascii="仿宋" w:hAnsi="仿宋" w:eastAsia="仿宋"/>
          <w:color w:val="000000"/>
        </w:rPr>
      </w:pPr>
      <w:bookmarkStart w:id="73" w:name="_Toc1539663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73"/>
    </w:p>
    <w:p>
      <w:pPr>
        <w:pStyle w:val="4"/>
        <w:pageBreakBefore w:val="0"/>
        <w:kinsoku/>
        <w:wordWrap/>
        <w:overflowPunct/>
        <w:topLinePunct w:val="0"/>
        <w:bidi w:val="0"/>
        <w:spacing w:before="0" w:after="0" w:line="520" w:lineRule="exact"/>
        <w:ind w:firstLine="640" w:firstLineChars="200"/>
        <w:textAlignment w:val="auto"/>
        <w:rPr>
          <w:rStyle w:val="31"/>
          <w:rFonts w:hint="eastAsia" w:ascii="仿宋" w:hAnsi="仿宋" w:eastAsia="仿宋"/>
          <w:b w:val="0"/>
          <w:bCs w:val="0"/>
        </w:rPr>
      </w:pPr>
      <w:bookmarkStart w:id="74" w:name="_Toc15396631"/>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74"/>
    </w:p>
    <w:p>
      <w:pPr>
        <w:ind w:firstLine="640"/>
        <w:rPr>
          <w:rStyle w:val="31"/>
          <w:rFonts w:hint="eastAsia" w:ascii="仿宋" w:hAnsi="仿宋" w:eastAsia="仿宋"/>
          <w:b w:val="0"/>
          <w:bCs w:val="0"/>
          <w:lang w:val="en-US" w:eastAsia="zh-CN"/>
        </w:rPr>
      </w:pPr>
      <w:r>
        <w:rPr>
          <w:rStyle w:val="31"/>
          <w:rFonts w:hint="eastAsia" w:ascii="仿宋" w:hAnsi="仿宋" w:eastAsia="仿宋"/>
          <w:b w:val="0"/>
          <w:bCs w:val="0"/>
          <w:lang w:val="en-US" w:eastAsia="zh-CN"/>
        </w:rPr>
        <w:t>十四、整体支出绩效评价打分表</w:t>
      </w:r>
    </w:p>
    <w:p>
      <w:pPr>
        <w:pStyle w:val="2"/>
        <w:rPr>
          <w:rFonts w:hint="eastAsia" w:ascii="仿宋_GB2312" w:hAnsi="仿宋_GB2312" w:eastAsia="仿宋_GB2312" w:cs="仿宋_GB2312"/>
          <w:color w:val="000000"/>
          <w:kern w:val="0"/>
          <w:sz w:val="32"/>
          <w:szCs w:val="32"/>
          <w:lang w:bidi="ar"/>
        </w:rPr>
      </w:pPr>
      <w:r>
        <w:rPr>
          <w:rStyle w:val="31"/>
          <w:rFonts w:hint="eastAsia" w:ascii="仿宋" w:hAnsi="仿宋" w:eastAsia="仿宋"/>
          <w:b w:val="0"/>
          <w:bCs w:val="0"/>
          <w:lang w:val="en-US" w:eastAsia="zh-CN"/>
        </w:rPr>
        <w:t>十五、项目支出绩效评价打分</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15</w:t>
    </w:r>
    <w:r>
      <w:rPr>
        <w:lang w:val="zh-CN"/>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1C7F5C"/>
    <w:multiLevelType w:val="singleLevel"/>
    <w:tmpl w:val="8B1C7F5C"/>
    <w:lvl w:ilvl="0" w:tentative="0">
      <w:start w:val="1"/>
      <w:numFmt w:val="decimal"/>
      <w:lvlText w:val="%1."/>
      <w:lvlJc w:val="left"/>
      <w:pPr>
        <w:tabs>
          <w:tab w:val="left" w:pos="312"/>
        </w:tabs>
      </w:pPr>
      <w:rPr>
        <w:rFonts w:cs="Times New Roman"/>
      </w:rPr>
    </w:lvl>
  </w:abstractNum>
  <w:abstractNum w:abstractNumId="1">
    <w:nsid w:val="CAA17BBB"/>
    <w:multiLevelType w:val="singleLevel"/>
    <w:tmpl w:val="CAA17BB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EC8D3F8A"/>
    <w:multiLevelType w:val="singleLevel"/>
    <w:tmpl w:val="EC8D3F8A"/>
    <w:lvl w:ilvl="0" w:tentative="0">
      <w:start w:val="1"/>
      <w:numFmt w:val="decimal"/>
      <w:lvlText w:val="%1."/>
      <w:lvlJc w:val="left"/>
      <w:pPr>
        <w:tabs>
          <w:tab w:val="left" w:pos="312"/>
        </w:tabs>
      </w:pPr>
      <w:rPr>
        <w:rFonts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8">
    <w:nsid w:val="5D5382B5"/>
    <w:multiLevelType w:val="singleLevel"/>
    <w:tmpl w:val="5D5382B5"/>
    <w:lvl w:ilvl="0" w:tentative="0">
      <w:start w:val="1"/>
      <w:numFmt w:val="chineseCounting"/>
      <w:suff w:val="nothing"/>
      <w:lvlText w:val="%1、"/>
      <w:lvlJc w:val="left"/>
      <w:rPr>
        <w:rFonts w:cs="Times New Roman"/>
      </w:rPr>
    </w:lvl>
  </w:abstractNum>
  <w:num w:numId="1">
    <w:abstractNumId w:val="6"/>
  </w:num>
  <w:num w:numId="2">
    <w:abstractNumId w:val="0"/>
  </w:num>
  <w:num w:numId="3">
    <w:abstractNumId w:val="1"/>
  </w:num>
  <w:num w:numId="4">
    <w:abstractNumId w:val="5"/>
  </w:num>
  <w:num w:numId="5">
    <w:abstractNumId w:val="2"/>
  </w:num>
  <w:num w:numId="6">
    <w:abstractNumId w:val="7"/>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392F"/>
    <w:rsid w:val="0006487A"/>
    <w:rsid w:val="00065F8F"/>
    <w:rsid w:val="000768F2"/>
    <w:rsid w:val="0009184B"/>
    <w:rsid w:val="0009593C"/>
    <w:rsid w:val="000A7BE2"/>
    <w:rsid w:val="000B047F"/>
    <w:rsid w:val="000B5923"/>
    <w:rsid w:val="000B5A48"/>
    <w:rsid w:val="000B6FF3"/>
    <w:rsid w:val="000C3467"/>
    <w:rsid w:val="000C3CA6"/>
    <w:rsid w:val="000D1267"/>
    <w:rsid w:val="000D1D50"/>
    <w:rsid w:val="000D5782"/>
    <w:rsid w:val="000E6613"/>
    <w:rsid w:val="000E7119"/>
    <w:rsid w:val="000F139E"/>
    <w:rsid w:val="00114E9B"/>
    <w:rsid w:val="0014729F"/>
    <w:rsid w:val="00157BAB"/>
    <w:rsid w:val="00163603"/>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40B0C"/>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3F00B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52F2"/>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50C2"/>
    <w:rsid w:val="006440E4"/>
    <w:rsid w:val="0066343B"/>
    <w:rsid w:val="00664777"/>
    <w:rsid w:val="006748A4"/>
    <w:rsid w:val="00683E73"/>
    <w:rsid w:val="006A3141"/>
    <w:rsid w:val="006A5E34"/>
    <w:rsid w:val="006B2422"/>
    <w:rsid w:val="006B2B9A"/>
    <w:rsid w:val="006C1937"/>
    <w:rsid w:val="006E2E0B"/>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5528"/>
    <w:rsid w:val="008253BB"/>
    <w:rsid w:val="0083706E"/>
    <w:rsid w:val="008423A5"/>
    <w:rsid w:val="00842EA7"/>
    <w:rsid w:val="00850625"/>
    <w:rsid w:val="00853718"/>
    <w:rsid w:val="00855221"/>
    <w:rsid w:val="00860645"/>
    <w:rsid w:val="00864CAD"/>
    <w:rsid w:val="00871F71"/>
    <w:rsid w:val="00885AF4"/>
    <w:rsid w:val="008939CD"/>
    <w:rsid w:val="008B4D8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638B4"/>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9F49A8"/>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636"/>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1098"/>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E59A2"/>
    <w:rsid w:val="00FF1E02"/>
    <w:rsid w:val="00FF30B4"/>
    <w:rsid w:val="042D29AB"/>
    <w:rsid w:val="05522B14"/>
    <w:rsid w:val="09AA7535"/>
    <w:rsid w:val="0C335214"/>
    <w:rsid w:val="10C055FF"/>
    <w:rsid w:val="13DC262D"/>
    <w:rsid w:val="16BB723D"/>
    <w:rsid w:val="1C680EE4"/>
    <w:rsid w:val="1FA81AF0"/>
    <w:rsid w:val="23B45FBC"/>
    <w:rsid w:val="240371BF"/>
    <w:rsid w:val="25200926"/>
    <w:rsid w:val="25A315CA"/>
    <w:rsid w:val="25B46BBD"/>
    <w:rsid w:val="26686F1C"/>
    <w:rsid w:val="29FD04D3"/>
    <w:rsid w:val="2DD067C0"/>
    <w:rsid w:val="2E97036A"/>
    <w:rsid w:val="30105C7F"/>
    <w:rsid w:val="304A1870"/>
    <w:rsid w:val="31665AD0"/>
    <w:rsid w:val="319F7F4E"/>
    <w:rsid w:val="32A52E38"/>
    <w:rsid w:val="3EA70269"/>
    <w:rsid w:val="42502AA1"/>
    <w:rsid w:val="4431062A"/>
    <w:rsid w:val="475F5C70"/>
    <w:rsid w:val="50981C04"/>
    <w:rsid w:val="54151EC8"/>
    <w:rsid w:val="55A76944"/>
    <w:rsid w:val="585C3593"/>
    <w:rsid w:val="59D90F53"/>
    <w:rsid w:val="5AA06495"/>
    <w:rsid w:val="5F703C98"/>
    <w:rsid w:val="63123AC8"/>
    <w:rsid w:val="65D11220"/>
    <w:rsid w:val="66965789"/>
    <w:rsid w:val="6CFB256E"/>
    <w:rsid w:val="6D3C1076"/>
    <w:rsid w:val="70493B77"/>
    <w:rsid w:val="7143612B"/>
    <w:rsid w:val="71CE46D3"/>
    <w:rsid w:val="76C30063"/>
    <w:rsid w:val="7AF81DDE"/>
    <w:rsid w:val="7B3C2783"/>
    <w:rsid w:val="7B3E5775"/>
    <w:rsid w:val="7DAE2A3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25"/>
    <w:qFormat/>
    <w:uiPriority w:val="99"/>
    <w:pPr>
      <w:tabs>
        <w:tab w:val="center" w:pos="4153"/>
        <w:tab w:val="right" w:pos="8306"/>
      </w:tabs>
      <w:snapToGrid w:val="0"/>
      <w:jc w:val="left"/>
    </w:pPr>
    <w:rPr>
      <w:kern w:val="0"/>
      <w:sz w:val="18"/>
      <w:szCs w:val="20"/>
    </w:rPr>
  </w:style>
  <w:style w:type="paragraph" w:styleId="6">
    <w:name w:val="Body Text"/>
    <w:basedOn w:val="1"/>
    <w:link w:val="26"/>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2"/>
    <w:qFormat/>
    <w:uiPriority w:val="99"/>
    <w:rPr>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7">
    <w:name w:val="Heading 1 Char"/>
    <w:basedOn w:val="13"/>
    <w:link w:val="3"/>
    <w:qFormat/>
    <w:locked/>
    <w:uiPriority w:val="99"/>
    <w:rPr>
      <w:rFonts w:ascii="Times New Roman" w:hAnsi="Times New Roman" w:cs="Times New Roman"/>
      <w:b/>
      <w:bCs/>
      <w:kern w:val="44"/>
      <w:sz w:val="44"/>
      <w:szCs w:val="44"/>
    </w:rPr>
  </w:style>
  <w:style w:type="character" w:customStyle="1" w:styleId="18">
    <w:name w:val="Heading 2 Char"/>
    <w:basedOn w:val="13"/>
    <w:link w:val="4"/>
    <w:qFormat/>
    <w:locked/>
    <w:uiPriority w:val="99"/>
    <w:rPr>
      <w:rFonts w:ascii="Cambria" w:hAnsi="Cambria" w:eastAsia="宋体" w:cs="Times New Roman"/>
      <w:b/>
      <w:bCs/>
      <w:kern w:val="2"/>
      <w:sz w:val="32"/>
      <w:szCs w:val="32"/>
    </w:rPr>
  </w:style>
  <w:style w:type="character" w:customStyle="1" w:styleId="19">
    <w:name w:val="Heading 3 Char"/>
    <w:basedOn w:val="13"/>
    <w:link w:val="5"/>
    <w:qFormat/>
    <w:locked/>
    <w:uiPriority w:val="99"/>
    <w:rPr>
      <w:rFonts w:ascii="Times New Roman" w:hAnsi="Times New Roman" w:cs="Times New Roman"/>
      <w:b/>
      <w:bCs/>
      <w:kern w:val="2"/>
      <w:sz w:val="32"/>
      <w:szCs w:val="32"/>
    </w:rPr>
  </w:style>
  <w:style w:type="character" w:customStyle="1" w:styleId="20">
    <w:name w:val="Footer Char"/>
    <w:basedOn w:val="13"/>
    <w:link w:val="2"/>
    <w:semiHidden/>
    <w:qFormat/>
    <w:locked/>
    <w:uiPriority w:val="99"/>
    <w:rPr>
      <w:rFonts w:ascii="Times New Roman" w:hAnsi="Times New Roman" w:cs="Times New Roman"/>
      <w:sz w:val="18"/>
      <w:szCs w:val="18"/>
    </w:rPr>
  </w:style>
  <w:style w:type="character" w:customStyle="1" w:styleId="21">
    <w:name w:val="Body Text Char"/>
    <w:basedOn w:val="13"/>
    <w:link w:val="6"/>
    <w:semiHidden/>
    <w:qFormat/>
    <w:locked/>
    <w:uiPriority w:val="99"/>
    <w:rPr>
      <w:rFonts w:ascii="Times New Roman" w:hAnsi="Times New Roman" w:cs="Times New Roman"/>
      <w:sz w:val="24"/>
      <w:szCs w:val="24"/>
    </w:rPr>
  </w:style>
  <w:style w:type="character" w:customStyle="1" w:styleId="22">
    <w:name w:val="Balloon Text Char"/>
    <w:basedOn w:val="13"/>
    <w:link w:val="8"/>
    <w:semiHidden/>
    <w:qFormat/>
    <w:locked/>
    <w:uiPriority w:val="99"/>
    <w:rPr>
      <w:rFonts w:ascii="Times New Roman" w:hAnsi="Times New Roman" w:cs="Times New Roman"/>
      <w:kern w:val="2"/>
      <w:sz w:val="18"/>
      <w:szCs w:val="18"/>
    </w:rPr>
  </w:style>
  <w:style w:type="character" w:customStyle="1" w:styleId="23">
    <w:name w:val="Header Char"/>
    <w:basedOn w:val="13"/>
    <w:link w:val="9"/>
    <w:semiHidden/>
    <w:qFormat/>
    <w:locked/>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2"/>
    <w:qFormat/>
    <w:locked/>
    <w:uiPriority w:val="99"/>
    <w:rPr>
      <w:sz w:val="18"/>
    </w:rPr>
  </w:style>
  <w:style w:type="character" w:customStyle="1" w:styleId="26">
    <w:name w:val="Body Text Char1"/>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0">
    <w:name w:val="标题 1 Char"/>
    <w:basedOn w:val="13"/>
    <w:link w:val="3"/>
    <w:qFormat/>
    <w:uiPriority w:val="9"/>
    <w:rPr>
      <w:rFonts w:ascii="Times New Roman" w:hAnsi="Times New Roman"/>
      <w:b/>
      <w:bCs/>
      <w:kern w:val="44"/>
      <w:sz w:val="44"/>
      <w:szCs w:val="44"/>
    </w:rPr>
  </w:style>
  <w:style w:type="character" w:customStyle="1" w:styleId="31">
    <w:name w:val="标题 2 Char"/>
    <w:basedOn w:val="13"/>
    <w:link w:val="4"/>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34</Pages>
  <Words>2671</Words>
  <Characters>15231</Characters>
  <Lines>0</Lines>
  <Paragraphs>0</Paragraphs>
  <TotalTime>0</TotalTime>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2019-09-06T12:43:48Z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