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line="600" w:lineRule="exact"/>
        <w:jc w:val="center"/>
        <w:textAlignment w:val="auto"/>
        <w:outlineLvl w:val="0"/>
        <w:rPr>
          <w:rFonts w:ascii="方正小标宋简体" w:hAnsi="宋体" w:eastAsia="方正小标宋简体"/>
          <w:color w:val="000000"/>
          <w:sz w:val="72"/>
          <w:szCs w:val="72"/>
        </w:rPr>
      </w:pPr>
      <w:bookmarkStart w:id="0" w:name="_Toc15306267"/>
    </w:p>
    <w:p>
      <w:pPr>
        <w:pageBreakBefore w:val="0"/>
        <w:widowControl w:val="0"/>
        <w:kinsoku/>
        <w:wordWrap/>
        <w:overflowPunct/>
        <w:topLinePunct w:val="0"/>
        <w:bidi w:val="0"/>
        <w:spacing w:line="600" w:lineRule="exact"/>
        <w:jc w:val="center"/>
        <w:textAlignment w:val="auto"/>
        <w:outlineLvl w:val="0"/>
        <w:rPr>
          <w:rFonts w:ascii="方正小标宋简体" w:hAnsi="宋体" w:eastAsia="方正小标宋简体"/>
          <w:color w:val="000000"/>
          <w:sz w:val="72"/>
          <w:szCs w:val="72"/>
        </w:rPr>
      </w:pPr>
    </w:p>
    <w:p>
      <w:pPr>
        <w:pageBreakBefore w:val="0"/>
        <w:widowControl w:val="0"/>
        <w:kinsoku/>
        <w:wordWrap/>
        <w:overflowPunct/>
        <w:topLinePunct w:val="0"/>
        <w:bidi w:val="0"/>
        <w:spacing w:line="600" w:lineRule="exact"/>
        <w:jc w:val="center"/>
        <w:textAlignment w:val="auto"/>
        <w:outlineLvl w:val="0"/>
        <w:rPr>
          <w:rFonts w:ascii="方正小标宋简体" w:hAnsi="宋体" w:eastAsia="方正小标宋简体"/>
          <w:color w:val="000000"/>
          <w:sz w:val="72"/>
          <w:szCs w:val="72"/>
        </w:rPr>
      </w:pPr>
    </w:p>
    <w:p>
      <w:pPr>
        <w:pageBreakBefore w:val="0"/>
        <w:widowControl w:val="0"/>
        <w:kinsoku/>
        <w:wordWrap/>
        <w:overflowPunct/>
        <w:topLinePunct w:val="0"/>
        <w:bidi w:val="0"/>
        <w:spacing w:line="600" w:lineRule="exact"/>
        <w:jc w:val="center"/>
        <w:textAlignment w:val="auto"/>
        <w:outlineLvl w:val="0"/>
        <w:rPr>
          <w:rFonts w:ascii="方正小标宋简体" w:hAnsi="宋体" w:eastAsia="方正小标宋简体"/>
          <w:color w:val="000000"/>
          <w:sz w:val="72"/>
          <w:szCs w:val="72"/>
        </w:rPr>
      </w:pPr>
    </w:p>
    <w:p>
      <w:pPr>
        <w:pageBreakBefore w:val="0"/>
        <w:widowControl w:val="0"/>
        <w:kinsoku/>
        <w:wordWrap/>
        <w:overflowPunct/>
        <w:topLinePunct w:val="0"/>
        <w:bidi w:val="0"/>
        <w:adjustRightInd w:val="0"/>
        <w:snapToGrid w:val="0"/>
        <w:spacing w:line="360" w:lineRule="auto"/>
        <w:jc w:val="center"/>
        <w:textAlignment w:val="auto"/>
        <w:outlineLvl w:val="0"/>
        <w:rPr>
          <w:rFonts w:hint="eastAsia" w:ascii="方正小标宋简体" w:hAnsi="方正小标宋简体" w:eastAsia="方正小标宋简体" w:cs="方正小标宋简体"/>
          <w:color w:val="000000"/>
          <w:sz w:val="72"/>
          <w:szCs w:val="72"/>
        </w:rPr>
      </w:pPr>
      <w:bookmarkStart w:id="1" w:name="_Toc15378441"/>
      <w:bookmarkStart w:id="2" w:name="_Toc15377193"/>
      <w:bookmarkStart w:id="3" w:name="_Toc15377425"/>
      <w:bookmarkStart w:id="4" w:name="_Toc15396475"/>
      <w:bookmarkStart w:id="5" w:name="_Toc15396597"/>
      <w:r>
        <w:rPr>
          <w:rFonts w:hint="eastAsia" w:ascii="方正小标宋简体" w:hAnsi="方正小标宋简体" w:eastAsia="方正小标宋简体" w:cs="方正小标宋简体"/>
          <w:color w:val="000000"/>
          <w:sz w:val="72"/>
          <w:szCs w:val="72"/>
        </w:rPr>
        <w:t>201</w:t>
      </w:r>
      <w:r>
        <w:rPr>
          <w:rFonts w:hint="eastAsia" w:ascii="方正小标宋简体" w:hAnsi="方正小标宋简体" w:eastAsia="方正小标宋简体" w:cs="方正小标宋简体"/>
          <w:color w:val="000000"/>
          <w:sz w:val="72"/>
          <w:szCs w:val="72"/>
          <w:lang w:val="en-US" w:eastAsia="zh-CN"/>
        </w:rPr>
        <w:t>9</w:t>
      </w:r>
      <w:r>
        <w:rPr>
          <w:rFonts w:hint="eastAsia" w:ascii="方正小标宋简体" w:hAnsi="方正小标宋简体" w:eastAsia="方正小标宋简体" w:cs="方正小标宋简体"/>
          <w:color w:val="000000"/>
          <w:sz w:val="72"/>
          <w:szCs w:val="72"/>
        </w:rPr>
        <w:t>年度</w:t>
      </w:r>
      <w:bookmarkEnd w:id="1"/>
      <w:bookmarkEnd w:id="2"/>
      <w:bookmarkEnd w:id="3"/>
      <w:bookmarkEnd w:id="4"/>
      <w:bookmarkEnd w:id="5"/>
    </w:p>
    <w:p>
      <w:pPr>
        <w:pageBreakBefore w:val="0"/>
        <w:widowControl w:val="0"/>
        <w:kinsoku/>
        <w:wordWrap/>
        <w:overflowPunct/>
        <w:topLinePunct w:val="0"/>
        <w:bidi w:val="0"/>
        <w:adjustRightInd w:val="0"/>
        <w:snapToGrid w:val="0"/>
        <w:spacing w:line="360" w:lineRule="auto"/>
        <w:jc w:val="center"/>
        <w:textAlignment w:val="auto"/>
        <w:outlineLvl w:val="0"/>
        <w:rPr>
          <w:rFonts w:hint="eastAsia" w:ascii="方正小标宋简体" w:hAnsi="方正小标宋简体" w:eastAsia="方正小标宋简体" w:cs="方正小标宋简体"/>
          <w:color w:val="000000"/>
          <w:sz w:val="72"/>
          <w:szCs w:val="72"/>
          <w:lang w:eastAsia="zh-CN"/>
        </w:rPr>
      </w:pPr>
      <w:bookmarkStart w:id="6" w:name="_Toc15396476"/>
      <w:bookmarkStart w:id="7" w:name="_Toc15377426"/>
      <w:bookmarkStart w:id="8" w:name="_Toc15396598"/>
      <w:bookmarkStart w:id="9" w:name="_Toc15378442"/>
      <w:bookmarkStart w:id="10" w:name="_Toc15377194"/>
      <w:r>
        <w:rPr>
          <w:rFonts w:hint="eastAsia" w:ascii="方正小标宋简体" w:hAnsi="方正小标宋简体" w:eastAsia="方正小标宋简体" w:cs="方正小标宋简体"/>
          <w:color w:val="000000"/>
          <w:sz w:val="72"/>
          <w:szCs w:val="72"/>
        </w:rPr>
        <w:t>四川省</w:t>
      </w:r>
      <w:bookmarkEnd w:id="0"/>
      <w:bookmarkStart w:id="11" w:name="_Toc15306268"/>
      <w:r>
        <w:rPr>
          <w:rFonts w:hint="eastAsia" w:ascii="方正小标宋简体" w:hAnsi="方正小标宋简体" w:eastAsia="方正小标宋简体" w:cs="方正小标宋简体"/>
          <w:color w:val="000000"/>
          <w:sz w:val="72"/>
          <w:szCs w:val="72"/>
          <w:lang w:eastAsia="zh-CN"/>
        </w:rPr>
        <w:t>红原县财政局</w:t>
      </w:r>
    </w:p>
    <w:p>
      <w:pPr>
        <w:pageBreakBefore w:val="0"/>
        <w:widowControl w:val="0"/>
        <w:kinsoku/>
        <w:wordWrap/>
        <w:overflowPunct/>
        <w:topLinePunct w:val="0"/>
        <w:bidi w:val="0"/>
        <w:adjustRightInd w:val="0"/>
        <w:snapToGrid w:val="0"/>
        <w:spacing w:line="360" w:lineRule="auto"/>
        <w:jc w:val="center"/>
        <w:textAlignment w:val="auto"/>
        <w:outlineLvl w:val="0"/>
        <w:rPr>
          <w:rFonts w:hint="eastAsia" w:ascii="方正小标宋简体" w:hAnsi="方正小标宋简体" w:eastAsia="方正小标宋简体" w:cs="方正小标宋简体"/>
          <w:color w:val="000000"/>
          <w:sz w:val="72"/>
          <w:szCs w:val="72"/>
        </w:rPr>
      </w:pPr>
      <w:r>
        <w:rPr>
          <w:rFonts w:hint="eastAsia" w:ascii="方正小标宋简体" w:hAnsi="方正小标宋简体" w:eastAsia="方正小标宋简体" w:cs="方正小标宋简体"/>
          <w:color w:val="000000"/>
          <w:sz w:val="72"/>
          <w:szCs w:val="72"/>
        </w:rPr>
        <w:t>部门决算</w:t>
      </w:r>
      <w:bookmarkEnd w:id="6"/>
      <w:bookmarkEnd w:id="7"/>
      <w:bookmarkEnd w:id="8"/>
      <w:bookmarkEnd w:id="9"/>
      <w:bookmarkEnd w:id="10"/>
      <w:bookmarkEnd w:id="11"/>
    </w:p>
    <w:p>
      <w:pPr>
        <w:pageBreakBefore w:val="0"/>
        <w:widowControl w:val="0"/>
        <w:kinsoku/>
        <w:wordWrap/>
        <w:overflowPunct/>
        <w:topLinePunct w:val="0"/>
        <w:bidi w:val="0"/>
        <w:jc w:val="center"/>
        <w:textAlignment w:val="auto"/>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ageBreakBefore w:val="0"/>
        <w:widowControl w:val="0"/>
        <w:kinsoku/>
        <w:wordWrap/>
        <w:overflowPunct/>
        <w:topLinePunct w:val="0"/>
        <w:bidi w:val="0"/>
        <w:jc w:val="center"/>
        <w:textAlignment w:val="auto"/>
        <w:rPr>
          <w:rFonts w:hint="eastAsia" w:eastAsia="宋体"/>
          <w:lang w:eastAsia="zh-CN"/>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r>
        <w:rPr>
          <w:rFonts w:hint="eastAsia"/>
          <w:lang w:eastAsia="zh-CN"/>
        </w:rPr>
        <w:tab/>
      </w:r>
    </w:p>
    <w:p>
      <w:pPr>
        <w:pStyle w:val="12"/>
        <w:pageBreakBefore w:val="0"/>
        <w:widowControl w:val="0"/>
        <w:kinsoku/>
        <w:wordWrap/>
        <w:overflowPunct/>
        <w:topLinePunct w:val="0"/>
        <w:bidi w:val="0"/>
        <w:textAlignment w:val="auto"/>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rPr>
          <w:rFonts w:hint="eastAsia"/>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fldChar w:fldCharType="end"/>
      </w:r>
    </w:p>
    <w:p>
      <w:pPr>
        <w:pStyle w:val="12"/>
        <w:pageBreakBefore w:val="0"/>
        <w:widowControl w:val="0"/>
        <w:kinsoku/>
        <w:wordWrap/>
        <w:overflowPunct/>
        <w:topLinePunct w:val="0"/>
        <w:bidi w:val="0"/>
        <w:textAlignment w:val="auto"/>
      </w:pPr>
      <w:r>
        <w:fldChar w:fldCharType="begin"/>
      </w:r>
      <w:r>
        <w:instrText xml:space="preserve"> HYPERLINK \l "_Toc15396602" </w:instrText>
      </w:r>
      <w:r>
        <w:fldChar w:fldCharType="separate"/>
      </w:r>
      <w:r>
        <w:rPr>
          <w:rStyle w:val="18"/>
          <w:rFonts w:hint="eastAsia"/>
        </w:rPr>
        <w:t>第二部分</w:t>
      </w:r>
      <w:r>
        <w:rPr>
          <w:rStyle w:val="18"/>
        </w:rPr>
        <w:t xml:space="preserve"> 201</w:t>
      </w:r>
      <w:r>
        <w:rPr>
          <w:rStyle w:val="18"/>
          <w:rFonts w:hint="eastAsia"/>
          <w:lang w:val="en-US" w:eastAsia="zh-CN"/>
        </w:rPr>
        <w:t>9</w:t>
      </w:r>
      <w:r>
        <w:rPr>
          <w:rStyle w:val="18"/>
          <w:rFonts w:hint="eastAsia"/>
        </w:rPr>
        <w:t>年度部门决算情况说明</w:t>
      </w:r>
      <w: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2"/>
        <w:pageBreakBefore w:val="0"/>
        <w:widowControl w:val="0"/>
        <w:kinsoku/>
        <w:wordWrap/>
        <w:overflowPunct/>
        <w:topLinePunct w:val="0"/>
        <w:bidi w:val="0"/>
        <w:textAlignment w:val="auto"/>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fldChar w:fldCharType="end"/>
      </w:r>
    </w:p>
    <w:p>
      <w:pPr>
        <w:pStyle w:val="12"/>
        <w:pageBreakBefore w:val="0"/>
        <w:widowControl w:val="0"/>
        <w:kinsoku/>
        <w:wordWrap/>
        <w:overflowPunct/>
        <w:topLinePunct w:val="0"/>
        <w:bidi w:val="0"/>
        <w:textAlignment w:val="auto"/>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fldChar w:fldCharType="end"/>
      </w:r>
    </w:p>
    <w:p>
      <w:pPr>
        <w:pStyle w:val="12"/>
        <w:pageBreakBefore w:val="0"/>
        <w:widowControl w:val="0"/>
        <w:kinsoku/>
        <w:wordWrap/>
        <w:overflowPunct/>
        <w:topLinePunct w:val="0"/>
        <w:bidi w:val="0"/>
        <w:textAlignment w:val="auto"/>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3"/>
        <w:pageBreakBefore w:val="0"/>
        <w:widowControl w:val="0"/>
        <w:kinsoku/>
        <w:wordWrap/>
        <w:overflowPunct/>
        <w:topLinePunct w:val="0"/>
        <w:bidi w:val="0"/>
        <w:textAlignment w:val="auto"/>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fldChar w:fldCharType="end"/>
      </w:r>
    </w:p>
    <w:p>
      <w:pPr>
        <w:pageBreakBefore w:val="0"/>
        <w:widowControl w:val="0"/>
        <w:kinsoku/>
        <w:wordWrap/>
        <w:overflowPunct/>
        <w:topLinePunct w:val="0"/>
        <w:bidi w:val="0"/>
        <w:jc w:val="left"/>
        <w:textAlignment w:val="auto"/>
        <w:rPr>
          <w:rFonts w:ascii="黑体" w:hAnsi="黑体" w:eastAsia="黑体"/>
          <w:bCs/>
          <w:kern w:val="44"/>
          <w:sz w:val="44"/>
          <w:szCs w:val="44"/>
        </w:rPr>
      </w:pPr>
      <w:r>
        <w:rPr>
          <w:rFonts w:ascii="仿宋" w:hAnsi="仿宋" w:eastAsia="仿宋"/>
          <w:color w:val="000000"/>
          <w:sz w:val="24"/>
        </w:rPr>
        <w:fldChar w:fldCharType="end"/>
      </w:r>
      <w:bookmarkStart w:id="12" w:name="_Toc15377196"/>
      <w:bookmarkStart w:id="13" w:name="_Toc15396599"/>
      <w:r>
        <w:rPr>
          <w:rFonts w:hint="eastAsia" w:ascii="仿宋" w:hAnsi="仿宋" w:eastAsia="仿宋"/>
          <w:color w:val="000000"/>
          <w:sz w:val="24"/>
          <w:lang w:val="en-US" w:eastAsia="zh-CN"/>
        </w:rPr>
        <w:t xml:space="preserve">   </w:t>
      </w:r>
      <w:r>
        <w:rPr>
          <w:rStyle w:val="28"/>
          <w:rFonts w:hint="eastAsia" w:ascii="仿宋" w:hAnsi="仿宋" w:eastAsia="仿宋"/>
          <w:b w:val="0"/>
          <w:bCs w:val="0"/>
          <w:lang w:val="en-US" w:eastAsia="zh-CN"/>
        </w:rPr>
        <w:t>十四、整体支出绩效评价打分表</w:t>
      </w:r>
      <w:r>
        <w:rPr>
          <w:rFonts w:ascii="黑体" w:hAnsi="黑体" w:eastAsia="黑体"/>
          <w:b/>
        </w:rPr>
        <w:br w:type="page"/>
      </w:r>
      <w:bookmarkStart w:id="58" w:name="_GoBack"/>
      <w:bookmarkEnd w:id="58"/>
    </w:p>
    <w:p>
      <w:pPr>
        <w:pStyle w:val="4"/>
        <w:pageBreakBefore w:val="0"/>
        <w:widowControl w:val="0"/>
        <w:kinsoku/>
        <w:wordWrap/>
        <w:overflowPunct/>
        <w:topLinePunct w:val="0"/>
        <w:bidi w:val="0"/>
        <w:jc w:val="center"/>
        <w:textAlignment w:val="auto"/>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pageBreakBefore w:val="0"/>
        <w:widowControl w:val="0"/>
        <w:kinsoku/>
        <w:wordWrap/>
        <w:overflowPunct/>
        <w:topLinePunct w:val="0"/>
        <w:bidi w:val="0"/>
        <w:jc w:val="left"/>
        <w:textAlignment w:val="auto"/>
        <w:rPr>
          <w:rFonts w:ascii="黑体" w:eastAsia="黑体"/>
          <w:color w:val="000000"/>
          <w:sz w:val="32"/>
          <w:szCs w:val="32"/>
        </w:rPr>
      </w:pPr>
    </w:p>
    <w:p>
      <w:pPr>
        <w:pStyle w:val="5"/>
        <w:pageBreakBefore w:val="0"/>
        <w:widowControl w:val="0"/>
        <w:kinsoku/>
        <w:wordWrap/>
        <w:overflowPunct/>
        <w:topLinePunct w:val="0"/>
        <w:bidi w:val="0"/>
        <w:textAlignment w:val="auto"/>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32"/>
        <w:pageBreakBefore w:val="0"/>
        <w:widowControl w:val="0"/>
        <w:kinsoku/>
        <w:wordWrap/>
        <w:overflowPunct/>
        <w:topLinePunct w:val="0"/>
        <w:bidi w:val="0"/>
        <w:spacing w:line="576" w:lineRule="exact"/>
        <w:ind w:left="0" w:leftChars="0" w:firstLine="643" w:firstLineChars="200"/>
        <w:jc w:val="both"/>
        <w:textAlignment w:val="auto"/>
        <w:rPr>
          <w:rFonts w:hint="eastAsia" w:ascii="楷体_GB2312" w:hAnsi="楷体_GB2312" w:eastAsia="楷体_GB2312" w:cs="楷体_GB2312"/>
          <w:b/>
          <w:bCs w:val="0"/>
          <w:sz w:val="32"/>
          <w:szCs w:val="32"/>
        </w:rPr>
      </w:pPr>
      <w:bookmarkStart w:id="16" w:name="_Toc15378445"/>
      <w:bookmarkStart w:id="17" w:name="_Toc15377198"/>
      <w:r>
        <w:rPr>
          <w:rFonts w:hint="eastAsia" w:ascii="楷体_GB2312" w:hAnsi="楷体_GB2312" w:eastAsia="楷体_GB2312" w:cs="楷体_GB2312"/>
          <w:b/>
          <w:bCs w:val="0"/>
          <w:color w:val="000000"/>
          <w:sz w:val="32"/>
          <w:szCs w:val="32"/>
        </w:rPr>
        <w:t>（一）主要职能。</w:t>
      </w:r>
    </w:p>
    <w:p>
      <w:pPr>
        <w:pStyle w:val="32"/>
        <w:pageBreakBefore w:val="0"/>
        <w:widowControl w:val="0"/>
        <w:kinsoku/>
        <w:wordWrap/>
        <w:overflowPunct/>
        <w:topLinePunct w:val="0"/>
        <w:bidi w:val="0"/>
        <w:spacing w:line="576" w:lineRule="exact"/>
        <w:ind w:left="0" w:leftChars="0" w:firstLine="640" w:firstLineChars="20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pStyle w:val="32"/>
        <w:pageBreakBefore w:val="0"/>
        <w:widowControl w:val="0"/>
        <w:kinsoku/>
        <w:wordWrap/>
        <w:overflowPunct/>
        <w:topLinePunct w:val="0"/>
        <w:bidi w:val="0"/>
        <w:spacing w:line="576" w:lineRule="exact"/>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rPr>
        <w:t>贯彻执行国家财税方面的法律、法规和方针、政策，负责组织起草地方性财税法规草案、实施办法和规章制度并组织实施。管理中央转贷的特种国债。</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承担各项财政收支管理的责任。负责编制年度县级预算草案并组织执行；受县政府委托，向县人民代表大会报告县本级财政预算及其执行情况，向县人大常委会报告决算；组织制定经费开支标准、定额，负责审核批复部门（单位）的年度预决算。</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）负责政府非税收入管理。负责政府性基金管理，按规定管理行政事业性收费。管理财政票据。按规定管理彩票基金。</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rPr>
        <w:t>）组织制定全县国库管理制度、国库集中收付制度，指导和监督国库业务，按规定开展国库现金管理工作。负责制定政府采购制度，监督管理全县政府采购工作。</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）会同有关部门管理全县社会保障和就业及医疗卫生支出，会同有关部门拟定社会保障资金（基金）的财务管理制度，编制县级社会保障预决算草案。</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）负责组织执行政府债务管理制度和政策，制定具体管理办法，负责管理政府债务，防范财政风险。</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8</w:t>
      </w:r>
      <w:r>
        <w:rPr>
          <w:rFonts w:hint="eastAsia" w:ascii="仿宋_GB2312" w:hAnsi="仿宋_GB2312" w:eastAsia="仿宋_GB2312" w:cs="仿宋_GB2312"/>
          <w:color w:val="000000"/>
          <w:kern w:val="0"/>
          <w:sz w:val="32"/>
          <w:szCs w:val="32"/>
        </w:rPr>
        <w:t>）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rPr>
        <w:t>）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rPr>
        <w:t>）负责管理全县会计工作，监督和规范会计行为，组织实施国家统一会计制度和补充规定；会同有关部门管理会计专业技术职称工作。</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）负责财政资金绩效评价。监督检查财税政策、法律法规的执行情况，反映财政收支中的重大问题。依法查处重点违反财经纪律的行为。</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13</w:t>
      </w:r>
      <w:r>
        <w:rPr>
          <w:rFonts w:hint="eastAsia" w:ascii="仿宋_GB2312" w:hAnsi="仿宋_GB2312" w:eastAsia="仿宋_GB2312" w:cs="仿宋_GB2312"/>
          <w:color w:val="000000"/>
          <w:kern w:val="0"/>
          <w:sz w:val="32"/>
          <w:szCs w:val="32"/>
        </w:rPr>
        <w:t>）制定财政科研计划和教育培训规划；组织财政业务培训；负责财政信息和财政宣传工作；指导全县财政系统抓好精神文明建设和廉政建设，做好财政系统干部职工的思想政治工作。</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）承担县政府公布的有关行政审批事项。</w:t>
      </w:r>
    </w:p>
    <w:p>
      <w:pPr>
        <w:pStyle w:val="32"/>
        <w:pageBreakBefore w:val="0"/>
        <w:widowControl w:val="0"/>
        <w:kinsoku/>
        <w:wordWrap/>
        <w:overflowPunct/>
        <w:topLinePunct w:val="0"/>
        <w:bidi w:val="0"/>
        <w:spacing w:line="576" w:lineRule="exact"/>
        <w:ind w:firstLine="640"/>
        <w:jc w:val="both"/>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15</w:t>
      </w:r>
      <w:r>
        <w:rPr>
          <w:rFonts w:hint="eastAsia" w:ascii="仿宋_GB2312" w:hAnsi="仿宋_GB2312" w:eastAsia="仿宋_GB2312" w:cs="仿宋_GB2312"/>
          <w:color w:val="000000"/>
          <w:kern w:val="0"/>
          <w:sz w:val="32"/>
          <w:szCs w:val="32"/>
        </w:rPr>
        <w:t>）承办县政府交办的其他事项。</w:t>
      </w:r>
    </w:p>
    <w:bookmarkEnd w:id="16"/>
    <w:bookmarkEnd w:id="17"/>
    <w:p>
      <w:pPr>
        <w:pStyle w:val="5"/>
        <w:pageBreakBefore w:val="0"/>
        <w:widowControl w:val="0"/>
        <w:kinsoku/>
        <w:wordWrap/>
        <w:overflowPunct/>
        <w:topLinePunct w:val="0"/>
        <w:bidi w:val="0"/>
        <w:textAlignment w:val="auto"/>
        <w:rPr>
          <w:rStyle w:val="28"/>
          <w:b w:val="0"/>
          <w:bCs w:val="0"/>
        </w:rPr>
      </w:pPr>
      <w:bookmarkStart w:id="18" w:name="_Toc15377200"/>
      <w:bookmarkStart w:id="19" w:name="_Toc15396601"/>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8"/>
      <w:bookmarkEnd w:id="19"/>
    </w:p>
    <w:p>
      <w:pPr>
        <w:pStyle w:val="32"/>
        <w:pageBreakBefore w:val="0"/>
        <w:widowControl w:val="0"/>
        <w:kinsoku/>
        <w:wordWrap/>
        <w:overflowPunct/>
        <w:topLinePunct w:val="0"/>
        <w:bidi w:val="0"/>
        <w:spacing w:line="576" w:lineRule="exact"/>
        <w:ind w:left="0" w:leftChars="0" w:firstLine="643" w:firstLineChars="200"/>
        <w:jc w:val="both"/>
        <w:textAlignment w:val="auto"/>
        <w:rPr>
          <w:rFonts w:hint="eastAsia" w:ascii="楷体_GB2312" w:hAnsi="楷体_GB2312" w:eastAsia="楷体_GB2312" w:cs="楷体_GB2312"/>
          <w:b/>
          <w:bCs w:val="0"/>
          <w:color w:val="000000"/>
          <w:sz w:val="32"/>
          <w:szCs w:val="32"/>
        </w:rPr>
      </w:pPr>
      <w:bookmarkStart w:id="20" w:name="_Toc15396602"/>
      <w:bookmarkStart w:id="21" w:name="_Toc15377204"/>
      <w:r>
        <w:rPr>
          <w:rFonts w:hint="eastAsia" w:ascii="楷体_GB2312" w:hAnsi="楷体_GB2312" w:eastAsia="楷体_GB2312" w:cs="楷体_GB2312"/>
          <w:b/>
          <w:bCs w:val="0"/>
          <w:color w:val="000000"/>
          <w:sz w:val="32"/>
          <w:szCs w:val="32"/>
          <w:lang w:eastAsia="zh-CN"/>
        </w:rPr>
        <w:t>（二）</w:t>
      </w:r>
      <w:r>
        <w:rPr>
          <w:rFonts w:hint="eastAsia" w:ascii="楷体_GB2312" w:hAnsi="楷体_GB2312" w:eastAsia="楷体_GB2312" w:cs="楷体_GB2312"/>
          <w:b/>
          <w:bCs w:val="0"/>
          <w:color w:val="000000"/>
          <w:sz w:val="32"/>
          <w:szCs w:val="32"/>
        </w:rPr>
        <w:t>机构情况</w:t>
      </w:r>
    </w:p>
    <w:p>
      <w:pPr>
        <w:pageBreakBefore w:val="0"/>
        <w:widowControl w:val="0"/>
        <w:kinsoku/>
        <w:wordWrap/>
        <w:overflowPunct/>
        <w:topLinePunct w:val="0"/>
        <w:bidi w:val="0"/>
        <w:snapToGrid w:val="0"/>
        <w:spacing w:line="52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红原县财政局是行政单位，执行行政单位会计制度，是独立核算的机构，是独立编报决算的单位。我局本年度独立核算机构</w:t>
      </w:r>
      <w:r>
        <w:rPr>
          <w:rFonts w:hint="eastAsia" w:ascii="仿宋_GB2312" w:hAnsi="仿宋" w:eastAsia="仿宋_GB2312"/>
          <w:sz w:val="32"/>
          <w:szCs w:val="32"/>
          <w:lang w:val="en-US" w:eastAsia="zh-CN"/>
        </w:rPr>
        <w:t>2</w:t>
      </w:r>
      <w:r>
        <w:rPr>
          <w:rFonts w:hint="eastAsia" w:ascii="仿宋_GB2312" w:hAnsi="仿宋" w:eastAsia="仿宋_GB2312"/>
          <w:sz w:val="32"/>
          <w:szCs w:val="32"/>
        </w:rPr>
        <w:t>个，与上年比，无变化。</w:t>
      </w:r>
    </w:p>
    <w:p>
      <w:pPr>
        <w:pageBreakBefore w:val="0"/>
        <w:widowControl w:val="0"/>
        <w:kinsoku/>
        <w:wordWrap/>
        <w:overflowPunct/>
        <w:topLinePunct w:val="0"/>
        <w:bidi w:val="0"/>
        <w:snapToGrid w:val="0"/>
        <w:spacing w:line="520" w:lineRule="exact"/>
        <w:ind w:firstLine="643" w:firstLineChars="200"/>
        <w:textAlignment w:val="auto"/>
        <w:rPr>
          <w:rFonts w:hint="eastAsia" w:ascii="仿宋_GB2312" w:hAnsi="仿宋" w:eastAsia="仿宋_GB2312"/>
          <w:b w:val="0"/>
          <w:bCs w:val="0"/>
          <w:sz w:val="32"/>
          <w:szCs w:val="32"/>
        </w:rPr>
      </w:pPr>
      <w:r>
        <w:rPr>
          <w:rFonts w:hint="eastAsia" w:ascii="楷体_GB2312" w:hAnsi="楷体_GB2312" w:eastAsia="楷体_GB2312" w:cs="楷体_GB2312"/>
          <w:b/>
          <w:bCs w:val="0"/>
          <w:color w:val="000000"/>
          <w:kern w:val="2"/>
          <w:sz w:val="32"/>
          <w:szCs w:val="32"/>
          <w:lang w:val="en-US" w:eastAsia="zh-CN" w:bidi="ar-SA"/>
        </w:rPr>
        <w:t>（三）人员情况</w:t>
      </w:r>
    </w:p>
    <w:p>
      <w:pPr>
        <w:pageBreakBefore w:val="0"/>
        <w:widowControl w:val="0"/>
        <w:kinsoku/>
        <w:wordWrap/>
        <w:overflowPunct/>
        <w:topLinePunct w:val="0"/>
        <w:bidi w:val="0"/>
        <w:snapToGrid w:val="0"/>
        <w:spacing w:line="52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我局人事核定行政编制</w:t>
      </w:r>
      <w:r>
        <w:rPr>
          <w:rFonts w:hint="eastAsia" w:ascii="仿宋_GB2312" w:hAnsi="仿宋" w:eastAsia="仿宋_GB2312"/>
          <w:sz w:val="32"/>
          <w:szCs w:val="32"/>
          <w:lang w:val="en-US" w:eastAsia="zh-CN"/>
        </w:rPr>
        <w:t>16</w:t>
      </w:r>
      <w:r>
        <w:rPr>
          <w:rFonts w:hint="eastAsia" w:ascii="仿宋_GB2312" w:hAnsi="仿宋" w:eastAsia="仿宋_GB2312"/>
          <w:sz w:val="32"/>
          <w:szCs w:val="32"/>
        </w:rPr>
        <w:t>人，参公13人，</w:t>
      </w:r>
      <w:r>
        <w:rPr>
          <w:rFonts w:hint="eastAsia" w:ascii="仿宋_GB2312" w:hAnsi="仿宋" w:eastAsia="仿宋_GB2312"/>
          <w:sz w:val="32"/>
          <w:szCs w:val="32"/>
          <w:lang w:eastAsia="zh-CN"/>
        </w:rPr>
        <w:t>事业</w:t>
      </w:r>
      <w:r>
        <w:rPr>
          <w:rFonts w:hint="eastAsia" w:ascii="仿宋_GB2312" w:hAnsi="仿宋" w:eastAsia="仿宋_GB2312"/>
          <w:sz w:val="32"/>
          <w:szCs w:val="32"/>
          <w:lang w:val="en-US" w:eastAsia="zh-CN"/>
        </w:rPr>
        <w:t>12人。</w:t>
      </w:r>
      <w:r>
        <w:rPr>
          <w:rFonts w:hint="eastAsia" w:ascii="仿宋_GB2312" w:hAnsi="仿宋" w:eastAsia="仿宋_GB2312"/>
          <w:sz w:val="32"/>
          <w:szCs w:val="32"/>
        </w:rPr>
        <w:t>是独立核算的机构，是独立编报预算的单位。201</w:t>
      </w:r>
      <w:r>
        <w:rPr>
          <w:rFonts w:hint="eastAsia" w:ascii="仿宋_GB2312" w:hAnsi="仿宋" w:eastAsia="仿宋_GB2312"/>
          <w:sz w:val="32"/>
          <w:szCs w:val="32"/>
          <w:lang w:val="en-US" w:eastAsia="zh-CN"/>
        </w:rPr>
        <w:t>9</w:t>
      </w:r>
      <w:r>
        <w:rPr>
          <w:rFonts w:hint="eastAsia" w:ascii="仿宋_GB2312" w:hAnsi="仿宋" w:eastAsia="仿宋_GB2312"/>
          <w:sz w:val="32"/>
          <w:szCs w:val="32"/>
        </w:rPr>
        <w:t>年年末在职行政人数1</w:t>
      </w:r>
      <w:r>
        <w:rPr>
          <w:rFonts w:hint="eastAsia" w:ascii="仿宋_GB2312" w:hAnsi="仿宋" w:eastAsia="仿宋_GB2312"/>
          <w:sz w:val="32"/>
          <w:szCs w:val="32"/>
          <w:lang w:val="en-US" w:eastAsia="zh-CN"/>
        </w:rPr>
        <w:t>5</w:t>
      </w:r>
      <w:r>
        <w:rPr>
          <w:rFonts w:hint="eastAsia" w:ascii="仿宋_GB2312" w:hAnsi="仿宋" w:eastAsia="仿宋_GB2312"/>
          <w:sz w:val="32"/>
          <w:szCs w:val="32"/>
        </w:rPr>
        <w:t>人</w:t>
      </w:r>
      <w:r>
        <w:rPr>
          <w:rFonts w:hint="eastAsia" w:ascii="仿宋_GB2312" w:hAnsi="仿宋" w:eastAsia="仿宋_GB2312"/>
          <w:sz w:val="32"/>
          <w:szCs w:val="32"/>
          <w:lang w:eastAsia="zh-CN"/>
        </w:rPr>
        <w:t>、参公</w:t>
      </w:r>
      <w:r>
        <w:rPr>
          <w:rFonts w:hint="eastAsia" w:ascii="仿宋_GB2312" w:hAnsi="仿宋" w:eastAsia="仿宋_GB2312"/>
          <w:sz w:val="32"/>
          <w:szCs w:val="32"/>
          <w:lang w:val="en-US" w:eastAsia="zh-CN"/>
        </w:rPr>
        <w:t>12人、事业7人。</w:t>
      </w:r>
    </w:p>
    <w:p>
      <w:pPr>
        <w:pStyle w:val="4"/>
        <w:pageBreakBefore w:val="0"/>
        <w:widowControl w:val="0"/>
        <w:kinsoku/>
        <w:wordWrap/>
        <w:overflowPunct/>
        <w:topLinePunct w:val="0"/>
        <w:bidi w:val="0"/>
        <w:ind w:right="440"/>
        <w:jc w:val="right"/>
        <w:textAlignment w:val="auto"/>
        <w:rPr>
          <w:rStyle w:val="27"/>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w:t>
      </w:r>
      <w:r>
        <w:rPr>
          <w:rStyle w:val="27"/>
          <w:rFonts w:hint="eastAsia" w:ascii="黑体" w:hAnsi="黑体" w:eastAsia="黑体"/>
          <w:b w:val="0"/>
          <w:bCs w:val="0"/>
          <w:lang w:val="en-US" w:eastAsia="zh-CN"/>
        </w:rPr>
        <w:t>9</w:t>
      </w:r>
      <w:r>
        <w:rPr>
          <w:rStyle w:val="27"/>
          <w:rFonts w:hint="eastAsia" w:ascii="黑体" w:hAnsi="黑体" w:eastAsia="黑体"/>
          <w:b w:val="0"/>
          <w:bCs w:val="0"/>
        </w:rPr>
        <w:t>年度部门决算情况说明</w:t>
      </w:r>
      <w:bookmarkEnd w:id="20"/>
      <w:bookmarkEnd w:id="21"/>
    </w:p>
    <w:p>
      <w:pPr>
        <w:pageBreakBefore w:val="0"/>
        <w:widowControl w:val="0"/>
        <w:kinsoku/>
        <w:wordWrap/>
        <w:overflowPunct/>
        <w:topLinePunct w:val="0"/>
        <w:bidi w:val="0"/>
        <w:textAlignment w:val="auto"/>
      </w:pPr>
    </w:p>
    <w:p>
      <w:pPr>
        <w:pStyle w:val="26"/>
        <w:pageBreakBefore w:val="0"/>
        <w:widowControl w:val="0"/>
        <w:numPr>
          <w:ilvl w:val="0"/>
          <w:numId w:val="1"/>
        </w:numPr>
        <w:kinsoku/>
        <w:wordWrap/>
        <w:overflowPunct/>
        <w:topLinePunct w:val="0"/>
        <w:bidi w:val="0"/>
        <w:spacing w:line="600" w:lineRule="exact"/>
        <w:ind w:firstLineChars="0"/>
        <w:textAlignment w:val="auto"/>
        <w:outlineLvl w:val="1"/>
        <w:rPr>
          <w:rStyle w:val="28"/>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2"/>
      <w:bookmarkEnd w:id="23"/>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年度收入总计</w:t>
      </w:r>
      <w:r>
        <w:rPr>
          <w:rFonts w:hint="eastAsia" w:ascii="仿宋_GB2312" w:hAnsi="仿宋_GB2312" w:eastAsia="仿宋_GB2312" w:cs="仿宋_GB2312"/>
          <w:color w:val="000000"/>
          <w:sz w:val="32"/>
          <w:szCs w:val="32"/>
          <w:lang w:val="en-US" w:eastAsia="zh-CN"/>
        </w:rPr>
        <w:t>803.97</w:t>
      </w:r>
      <w:r>
        <w:rPr>
          <w:rFonts w:hint="eastAsia" w:ascii="仿宋_GB2312" w:hAnsi="仿宋_GB2312" w:eastAsia="仿宋_GB2312" w:cs="仿宋_GB2312"/>
          <w:color w:val="000000"/>
          <w:sz w:val="32"/>
          <w:szCs w:val="32"/>
        </w:rPr>
        <w:t>万元，支总计</w:t>
      </w:r>
      <w:r>
        <w:rPr>
          <w:rFonts w:hint="eastAsia" w:ascii="仿宋_GB2312" w:hAnsi="仿宋_GB2312" w:eastAsia="仿宋_GB2312" w:cs="仿宋_GB2312"/>
          <w:color w:val="000000"/>
          <w:sz w:val="32"/>
          <w:szCs w:val="32"/>
          <w:lang w:val="en-US" w:eastAsia="zh-CN"/>
        </w:rPr>
        <w:t>931.24</w:t>
      </w:r>
      <w:r>
        <w:rPr>
          <w:rFonts w:hint="eastAsia" w:ascii="仿宋_GB2312" w:hAnsi="仿宋_GB2312" w:eastAsia="仿宋_GB2312" w:cs="仿宋_GB2312"/>
          <w:color w:val="000000"/>
          <w:sz w:val="32"/>
          <w:szCs w:val="32"/>
        </w:rPr>
        <w:t>万元。与201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162.88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25.41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47.83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5.41</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rPr>
        <w:t>人员</w:t>
      </w:r>
      <w:r>
        <w:rPr>
          <w:rFonts w:hint="eastAsia" w:ascii="仿宋_GB2312" w:hAnsi="仿宋_GB2312" w:eastAsia="仿宋_GB2312" w:cs="仿宋_GB2312"/>
          <w:color w:val="000000"/>
          <w:sz w:val="32"/>
          <w:szCs w:val="32"/>
          <w:lang w:eastAsia="zh-CN"/>
        </w:rPr>
        <w:t>变动。</w:t>
      </w:r>
    </w:p>
    <w:p>
      <w:pPr>
        <w:pageBreakBefore w:val="0"/>
        <w:widowControl w:val="0"/>
        <w:kinsoku/>
        <w:wordWrap/>
        <w:overflowPunct/>
        <w:topLinePunct w:val="0"/>
        <w:bidi w:val="0"/>
        <w:spacing w:line="60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（图1：收、支决算总计变动情况图）（柱状图）</w:t>
      </w:r>
    </w:p>
    <w:p>
      <w:pPr>
        <w:pStyle w:val="2"/>
        <w:pageBreakBefore w:val="0"/>
        <w:widowControl w:val="0"/>
        <w:kinsoku/>
        <w:wordWrap/>
        <w:overflowPunct/>
        <w:topLinePunct w:val="0"/>
        <w:bidi w:val="0"/>
        <w:ind w:left="0" w:leftChars="0" w:firstLine="0" w:firstLineChars="0"/>
        <w:jc w:val="center"/>
        <w:textAlignment w:val="auto"/>
        <w:rPr>
          <w:rFonts w:hint="eastAsia" w:ascii="仿宋" w:hAnsi="仿宋" w:eastAsia="仿宋"/>
          <w:color w:val="0000FF"/>
          <w:sz w:val="32"/>
          <w:szCs w:val="32"/>
        </w:rPr>
      </w:pPr>
      <w:r>
        <w:drawing>
          <wp:inline distT="0" distB="0" distL="114300" distR="114300">
            <wp:extent cx="4572000" cy="2743200"/>
            <wp:effectExtent l="4445" t="4445" r="14605" b="1460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6"/>
        <w:pageBreakBefore w:val="0"/>
        <w:widowControl w:val="0"/>
        <w:numPr>
          <w:ilvl w:val="0"/>
          <w:numId w:val="1"/>
        </w:numPr>
        <w:kinsoku/>
        <w:wordWrap/>
        <w:overflowPunct/>
        <w:topLinePunct w:val="0"/>
        <w:bidi w:val="0"/>
        <w:spacing w:line="600" w:lineRule="exact"/>
        <w:ind w:firstLineChars="0"/>
        <w:textAlignment w:val="auto"/>
        <w:outlineLvl w:val="1"/>
        <w:rPr>
          <w:rStyle w:val="28"/>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4"/>
      <w:bookmarkEnd w:id="25"/>
    </w:p>
    <w:p>
      <w:pPr>
        <w:pageBreakBefore w:val="0"/>
        <w:widowControl w:val="0"/>
        <w:kinsoku/>
        <w:wordWrap/>
        <w:overflowPunct/>
        <w:topLinePunct w:val="0"/>
        <w:bidi w:val="0"/>
        <w:spacing w:line="600" w:lineRule="exact"/>
        <w:ind w:firstLine="640" w:firstLineChars="20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803.97</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803.97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%；国有资本经营预算财政拨款收入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%；事业收入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%；附属单位上缴收入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%；其他收入</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pageBreakBefore w:val="0"/>
        <w:widowControl w:val="0"/>
        <w:kinsoku/>
        <w:wordWrap/>
        <w:overflowPunct/>
        <w:topLinePunct w:val="0"/>
        <w:bidi w:val="0"/>
        <w:spacing w:line="240"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（图2：收入决算结构图）（饼状图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
        <w:pageBreakBefore w:val="0"/>
        <w:widowControl w:val="0"/>
        <w:kinsoku/>
        <w:wordWrap/>
        <w:overflowPunct/>
        <w:topLinePunct w:val="0"/>
        <w:bidi w:val="0"/>
        <w:ind w:left="0" w:leftChars="0" w:firstLine="0" w:firstLineChars="0"/>
        <w:jc w:val="center"/>
        <w:textAlignment w:val="auto"/>
        <w:rPr>
          <w:rFonts w:ascii="仿宋_GB2312" w:eastAsia="仿宋_GB2312"/>
          <w:color w:val="FF0000"/>
          <w:sz w:val="32"/>
          <w:szCs w:val="32"/>
        </w:rPr>
      </w:pPr>
      <w:r>
        <w:drawing>
          <wp:inline distT="0" distB="0" distL="114300" distR="114300">
            <wp:extent cx="4572000" cy="2743200"/>
            <wp:effectExtent l="4445" t="4445" r="14605" b="14605"/>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6"/>
        <w:pageBreakBefore w:val="0"/>
        <w:widowControl w:val="0"/>
        <w:numPr>
          <w:ilvl w:val="0"/>
          <w:numId w:val="1"/>
        </w:numPr>
        <w:kinsoku/>
        <w:wordWrap/>
        <w:overflowPunct/>
        <w:topLinePunct w:val="0"/>
        <w:bidi w:val="0"/>
        <w:spacing w:line="600" w:lineRule="exact"/>
        <w:ind w:firstLineChars="0"/>
        <w:textAlignment w:val="auto"/>
        <w:outlineLvl w:val="1"/>
        <w:rPr>
          <w:rStyle w:val="2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6"/>
      <w:bookmarkEnd w:id="27"/>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931.24</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669.28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71.87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261.96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28.13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sz w:val="32"/>
          <w:szCs w:val="32"/>
        </w:rPr>
        <w:t>上缴上级支</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%；经营支出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%；对附属单位补助支出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FF"/>
          <w:sz w:val="32"/>
          <w:szCs w:val="32"/>
        </w:rPr>
        <w:t>（图3：支出决算结构图）（饼状图）</w:t>
      </w:r>
    </w:p>
    <w:p>
      <w:pPr>
        <w:pageBreakBefore w:val="0"/>
        <w:widowControl w:val="0"/>
        <w:kinsoku/>
        <w:wordWrap/>
        <w:overflowPunct/>
        <w:topLinePunct w:val="0"/>
        <w:bidi w:val="0"/>
        <w:spacing w:line="60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600" w:lineRule="exact"/>
        <w:ind w:firstLine="640" w:firstLineChars="200"/>
        <w:textAlignment w:val="auto"/>
        <w:outlineLvl w:val="1"/>
        <w:rPr>
          <w:rFonts w:hint="eastAsia" w:ascii="黑体" w:hAnsi="黑体" w:eastAsia="黑体"/>
          <w:color w:val="000000"/>
          <w:sz w:val="32"/>
          <w:szCs w:val="32"/>
        </w:rPr>
      </w:pPr>
      <w:bookmarkStart w:id="28" w:name="_Toc15377208"/>
      <w:bookmarkStart w:id="29" w:name="_Toc15396606"/>
    </w:p>
    <w:p>
      <w:pPr>
        <w:pageBreakBefore w:val="0"/>
        <w:widowControl w:val="0"/>
        <w:kinsoku/>
        <w:wordWrap/>
        <w:overflowPunct/>
        <w:topLinePunct w:val="0"/>
        <w:bidi w:val="0"/>
        <w:spacing w:line="600" w:lineRule="exact"/>
        <w:ind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bidi w:val="0"/>
        <w:spacing w:line="600" w:lineRule="exact"/>
        <w:ind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bidi w:val="0"/>
        <w:spacing w:line="600" w:lineRule="exact"/>
        <w:ind w:firstLine="640" w:firstLineChars="200"/>
        <w:textAlignment w:val="auto"/>
        <w:outlineLvl w:val="1"/>
        <w:rPr>
          <w:rFonts w:hint="eastAsia" w:ascii="黑体" w:hAnsi="黑体" w:eastAsia="黑体"/>
          <w:color w:val="000000"/>
          <w:sz w:val="32"/>
          <w:szCs w:val="32"/>
        </w:rPr>
      </w:pPr>
    </w:p>
    <w:p>
      <w:pPr>
        <w:pageBreakBefore w:val="0"/>
        <w:widowControl w:val="0"/>
        <w:kinsoku/>
        <w:wordWrap/>
        <w:overflowPunct/>
        <w:topLinePunct w:val="0"/>
        <w:bidi w:val="0"/>
        <w:spacing w:line="600" w:lineRule="exact"/>
        <w:textAlignment w:val="auto"/>
        <w:outlineLvl w:val="1"/>
        <w:rPr>
          <w:rFonts w:hint="eastAsia" w:ascii="黑体" w:hAnsi="黑体" w:eastAsia="黑体"/>
          <w:color w:val="000000"/>
          <w:sz w:val="32"/>
          <w:szCs w:val="32"/>
        </w:rPr>
      </w:pPr>
    </w:p>
    <w:p>
      <w:pPr>
        <w:pageBreakBefore w:val="0"/>
        <w:widowControl w:val="0"/>
        <w:kinsoku/>
        <w:wordWrap/>
        <w:overflowPunct/>
        <w:topLinePunct w:val="0"/>
        <w:bidi w:val="0"/>
        <w:spacing w:line="600" w:lineRule="exact"/>
        <w:textAlignment w:val="auto"/>
        <w:outlineLvl w:val="1"/>
        <w:rPr>
          <w:rFonts w:hint="eastAsia" w:ascii="黑体" w:hAnsi="黑体" w:eastAsia="黑体"/>
          <w:color w:val="000000"/>
          <w:sz w:val="32"/>
          <w:szCs w:val="32"/>
        </w:rPr>
      </w:pPr>
    </w:p>
    <w:p>
      <w:pPr>
        <w:pageBreakBefore w:val="0"/>
        <w:widowControl w:val="0"/>
        <w:kinsoku/>
        <w:wordWrap/>
        <w:overflowPunct/>
        <w:topLinePunct w:val="0"/>
        <w:bidi w:val="0"/>
        <w:spacing w:line="600" w:lineRule="exact"/>
        <w:ind w:firstLine="420" w:firstLineChars="200"/>
        <w:textAlignment w:val="auto"/>
        <w:outlineLvl w:val="1"/>
        <w:rPr>
          <w:rFonts w:hint="eastAsia" w:ascii="黑体" w:hAnsi="黑体" w:eastAsia="黑体"/>
          <w:color w:val="000000"/>
          <w:sz w:val="32"/>
          <w:szCs w:val="32"/>
        </w:rPr>
      </w:pPr>
      <w:r>
        <w:drawing>
          <wp:anchor distT="0" distB="0" distL="114300" distR="114300" simplePos="0" relativeHeight="25166848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bidi w:val="0"/>
        <w:spacing w:line="600" w:lineRule="exact"/>
        <w:ind w:firstLine="640" w:firstLineChars="200"/>
        <w:textAlignment w:val="auto"/>
        <w:outlineLvl w:val="1"/>
        <w:rPr>
          <w:rStyle w:val="28"/>
          <w:rFonts w:ascii="黑体" w:hAnsi="黑体" w:eastAsia="黑体"/>
          <w:b w:val="0"/>
        </w:rPr>
      </w:pPr>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28"/>
          <w:rFonts w:hint="eastAsia" w:ascii="黑体" w:hAnsi="黑体" w:eastAsia="黑体"/>
          <w:b w:val="0"/>
        </w:rPr>
        <w:t>政拨款收入支出决算总体情况说明</w:t>
      </w:r>
      <w:bookmarkEnd w:id="28"/>
      <w:bookmarkEnd w:id="29"/>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年财政拨款收</w:t>
      </w:r>
      <w:r>
        <w:rPr>
          <w:rFonts w:hint="eastAsia" w:ascii="仿宋_GB2312" w:hAnsi="仿宋_GB2312" w:eastAsia="仿宋_GB2312" w:cs="仿宋_GB2312"/>
          <w:color w:val="000000" w:themeColor="text1"/>
          <w:sz w:val="32"/>
          <w:szCs w:val="32"/>
          <w:lang w:eastAsia="zh-CN"/>
          <w14:textFill>
            <w14:solidFill>
              <w14:schemeClr w14:val="tx1"/>
            </w14:solidFill>
          </w14:textFill>
        </w:rPr>
        <w:t>入</w:t>
      </w:r>
      <w:r>
        <w:rPr>
          <w:rFonts w:hint="eastAsia" w:ascii="仿宋_GB2312" w:hAnsi="仿宋_GB2312" w:eastAsia="仿宋_GB2312" w:cs="仿宋_GB2312"/>
          <w:color w:val="000000" w:themeColor="text1"/>
          <w:sz w:val="32"/>
          <w:szCs w:val="32"/>
          <w14:textFill>
            <w14:solidFill>
              <w14:schemeClr w14:val="tx1"/>
            </w14:solidFill>
          </w14:textFill>
        </w:rPr>
        <w:t>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803.97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931.24</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年财政拨款收</w:t>
      </w:r>
      <w:r>
        <w:rPr>
          <w:rFonts w:hint="eastAsia" w:ascii="仿宋_GB2312" w:hAnsi="仿宋_GB2312" w:eastAsia="仿宋_GB2312" w:cs="仿宋_GB2312"/>
          <w:color w:val="000000" w:themeColor="text1"/>
          <w:sz w:val="32"/>
          <w:szCs w:val="32"/>
          <w:lang w:eastAsia="zh-CN"/>
          <w14:textFill>
            <w14:solidFill>
              <w14:schemeClr w14:val="tx1"/>
            </w14:solidFill>
          </w14:textFill>
        </w:rPr>
        <w:t>入</w:t>
      </w:r>
      <w:r>
        <w:rPr>
          <w:rFonts w:hint="eastAsia" w:ascii="仿宋_GB2312" w:hAnsi="仿宋_GB2312" w:eastAsia="仿宋_GB2312" w:cs="仿宋_GB2312"/>
          <w:color w:val="000000" w:themeColor="text1"/>
          <w:sz w:val="32"/>
          <w:szCs w:val="32"/>
          <w14:textFill>
            <w14:solidFill>
              <w14:schemeClr w14:val="tx1"/>
            </w14:solidFill>
          </w14:textFill>
        </w:rPr>
        <w:t>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601</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883.42</w:t>
      </w:r>
      <w:r>
        <w:rPr>
          <w:rFonts w:hint="eastAsia" w:ascii="仿宋_GB2312" w:hAnsi="仿宋_GB2312" w:eastAsia="仿宋_GB2312" w:cs="仿宋_GB2312"/>
          <w:color w:val="000000" w:themeColor="text1"/>
          <w:sz w:val="32"/>
          <w:szCs w:val="32"/>
          <w14:textFill>
            <w14:solidFill>
              <w14:schemeClr w14:val="tx1"/>
            </w14:solidFill>
          </w14:textFill>
        </w:rPr>
        <w:t>万</w:t>
      </w:r>
      <w:r>
        <w:rPr>
          <w:rFonts w:hint="eastAsia" w:ascii="仿宋_GB2312" w:hAnsi="仿宋_GB2312" w:eastAsia="仿宋_GB2312" w:cs="仿宋_GB2312"/>
          <w:color w:val="000000" w:themeColor="text1"/>
          <w:sz w:val="32"/>
          <w:szCs w:val="32"/>
          <w:lang w:eastAsia="zh-CN"/>
          <w14:textFill>
            <w14:solidFill>
              <w14:schemeClr w14:val="tx1"/>
            </w14:solidFill>
          </w14:textFill>
        </w:rPr>
        <w:t>元</w:t>
      </w:r>
      <w:r>
        <w:rPr>
          <w:rFonts w:hint="eastAsia" w:ascii="仿宋_GB2312" w:hAnsi="仿宋_GB2312" w:eastAsia="仿宋_GB2312" w:cs="仿宋_GB2312"/>
          <w:color w:val="000000" w:themeColor="text1"/>
          <w:sz w:val="32"/>
          <w:szCs w:val="32"/>
          <w14:textFill>
            <w14:solidFill>
              <w14:schemeClr w14:val="tx1"/>
            </w14:solidFill>
          </w14:textFill>
        </w:rPr>
        <w:t>，与201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年相</w:t>
      </w:r>
      <w:r>
        <w:rPr>
          <w:rFonts w:hint="eastAsia" w:ascii="仿宋_GB2312" w:hAnsi="仿宋_GB2312" w:eastAsia="仿宋_GB2312" w:cs="仿宋_GB2312"/>
          <w:color w:val="000000" w:themeColor="text1"/>
          <w:sz w:val="32"/>
          <w:szCs w:val="32"/>
          <w:lang w:eastAsia="zh-CN"/>
          <w14:textFill>
            <w14:solidFill>
              <w14:schemeClr w14:val="tx1"/>
            </w14:solidFill>
          </w14:textFill>
        </w:rPr>
        <w:t>比，</w:t>
      </w:r>
      <w:r>
        <w:rPr>
          <w:rFonts w:hint="eastAsia" w:ascii="仿宋_GB2312" w:hAnsi="仿宋_GB2312" w:eastAsia="仿宋_GB2312" w:cs="仿宋_GB2312"/>
          <w:color w:val="000000" w:themeColor="text1"/>
          <w:sz w:val="32"/>
          <w:szCs w:val="32"/>
          <w14:textFill>
            <w14:solidFill>
              <w14:schemeClr w14:val="tx1"/>
            </w14:solidFill>
          </w14:textFill>
        </w:rPr>
        <w:t>财政拨款收</w:t>
      </w:r>
      <w:r>
        <w:rPr>
          <w:rFonts w:hint="eastAsia" w:ascii="仿宋_GB2312" w:hAnsi="仿宋_GB2312" w:eastAsia="仿宋_GB2312" w:cs="仿宋_GB2312"/>
          <w:color w:val="000000" w:themeColor="text1"/>
          <w:sz w:val="32"/>
          <w:szCs w:val="32"/>
          <w:lang w:eastAsia="zh-CN"/>
          <w14:textFill>
            <w14:solidFill>
              <w14:schemeClr w14:val="tx1"/>
            </w14:solidFill>
          </w14:textFill>
        </w:rPr>
        <w:t>入增加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202.97万元，增加33.77</w:t>
      </w:r>
      <w:r>
        <w:rPr>
          <w:rFonts w:hint="eastAsia" w:ascii="仿宋_GB2312" w:hAnsi="仿宋_GB2312" w:eastAsia="仿宋_GB2312" w:cs="仿宋_GB2312"/>
          <w:color w:val="000000" w:themeColor="text1"/>
          <w:sz w:val="32"/>
          <w:szCs w:val="32"/>
          <w14:textFill>
            <w14:solidFill>
              <w14:schemeClr w14:val="tx1"/>
            </w14:solidFill>
          </w14:textFill>
        </w:rPr>
        <w:t>%、支总计</w:t>
      </w:r>
      <w:r>
        <w:rPr>
          <w:rFonts w:hint="eastAsia" w:ascii="仿宋_GB2312" w:hAnsi="仿宋_GB2312" w:eastAsia="仿宋_GB2312" w:cs="仿宋_GB2312"/>
          <w:color w:val="000000" w:themeColor="text1"/>
          <w:sz w:val="32"/>
          <w:szCs w:val="32"/>
          <w:lang w:eastAsia="zh-CN"/>
          <w14:textFill>
            <w14:solidFill>
              <w14:schemeClr w14:val="tx1"/>
            </w14:solidFill>
          </w14:textFill>
        </w:rPr>
        <w:t>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47.82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5.41</w:t>
      </w:r>
      <w:r>
        <w:rPr>
          <w:rFonts w:hint="eastAsia" w:ascii="仿宋_GB2312" w:hAnsi="仿宋_GB2312" w:eastAsia="仿宋_GB2312" w:cs="仿宋_GB2312"/>
          <w:color w:val="000000" w:themeColor="text1"/>
          <w:sz w:val="32"/>
          <w:szCs w:val="32"/>
          <w14:textFill>
            <w14:solidFill>
              <w14:schemeClr w14:val="tx1"/>
            </w14:solidFill>
          </w14:textFill>
        </w:rPr>
        <w:t>%。主要变动原因是</w:t>
      </w:r>
      <w:r>
        <w:rPr>
          <w:rFonts w:hint="eastAsia" w:ascii="仿宋_GB2312" w:hAnsi="仿宋_GB2312" w:eastAsia="仿宋_GB2312" w:cs="仿宋_GB2312"/>
          <w:color w:val="000000" w:themeColor="text1"/>
          <w:sz w:val="32"/>
          <w:szCs w:val="32"/>
          <w14:textFill>
            <w14:solidFill>
              <w14:schemeClr w14:val="tx1"/>
            </w14:solidFill>
          </w14:textFill>
        </w:rPr>
        <w:t>人员</w:t>
      </w:r>
      <w:r>
        <w:rPr>
          <w:rFonts w:hint="eastAsia" w:ascii="仿宋_GB2312" w:hAnsi="仿宋_GB2312" w:eastAsia="仿宋_GB2312" w:cs="仿宋_GB2312"/>
          <w:color w:val="000000" w:themeColor="text1"/>
          <w:sz w:val="32"/>
          <w:szCs w:val="32"/>
          <w:lang w:eastAsia="zh-CN"/>
          <w14:textFill>
            <w14:solidFill>
              <w14:schemeClr w14:val="tx1"/>
            </w14:solidFill>
          </w14:textFill>
        </w:rPr>
        <w:t>变动</w:t>
      </w: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（图4：财政拨款收、支决算总计变动情况）（柱状图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
        <w:pageBreakBefore w:val="0"/>
        <w:widowControl w:val="0"/>
        <w:kinsoku/>
        <w:wordWrap/>
        <w:overflowPunct/>
        <w:topLinePunct w:val="0"/>
        <w:bidi w:val="0"/>
        <w:textAlignment w:val="auto"/>
        <w:rPr>
          <w:rFonts w:hint="eastAsia"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bidi w:val="0"/>
        <w:ind w:left="0" w:leftChars="0" w:firstLine="0" w:firstLineChars="0"/>
        <w:jc w:val="center"/>
        <w:textAlignment w:val="auto"/>
        <w:rPr>
          <w:rFonts w:hint="eastAsia" w:ascii="仿宋" w:hAnsi="仿宋" w:eastAsia="仿宋"/>
          <w:color w:val="0000FF"/>
          <w:sz w:val="32"/>
          <w:szCs w:val="32"/>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600" w:lineRule="exact"/>
        <w:ind w:firstLine="640" w:firstLineChars="200"/>
        <w:textAlignment w:val="auto"/>
        <w:outlineLvl w:val="1"/>
        <w:rPr>
          <w:rFonts w:hint="eastAsia" w:ascii="黑体" w:hAnsi="黑体" w:eastAsia="黑体"/>
          <w:color w:val="000000"/>
          <w:sz w:val="32"/>
          <w:szCs w:val="32"/>
        </w:rPr>
      </w:pPr>
      <w:bookmarkStart w:id="30" w:name="_Toc15396607"/>
      <w:bookmarkStart w:id="31" w:name="_Toc15377209"/>
    </w:p>
    <w:p>
      <w:pPr>
        <w:pageBreakBefore w:val="0"/>
        <w:widowControl w:val="0"/>
        <w:kinsoku/>
        <w:wordWrap/>
        <w:overflowPunct/>
        <w:topLinePunct w:val="0"/>
        <w:bidi w:val="0"/>
        <w:spacing w:line="600" w:lineRule="exact"/>
        <w:ind w:firstLine="640" w:firstLineChars="200"/>
        <w:textAlignment w:val="auto"/>
        <w:outlineLvl w:val="1"/>
        <w:rPr>
          <w:rStyle w:val="2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pageBreakBefore w:val="0"/>
        <w:widowControl w:val="0"/>
        <w:kinsoku/>
        <w:wordWrap/>
        <w:overflowPunct/>
        <w:topLinePunct w:val="0"/>
        <w:bidi w:val="0"/>
        <w:spacing w:line="600" w:lineRule="exact"/>
        <w:ind w:firstLine="643" w:firstLineChars="200"/>
        <w:textAlignment w:val="auto"/>
        <w:outlineLvl w:val="2"/>
        <w:rPr>
          <w:rFonts w:ascii="仿宋" w:hAnsi="仿宋" w:eastAsia="仿宋"/>
          <w:b/>
          <w:color w:val="000000"/>
          <w:sz w:val="32"/>
          <w:szCs w:val="32"/>
        </w:rPr>
      </w:pPr>
      <w:bookmarkStart w:id="32" w:name="_Toc15377210"/>
      <w:r>
        <w:rPr>
          <w:rFonts w:hint="eastAsia" w:ascii="楷体_GB2312" w:hAnsi="楷体_GB2312" w:eastAsia="楷体_GB2312" w:cs="楷体_GB2312"/>
          <w:b/>
          <w:bCs w:val="0"/>
          <w:color w:val="000000"/>
          <w:kern w:val="2"/>
          <w:sz w:val="32"/>
          <w:szCs w:val="32"/>
          <w:lang w:val="en-US" w:eastAsia="zh-CN" w:bidi="ar-SA"/>
        </w:rPr>
        <w:t>（一）一般公共预算财政拨款支出决算总体情况</w:t>
      </w:r>
      <w:bookmarkEnd w:id="32"/>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931.24</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47.82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5.41</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项目审计决算</w:t>
      </w: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w:t>
      </w:r>
      <w:r>
        <w:rPr>
          <w:rFonts w:hint="eastAsia" w:ascii="仿宋_GB2312" w:hAnsi="仿宋_GB2312" w:eastAsia="仿宋_GB2312" w:cs="仿宋_GB2312"/>
          <w:color w:val="000000" w:themeColor="text1"/>
          <w:sz w:val="32"/>
          <w:szCs w:val="32"/>
          <w:lang w:eastAsia="zh-CN"/>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（柱状图）</w:t>
      </w:r>
    </w:p>
    <w:p>
      <w:pPr>
        <w:pStyle w:val="2"/>
        <w:pageBreakBefore w:val="0"/>
        <w:widowControl w:val="0"/>
        <w:kinsoku/>
        <w:wordWrap/>
        <w:overflowPunct/>
        <w:topLinePunct w:val="0"/>
        <w:bidi w:val="0"/>
        <w:textAlignment w:val="auto"/>
        <w:rPr>
          <w:rFonts w:hint="eastAsia" w:ascii="仿宋" w:hAnsi="仿宋" w:eastAsia="仿宋"/>
          <w:color w:val="0000FF"/>
          <w:sz w:val="32"/>
          <w:szCs w:val="32"/>
          <w:lang w:eastAsia="zh-CN"/>
        </w:rPr>
      </w:pPr>
    </w:p>
    <w:p>
      <w:pPr>
        <w:pStyle w:val="2"/>
        <w:pageBreakBefore w:val="0"/>
        <w:widowControl w:val="0"/>
        <w:kinsoku/>
        <w:wordWrap/>
        <w:overflowPunct/>
        <w:topLinePunct w:val="0"/>
        <w:bidi w:val="0"/>
        <w:ind w:left="0" w:leftChars="0" w:firstLine="0" w:firstLineChars="0"/>
        <w:jc w:val="center"/>
        <w:textAlignment w:val="auto"/>
        <w:rPr>
          <w:rFonts w:hint="eastAsia" w:ascii="仿宋" w:hAnsi="仿宋" w:eastAsia="仿宋"/>
          <w:color w:val="0000FF"/>
          <w:sz w:val="32"/>
          <w:szCs w:val="32"/>
          <w:lang w:eastAsia="zh-CN"/>
        </w:rPr>
      </w:pPr>
      <w:r>
        <w:drawing>
          <wp:inline distT="0" distB="0" distL="114300" distR="114300">
            <wp:extent cx="4572000" cy="2743200"/>
            <wp:effectExtent l="4445" t="4445" r="14605" b="14605"/>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widowControl w:val="0"/>
        <w:kinsoku/>
        <w:wordWrap/>
        <w:overflowPunct/>
        <w:topLinePunct w:val="0"/>
        <w:bidi w:val="0"/>
        <w:spacing w:line="600" w:lineRule="exact"/>
        <w:ind w:firstLine="643" w:firstLineChars="200"/>
        <w:textAlignment w:val="auto"/>
        <w:outlineLvl w:val="2"/>
        <w:rPr>
          <w:rFonts w:hint="eastAsia" w:ascii="楷体_GB2312" w:hAnsi="楷体_GB2312" w:eastAsia="楷体_GB2312" w:cs="楷体_GB2312"/>
          <w:b/>
          <w:color w:val="000000"/>
          <w:sz w:val="32"/>
          <w:szCs w:val="32"/>
        </w:rPr>
      </w:pPr>
      <w:bookmarkStart w:id="33" w:name="_Toc15377211"/>
      <w:r>
        <w:rPr>
          <w:rFonts w:hint="eastAsia" w:ascii="楷体_GB2312" w:hAnsi="楷体_GB2312" w:eastAsia="楷体_GB2312" w:cs="楷体_GB2312"/>
          <w:b/>
          <w:color w:val="000000"/>
          <w:sz w:val="32"/>
          <w:szCs w:val="32"/>
        </w:rPr>
        <w:t>（二）一般公共预算财政拨款支出决算结构情况</w:t>
      </w:r>
      <w:bookmarkEnd w:id="33"/>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年一般公共预算财政拨款支出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931.15</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768.34</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82.52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color w:val="000000" w:themeColor="text1"/>
          <w:sz w:val="32"/>
          <w:szCs w:val="32"/>
          <w14:textFill>
            <w14:solidFill>
              <w14:schemeClr w14:val="tx1"/>
            </w14:solidFill>
          </w14:textFill>
        </w:rPr>
        <w:t>完成预算100%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84.41</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9.06</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color w:val="000000" w:themeColor="text1"/>
          <w:sz w:val="32"/>
          <w:szCs w:val="32"/>
          <w14:textFill>
            <w14:solidFill>
              <w14:schemeClr w14:val="tx1"/>
            </w14:solidFill>
          </w14:textFill>
        </w:rPr>
        <w:t>完成预算100%</w:t>
      </w:r>
      <w:r>
        <w:rPr>
          <w:rFonts w:hint="eastAsia" w:ascii="仿宋_GB2312" w:hAnsi="仿宋_GB2312" w:eastAsia="仿宋_GB2312" w:cs="仿宋_GB2312"/>
          <w:color w:val="000000" w:themeColor="text1"/>
          <w:sz w:val="32"/>
          <w:szCs w:val="32"/>
          <w14:textFill>
            <w14:solidFill>
              <w14:schemeClr w14:val="tx1"/>
            </w14:solidFill>
          </w14:textFill>
        </w:rPr>
        <w:t>；医疗卫生支出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32.82</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3.52</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color w:val="000000" w:themeColor="text1"/>
          <w:sz w:val="32"/>
          <w:szCs w:val="32"/>
          <w14:textFill>
            <w14:solidFill>
              <w14:schemeClr w14:val="tx1"/>
            </w14:solidFill>
          </w14:textFill>
        </w:rPr>
        <w:t>完成预算100%</w:t>
      </w:r>
      <w:r>
        <w:rPr>
          <w:rFonts w:hint="eastAsia" w:ascii="仿宋_GB2312" w:hAnsi="仿宋_GB2312" w:eastAsia="仿宋_GB2312" w:cs="仿宋_GB2312"/>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45.58</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color w:val="000000" w:themeColor="text1"/>
          <w:sz w:val="32"/>
          <w:szCs w:val="32"/>
          <w:lang w:eastAsia="zh-CN"/>
          <w14:textFill>
            <w14:solidFill>
              <w14:schemeClr w14:val="tx1"/>
            </w14:solidFill>
          </w14:textFill>
        </w:rPr>
        <w:t>。</w:t>
      </w:r>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（图6：一般公共预算财政拨款支出决算结构）（饼状图</w:t>
      </w:r>
      <w:bookmarkStart w:id="34" w:name="_Toc15377212"/>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2"/>
        <w:pageBreakBefore w:val="0"/>
        <w:widowControl w:val="0"/>
        <w:kinsoku/>
        <w:wordWrap/>
        <w:overflowPunct/>
        <w:topLinePunct w:val="0"/>
        <w:bidi w:val="0"/>
        <w:ind w:left="0" w:leftChars="0" w:firstLine="0" w:firstLineChars="0"/>
        <w:jc w:val="center"/>
        <w:textAlignment w:val="auto"/>
        <w:rPr>
          <w:rFonts w:hint="eastAsia" w:ascii="仿宋" w:hAnsi="仿宋" w:eastAsia="仿宋"/>
          <w:b/>
          <w:color w:val="000000"/>
          <w:sz w:val="32"/>
          <w:szCs w:val="32"/>
        </w:rPr>
      </w:pPr>
      <w:r>
        <w:drawing>
          <wp:inline distT="0" distB="0" distL="114300" distR="114300">
            <wp:extent cx="4102735" cy="1987550"/>
            <wp:effectExtent l="4445" t="4445" r="7620" b="8255"/>
            <wp:docPr id="16"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600" w:lineRule="exact"/>
        <w:ind w:firstLine="643" w:firstLineChars="200"/>
        <w:textAlignment w:val="auto"/>
        <w:outlineLvl w:val="2"/>
        <w:rPr>
          <w:rFonts w:hint="eastAsia" w:ascii="楷体_GB2312" w:hAnsi="楷体_GB2312" w:eastAsia="楷体_GB2312" w:cs="楷体_GB2312"/>
          <w:b/>
          <w:color w:val="000000" w:themeColor="text1"/>
          <w:sz w:val="32"/>
          <w:szCs w:val="32"/>
          <w14:textFill>
            <w14:solidFill>
              <w14:schemeClr w14:val="tx1"/>
            </w14:solidFill>
          </w14:textFill>
        </w:rPr>
      </w:pPr>
      <w:r>
        <w:rPr>
          <w:rFonts w:hint="eastAsia" w:ascii="楷体_GB2312" w:hAnsi="楷体_GB2312" w:eastAsia="楷体_GB2312" w:cs="楷体_GB2312"/>
          <w:b/>
          <w:color w:val="000000" w:themeColor="text1"/>
          <w:sz w:val="32"/>
          <w:szCs w:val="32"/>
          <w14:textFill>
            <w14:solidFill>
              <w14:schemeClr w14:val="tx1"/>
            </w14:solidFill>
          </w14:textFill>
        </w:rPr>
        <w:t>（三）一般公共预算财政拨款支出决算具体情况</w:t>
      </w:r>
      <w:bookmarkEnd w:id="34"/>
    </w:p>
    <w:p>
      <w:pPr>
        <w:pageBreakBefore w:val="0"/>
        <w:widowControl w:val="0"/>
        <w:kinsoku/>
        <w:wordWrap/>
        <w:overflowPunct/>
        <w:topLinePunct w:val="0"/>
        <w:bidi w:val="0"/>
        <w:spacing w:line="600" w:lineRule="exact"/>
        <w:ind w:firstLine="643" w:firstLineChars="200"/>
        <w:textAlignment w:val="auto"/>
        <w:outlineLvl w:val="2"/>
        <w:rPr>
          <w:rFonts w:hint="eastAsia" w:ascii="仿宋_GB2312" w:hAnsi="仿宋_GB2312" w:eastAsia="仿宋_GB2312" w:cs="仿宋_GB2312"/>
          <w:color w:val="000000" w:themeColor="text1"/>
          <w:sz w:val="32"/>
          <w:szCs w:val="32"/>
          <w14:textFill>
            <w14:solidFill>
              <w14:schemeClr w14:val="tx1"/>
            </w14:solidFill>
          </w14:textFill>
        </w:rPr>
      </w:pPr>
      <w:bookmarkStart w:id="35" w:name="_Toc15378460"/>
      <w:bookmarkStart w:id="36" w:name="_Toc15377213"/>
      <w:bookmarkStart w:id="37" w:name="_Toc15377444"/>
      <w:r>
        <w:rPr>
          <w:rFonts w:hint="eastAsia" w:ascii="仿宋_GB2312" w:hAnsi="仿宋_GB2312" w:eastAsia="仿宋_GB2312" w:cs="仿宋_GB2312"/>
          <w:b/>
          <w:color w:val="000000" w:themeColor="text1"/>
          <w:sz w:val="32"/>
          <w:szCs w:val="32"/>
          <w14:textFill>
            <w14:solidFill>
              <w14:schemeClr w14:val="tx1"/>
            </w14:solidFill>
          </w14:textFill>
        </w:rPr>
        <w:t>201</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color w:val="000000" w:themeColor="text1"/>
          <w:sz w:val="32"/>
          <w:szCs w:val="32"/>
          <w14:textFill>
            <w14:solidFill>
              <w14:schemeClr w14:val="tx1"/>
            </w14:solidFill>
          </w14:textFill>
        </w:rPr>
        <w:t>年一般公共预算支出决算数为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931.24</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7"/>
          <w:rFonts w:hint="eastAsia" w:ascii="仿宋_GB2312" w:hAnsi="仿宋_GB2312" w:eastAsia="仿宋_GB2312" w:cs="仿宋_GB2312"/>
          <w:bCs/>
          <w:color w:val="000000" w:themeColor="text1"/>
          <w:sz w:val="32"/>
          <w:szCs w:val="32"/>
          <w14:textFill>
            <w14:solidFill>
              <w14:schemeClr w14:val="tx1"/>
            </w14:solidFill>
          </w14:textFill>
        </w:rPr>
        <w:t>完成预算100%。其中：</w:t>
      </w:r>
      <w:bookmarkEnd w:id="35"/>
      <w:bookmarkEnd w:id="36"/>
      <w:bookmarkEnd w:id="37"/>
    </w:p>
    <w:p>
      <w:pPr>
        <w:pageBreakBefore w:val="0"/>
        <w:widowControl w:val="0"/>
        <w:numPr>
          <w:ilvl w:val="0"/>
          <w:numId w:val="2"/>
        </w:numPr>
        <w:kinsoku/>
        <w:wordWrap/>
        <w:overflowPunct/>
        <w:topLinePunct w:val="0"/>
        <w:bidi w:val="0"/>
        <w:spacing w:line="600" w:lineRule="exact"/>
        <w:ind w:firstLine="643" w:firstLineChars="200"/>
        <w:textAlignment w:val="auto"/>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Style w:val="17"/>
          <w:rFonts w:hint="eastAsia" w:ascii="仿宋_GB2312" w:hAnsi="仿宋_GB2312" w:eastAsia="仿宋_GB2312" w:cs="仿宋_GB2312"/>
          <w:bCs/>
          <w:color w:val="000000" w:themeColor="text1"/>
          <w:sz w:val="32"/>
          <w:szCs w:val="32"/>
          <w14:textFill>
            <w14:solidFill>
              <w14:schemeClr w14:val="tx1"/>
            </w14:solidFill>
          </w14:textFill>
        </w:rPr>
        <w:t>一般公共服务:</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 xml:space="preserve"> 2010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01行政运行支出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429.83</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604</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预算改革业务</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20.15</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2010605财政国库业务2.11万元，完成预算100%。</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7</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信息化建设</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7.5</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0</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8</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财政委托业务支出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129.68</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20106</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50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事业</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运行</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76.63</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201</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0699其他财政事务支出85.6</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pageBreakBefore w:val="0"/>
        <w:widowControl w:val="0"/>
        <w:numPr>
          <w:ilvl w:val="0"/>
          <w:numId w:val="0"/>
        </w:numPr>
        <w:kinsoku/>
        <w:wordWrap/>
        <w:overflowPunct/>
        <w:topLinePunct w:val="0"/>
        <w:bidi w:val="0"/>
        <w:spacing w:line="600" w:lineRule="exact"/>
        <w:ind w:firstLine="643" w:firstLineChars="200"/>
        <w:textAlignment w:val="auto"/>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Style w:val="17"/>
          <w:rFonts w:hint="eastAsia" w:ascii="仿宋_GB2312" w:hAnsi="仿宋_GB2312" w:eastAsia="仿宋_GB2312" w:cs="仿宋_GB2312"/>
          <w:bCs/>
          <w:color w:val="000000" w:themeColor="text1"/>
          <w:sz w:val="32"/>
          <w:szCs w:val="32"/>
          <w14:textFill>
            <w14:solidFill>
              <w14:schemeClr w14:val="tx1"/>
            </w14:solidFill>
          </w14:textFill>
        </w:rPr>
        <w:t>.社会保障和就业:</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2080505机关事业单位基本养老保险缴费支出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57.78</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2080506机关事业单位职业年金缴费支出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26.63</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p>
    <w:p>
      <w:pPr>
        <w:pageBreakBefore w:val="0"/>
        <w:widowControl w:val="0"/>
        <w:kinsoku/>
        <w:wordWrap/>
        <w:overflowPunct/>
        <w:topLinePunct w:val="0"/>
        <w:bidi w:val="0"/>
        <w:spacing w:line="600" w:lineRule="exact"/>
        <w:ind w:firstLine="643" w:firstLineChars="200"/>
        <w:textAlignment w:val="auto"/>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pPr>
      <w:r>
        <w:rPr>
          <w:rStyle w:val="17"/>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Style w:val="17"/>
          <w:rFonts w:hint="eastAsia" w:ascii="仿宋_GB2312" w:hAnsi="仿宋_GB2312" w:eastAsia="仿宋_GB2312" w:cs="仿宋_GB2312"/>
          <w:bCs/>
          <w:color w:val="000000" w:themeColor="text1"/>
          <w:sz w:val="32"/>
          <w:szCs w:val="32"/>
          <w14:textFill>
            <w14:solidFill>
              <w14:schemeClr w14:val="tx1"/>
            </w14:solidFill>
          </w14:textFill>
        </w:rPr>
        <w:t>.医疗卫生与计划生育:</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2101101行政单位医疗支出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21.69</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2101102事业单位医疗支出5.24万元，</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2101103公务员医疗补助支出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5.11</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r>
        <w:rPr>
          <w:rStyle w:val="17"/>
          <w:rFonts w:hint="eastAsia" w:ascii="仿宋_GB2312" w:hAnsi="仿宋_GB2312" w:eastAsia="仿宋_GB2312" w:cs="仿宋_GB2312"/>
          <w:b w:val="0"/>
          <w:bCs/>
          <w:color w:val="000000" w:themeColor="text1"/>
          <w:sz w:val="32"/>
          <w:szCs w:val="32"/>
          <w:lang w:eastAsia="zh-CN"/>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2101199其他行政事业单位医疗支出0.78万元，完成预算100%。</w:t>
      </w:r>
    </w:p>
    <w:p>
      <w:pPr>
        <w:pageBreakBefore w:val="0"/>
        <w:widowControl w:val="0"/>
        <w:tabs>
          <w:tab w:val="right" w:pos="8306"/>
        </w:tabs>
        <w:kinsoku/>
        <w:wordWrap/>
        <w:overflowPunct/>
        <w:topLinePunct w:val="0"/>
        <w:bidi w:val="0"/>
        <w:spacing w:line="600" w:lineRule="exact"/>
        <w:ind w:firstLine="640"/>
        <w:textAlignment w:val="auto"/>
        <w:outlineLvl w:val="1"/>
        <w:rPr>
          <w:rStyle w:val="17"/>
          <w:rFonts w:hint="eastAsia" w:ascii="仿宋_GB2312" w:hAnsi="仿宋_GB2312" w:eastAsia="仿宋_GB2312" w:cs="仿宋_GB2312"/>
          <w:b w:val="0"/>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color w:val="000000" w:themeColor="text1"/>
          <w:sz w:val="32"/>
          <w:szCs w:val="32"/>
          <w14:textFill>
            <w14:solidFill>
              <w14:schemeClr w14:val="tx1"/>
            </w14:solidFill>
          </w14:textFill>
        </w:rPr>
        <w:t>.住房保障支出</w:t>
      </w:r>
      <w:r>
        <w:rPr>
          <w:rStyle w:val="17"/>
          <w:rFonts w:hint="eastAsia" w:ascii="仿宋_GB2312" w:hAnsi="仿宋_GB2312" w:eastAsia="仿宋_GB2312" w:cs="仿宋_GB2312"/>
          <w:bCs/>
          <w:color w:val="000000" w:themeColor="text1"/>
          <w:sz w:val="32"/>
          <w:szCs w:val="32"/>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2210201住房公积金支出决算为</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45.58</w:t>
      </w:r>
      <w:r>
        <w:rPr>
          <w:rStyle w:val="17"/>
          <w:rFonts w:hint="eastAsia" w:ascii="仿宋_GB2312" w:hAnsi="仿宋_GB2312" w:eastAsia="仿宋_GB2312" w:cs="仿宋_GB2312"/>
          <w:b w:val="0"/>
          <w:bCs/>
          <w:color w:val="000000" w:themeColor="text1"/>
          <w:sz w:val="32"/>
          <w:szCs w:val="32"/>
          <w14:textFill>
            <w14:solidFill>
              <w14:schemeClr w14:val="tx1"/>
            </w14:solidFill>
          </w14:textFill>
        </w:rPr>
        <w:t>万元，完成预算100%。</w:t>
      </w:r>
      <w:bookmarkStart w:id="38" w:name="_Toc15396608"/>
      <w:bookmarkStart w:id="39" w:name="_Toc15377214"/>
    </w:p>
    <w:p>
      <w:pPr>
        <w:pageBreakBefore w:val="0"/>
        <w:widowControl w:val="0"/>
        <w:kinsoku/>
        <w:wordWrap/>
        <w:overflowPunct/>
        <w:topLinePunct w:val="0"/>
        <w:bidi w:val="0"/>
        <w:spacing w:line="600" w:lineRule="exact"/>
        <w:ind w:firstLine="643" w:firstLineChars="200"/>
        <w:textAlignment w:val="auto"/>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lang w:eastAsia="zh-CN"/>
          <w14:textFill>
            <w14:solidFill>
              <w14:schemeClr w14:val="tx1"/>
            </w14:solidFill>
          </w14:textFill>
        </w:rPr>
        <w:t>其他</w:t>
      </w:r>
      <w:r>
        <w:rPr>
          <w:rFonts w:hint="eastAsia" w:ascii="仿宋_GB2312" w:hAnsi="仿宋_GB2312" w:eastAsia="仿宋_GB2312" w:cs="仿宋_GB2312"/>
          <w:b/>
          <w:color w:val="000000" w:themeColor="text1"/>
          <w:sz w:val="32"/>
          <w:szCs w:val="32"/>
          <w14:textFill>
            <w14:solidFill>
              <w14:schemeClr w14:val="tx1"/>
            </w14:solidFill>
          </w14:textFill>
        </w:rPr>
        <w:t>支出</w:t>
      </w:r>
      <w:r>
        <w:rPr>
          <w:rStyle w:val="17"/>
          <w:rFonts w:hint="eastAsia" w:ascii="仿宋_GB2312" w:hAnsi="仿宋_GB2312" w:eastAsia="仿宋_GB2312" w:cs="仿宋_GB2312"/>
          <w:bCs/>
          <w:color w:val="000000" w:themeColor="text1"/>
          <w:sz w:val="32"/>
          <w:szCs w:val="32"/>
          <w14:textFill>
            <w14:solidFill>
              <w14:schemeClr w14:val="tx1"/>
            </w14:solidFill>
          </w14:textFill>
        </w:rPr>
        <w:t>:</w:t>
      </w:r>
      <w:r>
        <w:rPr>
          <w:rStyle w:val="17"/>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2019999其他财政事务支出16.92万元，完成预算100%.</w:t>
      </w:r>
    </w:p>
    <w:p>
      <w:pPr>
        <w:pStyle w:val="2"/>
        <w:pageBreakBefore w:val="0"/>
        <w:widowControl w:val="0"/>
        <w:kinsoku/>
        <w:wordWrap/>
        <w:overflowPunct/>
        <w:topLinePunct w:val="0"/>
        <w:bidi w:val="0"/>
        <w:ind w:left="0" w:leftChars="0" w:firstLine="640" w:firstLineChars="200"/>
        <w:textAlignment w:val="auto"/>
        <w:rPr>
          <w:rFonts w:hint="eastAsia" w:ascii="仿宋_GB2312" w:hAnsi="仿宋_GB2312" w:eastAsia="仿宋_GB2312" w:cs="仿宋_GB2312"/>
          <w:sz w:val="32"/>
          <w:szCs w:val="32"/>
          <w:lang w:val="en-US" w:eastAsia="zh-CN"/>
        </w:rPr>
      </w:pPr>
    </w:p>
    <w:p>
      <w:pPr>
        <w:pageBreakBefore w:val="0"/>
        <w:widowControl w:val="0"/>
        <w:tabs>
          <w:tab w:val="right" w:pos="8306"/>
        </w:tabs>
        <w:kinsoku/>
        <w:wordWrap/>
        <w:overflowPunct/>
        <w:topLinePunct w:val="0"/>
        <w:bidi w:val="0"/>
        <w:spacing w:line="600" w:lineRule="exact"/>
        <w:ind w:firstLine="640"/>
        <w:textAlignment w:val="auto"/>
        <w:outlineLvl w:val="1"/>
        <w:rPr>
          <w:rStyle w:val="28"/>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pageBreakBefore w:val="0"/>
        <w:widowControl w:val="0"/>
        <w:kinsoku/>
        <w:wordWrap/>
        <w:overflowPunct/>
        <w:topLinePunct w:val="0"/>
        <w:bidi w:val="0"/>
        <w:spacing w:line="600" w:lineRule="exact"/>
        <w:ind w:firstLine="64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669.27</w:t>
      </w:r>
      <w:r>
        <w:rPr>
          <w:rFonts w:hint="eastAsia" w:ascii="仿宋_GB2312" w:hAnsi="仿宋_GB2312" w:eastAsia="仿宋_GB2312" w:cs="仿宋_GB2312"/>
          <w:color w:val="000000"/>
          <w:sz w:val="32"/>
          <w:szCs w:val="32"/>
        </w:rPr>
        <w:t>万元，其中：</w:t>
      </w:r>
    </w:p>
    <w:p>
      <w:pPr>
        <w:pageBreakBefore w:val="0"/>
        <w:widowControl w:val="0"/>
        <w:kinsoku/>
        <w:wordWrap/>
        <w:overflowPunct/>
        <w:topLinePunct w:val="0"/>
        <w:bidi w:val="0"/>
        <w:spacing w:line="600" w:lineRule="exact"/>
        <w:ind w:firstLine="640"/>
        <w:textAlignment w:val="auto"/>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581.89</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137.32万元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164.09万元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94.53万元</w:t>
      </w:r>
      <w:r>
        <w:rPr>
          <w:rFonts w:hint="eastAsia" w:ascii="仿宋_GB2312" w:hAnsi="仿宋_GB2312" w:eastAsia="仿宋_GB2312" w:cs="仿宋_GB2312"/>
          <w:color w:val="000000"/>
          <w:sz w:val="32"/>
          <w:szCs w:val="32"/>
        </w:rPr>
        <w:t>、绩效工资</w:t>
      </w:r>
      <w:r>
        <w:rPr>
          <w:rFonts w:hint="eastAsia" w:ascii="仿宋_GB2312" w:hAnsi="仿宋_GB2312" w:eastAsia="仿宋_GB2312" w:cs="仿宋_GB2312"/>
          <w:color w:val="000000"/>
          <w:sz w:val="32"/>
          <w:szCs w:val="32"/>
          <w:lang w:val="en-US" w:eastAsia="zh-CN"/>
        </w:rPr>
        <w:t>11.08万元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57.78万元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26.63万元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26.92万元、公务员医疗补助缴费5.89万元、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6.1万元</w:t>
      </w:r>
      <w:r>
        <w:rPr>
          <w:rFonts w:hint="eastAsia" w:ascii="仿宋_GB2312" w:hAnsi="仿宋_GB2312" w:eastAsia="仿宋_GB2312" w:cs="仿宋_GB2312"/>
          <w:color w:val="000000"/>
          <w:sz w:val="32"/>
          <w:szCs w:val="32"/>
        </w:rPr>
        <w:t>、离休费、退休费、抚恤金、生活补助</w:t>
      </w:r>
      <w:r>
        <w:rPr>
          <w:rFonts w:hint="eastAsia" w:ascii="仿宋_GB2312" w:hAnsi="仿宋_GB2312" w:eastAsia="仿宋_GB2312" w:cs="仿宋_GB2312"/>
          <w:color w:val="000000"/>
          <w:sz w:val="32"/>
          <w:szCs w:val="32"/>
          <w:lang w:val="en-US" w:eastAsia="zh-CN"/>
        </w:rPr>
        <w:t>1.98万元</w:t>
      </w:r>
      <w:r>
        <w:rPr>
          <w:rFonts w:hint="eastAsia" w:ascii="仿宋_GB2312" w:hAnsi="仿宋_GB2312" w:eastAsia="仿宋_GB2312" w:cs="仿宋_GB2312"/>
          <w:color w:val="000000"/>
          <w:sz w:val="32"/>
          <w:szCs w:val="32"/>
        </w:rPr>
        <w:t>、医疗费</w:t>
      </w:r>
      <w:r>
        <w:rPr>
          <w:rFonts w:hint="eastAsia" w:ascii="仿宋_GB2312" w:hAnsi="仿宋_GB2312" w:eastAsia="仿宋_GB2312" w:cs="仿宋_GB2312"/>
          <w:color w:val="000000"/>
          <w:sz w:val="32"/>
          <w:szCs w:val="32"/>
          <w:lang w:val="en-US" w:eastAsia="zh-CN"/>
        </w:rPr>
        <w:t>3.14万元</w:t>
      </w:r>
      <w:r>
        <w:rPr>
          <w:rFonts w:hint="eastAsia" w:ascii="仿宋_GB2312" w:hAnsi="仿宋_GB2312" w:eastAsia="仿宋_GB2312" w:cs="仿宋_GB2312"/>
          <w:color w:val="000000"/>
          <w:sz w:val="32"/>
          <w:szCs w:val="32"/>
        </w:rPr>
        <w:t>、奖励金</w:t>
      </w:r>
      <w:r>
        <w:rPr>
          <w:rFonts w:hint="eastAsia" w:ascii="仿宋_GB2312" w:hAnsi="仿宋_GB2312" w:eastAsia="仿宋_GB2312" w:cs="仿宋_GB2312"/>
          <w:color w:val="000000"/>
          <w:sz w:val="32"/>
          <w:szCs w:val="32"/>
          <w:lang w:val="en-US" w:eastAsia="zh-CN"/>
        </w:rPr>
        <w:t>0.05万元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45.58万元</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600" w:lineRule="exact"/>
        <w:ind w:firstLine="640"/>
        <w:textAlignment w:val="auto"/>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87.39</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60.30万元</w:t>
      </w:r>
      <w:r>
        <w:rPr>
          <w:rFonts w:hint="eastAsia" w:ascii="仿宋_GB2312" w:hAnsi="仿宋_GB2312" w:eastAsia="仿宋_GB2312" w:cs="仿宋_GB2312"/>
          <w:color w:val="000000"/>
          <w:sz w:val="32"/>
          <w:szCs w:val="32"/>
        </w:rPr>
        <w:t>、手续费</w:t>
      </w:r>
      <w:r>
        <w:rPr>
          <w:rFonts w:hint="eastAsia" w:ascii="仿宋_GB2312" w:hAnsi="仿宋_GB2312" w:eastAsia="仿宋_GB2312" w:cs="仿宋_GB2312"/>
          <w:color w:val="000000"/>
          <w:sz w:val="32"/>
          <w:szCs w:val="32"/>
          <w:lang w:val="en-US" w:eastAsia="zh-CN"/>
        </w:rPr>
        <w:t>0.02万元</w:t>
      </w:r>
      <w:r>
        <w:rPr>
          <w:rFonts w:hint="eastAsia" w:ascii="仿宋_GB2312" w:hAnsi="仿宋_GB2312" w:eastAsia="仿宋_GB2312" w:cs="仿宋_GB2312"/>
          <w:color w:val="000000"/>
          <w:sz w:val="32"/>
          <w:szCs w:val="32"/>
        </w:rPr>
        <w:t>、水费</w:t>
      </w:r>
      <w:r>
        <w:rPr>
          <w:rFonts w:hint="eastAsia" w:ascii="仿宋_GB2312" w:hAnsi="仿宋_GB2312" w:eastAsia="仿宋_GB2312" w:cs="仿宋_GB2312"/>
          <w:color w:val="000000"/>
          <w:sz w:val="32"/>
          <w:szCs w:val="32"/>
          <w:lang w:val="en-US" w:eastAsia="zh-CN"/>
        </w:rPr>
        <w:t>0.05万元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19.46万元</w:t>
      </w:r>
      <w:r>
        <w:rPr>
          <w:rFonts w:hint="eastAsia" w:ascii="仿宋_GB2312" w:hAnsi="仿宋_GB2312" w:eastAsia="仿宋_GB2312" w:cs="仿宋_GB2312"/>
          <w:color w:val="000000"/>
          <w:sz w:val="32"/>
          <w:szCs w:val="32"/>
        </w:rPr>
        <w:t>、公务接待费</w:t>
      </w:r>
      <w:r>
        <w:rPr>
          <w:rFonts w:hint="eastAsia" w:ascii="仿宋_GB2312" w:hAnsi="仿宋_GB2312" w:eastAsia="仿宋_GB2312" w:cs="仿宋_GB2312"/>
          <w:color w:val="000000"/>
          <w:sz w:val="32"/>
          <w:szCs w:val="32"/>
          <w:lang w:val="en-US" w:eastAsia="zh-CN"/>
        </w:rPr>
        <w:t>0.4万元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7.16万元</w:t>
      </w:r>
      <w:bookmarkStart w:id="40" w:name="_Toc15396609"/>
      <w:bookmarkStart w:id="41" w:name="_Toc15377215"/>
      <w:r>
        <w:rPr>
          <w:rFonts w:hint="eastAsia" w:ascii="仿宋_GB2312" w:hAnsi="仿宋_GB2312" w:eastAsia="仿宋_GB2312" w:cs="仿宋_GB2312"/>
          <w:color w:val="000000"/>
          <w:sz w:val="32"/>
          <w:szCs w:val="32"/>
          <w:lang w:val="en-US" w:eastAsia="zh-CN"/>
        </w:rPr>
        <w:t>。</w:t>
      </w:r>
    </w:p>
    <w:p>
      <w:pPr>
        <w:pageBreakBefore w:val="0"/>
        <w:widowControl w:val="0"/>
        <w:kinsoku/>
        <w:wordWrap/>
        <w:overflowPunct/>
        <w:topLinePunct w:val="0"/>
        <w:bidi w:val="0"/>
        <w:spacing w:line="600" w:lineRule="exact"/>
        <w:ind w:firstLine="640"/>
        <w:textAlignment w:val="auto"/>
        <w:outlineLvl w:val="1"/>
        <w:rPr>
          <w:rStyle w:val="28"/>
          <w:rFonts w:ascii="黑体" w:hAnsi="黑体" w:eastAsia="黑体"/>
          <w:b w:val="0"/>
        </w:rPr>
      </w:pPr>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p>
    <w:p>
      <w:pPr>
        <w:pageBreakBefore w:val="0"/>
        <w:widowControl w:val="0"/>
        <w:kinsoku/>
        <w:wordWrap/>
        <w:overflowPunct/>
        <w:topLinePunct w:val="0"/>
        <w:bidi w:val="0"/>
        <w:spacing w:line="600" w:lineRule="exact"/>
        <w:ind w:firstLine="640"/>
        <w:textAlignment w:val="auto"/>
        <w:outlineLvl w:val="2"/>
        <w:rPr>
          <w:rFonts w:hint="eastAsia" w:ascii="楷体_GB2312" w:hAnsi="楷体_GB2312" w:eastAsia="楷体_GB2312" w:cs="楷体_GB2312"/>
          <w:b/>
          <w:color w:val="000000"/>
          <w:sz w:val="32"/>
          <w:szCs w:val="32"/>
        </w:rPr>
      </w:pPr>
      <w:bookmarkStart w:id="42" w:name="_Toc15377216"/>
      <w:r>
        <w:rPr>
          <w:rFonts w:hint="eastAsia" w:ascii="楷体_GB2312" w:hAnsi="楷体_GB2312" w:eastAsia="楷体_GB2312" w:cs="楷体_GB2312"/>
          <w:b/>
          <w:color w:val="000000"/>
          <w:sz w:val="32"/>
          <w:szCs w:val="32"/>
        </w:rPr>
        <w:t>（一）“三公”经费财政拨款支出决算总体情况说明</w:t>
      </w:r>
      <w:bookmarkEnd w:id="42"/>
    </w:p>
    <w:p>
      <w:pPr>
        <w:pageBreakBefore w:val="0"/>
        <w:widowControl w:val="0"/>
        <w:kinsoku/>
        <w:wordWrap/>
        <w:overflowPunct/>
        <w:topLinePunct w:val="0"/>
        <w:bidi w:val="0"/>
        <w:spacing w:line="600" w:lineRule="exact"/>
        <w:ind w:firstLine="640"/>
        <w:textAlignment w:val="auto"/>
        <w:rPr>
          <w:rFonts w:hint="eastAsia" w:ascii="仿宋_GB2312" w:eastAsia="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17.57</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w:t>
      </w:r>
      <w:r>
        <w:rPr>
          <w:rFonts w:hint="eastAsia" w:ascii="仿宋_GB2312" w:hAnsi="仿宋_GB2312" w:eastAsia="仿宋_GB2312" w:cs="仿宋_GB2312"/>
          <w:color w:val="000000" w:themeColor="text1"/>
          <w:sz w:val="32"/>
          <w:szCs w:val="32"/>
          <w14:textFill>
            <w14:solidFill>
              <w14:schemeClr w14:val="tx1"/>
            </w14:solidFill>
          </w14:textFill>
        </w:rPr>
        <w:t>算数小于预算数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原因是</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本着厉行节俭的精神，严格控制三公经费</w:t>
      </w:r>
      <w:r>
        <w:rPr>
          <w:rFonts w:hint="eastAsia" w:ascii="仿宋_GB2312" w:hAnsi="仿宋_GB2312" w:eastAsia="仿宋_GB2312" w:cs="仿宋_GB2312"/>
          <w:color w:val="000000"/>
          <w:sz w:val="32"/>
          <w:szCs w:val="32"/>
        </w:rPr>
        <w:t>。</w:t>
      </w:r>
      <w:bookmarkStart w:id="43" w:name="_Toc15377217"/>
    </w:p>
    <w:p>
      <w:pPr>
        <w:pageBreakBefore w:val="0"/>
        <w:widowControl w:val="0"/>
        <w:kinsoku/>
        <w:wordWrap/>
        <w:overflowPunct/>
        <w:topLinePunct w:val="0"/>
        <w:bidi w:val="0"/>
        <w:spacing w:line="600" w:lineRule="exact"/>
        <w:ind w:firstLine="640"/>
        <w:textAlignment w:val="auto"/>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（二）“三公”经费财政拨款支出决算具体情况说明</w:t>
      </w:r>
      <w:bookmarkEnd w:id="43"/>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17.17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97.72</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2.28</w:t>
      </w:r>
      <w:r>
        <w:rPr>
          <w:rFonts w:hint="eastAsia" w:ascii="仿宋_GB2312" w:hAnsi="仿宋_GB2312" w:eastAsia="仿宋_GB2312" w:cs="仿宋_GB2312"/>
          <w:color w:val="000000"/>
          <w:sz w:val="32"/>
          <w:szCs w:val="32"/>
        </w:rPr>
        <w:t>%。具体情况如下：</w:t>
      </w:r>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：“三公”经费财政拨款支出结构）（饼状图）</w:t>
      </w:r>
    </w:p>
    <w:p>
      <w:pPr>
        <w:pStyle w:val="2"/>
        <w:pageBreakBefore w:val="0"/>
        <w:widowControl w:val="0"/>
        <w:kinsoku/>
        <w:wordWrap/>
        <w:overflowPunct/>
        <w:topLinePunct w:val="0"/>
        <w:bidi w:val="0"/>
        <w:ind w:left="0" w:leftChars="0" w:firstLine="0" w:firstLineChars="0"/>
        <w:jc w:val="center"/>
        <w:textAlignment w:val="auto"/>
        <w:rPr>
          <w:rFonts w:hint="eastAsia" w:ascii="仿宋" w:hAnsi="仿宋" w:eastAsia="仿宋"/>
          <w:color w:val="0000FF"/>
          <w:sz w:val="32"/>
          <w:szCs w:val="32"/>
        </w:rPr>
      </w:pPr>
      <w:r>
        <w:drawing>
          <wp:inline distT="0" distB="0" distL="114300" distR="114300">
            <wp:extent cx="4572000" cy="2743200"/>
            <wp:effectExtent l="4445" t="4445" r="14605" b="14605"/>
            <wp:docPr id="18"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color w:val="000000"/>
          <w:sz w:val="32"/>
          <w:szCs w:val="32"/>
          <w:lang w:val="en-US" w:eastAsia="zh-CN"/>
        </w:rPr>
        <w:t>17.17</w:t>
      </w:r>
      <w:r>
        <w:rPr>
          <w:rFonts w:hint="eastAsia" w:ascii="仿宋_GB2312" w:hAnsi="仿宋_GB2312" w:eastAsia="仿宋_GB2312" w:cs="仿宋_GB2312"/>
          <w:color w:val="000000"/>
          <w:sz w:val="32"/>
          <w:szCs w:val="32"/>
        </w:rPr>
        <w:t>万元,</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3.35</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2.42</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val="en-US" w:eastAsia="zh-CN"/>
        </w:rPr>
        <w:t>2019年红原县脱贫摘帽，下乡扶贫次数多。</w:t>
      </w:r>
    </w:p>
    <w:p>
      <w:pPr>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截至201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辆，其中：轿车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w:t>
      </w:r>
    </w:p>
    <w:p>
      <w:pPr>
        <w:pageBreakBefore w:val="0"/>
        <w:widowControl w:val="0"/>
        <w:kinsoku/>
        <w:wordWrap/>
        <w:overflowPunct/>
        <w:topLinePunct w:val="0"/>
        <w:bidi w:val="0"/>
        <w:spacing w:line="60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17.17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下乡、出差、培训、报表等</w:t>
      </w:r>
      <w:r>
        <w:rPr>
          <w:rFonts w:hint="eastAsia" w:ascii="仿宋_GB2312" w:eastAsia="仿宋_GB2312"/>
          <w:color w:val="000000"/>
          <w:sz w:val="32"/>
          <w:szCs w:val="32"/>
        </w:rPr>
        <w:t>所需的公务用车燃料费、维修费、过路过桥费、保险费等支出。</w:t>
      </w:r>
    </w:p>
    <w:p>
      <w:pPr>
        <w:pageBreakBefore w:val="0"/>
        <w:widowControl w:val="0"/>
        <w:kinsoku/>
        <w:wordWrap/>
        <w:overflowPunct/>
        <w:topLinePunct w:val="0"/>
        <w:bidi w:val="0"/>
        <w:spacing w:line="600"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万元，</w:t>
      </w:r>
      <w:r>
        <w:rPr>
          <w:rStyle w:val="17"/>
          <w:rFonts w:hint="eastAsia" w:ascii="仿宋_GB2312" w:hAnsi="仿宋_GB2312" w:eastAsia="仿宋_GB2312" w:cs="仿宋_GB2312"/>
          <w:b w:val="0"/>
          <w:bCs/>
          <w:color w:val="000000"/>
          <w:sz w:val="32"/>
          <w:szCs w:val="32"/>
        </w:rPr>
        <w:t>完成预算</w:t>
      </w:r>
      <w:r>
        <w:rPr>
          <w:rStyle w:val="17"/>
          <w:rFonts w:hint="eastAsia" w:ascii="仿宋_GB2312" w:hAnsi="仿宋_GB2312" w:eastAsia="仿宋_GB2312" w:cs="仿宋_GB2312"/>
          <w:b w:val="0"/>
          <w:bCs/>
          <w:color w:val="000000"/>
          <w:sz w:val="32"/>
          <w:szCs w:val="32"/>
          <w:lang w:val="en-US" w:eastAsia="zh-CN"/>
        </w:rPr>
        <w:t>100</w:t>
      </w:r>
      <w:r>
        <w:rPr>
          <w:rStyle w:val="17"/>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本着</w:t>
      </w:r>
      <w:r>
        <w:rPr>
          <w:rFonts w:hint="eastAsia" w:ascii="仿宋_GB2312" w:hAnsi="仿宋_GB2312" w:eastAsia="仿宋_GB2312" w:cs="仿宋_GB2312"/>
          <w:color w:val="000000" w:themeColor="text1"/>
          <w:sz w:val="32"/>
          <w:szCs w:val="32"/>
          <w:lang w:eastAsia="zh-CN"/>
          <w14:textFill>
            <w14:solidFill>
              <w14:schemeClr w14:val="tx1"/>
            </w14:solidFill>
          </w14:textFill>
        </w:rPr>
        <w:t>厉行节俭</w:t>
      </w:r>
      <w:r>
        <w:rPr>
          <w:rFonts w:hint="eastAsia" w:ascii="仿宋_GB2312" w:hAnsi="仿宋_GB2312" w:eastAsia="仿宋_GB2312" w:cs="仿宋_GB2312"/>
          <w:color w:val="000000"/>
          <w:sz w:val="32"/>
          <w:szCs w:val="32"/>
          <w:lang w:eastAsia="zh-CN"/>
        </w:rPr>
        <w:t>的精神，严格控制三公经费</w:t>
      </w:r>
      <w:r>
        <w:rPr>
          <w:rFonts w:hint="eastAsia" w:ascii="仿宋_GB2312" w:hAnsi="仿宋_GB2312" w:eastAsia="仿宋_GB2312" w:cs="仿宋_GB2312"/>
          <w:color w:val="000000"/>
          <w:sz w:val="32"/>
          <w:szCs w:val="32"/>
        </w:rPr>
        <w:t>。</w:t>
      </w:r>
    </w:p>
    <w:p>
      <w:pPr>
        <w:pageBreakBefore w:val="0"/>
        <w:widowControl w:val="0"/>
        <w:kinsoku/>
        <w:wordWrap/>
        <w:overflowPunct/>
        <w:topLinePunct w:val="0"/>
        <w:bidi w:val="0"/>
        <w:spacing w:line="600" w:lineRule="exact"/>
        <w:ind w:firstLine="640" w:firstLineChars="200"/>
        <w:textAlignment w:val="auto"/>
        <w:rPr>
          <w:rFonts w:hint="eastAsia" w:asci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主要用于执行公务、开展业务活动开支的交通费、住宿费、用餐费等。</w:t>
      </w:r>
      <w:r>
        <w:rPr>
          <w:rFonts w:hint="eastAsia" w:ascii="仿宋_GB2312" w:hAnsi="仿宋_GB2312" w:eastAsia="仿宋_GB2312" w:cs="仿宋_GB2312"/>
          <w:color w:val="000000" w:themeColor="text1"/>
          <w:sz w:val="32"/>
          <w:szCs w:val="32"/>
          <w14:textFill>
            <w14:solidFill>
              <w14:schemeClr w14:val="tx1"/>
            </w14:solidFill>
          </w14:textFill>
        </w:rPr>
        <w:t>国内公务接待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56</w:t>
      </w:r>
      <w:r>
        <w:rPr>
          <w:rFonts w:hint="eastAsia" w:ascii="仿宋_GB2312" w:hAnsi="仿宋_GB2312" w:eastAsia="仿宋_GB2312" w:cs="仿宋_GB2312"/>
          <w:color w:val="000000" w:themeColor="text1"/>
          <w:sz w:val="32"/>
          <w:szCs w:val="32"/>
          <w14:textFill>
            <w14:solidFill>
              <w14:schemeClr w14:val="tx1"/>
            </w14:solidFill>
          </w14:textFill>
        </w:rPr>
        <w:t>人次（不包括陪</w:t>
      </w:r>
      <w:r>
        <w:rPr>
          <w:rFonts w:hint="eastAsia" w:ascii="仿宋_GB2312" w:eastAsia="仿宋_GB2312"/>
          <w:color w:val="000000" w:themeColor="text1"/>
          <w:sz w:val="32"/>
          <w:szCs w:val="32"/>
          <w14:textFill>
            <w14:solidFill>
              <w14:schemeClr w14:val="tx1"/>
            </w14:solidFill>
          </w14:textFill>
        </w:rPr>
        <w:t>同人员），共计支出</w:t>
      </w:r>
      <w:r>
        <w:rPr>
          <w:rFonts w:hint="eastAsia" w:ascii="仿宋_GB2312" w:eastAsia="仿宋_GB2312"/>
          <w:color w:val="000000" w:themeColor="text1"/>
          <w:sz w:val="32"/>
          <w:szCs w:val="32"/>
          <w:lang w:val="en-US" w:eastAsia="zh-CN"/>
          <w14:textFill>
            <w14:solidFill>
              <w14:schemeClr w14:val="tx1"/>
            </w14:solidFill>
          </w14:textFill>
        </w:rPr>
        <w:t>0.4</w:t>
      </w:r>
      <w:r>
        <w:rPr>
          <w:rFonts w:hint="eastAsia" w:ascii="仿宋_GB2312" w:eastAsia="仿宋_GB2312"/>
          <w:color w:val="000000" w:themeColor="text1"/>
          <w:sz w:val="32"/>
          <w:szCs w:val="32"/>
          <w14:textFill>
            <w14:solidFill>
              <w14:schemeClr w14:val="tx1"/>
            </w14:solidFill>
          </w14:textFill>
        </w:rPr>
        <w:t>万元，具体内容包括：</w:t>
      </w:r>
      <w:r>
        <w:rPr>
          <w:rFonts w:hint="eastAsia" w:ascii="仿宋_GB2312" w:eastAsia="仿宋_GB2312"/>
          <w:color w:val="000000" w:themeColor="text1"/>
          <w:sz w:val="32"/>
          <w:szCs w:val="32"/>
          <w:lang w:eastAsia="zh-CN"/>
          <w14:textFill>
            <w14:solidFill>
              <w14:schemeClr w14:val="tx1"/>
            </w14:solidFill>
          </w14:textFill>
        </w:rPr>
        <w:t>州财政局专项资金检查、南部县四项基金对接帮扶等</w:t>
      </w:r>
      <w:bookmarkStart w:id="44" w:name="_Toc15396610"/>
      <w:bookmarkStart w:id="45" w:name="_Toc15377218"/>
      <w:r>
        <w:rPr>
          <w:rFonts w:hint="eastAsia" w:ascii="仿宋_GB2312" w:eastAsia="仿宋_GB2312"/>
          <w:color w:val="000000" w:themeColor="text1"/>
          <w:sz w:val="32"/>
          <w:szCs w:val="32"/>
          <w:lang w:eastAsia="zh-CN"/>
          <w14:textFill>
            <w14:solidFill>
              <w14:schemeClr w14:val="tx1"/>
            </w14:solidFill>
          </w14:textFill>
        </w:rPr>
        <w:t>。</w:t>
      </w:r>
    </w:p>
    <w:p>
      <w:pPr>
        <w:pageBreakBefore w:val="0"/>
        <w:widowControl w:val="0"/>
        <w:kinsoku/>
        <w:wordWrap/>
        <w:overflowPunct/>
        <w:topLinePunct w:val="0"/>
        <w:bidi w:val="0"/>
        <w:spacing w:line="600" w:lineRule="exact"/>
        <w:ind w:firstLine="640"/>
        <w:textAlignment w:val="auto"/>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4"/>
      <w:bookmarkEnd w:id="45"/>
    </w:p>
    <w:p>
      <w:pPr>
        <w:pageBreakBefore w:val="0"/>
        <w:widowControl w:val="0"/>
        <w:kinsoku/>
        <w:wordWrap/>
        <w:overflowPunct/>
        <w:topLinePunct w:val="0"/>
        <w:bidi w:val="0"/>
        <w:spacing w:line="600" w:lineRule="exact"/>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numPr>
          <w:ilvl w:val="0"/>
          <w:numId w:val="3"/>
        </w:numPr>
        <w:kinsoku/>
        <w:wordWrap/>
        <w:overflowPunct/>
        <w:topLinePunct w:val="0"/>
        <w:bidi w:val="0"/>
        <w:spacing w:line="600" w:lineRule="exact"/>
        <w:ind w:firstLine="640"/>
        <w:textAlignment w:val="auto"/>
        <w:outlineLvl w:val="1"/>
        <w:rPr>
          <w:rStyle w:val="28"/>
          <w:rFonts w:ascii="黑体" w:hAnsi="黑体" w:eastAsia="黑体"/>
          <w:b w:val="0"/>
        </w:rPr>
      </w:pPr>
      <w:bookmarkStart w:id="46" w:name="_Toc15396611"/>
      <w:bookmarkStart w:id="47" w:name="_Toc15377219"/>
      <w:r>
        <w:rPr>
          <w:rStyle w:val="28"/>
          <w:rFonts w:hint="eastAsia" w:ascii="黑体" w:hAnsi="黑体" w:eastAsia="黑体"/>
          <w:b w:val="0"/>
        </w:rPr>
        <w:t>国有资本经营预算支出决算情况说明</w:t>
      </w:r>
      <w:bookmarkEnd w:id="46"/>
      <w:bookmarkEnd w:id="47"/>
    </w:p>
    <w:p>
      <w:pPr>
        <w:pageBreakBefore w:val="0"/>
        <w:widowControl w:val="0"/>
        <w:kinsoku/>
        <w:wordWrap/>
        <w:overflowPunct/>
        <w:topLinePunct w:val="0"/>
        <w:bidi w:val="0"/>
        <w:spacing w:line="600" w:lineRule="exact"/>
        <w:ind w:firstLine="64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600" w:lineRule="exact"/>
        <w:ind w:firstLine="640" w:firstLineChars="200"/>
        <w:textAlignment w:val="auto"/>
        <w:outlineLvl w:val="1"/>
        <w:rPr>
          <w:rStyle w:val="28"/>
          <w:rFonts w:ascii="黑体" w:hAnsi="黑体" w:eastAsia="黑体"/>
        </w:rPr>
      </w:pPr>
      <w:r>
        <w:rPr>
          <w:rStyle w:val="28"/>
          <w:rFonts w:hint="eastAsia" w:ascii="黑体" w:hAnsi="黑体" w:eastAsia="黑体"/>
          <w:b w:val="0"/>
          <w:lang w:eastAsia="zh-CN"/>
        </w:rPr>
        <w:t>十、</w:t>
      </w:r>
      <w:r>
        <w:rPr>
          <w:rStyle w:val="28"/>
          <w:rFonts w:hint="eastAsia" w:ascii="黑体" w:hAnsi="黑体" w:eastAsia="黑体"/>
          <w:b w:val="0"/>
        </w:rPr>
        <w:t>其他重要事项的情况说明</w:t>
      </w:r>
    </w:p>
    <w:p>
      <w:pPr>
        <w:pageBreakBefore w:val="0"/>
        <w:widowControl w:val="0"/>
        <w:kinsoku/>
        <w:wordWrap/>
        <w:overflowPunct/>
        <w:topLinePunct w:val="0"/>
        <w:bidi w:val="0"/>
        <w:spacing w:line="600" w:lineRule="exact"/>
        <w:ind w:firstLine="643" w:firstLineChars="200"/>
        <w:textAlignment w:val="auto"/>
        <w:outlineLvl w:val="2"/>
        <w:rPr>
          <w:rFonts w:hint="eastAsia" w:ascii="楷体_GB2312" w:hAnsi="楷体_GB2312" w:eastAsia="楷体_GB2312" w:cs="楷体_GB2312"/>
          <w:b/>
          <w:bCs w:val="0"/>
          <w:color w:val="000000" w:themeColor="text1"/>
          <w:sz w:val="32"/>
          <w:szCs w:val="32"/>
          <w14:textFill>
            <w14:solidFill>
              <w14:schemeClr w14:val="tx1"/>
            </w14:solidFill>
          </w14:textFill>
        </w:rPr>
      </w:pPr>
      <w:bookmarkStart w:id="48" w:name="_Toc15377222"/>
      <w:r>
        <w:rPr>
          <w:rFonts w:hint="eastAsia" w:ascii="楷体_GB2312" w:hAnsi="楷体_GB2312" w:eastAsia="楷体_GB2312" w:cs="楷体_GB2312"/>
          <w:b/>
          <w:bCs w:val="0"/>
          <w:color w:val="000000" w:themeColor="text1"/>
          <w:sz w:val="32"/>
          <w:szCs w:val="32"/>
          <w14:textFill>
            <w14:solidFill>
              <w14:schemeClr w14:val="tx1"/>
            </w14:solidFill>
          </w14:textFill>
        </w:rPr>
        <w:t>（一）机关运行经费支出情况</w:t>
      </w:r>
      <w:bookmarkEnd w:id="48"/>
    </w:p>
    <w:p>
      <w:pPr>
        <w:pageBreakBefore w:val="0"/>
        <w:widowControl w:val="0"/>
        <w:kinsoku/>
        <w:wordWrap/>
        <w:overflowPunct/>
        <w:topLinePunct w:val="0"/>
        <w:bidi w:val="0"/>
        <w:spacing w:line="600" w:lineRule="exact"/>
        <w:ind w:firstLine="640" w:firstLineChars="200"/>
        <w:textAlignment w:val="auto"/>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红原县财政局</w:t>
      </w:r>
      <w:r>
        <w:rPr>
          <w:rFonts w:hint="eastAsia" w:ascii="仿宋_GB2312" w:eastAsia="仿宋_GB2312"/>
          <w:color w:val="000000" w:themeColor="text1"/>
          <w:sz w:val="32"/>
          <w:szCs w:val="32"/>
          <w14:textFill>
            <w14:solidFill>
              <w14:schemeClr w14:val="tx1"/>
            </w14:solidFill>
          </w14:textFill>
        </w:rPr>
        <w:t>机关运行经费支出</w:t>
      </w:r>
      <w:r>
        <w:rPr>
          <w:rFonts w:hint="eastAsia" w:ascii="仿宋_GB2312" w:eastAsia="仿宋_GB2312"/>
          <w:color w:val="000000" w:themeColor="text1"/>
          <w:sz w:val="32"/>
          <w:szCs w:val="32"/>
          <w:lang w:val="en-US" w:eastAsia="zh-CN"/>
          <w14:textFill>
            <w14:solidFill>
              <w14:schemeClr w14:val="tx1"/>
            </w14:solidFill>
          </w14:textFill>
        </w:rPr>
        <w:t>80.48</w:t>
      </w:r>
      <w:r>
        <w:rPr>
          <w:rFonts w:hint="eastAsia" w:ascii="仿宋_GB2312" w:eastAsia="仿宋_GB2312"/>
          <w:color w:val="000000" w:themeColor="text1"/>
          <w:sz w:val="32"/>
          <w:szCs w:val="32"/>
          <w14:textFill>
            <w14:solidFill>
              <w14:schemeClr w14:val="tx1"/>
            </w14:solidFill>
          </w14:textFill>
        </w:rPr>
        <w:t>万元，比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eastAsia="zh-CN"/>
          <w14:textFill>
            <w14:solidFill>
              <w14:schemeClr w14:val="tx1"/>
            </w14:solidFill>
          </w14:textFill>
        </w:rPr>
        <w:t>减少</w:t>
      </w:r>
      <w:r>
        <w:rPr>
          <w:rFonts w:hint="eastAsia" w:ascii="仿宋_GB2312" w:eastAsia="仿宋_GB2312"/>
          <w:color w:val="000000" w:themeColor="text1"/>
          <w:sz w:val="32"/>
          <w:szCs w:val="32"/>
          <w:lang w:val="en-US" w:eastAsia="zh-CN"/>
          <w14:textFill>
            <w14:solidFill>
              <w14:schemeClr w14:val="tx1"/>
            </w14:solidFill>
          </w14:textFill>
        </w:rPr>
        <w:t>27.8</w:t>
      </w:r>
      <w:r>
        <w:rPr>
          <w:rFonts w:hint="eastAsia" w:ascii="仿宋_GB2312" w:eastAsia="仿宋_GB2312"/>
          <w:color w:val="000000" w:themeColor="text1"/>
          <w:sz w:val="32"/>
          <w:szCs w:val="32"/>
          <w14:textFill>
            <w14:solidFill>
              <w14:schemeClr w14:val="tx1"/>
            </w14:solidFill>
          </w14:textFill>
        </w:rPr>
        <w:t>万元，增长</w:t>
      </w:r>
      <w:r>
        <w:rPr>
          <w:rFonts w:hint="eastAsia" w:ascii="仿宋_GB2312" w:eastAsia="仿宋_GB2312"/>
          <w:color w:val="000000" w:themeColor="text1"/>
          <w:sz w:val="32"/>
          <w:szCs w:val="32"/>
          <w:lang w:val="en-US" w:eastAsia="zh-CN"/>
          <w14:textFill>
            <w14:solidFill>
              <w14:schemeClr w14:val="tx1"/>
            </w14:solidFill>
          </w14:textFill>
        </w:rPr>
        <w:t>25.67</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人员变动</w:t>
      </w:r>
      <w:bookmarkStart w:id="49" w:name="_Toc15377223"/>
      <w:r>
        <w:rPr>
          <w:rFonts w:hint="eastAsia" w:ascii="仿宋_GB2312" w:eastAsia="仿宋_GB2312"/>
          <w:color w:val="000000" w:themeColor="text1"/>
          <w:sz w:val="32"/>
          <w:szCs w:val="32"/>
          <w:lang w:eastAsia="zh-CN"/>
          <w14:textFill>
            <w14:solidFill>
              <w14:schemeClr w14:val="tx1"/>
            </w14:solidFill>
          </w14:textFill>
        </w:rPr>
        <w:t>。</w:t>
      </w:r>
    </w:p>
    <w:p>
      <w:pPr>
        <w:pageBreakBefore w:val="0"/>
        <w:widowControl w:val="0"/>
        <w:kinsoku/>
        <w:wordWrap/>
        <w:overflowPunct/>
        <w:topLinePunct w:val="0"/>
        <w:bidi w:val="0"/>
        <w:spacing w:line="600" w:lineRule="exact"/>
        <w:ind w:firstLine="643" w:firstLineChars="200"/>
        <w:textAlignment w:val="auto"/>
        <w:outlineLvl w:val="2"/>
        <w:rPr>
          <w:rFonts w:hint="eastAsia" w:ascii="楷体_GB2312" w:hAnsi="楷体_GB2312" w:eastAsia="楷体_GB2312" w:cs="楷体_GB2312"/>
          <w:b/>
          <w:bCs w:val="0"/>
          <w:color w:val="000000" w:themeColor="text1"/>
          <w:sz w:val="32"/>
          <w:szCs w:val="32"/>
          <w14:textFill>
            <w14:solidFill>
              <w14:schemeClr w14:val="tx1"/>
            </w14:solidFill>
          </w14:textFill>
        </w:rPr>
      </w:pPr>
      <w:r>
        <w:rPr>
          <w:rFonts w:hint="eastAsia" w:ascii="楷体_GB2312" w:hAnsi="楷体_GB2312" w:eastAsia="楷体_GB2312" w:cs="楷体_GB2312"/>
          <w:b/>
          <w:bCs w:val="0"/>
          <w:color w:val="000000" w:themeColor="text1"/>
          <w:sz w:val="32"/>
          <w:szCs w:val="32"/>
          <w14:textFill>
            <w14:solidFill>
              <w14:schemeClr w14:val="tx1"/>
            </w14:solidFill>
          </w14:textFill>
        </w:rPr>
        <w:t>（二）政府采购支出情况</w:t>
      </w:r>
      <w:bookmarkEnd w:id="49"/>
    </w:p>
    <w:p>
      <w:pPr>
        <w:pageBreakBefore w:val="0"/>
        <w:widowControl w:val="0"/>
        <w:kinsoku/>
        <w:wordWrap/>
        <w:overflowPunct/>
        <w:topLinePunct w:val="0"/>
        <w:bidi w:val="0"/>
        <w:spacing w:line="60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红原县财政局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600" w:lineRule="exact"/>
        <w:ind w:firstLine="643" w:firstLineChars="200"/>
        <w:jc w:val="left"/>
        <w:textAlignment w:val="auto"/>
        <w:outlineLvl w:val="2"/>
        <w:rPr>
          <w:rFonts w:ascii="仿宋" w:hAnsi="仿宋" w:eastAsia="仿宋"/>
          <w:b/>
          <w:color w:val="000000" w:themeColor="text1"/>
          <w:sz w:val="32"/>
          <w:szCs w:val="32"/>
          <w14:textFill>
            <w14:solidFill>
              <w14:schemeClr w14:val="tx1"/>
            </w14:solidFill>
          </w14:textFill>
        </w:rPr>
      </w:pPr>
      <w:bookmarkStart w:id="50" w:name="_Toc15377224"/>
      <w:r>
        <w:rPr>
          <w:rFonts w:hint="eastAsia" w:ascii="楷体_GB2312" w:hAnsi="楷体_GB2312" w:eastAsia="楷体_GB2312" w:cs="楷体_GB2312"/>
          <w:b/>
          <w:bCs w:val="0"/>
          <w:color w:val="000000" w:themeColor="text1"/>
          <w:sz w:val="32"/>
          <w:szCs w:val="32"/>
          <w14:textFill>
            <w14:solidFill>
              <w14:schemeClr w14:val="tx1"/>
            </w14:solidFill>
          </w14:textFill>
        </w:rPr>
        <w:t>（三）国有资产占有使用情况</w:t>
      </w:r>
      <w:bookmarkEnd w:id="50"/>
    </w:p>
    <w:p>
      <w:pPr>
        <w:pageBreakBefore w:val="0"/>
        <w:widowControl w:val="0"/>
        <w:kinsoku/>
        <w:wordWrap/>
        <w:overflowPunct/>
        <w:topLinePunct w:val="0"/>
        <w:bidi w:val="0"/>
        <w:spacing w:line="560" w:lineRule="exact"/>
        <w:ind w:firstLine="640"/>
        <w:textAlignment w:val="auto"/>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hAnsi="仿宋_GB2312" w:eastAsia="仿宋_GB2312" w:cs="仿宋_GB2312"/>
          <w:bCs/>
          <w:color w:val="000000" w:themeColor="text1"/>
          <w:sz w:val="32"/>
          <w:szCs w:val="32"/>
          <w14:textFill>
            <w14:solidFill>
              <w14:schemeClr w14:val="tx1"/>
            </w14:solidFill>
          </w14:textFill>
        </w:rPr>
        <w:t>我单位共有资产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595.32</w:t>
      </w:r>
      <w:r>
        <w:rPr>
          <w:rFonts w:hint="eastAsia" w:ascii="仿宋_GB2312" w:hAnsi="仿宋_GB2312" w:eastAsia="仿宋_GB2312" w:cs="仿宋_GB2312"/>
          <w:bCs/>
          <w:color w:val="000000" w:themeColor="text1"/>
          <w:sz w:val="32"/>
          <w:szCs w:val="32"/>
          <w14:textFill>
            <w14:solidFill>
              <w14:schemeClr w14:val="tx1"/>
            </w14:solidFill>
          </w14:textFill>
        </w:rPr>
        <w:t>万元，其中流动资产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20.83</w:t>
      </w:r>
      <w:r>
        <w:rPr>
          <w:rFonts w:hint="eastAsia" w:ascii="仿宋_GB2312" w:hAnsi="仿宋_GB2312" w:eastAsia="仿宋_GB2312" w:cs="仿宋_GB2312"/>
          <w:bCs/>
          <w:color w:val="000000" w:themeColor="text1"/>
          <w:sz w:val="32"/>
          <w:szCs w:val="32"/>
          <w14:textFill>
            <w14:solidFill>
              <w14:schemeClr w14:val="tx1"/>
            </w14:solidFill>
          </w14:textFill>
        </w:rPr>
        <w:t>万元，固定资产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574.49</w:t>
      </w:r>
      <w:r>
        <w:rPr>
          <w:rFonts w:hint="eastAsia" w:ascii="仿宋_GB2312" w:hAnsi="仿宋_GB2312" w:eastAsia="仿宋_GB2312" w:cs="仿宋_GB2312"/>
          <w:bCs/>
          <w:color w:val="000000" w:themeColor="text1"/>
          <w:sz w:val="32"/>
          <w:szCs w:val="32"/>
          <w14:textFill>
            <w14:solidFill>
              <w14:schemeClr w14:val="tx1"/>
            </w14:solidFill>
          </w14:textFill>
        </w:rPr>
        <w:t>万元（房屋</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318.95</w:t>
      </w:r>
      <w:r>
        <w:rPr>
          <w:rFonts w:hint="eastAsia" w:ascii="仿宋_GB2312" w:hAnsi="仿宋_GB2312" w:eastAsia="仿宋_GB2312" w:cs="仿宋_GB2312"/>
          <w:bCs/>
          <w:color w:val="000000" w:themeColor="text1"/>
          <w:sz w:val="32"/>
          <w:szCs w:val="32"/>
          <w14:textFill>
            <w14:solidFill>
              <w14:schemeClr w14:val="tx1"/>
            </w14:solidFill>
          </w14:textFill>
        </w:rPr>
        <w:t>万元，汽车</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14:textFill>
            <w14:solidFill>
              <w14:schemeClr w14:val="tx1"/>
            </w14:solidFill>
          </w14:textFill>
        </w:rPr>
        <w:t>辆，价值</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57.53</w:t>
      </w:r>
      <w:r>
        <w:rPr>
          <w:rFonts w:hint="eastAsia" w:ascii="仿宋_GB2312" w:hAnsi="仿宋_GB2312" w:eastAsia="仿宋_GB2312" w:cs="仿宋_GB2312"/>
          <w:bCs/>
          <w:color w:val="000000" w:themeColor="text1"/>
          <w:sz w:val="32"/>
          <w:szCs w:val="32"/>
          <w14:textFill>
            <w14:solidFill>
              <w14:schemeClr w14:val="tx1"/>
            </w14:solidFill>
          </w14:textFill>
        </w:rPr>
        <w:t>万元，其他固定资产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198.01</w:t>
      </w:r>
      <w:r>
        <w:rPr>
          <w:rFonts w:hint="eastAsia" w:ascii="仿宋_GB2312" w:hAnsi="仿宋_GB2312" w:eastAsia="仿宋_GB2312" w:cs="仿宋_GB2312"/>
          <w:bCs/>
          <w:color w:val="000000" w:themeColor="text1"/>
          <w:sz w:val="32"/>
          <w:szCs w:val="32"/>
          <w14:textFill>
            <w14:solidFill>
              <w14:schemeClr w14:val="tx1"/>
            </w14:solidFill>
          </w14:textFill>
        </w:rPr>
        <w:t>万元）。</w:t>
      </w:r>
    </w:p>
    <w:p>
      <w:pPr>
        <w:pageBreakBefore w:val="0"/>
        <w:widowControl w:val="0"/>
        <w:kinsoku/>
        <w:wordWrap/>
        <w:overflowPunct/>
        <w:topLinePunct w:val="0"/>
        <w:autoSpaceDE w:val="0"/>
        <w:autoSpaceDN w:val="0"/>
        <w:bidi w:val="0"/>
        <w:adjustRightInd w:val="0"/>
        <w:spacing w:line="600" w:lineRule="exact"/>
        <w:ind w:firstLine="640" w:firstLineChars="200"/>
        <w:jc w:val="left"/>
        <w:textAlignment w:val="auto"/>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红原县财政局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Style w:val="26"/>
        <w:pageBreakBefore w:val="0"/>
        <w:widowControl w:val="0"/>
        <w:numPr>
          <w:ilvl w:val="0"/>
          <w:numId w:val="0"/>
        </w:numPr>
        <w:kinsoku/>
        <w:wordWrap/>
        <w:overflowPunct/>
        <w:topLinePunct w:val="0"/>
        <w:bidi w:val="0"/>
        <w:spacing w:line="580" w:lineRule="exact"/>
        <w:ind w:left="709" w:leftChars="0"/>
        <w:textAlignment w:val="auto"/>
        <w:rPr>
          <w:rStyle w:val="28"/>
          <w:rFonts w:ascii="黑体" w:hAnsi="黑体" w:eastAsia="黑体"/>
          <w:b w:val="0"/>
        </w:rPr>
      </w:pPr>
      <w:r>
        <w:rPr>
          <w:rStyle w:val="28"/>
          <w:rFonts w:hint="eastAsia" w:ascii="黑体" w:hAnsi="黑体" w:eastAsia="黑体"/>
          <w:b w:val="0"/>
          <w:lang w:eastAsia="zh-CN"/>
        </w:rPr>
        <w:t>十一、</w:t>
      </w:r>
      <w:r>
        <w:rPr>
          <w:rStyle w:val="28"/>
          <w:rFonts w:hint="eastAsia" w:ascii="黑体" w:hAnsi="黑体" w:eastAsia="黑体"/>
          <w:b w:val="0"/>
        </w:rPr>
        <w:t>预算绩效情况说明</w:t>
      </w:r>
    </w:p>
    <w:p>
      <w:pPr>
        <w:pageBreakBefore w:val="0"/>
        <w:widowControl w:val="0"/>
        <w:numPr>
          <w:ilvl w:val="0"/>
          <w:numId w:val="4"/>
        </w:numPr>
        <w:kinsoku/>
        <w:wordWrap/>
        <w:overflowPunct/>
        <w:topLinePunct w:val="0"/>
        <w:bidi w:val="0"/>
        <w:spacing w:line="58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预算绩效管理工作开展情况。</w:t>
      </w:r>
    </w:p>
    <w:p>
      <w:pPr>
        <w:pStyle w:val="7"/>
        <w:keepNext w:val="0"/>
        <w:keepLines w:val="0"/>
        <w:pageBreakBefore w:val="0"/>
        <w:widowControl w:val="0"/>
        <w:numPr>
          <w:ilvl w:val="0"/>
          <w:numId w:val="0"/>
        </w:numPr>
        <w:kinsoku/>
        <w:wordWrap/>
        <w:overflowPunct/>
        <w:topLinePunct w:val="0"/>
        <w:autoSpaceDE/>
        <w:autoSpaceDN/>
        <w:bidi w:val="0"/>
        <w:adjustRightInd/>
        <w:spacing w:beforeLines="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预算编制情况</w:t>
      </w:r>
    </w:p>
    <w:p>
      <w:pPr>
        <w:pStyle w:val="7"/>
        <w:keepNext w:val="0"/>
        <w:keepLines w:val="0"/>
        <w:pageBreakBefore w:val="0"/>
        <w:widowControl w:val="0"/>
        <w:kinsoku/>
        <w:wordWrap/>
        <w:overflowPunct/>
        <w:topLinePunct w:val="0"/>
        <w:autoSpaceDE/>
        <w:autoSpaceDN/>
        <w:bidi w:val="0"/>
        <w:adjustRightInd/>
        <w:spacing w:beforeLine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按照县财政预算编制工作要求，我单位组织财务人员积极参与预算编制培训会，及时掌握预算编制口径等相关知识，结合单位工作实际，按照“两上两下”编制方式，全面、及时、完整地编制了单位预算，并经财政部门审核下达。</w:t>
      </w:r>
    </w:p>
    <w:p>
      <w:pPr>
        <w:pStyle w:val="7"/>
        <w:keepNext w:val="0"/>
        <w:keepLines w:val="0"/>
        <w:pageBreakBefore w:val="0"/>
        <w:widowControl w:val="0"/>
        <w:numPr>
          <w:ilvl w:val="0"/>
          <w:numId w:val="0"/>
        </w:numPr>
        <w:kinsoku/>
        <w:wordWrap/>
        <w:overflowPunct/>
        <w:topLinePunct w:val="0"/>
        <w:autoSpaceDE/>
        <w:autoSpaceDN/>
        <w:bidi w:val="0"/>
        <w:adjustRightInd/>
        <w:spacing w:beforeLines="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执行管理情况</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预算执行中，我单位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keepNext w:val="0"/>
        <w:keepLines w:val="0"/>
        <w:pageBreakBefore w:val="0"/>
        <w:widowControl w:val="0"/>
        <w:kinsoku/>
        <w:wordWrap/>
        <w:overflowPunct/>
        <w:topLinePunct w:val="0"/>
        <w:autoSpaceDE/>
        <w:autoSpaceDN/>
        <w:bidi w:val="0"/>
        <w:adjustRightInd/>
        <w:ind w:firstLine="569" w:firstLineChars="177"/>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三公</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经费支出情况：（1）因公出国（境）经费支出数为零；（2）公务接待费</w:t>
      </w:r>
      <w:r>
        <w:rPr>
          <w:rFonts w:hint="eastAsia" w:ascii="仿宋_GB2312" w:hAnsi="仿宋_GB2312" w:eastAsia="仿宋_GB2312" w:cs="仿宋_GB2312"/>
          <w:sz w:val="32"/>
          <w:szCs w:val="32"/>
          <w:lang w:val="en-US" w:eastAsia="zh-CN"/>
        </w:rPr>
        <w:t>0.4万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（3）公务用车购置及运行维护费支出数</w:t>
      </w:r>
      <w:r>
        <w:rPr>
          <w:rFonts w:hint="eastAsia" w:ascii="仿宋_GB2312" w:hAnsi="仿宋_GB2312" w:eastAsia="仿宋_GB2312" w:cs="仿宋_GB2312"/>
          <w:sz w:val="32"/>
          <w:szCs w:val="32"/>
          <w:lang w:val="en-US" w:eastAsia="zh-CN"/>
        </w:rPr>
        <w:t>17.17万</w:t>
      </w:r>
      <w:r>
        <w:rPr>
          <w:rFonts w:hint="eastAsia" w:ascii="仿宋_GB2312" w:hAnsi="仿宋_GB2312" w:eastAsia="仿宋_GB2312" w:cs="仿宋_GB2312"/>
          <w:sz w:val="32"/>
          <w:szCs w:val="32"/>
        </w:rPr>
        <w:t>元。</w:t>
      </w:r>
    </w:p>
    <w:p>
      <w:pPr>
        <w:pStyle w:val="7"/>
        <w:keepNext w:val="0"/>
        <w:keepLines w:val="0"/>
        <w:pageBreakBefore w:val="0"/>
        <w:widowControl w:val="0"/>
        <w:numPr>
          <w:ilvl w:val="0"/>
          <w:numId w:val="0"/>
        </w:numPr>
        <w:kinsoku/>
        <w:wordWrap/>
        <w:overflowPunct/>
        <w:topLinePunct w:val="0"/>
        <w:autoSpaceDE/>
        <w:autoSpaceDN/>
        <w:bidi w:val="0"/>
        <w:adjustRightInd/>
        <w:spacing w:beforeLines="0"/>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综合管理情况</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逐步完善财务基础设施、人员，在财务管理过程中逐步建立健全财务管理制度、财务核算制度、财务报销制度等。严格按照国家制定的相关法律法规进行财务工作。逐步的加强了财务人员各个岗位的职能分工，逐步规范了财务行为。</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县财政局在资金使用的过程中，严格按照国家的相关规定合理使用资金，严格按照资金的用途、项目、地区使用资金，严格执行财政部门规定的各项经费开支范围和标准。</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在财务报销的过程中严格贯彻执行国家颁布的相关财务法律法规，严格按照法律规定以完整、合法、经济内容真实有效的原始凭证作为记账依据。严格按照标准的财务报销流程以及完备的财务报销手续进行报账。严格按照规定对原始凭证等会计资料进行归档保存。及时填报各项年度统计报表；在财务管理系统里做到会计核算与财政支出一致，有效的使用了会计电算化软件。</w:t>
      </w:r>
    </w:p>
    <w:p>
      <w:pPr>
        <w:pStyle w:val="7"/>
        <w:keepNext w:val="0"/>
        <w:keepLines w:val="0"/>
        <w:pageBreakBefore w:val="0"/>
        <w:widowControl w:val="0"/>
        <w:kinsoku/>
        <w:wordWrap/>
        <w:overflowPunct/>
        <w:topLinePunct w:val="0"/>
        <w:autoSpaceDE/>
        <w:autoSpaceDN/>
        <w:bidi w:val="0"/>
        <w:adjustRightInd/>
        <w:spacing w:beforeLines="0"/>
        <w:ind w:firstLine="64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县财政局在使用采购资金时手续齐备，采购的固定资产做到了及时登记和入账；严格落实《党政机关厉行节约反对浪费条例》的相关规定，进一步规范了“三公经费”的管理并严格控制了“三公经费”的支出。</w:t>
      </w:r>
    </w:p>
    <w:p>
      <w:pPr>
        <w:pStyle w:val="7"/>
        <w:keepNext w:val="0"/>
        <w:keepLines w:val="0"/>
        <w:pageBreakBefore w:val="0"/>
        <w:widowControl w:val="0"/>
        <w:numPr>
          <w:ilvl w:val="0"/>
          <w:numId w:val="0"/>
        </w:numPr>
        <w:kinsoku/>
        <w:wordWrap/>
        <w:overflowPunct/>
        <w:topLinePunct w:val="0"/>
        <w:autoSpaceDE/>
        <w:autoSpaceDN/>
        <w:bidi w:val="0"/>
        <w:adjustRightInd/>
        <w:spacing w:beforeLines="0"/>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整体绩效</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color w:val="333333"/>
          <w:sz w:val="32"/>
          <w:szCs w:val="21"/>
        </w:rPr>
      </w:pPr>
      <w:r>
        <w:rPr>
          <w:rFonts w:hint="eastAsia" w:ascii="仿宋_GB2312" w:hAnsi="仿宋_GB2312" w:eastAsia="仿宋_GB2312" w:cs="仿宋_GB2312"/>
          <w:kern w:val="0"/>
          <w:sz w:val="32"/>
          <w:szCs w:val="32"/>
          <w:lang w:val="zh-CN" w:eastAsia="zh-CN" w:bidi="ar-SA"/>
        </w:rPr>
        <w:t>我局在财务上进行合理安排和运用，以“认真、严谨、细致”精神，做好一切财务工作，财务“收支两条线”是学校所有财务工作都必须遵循的一个重要的财务纪律，就是所有的财务收入都必须入单位统一的财务账务，所有的支出都必须按单位事先规定的用款手续办理用款，涉及到财政性资金收支内容的还必须按国家财政性资金收支的规定办理预算外资金的财政专户交存、返还和资产购置、日常大宗消耗的政府采购。做好单位的财务票据管理工作就是做好了财务“收支两条线”的源头控制工作。</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rPr>
        <w:t>201</w:t>
      </w:r>
      <w:r>
        <w:rPr>
          <w:rFonts w:hint="eastAsia" w:ascii="仿宋_GB2312" w:hAnsi="仿宋_GB2312" w:eastAsia="仿宋_GB2312" w:cs="仿宋_GB2312"/>
          <w:sz w:val="32"/>
          <w:lang w:val="en-US" w:eastAsia="zh-CN"/>
        </w:rPr>
        <w:t>9</w:t>
      </w:r>
      <w:r>
        <w:rPr>
          <w:rFonts w:hint="eastAsia" w:ascii="仿宋_GB2312" w:hAnsi="仿宋_GB2312" w:eastAsia="仿宋_GB2312" w:cs="仿宋_GB2312"/>
          <w:sz w:val="32"/>
        </w:rPr>
        <w:t>年，县</w:t>
      </w:r>
      <w:r>
        <w:rPr>
          <w:rFonts w:hint="eastAsia" w:ascii="仿宋_GB2312" w:hAnsi="仿宋_GB2312" w:eastAsia="仿宋_GB2312" w:cs="仿宋_GB2312"/>
          <w:sz w:val="32"/>
          <w:lang w:eastAsia="zh-CN"/>
        </w:rPr>
        <w:t>财政局</w:t>
      </w:r>
      <w:r>
        <w:rPr>
          <w:rFonts w:hint="eastAsia" w:ascii="仿宋_GB2312" w:hAnsi="仿宋_GB2312" w:eastAsia="仿宋_GB2312" w:cs="仿宋_GB2312"/>
          <w:sz w:val="32"/>
        </w:rPr>
        <w:t>严格按照国家的法律法规加强预算管理：</w:t>
      </w:r>
      <w:r>
        <w:rPr>
          <w:rFonts w:hint="eastAsia" w:ascii="仿宋_GB2312" w:hAnsi="仿宋_GB2312" w:eastAsia="仿宋_GB2312" w:cs="仿宋_GB2312"/>
          <w:sz w:val="32"/>
          <w:lang w:eastAsia="zh-CN"/>
        </w:rPr>
        <w:t>一是</w:t>
      </w:r>
      <w:r>
        <w:rPr>
          <w:rFonts w:hint="eastAsia" w:ascii="仿宋_GB2312" w:hAnsi="仿宋_GB2312" w:eastAsia="仿宋_GB2312" w:cs="仿宋_GB2312"/>
          <w:sz w:val="32"/>
        </w:rPr>
        <w:t>坚持财政预算管理制度务，做好预算支出及执行情况调度，财政供养人员控制在预算编制以内，编制内在职人员控制率≦100%，“三公”经费预算支出在控制数内；</w:t>
      </w:r>
      <w:r>
        <w:rPr>
          <w:rFonts w:hint="eastAsia" w:ascii="仿宋_GB2312" w:hAnsi="仿宋_GB2312" w:eastAsia="仿宋_GB2312" w:cs="仿宋_GB2312"/>
          <w:sz w:val="32"/>
          <w:lang w:eastAsia="zh-CN"/>
        </w:rPr>
        <w:t>二是</w:t>
      </w:r>
      <w:r>
        <w:rPr>
          <w:rFonts w:hint="eastAsia" w:ascii="仿宋_GB2312" w:hAnsi="仿宋_GB2312" w:eastAsia="仿宋_GB2312" w:cs="仿宋_GB2312"/>
          <w:sz w:val="32"/>
        </w:rPr>
        <w:t>严格财经纪律，严格财务制度，坚持先有预算、后有支出；</w:t>
      </w:r>
      <w:r>
        <w:rPr>
          <w:rFonts w:hint="eastAsia" w:ascii="仿宋_GB2312" w:hAnsi="仿宋_GB2312" w:eastAsia="仿宋_GB2312" w:cs="仿宋_GB2312"/>
          <w:sz w:val="32"/>
          <w:lang w:eastAsia="zh-CN"/>
        </w:rPr>
        <w:t>三是</w:t>
      </w:r>
      <w:r>
        <w:rPr>
          <w:rFonts w:hint="eastAsia" w:ascii="仿宋_GB2312" w:hAnsi="仿宋_GB2312" w:eastAsia="仿宋_GB2312" w:cs="仿宋_GB2312"/>
          <w:sz w:val="32"/>
        </w:rPr>
        <w:t>严格审批程序，坚持对财务每笔开支合法性。这些措施，较好地保证了财务开支和资金使用的合法合规、安全有效。</w:t>
      </w:r>
    </w:p>
    <w:p>
      <w:pPr>
        <w:keepNext w:val="0"/>
        <w:keepLines w:val="0"/>
        <w:pageBreakBefore w:val="0"/>
        <w:widowControl w:val="0"/>
        <w:kinsoku/>
        <w:wordWrap/>
        <w:overflowPunct/>
        <w:topLinePunct w:val="0"/>
        <w:autoSpaceDE/>
        <w:autoSpaceDN/>
        <w:bidi w:val="0"/>
        <w:adjustRightIn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项目绩效目标完成情况。</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2019年本单位无自行开展的和绩效评价要求开展的项目。</w:t>
      </w:r>
    </w:p>
    <w:p>
      <w:pPr>
        <w:keepNext w:val="0"/>
        <w:keepLines w:val="0"/>
        <w:pageBreakBefore w:val="0"/>
        <w:widowControl w:val="0"/>
        <w:numPr>
          <w:ilvl w:val="0"/>
          <w:numId w:val="4"/>
        </w:numPr>
        <w:kinsoku/>
        <w:wordWrap/>
        <w:overflowPunct/>
        <w:topLinePunct w:val="0"/>
        <w:autoSpaceDE/>
        <w:autoSpaceDN/>
        <w:bidi w:val="0"/>
        <w:adjustRightInd/>
        <w:spacing w:line="580" w:lineRule="exact"/>
        <w:ind w:firstLine="643" w:firstLineChars="200"/>
        <w:textAlignment w:val="auto"/>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ascii="仿宋_GB2312" w:hAnsi="Times New Roman" w:eastAsia="仿宋_GB2312" w:cs="Times New Roman"/>
          <w:b/>
          <w:color w:val="000000"/>
          <w:kern w:val="2"/>
          <w:sz w:val="32"/>
          <w:szCs w:val="32"/>
          <w:lang w:val="en-US" w:eastAsia="zh-CN" w:bidi="ar-SA"/>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红原县财政局</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年部门整体支出绩效评价报告》见附件。</w:t>
      </w:r>
    </w:p>
    <w:p>
      <w:pPr>
        <w:pageBreakBefore w:val="0"/>
        <w:widowControl w:val="0"/>
        <w:numPr>
          <w:ilvl w:val="0"/>
          <w:numId w:val="5"/>
        </w:numPr>
        <w:kinsoku/>
        <w:wordWrap/>
        <w:overflowPunct/>
        <w:topLinePunct w:val="0"/>
        <w:bidi w:val="0"/>
        <w:spacing w:line="600" w:lineRule="exact"/>
        <w:ind w:firstLine="663" w:firstLineChars="150"/>
        <w:jc w:val="center"/>
        <w:textAlignment w:val="auto"/>
        <w:outlineLvl w:val="0"/>
        <w:rPr>
          <w:rStyle w:val="27"/>
          <w:rFonts w:ascii="黑体" w:hAnsi="黑体" w:eastAsia="黑体"/>
          <w:b w:val="0"/>
        </w:rPr>
      </w:pPr>
      <w:bookmarkStart w:id="51" w:name="_Toc15396613"/>
      <w:bookmarkStart w:id="52"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1"/>
      <w:bookmarkEnd w:id="52"/>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事业收入：指事业单位开展专业业务活动及辅助活动取得的收入。无。</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经营收入：指事业单位在专业业务活动及其辅助活动之外开展非独立核算经营活动取得的收入。无。</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val="en-US" w:eastAsia="zh-CN"/>
        </w:rPr>
        <w:t>201类20106款财政事务</w:t>
      </w:r>
      <w:r>
        <w:rPr>
          <w:rFonts w:hint="eastAsia" w:ascii="仿宋_GB2312" w:eastAsia="仿宋_GB2312"/>
          <w:color w:val="auto"/>
          <w:sz w:val="32"/>
          <w:szCs w:val="32"/>
          <w:lang w:eastAsia="zh-CN"/>
        </w:rPr>
        <w:t>，</w:t>
      </w:r>
      <w:r>
        <w:rPr>
          <w:rFonts w:hint="eastAsia" w:ascii="仿宋_GB2312" w:eastAsia="仿宋_GB2312"/>
          <w:color w:val="auto"/>
          <w:sz w:val="32"/>
          <w:szCs w:val="32"/>
        </w:rPr>
        <w:t>2010</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01</w:t>
      </w:r>
      <w:r>
        <w:rPr>
          <w:rFonts w:hint="eastAsia" w:ascii="仿宋_GB2312" w:eastAsia="仿宋_GB2312"/>
          <w:color w:val="auto"/>
          <w:sz w:val="32"/>
          <w:szCs w:val="32"/>
          <w:lang w:eastAsia="zh-CN"/>
        </w:rPr>
        <w:t>项指行政运行</w:t>
      </w:r>
      <w:r>
        <w:rPr>
          <w:rFonts w:hint="eastAsia" w:ascii="仿宋_GB2312" w:eastAsia="仿宋_GB2312"/>
          <w:color w:val="auto"/>
          <w:sz w:val="32"/>
          <w:szCs w:val="32"/>
        </w:rPr>
        <w:t>、201060</w:t>
      </w:r>
      <w:r>
        <w:rPr>
          <w:rFonts w:hint="eastAsia" w:ascii="仿宋_GB2312" w:eastAsia="仿宋_GB2312"/>
          <w:color w:val="auto"/>
          <w:sz w:val="32"/>
          <w:szCs w:val="32"/>
          <w:lang w:val="en-US" w:eastAsia="zh-CN"/>
        </w:rPr>
        <w:t>4项</w:t>
      </w:r>
      <w:r>
        <w:rPr>
          <w:rFonts w:hint="eastAsia" w:ascii="仿宋_GB2312" w:eastAsia="仿宋_GB2312"/>
          <w:color w:val="auto"/>
          <w:sz w:val="32"/>
          <w:szCs w:val="32"/>
          <w:lang w:eastAsia="zh-CN"/>
        </w:rPr>
        <w:t>预算改革业务</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2010605财政国库业务、</w:t>
      </w:r>
      <w:r>
        <w:rPr>
          <w:rFonts w:hint="eastAsia" w:ascii="仿宋_GB2312" w:eastAsia="仿宋_GB2312"/>
          <w:color w:val="auto"/>
          <w:sz w:val="32"/>
          <w:szCs w:val="32"/>
        </w:rPr>
        <w:t>2010</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7项指</w:t>
      </w:r>
      <w:r>
        <w:rPr>
          <w:rFonts w:hint="eastAsia" w:ascii="仿宋_GB2312" w:eastAsia="仿宋_GB2312"/>
          <w:color w:val="auto"/>
          <w:sz w:val="32"/>
          <w:szCs w:val="32"/>
          <w:lang w:eastAsia="zh-CN"/>
        </w:rPr>
        <w:t>信息化建设、</w:t>
      </w:r>
      <w:r>
        <w:rPr>
          <w:rFonts w:hint="eastAsia" w:ascii="仿宋_GB2312" w:eastAsia="仿宋_GB2312"/>
          <w:color w:val="auto"/>
          <w:sz w:val="32"/>
          <w:szCs w:val="32"/>
          <w:lang w:val="en-US" w:eastAsia="zh-CN"/>
        </w:rPr>
        <w:t>2010608项指财政委托业务支出、2010650项指事业运行、2010699项指其他财政事务支出</w:t>
      </w:r>
      <w:r>
        <w:rPr>
          <w:rFonts w:hint="eastAsia" w:ascii="仿宋_GB2312" w:eastAsia="仿宋_GB2312"/>
          <w:color w:val="auto"/>
          <w:sz w:val="32"/>
          <w:szCs w:val="32"/>
        </w:rPr>
        <w:t>。</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10</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208类20802款</w:t>
      </w:r>
      <w:r>
        <w:rPr>
          <w:rFonts w:hint="eastAsia" w:ascii="仿宋_GB2312" w:eastAsia="仿宋_GB2312"/>
          <w:color w:val="auto"/>
          <w:sz w:val="32"/>
          <w:szCs w:val="32"/>
        </w:rPr>
        <w:t>2080505</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机关事业单位基本养老保险缴费支出，2080506</w:t>
      </w:r>
      <w:r>
        <w:rPr>
          <w:rFonts w:hint="eastAsia" w:ascii="仿宋_GB2312" w:eastAsia="仿宋_GB2312"/>
          <w:color w:val="auto"/>
          <w:sz w:val="32"/>
          <w:szCs w:val="32"/>
          <w:lang w:eastAsia="zh-CN"/>
        </w:rPr>
        <w:t>指</w:t>
      </w:r>
      <w:r>
        <w:rPr>
          <w:rFonts w:hint="eastAsia" w:ascii="仿宋_GB2312" w:eastAsia="仿宋_GB2312"/>
          <w:color w:val="auto"/>
          <w:sz w:val="32"/>
          <w:szCs w:val="32"/>
        </w:rPr>
        <w:t>机关事业单位职业年金缴费支出</w:t>
      </w:r>
      <w:r>
        <w:rPr>
          <w:rFonts w:hint="eastAsia" w:ascii="仿宋_GB2312" w:eastAsia="仿宋_GB2312"/>
          <w:color w:val="auto"/>
          <w:sz w:val="32"/>
          <w:szCs w:val="32"/>
          <w:lang w:eastAsia="zh-CN"/>
        </w:rPr>
        <w:t>。</w:t>
      </w:r>
    </w:p>
    <w:p>
      <w:pPr>
        <w:pageBreakBefore w:val="0"/>
        <w:widowControl w:val="0"/>
        <w:kinsoku/>
        <w:wordWrap/>
        <w:overflowPunct/>
        <w:topLinePunct w:val="0"/>
        <w:bidi w:val="0"/>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医疗卫生与计划生育：</w:t>
      </w:r>
      <w:r>
        <w:rPr>
          <w:rFonts w:hint="eastAsia" w:ascii="仿宋_GB2312" w:eastAsia="仿宋_GB2312"/>
          <w:color w:val="auto"/>
          <w:sz w:val="32"/>
          <w:szCs w:val="32"/>
          <w:lang w:val="en-US" w:eastAsia="zh-CN"/>
        </w:rPr>
        <w:t>210类21011款</w:t>
      </w:r>
      <w:r>
        <w:rPr>
          <w:rFonts w:hint="eastAsia" w:ascii="仿宋_GB2312" w:eastAsia="仿宋_GB2312"/>
          <w:color w:val="auto"/>
          <w:sz w:val="32"/>
          <w:szCs w:val="32"/>
        </w:rPr>
        <w:t>210</w:t>
      </w:r>
      <w:r>
        <w:rPr>
          <w:rFonts w:hint="eastAsia" w:ascii="仿宋_GB2312" w:eastAsia="仿宋_GB2312"/>
          <w:color w:val="auto"/>
          <w:sz w:val="32"/>
          <w:szCs w:val="32"/>
          <w:lang w:val="en-US" w:eastAsia="zh-CN"/>
        </w:rPr>
        <w:t>1101</w:t>
      </w:r>
      <w:r>
        <w:rPr>
          <w:rFonts w:hint="eastAsia" w:ascii="仿宋_GB2312" w:eastAsia="仿宋_GB2312"/>
          <w:color w:val="auto"/>
          <w:sz w:val="32"/>
          <w:szCs w:val="32"/>
          <w:lang w:eastAsia="zh-CN"/>
        </w:rPr>
        <w:t>项</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2101102项指事业单位医疗、2101103项指公务员医疗补助、2101199项指其他行政事业单位医疗补助。</w:t>
      </w:r>
    </w:p>
    <w:p>
      <w:pPr>
        <w:pageBreakBefore w:val="0"/>
        <w:widowControl w:val="0"/>
        <w:kinsoku/>
        <w:wordWrap/>
        <w:overflowPunct/>
        <w:topLinePunct w:val="0"/>
        <w:bidi w:val="0"/>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12.其他支出：201类99款2019999项其他一般公共服务支出。</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221类22102款</w:t>
      </w:r>
      <w:r>
        <w:rPr>
          <w:rFonts w:hint="eastAsia" w:ascii="仿宋_GB2312" w:eastAsia="仿宋_GB2312"/>
          <w:color w:val="auto"/>
          <w:sz w:val="32"/>
          <w:szCs w:val="32"/>
        </w:rPr>
        <w:t>2210201</w:t>
      </w:r>
      <w:r>
        <w:rPr>
          <w:rFonts w:hint="eastAsia" w:ascii="仿宋_GB2312" w:eastAsia="仿宋_GB2312"/>
          <w:color w:val="auto"/>
          <w:sz w:val="32"/>
          <w:szCs w:val="32"/>
          <w:lang w:eastAsia="zh-CN"/>
        </w:rPr>
        <w:t>项指</w:t>
      </w:r>
      <w:r>
        <w:rPr>
          <w:rFonts w:hint="eastAsia" w:ascii="仿宋_GB2312" w:eastAsia="仿宋_GB2312"/>
          <w:color w:val="auto"/>
          <w:sz w:val="32"/>
          <w:szCs w:val="32"/>
        </w:rPr>
        <w:t>住房公积金。</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pPr>
        <w:pageBreakBefore w:val="0"/>
        <w:widowControl w:val="0"/>
        <w:kinsoku/>
        <w:wordWrap/>
        <w:overflowPunct/>
        <w:topLinePunct w:val="0"/>
        <w:bidi w:val="0"/>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18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pageBreakBefore w:val="0"/>
        <w:widowControl w:val="0"/>
        <w:kinsoku/>
        <w:wordWrap/>
        <w:overflowPunct/>
        <w:topLinePunct w:val="0"/>
        <w:bidi w:val="0"/>
        <w:spacing w:line="560" w:lineRule="exact"/>
        <w:ind w:firstLine="640" w:firstLineChars="200"/>
        <w:textAlignment w:val="auto"/>
        <w:rPr>
          <w:rFonts w:ascii="仿宋_GB2312" w:eastAsia="仿宋_GB2312" w:cs="黑体"/>
          <w:sz w:val="32"/>
          <w:szCs w:val="32"/>
        </w:rPr>
      </w:pPr>
    </w:p>
    <w:p>
      <w:pPr>
        <w:pageBreakBefore w:val="0"/>
        <w:widowControl w:val="0"/>
        <w:kinsoku/>
        <w:wordWrap/>
        <w:overflowPunct/>
        <w:topLinePunct w:val="0"/>
        <w:bidi w:val="0"/>
        <w:spacing w:line="600" w:lineRule="exact"/>
        <w:jc w:val="center"/>
        <w:textAlignment w:val="auto"/>
        <w:outlineLvl w:val="0"/>
        <w:rPr>
          <w:rStyle w:val="27"/>
          <w:rFonts w:ascii="黑体" w:hAnsi="黑体" w:eastAsia="黑体"/>
          <w:b w:val="0"/>
        </w:rPr>
      </w:pPr>
      <w:bookmarkStart w:id="53" w:name="_Toc15396614"/>
      <w:bookmarkStart w:id="54" w:name="_Toc15377226"/>
      <w:r>
        <w:rPr>
          <w:rFonts w:hint="eastAsia" w:ascii="黑体" w:hAnsi="黑体" w:eastAsia="黑体"/>
          <w:color w:val="000000"/>
          <w:sz w:val="44"/>
          <w:szCs w:val="44"/>
        </w:rPr>
        <w:t>第</w:t>
      </w:r>
      <w:r>
        <w:rPr>
          <w:rStyle w:val="27"/>
          <w:rFonts w:hint="eastAsia" w:ascii="黑体" w:hAnsi="黑体" w:eastAsia="黑体"/>
          <w:b w:val="0"/>
        </w:rPr>
        <w:t>四部分 附件</w:t>
      </w:r>
      <w:bookmarkEnd w:id="53"/>
    </w:p>
    <w:p>
      <w:pPr>
        <w:pageBreakBefore w:val="0"/>
        <w:widowControl w:val="0"/>
        <w:kinsoku/>
        <w:wordWrap/>
        <w:overflowPunct/>
        <w:topLinePunct w:val="0"/>
        <w:bidi w:val="0"/>
        <w:spacing w:line="600" w:lineRule="exact"/>
        <w:jc w:val="center"/>
        <w:textAlignment w:val="auto"/>
        <w:outlineLvl w:val="0"/>
        <w:rPr>
          <w:rStyle w:val="27"/>
        </w:rPr>
      </w:pPr>
    </w:p>
    <w:p>
      <w:pPr>
        <w:pStyle w:val="5"/>
        <w:pageBreakBefore w:val="0"/>
        <w:widowControl w:val="0"/>
        <w:kinsoku/>
        <w:wordWrap/>
        <w:overflowPunct/>
        <w:topLinePunct w:val="0"/>
        <w:bidi w:val="0"/>
        <w:textAlignment w:val="auto"/>
        <w:rPr>
          <w:rStyle w:val="27"/>
          <w:rFonts w:ascii="仿宋" w:hAnsi="仿宋" w:eastAsia="仿宋"/>
          <w:b w:val="0"/>
          <w:bCs w:val="0"/>
          <w:sz w:val="32"/>
          <w:szCs w:val="32"/>
        </w:rPr>
      </w:pPr>
      <w:bookmarkStart w:id="55" w:name="_Toc15396615"/>
      <w:r>
        <w:rPr>
          <w:rStyle w:val="27"/>
          <w:rFonts w:hint="eastAsia" w:ascii="仿宋" w:hAnsi="仿宋" w:eastAsia="仿宋"/>
          <w:b w:val="0"/>
          <w:bCs w:val="0"/>
          <w:sz w:val="32"/>
          <w:szCs w:val="32"/>
        </w:rPr>
        <w:t>附件1</w:t>
      </w:r>
      <w:bookmarkEnd w:id="55"/>
    </w:p>
    <w:p>
      <w:pPr>
        <w:pageBreakBefore w:val="0"/>
        <w:widowControl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sz w:val="44"/>
          <w:szCs w:val="44"/>
        </w:rPr>
      </w:pPr>
      <w:bookmarkStart w:id="56" w:name="_Toc15396617"/>
      <w:r>
        <w:rPr>
          <w:rFonts w:hint="eastAsia"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年整体支出绩效报告</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一、单位概况</w:t>
      </w:r>
    </w:p>
    <w:p>
      <w:pPr>
        <w:pStyle w:val="7"/>
        <w:pageBreakBefore w:val="0"/>
        <w:widowControl w:val="0"/>
        <w:kinsoku/>
        <w:wordWrap/>
        <w:overflowPunct/>
        <w:topLinePunct w:val="0"/>
        <w:bidi w:val="0"/>
        <w:adjustRightInd w:val="0"/>
        <w:snapToGrid w:val="0"/>
        <w:spacing w:before="93" w:line="560" w:lineRule="exact"/>
        <w:ind w:firstLine="675" w:firstLineChars="210"/>
        <w:textAlignment w:val="auto"/>
        <w:rPr>
          <w:sz w:val="32"/>
          <w:szCs w:val="32"/>
        </w:rPr>
      </w:pPr>
      <w:r>
        <w:rPr>
          <w:rFonts w:hint="eastAsia" w:ascii="楷体" w:hAnsi="楷体" w:eastAsia="楷体" w:cs="楷体"/>
          <w:b/>
          <w:bCs/>
          <w:sz w:val="32"/>
          <w:szCs w:val="32"/>
        </w:rPr>
        <w:t>（一）机构组成。</w:t>
      </w:r>
      <w:r>
        <w:rPr>
          <w:rFonts w:hint="eastAsia"/>
          <w:sz w:val="32"/>
          <w:szCs w:val="32"/>
        </w:rPr>
        <w:t>红原县财政局下设单位（股室）</w:t>
      </w:r>
      <w:r>
        <w:rPr>
          <w:rFonts w:hint="eastAsia"/>
          <w:sz w:val="32"/>
          <w:szCs w:val="32"/>
          <w:lang w:val="en-US" w:eastAsia="zh-CN"/>
        </w:rPr>
        <w:t>10</w:t>
      </w:r>
      <w:r>
        <w:rPr>
          <w:rFonts w:hint="eastAsia"/>
          <w:sz w:val="32"/>
          <w:szCs w:val="32"/>
        </w:rPr>
        <w:t>个，其中行政单位</w:t>
      </w:r>
      <w:r>
        <w:rPr>
          <w:rFonts w:hint="eastAsia"/>
          <w:sz w:val="32"/>
          <w:szCs w:val="32"/>
          <w:lang w:eastAsia="zh-CN"/>
        </w:rPr>
        <w:t>股室</w:t>
      </w:r>
      <w:r>
        <w:rPr>
          <w:rFonts w:hint="eastAsia"/>
          <w:sz w:val="32"/>
          <w:szCs w:val="32"/>
          <w:lang w:val="en-US" w:eastAsia="zh-CN"/>
        </w:rPr>
        <w:t>6</w:t>
      </w:r>
      <w:r>
        <w:rPr>
          <w:rFonts w:hint="eastAsia"/>
          <w:sz w:val="32"/>
          <w:szCs w:val="32"/>
        </w:rPr>
        <w:t>个，参照公务员法管理的事业单位</w:t>
      </w:r>
      <w:r>
        <w:rPr>
          <w:rFonts w:hint="eastAsia"/>
          <w:sz w:val="32"/>
          <w:szCs w:val="32"/>
          <w:lang w:eastAsia="zh-CN"/>
        </w:rPr>
        <w:t>股室</w:t>
      </w:r>
      <w:r>
        <w:rPr>
          <w:rFonts w:hint="eastAsia"/>
          <w:bCs/>
          <w:sz w:val="32"/>
          <w:szCs w:val="32"/>
          <w:lang w:val="en-US" w:eastAsia="zh-CN"/>
        </w:rPr>
        <w:t>1</w:t>
      </w:r>
      <w:r>
        <w:rPr>
          <w:rFonts w:hint="eastAsia"/>
          <w:sz w:val="32"/>
          <w:szCs w:val="32"/>
        </w:rPr>
        <w:t>个</w:t>
      </w:r>
      <w:r>
        <w:rPr>
          <w:rFonts w:hint="eastAsia"/>
          <w:sz w:val="32"/>
          <w:szCs w:val="32"/>
          <w:lang w:eastAsia="zh-CN"/>
        </w:rPr>
        <w:t>：国库集中支付中心</w:t>
      </w:r>
      <w:r>
        <w:rPr>
          <w:rFonts w:hint="eastAsia"/>
          <w:sz w:val="32"/>
          <w:szCs w:val="32"/>
        </w:rPr>
        <w:t>，其他事业单位</w:t>
      </w:r>
      <w:r>
        <w:rPr>
          <w:rFonts w:hint="eastAsia"/>
          <w:sz w:val="32"/>
          <w:szCs w:val="32"/>
          <w:lang w:eastAsia="zh-CN"/>
        </w:rPr>
        <w:t>股室</w:t>
      </w:r>
      <w:r>
        <w:rPr>
          <w:rFonts w:hint="eastAsia"/>
          <w:sz w:val="32"/>
          <w:szCs w:val="32"/>
          <w:lang w:val="en-US" w:eastAsia="zh-CN"/>
        </w:rPr>
        <w:t>3</w:t>
      </w:r>
      <w:r>
        <w:rPr>
          <w:rFonts w:hint="eastAsia"/>
          <w:sz w:val="32"/>
          <w:szCs w:val="32"/>
        </w:rPr>
        <w:t>个</w:t>
      </w:r>
      <w:r>
        <w:rPr>
          <w:rFonts w:hint="eastAsia"/>
          <w:sz w:val="32"/>
          <w:szCs w:val="32"/>
          <w:lang w:eastAsia="zh-CN"/>
        </w:rPr>
        <w:t>分别</w:t>
      </w:r>
      <w:r>
        <w:rPr>
          <w:rFonts w:hint="eastAsia"/>
          <w:sz w:val="32"/>
          <w:szCs w:val="32"/>
        </w:rPr>
        <w:t>是：</w:t>
      </w:r>
      <w:r>
        <w:rPr>
          <w:rFonts w:hint="eastAsia"/>
          <w:sz w:val="32"/>
          <w:szCs w:val="32"/>
          <w:lang w:eastAsia="zh-CN"/>
        </w:rPr>
        <w:t>网管中心、财政评审中心、国有资产管理中心</w:t>
      </w:r>
      <w:r>
        <w:rPr>
          <w:rFonts w:hint="eastAsia"/>
          <w:sz w:val="32"/>
          <w:szCs w:val="32"/>
        </w:rPr>
        <w:t>。</w:t>
      </w:r>
      <w:r>
        <w:rPr>
          <w:rFonts w:hint="eastAsia"/>
          <w:color w:val="333333"/>
          <w:shd w:val="clear" w:color="auto" w:fill="FFFFFF"/>
        </w:rPr>
        <w:t>　</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1）拟定和执行红原县财政的发展战略、规划、方针政策，分析研究中、长期财政规划执行情况；贯彻执行财政分配政策和财政改革方案；参与宏观经济分析预测和全县重大宏观经济政策的制定；提出运用财税政策实施宏观经济调控和综合平衡全县财力的建议；制定构建地方公共财政体系的政策、制度；指导全县财政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（2）贯彻执行国家财税方面的法律、法规和方针、政策，负责组织起草地方性财税法规草案、实施办法和规章制度并组织实施。管理中央转贷的特种国债。</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（3）承担各项财政收支管理的责任。负责编制年度县级预算草案并组织执行；受县政府委托，向县人民代表大会报告 县本级财政预算及其执行情况，向县人大常委会报告决算；组织制定经费开支标准、定额，负责审核批复部门（单位）的年度预决算。</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（4）负责政府非税收入管理。负责政府性基金管理，按规定管理行政事业性收费。管理财政票据。按规定管理彩票基金。</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（5）组织制定全县国库管理制度、国库集中收付制度，指导和监督国库业务，按规定开展国库现金管理工作。负责制定政府采购制度，监督管理全县政府采购工作。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（6）会同有关部门管理全县社会保障和就业及医疗卫生支出，会同有关部门拟定社会保障资金（基金）的财务管理制度，编制县级社会保障预决算草案。</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（7）负责组织执行政府债务管理制度和政策，制定具体管理办法，负责管理政府债务，防范财政风险。</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8）负责审核和汇总编制全县国有资本经营预决算草案，制定国有资本经营预算的制度和办法，收取县本级企业国有资本收益，组织实施企业财务制度，按规定管理金融类国有资产，参与拟定企业国有资产管理相关制度，按规定管理资产评估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9）负责制定全县行政事业单位国有资产管理规章制度及县级机关事业国有资产收益管理办法并对执行情况进行监督检查，负责县级机关国有资产经营收益财政专户管理工作。制定需要全县同意规定的开支标准和支出政策。</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10）负责办理和监督财政性经济发展支出、政府性投资项目的财政拨款，负责投资评审管理工作，参与拟定政府性建设投资的有关政策，制定基本建设财务制度，负责有关政策性补贴和专项储备资金财务管理工作。负责全县农业综合开发管理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（11）负责管理全县会计工作，监督和规范会计行为，组织实施国家统一会计制度和补充规定；会同有关部门管理会计专业技术职称工作。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（12）负责财政资金绩效评价。监督检查财税政策、法律法规的执行情况，反映财政收支中的重大问题。依法查处重点违反财经纪律的行为。</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（13）制定财政科研计划和教育培训规划；组织财政业务培训；负责财政信息和财政宣传工作；指导全县财政系统抓好精神文明建设和廉政建设，做好财政系统干部职工的思想政治工作。</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color w:val="666666"/>
          <w:kern w:val="0"/>
          <w:sz w:val="32"/>
          <w:szCs w:val="32"/>
        </w:rPr>
      </w:pPr>
      <w:r>
        <w:rPr>
          <w:rFonts w:hint="eastAsia" w:ascii="仿宋_GB2312" w:hAnsi="仿宋_GB2312" w:eastAsia="仿宋_GB2312" w:cs="仿宋_GB2312"/>
          <w:color w:val="000000"/>
          <w:kern w:val="0"/>
          <w:sz w:val="32"/>
          <w:szCs w:val="32"/>
        </w:rPr>
        <w:t>（14）承担县政府公布的有关行政审批事项。</w:t>
      </w:r>
    </w:p>
    <w:p>
      <w:pPr>
        <w:pStyle w:val="32"/>
        <w:pageBreakBefore w:val="0"/>
        <w:widowControl w:val="0"/>
        <w:kinsoku/>
        <w:wordWrap/>
        <w:overflowPunct/>
        <w:topLinePunct w:val="0"/>
        <w:bidi w:val="0"/>
        <w:spacing w:line="576" w:lineRule="exact"/>
        <w:ind w:firstLine="3168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（15）承办县政府交办的其他事项。</w:t>
      </w:r>
    </w:p>
    <w:p>
      <w:pPr>
        <w:pageBreakBefore w:val="0"/>
        <w:widowControl w:val="0"/>
        <w:kinsoku/>
        <w:wordWrap/>
        <w:overflowPunct/>
        <w:topLinePunct w:val="0"/>
        <w:bidi w:val="0"/>
        <w:ind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（三）人员概况。</w:t>
      </w:r>
      <w:r>
        <w:rPr>
          <w:rFonts w:hint="eastAsia" w:ascii="仿宋_GB2312" w:hAnsi="仿宋_GB2312" w:eastAsia="仿宋_GB2312" w:cs="仿宋_GB2312"/>
          <w:color w:val="333333"/>
          <w:kern w:val="0"/>
          <w:sz w:val="32"/>
          <w:szCs w:val="32"/>
        </w:rPr>
        <w:t>我单位为独立核算全额拨款行政单位，截止201</w:t>
      </w:r>
      <w:r>
        <w:rPr>
          <w:rFonts w:hint="eastAsia" w:ascii="仿宋_GB2312" w:hAnsi="仿宋_GB2312" w:eastAsia="仿宋_GB2312" w:cs="仿宋_GB2312"/>
          <w:color w:val="333333"/>
          <w:kern w:val="0"/>
          <w:sz w:val="32"/>
          <w:szCs w:val="32"/>
          <w:lang w:val="en-US" w:eastAsia="zh-CN"/>
        </w:rPr>
        <w:t>9</w:t>
      </w:r>
      <w:r>
        <w:rPr>
          <w:rFonts w:hint="eastAsia" w:ascii="仿宋_GB2312" w:hAnsi="仿宋_GB2312" w:eastAsia="仿宋_GB2312" w:cs="仿宋_GB2312"/>
          <w:color w:val="333333"/>
          <w:kern w:val="0"/>
          <w:sz w:val="32"/>
          <w:szCs w:val="32"/>
        </w:rPr>
        <w:t>年底我单位共有编制</w:t>
      </w:r>
      <w:r>
        <w:rPr>
          <w:rFonts w:hint="eastAsia" w:ascii="仿宋_GB2312" w:hAnsi="仿宋_GB2312" w:eastAsia="仿宋_GB2312" w:cs="仿宋_GB2312"/>
          <w:color w:val="333333"/>
          <w:kern w:val="0"/>
          <w:sz w:val="32"/>
          <w:szCs w:val="32"/>
          <w:lang w:val="en-US" w:eastAsia="zh-CN"/>
        </w:rPr>
        <w:t>42</w:t>
      </w:r>
      <w:r>
        <w:rPr>
          <w:rFonts w:hint="eastAsia" w:ascii="仿宋_GB2312" w:hAnsi="仿宋_GB2312" w:eastAsia="仿宋_GB2312" w:cs="仿宋_GB2312"/>
          <w:color w:val="333333"/>
          <w:kern w:val="0"/>
          <w:sz w:val="32"/>
          <w:szCs w:val="32"/>
        </w:rPr>
        <w:t>个，</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其中公务员编制1</w:t>
      </w:r>
      <w:r>
        <w:rPr>
          <w:rFonts w:hint="eastAsia" w:ascii="仿宋_GB2312" w:hAnsi="仿宋_GB2312" w:eastAsia="仿宋_GB2312" w:cs="仿宋_GB2312"/>
          <w:color w:val="333333"/>
          <w:kern w:val="0"/>
          <w:sz w:val="32"/>
          <w:szCs w:val="32"/>
          <w:lang w:val="en-US" w:eastAsia="zh-CN"/>
        </w:rPr>
        <w:t>4</w:t>
      </w:r>
      <w:r>
        <w:rPr>
          <w:rFonts w:hint="eastAsia" w:ascii="仿宋_GB2312" w:hAnsi="仿宋_GB2312" w:eastAsia="仿宋_GB2312" w:cs="仿宋_GB2312"/>
          <w:color w:val="333333"/>
          <w:kern w:val="0"/>
          <w:sz w:val="32"/>
          <w:szCs w:val="32"/>
        </w:rPr>
        <w:t>个，行政工勤编制2个，事业编制</w:t>
      </w:r>
      <w:r>
        <w:rPr>
          <w:rFonts w:hint="eastAsia" w:ascii="仿宋_GB2312" w:hAnsi="仿宋_GB2312" w:eastAsia="仿宋_GB2312" w:cs="仿宋_GB2312"/>
          <w:color w:val="333333"/>
          <w:kern w:val="0"/>
          <w:sz w:val="32"/>
          <w:szCs w:val="32"/>
          <w:lang w:val="en-US" w:eastAsia="zh-CN"/>
        </w:rPr>
        <w:t>13</w:t>
      </w:r>
      <w:r>
        <w:rPr>
          <w:rFonts w:hint="eastAsia" w:ascii="仿宋_GB2312" w:hAnsi="仿宋_GB2312" w:eastAsia="仿宋_GB2312" w:cs="仿宋_GB2312"/>
          <w:color w:val="333333"/>
          <w:kern w:val="0"/>
          <w:sz w:val="32"/>
          <w:szCs w:val="32"/>
        </w:rPr>
        <w:t>个</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在职3</w:t>
      </w:r>
      <w:r>
        <w:rPr>
          <w:rFonts w:hint="eastAsia" w:ascii="仿宋_GB2312" w:hAnsi="仿宋_GB2312" w:eastAsia="仿宋_GB2312" w:cs="仿宋_GB2312"/>
          <w:color w:val="333333"/>
          <w:kern w:val="0"/>
          <w:sz w:val="32"/>
          <w:szCs w:val="32"/>
          <w:lang w:val="en-US" w:eastAsia="zh-CN"/>
        </w:rPr>
        <w:t>4</w:t>
      </w:r>
      <w:r>
        <w:rPr>
          <w:rFonts w:hint="eastAsia" w:ascii="仿宋_GB2312" w:hAnsi="仿宋_GB2312" w:eastAsia="仿宋_GB2312" w:cs="仿宋_GB2312"/>
          <w:color w:val="333333"/>
          <w:kern w:val="0"/>
          <w:sz w:val="32"/>
          <w:szCs w:val="32"/>
        </w:rPr>
        <w:t>人，</w:t>
      </w:r>
      <w:r>
        <w:rPr>
          <w:rFonts w:hint="eastAsia" w:ascii="仿宋_GB2312" w:hAnsi="仿宋_GB2312" w:eastAsia="仿宋_GB2312" w:cs="仿宋_GB2312"/>
          <w:color w:val="333333"/>
          <w:kern w:val="0"/>
          <w:sz w:val="32"/>
          <w:szCs w:val="32"/>
          <w:lang w:val="en-US" w:eastAsia="zh-CN"/>
        </w:rPr>
        <w:t>(</w:t>
      </w:r>
      <w:r>
        <w:rPr>
          <w:rFonts w:hint="eastAsia" w:ascii="仿宋_GB2312" w:hAnsi="仿宋_GB2312" w:eastAsia="仿宋_GB2312" w:cs="仿宋_GB2312"/>
          <w:color w:val="333333"/>
          <w:kern w:val="0"/>
          <w:sz w:val="32"/>
          <w:szCs w:val="32"/>
        </w:rPr>
        <w:t>其中参公人</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公务员</w:t>
      </w:r>
      <w:r>
        <w:rPr>
          <w:rFonts w:hint="eastAsia" w:ascii="仿宋_GB2312" w:hAnsi="仿宋_GB2312" w:eastAsia="仿宋_GB2312" w:cs="仿宋_GB2312"/>
          <w:color w:val="333333"/>
          <w:kern w:val="0"/>
          <w:sz w:val="32"/>
          <w:szCs w:val="32"/>
          <w:lang w:val="en-US" w:eastAsia="zh-CN"/>
        </w:rPr>
        <w:t>23</w:t>
      </w:r>
      <w:r>
        <w:rPr>
          <w:rFonts w:hint="eastAsia" w:ascii="仿宋_GB2312" w:hAnsi="仿宋_GB2312" w:eastAsia="仿宋_GB2312" w:cs="仿宋_GB2312"/>
          <w:color w:val="333333"/>
          <w:kern w:val="0"/>
          <w:sz w:val="32"/>
          <w:szCs w:val="32"/>
        </w:rPr>
        <w:t>人，事业编制</w:t>
      </w:r>
      <w:r>
        <w:rPr>
          <w:rFonts w:hint="eastAsia" w:ascii="仿宋_GB2312" w:hAnsi="仿宋_GB2312" w:eastAsia="仿宋_GB2312" w:cs="仿宋_GB2312"/>
          <w:color w:val="333333"/>
          <w:kern w:val="0"/>
          <w:sz w:val="32"/>
          <w:szCs w:val="32"/>
          <w:lang w:val="en-US" w:eastAsia="zh-CN"/>
        </w:rPr>
        <w:t>7</w:t>
      </w:r>
      <w:r>
        <w:rPr>
          <w:rFonts w:hint="eastAsia" w:ascii="仿宋_GB2312" w:hAnsi="仿宋_GB2312" w:eastAsia="仿宋_GB2312" w:cs="仿宋_GB2312"/>
          <w:color w:val="333333"/>
          <w:kern w:val="0"/>
          <w:sz w:val="32"/>
          <w:szCs w:val="32"/>
        </w:rPr>
        <w:t>人，工勤</w:t>
      </w:r>
      <w:r>
        <w:rPr>
          <w:rFonts w:hint="eastAsia" w:ascii="仿宋_GB2312" w:hAnsi="仿宋_GB2312" w:eastAsia="仿宋_GB2312" w:cs="仿宋_GB2312"/>
          <w:color w:val="333333"/>
          <w:kern w:val="0"/>
          <w:sz w:val="32"/>
          <w:szCs w:val="32"/>
          <w:lang w:val="en-US" w:eastAsia="zh-CN"/>
        </w:rPr>
        <w:t>4</w:t>
      </w:r>
      <w:r>
        <w:rPr>
          <w:rFonts w:hint="eastAsia" w:ascii="仿宋_GB2312" w:hAnsi="仿宋_GB2312" w:eastAsia="仿宋_GB2312" w:cs="仿宋_GB2312"/>
          <w:color w:val="333333"/>
          <w:kern w:val="0"/>
          <w:sz w:val="32"/>
          <w:szCs w:val="32"/>
        </w:rPr>
        <w:t>人。</w:t>
      </w:r>
      <w:r>
        <w:rPr>
          <w:rFonts w:hint="eastAsia" w:ascii="仿宋_GB2312" w:hAnsi="仿宋_GB2312" w:eastAsia="仿宋_GB2312" w:cs="仿宋_GB2312"/>
          <w:color w:val="333333"/>
          <w:kern w:val="0"/>
          <w:sz w:val="32"/>
          <w:szCs w:val="32"/>
          <w:lang w:val="en-US" w:eastAsia="zh-CN"/>
        </w:rPr>
        <w:t>)</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二、部门财政资金收支情况</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ageBreakBefore w:val="0"/>
        <w:widowControl w:val="0"/>
        <w:kinsoku/>
        <w:wordWrap/>
        <w:overflowPunct/>
        <w:topLinePunct w:val="0"/>
        <w:bidi w:val="0"/>
        <w:ind w:firstLineChars="200"/>
        <w:textAlignment w:val="auto"/>
        <w:rPr>
          <w:rFonts w:hint="eastAsia" w:ascii="仿宋_GB2312" w:eastAsia="仿宋_GB2312"/>
          <w:sz w:val="32"/>
          <w:szCs w:val="32"/>
        </w:rPr>
      </w:pPr>
      <w:r>
        <w:rPr>
          <w:rFonts w:hint="eastAsia" w:ascii="仿宋_GB2312" w:eastAsia="仿宋_GB2312"/>
          <w:sz w:val="32"/>
          <w:szCs w:val="32"/>
        </w:rPr>
        <w:t>本单位201</w:t>
      </w:r>
      <w:r>
        <w:rPr>
          <w:rFonts w:hint="eastAsia" w:ascii="仿宋_GB2312" w:eastAsia="仿宋_GB2312"/>
          <w:sz w:val="32"/>
          <w:szCs w:val="32"/>
          <w:lang w:val="en-US" w:eastAsia="zh-CN"/>
        </w:rPr>
        <w:t>9</w:t>
      </w:r>
      <w:r>
        <w:rPr>
          <w:rFonts w:hint="eastAsia" w:ascii="仿宋_GB2312" w:eastAsia="仿宋_GB2312"/>
          <w:sz w:val="32"/>
          <w:szCs w:val="32"/>
        </w:rPr>
        <w:t>年总收入</w:t>
      </w:r>
      <w:r>
        <w:rPr>
          <w:rFonts w:hint="eastAsia" w:ascii="仿宋_GB2312" w:eastAsia="仿宋_GB2312"/>
          <w:sz w:val="32"/>
          <w:szCs w:val="32"/>
          <w:lang w:val="en-US" w:eastAsia="zh-CN"/>
        </w:rPr>
        <w:t>803.97万</w:t>
      </w:r>
      <w:r>
        <w:rPr>
          <w:rFonts w:hint="eastAsia" w:ascii="仿宋_GB2312" w:eastAsia="仿宋_GB2312"/>
          <w:sz w:val="32"/>
          <w:szCs w:val="32"/>
        </w:rPr>
        <w:t>元，其中财政拨款收入</w:t>
      </w:r>
      <w:r>
        <w:rPr>
          <w:rFonts w:hint="eastAsia" w:ascii="仿宋_GB2312" w:eastAsia="仿宋_GB2312"/>
          <w:sz w:val="32"/>
          <w:szCs w:val="32"/>
          <w:lang w:val="en-US" w:eastAsia="zh-CN"/>
        </w:rPr>
        <w:t>803.97万</w:t>
      </w:r>
      <w:r>
        <w:rPr>
          <w:rFonts w:hint="eastAsia" w:ascii="仿宋_GB2312" w:eastAsia="仿宋_GB2312"/>
          <w:sz w:val="32"/>
          <w:szCs w:val="32"/>
        </w:rPr>
        <w:t>元。</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ageBreakBefore w:val="0"/>
        <w:widowControl w:val="0"/>
        <w:kinsoku/>
        <w:wordWrap/>
        <w:overflowPunct/>
        <w:topLinePunct w:val="0"/>
        <w:bidi w:val="0"/>
        <w:ind w:firstLine="800" w:firstLineChars="25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w:t>
      </w:r>
      <w:r>
        <w:rPr>
          <w:rFonts w:hint="eastAsia" w:ascii="宋体" w:hAnsi="宋体" w:cs="宋体"/>
          <w:color w:val="000000"/>
          <w:sz w:val="32"/>
          <w:szCs w:val="32"/>
          <w:lang w:val="en-US" w:eastAsia="zh-CN"/>
        </w:rPr>
        <w:t>931.24万</w:t>
      </w:r>
      <w:r>
        <w:rPr>
          <w:rFonts w:hint="eastAsia" w:ascii="仿宋_GB2312" w:hAnsi="仿宋_GB2312" w:eastAsia="仿宋_GB2312" w:cs="仿宋_GB2312"/>
          <w:color w:val="000000"/>
          <w:sz w:val="32"/>
          <w:szCs w:val="32"/>
        </w:rPr>
        <w:t>元，基本支出</w:t>
      </w:r>
      <w:r>
        <w:rPr>
          <w:rFonts w:hint="eastAsia" w:ascii="宋体" w:hAnsi="宋体" w:cs="宋体"/>
          <w:color w:val="000000"/>
          <w:sz w:val="32"/>
          <w:szCs w:val="32"/>
          <w:lang w:val="en-US" w:eastAsia="zh-CN"/>
        </w:rPr>
        <w:t>669.28万</w:t>
      </w:r>
      <w:r>
        <w:rPr>
          <w:rFonts w:hint="eastAsia" w:ascii="仿宋_GB2312" w:hAnsi="仿宋_GB2312" w:eastAsia="仿宋_GB2312" w:cs="仿宋_GB2312"/>
          <w:color w:val="000000"/>
          <w:sz w:val="32"/>
          <w:szCs w:val="32"/>
        </w:rPr>
        <w:t>元（其中：住房保障支出</w:t>
      </w:r>
      <w:r>
        <w:rPr>
          <w:rFonts w:hint="eastAsia" w:ascii="仿宋_GB2312" w:hAnsi="仿宋_GB2312" w:eastAsia="仿宋_GB2312" w:cs="仿宋_GB2312"/>
          <w:color w:val="000000"/>
          <w:sz w:val="32"/>
          <w:szCs w:val="32"/>
          <w:lang w:val="en-US" w:eastAsia="zh-CN"/>
        </w:rPr>
        <w:t>45.58万</w:t>
      </w:r>
      <w:r>
        <w:rPr>
          <w:rFonts w:hint="eastAsia" w:ascii="仿宋_GB2312" w:hAnsi="仿宋_GB2312" w:eastAsia="仿宋_GB2312" w:cs="仿宋_GB2312"/>
          <w:color w:val="000000"/>
          <w:sz w:val="32"/>
          <w:szCs w:val="32"/>
        </w:rPr>
        <w:t>元、社会保障和就业支出</w:t>
      </w:r>
      <w:r>
        <w:rPr>
          <w:rFonts w:hint="eastAsia" w:ascii="仿宋_GB2312" w:hAnsi="仿宋_GB2312" w:eastAsia="仿宋_GB2312" w:cs="仿宋_GB2312"/>
          <w:color w:val="000000"/>
          <w:sz w:val="32"/>
          <w:szCs w:val="32"/>
          <w:lang w:val="en-US" w:eastAsia="zh-CN"/>
        </w:rPr>
        <w:t>84.41万</w:t>
      </w:r>
      <w:r>
        <w:rPr>
          <w:rFonts w:hint="eastAsia" w:ascii="仿宋_GB2312" w:hAnsi="仿宋_GB2312" w:eastAsia="仿宋_GB2312" w:cs="仿宋_GB2312"/>
          <w:color w:val="000000"/>
          <w:sz w:val="32"/>
          <w:szCs w:val="32"/>
        </w:rPr>
        <w:t>元、医疗卫生支出</w:t>
      </w:r>
      <w:r>
        <w:rPr>
          <w:rFonts w:hint="eastAsia" w:ascii="宋体" w:hAnsi="宋体" w:cs="宋体"/>
          <w:color w:val="000000"/>
          <w:sz w:val="32"/>
          <w:szCs w:val="32"/>
          <w:lang w:val="en-US" w:eastAsia="zh-CN"/>
        </w:rPr>
        <w:t>32.82万</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261.96万</w:t>
      </w:r>
      <w:r>
        <w:rPr>
          <w:rFonts w:hint="eastAsia" w:ascii="仿宋_GB2312" w:hAnsi="仿宋_GB2312" w:eastAsia="仿宋_GB2312" w:cs="仿宋_GB2312"/>
          <w:color w:val="000000"/>
          <w:sz w:val="32"/>
          <w:szCs w:val="32"/>
        </w:rPr>
        <w:t>元。</w:t>
      </w:r>
    </w:p>
    <w:p>
      <w:pPr>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三、部门财政支出管理情况</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（一）预算编制情况。</w:t>
      </w:r>
    </w:p>
    <w:p>
      <w:pPr>
        <w:keepNext w:val="0"/>
        <w:keepLines w:val="0"/>
        <w:pageBreakBefore w:val="0"/>
        <w:widowControl w:val="0"/>
        <w:kinsoku/>
        <w:wordWrap/>
        <w:overflowPunct/>
        <w:topLinePunct w:val="0"/>
        <w:bidi w:val="0"/>
        <w:spacing w:line="576"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红原县财政局严格按照有关规定编制预算，转移支付资金按照文件要求严格执行，专项转移支付严格依据地区、项目进行编制。</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（二）执行管理情况。</w:t>
      </w:r>
      <w:r>
        <w:rPr>
          <w:rFonts w:hint="eastAsia" w:ascii="楷体" w:hAnsi="楷体" w:eastAsia="楷体" w:cs="楷体"/>
          <w:b/>
          <w:bCs/>
          <w:sz w:val="32"/>
          <w:szCs w:val="32"/>
        </w:rPr>
        <w:tab/>
      </w:r>
    </w:p>
    <w:p>
      <w:pPr>
        <w:keepNext w:val="0"/>
        <w:keepLines w:val="0"/>
        <w:pageBreakBefore w:val="0"/>
        <w:widowControl w:val="0"/>
        <w:kinsoku/>
        <w:wordWrap/>
        <w:overflowPunct/>
        <w:topLinePunct w:val="0"/>
        <w:bidi w:val="0"/>
        <w:spacing w:line="576" w:lineRule="exact"/>
        <w:ind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红原县财政局预算分配严格按照相关规定执行，部门预算执行进度如期完成，并且严格按照预算管理进行支付，严格把控水电费以做到节能降耗，“三公”经费严格按照年初预算执行，并做到有效缩减。</w:t>
      </w:r>
    </w:p>
    <w:p>
      <w:pPr>
        <w:pageBreakBefore w:val="0"/>
        <w:widowControl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_GB2312" w:hAnsi="楷体_GB2312" w:eastAsia="楷体_GB2312" w:cs="楷体_GB2312"/>
          <w:b/>
          <w:bCs/>
          <w:sz w:val="32"/>
          <w:szCs w:val="32"/>
        </w:rPr>
        <w:t>（三）综合管理情况。</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财务管理过程中建立健全财务核算制度、严格执行国家相关财经法规，加强了会计基础工作、逐渐规范了财务管理行为。严格按照《行政单位会计制度》和《行政单位财务规则》的规定设置的会计科目，建立了科学有效的会计核算方式，均真实、合法、准确的反映各项收支活动；建立健全了内控制度，加强和完善了经费收支和财务管理，积极配合各级财政部门开展相关经费的考评工作；本院在资金使用过程中，合理使用各项资金，严格执行各项经费开支范围和标准。对中央、省转移支付资金的使用全部用于与国土事务，并确保专款专用；在账务报销过程中贯彻执行国家颁布的有关财务制度，严格按照《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党政机关厉行节约反对浪费条例》的相关规定，进一步规范了“三公经费”的管理并严格控制了“三公经费”的支出。</w:t>
      </w:r>
    </w:p>
    <w:p>
      <w:pPr>
        <w:pageBreakBefore w:val="0"/>
        <w:widowControl w:val="0"/>
        <w:kinsoku/>
        <w:wordWrap/>
        <w:overflowPunct/>
        <w:topLinePunct w:val="0"/>
        <w:bidi w:val="0"/>
        <w:spacing w:line="560" w:lineRule="exact"/>
        <w:ind w:firstLine="643"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整体绩效。</w:t>
      </w:r>
    </w:p>
    <w:p>
      <w:pPr>
        <w:pageBreakBefore w:val="0"/>
        <w:widowControl w:val="0"/>
        <w:numPr>
          <w:numId w:val="0"/>
        </w:numPr>
        <w:kinsoku/>
        <w:wordWrap/>
        <w:overflowPunct/>
        <w:topLinePunct w:val="0"/>
        <w:bidi w:val="0"/>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绩效目标是预算编制的前提和基础，按照“费随事定”的原则，</w:t>
      </w:r>
      <w:r>
        <w:rPr>
          <w:rFonts w:ascii="仿宋_GB2312" w:eastAsia="仿宋_GB2312"/>
          <w:sz w:val="32"/>
          <w:szCs w:val="32"/>
        </w:rPr>
        <w:t>2019</w:t>
      </w:r>
      <w:r>
        <w:rPr>
          <w:rFonts w:hint="eastAsia" w:ascii="仿宋_GB2312" w:eastAsia="仿宋_GB2312"/>
          <w:sz w:val="32"/>
          <w:szCs w:val="32"/>
        </w:rPr>
        <w:t>年我单位</w:t>
      </w:r>
      <w:r>
        <w:rPr>
          <w:rFonts w:hint="eastAsia" w:ascii="仿宋_GB2312" w:eastAsia="仿宋_GB2312"/>
          <w:sz w:val="32"/>
          <w:szCs w:val="32"/>
          <w:lang w:eastAsia="zh-CN"/>
        </w:rPr>
        <w:t>无预算项目支出，故未编制绩效目标。</w:t>
      </w:r>
    </w:p>
    <w:p>
      <w:pPr>
        <w:pageBreakBefore w:val="0"/>
        <w:widowControl w:val="0"/>
        <w:kinsoku/>
        <w:wordWrap/>
        <w:overflowPunct/>
        <w:topLinePunct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四、评价结论及建议</w:t>
      </w:r>
    </w:p>
    <w:p>
      <w:pPr>
        <w:pageBreakBefore w:val="0"/>
        <w:widowControl w:val="0"/>
        <w:kinsoku/>
        <w:wordWrap/>
        <w:overflowPunct/>
        <w:topLinePunct w:val="0"/>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年红原县部门支出绩效评价指标体系》评分得分</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分，部门整体支出绩效为“</w:t>
      </w:r>
      <w:r>
        <w:rPr>
          <w:rFonts w:hint="eastAsia" w:ascii="仿宋_GB2312" w:hAnsi="仿宋_GB2312" w:eastAsia="仿宋_GB2312" w:cs="仿宋_GB2312"/>
          <w:sz w:val="32"/>
          <w:szCs w:val="32"/>
          <w:lang w:eastAsia="zh-CN"/>
        </w:rPr>
        <w:t>优</w:t>
      </w:r>
      <w:r>
        <w:rPr>
          <w:rFonts w:hint="eastAsia" w:ascii="仿宋_GB2312" w:hAnsi="仿宋_GB2312" w:eastAsia="仿宋_GB2312" w:cs="仿宋_GB2312"/>
          <w:sz w:val="32"/>
          <w:szCs w:val="32"/>
        </w:rPr>
        <w:t>”。</w:t>
      </w:r>
    </w:p>
    <w:p>
      <w:pPr>
        <w:pageBreakBefore w:val="0"/>
        <w:widowControl w:val="0"/>
        <w:kinsoku/>
        <w:wordWrap/>
        <w:overflowPunct/>
        <w:topLinePunct w:val="0"/>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以后能加强内部管理控制制度及相关工作。</w:t>
      </w:r>
    </w:p>
    <w:p>
      <w:pPr>
        <w:pageBreakBefore w:val="0"/>
        <w:widowControl w:val="0"/>
        <w:kinsoku/>
        <w:wordWrap/>
        <w:overflowPunct/>
        <w:topLinePunct w:val="0"/>
        <w:bidi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1.加强组织领导，增强预算编制的准确性，提高对预算编制与执行的认识，为绩效评价工作开展创造更好的条件；</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2.建立长效机制，加强管理提高部门支出的绩效成果，为更好的服务工作发挥最大效益</w:t>
      </w:r>
      <w:r>
        <w:rPr>
          <w:rFonts w:hint="eastAsia" w:ascii="仿宋_GB2312" w:hAnsi="仿宋_GB2312" w:eastAsia="仿宋_GB2312" w:cs="仿宋_GB2312"/>
          <w:sz w:val="32"/>
          <w:szCs w:val="32"/>
          <w:lang w:val="en-US" w:eastAsia="zh-CN"/>
        </w:rPr>
        <w:t>.</w:t>
      </w:r>
    </w:p>
    <w:p>
      <w:pPr>
        <w:pStyle w:val="2"/>
        <w:pageBreakBefore w:val="0"/>
        <w:widowControl w:val="0"/>
        <w:kinsoku/>
        <w:wordWrap/>
        <w:overflowPunct/>
        <w:topLinePunct w:val="0"/>
        <w:bidi w:val="0"/>
        <w:ind w:left="0" w:leftChars="0" w:firstLine="0" w:firstLineChars="0"/>
        <w:textAlignment w:val="auto"/>
        <w:rPr>
          <w:rFonts w:hint="eastAsia" w:ascii="仿宋_GB2312" w:hAnsi="仿宋_GB2312" w:eastAsia="仿宋_GB2312" w:cs="仿宋_GB2312"/>
          <w:sz w:val="32"/>
          <w:szCs w:val="32"/>
          <w:lang w:val="en-US" w:eastAsia="zh-CN"/>
        </w:rPr>
      </w:pPr>
    </w:p>
    <w:p>
      <w:pPr>
        <w:pageBreakBefore w:val="0"/>
        <w:widowControl w:val="0"/>
        <w:kinsoku/>
        <w:wordWrap/>
        <w:overflowPunct/>
        <w:topLinePunct w:val="0"/>
        <w:bidi w:val="0"/>
        <w:spacing w:line="600" w:lineRule="exact"/>
        <w:jc w:val="center"/>
        <w:textAlignment w:val="auto"/>
        <w:outlineLvl w:val="0"/>
        <w:rPr>
          <w:rFonts w:ascii="仿宋" w:hAnsi="仿宋" w:eastAsia="仿宋"/>
          <w:b/>
          <w:color w:val="000000"/>
          <w:sz w:val="44"/>
          <w:szCs w:val="44"/>
        </w:rPr>
      </w:pPr>
      <w:r>
        <w:rPr>
          <w:rFonts w:hint="eastAsia" w:ascii="黑体" w:hAnsi="黑体" w:eastAsia="黑体"/>
          <w:color w:val="000000"/>
          <w:sz w:val="44"/>
          <w:szCs w:val="44"/>
        </w:rPr>
        <w:t>第</w:t>
      </w:r>
      <w:r>
        <w:rPr>
          <w:rStyle w:val="27"/>
          <w:rFonts w:hint="eastAsia" w:ascii="黑体" w:hAnsi="黑体" w:eastAsia="黑体"/>
          <w:b w:val="0"/>
        </w:rPr>
        <w:t>五部分 附表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收入支出决算总表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二、收入总表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三、支出总表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五、财政拨款支出决算明细表（政府经济分类科目）</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p>
    <w:p>
      <w:pPr>
        <w:pageBreakBefore w:val="0"/>
        <w:widowControl w:val="0"/>
        <w:kinsoku/>
        <w:wordWrap/>
        <w:overflowPunct/>
        <w:topLinePunct w:val="0"/>
        <w:bidi w:val="0"/>
        <w:spacing w:line="56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十二、政府性基金预算财政拨款“三公”经费支出决算表</w:t>
      </w:r>
    </w:p>
    <w:p>
      <w:pPr>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十三、国有资本经营预算支出决算表</w:t>
      </w:r>
    </w:p>
    <w:bookmarkEnd w:id="56"/>
    <w:p>
      <w:pPr>
        <w:pageBreakBefore w:val="0"/>
        <w:widowControl w:val="0"/>
        <w:kinsoku/>
        <w:wordWrap/>
        <w:overflowPunct/>
        <w:topLinePunct w:val="0"/>
        <w:bidi w:val="0"/>
        <w:textAlignment w:val="auto"/>
      </w:pPr>
      <w:bookmarkStart w:id="57" w:name="_Toc15396618"/>
    </w:p>
    <w:bookmarkEnd w:id="54"/>
    <w:bookmarkEnd w:id="57"/>
    <w:p>
      <w:pPr>
        <w:pageBreakBefore w:val="0"/>
        <w:widowControl w:val="0"/>
        <w:kinsoku/>
        <w:wordWrap/>
        <w:overflowPunct/>
        <w:topLinePunct w:val="0"/>
        <w:bidi w:val="0"/>
        <w:spacing w:line="600" w:lineRule="exact"/>
        <w:jc w:val="center"/>
        <w:textAlignment w:val="auto"/>
        <w:outlineLvl w:val="0"/>
        <w:rPr>
          <w:rFonts w:hint="eastAsia" w:ascii="黑体" w:hAnsi="黑体" w:eastAsia="黑体"/>
          <w:color w:val="000000"/>
          <w:sz w:val="44"/>
          <w:szCs w:val="44"/>
        </w:rPr>
      </w:pPr>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rFonts w:hint="eastAsia" w:asciiTheme="majorEastAsia" w:hAnsiTheme="majorEastAsia" w:eastAsiaTheme="majorEastAsia" w:cstheme="majorEastAsia"/>
                              <w:sz w:val="28"/>
                              <w:szCs w:val="28"/>
                            </w:rPr>
                            <w:id w:val="-1994781956"/>
                          </w:sdtPr>
                          <w:sdtEndPr>
                            <w:rPr>
                              <w:rFonts w:hint="eastAsia" w:asciiTheme="majorEastAsia" w:hAnsiTheme="majorEastAsia" w:eastAsiaTheme="majorEastAsia" w:cstheme="majorEastAsia"/>
                              <w:sz w:val="28"/>
                              <w:szCs w:val="28"/>
                            </w:rPr>
                          </w:sdtEndPr>
                          <w:sdtContent>
                            <w:p>
                              <w:pPr>
                                <w:pStyle w:val="10"/>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PAGE   \* MERGEFORMAT</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10</w:t>
                              </w:r>
                              <w:r>
                                <w:rPr>
                                  <w:rFonts w:hint="eastAsia" w:asciiTheme="majorEastAsia" w:hAnsiTheme="majorEastAsia" w:eastAsiaTheme="majorEastAsia" w:cstheme="majorEastAsia"/>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sdt>
                    <w:sdtPr>
                      <w:rPr>
                        <w:rFonts w:hint="eastAsia" w:asciiTheme="majorEastAsia" w:hAnsiTheme="majorEastAsia" w:eastAsiaTheme="majorEastAsia" w:cstheme="majorEastAsia"/>
                        <w:sz w:val="28"/>
                        <w:szCs w:val="28"/>
                      </w:rPr>
                      <w:id w:val="-1994781956"/>
                    </w:sdtPr>
                    <w:sdtEndPr>
                      <w:rPr>
                        <w:rFonts w:hint="eastAsia" w:asciiTheme="majorEastAsia" w:hAnsiTheme="majorEastAsia" w:eastAsiaTheme="majorEastAsia" w:cstheme="majorEastAsia"/>
                        <w:sz w:val="28"/>
                        <w:szCs w:val="28"/>
                      </w:rPr>
                    </w:sdtEndPr>
                    <w:sdtContent>
                      <w:p>
                        <w:pPr>
                          <w:pStyle w:val="10"/>
                          <w:jc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PAGE   \* MERGEFORMAT</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10</w:t>
                        </w:r>
                        <w:r>
                          <w:rPr>
                            <w:rFonts w:hint="eastAsia" w:asciiTheme="majorEastAsia" w:hAnsiTheme="majorEastAsia" w:eastAsiaTheme="majorEastAsia" w:cstheme="majorEastAsia"/>
                            <w:sz w:val="28"/>
                            <w:szCs w:val="28"/>
                          </w:rPr>
                          <w:fldChar w:fldCharType="end"/>
                        </w:r>
                      </w:p>
                    </w:sdtContent>
                  </w:sdt>
                  <w:p>
                    <w:pPr>
                      <w:pStyle w:val="2"/>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F7FDA3D"/>
    <w:multiLevelType w:val="singleLevel"/>
    <w:tmpl w:val="5F7FDA3D"/>
    <w:lvl w:ilvl="0" w:tentative="0">
      <w:start w:val="1"/>
      <w:numFmt w:val="decimal"/>
      <w:suff w:val="nothing"/>
      <w:lvlText w:val="%1."/>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D73E8"/>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1D3BCD"/>
    <w:rsid w:val="02542B2C"/>
    <w:rsid w:val="0340396D"/>
    <w:rsid w:val="041925C0"/>
    <w:rsid w:val="04333385"/>
    <w:rsid w:val="047D654F"/>
    <w:rsid w:val="04D27303"/>
    <w:rsid w:val="055712F2"/>
    <w:rsid w:val="083F48D6"/>
    <w:rsid w:val="08926912"/>
    <w:rsid w:val="09635CB0"/>
    <w:rsid w:val="0A364320"/>
    <w:rsid w:val="0BBF0531"/>
    <w:rsid w:val="0D645068"/>
    <w:rsid w:val="0DE94D77"/>
    <w:rsid w:val="0E4D48B0"/>
    <w:rsid w:val="0E76022B"/>
    <w:rsid w:val="0E7A7A28"/>
    <w:rsid w:val="0EA02989"/>
    <w:rsid w:val="0EC73001"/>
    <w:rsid w:val="0ED62A80"/>
    <w:rsid w:val="0F2145D8"/>
    <w:rsid w:val="0F286111"/>
    <w:rsid w:val="107E5216"/>
    <w:rsid w:val="10C055FF"/>
    <w:rsid w:val="10F529AD"/>
    <w:rsid w:val="111D2429"/>
    <w:rsid w:val="1267031B"/>
    <w:rsid w:val="12756A92"/>
    <w:rsid w:val="128C0123"/>
    <w:rsid w:val="12953E24"/>
    <w:rsid w:val="15E35B01"/>
    <w:rsid w:val="160C6C6F"/>
    <w:rsid w:val="16BB723D"/>
    <w:rsid w:val="17E15CC8"/>
    <w:rsid w:val="19B8319A"/>
    <w:rsid w:val="1A3E1D09"/>
    <w:rsid w:val="1B57390D"/>
    <w:rsid w:val="1B8423D4"/>
    <w:rsid w:val="1DEF0160"/>
    <w:rsid w:val="1EA3033A"/>
    <w:rsid w:val="1EFB7A30"/>
    <w:rsid w:val="1FC2331B"/>
    <w:rsid w:val="1FDC23E1"/>
    <w:rsid w:val="21240564"/>
    <w:rsid w:val="227919D9"/>
    <w:rsid w:val="229C0D26"/>
    <w:rsid w:val="232A3CAA"/>
    <w:rsid w:val="23814B2B"/>
    <w:rsid w:val="240371BF"/>
    <w:rsid w:val="242C0721"/>
    <w:rsid w:val="247A558E"/>
    <w:rsid w:val="25B46BBD"/>
    <w:rsid w:val="2682778B"/>
    <w:rsid w:val="284249BE"/>
    <w:rsid w:val="284F6C82"/>
    <w:rsid w:val="28507B9C"/>
    <w:rsid w:val="29FD04D3"/>
    <w:rsid w:val="2BD626E8"/>
    <w:rsid w:val="2D016397"/>
    <w:rsid w:val="2E2754A8"/>
    <w:rsid w:val="2E855986"/>
    <w:rsid w:val="2E8A2C7E"/>
    <w:rsid w:val="2F8249AA"/>
    <w:rsid w:val="2FA9130D"/>
    <w:rsid w:val="2FE83DA5"/>
    <w:rsid w:val="304D0075"/>
    <w:rsid w:val="30A365C4"/>
    <w:rsid w:val="30F55013"/>
    <w:rsid w:val="3122139C"/>
    <w:rsid w:val="319F7F4E"/>
    <w:rsid w:val="323C18B9"/>
    <w:rsid w:val="33551C80"/>
    <w:rsid w:val="34ED38AA"/>
    <w:rsid w:val="35BC6596"/>
    <w:rsid w:val="366165E2"/>
    <w:rsid w:val="3768785A"/>
    <w:rsid w:val="38200C75"/>
    <w:rsid w:val="38512486"/>
    <w:rsid w:val="388803D1"/>
    <w:rsid w:val="398C34A6"/>
    <w:rsid w:val="3ABF06FE"/>
    <w:rsid w:val="3B3A16E3"/>
    <w:rsid w:val="3B4B56A4"/>
    <w:rsid w:val="3B62589C"/>
    <w:rsid w:val="3BCC6C5C"/>
    <w:rsid w:val="3D222D90"/>
    <w:rsid w:val="3D224D86"/>
    <w:rsid w:val="3D5119A8"/>
    <w:rsid w:val="3D7857C1"/>
    <w:rsid w:val="3E8915DA"/>
    <w:rsid w:val="3EA929C4"/>
    <w:rsid w:val="3EAC641E"/>
    <w:rsid w:val="3EB079F2"/>
    <w:rsid w:val="414D0A99"/>
    <w:rsid w:val="41972B35"/>
    <w:rsid w:val="4290675B"/>
    <w:rsid w:val="42D848FA"/>
    <w:rsid w:val="435D72AA"/>
    <w:rsid w:val="4432797F"/>
    <w:rsid w:val="4448321F"/>
    <w:rsid w:val="44C92B69"/>
    <w:rsid w:val="453E098F"/>
    <w:rsid w:val="45BE3A0D"/>
    <w:rsid w:val="46D378E9"/>
    <w:rsid w:val="4723075C"/>
    <w:rsid w:val="47687458"/>
    <w:rsid w:val="48A47A67"/>
    <w:rsid w:val="48E315DF"/>
    <w:rsid w:val="4913251F"/>
    <w:rsid w:val="4926754E"/>
    <w:rsid w:val="49B0585D"/>
    <w:rsid w:val="49ED78CD"/>
    <w:rsid w:val="4BAE2AB8"/>
    <w:rsid w:val="4BCF5B22"/>
    <w:rsid w:val="4C303958"/>
    <w:rsid w:val="4D512913"/>
    <w:rsid w:val="4D595C2C"/>
    <w:rsid w:val="4DDF237F"/>
    <w:rsid w:val="4DE80F6D"/>
    <w:rsid w:val="4ED3630A"/>
    <w:rsid w:val="4F0A7843"/>
    <w:rsid w:val="50090367"/>
    <w:rsid w:val="515F1D52"/>
    <w:rsid w:val="51910358"/>
    <w:rsid w:val="521D76C8"/>
    <w:rsid w:val="524B64EE"/>
    <w:rsid w:val="53754771"/>
    <w:rsid w:val="543872FC"/>
    <w:rsid w:val="55505F0D"/>
    <w:rsid w:val="558C5886"/>
    <w:rsid w:val="56E25FBC"/>
    <w:rsid w:val="57936590"/>
    <w:rsid w:val="57F05C1A"/>
    <w:rsid w:val="582316D2"/>
    <w:rsid w:val="5841582C"/>
    <w:rsid w:val="58716CAC"/>
    <w:rsid w:val="587F18F1"/>
    <w:rsid w:val="58FD319D"/>
    <w:rsid w:val="593F0374"/>
    <w:rsid w:val="59A0353C"/>
    <w:rsid w:val="5BBD7BC6"/>
    <w:rsid w:val="5C7D6378"/>
    <w:rsid w:val="5CCC3D36"/>
    <w:rsid w:val="5E0B217E"/>
    <w:rsid w:val="60527056"/>
    <w:rsid w:val="632450A0"/>
    <w:rsid w:val="64DE3143"/>
    <w:rsid w:val="678451B1"/>
    <w:rsid w:val="67FB54D7"/>
    <w:rsid w:val="6811526A"/>
    <w:rsid w:val="696812D5"/>
    <w:rsid w:val="69B22E51"/>
    <w:rsid w:val="69DE0572"/>
    <w:rsid w:val="6B0813F5"/>
    <w:rsid w:val="6B7F3207"/>
    <w:rsid w:val="6B8E5D57"/>
    <w:rsid w:val="6D770B0D"/>
    <w:rsid w:val="706D21CA"/>
    <w:rsid w:val="70D35E58"/>
    <w:rsid w:val="71296DF4"/>
    <w:rsid w:val="715E4053"/>
    <w:rsid w:val="71615FAB"/>
    <w:rsid w:val="71B15B62"/>
    <w:rsid w:val="74733328"/>
    <w:rsid w:val="751564B1"/>
    <w:rsid w:val="75282356"/>
    <w:rsid w:val="75AB70D3"/>
    <w:rsid w:val="77907998"/>
    <w:rsid w:val="779757A3"/>
    <w:rsid w:val="789E24C2"/>
    <w:rsid w:val="78DA3DAB"/>
    <w:rsid w:val="7BC479BD"/>
    <w:rsid w:val="7C670339"/>
    <w:rsid w:val="7D120213"/>
    <w:rsid w:val="7D6A0693"/>
    <w:rsid w:val="7DB146BC"/>
    <w:rsid w:val="7DFC6E90"/>
    <w:rsid w:val="7E5A1FBC"/>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rPr>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Char"/>
    <w:basedOn w:val="16"/>
    <w:link w:val="4"/>
    <w:qFormat/>
    <w:uiPriority w:val="9"/>
    <w:rPr>
      <w:rFonts w:ascii="Times New Roman" w:hAnsi="Times New Roman"/>
      <w:b/>
      <w:bCs/>
      <w:kern w:val="44"/>
      <w:sz w:val="44"/>
      <w:szCs w:val="44"/>
    </w:rPr>
  </w:style>
  <w:style w:type="character" w:customStyle="1" w:styleId="28">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29">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6"/>
    <w:qFormat/>
    <w:uiPriority w:val="9"/>
    <w:rPr>
      <w:rFonts w:ascii="Times New Roman" w:hAnsi="Times New Roman"/>
      <w:b/>
      <w:bCs/>
      <w:kern w:val="2"/>
      <w:sz w:val="32"/>
      <w:szCs w:val="32"/>
    </w:rPr>
  </w:style>
  <w:style w:type="paragraph" w:customStyle="1" w:styleId="32">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3"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8468;&#20214;.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8468;&#2021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8468;&#2021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38468;&#2021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8468;&#2021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38468;&#202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t>收、支决算总计变动情况表</a:t>
            </a:r>
          </a:p>
        </c:rich>
      </c:tx>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[工作簿3]Sheet1!$B$1:$C$1</c:f>
              <c:strCache>
                <c:ptCount val="2"/>
                <c:pt idx="0">
                  <c:v>收入</c:v>
                </c:pt>
                <c:pt idx="1">
                  <c:v>支出</c:v>
                </c:pt>
              </c:strCache>
            </c:strRef>
          </c:cat>
          <c:val>
            <c:numRef>
              <c:f>[工作簿3]Sheet1!$B$2:$C$2</c:f>
              <c:numCache>
                <c:formatCode>General</c:formatCode>
                <c:ptCount val="2"/>
                <c:pt idx="0">
                  <c:v>803.97</c:v>
                </c:pt>
                <c:pt idx="1">
                  <c:v>931.24</c:v>
                </c:pt>
              </c:numCache>
            </c:numRef>
          </c:val>
        </c:ser>
        <c:ser>
          <c:idx val="1"/>
          <c:order val="1"/>
          <c:tx>
            <c:strRef>
              <c:f>"2018"</c:f>
              <c:strCache>
                <c:ptCount val="1"/>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[工作簿3]Sheet1!$B$1:$C$1</c:f>
              <c:strCache>
                <c:ptCount val="2"/>
                <c:pt idx="0">
                  <c:v>收入</c:v>
                </c:pt>
                <c:pt idx="1">
                  <c:v>支出</c:v>
                </c:pt>
              </c:strCache>
            </c:strRef>
          </c:cat>
          <c:val>
            <c:numRef>
              <c:f>[工作簿3]Sheet1!$B$3:$C$3</c:f>
              <c:numCache>
                <c:formatCode>General</c:formatCode>
                <c:ptCount val="2"/>
                <c:pt idx="0">
                  <c:v>641.08</c:v>
                </c:pt>
                <c:pt idx="1">
                  <c:v>883.4</c:v>
                </c:pt>
              </c:numCache>
            </c:numRef>
          </c:val>
        </c:ser>
        <c:dLbls>
          <c:showLegendKey val="0"/>
          <c:showVal val="1"/>
          <c:showCatName val="0"/>
          <c:showSerName val="0"/>
          <c:showPercent val="0"/>
          <c:showBubbleSize val="0"/>
        </c:dLbls>
        <c:gapWidth val="100"/>
        <c:overlap val="-24"/>
        <c:axId val="100310090"/>
        <c:axId val="227812215"/>
      </c:barChart>
      <c:catAx>
        <c:axId val="100310090"/>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227812215"/>
        <c:crosses val="autoZero"/>
        <c:auto val="1"/>
        <c:lblAlgn val="ctr"/>
        <c:lblOffset val="100"/>
        <c:noMultiLvlLbl val="0"/>
      </c:catAx>
      <c:valAx>
        <c:axId val="22781221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1003100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[附件.xlsx]Sheet1!$A$1</c:f>
              <c:strCache>
                <c:ptCount val="1"/>
                <c:pt idx="0">
                  <c:v>一般公共预算财政拨款收入</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[附件.xlsx]Sheet1!$A$1</c:f>
              <c:strCache>
                <c:ptCount val="1"/>
                <c:pt idx="0">
                  <c:v>一般公共预算财政拨款收入</c:v>
                </c:pt>
              </c:strCache>
            </c:strRef>
          </c:cat>
          <c:val>
            <c:numRef>
              <c:f>[附件.xlsx]Sheet1!$A$2</c:f>
              <c:numCache>
                <c:formatCode>General</c:formatCode>
                <c:ptCount val="1"/>
                <c:pt idx="0">
                  <c:v>803.97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"支出决算结构图"</c:f>
              <c:strCache>
                <c:ptCount val="1"/>
                <c:pt idx="0">
                  <c:v>支出决算结构图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[附件.xlsx]Sheet1!$A$1:$B$1</c:f>
              <c:strCache>
                <c:ptCount val="2"/>
                <c:pt idx="0">
                  <c:v>基本收入</c:v>
                </c:pt>
                <c:pt idx="1">
                  <c:v>项目收入</c:v>
                </c:pt>
              </c:strCache>
            </c:strRef>
          </c:cat>
          <c:val>
            <c:numRef>
              <c:f>[附件.xlsx]Sheet1!$A$2:$B$2</c:f>
              <c:numCache>
                <c:formatCode>General</c:formatCode>
                <c:ptCount val="2"/>
                <c:pt idx="0">
                  <c:v>669.28</c:v>
                </c:pt>
                <c:pt idx="1">
                  <c:v>261.96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0"/>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[附件.xlsx]Sheet1!$A$2</c:f>
              <c:strCache>
                <c:ptCount val="1"/>
                <c:pt idx="0">
                  <c:v>2018</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[附件.xlsx]Sheet1!$B$1:$C$1</c:f>
              <c:strCache>
                <c:ptCount val="2"/>
                <c:pt idx="0">
                  <c:v>财政拨款收入</c:v>
                </c:pt>
                <c:pt idx="1">
                  <c:v>财政拨款支出</c:v>
                </c:pt>
              </c:strCache>
            </c:strRef>
          </c:cat>
          <c:val>
            <c:numRef>
              <c:f>[附件.xlsx]Sheet1!$B$2:$C$2</c:f>
              <c:numCache>
                <c:formatCode>General</c:formatCode>
                <c:ptCount val="2"/>
                <c:pt idx="0">
                  <c:v>601</c:v>
                </c:pt>
                <c:pt idx="1">
                  <c:v>883.42</c:v>
                </c:pt>
              </c:numCache>
            </c:numRef>
          </c:val>
        </c:ser>
        <c:ser>
          <c:idx val="1"/>
          <c:order val="1"/>
          <c:tx>
            <c:strRef>
              <c:f>[附件.xlsx]Sheet1!$A$3</c:f>
              <c:strCache>
                <c:ptCount val="1"/>
                <c:pt idx="0">
                  <c:v>2019</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[附件.xlsx]Sheet1!$B$1:$C$1</c:f>
              <c:strCache>
                <c:ptCount val="2"/>
                <c:pt idx="0">
                  <c:v>财政拨款收入</c:v>
                </c:pt>
                <c:pt idx="1">
                  <c:v>财政拨款支出</c:v>
                </c:pt>
              </c:strCache>
            </c:strRef>
          </c:cat>
          <c:val>
            <c:numRef>
              <c:f>[附件.xlsx]Sheet1!$B$3:$C$3</c:f>
              <c:numCache>
                <c:formatCode>General</c:formatCode>
                <c:ptCount val="2"/>
                <c:pt idx="0">
                  <c:v>803.97</c:v>
                </c:pt>
                <c:pt idx="1">
                  <c:v>931.24</c:v>
                </c:pt>
              </c:numCache>
            </c:numRef>
          </c:val>
        </c:ser>
        <c:dLbls>
          <c:showLegendKey val="0"/>
          <c:showVal val="1"/>
          <c:showCatName val="0"/>
          <c:showSerName val="0"/>
          <c:showPercent val="0"/>
          <c:showBubbleSize val="0"/>
        </c:dLbls>
        <c:gapWidth val="219"/>
        <c:overlap val="-27"/>
        <c:axId val="716192517"/>
        <c:axId val="279723464"/>
      </c:barChart>
      <c:catAx>
        <c:axId val="71619251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723464"/>
        <c:crosses val="autoZero"/>
        <c:auto val="1"/>
        <c:lblAlgn val="ctr"/>
        <c:lblOffset val="100"/>
        <c:noMultiLvlLbl val="0"/>
      </c:catAx>
      <c:valAx>
        <c:axId val="279723464"/>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19251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"一般公共预算财政拨款支出决算变动情况"</c:f>
              <c:strCache>
                <c:ptCount val="1"/>
                <c:pt idx="0">
                  <c:v>一般公共预算财政拨款支出决算变动情况</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{2019}</c:f>
              <c:numCache>
                <c:formatCode>General</c:formatCode>
                <c:ptCount val="1"/>
                <c:pt idx="0">
                  <c:v>2019</c:v>
                </c:pt>
              </c:numCache>
            </c:numRef>
          </c:cat>
          <c:val>
            <c:numRef>
              <c:f>[附件.xlsx]Sheet1!$B$2:$C$2</c:f>
              <c:numCache>
                <c:formatCode>General</c:formatCode>
                <c:ptCount val="2"/>
                <c:pt idx="0">
                  <c:v>883.41</c:v>
                </c:pt>
                <c:pt idx="1">
                  <c:v>931.24</c:v>
                </c:pt>
              </c:numCache>
            </c:numRef>
          </c:val>
        </c:ser>
        <c:dLbls>
          <c:showLegendKey val="0"/>
          <c:showVal val="1"/>
          <c:showCatName val="0"/>
          <c:showSerName val="0"/>
          <c:showPercent val="0"/>
          <c:showBubbleSize val="0"/>
        </c:dLbls>
        <c:gapWidth val="100"/>
        <c:overlap val="-24"/>
        <c:axId val="891095384"/>
        <c:axId val="668486050"/>
      </c:barChart>
      <c:catAx>
        <c:axId val="891095384"/>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8486050"/>
        <c:crosses val="autoZero"/>
        <c:auto val="1"/>
        <c:lblAlgn val="ctr"/>
        <c:lblOffset val="100"/>
        <c:noMultiLvlLbl val="0"/>
      </c:catAx>
      <c:valAx>
        <c:axId val="66848605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10953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normalizeH="0" baseline="0">
                <a:solidFill>
                  <a:schemeClr val="dk1">
                    <a:lumMod val="50000"/>
                    <a:lumOff val="50000"/>
                  </a:schemeClr>
                </a:solidFill>
                <a:latin typeface="+mj-lt"/>
                <a:ea typeface="+mj-ea"/>
                <a:cs typeface="+mj-cs"/>
              </a:defRPr>
            </a:pPr>
            <a:r>
              <a:t>一般公共预算财政拨款支出决算结构</a:t>
            </a:r>
          </a:p>
        </c:rich>
      </c:tx>
      <c:layout/>
      <c:overlay val="0"/>
      <c:spPr>
        <a:noFill/>
        <a:ln>
          <a:noFill/>
        </a:ln>
        <a:effectLst/>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c:explosion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[附件.xlsx]Sheet1!$A$1:$D$1</c:f>
              <c:strCache>
                <c:ptCount val="4"/>
                <c:pt idx="0">
                  <c:v>一般公共服务支出</c:v>
                </c:pt>
                <c:pt idx="1">
                  <c:v>社会保障和就业支出</c:v>
                </c:pt>
                <c:pt idx="2">
                  <c:v>医疗卫生支出</c:v>
                </c:pt>
                <c:pt idx="3">
                  <c:v>住房保障支出</c:v>
                </c:pt>
              </c:strCache>
            </c:strRef>
          </c:cat>
          <c:val>
            <c:numRef>
              <c:f>[附件.xlsx]Sheet1!$A$2:$D$2</c:f>
              <c:numCache>
                <c:formatCode>General</c:formatCode>
                <c:ptCount val="4"/>
                <c:pt idx="0">
                  <c:v>768.34</c:v>
                </c:pt>
                <c:pt idx="1">
                  <c:v>84.41</c:v>
                </c:pt>
                <c:pt idx="2">
                  <c:v>32.82</c:v>
                </c:pt>
                <c:pt idx="3">
                  <c:v>45.58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alpha val="50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tx>
            <c:strRef>
              <c:f>"“三公”经费财政拨款支出结构"</c:f>
              <c:strCache>
                <c:ptCount val="1"/>
                <c:pt idx="0">
                  <c:v>“三公”经费财政拨款支出结构</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[附件.xlsx]Sheet1!$A$1:$C$1</c:f>
              <c:strCache>
                <c:ptCount val="3"/>
                <c:pt idx="0">
                  <c:v>因公出国（境）费</c:v>
                </c:pt>
                <c:pt idx="1">
                  <c:v>公务用车购置及运行维护费</c:v>
                </c:pt>
                <c:pt idx="2">
                  <c:v>公务接待费</c:v>
                </c:pt>
              </c:strCache>
            </c:strRef>
          </c:cat>
          <c:val>
            <c:numRef>
              <c:f>[附件.xlsx]Sheet1!$A$2:$C$2</c:f>
              <c:numCache>
                <c:formatCode>General</c:formatCode>
                <c:ptCount val="3"/>
                <c:pt idx="0">
                  <c:v>0</c:v>
                </c:pt>
                <c:pt idx="1">
                  <c:v>17.17</c:v>
                </c:pt>
                <c:pt idx="2">
                  <c:v>0.4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1</TotalTime>
  <ScaleCrop>false</ScaleCrop>
  <LinksUpToDate>false</LinksUpToDate>
  <CharactersWithSpaces>9641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2020-10-19T07:13:56Z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