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小标宋" w:hAnsi="小标宋" w:eastAsia="小标宋" w:cs="小标宋"/>
          <w:b w:val="0"/>
          <w:bCs/>
          <w:sz w:val="44"/>
          <w:szCs w:val="44"/>
          <w:lang w:eastAsia="zh-CN"/>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政协红原县委员会办公室</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小标宋" w:hAnsi="小标宋" w:eastAsia="小标宋" w:cs="小标宋"/>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仿宋" w:hAnsi="仿宋" w:eastAsia="仿宋" w:cs="仿宋"/>
          <w:b/>
          <w:sz w:val="32"/>
          <w:szCs w:val="32"/>
        </w:rPr>
      </w:pPr>
      <w:r>
        <w:rPr>
          <w:rFonts w:hint="eastAsia" w:ascii="仿宋" w:hAnsi="仿宋" w:eastAsia="仿宋" w:cs="仿宋"/>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一、基本职能及主要工作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lang w:eastAsia="zh-CN"/>
        </w:rPr>
        <w:t>（一）基本职能</w:t>
      </w:r>
    </w:p>
    <w:p>
      <w:pPr>
        <w:pStyle w:val="4"/>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县政协是我县的爱国统一战线的组织，作为中共红原县委的政治协商机构，在我县的政治生活、社会生活、经济建设中发挥着重要作用。县政协机关是县政协的办事机构，承担政协红原县委员会秘书、参谋、服务和联络工作。其主要职责是：</w:t>
      </w:r>
      <w:r>
        <w:rPr>
          <w:rFonts w:hint="eastAsia"/>
          <w:sz w:val="32"/>
          <w:szCs w:val="32"/>
          <w:lang w:val="en-US" w:eastAsia="zh-CN"/>
        </w:rPr>
        <w:t>负责政协红原县委员会全体会议、常委会会议、主席会会议和其他主要会议的组织和会务工作，并组织实施“三个例会”的决议、决定；组织委员视察参观、调查、座谈等日常活动以及各专门委员会的其他工作的组织和服务工作，负责县政协举办各种重大活动的组织、宣传工作；研究统一战线和人民政协的理论、政策，调查研究和了解有关我县各项事业及群众生活的重要问题提出解决办法，供党政机关参考；密切与县委、县人大、县政府有关部门的联系，搞好协调工作，做好上情下达、下情上报工作；负责政协工作的内外宣传、收集、反映各族各界人士的意见、建议；负责管理机关行政、文秘、档案、信访、保密等工作；负责管理政协委员会机关行政、文秘、档案、信访、保密等工作；承担县政协主席、副主席和州政协交办的其他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lang w:eastAsia="zh-CN"/>
        </w:rPr>
        <w:t>（二）202</w:t>
      </w:r>
      <w:r>
        <w:rPr>
          <w:rFonts w:hint="eastAsia" w:ascii="楷体" w:hAnsi="楷体" w:eastAsia="楷体" w:cs="楷体"/>
          <w:b/>
          <w:bCs w:val="0"/>
          <w:sz w:val="32"/>
          <w:szCs w:val="32"/>
          <w:lang w:val="en-US" w:eastAsia="zh-CN"/>
        </w:rPr>
        <w:t>6</w:t>
      </w:r>
      <w:r>
        <w:rPr>
          <w:rFonts w:hint="eastAsia" w:ascii="楷体" w:hAnsi="楷体" w:eastAsia="楷体" w:cs="楷体"/>
          <w:b/>
          <w:bCs w:val="0"/>
          <w:sz w:val="32"/>
          <w:szCs w:val="32"/>
          <w:lang w:eastAsia="zh-CN"/>
        </w:rPr>
        <w:t>年重点工作任务</w:t>
      </w:r>
    </w:p>
    <w:p>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default" w:ascii="Times New Roman" w:hAnsi="Times New Roman" w:eastAsia="方正仿宋_GB2312" w:cs="Times New Roman"/>
          <w:b w:val="0"/>
          <w:bCs w:val="0"/>
          <w:sz w:val="32"/>
          <w:szCs w:val="32"/>
        </w:rPr>
      </w:pPr>
      <w:r>
        <w:rPr>
          <w:rFonts w:hint="eastAsia" w:ascii="Times New Roman" w:hAnsi="Times New Roman" w:eastAsia="方正仿宋_GB2312" w:cs="Times New Roman"/>
          <w:b w:val="0"/>
          <w:bCs w:val="0"/>
          <w:sz w:val="32"/>
          <w:szCs w:val="32"/>
          <w:lang w:val="en-US" w:eastAsia="zh-CN"/>
        </w:rPr>
        <w:t>1.</w:t>
      </w:r>
      <w:r>
        <w:rPr>
          <w:rFonts w:hint="default" w:ascii="Times New Roman" w:hAnsi="Times New Roman" w:eastAsia="方正仿宋_GB2312" w:cs="Times New Roman"/>
          <w:b w:val="0"/>
          <w:bCs w:val="0"/>
          <w:sz w:val="32"/>
          <w:szCs w:val="32"/>
          <w:lang w:val="en-US" w:eastAsia="zh-CN"/>
        </w:rPr>
        <w:t>深化理论武装与“书香政协”建设，聚焦“十五五”规划纲要、高质量发展首要任务等重大部署，推动理论学习与履职实践深度融合，提升委员政治素养与责任担当。健全党的领导融入履职全过程机制，完善团结联谊与思想引领工作体系，加强对无党派人士及各界别群众的政治引导，夯实拥护核心、紧跟核心、捍卫核心的共同思想政治基础。</w:t>
      </w:r>
    </w:p>
    <w:p>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default" w:ascii="Times New Roman" w:hAnsi="Times New Roman" w:eastAsia="方正仿宋_GB2312" w:cs="Times New Roman"/>
          <w:b w:val="0"/>
          <w:bCs w:val="0"/>
          <w:sz w:val="32"/>
          <w:szCs w:val="32"/>
        </w:rPr>
      </w:pPr>
      <w:r>
        <w:rPr>
          <w:rFonts w:hint="eastAsia" w:ascii="Times New Roman" w:hAnsi="Times New Roman" w:eastAsia="方正仿宋_GB2312" w:cs="Times New Roman"/>
          <w:b w:val="0"/>
          <w:bCs w:val="0"/>
          <w:sz w:val="32"/>
          <w:szCs w:val="32"/>
          <w:lang w:val="en-US" w:eastAsia="zh-CN"/>
        </w:rPr>
        <w:t>2.</w:t>
      </w:r>
      <w:r>
        <w:rPr>
          <w:rFonts w:hint="default" w:ascii="Times New Roman" w:hAnsi="Times New Roman" w:eastAsia="方正仿宋_GB2312" w:cs="Times New Roman"/>
          <w:b w:val="0"/>
          <w:bCs w:val="0"/>
          <w:sz w:val="32"/>
          <w:szCs w:val="32"/>
          <w:lang w:val="en-US" w:eastAsia="zh-CN"/>
        </w:rPr>
        <w:t>紧扣“十五五”规划战略部署，围绕经济高质量发展、民生保障与社会治理、生态保护三大重点领域科学谋划协商议题，精准</w:t>
      </w:r>
      <w:r>
        <w:rPr>
          <w:rFonts w:hint="eastAsia" w:ascii="Times New Roman" w:hAnsi="Times New Roman" w:eastAsia="方正仿宋_GB2312" w:cs="Times New Roman"/>
          <w:b w:val="0"/>
          <w:bCs w:val="0"/>
          <w:sz w:val="32"/>
          <w:szCs w:val="32"/>
          <w:lang w:val="en-US" w:eastAsia="zh-CN"/>
        </w:rPr>
        <w:t>掌握</w:t>
      </w:r>
      <w:r>
        <w:rPr>
          <w:rFonts w:hint="default" w:ascii="Times New Roman" w:hAnsi="Times New Roman" w:eastAsia="方正仿宋_GB2312" w:cs="Times New Roman"/>
          <w:b w:val="0"/>
          <w:bCs w:val="0"/>
          <w:sz w:val="32"/>
          <w:szCs w:val="32"/>
          <w:lang w:val="en-US" w:eastAsia="zh-CN"/>
        </w:rPr>
        <w:t>国家发展战略与地方实际需求。突出新质生产力培育、基层治理现代化、营商环境优化等关键方向，立足专门协商机构职能开展精准协商议政。深化“有事来协商·阿隆好商量”</w:t>
      </w:r>
      <w:r>
        <w:rPr>
          <w:rFonts w:hint="eastAsia" w:ascii="Times New Roman" w:hAnsi="Times New Roman" w:eastAsia="方正仿宋_GB2312" w:cs="Times New Roman"/>
          <w:b w:val="0"/>
          <w:bCs w:val="0"/>
          <w:sz w:val="32"/>
          <w:szCs w:val="32"/>
          <w:lang w:val="en-US" w:eastAsia="zh-CN"/>
        </w:rPr>
        <w:t>协商议事</w:t>
      </w:r>
      <w:r>
        <w:rPr>
          <w:rFonts w:hint="default" w:ascii="Times New Roman" w:hAnsi="Times New Roman" w:eastAsia="方正仿宋_GB2312" w:cs="Times New Roman"/>
          <w:b w:val="0"/>
          <w:bCs w:val="0"/>
          <w:sz w:val="32"/>
          <w:szCs w:val="32"/>
          <w:lang w:val="en-US" w:eastAsia="zh-CN"/>
        </w:rPr>
        <w:t>作用，构建多层次、广覆盖、常态化协商格局，增强协商针对性、实效性与包容性，让协商成果更好服务科学决策。</w:t>
      </w:r>
    </w:p>
    <w:p>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default" w:ascii="Times New Roman" w:hAnsi="Times New Roman" w:eastAsia="方正仿宋_GB2312" w:cs="Times New Roman"/>
          <w:b w:val="0"/>
          <w:bCs w:val="0"/>
          <w:sz w:val="32"/>
          <w:szCs w:val="32"/>
        </w:rPr>
      </w:pPr>
      <w:r>
        <w:rPr>
          <w:rFonts w:hint="eastAsia" w:ascii="Times New Roman" w:hAnsi="Times New Roman" w:eastAsia="方正仿宋_GB2312" w:cs="Times New Roman"/>
          <w:b w:val="0"/>
          <w:bCs w:val="0"/>
          <w:sz w:val="32"/>
          <w:szCs w:val="32"/>
          <w:lang w:val="en-US" w:eastAsia="zh-CN"/>
        </w:rPr>
        <w:t>3.</w:t>
      </w:r>
      <w:r>
        <w:rPr>
          <w:rFonts w:hint="default" w:ascii="Times New Roman" w:hAnsi="Times New Roman" w:eastAsia="方正仿宋_GB2312" w:cs="Times New Roman"/>
          <w:b w:val="0"/>
          <w:bCs w:val="0"/>
          <w:sz w:val="32"/>
          <w:szCs w:val="32"/>
          <w:lang w:val="en-US" w:eastAsia="zh-CN"/>
        </w:rPr>
        <w:t>聚焦“十五五”规划实施、重大政策落地、重点项目推进、民生实事办理等关键环节，开展有温度、有力度的协商式监督，助力党和政府决策部署落地见效。推动提案工作从“数量导向”向“质量导向”转变，强化成果转化应用。畅通社情民意表达渠道，健全基层信息收集网络，重点关注群众急难愁盼问题与发展短板弱项，提升信息反映精准度、时效性与影响力，搭建党委政府与群众沟通的“连心桥”。</w:t>
      </w:r>
    </w:p>
    <w:p>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default" w:ascii="Times New Roman" w:hAnsi="Times New Roman" w:eastAsia="方正仿宋_GB2312" w:cs="Times New Roman"/>
          <w:b w:val="0"/>
          <w:bCs w:val="0"/>
          <w:sz w:val="32"/>
          <w:szCs w:val="32"/>
        </w:rPr>
      </w:pPr>
      <w:r>
        <w:rPr>
          <w:rFonts w:hint="eastAsia" w:ascii="Times New Roman" w:hAnsi="Times New Roman" w:eastAsia="方正仿宋_GB2312" w:cs="Times New Roman"/>
          <w:b w:val="0"/>
          <w:bCs w:val="0"/>
          <w:sz w:val="32"/>
          <w:szCs w:val="32"/>
          <w:lang w:val="en-US" w:eastAsia="zh-CN"/>
        </w:rPr>
        <w:t>4.</w:t>
      </w:r>
      <w:r>
        <w:rPr>
          <w:rFonts w:hint="default" w:ascii="Times New Roman" w:hAnsi="Times New Roman" w:eastAsia="方正仿宋_GB2312" w:cs="Times New Roman"/>
          <w:b w:val="0"/>
          <w:bCs w:val="0"/>
          <w:sz w:val="32"/>
          <w:szCs w:val="32"/>
          <w:lang w:val="en-US" w:eastAsia="zh-CN"/>
        </w:rPr>
        <w:t>加强与工商联、非党人士及各界别群众的团结协作，尊重多元诉求、包容不同意见，在求同存异中凝聚共识，在协商交流中汇聚发展合力。拓展民族宗教领域工作，深化群众工作“石榴籽”工程，铸牢中华民族共同体意识。深化对外交往与区域政协交流合作，服务招商引资、招才引智大局。践行“人民政协为人民”理念，开展“服务为民”行动，推动委员下沉基层、联系群众，倾听呼声、反映意愿，助力解决实际问题，增进民生福祉。</w:t>
      </w:r>
    </w:p>
    <w:p>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eastAsia" w:ascii="仿宋" w:hAnsi="仿宋" w:eastAsia="仿宋" w:cs="仿宋"/>
          <w:bCs/>
          <w:sz w:val="32"/>
          <w:szCs w:val="32"/>
          <w:lang w:val="en-US" w:eastAsia="zh-CN"/>
        </w:rPr>
      </w:pPr>
      <w:r>
        <w:rPr>
          <w:rFonts w:hint="eastAsia" w:ascii="Times New Roman" w:hAnsi="Times New Roman" w:eastAsia="方正仿宋_GB2312" w:cs="Times New Roman"/>
          <w:b w:val="0"/>
          <w:bCs w:val="0"/>
          <w:sz w:val="32"/>
          <w:szCs w:val="32"/>
          <w:lang w:val="en-US" w:eastAsia="zh-CN"/>
        </w:rPr>
        <w:t>5.</w:t>
      </w:r>
      <w:r>
        <w:rPr>
          <w:rFonts w:hint="default" w:ascii="Times New Roman" w:hAnsi="Times New Roman" w:eastAsia="方正仿宋_GB2312" w:cs="Times New Roman"/>
          <w:b w:val="0"/>
          <w:bCs w:val="0"/>
          <w:sz w:val="32"/>
          <w:szCs w:val="32"/>
          <w:lang w:val="en-US" w:eastAsia="zh-CN"/>
        </w:rPr>
        <w:t>严格落实换届工作部署要求，严把政治关、素质关、程序关，选优配强委员队伍，为政协事业发展筑牢组织根基。实施委员履职能力提升工程，完善培训、激励、约束机制，强化责任担当、提升履职本领。强化专委会基础性作用，健全工作机制与协同联动模式，提升政协组织规范化、制度化、科学化建设水平。推进宣传与信息化建设，升级履职平台功能，讲好政协故事、传播协商民主理念。持续党建引领，深化党风廉政建设，压紧压实“一岗双责”，支持派驻纪检监察组开展工作，着力打造“委员之家、民主之家、团结之家”。</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二、部门</w:t>
      </w:r>
      <w:r>
        <w:rPr>
          <w:rFonts w:hint="eastAsia" w:ascii="黑体" w:hAnsi="黑体" w:eastAsia="黑体" w:cs="黑体"/>
          <w:sz w:val="32"/>
          <w:szCs w:val="32"/>
          <w:lang w:eastAsia="zh-CN"/>
        </w:rPr>
        <w:t>预算单位构成</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 w:hAnsi="仿宋" w:eastAsia="仿宋" w:cs="仿宋"/>
          <w:sz w:val="32"/>
          <w:szCs w:val="32"/>
        </w:rPr>
      </w:pPr>
      <w:r>
        <w:rPr>
          <w:rFonts w:hint="eastAsia"/>
          <w:sz w:val="32"/>
          <w:szCs w:val="32"/>
          <w:lang w:val="en-US" w:eastAsia="zh-CN"/>
        </w:rPr>
        <w:t>政协红原县委员会办公室</w:t>
      </w:r>
      <w:r>
        <w:rPr>
          <w:rFonts w:hint="eastAsia"/>
          <w:sz w:val="32"/>
          <w:szCs w:val="32"/>
          <w:lang w:eastAsia="zh-CN"/>
        </w:rPr>
        <w:t>下设单位（股室）</w:t>
      </w:r>
      <w:r>
        <w:rPr>
          <w:rFonts w:hint="eastAsia"/>
          <w:sz w:val="32"/>
          <w:szCs w:val="32"/>
          <w:lang w:val="en-US" w:eastAsia="zh-CN"/>
        </w:rPr>
        <w:t>2</w:t>
      </w:r>
      <w:r>
        <w:rPr>
          <w:rFonts w:hint="eastAsia"/>
          <w:sz w:val="32"/>
          <w:szCs w:val="32"/>
        </w:rPr>
        <w:t>个，其中行政单位</w:t>
      </w:r>
      <w:r>
        <w:rPr>
          <w:rFonts w:hint="eastAsia"/>
          <w:sz w:val="32"/>
          <w:szCs w:val="32"/>
          <w:lang w:val="en-US" w:eastAsia="zh-CN"/>
        </w:rPr>
        <w:t>1</w:t>
      </w:r>
      <w:r>
        <w:rPr>
          <w:rFonts w:hint="eastAsia"/>
          <w:sz w:val="32"/>
          <w:szCs w:val="32"/>
        </w:rPr>
        <w:t>个，其他事业单位</w:t>
      </w:r>
      <w:r>
        <w:rPr>
          <w:rFonts w:hint="eastAsia"/>
          <w:sz w:val="32"/>
          <w:szCs w:val="32"/>
          <w:lang w:val="en-US" w:eastAsia="zh-CN"/>
        </w:rPr>
        <w:t>1</w:t>
      </w:r>
      <w:r>
        <w:rPr>
          <w:rFonts w:hint="eastAsia"/>
          <w:sz w:val="32"/>
          <w:szCs w:val="32"/>
        </w:rPr>
        <w:t>个。</w:t>
      </w:r>
      <w:r>
        <w:rPr>
          <w:rFonts w:hint="eastAsia"/>
          <w:sz w:val="32"/>
          <w:szCs w:val="32"/>
          <w:lang w:eastAsia="zh-CN"/>
        </w:rPr>
        <w:t>分别是：</w:t>
      </w:r>
      <w:r>
        <w:rPr>
          <w:rFonts w:hint="eastAsia"/>
          <w:sz w:val="32"/>
          <w:szCs w:val="32"/>
          <w:lang w:val="en-US" w:eastAsia="zh-CN"/>
        </w:rPr>
        <w:t>政协红原县委员会办公室（属</w:t>
      </w:r>
      <w:r>
        <w:rPr>
          <w:rFonts w:hint="eastAsia"/>
          <w:sz w:val="32"/>
          <w:szCs w:val="32"/>
        </w:rPr>
        <w:t>行政单位</w:t>
      </w:r>
      <w:r>
        <w:rPr>
          <w:rFonts w:hint="eastAsia"/>
          <w:sz w:val="32"/>
          <w:szCs w:val="32"/>
          <w:lang w:eastAsia="zh-CN"/>
        </w:rPr>
        <w:t>）</w:t>
      </w:r>
      <w:r>
        <w:rPr>
          <w:rFonts w:hint="eastAsia"/>
          <w:sz w:val="32"/>
          <w:szCs w:val="32"/>
          <w:lang w:val="en-US" w:eastAsia="zh-CN"/>
        </w:rPr>
        <w:t>、红原县政协网络信息服务中心（属公益一类股级事业单位）</w:t>
      </w:r>
      <w:r>
        <w:rPr>
          <w:rFonts w:hint="eastAsia"/>
          <w:sz w:val="32"/>
          <w:szCs w:val="32"/>
          <w:lang w:eastAsia="zh-CN"/>
        </w:rPr>
        <w:t>。</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年政协红原县委员会办公室</w:t>
      </w:r>
      <w:r>
        <w:rPr>
          <w:rFonts w:hint="eastAsia" w:ascii="仿宋" w:hAnsi="仿宋" w:eastAsia="仿宋" w:cs="仿宋"/>
          <w:sz w:val="32"/>
          <w:szCs w:val="32"/>
        </w:rPr>
        <w:t>收入预算总额为</w:t>
      </w:r>
      <w:r>
        <w:rPr>
          <w:rFonts w:hint="eastAsia" w:ascii="仿宋" w:hAnsi="仿宋" w:eastAsia="仿宋" w:cs="仿宋"/>
          <w:sz w:val="32"/>
          <w:szCs w:val="32"/>
          <w:lang w:val="en-US" w:eastAsia="zh-CN"/>
        </w:rPr>
        <w:t>747.48</w:t>
      </w:r>
      <w:r>
        <w:rPr>
          <w:rFonts w:hint="eastAsia" w:ascii="仿宋" w:hAnsi="仿宋" w:eastAsia="仿宋" w:cs="仿宋"/>
          <w:sz w:val="32"/>
          <w:szCs w:val="32"/>
        </w:rPr>
        <w:t>万元，其中：当年财政拨款收入</w:t>
      </w:r>
      <w:r>
        <w:rPr>
          <w:rFonts w:hint="eastAsia" w:ascii="仿宋" w:hAnsi="仿宋" w:eastAsia="仿宋" w:cs="仿宋"/>
          <w:sz w:val="32"/>
          <w:szCs w:val="32"/>
          <w:lang w:val="en-US" w:eastAsia="zh-CN"/>
        </w:rPr>
        <w:t>747.48</w:t>
      </w:r>
      <w:r>
        <w:rPr>
          <w:rFonts w:hint="eastAsia" w:ascii="仿宋" w:hAnsi="仿宋" w:eastAsia="仿宋" w:cs="仿宋"/>
          <w:sz w:val="32"/>
          <w:szCs w:val="32"/>
        </w:rPr>
        <w:t>万元。相应安排支出预算</w:t>
      </w:r>
      <w:r>
        <w:rPr>
          <w:rFonts w:hint="eastAsia" w:ascii="仿宋" w:hAnsi="仿宋" w:eastAsia="仿宋" w:cs="仿宋"/>
          <w:sz w:val="32"/>
          <w:szCs w:val="32"/>
          <w:lang w:val="en-US" w:eastAsia="zh-CN"/>
        </w:rPr>
        <w:t>747.48</w:t>
      </w:r>
      <w:r>
        <w:rPr>
          <w:rFonts w:hint="eastAsia" w:ascii="仿宋" w:hAnsi="仿宋" w:eastAsia="仿宋" w:cs="仿宋"/>
          <w:sz w:val="32"/>
          <w:szCs w:val="32"/>
        </w:rPr>
        <w:t>万元，其中：一般公共服务</w:t>
      </w:r>
      <w:r>
        <w:rPr>
          <w:rFonts w:hint="eastAsia" w:ascii="仿宋" w:hAnsi="仿宋" w:eastAsia="仿宋" w:cs="仿宋"/>
          <w:sz w:val="32"/>
          <w:szCs w:val="32"/>
          <w:lang w:val="en-US" w:eastAsia="zh-CN"/>
        </w:rPr>
        <w:t>584.09</w:t>
      </w:r>
      <w:r>
        <w:rPr>
          <w:rFonts w:hint="eastAsia" w:ascii="仿宋" w:hAnsi="仿宋" w:eastAsia="仿宋" w:cs="仿宋"/>
          <w:sz w:val="32"/>
          <w:szCs w:val="32"/>
        </w:rPr>
        <w:t>万元，社会保障和就业</w:t>
      </w:r>
      <w:r>
        <w:rPr>
          <w:rFonts w:hint="eastAsia" w:ascii="仿宋" w:hAnsi="仿宋" w:eastAsia="仿宋" w:cs="仿宋"/>
          <w:sz w:val="32"/>
          <w:szCs w:val="32"/>
          <w:lang w:val="en-US" w:eastAsia="zh-CN"/>
        </w:rPr>
        <w:t>84.07</w:t>
      </w:r>
      <w:r>
        <w:rPr>
          <w:rFonts w:hint="eastAsia" w:ascii="仿宋" w:hAnsi="仿宋" w:eastAsia="仿宋" w:cs="仿宋"/>
          <w:sz w:val="32"/>
          <w:szCs w:val="32"/>
        </w:rPr>
        <w:t>万元，医疗卫生</w:t>
      </w:r>
      <w:r>
        <w:rPr>
          <w:rFonts w:hint="eastAsia" w:ascii="仿宋" w:hAnsi="仿宋" w:eastAsia="仿宋" w:cs="仿宋"/>
          <w:sz w:val="32"/>
          <w:szCs w:val="32"/>
          <w:lang w:val="en-US" w:eastAsia="zh-CN"/>
        </w:rPr>
        <w:t>33.37</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45.95</w:t>
      </w:r>
      <w:r>
        <w:rPr>
          <w:rFonts w:hint="eastAsia" w:ascii="仿宋" w:hAnsi="仿宋" w:eastAsia="仿宋" w:cs="仿宋"/>
          <w:sz w:val="32"/>
          <w:szCs w:val="32"/>
        </w:rPr>
        <w:t>万元。</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政协红原县委员会办公室</w:t>
      </w:r>
      <w:r>
        <w:rPr>
          <w:rFonts w:hint="eastAsia" w:ascii="仿宋" w:hAnsi="仿宋" w:eastAsia="仿宋" w:cs="仿宋"/>
          <w:sz w:val="32"/>
          <w:szCs w:val="32"/>
        </w:rPr>
        <w:t>预算安排支出主要用于保障该部门机构正常运转、完成日常工作任务以及承担</w:t>
      </w:r>
      <w:r>
        <w:rPr>
          <w:rFonts w:hint="eastAsia" w:ascii="仿宋" w:hAnsi="仿宋" w:eastAsia="仿宋" w:cs="仿宋"/>
          <w:sz w:val="32"/>
          <w:szCs w:val="32"/>
          <w:lang w:val="en-US" w:eastAsia="zh-CN"/>
        </w:rPr>
        <w:t>红原县政协</w:t>
      </w:r>
      <w:r>
        <w:rPr>
          <w:rFonts w:hint="eastAsia" w:ascii="仿宋" w:hAnsi="仿宋" w:eastAsia="仿宋" w:cs="仿宋"/>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基本支出</w:t>
      </w:r>
      <w:r>
        <w:rPr>
          <w:rFonts w:hint="eastAsia" w:ascii="仿宋" w:hAnsi="仿宋" w:eastAsia="仿宋" w:cs="仿宋"/>
          <w:sz w:val="32"/>
          <w:szCs w:val="32"/>
          <w:lang w:val="en-US" w:eastAsia="zh-CN"/>
        </w:rPr>
        <w:t>645.43</w:t>
      </w:r>
      <w:r>
        <w:rPr>
          <w:rFonts w:hint="eastAsia" w:ascii="仿宋" w:hAnsi="仿宋" w:eastAsia="仿宋" w:cs="仿宋"/>
          <w:sz w:val="32"/>
          <w:szCs w:val="32"/>
          <w:lang w:eastAsia="zh-CN"/>
        </w:rPr>
        <w:t>万元</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其中人员经费支出</w:t>
      </w:r>
      <w:r>
        <w:rPr>
          <w:rFonts w:hint="eastAsia" w:ascii="仿宋" w:hAnsi="仿宋" w:eastAsia="仿宋" w:cs="仿宋"/>
          <w:sz w:val="32"/>
          <w:szCs w:val="32"/>
          <w:lang w:val="en-US" w:eastAsia="zh-CN"/>
        </w:rPr>
        <w:t>577.59万元，机关运行经费67.84万元，其中：办公费12.6万元，邮电费1万元，差旅费5.07万元，培训费1.42万元，公务接待费1.5万元，劳务费3万元，工会经费4.21万元，公务用车运行维护费23.2万元，</w:t>
      </w:r>
      <w:r>
        <w:rPr>
          <w:rFonts w:hint="eastAsia" w:ascii="仿宋_GB2312" w:eastAsia="仿宋_GB2312"/>
          <w:sz w:val="32"/>
          <w:szCs w:val="32"/>
          <w:lang w:val="en-US" w:eastAsia="zh-CN"/>
        </w:rPr>
        <w:t>其他商品和服务支出15.84万元。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（一）一般公共服务</w:t>
      </w:r>
      <w:r>
        <w:rPr>
          <w:rFonts w:hint="eastAsia" w:ascii="仿宋" w:hAnsi="仿宋" w:eastAsia="仿宋" w:cs="仿宋"/>
          <w:sz w:val="32"/>
          <w:szCs w:val="32"/>
          <w:lang w:val="en-US" w:eastAsia="zh-CN"/>
        </w:rPr>
        <w:t>584.09</w:t>
      </w:r>
      <w:r>
        <w:rPr>
          <w:rFonts w:hint="eastAsia" w:ascii="仿宋" w:hAnsi="仿宋" w:eastAsia="仿宋" w:cs="仿宋"/>
          <w:sz w:val="32"/>
          <w:szCs w:val="32"/>
          <w:lang w:eastAsia="zh-CN"/>
        </w:rPr>
        <w:t>万元</w:t>
      </w:r>
      <w:r>
        <w:rPr>
          <w:rFonts w:hint="eastAsia" w:ascii="仿宋" w:hAnsi="仿宋" w:eastAsia="仿宋" w:cs="仿宋"/>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（二）社会保障和就业</w:t>
      </w:r>
      <w:r>
        <w:rPr>
          <w:rFonts w:hint="eastAsia" w:ascii="仿宋" w:hAnsi="仿宋" w:eastAsia="仿宋" w:cs="仿宋"/>
          <w:sz w:val="32"/>
          <w:szCs w:val="32"/>
          <w:lang w:val="en-US" w:eastAsia="zh-CN"/>
        </w:rPr>
        <w:t>84.07</w:t>
      </w:r>
      <w:r>
        <w:rPr>
          <w:rFonts w:hint="eastAsia" w:ascii="仿宋" w:hAnsi="仿宋" w:eastAsia="仿宋" w:cs="仿宋"/>
          <w:sz w:val="32"/>
          <w:szCs w:val="32"/>
          <w:lang w:eastAsia="zh-CN"/>
        </w:rPr>
        <w:t>万元</w:t>
      </w:r>
      <w:r>
        <w:rPr>
          <w:rFonts w:hint="eastAsia" w:ascii="仿宋" w:hAnsi="仿宋" w:eastAsia="仿宋" w:cs="仿宋"/>
          <w:sz w:val="32"/>
          <w:szCs w:val="32"/>
        </w:rPr>
        <w:t>，主要用于机关及下属事业单位</w:t>
      </w:r>
      <w:r>
        <w:rPr>
          <w:rFonts w:hint="eastAsia" w:ascii="仿宋" w:hAnsi="仿宋" w:eastAsia="仿宋" w:cs="仿宋"/>
          <w:sz w:val="32"/>
          <w:szCs w:val="32"/>
          <w:lang w:eastAsia="zh-CN"/>
        </w:rPr>
        <w:t>养老保险及职业年金缴费</w:t>
      </w:r>
      <w:r>
        <w:rPr>
          <w:rFonts w:hint="eastAsia" w:ascii="仿宋" w:hAnsi="仿宋" w:eastAsia="仿宋" w:cs="仿宋"/>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（三）医疗卫生</w:t>
      </w:r>
      <w:r>
        <w:rPr>
          <w:rFonts w:hint="eastAsia" w:ascii="仿宋" w:hAnsi="仿宋" w:eastAsia="仿宋" w:cs="仿宋"/>
          <w:sz w:val="32"/>
          <w:szCs w:val="32"/>
          <w:lang w:val="en-US" w:eastAsia="zh-CN"/>
        </w:rPr>
        <w:t>33.37</w:t>
      </w:r>
      <w:r>
        <w:rPr>
          <w:rFonts w:hint="eastAsia" w:ascii="仿宋" w:hAnsi="仿宋" w:eastAsia="仿宋" w:cs="仿宋"/>
          <w:sz w:val="32"/>
          <w:szCs w:val="32"/>
          <w:lang w:eastAsia="zh-CN"/>
        </w:rPr>
        <w:t>万元</w:t>
      </w:r>
      <w:r>
        <w:rPr>
          <w:rFonts w:hint="eastAsia" w:ascii="仿宋" w:hAnsi="仿宋" w:eastAsia="仿宋" w:cs="仿宋"/>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（四）住房保障支出</w:t>
      </w:r>
      <w:r>
        <w:rPr>
          <w:rFonts w:hint="eastAsia" w:ascii="仿宋" w:hAnsi="仿宋" w:eastAsia="仿宋" w:cs="仿宋"/>
          <w:sz w:val="32"/>
          <w:szCs w:val="32"/>
          <w:lang w:val="en-US" w:eastAsia="zh-CN"/>
        </w:rPr>
        <w:t>45.95</w:t>
      </w:r>
      <w:r>
        <w:rPr>
          <w:rFonts w:hint="eastAsia" w:ascii="仿宋" w:hAnsi="仿宋" w:eastAsia="仿宋" w:cs="仿宋"/>
          <w:sz w:val="32"/>
          <w:szCs w:val="32"/>
          <w:lang w:eastAsia="zh-CN"/>
        </w:rPr>
        <w:t>万元</w:t>
      </w:r>
      <w:r>
        <w:rPr>
          <w:rFonts w:hint="eastAsia" w:ascii="仿宋" w:hAnsi="仿宋" w:eastAsia="仿宋" w:cs="仿宋"/>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五、较上年度增减变化</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年度预算拨款收入747.48万元较上年度预算762.92万元减少了2.02%，其中基本行政运行经费预算645.43万元，占全部总预算的86.35%，较上年672.87万元减少了4.08%，原因为压缩各项开支，减少基本支出；专项业务工作经费预算102.05万元，占总预算的13.65%，较上年预算90.05万元增加了13.33%，主要原因为本年度将历年需追加的“书香政协”、“委员联络站运行”等专项工作经费纳入预算，增加相关支出。</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 w:hAnsi="仿宋" w:eastAsia="仿宋" w:cs="仿宋"/>
          <w:sz w:val="32"/>
          <w:szCs w:val="32"/>
          <w:lang w:val="en-US" w:eastAsia="zh-CN"/>
        </w:rPr>
        <w:t>本年度三公经费预算安排支出为34.7万元，其中：出国费0万元，与上年持平，主要原因为未安排因公出国；公车购置费0元，与上年持平；公务用车维护费支出33.2万元，较上年度预算增加10万元，主要原因为本年度专项工作用车较多，燃油支出增加，加之车辆老化，维修保养成本逐年攀升；公务接待费1.5万元，与上年度预算持平，主要原因为</w:t>
      </w:r>
      <w:r>
        <w:rPr>
          <w:rFonts w:hint="eastAsia" w:ascii="仿宋_GB2312" w:eastAsia="仿宋_GB2312"/>
          <w:sz w:val="32"/>
          <w:szCs w:val="32"/>
          <w:lang w:val="en-US" w:eastAsia="zh-CN"/>
        </w:rPr>
        <w:t>严格遵守相关规定，控制公务接待的数量、规模和标准。本年度我们将严格执行“八项规定、六项禁令”，结合本年度工作需要，减少不必要的开支。</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2026年无使用政府性基金预算拨款安排的支出</w:t>
      </w:r>
      <w:r>
        <w:rPr>
          <w:rFonts w:hint="eastAsia" w:ascii="仿宋" w:hAnsi="仿宋" w:eastAsia="仿宋" w:cs="仿宋"/>
          <w:sz w:val="32"/>
          <w:szCs w:val="32"/>
        </w:rPr>
        <w:t>。</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2026年无使用国有资本经营预算拨款安排的支出。</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仿宋" w:hAnsi="仿宋" w:eastAsia="仿宋" w:cs="仿宋"/>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（一）政府采购预算情况</w:t>
      </w:r>
      <w:r>
        <w:rPr>
          <w:rFonts w:hint="eastAsia" w:ascii="仿宋" w:hAnsi="仿宋" w:eastAsia="仿宋" w:cs="仿宋"/>
          <w:b/>
          <w:bCs/>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2026年度未安排政府采购预算。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楷体" w:hAnsi="楷体" w:eastAsia="楷体" w:cs="楷体"/>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 xml:space="preserve">（二）政府财政国有资产占用情况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截止2025年底，实际共有固定资产价值70.46</w:t>
      </w:r>
      <w:r>
        <w:rPr>
          <w:rFonts w:hint="eastAsia" w:ascii="仿宋" w:hAnsi="仿宋" w:eastAsia="仿宋" w:cs="仿宋"/>
          <w:sz w:val="32"/>
          <w:szCs w:val="32"/>
          <w:lang w:eastAsia="zh-CN"/>
        </w:rPr>
        <w:t>万元：其中：公务用车</w:t>
      </w:r>
      <w:r>
        <w:rPr>
          <w:rFonts w:hint="eastAsia" w:ascii="仿宋" w:hAnsi="仿宋" w:eastAsia="仿宋" w:cs="仿宋"/>
          <w:sz w:val="32"/>
          <w:szCs w:val="32"/>
          <w:lang w:val="en-US" w:eastAsia="zh-CN"/>
        </w:rPr>
        <w:t>38.69</w:t>
      </w:r>
      <w:r>
        <w:rPr>
          <w:rFonts w:hint="eastAsia" w:ascii="仿宋" w:hAnsi="仿宋" w:eastAsia="仿宋" w:cs="仿宋"/>
          <w:sz w:val="32"/>
          <w:szCs w:val="32"/>
          <w:lang w:eastAsia="zh-CN"/>
        </w:rPr>
        <w:t>万元，</w:t>
      </w:r>
      <w:r>
        <w:rPr>
          <w:rFonts w:hint="eastAsia" w:ascii="仿宋_GB2312" w:eastAsia="仿宋_GB2312"/>
          <w:sz w:val="32"/>
          <w:szCs w:val="32"/>
          <w:lang w:val="en-US" w:eastAsia="zh-CN"/>
        </w:rPr>
        <w:t>通用设备10.32万元；家具和用具21.44万元。无形资产0.44万元</w:t>
      </w:r>
      <w:r>
        <w:rPr>
          <w:rFonts w:hint="eastAsia" w:ascii="仿宋" w:hAnsi="仿宋" w:eastAsia="仿宋" w:cs="仿宋"/>
          <w:sz w:val="32"/>
          <w:szCs w:val="32"/>
          <w:lang w:val="en-US"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楷体" w:hAnsi="楷体" w:eastAsia="楷体" w:cs="楷体"/>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绩效目标是预算编制的前提和基础，按照“费随事定”的原则，2026年我单位项目支出按要求编制了绩效目标，从项目完成、项目效益、满意度等方面做了测评</w:t>
      </w:r>
      <w:bookmarkStart w:id="0" w:name="_GoBack"/>
      <w:bookmarkEnd w:id="0"/>
      <w:r>
        <w:rPr>
          <w:rFonts w:hint="eastAsia" w:ascii="仿宋" w:hAnsi="仿宋" w:eastAsia="仿宋" w:cs="仿宋"/>
          <w:sz w:val="32"/>
          <w:szCs w:val="32"/>
          <w:lang w:val="en-US" w:eastAsia="zh-CN"/>
        </w:rPr>
        <w:t>。</w:t>
      </w:r>
    </w:p>
    <w:p>
      <w:pPr>
        <w:keepNext w:val="0"/>
        <w:keepLines w:val="0"/>
        <w:pageBreakBefore w:val="0"/>
        <w:kinsoku/>
        <w:wordWrap/>
        <w:overflowPunct/>
        <w:topLinePunct w:val="0"/>
        <w:autoSpaceDE/>
        <w:autoSpaceDN/>
        <w:bidi w:val="0"/>
        <w:spacing w:line="560" w:lineRule="exact"/>
        <w:ind w:left="638" w:leftChars="304" w:right="0" w:rightChars="0" w:firstLine="0" w:firstLineChars="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十、名词解释</w:t>
      </w:r>
      <w:r>
        <w:rPr>
          <w:rFonts w:hint="eastAsia" w:ascii="黑体" w:hAnsi="黑体" w:eastAsia="黑体" w:cs="黑体"/>
          <w:sz w:val="32"/>
          <w:szCs w:val="32"/>
          <w:lang w:val="en-US" w:eastAsia="zh-CN"/>
        </w:rPr>
        <w:br w:type="textWrapping"/>
      </w:r>
      <w:r>
        <w:rPr>
          <w:rFonts w:hint="eastAsia" w:ascii="仿宋" w:hAnsi="仿宋" w:eastAsia="仿宋" w:cs="仿宋"/>
          <w:sz w:val="32"/>
          <w:szCs w:val="32"/>
          <w:lang w:val="en-US" w:eastAsia="zh-CN"/>
        </w:rPr>
        <w:t xml:space="preserve">1.财政拨款收入：指财政部门核拨给单位的财政预算资金。 </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3.基本支出：指为保障单位机关正常运转、完成日常工作任务而发生的人员支出和公用支出。</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 xml:space="preserve">    4.项目支出：指在基本支出之外为完成特定行政任务和事业发展目标所发生的支出。</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表13.部门项目支出绩效目标表（2026年度）</w:t>
      </w:r>
    </w:p>
    <w:p>
      <w:pPr>
        <w:rPr>
          <w:rFonts w:hint="eastAsia" w:ascii="仿宋" w:hAnsi="仿宋" w:eastAsia="仿宋" w:cs="仿宋"/>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小标宋">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DRjNzUxNmI4YWUyNWUxMjhlNDNjYWNjNDEzMjAifQ=="/>
  </w:docVars>
  <w:rsids>
    <w:rsidRoot w:val="36A17BF9"/>
    <w:rsid w:val="00225378"/>
    <w:rsid w:val="07FE5178"/>
    <w:rsid w:val="09B65F6C"/>
    <w:rsid w:val="0B776EC0"/>
    <w:rsid w:val="0B892750"/>
    <w:rsid w:val="13C702B9"/>
    <w:rsid w:val="13C95DDF"/>
    <w:rsid w:val="16247C45"/>
    <w:rsid w:val="29EA6A0F"/>
    <w:rsid w:val="2BA271EA"/>
    <w:rsid w:val="31532D34"/>
    <w:rsid w:val="364D2448"/>
    <w:rsid w:val="36A17BF9"/>
    <w:rsid w:val="37533A8E"/>
    <w:rsid w:val="377A726D"/>
    <w:rsid w:val="37CF580A"/>
    <w:rsid w:val="3B6A65EA"/>
    <w:rsid w:val="4081341A"/>
    <w:rsid w:val="4232565F"/>
    <w:rsid w:val="49C01457"/>
    <w:rsid w:val="4CB77648"/>
    <w:rsid w:val="4D5A74CD"/>
    <w:rsid w:val="5124051D"/>
    <w:rsid w:val="54FE4BE1"/>
    <w:rsid w:val="57323268"/>
    <w:rsid w:val="5A511C57"/>
    <w:rsid w:val="63A6324E"/>
    <w:rsid w:val="65444892"/>
    <w:rsid w:val="6A097E59"/>
    <w:rsid w:val="6C2C14E7"/>
    <w:rsid w:val="6DEC1F6B"/>
    <w:rsid w:val="72C54B39"/>
    <w:rsid w:val="72E01973"/>
    <w:rsid w:val="7B4B6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4">
    <w:name w:val="Body Text"/>
    <w:basedOn w:val="1"/>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3179</Words>
  <Characters>3397</Characters>
  <Lines>0</Lines>
  <Paragraphs>0</Paragraphs>
  <TotalTime>1</TotalTime>
  <ScaleCrop>false</ScaleCrop>
  <LinksUpToDate>false</LinksUpToDate>
  <CharactersWithSpaces>3418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2026-02-01T11:53:00Z</dcterms:created>
  <dc:creator>投资股-李仕昂</dc:creator>
  <cp:lastModifiedBy>oO月影子熙。</cp:lastModifiedBy>
  <dcterms:modified xsi:type="dcterms:W3CDTF">2026-02-09T03:52:42Z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647E1D4BF162427AB50952F7BBC07E46_12</vt:lpwstr>
  </property>
</Properties>
</file>