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sz w:val="72"/>
          <w:szCs w:val="72"/>
        </w:rPr>
      </w:pPr>
      <w:bookmarkStart w:id="0" w:name="_Toc15377425"/>
      <w:bookmarkStart w:id="1" w:name="_Toc15378441"/>
      <w:bookmarkStart w:id="2" w:name="_Toc15377193"/>
      <w:bookmarkStart w:id="3" w:name="_Toc15396475"/>
      <w:bookmarkStart w:id="4" w:name="_Toc15396597"/>
      <w:bookmarkStart w:id="5" w:name="_Toc15306267"/>
    </w:p>
    <w:p>
      <w:pPr>
        <w:pStyle w:val="6"/>
        <w:spacing w:before="93"/>
      </w:pPr>
    </w:p>
    <w:p>
      <w:pPr>
        <w:spacing w:line="600" w:lineRule="exact"/>
        <w:jc w:val="center"/>
        <w:outlineLvl w:val="9"/>
        <w:rPr>
          <w:rFonts w:ascii="方正小标宋简体" w:hAnsi="宋体" w:eastAsia="方正小标宋简体"/>
          <w:sz w:val="72"/>
          <w:szCs w:val="72"/>
        </w:rPr>
      </w:pPr>
    </w:p>
    <w:p>
      <w:pPr>
        <w:spacing w:line="600" w:lineRule="exact"/>
        <w:jc w:val="center"/>
        <w:outlineLvl w:val="9"/>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7558"/>
      <w:bookmarkStart w:id="7" w:name="_Toc10129"/>
      <w:bookmarkStart w:id="8" w:name="_Toc13691"/>
      <w:bookmarkStart w:id="9" w:name="_Toc31250"/>
      <w:bookmarkStart w:id="10" w:name="_Toc30431"/>
      <w:bookmarkStart w:id="11" w:name="_Toc11233"/>
      <w:r>
        <w:rPr>
          <w:rFonts w:hint="eastAsia" w:ascii="方正小标宋简体" w:hAnsi="方正小标宋简体" w:eastAsia="方正小标宋简体" w:cs="方正小标宋简体"/>
          <w:sz w:val="72"/>
          <w:szCs w:val="72"/>
        </w:rPr>
        <w:t>202</w:t>
      </w:r>
      <w:r>
        <w:rPr>
          <w:rFonts w:hint="eastAsia" w:ascii="方正小标宋简体" w:hAnsi="方正小标宋简体" w:eastAsia="方正小标宋简体" w:cs="方正小标宋简体"/>
          <w:sz w:val="72"/>
          <w:szCs w:val="72"/>
          <w:lang w:val="en-US" w:eastAsia="zh-CN"/>
        </w:rPr>
        <w:t>4</w:t>
      </w:r>
      <w:r>
        <w:rPr>
          <w:rFonts w:hint="eastAsia" w:ascii="方正小标宋简体" w:hAnsi="方正小标宋简体" w:eastAsia="方正小标宋简体" w:cs="方正小标宋简体"/>
          <w:sz w:val="72"/>
          <w:szCs w:val="72"/>
        </w:rPr>
        <w:t>年度</w:t>
      </w:r>
      <w:bookmarkEnd w:id="0"/>
      <w:bookmarkEnd w:id="1"/>
      <w:bookmarkEnd w:id="2"/>
      <w:bookmarkEnd w:id="3"/>
      <w:bookmarkEnd w:id="4"/>
      <w:bookmarkEnd w:id="6"/>
      <w:bookmarkEnd w:id="7"/>
      <w:bookmarkEnd w:id="8"/>
      <w:bookmarkEnd w:id="9"/>
      <w:bookmarkEnd w:id="10"/>
      <w:bookmarkEnd w:id="11"/>
    </w:p>
    <w:p>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2" w:name="_Toc9387"/>
      <w:bookmarkStart w:id="13" w:name="_Toc29595"/>
      <w:bookmarkStart w:id="14" w:name="_Toc15396598"/>
      <w:bookmarkStart w:id="15" w:name="_Toc18312"/>
      <w:bookmarkStart w:id="16" w:name="_Toc15377426"/>
      <w:bookmarkStart w:id="17" w:name="_Toc15396476"/>
      <w:bookmarkStart w:id="18" w:name="_Toc10026"/>
      <w:bookmarkStart w:id="19" w:name="_Toc15377194"/>
      <w:bookmarkStart w:id="20" w:name="_Toc15378442"/>
      <w:bookmarkStart w:id="21" w:name="_Toc7275"/>
      <w:bookmarkStart w:id="22" w:name="_Toc4704"/>
      <w:r>
        <w:rPr>
          <w:rFonts w:hint="eastAsia" w:ascii="方正小标宋简体" w:hAnsi="方正小标宋简体" w:eastAsia="方正小标宋简体" w:cs="方正小标宋简体"/>
          <w:sz w:val="72"/>
          <w:szCs w:val="72"/>
        </w:rPr>
        <w:t>四川省</w:t>
      </w:r>
      <w:bookmarkEnd w:id="5"/>
      <w:bookmarkStart w:id="23" w:name="_Toc15306268"/>
      <w:r>
        <w:rPr>
          <w:rFonts w:hint="eastAsia" w:ascii="方正小标宋简体" w:hAnsi="方正小标宋简体" w:eastAsia="方正小标宋简体" w:cs="方正小标宋简体"/>
          <w:sz w:val="72"/>
          <w:szCs w:val="72"/>
          <w:lang w:val="en-US" w:eastAsia="zh-CN"/>
        </w:rPr>
        <w:t>阿坝州红原县政协</w:t>
      </w:r>
      <w:r>
        <w:rPr>
          <w:rFonts w:hint="eastAsia" w:ascii="方正小标宋简体" w:hAnsi="方正小标宋简体" w:eastAsia="方正小标宋简体" w:cs="方正小标宋简体"/>
          <w:sz w:val="72"/>
          <w:szCs w:val="72"/>
        </w:rPr>
        <w:t>部门决算</w:t>
      </w:r>
      <w:bookmarkEnd w:id="12"/>
      <w:bookmarkEnd w:id="13"/>
      <w:bookmarkEnd w:id="14"/>
      <w:bookmarkEnd w:id="15"/>
      <w:bookmarkEnd w:id="16"/>
      <w:bookmarkEnd w:id="17"/>
      <w:bookmarkEnd w:id="18"/>
      <w:bookmarkEnd w:id="19"/>
      <w:bookmarkEnd w:id="20"/>
      <w:bookmarkEnd w:id="21"/>
      <w:bookmarkEnd w:id="22"/>
      <w:bookmarkEnd w:id="23"/>
    </w:p>
    <w:p>
      <w:pPr>
        <w:widowControl/>
        <w:jc w:val="center"/>
        <w:rPr>
          <w:rFonts w:hint="eastAsia" w:ascii="黑体" w:hAnsi="黑体" w:eastAsia="黑体"/>
          <w:sz w:val="52"/>
          <w:szCs w:val="52"/>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pPr>
        <w:widowControl/>
        <w:jc w:val="center"/>
        <w:rPr>
          <w:rFonts w:ascii="黑体" w:hAnsi="黑体" w:eastAsia="黑体" w:cstheme="minorBidi"/>
          <w:sz w:val="28"/>
          <w:szCs w:val="28"/>
        </w:rPr>
      </w:pPr>
      <w:r>
        <w:rPr>
          <w:rFonts w:hint="eastAsia" w:ascii="黑体" w:hAnsi="黑体" w:eastAsia="黑体"/>
          <w:sz w:val="52"/>
          <w:szCs w:val="52"/>
        </w:rPr>
        <w:t>目</w:t>
      </w:r>
      <w:r>
        <w:rPr>
          <w:rFonts w:hint="eastAsia" w:ascii="黑体" w:hAnsi="黑体" w:eastAsia="黑体"/>
          <w:sz w:val="52"/>
          <w:szCs w:val="52"/>
          <w:lang w:val="en-US" w:eastAsia="zh-CN"/>
        </w:rPr>
        <w:t xml:space="preserve">    </w:t>
      </w:r>
      <w:r>
        <w:rPr>
          <w:rFonts w:hint="eastAsia" w:ascii="黑体" w:hAnsi="黑体" w:eastAsia="黑体"/>
          <w:sz w:val="52"/>
          <w:szCs w:val="52"/>
        </w:rPr>
        <w:t>录</w:t>
      </w:r>
    </w:p>
    <w:p>
      <w:pPr>
        <w:pStyle w:val="13"/>
      </w:pPr>
      <w:r>
        <w:rPr>
          <w:rFonts w:hint="eastAsia"/>
        </w:rPr>
        <w:t>公开时间：202</w:t>
      </w:r>
      <w:r>
        <w:rPr>
          <w:rFonts w:hint="eastAsia"/>
          <w:lang w:val="en-US" w:eastAsia="zh-CN"/>
        </w:rPr>
        <w:t>5</w:t>
      </w:r>
      <w:r>
        <w:rPr>
          <w:rFonts w:hint="eastAsia"/>
        </w:rPr>
        <w:t>年</w:t>
      </w:r>
      <w:r>
        <w:rPr>
          <w:rFonts w:hint="eastAsia"/>
          <w:lang w:val="en-US" w:eastAsia="zh-CN"/>
        </w:rPr>
        <w:t>9</w:t>
      </w:r>
      <w:r>
        <w:rPr>
          <w:rFonts w:hint="eastAsia"/>
        </w:rPr>
        <w:t>月</w:t>
      </w:r>
      <w:r>
        <w:rPr>
          <w:rFonts w:hint="eastAsia"/>
          <w:lang w:val="en-US" w:eastAsia="zh-CN"/>
        </w:rPr>
        <w:t>24</w:t>
      </w:r>
      <w:r>
        <w:rPr>
          <w:rFonts w:hint="eastAsia"/>
        </w:rPr>
        <w:t>日</w:t>
      </w:r>
    </w:p>
    <w:sdt>
      <w:sdtPr>
        <w:rPr>
          <w:rFonts w:ascii="宋体" w:hAnsi="宋体" w:eastAsia="宋体" w:cs="Times New Roman"/>
          <w:kern w:val="2"/>
          <w:sz w:val="21"/>
          <w:szCs w:val="24"/>
          <w:lang w:val="en-US" w:eastAsia="zh-CN" w:bidi="ar-SA"/>
        </w:rPr>
        <w:id w:val="147482067"/>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r>
            <w:fldChar w:fldCharType="begin"/>
          </w:r>
          <w:r>
            <w:instrText xml:space="preserve">TOC \o "1-3" \h \u </w:instrText>
          </w:r>
          <w:r>
            <w:fldChar w:fldCharType="separate"/>
          </w:r>
        </w:p>
        <w:p>
          <w:pPr>
            <w:pStyle w:val="13"/>
            <w:tabs>
              <w:tab w:val="right" w:leader="dot" w:pos="8306"/>
              <w:tab w:val="clear" w:pos="8296"/>
            </w:tabs>
          </w:pPr>
          <w:r>
            <w:fldChar w:fldCharType="begin"/>
          </w:r>
          <w:r>
            <w:instrText xml:space="preserve"> HYPERLINK \l _Toc29168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_Toc29168 \h </w:instrText>
          </w:r>
          <w:r>
            <w:fldChar w:fldCharType="separate"/>
          </w:r>
          <w:r>
            <w:t>1</w:t>
          </w:r>
          <w:r>
            <w:fldChar w:fldCharType="end"/>
          </w:r>
          <w:r>
            <w:fldChar w:fldCharType="end"/>
          </w:r>
        </w:p>
        <w:p>
          <w:pPr>
            <w:pStyle w:val="15"/>
            <w:tabs>
              <w:tab w:val="right" w:leader="dot" w:pos="8306"/>
              <w:tab w:val="clear" w:pos="8296"/>
            </w:tabs>
          </w:pPr>
          <w:r>
            <w:fldChar w:fldCharType="begin"/>
          </w:r>
          <w:r>
            <w:instrText xml:space="preserve"> HYPERLINK \l _Toc2823 </w:instrText>
          </w:r>
          <w:r>
            <w:fldChar w:fldCharType="separate"/>
          </w:r>
          <w:r>
            <w:rPr>
              <w:rFonts w:hint="eastAsia" w:ascii="黑体" w:hAnsi="黑体" w:eastAsia="黑体"/>
            </w:rPr>
            <w:t>一、 部门职责</w:t>
          </w:r>
          <w:r>
            <w:tab/>
          </w:r>
          <w:r>
            <w:fldChar w:fldCharType="begin"/>
          </w:r>
          <w:r>
            <w:instrText xml:space="preserve"> PAGEREF _Toc2823 \h </w:instrText>
          </w:r>
          <w:r>
            <w:fldChar w:fldCharType="separate"/>
          </w:r>
          <w:r>
            <w:t>1</w:t>
          </w:r>
          <w:r>
            <w:fldChar w:fldCharType="end"/>
          </w:r>
          <w:r>
            <w:fldChar w:fldCharType="end"/>
          </w:r>
        </w:p>
        <w:p>
          <w:pPr>
            <w:pStyle w:val="9"/>
            <w:tabs>
              <w:tab w:val="right" w:leader="dot" w:pos="8306"/>
              <w:tab w:val="clear" w:pos="8296"/>
            </w:tabs>
          </w:pPr>
          <w:r>
            <w:fldChar w:fldCharType="begin"/>
          </w:r>
          <w:r>
            <w:instrText xml:space="preserve"> HYPERLINK \l _Toc8386 </w:instrText>
          </w:r>
          <w:r>
            <w:fldChar w:fldCharType="separate"/>
          </w:r>
          <w:r>
            <w:rPr>
              <w:rFonts w:hint="eastAsia" w:ascii="仿宋_GB2312" w:hAnsi="仿宋_GB2312" w:eastAsia="仿宋_GB2312" w:cs="仿宋_GB2312"/>
              <w:kern w:val="2"/>
              <w:szCs w:val="32"/>
            </w:rPr>
            <w:t>1. 中国人民政治协商会议四川省红原县委员会办公室</w:t>
          </w:r>
          <w:r>
            <w:tab/>
          </w:r>
          <w:r>
            <w:fldChar w:fldCharType="begin"/>
          </w:r>
          <w:r>
            <w:instrText xml:space="preserve"> PAGEREF _Toc8386 \h </w:instrText>
          </w:r>
          <w:r>
            <w:fldChar w:fldCharType="separate"/>
          </w:r>
          <w:r>
            <w:t>2</w:t>
          </w:r>
          <w:r>
            <w:fldChar w:fldCharType="end"/>
          </w:r>
          <w:r>
            <w:fldChar w:fldCharType="end"/>
          </w:r>
        </w:p>
        <w:p>
          <w:pPr>
            <w:pStyle w:val="9"/>
            <w:tabs>
              <w:tab w:val="right" w:leader="dot" w:pos="8306"/>
              <w:tab w:val="clear" w:pos="8296"/>
            </w:tabs>
          </w:pPr>
          <w:r>
            <w:fldChar w:fldCharType="begin"/>
          </w:r>
          <w:r>
            <w:instrText xml:space="preserve"> HYPERLINK \l _Toc20862 </w:instrText>
          </w:r>
          <w:r>
            <w:fldChar w:fldCharType="separate"/>
          </w:r>
          <w:r>
            <w:rPr>
              <w:rFonts w:hint="eastAsia" w:ascii="仿宋_GB2312" w:hAnsi="仿宋_GB2312" w:eastAsia="仿宋_GB2312" w:cs="仿宋_GB2312"/>
              <w:szCs w:val="32"/>
              <w:lang w:val="en-US" w:eastAsia="zh-CN"/>
            </w:rPr>
            <w:t>2. 红原县政协网络信息服务中心</w:t>
          </w:r>
          <w:r>
            <w:tab/>
          </w:r>
          <w:r>
            <w:fldChar w:fldCharType="begin"/>
          </w:r>
          <w:r>
            <w:instrText xml:space="preserve"> PAGEREF _Toc20862 \h </w:instrText>
          </w:r>
          <w:r>
            <w:fldChar w:fldCharType="separate"/>
          </w:r>
          <w:r>
            <w:t>2</w:t>
          </w:r>
          <w:r>
            <w:fldChar w:fldCharType="end"/>
          </w:r>
          <w:r>
            <w:fldChar w:fldCharType="end"/>
          </w:r>
        </w:p>
        <w:p>
          <w:pPr>
            <w:pStyle w:val="13"/>
            <w:tabs>
              <w:tab w:val="right" w:leader="dot" w:pos="8306"/>
              <w:tab w:val="clear" w:pos="8296"/>
            </w:tabs>
          </w:pPr>
          <w:r>
            <w:fldChar w:fldCharType="begin"/>
          </w:r>
          <w:r>
            <w:instrText xml:space="preserve"> HYPERLINK \l _Toc27312 </w:instrText>
          </w:r>
          <w:r>
            <w:fldChar w:fldCharType="separate"/>
          </w:r>
          <w:r>
            <w:rPr>
              <w:rFonts w:hint="eastAsia" w:ascii="黑体" w:hAnsi="黑体" w:eastAsia="黑体"/>
              <w:bCs/>
              <w:szCs w:val="44"/>
            </w:rPr>
            <w:t xml:space="preserve">第二部分 </w:t>
          </w:r>
          <w:r>
            <w:rPr>
              <w:rFonts w:hint="eastAsia" w:ascii="黑体" w:hAnsi="黑体" w:eastAsia="黑体"/>
              <w:szCs w:val="44"/>
              <w:lang w:eastAsia="zh-CN"/>
            </w:rPr>
            <w:t>2024</w:t>
          </w:r>
          <w:r>
            <w:rPr>
              <w:rFonts w:hint="eastAsia" w:ascii="黑体" w:hAnsi="黑体" w:eastAsia="黑体"/>
              <w:szCs w:val="44"/>
            </w:rPr>
            <w:t>年度</w:t>
          </w:r>
          <w:r>
            <w:rPr>
              <w:rFonts w:hint="eastAsia" w:ascii="黑体" w:hAnsi="黑体" w:eastAsia="黑体"/>
              <w:bCs/>
              <w:szCs w:val="44"/>
            </w:rPr>
            <w:t>部门决算情况说明</w:t>
          </w:r>
          <w:r>
            <w:tab/>
          </w:r>
          <w:r>
            <w:fldChar w:fldCharType="begin"/>
          </w:r>
          <w:r>
            <w:instrText xml:space="preserve"> PAGEREF _Toc27312 \h </w:instrText>
          </w:r>
          <w:r>
            <w:fldChar w:fldCharType="separate"/>
          </w:r>
          <w:r>
            <w:t>2</w:t>
          </w:r>
          <w:r>
            <w:fldChar w:fldCharType="end"/>
          </w:r>
          <w:r>
            <w:fldChar w:fldCharType="end"/>
          </w:r>
        </w:p>
        <w:p>
          <w:pPr>
            <w:pStyle w:val="15"/>
            <w:tabs>
              <w:tab w:val="right" w:leader="dot" w:pos="8306"/>
              <w:tab w:val="clear" w:pos="8296"/>
            </w:tabs>
          </w:pPr>
          <w:r>
            <w:fldChar w:fldCharType="begin"/>
          </w:r>
          <w:r>
            <w:instrText xml:space="preserve"> HYPERLINK \l _Toc22877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_Toc22877 \h </w:instrText>
          </w:r>
          <w:r>
            <w:fldChar w:fldCharType="separate"/>
          </w:r>
          <w:r>
            <w:t>2</w:t>
          </w:r>
          <w:r>
            <w:fldChar w:fldCharType="end"/>
          </w:r>
          <w:r>
            <w:fldChar w:fldCharType="end"/>
          </w:r>
        </w:p>
        <w:p>
          <w:pPr>
            <w:pStyle w:val="15"/>
            <w:tabs>
              <w:tab w:val="right" w:leader="dot" w:pos="8306"/>
              <w:tab w:val="clear" w:pos="8296"/>
            </w:tabs>
          </w:pPr>
          <w:r>
            <w:fldChar w:fldCharType="begin"/>
          </w:r>
          <w:r>
            <w:instrText xml:space="preserve"> HYPERLINK \l _Toc26941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_Toc26941 \h </w:instrText>
          </w:r>
          <w:r>
            <w:fldChar w:fldCharType="separate"/>
          </w:r>
          <w:r>
            <w:t>2</w:t>
          </w:r>
          <w:r>
            <w:fldChar w:fldCharType="end"/>
          </w:r>
          <w:r>
            <w:fldChar w:fldCharType="end"/>
          </w:r>
        </w:p>
        <w:p>
          <w:pPr>
            <w:pStyle w:val="15"/>
            <w:tabs>
              <w:tab w:val="right" w:leader="dot" w:pos="8306"/>
              <w:tab w:val="clear" w:pos="8296"/>
            </w:tabs>
          </w:pPr>
          <w:r>
            <w:fldChar w:fldCharType="begin"/>
          </w:r>
          <w:r>
            <w:instrText xml:space="preserve"> HYPERLINK \l _Toc27531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_Toc27531 \h </w:instrText>
          </w:r>
          <w:r>
            <w:fldChar w:fldCharType="separate"/>
          </w:r>
          <w:r>
            <w:t>3</w:t>
          </w:r>
          <w:r>
            <w:fldChar w:fldCharType="end"/>
          </w:r>
          <w:r>
            <w:fldChar w:fldCharType="end"/>
          </w:r>
        </w:p>
        <w:p>
          <w:pPr>
            <w:pStyle w:val="15"/>
            <w:tabs>
              <w:tab w:val="right" w:leader="dot" w:pos="8306"/>
              <w:tab w:val="clear" w:pos="8296"/>
            </w:tabs>
          </w:pPr>
          <w:r>
            <w:fldChar w:fldCharType="begin"/>
          </w:r>
          <w:r>
            <w:instrText xml:space="preserve"> HYPERLINK \l _Toc3803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_Toc3803 \h </w:instrText>
          </w:r>
          <w:r>
            <w:fldChar w:fldCharType="separate"/>
          </w:r>
          <w:r>
            <w:t>3</w:t>
          </w:r>
          <w:r>
            <w:fldChar w:fldCharType="end"/>
          </w:r>
          <w:r>
            <w:fldChar w:fldCharType="end"/>
          </w:r>
        </w:p>
        <w:p>
          <w:pPr>
            <w:pStyle w:val="15"/>
            <w:tabs>
              <w:tab w:val="right" w:leader="dot" w:pos="8306"/>
              <w:tab w:val="clear" w:pos="8296"/>
            </w:tabs>
          </w:pPr>
          <w:r>
            <w:fldChar w:fldCharType="begin"/>
          </w:r>
          <w:r>
            <w:instrText xml:space="preserve"> HYPERLINK \l _Toc25223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_Toc25223 \h </w:instrText>
          </w:r>
          <w:r>
            <w:fldChar w:fldCharType="separate"/>
          </w:r>
          <w:r>
            <w:t>4</w:t>
          </w:r>
          <w:r>
            <w:fldChar w:fldCharType="end"/>
          </w:r>
          <w:r>
            <w:fldChar w:fldCharType="end"/>
          </w:r>
        </w:p>
        <w:p>
          <w:pPr>
            <w:pStyle w:val="9"/>
            <w:tabs>
              <w:tab w:val="right" w:leader="dot" w:pos="8306"/>
              <w:tab w:val="clear" w:pos="8296"/>
            </w:tabs>
          </w:pPr>
          <w:r>
            <w:fldChar w:fldCharType="begin"/>
          </w:r>
          <w:r>
            <w:instrText xml:space="preserve"> HYPERLINK \l _Toc30748 </w:instrText>
          </w:r>
          <w:r>
            <w:fldChar w:fldCharType="separate"/>
          </w:r>
          <w:r>
            <w:rPr>
              <w:rFonts w:hint="eastAsia" w:ascii="仿宋" w:hAnsi="仿宋" w:eastAsia="仿宋"/>
              <w:szCs w:val="32"/>
            </w:rPr>
            <w:t>（一）一般公共预算财政拨款支出决算总体情况</w:t>
          </w:r>
          <w:r>
            <w:tab/>
          </w:r>
          <w:r>
            <w:fldChar w:fldCharType="begin"/>
          </w:r>
          <w:r>
            <w:instrText xml:space="preserve"> PAGEREF _Toc30748 \h </w:instrText>
          </w:r>
          <w:r>
            <w:fldChar w:fldCharType="separate"/>
          </w:r>
          <w:r>
            <w:t>4</w:t>
          </w:r>
          <w:r>
            <w:fldChar w:fldCharType="end"/>
          </w:r>
          <w:r>
            <w:fldChar w:fldCharType="end"/>
          </w:r>
        </w:p>
        <w:p>
          <w:pPr>
            <w:pStyle w:val="9"/>
            <w:tabs>
              <w:tab w:val="right" w:leader="dot" w:pos="8306"/>
              <w:tab w:val="clear" w:pos="8296"/>
            </w:tabs>
          </w:pPr>
          <w:r>
            <w:fldChar w:fldCharType="begin"/>
          </w:r>
          <w:r>
            <w:instrText xml:space="preserve"> HYPERLINK \l _Toc30719 </w:instrText>
          </w:r>
          <w:r>
            <w:fldChar w:fldCharType="separate"/>
          </w:r>
          <w:r>
            <w:rPr>
              <w:rFonts w:hint="eastAsia" w:ascii="仿宋" w:hAnsi="仿宋" w:eastAsia="仿宋"/>
              <w:szCs w:val="32"/>
            </w:rPr>
            <w:t>（二）一般公共预算财政拨款支出决算结构情况</w:t>
          </w:r>
          <w:r>
            <w:tab/>
          </w:r>
          <w:r>
            <w:fldChar w:fldCharType="begin"/>
          </w:r>
          <w:r>
            <w:instrText xml:space="preserve"> PAGEREF _Toc30719 \h </w:instrText>
          </w:r>
          <w:r>
            <w:fldChar w:fldCharType="separate"/>
          </w:r>
          <w:r>
            <w:t>5</w:t>
          </w:r>
          <w:r>
            <w:fldChar w:fldCharType="end"/>
          </w:r>
          <w:r>
            <w:fldChar w:fldCharType="end"/>
          </w:r>
        </w:p>
        <w:p>
          <w:pPr>
            <w:pStyle w:val="9"/>
            <w:tabs>
              <w:tab w:val="right" w:leader="dot" w:pos="8306"/>
              <w:tab w:val="clear" w:pos="8296"/>
            </w:tabs>
          </w:pPr>
          <w:r>
            <w:fldChar w:fldCharType="begin"/>
          </w:r>
          <w:r>
            <w:instrText xml:space="preserve"> HYPERLINK \l _Toc7966 </w:instrText>
          </w:r>
          <w:r>
            <w:fldChar w:fldCharType="separate"/>
          </w:r>
          <w:r>
            <w:rPr>
              <w:rFonts w:hint="eastAsia" w:ascii="仿宋" w:hAnsi="仿宋" w:eastAsia="仿宋"/>
              <w:szCs w:val="32"/>
            </w:rPr>
            <w:t>（三）一般公共预算财政拨款支出决算具体情况</w:t>
          </w:r>
          <w:r>
            <w:tab/>
          </w:r>
          <w:r>
            <w:fldChar w:fldCharType="begin"/>
          </w:r>
          <w:r>
            <w:instrText xml:space="preserve"> PAGEREF _Toc7966 \h </w:instrText>
          </w:r>
          <w:r>
            <w:fldChar w:fldCharType="separate"/>
          </w:r>
          <w:r>
            <w:t>5</w:t>
          </w:r>
          <w:r>
            <w:fldChar w:fldCharType="end"/>
          </w:r>
          <w:r>
            <w:fldChar w:fldCharType="end"/>
          </w:r>
        </w:p>
        <w:p>
          <w:pPr>
            <w:pStyle w:val="15"/>
            <w:tabs>
              <w:tab w:val="right" w:leader="dot" w:pos="8306"/>
              <w:tab w:val="clear" w:pos="8296"/>
            </w:tabs>
          </w:pPr>
          <w:r>
            <w:fldChar w:fldCharType="begin"/>
          </w:r>
          <w:r>
            <w:instrText xml:space="preserve"> HYPERLINK \l _Toc24603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_Toc24603 \h </w:instrText>
          </w:r>
          <w:r>
            <w:fldChar w:fldCharType="separate"/>
          </w:r>
          <w:r>
            <w:t>7</w:t>
          </w:r>
          <w:r>
            <w:fldChar w:fldCharType="end"/>
          </w:r>
          <w:r>
            <w:fldChar w:fldCharType="end"/>
          </w:r>
        </w:p>
        <w:p>
          <w:pPr>
            <w:pStyle w:val="15"/>
            <w:tabs>
              <w:tab w:val="right" w:leader="dot" w:pos="8306"/>
              <w:tab w:val="clear" w:pos="8296"/>
            </w:tabs>
          </w:pPr>
          <w:r>
            <w:fldChar w:fldCharType="begin"/>
          </w:r>
          <w:r>
            <w:instrText xml:space="preserve"> HYPERLINK \l _Toc15092 </w:instrText>
          </w:r>
          <w:r>
            <w:fldChar w:fldCharType="separate"/>
          </w:r>
          <w:r>
            <w:rPr>
              <w:rFonts w:hint="eastAsia" w:ascii="黑体" w:eastAsia="黑体"/>
              <w:szCs w:val="32"/>
            </w:rPr>
            <w:t>七、</w:t>
          </w:r>
          <w:r>
            <w:rPr>
              <w:rFonts w:hint="eastAsia" w:ascii="黑体" w:hAnsi="黑体" w:eastAsia="黑体"/>
            </w:rPr>
            <w:t>财政拨款“三公”经费支出决算情况说明</w:t>
          </w:r>
          <w:r>
            <w:tab/>
          </w:r>
          <w:r>
            <w:fldChar w:fldCharType="begin"/>
          </w:r>
          <w:r>
            <w:instrText xml:space="preserve"> PAGEREF _Toc15092 \h </w:instrText>
          </w:r>
          <w:r>
            <w:fldChar w:fldCharType="separate"/>
          </w:r>
          <w:r>
            <w:t>7</w:t>
          </w:r>
          <w:r>
            <w:fldChar w:fldCharType="end"/>
          </w:r>
          <w:r>
            <w:fldChar w:fldCharType="end"/>
          </w:r>
        </w:p>
        <w:p>
          <w:pPr>
            <w:pStyle w:val="9"/>
            <w:tabs>
              <w:tab w:val="right" w:leader="dot" w:pos="8306"/>
              <w:tab w:val="clear" w:pos="8296"/>
            </w:tabs>
          </w:pPr>
          <w:r>
            <w:fldChar w:fldCharType="begin"/>
          </w:r>
          <w:r>
            <w:instrText xml:space="preserve"> HYPERLINK \l _Toc28333 </w:instrText>
          </w:r>
          <w:r>
            <w:fldChar w:fldCharType="separate"/>
          </w:r>
          <w:r>
            <w:rPr>
              <w:rFonts w:hint="eastAsia" w:ascii="仿宋" w:hAnsi="仿宋" w:eastAsia="仿宋"/>
              <w:szCs w:val="32"/>
            </w:rPr>
            <w:t>（一）“三公”经费财政拨款支出决算总体情况说明</w:t>
          </w:r>
          <w:r>
            <w:tab/>
          </w:r>
          <w:r>
            <w:fldChar w:fldCharType="begin"/>
          </w:r>
          <w:r>
            <w:instrText xml:space="preserve"> PAGEREF _Toc28333 \h </w:instrText>
          </w:r>
          <w:r>
            <w:fldChar w:fldCharType="separate"/>
          </w:r>
          <w:r>
            <w:t>7</w:t>
          </w:r>
          <w:r>
            <w:fldChar w:fldCharType="end"/>
          </w:r>
          <w:r>
            <w:fldChar w:fldCharType="end"/>
          </w:r>
        </w:p>
        <w:p>
          <w:pPr>
            <w:pStyle w:val="9"/>
            <w:tabs>
              <w:tab w:val="right" w:leader="dot" w:pos="8306"/>
              <w:tab w:val="clear" w:pos="8296"/>
            </w:tabs>
          </w:pPr>
          <w:r>
            <w:fldChar w:fldCharType="begin"/>
          </w:r>
          <w:r>
            <w:instrText xml:space="preserve"> HYPERLINK \l _Toc26536 </w:instrText>
          </w:r>
          <w:r>
            <w:fldChar w:fldCharType="separate"/>
          </w:r>
          <w:r>
            <w:rPr>
              <w:rFonts w:hint="eastAsia" w:ascii="仿宋" w:hAnsi="仿宋" w:eastAsia="仿宋"/>
              <w:szCs w:val="32"/>
            </w:rPr>
            <w:t>（二）“三公”经费财政拨款支出决算具体情况说明</w:t>
          </w:r>
          <w:r>
            <w:tab/>
          </w:r>
          <w:r>
            <w:fldChar w:fldCharType="begin"/>
          </w:r>
          <w:r>
            <w:instrText xml:space="preserve"> PAGEREF _Toc26536 \h </w:instrText>
          </w:r>
          <w:r>
            <w:fldChar w:fldCharType="separate"/>
          </w:r>
          <w:r>
            <w:t>7</w:t>
          </w:r>
          <w:r>
            <w:fldChar w:fldCharType="end"/>
          </w:r>
          <w:r>
            <w:fldChar w:fldCharType="end"/>
          </w:r>
        </w:p>
        <w:p>
          <w:pPr>
            <w:pStyle w:val="15"/>
            <w:tabs>
              <w:tab w:val="right" w:leader="dot" w:pos="8306"/>
              <w:tab w:val="clear" w:pos="8296"/>
            </w:tabs>
          </w:pPr>
          <w:r>
            <w:fldChar w:fldCharType="begin"/>
          </w:r>
          <w:r>
            <w:instrText xml:space="preserve"> HYPERLINK \l _Toc23926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_Toc23926 \h </w:instrText>
          </w:r>
          <w:r>
            <w:fldChar w:fldCharType="separate"/>
          </w:r>
          <w:r>
            <w:t>9</w:t>
          </w:r>
          <w:r>
            <w:fldChar w:fldCharType="end"/>
          </w:r>
          <w:r>
            <w:fldChar w:fldCharType="end"/>
          </w:r>
        </w:p>
        <w:p>
          <w:pPr>
            <w:pStyle w:val="15"/>
            <w:tabs>
              <w:tab w:val="right" w:leader="dot" w:pos="8306"/>
              <w:tab w:val="clear" w:pos="8296"/>
            </w:tabs>
          </w:pPr>
          <w:r>
            <w:fldChar w:fldCharType="begin"/>
          </w:r>
          <w:r>
            <w:instrText xml:space="preserve"> HYPERLINK \l _Toc16957 </w:instrText>
          </w:r>
          <w:r>
            <w:fldChar w:fldCharType="separate"/>
          </w:r>
          <w:r>
            <w:rPr>
              <w:rFonts w:hint="eastAsia" w:ascii="黑体" w:hAnsi="黑体" w:eastAsia="黑体"/>
            </w:rPr>
            <w:t>九、 国有资本经营预算支出决算情况说明</w:t>
          </w:r>
          <w:r>
            <w:tab/>
          </w:r>
          <w:r>
            <w:fldChar w:fldCharType="begin"/>
          </w:r>
          <w:r>
            <w:instrText xml:space="preserve"> PAGEREF _Toc16957 \h </w:instrText>
          </w:r>
          <w:r>
            <w:fldChar w:fldCharType="separate"/>
          </w:r>
          <w:r>
            <w:t>9</w:t>
          </w:r>
          <w:r>
            <w:fldChar w:fldCharType="end"/>
          </w:r>
          <w:r>
            <w:fldChar w:fldCharType="end"/>
          </w:r>
        </w:p>
        <w:p>
          <w:pPr>
            <w:pStyle w:val="15"/>
            <w:tabs>
              <w:tab w:val="right" w:leader="dot" w:pos="8306"/>
              <w:tab w:val="clear" w:pos="8296"/>
            </w:tabs>
          </w:pPr>
          <w:r>
            <w:fldChar w:fldCharType="begin"/>
          </w:r>
          <w:r>
            <w:instrText xml:space="preserve"> HYPERLINK \l _Toc18433 </w:instrText>
          </w:r>
          <w:r>
            <w:fldChar w:fldCharType="separate"/>
          </w:r>
          <w:r>
            <w:rPr>
              <w:rFonts w:hint="eastAsia" w:ascii="黑体" w:hAnsi="黑体" w:eastAsia="黑体"/>
            </w:rPr>
            <w:t>十、 其他重要事项的情况说明</w:t>
          </w:r>
          <w:r>
            <w:tab/>
          </w:r>
          <w:r>
            <w:fldChar w:fldCharType="begin"/>
          </w:r>
          <w:r>
            <w:instrText xml:space="preserve"> PAGEREF _Toc18433 \h </w:instrText>
          </w:r>
          <w:r>
            <w:fldChar w:fldCharType="separate"/>
          </w:r>
          <w:r>
            <w:t>9</w:t>
          </w:r>
          <w:r>
            <w:fldChar w:fldCharType="end"/>
          </w:r>
          <w:r>
            <w:fldChar w:fldCharType="end"/>
          </w:r>
        </w:p>
        <w:p>
          <w:pPr>
            <w:pStyle w:val="9"/>
            <w:tabs>
              <w:tab w:val="right" w:leader="dot" w:pos="8306"/>
              <w:tab w:val="clear" w:pos="8296"/>
            </w:tabs>
          </w:pPr>
          <w:r>
            <w:fldChar w:fldCharType="begin"/>
          </w:r>
          <w:r>
            <w:instrText xml:space="preserve"> HYPERLINK \l _Toc18007 </w:instrText>
          </w:r>
          <w:r>
            <w:fldChar w:fldCharType="separate"/>
          </w:r>
          <w:r>
            <w:rPr>
              <w:rFonts w:hint="eastAsia" w:ascii="仿宋" w:hAnsi="仿宋" w:eastAsia="仿宋"/>
              <w:szCs w:val="32"/>
            </w:rPr>
            <w:t>（一）机关运行经费支出情况</w:t>
          </w:r>
          <w:r>
            <w:tab/>
          </w:r>
          <w:r>
            <w:fldChar w:fldCharType="begin"/>
          </w:r>
          <w:r>
            <w:instrText xml:space="preserve"> PAGEREF _Toc18007 \h </w:instrText>
          </w:r>
          <w:r>
            <w:fldChar w:fldCharType="separate"/>
          </w:r>
          <w:r>
            <w:t>10</w:t>
          </w:r>
          <w:r>
            <w:fldChar w:fldCharType="end"/>
          </w:r>
          <w:r>
            <w:fldChar w:fldCharType="end"/>
          </w:r>
        </w:p>
        <w:p>
          <w:pPr>
            <w:pStyle w:val="9"/>
            <w:tabs>
              <w:tab w:val="right" w:leader="dot" w:pos="8306"/>
              <w:tab w:val="clear" w:pos="8296"/>
            </w:tabs>
          </w:pPr>
          <w:r>
            <w:fldChar w:fldCharType="begin"/>
          </w:r>
          <w:r>
            <w:instrText xml:space="preserve"> HYPERLINK \l _Toc22691 </w:instrText>
          </w:r>
          <w:r>
            <w:fldChar w:fldCharType="separate"/>
          </w:r>
          <w:r>
            <w:rPr>
              <w:rFonts w:hint="eastAsia" w:ascii="仿宋" w:hAnsi="仿宋" w:eastAsia="仿宋"/>
              <w:szCs w:val="32"/>
            </w:rPr>
            <w:t>（二）政府采购支出情况</w:t>
          </w:r>
          <w:r>
            <w:tab/>
          </w:r>
          <w:r>
            <w:fldChar w:fldCharType="begin"/>
          </w:r>
          <w:r>
            <w:instrText xml:space="preserve"> PAGEREF _Toc22691 \h </w:instrText>
          </w:r>
          <w:r>
            <w:fldChar w:fldCharType="separate"/>
          </w:r>
          <w:r>
            <w:t>10</w:t>
          </w:r>
          <w:r>
            <w:fldChar w:fldCharType="end"/>
          </w:r>
          <w:r>
            <w:fldChar w:fldCharType="end"/>
          </w:r>
        </w:p>
        <w:p>
          <w:pPr>
            <w:pStyle w:val="9"/>
            <w:tabs>
              <w:tab w:val="right" w:leader="dot" w:pos="8306"/>
              <w:tab w:val="clear" w:pos="8296"/>
            </w:tabs>
          </w:pPr>
          <w:r>
            <w:fldChar w:fldCharType="begin"/>
          </w:r>
          <w:r>
            <w:instrText xml:space="preserve"> HYPERLINK \l _Toc1354 </w:instrText>
          </w:r>
          <w:r>
            <w:fldChar w:fldCharType="separate"/>
          </w:r>
          <w:r>
            <w:rPr>
              <w:rFonts w:hint="eastAsia" w:ascii="仿宋" w:hAnsi="仿宋" w:eastAsia="仿宋"/>
              <w:szCs w:val="32"/>
            </w:rPr>
            <w:t>（三）国有资产占有使用情况</w:t>
          </w:r>
          <w:r>
            <w:tab/>
          </w:r>
          <w:r>
            <w:fldChar w:fldCharType="begin"/>
          </w:r>
          <w:r>
            <w:instrText xml:space="preserve"> PAGEREF _Toc1354 \h </w:instrText>
          </w:r>
          <w:r>
            <w:fldChar w:fldCharType="separate"/>
          </w:r>
          <w:r>
            <w:t>10</w:t>
          </w:r>
          <w:r>
            <w:fldChar w:fldCharType="end"/>
          </w:r>
          <w:r>
            <w:fldChar w:fldCharType="end"/>
          </w:r>
        </w:p>
        <w:p>
          <w:pPr>
            <w:pStyle w:val="9"/>
            <w:tabs>
              <w:tab w:val="right" w:leader="dot" w:pos="8306"/>
              <w:tab w:val="clear" w:pos="8296"/>
            </w:tabs>
          </w:pPr>
          <w:r>
            <w:fldChar w:fldCharType="begin"/>
          </w:r>
          <w:r>
            <w:instrText xml:space="preserve"> HYPERLINK \l _Toc29282 </w:instrText>
          </w:r>
          <w:r>
            <w:fldChar w:fldCharType="separate"/>
          </w:r>
          <w:r>
            <w:rPr>
              <w:rFonts w:hint="eastAsia" w:ascii="仿宋" w:hAnsi="仿宋" w:eastAsia="仿宋"/>
              <w:szCs w:val="32"/>
            </w:rPr>
            <w:t>（四）预算绩效管理情况</w:t>
          </w:r>
          <w:r>
            <w:tab/>
          </w:r>
          <w:r>
            <w:fldChar w:fldCharType="begin"/>
          </w:r>
          <w:r>
            <w:instrText xml:space="preserve"> PAGEREF _Toc29282 \h </w:instrText>
          </w:r>
          <w:r>
            <w:fldChar w:fldCharType="separate"/>
          </w:r>
          <w:r>
            <w:t>10</w:t>
          </w:r>
          <w:r>
            <w:fldChar w:fldCharType="end"/>
          </w:r>
          <w:r>
            <w:fldChar w:fldCharType="end"/>
          </w:r>
        </w:p>
        <w:p>
          <w:pPr>
            <w:pStyle w:val="13"/>
            <w:tabs>
              <w:tab w:val="right" w:leader="dot" w:pos="8306"/>
              <w:tab w:val="clear" w:pos="8296"/>
            </w:tabs>
          </w:pPr>
          <w:r>
            <w:fldChar w:fldCharType="begin"/>
          </w:r>
          <w:r>
            <w:instrText xml:space="preserve"> HYPERLINK \l _Toc14563 </w:instrText>
          </w:r>
          <w:r>
            <w:fldChar w:fldCharType="separate"/>
          </w:r>
          <w:r>
            <w:rPr>
              <w:rFonts w:hint="eastAsia" w:ascii="黑体" w:hAnsi="黑体" w:eastAsia="黑体" w:cs="黑体"/>
            </w:rPr>
            <w:t>第三部分 名词解释</w:t>
          </w:r>
          <w:r>
            <w:tab/>
          </w:r>
          <w:r>
            <w:fldChar w:fldCharType="begin"/>
          </w:r>
          <w:r>
            <w:instrText xml:space="preserve"> PAGEREF _Toc14563 \h </w:instrText>
          </w:r>
          <w:r>
            <w:fldChar w:fldCharType="separate"/>
          </w:r>
          <w:r>
            <w:t>11</w:t>
          </w:r>
          <w:r>
            <w:fldChar w:fldCharType="end"/>
          </w:r>
          <w:r>
            <w:fldChar w:fldCharType="end"/>
          </w:r>
        </w:p>
        <w:p>
          <w:pPr>
            <w:pStyle w:val="13"/>
            <w:tabs>
              <w:tab w:val="right" w:leader="dot" w:pos="8306"/>
              <w:tab w:val="clear" w:pos="8296"/>
            </w:tabs>
          </w:pPr>
          <w:r>
            <w:fldChar w:fldCharType="begin"/>
          </w:r>
          <w:r>
            <w:instrText xml:space="preserve"> HYPERLINK \l _Toc18228 </w:instrText>
          </w:r>
          <w:r>
            <w:fldChar w:fldCharType="separate"/>
          </w:r>
          <w:r>
            <w:rPr>
              <w:rFonts w:hint="eastAsia" w:ascii="黑体" w:hAnsi="黑体" w:eastAsia="黑体"/>
            </w:rPr>
            <w:t>第四部分 附件</w:t>
          </w:r>
          <w:r>
            <w:tab/>
          </w:r>
          <w:r>
            <w:fldChar w:fldCharType="begin"/>
          </w:r>
          <w:r>
            <w:instrText xml:space="preserve"> PAGEREF _Toc18228 \h </w:instrText>
          </w:r>
          <w:r>
            <w:fldChar w:fldCharType="separate"/>
          </w:r>
          <w:r>
            <w:t>13</w:t>
          </w:r>
          <w:r>
            <w:fldChar w:fldCharType="end"/>
          </w:r>
          <w:r>
            <w:fldChar w:fldCharType="end"/>
          </w:r>
        </w:p>
        <w:p>
          <w:pPr>
            <w:pStyle w:val="15"/>
            <w:tabs>
              <w:tab w:val="right" w:leader="dot" w:pos="8306"/>
              <w:tab w:val="clear" w:pos="8296"/>
            </w:tabs>
            <w:rPr>
              <w:rFonts w:hint="eastAsia" w:eastAsia="宋体"/>
              <w:lang w:val="en-US" w:eastAsia="zh-CN"/>
            </w:rPr>
          </w:pPr>
          <w:r>
            <w:fldChar w:fldCharType="begin"/>
          </w:r>
          <w:r>
            <w:instrText xml:space="preserve"> HYPERLINK \l _Toc5427 </w:instrText>
          </w:r>
          <w:r>
            <w:fldChar w:fldCharType="separate"/>
          </w:r>
          <w:r>
            <w:rPr>
              <w:rFonts w:hint="eastAsia" w:ascii="黑体" w:hAnsi="黑体" w:eastAsia="黑体" w:cs="黑体"/>
              <w:b w:val="0"/>
              <w:bCs w:val="0"/>
              <w:lang w:val="en-US" w:eastAsia="zh-CN"/>
            </w:rPr>
            <w:t>部门预算绩效评价报告</w:t>
          </w:r>
          <w:r>
            <w:tab/>
          </w:r>
          <w:r>
            <w:rPr>
              <w:rFonts w:hint="eastAsia"/>
              <w:lang w:val="en-US" w:eastAsia="zh-CN"/>
            </w:rPr>
            <w:t>1</w:t>
          </w:r>
          <w:r>
            <w:fldChar w:fldCharType="end"/>
          </w:r>
          <w:r>
            <w:rPr>
              <w:rFonts w:hint="eastAsia"/>
              <w:lang w:val="en-US" w:eastAsia="zh-CN"/>
            </w:rPr>
            <w:t>3</w:t>
          </w:r>
        </w:p>
        <w:p>
          <w:pPr>
            <w:pStyle w:val="13"/>
            <w:tabs>
              <w:tab w:val="right" w:leader="dot" w:pos="8306"/>
              <w:tab w:val="clear" w:pos="8296"/>
            </w:tabs>
          </w:pPr>
          <w:r>
            <w:fldChar w:fldCharType="begin"/>
          </w:r>
          <w:r>
            <w:instrText xml:space="preserve"> HYPERLINK \l _Toc26177 </w:instrText>
          </w:r>
          <w:r>
            <w:fldChar w:fldCharType="separate"/>
          </w:r>
          <w:r>
            <w:rPr>
              <w:rFonts w:hint="eastAsia" w:ascii="黑体" w:hAnsi="黑体" w:eastAsia="黑体"/>
            </w:rPr>
            <w:t>第五部分 附表</w:t>
          </w:r>
          <w:r>
            <w:tab/>
          </w:r>
          <w:r>
            <w:fldChar w:fldCharType="begin"/>
          </w:r>
          <w:r>
            <w:instrText xml:space="preserve"> PAGEREF _Toc26177 \h </w:instrText>
          </w:r>
          <w:r>
            <w:fldChar w:fldCharType="separate"/>
          </w:r>
          <w:r>
            <w:t>22</w:t>
          </w:r>
          <w:r>
            <w:fldChar w:fldCharType="end"/>
          </w:r>
          <w:r>
            <w:fldChar w:fldCharType="end"/>
          </w:r>
        </w:p>
        <w:p>
          <w:r>
            <w:fldChar w:fldCharType="end"/>
          </w:r>
        </w:p>
      </w:sdtContent>
    </w:sdt>
    <w:p>
      <w:pPr>
        <w:pStyle w:val="3"/>
        <w:jc w:val="both"/>
        <w:rPr>
          <w:rFonts w:hint="eastAsia" w:ascii="黑体" w:hAnsi="黑体" w:eastAsia="黑体"/>
          <w:b w:val="0"/>
        </w:rPr>
        <w:sectPr>
          <w:footerReference r:id="rId5" w:type="default"/>
          <w:pgSz w:w="11906" w:h="16838"/>
          <w:pgMar w:top="1440" w:right="1800" w:bottom="1440" w:left="1800" w:header="851" w:footer="992" w:gutter="0"/>
          <w:pgNumType w:fmt="decimal" w:start="1"/>
          <w:cols w:space="425" w:num="1"/>
          <w:docGrid w:type="lines" w:linePitch="312" w:charSpace="0"/>
        </w:sectPr>
      </w:pPr>
      <w:bookmarkStart w:id="97" w:name="_GoBack"/>
      <w:bookmarkEnd w:id="97"/>
    </w:p>
    <w:p>
      <w:pPr>
        <w:pStyle w:val="3"/>
        <w:ind w:firstLine="1760" w:firstLineChars="400"/>
        <w:jc w:val="both"/>
        <w:rPr>
          <w:rFonts w:ascii="黑体" w:eastAsia="黑体"/>
          <w:sz w:val="32"/>
          <w:szCs w:val="32"/>
        </w:rPr>
      </w:pPr>
      <w:bookmarkStart w:id="24" w:name="_Toc29168"/>
      <w:r>
        <w:rPr>
          <w:rFonts w:hint="eastAsia" w:ascii="黑体" w:hAnsi="黑体" w:eastAsia="黑体"/>
          <w:b w:val="0"/>
        </w:rPr>
        <w:t xml:space="preserve">第一部分 </w:t>
      </w:r>
      <w:r>
        <w:rPr>
          <w:rStyle w:val="30"/>
          <w:rFonts w:hint="eastAsia" w:ascii="黑体" w:hAnsi="黑体" w:eastAsia="黑体"/>
          <w:b w:val="0"/>
          <w:bCs w:val="0"/>
        </w:rPr>
        <w:t>部门概况</w:t>
      </w:r>
      <w:bookmarkEnd w:id="24"/>
    </w:p>
    <w:p>
      <w:pPr>
        <w:pStyle w:val="4"/>
        <w:numPr>
          <w:ilvl w:val="0"/>
          <w:numId w:val="1"/>
        </w:numPr>
        <w:rPr>
          <w:rFonts w:hint="eastAsia" w:ascii="黑体" w:hAnsi="黑体" w:eastAsia="黑体"/>
          <w:b w:val="0"/>
        </w:rPr>
      </w:pPr>
      <w:bookmarkStart w:id="25" w:name="_Toc2823"/>
      <w:r>
        <w:rPr>
          <w:rFonts w:hint="eastAsia" w:ascii="黑体" w:hAnsi="黑体" w:eastAsia="黑体"/>
          <w:b w:val="0"/>
        </w:rPr>
        <w:t>部门职责</w:t>
      </w:r>
      <w:bookmarkEnd w:id="25"/>
    </w:p>
    <w:p>
      <w:pPr>
        <w:keepNext w:val="0"/>
        <w:keepLines w:val="0"/>
        <w:pageBreakBefore w:val="0"/>
        <w:widowControl w:val="0"/>
        <w:kinsoku/>
        <w:wordWrap w:val="0"/>
        <w:overflowPunct/>
        <w:topLinePunct w:val="0"/>
        <w:autoSpaceDE w:val="0"/>
        <w:autoSpaceDN/>
        <w:bidi w:val="0"/>
        <w:adjustRightInd w:val="0"/>
        <w:snapToGrid w:val="0"/>
        <w:spacing w:before="93" w:beforeLines="30" w:beforeAutospacing="0" w:after="0" w:afterAutospacing="0" w:line="572" w:lineRule="atLeas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1.负责政协红原县委员会全体会议、常委会议、主席会议和其他主要会议的组织和会务工作，并组织实施“三个例会”的决议、决定。</w:t>
      </w:r>
    </w:p>
    <w:p>
      <w:pPr>
        <w:keepNext w:val="0"/>
        <w:keepLines w:val="0"/>
        <w:pageBreakBefore w:val="0"/>
        <w:widowControl w:val="0"/>
        <w:kinsoku/>
        <w:wordWrap w:val="0"/>
        <w:overflowPunct/>
        <w:topLinePunct w:val="0"/>
        <w:autoSpaceDE w:val="0"/>
        <w:autoSpaceDN/>
        <w:bidi w:val="0"/>
        <w:adjustRightInd w:val="0"/>
        <w:snapToGrid w:val="0"/>
        <w:spacing w:before="93" w:beforeLines="30" w:beforeAutospacing="0" w:after="0" w:afterAutospacing="0" w:line="572" w:lineRule="atLeas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2.组织委员视察参观、调查、座谈等日常活动以及各专门委员会的其他工作的组织和服务工作，负责县政协举办各种重大活动的组织、宣传工作。</w:t>
      </w:r>
    </w:p>
    <w:p>
      <w:pPr>
        <w:keepNext w:val="0"/>
        <w:keepLines w:val="0"/>
        <w:pageBreakBefore w:val="0"/>
        <w:widowControl w:val="0"/>
        <w:kinsoku/>
        <w:wordWrap w:val="0"/>
        <w:overflowPunct/>
        <w:topLinePunct w:val="0"/>
        <w:autoSpaceDE w:val="0"/>
        <w:autoSpaceDN/>
        <w:bidi w:val="0"/>
        <w:adjustRightInd w:val="0"/>
        <w:snapToGrid w:val="0"/>
        <w:spacing w:before="93" w:beforeLines="30" w:beforeAutospacing="0" w:after="0" w:afterAutospacing="0" w:line="572" w:lineRule="atLeas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3.研究统一战线和人民政协的理论、政策，调查研究和了解有关我县各项事业及群众生活的重要问题提出解决办法，供党政机关参考。</w:t>
      </w:r>
    </w:p>
    <w:p>
      <w:pPr>
        <w:keepNext w:val="0"/>
        <w:keepLines w:val="0"/>
        <w:pageBreakBefore w:val="0"/>
        <w:widowControl w:val="0"/>
        <w:kinsoku/>
        <w:wordWrap w:val="0"/>
        <w:overflowPunct/>
        <w:topLinePunct w:val="0"/>
        <w:autoSpaceDN/>
        <w:bidi w:val="0"/>
        <w:adjustRightInd w:val="0"/>
        <w:snapToGrid w:val="0"/>
        <w:spacing w:before="93" w:beforeLines="30" w:beforeAutospacing="0" w:after="0" w:afterAutospacing="0" w:line="572" w:lineRule="atLeas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4.密切与县委、县人大、县政府有关部门的联系，搞好协调工作，做好上情下达、下情上报工作。</w:t>
      </w:r>
    </w:p>
    <w:p>
      <w:pPr>
        <w:keepNext w:val="0"/>
        <w:keepLines w:val="0"/>
        <w:pageBreakBefore w:val="0"/>
        <w:widowControl w:val="0"/>
        <w:kinsoku/>
        <w:wordWrap w:val="0"/>
        <w:overflowPunct/>
        <w:topLinePunct w:val="0"/>
        <w:autoSpaceDN/>
        <w:bidi w:val="0"/>
        <w:adjustRightInd w:val="0"/>
        <w:snapToGrid w:val="0"/>
        <w:spacing w:before="93" w:beforeLines="30" w:beforeAutospacing="0" w:after="0" w:afterAutospacing="0" w:line="572" w:lineRule="atLeas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5.负责政协工作的内外宣传、收集、反映各族各界人士的意见、建议。</w:t>
      </w:r>
    </w:p>
    <w:p>
      <w:pPr>
        <w:keepNext w:val="0"/>
        <w:keepLines w:val="0"/>
        <w:pageBreakBefore w:val="0"/>
        <w:widowControl w:val="0"/>
        <w:kinsoku/>
        <w:wordWrap w:val="0"/>
        <w:overflowPunct/>
        <w:topLinePunct w:val="0"/>
        <w:autoSpaceDN/>
        <w:bidi w:val="0"/>
        <w:adjustRightInd w:val="0"/>
        <w:snapToGrid w:val="0"/>
        <w:spacing w:before="93" w:beforeLines="30" w:beforeAutospacing="0" w:after="0" w:afterAutospacing="0" w:line="572" w:lineRule="atLeast"/>
        <w:ind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6.负责管理政协委员会机关行政、文秘、档案、信访、保密等工作。</w:t>
      </w:r>
    </w:p>
    <w:p>
      <w:pPr>
        <w:keepNext w:val="0"/>
        <w:keepLines w:val="0"/>
        <w:pageBreakBefore w:val="0"/>
        <w:widowControl w:val="0"/>
        <w:kinsoku/>
        <w:wordWrap w:val="0"/>
        <w:overflowPunct/>
        <w:topLinePunct w:val="0"/>
        <w:autoSpaceDN/>
        <w:bidi w:val="0"/>
        <w:spacing w:before="0" w:beforeAutospacing="0" w:after="100" w:afterAutospacing="0" w:line="572" w:lineRule="atLeast"/>
        <w:ind w:right="0" w:firstLine="640" w:firstLineChars="200"/>
        <w:jc w:val="left"/>
        <w:textAlignment w:val="auto"/>
        <w:rPr>
          <w:rStyle w:val="31"/>
          <w:b w:val="0"/>
          <w:bCs w:val="0"/>
          <w:sz w:val="32"/>
          <w:szCs w:val="32"/>
        </w:rPr>
      </w:pPr>
      <w:r>
        <w:rPr>
          <w:rFonts w:hint="eastAsia" w:ascii="仿宋_GB2312" w:hAnsi="仿宋_GB2312" w:eastAsia="仿宋_GB2312" w:cs="仿宋_GB2312"/>
          <w:kern w:val="0"/>
          <w:sz w:val="32"/>
          <w:szCs w:val="32"/>
          <w:lang w:val="en-US" w:eastAsia="zh-CN" w:bidi="ar"/>
        </w:rPr>
        <w:t>7.承担县政协主席、副主席和州政协交办的其他工作。</w:t>
      </w:r>
      <w:bookmarkStart w:id="26" w:name="_Toc15396601"/>
      <w:bookmarkStart w:id="27" w:name="_Toc15377200"/>
      <w:r>
        <w:rPr>
          <w:rFonts w:hint="eastAsia" w:ascii="黑体" w:eastAsia="黑体"/>
          <w:b w:val="0"/>
          <w:sz w:val="32"/>
          <w:szCs w:val="32"/>
        </w:rPr>
        <w:t>二、</w:t>
      </w:r>
      <w:r>
        <w:rPr>
          <w:rFonts w:hint="eastAsia" w:ascii="黑体" w:hAnsi="黑体" w:eastAsia="黑体"/>
          <w:b w:val="0"/>
          <w:sz w:val="32"/>
          <w:szCs w:val="32"/>
        </w:rPr>
        <w:t>机</w:t>
      </w:r>
      <w:r>
        <w:rPr>
          <w:rStyle w:val="31"/>
          <w:rFonts w:hint="eastAsia" w:ascii="黑体" w:hAnsi="黑体" w:eastAsia="黑体"/>
          <w:b w:val="0"/>
          <w:bCs w:val="0"/>
          <w:sz w:val="32"/>
          <w:szCs w:val="32"/>
        </w:rPr>
        <w:t>构设置</w:t>
      </w:r>
      <w:bookmarkEnd w:id="26"/>
      <w:bookmarkEnd w:id="27"/>
    </w:p>
    <w:p>
      <w:pPr>
        <w:ind w:firstLine="800" w:firstLineChars="2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中国人民政治协商会议四川省红原县委员会办公室下属</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级预算单位2个，其中行政单位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个，参照公务员法管理的事业单位</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p>
    <w:p>
      <w:pPr>
        <w:pStyle w:val="6"/>
        <w:adjustRightInd w:val="0"/>
        <w:snapToGrid w:val="0"/>
        <w:spacing w:before="93" w:line="600" w:lineRule="exact"/>
        <w:ind w:firstLine="672" w:firstLineChars="21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纳入</w:t>
      </w:r>
      <w:r>
        <w:rPr>
          <w:rFonts w:hint="eastAsia" w:ascii="仿宋_GB2312" w:hAnsi="仿宋_GB2312" w:eastAsia="仿宋_GB2312" w:cs="仿宋_GB2312"/>
          <w:kern w:val="2"/>
          <w:sz w:val="32"/>
          <w:szCs w:val="32"/>
        </w:rPr>
        <w:t>中国人民政治协商会议四川省红原县委员会办公室</w:t>
      </w:r>
      <w:r>
        <w:rPr>
          <w:rFonts w:hint="eastAsia" w:hAnsi="仿宋_GB2312" w:cs="仿宋_GB2312"/>
          <w:sz w:val="32"/>
          <w:szCs w:val="32"/>
          <w:lang w:eastAsia="zh-CN"/>
        </w:rPr>
        <w:t>2024</w:t>
      </w:r>
      <w:r>
        <w:rPr>
          <w:rFonts w:hint="eastAsia" w:ascii="仿宋_GB2312" w:hAnsi="仿宋_GB2312" w:eastAsia="仿宋_GB2312" w:cs="仿宋_GB2312"/>
          <w:sz w:val="32"/>
          <w:szCs w:val="32"/>
        </w:rPr>
        <w:t>年度部门决算编制范围的</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级预算单位包括：</w:t>
      </w:r>
    </w:p>
    <w:p>
      <w:pPr>
        <w:pStyle w:val="6"/>
        <w:numPr>
          <w:ilvl w:val="0"/>
          <w:numId w:val="2"/>
        </w:numPr>
        <w:adjustRightInd w:val="0"/>
        <w:snapToGrid w:val="0"/>
        <w:spacing w:before="93" w:line="600" w:lineRule="exact"/>
        <w:outlineLvl w:val="2"/>
        <w:rPr>
          <w:rFonts w:hint="eastAsia" w:ascii="仿宋_GB2312" w:hAnsi="仿宋_GB2312" w:eastAsia="仿宋_GB2312" w:cs="仿宋_GB2312"/>
          <w:kern w:val="2"/>
          <w:sz w:val="32"/>
          <w:szCs w:val="32"/>
        </w:rPr>
      </w:pPr>
      <w:bookmarkStart w:id="28" w:name="_Toc15377202"/>
      <w:bookmarkStart w:id="29" w:name="_Toc15306276"/>
      <w:bookmarkStart w:id="30" w:name="_Toc15378449"/>
      <w:bookmarkStart w:id="31" w:name="_Toc8386"/>
      <w:bookmarkStart w:id="32" w:name="_Toc15377433"/>
      <w:r>
        <w:rPr>
          <w:rFonts w:hint="eastAsia" w:ascii="仿宋_GB2312" w:hAnsi="仿宋_GB2312" w:eastAsia="仿宋_GB2312" w:cs="仿宋_GB2312"/>
          <w:kern w:val="2"/>
          <w:sz w:val="32"/>
          <w:szCs w:val="32"/>
        </w:rPr>
        <w:t>中国人民政治协商会议四川省红原县委员会办公室</w:t>
      </w:r>
      <w:bookmarkEnd w:id="28"/>
      <w:bookmarkEnd w:id="29"/>
      <w:bookmarkEnd w:id="30"/>
      <w:bookmarkEnd w:id="31"/>
      <w:bookmarkEnd w:id="32"/>
      <w:bookmarkStart w:id="33" w:name="_Toc15377203"/>
      <w:bookmarkStart w:id="34" w:name="_Toc15306277"/>
      <w:bookmarkStart w:id="35" w:name="_Toc15378450"/>
      <w:bookmarkStart w:id="36" w:name="_Toc15377434"/>
    </w:p>
    <w:bookmarkEnd w:id="33"/>
    <w:bookmarkEnd w:id="34"/>
    <w:bookmarkEnd w:id="35"/>
    <w:bookmarkEnd w:id="36"/>
    <w:p>
      <w:pPr>
        <w:pStyle w:val="6"/>
        <w:numPr>
          <w:ilvl w:val="0"/>
          <w:numId w:val="2"/>
        </w:numPr>
        <w:adjustRightInd w:val="0"/>
        <w:snapToGrid w:val="0"/>
        <w:spacing w:before="93" w:line="600" w:lineRule="exact"/>
        <w:outlineLvl w:val="2"/>
        <w:rPr>
          <w:rFonts w:hint="eastAsia" w:ascii="仿宋_GB2312" w:hAnsi="仿宋_GB2312" w:eastAsia="仿宋_GB2312" w:cs="仿宋_GB2312"/>
          <w:sz w:val="32"/>
          <w:szCs w:val="32"/>
          <w:lang w:val="en-US" w:eastAsia="zh-CN"/>
        </w:rPr>
      </w:pPr>
      <w:bookmarkStart w:id="37" w:name="_Toc20862"/>
      <w:r>
        <w:rPr>
          <w:rFonts w:hint="eastAsia" w:ascii="仿宋_GB2312" w:hAnsi="仿宋_GB2312" w:eastAsia="仿宋_GB2312" w:cs="仿宋_GB2312"/>
          <w:sz w:val="32"/>
          <w:szCs w:val="32"/>
          <w:lang w:val="en-US" w:eastAsia="zh-CN"/>
        </w:rPr>
        <w:t>红原县政协网络信息服务中心</w:t>
      </w:r>
      <w:bookmarkEnd w:id="37"/>
    </w:p>
    <w:p>
      <w:pPr>
        <w:numPr>
          <w:ilvl w:val="0"/>
          <w:numId w:val="0"/>
        </w:numPr>
        <w:rPr>
          <w:rFonts w:hint="eastAsia"/>
        </w:rPr>
      </w:pPr>
    </w:p>
    <w:p>
      <w:pPr>
        <w:widowControl/>
        <w:numPr>
          <w:ilvl w:val="0"/>
          <w:numId w:val="3"/>
        </w:numPr>
        <w:ind w:firstLine="440" w:firstLineChars="100"/>
        <w:jc w:val="left"/>
        <w:outlineLvl w:val="0"/>
        <w:rPr>
          <w:rStyle w:val="30"/>
          <w:rFonts w:hint="eastAsia" w:ascii="黑体" w:hAnsi="黑体" w:eastAsia="黑体"/>
          <w:b w:val="0"/>
          <w:bCs/>
          <w:sz w:val="44"/>
          <w:szCs w:val="44"/>
        </w:rPr>
      </w:pPr>
      <w:bookmarkStart w:id="38" w:name="_Toc27312"/>
      <w:bookmarkStart w:id="39" w:name="_Toc15377204"/>
      <w:bookmarkStart w:id="40" w:name="_Toc15396602"/>
      <w:r>
        <w:rPr>
          <w:rFonts w:hint="eastAsia" w:ascii="黑体" w:hAnsi="黑体" w:eastAsia="黑体"/>
          <w:b w:val="0"/>
          <w:sz w:val="44"/>
          <w:szCs w:val="44"/>
          <w:lang w:eastAsia="zh-CN"/>
        </w:rPr>
        <w:t>2024</w:t>
      </w:r>
      <w:r>
        <w:rPr>
          <w:rFonts w:hint="eastAsia" w:ascii="黑体" w:hAnsi="黑体" w:eastAsia="黑体"/>
          <w:b w:val="0"/>
          <w:sz w:val="44"/>
          <w:szCs w:val="44"/>
        </w:rPr>
        <w:t>年度</w:t>
      </w:r>
      <w:r>
        <w:rPr>
          <w:rStyle w:val="30"/>
          <w:rFonts w:hint="eastAsia" w:ascii="黑体" w:hAnsi="黑体" w:eastAsia="黑体"/>
          <w:b w:val="0"/>
          <w:bCs/>
          <w:sz w:val="44"/>
          <w:szCs w:val="44"/>
        </w:rPr>
        <w:t>部门决算情况说明</w:t>
      </w:r>
      <w:bookmarkEnd w:id="38"/>
      <w:bookmarkEnd w:id="39"/>
      <w:bookmarkEnd w:id="40"/>
    </w:p>
    <w:p/>
    <w:p>
      <w:pPr>
        <w:pStyle w:val="29"/>
        <w:numPr>
          <w:ilvl w:val="0"/>
          <w:numId w:val="4"/>
        </w:numPr>
        <w:spacing w:line="600" w:lineRule="exact"/>
        <w:ind w:firstLineChars="0"/>
        <w:outlineLvl w:val="1"/>
        <w:rPr>
          <w:rStyle w:val="31"/>
          <w:rFonts w:ascii="黑体" w:hAnsi="黑体" w:eastAsia="黑体"/>
          <w:b w:val="0"/>
        </w:rPr>
      </w:pPr>
      <w:bookmarkStart w:id="41" w:name="_Toc15396603"/>
      <w:bookmarkStart w:id="42" w:name="_Toc22877"/>
      <w:bookmarkStart w:id="43" w:name="_Toc15377205"/>
      <w:r>
        <w:rPr>
          <w:rFonts w:hint="eastAsia" w:ascii="黑体" w:hAnsi="黑体" w:eastAsia="黑体"/>
          <w:sz w:val="32"/>
          <w:szCs w:val="32"/>
        </w:rPr>
        <w:t>收</w:t>
      </w:r>
      <w:r>
        <w:rPr>
          <w:rStyle w:val="31"/>
          <w:rFonts w:hint="eastAsia" w:ascii="黑体" w:hAnsi="黑体" w:eastAsia="黑体"/>
          <w:b w:val="0"/>
        </w:rPr>
        <w:t>入支出决算总体情况说明</w:t>
      </w:r>
      <w:bookmarkEnd w:id="41"/>
      <w:bookmarkEnd w:id="42"/>
      <w:bookmarkEnd w:id="43"/>
    </w:p>
    <w:p>
      <w:pPr>
        <w:spacing w:line="600" w:lineRule="exact"/>
        <w:ind w:firstLine="640" w:firstLineChars="200"/>
        <w:jc w:val="left"/>
        <w:rPr>
          <w:rFonts w:hint="default" w:ascii="仿宋" w:hAnsi="仿宋" w:eastAsia="仿宋"/>
          <w:sz w:val="32"/>
          <w:szCs w:val="32"/>
          <w:lang w:val="en-US"/>
        </w:rPr>
      </w:pPr>
      <w:r>
        <w:rPr>
          <w:rFonts w:hint="eastAsia" w:ascii="仿宋" w:hAnsi="仿宋" w:eastAsia="仿宋"/>
          <w:sz w:val="32"/>
          <w:szCs w:val="32"/>
          <w:lang w:eastAsia="zh-CN"/>
        </w:rPr>
        <w:t>2024</w:t>
      </w:r>
      <w:r>
        <w:rPr>
          <w:rFonts w:hint="eastAsia" w:ascii="仿宋" w:hAnsi="仿宋" w:eastAsia="仿宋"/>
          <w:sz w:val="32"/>
          <w:szCs w:val="32"/>
        </w:rPr>
        <w:t>年度收、支总计均为</w:t>
      </w:r>
      <w:r>
        <w:rPr>
          <w:rFonts w:hint="eastAsia" w:eastAsia="仿宋"/>
          <w:sz w:val="32"/>
          <w:szCs w:val="32"/>
          <w:lang w:val="en-US" w:eastAsia="zh-CN"/>
        </w:rPr>
        <w:t>843.25</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w:t>
      </w:r>
      <w:r>
        <w:rPr>
          <w:rFonts w:hint="eastAsia" w:ascii="仿宋" w:hAnsi="仿宋" w:eastAsia="仿宋"/>
          <w:sz w:val="32"/>
          <w:szCs w:val="32"/>
          <w:lang w:eastAsia="zh-CN"/>
        </w:rPr>
        <w:t>2023</w:t>
      </w:r>
      <w:r>
        <w:rPr>
          <w:rFonts w:hint="eastAsia" w:ascii="仿宋" w:hAnsi="仿宋" w:eastAsia="仿宋"/>
          <w:sz w:val="32"/>
          <w:szCs w:val="32"/>
        </w:rPr>
        <w:t>年度相比，收、支总计</w:t>
      </w:r>
      <w:r>
        <w:rPr>
          <w:rFonts w:hint="eastAsia" w:ascii="仿宋" w:hAnsi="仿宋" w:eastAsia="仿宋"/>
          <w:sz w:val="32"/>
          <w:szCs w:val="32"/>
          <w:lang w:val="en-US" w:eastAsia="zh-CN"/>
        </w:rPr>
        <w:t>均增加-101.85</w:t>
      </w:r>
      <w:r>
        <w:rPr>
          <w:rFonts w:hint="eastAsia" w:ascii="仿宋" w:hAnsi="仿宋" w:eastAsia="仿宋"/>
          <w:sz w:val="32"/>
          <w:szCs w:val="32"/>
        </w:rPr>
        <w:t>万元，</w:t>
      </w:r>
      <w:r>
        <w:rPr>
          <w:rFonts w:hint="eastAsia" w:ascii="仿宋" w:hAnsi="仿宋" w:eastAsia="仿宋"/>
          <w:sz w:val="32"/>
          <w:szCs w:val="32"/>
          <w:lang w:val="en-US" w:eastAsia="zh-CN"/>
        </w:rPr>
        <w:t>增长-10.78</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上年度购置公务用车增加公用经费支出。</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Style w:val="6"/>
      </w:pPr>
      <w:r>
        <w:rPr>
          <w:rFonts w:hint="eastAsia" w:ascii="仿宋" w:eastAsia="仿宋"/>
          <w:sz w:val="32"/>
          <w:szCs w:val="32"/>
          <w:lang w:eastAsia="zh-CN"/>
        </w:rPr>
        <w:drawing>
          <wp:anchor distT="0" distB="0" distL="114300" distR="114300" simplePos="0" relativeHeight="251659264" behindDoc="0" locked="0" layoutInCell="1" allowOverlap="1">
            <wp:simplePos x="0" y="0"/>
            <wp:positionH relativeFrom="column">
              <wp:posOffset>385445</wp:posOffset>
            </wp:positionH>
            <wp:positionV relativeFrom="paragraph">
              <wp:posOffset>194310</wp:posOffset>
            </wp:positionV>
            <wp:extent cx="4090035" cy="2065655"/>
            <wp:effectExtent l="4445" t="4445" r="20320" b="635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
      <w:pPr>
        <w:pStyle w:val="6"/>
      </w:pPr>
    </w:p>
    <w:p/>
    <w:p>
      <w:pPr>
        <w:pStyle w:val="6"/>
      </w:pPr>
    </w:p>
    <w:p/>
    <w:p>
      <w:pPr>
        <w:spacing w:line="600" w:lineRule="exact"/>
        <w:jc w:val="left"/>
        <w:rPr>
          <w:rFonts w:ascii="仿宋_GB2312" w:eastAsia="仿宋_GB2312"/>
          <w:sz w:val="32"/>
          <w:szCs w:val="32"/>
        </w:rPr>
      </w:pPr>
    </w:p>
    <w:p>
      <w:pPr>
        <w:pStyle w:val="29"/>
        <w:numPr>
          <w:ilvl w:val="0"/>
          <w:numId w:val="4"/>
        </w:numPr>
        <w:spacing w:line="600" w:lineRule="exact"/>
        <w:ind w:firstLineChars="0"/>
        <w:outlineLvl w:val="1"/>
        <w:rPr>
          <w:rStyle w:val="31"/>
          <w:rFonts w:ascii="黑体" w:hAnsi="黑体" w:eastAsia="黑体"/>
          <w:b w:val="0"/>
        </w:rPr>
      </w:pPr>
      <w:bookmarkStart w:id="44" w:name="_Toc15396604"/>
      <w:bookmarkStart w:id="45" w:name="_Toc15377206"/>
      <w:bookmarkStart w:id="46" w:name="_Toc26941"/>
      <w:r>
        <w:rPr>
          <w:rFonts w:hint="eastAsia" w:ascii="黑体" w:hAnsi="黑体" w:eastAsia="黑体"/>
          <w:sz w:val="32"/>
          <w:szCs w:val="32"/>
        </w:rPr>
        <w:t>收</w:t>
      </w:r>
      <w:r>
        <w:rPr>
          <w:rStyle w:val="31"/>
          <w:rFonts w:hint="eastAsia" w:ascii="黑体" w:hAnsi="黑体" w:eastAsia="黑体"/>
          <w:b w:val="0"/>
        </w:rPr>
        <w:t>入决算情况说明</w:t>
      </w:r>
      <w:bookmarkEnd w:id="44"/>
      <w:bookmarkEnd w:id="45"/>
      <w:bookmarkEnd w:id="46"/>
    </w:p>
    <w:p>
      <w:pPr>
        <w:spacing w:line="600" w:lineRule="exact"/>
        <w:ind w:firstLine="640" w:firstLineChars="200"/>
        <w:jc w:val="left"/>
        <w:outlineLvl w:val="1"/>
        <w:rPr>
          <w:rFonts w:ascii="仿宋" w:hAnsi="仿宋" w:eastAsia="仿宋"/>
          <w:sz w:val="32"/>
          <w:szCs w:val="32"/>
        </w:rPr>
      </w:pPr>
      <w:bookmarkStart w:id="47" w:name="_Toc17878"/>
      <w:r>
        <w:rPr>
          <w:rFonts w:hint="eastAsia" w:ascii="仿宋" w:hAnsi="仿宋" w:eastAsia="仿宋"/>
          <w:sz w:val="32"/>
          <w:szCs w:val="32"/>
          <w:lang w:eastAsia="zh-CN"/>
        </w:rPr>
        <w:t>2024</w:t>
      </w:r>
      <w:r>
        <w:rPr>
          <w:rFonts w:hint="eastAsia" w:ascii="仿宋" w:hAnsi="仿宋" w:eastAsia="仿宋"/>
          <w:sz w:val="32"/>
          <w:szCs w:val="32"/>
        </w:rPr>
        <w:t>年度本年收入合计</w:t>
      </w:r>
      <w:r>
        <w:rPr>
          <w:rFonts w:hint="eastAsia" w:eastAsia="仿宋"/>
          <w:sz w:val="32"/>
          <w:szCs w:val="32"/>
          <w:lang w:val="en-US" w:eastAsia="zh-CN"/>
        </w:rPr>
        <w:t>843.25</w:t>
      </w:r>
      <w:r>
        <w:rPr>
          <w:rFonts w:hint="eastAsia" w:ascii="仿宋" w:hAnsi="仿宋" w:eastAsia="仿宋"/>
          <w:sz w:val="32"/>
          <w:szCs w:val="32"/>
        </w:rPr>
        <w:t>万元，其中：一般公共预算财政拨款收入</w:t>
      </w:r>
      <w:r>
        <w:rPr>
          <w:rFonts w:hint="eastAsia" w:eastAsia="仿宋"/>
          <w:sz w:val="32"/>
          <w:szCs w:val="32"/>
          <w:lang w:val="en-US" w:eastAsia="zh-CN"/>
        </w:rPr>
        <w:t>843.25</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w:t>
      </w:r>
      <w:bookmarkEnd w:id="47"/>
    </w:p>
    <w:p>
      <w:pPr>
        <w:spacing w:line="600" w:lineRule="exact"/>
        <w:ind w:firstLine="640" w:firstLineChars="200"/>
        <w:rPr>
          <w:rFonts w:ascii="仿宋" w:hAnsi="仿宋" w:eastAsia="仿宋"/>
          <w:sz w:val="32"/>
          <w:szCs w:val="32"/>
        </w:rPr>
      </w:pPr>
      <w:r>
        <w:rPr>
          <w:rFonts w:hint="eastAsia" w:ascii="仿宋" w:hAnsi="仿宋" w:eastAsia="仿宋"/>
          <w:sz w:val="32"/>
          <w:szCs w:val="32"/>
        </w:rPr>
        <w:t>（图2：收入决算结构图）（饼状图）</w:t>
      </w:r>
    </w:p>
    <w:p>
      <w:pPr>
        <w:spacing w:line="600" w:lineRule="exact"/>
        <w:ind w:firstLine="640" w:firstLineChars="200"/>
        <w:rPr>
          <w:rFonts w:ascii="仿宋_GB2312" w:eastAsia="仿宋_GB2312"/>
          <w:sz w:val="32"/>
          <w:szCs w:val="32"/>
        </w:rPr>
      </w:pPr>
      <w:r>
        <w:rPr>
          <w:rFonts w:hint="eastAsia" w:ascii="仿宋_GB2312" w:eastAsia="仿宋_GB2312"/>
          <w:sz w:val="32"/>
          <w:szCs w:val="32"/>
          <w:lang w:eastAsia="zh-CN"/>
        </w:rPr>
        <w:drawing>
          <wp:anchor distT="0" distB="0" distL="114300" distR="114300" simplePos="0" relativeHeight="251660288" behindDoc="0" locked="0" layoutInCell="1" allowOverlap="1">
            <wp:simplePos x="0" y="0"/>
            <wp:positionH relativeFrom="column">
              <wp:posOffset>461645</wp:posOffset>
            </wp:positionH>
            <wp:positionV relativeFrom="paragraph">
              <wp:posOffset>99695</wp:posOffset>
            </wp:positionV>
            <wp:extent cx="4109085" cy="2007870"/>
            <wp:effectExtent l="4445" t="4445" r="20320" b="698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6"/>
        <w:rPr>
          <w:rFonts w:ascii="仿宋_GB2312" w:eastAsia="仿宋_GB2312"/>
          <w:sz w:val="32"/>
          <w:szCs w:val="32"/>
        </w:rPr>
      </w:pPr>
    </w:p>
    <w:p>
      <w:pPr>
        <w:rPr>
          <w:rFonts w:ascii="仿宋_GB2312" w:eastAsia="仿宋_GB2312"/>
          <w:sz w:val="32"/>
          <w:szCs w:val="32"/>
        </w:rPr>
      </w:pPr>
    </w:p>
    <w:p>
      <w:pPr>
        <w:pStyle w:val="6"/>
        <w:rPr>
          <w:rFonts w:ascii="仿宋_GB2312" w:eastAsia="仿宋_GB2312"/>
          <w:sz w:val="32"/>
          <w:szCs w:val="32"/>
        </w:rPr>
      </w:pPr>
    </w:p>
    <w:p>
      <w:pPr>
        <w:rPr>
          <w:rFonts w:ascii="仿宋_GB2312" w:eastAsia="仿宋_GB2312"/>
          <w:sz w:val="32"/>
          <w:szCs w:val="32"/>
        </w:rPr>
      </w:pPr>
    </w:p>
    <w:p/>
    <w:p>
      <w:pPr>
        <w:pStyle w:val="29"/>
        <w:numPr>
          <w:ilvl w:val="0"/>
          <w:numId w:val="4"/>
        </w:numPr>
        <w:spacing w:line="600" w:lineRule="exact"/>
        <w:ind w:firstLineChars="0"/>
        <w:outlineLvl w:val="1"/>
        <w:rPr>
          <w:rStyle w:val="31"/>
          <w:rFonts w:ascii="黑体" w:hAnsi="黑体" w:eastAsia="黑体"/>
          <w:b w:val="0"/>
        </w:rPr>
      </w:pPr>
      <w:bookmarkStart w:id="48" w:name="_Toc27531"/>
      <w:bookmarkStart w:id="49" w:name="_Toc15396605"/>
      <w:bookmarkStart w:id="50" w:name="_Toc15377207"/>
      <w:r>
        <w:rPr>
          <w:rFonts w:hint="eastAsia" w:ascii="黑体" w:hAnsi="黑体" w:eastAsia="黑体"/>
          <w:sz w:val="32"/>
          <w:szCs w:val="32"/>
        </w:rPr>
        <w:t>支</w:t>
      </w:r>
      <w:r>
        <w:rPr>
          <w:rStyle w:val="31"/>
          <w:rFonts w:hint="eastAsia" w:ascii="黑体" w:hAnsi="黑体" w:eastAsia="黑体"/>
          <w:b w:val="0"/>
        </w:rPr>
        <w:t>出决算情况说明</w:t>
      </w:r>
      <w:bookmarkEnd w:id="48"/>
      <w:bookmarkEnd w:id="49"/>
      <w:bookmarkEnd w:id="50"/>
    </w:p>
    <w:p>
      <w:pPr>
        <w:spacing w:line="600" w:lineRule="exact"/>
        <w:ind w:firstLine="640" w:firstLineChars="200"/>
        <w:outlineLvl w:val="1"/>
        <w:rPr>
          <w:rFonts w:ascii="仿宋" w:hAnsi="仿宋" w:eastAsia="仿宋"/>
          <w:sz w:val="32"/>
          <w:szCs w:val="32"/>
          <w:shd w:val="pct10" w:color="auto" w:fill="FFFFFF"/>
        </w:rPr>
      </w:pPr>
      <w:bookmarkStart w:id="51" w:name="_Toc26457"/>
      <w:r>
        <w:rPr>
          <w:rFonts w:hint="eastAsia" w:ascii="仿宋" w:hAnsi="仿宋" w:eastAsia="仿宋"/>
          <w:sz w:val="32"/>
          <w:szCs w:val="32"/>
          <w:lang w:eastAsia="zh-CN"/>
        </w:rPr>
        <w:t>2024</w:t>
      </w:r>
      <w:r>
        <w:rPr>
          <w:rFonts w:hint="eastAsia" w:ascii="仿宋" w:hAnsi="仿宋" w:eastAsia="仿宋"/>
          <w:sz w:val="32"/>
          <w:szCs w:val="32"/>
        </w:rPr>
        <w:t>年度本年支出合计</w:t>
      </w:r>
      <w:r>
        <w:rPr>
          <w:rFonts w:hint="eastAsia" w:eastAsia="仿宋"/>
          <w:sz w:val="32"/>
          <w:szCs w:val="32"/>
          <w:lang w:val="en-US" w:eastAsia="zh-CN"/>
        </w:rPr>
        <w:t>843.25</w:t>
      </w:r>
      <w:r>
        <w:rPr>
          <w:rFonts w:hint="eastAsia" w:ascii="仿宋" w:hAnsi="仿宋" w:eastAsia="仿宋"/>
          <w:sz w:val="32"/>
          <w:szCs w:val="32"/>
        </w:rPr>
        <w:t>万元，其中：基本支出</w:t>
      </w:r>
      <w:r>
        <w:rPr>
          <w:rFonts w:hint="eastAsia" w:eastAsia="仿宋"/>
          <w:sz w:val="32"/>
          <w:szCs w:val="32"/>
          <w:lang w:val="en-US" w:eastAsia="zh-CN"/>
        </w:rPr>
        <w:t>670.23</w:t>
      </w:r>
      <w:r>
        <w:rPr>
          <w:rFonts w:hint="eastAsia" w:ascii="仿宋" w:hAnsi="仿宋" w:eastAsia="仿宋"/>
          <w:sz w:val="32"/>
          <w:szCs w:val="32"/>
        </w:rPr>
        <w:t>万元，占</w:t>
      </w:r>
      <w:r>
        <w:rPr>
          <w:rFonts w:hint="eastAsia" w:eastAsia="仿宋"/>
          <w:sz w:val="32"/>
          <w:szCs w:val="32"/>
          <w:lang w:val="en-US" w:eastAsia="zh-CN"/>
        </w:rPr>
        <w:t>79.48</w:t>
      </w:r>
      <w:r>
        <w:rPr>
          <w:rFonts w:ascii="仿宋" w:hAnsi="仿宋" w:eastAsia="仿宋"/>
          <w:sz w:val="32"/>
          <w:szCs w:val="32"/>
        </w:rPr>
        <w:t>%</w:t>
      </w:r>
      <w:r>
        <w:rPr>
          <w:rFonts w:hint="eastAsia" w:ascii="仿宋" w:hAnsi="仿宋" w:eastAsia="仿宋"/>
          <w:sz w:val="32"/>
          <w:szCs w:val="32"/>
        </w:rPr>
        <w:t>；项目支出</w:t>
      </w:r>
      <w:r>
        <w:rPr>
          <w:rFonts w:hint="eastAsia" w:eastAsia="仿宋"/>
          <w:sz w:val="32"/>
          <w:szCs w:val="32"/>
          <w:lang w:val="en-US" w:eastAsia="zh-CN"/>
        </w:rPr>
        <w:t>173.02</w:t>
      </w:r>
      <w:r>
        <w:rPr>
          <w:rFonts w:hint="eastAsia" w:ascii="仿宋" w:hAnsi="仿宋" w:eastAsia="仿宋"/>
          <w:sz w:val="32"/>
          <w:szCs w:val="32"/>
        </w:rPr>
        <w:t>万元，占</w:t>
      </w:r>
      <w:r>
        <w:rPr>
          <w:rFonts w:hint="eastAsia" w:eastAsia="仿宋"/>
          <w:sz w:val="32"/>
          <w:szCs w:val="32"/>
          <w:lang w:val="en-US" w:eastAsia="zh-CN"/>
        </w:rPr>
        <w:t>20.52</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bookmarkEnd w:id="51"/>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（图3：支出决算结构图）（饼状图）</w:t>
      </w:r>
    </w:p>
    <w:p>
      <w:pPr>
        <w:pStyle w:val="6"/>
        <w:rPr>
          <w:rFonts w:hint="eastAsia" w:ascii="仿宋" w:hAnsi="仿宋" w:eastAsia="仿宋"/>
          <w:sz w:val="32"/>
          <w:szCs w:val="32"/>
        </w:rPr>
      </w:pPr>
      <w:r>
        <w:rPr>
          <w:rFonts w:hint="eastAsia" w:ascii="仿宋_GB2312" w:eastAsia="仿宋_GB2312"/>
          <w:sz w:val="32"/>
          <w:szCs w:val="32"/>
          <w:lang w:eastAsia="zh-CN"/>
        </w:rPr>
        <w:drawing>
          <wp:anchor distT="0" distB="0" distL="114300" distR="114300" simplePos="0" relativeHeight="251661312" behindDoc="0" locked="0" layoutInCell="1" allowOverlap="1">
            <wp:simplePos x="0" y="0"/>
            <wp:positionH relativeFrom="column">
              <wp:posOffset>461645</wp:posOffset>
            </wp:positionH>
            <wp:positionV relativeFrom="paragraph">
              <wp:posOffset>153670</wp:posOffset>
            </wp:positionV>
            <wp:extent cx="3395345" cy="2209165"/>
            <wp:effectExtent l="4445" t="4445" r="10160" b="1524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rPr>
          <w:rFonts w:hint="eastAsia" w:ascii="仿宋" w:hAnsi="仿宋" w:eastAsia="仿宋"/>
          <w:sz w:val="32"/>
          <w:szCs w:val="32"/>
        </w:rPr>
      </w:pPr>
    </w:p>
    <w:p>
      <w:pPr>
        <w:pStyle w:val="6"/>
        <w:rPr>
          <w:rFonts w:hint="eastAsia" w:ascii="仿宋" w:hAnsi="仿宋" w:eastAsia="仿宋"/>
          <w:sz w:val="32"/>
          <w:szCs w:val="32"/>
        </w:rPr>
      </w:pPr>
    </w:p>
    <w:p>
      <w:pPr>
        <w:rPr>
          <w:rFonts w:hint="eastAsia" w:ascii="仿宋" w:hAnsi="仿宋" w:eastAsia="仿宋"/>
          <w:sz w:val="32"/>
          <w:szCs w:val="32"/>
        </w:rPr>
      </w:pPr>
    </w:p>
    <w:p>
      <w:pPr>
        <w:pStyle w:val="6"/>
        <w:rPr>
          <w:rFonts w:hint="eastAsia" w:ascii="仿宋" w:hAnsi="仿宋" w:eastAsia="仿宋"/>
          <w:sz w:val="32"/>
          <w:szCs w:val="32"/>
        </w:rPr>
      </w:pPr>
    </w:p>
    <w:p/>
    <w:p>
      <w:pPr>
        <w:spacing w:line="600" w:lineRule="exact"/>
        <w:ind w:firstLine="640" w:firstLineChars="200"/>
        <w:rPr>
          <w:rFonts w:ascii="仿宋_GB2312" w:eastAsia="仿宋_GB2312"/>
          <w:sz w:val="32"/>
          <w:szCs w:val="32"/>
        </w:rPr>
      </w:pPr>
    </w:p>
    <w:p>
      <w:pPr>
        <w:spacing w:line="600" w:lineRule="exact"/>
        <w:ind w:firstLine="640" w:firstLineChars="200"/>
        <w:outlineLvl w:val="1"/>
        <w:rPr>
          <w:rStyle w:val="31"/>
          <w:rFonts w:ascii="黑体" w:hAnsi="黑体" w:eastAsia="黑体"/>
          <w:b w:val="0"/>
        </w:rPr>
      </w:pPr>
      <w:bookmarkStart w:id="52" w:name="_Toc15396606"/>
      <w:bookmarkStart w:id="53" w:name="_Toc15377208"/>
      <w:bookmarkStart w:id="54" w:name="_Toc3803"/>
      <w:r>
        <w:rPr>
          <w:rFonts w:hint="eastAsia" w:ascii="黑体" w:hAnsi="黑体" w:eastAsia="黑体"/>
          <w:sz w:val="32"/>
          <w:szCs w:val="32"/>
        </w:rPr>
        <w:t>四、财</w:t>
      </w:r>
      <w:r>
        <w:rPr>
          <w:rStyle w:val="31"/>
          <w:rFonts w:hint="eastAsia" w:ascii="黑体" w:hAnsi="黑体" w:eastAsia="黑体"/>
          <w:b w:val="0"/>
        </w:rPr>
        <w:t>政拨款收入支出决算总体情况说明</w:t>
      </w:r>
      <w:bookmarkEnd w:id="52"/>
      <w:bookmarkEnd w:id="53"/>
      <w:bookmarkEnd w:id="54"/>
    </w:p>
    <w:p>
      <w:pPr>
        <w:spacing w:line="600" w:lineRule="exact"/>
        <w:ind w:firstLine="64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年度财政拨款收、支总计均为</w:t>
      </w:r>
      <w:r>
        <w:rPr>
          <w:rFonts w:hint="eastAsia" w:eastAsia="仿宋"/>
          <w:sz w:val="32"/>
          <w:szCs w:val="32"/>
          <w:lang w:val="en-US" w:eastAsia="zh-CN"/>
        </w:rPr>
        <w:t>843.25</w:t>
      </w:r>
      <w:r>
        <w:rPr>
          <w:rFonts w:hint="eastAsia" w:ascii="仿宋" w:hAnsi="仿宋" w:eastAsia="仿宋"/>
          <w:sz w:val="32"/>
          <w:szCs w:val="32"/>
        </w:rPr>
        <w:t>万元。与</w:t>
      </w:r>
      <w:r>
        <w:rPr>
          <w:rFonts w:hint="eastAsia" w:ascii="仿宋" w:hAnsi="仿宋" w:eastAsia="仿宋"/>
          <w:sz w:val="32"/>
          <w:szCs w:val="32"/>
          <w:lang w:eastAsia="zh-CN"/>
        </w:rPr>
        <w:t>2023</w:t>
      </w:r>
      <w:r>
        <w:rPr>
          <w:rFonts w:hint="eastAsia" w:ascii="仿宋" w:hAnsi="仿宋" w:eastAsia="仿宋"/>
          <w:sz w:val="32"/>
          <w:szCs w:val="32"/>
        </w:rPr>
        <w:t>年度相比，财政拨款收、支总计各</w:t>
      </w:r>
      <w:r>
        <w:rPr>
          <w:rFonts w:hint="eastAsia" w:ascii="仿宋" w:hAnsi="仿宋" w:eastAsia="仿宋"/>
          <w:sz w:val="32"/>
          <w:szCs w:val="32"/>
          <w:lang w:val="en-US" w:eastAsia="zh-CN"/>
        </w:rPr>
        <w:t>增加-101.85</w:t>
      </w:r>
      <w:r>
        <w:rPr>
          <w:rFonts w:hint="eastAsia" w:ascii="仿宋" w:hAnsi="仿宋" w:eastAsia="仿宋"/>
          <w:sz w:val="32"/>
          <w:szCs w:val="32"/>
        </w:rPr>
        <w:t>万元，</w:t>
      </w:r>
      <w:r>
        <w:rPr>
          <w:rFonts w:hint="eastAsia" w:ascii="仿宋" w:hAnsi="仿宋" w:eastAsia="仿宋"/>
          <w:sz w:val="32"/>
          <w:szCs w:val="32"/>
          <w:lang w:val="en-US" w:eastAsia="zh-CN"/>
        </w:rPr>
        <w:t>增长-10.78</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上年度购置公务用车增加公用经费支出。</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（图4：财政拨款收、支决算总计变动情况）（柱状图）</w:t>
      </w:r>
      <w:r>
        <w:rPr>
          <w:rFonts w:hint="eastAsia" w:ascii="仿宋" w:eastAsia="仿宋"/>
          <w:sz w:val="32"/>
          <w:szCs w:val="32"/>
          <w:lang w:eastAsia="zh-CN"/>
        </w:rPr>
        <w:drawing>
          <wp:anchor distT="0" distB="0" distL="114300" distR="114300" simplePos="0" relativeHeight="251662336" behindDoc="0" locked="0" layoutInCell="1" allowOverlap="1">
            <wp:simplePos x="0" y="0"/>
            <wp:positionH relativeFrom="column">
              <wp:posOffset>566420</wp:posOffset>
            </wp:positionH>
            <wp:positionV relativeFrom="paragraph">
              <wp:posOffset>444500</wp:posOffset>
            </wp:positionV>
            <wp:extent cx="4003675" cy="2562225"/>
            <wp:effectExtent l="4445" t="4445" r="11430" b="508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rPr>
          <w:rFonts w:hint="eastAsia" w:ascii="仿宋" w:hAnsi="仿宋" w:eastAsia="仿宋"/>
          <w:sz w:val="32"/>
          <w:szCs w:val="32"/>
        </w:rPr>
      </w:pPr>
    </w:p>
    <w:p>
      <w:pPr>
        <w:pStyle w:val="6"/>
        <w:rPr>
          <w:rFonts w:hint="eastAsia" w:ascii="仿宋" w:hAnsi="仿宋" w:eastAsia="仿宋"/>
          <w:sz w:val="32"/>
          <w:szCs w:val="32"/>
        </w:rPr>
      </w:pPr>
    </w:p>
    <w:p>
      <w:pPr>
        <w:rPr>
          <w:rFonts w:hint="eastAsia" w:ascii="仿宋" w:hAnsi="仿宋" w:eastAsia="仿宋"/>
          <w:sz w:val="32"/>
          <w:szCs w:val="32"/>
        </w:rPr>
      </w:pPr>
    </w:p>
    <w:p>
      <w:pPr>
        <w:pStyle w:val="6"/>
        <w:rPr>
          <w:rFonts w:hint="eastAsia" w:ascii="仿宋" w:hAnsi="仿宋" w:eastAsia="仿宋"/>
          <w:sz w:val="32"/>
          <w:szCs w:val="32"/>
        </w:rPr>
      </w:pPr>
    </w:p>
    <w:p>
      <w:pPr>
        <w:rPr>
          <w:rFonts w:hint="eastAsia" w:ascii="仿宋" w:hAnsi="仿宋" w:eastAsia="仿宋"/>
          <w:sz w:val="32"/>
          <w:szCs w:val="32"/>
        </w:rPr>
      </w:pPr>
    </w:p>
    <w:p>
      <w:pPr>
        <w:spacing w:line="600" w:lineRule="exact"/>
        <w:rPr>
          <w:rFonts w:ascii="仿宋" w:hAnsi="仿宋" w:eastAsia="仿宋"/>
          <w:b/>
          <w:sz w:val="32"/>
          <w:szCs w:val="32"/>
        </w:rPr>
      </w:pPr>
    </w:p>
    <w:p>
      <w:pPr>
        <w:spacing w:line="600" w:lineRule="exact"/>
        <w:ind w:firstLine="640" w:firstLineChars="200"/>
        <w:outlineLvl w:val="1"/>
        <w:rPr>
          <w:rStyle w:val="31"/>
          <w:rFonts w:ascii="黑体" w:hAnsi="黑体" w:eastAsia="黑体"/>
          <w:b w:val="0"/>
        </w:rPr>
      </w:pPr>
      <w:bookmarkStart w:id="55" w:name="_Toc15396607"/>
      <w:bookmarkStart w:id="56" w:name="_Toc25223"/>
      <w:bookmarkStart w:id="57" w:name="_Toc15377209"/>
      <w:r>
        <w:rPr>
          <w:rFonts w:hint="eastAsia" w:ascii="黑体" w:hAnsi="黑体" w:eastAsia="黑体"/>
          <w:sz w:val="32"/>
          <w:szCs w:val="32"/>
        </w:rPr>
        <w:t>五、</w:t>
      </w:r>
      <w:r>
        <w:rPr>
          <w:rFonts w:hint="eastAsia" w:ascii="黑体" w:hAnsi="黑体" w:eastAsia="黑体"/>
          <w:b/>
          <w:sz w:val="32"/>
          <w:szCs w:val="32"/>
        </w:rPr>
        <w:t>一</w:t>
      </w:r>
      <w:r>
        <w:rPr>
          <w:rStyle w:val="31"/>
          <w:rFonts w:hint="eastAsia" w:ascii="黑体" w:hAnsi="黑体" w:eastAsia="黑体"/>
          <w:b w:val="0"/>
        </w:rPr>
        <w:t>般公共预算财政拨款支出决算情况说明</w:t>
      </w:r>
      <w:bookmarkEnd w:id="55"/>
      <w:bookmarkEnd w:id="56"/>
      <w:bookmarkEnd w:id="57"/>
    </w:p>
    <w:p>
      <w:pPr>
        <w:spacing w:line="600" w:lineRule="exact"/>
        <w:ind w:firstLine="643" w:firstLineChars="200"/>
        <w:outlineLvl w:val="2"/>
        <w:rPr>
          <w:rFonts w:ascii="仿宋" w:hAnsi="仿宋" w:eastAsia="仿宋"/>
          <w:b/>
          <w:sz w:val="32"/>
          <w:szCs w:val="32"/>
        </w:rPr>
      </w:pPr>
      <w:bookmarkStart w:id="58" w:name="_Toc15377210"/>
      <w:bookmarkStart w:id="59" w:name="_Toc30748"/>
      <w:r>
        <w:rPr>
          <w:rFonts w:hint="eastAsia" w:ascii="仿宋" w:hAnsi="仿宋" w:eastAsia="仿宋"/>
          <w:b/>
          <w:sz w:val="32"/>
          <w:szCs w:val="32"/>
        </w:rPr>
        <w:t>（一）一般公共预算财政拨款支出决算总体情况</w:t>
      </w:r>
      <w:bookmarkEnd w:id="58"/>
      <w:bookmarkEnd w:id="59"/>
    </w:p>
    <w:p>
      <w:p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年度一般公共预算财政拨款支出</w:t>
      </w:r>
      <w:r>
        <w:rPr>
          <w:rFonts w:hint="eastAsia" w:eastAsia="仿宋"/>
          <w:sz w:val="32"/>
          <w:szCs w:val="32"/>
          <w:lang w:val="en-US" w:eastAsia="zh-CN"/>
        </w:rPr>
        <w:t>843.25</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w:t>
      </w:r>
      <w:r>
        <w:rPr>
          <w:rFonts w:hint="eastAsia" w:ascii="仿宋" w:hAnsi="仿宋" w:eastAsia="仿宋"/>
          <w:sz w:val="32"/>
          <w:szCs w:val="32"/>
          <w:lang w:eastAsia="zh-CN"/>
        </w:rPr>
        <w:t>2023</w:t>
      </w:r>
      <w:r>
        <w:rPr>
          <w:rFonts w:hint="eastAsia" w:ascii="仿宋" w:hAnsi="仿宋" w:eastAsia="仿宋"/>
          <w:sz w:val="32"/>
          <w:szCs w:val="32"/>
        </w:rPr>
        <w:t>年度相比，一般公共预算财政拨款支出增加</w:t>
      </w:r>
      <w:r>
        <w:rPr>
          <w:rFonts w:hint="eastAsia" w:ascii="仿宋" w:hAnsi="仿宋" w:eastAsia="仿宋"/>
          <w:sz w:val="32"/>
          <w:szCs w:val="32"/>
          <w:lang w:val="en-US" w:eastAsia="zh-CN"/>
        </w:rPr>
        <w:t>-101.85</w:t>
      </w:r>
      <w:r>
        <w:rPr>
          <w:rFonts w:hint="eastAsia" w:ascii="仿宋" w:hAnsi="仿宋" w:eastAsia="仿宋"/>
          <w:sz w:val="32"/>
          <w:szCs w:val="32"/>
        </w:rPr>
        <w:t>万元，增长</w:t>
      </w:r>
      <w:r>
        <w:rPr>
          <w:rFonts w:hint="eastAsia" w:ascii="仿宋" w:hAnsi="仿宋" w:eastAsia="仿宋"/>
          <w:sz w:val="32"/>
          <w:szCs w:val="32"/>
          <w:lang w:val="en-US" w:eastAsia="zh-CN"/>
        </w:rPr>
        <w:t>-10.78</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上年度购置公务用车增加公用经费支出。</w:t>
      </w:r>
    </w:p>
    <w:p>
      <w:pPr>
        <w:spacing w:line="600" w:lineRule="exact"/>
        <w:rPr>
          <w:rFonts w:hint="eastAsia" w:ascii="仿宋" w:hAnsi="仿宋" w:eastAsia="仿宋"/>
          <w:sz w:val="32"/>
          <w:szCs w:val="32"/>
        </w:rPr>
      </w:pPr>
      <w:r>
        <w:rPr>
          <w:rFonts w:hint="eastAsia" w:ascii="仿宋" w:hAnsi="仿宋" w:eastAsia="仿宋"/>
          <w:sz w:val="32"/>
          <w:szCs w:val="32"/>
        </w:rPr>
        <w:t>（图5：一般公共预算财政拨款支出决算变动情况）（柱状图）</w:t>
      </w:r>
    </w:p>
    <w:p>
      <w:pPr>
        <w:pStyle w:val="6"/>
        <w:rPr>
          <w:rFonts w:hint="eastAsia" w:ascii="仿宋" w:hAnsi="仿宋" w:eastAsia="仿宋"/>
          <w:sz w:val="32"/>
          <w:szCs w:val="32"/>
        </w:rPr>
      </w:pPr>
      <w:r>
        <w:rPr>
          <w:rFonts w:hint="eastAsia" w:ascii="仿宋" w:eastAsia="仿宋"/>
          <w:sz w:val="32"/>
          <w:szCs w:val="32"/>
          <w:lang w:eastAsia="zh-CN"/>
        </w:rPr>
        <w:drawing>
          <wp:anchor distT="0" distB="0" distL="114300" distR="114300" simplePos="0" relativeHeight="251663360" behindDoc="0" locked="0" layoutInCell="1" allowOverlap="1">
            <wp:simplePos x="0" y="0"/>
            <wp:positionH relativeFrom="column">
              <wp:posOffset>356870</wp:posOffset>
            </wp:positionH>
            <wp:positionV relativeFrom="paragraph">
              <wp:posOffset>156845</wp:posOffset>
            </wp:positionV>
            <wp:extent cx="3738245" cy="2018665"/>
            <wp:effectExtent l="4445" t="4445" r="10160" b="1524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rPr>
          <w:rFonts w:hint="eastAsia" w:ascii="仿宋" w:hAnsi="仿宋" w:eastAsia="仿宋"/>
          <w:sz w:val="32"/>
          <w:szCs w:val="32"/>
        </w:rPr>
      </w:pPr>
    </w:p>
    <w:p>
      <w:pPr>
        <w:spacing w:line="600" w:lineRule="exact"/>
        <w:rPr>
          <w:rFonts w:ascii="仿宋" w:hAnsi="仿宋" w:eastAsia="仿宋"/>
          <w:sz w:val="32"/>
          <w:szCs w:val="32"/>
        </w:rPr>
      </w:pPr>
    </w:p>
    <w:p>
      <w:pPr>
        <w:spacing w:line="600" w:lineRule="exact"/>
        <w:ind w:firstLine="643" w:firstLineChars="200"/>
        <w:outlineLvl w:val="2"/>
        <w:rPr>
          <w:rFonts w:hint="eastAsia" w:ascii="仿宋" w:hAnsi="仿宋" w:eastAsia="仿宋"/>
          <w:b/>
          <w:sz w:val="32"/>
          <w:szCs w:val="32"/>
        </w:rPr>
      </w:pPr>
      <w:bookmarkStart w:id="60" w:name="_Toc15377211"/>
      <w:bookmarkStart w:id="61" w:name="_Toc30719"/>
    </w:p>
    <w:p>
      <w:pPr>
        <w:spacing w:line="600" w:lineRule="exact"/>
        <w:ind w:firstLine="643" w:firstLineChars="200"/>
        <w:outlineLvl w:val="2"/>
        <w:rPr>
          <w:rFonts w:hint="eastAsia" w:ascii="仿宋" w:hAnsi="仿宋" w:eastAsia="仿宋"/>
          <w:b/>
          <w:sz w:val="32"/>
          <w:szCs w:val="32"/>
        </w:rPr>
      </w:pPr>
    </w:p>
    <w:p>
      <w:p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（二）一般公共预算财政拨款支出决算结构情况</w:t>
      </w:r>
      <w:bookmarkEnd w:id="60"/>
      <w:bookmarkEnd w:id="61"/>
    </w:p>
    <w:p>
      <w:pPr>
        <w:spacing w:line="600" w:lineRule="exact"/>
        <w:ind w:firstLine="64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年度一般公共预算财政拨款支出</w:t>
      </w:r>
      <w:r>
        <w:rPr>
          <w:rFonts w:hint="eastAsia" w:eastAsia="仿宋"/>
          <w:sz w:val="32"/>
          <w:szCs w:val="32"/>
          <w:lang w:val="en-US" w:eastAsia="zh-CN"/>
        </w:rPr>
        <w:t>843.25</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674.54</w:t>
      </w:r>
      <w:r>
        <w:rPr>
          <w:rFonts w:hint="eastAsia" w:ascii="仿宋" w:hAnsi="仿宋" w:eastAsia="仿宋"/>
          <w:sz w:val="32"/>
          <w:szCs w:val="32"/>
        </w:rPr>
        <w:t>万元，占</w:t>
      </w:r>
      <w:r>
        <w:rPr>
          <w:rFonts w:hint="eastAsia" w:ascii="仿宋" w:hAnsi="仿宋" w:eastAsia="仿宋"/>
          <w:sz w:val="32"/>
          <w:szCs w:val="32"/>
          <w:lang w:val="en-US" w:eastAsia="zh-CN"/>
        </w:rPr>
        <w:t>80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85.60</w:t>
      </w:r>
      <w:r>
        <w:rPr>
          <w:rFonts w:hint="eastAsia" w:ascii="仿宋" w:hAnsi="仿宋" w:eastAsia="仿宋"/>
          <w:sz w:val="32"/>
          <w:szCs w:val="32"/>
        </w:rPr>
        <w:t>万元，占</w:t>
      </w:r>
      <w:r>
        <w:rPr>
          <w:rFonts w:hint="eastAsia" w:ascii="仿宋" w:hAnsi="仿宋" w:eastAsia="仿宋"/>
          <w:sz w:val="32"/>
          <w:szCs w:val="32"/>
          <w:lang w:val="en-US" w:eastAsia="zh-CN"/>
        </w:rPr>
        <w:t>10.15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36.68</w:t>
      </w:r>
      <w:r>
        <w:rPr>
          <w:rFonts w:hint="eastAsia" w:ascii="仿宋" w:hAnsi="仿宋" w:eastAsia="仿宋"/>
          <w:sz w:val="32"/>
          <w:szCs w:val="32"/>
        </w:rPr>
        <w:t>万元，占</w:t>
      </w:r>
      <w:r>
        <w:rPr>
          <w:rFonts w:hint="eastAsia" w:ascii="仿宋" w:hAnsi="仿宋" w:eastAsia="仿宋"/>
          <w:sz w:val="32"/>
          <w:szCs w:val="32"/>
          <w:lang w:val="en-US" w:eastAsia="zh-CN"/>
        </w:rPr>
        <w:t>4.35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46.42</w:t>
      </w:r>
      <w:r>
        <w:rPr>
          <w:rFonts w:hint="eastAsia" w:ascii="仿宋" w:hAnsi="仿宋" w:eastAsia="仿宋"/>
          <w:sz w:val="32"/>
          <w:szCs w:val="32"/>
        </w:rPr>
        <w:t>万元，占</w:t>
      </w:r>
      <w:r>
        <w:rPr>
          <w:rFonts w:hint="eastAsia" w:ascii="仿宋" w:hAnsi="仿宋" w:eastAsia="仿宋"/>
          <w:sz w:val="32"/>
          <w:szCs w:val="32"/>
          <w:lang w:val="en-US" w:eastAsia="zh-CN"/>
        </w:rPr>
        <w:t>5.5</w:t>
      </w:r>
      <w:r>
        <w:rPr>
          <w:rFonts w:ascii="仿宋" w:hAnsi="仿宋" w:eastAsia="仿宋"/>
          <w:sz w:val="32"/>
          <w:szCs w:val="32"/>
        </w:rPr>
        <w:t>%</w:t>
      </w:r>
      <w:r>
        <w:rPr>
          <w:rFonts w:hint="eastAsia" w:ascii="仿宋" w:hAnsi="仿宋" w:eastAsia="仿宋"/>
          <w:sz w:val="32"/>
          <w:szCs w:val="32"/>
        </w:rPr>
        <w:t>。</w:t>
      </w:r>
    </w:p>
    <w:p>
      <w:pPr>
        <w:spacing w:line="600" w:lineRule="exact"/>
        <w:rPr>
          <w:rFonts w:hint="eastAsia" w:ascii="仿宋" w:hAnsi="仿宋" w:eastAsia="仿宋"/>
          <w:sz w:val="32"/>
          <w:szCs w:val="32"/>
        </w:rPr>
      </w:pPr>
      <w:r>
        <w:rPr>
          <w:rFonts w:hint="eastAsia" w:ascii="仿宋" w:hAnsi="仿宋" w:eastAsia="仿宋"/>
          <w:sz w:val="32"/>
          <w:szCs w:val="32"/>
        </w:rPr>
        <w:t>（图6：一般公共预算财政拨款支出决算结构）（饼状图）</w:t>
      </w:r>
    </w:p>
    <w:p>
      <w:pPr>
        <w:pStyle w:val="6"/>
        <w:rPr>
          <w:rFonts w:hint="eastAsia" w:ascii="仿宋" w:hAnsi="仿宋" w:eastAsia="仿宋"/>
          <w:sz w:val="32"/>
          <w:szCs w:val="32"/>
        </w:rPr>
      </w:pPr>
      <w:r>
        <w:rPr>
          <w:rFonts w:hint="eastAsia" w:ascii="仿宋_GB2312" w:eastAsia="仿宋_GB2312"/>
          <w:sz w:val="32"/>
          <w:szCs w:val="32"/>
          <w:lang w:eastAsia="zh-CN"/>
        </w:rPr>
        <w:drawing>
          <wp:anchor distT="0" distB="0" distL="114300" distR="114300" simplePos="0" relativeHeight="251664384" behindDoc="0" locked="0" layoutInCell="1" allowOverlap="1">
            <wp:simplePos x="0" y="0"/>
            <wp:positionH relativeFrom="column">
              <wp:posOffset>670560</wp:posOffset>
            </wp:positionH>
            <wp:positionV relativeFrom="paragraph">
              <wp:posOffset>86360</wp:posOffset>
            </wp:positionV>
            <wp:extent cx="3879850" cy="2371725"/>
            <wp:effectExtent l="4445" t="4445" r="20955" b="508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rPr>
          <w:rFonts w:hint="eastAsia" w:ascii="仿宋" w:hAnsi="仿宋" w:eastAsia="仿宋"/>
          <w:sz w:val="32"/>
          <w:szCs w:val="32"/>
        </w:rPr>
      </w:pPr>
    </w:p>
    <w:p>
      <w:pPr>
        <w:pStyle w:val="6"/>
        <w:rPr>
          <w:rFonts w:hint="eastAsia" w:ascii="仿宋" w:hAnsi="仿宋" w:eastAsia="仿宋"/>
          <w:sz w:val="32"/>
          <w:szCs w:val="32"/>
        </w:rPr>
      </w:pPr>
    </w:p>
    <w:p>
      <w:pPr>
        <w:rPr>
          <w:rFonts w:hint="eastAsia" w:ascii="仿宋" w:hAnsi="仿宋" w:eastAsia="仿宋"/>
          <w:sz w:val="32"/>
          <w:szCs w:val="32"/>
        </w:rPr>
      </w:pPr>
    </w:p>
    <w:p>
      <w:pPr>
        <w:spacing w:line="600" w:lineRule="exact"/>
        <w:rPr>
          <w:rFonts w:ascii="仿宋" w:hAnsi="仿宋" w:eastAsia="仿宋"/>
          <w:sz w:val="32"/>
          <w:szCs w:val="32"/>
        </w:rPr>
      </w:pPr>
    </w:p>
    <w:p>
      <w:pPr>
        <w:spacing w:line="600" w:lineRule="exact"/>
        <w:ind w:firstLine="643" w:firstLineChars="200"/>
        <w:outlineLvl w:val="2"/>
        <w:rPr>
          <w:rFonts w:ascii="仿宋" w:hAnsi="仿宋" w:eastAsia="仿宋"/>
          <w:b/>
          <w:sz w:val="32"/>
          <w:szCs w:val="32"/>
        </w:rPr>
      </w:pPr>
      <w:bookmarkStart w:id="62" w:name="_Toc7966"/>
      <w:bookmarkStart w:id="63" w:name="_Toc15377212"/>
      <w:r>
        <w:rPr>
          <w:rFonts w:hint="eastAsia" w:ascii="仿宋" w:hAnsi="仿宋" w:eastAsia="仿宋"/>
          <w:b/>
          <w:sz w:val="32"/>
          <w:szCs w:val="32"/>
        </w:rPr>
        <w:t>（三）一般公共预算财政拨款支出决算具体情况</w:t>
      </w:r>
      <w:bookmarkEnd w:id="62"/>
      <w:bookmarkEnd w:id="63"/>
    </w:p>
    <w:p>
      <w:pPr>
        <w:spacing w:line="600" w:lineRule="exact"/>
        <w:ind w:firstLine="643" w:firstLineChars="200"/>
        <w:outlineLvl w:val="2"/>
        <w:rPr>
          <w:rFonts w:ascii="仿宋" w:hAnsi="仿宋" w:eastAsia="仿宋"/>
          <w:sz w:val="32"/>
          <w:szCs w:val="32"/>
        </w:rPr>
      </w:pPr>
      <w:bookmarkStart w:id="64" w:name="_Toc15378460"/>
      <w:bookmarkStart w:id="65" w:name="_Toc15377213"/>
      <w:bookmarkStart w:id="66" w:name="_Toc15191"/>
      <w:bookmarkStart w:id="67" w:name="_Toc15377444"/>
      <w:r>
        <w:rPr>
          <w:rFonts w:hint="eastAsia" w:ascii="仿宋" w:hAnsi="仿宋" w:eastAsia="仿宋"/>
          <w:b/>
          <w:sz w:val="32"/>
          <w:szCs w:val="32"/>
          <w:lang w:eastAsia="zh-CN"/>
        </w:rPr>
        <w:t>2024</w:t>
      </w:r>
      <w:r>
        <w:rPr>
          <w:rFonts w:hint="eastAsia" w:ascii="仿宋" w:hAnsi="仿宋" w:eastAsia="仿宋"/>
          <w:b/>
          <w:sz w:val="32"/>
          <w:szCs w:val="32"/>
        </w:rPr>
        <w:t>年度一般公共预算支出决算数为</w:t>
      </w:r>
      <w:r>
        <w:rPr>
          <w:rFonts w:hint="eastAsia" w:eastAsia="仿宋"/>
          <w:sz w:val="32"/>
          <w:szCs w:val="32"/>
          <w:lang w:val="en-US" w:eastAsia="zh-CN"/>
        </w:rPr>
        <w:t>843.25</w:t>
      </w:r>
      <w:r>
        <w:rPr>
          <w:rFonts w:hint="eastAsia" w:ascii="仿宋" w:hAnsi="仿宋" w:eastAsia="仿宋"/>
          <w:sz w:val="32"/>
          <w:szCs w:val="32"/>
        </w:rPr>
        <w:t>，</w:t>
      </w:r>
      <w:r>
        <w:rPr>
          <w:rStyle w:val="19"/>
          <w:rFonts w:hint="eastAsia" w:ascii="仿宋" w:hAnsi="仿宋" w:eastAsia="仿宋"/>
          <w:bCs/>
          <w:sz w:val="32"/>
          <w:szCs w:val="32"/>
        </w:rPr>
        <w:t>完成预算</w:t>
      </w:r>
      <w:r>
        <w:rPr>
          <w:rStyle w:val="19"/>
          <w:rFonts w:hint="eastAsia" w:ascii="仿宋" w:hAnsi="仿宋" w:eastAsia="仿宋"/>
          <w:bCs/>
          <w:sz w:val="32"/>
          <w:szCs w:val="32"/>
          <w:lang w:val="en-US" w:eastAsia="zh-CN"/>
        </w:rPr>
        <w:t>100</w:t>
      </w:r>
      <w:r>
        <w:rPr>
          <w:rStyle w:val="19"/>
          <w:rFonts w:ascii="仿宋" w:hAnsi="仿宋" w:eastAsia="仿宋"/>
          <w:bCs/>
          <w:sz w:val="32"/>
          <w:szCs w:val="32"/>
        </w:rPr>
        <w:t>%</w:t>
      </w:r>
      <w:r>
        <w:rPr>
          <w:rStyle w:val="19"/>
          <w:rFonts w:hint="eastAsia" w:ascii="仿宋" w:hAnsi="仿宋" w:eastAsia="仿宋"/>
          <w:bCs/>
          <w:sz w:val="32"/>
          <w:szCs w:val="32"/>
        </w:rPr>
        <w:t>。其中：</w:t>
      </w:r>
      <w:bookmarkEnd w:id="64"/>
      <w:bookmarkEnd w:id="65"/>
      <w:bookmarkEnd w:id="66"/>
      <w:bookmarkEnd w:id="67"/>
    </w:p>
    <w:p>
      <w:pPr>
        <w:numPr>
          <w:ilvl w:val="0"/>
          <w:numId w:val="0"/>
        </w:numPr>
        <w:spacing w:line="600" w:lineRule="exact"/>
        <w:ind w:firstLine="643" w:firstLineChars="200"/>
        <w:rPr>
          <w:rStyle w:val="19"/>
          <w:rFonts w:hint="eastAsia" w:ascii="仿宋" w:hAnsi="仿宋" w:eastAsia="仿宋"/>
          <w:bCs/>
          <w:sz w:val="32"/>
          <w:szCs w:val="32"/>
        </w:rPr>
      </w:pPr>
      <w:r>
        <w:rPr>
          <w:rStyle w:val="19"/>
          <w:rFonts w:hint="eastAsia" w:ascii="仿宋" w:hAnsi="仿宋" w:eastAsia="仿宋"/>
          <w:bCs/>
          <w:sz w:val="32"/>
          <w:szCs w:val="32"/>
          <w:lang w:val="en-US" w:eastAsia="zh-CN"/>
        </w:rPr>
        <w:t>1.</w:t>
      </w:r>
      <w:r>
        <w:rPr>
          <w:rStyle w:val="19"/>
          <w:rFonts w:hint="eastAsia" w:ascii="仿宋" w:hAnsi="仿宋" w:eastAsia="仿宋"/>
          <w:bCs/>
          <w:sz w:val="32"/>
          <w:szCs w:val="32"/>
        </w:rPr>
        <w:t>一般公共服务（类）</w:t>
      </w:r>
      <w:r>
        <w:rPr>
          <w:rStyle w:val="19"/>
          <w:rFonts w:hint="eastAsia" w:ascii="仿宋" w:hAnsi="仿宋" w:eastAsia="仿宋"/>
          <w:bCs/>
          <w:sz w:val="32"/>
          <w:szCs w:val="32"/>
          <w:lang w:val="en-US" w:eastAsia="zh-CN"/>
        </w:rPr>
        <w:t>政协事务</w:t>
      </w:r>
      <w:r>
        <w:rPr>
          <w:rStyle w:val="19"/>
          <w:rFonts w:hint="eastAsia" w:ascii="仿宋" w:hAnsi="仿宋" w:eastAsia="仿宋"/>
          <w:bCs/>
          <w:sz w:val="32"/>
          <w:szCs w:val="32"/>
        </w:rPr>
        <w:t>（款）</w:t>
      </w:r>
    </w:p>
    <w:p>
      <w:pPr>
        <w:numPr>
          <w:ilvl w:val="0"/>
          <w:numId w:val="0"/>
        </w:numPr>
        <w:spacing w:line="600" w:lineRule="exact"/>
        <w:ind w:firstLine="643" w:firstLineChars="200"/>
        <w:rPr>
          <w:rStyle w:val="19"/>
          <w:rFonts w:hint="eastAsia" w:ascii="仿宋" w:eastAsia="仿宋"/>
          <w:b w:val="0"/>
          <w:bCs/>
          <w:sz w:val="32"/>
          <w:szCs w:val="32"/>
        </w:rPr>
      </w:pPr>
      <w:r>
        <w:rPr>
          <w:rStyle w:val="19"/>
          <w:rFonts w:hint="eastAsia" w:ascii="仿宋" w:eastAsia="仿宋"/>
          <w:bCs/>
          <w:sz w:val="32"/>
          <w:szCs w:val="32"/>
          <w:lang w:eastAsia="zh-CN"/>
        </w:rPr>
        <w:t>（</w:t>
      </w:r>
      <w:r>
        <w:rPr>
          <w:rStyle w:val="19"/>
          <w:rFonts w:hint="eastAsia" w:ascii="仿宋" w:eastAsia="仿宋"/>
          <w:bCs/>
          <w:sz w:val="32"/>
          <w:szCs w:val="32"/>
          <w:lang w:val="en-US" w:eastAsia="zh-CN"/>
        </w:rPr>
        <w:t>1</w:t>
      </w:r>
      <w:r>
        <w:rPr>
          <w:rStyle w:val="19"/>
          <w:rFonts w:hint="eastAsia" w:ascii="仿宋" w:eastAsia="仿宋"/>
          <w:bCs/>
          <w:sz w:val="32"/>
          <w:szCs w:val="32"/>
          <w:lang w:eastAsia="zh-CN"/>
        </w:rPr>
        <w:t>）</w:t>
      </w:r>
      <w:r>
        <w:rPr>
          <w:rStyle w:val="19"/>
          <w:rFonts w:hint="eastAsia" w:ascii="仿宋" w:eastAsia="仿宋"/>
          <w:bCs/>
          <w:sz w:val="32"/>
          <w:szCs w:val="32"/>
          <w:lang w:val="en-US" w:eastAsia="zh-CN"/>
        </w:rPr>
        <w:t>行政运行</w:t>
      </w:r>
      <w:r>
        <w:rPr>
          <w:rStyle w:val="19"/>
          <w:rFonts w:hint="eastAsia" w:ascii="仿宋" w:eastAsia="仿宋"/>
          <w:bCs/>
          <w:sz w:val="32"/>
          <w:szCs w:val="32"/>
        </w:rPr>
        <w:t>（项）</w:t>
      </w:r>
      <w:r>
        <w:rPr>
          <w:rStyle w:val="19"/>
          <w:rFonts w:ascii="仿宋" w:eastAsia="仿宋"/>
          <w:bCs/>
          <w:sz w:val="32"/>
          <w:szCs w:val="32"/>
        </w:rPr>
        <w:t>:</w:t>
      </w:r>
      <w:r>
        <w:rPr>
          <w:rStyle w:val="19"/>
          <w:rFonts w:ascii="仿宋" w:eastAsia="仿宋"/>
          <w:b w:val="0"/>
          <w:bCs/>
          <w:sz w:val="32"/>
          <w:szCs w:val="32"/>
        </w:rPr>
        <w:t xml:space="preserve"> </w:t>
      </w:r>
      <w:r>
        <w:rPr>
          <w:rStyle w:val="19"/>
          <w:rFonts w:hint="eastAsia" w:ascii="仿宋" w:eastAsia="仿宋"/>
          <w:b w:val="0"/>
          <w:bCs/>
          <w:sz w:val="32"/>
          <w:szCs w:val="32"/>
        </w:rPr>
        <w:t>支出决算为</w:t>
      </w:r>
      <w:r>
        <w:rPr>
          <w:rStyle w:val="19"/>
          <w:rFonts w:hint="eastAsia" w:ascii="仿宋" w:eastAsia="仿宋"/>
          <w:b w:val="0"/>
          <w:bCs/>
          <w:sz w:val="32"/>
          <w:szCs w:val="32"/>
          <w:lang w:val="en-US" w:eastAsia="zh-CN"/>
        </w:rPr>
        <w:t>468.64</w:t>
      </w:r>
      <w:r>
        <w:rPr>
          <w:rStyle w:val="19"/>
          <w:rFonts w:hint="eastAsia" w:ascii="仿宋" w:eastAsia="仿宋"/>
          <w:b w:val="0"/>
          <w:bCs/>
          <w:sz w:val="32"/>
          <w:szCs w:val="32"/>
        </w:rPr>
        <w:t>万元，完成预算</w:t>
      </w:r>
      <w:r>
        <w:rPr>
          <w:rStyle w:val="19"/>
          <w:rFonts w:hint="eastAsia" w:ascii="仿宋" w:eastAsia="仿宋"/>
          <w:b w:val="0"/>
          <w:bCs/>
          <w:sz w:val="32"/>
          <w:szCs w:val="32"/>
          <w:lang w:val="en-US" w:eastAsia="zh-CN"/>
        </w:rPr>
        <w:t>100</w:t>
      </w:r>
      <w:r>
        <w:rPr>
          <w:rStyle w:val="19"/>
          <w:rFonts w:ascii="仿宋" w:eastAsia="仿宋"/>
          <w:b w:val="0"/>
          <w:bCs/>
          <w:sz w:val="32"/>
          <w:szCs w:val="32"/>
        </w:rPr>
        <w:t>%</w:t>
      </w:r>
      <w:r>
        <w:rPr>
          <w:rStyle w:val="19"/>
          <w:rFonts w:hint="eastAsia" w:ascii="仿宋" w:eastAsia="仿宋"/>
          <w:b w:val="0"/>
          <w:bCs/>
          <w:sz w:val="32"/>
          <w:szCs w:val="32"/>
        </w:rPr>
        <w:t>。</w:t>
      </w:r>
    </w:p>
    <w:p>
      <w:pPr>
        <w:numPr>
          <w:ilvl w:val="0"/>
          <w:numId w:val="0"/>
        </w:numPr>
        <w:spacing w:line="600" w:lineRule="exact"/>
        <w:ind w:firstLine="643" w:firstLineChars="200"/>
        <w:rPr>
          <w:rStyle w:val="19"/>
          <w:rFonts w:hint="default" w:ascii="仿宋" w:eastAsia="仿宋"/>
          <w:bCs/>
          <w:sz w:val="32"/>
          <w:szCs w:val="32"/>
          <w:lang w:val="en-US" w:eastAsia="zh-CN"/>
        </w:rPr>
      </w:pPr>
      <w:r>
        <w:rPr>
          <w:rStyle w:val="19"/>
          <w:rFonts w:hint="eastAsia" w:ascii="仿宋" w:eastAsia="仿宋"/>
          <w:bCs/>
          <w:sz w:val="32"/>
          <w:szCs w:val="32"/>
          <w:lang w:eastAsia="zh-CN"/>
        </w:rPr>
        <w:t>（</w:t>
      </w:r>
      <w:r>
        <w:rPr>
          <w:rStyle w:val="19"/>
          <w:rFonts w:hint="eastAsia" w:ascii="仿宋" w:eastAsia="仿宋"/>
          <w:bCs/>
          <w:sz w:val="32"/>
          <w:szCs w:val="32"/>
          <w:lang w:val="en-US" w:eastAsia="zh-CN"/>
        </w:rPr>
        <w:t>2</w:t>
      </w:r>
      <w:r>
        <w:rPr>
          <w:rStyle w:val="19"/>
          <w:rFonts w:hint="eastAsia" w:ascii="仿宋" w:eastAsia="仿宋"/>
          <w:bCs/>
          <w:sz w:val="32"/>
          <w:szCs w:val="32"/>
          <w:lang w:eastAsia="zh-CN"/>
        </w:rPr>
        <w:t>）</w:t>
      </w:r>
      <w:r>
        <w:rPr>
          <w:rStyle w:val="19"/>
          <w:rFonts w:hint="eastAsia" w:ascii="仿宋" w:eastAsia="仿宋"/>
          <w:bCs/>
          <w:sz w:val="32"/>
          <w:szCs w:val="32"/>
          <w:lang w:val="en-US" w:eastAsia="zh-CN"/>
        </w:rPr>
        <w:t>一般行政管理事务（项）：</w:t>
      </w:r>
      <w:r>
        <w:rPr>
          <w:rStyle w:val="19"/>
          <w:rFonts w:hint="eastAsia" w:ascii="仿宋" w:eastAsia="仿宋"/>
          <w:b w:val="0"/>
          <w:bCs/>
          <w:sz w:val="32"/>
          <w:szCs w:val="32"/>
        </w:rPr>
        <w:t>支出决算为</w:t>
      </w:r>
      <w:r>
        <w:rPr>
          <w:rStyle w:val="19"/>
          <w:rFonts w:hint="eastAsia" w:ascii="仿宋" w:eastAsia="仿宋"/>
          <w:b w:val="0"/>
          <w:bCs/>
          <w:sz w:val="32"/>
          <w:szCs w:val="32"/>
          <w:lang w:val="en-US" w:eastAsia="zh-CN"/>
        </w:rPr>
        <w:t>57.65</w:t>
      </w:r>
      <w:r>
        <w:rPr>
          <w:rStyle w:val="19"/>
          <w:rFonts w:hint="eastAsia" w:ascii="仿宋" w:eastAsia="仿宋"/>
          <w:b w:val="0"/>
          <w:bCs/>
          <w:sz w:val="32"/>
          <w:szCs w:val="32"/>
        </w:rPr>
        <w:t>万元，完成预算</w:t>
      </w:r>
      <w:r>
        <w:rPr>
          <w:rStyle w:val="19"/>
          <w:rFonts w:hint="eastAsia" w:ascii="仿宋" w:eastAsia="仿宋"/>
          <w:b w:val="0"/>
          <w:bCs/>
          <w:sz w:val="32"/>
          <w:szCs w:val="32"/>
          <w:lang w:val="en-US" w:eastAsia="zh-CN"/>
        </w:rPr>
        <w:t>100</w:t>
      </w:r>
      <w:r>
        <w:rPr>
          <w:rStyle w:val="19"/>
          <w:rFonts w:ascii="仿宋" w:eastAsia="仿宋"/>
          <w:b w:val="0"/>
          <w:bCs/>
          <w:sz w:val="32"/>
          <w:szCs w:val="32"/>
        </w:rPr>
        <w:t>%</w:t>
      </w:r>
      <w:r>
        <w:rPr>
          <w:rStyle w:val="19"/>
          <w:rFonts w:hint="eastAsia" w:ascii="仿宋" w:eastAsia="仿宋"/>
          <w:b w:val="0"/>
          <w:bCs/>
          <w:sz w:val="32"/>
          <w:szCs w:val="32"/>
        </w:rPr>
        <w:t>。</w:t>
      </w:r>
    </w:p>
    <w:p>
      <w:pPr>
        <w:numPr>
          <w:ilvl w:val="0"/>
          <w:numId w:val="0"/>
        </w:numPr>
        <w:spacing w:line="600" w:lineRule="exact"/>
        <w:ind w:firstLine="643" w:firstLineChars="200"/>
        <w:rPr>
          <w:rStyle w:val="19"/>
          <w:rFonts w:hint="eastAsia" w:ascii="仿宋" w:eastAsia="仿宋"/>
          <w:b w:val="0"/>
          <w:bCs/>
          <w:sz w:val="32"/>
          <w:szCs w:val="32"/>
        </w:rPr>
      </w:pPr>
      <w:r>
        <w:rPr>
          <w:rStyle w:val="19"/>
          <w:rFonts w:hint="eastAsia" w:ascii="仿宋" w:eastAsia="仿宋"/>
          <w:bCs/>
          <w:sz w:val="32"/>
          <w:szCs w:val="32"/>
          <w:lang w:eastAsia="zh-CN"/>
        </w:rPr>
        <w:t>（</w:t>
      </w:r>
      <w:r>
        <w:rPr>
          <w:rStyle w:val="19"/>
          <w:rFonts w:hint="eastAsia" w:ascii="仿宋" w:eastAsia="仿宋"/>
          <w:bCs/>
          <w:sz w:val="32"/>
          <w:szCs w:val="32"/>
          <w:lang w:val="en-US" w:eastAsia="zh-CN"/>
        </w:rPr>
        <w:t>3</w:t>
      </w:r>
      <w:r>
        <w:rPr>
          <w:rStyle w:val="19"/>
          <w:rFonts w:hint="eastAsia" w:ascii="仿宋" w:eastAsia="仿宋"/>
          <w:bCs/>
          <w:sz w:val="32"/>
          <w:szCs w:val="32"/>
          <w:lang w:eastAsia="zh-CN"/>
        </w:rPr>
        <w:t>）</w:t>
      </w:r>
      <w:r>
        <w:rPr>
          <w:rStyle w:val="19"/>
          <w:rFonts w:hint="eastAsia" w:ascii="仿宋" w:eastAsia="仿宋"/>
          <w:bCs/>
          <w:sz w:val="32"/>
          <w:szCs w:val="32"/>
          <w:lang w:val="en-US" w:eastAsia="zh-CN"/>
        </w:rPr>
        <w:t>政协会议</w:t>
      </w:r>
      <w:r>
        <w:rPr>
          <w:rStyle w:val="19"/>
          <w:rFonts w:hint="eastAsia" w:ascii="仿宋" w:eastAsia="仿宋"/>
          <w:bCs/>
          <w:sz w:val="32"/>
          <w:szCs w:val="32"/>
        </w:rPr>
        <w:t>（项）</w:t>
      </w:r>
      <w:r>
        <w:rPr>
          <w:rStyle w:val="19"/>
          <w:rFonts w:ascii="仿宋" w:eastAsia="仿宋"/>
          <w:bCs/>
          <w:sz w:val="32"/>
          <w:szCs w:val="32"/>
        </w:rPr>
        <w:t>:</w:t>
      </w:r>
      <w:r>
        <w:rPr>
          <w:rStyle w:val="19"/>
          <w:rFonts w:ascii="仿宋" w:eastAsia="仿宋"/>
          <w:b w:val="0"/>
          <w:bCs/>
          <w:sz w:val="32"/>
          <w:szCs w:val="32"/>
        </w:rPr>
        <w:t xml:space="preserve"> </w:t>
      </w:r>
      <w:r>
        <w:rPr>
          <w:rStyle w:val="19"/>
          <w:rFonts w:hint="eastAsia" w:ascii="仿宋" w:eastAsia="仿宋"/>
          <w:b w:val="0"/>
          <w:bCs/>
          <w:sz w:val="32"/>
          <w:szCs w:val="32"/>
        </w:rPr>
        <w:t>支出决算为</w:t>
      </w:r>
      <w:r>
        <w:rPr>
          <w:rStyle w:val="19"/>
          <w:rFonts w:hint="eastAsia" w:ascii="仿宋" w:eastAsia="仿宋"/>
          <w:b w:val="0"/>
          <w:bCs/>
          <w:sz w:val="32"/>
          <w:szCs w:val="32"/>
          <w:lang w:val="en-US" w:eastAsia="zh-CN"/>
        </w:rPr>
        <w:t>40.44</w:t>
      </w:r>
      <w:r>
        <w:rPr>
          <w:rStyle w:val="19"/>
          <w:rFonts w:hint="eastAsia" w:ascii="仿宋" w:eastAsia="仿宋"/>
          <w:b w:val="0"/>
          <w:bCs/>
          <w:sz w:val="32"/>
          <w:szCs w:val="32"/>
        </w:rPr>
        <w:t>万元，完成预算</w:t>
      </w:r>
      <w:r>
        <w:rPr>
          <w:rStyle w:val="19"/>
          <w:rFonts w:hint="eastAsia" w:ascii="仿宋" w:eastAsia="仿宋"/>
          <w:b w:val="0"/>
          <w:bCs/>
          <w:sz w:val="32"/>
          <w:szCs w:val="32"/>
          <w:lang w:val="en-US" w:eastAsia="zh-CN"/>
        </w:rPr>
        <w:t>100</w:t>
      </w:r>
      <w:r>
        <w:rPr>
          <w:rStyle w:val="19"/>
          <w:rFonts w:ascii="仿宋" w:eastAsia="仿宋"/>
          <w:b w:val="0"/>
          <w:bCs/>
          <w:sz w:val="32"/>
          <w:szCs w:val="32"/>
        </w:rPr>
        <w:t>%</w:t>
      </w:r>
      <w:r>
        <w:rPr>
          <w:rStyle w:val="19"/>
          <w:rFonts w:hint="eastAsia" w:ascii="仿宋" w:eastAsia="仿宋"/>
          <w:b w:val="0"/>
          <w:bCs/>
          <w:sz w:val="32"/>
          <w:szCs w:val="32"/>
        </w:rPr>
        <w:t>。</w:t>
      </w:r>
    </w:p>
    <w:p>
      <w:pPr>
        <w:numPr>
          <w:ilvl w:val="0"/>
          <w:numId w:val="0"/>
        </w:numPr>
        <w:spacing w:line="600" w:lineRule="exact"/>
        <w:ind w:firstLine="643" w:firstLineChars="200"/>
        <w:rPr>
          <w:rStyle w:val="19"/>
          <w:rFonts w:hint="eastAsia" w:ascii="仿宋" w:eastAsia="仿宋"/>
          <w:b w:val="0"/>
          <w:bCs/>
          <w:sz w:val="32"/>
          <w:szCs w:val="32"/>
        </w:rPr>
      </w:pPr>
      <w:r>
        <w:rPr>
          <w:rStyle w:val="19"/>
          <w:rFonts w:hint="eastAsia" w:ascii="仿宋" w:eastAsia="仿宋"/>
          <w:bCs/>
          <w:sz w:val="32"/>
          <w:szCs w:val="32"/>
          <w:lang w:eastAsia="zh-CN"/>
        </w:rPr>
        <w:t>（</w:t>
      </w:r>
      <w:r>
        <w:rPr>
          <w:rStyle w:val="19"/>
          <w:rFonts w:hint="eastAsia" w:ascii="仿宋" w:eastAsia="仿宋"/>
          <w:bCs/>
          <w:sz w:val="32"/>
          <w:szCs w:val="32"/>
          <w:lang w:val="en-US" w:eastAsia="zh-CN"/>
        </w:rPr>
        <w:t>4</w:t>
      </w:r>
      <w:r>
        <w:rPr>
          <w:rStyle w:val="19"/>
          <w:rFonts w:hint="eastAsia" w:ascii="仿宋" w:eastAsia="仿宋"/>
          <w:bCs/>
          <w:sz w:val="32"/>
          <w:szCs w:val="32"/>
          <w:lang w:eastAsia="zh-CN"/>
        </w:rPr>
        <w:t>）</w:t>
      </w:r>
      <w:r>
        <w:rPr>
          <w:rStyle w:val="19"/>
          <w:rFonts w:hint="eastAsia" w:ascii="仿宋" w:eastAsia="仿宋"/>
          <w:bCs/>
          <w:sz w:val="32"/>
          <w:szCs w:val="32"/>
          <w:lang w:val="en-US" w:eastAsia="zh-CN"/>
        </w:rPr>
        <w:t>委员视察</w:t>
      </w:r>
      <w:r>
        <w:rPr>
          <w:rStyle w:val="19"/>
          <w:rFonts w:hint="eastAsia" w:ascii="仿宋" w:eastAsia="仿宋"/>
          <w:bCs/>
          <w:sz w:val="32"/>
          <w:szCs w:val="32"/>
        </w:rPr>
        <w:t>（项）</w:t>
      </w:r>
      <w:r>
        <w:rPr>
          <w:rStyle w:val="19"/>
          <w:rFonts w:ascii="仿宋" w:eastAsia="仿宋"/>
          <w:bCs/>
          <w:sz w:val="32"/>
          <w:szCs w:val="32"/>
        </w:rPr>
        <w:t>:</w:t>
      </w:r>
      <w:r>
        <w:rPr>
          <w:rStyle w:val="19"/>
          <w:rFonts w:hint="eastAsia" w:ascii="仿宋" w:eastAsia="仿宋"/>
          <w:b w:val="0"/>
          <w:bCs/>
          <w:sz w:val="32"/>
          <w:szCs w:val="32"/>
        </w:rPr>
        <w:t>支出决算为</w:t>
      </w:r>
      <w:r>
        <w:rPr>
          <w:rStyle w:val="19"/>
          <w:rFonts w:hint="eastAsia" w:ascii="仿宋" w:eastAsia="仿宋"/>
          <w:b w:val="0"/>
          <w:bCs/>
          <w:sz w:val="32"/>
          <w:szCs w:val="32"/>
          <w:lang w:val="en-US" w:eastAsia="zh-CN"/>
        </w:rPr>
        <w:t>19.98</w:t>
      </w:r>
      <w:r>
        <w:rPr>
          <w:rStyle w:val="19"/>
          <w:rFonts w:hint="eastAsia" w:ascii="仿宋" w:eastAsia="仿宋"/>
          <w:b w:val="0"/>
          <w:bCs/>
          <w:sz w:val="32"/>
          <w:szCs w:val="32"/>
        </w:rPr>
        <w:t>万元，完成预算</w:t>
      </w:r>
      <w:r>
        <w:rPr>
          <w:rStyle w:val="19"/>
          <w:rFonts w:hint="eastAsia" w:ascii="仿宋" w:eastAsia="仿宋"/>
          <w:b w:val="0"/>
          <w:bCs/>
          <w:sz w:val="32"/>
          <w:szCs w:val="32"/>
          <w:lang w:val="en-US" w:eastAsia="zh-CN"/>
        </w:rPr>
        <w:t>100</w:t>
      </w:r>
      <w:r>
        <w:rPr>
          <w:rStyle w:val="19"/>
          <w:rFonts w:ascii="仿宋" w:eastAsia="仿宋"/>
          <w:b w:val="0"/>
          <w:bCs/>
          <w:sz w:val="32"/>
          <w:szCs w:val="32"/>
        </w:rPr>
        <w:t>%</w:t>
      </w:r>
      <w:r>
        <w:rPr>
          <w:rStyle w:val="19"/>
          <w:rFonts w:hint="eastAsia" w:ascii="仿宋" w:eastAsia="仿宋"/>
          <w:b w:val="0"/>
          <w:bCs/>
          <w:sz w:val="32"/>
          <w:szCs w:val="32"/>
        </w:rPr>
        <w:t>。</w:t>
      </w:r>
    </w:p>
    <w:p>
      <w:pPr>
        <w:numPr>
          <w:ilvl w:val="0"/>
          <w:numId w:val="0"/>
        </w:numPr>
        <w:spacing w:line="600" w:lineRule="exact"/>
        <w:ind w:firstLine="643" w:firstLineChars="200"/>
        <w:rPr>
          <w:rStyle w:val="19"/>
          <w:rFonts w:hint="eastAsia" w:ascii="仿宋" w:eastAsia="仿宋"/>
          <w:b w:val="0"/>
          <w:bCs/>
          <w:sz w:val="32"/>
          <w:szCs w:val="32"/>
        </w:rPr>
      </w:pPr>
      <w:r>
        <w:rPr>
          <w:rStyle w:val="19"/>
          <w:rFonts w:hint="eastAsia" w:ascii="仿宋" w:eastAsia="仿宋"/>
          <w:bCs/>
          <w:sz w:val="32"/>
          <w:szCs w:val="32"/>
          <w:lang w:eastAsia="zh-CN"/>
        </w:rPr>
        <w:t>（</w:t>
      </w:r>
      <w:r>
        <w:rPr>
          <w:rStyle w:val="19"/>
          <w:rFonts w:hint="eastAsia" w:ascii="仿宋" w:eastAsia="仿宋"/>
          <w:bCs/>
          <w:sz w:val="32"/>
          <w:szCs w:val="32"/>
          <w:lang w:val="en-US" w:eastAsia="zh-CN"/>
        </w:rPr>
        <w:t>5</w:t>
      </w:r>
      <w:r>
        <w:rPr>
          <w:rStyle w:val="19"/>
          <w:rFonts w:hint="eastAsia" w:ascii="仿宋" w:eastAsia="仿宋"/>
          <w:bCs/>
          <w:sz w:val="32"/>
          <w:szCs w:val="32"/>
          <w:lang w:eastAsia="zh-CN"/>
        </w:rPr>
        <w:t>）</w:t>
      </w:r>
      <w:r>
        <w:rPr>
          <w:rStyle w:val="19"/>
          <w:rFonts w:hint="eastAsia" w:ascii="仿宋" w:eastAsia="仿宋"/>
          <w:bCs/>
          <w:sz w:val="32"/>
          <w:szCs w:val="32"/>
          <w:lang w:val="en-US" w:eastAsia="zh-CN"/>
        </w:rPr>
        <w:t>参政议政</w:t>
      </w:r>
      <w:r>
        <w:rPr>
          <w:rStyle w:val="19"/>
          <w:rFonts w:hint="eastAsia" w:ascii="仿宋" w:eastAsia="仿宋"/>
          <w:bCs/>
          <w:sz w:val="32"/>
          <w:szCs w:val="32"/>
        </w:rPr>
        <w:t>（项）</w:t>
      </w:r>
      <w:r>
        <w:rPr>
          <w:rStyle w:val="19"/>
          <w:rFonts w:ascii="仿宋" w:eastAsia="仿宋"/>
          <w:bCs/>
          <w:sz w:val="32"/>
          <w:szCs w:val="32"/>
        </w:rPr>
        <w:t>:</w:t>
      </w:r>
      <w:r>
        <w:rPr>
          <w:rStyle w:val="19"/>
          <w:rFonts w:ascii="仿宋" w:eastAsia="仿宋"/>
          <w:b w:val="0"/>
          <w:bCs/>
          <w:sz w:val="32"/>
          <w:szCs w:val="32"/>
        </w:rPr>
        <w:t xml:space="preserve"> </w:t>
      </w:r>
      <w:r>
        <w:rPr>
          <w:rStyle w:val="19"/>
          <w:rFonts w:hint="eastAsia" w:ascii="仿宋" w:eastAsia="仿宋"/>
          <w:b w:val="0"/>
          <w:bCs/>
          <w:sz w:val="32"/>
          <w:szCs w:val="32"/>
        </w:rPr>
        <w:t>支出决算为</w:t>
      </w:r>
      <w:r>
        <w:rPr>
          <w:rStyle w:val="19"/>
          <w:rFonts w:hint="eastAsia" w:ascii="仿宋" w:eastAsia="仿宋"/>
          <w:b w:val="0"/>
          <w:bCs/>
          <w:sz w:val="32"/>
          <w:szCs w:val="32"/>
          <w:lang w:val="en-US" w:eastAsia="zh-CN"/>
        </w:rPr>
        <w:t>54.95</w:t>
      </w:r>
      <w:r>
        <w:rPr>
          <w:rStyle w:val="19"/>
          <w:rFonts w:hint="eastAsia" w:ascii="仿宋" w:eastAsia="仿宋"/>
          <w:b w:val="0"/>
          <w:bCs/>
          <w:sz w:val="32"/>
          <w:szCs w:val="32"/>
        </w:rPr>
        <w:t>万元，完成预算</w:t>
      </w:r>
      <w:r>
        <w:rPr>
          <w:rStyle w:val="19"/>
          <w:rFonts w:hint="eastAsia" w:ascii="仿宋" w:eastAsia="仿宋"/>
          <w:b w:val="0"/>
          <w:bCs/>
          <w:sz w:val="32"/>
          <w:szCs w:val="32"/>
          <w:lang w:val="en-US" w:eastAsia="zh-CN"/>
        </w:rPr>
        <w:t>100</w:t>
      </w:r>
      <w:r>
        <w:rPr>
          <w:rStyle w:val="19"/>
          <w:rFonts w:ascii="仿宋" w:eastAsia="仿宋"/>
          <w:b w:val="0"/>
          <w:bCs/>
          <w:sz w:val="32"/>
          <w:szCs w:val="32"/>
        </w:rPr>
        <w:t>%</w:t>
      </w:r>
      <w:r>
        <w:rPr>
          <w:rStyle w:val="19"/>
          <w:rFonts w:hint="eastAsia" w:ascii="仿宋" w:eastAsia="仿宋"/>
          <w:b w:val="0"/>
          <w:bCs/>
          <w:sz w:val="32"/>
          <w:szCs w:val="32"/>
        </w:rPr>
        <w:t>。</w:t>
      </w:r>
    </w:p>
    <w:p>
      <w:pPr>
        <w:numPr>
          <w:ilvl w:val="0"/>
          <w:numId w:val="0"/>
        </w:numPr>
        <w:spacing w:line="600" w:lineRule="exact"/>
        <w:ind w:firstLine="643" w:firstLineChars="200"/>
      </w:pPr>
      <w:r>
        <w:rPr>
          <w:rStyle w:val="19"/>
          <w:rFonts w:hint="eastAsia" w:ascii="仿宋" w:eastAsia="仿宋"/>
          <w:bCs/>
          <w:sz w:val="32"/>
          <w:szCs w:val="32"/>
          <w:lang w:eastAsia="zh-CN"/>
        </w:rPr>
        <w:t>（</w:t>
      </w:r>
      <w:r>
        <w:rPr>
          <w:rStyle w:val="19"/>
          <w:rFonts w:hint="eastAsia" w:ascii="仿宋" w:eastAsia="仿宋"/>
          <w:bCs/>
          <w:sz w:val="32"/>
          <w:szCs w:val="32"/>
          <w:lang w:val="en-US" w:eastAsia="zh-CN"/>
        </w:rPr>
        <w:t>6</w:t>
      </w:r>
      <w:r>
        <w:rPr>
          <w:rStyle w:val="19"/>
          <w:rFonts w:hint="eastAsia" w:ascii="仿宋" w:eastAsia="仿宋"/>
          <w:bCs/>
          <w:sz w:val="32"/>
          <w:szCs w:val="32"/>
          <w:lang w:eastAsia="zh-CN"/>
        </w:rPr>
        <w:t>）</w:t>
      </w:r>
      <w:r>
        <w:rPr>
          <w:rStyle w:val="19"/>
          <w:rFonts w:hint="eastAsia" w:ascii="仿宋" w:eastAsia="仿宋"/>
          <w:bCs/>
          <w:sz w:val="32"/>
          <w:szCs w:val="32"/>
          <w:lang w:val="en-US" w:eastAsia="zh-CN"/>
        </w:rPr>
        <w:t>事业运行</w:t>
      </w:r>
      <w:r>
        <w:rPr>
          <w:rStyle w:val="19"/>
          <w:rFonts w:hint="eastAsia" w:ascii="仿宋" w:eastAsia="仿宋"/>
          <w:bCs/>
          <w:sz w:val="32"/>
          <w:szCs w:val="32"/>
        </w:rPr>
        <w:t>（项）</w:t>
      </w:r>
      <w:r>
        <w:rPr>
          <w:rStyle w:val="19"/>
          <w:rFonts w:ascii="仿宋" w:eastAsia="仿宋"/>
          <w:bCs/>
          <w:sz w:val="32"/>
          <w:szCs w:val="32"/>
        </w:rPr>
        <w:t>:</w:t>
      </w:r>
      <w:r>
        <w:rPr>
          <w:rStyle w:val="19"/>
          <w:rFonts w:ascii="仿宋" w:eastAsia="仿宋"/>
          <w:b w:val="0"/>
          <w:bCs/>
          <w:sz w:val="32"/>
          <w:szCs w:val="32"/>
        </w:rPr>
        <w:t xml:space="preserve"> </w:t>
      </w:r>
      <w:r>
        <w:rPr>
          <w:rStyle w:val="19"/>
          <w:rFonts w:hint="eastAsia" w:ascii="仿宋" w:eastAsia="仿宋"/>
          <w:b w:val="0"/>
          <w:bCs/>
          <w:sz w:val="32"/>
          <w:szCs w:val="32"/>
        </w:rPr>
        <w:t>支出决算为</w:t>
      </w:r>
      <w:r>
        <w:rPr>
          <w:rStyle w:val="19"/>
          <w:rFonts w:hint="eastAsia" w:ascii="仿宋" w:eastAsia="仿宋"/>
          <w:b w:val="0"/>
          <w:bCs/>
          <w:sz w:val="32"/>
          <w:szCs w:val="32"/>
          <w:lang w:val="en-US" w:eastAsia="zh-CN"/>
        </w:rPr>
        <w:t>32.88</w:t>
      </w:r>
      <w:r>
        <w:rPr>
          <w:rStyle w:val="19"/>
          <w:rFonts w:hint="eastAsia" w:ascii="仿宋" w:eastAsia="仿宋"/>
          <w:b w:val="0"/>
          <w:bCs/>
          <w:sz w:val="32"/>
          <w:szCs w:val="32"/>
        </w:rPr>
        <w:t>万元，完成预算</w:t>
      </w:r>
      <w:r>
        <w:rPr>
          <w:rStyle w:val="19"/>
          <w:rFonts w:hint="eastAsia" w:ascii="仿宋" w:eastAsia="仿宋"/>
          <w:b w:val="0"/>
          <w:bCs/>
          <w:sz w:val="32"/>
          <w:szCs w:val="32"/>
          <w:lang w:val="en-US" w:eastAsia="zh-CN"/>
        </w:rPr>
        <w:t>100</w:t>
      </w:r>
      <w:r>
        <w:rPr>
          <w:rStyle w:val="19"/>
          <w:rFonts w:ascii="仿宋" w:eastAsia="仿宋"/>
          <w:b w:val="0"/>
          <w:bCs/>
          <w:sz w:val="32"/>
          <w:szCs w:val="32"/>
        </w:rPr>
        <w:t>%</w:t>
      </w:r>
      <w:r>
        <w:rPr>
          <w:rStyle w:val="19"/>
          <w:rFonts w:hint="eastAsia" w:ascii="仿宋" w:eastAsia="仿宋"/>
          <w:b w:val="0"/>
          <w:bCs/>
          <w:sz w:val="32"/>
          <w:szCs w:val="32"/>
        </w:rPr>
        <w:t>。</w:t>
      </w:r>
    </w:p>
    <w:p>
      <w:pPr>
        <w:numPr>
          <w:ilvl w:val="0"/>
          <w:numId w:val="0"/>
        </w:numPr>
        <w:spacing w:line="600" w:lineRule="exact"/>
        <w:ind w:firstLine="643" w:firstLineChars="200"/>
        <w:rPr>
          <w:rStyle w:val="19"/>
          <w:rFonts w:hint="eastAsia" w:ascii="仿宋" w:eastAsia="仿宋"/>
          <w:bCs/>
          <w:sz w:val="32"/>
          <w:szCs w:val="32"/>
          <w:lang w:eastAsia="zh-CN"/>
        </w:rPr>
      </w:pPr>
      <w:r>
        <w:rPr>
          <w:rStyle w:val="19"/>
          <w:rFonts w:hint="eastAsia" w:ascii="仿宋" w:eastAsia="仿宋"/>
          <w:bCs/>
          <w:sz w:val="32"/>
          <w:szCs w:val="32"/>
          <w:lang w:val="en-US" w:eastAsia="zh-CN"/>
        </w:rPr>
        <w:t>2</w:t>
      </w:r>
      <w:r>
        <w:rPr>
          <w:rStyle w:val="19"/>
          <w:rFonts w:ascii="仿宋" w:eastAsia="仿宋"/>
          <w:bCs/>
          <w:sz w:val="32"/>
          <w:szCs w:val="32"/>
        </w:rPr>
        <w:t>.</w:t>
      </w:r>
      <w:r>
        <w:rPr>
          <w:rStyle w:val="19"/>
          <w:rFonts w:hint="eastAsia" w:ascii="仿宋" w:eastAsia="仿宋"/>
          <w:bCs/>
          <w:sz w:val="32"/>
          <w:szCs w:val="32"/>
        </w:rPr>
        <w:t>社会保障和就业（类）</w:t>
      </w:r>
      <w:r>
        <w:rPr>
          <w:rStyle w:val="19"/>
          <w:rFonts w:hint="eastAsia" w:ascii="仿宋" w:eastAsia="仿宋"/>
          <w:bCs/>
          <w:sz w:val="32"/>
          <w:szCs w:val="32"/>
          <w:lang w:val="en-US" w:eastAsia="zh-CN"/>
        </w:rPr>
        <w:t>行政事业养老支出</w:t>
      </w:r>
      <w:r>
        <w:rPr>
          <w:rStyle w:val="19"/>
          <w:rFonts w:hint="eastAsia" w:ascii="仿宋" w:eastAsia="仿宋"/>
          <w:bCs/>
          <w:sz w:val="32"/>
          <w:szCs w:val="32"/>
        </w:rPr>
        <w:t>（款</w:t>
      </w:r>
      <w:r>
        <w:rPr>
          <w:rStyle w:val="19"/>
          <w:rFonts w:hint="eastAsia" w:ascii="仿宋" w:eastAsia="仿宋"/>
          <w:bCs/>
          <w:sz w:val="32"/>
          <w:szCs w:val="32"/>
          <w:lang w:eastAsia="zh-CN"/>
        </w:rPr>
        <w:t>）</w:t>
      </w:r>
    </w:p>
    <w:p>
      <w:pPr>
        <w:numPr>
          <w:ilvl w:val="0"/>
          <w:numId w:val="0"/>
        </w:numPr>
        <w:spacing w:line="600" w:lineRule="exact"/>
        <w:ind w:firstLine="643" w:firstLineChars="200"/>
        <w:rPr>
          <w:rStyle w:val="19"/>
          <w:rFonts w:hint="eastAsia" w:ascii="仿宋" w:eastAsia="仿宋"/>
          <w:b w:val="0"/>
          <w:bCs/>
          <w:sz w:val="32"/>
          <w:szCs w:val="32"/>
        </w:rPr>
      </w:pPr>
      <w:r>
        <w:rPr>
          <w:rStyle w:val="19"/>
          <w:rFonts w:hint="eastAsia" w:ascii="仿宋" w:eastAsia="仿宋"/>
          <w:bCs/>
          <w:sz w:val="32"/>
          <w:szCs w:val="32"/>
          <w:lang w:eastAsia="zh-CN"/>
        </w:rPr>
        <w:t>（</w:t>
      </w:r>
      <w:r>
        <w:rPr>
          <w:rStyle w:val="19"/>
          <w:rFonts w:hint="eastAsia" w:ascii="仿宋" w:eastAsia="仿宋"/>
          <w:bCs/>
          <w:sz w:val="32"/>
          <w:szCs w:val="32"/>
          <w:lang w:val="en-US" w:eastAsia="zh-CN"/>
        </w:rPr>
        <w:t>1</w:t>
      </w:r>
      <w:r>
        <w:rPr>
          <w:rStyle w:val="19"/>
          <w:rFonts w:hint="eastAsia" w:ascii="仿宋" w:eastAsia="仿宋"/>
          <w:bCs/>
          <w:sz w:val="32"/>
          <w:szCs w:val="32"/>
          <w:lang w:eastAsia="zh-CN"/>
        </w:rPr>
        <w:t>）机关事业单位基本养老保险缴费支出</w:t>
      </w:r>
      <w:r>
        <w:rPr>
          <w:rStyle w:val="19"/>
          <w:rFonts w:hint="eastAsia" w:ascii="仿宋" w:eastAsia="仿宋"/>
          <w:bCs/>
          <w:sz w:val="32"/>
          <w:szCs w:val="32"/>
        </w:rPr>
        <w:t>（项）</w:t>
      </w:r>
      <w:r>
        <w:rPr>
          <w:rStyle w:val="19"/>
          <w:rFonts w:ascii="仿宋" w:eastAsia="仿宋"/>
          <w:bCs/>
          <w:sz w:val="32"/>
          <w:szCs w:val="32"/>
        </w:rPr>
        <w:t>:</w:t>
      </w:r>
      <w:r>
        <w:rPr>
          <w:rStyle w:val="19"/>
          <w:rFonts w:ascii="仿宋" w:eastAsia="仿宋"/>
          <w:b w:val="0"/>
          <w:bCs/>
          <w:sz w:val="32"/>
          <w:szCs w:val="32"/>
        </w:rPr>
        <w:t xml:space="preserve"> </w:t>
      </w:r>
      <w:r>
        <w:rPr>
          <w:rStyle w:val="19"/>
          <w:rFonts w:hint="eastAsia" w:ascii="仿宋" w:eastAsia="仿宋"/>
          <w:b w:val="0"/>
          <w:bCs/>
          <w:sz w:val="32"/>
          <w:szCs w:val="32"/>
        </w:rPr>
        <w:t>支出决算为</w:t>
      </w:r>
      <w:r>
        <w:rPr>
          <w:rStyle w:val="19"/>
          <w:rFonts w:hint="eastAsia" w:ascii="仿宋" w:eastAsia="仿宋"/>
          <w:b w:val="0"/>
          <w:bCs/>
          <w:sz w:val="32"/>
          <w:szCs w:val="32"/>
          <w:lang w:val="en-US" w:eastAsia="zh-CN"/>
        </w:rPr>
        <w:t>57.07</w:t>
      </w:r>
      <w:r>
        <w:rPr>
          <w:rStyle w:val="19"/>
          <w:rFonts w:hint="eastAsia" w:ascii="仿宋" w:eastAsia="仿宋"/>
          <w:b w:val="0"/>
          <w:bCs/>
          <w:sz w:val="32"/>
          <w:szCs w:val="32"/>
        </w:rPr>
        <w:t>万元，完成预算</w:t>
      </w:r>
      <w:r>
        <w:rPr>
          <w:rStyle w:val="19"/>
          <w:rFonts w:hint="eastAsia" w:ascii="仿宋" w:eastAsia="仿宋"/>
          <w:b w:val="0"/>
          <w:bCs/>
          <w:sz w:val="32"/>
          <w:szCs w:val="32"/>
          <w:lang w:val="en-US" w:eastAsia="zh-CN"/>
        </w:rPr>
        <w:t>100</w:t>
      </w:r>
      <w:r>
        <w:rPr>
          <w:rStyle w:val="19"/>
          <w:rFonts w:ascii="仿宋" w:eastAsia="仿宋"/>
          <w:b w:val="0"/>
          <w:bCs/>
          <w:sz w:val="32"/>
          <w:szCs w:val="32"/>
        </w:rPr>
        <w:t>%</w:t>
      </w:r>
      <w:r>
        <w:rPr>
          <w:rStyle w:val="19"/>
          <w:rFonts w:hint="eastAsia" w:ascii="仿宋" w:eastAsia="仿宋"/>
          <w:b w:val="0"/>
          <w:bCs/>
          <w:sz w:val="32"/>
          <w:szCs w:val="32"/>
        </w:rPr>
        <w:t>。</w:t>
      </w:r>
    </w:p>
    <w:p>
      <w:pPr>
        <w:numPr>
          <w:ilvl w:val="0"/>
          <w:numId w:val="0"/>
        </w:numPr>
        <w:spacing w:line="600" w:lineRule="exact"/>
        <w:ind w:firstLine="643" w:firstLineChars="200"/>
        <w:rPr>
          <w:rStyle w:val="19"/>
          <w:rFonts w:hint="eastAsia" w:ascii="仿宋" w:eastAsia="仿宋"/>
          <w:b w:val="0"/>
          <w:bCs/>
          <w:sz w:val="32"/>
          <w:szCs w:val="32"/>
        </w:rPr>
      </w:pPr>
      <w:r>
        <w:rPr>
          <w:rStyle w:val="19"/>
          <w:rFonts w:hint="eastAsia" w:ascii="仿宋" w:eastAsia="仿宋"/>
          <w:bCs/>
          <w:sz w:val="32"/>
          <w:szCs w:val="32"/>
          <w:lang w:eastAsia="zh-CN"/>
        </w:rPr>
        <w:t>（</w:t>
      </w:r>
      <w:r>
        <w:rPr>
          <w:rStyle w:val="19"/>
          <w:rFonts w:hint="eastAsia" w:ascii="仿宋" w:eastAsia="仿宋"/>
          <w:bCs/>
          <w:sz w:val="32"/>
          <w:szCs w:val="32"/>
          <w:lang w:val="en-US" w:eastAsia="zh-CN"/>
        </w:rPr>
        <w:t>2</w:t>
      </w:r>
      <w:r>
        <w:rPr>
          <w:rStyle w:val="19"/>
          <w:rFonts w:hint="eastAsia" w:ascii="仿宋" w:eastAsia="仿宋"/>
          <w:bCs/>
          <w:sz w:val="32"/>
          <w:szCs w:val="32"/>
          <w:lang w:eastAsia="zh-CN"/>
        </w:rPr>
        <w:t>）机关事业单位职业年金缴费支出</w:t>
      </w:r>
      <w:r>
        <w:rPr>
          <w:rStyle w:val="19"/>
          <w:rFonts w:hint="eastAsia" w:ascii="仿宋" w:eastAsia="仿宋"/>
          <w:bCs/>
          <w:sz w:val="32"/>
          <w:szCs w:val="32"/>
        </w:rPr>
        <w:t>（项）</w:t>
      </w:r>
      <w:r>
        <w:rPr>
          <w:rStyle w:val="19"/>
          <w:rFonts w:ascii="仿宋" w:eastAsia="仿宋"/>
          <w:bCs/>
          <w:sz w:val="32"/>
          <w:szCs w:val="32"/>
        </w:rPr>
        <w:t>:</w:t>
      </w:r>
      <w:r>
        <w:rPr>
          <w:rStyle w:val="19"/>
          <w:rFonts w:ascii="仿宋" w:eastAsia="仿宋"/>
          <w:b w:val="0"/>
          <w:bCs/>
          <w:sz w:val="32"/>
          <w:szCs w:val="32"/>
        </w:rPr>
        <w:t xml:space="preserve"> </w:t>
      </w:r>
      <w:r>
        <w:rPr>
          <w:rStyle w:val="19"/>
          <w:rFonts w:hint="eastAsia" w:ascii="仿宋" w:eastAsia="仿宋"/>
          <w:b w:val="0"/>
          <w:bCs/>
          <w:sz w:val="32"/>
          <w:szCs w:val="32"/>
        </w:rPr>
        <w:t>支出决算为</w:t>
      </w:r>
      <w:r>
        <w:rPr>
          <w:rStyle w:val="19"/>
          <w:rFonts w:hint="eastAsia" w:ascii="仿宋" w:eastAsia="仿宋"/>
          <w:b w:val="0"/>
          <w:bCs/>
          <w:sz w:val="32"/>
          <w:szCs w:val="32"/>
          <w:lang w:val="en-US" w:eastAsia="zh-CN"/>
        </w:rPr>
        <w:t>28.53</w:t>
      </w:r>
      <w:r>
        <w:rPr>
          <w:rStyle w:val="19"/>
          <w:rFonts w:hint="eastAsia" w:ascii="仿宋" w:eastAsia="仿宋"/>
          <w:b w:val="0"/>
          <w:bCs/>
          <w:sz w:val="32"/>
          <w:szCs w:val="32"/>
        </w:rPr>
        <w:t>万元，完成预算</w:t>
      </w:r>
      <w:r>
        <w:rPr>
          <w:rStyle w:val="19"/>
          <w:rFonts w:hint="eastAsia" w:ascii="仿宋" w:eastAsia="仿宋"/>
          <w:b w:val="0"/>
          <w:bCs/>
          <w:sz w:val="32"/>
          <w:szCs w:val="32"/>
          <w:lang w:val="en-US" w:eastAsia="zh-CN"/>
        </w:rPr>
        <w:t>100</w:t>
      </w:r>
      <w:r>
        <w:rPr>
          <w:rStyle w:val="19"/>
          <w:rFonts w:ascii="仿宋" w:eastAsia="仿宋"/>
          <w:b w:val="0"/>
          <w:bCs/>
          <w:sz w:val="32"/>
          <w:szCs w:val="32"/>
        </w:rPr>
        <w:t>%</w:t>
      </w:r>
      <w:r>
        <w:rPr>
          <w:rStyle w:val="19"/>
          <w:rFonts w:hint="eastAsia" w:ascii="仿宋" w:eastAsia="仿宋"/>
          <w:b w:val="0"/>
          <w:bCs/>
          <w:sz w:val="32"/>
          <w:szCs w:val="32"/>
        </w:rPr>
        <w:t>。</w:t>
      </w:r>
    </w:p>
    <w:p>
      <w:pPr>
        <w:numPr>
          <w:ilvl w:val="0"/>
          <w:numId w:val="0"/>
        </w:numPr>
        <w:spacing w:line="600" w:lineRule="exact"/>
        <w:ind w:firstLine="643" w:firstLineChars="200"/>
        <w:rPr>
          <w:rStyle w:val="19"/>
          <w:rFonts w:hint="eastAsia" w:ascii="仿宋" w:eastAsia="仿宋"/>
          <w:bCs/>
          <w:sz w:val="32"/>
          <w:szCs w:val="32"/>
        </w:rPr>
      </w:pPr>
      <w:r>
        <w:rPr>
          <w:rStyle w:val="19"/>
          <w:rFonts w:hint="eastAsia" w:ascii="仿宋" w:eastAsia="仿宋"/>
          <w:bCs/>
          <w:sz w:val="32"/>
          <w:szCs w:val="32"/>
          <w:lang w:val="en-US" w:eastAsia="zh-CN"/>
        </w:rPr>
        <w:t>3</w:t>
      </w:r>
      <w:r>
        <w:rPr>
          <w:rStyle w:val="19"/>
          <w:rFonts w:ascii="仿宋" w:eastAsia="仿宋"/>
          <w:bCs/>
          <w:sz w:val="32"/>
          <w:szCs w:val="32"/>
        </w:rPr>
        <w:t>.</w:t>
      </w:r>
      <w:r>
        <w:rPr>
          <w:rFonts w:hint="eastAsia" w:ascii="仿宋" w:eastAsia="仿宋"/>
          <w:b/>
          <w:bCs/>
          <w:sz w:val="32"/>
          <w:szCs w:val="32"/>
        </w:rPr>
        <w:t>卫生健康</w:t>
      </w:r>
      <w:r>
        <w:rPr>
          <w:rStyle w:val="19"/>
          <w:rFonts w:hint="eastAsia" w:ascii="仿宋" w:eastAsia="仿宋"/>
          <w:bCs/>
          <w:sz w:val="32"/>
          <w:szCs w:val="32"/>
        </w:rPr>
        <w:t>（类）</w:t>
      </w:r>
      <w:r>
        <w:rPr>
          <w:rStyle w:val="19"/>
          <w:rFonts w:hint="eastAsia" w:ascii="仿宋" w:eastAsia="仿宋"/>
          <w:bCs/>
          <w:sz w:val="32"/>
          <w:szCs w:val="32"/>
          <w:lang w:val="en-US" w:eastAsia="zh-CN"/>
        </w:rPr>
        <w:t>行政事业单位医疗</w:t>
      </w:r>
      <w:r>
        <w:rPr>
          <w:rStyle w:val="19"/>
          <w:rFonts w:hint="eastAsia" w:ascii="仿宋" w:eastAsia="仿宋"/>
          <w:bCs/>
          <w:sz w:val="32"/>
          <w:szCs w:val="32"/>
        </w:rPr>
        <w:t>（款）</w:t>
      </w:r>
    </w:p>
    <w:p>
      <w:pPr>
        <w:numPr>
          <w:ilvl w:val="0"/>
          <w:numId w:val="0"/>
        </w:numPr>
        <w:spacing w:line="600" w:lineRule="exact"/>
        <w:ind w:firstLine="643" w:firstLineChars="200"/>
        <w:rPr>
          <w:rStyle w:val="19"/>
          <w:rFonts w:hint="eastAsia" w:ascii="仿宋" w:eastAsia="仿宋"/>
          <w:b w:val="0"/>
          <w:bCs/>
          <w:sz w:val="32"/>
          <w:szCs w:val="32"/>
        </w:rPr>
      </w:pPr>
      <w:r>
        <w:rPr>
          <w:rStyle w:val="19"/>
          <w:rFonts w:hint="eastAsia" w:ascii="仿宋" w:eastAsia="仿宋"/>
          <w:bCs/>
          <w:sz w:val="32"/>
          <w:szCs w:val="32"/>
          <w:lang w:eastAsia="zh-CN"/>
        </w:rPr>
        <w:t>（</w:t>
      </w:r>
      <w:r>
        <w:rPr>
          <w:rStyle w:val="19"/>
          <w:rFonts w:hint="eastAsia" w:ascii="仿宋" w:eastAsia="仿宋"/>
          <w:bCs/>
          <w:sz w:val="32"/>
          <w:szCs w:val="32"/>
          <w:lang w:val="en-US" w:eastAsia="zh-CN"/>
        </w:rPr>
        <w:t>1</w:t>
      </w:r>
      <w:r>
        <w:rPr>
          <w:rStyle w:val="19"/>
          <w:rFonts w:hint="eastAsia" w:ascii="仿宋" w:eastAsia="仿宋"/>
          <w:bCs/>
          <w:sz w:val="32"/>
          <w:szCs w:val="32"/>
          <w:lang w:eastAsia="zh-CN"/>
        </w:rPr>
        <w:t>）</w:t>
      </w:r>
      <w:r>
        <w:rPr>
          <w:rStyle w:val="19"/>
          <w:rFonts w:hint="eastAsia" w:ascii="仿宋" w:eastAsia="仿宋"/>
          <w:bCs/>
          <w:sz w:val="32"/>
          <w:szCs w:val="32"/>
          <w:lang w:val="en-US" w:eastAsia="zh-CN"/>
        </w:rPr>
        <w:t>行政单位医疗</w:t>
      </w:r>
      <w:r>
        <w:rPr>
          <w:rStyle w:val="19"/>
          <w:rFonts w:hint="eastAsia" w:ascii="仿宋" w:eastAsia="仿宋"/>
          <w:bCs/>
          <w:sz w:val="32"/>
          <w:szCs w:val="32"/>
        </w:rPr>
        <w:t>（项）</w:t>
      </w:r>
      <w:r>
        <w:rPr>
          <w:rStyle w:val="19"/>
          <w:rFonts w:ascii="仿宋" w:eastAsia="仿宋"/>
          <w:bCs/>
          <w:sz w:val="32"/>
          <w:szCs w:val="32"/>
        </w:rPr>
        <w:t>:</w:t>
      </w:r>
      <w:r>
        <w:rPr>
          <w:rStyle w:val="19"/>
          <w:rFonts w:ascii="仿宋" w:eastAsia="仿宋"/>
          <w:b w:val="0"/>
          <w:bCs/>
          <w:sz w:val="32"/>
          <w:szCs w:val="32"/>
        </w:rPr>
        <w:t xml:space="preserve"> </w:t>
      </w:r>
      <w:r>
        <w:rPr>
          <w:rStyle w:val="19"/>
          <w:rFonts w:hint="eastAsia" w:ascii="仿宋" w:eastAsia="仿宋"/>
          <w:b w:val="0"/>
          <w:bCs/>
          <w:sz w:val="32"/>
          <w:szCs w:val="32"/>
        </w:rPr>
        <w:t>支出决算为</w:t>
      </w:r>
      <w:r>
        <w:rPr>
          <w:rStyle w:val="19"/>
          <w:rFonts w:hint="eastAsia" w:ascii="仿宋" w:eastAsia="仿宋"/>
          <w:b w:val="0"/>
          <w:bCs/>
          <w:sz w:val="32"/>
          <w:szCs w:val="32"/>
          <w:lang w:val="en-US" w:eastAsia="zh-CN"/>
        </w:rPr>
        <w:t>25.93</w:t>
      </w:r>
      <w:r>
        <w:rPr>
          <w:rStyle w:val="19"/>
          <w:rFonts w:hint="eastAsia" w:ascii="仿宋" w:eastAsia="仿宋"/>
          <w:b w:val="0"/>
          <w:bCs/>
          <w:sz w:val="32"/>
          <w:szCs w:val="32"/>
        </w:rPr>
        <w:t>万元，完成预算</w:t>
      </w:r>
      <w:r>
        <w:rPr>
          <w:rStyle w:val="19"/>
          <w:rFonts w:hint="eastAsia" w:ascii="仿宋" w:eastAsia="仿宋"/>
          <w:b w:val="0"/>
          <w:bCs/>
          <w:sz w:val="32"/>
          <w:szCs w:val="32"/>
          <w:lang w:val="en-US" w:eastAsia="zh-CN"/>
        </w:rPr>
        <w:t>100</w:t>
      </w:r>
      <w:r>
        <w:rPr>
          <w:rStyle w:val="19"/>
          <w:rFonts w:ascii="仿宋" w:eastAsia="仿宋"/>
          <w:b w:val="0"/>
          <w:bCs/>
          <w:sz w:val="32"/>
          <w:szCs w:val="32"/>
        </w:rPr>
        <w:t>%</w:t>
      </w:r>
      <w:r>
        <w:rPr>
          <w:rStyle w:val="19"/>
          <w:rFonts w:hint="eastAsia" w:ascii="仿宋" w:eastAsia="仿宋"/>
          <w:b w:val="0"/>
          <w:bCs/>
          <w:sz w:val="32"/>
          <w:szCs w:val="32"/>
        </w:rPr>
        <w:t>。</w:t>
      </w:r>
    </w:p>
    <w:p>
      <w:pPr>
        <w:numPr>
          <w:ilvl w:val="0"/>
          <w:numId w:val="0"/>
        </w:numPr>
        <w:spacing w:line="600" w:lineRule="exact"/>
        <w:ind w:firstLine="643" w:firstLineChars="200"/>
        <w:rPr>
          <w:rStyle w:val="19"/>
          <w:rFonts w:hint="eastAsia" w:ascii="仿宋" w:eastAsia="仿宋"/>
          <w:bCs/>
          <w:sz w:val="32"/>
          <w:szCs w:val="32"/>
          <w:lang w:eastAsia="zh-CN"/>
        </w:rPr>
      </w:pPr>
      <w:r>
        <w:rPr>
          <w:rStyle w:val="19"/>
          <w:rFonts w:hint="eastAsia" w:ascii="仿宋" w:eastAsia="仿宋"/>
          <w:bCs/>
          <w:sz w:val="32"/>
          <w:szCs w:val="32"/>
          <w:lang w:eastAsia="zh-CN"/>
        </w:rPr>
        <w:t>（</w:t>
      </w:r>
      <w:r>
        <w:rPr>
          <w:rStyle w:val="19"/>
          <w:rFonts w:hint="eastAsia" w:ascii="仿宋" w:eastAsia="仿宋"/>
          <w:bCs/>
          <w:sz w:val="32"/>
          <w:szCs w:val="32"/>
          <w:lang w:val="en-US" w:eastAsia="zh-CN"/>
        </w:rPr>
        <w:t>2</w:t>
      </w:r>
      <w:r>
        <w:rPr>
          <w:rStyle w:val="19"/>
          <w:rFonts w:hint="eastAsia" w:ascii="仿宋" w:eastAsia="仿宋"/>
          <w:bCs/>
          <w:sz w:val="32"/>
          <w:szCs w:val="32"/>
          <w:lang w:eastAsia="zh-CN"/>
        </w:rPr>
        <w:t>）</w:t>
      </w:r>
      <w:r>
        <w:rPr>
          <w:rStyle w:val="19"/>
          <w:rFonts w:hint="eastAsia" w:ascii="仿宋" w:eastAsia="仿宋"/>
          <w:bCs/>
          <w:sz w:val="32"/>
          <w:szCs w:val="32"/>
          <w:lang w:val="en-US" w:eastAsia="zh-CN"/>
        </w:rPr>
        <w:t>事业单位医疗</w:t>
      </w:r>
      <w:r>
        <w:rPr>
          <w:rStyle w:val="19"/>
          <w:rFonts w:hint="eastAsia" w:ascii="仿宋" w:eastAsia="仿宋"/>
          <w:bCs/>
          <w:sz w:val="32"/>
          <w:szCs w:val="32"/>
        </w:rPr>
        <w:t>（项）</w:t>
      </w:r>
      <w:r>
        <w:rPr>
          <w:rStyle w:val="19"/>
          <w:rFonts w:ascii="仿宋" w:eastAsia="仿宋"/>
          <w:bCs/>
          <w:sz w:val="32"/>
          <w:szCs w:val="32"/>
        </w:rPr>
        <w:t>:</w:t>
      </w:r>
      <w:r>
        <w:rPr>
          <w:rStyle w:val="19"/>
          <w:rFonts w:ascii="仿宋" w:eastAsia="仿宋"/>
          <w:b w:val="0"/>
          <w:bCs/>
          <w:sz w:val="32"/>
          <w:szCs w:val="32"/>
        </w:rPr>
        <w:t xml:space="preserve">  </w:t>
      </w:r>
      <w:r>
        <w:rPr>
          <w:rStyle w:val="19"/>
          <w:rFonts w:hint="eastAsia" w:ascii="仿宋" w:eastAsia="仿宋"/>
          <w:b w:val="0"/>
          <w:bCs/>
          <w:sz w:val="32"/>
          <w:szCs w:val="32"/>
        </w:rPr>
        <w:t>支出决算为</w:t>
      </w:r>
      <w:r>
        <w:rPr>
          <w:rStyle w:val="19"/>
          <w:rFonts w:hint="eastAsia" w:ascii="仿宋" w:eastAsia="仿宋"/>
          <w:b w:val="0"/>
          <w:bCs/>
          <w:sz w:val="32"/>
          <w:szCs w:val="32"/>
          <w:lang w:val="en-US" w:eastAsia="zh-CN"/>
        </w:rPr>
        <w:t>1.98</w:t>
      </w:r>
      <w:r>
        <w:rPr>
          <w:rStyle w:val="19"/>
          <w:rFonts w:hint="eastAsia" w:ascii="仿宋" w:eastAsia="仿宋"/>
          <w:b w:val="0"/>
          <w:bCs/>
          <w:sz w:val="32"/>
          <w:szCs w:val="32"/>
        </w:rPr>
        <w:t>万元，完成预算</w:t>
      </w:r>
      <w:r>
        <w:rPr>
          <w:rStyle w:val="19"/>
          <w:rFonts w:hint="eastAsia" w:ascii="仿宋" w:eastAsia="仿宋"/>
          <w:b w:val="0"/>
          <w:bCs/>
          <w:sz w:val="32"/>
          <w:szCs w:val="32"/>
          <w:lang w:val="en-US" w:eastAsia="zh-CN"/>
        </w:rPr>
        <w:t>100</w:t>
      </w:r>
      <w:r>
        <w:rPr>
          <w:rStyle w:val="19"/>
          <w:rFonts w:ascii="仿宋" w:eastAsia="仿宋"/>
          <w:b w:val="0"/>
          <w:bCs/>
          <w:sz w:val="32"/>
          <w:szCs w:val="32"/>
        </w:rPr>
        <w:t>%</w:t>
      </w:r>
      <w:r>
        <w:rPr>
          <w:rStyle w:val="19"/>
          <w:rFonts w:hint="eastAsia" w:ascii="仿宋" w:eastAsia="仿宋"/>
          <w:b w:val="0"/>
          <w:bCs/>
          <w:sz w:val="32"/>
          <w:szCs w:val="32"/>
        </w:rPr>
        <w:t>。</w:t>
      </w:r>
    </w:p>
    <w:p>
      <w:pPr>
        <w:numPr>
          <w:ilvl w:val="0"/>
          <w:numId w:val="0"/>
        </w:numPr>
        <w:spacing w:line="600" w:lineRule="exact"/>
        <w:ind w:firstLine="643" w:firstLineChars="200"/>
        <w:rPr>
          <w:rStyle w:val="19"/>
          <w:rFonts w:hint="eastAsia" w:ascii="仿宋" w:eastAsia="仿宋"/>
          <w:b w:val="0"/>
          <w:bCs/>
          <w:sz w:val="32"/>
          <w:szCs w:val="32"/>
        </w:rPr>
      </w:pPr>
      <w:r>
        <w:rPr>
          <w:rStyle w:val="19"/>
          <w:rFonts w:hint="eastAsia" w:ascii="仿宋" w:eastAsia="仿宋"/>
          <w:bCs/>
          <w:sz w:val="32"/>
          <w:szCs w:val="32"/>
          <w:lang w:eastAsia="zh-CN"/>
        </w:rPr>
        <w:t>（</w:t>
      </w:r>
      <w:r>
        <w:rPr>
          <w:rStyle w:val="19"/>
          <w:rFonts w:hint="eastAsia" w:ascii="仿宋" w:eastAsia="仿宋"/>
          <w:bCs/>
          <w:sz w:val="32"/>
          <w:szCs w:val="32"/>
          <w:lang w:val="en-US" w:eastAsia="zh-CN"/>
        </w:rPr>
        <w:t>3</w:t>
      </w:r>
      <w:r>
        <w:rPr>
          <w:rStyle w:val="19"/>
          <w:rFonts w:hint="eastAsia" w:ascii="仿宋" w:eastAsia="仿宋"/>
          <w:bCs/>
          <w:sz w:val="32"/>
          <w:szCs w:val="32"/>
          <w:lang w:eastAsia="zh-CN"/>
        </w:rPr>
        <w:t>）</w:t>
      </w:r>
      <w:r>
        <w:rPr>
          <w:rStyle w:val="19"/>
          <w:rFonts w:hint="eastAsia" w:ascii="仿宋" w:eastAsia="仿宋"/>
          <w:bCs/>
          <w:sz w:val="32"/>
          <w:szCs w:val="32"/>
          <w:lang w:val="en-US" w:eastAsia="zh-CN"/>
        </w:rPr>
        <w:t>公务员医疗补助</w:t>
      </w:r>
      <w:r>
        <w:rPr>
          <w:rStyle w:val="19"/>
          <w:rFonts w:hint="eastAsia" w:ascii="仿宋" w:eastAsia="仿宋"/>
          <w:bCs/>
          <w:sz w:val="32"/>
          <w:szCs w:val="32"/>
        </w:rPr>
        <w:t>（项）</w:t>
      </w:r>
      <w:r>
        <w:rPr>
          <w:rStyle w:val="19"/>
          <w:rFonts w:ascii="仿宋" w:eastAsia="仿宋"/>
          <w:bCs/>
          <w:sz w:val="32"/>
          <w:szCs w:val="32"/>
        </w:rPr>
        <w:t>:</w:t>
      </w:r>
      <w:r>
        <w:rPr>
          <w:rStyle w:val="19"/>
          <w:rFonts w:ascii="仿宋" w:eastAsia="仿宋"/>
          <w:b w:val="0"/>
          <w:bCs/>
          <w:sz w:val="32"/>
          <w:szCs w:val="32"/>
        </w:rPr>
        <w:t xml:space="preserve"> </w:t>
      </w:r>
      <w:r>
        <w:rPr>
          <w:rStyle w:val="19"/>
          <w:rFonts w:hint="eastAsia" w:ascii="仿宋" w:eastAsia="仿宋"/>
          <w:b w:val="0"/>
          <w:bCs/>
          <w:sz w:val="32"/>
          <w:szCs w:val="32"/>
        </w:rPr>
        <w:t>支出决算为</w:t>
      </w:r>
      <w:r>
        <w:rPr>
          <w:rStyle w:val="19"/>
          <w:rFonts w:hint="eastAsia" w:ascii="仿宋" w:eastAsia="仿宋"/>
          <w:b w:val="0"/>
          <w:bCs/>
          <w:sz w:val="32"/>
          <w:szCs w:val="32"/>
          <w:lang w:val="en-US" w:eastAsia="zh-CN"/>
        </w:rPr>
        <w:t>8.33</w:t>
      </w:r>
      <w:r>
        <w:rPr>
          <w:rStyle w:val="19"/>
          <w:rFonts w:hint="eastAsia" w:ascii="仿宋" w:eastAsia="仿宋"/>
          <w:b w:val="0"/>
          <w:bCs/>
          <w:sz w:val="32"/>
          <w:szCs w:val="32"/>
        </w:rPr>
        <w:t>万元，完成预算</w:t>
      </w:r>
      <w:r>
        <w:rPr>
          <w:rStyle w:val="19"/>
          <w:rFonts w:hint="eastAsia" w:ascii="仿宋" w:eastAsia="仿宋"/>
          <w:b w:val="0"/>
          <w:bCs/>
          <w:sz w:val="32"/>
          <w:szCs w:val="32"/>
          <w:lang w:val="en-US" w:eastAsia="zh-CN"/>
        </w:rPr>
        <w:t>100</w:t>
      </w:r>
      <w:r>
        <w:rPr>
          <w:rStyle w:val="19"/>
          <w:rFonts w:ascii="仿宋" w:eastAsia="仿宋"/>
          <w:b w:val="0"/>
          <w:bCs/>
          <w:sz w:val="32"/>
          <w:szCs w:val="32"/>
        </w:rPr>
        <w:t>%</w:t>
      </w:r>
      <w:r>
        <w:rPr>
          <w:rStyle w:val="19"/>
          <w:rFonts w:hint="eastAsia" w:ascii="仿宋" w:eastAsia="仿宋"/>
          <w:b w:val="0"/>
          <w:bCs/>
          <w:sz w:val="32"/>
          <w:szCs w:val="32"/>
        </w:rPr>
        <w:t>。</w:t>
      </w:r>
    </w:p>
    <w:p>
      <w:pPr>
        <w:numPr>
          <w:ilvl w:val="0"/>
          <w:numId w:val="0"/>
        </w:numPr>
        <w:spacing w:line="600" w:lineRule="exact"/>
        <w:ind w:firstLine="643" w:firstLineChars="200"/>
      </w:pPr>
      <w:r>
        <w:rPr>
          <w:rStyle w:val="19"/>
          <w:rFonts w:hint="eastAsia" w:ascii="仿宋" w:eastAsia="仿宋"/>
          <w:bCs/>
          <w:sz w:val="32"/>
          <w:szCs w:val="32"/>
          <w:lang w:eastAsia="zh-CN"/>
        </w:rPr>
        <w:t>（</w:t>
      </w:r>
      <w:r>
        <w:rPr>
          <w:rStyle w:val="19"/>
          <w:rFonts w:hint="eastAsia" w:ascii="仿宋" w:eastAsia="仿宋"/>
          <w:bCs/>
          <w:sz w:val="32"/>
          <w:szCs w:val="32"/>
          <w:lang w:val="en-US" w:eastAsia="zh-CN"/>
        </w:rPr>
        <w:t>4</w:t>
      </w:r>
      <w:r>
        <w:rPr>
          <w:rStyle w:val="19"/>
          <w:rFonts w:hint="eastAsia" w:ascii="仿宋" w:eastAsia="仿宋"/>
          <w:bCs/>
          <w:sz w:val="32"/>
          <w:szCs w:val="32"/>
          <w:lang w:eastAsia="zh-CN"/>
        </w:rPr>
        <w:t>）</w:t>
      </w:r>
      <w:r>
        <w:rPr>
          <w:rStyle w:val="19"/>
          <w:rFonts w:hint="eastAsia" w:ascii="仿宋" w:eastAsia="仿宋"/>
          <w:bCs/>
          <w:sz w:val="32"/>
          <w:szCs w:val="32"/>
          <w:lang w:val="en-US" w:eastAsia="zh-CN"/>
        </w:rPr>
        <w:t>其他行政事业单位医疗支出</w:t>
      </w:r>
      <w:r>
        <w:rPr>
          <w:rStyle w:val="19"/>
          <w:rFonts w:hint="eastAsia" w:ascii="仿宋" w:eastAsia="仿宋"/>
          <w:bCs/>
          <w:sz w:val="32"/>
          <w:szCs w:val="32"/>
        </w:rPr>
        <w:t>（项）</w:t>
      </w:r>
      <w:r>
        <w:rPr>
          <w:rStyle w:val="19"/>
          <w:rFonts w:ascii="仿宋" w:eastAsia="仿宋"/>
          <w:bCs/>
          <w:sz w:val="32"/>
          <w:szCs w:val="32"/>
        </w:rPr>
        <w:t>:</w:t>
      </w:r>
      <w:r>
        <w:rPr>
          <w:rStyle w:val="19"/>
          <w:rFonts w:hint="eastAsia" w:ascii="仿宋" w:eastAsia="仿宋"/>
          <w:b w:val="0"/>
          <w:bCs/>
          <w:sz w:val="32"/>
          <w:szCs w:val="32"/>
        </w:rPr>
        <w:t>支出决算为</w:t>
      </w:r>
      <w:r>
        <w:rPr>
          <w:rStyle w:val="19"/>
          <w:rFonts w:hint="eastAsia" w:ascii="仿宋" w:eastAsia="仿宋"/>
          <w:b w:val="0"/>
          <w:bCs/>
          <w:sz w:val="32"/>
          <w:szCs w:val="32"/>
          <w:lang w:val="en-US" w:eastAsia="zh-CN"/>
        </w:rPr>
        <w:t>0.44</w:t>
      </w:r>
      <w:r>
        <w:rPr>
          <w:rStyle w:val="19"/>
          <w:rFonts w:hint="eastAsia" w:ascii="仿宋" w:eastAsia="仿宋"/>
          <w:b w:val="0"/>
          <w:bCs/>
          <w:sz w:val="32"/>
          <w:szCs w:val="32"/>
        </w:rPr>
        <w:t>万元，完成预算</w:t>
      </w:r>
      <w:r>
        <w:rPr>
          <w:rStyle w:val="19"/>
          <w:rFonts w:hint="eastAsia" w:ascii="仿宋" w:eastAsia="仿宋"/>
          <w:b w:val="0"/>
          <w:bCs/>
          <w:sz w:val="32"/>
          <w:szCs w:val="32"/>
          <w:lang w:val="en-US" w:eastAsia="zh-CN"/>
        </w:rPr>
        <w:t>100</w:t>
      </w:r>
      <w:r>
        <w:rPr>
          <w:rStyle w:val="19"/>
          <w:rFonts w:ascii="仿宋" w:eastAsia="仿宋"/>
          <w:b w:val="0"/>
          <w:bCs/>
          <w:sz w:val="32"/>
          <w:szCs w:val="32"/>
        </w:rPr>
        <w:t>%</w:t>
      </w:r>
      <w:r>
        <w:rPr>
          <w:rStyle w:val="19"/>
          <w:rFonts w:hint="eastAsia" w:ascii="仿宋" w:eastAsia="仿宋"/>
          <w:b w:val="0"/>
          <w:bCs/>
          <w:sz w:val="32"/>
          <w:szCs w:val="32"/>
        </w:rPr>
        <w:t>。</w:t>
      </w:r>
    </w:p>
    <w:p>
      <w:pPr>
        <w:spacing w:line="600" w:lineRule="exact"/>
        <w:ind w:firstLine="643" w:firstLineChars="200"/>
        <w:rPr>
          <w:rFonts w:hint="eastAsia" w:ascii="仿宋" w:eastAsia="仿宋"/>
          <w:b w:val="0"/>
          <w:bCs/>
          <w:sz w:val="32"/>
          <w:szCs w:val="32"/>
        </w:rPr>
      </w:pPr>
      <w:r>
        <w:rPr>
          <w:rFonts w:hint="eastAsia" w:ascii="仿宋" w:eastAsia="仿宋"/>
          <w:b/>
          <w:sz w:val="32"/>
          <w:szCs w:val="32"/>
          <w:lang w:val="en-US" w:eastAsia="zh-CN"/>
        </w:rPr>
        <w:t>4</w:t>
      </w:r>
      <w:r>
        <w:rPr>
          <w:rFonts w:hint="eastAsia" w:ascii="仿宋" w:eastAsia="仿宋"/>
          <w:b/>
          <w:sz w:val="32"/>
          <w:szCs w:val="32"/>
        </w:rPr>
        <w:t>.住房保障支出（类）住房改革支出（款）住房公积金（项）:</w:t>
      </w:r>
      <w:r>
        <w:rPr>
          <w:rFonts w:hint="eastAsia" w:ascii="仿宋" w:eastAsia="仿宋"/>
          <w:b w:val="0"/>
          <w:bCs/>
          <w:sz w:val="32"/>
          <w:szCs w:val="32"/>
        </w:rPr>
        <w:t>支出决算为</w:t>
      </w:r>
      <w:r>
        <w:rPr>
          <w:rFonts w:hint="eastAsia" w:ascii="仿宋" w:eastAsia="仿宋"/>
          <w:b w:val="0"/>
          <w:bCs/>
          <w:sz w:val="32"/>
          <w:szCs w:val="32"/>
          <w:lang w:val="en-US" w:eastAsia="zh-CN"/>
        </w:rPr>
        <w:t>46.42</w:t>
      </w:r>
      <w:r>
        <w:rPr>
          <w:rFonts w:hint="eastAsia" w:ascii="仿宋" w:eastAsia="仿宋"/>
          <w:b w:val="0"/>
          <w:bCs/>
          <w:sz w:val="32"/>
          <w:szCs w:val="32"/>
        </w:rPr>
        <w:t>万元，完成预算100%。</w:t>
      </w:r>
    </w:p>
    <w:p>
      <w:pPr>
        <w:bidi w:val="0"/>
        <w:ind w:firstLine="373" w:firstLineChars="0"/>
        <w:jc w:val="left"/>
        <w:rPr>
          <w:rFonts w:ascii="Times New Roman" w:hAnsi="Times New Roman" w:eastAsia="宋体" w:cs="Times New Roman"/>
          <w:kern w:val="2"/>
          <w:sz w:val="21"/>
          <w:szCs w:val="24"/>
          <w:lang w:val="en-US" w:eastAsia="zh-CN" w:bidi="ar-SA"/>
        </w:rPr>
      </w:pPr>
    </w:p>
    <w:p>
      <w:pPr>
        <w:tabs>
          <w:tab w:val="right" w:pos="8306"/>
        </w:tabs>
        <w:spacing w:line="600" w:lineRule="exact"/>
        <w:ind w:firstLine="640"/>
        <w:outlineLvl w:val="1"/>
        <w:rPr>
          <w:rStyle w:val="31"/>
        </w:rPr>
      </w:pPr>
      <w:bookmarkStart w:id="68" w:name="_Toc15377214"/>
      <w:bookmarkStart w:id="69" w:name="_Toc15396608"/>
      <w:bookmarkStart w:id="70" w:name="_Toc24603"/>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1"/>
          <w:rFonts w:hint="eastAsia" w:ascii="黑体" w:hAnsi="黑体" w:eastAsia="黑体"/>
          <w:b w:val="0"/>
        </w:rPr>
        <w:t>般公共预算财政拨款基本支出决算情况说明</w:t>
      </w:r>
      <w:bookmarkEnd w:id="68"/>
      <w:bookmarkEnd w:id="69"/>
      <w:bookmarkEnd w:id="70"/>
      <w:r>
        <w:rPr>
          <w:rStyle w:val="31"/>
          <w:rFonts w:ascii="黑体" w:hAnsi="黑体" w:eastAsia="黑体"/>
          <w:b w:val="0"/>
        </w:rPr>
        <w:tab/>
      </w:r>
    </w:p>
    <w:p>
      <w:pPr>
        <w:spacing w:line="600" w:lineRule="exact"/>
        <w:ind w:firstLine="645"/>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年度一般公共预算财政拨款基本支出</w:t>
      </w:r>
      <w:r>
        <w:rPr>
          <w:rFonts w:hint="eastAsia" w:eastAsia="仿宋"/>
          <w:sz w:val="32"/>
          <w:szCs w:val="32"/>
          <w:lang w:val="en-US" w:eastAsia="zh-CN"/>
        </w:rPr>
        <w:t>670.23</w:t>
      </w:r>
      <w:r>
        <w:rPr>
          <w:rFonts w:hint="eastAsia" w:ascii="仿宋" w:hAnsi="仿宋" w:eastAsia="仿宋"/>
          <w:sz w:val="32"/>
          <w:szCs w:val="32"/>
        </w:rPr>
        <w:t>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hint="eastAsia" w:eastAsia="仿宋"/>
          <w:sz w:val="32"/>
          <w:szCs w:val="32"/>
          <w:lang w:val="en-US" w:eastAsia="zh-CN"/>
        </w:rPr>
        <w:t>616.88</w:t>
      </w:r>
      <w:r>
        <w:rPr>
          <w:rFonts w:hint="eastAsia" w:ascii="仿宋" w:hAnsi="仿宋" w:eastAsia="仿宋"/>
          <w:sz w:val="32"/>
          <w:szCs w:val="32"/>
        </w:rPr>
        <w:t>万元，主要包括：基本工资</w:t>
      </w:r>
      <w:r>
        <w:rPr>
          <w:rFonts w:hint="eastAsia" w:ascii="仿宋" w:hAnsi="仿宋" w:eastAsia="仿宋"/>
          <w:sz w:val="32"/>
          <w:szCs w:val="32"/>
          <w:lang w:val="en-US" w:eastAsia="zh-CN"/>
        </w:rPr>
        <w:t>106.63万元</w:t>
      </w:r>
      <w:r>
        <w:rPr>
          <w:rFonts w:hint="eastAsia" w:ascii="仿宋" w:hAnsi="仿宋" w:eastAsia="仿宋"/>
          <w:sz w:val="32"/>
          <w:szCs w:val="32"/>
        </w:rPr>
        <w:t>、津贴补贴</w:t>
      </w:r>
      <w:r>
        <w:rPr>
          <w:rFonts w:hint="eastAsia" w:ascii="仿宋" w:hAnsi="仿宋" w:eastAsia="仿宋"/>
          <w:sz w:val="32"/>
          <w:szCs w:val="32"/>
          <w:lang w:val="en-US" w:eastAsia="zh-CN"/>
        </w:rPr>
        <w:t>162.77万元</w:t>
      </w:r>
      <w:r>
        <w:rPr>
          <w:rFonts w:hint="eastAsia" w:ascii="仿宋" w:hAnsi="仿宋" w:eastAsia="仿宋"/>
          <w:sz w:val="32"/>
          <w:szCs w:val="32"/>
        </w:rPr>
        <w:t>、奖金</w:t>
      </w:r>
      <w:r>
        <w:rPr>
          <w:rFonts w:hint="eastAsia" w:ascii="仿宋" w:hAnsi="仿宋" w:eastAsia="仿宋"/>
          <w:sz w:val="32"/>
          <w:szCs w:val="32"/>
          <w:lang w:val="en-US" w:eastAsia="zh-CN"/>
        </w:rPr>
        <w:t>139.11万元</w:t>
      </w:r>
      <w:r>
        <w:rPr>
          <w:rFonts w:hint="eastAsia" w:ascii="仿宋" w:hAnsi="仿宋" w:eastAsia="仿宋"/>
          <w:sz w:val="32"/>
          <w:szCs w:val="32"/>
        </w:rPr>
        <w:t>、绩效工资</w:t>
      </w:r>
      <w:r>
        <w:rPr>
          <w:rFonts w:hint="eastAsia" w:ascii="仿宋" w:hAnsi="仿宋" w:eastAsia="仿宋"/>
          <w:sz w:val="32"/>
          <w:szCs w:val="32"/>
          <w:lang w:val="en-US" w:eastAsia="zh-CN"/>
        </w:rPr>
        <w:t>6.03万元</w:t>
      </w:r>
      <w:r>
        <w:rPr>
          <w:rFonts w:hint="eastAsia" w:ascii="仿宋" w:hAnsi="仿宋" w:eastAsia="仿宋"/>
          <w:sz w:val="32"/>
          <w:szCs w:val="32"/>
        </w:rPr>
        <w:t>、机关事业单位基本养老保险缴费</w:t>
      </w:r>
      <w:r>
        <w:rPr>
          <w:rFonts w:hint="eastAsia" w:ascii="仿宋" w:hAnsi="仿宋" w:eastAsia="仿宋"/>
          <w:sz w:val="32"/>
          <w:szCs w:val="32"/>
          <w:lang w:val="en-US" w:eastAsia="zh-CN"/>
        </w:rPr>
        <w:t>57.07万元</w:t>
      </w:r>
      <w:r>
        <w:rPr>
          <w:rFonts w:hint="eastAsia" w:ascii="仿宋" w:hAnsi="仿宋" w:eastAsia="仿宋"/>
          <w:sz w:val="32"/>
          <w:szCs w:val="32"/>
        </w:rPr>
        <w:t>、职业年金缴费</w:t>
      </w:r>
      <w:r>
        <w:rPr>
          <w:rFonts w:hint="eastAsia" w:ascii="仿宋" w:hAnsi="仿宋" w:eastAsia="仿宋"/>
          <w:sz w:val="32"/>
          <w:szCs w:val="32"/>
          <w:lang w:val="en-US" w:eastAsia="zh-CN"/>
        </w:rPr>
        <w:t>28.53万元</w:t>
      </w:r>
      <w:r>
        <w:rPr>
          <w:rFonts w:hint="eastAsia" w:ascii="仿宋" w:hAnsi="仿宋" w:eastAsia="仿宋"/>
          <w:sz w:val="32"/>
          <w:szCs w:val="32"/>
        </w:rPr>
        <w:t>、职工基本医疗保险缴费</w:t>
      </w:r>
      <w:r>
        <w:rPr>
          <w:rFonts w:hint="eastAsia" w:ascii="仿宋" w:hAnsi="仿宋" w:eastAsia="仿宋"/>
          <w:sz w:val="32"/>
          <w:szCs w:val="32"/>
          <w:lang w:val="en-US" w:eastAsia="zh-CN"/>
        </w:rPr>
        <w:t>27.91</w:t>
      </w:r>
      <w:r>
        <w:rPr>
          <w:rFonts w:hint="eastAsia" w:ascii="仿宋" w:hAnsi="仿宋" w:eastAsia="仿宋"/>
          <w:sz w:val="32"/>
          <w:szCs w:val="32"/>
        </w:rPr>
        <w:t>万元、公务员医疗补助缴费</w:t>
      </w:r>
      <w:r>
        <w:rPr>
          <w:rFonts w:hint="eastAsia" w:ascii="仿宋" w:hAnsi="仿宋" w:eastAsia="仿宋"/>
          <w:sz w:val="32"/>
          <w:szCs w:val="32"/>
          <w:lang w:val="en-US" w:eastAsia="zh-CN"/>
        </w:rPr>
        <w:t>8.77</w:t>
      </w:r>
      <w:r>
        <w:rPr>
          <w:rFonts w:hint="eastAsia" w:ascii="仿宋" w:hAnsi="仿宋" w:eastAsia="仿宋"/>
          <w:sz w:val="32"/>
          <w:szCs w:val="32"/>
        </w:rPr>
        <w:t>万元、其他社会保障缴费</w:t>
      </w:r>
      <w:r>
        <w:rPr>
          <w:rFonts w:hint="eastAsia" w:ascii="仿宋" w:hAnsi="仿宋" w:eastAsia="仿宋"/>
          <w:sz w:val="32"/>
          <w:szCs w:val="32"/>
          <w:lang w:val="en-US" w:eastAsia="zh-CN"/>
        </w:rPr>
        <w:t>6.07万元</w:t>
      </w:r>
      <w:r>
        <w:rPr>
          <w:rFonts w:hint="eastAsia" w:ascii="仿宋" w:hAnsi="仿宋" w:eastAsia="仿宋"/>
          <w:sz w:val="32"/>
          <w:szCs w:val="32"/>
        </w:rPr>
        <w:t>、住房公积金</w:t>
      </w:r>
      <w:r>
        <w:rPr>
          <w:rFonts w:hint="eastAsia" w:ascii="仿宋" w:hAnsi="仿宋" w:eastAsia="仿宋"/>
          <w:sz w:val="32"/>
          <w:szCs w:val="32"/>
          <w:lang w:val="en-US" w:eastAsia="zh-CN"/>
        </w:rPr>
        <w:t>46.42万元、医疗费2.49万元、生活补助22.79万元、医疗费补助2.29万元</w:t>
      </w:r>
      <w:r>
        <w:rPr>
          <w:rFonts w:hint="eastAsia" w:ascii="仿宋" w:hAnsi="仿宋" w:eastAsia="仿宋"/>
          <w:sz w:val="32"/>
          <w:szCs w:val="32"/>
        </w:rPr>
        <w:t>。</w:t>
      </w:r>
      <w:r>
        <w:rPr>
          <w:rFonts w:ascii="仿宋" w:hAnsi="仿宋" w:eastAsia="仿宋"/>
          <w:sz w:val="32"/>
          <w:szCs w:val="32"/>
        </w:rPr>
        <w:br w:type="textWrapping"/>
      </w:r>
      <w:r>
        <w:rPr>
          <w:rFonts w:hint="eastAsia" w:ascii="仿宋" w:hAnsi="仿宋" w:eastAsia="仿宋"/>
          <w:sz w:val="32"/>
          <w:szCs w:val="32"/>
        </w:rPr>
        <w:t>　　公用经费</w:t>
      </w:r>
      <w:r>
        <w:rPr>
          <w:rFonts w:hint="eastAsia" w:eastAsia="仿宋"/>
          <w:sz w:val="32"/>
          <w:szCs w:val="32"/>
          <w:lang w:val="en-US" w:eastAsia="zh-CN"/>
        </w:rPr>
        <w:t>53.35</w:t>
      </w:r>
      <w:r>
        <w:rPr>
          <w:rFonts w:hint="eastAsia" w:ascii="仿宋" w:hAnsi="仿宋" w:eastAsia="仿宋"/>
          <w:sz w:val="32"/>
          <w:szCs w:val="32"/>
        </w:rPr>
        <w:t>万元，主要包括：办公</w:t>
      </w:r>
      <w:r>
        <w:rPr>
          <w:rFonts w:hint="eastAsia" w:ascii="仿宋" w:hAnsi="仿宋" w:eastAsia="仿宋"/>
          <w:sz w:val="32"/>
          <w:szCs w:val="32"/>
          <w:lang w:val="en-US" w:eastAsia="zh-CN"/>
        </w:rPr>
        <w:t>费13万元</w:t>
      </w:r>
      <w:r>
        <w:rPr>
          <w:rFonts w:hint="eastAsia" w:ascii="仿宋" w:hAnsi="仿宋" w:eastAsia="仿宋"/>
          <w:sz w:val="32"/>
          <w:szCs w:val="32"/>
        </w:rPr>
        <w:t>、</w:t>
      </w:r>
      <w:r>
        <w:rPr>
          <w:rFonts w:hint="eastAsia" w:ascii="仿宋" w:hAnsi="仿宋" w:eastAsia="仿宋"/>
          <w:sz w:val="32"/>
          <w:szCs w:val="32"/>
          <w:lang w:val="en-US" w:eastAsia="zh-CN"/>
        </w:rPr>
        <w:t>邮电费4万元、</w:t>
      </w:r>
      <w:r>
        <w:rPr>
          <w:rFonts w:hint="eastAsia" w:ascii="仿宋" w:hAnsi="仿宋" w:eastAsia="仿宋"/>
          <w:sz w:val="32"/>
          <w:szCs w:val="32"/>
        </w:rPr>
        <w:t>差旅费</w:t>
      </w:r>
      <w:r>
        <w:rPr>
          <w:rFonts w:hint="eastAsia" w:ascii="仿宋" w:hAnsi="仿宋" w:eastAsia="仿宋"/>
          <w:sz w:val="32"/>
          <w:szCs w:val="32"/>
          <w:lang w:val="en-US" w:eastAsia="zh-CN"/>
        </w:rPr>
        <w:t>6.81万元</w:t>
      </w:r>
      <w:r>
        <w:rPr>
          <w:rFonts w:hint="eastAsia" w:ascii="仿宋" w:hAnsi="仿宋" w:eastAsia="仿宋"/>
          <w:sz w:val="32"/>
          <w:szCs w:val="32"/>
        </w:rPr>
        <w:t>、</w:t>
      </w:r>
      <w:r>
        <w:rPr>
          <w:rFonts w:hint="eastAsia" w:ascii="仿宋" w:hAnsi="仿宋" w:eastAsia="仿宋"/>
          <w:sz w:val="32"/>
          <w:szCs w:val="32"/>
          <w:lang w:val="en-US" w:eastAsia="zh-CN"/>
        </w:rPr>
        <w:t>公务接待费1.5万元、劳务费0.5万元、工会经费4.34万元、</w:t>
      </w:r>
      <w:r>
        <w:rPr>
          <w:rFonts w:hint="eastAsia" w:ascii="仿宋" w:hAnsi="仿宋" w:eastAsia="仿宋"/>
          <w:sz w:val="32"/>
          <w:szCs w:val="32"/>
        </w:rPr>
        <w:t>公务用车运行维护费</w:t>
      </w:r>
      <w:r>
        <w:rPr>
          <w:rFonts w:hint="eastAsia" w:ascii="仿宋" w:hAnsi="仿宋" w:eastAsia="仿宋"/>
          <w:sz w:val="32"/>
          <w:szCs w:val="32"/>
          <w:lang w:val="en-US" w:eastAsia="zh-CN"/>
        </w:rPr>
        <w:t>23.2万元。</w:t>
      </w:r>
    </w:p>
    <w:p>
      <w:pPr>
        <w:spacing w:line="600" w:lineRule="exact"/>
        <w:ind w:firstLine="640"/>
        <w:outlineLvl w:val="1"/>
        <w:rPr>
          <w:rStyle w:val="31"/>
          <w:rFonts w:ascii="黑体" w:hAnsi="黑体" w:eastAsia="黑体"/>
          <w:b w:val="0"/>
        </w:rPr>
      </w:pPr>
      <w:bookmarkStart w:id="71" w:name="_Toc15092"/>
      <w:bookmarkStart w:id="72" w:name="_Toc15396609"/>
      <w:bookmarkStart w:id="73" w:name="_Toc15377215"/>
      <w:r>
        <w:rPr>
          <w:rFonts w:hint="eastAsia" w:ascii="黑体" w:eastAsia="黑体"/>
          <w:sz w:val="32"/>
          <w:szCs w:val="32"/>
        </w:rPr>
        <w:t>七、</w:t>
      </w:r>
      <w:r>
        <w:rPr>
          <w:rStyle w:val="31"/>
          <w:rFonts w:hint="eastAsia" w:ascii="黑体" w:hAnsi="黑体" w:eastAsia="黑体"/>
          <w:b w:val="0"/>
        </w:rPr>
        <w:t>财政拨款</w:t>
      </w:r>
      <w:r>
        <w:rPr>
          <w:rStyle w:val="31"/>
          <w:rFonts w:hint="eastAsia" w:ascii="黑体" w:hAnsi="黑体" w:eastAsia="黑体"/>
        </w:rPr>
        <w:t>“</w:t>
      </w:r>
      <w:r>
        <w:rPr>
          <w:rStyle w:val="31"/>
          <w:rFonts w:hint="eastAsia" w:ascii="黑体" w:hAnsi="黑体" w:eastAsia="黑体"/>
          <w:b w:val="0"/>
        </w:rPr>
        <w:t>三公”经费支出决算情况说明</w:t>
      </w:r>
      <w:bookmarkEnd w:id="71"/>
      <w:bookmarkEnd w:id="72"/>
      <w:bookmarkEnd w:id="73"/>
    </w:p>
    <w:p>
      <w:pPr>
        <w:spacing w:line="600" w:lineRule="exact"/>
        <w:ind w:firstLine="640"/>
        <w:outlineLvl w:val="2"/>
        <w:rPr>
          <w:rFonts w:ascii="仿宋" w:hAnsi="仿宋" w:eastAsia="仿宋"/>
          <w:b/>
          <w:sz w:val="32"/>
          <w:szCs w:val="32"/>
        </w:rPr>
      </w:pPr>
      <w:bookmarkStart w:id="74" w:name="_Toc28333"/>
      <w:bookmarkStart w:id="75" w:name="_Toc15377216"/>
      <w:r>
        <w:rPr>
          <w:rFonts w:hint="eastAsia" w:ascii="仿宋" w:hAnsi="仿宋" w:eastAsia="仿宋"/>
          <w:b/>
          <w:sz w:val="32"/>
          <w:szCs w:val="32"/>
        </w:rPr>
        <w:t>（一）“三公”经费财政拨款支出决算总体情况说明</w:t>
      </w:r>
      <w:bookmarkEnd w:id="74"/>
      <w:bookmarkEnd w:id="75"/>
    </w:p>
    <w:p>
      <w:pPr>
        <w:spacing w:line="600" w:lineRule="exact"/>
        <w:ind w:firstLine="64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年度“三公”经费财政拨款支出决算为</w:t>
      </w:r>
      <w:r>
        <w:rPr>
          <w:sz w:val="32"/>
          <w:szCs w:val="32"/>
        </w:rPr>
        <w:t>96.45</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，较上年度增加</w:t>
      </w:r>
      <w:r>
        <w:rPr>
          <w:rFonts w:hint="eastAsia" w:ascii="仿宋" w:hAnsi="仿宋" w:eastAsia="仿宋"/>
          <w:sz w:val="32"/>
          <w:szCs w:val="32"/>
          <w:lang w:val="en-US" w:eastAsia="zh-CN"/>
        </w:rPr>
        <w:t>62.75</w:t>
      </w:r>
      <w:r>
        <w:rPr>
          <w:rFonts w:hint="eastAsia" w:ascii="仿宋" w:hAnsi="仿宋" w:eastAsia="仿宋"/>
          <w:sz w:val="32"/>
          <w:szCs w:val="32"/>
        </w:rPr>
        <w:t>万元，增长</w:t>
      </w:r>
      <w:r>
        <w:rPr>
          <w:rFonts w:hint="eastAsia" w:ascii="仿宋" w:hAnsi="仿宋" w:eastAsia="仿宋"/>
          <w:sz w:val="32"/>
          <w:szCs w:val="32"/>
          <w:lang w:val="en-US" w:eastAsia="zh-CN"/>
        </w:rPr>
        <w:t>186</w:t>
      </w:r>
      <w:r>
        <w:rPr>
          <w:rFonts w:hint="eastAsia" w:ascii="仿宋" w:hAnsi="仿宋" w:eastAsia="仿宋"/>
          <w:sz w:val="32"/>
          <w:szCs w:val="32"/>
        </w:rPr>
        <w:t>%。决算数</w:t>
      </w:r>
      <w:r>
        <w:rPr>
          <w:rFonts w:hint="eastAsia" w:ascii="仿宋" w:hAnsi="仿宋" w:eastAsia="仿宋"/>
          <w:sz w:val="32"/>
          <w:szCs w:val="32"/>
          <w:lang w:val="en-US" w:eastAsia="zh-CN"/>
        </w:rPr>
        <w:t>与</w:t>
      </w:r>
      <w:r>
        <w:rPr>
          <w:rFonts w:hint="eastAsia" w:ascii="仿宋" w:hAnsi="仿宋" w:eastAsia="仿宋"/>
          <w:sz w:val="32"/>
          <w:szCs w:val="32"/>
        </w:rPr>
        <w:t>预算数持平。</w:t>
      </w:r>
    </w:p>
    <w:p>
      <w:pPr>
        <w:spacing w:line="600" w:lineRule="exact"/>
        <w:ind w:firstLine="640"/>
        <w:outlineLvl w:val="2"/>
        <w:rPr>
          <w:rFonts w:ascii="仿宋" w:hAnsi="仿宋" w:eastAsia="仿宋"/>
          <w:b/>
          <w:sz w:val="32"/>
          <w:szCs w:val="32"/>
        </w:rPr>
      </w:pPr>
      <w:bookmarkStart w:id="76" w:name="_Toc26536"/>
      <w:bookmarkStart w:id="77" w:name="_Toc15377217"/>
      <w:r>
        <w:rPr>
          <w:rFonts w:hint="eastAsia" w:ascii="仿宋" w:hAnsi="仿宋" w:eastAsia="仿宋"/>
          <w:b/>
          <w:sz w:val="32"/>
          <w:szCs w:val="32"/>
        </w:rPr>
        <w:t>（二）“三公”经费财政拨款支出决算具体情况说明</w:t>
      </w:r>
      <w:bookmarkEnd w:id="76"/>
      <w:bookmarkEnd w:id="77"/>
    </w:p>
    <w:p>
      <w:pPr>
        <w:spacing w:line="600" w:lineRule="exact"/>
        <w:ind w:firstLine="64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eastAsia="仿宋"/>
          <w:sz w:val="32"/>
          <w:szCs w:val="32"/>
          <w:lang w:val="en-US" w:eastAsia="zh-CN"/>
        </w:rPr>
        <w:t>33.07</w:t>
      </w:r>
      <w:r>
        <w:rPr>
          <w:rFonts w:hint="eastAsia" w:ascii="仿宋" w:hAnsi="仿宋" w:eastAsia="仿宋"/>
          <w:sz w:val="32"/>
          <w:szCs w:val="32"/>
        </w:rPr>
        <w:t>万元，占</w:t>
      </w:r>
      <w:r>
        <w:rPr>
          <w:rFonts w:hint="eastAsia" w:eastAsia="仿宋"/>
          <w:sz w:val="32"/>
          <w:szCs w:val="32"/>
          <w:lang w:val="en-US" w:eastAsia="zh-CN"/>
        </w:rPr>
        <w:t>91.69</w:t>
      </w:r>
      <w:r>
        <w:rPr>
          <w:rFonts w:ascii="仿宋" w:hAnsi="仿宋" w:eastAsia="仿宋"/>
          <w:sz w:val="32"/>
          <w:szCs w:val="32"/>
        </w:rPr>
        <w:t>%</w:t>
      </w:r>
      <w:r>
        <w:rPr>
          <w:rFonts w:hint="eastAsia" w:ascii="仿宋" w:hAnsi="仿宋" w:eastAsia="仿宋"/>
          <w:sz w:val="32"/>
          <w:szCs w:val="32"/>
        </w:rPr>
        <w:t>；公务接待费支出决算</w:t>
      </w:r>
      <w:r>
        <w:rPr>
          <w:rFonts w:hint="eastAsia" w:eastAsia="仿宋"/>
          <w:sz w:val="32"/>
          <w:szCs w:val="32"/>
          <w:lang w:val="en-US" w:eastAsia="zh-CN"/>
        </w:rPr>
        <w:t>3</w:t>
      </w:r>
      <w:r>
        <w:rPr>
          <w:rFonts w:hint="eastAsia" w:ascii="仿宋" w:hAnsi="仿宋" w:eastAsia="仿宋"/>
          <w:sz w:val="32"/>
          <w:szCs w:val="32"/>
        </w:rPr>
        <w:t>万元，占</w:t>
      </w:r>
      <w:r>
        <w:rPr>
          <w:rFonts w:hint="eastAsia" w:eastAsia="仿宋"/>
          <w:sz w:val="32"/>
          <w:szCs w:val="32"/>
          <w:lang w:val="en-US" w:eastAsia="zh-CN"/>
        </w:rPr>
        <w:t>8.31</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rPr>
          <w:rFonts w:hint="eastAsia" w:ascii="仿宋" w:hAnsi="仿宋" w:eastAsia="仿宋"/>
          <w:sz w:val="32"/>
          <w:szCs w:val="32"/>
        </w:rPr>
      </w:pPr>
      <w:r>
        <w:rPr>
          <w:rFonts w:hint="eastAsia" w:ascii="仿宋" w:hAnsi="仿宋" w:eastAsia="仿宋"/>
          <w:sz w:val="32"/>
          <w:szCs w:val="32"/>
        </w:rPr>
        <w:t>（图7：“三公”经费财政拨款支出结构）（饼状图）</w:t>
      </w:r>
    </w:p>
    <w:p>
      <w:pPr>
        <w:pStyle w:val="6"/>
        <w:rPr>
          <w:rFonts w:hint="eastAsia" w:ascii="仿宋" w:hAnsi="仿宋" w:eastAsia="仿宋"/>
          <w:sz w:val="32"/>
          <w:szCs w:val="32"/>
        </w:rPr>
      </w:pPr>
      <w:r>
        <w:rPr>
          <w:rFonts w:hint="eastAsia" w:ascii="仿宋_GB2312" w:eastAsia="仿宋_GB2312"/>
          <w:sz w:val="32"/>
          <w:szCs w:val="32"/>
          <w:lang w:eastAsia="zh-CN"/>
        </w:rPr>
        <w:drawing>
          <wp:anchor distT="0" distB="0" distL="114300" distR="114300" simplePos="0" relativeHeight="251665408" behindDoc="0" locked="0" layoutInCell="1" allowOverlap="1">
            <wp:simplePos x="0" y="0"/>
            <wp:positionH relativeFrom="column">
              <wp:posOffset>556895</wp:posOffset>
            </wp:positionH>
            <wp:positionV relativeFrom="paragraph">
              <wp:posOffset>204470</wp:posOffset>
            </wp:positionV>
            <wp:extent cx="3917950" cy="2301875"/>
            <wp:effectExtent l="4445" t="5080" r="20955" b="1714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rPr>
          <w:rFonts w:hint="eastAsia" w:ascii="仿宋" w:hAnsi="仿宋" w:eastAsia="仿宋"/>
          <w:sz w:val="32"/>
          <w:szCs w:val="32"/>
        </w:rPr>
      </w:pPr>
    </w:p>
    <w:p>
      <w:pPr>
        <w:pStyle w:val="6"/>
        <w:rPr>
          <w:rFonts w:hint="eastAsia" w:ascii="仿宋" w:hAnsi="仿宋" w:eastAsia="仿宋"/>
          <w:sz w:val="32"/>
          <w:szCs w:val="32"/>
        </w:rPr>
      </w:pPr>
    </w:p>
    <w:p>
      <w:pPr>
        <w:rPr>
          <w:rFonts w:hint="eastAsia" w:ascii="仿宋" w:hAnsi="仿宋" w:eastAsia="仿宋"/>
          <w:sz w:val="32"/>
          <w:szCs w:val="32"/>
        </w:rPr>
      </w:pPr>
    </w:p>
    <w:p>
      <w:pPr>
        <w:pStyle w:val="6"/>
        <w:rPr>
          <w:rFonts w:hint="eastAsia" w:ascii="仿宋" w:hAnsi="仿宋" w:eastAsia="仿宋"/>
          <w:sz w:val="32"/>
          <w:szCs w:val="32"/>
        </w:rPr>
      </w:pPr>
    </w:p>
    <w:p>
      <w:pPr>
        <w:rPr>
          <w:rFonts w:hint="eastAsia" w:ascii="仿宋" w:hAnsi="仿宋" w:eastAsia="仿宋"/>
          <w:sz w:val="32"/>
          <w:szCs w:val="32"/>
        </w:rPr>
      </w:pPr>
    </w:p>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w:t>
      </w:r>
      <w:r>
        <w:rPr>
          <w:rFonts w:hint="eastAsia" w:ascii="仿宋_GB2312" w:eastAsia="仿宋_GB2312"/>
          <w:sz w:val="32"/>
          <w:szCs w:val="32"/>
          <w:lang w:val="en-US" w:eastAsia="zh-CN"/>
        </w:rPr>
        <w:t>与2023年持平</w:t>
      </w:r>
      <w:r>
        <w:rPr>
          <w:rFonts w:hint="eastAsia" w:ascii="仿宋_GB2312" w:eastAsia="仿宋_GB2312"/>
          <w:sz w:val="32"/>
          <w:szCs w:val="32"/>
        </w:rPr>
        <w:t>。主要原因是</w:t>
      </w:r>
      <w:r>
        <w:rPr>
          <w:rStyle w:val="19"/>
          <w:rFonts w:hint="eastAsia" w:ascii="仿宋" w:eastAsia="仿宋"/>
          <w:b w:val="0"/>
          <w:bCs/>
          <w:sz w:val="32"/>
          <w:szCs w:val="32"/>
        </w:rPr>
        <w:t>没有安排因公出国（境）。</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eastAsia="仿宋_GB2312"/>
          <w:sz w:val="32"/>
          <w:szCs w:val="32"/>
          <w:lang w:val="en-US" w:eastAsia="zh-CN"/>
        </w:rPr>
        <w:t>33.07</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公务用车购置及运行维护费支出决算比</w:t>
      </w:r>
      <w:r>
        <w:rPr>
          <w:rFonts w:hint="eastAsia" w:ascii="仿宋_GB2312" w:eastAsia="仿宋_GB2312"/>
          <w:sz w:val="32"/>
          <w:szCs w:val="32"/>
          <w:lang w:eastAsia="zh-CN"/>
        </w:rPr>
        <w:t>2023</w:t>
      </w:r>
      <w:r>
        <w:rPr>
          <w:rFonts w:hint="eastAsia" w:ascii="仿宋_GB2312" w:eastAsia="仿宋_GB2312"/>
          <w:sz w:val="32"/>
          <w:szCs w:val="32"/>
        </w:rPr>
        <w:t>年度增加</w:t>
      </w:r>
      <w:r>
        <w:rPr>
          <w:rFonts w:hint="eastAsia" w:ascii="仿宋_GB2312" w:eastAsia="仿宋_GB2312"/>
          <w:sz w:val="32"/>
          <w:szCs w:val="32"/>
          <w:lang w:val="en-US" w:eastAsia="zh-CN"/>
        </w:rPr>
        <w:t>-61.65</w:t>
      </w:r>
      <w:r>
        <w:rPr>
          <w:rFonts w:hint="eastAsia" w:ascii="仿宋_GB2312" w:eastAsia="仿宋_GB2312"/>
          <w:sz w:val="32"/>
          <w:szCs w:val="32"/>
        </w:rPr>
        <w:t>万元，增长</w:t>
      </w:r>
      <w:r>
        <w:rPr>
          <w:rFonts w:hint="eastAsia" w:ascii="仿宋_GB2312" w:eastAsia="仿宋_GB2312"/>
          <w:sz w:val="32"/>
          <w:szCs w:val="32"/>
          <w:lang w:val="en-US" w:eastAsia="zh-CN"/>
        </w:rPr>
        <w:t>-65.09</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上年度购置公务用车1辆</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eastAsia="仿宋_GB2312"/>
          <w:sz w:val="32"/>
          <w:szCs w:val="32"/>
          <w:lang w:val="en-US" w:eastAsia="zh-CN"/>
        </w:rPr>
        <w:t>0</w:t>
      </w:r>
      <w:r>
        <w:rPr>
          <w:rFonts w:hint="eastAsia" w:ascii="仿宋_GB2312" w:eastAsia="仿宋_GB2312"/>
          <w:sz w:val="32"/>
          <w:szCs w:val="32"/>
        </w:rPr>
        <w:t>万元。截至</w:t>
      </w:r>
      <w:r>
        <w:rPr>
          <w:rFonts w:hint="eastAsia" w:ascii="仿宋_GB2312" w:eastAsia="仿宋_GB2312"/>
          <w:sz w:val="32"/>
          <w:szCs w:val="32"/>
          <w:lang w:eastAsia="zh-CN"/>
        </w:rPr>
        <w:t>2024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4</w:t>
      </w:r>
      <w:r>
        <w:rPr>
          <w:rFonts w:hint="eastAsia" w:ascii="仿宋_GB2312" w:eastAsia="仿宋_GB2312"/>
          <w:sz w:val="32"/>
          <w:szCs w:val="32"/>
        </w:rPr>
        <w:t>辆，其中：越野车</w:t>
      </w:r>
      <w:r>
        <w:rPr>
          <w:rFonts w:hint="eastAsia" w:ascii="仿宋_GB2312" w:eastAsia="仿宋_GB2312"/>
          <w:sz w:val="32"/>
          <w:szCs w:val="32"/>
          <w:lang w:val="en-US" w:eastAsia="zh-CN"/>
        </w:rPr>
        <w:t>4</w:t>
      </w:r>
      <w:r>
        <w:rPr>
          <w:rFonts w:hint="eastAsia" w:ascii="仿宋_GB2312" w:eastAsia="仿宋_GB2312"/>
          <w:sz w:val="32"/>
          <w:szCs w:val="32"/>
        </w:rPr>
        <w:t>辆。</w:t>
      </w:r>
    </w:p>
    <w:p>
      <w:pPr>
        <w:spacing w:line="600" w:lineRule="exact"/>
        <w:ind w:firstLine="640"/>
        <w:rPr>
          <w:rFonts w:ascii="仿宋_GB2312" w:hAnsi="仿宋_GB2312" w:eastAsia="仿宋_GB2312" w:cs="仿宋_GB2312"/>
          <w:sz w:val="32"/>
          <w:szCs w:val="32"/>
          <w:shd w:val="clear" w:color="auto" w:fill="FFFFFF"/>
        </w:rPr>
      </w:pPr>
      <w:r>
        <w:rPr>
          <w:rFonts w:hint="eastAsia" w:ascii="仿宋_GB2312" w:eastAsia="仿宋_GB2312"/>
          <w:b/>
          <w:sz w:val="32"/>
          <w:szCs w:val="32"/>
        </w:rPr>
        <w:t>公务用车运行维护费支出</w:t>
      </w:r>
      <w:r>
        <w:rPr>
          <w:rFonts w:hint="eastAsia" w:eastAsia="仿宋_GB2312"/>
          <w:sz w:val="32"/>
          <w:szCs w:val="32"/>
          <w:lang w:val="en-US" w:eastAsia="zh-CN"/>
        </w:rPr>
        <w:t>33.07</w:t>
      </w:r>
      <w:r>
        <w:rPr>
          <w:rFonts w:hint="eastAsia" w:ascii="仿宋_GB2312" w:eastAsia="仿宋_GB2312"/>
          <w:sz w:val="32"/>
          <w:szCs w:val="32"/>
        </w:rPr>
        <w:t>万元。主要用于</w:t>
      </w:r>
      <w:r>
        <w:rPr>
          <w:rFonts w:ascii="仿宋_GB2312" w:hAnsi="仿宋_GB2312" w:eastAsia="仿宋_GB2312" w:cs="仿宋_GB2312"/>
          <w:sz w:val="32"/>
          <w:szCs w:val="32"/>
          <w:shd w:val="clear" w:color="auto" w:fill="FFFFFF"/>
        </w:rPr>
        <w:t>开展调研视察、</w:t>
      </w:r>
      <w:r>
        <w:rPr>
          <w:rFonts w:hint="eastAsia" w:ascii="仿宋_GB2312" w:hAnsi="仿宋_GB2312" w:eastAsia="仿宋_GB2312" w:cs="仿宋_GB2312"/>
          <w:sz w:val="32"/>
          <w:szCs w:val="32"/>
          <w:shd w:val="clear" w:color="auto" w:fill="FFFFFF"/>
          <w:lang w:val="en-US" w:eastAsia="zh-CN"/>
        </w:rPr>
        <w:t>委员联络站</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lang w:val="en-US" w:eastAsia="zh-CN"/>
        </w:rPr>
        <w:t>参政议政等工作</w:t>
      </w:r>
      <w:r>
        <w:rPr>
          <w:rFonts w:ascii="仿宋_GB2312" w:hAnsi="仿宋_GB2312" w:eastAsia="仿宋_GB2312" w:cs="仿宋_GB2312"/>
          <w:sz w:val="32"/>
          <w:szCs w:val="32"/>
          <w:shd w:val="clear" w:color="auto" w:fill="FFFFFF"/>
        </w:rPr>
        <w:t>以及单位领导干部出差等所需的公务用车燃料费、维修费、过路过桥费、保险费等支出。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eastAsia="仿宋_GB2312"/>
          <w:sz w:val="32"/>
          <w:szCs w:val="32"/>
          <w:lang w:val="en-US" w:eastAsia="zh-CN"/>
        </w:rPr>
        <w:t>3</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100%</w:t>
      </w:r>
      <w:r>
        <w:rPr>
          <w:rStyle w:val="19"/>
          <w:rFonts w:hint="eastAsia" w:ascii="仿宋" w:hAnsi="仿宋" w:eastAsia="仿宋"/>
          <w:b w:val="0"/>
          <w:bCs/>
          <w:sz w:val="32"/>
          <w:szCs w:val="32"/>
        </w:rPr>
        <w:t>。</w:t>
      </w:r>
      <w:r>
        <w:rPr>
          <w:rFonts w:hint="eastAsia" w:ascii="仿宋_GB2312" w:eastAsia="仿宋_GB2312"/>
          <w:sz w:val="32"/>
          <w:szCs w:val="32"/>
        </w:rPr>
        <w:t>公务接待费支出决算比</w:t>
      </w:r>
      <w:r>
        <w:rPr>
          <w:rFonts w:hint="eastAsia" w:ascii="仿宋_GB2312" w:eastAsia="仿宋_GB2312"/>
          <w:sz w:val="32"/>
          <w:szCs w:val="32"/>
          <w:lang w:eastAsia="zh-CN"/>
        </w:rPr>
        <w:t>2023</w:t>
      </w:r>
      <w:r>
        <w:rPr>
          <w:rFonts w:hint="eastAsia" w:ascii="仿宋_GB2312" w:eastAsia="仿宋_GB2312"/>
          <w:sz w:val="32"/>
          <w:szCs w:val="32"/>
        </w:rPr>
        <w:t>年度增加</w:t>
      </w:r>
      <w:r>
        <w:rPr>
          <w:rFonts w:hint="eastAsia" w:ascii="仿宋_GB2312" w:eastAsia="仿宋_GB2312"/>
          <w:sz w:val="32"/>
          <w:szCs w:val="32"/>
          <w:lang w:val="en-US" w:eastAsia="zh-CN"/>
        </w:rPr>
        <w:t>4.73</w:t>
      </w:r>
      <w:r>
        <w:rPr>
          <w:rFonts w:hint="eastAsia" w:ascii="仿宋_GB2312" w:eastAsia="仿宋_GB2312"/>
          <w:sz w:val="32"/>
          <w:szCs w:val="32"/>
        </w:rPr>
        <w:t>万元，增长</w:t>
      </w:r>
      <w:r>
        <w:rPr>
          <w:rFonts w:hint="eastAsia" w:ascii="仿宋_GB2312" w:eastAsia="仿宋_GB2312"/>
          <w:sz w:val="32"/>
          <w:szCs w:val="32"/>
          <w:lang w:val="en-US" w:eastAsia="zh-CN"/>
        </w:rPr>
        <w:t>273.41</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公务活动增多以及物价上涨</w:t>
      </w:r>
      <w:r>
        <w:rPr>
          <w:rFonts w:hint="eastAsia" w:ascii="仿宋_GB2312" w:eastAsia="仿宋_GB2312"/>
          <w:sz w:val="32"/>
          <w:szCs w:val="32"/>
        </w:rPr>
        <w:t>。其中：</w:t>
      </w:r>
    </w:p>
    <w:p>
      <w:pPr>
        <w:spacing w:line="600" w:lineRule="exact"/>
        <w:ind w:firstLine="640"/>
        <w:rPr>
          <w:rFonts w:hint="default" w:ascii="黑体" w:eastAsia="黑体"/>
          <w:sz w:val="32"/>
          <w:szCs w:val="32"/>
          <w:lang w:val="en-US"/>
        </w:rPr>
      </w:pPr>
      <w:r>
        <w:rPr>
          <w:rFonts w:hint="eastAsia" w:ascii="仿宋" w:hAnsi="仿宋" w:eastAsia="仿宋"/>
          <w:b/>
          <w:sz w:val="32"/>
          <w:szCs w:val="32"/>
        </w:rPr>
        <w:t>国内公务接待支出</w:t>
      </w:r>
      <w:r>
        <w:rPr>
          <w:rFonts w:hint="eastAsia" w:ascii="仿宋" w:hAnsi="仿宋" w:eastAsia="仿宋"/>
          <w:b/>
          <w:sz w:val="32"/>
          <w:szCs w:val="32"/>
          <w:lang w:val="en-US" w:eastAsia="zh-CN"/>
        </w:rPr>
        <w:t>3</w:t>
      </w:r>
      <w:r>
        <w:rPr>
          <w:rFonts w:hint="eastAsia" w:ascii="仿宋_GB2312" w:eastAsia="仿宋_GB2312"/>
          <w:sz w:val="32"/>
          <w:szCs w:val="32"/>
        </w:rPr>
        <w:t>万元，主要用于</w:t>
      </w:r>
      <w:r>
        <w:rPr>
          <w:rFonts w:hint="eastAsia" w:ascii="仿宋_GB2312" w:eastAsia="仿宋_GB2312"/>
          <w:sz w:val="32"/>
          <w:szCs w:val="32"/>
          <w:lang w:val="en-US" w:eastAsia="zh-CN"/>
        </w:rPr>
        <w:t>接待各市（县）兄弟政协</w:t>
      </w:r>
      <w:r>
        <w:rPr>
          <w:rFonts w:hint="eastAsia" w:ascii="仿宋_GB2312" w:eastAsia="仿宋_GB2312"/>
          <w:sz w:val="32"/>
          <w:szCs w:val="32"/>
        </w:rPr>
        <w:t>开展业务活动</w:t>
      </w:r>
      <w:r>
        <w:rPr>
          <w:rFonts w:hint="eastAsia" w:ascii="仿宋_GB2312" w:eastAsia="仿宋_GB2312"/>
          <w:sz w:val="32"/>
          <w:szCs w:val="32"/>
          <w:lang w:eastAsia="zh-CN"/>
        </w:rPr>
        <w:t>、</w:t>
      </w:r>
      <w:r>
        <w:rPr>
          <w:rFonts w:hint="eastAsia" w:ascii="仿宋_GB2312" w:eastAsia="仿宋_GB2312"/>
          <w:sz w:val="32"/>
          <w:szCs w:val="32"/>
          <w:lang w:val="en-US" w:eastAsia="zh-CN"/>
        </w:rPr>
        <w:t>调研视察等</w:t>
      </w:r>
      <w:r>
        <w:rPr>
          <w:rFonts w:hint="eastAsia" w:ascii="仿宋_GB2312" w:eastAsia="仿宋_GB2312"/>
          <w:sz w:val="32"/>
          <w:szCs w:val="32"/>
        </w:rPr>
        <w:t>开支的用餐费。国内公务接待</w:t>
      </w:r>
      <w:r>
        <w:rPr>
          <w:rFonts w:hint="eastAsia" w:ascii="仿宋_GB2312" w:eastAsia="仿宋_GB2312"/>
          <w:sz w:val="32"/>
          <w:szCs w:val="32"/>
          <w:lang w:val="en-US" w:eastAsia="zh-CN"/>
        </w:rPr>
        <w:t>9</w:t>
      </w:r>
      <w:r>
        <w:rPr>
          <w:rFonts w:hint="eastAsia" w:ascii="仿宋_GB2312" w:eastAsia="仿宋_GB2312"/>
          <w:sz w:val="32"/>
          <w:szCs w:val="32"/>
        </w:rPr>
        <w:t>批次，</w:t>
      </w:r>
      <w:r>
        <w:rPr>
          <w:rFonts w:hint="eastAsia" w:ascii="仿宋_GB2312" w:eastAsia="仿宋_GB2312"/>
          <w:sz w:val="32"/>
          <w:szCs w:val="32"/>
          <w:lang w:val="en-US" w:eastAsia="zh-CN"/>
        </w:rPr>
        <w:t>93</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3</w:t>
      </w:r>
      <w:r>
        <w:rPr>
          <w:rFonts w:hint="eastAsia" w:ascii="仿宋_GB2312" w:eastAsia="仿宋_GB2312"/>
          <w:sz w:val="32"/>
          <w:szCs w:val="32"/>
        </w:rPr>
        <w:t>万元，具体内容包括：以旅游为基础设施规划和建设为中点内容的提案办理工作的考察学习</w:t>
      </w:r>
      <w:r>
        <w:rPr>
          <w:rFonts w:hint="eastAsia" w:ascii="仿宋_GB2312" w:eastAsia="仿宋_GB2312"/>
          <w:sz w:val="32"/>
          <w:szCs w:val="32"/>
          <w:lang w:val="en-US" w:eastAsia="zh-CN"/>
        </w:rPr>
        <w:t>0.54万元；“草原畜牧产业”等相关工作的考察学习0.23万元；民族团结进步示范单位创建工作的宝贵经验考察学习0.47万元；“一市（州）一特色”相关工作指导学习0.13万元</w:t>
      </w:r>
      <w:bookmarkStart w:id="78" w:name="_Toc15377218"/>
      <w:bookmarkStart w:id="79" w:name="_Toc15396610"/>
      <w:r>
        <w:rPr>
          <w:rFonts w:hint="eastAsia" w:ascii="仿宋_GB2312" w:eastAsia="仿宋_GB2312"/>
          <w:sz w:val="32"/>
          <w:szCs w:val="32"/>
          <w:lang w:val="en-US" w:eastAsia="zh-CN"/>
        </w:rPr>
        <w:t>；牧旅融合发展、畜牧业转型升级等方面先进经验学习考察0.38万元；中药材种植和野生抚育基地建设等情况的学习考察0.18万元；“美丽乡村建设”考察0.16万元；“加强红色历史文化保护利用”学习考察0.55万元；政协工作考察学习0.28万元。</w:t>
      </w:r>
    </w:p>
    <w:p>
      <w:pPr>
        <w:spacing w:line="600" w:lineRule="exact"/>
        <w:ind w:firstLine="640"/>
        <w:outlineLvl w:val="1"/>
        <w:rPr>
          <w:rStyle w:val="31"/>
          <w:rFonts w:ascii="黑体" w:hAnsi="黑体" w:eastAsia="黑体"/>
        </w:rPr>
      </w:pPr>
      <w:bookmarkStart w:id="80" w:name="_Toc23926"/>
      <w:r>
        <w:rPr>
          <w:rFonts w:hint="eastAsia" w:ascii="黑体" w:eastAsia="黑体"/>
          <w:sz w:val="32"/>
          <w:szCs w:val="32"/>
        </w:rPr>
        <w:t>八、</w:t>
      </w:r>
      <w:r>
        <w:rPr>
          <w:rStyle w:val="31"/>
          <w:rFonts w:hint="eastAsia" w:ascii="黑体" w:hAnsi="黑体" w:eastAsia="黑体"/>
          <w:b w:val="0"/>
        </w:rPr>
        <w:t>政府性基金预算支出决算情况说明</w:t>
      </w:r>
      <w:bookmarkEnd w:id="78"/>
      <w:bookmarkEnd w:id="79"/>
      <w:bookmarkEnd w:id="80"/>
    </w:p>
    <w:p>
      <w:pPr>
        <w:spacing w:line="600" w:lineRule="exact"/>
        <w:ind w:firstLine="640"/>
        <w:rPr>
          <w:rFonts w:ascii="仿宋_GB2312" w:eastAsia="仿宋_GB2312"/>
          <w:sz w:val="32"/>
          <w:szCs w:val="32"/>
        </w:rPr>
      </w:pPr>
      <w:r>
        <w:rPr>
          <w:rFonts w:hint="eastAsia" w:ascii="仿宋_GB2312" w:eastAsia="仿宋_GB2312"/>
          <w:sz w:val="32"/>
          <w:szCs w:val="32"/>
          <w:lang w:eastAsia="zh-CN"/>
        </w:rPr>
        <w:t>2024</w:t>
      </w:r>
      <w:r>
        <w:rPr>
          <w:rFonts w:hint="eastAsia" w:ascii="仿宋_GB2312" w:eastAsia="仿宋_GB2312"/>
          <w:sz w:val="32"/>
          <w:szCs w:val="32"/>
        </w:rPr>
        <w:t>年度政府性基金预算财政拨款支出</w:t>
      </w:r>
      <w:r>
        <w:rPr>
          <w:sz w:val="32"/>
          <w:szCs w:val="32"/>
        </w:rPr>
        <w:t>0</w:t>
      </w:r>
      <w:r>
        <w:rPr>
          <w:rFonts w:hint="eastAsia" w:ascii="仿宋_GB2312" w:eastAsia="仿宋_GB2312"/>
          <w:sz w:val="32"/>
          <w:szCs w:val="32"/>
        </w:rPr>
        <w:t>万元。</w:t>
      </w:r>
    </w:p>
    <w:p>
      <w:pPr>
        <w:numPr>
          <w:ilvl w:val="0"/>
          <w:numId w:val="5"/>
        </w:numPr>
        <w:spacing w:line="600" w:lineRule="exact"/>
        <w:ind w:firstLine="640"/>
        <w:outlineLvl w:val="1"/>
        <w:rPr>
          <w:rStyle w:val="31"/>
          <w:rFonts w:ascii="黑体" w:hAnsi="黑体" w:eastAsia="黑体"/>
          <w:b w:val="0"/>
        </w:rPr>
      </w:pPr>
      <w:bookmarkStart w:id="81" w:name="_Toc16957"/>
      <w:bookmarkStart w:id="82" w:name="_Toc15396611"/>
      <w:bookmarkStart w:id="83" w:name="_Toc15377219"/>
      <w:r>
        <w:rPr>
          <w:rStyle w:val="31"/>
          <w:rFonts w:hint="eastAsia" w:ascii="黑体" w:hAnsi="黑体" w:eastAsia="黑体"/>
          <w:b w:val="0"/>
        </w:rPr>
        <w:t>国有资本经营预算支出决算情况说明</w:t>
      </w:r>
      <w:bookmarkEnd w:id="81"/>
      <w:bookmarkEnd w:id="82"/>
      <w:bookmarkEnd w:id="83"/>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sz w:val="32"/>
          <w:szCs w:val="32"/>
          <w:lang w:eastAsia="zh-CN"/>
        </w:rPr>
        <w:t>2024</w:t>
      </w:r>
      <w:r>
        <w:rPr>
          <w:rFonts w:hint="eastAsia" w:ascii="仿宋_GB2312" w:eastAsia="仿宋_GB2312"/>
          <w:sz w:val="32"/>
          <w:szCs w:val="32"/>
        </w:rPr>
        <w:t>年度国有资本经营预算财政拨款支出</w:t>
      </w:r>
      <w:r>
        <w:rPr>
          <w:sz w:val="32"/>
          <w:szCs w:val="32"/>
        </w:rPr>
        <w:t>0</w:t>
      </w:r>
      <w:r>
        <w:rPr>
          <w:rFonts w:hint="eastAsia" w:ascii="仿宋_GB2312" w:eastAsia="仿宋_GB2312"/>
          <w:sz w:val="32"/>
          <w:szCs w:val="32"/>
        </w:rPr>
        <w:t>万元。</w:t>
      </w:r>
    </w:p>
    <w:p>
      <w:pPr>
        <w:numPr>
          <w:ilvl w:val="0"/>
          <w:numId w:val="5"/>
        </w:numPr>
        <w:spacing w:line="600" w:lineRule="exact"/>
        <w:ind w:firstLine="640"/>
        <w:outlineLvl w:val="1"/>
        <w:rPr>
          <w:rStyle w:val="31"/>
          <w:rFonts w:ascii="黑体" w:hAnsi="黑体" w:eastAsia="黑体"/>
          <w:b w:val="0"/>
        </w:rPr>
      </w:pPr>
      <w:bookmarkStart w:id="84" w:name="_Toc15396612"/>
      <w:bookmarkStart w:id="85" w:name="_Toc15377221"/>
      <w:bookmarkStart w:id="86" w:name="_Toc18433"/>
      <w:r>
        <w:rPr>
          <w:rStyle w:val="31"/>
          <w:rFonts w:hint="eastAsia" w:ascii="黑体" w:hAnsi="黑体" w:eastAsia="黑体"/>
          <w:b w:val="0"/>
        </w:rPr>
        <w:t>其他重要事项的情况说明</w:t>
      </w:r>
      <w:bookmarkEnd w:id="84"/>
      <w:bookmarkEnd w:id="85"/>
      <w:bookmarkEnd w:id="86"/>
    </w:p>
    <w:p>
      <w:pPr>
        <w:spacing w:line="600" w:lineRule="exact"/>
        <w:ind w:firstLine="643" w:firstLineChars="200"/>
        <w:outlineLvl w:val="2"/>
        <w:rPr>
          <w:rFonts w:ascii="仿宋" w:hAnsi="仿宋" w:eastAsia="仿宋"/>
          <w:sz w:val="32"/>
          <w:szCs w:val="32"/>
        </w:rPr>
      </w:pPr>
      <w:bookmarkStart w:id="87" w:name="_Toc18007"/>
      <w:bookmarkStart w:id="88" w:name="_Toc15377222"/>
      <w:r>
        <w:rPr>
          <w:rFonts w:hint="eastAsia" w:ascii="仿宋" w:hAnsi="仿宋" w:eastAsia="仿宋"/>
          <w:b/>
          <w:sz w:val="32"/>
          <w:szCs w:val="32"/>
        </w:rPr>
        <w:t>（一）机关运行经费支出情况</w:t>
      </w:r>
      <w:bookmarkEnd w:id="87"/>
      <w:bookmarkEnd w:id="88"/>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年度，中国人民政治协商会议四川省红原县委员会办公室机关运行经费支出</w:t>
      </w:r>
      <w:r>
        <w:rPr>
          <w:rFonts w:hint="eastAsia" w:ascii="仿宋_GB2312" w:hAnsi="仿宋_GB2312" w:eastAsia="仿宋_GB2312" w:cs="仿宋_GB2312"/>
          <w:sz w:val="32"/>
          <w:szCs w:val="32"/>
          <w:lang w:val="en-US" w:eastAsia="zh-CN"/>
        </w:rPr>
        <w:t>50.59</w:t>
      </w:r>
      <w:r>
        <w:rPr>
          <w:rFonts w:hint="eastAsia" w:ascii="仿宋_GB2312" w:hAnsi="仿宋_GB2312" w:eastAsia="仿宋_GB2312" w:cs="仿宋_GB2312"/>
          <w:sz w:val="32"/>
          <w:szCs w:val="32"/>
        </w:rPr>
        <w:t>万元，比</w:t>
      </w: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年度减少</w:t>
      </w:r>
      <w:r>
        <w:rPr>
          <w:rFonts w:hint="eastAsia" w:ascii="仿宋_GB2312" w:hAnsi="仿宋_GB2312" w:eastAsia="仿宋_GB2312" w:cs="仿宋_GB2312"/>
          <w:sz w:val="32"/>
          <w:szCs w:val="32"/>
          <w:lang w:val="en-US" w:eastAsia="zh-CN"/>
        </w:rPr>
        <w:t>12.01</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19.19</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坚决落实过紧日子的要求，减少不必要的经费支出</w:t>
      </w:r>
      <w:r>
        <w:rPr>
          <w:rFonts w:hint="eastAsia" w:ascii="仿宋_GB2312" w:hAnsi="仿宋_GB2312" w:eastAsia="仿宋_GB2312" w:cs="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89" w:name="_Toc22691"/>
      <w:bookmarkStart w:id="90" w:name="_Toc15377223"/>
      <w:r>
        <w:rPr>
          <w:rFonts w:hint="eastAsia" w:ascii="仿宋" w:hAnsi="仿宋" w:eastAsia="仿宋"/>
          <w:b/>
          <w:sz w:val="32"/>
          <w:szCs w:val="32"/>
        </w:rPr>
        <w:t>（二）政府采购支出情况</w:t>
      </w:r>
      <w:bookmarkEnd w:id="89"/>
      <w:bookmarkEnd w:id="90"/>
    </w:p>
    <w:p>
      <w:pPr>
        <w:spacing w:line="600" w:lineRule="exact"/>
        <w:ind w:firstLine="640" w:firstLineChars="200"/>
        <w:rPr>
          <w:rFonts w:hint="default" w:ascii="仿宋" w:hAnsi="仿宋" w:eastAsia="仿宋_GB2312"/>
          <w:b/>
          <w:sz w:val="32"/>
          <w:szCs w:val="32"/>
          <w:lang w:val="en-US" w:eastAsia="zh-CN"/>
        </w:rPr>
      </w:pP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年度，中国人民政治协商会议四川省红原县委员会办公室政府采购支出总额</w:t>
      </w:r>
      <w:r>
        <w:rPr>
          <w:rFonts w:hint="eastAsia" w:ascii="仿宋_GB2312" w:hAnsi="仿宋_GB2312" w:eastAsia="仿宋_GB2312" w:cs="仿宋_GB2312"/>
          <w:sz w:val="32"/>
          <w:szCs w:val="32"/>
          <w:lang w:val="en-US" w:eastAsia="zh-CN"/>
        </w:rPr>
        <w:t>3.53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比2023年增加3.53万元，增长100%。主要原因是办公设备年代已久，已不能满足正常办公，需进行办公设备购置。</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91" w:name="_Toc15377224"/>
      <w:bookmarkStart w:id="92" w:name="_Toc1354"/>
      <w:r>
        <w:rPr>
          <w:rFonts w:hint="eastAsia" w:ascii="仿宋" w:hAnsi="仿宋" w:eastAsia="仿宋"/>
          <w:b/>
          <w:sz w:val="32"/>
          <w:szCs w:val="32"/>
        </w:rPr>
        <w:t>（三）国有资产占有使用情况</w:t>
      </w:r>
      <w:bookmarkEnd w:id="91"/>
      <w:bookmarkEnd w:id="92"/>
    </w:p>
    <w:p>
      <w:pPr>
        <w:autoSpaceDE w:val="0"/>
        <w:autoSpaceDN w:val="0"/>
        <w:adjustRightInd w:val="0"/>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年12月31日，中国人民政治协商会议四川省红原县委员会办公室共有车辆4辆，其中：主要领导干部用车</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单价100万元以上设备（不含车辆）0台（套）。</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93" w:name="_Toc29282"/>
      <w:r>
        <w:rPr>
          <w:rFonts w:hint="eastAsia" w:ascii="仿宋" w:hAnsi="仿宋" w:eastAsia="仿宋"/>
          <w:b/>
          <w:sz w:val="32"/>
          <w:szCs w:val="32"/>
        </w:rPr>
        <w:t>（四）预算绩效管理情况</w:t>
      </w:r>
      <w:bookmarkEnd w:id="93"/>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年度预算编制阶段，组织对</w:t>
      </w:r>
      <w:r>
        <w:rPr>
          <w:rFonts w:hint="eastAsia" w:ascii="仿宋_GB2312" w:hAnsi="仿宋_GB2312" w:eastAsia="仿宋_GB2312" w:cs="仿宋_GB2312"/>
          <w:sz w:val="32"/>
          <w:szCs w:val="32"/>
          <w:lang w:val="en-US" w:eastAsia="zh-CN"/>
        </w:rPr>
        <w:t>政协会议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w:t>
      </w:r>
    </w:p>
    <w:p>
      <w:pPr>
        <w:pageBreakBefore w:val="0"/>
        <w:widowControl w:val="0"/>
        <w:kinsoku/>
        <w:wordWrap w:val="0"/>
        <w:overflowPunct/>
        <w:topLinePunct w:val="0"/>
        <w:bidi w:val="0"/>
        <w:spacing w:line="572" w:lineRule="atLeas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组织对</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val="en-US" w:eastAsia="zh-CN"/>
        </w:rPr>
        <w:t>2024年</w:t>
      </w:r>
      <w:r>
        <w:rPr>
          <w:rFonts w:hint="eastAsia" w:ascii="仿宋_GB2312" w:hAnsi="仿宋_GB2312" w:eastAsia="仿宋_GB2312" w:cs="仿宋_GB2312"/>
          <w:sz w:val="32"/>
          <w:szCs w:val="32"/>
        </w:rPr>
        <w:t>部门整体（含部门预算项目）绩效自评报告、</w:t>
      </w:r>
      <w:r>
        <w:rPr>
          <w:rFonts w:hint="eastAsia" w:ascii="仿宋_GB2312" w:eastAsia="仿宋_GB2312" w:cs="仿宋_GB2312"/>
          <w:sz w:val="32"/>
          <w:szCs w:val="32"/>
          <w:lang w:val="en-US" w:eastAsia="zh-CN"/>
        </w:rPr>
        <w:t>政协红原县委员会办公室</w:t>
      </w:r>
      <w:r>
        <w:rPr>
          <w:rFonts w:hint="eastAsia" w:ascii="仿宋_GB2312" w:hAnsi="仿宋_GB2312" w:eastAsia="仿宋_GB2312" w:cs="仿宋_GB2312"/>
          <w:sz w:val="32"/>
          <w:szCs w:val="32"/>
        </w:rPr>
        <w:t>部门整体（含部门预算项目）绩效自评得分为</w:t>
      </w:r>
      <w:r>
        <w:rPr>
          <w:rFonts w:hint="eastAsia" w:ascii="仿宋_GB2312" w:hAnsi="仿宋_GB2312" w:eastAsia="仿宋_GB2312" w:cs="仿宋_GB2312"/>
          <w:sz w:val="32"/>
          <w:szCs w:val="32"/>
          <w:lang w:val="en-US" w:eastAsia="zh-CN"/>
        </w:rPr>
        <w:t>93</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绩效自评综述：</w:t>
      </w:r>
      <w:r>
        <w:rPr>
          <w:rFonts w:hint="eastAsia" w:ascii="仿宋_GB2312" w:eastAsia="仿宋_GB2312" w:cs="仿宋_GB2312"/>
          <w:sz w:val="32"/>
          <w:szCs w:val="32"/>
          <w:lang w:val="en-US" w:eastAsia="zh-CN"/>
        </w:rPr>
        <w:t>我单位按要求对2024年部门整体支出开展绩效自评，从评价情况来看，本单位严格按照制定的目标绩效管理制度来开展绩效管理工作，专项经费全部用于开展专项工作，</w:t>
      </w:r>
      <w:r>
        <w:rPr>
          <w:rFonts w:hint="eastAsia" w:ascii="仿宋_GB2312" w:eastAsia="仿宋_GB2312" w:cs="仿宋_GB2312"/>
          <w:sz w:val="32"/>
          <w:szCs w:val="32"/>
        </w:rPr>
        <w:t>年终执行完毕后，对</w:t>
      </w:r>
      <w:r>
        <w:rPr>
          <w:rFonts w:hint="eastAsia" w:ascii="仿宋_GB2312" w:eastAsia="仿宋_GB2312" w:cs="仿宋_GB2312"/>
          <w:sz w:val="32"/>
          <w:szCs w:val="32"/>
          <w:lang w:val="en-US" w:eastAsia="zh-CN"/>
        </w:rPr>
        <w:t>12</w:t>
      </w:r>
      <w:r>
        <w:rPr>
          <w:rFonts w:hint="eastAsia" w:ascii="仿宋_GB2312" w:eastAsia="仿宋_GB2312" w:cs="仿宋_GB2312"/>
          <w:sz w:val="32"/>
          <w:szCs w:val="32"/>
        </w:rPr>
        <w:t>个项目开展了绩效自评，</w:t>
      </w:r>
      <w:r>
        <w:rPr>
          <w:rFonts w:hint="eastAsia" w:ascii="仿宋_GB2312" w:eastAsia="仿宋_GB2312" w:cs="仿宋_GB2312"/>
          <w:sz w:val="32"/>
          <w:szCs w:val="32"/>
          <w:lang w:val="en-US" w:eastAsia="zh-CN"/>
        </w:rPr>
        <w:t>整体支出完成情况良好。</w:t>
      </w:r>
      <w:r>
        <w:rPr>
          <w:rFonts w:hint="eastAsia" w:ascii="仿宋_GB2312" w:hAnsi="仿宋_GB2312" w:eastAsia="仿宋_GB2312" w:cs="仿宋_GB2312"/>
          <w:sz w:val="32"/>
          <w:szCs w:val="32"/>
        </w:rPr>
        <w:t>绩效自评报告详见附件。</w:t>
      </w:r>
    </w:p>
    <w:p>
      <w:pPr>
        <w:pStyle w:val="3"/>
        <w:jc w:val="center"/>
        <w:rPr>
          <w:rFonts w:hint="eastAsia" w:ascii="黑体" w:hAnsi="黑体" w:eastAsia="黑体" w:cs="黑体"/>
        </w:rPr>
      </w:pPr>
      <w:bookmarkStart w:id="94" w:name="_Toc14563"/>
      <w:r>
        <w:rPr>
          <w:rFonts w:hint="eastAsia" w:ascii="黑体" w:hAnsi="黑体" w:eastAsia="黑体" w:cs="黑体"/>
        </w:rPr>
        <w:t>第三部分 名词解释</w:t>
      </w:r>
      <w:bookmarkEnd w:id="94"/>
    </w:p>
    <w:p>
      <w:pPr>
        <w:pStyle w:val="28"/>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r>
        <w:rPr>
          <w:rFonts w:ascii="仿宋_GB2312" w:eastAsia="仿宋_GB2312"/>
          <w:color w:val="auto"/>
          <w:sz w:val="32"/>
          <w:szCs w:val="32"/>
        </w:rPr>
        <w:t xml:space="preserve"> </w:t>
      </w:r>
    </w:p>
    <w:p>
      <w:pPr>
        <w:pStyle w:val="28"/>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2</w:t>
      </w:r>
      <w:r>
        <w:rPr>
          <w:rFonts w:ascii="仿宋_GB2312" w:eastAsia="仿宋_GB2312"/>
          <w:color w:val="auto"/>
          <w:sz w:val="32"/>
          <w:szCs w:val="32"/>
        </w:rPr>
        <w:t>.</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8"/>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3</w:t>
      </w:r>
      <w:r>
        <w:rPr>
          <w:rFonts w:ascii="仿宋_GB2312" w:eastAsia="仿宋_GB2312"/>
          <w:color w:val="auto"/>
          <w:sz w:val="32"/>
          <w:szCs w:val="32"/>
        </w:rPr>
        <w:t>.</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8"/>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4.</w:t>
      </w:r>
      <w:r>
        <w:rPr>
          <w:rFonts w:hint="eastAsia" w:ascii="仿宋_GB2312" w:eastAsia="仿宋_GB2312"/>
          <w:color w:val="auto"/>
          <w:sz w:val="32"/>
          <w:szCs w:val="32"/>
        </w:rPr>
        <w:t>年末结转和结余：指单位按有关规定结转到下年或以后年度继续使用的资金。</w:t>
      </w:r>
    </w:p>
    <w:p>
      <w:pPr>
        <w:pStyle w:val="3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5</w:t>
      </w:r>
      <w:r>
        <w:rPr>
          <w:rFonts w:hint="eastAsia" w:ascii="仿宋_GB2312" w:hAnsi="仿宋_GB2312" w:eastAsia="仿宋_GB2312" w:cs="仿宋_GB2312"/>
          <w:sz w:val="32"/>
          <w:szCs w:val="32"/>
          <w:shd w:val="clear" w:color="auto" w:fill="FFFFFF"/>
        </w:rPr>
        <w:t>.一般公共服务支出（类）政协事务（款）：指各级政治协商会议的支出。</w:t>
      </w:r>
    </w:p>
    <w:p>
      <w:pPr>
        <w:pStyle w:val="3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（1）行政运行（项）：指行政单位的基本支出。</w:t>
      </w:r>
    </w:p>
    <w:p>
      <w:pPr>
        <w:pStyle w:val="3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（2）一般行政管理事务（项）：指行政单位未单独设置顶级科目的其他项目支出。</w:t>
      </w:r>
    </w:p>
    <w:p>
      <w:pPr>
        <w:pStyle w:val="3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（3）政协会议（项）：指各级政协召开“政协会”等专门会议的支出。</w:t>
      </w:r>
    </w:p>
    <w:p>
      <w:pPr>
        <w:pStyle w:val="3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（4）委员视察（项）：指政协委员开展各类视察的支出。</w:t>
      </w:r>
    </w:p>
    <w:p>
      <w:pPr>
        <w:pStyle w:val="3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（5）参政议政（项）：指政协为参政议政进行调研、检查等方面的支出。</w:t>
      </w:r>
    </w:p>
    <w:p>
      <w:pPr>
        <w:pStyle w:val="3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lang w:val="en-US" w:eastAsia="zh-CN"/>
        </w:rPr>
        <w:t>6</w:t>
      </w:r>
      <w:r>
        <w:rPr>
          <w:rFonts w:hint="eastAsia" w:ascii="仿宋_GB2312" w:hAnsi="仿宋_GB2312" w:eastAsia="仿宋_GB2312" w:cs="仿宋_GB2312"/>
          <w:sz w:val="32"/>
          <w:szCs w:val="32"/>
          <w:shd w:val="clear" w:color="auto" w:fill="FFFFFF"/>
        </w:rPr>
        <w:t>.社会保障和就业支出（类）行政事业单位养老支出（款）：指行政事业单位养老方面的支出。</w:t>
      </w:r>
    </w:p>
    <w:p>
      <w:pPr>
        <w:pStyle w:val="37"/>
        <w:keepNext w:val="0"/>
        <w:keepLines w:val="0"/>
        <w:pageBreakBefore w:val="0"/>
        <w:widowControl w:val="0"/>
        <w:kinsoku/>
        <w:wordWrap/>
        <w:overflowPunct/>
        <w:topLinePunct w:val="0"/>
        <w:bidi w:val="0"/>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（1）机关事业单位基本养老保险缴费支出（项）：指机关事业单位实施养老保险制度由单位缴纳的基本养老保险费支出。</w:t>
      </w:r>
    </w:p>
    <w:p>
      <w:pPr>
        <w:pStyle w:val="37"/>
        <w:keepNext w:val="0"/>
        <w:keepLines w:val="0"/>
        <w:pageBreakBefore w:val="0"/>
        <w:widowControl w:val="0"/>
        <w:kinsoku/>
        <w:wordWrap/>
        <w:overflowPunct/>
        <w:topLinePunct w:val="0"/>
        <w:bidi w:val="0"/>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（2）机关事业单位职业年金缴费支出（项）：指机关事业单位实施养老保险制度由单位实际缴纳的职业年金支出。</w:t>
      </w:r>
    </w:p>
    <w:p>
      <w:pPr>
        <w:pStyle w:val="37"/>
        <w:keepNext w:val="0"/>
        <w:keepLines w:val="0"/>
        <w:pageBreakBefore w:val="0"/>
        <w:widowControl w:val="0"/>
        <w:kinsoku/>
        <w:wordWrap/>
        <w:overflowPunct/>
        <w:topLinePunct w:val="0"/>
        <w:bidi w:val="0"/>
        <w:snapToGrid/>
        <w:spacing w:before="0" w:beforeAutospacing="0" w:afterAutospacing="0"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7.</w:t>
      </w:r>
      <w:r>
        <w:rPr>
          <w:rFonts w:hint="eastAsia" w:ascii="仿宋_GB2312" w:hAnsi="仿宋_GB2312" w:eastAsia="仿宋_GB2312" w:cs="仿宋_GB2312"/>
          <w:sz w:val="32"/>
          <w:szCs w:val="32"/>
          <w:shd w:val="clear" w:color="auto" w:fill="FFFFFF"/>
        </w:rPr>
        <w:t>卫生健康支出（类）行政事业单位医疗（款）：指行政事业单位医疗方面的支出。</w:t>
      </w:r>
    </w:p>
    <w:p>
      <w:pPr>
        <w:pStyle w:val="37"/>
        <w:keepNext w:val="0"/>
        <w:keepLines w:val="0"/>
        <w:pageBreakBefore w:val="0"/>
        <w:widowControl w:val="0"/>
        <w:kinsoku/>
        <w:wordWrap/>
        <w:overflowPunct/>
        <w:topLinePunct w:val="0"/>
        <w:bidi w:val="0"/>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（1）行政单位医疗（项）：指财政部门集中安排的行政单位基本医疗保险缴费经费。</w:t>
      </w:r>
    </w:p>
    <w:p>
      <w:pPr>
        <w:pStyle w:val="37"/>
        <w:keepNext w:val="0"/>
        <w:keepLines w:val="0"/>
        <w:pageBreakBefore w:val="0"/>
        <w:widowControl w:val="0"/>
        <w:kinsoku/>
        <w:wordWrap/>
        <w:overflowPunct/>
        <w:topLinePunct w:val="0"/>
        <w:bidi w:val="0"/>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（2）公务员医疗补助（项）：指财政部门集中安排的公务员医疗补助经费。</w:t>
      </w:r>
    </w:p>
    <w:p>
      <w:pPr>
        <w:pStyle w:val="37"/>
        <w:keepNext w:val="0"/>
        <w:keepLines w:val="0"/>
        <w:pageBreakBefore w:val="0"/>
        <w:widowControl w:val="0"/>
        <w:kinsoku/>
        <w:wordWrap/>
        <w:overflowPunct/>
        <w:topLinePunct w:val="0"/>
        <w:bidi w:val="0"/>
        <w:snapToGrid/>
        <w:spacing w:before="0" w:beforeAutospacing="0" w:afterAutospacing="0"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8</w:t>
      </w:r>
      <w:r>
        <w:rPr>
          <w:rFonts w:hint="eastAsia" w:ascii="仿宋_GB2312" w:hAnsi="仿宋_GB2312" w:eastAsia="仿宋_GB2312" w:cs="仿宋_GB2312"/>
          <w:sz w:val="32"/>
          <w:szCs w:val="32"/>
          <w:shd w:val="clear" w:color="auto" w:fill="FFFFFF"/>
        </w:rPr>
        <w:t>.住房保障（类）住房改革支出（款）住房公积金（项）：指行政事业单位按人力资源和社会保障部、财政部规定的基本工资和津补贴一级规定比例为职工缴纳的住房公积金。</w:t>
      </w:r>
    </w:p>
    <w:p>
      <w:pPr>
        <w:ind w:firstLine="640" w:firstLineChars="200"/>
        <w:rPr>
          <w:rFonts w:ascii="仿宋_GB2312" w:eastAsia="仿宋_GB2312"/>
          <w:sz w:val="32"/>
          <w:szCs w:val="32"/>
        </w:rPr>
      </w:pPr>
      <w:r>
        <w:rPr>
          <w:rFonts w:hint="eastAsia" w:ascii="仿宋_GB2312" w:eastAsia="仿宋_GB2312"/>
          <w:sz w:val="32"/>
          <w:szCs w:val="32"/>
          <w:lang w:val="en-US" w:eastAsia="zh-CN"/>
        </w:rPr>
        <w:t>9</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10</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pStyle w:val="28"/>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11</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hint="eastAsia" w:ascii="黑体" w:hAnsi="黑体" w:eastAsia="黑体"/>
          <w:b w:val="0"/>
        </w:rPr>
      </w:pPr>
      <w:r>
        <w:rPr>
          <w:rFonts w:hint="eastAsia" w:ascii="仿宋_GB2312" w:hAnsi="Times New Roman" w:eastAsia="仿宋_GB2312" w:cs="仿宋"/>
          <w:color w:val="auto"/>
          <w:kern w:val="0"/>
          <w:sz w:val="32"/>
          <w:szCs w:val="32"/>
          <w:lang w:val="en-US" w:eastAsia="zh-CN" w:bidi="ar-SA"/>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费用。</w:t>
      </w:r>
    </w:p>
    <w:p>
      <w:pPr>
        <w:pStyle w:val="3"/>
        <w:ind w:firstLine="2200" w:firstLineChars="500"/>
        <w:jc w:val="both"/>
        <w:rPr>
          <w:rFonts w:ascii="黑体" w:hAnsi="黑体" w:eastAsia="黑体"/>
          <w:b w:val="0"/>
        </w:rPr>
      </w:pPr>
      <w:bookmarkStart w:id="95" w:name="_Toc18228"/>
      <w:r>
        <w:rPr>
          <w:rFonts w:hint="eastAsia" w:ascii="黑体" w:hAnsi="黑体" w:eastAsia="黑体"/>
          <w:b w:val="0"/>
        </w:rPr>
        <w:t>第四部分 附件</w:t>
      </w:r>
      <w:bookmarkEnd w:id="95"/>
    </w:p>
    <w:p/>
    <w:p>
      <w:pPr>
        <w:rPr>
          <w:rFonts w:ascii="黑体" w:hAnsi="黑体" w:eastAsia="黑体"/>
          <w:sz w:val="32"/>
          <w:szCs w:val="32"/>
        </w:rPr>
      </w:pPr>
      <w:r>
        <w:rPr>
          <w:rFonts w:hint="eastAsia" w:ascii="黑体" w:hAnsi="黑体" w:eastAsia="黑体"/>
          <w:sz w:val="32"/>
          <w:szCs w:val="32"/>
        </w:rPr>
        <w:t>附件1</w:t>
      </w:r>
    </w:p>
    <w:p>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部门预算绩效评价报告</w:t>
      </w:r>
    </w:p>
    <w:p>
      <w:pPr>
        <w:jc w:val="center"/>
        <w:rPr>
          <w:rFonts w:ascii="仿宋_GB2312" w:eastAsia="仿宋_GB2312"/>
          <w:sz w:val="32"/>
          <w:szCs w:val="32"/>
        </w:rPr>
      </w:pPr>
      <w:r>
        <w:rPr>
          <w:rFonts w:hint="eastAsia" w:ascii="仿宋_GB2312" w:eastAsia="仿宋_GB2312"/>
          <w:sz w:val="32"/>
          <w:szCs w:val="32"/>
        </w:rPr>
        <w:t>（报告范围包括机关和下属单位）</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黑体" w:cs="Times New Roman"/>
          <w:color w:val="000000"/>
          <w:kern w:val="0"/>
          <w:sz w:val="32"/>
          <w:szCs w:val="32"/>
          <w:highlight w:val="none"/>
          <w:shd w:val="clear" w:color="auto" w:fill="FFFFFF"/>
          <w:lang w:val="zh-CN"/>
        </w:rPr>
        <w:t>一、部门（单位）基本情况</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eastAsia" w:ascii="仿宋_GB2312" w:hAnsi="仿宋_GB2312" w:eastAsia="仿宋_GB2312" w:cs="仿宋_GB2312"/>
          <w:i w:val="0"/>
          <w:caps w:val="0"/>
          <w:color w:val="auto"/>
          <w:spacing w:val="0"/>
          <w:sz w:val="32"/>
          <w:szCs w:val="32"/>
          <w:shd w:val="clear" w:color="auto" w:fill="FFFFFF"/>
        </w:rPr>
      </w:pPr>
      <w:r>
        <w:rPr>
          <w:rFonts w:hint="default" w:ascii="Times New Roman" w:hAnsi="Times New Roman" w:eastAsia="楷体_GB2312" w:cs="Times New Roman"/>
          <w:b/>
          <w:bCs/>
          <w:color w:val="000000"/>
          <w:kern w:val="0"/>
          <w:sz w:val="32"/>
          <w:szCs w:val="32"/>
          <w:highlight w:val="none"/>
          <w:shd w:val="clear" w:color="auto" w:fill="FFFFFF"/>
          <w:lang w:val="zh-CN"/>
        </w:rPr>
        <w:t>（一）机构组成。</w:t>
      </w:r>
      <w:r>
        <w:rPr>
          <w:rFonts w:hint="eastAsia" w:ascii="仿宋_GB2312" w:hAnsi="仿宋_GB2312" w:eastAsia="仿宋_GB2312" w:cs="仿宋_GB2312"/>
          <w:i w:val="0"/>
          <w:caps w:val="0"/>
          <w:color w:val="auto"/>
          <w:spacing w:val="0"/>
          <w:sz w:val="32"/>
          <w:szCs w:val="32"/>
          <w:shd w:val="clear" w:color="auto" w:fill="FFFFFF"/>
        </w:rPr>
        <w:t>政协红原县委员会办公室下设单位（股室）</w:t>
      </w:r>
      <w:r>
        <w:rPr>
          <w:rFonts w:hint="eastAsia" w:ascii="仿宋_GB2312" w:hAnsi="仿宋_GB2312" w:eastAsia="仿宋_GB2312" w:cs="仿宋_GB2312"/>
          <w:i w:val="0"/>
          <w:caps w:val="0"/>
          <w:color w:val="auto"/>
          <w:spacing w:val="0"/>
          <w:sz w:val="32"/>
          <w:szCs w:val="32"/>
          <w:shd w:val="clear" w:color="auto" w:fill="FFFFFF"/>
          <w:lang w:val="en-US" w:eastAsia="zh-CN"/>
        </w:rPr>
        <w:t>2</w:t>
      </w:r>
      <w:r>
        <w:rPr>
          <w:rFonts w:hint="eastAsia" w:ascii="仿宋_GB2312" w:hAnsi="仿宋_GB2312" w:eastAsia="仿宋_GB2312" w:cs="仿宋_GB2312"/>
          <w:i w:val="0"/>
          <w:caps w:val="0"/>
          <w:color w:val="auto"/>
          <w:spacing w:val="0"/>
          <w:sz w:val="32"/>
          <w:szCs w:val="32"/>
          <w:shd w:val="clear" w:color="auto" w:fill="FFFFFF"/>
        </w:rPr>
        <w:t>个，其中行政单位1个，其他事业单位</w:t>
      </w:r>
      <w:r>
        <w:rPr>
          <w:rFonts w:hint="eastAsia" w:ascii="仿宋_GB2312" w:hAnsi="仿宋_GB2312" w:eastAsia="仿宋_GB2312" w:cs="仿宋_GB2312"/>
          <w:i w:val="0"/>
          <w:caps w:val="0"/>
          <w:color w:val="auto"/>
          <w:spacing w:val="0"/>
          <w:sz w:val="32"/>
          <w:szCs w:val="32"/>
          <w:shd w:val="clear" w:color="auto" w:fill="FFFFFF"/>
          <w:lang w:val="en-US" w:eastAsia="zh-CN"/>
        </w:rPr>
        <w:t>1</w:t>
      </w:r>
      <w:r>
        <w:rPr>
          <w:rFonts w:hint="eastAsia" w:ascii="仿宋_GB2312" w:hAnsi="仿宋_GB2312" w:eastAsia="仿宋_GB2312" w:cs="仿宋_GB2312"/>
          <w:i w:val="0"/>
          <w:caps w:val="0"/>
          <w:color w:val="auto"/>
          <w:spacing w:val="0"/>
          <w:sz w:val="32"/>
          <w:szCs w:val="32"/>
          <w:shd w:val="clear" w:color="auto" w:fill="FFFFFF"/>
        </w:rPr>
        <w:t>个。</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eastAsia" w:ascii="仿宋_GB2312" w:hAnsi="宋体" w:eastAsia="仿宋_GB2312" w:cs="宋体"/>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（二）机构职能。</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负责政协红原县委员会全体会议、常委会议、主席会议和其他主要会议的组织和会务工作，并组织实施“三个例会”的决议、决定；组织委员视察参观、调查、座谈等日常活动以及各专门委员会的其他工作的组织和服务工作，负责县政协举办各种重大活动的组织、宣传工作；研究统一战线和人民政协的理论、政策，调查研究和了解有关我县各项事业及群众生活的重要问题提出解决办法，供党政机关参考；密切与县委、县人大、县政府有关部门的联系，搞好协调工作，做好上情下达、下情上报工作；负责政协工作的内外宣传、收集、反映各族各界人士的意见、建议；负责管理政协委员会机关行政、文秘、档案、信访、保密等工作；</w:t>
      </w:r>
      <w:r>
        <w:rPr>
          <w:rFonts w:hint="eastAsia" w:ascii="仿宋_GB2312" w:hAnsi="仿宋_GB2312" w:eastAsia="仿宋_GB2312" w:cs="仿宋_GB2312"/>
          <w:i w:val="0"/>
          <w:caps w:val="0"/>
          <w:color w:val="auto"/>
          <w:spacing w:val="0"/>
          <w:sz w:val="32"/>
          <w:szCs w:val="32"/>
          <w:shd w:val="clear" w:color="auto" w:fill="FFFFFF"/>
        </w:rPr>
        <w:t>承担县政协主席、副主席和州政协交办的其他工作。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（三）人员概况。</w:t>
      </w:r>
      <w:r>
        <w:rPr>
          <w:rFonts w:hint="default" w:ascii="Times New Roman" w:hAnsi="Times New Roman" w:eastAsia="仿宋_GB2312" w:cs="Times New Roman"/>
          <w:sz w:val="32"/>
          <w:szCs w:val="32"/>
        </w:rPr>
        <w:t>截至202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年末，</w:t>
      </w:r>
      <w:r>
        <w:rPr>
          <w:rFonts w:hint="eastAsia" w:ascii="Times New Roman" w:hAnsi="Times New Roman" w:eastAsia="仿宋_GB2312" w:cs="Times New Roman"/>
          <w:sz w:val="32"/>
          <w:szCs w:val="32"/>
          <w:lang w:val="en-US" w:eastAsia="zh-CN"/>
        </w:rPr>
        <w:t>政协红原县委员会办公室</w:t>
      </w:r>
      <w:r>
        <w:rPr>
          <w:rFonts w:hint="default" w:ascii="Times New Roman" w:hAnsi="Times New Roman" w:eastAsia="仿宋_GB2312" w:cs="Times New Roman"/>
          <w:sz w:val="32"/>
          <w:szCs w:val="32"/>
          <w:lang w:eastAsia="zh-CN"/>
        </w:rPr>
        <w:t>共</w:t>
      </w:r>
      <w:r>
        <w:rPr>
          <w:rFonts w:hint="default" w:ascii="Times New Roman" w:hAnsi="Times New Roman" w:eastAsia="仿宋_GB2312" w:cs="Times New Roman"/>
          <w:sz w:val="32"/>
          <w:szCs w:val="32"/>
        </w:rPr>
        <w:t>有编制</w:t>
      </w:r>
      <w:r>
        <w:rPr>
          <w:rFonts w:hint="eastAsia"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个，其中公务员编制</w:t>
      </w:r>
      <w:r>
        <w:rPr>
          <w:rFonts w:hint="eastAsia"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rPr>
        <w:t>个，行政工勤编制</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个，事业编制</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个，年末</w:t>
      </w:r>
      <w:r>
        <w:rPr>
          <w:rFonts w:hint="default" w:ascii="Times New Roman" w:hAnsi="Times New Roman" w:eastAsia="仿宋_GB2312" w:cs="Times New Roman"/>
          <w:sz w:val="32"/>
          <w:szCs w:val="32"/>
          <w:lang w:eastAsia="zh-CN"/>
        </w:rPr>
        <w:t>实有人数</w:t>
      </w:r>
      <w:r>
        <w:rPr>
          <w:rFonts w:hint="eastAsia"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人，公务员</w:t>
      </w:r>
      <w:r>
        <w:rPr>
          <w:rFonts w:hint="eastAsia"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人，行政工勤人员</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人，事业</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人。</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rPr>
        <w:t>二、</w:t>
      </w:r>
      <w:r>
        <w:rPr>
          <w:rFonts w:hint="default" w:ascii="Times New Roman" w:hAnsi="Times New Roman" w:eastAsia="黑体" w:cs="Times New Roman"/>
          <w:color w:val="000000"/>
          <w:kern w:val="0"/>
          <w:sz w:val="32"/>
          <w:szCs w:val="32"/>
          <w:highlight w:val="none"/>
          <w:shd w:val="clear" w:color="auto" w:fill="FFFFFF"/>
          <w:lang w:eastAsia="zh-CN"/>
        </w:rPr>
        <w:t>部门</w:t>
      </w:r>
      <w:r>
        <w:rPr>
          <w:rFonts w:hint="default" w:ascii="Times New Roman" w:hAnsi="Times New Roman" w:eastAsia="黑体" w:cs="Times New Roman"/>
          <w:color w:val="000000"/>
          <w:kern w:val="0"/>
          <w:sz w:val="32"/>
          <w:szCs w:val="32"/>
          <w:highlight w:val="none"/>
          <w:shd w:val="clear" w:color="auto" w:fill="FFFFFF"/>
        </w:rPr>
        <w:t>资金收支情况</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en-US"/>
        </w:rPr>
      </w:pPr>
      <w:r>
        <w:rPr>
          <w:rFonts w:hint="default" w:ascii="Times New Roman" w:hAnsi="Times New Roman" w:eastAsia="楷体_GB2312" w:cs="Times New Roman"/>
          <w:b/>
          <w:bCs/>
          <w:color w:val="000000"/>
          <w:kern w:val="0"/>
          <w:sz w:val="32"/>
          <w:szCs w:val="32"/>
          <w:highlight w:val="none"/>
          <w:shd w:val="clear" w:color="auto" w:fill="FFFFFF"/>
          <w:lang w:val="zh-CN"/>
        </w:rPr>
        <w:t>（一）收入情况。</w:t>
      </w:r>
      <w:r>
        <w:rPr>
          <w:rFonts w:hint="eastAsia" w:ascii="Times New Roman" w:hAnsi="Times New Roman" w:eastAsia="仿宋_GB2312" w:cs="Times New Roman"/>
          <w:sz w:val="32"/>
          <w:szCs w:val="32"/>
          <w:lang w:val="en-US" w:eastAsia="zh-CN"/>
        </w:rPr>
        <w:t>政协红原县委员会办公室</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收入合计843.25万元，</w:t>
      </w:r>
      <w:r>
        <w:rPr>
          <w:rFonts w:hint="default" w:ascii="Times New Roman" w:hAnsi="Times New Roman" w:eastAsia="仿宋_GB2312" w:cs="Times New Roman"/>
          <w:sz w:val="32"/>
          <w:szCs w:val="32"/>
        </w:rPr>
        <w:t>其中：一般公共预算财政拨款收入</w:t>
      </w:r>
      <w:r>
        <w:rPr>
          <w:rFonts w:hint="eastAsia" w:ascii="Times New Roman" w:hAnsi="Times New Roman" w:eastAsia="仿宋_GB2312" w:cs="Times New Roman"/>
          <w:sz w:val="32"/>
          <w:szCs w:val="32"/>
          <w:lang w:val="en-US" w:eastAsia="zh-CN"/>
        </w:rPr>
        <w:t>843.25万元</w:t>
      </w:r>
      <w:r>
        <w:rPr>
          <w:rFonts w:hint="default" w:ascii="Times New Roman" w:hAnsi="Times New Roman" w:eastAsia="仿宋_GB2312" w:cs="Times New Roman"/>
          <w:sz w:val="32"/>
          <w:szCs w:val="32"/>
          <w:lang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jc w:val="both"/>
        <w:textAlignment w:val="auto"/>
        <w:outlineLvl w:val="1"/>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（二）支出情况。</w:t>
      </w:r>
      <w:r>
        <w:rPr>
          <w:rFonts w:hint="eastAsia" w:ascii="Times New Roman" w:hAnsi="Times New Roman" w:eastAsia="仿宋_GB2312" w:cs="Times New Roman"/>
          <w:sz w:val="32"/>
          <w:szCs w:val="32"/>
          <w:lang w:val="en-US" w:eastAsia="zh-CN"/>
        </w:rPr>
        <w:t>政协红原县委员会办公室</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年支出</w:t>
      </w:r>
      <w:r>
        <w:rPr>
          <w:rFonts w:hint="eastAsia" w:ascii="Times New Roman" w:hAnsi="Times New Roman" w:eastAsia="仿宋_GB2312" w:cs="Times New Roman"/>
          <w:sz w:val="32"/>
          <w:szCs w:val="32"/>
          <w:lang w:val="en-US" w:eastAsia="zh-CN"/>
        </w:rPr>
        <w:t>合计843.25万元，其中：</w:t>
      </w:r>
      <w:r>
        <w:rPr>
          <w:rFonts w:hint="default" w:ascii="Times New Roman" w:hAnsi="Times New Roman" w:eastAsia="仿宋_GB2312" w:cs="Times New Roman"/>
          <w:sz w:val="32"/>
          <w:szCs w:val="32"/>
        </w:rPr>
        <w:t>一般公共服务支出</w:t>
      </w:r>
      <w:r>
        <w:rPr>
          <w:rFonts w:hint="eastAsia" w:ascii="Times New Roman" w:hAnsi="Times New Roman" w:eastAsia="仿宋_GB2312" w:cs="Times New Roman"/>
          <w:sz w:val="32"/>
          <w:szCs w:val="32"/>
          <w:lang w:val="en-US" w:eastAsia="zh-CN"/>
        </w:rPr>
        <w:t>674.54万</w:t>
      </w:r>
      <w:r>
        <w:rPr>
          <w:rFonts w:hint="default" w:ascii="Times New Roman" w:hAnsi="Times New Roman" w:eastAsia="仿宋_GB2312" w:cs="Times New Roman"/>
          <w:sz w:val="32"/>
          <w:szCs w:val="32"/>
        </w:rPr>
        <w:t>元、社会保障和就业支出</w:t>
      </w:r>
      <w:r>
        <w:rPr>
          <w:rFonts w:hint="eastAsia" w:ascii="Times New Roman" w:hAnsi="Times New Roman" w:eastAsia="仿宋_GB2312" w:cs="Times New Roman"/>
          <w:sz w:val="32"/>
          <w:szCs w:val="32"/>
          <w:lang w:val="en-US" w:eastAsia="zh-CN"/>
        </w:rPr>
        <w:t>85.60万</w:t>
      </w:r>
      <w:r>
        <w:rPr>
          <w:rFonts w:hint="default" w:ascii="Times New Roman" w:hAnsi="Times New Roman" w:eastAsia="仿宋_GB2312" w:cs="Times New Roman"/>
          <w:sz w:val="32"/>
          <w:szCs w:val="32"/>
        </w:rPr>
        <w:t>元、卫生健康支出</w:t>
      </w:r>
      <w:r>
        <w:rPr>
          <w:rFonts w:hint="eastAsia" w:ascii="Times New Roman" w:hAnsi="Times New Roman" w:eastAsia="仿宋_GB2312" w:cs="Times New Roman"/>
          <w:sz w:val="32"/>
          <w:szCs w:val="32"/>
          <w:lang w:val="en-US" w:eastAsia="zh-CN"/>
        </w:rPr>
        <w:t>36.68万</w:t>
      </w:r>
      <w:r>
        <w:rPr>
          <w:rFonts w:hint="default" w:ascii="Times New Roman" w:hAnsi="Times New Roman" w:eastAsia="仿宋_GB2312" w:cs="Times New Roman"/>
          <w:sz w:val="32"/>
          <w:szCs w:val="32"/>
        </w:rPr>
        <w:t>元、住房保障支出</w:t>
      </w:r>
      <w:r>
        <w:rPr>
          <w:rFonts w:hint="eastAsia" w:ascii="Times New Roman" w:hAnsi="Times New Roman" w:eastAsia="仿宋_GB2312" w:cs="Times New Roman"/>
          <w:sz w:val="32"/>
          <w:szCs w:val="32"/>
          <w:lang w:val="en-US" w:eastAsia="zh-CN"/>
        </w:rPr>
        <w:t>46.42万</w:t>
      </w:r>
      <w:r>
        <w:rPr>
          <w:rFonts w:hint="default" w:ascii="Times New Roman" w:hAnsi="Times New Roman" w:eastAsia="仿宋_GB2312" w:cs="Times New Roman"/>
          <w:sz w:val="32"/>
          <w:szCs w:val="32"/>
        </w:rPr>
        <w:t>元。</w:t>
      </w:r>
    </w:p>
    <w:p>
      <w:pPr>
        <w:keepNext w:val="0"/>
        <w:keepLines w:val="0"/>
        <w:pageBreakBefore w:val="0"/>
        <w:widowControl w:val="0"/>
        <w:kinsoku/>
        <w:wordWrap/>
        <w:overflowPunct/>
        <w:topLinePunct w:val="0"/>
        <w:autoSpaceDE/>
        <w:autoSpaceDN/>
        <w:bidi w:val="0"/>
        <w:adjustRightInd/>
        <w:snapToGrid/>
        <w:spacing w:line="576" w:lineRule="exact"/>
        <w:ind w:leftChars="0" w:firstLine="640"/>
        <w:jc w:val="both"/>
        <w:textAlignment w:val="auto"/>
        <w:outlineLvl w:val="9"/>
        <w:rPr>
          <w:rFonts w:hint="default" w:ascii="Times New Roman" w:hAnsi="Times New Roman" w:eastAsia="仿宋_GB2312" w:cs="Times New Roman"/>
          <w:kern w:val="2"/>
          <w:sz w:val="32"/>
          <w:szCs w:val="32"/>
          <w:lang w:val="en-US" w:eastAsia="zh-CN" w:bidi="ar-SA"/>
        </w:rPr>
      </w:pPr>
      <w:r>
        <w:rPr>
          <w:rFonts w:hint="eastAsia" w:ascii="仿宋_GB2312" w:hAnsi="仿宋_GB2312" w:eastAsia="仿宋_GB2312" w:cs="仿宋_GB2312"/>
          <w:kern w:val="2"/>
          <w:sz w:val="32"/>
          <w:szCs w:val="32"/>
          <w:lang w:val="en-US" w:eastAsia="zh-CN" w:bidi="ar-SA"/>
        </w:rPr>
        <w:t>整体支出主要完成任务在两个方面：</w:t>
      </w:r>
      <w:r>
        <w:rPr>
          <w:rFonts w:hint="eastAsia" w:ascii="仿宋_GB2312" w:hAnsi="仿宋_GB2312" w:eastAsia="仿宋_GB2312" w:cs="仿宋_GB2312"/>
          <w:b/>
          <w:bCs/>
          <w:kern w:val="2"/>
          <w:sz w:val="32"/>
          <w:szCs w:val="32"/>
          <w:lang w:val="en-US" w:eastAsia="zh-CN" w:bidi="ar-SA"/>
        </w:rPr>
        <w:t>一是</w:t>
      </w:r>
      <w:r>
        <w:rPr>
          <w:rFonts w:hint="eastAsia" w:ascii="仿宋_GB2312" w:hAnsi="仿宋_GB2312" w:eastAsia="仿宋_GB2312" w:cs="仿宋_GB2312"/>
          <w:kern w:val="2"/>
          <w:sz w:val="32"/>
          <w:szCs w:val="32"/>
          <w:lang w:val="en-US" w:eastAsia="zh-CN" w:bidi="ar-SA"/>
        </w:rPr>
        <w:t>保障机关基本正常运转。2024年度完成工资福利支出591.80万元、商品服务支出182.72万元，对家庭和个人的补助支出59.87万元，资本性支出8.86万元。</w:t>
      </w:r>
      <w:r>
        <w:rPr>
          <w:rFonts w:hint="eastAsia" w:ascii="仿宋_GB2312" w:hAnsi="仿宋_GB2312" w:eastAsia="仿宋_GB2312" w:cs="仿宋_GB2312"/>
          <w:b/>
          <w:bCs/>
          <w:kern w:val="2"/>
          <w:sz w:val="32"/>
          <w:szCs w:val="32"/>
          <w:lang w:val="en-US" w:eastAsia="zh-CN" w:bidi="ar-SA"/>
        </w:rPr>
        <w:t>二是</w:t>
      </w:r>
      <w:r>
        <w:rPr>
          <w:rFonts w:hint="eastAsia" w:ascii="仿宋_GB2312" w:hAnsi="仿宋_GB2312" w:eastAsia="仿宋_GB2312" w:cs="仿宋_GB2312"/>
          <w:b w:val="0"/>
          <w:bCs w:val="0"/>
          <w:kern w:val="2"/>
          <w:sz w:val="32"/>
          <w:szCs w:val="32"/>
          <w:lang w:val="en-US" w:eastAsia="zh-CN" w:bidi="ar-SA"/>
        </w:rPr>
        <w:t>保障各专项工作持续有效开展</w:t>
      </w:r>
      <w:r>
        <w:rPr>
          <w:rFonts w:hint="eastAsia" w:ascii="仿宋_GB2312" w:hAnsi="仿宋_GB2312" w:eastAsia="仿宋_GB2312" w:cs="仿宋_GB2312"/>
          <w:b/>
          <w:bCs/>
          <w:kern w:val="2"/>
          <w:sz w:val="32"/>
          <w:szCs w:val="32"/>
          <w:lang w:val="en-US" w:eastAsia="zh-CN" w:bidi="ar-SA"/>
        </w:rPr>
        <w:t>。</w:t>
      </w:r>
      <w:r>
        <w:rPr>
          <w:rFonts w:hint="eastAsia" w:ascii="仿宋_GB2312" w:hAnsi="仿宋_GB2312" w:eastAsia="仿宋_GB2312" w:cs="仿宋_GB2312"/>
          <w:b w:val="0"/>
          <w:bCs w:val="0"/>
          <w:kern w:val="2"/>
          <w:sz w:val="32"/>
          <w:szCs w:val="32"/>
          <w:lang w:val="en-US" w:eastAsia="zh-CN" w:bidi="ar-SA"/>
        </w:rPr>
        <w:t>2024年度，</w:t>
      </w:r>
      <w:r>
        <w:rPr>
          <w:rFonts w:hint="eastAsia" w:ascii="仿宋_GB2312" w:hAnsi="仿宋_GB2312" w:eastAsia="仿宋_GB2312" w:cs="仿宋_GB2312"/>
          <w:b w:val="0"/>
          <w:bCs w:val="0"/>
          <w:color w:val="auto"/>
          <w:kern w:val="2"/>
          <w:sz w:val="32"/>
          <w:szCs w:val="32"/>
          <w:lang w:val="en-US" w:eastAsia="zh-CN" w:bidi="ar-SA"/>
        </w:rPr>
        <w:t>召开全会1次、常委协商议政会6次、专题协商会5次、基层协商会5次、界别协商会7次，围绕全县经济发展、民生实事、社会稳定等工作，</w:t>
      </w:r>
      <w:r>
        <w:rPr>
          <w:rFonts w:hint="eastAsia" w:ascii="仿宋_GB2312" w:hAnsi="仿宋_GB2312" w:eastAsia="仿宋_GB2312" w:cs="仿宋_GB2312"/>
          <w:b w:val="0"/>
          <w:bCs w:val="0"/>
          <w:color w:val="auto"/>
          <w:kern w:val="2"/>
          <w:sz w:val="32"/>
          <w:szCs w:val="32"/>
          <w:u w:val="none"/>
          <w:lang w:val="en-US" w:eastAsia="zh-CN" w:bidi="ar-SA"/>
        </w:rPr>
        <w:t>提出各类意见</w:t>
      </w:r>
      <w:r>
        <w:rPr>
          <w:rFonts w:hint="eastAsia" w:ascii="Times New Roman" w:hAnsi="Times New Roman" w:eastAsia="仿宋_GB2312" w:cs="Times New Roman"/>
          <w:b w:val="0"/>
          <w:bCs w:val="0"/>
          <w:color w:val="auto"/>
          <w:kern w:val="2"/>
          <w:sz w:val="32"/>
          <w:szCs w:val="32"/>
          <w:u w:val="none"/>
          <w:lang w:val="en-US" w:eastAsia="zh-CN" w:bidi="ar-SA"/>
        </w:rPr>
        <w:t>建议149条</w:t>
      </w:r>
      <w:r>
        <w:rPr>
          <w:rFonts w:hint="default" w:ascii="Times New Roman" w:hAnsi="Times New Roman" w:eastAsia="仿宋_GB2312" w:cs="Times New Roman"/>
          <w:b w:val="0"/>
          <w:bCs w:val="0"/>
          <w:color w:val="auto"/>
          <w:kern w:val="2"/>
          <w:sz w:val="32"/>
          <w:szCs w:val="32"/>
          <w:u w:val="none"/>
          <w:lang w:val="en-US" w:eastAsia="zh-CN" w:bidi="ar-SA"/>
        </w:rPr>
        <w:t>。</w:t>
      </w:r>
      <w:r>
        <w:rPr>
          <w:rFonts w:hint="eastAsia" w:ascii="Times New Roman" w:hAnsi="Times New Roman" w:eastAsia="仿宋_GB2312" w:cs="Times New Roman"/>
          <w:b w:val="0"/>
          <w:bCs w:val="0"/>
          <w:color w:val="auto"/>
          <w:kern w:val="2"/>
          <w:sz w:val="32"/>
          <w:szCs w:val="32"/>
          <w:u w:val="none"/>
          <w:lang w:val="en-US" w:eastAsia="zh-CN" w:bidi="ar-SA"/>
        </w:rPr>
        <w:t>开展小微协商活动4次，</w:t>
      </w:r>
      <w:r>
        <w:rPr>
          <w:rFonts w:hint="eastAsia" w:ascii="仿宋_GB2312" w:hAnsi="仿宋_GB2312" w:eastAsia="仿宋_GB2312" w:cs="仿宋_GB2312"/>
          <w:b w:val="0"/>
          <w:bCs w:val="0"/>
          <w:color w:val="auto"/>
          <w:kern w:val="2"/>
          <w:sz w:val="32"/>
          <w:szCs w:val="32"/>
          <w:u w:val="none"/>
          <w:lang w:val="en-US" w:eastAsia="zh-CN" w:bidi="ar-SA"/>
        </w:rPr>
        <w:t>参与基层委员联络站开</w:t>
      </w:r>
      <w:r>
        <w:rPr>
          <w:rFonts w:hint="eastAsia" w:ascii="Times New Roman" w:hAnsi="Times New Roman" w:eastAsia="仿宋_GB2312" w:cs="Times New Roman"/>
          <w:b w:val="0"/>
          <w:bCs w:val="0"/>
          <w:color w:val="auto"/>
          <w:kern w:val="2"/>
          <w:sz w:val="32"/>
          <w:szCs w:val="32"/>
          <w:u w:val="none"/>
          <w:lang w:val="en-US" w:eastAsia="zh-CN" w:bidi="ar-SA"/>
        </w:rPr>
        <w:t>展小微协商活动22次，</w:t>
      </w:r>
      <w:r>
        <w:rPr>
          <w:rFonts w:hint="eastAsia" w:ascii="Times New Roman" w:hAnsi="Times New Roman" w:eastAsia="仿宋_GB2312" w:cs="Times New Roman"/>
          <w:b w:val="0"/>
          <w:bCs w:val="0"/>
          <w:color w:val="auto"/>
          <w:kern w:val="2"/>
          <w:sz w:val="32"/>
          <w:szCs w:val="32"/>
          <w:u w:val="none"/>
          <w:lang w:val="zh-CN" w:eastAsia="zh-CN" w:bidi="ar-SA"/>
        </w:rPr>
        <w:t>提出意见建议</w:t>
      </w:r>
      <w:r>
        <w:rPr>
          <w:rFonts w:hint="eastAsia" w:ascii="Times New Roman" w:hAnsi="Times New Roman" w:eastAsia="仿宋_GB2312" w:cs="Times New Roman"/>
          <w:b w:val="0"/>
          <w:bCs w:val="0"/>
          <w:color w:val="auto"/>
          <w:kern w:val="2"/>
          <w:sz w:val="32"/>
          <w:szCs w:val="32"/>
          <w:u w:val="none"/>
          <w:lang w:val="en-US" w:eastAsia="zh-CN" w:bidi="ar-SA"/>
        </w:rPr>
        <w:t>40余</w:t>
      </w:r>
      <w:r>
        <w:rPr>
          <w:rFonts w:hint="eastAsia" w:ascii="Times New Roman" w:hAnsi="Times New Roman" w:eastAsia="仿宋_GB2312" w:cs="Times New Roman"/>
          <w:b w:val="0"/>
          <w:bCs w:val="0"/>
          <w:color w:val="auto"/>
          <w:kern w:val="2"/>
          <w:sz w:val="32"/>
          <w:szCs w:val="32"/>
          <w:u w:val="none"/>
          <w:lang w:val="zh-CN" w:eastAsia="zh-CN" w:bidi="ar-SA"/>
        </w:rPr>
        <w:t>条，协调解决问题</w:t>
      </w:r>
      <w:r>
        <w:rPr>
          <w:rFonts w:hint="eastAsia" w:ascii="Times New Roman" w:hAnsi="Times New Roman" w:eastAsia="仿宋_GB2312" w:cs="Times New Roman"/>
          <w:b w:val="0"/>
          <w:bCs w:val="0"/>
          <w:color w:val="auto"/>
          <w:kern w:val="2"/>
          <w:sz w:val="32"/>
          <w:szCs w:val="32"/>
          <w:u w:val="none"/>
          <w:lang w:val="en-US" w:eastAsia="zh-CN" w:bidi="ar-SA"/>
        </w:rPr>
        <w:t>30余</w:t>
      </w:r>
      <w:r>
        <w:rPr>
          <w:rFonts w:hint="eastAsia" w:ascii="Times New Roman" w:hAnsi="Times New Roman" w:eastAsia="仿宋_GB2312" w:cs="Times New Roman"/>
          <w:b w:val="0"/>
          <w:bCs w:val="0"/>
          <w:color w:val="auto"/>
          <w:kern w:val="2"/>
          <w:sz w:val="32"/>
          <w:szCs w:val="32"/>
          <w:u w:val="none"/>
          <w:lang w:val="zh-CN" w:eastAsia="zh-CN" w:bidi="ar-SA"/>
        </w:rPr>
        <w:t>个</w:t>
      </w:r>
      <w:r>
        <w:rPr>
          <w:rFonts w:hint="eastAsia" w:ascii="Times New Roman" w:hAnsi="Times New Roman" w:eastAsia="仿宋_GB2312" w:cs="Times New Roman"/>
          <w:b w:val="0"/>
          <w:bCs w:val="0"/>
          <w:color w:val="auto"/>
          <w:kern w:val="2"/>
          <w:sz w:val="32"/>
          <w:szCs w:val="32"/>
          <w:u w:val="none"/>
          <w:lang w:val="en-US" w:eastAsia="zh-CN" w:bidi="ar-SA"/>
        </w:rPr>
        <w:t>，</w:t>
      </w:r>
      <w:r>
        <w:rPr>
          <w:rFonts w:ascii="Times New Roman" w:hAnsi="Times New Roman" w:eastAsia="仿宋_GB2312" w:cs="Times New Roman"/>
          <w:color w:val="auto"/>
          <w:kern w:val="2"/>
          <w:sz w:val="32"/>
          <w:szCs w:val="32"/>
          <w:lang w:val="en-US" w:eastAsia="zh-CN" w:bidi="ar-SA"/>
        </w:rPr>
        <w:t>工作成效获得人民群众的</w:t>
      </w:r>
      <w:r>
        <w:rPr>
          <w:rFonts w:hint="eastAsia" w:ascii="Times New Roman" w:hAnsi="Times New Roman" w:eastAsia="仿宋_GB2312" w:cs="Times New Roman"/>
          <w:color w:val="auto"/>
          <w:kern w:val="2"/>
          <w:sz w:val="32"/>
          <w:szCs w:val="32"/>
          <w:lang w:val="en-US" w:eastAsia="zh-CN" w:bidi="ar-SA"/>
        </w:rPr>
        <w:t>普遍</w:t>
      </w:r>
      <w:r>
        <w:rPr>
          <w:rFonts w:ascii="Times New Roman" w:hAnsi="Times New Roman" w:eastAsia="仿宋_GB2312" w:cs="Times New Roman"/>
          <w:color w:val="auto"/>
          <w:kern w:val="2"/>
          <w:sz w:val="32"/>
          <w:szCs w:val="32"/>
          <w:lang w:val="en-US" w:eastAsia="zh-CN" w:bidi="ar-SA"/>
        </w:rPr>
        <w:t>认可</w:t>
      </w:r>
      <w:r>
        <w:rPr>
          <w:rFonts w:hint="eastAsia" w:ascii="Times New Roman" w:hAnsi="Times New Roman"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spacing w:val="0"/>
          <w:kern w:val="2"/>
          <w:sz w:val="32"/>
          <w:szCs w:val="32"/>
          <w:lang w:val="en-US" w:eastAsia="zh-CN" w:bidi="ar-SA"/>
        </w:rPr>
        <w:t>全年开展调研视察11次，形成多份</w:t>
      </w:r>
      <w:r>
        <w:rPr>
          <w:rFonts w:hint="default" w:ascii="Times New Roman" w:hAnsi="Times New Roman" w:eastAsia="仿宋_GB2312" w:cs="Times New Roman"/>
          <w:color w:val="auto"/>
          <w:spacing w:val="0"/>
          <w:kern w:val="2"/>
          <w:sz w:val="32"/>
          <w:szCs w:val="32"/>
          <w:lang w:val="en-US" w:eastAsia="zh-CN" w:bidi="ar-SA"/>
        </w:rPr>
        <w:t>调研</w:t>
      </w:r>
      <w:r>
        <w:rPr>
          <w:rFonts w:hint="eastAsia" w:ascii="Times New Roman" w:hAnsi="Times New Roman" w:eastAsia="仿宋_GB2312" w:cs="Times New Roman"/>
          <w:color w:val="auto"/>
          <w:spacing w:val="0"/>
          <w:kern w:val="2"/>
          <w:sz w:val="32"/>
          <w:szCs w:val="32"/>
          <w:lang w:val="en-US" w:eastAsia="zh-CN" w:bidi="ar-SA"/>
        </w:rPr>
        <w:t>成果，为全县经济社会发展起到了有效的推动作用。本年度</w:t>
      </w:r>
      <w:r>
        <w:rPr>
          <w:rFonts w:hint="default" w:ascii="Times New Roman" w:hAnsi="Times New Roman" w:eastAsia="仿宋_GB2312" w:cs="Times New Roman"/>
          <w:bCs/>
          <w:color w:val="auto"/>
          <w:kern w:val="2"/>
          <w:sz w:val="32"/>
          <w:szCs w:val="32"/>
          <w:highlight w:val="none"/>
          <w:u w:val="none" w:color="auto"/>
          <w:lang w:val="en-US" w:eastAsia="zh-CN" w:bidi="ar-SA"/>
        </w:rPr>
        <w:t>开展委员读书活动</w:t>
      </w:r>
      <w:r>
        <w:rPr>
          <w:rFonts w:hint="eastAsia" w:ascii="Times New Roman" w:hAnsi="Times New Roman" w:eastAsia="仿宋_GB2312" w:cs="Times New Roman"/>
          <w:bCs/>
          <w:color w:val="auto"/>
          <w:kern w:val="2"/>
          <w:sz w:val="32"/>
          <w:szCs w:val="32"/>
          <w:highlight w:val="none"/>
          <w:u w:val="none" w:color="auto"/>
          <w:lang w:val="en-US" w:eastAsia="zh-CN" w:bidi="ar-SA"/>
        </w:rPr>
        <w:t>5</w:t>
      </w:r>
      <w:r>
        <w:rPr>
          <w:rFonts w:hint="default" w:ascii="Times New Roman" w:hAnsi="Times New Roman" w:eastAsia="仿宋_GB2312" w:cs="Times New Roman"/>
          <w:bCs/>
          <w:color w:val="auto"/>
          <w:kern w:val="2"/>
          <w:sz w:val="32"/>
          <w:szCs w:val="32"/>
          <w:highlight w:val="none"/>
          <w:u w:val="none" w:color="auto"/>
          <w:lang w:val="en-US" w:eastAsia="zh-CN" w:bidi="ar-SA"/>
        </w:rPr>
        <w:t>次，主题读书交流3次，</w:t>
      </w:r>
      <w:r>
        <w:rPr>
          <w:rFonts w:hint="eastAsia" w:ascii="Times New Roman" w:hAnsi="Times New Roman" w:eastAsia="仿宋_GB2312" w:cs="Times New Roman"/>
          <w:bCs/>
          <w:color w:val="auto"/>
          <w:kern w:val="2"/>
          <w:sz w:val="32"/>
          <w:szCs w:val="32"/>
          <w:highlight w:val="none"/>
          <w:u w:val="none" w:color="auto"/>
          <w:lang w:val="en-US" w:eastAsia="zh-CN" w:bidi="ar-SA"/>
        </w:rPr>
        <w:t>好书领学7场次，</w:t>
      </w:r>
      <w:r>
        <w:rPr>
          <w:rFonts w:hint="default" w:ascii="Times New Roman" w:hAnsi="Times New Roman" w:eastAsia="仿宋_GB2312" w:cs="Times New Roman"/>
          <w:bCs/>
          <w:color w:val="auto"/>
          <w:kern w:val="2"/>
          <w:sz w:val="32"/>
          <w:szCs w:val="32"/>
          <w:highlight w:val="none"/>
          <w:u w:val="none" w:color="auto"/>
          <w:lang w:val="en-US" w:eastAsia="zh-CN" w:bidi="ar-SA"/>
        </w:rPr>
        <w:t>通过“书香政协</w:t>
      </w:r>
      <w:r>
        <w:rPr>
          <w:rFonts w:hint="default" w:ascii="Times New Roman" w:hAnsi="Times New Roman" w:eastAsia="仿宋_GB2312" w:cs="Times New Roman"/>
          <w:color w:val="auto"/>
          <w:kern w:val="2"/>
          <w:sz w:val="32"/>
          <w:szCs w:val="32"/>
          <w:lang w:val="en-US" w:eastAsia="zh-CN" w:bidi="ar-SA"/>
        </w:rPr>
        <w:t>·奋进红原</w:t>
      </w:r>
      <w:r>
        <w:rPr>
          <w:rFonts w:hint="default" w:ascii="Times New Roman" w:hAnsi="Times New Roman" w:eastAsia="仿宋_GB2312" w:cs="Times New Roman"/>
          <w:bCs/>
          <w:color w:val="auto"/>
          <w:kern w:val="2"/>
          <w:sz w:val="32"/>
          <w:szCs w:val="32"/>
          <w:highlight w:val="none"/>
          <w:u w:val="none" w:color="auto"/>
          <w:lang w:val="en-US" w:eastAsia="zh-CN" w:bidi="ar-SA"/>
        </w:rPr>
        <w:t>”委员读书活动</w:t>
      </w:r>
      <w:r>
        <w:rPr>
          <w:rFonts w:hint="eastAsia" w:ascii="Times New Roman" w:hAnsi="Times New Roman" w:eastAsia="仿宋_GB2312" w:cs="Times New Roman"/>
          <w:bCs/>
          <w:color w:val="auto"/>
          <w:kern w:val="2"/>
          <w:sz w:val="32"/>
          <w:szCs w:val="32"/>
          <w:highlight w:val="none"/>
          <w:u w:val="none" w:color="auto"/>
          <w:lang w:val="en-US" w:eastAsia="zh-CN" w:bidi="ar-SA"/>
        </w:rPr>
        <w:t>，</w:t>
      </w:r>
      <w:r>
        <w:rPr>
          <w:rFonts w:hint="default" w:ascii="Times New Roman" w:hAnsi="Times New Roman" w:eastAsia="仿宋_GB2312" w:cs="Times New Roman"/>
          <w:bCs/>
          <w:color w:val="auto"/>
          <w:kern w:val="2"/>
          <w:sz w:val="32"/>
          <w:szCs w:val="32"/>
          <w:highlight w:val="none"/>
          <w:u w:val="none" w:color="auto"/>
          <w:lang w:val="en-US" w:eastAsia="zh-CN" w:bidi="ar-SA"/>
        </w:rPr>
        <w:t>引导广大委员把读书作为自身履职的“新常态”、日常生活的“新内容”、跨界交流的“新渠道”</w:t>
      </w:r>
      <w:r>
        <w:rPr>
          <w:rFonts w:hint="eastAsia" w:ascii="Times New Roman" w:hAnsi="Times New Roman" w:eastAsia="仿宋_GB2312" w:cs="Times New Roman"/>
          <w:bCs/>
          <w:color w:val="auto"/>
          <w:kern w:val="2"/>
          <w:sz w:val="32"/>
          <w:szCs w:val="32"/>
          <w:highlight w:val="none"/>
          <w:u w:val="none" w:color="auto"/>
          <w:lang w:val="en-US" w:eastAsia="zh-CN" w:bidi="ar-SA"/>
        </w:rPr>
        <w:t>，</w:t>
      </w:r>
      <w:r>
        <w:rPr>
          <w:rFonts w:hint="default" w:ascii="Times New Roman" w:hAnsi="Times New Roman" w:eastAsia="仿宋_GB2312" w:cs="Times New Roman"/>
          <w:bCs/>
          <w:color w:val="auto"/>
          <w:kern w:val="2"/>
          <w:sz w:val="32"/>
          <w:szCs w:val="32"/>
          <w:highlight w:val="none"/>
          <w:u w:val="none" w:color="auto"/>
          <w:lang w:val="en-US" w:eastAsia="zh-CN" w:bidi="ar-SA"/>
        </w:rPr>
        <w:t>营造“书香政协”浓厚氛围。</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default" w:ascii="Times New Roman" w:hAnsi="Times New Roman" w:eastAsia="仿宋_GB2312" w:cs="Times New Roman"/>
          <w:b w:val="0"/>
          <w:bCs w:val="0"/>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sz w:val="32"/>
          <w:szCs w:val="32"/>
        </w:rPr>
        <w:t>结余分配和结转结余情况</w:t>
      </w:r>
      <w:r>
        <w:rPr>
          <w:rFonts w:hint="default" w:ascii="Times New Roman" w:hAnsi="Times New Roman" w:eastAsia="楷体_GB2312" w:cs="Times New Roman"/>
          <w:b/>
          <w:sz w:val="32"/>
          <w:szCs w:val="32"/>
          <w:lang w:eastAsia="zh-CN"/>
        </w:rPr>
        <w:t>。</w:t>
      </w:r>
      <w:r>
        <w:rPr>
          <w:rFonts w:hint="eastAsia" w:ascii="Times New Roman" w:hAnsi="Times New Roman" w:eastAsia="仿宋_GB2312" w:cs="Times New Roman"/>
          <w:sz w:val="32"/>
          <w:szCs w:val="32"/>
          <w:lang w:val="en-US" w:eastAsia="zh-CN"/>
        </w:rPr>
        <w:t>政协红原县委员会办公室</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无</w:t>
      </w:r>
      <w:r>
        <w:rPr>
          <w:rFonts w:hint="default" w:ascii="Times New Roman" w:hAnsi="Times New Roman" w:eastAsia="仿宋_GB2312" w:cs="Times New Roman"/>
          <w:b w:val="0"/>
          <w:bCs w:val="0"/>
          <w:color w:val="000000"/>
          <w:kern w:val="0"/>
          <w:sz w:val="32"/>
          <w:szCs w:val="32"/>
          <w:highlight w:val="none"/>
          <w:shd w:val="clear" w:color="auto" w:fill="FFFFFF"/>
          <w:lang w:val="en-US" w:eastAsia="zh-CN"/>
        </w:rPr>
        <w:t>结转结余情况。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themeColor="text1"/>
          <w:kern w:val="0"/>
          <w:sz w:val="32"/>
          <w:szCs w:val="32"/>
          <w:highlight w:val="none"/>
          <w:shd w:val="clear" w:color="auto" w:fill="FFFFFF"/>
          <w14:textFill>
            <w14:solidFill>
              <w14:schemeClr w14:val="tx1"/>
            </w14:solidFill>
          </w14:textFill>
        </w:rPr>
      </w:pPr>
      <w:r>
        <w:rPr>
          <w:rFonts w:hint="default" w:ascii="Times New Roman" w:hAnsi="Times New Roman" w:eastAsia="黑体" w:cs="Times New Roman"/>
          <w:color w:val="000000"/>
          <w:kern w:val="0"/>
          <w:sz w:val="32"/>
          <w:szCs w:val="32"/>
          <w:highlight w:val="none"/>
          <w:shd w:val="clear" w:color="auto" w:fill="FFFFFF"/>
        </w:rPr>
        <w:t>三、</w:t>
      </w:r>
      <w:r>
        <w:rPr>
          <w:rFonts w:hint="default" w:ascii="Times New Roman" w:hAnsi="Times New Roman" w:eastAsia="黑体" w:cs="Times New Roman"/>
          <w:color w:val="000000"/>
          <w:kern w:val="0"/>
          <w:sz w:val="32"/>
          <w:szCs w:val="32"/>
          <w:highlight w:val="none"/>
          <w:u w:val="none"/>
          <w:shd w:val="clear" w:color="auto" w:fill="FFFFFF"/>
        </w:rPr>
        <w:t>部门</w:t>
      </w:r>
      <w:r>
        <w:rPr>
          <w:rFonts w:hint="default" w:ascii="Times New Roman" w:hAnsi="Times New Roman" w:eastAsia="黑体" w:cs="Times New Roman"/>
          <w:color w:val="000000"/>
          <w:kern w:val="0"/>
          <w:sz w:val="32"/>
          <w:szCs w:val="32"/>
          <w:highlight w:val="none"/>
          <w:u w:val="none"/>
          <w:shd w:val="clear" w:color="auto" w:fill="FFFFFF"/>
          <w:lang w:eastAsia="zh-CN"/>
        </w:rPr>
        <w:t>预算</w:t>
      </w:r>
      <w:r>
        <w:rPr>
          <w:rFonts w:hint="default" w:ascii="Times New Roman" w:hAnsi="Times New Roman" w:eastAsia="黑体" w:cs="Times New Roman"/>
          <w:color w:val="000000"/>
          <w:kern w:val="0"/>
          <w:sz w:val="32"/>
          <w:szCs w:val="32"/>
          <w:highlight w:val="none"/>
          <w:u w:val="none"/>
          <w:shd w:val="clear" w:color="auto" w:fill="FFFFFF"/>
        </w:rPr>
        <w:t>绩效</w:t>
      </w:r>
      <w:r>
        <w:rPr>
          <w:rFonts w:hint="default" w:ascii="Times New Roman" w:hAnsi="Times New Roman" w:eastAsia="黑体" w:cs="Times New Roman"/>
          <w:color w:val="000000"/>
          <w:kern w:val="0"/>
          <w:sz w:val="32"/>
          <w:szCs w:val="32"/>
          <w:highlight w:val="none"/>
          <w:u w:val="none"/>
          <w:shd w:val="clear" w:color="auto" w:fill="FFFFFF"/>
          <w:lang w:eastAsia="zh-CN"/>
        </w:rPr>
        <w:t>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（一）部门预算总体绩效分析。</w:t>
      </w:r>
      <w:r>
        <w:rPr>
          <w:rFonts w:hint="default" w:ascii="Times New Roman" w:hAnsi="Times New Roman" w:eastAsia="仿宋_GB2312" w:cs="Times New Roman"/>
          <w:color w:val="000000"/>
          <w:kern w:val="0"/>
          <w:sz w:val="32"/>
          <w:szCs w:val="32"/>
          <w:highlight w:val="none"/>
          <w:shd w:val="clear" w:color="auto" w:fill="FFFFFF"/>
          <w:lang w:val="zh-CN"/>
        </w:rPr>
        <w:t>根据部门预算绩效评价指标体系</w:t>
      </w:r>
      <w:r>
        <w:rPr>
          <w:rFonts w:hint="eastAsia" w:ascii="Times New Roman" w:hAnsi="Times New Roman" w:eastAsia="仿宋_GB2312" w:cs="Times New Roman"/>
          <w:color w:val="000000"/>
          <w:kern w:val="0"/>
          <w:sz w:val="32"/>
          <w:szCs w:val="32"/>
          <w:highlight w:val="none"/>
          <w:shd w:val="clear" w:color="auto" w:fill="FFFFFF"/>
          <w:lang w:val="zh-CN"/>
        </w:rPr>
        <w:t>，</w:t>
      </w:r>
      <w:r>
        <w:rPr>
          <w:rFonts w:hint="eastAsia" w:ascii="Times New Roman" w:hAnsi="Times New Roman" w:eastAsia="仿宋_GB2312" w:cs="Times New Roman"/>
          <w:color w:val="000000"/>
          <w:kern w:val="0"/>
          <w:sz w:val="32"/>
          <w:szCs w:val="32"/>
          <w:highlight w:val="none"/>
          <w:shd w:val="clear" w:color="auto" w:fill="FFFFFF"/>
          <w:lang w:val="en-US" w:eastAsia="zh-CN"/>
        </w:rPr>
        <w:t>围绕</w:t>
      </w:r>
      <w:r>
        <w:rPr>
          <w:rFonts w:hint="default" w:ascii="Times New Roman" w:hAnsi="Times New Roman" w:eastAsia="仿宋_GB2312" w:cs="Times New Roman"/>
          <w:color w:val="000000"/>
          <w:kern w:val="0"/>
          <w:sz w:val="32"/>
          <w:szCs w:val="32"/>
          <w:highlight w:val="none"/>
          <w:shd w:val="clear" w:color="auto" w:fill="FFFFFF"/>
          <w:lang w:val="zh-CN"/>
        </w:rPr>
        <w:t>履职效能、预算管理、财务管理、资产管理、采购管理等</w:t>
      </w:r>
      <w:r>
        <w:rPr>
          <w:rFonts w:hint="eastAsia" w:ascii="Times New Roman" w:hAnsi="Times New Roman" w:eastAsia="仿宋_GB2312" w:cs="Times New Roman"/>
          <w:color w:val="000000"/>
          <w:kern w:val="0"/>
          <w:sz w:val="32"/>
          <w:szCs w:val="32"/>
          <w:highlight w:val="none"/>
          <w:shd w:val="clear" w:color="auto" w:fill="FFFFFF"/>
          <w:lang w:val="en-US" w:eastAsia="zh-CN"/>
        </w:rPr>
        <w:t>方面进行逐项分析：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en-US" w:eastAsia="zh-CN"/>
        </w:rPr>
        <w:t>1.</w:t>
      </w:r>
      <w:r>
        <w:rPr>
          <w:rFonts w:hint="default" w:ascii="Times New Roman" w:hAnsi="Times New Roman" w:eastAsia="楷体_GB2312" w:cs="Times New Roman"/>
          <w:color w:val="000000"/>
          <w:kern w:val="0"/>
          <w:sz w:val="32"/>
          <w:szCs w:val="32"/>
          <w:highlight w:val="none"/>
          <w:shd w:val="clear" w:color="auto" w:fill="FFFFFF"/>
          <w:lang w:val="zh-CN"/>
        </w:rPr>
        <w:t>履职效能</w:t>
      </w:r>
      <w:r>
        <w:rPr>
          <w:rFonts w:hint="eastAsia" w:ascii="Times New Roman" w:hAnsi="Times New Roman" w:eastAsia="楷体_GB2312" w:cs="Times New Roman"/>
          <w:color w:val="000000"/>
          <w:kern w:val="0"/>
          <w:sz w:val="32"/>
          <w:szCs w:val="32"/>
          <w:highlight w:val="none"/>
          <w:shd w:val="clear" w:color="auto" w:fill="FFFFFF"/>
          <w:lang w:val="zh-CN"/>
        </w:rPr>
        <w:t>（</w:t>
      </w:r>
      <w:r>
        <w:rPr>
          <w:rFonts w:hint="eastAsia" w:ascii="Times New Roman" w:hAnsi="Times New Roman" w:eastAsia="楷体_GB2312" w:cs="Times New Roman"/>
          <w:color w:val="000000"/>
          <w:kern w:val="0"/>
          <w:sz w:val="32"/>
          <w:szCs w:val="32"/>
          <w:highlight w:val="none"/>
          <w:shd w:val="clear" w:color="auto" w:fill="FFFFFF"/>
          <w:lang w:val="en-US" w:eastAsia="zh-CN"/>
        </w:rPr>
        <w:t>15分</w:t>
      </w:r>
      <w:r>
        <w:rPr>
          <w:rFonts w:hint="eastAsia" w:ascii="Times New Roman" w:hAnsi="Times New Roman" w:eastAsia="楷体_GB2312" w:cs="Times New Roman"/>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en-US" w:eastAsia="zh-CN"/>
        </w:rPr>
      </w:pPr>
      <w:r>
        <w:rPr>
          <w:rFonts w:hint="eastAsia" w:ascii="Times New Roman" w:hAnsi="Times New Roman" w:eastAsia="仿宋_GB2312" w:cs="Times New Roman"/>
          <w:color w:val="000000"/>
          <w:kern w:val="0"/>
          <w:sz w:val="32"/>
          <w:szCs w:val="32"/>
          <w:highlight w:val="none"/>
          <w:shd w:val="clear" w:color="auto" w:fill="FFFFFF"/>
          <w:lang w:val="zh-CN"/>
        </w:rPr>
        <w:t>（</w:t>
      </w:r>
      <w:r>
        <w:rPr>
          <w:rFonts w:hint="eastAsia" w:ascii="Times New Roman" w:hAnsi="Times New Roman" w:eastAsia="仿宋_GB2312" w:cs="Times New Roman"/>
          <w:color w:val="000000"/>
          <w:kern w:val="0"/>
          <w:sz w:val="32"/>
          <w:szCs w:val="32"/>
          <w:highlight w:val="none"/>
          <w:shd w:val="clear" w:color="auto" w:fill="FFFFFF"/>
          <w:lang w:val="en-US" w:eastAsia="zh-CN"/>
        </w:rPr>
        <w:t>1</w:t>
      </w:r>
      <w:r>
        <w:rPr>
          <w:rFonts w:hint="eastAsia" w:ascii="Times New Roman" w:hAnsi="Times New Roman" w:eastAsia="仿宋_GB2312" w:cs="Times New Roman"/>
          <w:color w:val="000000"/>
          <w:kern w:val="0"/>
          <w:sz w:val="32"/>
          <w:szCs w:val="32"/>
          <w:highlight w:val="none"/>
          <w:shd w:val="clear" w:color="auto" w:fill="FFFFFF"/>
          <w:lang w:val="zh-CN"/>
        </w:rPr>
        <w:t>）</w:t>
      </w:r>
      <w:r>
        <w:rPr>
          <w:rFonts w:hint="eastAsia" w:ascii="Times New Roman" w:hAnsi="Times New Roman" w:eastAsia="仿宋_GB2312" w:cs="Times New Roman"/>
          <w:color w:val="000000"/>
          <w:kern w:val="0"/>
          <w:sz w:val="32"/>
          <w:szCs w:val="32"/>
          <w:highlight w:val="none"/>
          <w:shd w:val="clear" w:color="auto" w:fill="FFFFFF"/>
          <w:lang w:val="en-US" w:eastAsia="zh-CN"/>
        </w:rPr>
        <w:t>召开会议（5分）</w:t>
      </w:r>
    </w:p>
    <w:p>
      <w:pPr>
        <w:keepNext w:val="0"/>
        <w:keepLines w:val="0"/>
        <w:pageBreakBefore w:val="0"/>
        <w:widowControl w:val="0"/>
        <w:kinsoku/>
        <w:wordWrap/>
        <w:overflowPunct/>
        <w:topLinePunct w:val="0"/>
        <w:autoSpaceDE/>
        <w:autoSpaceDN/>
        <w:bidi w:val="0"/>
        <w:spacing w:line="576" w:lineRule="exact"/>
        <w:ind w:left="0" w:lef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sz w:val="32"/>
          <w:szCs w:val="32"/>
          <w:highlight w:val="none"/>
          <w:shd w:val="clear" w:color="auto" w:fill="FFFFFF"/>
          <w:lang w:val="en-US" w:eastAsia="zh-CN" w:bidi="ar-SA"/>
        </w:rPr>
        <w:t>完成情况：</w:t>
      </w:r>
      <w:r>
        <w:rPr>
          <w:rFonts w:hint="eastAsia" w:ascii="仿宋_GB2312" w:hAnsi="宋体" w:eastAsia="仿宋_GB2312" w:cs="Times New Roman"/>
          <w:kern w:val="2"/>
          <w:sz w:val="32"/>
          <w:szCs w:val="32"/>
          <w:lang w:val="en-US" w:eastAsia="zh-CN" w:bidi="ar-SA"/>
        </w:rPr>
        <w:t>完成</w:t>
      </w:r>
      <w:r>
        <w:rPr>
          <w:rFonts w:hint="eastAsia" w:ascii="仿宋_GB2312" w:hAnsi="仿宋_GB2312" w:eastAsia="仿宋_GB2312" w:cs="仿宋_GB2312"/>
          <w:b w:val="0"/>
          <w:bCs w:val="0"/>
          <w:kern w:val="2"/>
          <w:sz w:val="32"/>
          <w:szCs w:val="32"/>
          <w:lang w:val="en-US" w:eastAsia="zh-CN" w:bidi="ar-SA"/>
        </w:rPr>
        <w:t>召开政协全会1次</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,常委会议4次、中心理论组学习会5次、党组会议主席会议9次、专题协商会6次、界别委员座谈会5次，</w:t>
      </w:r>
      <w:r>
        <w:rPr>
          <w:rFonts w:hint="eastAsia" w:ascii="仿宋_GB2312" w:hAnsi="仿宋_GB2312" w:eastAsia="仿宋_GB2312" w:cs="仿宋_GB2312"/>
          <w:b w:val="0"/>
          <w:bCs w:val="0"/>
          <w:kern w:val="2"/>
          <w:sz w:val="32"/>
          <w:szCs w:val="32"/>
          <w:lang w:val="en-US" w:eastAsia="zh-CN" w:bidi="ar-SA"/>
        </w:rPr>
        <w:t>实现向委员报告政协工作、听取委员意见建议，审查委员提案的工作目标，满意度达90%。</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outlineLvl w:val="9"/>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color w:val="000000"/>
          <w:kern w:val="0"/>
          <w:sz w:val="32"/>
          <w:szCs w:val="32"/>
          <w:highlight w:val="none"/>
          <w:shd w:val="clear" w:color="auto" w:fill="FFFFFF"/>
          <w:lang w:val="en-US" w:eastAsia="zh-CN"/>
        </w:rPr>
        <w:t>评分：5分</w:t>
      </w:r>
    </w:p>
    <w:p>
      <w:pPr>
        <w:keepNext w:val="0"/>
        <w:keepLines w:val="0"/>
        <w:pageBreakBefore w:val="0"/>
        <w:widowControl w:val="0"/>
        <w:numPr>
          <w:ilvl w:val="0"/>
          <w:numId w:val="0"/>
        </w:numPr>
        <w:kinsoku/>
        <w:wordWrap/>
        <w:overflowPunct/>
        <w:topLinePunct w:val="0"/>
        <w:autoSpaceDE/>
        <w:autoSpaceDN/>
        <w:bidi w:val="0"/>
        <w:spacing w:line="576" w:lineRule="exact"/>
        <w:ind w:left="420" w:leftChars="200" w:firstLine="640" w:firstLineChars="200"/>
        <w:jc w:val="both"/>
        <w:textAlignment w:val="auto"/>
        <w:outlineLvl w:val="9"/>
        <w:rPr>
          <w:rFonts w:hint="eastAsia" w:ascii="Times New Roman" w:hAnsi="Times New Roman" w:eastAsia="仿宋_GB2312" w:cs="Times New Roman"/>
          <w:color w:val="000000"/>
          <w:ker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sz w:val="32"/>
          <w:szCs w:val="32"/>
          <w:highlight w:val="none"/>
          <w:shd w:val="clear" w:color="auto" w:fill="FFFFFF"/>
          <w:lang w:val="en-US" w:eastAsia="zh-CN" w:bidi="ar-SA"/>
        </w:rPr>
        <w:t>（2）调研视察（5分）</w:t>
      </w:r>
    </w:p>
    <w:p>
      <w:pPr>
        <w:keepNext w:val="0"/>
        <w:keepLines w:val="0"/>
        <w:pageBreakBefore w:val="0"/>
        <w:widowControl w:val="0"/>
        <w:kinsoku/>
        <w:wordWrap/>
        <w:overflowPunct/>
        <w:topLinePunct w:val="0"/>
        <w:autoSpaceDE/>
        <w:autoSpaceDN/>
        <w:bidi w:val="0"/>
        <w:spacing w:line="576" w:lineRule="exact"/>
        <w:ind w:left="0" w:lef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sz w:val="32"/>
          <w:szCs w:val="32"/>
          <w:highlight w:val="none"/>
          <w:shd w:val="clear" w:color="auto" w:fill="FFFFFF"/>
          <w:lang w:val="en-US" w:eastAsia="zh-CN" w:bidi="ar-SA"/>
        </w:rPr>
        <w:t>完成情况：全年开展专题调研11次，组织委员学习考察4次，与兄弟县政协开展调研视察工作5次，</w:t>
      </w:r>
      <w:r>
        <w:rPr>
          <w:rFonts w:hint="eastAsia" w:ascii="仿宋_GB2312" w:hAnsi="仿宋_GB2312" w:eastAsia="仿宋_GB2312" w:cs="仿宋_GB2312"/>
          <w:b w:val="0"/>
          <w:bCs w:val="0"/>
          <w:kern w:val="2"/>
          <w:sz w:val="32"/>
          <w:szCs w:val="32"/>
          <w:lang w:val="en-US" w:eastAsia="zh-CN" w:bidi="ar-SA"/>
        </w:rPr>
        <w:t>通过调查研究，进一步提高了委员建言献策的质量，推动相关政策和决策的改进和完善，为经济社会发展提供有力支持。</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outlineLvl w:val="9"/>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color w:val="000000"/>
          <w:kern w:val="0"/>
          <w:sz w:val="32"/>
          <w:szCs w:val="32"/>
          <w:highlight w:val="none"/>
          <w:shd w:val="clear" w:color="auto" w:fill="FFFFFF"/>
          <w:lang w:val="en-US" w:eastAsia="zh-CN"/>
        </w:rPr>
        <w:t>评分：5分</w:t>
      </w:r>
    </w:p>
    <w:p>
      <w:pPr>
        <w:keepNext w:val="0"/>
        <w:keepLines w:val="0"/>
        <w:pageBreakBefore w:val="0"/>
        <w:widowControl w:val="0"/>
        <w:numPr>
          <w:ilvl w:val="0"/>
          <w:numId w:val="0"/>
        </w:numPr>
        <w:kinsoku/>
        <w:wordWrap/>
        <w:overflowPunct/>
        <w:topLinePunct w:val="0"/>
        <w:autoSpaceDE/>
        <w:autoSpaceDN/>
        <w:bidi w:val="0"/>
        <w:spacing w:line="576" w:lineRule="exact"/>
        <w:ind w:firstLine="640" w:firstLineChars="200"/>
        <w:textAlignment w:val="auto"/>
        <w:outlineLvl w:val="9"/>
        <w:rPr>
          <w:rFonts w:hint="eastAsia" w:ascii="Times New Roman" w:hAnsi="Times New Roman" w:eastAsia="仿宋_GB2312" w:cs="Times New Roman"/>
          <w:color w:val="000000"/>
          <w:kern w:val="0"/>
          <w:sz w:val="32"/>
          <w:szCs w:val="32"/>
          <w:highlight w:val="none"/>
          <w:shd w:val="clear" w:color="auto" w:fill="FFFFFF"/>
          <w:lang w:val="en-US" w:eastAsia="zh-CN"/>
        </w:rPr>
      </w:pPr>
      <w:r>
        <w:rPr>
          <w:rFonts w:hint="eastAsia" w:ascii="Times New Roman" w:hAnsi="Times New Roman" w:eastAsia="仿宋_GB2312" w:cs="Times New Roman"/>
          <w:color w:val="000000"/>
          <w:kern w:val="0"/>
          <w:sz w:val="32"/>
          <w:szCs w:val="32"/>
          <w:highlight w:val="none"/>
          <w:shd w:val="clear" w:color="auto" w:fill="FFFFFF"/>
          <w:lang w:val="en-US" w:eastAsia="zh-CN"/>
        </w:rPr>
        <w:t>（3）参政议政（5分）</w:t>
      </w:r>
    </w:p>
    <w:p>
      <w:pPr>
        <w:keepNext w:val="0"/>
        <w:keepLines w:val="0"/>
        <w:pageBreakBefore w:val="0"/>
        <w:widowControl w:val="0"/>
        <w:kinsoku/>
        <w:wordWrap/>
        <w:overflowPunct/>
        <w:topLinePunct w:val="0"/>
        <w:autoSpaceDE/>
        <w:autoSpaceDN/>
        <w:bidi w:val="0"/>
        <w:spacing w:line="576" w:lineRule="exact"/>
        <w:ind w:left="0" w:lef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sz w:val="32"/>
          <w:szCs w:val="32"/>
          <w:highlight w:val="none"/>
          <w:shd w:val="clear" w:color="auto" w:fill="FFFFFF"/>
          <w:lang w:val="en-US" w:eastAsia="zh-CN" w:bidi="ar-SA"/>
        </w:rPr>
        <w:t>完成情况：广泛开展各种专题会议30余次，参加重点工作督导，坚持监督与协商为一体。收集各类意见建议，协调解决问题30余个，</w:t>
      </w:r>
      <w:r>
        <w:rPr>
          <w:rFonts w:hint="eastAsia" w:ascii="仿宋_GB2312" w:hAnsi="仿宋_GB2312" w:eastAsia="仿宋_GB2312" w:cs="仿宋_GB2312"/>
          <w:b w:val="0"/>
          <w:bCs w:val="0"/>
          <w:kern w:val="2"/>
          <w:sz w:val="32"/>
          <w:szCs w:val="32"/>
          <w:lang w:val="en-US" w:eastAsia="zh-CN" w:bidi="ar-SA"/>
        </w:rPr>
        <w:t>加强了政协委员的参与度和代表性，确保各团体和各族各界人士的声音得到充分表达，满意度达90%。</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outlineLvl w:val="9"/>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color w:val="000000"/>
          <w:kern w:val="0"/>
          <w:sz w:val="32"/>
          <w:szCs w:val="32"/>
          <w:highlight w:val="none"/>
          <w:shd w:val="clear" w:color="auto" w:fill="FFFFFF"/>
          <w:lang w:val="en-US" w:eastAsia="zh-CN"/>
        </w:rPr>
        <w:t>评分5分：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楷体_GB2312" w:cs="Times New Roman"/>
          <w:color w:val="000000"/>
          <w:kern w:val="0"/>
          <w:sz w:val="32"/>
          <w:szCs w:val="32"/>
          <w:highlight w:val="none"/>
          <w:shd w:val="clear" w:color="auto" w:fill="FFFFFF"/>
          <w:lang w:val="zh-CN"/>
        </w:rPr>
      </w:pPr>
      <w:r>
        <w:rPr>
          <w:rFonts w:hint="default" w:ascii="Times New Roman" w:hAnsi="Times New Roman" w:eastAsia="楷体_GB2312" w:cs="Times New Roman"/>
          <w:color w:val="000000"/>
          <w:kern w:val="0"/>
          <w:sz w:val="32"/>
          <w:szCs w:val="32"/>
          <w:highlight w:val="none"/>
          <w:shd w:val="clear" w:color="auto" w:fill="FFFFFF"/>
          <w:lang w:val="en-US" w:eastAsia="zh-CN"/>
        </w:rPr>
        <w:t>2.</w:t>
      </w:r>
      <w:r>
        <w:rPr>
          <w:rFonts w:hint="default" w:ascii="Times New Roman" w:hAnsi="Times New Roman" w:eastAsia="楷体_GB2312" w:cs="Times New Roman"/>
          <w:color w:val="000000"/>
          <w:kern w:val="0"/>
          <w:sz w:val="32"/>
          <w:szCs w:val="32"/>
          <w:highlight w:val="none"/>
          <w:shd w:val="clear" w:color="auto" w:fill="FFFFFF"/>
          <w:lang w:val="zh-CN"/>
        </w:rPr>
        <w:t>预算管理</w:t>
      </w:r>
      <w:r>
        <w:rPr>
          <w:rFonts w:hint="eastAsia" w:ascii="Times New Roman" w:hAnsi="Times New Roman" w:eastAsia="楷体_GB2312" w:cs="Times New Roman"/>
          <w:color w:val="000000"/>
          <w:kern w:val="0"/>
          <w:sz w:val="32"/>
          <w:szCs w:val="32"/>
          <w:highlight w:val="none"/>
          <w:shd w:val="clear" w:color="auto" w:fill="FFFFFF"/>
          <w:lang w:val="zh-CN"/>
        </w:rPr>
        <w:t>（</w:t>
      </w:r>
      <w:r>
        <w:rPr>
          <w:rFonts w:hint="eastAsia" w:ascii="Times New Roman" w:hAnsi="Times New Roman" w:eastAsia="楷体_GB2312" w:cs="Times New Roman"/>
          <w:color w:val="000000"/>
          <w:kern w:val="0"/>
          <w:sz w:val="32"/>
          <w:szCs w:val="32"/>
          <w:highlight w:val="none"/>
          <w:shd w:val="clear" w:color="auto" w:fill="FFFFFF"/>
          <w:lang w:val="en-US" w:eastAsia="zh-CN"/>
        </w:rPr>
        <w:t>25分</w:t>
      </w:r>
      <w:r>
        <w:rPr>
          <w:rFonts w:hint="eastAsia" w:ascii="Times New Roman" w:hAnsi="Times New Roman" w:eastAsia="楷体_GB2312" w:cs="Times New Roman"/>
          <w:color w:val="000000"/>
          <w:kern w:val="0"/>
          <w:sz w:val="32"/>
          <w:szCs w:val="32"/>
          <w:highlight w:val="none"/>
          <w:shd w:val="clear" w:color="auto" w:fill="FFFFFF"/>
          <w:lang w:val="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en-US" w:eastAsia="zh-CN"/>
        </w:rPr>
      </w:pPr>
      <w:r>
        <w:rPr>
          <w:rFonts w:hint="eastAsia" w:ascii="Times New Roman" w:hAnsi="Times New Roman" w:eastAsia="仿宋_GB2312" w:cs="Times New Roman"/>
          <w:color w:val="000000"/>
          <w:kern w:val="0"/>
          <w:sz w:val="32"/>
          <w:szCs w:val="32"/>
          <w:highlight w:val="none"/>
          <w:shd w:val="clear" w:color="auto" w:fill="FFFFFF"/>
          <w:lang w:val="zh-CN"/>
        </w:rPr>
        <w:t>（</w:t>
      </w:r>
      <w:r>
        <w:rPr>
          <w:rFonts w:hint="eastAsia" w:ascii="Times New Roman" w:hAnsi="Times New Roman" w:eastAsia="仿宋_GB2312" w:cs="Times New Roman"/>
          <w:color w:val="000000"/>
          <w:kern w:val="0"/>
          <w:sz w:val="32"/>
          <w:szCs w:val="32"/>
          <w:highlight w:val="none"/>
          <w:shd w:val="clear" w:color="auto" w:fill="FFFFFF"/>
          <w:lang w:val="en-US" w:eastAsia="zh-CN"/>
        </w:rPr>
        <w:t>1</w:t>
      </w:r>
      <w:r>
        <w:rPr>
          <w:rFonts w:hint="eastAsia"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zh-CN"/>
        </w:rPr>
        <w:t>预算编制质量</w:t>
      </w:r>
      <w:r>
        <w:rPr>
          <w:rFonts w:hint="eastAsia" w:ascii="Times New Roman" w:hAnsi="Times New Roman" w:eastAsia="仿宋_GB2312" w:cs="Times New Roman"/>
          <w:color w:val="000000"/>
          <w:kern w:val="0"/>
          <w:sz w:val="32"/>
          <w:szCs w:val="32"/>
          <w:highlight w:val="none"/>
          <w:shd w:val="clear" w:color="auto" w:fill="FFFFFF"/>
          <w:lang w:val="en-US" w:eastAsia="zh-CN"/>
        </w:rPr>
        <w:t>（8分）</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分析：预算编制符合财政要求，但部分资本性支出（如设备购置）未细化绩效目标。 </w:t>
      </w:r>
    </w:p>
    <w:p>
      <w:pPr>
        <w:keepNext w:val="0"/>
        <w:keepLines w:val="0"/>
        <w:pageBreakBefore w:val="0"/>
        <w:widowControl w:val="0"/>
        <w:kinsoku/>
        <w:wordWrap/>
        <w:overflowPunct/>
        <w:topLinePunct w:val="0"/>
        <w:autoSpaceDE/>
        <w:autoSpaceDN/>
        <w:bidi w:val="0"/>
        <w:spacing w:line="576" w:lineRule="exact"/>
        <w:ind w:left="1060" w:leftChars="200" w:hanging="640" w:hangingChars="200"/>
        <w:jc w:val="both"/>
        <w:textAlignment w:val="auto"/>
        <w:outlineLvl w:val="9"/>
        <w:rPr>
          <w:rFonts w:hint="default" w:ascii="Times New Roman" w:hAnsi="Times New Roman" w:eastAsia="仿宋_GB2312" w:cs="Times New Roman"/>
          <w:kern w:val="2"/>
          <w:sz w:val="32"/>
          <w:szCs w:val="24"/>
          <w:lang w:val="en-US" w:eastAsia="zh-CN" w:bidi="ar-SA"/>
        </w:rPr>
      </w:pPr>
      <w:r>
        <w:rPr>
          <w:rFonts w:hint="default" w:ascii="Times New Roman" w:hAnsi="Times New Roman" w:eastAsia="仿宋_GB2312" w:cs="Times New Roman"/>
          <w:kern w:val="2"/>
          <w:sz w:val="32"/>
          <w:szCs w:val="24"/>
          <w:lang w:val="zh-CN" w:eastAsia="zh-CN" w:bidi="ar-SA"/>
        </w:rPr>
        <w:t>评分：</w:t>
      </w:r>
      <w:r>
        <w:rPr>
          <w:rFonts w:hint="default" w:ascii="Times New Roman" w:hAnsi="Times New Roman" w:eastAsia="仿宋_GB2312" w:cs="Times New Roman"/>
          <w:kern w:val="2"/>
          <w:sz w:val="32"/>
          <w:szCs w:val="24"/>
          <w:lang w:val="en-US" w:eastAsia="zh-CN" w:bidi="ar-SA"/>
        </w:rPr>
        <w:t>7</w:t>
      </w:r>
      <w:r>
        <w:rPr>
          <w:rFonts w:hint="default" w:ascii="Times New Roman" w:hAnsi="Times New Roman" w:eastAsia="仿宋_GB2312" w:cs="Times New Roman"/>
          <w:kern w:val="2"/>
          <w:sz w:val="32"/>
          <w:szCs w:val="24"/>
          <w:lang w:val="zh-CN" w:eastAsia="zh-CN" w:bidi="ar-SA"/>
        </w:rPr>
        <w:t xml:space="preserve">分  </w:t>
      </w:r>
    </w:p>
    <w:p>
      <w:pPr>
        <w:keepNext w:val="0"/>
        <w:keepLines w:val="0"/>
        <w:pageBreakBefore w:val="0"/>
        <w:widowControl w:val="0"/>
        <w:numPr>
          <w:ilvl w:val="0"/>
          <w:numId w:val="6"/>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en-US" w:eastAsia="zh-CN"/>
        </w:rPr>
      </w:pPr>
      <w:r>
        <w:rPr>
          <w:rFonts w:hint="default" w:ascii="Times New Roman" w:hAnsi="Times New Roman" w:eastAsia="仿宋_GB2312" w:cs="Times New Roman"/>
          <w:color w:val="000000"/>
          <w:kern w:val="0"/>
          <w:sz w:val="32"/>
          <w:szCs w:val="32"/>
          <w:highlight w:val="none"/>
          <w:shd w:val="clear" w:color="auto" w:fill="FFFFFF"/>
          <w:lang w:val="zh-CN"/>
        </w:rPr>
        <w:t>单位收入统筹</w:t>
      </w:r>
      <w:r>
        <w:rPr>
          <w:rFonts w:hint="eastAsia" w:ascii="Times New Roman" w:hAnsi="Times New Roman" w:eastAsia="仿宋_GB2312" w:cs="Times New Roman"/>
          <w:color w:val="000000"/>
          <w:kern w:val="0"/>
          <w:sz w:val="32"/>
          <w:szCs w:val="32"/>
          <w:highlight w:val="none"/>
          <w:shd w:val="clear" w:color="auto" w:fill="FFFFFF"/>
          <w:lang w:val="en-US" w:eastAsia="zh-CN"/>
        </w:rPr>
        <w:t>（4分）</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分析：收入全部来自财政拨款，无其他收入来源，统筹效率较高。  </w:t>
      </w:r>
    </w:p>
    <w:p>
      <w:pPr>
        <w:keepNext w:val="0"/>
        <w:keepLines w:val="0"/>
        <w:pageBreakBefore w:val="0"/>
        <w:widowControl w:val="0"/>
        <w:numPr>
          <w:ilvl w:val="0"/>
          <w:numId w:val="0"/>
        </w:numPr>
        <w:kinsoku/>
        <w:wordWrap/>
        <w:overflowPunct/>
        <w:topLinePunct w:val="0"/>
        <w:autoSpaceDE/>
        <w:autoSpaceDN/>
        <w:bidi w:val="0"/>
        <w:spacing w:line="576" w:lineRule="exact"/>
        <w:ind w:left="420" w:leftChars="200" w:firstLine="640" w:firstLineChars="200"/>
        <w:jc w:val="both"/>
        <w:textAlignment w:val="auto"/>
        <w:outlineLvl w:val="9"/>
        <w:rPr>
          <w:rFonts w:hint="default" w:ascii="Times New Roman" w:hAnsi="Times New Roman" w:eastAsia="仿宋_GB2312" w:cs="Times New Roman"/>
          <w:kern w:val="2"/>
          <w:sz w:val="32"/>
          <w:szCs w:val="24"/>
          <w:lang w:val="zh-CN" w:eastAsia="zh-CN" w:bidi="ar-SA"/>
        </w:rPr>
      </w:pPr>
      <w:r>
        <w:rPr>
          <w:rFonts w:hint="default" w:ascii="Times New Roman" w:hAnsi="Times New Roman" w:eastAsia="仿宋_GB2312" w:cs="Times New Roman"/>
          <w:kern w:val="2"/>
          <w:sz w:val="32"/>
          <w:szCs w:val="24"/>
          <w:lang w:val="zh-CN" w:eastAsia="zh-CN" w:bidi="ar-SA"/>
        </w:rPr>
        <w:t>评分：</w:t>
      </w:r>
      <w:r>
        <w:rPr>
          <w:rFonts w:hint="default" w:ascii="Times New Roman" w:hAnsi="Times New Roman" w:eastAsia="仿宋_GB2312" w:cs="Times New Roman"/>
          <w:kern w:val="2"/>
          <w:sz w:val="32"/>
          <w:szCs w:val="24"/>
          <w:lang w:val="en-US" w:eastAsia="zh-CN" w:bidi="ar-SA"/>
        </w:rPr>
        <w:t>4</w:t>
      </w:r>
      <w:r>
        <w:rPr>
          <w:rFonts w:hint="default" w:ascii="Times New Roman" w:hAnsi="Times New Roman" w:eastAsia="仿宋_GB2312" w:cs="Times New Roman"/>
          <w:kern w:val="2"/>
          <w:sz w:val="32"/>
          <w:szCs w:val="24"/>
          <w:lang w:val="zh-CN" w:eastAsia="zh-CN" w:bidi="ar-SA"/>
        </w:rPr>
        <w:t>分</w:t>
      </w:r>
    </w:p>
    <w:p>
      <w:pPr>
        <w:keepNext w:val="0"/>
        <w:keepLines w:val="0"/>
        <w:pageBreakBefore w:val="0"/>
        <w:widowControl w:val="0"/>
        <w:numPr>
          <w:ilvl w:val="0"/>
          <w:numId w:val="6"/>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en-US" w:eastAsia="zh-CN"/>
        </w:rPr>
      </w:pPr>
      <w:r>
        <w:rPr>
          <w:rFonts w:hint="default" w:ascii="Times New Roman" w:hAnsi="Times New Roman" w:eastAsia="仿宋_GB2312" w:cs="Times New Roman"/>
          <w:color w:val="000000"/>
          <w:kern w:val="0"/>
          <w:sz w:val="32"/>
          <w:szCs w:val="32"/>
          <w:highlight w:val="none"/>
          <w:shd w:val="clear" w:color="auto" w:fill="FFFFFF"/>
          <w:lang w:val="zh-CN"/>
        </w:rPr>
        <w:t>支出执行进度</w:t>
      </w:r>
      <w:r>
        <w:rPr>
          <w:rFonts w:hint="eastAsia" w:ascii="Times New Roman" w:hAnsi="Times New Roman" w:eastAsia="仿宋_GB2312" w:cs="Times New Roman"/>
          <w:color w:val="000000"/>
          <w:kern w:val="0"/>
          <w:sz w:val="32"/>
          <w:szCs w:val="32"/>
          <w:highlight w:val="none"/>
          <w:shd w:val="clear" w:color="auto" w:fill="FFFFFF"/>
          <w:lang w:val="en-US" w:eastAsia="zh-CN"/>
        </w:rPr>
        <w:t>（6分）</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分析：全年支出进度100%，无滞后现象。  </w:t>
      </w:r>
    </w:p>
    <w:p>
      <w:pPr>
        <w:keepNext w:val="0"/>
        <w:keepLines w:val="0"/>
        <w:pageBreakBefore w:val="0"/>
        <w:widowControl w:val="0"/>
        <w:numPr>
          <w:ilvl w:val="0"/>
          <w:numId w:val="0"/>
        </w:numPr>
        <w:kinsoku/>
        <w:wordWrap/>
        <w:overflowPunct/>
        <w:topLinePunct w:val="0"/>
        <w:autoSpaceDE/>
        <w:autoSpaceDN/>
        <w:bidi w:val="0"/>
        <w:spacing w:line="576" w:lineRule="exact"/>
        <w:ind w:left="420" w:leftChars="200" w:firstLine="640" w:firstLineChars="200"/>
        <w:jc w:val="both"/>
        <w:textAlignment w:val="auto"/>
        <w:outlineLvl w:val="9"/>
        <w:rPr>
          <w:rFonts w:hint="default" w:ascii="Times New Roman" w:hAnsi="Times New Roman" w:eastAsia="仿宋_GB2312" w:cs="Times New Roman"/>
          <w:kern w:val="2"/>
          <w:sz w:val="32"/>
          <w:szCs w:val="24"/>
          <w:lang w:val="zh-CN" w:eastAsia="zh-CN" w:bidi="ar-SA"/>
        </w:rPr>
      </w:pPr>
      <w:r>
        <w:rPr>
          <w:rFonts w:hint="default" w:ascii="Times New Roman" w:hAnsi="Times New Roman" w:eastAsia="仿宋_GB2312" w:cs="Times New Roman"/>
          <w:kern w:val="2"/>
          <w:sz w:val="32"/>
          <w:szCs w:val="24"/>
          <w:lang w:val="zh-CN" w:eastAsia="zh-CN" w:bidi="ar-SA"/>
        </w:rPr>
        <w:t xml:space="preserve">评分：5分 </w:t>
      </w:r>
    </w:p>
    <w:p>
      <w:pPr>
        <w:keepNext w:val="0"/>
        <w:keepLines w:val="0"/>
        <w:pageBreakBefore w:val="0"/>
        <w:widowControl w:val="0"/>
        <w:numPr>
          <w:ilvl w:val="0"/>
          <w:numId w:val="6"/>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en-US" w:eastAsia="zh-CN"/>
        </w:rPr>
      </w:pPr>
      <w:r>
        <w:rPr>
          <w:rFonts w:hint="default" w:ascii="Times New Roman" w:hAnsi="Times New Roman" w:eastAsia="仿宋_GB2312" w:cs="Times New Roman"/>
          <w:color w:val="000000"/>
          <w:kern w:val="0"/>
          <w:sz w:val="32"/>
          <w:szCs w:val="32"/>
          <w:highlight w:val="none"/>
          <w:shd w:val="clear" w:color="auto" w:fill="FFFFFF"/>
          <w:lang w:val="zh-CN"/>
        </w:rPr>
        <w:t>预算年终结余</w:t>
      </w:r>
      <w:r>
        <w:rPr>
          <w:rFonts w:hint="eastAsia" w:ascii="Times New Roman" w:hAnsi="Times New Roman" w:eastAsia="仿宋_GB2312" w:cs="Times New Roman"/>
          <w:color w:val="000000"/>
          <w:kern w:val="0"/>
          <w:sz w:val="32"/>
          <w:szCs w:val="32"/>
          <w:highlight w:val="none"/>
          <w:shd w:val="clear" w:color="auto" w:fill="FFFFFF"/>
          <w:lang w:val="en-US" w:eastAsia="zh-CN"/>
        </w:rPr>
        <w:t>（2分）</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分析：收支平衡，</w:t>
      </w:r>
      <w:r>
        <w:rPr>
          <w:rFonts w:hint="eastAsia" w:ascii="Times New Roman" w:hAnsi="Times New Roman" w:eastAsia="仿宋_GB2312" w:cs="Times New Roman"/>
          <w:kern w:val="2"/>
          <w:sz w:val="32"/>
          <w:szCs w:val="32"/>
          <w:lang w:val="en-US" w:eastAsia="zh-CN" w:bidi="ar-SA"/>
        </w:rPr>
        <w:t>无结余</w:t>
      </w:r>
      <w:r>
        <w:rPr>
          <w:rFonts w:hint="default" w:ascii="Times New Roman" w:hAnsi="Times New Roman" w:eastAsia="仿宋_GB2312" w:cs="Times New Roman"/>
          <w:kern w:val="2"/>
          <w:sz w:val="32"/>
          <w:szCs w:val="32"/>
          <w:lang w:val="zh-CN" w:eastAsia="zh-CN" w:bidi="ar-SA"/>
        </w:rPr>
        <w:t xml:space="preserve">。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仿宋_GB2312"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评分：</w:t>
      </w:r>
      <w:r>
        <w:rPr>
          <w:rFonts w:hint="default"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zh-CN" w:eastAsia="zh-CN" w:bidi="ar-SA"/>
        </w:rPr>
        <w:t xml:space="preserve">分  </w:t>
      </w:r>
    </w:p>
    <w:p>
      <w:pPr>
        <w:keepNext w:val="0"/>
        <w:keepLines w:val="0"/>
        <w:pageBreakBefore w:val="0"/>
        <w:widowControl w:val="0"/>
        <w:numPr>
          <w:ilvl w:val="0"/>
          <w:numId w:val="6"/>
        </w:numPr>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en-US" w:eastAsia="zh-CN"/>
        </w:rPr>
      </w:pPr>
      <w:r>
        <w:rPr>
          <w:rFonts w:hint="default" w:ascii="Times New Roman" w:hAnsi="Times New Roman" w:eastAsia="仿宋_GB2312" w:cs="Times New Roman"/>
          <w:color w:val="000000"/>
          <w:kern w:val="0"/>
          <w:sz w:val="32"/>
          <w:szCs w:val="32"/>
          <w:highlight w:val="none"/>
          <w:shd w:val="clear" w:color="auto" w:fill="FFFFFF"/>
          <w:lang w:val="zh-CN"/>
        </w:rPr>
        <w:t>严控一般性支出</w:t>
      </w:r>
      <w:r>
        <w:rPr>
          <w:rFonts w:hint="eastAsia" w:ascii="Times New Roman" w:hAnsi="Times New Roman" w:eastAsia="仿宋_GB2312" w:cs="Times New Roman"/>
          <w:color w:val="000000"/>
          <w:kern w:val="0"/>
          <w:sz w:val="32"/>
          <w:szCs w:val="32"/>
          <w:highlight w:val="none"/>
          <w:shd w:val="clear" w:color="auto" w:fill="FFFFFF"/>
          <w:lang w:val="en-US" w:eastAsia="zh-CN"/>
        </w:rPr>
        <w:t>（5分）</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分析：商品服务支出占比</w:t>
      </w:r>
      <w:r>
        <w:rPr>
          <w:rFonts w:hint="eastAsia" w:ascii="Times New Roman" w:hAnsi="Times New Roman" w:eastAsia="仿宋_GB2312" w:cs="Times New Roman"/>
          <w:kern w:val="2"/>
          <w:sz w:val="32"/>
          <w:szCs w:val="32"/>
          <w:lang w:val="en-US" w:eastAsia="zh-CN" w:bidi="ar-SA"/>
        </w:rPr>
        <w:t>21.67</w:t>
      </w:r>
      <w:r>
        <w:rPr>
          <w:rFonts w:hint="default" w:ascii="Times New Roman" w:hAnsi="Times New Roman" w:eastAsia="仿宋_GB2312" w:cs="Times New Roman"/>
          <w:kern w:val="2"/>
          <w:sz w:val="32"/>
          <w:szCs w:val="32"/>
          <w:lang w:val="zh-CN" w:eastAsia="zh-CN" w:bidi="ar-SA"/>
        </w:rPr>
        <w:t xml:space="preserve">%，未超预算，符合厉行节约要求。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评分</w:t>
      </w:r>
      <w:r>
        <w:rPr>
          <w:rFonts w:hint="eastAsia" w:ascii="Times New Roman" w:hAnsi="Times New Roman" w:eastAsia="仿宋_GB2312" w:cs="Times New Roman"/>
          <w:kern w:val="2"/>
          <w:sz w:val="32"/>
          <w:szCs w:val="32"/>
          <w:lang w:val="zh-CN" w:eastAsia="zh-CN" w:bidi="ar-SA"/>
        </w:rPr>
        <w:t>：</w:t>
      </w:r>
      <w:r>
        <w:rPr>
          <w:rFonts w:hint="default" w:ascii="Times New Roman" w:hAnsi="Times New Roman" w:eastAsia="仿宋_GB2312" w:cs="Times New Roman"/>
          <w:kern w:val="2"/>
          <w:sz w:val="32"/>
          <w:szCs w:val="32"/>
          <w:lang w:val="en-US" w:eastAsia="zh-CN" w:bidi="ar-SA"/>
        </w:rPr>
        <w:t>4</w:t>
      </w:r>
      <w:r>
        <w:rPr>
          <w:rFonts w:hint="default" w:ascii="Times New Roman" w:hAnsi="Times New Roman" w:eastAsia="仿宋_GB2312" w:cs="Times New Roman"/>
          <w:kern w:val="2"/>
          <w:sz w:val="32"/>
          <w:szCs w:val="32"/>
          <w:lang w:val="zh-CN" w:eastAsia="zh-CN" w:bidi="ar-SA"/>
        </w:rPr>
        <w:t>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sz w:val="32"/>
          <w:lang w:val="en-US" w:eastAsia="zh-CN"/>
        </w:rPr>
      </w:pPr>
      <w:r>
        <w:rPr>
          <w:rFonts w:hint="eastAsia" w:ascii="Times New Roman" w:hAnsi="Times New Roman" w:eastAsia="楷体_GB2312" w:cs="Times New Roman"/>
          <w:color w:val="000000"/>
          <w:kern w:val="0"/>
          <w:sz w:val="32"/>
          <w:szCs w:val="32"/>
          <w:highlight w:val="none"/>
          <w:shd w:val="clear" w:color="auto" w:fill="FFFFFF"/>
          <w:lang w:val="en-US" w:eastAsia="zh-CN"/>
        </w:rPr>
        <w:t>3</w:t>
      </w:r>
      <w:r>
        <w:rPr>
          <w:rFonts w:hint="default" w:ascii="Times New Roman" w:hAnsi="Times New Roman" w:eastAsia="楷体_GB2312" w:cs="Times New Roman"/>
          <w:color w:val="000000"/>
          <w:kern w:val="0"/>
          <w:sz w:val="32"/>
          <w:szCs w:val="32"/>
          <w:highlight w:val="none"/>
          <w:shd w:val="clear" w:color="auto" w:fill="FFFFFF"/>
          <w:lang w:val="en-US" w:eastAsia="zh-CN"/>
        </w:rPr>
        <w:t>.</w:t>
      </w:r>
      <w:r>
        <w:rPr>
          <w:rFonts w:hint="eastAsia" w:ascii="Times New Roman" w:hAnsi="Times New Roman" w:eastAsia="楷体_GB2312" w:cs="Times New Roman"/>
          <w:color w:val="000000"/>
          <w:kern w:val="0"/>
          <w:sz w:val="32"/>
          <w:szCs w:val="32"/>
          <w:highlight w:val="none"/>
          <w:shd w:val="clear" w:color="auto" w:fill="FFFFFF"/>
          <w:lang w:val="en-US" w:eastAsia="zh-CN"/>
        </w:rPr>
        <w:t>财务</w:t>
      </w:r>
      <w:r>
        <w:rPr>
          <w:rFonts w:hint="default" w:ascii="Times New Roman" w:hAnsi="Times New Roman" w:eastAsia="楷体_GB2312" w:cs="Times New Roman"/>
          <w:color w:val="000000"/>
          <w:kern w:val="0"/>
          <w:sz w:val="32"/>
          <w:szCs w:val="32"/>
          <w:highlight w:val="none"/>
          <w:shd w:val="clear" w:color="auto" w:fill="FFFFFF"/>
          <w:lang w:val="zh-CN"/>
        </w:rPr>
        <w:t>管理</w:t>
      </w:r>
      <w:r>
        <w:rPr>
          <w:rFonts w:hint="eastAsia" w:ascii="Times New Roman" w:hAnsi="Times New Roman" w:eastAsia="楷体_GB2312" w:cs="Times New Roman"/>
          <w:color w:val="000000"/>
          <w:kern w:val="0"/>
          <w:sz w:val="32"/>
          <w:szCs w:val="32"/>
          <w:highlight w:val="none"/>
          <w:shd w:val="clear" w:color="auto" w:fill="FFFFFF"/>
          <w:lang w:val="zh-CN"/>
        </w:rPr>
        <w:t>（</w:t>
      </w:r>
      <w:r>
        <w:rPr>
          <w:rFonts w:hint="eastAsia" w:ascii="Times New Roman" w:hAnsi="Times New Roman" w:eastAsia="楷体_GB2312" w:cs="Times New Roman"/>
          <w:color w:val="000000"/>
          <w:kern w:val="0"/>
          <w:sz w:val="32"/>
          <w:szCs w:val="32"/>
          <w:highlight w:val="none"/>
          <w:shd w:val="clear" w:color="auto" w:fill="FFFFFF"/>
          <w:lang w:val="en-US" w:eastAsia="zh-CN"/>
        </w:rPr>
        <w:t>10分</w:t>
      </w:r>
      <w:r>
        <w:rPr>
          <w:rFonts w:hint="eastAsia" w:ascii="Times New Roman" w:hAnsi="Times New Roman" w:eastAsia="楷体_GB2312" w:cs="Times New Roman"/>
          <w:color w:val="000000"/>
          <w:kern w:val="0"/>
          <w:sz w:val="32"/>
          <w:szCs w:val="32"/>
          <w:highlight w:val="none"/>
          <w:shd w:val="clear" w:color="auto" w:fill="FFFFFF"/>
          <w:lang w:val="zh-CN"/>
        </w:rPr>
        <w:t>）</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（1）财务管理制度健全性（4分）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分析：内控制度完善，涵盖预算、收支、采购等环节。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评分：4分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（2）财务岗位设置合规性（</w:t>
      </w:r>
      <w:r>
        <w:rPr>
          <w:rFonts w:hint="default"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zh-CN" w:eastAsia="zh-CN" w:bidi="ar-SA"/>
        </w:rPr>
        <w:t xml:space="preserve">分）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分析：会计、出纳岗位分离，职责明确。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评分：</w:t>
      </w:r>
      <w:r>
        <w:rPr>
          <w:rFonts w:hint="default"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zh-CN" w:eastAsia="zh-CN" w:bidi="ar-SA"/>
        </w:rPr>
        <w:t xml:space="preserve">分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（3）资金使用规范性（</w:t>
      </w:r>
      <w:r>
        <w:rPr>
          <w:rFonts w:hint="default" w:ascii="Times New Roman" w:hAnsi="Times New Roman" w:eastAsia="仿宋_GB2312" w:cs="Times New Roman"/>
          <w:kern w:val="2"/>
          <w:sz w:val="32"/>
          <w:szCs w:val="32"/>
          <w:lang w:val="en-US" w:eastAsia="zh-CN" w:bidi="ar-SA"/>
        </w:rPr>
        <w:t>4</w:t>
      </w:r>
      <w:r>
        <w:rPr>
          <w:rFonts w:hint="default" w:ascii="Times New Roman" w:hAnsi="Times New Roman" w:eastAsia="仿宋_GB2312" w:cs="Times New Roman"/>
          <w:kern w:val="2"/>
          <w:sz w:val="32"/>
          <w:szCs w:val="32"/>
          <w:lang w:val="zh-CN" w:eastAsia="zh-CN" w:bidi="ar-SA"/>
        </w:rPr>
        <w:t xml:space="preserve">分）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分析：支出分类清晰，无违规使用资金情况。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评分：</w:t>
      </w:r>
      <w:r>
        <w:rPr>
          <w:rFonts w:hint="default" w:ascii="Times New Roman" w:hAnsi="Times New Roman" w:eastAsia="仿宋_GB2312" w:cs="Times New Roman"/>
          <w:kern w:val="2"/>
          <w:sz w:val="32"/>
          <w:szCs w:val="32"/>
          <w:lang w:val="en-US" w:eastAsia="zh-CN" w:bidi="ar-SA"/>
        </w:rPr>
        <w:t>4</w:t>
      </w:r>
      <w:r>
        <w:rPr>
          <w:rFonts w:hint="default" w:ascii="Times New Roman" w:hAnsi="Times New Roman" w:eastAsia="仿宋_GB2312" w:cs="Times New Roman"/>
          <w:kern w:val="2"/>
          <w:sz w:val="32"/>
          <w:szCs w:val="32"/>
          <w:lang w:val="zh-CN" w:eastAsia="zh-CN" w:bidi="ar-SA"/>
        </w:rPr>
        <w:t xml:space="preserve">分  </w:t>
      </w:r>
    </w:p>
    <w:p>
      <w:pPr>
        <w:keepNext w:val="0"/>
        <w:keepLines w:val="0"/>
        <w:pageBreakBefore w:val="0"/>
        <w:widowControl w:val="0"/>
        <w:kinsoku/>
        <w:wordWrap/>
        <w:overflowPunct/>
        <w:topLinePunct w:val="0"/>
        <w:autoSpaceDE/>
        <w:autoSpaceDN/>
        <w:bidi w:val="0"/>
        <w:spacing w:after="120" w:line="576" w:lineRule="exact"/>
        <w:ind w:left="0" w:leftChars="0" w:firstLine="643" w:firstLineChars="200"/>
        <w:jc w:val="both"/>
        <w:textAlignment w:val="auto"/>
        <w:outlineLvl w:val="9"/>
        <w:rPr>
          <w:rFonts w:hint="default" w:ascii="Times New Roman" w:hAnsi="Times New Roman" w:eastAsia="仿宋_GB2312" w:cs="Times New Roman"/>
          <w:b/>
          <w:bCs/>
          <w:kern w:val="2"/>
          <w:sz w:val="32"/>
          <w:szCs w:val="32"/>
          <w:lang w:val="zh-CN" w:eastAsia="zh-CN" w:bidi="ar-SA"/>
        </w:rPr>
      </w:pPr>
      <w:r>
        <w:rPr>
          <w:rFonts w:hint="default" w:ascii="Times New Roman" w:hAnsi="Times New Roman" w:eastAsia="仿宋_GB2312" w:cs="Times New Roman"/>
          <w:b/>
          <w:bCs/>
          <w:kern w:val="2"/>
          <w:sz w:val="32"/>
          <w:szCs w:val="32"/>
          <w:lang w:val="zh-CN" w:eastAsia="zh-CN" w:bidi="ar-SA"/>
        </w:rPr>
        <w:t>4. 资产管理（</w:t>
      </w:r>
      <w:r>
        <w:rPr>
          <w:rFonts w:hint="default" w:ascii="Times New Roman" w:hAnsi="Times New Roman" w:eastAsia="仿宋_GB2312" w:cs="Times New Roman"/>
          <w:b/>
          <w:bCs/>
          <w:kern w:val="2"/>
          <w:sz w:val="32"/>
          <w:szCs w:val="32"/>
          <w:lang w:val="en-US" w:eastAsia="zh-CN" w:bidi="ar-SA"/>
        </w:rPr>
        <w:t>9</w:t>
      </w:r>
      <w:r>
        <w:rPr>
          <w:rFonts w:hint="default" w:ascii="Times New Roman" w:hAnsi="Times New Roman" w:eastAsia="仿宋_GB2312" w:cs="Times New Roman"/>
          <w:b/>
          <w:bCs/>
          <w:kern w:val="2"/>
          <w:sz w:val="32"/>
          <w:szCs w:val="32"/>
          <w:lang w:val="zh-CN" w:eastAsia="zh-CN" w:bidi="ar-SA"/>
        </w:rPr>
        <w:t xml:space="preserve">分）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（1）人均资产变化率（</w:t>
      </w:r>
      <w:r>
        <w:rPr>
          <w:rFonts w:hint="default" w:ascii="Times New Roman" w:hAnsi="Times New Roman" w:eastAsia="仿宋_GB2312" w:cs="Times New Roman"/>
          <w:kern w:val="2"/>
          <w:sz w:val="32"/>
          <w:szCs w:val="32"/>
          <w:lang w:val="en-US" w:eastAsia="zh-CN" w:bidi="ar-SA"/>
        </w:rPr>
        <w:t>3</w:t>
      </w:r>
      <w:r>
        <w:rPr>
          <w:rFonts w:hint="default" w:ascii="Times New Roman" w:hAnsi="Times New Roman" w:eastAsia="仿宋_GB2312" w:cs="Times New Roman"/>
          <w:kern w:val="2"/>
          <w:sz w:val="32"/>
          <w:szCs w:val="32"/>
          <w:lang w:val="zh-CN" w:eastAsia="zh-CN" w:bidi="ar-SA"/>
        </w:rPr>
        <w:t xml:space="preserve">分）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zh-CN" w:eastAsia="zh-CN" w:bidi="ar-SA"/>
        </w:rPr>
        <w:t>分析：新增资本性支出</w:t>
      </w:r>
      <w:r>
        <w:rPr>
          <w:rFonts w:hint="eastAsia" w:ascii="Times New Roman" w:hAnsi="Times New Roman" w:eastAsia="仿宋_GB2312" w:cs="Times New Roman"/>
          <w:kern w:val="2"/>
          <w:sz w:val="32"/>
          <w:szCs w:val="32"/>
          <w:lang w:val="en-US" w:eastAsia="zh-CN" w:bidi="ar-SA"/>
        </w:rPr>
        <w:t>8.86</w:t>
      </w:r>
      <w:r>
        <w:rPr>
          <w:rFonts w:hint="default" w:ascii="Times New Roman" w:hAnsi="Times New Roman" w:eastAsia="仿宋_GB2312" w:cs="Times New Roman"/>
          <w:kern w:val="2"/>
          <w:sz w:val="32"/>
          <w:szCs w:val="32"/>
          <w:lang w:val="zh-CN" w:eastAsia="zh-CN" w:bidi="ar-SA"/>
        </w:rPr>
        <w:t>万元，</w:t>
      </w:r>
      <w:r>
        <w:rPr>
          <w:rFonts w:hint="eastAsia" w:ascii="Times New Roman" w:hAnsi="Times New Roman" w:eastAsia="仿宋_GB2312" w:cs="Times New Roman"/>
          <w:kern w:val="2"/>
          <w:sz w:val="32"/>
          <w:szCs w:val="32"/>
          <w:lang w:val="en-US" w:eastAsia="zh-CN" w:bidi="ar-SA"/>
        </w:rPr>
        <w:t>人均资产变化率0.4%。</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评分：3分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（2）资产利用率（3分）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分析：办公设备、车辆等使用正常，但未统计闲置率。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评分：3分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（3）资产盘活率（3分）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分析：未提及闲置资产处置或共享情况。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评分：2分  </w:t>
      </w:r>
    </w:p>
    <w:p>
      <w:pPr>
        <w:keepNext w:val="0"/>
        <w:keepLines w:val="0"/>
        <w:pageBreakBefore w:val="0"/>
        <w:widowControl w:val="0"/>
        <w:kinsoku/>
        <w:wordWrap/>
        <w:overflowPunct/>
        <w:topLinePunct w:val="0"/>
        <w:autoSpaceDE/>
        <w:autoSpaceDN/>
        <w:bidi w:val="0"/>
        <w:spacing w:after="120" w:line="576" w:lineRule="exact"/>
        <w:ind w:left="0" w:leftChars="0" w:firstLine="643" w:firstLineChars="200"/>
        <w:jc w:val="both"/>
        <w:textAlignment w:val="auto"/>
        <w:outlineLvl w:val="9"/>
        <w:rPr>
          <w:rFonts w:hint="default" w:ascii="Times New Roman" w:hAnsi="Times New Roman" w:eastAsia="仿宋_GB2312" w:cs="Times New Roman"/>
          <w:b/>
          <w:bCs/>
          <w:kern w:val="2"/>
          <w:sz w:val="32"/>
          <w:szCs w:val="32"/>
          <w:lang w:val="zh-CN" w:eastAsia="zh-CN" w:bidi="ar-SA"/>
        </w:rPr>
      </w:pPr>
      <w:r>
        <w:rPr>
          <w:rFonts w:hint="default" w:ascii="Times New Roman" w:hAnsi="Times New Roman" w:eastAsia="仿宋_GB2312" w:cs="Times New Roman"/>
          <w:b/>
          <w:bCs/>
          <w:kern w:val="2"/>
          <w:sz w:val="32"/>
          <w:szCs w:val="32"/>
          <w:lang w:val="zh-CN" w:eastAsia="zh-CN" w:bidi="ar-SA"/>
        </w:rPr>
        <w:t>5. 采购管理（</w:t>
      </w:r>
      <w:r>
        <w:rPr>
          <w:rFonts w:hint="default" w:ascii="Times New Roman" w:hAnsi="Times New Roman" w:eastAsia="仿宋_GB2312" w:cs="Times New Roman"/>
          <w:b/>
          <w:bCs/>
          <w:kern w:val="2"/>
          <w:sz w:val="32"/>
          <w:szCs w:val="32"/>
          <w:lang w:val="en-US" w:eastAsia="zh-CN" w:bidi="ar-SA"/>
        </w:rPr>
        <w:t>6</w:t>
      </w:r>
      <w:r>
        <w:rPr>
          <w:rFonts w:hint="default" w:ascii="Times New Roman" w:hAnsi="Times New Roman" w:eastAsia="仿宋_GB2312" w:cs="Times New Roman"/>
          <w:b/>
          <w:bCs/>
          <w:kern w:val="2"/>
          <w:sz w:val="32"/>
          <w:szCs w:val="32"/>
          <w:lang w:val="zh-CN" w:eastAsia="zh-CN" w:bidi="ar-SA"/>
        </w:rPr>
        <w:t xml:space="preserve">分） </w:t>
      </w:r>
      <w:r>
        <w:rPr>
          <w:rFonts w:hint="default" w:ascii="Times New Roman" w:hAnsi="Times New Roman" w:eastAsia="仿宋_GB2312" w:cs="Times New Roman"/>
          <w:b/>
          <w:bCs/>
          <w:kern w:val="2"/>
          <w:sz w:val="32"/>
          <w:szCs w:val="32"/>
          <w:lang w:val="en-US" w:eastAsia="zh-CN" w:bidi="ar-SA"/>
        </w:rPr>
        <w:t xml:space="preserve">  </w:t>
      </w:r>
      <w:r>
        <w:rPr>
          <w:rFonts w:hint="default" w:ascii="Times New Roman" w:hAnsi="Times New Roman" w:eastAsia="仿宋_GB2312" w:cs="Times New Roman"/>
          <w:b/>
          <w:bCs/>
          <w:kern w:val="2"/>
          <w:sz w:val="32"/>
          <w:szCs w:val="32"/>
          <w:lang w:val="zh-CN" w:eastAsia="zh-CN" w:bidi="ar-SA"/>
        </w:rPr>
        <w:t xml:space="preserve">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（1）支持中小企业发展（3分）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分析：未明确中小企业采购比例，缺乏政策落实数据。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评分：</w:t>
      </w:r>
      <w:r>
        <w:rPr>
          <w:rFonts w:hint="default" w:ascii="Times New Roman" w:hAnsi="Times New Roman" w:eastAsia="仿宋_GB2312" w:cs="Times New Roman"/>
          <w:kern w:val="2"/>
          <w:sz w:val="32"/>
          <w:szCs w:val="32"/>
          <w:lang w:val="en-US" w:eastAsia="zh-CN" w:bidi="ar-SA"/>
        </w:rPr>
        <w:t>3</w:t>
      </w:r>
      <w:r>
        <w:rPr>
          <w:rFonts w:hint="default" w:ascii="Times New Roman" w:hAnsi="Times New Roman" w:eastAsia="仿宋_GB2312" w:cs="Times New Roman"/>
          <w:kern w:val="2"/>
          <w:sz w:val="32"/>
          <w:szCs w:val="32"/>
          <w:lang w:val="zh-CN" w:eastAsia="zh-CN" w:bidi="ar-SA"/>
        </w:rPr>
        <w:t xml:space="preserve">分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（2）采购执行</w:t>
      </w:r>
      <w:r>
        <w:rPr>
          <w:rFonts w:hint="eastAsia" w:ascii="Times New Roman" w:hAnsi="Times New Roman" w:eastAsia="仿宋_GB2312" w:cs="Times New Roman"/>
          <w:kern w:val="2"/>
          <w:sz w:val="32"/>
          <w:szCs w:val="32"/>
          <w:lang w:val="en-US" w:eastAsia="zh-CN" w:bidi="ar-SA"/>
        </w:rPr>
        <w:t>率</w:t>
      </w:r>
      <w:r>
        <w:rPr>
          <w:rFonts w:hint="default" w:ascii="Times New Roman" w:hAnsi="Times New Roman" w:eastAsia="仿宋_GB2312" w:cs="Times New Roman"/>
          <w:kern w:val="2"/>
          <w:sz w:val="32"/>
          <w:szCs w:val="32"/>
          <w:lang w:val="zh-CN" w:eastAsia="zh-CN" w:bidi="ar-SA"/>
        </w:rPr>
        <w:t>（</w:t>
      </w:r>
      <w:r>
        <w:rPr>
          <w:rFonts w:hint="default" w:ascii="Times New Roman" w:hAnsi="Times New Roman" w:eastAsia="仿宋_GB2312" w:cs="Times New Roman"/>
          <w:kern w:val="2"/>
          <w:sz w:val="32"/>
          <w:szCs w:val="32"/>
          <w:lang w:val="en-US" w:eastAsia="zh-CN" w:bidi="ar-SA"/>
        </w:rPr>
        <w:t>3</w:t>
      </w:r>
      <w:r>
        <w:rPr>
          <w:rFonts w:hint="default" w:ascii="Times New Roman" w:hAnsi="Times New Roman" w:eastAsia="仿宋_GB2312" w:cs="Times New Roman"/>
          <w:kern w:val="2"/>
          <w:sz w:val="32"/>
          <w:szCs w:val="32"/>
          <w:lang w:val="zh-CN" w:eastAsia="zh-CN" w:bidi="ar-SA"/>
        </w:rPr>
        <w:t xml:space="preserve">分）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分析：全年采购计划完成率100%，流程合规。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评分：</w:t>
      </w:r>
      <w:r>
        <w:rPr>
          <w:rFonts w:hint="default" w:ascii="Times New Roman" w:hAnsi="Times New Roman" w:eastAsia="仿宋_GB2312" w:cs="Times New Roman"/>
          <w:kern w:val="2"/>
          <w:sz w:val="32"/>
          <w:szCs w:val="32"/>
          <w:lang w:val="en-US" w:eastAsia="zh-CN" w:bidi="ar-SA"/>
        </w:rPr>
        <w:t>3</w:t>
      </w:r>
      <w:r>
        <w:rPr>
          <w:rFonts w:hint="default" w:ascii="Times New Roman" w:hAnsi="Times New Roman" w:eastAsia="仿宋_GB2312" w:cs="Times New Roman"/>
          <w:kern w:val="2"/>
          <w:sz w:val="32"/>
          <w:szCs w:val="32"/>
          <w:lang w:val="zh-CN" w:eastAsia="zh-CN" w:bidi="ar-SA"/>
        </w:rPr>
        <w:t xml:space="preserve">分  </w:t>
      </w:r>
    </w:p>
    <w:p>
      <w:pPr>
        <w:keepNext w:val="0"/>
        <w:keepLines w:val="0"/>
        <w:pageBreakBefore w:val="0"/>
        <w:widowControl w:val="0"/>
        <w:kinsoku/>
        <w:wordWrap/>
        <w:overflowPunct/>
        <w:topLinePunct w:val="0"/>
        <w:autoSpaceDE/>
        <w:autoSpaceDN/>
        <w:bidi w:val="0"/>
        <w:spacing w:after="120" w:line="576" w:lineRule="exact"/>
        <w:ind w:left="0" w:leftChars="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总体绩效自评得分汇总</w:t>
      </w:r>
    </w:p>
    <w:p>
      <w:pPr>
        <w:keepNext w:val="0"/>
        <w:keepLines w:val="0"/>
        <w:pageBreakBefore w:val="0"/>
        <w:widowControl w:val="0"/>
        <w:kinsoku/>
        <w:wordWrap/>
        <w:overflowPunct/>
        <w:topLinePunct w:val="0"/>
        <w:autoSpaceDE/>
        <w:autoSpaceDN/>
        <w:bidi w:val="0"/>
        <w:spacing w:after="120" w:line="576" w:lineRule="exact"/>
        <w:ind w:leftChars="20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一级指标 | 分值 | 自评得分 | 得分率 |</w:t>
      </w:r>
    </w:p>
    <w:p>
      <w:pPr>
        <w:keepNext w:val="0"/>
        <w:keepLines w:val="0"/>
        <w:pageBreakBefore w:val="0"/>
        <w:widowControl w:val="0"/>
        <w:kinsoku/>
        <w:wordWrap/>
        <w:overflowPunct/>
        <w:topLinePunct w:val="0"/>
        <w:autoSpaceDE/>
        <w:autoSpaceDN/>
        <w:bidi w:val="0"/>
        <w:spacing w:after="120" w:line="576" w:lineRule="exact"/>
        <w:ind w:leftChars="20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w:t>
      </w:r>
    </w:p>
    <w:p>
      <w:pPr>
        <w:keepNext w:val="0"/>
        <w:keepLines w:val="0"/>
        <w:pageBreakBefore w:val="0"/>
        <w:widowControl w:val="0"/>
        <w:kinsoku/>
        <w:wordWrap/>
        <w:overflowPunct/>
        <w:topLinePunct w:val="0"/>
        <w:autoSpaceDE/>
        <w:autoSpaceDN/>
        <w:bidi w:val="0"/>
        <w:spacing w:after="120" w:line="576" w:lineRule="exact"/>
        <w:ind w:leftChars="20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 履职效能 |  15  |    </w:t>
      </w:r>
      <w:r>
        <w:rPr>
          <w:rFonts w:hint="eastAsia" w:ascii="Times New Roman" w:hAnsi="Times New Roman" w:eastAsia="仿宋_GB2312" w:cs="Times New Roman"/>
          <w:kern w:val="2"/>
          <w:sz w:val="32"/>
          <w:szCs w:val="32"/>
          <w:lang w:val="en-US" w:eastAsia="zh-CN" w:bidi="ar-SA"/>
        </w:rPr>
        <w:t>15</w:t>
      </w:r>
      <w:r>
        <w:rPr>
          <w:rFonts w:hint="default" w:ascii="Times New Roman" w:hAnsi="Times New Roman" w:eastAsia="仿宋_GB2312" w:cs="Times New Roman"/>
          <w:kern w:val="2"/>
          <w:sz w:val="32"/>
          <w:szCs w:val="32"/>
          <w:lang w:val="zh-CN" w:eastAsia="zh-CN" w:bidi="ar-SA"/>
        </w:rPr>
        <w:t xml:space="preserve">   </w:t>
      </w:r>
      <w:r>
        <w:rPr>
          <w:rFonts w:hint="eastAsia"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zh-CN" w:eastAsia="zh-CN" w:bidi="ar-SA"/>
        </w:rPr>
        <w:t>|</w:t>
      </w:r>
      <w:r>
        <w:rPr>
          <w:rFonts w:hint="default" w:ascii="Times New Roman" w:hAnsi="Times New Roman" w:eastAsia="仿宋_GB2312" w:cs="Times New Roman"/>
          <w:kern w:val="2"/>
          <w:sz w:val="32"/>
          <w:szCs w:val="32"/>
          <w:lang w:val="en-US" w:eastAsia="zh-CN" w:bidi="ar-SA"/>
        </w:rPr>
        <w:t xml:space="preserve"> </w:t>
      </w:r>
      <w:r>
        <w:rPr>
          <w:rFonts w:hint="eastAsia" w:ascii="Times New Roman" w:hAnsi="Times New Roman" w:eastAsia="仿宋_GB2312" w:cs="Times New Roman"/>
          <w:kern w:val="2"/>
          <w:sz w:val="32"/>
          <w:szCs w:val="32"/>
          <w:lang w:val="en-US" w:eastAsia="zh-CN" w:bidi="ar-SA"/>
        </w:rPr>
        <w:t xml:space="preserve"> 100</w:t>
      </w:r>
      <w:r>
        <w:rPr>
          <w:rFonts w:hint="default" w:ascii="Times New Roman" w:hAnsi="Times New Roman"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zh-CN" w:eastAsia="zh-CN" w:bidi="ar-SA"/>
        </w:rPr>
        <w:t>|</w:t>
      </w:r>
    </w:p>
    <w:p>
      <w:pPr>
        <w:keepNext w:val="0"/>
        <w:keepLines w:val="0"/>
        <w:pageBreakBefore w:val="0"/>
        <w:widowControl w:val="0"/>
        <w:kinsoku/>
        <w:wordWrap/>
        <w:overflowPunct/>
        <w:topLinePunct w:val="0"/>
        <w:autoSpaceDE/>
        <w:autoSpaceDN/>
        <w:bidi w:val="0"/>
        <w:spacing w:after="120" w:line="576" w:lineRule="exact"/>
        <w:ind w:leftChars="20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预算管理 |  25  |    2</w:t>
      </w:r>
      <w:r>
        <w:rPr>
          <w:rFonts w:hint="default"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zh-CN" w:eastAsia="zh-CN" w:bidi="ar-SA"/>
        </w:rPr>
        <w:t xml:space="preserve">    | </w:t>
      </w:r>
      <w:r>
        <w:rPr>
          <w:rFonts w:hint="default" w:ascii="Times New Roman" w:hAnsi="Times New Roman" w:eastAsia="仿宋_GB2312" w:cs="Times New Roman"/>
          <w:kern w:val="2"/>
          <w:sz w:val="32"/>
          <w:szCs w:val="32"/>
          <w:lang w:val="en-US" w:eastAsia="zh-CN" w:bidi="ar-SA"/>
        </w:rPr>
        <w:t xml:space="preserve"> 88</w:t>
      </w:r>
      <w:r>
        <w:rPr>
          <w:rFonts w:hint="default" w:ascii="Times New Roman" w:hAnsi="Times New Roman" w:eastAsia="仿宋_GB2312" w:cs="Times New Roman"/>
          <w:kern w:val="2"/>
          <w:sz w:val="32"/>
          <w:szCs w:val="32"/>
          <w:lang w:val="zh-CN" w:eastAsia="zh-CN" w:bidi="ar-SA"/>
        </w:rPr>
        <w:t>%  |</w:t>
      </w:r>
    </w:p>
    <w:p>
      <w:pPr>
        <w:keepNext w:val="0"/>
        <w:keepLines w:val="0"/>
        <w:pageBreakBefore w:val="0"/>
        <w:widowControl w:val="0"/>
        <w:kinsoku/>
        <w:wordWrap/>
        <w:overflowPunct/>
        <w:topLinePunct w:val="0"/>
        <w:autoSpaceDE/>
        <w:autoSpaceDN/>
        <w:bidi w:val="0"/>
        <w:spacing w:after="120" w:line="576" w:lineRule="exact"/>
        <w:ind w:leftChars="20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0"/>
          <w:sz w:val="32"/>
          <w:szCs w:val="32"/>
          <w:lang w:val="zh-CN" w:eastAsia="zh-CN" w:bidi="ar-SA"/>
        </w:rPr>
        <w:t xml:space="preserve">| 财务管理 |  10  |    10    | </w:t>
      </w:r>
      <w:r>
        <w:rPr>
          <w:rFonts w:hint="default" w:ascii="Times New Roman" w:hAnsi="Times New Roman" w:eastAsia="仿宋_GB2312" w:cs="Times New Roman"/>
          <w:kern w:val="0"/>
          <w:sz w:val="32"/>
          <w:szCs w:val="32"/>
          <w:lang w:val="en-US" w:eastAsia="zh-CN" w:bidi="ar-SA"/>
        </w:rPr>
        <w:t xml:space="preserve"> </w:t>
      </w:r>
      <w:r>
        <w:rPr>
          <w:rFonts w:hint="default" w:ascii="Times New Roman" w:hAnsi="Times New Roman" w:eastAsia="仿宋_GB2312" w:cs="Times New Roman"/>
          <w:kern w:val="0"/>
          <w:sz w:val="32"/>
          <w:szCs w:val="32"/>
          <w:lang w:val="zh-CN" w:eastAsia="zh-CN" w:bidi="ar-SA"/>
        </w:rPr>
        <w:t>100%</w:t>
      </w:r>
      <w:r>
        <w:rPr>
          <w:rFonts w:hint="eastAsia" w:ascii="Times New Roman" w:hAnsi="Times New Roman" w:eastAsia="仿宋_GB2312" w:cs="Times New Roman"/>
          <w:kern w:val="0"/>
          <w:sz w:val="32"/>
          <w:szCs w:val="32"/>
          <w:lang w:val="en-US" w:eastAsia="zh-CN" w:bidi="ar-SA"/>
        </w:rPr>
        <w:t xml:space="preserve"> </w:t>
      </w:r>
      <w:r>
        <w:rPr>
          <w:rFonts w:hint="default" w:ascii="Times New Roman" w:hAnsi="Times New Roman" w:eastAsia="仿宋_GB2312" w:cs="Times New Roman"/>
          <w:kern w:val="0"/>
          <w:sz w:val="32"/>
          <w:szCs w:val="32"/>
          <w:lang w:val="zh-CN" w:eastAsia="zh-CN" w:bidi="ar-SA"/>
        </w:rPr>
        <w:t xml:space="preserve"> |</w:t>
      </w:r>
    </w:p>
    <w:p>
      <w:pPr>
        <w:keepNext w:val="0"/>
        <w:keepLines w:val="0"/>
        <w:pageBreakBefore w:val="0"/>
        <w:widowControl w:val="0"/>
        <w:kinsoku/>
        <w:wordWrap/>
        <w:overflowPunct/>
        <w:topLinePunct w:val="0"/>
        <w:autoSpaceDE/>
        <w:autoSpaceDN/>
        <w:bidi w:val="0"/>
        <w:spacing w:after="120" w:line="576" w:lineRule="exact"/>
        <w:ind w:leftChars="20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 资产管理 |  </w:t>
      </w:r>
      <w:r>
        <w:rPr>
          <w:rFonts w:hint="eastAsia" w:ascii="Times New Roman" w:hAnsi="Times New Roman" w:eastAsia="仿宋_GB2312" w:cs="Times New Roman"/>
          <w:kern w:val="2"/>
          <w:sz w:val="32"/>
          <w:szCs w:val="32"/>
          <w:lang w:val="en-US" w:eastAsia="zh-CN" w:bidi="ar-SA"/>
        </w:rPr>
        <w:t>9</w:t>
      </w: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zh-CN" w:eastAsia="zh-CN" w:bidi="ar-SA"/>
        </w:rPr>
        <w:t xml:space="preserve"> |    </w:t>
      </w:r>
      <w:r>
        <w:rPr>
          <w:rFonts w:hint="eastAsia" w:ascii="Times New Roman" w:hAnsi="Times New Roman" w:eastAsia="仿宋_GB2312" w:cs="Times New Roman"/>
          <w:kern w:val="2"/>
          <w:sz w:val="32"/>
          <w:szCs w:val="32"/>
          <w:lang w:val="en-US" w:eastAsia="zh-CN" w:bidi="ar-SA"/>
        </w:rPr>
        <w:t>9</w:t>
      </w:r>
      <w:r>
        <w:rPr>
          <w:rFonts w:hint="default" w:ascii="Times New Roman" w:hAnsi="Times New Roman" w:eastAsia="仿宋_GB2312" w:cs="Times New Roman"/>
          <w:kern w:val="2"/>
          <w:sz w:val="32"/>
          <w:szCs w:val="32"/>
          <w:lang w:val="zh-CN" w:eastAsia="zh-CN" w:bidi="ar-SA"/>
        </w:rPr>
        <w:t xml:space="preserve">    | </w:t>
      </w:r>
      <w:r>
        <w:rPr>
          <w:rFonts w:hint="default" w:ascii="Times New Roman" w:hAnsi="Times New Roman" w:eastAsia="仿宋_GB2312" w:cs="Times New Roman"/>
          <w:kern w:val="2"/>
          <w:sz w:val="32"/>
          <w:szCs w:val="32"/>
          <w:lang w:val="en-US" w:eastAsia="zh-CN" w:bidi="ar-SA"/>
        </w:rPr>
        <w:t xml:space="preserve"> 100</w:t>
      </w:r>
      <w:r>
        <w:rPr>
          <w:rFonts w:hint="default" w:ascii="Times New Roman" w:hAnsi="Times New Roman" w:eastAsia="仿宋_GB2312" w:cs="Times New Roman"/>
          <w:kern w:val="2"/>
          <w:sz w:val="32"/>
          <w:szCs w:val="32"/>
          <w:lang w:val="zh-CN" w:eastAsia="zh-CN" w:bidi="ar-SA"/>
        </w:rPr>
        <w:t>%</w:t>
      </w:r>
      <w:r>
        <w:rPr>
          <w:rFonts w:hint="eastAsia"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zh-CN" w:eastAsia="zh-CN" w:bidi="ar-SA"/>
        </w:rPr>
        <w:t xml:space="preserve"> |</w:t>
      </w:r>
    </w:p>
    <w:p>
      <w:pPr>
        <w:keepNext w:val="0"/>
        <w:keepLines w:val="0"/>
        <w:pageBreakBefore w:val="0"/>
        <w:widowControl w:val="0"/>
        <w:kinsoku/>
        <w:wordWrap/>
        <w:overflowPunct/>
        <w:topLinePunct w:val="0"/>
        <w:autoSpaceDE/>
        <w:autoSpaceDN/>
        <w:bidi w:val="0"/>
        <w:spacing w:after="120" w:line="576" w:lineRule="exact"/>
        <w:ind w:leftChars="20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 采购管理 |  </w:t>
      </w:r>
      <w:r>
        <w:rPr>
          <w:rFonts w:hint="default" w:ascii="Times New Roman" w:hAnsi="Times New Roman" w:eastAsia="仿宋_GB2312" w:cs="Times New Roman"/>
          <w:kern w:val="2"/>
          <w:sz w:val="32"/>
          <w:szCs w:val="32"/>
          <w:lang w:val="en-US" w:eastAsia="zh-CN" w:bidi="ar-SA"/>
        </w:rPr>
        <w:t>6</w:t>
      </w:r>
      <w:r>
        <w:rPr>
          <w:rFonts w:hint="default" w:ascii="Times New Roman" w:hAnsi="Times New Roman" w:eastAsia="仿宋_GB2312" w:cs="Times New Roman"/>
          <w:kern w:val="2"/>
          <w:sz w:val="32"/>
          <w:szCs w:val="32"/>
          <w:lang w:val="zh-CN" w:eastAsia="zh-CN" w:bidi="ar-SA"/>
        </w:rPr>
        <w:t xml:space="preserve">   |   </w:t>
      </w:r>
      <w:r>
        <w:rPr>
          <w:rFonts w:hint="eastAsia" w:ascii="Times New Roman" w:hAnsi="Times New Roman" w:eastAsia="仿宋_GB2312" w:cs="Times New Roman"/>
          <w:kern w:val="2"/>
          <w:sz w:val="32"/>
          <w:szCs w:val="32"/>
          <w:lang w:val="en-US" w:eastAsia="zh-CN" w:bidi="ar-SA"/>
        </w:rPr>
        <w:t>5</w:t>
      </w:r>
      <w:r>
        <w:rPr>
          <w:rFonts w:hint="default" w:ascii="Times New Roman" w:hAnsi="Times New Roman" w:eastAsia="仿宋_GB2312" w:cs="Times New Roman"/>
          <w:kern w:val="2"/>
          <w:sz w:val="32"/>
          <w:szCs w:val="32"/>
          <w:lang w:val="zh-CN" w:eastAsia="zh-CN" w:bidi="ar-SA"/>
        </w:rPr>
        <w:t xml:space="preserve">    | </w:t>
      </w:r>
      <w:r>
        <w:rPr>
          <w:rFonts w:hint="default" w:ascii="Times New Roman" w:hAnsi="Times New Roman" w:eastAsia="仿宋_GB2312" w:cs="Times New Roman"/>
          <w:kern w:val="2"/>
          <w:sz w:val="32"/>
          <w:szCs w:val="32"/>
          <w:lang w:val="en-US" w:eastAsia="zh-CN" w:bidi="ar-SA"/>
        </w:rPr>
        <w:t xml:space="preserve"> </w:t>
      </w:r>
      <w:r>
        <w:rPr>
          <w:rFonts w:hint="eastAsia"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zh-CN" w:eastAsia="zh-CN" w:bidi="ar-SA"/>
        </w:rPr>
        <w:t>8</w:t>
      </w:r>
      <w:r>
        <w:rPr>
          <w:rFonts w:hint="default" w:ascii="Times New Roman" w:hAnsi="Times New Roman" w:eastAsia="仿宋_GB2312" w:cs="Times New Roman"/>
          <w:kern w:val="2"/>
          <w:sz w:val="32"/>
          <w:szCs w:val="32"/>
          <w:lang w:val="en-US" w:eastAsia="zh-CN" w:bidi="ar-SA"/>
        </w:rPr>
        <w:t>3</w:t>
      </w:r>
      <w:r>
        <w:rPr>
          <w:rFonts w:hint="default" w:ascii="Times New Roman" w:hAnsi="Times New Roman" w:eastAsia="仿宋_GB2312" w:cs="Times New Roman"/>
          <w:kern w:val="2"/>
          <w:sz w:val="32"/>
          <w:szCs w:val="32"/>
          <w:lang w:val="zh-CN" w:eastAsia="zh-CN" w:bidi="ar-SA"/>
        </w:rPr>
        <w:t xml:space="preserve">% </w:t>
      </w:r>
      <w:r>
        <w:rPr>
          <w:rFonts w:hint="eastAsia"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zh-CN" w:eastAsia="zh-CN" w:bidi="ar-SA"/>
        </w:rPr>
        <w:t>|</w:t>
      </w:r>
    </w:p>
    <w:p>
      <w:pPr>
        <w:keepNext w:val="0"/>
        <w:keepLines w:val="0"/>
        <w:pageBreakBefore w:val="0"/>
        <w:widowControl w:val="0"/>
        <w:kinsoku/>
        <w:wordWrap/>
        <w:overflowPunct/>
        <w:topLinePunct w:val="0"/>
        <w:autoSpaceDE/>
        <w:autoSpaceDN/>
        <w:bidi w:val="0"/>
        <w:spacing w:after="120" w:line="576" w:lineRule="exact"/>
        <w:ind w:leftChars="200" w:firstLine="640" w:firstLineChars="200"/>
        <w:jc w:val="both"/>
        <w:textAlignment w:val="auto"/>
        <w:outlineLvl w:val="9"/>
        <w:rPr>
          <w:rFonts w:hint="default" w:ascii="Times New Roman" w:hAnsi="Times New Roman" w:eastAsia="仿宋_GB2312" w:cs="Times New Roman"/>
          <w:kern w:val="2"/>
          <w:sz w:val="32"/>
          <w:szCs w:val="32"/>
          <w:lang w:val="zh-CN" w:eastAsia="zh-CN" w:bidi="ar-SA"/>
        </w:rPr>
      </w:pPr>
      <w:r>
        <w:rPr>
          <w:rFonts w:hint="default" w:ascii="Times New Roman" w:hAnsi="Times New Roman" w:eastAsia="仿宋_GB2312" w:cs="Times New Roman"/>
          <w:kern w:val="2"/>
          <w:sz w:val="32"/>
          <w:szCs w:val="32"/>
          <w:lang w:val="zh-CN" w:eastAsia="zh-CN" w:bidi="ar-SA"/>
        </w:rPr>
        <w:t xml:space="preserve">| </w:t>
      </w: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zh-CN" w:eastAsia="zh-CN" w:bidi="ar-SA"/>
        </w:rPr>
        <w:t>合计</w:t>
      </w: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zh-CN" w:eastAsia="zh-CN" w:bidi="ar-SA"/>
        </w:rPr>
        <w:t xml:space="preserve">| </w:t>
      </w:r>
      <w:r>
        <w:rPr>
          <w:rFonts w:hint="default" w:ascii="Times New Roman" w:hAnsi="Times New Roman" w:eastAsia="仿宋_GB2312" w:cs="Times New Roman"/>
          <w:kern w:val="2"/>
          <w:sz w:val="32"/>
          <w:szCs w:val="32"/>
          <w:lang w:val="en-US" w:eastAsia="zh-CN" w:bidi="ar-SA"/>
        </w:rPr>
        <w:t xml:space="preserve"> </w:t>
      </w:r>
      <w:r>
        <w:rPr>
          <w:rFonts w:hint="eastAsia" w:ascii="Times New Roman" w:hAnsi="Times New Roman" w:eastAsia="仿宋_GB2312" w:cs="Times New Roman"/>
          <w:kern w:val="2"/>
          <w:sz w:val="32"/>
          <w:szCs w:val="32"/>
          <w:lang w:val="en-US" w:eastAsia="zh-CN" w:bidi="ar-SA"/>
        </w:rPr>
        <w:t>65</w:t>
      </w: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zh-CN" w:eastAsia="zh-CN" w:bidi="ar-SA"/>
        </w:rPr>
        <w:t xml:space="preserve"> | </w:t>
      </w:r>
      <w:r>
        <w:rPr>
          <w:rFonts w:hint="default" w:ascii="Times New Roman" w:hAnsi="Times New Roman" w:eastAsia="仿宋_GB2312" w:cs="Times New Roman"/>
          <w:kern w:val="2"/>
          <w:sz w:val="32"/>
          <w:szCs w:val="32"/>
          <w:lang w:val="en-US" w:eastAsia="zh-CN" w:bidi="ar-SA"/>
        </w:rPr>
        <w:t xml:space="preserve">   </w:t>
      </w:r>
      <w:r>
        <w:rPr>
          <w:rFonts w:hint="eastAsia" w:ascii="Times New Roman" w:hAnsi="Times New Roman" w:eastAsia="仿宋_GB2312" w:cs="Times New Roman"/>
          <w:kern w:val="2"/>
          <w:sz w:val="32"/>
          <w:szCs w:val="32"/>
          <w:lang w:val="en-US" w:eastAsia="zh-CN" w:bidi="ar-SA"/>
        </w:rPr>
        <w:t>61</w:t>
      </w: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zh-CN" w:eastAsia="zh-CN" w:bidi="ar-SA"/>
        </w:rPr>
        <w:t xml:space="preserve">| </w:t>
      </w:r>
      <w:r>
        <w:rPr>
          <w:rFonts w:hint="default" w:ascii="Times New Roman" w:hAnsi="Times New Roman" w:eastAsia="仿宋_GB2312" w:cs="Times New Roman"/>
          <w:kern w:val="2"/>
          <w:sz w:val="32"/>
          <w:szCs w:val="32"/>
          <w:lang w:val="en-US" w:eastAsia="zh-CN" w:bidi="ar-SA"/>
        </w:rPr>
        <w:t xml:space="preserve"> </w:t>
      </w:r>
      <w:r>
        <w:rPr>
          <w:rFonts w:hint="eastAsia" w:ascii="Times New Roman" w:hAnsi="Times New Roman" w:eastAsia="仿宋_GB2312" w:cs="Times New Roman"/>
          <w:kern w:val="2"/>
          <w:sz w:val="32"/>
          <w:szCs w:val="32"/>
          <w:lang w:val="en-US" w:eastAsia="zh-CN" w:bidi="ar-SA"/>
        </w:rPr>
        <w:t>93.84</w:t>
      </w:r>
      <w:r>
        <w:rPr>
          <w:rFonts w:hint="default" w:ascii="Times New Roman" w:hAnsi="Times New Roman" w:eastAsia="仿宋_GB2312" w:cs="Times New Roman"/>
          <w:kern w:val="2"/>
          <w:sz w:val="32"/>
          <w:szCs w:val="32"/>
          <w:lang w:val="zh-CN" w:eastAsia="zh-CN" w:bidi="ar-SA"/>
        </w:rPr>
        <w:t>%</w:t>
      </w: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zh-CN" w:eastAsia="zh-CN" w:bidi="ar-SA"/>
        </w:rPr>
        <w:t>|</w:t>
      </w:r>
    </w:p>
    <w:p>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rPr>
      </w:pPr>
      <w:r>
        <w:rPr>
          <w:rFonts w:hint="eastAsia" w:ascii="Times New Roman" w:hAnsi="Times New Roman" w:eastAsia="仿宋_GB2312" w:cs="Times New Roman"/>
          <w:b/>
          <w:bCs/>
          <w:color w:val="000000"/>
          <w:kern w:val="0"/>
          <w:sz w:val="32"/>
          <w:szCs w:val="32"/>
          <w:highlight w:val="none"/>
          <w:shd w:val="clear" w:color="auto" w:fill="FFFFFF"/>
          <w:lang w:val="en-US" w:eastAsia="zh-CN"/>
        </w:rPr>
        <w:t>1.</w:t>
      </w:r>
      <w:r>
        <w:rPr>
          <w:rFonts w:hint="default" w:ascii="Times New Roman" w:hAnsi="Times New Roman" w:eastAsia="仿宋_GB2312" w:cs="Times New Roman"/>
          <w:b/>
          <w:bCs/>
          <w:color w:val="000000"/>
          <w:kern w:val="0"/>
          <w:sz w:val="32"/>
          <w:szCs w:val="32"/>
          <w:highlight w:val="none"/>
          <w:shd w:val="clear" w:color="auto" w:fill="FFFFFF"/>
          <w:lang w:val="en-US" w:eastAsia="zh-CN"/>
        </w:rPr>
        <w:t>常年项目绩效分析。</w:t>
      </w:r>
      <w:r>
        <w:rPr>
          <w:rFonts w:hint="default" w:ascii="Times New Roman" w:hAnsi="Times New Roman" w:eastAsia="仿宋_GB2312" w:cs="Times New Roman"/>
          <w:color w:val="000000"/>
          <w:kern w:val="0"/>
          <w:sz w:val="32"/>
          <w:szCs w:val="32"/>
          <w:highlight w:val="none"/>
          <w:shd w:val="clear" w:color="auto" w:fill="FFFFFF"/>
          <w:lang w:val="zh-CN" w:eastAsia="zh-CN"/>
        </w:rPr>
        <w:t>该类项目总数</w:t>
      </w:r>
      <w:r>
        <w:rPr>
          <w:rFonts w:hint="eastAsia"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lang w:val="zh-CN" w:eastAsia="zh-CN"/>
        </w:rPr>
        <w:t>个，涉及预算总金额</w:t>
      </w:r>
      <w:r>
        <w:rPr>
          <w:rFonts w:hint="default" w:ascii="Times New Roman" w:hAnsi="Times New Roman" w:eastAsia="仿宋_GB2312" w:cs="Times New Roman"/>
          <w:color w:val="000000"/>
          <w:kern w:val="0"/>
          <w:sz w:val="32"/>
          <w:szCs w:val="32"/>
          <w:highlight w:val="none"/>
          <w:shd w:val="clear" w:color="auto" w:fill="FFFFFF"/>
          <w:lang w:val="en-US" w:eastAsia="zh-CN"/>
        </w:rPr>
        <w:t xml:space="preserve">   </w:t>
      </w:r>
      <w:r>
        <w:rPr>
          <w:rFonts w:hint="eastAsia" w:ascii="Times New Roman" w:hAnsi="Times New Roman" w:eastAsia="仿宋_GB2312" w:cs="Times New Roman"/>
          <w:color w:val="000000"/>
          <w:kern w:val="0"/>
          <w:sz w:val="32"/>
          <w:szCs w:val="32"/>
          <w:highlight w:val="none"/>
          <w:shd w:val="clear" w:color="auto" w:fill="FFFFFF"/>
          <w:lang w:val="en-US" w:eastAsia="zh-CN"/>
        </w:rPr>
        <w:t>115.75</w:t>
      </w:r>
      <w:r>
        <w:rPr>
          <w:rFonts w:hint="default" w:ascii="Times New Roman" w:hAnsi="Times New Roman" w:eastAsia="仿宋_GB2312" w:cs="Times New Roman"/>
          <w:color w:val="000000"/>
          <w:kern w:val="0"/>
          <w:sz w:val="32"/>
          <w:szCs w:val="32"/>
          <w:highlight w:val="none"/>
          <w:shd w:val="clear" w:color="auto" w:fill="FFFFFF"/>
          <w:lang w:val="zh-CN" w:eastAsia="zh-CN"/>
        </w:rPr>
        <w:t>万元，</w:t>
      </w:r>
      <w:r>
        <w:rPr>
          <w:rFonts w:hint="default" w:ascii="Times New Roman" w:hAnsi="Times New Roman" w:eastAsia="仿宋_GB2312" w:cs="Times New Roman"/>
          <w:color w:val="000000"/>
          <w:kern w:val="0"/>
          <w:sz w:val="32"/>
          <w:szCs w:val="32"/>
          <w:highlight w:val="none"/>
          <w:shd w:val="clear" w:color="auto" w:fill="FFFFFF"/>
          <w:lang w:val="zh-CN"/>
        </w:rPr>
        <w:t>1</w:t>
      </w:r>
      <w:r>
        <w:rPr>
          <w:rFonts w:hint="eastAsia"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1</w:t>
      </w:r>
      <w:r>
        <w:rPr>
          <w:rFonts w:hint="default" w:ascii="Times New Roman" w:hAnsi="Times New Roman" w:eastAsia="仿宋_GB2312" w:cs="Times New Roman"/>
          <w:color w:val="000000"/>
          <w:kern w:val="0"/>
          <w:sz w:val="32"/>
          <w:szCs w:val="32"/>
          <w:highlight w:val="none"/>
          <w:shd w:val="clear" w:color="auto" w:fill="FFFFFF"/>
          <w:lang w:val="en-US" w:eastAsia="zh-CN"/>
        </w:rPr>
        <w:t>2</w:t>
      </w:r>
      <w:r>
        <w:rPr>
          <w:rFonts w:hint="default" w:ascii="Times New Roman" w:hAnsi="Times New Roman" w:eastAsia="仿宋_GB2312" w:cs="Times New Roman"/>
          <w:color w:val="000000"/>
          <w:kern w:val="0"/>
          <w:sz w:val="32"/>
          <w:szCs w:val="32"/>
          <w:highlight w:val="none"/>
          <w:shd w:val="clear" w:color="auto" w:fill="FFFFFF"/>
          <w:lang w:val="zh-CN"/>
        </w:rPr>
        <w:t>月预算执行总体进度为</w:t>
      </w:r>
      <w:r>
        <w:rPr>
          <w:rFonts w:hint="eastAsia" w:ascii="Times New Roman" w:hAnsi="Times New Roman" w:eastAsia="仿宋_GB2312" w:cs="Times New Roman"/>
          <w:color w:val="000000"/>
          <w:kern w:val="0"/>
          <w:sz w:val="32"/>
          <w:szCs w:val="32"/>
          <w:highlight w:val="none"/>
          <w:shd w:val="clear" w:color="auto" w:fill="FFFFFF"/>
          <w:lang w:val="en-US" w:eastAsia="zh-CN"/>
        </w:rPr>
        <w:t>99.67</w:t>
      </w:r>
      <w:r>
        <w:rPr>
          <w:rFonts w:hint="default" w:ascii="Times New Roman" w:hAnsi="Times New Roman" w:eastAsia="仿宋_GB2312" w:cs="Times New Roman"/>
          <w:color w:val="000000"/>
          <w:kern w:val="0"/>
          <w:sz w:val="32"/>
          <w:szCs w:val="32"/>
          <w:highlight w:val="none"/>
          <w:shd w:val="clear" w:color="auto" w:fill="FFFFFF"/>
          <w:lang w:val="zh-CN"/>
        </w:rPr>
        <w:t>%，其中：</w:t>
      </w:r>
      <w:r>
        <w:rPr>
          <w:rFonts w:hint="default" w:ascii="Times New Roman" w:hAnsi="Times New Roman" w:eastAsia="仿宋_GB2312" w:cs="Times New Roman"/>
          <w:color w:val="000000"/>
          <w:kern w:val="0"/>
          <w:sz w:val="32"/>
          <w:szCs w:val="32"/>
          <w:highlight w:val="none"/>
          <w:shd w:val="clear" w:color="auto" w:fill="FFFFFF"/>
          <w:lang w:val="zh-CN" w:eastAsia="zh-CN"/>
        </w:rPr>
        <w:t>预算结余率大于</w:t>
      </w:r>
      <w:r>
        <w:rPr>
          <w:rFonts w:hint="default" w:ascii="Times New Roman" w:hAnsi="Times New Roman" w:eastAsia="仿宋_GB2312" w:cs="Times New Roman"/>
          <w:color w:val="000000"/>
          <w:kern w:val="0"/>
          <w:sz w:val="32"/>
          <w:szCs w:val="32"/>
          <w:highlight w:val="none"/>
          <w:shd w:val="clear" w:color="auto" w:fill="FFFFFF"/>
          <w:lang w:val="en-US" w:eastAsia="zh-CN"/>
        </w:rPr>
        <w:t>10%</w:t>
      </w:r>
      <w:r>
        <w:rPr>
          <w:rFonts w:hint="default" w:ascii="Times New Roman" w:hAnsi="Times New Roman" w:eastAsia="仿宋_GB2312" w:cs="Times New Roman"/>
          <w:color w:val="000000"/>
          <w:kern w:val="0"/>
          <w:sz w:val="32"/>
          <w:szCs w:val="32"/>
          <w:highlight w:val="none"/>
          <w:shd w:val="clear" w:color="auto" w:fill="FFFFFF"/>
          <w:lang w:val="zh-CN" w:eastAsia="zh-CN"/>
        </w:rPr>
        <w:t>的项目共计</w:t>
      </w:r>
      <w:r>
        <w:rPr>
          <w:rFonts w:hint="eastAsia" w:ascii="Times New Roman" w:hAnsi="Times New Roman" w:eastAsia="仿宋_GB2312" w:cs="Times New Roman"/>
          <w:color w:val="000000"/>
          <w:kern w:val="0"/>
          <w:sz w:val="32"/>
          <w:szCs w:val="32"/>
          <w:highlight w:val="none"/>
          <w:shd w:val="clear" w:color="auto" w:fill="FFFFFF"/>
          <w:lang w:val="en-US" w:eastAsia="zh-CN"/>
        </w:rPr>
        <w:t>0</w:t>
      </w:r>
      <w:r>
        <w:rPr>
          <w:rFonts w:hint="default" w:ascii="Times New Roman" w:hAnsi="Times New Roman" w:eastAsia="仿宋_GB2312" w:cs="Times New Roman"/>
          <w:color w:val="000000"/>
          <w:kern w:val="0"/>
          <w:sz w:val="32"/>
          <w:szCs w:val="32"/>
          <w:highlight w:val="none"/>
          <w:shd w:val="clear" w:color="auto" w:fill="FFFFFF"/>
          <w:lang w:val="zh-CN" w:eastAsia="zh-CN"/>
        </w:rPr>
        <w:t>个。</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w:t>
      </w:r>
      <w:r>
        <w:rPr>
          <w:rFonts w:hint="eastAsia" w:ascii="Times New Roman" w:hAnsi="Times New Roman" w:eastAsia="仿宋_GB2312" w:cs="Times New Roman"/>
          <w:color w:val="000000"/>
          <w:kern w:val="0"/>
          <w:sz w:val="32"/>
          <w:szCs w:val="32"/>
          <w:highlight w:val="none"/>
          <w:shd w:val="clear" w:color="auto" w:fill="FFFFFF"/>
          <w:lang w:val="en-US" w:eastAsia="zh-CN"/>
        </w:rPr>
        <w:t>1</w:t>
      </w:r>
      <w:r>
        <w:rPr>
          <w:rFonts w:hint="eastAsia"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zh-CN"/>
        </w:rPr>
        <w:t>项目决策（</w:t>
      </w:r>
      <w:r>
        <w:rPr>
          <w:rFonts w:hint="eastAsia" w:ascii="Times New Roman" w:hAnsi="Times New Roman" w:eastAsia="仿宋_GB2312" w:cs="Times New Roman"/>
          <w:color w:val="000000"/>
          <w:kern w:val="0"/>
          <w:sz w:val="32"/>
          <w:szCs w:val="32"/>
          <w:highlight w:val="none"/>
          <w:shd w:val="clear" w:color="auto" w:fill="FFFFFF"/>
          <w:lang w:val="en-US" w:eastAsia="zh-CN"/>
        </w:rPr>
        <w:t>12分</w:t>
      </w:r>
      <w:r>
        <w:rPr>
          <w:rFonts w:hint="default" w:ascii="Times New Roman" w:hAnsi="Times New Roman" w:eastAsia="仿宋_GB2312" w:cs="Times New Roman"/>
          <w:color w:val="000000"/>
          <w:kern w:val="0"/>
          <w:sz w:val="32"/>
          <w:szCs w:val="32"/>
          <w:highlight w:val="none"/>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决策程序：项目立项符合部门规划，审批流程规范</w:t>
      </w:r>
      <w:r>
        <w:rPr>
          <w:rFonts w:hint="eastAsia" w:ascii="Times New Roman" w:hAnsi="Times New Roman" w:eastAsia="仿宋_GB2312" w:cs="Times New Roman"/>
          <w:color w:val="000000"/>
          <w:kern w:val="0"/>
          <w:sz w:val="32"/>
          <w:szCs w:val="32"/>
          <w:highlight w:val="none"/>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 xml:space="preserve">目标设置：绩效目标清晰，但需加强量化指标的细化。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 xml:space="preserve">项目入库：均纳入财政项目库管理，入库资料完整。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en-US"/>
        </w:rPr>
      </w:pPr>
      <w:r>
        <w:rPr>
          <w:rFonts w:hint="default" w:ascii="Times New Roman" w:hAnsi="Times New Roman" w:eastAsia="仿宋_GB2312" w:cs="Times New Roman"/>
          <w:color w:val="000000"/>
          <w:kern w:val="0"/>
          <w:sz w:val="32"/>
          <w:szCs w:val="32"/>
          <w:highlight w:val="none"/>
          <w:shd w:val="clear" w:color="auto" w:fill="FFFFFF"/>
          <w:lang w:val="zh-CN"/>
        </w:rPr>
        <w:t>评分：</w:t>
      </w:r>
      <w:r>
        <w:rPr>
          <w:rFonts w:hint="eastAsia" w:ascii="Times New Roman" w:hAnsi="Times New Roman" w:eastAsia="仿宋_GB2312" w:cs="Times New Roman"/>
          <w:color w:val="000000"/>
          <w:kern w:val="0"/>
          <w:sz w:val="32"/>
          <w:szCs w:val="32"/>
          <w:highlight w:val="none"/>
          <w:shd w:val="clear" w:color="auto" w:fill="FFFFFF"/>
          <w:lang w:val="en-US" w:eastAsia="zh-CN"/>
        </w:rPr>
        <w:t>11分</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w:t>
      </w:r>
      <w:r>
        <w:rPr>
          <w:rFonts w:hint="eastAsia" w:ascii="Times New Roman" w:hAnsi="Times New Roman" w:eastAsia="仿宋_GB2312" w:cs="Times New Roman"/>
          <w:color w:val="000000"/>
          <w:kern w:val="0"/>
          <w:sz w:val="32"/>
          <w:szCs w:val="32"/>
          <w:highlight w:val="none"/>
          <w:shd w:val="clear" w:color="auto" w:fill="FFFFFF"/>
          <w:lang w:val="en-US" w:eastAsia="zh-CN"/>
        </w:rPr>
        <w:t>2</w:t>
      </w:r>
      <w:r>
        <w:rPr>
          <w:rFonts w:hint="eastAsia"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zh-CN"/>
        </w:rPr>
        <w:t>项目执行（</w:t>
      </w:r>
      <w:r>
        <w:rPr>
          <w:rFonts w:hint="eastAsia" w:ascii="Times New Roman" w:hAnsi="Times New Roman" w:eastAsia="仿宋_GB2312" w:cs="Times New Roman"/>
          <w:color w:val="000000"/>
          <w:kern w:val="0"/>
          <w:sz w:val="32"/>
          <w:szCs w:val="32"/>
          <w:highlight w:val="none"/>
          <w:shd w:val="clear" w:color="auto" w:fill="FFFFFF"/>
          <w:lang w:val="en-US" w:eastAsia="zh-CN"/>
        </w:rPr>
        <w:t>12分</w:t>
      </w:r>
      <w:r>
        <w:rPr>
          <w:rFonts w:hint="default" w:ascii="Times New Roman" w:hAnsi="Times New Roman" w:eastAsia="仿宋_GB2312" w:cs="Times New Roman"/>
          <w:color w:val="000000"/>
          <w:kern w:val="0"/>
          <w:sz w:val="32"/>
          <w:szCs w:val="32"/>
          <w:highlight w:val="none"/>
          <w:shd w:val="clear" w:color="auto" w:fill="FFFFFF"/>
          <w:lang w:val="zh-CN"/>
        </w:rPr>
        <w:t xml:space="preserve">）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资金执行同向：总体执行率</w:t>
      </w:r>
      <w:r>
        <w:rPr>
          <w:rFonts w:hint="eastAsia" w:ascii="Times New Roman" w:hAnsi="Times New Roman" w:eastAsia="仿宋_GB2312" w:cs="Times New Roman"/>
          <w:color w:val="000000"/>
          <w:kern w:val="0"/>
          <w:sz w:val="32"/>
          <w:szCs w:val="32"/>
          <w:highlight w:val="none"/>
          <w:shd w:val="clear" w:color="auto" w:fill="FFFFFF"/>
          <w:lang w:val="en-US" w:eastAsia="zh-CN"/>
        </w:rPr>
        <w:t>99.67</w:t>
      </w:r>
      <w:r>
        <w:rPr>
          <w:rFonts w:hint="default" w:ascii="Times New Roman" w:hAnsi="Times New Roman" w:eastAsia="仿宋_GB2312" w:cs="Times New Roman"/>
          <w:color w:val="000000"/>
          <w:kern w:val="0"/>
          <w:sz w:val="32"/>
          <w:szCs w:val="32"/>
          <w:highlight w:val="none"/>
          <w:shd w:val="clear" w:color="auto" w:fill="FFFFFF"/>
          <w:lang w:val="zh-CN"/>
        </w:rPr>
        <w:t>%，资金使用与计划高度匹配。</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 xml:space="preserve">项目调整：无重大调整，个别项目因进度优化微调资金。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执行结果：完成预期产出，结余资金</w:t>
      </w:r>
      <w:r>
        <w:rPr>
          <w:rFonts w:hint="eastAsia" w:ascii="Times New Roman" w:hAnsi="Times New Roman" w:eastAsia="仿宋_GB2312" w:cs="Times New Roman"/>
          <w:color w:val="000000"/>
          <w:kern w:val="0"/>
          <w:sz w:val="32"/>
          <w:szCs w:val="32"/>
          <w:highlight w:val="none"/>
          <w:shd w:val="clear" w:color="auto" w:fill="FFFFFF"/>
          <w:lang w:val="en-US" w:eastAsia="zh-CN"/>
        </w:rPr>
        <w:t>0.38</w:t>
      </w:r>
      <w:r>
        <w:rPr>
          <w:rFonts w:hint="default" w:ascii="Times New Roman" w:hAnsi="Times New Roman" w:eastAsia="仿宋_GB2312" w:cs="Times New Roman"/>
          <w:color w:val="000000"/>
          <w:kern w:val="0"/>
          <w:sz w:val="32"/>
          <w:szCs w:val="32"/>
          <w:highlight w:val="none"/>
          <w:shd w:val="clear" w:color="auto" w:fill="FFFFFF"/>
          <w:lang w:val="zh-CN"/>
        </w:rPr>
        <w:t>万元（0.</w:t>
      </w:r>
      <w:r>
        <w:rPr>
          <w:rFonts w:hint="eastAsia" w:ascii="Times New Roman" w:hAnsi="Times New Roman" w:eastAsia="仿宋_GB2312" w:cs="Times New Roman"/>
          <w:color w:val="000000"/>
          <w:kern w:val="0"/>
          <w:sz w:val="32"/>
          <w:szCs w:val="32"/>
          <w:highlight w:val="none"/>
          <w:shd w:val="clear" w:color="auto" w:fill="FFFFFF"/>
          <w:lang w:val="en-US" w:eastAsia="zh-CN"/>
        </w:rPr>
        <w:t>33</w:t>
      </w:r>
      <w:r>
        <w:rPr>
          <w:rFonts w:hint="default" w:ascii="Times New Roman" w:hAnsi="Times New Roman" w:eastAsia="仿宋_GB2312" w:cs="Times New Roman"/>
          <w:color w:val="000000"/>
          <w:kern w:val="0"/>
          <w:sz w:val="32"/>
          <w:szCs w:val="32"/>
          <w:highlight w:val="none"/>
          <w:shd w:val="clear" w:color="auto" w:fill="FFFFFF"/>
          <w:lang w:val="zh-CN"/>
        </w:rPr>
        <w:t xml:space="preserve">%），符合规定。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评分：</w:t>
      </w:r>
      <w:r>
        <w:rPr>
          <w:rFonts w:hint="eastAsia" w:ascii="Times New Roman" w:hAnsi="Times New Roman" w:eastAsia="仿宋_GB2312" w:cs="Times New Roman"/>
          <w:color w:val="000000"/>
          <w:kern w:val="0"/>
          <w:sz w:val="32"/>
          <w:szCs w:val="32"/>
          <w:highlight w:val="none"/>
          <w:shd w:val="clear" w:color="auto" w:fill="FFFFFF"/>
          <w:lang w:val="en-US" w:eastAsia="zh-CN"/>
        </w:rPr>
        <w:t>11分</w:t>
      </w:r>
      <w:r>
        <w:rPr>
          <w:rFonts w:hint="default" w:ascii="Times New Roman" w:hAnsi="Times New Roman" w:eastAsia="仿宋_GB2312" w:cs="Times New Roman"/>
          <w:color w:val="000000"/>
          <w:kern w:val="0"/>
          <w:sz w:val="32"/>
          <w:szCs w:val="32"/>
          <w:highlight w:val="none"/>
          <w:shd w:val="clear" w:color="auto" w:fill="FFFFFF"/>
          <w:lang w:val="zh-CN"/>
        </w:rPr>
        <w:t xml:space="preserve">  </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eastAsia" w:ascii="Times New Roman" w:hAnsi="Times New Roman" w:eastAsia="仿宋_GB2312" w:cs="Times New Roman"/>
          <w:color w:val="000000"/>
          <w:kern w:val="0"/>
          <w:sz w:val="32"/>
          <w:szCs w:val="32"/>
          <w:highlight w:val="none"/>
          <w:shd w:val="clear" w:color="auto" w:fill="FFFFFF"/>
          <w:lang w:val="zh-CN"/>
        </w:rPr>
        <w:t>（</w:t>
      </w:r>
      <w:r>
        <w:rPr>
          <w:rFonts w:hint="eastAsia" w:ascii="Times New Roman" w:hAnsi="Times New Roman" w:eastAsia="仿宋_GB2312" w:cs="Times New Roman"/>
          <w:color w:val="000000"/>
          <w:kern w:val="0"/>
          <w:sz w:val="32"/>
          <w:szCs w:val="32"/>
          <w:highlight w:val="none"/>
          <w:shd w:val="clear" w:color="auto" w:fill="FFFFFF"/>
          <w:lang w:val="en-US" w:eastAsia="zh-CN"/>
        </w:rPr>
        <w:t>3</w:t>
      </w:r>
      <w:r>
        <w:rPr>
          <w:rFonts w:hint="eastAsia"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zh-CN"/>
        </w:rPr>
        <w:t>目标实现（</w:t>
      </w:r>
      <w:r>
        <w:rPr>
          <w:rFonts w:hint="eastAsia" w:ascii="Times New Roman" w:hAnsi="Times New Roman" w:eastAsia="仿宋_GB2312" w:cs="Times New Roman"/>
          <w:color w:val="000000"/>
          <w:kern w:val="0"/>
          <w:sz w:val="32"/>
          <w:szCs w:val="32"/>
          <w:highlight w:val="none"/>
          <w:shd w:val="clear" w:color="auto" w:fill="FFFFFF"/>
          <w:lang w:val="en-US" w:eastAsia="zh-CN"/>
        </w:rPr>
        <w:t>11分</w:t>
      </w:r>
      <w:r>
        <w:rPr>
          <w:rFonts w:hint="default" w:ascii="Times New Roman" w:hAnsi="Times New Roman" w:eastAsia="仿宋_GB2312" w:cs="Times New Roman"/>
          <w:color w:val="000000"/>
          <w:kern w:val="0"/>
          <w:sz w:val="32"/>
          <w:szCs w:val="32"/>
          <w:highlight w:val="none"/>
          <w:shd w:val="clear" w:color="auto" w:fill="FFFFFF"/>
          <w:lang w:val="zh-CN"/>
        </w:rPr>
        <w:t xml:space="preserve">）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目标完成：</w:t>
      </w:r>
      <w:r>
        <w:rPr>
          <w:rFonts w:hint="eastAsia" w:ascii="Times New Roman" w:hAnsi="Times New Roman" w:eastAsia="仿宋_GB2312" w:cs="Times New Roman"/>
          <w:color w:val="000000"/>
          <w:kern w:val="0"/>
          <w:sz w:val="32"/>
          <w:szCs w:val="32"/>
          <w:highlight w:val="none"/>
          <w:shd w:val="clear" w:color="auto" w:fill="FFFFFF"/>
          <w:lang w:val="en-US" w:eastAsia="zh-CN"/>
        </w:rPr>
        <w:t>4</w:t>
      </w:r>
      <w:r>
        <w:rPr>
          <w:rFonts w:hint="default" w:ascii="Times New Roman" w:hAnsi="Times New Roman" w:eastAsia="仿宋_GB2312" w:cs="Times New Roman"/>
          <w:color w:val="000000"/>
          <w:kern w:val="0"/>
          <w:sz w:val="32"/>
          <w:szCs w:val="32"/>
          <w:highlight w:val="none"/>
          <w:shd w:val="clear" w:color="auto" w:fill="FFFFFF"/>
          <w:lang w:val="zh-CN"/>
        </w:rPr>
        <w:t>个项目均完成核心绩效指标</w:t>
      </w:r>
      <w:r>
        <w:rPr>
          <w:rFonts w:hint="eastAsia" w:ascii="Times New Roman" w:hAnsi="Times New Roman" w:eastAsia="仿宋_GB2312" w:cs="Times New Roman"/>
          <w:color w:val="000000"/>
          <w:kern w:val="0"/>
          <w:sz w:val="32"/>
          <w:szCs w:val="32"/>
          <w:highlight w:val="none"/>
          <w:shd w:val="clear" w:color="auto" w:fill="FFFFFF"/>
          <w:lang w:val="zh-CN"/>
        </w:rPr>
        <w:t>。</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目标偏离：</w:t>
      </w:r>
      <w:r>
        <w:rPr>
          <w:rFonts w:hint="eastAsia" w:ascii="Times New Roman" w:hAnsi="Times New Roman" w:eastAsia="仿宋_GB2312" w:cs="Times New Roman"/>
          <w:color w:val="000000"/>
          <w:kern w:val="0"/>
          <w:sz w:val="32"/>
          <w:szCs w:val="32"/>
          <w:highlight w:val="none"/>
          <w:shd w:val="clear" w:color="auto" w:fill="FFFFFF"/>
          <w:lang w:val="en-US" w:eastAsia="zh-CN"/>
        </w:rPr>
        <w:t>3</w:t>
      </w:r>
      <w:r>
        <w:rPr>
          <w:rFonts w:hint="default" w:ascii="Times New Roman" w:hAnsi="Times New Roman" w:eastAsia="仿宋_GB2312" w:cs="Times New Roman"/>
          <w:color w:val="000000"/>
          <w:kern w:val="0"/>
          <w:sz w:val="32"/>
          <w:szCs w:val="32"/>
          <w:highlight w:val="none"/>
          <w:shd w:val="clear" w:color="auto" w:fill="FFFFFF"/>
          <w:lang w:val="zh-CN"/>
        </w:rPr>
        <w:t>个项目因外部因素</w:t>
      </w:r>
      <w:r>
        <w:rPr>
          <w:rFonts w:hint="eastAsia" w:ascii="Times New Roman" w:hAnsi="Times New Roman" w:eastAsia="仿宋_GB2312" w:cs="Times New Roman"/>
          <w:color w:val="000000"/>
          <w:kern w:val="0"/>
          <w:sz w:val="32"/>
          <w:szCs w:val="32"/>
          <w:highlight w:val="none"/>
          <w:shd w:val="clear" w:color="auto" w:fill="FFFFFF"/>
          <w:lang w:val="en-US" w:eastAsia="zh-CN"/>
        </w:rPr>
        <w:t>降低成本指标，</w:t>
      </w:r>
      <w:r>
        <w:rPr>
          <w:rFonts w:hint="default" w:ascii="Times New Roman" w:hAnsi="Times New Roman" w:eastAsia="仿宋_GB2312" w:cs="Times New Roman"/>
          <w:color w:val="000000"/>
          <w:kern w:val="0"/>
          <w:sz w:val="32"/>
          <w:szCs w:val="32"/>
          <w:highlight w:val="none"/>
          <w:shd w:val="clear" w:color="auto" w:fill="FFFFFF"/>
          <w:lang w:val="zh-CN"/>
        </w:rPr>
        <w:t xml:space="preserve">偏差率&lt;5%。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 xml:space="preserve">实现效果：社会效益显著，但需加强满意度调查。  </w:t>
      </w:r>
    </w:p>
    <w:p>
      <w:pPr>
        <w:keepNext w:val="0"/>
        <w:keepLines w:val="0"/>
        <w:pageBreakBefore w:val="0"/>
        <w:widowControl w:val="0"/>
        <w:kinsoku/>
        <w:wordWrap/>
        <w:overflowPunct/>
        <w:topLinePunct w:val="0"/>
        <w:autoSpaceDE/>
        <w:autoSpaceDN/>
        <w:bidi w:val="0"/>
        <w:spacing w:line="576" w:lineRule="exact"/>
        <w:ind w:left="1060" w:leftChars="200" w:hanging="640" w:hangingChars="200"/>
        <w:jc w:val="both"/>
        <w:textAlignment w:val="auto"/>
        <w:outlineLvl w:val="9"/>
        <w:rPr>
          <w:rFonts w:hint="default" w:ascii="Times New Roman" w:hAnsi="Times New Roman" w:eastAsia="仿宋_GB2312" w:cs="Times New Roman"/>
          <w:kern w:val="2"/>
          <w:sz w:val="32"/>
          <w:szCs w:val="24"/>
          <w:lang w:val="en-US" w:eastAsia="zh-CN" w:bidi="ar-SA"/>
        </w:rPr>
      </w:pPr>
      <w:r>
        <w:rPr>
          <w:rFonts w:hint="default" w:ascii="Times New Roman" w:hAnsi="Times New Roman" w:eastAsia="仿宋_GB2312" w:cs="Times New Roman"/>
          <w:color w:val="000000"/>
          <w:kern w:val="0"/>
          <w:sz w:val="32"/>
          <w:szCs w:val="32"/>
          <w:highlight w:val="none"/>
          <w:shd w:val="clear" w:color="auto" w:fill="FFFFFF"/>
          <w:lang w:val="zh-CN" w:eastAsia="zh-CN" w:bidi="ar-SA"/>
        </w:rPr>
        <w:t>评分：</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10分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3"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rPr>
      </w:pPr>
      <w:r>
        <w:rPr>
          <w:rFonts w:hint="eastAsia" w:ascii="Times New Roman" w:hAnsi="Times New Roman" w:eastAsia="仿宋_GB2312" w:cs="Times New Roman"/>
          <w:b/>
          <w:bCs/>
          <w:color w:val="000000"/>
          <w:kern w:val="0"/>
          <w:sz w:val="32"/>
          <w:szCs w:val="32"/>
          <w:highlight w:val="none"/>
          <w:shd w:val="clear" w:color="auto" w:fill="FFFFFF"/>
          <w:lang w:val="en-US" w:eastAsia="zh-CN"/>
        </w:rPr>
        <w:t>2.</w:t>
      </w:r>
      <w:r>
        <w:rPr>
          <w:rFonts w:hint="default" w:ascii="Times New Roman" w:hAnsi="Times New Roman" w:eastAsia="仿宋_GB2312" w:cs="Times New Roman"/>
          <w:b/>
          <w:bCs/>
          <w:color w:val="000000"/>
          <w:kern w:val="0"/>
          <w:sz w:val="32"/>
          <w:szCs w:val="32"/>
          <w:highlight w:val="none"/>
          <w:shd w:val="clear" w:color="auto" w:fill="FFFFFF"/>
          <w:lang w:val="en-US" w:eastAsia="zh-CN"/>
        </w:rPr>
        <w:t>阶段（</w:t>
      </w:r>
      <w:r>
        <w:rPr>
          <w:rFonts w:hint="eastAsia" w:ascii="Times New Roman" w:hAnsi="Times New Roman" w:eastAsia="仿宋_GB2312" w:cs="Times New Roman"/>
          <w:b/>
          <w:bCs/>
          <w:color w:val="000000"/>
          <w:kern w:val="0"/>
          <w:sz w:val="32"/>
          <w:szCs w:val="32"/>
          <w:highlight w:val="none"/>
          <w:shd w:val="clear" w:color="auto" w:fill="FFFFFF"/>
          <w:lang w:val="en-US" w:eastAsia="zh-CN"/>
        </w:rPr>
        <w:t>含</w:t>
      </w:r>
      <w:r>
        <w:rPr>
          <w:rFonts w:hint="default" w:ascii="Times New Roman" w:hAnsi="Times New Roman" w:eastAsia="仿宋_GB2312" w:cs="Times New Roman"/>
          <w:b/>
          <w:bCs/>
          <w:color w:val="000000"/>
          <w:kern w:val="0"/>
          <w:sz w:val="32"/>
          <w:szCs w:val="32"/>
          <w:highlight w:val="none"/>
          <w:shd w:val="clear" w:color="auto" w:fill="FFFFFF"/>
          <w:lang w:val="en-US" w:eastAsia="zh-CN"/>
        </w:rPr>
        <w:t>一次性）项目绩效分析。</w:t>
      </w:r>
      <w:r>
        <w:rPr>
          <w:rFonts w:hint="default" w:ascii="Times New Roman" w:hAnsi="Times New Roman" w:eastAsia="仿宋_GB2312" w:cs="Times New Roman"/>
          <w:color w:val="000000"/>
          <w:kern w:val="0"/>
          <w:sz w:val="32"/>
          <w:szCs w:val="32"/>
          <w:highlight w:val="none"/>
          <w:shd w:val="clear" w:color="auto" w:fill="FFFFFF"/>
          <w:lang w:val="zh-CN" w:eastAsia="zh-CN"/>
        </w:rPr>
        <w:t>该类项目总数</w:t>
      </w:r>
      <w:r>
        <w:rPr>
          <w:rFonts w:hint="eastAsia" w:ascii="Times New Roman" w:hAnsi="Times New Roman" w:eastAsia="仿宋_GB2312" w:cs="Times New Roman"/>
          <w:color w:val="000000"/>
          <w:kern w:val="0"/>
          <w:sz w:val="32"/>
          <w:szCs w:val="32"/>
          <w:highlight w:val="none"/>
          <w:shd w:val="clear" w:color="auto" w:fill="FFFFFF"/>
          <w:lang w:val="en-US" w:eastAsia="zh-CN"/>
        </w:rPr>
        <w:t>8</w:t>
      </w:r>
      <w:r>
        <w:rPr>
          <w:rFonts w:hint="default" w:ascii="Times New Roman" w:hAnsi="Times New Roman" w:eastAsia="仿宋_GB2312" w:cs="Times New Roman"/>
          <w:color w:val="000000"/>
          <w:kern w:val="0"/>
          <w:sz w:val="32"/>
          <w:szCs w:val="32"/>
          <w:highlight w:val="none"/>
          <w:shd w:val="clear" w:color="auto" w:fill="FFFFFF"/>
          <w:lang w:val="zh-CN" w:eastAsia="zh-CN"/>
        </w:rPr>
        <w:t>个，涉及预算总金额</w:t>
      </w:r>
      <w:r>
        <w:rPr>
          <w:rFonts w:hint="eastAsia" w:ascii="Times New Roman" w:hAnsi="Times New Roman" w:eastAsia="仿宋_GB2312" w:cs="Times New Roman"/>
          <w:color w:val="000000"/>
          <w:kern w:val="0"/>
          <w:sz w:val="32"/>
          <w:szCs w:val="32"/>
          <w:highlight w:val="none"/>
          <w:shd w:val="clear" w:color="auto" w:fill="FFFFFF"/>
          <w:lang w:val="en-US" w:eastAsia="zh-CN"/>
        </w:rPr>
        <w:t>57.75</w:t>
      </w:r>
      <w:r>
        <w:rPr>
          <w:rFonts w:hint="default" w:ascii="Times New Roman" w:hAnsi="Times New Roman" w:eastAsia="仿宋_GB2312" w:cs="Times New Roman"/>
          <w:color w:val="000000"/>
          <w:kern w:val="0"/>
          <w:sz w:val="32"/>
          <w:szCs w:val="32"/>
          <w:highlight w:val="none"/>
          <w:shd w:val="clear" w:color="auto" w:fill="FFFFFF"/>
          <w:lang w:val="zh-CN" w:eastAsia="zh-CN"/>
        </w:rPr>
        <w:t>万元，</w:t>
      </w:r>
      <w:r>
        <w:rPr>
          <w:rFonts w:hint="default" w:ascii="Times New Roman" w:hAnsi="Times New Roman" w:eastAsia="仿宋_GB2312" w:cs="Times New Roman"/>
          <w:color w:val="000000"/>
          <w:kern w:val="0"/>
          <w:sz w:val="32"/>
          <w:szCs w:val="32"/>
          <w:highlight w:val="none"/>
          <w:shd w:val="clear" w:color="auto" w:fill="FFFFFF"/>
          <w:lang w:val="zh-CN"/>
        </w:rPr>
        <w:t>1</w:t>
      </w:r>
      <w:r>
        <w:rPr>
          <w:rFonts w:hint="eastAsia" w:ascii="Times New Roman" w:hAnsi="Times New Roman" w:eastAsia="仿宋_GB2312" w:cs="Times New Roman"/>
          <w:color w:val="000000"/>
          <w:kern w:val="0"/>
          <w:sz w:val="32"/>
          <w:szCs w:val="32"/>
          <w:highlight w:val="none"/>
          <w:shd w:val="clear" w:color="auto" w:fill="FFFFFF"/>
          <w:lang w:val="zh-CN" w:eastAsia="zh-CN"/>
        </w:rPr>
        <w:t>—</w:t>
      </w:r>
      <w:r>
        <w:rPr>
          <w:rFonts w:hint="default" w:ascii="Times New Roman" w:hAnsi="Times New Roman" w:eastAsia="仿宋_GB2312" w:cs="Times New Roman"/>
          <w:color w:val="000000"/>
          <w:kern w:val="0"/>
          <w:sz w:val="32"/>
          <w:szCs w:val="32"/>
          <w:highlight w:val="none"/>
          <w:shd w:val="clear" w:color="auto" w:fill="FFFFFF"/>
          <w:lang w:val="zh-CN"/>
        </w:rPr>
        <w:t>1</w:t>
      </w:r>
      <w:r>
        <w:rPr>
          <w:rFonts w:hint="default" w:ascii="Times New Roman" w:hAnsi="Times New Roman" w:eastAsia="仿宋_GB2312" w:cs="Times New Roman"/>
          <w:color w:val="000000"/>
          <w:kern w:val="0"/>
          <w:sz w:val="32"/>
          <w:szCs w:val="32"/>
          <w:highlight w:val="none"/>
          <w:shd w:val="clear" w:color="auto" w:fill="FFFFFF"/>
          <w:lang w:val="en-US" w:eastAsia="zh-CN"/>
        </w:rPr>
        <w:t>2</w:t>
      </w:r>
      <w:r>
        <w:rPr>
          <w:rFonts w:hint="default" w:ascii="Times New Roman" w:hAnsi="Times New Roman" w:eastAsia="仿宋_GB2312" w:cs="Times New Roman"/>
          <w:color w:val="000000"/>
          <w:kern w:val="0"/>
          <w:sz w:val="32"/>
          <w:szCs w:val="32"/>
          <w:highlight w:val="none"/>
          <w:shd w:val="clear" w:color="auto" w:fill="FFFFFF"/>
          <w:lang w:val="zh-CN"/>
        </w:rPr>
        <w:t>月预算执行总体进度为</w:t>
      </w:r>
      <w:r>
        <w:rPr>
          <w:rFonts w:hint="eastAsia" w:ascii="Times New Roman" w:hAnsi="Times New Roman" w:eastAsia="仿宋_GB2312" w:cs="Times New Roman"/>
          <w:color w:val="000000"/>
          <w:kern w:val="0"/>
          <w:sz w:val="32"/>
          <w:szCs w:val="32"/>
          <w:highlight w:val="none"/>
          <w:shd w:val="clear" w:color="auto" w:fill="FFFFFF"/>
          <w:lang w:val="en-US" w:eastAsia="zh-CN"/>
        </w:rPr>
        <w:t>99.83</w:t>
      </w:r>
      <w:r>
        <w:rPr>
          <w:rFonts w:hint="default" w:ascii="Times New Roman" w:hAnsi="Times New Roman" w:eastAsia="仿宋_GB2312" w:cs="Times New Roman"/>
          <w:color w:val="000000"/>
          <w:kern w:val="0"/>
          <w:sz w:val="32"/>
          <w:szCs w:val="32"/>
          <w:highlight w:val="none"/>
          <w:shd w:val="clear" w:color="auto" w:fill="FFFFFF"/>
          <w:lang w:val="zh-CN"/>
        </w:rPr>
        <w:t>%，其中：</w:t>
      </w:r>
      <w:r>
        <w:rPr>
          <w:rFonts w:hint="default" w:ascii="Times New Roman" w:hAnsi="Times New Roman" w:eastAsia="仿宋_GB2312" w:cs="Times New Roman"/>
          <w:color w:val="000000"/>
          <w:kern w:val="0"/>
          <w:sz w:val="32"/>
          <w:szCs w:val="32"/>
          <w:highlight w:val="none"/>
          <w:shd w:val="clear" w:color="auto" w:fill="FFFFFF"/>
          <w:lang w:val="zh-CN" w:eastAsia="zh-CN"/>
        </w:rPr>
        <w:t>预算结余率大于</w:t>
      </w:r>
      <w:r>
        <w:rPr>
          <w:rFonts w:hint="default" w:ascii="Times New Roman" w:hAnsi="Times New Roman" w:eastAsia="仿宋_GB2312" w:cs="Times New Roman"/>
          <w:color w:val="000000"/>
          <w:kern w:val="0"/>
          <w:sz w:val="32"/>
          <w:szCs w:val="32"/>
          <w:highlight w:val="none"/>
          <w:shd w:val="clear" w:color="auto" w:fill="FFFFFF"/>
          <w:lang w:val="en-US" w:eastAsia="zh-CN"/>
        </w:rPr>
        <w:t>10%</w:t>
      </w:r>
      <w:r>
        <w:rPr>
          <w:rFonts w:hint="default" w:ascii="Times New Roman" w:hAnsi="Times New Roman" w:eastAsia="仿宋_GB2312" w:cs="Times New Roman"/>
          <w:color w:val="000000"/>
          <w:kern w:val="0"/>
          <w:sz w:val="32"/>
          <w:szCs w:val="32"/>
          <w:highlight w:val="none"/>
          <w:shd w:val="clear" w:color="auto" w:fill="FFFFFF"/>
          <w:lang w:val="zh-CN" w:eastAsia="zh-CN"/>
        </w:rPr>
        <w:t>的项目共计</w:t>
      </w:r>
      <w:r>
        <w:rPr>
          <w:rFonts w:hint="eastAsia" w:ascii="Times New Roman" w:hAnsi="Times New Roman" w:eastAsia="仿宋_GB2312" w:cs="Times New Roman"/>
          <w:color w:val="000000"/>
          <w:kern w:val="0"/>
          <w:sz w:val="32"/>
          <w:szCs w:val="32"/>
          <w:highlight w:val="none"/>
          <w:shd w:val="clear" w:color="auto" w:fill="FFFFFF"/>
          <w:lang w:val="en-US" w:eastAsia="zh-CN"/>
        </w:rPr>
        <w:t>0</w:t>
      </w:r>
      <w:r>
        <w:rPr>
          <w:rFonts w:hint="default" w:ascii="Times New Roman" w:hAnsi="Times New Roman" w:eastAsia="仿宋_GB2312" w:cs="Times New Roman"/>
          <w:color w:val="000000"/>
          <w:kern w:val="0"/>
          <w:sz w:val="32"/>
          <w:szCs w:val="32"/>
          <w:highlight w:val="none"/>
          <w:shd w:val="clear" w:color="auto" w:fill="FFFFFF"/>
          <w:lang w:val="zh-CN" w:eastAsia="zh-CN"/>
        </w:rPr>
        <w:t>个。</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1. 项目决策（</w:t>
      </w:r>
      <w:r>
        <w:rPr>
          <w:rFonts w:hint="eastAsia" w:ascii="Times New Roman" w:hAnsi="Times New Roman" w:eastAsia="仿宋_GB2312" w:cs="Times New Roman"/>
          <w:color w:val="000000"/>
          <w:kern w:val="0"/>
          <w:sz w:val="32"/>
          <w:szCs w:val="32"/>
          <w:highlight w:val="none"/>
          <w:shd w:val="clear" w:color="auto" w:fill="FFFFFF"/>
          <w:lang w:val="en-US" w:eastAsia="zh-CN"/>
        </w:rPr>
        <w:t>12分</w:t>
      </w:r>
      <w:r>
        <w:rPr>
          <w:rFonts w:hint="default" w:ascii="Times New Roman" w:hAnsi="Times New Roman" w:eastAsia="仿宋_GB2312" w:cs="Times New Roman"/>
          <w:color w:val="000000"/>
          <w:kern w:val="0"/>
          <w:sz w:val="32"/>
          <w:szCs w:val="32"/>
          <w:highlight w:val="none"/>
          <w:shd w:val="clear" w:color="auto" w:fill="FFFFFF"/>
          <w:lang w:val="zh-CN"/>
        </w:rPr>
        <w:t xml:space="preserve">）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 xml:space="preserve">决策程序：均为紧急或专项任务，程序合规但前期论证可加强。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 xml:space="preserve">目标设置：目标明确。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 xml:space="preserve">项目入库：纳入动态库管理，审批及时。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评分：</w:t>
      </w:r>
      <w:r>
        <w:rPr>
          <w:rFonts w:hint="eastAsia" w:ascii="Times New Roman" w:hAnsi="Times New Roman" w:eastAsia="仿宋_GB2312" w:cs="Times New Roman"/>
          <w:color w:val="000000"/>
          <w:kern w:val="0"/>
          <w:sz w:val="32"/>
          <w:szCs w:val="32"/>
          <w:highlight w:val="none"/>
          <w:shd w:val="clear" w:color="auto" w:fill="FFFFFF"/>
          <w:lang w:val="en-US" w:eastAsia="zh-CN"/>
        </w:rPr>
        <w:t>11分</w:t>
      </w:r>
      <w:r>
        <w:rPr>
          <w:rFonts w:hint="default" w:ascii="Times New Roman" w:hAnsi="Times New Roman" w:eastAsia="仿宋_GB2312" w:cs="Times New Roman"/>
          <w:color w:val="000000"/>
          <w:kern w:val="0"/>
          <w:sz w:val="32"/>
          <w:szCs w:val="32"/>
          <w:highlight w:val="none"/>
          <w:shd w:val="clear" w:color="auto" w:fill="FFFFFF"/>
          <w:lang w:val="zh-CN"/>
        </w:rPr>
        <w:t xml:space="preserve">  </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2. 项目执行（</w:t>
      </w:r>
      <w:r>
        <w:rPr>
          <w:rFonts w:hint="eastAsia" w:ascii="Times New Roman" w:hAnsi="Times New Roman" w:eastAsia="仿宋_GB2312" w:cs="Times New Roman"/>
          <w:color w:val="000000"/>
          <w:kern w:val="0"/>
          <w:sz w:val="32"/>
          <w:szCs w:val="32"/>
          <w:highlight w:val="none"/>
          <w:shd w:val="clear" w:color="auto" w:fill="FFFFFF"/>
          <w:lang w:val="en-US" w:eastAsia="zh-CN"/>
        </w:rPr>
        <w:t>12分</w:t>
      </w:r>
      <w:r>
        <w:rPr>
          <w:rFonts w:hint="default" w:ascii="Times New Roman" w:hAnsi="Times New Roman" w:eastAsia="仿宋_GB2312" w:cs="Times New Roman"/>
          <w:color w:val="000000"/>
          <w:kern w:val="0"/>
          <w:sz w:val="32"/>
          <w:szCs w:val="32"/>
          <w:highlight w:val="none"/>
          <w:shd w:val="clear" w:color="auto" w:fill="FFFFFF"/>
          <w:lang w:val="zh-CN"/>
        </w:rPr>
        <w:t xml:space="preserve">）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 xml:space="preserve">资金执行同向：执行率100%，资金拨付与实施进度完全同步。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 xml:space="preserve">项目调整：无调整，按计划完成。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执行结果：全部按期</w:t>
      </w:r>
      <w:r>
        <w:rPr>
          <w:rFonts w:hint="eastAsia" w:ascii="Times New Roman" w:hAnsi="Times New Roman" w:eastAsia="仿宋_GB2312" w:cs="Times New Roman"/>
          <w:color w:val="000000"/>
          <w:kern w:val="0"/>
          <w:sz w:val="32"/>
          <w:szCs w:val="32"/>
          <w:highlight w:val="none"/>
          <w:shd w:val="clear" w:color="auto" w:fill="FFFFFF"/>
          <w:lang w:val="en-US" w:eastAsia="zh-CN"/>
        </w:rPr>
        <w:t>完成</w:t>
      </w:r>
      <w:r>
        <w:rPr>
          <w:rFonts w:hint="default" w:ascii="Times New Roman" w:hAnsi="Times New Roman" w:eastAsia="仿宋_GB2312" w:cs="Times New Roman"/>
          <w:color w:val="000000"/>
          <w:kern w:val="0"/>
          <w:sz w:val="32"/>
          <w:szCs w:val="32"/>
          <w:highlight w:val="none"/>
          <w:shd w:val="clear" w:color="auto" w:fill="FFFFFF"/>
          <w:lang w:val="zh-CN"/>
        </w:rPr>
        <w:t>，结余资金</w:t>
      </w:r>
      <w:r>
        <w:rPr>
          <w:rFonts w:hint="eastAsia" w:ascii="Times New Roman" w:hAnsi="Times New Roman" w:eastAsia="仿宋_GB2312" w:cs="Times New Roman"/>
          <w:color w:val="000000"/>
          <w:kern w:val="0"/>
          <w:sz w:val="32"/>
          <w:szCs w:val="32"/>
          <w:highlight w:val="none"/>
          <w:shd w:val="clear" w:color="auto" w:fill="FFFFFF"/>
          <w:lang w:val="en-US" w:eastAsia="zh-CN"/>
        </w:rPr>
        <w:t>0.1万</w:t>
      </w:r>
      <w:r>
        <w:rPr>
          <w:rFonts w:hint="default" w:ascii="Times New Roman" w:hAnsi="Times New Roman" w:eastAsia="仿宋_GB2312" w:cs="Times New Roman"/>
          <w:color w:val="000000"/>
          <w:kern w:val="0"/>
          <w:sz w:val="32"/>
          <w:szCs w:val="32"/>
          <w:highlight w:val="none"/>
          <w:shd w:val="clear" w:color="auto" w:fill="FFFFFF"/>
          <w:lang w:val="zh-CN"/>
        </w:rPr>
        <w:t>元</w:t>
      </w:r>
      <w:r>
        <w:rPr>
          <w:rFonts w:hint="eastAsia" w:ascii="Times New Roman" w:hAnsi="Times New Roman" w:eastAsia="仿宋_GB2312" w:cs="Times New Roman"/>
          <w:color w:val="000000"/>
          <w:kern w:val="0"/>
          <w:sz w:val="32"/>
          <w:szCs w:val="32"/>
          <w:highlight w:val="none"/>
          <w:shd w:val="clear" w:color="auto" w:fill="FFFFFF"/>
          <w:lang w:val="zh-CN"/>
        </w:rPr>
        <w:t>（</w:t>
      </w:r>
      <w:r>
        <w:rPr>
          <w:rFonts w:hint="eastAsia" w:ascii="Times New Roman" w:hAnsi="Times New Roman" w:eastAsia="仿宋_GB2312" w:cs="Times New Roman"/>
          <w:color w:val="000000"/>
          <w:kern w:val="0"/>
          <w:sz w:val="32"/>
          <w:szCs w:val="32"/>
          <w:highlight w:val="none"/>
          <w:shd w:val="clear" w:color="auto" w:fill="FFFFFF"/>
          <w:lang w:val="en-US" w:eastAsia="zh-CN"/>
        </w:rPr>
        <w:t>0.17%</w:t>
      </w:r>
      <w:r>
        <w:rPr>
          <w:rFonts w:hint="eastAsia" w:ascii="Times New Roman" w:hAnsi="Times New Roman" w:eastAsia="仿宋_GB2312" w:cs="Times New Roman"/>
          <w:color w:val="000000"/>
          <w:kern w:val="0"/>
          <w:sz w:val="32"/>
          <w:szCs w:val="32"/>
          <w:highlight w:val="none"/>
          <w:shd w:val="clear" w:color="auto" w:fill="FFFFFF"/>
          <w:lang w:val="zh-CN"/>
        </w:rPr>
        <w:t>），</w:t>
      </w:r>
      <w:r>
        <w:rPr>
          <w:rFonts w:hint="eastAsia" w:ascii="Times New Roman" w:hAnsi="Times New Roman" w:eastAsia="仿宋_GB2312" w:cs="Times New Roman"/>
          <w:color w:val="000000"/>
          <w:kern w:val="0"/>
          <w:sz w:val="32"/>
          <w:szCs w:val="32"/>
          <w:highlight w:val="none"/>
          <w:shd w:val="clear" w:color="auto" w:fill="FFFFFF"/>
          <w:lang w:val="en-US" w:eastAsia="zh-CN"/>
        </w:rPr>
        <w:t>符合规定。</w:t>
      </w:r>
      <w:r>
        <w:rPr>
          <w:rFonts w:hint="default" w:ascii="Times New Roman" w:hAnsi="Times New Roman" w:eastAsia="仿宋_GB2312" w:cs="Times New Roman"/>
          <w:color w:val="000000"/>
          <w:kern w:val="0"/>
          <w:sz w:val="32"/>
          <w:szCs w:val="32"/>
          <w:highlight w:val="none"/>
          <w:shd w:val="clear" w:color="auto" w:fill="FFFFFF"/>
          <w:lang w:val="zh-CN"/>
        </w:rPr>
        <w:t xml:space="preserve">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en-US"/>
        </w:rPr>
      </w:pPr>
      <w:r>
        <w:rPr>
          <w:rFonts w:hint="default" w:ascii="Times New Roman" w:hAnsi="Times New Roman" w:eastAsia="仿宋_GB2312" w:cs="Times New Roman"/>
          <w:color w:val="000000"/>
          <w:kern w:val="0"/>
          <w:sz w:val="32"/>
          <w:szCs w:val="32"/>
          <w:highlight w:val="none"/>
          <w:shd w:val="clear" w:color="auto" w:fill="FFFFFF"/>
          <w:lang w:val="zh-CN"/>
        </w:rPr>
        <w:t>评分：</w:t>
      </w:r>
      <w:r>
        <w:rPr>
          <w:rFonts w:hint="eastAsia" w:ascii="Times New Roman" w:hAnsi="Times New Roman" w:eastAsia="仿宋_GB2312" w:cs="Times New Roman"/>
          <w:color w:val="000000"/>
          <w:kern w:val="0"/>
          <w:sz w:val="32"/>
          <w:szCs w:val="32"/>
          <w:highlight w:val="none"/>
          <w:shd w:val="clear" w:color="auto" w:fill="FFFFFF"/>
          <w:lang w:val="en-US" w:eastAsia="zh-CN"/>
        </w:rPr>
        <w:t>11分</w:t>
      </w:r>
    </w:p>
    <w:p>
      <w:pPr>
        <w:keepNext w:val="0"/>
        <w:keepLines w:val="0"/>
        <w:pageBreakBefore w:val="0"/>
        <w:widowControl/>
        <w:kinsoku/>
        <w:wordWrap/>
        <w:overflowPunct/>
        <w:topLinePunct w:val="0"/>
        <w:autoSpaceDE/>
        <w:autoSpaceDN/>
        <w:bidi w:val="0"/>
        <w:adjustRightInd w:val="0"/>
        <w:snapToGrid w:val="0"/>
        <w:spacing w:line="576" w:lineRule="exact"/>
        <w:ind w:left="0" w:leftChars="0"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3. 目标实现（</w:t>
      </w:r>
      <w:r>
        <w:rPr>
          <w:rFonts w:hint="eastAsia" w:ascii="Times New Roman" w:hAnsi="Times New Roman" w:eastAsia="仿宋_GB2312" w:cs="Times New Roman"/>
          <w:color w:val="000000"/>
          <w:kern w:val="0"/>
          <w:sz w:val="32"/>
          <w:szCs w:val="32"/>
          <w:highlight w:val="none"/>
          <w:shd w:val="clear" w:color="auto" w:fill="FFFFFF"/>
          <w:lang w:val="en-US" w:eastAsia="zh-CN"/>
        </w:rPr>
        <w:t>11分</w:t>
      </w:r>
      <w:r>
        <w:rPr>
          <w:rFonts w:hint="default" w:ascii="Times New Roman" w:hAnsi="Times New Roman" w:eastAsia="仿宋_GB2312" w:cs="Times New Roman"/>
          <w:color w:val="000000"/>
          <w:kern w:val="0"/>
          <w:sz w:val="32"/>
          <w:szCs w:val="32"/>
          <w:highlight w:val="none"/>
          <w:shd w:val="clear" w:color="auto" w:fill="FFFFFF"/>
          <w:lang w:val="zh-CN"/>
        </w:rPr>
        <w:t xml:space="preserve">）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目标完成：</w:t>
      </w:r>
      <w:r>
        <w:rPr>
          <w:rFonts w:hint="eastAsia" w:ascii="Times New Roman" w:hAnsi="Times New Roman" w:eastAsia="仿宋_GB2312" w:cs="Times New Roman"/>
          <w:color w:val="000000"/>
          <w:kern w:val="0"/>
          <w:sz w:val="32"/>
          <w:szCs w:val="32"/>
          <w:highlight w:val="none"/>
          <w:shd w:val="clear" w:color="auto" w:fill="FFFFFF"/>
          <w:lang w:val="en-US" w:eastAsia="zh-CN"/>
        </w:rPr>
        <w:t>8</w:t>
      </w:r>
      <w:r>
        <w:rPr>
          <w:rFonts w:hint="default" w:ascii="Times New Roman" w:hAnsi="Times New Roman" w:eastAsia="仿宋_GB2312" w:cs="Times New Roman"/>
          <w:color w:val="000000"/>
          <w:kern w:val="0"/>
          <w:sz w:val="32"/>
          <w:szCs w:val="32"/>
          <w:highlight w:val="none"/>
          <w:shd w:val="clear" w:color="auto" w:fill="FFFFFF"/>
          <w:lang w:val="zh-CN"/>
        </w:rPr>
        <w:t xml:space="preserve">个项目均达成预期成果（如一次性抚恤金、退休职工建房补贴完成）。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目标偏离：</w:t>
      </w:r>
      <w:r>
        <w:rPr>
          <w:rFonts w:hint="eastAsia" w:ascii="Times New Roman" w:hAnsi="Times New Roman" w:eastAsia="仿宋_GB2312" w:cs="Times New Roman"/>
          <w:color w:val="000000"/>
          <w:kern w:val="0"/>
          <w:sz w:val="32"/>
          <w:szCs w:val="32"/>
          <w:highlight w:val="none"/>
          <w:shd w:val="clear" w:color="auto" w:fill="FFFFFF"/>
          <w:lang w:val="en-US" w:eastAsia="zh-CN"/>
        </w:rPr>
        <w:t>2</w:t>
      </w:r>
      <w:r>
        <w:rPr>
          <w:rFonts w:hint="default" w:ascii="Times New Roman" w:hAnsi="Times New Roman" w:eastAsia="仿宋_GB2312" w:cs="Times New Roman"/>
          <w:color w:val="000000"/>
          <w:kern w:val="0"/>
          <w:sz w:val="32"/>
          <w:szCs w:val="32"/>
          <w:highlight w:val="none"/>
          <w:shd w:val="clear" w:color="auto" w:fill="FFFFFF"/>
          <w:lang w:val="zh-CN"/>
        </w:rPr>
        <w:t>个项目因外部因素</w:t>
      </w:r>
      <w:r>
        <w:rPr>
          <w:rFonts w:hint="eastAsia" w:ascii="Times New Roman" w:hAnsi="Times New Roman" w:eastAsia="仿宋_GB2312" w:cs="Times New Roman"/>
          <w:color w:val="000000"/>
          <w:kern w:val="0"/>
          <w:sz w:val="32"/>
          <w:szCs w:val="32"/>
          <w:highlight w:val="none"/>
          <w:shd w:val="clear" w:color="auto" w:fill="FFFFFF"/>
          <w:lang w:val="en-US" w:eastAsia="zh-CN"/>
        </w:rPr>
        <w:t>降低成本指标，</w:t>
      </w:r>
      <w:r>
        <w:rPr>
          <w:rFonts w:hint="default" w:ascii="Times New Roman" w:hAnsi="Times New Roman" w:eastAsia="仿宋_GB2312" w:cs="Times New Roman"/>
          <w:color w:val="000000"/>
          <w:kern w:val="0"/>
          <w:sz w:val="32"/>
          <w:szCs w:val="32"/>
          <w:highlight w:val="none"/>
          <w:shd w:val="clear" w:color="auto" w:fill="FFFFFF"/>
          <w:lang w:val="zh-CN"/>
        </w:rPr>
        <w:t>偏差率&lt;5%</w:t>
      </w:r>
      <w:r>
        <w:rPr>
          <w:rFonts w:hint="eastAsia" w:ascii="Times New Roman" w:hAnsi="Times New Roman" w:eastAsia="仿宋_GB2312" w:cs="Times New Roman"/>
          <w:color w:val="000000"/>
          <w:kern w:val="0"/>
          <w:sz w:val="32"/>
          <w:szCs w:val="32"/>
          <w:highlight w:val="none"/>
          <w:shd w:val="clear" w:color="auto" w:fill="FFFFFF"/>
          <w:lang w:val="zh-CN"/>
        </w:rPr>
        <w:t>。</w:t>
      </w:r>
      <w:r>
        <w:rPr>
          <w:rFonts w:hint="default" w:ascii="Times New Roman" w:hAnsi="Times New Roman" w:eastAsia="仿宋_GB2312" w:cs="Times New Roman"/>
          <w:color w:val="000000"/>
          <w:kern w:val="0"/>
          <w:sz w:val="32"/>
          <w:szCs w:val="32"/>
          <w:highlight w:val="none"/>
          <w:shd w:val="clear" w:color="auto" w:fill="FFFFFF"/>
          <w:lang w:val="zh-CN"/>
        </w:rPr>
        <w:t xml:space="preserve">  </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实现效果：短期效益显著，长期效果待跟踪。</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rPr>
      </w:pPr>
      <w:r>
        <w:rPr>
          <w:rFonts w:hint="default" w:ascii="Times New Roman" w:hAnsi="Times New Roman" w:eastAsia="仿宋_GB2312" w:cs="Times New Roman"/>
          <w:color w:val="000000"/>
          <w:kern w:val="0"/>
          <w:sz w:val="32"/>
          <w:szCs w:val="32"/>
          <w:highlight w:val="none"/>
          <w:shd w:val="clear" w:color="auto" w:fill="FFFFFF"/>
          <w:lang w:val="zh-CN"/>
        </w:rPr>
        <w:t>评分：</w:t>
      </w:r>
      <w:r>
        <w:rPr>
          <w:rFonts w:hint="eastAsia" w:ascii="Times New Roman" w:hAnsi="Times New Roman" w:eastAsia="仿宋_GB2312" w:cs="Times New Roman"/>
          <w:color w:val="000000"/>
          <w:kern w:val="0"/>
          <w:sz w:val="32"/>
          <w:szCs w:val="32"/>
          <w:highlight w:val="none"/>
          <w:shd w:val="clear" w:color="auto" w:fill="FFFFFF"/>
          <w:lang w:val="en-US" w:eastAsia="zh-CN"/>
        </w:rPr>
        <w:t>10分</w:t>
      </w:r>
    </w:p>
    <w:p>
      <w:pPr>
        <w:keepNext w:val="0"/>
        <w:keepLines w:val="0"/>
        <w:pageBreakBefore w:val="0"/>
        <w:widowControl w:val="0"/>
        <w:numPr>
          <w:ilvl w:val="0"/>
          <w:numId w:val="7"/>
        </w:numPr>
        <w:kinsoku/>
        <w:wordWrap/>
        <w:overflowPunct/>
        <w:topLinePunct w:val="0"/>
        <w:autoSpaceDE/>
        <w:autoSpaceDN/>
        <w:bidi w:val="0"/>
        <w:adjustRightInd/>
        <w:snapToGrid w:val="0"/>
        <w:spacing w:line="576" w:lineRule="exact"/>
        <w:ind w:firstLine="643" w:firstLineChars="200"/>
        <w:textAlignment w:val="auto"/>
        <w:outlineLvl w:val="9"/>
        <w:rPr>
          <w:rFonts w:hint="default" w:ascii="Times New Roman" w:hAnsi="Times New Roman" w:eastAsia="仿宋_GB2312" w:cs="Times New Roman"/>
          <w:b/>
          <w:bCs w:val="0"/>
          <w:sz w:val="32"/>
          <w:szCs w:val="32"/>
          <w:lang w:val="en-US"/>
        </w:rPr>
      </w:pPr>
      <w:r>
        <w:rPr>
          <w:rFonts w:hint="default" w:ascii="Times New Roman" w:hAnsi="Times New Roman" w:eastAsia="楷体_GB2312" w:cs="Times New Roman"/>
          <w:b/>
          <w:bCs/>
          <w:sz w:val="32"/>
          <w:szCs w:val="32"/>
          <w:lang w:val="zh-CN"/>
        </w:rPr>
        <w:t>绩效结果应用情况。</w:t>
      </w:r>
      <w:r>
        <w:rPr>
          <w:rFonts w:hint="eastAsia" w:ascii="Times New Roman" w:hAnsi="Times New Roman" w:eastAsia="仿宋_GB2312" w:cs="Times New Roman"/>
          <w:color w:val="000000"/>
          <w:kern w:val="0"/>
          <w:sz w:val="32"/>
          <w:szCs w:val="32"/>
          <w:highlight w:val="none"/>
          <w:shd w:val="clear" w:color="auto" w:fill="FFFFFF"/>
          <w:lang w:val="en-US" w:eastAsia="zh-CN"/>
        </w:rPr>
        <w:t xml:space="preserve">                    </w:t>
      </w:r>
    </w:p>
    <w:p>
      <w:pPr>
        <w:keepNext w:val="0"/>
        <w:keepLines w:val="0"/>
        <w:pageBreakBefore w:val="0"/>
        <w:widowControl w:val="0"/>
        <w:kinsoku/>
        <w:wordWrap/>
        <w:overflowPunct/>
        <w:topLinePunct w:val="0"/>
        <w:autoSpaceDE/>
        <w:autoSpaceDN/>
        <w:bidi w:val="0"/>
        <w:adjustRightInd/>
        <w:spacing w:line="576" w:lineRule="exact"/>
        <w:ind w:left="0" w:leftChars="0" w:firstLine="640" w:firstLineChars="200"/>
        <w:jc w:val="both"/>
        <w:textAlignment w:val="auto"/>
        <w:rPr>
          <w:rFonts w:hint="default" w:ascii="Times New Roman" w:hAnsi="Times New Roman" w:eastAsia="仿宋_GB2312" w:cs="Times New Roman"/>
          <w:color w:val="000000"/>
          <w:ker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sz w:val="32"/>
          <w:szCs w:val="32"/>
          <w:highlight w:val="none"/>
          <w:shd w:val="clear" w:color="auto" w:fill="FFFFFF"/>
          <w:lang w:val="en-US" w:eastAsia="zh-CN" w:bidi="ar-SA"/>
        </w:rPr>
        <w:t>将绩效评价结果与预算分配挂钩，对执行率不足或目标偏离项目实施预算核减，动态调整项目经费分配比例，从而</w:t>
      </w:r>
      <w:r>
        <w:rPr>
          <w:rFonts w:hint="eastAsia" w:ascii="仿宋_GB2312" w:hAnsi="宋体" w:eastAsia="仿宋_GB2312" w:cs="宋体"/>
          <w:color w:val="000000"/>
          <w:kern w:val="0"/>
          <w:sz w:val="32"/>
          <w:szCs w:val="32"/>
          <w:shd w:val="clear" w:color="auto" w:fill="FFFFFF"/>
          <w:lang w:val="en-US" w:eastAsia="zh-CN" w:bidi="ar-SA"/>
        </w:rPr>
        <w:t>有效发挥财政资金的使用效率。</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lang w:eastAsia="zh-CN"/>
        </w:rPr>
        <w:t>四、</w:t>
      </w:r>
      <w:r>
        <w:rPr>
          <w:rFonts w:hint="default" w:ascii="Times New Roman" w:hAnsi="Times New Roman" w:eastAsia="黑体" w:cs="Times New Roman"/>
          <w:color w:val="000000"/>
          <w:kern w:val="0"/>
          <w:sz w:val="32"/>
          <w:szCs w:val="32"/>
          <w:highlight w:val="none"/>
          <w:shd w:val="clear" w:color="auto" w:fill="FFFFFF"/>
        </w:rPr>
        <w:t>评价结论及建议</w:t>
      </w:r>
    </w:p>
    <w:p>
      <w:pPr>
        <w:keepNext w:val="0"/>
        <w:keepLines w:val="0"/>
        <w:pageBreakBefore w:val="0"/>
        <w:widowControl/>
        <w:kinsoku/>
        <w:wordWrap/>
        <w:overflowPunct/>
        <w:topLinePunct w:val="0"/>
        <w:autoSpaceDE/>
        <w:autoSpaceDN/>
        <w:bidi w:val="0"/>
        <w:adjustRightInd w:val="0"/>
        <w:snapToGrid w:val="0"/>
        <w:spacing w:line="576" w:lineRule="exact"/>
        <w:ind w:firstLine="720"/>
        <w:jc w:val="both"/>
        <w:textAlignment w:val="auto"/>
        <w:rPr>
          <w:rFonts w:hint="default" w:ascii="Times New Roman" w:hAnsi="Times New Roman" w:eastAsia="仿宋_GB2312" w:cs="Times New Roman"/>
          <w:b/>
          <w:bCs/>
          <w:color w:val="000000"/>
          <w:kern w:val="0"/>
          <w:sz w:val="32"/>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r>
        <w:rPr>
          <w:rFonts w:hint="default" w:ascii="Times New Roman" w:hAnsi="Times New Roman" w:eastAsia="仿宋_GB2312" w:cs="Times New Roman"/>
          <w:color w:val="000000"/>
          <w:sz w:val="32"/>
          <w:szCs w:val="32"/>
        </w:rPr>
        <w:t>根据《红原县部门整体支出绩效评价指标体系》自查的分</w:t>
      </w:r>
      <w:r>
        <w:rPr>
          <w:rFonts w:hint="default" w:ascii="Times New Roman" w:hAnsi="Times New Roman" w:eastAsia="仿宋_GB2312" w:cs="Times New Roman"/>
          <w:sz w:val="32"/>
          <w:szCs w:val="32"/>
        </w:rPr>
        <w:t>9</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color w:val="000000"/>
          <w:sz w:val="32"/>
          <w:szCs w:val="32"/>
        </w:rPr>
        <w:t>分，总体评价较好。</w:t>
      </w:r>
    </w:p>
    <w:p>
      <w:pPr>
        <w:keepNext w:val="0"/>
        <w:keepLines w:val="0"/>
        <w:pageBreakBefore w:val="0"/>
        <w:widowControl w:val="0"/>
        <w:kinsoku/>
        <w:wordWrap/>
        <w:overflowPunct/>
        <w:topLinePunct w:val="0"/>
        <w:autoSpaceDE/>
        <w:autoSpaceDN/>
        <w:bidi w:val="0"/>
        <w:adjustRightInd/>
        <w:snapToGrid/>
        <w:spacing w:after="0" w:line="576" w:lineRule="exact"/>
        <w:ind w:left="0" w:leftChars="0" w:firstLine="643"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（二）存在问题。</w:t>
      </w:r>
      <w:r>
        <w:rPr>
          <w:rFonts w:hint="eastAsia" w:ascii="仿宋_GB2312" w:hAnsi="仿宋_GB2312" w:eastAsia="仿宋_GB2312" w:cs="仿宋_GB2312"/>
          <w:color w:val="auto"/>
          <w:kern w:val="0"/>
          <w:sz w:val="32"/>
          <w:szCs w:val="32"/>
          <w:lang w:val="en-US" w:eastAsia="zh-CN" w:bidi="ar-SA"/>
        </w:rPr>
        <w:t>一是资金使用效益有待进一步提高。二是绩效目标设立不够明确、细化和量化。</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3" w:firstLineChars="200"/>
        <w:jc w:val="left"/>
        <w:textAlignment w:val="auto"/>
        <w:outlineLvl w:val="1"/>
        <w:rPr>
          <w:rFonts w:hint="default" w:ascii="仿宋_GB2312" w:hAnsi="仿宋_GB2312" w:eastAsia="仿宋_GB2312" w:cs="仿宋_GB2312"/>
          <w:color w:val="auto"/>
          <w:kern w:val="0"/>
          <w:sz w:val="32"/>
          <w:szCs w:val="32"/>
          <w:lang w:val="en-US" w:eastAsia="zh-CN"/>
        </w:rPr>
      </w:pP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楷体_GB2312" w:cs="Times New Roman"/>
          <w:b/>
          <w:bCs/>
          <w:color w:val="000000"/>
          <w:kern w:val="0"/>
          <w:sz w:val="32"/>
          <w:szCs w:val="32"/>
          <w:highlight w:val="none"/>
          <w:shd w:val="clear" w:color="auto" w:fill="FFFFFF"/>
          <w:lang w:val="en-US" w:eastAsia="zh-CN"/>
        </w:rPr>
        <w:t>三</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default" w:ascii="Times New Roman" w:hAnsi="Times New Roman" w:eastAsia="楷体_GB2312" w:cs="Times New Roman"/>
          <w:b/>
          <w:bCs/>
          <w:color w:val="000000"/>
          <w:kern w:val="0"/>
          <w:sz w:val="32"/>
          <w:szCs w:val="32"/>
          <w:highlight w:val="none"/>
          <w:shd w:val="clear" w:color="auto" w:fill="FFFFFF"/>
          <w:lang w:val="zh-CN" w:eastAsia="zh-CN"/>
        </w:rPr>
        <w:t>改进建议。</w:t>
      </w:r>
      <w:r>
        <w:rPr>
          <w:rFonts w:hint="eastAsia" w:ascii="仿宋_GB2312" w:hAnsi="仿宋_GB2312" w:eastAsia="仿宋_GB2312" w:cs="仿宋_GB2312"/>
          <w:color w:val="auto"/>
          <w:kern w:val="0"/>
          <w:sz w:val="32"/>
          <w:szCs w:val="32"/>
          <w:lang w:val="en-US" w:eastAsia="zh-CN"/>
        </w:rPr>
        <w:t>进一步完善项目绩效管理工作，严格落实专项经费使用管理规定，防止前紧后松，保证计划的有效性。</w:t>
      </w:r>
    </w:p>
    <w:p>
      <w:pPr>
        <w:rPr>
          <w:rFonts w:hint="eastAsia" w:ascii="黑体" w:hAnsi="黑体" w:eastAsia="黑体"/>
        </w:rPr>
      </w:pPr>
    </w:p>
    <w:p>
      <w:pPr>
        <w:pStyle w:val="3"/>
        <w:jc w:val="center"/>
        <w:rPr>
          <w:rFonts w:ascii="黑体" w:hAnsi="黑体" w:eastAsia="黑体"/>
        </w:rPr>
      </w:pPr>
      <w:bookmarkStart w:id="96" w:name="_Toc26177"/>
      <w:r>
        <w:rPr>
          <w:rFonts w:hint="eastAsia" w:ascii="黑体" w:hAnsi="黑体" w:eastAsia="黑体"/>
        </w:rPr>
        <w:t>第五部分 附表</w:t>
      </w:r>
      <w:bookmarkEnd w:id="96"/>
    </w:p>
    <w:p>
      <w:pPr>
        <w:rPr>
          <w:rFonts w:ascii="仿宋" w:hAnsi="仿宋" w:eastAsia="仿宋"/>
          <w:sz w:val="32"/>
          <w:szCs w:val="32"/>
        </w:rPr>
      </w:pPr>
      <w:r>
        <w:rPr>
          <w:rFonts w:hint="eastAsia" w:ascii="仿宋" w:hAnsi="仿宋" w:eastAsia="仿宋"/>
          <w:sz w:val="32"/>
          <w:szCs w:val="32"/>
        </w:rPr>
        <w:t>一、收入支出决算总表</w:t>
      </w:r>
    </w:p>
    <w:p>
      <w:pPr>
        <w:rPr>
          <w:rFonts w:ascii="仿宋" w:hAnsi="仿宋" w:eastAsia="仿宋"/>
          <w:sz w:val="32"/>
          <w:szCs w:val="32"/>
        </w:rPr>
      </w:pPr>
      <w:r>
        <w:rPr>
          <w:rFonts w:hint="eastAsia" w:ascii="仿宋" w:hAnsi="仿宋" w:eastAsia="仿宋"/>
          <w:sz w:val="32"/>
          <w:szCs w:val="32"/>
        </w:rPr>
        <w:t>二、收入决算表</w:t>
      </w:r>
    </w:p>
    <w:p>
      <w:pPr>
        <w:rPr>
          <w:rFonts w:ascii="仿宋" w:hAnsi="仿宋" w:eastAsia="仿宋"/>
          <w:sz w:val="32"/>
          <w:szCs w:val="32"/>
        </w:rPr>
      </w:pPr>
      <w:r>
        <w:rPr>
          <w:rFonts w:hint="eastAsia" w:ascii="仿宋" w:hAnsi="仿宋" w:eastAsia="仿宋"/>
          <w:sz w:val="32"/>
          <w:szCs w:val="32"/>
        </w:rPr>
        <w:t>三、支出决算表</w:t>
      </w:r>
    </w:p>
    <w:p>
      <w:pPr>
        <w:rPr>
          <w:rFonts w:ascii="仿宋" w:hAnsi="仿宋" w:eastAsia="仿宋"/>
          <w:sz w:val="32"/>
          <w:szCs w:val="32"/>
        </w:rPr>
      </w:pPr>
      <w:r>
        <w:rPr>
          <w:rFonts w:hint="eastAsia" w:ascii="仿宋" w:hAnsi="仿宋" w:eastAsia="仿宋"/>
          <w:sz w:val="32"/>
          <w:szCs w:val="32"/>
        </w:rPr>
        <w:t>四、财政拨款收入支出决算总表</w:t>
      </w:r>
    </w:p>
    <w:p>
      <w:pPr>
        <w:rPr>
          <w:rFonts w:ascii="仿宋" w:hAnsi="仿宋" w:eastAsia="仿宋"/>
          <w:sz w:val="32"/>
          <w:szCs w:val="32"/>
        </w:rPr>
      </w:pPr>
      <w:r>
        <w:rPr>
          <w:rFonts w:hint="eastAsia" w:ascii="仿宋" w:hAnsi="仿宋" w:eastAsia="仿宋"/>
          <w:sz w:val="32"/>
          <w:szCs w:val="32"/>
        </w:rPr>
        <w:t>五、财政拨款支出决算明细表</w:t>
      </w:r>
    </w:p>
    <w:p>
      <w:pPr>
        <w:rPr>
          <w:rFonts w:ascii="仿宋" w:hAnsi="仿宋" w:eastAsia="仿宋"/>
          <w:sz w:val="32"/>
          <w:szCs w:val="32"/>
        </w:rPr>
      </w:pPr>
      <w:r>
        <w:rPr>
          <w:rFonts w:hint="eastAsia" w:ascii="仿宋" w:hAnsi="仿宋" w:eastAsia="仿宋"/>
          <w:sz w:val="32"/>
          <w:szCs w:val="32"/>
        </w:rPr>
        <w:t>六、一般公共预算财政拨款支出决算表</w:t>
      </w:r>
    </w:p>
    <w:p>
      <w:pPr>
        <w:rPr>
          <w:rFonts w:ascii="仿宋" w:hAnsi="仿宋" w:eastAsia="仿宋"/>
          <w:sz w:val="32"/>
          <w:szCs w:val="32"/>
        </w:rPr>
      </w:pPr>
      <w:r>
        <w:rPr>
          <w:rFonts w:hint="eastAsia" w:ascii="仿宋" w:hAnsi="仿宋" w:eastAsia="仿宋"/>
          <w:sz w:val="32"/>
          <w:szCs w:val="32"/>
        </w:rPr>
        <w:t>七、一般公共预算财政拨款支出决算明细表</w:t>
      </w:r>
    </w:p>
    <w:p>
      <w:pPr>
        <w:rPr>
          <w:rFonts w:ascii="仿宋" w:hAnsi="仿宋" w:eastAsia="仿宋"/>
          <w:sz w:val="32"/>
          <w:szCs w:val="32"/>
        </w:rPr>
      </w:pPr>
      <w:r>
        <w:rPr>
          <w:rFonts w:hint="eastAsia" w:ascii="仿宋" w:hAnsi="仿宋" w:eastAsia="仿宋"/>
          <w:sz w:val="32"/>
          <w:szCs w:val="32"/>
        </w:rPr>
        <w:t>八、一般公共预算财政拨款基本支出决算表</w:t>
      </w:r>
    </w:p>
    <w:p>
      <w:pPr>
        <w:rPr>
          <w:rFonts w:ascii="仿宋" w:hAnsi="仿宋" w:eastAsia="仿宋"/>
          <w:sz w:val="32"/>
          <w:szCs w:val="32"/>
        </w:rPr>
      </w:pPr>
      <w:r>
        <w:rPr>
          <w:rFonts w:hint="eastAsia" w:ascii="仿宋" w:hAnsi="仿宋" w:eastAsia="仿宋"/>
          <w:sz w:val="32"/>
          <w:szCs w:val="32"/>
        </w:rPr>
        <w:t>九、一般公共预算财政拨款项目支出决算表</w:t>
      </w:r>
    </w:p>
    <w:p>
      <w:pPr>
        <w:rPr>
          <w:rFonts w:ascii="仿宋" w:hAnsi="仿宋" w:eastAsia="仿宋"/>
          <w:sz w:val="32"/>
          <w:szCs w:val="32"/>
        </w:rPr>
      </w:pPr>
      <w:r>
        <w:rPr>
          <w:rFonts w:hint="eastAsia" w:ascii="仿宋" w:hAnsi="仿宋" w:eastAsia="仿宋"/>
          <w:sz w:val="32"/>
          <w:szCs w:val="32"/>
        </w:rPr>
        <w:t>十、政府性基金预算财政拨款收入支出决算表</w:t>
      </w:r>
    </w:p>
    <w:p>
      <w:pPr>
        <w:rPr>
          <w:rFonts w:ascii="仿宋" w:hAnsi="仿宋" w:eastAsia="仿宋"/>
          <w:sz w:val="32"/>
          <w:szCs w:val="32"/>
        </w:rPr>
      </w:pPr>
      <w:r>
        <w:rPr>
          <w:rFonts w:hint="eastAsia" w:ascii="仿宋" w:hAnsi="仿宋" w:eastAsia="仿宋"/>
          <w:sz w:val="32"/>
          <w:szCs w:val="32"/>
        </w:rPr>
        <w:t>十一、国有资本经营预算财政拨款收入支出决算表</w:t>
      </w:r>
    </w:p>
    <w:p>
      <w:pPr>
        <w:rPr>
          <w:rFonts w:ascii="仿宋" w:hAnsi="仿宋" w:eastAsia="仿宋"/>
          <w:sz w:val="32"/>
          <w:szCs w:val="32"/>
        </w:rPr>
      </w:pPr>
      <w:r>
        <w:rPr>
          <w:rFonts w:hint="eastAsia" w:ascii="仿宋" w:hAnsi="仿宋" w:eastAsia="仿宋"/>
          <w:sz w:val="32"/>
          <w:szCs w:val="32"/>
        </w:rPr>
        <w:t>十二、国有资本经营预算财政拨款支出决算表</w:t>
      </w:r>
    </w:p>
    <w:p>
      <w:pPr>
        <w:rPr>
          <w:rFonts w:hint="eastAsia" w:ascii="仿宋" w:hAnsi="仿宋" w:eastAsia="仿宋"/>
          <w:sz w:val="32"/>
          <w:szCs w:val="32"/>
        </w:rPr>
      </w:pPr>
      <w:r>
        <w:rPr>
          <w:rFonts w:hint="eastAsia" w:ascii="仿宋" w:hAnsi="仿宋" w:eastAsia="仿宋"/>
          <w:sz w:val="32"/>
          <w:szCs w:val="32"/>
        </w:rPr>
        <w:t>十三、财政拨款“三公”经费支出决算表</w:t>
      </w:r>
    </w:p>
    <w:p>
      <w:pPr>
        <w:rPr>
          <w:rFonts w:asciiTheme="minorEastAsia" w:hAnsiTheme="minorEastAsia" w:eastAsiaTheme="minorEastAsia"/>
          <w:sz w:val="32"/>
          <w:szCs w:val="32"/>
          <w:lang w:val="zh-CN"/>
        </w:rPr>
      </w:pPr>
      <w:r>
        <w:rPr>
          <w:rFonts w:hint="eastAsia" w:ascii="仿宋" w:hAnsi="仿宋" w:eastAsia="仿宋"/>
          <w:sz w:val="32"/>
          <w:szCs w:val="32"/>
          <w:lang w:val="en-US" w:eastAsia="zh-CN"/>
        </w:rPr>
        <w:t>十四、</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val="zh-CN"/>
        </w:rPr>
        <w:t>预算项目支出绩效自评表（2024年度）</w:t>
      </w:r>
    </w:p>
    <w:p>
      <w:pPr>
        <w:pStyle w:val="2"/>
        <w:rPr>
          <w:rFonts w:hint="eastAsia" w:eastAsia="仿宋"/>
          <w:lang w:val="en-US" w:eastAsia="zh-CN"/>
        </w:rPr>
      </w:pPr>
    </w:p>
    <w:sectPr>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jc w:val="center"/>
    </w:pP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11"/>
                                <w:jc w:val="center"/>
                              </w:pPr>
                              <w:r>
                                <w:fldChar w:fldCharType="begin"/>
                              </w:r>
                              <w:r>
                                <w:instrText xml:space="preserve">PAGE   \* MERGEFORMAT</w:instrText>
                              </w:r>
                              <w:r>
                                <w:fldChar w:fldCharType="separate"/>
                              </w:r>
                              <w:r>
                                <w:rPr>
                                  <w:lang w:val="zh-CN"/>
                                </w:rPr>
                                <w:t>23</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sdt>
                    <w:sdtPr>
                      <w:id w:val="-1994781956"/>
                    </w:sdtPr>
                    <w:sdtContent>
                      <w:p>
                        <w:pPr>
                          <w:pStyle w:val="11"/>
                          <w:jc w:val="center"/>
                        </w:pPr>
                        <w:r>
                          <w:fldChar w:fldCharType="begin"/>
                        </w:r>
                        <w:r>
                          <w:instrText xml:space="preserve">PAGE   \* MERGEFORMAT</w:instrText>
                        </w:r>
                        <w:r>
                          <w:fldChar w:fldCharType="separate"/>
                        </w:r>
                        <w:r>
                          <w:rPr>
                            <w:lang w:val="zh-CN"/>
                          </w:rPr>
                          <w:t>23</w:t>
                        </w:r>
                        <w:r>
                          <w:fldChar w:fldCharType="end"/>
                        </w:r>
                      </w:p>
                    </w:sdtContent>
                  </w:sdt>
                  <w:p>
                    <w:pPr>
                      <w:pStyle w:val="2"/>
                    </w:pPr>
                  </w:p>
                </w:txbxContent>
              </v:textbox>
            </v:shape>
          </w:pict>
        </mc:Fallback>
      </mc:AlternateContent>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94C267"/>
    <w:multiLevelType w:val="singleLevel"/>
    <w:tmpl w:val="AA94C267"/>
    <w:lvl w:ilvl="0" w:tentative="0">
      <w:start w:val="1"/>
      <w:numFmt w:val="chineseCounting"/>
      <w:suff w:val="nothing"/>
      <w:lvlText w:val="%1、"/>
      <w:lvlJc w:val="left"/>
      <w:rPr>
        <w:rFonts w:hint="eastAsia"/>
      </w:rPr>
    </w:lvl>
  </w:abstractNum>
  <w:abstractNum w:abstractNumId="1">
    <w:nsid w:val="CEDF185E"/>
    <w:multiLevelType w:val="singleLevel"/>
    <w:tmpl w:val="CEDF185E"/>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E79B74A"/>
    <w:multiLevelType w:val="singleLevel"/>
    <w:tmpl w:val="1E79B74A"/>
    <w:lvl w:ilvl="0" w:tentative="0">
      <w:start w:val="2"/>
      <w:numFmt w:val="chineseCounting"/>
      <w:suff w:val="space"/>
      <w:lvlText w:val="第%1部分"/>
      <w:lvlJc w:val="left"/>
      <w:rPr>
        <w:rFonts w:hint="eastAsia"/>
      </w:rPr>
    </w:lvl>
  </w:abstractNum>
  <w:abstractNum w:abstractNumId="5">
    <w:nsid w:val="2E8CF73F"/>
    <w:multiLevelType w:val="singleLevel"/>
    <w:tmpl w:val="2E8CF73F"/>
    <w:lvl w:ilvl="0" w:tentative="0">
      <w:start w:val="3"/>
      <w:numFmt w:val="chineseCounting"/>
      <w:suff w:val="nothing"/>
      <w:lvlText w:val="（%1）"/>
      <w:lvlJc w:val="left"/>
      <w:rPr>
        <w:rFonts w:hint="eastAsia"/>
      </w:rPr>
    </w:lvl>
  </w:abstractNum>
  <w:abstractNum w:abstractNumId="6">
    <w:nsid w:val="4A03AEB6"/>
    <w:multiLevelType w:val="singleLevel"/>
    <w:tmpl w:val="4A03AEB6"/>
    <w:lvl w:ilvl="0" w:tentative="0">
      <w:start w:val="2"/>
      <w:numFmt w:val="decimal"/>
      <w:suff w:val="nothing"/>
      <w:lvlText w:val="（%1）"/>
      <w:lvlJc w:val="left"/>
    </w:lvl>
  </w:abstractNum>
  <w:num w:numId="1">
    <w:abstractNumId w:val="0"/>
  </w:num>
  <w:num w:numId="2">
    <w:abstractNumId w:val="1"/>
  </w:num>
  <w:num w:numId="3">
    <w:abstractNumId w:val="4"/>
  </w:num>
  <w:num w:numId="4">
    <w:abstractNumId w:val="3"/>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Q0ZDRjNzUxNmI4YWUyNWUxMjhlNDNjYWNjNDEzMjAifQ=="/>
  </w:docVars>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8A6"/>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6C9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1750"/>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00026E"/>
    <w:rsid w:val="01384477"/>
    <w:rsid w:val="014852B3"/>
    <w:rsid w:val="015975B8"/>
    <w:rsid w:val="01C80EB6"/>
    <w:rsid w:val="02355837"/>
    <w:rsid w:val="02D47275"/>
    <w:rsid w:val="02FEBE30"/>
    <w:rsid w:val="036F8141"/>
    <w:rsid w:val="03E72B61"/>
    <w:rsid w:val="050140F6"/>
    <w:rsid w:val="05E732EC"/>
    <w:rsid w:val="066E0107"/>
    <w:rsid w:val="06B17456"/>
    <w:rsid w:val="07996F6E"/>
    <w:rsid w:val="07DFD8BA"/>
    <w:rsid w:val="08843074"/>
    <w:rsid w:val="08D31906"/>
    <w:rsid w:val="09044B9E"/>
    <w:rsid w:val="0A2032A3"/>
    <w:rsid w:val="0BD7795F"/>
    <w:rsid w:val="0C201336"/>
    <w:rsid w:val="0C281F69"/>
    <w:rsid w:val="0D35B1ED"/>
    <w:rsid w:val="0D474670"/>
    <w:rsid w:val="0D58687D"/>
    <w:rsid w:val="0DD645B4"/>
    <w:rsid w:val="0E7ED1F5"/>
    <w:rsid w:val="0E8813E4"/>
    <w:rsid w:val="0EAD49A7"/>
    <w:rsid w:val="0ED8043D"/>
    <w:rsid w:val="0F753717"/>
    <w:rsid w:val="0F98263C"/>
    <w:rsid w:val="10086339"/>
    <w:rsid w:val="101860EC"/>
    <w:rsid w:val="10C055FF"/>
    <w:rsid w:val="114A472F"/>
    <w:rsid w:val="118107EC"/>
    <w:rsid w:val="119D1FC5"/>
    <w:rsid w:val="122E5DFF"/>
    <w:rsid w:val="12902616"/>
    <w:rsid w:val="134C29E0"/>
    <w:rsid w:val="13D50BC4"/>
    <w:rsid w:val="13F5616D"/>
    <w:rsid w:val="155B4089"/>
    <w:rsid w:val="15C70008"/>
    <w:rsid w:val="1658169C"/>
    <w:rsid w:val="16BB723D"/>
    <w:rsid w:val="175E7186"/>
    <w:rsid w:val="17872239"/>
    <w:rsid w:val="17D66D1D"/>
    <w:rsid w:val="17F9714D"/>
    <w:rsid w:val="18B95BA2"/>
    <w:rsid w:val="1918F934"/>
    <w:rsid w:val="196E143D"/>
    <w:rsid w:val="19800A63"/>
    <w:rsid w:val="19BB08C0"/>
    <w:rsid w:val="1A7A6085"/>
    <w:rsid w:val="1A9003A1"/>
    <w:rsid w:val="1B2321F0"/>
    <w:rsid w:val="1B925650"/>
    <w:rsid w:val="1BCE26FC"/>
    <w:rsid w:val="1BE8440E"/>
    <w:rsid w:val="1C4F6411"/>
    <w:rsid w:val="1D155CEE"/>
    <w:rsid w:val="1DEF6D8A"/>
    <w:rsid w:val="1DFBC4B3"/>
    <w:rsid w:val="1E740ACF"/>
    <w:rsid w:val="1EA5569B"/>
    <w:rsid w:val="1EE73F05"/>
    <w:rsid w:val="1F19C781"/>
    <w:rsid w:val="1F33FCE5"/>
    <w:rsid w:val="1F664E2A"/>
    <w:rsid w:val="1F7F7398"/>
    <w:rsid w:val="1FD224BF"/>
    <w:rsid w:val="1FD2DB6F"/>
    <w:rsid w:val="1FF35744"/>
    <w:rsid w:val="1FF6BC77"/>
    <w:rsid w:val="1FF9236D"/>
    <w:rsid w:val="22A87507"/>
    <w:rsid w:val="22C62F3A"/>
    <w:rsid w:val="231D7EF5"/>
    <w:rsid w:val="2333840E"/>
    <w:rsid w:val="23860B96"/>
    <w:rsid w:val="240371BF"/>
    <w:rsid w:val="241F1A4B"/>
    <w:rsid w:val="249C1DC3"/>
    <w:rsid w:val="24B2466D"/>
    <w:rsid w:val="24FE78B3"/>
    <w:rsid w:val="257C638F"/>
    <w:rsid w:val="25A03D3B"/>
    <w:rsid w:val="25BD32CA"/>
    <w:rsid w:val="25C7239A"/>
    <w:rsid w:val="26B96187"/>
    <w:rsid w:val="271909D4"/>
    <w:rsid w:val="27B5694E"/>
    <w:rsid w:val="286D547B"/>
    <w:rsid w:val="298505A2"/>
    <w:rsid w:val="29A51928"/>
    <w:rsid w:val="29C25353"/>
    <w:rsid w:val="29FD04D3"/>
    <w:rsid w:val="2A5C1303"/>
    <w:rsid w:val="2A5C57A7"/>
    <w:rsid w:val="2B7A34A4"/>
    <w:rsid w:val="2BD33881"/>
    <w:rsid w:val="2BFF7BC6"/>
    <w:rsid w:val="2C071743"/>
    <w:rsid w:val="2C2E5A75"/>
    <w:rsid w:val="2C8A61B5"/>
    <w:rsid w:val="2C974875"/>
    <w:rsid w:val="2CD59C95"/>
    <w:rsid w:val="2D157E8F"/>
    <w:rsid w:val="2DF04E50"/>
    <w:rsid w:val="2E07339C"/>
    <w:rsid w:val="2E2E7F5D"/>
    <w:rsid w:val="2E951288"/>
    <w:rsid w:val="2EFD05E5"/>
    <w:rsid w:val="2F023256"/>
    <w:rsid w:val="2F040D46"/>
    <w:rsid w:val="2F3B4708"/>
    <w:rsid w:val="2F4F95CE"/>
    <w:rsid w:val="2FACAFDD"/>
    <w:rsid w:val="2FAE5751"/>
    <w:rsid w:val="2FB1A395"/>
    <w:rsid w:val="2FCF0B76"/>
    <w:rsid w:val="2FD9A7D8"/>
    <w:rsid w:val="319F7F4E"/>
    <w:rsid w:val="320D55D9"/>
    <w:rsid w:val="3304709D"/>
    <w:rsid w:val="332901F1"/>
    <w:rsid w:val="33661C03"/>
    <w:rsid w:val="34A16E0A"/>
    <w:rsid w:val="3643781B"/>
    <w:rsid w:val="36AA5135"/>
    <w:rsid w:val="36BE0DA7"/>
    <w:rsid w:val="376B6AA6"/>
    <w:rsid w:val="376D39B2"/>
    <w:rsid w:val="37E16F03"/>
    <w:rsid w:val="37F53A3B"/>
    <w:rsid w:val="37FC58DA"/>
    <w:rsid w:val="38D469F0"/>
    <w:rsid w:val="38D806EF"/>
    <w:rsid w:val="38E86458"/>
    <w:rsid w:val="38F78389"/>
    <w:rsid w:val="397BAF1F"/>
    <w:rsid w:val="39941F91"/>
    <w:rsid w:val="39E7B272"/>
    <w:rsid w:val="39F5707E"/>
    <w:rsid w:val="39F7642F"/>
    <w:rsid w:val="39FF7B37"/>
    <w:rsid w:val="3A612966"/>
    <w:rsid w:val="3A7E3875"/>
    <w:rsid w:val="3AB79AF3"/>
    <w:rsid w:val="3AFDCB77"/>
    <w:rsid w:val="3B141786"/>
    <w:rsid w:val="3B7EF35A"/>
    <w:rsid w:val="3B9FDB6C"/>
    <w:rsid w:val="3BD72EE0"/>
    <w:rsid w:val="3BF5BC2F"/>
    <w:rsid w:val="3BF7C23A"/>
    <w:rsid w:val="3BFD046C"/>
    <w:rsid w:val="3BFF223E"/>
    <w:rsid w:val="3C6EC0A1"/>
    <w:rsid w:val="3CCF1E09"/>
    <w:rsid w:val="3CDB0824"/>
    <w:rsid w:val="3CEBA265"/>
    <w:rsid w:val="3D6A7F9F"/>
    <w:rsid w:val="3D7E7F4D"/>
    <w:rsid w:val="3D98207C"/>
    <w:rsid w:val="3D9CF30A"/>
    <w:rsid w:val="3DF82424"/>
    <w:rsid w:val="3DFF5A3E"/>
    <w:rsid w:val="3E0C2BE9"/>
    <w:rsid w:val="3E78745D"/>
    <w:rsid w:val="3ECA1318"/>
    <w:rsid w:val="3EEE77E9"/>
    <w:rsid w:val="3F394AF5"/>
    <w:rsid w:val="3FBE5714"/>
    <w:rsid w:val="3FDD8615"/>
    <w:rsid w:val="3FDFB2FF"/>
    <w:rsid w:val="3FE41E03"/>
    <w:rsid w:val="3FF4CAE0"/>
    <w:rsid w:val="3FF75FAF"/>
    <w:rsid w:val="3FF7B227"/>
    <w:rsid w:val="40550877"/>
    <w:rsid w:val="40644F5E"/>
    <w:rsid w:val="40B557B9"/>
    <w:rsid w:val="40C335CB"/>
    <w:rsid w:val="422229DB"/>
    <w:rsid w:val="42B14D2B"/>
    <w:rsid w:val="4474551E"/>
    <w:rsid w:val="44D04970"/>
    <w:rsid w:val="44E268DA"/>
    <w:rsid w:val="45401AF6"/>
    <w:rsid w:val="45525385"/>
    <w:rsid w:val="457F4F6B"/>
    <w:rsid w:val="47262CD6"/>
    <w:rsid w:val="4737FB58"/>
    <w:rsid w:val="477C0DDF"/>
    <w:rsid w:val="47A16F94"/>
    <w:rsid w:val="47ECCB02"/>
    <w:rsid w:val="47FA6A3F"/>
    <w:rsid w:val="48931F3C"/>
    <w:rsid w:val="49060960"/>
    <w:rsid w:val="493337BF"/>
    <w:rsid w:val="498126DD"/>
    <w:rsid w:val="49D7AE48"/>
    <w:rsid w:val="4A3D2AA8"/>
    <w:rsid w:val="4A3F6C7E"/>
    <w:rsid w:val="4A627F82"/>
    <w:rsid w:val="4A71383E"/>
    <w:rsid w:val="4A981144"/>
    <w:rsid w:val="4B0E749A"/>
    <w:rsid w:val="4B474DDC"/>
    <w:rsid w:val="4B4F25DA"/>
    <w:rsid w:val="4BBB4781"/>
    <w:rsid w:val="4BD709A5"/>
    <w:rsid w:val="4BDD9BFF"/>
    <w:rsid w:val="4BE068DB"/>
    <w:rsid w:val="4BF52F0E"/>
    <w:rsid w:val="4D577224"/>
    <w:rsid w:val="4DBF1CEB"/>
    <w:rsid w:val="4DBF6A6B"/>
    <w:rsid w:val="4DC64B62"/>
    <w:rsid w:val="4DF6A672"/>
    <w:rsid w:val="4E944C60"/>
    <w:rsid w:val="4EAB630A"/>
    <w:rsid w:val="4ECE2238"/>
    <w:rsid w:val="4F0A1409"/>
    <w:rsid w:val="4F7EA413"/>
    <w:rsid w:val="4FAB812F"/>
    <w:rsid w:val="4FC7696F"/>
    <w:rsid w:val="4FE9BD67"/>
    <w:rsid w:val="4FEE4C07"/>
    <w:rsid w:val="4FFB052F"/>
    <w:rsid w:val="500D3814"/>
    <w:rsid w:val="5080549C"/>
    <w:rsid w:val="50E21CB3"/>
    <w:rsid w:val="510B607F"/>
    <w:rsid w:val="526B3F2A"/>
    <w:rsid w:val="528154FB"/>
    <w:rsid w:val="53760DD8"/>
    <w:rsid w:val="537E6D0A"/>
    <w:rsid w:val="53A476F3"/>
    <w:rsid w:val="53AB6B88"/>
    <w:rsid w:val="53CC6C4A"/>
    <w:rsid w:val="53F74C96"/>
    <w:rsid w:val="543618F8"/>
    <w:rsid w:val="54C142D5"/>
    <w:rsid w:val="54FB77E7"/>
    <w:rsid w:val="556C4241"/>
    <w:rsid w:val="55766E6E"/>
    <w:rsid w:val="5583522D"/>
    <w:rsid w:val="56384F6E"/>
    <w:rsid w:val="567E247E"/>
    <w:rsid w:val="56A812A9"/>
    <w:rsid w:val="56DE2F1C"/>
    <w:rsid w:val="570D735E"/>
    <w:rsid w:val="57BD3DD4"/>
    <w:rsid w:val="57DE0CFA"/>
    <w:rsid w:val="57F9CD1E"/>
    <w:rsid w:val="59042B8F"/>
    <w:rsid w:val="59B85CA7"/>
    <w:rsid w:val="5AF92295"/>
    <w:rsid w:val="5AF9D8E9"/>
    <w:rsid w:val="5B264E92"/>
    <w:rsid w:val="5BDD38BD"/>
    <w:rsid w:val="5BDD79E6"/>
    <w:rsid w:val="5BEFC772"/>
    <w:rsid w:val="5BFF5DFC"/>
    <w:rsid w:val="5C0C22DA"/>
    <w:rsid w:val="5C270EC2"/>
    <w:rsid w:val="5C853E3A"/>
    <w:rsid w:val="5CD71FC4"/>
    <w:rsid w:val="5D1F11B5"/>
    <w:rsid w:val="5D3647F9"/>
    <w:rsid w:val="5D4A130C"/>
    <w:rsid w:val="5DA644D4"/>
    <w:rsid w:val="5DAE1B18"/>
    <w:rsid w:val="5DE7D9E5"/>
    <w:rsid w:val="5ECEC941"/>
    <w:rsid w:val="5EFF8FC6"/>
    <w:rsid w:val="5F0D0843"/>
    <w:rsid w:val="5F2B6F1B"/>
    <w:rsid w:val="5F5BA39A"/>
    <w:rsid w:val="5F7D3B79"/>
    <w:rsid w:val="5F7F4610"/>
    <w:rsid w:val="5FBF9FF3"/>
    <w:rsid w:val="5FCD4E2C"/>
    <w:rsid w:val="5FEF394A"/>
    <w:rsid w:val="5FF67715"/>
    <w:rsid w:val="609D5B69"/>
    <w:rsid w:val="60D31618"/>
    <w:rsid w:val="610F0176"/>
    <w:rsid w:val="61BC20AC"/>
    <w:rsid w:val="61CA71D5"/>
    <w:rsid w:val="620A6244"/>
    <w:rsid w:val="620F6680"/>
    <w:rsid w:val="62562501"/>
    <w:rsid w:val="626F619A"/>
    <w:rsid w:val="627EE9EA"/>
    <w:rsid w:val="62D90A3C"/>
    <w:rsid w:val="635F3637"/>
    <w:rsid w:val="63666773"/>
    <w:rsid w:val="63B23AA5"/>
    <w:rsid w:val="63F91396"/>
    <w:rsid w:val="647F5392"/>
    <w:rsid w:val="64BF421D"/>
    <w:rsid w:val="64D94D23"/>
    <w:rsid w:val="64E322C4"/>
    <w:rsid w:val="65332685"/>
    <w:rsid w:val="65506B62"/>
    <w:rsid w:val="655645C6"/>
    <w:rsid w:val="657C502B"/>
    <w:rsid w:val="65832956"/>
    <w:rsid w:val="65FB93B9"/>
    <w:rsid w:val="661204ED"/>
    <w:rsid w:val="6633C463"/>
    <w:rsid w:val="67D55B77"/>
    <w:rsid w:val="67EE7F84"/>
    <w:rsid w:val="686F5F53"/>
    <w:rsid w:val="68925915"/>
    <w:rsid w:val="68AA0EB0"/>
    <w:rsid w:val="699456BD"/>
    <w:rsid w:val="6A203D51"/>
    <w:rsid w:val="6A611A43"/>
    <w:rsid w:val="6AA32632"/>
    <w:rsid w:val="6ACE4215"/>
    <w:rsid w:val="6AFFCEAF"/>
    <w:rsid w:val="6B340F05"/>
    <w:rsid w:val="6B8A1C13"/>
    <w:rsid w:val="6B96E9E6"/>
    <w:rsid w:val="6BAF2C82"/>
    <w:rsid w:val="6BCE57B5"/>
    <w:rsid w:val="6BFEA4DB"/>
    <w:rsid w:val="6BFFB662"/>
    <w:rsid w:val="6C4A05C8"/>
    <w:rsid w:val="6C7A3290"/>
    <w:rsid w:val="6CB467A2"/>
    <w:rsid w:val="6CD40BF2"/>
    <w:rsid w:val="6CFF4FB8"/>
    <w:rsid w:val="6D003795"/>
    <w:rsid w:val="6D317DF2"/>
    <w:rsid w:val="6D396CA7"/>
    <w:rsid w:val="6D6BD6E0"/>
    <w:rsid w:val="6D77E73C"/>
    <w:rsid w:val="6DBF5E93"/>
    <w:rsid w:val="6DFF077E"/>
    <w:rsid w:val="6E2E7E8E"/>
    <w:rsid w:val="6E761952"/>
    <w:rsid w:val="6E7E3605"/>
    <w:rsid w:val="6E7FDCC7"/>
    <w:rsid w:val="6ED6A62E"/>
    <w:rsid w:val="6EE00B15"/>
    <w:rsid w:val="6EE737B2"/>
    <w:rsid w:val="6EEB2329"/>
    <w:rsid w:val="6EECE67A"/>
    <w:rsid w:val="6F305E87"/>
    <w:rsid w:val="6F6F90A8"/>
    <w:rsid w:val="6F6FB3EB"/>
    <w:rsid w:val="6F8731EA"/>
    <w:rsid w:val="6FBC2ADD"/>
    <w:rsid w:val="6FD57C00"/>
    <w:rsid w:val="6FEFFFD8"/>
    <w:rsid w:val="6FF5CC65"/>
    <w:rsid w:val="6FFB47EC"/>
    <w:rsid w:val="6FFF034A"/>
    <w:rsid w:val="70052E70"/>
    <w:rsid w:val="700F3CEF"/>
    <w:rsid w:val="70311913"/>
    <w:rsid w:val="704368F9"/>
    <w:rsid w:val="708C17E3"/>
    <w:rsid w:val="70AB7EBB"/>
    <w:rsid w:val="70B14DA6"/>
    <w:rsid w:val="70CB230C"/>
    <w:rsid w:val="712A28F1"/>
    <w:rsid w:val="715C0E4B"/>
    <w:rsid w:val="716F783D"/>
    <w:rsid w:val="71D46F9E"/>
    <w:rsid w:val="71FFD401"/>
    <w:rsid w:val="72233669"/>
    <w:rsid w:val="72734D90"/>
    <w:rsid w:val="7332FE48"/>
    <w:rsid w:val="73AD73D5"/>
    <w:rsid w:val="73B6EB34"/>
    <w:rsid w:val="73F73418"/>
    <w:rsid w:val="73FA497D"/>
    <w:rsid w:val="7419338E"/>
    <w:rsid w:val="744731E5"/>
    <w:rsid w:val="7499002B"/>
    <w:rsid w:val="74A278C7"/>
    <w:rsid w:val="74BBD01D"/>
    <w:rsid w:val="74ED5379"/>
    <w:rsid w:val="753D30AC"/>
    <w:rsid w:val="75666CB2"/>
    <w:rsid w:val="75AD4450"/>
    <w:rsid w:val="75DEEEC2"/>
    <w:rsid w:val="767F479D"/>
    <w:rsid w:val="76C40B40"/>
    <w:rsid w:val="76E3355F"/>
    <w:rsid w:val="76F742AF"/>
    <w:rsid w:val="76F7BE7D"/>
    <w:rsid w:val="76FF5125"/>
    <w:rsid w:val="773570D3"/>
    <w:rsid w:val="77597F31"/>
    <w:rsid w:val="776F6FFA"/>
    <w:rsid w:val="7777A522"/>
    <w:rsid w:val="77858688"/>
    <w:rsid w:val="778769C8"/>
    <w:rsid w:val="77903967"/>
    <w:rsid w:val="77A92C7B"/>
    <w:rsid w:val="77CB741A"/>
    <w:rsid w:val="77D7BE3A"/>
    <w:rsid w:val="77DC22F5"/>
    <w:rsid w:val="797E3A6C"/>
    <w:rsid w:val="79CF70E2"/>
    <w:rsid w:val="79D7FD79"/>
    <w:rsid w:val="79E75806"/>
    <w:rsid w:val="79EE5BA4"/>
    <w:rsid w:val="7A641148"/>
    <w:rsid w:val="7A6F8BF5"/>
    <w:rsid w:val="7A894339"/>
    <w:rsid w:val="7ACF82B5"/>
    <w:rsid w:val="7AFF28C9"/>
    <w:rsid w:val="7AFF72A0"/>
    <w:rsid w:val="7AFF7572"/>
    <w:rsid w:val="7B0A57DF"/>
    <w:rsid w:val="7B6C7DFB"/>
    <w:rsid w:val="7B7D76A7"/>
    <w:rsid w:val="7BAE2FE2"/>
    <w:rsid w:val="7BAF6951"/>
    <w:rsid w:val="7BBFBED0"/>
    <w:rsid w:val="7BC3E394"/>
    <w:rsid w:val="7BF3FE4C"/>
    <w:rsid w:val="7BFB5035"/>
    <w:rsid w:val="7BFDE17E"/>
    <w:rsid w:val="7C8F243F"/>
    <w:rsid w:val="7CBA4FE2"/>
    <w:rsid w:val="7CBFC87B"/>
    <w:rsid w:val="7CFE0F48"/>
    <w:rsid w:val="7D3DE31C"/>
    <w:rsid w:val="7D7EC23E"/>
    <w:rsid w:val="7D7F8A13"/>
    <w:rsid w:val="7DBBCB01"/>
    <w:rsid w:val="7DC765D0"/>
    <w:rsid w:val="7DDB0EE0"/>
    <w:rsid w:val="7DFF51D8"/>
    <w:rsid w:val="7E634199"/>
    <w:rsid w:val="7E8ADEBF"/>
    <w:rsid w:val="7EEF11D3"/>
    <w:rsid w:val="7EF78C20"/>
    <w:rsid w:val="7F1E5CFC"/>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ascii="Times New Roman" w:hAnsi="Times New Roman" w:eastAsia="宋体" w:cs="Times New Roman"/>
    </w:rPr>
  </w:style>
  <w:style w:type="paragraph" w:styleId="6">
    <w:name w:val="Body Text"/>
    <w:basedOn w:val="1"/>
    <w:next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able of figures"/>
    <w:basedOn w:val="1"/>
    <w:next w:val="1"/>
    <w:qFormat/>
    <w:uiPriority w:val="0"/>
    <w:pPr>
      <w:ind w:left="400" w:leftChars="200" w:hanging="200" w:hangingChars="200"/>
    </w:p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字符"/>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字符"/>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字符"/>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8"/>
    <w:link w:val="3"/>
    <w:qFormat/>
    <w:uiPriority w:val="9"/>
    <w:rPr>
      <w:rFonts w:ascii="Times New Roman" w:hAnsi="Times New Roman"/>
      <w:b/>
      <w:bCs/>
      <w:kern w:val="44"/>
      <w:sz w:val="44"/>
      <w:szCs w:val="44"/>
    </w:rPr>
  </w:style>
  <w:style w:type="character" w:customStyle="1" w:styleId="31">
    <w:name w:val="标题 2 字符"/>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8"/>
    <w:link w:val="10"/>
    <w:semiHidden/>
    <w:qFormat/>
    <w:uiPriority w:val="99"/>
    <w:rPr>
      <w:rFonts w:ascii="Times New Roman" w:hAnsi="Times New Roman"/>
      <w:kern w:val="2"/>
      <w:sz w:val="18"/>
      <w:szCs w:val="18"/>
    </w:rPr>
  </w:style>
  <w:style w:type="character" w:customStyle="1" w:styleId="34">
    <w:name w:val="标题 3 字符"/>
    <w:basedOn w:val="18"/>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paragraph" w:customStyle="1" w:styleId="37">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customStyle="1" w:styleId="38">
    <w:name w:val="WPSOffice手动目录 1"/>
    <w:qFormat/>
    <w:uiPriority w:val="0"/>
    <w:pPr>
      <w:ind w:leftChars="0"/>
    </w:pPr>
    <w:rPr>
      <w:rFonts w:asciiTheme="minorHAnsi" w:hAnsiTheme="minorHAnsi" w:eastAsiaTheme="minorEastAsia" w:cstheme="minorBidi"/>
      <w:sz w:val="20"/>
      <w:szCs w:val="20"/>
    </w:rPr>
  </w:style>
  <w:style w:type="paragraph" w:customStyle="1" w:styleId="39">
    <w:name w:val="WPSOffice手动目录 2"/>
    <w:qFormat/>
    <w:uiPriority w:val="0"/>
    <w:pPr>
      <w:ind w:leftChars="200"/>
    </w:pPr>
    <w:rPr>
      <w:rFonts w:asciiTheme="minorHAnsi" w:hAnsiTheme="minorHAnsi" w:eastAsiaTheme="minorEastAsia" w:cstheme="minorBidi"/>
      <w:sz w:val="20"/>
      <w:szCs w:val="20"/>
    </w:rPr>
  </w:style>
  <w:style w:type="paragraph" w:customStyle="1" w:styleId="40">
    <w:name w:val="WPSOffice手动目录 3"/>
    <w:qFormat/>
    <w:uiPriority w:val="0"/>
    <w:pPr>
      <w:ind w:leftChars="4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896428078886"/>
          <c:y val="0.101085209003215"/>
          <c:w val="0.873314025651634"/>
          <c:h val="0.727773311897106"/>
        </c:manualLayout>
      </c:layout>
      <c:barChart>
        <c:barDir val="col"/>
        <c:grouping val="clustered"/>
        <c:varyColors val="0"/>
        <c:ser>
          <c:idx val="0"/>
          <c:order val="0"/>
          <c:tx>
            <c:strRef>
              <c:f>Sheet1!$B$1</c:f>
              <c:strCache>
                <c:ptCount val="1"/>
                <c:pt idx="0">
                  <c:v>2023年</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delete val="1"/>
          </c:dLbls>
          <c:cat>
            <c:strRef>
              <c:f>Sheet1!$A$3:$A$6</c:f>
              <c:strCache>
                <c:ptCount val="4"/>
                <c:pt idx="0">
                  <c:v>支出</c:v>
                </c:pt>
              </c:strCache>
            </c:strRef>
          </c:cat>
          <c:val>
            <c:numRef>
              <c:f>Sheet1!$B$3:$B$6</c:f>
              <c:numCache>
                <c:formatCode>General</c:formatCode>
                <c:ptCount val="4"/>
                <c:pt idx="0">
                  <c:v>945.1</c:v>
                </c:pt>
              </c:numCache>
            </c:numRef>
          </c:val>
        </c:ser>
        <c:ser>
          <c:idx val="1"/>
          <c:order val="1"/>
          <c:tx>
            <c:strRef>
              <c:f>Sheet1!$C$1</c:f>
              <c:strCache>
                <c:ptCount val="1"/>
                <c:pt idx="0">
                  <c:v>2024年</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Pt>
            <c:idx val="1"/>
            <c:invertIfNegative val="0"/>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dPt>
          <c:dLbls>
            <c:delete val="1"/>
          </c:dLbls>
          <c:cat>
            <c:strRef>
              <c:f>Sheet1!$A$3:$A$6</c:f>
              <c:strCache>
                <c:ptCount val="4"/>
                <c:pt idx="0">
                  <c:v>支出</c:v>
                </c:pt>
              </c:strCache>
            </c:strRef>
          </c:cat>
          <c:val>
            <c:numRef>
              <c:f>Sheet1!$C$3:$C$6</c:f>
              <c:numCache>
                <c:formatCode>General</c:formatCode>
                <c:ptCount val="4"/>
                <c:pt idx="0">
                  <c:v>843.25</c:v>
                </c:pt>
              </c:numCache>
            </c:numRef>
          </c:val>
        </c:ser>
        <c:ser>
          <c:idx val="2"/>
          <c:order val="2"/>
          <c:tx>
            <c:strRef>
              <c:f>Sheet1!$D$1</c:f>
              <c:strCache>
                <c:ptCount val="1"/>
                <c:pt idx="0">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elete val="1"/>
          </c:dLbls>
          <c:cat>
            <c:strRef>
              <c:f>Sheet1!$A$3:$A$6</c:f>
              <c:strCache>
                <c:ptCount val="4"/>
                <c:pt idx="0">
                  <c:v>支出</c:v>
                </c:pt>
              </c:strCache>
            </c:strRef>
          </c:cat>
          <c:val>
            <c:numRef>
              <c:f>Sheet1!$D$3:$D$6</c:f>
              <c:numCache>
                <c:formatCode>General</c:formatCode>
                <c:ptCount val="4"/>
              </c:numCache>
            </c:numRef>
          </c:val>
        </c:ser>
        <c:dLbls>
          <c:showLegendKey val="0"/>
          <c:showVal val="0"/>
          <c:showCatName val="0"/>
          <c:showSerName val="0"/>
          <c:showPercent val="0"/>
          <c:showBubbleSize val="0"/>
        </c:dLbls>
        <c:gapWidth val="100"/>
        <c:overlap val="-24"/>
        <c:axId val="642215252"/>
        <c:axId val="30948704"/>
      </c:barChart>
      <c:catAx>
        <c:axId val="642215252"/>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30948704"/>
        <c:crosses val="autoZero"/>
        <c:auto val="1"/>
        <c:lblAlgn val="ctr"/>
        <c:lblOffset val="100"/>
        <c:noMultiLvlLbl val="0"/>
      </c:catAx>
      <c:valAx>
        <c:axId val="3094870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642215252"/>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988377058032"/>
          <c:y val="0.098971812403657"/>
          <c:w val="0.570625"/>
          <c:h val="0.760833333333333"/>
        </c:manualLayout>
      </c:layout>
      <c:pieChart>
        <c:varyColors val="1"/>
        <c:ser>
          <c:idx val="0"/>
          <c:order val="0"/>
          <c:tx>
            <c:strRef>
              <c:f>Sheet1!$B$1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0734280374307864"/>
                  <c:y val="-0.22323600129752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100%</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0915275994865212"/>
                      <c:h val="0.114161849710983"/>
                    </c:manualLayout>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2.</a:t>
                    </a:r>
                    <a:r>
                      <a:rPr lang="en-US" altLang="zh-CN"/>
                      <a:t>04%</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101394169835234"/>
                      <c:h val="0.0783754116355653"/>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一般公共预算财政拨款收入</c:v>
                </c:pt>
              </c:strCache>
            </c:strRef>
          </c:cat>
          <c:val>
            <c:numRef>
              <c:f>Sheet1!$B$2:$B$4</c:f>
              <c:numCache>
                <c:formatCode>General</c:formatCode>
                <c:ptCount val="3"/>
                <c:pt idx="0">
                  <c:v>945.1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view3D>
      <c:rotX val="30"/>
      <c:rotY val="0"/>
      <c:depthPercent val="100"/>
      <c:rAngAx val="0"/>
    </c:view3D>
    <c:plotArea>
      <c:layout/>
      <c:pie3DChart>
        <c:varyColors val="1"/>
        <c:ser>
          <c:idx val="0"/>
          <c:order val="0"/>
          <c:tx>
            <c:strRef>
              <c:f>Sheet1!$B$1</c:f>
              <c:strCache>
                <c:ptCount val="1"/>
                <c:pt idx="0">
                  <c:v>列1</c:v>
                </c:pt>
              </c:strCache>
            </c:strRef>
          </c:tx>
          <c:spPr/>
          <c:explosion val="0"/>
          <c:dPt>
            <c:idx val="0"/>
            <c:bubble3D val="0"/>
            <c:spPr>
              <a:solidFill>
                <a:schemeClr val="accent6"/>
              </a:solidFill>
              <a:ln w="25400">
                <a:solidFill>
                  <a:schemeClr val="lt1"/>
                </a:solidFill>
              </a:ln>
              <a:effectLst/>
            </c:spPr>
          </c:dPt>
          <c:dPt>
            <c:idx val="1"/>
            <c:bubble3D val="0"/>
            <c:spPr>
              <a:solidFill>
                <a:schemeClr val="accent5"/>
              </a:solidFill>
              <a:ln w="25400">
                <a:solidFill>
                  <a:schemeClr val="lt1"/>
                </a:solidFill>
              </a:ln>
              <a:effectLst/>
            </c:spPr>
          </c:dPt>
          <c:dPt>
            <c:idx val="2"/>
            <c:bubble3D val="0"/>
            <c:spPr>
              <a:solidFill>
                <a:schemeClr val="accent4"/>
              </a:solidFill>
              <a:ln w="25400">
                <a:solidFill>
                  <a:schemeClr val="lt1"/>
                </a:solidFill>
              </a:ln>
              <a:effectLst/>
            </c:spPr>
          </c:dPt>
          <c:dPt>
            <c:idx val="3"/>
            <c:bubble3D val="0"/>
            <c:spPr>
              <a:solidFill>
                <a:schemeClr val="accent6">
                  <a:lumMod val="60000"/>
                </a:schemeClr>
              </a:solidFill>
              <a:ln w="2540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General</c:formatCode>
                <c:ptCount val="4"/>
                <c:pt idx="0">
                  <c:v>670.23</c:v>
                </c:pt>
                <c:pt idx="1">
                  <c:v>173.02</c:v>
                </c:pt>
              </c:numCache>
            </c:numRef>
          </c:val>
        </c:ser>
        <c:dLbls>
          <c:showLegendKey val="0"/>
          <c:showVal val="1"/>
          <c:showCatName val="0"/>
          <c:showSerName val="0"/>
          <c:showPercent val="0"/>
          <c:showBubbleSize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013177753338"/>
          <c:y val="0.141218920826365"/>
          <c:w val="0.870726388189901"/>
          <c:h val="0.66831370295892"/>
        </c:manualLayout>
      </c:layout>
      <c:barChart>
        <c:barDir val="col"/>
        <c:grouping val="clustered"/>
        <c:varyColors val="0"/>
        <c:ser>
          <c:idx val="0"/>
          <c:order val="0"/>
          <c:tx>
            <c:strRef>
              <c:f>Sheet1!$B$1</c:f>
              <c:strCache>
                <c:ptCount val="1"/>
                <c:pt idx="0">
                  <c:v>2024年</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delete val="1"/>
          </c:dLbls>
          <c:cat>
            <c:strRef>
              <c:f>Sheet1!$A$2:$A$5</c:f>
              <c:strCache>
                <c:ptCount val="4"/>
                <c:pt idx="0">
                  <c:v>收入</c:v>
                </c:pt>
                <c:pt idx="1">
                  <c:v>支出</c:v>
                </c:pt>
              </c:strCache>
            </c:strRef>
          </c:cat>
          <c:val>
            <c:numRef>
              <c:f>Sheet1!$B$2:$B$5</c:f>
              <c:numCache>
                <c:formatCode>General</c:formatCode>
                <c:ptCount val="4"/>
                <c:pt idx="0">
                  <c:v>843.25</c:v>
                </c:pt>
                <c:pt idx="1">
                  <c:v>843.25</c:v>
                </c:pt>
              </c:numCache>
            </c:numRef>
          </c:val>
        </c:ser>
        <c:ser>
          <c:idx val="1"/>
          <c:order val="1"/>
          <c:tx>
            <c:strRef>
              <c:f>Sheet1!$C$1</c:f>
              <c:strCache>
                <c:ptCount val="1"/>
                <c:pt idx="0">
                  <c:v>2023年</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delete val="1"/>
          </c:dLbls>
          <c:cat>
            <c:strRef>
              <c:f>Sheet1!$A$2:$A$5</c:f>
              <c:strCache>
                <c:ptCount val="4"/>
                <c:pt idx="0">
                  <c:v>收入</c:v>
                </c:pt>
                <c:pt idx="1">
                  <c:v>支出</c:v>
                </c:pt>
              </c:strCache>
            </c:strRef>
          </c:cat>
          <c:val>
            <c:numRef>
              <c:f>Sheet1!$C$2:$C$5</c:f>
              <c:numCache>
                <c:formatCode>General</c:formatCode>
                <c:ptCount val="4"/>
                <c:pt idx="0">
                  <c:v>945.1</c:v>
                </c:pt>
                <c:pt idx="1">
                  <c:v>945.1</c:v>
                </c:pt>
              </c:numCache>
            </c:numRef>
          </c:val>
        </c:ser>
        <c:ser>
          <c:idx val="2"/>
          <c:order val="2"/>
          <c:tx>
            <c:strRef>
              <c:f>Sheet1!$D$1</c:f>
              <c:strCache>
                <c:ptCount val="1"/>
                <c:pt idx="0">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elete val="1"/>
          </c:dLbls>
          <c:cat>
            <c:strRef>
              <c:f>Sheet1!$A$2:$A$5</c:f>
              <c:strCache>
                <c:ptCount val="4"/>
                <c:pt idx="0">
                  <c:v>收入</c:v>
                </c:pt>
                <c:pt idx="1">
                  <c:v>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00"/>
        <c:overlap val="-24"/>
        <c:axId val="642215252"/>
        <c:axId val="30948704"/>
      </c:barChart>
      <c:catAx>
        <c:axId val="642215252"/>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30948704"/>
        <c:crosses val="autoZero"/>
        <c:auto val="1"/>
        <c:lblAlgn val="ctr"/>
        <c:lblOffset val="100"/>
        <c:noMultiLvlLbl val="0"/>
      </c:catAx>
      <c:valAx>
        <c:axId val="3094870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642215252"/>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546478197344"/>
          <c:y val="0.141218920826365"/>
          <c:w val="0.870726388189901"/>
          <c:h val="0.66831370295892"/>
        </c:manualLayout>
      </c:layout>
      <c:barChart>
        <c:barDir val="col"/>
        <c:grouping val="clustered"/>
        <c:varyColors val="0"/>
        <c:ser>
          <c:idx val="0"/>
          <c:order val="0"/>
          <c:tx>
            <c:strRef>
              <c:f>Sheet1!$B$1</c:f>
              <c:strCache>
                <c:ptCount val="1"/>
                <c:pt idx="0">
                  <c:v>2024年</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delete val="1"/>
          </c:dLbls>
          <c:cat>
            <c:numRef>
              <c:f>Sheet1!$A$2:$A$4</c:f>
              <c:numCache>
                <c:formatCode>General</c:formatCode>
                <c:ptCount val="3"/>
              </c:numCache>
            </c:numRef>
          </c:cat>
          <c:val>
            <c:numRef>
              <c:f>Sheet1!$B$2:$B$4</c:f>
              <c:numCache>
                <c:formatCode>General</c:formatCode>
                <c:ptCount val="3"/>
                <c:pt idx="0">
                  <c:v>843.25</c:v>
                </c:pt>
              </c:numCache>
            </c:numRef>
          </c:val>
        </c:ser>
        <c:ser>
          <c:idx val="1"/>
          <c:order val="1"/>
          <c:tx>
            <c:strRef>
              <c:f>Sheet1!$C$1</c:f>
              <c:strCache>
                <c:ptCount val="1"/>
                <c:pt idx="0">
                  <c:v>2023年</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delete val="1"/>
          </c:dLbls>
          <c:cat>
            <c:numRef>
              <c:f>Sheet1!$A$2:$A$4</c:f>
              <c:numCache>
                <c:formatCode>General</c:formatCode>
                <c:ptCount val="3"/>
              </c:numCache>
            </c:numRef>
          </c:cat>
          <c:val>
            <c:numRef>
              <c:f>Sheet1!$C$2:$C$4</c:f>
              <c:numCache>
                <c:formatCode>General</c:formatCode>
                <c:ptCount val="3"/>
                <c:pt idx="0">
                  <c:v>945.1</c:v>
                </c:pt>
              </c:numCache>
            </c:numRef>
          </c:val>
        </c:ser>
        <c:ser>
          <c:idx val="2"/>
          <c:order val="2"/>
          <c:tx>
            <c:strRef>
              <c:f>Sheet1!$D$1</c:f>
              <c:strCache>
                <c:ptCount val="1"/>
                <c:pt idx="0">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elete val="1"/>
          </c:dLbls>
          <c:cat>
            <c:numRef>
              <c:f>Sheet1!$A$2:$A$4</c:f>
              <c:numCache>
                <c:formatCode>General</c:formatCode>
                <c:ptCount val="3"/>
              </c:numCache>
            </c:numRef>
          </c:cat>
          <c:val>
            <c:numRef>
              <c:f>Sheet1!$D$2:$D$4</c:f>
              <c:numCache>
                <c:formatCode>General</c:formatCode>
                <c:ptCount val="3"/>
              </c:numCache>
            </c:numRef>
          </c:val>
        </c:ser>
        <c:dLbls>
          <c:showLegendKey val="0"/>
          <c:showVal val="0"/>
          <c:showCatName val="0"/>
          <c:showSerName val="0"/>
          <c:showPercent val="0"/>
          <c:showBubbleSize val="0"/>
        </c:dLbls>
        <c:gapWidth val="100"/>
        <c:overlap val="-24"/>
        <c:axId val="642215252"/>
        <c:axId val="30948704"/>
      </c:barChart>
      <c:catAx>
        <c:axId val="642215252"/>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30948704"/>
        <c:crosses val="autoZero"/>
        <c:auto val="1"/>
        <c:lblAlgn val="ctr"/>
        <c:lblOffset val="100"/>
        <c:noMultiLvlLbl val="0"/>
      </c:catAx>
      <c:valAx>
        <c:axId val="3094870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642215252"/>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pieChart>
        <c:varyColors val="1"/>
        <c:ser>
          <c:idx val="0"/>
          <c:order val="0"/>
          <c:tx>
            <c:strRef>
              <c:f>Sheet1!$B$1</c:f>
              <c:strCache>
                <c:ptCount val="1"/>
                <c:pt idx="0">
                  <c:v>列1</c:v>
                </c:pt>
              </c:strCache>
            </c:strRef>
          </c:tx>
          <c:explosion val="0"/>
          <c:dPt>
            <c:idx val="0"/>
            <c:bubble3D val="0"/>
            <c:spPr>
              <a:solidFill>
                <a:schemeClr val="accent6"/>
              </a:solidFill>
              <a:ln>
                <a:noFill/>
              </a:ln>
              <a:effectLst>
                <a:outerShdw blurRad="63500" sx="102000" sy="102000" algn="ctr" rotWithShape="0">
                  <a:prstClr val="black">
                    <a:alpha val="20000"/>
                  </a:prstClr>
                </a:outerShdw>
              </a:effectLst>
            </c:spPr>
          </c:dPt>
          <c:dPt>
            <c:idx val="1"/>
            <c:bubble3D val="0"/>
            <c:spPr>
              <a:solidFill>
                <a:schemeClr val="accent5"/>
              </a:solidFill>
              <a:ln>
                <a:noFill/>
              </a:ln>
              <a:effectLst>
                <a:outerShdw blurRad="63500" sx="102000" sy="102000" algn="ctr" rotWithShape="0">
                  <a:prstClr val="black">
                    <a:alpha val="20000"/>
                  </a:prstClr>
                </a:outerShdw>
              </a:effectLst>
            </c:spPr>
          </c:dPt>
          <c:dPt>
            <c:idx val="2"/>
            <c:bubble3D val="0"/>
            <c:spPr>
              <a:solidFill>
                <a:schemeClr val="accent4"/>
              </a:solidFill>
              <a:ln>
                <a:noFill/>
              </a:ln>
              <a:effectLst>
                <a:outerShdw blurRad="63500" sx="102000" sy="102000" algn="ctr" rotWithShape="0">
                  <a:prstClr val="black">
                    <a:alpha val="20000"/>
                  </a:prstClr>
                </a:outerShdw>
              </a:effectLst>
            </c:spPr>
          </c:dPt>
          <c:dPt>
            <c:idx val="3"/>
            <c:bubble3D val="0"/>
            <c:spPr>
              <a:solidFill>
                <a:schemeClr val="accent6">
                  <a:lumMod val="60000"/>
                </a:schemeClr>
              </a:solidFill>
              <a:ln>
                <a:noFill/>
              </a:ln>
              <a:effectLst>
                <a:outerShdw blurRad="63500" sx="102000" sy="102000" algn="ctr" rotWithShape="0">
                  <a:prstClr val="black">
                    <a:alpha val="20000"/>
                  </a:prstClr>
                </a:outerShdw>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lumMod val="60000"/>
                        </a:schemeClr>
                      </a:solidFill>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15:layout>
                    <c:manualLayout>
                      <c:w val="0.222585924713584"/>
                      <c:h val="0.133333333333333"/>
                    </c:manualLayout>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一般公共服务</c:v>
                </c:pt>
                <c:pt idx="1">
                  <c:v>社会保障和就业</c:v>
                </c:pt>
                <c:pt idx="2">
                  <c:v>卫生健康</c:v>
                </c:pt>
                <c:pt idx="3">
                  <c:v>住房保障</c:v>
                </c:pt>
              </c:strCache>
            </c:strRef>
          </c:cat>
          <c:val>
            <c:numRef>
              <c:f>Sheet1!$B$2:$B$5</c:f>
              <c:numCache>
                <c:formatCode>0.00_ </c:formatCode>
                <c:ptCount val="4"/>
                <c:pt idx="0">
                  <c:v>674.54</c:v>
                </c:pt>
                <c:pt idx="1">
                  <c:v>85.6</c:v>
                </c:pt>
                <c:pt idx="2">
                  <c:v>36.68</c:v>
                </c:pt>
                <c:pt idx="3">
                  <c:v>46.42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3575565509468"/>
          <c:y val="0.111582096686516"/>
          <c:w val="0.570625"/>
          <c:h val="0.760833333333333"/>
        </c:manualLayout>
      </c:layout>
      <c:pieChart>
        <c:varyColors val="1"/>
        <c:ser>
          <c:idx val="0"/>
          <c:order val="0"/>
          <c:tx>
            <c:strRef>
              <c:f>Sheet1!$B$1</c:f>
              <c:strCache>
                <c:ptCount val="1"/>
                <c:pt idx="0">
                  <c:v>列1</c:v>
                </c:pt>
              </c:strCache>
            </c:strRef>
          </c:tx>
          <c:spPr/>
          <c:explosion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3"/>
              </a:solidFill>
              <a:ln>
                <a:noFill/>
              </a:ln>
              <a:effectLst>
                <a:outerShdw blurRad="63500" sx="102000" sy="102000" algn="ctr" rotWithShape="0">
                  <a:prstClr val="black">
                    <a:alpha val="20000"/>
                  </a:prstClr>
                </a:outerShdw>
              </a:effectLst>
            </c:spPr>
          </c:dPt>
          <c:dLbls>
            <c:dLbl>
              <c:idx val="0"/>
              <c:layout>
                <c:manualLayout>
                  <c:x val="0.0502429684375198"/>
                  <c:y val="-0.19973316894389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00906344410876133"/>
                  <c:y val="0"/>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out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c:v>
                </c:pt>
                <c:pt idx="1">
                  <c:v>公务接待费</c:v>
                </c:pt>
              </c:strCache>
            </c:strRef>
          </c:cat>
          <c:val>
            <c:numRef>
              <c:f>Sheet1!$B$2:$B$3</c:f>
              <c:numCache>
                <c:formatCode>0.00_ </c:formatCode>
                <c:ptCount val="2"/>
                <c:pt idx="0">
                  <c:v>33.07</c:v>
                </c:pt>
                <c:pt idx="1">
                  <c:v>3</c:v>
                </c:pt>
              </c:numCache>
            </c:numRef>
          </c:val>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8252</Words>
  <Characters>9082</Characters>
  <Lines>72</Lines>
  <Paragraphs>20</Paragraphs>
  <TotalTime>3</TotalTime>
  <ScaleCrop>false</ScaleCrop>
  <LinksUpToDate>false</LinksUpToDate>
  <CharactersWithSpaces>10382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oO月影子熙。</cp:lastModifiedBy>
  <cp:lastPrinted>2024-11-07T11:05:00Z</cp:lastPrinted>
  <dcterms:modified xsi:type="dcterms:W3CDTF">2025-09-24T02:32:59Z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E56831E580BD4CD6B3FDF3BC8AD424FC_12</vt:lpwstr>
  </property>
</Properties>
</file>