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96475"/>
      <w:bookmarkStart w:id="1" w:name="_Toc15377425"/>
      <w:bookmarkStart w:id="2" w:name="_Toc15378441"/>
      <w:bookmarkStart w:id="3" w:name="_Toc15396597"/>
      <w:bookmarkStart w:id="4" w:name="_Toc15377193"/>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31250"/>
      <w:bookmarkStart w:id="7" w:name="_Toc17558"/>
      <w:bookmarkStart w:id="8" w:name="_Toc11233"/>
      <w:bookmarkStart w:id="9" w:name="_Toc10129"/>
      <w:bookmarkStart w:id="10" w:name="_Toc30431"/>
      <w:bookmarkStart w:id="11" w:name="_Toc13691"/>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bookmarkEnd w:id="7"/>
      <w:bookmarkEnd w:id="8"/>
      <w:bookmarkEnd w:id="9"/>
      <w:bookmarkEnd w:id="10"/>
      <w:bookmarkEnd w:id="11"/>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2" w:name="_Toc7275"/>
      <w:bookmarkStart w:id="13" w:name="_Toc15396476"/>
      <w:bookmarkStart w:id="14" w:name="_Toc9387"/>
      <w:bookmarkStart w:id="15" w:name="_Toc10026"/>
      <w:bookmarkStart w:id="16" w:name="_Toc29595"/>
      <w:bookmarkStart w:id="17" w:name="_Toc15396598"/>
      <w:bookmarkStart w:id="18" w:name="_Toc15377426"/>
      <w:bookmarkStart w:id="19" w:name="_Toc18312"/>
      <w:bookmarkStart w:id="20" w:name="_Toc15377194"/>
      <w:bookmarkStart w:id="21" w:name="_Toc15378442"/>
      <w:bookmarkStart w:id="22" w:name="_Toc4704"/>
      <w:r>
        <w:rPr>
          <w:rFonts w:hint="eastAsia" w:ascii="方正小标宋简体" w:hAnsi="方正小标宋简体" w:eastAsia="方正小标宋简体" w:cs="方正小标宋简体"/>
          <w:sz w:val="72"/>
          <w:szCs w:val="72"/>
        </w:rPr>
        <w:t>四川省</w:t>
      </w:r>
      <w:bookmarkEnd w:id="5"/>
      <w:bookmarkStart w:id="23" w:name="_Toc15306268"/>
      <w:r>
        <w:rPr>
          <w:rFonts w:hint="eastAsia" w:ascii="方正小标宋简体" w:hAnsi="方正小标宋简体" w:eastAsia="方正小标宋简体" w:cs="方正小标宋简体"/>
          <w:sz w:val="72"/>
          <w:szCs w:val="72"/>
          <w:lang w:val="en-US" w:eastAsia="zh-CN"/>
        </w:rPr>
        <w:t>阿坝州红原县政协</w:t>
      </w:r>
      <w:r>
        <w:rPr>
          <w:rFonts w:hint="eastAsia" w:ascii="方正小标宋简体" w:hAnsi="方正小标宋简体" w:eastAsia="方正小标宋简体" w:cs="方正小标宋简体"/>
          <w:sz w:val="72"/>
          <w:szCs w:val="72"/>
        </w:rPr>
        <w:t>部门决算</w:t>
      </w:r>
      <w:bookmarkEnd w:id="12"/>
      <w:bookmarkEnd w:id="13"/>
      <w:bookmarkEnd w:id="14"/>
      <w:bookmarkEnd w:id="15"/>
      <w:bookmarkEnd w:id="16"/>
      <w:bookmarkEnd w:id="17"/>
      <w:bookmarkEnd w:id="18"/>
      <w:bookmarkEnd w:id="19"/>
      <w:bookmarkEnd w:id="20"/>
      <w:bookmarkEnd w:id="21"/>
      <w:bookmarkEnd w:id="22"/>
      <w:bookmarkEnd w:id="23"/>
    </w:p>
    <w:p>
      <w:pPr>
        <w:widowControl/>
        <w:jc w:val="center"/>
        <w:rPr>
          <w:rFonts w:hint="eastAsia" w:ascii="黑体" w:hAnsi="黑体" w:eastAsia="黑体"/>
          <w:sz w:val="52"/>
          <w:szCs w:val="52"/>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widowControl/>
        <w:jc w:val="center"/>
        <w:rPr>
          <w:rFonts w:ascii="黑体" w:hAnsi="黑体" w:eastAsia="黑体" w:cstheme="minorBidi"/>
          <w:sz w:val="28"/>
          <w:szCs w:val="28"/>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pStyle w:val="12"/>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12</w:t>
      </w:r>
      <w:bookmarkStart w:id="101" w:name="_GoBack"/>
      <w:bookmarkEnd w:id="101"/>
      <w:r>
        <w:rPr>
          <w:rFonts w:hint="eastAsia"/>
        </w:rPr>
        <w:t>日</w:t>
      </w:r>
    </w:p>
    <w:sdt>
      <w:sdtPr>
        <w:rPr>
          <w:rFonts w:ascii="宋体" w:hAnsi="宋体" w:eastAsia="宋体" w:cs="Times New Roman"/>
          <w:kern w:val="2"/>
          <w:sz w:val="21"/>
          <w:szCs w:val="24"/>
          <w:lang w:val="en-US" w:eastAsia="zh-CN" w:bidi="ar-SA"/>
        </w:rPr>
        <w:id w:val="147482067"/>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fldChar w:fldCharType="begin"/>
          </w:r>
          <w:r>
            <w:instrText xml:space="preserve">TOC \o "1-3" \h \u </w:instrText>
          </w:r>
          <w:r>
            <w:fldChar w:fldCharType="separate"/>
          </w:r>
        </w:p>
        <w:p>
          <w:pPr>
            <w:pStyle w:val="12"/>
            <w:tabs>
              <w:tab w:val="right" w:leader="dot" w:pos="8306"/>
              <w:tab w:val="clear" w:pos="8296"/>
            </w:tabs>
          </w:pPr>
          <w:r>
            <w:fldChar w:fldCharType="begin"/>
          </w:r>
          <w:r>
            <w:instrText xml:space="preserve"> HYPERLINK \l _Toc29168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_Toc29168 \h </w:instrText>
          </w:r>
          <w:r>
            <w:fldChar w:fldCharType="separate"/>
          </w:r>
          <w:r>
            <w:t>1</w:t>
          </w:r>
          <w:r>
            <w:fldChar w:fldCharType="end"/>
          </w:r>
          <w:r>
            <w:fldChar w:fldCharType="end"/>
          </w:r>
        </w:p>
        <w:p>
          <w:pPr>
            <w:pStyle w:val="13"/>
            <w:tabs>
              <w:tab w:val="right" w:leader="dot" w:pos="8306"/>
              <w:tab w:val="clear" w:pos="8296"/>
            </w:tabs>
          </w:pPr>
          <w:r>
            <w:fldChar w:fldCharType="begin"/>
          </w:r>
          <w:r>
            <w:instrText xml:space="preserve"> HYPERLINK \l _Toc2823 </w:instrText>
          </w:r>
          <w:r>
            <w:fldChar w:fldCharType="separate"/>
          </w:r>
          <w:r>
            <w:rPr>
              <w:rFonts w:hint="eastAsia" w:ascii="黑体" w:hAnsi="黑体" w:eastAsia="黑体"/>
            </w:rPr>
            <w:t>一、 部门职责</w:t>
          </w:r>
          <w:r>
            <w:tab/>
          </w:r>
          <w:r>
            <w:fldChar w:fldCharType="begin"/>
          </w:r>
          <w:r>
            <w:instrText xml:space="preserve"> PAGEREF _Toc2823 \h </w:instrText>
          </w:r>
          <w:r>
            <w:fldChar w:fldCharType="separate"/>
          </w:r>
          <w:r>
            <w:t>1</w:t>
          </w:r>
          <w:r>
            <w:fldChar w:fldCharType="end"/>
          </w:r>
          <w:r>
            <w:fldChar w:fldCharType="end"/>
          </w:r>
        </w:p>
        <w:p>
          <w:pPr>
            <w:pStyle w:val="8"/>
            <w:tabs>
              <w:tab w:val="right" w:leader="dot" w:pos="8306"/>
              <w:tab w:val="clear" w:pos="8296"/>
            </w:tabs>
          </w:pPr>
          <w:r>
            <w:fldChar w:fldCharType="begin"/>
          </w:r>
          <w:r>
            <w:instrText xml:space="preserve"> HYPERLINK \l _Toc8386 </w:instrText>
          </w:r>
          <w:r>
            <w:fldChar w:fldCharType="separate"/>
          </w:r>
          <w:r>
            <w:rPr>
              <w:rFonts w:hint="eastAsia" w:ascii="仿宋_GB2312" w:hAnsi="仿宋_GB2312" w:eastAsia="仿宋_GB2312" w:cs="仿宋_GB2312"/>
              <w:kern w:val="2"/>
              <w:szCs w:val="32"/>
            </w:rPr>
            <w:t>1. 中国人民政治协商会议四川省红原县委员会办公室</w:t>
          </w:r>
          <w:r>
            <w:tab/>
          </w:r>
          <w:r>
            <w:fldChar w:fldCharType="begin"/>
          </w:r>
          <w:r>
            <w:instrText xml:space="preserve"> PAGEREF _Toc8386 \h </w:instrText>
          </w:r>
          <w:r>
            <w:fldChar w:fldCharType="separate"/>
          </w:r>
          <w:r>
            <w:t>2</w:t>
          </w:r>
          <w:r>
            <w:fldChar w:fldCharType="end"/>
          </w:r>
          <w:r>
            <w:fldChar w:fldCharType="end"/>
          </w:r>
        </w:p>
        <w:p>
          <w:pPr>
            <w:pStyle w:val="8"/>
            <w:tabs>
              <w:tab w:val="right" w:leader="dot" w:pos="8306"/>
              <w:tab w:val="clear" w:pos="8296"/>
            </w:tabs>
          </w:pPr>
          <w:r>
            <w:fldChar w:fldCharType="begin"/>
          </w:r>
          <w:r>
            <w:instrText xml:space="preserve"> HYPERLINK \l _Toc20862 </w:instrText>
          </w:r>
          <w:r>
            <w:fldChar w:fldCharType="separate"/>
          </w:r>
          <w:r>
            <w:rPr>
              <w:rFonts w:hint="eastAsia" w:ascii="仿宋_GB2312" w:hAnsi="仿宋_GB2312" w:eastAsia="仿宋_GB2312" w:cs="仿宋_GB2312"/>
              <w:szCs w:val="32"/>
              <w:lang w:val="en-US" w:eastAsia="zh-CN"/>
            </w:rPr>
            <w:t>2. 红原县政协网络信息服务中心</w:t>
          </w:r>
          <w:r>
            <w:tab/>
          </w:r>
          <w:r>
            <w:fldChar w:fldCharType="begin"/>
          </w:r>
          <w:r>
            <w:instrText xml:space="preserve"> PAGEREF _Toc20862 \h </w:instrText>
          </w:r>
          <w:r>
            <w:fldChar w:fldCharType="separate"/>
          </w:r>
          <w:r>
            <w:t>2</w:t>
          </w:r>
          <w:r>
            <w:fldChar w:fldCharType="end"/>
          </w:r>
          <w:r>
            <w:fldChar w:fldCharType="end"/>
          </w:r>
        </w:p>
        <w:p>
          <w:pPr>
            <w:pStyle w:val="12"/>
            <w:tabs>
              <w:tab w:val="right" w:leader="dot" w:pos="8306"/>
              <w:tab w:val="clear" w:pos="8296"/>
            </w:tabs>
          </w:pPr>
          <w:r>
            <w:fldChar w:fldCharType="begin"/>
          </w:r>
          <w:r>
            <w:instrText xml:space="preserve"> HYPERLINK \l _Toc27312 </w:instrText>
          </w:r>
          <w:r>
            <w:fldChar w:fldCharType="separate"/>
          </w:r>
          <w:r>
            <w:rPr>
              <w:rFonts w:hint="eastAsia" w:ascii="黑体" w:hAnsi="黑体" w:eastAsia="黑体"/>
              <w:bCs/>
              <w:szCs w:val="44"/>
            </w:rPr>
            <w:t xml:space="preserve">第二部分 </w:t>
          </w:r>
          <w:r>
            <w:rPr>
              <w:rFonts w:hint="eastAsia" w:ascii="黑体" w:hAnsi="黑体" w:eastAsia="黑体"/>
              <w:szCs w:val="44"/>
            </w:rPr>
            <w:t>2023年度</w:t>
          </w:r>
          <w:r>
            <w:rPr>
              <w:rFonts w:hint="eastAsia" w:ascii="黑体" w:hAnsi="黑体" w:eastAsia="黑体"/>
              <w:bCs/>
              <w:szCs w:val="44"/>
            </w:rPr>
            <w:t>部门决算情况说明</w:t>
          </w:r>
          <w:r>
            <w:tab/>
          </w:r>
          <w:r>
            <w:fldChar w:fldCharType="begin"/>
          </w:r>
          <w:r>
            <w:instrText xml:space="preserve"> PAGEREF _Toc27312 \h </w:instrText>
          </w:r>
          <w:r>
            <w:fldChar w:fldCharType="separate"/>
          </w:r>
          <w:r>
            <w:t>2</w:t>
          </w:r>
          <w:r>
            <w:fldChar w:fldCharType="end"/>
          </w:r>
          <w:r>
            <w:fldChar w:fldCharType="end"/>
          </w:r>
        </w:p>
        <w:p>
          <w:pPr>
            <w:pStyle w:val="13"/>
            <w:tabs>
              <w:tab w:val="right" w:leader="dot" w:pos="8306"/>
              <w:tab w:val="clear" w:pos="8296"/>
            </w:tabs>
          </w:pPr>
          <w:r>
            <w:fldChar w:fldCharType="begin"/>
          </w:r>
          <w:r>
            <w:instrText xml:space="preserve"> HYPERLINK \l _Toc22877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_Toc22877 \h </w:instrText>
          </w:r>
          <w:r>
            <w:fldChar w:fldCharType="separate"/>
          </w:r>
          <w:r>
            <w:t>2</w:t>
          </w:r>
          <w:r>
            <w:fldChar w:fldCharType="end"/>
          </w:r>
          <w:r>
            <w:fldChar w:fldCharType="end"/>
          </w:r>
        </w:p>
        <w:p>
          <w:pPr>
            <w:pStyle w:val="13"/>
            <w:tabs>
              <w:tab w:val="right" w:leader="dot" w:pos="8306"/>
              <w:tab w:val="clear" w:pos="8296"/>
            </w:tabs>
          </w:pPr>
          <w:r>
            <w:fldChar w:fldCharType="begin"/>
          </w:r>
          <w:r>
            <w:instrText xml:space="preserve"> HYPERLINK \l _Toc26941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_Toc26941 \h </w:instrText>
          </w:r>
          <w:r>
            <w:fldChar w:fldCharType="separate"/>
          </w:r>
          <w:r>
            <w:t>2</w:t>
          </w:r>
          <w:r>
            <w:fldChar w:fldCharType="end"/>
          </w:r>
          <w:r>
            <w:fldChar w:fldCharType="end"/>
          </w:r>
        </w:p>
        <w:p>
          <w:pPr>
            <w:pStyle w:val="13"/>
            <w:tabs>
              <w:tab w:val="right" w:leader="dot" w:pos="8306"/>
              <w:tab w:val="clear" w:pos="8296"/>
            </w:tabs>
          </w:pPr>
          <w:r>
            <w:fldChar w:fldCharType="begin"/>
          </w:r>
          <w:r>
            <w:instrText xml:space="preserve"> HYPERLINK \l _Toc27531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_Toc27531 \h </w:instrText>
          </w:r>
          <w:r>
            <w:fldChar w:fldCharType="separate"/>
          </w:r>
          <w:r>
            <w:t>3</w:t>
          </w:r>
          <w:r>
            <w:fldChar w:fldCharType="end"/>
          </w:r>
          <w:r>
            <w:fldChar w:fldCharType="end"/>
          </w:r>
        </w:p>
        <w:p>
          <w:pPr>
            <w:pStyle w:val="13"/>
            <w:tabs>
              <w:tab w:val="right" w:leader="dot" w:pos="8306"/>
              <w:tab w:val="clear" w:pos="8296"/>
            </w:tabs>
          </w:pPr>
          <w:r>
            <w:fldChar w:fldCharType="begin"/>
          </w:r>
          <w:r>
            <w:instrText xml:space="preserve"> HYPERLINK \l _Toc3803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_Toc3803 \h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_Toc25223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_Toc25223 \h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_Toc30748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_Toc30748 \h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_Toc30719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_Toc30719 \h </w:instrText>
          </w:r>
          <w:r>
            <w:fldChar w:fldCharType="separate"/>
          </w:r>
          <w:r>
            <w:t>5</w:t>
          </w:r>
          <w:r>
            <w:fldChar w:fldCharType="end"/>
          </w:r>
          <w:r>
            <w:fldChar w:fldCharType="end"/>
          </w:r>
        </w:p>
        <w:p>
          <w:pPr>
            <w:pStyle w:val="8"/>
            <w:tabs>
              <w:tab w:val="right" w:leader="dot" w:pos="8306"/>
              <w:tab w:val="clear" w:pos="8296"/>
            </w:tabs>
          </w:pPr>
          <w:r>
            <w:fldChar w:fldCharType="begin"/>
          </w:r>
          <w:r>
            <w:instrText xml:space="preserve"> HYPERLINK \l _Toc7966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_Toc7966 \h </w:instrText>
          </w:r>
          <w:r>
            <w:fldChar w:fldCharType="separate"/>
          </w:r>
          <w:r>
            <w:t>6</w:t>
          </w:r>
          <w:r>
            <w:fldChar w:fldCharType="end"/>
          </w:r>
          <w:r>
            <w:fldChar w:fldCharType="end"/>
          </w:r>
        </w:p>
        <w:p>
          <w:pPr>
            <w:pStyle w:val="13"/>
            <w:tabs>
              <w:tab w:val="right" w:leader="dot" w:pos="8306"/>
              <w:tab w:val="clear" w:pos="8296"/>
            </w:tabs>
          </w:pPr>
          <w:r>
            <w:fldChar w:fldCharType="begin"/>
          </w:r>
          <w:r>
            <w:instrText xml:space="preserve"> HYPERLINK \l _Toc24603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_Toc24603 \h </w:instrText>
          </w:r>
          <w:r>
            <w:fldChar w:fldCharType="separate"/>
          </w:r>
          <w:r>
            <w:t>7</w:t>
          </w:r>
          <w:r>
            <w:fldChar w:fldCharType="end"/>
          </w:r>
          <w:r>
            <w:fldChar w:fldCharType="end"/>
          </w:r>
        </w:p>
        <w:p>
          <w:pPr>
            <w:pStyle w:val="13"/>
            <w:tabs>
              <w:tab w:val="right" w:leader="dot" w:pos="8306"/>
              <w:tab w:val="clear" w:pos="8296"/>
            </w:tabs>
          </w:pPr>
          <w:r>
            <w:fldChar w:fldCharType="begin"/>
          </w:r>
          <w:r>
            <w:instrText xml:space="preserve"> HYPERLINK \l _Toc15092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_Toc15092 \h </w:instrText>
          </w:r>
          <w:r>
            <w:fldChar w:fldCharType="separate"/>
          </w:r>
          <w:r>
            <w:t>8</w:t>
          </w:r>
          <w:r>
            <w:fldChar w:fldCharType="end"/>
          </w:r>
          <w:r>
            <w:fldChar w:fldCharType="end"/>
          </w:r>
        </w:p>
        <w:p>
          <w:pPr>
            <w:pStyle w:val="8"/>
            <w:tabs>
              <w:tab w:val="right" w:leader="dot" w:pos="8306"/>
              <w:tab w:val="clear" w:pos="8296"/>
            </w:tabs>
          </w:pPr>
          <w:r>
            <w:fldChar w:fldCharType="begin"/>
          </w:r>
          <w:r>
            <w:instrText xml:space="preserve"> HYPERLINK \l _Toc28333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_Toc28333 \h </w:instrText>
          </w:r>
          <w:r>
            <w:fldChar w:fldCharType="separate"/>
          </w:r>
          <w:r>
            <w:t>8</w:t>
          </w:r>
          <w:r>
            <w:fldChar w:fldCharType="end"/>
          </w:r>
          <w:r>
            <w:fldChar w:fldCharType="end"/>
          </w:r>
        </w:p>
        <w:p>
          <w:pPr>
            <w:pStyle w:val="8"/>
            <w:tabs>
              <w:tab w:val="right" w:leader="dot" w:pos="8306"/>
              <w:tab w:val="clear" w:pos="8296"/>
            </w:tabs>
          </w:pPr>
          <w:r>
            <w:fldChar w:fldCharType="begin"/>
          </w:r>
          <w:r>
            <w:instrText xml:space="preserve"> HYPERLINK \l _Toc26536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_Toc26536 \h </w:instrText>
          </w:r>
          <w:r>
            <w:fldChar w:fldCharType="separate"/>
          </w:r>
          <w:r>
            <w:t>8</w:t>
          </w:r>
          <w:r>
            <w:fldChar w:fldCharType="end"/>
          </w:r>
          <w:r>
            <w:fldChar w:fldCharType="end"/>
          </w:r>
        </w:p>
        <w:p>
          <w:pPr>
            <w:pStyle w:val="13"/>
            <w:tabs>
              <w:tab w:val="right" w:leader="dot" w:pos="8306"/>
              <w:tab w:val="clear" w:pos="8296"/>
            </w:tabs>
          </w:pPr>
          <w:r>
            <w:fldChar w:fldCharType="begin"/>
          </w:r>
          <w:r>
            <w:instrText xml:space="preserve"> HYPERLINK \l _Toc23926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_Toc23926 \h </w:instrText>
          </w:r>
          <w:r>
            <w:fldChar w:fldCharType="separate"/>
          </w:r>
          <w:r>
            <w:t>10</w:t>
          </w:r>
          <w:r>
            <w:fldChar w:fldCharType="end"/>
          </w:r>
          <w:r>
            <w:fldChar w:fldCharType="end"/>
          </w:r>
        </w:p>
        <w:p>
          <w:pPr>
            <w:pStyle w:val="13"/>
            <w:tabs>
              <w:tab w:val="right" w:leader="dot" w:pos="8306"/>
              <w:tab w:val="clear" w:pos="8296"/>
            </w:tabs>
          </w:pPr>
          <w:r>
            <w:fldChar w:fldCharType="begin"/>
          </w:r>
          <w:r>
            <w:instrText xml:space="preserve"> HYPERLINK \l _Toc16957 </w:instrText>
          </w:r>
          <w:r>
            <w:fldChar w:fldCharType="separate"/>
          </w:r>
          <w:r>
            <w:rPr>
              <w:rFonts w:hint="eastAsia" w:ascii="黑体" w:hAnsi="黑体" w:eastAsia="黑体"/>
            </w:rPr>
            <w:t>九、 国有资本经营预算支出决算情况说明</w:t>
          </w:r>
          <w:r>
            <w:tab/>
          </w:r>
          <w:r>
            <w:fldChar w:fldCharType="begin"/>
          </w:r>
          <w:r>
            <w:instrText xml:space="preserve"> PAGEREF _Toc16957 \h </w:instrText>
          </w:r>
          <w:r>
            <w:fldChar w:fldCharType="separate"/>
          </w:r>
          <w:r>
            <w:t>10</w:t>
          </w:r>
          <w:r>
            <w:fldChar w:fldCharType="end"/>
          </w:r>
          <w:r>
            <w:fldChar w:fldCharType="end"/>
          </w:r>
        </w:p>
        <w:p>
          <w:pPr>
            <w:pStyle w:val="13"/>
            <w:tabs>
              <w:tab w:val="right" w:leader="dot" w:pos="8306"/>
              <w:tab w:val="clear" w:pos="8296"/>
            </w:tabs>
          </w:pPr>
          <w:r>
            <w:fldChar w:fldCharType="begin"/>
          </w:r>
          <w:r>
            <w:instrText xml:space="preserve"> HYPERLINK \l _Toc18433 </w:instrText>
          </w:r>
          <w:r>
            <w:fldChar w:fldCharType="separate"/>
          </w:r>
          <w:r>
            <w:rPr>
              <w:rFonts w:hint="eastAsia" w:ascii="黑体" w:hAnsi="黑体" w:eastAsia="黑体"/>
            </w:rPr>
            <w:t>十、 其他重要事项的情况说明</w:t>
          </w:r>
          <w:r>
            <w:tab/>
          </w:r>
          <w:r>
            <w:fldChar w:fldCharType="begin"/>
          </w:r>
          <w:r>
            <w:instrText xml:space="preserve"> PAGEREF _Toc18433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_Toc18007 </w:instrText>
          </w:r>
          <w:r>
            <w:fldChar w:fldCharType="separate"/>
          </w:r>
          <w:r>
            <w:rPr>
              <w:rFonts w:hint="eastAsia" w:ascii="仿宋" w:hAnsi="仿宋" w:eastAsia="仿宋"/>
              <w:szCs w:val="32"/>
            </w:rPr>
            <w:t>（一）机关运行经费支出情况</w:t>
          </w:r>
          <w:r>
            <w:tab/>
          </w:r>
          <w:r>
            <w:fldChar w:fldCharType="begin"/>
          </w:r>
          <w:r>
            <w:instrText xml:space="preserve"> PAGEREF _Toc18007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_Toc22691 </w:instrText>
          </w:r>
          <w:r>
            <w:fldChar w:fldCharType="separate"/>
          </w:r>
          <w:r>
            <w:rPr>
              <w:rFonts w:hint="eastAsia" w:ascii="仿宋" w:hAnsi="仿宋" w:eastAsia="仿宋"/>
              <w:szCs w:val="32"/>
            </w:rPr>
            <w:t>（二）政府采购支出情况</w:t>
          </w:r>
          <w:r>
            <w:tab/>
          </w:r>
          <w:r>
            <w:fldChar w:fldCharType="begin"/>
          </w:r>
          <w:r>
            <w:instrText xml:space="preserve"> PAGEREF _Toc22691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_Toc1354 </w:instrText>
          </w:r>
          <w:r>
            <w:fldChar w:fldCharType="separate"/>
          </w:r>
          <w:r>
            <w:rPr>
              <w:rFonts w:hint="eastAsia" w:ascii="仿宋" w:hAnsi="仿宋" w:eastAsia="仿宋"/>
              <w:szCs w:val="32"/>
            </w:rPr>
            <w:t>（三）国有资产占有使用情况</w:t>
          </w:r>
          <w:r>
            <w:tab/>
          </w:r>
          <w:r>
            <w:fldChar w:fldCharType="begin"/>
          </w:r>
          <w:r>
            <w:instrText xml:space="preserve"> PAGEREF _Toc1354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_Toc29282 </w:instrText>
          </w:r>
          <w:r>
            <w:fldChar w:fldCharType="separate"/>
          </w:r>
          <w:r>
            <w:rPr>
              <w:rFonts w:hint="eastAsia" w:ascii="仿宋" w:hAnsi="仿宋" w:eastAsia="仿宋"/>
              <w:szCs w:val="32"/>
            </w:rPr>
            <w:t>（四）预算绩效管理情况</w:t>
          </w:r>
          <w:r>
            <w:tab/>
          </w:r>
          <w:r>
            <w:fldChar w:fldCharType="begin"/>
          </w:r>
          <w:r>
            <w:instrText xml:space="preserve"> PAGEREF _Toc29282 \h </w:instrText>
          </w:r>
          <w:r>
            <w:fldChar w:fldCharType="separate"/>
          </w:r>
          <w:r>
            <w:t>10</w:t>
          </w:r>
          <w:r>
            <w:fldChar w:fldCharType="end"/>
          </w:r>
          <w:r>
            <w:fldChar w:fldCharType="end"/>
          </w:r>
        </w:p>
        <w:p>
          <w:pPr>
            <w:pStyle w:val="12"/>
            <w:tabs>
              <w:tab w:val="right" w:leader="dot" w:pos="8306"/>
              <w:tab w:val="clear" w:pos="8296"/>
            </w:tabs>
          </w:pPr>
          <w:r>
            <w:fldChar w:fldCharType="begin"/>
          </w:r>
          <w:r>
            <w:instrText xml:space="preserve"> HYPERLINK \l _Toc14563 </w:instrText>
          </w:r>
          <w:r>
            <w:fldChar w:fldCharType="separate"/>
          </w:r>
          <w:r>
            <w:rPr>
              <w:rFonts w:hint="eastAsia" w:ascii="黑体" w:hAnsi="黑体" w:eastAsia="黑体" w:cs="黑体"/>
            </w:rPr>
            <w:t>第三部分 名词解释</w:t>
          </w:r>
          <w:r>
            <w:tab/>
          </w:r>
          <w:r>
            <w:fldChar w:fldCharType="begin"/>
          </w:r>
          <w:r>
            <w:instrText xml:space="preserve"> PAGEREF _Toc14563 \h </w:instrText>
          </w:r>
          <w:r>
            <w:fldChar w:fldCharType="separate"/>
          </w:r>
          <w:r>
            <w:t>11</w:t>
          </w:r>
          <w:r>
            <w:fldChar w:fldCharType="end"/>
          </w:r>
          <w:r>
            <w:fldChar w:fldCharType="end"/>
          </w:r>
        </w:p>
        <w:p>
          <w:pPr>
            <w:pStyle w:val="12"/>
            <w:tabs>
              <w:tab w:val="right" w:leader="dot" w:pos="8306"/>
              <w:tab w:val="clear" w:pos="8296"/>
            </w:tabs>
          </w:pPr>
          <w:r>
            <w:fldChar w:fldCharType="begin"/>
          </w:r>
          <w:r>
            <w:instrText xml:space="preserve"> HYPERLINK \l _Toc18228 </w:instrText>
          </w:r>
          <w:r>
            <w:fldChar w:fldCharType="separate"/>
          </w:r>
          <w:r>
            <w:rPr>
              <w:rFonts w:hint="eastAsia" w:ascii="黑体" w:hAnsi="黑体" w:eastAsia="黑体"/>
            </w:rPr>
            <w:t>第四部分 附件</w:t>
          </w:r>
          <w:r>
            <w:tab/>
          </w:r>
          <w:r>
            <w:fldChar w:fldCharType="begin"/>
          </w:r>
          <w:r>
            <w:instrText xml:space="preserve"> PAGEREF _Toc18228 \h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_Toc5427 </w:instrText>
          </w:r>
          <w:r>
            <w:fldChar w:fldCharType="separate"/>
          </w:r>
          <w:r>
            <w:rPr>
              <w:rFonts w:hint="eastAsia" w:ascii="黑体" w:hAnsi="黑体" w:eastAsia="黑体" w:cs="黑体"/>
              <w:b w:val="0"/>
              <w:bCs w:val="0"/>
              <w:lang w:val="en-US" w:eastAsia="zh-CN"/>
            </w:rPr>
            <w:t>部门预算绩效评价报告</w:t>
          </w:r>
          <w:r>
            <w:tab/>
          </w:r>
          <w:r>
            <w:fldChar w:fldCharType="begin"/>
          </w:r>
          <w:r>
            <w:instrText xml:space="preserve"> PAGEREF _Toc5427 \h </w:instrText>
          </w:r>
          <w:r>
            <w:fldChar w:fldCharType="separate"/>
          </w:r>
          <w:r>
            <w:t>1</w:t>
          </w:r>
          <w:r>
            <w:rPr>
              <w:rFonts w:hint="eastAsia"/>
              <w:lang w:val="en-US" w:eastAsia="zh-CN"/>
            </w:rPr>
            <w:t>4</w:t>
          </w:r>
          <w:r>
            <w:fldChar w:fldCharType="end"/>
          </w:r>
          <w:r>
            <w:fldChar w:fldCharType="end"/>
          </w:r>
        </w:p>
        <w:p>
          <w:pPr>
            <w:pStyle w:val="12"/>
            <w:tabs>
              <w:tab w:val="right" w:leader="dot" w:pos="8306"/>
              <w:tab w:val="clear" w:pos="8296"/>
            </w:tabs>
          </w:pPr>
          <w:r>
            <w:fldChar w:fldCharType="begin"/>
          </w:r>
          <w:r>
            <w:instrText xml:space="preserve"> HYPERLINK \l _Toc26177 </w:instrText>
          </w:r>
          <w:r>
            <w:fldChar w:fldCharType="separate"/>
          </w:r>
          <w:r>
            <w:rPr>
              <w:rFonts w:hint="eastAsia" w:ascii="黑体" w:hAnsi="黑体" w:eastAsia="黑体"/>
            </w:rPr>
            <w:t>第五部分 附表</w:t>
          </w:r>
          <w:r>
            <w:tab/>
          </w:r>
          <w:r>
            <w:fldChar w:fldCharType="begin"/>
          </w:r>
          <w:r>
            <w:instrText xml:space="preserve"> PAGEREF _Toc26177 \h </w:instrText>
          </w:r>
          <w:r>
            <w:fldChar w:fldCharType="separate"/>
          </w:r>
          <w:r>
            <w:t>20</w:t>
          </w:r>
          <w:r>
            <w:fldChar w:fldCharType="end"/>
          </w:r>
          <w:r>
            <w:fldChar w:fldCharType="end"/>
          </w:r>
        </w:p>
        <w:p>
          <w:r>
            <w:fldChar w:fldCharType="end"/>
          </w:r>
        </w:p>
      </w:sdtContent>
    </w:sdt>
    <w:p>
      <w:pPr>
        <w:pStyle w:val="3"/>
        <w:jc w:val="both"/>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
        <w:ind w:firstLine="1760" w:firstLineChars="400"/>
        <w:jc w:val="both"/>
        <w:rPr>
          <w:rFonts w:ascii="黑体" w:eastAsia="黑体"/>
          <w:sz w:val="32"/>
          <w:szCs w:val="32"/>
        </w:rPr>
      </w:pPr>
      <w:bookmarkStart w:id="24" w:name="_Toc29168"/>
      <w:r>
        <w:rPr>
          <w:rFonts w:hint="eastAsia" w:ascii="黑体" w:hAnsi="黑体" w:eastAsia="黑体"/>
          <w:b w:val="0"/>
        </w:rPr>
        <w:t xml:space="preserve">第一部分 </w:t>
      </w:r>
      <w:r>
        <w:rPr>
          <w:rStyle w:val="29"/>
          <w:rFonts w:hint="eastAsia" w:ascii="黑体" w:hAnsi="黑体" w:eastAsia="黑体"/>
          <w:b w:val="0"/>
          <w:bCs w:val="0"/>
        </w:rPr>
        <w:t>部门概况</w:t>
      </w:r>
      <w:bookmarkEnd w:id="24"/>
    </w:p>
    <w:p>
      <w:pPr>
        <w:pStyle w:val="4"/>
        <w:numPr>
          <w:ilvl w:val="0"/>
          <w:numId w:val="1"/>
        </w:numPr>
        <w:rPr>
          <w:rFonts w:hint="eastAsia" w:ascii="黑体" w:hAnsi="黑体" w:eastAsia="黑体"/>
          <w:b w:val="0"/>
        </w:rPr>
      </w:pPr>
      <w:bookmarkStart w:id="25" w:name="_Toc2823"/>
      <w:r>
        <w:rPr>
          <w:rFonts w:hint="eastAsia" w:ascii="黑体" w:hAnsi="黑体" w:eastAsia="黑体"/>
          <w:b w:val="0"/>
        </w:rPr>
        <w:t>部门职责</w:t>
      </w:r>
      <w:bookmarkEnd w:id="25"/>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1.负责政协红原县委员会全体会议、常委会议、主席会议和其他主要会议的组织和会务工作，并组织实施“三个例会”的决议、决定。</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2.组织委员视察参观、调查、座谈等日常活动以及各专门委员会的其他工作的组织和服务工作，负责县政协举办各种重大活动的组织、宣传工作。</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3.研究统一战线和人民政协的理论、政策，调查研究和了解有关我县各项事业及群众生活的重要问题提出解决办法，供党政机关参考。</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4.密切与县委、县人大、县政府有关部门的联系，搞好协调工作，做好上情下达、下情上报工作。</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5.负责政协工作的内外宣传、收集、反映各族各界人士的意见、建议。</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6.负责管理政协委员会机关行政、文秘、档案、信访、保密等工作。</w:t>
      </w:r>
    </w:p>
    <w:p>
      <w:pPr>
        <w:keepNext w:val="0"/>
        <w:keepLines w:val="0"/>
        <w:pageBreakBefore w:val="0"/>
        <w:widowControl w:val="0"/>
        <w:kinsoku/>
        <w:wordWrap w:val="0"/>
        <w:overflowPunct/>
        <w:topLinePunct w:val="0"/>
        <w:autoSpaceDN/>
        <w:bidi w:val="0"/>
        <w:spacing w:before="0" w:beforeAutospacing="0" w:after="100" w:afterAutospacing="0" w:line="572" w:lineRule="atLeast"/>
        <w:ind w:right="0" w:firstLine="640" w:firstLineChars="200"/>
        <w:jc w:val="left"/>
        <w:textAlignment w:val="auto"/>
        <w:rPr>
          <w:rStyle w:val="30"/>
          <w:b w:val="0"/>
          <w:bCs w:val="0"/>
          <w:sz w:val="32"/>
          <w:szCs w:val="32"/>
        </w:rPr>
      </w:pPr>
      <w:r>
        <w:rPr>
          <w:rFonts w:hint="eastAsia" w:ascii="仿宋_GB2312" w:hAnsi="仿宋_GB2312" w:eastAsia="仿宋_GB2312" w:cs="仿宋_GB2312"/>
          <w:kern w:val="0"/>
          <w:sz w:val="32"/>
          <w:szCs w:val="32"/>
          <w:lang w:val="en-US" w:eastAsia="zh-CN" w:bidi="ar"/>
        </w:rPr>
        <w:t>7.承担县政协主席、副主席和州政协交办的其他工作。</w:t>
      </w:r>
      <w:bookmarkStart w:id="26" w:name="_Toc15377200"/>
      <w:bookmarkStart w:id="27" w:name="_Toc15396601"/>
      <w:r>
        <w:rPr>
          <w:rFonts w:hint="eastAsia" w:ascii="黑体" w:eastAsia="黑体"/>
          <w:b w:val="0"/>
          <w:sz w:val="32"/>
          <w:szCs w:val="32"/>
        </w:rPr>
        <w:t>二、</w:t>
      </w:r>
      <w:r>
        <w:rPr>
          <w:rFonts w:hint="eastAsia" w:ascii="黑体" w:hAnsi="黑体" w:eastAsia="黑体"/>
          <w:b w:val="0"/>
          <w:sz w:val="32"/>
          <w:szCs w:val="32"/>
        </w:rPr>
        <w:t>机</w:t>
      </w:r>
      <w:r>
        <w:rPr>
          <w:rStyle w:val="30"/>
          <w:rFonts w:hint="eastAsia" w:ascii="黑体" w:hAnsi="黑体" w:eastAsia="黑体"/>
          <w:b w:val="0"/>
          <w:bCs w:val="0"/>
          <w:sz w:val="32"/>
          <w:szCs w:val="32"/>
        </w:rPr>
        <w:t>构设置</w:t>
      </w:r>
      <w:bookmarkEnd w:id="26"/>
      <w:bookmarkEnd w:id="27"/>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中国人民政治协商会议四川省红原县委员会办公室下属</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级预算单位2个，其中行政单位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pPr>
        <w:pStyle w:val="6"/>
        <w:adjustRightInd w:val="0"/>
        <w:snapToGrid w:val="0"/>
        <w:spacing w:before="93" w:line="600" w:lineRule="exact"/>
        <w:ind w:firstLine="672" w:firstLineChars="2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kern w:val="2"/>
          <w:sz w:val="32"/>
          <w:szCs w:val="32"/>
        </w:rPr>
        <w:t>中国人民政治协商会议四川省红原县委员会办公室</w:t>
      </w:r>
      <w:r>
        <w:rPr>
          <w:rFonts w:hint="eastAsia" w:ascii="仿宋_GB2312" w:hAnsi="仿宋_GB2312" w:eastAsia="仿宋_GB2312" w:cs="仿宋_GB2312"/>
          <w:sz w:val="32"/>
          <w:szCs w:val="32"/>
        </w:rPr>
        <w:t>2023年度部门决算编制范围的</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级预算单位包括：</w:t>
      </w:r>
    </w:p>
    <w:p>
      <w:pPr>
        <w:pStyle w:val="6"/>
        <w:numPr>
          <w:ilvl w:val="0"/>
          <w:numId w:val="2"/>
        </w:numPr>
        <w:adjustRightInd w:val="0"/>
        <w:snapToGrid w:val="0"/>
        <w:spacing w:before="93" w:line="600" w:lineRule="exact"/>
        <w:outlineLvl w:val="2"/>
        <w:rPr>
          <w:rFonts w:hint="eastAsia" w:ascii="仿宋_GB2312" w:hAnsi="仿宋_GB2312" w:eastAsia="仿宋_GB2312" w:cs="仿宋_GB2312"/>
          <w:kern w:val="2"/>
          <w:sz w:val="32"/>
          <w:szCs w:val="32"/>
        </w:rPr>
      </w:pPr>
      <w:bookmarkStart w:id="28" w:name="_Toc15377202"/>
      <w:bookmarkStart w:id="29" w:name="_Toc15378449"/>
      <w:bookmarkStart w:id="30" w:name="_Toc15306276"/>
      <w:bookmarkStart w:id="31" w:name="_Toc8386"/>
      <w:bookmarkStart w:id="32" w:name="_Toc15377433"/>
      <w:r>
        <w:rPr>
          <w:rFonts w:hint="eastAsia" w:ascii="仿宋_GB2312" w:hAnsi="仿宋_GB2312" w:eastAsia="仿宋_GB2312" w:cs="仿宋_GB2312"/>
          <w:kern w:val="2"/>
          <w:sz w:val="32"/>
          <w:szCs w:val="32"/>
        </w:rPr>
        <w:t>中国人民政治协商会议四川省红原县委员会办公室</w:t>
      </w:r>
      <w:bookmarkEnd w:id="28"/>
      <w:bookmarkEnd w:id="29"/>
      <w:bookmarkEnd w:id="30"/>
      <w:bookmarkEnd w:id="31"/>
      <w:bookmarkEnd w:id="32"/>
      <w:bookmarkStart w:id="33" w:name="_Toc15377203"/>
      <w:bookmarkStart w:id="34" w:name="_Toc15378450"/>
      <w:bookmarkStart w:id="35" w:name="_Toc15377434"/>
      <w:bookmarkStart w:id="36" w:name="_Toc15306277"/>
    </w:p>
    <w:bookmarkEnd w:id="33"/>
    <w:bookmarkEnd w:id="34"/>
    <w:bookmarkEnd w:id="35"/>
    <w:bookmarkEnd w:id="36"/>
    <w:p>
      <w:pPr>
        <w:pStyle w:val="6"/>
        <w:numPr>
          <w:ilvl w:val="0"/>
          <w:numId w:val="2"/>
        </w:numPr>
        <w:adjustRightInd w:val="0"/>
        <w:snapToGrid w:val="0"/>
        <w:spacing w:before="93" w:line="600" w:lineRule="exact"/>
        <w:outlineLvl w:val="2"/>
        <w:rPr>
          <w:rFonts w:hint="eastAsia" w:ascii="仿宋_GB2312" w:hAnsi="仿宋_GB2312" w:eastAsia="仿宋_GB2312" w:cs="仿宋_GB2312"/>
          <w:sz w:val="32"/>
          <w:szCs w:val="32"/>
          <w:lang w:val="en-US" w:eastAsia="zh-CN"/>
        </w:rPr>
      </w:pPr>
      <w:bookmarkStart w:id="37" w:name="_Toc20862"/>
      <w:r>
        <w:rPr>
          <w:rFonts w:hint="eastAsia" w:ascii="仿宋_GB2312" w:hAnsi="仿宋_GB2312" w:eastAsia="仿宋_GB2312" w:cs="仿宋_GB2312"/>
          <w:sz w:val="32"/>
          <w:szCs w:val="32"/>
          <w:lang w:val="en-US" w:eastAsia="zh-CN"/>
        </w:rPr>
        <w:t>红原县政协网络信息服务中心</w:t>
      </w:r>
      <w:bookmarkEnd w:id="37"/>
    </w:p>
    <w:p>
      <w:pPr>
        <w:numPr>
          <w:ilvl w:val="0"/>
          <w:numId w:val="0"/>
        </w:numPr>
        <w:rPr>
          <w:rFonts w:hint="eastAsia"/>
        </w:rPr>
      </w:pPr>
    </w:p>
    <w:p>
      <w:pPr>
        <w:widowControl/>
        <w:numPr>
          <w:ilvl w:val="0"/>
          <w:numId w:val="3"/>
        </w:numPr>
        <w:ind w:firstLine="440" w:firstLineChars="100"/>
        <w:jc w:val="left"/>
        <w:outlineLvl w:val="0"/>
        <w:rPr>
          <w:rStyle w:val="29"/>
          <w:rFonts w:hint="eastAsia" w:ascii="黑体" w:hAnsi="黑体" w:eastAsia="黑体"/>
          <w:b w:val="0"/>
          <w:bCs/>
          <w:sz w:val="44"/>
          <w:szCs w:val="44"/>
        </w:rPr>
      </w:pPr>
      <w:bookmarkStart w:id="38" w:name="_Toc15377204"/>
      <w:bookmarkStart w:id="39" w:name="_Toc15396602"/>
      <w:bookmarkStart w:id="40" w:name="_Toc27312"/>
      <w:r>
        <w:rPr>
          <w:rFonts w:hint="eastAsia" w:ascii="黑体" w:hAnsi="黑体" w:eastAsia="黑体"/>
          <w:b w:val="0"/>
          <w:sz w:val="44"/>
          <w:szCs w:val="44"/>
        </w:rPr>
        <w:t>2023年度</w:t>
      </w:r>
      <w:r>
        <w:rPr>
          <w:rStyle w:val="29"/>
          <w:rFonts w:hint="eastAsia" w:ascii="黑体" w:hAnsi="黑体" w:eastAsia="黑体"/>
          <w:b w:val="0"/>
          <w:bCs/>
          <w:sz w:val="44"/>
          <w:szCs w:val="44"/>
        </w:rPr>
        <w:t>部门决算情况说明</w:t>
      </w:r>
      <w:bookmarkEnd w:id="38"/>
      <w:bookmarkEnd w:id="39"/>
      <w:bookmarkEnd w:id="40"/>
    </w:p>
    <w:p/>
    <w:p>
      <w:pPr>
        <w:pStyle w:val="28"/>
        <w:numPr>
          <w:ilvl w:val="0"/>
          <w:numId w:val="4"/>
        </w:numPr>
        <w:spacing w:line="600" w:lineRule="exact"/>
        <w:ind w:firstLineChars="0"/>
        <w:outlineLvl w:val="1"/>
        <w:rPr>
          <w:rStyle w:val="30"/>
          <w:rFonts w:ascii="黑体" w:hAnsi="黑体" w:eastAsia="黑体"/>
          <w:b w:val="0"/>
        </w:rPr>
      </w:pPr>
      <w:bookmarkStart w:id="41" w:name="_Toc22877"/>
      <w:bookmarkStart w:id="42" w:name="_Toc15396603"/>
      <w:bookmarkStart w:id="43"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41"/>
      <w:bookmarkEnd w:id="42"/>
      <w:bookmarkEnd w:id="43"/>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945.1</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w:t>
      </w:r>
      <w:r>
        <w:rPr>
          <w:rFonts w:hint="eastAsia" w:ascii="仿宋" w:hAnsi="仿宋" w:eastAsia="仿宋"/>
          <w:sz w:val="32"/>
          <w:szCs w:val="32"/>
          <w:lang w:val="en-US" w:eastAsia="zh-CN"/>
        </w:rPr>
        <w:t>均</w:t>
      </w:r>
      <w:r>
        <w:rPr>
          <w:rFonts w:hint="eastAsia" w:ascii="仿宋" w:hAnsi="仿宋" w:eastAsia="仿宋"/>
          <w:sz w:val="32"/>
          <w:szCs w:val="32"/>
        </w:rPr>
        <w:t>增加</w:t>
      </w:r>
      <w:r>
        <w:rPr>
          <w:rFonts w:hint="eastAsia" w:ascii="仿宋" w:hAnsi="仿宋" w:eastAsia="仿宋"/>
          <w:sz w:val="32"/>
          <w:szCs w:val="32"/>
          <w:lang w:val="en-US" w:eastAsia="zh-CN"/>
        </w:rPr>
        <w:t>165.75</w:t>
      </w:r>
      <w:r>
        <w:rPr>
          <w:rFonts w:hint="eastAsia" w:ascii="仿宋" w:hAnsi="仿宋" w:eastAsia="仿宋"/>
          <w:sz w:val="32"/>
          <w:szCs w:val="32"/>
        </w:rPr>
        <w:t>万元，增长</w:t>
      </w:r>
      <w:r>
        <w:rPr>
          <w:rFonts w:hint="eastAsia" w:ascii="仿宋" w:hAnsi="仿宋" w:eastAsia="仿宋"/>
          <w:sz w:val="32"/>
          <w:szCs w:val="32"/>
          <w:lang w:val="en-US" w:eastAsia="zh-CN"/>
        </w:rPr>
        <w:t>21.27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工资调整，工资福利费用增加；购置公务用车，增加公用经费支出；</w:t>
      </w:r>
      <w:r>
        <w:rPr>
          <w:rFonts w:hint="eastAsia" w:ascii="仿宋" w:eastAsia="仿宋"/>
          <w:sz w:val="32"/>
          <w:szCs w:val="32"/>
          <w:lang w:val="en-US" w:eastAsia="zh-CN"/>
        </w:rPr>
        <w:t>新增领导干部周转房（二期）维修和物资采购、</w:t>
      </w:r>
      <w:r>
        <w:rPr>
          <w:rFonts w:hint="eastAsia" w:ascii="仿宋" w:hAnsi="仿宋" w:eastAsia="仿宋"/>
          <w:sz w:val="32"/>
          <w:szCs w:val="32"/>
          <w:lang w:val="en-US" w:eastAsia="zh-CN"/>
        </w:rPr>
        <w:t>开展“有事来协商”平台建设、“书香政协”主题读书活动等工作增加了专项经费支出</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6"/>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385445</wp:posOffset>
            </wp:positionH>
            <wp:positionV relativeFrom="paragraph">
              <wp:posOffset>194310</wp:posOffset>
            </wp:positionV>
            <wp:extent cx="4090035" cy="2065655"/>
            <wp:effectExtent l="4445" t="4445" r="20320" b="635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
      <w:pPr>
        <w:pStyle w:val="6"/>
      </w:pPr>
    </w:p>
    <w:p/>
    <w:p>
      <w:pPr>
        <w:pStyle w:val="6"/>
      </w:pPr>
    </w:p>
    <w:p/>
    <w:p>
      <w:pPr>
        <w:spacing w:line="600" w:lineRule="exact"/>
        <w:jc w:val="left"/>
        <w:rPr>
          <w:rFonts w:ascii="仿宋_GB2312" w:eastAsia="仿宋_GB2312"/>
          <w:sz w:val="32"/>
          <w:szCs w:val="32"/>
        </w:rPr>
      </w:pPr>
    </w:p>
    <w:p>
      <w:pPr>
        <w:pStyle w:val="28"/>
        <w:numPr>
          <w:ilvl w:val="0"/>
          <w:numId w:val="4"/>
        </w:numPr>
        <w:spacing w:line="600" w:lineRule="exact"/>
        <w:ind w:firstLineChars="0"/>
        <w:outlineLvl w:val="1"/>
        <w:rPr>
          <w:rStyle w:val="30"/>
          <w:rFonts w:ascii="黑体" w:hAnsi="黑体" w:eastAsia="黑体"/>
          <w:b w:val="0"/>
        </w:rPr>
      </w:pPr>
      <w:bookmarkStart w:id="44" w:name="_Toc15396604"/>
      <w:bookmarkStart w:id="45" w:name="_Toc15377206"/>
      <w:bookmarkStart w:id="46" w:name="_Toc26941"/>
      <w:r>
        <w:rPr>
          <w:rFonts w:hint="eastAsia" w:ascii="黑体" w:hAnsi="黑体" w:eastAsia="黑体"/>
          <w:sz w:val="32"/>
          <w:szCs w:val="32"/>
        </w:rPr>
        <w:t>收</w:t>
      </w:r>
      <w:r>
        <w:rPr>
          <w:rStyle w:val="30"/>
          <w:rFonts w:hint="eastAsia" w:ascii="黑体" w:hAnsi="黑体" w:eastAsia="黑体"/>
          <w:b w:val="0"/>
        </w:rPr>
        <w:t>入决算情况说明</w:t>
      </w:r>
      <w:bookmarkEnd w:id="44"/>
      <w:bookmarkEnd w:id="45"/>
      <w:bookmarkEnd w:id="46"/>
    </w:p>
    <w:p>
      <w:pPr>
        <w:spacing w:line="600" w:lineRule="exact"/>
        <w:ind w:firstLine="640" w:firstLineChars="200"/>
        <w:jc w:val="left"/>
        <w:outlineLvl w:val="1"/>
        <w:rPr>
          <w:rFonts w:ascii="仿宋" w:hAnsi="仿宋" w:eastAsia="仿宋"/>
          <w:sz w:val="32"/>
          <w:szCs w:val="32"/>
        </w:rPr>
      </w:pPr>
      <w:bookmarkStart w:id="47" w:name="_Toc17878"/>
      <w:r>
        <w:rPr>
          <w:rFonts w:hint="eastAsia" w:ascii="仿宋" w:hAnsi="仿宋" w:eastAsia="仿宋"/>
          <w:sz w:val="32"/>
          <w:szCs w:val="32"/>
        </w:rPr>
        <w:t>2023年度本年收入合计</w:t>
      </w:r>
      <w:r>
        <w:rPr>
          <w:sz w:val="32"/>
          <w:szCs w:val="32"/>
        </w:rPr>
        <w:t>945.1</w:t>
      </w:r>
      <w:r>
        <w:rPr>
          <w:rFonts w:hint="eastAsia" w:ascii="仿宋" w:hAnsi="仿宋" w:eastAsia="仿宋"/>
          <w:sz w:val="32"/>
          <w:szCs w:val="32"/>
        </w:rPr>
        <w:t>万元，其中：一般公共预算财政拨款收入</w:t>
      </w:r>
      <w:r>
        <w:rPr>
          <w:sz w:val="32"/>
          <w:szCs w:val="32"/>
        </w:rPr>
        <w:t>945.1</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w:t>
      </w:r>
      <w:bookmarkEnd w:id="47"/>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drawing>
          <wp:anchor distT="0" distB="0" distL="114300" distR="114300" simplePos="0" relativeHeight="251660288" behindDoc="0" locked="0" layoutInCell="1" allowOverlap="1">
            <wp:simplePos x="0" y="0"/>
            <wp:positionH relativeFrom="column">
              <wp:posOffset>442595</wp:posOffset>
            </wp:positionH>
            <wp:positionV relativeFrom="paragraph">
              <wp:posOffset>175895</wp:posOffset>
            </wp:positionV>
            <wp:extent cx="3756660" cy="1922145"/>
            <wp:effectExtent l="4445" t="4445" r="1079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ascii="仿宋_GB2312" w:eastAsia="仿宋_GB2312"/>
          <w:sz w:val="32"/>
          <w:szCs w:val="32"/>
        </w:rPr>
      </w:pPr>
    </w:p>
    <w:p>
      <w:pPr>
        <w:rPr>
          <w:rFonts w:ascii="仿宋_GB2312" w:eastAsia="仿宋_GB2312"/>
          <w:sz w:val="32"/>
          <w:szCs w:val="32"/>
        </w:rPr>
      </w:pPr>
    </w:p>
    <w:p>
      <w:pPr>
        <w:pStyle w:val="6"/>
        <w:rPr>
          <w:rFonts w:ascii="仿宋_GB2312" w:eastAsia="仿宋_GB2312"/>
          <w:sz w:val="32"/>
          <w:szCs w:val="32"/>
        </w:rPr>
      </w:pPr>
    </w:p>
    <w:p>
      <w:pPr>
        <w:rPr>
          <w:rFonts w:ascii="仿宋_GB2312" w:eastAsia="仿宋_GB2312"/>
          <w:sz w:val="32"/>
          <w:szCs w:val="32"/>
        </w:rPr>
      </w:pPr>
    </w:p>
    <w:p/>
    <w:p>
      <w:pPr>
        <w:pStyle w:val="28"/>
        <w:numPr>
          <w:ilvl w:val="0"/>
          <w:numId w:val="4"/>
        </w:numPr>
        <w:spacing w:line="600" w:lineRule="exact"/>
        <w:ind w:firstLineChars="0"/>
        <w:outlineLvl w:val="1"/>
        <w:rPr>
          <w:rStyle w:val="30"/>
          <w:rFonts w:ascii="黑体" w:hAnsi="黑体" w:eastAsia="黑体"/>
          <w:b w:val="0"/>
        </w:rPr>
      </w:pPr>
      <w:bookmarkStart w:id="48" w:name="_Toc15396605"/>
      <w:bookmarkStart w:id="49" w:name="_Toc15377207"/>
      <w:bookmarkStart w:id="50" w:name="_Toc27531"/>
      <w:r>
        <w:rPr>
          <w:rFonts w:hint="eastAsia" w:ascii="黑体" w:hAnsi="黑体" w:eastAsia="黑体"/>
          <w:sz w:val="32"/>
          <w:szCs w:val="32"/>
        </w:rPr>
        <w:t>支</w:t>
      </w:r>
      <w:r>
        <w:rPr>
          <w:rStyle w:val="30"/>
          <w:rFonts w:hint="eastAsia" w:ascii="黑体" w:hAnsi="黑体" w:eastAsia="黑体"/>
          <w:b w:val="0"/>
        </w:rPr>
        <w:t>出决算情况说明</w:t>
      </w:r>
      <w:bookmarkEnd w:id="48"/>
      <w:bookmarkEnd w:id="49"/>
      <w:bookmarkEnd w:id="50"/>
    </w:p>
    <w:p>
      <w:pPr>
        <w:spacing w:line="600" w:lineRule="exact"/>
        <w:ind w:firstLine="640" w:firstLineChars="200"/>
        <w:outlineLvl w:val="1"/>
        <w:rPr>
          <w:rFonts w:ascii="仿宋" w:hAnsi="仿宋" w:eastAsia="仿宋"/>
          <w:sz w:val="32"/>
          <w:szCs w:val="32"/>
          <w:shd w:val="pct10" w:color="auto" w:fill="FFFFFF"/>
        </w:rPr>
      </w:pPr>
      <w:bookmarkStart w:id="51" w:name="_Toc26457"/>
      <w:r>
        <w:rPr>
          <w:rFonts w:hint="eastAsia" w:ascii="仿宋" w:hAnsi="仿宋" w:eastAsia="仿宋"/>
          <w:sz w:val="32"/>
          <w:szCs w:val="32"/>
        </w:rPr>
        <w:t>2023年度本年支出合计</w:t>
      </w:r>
      <w:r>
        <w:rPr>
          <w:sz w:val="32"/>
          <w:szCs w:val="32"/>
        </w:rPr>
        <w:t>945.1</w:t>
      </w:r>
      <w:r>
        <w:rPr>
          <w:rFonts w:hint="eastAsia" w:ascii="仿宋" w:hAnsi="仿宋" w:eastAsia="仿宋"/>
          <w:sz w:val="32"/>
          <w:szCs w:val="32"/>
        </w:rPr>
        <w:t>万元，其中：基本支出</w:t>
      </w:r>
      <w:r>
        <w:rPr>
          <w:sz w:val="32"/>
          <w:szCs w:val="32"/>
        </w:rPr>
        <w:t>720</w:t>
      </w:r>
      <w:r>
        <w:rPr>
          <w:rFonts w:hint="eastAsia" w:ascii="仿宋" w:hAnsi="仿宋" w:eastAsia="仿宋"/>
          <w:sz w:val="32"/>
          <w:szCs w:val="32"/>
        </w:rPr>
        <w:t>万元，占</w:t>
      </w:r>
      <w:r>
        <w:rPr>
          <w:sz w:val="32"/>
          <w:szCs w:val="32"/>
        </w:rPr>
        <w:t>76.18</w:t>
      </w:r>
      <w:r>
        <w:rPr>
          <w:rFonts w:ascii="仿宋" w:hAnsi="仿宋" w:eastAsia="仿宋"/>
          <w:sz w:val="32"/>
          <w:szCs w:val="32"/>
        </w:rPr>
        <w:t>%</w:t>
      </w:r>
      <w:r>
        <w:rPr>
          <w:rFonts w:hint="eastAsia" w:ascii="仿宋" w:hAnsi="仿宋" w:eastAsia="仿宋"/>
          <w:sz w:val="32"/>
          <w:szCs w:val="32"/>
        </w:rPr>
        <w:t>；项目支出</w:t>
      </w:r>
      <w:r>
        <w:rPr>
          <w:sz w:val="32"/>
          <w:szCs w:val="32"/>
        </w:rPr>
        <w:t>225.09</w:t>
      </w:r>
      <w:r>
        <w:rPr>
          <w:rFonts w:hint="eastAsia" w:ascii="仿宋" w:hAnsi="仿宋" w:eastAsia="仿宋"/>
          <w:sz w:val="32"/>
          <w:szCs w:val="32"/>
        </w:rPr>
        <w:t>万元，占</w:t>
      </w:r>
      <w:r>
        <w:rPr>
          <w:sz w:val="32"/>
          <w:szCs w:val="32"/>
        </w:rPr>
        <w:t>23.81</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51"/>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1312" behindDoc="0" locked="0" layoutInCell="1" allowOverlap="1">
            <wp:simplePos x="0" y="0"/>
            <wp:positionH relativeFrom="column">
              <wp:posOffset>461645</wp:posOffset>
            </wp:positionH>
            <wp:positionV relativeFrom="paragraph">
              <wp:posOffset>153670</wp:posOffset>
            </wp:positionV>
            <wp:extent cx="3395345" cy="2209165"/>
            <wp:effectExtent l="4445" t="4445" r="10160" b="1524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0"/>
          <w:rFonts w:ascii="黑体" w:hAnsi="黑体" w:eastAsia="黑体"/>
          <w:b w:val="0"/>
        </w:rPr>
      </w:pPr>
      <w:bookmarkStart w:id="52" w:name="_Toc15377208"/>
      <w:bookmarkStart w:id="53" w:name="_Toc3803"/>
      <w:bookmarkStart w:id="54" w:name="_Toc1539660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52"/>
      <w:bookmarkEnd w:id="53"/>
      <w:bookmarkEnd w:id="54"/>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945.1</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181.66</w:t>
      </w:r>
      <w:r>
        <w:rPr>
          <w:rFonts w:hint="eastAsia" w:ascii="仿宋" w:hAnsi="仿宋" w:eastAsia="仿宋"/>
          <w:sz w:val="32"/>
          <w:szCs w:val="32"/>
        </w:rPr>
        <w:t>万元，增长</w:t>
      </w:r>
      <w:r>
        <w:rPr>
          <w:rFonts w:hint="eastAsia" w:ascii="仿宋" w:hAnsi="仿宋" w:eastAsia="仿宋"/>
          <w:sz w:val="32"/>
          <w:szCs w:val="32"/>
          <w:lang w:val="en-US" w:eastAsia="zh-CN"/>
        </w:rPr>
        <w:t>23.79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工资调整，工资福利费用增加；购置公务用车，增加公用经费支出；</w:t>
      </w:r>
      <w:r>
        <w:rPr>
          <w:rFonts w:hint="eastAsia" w:ascii="仿宋" w:eastAsia="仿宋"/>
          <w:sz w:val="32"/>
          <w:szCs w:val="32"/>
          <w:lang w:val="en-US" w:eastAsia="zh-CN"/>
        </w:rPr>
        <w:t>新增领导干部周转房（二期）维修和物资采购、</w:t>
      </w:r>
      <w:r>
        <w:rPr>
          <w:rFonts w:hint="eastAsia" w:ascii="仿宋" w:hAnsi="仿宋" w:eastAsia="仿宋"/>
          <w:sz w:val="32"/>
          <w:szCs w:val="32"/>
          <w:lang w:val="en-US" w:eastAsia="zh-CN"/>
        </w:rPr>
        <w:t>开展“有事来协商”平台建设、“书香政协”主题读书活动等工作增加了专项经费支出</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6"/>
        <w:rPr>
          <w:rFonts w:hint="eastAsia" w:ascii="仿宋" w:hAnsi="仿宋" w:eastAsia="仿宋"/>
          <w:sz w:val="32"/>
          <w:szCs w:val="32"/>
        </w:rPr>
      </w:pPr>
      <w:r>
        <w:rPr>
          <w:rFonts w:hint="eastAsia" w:ascii="仿宋" w:eastAsia="仿宋"/>
          <w:sz w:val="32"/>
          <w:szCs w:val="32"/>
          <w:lang w:eastAsia="zh-CN"/>
        </w:rPr>
        <w:drawing>
          <wp:anchor distT="0" distB="0" distL="114300" distR="114300" simplePos="0" relativeHeight="251662336" behindDoc="0" locked="0" layoutInCell="1" allowOverlap="1">
            <wp:simplePos x="0" y="0"/>
            <wp:positionH relativeFrom="column">
              <wp:posOffset>566420</wp:posOffset>
            </wp:positionH>
            <wp:positionV relativeFrom="paragraph">
              <wp:posOffset>444500</wp:posOffset>
            </wp:positionV>
            <wp:extent cx="4003675" cy="2562225"/>
            <wp:effectExtent l="4445" t="4445" r="11430" b="50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spacing w:line="600" w:lineRule="exact"/>
        <w:rPr>
          <w:rFonts w:ascii="仿宋" w:hAnsi="仿宋" w:eastAsia="仿宋"/>
          <w:b/>
          <w:sz w:val="32"/>
          <w:szCs w:val="32"/>
        </w:rPr>
      </w:pPr>
    </w:p>
    <w:p>
      <w:pPr>
        <w:spacing w:line="600" w:lineRule="exact"/>
        <w:ind w:firstLine="640" w:firstLineChars="200"/>
        <w:outlineLvl w:val="1"/>
        <w:rPr>
          <w:rStyle w:val="30"/>
          <w:rFonts w:ascii="黑体" w:hAnsi="黑体" w:eastAsia="黑体"/>
          <w:b w:val="0"/>
        </w:rPr>
      </w:pPr>
      <w:bookmarkStart w:id="55" w:name="_Toc15396607"/>
      <w:bookmarkStart w:id="56" w:name="_Toc15377209"/>
      <w:bookmarkStart w:id="57" w:name="_Toc25223"/>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55"/>
      <w:bookmarkEnd w:id="56"/>
      <w:bookmarkEnd w:id="57"/>
    </w:p>
    <w:p>
      <w:pPr>
        <w:spacing w:line="600" w:lineRule="exact"/>
        <w:ind w:firstLine="643" w:firstLineChars="200"/>
        <w:outlineLvl w:val="2"/>
        <w:rPr>
          <w:rFonts w:ascii="仿宋" w:hAnsi="仿宋" w:eastAsia="仿宋"/>
          <w:b/>
          <w:sz w:val="32"/>
          <w:szCs w:val="32"/>
        </w:rPr>
      </w:pPr>
      <w:bookmarkStart w:id="58" w:name="_Toc30748"/>
      <w:bookmarkStart w:id="59" w:name="_Toc15377210"/>
      <w:r>
        <w:rPr>
          <w:rFonts w:hint="eastAsia" w:ascii="仿宋" w:hAnsi="仿宋" w:eastAsia="仿宋"/>
          <w:b/>
          <w:sz w:val="32"/>
          <w:szCs w:val="32"/>
        </w:rPr>
        <w:t>（一）一般公共预算财政拨款支出决算总体情况</w:t>
      </w:r>
      <w:bookmarkEnd w:id="58"/>
      <w:bookmarkEnd w:id="59"/>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945.1</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181.66</w:t>
      </w:r>
      <w:r>
        <w:rPr>
          <w:rFonts w:hint="eastAsia" w:ascii="仿宋" w:hAnsi="仿宋" w:eastAsia="仿宋"/>
          <w:sz w:val="32"/>
          <w:szCs w:val="32"/>
        </w:rPr>
        <w:t>万元，增长</w:t>
      </w:r>
      <w:r>
        <w:rPr>
          <w:rFonts w:hint="eastAsia" w:ascii="仿宋" w:hAnsi="仿宋" w:eastAsia="仿宋"/>
          <w:sz w:val="32"/>
          <w:szCs w:val="32"/>
          <w:lang w:val="en-US" w:eastAsia="zh-CN"/>
        </w:rPr>
        <w:t>23.79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工资调整，工资福利费用增加；购置公务用车，增加公用经费支出；</w:t>
      </w:r>
      <w:r>
        <w:rPr>
          <w:rFonts w:hint="eastAsia" w:ascii="仿宋" w:eastAsia="仿宋"/>
          <w:sz w:val="32"/>
          <w:szCs w:val="32"/>
          <w:lang w:val="en-US" w:eastAsia="zh-CN"/>
        </w:rPr>
        <w:t>新增领导干部周转房（一期）维修和物资采购、</w:t>
      </w:r>
      <w:r>
        <w:rPr>
          <w:rFonts w:hint="eastAsia" w:ascii="仿宋" w:hAnsi="仿宋" w:eastAsia="仿宋"/>
          <w:sz w:val="32"/>
          <w:szCs w:val="32"/>
          <w:lang w:val="en-US" w:eastAsia="zh-CN"/>
        </w:rPr>
        <w:t>开展“有事来协商”平台建设、“书香政协”主题读书活动等工作增加了专项经费支出</w:t>
      </w:r>
      <w:r>
        <w:rPr>
          <w:rFonts w:hint="eastAsia" w:ascii="仿宋" w:hAnsi="仿宋" w:eastAsia="仿宋"/>
          <w:sz w:val="32"/>
          <w:szCs w:val="32"/>
        </w:rPr>
        <w:t>。</w:t>
      </w:r>
    </w:p>
    <w:p>
      <w:pPr>
        <w:spacing w:line="600" w:lineRule="exact"/>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6"/>
        <w:rPr>
          <w:rFonts w:hint="eastAsia" w:ascii="仿宋" w:hAnsi="仿宋" w:eastAsia="仿宋"/>
          <w:sz w:val="32"/>
          <w:szCs w:val="32"/>
        </w:rPr>
      </w:pPr>
      <w:r>
        <w:rPr>
          <w:rFonts w:hint="eastAsia" w:ascii="仿宋" w:eastAsia="仿宋"/>
          <w:sz w:val="32"/>
          <w:szCs w:val="32"/>
          <w:lang w:eastAsia="zh-CN"/>
        </w:rPr>
        <w:drawing>
          <wp:anchor distT="0" distB="0" distL="114300" distR="114300" simplePos="0" relativeHeight="251663360" behindDoc="0" locked="0" layoutInCell="1" allowOverlap="1">
            <wp:simplePos x="0" y="0"/>
            <wp:positionH relativeFrom="column">
              <wp:posOffset>356870</wp:posOffset>
            </wp:positionH>
            <wp:positionV relativeFrom="paragraph">
              <wp:posOffset>156845</wp:posOffset>
            </wp:positionV>
            <wp:extent cx="4166235" cy="2351405"/>
            <wp:effectExtent l="4445" t="5080" r="20320" b="571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60" w:name="_Toc15377211"/>
      <w:bookmarkStart w:id="61" w:name="_Toc30719"/>
      <w:r>
        <w:rPr>
          <w:rFonts w:hint="eastAsia" w:ascii="仿宋" w:hAnsi="仿宋" w:eastAsia="仿宋"/>
          <w:b/>
          <w:sz w:val="32"/>
          <w:szCs w:val="32"/>
        </w:rPr>
        <w:t>（二）一般公共预算财政拨款支出决算结构情况</w:t>
      </w:r>
      <w:bookmarkEnd w:id="60"/>
      <w:bookmarkEnd w:id="61"/>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945.1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787.45</w:t>
      </w:r>
      <w:r>
        <w:rPr>
          <w:rFonts w:hint="eastAsia" w:ascii="仿宋" w:hAnsi="仿宋" w:eastAsia="仿宋"/>
          <w:sz w:val="32"/>
          <w:szCs w:val="32"/>
        </w:rPr>
        <w:t>万元，占</w:t>
      </w:r>
      <w:r>
        <w:rPr>
          <w:rFonts w:hint="eastAsia" w:ascii="仿宋" w:hAnsi="仿宋" w:eastAsia="仿宋"/>
          <w:sz w:val="32"/>
          <w:szCs w:val="32"/>
          <w:lang w:val="en-US" w:eastAsia="zh-CN"/>
        </w:rPr>
        <w:t>83.32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82.53</w:t>
      </w:r>
      <w:r>
        <w:rPr>
          <w:rFonts w:hint="eastAsia" w:ascii="仿宋" w:hAnsi="仿宋" w:eastAsia="仿宋"/>
          <w:sz w:val="32"/>
          <w:szCs w:val="32"/>
        </w:rPr>
        <w:t>万元，占</w:t>
      </w:r>
      <w:r>
        <w:rPr>
          <w:rFonts w:hint="eastAsia" w:ascii="仿宋" w:hAnsi="仿宋" w:eastAsia="仿宋"/>
          <w:sz w:val="32"/>
          <w:szCs w:val="32"/>
          <w:lang w:val="en-US" w:eastAsia="zh-CN"/>
        </w:rPr>
        <w:t>8.73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35.45</w:t>
      </w:r>
      <w:r>
        <w:rPr>
          <w:rFonts w:hint="eastAsia" w:ascii="仿宋" w:hAnsi="仿宋" w:eastAsia="仿宋"/>
          <w:sz w:val="32"/>
          <w:szCs w:val="32"/>
        </w:rPr>
        <w:t>万元，占</w:t>
      </w:r>
      <w:r>
        <w:rPr>
          <w:rFonts w:hint="eastAsia" w:ascii="仿宋" w:hAnsi="仿宋" w:eastAsia="仿宋"/>
          <w:sz w:val="32"/>
          <w:szCs w:val="32"/>
          <w:lang w:val="en-US" w:eastAsia="zh-CN"/>
        </w:rPr>
        <w:t>3.75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39.66</w:t>
      </w:r>
      <w:r>
        <w:rPr>
          <w:rFonts w:hint="eastAsia" w:ascii="仿宋" w:hAnsi="仿宋" w:eastAsia="仿宋"/>
          <w:sz w:val="32"/>
          <w:szCs w:val="32"/>
        </w:rPr>
        <w:t>万元，占</w:t>
      </w:r>
      <w:r>
        <w:rPr>
          <w:rFonts w:hint="eastAsia" w:ascii="仿宋" w:hAnsi="仿宋" w:eastAsia="仿宋"/>
          <w:sz w:val="32"/>
          <w:szCs w:val="32"/>
          <w:lang w:val="en-US" w:eastAsia="zh-CN"/>
        </w:rPr>
        <w:t>4.20</w:t>
      </w:r>
      <w:r>
        <w:rPr>
          <w:rFonts w:ascii="仿宋" w:hAnsi="仿宋" w:eastAsia="仿宋"/>
          <w:sz w:val="32"/>
          <w:szCs w:val="32"/>
        </w:rPr>
        <w:t>%</w:t>
      </w:r>
      <w:r>
        <w:rPr>
          <w:rFonts w:hint="eastAsia" w:ascii="仿宋" w:hAnsi="仿宋" w:eastAsia="仿宋"/>
          <w:sz w:val="32"/>
          <w:szCs w:val="32"/>
        </w:rPr>
        <w:t>。</w:t>
      </w:r>
    </w:p>
    <w:p>
      <w:pPr>
        <w:spacing w:line="600" w:lineRule="exact"/>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4384" behindDoc="0" locked="0" layoutInCell="1" allowOverlap="1">
            <wp:simplePos x="0" y="0"/>
            <wp:positionH relativeFrom="column">
              <wp:posOffset>670560</wp:posOffset>
            </wp:positionH>
            <wp:positionV relativeFrom="paragraph">
              <wp:posOffset>86360</wp:posOffset>
            </wp:positionV>
            <wp:extent cx="3879850" cy="2371725"/>
            <wp:effectExtent l="4445" t="4445" r="2095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62" w:name="_Toc15377212"/>
      <w:bookmarkStart w:id="63" w:name="_Toc7966"/>
      <w:r>
        <w:rPr>
          <w:rFonts w:hint="eastAsia" w:ascii="仿宋" w:hAnsi="仿宋" w:eastAsia="仿宋"/>
          <w:b/>
          <w:sz w:val="32"/>
          <w:szCs w:val="32"/>
        </w:rPr>
        <w:t>（三）一般公共预算财政拨款支出决算具体情况</w:t>
      </w:r>
      <w:bookmarkEnd w:id="62"/>
      <w:bookmarkEnd w:id="63"/>
    </w:p>
    <w:p>
      <w:pPr>
        <w:spacing w:line="600" w:lineRule="exact"/>
        <w:ind w:firstLine="643" w:firstLineChars="200"/>
        <w:outlineLvl w:val="2"/>
        <w:rPr>
          <w:rFonts w:ascii="仿宋" w:hAnsi="仿宋" w:eastAsia="仿宋"/>
          <w:sz w:val="32"/>
          <w:szCs w:val="32"/>
        </w:rPr>
      </w:pPr>
      <w:bookmarkStart w:id="64" w:name="_Toc15378460"/>
      <w:bookmarkStart w:id="65" w:name="_Toc15191"/>
      <w:bookmarkStart w:id="66" w:name="_Toc15377213"/>
      <w:bookmarkStart w:id="67" w:name="_Toc15377444"/>
      <w:r>
        <w:rPr>
          <w:rFonts w:hint="eastAsia" w:ascii="仿宋" w:hAnsi="仿宋" w:eastAsia="仿宋"/>
          <w:b/>
          <w:sz w:val="32"/>
          <w:szCs w:val="32"/>
        </w:rPr>
        <w:t>2023年度一般公共预算支出决算数为</w:t>
      </w:r>
      <w:r>
        <w:rPr>
          <w:sz w:val="32"/>
          <w:szCs w:val="32"/>
        </w:rPr>
        <w:t>945.1</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64"/>
      <w:bookmarkEnd w:id="65"/>
      <w:bookmarkEnd w:id="66"/>
      <w:bookmarkEnd w:id="67"/>
    </w:p>
    <w:p>
      <w:pPr>
        <w:numPr>
          <w:ilvl w:val="0"/>
          <w:numId w:val="0"/>
        </w:numPr>
        <w:spacing w:line="600" w:lineRule="exact"/>
        <w:ind w:firstLine="643" w:firstLineChars="200"/>
        <w:rPr>
          <w:rStyle w:val="18"/>
          <w:rFonts w:hint="eastAsia" w:ascii="仿宋" w:hAnsi="仿宋" w:eastAsia="仿宋"/>
          <w:bCs/>
          <w:sz w:val="32"/>
          <w:szCs w:val="32"/>
        </w:rPr>
      </w:pPr>
      <w:r>
        <w:rPr>
          <w:rStyle w:val="18"/>
          <w:rFonts w:hint="eastAsia" w:ascii="仿宋" w:hAnsi="仿宋" w:eastAsia="仿宋"/>
          <w:bCs/>
          <w:sz w:val="32"/>
          <w:szCs w:val="32"/>
          <w:lang w:val="en-US" w:eastAsia="zh-CN"/>
        </w:rPr>
        <w:t>1.</w:t>
      </w:r>
      <w:r>
        <w:rPr>
          <w:rStyle w:val="18"/>
          <w:rFonts w:hint="eastAsia" w:ascii="仿宋" w:hAnsi="仿宋" w:eastAsia="仿宋"/>
          <w:bCs/>
          <w:sz w:val="32"/>
          <w:szCs w:val="32"/>
        </w:rPr>
        <w:t>一般公共服务（类）</w:t>
      </w:r>
      <w:r>
        <w:rPr>
          <w:rStyle w:val="18"/>
          <w:rFonts w:hint="eastAsia" w:ascii="仿宋" w:hAnsi="仿宋" w:eastAsia="仿宋"/>
          <w:bCs/>
          <w:sz w:val="32"/>
          <w:szCs w:val="32"/>
          <w:lang w:val="en-US" w:eastAsia="zh-CN"/>
        </w:rPr>
        <w:t>政协事务</w:t>
      </w:r>
      <w:r>
        <w:rPr>
          <w:rStyle w:val="18"/>
          <w:rFonts w:hint="eastAsia" w:ascii="仿宋" w:hAnsi="仿宋" w:eastAsia="仿宋"/>
          <w:bCs/>
          <w:sz w:val="32"/>
          <w:szCs w:val="32"/>
        </w:rPr>
        <w:t>（款）</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1</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行政运行</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530.83</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default" w:ascii="仿宋" w:eastAsia="仿宋"/>
          <w:bCs/>
          <w:sz w:val="32"/>
          <w:szCs w:val="32"/>
          <w:lang w:val="en-US" w:eastAsia="zh-CN"/>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2</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一般行政管理事务（项）：</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41.14</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3</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政协会议</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14.87</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4</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委员视察</w:t>
      </w:r>
      <w:r>
        <w:rPr>
          <w:rStyle w:val="18"/>
          <w:rFonts w:hint="eastAsia" w:ascii="仿宋" w:eastAsia="仿宋"/>
          <w:bCs/>
          <w:sz w:val="32"/>
          <w:szCs w:val="32"/>
        </w:rPr>
        <w:t>（项）</w:t>
      </w:r>
      <w:r>
        <w:rPr>
          <w:rStyle w:val="18"/>
          <w:rFonts w:ascii="仿宋" w:eastAsia="仿宋"/>
          <w:bCs/>
          <w:sz w:val="32"/>
          <w:szCs w:val="32"/>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20.25</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5</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参政议政</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82.93</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6</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事业运行</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31.53</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pStyle w:val="6"/>
        <w:ind w:firstLine="643" w:firstLineChars="200"/>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7</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其他政协事务支出</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65.90</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Cs/>
          <w:sz w:val="32"/>
          <w:szCs w:val="32"/>
          <w:lang w:eastAsia="zh-CN"/>
        </w:rPr>
      </w:pPr>
      <w:r>
        <w:rPr>
          <w:rStyle w:val="18"/>
          <w:rFonts w:hint="eastAsia" w:ascii="仿宋" w:eastAsia="仿宋"/>
          <w:bCs/>
          <w:sz w:val="32"/>
          <w:szCs w:val="32"/>
          <w:lang w:val="en-US" w:eastAsia="zh-CN"/>
        </w:rPr>
        <w:t>2</w:t>
      </w:r>
      <w:r>
        <w:rPr>
          <w:rStyle w:val="18"/>
          <w:rFonts w:ascii="仿宋" w:eastAsia="仿宋"/>
          <w:bCs/>
          <w:sz w:val="32"/>
          <w:szCs w:val="32"/>
        </w:rPr>
        <w:t>.</w:t>
      </w:r>
      <w:r>
        <w:rPr>
          <w:rStyle w:val="18"/>
          <w:rFonts w:hint="eastAsia" w:ascii="仿宋" w:eastAsia="仿宋"/>
          <w:bCs/>
          <w:sz w:val="32"/>
          <w:szCs w:val="32"/>
        </w:rPr>
        <w:t>社会保障和就业（类）</w:t>
      </w:r>
      <w:r>
        <w:rPr>
          <w:rStyle w:val="18"/>
          <w:rFonts w:hint="eastAsia" w:ascii="仿宋" w:eastAsia="仿宋"/>
          <w:bCs/>
          <w:sz w:val="32"/>
          <w:szCs w:val="32"/>
          <w:lang w:val="en-US" w:eastAsia="zh-CN"/>
        </w:rPr>
        <w:t>行政事业养老支出</w:t>
      </w:r>
      <w:r>
        <w:rPr>
          <w:rStyle w:val="18"/>
          <w:rFonts w:hint="eastAsia" w:ascii="仿宋" w:eastAsia="仿宋"/>
          <w:bCs/>
          <w:sz w:val="32"/>
          <w:szCs w:val="32"/>
        </w:rPr>
        <w:t>（款</w:t>
      </w:r>
      <w:r>
        <w:rPr>
          <w:rStyle w:val="18"/>
          <w:rFonts w:hint="eastAsia" w:ascii="仿宋" w:eastAsia="仿宋"/>
          <w:bCs/>
          <w:sz w:val="32"/>
          <w:szCs w:val="32"/>
          <w:lang w:eastAsia="zh-CN"/>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1</w:t>
      </w:r>
      <w:r>
        <w:rPr>
          <w:rStyle w:val="18"/>
          <w:rFonts w:hint="eastAsia" w:ascii="仿宋" w:eastAsia="仿宋"/>
          <w:bCs/>
          <w:sz w:val="32"/>
          <w:szCs w:val="32"/>
          <w:lang w:eastAsia="zh-CN"/>
        </w:rPr>
        <w:t>）机关事业单位基本养老保险缴费支出</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55.02</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2</w:t>
      </w:r>
      <w:r>
        <w:rPr>
          <w:rStyle w:val="18"/>
          <w:rFonts w:hint="eastAsia" w:ascii="仿宋" w:eastAsia="仿宋"/>
          <w:bCs/>
          <w:sz w:val="32"/>
          <w:szCs w:val="32"/>
          <w:lang w:eastAsia="zh-CN"/>
        </w:rPr>
        <w:t>）机关事业单位职业年金缴费支出</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27.51</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Cs/>
          <w:sz w:val="32"/>
          <w:szCs w:val="32"/>
        </w:rPr>
      </w:pPr>
      <w:r>
        <w:rPr>
          <w:rStyle w:val="18"/>
          <w:rFonts w:hint="eastAsia" w:ascii="仿宋" w:eastAsia="仿宋"/>
          <w:bCs/>
          <w:sz w:val="32"/>
          <w:szCs w:val="32"/>
          <w:lang w:val="en-US" w:eastAsia="zh-CN"/>
        </w:rPr>
        <w:t>3</w:t>
      </w:r>
      <w:r>
        <w:rPr>
          <w:rStyle w:val="18"/>
          <w:rFonts w:ascii="仿宋" w:eastAsia="仿宋"/>
          <w:bCs/>
          <w:sz w:val="32"/>
          <w:szCs w:val="32"/>
        </w:rPr>
        <w:t>.</w:t>
      </w:r>
      <w:r>
        <w:rPr>
          <w:rFonts w:hint="eastAsia" w:ascii="仿宋" w:eastAsia="仿宋"/>
          <w:b/>
          <w:bCs/>
          <w:sz w:val="32"/>
          <w:szCs w:val="32"/>
        </w:rPr>
        <w:t>卫生健康</w:t>
      </w:r>
      <w:r>
        <w:rPr>
          <w:rStyle w:val="18"/>
          <w:rFonts w:hint="eastAsia" w:ascii="仿宋" w:eastAsia="仿宋"/>
          <w:bCs/>
          <w:sz w:val="32"/>
          <w:szCs w:val="32"/>
        </w:rPr>
        <w:t>（类）</w:t>
      </w:r>
      <w:r>
        <w:rPr>
          <w:rStyle w:val="18"/>
          <w:rFonts w:hint="eastAsia" w:ascii="仿宋" w:eastAsia="仿宋"/>
          <w:bCs/>
          <w:sz w:val="32"/>
          <w:szCs w:val="32"/>
          <w:lang w:val="en-US" w:eastAsia="zh-CN"/>
        </w:rPr>
        <w:t>行政事业单位医疗</w:t>
      </w:r>
      <w:r>
        <w:rPr>
          <w:rStyle w:val="18"/>
          <w:rFonts w:hint="eastAsia" w:ascii="仿宋" w:eastAsia="仿宋"/>
          <w:bCs/>
          <w:sz w:val="32"/>
          <w:szCs w:val="32"/>
        </w:rPr>
        <w:t>（款）</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1</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行政单位医疗</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24.87</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Cs/>
          <w:sz w:val="32"/>
          <w:szCs w:val="32"/>
          <w:lang w:eastAsia="zh-CN"/>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2</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事业单位医疗</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1.96</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3</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公务员医疗补助</w:t>
      </w:r>
      <w:r>
        <w:rPr>
          <w:rStyle w:val="18"/>
          <w:rFonts w:hint="eastAsia" w:ascii="仿宋" w:eastAsia="仿宋"/>
          <w:bCs/>
          <w:sz w:val="32"/>
          <w:szCs w:val="32"/>
        </w:rPr>
        <w:t>（项）</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8.19</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pPr>
      <w:r>
        <w:rPr>
          <w:rStyle w:val="18"/>
          <w:rFonts w:hint="eastAsia" w:ascii="仿宋" w:eastAsia="仿宋"/>
          <w:bCs/>
          <w:sz w:val="32"/>
          <w:szCs w:val="32"/>
          <w:lang w:eastAsia="zh-CN"/>
        </w:rPr>
        <w:t>（</w:t>
      </w:r>
      <w:r>
        <w:rPr>
          <w:rStyle w:val="18"/>
          <w:rFonts w:hint="eastAsia" w:ascii="仿宋" w:eastAsia="仿宋"/>
          <w:bCs/>
          <w:sz w:val="32"/>
          <w:szCs w:val="32"/>
          <w:lang w:val="en-US" w:eastAsia="zh-CN"/>
        </w:rPr>
        <w:t>4</w:t>
      </w:r>
      <w:r>
        <w:rPr>
          <w:rStyle w:val="18"/>
          <w:rFonts w:hint="eastAsia" w:ascii="仿宋" w:eastAsia="仿宋"/>
          <w:bCs/>
          <w:sz w:val="32"/>
          <w:szCs w:val="32"/>
          <w:lang w:eastAsia="zh-CN"/>
        </w:rPr>
        <w:t>）</w:t>
      </w:r>
      <w:r>
        <w:rPr>
          <w:rStyle w:val="18"/>
          <w:rFonts w:hint="eastAsia" w:ascii="仿宋" w:eastAsia="仿宋"/>
          <w:bCs/>
          <w:sz w:val="32"/>
          <w:szCs w:val="32"/>
          <w:lang w:val="en-US" w:eastAsia="zh-CN"/>
        </w:rPr>
        <w:t>其他行政事业单位医疗支出</w:t>
      </w:r>
      <w:r>
        <w:rPr>
          <w:rStyle w:val="18"/>
          <w:rFonts w:hint="eastAsia" w:ascii="仿宋" w:eastAsia="仿宋"/>
          <w:bCs/>
          <w:sz w:val="32"/>
          <w:szCs w:val="32"/>
        </w:rPr>
        <w:t>（项）</w:t>
      </w:r>
      <w:r>
        <w:rPr>
          <w:rStyle w:val="18"/>
          <w:rFonts w:ascii="仿宋" w:eastAsia="仿宋"/>
          <w:bCs/>
          <w:sz w:val="32"/>
          <w:szCs w:val="32"/>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0.43</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spacing w:line="600" w:lineRule="exact"/>
        <w:ind w:firstLine="643" w:firstLineChars="200"/>
        <w:rPr>
          <w:rFonts w:ascii="仿宋" w:hAnsi="仿宋" w:eastAsia="仿宋"/>
          <w:b/>
          <w:sz w:val="32"/>
          <w:szCs w:val="32"/>
        </w:rPr>
      </w:pPr>
      <w:r>
        <w:rPr>
          <w:rFonts w:hint="eastAsia" w:ascii="仿宋" w:eastAsia="仿宋"/>
          <w:b/>
          <w:sz w:val="32"/>
          <w:szCs w:val="32"/>
          <w:lang w:val="en-US" w:eastAsia="zh-CN"/>
        </w:rPr>
        <w:t>4</w:t>
      </w:r>
      <w:r>
        <w:rPr>
          <w:rFonts w:hint="eastAsia" w:ascii="仿宋" w:eastAsia="仿宋"/>
          <w:b/>
          <w:sz w:val="32"/>
          <w:szCs w:val="32"/>
        </w:rPr>
        <w:t>.住房保障支出（类）住房改革支出（款）住房公积金（项）:</w:t>
      </w:r>
      <w:r>
        <w:rPr>
          <w:rFonts w:hint="eastAsia" w:ascii="仿宋" w:eastAsia="仿宋"/>
          <w:b w:val="0"/>
          <w:bCs/>
          <w:sz w:val="32"/>
          <w:szCs w:val="32"/>
        </w:rPr>
        <w:t>支出决算为</w:t>
      </w:r>
      <w:r>
        <w:rPr>
          <w:rFonts w:hint="eastAsia" w:ascii="仿宋" w:eastAsia="仿宋"/>
          <w:b w:val="0"/>
          <w:bCs/>
          <w:sz w:val="32"/>
          <w:szCs w:val="32"/>
          <w:lang w:val="en-US" w:eastAsia="zh-CN"/>
        </w:rPr>
        <w:t>39.66</w:t>
      </w:r>
      <w:r>
        <w:rPr>
          <w:rFonts w:hint="eastAsia" w:ascii="仿宋" w:eastAsia="仿宋"/>
          <w:b w:val="0"/>
          <w:bCs/>
          <w:sz w:val="32"/>
          <w:szCs w:val="32"/>
        </w:rPr>
        <w:t>万元，完成预算100%。</w:t>
      </w:r>
    </w:p>
    <w:p>
      <w:pPr>
        <w:tabs>
          <w:tab w:val="right" w:pos="8306"/>
        </w:tabs>
        <w:spacing w:line="600" w:lineRule="exact"/>
        <w:ind w:firstLine="640"/>
        <w:outlineLvl w:val="1"/>
        <w:rPr>
          <w:rStyle w:val="30"/>
        </w:rPr>
      </w:pPr>
      <w:bookmarkStart w:id="68" w:name="_Toc15377214"/>
      <w:bookmarkStart w:id="69" w:name="_Toc15396608"/>
      <w:bookmarkStart w:id="70" w:name="_Toc24603"/>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68"/>
      <w:bookmarkEnd w:id="69"/>
      <w:bookmarkEnd w:id="70"/>
      <w:r>
        <w:rPr>
          <w:rStyle w:val="30"/>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720</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654.67</w:t>
      </w:r>
      <w:r>
        <w:rPr>
          <w:rFonts w:hint="eastAsia" w:ascii="仿宋" w:hAnsi="仿宋" w:eastAsia="仿宋"/>
          <w:sz w:val="32"/>
          <w:szCs w:val="32"/>
        </w:rPr>
        <w:t>万元，主要包括：基本工资</w:t>
      </w:r>
      <w:r>
        <w:rPr>
          <w:rFonts w:hint="eastAsia" w:ascii="仿宋" w:hAnsi="仿宋" w:eastAsia="仿宋"/>
          <w:sz w:val="32"/>
          <w:szCs w:val="32"/>
          <w:lang w:val="en-US" w:eastAsia="zh-CN"/>
        </w:rPr>
        <w:t>106.02万元</w:t>
      </w:r>
      <w:r>
        <w:rPr>
          <w:rFonts w:hint="eastAsia" w:ascii="仿宋" w:hAnsi="仿宋" w:eastAsia="仿宋"/>
          <w:sz w:val="32"/>
          <w:szCs w:val="32"/>
        </w:rPr>
        <w:t>、津贴补贴</w:t>
      </w:r>
      <w:r>
        <w:rPr>
          <w:rFonts w:hint="eastAsia" w:ascii="仿宋" w:hAnsi="仿宋" w:eastAsia="仿宋"/>
          <w:sz w:val="32"/>
          <w:szCs w:val="32"/>
          <w:lang w:val="en-US" w:eastAsia="zh-CN"/>
        </w:rPr>
        <w:t>179.52万元</w:t>
      </w:r>
      <w:r>
        <w:rPr>
          <w:rFonts w:hint="eastAsia" w:ascii="仿宋" w:hAnsi="仿宋" w:eastAsia="仿宋"/>
          <w:sz w:val="32"/>
          <w:szCs w:val="32"/>
        </w:rPr>
        <w:t>、奖金</w:t>
      </w:r>
      <w:r>
        <w:rPr>
          <w:rFonts w:hint="eastAsia" w:ascii="仿宋" w:hAnsi="仿宋" w:eastAsia="仿宋"/>
          <w:sz w:val="32"/>
          <w:szCs w:val="32"/>
          <w:lang w:val="en-US" w:eastAsia="zh-CN"/>
        </w:rPr>
        <w:t>144.45万元</w:t>
      </w:r>
      <w:r>
        <w:rPr>
          <w:rFonts w:hint="eastAsia" w:ascii="仿宋" w:hAnsi="仿宋" w:eastAsia="仿宋"/>
          <w:sz w:val="32"/>
          <w:szCs w:val="32"/>
        </w:rPr>
        <w:t>、绩效工资</w:t>
      </w:r>
      <w:r>
        <w:rPr>
          <w:rFonts w:hint="eastAsia" w:ascii="仿宋" w:hAnsi="仿宋" w:eastAsia="仿宋"/>
          <w:sz w:val="32"/>
          <w:szCs w:val="32"/>
          <w:lang w:val="en-US" w:eastAsia="zh-CN"/>
        </w:rPr>
        <w:t>5.97万元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55.02万元</w:t>
      </w:r>
      <w:r>
        <w:rPr>
          <w:rFonts w:hint="eastAsia" w:ascii="仿宋" w:hAnsi="仿宋" w:eastAsia="仿宋"/>
          <w:sz w:val="32"/>
          <w:szCs w:val="32"/>
        </w:rPr>
        <w:t>、职业年金缴费</w:t>
      </w:r>
      <w:r>
        <w:rPr>
          <w:rFonts w:hint="eastAsia" w:ascii="仿宋" w:hAnsi="仿宋" w:eastAsia="仿宋"/>
          <w:sz w:val="32"/>
          <w:szCs w:val="32"/>
          <w:lang w:val="en-US" w:eastAsia="zh-CN"/>
        </w:rPr>
        <w:t>27.51万元</w:t>
      </w:r>
      <w:r>
        <w:rPr>
          <w:rFonts w:hint="eastAsia" w:ascii="仿宋" w:hAnsi="仿宋" w:eastAsia="仿宋"/>
          <w:sz w:val="32"/>
          <w:szCs w:val="32"/>
        </w:rPr>
        <w:t>、职工基本医疗保险缴费</w:t>
      </w:r>
      <w:r>
        <w:rPr>
          <w:rFonts w:hint="eastAsia" w:ascii="仿宋" w:hAnsi="仿宋" w:eastAsia="仿宋"/>
          <w:sz w:val="32"/>
          <w:szCs w:val="32"/>
          <w:lang w:val="en-US" w:eastAsia="zh-CN"/>
        </w:rPr>
        <w:t>26.83</w:t>
      </w:r>
      <w:r>
        <w:rPr>
          <w:rFonts w:hint="eastAsia" w:ascii="仿宋" w:hAnsi="仿宋" w:eastAsia="仿宋"/>
          <w:sz w:val="32"/>
          <w:szCs w:val="32"/>
        </w:rPr>
        <w:t>万元、公务员医疗补助缴费</w:t>
      </w:r>
      <w:r>
        <w:rPr>
          <w:rFonts w:hint="eastAsia" w:ascii="仿宋" w:hAnsi="仿宋" w:eastAsia="仿宋"/>
          <w:sz w:val="32"/>
          <w:szCs w:val="32"/>
          <w:lang w:val="en-US" w:eastAsia="zh-CN"/>
        </w:rPr>
        <w:t>8.62</w:t>
      </w:r>
      <w:r>
        <w:rPr>
          <w:rFonts w:hint="eastAsia" w:ascii="仿宋" w:hAnsi="仿宋" w:eastAsia="仿宋"/>
          <w:sz w:val="32"/>
          <w:szCs w:val="32"/>
        </w:rPr>
        <w:t>万元、其他社会保障缴费</w:t>
      </w:r>
      <w:r>
        <w:rPr>
          <w:rFonts w:hint="eastAsia" w:ascii="仿宋" w:hAnsi="仿宋" w:eastAsia="仿宋"/>
          <w:sz w:val="32"/>
          <w:szCs w:val="32"/>
          <w:lang w:val="en-US" w:eastAsia="zh-CN"/>
        </w:rPr>
        <w:t>5.94万元</w:t>
      </w:r>
      <w:r>
        <w:rPr>
          <w:rFonts w:hint="eastAsia" w:ascii="仿宋" w:hAnsi="仿宋" w:eastAsia="仿宋"/>
          <w:sz w:val="32"/>
          <w:szCs w:val="32"/>
        </w:rPr>
        <w:t>、抚恤金</w:t>
      </w:r>
      <w:r>
        <w:rPr>
          <w:rFonts w:hint="eastAsia" w:ascii="仿宋" w:hAnsi="仿宋" w:eastAsia="仿宋"/>
          <w:sz w:val="32"/>
          <w:szCs w:val="32"/>
          <w:lang w:val="en-US" w:eastAsia="zh-CN"/>
        </w:rPr>
        <w:t>26.54万元</w:t>
      </w:r>
      <w:r>
        <w:rPr>
          <w:rFonts w:hint="eastAsia" w:ascii="仿宋" w:hAnsi="仿宋" w:eastAsia="仿宋"/>
          <w:sz w:val="32"/>
          <w:szCs w:val="32"/>
        </w:rPr>
        <w:t>、生活补助</w:t>
      </w:r>
      <w:r>
        <w:rPr>
          <w:rFonts w:hint="eastAsia" w:ascii="仿宋" w:hAnsi="仿宋" w:eastAsia="仿宋"/>
          <w:sz w:val="32"/>
          <w:szCs w:val="32"/>
          <w:lang w:val="en-US" w:eastAsia="zh-CN"/>
        </w:rPr>
        <w:t>24.37万元</w:t>
      </w:r>
      <w:r>
        <w:rPr>
          <w:rFonts w:hint="eastAsia" w:ascii="仿宋" w:hAnsi="仿宋" w:eastAsia="仿宋"/>
          <w:sz w:val="32"/>
          <w:szCs w:val="32"/>
        </w:rPr>
        <w:t>、</w:t>
      </w:r>
      <w:r>
        <w:rPr>
          <w:rFonts w:hint="eastAsia" w:ascii="仿宋" w:hAnsi="仿宋" w:eastAsia="仿宋"/>
          <w:sz w:val="32"/>
          <w:szCs w:val="32"/>
          <w:lang w:val="en-US" w:eastAsia="zh-CN"/>
        </w:rPr>
        <w:t>医疗费3.06万元、</w:t>
      </w:r>
      <w:r>
        <w:rPr>
          <w:rFonts w:hint="eastAsia" w:ascii="仿宋" w:hAnsi="仿宋" w:eastAsia="仿宋"/>
          <w:sz w:val="32"/>
          <w:szCs w:val="32"/>
        </w:rPr>
        <w:t>医疗费补助</w:t>
      </w:r>
      <w:r>
        <w:rPr>
          <w:rFonts w:hint="eastAsia" w:ascii="仿宋" w:hAnsi="仿宋" w:eastAsia="仿宋"/>
          <w:sz w:val="32"/>
          <w:szCs w:val="32"/>
          <w:lang w:val="en-US" w:eastAsia="zh-CN"/>
        </w:rPr>
        <w:t>1.16万元</w:t>
      </w:r>
      <w:r>
        <w:rPr>
          <w:rFonts w:hint="eastAsia" w:ascii="仿宋" w:hAnsi="仿宋" w:eastAsia="仿宋"/>
          <w:sz w:val="32"/>
          <w:szCs w:val="32"/>
        </w:rPr>
        <w:t>、住房公积金</w:t>
      </w:r>
      <w:r>
        <w:rPr>
          <w:rFonts w:hint="eastAsia" w:ascii="仿宋" w:hAnsi="仿宋" w:eastAsia="仿宋"/>
          <w:sz w:val="32"/>
          <w:szCs w:val="32"/>
          <w:lang w:val="en-US" w:eastAsia="zh-CN"/>
        </w:rPr>
        <w:t>39.66万元</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公用经费</w:t>
      </w:r>
      <w:r>
        <w:rPr>
          <w:sz w:val="32"/>
          <w:szCs w:val="32"/>
        </w:rPr>
        <w:t>65.33</w:t>
      </w:r>
      <w:r>
        <w:rPr>
          <w:rFonts w:hint="eastAsia" w:ascii="仿宋" w:hAnsi="仿宋" w:eastAsia="仿宋"/>
          <w:sz w:val="32"/>
          <w:szCs w:val="32"/>
        </w:rPr>
        <w:t>万元，主要包括：办公费</w:t>
      </w:r>
      <w:r>
        <w:rPr>
          <w:rFonts w:hint="eastAsia" w:ascii="仿宋" w:hAnsi="仿宋" w:eastAsia="仿宋"/>
          <w:sz w:val="32"/>
          <w:szCs w:val="32"/>
          <w:lang w:val="en-US" w:eastAsia="zh-CN"/>
        </w:rPr>
        <w:t>26.55万元</w:t>
      </w:r>
      <w:r>
        <w:rPr>
          <w:rFonts w:hint="eastAsia" w:ascii="仿宋" w:hAnsi="仿宋" w:eastAsia="仿宋"/>
          <w:sz w:val="32"/>
          <w:szCs w:val="32"/>
        </w:rPr>
        <w:t>、印刷费</w:t>
      </w:r>
      <w:r>
        <w:rPr>
          <w:rFonts w:hint="eastAsia" w:ascii="仿宋" w:hAnsi="仿宋" w:eastAsia="仿宋"/>
          <w:sz w:val="32"/>
          <w:szCs w:val="32"/>
          <w:lang w:val="en-US" w:eastAsia="zh-CN"/>
        </w:rPr>
        <w:t>2.0万元</w:t>
      </w:r>
      <w:r>
        <w:rPr>
          <w:rFonts w:hint="eastAsia" w:ascii="仿宋" w:hAnsi="仿宋" w:eastAsia="仿宋"/>
          <w:sz w:val="32"/>
          <w:szCs w:val="32"/>
        </w:rPr>
        <w:t>、差旅费</w:t>
      </w:r>
      <w:r>
        <w:rPr>
          <w:rFonts w:hint="eastAsia" w:ascii="仿宋" w:hAnsi="仿宋" w:eastAsia="仿宋"/>
          <w:sz w:val="32"/>
          <w:szCs w:val="32"/>
          <w:lang w:val="en-US" w:eastAsia="zh-CN"/>
        </w:rPr>
        <w:t>6.11万元</w:t>
      </w:r>
      <w:r>
        <w:rPr>
          <w:rFonts w:hint="eastAsia" w:ascii="仿宋" w:hAnsi="仿宋" w:eastAsia="仿宋"/>
          <w:sz w:val="32"/>
          <w:szCs w:val="32"/>
        </w:rPr>
        <w:t>、会议费</w:t>
      </w:r>
      <w:r>
        <w:rPr>
          <w:rFonts w:hint="eastAsia" w:ascii="仿宋" w:hAnsi="仿宋" w:eastAsia="仿宋"/>
          <w:sz w:val="32"/>
          <w:szCs w:val="32"/>
          <w:lang w:val="en-US" w:eastAsia="zh-CN"/>
        </w:rPr>
        <w:t>0.85万元</w:t>
      </w:r>
      <w:r>
        <w:rPr>
          <w:rFonts w:hint="eastAsia" w:ascii="仿宋" w:hAnsi="仿宋" w:eastAsia="仿宋"/>
          <w:sz w:val="32"/>
          <w:szCs w:val="32"/>
        </w:rPr>
        <w:t>、培训费</w:t>
      </w:r>
      <w:r>
        <w:rPr>
          <w:rFonts w:hint="eastAsia" w:ascii="仿宋" w:hAnsi="仿宋" w:eastAsia="仿宋"/>
          <w:sz w:val="32"/>
          <w:szCs w:val="32"/>
          <w:lang w:val="en-US" w:eastAsia="zh-CN"/>
        </w:rPr>
        <w:t>0.88万元</w:t>
      </w:r>
      <w:r>
        <w:rPr>
          <w:rFonts w:hint="eastAsia" w:ascii="仿宋" w:hAnsi="仿宋" w:eastAsia="仿宋"/>
          <w:sz w:val="32"/>
          <w:szCs w:val="32"/>
        </w:rPr>
        <w:t>、公务接待费</w:t>
      </w:r>
      <w:r>
        <w:rPr>
          <w:rFonts w:hint="eastAsia" w:ascii="仿宋" w:hAnsi="仿宋" w:eastAsia="仿宋"/>
          <w:sz w:val="32"/>
          <w:szCs w:val="32"/>
          <w:lang w:val="en-US" w:eastAsia="zh-CN"/>
        </w:rPr>
        <w:t>1.60万元</w:t>
      </w:r>
      <w:r>
        <w:rPr>
          <w:rFonts w:hint="eastAsia" w:ascii="仿宋" w:hAnsi="仿宋" w:eastAsia="仿宋"/>
          <w:sz w:val="32"/>
          <w:szCs w:val="32"/>
        </w:rPr>
        <w:t>、工会经费</w:t>
      </w:r>
      <w:r>
        <w:rPr>
          <w:rFonts w:hint="eastAsia" w:ascii="仿宋" w:hAnsi="仿宋" w:eastAsia="仿宋"/>
          <w:sz w:val="32"/>
          <w:szCs w:val="32"/>
          <w:lang w:val="en-US" w:eastAsia="zh-CN"/>
        </w:rPr>
        <w:t>4.14万元</w:t>
      </w:r>
      <w:r>
        <w:rPr>
          <w:rFonts w:hint="eastAsia" w:ascii="仿宋" w:hAnsi="仿宋" w:eastAsia="仿宋"/>
          <w:sz w:val="32"/>
          <w:szCs w:val="32"/>
        </w:rPr>
        <w:t>、福利费、公务用车运行维护费</w:t>
      </w:r>
      <w:r>
        <w:rPr>
          <w:rFonts w:hint="eastAsia" w:ascii="仿宋" w:hAnsi="仿宋" w:eastAsia="仿宋"/>
          <w:sz w:val="32"/>
          <w:szCs w:val="32"/>
          <w:lang w:val="en-US" w:eastAsia="zh-CN"/>
        </w:rPr>
        <w:t>23.20万元</w:t>
      </w:r>
      <w:r>
        <w:rPr>
          <w:rFonts w:hint="eastAsia" w:ascii="仿宋" w:hAnsi="仿宋" w:eastAsia="仿宋"/>
          <w:sz w:val="32"/>
          <w:szCs w:val="32"/>
        </w:rPr>
        <w:t>。</w:t>
      </w:r>
    </w:p>
    <w:p>
      <w:pPr>
        <w:spacing w:line="600" w:lineRule="exact"/>
        <w:ind w:firstLine="640"/>
        <w:outlineLvl w:val="1"/>
        <w:rPr>
          <w:rStyle w:val="30"/>
          <w:rFonts w:ascii="黑体" w:hAnsi="黑体" w:eastAsia="黑体"/>
          <w:b w:val="0"/>
        </w:rPr>
      </w:pPr>
      <w:bookmarkStart w:id="71" w:name="_Toc15377215"/>
      <w:bookmarkStart w:id="72" w:name="_Toc15092"/>
      <w:bookmarkStart w:id="73"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71"/>
      <w:bookmarkEnd w:id="72"/>
      <w:bookmarkEnd w:id="73"/>
    </w:p>
    <w:p>
      <w:pPr>
        <w:spacing w:line="600" w:lineRule="exact"/>
        <w:ind w:firstLine="640"/>
        <w:outlineLvl w:val="2"/>
        <w:rPr>
          <w:rFonts w:ascii="仿宋" w:hAnsi="仿宋" w:eastAsia="仿宋"/>
          <w:b/>
          <w:sz w:val="32"/>
          <w:szCs w:val="32"/>
        </w:rPr>
      </w:pPr>
      <w:bookmarkStart w:id="74" w:name="_Toc28333"/>
      <w:bookmarkStart w:id="75" w:name="_Toc15377216"/>
      <w:r>
        <w:rPr>
          <w:rFonts w:hint="eastAsia" w:ascii="仿宋" w:hAnsi="仿宋" w:eastAsia="仿宋"/>
          <w:b/>
          <w:sz w:val="32"/>
          <w:szCs w:val="32"/>
        </w:rPr>
        <w:t>（一）“三公”经费财政拨款支出决算总体情况说明</w:t>
      </w:r>
      <w:bookmarkEnd w:id="74"/>
      <w:bookmarkEnd w:id="75"/>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96.45</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62.75</w:t>
      </w:r>
      <w:r>
        <w:rPr>
          <w:rFonts w:hint="eastAsia" w:ascii="仿宋" w:hAnsi="仿宋" w:eastAsia="仿宋"/>
          <w:sz w:val="32"/>
          <w:szCs w:val="32"/>
        </w:rPr>
        <w:t>万元，增长</w:t>
      </w:r>
      <w:r>
        <w:rPr>
          <w:rFonts w:hint="eastAsia" w:ascii="仿宋" w:hAnsi="仿宋" w:eastAsia="仿宋"/>
          <w:sz w:val="32"/>
          <w:szCs w:val="32"/>
          <w:lang w:val="en-US" w:eastAsia="zh-CN"/>
        </w:rPr>
        <w:t>186</w:t>
      </w:r>
      <w:r>
        <w:rPr>
          <w:rFonts w:hint="eastAsia" w:ascii="仿宋" w:hAnsi="仿宋" w:eastAsia="仿宋"/>
          <w:sz w:val="32"/>
          <w:szCs w:val="32"/>
        </w:rPr>
        <w:t>%。决算数</w:t>
      </w:r>
      <w:r>
        <w:rPr>
          <w:rFonts w:hint="eastAsia" w:ascii="仿宋" w:hAnsi="仿宋" w:eastAsia="仿宋"/>
          <w:sz w:val="32"/>
          <w:szCs w:val="32"/>
          <w:lang w:val="en-US" w:eastAsia="zh-CN"/>
        </w:rPr>
        <w:t>与</w:t>
      </w:r>
      <w:r>
        <w:rPr>
          <w:rFonts w:hint="eastAsia" w:ascii="仿宋" w:hAnsi="仿宋" w:eastAsia="仿宋"/>
          <w:sz w:val="32"/>
          <w:szCs w:val="32"/>
        </w:rPr>
        <w:t>预算数持平。</w:t>
      </w:r>
    </w:p>
    <w:p>
      <w:pPr>
        <w:spacing w:line="600" w:lineRule="exact"/>
        <w:ind w:firstLine="640"/>
        <w:outlineLvl w:val="2"/>
        <w:rPr>
          <w:rFonts w:ascii="仿宋" w:hAnsi="仿宋" w:eastAsia="仿宋"/>
          <w:b/>
          <w:sz w:val="32"/>
          <w:szCs w:val="32"/>
        </w:rPr>
      </w:pPr>
      <w:bookmarkStart w:id="76" w:name="_Toc26536"/>
      <w:bookmarkStart w:id="77" w:name="_Toc15377217"/>
      <w:r>
        <w:rPr>
          <w:rFonts w:hint="eastAsia" w:ascii="仿宋" w:hAnsi="仿宋" w:eastAsia="仿宋"/>
          <w:b/>
          <w:sz w:val="32"/>
          <w:szCs w:val="32"/>
        </w:rPr>
        <w:t>（二）“三公”经费财政拨款支出决算具体情况说明</w:t>
      </w:r>
      <w:bookmarkEnd w:id="76"/>
      <w:bookmarkEnd w:id="77"/>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94.72</w:t>
      </w:r>
      <w:r>
        <w:rPr>
          <w:rFonts w:hint="eastAsia" w:ascii="仿宋" w:hAnsi="仿宋" w:eastAsia="仿宋"/>
          <w:sz w:val="32"/>
          <w:szCs w:val="32"/>
        </w:rPr>
        <w:t>万元，占</w:t>
      </w:r>
      <w:r>
        <w:rPr>
          <w:sz w:val="32"/>
          <w:szCs w:val="32"/>
        </w:rPr>
        <w:t>98.21</w:t>
      </w:r>
      <w:r>
        <w:rPr>
          <w:rFonts w:ascii="仿宋" w:hAnsi="仿宋" w:eastAsia="仿宋"/>
          <w:sz w:val="32"/>
          <w:szCs w:val="32"/>
        </w:rPr>
        <w:t>%</w:t>
      </w:r>
      <w:r>
        <w:rPr>
          <w:rFonts w:hint="eastAsia" w:ascii="仿宋" w:hAnsi="仿宋" w:eastAsia="仿宋"/>
          <w:sz w:val="32"/>
          <w:szCs w:val="32"/>
        </w:rPr>
        <w:t>；公务接待费支出决算</w:t>
      </w:r>
      <w:r>
        <w:rPr>
          <w:sz w:val="32"/>
          <w:szCs w:val="32"/>
        </w:rPr>
        <w:t>1.73</w:t>
      </w:r>
      <w:r>
        <w:rPr>
          <w:rFonts w:hint="eastAsia" w:ascii="仿宋" w:hAnsi="仿宋" w:eastAsia="仿宋"/>
          <w:sz w:val="32"/>
          <w:szCs w:val="32"/>
        </w:rPr>
        <w:t>万元，占</w:t>
      </w:r>
      <w:r>
        <w:rPr>
          <w:sz w:val="32"/>
          <w:szCs w:val="32"/>
        </w:rPr>
        <w:t>1.78</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5408" behindDoc="0" locked="0" layoutInCell="1" allowOverlap="1">
            <wp:simplePos x="0" y="0"/>
            <wp:positionH relativeFrom="column">
              <wp:posOffset>556895</wp:posOffset>
            </wp:positionH>
            <wp:positionV relativeFrom="paragraph">
              <wp:posOffset>204470</wp:posOffset>
            </wp:positionV>
            <wp:extent cx="3917950" cy="2301875"/>
            <wp:effectExtent l="4445" t="5080" r="20955" b="1714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与2022年持平</w:t>
      </w:r>
      <w:r>
        <w:rPr>
          <w:rFonts w:hint="eastAsia" w:ascii="仿宋_GB2312" w:eastAsia="仿宋_GB2312"/>
          <w:sz w:val="32"/>
          <w:szCs w:val="32"/>
        </w:rPr>
        <w:t>。主要原因是</w:t>
      </w:r>
      <w:r>
        <w:rPr>
          <w:rStyle w:val="18"/>
          <w:rFonts w:hint="eastAsia" w:ascii="仿宋" w:eastAsia="仿宋"/>
          <w:b w:val="0"/>
          <w:bCs/>
          <w:sz w:val="32"/>
          <w:szCs w:val="32"/>
        </w:rPr>
        <w:t>没有安排因公出国（境）。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94.72</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62.52</w:t>
      </w:r>
      <w:r>
        <w:rPr>
          <w:rFonts w:hint="eastAsia" w:ascii="仿宋_GB2312" w:eastAsia="仿宋_GB2312"/>
          <w:sz w:val="32"/>
          <w:szCs w:val="32"/>
        </w:rPr>
        <w:t>万元，增长</w:t>
      </w:r>
      <w:r>
        <w:rPr>
          <w:rFonts w:hint="eastAsia" w:ascii="仿宋_GB2312" w:eastAsia="仿宋_GB2312"/>
          <w:sz w:val="32"/>
          <w:szCs w:val="32"/>
          <w:lang w:val="en-US" w:eastAsia="zh-CN"/>
        </w:rPr>
        <w:t>194.16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本年度购置公务用车1辆</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59.9</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1</w:t>
      </w:r>
      <w:r>
        <w:rPr>
          <w:rFonts w:hint="eastAsia" w:ascii="仿宋_GB2312" w:eastAsia="仿宋_GB2312"/>
          <w:sz w:val="32"/>
          <w:szCs w:val="32"/>
        </w:rPr>
        <w:t>辆，其中：越野车</w:t>
      </w:r>
      <w:r>
        <w:rPr>
          <w:rFonts w:hint="eastAsia" w:ascii="仿宋_GB2312" w:eastAsia="仿宋_GB2312"/>
          <w:sz w:val="32"/>
          <w:szCs w:val="32"/>
          <w:lang w:val="en-US" w:eastAsia="zh-CN"/>
        </w:rPr>
        <w:t>1</w:t>
      </w:r>
      <w:r>
        <w:rPr>
          <w:rFonts w:hint="eastAsia" w:ascii="仿宋_GB2312" w:eastAsia="仿宋_GB2312"/>
          <w:sz w:val="32"/>
          <w:szCs w:val="32"/>
        </w:rPr>
        <w:t>辆、金额</w:t>
      </w:r>
      <w:r>
        <w:rPr>
          <w:rFonts w:hint="eastAsia" w:ascii="仿宋_GB2312" w:eastAsia="仿宋_GB2312"/>
          <w:sz w:val="32"/>
          <w:szCs w:val="32"/>
          <w:lang w:val="en-US" w:eastAsia="zh-CN"/>
        </w:rPr>
        <w:t>59.9</w:t>
      </w:r>
      <w:r>
        <w:rPr>
          <w:rFonts w:hint="eastAsia" w:ascii="仿宋_GB2312" w:eastAsia="仿宋_GB2312"/>
          <w:sz w:val="32"/>
          <w:szCs w:val="32"/>
        </w:rPr>
        <w:t>万元，主要用于</w:t>
      </w:r>
      <w:r>
        <w:rPr>
          <w:rFonts w:hint="eastAsia" w:ascii="仿宋_GB2312" w:eastAsia="仿宋_GB2312"/>
          <w:sz w:val="32"/>
          <w:szCs w:val="32"/>
          <w:lang w:val="en-US" w:eastAsia="zh-CN"/>
        </w:rPr>
        <w:t>开展机关日常工作</w:t>
      </w: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辆，其中：越野车</w:t>
      </w:r>
      <w:r>
        <w:rPr>
          <w:rFonts w:hint="eastAsia" w:ascii="仿宋_GB2312" w:eastAsia="仿宋_GB2312"/>
          <w:sz w:val="32"/>
          <w:szCs w:val="32"/>
          <w:lang w:val="en-US" w:eastAsia="zh-CN"/>
        </w:rPr>
        <w:t>4</w:t>
      </w:r>
      <w:r>
        <w:rPr>
          <w:rFonts w:hint="eastAsia" w:ascii="仿宋_GB2312" w:eastAsia="仿宋_GB2312"/>
          <w:sz w:val="32"/>
          <w:szCs w:val="32"/>
        </w:rPr>
        <w:t>辆。</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eastAsia="仿宋_GB2312"/>
          <w:b/>
          <w:sz w:val="32"/>
          <w:szCs w:val="32"/>
        </w:rPr>
        <w:t>公务用车运行维护费支出</w:t>
      </w:r>
      <w:r>
        <w:rPr>
          <w:sz w:val="32"/>
          <w:szCs w:val="32"/>
        </w:rPr>
        <w:t>34.82</w:t>
      </w:r>
      <w:r>
        <w:rPr>
          <w:rFonts w:hint="eastAsia" w:ascii="仿宋_GB2312" w:eastAsia="仿宋_GB2312"/>
          <w:sz w:val="32"/>
          <w:szCs w:val="32"/>
        </w:rPr>
        <w:t>万元。主要用于</w:t>
      </w:r>
      <w:r>
        <w:rPr>
          <w:rFonts w:ascii="仿宋_GB2312" w:hAnsi="仿宋_GB2312" w:eastAsia="仿宋_GB2312" w:cs="仿宋_GB2312"/>
          <w:sz w:val="32"/>
          <w:szCs w:val="32"/>
          <w:shd w:val="clear" w:color="auto" w:fill="FFFFFF"/>
        </w:rPr>
        <w:t>开展调研视察、</w:t>
      </w:r>
      <w:r>
        <w:rPr>
          <w:rFonts w:hint="eastAsia" w:ascii="仿宋_GB2312" w:hAnsi="仿宋_GB2312" w:eastAsia="仿宋_GB2312" w:cs="仿宋_GB2312"/>
          <w:sz w:val="32"/>
          <w:szCs w:val="32"/>
          <w:shd w:val="clear" w:color="auto" w:fill="FFFFFF"/>
          <w:lang w:val="en-US" w:eastAsia="zh-CN"/>
        </w:rPr>
        <w:t>委员联络站</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参政议政等工作</w:t>
      </w:r>
      <w:r>
        <w:rPr>
          <w:rFonts w:ascii="仿宋_GB2312" w:hAnsi="仿宋_GB2312" w:eastAsia="仿宋_GB2312" w:cs="仿宋_GB2312"/>
          <w:sz w:val="32"/>
          <w:szCs w:val="32"/>
          <w:shd w:val="clear" w:color="auto" w:fill="FFFFFF"/>
        </w:rPr>
        <w:t>以及单位领导干部出差等所需的公务用车燃料费、维修费、过路过桥费、保险费等支出。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1.73</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0.23</w:t>
      </w:r>
      <w:r>
        <w:rPr>
          <w:rFonts w:hint="eastAsia" w:ascii="仿宋_GB2312" w:eastAsia="仿宋_GB2312"/>
          <w:sz w:val="32"/>
          <w:szCs w:val="32"/>
        </w:rPr>
        <w:t>万元，增长</w:t>
      </w:r>
      <w:r>
        <w:rPr>
          <w:rFonts w:hint="eastAsia" w:ascii="仿宋_GB2312" w:eastAsia="仿宋_GB2312"/>
          <w:sz w:val="32"/>
          <w:szCs w:val="32"/>
          <w:lang w:val="en-US" w:eastAsia="zh-CN"/>
        </w:rPr>
        <w:t>15.33</w:t>
      </w:r>
      <w:r>
        <w:rPr>
          <w:rFonts w:ascii="仿宋_GB2312" w:eastAsia="仿宋_GB2312"/>
          <w:sz w:val="32"/>
          <w:szCs w:val="32"/>
        </w:rPr>
        <w:t>%</w:t>
      </w:r>
      <w:r>
        <w:rPr>
          <w:rFonts w:hint="eastAsia" w:ascii="仿宋_GB2312" w:eastAsia="仿宋_GB2312"/>
          <w:sz w:val="32"/>
          <w:szCs w:val="32"/>
        </w:rPr>
        <w:t>。主要原因是。其中：</w:t>
      </w:r>
    </w:p>
    <w:p>
      <w:pPr>
        <w:spacing w:line="600" w:lineRule="exact"/>
        <w:ind w:firstLine="640"/>
        <w:rPr>
          <w:rFonts w:hint="default" w:ascii="黑体" w:eastAsia="黑体"/>
          <w:sz w:val="32"/>
          <w:szCs w:val="32"/>
          <w:lang w:val="en-US"/>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1.73</w:t>
      </w:r>
      <w:r>
        <w:rPr>
          <w:rFonts w:hint="eastAsia" w:ascii="仿宋_GB2312" w:eastAsia="仿宋_GB2312"/>
          <w:sz w:val="32"/>
          <w:szCs w:val="32"/>
        </w:rPr>
        <w:t>万元，主要用于</w:t>
      </w:r>
      <w:r>
        <w:rPr>
          <w:rFonts w:hint="eastAsia" w:ascii="仿宋_GB2312" w:eastAsia="仿宋_GB2312"/>
          <w:sz w:val="32"/>
          <w:szCs w:val="32"/>
          <w:lang w:val="en-US" w:eastAsia="zh-CN"/>
        </w:rPr>
        <w:t>接待各市（县）兄弟政协</w:t>
      </w:r>
      <w:r>
        <w:rPr>
          <w:rFonts w:hint="eastAsia" w:ascii="仿宋_GB2312" w:eastAsia="仿宋_GB2312"/>
          <w:sz w:val="32"/>
          <w:szCs w:val="32"/>
        </w:rPr>
        <w:t>开展业务活动</w:t>
      </w:r>
      <w:r>
        <w:rPr>
          <w:rFonts w:hint="eastAsia" w:ascii="仿宋_GB2312" w:eastAsia="仿宋_GB2312"/>
          <w:sz w:val="32"/>
          <w:szCs w:val="32"/>
          <w:lang w:eastAsia="zh-CN"/>
        </w:rPr>
        <w:t>、</w:t>
      </w:r>
      <w:r>
        <w:rPr>
          <w:rFonts w:hint="eastAsia" w:ascii="仿宋_GB2312" w:eastAsia="仿宋_GB2312"/>
          <w:sz w:val="32"/>
          <w:szCs w:val="32"/>
          <w:lang w:val="en-US" w:eastAsia="zh-CN"/>
        </w:rPr>
        <w:t>调研视察等</w:t>
      </w:r>
      <w:r>
        <w:rPr>
          <w:rFonts w:hint="eastAsia" w:ascii="仿宋_GB2312" w:eastAsia="仿宋_GB2312"/>
          <w:sz w:val="32"/>
          <w:szCs w:val="32"/>
        </w:rPr>
        <w:t>开支的用餐费。国内公务接待</w:t>
      </w:r>
      <w:r>
        <w:rPr>
          <w:rFonts w:hint="eastAsia" w:ascii="仿宋_GB2312" w:eastAsia="仿宋_GB2312"/>
          <w:sz w:val="32"/>
          <w:szCs w:val="32"/>
          <w:lang w:val="en-US" w:eastAsia="zh-CN"/>
        </w:rPr>
        <w:t>4</w:t>
      </w:r>
      <w:r>
        <w:rPr>
          <w:rFonts w:hint="eastAsia" w:ascii="仿宋_GB2312" w:eastAsia="仿宋_GB2312"/>
          <w:sz w:val="32"/>
          <w:szCs w:val="32"/>
        </w:rPr>
        <w:t>批次，</w:t>
      </w:r>
      <w:r>
        <w:rPr>
          <w:rFonts w:hint="eastAsia" w:ascii="仿宋_GB2312" w:eastAsia="仿宋_GB2312"/>
          <w:sz w:val="32"/>
          <w:szCs w:val="32"/>
          <w:lang w:val="en-US" w:eastAsia="zh-CN"/>
        </w:rPr>
        <w:t>54</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1.73</w:t>
      </w:r>
      <w:r>
        <w:rPr>
          <w:rFonts w:hint="eastAsia" w:ascii="仿宋_GB2312" w:eastAsia="仿宋_GB2312"/>
          <w:sz w:val="32"/>
          <w:szCs w:val="32"/>
        </w:rPr>
        <w:t>万元，具体内容包括：文旅融合经验做法的考察学习</w:t>
      </w:r>
      <w:r>
        <w:rPr>
          <w:rFonts w:hint="eastAsia" w:ascii="仿宋_GB2312" w:eastAsia="仿宋_GB2312"/>
          <w:sz w:val="32"/>
          <w:szCs w:val="32"/>
          <w:lang w:val="en-US" w:eastAsia="zh-CN"/>
        </w:rPr>
        <w:t>0.36万元；文旅融合、提案督办经验做法的考察学习0.74万元；红原县教育均衡发展和文旅融合工作考察学习0.30万元；现代畜牧业转型发展考察0.33万元</w:t>
      </w:r>
      <w:bookmarkStart w:id="78" w:name="_Toc15377218"/>
      <w:bookmarkStart w:id="79" w:name="_Toc15396610"/>
      <w:r>
        <w:rPr>
          <w:rFonts w:hint="eastAsia" w:ascii="仿宋_GB2312" w:eastAsia="仿宋_GB2312"/>
          <w:sz w:val="32"/>
          <w:szCs w:val="32"/>
          <w:lang w:val="en-US" w:eastAsia="zh-CN"/>
        </w:rPr>
        <w:t>。</w:t>
      </w:r>
    </w:p>
    <w:p>
      <w:pPr>
        <w:spacing w:line="600" w:lineRule="exact"/>
        <w:ind w:firstLine="640"/>
        <w:outlineLvl w:val="1"/>
        <w:rPr>
          <w:rStyle w:val="30"/>
          <w:rFonts w:ascii="黑体" w:hAnsi="黑体" w:eastAsia="黑体"/>
        </w:rPr>
      </w:pPr>
      <w:bookmarkStart w:id="80" w:name="_Toc23926"/>
      <w:r>
        <w:rPr>
          <w:rFonts w:hint="eastAsia" w:ascii="黑体" w:eastAsia="黑体"/>
          <w:sz w:val="32"/>
          <w:szCs w:val="32"/>
        </w:rPr>
        <w:t>八、</w:t>
      </w:r>
      <w:r>
        <w:rPr>
          <w:rStyle w:val="30"/>
          <w:rFonts w:hint="eastAsia" w:ascii="黑体" w:hAnsi="黑体" w:eastAsia="黑体"/>
          <w:b w:val="0"/>
        </w:rPr>
        <w:t>政府性基金预算支出决算情况说明</w:t>
      </w:r>
      <w:bookmarkEnd w:id="78"/>
      <w:bookmarkEnd w:id="79"/>
      <w:bookmarkEnd w:id="80"/>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30"/>
          <w:rFonts w:ascii="黑体" w:hAnsi="黑体" w:eastAsia="黑体"/>
          <w:b w:val="0"/>
        </w:rPr>
      </w:pPr>
      <w:bookmarkStart w:id="81" w:name="_Toc15396611"/>
      <w:bookmarkStart w:id="82" w:name="_Toc15377219"/>
      <w:bookmarkStart w:id="83" w:name="_Toc16957"/>
      <w:r>
        <w:rPr>
          <w:rStyle w:val="30"/>
          <w:rFonts w:hint="eastAsia" w:ascii="黑体" w:hAnsi="黑体" w:eastAsia="黑体"/>
          <w:b w:val="0"/>
        </w:rPr>
        <w:t>国有资本经营预算支出决算情况说明</w:t>
      </w:r>
      <w:bookmarkEnd w:id="81"/>
      <w:bookmarkEnd w:id="82"/>
      <w:bookmarkEnd w:id="83"/>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30"/>
          <w:rFonts w:ascii="黑体" w:hAnsi="黑体" w:eastAsia="黑体"/>
          <w:b w:val="0"/>
        </w:rPr>
      </w:pPr>
      <w:bookmarkStart w:id="84" w:name="_Toc18433"/>
      <w:bookmarkStart w:id="85" w:name="_Toc15396612"/>
      <w:bookmarkStart w:id="86" w:name="_Toc15377221"/>
      <w:r>
        <w:rPr>
          <w:rStyle w:val="30"/>
          <w:rFonts w:hint="eastAsia" w:ascii="黑体" w:hAnsi="黑体" w:eastAsia="黑体"/>
          <w:b w:val="0"/>
        </w:rPr>
        <w:t>其他重要事项的情况说明</w:t>
      </w:r>
      <w:bookmarkEnd w:id="84"/>
      <w:bookmarkEnd w:id="85"/>
      <w:bookmarkEnd w:id="86"/>
    </w:p>
    <w:p>
      <w:pPr>
        <w:spacing w:line="600" w:lineRule="exact"/>
        <w:ind w:firstLine="643" w:firstLineChars="200"/>
        <w:outlineLvl w:val="2"/>
        <w:rPr>
          <w:rFonts w:ascii="仿宋" w:hAnsi="仿宋" w:eastAsia="仿宋"/>
          <w:sz w:val="32"/>
          <w:szCs w:val="32"/>
        </w:rPr>
      </w:pPr>
      <w:bookmarkStart w:id="87" w:name="_Toc15377222"/>
      <w:bookmarkStart w:id="88" w:name="_Toc18007"/>
      <w:r>
        <w:rPr>
          <w:rFonts w:hint="eastAsia" w:ascii="仿宋" w:hAnsi="仿宋" w:eastAsia="仿宋"/>
          <w:b/>
          <w:sz w:val="32"/>
          <w:szCs w:val="32"/>
        </w:rPr>
        <w:t>（一）机关运行经费支出情况</w:t>
      </w:r>
      <w:bookmarkEnd w:id="87"/>
      <w:bookmarkEnd w:id="88"/>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2023年度，中国人民政治协商会议四川省红原县委员会办公室机关运行经费支出62.6万元，比2022年度减少</w:t>
      </w:r>
      <w:r>
        <w:rPr>
          <w:rFonts w:hint="eastAsia" w:ascii="仿宋_GB2312" w:hAnsi="仿宋_GB2312" w:eastAsia="仿宋_GB2312" w:cs="仿宋_GB2312"/>
          <w:sz w:val="32"/>
          <w:szCs w:val="32"/>
          <w:lang w:val="en-US" w:eastAsia="zh-CN"/>
        </w:rPr>
        <w:t>3.86</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5.8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坚决落实过紧日子的要求，减少不必要的经费支出</w:t>
      </w:r>
      <w:r>
        <w:rPr>
          <w:rFonts w:hint="eastAsia" w:ascii="仿宋_GB2312" w:hAnsi="仿宋_GB2312" w:eastAsia="仿宋_GB2312" w:cs="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89" w:name="_Toc22691"/>
      <w:bookmarkStart w:id="90" w:name="_Toc15377223"/>
      <w:r>
        <w:rPr>
          <w:rFonts w:hint="eastAsia" w:ascii="仿宋" w:hAnsi="仿宋" w:eastAsia="仿宋"/>
          <w:b/>
          <w:sz w:val="32"/>
          <w:szCs w:val="32"/>
        </w:rPr>
        <w:t>（二）政府采购支出情况</w:t>
      </w:r>
      <w:bookmarkEnd w:id="89"/>
      <w:bookmarkEnd w:id="90"/>
    </w:p>
    <w:p>
      <w:pPr>
        <w:spacing w:line="600" w:lineRule="exact"/>
        <w:ind w:firstLine="640" w:firstLineChars="200"/>
        <w:rPr>
          <w:rFonts w:ascii="仿宋" w:hAnsi="仿宋" w:eastAsia="仿宋"/>
          <w:b/>
          <w:sz w:val="32"/>
          <w:szCs w:val="32"/>
        </w:rPr>
      </w:pPr>
      <w:r>
        <w:rPr>
          <w:rFonts w:hint="eastAsia" w:ascii="仿宋_GB2312" w:hAnsi="仿宋_GB2312" w:eastAsia="仿宋_GB2312" w:cs="仿宋_GB2312"/>
          <w:sz w:val="32"/>
          <w:szCs w:val="32"/>
        </w:rPr>
        <w:t>2023年度，中国人民政治协商会议四川省红原县委员会办公室政府采购支出总额0万元</w:t>
      </w:r>
      <w:r>
        <w:rPr>
          <w:rFonts w:hint="eastAsia" w:ascii="仿宋_GB2312" w:hAnsi="仿宋_GB2312" w:eastAsia="仿宋_GB2312" w:cs="仿宋_GB2312"/>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91" w:name="_Toc15377224"/>
      <w:bookmarkStart w:id="92" w:name="_Toc1354"/>
      <w:r>
        <w:rPr>
          <w:rFonts w:hint="eastAsia" w:ascii="仿宋" w:hAnsi="仿宋" w:eastAsia="仿宋"/>
          <w:b/>
          <w:sz w:val="32"/>
          <w:szCs w:val="32"/>
        </w:rPr>
        <w:t>（三）国有资产占有使用情况</w:t>
      </w:r>
      <w:bookmarkEnd w:id="91"/>
      <w:bookmarkEnd w:id="92"/>
    </w:p>
    <w:p>
      <w:pPr>
        <w:autoSpaceDE w:val="0"/>
        <w:autoSpaceDN w:val="0"/>
        <w:adjustRightIn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截至2023年12月31日，中国人民政治协商会议四川省红原县委员会办公室共有车辆4辆，其中：主要领导干部用车</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单价100万元以上设备（不含车辆）0台（套）。</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93" w:name="_Toc29282"/>
      <w:r>
        <w:rPr>
          <w:rFonts w:hint="eastAsia" w:ascii="仿宋" w:hAnsi="仿宋" w:eastAsia="仿宋"/>
          <w:b/>
          <w:sz w:val="32"/>
          <w:szCs w:val="32"/>
        </w:rPr>
        <w:t>（四）预算绩效管理情况</w:t>
      </w:r>
      <w:bookmarkEnd w:id="93"/>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政协会议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w:t>
      </w:r>
    </w:p>
    <w:p>
      <w:pPr>
        <w:pageBreakBefore w:val="0"/>
        <w:widowControl w:val="0"/>
        <w:kinsoku/>
        <w:wordWrap w:val="0"/>
        <w:overflowPunct/>
        <w:topLinePunct w:val="0"/>
        <w:bidi w:val="0"/>
        <w:spacing w:line="572" w:lineRule="atLeas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部门整体（含部门预算项目）绩效自评报告、</w:t>
      </w:r>
      <w:r>
        <w:rPr>
          <w:rFonts w:hint="eastAsia" w:ascii="仿宋_GB2312" w:eastAsia="仿宋_GB2312" w:cs="仿宋_GB2312"/>
          <w:sz w:val="32"/>
          <w:szCs w:val="32"/>
          <w:lang w:val="en-US" w:eastAsia="zh-CN"/>
        </w:rPr>
        <w:t>政协红原县委员会办公室</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95.80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绩效自评综述：</w:t>
      </w:r>
      <w:r>
        <w:rPr>
          <w:rFonts w:hint="eastAsia" w:ascii="仿宋_GB2312" w:eastAsia="仿宋_GB2312" w:cs="仿宋_GB2312"/>
          <w:sz w:val="32"/>
          <w:szCs w:val="32"/>
          <w:lang w:val="en-US" w:eastAsia="zh-CN"/>
        </w:rPr>
        <w:t>我单位按要求对2023年部门整体支出开展绩效自评，从评价情况来看，本单位严格按照制定的目标绩效管理制度来开展绩效管理工作，专项经费全部用于开展专项工作，</w:t>
      </w:r>
      <w:r>
        <w:rPr>
          <w:rFonts w:hint="eastAsia" w:ascii="仿宋_GB2312" w:eastAsia="仿宋_GB2312" w:cs="仿宋_GB2312"/>
          <w:sz w:val="32"/>
          <w:szCs w:val="32"/>
        </w:rPr>
        <w:t>年终执行完毕后，对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个项目开展了绩效自评，</w:t>
      </w:r>
      <w:r>
        <w:rPr>
          <w:rFonts w:hint="eastAsia" w:ascii="仿宋_GB2312" w:eastAsia="仿宋_GB2312" w:cs="仿宋_GB2312"/>
          <w:sz w:val="32"/>
          <w:szCs w:val="32"/>
          <w:lang w:val="en-US" w:eastAsia="zh-CN"/>
        </w:rPr>
        <w:t>整体支出完成情况良好。</w:t>
      </w:r>
      <w:r>
        <w:rPr>
          <w:rFonts w:hint="eastAsia" w:ascii="仿宋_GB2312" w:hAnsi="仿宋_GB2312" w:eastAsia="仿宋_GB2312" w:cs="仿宋_GB2312"/>
          <w:sz w:val="32"/>
          <w:szCs w:val="32"/>
        </w:rPr>
        <w:t>绩效自评报告详见附件。</w:t>
      </w:r>
    </w:p>
    <w:p>
      <w:pPr>
        <w:pStyle w:val="3"/>
        <w:jc w:val="center"/>
        <w:rPr>
          <w:rFonts w:hint="eastAsia" w:ascii="黑体" w:hAnsi="黑体" w:eastAsia="黑体" w:cs="黑体"/>
        </w:rPr>
      </w:pPr>
      <w:bookmarkStart w:id="94" w:name="_Toc14563"/>
      <w:r>
        <w:rPr>
          <w:rFonts w:hint="eastAsia" w:ascii="黑体" w:hAnsi="黑体" w:eastAsia="黑体" w:cs="黑体"/>
        </w:rPr>
        <w:t>第三部分 名词解释</w:t>
      </w:r>
      <w:bookmarkEnd w:id="94"/>
    </w:p>
    <w:p>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r>
        <w:rPr>
          <w:rFonts w:ascii="仿宋_GB2312" w:eastAsia="仿宋_GB2312"/>
          <w:color w:val="auto"/>
          <w:sz w:val="32"/>
          <w:szCs w:val="32"/>
        </w:rPr>
        <w:t xml:space="preserve"> </w:t>
      </w:r>
    </w:p>
    <w:p>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年末结转和结余：指单位按有关规定结转到下年或以后年度继续使用的资金。</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.一般公共服务支出（类）政协事务（款）：指各级政治协商会议的支出。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（1）行政运行（项）：指行政单位的基本支出。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（2）一般行政管理事务（项）：指行政单位未单独设置顶级科目的其他项目支出。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（3）政协会议（项）：指各级政协召开“政协会”等专门会议的支出。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（4）委员视察（项）：指政协委员开展各类视察的支出。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（5）参政议政（项）：指政协为参政议政进行调研、检查等方面的支出。</w:t>
      </w:r>
    </w:p>
    <w:p>
      <w:pPr>
        <w:pStyle w:val="36"/>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.社会保障和就业支出（类）行政事业单位养老支出（款）：指行政事业单位养老方面的支出。</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（1）机关事业单位基本养老保险缴费支出（项）：指机关事业单位实施养老保险制度由单位缴纳的基本养老保险费支出。</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（2）机关事业单位职业年金缴费支出（项）：指机关事业单位实施养老保险制度由单位实际缴纳的职业年金支出。</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卫生健康支出（类）行政事业单位医疗（款）：指行政事业单位医疗方面的支出。</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（1）行政单位医疗（项）：指财政部门集中安排的行政单位基本医疗保险缴费经费。</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（2）公务员医疗补助（项）：指财政部门集中安排的公务员医疗补助经费。</w:t>
      </w:r>
    </w:p>
    <w:p>
      <w:pPr>
        <w:pStyle w:val="36"/>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.住房保障（类）住房改革支出（款）住房公积金（项）：指行政事业单位按人力资源和社会保障部、财政部规定的基本工资和津补贴一级规定比例为职工缴纳的住房公积金。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黑体" w:hAnsi="黑体" w:eastAsia="黑体"/>
          <w:b w:val="0"/>
        </w:rPr>
      </w:pPr>
      <w:r>
        <w:rPr>
          <w:rFonts w:hint="eastAsia" w:ascii="仿宋_GB2312" w:hAnsi="Times New Roman" w:eastAsia="仿宋_GB2312" w:cs="仿宋"/>
          <w:color w:val="auto"/>
          <w:kern w:val="0"/>
          <w:sz w:val="32"/>
          <w:szCs w:val="32"/>
          <w:lang w:val="en-US" w:eastAsia="zh-CN" w:bidi="ar-SA"/>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费用。</w:t>
      </w:r>
    </w:p>
    <w:p>
      <w:pPr>
        <w:pStyle w:val="3"/>
        <w:ind w:firstLine="2200" w:firstLineChars="500"/>
        <w:jc w:val="both"/>
        <w:rPr>
          <w:rFonts w:ascii="黑体" w:hAnsi="黑体" w:eastAsia="黑体"/>
          <w:b w:val="0"/>
        </w:rPr>
      </w:pPr>
      <w:bookmarkStart w:id="95" w:name="_Toc18228"/>
      <w:r>
        <w:rPr>
          <w:rFonts w:hint="eastAsia" w:ascii="黑体" w:hAnsi="黑体" w:eastAsia="黑体"/>
          <w:b w:val="0"/>
        </w:rPr>
        <w:t>第四部分 附件</w:t>
      </w:r>
      <w:bookmarkEnd w:id="95"/>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Pr>
        <w:jc w:val="center"/>
        <w:rPr>
          <w:rFonts w:ascii="仿宋_GB2312" w:eastAsia="仿宋_GB2312"/>
          <w:sz w:val="32"/>
          <w:szCs w:val="32"/>
        </w:rPr>
      </w:pPr>
      <w:r>
        <w:rPr>
          <w:rFonts w:hint="eastAsia" w:ascii="仿宋_GB2312" w:eastAsia="仿宋_GB2312"/>
          <w:sz w:val="32"/>
          <w:szCs w:val="32"/>
        </w:rPr>
        <w:t>（报告范围包括机关和下属单位）</w:t>
      </w:r>
    </w:p>
    <w:p/>
    <w:p>
      <w:pPr>
        <w:rPr>
          <w:rFonts w:ascii="黑体" w:hAnsi="黑体" w:eastAsia="黑体"/>
          <w:sz w:val="32"/>
          <w:szCs w:val="32"/>
        </w:rPr>
      </w:pPr>
      <w:r>
        <w:rPr>
          <w:rFonts w:hint="eastAsia" w:ascii="黑体" w:hAnsi="黑体" w:eastAsia="黑体"/>
          <w:sz w:val="32"/>
          <w:szCs w:val="32"/>
        </w:rPr>
        <w:t>一、部门（单位）基本情况</w:t>
      </w:r>
    </w:p>
    <w:p>
      <w:pPr>
        <w:ind w:firstLine="643" w:firstLineChars="200"/>
        <w:rPr>
          <w:rFonts w:hint="eastAsia" w:ascii="仿宋_GB2312" w:hAnsi="仿宋_GB2312" w:eastAsia="仿宋_GB2312" w:cs="仿宋_GB2312"/>
          <w:i w:val="0"/>
          <w:caps w:val="0"/>
          <w:color w:val="auto"/>
          <w:spacing w:val="0"/>
          <w:sz w:val="32"/>
          <w:szCs w:val="32"/>
          <w:shd w:val="clear" w:color="auto" w:fill="FFFFFF"/>
        </w:rPr>
      </w:pPr>
      <w:r>
        <w:rPr>
          <w:rFonts w:hint="eastAsia" w:ascii="楷体_GB2312" w:eastAsia="楷体_GB2312"/>
          <w:b/>
          <w:sz w:val="32"/>
          <w:szCs w:val="32"/>
        </w:rPr>
        <w:t>（一）机构组成。</w:t>
      </w:r>
      <w:r>
        <w:rPr>
          <w:rFonts w:hint="eastAsia" w:ascii="仿宋_GB2312" w:hAnsi="仿宋_GB2312" w:eastAsia="仿宋_GB2312" w:cs="仿宋_GB2312"/>
          <w:i w:val="0"/>
          <w:caps w:val="0"/>
          <w:color w:val="auto"/>
          <w:spacing w:val="0"/>
          <w:sz w:val="32"/>
          <w:szCs w:val="32"/>
          <w:shd w:val="clear" w:color="auto" w:fill="FFFFFF"/>
        </w:rPr>
        <w:t>政协红原县委员会办公室下设单位（股室）</w:t>
      </w: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个，其中行政单位1个，其他事业单位</w:t>
      </w:r>
      <w:r>
        <w:rPr>
          <w:rFonts w:hint="eastAsia" w:ascii="仿宋_GB2312" w:hAnsi="仿宋_GB2312" w:eastAsia="仿宋_GB2312" w:cs="仿宋_GB2312"/>
          <w:i w:val="0"/>
          <w:caps w:val="0"/>
          <w:color w:val="auto"/>
          <w:spacing w:val="0"/>
          <w:sz w:val="32"/>
          <w:szCs w:val="32"/>
          <w:shd w:val="clear" w:color="auto" w:fill="FFFFFF"/>
          <w:lang w:val="en-US" w:eastAsia="zh-CN"/>
        </w:rPr>
        <w:t>1</w:t>
      </w:r>
      <w:r>
        <w:rPr>
          <w:rFonts w:hint="eastAsia" w:ascii="仿宋_GB2312" w:hAnsi="仿宋_GB2312" w:eastAsia="仿宋_GB2312" w:cs="仿宋_GB2312"/>
          <w:i w:val="0"/>
          <w:caps w:val="0"/>
          <w:color w:val="auto"/>
          <w:spacing w:val="0"/>
          <w:sz w:val="32"/>
          <w:szCs w:val="32"/>
          <w:shd w:val="clear" w:color="auto" w:fill="FFFFFF"/>
        </w:rPr>
        <w:t>个。</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eastAsia="楷体_GB2312"/>
          <w:b/>
          <w:sz w:val="32"/>
          <w:szCs w:val="32"/>
        </w:rPr>
      </w:pPr>
      <w:r>
        <w:rPr>
          <w:rFonts w:hint="eastAsia" w:ascii="楷体_GB2312" w:eastAsia="楷体_GB2312"/>
          <w:b/>
          <w:sz w:val="32"/>
          <w:szCs w:val="32"/>
        </w:rPr>
        <w:t>（二）机构职能。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1.负责政协红原县委员会全体会议、常委会议、主席会议和其他主要会议的组织和会务工作，并组织实施“三个例会”的决议、决定。</w:t>
      </w:r>
    </w:p>
    <w:p>
      <w:pPr>
        <w:tabs>
          <w:tab w:val="left" w:pos="710"/>
        </w:tabs>
        <w:bidi w:val="0"/>
        <w:ind w:firstLine="640" w:firstLineChars="200"/>
        <w:jc w:val="left"/>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2.组织委员视察参观、调查、座谈等日常活动以及各专门委员会的其他工作的组织和服务工作，负责县政协举办各种重大活动的组织、宣传工作。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105" w:beforeAutospacing="0" w:after="105" w:afterAutospacing="0" w:line="576" w:lineRule="exact"/>
        <w:ind w:right="0" w:firstLine="640" w:firstLineChars="200"/>
        <w:jc w:val="lef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3.研究统一战线和人民政协的理论、政策，调查研究和了解有关我县各项事业及群众生活的重要问题提出解决办法，供党政机关参考。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105" w:beforeAutospacing="0" w:after="105" w:afterAutospacing="0" w:line="576" w:lineRule="exact"/>
        <w:ind w:right="0" w:firstLine="640" w:firstLineChars="200"/>
        <w:jc w:val="lef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4.密切与县委、县人大、县政府有关部门的联系，搞好协调工作，做好上情下达、下情上报工作。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105" w:beforeAutospacing="0" w:after="105" w:afterAutospacing="0" w:line="576" w:lineRule="exact"/>
        <w:ind w:right="0" w:firstLine="640" w:firstLineChars="200"/>
        <w:jc w:val="lef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5.负责政协工作的内外宣传、收集、反映各族各界人士的意见、建议。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105" w:beforeAutospacing="0" w:after="105" w:afterAutospacing="0" w:line="576" w:lineRule="exact"/>
        <w:ind w:right="0" w:firstLine="640" w:firstLineChars="200"/>
        <w:jc w:val="lef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6.负责管理政协委员会机关行政、文秘、档案、信访、保密等工作。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ascii="楷体_GB2312" w:eastAsia="楷体_GB2312"/>
          <w:b/>
          <w:sz w:val="32"/>
          <w:szCs w:val="32"/>
        </w:rPr>
      </w:pPr>
      <w:bookmarkStart w:id="96" w:name="_Toc5427"/>
      <w:r>
        <w:rPr>
          <w:rFonts w:hint="eastAsia" w:ascii="仿宋_GB2312" w:hAnsi="仿宋_GB2312" w:eastAsia="仿宋_GB2312" w:cs="仿宋_GB2312"/>
          <w:i w:val="0"/>
          <w:caps w:val="0"/>
          <w:color w:val="auto"/>
          <w:spacing w:val="0"/>
          <w:sz w:val="32"/>
          <w:szCs w:val="32"/>
          <w:shd w:val="clear" w:color="auto" w:fill="FFFFFF"/>
        </w:rPr>
        <w:t>7.承担县政协主席、副主席和州政协交办的其他工作。</w:t>
      </w:r>
      <w:bookmarkEnd w:id="96"/>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ascii="仿宋_GB2312" w:eastAsia="仿宋_GB2312"/>
          <w:sz w:val="32"/>
          <w:szCs w:val="32"/>
        </w:rPr>
      </w:pPr>
      <w:bookmarkStart w:id="97" w:name="_Toc9490"/>
      <w:r>
        <w:rPr>
          <w:rFonts w:hint="eastAsia" w:ascii="楷体_GB2312" w:eastAsia="楷体_GB2312"/>
          <w:b/>
          <w:sz w:val="32"/>
          <w:szCs w:val="32"/>
        </w:rPr>
        <w:t>（三）人员概况。</w:t>
      </w:r>
      <w:r>
        <w:rPr>
          <w:rFonts w:hint="eastAsia" w:ascii="仿宋_GB2312" w:eastAsia="仿宋_GB2312"/>
          <w:sz w:val="32"/>
          <w:szCs w:val="32"/>
        </w:rPr>
        <w:t>截至2023年末</w:t>
      </w:r>
      <w:r>
        <w:rPr>
          <w:rFonts w:hint="eastAsia" w:ascii="仿宋_GB2312" w:eastAsia="仿宋_GB2312"/>
          <w:sz w:val="32"/>
          <w:szCs w:val="32"/>
          <w:lang w:eastAsia="zh-CN"/>
        </w:rPr>
        <w:t>，</w:t>
      </w:r>
      <w:r>
        <w:rPr>
          <w:rFonts w:hint="eastAsia" w:ascii="仿宋_GB2312" w:hAnsi="仿宋_GB2312" w:eastAsia="仿宋_GB2312" w:cs="仿宋_GB2312"/>
          <w:color w:val="auto"/>
          <w:sz w:val="32"/>
          <w:szCs w:val="32"/>
          <w:lang w:val="en-US" w:eastAsia="zh-CN"/>
        </w:rPr>
        <w:t>我单位编制人数20人，在职人数21人，其中：县级领导干部</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人，科级领导干部6人，科级及以下干部1人，行政工勤4人，改非干部</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人，事业管理九级干部2人。</w:t>
      </w:r>
      <w:bookmarkEnd w:id="97"/>
    </w:p>
    <w:p>
      <w:pPr>
        <w:rPr>
          <w:rFonts w:ascii="黑体" w:hAnsi="黑体" w:eastAsia="黑体"/>
          <w:sz w:val="32"/>
          <w:szCs w:val="32"/>
        </w:rPr>
      </w:pPr>
      <w:r>
        <w:rPr>
          <w:rFonts w:hint="eastAsia" w:ascii="黑体" w:hAnsi="黑体" w:eastAsia="黑体"/>
          <w:sz w:val="32"/>
          <w:szCs w:val="32"/>
        </w:rPr>
        <w:t>二、部门资金收支情况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105" w:beforeAutospacing="0" w:after="105" w:afterAutospacing="0" w:line="576" w:lineRule="exact"/>
        <w:ind w:left="0" w:right="0" w:firstLine="742" w:firstLineChars="231"/>
        <w:jc w:val="left"/>
        <w:textAlignment w:val="auto"/>
        <w:rPr>
          <w:rFonts w:ascii="仿宋_GB2312" w:eastAsia="仿宋_GB2312"/>
          <w:sz w:val="32"/>
          <w:szCs w:val="32"/>
        </w:rPr>
      </w:pPr>
      <w:r>
        <w:rPr>
          <w:rFonts w:hint="eastAsia" w:ascii="楷体_GB2312" w:eastAsia="楷体_GB2312"/>
          <w:b/>
          <w:sz w:val="32"/>
          <w:szCs w:val="32"/>
        </w:rPr>
        <w:t>（一）收入情况。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202</w:t>
      </w:r>
      <w:r>
        <w:rPr>
          <w:rFonts w:hint="eastAsia" w:ascii="仿宋_GB2312" w:hAnsi="仿宋_GB2312" w:cs="仿宋_GB2312"/>
          <w:i w:val="0"/>
          <w:caps w:val="0"/>
          <w:color w:val="auto"/>
          <w:spacing w:val="0"/>
          <w:kern w:val="0"/>
          <w:sz w:val="32"/>
          <w:szCs w:val="32"/>
          <w:shd w:val="clear" w:color="auto" w:fill="FFFFFF"/>
          <w:lang w:val="en-US" w:eastAsia="zh-CN" w:bidi="ar"/>
        </w:rPr>
        <w:t>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年年初预算收入总额为</w:t>
      </w:r>
      <w:r>
        <w:rPr>
          <w:rFonts w:hint="eastAsia" w:ascii="仿宋_GB2312" w:hAnsi="仿宋_GB2312" w:cs="仿宋_GB2312"/>
          <w:i w:val="0"/>
          <w:caps w:val="0"/>
          <w:color w:val="auto"/>
          <w:spacing w:val="0"/>
          <w:kern w:val="0"/>
          <w:sz w:val="32"/>
          <w:szCs w:val="32"/>
          <w:shd w:val="clear" w:color="auto" w:fill="FFFFFF"/>
          <w:lang w:val="en-US" w:eastAsia="zh-CN" w:bidi="ar"/>
        </w:rPr>
        <w:t>945.10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万元，与决算报表收入一致。</w:t>
      </w:r>
    </w:p>
    <w:p>
      <w:pPr>
        <w:ind w:firstLine="643" w:firstLineChars="200"/>
        <w:rPr>
          <w:rFonts w:ascii="仿宋_GB2312" w:eastAsia="仿宋_GB2312"/>
          <w:sz w:val="32"/>
          <w:szCs w:val="32"/>
        </w:rPr>
      </w:pPr>
      <w:r>
        <w:rPr>
          <w:rFonts w:hint="eastAsia" w:ascii="楷体_GB2312" w:eastAsia="楷体_GB2312"/>
          <w:b/>
          <w:sz w:val="32"/>
          <w:szCs w:val="32"/>
        </w:rPr>
        <w:t>（二）支出情况。</w:t>
      </w:r>
      <w:r>
        <w:rPr>
          <w:rFonts w:hint="eastAsia" w:ascii="仿宋_GB2312" w:eastAsia="仿宋_GB2312"/>
          <w:sz w:val="32"/>
          <w:szCs w:val="32"/>
        </w:rPr>
        <w:t>2023年年初预算支出</w:t>
      </w:r>
      <w:r>
        <w:rPr>
          <w:rFonts w:hint="eastAsia" w:ascii="仿宋_GB2312" w:eastAsia="仿宋_GB2312"/>
          <w:sz w:val="32"/>
          <w:szCs w:val="32"/>
          <w:lang w:val="en-US" w:eastAsia="zh-CN"/>
        </w:rPr>
        <w:t>945.10万元，与</w:t>
      </w:r>
      <w:r>
        <w:rPr>
          <w:rFonts w:hint="eastAsia" w:ascii="仿宋_GB2312" w:eastAsia="仿宋_GB2312"/>
          <w:sz w:val="32"/>
          <w:szCs w:val="32"/>
        </w:rPr>
        <w:t>决算报表支出</w:t>
      </w:r>
      <w:r>
        <w:rPr>
          <w:rFonts w:hint="eastAsia" w:ascii="仿宋_GB2312" w:eastAsia="仿宋_GB2312"/>
          <w:sz w:val="32"/>
          <w:szCs w:val="32"/>
          <w:lang w:val="en-US" w:eastAsia="zh-CN"/>
        </w:rPr>
        <w:t>一致</w:t>
      </w:r>
      <w:r>
        <w:rPr>
          <w:rFonts w:hint="eastAsia" w:ascii="仿宋_GB2312" w:eastAsia="仿宋_GB2312"/>
          <w:sz w:val="32"/>
          <w:szCs w:val="32"/>
        </w:rPr>
        <w:t>。</w:t>
      </w:r>
    </w:p>
    <w:p>
      <w:pPr>
        <w:ind w:firstLine="643" w:firstLineChars="200"/>
        <w:rPr>
          <w:rFonts w:ascii="仿宋_GB2312" w:eastAsia="仿宋_GB2312"/>
          <w:sz w:val="32"/>
          <w:szCs w:val="32"/>
        </w:rPr>
      </w:pPr>
      <w:r>
        <w:rPr>
          <w:rFonts w:hint="eastAsia" w:ascii="楷体_GB2312" w:eastAsia="楷体_GB2312"/>
          <w:b/>
          <w:sz w:val="32"/>
          <w:szCs w:val="32"/>
        </w:rPr>
        <w:t>（三）结余分配和结转结余情况。</w:t>
      </w:r>
      <w:r>
        <w:rPr>
          <w:rFonts w:hint="eastAsia" w:ascii="仿宋_GB2312" w:eastAsia="仿宋_GB2312"/>
          <w:sz w:val="32"/>
          <w:szCs w:val="32"/>
        </w:rPr>
        <w:t>2023年决算报表</w:t>
      </w:r>
      <w:r>
        <w:rPr>
          <w:rFonts w:hint="eastAsia" w:ascii="仿宋_GB2312" w:eastAsia="仿宋_GB2312"/>
          <w:sz w:val="32"/>
          <w:szCs w:val="32"/>
          <w:lang w:val="en-US" w:eastAsia="zh-CN"/>
        </w:rPr>
        <w:t>无</w:t>
      </w:r>
      <w:r>
        <w:rPr>
          <w:rFonts w:hint="eastAsia" w:ascii="仿宋_GB2312" w:eastAsia="仿宋_GB2312"/>
          <w:sz w:val="32"/>
          <w:szCs w:val="32"/>
        </w:rPr>
        <w:t>结转结余情况。</w:t>
      </w:r>
    </w:p>
    <w:p>
      <w:pPr>
        <w:rPr>
          <w:rFonts w:ascii="黑体" w:hAnsi="黑体" w:eastAsia="黑体"/>
          <w:sz w:val="32"/>
          <w:szCs w:val="32"/>
        </w:rPr>
      </w:pPr>
      <w:r>
        <w:rPr>
          <w:rFonts w:hint="eastAsia" w:ascii="黑体" w:hAnsi="黑体" w:eastAsia="黑体"/>
          <w:sz w:val="32"/>
          <w:szCs w:val="32"/>
        </w:rPr>
        <w:t>三、部门预算绩效分析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hAnsi="宋体" w:eastAsia="仿宋_GB2312" w:cs="宋体"/>
          <w:b w:val="0"/>
          <w:bCs w:val="0"/>
          <w:color w:val="000000"/>
          <w:kern w:val="0"/>
          <w:sz w:val="32"/>
          <w:szCs w:val="32"/>
          <w:shd w:val="clear" w:color="auto" w:fill="FFFFFF"/>
          <w:lang w:val="en-US" w:eastAsia="zh-CN"/>
        </w:rPr>
        <w:t>根据县财政局相关文件要求，我单位认真编报了部门整体支出和项目支出的绩效目标，实现绩效目标全覆盖，绩效目标设置完整。</w:t>
      </w:r>
    </w:p>
    <w:p>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firstLine="640" w:firstLineChars="200"/>
        <w:textAlignment w:val="auto"/>
        <w:rPr>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hint="eastAsia" w:ascii="仿宋_GB2312" w:hAnsi="仿宋_GB2312" w:cs="仿宋_GB2312"/>
          <w:b/>
          <w:bCs/>
          <w:sz w:val="32"/>
          <w:szCs w:val="32"/>
          <w:shd w:val="clear" w:color="auto" w:fill="FFFFFF"/>
          <w:lang w:val="en-US" w:eastAsia="zh-CN"/>
        </w:rPr>
        <w:t>（1）</w:t>
      </w:r>
      <w:r>
        <w:rPr>
          <w:rFonts w:hint="default" w:ascii="Times New Roman" w:hAnsi="Times New Roman" w:eastAsia="仿宋_GB2312" w:cs="Times New Roman"/>
          <w:b/>
          <w:bCs/>
          <w:sz w:val="32"/>
          <w:szCs w:val="32"/>
          <w:lang w:val="en-US" w:eastAsia="zh-CN"/>
        </w:rPr>
        <w:t>协商议事惠及民生。</w:t>
      </w:r>
      <w:r>
        <w:rPr>
          <w:rFonts w:hint="default" w:ascii="Times New Roman" w:hAnsi="Times New Roman" w:eastAsia="仿宋_GB2312" w:cs="Times New Roman"/>
          <w:color w:val="auto"/>
          <w:kern w:val="2"/>
          <w:sz w:val="32"/>
          <w:szCs w:val="32"/>
          <w:lang w:val="en-US" w:eastAsia="zh-CN" w:bidi="ar-SA"/>
        </w:rPr>
        <w:t>持续推进“有事来协商·阿隆好商量”工作，紧紧围绕“党政工作重点、群众关心热点、社会治理难点”等内容，聚焦基层治理、乡村建设、基础设施等群众关心关注的热点难点问题，广泛协商交流。助推松潘县毛尔盖镇与我县边界问题、国道248线上安曲到瓦切路段交通安全问题、麦洼寺寺庙道路改造提升、江茸乡辖区网线乱象治理等30多个群众“急难愁盼”问题得到有效解决和落实。其中，“多方联动共治，创造和谐环境”为主题的小微协商活动被《四川省政协报》等主流媒体报道，取得良好的社会效益。</w:t>
      </w:r>
      <w:r>
        <w:rPr>
          <w:rFonts w:hint="eastAsia" w:ascii="Times New Roman" w:hAnsi="Times New Roman" w:eastAsia="仿宋_GB2312" w:cs="Times New Roman"/>
          <w:b/>
          <w:bCs/>
          <w:kern w:val="2"/>
          <w:sz w:val="32"/>
          <w:szCs w:val="32"/>
          <w:lang w:val="en-US" w:eastAsia="zh-CN" w:bidi="ar-SA"/>
        </w:rPr>
        <w:t>（2）</w:t>
      </w:r>
      <w:r>
        <w:rPr>
          <w:rFonts w:hint="default" w:ascii="Times New Roman" w:hAnsi="Times New Roman" w:eastAsia="仿宋_GB2312" w:cs="Times New Roman"/>
          <w:b/>
          <w:bCs/>
          <w:kern w:val="2"/>
          <w:sz w:val="32"/>
          <w:szCs w:val="32"/>
          <w:lang w:val="en-US" w:eastAsia="zh-CN" w:bidi="ar-SA"/>
        </w:rPr>
        <w:t>同心共建助力发展。</w:t>
      </w:r>
      <w:r>
        <w:rPr>
          <w:rFonts w:hint="default" w:ascii="Times New Roman" w:hAnsi="Times New Roman" w:eastAsia="仿宋_GB2312" w:cs="Times New Roman"/>
          <w:kern w:val="2"/>
          <w:sz w:val="32"/>
          <w:szCs w:val="32"/>
          <w:lang w:val="zh-CN" w:eastAsia="zh-CN" w:bidi="ar-SA"/>
        </w:rPr>
        <w:t>扎实推</w:t>
      </w:r>
      <w:r>
        <w:rPr>
          <w:rFonts w:hint="default" w:ascii="Times New Roman" w:hAnsi="Times New Roman" w:eastAsia="仿宋_GB2312" w:cs="Times New Roman"/>
          <w:kern w:val="2"/>
          <w:sz w:val="32"/>
          <w:szCs w:val="32"/>
          <w:lang w:val="en-US" w:eastAsia="zh-CN" w:bidi="ar-SA"/>
        </w:rPr>
        <w:t>进</w:t>
      </w:r>
      <w:r>
        <w:rPr>
          <w:rFonts w:hint="default" w:ascii="Times New Roman" w:hAnsi="Times New Roman" w:eastAsia="仿宋_GB2312" w:cs="Times New Roman"/>
          <w:kern w:val="2"/>
          <w:sz w:val="32"/>
          <w:szCs w:val="32"/>
          <w:lang w:val="zh-CN" w:eastAsia="zh-CN" w:bidi="ar-SA"/>
        </w:rPr>
        <w:t>“同心共建现代化新红原”专项行动，把开展“同心共建现代化新红原”专项行动作为县政协常委会和广大政协委员履职尽责的重要抓手和共同行动，组织和动员政协委员和界别群众积极投身经济社会发展“主战场”，画好团结奋斗“同心圆”。形成专报</w:t>
      </w:r>
      <w:r>
        <w:rPr>
          <w:rFonts w:hint="default" w:ascii="Times New Roman" w:hAnsi="Times New Roman" w:eastAsia="仿宋_GB2312" w:cs="Times New Roman"/>
          <w:kern w:val="2"/>
          <w:sz w:val="32"/>
          <w:szCs w:val="32"/>
          <w:lang w:val="en-US" w:eastAsia="zh-CN" w:bidi="ar-SA"/>
        </w:rPr>
        <w:t>15</w:t>
      </w:r>
      <w:r>
        <w:rPr>
          <w:rFonts w:hint="default" w:ascii="Times New Roman" w:hAnsi="Times New Roman" w:eastAsia="仿宋_GB2312" w:cs="Times New Roman"/>
          <w:kern w:val="2"/>
          <w:sz w:val="32"/>
          <w:szCs w:val="32"/>
          <w:lang w:val="zh-CN" w:eastAsia="zh-CN" w:bidi="ar-SA"/>
        </w:rPr>
        <w:t>期，扎实推动专项行动走深走实，同心协力为建设中国式现代化新红原而团结奋斗。</w:t>
      </w:r>
      <w:r>
        <w:rPr>
          <w:rFonts w:hint="eastAsia" w:ascii="Times New Roman" w:hAnsi="Times New Roman" w:cs="Times New Roman"/>
          <w:b/>
          <w:bCs/>
          <w:sz w:val="32"/>
          <w:szCs w:val="32"/>
          <w:lang w:val="en-US" w:eastAsia="zh-CN"/>
        </w:rPr>
        <w:t>（3）</w:t>
      </w:r>
      <w:r>
        <w:rPr>
          <w:rFonts w:hint="default" w:ascii="Times New Roman" w:hAnsi="Times New Roman" w:eastAsia="仿宋_GB2312" w:cs="Times New Roman"/>
          <w:b/>
          <w:bCs/>
          <w:sz w:val="32"/>
          <w:szCs w:val="32"/>
          <w:lang w:val="en-US" w:eastAsia="zh-CN"/>
        </w:rPr>
        <w:t>提案办理提质增效。</w:t>
      </w:r>
      <w:r>
        <w:rPr>
          <w:rFonts w:hint="default" w:ascii="Times New Roman" w:hAnsi="Times New Roman" w:eastAsia="仿宋_GB2312" w:cs="Times New Roman"/>
          <w:kern w:val="2"/>
          <w:sz w:val="32"/>
          <w:szCs w:val="32"/>
          <w:lang w:val="en-US" w:eastAsia="zh-CN" w:bidi="ar-SA"/>
        </w:rPr>
        <w:t>在拓宽提案征集渠道、扩大集体提案比例、打造精品提案的基础上，加大提案办理协商力度，大力推行提案办理“面对面”和“回头看”，探索推行提案质量和提案办理质量双向评价机制。</w:t>
      </w:r>
      <w:r>
        <w:rPr>
          <w:rFonts w:hint="eastAsia" w:ascii="Times New Roman" w:hAnsi="Times New Roman" w:cs="Times New Roman"/>
          <w:b/>
          <w:bCs/>
          <w:sz w:val="32"/>
          <w:szCs w:val="32"/>
          <w:lang w:val="en-US" w:eastAsia="zh-CN"/>
        </w:rPr>
        <w:t>（4）</w:t>
      </w:r>
      <w:r>
        <w:rPr>
          <w:rFonts w:hint="default" w:ascii="Times New Roman" w:hAnsi="Times New Roman" w:eastAsia="仿宋_GB2312" w:cs="Times New Roman"/>
          <w:b/>
          <w:bCs/>
          <w:sz w:val="32"/>
          <w:szCs w:val="32"/>
          <w:lang w:val="en-US" w:eastAsia="zh-CN"/>
        </w:rPr>
        <w:t>书香政协促进履职。</w:t>
      </w:r>
      <w:r>
        <w:rPr>
          <w:rFonts w:hint="default" w:ascii="Times New Roman" w:hAnsi="Times New Roman" w:eastAsia="仿宋_GB2312" w:cs="Times New Roman"/>
          <w:kern w:val="2"/>
          <w:sz w:val="32"/>
          <w:szCs w:val="32"/>
          <w:lang w:val="zh-CN" w:eastAsia="zh-CN" w:bidi="ar-SA"/>
        </w:rPr>
        <w:t>持续推动“</w:t>
      </w:r>
      <w:r>
        <w:rPr>
          <w:rFonts w:hint="default" w:ascii="Times New Roman" w:hAnsi="Times New Roman" w:eastAsia="仿宋_GB2312" w:cs="Times New Roman"/>
          <w:kern w:val="2"/>
          <w:sz w:val="32"/>
          <w:szCs w:val="32"/>
          <w:lang w:val="en-US" w:eastAsia="zh-CN" w:bidi="ar-SA"/>
        </w:rPr>
        <w:t>书香政协</w:t>
      </w:r>
      <w:r>
        <w:rPr>
          <w:rFonts w:hint="eastAsia" w:ascii="Times New Roman" w:hAnsi="Times New Roman" w:eastAsia="仿宋_GB2312" w:cs="Times New Roman"/>
          <w:kern w:val="2"/>
          <w:sz w:val="32"/>
          <w:szCs w:val="32"/>
          <w:lang w:val="en-US" w:eastAsia="zh-CN" w:bidi="ar-SA"/>
        </w:rPr>
        <w:t>·奋进红原</w:t>
      </w:r>
      <w:r>
        <w:rPr>
          <w:rFonts w:hint="default" w:ascii="Times New Roman" w:hAnsi="Times New Roman" w:eastAsia="仿宋_GB2312" w:cs="Times New Roman"/>
          <w:kern w:val="2"/>
          <w:sz w:val="32"/>
          <w:szCs w:val="32"/>
          <w:lang w:val="zh-CN" w:eastAsia="zh-CN" w:bidi="ar-SA"/>
        </w:rPr>
        <w:t>”活动高质量开展，认真贯彻落实习近平总书记对全国政协委员读书活动的重要指示精神，突出政治性、实践性、互动性、主动性，引领和带动界别委员和界别群众养成“多读书、读好书、善读书”的良好习惯。推动读书、履职深度融合，</w:t>
      </w:r>
      <w:r>
        <w:rPr>
          <w:rFonts w:hint="default" w:ascii="Times New Roman" w:hAnsi="Times New Roman" w:eastAsia="仿宋_GB2312" w:cs="Times New Roman"/>
          <w:kern w:val="2"/>
          <w:sz w:val="32"/>
          <w:szCs w:val="32"/>
          <w:lang w:val="en-US" w:eastAsia="zh-CN" w:bidi="ar-SA"/>
        </w:rPr>
        <w:t>将“书香政协”建设与政协履职有机结合，</w:t>
      </w:r>
      <w:r>
        <w:rPr>
          <w:rFonts w:hint="default" w:ascii="Times New Roman" w:hAnsi="Times New Roman" w:eastAsia="仿宋_GB2312" w:cs="Times New Roman"/>
          <w:kern w:val="2"/>
          <w:sz w:val="32"/>
          <w:szCs w:val="32"/>
          <w:lang w:val="zh-CN" w:eastAsia="zh-CN" w:bidi="ar-SA"/>
        </w:rPr>
        <w:t>推动政协履职提质增效，</w:t>
      </w:r>
      <w:r>
        <w:rPr>
          <w:rFonts w:hint="default" w:ascii="Times New Roman" w:hAnsi="Times New Roman" w:eastAsia="仿宋_GB2312" w:cs="Times New Roman"/>
          <w:kern w:val="2"/>
          <w:sz w:val="32"/>
          <w:szCs w:val="32"/>
          <w:lang w:val="en-US" w:eastAsia="zh-CN" w:bidi="ar-SA"/>
        </w:rPr>
        <w:t>把“书香”变成建言献策的“金点子”、化“金点子”为创新发展的“金钥匙”。</w:t>
      </w:r>
      <w:r>
        <w:rPr>
          <w:rFonts w:hint="eastAsia" w:ascii="Times New Roman" w:hAnsi="Times New Roman" w:cs="Times New Roman"/>
          <w:b/>
          <w:bCs/>
          <w:kern w:val="2"/>
          <w:sz w:val="32"/>
          <w:szCs w:val="32"/>
          <w:lang w:val="en-US" w:eastAsia="zh-CN" w:bidi="ar-SA"/>
        </w:rPr>
        <w:t>（5）</w:t>
      </w:r>
      <w:r>
        <w:rPr>
          <w:rFonts w:hint="default" w:ascii="Times New Roman" w:hAnsi="Times New Roman" w:eastAsia="仿宋_GB2312" w:cs="Times New Roman"/>
          <w:b/>
          <w:bCs/>
          <w:kern w:val="2"/>
          <w:sz w:val="32"/>
          <w:szCs w:val="32"/>
          <w:lang w:val="en-US" w:eastAsia="zh-CN" w:bidi="ar-SA"/>
        </w:rPr>
        <w:t>调研视察献计出力。</w:t>
      </w:r>
      <w:r>
        <w:rPr>
          <w:rFonts w:hint="default" w:ascii="Times New Roman" w:hAnsi="Times New Roman" w:eastAsia="仿宋_GB2312" w:cs="Times New Roman"/>
          <w:kern w:val="2"/>
          <w:sz w:val="32"/>
          <w:szCs w:val="32"/>
          <w:lang w:val="en-US" w:eastAsia="zh-CN" w:bidi="ar-SA"/>
        </w:rPr>
        <w:t>2023年，共组织各类视察调研、座谈协商活动15次，形成了“村集体经济发展”“寺庙网格化管理”“基层公共卫生安全体系建设”等一系列高质量建议报告，很多建议得到县委、县政府主要领导批示，被转化为党委政府工作举措，为县委、县政府科学民主决策提供有益参考。参加</w:t>
      </w:r>
      <w:r>
        <w:rPr>
          <w:rFonts w:hint="eastAsia" w:ascii="Times New Roman" w:hAnsi="Times New Roman" w:eastAsia="仿宋_GB2312" w:cs="Times New Roman"/>
          <w:kern w:val="2"/>
          <w:sz w:val="32"/>
          <w:szCs w:val="32"/>
          <w:lang w:val="en-US" w:eastAsia="zh-CN" w:bidi="ar-SA"/>
        </w:rPr>
        <w:t>全国政协民族宗教委员会赴红原开展“做好新时代藏传佛教工作”专题调研，参加省政协“充分发挥代表人士示范引领作用，积极引导藏传佛教与社会主义社会相适应”重点调研，参加州政协开展的“加强黄河上游生态保护执法能力建设”“全域旅游助力乡村振兴”等</w:t>
      </w:r>
      <w:r>
        <w:rPr>
          <w:rFonts w:hint="default" w:ascii="Times New Roman" w:hAnsi="Times New Roman" w:eastAsia="仿宋_GB2312" w:cs="Times New Roman"/>
          <w:kern w:val="2"/>
          <w:sz w:val="32"/>
          <w:szCs w:val="32"/>
          <w:lang w:val="en-US" w:eastAsia="zh-CN" w:bidi="ar-SA"/>
        </w:rPr>
        <w:t>调研视察、民主监督，汇报好我县工作实际、发展成效，全面反映困难问题、切实提出意见建议，推动我县更多实际问题、特殊困难纳入上级政协建言内容。</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r>
        <w:rPr>
          <w:rFonts w:hint="eastAsia" w:ascii="仿宋_GB2312" w:hAnsi="仿宋_GB2312" w:eastAsia="仿宋_GB2312" w:cs="仿宋_GB2312"/>
          <w:color w:val="auto"/>
          <w:kern w:val="0"/>
          <w:sz w:val="32"/>
          <w:szCs w:val="32"/>
          <w:lang w:val="en-US" w:eastAsia="zh-CN"/>
        </w:rPr>
        <w:t>我单位严格按照预算编制相关文件的要求，认真贯彻执行《中华人民共和国预算法》，结合县委、县政府安排部署和机关发展规划，抓好机关支出预算结构的优化和调整。严格控制一般性支出，细化“三公”经费预算管理，继续按照“零增长”的原则编制“三公”经费预算，科学、真实、准确、全面地反映部门收支情况。在预算执行过程中，</w:t>
      </w:r>
      <w:r>
        <w:rPr>
          <w:rFonts w:hint="eastAsia" w:ascii="仿宋_GB2312" w:hAnsi="仿宋_GB2312" w:eastAsia="仿宋_GB2312" w:cs="仿宋_GB2312"/>
          <w:b/>
          <w:bCs/>
          <w:color w:val="auto"/>
          <w:kern w:val="0"/>
          <w:sz w:val="32"/>
          <w:szCs w:val="32"/>
          <w:lang w:val="en-US" w:eastAsia="zh-CN"/>
        </w:rPr>
        <w:t>一是</w:t>
      </w:r>
      <w:r>
        <w:rPr>
          <w:rFonts w:hint="eastAsia" w:ascii="仿宋_GB2312" w:hAnsi="仿宋_GB2312" w:eastAsia="仿宋_GB2312" w:cs="仿宋_GB2312"/>
          <w:color w:val="auto"/>
          <w:kern w:val="0"/>
          <w:sz w:val="32"/>
          <w:szCs w:val="32"/>
          <w:lang w:val="en-US" w:eastAsia="zh-CN"/>
        </w:rPr>
        <w:t>严格按照年度预算安排及国库管理制度有关规定，基本支出按序时进度支付，项目支出围绕绩效目标，按规定程序及时支付。</w:t>
      </w:r>
      <w:r>
        <w:rPr>
          <w:rFonts w:hint="eastAsia" w:ascii="仿宋_GB2312" w:hAnsi="仿宋_GB2312" w:eastAsia="仿宋_GB2312" w:cs="仿宋_GB2312"/>
          <w:b/>
          <w:bCs/>
          <w:color w:val="auto"/>
          <w:kern w:val="0"/>
          <w:sz w:val="32"/>
          <w:szCs w:val="32"/>
          <w:lang w:val="en-US" w:eastAsia="zh-CN"/>
        </w:rPr>
        <w:t>二是</w:t>
      </w:r>
      <w:r>
        <w:rPr>
          <w:rFonts w:hint="eastAsia" w:ascii="仿宋_GB2312" w:hAnsi="仿宋_GB2312" w:eastAsia="仿宋_GB2312" w:cs="仿宋_GB2312"/>
          <w:b w:val="0"/>
          <w:bCs w:val="0"/>
          <w:color w:val="auto"/>
          <w:kern w:val="0"/>
          <w:sz w:val="32"/>
          <w:szCs w:val="32"/>
          <w:lang w:val="en-US" w:eastAsia="zh-CN"/>
        </w:rPr>
        <w:t>严格执行中央八项规定精神、《党政机关厉行节约反对浪费条例》等若干规定，从严从紧控制“三公”经费、会议费、培训费等一般性支出，认真执行公务卡强制结算。202</w:t>
      </w:r>
      <w:r>
        <w:rPr>
          <w:rFonts w:hint="eastAsia" w:ascii="仿宋_GB2312" w:hAnsi="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lang w:val="en-US" w:eastAsia="zh-CN"/>
        </w:rPr>
        <w:t>年因公出国（境）费用0万元，公务用车购置及运行维护费用94.72万元（其中：公务用车购置费59.90万元），公务接待费用1.72万元，预算完成度为100%。</w:t>
      </w:r>
    </w:p>
    <w:p>
      <w:pPr>
        <w:adjustRightInd w:val="0"/>
        <w:snapToGrid w:val="0"/>
        <w:spacing w:line="578" w:lineRule="exact"/>
        <w:ind w:firstLine="640" w:firstLineChars="200"/>
        <w:jc w:val="left"/>
        <w:rPr>
          <w:rFonts w:hint="default" w:eastAsia="仿宋_GB2312"/>
          <w:sz w:val="32"/>
          <w:szCs w:val="32"/>
          <w:lang w:val="en-US" w:eastAsia="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en-US" w:eastAsia="zh-CN"/>
        </w:rPr>
        <w:t>我单位在财务管理制度中明确了单位财务人员的岗位职责以及财务工作的流程和规范，通过预算管理，确保财务数据的准确性和真实性，从而保障绩效管理的客观性和公正性。通过财务管控和监督，及时发现和纠正财务管理中的问题和风险，防止财务风险的发生。</w:t>
      </w:r>
    </w:p>
    <w:p>
      <w:pPr>
        <w:adjustRightInd w:val="0"/>
        <w:snapToGrid w:val="0"/>
        <w:spacing w:line="578" w:lineRule="exact"/>
        <w:ind w:firstLine="640" w:firstLineChars="200"/>
        <w:jc w:val="left"/>
        <w:rPr>
          <w:rFonts w:hint="default" w:ascii="楷体_GB2312" w:hAnsi="楷体_GB2312" w:eastAsia="楷体_GB2312" w:cs="楷体_GB2312"/>
          <w:color w:val="000000"/>
          <w:kern w:val="0"/>
          <w:sz w:val="32"/>
          <w:szCs w:val="32"/>
          <w:shd w:val="clear" w:color="auto" w:fill="FFFFFF"/>
          <w:lang w:val="en-US"/>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r>
        <w:rPr>
          <w:rFonts w:hint="eastAsia" w:ascii="仿宋_GB2312" w:hAnsi="仿宋_GB2312" w:eastAsia="仿宋_GB2312" w:cs="仿宋_GB2312"/>
          <w:color w:val="000000"/>
          <w:kern w:val="0"/>
          <w:sz w:val="32"/>
          <w:szCs w:val="32"/>
          <w:shd w:val="clear" w:color="auto" w:fill="FFFFFF"/>
          <w:lang w:val="en-US" w:eastAsia="zh-CN"/>
        </w:rPr>
        <w:t>我单位建立了完善的资产管理制度，并定期对资产管理水平进行分析和评价，切实将资产管理和绩效分析项结合，通过优化资产配置、提高资产利用效率等措施来提升单位整体绩效。2023年，我单位</w:t>
      </w:r>
      <w:r>
        <w:rPr>
          <w:rFonts w:hint="eastAsia" w:ascii="仿宋_GB2312" w:hAnsi="仿宋_GB2312" w:eastAsia="仿宋_GB2312" w:cs="仿宋_GB2312"/>
          <w:sz w:val="32"/>
          <w:szCs w:val="32"/>
          <w:lang w:val="zh-CN"/>
        </w:rPr>
        <w:t>人均资产变化率</w:t>
      </w:r>
      <w:r>
        <w:rPr>
          <w:rFonts w:hint="eastAsia" w:ascii="仿宋_GB2312" w:hAnsi="仿宋_GB2312" w:eastAsia="仿宋_GB2312" w:cs="仿宋_GB2312"/>
          <w:sz w:val="32"/>
          <w:szCs w:val="32"/>
          <w:lang w:val="en-US" w:eastAsia="zh-CN"/>
        </w:rPr>
        <w:t>0.02%，</w:t>
      </w:r>
      <w:r>
        <w:rPr>
          <w:rFonts w:hint="eastAsia" w:ascii="仿宋_GB2312" w:hAnsi="仿宋_GB2312" w:eastAsia="仿宋_GB2312" w:cs="仿宋_GB2312"/>
          <w:sz w:val="32"/>
          <w:szCs w:val="32"/>
          <w:lang w:val="zh-CN"/>
        </w:rPr>
        <w:t>资产利用率</w:t>
      </w:r>
      <w:r>
        <w:rPr>
          <w:rFonts w:hint="eastAsia" w:ascii="仿宋_GB2312" w:hAnsi="仿宋_GB2312" w:eastAsia="仿宋_GB2312" w:cs="仿宋_GB2312"/>
          <w:sz w:val="32"/>
          <w:szCs w:val="32"/>
          <w:lang w:val="en-US" w:eastAsia="zh-CN"/>
        </w:rPr>
        <w:t>100%，整体绩效情况较好。</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p>
    <w:p>
      <w:pPr>
        <w:ind w:firstLine="640" w:firstLineChars="200"/>
        <w:rPr>
          <w:rFonts w:hint="eastAsia" w:eastAsia="仿宋_GB2312"/>
          <w:sz w:val="32"/>
          <w:szCs w:val="32"/>
          <w:lang w:val="zh-CN"/>
        </w:rPr>
      </w:pPr>
      <w:r>
        <w:rPr>
          <w:rFonts w:hint="eastAsia" w:eastAsia="仿宋_GB2312"/>
          <w:sz w:val="32"/>
          <w:szCs w:val="32"/>
          <w:lang w:val="zh-CN"/>
        </w:rPr>
        <w:t>常年项目绩效分析。该类项目总数</w:t>
      </w:r>
      <w:r>
        <w:rPr>
          <w:rFonts w:hint="eastAsia" w:eastAsia="仿宋_GB2312"/>
          <w:sz w:val="32"/>
          <w:szCs w:val="32"/>
          <w:lang w:val="en-US" w:eastAsia="zh-CN"/>
        </w:rPr>
        <w:t>3</w:t>
      </w:r>
      <w:r>
        <w:rPr>
          <w:rFonts w:hint="eastAsia" w:eastAsia="仿宋_GB2312"/>
          <w:sz w:val="32"/>
          <w:szCs w:val="32"/>
          <w:lang w:val="zh-CN"/>
        </w:rPr>
        <w:t>个，涉及预算总金额</w:t>
      </w:r>
      <w:r>
        <w:rPr>
          <w:rFonts w:hint="eastAsia" w:eastAsia="仿宋_GB2312"/>
          <w:sz w:val="32"/>
          <w:szCs w:val="32"/>
          <w:lang w:val="en-US" w:eastAsia="zh-CN"/>
        </w:rPr>
        <w:t>118.05</w:t>
      </w:r>
      <w:r>
        <w:rPr>
          <w:rFonts w:hint="eastAsia" w:eastAsia="仿宋_GB2312"/>
          <w:sz w:val="32"/>
          <w:szCs w:val="32"/>
          <w:lang w:val="zh-CN"/>
        </w:rPr>
        <w:t>万元，1—12月预算执行总体进度为</w:t>
      </w:r>
      <w:r>
        <w:rPr>
          <w:rFonts w:hint="eastAsia" w:eastAsia="仿宋_GB2312"/>
          <w:sz w:val="32"/>
          <w:szCs w:val="32"/>
          <w:lang w:val="en-US" w:eastAsia="zh-CN"/>
        </w:rPr>
        <w:t>100</w:t>
      </w:r>
      <w:r>
        <w:rPr>
          <w:rFonts w:hint="eastAsia" w:eastAsia="仿宋_GB2312"/>
          <w:sz w:val="32"/>
          <w:szCs w:val="32"/>
          <w:lang w:val="zh-CN"/>
        </w:rPr>
        <w:t>%。</w:t>
      </w:r>
    </w:p>
    <w:p>
      <w:pPr>
        <w:ind w:firstLine="640" w:firstLineChars="200"/>
        <w:rPr>
          <w:rFonts w:hint="eastAsia" w:eastAsia="仿宋_GB2312"/>
          <w:sz w:val="32"/>
          <w:szCs w:val="32"/>
          <w:lang w:val="zh-CN"/>
        </w:rPr>
      </w:pPr>
      <w:r>
        <w:rPr>
          <w:rFonts w:hint="eastAsia" w:eastAsia="仿宋_GB2312"/>
          <w:sz w:val="32"/>
          <w:szCs w:val="32"/>
          <w:lang w:val="zh-CN"/>
        </w:rPr>
        <w:t>阶段（一次性）项目绩效分析。该类项目总数</w:t>
      </w:r>
      <w:r>
        <w:rPr>
          <w:rFonts w:hint="eastAsia" w:eastAsia="仿宋_GB2312"/>
          <w:sz w:val="32"/>
          <w:szCs w:val="32"/>
          <w:lang w:val="en-US" w:eastAsia="zh-CN"/>
        </w:rPr>
        <w:t>6</w:t>
      </w:r>
      <w:r>
        <w:rPr>
          <w:rFonts w:hint="eastAsia" w:eastAsia="仿宋_GB2312"/>
          <w:sz w:val="32"/>
          <w:szCs w:val="32"/>
          <w:lang w:val="zh-CN"/>
        </w:rPr>
        <w:t>个，涉及预算总金额</w:t>
      </w:r>
      <w:r>
        <w:rPr>
          <w:rFonts w:hint="eastAsia" w:eastAsia="仿宋_GB2312"/>
          <w:sz w:val="32"/>
          <w:szCs w:val="32"/>
          <w:lang w:val="en-US" w:eastAsia="zh-CN"/>
        </w:rPr>
        <w:t>46.48</w:t>
      </w:r>
      <w:r>
        <w:rPr>
          <w:rFonts w:hint="eastAsia" w:eastAsia="仿宋_GB2312"/>
          <w:sz w:val="32"/>
          <w:szCs w:val="32"/>
          <w:lang w:val="zh-CN"/>
        </w:rPr>
        <w:t>万元，1—12月预算执行总体进度为</w:t>
      </w:r>
      <w:r>
        <w:rPr>
          <w:rFonts w:hint="eastAsia" w:eastAsia="仿宋_GB2312"/>
          <w:sz w:val="32"/>
          <w:szCs w:val="32"/>
          <w:lang w:val="en-US" w:eastAsia="zh-CN"/>
        </w:rPr>
        <w:t>100</w:t>
      </w:r>
      <w:r>
        <w:rPr>
          <w:rFonts w:hint="eastAsia" w:eastAsia="仿宋_GB2312"/>
          <w:sz w:val="32"/>
          <w:szCs w:val="32"/>
          <w:lang w:val="zh-CN"/>
        </w:rPr>
        <w:t>%。</w:t>
      </w:r>
    </w:p>
    <w:p>
      <w:pPr>
        <w:ind w:firstLine="640" w:firstLineChars="200"/>
        <w:rPr>
          <w:rFonts w:hint="default" w:eastAsia="仿宋_GB2312"/>
          <w:sz w:val="32"/>
          <w:szCs w:val="32"/>
          <w:lang w:val="en-US" w:eastAsia="zh-CN"/>
        </w:rPr>
      </w:pPr>
      <w:r>
        <w:rPr>
          <w:rFonts w:hint="eastAsia" w:ascii="楷体_GB2312" w:hAnsi="楷体_GB2312" w:eastAsia="楷体_GB2312" w:cs="楷体_GB2312"/>
          <w:color w:val="000000"/>
          <w:kern w:val="0"/>
          <w:sz w:val="32"/>
          <w:szCs w:val="32"/>
          <w:shd w:val="clear" w:color="auto" w:fill="FFFFFF"/>
        </w:rPr>
        <w:t>1.项目决策。</w:t>
      </w:r>
      <w:r>
        <w:rPr>
          <w:rFonts w:hint="eastAsia" w:eastAsia="仿宋_GB2312"/>
          <w:sz w:val="32"/>
          <w:szCs w:val="32"/>
          <w:lang w:val="en-US" w:eastAsia="zh-CN"/>
        </w:rPr>
        <w:t>我单位在编制年度预算时，通过“三重一大”会议对预算年度的工作计划进行通报，为预算编制提供有效依据。同时，针对常规项目的基本背景、实施内容、拟达效益、结果反馈等方面进行了详细考量并设置绩效目标，做好项目入库。</w:t>
      </w:r>
    </w:p>
    <w:p>
      <w:pPr>
        <w:ind w:firstLine="640" w:firstLineChars="200"/>
        <w:rPr>
          <w:rFonts w:hint="default" w:eastAsia="仿宋_GB2312"/>
          <w:sz w:val="32"/>
          <w:szCs w:val="32"/>
          <w:lang w:val="en-US" w:eastAsia="zh-CN"/>
        </w:rPr>
      </w:pPr>
      <w:r>
        <w:rPr>
          <w:rFonts w:hint="eastAsia" w:ascii="楷体_GB2312" w:hAnsi="楷体_GB2312" w:eastAsia="楷体_GB2312" w:cs="楷体_GB2312"/>
          <w:color w:val="000000"/>
          <w:kern w:val="0"/>
          <w:sz w:val="32"/>
          <w:szCs w:val="32"/>
          <w:shd w:val="clear" w:color="auto" w:fill="FFFFFF"/>
        </w:rPr>
        <w:t>2.项目执行。</w:t>
      </w:r>
      <w:r>
        <w:rPr>
          <w:rFonts w:hint="eastAsia" w:eastAsia="仿宋_GB2312"/>
          <w:sz w:val="32"/>
          <w:szCs w:val="32"/>
          <w:lang w:val="en-US" w:eastAsia="zh-CN"/>
        </w:rPr>
        <w:t>坚持“量入为出”“厉行节约”原则，合理安排预算支出，将部门预算与年度工作任务以及中央、省、州及县委、县政府的重大决策部署有机结合，合理进行项目调整，为单位日常运行提供了有力保障。</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ascii="仿宋_GB2312" w:hAnsi="仿宋_GB2312" w:eastAsia="仿宋_GB2312" w:cs="仿宋_GB2312"/>
          <w:color w:val="000000"/>
          <w:kern w:val="0"/>
          <w:sz w:val="32"/>
          <w:szCs w:val="32"/>
          <w:shd w:val="clear" w:color="auto" w:fill="FFFFFF"/>
          <w:lang w:val="en-US" w:eastAsia="zh-CN"/>
        </w:rPr>
        <w:t>2023年，我单位的预算资金在规定年限内完成既定绩效目标，达到了预期的产出和效果，</w:t>
      </w:r>
      <w:r>
        <w:rPr>
          <w:rFonts w:hint="eastAsia" w:eastAsia="仿宋_GB2312"/>
          <w:sz w:val="32"/>
          <w:szCs w:val="32"/>
          <w:lang w:val="zh-CN"/>
        </w:rPr>
        <w:t>目标</w:t>
      </w:r>
      <w:r>
        <w:rPr>
          <w:rFonts w:hint="eastAsia" w:eastAsia="仿宋_GB2312"/>
          <w:sz w:val="32"/>
          <w:szCs w:val="32"/>
          <w:lang w:val="en-US" w:eastAsia="zh-CN"/>
        </w:rPr>
        <w:t>未</w:t>
      </w:r>
      <w:r>
        <w:rPr>
          <w:rFonts w:hint="eastAsia" w:eastAsia="仿宋_GB2312"/>
          <w:sz w:val="32"/>
          <w:szCs w:val="32"/>
          <w:lang w:val="zh-CN"/>
        </w:rPr>
        <w:t>偏离。</w:t>
      </w:r>
    </w:p>
    <w:p>
      <w:pPr>
        <w:ind w:firstLine="643" w:firstLineChars="200"/>
        <w:rPr>
          <w:rFonts w:hint="eastAsia" w:eastAsia="仿宋_GB2312"/>
          <w:sz w:val="32"/>
          <w:szCs w:val="32"/>
          <w:lang w:val="en-US" w:eastAsia="zh-CN"/>
        </w:rPr>
      </w:pPr>
      <w:r>
        <w:rPr>
          <w:rFonts w:hint="eastAsia" w:ascii="楷体_GB2312" w:eastAsia="楷体_GB2312"/>
          <w:b/>
          <w:sz w:val="32"/>
          <w:szCs w:val="32"/>
        </w:rPr>
        <w:t>（三）重点领域绩效分析。</w:t>
      </w:r>
      <w:r>
        <w:rPr>
          <w:rFonts w:hint="eastAsia" w:eastAsia="仿宋_GB2312"/>
          <w:sz w:val="32"/>
          <w:szCs w:val="32"/>
          <w:lang w:val="en-US" w:eastAsia="zh-CN"/>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仿宋_GB2312"/>
          <w:sz w:val="32"/>
          <w:szCs w:val="32"/>
          <w:lang w:val="zh-CN"/>
        </w:rPr>
      </w:pPr>
      <w:r>
        <w:rPr>
          <w:rFonts w:hint="eastAsia" w:ascii="楷体_GB2312" w:eastAsia="楷体_GB2312"/>
          <w:b/>
          <w:sz w:val="32"/>
          <w:szCs w:val="32"/>
        </w:rPr>
        <w:t>（四）绩效结果应用情况。</w:t>
      </w:r>
      <w:r>
        <w:rPr>
          <w:rFonts w:hint="eastAsia" w:ascii="仿宋_GB2312" w:hAnsi="宋体" w:eastAsia="仿宋_GB2312" w:cs="宋体"/>
          <w:color w:val="000000"/>
          <w:kern w:val="0"/>
          <w:sz w:val="32"/>
          <w:szCs w:val="32"/>
          <w:shd w:val="clear" w:color="auto" w:fill="FFFFFF"/>
          <w:lang w:val="en-US" w:eastAsia="zh-CN"/>
        </w:rPr>
        <w:t>认真开展部门绩效评价工作。从整体上看，202</w:t>
      </w:r>
      <w:r>
        <w:rPr>
          <w:rFonts w:hint="eastAsia" w:ascii="仿宋_GB2312" w:hAnsi="宋体"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en-US" w:eastAsia="zh-CN"/>
        </w:rPr>
        <w:t>年度，我单位资金管理规范，政策执行有力，有效发挥了财政资金的使用效率。绩效目标基本达成，服务对象满意度达100%，并取得了良好的社会效益。</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outlineLvl w:val="1"/>
        <w:rPr>
          <w:rFonts w:ascii="仿宋_GB2312" w:hAnsi="宋体" w:eastAsia="仿宋_GB2312" w:cs="宋体"/>
          <w:color w:val="000000"/>
          <w:kern w:val="0"/>
          <w:sz w:val="32"/>
          <w:szCs w:val="32"/>
          <w:shd w:val="clear" w:color="auto" w:fill="FFFFFF"/>
          <w:lang w:val="zh-CN"/>
        </w:rPr>
      </w:pPr>
      <w:bookmarkStart w:id="98" w:name="_Toc6610"/>
      <w:r>
        <w:rPr>
          <w:rFonts w:hint="eastAsia" w:ascii="楷体_GB2312" w:eastAsia="楷体_GB2312"/>
          <w:b/>
          <w:sz w:val="32"/>
          <w:szCs w:val="32"/>
        </w:rPr>
        <w:t>（一）评价结论。</w:t>
      </w:r>
      <w:r>
        <w:rPr>
          <w:rFonts w:hint="eastAsia" w:ascii="仿宋_GB2312" w:hAnsi="仿宋_GB2312" w:eastAsia="仿宋_GB2312" w:cs="仿宋_GB2312"/>
          <w:color w:val="auto"/>
          <w:kern w:val="0"/>
          <w:sz w:val="32"/>
          <w:szCs w:val="32"/>
          <w:lang w:val="en-US" w:eastAsia="zh-CN"/>
        </w:rPr>
        <w:t>根据县财政局下发的部门整体支出绩效评价指标体系确定的内容，我机关202</w:t>
      </w:r>
      <w:r>
        <w:rPr>
          <w:rFonts w:hint="eastAsia" w:ascii="仿宋_GB2312" w:hAnsi="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val="en-US" w:eastAsia="zh-CN"/>
        </w:rPr>
        <w:t>年度支出绩效评价得</w:t>
      </w:r>
      <w:r>
        <w:rPr>
          <w:rFonts w:hint="eastAsia" w:ascii="仿宋_GB2312" w:hAnsi="仿宋_GB2312" w:cs="仿宋_GB2312"/>
          <w:color w:val="auto"/>
          <w:kern w:val="0"/>
          <w:sz w:val="32"/>
          <w:szCs w:val="32"/>
          <w:lang w:val="en-US" w:eastAsia="zh-CN"/>
        </w:rPr>
        <w:t>95.80</w:t>
      </w:r>
      <w:r>
        <w:rPr>
          <w:rFonts w:hint="eastAsia" w:ascii="仿宋_GB2312" w:hAnsi="仿宋_GB2312" w:eastAsia="仿宋_GB2312" w:cs="仿宋_GB2312"/>
          <w:color w:val="auto"/>
          <w:kern w:val="0"/>
          <w:sz w:val="32"/>
          <w:szCs w:val="32"/>
          <w:lang w:val="en-US" w:eastAsia="zh-CN"/>
        </w:rPr>
        <w:t>分。</w:t>
      </w:r>
      <w:bookmarkEnd w:id="98"/>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color w:val="auto"/>
          <w:kern w:val="0"/>
          <w:sz w:val="32"/>
          <w:szCs w:val="32"/>
          <w:lang w:val="en-US" w:eastAsia="zh-CN"/>
        </w:rPr>
      </w:pPr>
      <w:bookmarkStart w:id="99" w:name="_Toc22700"/>
      <w:r>
        <w:rPr>
          <w:rFonts w:hint="eastAsia" w:ascii="楷体_GB2312" w:eastAsia="楷体_GB2312"/>
          <w:b/>
          <w:sz w:val="32"/>
          <w:szCs w:val="32"/>
        </w:rPr>
        <w:t>（二）存在问题。</w:t>
      </w:r>
      <w:r>
        <w:rPr>
          <w:rFonts w:hint="eastAsia" w:ascii="仿宋_GB2312" w:hAnsi="仿宋_GB2312" w:eastAsia="仿宋_GB2312" w:cs="仿宋_GB2312"/>
          <w:color w:val="auto"/>
          <w:kern w:val="0"/>
          <w:sz w:val="32"/>
          <w:szCs w:val="32"/>
          <w:lang w:val="en-US" w:eastAsia="zh-CN" w:bidi="ar-SA"/>
        </w:rPr>
        <w:t xml:space="preserve">预算编制和执行存在差异。部分项目预算调整幅度较大，部分项目未按预算批复的明细项目使用。  </w:t>
      </w:r>
      <w:r>
        <w:rPr>
          <w:rFonts w:hint="eastAsia" w:ascii="楷体_GB2312" w:eastAsia="楷体_GB2312"/>
          <w:b/>
          <w:sz w:val="32"/>
          <w:szCs w:val="32"/>
        </w:rPr>
        <w:t>（三）改进建议。</w:t>
      </w:r>
      <w:r>
        <w:rPr>
          <w:rFonts w:hint="eastAsia" w:ascii="仿宋_GB2312" w:hAnsi="仿宋_GB2312" w:eastAsia="仿宋_GB2312" w:cs="仿宋_GB2312"/>
          <w:color w:val="auto"/>
          <w:kern w:val="0"/>
          <w:sz w:val="32"/>
          <w:szCs w:val="32"/>
          <w:lang w:val="en-US" w:eastAsia="zh-CN"/>
        </w:rPr>
        <w:t>提高认识，突出重点。提高对预算绩效管理的认识，充分理解财政绩效评价指标体系，注重绩效目标、评价指标的关联性，依据部门职责和年度工作重点，更加科学合理地确定部门绩效目标和评价目标。</w:t>
      </w:r>
      <w:bookmarkEnd w:id="99"/>
    </w:p>
    <w:p>
      <w:pPr>
        <w:rPr>
          <w:rFonts w:hint="eastAsia" w:ascii="黑体" w:hAnsi="黑体" w:eastAsia="黑体"/>
        </w:rPr>
      </w:pPr>
    </w:p>
    <w:p>
      <w:pPr>
        <w:pStyle w:val="3"/>
        <w:jc w:val="center"/>
        <w:rPr>
          <w:rFonts w:ascii="黑体" w:hAnsi="黑体" w:eastAsia="黑体"/>
        </w:rPr>
      </w:pPr>
      <w:bookmarkStart w:id="100" w:name="_Toc26177"/>
      <w:r>
        <w:rPr>
          <w:rFonts w:hint="eastAsia" w:ascii="黑体" w:hAnsi="黑体" w:eastAsia="黑体"/>
        </w:rPr>
        <w:t>第五部分 附表</w:t>
      </w:r>
      <w:bookmarkEnd w:id="100"/>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hint="eastAsia" w:ascii="仿宋" w:hAnsi="仿宋" w:eastAsia="仿宋"/>
          <w:sz w:val="32"/>
          <w:szCs w:val="32"/>
        </w:rPr>
      </w:pPr>
      <w:r>
        <w:rPr>
          <w:rFonts w:hint="eastAsia" w:ascii="仿宋" w:hAnsi="仿宋" w:eastAsia="仿宋"/>
          <w:sz w:val="32"/>
          <w:szCs w:val="32"/>
        </w:rPr>
        <w:t>十三、财政拨款“三公”经费支出决算表</w:t>
      </w:r>
    </w:p>
    <w:p>
      <w:pPr>
        <w:rPr>
          <w:rFonts w:asciiTheme="minorEastAsia" w:hAnsiTheme="minorEastAsia" w:eastAsiaTheme="minorEastAsia"/>
          <w:sz w:val="32"/>
          <w:szCs w:val="32"/>
          <w:lang w:val="zh-CN"/>
        </w:rPr>
      </w:pPr>
      <w:r>
        <w:rPr>
          <w:rFonts w:hint="eastAsia" w:ascii="仿宋" w:hAnsi="仿宋" w:eastAsia="仿宋"/>
          <w:sz w:val="32"/>
          <w:szCs w:val="32"/>
          <w:lang w:val="en-US" w:eastAsia="zh-CN"/>
        </w:rPr>
        <w:t>十四、</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zh-CN"/>
        </w:rPr>
        <w:t>预算项目支出绩效自评表（2023年度）</w:t>
      </w:r>
    </w:p>
    <w:p>
      <w:pPr>
        <w:pStyle w:val="2"/>
        <w:rPr>
          <w:rFonts w:hint="eastAsia" w:eastAsia="仿宋"/>
          <w:lang w:val="en-US" w:eastAsia="zh-CN"/>
        </w:rPr>
      </w:pP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4C267"/>
    <w:multiLevelType w:val="singleLevel"/>
    <w:tmpl w:val="AA94C267"/>
    <w:lvl w:ilvl="0" w:tentative="0">
      <w:start w:val="1"/>
      <w:numFmt w:val="chineseCounting"/>
      <w:suff w:val="nothing"/>
      <w:lvlText w:val="%1、"/>
      <w:lvlJc w:val="left"/>
      <w:rPr>
        <w:rFonts w:hint="eastAsia"/>
      </w:rPr>
    </w:lvl>
  </w:abstractNum>
  <w:abstractNum w:abstractNumId="1">
    <w:nsid w:val="CEDF185E"/>
    <w:multiLevelType w:val="singleLevel"/>
    <w:tmpl w:val="CEDF185E"/>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E79B74A"/>
    <w:multiLevelType w:val="singleLevel"/>
    <w:tmpl w:val="1E79B74A"/>
    <w:lvl w:ilvl="0" w:tentative="0">
      <w:start w:val="2"/>
      <w:numFmt w:val="chineseCounting"/>
      <w:suff w:val="space"/>
      <w:lvlText w:val="第%1部分"/>
      <w:lvlJc w:val="left"/>
      <w:rPr>
        <w:rFonts w:hint="eastAsia"/>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ZDRjNzUxNmI4YWUyNWUxMjhlNDNjYWNjNDEzMjA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8A6"/>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6C9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1750"/>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00026E"/>
    <w:rsid w:val="01384477"/>
    <w:rsid w:val="014852B3"/>
    <w:rsid w:val="015975B8"/>
    <w:rsid w:val="01C80EB6"/>
    <w:rsid w:val="02355837"/>
    <w:rsid w:val="02D47275"/>
    <w:rsid w:val="02FEBE30"/>
    <w:rsid w:val="036F8141"/>
    <w:rsid w:val="05E732EC"/>
    <w:rsid w:val="066E0107"/>
    <w:rsid w:val="06B17456"/>
    <w:rsid w:val="07996F6E"/>
    <w:rsid w:val="07DFD8BA"/>
    <w:rsid w:val="08D31906"/>
    <w:rsid w:val="09044B9E"/>
    <w:rsid w:val="0A2032A3"/>
    <w:rsid w:val="0BD7795F"/>
    <w:rsid w:val="0C201336"/>
    <w:rsid w:val="0D35B1ED"/>
    <w:rsid w:val="0D58687D"/>
    <w:rsid w:val="0DD645B4"/>
    <w:rsid w:val="0E7ED1F5"/>
    <w:rsid w:val="0E8813E4"/>
    <w:rsid w:val="0F753717"/>
    <w:rsid w:val="0F98263C"/>
    <w:rsid w:val="10086339"/>
    <w:rsid w:val="101860EC"/>
    <w:rsid w:val="10C055FF"/>
    <w:rsid w:val="114A472F"/>
    <w:rsid w:val="118107EC"/>
    <w:rsid w:val="122E5DFF"/>
    <w:rsid w:val="12902616"/>
    <w:rsid w:val="134C29E0"/>
    <w:rsid w:val="13D50BC4"/>
    <w:rsid w:val="13F5616D"/>
    <w:rsid w:val="15C70008"/>
    <w:rsid w:val="16BB723D"/>
    <w:rsid w:val="175E7186"/>
    <w:rsid w:val="17872239"/>
    <w:rsid w:val="17D66D1D"/>
    <w:rsid w:val="17F9714D"/>
    <w:rsid w:val="18B95BA2"/>
    <w:rsid w:val="1918F934"/>
    <w:rsid w:val="196E143D"/>
    <w:rsid w:val="19BB08C0"/>
    <w:rsid w:val="1A7A6085"/>
    <w:rsid w:val="1A9003A1"/>
    <w:rsid w:val="1B925650"/>
    <w:rsid w:val="1BCE26FC"/>
    <w:rsid w:val="1BE8440E"/>
    <w:rsid w:val="1C4F6411"/>
    <w:rsid w:val="1D155CEE"/>
    <w:rsid w:val="1DEF6D8A"/>
    <w:rsid w:val="1DFBC4B3"/>
    <w:rsid w:val="1E740ACF"/>
    <w:rsid w:val="1F19C781"/>
    <w:rsid w:val="1F33FCE5"/>
    <w:rsid w:val="1F664E2A"/>
    <w:rsid w:val="1F7F7398"/>
    <w:rsid w:val="1FD2DB6F"/>
    <w:rsid w:val="1FF35744"/>
    <w:rsid w:val="1FF6BC77"/>
    <w:rsid w:val="1FF9236D"/>
    <w:rsid w:val="22A87507"/>
    <w:rsid w:val="2333840E"/>
    <w:rsid w:val="23860B96"/>
    <w:rsid w:val="240371BF"/>
    <w:rsid w:val="241F1A4B"/>
    <w:rsid w:val="249C1DC3"/>
    <w:rsid w:val="24FE78B3"/>
    <w:rsid w:val="257C638F"/>
    <w:rsid w:val="25BD32CA"/>
    <w:rsid w:val="26B96187"/>
    <w:rsid w:val="271909D4"/>
    <w:rsid w:val="286D547B"/>
    <w:rsid w:val="298505A2"/>
    <w:rsid w:val="29C25353"/>
    <w:rsid w:val="29FD04D3"/>
    <w:rsid w:val="2B7A34A4"/>
    <w:rsid w:val="2BD33881"/>
    <w:rsid w:val="2BFF7BC6"/>
    <w:rsid w:val="2C071743"/>
    <w:rsid w:val="2C8A61B5"/>
    <w:rsid w:val="2CD59C95"/>
    <w:rsid w:val="2D157E8F"/>
    <w:rsid w:val="2DF04E50"/>
    <w:rsid w:val="2E951288"/>
    <w:rsid w:val="2EFD05E5"/>
    <w:rsid w:val="2F023256"/>
    <w:rsid w:val="2F040D46"/>
    <w:rsid w:val="2F3B4708"/>
    <w:rsid w:val="2F4F95CE"/>
    <w:rsid w:val="2FACAFDD"/>
    <w:rsid w:val="2FAE5751"/>
    <w:rsid w:val="2FB1A395"/>
    <w:rsid w:val="2FCF0B76"/>
    <w:rsid w:val="2FD9A7D8"/>
    <w:rsid w:val="319F7F4E"/>
    <w:rsid w:val="320D55D9"/>
    <w:rsid w:val="3304709D"/>
    <w:rsid w:val="34A16E0A"/>
    <w:rsid w:val="36AA5135"/>
    <w:rsid w:val="36BE0DA7"/>
    <w:rsid w:val="376B6AA6"/>
    <w:rsid w:val="376D39B2"/>
    <w:rsid w:val="37E16F03"/>
    <w:rsid w:val="37F53A3B"/>
    <w:rsid w:val="38D469F0"/>
    <w:rsid w:val="38D806EF"/>
    <w:rsid w:val="38E86458"/>
    <w:rsid w:val="38F78389"/>
    <w:rsid w:val="397BAF1F"/>
    <w:rsid w:val="39E7B272"/>
    <w:rsid w:val="39F7642F"/>
    <w:rsid w:val="39FF7B37"/>
    <w:rsid w:val="3A7E3875"/>
    <w:rsid w:val="3AB79AF3"/>
    <w:rsid w:val="3AFDCB77"/>
    <w:rsid w:val="3B7EF35A"/>
    <w:rsid w:val="3B9FDB6C"/>
    <w:rsid w:val="3BD72EE0"/>
    <w:rsid w:val="3BF5BC2F"/>
    <w:rsid w:val="3BF7C23A"/>
    <w:rsid w:val="3BFF223E"/>
    <w:rsid w:val="3C6EC0A1"/>
    <w:rsid w:val="3CCF1E09"/>
    <w:rsid w:val="3CDB0824"/>
    <w:rsid w:val="3CEBA265"/>
    <w:rsid w:val="3D6A7F9F"/>
    <w:rsid w:val="3D7E7F4D"/>
    <w:rsid w:val="3D98207C"/>
    <w:rsid w:val="3D9CF30A"/>
    <w:rsid w:val="3DF82424"/>
    <w:rsid w:val="3DFF5A3E"/>
    <w:rsid w:val="3E78745D"/>
    <w:rsid w:val="3ECA1318"/>
    <w:rsid w:val="3EEE77E9"/>
    <w:rsid w:val="3F394AF5"/>
    <w:rsid w:val="3FBE5714"/>
    <w:rsid w:val="3FDD8615"/>
    <w:rsid w:val="3FDFB2FF"/>
    <w:rsid w:val="3FE41E03"/>
    <w:rsid w:val="3FF4CAE0"/>
    <w:rsid w:val="3FF75FAF"/>
    <w:rsid w:val="3FF7B227"/>
    <w:rsid w:val="40550877"/>
    <w:rsid w:val="40644F5E"/>
    <w:rsid w:val="40B557B9"/>
    <w:rsid w:val="422229DB"/>
    <w:rsid w:val="42B14D2B"/>
    <w:rsid w:val="44D04970"/>
    <w:rsid w:val="44E268DA"/>
    <w:rsid w:val="45401AF6"/>
    <w:rsid w:val="457F4F6B"/>
    <w:rsid w:val="47262CD6"/>
    <w:rsid w:val="4737FB58"/>
    <w:rsid w:val="47A16F94"/>
    <w:rsid w:val="47ECCB02"/>
    <w:rsid w:val="47FA6A3F"/>
    <w:rsid w:val="49060960"/>
    <w:rsid w:val="493337BF"/>
    <w:rsid w:val="498126DD"/>
    <w:rsid w:val="49D7AE48"/>
    <w:rsid w:val="4A3D2AA8"/>
    <w:rsid w:val="4A3F6C7E"/>
    <w:rsid w:val="4A627F82"/>
    <w:rsid w:val="4A71383E"/>
    <w:rsid w:val="4A981144"/>
    <w:rsid w:val="4B0E749A"/>
    <w:rsid w:val="4B474DDC"/>
    <w:rsid w:val="4B4F25DA"/>
    <w:rsid w:val="4BBB4781"/>
    <w:rsid w:val="4BD709A5"/>
    <w:rsid w:val="4BDD9BFF"/>
    <w:rsid w:val="4BE068DB"/>
    <w:rsid w:val="4BF52F0E"/>
    <w:rsid w:val="4D577224"/>
    <w:rsid w:val="4DBF1CEB"/>
    <w:rsid w:val="4DBF6A6B"/>
    <w:rsid w:val="4DC64B62"/>
    <w:rsid w:val="4DF6A672"/>
    <w:rsid w:val="4E944C60"/>
    <w:rsid w:val="4EAB630A"/>
    <w:rsid w:val="4ECE2238"/>
    <w:rsid w:val="4F0A1409"/>
    <w:rsid w:val="4F7EA413"/>
    <w:rsid w:val="4FAB812F"/>
    <w:rsid w:val="4FC7696F"/>
    <w:rsid w:val="4FE9BD67"/>
    <w:rsid w:val="4FEE4C07"/>
    <w:rsid w:val="4FFB052F"/>
    <w:rsid w:val="500D3814"/>
    <w:rsid w:val="5080549C"/>
    <w:rsid w:val="50E21CB3"/>
    <w:rsid w:val="510B607F"/>
    <w:rsid w:val="526B3F2A"/>
    <w:rsid w:val="53760DD8"/>
    <w:rsid w:val="537E6D0A"/>
    <w:rsid w:val="53A476F3"/>
    <w:rsid w:val="53AB6B88"/>
    <w:rsid w:val="53CC6C4A"/>
    <w:rsid w:val="53F74C96"/>
    <w:rsid w:val="556C4241"/>
    <w:rsid w:val="55766E6E"/>
    <w:rsid w:val="5583522D"/>
    <w:rsid w:val="56384F6E"/>
    <w:rsid w:val="567E247E"/>
    <w:rsid w:val="570D735E"/>
    <w:rsid w:val="57BD3DD4"/>
    <w:rsid w:val="57DE0CFA"/>
    <w:rsid w:val="57F9CD1E"/>
    <w:rsid w:val="59042B8F"/>
    <w:rsid w:val="59B85CA7"/>
    <w:rsid w:val="5AF92295"/>
    <w:rsid w:val="5AF9D8E9"/>
    <w:rsid w:val="5BDD38BD"/>
    <w:rsid w:val="5BDD79E6"/>
    <w:rsid w:val="5BEFC772"/>
    <w:rsid w:val="5BFF5DFC"/>
    <w:rsid w:val="5C0C22DA"/>
    <w:rsid w:val="5C270EC2"/>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0D31618"/>
    <w:rsid w:val="610F0176"/>
    <w:rsid w:val="61BC20AC"/>
    <w:rsid w:val="61CA71D5"/>
    <w:rsid w:val="620F6680"/>
    <w:rsid w:val="62562501"/>
    <w:rsid w:val="626F619A"/>
    <w:rsid w:val="627EE9EA"/>
    <w:rsid w:val="635F3637"/>
    <w:rsid w:val="63B23AA5"/>
    <w:rsid w:val="63F91396"/>
    <w:rsid w:val="647F5392"/>
    <w:rsid w:val="64BF421D"/>
    <w:rsid w:val="64D94D23"/>
    <w:rsid w:val="64E322C4"/>
    <w:rsid w:val="65332685"/>
    <w:rsid w:val="655645C6"/>
    <w:rsid w:val="657C502B"/>
    <w:rsid w:val="65832956"/>
    <w:rsid w:val="65FB93B9"/>
    <w:rsid w:val="6633C463"/>
    <w:rsid w:val="67D55B77"/>
    <w:rsid w:val="67EE7F84"/>
    <w:rsid w:val="686F5F53"/>
    <w:rsid w:val="68AA0EB0"/>
    <w:rsid w:val="699456BD"/>
    <w:rsid w:val="6A203D51"/>
    <w:rsid w:val="6A611A43"/>
    <w:rsid w:val="6AA32632"/>
    <w:rsid w:val="6AFFCEAF"/>
    <w:rsid w:val="6B340F05"/>
    <w:rsid w:val="6B8A1C13"/>
    <w:rsid w:val="6B96E9E6"/>
    <w:rsid w:val="6BAF2C82"/>
    <w:rsid w:val="6BCE57B5"/>
    <w:rsid w:val="6BFEA4DB"/>
    <w:rsid w:val="6BFFB662"/>
    <w:rsid w:val="6C4A05C8"/>
    <w:rsid w:val="6C7A3290"/>
    <w:rsid w:val="6CB467A2"/>
    <w:rsid w:val="6CD40BF2"/>
    <w:rsid w:val="6CFF4FB8"/>
    <w:rsid w:val="6D003795"/>
    <w:rsid w:val="6D396CA7"/>
    <w:rsid w:val="6D6BD6E0"/>
    <w:rsid w:val="6D77E73C"/>
    <w:rsid w:val="6DBF5E93"/>
    <w:rsid w:val="6DFF077E"/>
    <w:rsid w:val="6E2E7E8E"/>
    <w:rsid w:val="6E761952"/>
    <w:rsid w:val="6E7E3605"/>
    <w:rsid w:val="6E7FDCC7"/>
    <w:rsid w:val="6ED6A62E"/>
    <w:rsid w:val="6EE00B15"/>
    <w:rsid w:val="6EE737B2"/>
    <w:rsid w:val="6EEB2329"/>
    <w:rsid w:val="6EECE67A"/>
    <w:rsid w:val="6F305E87"/>
    <w:rsid w:val="6F6F90A8"/>
    <w:rsid w:val="6F6FB3EB"/>
    <w:rsid w:val="6F8731EA"/>
    <w:rsid w:val="6FBC2ADD"/>
    <w:rsid w:val="6FD57C00"/>
    <w:rsid w:val="6FEFFFD8"/>
    <w:rsid w:val="6FF5CC65"/>
    <w:rsid w:val="6FFB47EC"/>
    <w:rsid w:val="6FFF034A"/>
    <w:rsid w:val="70052E70"/>
    <w:rsid w:val="70AB7EBB"/>
    <w:rsid w:val="70B14DA6"/>
    <w:rsid w:val="70CB230C"/>
    <w:rsid w:val="712A28F1"/>
    <w:rsid w:val="715C0E4B"/>
    <w:rsid w:val="716F783D"/>
    <w:rsid w:val="71D46F9E"/>
    <w:rsid w:val="71FFD401"/>
    <w:rsid w:val="72233669"/>
    <w:rsid w:val="72734D90"/>
    <w:rsid w:val="7332FE48"/>
    <w:rsid w:val="73AD73D5"/>
    <w:rsid w:val="73B6EB34"/>
    <w:rsid w:val="73F73418"/>
    <w:rsid w:val="73FA497D"/>
    <w:rsid w:val="7419338E"/>
    <w:rsid w:val="744731E5"/>
    <w:rsid w:val="74BBD01D"/>
    <w:rsid w:val="74ED5379"/>
    <w:rsid w:val="753D30AC"/>
    <w:rsid w:val="75666CB2"/>
    <w:rsid w:val="75AD4450"/>
    <w:rsid w:val="75DEEEC2"/>
    <w:rsid w:val="767F479D"/>
    <w:rsid w:val="76C40B40"/>
    <w:rsid w:val="76E3355F"/>
    <w:rsid w:val="76F742AF"/>
    <w:rsid w:val="76F7BE7D"/>
    <w:rsid w:val="76FF5125"/>
    <w:rsid w:val="773570D3"/>
    <w:rsid w:val="77597F31"/>
    <w:rsid w:val="776F6FFA"/>
    <w:rsid w:val="7777A522"/>
    <w:rsid w:val="77858688"/>
    <w:rsid w:val="778769C8"/>
    <w:rsid w:val="77903967"/>
    <w:rsid w:val="77A92C7B"/>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8F243F"/>
    <w:rsid w:val="7CBA4FE2"/>
    <w:rsid w:val="7CBFC87B"/>
    <w:rsid w:val="7CFE0F48"/>
    <w:rsid w:val="7D3DE31C"/>
    <w:rsid w:val="7D7EC23E"/>
    <w:rsid w:val="7D7F8A13"/>
    <w:rsid w:val="7DBBCB01"/>
    <w:rsid w:val="7DC765D0"/>
    <w:rsid w:val="7DDB0EE0"/>
    <w:rsid w:val="7DFF51D8"/>
    <w:rsid w:val="7E634199"/>
    <w:rsid w:val="7E8ADEBF"/>
    <w:rsid w:val="7EEF11D3"/>
    <w:rsid w:val="7EF78C20"/>
    <w:rsid w:val="7F1E5CFC"/>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6">
    <w:name w:val="Body Text"/>
    <w:basedOn w:val="1"/>
    <w:next w:val="1"/>
    <w:link w:val="26"/>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37">
    <w:name w:val="WPSOffice手动目录 1"/>
    <w:uiPriority w:val="0"/>
    <w:pPr>
      <w:ind w:leftChars="0"/>
    </w:pPr>
    <w:rPr>
      <w:rFonts w:asciiTheme="minorHAnsi" w:hAnsiTheme="minorHAnsi" w:eastAsiaTheme="minorEastAsia" w:cstheme="minorBidi"/>
      <w:sz w:val="20"/>
      <w:szCs w:val="20"/>
    </w:rPr>
  </w:style>
  <w:style w:type="paragraph" w:customStyle="1" w:styleId="38">
    <w:name w:val="WPSOffice手动目录 2"/>
    <w:uiPriority w:val="0"/>
    <w:pPr>
      <w:ind w:leftChars="200"/>
    </w:pPr>
    <w:rPr>
      <w:rFonts w:asciiTheme="minorHAnsi" w:hAnsiTheme="minorHAnsi" w:eastAsiaTheme="minorEastAsia" w:cstheme="minorBidi"/>
      <w:sz w:val="20"/>
      <w:szCs w:val="20"/>
    </w:rPr>
  </w:style>
  <w:style w:type="paragraph" w:customStyle="1" w:styleId="39">
    <w:name w:val="WPSOffice手动目录 3"/>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96428078886"/>
          <c:y val="0.101085209003215"/>
          <c:w val="0.873314025651634"/>
          <c:h val="0.727773311897106"/>
        </c:manualLayout>
      </c:layout>
      <c:barChart>
        <c:barDir val="col"/>
        <c:grouping val="clustered"/>
        <c:varyColors val="0"/>
        <c:ser>
          <c:idx val="0"/>
          <c:order val="0"/>
          <c:tx>
            <c:strRef>
              <c:f>Sheet1!$B$1</c:f>
              <c:strCache>
                <c:ptCount val="1"/>
                <c:pt idx="0">
                  <c:v>2022年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779.35</c:v>
                </c:pt>
                <c:pt idx="1">
                  <c:v>779.35</c:v>
                </c:pt>
              </c:numCache>
            </c:numRef>
          </c:val>
        </c:ser>
        <c:ser>
          <c:idx val="1"/>
          <c:order val="1"/>
          <c:tx>
            <c:strRef>
              <c:f>Sheet1!$C$1</c:f>
              <c:strCache>
                <c:ptCount val="1"/>
                <c:pt idx="0">
                  <c:v>2023年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Pt>
            <c:idx val="1"/>
            <c:invertIfNegative val="0"/>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Lbls>
            <c:delete val="1"/>
          </c:dLbls>
          <c:cat>
            <c:strRef>
              <c:f>Sheet1!$A$2:$A$5</c:f>
              <c:strCache>
                <c:ptCount val="4"/>
                <c:pt idx="0">
                  <c:v>收入</c:v>
                </c:pt>
                <c:pt idx="1">
                  <c:v>支出</c:v>
                </c:pt>
              </c:strCache>
            </c:strRef>
          </c:cat>
          <c:val>
            <c:numRef>
              <c:f>Sheet1!$C$2:$C$5</c:f>
              <c:numCache>
                <c:formatCode>General</c:formatCode>
                <c:ptCount val="4"/>
                <c:pt idx="0">
                  <c:v>945.1</c:v>
                </c:pt>
                <c:pt idx="1">
                  <c:v>945.1</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988377058032"/>
          <c:y val="0.098971812403657"/>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a:t>
                    </a:r>
                    <a:r>
                      <a:rPr lang="en-US" altLang="zh-CN"/>
                      <a:t>04%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01394169835234"/>
                      <c:h val="0.078375411635565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strCache>
            </c:strRef>
          </c:cat>
          <c:val>
            <c:numRef>
              <c:f>Sheet1!$B$2:$B$4</c:f>
              <c:numCache>
                <c:formatCode>General</c:formatCode>
                <c:ptCount val="3"/>
                <c:pt idx="0">
                  <c:v>945.1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0726466299417"/>
          <c:y val="0.106951668810749"/>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16378119102034"/>
                  <c:y val="-0.15425066068240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76.18%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79539928932111"/>
                      <c:h val="0.108077033630354"/>
                    </c:manualLayout>
                  </c15:layout>
                </c:ext>
              </c:extLst>
            </c:dLbl>
            <c:dLbl>
              <c:idx val="1"/>
              <c:layout>
                <c:manualLayout>
                  <c:x val="0.110116626544429"/>
                  <c:y val="0.14284161261597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23.81%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65139330465682"/>
                      <c:h val="0.085081920091980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0.7618</c:v>
                </c:pt>
                <c:pt idx="1">
                  <c:v>0.2381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13177753338"/>
          <c:y val="0.141218920826365"/>
          <c:w val="0.870726388189901"/>
          <c:h val="0.66831370295892"/>
        </c:manualLayout>
      </c:layout>
      <c:barChart>
        <c:barDir val="col"/>
        <c:grouping val="clustered"/>
        <c:varyColors val="0"/>
        <c:ser>
          <c:idx val="0"/>
          <c:order val="0"/>
          <c:tx>
            <c:strRef>
              <c:f>Sheet1!$B$1</c:f>
              <c:strCache>
                <c:ptCount val="1"/>
                <c:pt idx="0">
                  <c:v>2022年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763.44</c:v>
                </c:pt>
                <c:pt idx="1">
                  <c:v>763.44</c:v>
                </c:pt>
              </c:numCache>
            </c:numRef>
          </c:val>
        </c:ser>
        <c:ser>
          <c:idx val="1"/>
          <c:order val="1"/>
          <c:tx>
            <c:strRef>
              <c:f>Sheet1!$C$1</c:f>
              <c:strCache>
                <c:ptCount val="1"/>
                <c:pt idx="0">
                  <c:v>2023年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Sheet1!$C$2:$C$5</c:f>
              <c:numCache>
                <c:formatCode>General</c:formatCode>
                <c:ptCount val="4"/>
                <c:pt idx="0">
                  <c:v>945.1</c:v>
                </c:pt>
                <c:pt idx="1">
                  <c:v>945.1</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46478197344"/>
          <c:y val="0.141218920826365"/>
          <c:w val="0.870726388189901"/>
          <c:h val="0.66831370295892"/>
        </c:manualLayout>
      </c:layout>
      <c:barChart>
        <c:barDir val="col"/>
        <c:grouping val="clustered"/>
        <c:varyColors val="0"/>
        <c:ser>
          <c:idx val="0"/>
          <c:order val="0"/>
          <c:tx>
            <c:strRef>
              <c:f>Sheet1!$B$1</c:f>
              <c:strCache>
                <c:ptCount val="1"/>
                <c:pt idx="0">
                  <c:v>2022年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numRef>
              <c:f>Sheet1!$A$2:$A$5</c:f>
              <c:numCache>
                <c:formatCode>General</c:formatCode>
                <c:ptCount val="4"/>
              </c:numCache>
            </c:numRef>
          </c:cat>
          <c:val>
            <c:numRef>
              <c:f>Sheet1!$B$2:$B$5</c:f>
              <c:numCache>
                <c:formatCode>General</c:formatCode>
                <c:ptCount val="4"/>
                <c:pt idx="0">
                  <c:v>0</c:v>
                </c:pt>
                <c:pt idx="1">
                  <c:v>763.44</c:v>
                </c:pt>
              </c:numCache>
            </c:numRef>
          </c:val>
        </c:ser>
        <c:ser>
          <c:idx val="1"/>
          <c:order val="1"/>
          <c:tx>
            <c:strRef>
              <c:f>Sheet1!$C$1</c:f>
              <c:strCache>
                <c:ptCount val="1"/>
                <c:pt idx="0">
                  <c:v>2023年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elete val="1"/>
          </c:dLbls>
          <c:cat>
            <c:numRef>
              <c:f>Sheet1!$A$2:$A$5</c:f>
              <c:numCache>
                <c:formatCode>General</c:formatCode>
                <c:ptCount val="4"/>
              </c:numCache>
            </c:numRef>
          </c:cat>
          <c:val>
            <c:numRef>
              <c:f>Sheet1!$C$2:$C$5</c:f>
              <c:numCache>
                <c:formatCode>General</c:formatCode>
                <c:ptCount val="4"/>
                <c:pt idx="0">
                  <c:v>0</c:v>
                </c:pt>
                <c:pt idx="1">
                  <c:v>945.1</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numRef>
              <c:f>Sheet1!$A$2:$A$5</c:f>
              <c:numCache>
                <c:formatCode>General</c:formatCode>
                <c:ptCount val="4"/>
              </c:numCache>
            </c:num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列1</c:v>
                </c:pt>
              </c:strCache>
            </c:strRef>
          </c:tx>
          <c:explosion val="0"/>
          <c:dPt>
            <c:idx val="0"/>
            <c:bubble3D val="0"/>
            <c:spPr>
              <a:solidFill>
                <a:schemeClr val="accent6"/>
              </a:solidFill>
              <a:ln>
                <a:noFill/>
              </a:ln>
              <a:effectLst>
                <a:outerShdw blurRad="63500" sx="102000" sy="102000" algn="ctr" rotWithShape="0">
                  <a:prstClr val="black">
                    <a:alpha val="20000"/>
                  </a:prstClr>
                </a:outerShdw>
              </a:effectLst>
            </c:spPr>
          </c:dPt>
          <c:dPt>
            <c:idx val="1"/>
            <c:bubble3D val="0"/>
            <c:spPr>
              <a:solidFill>
                <a:schemeClr val="accent5"/>
              </a:solidFill>
              <a:ln>
                <a:noFill/>
              </a:ln>
              <a:effectLst>
                <a:outerShdw blurRad="63500" sx="102000" sy="102000" algn="ctr" rotWithShape="0">
                  <a:prstClr val="black">
                    <a:alpha val="20000"/>
                  </a:prstClr>
                </a:outerShdw>
              </a:effectLst>
            </c:spPr>
          </c:dPt>
          <c:dPt>
            <c:idx val="2"/>
            <c:bubble3D val="0"/>
            <c:spPr>
              <a:solidFill>
                <a:schemeClr val="accent4"/>
              </a:solidFill>
              <a:ln>
                <a:noFill/>
              </a:ln>
              <a:effectLst>
                <a:outerShdw blurRad="63500" sx="102000" sy="102000" algn="ctr" rotWithShape="0">
                  <a:prstClr val="black">
                    <a:alpha val="20000"/>
                  </a:prstClr>
                </a:outerShdw>
              </a:effectLst>
            </c:spPr>
          </c:dPt>
          <c:dPt>
            <c:idx val="3"/>
            <c:bubble3D val="0"/>
            <c:spPr>
              <a:solidFill>
                <a:schemeClr val="accent6">
                  <a:lumMod val="6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lumMod val="60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0.00_ </c:formatCode>
                <c:ptCount val="4"/>
                <c:pt idx="0">
                  <c:v>787.45</c:v>
                </c:pt>
                <c:pt idx="1">
                  <c:v>82.53</c:v>
                </c:pt>
                <c:pt idx="2">
                  <c:v>35.45</c:v>
                </c:pt>
                <c:pt idx="3">
                  <c:v>39.66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575565509468"/>
          <c:y val="0.111582096686516"/>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0.0502429684375198"/>
                  <c:y val="-0.1997331689438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0906344410876133"/>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0.00_ </c:formatCode>
                <c:ptCount val="2"/>
                <c:pt idx="0">
                  <c:v>94.72</c:v>
                </c:pt>
                <c:pt idx="1">
                  <c:v>1.73</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8327</Words>
  <Characters>8999</Characters>
  <Lines>72</Lines>
  <Paragraphs>20</Paragraphs>
  <TotalTime>6</TotalTime>
  <ScaleCrop>false</ScaleCrop>
  <LinksUpToDate>false</LinksUpToDate>
  <CharactersWithSpaces>9126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oO月影子熙。</cp:lastModifiedBy>
  <cp:lastPrinted>2024-11-07T11:05:00Z</cp:lastPrinted>
  <dcterms:modified xsi:type="dcterms:W3CDTF">2024-11-11T05:48:31Z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E56831E580BD4CD6B3FDF3BC8AD424FC_12</vt:lpwstr>
  </property>
</Properties>
</file>