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政协红原县委员会办公室</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2024年</w:t>
      </w:r>
      <w:r>
        <w:rPr>
          <w:rFonts w:hint="eastAsia" w:ascii="方正小标宋简体" w:hAnsi="方正小标宋简体" w:eastAsia="方正小标宋简体" w:cs="方正小标宋简体"/>
          <w:b w:val="0"/>
          <w:bCs/>
          <w:sz w:val="44"/>
          <w:szCs w:val="44"/>
        </w:rPr>
        <w:t>部门预算编制的说明</w:t>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4"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3"/>
        <w:adjustRightInd w:val="0"/>
        <w:snapToGrid w:val="0"/>
        <w:spacing w:before="93" w:line="560" w:lineRule="exact"/>
        <w:ind w:firstLine="640" w:firstLineChars="200"/>
        <w:rPr>
          <w:rFonts w:hint="eastAsia" w:hAnsi="仿宋_GB2312" w:cs="仿宋_GB2312"/>
          <w:bCs/>
          <w:sz w:val="32"/>
          <w:szCs w:val="32"/>
          <w:lang w:val="en-US" w:eastAsia="zh-CN"/>
        </w:rPr>
      </w:pPr>
      <w:r>
        <w:rPr>
          <w:rFonts w:hint="eastAsia" w:hAnsi="仿宋_GB2312" w:cs="仿宋_GB2312"/>
          <w:bCs/>
          <w:sz w:val="32"/>
          <w:szCs w:val="32"/>
          <w:lang w:val="en-US" w:eastAsia="zh-CN"/>
        </w:rPr>
        <w:t>县政协是我县的爱国统一战线的组织，作为中共红原县委的政治协商机构，在我县的政治生活、社会生活、经济建设中发挥着重要作用。县政协机关是县政协的办事机构，承担政协红原县委员会秘书、参谋、服务和联络工作。其主要职责是：</w:t>
      </w:r>
      <w:r>
        <w:rPr>
          <w:rFonts w:hint="eastAsia"/>
          <w:sz w:val="32"/>
          <w:szCs w:val="32"/>
          <w:lang w:val="en-US" w:eastAsia="zh-CN"/>
        </w:rPr>
        <w:t>负责政协红原县委员会全体会议、常委会会议、主席会议和其他主要会议的组织和会务工作，并组织实施“三个例会”的决议、决定；组织委员视察参观、调查、座谈等日常活动以及各专门委员会的其他工作的组织和服务工作，负责县政协举办各种重大活动的组织、宣传工作；研究统一战线和人民政协的理论、政策，调查研究和了解有关我县各项事业及群众生活的重要问题提出解决办法，供党政机关参考；密切与县委、县人大、县政府有关部门的联系，搞好协调工作，做好上情下达、下情上报工作；负责政协工作的内外宣传、收集、反映各族各界人士的意见、建议；负责管理机关行政、文秘、档案、信访、保密等工作；负责管理政协委员会机关行政、文秘、档案、信访、保密等工作；承担县政协主席、副主席和州政协交办的其他工作。</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4"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（二）2024年重点工作任务</w:t>
      </w:r>
    </w:p>
    <w:p>
      <w:pPr>
        <w:keepNext w:val="0"/>
        <w:keepLines w:val="0"/>
        <w:pageBreakBefore w:val="0"/>
        <w:widowControl w:val="0"/>
        <w:kinsoku/>
        <w:wordWrap/>
        <w:overflowPunct w:val="0"/>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坚</w:t>
      </w:r>
      <w:r>
        <w:rPr>
          <w:rFonts w:hint="default" w:ascii="Times New Roman" w:hAnsi="Times New Roman" w:eastAsia="仿宋_GB2312" w:cs="Times New Roman"/>
          <w:kern w:val="2"/>
          <w:sz w:val="32"/>
          <w:szCs w:val="32"/>
          <w:lang w:val="en-US" w:eastAsia="zh-CN" w:bidi="ar-SA"/>
        </w:rPr>
        <w:t>决贯彻执行中央、省委、州委各项决策部署，认真落实县委对政协工作的各项指示和要求</w:t>
      </w:r>
      <w:r>
        <w:rPr>
          <w:rFonts w:hint="eastAsia" w:ascii="Times New Roman" w:hAnsi="Times New Roman" w:eastAsia="仿宋_GB2312" w:cs="Times New Roman"/>
          <w:kern w:val="2"/>
          <w:sz w:val="32"/>
          <w:szCs w:val="32"/>
          <w:lang w:val="en-US" w:eastAsia="zh-CN" w:bidi="ar-SA"/>
        </w:rPr>
        <w:t>。一是</w:t>
      </w:r>
      <w:r>
        <w:rPr>
          <w:rFonts w:hint="eastAsia" w:ascii="仿宋_GB2312" w:hAnsi="仿宋_GB2312" w:eastAsia="仿宋_GB2312" w:cs="仿宋_GB2312"/>
          <w:b w:val="0"/>
          <w:bCs w:val="0"/>
          <w:kern w:val="2"/>
          <w:sz w:val="32"/>
          <w:szCs w:val="32"/>
          <w:lang w:val="en-US" w:eastAsia="zh-CN" w:bidi="ar-SA"/>
        </w:rPr>
        <w:t>着力加强“有事来协商”工作。</w:t>
      </w:r>
      <w:r>
        <w:rPr>
          <w:rFonts w:hint="default" w:ascii="Times New Roman" w:hAnsi="Times New Roman" w:eastAsia="仿宋_GB2312" w:cs="Times New Roman"/>
          <w:kern w:val="2"/>
          <w:sz w:val="32"/>
          <w:szCs w:val="32"/>
          <w:lang w:val="en-US" w:eastAsia="zh-CN" w:bidi="ar-SA"/>
        </w:rPr>
        <w:t>以拓展协商平台、助推基层治理为工作方向，融合“草坝协商”“帐篷协商”“协商议事室”等开展多种形式协商，推进政协协商向基层延伸。</w:t>
      </w:r>
      <w:r>
        <w:rPr>
          <w:rFonts w:hint="eastAsia" w:ascii="Times New Roman" w:hAnsi="Times New Roman" w:eastAsia="仿宋_GB2312" w:cs="Times New Roman"/>
          <w:kern w:val="2"/>
          <w:sz w:val="32"/>
          <w:szCs w:val="32"/>
          <w:lang w:val="en-US" w:eastAsia="zh-CN" w:bidi="ar-SA"/>
        </w:rPr>
        <w:t>二是</w:t>
      </w:r>
      <w:r>
        <w:rPr>
          <w:rFonts w:hint="eastAsia" w:ascii="仿宋_GB2312" w:hAnsi="仿宋_GB2312" w:eastAsia="仿宋_GB2312" w:cs="仿宋_GB2312"/>
          <w:b w:val="0"/>
          <w:bCs w:val="0"/>
          <w:kern w:val="2"/>
          <w:sz w:val="32"/>
          <w:szCs w:val="32"/>
          <w:lang w:val="en-US" w:eastAsia="zh-CN" w:bidi="ar-SA"/>
        </w:rPr>
        <w:t>持续推进“同心共建现代化新红原”专项行动。</w:t>
      </w:r>
      <w:r>
        <w:rPr>
          <w:rFonts w:hint="default" w:ascii="Times New Roman" w:hAnsi="Times New Roman" w:eastAsia="仿宋_GB2312" w:cs="Times New Roman"/>
          <w:bCs/>
          <w:sz w:val="32"/>
          <w:szCs w:val="32"/>
          <w:lang w:eastAsia="zh-CN"/>
        </w:rPr>
        <w:t>强化统筹协同，发挥界别委员优势，把专项行动作为履职“主战场”。</w:t>
      </w:r>
      <w:r>
        <w:rPr>
          <w:rFonts w:hint="eastAsia" w:ascii="Times New Roman" w:hAnsi="Times New Roman" w:eastAsia="仿宋_GB2312" w:cs="Times New Roman"/>
          <w:bCs/>
          <w:sz w:val="32"/>
          <w:szCs w:val="32"/>
          <w:lang w:val="en-US" w:eastAsia="zh-CN"/>
        </w:rPr>
        <w:t>三是</w:t>
      </w:r>
      <w:r>
        <w:rPr>
          <w:rFonts w:hint="eastAsia" w:ascii="仿宋_GB2312" w:hAnsi="仿宋_GB2312" w:eastAsia="仿宋_GB2312" w:cs="仿宋_GB2312"/>
          <w:b w:val="0"/>
          <w:bCs w:val="0"/>
          <w:kern w:val="2"/>
          <w:sz w:val="32"/>
          <w:szCs w:val="32"/>
          <w:lang w:val="en-US" w:eastAsia="zh-CN" w:bidi="ar-SA"/>
        </w:rPr>
        <w:t>深入开展“书香政协·奋进红原”委员读书活动。</w:t>
      </w:r>
      <w:r>
        <w:rPr>
          <w:rFonts w:hint="default" w:ascii="Times New Roman" w:hAnsi="Times New Roman" w:eastAsia="仿宋_GB2312" w:cs="Times New Roman"/>
          <w:sz w:val="32"/>
          <w:szCs w:val="32"/>
          <w:lang w:eastAsia="zh-CN"/>
        </w:rPr>
        <w:t>把“书香政协</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奋进红原”建设作为提升委员履职能力的有力抓手</w:t>
      </w:r>
      <w:r>
        <w:rPr>
          <w:rFonts w:hint="default" w:ascii="Times New Roman" w:hAnsi="Times New Roman" w:eastAsia="仿宋_GB2312" w:cs="Times New Roman"/>
          <w:bCs/>
          <w:kern w:val="0"/>
          <w:sz w:val="32"/>
          <w:szCs w:val="32"/>
          <w:lang w:val="en-US" w:eastAsia="zh-CN" w:bidi="ar-SA"/>
        </w:rPr>
        <w:t>。</w:t>
      </w:r>
      <w:r>
        <w:rPr>
          <w:rFonts w:hint="eastAsia" w:ascii="Times New Roman" w:hAnsi="Times New Roman" w:eastAsia="仿宋_GB2312" w:cs="Times New Roman"/>
          <w:bCs/>
          <w:kern w:val="0"/>
          <w:sz w:val="32"/>
          <w:szCs w:val="32"/>
          <w:lang w:val="en-US" w:eastAsia="zh-CN" w:bidi="ar-SA"/>
        </w:rPr>
        <w:t>四是</w:t>
      </w:r>
      <w:r>
        <w:rPr>
          <w:rFonts w:hint="eastAsia" w:ascii="仿宋_GB2312" w:hAnsi="仿宋_GB2312" w:eastAsia="仿宋_GB2312" w:cs="仿宋_GB2312"/>
          <w:b w:val="0"/>
          <w:bCs w:val="0"/>
          <w:kern w:val="2"/>
          <w:sz w:val="32"/>
          <w:szCs w:val="32"/>
          <w:lang w:val="en-US" w:eastAsia="zh-CN" w:bidi="ar-SA"/>
        </w:rPr>
        <w:t>积极探索委员履职新途径。</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SA"/>
        </w:rPr>
        <w:t>加强委员培训与教育，举办委员培训班，充分发挥委员的主体作用，由各专委会牵头组织所联系的委员经常开展学习、考察活动，提高参政议政水平。</w:t>
      </w:r>
      <w:r>
        <w:rPr>
          <w:rFonts w:hint="eastAsia" w:ascii="Times New Roman" w:hAnsi="Times New Roman" w:eastAsia="仿宋_GB2312" w:cs="Times New Roman"/>
          <w:sz w:val="32"/>
          <w:szCs w:val="32"/>
          <w:lang w:val="en-US" w:eastAsia="zh-CN"/>
        </w:rPr>
        <w:t>五是</w:t>
      </w:r>
      <w:r>
        <w:rPr>
          <w:rFonts w:hint="eastAsia" w:ascii="仿宋_GB2312" w:hAnsi="仿宋_GB2312" w:eastAsia="仿宋_GB2312" w:cs="仿宋_GB2312"/>
          <w:b w:val="0"/>
          <w:bCs w:val="0"/>
          <w:kern w:val="2"/>
          <w:sz w:val="32"/>
          <w:szCs w:val="32"/>
          <w:lang w:val="en-US" w:eastAsia="zh-CN" w:bidi="ar-SA"/>
        </w:rPr>
        <w:t>坚决完成县委交办的各项重要工作。</w:t>
      </w:r>
      <w:r>
        <w:rPr>
          <w:rFonts w:hint="default" w:ascii="Times New Roman" w:hAnsi="Times New Roman" w:eastAsia="仿宋_GB2312" w:cs="Times New Roman"/>
          <w:bCs/>
          <w:kern w:val="0"/>
          <w:sz w:val="32"/>
          <w:szCs w:val="32"/>
          <w:lang w:val="en-US" w:eastAsia="zh-CN" w:bidi="ar-SA"/>
        </w:rPr>
        <w:t>协助配合全国政协、省政协、州政协以及其他地区政协做好调研视察、学习考察等工作。</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sz w:val="32"/>
          <w:szCs w:val="32"/>
        </w:rPr>
      </w:pPr>
      <w:r>
        <w:rPr>
          <w:rFonts w:hint="eastAsia"/>
          <w:sz w:val="32"/>
          <w:szCs w:val="32"/>
          <w:lang w:val="en-US" w:eastAsia="zh-CN"/>
        </w:rPr>
        <w:t>政协红原县委员会办公室</w:t>
      </w:r>
      <w:r>
        <w:rPr>
          <w:rFonts w:hint="eastAsia"/>
          <w:sz w:val="32"/>
          <w:szCs w:val="32"/>
          <w:lang w:eastAsia="zh-CN"/>
        </w:rPr>
        <w:t>下设单位（股室）</w:t>
      </w:r>
      <w:r>
        <w:rPr>
          <w:rFonts w:hint="eastAsia"/>
          <w:sz w:val="32"/>
          <w:szCs w:val="32"/>
          <w:lang w:val="en-US" w:eastAsia="zh-CN"/>
        </w:rPr>
        <w:t>2</w:t>
      </w:r>
      <w:r>
        <w:rPr>
          <w:rFonts w:hint="eastAsia"/>
          <w:sz w:val="32"/>
          <w:szCs w:val="32"/>
        </w:rPr>
        <w:t>个，其中行政单位</w:t>
      </w:r>
      <w:r>
        <w:rPr>
          <w:rFonts w:hint="eastAsia"/>
          <w:sz w:val="32"/>
          <w:szCs w:val="32"/>
          <w:lang w:val="en-US" w:eastAsia="zh-CN"/>
        </w:rPr>
        <w:t>1</w:t>
      </w:r>
      <w:r>
        <w:rPr>
          <w:rFonts w:hint="eastAsia"/>
          <w:sz w:val="32"/>
          <w:szCs w:val="32"/>
        </w:rPr>
        <w:t>个，其他事业单位</w:t>
      </w:r>
      <w:r>
        <w:rPr>
          <w:rFonts w:hint="eastAsia"/>
          <w:sz w:val="32"/>
          <w:szCs w:val="32"/>
          <w:lang w:val="en-US" w:eastAsia="zh-CN"/>
        </w:rPr>
        <w:t>1</w:t>
      </w:r>
      <w:r>
        <w:rPr>
          <w:rFonts w:hint="eastAsia"/>
          <w:sz w:val="32"/>
          <w:szCs w:val="32"/>
        </w:rPr>
        <w:t>个。</w:t>
      </w:r>
      <w:r>
        <w:rPr>
          <w:rFonts w:hint="eastAsia"/>
          <w:sz w:val="32"/>
          <w:szCs w:val="32"/>
          <w:lang w:eastAsia="zh-CN"/>
        </w:rPr>
        <w:t>分别是：</w:t>
      </w:r>
      <w:r>
        <w:rPr>
          <w:rFonts w:hint="eastAsia"/>
          <w:sz w:val="32"/>
          <w:szCs w:val="32"/>
          <w:lang w:val="en-US" w:eastAsia="zh-CN"/>
        </w:rPr>
        <w:t>政协红原县委员会办公室（属</w:t>
      </w:r>
      <w:r>
        <w:rPr>
          <w:rFonts w:hint="eastAsia"/>
          <w:sz w:val="32"/>
          <w:szCs w:val="32"/>
        </w:rPr>
        <w:t>行政单位</w:t>
      </w:r>
      <w:r>
        <w:rPr>
          <w:rFonts w:hint="eastAsia"/>
          <w:sz w:val="32"/>
          <w:szCs w:val="32"/>
          <w:lang w:eastAsia="zh-CN"/>
        </w:rPr>
        <w:t>，</w:t>
      </w:r>
      <w:r>
        <w:rPr>
          <w:rFonts w:hint="eastAsia"/>
          <w:sz w:val="32"/>
          <w:szCs w:val="32"/>
          <w:lang w:val="en-US" w:eastAsia="zh-CN"/>
        </w:rPr>
        <w:t>内设机构三委一室，即办公室、文史提案委、经科委、民宗委）、红原县政协网络信息服务中心（属公益一类股级事业单位）</w:t>
      </w:r>
      <w:r>
        <w:rPr>
          <w:rFonts w:hint="eastAsia"/>
          <w:sz w:val="32"/>
          <w:szCs w:val="32"/>
          <w:lang w:eastAsia="zh-CN"/>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2024年</w:t>
      </w:r>
      <w:r>
        <w:rPr>
          <w:rFonts w:hint="eastAsia" w:ascii="仿宋_GB2312" w:eastAsia="仿宋_GB2312"/>
          <w:sz w:val="32"/>
          <w:szCs w:val="32"/>
          <w:lang w:val="en-US" w:eastAsia="zh-CN"/>
        </w:rPr>
        <w:t>政协红原县委员会办公室</w:t>
      </w:r>
      <w:r>
        <w:rPr>
          <w:rFonts w:hint="eastAsia" w:ascii="仿宋_GB2312" w:eastAsia="仿宋_GB2312"/>
          <w:sz w:val="32"/>
          <w:szCs w:val="32"/>
        </w:rPr>
        <w:t>收入预算总额为</w:t>
      </w:r>
      <w:r>
        <w:rPr>
          <w:rFonts w:hint="eastAsia" w:ascii="仿宋_GB2312" w:eastAsia="仿宋_GB2312"/>
          <w:sz w:val="32"/>
          <w:szCs w:val="32"/>
          <w:lang w:val="en-US" w:eastAsia="zh-CN"/>
        </w:rPr>
        <w:t>751.42</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751.42</w:t>
      </w:r>
      <w:r>
        <w:rPr>
          <w:rFonts w:hint="eastAsia" w:ascii="仿宋_GB2312" w:eastAsia="仿宋_GB2312"/>
          <w:sz w:val="32"/>
          <w:szCs w:val="32"/>
        </w:rPr>
        <w:t>万元。相应安排支出预算</w:t>
      </w:r>
      <w:r>
        <w:rPr>
          <w:rFonts w:hint="eastAsia" w:ascii="仿宋_GB2312" w:eastAsia="仿宋_GB2312"/>
          <w:sz w:val="32"/>
          <w:szCs w:val="32"/>
          <w:lang w:val="en-US" w:eastAsia="zh-CN"/>
        </w:rPr>
        <w:t>751.42</w:t>
      </w:r>
      <w:r>
        <w:rPr>
          <w:rFonts w:hint="eastAsia" w:ascii="仿宋_GB2312" w:eastAsia="仿宋_GB2312"/>
          <w:sz w:val="32"/>
          <w:szCs w:val="32"/>
        </w:rPr>
        <w:t>万元，其中：一般公共服务</w:t>
      </w:r>
      <w:r>
        <w:rPr>
          <w:rFonts w:hint="eastAsia" w:ascii="仿宋_GB2312" w:eastAsia="仿宋_GB2312"/>
          <w:sz w:val="32"/>
          <w:szCs w:val="32"/>
          <w:lang w:val="en-US" w:eastAsia="zh-CN"/>
        </w:rPr>
        <w:t>582.75万</w:t>
      </w:r>
      <w:bookmarkStart w:id="0" w:name="_GoBack"/>
      <w:bookmarkEnd w:id="0"/>
      <w:r>
        <w:rPr>
          <w:rFonts w:hint="eastAsia" w:ascii="仿宋_GB2312" w:eastAsia="仿宋_GB2312"/>
          <w:sz w:val="32"/>
          <w:szCs w:val="32"/>
        </w:rPr>
        <w:t>元，社会保障和就业</w:t>
      </w:r>
      <w:r>
        <w:rPr>
          <w:rFonts w:hint="eastAsia" w:ascii="仿宋_GB2312" w:eastAsia="仿宋_GB2312"/>
          <w:sz w:val="32"/>
          <w:szCs w:val="32"/>
          <w:lang w:val="en-US" w:eastAsia="zh-CN"/>
        </w:rPr>
        <w:t>86.77</w:t>
      </w:r>
      <w:r>
        <w:rPr>
          <w:rFonts w:hint="eastAsia" w:ascii="仿宋_GB2312" w:eastAsia="仿宋_GB2312"/>
          <w:sz w:val="32"/>
          <w:szCs w:val="32"/>
        </w:rPr>
        <w:t>万元，医疗卫生</w:t>
      </w:r>
      <w:r>
        <w:rPr>
          <w:rFonts w:hint="eastAsia" w:ascii="仿宋_GB2312" w:eastAsia="仿宋_GB2312"/>
          <w:sz w:val="32"/>
          <w:szCs w:val="32"/>
          <w:lang w:val="en-US" w:eastAsia="zh-CN"/>
        </w:rPr>
        <w:t>33.96</w:t>
      </w:r>
      <w:r>
        <w:rPr>
          <w:rFonts w:hint="eastAsia" w:ascii="仿宋_GB2312" w:eastAsia="仿宋_GB2312"/>
          <w:sz w:val="32"/>
          <w:szCs w:val="32"/>
        </w:rPr>
        <w:t>万元，住房保障支出</w:t>
      </w:r>
      <w:r>
        <w:rPr>
          <w:rFonts w:hint="eastAsia" w:ascii="仿宋_GB2312" w:eastAsia="仿宋_GB2312"/>
          <w:sz w:val="32"/>
          <w:szCs w:val="32"/>
          <w:lang w:val="en-US" w:eastAsia="zh-CN"/>
        </w:rPr>
        <w:t>47.93</w:t>
      </w:r>
      <w:r>
        <w:rPr>
          <w:rFonts w:hint="eastAsia" w:ascii="仿宋_GB2312" w:eastAsia="仿宋_GB2312"/>
          <w:sz w:val="32"/>
          <w:szCs w:val="32"/>
        </w:rPr>
        <w:t>万元。</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政协红原县委员会办公室</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val="en-US" w:eastAsia="zh-CN"/>
        </w:rPr>
        <w:t>红原县政协</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661.37</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608.02万元，机关运行经费53.35万元，其中：办公费12.73万元，邮电费4.00万，差旅费7.09万元，公务接待费1.5万元，劳务费0.5万元，工会经费4.34万元，公务用车运行维护费23.20万元。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582.75</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86.77</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33.96</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47.93</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751.42万元较上年度预算696.66万元减少了-7.86%，其中基本行政运行经费预算661.37万元，占全部总预算的88.02%，较上年626.61万元减少了-5.55%，原因为工资调整，增加基本支出；专项业务工作经费预算90.05万元，占总预算的11.98%，较上年预算70.05万元减少了-28.55%，主要原因为本年度开展</w:t>
      </w:r>
      <w:r>
        <w:rPr>
          <w:rFonts w:hint="eastAsia" w:ascii="仿宋_GB2312" w:hAnsi="仿宋_GB2312" w:eastAsia="仿宋_GB2312" w:cs="仿宋_GB2312"/>
          <w:b w:val="0"/>
          <w:bCs w:val="0"/>
          <w:kern w:val="2"/>
          <w:sz w:val="32"/>
          <w:szCs w:val="32"/>
          <w:lang w:val="en-US" w:eastAsia="zh-CN" w:bidi="ar-SA"/>
        </w:rPr>
        <w:t>“书香政协·奋进红原”委员读书活动、</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SA"/>
        </w:rPr>
        <w:t>举办委员培训班</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SA"/>
        </w:rPr>
        <w:t>，</w:t>
      </w:r>
      <w:r>
        <w:rPr>
          <w:rFonts w:hint="eastAsia" w:ascii="仿宋_GB2312" w:eastAsia="仿宋_GB2312"/>
          <w:sz w:val="32"/>
          <w:szCs w:val="32"/>
          <w:lang w:val="en-US" w:eastAsia="zh-CN"/>
        </w:rPr>
        <w:t xml:space="preserve">增加了项目经费开支，增加相关支出。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36.20万元，其中：出国费0万元，与上年持平，主要原因为未安排因公出国；公车购置费0元，与上年持平；公务用车维护费支出33.20万元，较上年度预算31.20万元增加2万元，主要原因是为了保障行车安全，老旧车辆需要进行更多的安全检查和维护，进一步增加了相关费用；公务接待费3万元，较上年度预算减少3.6万元，主要原因为严格遵守相关规定，控制公务接待的数量、规模和标准。本年度我们将严格执行“八项规定、六项禁令”，结合本年度工作需要，减少不必要的开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2024年无使用政府性基金预算拨款安排的支出</w:t>
      </w:r>
      <w:r>
        <w:rPr>
          <w:rFonts w:hint="eastAsia" w:ascii="仿宋_GB2312" w:eastAsia="仿宋_GB2312"/>
          <w:sz w:val="32"/>
          <w:szCs w:val="32"/>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2024年无使用国有资本经营预算拨款安排的支出。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2024年度未安排政府采购预算。</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截止2023年底，实际共有固定资产价值344.01</w:t>
      </w:r>
      <w:r>
        <w:rPr>
          <w:rFonts w:hint="eastAsia" w:ascii="仿宋_GB2312" w:eastAsia="仿宋_GB2312"/>
          <w:sz w:val="32"/>
          <w:szCs w:val="32"/>
          <w:lang w:eastAsia="zh-CN"/>
        </w:rPr>
        <w:t>万元：其中：公务用车</w:t>
      </w:r>
      <w:r>
        <w:rPr>
          <w:rFonts w:hint="eastAsia" w:ascii="仿宋_GB2312" w:eastAsia="仿宋_GB2312"/>
          <w:sz w:val="32"/>
          <w:szCs w:val="32"/>
          <w:lang w:val="en-US" w:eastAsia="zh-CN"/>
        </w:rPr>
        <w:t>263.56</w:t>
      </w:r>
      <w:r>
        <w:rPr>
          <w:rFonts w:hint="eastAsia" w:ascii="仿宋_GB2312" w:eastAsia="仿宋_GB2312"/>
          <w:sz w:val="32"/>
          <w:szCs w:val="32"/>
          <w:lang w:eastAsia="zh-CN"/>
        </w:rPr>
        <w:t>万元；</w:t>
      </w:r>
      <w:r>
        <w:rPr>
          <w:rFonts w:hint="eastAsia" w:ascii="仿宋_GB2312" w:eastAsia="仿宋_GB2312"/>
          <w:sz w:val="32"/>
          <w:szCs w:val="32"/>
          <w:lang w:val="en-US" w:eastAsia="zh-CN"/>
        </w:rPr>
        <w:t>通用设备51.00万元；家具和用具29.45万元。无形资产0.27万元。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绩效目标是预算编制的前提和基础，按照“费随事定”的原则，2024年我单位项目支出按要求编制了绩效目标，从项目完成、项目效益、满意度等方面做了测评。</w:t>
      </w:r>
    </w:p>
    <w:p>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表13.部门项目支出绩效目标表（2024年度）</w:t>
      </w: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0ZDRjNzUxNmI4YWUyNWUxMjhlNDNjYWNjNDEzMjAifQ=="/>
  </w:docVars>
  <w:rsids>
    <w:rsidRoot w:val="00172A27"/>
    <w:rsid w:val="008D4EE8"/>
    <w:rsid w:val="03084CFA"/>
    <w:rsid w:val="05D709B3"/>
    <w:rsid w:val="06562220"/>
    <w:rsid w:val="0744651C"/>
    <w:rsid w:val="07610E7C"/>
    <w:rsid w:val="08597DA5"/>
    <w:rsid w:val="0A6E1F7B"/>
    <w:rsid w:val="0B106E41"/>
    <w:rsid w:val="0CEE610B"/>
    <w:rsid w:val="0DF76B88"/>
    <w:rsid w:val="107462EF"/>
    <w:rsid w:val="10B92046"/>
    <w:rsid w:val="15BA6327"/>
    <w:rsid w:val="18870CA9"/>
    <w:rsid w:val="18DE7327"/>
    <w:rsid w:val="1BFD0D1C"/>
    <w:rsid w:val="1C2344FA"/>
    <w:rsid w:val="1DAA6C81"/>
    <w:rsid w:val="20216FA3"/>
    <w:rsid w:val="233A4603"/>
    <w:rsid w:val="2398757C"/>
    <w:rsid w:val="24D46CDA"/>
    <w:rsid w:val="25736E70"/>
    <w:rsid w:val="273B094A"/>
    <w:rsid w:val="279238CD"/>
    <w:rsid w:val="28CA79FA"/>
    <w:rsid w:val="2A691C72"/>
    <w:rsid w:val="2AE13EFE"/>
    <w:rsid w:val="2C2C11A9"/>
    <w:rsid w:val="2CDA7095"/>
    <w:rsid w:val="2D241839"/>
    <w:rsid w:val="2F6A2714"/>
    <w:rsid w:val="32B9061F"/>
    <w:rsid w:val="390A63CE"/>
    <w:rsid w:val="3EDF73A0"/>
    <w:rsid w:val="41C14C68"/>
    <w:rsid w:val="41FE4703"/>
    <w:rsid w:val="46FA3F26"/>
    <w:rsid w:val="489D2DBB"/>
    <w:rsid w:val="48F21359"/>
    <w:rsid w:val="4961028C"/>
    <w:rsid w:val="4A7D7DE9"/>
    <w:rsid w:val="4BE66C5C"/>
    <w:rsid w:val="4E4A7541"/>
    <w:rsid w:val="4F035942"/>
    <w:rsid w:val="4FDA48F5"/>
    <w:rsid w:val="531243A6"/>
    <w:rsid w:val="546703A6"/>
    <w:rsid w:val="550D5715"/>
    <w:rsid w:val="555E53B0"/>
    <w:rsid w:val="558C6691"/>
    <w:rsid w:val="56F015BA"/>
    <w:rsid w:val="577B69BD"/>
    <w:rsid w:val="58063D6C"/>
    <w:rsid w:val="589E5BC9"/>
    <w:rsid w:val="5E2C0A11"/>
    <w:rsid w:val="5EF552A7"/>
    <w:rsid w:val="613227E3"/>
    <w:rsid w:val="61AB4343"/>
    <w:rsid w:val="628C7CD0"/>
    <w:rsid w:val="636966A0"/>
    <w:rsid w:val="65CF619D"/>
    <w:rsid w:val="670175BB"/>
    <w:rsid w:val="69772B35"/>
    <w:rsid w:val="6A7F4532"/>
    <w:rsid w:val="6AEB3A02"/>
    <w:rsid w:val="6D0B67B6"/>
    <w:rsid w:val="6E711791"/>
    <w:rsid w:val="6F370FC4"/>
    <w:rsid w:val="6F80296B"/>
    <w:rsid w:val="6FBF4B32"/>
    <w:rsid w:val="70F00356"/>
    <w:rsid w:val="713F0604"/>
    <w:rsid w:val="76BB3EE3"/>
    <w:rsid w:val="76DB2B7D"/>
    <w:rsid w:val="76F37EC6"/>
    <w:rsid w:val="7B312348"/>
    <w:rsid w:val="BBEBE5F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Salutation"/>
    <w:basedOn w:val="1"/>
    <w:next w:val="1"/>
    <w:qFormat/>
    <w:uiPriority w:val="0"/>
  </w:style>
  <w:style w:type="paragraph" w:styleId="3">
    <w:name w:val="Body Text"/>
    <w:basedOn w:val="1"/>
    <w:qFormat/>
    <w:uiPriority w:val="0"/>
    <w:pPr>
      <w:spacing w:before="93" w:beforeLines="30"/>
    </w:pPr>
    <w:rPr>
      <w:rFonts w:ascii="仿宋_GB2312" w:eastAsia="仿宋_GB2312"/>
      <w:sz w:val="30"/>
    </w:rPr>
  </w:style>
  <w:style w:type="paragraph" w:styleId="4">
    <w:name w:val="Body Text Indent"/>
    <w:basedOn w:val="1"/>
    <w:next w:val="5"/>
    <w:qFormat/>
    <w:uiPriority w:val="0"/>
    <w:pPr>
      <w:spacing w:after="120" w:line="240" w:lineRule="auto"/>
      <w:ind w:left="420" w:leftChars="200" w:firstLine="0" w:firstLineChars="0"/>
      <w:jc w:val="both"/>
    </w:pPr>
    <w:rPr>
      <w:rFonts w:eastAsia="宋体" w:cs="Times New Roman"/>
      <w:sz w:val="21"/>
      <w:szCs w:val="24"/>
    </w:rPr>
  </w:style>
  <w:style w:type="paragraph" w:styleId="5">
    <w:name w:val="Body Text First Indent 2"/>
    <w:basedOn w:val="4"/>
    <w:next w:val="1"/>
    <w:qFormat/>
    <w:uiPriority w:val="0"/>
    <w:pPr>
      <w:ind w:firstLine="420" w:firstLineChars="2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widowControl/>
      <w:spacing w:before="100" w:beforeAutospacing="1" w:after="100" w:afterAutospacing="1"/>
      <w:jc w:val="left"/>
    </w:pPr>
    <w:rPr>
      <w:rFonts w:ascii="宋体" w:cs="宋体"/>
      <w:kern w:val="0"/>
      <w:sz w:val="24"/>
      <w:lang w:bidi="ar-SA"/>
    </w:rPr>
  </w:style>
  <w:style w:type="character" w:styleId="11">
    <w:name w:val="page number"/>
    <w:basedOn w:val="10"/>
    <w:qFormat/>
    <w:uiPriority w:val="0"/>
  </w:style>
  <w:style w:type="character" w:styleId="12">
    <w:name w:val="line number"/>
    <w:basedOn w:val="10"/>
    <w:qFormat/>
    <w:uiPriority w:val="0"/>
    <w:rPr>
      <w:rFonts w:hint="default"/>
      <w:sz w:val="22"/>
    </w:rPr>
  </w:style>
  <w:style w:type="character" w:styleId="13">
    <w:name w:val="Hyperlink"/>
    <w:qFormat/>
    <w:uiPriority w:val="0"/>
    <w:rPr>
      <w:rFonts w:hint="default"/>
      <w:sz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2600</Words>
  <Characters>2824</Characters>
  <Lines>0</Lines>
  <Paragraphs>0</Paragraphs>
  <TotalTime>2</TotalTime>
  <ScaleCrop>false</ScaleCrop>
  <LinksUpToDate>false</LinksUpToDate>
  <CharactersWithSpaces>2853</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2018-01-31T15:35:00Z</dcterms:created>
  <dc:creator>Administrator</dc:creator>
  <cp:lastModifiedBy>user</cp:lastModifiedBy>
  <dcterms:modified xsi:type="dcterms:W3CDTF">2024-04-12T16:00:27Z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031FA0C51D134AE5A0B26878ADA7A2E6_12</vt:lpwstr>
  </property>
</Properties>
</file>