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77425"/>
      <w:bookmarkStart w:id="1" w:name="_Toc15377193"/>
      <w:bookmarkStart w:id="2" w:name="_Toc15396475"/>
      <w:bookmarkStart w:id="3" w:name="_Toc15396597"/>
      <w:bookmarkStart w:id="4" w:name="_Toc15378441"/>
      <w:bookmarkStart w:id="5" w:name="_Toc1530626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14374"/>
      <w:bookmarkStart w:id="7" w:name="_Toc5744"/>
      <w:r>
        <w:rPr>
          <w:rFonts w:hint="eastAsia" w:ascii="方正小标宋简体" w:eastAsia="方正小标宋简体" w:cs="方正小标宋简体"/>
          <w:sz w:val="72"/>
          <w:szCs w:val="72"/>
        </w:rPr>
        <w:t>2022年度</w:t>
      </w:r>
      <w:bookmarkEnd w:id="0"/>
      <w:bookmarkEnd w:id="1"/>
      <w:bookmarkEnd w:id="2"/>
      <w:bookmarkEnd w:id="3"/>
      <w:bookmarkEnd w:id="4"/>
      <w:bookmarkEnd w:id="6"/>
      <w:bookmarkEnd w:id="7"/>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8" w:name="_Toc15377194"/>
      <w:bookmarkStart w:id="9" w:name="_Toc15396598"/>
      <w:bookmarkStart w:id="10" w:name="_Toc15377426"/>
      <w:bookmarkStart w:id="11" w:name="_Toc15396476"/>
      <w:bookmarkStart w:id="12" w:name="_Toc15378442"/>
      <w:r>
        <w:rPr>
          <w:rFonts w:hint="eastAsia" w:ascii="方正小标宋简体" w:eastAsia="方正小标宋简体" w:cs="方正小标宋简体"/>
          <w:sz w:val="72"/>
          <w:szCs w:val="72"/>
          <w:lang w:val="en-US" w:eastAsia="zh-CN"/>
        </w:rPr>
        <w:t xml:space="preserve"> </w:t>
      </w:r>
      <w:bookmarkStart w:id="13" w:name="_Toc23126"/>
      <w:bookmarkStart w:id="14" w:name="_Toc2705"/>
      <w:bookmarkStart w:id="15" w:name="_Toc28478"/>
      <w:r>
        <w:rPr>
          <w:rFonts w:ascii="方正小标宋简体" w:eastAsia="方正小标宋简体" w:cs="方正小标宋简体"/>
          <w:sz w:val="72"/>
          <w:szCs w:val="72"/>
        </w:rPr>
        <w:t>阿坝州</w:t>
      </w:r>
      <w:bookmarkEnd w:id="5"/>
      <w:bookmarkStart w:id="16" w:name="_Toc15306268"/>
      <w:r>
        <w:rPr>
          <w:rFonts w:hint="eastAsia" w:ascii="方正小标宋简体" w:eastAsia="方正小标宋简体" w:cs="方正小标宋简体"/>
          <w:sz w:val="72"/>
          <w:szCs w:val="72"/>
          <w:lang w:val="en-US" w:eastAsia="zh-CN"/>
        </w:rPr>
        <w:t>红原县政协办公室</w:t>
      </w:r>
      <w:r>
        <w:rPr>
          <w:rFonts w:hint="eastAsia" w:ascii="方正小标宋简体" w:eastAsia="方正小标宋简体" w:cs="方正小标宋简体"/>
          <w:sz w:val="72"/>
          <w:szCs w:val="72"/>
        </w:rPr>
        <w:t>部门决算</w:t>
      </w:r>
      <w:bookmarkEnd w:id="8"/>
      <w:bookmarkEnd w:id="9"/>
      <w:bookmarkEnd w:id="10"/>
      <w:bookmarkEnd w:id="11"/>
      <w:bookmarkEnd w:id="12"/>
      <w:bookmarkEnd w:id="13"/>
      <w:bookmarkEnd w:id="14"/>
      <w:bookmarkEnd w:id="15"/>
      <w:bookmarkEnd w:id="16"/>
      <w:r>
        <w:rPr>
          <w:rFonts w:hint="eastAsia" w:ascii="方正小标宋简体" w:eastAsia="方正小标宋简体" w:cs="方正小标宋简体"/>
          <w:sz w:val="72"/>
          <w:szCs w:val="72"/>
          <w:lang w:val="en-US" w:eastAsia="zh-CN"/>
        </w:rPr>
        <w:t>公开</w:t>
      </w:r>
      <w:bookmarkStart w:id="104" w:name="_GoBack"/>
      <w:bookmarkEnd w:id="104"/>
    </w:p>
    <w:p>
      <w:pPr>
        <w:widowControl/>
        <w:jc w:val="center"/>
        <w:rPr>
          <w:rFonts w:ascii="方正小标宋简体" w:eastAsia="方正小标宋简体"/>
          <w:sz w:val="36"/>
          <w:szCs w:val="36"/>
        </w:rPr>
      </w:pPr>
    </w:p>
    <w:p>
      <w:pPr>
        <w:bidi w:val="0"/>
        <w:rPr>
          <w:rFonts w:ascii="方正小标宋简体" w:eastAsia="方正小标宋简体"/>
          <w:sz w:val="36"/>
          <w:szCs w:val="36"/>
        </w:rPr>
      </w:pPr>
    </w:p>
    <w:p>
      <w:pPr>
        <w:bidi w:val="0"/>
        <w:rPr>
          <w:rFonts w:ascii="方正小标宋简体" w:eastAsia="方正小标宋简体"/>
          <w:sz w:val="36"/>
          <w:szCs w:val="36"/>
        </w:rPr>
      </w:pPr>
    </w:p>
    <w:p>
      <w:pPr>
        <w:bidi w:val="0"/>
        <w:rPr>
          <w:rFonts w:ascii="方正小标宋简体" w:eastAsia="方正小标宋简体"/>
          <w:sz w:val="36"/>
          <w:szCs w:val="36"/>
        </w:rPr>
      </w:pPr>
    </w:p>
    <w:p>
      <w:pPr>
        <w:bidi w:val="0"/>
        <w:rPr>
          <w:rFonts w:ascii="方正小标宋简体" w:eastAsia="方正小标宋简体"/>
          <w:sz w:val="36"/>
          <w:szCs w:val="36"/>
        </w:rPr>
      </w:pPr>
    </w:p>
    <w:p>
      <w:pPr>
        <w:bidi w:val="0"/>
        <w:rPr>
          <w:rFonts w:ascii="方正小标宋简体" w:eastAsia="方正小标宋简体"/>
          <w:sz w:val="36"/>
          <w:szCs w:val="36"/>
        </w:rPr>
      </w:pPr>
    </w:p>
    <w:p>
      <w:pPr>
        <w:bidi w:val="0"/>
        <w:rPr>
          <w:rFonts w:ascii="方正小标宋简体" w:eastAsia="方正小标宋简体"/>
          <w:sz w:val="36"/>
          <w:szCs w:val="36"/>
        </w:rPr>
      </w:pPr>
    </w:p>
    <w:p>
      <w:pPr>
        <w:bidi w:val="0"/>
        <w:rPr>
          <w:rFonts w:ascii="方正小标宋简体" w:eastAsia="方正小标宋简体"/>
          <w:sz w:val="36"/>
          <w:szCs w:val="36"/>
        </w:rPr>
      </w:pPr>
    </w:p>
    <w:p>
      <w:pPr>
        <w:bidi w:val="0"/>
        <w:jc w:val="left"/>
        <w:rPr>
          <w:rFonts w:ascii="黑体" w:eastAsia="黑体"/>
          <w:sz w:val="48"/>
          <w:szCs w:val="48"/>
        </w:rPr>
      </w:pPr>
      <w:r>
        <w:rPr>
          <w:rFonts w:ascii="方正小标宋简体" w:eastAsia="方正小标宋简体"/>
          <w:sz w:val="36"/>
          <w:szCs w:val="36"/>
        </w:rPr>
        <w:br w:type="page"/>
      </w:r>
      <w:r>
        <w:rPr>
          <w:rFonts w:hint="eastAsia" w:ascii="方正小标宋简体" w:eastAsia="方正小标宋简体"/>
          <w:sz w:val="36"/>
          <w:szCs w:val="36"/>
          <w:lang w:val="en-US" w:eastAsia="zh-CN"/>
        </w:rPr>
        <w:t xml:space="preserve">                   </w:t>
      </w:r>
      <w:r>
        <w:rPr>
          <w:rFonts w:hint="eastAsia" w:ascii="黑体" w:eastAsia="黑体"/>
          <w:sz w:val="48"/>
          <w:szCs w:val="48"/>
        </w:rPr>
        <w:t>目</w:t>
      </w:r>
      <w:r>
        <w:rPr>
          <w:rFonts w:hint="eastAsia" w:ascii="黑体" w:eastAsia="黑体"/>
          <w:sz w:val="48"/>
          <w:szCs w:val="48"/>
          <w:lang w:val="en-US" w:eastAsia="zh-CN"/>
        </w:rPr>
        <w:t xml:space="preserve">  </w:t>
      </w:r>
      <w:r>
        <w:rPr>
          <w:rFonts w:hint="eastAsia" w:ascii="黑体" w:eastAsia="黑体"/>
          <w:sz w:val="48"/>
          <w:szCs w:val="48"/>
        </w:rPr>
        <w:t>录</w:t>
      </w:r>
    </w:p>
    <w:p>
      <w:pPr>
        <w:widowControl/>
        <w:jc w:val="center"/>
        <w:rPr>
          <w:rFonts w:ascii="黑体" w:eastAsia="黑体" w:cs="Arial"/>
          <w:sz w:val="28"/>
          <w:szCs w:val="28"/>
        </w:rPr>
      </w:pPr>
    </w:p>
    <w:p>
      <w:pPr>
        <w:pStyle w:val="12"/>
        <w:outlineLvl w:val="0"/>
        <w:rPr>
          <w:sz w:val="32"/>
          <w:szCs w:val="32"/>
        </w:rPr>
      </w:pPr>
      <w:bookmarkStart w:id="17" w:name="_Toc2356"/>
      <w:bookmarkStart w:id="18" w:name="_Toc11464"/>
      <w:bookmarkStart w:id="19" w:name="_Toc10947"/>
      <w:r>
        <w:rPr>
          <w:rFonts w:hint="eastAsia"/>
          <w:sz w:val="32"/>
          <w:szCs w:val="32"/>
        </w:rPr>
        <w:t>公开时间：2023年</w:t>
      </w:r>
      <w:r>
        <w:rPr>
          <w:rFonts w:hint="eastAsia"/>
          <w:sz w:val="32"/>
          <w:szCs w:val="32"/>
          <w:lang w:val="en-US" w:eastAsia="zh-CN"/>
        </w:rPr>
        <w:t>10</w:t>
      </w:r>
      <w:r>
        <w:rPr>
          <w:rFonts w:hint="eastAsia"/>
          <w:sz w:val="32"/>
          <w:szCs w:val="32"/>
        </w:rPr>
        <w:t>月25日</w:t>
      </w:r>
      <w:bookmarkEnd w:id="17"/>
      <w:bookmarkEnd w:id="18"/>
      <w:bookmarkEnd w:id="19"/>
    </w:p>
    <w:sdt>
      <w:sdtPr>
        <w:rPr>
          <w:rFonts w:ascii="宋体" w:hAnsi="宋体" w:eastAsia="宋体" w:cs="Times New Roman"/>
          <w:kern w:val="2"/>
          <w:sz w:val="21"/>
          <w:szCs w:val="24"/>
          <w:lang w:val="en-US" w:eastAsia="zh-CN" w:bidi="ar-SA"/>
        </w:rPr>
        <w:id w:val="147455235"/>
        <w15:color w:val="DBDBDB"/>
        <w:docPartObj>
          <w:docPartGallery w:val="Table of Contents"/>
          <w:docPartUnique/>
        </w:docPartObj>
      </w:sdtPr>
      <w:sdtEndPr>
        <w:rPr>
          <w:b/>
        </w:rPr>
      </w:sdtEndPr>
      <w:sdtContent>
        <w:p>
          <w:pPr>
            <w:spacing w:before="0" w:beforeLines="0" w:after="0" w:afterLines="0" w:line="240" w:lineRule="auto"/>
            <w:ind w:left="0" w:leftChars="0" w:right="0" w:rightChars="0" w:firstLine="0" w:firstLineChars="0"/>
            <w:jc w:val="center"/>
          </w:pPr>
        </w:p>
        <w:p>
          <w:pPr>
            <w:pStyle w:val="31"/>
            <w:tabs>
              <w:tab w:val="right" w:leader="dot" w:pos="8306"/>
            </w:tabs>
            <w:rPr>
              <w:b/>
            </w:rPr>
          </w:pPr>
          <w:r>
            <w:fldChar w:fldCharType="begin"/>
          </w:r>
          <w:r>
            <w:instrText xml:space="preserve">TOC \o "1-2" \h \u </w:instrText>
          </w:r>
          <w:r>
            <w:fldChar w:fldCharType="separate"/>
          </w:r>
        </w:p>
        <w:p>
          <w:pPr>
            <w:pStyle w:val="31"/>
            <w:tabs>
              <w:tab w:val="right" w:leader="dot" w:pos="8306"/>
            </w:tabs>
            <w:rPr>
              <w:b/>
            </w:rPr>
          </w:pPr>
          <w:r>
            <w:rPr>
              <w:b/>
            </w:rPr>
            <w:fldChar w:fldCharType="begin"/>
          </w:r>
          <w:r>
            <w:rPr>
              <w:b/>
            </w:rPr>
            <w:instrText xml:space="preserve"> HYPERLINK \l _Toc19482 </w:instrText>
          </w:r>
          <w:r>
            <w:rPr>
              <w:b/>
            </w:rPr>
            <w:fldChar w:fldCharType="separate"/>
          </w:r>
          <w:r>
            <w:rPr>
              <w:rFonts w:hint="eastAsia" w:ascii="黑体" w:eastAsia="黑体"/>
              <w:b/>
            </w:rPr>
            <w:t xml:space="preserve">第一部分 </w:t>
          </w:r>
          <w:r>
            <w:rPr>
              <w:rFonts w:hint="eastAsia" w:ascii="黑体" w:eastAsia="黑体"/>
              <w:b/>
              <w:bCs w:val="0"/>
            </w:rPr>
            <w:t>部门概况</w:t>
          </w:r>
          <w:r>
            <w:rPr>
              <w:b/>
            </w:rPr>
            <w:tab/>
          </w:r>
          <w:r>
            <w:rPr>
              <w:b/>
            </w:rPr>
            <w:fldChar w:fldCharType="begin"/>
          </w:r>
          <w:r>
            <w:rPr>
              <w:b/>
            </w:rPr>
            <w:instrText xml:space="preserve"> PAGEREF _Toc19482 \h </w:instrText>
          </w:r>
          <w:r>
            <w:rPr>
              <w:b/>
            </w:rPr>
            <w:fldChar w:fldCharType="separate"/>
          </w:r>
          <w:r>
            <w:rPr>
              <w:b/>
            </w:rPr>
            <w:t>3</w:t>
          </w:r>
          <w:r>
            <w:rPr>
              <w:b/>
            </w:rPr>
            <w:fldChar w:fldCharType="end"/>
          </w:r>
          <w:r>
            <w:rPr>
              <w:b/>
            </w:rPr>
            <w:fldChar w:fldCharType="end"/>
          </w:r>
        </w:p>
        <w:p>
          <w:pPr>
            <w:pStyle w:val="32"/>
            <w:tabs>
              <w:tab w:val="right" w:leader="dot" w:pos="8306"/>
            </w:tabs>
          </w:pPr>
          <w:r>
            <w:fldChar w:fldCharType="begin"/>
          </w:r>
          <w:r>
            <w:instrText xml:space="preserve"> HYPERLINK \l _Toc15185 </w:instrText>
          </w:r>
          <w:r>
            <w:fldChar w:fldCharType="separate"/>
          </w:r>
          <w:r>
            <w:rPr>
              <w:rFonts w:hint="eastAsia" w:ascii="黑体" w:eastAsia="黑体"/>
              <w:lang w:val="en-US" w:eastAsia="zh-CN"/>
            </w:rPr>
            <w:t>一、</w:t>
          </w:r>
          <w:r>
            <w:rPr>
              <w:rFonts w:hint="eastAsia" w:ascii="黑体" w:eastAsia="黑体"/>
            </w:rPr>
            <w:t>部门职责</w:t>
          </w:r>
          <w:r>
            <w:tab/>
          </w:r>
          <w:r>
            <w:fldChar w:fldCharType="begin"/>
          </w:r>
          <w:r>
            <w:instrText xml:space="preserve"> PAGEREF _Toc15185 \h </w:instrText>
          </w:r>
          <w:r>
            <w:fldChar w:fldCharType="separate"/>
          </w:r>
          <w:r>
            <w:t>3</w:t>
          </w:r>
          <w:r>
            <w:fldChar w:fldCharType="end"/>
          </w:r>
          <w:r>
            <w:fldChar w:fldCharType="end"/>
          </w:r>
        </w:p>
        <w:p>
          <w:pPr>
            <w:pStyle w:val="32"/>
            <w:tabs>
              <w:tab w:val="right" w:leader="dot" w:pos="8306"/>
            </w:tabs>
          </w:pPr>
          <w:r>
            <w:fldChar w:fldCharType="begin"/>
          </w:r>
          <w:r>
            <w:instrText xml:space="preserve"> HYPERLINK \l _Toc18218 </w:instrText>
          </w:r>
          <w:r>
            <w:fldChar w:fldCharType="separate"/>
          </w:r>
          <w:r>
            <w:rPr>
              <w:rFonts w:hint="eastAsia" w:ascii="黑体" w:eastAsia="黑体"/>
            </w:rPr>
            <w:t>二、机</w:t>
          </w:r>
          <w:r>
            <w:rPr>
              <w:rFonts w:hint="eastAsia" w:ascii="黑体" w:eastAsia="黑体"/>
              <w:bCs w:val="0"/>
            </w:rPr>
            <w:t>构设置</w:t>
          </w:r>
          <w:r>
            <w:tab/>
          </w:r>
          <w:r>
            <w:fldChar w:fldCharType="begin"/>
          </w:r>
          <w:r>
            <w:instrText xml:space="preserve"> PAGEREF _Toc18218 \h </w:instrText>
          </w:r>
          <w:r>
            <w:fldChar w:fldCharType="separate"/>
          </w:r>
          <w:r>
            <w:t>3</w:t>
          </w:r>
          <w:r>
            <w:fldChar w:fldCharType="end"/>
          </w:r>
          <w:r>
            <w:fldChar w:fldCharType="end"/>
          </w:r>
        </w:p>
        <w:p>
          <w:pPr>
            <w:pStyle w:val="31"/>
            <w:tabs>
              <w:tab w:val="right" w:leader="dot" w:pos="8306"/>
            </w:tabs>
            <w:rPr>
              <w:b/>
            </w:rPr>
          </w:pPr>
          <w:r>
            <w:rPr>
              <w:b/>
            </w:rPr>
            <w:fldChar w:fldCharType="begin"/>
          </w:r>
          <w:r>
            <w:rPr>
              <w:b/>
            </w:rPr>
            <w:instrText xml:space="preserve"> HYPERLINK \l _Toc23954 </w:instrText>
          </w:r>
          <w:r>
            <w:rPr>
              <w:b/>
            </w:rPr>
            <w:fldChar w:fldCharType="separate"/>
          </w:r>
          <w:r>
            <w:rPr>
              <w:rFonts w:hint="eastAsia" w:ascii="黑体" w:eastAsia="黑体"/>
              <w:b/>
            </w:rPr>
            <w:t>第二部分 2022年度</w:t>
          </w:r>
          <w:r>
            <w:rPr>
              <w:rFonts w:hint="eastAsia" w:ascii="黑体" w:eastAsia="黑体"/>
              <w:b/>
              <w:bCs/>
            </w:rPr>
            <w:t>部门决算情况说明</w:t>
          </w:r>
          <w:r>
            <w:rPr>
              <w:b/>
            </w:rPr>
            <w:tab/>
          </w:r>
          <w:r>
            <w:rPr>
              <w:b/>
            </w:rPr>
            <w:fldChar w:fldCharType="begin"/>
          </w:r>
          <w:r>
            <w:rPr>
              <w:b/>
            </w:rPr>
            <w:instrText xml:space="preserve"> PAGEREF _Toc23954 \h </w:instrText>
          </w:r>
          <w:r>
            <w:rPr>
              <w:b/>
            </w:rPr>
            <w:fldChar w:fldCharType="separate"/>
          </w:r>
          <w:r>
            <w:rPr>
              <w:b/>
            </w:rPr>
            <w:t>4</w:t>
          </w:r>
          <w:r>
            <w:rPr>
              <w:b/>
            </w:rPr>
            <w:fldChar w:fldCharType="end"/>
          </w:r>
          <w:r>
            <w:rPr>
              <w:b/>
            </w:rPr>
            <w:fldChar w:fldCharType="end"/>
          </w:r>
        </w:p>
        <w:p>
          <w:pPr>
            <w:pStyle w:val="32"/>
            <w:tabs>
              <w:tab w:val="right" w:leader="dot" w:pos="8306"/>
            </w:tabs>
          </w:pPr>
          <w:r>
            <w:fldChar w:fldCharType="begin"/>
          </w:r>
          <w:r>
            <w:instrText xml:space="preserve"> HYPERLINK \l _Toc22832 </w:instrText>
          </w:r>
          <w:r>
            <w:fldChar w:fldCharType="separate"/>
          </w:r>
          <w:r>
            <w:rPr>
              <w:rFonts w:hint="default"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_Toc22832 \h </w:instrText>
          </w:r>
          <w:r>
            <w:fldChar w:fldCharType="separate"/>
          </w:r>
          <w:r>
            <w:t>4</w:t>
          </w:r>
          <w:r>
            <w:fldChar w:fldCharType="end"/>
          </w:r>
          <w:r>
            <w:fldChar w:fldCharType="end"/>
          </w:r>
        </w:p>
        <w:p>
          <w:pPr>
            <w:pStyle w:val="32"/>
            <w:tabs>
              <w:tab w:val="right" w:leader="dot" w:pos="8306"/>
            </w:tabs>
          </w:pPr>
          <w:r>
            <w:fldChar w:fldCharType="begin"/>
          </w:r>
          <w:r>
            <w:instrText xml:space="preserve"> HYPERLINK \l _Toc9157 </w:instrText>
          </w:r>
          <w:r>
            <w:fldChar w:fldCharType="separate"/>
          </w:r>
          <w:r>
            <w:rPr>
              <w:rFonts w:hint="default" w:ascii="黑体" w:eastAsia="黑体"/>
            </w:rPr>
            <w:t xml:space="preserve">二、 </w:t>
          </w:r>
          <w:r>
            <w:rPr>
              <w:rFonts w:hint="eastAsia" w:ascii="黑体" w:eastAsia="黑体"/>
              <w:szCs w:val="32"/>
            </w:rPr>
            <w:t>收</w:t>
          </w:r>
          <w:r>
            <w:rPr>
              <w:rFonts w:hint="eastAsia" w:ascii="黑体" w:eastAsia="黑体"/>
            </w:rPr>
            <w:t>入决算情况说明</w:t>
          </w:r>
          <w:r>
            <w:tab/>
          </w:r>
          <w:r>
            <w:fldChar w:fldCharType="begin"/>
          </w:r>
          <w:r>
            <w:instrText xml:space="preserve"> PAGEREF _Toc9157 \h </w:instrText>
          </w:r>
          <w:r>
            <w:fldChar w:fldCharType="separate"/>
          </w:r>
          <w:r>
            <w:t>5</w:t>
          </w:r>
          <w:r>
            <w:fldChar w:fldCharType="end"/>
          </w:r>
          <w:r>
            <w:fldChar w:fldCharType="end"/>
          </w:r>
        </w:p>
        <w:p>
          <w:pPr>
            <w:pStyle w:val="32"/>
            <w:tabs>
              <w:tab w:val="right" w:leader="dot" w:pos="8306"/>
            </w:tabs>
          </w:pPr>
          <w:r>
            <w:fldChar w:fldCharType="begin"/>
          </w:r>
          <w:r>
            <w:instrText xml:space="preserve"> HYPERLINK \l _Toc24043 </w:instrText>
          </w:r>
          <w:r>
            <w:fldChar w:fldCharType="separate"/>
          </w:r>
          <w:r>
            <w:rPr>
              <w:rFonts w:ascii="仿宋" w:eastAsia="仿宋"/>
              <w:szCs w:val="32"/>
            </w:rPr>
            <w:t>20</w:t>
          </w:r>
          <w:r>
            <w:rPr>
              <w:rFonts w:hint="eastAsia" w:ascii="仿宋" w:eastAsia="仿宋"/>
              <w:szCs w:val="32"/>
            </w:rPr>
            <w:t>22年本年收入合计</w:t>
          </w:r>
          <w:r>
            <w:rPr>
              <w:rFonts w:hint="eastAsia" w:ascii="仿宋" w:eastAsia="仿宋"/>
              <w:szCs w:val="32"/>
              <w:lang w:val="en-US" w:eastAsia="zh-CN"/>
            </w:rPr>
            <w:t>779.35</w:t>
          </w:r>
          <w:r>
            <w:rPr>
              <w:rFonts w:hint="eastAsia" w:ascii="仿宋" w:eastAsia="仿宋"/>
              <w:szCs w:val="32"/>
            </w:rPr>
            <w:t>万元，其中：一般公共预算财政拨款收入</w:t>
          </w:r>
          <w:r>
            <w:rPr>
              <w:rFonts w:hint="eastAsia" w:ascii="仿宋" w:eastAsia="仿宋"/>
              <w:szCs w:val="32"/>
              <w:lang w:val="en-US" w:eastAsia="zh-CN"/>
            </w:rPr>
            <w:t>763.44</w:t>
          </w:r>
          <w:r>
            <w:rPr>
              <w:rFonts w:hint="eastAsia" w:ascii="仿宋" w:eastAsia="仿宋"/>
              <w:szCs w:val="32"/>
            </w:rPr>
            <w:t>万元，占</w:t>
          </w:r>
          <w:r>
            <w:rPr>
              <w:rFonts w:hint="eastAsia" w:ascii="仿宋" w:eastAsia="仿宋"/>
              <w:szCs w:val="32"/>
              <w:lang w:val="en-US" w:eastAsia="zh-CN"/>
            </w:rPr>
            <w:t>97.96</w:t>
          </w:r>
          <w:r>
            <w:rPr>
              <w:rFonts w:ascii="仿宋" w:eastAsia="仿宋"/>
              <w:szCs w:val="32"/>
            </w:rPr>
            <w:t>%</w:t>
          </w:r>
          <w:r>
            <w:rPr>
              <w:rFonts w:hint="eastAsia" w:ascii="仿宋" w:eastAsia="仿宋"/>
              <w:szCs w:val="32"/>
            </w:rPr>
            <w:t>；其他收入</w:t>
          </w:r>
          <w:r>
            <w:rPr>
              <w:rFonts w:hint="eastAsia" w:ascii="仿宋" w:eastAsia="仿宋"/>
              <w:szCs w:val="32"/>
              <w:lang w:val="en-US" w:eastAsia="zh-CN"/>
            </w:rPr>
            <w:t>15.90</w:t>
          </w:r>
          <w:r>
            <w:rPr>
              <w:rFonts w:hint="eastAsia" w:ascii="仿宋" w:eastAsia="仿宋"/>
              <w:szCs w:val="32"/>
            </w:rPr>
            <w:t>万元，占</w:t>
          </w:r>
          <w:r>
            <w:rPr>
              <w:rFonts w:hint="eastAsia" w:ascii="仿宋" w:eastAsia="仿宋"/>
              <w:szCs w:val="32"/>
              <w:lang w:val="en-US" w:eastAsia="zh-CN"/>
            </w:rPr>
            <w:t>2.04</w:t>
          </w:r>
          <w:r>
            <w:rPr>
              <w:rFonts w:ascii="仿宋" w:eastAsia="仿宋"/>
              <w:szCs w:val="32"/>
            </w:rPr>
            <w:t>%</w:t>
          </w:r>
          <w:r>
            <w:rPr>
              <w:rFonts w:hint="eastAsia" w:ascii="仿宋" w:eastAsia="仿宋"/>
              <w:szCs w:val="32"/>
            </w:rPr>
            <w:t>。</w:t>
          </w:r>
          <w:r>
            <w:tab/>
          </w:r>
          <w:r>
            <w:fldChar w:fldCharType="begin"/>
          </w:r>
          <w:r>
            <w:instrText xml:space="preserve"> PAGEREF _Toc24043 \h </w:instrText>
          </w:r>
          <w:r>
            <w:fldChar w:fldCharType="separate"/>
          </w:r>
          <w:r>
            <w:t>5</w:t>
          </w:r>
          <w:r>
            <w:fldChar w:fldCharType="end"/>
          </w:r>
          <w:r>
            <w:fldChar w:fldCharType="end"/>
          </w:r>
        </w:p>
        <w:p>
          <w:pPr>
            <w:pStyle w:val="32"/>
            <w:tabs>
              <w:tab w:val="right" w:leader="dot" w:pos="8306"/>
            </w:tabs>
          </w:pPr>
          <w:r>
            <w:fldChar w:fldCharType="begin"/>
          </w:r>
          <w:r>
            <w:instrText xml:space="preserve"> HYPERLINK \l _Toc11070 </w:instrText>
          </w:r>
          <w:r>
            <w:fldChar w:fldCharType="separate"/>
          </w:r>
          <w:r>
            <w:rPr>
              <w:rFonts w:hint="default" w:ascii="黑体" w:eastAsia="黑体"/>
            </w:rPr>
            <w:t xml:space="preserve">三、 </w:t>
          </w:r>
          <w:r>
            <w:rPr>
              <w:rFonts w:hint="eastAsia" w:ascii="黑体" w:eastAsia="黑体"/>
              <w:szCs w:val="32"/>
            </w:rPr>
            <w:t>支</w:t>
          </w:r>
          <w:r>
            <w:rPr>
              <w:rFonts w:hint="eastAsia" w:ascii="黑体" w:eastAsia="黑体"/>
            </w:rPr>
            <w:t>出决算情况说明</w:t>
          </w:r>
          <w:r>
            <w:tab/>
          </w:r>
          <w:r>
            <w:fldChar w:fldCharType="begin"/>
          </w:r>
          <w:r>
            <w:instrText xml:space="preserve"> PAGEREF _Toc11070 \h </w:instrText>
          </w:r>
          <w:r>
            <w:fldChar w:fldCharType="separate"/>
          </w:r>
          <w:r>
            <w:t>6</w:t>
          </w:r>
          <w:r>
            <w:fldChar w:fldCharType="end"/>
          </w:r>
          <w:r>
            <w:fldChar w:fldCharType="end"/>
          </w:r>
        </w:p>
        <w:p>
          <w:pPr>
            <w:pStyle w:val="32"/>
            <w:tabs>
              <w:tab w:val="right" w:leader="dot" w:pos="8306"/>
            </w:tabs>
          </w:pPr>
          <w:r>
            <w:fldChar w:fldCharType="begin"/>
          </w:r>
          <w:r>
            <w:instrText xml:space="preserve"> HYPERLINK \l _Toc13221 </w:instrText>
          </w:r>
          <w:r>
            <w:fldChar w:fldCharType="separate"/>
          </w:r>
          <w:r>
            <w:rPr>
              <w:rFonts w:ascii="仿宋" w:eastAsia="仿宋"/>
              <w:szCs w:val="32"/>
            </w:rPr>
            <w:t>20</w:t>
          </w:r>
          <w:r>
            <w:rPr>
              <w:rFonts w:hint="eastAsia" w:ascii="仿宋" w:eastAsia="仿宋"/>
              <w:szCs w:val="32"/>
            </w:rPr>
            <w:t>22年本年支出合计</w:t>
          </w:r>
          <w:r>
            <w:rPr>
              <w:rFonts w:hint="eastAsia" w:ascii="仿宋" w:eastAsia="仿宋"/>
              <w:szCs w:val="32"/>
              <w:lang w:val="en-US" w:eastAsia="zh-CN"/>
            </w:rPr>
            <w:t>779.35</w:t>
          </w:r>
          <w:r>
            <w:rPr>
              <w:rFonts w:hint="eastAsia" w:ascii="仿宋" w:eastAsia="仿宋"/>
              <w:szCs w:val="32"/>
            </w:rPr>
            <w:t>万元，其中：基本支出</w:t>
          </w:r>
          <w:r>
            <w:rPr>
              <w:rFonts w:hint="eastAsia" w:ascii="仿宋" w:eastAsia="仿宋"/>
              <w:szCs w:val="32"/>
              <w:lang w:val="en-US" w:eastAsia="zh-CN"/>
            </w:rPr>
            <w:t>637.25</w:t>
          </w:r>
          <w:r>
            <w:rPr>
              <w:rFonts w:hint="eastAsia" w:ascii="仿宋" w:eastAsia="仿宋"/>
              <w:szCs w:val="32"/>
            </w:rPr>
            <w:t>万元，占</w:t>
          </w:r>
          <w:r>
            <w:rPr>
              <w:rFonts w:hint="eastAsia" w:ascii="仿宋" w:eastAsia="仿宋"/>
              <w:szCs w:val="32"/>
              <w:lang w:val="en-US" w:eastAsia="zh-CN"/>
            </w:rPr>
            <w:t>81.77</w:t>
          </w:r>
          <w:r>
            <w:rPr>
              <w:rFonts w:ascii="仿宋" w:eastAsia="仿宋"/>
              <w:szCs w:val="32"/>
            </w:rPr>
            <w:t>%</w:t>
          </w:r>
          <w:r>
            <w:rPr>
              <w:rFonts w:hint="eastAsia" w:ascii="仿宋" w:eastAsia="仿宋"/>
              <w:szCs w:val="32"/>
            </w:rPr>
            <w:t>；项目支出</w:t>
          </w:r>
          <w:r>
            <w:rPr>
              <w:rFonts w:hint="eastAsia" w:ascii="仿宋" w:eastAsia="仿宋"/>
              <w:szCs w:val="32"/>
              <w:lang w:val="en-US" w:eastAsia="zh-CN"/>
            </w:rPr>
            <w:t>142.09</w:t>
          </w:r>
          <w:r>
            <w:rPr>
              <w:rFonts w:hint="eastAsia" w:ascii="仿宋" w:eastAsia="仿宋"/>
              <w:szCs w:val="32"/>
            </w:rPr>
            <w:t>万元，占</w:t>
          </w:r>
          <w:r>
            <w:rPr>
              <w:rFonts w:hint="eastAsia" w:ascii="仿宋" w:eastAsia="仿宋"/>
              <w:szCs w:val="32"/>
              <w:lang w:val="en-US" w:eastAsia="zh-CN"/>
            </w:rPr>
            <w:t>18.23</w:t>
          </w:r>
          <w:r>
            <w:rPr>
              <w:rFonts w:ascii="仿宋" w:eastAsia="仿宋"/>
              <w:szCs w:val="32"/>
            </w:rPr>
            <w:t>%</w:t>
          </w:r>
          <w:r>
            <w:rPr>
              <w:rFonts w:hint="eastAsia" w:ascii="仿宋" w:eastAsia="仿宋"/>
              <w:szCs w:val="32"/>
              <w:lang w:eastAsia="zh-CN"/>
            </w:rPr>
            <w:t>。</w:t>
          </w:r>
          <w:r>
            <w:tab/>
          </w:r>
          <w:r>
            <w:fldChar w:fldCharType="begin"/>
          </w:r>
          <w:r>
            <w:instrText xml:space="preserve"> PAGEREF _Toc13221 \h </w:instrText>
          </w:r>
          <w:r>
            <w:fldChar w:fldCharType="separate"/>
          </w:r>
          <w:r>
            <w:t>6</w:t>
          </w:r>
          <w:r>
            <w:fldChar w:fldCharType="end"/>
          </w:r>
          <w:r>
            <w:fldChar w:fldCharType="end"/>
          </w:r>
        </w:p>
        <w:p>
          <w:pPr>
            <w:pStyle w:val="32"/>
            <w:tabs>
              <w:tab w:val="right" w:leader="dot" w:pos="8306"/>
            </w:tabs>
          </w:pPr>
          <w:r>
            <w:fldChar w:fldCharType="begin"/>
          </w:r>
          <w:r>
            <w:instrText xml:space="preserve"> HYPERLINK \l _Toc24127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_Toc24127 \h </w:instrText>
          </w:r>
          <w:r>
            <w:fldChar w:fldCharType="separate"/>
          </w:r>
          <w:r>
            <w:t>6</w:t>
          </w:r>
          <w:r>
            <w:fldChar w:fldCharType="end"/>
          </w:r>
          <w:r>
            <w:fldChar w:fldCharType="end"/>
          </w:r>
        </w:p>
        <w:p>
          <w:pPr>
            <w:pStyle w:val="32"/>
            <w:tabs>
              <w:tab w:val="right" w:leader="dot" w:pos="8306"/>
            </w:tabs>
            <w:rPr>
              <w:rFonts w:hint="eastAsia" w:ascii="黑体" w:eastAsia="宋体"/>
              <w:lang w:val="en-US" w:eastAsia="zh-CN"/>
            </w:rPr>
          </w:pPr>
          <w:r>
            <w:rPr>
              <w:rFonts w:hint="eastAsia" w:ascii="黑体" w:eastAsia="黑体"/>
              <w:szCs w:val="32"/>
              <w:lang w:val="en-US" w:eastAsia="zh-CN"/>
            </w:rPr>
            <w:t>五</w:t>
          </w:r>
          <w:r>
            <w:rPr>
              <w:rFonts w:hint="eastAsia" w:ascii="黑体" w:eastAsia="黑体"/>
              <w:szCs w:val="32"/>
            </w:rPr>
            <w:t>、一般公共预算财政拨款支出决算情况说明</w:t>
          </w:r>
          <w:r>
            <w:tab/>
          </w:r>
          <w:r>
            <w:rPr>
              <w:rFonts w:hint="eastAsia"/>
              <w:lang w:val="en-US" w:eastAsia="zh-CN"/>
            </w:rPr>
            <w:t>7</w:t>
          </w:r>
        </w:p>
        <w:p>
          <w:pPr>
            <w:pStyle w:val="32"/>
            <w:tabs>
              <w:tab w:val="right" w:leader="dot" w:pos="8306"/>
            </w:tabs>
          </w:pPr>
          <w:r>
            <w:fldChar w:fldCharType="begin"/>
          </w:r>
          <w:r>
            <w:instrText xml:space="preserve"> HYPERLINK \l _Toc3449 </w:instrText>
          </w:r>
          <w: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_Toc3449 \h </w:instrText>
          </w:r>
          <w:r>
            <w:fldChar w:fldCharType="separate"/>
          </w:r>
          <w:r>
            <w:t>10</w:t>
          </w:r>
          <w:r>
            <w:fldChar w:fldCharType="end"/>
          </w:r>
          <w:r>
            <w:fldChar w:fldCharType="end"/>
          </w:r>
        </w:p>
        <w:p>
          <w:pPr>
            <w:pStyle w:val="32"/>
            <w:tabs>
              <w:tab w:val="right" w:leader="dot" w:pos="8306"/>
            </w:tabs>
          </w:pPr>
          <w:r>
            <w:fldChar w:fldCharType="begin"/>
          </w:r>
          <w:r>
            <w:instrText xml:space="preserve"> HYPERLINK \l _Toc23281 </w:instrText>
          </w:r>
          <w:r>
            <w:fldChar w:fldCharType="separate"/>
          </w:r>
          <w:r>
            <w:rPr>
              <w:rFonts w:hint="eastAsia" w:ascii="黑体" w:eastAsia="黑体"/>
              <w:szCs w:val="32"/>
            </w:rPr>
            <w:t>七、</w:t>
          </w:r>
          <w:r>
            <w:rPr>
              <w:rFonts w:hint="eastAsia" w:ascii="黑体" w:eastAsia="黑体"/>
            </w:rPr>
            <w:t>财政拨款“三公”经费支出决算情况说明</w:t>
          </w:r>
          <w:r>
            <w:rPr>
              <w:rFonts w:hint="eastAsia" w:ascii="黑体" w:eastAsia="黑体"/>
              <w:lang w:val="en-US"/>
            </w:rPr>
            <w:t xml:space="preserve">       </w:t>
          </w:r>
          <w:r>
            <w:rPr>
              <w:rFonts w:hint="eastAsia" w:ascii="仿宋" w:eastAsia="仿宋"/>
              <w:szCs w:val="32"/>
            </w:rPr>
            <w:t>（一）“三公”经费财政拨款支出决算总体情况说明</w:t>
          </w:r>
          <w:r>
            <w:tab/>
          </w:r>
          <w:r>
            <w:fldChar w:fldCharType="begin"/>
          </w:r>
          <w:r>
            <w:instrText xml:space="preserve"> PAGEREF _Toc23281 \h </w:instrText>
          </w:r>
          <w:r>
            <w:fldChar w:fldCharType="separate"/>
          </w:r>
          <w:r>
            <w:t>11</w:t>
          </w:r>
          <w:r>
            <w:fldChar w:fldCharType="end"/>
          </w:r>
          <w:r>
            <w:fldChar w:fldCharType="end"/>
          </w:r>
        </w:p>
        <w:p>
          <w:pPr>
            <w:pStyle w:val="32"/>
            <w:tabs>
              <w:tab w:val="right" w:leader="dot" w:pos="8306"/>
            </w:tabs>
          </w:pPr>
          <w:r>
            <w:fldChar w:fldCharType="begin"/>
          </w:r>
          <w:r>
            <w:instrText xml:space="preserve"> HYPERLINK \l _Toc26273 </w:instrText>
          </w:r>
          <w: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_Toc26273 \h </w:instrText>
          </w:r>
          <w:r>
            <w:fldChar w:fldCharType="separate"/>
          </w:r>
          <w:r>
            <w:t>13</w:t>
          </w:r>
          <w:r>
            <w:fldChar w:fldCharType="end"/>
          </w:r>
          <w:r>
            <w:fldChar w:fldCharType="end"/>
          </w:r>
        </w:p>
        <w:p>
          <w:pPr>
            <w:pStyle w:val="32"/>
            <w:tabs>
              <w:tab w:val="right" w:leader="dot" w:pos="8306"/>
            </w:tabs>
          </w:pPr>
          <w:r>
            <w:fldChar w:fldCharType="begin"/>
          </w:r>
          <w:r>
            <w:instrText xml:space="preserve"> HYPERLINK \l _Toc18291 </w:instrText>
          </w:r>
          <w:r>
            <w:fldChar w:fldCharType="separate"/>
          </w:r>
          <w:r>
            <w:rPr>
              <w:rFonts w:hint="eastAsia" w:ascii="黑体" w:eastAsia="黑体"/>
              <w:lang w:val="en-US"/>
            </w:rPr>
            <w:t>九、</w:t>
          </w:r>
          <w:r>
            <w:rPr>
              <w:rFonts w:hint="eastAsia" w:ascii="黑体" w:eastAsia="黑体"/>
            </w:rPr>
            <w:t>国有资本经营预算支出决算情况说明</w:t>
          </w:r>
          <w:r>
            <w:tab/>
          </w:r>
          <w:r>
            <w:fldChar w:fldCharType="begin"/>
          </w:r>
          <w:r>
            <w:instrText xml:space="preserve"> PAGEREF _Toc18291 \h </w:instrText>
          </w:r>
          <w:r>
            <w:fldChar w:fldCharType="separate"/>
          </w:r>
          <w:r>
            <w:t>13</w:t>
          </w:r>
          <w:r>
            <w:fldChar w:fldCharType="end"/>
          </w:r>
          <w:r>
            <w:fldChar w:fldCharType="end"/>
          </w:r>
        </w:p>
        <w:p>
          <w:pPr>
            <w:pStyle w:val="32"/>
            <w:tabs>
              <w:tab w:val="right" w:leader="dot" w:pos="8306"/>
            </w:tabs>
          </w:pPr>
          <w:r>
            <w:fldChar w:fldCharType="begin"/>
          </w:r>
          <w:r>
            <w:instrText xml:space="preserve"> HYPERLINK \l _Toc14539 </w:instrText>
          </w:r>
          <w:r>
            <w:fldChar w:fldCharType="separate"/>
          </w:r>
          <w:r>
            <w:rPr>
              <w:rFonts w:hint="eastAsia" w:ascii="黑体" w:eastAsia="黑体"/>
              <w:lang w:val="en-US"/>
            </w:rPr>
            <w:t>十、</w:t>
          </w:r>
          <w:r>
            <w:rPr>
              <w:rFonts w:hint="eastAsia" w:ascii="黑体" w:eastAsia="黑体"/>
            </w:rPr>
            <w:t>其他重要事项的情况说明</w:t>
          </w:r>
          <w:r>
            <w:tab/>
          </w:r>
          <w:r>
            <w:fldChar w:fldCharType="begin"/>
          </w:r>
          <w:r>
            <w:instrText xml:space="preserve"> PAGEREF _Toc14539 \h </w:instrText>
          </w:r>
          <w:r>
            <w:fldChar w:fldCharType="separate"/>
          </w:r>
          <w:r>
            <w:t>13</w:t>
          </w:r>
          <w:r>
            <w:fldChar w:fldCharType="end"/>
          </w:r>
          <w:r>
            <w:fldChar w:fldCharType="end"/>
          </w:r>
        </w:p>
        <w:p>
          <w:pPr>
            <w:pStyle w:val="31"/>
            <w:tabs>
              <w:tab w:val="right" w:leader="dot" w:pos="8306"/>
            </w:tabs>
            <w:rPr>
              <w:b/>
            </w:rPr>
          </w:pPr>
          <w:r>
            <w:rPr>
              <w:b/>
            </w:rPr>
            <w:fldChar w:fldCharType="begin"/>
          </w:r>
          <w:r>
            <w:rPr>
              <w:b/>
            </w:rPr>
            <w:instrText xml:space="preserve"> HYPERLINK \l _Toc2827 </w:instrText>
          </w:r>
          <w:r>
            <w:rPr>
              <w:b/>
            </w:rPr>
            <w:fldChar w:fldCharType="separate"/>
          </w:r>
          <w:r>
            <w:rPr>
              <w:rFonts w:hint="eastAsia" w:ascii="黑体" w:eastAsia="黑体"/>
              <w:b/>
            </w:rPr>
            <w:t xml:space="preserve">第三部分 </w:t>
          </w:r>
          <w:r>
            <w:rPr>
              <w:rFonts w:hint="eastAsia" w:ascii="黑体" w:eastAsia="黑体"/>
              <w:b/>
              <w:szCs w:val="44"/>
            </w:rPr>
            <w:t>名</w:t>
          </w:r>
          <w:r>
            <w:rPr>
              <w:rFonts w:hint="eastAsia" w:ascii="黑体" w:eastAsia="黑体"/>
              <w:b/>
            </w:rPr>
            <w:t>词解释</w:t>
          </w:r>
          <w:r>
            <w:rPr>
              <w:b/>
            </w:rPr>
            <w:tab/>
          </w:r>
          <w:r>
            <w:rPr>
              <w:b/>
            </w:rPr>
            <w:fldChar w:fldCharType="begin"/>
          </w:r>
          <w:r>
            <w:rPr>
              <w:b/>
            </w:rPr>
            <w:instrText xml:space="preserve"> PAGEREF _Toc2827 \h </w:instrText>
          </w:r>
          <w:r>
            <w:rPr>
              <w:b/>
            </w:rPr>
            <w:fldChar w:fldCharType="separate"/>
          </w:r>
          <w:r>
            <w:rPr>
              <w:b/>
            </w:rPr>
            <w:t>16</w:t>
          </w:r>
          <w:r>
            <w:rPr>
              <w:b/>
            </w:rPr>
            <w:fldChar w:fldCharType="end"/>
          </w:r>
          <w:r>
            <w:rPr>
              <w:b/>
            </w:rPr>
            <w:fldChar w:fldCharType="end"/>
          </w:r>
        </w:p>
        <w:p>
          <w:pPr>
            <w:pStyle w:val="31"/>
            <w:tabs>
              <w:tab w:val="right" w:leader="dot" w:pos="8306"/>
            </w:tabs>
            <w:rPr>
              <w:b/>
            </w:rPr>
          </w:pPr>
          <w:r>
            <w:rPr>
              <w:b/>
            </w:rPr>
            <w:fldChar w:fldCharType="begin"/>
          </w:r>
          <w:r>
            <w:rPr>
              <w:b/>
            </w:rPr>
            <w:instrText xml:space="preserve"> HYPERLINK \l _Toc15454 </w:instrText>
          </w:r>
          <w:r>
            <w:rPr>
              <w:b/>
            </w:rPr>
            <w:fldChar w:fldCharType="separate"/>
          </w:r>
          <w:r>
            <w:rPr>
              <w:rFonts w:hint="eastAsia" w:ascii="黑体" w:eastAsia="黑体"/>
              <w:b/>
              <w:szCs w:val="44"/>
            </w:rPr>
            <w:t>第</w:t>
          </w:r>
          <w:r>
            <w:rPr>
              <w:rFonts w:hint="eastAsia" w:ascii="黑体" w:eastAsia="黑体"/>
              <w:b/>
            </w:rPr>
            <w:t>五部分 附表</w:t>
          </w:r>
          <w:r>
            <w:rPr>
              <w:b/>
            </w:rPr>
            <w:tab/>
          </w:r>
          <w:r>
            <w:rPr>
              <w:b/>
            </w:rPr>
            <w:fldChar w:fldCharType="begin"/>
          </w:r>
          <w:r>
            <w:rPr>
              <w:b/>
            </w:rPr>
            <w:instrText xml:space="preserve"> PAGEREF _Toc15454 \h </w:instrText>
          </w:r>
          <w:r>
            <w:rPr>
              <w:b/>
            </w:rPr>
            <w:fldChar w:fldCharType="separate"/>
          </w:r>
          <w:r>
            <w:rPr>
              <w:b/>
            </w:rPr>
            <w:t>19</w:t>
          </w:r>
          <w:r>
            <w:rPr>
              <w:b/>
            </w:rPr>
            <w:fldChar w:fldCharType="end"/>
          </w:r>
          <w:r>
            <w:rPr>
              <w:b/>
            </w:rPr>
            <w:fldChar w:fldCharType="end"/>
          </w:r>
        </w:p>
        <w:p>
          <w:pPr>
            <w:pStyle w:val="32"/>
            <w:tabs>
              <w:tab w:val="right" w:leader="dot" w:pos="8306"/>
            </w:tabs>
          </w:pPr>
          <w:r>
            <w:fldChar w:fldCharType="begin"/>
          </w:r>
          <w:r>
            <w:instrText xml:space="preserve"> HYPERLINK \l _Toc8032 </w:instrText>
          </w:r>
          <w:r>
            <w:fldChar w:fldCharType="separate"/>
          </w:r>
          <w:r>
            <w:rPr>
              <w:rFonts w:hint="eastAsia" w:ascii="仿宋" w:eastAsia="仿宋"/>
            </w:rPr>
            <w:t>一、收</w:t>
          </w:r>
          <w:r>
            <w:rPr>
              <w:rFonts w:hint="eastAsia" w:ascii="仿宋" w:eastAsia="仿宋"/>
              <w:bCs w:val="0"/>
            </w:rPr>
            <w:t>入支出决算总表</w:t>
          </w:r>
          <w:r>
            <w:tab/>
          </w:r>
          <w:r>
            <w:fldChar w:fldCharType="begin"/>
          </w:r>
          <w:r>
            <w:instrText xml:space="preserve"> PAGEREF _Toc8032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_Toc986 </w:instrText>
          </w:r>
          <w:r>
            <w:fldChar w:fldCharType="separate"/>
          </w:r>
          <w:r>
            <w:rPr>
              <w:rFonts w:hint="eastAsia" w:ascii="仿宋" w:eastAsia="仿宋"/>
            </w:rPr>
            <w:t>二、收</w:t>
          </w:r>
          <w:r>
            <w:rPr>
              <w:rFonts w:hint="eastAsia" w:ascii="仿宋" w:eastAsia="仿宋"/>
              <w:bCs w:val="0"/>
            </w:rPr>
            <w:t>入决算表</w:t>
          </w:r>
          <w:r>
            <w:tab/>
          </w:r>
          <w:r>
            <w:fldChar w:fldCharType="begin"/>
          </w:r>
          <w:r>
            <w:instrText xml:space="preserve"> PAGEREF _Toc986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_Toc5781 </w:instrText>
          </w:r>
          <w:r>
            <w:fldChar w:fldCharType="separate"/>
          </w:r>
          <w:r>
            <w:rPr>
              <w:rFonts w:hint="eastAsia" w:ascii="仿宋" w:eastAsia="仿宋"/>
              <w:bCs w:val="0"/>
            </w:rPr>
            <w:t>三、</w:t>
          </w:r>
          <w:r>
            <w:rPr>
              <w:rFonts w:hint="eastAsia" w:ascii="仿宋" w:eastAsia="仿宋"/>
            </w:rPr>
            <w:t>支</w:t>
          </w:r>
          <w:r>
            <w:rPr>
              <w:rFonts w:hint="eastAsia" w:ascii="仿宋" w:eastAsia="仿宋"/>
              <w:bCs w:val="0"/>
            </w:rPr>
            <w:t>出决算表</w:t>
          </w:r>
          <w:r>
            <w:tab/>
          </w:r>
          <w:r>
            <w:fldChar w:fldCharType="begin"/>
          </w:r>
          <w:r>
            <w:instrText xml:space="preserve"> PAGEREF _Toc5781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_Toc9179 </w:instrText>
          </w:r>
          <w:r>
            <w:fldChar w:fldCharType="separate"/>
          </w:r>
          <w:r>
            <w:rPr>
              <w:rFonts w:hint="eastAsia" w:ascii="仿宋" w:eastAsia="仿宋"/>
              <w:bCs w:val="0"/>
            </w:rPr>
            <w:t>四、</w:t>
          </w:r>
          <w:r>
            <w:rPr>
              <w:rFonts w:hint="eastAsia" w:ascii="仿宋" w:eastAsia="仿宋"/>
            </w:rPr>
            <w:t>财</w:t>
          </w:r>
          <w:r>
            <w:rPr>
              <w:rFonts w:hint="eastAsia" w:ascii="仿宋" w:eastAsia="仿宋"/>
              <w:bCs w:val="0"/>
            </w:rPr>
            <w:t>政拨款收入支出决算总表</w:t>
          </w:r>
          <w:r>
            <w:tab/>
          </w:r>
          <w:r>
            <w:fldChar w:fldCharType="begin"/>
          </w:r>
          <w:r>
            <w:instrText xml:space="preserve"> PAGEREF _Toc9179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_Toc22998 </w:instrText>
          </w:r>
          <w:r>
            <w:fldChar w:fldCharType="separate"/>
          </w:r>
          <w:r>
            <w:rPr>
              <w:rFonts w:hint="eastAsia" w:ascii="仿宋" w:eastAsia="仿宋"/>
              <w:bCs w:val="0"/>
            </w:rPr>
            <w:t>五、</w:t>
          </w:r>
          <w:r>
            <w:rPr>
              <w:rFonts w:hint="eastAsia" w:ascii="仿宋" w:eastAsia="仿宋"/>
            </w:rPr>
            <w:t>财</w:t>
          </w:r>
          <w:r>
            <w:rPr>
              <w:rFonts w:hint="eastAsia" w:ascii="仿宋" w:eastAsia="仿宋"/>
              <w:bCs w:val="0"/>
            </w:rPr>
            <w:t>政拨款支出决算明细表</w:t>
          </w:r>
          <w:r>
            <w:tab/>
          </w:r>
          <w:r>
            <w:fldChar w:fldCharType="begin"/>
          </w:r>
          <w:r>
            <w:instrText xml:space="preserve"> PAGEREF _Toc22998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_Toc21482 </w:instrText>
          </w:r>
          <w:r>
            <w:fldChar w:fldCharType="separate"/>
          </w:r>
          <w:r>
            <w:rPr>
              <w:rFonts w:hint="eastAsia" w:ascii="仿宋" w:eastAsia="仿宋"/>
              <w:bCs w:val="0"/>
            </w:rPr>
            <w:t>六、</w:t>
          </w:r>
          <w:r>
            <w:rPr>
              <w:rFonts w:hint="eastAsia" w:ascii="仿宋" w:eastAsia="仿宋"/>
            </w:rPr>
            <w:t>一</w:t>
          </w:r>
          <w:r>
            <w:rPr>
              <w:rFonts w:hint="eastAsia" w:ascii="仿宋" w:eastAsia="仿宋"/>
              <w:bCs w:val="0"/>
            </w:rPr>
            <w:t>般公共预算财政拨款支出决算表</w:t>
          </w:r>
          <w:r>
            <w:tab/>
          </w:r>
          <w:r>
            <w:fldChar w:fldCharType="begin"/>
          </w:r>
          <w:r>
            <w:instrText xml:space="preserve"> PAGEREF _Toc21482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_Toc12627 </w:instrText>
          </w:r>
          <w:r>
            <w:fldChar w:fldCharType="separate"/>
          </w:r>
          <w:r>
            <w:rPr>
              <w:rFonts w:hint="eastAsia" w:ascii="仿宋" w:eastAsia="仿宋"/>
              <w:bCs w:val="0"/>
            </w:rPr>
            <w:t>七、</w:t>
          </w:r>
          <w:r>
            <w:rPr>
              <w:rFonts w:hint="eastAsia" w:ascii="仿宋" w:eastAsia="仿宋"/>
            </w:rPr>
            <w:t>一</w:t>
          </w:r>
          <w:r>
            <w:rPr>
              <w:rFonts w:hint="eastAsia" w:ascii="仿宋" w:eastAsia="仿宋"/>
              <w:bCs w:val="0"/>
            </w:rPr>
            <w:t>般公共预算财政拨款支出决算明细表</w:t>
          </w:r>
          <w:r>
            <w:tab/>
          </w:r>
          <w:r>
            <w:fldChar w:fldCharType="begin"/>
          </w:r>
          <w:r>
            <w:instrText xml:space="preserve"> PAGEREF _Toc12627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_Toc5916 </w:instrText>
          </w:r>
          <w:r>
            <w:fldChar w:fldCharType="separate"/>
          </w:r>
          <w:r>
            <w:rPr>
              <w:rFonts w:hint="eastAsia" w:ascii="仿宋" w:eastAsia="仿宋"/>
              <w:bCs w:val="0"/>
            </w:rPr>
            <w:t>八、</w:t>
          </w:r>
          <w:r>
            <w:rPr>
              <w:rFonts w:hint="eastAsia" w:ascii="仿宋" w:eastAsia="仿宋"/>
            </w:rPr>
            <w:t>一</w:t>
          </w:r>
          <w:r>
            <w:rPr>
              <w:rFonts w:hint="eastAsia" w:ascii="仿宋" w:eastAsia="仿宋"/>
              <w:bCs w:val="0"/>
            </w:rPr>
            <w:t>般公共预算财政拨款基本支出决算</w:t>
          </w:r>
          <w:r>
            <w:rPr>
              <w:rFonts w:hint="eastAsia" w:ascii="仿宋" w:eastAsia="仿宋"/>
              <w:bCs w:val="0"/>
              <w:lang w:val="en-US" w:eastAsia="zh-CN"/>
            </w:rPr>
            <w:t>明细</w:t>
          </w:r>
          <w:r>
            <w:rPr>
              <w:rFonts w:hint="eastAsia" w:ascii="仿宋" w:eastAsia="仿宋"/>
              <w:bCs w:val="0"/>
            </w:rPr>
            <w:t>表</w:t>
          </w:r>
          <w:r>
            <w:tab/>
          </w:r>
          <w:r>
            <w:fldChar w:fldCharType="begin"/>
          </w:r>
          <w:r>
            <w:instrText xml:space="preserve"> PAGEREF _Toc5916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_Toc2275 </w:instrText>
          </w:r>
          <w:r>
            <w:fldChar w:fldCharType="separate"/>
          </w:r>
          <w:r>
            <w:rPr>
              <w:rFonts w:hint="eastAsia" w:ascii="仿宋" w:eastAsia="仿宋"/>
              <w:bCs w:val="0"/>
            </w:rPr>
            <w:t>九、</w:t>
          </w:r>
          <w:r>
            <w:rPr>
              <w:rFonts w:hint="eastAsia" w:ascii="仿宋" w:eastAsia="仿宋"/>
            </w:rPr>
            <w:t>一</w:t>
          </w:r>
          <w:r>
            <w:rPr>
              <w:rFonts w:hint="eastAsia" w:ascii="仿宋" w:eastAsia="仿宋"/>
              <w:bCs w:val="0"/>
            </w:rPr>
            <w:t>般公共预算财政拨款项目支出决算表</w:t>
          </w:r>
          <w:r>
            <w:tab/>
          </w:r>
          <w:r>
            <w:fldChar w:fldCharType="begin"/>
          </w:r>
          <w:r>
            <w:instrText xml:space="preserve"> PAGEREF _Toc2275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_Toc12960 </w:instrText>
          </w:r>
          <w:r>
            <w:fldChar w:fldCharType="separate"/>
          </w:r>
          <w:r>
            <w:rPr>
              <w:rFonts w:hint="eastAsia" w:ascii="仿宋" w:eastAsia="仿宋"/>
              <w:bCs w:val="0"/>
            </w:rPr>
            <w:t>十、</w:t>
          </w:r>
          <w:r>
            <w:rPr>
              <w:rFonts w:hint="eastAsia" w:ascii="仿宋" w:eastAsia="仿宋"/>
            </w:rPr>
            <w:t>政</w:t>
          </w:r>
          <w:r>
            <w:rPr>
              <w:rFonts w:hint="eastAsia" w:ascii="仿宋" w:eastAsia="仿宋"/>
              <w:bCs w:val="0"/>
            </w:rPr>
            <w:t>府性基金预算财政拨款收入支出决算表</w:t>
          </w:r>
          <w:r>
            <w:tab/>
          </w:r>
          <w:r>
            <w:fldChar w:fldCharType="begin"/>
          </w:r>
          <w:r>
            <w:instrText xml:space="preserve"> PAGEREF _Toc12960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_Toc16098 </w:instrText>
          </w:r>
          <w:r>
            <w:fldChar w:fldCharType="separate"/>
          </w:r>
          <w:r>
            <w:rPr>
              <w:rFonts w:hint="eastAsia" w:ascii="仿宋" w:eastAsia="仿宋"/>
              <w:bCs w:val="0"/>
            </w:rPr>
            <w:t>十一、</w:t>
          </w:r>
          <w:r>
            <w:rPr>
              <w:rFonts w:hint="eastAsia" w:ascii="仿宋" w:eastAsia="仿宋"/>
            </w:rPr>
            <w:t>国</w:t>
          </w:r>
          <w:r>
            <w:rPr>
              <w:rFonts w:hint="eastAsia" w:ascii="仿宋" w:eastAsia="仿宋"/>
              <w:bCs w:val="0"/>
            </w:rPr>
            <w:t>有资本经营预算财政拨款收入支出决算表</w:t>
          </w:r>
          <w:r>
            <w:tab/>
          </w:r>
          <w:r>
            <w:fldChar w:fldCharType="begin"/>
          </w:r>
          <w:r>
            <w:instrText xml:space="preserve"> PAGEREF _Toc16098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_Toc10652 </w:instrText>
          </w:r>
          <w:r>
            <w:fldChar w:fldCharType="separate"/>
          </w:r>
          <w:r>
            <w:rPr>
              <w:rFonts w:hint="eastAsia" w:ascii="仿宋" w:eastAsia="仿宋"/>
              <w:bCs w:val="0"/>
            </w:rPr>
            <w:t>十二、国有资本经营预算财政拨款支出决算表</w:t>
          </w:r>
          <w:r>
            <w:tab/>
          </w:r>
          <w:r>
            <w:fldChar w:fldCharType="begin"/>
          </w:r>
          <w:r>
            <w:instrText xml:space="preserve"> PAGEREF _Toc10652 \h </w:instrText>
          </w:r>
          <w:r>
            <w:fldChar w:fldCharType="separate"/>
          </w:r>
          <w:r>
            <w:t>19</w:t>
          </w:r>
          <w:r>
            <w:fldChar w:fldCharType="end"/>
          </w:r>
          <w:r>
            <w:fldChar w:fldCharType="end"/>
          </w:r>
        </w:p>
        <w:p>
          <w:pPr>
            <w:pStyle w:val="32"/>
            <w:tabs>
              <w:tab w:val="right" w:leader="dot" w:pos="8306"/>
            </w:tabs>
          </w:pPr>
          <w:r>
            <w:fldChar w:fldCharType="begin"/>
          </w:r>
          <w:r>
            <w:instrText xml:space="preserve"> HYPERLINK \l _Toc30491 </w:instrText>
          </w:r>
          <w:r>
            <w:fldChar w:fldCharType="separate"/>
          </w:r>
          <w:r>
            <w:rPr>
              <w:rFonts w:hint="eastAsia" w:ascii="仿宋" w:eastAsia="仿宋"/>
              <w:bCs w:val="0"/>
            </w:rPr>
            <w:t>十三、财政拨款“三公”经费支出决算表</w:t>
          </w:r>
          <w:r>
            <w:tab/>
          </w:r>
          <w:r>
            <w:fldChar w:fldCharType="begin"/>
          </w:r>
          <w:r>
            <w:instrText xml:space="preserve"> PAGEREF _Toc30491 \h </w:instrText>
          </w:r>
          <w:r>
            <w:fldChar w:fldCharType="separate"/>
          </w:r>
          <w:r>
            <w:t>19</w:t>
          </w:r>
          <w:r>
            <w:fldChar w:fldCharType="end"/>
          </w:r>
          <w:r>
            <w:fldChar w:fldCharType="end"/>
          </w:r>
        </w:p>
        <w:p>
          <w:r>
            <w:rPr>
              <w:b/>
            </w:rPr>
            <w:fldChar w:fldCharType="end"/>
          </w:r>
        </w:p>
      </w:sdtContent>
    </w:sdt>
    <w:p>
      <w:pPr>
        <w:pStyle w:val="3"/>
        <w:ind w:firstLine="2200" w:firstLineChars="500"/>
        <w:jc w:val="both"/>
        <w:rPr>
          <w:rFonts w:ascii="黑体" w:eastAsia="黑体"/>
          <w:sz w:val="32"/>
          <w:szCs w:val="32"/>
        </w:rPr>
      </w:pPr>
      <w:bookmarkStart w:id="20" w:name="_Toc19482"/>
      <w:r>
        <w:rPr>
          <w:rFonts w:hint="eastAsia" w:ascii="黑体" w:eastAsia="黑体"/>
          <w:b w:val="0"/>
        </w:rPr>
        <w:t xml:space="preserve">第一部分 </w:t>
      </w:r>
      <w:r>
        <w:rPr>
          <w:rStyle w:val="19"/>
          <w:rFonts w:hint="eastAsia" w:ascii="黑体" w:eastAsia="黑体"/>
          <w:b w:val="0"/>
          <w:bCs w:val="0"/>
        </w:rPr>
        <w:t>部门概况</w:t>
      </w:r>
      <w:bookmarkEnd w:id="20"/>
    </w:p>
    <w:p>
      <w:pPr>
        <w:pStyle w:val="4"/>
        <w:pageBreakBefore w:val="0"/>
        <w:widowControl w:val="0"/>
        <w:numPr>
          <w:numId w:val="0"/>
        </w:numPr>
        <w:kinsoku/>
        <w:wordWrap w:val="0"/>
        <w:overflowPunct/>
        <w:topLinePunct w:val="0"/>
        <w:bidi w:val="0"/>
        <w:spacing w:line="572" w:lineRule="atLeast"/>
        <w:ind w:firstLine="320" w:firstLineChars="100"/>
        <w:textAlignment w:val="auto"/>
        <w:rPr>
          <w:rFonts w:hint="eastAsia" w:ascii="黑体" w:eastAsia="黑体"/>
          <w:b w:val="0"/>
        </w:rPr>
      </w:pPr>
      <w:bookmarkStart w:id="21" w:name="_Toc15185"/>
      <w:r>
        <w:rPr>
          <w:rFonts w:hint="eastAsia" w:ascii="黑体" w:eastAsia="黑体"/>
          <w:b w:val="0"/>
          <w:lang w:val="en-US" w:eastAsia="zh-CN"/>
        </w:rPr>
        <w:t>一、</w:t>
      </w:r>
      <w:r>
        <w:rPr>
          <w:rFonts w:hint="eastAsia" w:ascii="黑体" w:eastAsia="黑体"/>
          <w:b w:val="0"/>
        </w:rPr>
        <w:t>部门职责</w:t>
      </w:r>
      <w:bookmarkEnd w:id="21"/>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1.负责政协红原县委员会全体会议、常委会议、主席会议和其他主要会议的组织和会务工作，并组织实施“三个例会”的决议、决定。</w:t>
      </w:r>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2.组织委员视察参观、调查、座谈等日常活动以及各专门委员会的其他工作的组织和服务工作，负责县政协举办各种重大活动的组织、宣传工作。</w:t>
      </w:r>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3.研究统一战线和人民政协的理论、政策，调查研究和了解有关我县各项事业及群众生活的重要问题提出解决办法，供党政机关参考。</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4.密切与县委、县人大、县政府有关部门的联系，搞好协调工作，做好上情下达、下情上报工作。</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5.负责政协工作的内外宣传、收集、反映各族各界人士的意见、建议。</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6.负责管理政协委员会机关行政、文秘、档案、信访、保密等工作。</w:t>
      </w:r>
    </w:p>
    <w:p>
      <w:pPr>
        <w:keepNext w:val="0"/>
        <w:keepLines w:val="0"/>
        <w:pageBreakBefore w:val="0"/>
        <w:widowControl w:val="0"/>
        <w:kinsoku/>
        <w:wordWrap w:val="0"/>
        <w:overflowPunct/>
        <w:topLinePunct w:val="0"/>
        <w:autoSpaceDN/>
        <w:bidi w:val="0"/>
        <w:spacing w:before="0" w:beforeAutospacing="0" w:after="10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7.承担县政协主席、副主席和州政协交办的其他工作。</w:t>
      </w:r>
    </w:p>
    <w:p>
      <w:pPr>
        <w:pStyle w:val="4"/>
        <w:pageBreakBefore w:val="0"/>
        <w:widowControl w:val="0"/>
        <w:kinsoku/>
        <w:wordWrap w:val="0"/>
        <w:overflowPunct/>
        <w:topLinePunct w:val="0"/>
        <w:bidi w:val="0"/>
        <w:spacing w:line="572" w:lineRule="atLeast"/>
        <w:ind w:firstLine="320" w:firstLineChars="100"/>
        <w:textAlignment w:val="auto"/>
        <w:rPr>
          <w:rStyle w:val="20"/>
          <w:b w:val="0"/>
          <w:bCs w:val="0"/>
        </w:rPr>
      </w:pPr>
      <w:bookmarkStart w:id="22" w:name="_Toc15396601"/>
      <w:bookmarkStart w:id="23" w:name="_Toc15377200"/>
      <w:bookmarkStart w:id="24" w:name="_Toc18218"/>
      <w:r>
        <w:rPr>
          <w:rFonts w:hint="eastAsia" w:ascii="黑体" w:eastAsia="黑体"/>
          <w:b w:val="0"/>
        </w:rPr>
        <w:t>二、机</w:t>
      </w:r>
      <w:r>
        <w:rPr>
          <w:rStyle w:val="20"/>
          <w:rFonts w:hint="eastAsia" w:ascii="黑体" w:eastAsia="黑体"/>
          <w:b w:val="0"/>
          <w:bCs w:val="0"/>
        </w:rPr>
        <w:t>构设置</w:t>
      </w:r>
      <w:bookmarkEnd w:id="22"/>
      <w:bookmarkEnd w:id="23"/>
      <w:bookmarkEnd w:id="24"/>
    </w:p>
    <w:p>
      <w:pPr>
        <w:pageBreakBefore w:val="0"/>
        <w:widowControl w:val="0"/>
        <w:kinsoku/>
        <w:wordWrap w:val="0"/>
        <w:overflowPunct/>
        <w:topLinePunct w:val="0"/>
        <w:bidi w:val="0"/>
        <w:spacing w:line="572" w:lineRule="atLeas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政协红原县委员会办公室属行政单位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内设3委1室，截止2022年底，我单位共有人员编制18个，其中：公务员14个，工勤4个，年末实有人数19人，其中：公务员15人，工勤4人</w:t>
      </w:r>
      <w:r>
        <w:rPr>
          <w:rFonts w:hint="eastAsia" w:ascii="仿宋_GB2312" w:hAnsi="仿宋_GB2312" w:eastAsia="仿宋_GB2312" w:cs="仿宋_GB2312"/>
          <w:sz w:val="32"/>
          <w:szCs w:val="32"/>
        </w:rPr>
        <w:t>。</w:t>
      </w:r>
    </w:p>
    <w:p>
      <w:pPr>
        <w:pageBreakBefore w:val="0"/>
        <w:widowControl w:val="0"/>
        <w:kinsoku/>
        <w:wordWrap w:val="0"/>
        <w:overflowPunct/>
        <w:topLinePunct w:val="0"/>
        <w:bidi w:val="0"/>
        <w:spacing w:line="572" w:lineRule="atLeas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县政协办公室下设红原县政协网络信息服务中心，属股级事业单位，人员编制2个，年末实有人数2人。</w:t>
      </w:r>
    </w:p>
    <w:p>
      <w:pPr>
        <w:pStyle w:val="2"/>
        <w:ind w:firstLine="640" w:firstLineChars="200"/>
        <w:rPr>
          <w:rFonts w:hint="default"/>
          <w:lang w:val="en-US"/>
        </w:rPr>
      </w:pPr>
      <w:r>
        <w:rPr>
          <w:rFonts w:hint="eastAsia" w:hAnsi="仿宋_GB2312" w:cs="仿宋_GB2312"/>
          <w:sz w:val="32"/>
          <w:szCs w:val="32"/>
          <w:lang w:val="en-US" w:eastAsia="zh-CN"/>
        </w:rPr>
        <w:t>2022年度部门决算编制范围2个，分别为：政协红原县委员会办公室（行政）、红原县政协网络信息服务中心（事业）</w:t>
      </w:r>
    </w:p>
    <w:p>
      <w:pPr>
        <w:pStyle w:val="3"/>
        <w:pageBreakBefore w:val="0"/>
        <w:widowControl w:val="0"/>
        <w:kinsoku/>
        <w:wordWrap w:val="0"/>
        <w:overflowPunct/>
        <w:topLinePunct w:val="0"/>
        <w:bidi w:val="0"/>
        <w:spacing w:line="572" w:lineRule="atLeast"/>
        <w:ind w:left="420" w:leftChars="200" w:right="440"/>
        <w:jc w:val="center"/>
        <w:textAlignment w:val="auto"/>
      </w:pPr>
      <w:bookmarkStart w:id="25" w:name="_Toc15396602"/>
      <w:bookmarkStart w:id="26" w:name="_Toc15377204"/>
      <w:bookmarkStart w:id="27" w:name="_Toc23954"/>
      <w:r>
        <w:rPr>
          <w:rFonts w:hint="eastAsia" w:ascii="黑体" w:eastAsia="黑体"/>
          <w:b w:val="0"/>
        </w:rPr>
        <w:t>第二部分 2022年度</w:t>
      </w:r>
      <w:r>
        <w:rPr>
          <w:rStyle w:val="19"/>
          <w:rFonts w:hint="eastAsia" w:ascii="黑体" w:eastAsia="黑体"/>
          <w:b w:val="0"/>
          <w:bCs/>
        </w:rPr>
        <w:t>部门决算情况说明</w:t>
      </w:r>
      <w:bookmarkEnd w:id="25"/>
      <w:bookmarkEnd w:id="26"/>
      <w:bookmarkEnd w:id="27"/>
    </w:p>
    <w:p>
      <w:pPr>
        <w:pStyle w:val="26"/>
        <w:pageBreakBefore w:val="0"/>
        <w:widowControl w:val="0"/>
        <w:numPr>
          <w:ilvl w:val="0"/>
          <w:numId w:val="1"/>
        </w:numPr>
        <w:kinsoku/>
        <w:wordWrap w:val="0"/>
        <w:overflowPunct/>
        <w:topLinePunct w:val="0"/>
        <w:bidi w:val="0"/>
        <w:spacing w:line="572" w:lineRule="atLeast"/>
        <w:ind w:left="420" w:leftChars="200" w:firstLineChars="0"/>
        <w:textAlignment w:val="auto"/>
        <w:outlineLvl w:val="1"/>
        <w:rPr>
          <w:rStyle w:val="20"/>
          <w:rFonts w:ascii="黑体" w:eastAsia="黑体"/>
          <w:b w:val="0"/>
        </w:rPr>
      </w:pPr>
      <w:bookmarkStart w:id="28" w:name="_Toc15396603"/>
      <w:bookmarkStart w:id="29" w:name="_Toc15377205"/>
      <w:bookmarkStart w:id="30" w:name="_Toc22832"/>
      <w:r>
        <w:rPr>
          <w:rFonts w:hint="eastAsia" w:ascii="黑体" w:eastAsia="黑体"/>
          <w:sz w:val="32"/>
          <w:szCs w:val="32"/>
        </w:rPr>
        <w:t>收</w:t>
      </w:r>
      <w:r>
        <w:rPr>
          <w:rStyle w:val="20"/>
          <w:rFonts w:hint="eastAsia" w:ascii="黑体" w:eastAsia="黑体"/>
          <w:b w:val="0"/>
        </w:rPr>
        <w:t>入支出决算总体情况说明</w:t>
      </w:r>
      <w:bookmarkEnd w:id="28"/>
      <w:bookmarkEnd w:id="29"/>
      <w:bookmarkEnd w:id="30"/>
    </w:p>
    <w:p>
      <w:pPr>
        <w:pageBreakBefore w:val="0"/>
        <w:widowControl w:val="0"/>
        <w:kinsoku/>
        <w:wordWrap w:val="0"/>
        <w:overflowPunct/>
        <w:topLinePunct w:val="0"/>
        <w:bidi w:val="0"/>
        <w:spacing w:line="572" w:lineRule="atLeast"/>
        <w:ind w:firstLine="640" w:firstLineChars="200"/>
        <w:textAlignment w:val="auto"/>
      </w:pPr>
      <w:r>
        <w:rPr>
          <w:rFonts w:hint="eastAsia" w:ascii="仿宋" w:eastAsia="仿宋"/>
          <w:sz w:val="32"/>
          <w:szCs w:val="32"/>
        </w:rPr>
        <w:t>2022年度收、支总计</w:t>
      </w:r>
      <w:r>
        <w:rPr>
          <w:rFonts w:hint="eastAsia" w:ascii="仿宋" w:eastAsia="仿宋"/>
          <w:sz w:val="32"/>
          <w:szCs w:val="32"/>
          <w:lang w:val="en-US" w:eastAsia="zh-CN"/>
        </w:rPr>
        <w:t>779.35</w:t>
      </w:r>
      <w:r>
        <w:rPr>
          <w:rFonts w:hint="eastAsia" w:ascii="仿宋" w:eastAsia="仿宋"/>
          <w:sz w:val="32"/>
          <w:szCs w:val="32"/>
        </w:rPr>
        <w:t>万元。与2021年相比，收、支总计各增加</w:t>
      </w:r>
      <w:r>
        <w:rPr>
          <w:rFonts w:hint="eastAsia" w:ascii="仿宋" w:eastAsia="仿宋"/>
          <w:sz w:val="32"/>
          <w:szCs w:val="32"/>
          <w:lang w:val="en-US" w:eastAsia="zh-CN"/>
        </w:rPr>
        <w:t>79.97</w:t>
      </w:r>
      <w:r>
        <w:rPr>
          <w:rFonts w:hint="eastAsia" w:ascii="仿宋" w:eastAsia="仿宋"/>
          <w:sz w:val="32"/>
          <w:szCs w:val="32"/>
        </w:rPr>
        <w:t>万元，增长</w:t>
      </w:r>
      <w:r>
        <w:rPr>
          <w:rFonts w:hint="eastAsia" w:ascii="仿宋" w:eastAsia="仿宋"/>
          <w:sz w:val="32"/>
          <w:szCs w:val="32"/>
          <w:lang w:val="en-US" w:eastAsia="zh-CN"/>
        </w:rPr>
        <w:t>11.43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主要变动原因是</w:t>
      </w:r>
      <w:r>
        <w:rPr>
          <w:rFonts w:hint="eastAsia" w:ascii="仿宋" w:eastAsia="仿宋"/>
          <w:sz w:val="32"/>
          <w:szCs w:val="32"/>
          <w:lang w:eastAsia="zh-CN"/>
        </w:rPr>
        <w:t>：</w:t>
      </w:r>
      <w:r>
        <w:rPr>
          <w:rFonts w:hint="eastAsia" w:ascii="仿宋" w:eastAsia="仿宋"/>
          <w:sz w:val="32"/>
          <w:szCs w:val="32"/>
          <w:lang w:val="en-US" w:eastAsia="zh-CN"/>
        </w:rPr>
        <w:t>本年度新增股级事业单位1个，增加事业运行支出；开展委员履职培训、界别委员培训，增加了会议经费支出；新增领导干部周转房（一期）维修、编纂《红原--红军走过的大草地》等项目、增加了项目支出。</w:t>
      </w:r>
    </w:p>
    <w:p>
      <w:pPr>
        <w:pageBreakBefore w:val="0"/>
        <w:widowControl w:val="0"/>
        <w:kinsoku/>
        <w:wordWrap w:val="0"/>
        <w:overflowPunct/>
        <w:topLinePunct w:val="0"/>
        <w:bidi w:val="0"/>
        <w:spacing w:line="572" w:lineRule="atLeast"/>
        <w:textAlignment w:val="auto"/>
        <w:rPr>
          <w:rFonts w:hint="eastAsia" w:ascii="仿宋" w:eastAsia="仿宋"/>
          <w:sz w:val="32"/>
          <w:szCs w:val="32"/>
        </w:rPr>
      </w:pPr>
    </w:p>
    <w:p>
      <w:pPr>
        <w:pageBreakBefore w:val="0"/>
        <w:widowControl w:val="0"/>
        <w:kinsoku/>
        <w:wordWrap w:val="0"/>
        <w:overflowPunct/>
        <w:topLinePunct w:val="0"/>
        <w:bidi w:val="0"/>
        <w:spacing w:line="572" w:lineRule="atLeast"/>
        <w:textAlignment w:val="auto"/>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pStyle w:val="2"/>
        <w:rPr>
          <w:rFonts w:ascii="仿宋_GB2312" w:eastAsia="仿宋_GB2312"/>
          <w:sz w:val="32"/>
          <w:szCs w:val="32"/>
        </w:rPr>
      </w:pPr>
      <w:r>
        <w:rPr>
          <w:rFonts w:hint="eastAsia" w:ascii="仿宋" w:eastAsia="仿宋"/>
          <w:sz w:val="32"/>
          <w:szCs w:val="32"/>
          <w:lang w:eastAsia="zh-CN"/>
        </w:rPr>
        <w:drawing>
          <wp:anchor distT="0" distB="0" distL="114300" distR="114300" simplePos="0" relativeHeight="251659264" behindDoc="0" locked="0" layoutInCell="1" allowOverlap="1">
            <wp:simplePos x="0" y="0"/>
            <wp:positionH relativeFrom="column">
              <wp:posOffset>118745</wp:posOffset>
            </wp:positionH>
            <wp:positionV relativeFrom="paragraph">
              <wp:posOffset>263525</wp:posOffset>
            </wp:positionV>
            <wp:extent cx="4965700" cy="3274060"/>
            <wp:effectExtent l="4445" t="4445" r="20955" b="171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6"/>
        <w:pageBreakBefore w:val="0"/>
        <w:widowControl w:val="0"/>
        <w:numPr>
          <w:ilvl w:val="0"/>
          <w:numId w:val="1"/>
        </w:numPr>
        <w:kinsoku/>
        <w:wordWrap w:val="0"/>
        <w:overflowPunct/>
        <w:topLinePunct w:val="0"/>
        <w:bidi w:val="0"/>
        <w:spacing w:line="572" w:lineRule="atLeast"/>
        <w:ind w:left="420" w:leftChars="200" w:firstLineChars="0"/>
        <w:textAlignment w:val="auto"/>
        <w:outlineLvl w:val="1"/>
        <w:rPr>
          <w:rStyle w:val="20"/>
          <w:rFonts w:ascii="黑体" w:eastAsia="黑体"/>
          <w:b w:val="0"/>
        </w:rPr>
      </w:pPr>
      <w:bookmarkStart w:id="31" w:name="_Toc15377206"/>
      <w:bookmarkStart w:id="32" w:name="_Toc15396604"/>
      <w:bookmarkStart w:id="33" w:name="_Toc9157"/>
      <w:r>
        <w:rPr>
          <w:rFonts w:hint="eastAsia" w:ascii="黑体" w:eastAsia="黑体"/>
          <w:sz w:val="32"/>
          <w:szCs w:val="32"/>
        </w:rPr>
        <w:t>收</w:t>
      </w:r>
      <w:r>
        <w:rPr>
          <w:rStyle w:val="20"/>
          <w:rFonts w:hint="eastAsia" w:ascii="黑体" w:eastAsia="黑体"/>
          <w:b w:val="0"/>
        </w:rPr>
        <w:t>入决算情况说明</w:t>
      </w:r>
      <w:bookmarkEnd w:id="31"/>
      <w:bookmarkEnd w:id="32"/>
      <w:bookmarkEnd w:id="33"/>
    </w:p>
    <w:p>
      <w:pPr>
        <w:pageBreakBefore w:val="0"/>
        <w:widowControl w:val="0"/>
        <w:kinsoku/>
        <w:wordWrap w:val="0"/>
        <w:overflowPunct/>
        <w:topLinePunct w:val="0"/>
        <w:bidi w:val="0"/>
        <w:spacing w:line="572" w:lineRule="atLeast"/>
        <w:ind w:firstLine="640" w:firstLineChars="200"/>
        <w:textAlignment w:val="auto"/>
        <w:outlineLvl w:val="1"/>
      </w:pPr>
      <w:bookmarkStart w:id="34" w:name="_Toc24043"/>
      <w:r>
        <w:rPr>
          <w:rFonts w:ascii="仿宋" w:eastAsia="仿宋"/>
          <w:sz w:val="32"/>
          <w:szCs w:val="32"/>
        </w:rPr>
        <w:t>20</w:t>
      </w:r>
      <w:r>
        <w:rPr>
          <w:rFonts w:hint="eastAsia" w:ascii="仿宋" w:eastAsia="仿宋"/>
          <w:sz w:val="32"/>
          <w:szCs w:val="32"/>
        </w:rPr>
        <w:t>22年本年收入合计</w:t>
      </w:r>
      <w:r>
        <w:rPr>
          <w:rFonts w:hint="eastAsia" w:ascii="仿宋" w:eastAsia="仿宋"/>
          <w:sz w:val="32"/>
          <w:szCs w:val="32"/>
          <w:lang w:val="en-US" w:eastAsia="zh-CN"/>
        </w:rPr>
        <w:t>779.35</w:t>
      </w:r>
      <w:r>
        <w:rPr>
          <w:rFonts w:hint="eastAsia" w:ascii="仿宋" w:eastAsia="仿宋"/>
          <w:sz w:val="32"/>
          <w:szCs w:val="32"/>
        </w:rPr>
        <w:t>万元，其中：一般公共预算财政拨款收入</w:t>
      </w:r>
      <w:r>
        <w:rPr>
          <w:rFonts w:hint="eastAsia" w:ascii="仿宋" w:eastAsia="仿宋"/>
          <w:sz w:val="32"/>
          <w:szCs w:val="32"/>
          <w:lang w:val="en-US" w:eastAsia="zh-CN"/>
        </w:rPr>
        <w:t>763.44</w:t>
      </w:r>
      <w:r>
        <w:rPr>
          <w:rFonts w:hint="eastAsia" w:ascii="仿宋" w:eastAsia="仿宋"/>
          <w:sz w:val="32"/>
          <w:szCs w:val="32"/>
        </w:rPr>
        <w:t>万元，占</w:t>
      </w:r>
      <w:r>
        <w:rPr>
          <w:rFonts w:hint="eastAsia" w:ascii="仿宋" w:eastAsia="仿宋"/>
          <w:sz w:val="32"/>
          <w:szCs w:val="32"/>
          <w:lang w:val="en-US" w:eastAsia="zh-CN"/>
        </w:rPr>
        <w:t>97.96</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15.90</w:t>
      </w:r>
      <w:r>
        <w:rPr>
          <w:rFonts w:hint="eastAsia" w:ascii="仿宋" w:eastAsia="仿宋"/>
          <w:sz w:val="32"/>
          <w:szCs w:val="32"/>
        </w:rPr>
        <w:t>万元，占</w:t>
      </w:r>
      <w:r>
        <w:rPr>
          <w:rFonts w:hint="eastAsia" w:ascii="仿宋" w:eastAsia="仿宋"/>
          <w:sz w:val="32"/>
          <w:szCs w:val="32"/>
          <w:lang w:val="en-US" w:eastAsia="zh-CN"/>
        </w:rPr>
        <w:t>2.04</w:t>
      </w:r>
      <w:r>
        <w:rPr>
          <w:rFonts w:ascii="仿宋" w:eastAsia="仿宋"/>
          <w:sz w:val="32"/>
          <w:szCs w:val="32"/>
        </w:rPr>
        <w:t>%</w:t>
      </w:r>
      <w:r>
        <w:rPr>
          <w:rFonts w:hint="eastAsia" w:ascii="仿宋" w:eastAsia="仿宋"/>
          <w:sz w:val="32"/>
          <w:szCs w:val="32"/>
        </w:rPr>
        <w:t>。</w:t>
      </w:r>
      <w:bookmarkEnd w:id="34"/>
    </w:p>
    <w:p>
      <w:pPr>
        <w:pageBreakBefore w:val="0"/>
        <w:widowControl w:val="0"/>
        <w:kinsoku/>
        <w:wordWrap w:val="0"/>
        <w:overflowPunct/>
        <w:topLinePunct w:val="0"/>
        <w:bidi w:val="0"/>
        <w:spacing w:line="572" w:lineRule="atLeast"/>
        <w:ind w:left="420" w:leftChars="200" w:firstLine="640" w:firstLineChars="200"/>
        <w:textAlignment w:val="auto"/>
        <w:rPr>
          <w:rFonts w:hint="eastAsia" w:ascii="仿宋" w:eastAsia="仿宋"/>
          <w:sz w:val="32"/>
          <w:szCs w:val="32"/>
        </w:rPr>
      </w:pPr>
      <w:r>
        <w:rPr>
          <w:rFonts w:hint="eastAsia" w:ascii="仿宋" w:eastAsia="仿宋"/>
          <w:sz w:val="32"/>
          <w:szCs w:val="32"/>
        </w:rPr>
        <w:t>（图2：收入决算结构图）（饼状图）</w:t>
      </w:r>
    </w:p>
    <w:p>
      <w:pPr>
        <w:pStyle w:val="2"/>
        <w:rPr>
          <w:rFonts w:hint="eastAsia" w:ascii="仿宋" w:eastAsia="仿宋"/>
          <w:sz w:val="32"/>
          <w:szCs w:val="32"/>
        </w:rPr>
      </w:pPr>
      <w:r>
        <w:rPr>
          <w:rFonts w:hint="eastAsia" w:ascii="仿宋_GB2312" w:eastAsia="仿宋_GB2312"/>
          <w:sz w:val="32"/>
          <w:szCs w:val="32"/>
          <w:lang w:eastAsia="zh-CN"/>
        </w:rPr>
        <w:drawing>
          <wp:anchor distT="0" distB="0" distL="114300" distR="114300" simplePos="0" relativeHeight="251660288" behindDoc="0" locked="0" layoutInCell="1" allowOverlap="1">
            <wp:simplePos x="0" y="0"/>
            <wp:positionH relativeFrom="column">
              <wp:posOffset>403860</wp:posOffset>
            </wp:positionH>
            <wp:positionV relativeFrom="paragraph">
              <wp:posOffset>46355</wp:posOffset>
            </wp:positionV>
            <wp:extent cx="4099560" cy="2616835"/>
            <wp:effectExtent l="4445" t="4445" r="10795" b="762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widowControl w:val="0"/>
        <w:kinsoku/>
        <w:wordWrap w:val="0"/>
        <w:overflowPunct/>
        <w:topLinePunct w:val="0"/>
        <w:bidi w:val="0"/>
        <w:spacing w:line="572" w:lineRule="atLeast"/>
        <w:textAlignment w:val="auto"/>
        <w:rPr>
          <w:rFonts w:ascii="仿宋_GB2312" w:eastAsia="仿宋_GB2312"/>
          <w:sz w:val="32"/>
          <w:szCs w:val="32"/>
        </w:rPr>
      </w:pPr>
    </w:p>
    <w:p>
      <w:pPr>
        <w:pStyle w:val="26"/>
        <w:pageBreakBefore w:val="0"/>
        <w:widowControl w:val="0"/>
        <w:numPr>
          <w:ilvl w:val="0"/>
          <w:numId w:val="1"/>
        </w:numPr>
        <w:kinsoku/>
        <w:wordWrap w:val="0"/>
        <w:overflowPunct/>
        <w:topLinePunct w:val="0"/>
        <w:bidi w:val="0"/>
        <w:spacing w:line="572" w:lineRule="atLeast"/>
        <w:ind w:left="420" w:leftChars="200" w:firstLineChars="0"/>
        <w:textAlignment w:val="auto"/>
        <w:outlineLvl w:val="1"/>
        <w:rPr>
          <w:rStyle w:val="20"/>
          <w:rFonts w:ascii="黑体" w:eastAsia="黑体"/>
          <w:b w:val="0"/>
        </w:rPr>
      </w:pPr>
      <w:bookmarkStart w:id="35" w:name="_Toc15377207"/>
      <w:bookmarkStart w:id="36" w:name="_Toc15396605"/>
      <w:bookmarkStart w:id="37" w:name="_Toc11070"/>
      <w:r>
        <w:rPr>
          <w:rFonts w:hint="eastAsia" w:ascii="黑体" w:eastAsia="黑体"/>
          <w:sz w:val="32"/>
          <w:szCs w:val="32"/>
        </w:rPr>
        <w:t>支</w:t>
      </w:r>
      <w:r>
        <w:rPr>
          <w:rStyle w:val="20"/>
          <w:rFonts w:hint="eastAsia" w:ascii="黑体" w:eastAsia="黑体"/>
          <w:b w:val="0"/>
        </w:rPr>
        <w:t>出决算情况说明</w:t>
      </w:r>
      <w:bookmarkEnd w:id="35"/>
      <w:bookmarkEnd w:id="36"/>
      <w:bookmarkEnd w:id="37"/>
    </w:p>
    <w:p>
      <w:pPr>
        <w:keepNext w:val="0"/>
        <w:keepLines w:val="0"/>
        <w:pageBreakBefore w:val="0"/>
        <w:widowControl/>
        <w:kinsoku/>
        <w:wordWrap/>
        <w:overflowPunct/>
        <w:topLinePunct w:val="0"/>
        <w:autoSpaceDE/>
        <w:autoSpaceDN/>
        <w:bidi w:val="0"/>
        <w:adjustRightInd/>
        <w:snapToGrid/>
        <w:spacing w:line="572" w:lineRule="atLeast"/>
        <w:ind w:firstLine="640" w:firstLineChars="200"/>
        <w:textAlignment w:val="auto"/>
        <w:outlineLvl w:val="1"/>
        <w:rPr>
          <w:rFonts w:hint="eastAsia" w:ascii="仿宋" w:eastAsia="仿宋"/>
          <w:sz w:val="32"/>
          <w:szCs w:val="32"/>
          <w:shd w:val="pct10" w:color="auto" w:fill="FFFFFF"/>
          <w:lang w:eastAsia="zh-CN"/>
        </w:rPr>
      </w:pPr>
      <w:bookmarkStart w:id="38" w:name="_Toc13221"/>
      <w:r>
        <w:rPr>
          <w:rFonts w:ascii="仿宋" w:eastAsia="仿宋"/>
          <w:sz w:val="32"/>
          <w:szCs w:val="32"/>
        </w:rPr>
        <w:t>20</w:t>
      </w:r>
      <w:r>
        <w:rPr>
          <w:rFonts w:hint="eastAsia" w:ascii="仿宋" w:eastAsia="仿宋"/>
          <w:sz w:val="32"/>
          <w:szCs w:val="32"/>
        </w:rPr>
        <w:t>22年本年支出合计</w:t>
      </w:r>
      <w:r>
        <w:rPr>
          <w:rFonts w:hint="eastAsia" w:ascii="仿宋" w:eastAsia="仿宋"/>
          <w:sz w:val="32"/>
          <w:szCs w:val="32"/>
          <w:lang w:val="en-US" w:eastAsia="zh-CN"/>
        </w:rPr>
        <w:t>779.35</w:t>
      </w:r>
      <w:r>
        <w:rPr>
          <w:rFonts w:hint="eastAsia" w:ascii="仿宋" w:eastAsia="仿宋"/>
          <w:sz w:val="32"/>
          <w:szCs w:val="32"/>
        </w:rPr>
        <w:t>万元，其中：基本支出</w:t>
      </w:r>
      <w:r>
        <w:rPr>
          <w:rFonts w:hint="eastAsia" w:ascii="仿宋" w:eastAsia="仿宋"/>
          <w:sz w:val="32"/>
          <w:szCs w:val="32"/>
          <w:lang w:val="en-US" w:eastAsia="zh-CN"/>
        </w:rPr>
        <w:t>637.25</w:t>
      </w:r>
      <w:r>
        <w:rPr>
          <w:rFonts w:hint="eastAsia" w:ascii="仿宋" w:eastAsia="仿宋"/>
          <w:sz w:val="32"/>
          <w:szCs w:val="32"/>
        </w:rPr>
        <w:t>万元，占</w:t>
      </w:r>
      <w:r>
        <w:rPr>
          <w:rFonts w:hint="eastAsia" w:ascii="仿宋" w:eastAsia="仿宋"/>
          <w:sz w:val="32"/>
          <w:szCs w:val="32"/>
          <w:lang w:val="en-US" w:eastAsia="zh-CN"/>
        </w:rPr>
        <w:t>81.77</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142.09</w:t>
      </w:r>
      <w:r>
        <w:rPr>
          <w:rFonts w:hint="eastAsia" w:ascii="仿宋" w:eastAsia="仿宋"/>
          <w:sz w:val="32"/>
          <w:szCs w:val="32"/>
        </w:rPr>
        <w:t>万元，占</w:t>
      </w:r>
      <w:r>
        <w:rPr>
          <w:rFonts w:hint="eastAsia" w:ascii="仿宋" w:eastAsia="仿宋"/>
          <w:sz w:val="32"/>
          <w:szCs w:val="32"/>
          <w:lang w:val="en-US" w:eastAsia="zh-CN"/>
        </w:rPr>
        <w:t>18.23</w:t>
      </w:r>
      <w:r>
        <w:rPr>
          <w:rFonts w:ascii="仿宋" w:eastAsia="仿宋"/>
          <w:sz w:val="32"/>
          <w:szCs w:val="32"/>
        </w:rPr>
        <w:t>%</w:t>
      </w:r>
      <w:r>
        <w:rPr>
          <w:rFonts w:hint="eastAsia" w:ascii="仿宋" w:eastAsia="仿宋"/>
          <w:sz w:val="32"/>
          <w:szCs w:val="32"/>
          <w:lang w:eastAsia="zh-CN"/>
        </w:rPr>
        <w:t>。</w:t>
      </w:r>
      <w:bookmarkEnd w:id="38"/>
    </w:p>
    <w:p>
      <w:pPr>
        <w:pageBreakBefore w:val="0"/>
        <w:widowControl w:val="0"/>
        <w:kinsoku/>
        <w:wordWrap w:val="0"/>
        <w:overflowPunct/>
        <w:topLinePunct w:val="0"/>
        <w:bidi w:val="0"/>
        <w:spacing w:line="572" w:lineRule="atLeast"/>
        <w:ind w:left="420" w:leftChars="200" w:firstLine="640" w:firstLineChars="200"/>
        <w:textAlignment w:val="auto"/>
        <w:rPr>
          <w:rFonts w:hint="eastAsia" w:ascii="仿宋" w:eastAsia="仿宋"/>
          <w:sz w:val="32"/>
          <w:szCs w:val="32"/>
        </w:rPr>
      </w:pPr>
      <w:r>
        <w:rPr>
          <w:rFonts w:hint="eastAsia" w:ascii="仿宋" w:eastAsia="仿宋"/>
          <w:sz w:val="32"/>
          <w:szCs w:val="32"/>
        </w:rPr>
        <w:t>（图3：支出决算结构图）（饼状图）</w:t>
      </w:r>
    </w:p>
    <w:p>
      <w:pPr>
        <w:pStyle w:val="2"/>
        <w:rPr>
          <w:rFonts w:hint="eastAsia" w:ascii="仿宋" w:eastAsia="仿宋"/>
          <w:sz w:val="32"/>
          <w:szCs w:val="32"/>
        </w:rPr>
      </w:pPr>
      <w:r>
        <w:rPr>
          <w:rFonts w:hint="eastAsia" w:ascii="仿宋_GB2312" w:eastAsia="仿宋_GB2312"/>
          <w:sz w:val="32"/>
          <w:szCs w:val="32"/>
          <w:lang w:eastAsia="zh-CN"/>
        </w:rPr>
        <w:drawing>
          <wp:anchor distT="0" distB="0" distL="114300" distR="114300" simplePos="0" relativeHeight="251661312" behindDoc="0" locked="0" layoutInCell="1" allowOverlap="1">
            <wp:simplePos x="0" y="0"/>
            <wp:positionH relativeFrom="column">
              <wp:posOffset>556895</wp:posOffset>
            </wp:positionH>
            <wp:positionV relativeFrom="paragraph">
              <wp:posOffset>305435</wp:posOffset>
            </wp:positionV>
            <wp:extent cx="3919220" cy="2961640"/>
            <wp:effectExtent l="4445" t="4445" r="19685" b="571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widowControl w:val="0"/>
        <w:kinsoku/>
        <w:wordWrap w:val="0"/>
        <w:overflowPunct/>
        <w:topLinePunct w:val="0"/>
        <w:bidi w:val="0"/>
        <w:spacing w:line="572" w:lineRule="atLeast"/>
        <w:textAlignment w:val="auto"/>
        <w:rPr>
          <w:rFonts w:ascii="仿宋_GB2312" w:eastAsia="仿宋_GB2312"/>
          <w:sz w:val="32"/>
          <w:szCs w:val="32"/>
        </w:rPr>
      </w:pPr>
    </w:p>
    <w:p>
      <w:pPr>
        <w:pageBreakBefore w:val="0"/>
        <w:widowControl w:val="0"/>
        <w:kinsoku/>
        <w:wordWrap w:val="0"/>
        <w:overflowPunct/>
        <w:topLinePunct w:val="0"/>
        <w:bidi w:val="0"/>
        <w:spacing w:line="572" w:lineRule="atLeast"/>
        <w:ind w:firstLine="320" w:firstLineChars="100"/>
        <w:textAlignment w:val="auto"/>
        <w:outlineLvl w:val="9"/>
        <w:rPr>
          <w:rFonts w:hint="eastAsia" w:ascii="黑体" w:eastAsia="黑体"/>
          <w:sz w:val="32"/>
          <w:szCs w:val="32"/>
        </w:rPr>
      </w:pPr>
      <w:bookmarkStart w:id="39" w:name="_Toc15377208"/>
      <w:bookmarkStart w:id="40" w:name="_Toc15396606"/>
    </w:p>
    <w:p>
      <w:pPr>
        <w:pageBreakBefore w:val="0"/>
        <w:widowControl w:val="0"/>
        <w:kinsoku/>
        <w:wordWrap w:val="0"/>
        <w:overflowPunct/>
        <w:topLinePunct w:val="0"/>
        <w:bidi w:val="0"/>
        <w:spacing w:line="572" w:lineRule="atLeast"/>
        <w:ind w:firstLine="320" w:firstLineChars="100"/>
        <w:textAlignment w:val="auto"/>
        <w:outlineLvl w:val="9"/>
        <w:rPr>
          <w:rFonts w:hint="eastAsia" w:ascii="黑体" w:eastAsia="黑体"/>
          <w:sz w:val="32"/>
          <w:szCs w:val="32"/>
        </w:rPr>
      </w:pPr>
    </w:p>
    <w:p>
      <w:pPr>
        <w:pStyle w:val="2"/>
        <w:rPr>
          <w:rFonts w:hint="eastAsia"/>
        </w:rPr>
      </w:pPr>
    </w:p>
    <w:p>
      <w:pPr>
        <w:pageBreakBefore w:val="0"/>
        <w:widowControl w:val="0"/>
        <w:kinsoku/>
        <w:wordWrap w:val="0"/>
        <w:overflowPunct/>
        <w:topLinePunct w:val="0"/>
        <w:bidi w:val="0"/>
        <w:spacing w:line="572" w:lineRule="atLeast"/>
        <w:ind w:firstLine="320" w:firstLineChars="100"/>
        <w:textAlignment w:val="auto"/>
        <w:outlineLvl w:val="1"/>
        <w:rPr>
          <w:rStyle w:val="20"/>
          <w:rFonts w:ascii="黑体" w:eastAsia="黑体"/>
          <w:b w:val="0"/>
        </w:rPr>
      </w:pPr>
      <w:bookmarkStart w:id="41" w:name="_Toc24127"/>
      <w:r>
        <w:rPr>
          <w:rFonts w:hint="eastAsia" w:ascii="黑体" w:eastAsia="黑体"/>
          <w:sz w:val="32"/>
          <w:szCs w:val="32"/>
        </w:rPr>
        <w:t>四、财</w:t>
      </w:r>
      <w:r>
        <w:rPr>
          <w:rStyle w:val="20"/>
          <w:rFonts w:hint="eastAsia" w:ascii="黑体" w:eastAsia="黑体"/>
          <w:b w:val="0"/>
        </w:rPr>
        <w:t>政拨款收入支出决算总体情况说明</w:t>
      </w:r>
      <w:bookmarkEnd w:id="39"/>
      <w:bookmarkEnd w:id="40"/>
      <w:bookmarkEnd w:id="41"/>
    </w:p>
    <w:p>
      <w:pPr>
        <w:pageBreakBefore w:val="0"/>
        <w:widowControl w:val="0"/>
        <w:kinsoku/>
        <w:wordWrap w:val="0"/>
        <w:overflowPunct/>
        <w:topLinePunct w:val="0"/>
        <w:bidi w:val="0"/>
        <w:spacing w:line="572" w:lineRule="atLeast"/>
        <w:ind w:firstLine="640" w:firstLineChars="200"/>
        <w:textAlignment w:val="auto"/>
      </w:pPr>
      <w:r>
        <w:rPr>
          <w:rFonts w:ascii="仿宋" w:eastAsia="仿宋"/>
          <w:sz w:val="32"/>
          <w:szCs w:val="32"/>
        </w:rPr>
        <w:t>20</w:t>
      </w:r>
      <w:r>
        <w:rPr>
          <w:rFonts w:hint="eastAsia" w:ascii="仿宋" w:eastAsia="仿宋"/>
          <w:sz w:val="32"/>
          <w:szCs w:val="32"/>
        </w:rPr>
        <w:t>22年财政拨款收、支总计</w:t>
      </w:r>
      <w:r>
        <w:rPr>
          <w:rFonts w:hint="eastAsia" w:ascii="仿宋" w:eastAsia="仿宋"/>
          <w:sz w:val="32"/>
          <w:szCs w:val="32"/>
          <w:lang w:val="en-US" w:eastAsia="zh-CN"/>
        </w:rPr>
        <w:t>763.44</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21年相比，财政拨款收、支总计各增加</w:t>
      </w:r>
      <w:r>
        <w:rPr>
          <w:rFonts w:hint="eastAsia" w:ascii="仿宋" w:eastAsia="仿宋"/>
          <w:sz w:val="32"/>
          <w:szCs w:val="32"/>
          <w:lang w:val="en-US" w:eastAsia="zh-CN"/>
        </w:rPr>
        <w:t>78.75</w:t>
      </w:r>
      <w:r>
        <w:rPr>
          <w:rFonts w:hint="eastAsia" w:ascii="仿宋" w:eastAsia="仿宋"/>
          <w:sz w:val="32"/>
          <w:szCs w:val="32"/>
        </w:rPr>
        <w:t>万元，增长</w:t>
      </w:r>
      <w:r>
        <w:rPr>
          <w:rFonts w:hint="eastAsia" w:ascii="仿宋" w:eastAsia="仿宋"/>
          <w:sz w:val="32"/>
          <w:szCs w:val="32"/>
          <w:lang w:val="en-US" w:eastAsia="zh-CN"/>
        </w:rPr>
        <w:t>11.50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主要变动原因是</w:t>
      </w:r>
      <w:r>
        <w:rPr>
          <w:rFonts w:hint="eastAsia" w:ascii="仿宋" w:eastAsia="仿宋"/>
          <w:sz w:val="32"/>
          <w:szCs w:val="32"/>
          <w:lang w:eastAsia="zh-CN"/>
        </w:rPr>
        <w:t>：</w:t>
      </w:r>
      <w:r>
        <w:rPr>
          <w:rFonts w:hint="eastAsia" w:ascii="仿宋" w:eastAsia="仿宋"/>
          <w:sz w:val="32"/>
          <w:szCs w:val="32"/>
          <w:lang w:val="en-US" w:eastAsia="zh-CN"/>
        </w:rPr>
        <w:t>本年度新增股级事业单位1个，增加事业运行支出；开展委员履职培训、界别委员培训，增加了会议经费支出；新增领导干部周转房（一期）维修、编纂《红原--红军走过的大草地》等项目、增加了项目支出。</w:t>
      </w:r>
    </w:p>
    <w:p>
      <w:pPr>
        <w:keepNext w:val="0"/>
        <w:keepLines w:val="0"/>
        <w:pageBreakBefore w:val="0"/>
        <w:widowControl w:val="0"/>
        <w:kinsoku/>
        <w:wordWrap w:val="0"/>
        <w:overflowPunct w:val="0"/>
        <w:topLinePunct w:val="0"/>
        <w:autoSpaceDE/>
        <w:autoSpaceDN/>
        <w:bidi w:val="0"/>
        <w:adjustRightInd/>
        <w:snapToGrid/>
        <w:spacing w:line="572" w:lineRule="atLeast"/>
        <w:ind w:firstLine="640" w:firstLineChars="200"/>
        <w:textAlignment w:val="auto"/>
        <w:rPr>
          <w:rFonts w:ascii="仿宋" w:eastAsia="仿宋"/>
          <w:sz w:val="32"/>
          <w:szCs w:val="32"/>
        </w:rPr>
      </w:pPr>
    </w:p>
    <w:p>
      <w:pPr>
        <w:pageBreakBefore w:val="0"/>
        <w:widowControl w:val="0"/>
        <w:kinsoku/>
        <w:wordWrap w:val="0"/>
        <w:overflowPunct/>
        <w:topLinePunct w:val="0"/>
        <w:bidi w:val="0"/>
        <w:spacing w:line="572" w:lineRule="atLeast"/>
        <w:textAlignment w:val="auto"/>
        <w:rPr>
          <w:rFonts w:ascii="仿宋" w:eastAsia="仿宋"/>
          <w:sz w:val="32"/>
          <w:szCs w:val="32"/>
        </w:rPr>
      </w:pPr>
    </w:p>
    <w:p>
      <w:pPr>
        <w:pageBreakBefore w:val="0"/>
        <w:widowControl w:val="0"/>
        <w:kinsoku/>
        <w:wordWrap w:val="0"/>
        <w:overflowPunct/>
        <w:topLinePunct w:val="0"/>
        <w:bidi w:val="0"/>
        <w:spacing w:line="572" w:lineRule="atLeast"/>
        <w:textAlignment w:val="auto"/>
        <w:rPr>
          <w:rFonts w:hint="eastAsia" w:ascii="仿宋" w:eastAsia="仿宋"/>
          <w:sz w:val="32"/>
          <w:szCs w:val="32"/>
        </w:rPr>
      </w:pPr>
      <w:r>
        <w:rPr>
          <w:rFonts w:hint="eastAsia" w:ascii="仿宋" w:eastAsia="仿宋"/>
          <w:sz w:val="32"/>
          <w:szCs w:val="32"/>
        </w:rPr>
        <w:t>（图4：财政拨款收、支决算总计变动情况）（柱状图）</w:t>
      </w:r>
    </w:p>
    <w:p>
      <w:pPr>
        <w:pageBreakBefore w:val="0"/>
        <w:widowControl w:val="0"/>
        <w:kinsoku/>
        <w:wordWrap w:val="0"/>
        <w:overflowPunct/>
        <w:topLinePunct w:val="0"/>
        <w:bidi w:val="0"/>
        <w:spacing w:line="572" w:lineRule="atLeast"/>
        <w:ind w:firstLine="640" w:firstLineChars="200"/>
        <w:textAlignment w:val="auto"/>
        <w:rPr>
          <w:rFonts w:hint="eastAsia" w:ascii="仿宋" w:eastAsia="仿宋"/>
          <w:sz w:val="32"/>
          <w:szCs w:val="32"/>
          <w:lang w:eastAsia="zh-CN"/>
        </w:rPr>
      </w:pPr>
      <w:r>
        <w:rPr>
          <w:rFonts w:hint="eastAsia" w:ascii="仿宋" w:eastAsia="仿宋"/>
          <w:sz w:val="32"/>
          <w:szCs w:val="32"/>
          <w:lang w:eastAsia="zh-CN"/>
        </w:rPr>
        <w:drawing>
          <wp:anchor distT="0" distB="0" distL="114300" distR="114300" simplePos="0" relativeHeight="251662336" behindDoc="0" locked="0" layoutInCell="1" allowOverlap="1">
            <wp:simplePos x="0" y="0"/>
            <wp:positionH relativeFrom="column">
              <wp:posOffset>242570</wp:posOffset>
            </wp:positionH>
            <wp:positionV relativeFrom="paragraph">
              <wp:posOffset>370205</wp:posOffset>
            </wp:positionV>
            <wp:extent cx="4727575" cy="3046730"/>
            <wp:effectExtent l="4445" t="4445" r="11430" b="1587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42" w:name="_Toc15377209"/>
      <w:bookmarkStart w:id="43" w:name="_Toc15396607"/>
    </w:p>
    <w:p>
      <w:pPr>
        <w:pageBreakBefore w:val="0"/>
        <w:widowControl w:val="0"/>
        <w:tabs>
          <w:tab w:val="left" w:pos="516"/>
        </w:tabs>
        <w:kinsoku/>
        <w:wordWrap w:val="0"/>
        <w:overflowPunct/>
        <w:topLinePunct w:val="0"/>
        <w:bidi w:val="0"/>
        <w:spacing w:line="572" w:lineRule="atLeast"/>
        <w:ind w:firstLine="320" w:firstLineChars="100"/>
        <w:textAlignment w:val="auto"/>
        <w:rPr>
          <w:rStyle w:val="20"/>
          <w:rFonts w:hint="eastAsia" w:ascii="黑体" w:eastAsia="黑体"/>
          <w:b w:val="0"/>
        </w:rPr>
      </w:pPr>
      <w:r>
        <w:rPr>
          <w:rFonts w:hint="eastAsia" w:ascii="黑体" w:eastAsia="黑体"/>
          <w:sz w:val="32"/>
          <w:szCs w:val="32"/>
        </w:rPr>
        <w:t>五、</w:t>
      </w:r>
      <w:r>
        <w:rPr>
          <w:rFonts w:hint="eastAsia" w:ascii="黑体" w:eastAsia="黑体"/>
          <w:b/>
          <w:sz w:val="32"/>
          <w:szCs w:val="32"/>
        </w:rPr>
        <w:t>一</w:t>
      </w:r>
      <w:r>
        <w:rPr>
          <w:rStyle w:val="20"/>
          <w:rFonts w:hint="eastAsia" w:ascii="黑体" w:eastAsia="黑体"/>
          <w:b w:val="0"/>
        </w:rPr>
        <w:t>般公共预算财政拨款支出决算情况说明</w:t>
      </w:r>
      <w:bookmarkEnd w:id="42"/>
      <w:bookmarkEnd w:id="43"/>
      <w:bookmarkStart w:id="44" w:name="_Toc15377210"/>
    </w:p>
    <w:p>
      <w:pPr>
        <w:pageBreakBefore w:val="0"/>
        <w:widowControl w:val="0"/>
        <w:kinsoku/>
        <w:wordWrap w:val="0"/>
        <w:overflowPunct/>
        <w:topLinePunct w:val="0"/>
        <w:bidi w:val="0"/>
        <w:spacing w:line="572" w:lineRule="atLeast"/>
        <w:ind w:firstLine="321" w:firstLineChars="100"/>
        <w:textAlignment w:val="auto"/>
        <w:outlineLvl w:val="1"/>
        <w:rPr>
          <w:rFonts w:ascii="仿宋" w:eastAsia="仿宋"/>
          <w:b/>
          <w:sz w:val="32"/>
          <w:szCs w:val="32"/>
        </w:rPr>
      </w:pPr>
      <w:bookmarkStart w:id="45" w:name="_Toc5172"/>
      <w:r>
        <w:rPr>
          <w:rFonts w:hint="eastAsia" w:ascii="仿宋" w:eastAsia="仿宋"/>
          <w:b/>
          <w:sz w:val="32"/>
          <w:szCs w:val="32"/>
        </w:rPr>
        <w:t>（一）一般公共预算财政拨款支出决算总体情况</w:t>
      </w:r>
      <w:bookmarkEnd w:id="44"/>
      <w:bookmarkEnd w:id="45"/>
    </w:p>
    <w:p>
      <w:pPr>
        <w:pageBreakBefore w:val="0"/>
        <w:widowControl w:val="0"/>
        <w:kinsoku/>
        <w:wordWrap w:val="0"/>
        <w:overflowPunct/>
        <w:topLinePunct w:val="0"/>
        <w:bidi w:val="0"/>
        <w:spacing w:line="572" w:lineRule="atLeast"/>
        <w:ind w:firstLine="640" w:firstLineChars="200"/>
        <w:textAlignment w:val="auto"/>
      </w:pP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763.44</w:t>
      </w:r>
      <w:r>
        <w:rPr>
          <w:rFonts w:hint="eastAsia" w:ascii="仿宋" w:eastAsia="仿宋"/>
          <w:sz w:val="32"/>
          <w:szCs w:val="32"/>
        </w:rPr>
        <w:t>万元，占本年支出合计的</w:t>
      </w:r>
      <w:r>
        <w:rPr>
          <w:rFonts w:hint="eastAsia" w:ascii="仿宋" w:eastAsia="仿宋"/>
          <w:sz w:val="32"/>
          <w:szCs w:val="32"/>
          <w:lang w:val="en-US" w:eastAsia="zh-CN"/>
        </w:rPr>
        <w:t>97.96</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21年相比，一般公共预算财政拨款支出增加</w:t>
      </w:r>
      <w:r>
        <w:rPr>
          <w:rFonts w:hint="eastAsia" w:ascii="仿宋" w:eastAsia="仿宋"/>
          <w:sz w:val="32"/>
          <w:szCs w:val="32"/>
          <w:lang w:val="en-US" w:eastAsia="zh-CN"/>
        </w:rPr>
        <w:t>78.75</w:t>
      </w:r>
      <w:r>
        <w:rPr>
          <w:rFonts w:hint="eastAsia" w:ascii="仿宋" w:eastAsia="仿宋"/>
          <w:sz w:val="32"/>
          <w:szCs w:val="32"/>
        </w:rPr>
        <w:t>万元，增长</w:t>
      </w:r>
      <w:r>
        <w:rPr>
          <w:rFonts w:hint="eastAsia" w:ascii="仿宋" w:eastAsia="仿宋"/>
          <w:sz w:val="32"/>
          <w:szCs w:val="32"/>
          <w:lang w:val="en-US" w:eastAsia="zh-CN"/>
        </w:rPr>
        <w:t>11.50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主要变动原因是</w:t>
      </w:r>
      <w:r>
        <w:rPr>
          <w:rFonts w:hint="eastAsia" w:ascii="仿宋" w:eastAsia="仿宋"/>
          <w:sz w:val="32"/>
          <w:szCs w:val="32"/>
          <w:lang w:eastAsia="zh-CN"/>
        </w:rPr>
        <w:t>：</w:t>
      </w:r>
      <w:r>
        <w:rPr>
          <w:rFonts w:hint="eastAsia" w:ascii="仿宋" w:eastAsia="仿宋"/>
          <w:sz w:val="32"/>
          <w:szCs w:val="32"/>
          <w:lang w:val="en-US" w:eastAsia="zh-CN"/>
        </w:rPr>
        <w:t>本年度新增股级事业单位1个，增加事业运行支出；开展委员履职培训、界别委员培训，增加了会议经费支出；新增领导干部周转房（一期）维修、编纂《红原--红军走过的大草地》等项目、增加了项目支出。</w:t>
      </w:r>
    </w:p>
    <w:p>
      <w:pPr>
        <w:pageBreakBefore w:val="0"/>
        <w:widowControl w:val="0"/>
        <w:kinsoku/>
        <w:wordWrap w:val="0"/>
        <w:overflowPunct/>
        <w:topLinePunct w:val="0"/>
        <w:bidi w:val="0"/>
        <w:spacing w:line="572" w:lineRule="atLeast"/>
        <w:ind w:firstLine="640" w:firstLineChars="200"/>
        <w:textAlignment w:val="auto"/>
        <w:rPr>
          <w:rFonts w:ascii="仿宋" w:eastAsia="仿宋"/>
          <w:sz w:val="32"/>
          <w:szCs w:val="32"/>
        </w:rPr>
      </w:pPr>
    </w:p>
    <w:p>
      <w:pPr>
        <w:pageBreakBefore w:val="0"/>
        <w:widowControl w:val="0"/>
        <w:kinsoku/>
        <w:wordWrap w:val="0"/>
        <w:overflowPunct/>
        <w:topLinePunct w:val="0"/>
        <w:bidi w:val="0"/>
        <w:spacing w:line="572" w:lineRule="atLeast"/>
        <w:ind w:left="420" w:leftChars="200" w:firstLine="640" w:firstLineChars="200"/>
        <w:textAlignment w:val="auto"/>
        <w:rPr>
          <w:rFonts w:ascii="仿宋" w:eastAsia="仿宋"/>
          <w:sz w:val="32"/>
          <w:szCs w:val="32"/>
        </w:rPr>
      </w:pPr>
    </w:p>
    <w:p>
      <w:pPr>
        <w:pageBreakBefore w:val="0"/>
        <w:widowControl w:val="0"/>
        <w:kinsoku/>
        <w:wordWrap w:val="0"/>
        <w:overflowPunct/>
        <w:topLinePunct w:val="0"/>
        <w:bidi w:val="0"/>
        <w:spacing w:line="572" w:lineRule="atLeast"/>
        <w:textAlignment w:val="auto"/>
        <w:rPr>
          <w:rFonts w:hint="eastAsia" w:ascii="仿宋" w:eastAsia="仿宋"/>
          <w:sz w:val="32"/>
          <w:szCs w:val="32"/>
        </w:rPr>
      </w:pPr>
      <w:r>
        <w:rPr>
          <w:rFonts w:hint="eastAsia" w:ascii="仿宋" w:eastAsia="仿宋"/>
          <w:sz w:val="32"/>
          <w:szCs w:val="32"/>
        </w:rPr>
        <w:t>（图5：一般公共预算财政拨款支出决算变动情况）（柱状图）</w:t>
      </w:r>
    </w:p>
    <w:p>
      <w:pPr>
        <w:pStyle w:val="2"/>
        <w:rPr>
          <w:rFonts w:hint="eastAsia" w:ascii="仿宋" w:eastAsia="仿宋"/>
          <w:sz w:val="32"/>
          <w:szCs w:val="32"/>
        </w:rPr>
      </w:pPr>
      <w:r>
        <w:rPr>
          <w:rFonts w:hint="eastAsia" w:ascii="仿宋" w:eastAsia="仿宋"/>
          <w:sz w:val="32"/>
          <w:szCs w:val="32"/>
          <w:lang w:eastAsia="zh-CN"/>
        </w:rPr>
        <w:drawing>
          <wp:anchor distT="0" distB="0" distL="114300" distR="114300" simplePos="0" relativeHeight="251663360" behindDoc="0" locked="0" layoutInCell="1" allowOverlap="1">
            <wp:simplePos x="0" y="0"/>
            <wp:positionH relativeFrom="column">
              <wp:posOffset>328295</wp:posOffset>
            </wp:positionH>
            <wp:positionV relativeFrom="paragraph">
              <wp:posOffset>610235</wp:posOffset>
            </wp:positionV>
            <wp:extent cx="4679950" cy="3122930"/>
            <wp:effectExtent l="4445" t="4445" r="20955" b="1587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 w:eastAsia="仿宋"/>
          <w:sz w:val="32"/>
          <w:szCs w:val="32"/>
        </w:rPr>
      </w:pPr>
    </w:p>
    <w:p>
      <w:pPr>
        <w:pageBreakBefore w:val="0"/>
        <w:widowControl w:val="0"/>
        <w:kinsoku/>
        <w:wordWrap w:val="0"/>
        <w:overflowPunct/>
        <w:topLinePunct w:val="0"/>
        <w:bidi w:val="0"/>
        <w:spacing w:line="572" w:lineRule="atLeast"/>
        <w:ind w:firstLine="321" w:firstLineChars="100"/>
        <w:textAlignment w:val="auto"/>
        <w:outlineLvl w:val="2"/>
        <w:rPr>
          <w:rFonts w:ascii="仿宋" w:eastAsia="仿宋"/>
          <w:b/>
          <w:sz w:val="32"/>
          <w:szCs w:val="32"/>
        </w:rPr>
      </w:pPr>
      <w:bookmarkStart w:id="46" w:name="_Toc15377211"/>
      <w:r>
        <w:rPr>
          <w:rFonts w:hint="eastAsia" w:ascii="仿宋" w:eastAsia="仿宋"/>
          <w:b/>
          <w:sz w:val="32"/>
          <w:szCs w:val="32"/>
        </w:rPr>
        <w:t>（二）一般公共预算财政拨款支出决算结构情况</w:t>
      </w:r>
      <w:bookmarkEnd w:id="46"/>
    </w:p>
    <w:p>
      <w:pPr>
        <w:pageBreakBefore w:val="0"/>
        <w:widowControl w:val="0"/>
        <w:kinsoku/>
        <w:wordWrap w:val="0"/>
        <w:overflowPunct/>
        <w:topLinePunct w:val="0"/>
        <w:bidi w:val="0"/>
        <w:spacing w:line="572" w:lineRule="atLeast"/>
        <w:ind w:firstLine="640" w:firstLineChars="200"/>
        <w:textAlignment w:val="auto"/>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22年一般公共预算财政拨款支出</w:t>
      </w:r>
      <w:r>
        <w:rPr>
          <w:rFonts w:hint="eastAsia" w:ascii="仿宋" w:eastAsia="仿宋"/>
          <w:sz w:val="32"/>
          <w:szCs w:val="32"/>
          <w:lang w:val="en-US" w:eastAsia="zh-CN"/>
        </w:rPr>
        <w:t>763.44</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w:t>
      </w:r>
      <w:r>
        <w:rPr>
          <w:rFonts w:hint="eastAsia" w:ascii="仿宋" w:eastAsia="仿宋"/>
          <w:b/>
          <w:bCs/>
          <w:sz w:val="32"/>
          <w:szCs w:val="32"/>
        </w:rPr>
        <w:t>支出</w:t>
      </w:r>
      <w:r>
        <w:rPr>
          <w:rFonts w:hint="eastAsia" w:ascii="仿宋" w:eastAsia="仿宋"/>
          <w:sz w:val="32"/>
          <w:szCs w:val="32"/>
          <w:lang w:val="en-US" w:eastAsia="zh-CN"/>
        </w:rPr>
        <w:t>626.94</w:t>
      </w:r>
      <w:r>
        <w:rPr>
          <w:rFonts w:hint="eastAsia" w:ascii="仿宋" w:eastAsia="仿宋"/>
          <w:sz w:val="32"/>
          <w:szCs w:val="32"/>
        </w:rPr>
        <w:t>万元，占</w:t>
      </w:r>
      <w:r>
        <w:rPr>
          <w:rFonts w:hint="eastAsia" w:ascii="仿宋" w:eastAsia="仿宋"/>
          <w:sz w:val="32"/>
          <w:szCs w:val="32"/>
          <w:lang w:val="en-US" w:eastAsia="zh-CN"/>
        </w:rPr>
        <w:t>82.12</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hint="eastAsia" w:ascii="仿宋" w:eastAsia="仿宋"/>
          <w:sz w:val="32"/>
          <w:szCs w:val="32"/>
          <w:lang w:val="en-US" w:eastAsia="zh-CN"/>
        </w:rPr>
        <w:t>69.63</w:t>
      </w:r>
      <w:r>
        <w:rPr>
          <w:rFonts w:hint="eastAsia" w:ascii="仿宋" w:eastAsia="仿宋"/>
          <w:sz w:val="32"/>
          <w:szCs w:val="32"/>
        </w:rPr>
        <w:t>万元，占</w:t>
      </w:r>
      <w:r>
        <w:rPr>
          <w:rFonts w:hint="eastAsia" w:ascii="仿宋" w:eastAsia="仿宋"/>
          <w:sz w:val="32"/>
          <w:szCs w:val="32"/>
          <w:lang w:val="en-US" w:eastAsia="zh-CN"/>
        </w:rPr>
        <w:t>9.12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30.35</w:t>
      </w:r>
      <w:r>
        <w:rPr>
          <w:rFonts w:hint="eastAsia" w:ascii="仿宋" w:eastAsia="仿宋"/>
          <w:sz w:val="32"/>
          <w:szCs w:val="32"/>
        </w:rPr>
        <w:t>万元，占</w:t>
      </w:r>
      <w:r>
        <w:rPr>
          <w:rFonts w:hint="eastAsia" w:ascii="仿宋" w:eastAsia="仿宋"/>
          <w:sz w:val="32"/>
          <w:szCs w:val="32"/>
          <w:lang w:val="en-US" w:eastAsia="zh-CN"/>
        </w:rPr>
        <w:t>3.98</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lang w:val="en-US" w:eastAsia="zh-CN"/>
        </w:rPr>
        <w:t>36.53</w:t>
      </w:r>
      <w:r>
        <w:rPr>
          <w:rFonts w:hint="eastAsia" w:ascii="仿宋" w:eastAsia="仿宋"/>
          <w:sz w:val="32"/>
          <w:szCs w:val="32"/>
        </w:rPr>
        <w:t>万元，占</w:t>
      </w:r>
      <w:r>
        <w:rPr>
          <w:rFonts w:hint="eastAsia" w:ascii="仿宋" w:eastAsia="仿宋"/>
          <w:sz w:val="32"/>
          <w:szCs w:val="32"/>
          <w:lang w:val="en-US" w:eastAsia="zh-CN"/>
        </w:rPr>
        <w:t>4.78</w:t>
      </w:r>
      <w:r>
        <w:rPr>
          <w:rFonts w:ascii="仿宋" w:eastAsia="仿宋"/>
          <w:sz w:val="32"/>
          <w:szCs w:val="32"/>
        </w:rPr>
        <w:t>%</w:t>
      </w:r>
      <w:r>
        <w:rPr>
          <w:rFonts w:hint="eastAsia" w:ascii="仿宋" w:eastAsia="仿宋"/>
          <w:sz w:val="32"/>
          <w:szCs w:val="32"/>
        </w:rPr>
        <w:t>。</w:t>
      </w:r>
    </w:p>
    <w:p>
      <w:pPr>
        <w:pageBreakBefore w:val="0"/>
        <w:widowControl w:val="0"/>
        <w:kinsoku/>
        <w:wordWrap w:val="0"/>
        <w:overflowPunct/>
        <w:topLinePunct w:val="0"/>
        <w:bidi w:val="0"/>
        <w:spacing w:line="572" w:lineRule="atLeast"/>
        <w:ind w:left="420" w:leftChars="200" w:firstLine="640"/>
        <w:textAlignment w:val="auto"/>
        <w:rPr>
          <w:rFonts w:ascii="仿宋" w:eastAsia="仿宋"/>
          <w:sz w:val="32"/>
          <w:szCs w:val="32"/>
        </w:rPr>
      </w:pPr>
    </w:p>
    <w:p>
      <w:pPr>
        <w:pageBreakBefore w:val="0"/>
        <w:widowControl w:val="0"/>
        <w:kinsoku/>
        <w:wordWrap w:val="0"/>
        <w:overflowPunct/>
        <w:topLinePunct w:val="0"/>
        <w:bidi w:val="0"/>
        <w:spacing w:line="572" w:lineRule="atLeast"/>
        <w:textAlignment w:val="auto"/>
        <w:rPr>
          <w:rFonts w:hint="eastAsia" w:ascii="仿宋" w:eastAsia="仿宋"/>
          <w:sz w:val="32"/>
          <w:szCs w:val="32"/>
        </w:rPr>
      </w:pPr>
      <w:r>
        <w:rPr>
          <w:rFonts w:hint="eastAsia" w:ascii="仿宋" w:eastAsia="仿宋"/>
          <w:sz w:val="32"/>
          <w:szCs w:val="32"/>
        </w:rPr>
        <w:t>（图6：一般公共预算财政拨款支出决算结构）（饼状图）</w:t>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r>
        <w:rPr>
          <w:rFonts w:hint="eastAsia" w:ascii="仿宋_GB2312" w:eastAsia="仿宋_GB2312"/>
          <w:sz w:val="32"/>
          <w:szCs w:val="32"/>
          <w:lang w:eastAsia="zh-CN"/>
        </w:rPr>
        <w:drawing>
          <wp:anchor distT="0" distB="0" distL="114300" distR="114300" simplePos="0" relativeHeight="251664384" behindDoc="0" locked="0" layoutInCell="1" allowOverlap="1">
            <wp:simplePos x="0" y="0"/>
            <wp:positionH relativeFrom="column">
              <wp:posOffset>318770</wp:posOffset>
            </wp:positionH>
            <wp:positionV relativeFrom="paragraph">
              <wp:posOffset>309245</wp:posOffset>
            </wp:positionV>
            <wp:extent cx="4565650" cy="3075305"/>
            <wp:effectExtent l="4445" t="4445" r="20955" b="635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ageBreakBefore w:val="0"/>
        <w:widowControl w:val="0"/>
        <w:kinsoku/>
        <w:wordWrap w:val="0"/>
        <w:overflowPunct/>
        <w:topLinePunct w:val="0"/>
        <w:bidi w:val="0"/>
        <w:spacing w:line="572" w:lineRule="atLeast"/>
        <w:ind w:left="420" w:leftChars="200" w:firstLine="640" w:firstLineChars="200"/>
        <w:textAlignment w:val="auto"/>
        <w:rPr>
          <w:rFonts w:ascii="仿宋" w:eastAsia="仿宋"/>
          <w:sz w:val="32"/>
          <w:szCs w:val="32"/>
        </w:rPr>
      </w:pPr>
    </w:p>
    <w:p>
      <w:pPr>
        <w:pageBreakBefore w:val="0"/>
        <w:widowControl w:val="0"/>
        <w:kinsoku/>
        <w:wordWrap w:val="0"/>
        <w:overflowPunct/>
        <w:topLinePunct w:val="0"/>
        <w:bidi w:val="0"/>
        <w:spacing w:line="572" w:lineRule="atLeast"/>
        <w:ind w:firstLine="643" w:firstLineChars="200"/>
        <w:textAlignment w:val="auto"/>
        <w:outlineLvl w:val="9"/>
        <w:rPr>
          <w:rFonts w:hint="eastAsia" w:ascii="仿宋" w:eastAsia="仿宋"/>
          <w:b/>
          <w:sz w:val="32"/>
          <w:szCs w:val="32"/>
        </w:rPr>
      </w:pPr>
      <w:bookmarkStart w:id="47" w:name="_Toc15377212"/>
    </w:p>
    <w:p>
      <w:pPr>
        <w:pageBreakBefore w:val="0"/>
        <w:widowControl w:val="0"/>
        <w:kinsoku/>
        <w:wordWrap w:val="0"/>
        <w:overflowPunct/>
        <w:topLinePunct w:val="0"/>
        <w:bidi w:val="0"/>
        <w:spacing w:line="572" w:lineRule="atLeast"/>
        <w:textAlignment w:val="auto"/>
        <w:outlineLvl w:val="9"/>
        <w:rPr>
          <w:rFonts w:hint="eastAsia" w:ascii="仿宋" w:eastAsia="仿宋"/>
          <w:b/>
          <w:sz w:val="32"/>
          <w:szCs w:val="32"/>
        </w:rPr>
      </w:pPr>
    </w:p>
    <w:p>
      <w:pPr>
        <w:pStyle w:val="2"/>
        <w:rPr>
          <w:rFonts w:hint="eastAsia"/>
        </w:rPr>
      </w:pPr>
    </w:p>
    <w:p>
      <w:pPr>
        <w:pageBreakBefore w:val="0"/>
        <w:widowControl w:val="0"/>
        <w:kinsoku/>
        <w:wordWrap w:val="0"/>
        <w:overflowPunct/>
        <w:topLinePunct w:val="0"/>
        <w:bidi w:val="0"/>
        <w:spacing w:line="572" w:lineRule="atLeast"/>
        <w:ind w:firstLine="643" w:firstLineChars="200"/>
        <w:textAlignment w:val="auto"/>
        <w:outlineLvl w:val="2"/>
        <w:rPr>
          <w:rFonts w:ascii="仿宋" w:eastAsia="仿宋"/>
          <w:b/>
          <w:sz w:val="32"/>
          <w:szCs w:val="32"/>
        </w:rPr>
      </w:pPr>
      <w:r>
        <w:rPr>
          <w:rFonts w:hint="eastAsia" w:ascii="仿宋" w:eastAsia="仿宋"/>
          <w:b/>
          <w:sz w:val="32"/>
          <w:szCs w:val="32"/>
        </w:rPr>
        <w:t>（三）一般公共预算财政拨款支出决算具体情况</w:t>
      </w:r>
      <w:bookmarkEnd w:id="47"/>
    </w:p>
    <w:p>
      <w:pPr>
        <w:pageBreakBefore w:val="0"/>
        <w:widowControl w:val="0"/>
        <w:kinsoku/>
        <w:wordWrap w:val="0"/>
        <w:overflowPunct/>
        <w:topLinePunct w:val="0"/>
        <w:bidi w:val="0"/>
        <w:spacing w:line="572" w:lineRule="atLeast"/>
        <w:ind w:left="420" w:leftChars="200" w:firstLine="643" w:firstLineChars="200"/>
        <w:textAlignment w:val="auto"/>
        <w:outlineLvl w:val="2"/>
        <w:rPr>
          <w:rFonts w:ascii="仿宋" w:eastAsia="仿宋"/>
          <w:sz w:val="32"/>
          <w:szCs w:val="32"/>
        </w:rPr>
      </w:pPr>
      <w:bookmarkStart w:id="48" w:name="_Toc15377444"/>
      <w:bookmarkStart w:id="49" w:name="_Toc15377213"/>
      <w:bookmarkStart w:id="50" w:name="_Toc15378460"/>
      <w:r>
        <w:rPr>
          <w:rFonts w:hint="eastAsia" w:ascii="仿宋" w:eastAsia="仿宋"/>
          <w:b/>
          <w:sz w:val="32"/>
          <w:szCs w:val="32"/>
        </w:rPr>
        <w:t>2022年一般公共预算支出决算数为</w:t>
      </w:r>
      <w:r>
        <w:rPr>
          <w:rFonts w:hint="eastAsia" w:ascii="仿宋" w:eastAsia="仿宋"/>
          <w:b/>
          <w:sz w:val="32"/>
          <w:szCs w:val="32"/>
          <w:lang w:val="en-US" w:eastAsia="zh-CN"/>
        </w:rPr>
        <w:t>763.44</w:t>
      </w:r>
      <w:r>
        <w:rPr>
          <w:rFonts w:hint="eastAsia" w:ascii="仿宋" w:eastAsia="仿宋"/>
          <w:sz w:val="32"/>
          <w:szCs w:val="32"/>
        </w:rPr>
        <w:t>，</w:t>
      </w:r>
      <w:r>
        <w:rPr>
          <w:rStyle w:val="17"/>
          <w:rFonts w:hint="eastAsia" w:ascii="仿宋" w:eastAsia="仿宋"/>
          <w:bCs/>
          <w:sz w:val="32"/>
          <w:szCs w:val="32"/>
        </w:rPr>
        <w:t>完成预算</w:t>
      </w:r>
      <w:r>
        <w:rPr>
          <w:rStyle w:val="17"/>
          <w:rFonts w:hint="eastAsia" w:ascii="仿宋" w:eastAsia="仿宋"/>
          <w:bCs/>
          <w:sz w:val="32"/>
          <w:szCs w:val="32"/>
          <w:lang w:val="en-US" w:eastAsia="zh-CN"/>
        </w:rPr>
        <w:t>100</w:t>
      </w:r>
      <w:r>
        <w:rPr>
          <w:rStyle w:val="17"/>
          <w:rFonts w:ascii="仿宋" w:eastAsia="仿宋"/>
          <w:bCs/>
          <w:sz w:val="32"/>
          <w:szCs w:val="32"/>
        </w:rPr>
        <w:t>%</w:t>
      </w:r>
      <w:r>
        <w:rPr>
          <w:rStyle w:val="17"/>
          <w:rFonts w:hint="eastAsia" w:ascii="仿宋" w:eastAsia="仿宋"/>
          <w:bCs/>
          <w:sz w:val="32"/>
          <w:szCs w:val="32"/>
        </w:rPr>
        <w:t>。其中：</w:t>
      </w:r>
      <w:bookmarkEnd w:id="48"/>
      <w:bookmarkEnd w:id="49"/>
      <w:bookmarkEnd w:id="50"/>
    </w:p>
    <w:p>
      <w:pPr>
        <w:numPr>
          <w:ilvl w:val="0"/>
          <w:numId w:val="0"/>
        </w:numPr>
        <w:spacing w:line="600" w:lineRule="exact"/>
        <w:ind w:firstLine="643" w:firstLineChars="200"/>
        <w:rPr>
          <w:rStyle w:val="17"/>
          <w:rFonts w:hint="eastAsia" w:ascii="仿宋" w:eastAsia="仿宋"/>
          <w:bCs/>
          <w:sz w:val="32"/>
          <w:szCs w:val="32"/>
        </w:rPr>
      </w:pPr>
      <w:r>
        <w:rPr>
          <w:rStyle w:val="17"/>
          <w:rFonts w:hint="eastAsia" w:ascii="仿宋" w:eastAsia="仿宋"/>
          <w:bCs/>
          <w:sz w:val="32"/>
          <w:szCs w:val="32"/>
          <w:lang w:val="en-US" w:eastAsia="zh-CN"/>
        </w:rPr>
        <w:t>1.</w:t>
      </w:r>
      <w:r>
        <w:rPr>
          <w:rStyle w:val="17"/>
          <w:rFonts w:hint="eastAsia" w:ascii="仿宋" w:eastAsia="仿宋"/>
          <w:bCs/>
          <w:sz w:val="32"/>
          <w:szCs w:val="32"/>
        </w:rPr>
        <w:t>一般公共服务（类）</w:t>
      </w:r>
      <w:r>
        <w:rPr>
          <w:rStyle w:val="17"/>
          <w:rFonts w:hint="eastAsia" w:ascii="仿宋" w:eastAsia="仿宋"/>
          <w:bCs/>
          <w:sz w:val="32"/>
          <w:szCs w:val="32"/>
          <w:lang w:val="en-US" w:eastAsia="zh-CN"/>
        </w:rPr>
        <w:t>政协事务</w:t>
      </w:r>
      <w:r>
        <w:rPr>
          <w:rStyle w:val="17"/>
          <w:rFonts w:hint="eastAsia" w:ascii="仿宋" w:eastAsia="仿宋"/>
          <w:bCs/>
          <w:sz w:val="32"/>
          <w:szCs w:val="32"/>
        </w:rPr>
        <w:t>（款）</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1</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行政运行</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471.65</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default" w:ascii="仿宋" w:eastAsia="仿宋"/>
          <w:bCs/>
          <w:sz w:val="32"/>
          <w:szCs w:val="32"/>
          <w:lang w:val="en-US" w:eastAsia="zh-CN"/>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2</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一般行政管理事务（项）：</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39.96</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3</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政协会议</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47.65</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4</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委员视察</w:t>
      </w:r>
      <w:r>
        <w:rPr>
          <w:rStyle w:val="17"/>
          <w:rFonts w:hint="eastAsia" w:ascii="仿宋" w:eastAsia="仿宋"/>
          <w:bCs/>
          <w:sz w:val="32"/>
          <w:szCs w:val="32"/>
        </w:rPr>
        <w:t>（项）</w:t>
      </w:r>
      <w:r>
        <w:rPr>
          <w:rStyle w:val="17"/>
          <w:rFonts w:ascii="仿宋" w:eastAsia="仿宋"/>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19.49</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5</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参政议政</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35</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Fonts w:hint="eastAsia"/>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6</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事业运行</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13.19</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Cs/>
          <w:sz w:val="32"/>
          <w:szCs w:val="32"/>
          <w:lang w:eastAsia="zh-CN"/>
        </w:rPr>
      </w:pPr>
      <w:r>
        <w:rPr>
          <w:rStyle w:val="17"/>
          <w:rFonts w:hint="eastAsia" w:ascii="仿宋" w:eastAsia="仿宋"/>
          <w:bCs/>
          <w:sz w:val="32"/>
          <w:szCs w:val="32"/>
          <w:lang w:val="en-US" w:eastAsia="zh-CN"/>
        </w:rPr>
        <w:t>2</w:t>
      </w:r>
      <w:r>
        <w:rPr>
          <w:rStyle w:val="17"/>
          <w:rFonts w:ascii="仿宋" w:eastAsia="仿宋"/>
          <w:bCs/>
          <w:sz w:val="32"/>
          <w:szCs w:val="32"/>
        </w:rPr>
        <w:t>.</w:t>
      </w:r>
      <w:r>
        <w:rPr>
          <w:rStyle w:val="17"/>
          <w:rFonts w:hint="eastAsia" w:ascii="仿宋" w:eastAsia="仿宋"/>
          <w:bCs/>
          <w:sz w:val="32"/>
          <w:szCs w:val="32"/>
        </w:rPr>
        <w:t>社会保障和就业（类）</w:t>
      </w:r>
      <w:r>
        <w:rPr>
          <w:rStyle w:val="17"/>
          <w:rFonts w:hint="eastAsia" w:ascii="仿宋" w:eastAsia="仿宋"/>
          <w:bCs/>
          <w:sz w:val="32"/>
          <w:szCs w:val="32"/>
          <w:lang w:val="en-US" w:eastAsia="zh-CN"/>
        </w:rPr>
        <w:t>行政事业养老支出</w:t>
      </w:r>
      <w:r>
        <w:rPr>
          <w:rStyle w:val="17"/>
          <w:rFonts w:hint="eastAsia" w:ascii="仿宋" w:eastAsia="仿宋"/>
          <w:bCs/>
          <w:sz w:val="32"/>
          <w:szCs w:val="32"/>
        </w:rPr>
        <w:t>（款</w:t>
      </w:r>
      <w:r>
        <w:rPr>
          <w:rStyle w:val="17"/>
          <w:rFonts w:hint="eastAsia" w:ascii="仿宋" w:eastAsia="仿宋"/>
          <w:bCs/>
          <w:sz w:val="32"/>
          <w:szCs w:val="32"/>
          <w:lang w:eastAsia="zh-CN"/>
        </w:rPr>
        <w:t>）</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1</w:t>
      </w:r>
      <w:r>
        <w:rPr>
          <w:rStyle w:val="17"/>
          <w:rFonts w:hint="eastAsia" w:ascii="仿宋" w:eastAsia="仿宋"/>
          <w:bCs/>
          <w:sz w:val="32"/>
          <w:szCs w:val="32"/>
          <w:lang w:eastAsia="zh-CN"/>
        </w:rPr>
        <w:t>）机关事业单位基本养老保险缴费支出</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46.42</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2</w:t>
      </w:r>
      <w:r>
        <w:rPr>
          <w:rStyle w:val="17"/>
          <w:rFonts w:hint="eastAsia" w:ascii="仿宋" w:eastAsia="仿宋"/>
          <w:bCs/>
          <w:sz w:val="32"/>
          <w:szCs w:val="32"/>
          <w:lang w:eastAsia="zh-CN"/>
        </w:rPr>
        <w:t>）机关事业单位职业年金缴费支出</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23.21</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Cs/>
          <w:sz w:val="32"/>
          <w:szCs w:val="32"/>
        </w:rPr>
      </w:pPr>
      <w:r>
        <w:rPr>
          <w:rStyle w:val="17"/>
          <w:rFonts w:hint="eastAsia" w:ascii="仿宋" w:eastAsia="仿宋"/>
          <w:bCs/>
          <w:sz w:val="32"/>
          <w:szCs w:val="32"/>
          <w:lang w:val="en-US" w:eastAsia="zh-CN"/>
        </w:rPr>
        <w:t>3</w:t>
      </w:r>
      <w:r>
        <w:rPr>
          <w:rStyle w:val="17"/>
          <w:rFonts w:ascii="仿宋" w:eastAsia="仿宋"/>
          <w:bCs/>
          <w:sz w:val="32"/>
          <w:szCs w:val="32"/>
        </w:rPr>
        <w:t>.</w:t>
      </w:r>
      <w:r>
        <w:rPr>
          <w:rFonts w:hint="eastAsia" w:ascii="仿宋" w:eastAsia="仿宋"/>
          <w:b/>
          <w:bCs/>
          <w:sz w:val="32"/>
          <w:szCs w:val="32"/>
        </w:rPr>
        <w:t>卫生健康</w:t>
      </w:r>
      <w:r>
        <w:rPr>
          <w:rStyle w:val="17"/>
          <w:rFonts w:hint="eastAsia" w:ascii="仿宋" w:eastAsia="仿宋"/>
          <w:bCs/>
          <w:sz w:val="32"/>
          <w:szCs w:val="32"/>
        </w:rPr>
        <w:t>（类）</w:t>
      </w:r>
      <w:r>
        <w:rPr>
          <w:rStyle w:val="17"/>
          <w:rFonts w:hint="eastAsia" w:ascii="仿宋" w:eastAsia="仿宋"/>
          <w:bCs/>
          <w:sz w:val="32"/>
          <w:szCs w:val="32"/>
          <w:lang w:val="en-US" w:eastAsia="zh-CN"/>
        </w:rPr>
        <w:t>行政事业单位医疗</w:t>
      </w:r>
      <w:r>
        <w:rPr>
          <w:rStyle w:val="17"/>
          <w:rFonts w:hint="eastAsia" w:ascii="仿宋" w:eastAsia="仿宋"/>
          <w:bCs/>
          <w:sz w:val="32"/>
          <w:szCs w:val="32"/>
        </w:rPr>
        <w:t>（款）</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1</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行政单位医疗</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22.55</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Cs/>
          <w:sz w:val="32"/>
          <w:szCs w:val="32"/>
          <w:lang w:eastAsia="zh-CN"/>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2</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事业单位医疗</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0.68</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3</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公务员医疗补助</w:t>
      </w:r>
      <w:r>
        <w:rPr>
          <w:rStyle w:val="17"/>
          <w:rFonts w:hint="eastAsia" w:ascii="仿宋" w:eastAsia="仿宋"/>
          <w:bCs/>
          <w:sz w:val="32"/>
          <w:szCs w:val="32"/>
        </w:rPr>
        <w:t>（项）</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6.94</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numPr>
          <w:ilvl w:val="0"/>
          <w:numId w:val="0"/>
        </w:numPr>
        <w:spacing w:line="600" w:lineRule="exact"/>
        <w:ind w:firstLine="643" w:firstLineChars="200"/>
      </w:pPr>
      <w:r>
        <w:rPr>
          <w:rStyle w:val="17"/>
          <w:rFonts w:hint="eastAsia" w:ascii="仿宋" w:eastAsia="仿宋"/>
          <w:bCs/>
          <w:sz w:val="32"/>
          <w:szCs w:val="32"/>
          <w:lang w:eastAsia="zh-CN"/>
        </w:rPr>
        <w:t>（</w:t>
      </w:r>
      <w:r>
        <w:rPr>
          <w:rStyle w:val="17"/>
          <w:rFonts w:hint="eastAsia" w:ascii="仿宋" w:eastAsia="仿宋"/>
          <w:bCs/>
          <w:sz w:val="32"/>
          <w:szCs w:val="32"/>
          <w:lang w:val="en-US" w:eastAsia="zh-CN"/>
        </w:rPr>
        <w:t>4</w:t>
      </w:r>
      <w:r>
        <w:rPr>
          <w:rStyle w:val="17"/>
          <w:rFonts w:hint="eastAsia" w:ascii="仿宋" w:eastAsia="仿宋"/>
          <w:bCs/>
          <w:sz w:val="32"/>
          <w:szCs w:val="32"/>
          <w:lang w:eastAsia="zh-CN"/>
        </w:rPr>
        <w:t>）</w:t>
      </w:r>
      <w:r>
        <w:rPr>
          <w:rStyle w:val="17"/>
          <w:rFonts w:hint="eastAsia" w:ascii="仿宋" w:eastAsia="仿宋"/>
          <w:bCs/>
          <w:sz w:val="32"/>
          <w:szCs w:val="32"/>
          <w:lang w:val="en-US" w:eastAsia="zh-CN"/>
        </w:rPr>
        <w:t>其他行政事业单位医疗支出</w:t>
      </w:r>
      <w:r>
        <w:rPr>
          <w:rStyle w:val="17"/>
          <w:rFonts w:hint="eastAsia" w:ascii="仿宋" w:eastAsia="仿宋"/>
          <w:bCs/>
          <w:sz w:val="32"/>
          <w:szCs w:val="32"/>
        </w:rPr>
        <w:t>（项）</w:t>
      </w:r>
      <w:r>
        <w:rPr>
          <w:rStyle w:val="17"/>
          <w:rFonts w:ascii="仿宋" w:eastAsia="仿宋"/>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0.18</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3" w:firstLineChars="200"/>
      </w:pPr>
      <w:r>
        <w:rPr>
          <w:rFonts w:hint="eastAsia" w:ascii="仿宋" w:eastAsia="仿宋"/>
          <w:b/>
          <w:sz w:val="32"/>
          <w:szCs w:val="32"/>
        </w:rPr>
        <w:t>4.住房保障支出（类）住房改革支出（款）住房公积金（项）:</w:t>
      </w:r>
      <w:r>
        <w:rPr>
          <w:rFonts w:hint="eastAsia" w:ascii="仿宋" w:eastAsia="仿宋"/>
          <w:b w:val="0"/>
          <w:bCs/>
          <w:sz w:val="32"/>
          <w:szCs w:val="32"/>
        </w:rPr>
        <w:t>支出决算为</w:t>
      </w:r>
      <w:r>
        <w:rPr>
          <w:rFonts w:hint="eastAsia" w:ascii="仿宋" w:eastAsia="仿宋"/>
          <w:b w:val="0"/>
          <w:bCs/>
          <w:sz w:val="32"/>
          <w:szCs w:val="32"/>
          <w:lang w:val="en-US" w:eastAsia="zh-CN"/>
        </w:rPr>
        <w:t>36.53</w:t>
      </w:r>
      <w:r>
        <w:rPr>
          <w:rFonts w:hint="eastAsia" w:ascii="仿宋" w:eastAsia="仿宋"/>
          <w:b w:val="0"/>
          <w:bCs/>
          <w:sz w:val="32"/>
          <w:szCs w:val="32"/>
        </w:rPr>
        <w:t>万元，完成预算100%。</w:t>
      </w:r>
    </w:p>
    <w:p>
      <w:pPr>
        <w:pageBreakBefore w:val="0"/>
        <w:widowControl w:val="0"/>
        <w:tabs>
          <w:tab w:val="right" w:pos="8306"/>
        </w:tabs>
        <w:kinsoku/>
        <w:wordWrap w:val="0"/>
        <w:overflowPunct/>
        <w:topLinePunct w:val="0"/>
        <w:bidi w:val="0"/>
        <w:spacing w:line="572" w:lineRule="atLeast"/>
        <w:ind w:firstLine="640" w:firstLineChars="200"/>
        <w:textAlignment w:val="auto"/>
        <w:outlineLvl w:val="1"/>
        <w:rPr>
          <w:rStyle w:val="20"/>
        </w:rPr>
      </w:pPr>
      <w:bookmarkStart w:id="51" w:name="_Toc15377214"/>
      <w:bookmarkStart w:id="52" w:name="_Toc15396608"/>
      <w:bookmarkStart w:id="53" w:name="_Toc3449"/>
      <w:r>
        <w:rPr>
          <w:rFonts w:hint="eastAsia" w:ascii="黑体" w:eastAsia="黑体"/>
          <w:sz w:val="32"/>
          <w:szCs w:val="32"/>
        </w:rPr>
        <w:t>六</w:t>
      </w:r>
      <w:r>
        <w:rPr>
          <w:rFonts w:hint="eastAsia" w:ascii="黑体" w:eastAsia="黑体"/>
          <w:b/>
          <w:sz w:val="32"/>
          <w:szCs w:val="32"/>
        </w:rPr>
        <w:t>、一</w:t>
      </w:r>
      <w:r>
        <w:rPr>
          <w:rStyle w:val="20"/>
          <w:rFonts w:hint="eastAsia" w:ascii="黑体" w:eastAsia="黑体"/>
          <w:b w:val="0"/>
        </w:rPr>
        <w:t>般公共预算财政拨款基本支出决算情况说明</w:t>
      </w:r>
      <w:bookmarkEnd w:id="51"/>
      <w:bookmarkEnd w:id="52"/>
      <w:bookmarkEnd w:id="53"/>
      <w:r>
        <w:rPr>
          <w:rStyle w:val="20"/>
          <w:rFonts w:ascii="黑体" w:eastAsia="黑体"/>
          <w:b w:val="0"/>
        </w:rPr>
        <w:tab/>
      </w:r>
    </w:p>
    <w:p>
      <w:pPr>
        <w:pageBreakBefore w:val="0"/>
        <w:widowControl w:val="0"/>
        <w:kinsoku/>
        <w:wordWrap w:val="0"/>
        <w:overflowPunct/>
        <w:topLinePunct w:val="0"/>
        <w:bidi w:val="0"/>
        <w:spacing w:line="572" w:lineRule="atLeast"/>
        <w:ind w:firstLine="640" w:firstLineChars="200"/>
        <w:textAlignment w:val="auto"/>
        <w:rPr>
          <w:rFonts w:ascii="仿宋" w:eastAsia="仿宋"/>
          <w:sz w:val="32"/>
          <w:szCs w:val="32"/>
        </w:rPr>
      </w:pPr>
      <w:r>
        <w:rPr>
          <w:rFonts w:ascii="仿宋" w:eastAsia="仿宋"/>
          <w:sz w:val="32"/>
          <w:szCs w:val="32"/>
        </w:rPr>
        <w:t>20</w:t>
      </w:r>
      <w:r>
        <w:rPr>
          <w:rFonts w:hint="eastAsia" w:ascii="仿宋" w:eastAsia="仿宋"/>
          <w:sz w:val="32"/>
          <w:szCs w:val="32"/>
        </w:rPr>
        <w:t>22年一般公共预算财政拨款基本支出</w:t>
      </w:r>
      <w:r>
        <w:rPr>
          <w:rFonts w:hint="eastAsia" w:ascii="仿宋" w:eastAsia="仿宋"/>
          <w:sz w:val="32"/>
          <w:szCs w:val="32"/>
          <w:lang w:val="en-US" w:eastAsia="zh-CN"/>
        </w:rPr>
        <w:t>763.44</w:t>
      </w:r>
      <w:r>
        <w:rPr>
          <w:rFonts w:hint="eastAsia" w:ascii="仿宋" w:eastAsia="仿宋"/>
          <w:sz w:val="32"/>
          <w:szCs w:val="32"/>
        </w:rPr>
        <w:t>万元，其中：</w:t>
      </w:r>
    </w:p>
    <w:p>
      <w:pPr>
        <w:pageBreakBefore w:val="0"/>
        <w:widowControl w:val="0"/>
        <w:kinsoku/>
        <w:wordWrap w:val="0"/>
        <w:overflowPunct/>
        <w:topLinePunct w:val="0"/>
        <w:bidi w:val="0"/>
        <w:spacing w:line="572" w:lineRule="atLeast"/>
        <w:ind w:firstLine="640" w:firstLineChars="200"/>
        <w:textAlignment w:val="auto"/>
        <w:rPr>
          <w:rFonts w:hint="eastAsia" w:ascii="仿宋" w:eastAsia="仿宋"/>
          <w:sz w:val="32"/>
          <w:szCs w:val="32"/>
        </w:rPr>
      </w:pPr>
      <w:r>
        <w:rPr>
          <w:rFonts w:hint="eastAsia" w:ascii="仿宋" w:eastAsia="仿宋"/>
          <w:sz w:val="32"/>
          <w:szCs w:val="32"/>
        </w:rPr>
        <w:t>人员经费</w:t>
      </w:r>
      <w:r>
        <w:rPr>
          <w:rFonts w:hint="eastAsia" w:ascii="仿宋" w:eastAsia="仿宋"/>
          <w:sz w:val="32"/>
          <w:szCs w:val="32"/>
          <w:lang w:val="en-US" w:eastAsia="zh-CN"/>
        </w:rPr>
        <w:t>554.89</w:t>
      </w:r>
      <w:r>
        <w:rPr>
          <w:rFonts w:hint="eastAsia" w:ascii="仿宋" w:eastAsia="仿宋"/>
          <w:sz w:val="32"/>
          <w:szCs w:val="32"/>
        </w:rPr>
        <w:t>元，主要包括：基本工资</w:t>
      </w:r>
      <w:r>
        <w:rPr>
          <w:rFonts w:hint="eastAsia" w:ascii="仿宋" w:eastAsia="仿宋"/>
          <w:sz w:val="32"/>
          <w:szCs w:val="32"/>
          <w:lang w:val="en-US" w:eastAsia="zh-CN"/>
        </w:rPr>
        <w:t>108.42万元</w:t>
      </w:r>
      <w:r>
        <w:rPr>
          <w:rFonts w:hint="eastAsia" w:ascii="仿宋" w:eastAsia="仿宋"/>
          <w:sz w:val="32"/>
          <w:szCs w:val="32"/>
        </w:rPr>
        <w:t>、津贴补贴</w:t>
      </w:r>
      <w:r>
        <w:rPr>
          <w:rFonts w:hint="eastAsia" w:ascii="仿宋" w:eastAsia="仿宋"/>
          <w:sz w:val="32"/>
          <w:szCs w:val="32"/>
          <w:lang w:val="en-US" w:eastAsia="zh-CN"/>
        </w:rPr>
        <w:t>267.50万元</w:t>
      </w:r>
      <w:r>
        <w:rPr>
          <w:rFonts w:hint="eastAsia" w:ascii="仿宋" w:eastAsia="仿宋"/>
          <w:sz w:val="32"/>
          <w:szCs w:val="32"/>
        </w:rPr>
        <w:t>、奖金</w:t>
      </w:r>
      <w:r>
        <w:rPr>
          <w:rFonts w:hint="eastAsia" w:ascii="仿宋" w:eastAsia="仿宋"/>
          <w:sz w:val="32"/>
          <w:szCs w:val="32"/>
          <w:lang w:val="en-US" w:eastAsia="zh-CN"/>
        </w:rPr>
        <w:t>9.92万元</w:t>
      </w:r>
      <w:r>
        <w:rPr>
          <w:rFonts w:hint="eastAsia" w:ascii="仿宋" w:eastAsia="仿宋"/>
          <w:sz w:val="32"/>
          <w:szCs w:val="32"/>
        </w:rPr>
        <w:t>、绩效工资</w:t>
      </w:r>
      <w:r>
        <w:rPr>
          <w:rFonts w:hint="eastAsia" w:ascii="仿宋" w:eastAsia="仿宋"/>
          <w:sz w:val="32"/>
          <w:szCs w:val="32"/>
          <w:lang w:val="en-US" w:eastAsia="zh-CN"/>
        </w:rPr>
        <w:t>2.41万元</w:t>
      </w:r>
      <w:r>
        <w:rPr>
          <w:rFonts w:hint="eastAsia" w:ascii="仿宋" w:eastAsia="仿宋"/>
          <w:sz w:val="32"/>
          <w:szCs w:val="32"/>
        </w:rPr>
        <w:t>、机关事业单位基本养老保险缴费</w:t>
      </w:r>
      <w:r>
        <w:rPr>
          <w:rFonts w:hint="eastAsia" w:ascii="仿宋" w:eastAsia="仿宋"/>
          <w:sz w:val="32"/>
          <w:szCs w:val="32"/>
          <w:lang w:val="en-US" w:eastAsia="zh-CN"/>
        </w:rPr>
        <w:t>46.42万元</w:t>
      </w:r>
      <w:r>
        <w:rPr>
          <w:rFonts w:hint="eastAsia" w:ascii="仿宋" w:eastAsia="仿宋"/>
          <w:sz w:val="32"/>
          <w:szCs w:val="32"/>
        </w:rPr>
        <w:t>、职业年金缴费</w:t>
      </w:r>
      <w:r>
        <w:rPr>
          <w:rFonts w:hint="eastAsia" w:ascii="仿宋" w:eastAsia="仿宋"/>
          <w:sz w:val="32"/>
          <w:szCs w:val="32"/>
          <w:lang w:val="en-US" w:eastAsia="zh-CN"/>
        </w:rPr>
        <w:t>23.21万元</w:t>
      </w:r>
      <w:r>
        <w:rPr>
          <w:rFonts w:hint="eastAsia" w:ascii="仿宋" w:eastAsia="仿宋"/>
          <w:sz w:val="32"/>
          <w:szCs w:val="32"/>
        </w:rPr>
        <w:t>、职工基本医疗保险缴费</w:t>
      </w:r>
      <w:r>
        <w:rPr>
          <w:rFonts w:hint="eastAsia" w:ascii="仿宋" w:eastAsia="仿宋"/>
          <w:sz w:val="32"/>
          <w:szCs w:val="32"/>
          <w:lang w:val="en-US" w:eastAsia="zh-CN"/>
        </w:rPr>
        <w:t>23.23</w:t>
      </w:r>
      <w:r>
        <w:rPr>
          <w:rFonts w:hint="eastAsia" w:ascii="仿宋" w:eastAsia="仿宋"/>
          <w:sz w:val="32"/>
          <w:szCs w:val="32"/>
        </w:rPr>
        <w:t>万元、公务员医疗补助缴费</w:t>
      </w:r>
      <w:r>
        <w:rPr>
          <w:rFonts w:hint="eastAsia" w:ascii="仿宋" w:eastAsia="仿宋"/>
          <w:sz w:val="32"/>
          <w:szCs w:val="32"/>
          <w:lang w:val="en-US" w:eastAsia="zh-CN"/>
        </w:rPr>
        <w:t>7.13</w:t>
      </w:r>
      <w:r>
        <w:rPr>
          <w:rFonts w:hint="eastAsia" w:ascii="仿宋" w:eastAsia="仿宋"/>
          <w:sz w:val="32"/>
          <w:szCs w:val="32"/>
        </w:rPr>
        <w:t>万元、其他社会保障缴费</w:t>
      </w:r>
      <w:r>
        <w:rPr>
          <w:rFonts w:hint="eastAsia" w:ascii="仿宋" w:eastAsia="仿宋"/>
          <w:sz w:val="32"/>
          <w:szCs w:val="32"/>
          <w:lang w:val="en-US" w:eastAsia="zh-CN"/>
        </w:rPr>
        <w:t>4.86万元</w:t>
      </w:r>
      <w:r>
        <w:rPr>
          <w:rFonts w:hint="eastAsia" w:ascii="仿宋" w:eastAsia="仿宋"/>
          <w:sz w:val="32"/>
          <w:szCs w:val="32"/>
        </w:rPr>
        <w:t>、住房公积金</w:t>
      </w:r>
      <w:r>
        <w:rPr>
          <w:rFonts w:hint="eastAsia" w:ascii="仿宋" w:eastAsia="仿宋"/>
          <w:sz w:val="32"/>
          <w:szCs w:val="32"/>
          <w:lang w:val="en-US" w:eastAsia="zh-CN"/>
        </w:rPr>
        <w:t>36.53万元、</w:t>
      </w:r>
      <w:r>
        <w:rPr>
          <w:rFonts w:hint="eastAsia" w:ascii="仿宋" w:eastAsia="仿宋"/>
          <w:sz w:val="32"/>
          <w:szCs w:val="32"/>
        </w:rPr>
        <w:t>生活补助</w:t>
      </w:r>
      <w:r>
        <w:rPr>
          <w:rFonts w:hint="eastAsia" w:ascii="仿宋" w:eastAsia="仿宋"/>
          <w:sz w:val="32"/>
          <w:szCs w:val="32"/>
          <w:lang w:val="en-US" w:eastAsia="zh-CN"/>
        </w:rPr>
        <w:t>23.94万元</w:t>
      </w:r>
      <w:r>
        <w:rPr>
          <w:rFonts w:hint="eastAsia" w:ascii="仿宋" w:eastAsia="仿宋"/>
          <w:sz w:val="32"/>
          <w:szCs w:val="32"/>
        </w:rPr>
        <w:t>、医疗费补助</w:t>
      </w:r>
      <w:r>
        <w:rPr>
          <w:rFonts w:hint="eastAsia" w:ascii="仿宋" w:eastAsia="仿宋"/>
          <w:sz w:val="32"/>
          <w:szCs w:val="32"/>
          <w:lang w:val="en-US" w:eastAsia="zh-CN"/>
        </w:rPr>
        <w:t>1.33万元。</w:t>
      </w:r>
      <w:r>
        <w:rPr>
          <w:rFonts w:hint="eastAsia" w:ascii="仿宋" w:eastAsia="仿宋"/>
          <w:sz w:val="32"/>
          <w:szCs w:val="32"/>
        </w:rPr>
        <w:t>　</w:t>
      </w:r>
    </w:p>
    <w:p>
      <w:pPr>
        <w:pageBreakBefore w:val="0"/>
        <w:widowControl w:val="0"/>
        <w:kinsoku/>
        <w:wordWrap w:val="0"/>
        <w:overflowPunct/>
        <w:topLinePunct w:val="0"/>
        <w:bidi w:val="0"/>
        <w:spacing w:line="572" w:lineRule="atLeast"/>
        <w:ind w:firstLine="640" w:firstLineChars="200"/>
        <w:textAlignment w:val="auto"/>
        <w:rPr>
          <w:rFonts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66.46</w:t>
      </w:r>
      <w:r>
        <w:rPr>
          <w:rFonts w:hint="eastAsia" w:ascii="仿宋" w:eastAsia="仿宋"/>
          <w:sz w:val="32"/>
          <w:szCs w:val="32"/>
        </w:rPr>
        <w:t>万元，主要包括：办公费</w:t>
      </w:r>
      <w:r>
        <w:rPr>
          <w:rFonts w:hint="eastAsia" w:ascii="仿宋" w:eastAsia="仿宋"/>
          <w:sz w:val="32"/>
          <w:szCs w:val="32"/>
          <w:lang w:val="en-US" w:eastAsia="zh-CN"/>
        </w:rPr>
        <w:t>14.07万元</w:t>
      </w:r>
      <w:r>
        <w:rPr>
          <w:rFonts w:hint="eastAsia" w:ascii="仿宋" w:eastAsia="仿宋"/>
          <w:sz w:val="32"/>
          <w:szCs w:val="32"/>
        </w:rPr>
        <w:t>、差旅费</w:t>
      </w:r>
      <w:r>
        <w:rPr>
          <w:rFonts w:hint="eastAsia" w:ascii="仿宋" w:eastAsia="仿宋"/>
          <w:sz w:val="32"/>
          <w:szCs w:val="32"/>
          <w:lang w:val="en-US" w:eastAsia="zh-CN"/>
        </w:rPr>
        <w:t>15.61万元</w:t>
      </w:r>
      <w:r>
        <w:rPr>
          <w:rFonts w:hint="eastAsia" w:ascii="仿宋" w:eastAsia="仿宋"/>
          <w:sz w:val="32"/>
          <w:szCs w:val="32"/>
        </w:rPr>
        <w:t>、公务接待费</w:t>
      </w:r>
      <w:r>
        <w:rPr>
          <w:rFonts w:hint="eastAsia" w:ascii="仿宋" w:eastAsia="仿宋"/>
          <w:sz w:val="32"/>
          <w:szCs w:val="32"/>
          <w:lang w:val="en-US" w:eastAsia="zh-CN"/>
        </w:rPr>
        <w:t>1.50万元</w:t>
      </w:r>
      <w:r>
        <w:rPr>
          <w:rFonts w:hint="eastAsia" w:ascii="仿宋" w:eastAsia="仿宋"/>
          <w:sz w:val="32"/>
          <w:szCs w:val="32"/>
        </w:rPr>
        <w:t>、工会经费</w:t>
      </w:r>
      <w:r>
        <w:rPr>
          <w:rFonts w:hint="eastAsia" w:ascii="仿宋" w:eastAsia="仿宋"/>
          <w:sz w:val="32"/>
          <w:szCs w:val="32"/>
          <w:lang w:val="en-US" w:eastAsia="zh-CN"/>
        </w:rPr>
        <w:t>3.08万元</w:t>
      </w:r>
      <w:r>
        <w:rPr>
          <w:rFonts w:hint="eastAsia" w:ascii="仿宋" w:eastAsia="仿宋"/>
          <w:sz w:val="32"/>
          <w:szCs w:val="32"/>
        </w:rPr>
        <w:t>、公务用车运行维护费</w:t>
      </w:r>
      <w:r>
        <w:rPr>
          <w:rFonts w:hint="eastAsia" w:ascii="仿宋" w:eastAsia="仿宋"/>
          <w:sz w:val="32"/>
          <w:szCs w:val="32"/>
          <w:lang w:val="en-US" w:eastAsia="zh-CN"/>
        </w:rPr>
        <w:t>32.20万元。</w:t>
      </w:r>
    </w:p>
    <w:p>
      <w:pPr>
        <w:pageBreakBefore w:val="0"/>
        <w:widowControl w:val="0"/>
        <w:kinsoku/>
        <w:wordWrap w:val="0"/>
        <w:overflowPunct/>
        <w:topLinePunct w:val="0"/>
        <w:bidi w:val="0"/>
        <w:spacing w:line="572" w:lineRule="atLeast"/>
        <w:ind w:left="319" w:leftChars="152" w:firstLine="320" w:firstLineChars="100"/>
        <w:textAlignment w:val="auto"/>
        <w:outlineLvl w:val="1"/>
        <w:rPr>
          <w:rFonts w:ascii="仿宋" w:eastAsia="仿宋"/>
          <w:b/>
          <w:sz w:val="32"/>
          <w:szCs w:val="32"/>
        </w:rPr>
      </w:pPr>
      <w:bookmarkStart w:id="54" w:name="_Toc15377215"/>
      <w:bookmarkStart w:id="55" w:name="_Toc15396609"/>
      <w:bookmarkStart w:id="56" w:name="_Toc23281"/>
      <w:r>
        <w:rPr>
          <w:rFonts w:hint="eastAsia" w:ascii="黑体" w:eastAsia="黑体"/>
          <w:sz w:val="32"/>
          <w:szCs w:val="32"/>
        </w:rPr>
        <w:t>七、</w:t>
      </w:r>
      <w:r>
        <w:rPr>
          <w:rStyle w:val="20"/>
          <w:rFonts w:hint="eastAsia" w:ascii="黑体" w:eastAsia="黑体"/>
          <w:b w:val="0"/>
        </w:rPr>
        <w:t>财政拨款</w:t>
      </w:r>
      <w:r>
        <w:rPr>
          <w:rStyle w:val="20"/>
          <w:rFonts w:hint="eastAsia" w:ascii="黑体" w:eastAsia="黑体"/>
        </w:rPr>
        <w:t>“</w:t>
      </w:r>
      <w:r>
        <w:rPr>
          <w:rStyle w:val="20"/>
          <w:rFonts w:hint="eastAsia" w:ascii="黑体" w:eastAsia="黑体"/>
          <w:b w:val="0"/>
        </w:rPr>
        <w:t>三公”经费支出决算情况说明</w:t>
      </w:r>
      <w:bookmarkEnd w:id="54"/>
      <w:bookmarkEnd w:id="55"/>
      <w:bookmarkStart w:id="57" w:name="_Toc15377216"/>
      <w:r>
        <w:rPr>
          <w:rStyle w:val="20"/>
          <w:rFonts w:hint="eastAsia" w:ascii="黑体" w:eastAsia="黑体"/>
          <w:b w:val="0"/>
          <w:lang w:val="en-US"/>
        </w:rPr>
        <w:t xml:space="preserve">       </w:t>
      </w:r>
      <w:r>
        <w:rPr>
          <w:rFonts w:hint="eastAsia" w:ascii="仿宋" w:eastAsia="仿宋"/>
          <w:b/>
          <w:sz w:val="32"/>
          <w:szCs w:val="32"/>
        </w:rPr>
        <w:t>（一）“三公”经费财政拨款支出决算总体情况说明</w:t>
      </w:r>
      <w:bookmarkEnd w:id="56"/>
      <w:bookmarkEnd w:id="57"/>
    </w:p>
    <w:p>
      <w:pPr>
        <w:pageBreakBefore w:val="0"/>
        <w:widowControl w:val="0"/>
        <w:kinsoku/>
        <w:wordWrap w:val="0"/>
        <w:overflowPunct/>
        <w:topLinePunct w:val="0"/>
        <w:bidi w:val="0"/>
        <w:spacing w:line="572" w:lineRule="atLeast"/>
        <w:ind w:firstLine="640" w:firstLineChars="200"/>
        <w:textAlignment w:val="auto"/>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22年“三公”经费财政拨款支出决算为</w:t>
      </w:r>
      <w:r>
        <w:rPr>
          <w:rFonts w:hint="eastAsia" w:ascii="仿宋" w:eastAsia="仿宋"/>
          <w:sz w:val="32"/>
          <w:szCs w:val="32"/>
          <w:lang w:val="en-US" w:eastAsia="zh-CN"/>
        </w:rPr>
        <w:t>33.70</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，较上年增加</w:t>
      </w:r>
      <w:r>
        <w:rPr>
          <w:rFonts w:hint="eastAsia" w:ascii="仿宋" w:eastAsia="仿宋"/>
          <w:sz w:val="32"/>
          <w:szCs w:val="32"/>
          <w:lang w:val="en-US" w:eastAsia="zh-CN"/>
        </w:rPr>
        <w:t>6.05</w:t>
      </w:r>
      <w:r>
        <w:rPr>
          <w:rFonts w:hint="eastAsia" w:ascii="仿宋" w:eastAsia="仿宋"/>
          <w:sz w:val="32"/>
          <w:szCs w:val="32"/>
        </w:rPr>
        <w:t>万元，增长</w:t>
      </w:r>
      <w:r>
        <w:rPr>
          <w:rFonts w:hint="eastAsia" w:ascii="仿宋" w:eastAsia="仿宋"/>
          <w:sz w:val="32"/>
          <w:szCs w:val="32"/>
          <w:lang w:val="en-US" w:eastAsia="zh-CN"/>
        </w:rPr>
        <w:t>22.39</w:t>
      </w:r>
      <w:r>
        <w:rPr>
          <w:rFonts w:hint="eastAsia" w:ascii="仿宋" w:eastAsia="仿宋"/>
          <w:sz w:val="32"/>
          <w:szCs w:val="32"/>
        </w:rPr>
        <w:t>%。决算数与预算数持平</w:t>
      </w:r>
      <w:r>
        <w:rPr>
          <w:rFonts w:hint="eastAsia" w:ascii="仿宋" w:eastAsia="仿宋"/>
          <w:sz w:val="32"/>
          <w:szCs w:val="32"/>
          <w:lang w:eastAsia="zh-CN"/>
        </w:rPr>
        <w:t>。</w:t>
      </w:r>
    </w:p>
    <w:p>
      <w:pPr>
        <w:pageBreakBefore w:val="0"/>
        <w:widowControl w:val="0"/>
        <w:kinsoku/>
        <w:wordWrap w:val="0"/>
        <w:overflowPunct/>
        <w:topLinePunct w:val="0"/>
        <w:bidi w:val="0"/>
        <w:spacing w:line="572" w:lineRule="atLeast"/>
        <w:ind w:firstLine="321" w:firstLineChars="100"/>
        <w:textAlignment w:val="auto"/>
        <w:outlineLvl w:val="2"/>
        <w:rPr>
          <w:rFonts w:ascii="仿宋" w:eastAsia="仿宋"/>
          <w:b/>
          <w:sz w:val="32"/>
          <w:szCs w:val="32"/>
        </w:rPr>
      </w:pPr>
      <w:bookmarkStart w:id="58" w:name="_Toc15377217"/>
      <w:r>
        <w:rPr>
          <w:rFonts w:hint="eastAsia" w:ascii="仿宋" w:eastAsia="仿宋"/>
          <w:b/>
          <w:sz w:val="32"/>
          <w:szCs w:val="32"/>
        </w:rPr>
        <w:t>（二）“三公”经费财政拨款支出决算具体情况说明</w:t>
      </w:r>
      <w:bookmarkEnd w:id="58"/>
    </w:p>
    <w:p>
      <w:pPr>
        <w:pageBreakBefore w:val="0"/>
        <w:widowControl w:val="0"/>
        <w:kinsoku/>
        <w:wordWrap w:val="0"/>
        <w:overflowPunct/>
        <w:topLinePunct w:val="0"/>
        <w:bidi w:val="0"/>
        <w:spacing w:line="572" w:lineRule="atLeast"/>
        <w:ind w:firstLine="640" w:firstLineChars="200"/>
        <w:textAlignment w:val="auto"/>
        <w:rPr>
          <w:rFonts w:ascii="仿宋" w:eastAsia="仿宋"/>
          <w:sz w:val="32"/>
          <w:szCs w:val="32"/>
        </w:rPr>
      </w:pPr>
      <w:r>
        <w:rPr>
          <w:rFonts w:ascii="仿宋" w:eastAsia="仿宋"/>
          <w:sz w:val="32"/>
          <w:szCs w:val="32"/>
        </w:rPr>
        <w:t>20</w:t>
      </w:r>
      <w:r>
        <w:rPr>
          <w:rFonts w:hint="eastAsia" w:ascii="仿宋" w:eastAsia="仿宋"/>
          <w:sz w:val="32"/>
          <w:szCs w:val="32"/>
        </w:rPr>
        <w:t>22年“三公”经费财政拨款支出决算中，因公出国（境）费支出决算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32.20</w:t>
      </w:r>
      <w:r>
        <w:rPr>
          <w:rFonts w:hint="eastAsia" w:ascii="仿宋" w:eastAsia="仿宋"/>
          <w:sz w:val="32"/>
          <w:szCs w:val="32"/>
        </w:rPr>
        <w:t>万元，占</w:t>
      </w:r>
      <w:r>
        <w:rPr>
          <w:rFonts w:hint="eastAsia" w:ascii="仿宋" w:eastAsia="仿宋"/>
          <w:sz w:val="32"/>
          <w:szCs w:val="32"/>
          <w:lang w:val="en-US" w:eastAsia="zh-CN"/>
        </w:rPr>
        <w:t>95.55</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1.50</w:t>
      </w:r>
      <w:r>
        <w:rPr>
          <w:rFonts w:hint="eastAsia" w:ascii="仿宋" w:eastAsia="仿宋"/>
          <w:sz w:val="32"/>
          <w:szCs w:val="32"/>
        </w:rPr>
        <w:t>万元，占</w:t>
      </w:r>
      <w:r>
        <w:rPr>
          <w:rFonts w:hint="eastAsia" w:ascii="仿宋" w:eastAsia="仿宋"/>
          <w:sz w:val="32"/>
          <w:szCs w:val="32"/>
          <w:lang w:val="en-US" w:eastAsia="zh-CN"/>
        </w:rPr>
        <w:t>4.45</w:t>
      </w:r>
      <w:r>
        <w:rPr>
          <w:rFonts w:ascii="仿宋" w:eastAsia="仿宋"/>
          <w:sz w:val="32"/>
          <w:szCs w:val="32"/>
        </w:rPr>
        <w:t>%</w:t>
      </w:r>
      <w:r>
        <w:rPr>
          <w:rFonts w:hint="eastAsia" w:ascii="仿宋" w:eastAsia="仿宋"/>
          <w:sz w:val="32"/>
          <w:szCs w:val="32"/>
        </w:rPr>
        <w:t>。具体情况如下：</w:t>
      </w:r>
    </w:p>
    <w:p>
      <w:pPr>
        <w:pageBreakBefore w:val="0"/>
        <w:widowControl w:val="0"/>
        <w:kinsoku/>
        <w:wordWrap w:val="0"/>
        <w:overflowPunct/>
        <w:topLinePunct w:val="0"/>
        <w:bidi w:val="0"/>
        <w:spacing w:line="572" w:lineRule="atLeast"/>
        <w:textAlignment w:val="auto"/>
        <w:rPr>
          <w:rFonts w:hint="eastAsia" w:ascii="仿宋" w:eastAsia="仿宋"/>
          <w:sz w:val="32"/>
          <w:szCs w:val="32"/>
        </w:rPr>
      </w:pPr>
    </w:p>
    <w:p>
      <w:pPr>
        <w:pageBreakBefore w:val="0"/>
        <w:widowControl w:val="0"/>
        <w:kinsoku/>
        <w:wordWrap w:val="0"/>
        <w:overflowPunct/>
        <w:topLinePunct w:val="0"/>
        <w:bidi w:val="0"/>
        <w:spacing w:line="572" w:lineRule="atLeast"/>
        <w:textAlignment w:val="auto"/>
        <w:rPr>
          <w:rFonts w:hint="eastAsia" w:ascii="仿宋" w:eastAsia="仿宋"/>
          <w:sz w:val="32"/>
          <w:szCs w:val="32"/>
        </w:rPr>
      </w:pPr>
      <w:r>
        <w:rPr>
          <w:rFonts w:hint="eastAsia" w:ascii="仿宋" w:eastAsia="仿宋"/>
          <w:sz w:val="32"/>
          <w:szCs w:val="32"/>
        </w:rPr>
        <w:t>（图7：“三公”经费财政拨款支出结构）（饼状图）</w:t>
      </w:r>
    </w:p>
    <w:p>
      <w:pPr>
        <w:pStyle w:val="2"/>
        <w:rPr>
          <w:rFonts w:hint="eastAsia" w:ascii="仿宋" w:eastAsia="仿宋"/>
          <w:sz w:val="32"/>
          <w:szCs w:val="32"/>
        </w:rPr>
      </w:pPr>
      <w:r>
        <w:rPr>
          <w:rFonts w:hint="eastAsia" w:ascii="仿宋_GB2312" w:eastAsia="仿宋_GB2312"/>
          <w:sz w:val="32"/>
          <w:szCs w:val="32"/>
          <w:lang w:eastAsia="zh-CN"/>
        </w:rPr>
        <w:drawing>
          <wp:anchor distT="0" distB="0" distL="114300" distR="114300" simplePos="0" relativeHeight="251665408" behindDoc="0" locked="0" layoutInCell="1" allowOverlap="1">
            <wp:simplePos x="0" y="0"/>
            <wp:positionH relativeFrom="column">
              <wp:posOffset>-100330</wp:posOffset>
            </wp:positionH>
            <wp:positionV relativeFrom="paragraph">
              <wp:posOffset>118745</wp:posOffset>
            </wp:positionV>
            <wp:extent cx="5079365" cy="3329940"/>
            <wp:effectExtent l="4445" t="4445" r="21590" b="1841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持平</w:t>
      </w:r>
      <w:r>
        <w:rPr>
          <w:rFonts w:hint="eastAsia" w:ascii="仿宋_GB2312" w:eastAsia="仿宋_GB2312"/>
          <w:sz w:val="32"/>
          <w:szCs w:val="32"/>
        </w:rPr>
        <w:t>。主要原因是</w:t>
      </w:r>
      <w:r>
        <w:rPr>
          <w:rStyle w:val="17"/>
          <w:rFonts w:hint="eastAsia" w:ascii="仿宋" w:eastAsia="仿宋"/>
          <w:b w:val="0"/>
          <w:bCs/>
          <w:sz w:val="32"/>
          <w:szCs w:val="32"/>
        </w:rPr>
        <w:t>没有安排因公出国（境）。</w:t>
      </w:r>
    </w:p>
    <w:p>
      <w:pPr>
        <w:pageBreakBefore w:val="0"/>
        <w:widowControl w:val="0"/>
        <w:kinsoku/>
        <w:wordWrap w:val="0"/>
        <w:overflowPunct/>
        <w:topLinePunct w:val="0"/>
        <w:bidi w:val="0"/>
        <w:spacing w:line="572" w:lineRule="atLeast"/>
        <w:ind w:firstLine="643" w:firstLineChars="200"/>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32.20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6.43</w:t>
      </w:r>
      <w:r>
        <w:rPr>
          <w:rFonts w:hint="eastAsia" w:ascii="仿宋_GB2312" w:eastAsia="仿宋_GB2312"/>
          <w:sz w:val="32"/>
          <w:szCs w:val="32"/>
        </w:rPr>
        <w:t>万元，增长</w:t>
      </w:r>
      <w:r>
        <w:rPr>
          <w:rFonts w:hint="eastAsia" w:ascii="仿宋_GB2312" w:eastAsia="仿宋_GB2312"/>
          <w:sz w:val="32"/>
          <w:szCs w:val="32"/>
          <w:lang w:val="en-US" w:eastAsia="zh-CN"/>
        </w:rPr>
        <w:t>24.95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本年度新增“双助”、“委员联络站”专项工作，增加了相应的车辆运行维护费</w:t>
      </w:r>
      <w:r>
        <w:rPr>
          <w:rFonts w:hint="eastAsia" w:ascii="仿宋_GB2312" w:eastAsia="仿宋_GB2312"/>
          <w:sz w:val="32"/>
          <w:szCs w:val="32"/>
        </w:rPr>
        <w:t>。</w:t>
      </w:r>
    </w:p>
    <w:p>
      <w:pPr>
        <w:pStyle w:val="30"/>
        <w:spacing w:before="0" w:beforeAutospacing="0" w:afterAutospacing="0"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32.20</w:t>
      </w:r>
      <w:r>
        <w:rPr>
          <w:rFonts w:hint="eastAsia" w:ascii="仿宋_GB2312" w:eastAsia="仿宋_GB2312"/>
          <w:sz w:val="32"/>
          <w:szCs w:val="32"/>
        </w:rPr>
        <w:t>万元。主要用于</w:t>
      </w:r>
      <w:r>
        <w:rPr>
          <w:rFonts w:ascii="仿宋_GB2312" w:hAnsi="仿宋_GB2312" w:eastAsia="仿宋_GB2312" w:cs="仿宋_GB2312"/>
          <w:sz w:val="32"/>
          <w:szCs w:val="32"/>
          <w:shd w:val="clear" w:color="auto" w:fill="FFFFFF"/>
        </w:rPr>
        <w:t>开展调研视察、“</w:t>
      </w:r>
      <w:r>
        <w:rPr>
          <w:rFonts w:hint="eastAsia" w:ascii="仿宋_GB2312" w:hAnsi="仿宋_GB2312" w:eastAsia="仿宋_GB2312" w:cs="仿宋_GB2312"/>
          <w:sz w:val="32"/>
          <w:szCs w:val="32"/>
          <w:shd w:val="clear" w:color="auto" w:fill="FFFFFF"/>
          <w:lang w:val="en-US" w:eastAsia="zh-CN"/>
        </w:rPr>
        <w:t>有事来协商</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双助</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等工作</w:t>
      </w:r>
      <w:r>
        <w:rPr>
          <w:rFonts w:ascii="仿宋_GB2312" w:hAnsi="仿宋_GB2312" w:eastAsia="仿宋_GB2312" w:cs="仿宋_GB2312"/>
          <w:sz w:val="32"/>
          <w:szCs w:val="32"/>
          <w:shd w:val="clear" w:color="auto" w:fill="FFFFFF"/>
        </w:rPr>
        <w:t>以及单位领导干部出差等所需的公务用车燃料费、维修费、过路过桥费、保险费等支出。</w:t>
      </w:r>
    </w:p>
    <w:p>
      <w:pPr>
        <w:pageBreakBefore w:val="0"/>
        <w:widowControl w:val="0"/>
        <w:kinsoku/>
        <w:wordWrap w:val="0"/>
        <w:overflowPunct/>
        <w:topLinePunct w:val="0"/>
        <w:bidi w:val="0"/>
        <w:spacing w:line="572" w:lineRule="atLeast"/>
        <w:ind w:firstLine="643" w:firstLineChars="200"/>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1.50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0.25</w:t>
      </w:r>
      <w:r>
        <w:rPr>
          <w:rFonts w:hint="eastAsia" w:ascii="仿宋_GB2312" w:eastAsia="仿宋_GB2312"/>
          <w:sz w:val="32"/>
          <w:szCs w:val="32"/>
        </w:rPr>
        <w:t>万元，增长</w:t>
      </w: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接待批次较上年有所增加</w:t>
      </w:r>
      <w:r>
        <w:rPr>
          <w:rFonts w:hint="eastAsia" w:ascii="仿宋_GB2312" w:eastAsia="仿宋_GB2312"/>
          <w:sz w:val="32"/>
          <w:szCs w:val="32"/>
        </w:rPr>
        <w:t>。其中：</w:t>
      </w:r>
    </w:p>
    <w:p>
      <w:pPr>
        <w:pageBreakBefore w:val="0"/>
        <w:widowControl w:val="0"/>
        <w:kinsoku/>
        <w:wordWrap w:val="0"/>
        <w:overflowPunct/>
        <w:topLinePunct w:val="0"/>
        <w:bidi w:val="0"/>
        <w:spacing w:line="572" w:lineRule="atLeast"/>
        <w:ind w:firstLine="643" w:firstLineChars="200"/>
        <w:textAlignment w:val="auto"/>
        <w:rPr>
          <w:rFonts w:ascii="黑体" w:eastAsia="黑体"/>
          <w:sz w:val="32"/>
          <w:szCs w:val="32"/>
        </w:rPr>
      </w:pPr>
      <w:r>
        <w:rPr>
          <w:rFonts w:hint="eastAsia" w:ascii="仿宋" w:eastAsia="仿宋"/>
          <w:b/>
          <w:sz w:val="32"/>
          <w:szCs w:val="32"/>
        </w:rPr>
        <w:t>国内公务接待支出</w:t>
      </w:r>
      <w:r>
        <w:rPr>
          <w:rFonts w:hint="eastAsia" w:ascii="仿宋" w:eastAsia="仿宋"/>
          <w:sz w:val="32"/>
          <w:szCs w:val="32"/>
          <w:lang w:val="en-US" w:eastAsia="zh-CN"/>
        </w:rPr>
        <w:t>1.50</w:t>
      </w:r>
      <w:r>
        <w:rPr>
          <w:rFonts w:hint="eastAsia" w:ascii="仿宋_GB2312" w:eastAsia="仿宋_GB2312"/>
          <w:sz w:val="32"/>
          <w:szCs w:val="32"/>
        </w:rPr>
        <w:t>万元，主要用于</w:t>
      </w:r>
      <w:r>
        <w:rPr>
          <w:rFonts w:hint="eastAsia" w:ascii="仿宋_GB2312" w:eastAsia="仿宋_GB2312"/>
          <w:sz w:val="32"/>
          <w:szCs w:val="32"/>
          <w:lang w:val="en-US" w:eastAsia="zh-CN"/>
        </w:rPr>
        <w:t>接待各市（县）兄弟政协</w:t>
      </w:r>
      <w:r>
        <w:rPr>
          <w:rFonts w:hint="eastAsia" w:ascii="仿宋_GB2312" w:eastAsia="仿宋_GB2312"/>
          <w:sz w:val="32"/>
          <w:szCs w:val="32"/>
        </w:rPr>
        <w:t>开展业务活动</w:t>
      </w:r>
      <w:r>
        <w:rPr>
          <w:rFonts w:hint="eastAsia" w:ascii="仿宋_GB2312" w:eastAsia="仿宋_GB2312"/>
          <w:sz w:val="32"/>
          <w:szCs w:val="32"/>
          <w:lang w:eastAsia="zh-CN"/>
        </w:rPr>
        <w:t>、</w:t>
      </w:r>
      <w:r>
        <w:rPr>
          <w:rFonts w:hint="eastAsia" w:ascii="仿宋_GB2312" w:eastAsia="仿宋_GB2312"/>
          <w:sz w:val="32"/>
          <w:szCs w:val="32"/>
          <w:lang w:val="en-US" w:eastAsia="zh-CN"/>
        </w:rPr>
        <w:t>调研视察等</w:t>
      </w:r>
      <w:r>
        <w:rPr>
          <w:rFonts w:hint="eastAsia" w:ascii="仿宋_GB2312" w:eastAsia="仿宋_GB2312"/>
          <w:sz w:val="32"/>
          <w:szCs w:val="32"/>
        </w:rPr>
        <w:t>开支的用餐费。国内公务接待</w:t>
      </w:r>
      <w:r>
        <w:rPr>
          <w:rFonts w:hint="eastAsia" w:ascii="仿宋_GB2312" w:eastAsia="仿宋_GB2312"/>
          <w:sz w:val="32"/>
          <w:szCs w:val="32"/>
          <w:lang w:val="en-US" w:eastAsia="zh-CN"/>
        </w:rPr>
        <w:t>7</w:t>
      </w:r>
      <w:r>
        <w:rPr>
          <w:rFonts w:hint="eastAsia" w:ascii="仿宋_GB2312" w:eastAsia="仿宋_GB2312"/>
          <w:sz w:val="32"/>
          <w:szCs w:val="32"/>
        </w:rPr>
        <w:t>批次，</w:t>
      </w:r>
      <w:r>
        <w:rPr>
          <w:rFonts w:hint="eastAsia" w:ascii="仿宋_GB2312" w:eastAsia="仿宋_GB2312"/>
          <w:sz w:val="32"/>
          <w:szCs w:val="32"/>
          <w:lang w:val="en-US" w:eastAsia="zh-CN"/>
        </w:rPr>
        <w:t>79</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1.50</w:t>
      </w:r>
      <w:r>
        <w:rPr>
          <w:rFonts w:hint="eastAsia" w:ascii="仿宋_GB2312" w:eastAsia="仿宋_GB2312"/>
          <w:sz w:val="32"/>
          <w:szCs w:val="32"/>
        </w:rPr>
        <w:t>万元。</w:t>
      </w:r>
      <w:bookmarkStart w:id="59" w:name="_Toc15377218"/>
      <w:bookmarkStart w:id="60" w:name="_Toc15396610"/>
    </w:p>
    <w:p>
      <w:pPr>
        <w:pageBreakBefore w:val="0"/>
        <w:widowControl w:val="0"/>
        <w:kinsoku/>
        <w:wordWrap w:val="0"/>
        <w:overflowPunct/>
        <w:topLinePunct w:val="0"/>
        <w:bidi w:val="0"/>
        <w:spacing w:line="572" w:lineRule="atLeast"/>
        <w:ind w:firstLine="640" w:firstLineChars="200"/>
        <w:textAlignment w:val="auto"/>
        <w:outlineLvl w:val="1"/>
        <w:rPr>
          <w:rStyle w:val="20"/>
          <w:rFonts w:ascii="黑体" w:eastAsia="黑体"/>
        </w:rPr>
      </w:pPr>
      <w:bookmarkStart w:id="61" w:name="_Toc26273"/>
      <w:r>
        <w:rPr>
          <w:rFonts w:hint="eastAsia" w:ascii="黑体" w:eastAsia="黑体"/>
          <w:sz w:val="32"/>
          <w:szCs w:val="32"/>
        </w:rPr>
        <w:t>八、</w:t>
      </w:r>
      <w:r>
        <w:rPr>
          <w:rStyle w:val="20"/>
          <w:rFonts w:hint="eastAsia" w:ascii="黑体" w:eastAsia="黑体"/>
          <w:b w:val="0"/>
        </w:rPr>
        <w:t>政府性基金预算支出决算情况说明</w:t>
      </w:r>
      <w:bookmarkEnd w:id="59"/>
      <w:bookmarkEnd w:id="60"/>
      <w:bookmarkEnd w:id="61"/>
    </w:p>
    <w:p>
      <w:pPr>
        <w:pageBreakBefore w:val="0"/>
        <w:widowControl w:val="0"/>
        <w:kinsoku/>
        <w:wordWrap w:val="0"/>
        <w:overflowPunct/>
        <w:topLinePunct w:val="0"/>
        <w:bidi w:val="0"/>
        <w:spacing w:line="572" w:lineRule="atLeas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widowControl w:val="0"/>
        <w:numPr>
          <w:numId w:val="0"/>
        </w:numPr>
        <w:kinsoku/>
        <w:wordWrap w:val="0"/>
        <w:overflowPunct/>
        <w:topLinePunct w:val="0"/>
        <w:bidi w:val="0"/>
        <w:spacing w:line="572" w:lineRule="atLeast"/>
        <w:ind w:leftChars="200" w:firstLine="320" w:firstLineChars="100"/>
        <w:textAlignment w:val="auto"/>
        <w:outlineLvl w:val="1"/>
        <w:rPr>
          <w:rStyle w:val="20"/>
          <w:rFonts w:ascii="黑体" w:eastAsia="黑体"/>
          <w:b w:val="0"/>
        </w:rPr>
      </w:pPr>
      <w:bookmarkStart w:id="62" w:name="_Toc15377219"/>
      <w:bookmarkStart w:id="63" w:name="_Toc15396611"/>
      <w:bookmarkStart w:id="64" w:name="_Toc18291"/>
      <w:r>
        <w:rPr>
          <w:rStyle w:val="20"/>
          <w:rFonts w:hint="eastAsia" w:ascii="黑体" w:eastAsia="黑体"/>
          <w:b w:val="0"/>
          <w:lang w:val="en-US"/>
        </w:rPr>
        <w:t>九、</w:t>
      </w:r>
      <w:r>
        <w:rPr>
          <w:rStyle w:val="20"/>
          <w:rFonts w:hint="eastAsia" w:ascii="黑体" w:eastAsia="黑体"/>
          <w:b w:val="0"/>
        </w:rPr>
        <w:t>国有资本经营预算支出决算情况说明</w:t>
      </w:r>
      <w:bookmarkEnd w:id="62"/>
      <w:bookmarkEnd w:id="63"/>
      <w:bookmarkEnd w:id="64"/>
    </w:p>
    <w:p>
      <w:pPr>
        <w:pageBreakBefore w:val="0"/>
        <w:widowControl w:val="0"/>
        <w:kinsoku/>
        <w:wordWrap w:val="0"/>
        <w:overflowPunct/>
        <w:topLinePunct w:val="0"/>
        <w:bidi w:val="0"/>
        <w:spacing w:line="572" w:lineRule="atLeast"/>
        <w:ind w:firstLine="640" w:firstLineChars="200"/>
        <w:textAlignment w:val="auto"/>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widowControl w:val="0"/>
        <w:numPr>
          <w:numId w:val="0"/>
        </w:numPr>
        <w:kinsoku/>
        <w:wordWrap w:val="0"/>
        <w:overflowPunct/>
        <w:topLinePunct w:val="0"/>
        <w:bidi w:val="0"/>
        <w:spacing w:line="572" w:lineRule="atLeast"/>
        <w:ind w:leftChars="200" w:firstLine="320" w:firstLineChars="100"/>
        <w:textAlignment w:val="auto"/>
        <w:outlineLvl w:val="1"/>
        <w:rPr>
          <w:rStyle w:val="20"/>
          <w:rFonts w:ascii="黑体" w:eastAsia="黑体"/>
          <w:b w:val="0"/>
        </w:rPr>
      </w:pPr>
      <w:bookmarkStart w:id="65" w:name="_Toc15396612"/>
      <w:bookmarkStart w:id="66" w:name="_Toc15377221"/>
      <w:bookmarkStart w:id="67" w:name="_Toc14539"/>
      <w:r>
        <w:rPr>
          <w:rStyle w:val="20"/>
          <w:rFonts w:hint="eastAsia" w:ascii="黑体" w:eastAsia="黑体"/>
          <w:b w:val="0"/>
          <w:lang w:val="en-US"/>
        </w:rPr>
        <w:t>十、</w:t>
      </w:r>
      <w:r>
        <w:rPr>
          <w:rStyle w:val="20"/>
          <w:rFonts w:hint="eastAsia" w:ascii="黑体" w:eastAsia="黑体"/>
          <w:b w:val="0"/>
        </w:rPr>
        <w:t>其他重要事项的情况说明</w:t>
      </w:r>
      <w:bookmarkEnd w:id="65"/>
      <w:bookmarkEnd w:id="66"/>
      <w:bookmarkEnd w:id="67"/>
    </w:p>
    <w:p>
      <w:pPr>
        <w:pageBreakBefore w:val="0"/>
        <w:widowControl w:val="0"/>
        <w:kinsoku/>
        <w:wordWrap w:val="0"/>
        <w:overflowPunct/>
        <w:topLinePunct w:val="0"/>
        <w:bidi w:val="0"/>
        <w:spacing w:line="572" w:lineRule="atLeast"/>
        <w:ind w:firstLine="643" w:firstLineChars="200"/>
        <w:textAlignment w:val="auto"/>
        <w:outlineLvl w:val="2"/>
        <w:rPr>
          <w:rFonts w:ascii="仿宋" w:eastAsia="仿宋"/>
          <w:sz w:val="32"/>
          <w:szCs w:val="32"/>
        </w:rPr>
      </w:pPr>
      <w:bookmarkStart w:id="68" w:name="_Toc15377222"/>
      <w:r>
        <w:rPr>
          <w:rFonts w:hint="eastAsia" w:ascii="仿宋" w:eastAsia="仿宋"/>
          <w:b/>
          <w:sz w:val="32"/>
          <w:szCs w:val="32"/>
        </w:rPr>
        <w:t>（一）机关运行经费支出情况</w:t>
      </w:r>
      <w:bookmarkEnd w:id="68"/>
    </w:p>
    <w:p>
      <w:pPr>
        <w:pageBreakBefore w:val="0"/>
        <w:widowControl w:val="0"/>
        <w:kinsoku/>
        <w:wordWrap w:val="0"/>
        <w:overflowPunct/>
        <w:topLinePunct w:val="0"/>
        <w:bidi w:val="0"/>
        <w:spacing w:line="572" w:lineRule="atLeas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val="en-US" w:eastAsia="zh-CN"/>
        </w:rPr>
        <w:t>政协</w:t>
      </w:r>
      <w:r>
        <w:rPr>
          <w:rFonts w:hint="eastAsia" w:ascii="仿宋_GB2312" w:eastAsia="仿宋_GB2312"/>
          <w:sz w:val="32"/>
          <w:szCs w:val="32"/>
        </w:rPr>
        <w:t>机关运行经费支出</w:t>
      </w:r>
      <w:r>
        <w:rPr>
          <w:rFonts w:hint="eastAsia" w:ascii="仿宋_GB2312" w:eastAsia="仿宋_GB2312"/>
          <w:sz w:val="32"/>
          <w:szCs w:val="32"/>
          <w:lang w:val="en-US" w:eastAsia="zh-CN"/>
        </w:rPr>
        <w:t>66.46</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21.71</w:t>
      </w:r>
      <w:r>
        <w:rPr>
          <w:rFonts w:hint="eastAsia" w:ascii="仿宋_GB2312" w:eastAsia="仿宋_GB2312"/>
          <w:sz w:val="32"/>
          <w:szCs w:val="32"/>
        </w:rPr>
        <w:t>万元，增长</w:t>
      </w:r>
      <w:r>
        <w:rPr>
          <w:rFonts w:hint="eastAsia" w:ascii="仿宋_GB2312" w:eastAsia="仿宋_GB2312"/>
          <w:sz w:val="32"/>
          <w:szCs w:val="32"/>
          <w:lang w:val="en-US" w:eastAsia="zh-CN"/>
        </w:rPr>
        <w:t>48.51</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b/>
          <w:bCs/>
          <w:sz w:val="32"/>
          <w:szCs w:val="32"/>
        </w:rPr>
        <w:t>主要原因是</w:t>
      </w:r>
      <w:r>
        <w:rPr>
          <w:rFonts w:hint="eastAsia" w:ascii="仿宋_GB2312" w:eastAsia="仿宋_GB2312"/>
          <w:b/>
          <w:bCs/>
          <w:sz w:val="32"/>
          <w:szCs w:val="32"/>
          <w:lang w:eastAsia="zh-CN"/>
        </w:rPr>
        <w:t>：</w:t>
      </w:r>
      <w:r>
        <w:rPr>
          <w:rFonts w:hint="eastAsia" w:ascii="仿宋_GB2312" w:eastAsia="仿宋_GB2312"/>
          <w:sz w:val="32"/>
          <w:szCs w:val="32"/>
          <w:lang w:val="en-US" w:eastAsia="zh-CN"/>
        </w:rPr>
        <w:t>新设立县政协网络信息服务中心，人员经费和办公经费相应增加</w:t>
      </w:r>
      <w:r>
        <w:rPr>
          <w:rFonts w:hint="eastAsia" w:ascii="仿宋_GB2312" w:eastAsia="仿宋_GB2312"/>
          <w:sz w:val="32"/>
          <w:szCs w:val="32"/>
        </w:rPr>
        <w:t>。</w:t>
      </w:r>
    </w:p>
    <w:p>
      <w:pPr>
        <w:pageBreakBefore w:val="0"/>
        <w:widowControl w:val="0"/>
        <w:kinsoku/>
        <w:wordWrap w:val="0"/>
        <w:overflowPunct/>
        <w:topLinePunct w:val="0"/>
        <w:autoSpaceDE w:val="0"/>
        <w:autoSpaceDN w:val="0"/>
        <w:bidi w:val="0"/>
        <w:adjustRightInd w:val="0"/>
        <w:spacing w:line="572" w:lineRule="atLeast"/>
        <w:ind w:firstLine="643" w:firstLineChars="200"/>
        <w:jc w:val="left"/>
        <w:textAlignment w:val="auto"/>
        <w:outlineLvl w:val="2"/>
        <w:rPr>
          <w:rFonts w:ascii="仿宋" w:eastAsia="仿宋"/>
          <w:b/>
          <w:sz w:val="32"/>
          <w:szCs w:val="32"/>
        </w:rPr>
      </w:pPr>
      <w:bookmarkStart w:id="69" w:name="_Toc15377223"/>
      <w:r>
        <w:rPr>
          <w:rFonts w:hint="eastAsia" w:ascii="仿宋" w:eastAsia="仿宋"/>
          <w:b/>
          <w:sz w:val="32"/>
          <w:szCs w:val="32"/>
        </w:rPr>
        <w:t>（二）政府采购支出情况</w:t>
      </w:r>
      <w:bookmarkEnd w:id="69"/>
    </w:p>
    <w:p>
      <w:pPr>
        <w:pageBreakBefore w:val="0"/>
        <w:widowControl w:val="0"/>
        <w:kinsoku/>
        <w:wordWrap w:val="0"/>
        <w:overflowPunct/>
        <w:topLinePunct w:val="0"/>
        <w:bidi w:val="0"/>
        <w:spacing w:line="572" w:lineRule="atLeast"/>
        <w:ind w:firstLine="640" w:firstLineChars="200"/>
        <w:textAlignment w:val="auto"/>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val="en-US" w:eastAsia="zh-CN"/>
        </w:rPr>
        <w:t>政协机关</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ageBreakBefore w:val="0"/>
        <w:widowControl w:val="0"/>
        <w:kinsoku/>
        <w:wordWrap w:val="0"/>
        <w:overflowPunct/>
        <w:topLinePunct w:val="0"/>
        <w:autoSpaceDE w:val="0"/>
        <w:autoSpaceDN w:val="0"/>
        <w:bidi w:val="0"/>
        <w:adjustRightInd w:val="0"/>
        <w:spacing w:line="572" w:lineRule="atLeast"/>
        <w:ind w:firstLine="643" w:firstLineChars="200"/>
        <w:jc w:val="left"/>
        <w:textAlignment w:val="auto"/>
        <w:outlineLvl w:val="2"/>
        <w:rPr>
          <w:rFonts w:ascii="仿宋" w:eastAsia="仿宋"/>
          <w:b/>
          <w:sz w:val="32"/>
          <w:szCs w:val="32"/>
        </w:rPr>
      </w:pPr>
      <w:bookmarkStart w:id="70" w:name="_Toc15377224"/>
      <w:r>
        <w:rPr>
          <w:rFonts w:hint="eastAsia" w:ascii="仿宋" w:eastAsia="仿宋"/>
          <w:b/>
          <w:sz w:val="32"/>
          <w:szCs w:val="32"/>
        </w:rPr>
        <w:t>（三）国有资产占有使用情况</w:t>
      </w:r>
      <w:bookmarkEnd w:id="70"/>
    </w:p>
    <w:p>
      <w:pPr>
        <w:pageBreakBefore w:val="0"/>
        <w:widowControl w:val="0"/>
        <w:kinsoku/>
        <w:wordWrap w:val="0"/>
        <w:overflowPunct/>
        <w:topLinePunct w:val="0"/>
        <w:autoSpaceDE w:val="0"/>
        <w:autoSpaceDN w:val="0"/>
        <w:bidi w:val="0"/>
        <w:adjustRightInd w:val="0"/>
        <w:spacing w:line="572" w:lineRule="atLeast"/>
        <w:ind w:firstLine="640" w:firstLineChars="200"/>
        <w:jc w:val="left"/>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4</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4</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pageBreakBefore w:val="0"/>
        <w:widowControl w:val="0"/>
        <w:kinsoku/>
        <w:wordWrap w:val="0"/>
        <w:overflowPunct/>
        <w:topLinePunct w:val="0"/>
        <w:autoSpaceDE w:val="0"/>
        <w:autoSpaceDN w:val="0"/>
        <w:bidi w:val="0"/>
        <w:adjustRightInd w:val="0"/>
        <w:spacing w:line="572" w:lineRule="atLeast"/>
        <w:ind w:firstLine="643" w:firstLineChars="200"/>
        <w:jc w:val="left"/>
        <w:textAlignment w:val="auto"/>
        <w:outlineLvl w:val="2"/>
        <w:rPr>
          <w:rFonts w:ascii="仿宋" w:eastAsia="仿宋"/>
          <w:b/>
          <w:sz w:val="32"/>
          <w:szCs w:val="32"/>
        </w:rPr>
      </w:pPr>
      <w:r>
        <w:rPr>
          <w:rFonts w:hint="eastAsia" w:ascii="仿宋" w:eastAsia="仿宋"/>
          <w:b/>
          <w:sz w:val="32"/>
          <w:szCs w:val="32"/>
        </w:rPr>
        <w:t>（四）预算绩效管理情况</w:t>
      </w:r>
    </w:p>
    <w:p>
      <w:pPr>
        <w:pageBreakBefore w:val="0"/>
        <w:widowControl w:val="0"/>
        <w:kinsoku/>
        <w:wordWrap w:val="0"/>
        <w:overflowPunct/>
        <w:topLinePunct w:val="0"/>
        <w:bidi w:val="0"/>
        <w:spacing w:line="572" w:lineRule="atLeast"/>
        <w:ind w:firstLine="640" w:firstLineChars="200"/>
        <w:jc w:val="left"/>
        <w:textAlignment w:val="auto"/>
        <w:rPr>
          <w:rFonts w:ascii="仿宋_GB2312" w:eastAsia="仿宋_GB2312" w:cs="仿宋_GB2312"/>
          <w:sz w:val="32"/>
          <w:szCs w:val="32"/>
        </w:rPr>
      </w:pPr>
      <w:r>
        <w:rPr>
          <w:rFonts w:hint="eastAsia" w:ascii="仿宋_GB2312" w:eastAsia="仿宋_GB2312" w:cs="仿宋_GB2312"/>
          <w:sz w:val="32"/>
          <w:szCs w:val="32"/>
        </w:rPr>
        <w:t>根据预算绩效管理要求，本部门在2022年度预算编制阶段，组织对</w:t>
      </w:r>
      <w:r>
        <w:rPr>
          <w:rFonts w:hint="eastAsia" w:ascii="仿宋_GB2312" w:eastAsia="仿宋_GB2312" w:cs="仿宋_GB2312"/>
          <w:sz w:val="32"/>
          <w:szCs w:val="32"/>
          <w:lang w:val="en-US" w:eastAsia="zh-CN"/>
        </w:rPr>
        <w:t>政协会议</w:t>
      </w:r>
      <w:r>
        <w:rPr>
          <w:rFonts w:hint="eastAsia" w:ascii="仿宋_GB2312" w:eastAsia="仿宋_GB2312" w:cs="仿宋_GB2312"/>
          <w:sz w:val="32"/>
          <w:szCs w:val="32"/>
        </w:rPr>
        <w:t>项目等</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个项目开展绩效监控。</w:t>
      </w:r>
    </w:p>
    <w:p>
      <w:pPr>
        <w:pageBreakBefore w:val="0"/>
        <w:widowControl w:val="0"/>
        <w:kinsoku/>
        <w:wordWrap w:val="0"/>
        <w:overflowPunct/>
        <w:topLinePunct w:val="0"/>
        <w:bidi w:val="0"/>
        <w:spacing w:line="572" w:lineRule="atLeast"/>
        <w:ind w:firstLine="640" w:firstLineChars="200"/>
        <w:jc w:val="left"/>
        <w:textAlignment w:val="auto"/>
        <w:rPr>
          <w:rFonts w:ascii="仿宋_GB2312" w:eastAsia="仿宋_GB2312" w:cs="仿宋_GB2312"/>
          <w:sz w:val="32"/>
          <w:szCs w:val="32"/>
        </w:rPr>
      </w:pPr>
      <w:r>
        <w:rPr>
          <w:rFonts w:hint="eastAsia" w:ascii="仿宋_GB2312" w:eastAsia="仿宋_GB2312" w:cs="仿宋_GB2312"/>
          <w:sz w:val="32"/>
          <w:szCs w:val="32"/>
        </w:rPr>
        <w:t>组织对2022年度一般公共预算、政府性基金预算、国有资本经营预算、社会保险基金预算以及资本资产、债券资金等全面开展绩效自评，形成</w:t>
      </w:r>
      <w:r>
        <w:rPr>
          <w:rFonts w:hint="eastAsia" w:ascii="仿宋_GB2312" w:eastAsia="仿宋_GB2312" w:cs="仿宋_GB2312"/>
          <w:sz w:val="32"/>
          <w:szCs w:val="32"/>
          <w:lang w:val="en-US" w:eastAsia="zh-CN"/>
        </w:rPr>
        <w:t>2022年</w:t>
      </w:r>
      <w:r>
        <w:rPr>
          <w:rFonts w:hint="eastAsia" w:ascii="仿宋_GB2312" w:eastAsia="仿宋_GB2312" w:cs="仿宋_GB2312"/>
          <w:sz w:val="32"/>
          <w:szCs w:val="32"/>
        </w:rPr>
        <w:t>部门整体（含部门预算项目）绩效自评报告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其中，</w:t>
      </w:r>
      <w:r>
        <w:rPr>
          <w:rFonts w:hint="eastAsia" w:ascii="仿宋_GB2312" w:eastAsia="仿宋_GB2312" w:cs="仿宋_GB2312"/>
          <w:sz w:val="32"/>
          <w:szCs w:val="32"/>
          <w:lang w:val="en-US" w:eastAsia="zh-CN"/>
        </w:rPr>
        <w:t>政协红原县委员会办公室</w:t>
      </w:r>
      <w:r>
        <w:rPr>
          <w:rFonts w:hint="eastAsia" w:ascii="仿宋_GB2312" w:eastAsia="仿宋_GB2312" w:cs="仿宋_GB2312"/>
          <w:sz w:val="32"/>
          <w:szCs w:val="32"/>
        </w:rPr>
        <w:t>部门整体（含部门预算项目）绩效自评得分为</w:t>
      </w:r>
      <w:r>
        <w:rPr>
          <w:rFonts w:hint="eastAsia" w:ascii="仿宋_GB2312" w:eastAsia="仿宋_GB2312" w:cs="仿宋_GB2312"/>
          <w:sz w:val="32"/>
          <w:szCs w:val="32"/>
          <w:lang w:val="en-US" w:eastAsia="zh-CN"/>
        </w:rPr>
        <w:t>97.40</w:t>
      </w:r>
      <w:r>
        <w:rPr>
          <w:rFonts w:hint="eastAsia" w:ascii="仿宋_GB2312" w:eastAsia="仿宋_GB2312" w:cs="仿宋_GB2312"/>
          <w:sz w:val="32"/>
          <w:szCs w:val="32"/>
        </w:rPr>
        <w:t>分</w:t>
      </w:r>
      <w:r>
        <w:rPr>
          <w:rFonts w:hint="eastAsia" w:ascii="仿宋_GB2312" w:eastAsia="仿宋_GB2312" w:cs="仿宋_GB2312"/>
          <w:sz w:val="32"/>
          <w:szCs w:val="32"/>
          <w:lang w:eastAsia="zh-CN"/>
        </w:rPr>
        <w:t>。</w:t>
      </w:r>
      <w:r>
        <w:rPr>
          <w:rFonts w:hint="eastAsia" w:ascii="仿宋_GB2312" w:eastAsia="仿宋_GB2312" w:cs="仿宋_GB2312"/>
          <w:b/>
          <w:bCs/>
          <w:sz w:val="32"/>
          <w:szCs w:val="32"/>
        </w:rPr>
        <w:t>绩效自评综述：</w:t>
      </w:r>
      <w:r>
        <w:rPr>
          <w:rFonts w:hint="eastAsia" w:ascii="仿宋_GB2312" w:eastAsia="仿宋_GB2312" w:cs="仿宋_GB2312"/>
          <w:sz w:val="32"/>
          <w:szCs w:val="32"/>
          <w:lang w:val="en-US" w:eastAsia="zh-CN"/>
        </w:rPr>
        <w:t>我单位按要求对2022年部门整体支出开展绩效自评，从评价情况来看，本单位严格按照制定的目标绩效管理制度来开展绩效管理工作，专项经费全部用于开展专项工作，</w:t>
      </w:r>
      <w:r>
        <w:rPr>
          <w:rFonts w:hint="eastAsia" w:ascii="仿宋_GB2312" w:eastAsia="仿宋_GB2312" w:cs="仿宋_GB2312"/>
          <w:sz w:val="32"/>
          <w:szCs w:val="32"/>
        </w:rPr>
        <w:t>年终执行完毕后，对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个项目开展了绩效自评，</w:t>
      </w:r>
      <w:r>
        <w:rPr>
          <w:rFonts w:hint="eastAsia" w:ascii="仿宋_GB2312" w:eastAsia="仿宋_GB2312" w:cs="仿宋_GB2312"/>
          <w:sz w:val="32"/>
          <w:szCs w:val="32"/>
          <w:lang w:val="en-US" w:eastAsia="zh-CN"/>
        </w:rPr>
        <w:t>整体支出完成情况良好。</w:t>
      </w:r>
    </w:p>
    <w:p>
      <w:pPr>
        <w:pStyle w:val="6"/>
        <w:rPr>
          <w:rFonts w:hint="eastAsia" w:ascii="仿宋_GB2312" w:eastAsia="仿宋_GB2312" w:cs="仿宋_GB2312"/>
          <w:sz w:val="32"/>
          <w:szCs w:val="32"/>
          <w:lang w:val="en-US" w:eastAsia="zh-CN"/>
        </w:rPr>
      </w:pPr>
    </w:p>
    <w:p>
      <w:pPr>
        <w:rPr>
          <w:rFonts w:hint="eastAsia" w:ascii="仿宋_GB2312" w:eastAsia="仿宋_GB2312" w:cs="仿宋_GB2312"/>
          <w:sz w:val="32"/>
          <w:szCs w:val="32"/>
          <w:lang w:val="en-US" w:eastAsia="zh-CN"/>
        </w:rPr>
      </w:pPr>
    </w:p>
    <w:p>
      <w:pPr>
        <w:pStyle w:val="6"/>
        <w:rPr>
          <w:rFonts w:hint="eastAsia" w:ascii="仿宋_GB2312" w:eastAsia="仿宋_GB2312" w:cs="仿宋_GB2312"/>
          <w:sz w:val="32"/>
          <w:szCs w:val="32"/>
          <w:lang w:val="en-US" w:eastAsia="zh-CN"/>
        </w:rPr>
      </w:pPr>
    </w:p>
    <w:p>
      <w:pPr>
        <w:rPr>
          <w:rFonts w:hint="eastAsia" w:ascii="仿宋_GB2312" w:eastAsia="仿宋_GB2312" w:cs="仿宋_GB2312"/>
          <w:sz w:val="32"/>
          <w:szCs w:val="32"/>
          <w:lang w:val="en-US" w:eastAsia="zh-CN"/>
        </w:rPr>
      </w:pPr>
    </w:p>
    <w:p>
      <w:pPr>
        <w:pStyle w:val="6"/>
        <w:rPr>
          <w:rFonts w:hint="eastAsia" w:ascii="仿宋_GB2312" w:eastAsia="仿宋_GB2312" w:cs="仿宋_GB2312"/>
          <w:sz w:val="32"/>
          <w:szCs w:val="32"/>
          <w:lang w:val="en-US" w:eastAsia="zh-CN"/>
        </w:rPr>
      </w:pPr>
    </w:p>
    <w:p>
      <w:pPr>
        <w:rPr>
          <w:rFonts w:hint="eastAsia" w:ascii="仿宋_GB2312" w:eastAsia="仿宋_GB2312" w:cs="仿宋_GB2312"/>
          <w:sz w:val="32"/>
          <w:szCs w:val="32"/>
          <w:lang w:val="en-US" w:eastAsia="zh-CN"/>
        </w:rPr>
      </w:pPr>
    </w:p>
    <w:p>
      <w:pPr>
        <w:pStyle w:val="6"/>
        <w:rPr>
          <w:rFonts w:hint="eastAsia" w:ascii="仿宋_GB2312" w:eastAsia="仿宋_GB2312" w:cs="仿宋_GB2312"/>
          <w:sz w:val="32"/>
          <w:szCs w:val="32"/>
          <w:lang w:val="en-US" w:eastAsia="zh-CN"/>
        </w:rPr>
      </w:pPr>
    </w:p>
    <w:p>
      <w:pPr>
        <w:rPr>
          <w:rFonts w:hint="eastAsia"/>
          <w:lang w:val="en-US" w:eastAsia="zh-CN"/>
        </w:rPr>
      </w:pPr>
    </w:p>
    <w:p>
      <w:pPr>
        <w:pStyle w:val="2"/>
        <w:rPr>
          <w:rFonts w:hint="eastAsia"/>
          <w:lang w:val="en-US" w:eastAsia="zh-CN"/>
        </w:rPr>
      </w:pPr>
    </w:p>
    <w:tbl>
      <w:tblPr>
        <w:tblStyle w:val="15"/>
        <w:tblpPr w:leftFromText="180" w:rightFromText="180" w:vertAnchor="text" w:horzAnchor="page" w:tblpX="1240" w:tblpY="666"/>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ind w:firstLine="2249" w:firstLineChars="700"/>
              <w:textAlignment w:val="center"/>
              <w:rPr>
                <w:rFonts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政协红原县委员会办公室 104001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政协红原县委员会办公室</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102.14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hint="default" w:ascii="宋体" w:eastAsia="宋体" w:cs="宋体"/>
                <w:sz w:val="24"/>
                <w:lang w:val="en-US" w:eastAsia="zh-CN"/>
              </w:rPr>
            </w:pPr>
            <w:r>
              <w:rPr>
                <w:rFonts w:hint="eastAsia" w:ascii="宋体" w:cs="宋体"/>
                <w:sz w:val="24"/>
                <w:lang w:val="en-US" w:eastAsia="zh-CN"/>
              </w:rPr>
              <w:t>102.14</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102.14</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102.14</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按照《2021年工作要点》完成各项会议、调研视察、委员座谈等</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均按照《要点》落实</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12</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12</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办公费、差旅费、伙食费、交通费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102.14</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102.14</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4"/>
                <w:szCs w:val="24"/>
                <w:lang w:val="en-US" w:eastAsia="zh-CN"/>
              </w:rPr>
              <w:t>通过开展专项工作，发挥政协参政议政等职能作用</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服务对象</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bl>
    <w:p>
      <w:pPr>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numPr>
          <w:ilvl w:val="0"/>
          <w:numId w:val="2"/>
        </w:numPr>
        <w:spacing w:line="600" w:lineRule="exact"/>
        <w:ind w:firstLine="660" w:firstLineChars="150"/>
        <w:jc w:val="center"/>
        <w:outlineLvl w:val="0"/>
        <w:rPr>
          <w:rStyle w:val="19"/>
          <w:rFonts w:ascii="黑体" w:eastAsia="黑体"/>
          <w:b w:val="0"/>
        </w:rPr>
      </w:pPr>
      <w:bookmarkStart w:id="71" w:name="_Toc15377225"/>
      <w:bookmarkStart w:id="72" w:name="_Toc15396613"/>
      <w:bookmarkStart w:id="73" w:name="_Toc2827"/>
      <w:r>
        <w:rPr>
          <w:rFonts w:hint="eastAsia" w:ascii="黑体" w:eastAsia="黑体"/>
          <w:sz w:val="44"/>
          <w:szCs w:val="44"/>
        </w:rPr>
        <w:t>名</w:t>
      </w:r>
      <w:r>
        <w:rPr>
          <w:rStyle w:val="19"/>
          <w:rFonts w:hint="eastAsia" w:ascii="黑体" w:eastAsia="黑体"/>
          <w:b w:val="0"/>
        </w:rPr>
        <w:t>词解释</w:t>
      </w:r>
      <w:bookmarkEnd w:id="71"/>
      <w:bookmarkEnd w:id="72"/>
      <w:bookmarkEnd w:id="73"/>
    </w:p>
    <w:p>
      <w:pPr>
        <w:spacing w:line="600" w:lineRule="exact"/>
        <w:jc w:val="left"/>
        <w:rPr>
          <w:rFonts w:ascii="宋体"/>
          <w:b/>
          <w:sz w:val="44"/>
          <w:szCs w:val="44"/>
        </w:rPr>
      </w:pP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bookmarkStart w:id="74"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r>
        <w:rPr>
          <w:rFonts w:ascii="仿宋_GB2312" w:eastAsia="仿宋_GB2312"/>
          <w:color w:val="auto"/>
          <w:sz w:val="32"/>
          <w:szCs w:val="32"/>
        </w:rPr>
        <w:t xml:space="preserve"> </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3</w:t>
      </w:r>
      <w:r>
        <w:rPr>
          <w:rFonts w:ascii="仿宋_GB2312" w:eastAsia="仿宋_GB2312"/>
          <w:color w:val="auto"/>
          <w:sz w:val="32"/>
          <w:szCs w:val="32"/>
        </w:rPr>
        <w:t>.</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年末结转和结余：指单位按有关规定结转到下年或以后年度继续使用的资金。</w:t>
      </w:r>
    </w:p>
    <w:p>
      <w:pPr>
        <w:pStyle w:val="30"/>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.一般公共服务支出（类）政协事务（款）：指各级政治协商会议的支出。</w:t>
      </w:r>
    </w:p>
    <w:p>
      <w:pPr>
        <w:pStyle w:val="30"/>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（1）行政运行（项）：指行政单位的基本支出。</w:t>
      </w:r>
    </w:p>
    <w:p>
      <w:pPr>
        <w:pStyle w:val="30"/>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（2）一般行政管理事务（项）：指行政单位未单独设置顶级科目的其他项目支出。</w:t>
      </w:r>
    </w:p>
    <w:p>
      <w:pPr>
        <w:pStyle w:val="30"/>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（3）政协会议（项）：指各级政协召开“政协会”等专门会议的支出。</w:t>
      </w:r>
    </w:p>
    <w:p>
      <w:pPr>
        <w:pStyle w:val="30"/>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（4）委员视察（项）：指政协委员开展各类视察的支出。</w:t>
      </w:r>
    </w:p>
    <w:p>
      <w:pPr>
        <w:pStyle w:val="30"/>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（5）参政议政（项）：指政协为参政议政进行调研、检查等方面的支出。</w:t>
      </w:r>
    </w:p>
    <w:p>
      <w:pPr>
        <w:pStyle w:val="30"/>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.社会保障和就业支出（类）行政事业单位养老支出（款）：指行政事业单位养老方面的支出。</w:t>
      </w:r>
    </w:p>
    <w:p>
      <w:pPr>
        <w:pStyle w:val="30"/>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（1）机关事业单位基本养老保险缴费支出（项）：指机关事业单位实施养老保险制度由单位缴纳的基本养老保险费支出。</w:t>
      </w:r>
    </w:p>
    <w:p>
      <w:pPr>
        <w:pStyle w:val="30"/>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（2）机关事业单位职业年金缴费支出（项）：指机关事业单位实施养老保险制度由单位实际缴纳的职业年金支出。</w:t>
      </w:r>
    </w:p>
    <w:p>
      <w:pPr>
        <w:pStyle w:val="30"/>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卫生健康支出（类）行政事业单位医疗（款）：指行政事业单位医疗方面的支出。</w:t>
      </w:r>
    </w:p>
    <w:p>
      <w:pPr>
        <w:pStyle w:val="30"/>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（1）行政单位医疗（项）：指财政部门集中安排的行政单位基本医疗保险缴费经费。</w:t>
      </w:r>
    </w:p>
    <w:p>
      <w:pPr>
        <w:pStyle w:val="30"/>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（2）公务员医疗补助（项）：指财政部门集中安排的公务员医疗补助经费。</w:t>
      </w:r>
    </w:p>
    <w:p>
      <w:pPr>
        <w:pStyle w:val="30"/>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.住房保障（类）住房改革支出（款）住房公积金（项）：指行政事业单位按人力资源和社会保障部、财政部规定的基本工资和津补贴一级规定比例为职工缴纳的住房公积金。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jc w:val="left"/>
        <w:rPr>
          <w:rStyle w:val="19"/>
          <w:rFonts w:ascii="黑体" w:eastAsia="黑体"/>
          <w:b w:val="0"/>
        </w:rPr>
      </w:pPr>
      <w:r>
        <w:rPr>
          <w:rFonts w:hint="eastAsia" w:ascii="仿宋_GB2312" w:hAnsi="Times New Roman" w:eastAsia="仿宋_GB2312" w:cs="仿宋"/>
          <w:color w:val="auto"/>
          <w:kern w:val="0"/>
          <w:sz w:val="32"/>
          <w:szCs w:val="32"/>
          <w:lang w:val="en-US" w:eastAsia="zh-CN" w:bidi="ar-SA"/>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费用。</w:t>
      </w:r>
      <w:r>
        <w:rPr>
          <w:rFonts w:ascii="宋体"/>
          <w:b/>
          <w:sz w:val="44"/>
          <w:szCs w:val="44"/>
        </w:rPr>
        <w:br w:type="page"/>
      </w:r>
      <w:bookmarkStart w:id="75" w:name="_Toc15396614"/>
      <w:r>
        <w:rPr>
          <w:rFonts w:hint="eastAsia" w:ascii="宋体"/>
          <w:b/>
          <w:sz w:val="44"/>
          <w:szCs w:val="44"/>
          <w:lang w:val="en-US" w:eastAsia="zh-CN"/>
        </w:rPr>
        <w:t xml:space="preserve">  </w:t>
      </w:r>
      <w:bookmarkEnd w:id="75"/>
    </w:p>
    <w:p>
      <w:pPr>
        <w:spacing w:line="600" w:lineRule="exact"/>
        <w:jc w:val="center"/>
        <w:outlineLvl w:val="0"/>
        <w:rPr>
          <w:rFonts w:ascii="仿宋" w:eastAsia="仿宋"/>
        </w:rPr>
      </w:pPr>
      <w:bookmarkStart w:id="76" w:name="_Toc15396618"/>
      <w:bookmarkStart w:id="77" w:name="_Toc15454"/>
      <w:r>
        <w:rPr>
          <w:rFonts w:hint="eastAsia" w:ascii="黑体" w:eastAsia="黑体"/>
          <w:sz w:val="44"/>
          <w:szCs w:val="44"/>
        </w:rPr>
        <w:t>第</w:t>
      </w:r>
      <w:r>
        <w:rPr>
          <w:rStyle w:val="19"/>
          <w:rFonts w:hint="eastAsia" w:ascii="黑体" w:eastAsia="黑体"/>
          <w:b w:val="0"/>
        </w:rPr>
        <w:t>五部分 附表</w:t>
      </w:r>
      <w:bookmarkEnd w:id="74"/>
      <w:bookmarkEnd w:id="76"/>
      <w:bookmarkEnd w:id="77"/>
      <w:bookmarkStart w:id="78" w:name="_Toc15396619"/>
    </w:p>
    <w:p>
      <w:pPr>
        <w:pStyle w:val="4"/>
        <w:rPr>
          <w:rFonts w:ascii="仿宋" w:eastAsia="仿宋"/>
        </w:rPr>
      </w:pPr>
      <w:bookmarkStart w:id="79" w:name="_Toc8032"/>
      <w:r>
        <w:rPr>
          <w:rFonts w:hint="eastAsia" w:ascii="仿宋" w:eastAsia="仿宋"/>
          <w:b w:val="0"/>
        </w:rPr>
        <w:t>一、收</w:t>
      </w:r>
      <w:r>
        <w:rPr>
          <w:rStyle w:val="20"/>
          <w:rFonts w:hint="eastAsia" w:ascii="仿宋" w:eastAsia="仿宋"/>
          <w:b w:val="0"/>
          <w:bCs w:val="0"/>
        </w:rPr>
        <w:t>入支出决算总表</w:t>
      </w:r>
      <w:bookmarkEnd w:id="78"/>
      <w:bookmarkEnd w:id="79"/>
    </w:p>
    <w:p>
      <w:pPr>
        <w:pStyle w:val="4"/>
        <w:rPr>
          <w:rFonts w:ascii="仿宋" w:eastAsia="仿宋"/>
        </w:rPr>
      </w:pPr>
      <w:bookmarkStart w:id="80" w:name="_Toc15396620"/>
      <w:bookmarkStart w:id="81" w:name="_Toc986"/>
      <w:r>
        <w:rPr>
          <w:rFonts w:hint="eastAsia" w:ascii="仿宋" w:eastAsia="仿宋"/>
          <w:b w:val="0"/>
        </w:rPr>
        <w:t>二、收</w:t>
      </w:r>
      <w:r>
        <w:rPr>
          <w:rStyle w:val="20"/>
          <w:rFonts w:hint="eastAsia" w:ascii="仿宋" w:eastAsia="仿宋"/>
          <w:b w:val="0"/>
          <w:bCs w:val="0"/>
        </w:rPr>
        <w:t>入决算表</w:t>
      </w:r>
      <w:bookmarkEnd w:id="80"/>
      <w:bookmarkEnd w:id="81"/>
    </w:p>
    <w:p>
      <w:pPr>
        <w:pStyle w:val="4"/>
        <w:rPr>
          <w:rFonts w:ascii="仿宋" w:eastAsia="仿宋"/>
        </w:rPr>
      </w:pPr>
      <w:bookmarkStart w:id="82" w:name="_Toc15396621"/>
      <w:bookmarkStart w:id="83" w:name="_Toc5781"/>
      <w:r>
        <w:rPr>
          <w:rStyle w:val="20"/>
          <w:rFonts w:hint="eastAsia" w:ascii="仿宋" w:eastAsia="仿宋"/>
          <w:b w:val="0"/>
          <w:bCs w:val="0"/>
        </w:rPr>
        <w:t>三、</w:t>
      </w:r>
      <w:r>
        <w:rPr>
          <w:rFonts w:hint="eastAsia" w:ascii="仿宋" w:eastAsia="仿宋"/>
          <w:b w:val="0"/>
        </w:rPr>
        <w:t>支</w:t>
      </w:r>
      <w:r>
        <w:rPr>
          <w:rStyle w:val="20"/>
          <w:rFonts w:hint="eastAsia" w:ascii="仿宋" w:eastAsia="仿宋"/>
          <w:b w:val="0"/>
          <w:bCs w:val="0"/>
        </w:rPr>
        <w:t>出决算表</w:t>
      </w:r>
      <w:bookmarkEnd w:id="82"/>
      <w:bookmarkEnd w:id="83"/>
    </w:p>
    <w:p>
      <w:pPr>
        <w:pStyle w:val="4"/>
        <w:rPr>
          <w:rFonts w:ascii="仿宋" w:eastAsia="仿宋"/>
          <w:b w:val="0"/>
        </w:rPr>
      </w:pPr>
      <w:bookmarkStart w:id="84" w:name="_Toc15396622"/>
      <w:bookmarkStart w:id="85" w:name="_Toc9179"/>
      <w:r>
        <w:rPr>
          <w:rStyle w:val="20"/>
          <w:rFonts w:hint="eastAsia" w:ascii="仿宋" w:eastAsia="仿宋"/>
          <w:b w:val="0"/>
          <w:bCs w:val="0"/>
        </w:rPr>
        <w:t>四、</w:t>
      </w:r>
      <w:r>
        <w:rPr>
          <w:rFonts w:hint="eastAsia" w:ascii="仿宋" w:eastAsia="仿宋"/>
          <w:b w:val="0"/>
        </w:rPr>
        <w:t>财</w:t>
      </w:r>
      <w:r>
        <w:rPr>
          <w:rStyle w:val="20"/>
          <w:rFonts w:hint="eastAsia" w:ascii="仿宋" w:eastAsia="仿宋"/>
          <w:b w:val="0"/>
          <w:bCs w:val="0"/>
        </w:rPr>
        <w:t>政拨款收入支出决算总表</w:t>
      </w:r>
      <w:bookmarkEnd w:id="84"/>
      <w:bookmarkEnd w:id="85"/>
    </w:p>
    <w:p>
      <w:pPr>
        <w:pStyle w:val="4"/>
        <w:rPr>
          <w:rStyle w:val="20"/>
          <w:rFonts w:ascii="仿宋" w:eastAsia="仿宋"/>
          <w:b w:val="0"/>
          <w:bCs w:val="0"/>
        </w:rPr>
      </w:pPr>
      <w:bookmarkStart w:id="86" w:name="_Toc15396623"/>
      <w:bookmarkStart w:id="87" w:name="_Toc22998"/>
      <w:r>
        <w:rPr>
          <w:rStyle w:val="20"/>
          <w:rFonts w:hint="eastAsia" w:ascii="仿宋" w:eastAsia="仿宋"/>
          <w:b w:val="0"/>
          <w:bCs w:val="0"/>
        </w:rPr>
        <w:t>五、</w:t>
      </w:r>
      <w:r>
        <w:rPr>
          <w:rFonts w:hint="eastAsia" w:ascii="仿宋" w:eastAsia="仿宋"/>
          <w:b w:val="0"/>
        </w:rPr>
        <w:t>财</w:t>
      </w:r>
      <w:r>
        <w:rPr>
          <w:rStyle w:val="20"/>
          <w:rFonts w:hint="eastAsia" w:ascii="仿宋" w:eastAsia="仿宋"/>
          <w:b w:val="0"/>
          <w:bCs w:val="0"/>
        </w:rPr>
        <w:t>政拨款支出决算明细表</w:t>
      </w:r>
      <w:bookmarkEnd w:id="86"/>
      <w:bookmarkEnd w:id="87"/>
      <w:bookmarkStart w:id="88" w:name="_Toc15396624"/>
    </w:p>
    <w:p>
      <w:pPr>
        <w:pStyle w:val="4"/>
        <w:rPr>
          <w:rFonts w:ascii="仿宋" w:eastAsia="仿宋"/>
        </w:rPr>
      </w:pPr>
      <w:bookmarkStart w:id="89" w:name="_Toc21482"/>
      <w:r>
        <w:rPr>
          <w:rStyle w:val="20"/>
          <w:rFonts w:hint="eastAsia" w:ascii="仿宋" w:eastAsia="仿宋"/>
          <w:b w:val="0"/>
          <w:bCs w:val="0"/>
        </w:rPr>
        <w:t>六、</w:t>
      </w:r>
      <w:r>
        <w:rPr>
          <w:rFonts w:hint="eastAsia" w:ascii="仿宋" w:eastAsia="仿宋"/>
          <w:b w:val="0"/>
        </w:rPr>
        <w:t>一</w:t>
      </w:r>
      <w:r>
        <w:rPr>
          <w:rStyle w:val="20"/>
          <w:rFonts w:hint="eastAsia" w:ascii="仿宋" w:eastAsia="仿宋"/>
          <w:b w:val="0"/>
          <w:bCs w:val="0"/>
        </w:rPr>
        <w:t>般公共预算财政拨款支出决算表</w:t>
      </w:r>
      <w:bookmarkEnd w:id="88"/>
      <w:bookmarkEnd w:id="89"/>
    </w:p>
    <w:p>
      <w:pPr>
        <w:pStyle w:val="4"/>
        <w:rPr>
          <w:rFonts w:ascii="仿宋" w:eastAsia="仿宋"/>
        </w:rPr>
      </w:pPr>
      <w:bookmarkStart w:id="90" w:name="_Toc15396625"/>
      <w:bookmarkStart w:id="91" w:name="_Toc12627"/>
      <w:r>
        <w:rPr>
          <w:rStyle w:val="20"/>
          <w:rFonts w:hint="eastAsia" w:ascii="仿宋" w:eastAsia="仿宋"/>
          <w:b w:val="0"/>
          <w:bCs w:val="0"/>
        </w:rPr>
        <w:t>七、</w:t>
      </w:r>
      <w:r>
        <w:rPr>
          <w:rFonts w:hint="eastAsia" w:ascii="仿宋" w:eastAsia="仿宋"/>
          <w:b w:val="0"/>
        </w:rPr>
        <w:t>一</w:t>
      </w:r>
      <w:r>
        <w:rPr>
          <w:rStyle w:val="20"/>
          <w:rFonts w:hint="eastAsia" w:ascii="仿宋" w:eastAsia="仿宋"/>
          <w:b w:val="0"/>
          <w:bCs w:val="0"/>
        </w:rPr>
        <w:t>般公共预算财政拨款支出决算明细表</w:t>
      </w:r>
      <w:bookmarkEnd w:id="90"/>
      <w:bookmarkEnd w:id="91"/>
    </w:p>
    <w:p>
      <w:pPr>
        <w:pStyle w:val="4"/>
        <w:rPr>
          <w:rFonts w:ascii="仿宋" w:eastAsia="仿宋"/>
        </w:rPr>
      </w:pPr>
      <w:bookmarkStart w:id="92" w:name="_Toc15396626"/>
      <w:bookmarkStart w:id="93" w:name="_Toc5916"/>
      <w:r>
        <w:rPr>
          <w:rStyle w:val="20"/>
          <w:rFonts w:hint="eastAsia" w:ascii="仿宋" w:eastAsia="仿宋"/>
          <w:b w:val="0"/>
          <w:bCs w:val="0"/>
        </w:rPr>
        <w:t>八、</w:t>
      </w:r>
      <w:r>
        <w:rPr>
          <w:rFonts w:hint="eastAsia" w:ascii="仿宋" w:eastAsia="仿宋"/>
          <w:b w:val="0"/>
        </w:rPr>
        <w:t>一</w:t>
      </w:r>
      <w:r>
        <w:rPr>
          <w:rStyle w:val="20"/>
          <w:rFonts w:hint="eastAsia" w:ascii="仿宋" w:eastAsia="仿宋"/>
          <w:b w:val="0"/>
          <w:bCs w:val="0"/>
        </w:rPr>
        <w:t>般公共预算财政拨款基本支出决算</w:t>
      </w:r>
      <w:r>
        <w:rPr>
          <w:rStyle w:val="20"/>
          <w:rFonts w:hint="eastAsia" w:ascii="仿宋" w:eastAsia="仿宋"/>
          <w:b w:val="0"/>
          <w:bCs w:val="0"/>
          <w:lang w:val="en-US"/>
        </w:rPr>
        <w:t>明细</w:t>
      </w:r>
      <w:r>
        <w:rPr>
          <w:rStyle w:val="20"/>
          <w:rFonts w:hint="eastAsia" w:ascii="仿宋" w:eastAsia="仿宋"/>
          <w:b w:val="0"/>
          <w:bCs w:val="0"/>
        </w:rPr>
        <w:t>表</w:t>
      </w:r>
      <w:bookmarkEnd w:id="92"/>
      <w:bookmarkEnd w:id="93"/>
    </w:p>
    <w:p>
      <w:pPr>
        <w:pStyle w:val="4"/>
        <w:rPr>
          <w:rFonts w:ascii="仿宋" w:eastAsia="仿宋"/>
        </w:rPr>
      </w:pPr>
      <w:bookmarkStart w:id="94" w:name="_Toc15396627"/>
      <w:bookmarkStart w:id="95" w:name="_Toc2275"/>
      <w:r>
        <w:rPr>
          <w:rStyle w:val="20"/>
          <w:rFonts w:hint="eastAsia" w:ascii="仿宋" w:eastAsia="仿宋"/>
          <w:b w:val="0"/>
          <w:bCs w:val="0"/>
        </w:rPr>
        <w:t>九、</w:t>
      </w:r>
      <w:r>
        <w:rPr>
          <w:rFonts w:hint="eastAsia" w:ascii="仿宋" w:eastAsia="仿宋"/>
          <w:b w:val="0"/>
        </w:rPr>
        <w:t>一</w:t>
      </w:r>
      <w:r>
        <w:rPr>
          <w:rStyle w:val="20"/>
          <w:rFonts w:hint="eastAsia" w:ascii="仿宋" w:eastAsia="仿宋"/>
          <w:b w:val="0"/>
          <w:bCs w:val="0"/>
        </w:rPr>
        <w:t>般公共预算财政拨款项目支出决算表</w:t>
      </w:r>
      <w:bookmarkEnd w:id="94"/>
      <w:bookmarkEnd w:id="95"/>
    </w:p>
    <w:p>
      <w:pPr>
        <w:pStyle w:val="4"/>
        <w:rPr>
          <w:rFonts w:ascii="仿宋" w:eastAsia="仿宋"/>
        </w:rPr>
      </w:pPr>
      <w:bookmarkStart w:id="96" w:name="_Toc15396628"/>
      <w:bookmarkStart w:id="97" w:name="_Toc12960"/>
      <w:r>
        <w:rPr>
          <w:rStyle w:val="20"/>
          <w:rFonts w:hint="eastAsia" w:ascii="仿宋" w:eastAsia="仿宋"/>
          <w:b w:val="0"/>
          <w:bCs w:val="0"/>
        </w:rPr>
        <w:t>十、</w:t>
      </w:r>
      <w:bookmarkEnd w:id="96"/>
      <w:r>
        <w:rPr>
          <w:rFonts w:hint="eastAsia" w:ascii="仿宋" w:eastAsia="仿宋"/>
          <w:b w:val="0"/>
        </w:rPr>
        <w:t>政</w:t>
      </w:r>
      <w:r>
        <w:rPr>
          <w:rStyle w:val="20"/>
          <w:rFonts w:hint="eastAsia" w:ascii="仿宋" w:eastAsia="仿宋"/>
          <w:b w:val="0"/>
          <w:bCs w:val="0"/>
        </w:rPr>
        <w:t>府性基金预算财政拨款收入支出决算表</w:t>
      </w:r>
      <w:bookmarkEnd w:id="97"/>
    </w:p>
    <w:p>
      <w:pPr>
        <w:pStyle w:val="4"/>
        <w:rPr>
          <w:rFonts w:ascii="仿宋" w:eastAsia="仿宋"/>
        </w:rPr>
      </w:pPr>
      <w:bookmarkStart w:id="98" w:name="_Toc15396629"/>
      <w:bookmarkStart w:id="99" w:name="_Toc16098"/>
      <w:r>
        <w:rPr>
          <w:rStyle w:val="20"/>
          <w:rFonts w:hint="eastAsia" w:ascii="仿宋" w:eastAsia="仿宋"/>
          <w:b w:val="0"/>
          <w:bCs w:val="0"/>
        </w:rPr>
        <w:t>十一、</w:t>
      </w:r>
      <w:bookmarkEnd w:id="98"/>
      <w:r>
        <w:rPr>
          <w:rFonts w:hint="eastAsia" w:ascii="仿宋" w:eastAsia="仿宋"/>
          <w:b w:val="0"/>
        </w:rPr>
        <w:t>国</w:t>
      </w:r>
      <w:r>
        <w:rPr>
          <w:rStyle w:val="20"/>
          <w:rFonts w:hint="eastAsia" w:ascii="仿宋" w:eastAsia="仿宋"/>
          <w:b w:val="0"/>
          <w:bCs w:val="0"/>
        </w:rPr>
        <w:t>有资本经营预算财政拨款收入支出决算表</w:t>
      </w:r>
      <w:bookmarkEnd w:id="99"/>
    </w:p>
    <w:p>
      <w:pPr>
        <w:pStyle w:val="4"/>
        <w:rPr>
          <w:rFonts w:ascii="仿宋" w:eastAsia="仿宋"/>
        </w:rPr>
      </w:pPr>
      <w:bookmarkStart w:id="100" w:name="_Toc15396630"/>
      <w:bookmarkStart w:id="101" w:name="_Toc10652"/>
      <w:r>
        <w:rPr>
          <w:rStyle w:val="20"/>
          <w:rFonts w:hint="eastAsia" w:ascii="仿宋" w:eastAsia="仿宋"/>
          <w:b w:val="0"/>
          <w:bCs w:val="0"/>
        </w:rPr>
        <w:t>十二、</w:t>
      </w:r>
      <w:bookmarkEnd w:id="100"/>
      <w:r>
        <w:rPr>
          <w:rStyle w:val="20"/>
          <w:rFonts w:hint="eastAsia" w:ascii="仿宋" w:eastAsia="仿宋"/>
          <w:b w:val="0"/>
          <w:bCs w:val="0"/>
        </w:rPr>
        <w:t>国有资本经营预算财政拨款支出决算表</w:t>
      </w:r>
      <w:bookmarkEnd w:id="101"/>
    </w:p>
    <w:p>
      <w:pPr>
        <w:pStyle w:val="4"/>
        <w:rPr>
          <w:rFonts w:eastAsia="仿宋"/>
        </w:rPr>
      </w:pPr>
      <w:bookmarkStart w:id="102" w:name="_Toc15396631"/>
      <w:bookmarkStart w:id="103" w:name="_Toc30491"/>
      <w:r>
        <w:rPr>
          <w:rStyle w:val="20"/>
          <w:rFonts w:hint="eastAsia" w:ascii="仿宋" w:eastAsia="仿宋"/>
          <w:b w:val="0"/>
          <w:bCs w:val="0"/>
        </w:rPr>
        <w:t>十三、</w:t>
      </w:r>
      <w:bookmarkEnd w:id="102"/>
      <w:r>
        <w:rPr>
          <w:rStyle w:val="20"/>
          <w:rFonts w:hint="eastAsia" w:ascii="仿宋" w:eastAsia="仿宋"/>
          <w:b w:val="0"/>
          <w:bCs w:val="0"/>
        </w:rPr>
        <w:t>财政拨款“三公”经费支出决算表</w:t>
      </w:r>
      <w:bookmarkEnd w:id="10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ODQ0ZDRjNzUxNmI4YWUyNWUxMjhlNDNjYWNjNDEzMjAifQ=="/>
  </w:docVars>
  <w:rsids>
    <w:rsidRoot w:val="005346C9"/>
    <w:rsid w:val="002C1B69"/>
    <w:rsid w:val="005346C9"/>
    <w:rsid w:val="007C6D18"/>
    <w:rsid w:val="00CF3752"/>
    <w:rsid w:val="02073223"/>
    <w:rsid w:val="02ED4364"/>
    <w:rsid w:val="030F6088"/>
    <w:rsid w:val="06053772"/>
    <w:rsid w:val="07981056"/>
    <w:rsid w:val="07A44649"/>
    <w:rsid w:val="07E13D6B"/>
    <w:rsid w:val="085F6D72"/>
    <w:rsid w:val="08FD6983"/>
    <w:rsid w:val="09B74D83"/>
    <w:rsid w:val="0B8415DD"/>
    <w:rsid w:val="0BB52366"/>
    <w:rsid w:val="0BF73B5D"/>
    <w:rsid w:val="0C886EAB"/>
    <w:rsid w:val="0EDF7256"/>
    <w:rsid w:val="0F451083"/>
    <w:rsid w:val="0F476BAA"/>
    <w:rsid w:val="0F5A68DD"/>
    <w:rsid w:val="0FC1070A"/>
    <w:rsid w:val="0FE06513"/>
    <w:rsid w:val="102B279D"/>
    <w:rsid w:val="10507CE0"/>
    <w:rsid w:val="106B68C8"/>
    <w:rsid w:val="112D61A6"/>
    <w:rsid w:val="112E1DCF"/>
    <w:rsid w:val="11A25B9C"/>
    <w:rsid w:val="11E20E0C"/>
    <w:rsid w:val="136B15CD"/>
    <w:rsid w:val="136B71AF"/>
    <w:rsid w:val="13D33304"/>
    <w:rsid w:val="144B2544"/>
    <w:rsid w:val="155362A8"/>
    <w:rsid w:val="15A765F4"/>
    <w:rsid w:val="161C33B7"/>
    <w:rsid w:val="16A42C47"/>
    <w:rsid w:val="16C60CFC"/>
    <w:rsid w:val="16EB0762"/>
    <w:rsid w:val="17604CAC"/>
    <w:rsid w:val="17C92852"/>
    <w:rsid w:val="18025D64"/>
    <w:rsid w:val="187F73B4"/>
    <w:rsid w:val="19212219"/>
    <w:rsid w:val="19322678"/>
    <w:rsid w:val="193D73B7"/>
    <w:rsid w:val="19C92FDD"/>
    <w:rsid w:val="1A073B05"/>
    <w:rsid w:val="1A554870"/>
    <w:rsid w:val="1A9B5FFB"/>
    <w:rsid w:val="1ADD6614"/>
    <w:rsid w:val="1B302BE8"/>
    <w:rsid w:val="1B8C2514"/>
    <w:rsid w:val="1B8F790E"/>
    <w:rsid w:val="1BA62EAA"/>
    <w:rsid w:val="1D6C0388"/>
    <w:rsid w:val="1DE5415D"/>
    <w:rsid w:val="1F2F47A5"/>
    <w:rsid w:val="1F460C2C"/>
    <w:rsid w:val="1FB262C1"/>
    <w:rsid w:val="1FD2426D"/>
    <w:rsid w:val="1FD47FE6"/>
    <w:rsid w:val="20360C34"/>
    <w:rsid w:val="204C4020"/>
    <w:rsid w:val="20541126"/>
    <w:rsid w:val="224A0A33"/>
    <w:rsid w:val="22714212"/>
    <w:rsid w:val="24E247DE"/>
    <w:rsid w:val="25B05051"/>
    <w:rsid w:val="25FC0296"/>
    <w:rsid w:val="265A7FAD"/>
    <w:rsid w:val="26A60202"/>
    <w:rsid w:val="270311B0"/>
    <w:rsid w:val="27315D1D"/>
    <w:rsid w:val="27E27527"/>
    <w:rsid w:val="2866479A"/>
    <w:rsid w:val="289F1401"/>
    <w:rsid w:val="28C57065"/>
    <w:rsid w:val="28C8445F"/>
    <w:rsid w:val="28CF57EE"/>
    <w:rsid w:val="28E079FB"/>
    <w:rsid w:val="291B0A33"/>
    <w:rsid w:val="29A46C7B"/>
    <w:rsid w:val="2A181417"/>
    <w:rsid w:val="2A9C2D70"/>
    <w:rsid w:val="2B204A27"/>
    <w:rsid w:val="2B2D7144"/>
    <w:rsid w:val="2B4C581C"/>
    <w:rsid w:val="2CA945A8"/>
    <w:rsid w:val="2D26209C"/>
    <w:rsid w:val="2E3903BB"/>
    <w:rsid w:val="2E982B26"/>
    <w:rsid w:val="2EE6562B"/>
    <w:rsid w:val="2F59444C"/>
    <w:rsid w:val="2FAD2601"/>
    <w:rsid w:val="321626E0"/>
    <w:rsid w:val="3236068C"/>
    <w:rsid w:val="326F1DF0"/>
    <w:rsid w:val="33825391"/>
    <w:rsid w:val="339A2E9C"/>
    <w:rsid w:val="33C57F19"/>
    <w:rsid w:val="33C90654"/>
    <w:rsid w:val="34272E4C"/>
    <w:rsid w:val="35AB313F"/>
    <w:rsid w:val="36F17277"/>
    <w:rsid w:val="37985945"/>
    <w:rsid w:val="37B7226F"/>
    <w:rsid w:val="383047CA"/>
    <w:rsid w:val="38BE762D"/>
    <w:rsid w:val="3938118D"/>
    <w:rsid w:val="39F57E9E"/>
    <w:rsid w:val="3A8723CC"/>
    <w:rsid w:val="3AFD268F"/>
    <w:rsid w:val="3B273268"/>
    <w:rsid w:val="3B7D557D"/>
    <w:rsid w:val="3C051C75"/>
    <w:rsid w:val="3C942B7F"/>
    <w:rsid w:val="3C990195"/>
    <w:rsid w:val="3CF7075F"/>
    <w:rsid w:val="3E2076F7"/>
    <w:rsid w:val="3E6B3DB3"/>
    <w:rsid w:val="3EC3599D"/>
    <w:rsid w:val="3F0F346C"/>
    <w:rsid w:val="3F1C50AD"/>
    <w:rsid w:val="40B530C4"/>
    <w:rsid w:val="42A47894"/>
    <w:rsid w:val="42B775C7"/>
    <w:rsid w:val="431D774E"/>
    <w:rsid w:val="440700DA"/>
    <w:rsid w:val="457C4AF8"/>
    <w:rsid w:val="46120628"/>
    <w:rsid w:val="468849B7"/>
    <w:rsid w:val="48CC544E"/>
    <w:rsid w:val="492C391D"/>
    <w:rsid w:val="4A0D2B83"/>
    <w:rsid w:val="4B4734B2"/>
    <w:rsid w:val="4BED5E07"/>
    <w:rsid w:val="4C0B2731"/>
    <w:rsid w:val="4C8A18A8"/>
    <w:rsid w:val="4D901140"/>
    <w:rsid w:val="4E572491"/>
    <w:rsid w:val="4EAF3848"/>
    <w:rsid w:val="4F2F6737"/>
    <w:rsid w:val="503C55AF"/>
    <w:rsid w:val="50B77C63"/>
    <w:rsid w:val="50CA2BBB"/>
    <w:rsid w:val="50E11165"/>
    <w:rsid w:val="532076DA"/>
    <w:rsid w:val="536820BE"/>
    <w:rsid w:val="53FF492A"/>
    <w:rsid w:val="54464F27"/>
    <w:rsid w:val="545C3613"/>
    <w:rsid w:val="54A84FC1"/>
    <w:rsid w:val="54CC20AD"/>
    <w:rsid w:val="54E51D72"/>
    <w:rsid w:val="55482300"/>
    <w:rsid w:val="555939BA"/>
    <w:rsid w:val="55F3226C"/>
    <w:rsid w:val="564E08D4"/>
    <w:rsid w:val="579E26AC"/>
    <w:rsid w:val="596B490D"/>
    <w:rsid w:val="599124C8"/>
    <w:rsid w:val="59A366D2"/>
    <w:rsid w:val="5B184523"/>
    <w:rsid w:val="5D0134C1"/>
    <w:rsid w:val="5D762E2E"/>
    <w:rsid w:val="5E777287"/>
    <w:rsid w:val="5EDF5A84"/>
    <w:rsid w:val="5EFD415C"/>
    <w:rsid w:val="5F381638"/>
    <w:rsid w:val="5F394B2C"/>
    <w:rsid w:val="6005776C"/>
    <w:rsid w:val="602A2D2E"/>
    <w:rsid w:val="60DB671F"/>
    <w:rsid w:val="615269E1"/>
    <w:rsid w:val="61774699"/>
    <w:rsid w:val="61E11B13"/>
    <w:rsid w:val="62041F5B"/>
    <w:rsid w:val="623A1223"/>
    <w:rsid w:val="62B62F9F"/>
    <w:rsid w:val="63071A4D"/>
    <w:rsid w:val="63750765"/>
    <w:rsid w:val="63E1229E"/>
    <w:rsid w:val="64B21544"/>
    <w:rsid w:val="654F3237"/>
    <w:rsid w:val="65661CED"/>
    <w:rsid w:val="66611682"/>
    <w:rsid w:val="67784CC7"/>
    <w:rsid w:val="67CB3049"/>
    <w:rsid w:val="69074555"/>
    <w:rsid w:val="6A0171F6"/>
    <w:rsid w:val="6A3F387A"/>
    <w:rsid w:val="6A4E748B"/>
    <w:rsid w:val="6A6F45A5"/>
    <w:rsid w:val="6BAD25D5"/>
    <w:rsid w:val="6C643A6C"/>
    <w:rsid w:val="6C81461E"/>
    <w:rsid w:val="6D351CFA"/>
    <w:rsid w:val="6E0E5A3E"/>
    <w:rsid w:val="6F094457"/>
    <w:rsid w:val="6F547DC8"/>
    <w:rsid w:val="705636CC"/>
    <w:rsid w:val="71C97EEA"/>
    <w:rsid w:val="732E0930"/>
    <w:rsid w:val="73920EBF"/>
    <w:rsid w:val="743326A2"/>
    <w:rsid w:val="746C1710"/>
    <w:rsid w:val="75027F3F"/>
    <w:rsid w:val="75502DDF"/>
    <w:rsid w:val="75842A89"/>
    <w:rsid w:val="75BF7F65"/>
    <w:rsid w:val="764578BF"/>
    <w:rsid w:val="76B178AE"/>
    <w:rsid w:val="76E22D5B"/>
    <w:rsid w:val="77212C85"/>
    <w:rsid w:val="784629DB"/>
    <w:rsid w:val="78EC2E1F"/>
    <w:rsid w:val="7A8157E9"/>
    <w:rsid w:val="7AC027B5"/>
    <w:rsid w:val="7AEF4E49"/>
    <w:rsid w:val="7B116B6D"/>
    <w:rsid w:val="7B8E6410"/>
    <w:rsid w:val="7C306DEA"/>
    <w:rsid w:val="7CCF4F32"/>
    <w:rsid w:val="7DF6029C"/>
    <w:rsid w:val="7E21356B"/>
    <w:rsid w:val="7EFA0975"/>
    <w:rsid w:val="7FC76394"/>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uiPriority w:val="0"/>
    <w:pPr>
      <w:keepNext/>
      <w:keepLines/>
      <w:spacing w:before="340" w:after="330" w:line="578" w:lineRule="auto"/>
      <w:outlineLvl w:val="0"/>
    </w:pPr>
    <w:rPr>
      <w:b/>
      <w:bCs/>
      <w:kern w:val="44"/>
      <w:sz w:val="44"/>
      <w:szCs w:val="44"/>
    </w:rPr>
  </w:style>
  <w:style w:type="paragraph" w:styleId="4">
    <w:name w:val="heading 2"/>
    <w:basedOn w:val="1"/>
    <w:next w:val="1"/>
    <w:link w:val="20"/>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iPriority w:val="0"/>
    <w:pPr>
      <w:spacing w:beforeLines="30"/>
    </w:pPr>
    <w:rPr>
      <w:rFonts w:ascii="仿宋_GB2312" w:eastAsia="仿宋_GB2312"/>
      <w:kern w:val="0"/>
      <w:sz w:val="30"/>
    </w:rPr>
  </w:style>
  <w:style w:type="paragraph" w:styleId="6">
    <w:name w:val="Salutation"/>
    <w:basedOn w:val="1"/>
    <w:next w:val="1"/>
    <w:qFormat/>
    <w:uiPriority w:val="0"/>
    <w:rPr>
      <w:rFonts w:ascii="Times New Roman" w:hAnsi="Times New Roman" w:eastAsia="宋体" w:cs="Times New Roman"/>
    </w:rPr>
  </w:style>
  <w:style w:type="paragraph" w:styleId="7">
    <w:name w:val="Body Text Indent"/>
    <w:basedOn w:val="1"/>
    <w:uiPriority w:val="0"/>
    <w:pPr>
      <w:spacing w:after="120"/>
      <w:ind w:left="200" w:leftChars="200"/>
    </w:pPr>
    <w:rPr>
      <w:rFonts w:ascii="仿宋_GB2312" w:hAnsi="仿宋_GB2312"/>
      <w:szCs w:val="32"/>
    </w:rPr>
  </w:style>
  <w:style w:type="paragraph" w:styleId="8">
    <w:name w:val="toc 3"/>
    <w:basedOn w:val="1"/>
    <w:next w:val="1"/>
    <w:uiPriority w:val="0"/>
    <w:pPr>
      <w:tabs>
        <w:tab w:val="right" w:leader="dot" w:pos="8296"/>
      </w:tabs>
      <w:ind w:left="400" w:leftChars="400"/>
    </w:pPr>
  </w:style>
  <w:style w:type="paragraph" w:styleId="9">
    <w:name w:val="Balloon Text"/>
    <w:basedOn w:val="1"/>
    <w:uiPriority w:val="0"/>
    <w:rPr>
      <w:sz w:val="18"/>
      <w:szCs w:val="18"/>
    </w:rPr>
  </w:style>
  <w:style w:type="paragraph" w:styleId="10">
    <w:name w:val="footer"/>
    <w:basedOn w:val="1"/>
    <w:uiPriority w:val="0"/>
    <w:pPr>
      <w:tabs>
        <w:tab w:val="center" w:pos="4153"/>
        <w:tab w:val="right" w:pos="8306"/>
      </w:tabs>
      <w:snapToGrid w:val="0"/>
      <w:jc w:val="left"/>
    </w:pPr>
    <w:rPr>
      <w:rFonts w:ascii="Calibri" w:hAnsi="Calibri"/>
      <w:kern w:val="0"/>
      <w:sz w:val="18"/>
      <w:szCs w:val="18"/>
    </w:rPr>
  </w:style>
  <w:style w:type="paragraph" w:styleId="11">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uiPriority w:val="0"/>
    <w:pPr>
      <w:tabs>
        <w:tab w:val="right" w:leader="dot" w:pos="8296"/>
      </w:tabs>
      <w:ind w:left="200" w:leftChars="200"/>
    </w:pPr>
  </w:style>
  <w:style w:type="paragraph" w:styleId="14">
    <w:name w:val="Body Text First Indent 2"/>
    <w:basedOn w:val="7"/>
    <w:uiPriority w:val="0"/>
    <w:pPr>
      <w:ind w:firstLine="200" w:firstLineChars="200"/>
    </w:pPr>
  </w:style>
  <w:style w:type="character" w:styleId="17">
    <w:name w:val="Strong"/>
    <w:basedOn w:val="16"/>
    <w:uiPriority w:val="0"/>
    <w:rPr>
      <w:b/>
    </w:rPr>
  </w:style>
  <w:style w:type="character" w:styleId="18">
    <w:name w:val="Hyperlink"/>
    <w:basedOn w:val="16"/>
    <w:uiPriority w:val="0"/>
    <w:rPr>
      <w:color w:val="0000FF"/>
      <w:u w:val="single"/>
    </w:rPr>
  </w:style>
  <w:style w:type="character" w:customStyle="1" w:styleId="19">
    <w:name w:val="标题 1 Char"/>
    <w:basedOn w:val="16"/>
    <w:link w:val="3"/>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6"/>
    <w:link w:val="4"/>
    <w:uiPriority w:val="0"/>
    <w:rPr>
      <w:rFonts w:ascii="Cambria" w:hAnsi="Cambria" w:eastAsia="宋体" w:cs="Times New Roman"/>
      <w:b/>
      <w:bCs/>
      <w:kern w:val="2"/>
      <w:sz w:val="32"/>
      <w:szCs w:val="32"/>
      <w:lang w:val="en-US" w:eastAsia="zh-CN" w:bidi="ar-SA"/>
    </w:rPr>
  </w:style>
  <w:style w:type="paragraph" w:customStyle="1" w:styleId="21">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6"/>
    <w:uiPriority w:val="0"/>
    <w:rPr>
      <w:rFonts w:ascii="Times New Roman" w:hAnsi="Times New Roman"/>
      <w:sz w:val="18"/>
      <w:szCs w:val="18"/>
    </w:rPr>
  </w:style>
  <w:style w:type="character" w:customStyle="1" w:styleId="23">
    <w:name w:val="Footer Char"/>
    <w:basedOn w:val="16"/>
    <w:uiPriority w:val="0"/>
    <w:rPr>
      <w:rFonts w:ascii="Times New Roman" w:hAnsi="Times New Roman"/>
      <w:sz w:val="18"/>
      <w:szCs w:val="18"/>
    </w:rPr>
  </w:style>
  <w:style w:type="character" w:customStyle="1" w:styleId="24">
    <w:name w:val="Body Text Char"/>
    <w:basedOn w:val="16"/>
    <w:uiPriority w:val="0"/>
    <w:rPr>
      <w:rFonts w:ascii="Times New Roman" w:hAnsi="Times New Roman"/>
      <w:szCs w:val="24"/>
    </w:rPr>
  </w:style>
  <w:style w:type="paragraph" w:customStyle="1" w:styleId="25">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uiPriority w:val="0"/>
    <w:pPr>
      <w:ind w:firstLine="200" w:firstLineChars="200"/>
    </w:pPr>
  </w:style>
  <w:style w:type="paragraph" w:customStyle="1" w:styleId="27">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3"/>
    <w:next w:val="1"/>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四号正文"/>
    <w:basedOn w:val="1"/>
    <w:qFormat/>
    <w:uiPriority w:val="0"/>
    <w:pPr>
      <w:spacing w:line="360" w:lineRule="auto"/>
    </w:pPr>
    <w:rPr>
      <w:rFonts w:ascii="??" w:hAnsi="??"/>
      <w:color w:val="000000"/>
      <w:kern w:val="0"/>
      <w:sz w:val="28"/>
      <w:szCs w:val="21"/>
      <w:lang w:val="zh-CN"/>
    </w:rPr>
  </w:style>
  <w:style w:type="paragraph" w:customStyle="1" w:styleId="30">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31">
    <w:name w:val="WPSOffice手动目录 1"/>
    <w:uiPriority w:val="0"/>
    <w:pPr>
      <w:ind w:leftChars="0"/>
    </w:pPr>
    <w:rPr>
      <w:sz w:val="20"/>
      <w:szCs w:val="20"/>
    </w:rPr>
  </w:style>
  <w:style w:type="paragraph" w:customStyle="1" w:styleId="32">
    <w:name w:val="WPSOffice手动目录 2"/>
    <w:uiPriority w:val="0"/>
    <w:pPr>
      <w:ind w:leftChars="200"/>
    </w:pPr>
    <w:rPr>
      <w:sz w:val="20"/>
      <w:szCs w:val="20"/>
    </w:rPr>
  </w:style>
  <w:style w:type="paragraph" w:customStyle="1" w:styleId="33">
    <w:name w:val="WPSOffice手动目录 3"/>
    <w:uiPriority w:val="0"/>
    <w:pPr>
      <w:ind w:leftChars="4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896428078886"/>
          <c:y val="0.101085209003215"/>
          <c:w val="0.873314025651634"/>
          <c:h val="0.727773311897106"/>
        </c:manualLayout>
      </c:layout>
      <c:barChart>
        <c:barDir val="col"/>
        <c:grouping val="clustered"/>
        <c:varyColors val="0"/>
        <c:ser>
          <c:idx val="0"/>
          <c:order val="0"/>
          <c:tx>
            <c:strRef>
              <c:f>Sheet1!$B$1</c:f>
              <c:strCache>
                <c:ptCount val="1"/>
                <c:pt idx="0">
                  <c:v>2021年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Sheet1!$B$2:$B$5</c:f>
              <c:numCache>
                <c:formatCode>General</c:formatCode>
                <c:ptCount val="4"/>
                <c:pt idx="0">
                  <c:v>699.38</c:v>
                </c:pt>
                <c:pt idx="1">
                  <c:v>699.38</c:v>
                </c:pt>
              </c:numCache>
            </c:numRef>
          </c:val>
        </c:ser>
        <c:ser>
          <c:idx val="1"/>
          <c:order val="1"/>
          <c:tx>
            <c:strRef>
              <c:f>Sheet1!$C$1</c:f>
              <c:strCache>
                <c:ptCount val="1"/>
                <c:pt idx="0">
                  <c:v>2022年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Pt>
            <c:idx val="1"/>
            <c:invertIfNegative val="0"/>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Sheet1!$C$2:$C$5</c:f>
              <c:numCache>
                <c:formatCode>General</c:formatCode>
                <c:ptCount val="4"/>
                <c:pt idx="0">
                  <c:v>779.35</c:v>
                </c:pt>
                <c:pt idx="1">
                  <c:v>779.35</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5075775433686"/>
          <c:y val="0.098971812403657"/>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0.00734280374307864"/>
                  <c:y val="-0.2232360012975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97.</a:t>
                    </a:r>
                    <a:r>
                      <a:rPr lang="en-US" altLang="zh-CN"/>
                      <a:t>96</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915275994865212"/>
                      <c:h val="0.114161849710983"/>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a:t>
                    </a:r>
                    <a:r>
                      <a:rPr lang="en-US" altLang="zh-CN"/>
                      <a:t>04</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01394169835234"/>
                      <c:h val="0.078375411635565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strCache>
            </c:strRef>
          </c:cat>
          <c:val>
            <c:numRef>
              <c:f>Sheet1!$B$2:$B$5</c:f>
              <c:numCache>
                <c:formatCode>General</c:formatCode>
                <c:ptCount val="4"/>
                <c:pt idx="0">
                  <c:v>763.44</c:v>
                </c:pt>
                <c:pt idx="1">
                  <c:v>15.9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0726466299417"/>
          <c:y val="0.106951668810749"/>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0.00734280374307864"/>
                  <c:y val="-0.2232360012975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81.77%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21840570317563"/>
                      <c:h val="0.108085579327591"/>
                    </c:manualLayout>
                  </c15:layout>
                </c:ext>
              </c:extLst>
            </c:dLbl>
            <c:dLbl>
              <c:idx val="1"/>
              <c:layout>
                <c:manualLayout>
                  <c:x val="0.0231519734679379"/>
                  <c:y val="0.12128369367374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18.23%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06779661016949"/>
                      <c:h val="0.0724666533943858"/>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0.8445</c:v>
                </c:pt>
                <c:pt idx="1">
                  <c:v>0.1555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13177753338"/>
          <c:y val="0.141218920826365"/>
          <c:w val="0.870726388189901"/>
          <c:h val="0.66831370295892"/>
        </c:manualLayout>
      </c:layout>
      <c:barChart>
        <c:barDir val="col"/>
        <c:grouping val="clustered"/>
        <c:varyColors val="0"/>
        <c:ser>
          <c:idx val="0"/>
          <c:order val="0"/>
          <c:tx>
            <c:strRef>
              <c:f>Sheet1!$B$1</c:f>
              <c:strCache>
                <c:ptCount val="1"/>
                <c:pt idx="0">
                  <c:v>2021年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Sheet1!$B$2:$B$5</c:f>
              <c:numCache>
                <c:formatCode>General</c:formatCode>
                <c:ptCount val="4"/>
                <c:pt idx="0">
                  <c:v>684.69</c:v>
                </c:pt>
                <c:pt idx="1">
                  <c:v>684.69</c:v>
                </c:pt>
              </c:numCache>
            </c:numRef>
          </c:val>
        </c:ser>
        <c:ser>
          <c:idx val="1"/>
          <c:order val="1"/>
          <c:tx>
            <c:strRef>
              <c:f>Sheet1!$C$1</c:f>
              <c:strCache>
                <c:ptCount val="1"/>
                <c:pt idx="0">
                  <c:v>2022年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Sheet1!$C$2:$C$5</c:f>
              <c:numCache>
                <c:formatCode>General</c:formatCode>
                <c:ptCount val="4"/>
                <c:pt idx="0">
                  <c:v>763.44</c:v>
                </c:pt>
                <c:pt idx="1">
                  <c:v>763.44</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46478197344"/>
          <c:y val="0.141218920826365"/>
          <c:w val="0.870726388189901"/>
          <c:h val="0.66831370295892"/>
        </c:manualLayout>
      </c:layout>
      <c:barChart>
        <c:barDir val="col"/>
        <c:grouping val="clustered"/>
        <c:varyColors val="0"/>
        <c:ser>
          <c:idx val="0"/>
          <c:order val="0"/>
          <c:tx>
            <c:strRef>
              <c:f>Sheet1!$B$1</c:f>
              <c:strCache>
                <c:ptCount val="1"/>
                <c:pt idx="0">
                  <c:v>2021年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Sheet1!$A$2:$A$5</c:f>
              <c:numCache>
                <c:formatCode>General</c:formatCode>
                <c:ptCount val="4"/>
              </c:numCache>
            </c:numRef>
          </c:cat>
          <c:val>
            <c:numRef>
              <c:f>Sheet1!$B$2:$B$5</c:f>
              <c:numCache>
                <c:formatCode>General</c:formatCode>
                <c:ptCount val="4"/>
                <c:pt idx="0">
                  <c:v>0</c:v>
                </c:pt>
                <c:pt idx="1">
                  <c:v>684.69</c:v>
                </c:pt>
              </c:numCache>
            </c:numRef>
          </c:val>
        </c:ser>
        <c:ser>
          <c:idx val="1"/>
          <c:order val="1"/>
          <c:tx>
            <c:strRef>
              <c:f>Sheet1!$C$1</c:f>
              <c:strCache>
                <c:ptCount val="1"/>
                <c:pt idx="0">
                  <c:v>2022年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Sheet1!$A$2:$A$5</c:f>
              <c:numCache>
                <c:formatCode>General</c:formatCode>
                <c:ptCount val="4"/>
              </c:numCache>
            </c:numRef>
          </c:cat>
          <c:val>
            <c:numRef>
              <c:f>Sheet1!$C$2:$C$5</c:f>
              <c:numCache>
                <c:formatCode>General</c:formatCode>
                <c:ptCount val="4"/>
                <c:pt idx="0">
                  <c:v>0</c:v>
                </c:pt>
                <c:pt idx="1">
                  <c:v>763.44</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numRef>
              <c:f>Sheet1!$A$2:$A$5</c:f>
              <c:numCache>
                <c:formatCode>General</c:formatCode>
                <c:ptCount val="4"/>
              </c:numCache>
            </c:num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0616840155258"/>
          <c:y val="0.103844835338168"/>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a:noFill/>
              </a:ln>
              <a:effectLst>
                <a:outerShdw blurRad="63500" sx="102000" sy="102000" algn="ctr" rotWithShape="0">
                  <a:prstClr val="black">
                    <a:alpha val="20000"/>
                  </a:prstClr>
                </a:outerShdw>
              </a:effectLst>
            </c:spPr>
          </c:dPt>
          <c:dPt>
            <c:idx val="1"/>
            <c:bubble3D val="0"/>
            <c:spPr>
              <a:solidFill>
                <a:schemeClr val="accent5"/>
              </a:solidFill>
              <a:ln>
                <a:noFill/>
              </a:ln>
              <a:effectLst>
                <a:outerShdw blurRad="63500" sx="102000" sy="102000" algn="ctr" rotWithShape="0">
                  <a:prstClr val="black">
                    <a:alpha val="20000"/>
                  </a:prstClr>
                </a:outerShdw>
              </a:effectLst>
            </c:spPr>
          </c:dPt>
          <c:dPt>
            <c:idx val="2"/>
            <c:bubble3D val="0"/>
            <c:spPr>
              <a:solidFill>
                <a:schemeClr val="accent4"/>
              </a:solidFill>
              <a:ln>
                <a:noFill/>
              </a:ln>
              <a:effectLst>
                <a:outerShdw blurRad="63500" sx="102000" sy="102000" algn="ctr" rotWithShape="0">
                  <a:prstClr val="black">
                    <a:alpha val="20000"/>
                  </a:prstClr>
                </a:outerShdw>
              </a:effectLst>
            </c:spPr>
          </c:dPt>
          <c:dPt>
            <c:idx val="3"/>
            <c:bubble3D val="0"/>
            <c:spPr>
              <a:solidFill>
                <a:schemeClr val="accent6">
                  <a:lumMod val="60000"/>
                </a:schemeClr>
              </a:solidFill>
              <a:ln>
                <a:noFill/>
              </a:ln>
              <a:effectLst>
                <a:outerShdw blurRad="63500" sx="102000" sy="102000" algn="ctr" rotWithShape="0">
                  <a:prstClr val="black">
                    <a:alpha val="20000"/>
                  </a:prstClr>
                </a:outerShdw>
              </a:effectLst>
            </c:spPr>
          </c:dPt>
          <c:dLbls>
            <c:dLbl>
              <c:idx val="0"/>
              <c:layout/>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1"/>
              <c:showCatName val="1"/>
              <c:showSerName val="0"/>
              <c:showPercent val="1"/>
              <c:showBubbleSize val="0"/>
              <c:extLst>
                <c:ext xmlns:c15="http://schemas.microsoft.com/office/drawing/2012/chart" uri="{CE6537A1-D6FC-4f65-9D91-7224C49458BB}"/>
              </c:extLst>
            </c:dLbl>
            <c:dLbl>
              <c:idx val="1"/>
              <c:layout>
                <c:manualLayout>
                  <c:x val="-0.0146036161335188"/>
                  <c:y val="0.0526533140615321"/>
                </c:manualLayout>
              </c:layout>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0292072322670376"/>
                  <c:y val="0.0247780301466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0271210013908206"/>
                  <c:y val="0"/>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lumMod val="60000"/>
                        </a:schemeClr>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0.00_ </c:formatCode>
                <c:ptCount val="4"/>
                <c:pt idx="0">
                  <c:v>626.94</c:v>
                </c:pt>
                <c:pt idx="1">
                  <c:v>69.63</c:v>
                </c:pt>
                <c:pt idx="2">
                  <c:v>30.35</c:v>
                </c:pt>
                <c:pt idx="3">
                  <c:v>36.53</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3575565509468"/>
          <c:y val="0.111582096686516"/>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a:noFill/>
              </a:ln>
              <a:effectLst>
                <a:outerShdw blurRad="63500" sx="102000" sy="102000" algn="ctr" rotWithShape="0">
                  <a:prstClr val="black">
                    <a:alpha val="20000"/>
                  </a:prstClr>
                </a:outerShdw>
              </a:effectLst>
            </c:spPr>
          </c:dPt>
          <c:dPt>
            <c:idx val="1"/>
            <c:bubble3D val="0"/>
            <c:spPr>
              <a:solidFill>
                <a:schemeClr val="accent5"/>
              </a:solidFill>
              <a:ln>
                <a:noFill/>
              </a:ln>
              <a:effectLst>
                <a:outerShdw blurRad="63500" sx="102000" sy="102000" algn="ctr" rotWithShape="0">
                  <a:prstClr val="black">
                    <a:alpha val="20000"/>
                  </a:prstClr>
                </a:outerShdw>
              </a:effectLst>
            </c:spPr>
          </c:dPt>
          <c:dLbls>
            <c:dLbl>
              <c:idx val="0"/>
              <c:layout>
                <c:manualLayout>
                  <c:x val="0.161270158769846"/>
                  <c:y val="-0.0126715945089757"/>
                </c:manualLayout>
              </c:layout>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1"/>
              <c:showCatName val="1"/>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0.00_ </c:formatCode>
                <c:ptCount val="2"/>
                <c:pt idx="0">
                  <c:v>32.2</c:v>
                </c:pt>
                <c:pt idx="1">
                  <c:v>1.5</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19</Pages>
  <Words>5477</Words>
  <Characters>6137</Characters>
  <Lines>58</Lines>
  <Paragraphs>16</Paragraphs>
  <TotalTime>22</TotalTime>
  <ScaleCrop>false</ScaleCrop>
  <LinksUpToDate>false</LinksUpToDate>
  <CharactersWithSpaces>6554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oO月影子熙。</cp:lastModifiedBy>
  <cp:lastPrinted>2023-10-25T03:40:52Z</cp:lastPrinted>
  <dcterms:modified xsi:type="dcterms:W3CDTF">2023-10-25T03:57:57Z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F0FA635CE24C4D8186656C15EB9B4CE3_12</vt:lpwstr>
  </property>
</Properties>
</file>