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9"/>
        <w:rPr>
          <w:rFonts w:ascii="方正小标宋简体" w:eastAsia="方正小标宋简体"/>
          <w:sz w:val="72"/>
          <w:szCs w:val="72"/>
        </w:rPr>
      </w:pPr>
      <w:bookmarkStart w:id="0" w:name="_Toc15306267"/>
    </w:p>
    <w:p>
      <w:pPr>
        <w:spacing w:line="600" w:lineRule="exact"/>
        <w:jc w:val="center"/>
        <w:outlineLvl w:val="9"/>
        <w:rPr>
          <w:rFonts w:ascii="方正小标宋简体" w:eastAsia="方正小标宋简体"/>
          <w:sz w:val="72"/>
          <w:szCs w:val="72"/>
        </w:rPr>
      </w:pPr>
    </w:p>
    <w:p>
      <w:pPr>
        <w:spacing w:line="600" w:lineRule="exact"/>
        <w:jc w:val="center"/>
        <w:outlineLvl w:val="9"/>
        <w:rPr>
          <w:rFonts w:ascii="方正小标宋简体" w:eastAsia="方正小标宋简体"/>
          <w:sz w:val="72"/>
          <w:szCs w:val="72"/>
        </w:rPr>
      </w:pPr>
    </w:p>
    <w:p>
      <w:pPr>
        <w:spacing w:line="600" w:lineRule="exact"/>
        <w:jc w:val="center"/>
        <w:outlineLvl w:val="9"/>
        <w:rPr>
          <w:rFonts w:ascii="方正小标宋简体" w:eastAsia="方正小标宋简体"/>
          <w:sz w:val="72"/>
          <w:szCs w:val="72"/>
        </w:rPr>
      </w:pPr>
    </w:p>
    <w:p>
      <w:pPr>
        <w:adjustRightInd w:val="0"/>
        <w:snapToGrid w:val="0"/>
        <w:spacing w:line="360" w:lineRule="auto"/>
        <w:jc w:val="center"/>
        <w:outlineLvl w:val="0"/>
        <w:rPr>
          <w:rFonts w:ascii="方正小标宋简体" w:eastAsia="方正小标宋简体" w:cs="方正小标宋简体"/>
          <w:sz w:val="72"/>
          <w:szCs w:val="72"/>
        </w:rPr>
      </w:pPr>
      <w:bookmarkStart w:id="1" w:name="_Toc15377425"/>
      <w:bookmarkStart w:id="2" w:name="_Toc15377193"/>
      <w:bookmarkStart w:id="3" w:name="_Toc15378441"/>
      <w:bookmarkStart w:id="4" w:name="_Toc15396597"/>
      <w:bookmarkStart w:id="5" w:name="_Toc27000"/>
      <w:bookmarkStart w:id="6" w:name="_Toc15396475"/>
      <w:r>
        <w:rPr>
          <w:rFonts w:hint="eastAsia" w:ascii="方正小标宋简体" w:eastAsia="方正小标宋简体" w:cs="方正小标宋简体"/>
          <w:sz w:val="72"/>
          <w:szCs w:val="72"/>
        </w:rPr>
        <w:t>2021年度</w:t>
      </w:r>
      <w:bookmarkEnd w:id="1"/>
      <w:bookmarkEnd w:id="2"/>
      <w:bookmarkEnd w:id="3"/>
      <w:bookmarkEnd w:id="4"/>
      <w:bookmarkEnd w:id="5"/>
      <w:bookmarkEnd w:id="6"/>
    </w:p>
    <w:p>
      <w:pPr>
        <w:adjustRightInd w:val="0"/>
        <w:snapToGrid w:val="0"/>
        <w:spacing w:line="360" w:lineRule="auto"/>
        <w:jc w:val="center"/>
        <w:outlineLvl w:val="0"/>
        <w:rPr>
          <w:rFonts w:hint="eastAsia" w:ascii="方正小标宋简体" w:eastAsia="方正小标宋简体" w:cs="方正小标宋简体"/>
          <w:sz w:val="72"/>
          <w:szCs w:val="72"/>
          <w:lang w:val="en-US" w:eastAsia="zh-CN"/>
        </w:rPr>
      </w:pPr>
      <w:bookmarkStart w:id="7" w:name="_Toc9780"/>
      <w:bookmarkStart w:id="8" w:name="_Toc15377194"/>
      <w:bookmarkStart w:id="9" w:name="_Toc15396598"/>
      <w:bookmarkStart w:id="10" w:name="_Toc15396476"/>
      <w:bookmarkStart w:id="11" w:name="_Toc15378442"/>
      <w:bookmarkStart w:id="12" w:name="_Toc15377426"/>
      <w:r>
        <w:rPr>
          <w:rFonts w:ascii="方正小标宋简体" w:eastAsia="方正小标宋简体" w:cs="方正小标宋简体"/>
          <w:sz w:val="72"/>
          <w:szCs w:val="72"/>
        </w:rPr>
        <w:t>阿坝州</w:t>
      </w:r>
      <w:bookmarkEnd w:id="0"/>
      <w:bookmarkStart w:id="13" w:name="_Toc15306268"/>
      <w:r>
        <w:rPr>
          <w:rFonts w:hint="eastAsia" w:ascii="方正小标宋简体" w:eastAsia="方正小标宋简体" w:cs="方正小标宋简体"/>
          <w:sz w:val="72"/>
          <w:szCs w:val="72"/>
          <w:lang w:val="en-US" w:eastAsia="zh-CN"/>
        </w:rPr>
        <w:t>红原县政协</w:t>
      </w:r>
      <w:bookmarkEnd w:id="7"/>
    </w:p>
    <w:p>
      <w:pPr>
        <w:adjustRightInd w:val="0"/>
        <w:snapToGrid w:val="0"/>
        <w:spacing w:line="360" w:lineRule="auto"/>
        <w:jc w:val="center"/>
        <w:outlineLvl w:val="0"/>
        <w:rPr>
          <w:rFonts w:ascii="方正小标宋简体" w:eastAsia="方正小标宋简体" w:cs="方正小标宋简体"/>
          <w:sz w:val="72"/>
          <w:szCs w:val="72"/>
        </w:rPr>
      </w:pPr>
      <w:bookmarkStart w:id="14" w:name="_Toc23063"/>
      <w:r>
        <w:rPr>
          <w:rFonts w:hint="eastAsia" w:ascii="方正小标宋简体" w:eastAsia="方正小标宋简体" w:cs="方正小标宋简体"/>
          <w:sz w:val="72"/>
          <w:szCs w:val="72"/>
        </w:rPr>
        <w:t>单位决算</w:t>
      </w:r>
      <w:bookmarkEnd w:id="8"/>
      <w:bookmarkEnd w:id="9"/>
      <w:bookmarkEnd w:id="10"/>
      <w:bookmarkEnd w:id="11"/>
      <w:bookmarkEnd w:id="12"/>
      <w:bookmarkEnd w:id="13"/>
      <w:bookmarkEnd w:id="14"/>
    </w:p>
    <w:p>
      <w:pPr>
        <w:pStyle w:val="2"/>
        <w:spacing w:before="93"/>
      </w:pPr>
    </w:p>
    <w:p>
      <w:pPr>
        <w:pStyle w:val="2"/>
        <w:spacing w:before="93"/>
      </w:pPr>
    </w:p>
    <w:p>
      <w:pPr>
        <w:pStyle w:val="2"/>
        <w:spacing w:before="93"/>
      </w:pPr>
    </w:p>
    <w:p>
      <w:pPr>
        <w:pStyle w:val="2"/>
        <w:spacing w:before="93"/>
      </w:pPr>
    </w:p>
    <w:p>
      <w:pPr>
        <w:pStyle w:val="2"/>
        <w:spacing w:before="93"/>
      </w:pPr>
    </w:p>
    <w:p>
      <w:pPr>
        <w:pStyle w:val="2"/>
        <w:spacing w:before="93"/>
      </w:pPr>
    </w:p>
    <w:p>
      <w:pPr>
        <w:pStyle w:val="2"/>
        <w:spacing w:before="93"/>
      </w:pPr>
    </w:p>
    <w:p>
      <w:pPr>
        <w:widowControl/>
        <w:jc w:val="center"/>
        <w:rPr>
          <w:rFonts w:hint="eastAsia" w:ascii="黑体" w:eastAsia="黑体"/>
          <w:sz w:val="48"/>
          <w:szCs w:val="48"/>
        </w:rPr>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pPr>
    </w:p>
    <w:p>
      <w:pPr>
        <w:widowControl/>
        <w:jc w:val="center"/>
        <w:rPr>
          <w:rFonts w:ascii="黑体" w:eastAsia="黑体"/>
          <w:sz w:val="48"/>
          <w:szCs w:val="48"/>
        </w:rPr>
      </w:pPr>
      <w:r>
        <w:rPr>
          <w:rFonts w:hint="eastAsia" w:ascii="黑体" w:eastAsia="黑体"/>
          <w:sz w:val="48"/>
          <w:szCs w:val="48"/>
        </w:rPr>
        <w:t>目录</w:t>
      </w:r>
    </w:p>
    <w:p>
      <w:pPr>
        <w:widowControl/>
        <w:jc w:val="center"/>
        <w:rPr>
          <w:rFonts w:ascii="黑体" w:eastAsia="黑体" w:cs="Arial"/>
          <w:sz w:val="28"/>
          <w:szCs w:val="28"/>
        </w:rPr>
      </w:pPr>
    </w:p>
    <w:p>
      <w:pPr>
        <w:pStyle w:val="12"/>
      </w:pPr>
      <w:r>
        <w:rPr>
          <w:rFonts w:hint="eastAsia"/>
        </w:rPr>
        <w:t>公开时间：2022年</w:t>
      </w:r>
      <w:r>
        <w:rPr>
          <w:rFonts w:hint="eastAsia"/>
          <w:lang w:val="en-US" w:eastAsia="zh-CN"/>
        </w:rPr>
        <w:t>12</w:t>
      </w:r>
      <w:r>
        <w:rPr>
          <w:rFonts w:hint="eastAsia"/>
        </w:rPr>
        <w:t>月</w:t>
      </w:r>
      <w:r>
        <w:rPr>
          <w:rFonts w:hint="eastAsia"/>
          <w:lang w:val="en-US" w:eastAsia="zh-CN"/>
        </w:rPr>
        <w:t>19</w:t>
      </w:r>
      <w:r>
        <w:rPr>
          <w:rFonts w:hint="eastAsia"/>
        </w:rPr>
        <w:t>日</w:t>
      </w:r>
    </w:p>
    <w:p/>
    <w:p>
      <w:pPr>
        <w:spacing w:before="0" w:beforeLines="0" w:after="0" w:afterLines="0" w:line="240" w:lineRule="auto"/>
        <w:ind w:left="0" w:leftChars="0" w:right="0" w:rightChars="0" w:firstLine="0" w:firstLineChars="0"/>
        <w:jc w:val="center"/>
      </w:pPr>
      <w:r>
        <w:rPr>
          <w:rFonts w:ascii="宋体" w:hAnsi="宋体" w:eastAsia="宋体"/>
          <w:sz w:val="21"/>
        </w:rPr>
        <w:t>目录</w:t>
      </w:r>
    </w:p>
    <w:p>
      <w:pPr>
        <w:pStyle w:val="28"/>
        <w:tabs>
          <w:tab w:val="right" w:leader="dot" w:pos="8306"/>
        </w:tabs>
        <w:rPr>
          <w:b/>
        </w:rPr>
      </w:pPr>
      <w:r>
        <w:rPr>
          <w:b/>
        </w:rPr>
        <w:fldChar w:fldCharType="begin"/>
      </w:r>
      <w:r>
        <w:rPr>
          <w:b/>
        </w:rPr>
        <w:instrText xml:space="preserve">TOC \o "1-2" \h \u </w:instrText>
      </w:r>
      <w:r>
        <w:rPr>
          <w:b/>
        </w:rPr>
        <w:fldChar w:fldCharType="separate"/>
      </w:r>
    </w:p>
    <w:p>
      <w:pPr>
        <w:pStyle w:val="28"/>
        <w:tabs>
          <w:tab w:val="right" w:leader="dot" w:pos="8306"/>
        </w:tabs>
        <w:rPr>
          <w:b/>
        </w:rPr>
      </w:pPr>
      <w:r>
        <w:rPr>
          <w:b/>
        </w:rPr>
        <w:fldChar w:fldCharType="begin"/>
      </w:r>
      <w:r>
        <w:rPr>
          <w:b/>
        </w:rPr>
        <w:instrText xml:space="preserve"> HYPERLINK \l _Toc26438 </w:instrText>
      </w:r>
      <w:r>
        <w:rPr>
          <w:b/>
        </w:rPr>
        <w:fldChar w:fldCharType="separate"/>
      </w:r>
      <w:r>
        <w:rPr>
          <w:rFonts w:hint="eastAsia" w:ascii="黑体" w:eastAsia="黑体"/>
          <w:b/>
          <w:bCs w:val="0"/>
        </w:rPr>
        <w:t xml:space="preserve">第一部分 </w:t>
      </w:r>
      <w:r>
        <w:rPr>
          <w:rFonts w:hint="eastAsia" w:ascii="黑体" w:eastAsia="黑体"/>
          <w:b/>
        </w:rPr>
        <w:t>单位</w:t>
      </w:r>
      <w:r>
        <w:rPr>
          <w:rFonts w:hint="eastAsia" w:ascii="黑体" w:eastAsia="黑体"/>
          <w:b/>
          <w:bCs w:val="0"/>
        </w:rPr>
        <w:t>概况</w:t>
      </w:r>
      <w:r>
        <w:rPr>
          <w:b/>
        </w:rPr>
        <w:tab/>
      </w:r>
      <w:r>
        <w:rPr>
          <w:b/>
        </w:rPr>
        <w:fldChar w:fldCharType="begin"/>
      </w:r>
      <w:r>
        <w:rPr>
          <w:b/>
        </w:rPr>
        <w:instrText xml:space="preserve"> PAGEREF _Toc26438 </w:instrText>
      </w:r>
      <w:r>
        <w:rPr>
          <w:b/>
        </w:rPr>
        <w:fldChar w:fldCharType="separate"/>
      </w:r>
      <w:r>
        <w:rPr>
          <w:b/>
        </w:rPr>
        <w:t>1</w:t>
      </w:r>
      <w:r>
        <w:rPr>
          <w:b/>
        </w:rPr>
        <w:fldChar w:fldCharType="end"/>
      </w:r>
      <w:r>
        <w:rPr>
          <w:b/>
        </w:rPr>
        <w:fldChar w:fldCharType="end"/>
      </w:r>
    </w:p>
    <w:p>
      <w:pPr>
        <w:pStyle w:val="29"/>
        <w:tabs>
          <w:tab w:val="right" w:leader="dot" w:pos="8306"/>
        </w:tabs>
      </w:pPr>
      <w:r>
        <w:fldChar w:fldCharType="begin"/>
      </w:r>
      <w:r>
        <w:instrText xml:space="preserve"> HYPERLINK \l _Toc7961 </w:instrText>
      </w:r>
      <w:r>
        <w:fldChar w:fldCharType="separate"/>
      </w:r>
      <w:r>
        <w:rPr>
          <w:rFonts w:hint="eastAsia" w:ascii="黑体" w:eastAsia="黑体"/>
          <w:bCs w:val="0"/>
        </w:rPr>
        <w:t xml:space="preserve">一、 </w:t>
      </w:r>
      <w:r>
        <w:rPr>
          <w:rFonts w:hint="eastAsia" w:ascii="黑体" w:eastAsia="黑体"/>
          <w:bCs w:val="0"/>
          <w:lang w:val="en-US" w:eastAsia="zh-CN"/>
        </w:rPr>
        <w:t>部门职责及机构设置</w:t>
      </w:r>
      <w:r>
        <w:tab/>
      </w:r>
      <w:r>
        <w:fldChar w:fldCharType="begin"/>
      </w:r>
      <w:r>
        <w:instrText xml:space="preserve"> PAGEREF _Toc7961 </w:instrText>
      </w:r>
      <w:r>
        <w:fldChar w:fldCharType="separate"/>
      </w:r>
      <w:r>
        <w:t>1</w:t>
      </w:r>
      <w:r>
        <w:fldChar w:fldCharType="end"/>
      </w:r>
      <w:r>
        <w:fldChar w:fldCharType="end"/>
      </w:r>
    </w:p>
    <w:p>
      <w:pPr>
        <w:pStyle w:val="29"/>
        <w:tabs>
          <w:tab w:val="right" w:leader="dot" w:pos="8306"/>
        </w:tabs>
      </w:pPr>
      <w:r>
        <w:fldChar w:fldCharType="begin"/>
      </w:r>
      <w:r>
        <w:instrText xml:space="preserve"> HYPERLINK \l _Toc1213 </w:instrText>
      </w:r>
      <w:r>
        <w:fldChar w:fldCharType="separate"/>
      </w:r>
      <w:r>
        <w:rPr>
          <w:rFonts w:hint="eastAsia" w:ascii="黑体" w:eastAsia="黑体"/>
        </w:rPr>
        <w:t>二、2021年重点工作完成情况</w:t>
      </w:r>
      <w:r>
        <w:tab/>
      </w:r>
      <w:r>
        <w:fldChar w:fldCharType="begin"/>
      </w:r>
      <w:r>
        <w:instrText xml:space="preserve"> PAGEREF _Toc1213 </w:instrText>
      </w:r>
      <w:r>
        <w:fldChar w:fldCharType="separate"/>
      </w:r>
      <w:r>
        <w:t>2</w:t>
      </w:r>
      <w:r>
        <w:fldChar w:fldCharType="end"/>
      </w:r>
      <w:r>
        <w:fldChar w:fldCharType="end"/>
      </w:r>
    </w:p>
    <w:p>
      <w:pPr>
        <w:pStyle w:val="29"/>
        <w:tabs>
          <w:tab w:val="right" w:leader="dot" w:pos="8306"/>
        </w:tabs>
      </w:pPr>
      <w:r>
        <w:fldChar w:fldCharType="begin"/>
      </w:r>
      <w:r>
        <w:instrText xml:space="preserve"> HYPERLINK \l _Toc4005 </w:instrText>
      </w:r>
      <w:r>
        <w:fldChar w:fldCharType="separate"/>
      </w:r>
      <w:r>
        <w:rPr>
          <w:rFonts w:hint="eastAsia" w:ascii="仿宋_GB2312" w:hAnsi="宋体" w:eastAsia="仿宋_GB2312" w:cs="仿宋_GB2312"/>
          <w:bCs w:val="0"/>
          <w:kern w:val="0"/>
          <w:szCs w:val="32"/>
          <w:shd w:val="clear" w:color="auto" w:fill="FFFFFF"/>
          <w:lang w:val="en-US" w:eastAsia="zh-CN" w:bidi="ar"/>
        </w:rPr>
        <w:t>1.高质量做好办文办会。在县政协党组的领导下，县政协机齐心协力，科学谋划，合理安排，加班加点，按期完成了各项会议的各项筹备工作，保证了各项会议的顺利召开。根据分工有效地完成了文件的传阅、办理等工作。</w:t>
      </w:r>
      <w:r>
        <w:tab/>
      </w:r>
      <w:r>
        <w:fldChar w:fldCharType="begin"/>
      </w:r>
      <w:r>
        <w:instrText xml:space="preserve"> PAGEREF _Toc4005 </w:instrText>
      </w:r>
      <w:r>
        <w:fldChar w:fldCharType="separate"/>
      </w:r>
      <w:r>
        <w:t>2</w:t>
      </w:r>
      <w:r>
        <w:fldChar w:fldCharType="end"/>
      </w:r>
      <w:r>
        <w:fldChar w:fldCharType="end"/>
      </w:r>
    </w:p>
    <w:p>
      <w:pPr>
        <w:pStyle w:val="28"/>
        <w:tabs>
          <w:tab w:val="right" w:leader="dot" w:pos="8306"/>
        </w:tabs>
        <w:rPr>
          <w:b/>
        </w:rPr>
      </w:pPr>
      <w:r>
        <w:rPr>
          <w:b/>
        </w:rPr>
        <w:fldChar w:fldCharType="begin"/>
      </w:r>
      <w:r>
        <w:rPr>
          <w:b/>
        </w:rPr>
        <w:instrText xml:space="preserve"> HYPERLINK \l _Toc20965 </w:instrText>
      </w:r>
      <w:r>
        <w:rPr>
          <w:b/>
        </w:rPr>
        <w:fldChar w:fldCharType="separate"/>
      </w:r>
      <w:r>
        <w:rPr>
          <w:rFonts w:hint="eastAsia" w:ascii="黑体" w:eastAsia="黑体"/>
          <w:b/>
        </w:rPr>
        <w:t>第二部分 2021年度</w:t>
      </w:r>
      <w:r>
        <w:rPr>
          <w:rFonts w:hint="eastAsia" w:ascii="黑体" w:eastAsia="黑体"/>
          <w:b/>
          <w:bCs/>
        </w:rPr>
        <w:t>单位决算情况说明</w:t>
      </w:r>
      <w:r>
        <w:rPr>
          <w:b/>
        </w:rPr>
        <w:tab/>
      </w:r>
      <w:r>
        <w:rPr>
          <w:b/>
        </w:rPr>
        <w:fldChar w:fldCharType="begin"/>
      </w:r>
      <w:r>
        <w:rPr>
          <w:b/>
        </w:rPr>
        <w:instrText xml:space="preserve"> PAGEREF _Toc20965 </w:instrText>
      </w:r>
      <w:r>
        <w:rPr>
          <w:b/>
        </w:rPr>
        <w:fldChar w:fldCharType="separate"/>
      </w:r>
      <w:r>
        <w:rPr>
          <w:b/>
        </w:rPr>
        <w:t>3</w:t>
      </w:r>
      <w:r>
        <w:rPr>
          <w:b/>
        </w:rPr>
        <w:fldChar w:fldCharType="end"/>
      </w:r>
      <w:r>
        <w:rPr>
          <w:b/>
        </w:rPr>
        <w:fldChar w:fldCharType="end"/>
      </w:r>
    </w:p>
    <w:p>
      <w:pPr>
        <w:pStyle w:val="29"/>
        <w:tabs>
          <w:tab w:val="right" w:leader="dot" w:pos="8306"/>
        </w:tabs>
      </w:pPr>
      <w:r>
        <w:fldChar w:fldCharType="begin"/>
      </w:r>
      <w:r>
        <w:instrText xml:space="preserve"> HYPERLINK \l _Toc24301 </w:instrText>
      </w:r>
      <w:r>
        <w:fldChar w:fldCharType="separate"/>
      </w:r>
      <w:r>
        <w:rPr>
          <w:rFonts w:hint="default" w:ascii="黑体" w:eastAsia="黑体"/>
        </w:rPr>
        <w:t xml:space="preserve">一、 </w:t>
      </w:r>
      <w:r>
        <w:rPr>
          <w:rFonts w:hint="eastAsia" w:ascii="黑体" w:eastAsia="黑体"/>
          <w:szCs w:val="32"/>
        </w:rPr>
        <w:t>收</w:t>
      </w:r>
      <w:r>
        <w:rPr>
          <w:rFonts w:hint="eastAsia" w:ascii="黑体" w:eastAsia="黑体"/>
        </w:rPr>
        <w:t>入支出决算总体情况说明</w:t>
      </w:r>
      <w:r>
        <w:tab/>
      </w:r>
      <w:r>
        <w:fldChar w:fldCharType="begin"/>
      </w:r>
      <w:r>
        <w:instrText xml:space="preserve"> PAGEREF _Toc24301 </w:instrText>
      </w:r>
      <w:r>
        <w:fldChar w:fldCharType="separate"/>
      </w:r>
      <w:r>
        <w:t>3</w:t>
      </w:r>
      <w:r>
        <w:fldChar w:fldCharType="end"/>
      </w:r>
      <w:r>
        <w:fldChar w:fldCharType="end"/>
      </w:r>
    </w:p>
    <w:p>
      <w:pPr>
        <w:pStyle w:val="29"/>
        <w:tabs>
          <w:tab w:val="right" w:leader="dot" w:pos="8306"/>
        </w:tabs>
      </w:pPr>
      <w:r>
        <w:fldChar w:fldCharType="begin"/>
      </w:r>
      <w:r>
        <w:instrText xml:space="preserve"> HYPERLINK \l _Toc1640 </w:instrText>
      </w:r>
      <w:r>
        <w:fldChar w:fldCharType="separate"/>
      </w:r>
      <w:r>
        <w:rPr>
          <w:rFonts w:hint="default" w:ascii="黑体" w:eastAsia="黑体"/>
        </w:rPr>
        <w:t xml:space="preserve">二、 </w:t>
      </w:r>
      <w:r>
        <w:rPr>
          <w:rFonts w:hint="eastAsia" w:ascii="黑体" w:eastAsia="黑体"/>
          <w:szCs w:val="32"/>
        </w:rPr>
        <w:t>收</w:t>
      </w:r>
      <w:r>
        <w:rPr>
          <w:rFonts w:hint="eastAsia" w:ascii="黑体" w:eastAsia="黑体"/>
        </w:rPr>
        <w:t>入决算情况说明</w:t>
      </w:r>
      <w:r>
        <w:tab/>
      </w:r>
      <w:r>
        <w:fldChar w:fldCharType="begin"/>
      </w:r>
      <w:r>
        <w:instrText xml:space="preserve"> PAGEREF _Toc1640 </w:instrText>
      </w:r>
      <w:r>
        <w:fldChar w:fldCharType="separate"/>
      </w:r>
      <w:r>
        <w:t>4</w:t>
      </w:r>
      <w:r>
        <w:fldChar w:fldCharType="end"/>
      </w:r>
      <w:r>
        <w:fldChar w:fldCharType="end"/>
      </w:r>
    </w:p>
    <w:p>
      <w:pPr>
        <w:pStyle w:val="29"/>
        <w:tabs>
          <w:tab w:val="right" w:leader="dot" w:pos="8306"/>
        </w:tabs>
      </w:pPr>
      <w:r>
        <w:fldChar w:fldCharType="begin"/>
      </w:r>
      <w:r>
        <w:instrText xml:space="preserve"> HYPERLINK \l _Toc1648 </w:instrText>
      </w:r>
      <w:r>
        <w:fldChar w:fldCharType="separate"/>
      </w:r>
      <w:r>
        <w:rPr>
          <w:rFonts w:ascii="仿宋" w:eastAsia="仿宋"/>
          <w:szCs w:val="32"/>
        </w:rPr>
        <w:t>20</w:t>
      </w:r>
      <w:r>
        <w:rPr>
          <w:rFonts w:hint="eastAsia" w:ascii="仿宋" w:eastAsia="仿宋"/>
          <w:szCs w:val="32"/>
        </w:rPr>
        <w:t>21年本年收入合计</w:t>
      </w:r>
      <w:r>
        <w:rPr>
          <w:rFonts w:hint="eastAsia" w:ascii="仿宋" w:eastAsia="仿宋"/>
          <w:szCs w:val="32"/>
          <w:lang w:val="en-US" w:eastAsia="zh-CN"/>
        </w:rPr>
        <w:t>699.38</w:t>
      </w:r>
      <w:r>
        <w:rPr>
          <w:rFonts w:hint="eastAsia" w:ascii="仿宋" w:eastAsia="仿宋"/>
          <w:szCs w:val="32"/>
        </w:rPr>
        <w:t>万元，其中：一般公共预算财政拨款收入</w:t>
      </w:r>
      <w:r>
        <w:rPr>
          <w:rFonts w:hint="eastAsia" w:ascii="仿宋" w:eastAsia="仿宋"/>
          <w:szCs w:val="32"/>
          <w:lang w:val="en-US" w:eastAsia="zh-CN"/>
        </w:rPr>
        <w:t>684.69</w:t>
      </w:r>
      <w:r>
        <w:rPr>
          <w:rFonts w:hint="eastAsia" w:ascii="仿宋" w:eastAsia="仿宋"/>
          <w:szCs w:val="32"/>
        </w:rPr>
        <w:t>万元，占</w:t>
      </w:r>
      <w:r>
        <w:rPr>
          <w:rFonts w:hint="eastAsia" w:ascii="仿宋" w:eastAsia="仿宋"/>
          <w:szCs w:val="32"/>
          <w:lang w:val="en-US" w:eastAsia="zh-CN"/>
        </w:rPr>
        <w:t>97.90</w:t>
      </w:r>
      <w:r>
        <w:rPr>
          <w:rFonts w:ascii="仿宋" w:eastAsia="仿宋"/>
          <w:szCs w:val="32"/>
        </w:rPr>
        <w:t>%</w:t>
      </w:r>
      <w:r>
        <w:rPr>
          <w:rFonts w:hint="eastAsia" w:ascii="仿宋" w:eastAsia="仿宋"/>
          <w:szCs w:val="32"/>
        </w:rPr>
        <w:t>；其他收入</w:t>
      </w:r>
      <w:r>
        <w:rPr>
          <w:rFonts w:hint="eastAsia" w:ascii="仿宋" w:eastAsia="仿宋"/>
          <w:szCs w:val="32"/>
          <w:lang w:val="en-US" w:eastAsia="zh-CN"/>
        </w:rPr>
        <w:t>14.69</w:t>
      </w:r>
      <w:r>
        <w:rPr>
          <w:rFonts w:hint="eastAsia" w:ascii="仿宋" w:eastAsia="仿宋"/>
          <w:szCs w:val="32"/>
        </w:rPr>
        <w:t>万元，占</w:t>
      </w:r>
      <w:r>
        <w:rPr>
          <w:rFonts w:hint="eastAsia" w:ascii="仿宋" w:eastAsia="仿宋"/>
          <w:szCs w:val="32"/>
          <w:lang w:val="en-US" w:eastAsia="zh-CN"/>
        </w:rPr>
        <w:t>2.1</w:t>
      </w:r>
      <w:r>
        <w:rPr>
          <w:rFonts w:ascii="仿宋" w:eastAsia="仿宋"/>
          <w:szCs w:val="32"/>
        </w:rPr>
        <w:t>%</w:t>
      </w:r>
      <w:r>
        <w:rPr>
          <w:rFonts w:hint="eastAsia" w:ascii="仿宋" w:eastAsia="仿宋"/>
          <w:szCs w:val="32"/>
        </w:rPr>
        <w:t>。</w:t>
      </w:r>
      <w:r>
        <w:tab/>
      </w:r>
      <w:r>
        <w:rPr>
          <w:rFonts w:hint="eastAsia"/>
          <w:lang w:val="en-US" w:eastAsia="zh-CN"/>
        </w:rPr>
        <w:t>5</w:t>
      </w:r>
      <w:r>
        <w:fldChar w:fldCharType="end"/>
      </w:r>
    </w:p>
    <w:p>
      <w:pPr>
        <w:pStyle w:val="29"/>
        <w:tabs>
          <w:tab w:val="right" w:leader="dot" w:pos="8306"/>
        </w:tabs>
      </w:pPr>
      <w:r>
        <w:fldChar w:fldCharType="begin"/>
      </w:r>
      <w:r>
        <w:instrText xml:space="preserve"> HYPERLINK \l _Toc15458 </w:instrText>
      </w:r>
      <w:r>
        <w:fldChar w:fldCharType="separate"/>
      </w:r>
      <w:r>
        <w:rPr>
          <w:rFonts w:hint="default" w:ascii="黑体" w:eastAsia="黑体"/>
        </w:rPr>
        <w:t xml:space="preserve">三、 </w:t>
      </w:r>
      <w:r>
        <w:rPr>
          <w:rFonts w:hint="eastAsia" w:ascii="黑体" w:eastAsia="黑体"/>
          <w:szCs w:val="32"/>
        </w:rPr>
        <w:t>支</w:t>
      </w:r>
      <w:r>
        <w:rPr>
          <w:rFonts w:hint="eastAsia" w:ascii="黑体" w:eastAsia="黑体"/>
        </w:rPr>
        <w:t>出决算情况说明</w:t>
      </w:r>
      <w:r>
        <w:tab/>
      </w:r>
      <w:r>
        <w:rPr>
          <w:rFonts w:hint="eastAsia"/>
          <w:lang w:val="en-US" w:eastAsia="zh-CN"/>
        </w:rPr>
        <w:t>5</w:t>
      </w:r>
      <w:r>
        <w:fldChar w:fldCharType="end"/>
      </w:r>
    </w:p>
    <w:p>
      <w:pPr>
        <w:pStyle w:val="29"/>
        <w:tabs>
          <w:tab w:val="right" w:leader="dot" w:pos="8306"/>
        </w:tabs>
      </w:pPr>
      <w:r>
        <w:fldChar w:fldCharType="begin"/>
      </w:r>
      <w:r>
        <w:instrText xml:space="preserve"> HYPERLINK \l _Toc27680 </w:instrText>
      </w:r>
      <w:r>
        <w:fldChar w:fldCharType="separate"/>
      </w:r>
      <w:r>
        <w:rPr>
          <w:rFonts w:ascii="仿宋" w:eastAsia="仿宋"/>
          <w:szCs w:val="32"/>
        </w:rPr>
        <w:t>20</w:t>
      </w:r>
      <w:r>
        <w:rPr>
          <w:rFonts w:hint="eastAsia" w:ascii="仿宋" w:eastAsia="仿宋"/>
          <w:szCs w:val="32"/>
        </w:rPr>
        <w:t>21年本年支出合计</w:t>
      </w:r>
      <w:r>
        <w:rPr>
          <w:rFonts w:hint="eastAsia" w:ascii="仿宋" w:eastAsia="仿宋"/>
          <w:szCs w:val="32"/>
          <w:lang w:val="en-US" w:eastAsia="zh-CN"/>
        </w:rPr>
        <w:t>699.38</w:t>
      </w:r>
      <w:r>
        <w:rPr>
          <w:rFonts w:hint="eastAsia" w:ascii="仿宋" w:eastAsia="仿宋"/>
          <w:szCs w:val="32"/>
        </w:rPr>
        <w:t>万元，其中：基本支出</w:t>
      </w:r>
      <w:r>
        <w:rPr>
          <w:rFonts w:hint="eastAsia" w:ascii="仿宋" w:eastAsia="仿宋"/>
          <w:szCs w:val="32"/>
          <w:lang w:val="en-US" w:eastAsia="zh-CN"/>
        </w:rPr>
        <w:t>590.65</w:t>
      </w:r>
      <w:r>
        <w:rPr>
          <w:rFonts w:hint="eastAsia" w:ascii="仿宋" w:eastAsia="仿宋"/>
          <w:szCs w:val="32"/>
        </w:rPr>
        <w:t>万元，占</w:t>
      </w:r>
      <w:r>
        <w:rPr>
          <w:rFonts w:hint="eastAsia" w:ascii="仿宋" w:eastAsia="仿宋"/>
          <w:szCs w:val="32"/>
          <w:lang w:val="en-US" w:eastAsia="zh-CN"/>
        </w:rPr>
        <w:t>84.45</w:t>
      </w:r>
      <w:r>
        <w:rPr>
          <w:rFonts w:ascii="仿宋" w:eastAsia="仿宋"/>
          <w:szCs w:val="32"/>
        </w:rPr>
        <w:t>%</w:t>
      </w:r>
      <w:r>
        <w:rPr>
          <w:rFonts w:hint="eastAsia" w:ascii="仿宋" w:eastAsia="仿宋"/>
          <w:szCs w:val="32"/>
        </w:rPr>
        <w:t>；项目支出</w:t>
      </w:r>
      <w:r>
        <w:rPr>
          <w:rFonts w:hint="eastAsia" w:ascii="仿宋" w:eastAsia="仿宋"/>
          <w:szCs w:val="32"/>
          <w:lang w:val="en-US" w:eastAsia="zh-CN"/>
        </w:rPr>
        <w:t>108.74</w:t>
      </w:r>
      <w:r>
        <w:rPr>
          <w:rFonts w:hint="eastAsia" w:ascii="仿宋" w:eastAsia="仿宋"/>
          <w:szCs w:val="32"/>
        </w:rPr>
        <w:t>万元，占</w:t>
      </w:r>
      <w:r>
        <w:rPr>
          <w:rFonts w:hint="eastAsia" w:ascii="仿宋" w:eastAsia="仿宋"/>
          <w:szCs w:val="32"/>
          <w:lang w:val="en-US" w:eastAsia="zh-CN"/>
        </w:rPr>
        <w:t>15.55</w:t>
      </w:r>
      <w:r>
        <w:rPr>
          <w:rFonts w:ascii="仿宋" w:eastAsia="仿宋"/>
          <w:szCs w:val="32"/>
        </w:rPr>
        <w:t>%</w:t>
      </w:r>
      <w:r>
        <w:rPr>
          <w:rFonts w:hint="eastAsia" w:ascii="仿宋" w:eastAsia="仿宋"/>
          <w:szCs w:val="32"/>
          <w:lang w:eastAsia="zh-CN"/>
        </w:rPr>
        <w:t>。</w:t>
      </w:r>
      <w:r>
        <w:tab/>
      </w:r>
      <w:r>
        <w:fldChar w:fldCharType="begin"/>
      </w:r>
      <w:r>
        <w:instrText xml:space="preserve"> PAGEREF _Toc27680 </w:instrText>
      </w:r>
      <w:r>
        <w:fldChar w:fldCharType="separate"/>
      </w:r>
      <w:r>
        <w:t>4</w:t>
      </w:r>
      <w:r>
        <w:fldChar w:fldCharType="end"/>
      </w:r>
      <w:r>
        <w:fldChar w:fldCharType="end"/>
      </w:r>
    </w:p>
    <w:p>
      <w:pPr>
        <w:pStyle w:val="29"/>
        <w:tabs>
          <w:tab w:val="right" w:leader="dot" w:pos="8306"/>
        </w:tabs>
      </w:pPr>
      <w:r>
        <w:fldChar w:fldCharType="begin"/>
      </w:r>
      <w:r>
        <w:instrText xml:space="preserve"> HYPERLINK \l _Toc19735 </w:instrText>
      </w:r>
      <w:r>
        <w:fldChar w:fldCharType="separate"/>
      </w:r>
      <w:r>
        <w:rPr>
          <w:rFonts w:hint="eastAsia" w:ascii="黑体" w:eastAsia="黑体"/>
          <w:szCs w:val="32"/>
        </w:rPr>
        <w:t>四、财</w:t>
      </w:r>
      <w:r>
        <w:rPr>
          <w:rFonts w:hint="eastAsia" w:ascii="黑体" w:eastAsia="黑体"/>
        </w:rPr>
        <w:t>政拨款收入支出决算总体情况说明</w:t>
      </w:r>
      <w:r>
        <w:tab/>
      </w:r>
      <w:r>
        <w:fldChar w:fldCharType="begin"/>
      </w:r>
      <w:r>
        <w:instrText xml:space="preserve"> PAGEREF _Toc19735 </w:instrText>
      </w:r>
      <w:r>
        <w:fldChar w:fldCharType="separate"/>
      </w:r>
      <w:r>
        <w:t>5</w:t>
      </w:r>
      <w:r>
        <w:fldChar w:fldCharType="end"/>
      </w:r>
      <w:r>
        <w:fldChar w:fldCharType="end"/>
      </w:r>
    </w:p>
    <w:p>
      <w:pPr>
        <w:pStyle w:val="29"/>
        <w:tabs>
          <w:tab w:val="right" w:leader="dot" w:pos="8306"/>
        </w:tabs>
      </w:pPr>
      <w:r>
        <w:fldChar w:fldCharType="begin"/>
      </w:r>
      <w:r>
        <w:instrText xml:space="preserve"> HYPERLINK \l _Toc27338 </w:instrText>
      </w:r>
      <w:r>
        <w:fldChar w:fldCharType="separate"/>
      </w:r>
      <w:r>
        <w:rPr>
          <w:rFonts w:hint="eastAsia" w:ascii="黑体" w:eastAsia="黑体"/>
          <w:szCs w:val="32"/>
        </w:rPr>
        <w:t>五、一</w:t>
      </w:r>
      <w:r>
        <w:rPr>
          <w:rFonts w:hint="eastAsia" w:ascii="黑体" w:eastAsia="黑体"/>
        </w:rPr>
        <w:t>般公共预算财政拨款支出决算情况说明</w:t>
      </w:r>
      <w:r>
        <w:tab/>
      </w:r>
      <w:r>
        <w:rPr>
          <w:rFonts w:hint="eastAsia"/>
          <w:lang w:val="en-US" w:eastAsia="zh-CN"/>
        </w:rPr>
        <w:t>6</w:t>
      </w:r>
      <w:r>
        <w:fldChar w:fldCharType="end"/>
      </w:r>
    </w:p>
    <w:p>
      <w:pPr>
        <w:pStyle w:val="29"/>
        <w:tabs>
          <w:tab w:val="right" w:leader="dot" w:pos="8306"/>
        </w:tabs>
      </w:pPr>
      <w:r>
        <w:fldChar w:fldCharType="begin"/>
      </w:r>
      <w:r>
        <w:instrText xml:space="preserve"> HYPERLINK \l _Toc23641 </w:instrText>
      </w:r>
      <w:r>
        <w:fldChar w:fldCharType="separate"/>
      </w:r>
      <w:r>
        <w:rPr>
          <w:rFonts w:hint="eastAsia" w:ascii="黑体" w:eastAsia="黑体"/>
          <w:szCs w:val="32"/>
        </w:rPr>
        <w:t>六、一</w:t>
      </w:r>
      <w:r>
        <w:rPr>
          <w:rFonts w:hint="eastAsia" w:ascii="黑体" w:eastAsia="黑体"/>
        </w:rPr>
        <w:t>般公共预算财政拨款基本支出决算情况说明</w:t>
      </w:r>
      <w:r>
        <w:tab/>
      </w:r>
      <w:r>
        <w:fldChar w:fldCharType="begin"/>
      </w:r>
      <w:r>
        <w:instrText xml:space="preserve"> PAGEREF _Toc23641 </w:instrText>
      </w:r>
      <w:r>
        <w:fldChar w:fldCharType="separate"/>
      </w:r>
      <w:r>
        <w:t>8</w:t>
      </w:r>
      <w:r>
        <w:fldChar w:fldCharType="end"/>
      </w:r>
      <w:r>
        <w:fldChar w:fldCharType="end"/>
      </w:r>
    </w:p>
    <w:p>
      <w:pPr>
        <w:pStyle w:val="29"/>
        <w:tabs>
          <w:tab w:val="right" w:leader="dot" w:pos="8306"/>
        </w:tabs>
      </w:pPr>
      <w:r>
        <w:fldChar w:fldCharType="begin"/>
      </w:r>
      <w:r>
        <w:instrText xml:space="preserve"> HYPERLINK \l _Toc17000 </w:instrText>
      </w:r>
      <w:r>
        <w:fldChar w:fldCharType="separate"/>
      </w:r>
      <w:r>
        <w:rPr>
          <w:rFonts w:hint="eastAsia" w:ascii="黑体" w:eastAsia="黑体"/>
          <w:szCs w:val="32"/>
        </w:rPr>
        <w:t>七、</w:t>
      </w:r>
      <w:r>
        <w:rPr>
          <w:rFonts w:hint="eastAsia" w:ascii="黑体" w:eastAsia="黑体"/>
        </w:rPr>
        <w:t>“三公”经费财政拨款支出决算情况说明</w:t>
      </w:r>
      <w:r>
        <w:tab/>
      </w:r>
      <w:r>
        <w:rPr>
          <w:rFonts w:hint="eastAsia"/>
          <w:lang w:val="en-US" w:eastAsia="zh-CN"/>
        </w:rPr>
        <w:t>9</w:t>
      </w:r>
      <w:r>
        <w:fldChar w:fldCharType="end"/>
      </w:r>
    </w:p>
    <w:p>
      <w:pPr>
        <w:pStyle w:val="29"/>
        <w:tabs>
          <w:tab w:val="right" w:leader="dot" w:pos="8306"/>
        </w:tabs>
      </w:pPr>
      <w:r>
        <w:fldChar w:fldCharType="begin"/>
      </w:r>
      <w:r>
        <w:instrText xml:space="preserve"> HYPERLINK \l _Toc20472 </w:instrText>
      </w:r>
      <w:r>
        <w:fldChar w:fldCharType="separate"/>
      </w:r>
      <w:r>
        <w:rPr>
          <w:rFonts w:hint="eastAsia" w:ascii="仿宋" w:eastAsia="仿宋"/>
          <w:szCs w:val="32"/>
        </w:rPr>
        <w:t>国内公务接待支出</w:t>
      </w:r>
      <w:r>
        <w:rPr>
          <w:rFonts w:hint="eastAsia" w:ascii="仿宋" w:eastAsia="仿宋"/>
          <w:szCs w:val="32"/>
          <w:lang w:val="en-US" w:eastAsia="zh-CN"/>
        </w:rPr>
        <w:t>1.25</w:t>
      </w:r>
      <w:r>
        <w:rPr>
          <w:rFonts w:hint="eastAsia" w:ascii="仿宋_GB2312" w:eastAsia="仿宋_GB2312"/>
          <w:szCs w:val="32"/>
        </w:rPr>
        <w:t>万元，主要用于开展业务活动开支的用餐费。国内公务接待</w:t>
      </w:r>
      <w:r>
        <w:rPr>
          <w:rFonts w:hint="eastAsia" w:ascii="仿宋_GB2312" w:eastAsia="仿宋_GB2312"/>
          <w:szCs w:val="32"/>
          <w:lang w:val="en-US" w:eastAsia="zh-CN"/>
        </w:rPr>
        <w:t>3</w:t>
      </w:r>
      <w:r>
        <w:rPr>
          <w:rFonts w:hint="eastAsia" w:ascii="仿宋_GB2312" w:eastAsia="仿宋_GB2312"/>
          <w:szCs w:val="32"/>
        </w:rPr>
        <w:t>批次，</w:t>
      </w:r>
      <w:r>
        <w:rPr>
          <w:rFonts w:hint="eastAsia" w:ascii="仿宋_GB2312" w:eastAsia="仿宋_GB2312"/>
          <w:szCs w:val="32"/>
          <w:lang w:val="en-US" w:eastAsia="zh-CN"/>
        </w:rPr>
        <w:t>68</w:t>
      </w:r>
      <w:r>
        <w:rPr>
          <w:rFonts w:hint="eastAsia" w:ascii="仿宋_GB2312" w:eastAsia="仿宋_GB2312"/>
          <w:szCs w:val="32"/>
        </w:rPr>
        <w:t>人次（不包括陪同人员），共计支出</w:t>
      </w:r>
      <w:r>
        <w:rPr>
          <w:rFonts w:hint="eastAsia" w:ascii="仿宋_GB2312" w:eastAsia="仿宋_GB2312"/>
          <w:szCs w:val="32"/>
          <w:lang w:val="en-US" w:eastAsia="zh-CN"/>
        </w:rPr>
        <w:t>1.25</w:t>
      </w:r>
      <w:r>
        <w:rPr>
          <w:rFonts w:hint="eastAsia" w:ascii="仿宋_GB2312" w:eastAsia="仿宋_GB2312"/>
          <w:szCs w:val="32"/>
        </w:rPr>
        <w:t>万元</w:t>
      </w:r>
      <w:r>
        <w:rPr>
          <w:rFonts w:hint="eastAsia" w:ascii="仿宋_GB2312" w:eastAsia="仿宋_GB2312"/>
          <w:szCs w:val="32"/>
          <w:lang w:eastAsia="zh-CN"/>
        </w:rPr>
        <w:t>。</w:t>
      </w:r>
      <w:r>
        <w:tab/>
      </w:r>
      <w:r>
        <w:fldChar w:fldCharType="begin"/>
      </w:r>
      <w:r>
        <w:instrText xml:space="preserve"> PAGEREF _Toc20472 </w:instrText>
      </w:r>
      <w:r>
        <w:fldChar w:fldCharType="separate"/>
      </w:r>
      <w:r>
        <w:t>10</w:t>
      </w:r>
      <w:r>
        <w:fldChar w:fldCharType="end"/>
      </w:r>
      <w:r>
        <w:fldChar w:fldCharType="end"/>
      </w:r>
    </w:p>
    <w:p>
      <w:pPr>
        <w:pStyle w:val="29"/>
        <w:tabs>
          <w:tab w:val="right" w:leader="dot" w:pos="8306"/>
        </w:tabs>
      </w:pPr>
      <w:r>
        <w:fldChar w:fldCharType="begin"/>
      </w:r>
      <w:r>
        <w:instrText xml:space="preserve"> HYPERLINK \l _Toc22589 </w:instrText>
      </w:r>
      <w:r>
        <w:fldChar w:fldCharType="separate"/>
      </w:r>
      <w:r>
        <w:rPr>
          <w:rFonts w:hint="eastAsia" w:ascii="黑体" w:eastAsia="黑体"/>
          <w:szCs w:val="32"/>
        </w:rPr>
        <w:t>八、</w:t>
      </w:r>
      <w:r>
        <w:rPr>
          <w:rFonts w:hint="eastAsia" w:ascii="黑体" w:eastAsia="黑体"/>
        </w:rPr>
        <w:t>政府性基金预算支出决算情况说明</w:t>
      </w:r>
      <w:r>
        <w:tab/>
      </w:r>
      <w:r>
        <w:fldChar w:fldCharType="begin"/>
      </w:r>
      <w:r>
        <w:instrText xml:space="preserve"> PAGEREF _Toc22589 </w:instrText>
      </w:r>
      <w:r>
        <w:fldChar w:fldCharType="separate"/>
      </w:r>
      <w:r>
        <w:t>10</w:t>
      </w:r>
      <w:r>
        <w:fldChar w:fldCharType="end"/>
      </w:r>
      <w:r>
        <w:fldChar w:fldCharType="end"/>
      </w:r>
    </w:p>
    <w:p>
      <w:pPr>
        <w:pStyle w:val="29"/>
        <w:tabs>
          <w:tab w:val="right" w:leader="dot" w:pos="8306"/>
        </w:tabs>
      </w:pPr>
      <w:r>
        <w:fldChar w:fldCharType="begin"/>
      </w:r>
      <w:r>
        <w:instrText xml:space="preserve"> HYPERLINK \l _Toc7168 </w:instrText>
      </w:r>
      <w:r>
        <w:fldChar w:fldCharType="separate"/>
      </w:r>
      <w:r>
        <w:rPr>
          <w:rFonts w:hint="eastAsia" w:ascii="黑体" w:eastAsia="黑体"/>
        </w:rPr>
        <w:t>九、 国有资本经营预算支出决算情况说明</w:t>
      </w:r>
      <w:r>
        <w:tab/>
      </w:r>
      <w:r>
        <w:fldChar w:fldCharType="begin"/>
      </w:r>
      <w:r>
        <w:instrText xml:space="preserve"> PAGEREF _Toc7168 </w:instrText>
      </w:r>
      <w:r>
        <w:fldChar w:fldCharType="separate"/>
      </w:r>
      <w:r>
        <w:t>10</w:t>
      </w:r>
      <w:r>
        <w:fldChar w:fldCharType="end"/>
      </w:r>
      <w:r>
        <w:fldChar w:fldCharType="end"/>
      </w:r>
    </w:p>
    <w:p>
      <w:pPr>
        <w:pStyle w:val="29"/>
        <w:tabs>
          <w:tab w:val="right" w:leader="dot" w:pos="8306"/>
        </w:tabs>
      </w:pPr>
      <w:r>
        <w:fldChar w:fldCharType="begin"/>
      </w:r>
      <w:r>
        <w:instrText xml:space="preserve"> HYPERLINK \l _Toc11446 </w:instrText>
      </w:r>
      <w:r>
        <w:fldChar w:fldCharType="separate"/>
      </w:r>
      <w:r>
        <w:rPr>
          <w:rFonts w:hint="eastAsia" w:ascii="黑体" w:eastAsia="黑体"/>
        </w:rPr>
        <w:t>十、 其他重要事项的情况说明</w:t>
      </w:r>
      <w:r>
        <w:tab/>
      </w:r>
      <w:r>
        <w:fldChar w:fldCharType="begin"/>
      </w:r>
      <w:r>
        <w:instrText xml:space="preserve"> PAGEREF _Toc11446 </w:instrText>
      </w:r>
      <w:r>
        <w:fldChar w:fldCharType="separate"/>
      </w:r>
      <w:r>
        <w:t>10</w:t>
      </w:r>
      <w:r>
        <w:fldChar w:fldCharType="end"/>
      </w:r>
      <w:r>
        <w:fldChar w:fldCharType="end"/>
      </w:r>
    </w:p>
    <w:p>
      <w:pPr>
        <w:pStyle w:val="28"/>
        <w:tabs>
          <w:tab w:val="right" w:leader="dot" w:pos="8306"/>
        </w:tabs>
        <w:rPr>
          <w:b/>
        </w:rPr>
      </w:pPr>
      <w:r>
        <w:rPr>
          <w:b/>
        </w:rPr>
        <w:fldChar w:fldCharType="begin"/>
      </w:r>
      <w:r>
        <w:rPr>
          <w:b/>
        </w:rPr>
        <w:instrText xml:space="preserve"> HYPERLINK \l _Toc20873 </w:instrText>
      </w:r>
      <w:r>
        <w:rPr>
          <w:b/>
        </w:rPr>
        <w:fldChar w:fldCharType="separate"/>
      </w:r>
      <w:r>
        <w:rPr>
          <w:rFonts w:hint="eastAsia" w:ascii="黑体" w:hAnsi="黑体" w:eastAsia="黑体" w:cs="黑体"/>
          <w:b/>
          <w:szCs w:val="44"/>
        </w:rPr>
        <w:t xml:space="preserve">第三部分 </w:t>
      </w:r>
      <w:r>
        <w:rPr>
          <w:rFonts w:hint="eastAsia" w:ascii="黑体" w:eastAsia="黑体"/>
          <w:b/>
          <w:szCs w:val="44"/>
        </w:rPr>
        <w:t>名</w:t>
      </w:r>
      <w:r>
        <w:rPr>
          <w:rFonts w:hint="eastAsia" w:ascii="黑体" w:eastAsia="黑体"/>
          <w:b/>
        </w:rPr>
        <w:t>词解释</w:t>
      </w:r>
      <w:r>
        <w:rPr>
          <w:b/>
        </w:rPr>
        <w:tab/>
      </w:r>
      <w:r>
        <w:rPr>
          <w:b/>
        </w:rPr>
        <w:fldChar w:fldCharType="begin"/>
      </w:r>
      <w:r>
        <w:rPr>
          <w:b/>
        </w:rPr>
        <w:instrText xml:space="preserve"> PAGEREF _Toc20873 </w:instrText>
      </w:r>
      <w:r>
        <w:rPr>
          <w:b/>
        </w:rPr>
        <w:fldChar w:fldCharType="separate"/>
      </w:r>
      <w:r>
        <w:rPr>
          <w:b/>
        </w:rPr>
        <w:t>12</w:t>
      </w:r>
      <w:r>
        <w:rPr>
          <w:b/>
        </w:rPr>
        <w:fldChar w:fldCharType="end"/>
      </w:r>
      <w:r>
        <w:rPr>
          <w:b/>
        </w:rPr>
        <w:fldChar w:fldCharType="end"/>
      </w:r>
    </w:p>
    <w:p>
      <w:pPr>
        <w:pStyle w:val="28"/>
        <w:tabs>
          <w:tab w:val="right" w:leader="dot" w:pos="8306"/>
        </w:tabs>
        <w:rPr>
          <w:b/>
        </w:rPr>
      </w:pPr>
      <w:r>
        <w:rPr>
          <w:b/>
        </w:rPr>
        <w:fldChar w:fldCharType="begin"/>
      </w:r>
      <w:r>
        <w:rPr>
          <w:b/>
        </w:rPr>
        <w:instrText xml:space="preserve"> HYPERLINK \l _Toc23901 </w:instrText>
      </w:r>
      <w:r>
        <w:rPr>
          <w:b/>
        </w:rPr>
        <w:fldChar w:fldCharType="separate"/>
      </w:r>
      <w:r>
        <w:rPr>
          <w:rFonts w:hint="eastAsia" w:ascii="黑体" w:eastAsia="黑体" w:cs="黑体"/>
          <w:b/>
          <w:szCs w:val="32"/>
        </w:rPr>
        <w:t>附件</w:t>
      </w:r>
      <w:r>
        <w:rPr>
          <w:b/>
        </w:rPr>
        <w:tab/>
      </w:r>
      <w:r>
        <w:rPr>
          <w:b/>
        </w:rPr>
        <w:fldChar w:fldCharType="begin"/>
      </w:r>
      <w:r>
        <w:rPr>
          <w:b/>
        </w:rPr>
        <w:instrText xml:space="preserve"> PAGEREF _Toc23901 </w:instrText>
      </w:r>
      <w:r>
        <w:rPr>
          <w:b/>
        </w:rPr>
        <w:fldChar w:fldCharType="separate"/>
      </w:r>
      <w:r>
        <w:rPr>
          <w:b/>
        </w:rPr>
        <w:t>15</w:t>
      </w:r>
      <w:r>
        <w:rPr>
          <w:b/>
        </w:rPr>
        <w:fldChar w:fldCharType="end"/>
      </w:r>
      <w:r>
        <w:rPr>
          <w:b/>
        </w:rPr>
        <w:fldChar w:fldCharType="end"/>
      </w:r>
    </w:p>
    <w:p>
      <w:pPr>
        <w:pStyle w:val="28"/>
        <w:tabs>
          <w:tab w:val="right" w:leader="dot" w:pos="8306"/>
        </w:tabs>
        <w:rPr>
          <w:b/>
        </w:rPr>
      </w:pPr>
      <w:r>
        <w:rPr>
          <w:b/>
        </w:rPr>
        <w:fldChar w:fldCharType="begin"/>
      </w:r>
      <w:r>
        <w:rPr>
          <w:b/>
        </w:rPr>
        <w:instrText xml:space="preserve"> HYPERLINK \l _Toc3430 </w:instrText>
      </w:r>
      <w:r>
        <w:rPr>
          <w:b/>
        </w:rPr>
        <w:fldChar w:fldCharType="separate"/>
      </w:r>
      <w:r>
        <w:rPr>
          <w:rFonts w:hint="eastAsia" w:ascii="黑体" w:eastAsia="黑体"/>
          <w:b/>
          <w:szCs w:val="44"/>
        </w:rPr>
        <w:t>第</w:t>
      </w:r>
      <w:r>
        <w:rPr>
          <w:rFonts w:hint="eastAsia" w:ascii="黑体" w:eastAsia="黑体"/>
          <w:b/>
        </w:rPr>
        <w:t>五部分 附表</w:t>
      </w:r>
      <w:r>
        <w:rPr>
          <w:b/>
        </w:rPr>
        <w:tab/>
      </w:r>
      <w:r>
        <w:rPr>
          <w:b/>
        </w:rPr>
        <w:fldChar w:fldCharType="begin"/>
      </w:r>
      <w:r>
        <w:rPr>
          <w:b/>
        </w:rPr>
        <w:instrText xml:space="preserve"> PAGEREF _Toc3430 </w:instrText>
      </w:r>
      <w:r>
        <w:rPr>
          <w:b/>
        </w:rPr>
        <w:fldChar w:fldCharType="separate"/>
      </w:r>
      <w:r>
        <w:rPr>
          <w:b/>
        </w:rPr>
        <w:t>16</w:t>
      </w:r>
      <w:r>
        <w:rPr>
          <w:b/>
        </w:rPr>
        <w:fldChar w:fldCharType="end"/>
      </w:r>
      <w:r>
        <w:rPr>
          <w:b/>
        </w:rPr>
        <w:fldChar w:fldCharType="end"/>
      </w:r>
    </w:p>
    <w:p>
      <w:pPr>
        <w:pStyle w:val="29"/>
        <w:tabs>
          <w:tab w:val="right" w:leader="dot" w:pos="8306"/>
        </w:tabs>
      </w:pPr>
      <w:r>
        <w:fldChar w:fldCharType="begin"/>
      </w:r>
      <w:r>
        <w:instrText xml:space="preserve"> HYPERLINK \l _Toc31592 </w:instrText>
      </w:r>
      <w:r>
        <w:fldChar w:fldCharType="separate"/>
      </w:r>
      <w:r>
        <w:rPr>
          <w:rFonts w:hint="eastAsia" w:ascii="仿宋" w:eastAsia="仿宋"/>
        </w:rPr>
        <w:t>一、收</w:t>
      </w:r>
      <w:r>
        <w:rPr>
          <w:rFonts w:hint="eastAsia" w:ascii="仿宋" w:eastAsia="仿宋"/>
          <w:bCs w:val="0"/>
        </w:rPr>
        <w:t>入支出决算总表</w:t>
      </w:r>
      <w:r>
        <w:tab/>
      </w:r>
      <w:r>
        <w:fldChar w:fldCharType="begin"/>
      </w:r>
      <w:r>
        <w:instrText xml:space="preserve"> PAGEREF _Toc31592 </w:instrText>
      </w:r>
      <w:r>
        <w:fldChar w:fldCharType="separate"/>
      </w:r>
      <w:r>
        <w:t>16</w:t>
      </w:r>
      <w:r>
        <w:fldChar w:fldCharType="end"/>
      </w:r>
      <w:r>
        <w:fldChar w:fldCharType="end"/>
      </w:r>
    </w:p>
    <w:p>
      <w:pPr>
        <w:pStyle w:val="29"/>
        <w:tabs>
          <w:tab w:val="right" w:leader="dot" w:pos="8306"/>
        </w:tabs>
      </w:pPr>
      <w:r>
        <w:fldChar w:fldCharType="begin"/>
      </w:r>
      <w:r>
        <w:instrText xml:space="preserve"> HYPERLINK \l _Toc3325 </w:instrText>
      </w:r>
      <w:r>
        <w:fldChar w:fldCharType="separate"/>
      </w:r>
      <w:r>
        <w:rPr>
          <w:rFonts w:hint="eastAsia" w:ascii="仿宋" w:eastAsia="仿宋"/>
        </w:rPr>
        <w:t>二、收</w:t>
      </w:r>
      <w:r>
        <w:rPr>
          <w:rFonts w:hint="eastAsia" w:ascii="仿宋" w:eastAsia="仿宋"/>
          <w:bCs w:val="0"/>
        </w:rPr>
        <w:t>入决算表</w:t>
      </w:r>
      <w:r>
        <w:tab/>
      </w:r>
      <w:r>
        <w:fldChar w:fldCharType="begin"/>
      </w:r>
      <w:r>
        <w:instrText xml:space="preserve"> PAGEREF _Toc3325 </w:instrText>
      </w:r>
      <w:r>
        <w:fldChar w:fldCharType="separate"/>
      </w:r>
      <w:r>
        <w:t>16</w:t>
      </w:r>
      <w:r>
        <w:fldChar w:fldCharType="end"/>
      </w:r>
      <w:r>
        <w:fldChar w:fldCharType="end"/>
      </w:r>
    </w:p>
    <w:p>
      <w:pPr>
        <w:pStyle w:val="29"/>
        <w:tabs>
          <w:tab w:val="right" w:leader="dot" w:pos="8306"/>
        </w:tabs>
      </w:pPr>
      <w:r>
        <w:fldChar w:fldCharType="begin"/>
      </w:r>
      <w:r>
        <w:instrText xml:space="preserve"> HYPERLINK \l _Toc929 </w:instrText>
      </w:r>
      <w:r>
        <w:fldChar w:fldCharType="separate"/>
      </w:r>
      <w:r>
        <w:rPr>
          <w:rFonts w:hint="eastAsia" w:ascii="仿宋" w:eastAsia="仿宋"/>
          <w:bCs w:val="0"/>
        </w:rPr>
        <w:t>三、</w:t>
      </w:r>
      <w:r>
        <w:rPr>
          <w:rFonts w:hint="eastAsia" w:ascii="仿宋" w:eastAsia="仿宋"/>
        </w:rPr>
        <w:t>支</w:t>
      </w:r>
      <w:r>
        <w:rPr>
          <w:rFonts w:hint="eastAsia" w:ascii="仿宋" w:eastAsia="仿宋"/>
          <w:bCs w:val="0"/>
        </w:rPr>
        <w:t>出决算表</w:t>
      </w:r>
      <w:r>
        <w:tab/>
      </w:r>
      <w:r>
        <w:fldChar w:fldCharType="begin"/>
      </w:r>
      <w:r>
        <w:instrText xml:space="preserve"> PAGEREF _Toc929 </w:instrText>
      </w:r>
      <w:r>
        <w:fldChar w:fldCharType="separate"/>
      </w:r>
      <w:r>
        <w:t>16</w:t>
      </w:r>
      <w:r>
        <w:fldChar w:fldCharType="end"/>
      </w:r>
      <w:r>
        <w:fldChar w:fldCharType="end"/>
      </w:r>
    </w:p>
    <w:p>
      <w:pPr>
        <w:pStyle w:val="29"/>
        <w:tabs>
          <w:tab w:val="right" w:leader="dot" w:pos="8306"/>
        </w:tabs>
      </w:pPr>
      <w:r>
        <w:fldChar w:fldCharType="begin"/>
      </w:r>
      <w:r>
        <w:instrText xml:space="preserve"> HYPERLINK \l _Toc8957 </w:instrText>
      </w:r>
      <w:r>
        <w:fldChar w:fldCharType="separate"/>
      </w:r>
      <w:r>
        <w:rPr>
          <w:rFonts w:hint="eastAsia" w:ascii="仿宋" w:eastAsia="仿宋"/>
          <w:bCs w:val="0"/>
        </w:rPr>
        <w:t>四、</w:t>
      </w:r>
      <w:r>
        <w:rPr>
          <w:rFonts w:hint="eastAsia" w:ascii="仿宋" w:eastAsia="仿宋"/>
        </w:rPr>
        <w:t>财</w:t>
      </w:r>
      <w:r>
        <w:rPr>
          <w:rFonts w:hint="eastAsia" w:ascii="仿宋" w:eastAsia="仿宋"/>
          <w:bCs w:val="0"/>
        </w:rPr>
        <w:t>政拨款收入支出决算总表</w:t>
      </w:r>
      <w:r>
        <w:tab/>
      </w:r>
      <w:r>
        <w:fldChar w:fldCharType="begin"/>
      </w:r>
      <w:r>
        <w:instrText xml:space="preserve"> PAGEREF _Toc8957 </w:instrText>
      </w:r>
      <w:r>
        <w:fldChar w:fldCharType="separate"/>
      </w:r>
      <w:r>
        <w:t>16</w:t>
      </w:r>
      <w:r>
        <w:fldChar w:fldCharType="end"/>
      </w:r>
      <w:r>
        <w:fldChar w:fldCharType="end"/>
      </w:r>
    </w:p>
    <w:p>
      <w:pPr>
        <w:pStyle w:val="29"/>
        <w:tabs>
          <w:tab w:val="right" w:leader="dot" w:pos="8306"/>
        </w:tabs>
      </w:pPr>
      <w:r>
        <w:fldChar w:fldCharType="begin"/>
      </w:r>
      <w:r>
        <w:instrText xml:space="preserve"> HYPERLINK \l _Toc27328 </w:instrText>
      </w:r>
      <w:r>
        <w:fldChar w:fldCharType="separate"/>
      </w:r>
      <w:r>
        <w:rPr>
          <w:rFonts w:hint="eastAsia" w:ascii="仿宋" w:eastAsia="仿宋"/>
          <w:bCs w:val="0"/>
        </w:rPr>
        <w:t>五、</w:t>
      </w:r>
      <w:r>
        <w:rPr>
          <w:rFonts w:hint="eastAsia" w:ascii="仿宋" w:eastAsia="仿宋"/>
        </w:rPr>
        <w:t>财</w:t>
      </w:r>
      <w:r>
        <w:rPr>
          <w:rFonts w:hint="eastAsia" w:ascii="仿宋" w:eastAsia="仿宋"/>
          <w:bCs w:val="0"/>
        </w:rPr>
        <w:t>政拨款支出决算明细表</w:t>
      </w:r>
      <w:r>
        <w:tab/>
      </w:r>
      <w:r>
        <w:fldChar w:fldCharType="begin"/>
      </w:r>
      <w:r>
        <w:instrText xml:space="preserve"> PAGEREF _Toc27328 </w:instrText>
      </w:r>
      <w:r>
        <w:fldChar w:fldCharType="separate"/>
      </w:r>
      <w:r>
        <w:t>16</w:t>
      </w:r>
      <w:r>
        <w:fldChar w:fldCharType="end"/>
      </w:r>
      <w:r>
        <w:fldChar w:fldCharType="end"/>
      </w:r>
    </w:p>
    <w:p>
      <w:pPr>
        <w:pStyle w:val="29"/>
        <w:tabs>
          <w:tab w:val="right" w:leader="dot" w:pos="8306"/>
        </w:tabs>
      </w:pPr>
      <w:r>
        <w:fldChar w:fldCharType="begin"/>
      </w:r>
      <w:r>
        <w:instrText xml:space="preserve"> HYPERLINK \l _Toc21217 </w:instrText>
      </w:r>
      <w:r>
        <w:fldChar w:fldCharType="separate"/>
      </w:r>
      <w:r>
        <w:rPr>
          <w:rFonts w:hint="eastAsia" w:ascii="仿宋" w:eastAsia="仿宋"/>
          <w:bCs w:val="0"/>
        </w:rPr>
        <w:t>六、</w:t>
      </w:r>
      <w:r>
        <w:rPr>
          <w:rFonts w:hint="eastAsia" w:ascii="仿宋" w:eastAsia="仿宋"/>
        </w:rPr>
        <w:t>一</w:t>
      </w:r>
      <w:r>
        <w:rPr>
          <w:rFonts w:hint="eastAsia" w:ascii="仿宋" w:eastAsia="仿宋"/>
          <w:bCs w:val="0"/>
        </w:rPr>
        <w:t>般公共预算财政拨款支出决算表</w:t>
      </w:r>
      <w:r>
        <w:tab/>
      </w:r>
      <w:r>
        <w:fldChar w:fldCharType="begin"/>
      </w:r>
      <w:r>
        <w:instrText xml:space="preserve"> PAGEREF _Toc21217 </w:instrText>
      </w:r>
      <w:r>
        <w:fldChar w:fldCharType="separate"/>
      </w:r>
      <w:r>
        <w:t>16</w:t>
      </w:r>
      <w:r>
        <w:fldChar w:fldCharType="end"/>
      </w:r>
      <w:r>
        <w:fldChar w:fldCharType="end"/>
      </w:r>
    </w:p>
    <w:p>
      <w:pPr>
        <w:pStyle w:val="29"/>
        <w:tabs>
          <w:tab w:val="right" w:leader="dot" w:pos="8306"/>
        </w:tabs>
      </w:pPr>
      <w:r>
        <w:fldChar w:fldCharType="begin"/>
      </w:r>
      <w:r>
        <w:instrText xml:space="preserve"> HYPERLINK \l _Toc2417 </w:instrText>
      </w:r>
      <w:r>
        <w:fldChar w:fldCharType="separate"/>
      </w:r>
      <w:r>
        <w:rPr>
          <w:rFonts w:hint="eastAsia" w:ascii="仿宋" w:eastAsia="仿宋"/>
          <w:bCs w:val="0"/>
        </w:rPr>
        <w:t>七、</w:t>
      </w:r>
      <w:r>
        <w:rPr>
          <w:rFonts w:hint="eastAsia" w:ascii="仿宋" w:eastAsia="仿宋"/>
        </w:rPr>
        <w:t>一</w:t>
      </w:r>
      <w:r>
        <w:rPr>
          <w:rFonts w:hint="eastAsia" w:ascii="仿宋" w:eastAsia="仿宋"/>
          <w:bCs w:val="0"/>
        </w:rPr>
        <w:t>般公共预算财政拨款支出决算明细表</w:t>
      </w:r>
      <w:r>
        <w:tab/>
      </w:r>
      <w:r>
        <w:fldChar w:fldCharType="begin"/>
      </w:r>
      <w:r>
        <w:instrText xml:space="preserve"> PAGEREF _Toc2417 </w:instrText>
      </w:r>
      <w:r>
        <w:fldChar w:fldCharType="separate"/>
      </w:r>
      <w:r>
        <w:t>16</w:t>
      </w:r>
      <w:r>
        <w:fldChar w:fldCharType="end"/>
      </w:r>
      <w:r>
        <w:fldChar w:fldCharType="end"/>
      </w:r>
    </w:p>
    <w:p>
      <w:pPr>
        <w:pStyle w:val="29"/>
        <w:tabs>
          <w:tab w:val="right" w:leader="dot" w:pos="8306"/>
        </w:tabs>
      </w:pPr>
      <w:r>
        <w:fldChar w:fldCharType="begin"/>
      </w:r>
      <w:r>
        <w:instrText xml:space="preserve"> HYPERLINK \l _Toc20823 </w:instrText>
      </w:r>
      <w:r>
        <w:fldChar w:fldCharType="separate"/>
      </w:r>
      <w:r>
        <w:rPr>
          <w:rFonts w:hint="eastAsia" w:ascii="仿宋" w:eastAsia="仿宋"/>
          <w:bCs w:val="0"/>
        </w:rPr>
        <w:t>八、</w:t>
      </w:r>
      <w:r>
        <w:rPr>
          <w:rFonts w:hint="eastAsia" w:ascii="仿宋" w:eastAsia="仿宋"/>
        </w:rPr>
        <w:t>一</w:t>
      </w:r>
      <w:r>
        <w:rPr>
          <w:rFonts w:hint="eastAsia" w:ascii="仿宋" w:eastAsia="仿宋"/>
          <w:bCs w:val="0"/>
        </w:rPr>
        <w:t>般公共预算财政拨款基本支出决算表</w:t>
      </w:r>
      <w:r>
        <w:tab/>
      </w:r>
      <w:r>
        <w:fldChar w:fldCharType="begin"/>
      </w:r>
      <w:r>
        <w:instrText xml:space="preserve"> PAGEREF _Toc20823 </w:instrText>
      </w:r>
      <w:r>
        <w:fldChar w:fldCharType="separate"/>
      </w:r>
      <w:r>
        <w:t>16</w:t>
      </w:r>
      <w:r>
        <w:fldChar w:fldCharType="end"/>
      </w:r>
      <w:r>
        <w:fldChar w:fldCharType="end"/>
      </w:r>
    </w:p>
    <w:p>
      <w:pPr>
        <w:pStyle w:val="29"/>
        <w:tabs>
          <w:tab w:val="right" w:leader="dot" w:pos="8306"/>
        </w:tabs>
      </w:pPr>
      <w:r>
        <w:fldChar w:fldCharType="begin"/>
      </w:r>
      <w:r>
        <w:instrText xml:space="preserve"> HYPERLINK \l _Toc19861 </w:instrText>
      </w:r>
      <w:r>
        <w:fldChar w:fldCharType="separate"/>
      </w:r>
      <w:r>
        <w:rPr>
          <w:rFonts w:hint="eastAsia" w:ascii="仿宋" w:eastAsia="仿宋"/>
          <w:bCs w:val="0"/>
        </w:rPr>
        <w:t>九、</w:t>
      </w:r>
      <w:r>
        <w:rPr>
          <w:rFonts w:hint="eastAsia" w:ascii="仿宋" w:eastAsia="仿宋"/>
        </w:rPr>
        <w:t>一</w:t>
      </w:r>
      <w:r>
        <w:rPr>
          <w:rFonts w:hint="eastAsia" w:ascii="仿宋" w:eastAsia="仿宋"/>
          <w:bCs w:val="0"/>
        </w:rPr>
        <w:t>般公共预算财政拨款项目支出决算表</w:t>
      </w:r>
      <w:r>
        <w:tab/>
      </w:r>
      <w:r>
        <w:fldChar w:fldCharType="begin"/>
      </w:r>
      <w:r>
        <w:instrText xml:space="preserve"> PAGEREF _Toc19861 </w:instrText>
      </w:r>
      <w:r>
        <w:fldChar w:fldCharType="separate"/>
      </w:r>
      <w:r>
        <w:t>16</w:t>
      </w:r>
      <w:r>
        <w:fldChar w:fldCharType="end"/>
      </w:r>
      <w:r>
        <w:fldChar w:fldCharType="end"/>
      </w:r>
    </w:p>
    <w:p>
      <w:pPr>
        <w:pStyle w:val="29"/>
        <w:tabs>
          <w:tab w:val="right" w:leader="dot" w:pos="8306"/>
        </w:tabs>
      </w:pPr>
      <w:r>
        <w:fldChar w:fldCharType="begin"/>
      </w:r>
      <w:r>
        <w:instrText xml:space="preserve"> HYPERLINK \l _Toc22783 </w:instrText>
      </w:r>
      <w:r>
        <w:fldChar w:fldCharType="separate"/>
      </w:r>
      <w:r>
        <w:rPr>
          <w:rFonts w:hint="eastAsia" w:ascii="仿宋" w:eastAsia="仿宋"/>
          <w:bCs w:val="0"/>
        </w:rPr>
        <w:t>十、</w:t>
      </w:r>
      <w:r>
        <w:rPr>
          <w:rFonts w:hint="eastAsia" w:ascii="仿宋" w:eastAsia="仿宋"/>
        </w:rPr>
        <w:t>一</w:t>
      </w:r>
      <w:r>
        <w:rPr>
          <w:rFonts w:hint="eastAsia" w:ascii="仿宋" w:eastAsia="仿宋"/>
          <w:bCs w:val="0"/>
        </w:rPr>
        <w:t>般公共预算财政拨款“三公”经费支出决算表</w:t>
      </w:r>
      <w:r>
        <w:tab/>
      </w:r>
      <w:r>
        <w:fldChar w:fldCharType="begin"/>
      </w:r>
      <w:r>
        <w:instrText xml:space="preserve"> PAGEREF _Toc22783 </w:instrText>
      </w:r>
      <w:r>
        <w:fldChar w:fldCharType="separate"/>
      </w:r>
      <w:r>
        <w:t>16</w:t>
      </w:r>
      <w:r>
        <w:fldChar w:fldCharType="end"/>
      </w:r>
      <w:r>
        <w:fldChar w:fldCharType="end"/>
      </w:r>
    </w:p>
    <w:p>
      <w:pPr>
        <w:pStyle w:val="29"/>
        <w:tabs>
          <w:tab w:val="right" w:leader="dot" w:pos="8306"/>
        </w:tabs>
      </w:pPr>
      <w:r>
        <w:fldChar w:fldCharType="begin"/>
      </w:r>
      <w:r>
        <w:instrText xml:space="preserve"> HYPERLINK \l _Toc640 </w:instrText>
      </w:r>
      <w:r>
        <w:fldChar w:fldCharType="separate"/>
      </w:r>
      <w:r>
        <w:rPr>
          <w:rFonts w:hint="eastAsia" w:ascii="仿宋" w:eastAsia="仿宋"/>
          <w:bCs w:val="0"/>
        </w:rPr>
        <w:t>十一、</w:t>
      </w:r>
      <w:r>
        <w:rPr>
          <w:rFonts w:hint="eastAsia" w:ascii="仿宋" w:eastAsia="仿宋"/>
        </w:rPr>
        <w:t>政</w:t>
      </w:r>
      <w:r>
        <w:rPr>
          <w:rFonts w:hint="eastAsia" w:ascii="仿宋" w:eastAsia="仿宋"/>
          <w:bCs w:val="0"/>
        </w:rPr>
        <w:t>府性基金预算财政拨款收入支出决算表</w:t>
      </w:r>
      <w:r>
        <w:tab/>
      </w:r>
      <w:r>
        <w:fldChar w:fldCharType="begin"/>
      </w:r>
      <w:r>
        <w:instrText xml:space="preserve"> PAGEREF _Toc640 </w:instrText>
      </w:r>
      <w:r>
        <w:fldChar w:fldCharType="separate"/>
      </w:r>
      <w:r>
        <w:t>16</w:t>
      </w:r>
      <w:r>
        <w:fldChar w:fldCharType="end"/>
      </w:r>
      <w:r>
        <w:fldChar w:fldCharType="end"/>
      </w:r>
    </w:p>
    <w:p>
      <w:pPr>
        <w:pStyle w:val="29"/>
        <w:tabs>
          <w:tab w:val="right" w:leader="dot" w:pos="8306"/>
        </w:tabs>
      </w:pPr>
      <w:r>
        <w:fldChar w:fldCharType="begin"/>
      </w:r>
      <w:r>
        <w:instrText xml:space="preserve"> HYPERLINK \l _Toc32301 </w:instrText>
      </w:r>
      <w:r>
        <w:fldChar w:fldCharType="separate"/>
      </w:r>
      <w:r>
        <w:rPr>
          <w:rFonts w:hint="eastAsia" w:ascii="仿宋" w:eastAsia="仿宋"/>
          <w:bCs w:val="0"/>
        </w:rPr>
        <w:t>十二、</w:t>
      </w:r>
      <w:r>
        <w:rPr>
          <w:rFonts w:hint="eastAsia" w:ascii="仿宋" w:eastAsia="仿宋"/>
        </w:rPr>
        <w:t>政</w:t>
      </w:r>
      <w:r>
        <w:rPr>
          <w:rFonts w:hint="eastAsia" w:ascii="仿宋" w:eastAsia="仿宋"/>
          <w:bCs w:val="0"/>
        </w:rPr>
        <w:t>府性基金预算财政拨款“三公”经费支出决算表</w:t>
      </w:r>
      <w:r>
        <w:tab/>
      </w:r>
      <w:r>
        <w:fldChar w:fldCharType="begin"/>
      </w:r>
      <w:r>
        <w:instrText xml:space="preserve"> PAGEREF _Toc32301 </w:instrText>
      </w:r>
      <w:r>
        <w:fldChar w:fldCharType="separate"/>
      </w:r>
      <w:r>
        <w:t>16</w:t>
      </w:r>
      <w:r>
        <w:fldChar w:fldCharType="end"/>
      </w:r>
      <w:r>
        <w:fldChar w:fldCharType="end"/>
      </w:r>
    </w:p>
    <w:p>
      <w:pPr>
        <w:pStyle w:val="29"/>
        <w:tabs>
          <w:tab w:val="right" w:leader="dot" w:pos="8306"/>
        </w:tabs>
      </w:pPr>
      <w:r>
        <w:fldChar w:fldCharType="begin"/>
      </w:r>
      <w:r>
        <w:instrText xml:space="preserve"> HYPERLINK \l _Toc20552 </w:instrText>
      </w:r>
      <w:r>
        <w:fldChar w:fldCharType="separate"/>
      </w:r>
      <w:r>
        <w:rPr>
          <w:rFonts w:hint="eastAsia" w:ascii="仿宋" w:eastAsia="仿宋"/>
          <w:bCs w:val="0"/>
        </w:rPr>
        <w:t>十三、</w:t>
      </w:r>
      <w:r>
        <w:rPr>
          <w:rFonts w:hint="eastAsia" w:ascii="仿宋" w:eastAsia="仿宋"/>
        </w:rPr>
        <w:t>国</w:t>
      </w:r>
      <w:r>
        <w:rPr>
          <w:rFonts w:hint="eastAsia" w:ascii="仿宋" w:eastAsia="仿宋"/>
          <w:bCs w:val="0"/>
        </w:rPr>
        <w:t>有资本经营预算财政拨款收入支出决算表</w:t>
      </w:r>
      <w:r>
        <w:tab/>
      </w:r>
      <w:r>
        <w:fldChar w:fldCharType="begin"/>
      </w:r>
      <w:r>
        <w:instrText xml:space="preserve"> PAGEREF _Toc20552 </w:instrText>
      </w:r>
      <w:r>
        <w:fldChar w:fldCharType="separate"/>
      </w:r>
      <w:r>
        <w:t>16</w:t>
      </w:r>
      <w:r>
        <w:fldChar w:fldCharType="end"/>
      </w:r>
      <w:r>
        <w:fldChar w:fldCharType="end"/>
      </w:r>
    </w:p>
    <w:p>
      <w:pPr>
        <w:pStyle w:val="29"/>
        <w:tabs>
          <w:tab w:val="right" w:leader="dot" w:pos="8306"/>
        </w:tabs>
      </w:pPr>
      <w:r>
        <w:fldChar w:fldCharType="begin"/>
      </w:r>
      <w:r>
        <w:instrText xml:space="preserve"> HYPERLINK \l _Toc16771 </w:instrText>
      </w:r>
      <w:r>
        <w:fldChar w:fldCharType="separate"/>
      </w:r>
      <w:r>
        <w:rPr>
          <w:rFonts w:hint="eastAsia" w:ascii="仿宋" w:eastAsia="仿宋"/>
          <w:bCs w:val="0"/>
        </w:rPr>
        <w:t>十四、国有资本经营预算财政拨款支出决算表</w:t>
      </w:r>
      <w:r>
        <w:tab/>
      </w:r>
      <w:r>
        <w:fldChar w:fldCharType="begin"/>
      </w:r>
      <w:r>
        <w:instrText xml:space="preserve"> PAGEREF _Toc16771 </w:instrText>
      </w:r>
      <w:r>
        <w:fldChar w:fldCharType="separate"/>
      </w:r>
      <w:r>
        <w:t>16</w:t>
      </w:r>
      <w:r>
        <w:fldChar w:fldCharType="end"/>
      </w:r>
      <w:r>
        <w:fldChar w:fldCharType="end"/>
      </w:r>
    </w:p>
    <w:p>
      <w:pPr>
        <w:rPr>
          <w:b/>
        </w:rPr>
      </w:pPr>
      <w:r>
        <w:rPr>
          <w:b/>
        </w:rPr>
        <w:fldChar w:fldCharType="end"/>
      </w:r>
    </w:p>
    <w:p>
      <w:pPr>
        <w:rPr>
          <w:b/>
        </w:rPr>
      </w:pPr>
    </w:p>
    <w:p>
      <w:pPr>
        <w:rPr>
          <w:b/>
        </w:rPr>
      </w:pPr>
    </w:p>
    <w:p>
      <w:pPr>
        <w:rPr>
          <w:b/>
        </w:rPr>
      </w:pPr>
    </w:p>
    <w:p>
      <w:pPr>
        <w:rPr>
          <w:b/>
        </w:rPr>
      </w:pPr>
    </w:p>
    <w:p>
      <w:pPr>
        <w:rPr>
          <w:b/>
        </w:rPr>
      </w:pPr>
    </w:p>
    <w:p>
      <w:pPr>
        <w:rPr>
          <w:b/>
        </w:rPr>
      </w:pPr>
    </w:p>
    <w:p>
      <w:pPr>
        <w:rPr>
          <w:b/>
        </w:rPr>
      </w:pPr>
    </w:p>
    <w:p>
      <w:pPr>
        <w:rPr>
          <w:b/>
        </w:rPr>
      </w:pPr>
    </w:p>
    <w:p>
      <w:pPr>
        <w:rPr>
          <w:b/>
        </w:rPr>
      </w:pPr>
    </w:p>
    <w:p>
      <w:pPr>
        <w:rPr>
          <w:b/>
        </w:rPr>
      </w:pPr>
    </w:p>
    <w:p>
      <w:pPr>
        <w:rPr>
          <w:b/>
        </w:rPr>
      </w:pPr>
    </w:p>
    <w:p>
      <w:pPr>
        <w:rPr>
          <w:b/>
        </w:rPr>
      </w:pPr>
    </w:p>
    <w:p>
      <w:pPr>
        <w:rPr>
          <w:b/>
        </w:rPr>
      </w:pPr>
    </w:p>
    <w:p>
      <w:pPr>
        <w:rPr>
          <w:b/>
        </w:rPr>
      </w:pPr>
    </w:p>
    <w:p>
      <w:pPr>
        <w:rPr>
          <w:b/>
        </w:rPr>
      </w:pPr>
    </w:p>
    <w:p>
      <w:pPr>
        <w:rPr>
          <w:b/>
        </w:rPr>
      </w:pPr>
    </w:p>
    <w:p>
      <w:pPr>
        <w:rPr>
          <w:b/>
        </w:rPr>
      </w:pPr>
    </w:p>
    <w:p>
      <w:pPr>
        <w:rPr>
          <w:b/>
        </w:rPr>
      </w:pPr>
    </w:p>
    <w:p>
      <w:pPr>
        <w:rPr>
          <w:b/>
        </w:rPr>
      </w:pPr>
    </w:p>
    <w:p>
      <w:pPr>
        <w:rPr>
          <w:b/>
        </w:rPr>
      </w:pPr>
    </w:p>
    <w:p>
      <w:pPr>
        <w:rPr>
          <w:b/>
        </w:rPr>
      </w:pPr>
    </w:p>
    <w:p>
      <w:pPr>
        <w:rPr>
          <w:b/>
        </w:rPr>
      </w:pPr>
    </w:p>
    <w:p>
      <w:pPr>
        <w:rPr>
          <w:b/>
        </w:rPr>
      </w:pPr>
    </w:p>
    <w:p>
      <w:pPr>
        <w:rPr>
          <w:b/>
        </w:rPr>
      </w:pPr>
    </w:p>
    <w:p>
      <w:pPr>
        <w:rPr>
          <w:b/>
        </w:rPr>
      </w:pPr>
    </w:p>
    <w:p>
      <w:pPr>
        <w:rPr>
          <w:b/>
        </w:rPr>
      </w:pPr>
    </w:p>
    <w:p>
      <w:pPr>
        <w:rPr>
          <w:b/>
        </w:rPr>
      </w:pPr>
    </w:p>
    <w:p>
      <w:pPr>
        <w:rPr>
          <w:b/>
        </w:rPr>
      </w:pPr>
    </w:p>
    <w:p>
      <w:pPr>
        <w:rPr>
          <w:b/>
        </w:rPr>
      </w:pPr>
    </w:p>
    <w:p>
      <w:pPr>
        <w:rPr>
          <w:b/>
        </w:rPr>
      </w:pPr>
    </w:p>
    <w:p>
      <w:pPr>
        <w:rPr>
          <w:b/>
        </w:rPr>
      </w:pPr>
    </w:p>
    <w:p>
      <w:pPr>
        <w:rPr>
          <w:b/>
        </w:rPr>
      </w:pPr>
    </w:p>
    <w:p>
      <w:pPr>
        <w:pStyle w:val="3"/>
        <w:numPr>
          <w:ilvl w:val="0"/>
          <w:numId w:val="1"/>
        </w:numPr>
        <w:ind w:firstLine="2200" w:firstLineChars="500"/>
        <w:jc w:val="both"/>
        <w:rPr>
          <w:rStyle w:val="18"/>
          <w:rFonts w:hint="eastAsia" w:ascii="黑体" w:eastAsia="黑体"/>
          <w:b w:val="0"/>
          <w:bCs w:val="0"/>
        </w:rPr>
        <w:sectPr>
          <w:footerReference r:id="rId6" w:type="first"/>
          <w:footerReference r:id="rId5" w:type="default"/>
          <w:pgSz w:w="11906" w:h="16838"/>
          <w:pgMar w:top="1440" w:right="1800" w:bottom="1440" w:left="1800" w:header="851" w:footer="992" w:gutter="0"/>
          <w:pgNumType w:start="1"/>
          <w:cols w:space="720" w:num="1"/>
          <w:docGrid w:type="lines" w:linePitch="312" w:charSpace="0"/>
        </w:sectPr>
      </w:pPr>
    </w:p>
    <w:p>
      <w:pPr>
        <w:pStyle w:val="3"/>
        <w:numPr>
          <w:ilvl w:val="0"/>
          <w:numId w:val="1"/>
        </w:numPr>
        <w:ind w:firstLine="2200" w:firstLineChars="500"/>
        <w:jc w:val="both"/>
        <w:rPr>
          <w:rStyle w:val="18"/>
          <w:rFonts w:hint="eastAsia" w:ascii="黑体" w:eastAsia="黑体"/>
          <w:b w:val="0"/>
          <w:bCs w:val="0"/>
        </w:rPr>
      </w:pPr>
      <w:bookmarkStart w:id="15" w:name="_Toc26438"/>
      <w:r>
        <w:rPr>
          <w:rFonts w:hint="eastAsia" w:ascii="黑体" w:eastAsia="黑体"/>
          <w:b w:val="0"/>
        </w:rPr>
        <w:t>单位</w:t>
      </w:r>
      <w:r>
        <w:rPr>
          <w:rStyle w:val="18"/>
          <w:rFonts w:hint="eastAsia" w:ascii="黑体" w:eastAsia="黑体"/>
          <w:b w:val="0"/>
          <w:bCs w:val="0"/>
        </w:rPr>
        <w:t>概况</w:t>
      </w:r>
      <w:bookmarkEnd w:id="15"/>
    </w:p>
    <w:p>
      <w:pPr>
        <w:numPr>
          <w:ilvl w:val="0"/>
          <w:numId w:val="0"/>
        </w:numPr>
      </w:pPr>
    </w:p>
    <w:p>
      <w:pPr>
        <w:pStyle w:val="4"/>
        <w:numPr>
          <w:ilvl w:val="0"/>
          <w:numId w:val="2"/>
        </w:numPr>
        <w:rPr>
          <w:rStyle w:val="19"/>
          <w:rFonts w:hint="eastAsia" w:ascii="黑体" w:eastAsia="黑体"/>
          <w:b w:val="0"/>
          <w:bCs w:val="0"/>
        </w:rPr>
      </w:pPr>
      <w:bookmarkStart w:id="16" w:name="_Toc15377197"/>
      <w:bookmarkStart w:id="17" w:name="_Toc15396600"/>
      <w:r>
        <w:rPr>
          <w:rStyle w:val="19"/>
          <w:rFonts w:hint="eastAsia" w:ascii="黑体" w:eastAsia="黑体"/>
          <w:b w:val="0"/>
          <w:bCs w:val="0"/>
          <w:lang w:val="en-US"/>
        </w:rPr>
        <w:t>部门职责及机构设置</w:t>
      </w:r>
    </w:p>
    <w:p>
      <w:pPr>
        <w:rPr>
          <w:rFonts w:hint="default"/>
          <w:lang w:val="en-US"/>
        </w:rPr>
      </w:pPr>
      <w:r>
        <w:rPr>
          <w:rStyle w:val="19"/>
          <w:rFonts w:hint="eastAsia" w:ascii="黑体" w:eastAsia="黑体"/>
          <w:b w:val="0"/>
          <w:bCs w:val="0"/>
          <w:lang w:val="en-US"/>
        </w:rPr>
        <w:t>（一）部门职责</w:t>
      </w:r>
    </w:p>
    <w:p>
      <w:pPr>
        <w:keepNext w:val="0"/>
        <w:keepLines w:val="0"/>
        <w:pageBreakBefore w:val="0"/>
        <w:widowControl w:val="0"/>
        <w:kinsoku/>
        <w:wordWrap/>
        <w:overflowPunct/>
        <w:topLinePunct w:val="0"/>
        <w:autoSpaceDE w:val="0"/>
        <w:autoSpaceDN/>
        <w:bidi w:val="0"/>
        <w:adjustRightInd w:val="0"/>
        <w:snapToGrid w:val="0"/>
        <w:spacing w:before="93" w:beforeLines="30" w:beforeAutospacing="0" w:after="0" w:afterAutospacing="0" w:line="600" w:lineRule="exact"/>
        <w:ind w:left="0" w:right="0"/>
        <w:jc w:val="left"/>
        <w:textAlignment w:val="auto"/>
        <w:rPr>
          <w:rFonts w:hint="eastAsia" w:ascii="仿宋_GB2312" w:hAnsi="仿宋_GB2312" w:eastAsia="仿宋_GB2312" w:cs="仿宋_GB2312"/>
          <w:kern w:val="0"/>
          <w:sz w:val="32"/>
          <w:szCs w:val="32"/>
          <w:lang w:val="en-US" w:eastAsia="zh-CN" w:bidi="ar"/>
        </w:rPr>
      </w:pPr>
      <w:r>
        <w:rPr>
          <w:rFonts w:hint="eastAsia" w:ascii="仿宋_GB2312" w:hAnsi="宋体" w:eastAsia="仿宋_GB2312" w:cs="宋体"/>
          <w:kern w:val="0"/>
          <w:sz w:val="32"/>
          <w:szCs w:val="32"/>
          <w:shd w:val="clear" w:color="auto" w:fill="FFFFFF"/>
          <w:lang w:val="en-US" w:eastAsia="zh-CN" w:bidi="ar"/>
        </w:rPr>
        <w:t xml:space="preserve"> </w:t>
      </w:r>
      <w:r>
        <w:rPr>
          <w:rFonts w:hint="eastAsia" w:ascii="仿宋_GB2312" w:hAnsi="仿宋_GB2312" w:eastAsia="仿宋_GB2312" w:cs="仿宋_GB2312"/>
          <w:kern w:val="0"/>
          <w:sz w:val="32"/>
          <w:szCs w:val="32"/>
          <w:lang w:val="en-US" w:eastAsia="zh-CN" w:bidi="ar"/>
        </w:rPr>
        <w:t>1.负责政协红原县委员会全体会议、常委会议、主席会议和其他主要会议的组织和会务工作，并组织实施“三个例会”的决议、决定。</w:t>
      </w:r>
    </w:p>
    <w:p>
      <w:pPr>
        <w:keepNext w:val="0"/>
        <w:keepLines w:val="0"/>
        <w:pageBreakBefore w:val="0"/>
        <w:widowControl w:val="0"/>
        <w:kinsoku/>
        <w:wordWrap/>
        <w:overflowPunct/>
        <w:topLinePunct w:val="0"/>
        <w:autoSpaceDE w:val="0"/>
        <w:autoSpaceDN/>
        <w:bidi w:val="0"/>
        <w:adjustRightInd w:val="0"/>
        <w:snapToGrid w:val="0"/>
        <w:spacing w:before="93" w:beforeLines="30" w:beforeAutospacing="0" w:after="0" w:afterAutospacing="0" w:line="600" w:lineRule="exact"/>
        <w:ind w:left="0" w:right="0" w:firstLine="640" w:firstLineChars="200"/>
        <w:jc w:val="left"/>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2.组织委员视察参观、调查、座谈等日常活动以及各专门委员会的其他工作的组织和服务工作，负责县政协举办各种重大活动的组织、宣传工作。</w:t>
      </w:r>
    </w:p>
    <w:p>
      <w:pPr>
        <w:keepNext w:val="0"/>
        <w:keepLines w:val="0"/>
        <w:pageBreakBefore w:val="0"/>
        <w:widowControl w:val="0"/>
        <w:kinsoku/>
        <w:wordWrap/>
        <w:overflowPunct/>
        <w:topLinePunct w:val="0"/>
        <w:autoSpaceDE w:val="0"/>
        <w:autoSpaceDN/>
        <w:bidi w:val="0"/>
        <w:adjustRightInd w:val="0"/>
        <w:snapToGrid w:val="0"/>
        <w:spacing w:before="93" w:beforeLines="30" w:beforeAutospacing="0" w:after="0" w:afterAutospacing="0" w:line="600" w:lineRule="exact"/>
        <w:ind w:left="0" w:right="0" w:firstLine="640" w:firstLineChars="200"/>
        <w:jc w:val="left"/>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3.研究统一战线和人民政协的理论、政策，调查研究和了解有关我县各项事业及群众生活的重要问题提出解决办法，供党政机关参考。</w:t>
      </w:r>
    </w:p>
    <w:p>
      <w:pPr>
        <w:keepNext w:val="0"/>
        <w:keepLines w:val="0"/>
        <w:pageBreakBefore w:val="0"/>
        <w:kinsoku/>
        <w:wordWrap/>
        <w:overflowPunct/>
        <w:topLinePunct w:val="0"/>
        <w:autoSpaceDN/>
        <w:bidi w:val="0"/>
        <w:adjustRightInd w:val="0"/>
        <w:snapToGrid w:val="0"/>
        <w:spacing w:before="93" w:beforeLines="30" w:beforeAutospacing="0" w:after="0" w:afterAutospacing="0" w:line="600" w:lineRule="exact"/>
        <w:ind w:left="0" w:right="0" w:firstLine="640" w:firstLineChars="200"/>
        <w:jc w:val="left"/>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4.密切与县委、县人大、县政府有关部门的联系，搞好协调工作，做好上情下达、下情上报工作。</w:t>
      </w:r>
    </w:p>
    <w:p>
      <w:pPr>
        <w:keepNext w:val="0"/>
        <w:keepLines w:val="0"/>
        <w:pageBreakBefore w:val="0"/>
        <w:kinsoku/>
        <w:wordWrap/>
        <w:overflowPunct/>
        <w:topLinePunct w:val="0"/>
        <w:autoSpaceDN/>
        <w:bidi w:val="0"/>
        <w:adjustRightInd w:val="0"/>
        <w:snapToGrid w:val="0"/>
        <w:spacing w:before="93" w:beforeLines="30" w:beforeAutospacing="0" w:after="0" w:afterAutospacing="0" w:line="600" w:lineRule="exact"/>
        <w:ind w:left="0" w:right="0" w:firstLine="640" w:firstLineChars="200"/>
        <w:jc w:val="left"/>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5.负责政协工作的内外宣传、收集、反映各族各界人士的意见、建议。</w:t>
      </w:r>
    </w:p>
    <w:p>
      <w:pPr>
        <w:keepNext w:val="0"/>
        <w:keepLines w:val="0"/>
        <w:pageBreakBefore w:val="0"/>
        <w:kinsoku/>
        <w:wordWrap/>
        <w:overflowPunct/>
        <w:topLinePunct w:val="0"/>
        <w:autoSpaceDN/>
        <w:bidi w:val="0"/>
        <w:adjustRightInd w:val="0"/>
        <w:snapToGrid w:val="0"/>
        <w:spacing w:before="93" w:beforeLines="30" w:beforeAutospacing="0" w:after="0" w:afterAutospacing="0" w:line="600" w:lineRule="exact"/>
        <w:ind w:left="0" w:right="0" w:firstLine="640" w:firstLineChars="200"/>
        <w:jc w:val="left"/>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6.负责管理政协委员会机关行政、文秘、档案、信访、保密等工作。</w:t>
      </w:r>
    </w:p>
    <w:p>
      <w:pPr>
        <w:keepNext w:val="0"/>
        <w:keepLines w:val="0"/>
        <w:pageBreakBefore w:val="0"/>
        <w:kinsoku/>
        <w:wordWrap/>
        <w:overflowPunct/>
        <w:topLinePunct w:val="0"/>
        <w:autoSpaceDN/>
        <w:bidi w:val="0"/>
        <w:spacing w:before="0" w:beforeAutospacing="0" w:after="100" w:afterAutospacing="0" w:line="600" w:lineRule="exact"/>
        <w:ind w:left="0" w:right="0" w:firstLine="640" w:firstLineChars="200"/>
        <w:jc w:val="left"/>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7.承担县政协主席、副主席和州政协交办的其他工作。</w:t>
      </w:r>
    </w:p>
    <w:p>
      <w:pPr>
        <w:rPr>
          <w:rStyle w:val="19"/>
          <w:rFonts w:hint="default" w:ascii="黑体" w:eastAsia="黑体"/>
          <w:b w:val="0"/>
          <w:bCs w:val="0"/>
          <w:lang w:val="en-US"/>
        </w:rPr>
      </w:pPr>
      <w:r>
        <w:rPr>
          <w:rStyle w:val="19"/>
          <w:rFonts w:hint="eastAsia" w:ascii="黑体" w:eastAsia="黑体"/>
          <w:b w:val="0"/>
          <w:bCs w:val="0"/>
          <w:lang w:val="en-US"/>
        </w:rPr>
        <w:t>（二）机构设置</w:t>
      </w:r>
    </w:p>
    <w:p>
      <w:pPr>
        <w:pageBreakBefore w:val="0"/>
        <w:widowControl w:val="0"/>
        <w:kinsoku/>
        <w:wordWrap w:val="0"/>
        <w:overflowPunct/>
        <w:topLinePunct w:val="0"/>
        <w:bidi w:val="0"/>
        <w:spacing w:line="572" w:lineRule="atLeas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政协红原县委员会办公室属行政单位</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内设3委1室。截止2021年底，我单位共有人员编制18个，其中：公务员14个，工勤4个，年末实有人数21人，其中：公务员17人，工勤4人</w:t>
      </w:r>
      <w:r>
        <w:rPr>
          <w:rFonts w:hint="eastAsia" w:ascii="仿宋_GB2312" w:hAnsi="仿宋_GB2312" w:eastAsia="仿宋_GB2312" w:cs="仿宋_GB2312"/>
          <w:sz w:val="32"/>
          <w:szCs w:val="32"/>
        </w:rPr>
        <w:t>。</w:t>
      </w:r>
    </w:p>
    <w:p>
      <w:pPr>
        <w:pStyle w:val="4"/>
        <w:ind w:firstLine="640" w:firstLineChars="200"/>
        <w:rPr>
          <w:rFonts w:hint="eastAsia" w:ascii="黑体" w:eastAsia="黑体"/>
          <w:b w:val="0"/>
        </w:rPr>
      </w:pPr>
      <w:bookmarkStart w:id="18" w:name="_Toc1213"/>
      <w:r>
        <w:rPr>
          <w:rFonts w:hint="eastAsia" w:ascii="黑体" w:eastAsia="黑体"/>
          <w:b w:val="0"/>
        </w:rPr>
        <w:t>二、2021年重点工作</w:t>
      </w:r>
      <w:bookmarkEnd w:id="16"/>
      <w:bookmarkEnd w:id="17"/>
      <w:r>
        <w:rPr>
          <w:rFonts w:hint="eastAsia" w:ascii="黑体" w:eastAsia="黑体"/>
          <w:b w:val="0"/>
        </w:rPr>
        <w:t>完成情况</w:t>
      </w:r>
      <w:bookmarkEnd w:id="18"/>
      <w:bookmarkStart w:id="19" w:name="_Toc15377204"/>
      <w:bookmarkStart w:id="20" w:name="_Toc15396602"/>
    </w:p>
    <w:p>
      <w:pPr>
        <w:pStyle w:val="4"/>
        <w:pageBreakBefore w:val="0"/>
        <w:widowControl w:val="0"/>
        <w:kinsoku/>
        <w:wordWrap/>
        <w:overflowPunct/>
        <w:topLinePunct w:val="0"/>
        <w:autoSpaceDN/>
        <w:bidi w:val="0"/>
        <w:spacing w:line="600" w:lineRule="exact"/>
        <w:ind w:firstLine="640" w:firstLineChars="200"/>
        <w:textAlignment w:val="auto"/>
        <w:rPr>
          <w:rFonts w:hint="eastAsia" w:ascii="仿宋_GB2312" w:hAnsi="宋体" w:eastAsia="仿宋_GB2312" w:cs="仿宋_GB2312"/>
          <w:b w:val="0"/>
          <w:bCs w:val="0"/>
          <w:kern w:val="0"/>
          <w:sz w:val="32"/>
          <w:szCs w:val="32"/>
          <w:shd w:val="clear" w:color="auto" w:fill="FFFFFF"/>
          <w:lang w:val="en-US" w:eastAsia="zh-CN" w:bidi="ar"/>
        </w:rPr>
      </w:pPr>
      <w:bookmarkStart w:id="21" w:name="_Toc4005"/>
      <w:r>
        <w:rPr>
          <w:rFonts w:hint="eastAsia" w:ascii="仿宋_GB2312" w:hAnsi="宋体" w:eastAsia="仿宋_GB2312" w:cs="仿宋_GB2312"/>
          <w:b w:val="0"/>
          <w:bCs w:val="0"/>
          <w:kern w:val="0"/>
          <w:sz w:val="32"/>
          <w:szCs w:val="32"/>
          <w:shd w:val="clear" w:color="auto" w:fill="FFFFFF"/>
          <w:lang w:val="en-US" w:eastAsia="zh-CN" w:bidi="ar"/>
        </w:rPr>
        <w:t>1.高质量做好办文办会。在县政协党组的领导下，县政协机齐心协力，科学谋划，合理安排，加班加点，按期完成了各项会议的各项筹备工作，保证了各项会议的顺利召开。根据分工有效地完成了文件的传阅、办理等工作。</w:t>
      </w:r>
      <w:bookmarkEnd w:id="21"/>
    </w:p>
    <w:p>
      <w:pPr>
        <w:keepNext w:val="0"/>
        <w:keepLines w:val="0"/>
        <w:pageBreakBefore w:val="0"/>
        <w:widowControl w:val="0"/>
        <w:kinsoku/>
        <w:wordWrap/>
        <w:overflowPunct/>
        <w:topLinePunct w:val="0"/>
        <w:autoSpaceDE w:val="0"/>
        <w:autoSpaceDN/>
        <w:bidi w:val="0"/>
        <w:spacing w:line="600" w:lineRule="exact"/>
        <w:ind w:firstLine="640" w:firstLineChars="200"/>
        <w:jc w:val="left"/>
        <w:textAlignment w:val="auto"/>
        <w:rPr>
          <w:rFonts w:hint="eastAsia" w:ascii="仿宋_GB2312" w:hAnsi="宋体" w:eastAsia="仿宋_GB2312" w:cs="仿宋_GB2312"/>
          <w:color w:val="000000"/>
          <w:kern w:val="0"/>
          <w:sz w:val="32"/>
          <w:szCs w:val="32"/>
          <w:shd w:val="clear" w:color="auto" w:fill="FFFFFF"/>
          <w:lang w:val="en-US" w:eastAsia="zh-CN"/>
        </w:rPr>
      </w:pPr>
      <w:r>
        <w:rPr>
          <w:rFonts w:hint="eastAsia" w:ascii="仿宋_GB2312" w:hAnsi="宋体" w:eastAsia="仿宋_GB2312" w:cs="仿宋_GB2312"/>
          <w:color w:val="000000"/>
          <w:kern w:val="0"/>
          <w:sz w:val="32"/>
          <w:szCs w:val="32"/>
          <w:shd w:val="clear" w:color="auto" w:fill="FFFFFF"/>
          <w:lang w:val="en-US" w:eastAsia="zh-CN"/>
        </w:rPr>
        <w:t>2</w:t>
      </w:r>
      <w:r>
        <w:rPr>
          <w:rFonts w:hint="eastAsia" w:ascii="仿宋_GB2312" w:hAnsi="宋体" w:eastAsia="仿宋_GB2312" w:cs="仿宋_GB2312"/>
          <w:color w:val="000000"/>
          <w:kern w:val="0"/>
          <w:sz w:val="32"/>
          <w:szCs w:val="32"/>
          <w:shd w:val="clear" w:color="auto" w:fill="FFFFFF"/>
        </w:rPr>
        <w:t>.</w:t>
      </w:r>
      <w:r>
        <w:rPr>
          <w:rFonts w:hint="eastAsia" w:ascii="仿宋_GB2312" w:hAnsi="宋体" w:eastAsia="仿宋_GB2312" w:cs="仿宋_GB2312"/>
          <w:color w:val="000000"/>
          <w:kern w:val="0"/>
          <w:sz w:val="32"/>
          <w:szCs w:val="32"/>
          <w:shd w:val="clear" w:color="auto" w:fill="FFFFFF"/>
          <w:lang w:val="en-US" w:eastAsia="zh-CN"/>
        </w:rPr>
        <w:t>立足政协优势，强化调研质量。县政协按照《政协红原县委员会2021年工作要点》安排，成立由相关部门、乡镇负责同志及部分政协委员组成的联合调研组，深入各乡镇各部门，开展红色文化保护传承、园区建设、人民政协理论纳入党校（行政院校）社会主义学院教学内容相关情况、“十四五”规划推进情况等调研工作，并形成调研报告。</w:t>
      </w:r>
    </w:p>
    <w:p>
      <w:pPr>
        <w:keepNext w:val="0"/>
        <w:keepLines w:val="0"/>
        <w:pageBreakBefore w:val="0"/>
        <w:widowControl w:val="0"/>
        <w:pBdr>
          <w:bottom w:val="single" w:color="FFFFFF" w:sz="4" w:space="25"/>
        </w:pBdr>
        <w:kinsoku/>
        <w:wordWrap/>
        <w:overflowPunct/>
        <w:topLinePunct w:val="0"/>
        <w:autoSpaceDE w:val="0"/>
        <w:autoSpaceDN/>
        <w:bidi w:val="0"/>
        <w:adjustRightInd w:val="0"/>
        <w:snapToGrid w:val="0"/>
        <w:spacing w:line="600" w:lineRule="exact"/>
        <w:ind w:firstLine="640" w:firstLineChars="200"/>
        <w:jc w:val="left"/>
        <w:textAlignment w:val="auto"/>
        <w:rPr>
          <w:rFonts w:hint="eastAsia" w:ascii="仿宋_GB2312" w:hAnsi="宋体" w:eastAsia="仿宋_GB2312" w:cs="仿宋_GB2312"/>
          <w:color w:val="000000"/>
          <w:kern w:val="0"/>
          <w:sz w:val="32"/>
          <w:szCs w:val="32"/>
          <w:shd w:val="clear" w:color="auto" w:fill="FFFFFF"/>
          <w:lang w:val="en-US" w:eastAsia="zh-CN"/>
        </w:rPr>
      </w:pPr>
      <w:r>
        <w:rPr>
          <w:rFonts w:hint="eastAsia" w:ascii="仿宋_GB2312" w:hAnsi="宋体" w:eastAsia="仿宋_GB2312" w:cs="仿宋_GB2312"/>
          <w:color w:val="000000"/>
          <w:kern w:val="0"/>
          <w:sz w:val="32"/>
          <w:szCs w:val="32"/>
          <w:shd w:val="clear" w:color="auto" w:fill="FFFFFF"/>
        </w:rPr>
        <w:t>4.</w:t>
      </w:r>
      <w:r>
        <w:rPr>
          <w:rFonts w:hint="eastAsia" w:ascii="仿宋_GB2312" w:hAnsi="宋体" w:eastAsia="仿宋_GB2312" w:cs="仿宋_GB2312"/>
          <w:color w:val="000000"/>
          <w:kern w:val="0"/>
          <w:sz w:val="32"/>
          <w:szCs w:val="32"/>
          <w:shd w:val="clear" w:color="auto" w:fill="FFFFFF"/>
          <w:lang w:val="en-US" w:eastAsia="zh-CN"/>
        </w:rPr>
        <w:t>积极配合州政协和西藏那曲、江苏宿迁市、遂宁蓬溪、南充南部、仪陇等兄弟区县政协在我县开展弘扬雪山草地长征精神协商座谈会、开展黄河流域巡河调研、全州现代农业园区建设情况、牧业发展和乡村振兴等方面的专题调研，并结合红原实际，提出建设性的意见建议。</w:t>
      </w:r>
    </w:p>
    <w:p>
      <w:pPr>
        <w:keepNext w:val="0"/>
        <w:keepLines w:val="0"/>
        <w:pageBreakBefore w:val="0"/>
        <w:widowControl w:val="0"/>
        <w:pBdr>
          <w:bottom w:val="single" w:color="FFFFFF" w:sz="4" w:space="25"/>
        </w:pBdr>
        <w:kinsoku/>
        <w:wordWrap/>
        <w:overflowPunct/>
        <w:topLinePunct w:val="0"/>
        <w:autoSpaceDE w:val="0"/>
        <w:autoSpaceDN/>
        <w:bidi w:val="0"/>
        <w:adjustRightInd w:val="0"/>
        <w:snapToGrid w:val="0"/>
        <w:spacing w:line="600" w:lineRule="exact"/>
        <w:ind w:firstLine="640" w:firstLineChars="200"/>
        <w:jc w:val="left"/>
        <w:textAlignment w:val="auto"/>
        <w:rPr>
          <w:rFonts w:hint="eastAsia" w:ascii="仿宋_GB2312" w:hAnsi="宋体" w:eastAsia="仿宋_GB2312" w:cs="仿宋_GB2312"/>
          <w:color w:val="000000"/>
          <w:kern w:val="0"/>
          <w:sz w:val="32"/>
          <w:szCs w:val="32"/>
          <w:shd w:val="clear" w:color="auto" w:fill="FFFFFF"/>
          <w:lang w:val="en-US" w:eastAsia="zh-CN"/>
        </w:rPr>
      </w:pPr>
      <w:r>
        <w:rPr>
          <w:rFonts w:hint="eastAsia" w:ascii="仿宋_GB2312" w:hAnsi="宋体" w:eastAsia="仿宋_GB2312" w:cs="仿宋_GB2312"/>
          <w:color w:val="000000"/>
          <w:kern w:val="0"/>
          <w:sz w:val="32"/>
          <w:szCs w:val="32"/>
          <w:shd w:val="clear" w:color="auto" w:fill="FFFFFF"/>
        </w:rPr>
        <w:t>5.</w:t>
      </w:r>
      <w:r>
        <w:rPr>
          <w:rFonts w:hint="eastAsia" w:ascii="仿宋_GB2312" w:hAnsi="宋体" w:eastAsia="仿宋_GB2312" w:cs="仿宋_GB2312"/>
          <w:color w:val="000000"/>
          <w:kern w:val="0"/>
          <w:sz w:val="32"/>
          <w:szCs w:val="32"/>
          <w:shd w:val="clear" w:color="auto" w:fill="FFFFFF"/>
          <w:lang w:eastAsia="zh-CN"/>
        </w:rPr>
        <w:t>立足红原特色，打造“有事来协商</w:t>
      </w:r>
      <w:r>
        <w:rPr>
          <w:rFonts w:hint="eastAsia" w:ascii="仿宋_GB2312" w:hAnsi="宋体" w:eastAsia="仿宋_GB2312" w:cs="仿宋_GB2312"/>
          <w:color w:val="000000"/>
          <w:kern w:val="0"/>
          <w:sz w:val="32"/>
          <w:szCs w:val="32"/>
          <w:shd w:val="clear" w:color="auto" w:fill="FFFFFF"/>
          <w:lang w:val="en-US" w:eastAsia="zh-CN"/>
        </w:rPr>
        <w:t>·</w:t>
      </w:r>
      <w:r>
        <w:rPr>
          <w:rFonts w:hint="eastAsia" w:ascii="仿宋_GB2312" w:hAnsi="宋体" w:eastAsia="仿宋_GB2312" w:cs="仿宋_GB2312"/>
          <w:color w:val="000000"/>
          <w:kern w:val="0"/>
          <w:sz w:val="32"/>
          <w:szCs w:val="32"/>
          <w:shd w:val="clear" w:color="auto" w:fill="FFFFFF"/>
          <w:lang w:eastAsia="zh-CN"/>
        </w:rPr>
        <w:t>阿隆好商量”亮点。</w:t>
      </w:r>
      <w:r>
        <w:rPr>
          <w:rFonts w:hint="eastAsia" w:ascii="仿宋_GB2312" w:hAnsi="宋体" w:eastAsia="仿宋_GB2312" w:cs="仿宋_GB2312"/>
          <w:color w:val="000000"/>
          <w:kern w:val="0"/>
          <w:sz w:val="32"/>
          <w:szCs w:val="32"/>
          <w:shd w:val="clear" w:color="auto" w:fill="FFFFFF"/>
          <w:lang w:val="en-US" w:eastAsia="zh-CN"/>
        </w:rPr>
        <w:t>根据省、州政协关于做好有事来协商·阿隆好商量”活动相关要求，县政协前期通过调研、座谈等方式，广泛听取意见建议，确定了以“壮大村级集体经济，切实提高群众收入”第一次专题协商会议议题和“完善园区功能建设，提升园区服务水平”第二次专题协商会议议题，两次协商活动顺利完成充分体现了各界别委员和群众代表对红原发展献计出力，共谋发展的信心和决心，达到了沟通思想，交流情况，共谋发展的目的。</w:t>
      </w:r>
    </w:p>
    <w:p>
      <w:pPr>
        <w:keepNext w:val="0"/>
        <w:keepLines w:val="0"/>
        <w:pageBreakBefore w:val="0"/>
        <w:widowControl w:val="0"/>
        <w:pBdr>
          <w:bottom w:val="single" w:color="FFFFFF" w:sz="4" w:space="25"/>
        </w:pBdr>
        <w:kinsoku/>
        <w:wordWrap/>
        <w:overflowPunct/>
        <w:topLinePunct w:val="0"/>
        <w:autoSpaceDE w:val="0"/>
        <w:autoSpaceDN/>
        <w:bidi w:val="0"/>
        <w:adjustRightInd w:val="0"/>
        <w:snapToGrid w:val="0"/>
        <w:spacing w:line="600" w:lineRule="exact"/>
        <w:ind w:firstLine="640" w:firstLineChars="200"/>
        <w:jc w:val="left"/>
        <w:textAlignment w:val="auto"/>
        <w:rPr>
          <w:rFonts w:hint="eastAsia" w:ascii="仿宋_GB2312" w:hAnsi="宋体" w:eastAsia="仿宋_GB2312" w:cs="仿宋_GB2312"/>
          <w:color w:val="000000"/>
          <w:kern w:val="0"/>
          <w:sz w:val="32"/>
          <w:szCs w:val="32"/>
          <w:shd w:val="clear" w:color="auto" w:fill="FFFFFF"/>
          <w:lang w:val="en-US" w:eastAsia="zh-CN"/>
        </w:rPr>
      </w:pPr>
      <w:r>
        <w:rPr>
          <w:rFonts w:hint="eastAsia" w:ascii="仿宋_GB2312" w:hAnsi="宋体" w:eastAsia="仿宋_GB2312" w:cs="仿宋_GB2312"/>
          <w:color w:val="000000"/>
          <w:kern w:val="0"/>
          <w:sz w:val="32"/>
          <w:szCs w:val="32"/>
          <w:shd w:val="clear" w:color="auto" w:fill="FFFFFF"/>
          <w:lang w:val="en-US" w:eastAsia="zh-CN"/>
        </w:rPr>
        <w:t>6.学习先进经验，提升委员能力，助推乡村振兴。制定学习考察方案，报经县委同意，分两批分别赴甘肃省、青海省围绕乡村振兴先进经验和做法深入学习交流，达到了政协委员开阔视野、增长见识、拓宽思路，进一步围绕县委县政府中心工作建诤言、献良策，促进红原社会经济各项事业发展的目的。</w:t>
      </w:r>
    </w:p>
    <w:p>
      <w:pPr>
        <w:keepNext w:val="0"/>
        <w:keepLines w:val="0"/>
        <w:pageBreakBefore w:val="0"/>
        <w:widowControl w:val="0"/>
        <w:pBdr>
          <w:bottom w:val="single" w:color="FFFFFF" w:sz="4" w:space="25"/>
        </w:pBdr>
        <w:kinsoku/>
        <w:wordWrap/>
        <w:overflowPunct/>
        <w:topLinePunct w:val="0"/>
        <w:autoSpaceDE w:val="0"/>
        <w:autoSpaceDN/>
        <w:bidi w:val="0"/>
        <w:adjustRightInd w:val="0"/>
        <w:snapToGrid w:val="0"/>
        <w:spacing w:line="600" w:lineRule="exact"/>
        <w:ind w:firstLine="640" w:firstLineChars="200"/>
        <w:jc w:val="left"/>
        <w:textAlignment w:val="auto"/>
        <w:rPr>
          <w:rFonts w:hint="eastAsia" w:ascii="黑体" w:eastAsia="黑体"/>
          <w:b w:val="0"/>
        </w:rPr>
      </w:pPr>
      <w:r>
        <w:rPr>
          <w:rFonts w:hint="eastAsia" w:ascii="仿宋_GB2312" w:hAnsi="宋体" w:eastAsia="仿宋_GB2312" w:cs="仿宋_GB2312"/>
          <w:color w:val="000000"/>
          <w:kern w:val="0"/>
          <w:sz w:val="32"/>
          <w:szCs w:val="32"/>
          <w:shd w:val="clear" w:color="auto" w:fill="FFFFFF"/>
          <w:lang w:val="en-US" w:eastAsia="zh-CN"/>
        </w:rPr>
        <w:t>7.围绕主题发挥委员主体作用。持续深入开展政协委员“巩固脱贫攻坚，助推乡村振兴”和“两联一进增团结，乡村振兴出力量”活动，并与委员履职深度融合，更新完善工作台账，促进活动往实里做，往深里走。</w:t>
      </w:r>
    </w:p>
    <w:p>
      <w:pPr>
        <w:pStyle w:val="3"/>
        <w:ind w:right="440" w:firstLine="440" w:firstLineChars="100"/>
        <w:jc w:val="both"/>
      </w:pPr>
      <w:bookmarkStart w:id="22" w:name="_Toc20965"/>
      <w:r>
        <w:rPr>
          <w:rFonts w:hint="eastAsia" w:ascii="黑体" w:eastAsia="黑体"/>
          <w:b w:val="0"/>
        </w:rPr>
        <w:t>第二部分 2021年度</w:t>
      </w:r>
      <w:r>
        <w:rPr>
          <w:rStyle w:val="18"/>
          <w:rFonts w:hint="eastAsia" w:ascii="黑体" w:eastAsia="黑体"/>
          <w:b w:val="0"/>
          <w:bCs/>
        </w:rPr>
        <w:t>单位决算情况说明</w:t>
      </w:r>
      <w:bookmarkEnd w:id="19"/>
      <w:bookmarkEnd w:id="20"/>
      <w:bookmarkEnd w:id="22"/>
    </w:p>
    <w:p>
      <w:pPr>
        <w:pStyle w:val="24"/>
        <w:numPr>
          <w:ilvl w:val="0"/>
          <w:numId w:val="3"/>
        </w:numPr>
        <w:spacing w:line="600" w:lineRule="exact"/>
        <w:ind w:firstLineChars="0"/>
        <w:outlineLvl w:val="1"/>
        <w:rPr>
          <w:rStyle w:val="19"/>
          <w:rFonts w:ascii="黑体" w:eastAsia="黑体"/>
          <w:b w:val="0"/>
        </w:rPr>
      </w:pPr>
      <w:bookmarkStart w:id="23" w:name="_Toc15377205"/>
      <w:bookmarkStart w:id="24" w:name="_Toc24301"/>
      <w:bookmarkStart w:id="25" w:name="_Toc15396603"/>
      <w:r>
        <w:rPr>
          <w:rFonts w:hint="eastAsia" w:ascii="黑体" w:eastAsia="黑体"/>
          <w:sz w:val="32"/>
          <w:szCs w:val="32"/>
        </w:rPr>
        <w:t>收</w:t>
      </w:r>
      <w:r>
        <w:rPr>
          <w:rStyle w:val="19"/>
          <w:rFonts w:hint="eastAsia" w:ascii="黑体" w:eastAsia="黑体"/>
          <w:b w:val="0"/>
        </w:rPr>
        <w:t>入支出决算总体情况说明</w:t>
      </w:r>
      <w:bookmarkEnd w:id="23"/>
      <w:bookmarkEnd w:id="24"/>
      <w:bookmarkEnd w:id="25"/>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eastAsia="仿宋"/>
          <w:sz w:val="32"/>
          <w:szCs w:val="32"/>
          <w:lang w:val="en-US" w:eastAsia="zh-CN"/>
        </w:rPr>
      </w:pPr>
      <w:r>
        <w:rPr>
          <w:rFonts w:hint="eastAsia" w:ascii="仿宋" w:eastAsia="仿宋"/>
          <w:sz w:val="32"/>
          <w:szCs w:val="32"/>
        </w:rPr>
        <w:t>2021年度收、支总计</w:t>
      </w:r>
      <w:r>
        <w:rPr>
          <w:rFonts w:hint="eastAsia" w:ascii="仿宋" w:eastAsia="仿宋"/>
          <w:sz w:val="32"/>
          <w:szCs w:val="32"/>
          <w:lang w:val="en-US" w:eastAsia="zh-CN"/>
        </w:rPr>
        <w:t>699.38</w:t>
      </w:r>
      <w:r>
        <w:rPr>
          <w:rFonts w:hint="eastAsia" w:ascii="仿宋" w:eastAsia="仿宋"/>
          <w:sz w:val="32"/>
          <w:szCs w:val="32"/>
        </w:rPr>
        <w:t>万元。与2020年相比，收、支总计各增加</w:t>
      </w:r>
      <w:r>
        <w:rPr>
          <w:rFonts w:hint="eastAsia" w:ascii="仿宋" w:eastAsia="仿宋"/>
          <w:sz w:val="32"/>
          <w:szCs w:val="32"/>
          <w:lang w:val="en-US" w:eastAsia="zh-CN"/>
        </w:rPr>
        <w:t>62.14</w:t>
      </w:r>
      <w:r>
        <w:rPr>
          <w:rFonts w:hint="eastAsia" w:ascii="仿宋" w:eastAsia="仿宋"/>
          <w:sz w:val="32"/>
          <w:szCs w:val="32"/>
        </w:rPr>
        <w:t>万元，增长</w:t>
      </w:r>
      <w:r>
        <w:rPr>
          <w:rFonts w:hint="eastAsia" w:ascii="仿宋" w:eastAsia="仿宋"/>
          <w:sz w:val="32"/>
          <w:szCs w:val="32"/>
          <w:lang w:val="en-US" w:eastAsia="zh-CN"/>
        </w:rPr>
        <w:t>9.75</w:t>
      </w:r>
      <w:r>
        <w:rPr>
          <w:rFonts w:ascii="仿宋" w:eastAsia="仿宋"/>
          <w:sz w:val="32"/>
          <w:szCs w:val="32"/>
        </w:rPr>
        <w:t>%</w:t>
      </w:r>
      <w:r>
        <w:rPr>
          <w:rFonts w:hint="eastAsia" w:ascii="仿宋" w:eastAsia="仿宋"/>
          <w:sz w:val="32"/>
          <w:szCs w:val="32"/>
        </w:rPr>
        <w:t>。主要变动原因是</w:t>
      </w:r>
      <w:r>
        <w:rPr>
          <w:rFonts w:hint="eastAsia" w:ascii="仿宋" w:eastAsia="仿宋"/>
          <w:sz w:val="32"/>
          <w:szCs w:val="32"/>
          <w:lang w:val="en-US" w:eastAsia="zh-CN"/>
        </w:rPr>
        <w:t>增开1次政协全会，增加了会议经费支出；开展“有事来协商”专项工作，增加了相应的办公费、差旅费等支出。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eastAsia="仿宋"/>
          <w:sz w:val="32"/>
          <w:szCs w:val="32"/>
        </w:rPr>
      </w:pPr>
      <w:r>
        <w:rPr>
          <w:rFonts w:hint="eastAsia" w:ascii="仿宋" w:eastAsia="仿宋"/>
          <w:sz w:val="32"/>
          <w:szCs w:val="32"/>
        </w:rPr>
        <w:t>（图</w:t>
      </w:r>
      <w:r>
        <w:rPr>
          <w:rFonts w:ascii="仿宋" w:eastAsia="仿宋"/>
          <w:sz w:val="32"/>
          <w:szCs w:val="32"/>
        </w:rPr>
        <w:t>1</w:t>
      </w:r>
      <w:r>
        <w:rPr>
          <w:rFonts w:hint="eastAsia" w:ascii="仿宋" w:eastAsia="仿宋"/>
          <w:sz w:val="32"/>
          <w:szCs w:val="32"/>
        </w:rPr>
        <w:t>：收、支决算总计变动情况图）（柱状图）</w:t>
      </w:r>
    </w:p>
    <w:p>
      <w:pPr>
        <w:pStyle w:val="7"/>
        <w:rPr>
          <w:rFonts w:hint="eastAsia" w:ascii="仿宋" w:eastAsia="仿宋"/>
          <w:sz w:val="32"/>
          <w:szCs w:val="32"/>
          <w:lang w:eastAsia="zh-CN"/>
        </w:rPr>
      </w:pPr>
      <w:r>
        <w:rPr>
          <w:rFonts w:hint="eastAsia" w:ascii="仿宋" w:eastAsia="仿宋"/>
          <w:sz w:val="32"/>
          <w:szCs w:val="32"/>
          <w:lang w:eastAsia="zh-CN"/>
        </w:rPr>
        <w:drawing>
          <wp:anchor distT="0" distB="0" distL="114300" distR="114300" simplePos="0" relativeHeight="251659264" behindDoc="0" locked="0" layoutInCell="1" allowOverlap="1">
            <wp:simplePos x="0" y="0"/>
            <wp:positionH relativeFrom="column">
              <wp:posOffset>687705</wp:posOffset>
            </wp:positionH>
            <wp:positionV relativeFrom="paragraph">
              <wp:posOffset>122555</wp:posOffset>
            </wp:positionV>
            <wp:extent cx="3803650" cy="2409190"/>
            <wp:effectExtent l="4445" t="4445" r="20955" b="5715"/>
            <wp:wrapSquare wrapText="bothSides"/>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rPr>
          <w:rFonts w:hint="eastAsia" w:ascii="仿宋" w:eastAsia="仿宋"/>
          <w:sz w:val="32"/>
          <w:szCs w:val="32"/>
        </w:rPr>
      </w:pPr>
    </w:p>
    <w:p>
      <w:pPr>
        <w:pStyle w:val="7"/>
      </w:pPr>
    </w:p>
    <w:p>
      <w:pPr>
        <w:spacing w:line="600" w:lineRule="exact"/>
        <w:ind w:firstLine="640" w:firstLineChars="200"/>
        <w:jc w:val="left"/>
        <w:rPr>
          <w:rFonts w:ascii="仿宋_GB2312" w:eastAsia="仿宋_GB2312"/>
          <w:sz w:val="32"/>
          <w:szCs w:val="32"/>
        </w:rPr>
      </w:pPr>
    </w:p>
    <w:p>
      <w:pPr>
        <w:pStyle w:val="24"/>
        <w:numPr>
          <w:ilvl w:val="0"/>
          <w:numId w:val="3"/>
        </w:numPr>
        <w:spacing w:line="600" w:lineRule="exact"/>
        <w:ind w:firstLineChars="0"/>
        <w:outlineLvl w:val="1"/>
        <w:rPr>
          <w:rStyle w:val="19"/>
          <w:rFonts w:ascii="黑体" w:eastAsia="黑体"/>
          <w:b w:val="0"/>
        </w:rPr>
      </w:pPr>
      <w:bookmarkStart w:id="26" w:name="_Toc15377206"/>
      <w:bookmarkStart w:id="27" w:name="_Toc15396604"/>
      <w:bookmarkStart w:id="28" w:name="_Toc1640"/>
      <w:r>
        <w:rPr>
          <w:rFonts w:hint="eastAsia" w:ascii="黑体" w:eastAsia="黑体"/>
          <w:sz w:val="32"/>
          <w:szCs w:val="32"/>
        </w:rPr>
        <w:t>收</w:t>
      </w:r>
      <w:r>
        <w:rPr>
          <w:rStyle w:val="19"/>
          <w:rFonts w:hint="eastAsia" w:ascii="黑体" w:eastAsia="黑体"/>
          <w:b w:val="0"/>
        </w:rPr>
        <w:t>入决算情况说明</w:t>
      </w:r>
      <w:bookmarkEnd w:id="26"/>
      <w:bookmarkEnd w:id="27"/>
      <w:bookmarkEnd w:id="28"/>
    </w:p>
    <w:p>
      <w:pPr>
        <w:spacing w:line="600" w:lineRule="exact"/>
        <w:ind w:firstLine="640" w:firstLineChars="200"/>
        <w:outlineLvl w:val="1"/>
        <w:rPr>
          <w:rFonts w:ascii="仿宋" w:eastAsia="仿宋"/>
          <w:sz w:val="32"/>
          <w:szCs w:val="32"/>
        </w:rPr>
      </w:pPr>
      <w:bookmarkStart w:id="29" w:name="_Toc1648"/>
      <w:r>
        <w:rPr>
          <w:rFonts w:ascii="仿宋" w:eastAsia="仿宋"/>
          <w:sz w:val="32"/>
          <w:szCs w:val="32"/>
        </w:rPr>
        <w:t>20</w:t>
      </w:r>
      <w:r>
        <w:rPr>
          <w:rFonts w:hint="eastAsia" w:ascii="仿宋" w:eastAsia="仿宋"/>
          <w:sz w:val="32"/>
          <w:szCs w:val="32"/>
        </w:rPr>
        <w:t>21年本年收入合计</w:t>
      </w:r>
      <w:r>
        <w:rPr>
          <w:rFonts w:hint="eastAsia" w:ascii="仿宋" w:eastAsia="仿宋"/>
          <w:sz w:val="32"/>
          <w:szCs w:val="32"/>
          <w:lang w:val="en-US" w:eastAsia="zh-CN"/>
        </w:rPr>
        <w:t>699.38</w:t>
      </w:r>
      <w:r>
        <w:rPr>
          <w:rFonts w:hint="eastAsia" w:ascii="仿宋" w:eastAsia="仿宋"/>
          <w:sz w:val="32"/>
          <w:szCs w:val="32"/>
        </w:rPr>
        <w:t>万元，其中：一般公共预算财政拨款收入</w:t>
      </w:r>
      <w:r>
        <w:rPr>
          <w:rFonts w:hint="eastAsia" w:ascii="仿宋" w:eastAsia="仿宋"/>
          <w:sz w:val="32"/>
          <w:szCs w:val="32"/>
          <w:lang w:val="en-US" w:eastAsia="zh-CN"/>
        </w:rPr>
        <w:t>684.69</w:t>
      </w:r>
      <w:r>
        <w:rPr>
          <w:rFonts w:hint="eastAsia" w:ascii="仿宋" w:eastAsia="仿宋"/>
          <w:sz w:val="32"/>
          <w:szCs w:val="32"/>
        </w:rPr>
        <w:t>万元，占</w:t>
      </w:r>
      <w:r>
        <w:rPr>
          <w:rFonts w:hint="eastAsia" w:ascii="仿宋" w:eastAsia="仿宋"/>
          <w:sz w:val="32"/>
          <w:szCs w:val="32"/>
          <w:lang w:val="en-US" w:eastAsia="zh-CN"/>
        </w:rPr>
        <w:t>97.90</w:t>
      </w:r>
      <w:r>
        <w:rPr>
          <w:rFonts w:ascii="仿宋" w:eastAsia="仿宋"/>
          <w:sz w:val="32"/>
          <w:szCs w:val="32"/>
        </w:rPr>
        <w:t>%</w:t>
      </w:r>
      <w:r>
        <w:rPr>
          <w:rFonts w:hint="eastAsia" w:ascii="仿宋" w:eastAsia="仿宋"/>
          <w:sz w:val="32"/>
          <w:szCs w:val="32"/>
        </w:rPr>
        <w:t>；其他收入</w:t>
      </w:r>
      <w:r>
        <w:rPr>
          <w:rFonts w:hint="eastAsia" w:ascii="仿宋" w:eastAsia="仿宋"/>
          <w:sz w:val="32"/>
          <w:szCs w:val="32"/>
          <w:lang w:val="en-US" w:eastAsia="zh-CN"/>
        </w:rPr>
        <w:t>14.69</w:t>
      </w:r>
      <w:r>
        <w:rPr>
          <w:rFonts w:hint="eastAsia" w:ascii="仿宋" w:eastAsia="仿宋"/>
          <w:sz w:val="32"/>
          <w:szCs w:val="32"/>
        </w:rPr>
        <w:t>万元，占</w:t>
      </w:r>
      <w:r>
        <w:rPr>
          <w:rFonts w:hint="eastAsia" w:ascii="仿宋" w:eastAsia="仿宋"/>
          <w:sz w:val="32"/>
          <w:szCs w:val="32"/>
          <w:lang w:val="en-US" w:eastAsia="zh-CN"/>
        </w:rPr>
        <w:t>2.1</w:t>
      </w:r>
      <w:r>
        <w:rPr>
          <w:rFonts w:ascii="仿宋" w:eastAsia="仿宋"/>
          <w:sz w:val="32"/>
          <w:szCs w:val="32"/>
        </w:rPr>
        <w:t>%</w:t>
      </w:r>
      <w:r>
        <w:rPr>
          <w:rFonts w:hint="eastAsia" w:ascii="仿宋" w:eastAsia="仿宋"/>
          <w:sz w:val="32"/>
          <w:szCs w:val="32"/>
        </w:rPr>
        <w:t>。</w:t>
      </w:r>
      <w:bookmarkEnd w:id="29"/>
    </w:p>
    <w:p>
      <w:pPr>
        <w:spacing w:line="600" w:lineRule="exact"/>
        <w:rPr>
          <w:rFonts w:hint="eastAsia" w:ascii="仿宋" w:eastAsia="仿宋"/>
          <w:sz w:val="32"/>
          <w:szCs w:val="32"/>
        </w:rPr>
      </w:pPr>
      <w:r>
        <w:rPr>
          <w:rFonts w:hint="eastAsia" w:ascii="仿宋" w:eastAsia="仿宋"/>
          <w:sz w:val="32"/>
          <w:szCs w:val="32"/>
        </w:rPr>
        <w:t>（图2：收入决算结构图）（饼状图）</w:t>
      </w:r>
    </w:p>
    <w:p>
      <w:pPr>
        <w:pStyle w:val="2"/>
        <w:rPr>
          <w:rFonts w:hint="eastAsia" w:ascii="仿宋" w:eastAsia="仿宋"/>
          <w:sz w:val="32"/>
          <w:szCs w:val="32"/>
        </w:rPr>
      </w:pPr>
      <w:r>
        <w:rPr>
          <w:rFonts w:hint="eastAsia" w:ascii="仿宋_GB2312" w:eastAsia="仿宋_GB2312"/>
          <w:sz w:val="32"/>
          <w:szCs w:val="32"/>
          <w:lang w:eastAsia="zh-CN"/>
        </w:rPr>
        <w:drawing>
          <wp:anchor distT="0" distB="0" distL="114300" distR="114300" simplePos="0" relativeHeight="251660288" behindDoc="0" locked="0" layoutInCell="1" allowOverlap="1">
            <wp:simplePos x="0" y="0"/>
            <wp:positionH relativeFrom="column">
              <wp:posOffset>499745</wp:posOffset>
            </wp:positionH>
            <wp:positionV relativeFrom="paragraph">
              <wp:posOffset>245745</wp:posOffset>
            </wp:positionV>
            <wp:extent cx="4175760" cy="2275205"/>
            <wp:effectExtent l="4445" t="4445" r="10795" b="6350"/>
            <wp:wrapSquare wrapText="bothSides"/>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pStyle w:val="2"/>
        <w:rPr>
          <w:rFonts w:hint="eastAsia" w:ascii="仿宋" w:eastAsia="仿宋"/>
          <w:sz w:val="32"/>
          <w:szCs w:val="32"/>
        </w:rPr>
      </w:pPr>
    </w:p>
    <w:p>
      <w:pPr>
        <w:pStyle w:val="2"/>
        <w:rPr>
          <w:rFonts w:hint="eastAsia" w:ascii="仿宋" w:eastAsia="仿宋"/>
          <w:sz w:val="32"/>
          <w:szCs w:val="32"/>
        </w:rPr>
      </w:pPr>
    </w:p>
    <w:p>
      <w:pPr>
        <w:pStyle w:val="2"/>
        <w:rPr>
          <w:rFonts w:hint="eastAsia" w:ascii="仿宋" w:eastAsia="仿宋"/>
          <w:sz w:val="32"/>
          <w:szCs w:val="32"/>
        </w:rPr>
      </w:pPr>
    </w:p>
    <w:p>
      <w:pPr>
        <w:pStyle w:val="2"/>
        <w:rPr>
          <w:rFonts w:hint="eastAsia" w:ascii="仿宋" w:eastAsia="仿宋"/>
          <w:sz w:val="32"/>
          <w:szCs w:val="32"/>
        </w:rPr>
      </w:pPr>
    </w:p>
    <w:p>
      <w:pPr>
        <w:pStyle w:val="2"/>
        <w:rPr>
          <w:rFonts w:hint="eastAsia" w:ascii="仿宋" w:eastAsia="仿宋"/>
          <w:sz w:val="32"/>
          <w:szCs w:val="32"/>
        </w:rPr>
      </w:pPr>
    </w:p>
    <w:p>
      <w:pPr>
        <w:pStyle w:val="2"/>
        <w:rPr>
          <w:rFonts w:hint="eastAsia" w:ascii="仿宋" w:eastAsia="仿宋"/>
          <w:sz w:val="32"/>
          <w:szCs w:val="32"/>
        </w:rPr>
      </w:pPr>
    </w:p>
    <w:p>
      <w:pPr>
        <w:pStyle w:val="24"/>
        <w:numPr>
          <w:ilvl w:val="0"/>
          <w:numId w:val="3"/>
        </w:numPr>
        <w:spacing w:line="600" w:lineRule="exact"/>
        <w:ind w:firstLineChars="0"/>
        <w:outlineLvl w:val="1"/>
        <w:rPr>
          <w:rStyle w:val="19"/>
          <w:rFonts w:ascii="黑体" w:eastAsia="黑体"/>
          <w:b w:val="0"/>
        </w:rPr>
      </w:pPr>
      <w:bookmarkStart w:id="30" w:name="_Toc15458"/>
      <w:bookmarkStart w:id="31" w:name="_Toc15377207"/>
      <w:bookmarkStart w:id="32" w:name="_Toc15396605"/>
      <w:r>
        <w:rPr>
          <w:rFonts w:hint="eastAsia" w:ascii="黑体" w:eastAsia="黑体"/>
          <w:sz w:val="32"/>
          <w:szCs w:val="32"/>
        </w:rPr>
        <w:t>支</w:t>
      </w:r>
      <w:r>
        <w:rPr>
          <w:rStyle w:val="19"/>
          <w:rFonts w:hint="eastAsia" w:ascii="黑体" w:eastAsia="黑体"/>
          <w:b w:val="0"/>
        </w:rPr>
        <w:t>出决算情况说明</w:t>
      </w:r>
      <w:bookmarkEnd w:id="30"/>
      <w:bookmarkEnd w:id="31"/>
      <w:bookmarkEnd w:id="32"/>
    </w:p>
    <w:p>
      <w:pPr>
        <w:spacing w:line="600" w:lineRule="exact"/>
        <w:ind w:firstLine="640" w:firstLineChars="200"/>
        <w:outlineLvl w:val="1"/>
        <w:rPr>
          <w:rFonts w:hint="eastAsia" w:ascii="仿宋" w:eastAsia="仿宋"/>
          <w:sz w:val="32"/>
          <w:szCs w:val="32"/>
          <w:lang w:eastAsia="zh-CN"/>
        </w:rPr>
      </w:pPr>
      <w:bookmarkStart w:id="33" w:name="_Toc27680"/>
      <w:r>
        <w:rPr>
          <w:rFonts w:ascii="仿宋" w:eastAsia="仿宋"/>
          <w:sz w:val="32"/>
          <w:szCs w:val="32"/>
        </w:rPr>
        <w:t>20</w:t>
      </w:r>
      <w:r>
        <w:rPr>
          <w:rFonts w:hint="eastAsia" w:ascii="仿宋" w:eastAsia="仿宋"/>
          <w:sz w:val="32"/>
          <w:szCs w:val="32"/>
        </w:rPr>
        <w:t>21年本年支出合计</w:t>
      </w:r>
      <w:r>
        <w:rPr>
          <w:rFonts w:hint="eastAsia" w:ascii="仿宋" w:eastAsia="仿宋"/>
          <w:sz w:val="32"/>
          <w:szCs w:val="32"/>
          <w:lang w:val="en-US" w:eastAsia="zh-CN"/>
        </w:rPr>
        <w:t>699.38</w:t>
      </w:r>
      <w:r>
        <w:rPr>
          <w:rFonts w:hint="eastAsia" w:ascii="仿宋" w:eastAsia="仿宋"/>
          <w:sz w:val="32"/>
          <w:szCs w:val="32"/>
        </w:rPr>
        <w:t>万元，其中：基本支出</w:t>
      </w:r>
      <w:r>
        <w:rPr>
          <w:rFonts w:hint="eastAsia" w:ascii="仿宋" w:eastAsia="仿宋"/>
          <w:sz w:val="32"/>
          <w:szCs w:val="32"/>
          <w:lang w:val="en-US" w:eastAsia="zh-CN"/>
        </w:rPr>
        <w:t>590.65</w:t>
      </w:r>
      <w:r>
        <w:rPr>
          <w:rFonts w:hint="eastAsia" w:ascii="仿宋" w:eastAsia="仿宋"/>
          <w:sz w:val="32"/>
          <w:szCs w:val="32"/>
        </w:rPr>
        <w:t>万元，占</w:t>
      </w:r>
      <w:r>
        <w:rPr>
          <w:rFonts w:hint="eastAsia" w:ascii="仿宋" w:eastAsia="仿宋"/>
          <w:sz w:val="32"/>
          <w:szCs w:val="32"/>
          <w:lang w:val="en-US" w:eastAsia="zh-CN"/>
        </w:rPr>
        <w:t>84.45</w:t>
      </w:r>
      <w:r>
        <w:rPr>
          <w:rFonts w:ascii="仿宋" w:eastAsia="仿宋"/>
          <w:sz w:val="32"/>
          <w:szCs w:val="32"/>
        </w:rPr>
        <w:t>%</w:t>
      </w:r>
      <w:r>
        <w:rPr>
          <w:rFonts w:hint="eastAsia" w:ascii="仿宋" w:eastAsia="仿宋"/>
          <w:sz w:val="32"/>
          <w:szCs w:val="32"/>
        </w:rPr>
        <w:t>；项目支出</w:t>
      </w:r>
      <w:r>
        <w:rPr>
          <w:rFonts w:hint="eastAsia" w:ascii="仿宋" w:eastAsia="仿宋"/>
          <w:sz w:val="32"/>
          <w:szCs w:val="32"/>
          <w:lang w:val="en-US" w:eastAsia="zh-CN"/>
        </w:rPr>
        <w:t>108.74</w:t>
      </w:r>
      <w:r>
        <w:rPr>
          <w:rFonts w:hint="eastAsia" w:ascii="仿宋" w:eastAsia="仿宋"/>
          <w:sz w:val="32"/>
          <w:szCs w:val="32"/>
        </w:rPr>
        <w:t>万元，占</w:t>
      </w:r>
      <w:r>
        <w:rPr>
          <w:rFonts w:hint="eastAsia" w:ascii="仿宋" w:eastAsia="仿宋"/>
          <w:sz w:val="32"/>
          <w:szCs w:val="32"/>
          <w:lang w:val="en-US" w:eastAsia="zh-CN"/>
        </w:rPr>
        <w:t>15.55</w:t>
      </w:r>
      <w:r>
        <w:rPr>
          <w:rFonts w:ascii="仿宋" w:eastAsia="仿宋"/>
          <w:sz w:val="32"/>
          <w:szCs w:val="32"/>
        </w:rPr>
        <w:t>%</w:t>
      </w:r>
      <w:r>
        <w:rPr>
          <w:rFonts w:hint="eastAsia" w:ascii="仿宋" w:eastAsia="仿宋"/>
          <w:sz w:val="32"/>
          <w:szCs w:val="32"/>
          <w:lang w:eastAsia="zh-CN"/>
        </w:rPr>
        <w:t>。</w:t>
      </w:r>
      <w:bookmarkEnd w:id="33"/>
    </w:p>
    <w:p>
      <w:pPr>
        <w:spacing w:line="600" w:lineRule="exact"/>
        <w:ind w:firstLine="640" w:firstLineChars="200"/>
        <w:rPr>
          <w:rFonts w:ascii="仿宋_GB2312" w:eastAsia="仿宋_GB2312"/>
          <w:sz w:val="32"/>
          <w:szCs w:val="32"/>
        </w:rPr>
      </w:pPr>
      <w:r>
        <w:rPr>
          <w:rFonts w:hint="eastAsia" w:ascii="仿宋" w:eastAsia="仿宋"/>
          <w:sz w:val="32"/>
          <w:szCs w:val="32"/>
        </w:rPr>
        <w:t>（图3：支出决算结构图）（饼状图）</w:t>
      </w:r>
    </w:p>
    <w:p>
      <w:pPr>
        <w:spacing w:line="600" w:lineRule="exact"/>
        <w:ind w:firstLine="640" w:firstLineChars="200"/>
        <w:outlineLvl w:val="9"/>
        <w:rPr>
          <w:rFonts w:hint="eastAsia" w:ascii="黑体" w:eastAsia="黑体"/>
          <w:sz w:val="32"/>
          <w:szCs w:val="32"/>
        </w:rPr>
      </w:pPr>
      <w:bookmarkStart w:id="34" w:name="_Toc15377208"/>
      <w:bookmarkStart w:id="35" w:name="_Toc15396606"/>
      <w:r>
        <w:rPr>
          <w:rFonts w:hint="eastAsia" w:ascii="仿宋_GB2312" w:eastAsia="仿宋_GB2312"/>
          <w:sz w:val="32"/>
          <w:szCs w:val="32"/>
          <w:lang w:eastAsia="zh-CN"/>
        </w:rPr>
        <w:drawing>
          <wp:anchor distT="0" distB="0" distL="114300" distR="114300" simplePos="0" relativeHeight="251661312" behindDoc="0" locked="0" layoutInCell="1" allowOverlap="1">
            <wp:simplePos x="0" y="0"/>
            <wp:positionH relativeFrom="column">
              <wp:posOffset>309245</wp:posOffset>
            </wp:positionH>
            <wp:positionV relativeFrom="paragraph">
              <wp:posOffset>213995</wp:posOffset>
            </wp:positionV>
            <wp:extent cx="3919220" cy="2285365"/>
            <wp:effectExtent l="4445" t="4445" r="19685" b="15240"/>
            <wp:wrapSquare wrapText="bothSides"/>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640" w:firstLineChars="200"/>
        <w:outlineLvl w:val="9"/>
        <w:rPr>
          <w:rFonts w:hint="eastAsia" w:ascii="黑体" w:eastAsia="黑体"/>
          <w:sz w:val="32"/>
          <w:szCs w:val="32"/>
        </w:rPr>
      </w:pPr>
    </w:p>
    <w:p>
      <w:pPr>
        <w:spacing w:line="600" w:lineRule="exact"/>
        <w:ind w:firstLine="640" w:firstLineChars="200"/>
        <w:outlineLvl w:val="9"/>
        <w:rPr>
          <w:rFonts w:hint="eastAsia" w:ascii="黑体" w:eastAsia="黑体"/>
          <w:sz w:val="32"/>
          <w:szCs w:val="32"/>
        </w:rPr>
      </w:pPr>
    </w:p>
    <w:p>
      <w:pPr>
        <w:spacing w:line="600" w:lineRule="exact"/>
        <w:ind w:firstLine="640" w:firstLineChars="200"/>
        <w:outlineLvl w:val="9"/>
        <w:rPr>
          <w:rFonts w:hint="eastAsia" w:ascii="黑体" w:eastAsia="黑体"/>
          <w:sz w:val="32"/>
          <w:szCs w:val="32"/>
        </w:rPr>
      </w:pPr>
    </w:p>
    <w:p>
      <w:pPr>
        <w:spacing w:line="600" w:lineRule="exact"/>
        <w:ind w:firstLine="640" w:firstLineChars="200"/>
        <w:outlineLvl w:val="9"/>
        <w:rPr>
          <w:rFonts w:hint="eastAsia" w:ascii="黑体" w:eastAsia="黑体"/>
          <w:sz w:val="32"/>
          <w:szCs w:val="32"/>
        </w:rPr>
      </w:pPr>
    </w:p>
    <w:p>
      <w:pPr>
        <w:spacing w:line="600" w:lineRule="exact"/>
        <w:ind w:firstLine="640" w:firstLineChars="200"/>
        <w:outlineLvl w:val="9"/>
        <w:rPr>
          <w:rFonts w:hint="eastAsia" w:ascii="黑体" w:eastAsia="黑体"/>
          <w:sz w:val="32"/>
          <w:szCs w:val="32"/>
        </w:rPr>
      </w:pPr>
    </w:p>
    <w:p>
      <w:pPr>
        <w:spacing w:line="600" w:lineRule="exact"/>
        <w:ind w:firstLine="640" w:firstLineChars="200"/>
        <w:outlineLvl w:val="9"/>
        <w:rPr>
          <w:rFonts w:hint="eastAsia" w:ascii="黑体" w:eastAsia="黑体"/>
          <w:sz w:val="32"/>
          <w:szCs w:val="32"/>
        </w:rPr>
      </w:pPr>
    </w:p>
    <w:p>
      <w:pPr>
        <w:spacing w:line="600" w:lineRule="exact"/>
        <w:ind w:firstLine="640" w:firstLineChars="200"/>
        <w:outlineLvl w:val="1"/>
        <w:rPr>
          <w:rFonts w:ascii="仿宋" w:eastAsia="仿宋"/>
          <w:sz w:val="32"/>
          <w:szCs w:val="32"/>
        </w:rPr>
      </w:pPr>
      <w:bookmarkStart w:id="36" w:name="_Toc19735"/>
      <w:r>
        <w:rPr>
          <w:rFonts w:hint="eastAsia" w:ascii="黑体" w:eastAsia="黑体"/>
          <w:sz w:val="32"/>
          <w:szCs w:val="32"/>
        </w:rPr>
        <w:t>四、财</w:t>
      </w:r>
      <w:r>
        <w:rPr>
          <w:rStyle w:val="19"/>
          <w:rFonts w:hint="eastAsia" w:ascii="黑体" w:eastAsia="黑体"/>
          <w:b w:val="0"/>
        </w:rPr>
        <w:t>政拨款收入支出决算总体情况说明</w:t>
      </w:r>
      <w:bookmarkEnd w:id="34"/>
      <w:bookmarkEnd w:id="35"/>
      <w:bookmarkEnd w:id="36"/>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eastAsia="仿宋"/>
          <w:sz w:val="32"/>
          <w:szCs w:val="32"/>
          <w:lang w:val="en-US" w:eastAsia="zh-CN"/>
        </w:rPr>
      </w:pPr>
      <w:r>
        <w:rPr>
          <w:rFonts w:ascii="仿宋" w:eastAsia="仿宋"/>
          <w:sz w:val="32"/>
          <w:szCs w:val="32"/>
        </w:rPr>
        <w:t>20</w:t>
      </w:r>
      <w:r>
        <w:rPr>
          <w:rFonts w:hint="eastAsia" w:ascii="仿宋" w:eastAsia="仿宋"/>
          <w:sz w:val="32"/>
          <w:szCs w:val="32"/>
        </w:rPr>
        <w:t>21年财政拨款收、支总计</w:t>
      </w:r>
      <w:r>
        <w:rPr>
          <w:rFonts w:hint="eastAsia" w:ascii="仿宋" w:eastAsia="仿宋"/>
          <w:sz w:val="32"/>
          <w:szCs w:val="32"/>
          <w:lang w:val="en-US" w:eastAsia="zh-CN"/>
        </w:rPr>
        <w:t>684.69</w:t>
      </w:r>
      <w:r>
        <w:rPr>
          <w:rFonts w:hint="eastAsia" w:ascii="仿宋" w:eastAsia="仿宋"/>
          <w:sz w:val="32"/>
          <w:szCs w:val="32"/>
        </w:rPr>
        <w:t>万元。与2020年相比，收、支总计各增加</w:t>
      </w:r>
      <w:r>
        <w:rPr>
          <w:rFonts w:hint="eastAsia" w:ascii="仿宋" w:eastAsia="仿宋"/>
          <w:sz w:val="32"/>
          <w:szCs w:val="32"/>
          <w:lang w:val="en-US" w:eastAsia="zh-CN"/>
        </w:rPr>
        <w:t>47.45</w:t>
      </w:r>
      <w:r>
        <w:rPr>
          <w:rFonts w:hint="eastAsia" w:ascii="仿宋" w:eastAsia="仿宋"/>
          <w:sz w:val="32"/>
          <w:szCs w:val="32"/>
        </w:rPr>
        <w:t>万元，增长</w:t>
      </w:r>
      <w:r>
        <w:rPr>
          <w:rFonts w:hint="eastAsia" w:ascii="仿宋" w:eastAsia="仿宋"/>
          <w:sz w:val="32"/>
          <w:szCs w:val="32"/>
          <w:lang w:val="en-US" w:eastAsia="zh-CN"/>
        </w:rPr>
        <w:t>7.45</w:t>
      </w:r>
      <w:r>
        <w:rPr>
          <w:rFonts w:ascii="仿宋" w:eastAsia="仿宋"/>
          <w:sz w:val="32"/>
          <w:szCs w:val="32"/>
        </w:rPr>
        <w:t>%</w:t>
      </w:r>
      <w:r>
        <w:rPr>
          <w:rFonts w:hint="eastAsia" w:ascii="仿宋" w:eastAsia="仿宋"/>
          <w:sz w:val="32"/>
          <w:szCs w:val="32"/>
        </w:rPr>
        <w:t>。主要变动原因是</w:t>
      </w:r>
      <w:r>
        <w:rPr>
          <w:rFonts w:hint="eastAsia" w:ascii="仿宋" w:eastAsia="仿宋"/>
          <w:sz w:val="32"/>
          <w:szCs w:val="32"/>
          <w:lang w:val="en-US" w:eastAsia="zh-CN"/>
        </w:rPr>
        <w:t>增开1次政协全会，增加了会议经费支出；开展“有事来协商”专项工作，增加了相应的办公费、差旅费等支出。</w:t>
      </w:r>
    </w:p>
    <w:p>
      <w:pPr>
        <w:spacing w:line="600" w:lineRule="exact"/>
        <w:rPr>
          <w:rFonts w:ascii="仿宋" w:eastAsia="仿宋"/>
          <w:sz w:val="32"/>
          <w:szCs w:val="32"/>
        </w:rPr>
      </w:pPr>
      <w:r>
        <w:rPr>
          <w:rFonts w:hint="eastAsia" w:ascii="仿宋" w:eastAsia="仿宋"/>
          <w:sz w:val="32"/>
          <w:szCs w:val="32"/>
          <w:lang w:eastAsia="zh-CN"/>
        </w:rPr>
        <w:drawing>
          <wp:anchor distT="0" distB="0" distL="114300" distR="114300" simplePos="0" relativeHeight="251662336" behindDoc="0" locked="0" layoutInCell="1" allowOverlap="1">
            <wp:simplePos x="0" y="0"/>
            <wp:positionH relativeFrom="column">
              <wp:posOffset>614045</wp:posOffset>
            </wp:positionH>
            <wp:positionV relativeFrom="paragraph">
              <wp:posOffset>533400</wp:posOffset>
            </wp:positionV>
            <wp:extent cx="3661410" cy="1781175"/>
            <wp:effectExtent l="4445" t="4445" r="10795" b="5080"/>
            <wp:wrapSquare wrapText="bothSides"/>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Fonts w:hint="eastAsia" w:ascii="仿宋" w:eastAsia="仿宋"/>
          <w:sz w:val="32"/>
          <w:szCs w:val="32"/>
        </w:rPr>
        <w:t>（图4：财政拨款收、支决算总计变动情况）（柱状图）</w:t>
      </w:r>
    </w:p>
    <w:p>
      <w:pPr>
        <w:spacing w:line="600" w:lineRule="exact"/>
        <w:ind w:firstLine="640"/>
        <w:rPr>
          <w:rFonts w:hint="eastAsia" w:ascii="仿宋" w:eastAsia="仿宋"/>
          <w:b/>
          <w:sz w:val="32"/>
          <w:szCs w:val="32"/>
          <w:lang w:eastAsia="zh-CN"/>
        </w:rPr>
      </w:pPr>
    </w:p>
    <w:p>
      <w:pPr>
        <w:pStyle w:val="7"/>
        <w:rPr>
          <w:rFonts w:ascii="仿宋" w:eastAsia="仿宋"/>
          <w:b/>
          <w:sz w:val="32"/>
          <w:szCs w:val="32"/>
        </w:rPr>
      </w:pPr>
    </w:p>
    <w:p>
      <w:pPr>
        <w:rPr>
          <w:rFonts w:ascii="仿宋" w:eastAsia="仿宋"/>
          <w:b/>
          <w:sz w:val="32"/>
          <w:szCs w:val="32"/>
        </w:rPr>
      </w:pPr>
    </w:p>
    <w:p>
      <w:pPr>
        <w:pStyle w:val="7"/>
      </w:pPr>
    </w:p>
    <w:p>
      <w:pPr>
        <w:spacing w:line="600" w:lineRule="exact"/>
        <w:ind w:firstLine="640" w:firstLineChars="200"/>
        <w:outlineLvl w:val="9"/>
        <w:rPr>
          <w:rFonts w:hint="eastAsia" w:ascii="黑体" w:eastAsia="黑体"/>
          <w:sz w:val="32"/>
          <w:szCs w:val="32"/>
        </w:rPr>
      </w:pPr>
      <w:bookmarkStart w:id="37" w:name="_Toc15377209"/>
      <w:bookmarkStart w:id="38" w:name="_Toc15396607"/>
    </w:p>
    <w:p>
      <w:pPr>
        <w:spacing w:line="600" w:lineRule="exact"/>
        <w:outlineLvl w:val="9"/>
        <w:rPr>
          <w:rFonts w:hint="eastAsia" w:ascii="黑体" w:eastAsia="黑体"/>
          <w:sz w:val="32"/>
          <w:szCs w:val="32"/>
        </w:rPr>
      </w:pPr>
    </w:p>
    <w:p>
      <w:pPr>
        <w:spacing w:line="600" w:lineRule="exact"/>
        <w:ind w:firstLine="640" w:firstLineChars="200"/>
        <w:outlineLvl w:val="1"/>
        <w:rPr>
          <w:rStyle w:val="19"/>
          <w:rFonts w:ascii="黑体" w:eastAsia="黑体"/>
          <w:b w:val="0"/>
        </w:rPr>
      </w:pPr>
      <w:bookmarkStart w:id="39" w:name="_Toc27338"/>
      <w:r>
        <w:rPr>
          <w:rFonts w:hint="eastAsia" w:ascii="黑体" w:eastAsia="黑体"/>
          <w:sz w:val="32"/>
          <w:szCs w:val="32"/>
        </w:rPr>
        <w:t>五、</w:t>
      </w:r>
      <w:r>
        <w:rPr>
          <w:rFonts w:hint="eastAsia" w:ascii="黑体" w:eastAsia="黑体"/>
          <w:b/>
          <w:sz w:val="32"/>
          <w:szCs w:val="32"/>
        </w:rPr>
        <w:t>一</w:t>
      </w:r>
      <w:r>
        <w:rPr>
          <w:rStyle w:val="19"/>
          <w:rFonts w:hint="eastAsia" w:ascii="黑体" w:eastAsia="黑体"/>
          <w:b w:val="0"/>
        </w:rPr>
        <w:t>般公共预算财政拨款支出决算情况说明</w:t>
      </w:r>
      <w:bookmarkEnd w:id="37"/>
      <w:bookmarkEnd w:id="38"/>
      <w:bookmarkEnd w:id="39"/>
    </w:p>
    <w:p>
      <w:pPr>
        <w:spacing w:line="600" w:lineRule="exact"/>
        <w:ind w:firstLine="643" w:firstLineChars="200"/>
        <w:outlineLvl w:val="2"/>
        <w:rPr>
          <w:rFonts w:ascii="仿宋" w:eastAsia="仿宋"/>
          <w:b/>
          <w:sz w:val="32"/>
          <w:szCs w:val="32"/>
        </w:rPr>
      </w:pPr>
      <w:bookmarkStart w:id="40" w:name="_Toc15377210"/>
      <w:r>
        <w:rPr>
          <w:rFonts w:hint="eastAsia" w:ascii="仿宋" w:eastAsia="仿宋"/>
          <w:b/>
          <w:sz w:val="32"/>
          <w:szCs w:val="32"/>
        </w:rPr>
        <w:t>（一）一般公共预算财政拨款支出决算总体情况</w:t>
      </w:r>
      <w:bookmarkEnd w:id="40"/>
    </w:p>
    <w:p>
      <w:pPr>
        <w:spacing w:line="600" w:lineRule="exact"/>
        <w:ind w:firstLine="640" w:firstLineChars="200"/>
        <w:rPr>
          <w:rFonts w:hint="eastAsia" w:ascii="仿宋" w:eastAsia="仿宋"/>
          <w:sz w:val="32"/>
          <w:szCs w:val="32"/>
          <w:lang w:val="en-US" w:eastAsia="zh-CN"/>
        </w:rPr>
      </w:pPr>
      <w:r>
        <w:rPr>
          <w:rFonts w:ascii="仿宋" w:eastAsia="仿宋"/>
          <w:sz w:val="32"/>
          <w:szCs w:val="32"/>
        </w:rPr>
        <w:t>20</w:t>
      </w:r>
      <w:r>
        <w:rPr>
          <w:rFonts w:hint="eastAsia" w:ascii="仿宋" w:eastAsia="仿宋"/>
          <w:sz w:val="32"/>
          <w:szCs w:val="32"/>
        </w:rPr>
        <w:t>21年一般公共预算财政拨款支出</w:t>
      </w:r>
      <w:r>
        <w:rPr>
          <w:rFonts w:hint="eastAsia" w:ascii="仿宋" w:eastAsia="仿宋"/>
          <w:sz w:val="32"/>
          <w:szCs w:val="32"/>
          <w:lang w:val="en-US" w:eastAsia="zh-CN"/>
        </w:rPr>
        <w:t>684.69</w:t>
      </w:r>
      <w:r>
        <w:rPr>
          <w:rFonts w:hint="eastAsia" w:ascii="仿宋" w:eastAsia="仿宋"/>
          <w:sz w:val="32"/>
          <w:szCs w:val="32"/>
        </w:rPr>
        <w:t>万元，占本年支出合计的</w:t>
      </w:r>
      <w:r>
        <w:rPr>
          <w:rFonts w:hint="eastAsia" w:ascii="仿宋" w:eastAsia="仿宋"/>
          <w:sz w:val="32"/>
          <w:szCs w:val="32"/>
          <w:lang w:val="en-US" w:eastAsia="zh-CN"/>
        </w:rPr>
        <w:t>97.90</w:t>
      </w:r>
      <w:r>
        <w:rPr>
          <w:rFonts w:ascii="仿宋" w:eastAsia="仿宋"/>
          <w:sz w:val="32"/>
          <w:szCs w:val="32"/>
        </w:rPr>
        <w:t>%</w:t>
      </w:r>
      <w:r>
        <w:rPr>
          <w:rFonts w:hint="eastAsia" w:ascii="仿宋" w:eastAsia="仿宋"/>
          <w:sz w:val="32"/>
          <w:szCs w:val="32"/>
        </w:rPr>
        <w:t>。与</w:t>
      </w:r>
      <w:r>
        <w:rPr>
          <w:rFonts w:ascii="仿宋" w:eastAsia="仿宋"/>
          <w:sz w:val="32"/>
          <w:szCs w:val="32"/>
        </w:rPr>
        <w:t>20</w:t>
      </w:r>
      <w:r>
        <w:rPr>
          <w:rFonts w:hint="eastAsia" w:ascii="仿宋" w:eastAsia="仿宋"/>
          <w:sz w:val="32"/>
          <w:szCs w:val="32"/>
        </w:rPr>
        <w:t>20年相比，一般公共预算财政拨款支出增加</w:t>
      </w:r>
      <w:r>
        <w:rPr>
          <w:rFonts w:hint="eastAsia" w:ascii="仿宋" w:eastAsia="仿宋"/>
          <w:sz w:val="32"/>
          <w:szCs w:val="32"/>
          <w:lang w:val="en-US" w:eastAsia="zh-CN"/>
        </w:rPr>
        <w:t>47.45</w:t>
      </w:r>
      <w:r>
        <w:rPr>
          <w:rFonts w:hint="eastAsia" w:ascii="仿宋" w:eastAsia="仿宋"/>
          <w:sz w:val="32"/>
          <w:szCs w:val="32"/>
        </w:rPr>
        <w:t>万元，增长</w:t>
      </w:r>
      <w:r>
        <w:rPr>
          <w:rFonts w:hint="eastAsia" w:ascii="仿宋" w:eastAsia="仿宋"/>
          <w:sz w:val="32"/>
          <w:szCs w:val="32"/>
          <w:lang w:val="en-US" w:eastAsia="zh-CN"/>
        </w:rPr>
        <w:t>7.45</w:t>
      </w:r>
      <w:r>
        <w:rPr>
          <w:rFonts w:ascii="仿宋" w:eastAsia="仿宋"/>
          <w:sz w:val="32"/>
          <w:szCs w:val="32"/>
        </w:rPr>
        <w:t>%</w:t>
      </w:r>
      <w:r>
        <w:rPr>
          <w:rFonts w:hint="eastAsia" w:ascii="仿宋" w:eastAsia="仿宋"/>
          <w:sz w:val="32"/>
          <w:szCs w:val="32"/>
        </w:rPr>
        <w:t>。主要变动原因是</w:t>
      </w:r>
      <w:r>
        <w:rPr>
          <w:rFonts w:hint="eastAsia" w:ascii="仿宋" w:eastAsia="仿宋"/>
          <w:sz w:val="32"/>
          <w:szCs w:val="32"/>
          <w:lang w:val="en-US" w:eastAsia="zh-CN"/>
        </w:rPr>
        <w:t>增开1次政协全会，增加了会议经费支出；开展“有事来协商”专项工作，增加了相应的办公费、差旅费等支出。</w:t>
      </w:r>
    </w:p>
    <w:p>
      <w:pPr>
        <w:spacing w:line="600" w:lineRule="exact"/>
        <w:ind w:firstLine="640" w:firstLineChars="200"/>
        <w:rPr>
          <w:rFonts w:ascii="仿宋" w:eastAsia="仿宋"/>
          <w:sz w:val="32"/>
          <w:szCs w:val="32"/>
        </w:rPr>
      </w:pPr>
      <w:r>
        <w:rPr>
          <w:rFonts w:hint="eastAsia" w:ascii="仿宋" w:eastAsia="仿宋"/>
          <w:sz w:val="32"/>
          <w:szCs w:val="32"/>
        </w:rPr>
        <w:t>（图5：一般公共预算财政拨款支出决算变动情况）（柱状图）</w:t>
      </w:r>
    </w:p>
    <w:p>
      <w:pPr>
        <w:spacing w:line="600" w:lineRule="exact"/>
        <w:ind w:firstLine="640" w:firstLineChars="200"/>
        <w:rPr>
          <w:rFonts w:ascii="仿宋" w:eastAsia="仿宋"/>
          <w:sz w:val="32"/>
          <w:szCs w:val="32"/>
        </w:rPr>
      </w:pPr>
      <w:r>
        <w:rPr>
          <w:rFonts w:hint="eastAsia" w:ascii="仿宋" w:eastAsia="仿宋"/>
          <w:sz w:val="32"/>
          <w:szCs w:val="32"/>
          <w:lang w:eastAsia="zh-CN"/>
        </w:rPr>
        <w:drawing>
          <wp:anchor distT="0" distB="0" distL="114300" distR="114300" simplePos="0" relativeHeight="251663360" behindDoc="0" locked="0" layoutInCell="1" allowOverlap="1">
            <wp:simplePos x="0" y="0"/>
            <wp:positionH relativeFrom="column">
              <wp:posOffset>852170</wp:posOffset>
            </wp:positionH>
            <wp:positionV relativeFrom="paragraph">
              <wp:posOffset>141605</wp:posOffset>
            </wp:positionV>
            <wp:extent cx="3861435" cy="2123440"/>
            <wp:effectExtent l="4445" t="4445" r="20320" b="5715"/>
            <wp:wrapSquare wrapText="bothSides"/>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pPr>
        <w:spacing w:line="600" w:lineRule="exact"/>
        <w:ind w:firstLine="640" w:firstLineChars="200"/>
        <w:rPr>
          <w:rFonts w:ascii="仿宋" w:eastAsia="仿宋"/>
          <w:sz w:val="32"/>
          <w:szCs w:val="32"/>
        </w:rPr>
      </w:pPr>
    </w:p>
    <w:p>
      <w:pPr>
        <w:spacing w:line="600" w:lineRule="exact"/>
        <w:ind w:firstLine="640" w:firstLineChars="200"/>
        <w:rPr>
          <w:rFonts w:ascii="仿宋" w:eastAsia="仿宋"/>
          <w:sz w:val="32"/>
          <w:szCs w:val="32"/>
        </w:rPr>
      </w:pPr>
    </w:p>
    <w:p>
      <w:pPr>
        <w:spacing w:line="600" w:lineRule="exact"/>
        <w:ind w:firstLine="640" w:firstLineChars="200"/>
        <w:rPr>
          <w:rFonts w:ascii="仿宋" w:eastAsia="仿宋"/>
          <w:sz w:val="32"/>
          <w:szCs w:val="32"/>
        </w:rPr>
      </w:pPr>
    </w:p>
    <w:p>
      <w:pPr>
        <w:spacing w:line="600" w:lineRule="exact"/>
        <w:ind w:firstLine="640" w:firstLineChars="200"/>
        <w:rPr>
          <w:rFonts w:ascii="仿宋" w:eastAsia="仿宋"/>
          <w:sz w:val="32"/>
          <w:szCs w:val="32"/>
        </w:rPr>
      </w:pPr>
    </w:p>
    <w:p>
      <w:pPr>
        <w:spacing w:line="600" w:lineRule="exact"/>
        <w:ind w:firstLine="640" w:firstLineChars="200"/>
        <w:rPr>
          <w:rFonts w:ascii="仿宋" w:eastAsia="仿宋"/>
          <w:sz w:val="32"/>
          <w:szCs w:val="32"/>
        </w:rPr>
      </w:pPr>
    </w:p>
    <w:p>
      <w:pPr>
        <w:spacing w:line="600" w:lineRule="exact"/>
        <w:ind w:firstLine="640" w:firstLineChars="200"/>
        <w:rPr>
          <w:rFonts w:ascii="仿宋" w:eastAsia="仿宋"/>
          <w:sz w:val="32"/>
          <w:szCs w:val="32"/>
        </w:rPr>
      </w:pPr>
    </w:p>
    <w:p>
      <w:pPr>
        <w:spacing w:line="600" w:lineRule="exact"/>
        <w:ind w:firstLine="643" w:firstLineChars="200"/>
        <w:outlineLvl w:val="2"/>
        <w:rPr>
          <w:rFonts w:ascii="仿宋" w:eastAsia="仿宋"/>
          <w:b/>
          <w:sz w:val="32"/>
          <w:szCs w:val="32"/>
        </w:rPr>
      </w:pPr>
      <w:bookmarkStart w:id="41" w:name="_Toc15377211"/>
      <w:r>
        <w:rPr>
          <w:rFonts w:hint="eastAsia" w:ascii="仿宋" w:eastAsia="仿宋"/>
          <w:b/>
          <w:sz w:val="32"/>
          <w:szCs w:val="32"/>
        </w:rPr>
        <w:t>（二）一般公共预算财政拨款支出决算结构情况</w:t>
      </w:r>
      <w:bookmarkEnd w:id="41"/>
    </w:p>
    <w:p>
      <w:pPr>
        <w:spacing w:line="600" w:lineRule="exact"/>
        <w:ind w:firstLine="640"/>
        <w:rPr>
          <w:rFonts w:hint="eastAsia" w:ascii="仿宋" w:eastAsia="仿宋"/>
          <w:b/>
          <w:sz w:val="32"/>
          <w:szCs w:val="32"/>
          <w:lang w:eastAsia="zh-CN"/>
        </w:rPr>
      </w:pPr>
      <w:r>
        <w:rPr>
          <w:rFonts w:ascii="仿宋" w:eastAsia="仿宋"/>
          <w:sz w:val="32"/>
          <w:szCs w:val="32"/>
        </w:rPr>
        <w:t>20</w:t>
      </w:r>
      <w:r>
        <w:rPr>
          <w:rFonts w:hint="eastAsia" w:ascii="仿宋" w:eastAsia="仿宋"/>
          <w:sz w:val="32"/>
          <w:szCs w:val="32"/>
        </w:rPr>
        <w:t>21年一般公共预算财政拨款支出</w:t>
      </w:r>
      <w:r>
        <w:rPr>
          <w:rFonts w:hint="eastAsia" w:ascii="仿宋" w:eastAsia="仿宋"/>
          <w:sz w:val="32"/>
          <w:szCs w:val="32"/>
          <w:lang w:val="en-US" w:eastAsia="zh-CN"/>
        </w:rPr>
        <w:t>684.69</w:t>
      </w:r>
      <w:r>
        <w:rPr>
          <w:rFonts w:hint="eastAsia" w:ascii="仿宋" w:eastAsia="仿宋"/>
          <w:sz w:val="32"/>
          <w:szCs w:val="32"/>
        </w:rPr>
        <w:t>万元，主要用于以下方面</w:t>
      </w:r>
      <w:r>
        <w:rPr>
          <w:rFonts w:ascii="仿宋" w:eastAsia="仿宋"/>
          <w:sz w:val="32"/>
          <w:szCs w:val="32"/>
        </w:rPr>
        <w:t>:</w:t>
      </w:r>
      <w:r>
        <w:rPr>
          <w:rFonts w:hint="eastAsia" w:ascii="仿宋" w:eastAsia="仿宋"/>
          <w:b/>
          <w:sz w:val="32"/>
          <w:szCs w:val="32"/>
        </w:rPr>
        <w:t>一般公共服务（类）</w:t>
      </w:r>
      <w:r>
        <w:rPr>
          <w:rFonts w:hint="eastAsia" w:ascii="仿宋" w:eastAsia="仿宋"/>
          <w:sz w:val="32"/>
          <w:szCs w:val="32"/>
        </w:rPr>
        <w:t>支出</w:t>
      </w:r>
      <w:r>
        <w:rPr>
          <w:rFonts w:hint="eastAsia" w:ascii="仿宋" w:eastAsia="仿宋"/>
          <w:sz w:val="32"/>
          <w:szCs w:val="32"/>
          <w:lang w:val="en-US" w:eastAsia="zh-CN"/>
        </w:rPr>
        <w:t>562.87</w:t>
      </w:r>
      <w:r>
        <w:rPr>
          <w:rFonts w:hint="eastAsia" w:ascii="仿宋" w:eastAsia="仿宋"/>
          <w:sz w:val="32"/>
          <w:szCs w:val="32"/>
        </w:rPr>
        <w:t>万元</w:t>
      </w:r>
      <w:r>
        <w:rPr>
          <w:rFonts w:hint="eastAsia" w:ascii="仿宋" w:eastAsia="仿宋"/>
          <w:sz w:val="32"/>
          <w:szCs w:val="32"/>
          <w:lang w:eastAsia="zh-CN"/>
        </w:rPr>
        <w:t>，</w:t>
      </w:r>
      <w:r>
        <w:rPr>
          <w:rFonts w:hint="eastAsia" w:ascii="仿宋" w:eastAsia="仿宋"/>
          <w:sz w:val="32"/>
          <w:szCs w:val="32"/>
        </w:rPr>
        <w:t>占</w:t>
      </w:r>
      <w:r>
        <w:rPr>
          <w:rFonts w:hint="eastAsia" w:ascii="仿宋" w:eastAsia="仿宋"/>
          <w:sz w:val="32"/>
          <w:szCs w:val="32"/>
          <w:lang w:val="en-US" w:eastAsia="zh-CN"/>
        </w:rPr>
        <w:t>82.21</w:t>
      </w:r>
      <w:r>
        <w:rPr>
          <w:rFonts w:ascii="仿宋" w:eastAsia="仿宋"/>
          <w:sz w:val="32"/>
          <w:szCs w:val="32"/>
        </w:rPr>
        <w:t>%</w:t>
      </w:r>
      <w:r>
        <w:rPr>
          <w:rFonts w:hint="eastAsia" w:ascii="仿宋" w:eastAsia="仿宋"/>
          <w:sz w:val="32"/>
          <w:szCs w:val="32"/>
        </w:rPr>
        <w:t>；</w:t>
      </w:r>
      <w:r>
        <w:rPr>
          <w:rFonts w:hint="eastAsia" w:ascii="仿宋" w:eastAsia="仿宋"/>
          <w:b/>
          <w:sz w:val="32"/>
          <w:szCs w:val="32"/>
        </w:rPr>
        <w:t>社会保障和就业（类）</w:t>
      </w:r>
      <w:r>
        <w:rPr>
          <w:rFonts w:hint="eastAsia" w:ascii="仿宋" w:eastAsia="仿宋"/>
          <w:sz w:val="32"/>
          <w:szCs w:val="32"/>
        </w:rPr>
        <w:t>支出</w:t>
      </w:r>
      <w:r>
        <w:rPr>
          <w:rFonts w:hint="eastAsia" w:ascii="仿宋" w:eastAsia="仿宋"/>
          <w:sz w:val="32"/>
          <w:szCs w:val="32"/>
          <w:lang w:val="en-US" w:eastAsia="zh-CN"/>
        </w:rPr>
        <w:t>59.51</w:t>
      </w:r>
      <w:r>
        <w:rPr>
          <w:rFonts w:hint="eastAsia" w:ascii="仿宋" w:eastAsia="仿宋"/>
          <w:sz w:val="32"/>
          <w:szCs w:val="32"/>
        </w:rPr>
        <w:t>万元，占</w:t>
      </w:r>
      <w:r>
        <w:rPr>
          <w:rFonts w:hint="eastAsia" w:ascii="仿宋" w:eastAsia="仿宋"/>
          <w:sz w:val="32"/>
          <w:szCs w:val="32"/>
          <w:lang w:val="en-US" w:eastAsia="zh-CN"/>
        </w:rPr>
        <w:t>8.69</w:t>
      </w:r>
      <w:r>
        <w:rPr>
          <w:rFonts w:ascii="仿宋" w:eastAsia="仿宋"/>
          <w:sz w:val="32"/>
          <w:szCs w:val="32"/>
        </w:rPr>
        <w:t>%</w:t>
      </w:r>
      <w:r>
        <w:rPr>
          <w:rFonts w:hint="eastAsia" w:ascii="仿宋" w:eastAsia="仿宋"/>
          <w:sz w:val="32"/>
          <w:szCs w:val="32"/>
        </w:rPr>
        <w:t>；</w:t>
      </w:r>
      <w:r>
        <w:rPr>
          <w:rFonts w:hint="eastAsia" w:ascii="仿宋" w:eastAsia="仿宋"/>
          <w:b/>
          <w:bCs/>
          <w:sz w:val="32"/>
          <w:szCs w:val="32"/>
        </w:rPr>
        <w:t>卫生健康支出</w:t>
      </w:r>
      <w:r>
        <w:rPr>
          <w:rFonts w:hint="eastAsia" w:ascii="仿宋" w:eastAsia="仿宋"/>
          <w:sz w:val="32"/>
          <w:szCs w:val="32"/>
          <w:lang w:val="en-US" w:eastAsia="zh-CN"/>
        </w:rPr>
        <w:t>25.31</w:t>
      </w:r>
      <w:r>
        <w:rPr>
          <w:rFonts w:hint="eastAsia" w:ascii="仿宋" w:eastAsia="仿宋"/>
          <w:sz w:val="32"/>
          <w:szCs w:val="32"/>
        </w:rPr>
        <w:t>万元，占</w:t>
      </w:r>
      <w:r>
        <w:rPr>
          <w:rFonts w:hint="eastAsia" w:ascii="仿宋" w:eastAsia="仿宋"/>
          <w:sz w:val="32"/>
          <w:szCs w:val="32"/>
          <w:lang w:val="en-US" w:eastAsia="zh-CN"/>
        </w:rPr>
        <w:t>3.70</w:t>
      </w:r>
      <w:r>
        <w:rPr>
          <w:rFonts w:ascii="仿宋" w:eastAsia="仿宋"/>
          <w:sz w:val="32"/>
          <w:szCs w:val="32"/>
        </w:rPr>
        <w:t>%</w:t>
      </w:r>
      <w:r>
        <w:rPr>
          <w:rFonts w:hint="eastAsia" w:ascii="仿宋" w:eastAsia="仿宋"/>
          <w:sz w:val="32"/>
          <w:szCs w:val="32"/>
        </w:rPr>
        <w:t>；</w:t>
      </w:r>
      <w:r>
        <w:rPr>
          <w:rFonts w:hint="eastAsia" w:ascii="仿宋" w:eastAsia="仿宋"/>
          <w:b/>
          <w:bCs/>
          <w:sz w:val="32"/>
          <w:szCs w:val="32"/>
        </w:rPr>
        <w:t>住房保障</w:t>
      </w:r>
      <w:r>
        <w:rPr>
          <w:rFonts w:hint="eastAsia" w:ascii="仿宋" w:eastAsia="仿宋"/>
          <w:sz w:val="32"/>
          <w:szCs w:val="32"/>
        </w:rPr>
        <w:t>支出</w:t>
      </w:r>
      <w:r>
        <w:rPr>
          <w:rFonts w:hint="eastAsia" w:ascii="仿宋" w:eastAsia="仿宋"/>
          <w:sz w:val="32"/>
          <w:szCs w:val="32"/>
          <w:lang w:val="en-US" w:eastAsia="zh-CN"/>
        </w:rPr>
        <w:t>37.00</w:t>
      </w:r>
      <w:r>
        <w:rPr>
          <w:rFonts w:hint="eastAsia" w:ascii="仿宋" w:eastAsia="仿宋"/>
          <w:sz w:val="32"/>
          <w:szCs w:val="32"/>
        </w:rPr>
        <w:t>万元，占</w:t>
      </w:r>
      <w:r>
        <w:rPr>
          <w:rFonts w:hint="eastAsia" w:ascii="仿宋" w:eastAsia="仿宋"/>
          <w:sz w:val="32"/>
          <w:szCs w:val="32"/>
          <w:lang w:val="en-US" w:eastAsia="zh-CN"/>
        </w:rPr>
        <w:t>5.40</w:t>
      </w:r>
      <w:r>
        <w:rPr>
          <w:rFonts w:ascii="仿宋" w:eastAsia="仿宋"/>
          <w:sz w:val="32"/>
          <w:szCs w:val="32"/>
        </w:rPr>
        <w:t>%</w:t>
      </w:r>
      <w:r>
        <w:rPr>
          <w:rFonts w:hint="eastAsia" w:ascii="仿宋" w:eastAsia="仿宋"/>
          <w:sz w:val="32"/>
          <w:szCs w:val="32"/>
          <w:lang w:eastAsia="zh-CN"/>
        </w:rPr>
        <w:t>。</w:t>
      </w:r>
    </w:p>
    <w:p>
      <w:pPr>
        <w:spacing w:line="600" w:lineRule="exact"/>
        <w:ind w:firstLine="640" w:firstLineChars="200"/>
        <w:rPr>
          <w:rFonts w:ascii="仿宋" w:eastAsia="仿宋"/>
          <w:sz w:val="32"/>
          <w:szCs w:val="32"/>
        </w:rPr>
      </w:pPr>
      <w:r>
        <w:rPr>
          <w:rFonts w:hint="eastAsia" w:ascii="仿宋" w:eastAsia="仿宋"/>
          <w:sz w:val="32"/>
          <w:szCs w:val="32"/>
        </w:rPr>
        <w:t>（图6：一般公共预算财政拨款支出决算结构）（饼状图）</w:t>
      </w:r>
    </w:p>
    <w:p>
      <w:pPr>
        <w:rPr>
          <w:rFonts w:ascii="仿宋" w:eastAsia="仿宋"/>
          <w:sz w:val="32"/>
          <w:szCs w:val="32"/>
        </w:rPr>
      </w:pPr>
    </w:p>
    <w:p>
      <w:pPr>
        <w:pStyle w:val="7"/>
        <w:rPr>
          <w:rFonts w:ascii="仿宋" w:eastAsia="仿宋"/>
          <w:sz w:val="32"/>
          <w:szCs w:val="32"/>
        </w:rPr>
      </w:pPr>
      <w:r>
        <w:rPr>
          <w:rFonts w:hint="eastAsia" w:ascii="仿宋_GB2312" w:eastAsia="仿宋_GB2312"/>
          <w:sz w:val="32"/>
          <w:szCs w:val="32"/>
          <w:lang w:eastAsia="zh-CN"/>
        </w:rPr>
        <w:drawing>
          <wp:anchor distT="0" distB="0" distL="114300" distR="114300" simplePos="0" relativeHeight="251664384" behindDoc="0" locked="0" layoutInCell="1" allowOverlap="1">
            <wp:simplePos x="0" y="0"/>
            <wp:positionH relativeFrom="column">
              <wp:posOffset>385445</wp:posOffset>
            </wp:positionH>
            <wp:positionV relativeFrom="paragraph">
              <wp:posOffset>255905</wp:posOffset>
            </wp:positionV>
            <wp:extent cx="4260850" cy="2294890"/>
            <wp:effectExtent l="4445" t="4445" r="20955" b="5715"/>
            <wp:wrapSquare wrapText="bothSides"/>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pPr>
        <w:rPr>
          <w:rFonts w:ascii="仿宋" w:eastAsia="仿宋"/>
          <w:sz w:val="32"/>
          <w:szCs w:val="32"/>
        </w:rPr>
      </w:pPr>
    </w:p>
    <w:p>
      <w:pPr>
        <w:rPr>
          <w:rFonts w:ascii="仿宋" w:eastAsia="仿宋"/>
          <w:sz w:val="32"/>
          <w:szCs w:val="32"/>
        </w:rPr>
      </w:pPr>
    </w:p>
    <w:p>
      <w:pPr>
        <w:pStyle w:val="7"/>
      </w:pPr>
    </w:p>
    <w:p>
      <w:pPr>
        <w:pStyle w:val="7"/>
      </w:pPr>
    </w:p>
    <w:p>
      <w:pPr>
        <w:spacing w:line="600" w:lineRule="exact"/>
        <w:ind w:firstLine="643" w:firstLineChars="200"/>
        <w:outlineLvl w:val="2"/>
        <w:rPr>
          <w:rFonts w:ascii="仿宋" w:eastAsia="仿宋"/>
          <w:b/>
          <w:sz w:val="32"/>
          <w:szCs w:val="32"/>
        </w:rPr>
      </w:pPr>
      <w:bookmarkStart w:id="42" w:name="_Toc15377212"/>
      <w:r>
        <w:rPr>
          <w:rFonts w:hint="eastAsia" w:ascii="仿宋" w:eastAsia="仿宋"/>
          <w:b/>
          <w:sz w:val="32"/>
          <w:szCs w:val="32"/>
        </w:rPr>
        <w:t>（三）一般公共预算财政拨款支出决算具体情况</w:t>
      </w:r>
      <w:bookmarkEnd w:id="42"/>
    </w:p>
    <w:p>
      <w:pPr>
        <w:spacing w:line="600" w:lineRule="exact"/>
        <w:ind w:firstLine="643" w:firstLineChars="200"/>
        <w:outlineLvl w:val="2"/>
        <w:rPr>
          <w:rFonts w:ascii="仿宋" w:eastAsia="仿宋"/>
          <w:sz w:val="32"/>
          <w:szCs w:val="32"/>
        </w:rPr>
      </w:pPr>
      <w:bookmarkStart w:id="43" w:name="_Toc15377213"/>
      <w:bookmarkStart w:id="44" w:name="_Toc15377444"/>
      <w:bookmarkStart w:id="45" w:name="_Toc15378460"/>
      <w:r>
        <w:rPr>
          <w:rFonts w:hint="eastAsia" w:ascii="仿宋" w:eastAsia="仿宋"/>
          <w:b/>
          <w:sz w:val="32"/>
          <w:szCs w:val="32"/>
        </w:rPr>
        <w:t>2021年一般公共预算支出决算数为</w:t>
      </w:r>
      <w:r>
        <w:rPr>
          <w:rFonts w:hint="eastAsia" w:ascii="仿宋" w:eastAsia="仿宋"/>
          <w:b/>
          <w:sz w:val="32"/>
          <w:szCs w:val="32"/>
          <w:lang w:val="en-US" w:eastAsia="zh-CN"/>
        </w:rPr>
        <w:t>684.69万元</w:t>
      </w:r>
      <w:r>
        <w:rPr>
          <w:rFonts w:hint="eastAsia" w:ascii="仿宋" w:eastAsia="仿宋"/>
          <w:sz w:val="32"/>
          <w:szCs w:val="32"/>
        </w:rPr>
        <w:t>，</w:t>
      </w:r>
      <w:r>
        <w:rPr>
          <w:rStyle w:val="16"/>
          <w:rFonts w:hint="eastAsia" w:ascii="仿宋" w:eastAsia="仿宋"/>
          <w:bCs/>
          <w:sz w:val="32"/>
          <w:szCs w:val="32"/>
        </w:rPr>
        <w:t>完成预算</w:t>
      </w:r>
      <w:r>
        <w:rPr>
          <w:rStyle w:val="16"/>
          <w:rFonts w:hint="eastAsia" w:ascii="仿宋" w:eastAsia="仿宋"/>
          <w:bCs/>
          <w:sz w:val="32"/>
          <w:szCs w:val="32"/>
          <w:lang w:val="en-US" w:eastAsia="zh-CN"/>
        </w:rPr>
        <w:t>100</w:t>
      </w:r>
      <w:r>
        <w:rPr>
          <w:rStyle w:val="16"/>
          <w:rFonts w:ascii="仿宋" w:eastAsia="仿宋"/>
          <w:bCs/>
          <w:sz w:val="32"/>
          <w:szCs w:val="32"/>
        </w:rPr>
        <w:t>%</w:t>
      </w:r>
      <w:r>
        <w:rPr>
          <w:rStyle w:val="16"/>
          <w:rFonts w:hint="eastAsia" w:ascii="仿宋" w:eastAsia="仿宋"/>
          <w:bCs/>
          <w:sz w:val="32"/>
          <w:szCs w:val="32"/>
        </w:rPr>
        <w:t>。其中：</w:t>
      </w:r>
      <w:bookmarkEnd w:id="43"/>
      <w:bookmarkEnd w:id="44"/>
      <w:bookmarkEnd w:id="45"/>
    </w:p>
    <w:p>
      <w:pPr>
        <w:numPr>
          <w:ilvl w:val="0"/>
          <w:numId w:val="0"/>
        </w:numPr>
        <w:spacing w:line="600" w:lineRule="exact"/>
        <w:ind w:firstLine="643" w:firstLineChars="200"/>
        <w:rPr>
          <w:rStyle w:val="16"/>
          <w:rFonts w:hint="eastAsia" w:ascii="仿宋" w:eastAsia="仿宋"/>
          <w:bCs/>
          <w:sz w:val="32"/>
          <w:szCs w:val="32"/>
        </w:rPr>
      </w:pPr>
      <w:r>
        <w:rPr>
          <w:rStyle w:val="16"/>
          <w:rFonts w:hint="eastAsia" w:ascii="仿宋" w:eastAsia="仿宋"/>
          <w:bCs/>
          <w:sz w:val="32"/>
          <w:szCs w:val="32"/>
          <w:lang w:val="en-US" w:eastAsia="zh-CN"/>
        </w:rPr>
        <w:t>1.</w:t>
      </w:r>
      <w:r>
        <w:rPr>
          <w:rStyle w:val="16"/>
          <w:rFonts w:hint="eastAsia" w:ascii="仿宋" w:eastAsia="仿宋"/>
          <w:bCs/>
          <w:sz w:val="32"/>
          <w:szCs w:val="32"/>
        </w:rPr>
        <w:t>一般公共服务（类）</w:t>
      </w:r>
      <w:r>
        <w:rPr>
          <w:rStyle w:val="16"/>
          <w:rFonts w:hint="eastAsia" w:ascii="仿宋" w:eastAsia="仿宋"/>
          <w:bCs/>
          <w:sz w:val="32"/>
          <w:szCs w:val="32"/>
          <w:lang w:val="en-US" w:eastAsia="zh-CN"/>
        </w:rPr>
        <w:t>政协事务</w:t>
      </w:r>
      <w:r>
        <w:rPr>
          <w:rStyle w:val="16"/>
          <w:rFonts w:hint="eastAsia" w:ascii="仿宋" w:eastAsia="仿宋"/>
          <w:bCs/>
          <w:sz w:val="32"/>
          <w:szCs w:val="32"/>
        </w:rPr>
        <w:t>（款）</w:t>
      </w:r>
    </w:p>
    <w:p>
      <w:pPr>
        <w:numPr>
          <w:ilvl w:val="0"/>
          <w:numId w:val="0"/>
        </w:numPr>
        <w:spacing w:line="600" w:lineRule="exact"/>
        <w:ind w:firstLine="643" w:firstLineChars="200"/>
        <w:rPr>
          <w:rStyle w:val="16"/>
          <w:rFonts w:hint="eastAsia" w:ascii="仿宋" w:eastAsia="仿宋"/>
          <w:b w:val="0"/>
          <w:bCs/>
          <w:sz w:val="32"/>
          <w:szCs w:val="32"/>
        </w:rPr>
      </w:pPr>
      <w:r>
        <w:rPr>
          <w:rStyle w:val="16"/>
          <w:rFonts w:hint="eastAsia" w:ascii="仿宋" w:eastAsia="仿宋"/>
          <w:bCs/>
          <w:sz w:val="32"/>
          <w:szCs w:val="32"/>
          <w:lang w:eastAsia="zh-CN"/>
        </w:rPr>
        <w:t>（</w:t>
      </w:r>
      <w:r>
        <w:rPr>
          <w:rStyle w:val="16"/>
          <w:rFonts w:hint="eastAsia" w:ascii="仿宋" w:eastAsia="仿宋"/>
          <w:bCs/>
          <w:sz w:val="32"/>
          <w:szCs w:val="32"/>
          <w:lang w:val="en-US" w:eastAsia="zh-CN"/>
        </w:rPr>
        <w:t>1</w:t>
      </w:r>
      <w:r>
        <w:rPr>
          <w:rStyle w:val="16"/>
          <w:rFonts w:hint="eastAsia" w:ascii="仿宋" w:eastAsia="仿宋"/>
          <w:bCs/>
          <w:sz w:val="32"/>
          <w:szCs w:val="32"/>
          <w:lang w:eastAsia="zh-CN"/>
        </w:rPr>
        <w:t>）</w:t>
      </w:r>
      <w:r>
        <w:rPr>
          <w:rStyle w:val="16"/>
          <w:rFonts w:hint="eastAsia" w:ascii="仿宋" w:eastAsia="仿宋"/>
          <w:bCs/>
          <w:sz w:val="32"/>
          <w:szCs w:val="32"/>
          <w:lang w:val="en-US" w:eastAsia="zh-CN"/>
        </w:rPr>
        <w:t>行政运行</w:t>
      </w:r>
      <w:r>
        <w:rPr>
          <w:rStyle w:val="16"/>
          <w:rFonts w:hint="eastAsia" w:ascii="仿宋" w:eastAsia="仿宋"/>
          <w:bCs/>
          <w:sz w:val="32"/>
          <w:szCs w:val="32"/>
        </w:rPr>
        <w:t>（项）</w:t>
      </w:r>
      <w:r>
        <w:rPr>
          <w:rStyle w:val="16"/>
          <w:rFonts w:ascii="仿宋" w:eastAsia="仿宋"/>
          <w:bCs/>
          <w:sz w:val="32"/>
          <w:szCs w:val="32"/>
        </w:rPr>
        <w:t>:</w:t>
      </w:r>
      <w:r>
        <w:rPr>
          <w:rStyle w:val="16"/>
          <w:rFonts w:ascii="仿宋" w:eastAsia="仿宋"/>
          <w:b w:val="0"/>
          <w:bCs/>
          <w:sz w:val="32"/>
          <w:szCs w:val="32"/>
        </w:rPr>
        <w:t xml:space="preserve"> </w:t>
      </w:r>
      <w:r>
        <w:rPr>
          <w:rStyle w:val="16"/>
          <w:rFonts w:hint="eastAsia" w:ascii="仿宋" w:eastAsia="仿宋"/>
          <w:b w:val="0"/>
          <w:bCs/>
          <w:sz w:val="32"/>
          <w:szCs w:val="32"/>
        </w:rPr>
        <w:t>支出决算为</w:t>
      </w:r>
      <w:r>
        <w:rPr>
          <w:rStyle w:val="16"/>
          <w:rFonts w:hint="eastAsia" w:ascii="仿宋" w:eastAsia="仿宋"/>
          <w:b w:val="0"/>
          <w:bCs/>
          <w:sz w:val="32"/>
          <w:szCs w:val="32"/>
          <w:lang w:val="en-US" w:eastAsia="zh-CN"/>
        </w:rPr>
        <w:t>468.82</w:t>
      </w:r>
      <w:r>
        <w:rPr>
          <w:rStyle w:val="16"/>
          <w:rFonts w:hint="eastAsia" w:ascii="仿宋" w:eastAsia="仿宋"/>
          <w:b w:val="0"/>
          <w:bCs/>
          <w:sz w:val="32"/>
          <w:szCs w:val="32"/>
        </w:rPr>
        <w:t>万元，完成预算</w:t>
      </w:r>
      <w:r>
        <w:rPr>
          <w:rStyle w:val="16"/>
          <w:rFonts w:hint="eastAsia" w:ascii="仿宋" w:eastAsia="仿宋"/>
          <w:b w:val="0"/>
          <w:bCs/>
          <w:sz w:val="32"/>
          <w:szCs w:val="32"/>
          <w:lang w:val="en-US" w:eastAsia="zh-CN"/>
        </w:rPr>
        <w:t>100</w:t>
      </w:r>
      <w:r>
        <w:rPr>
          <w:rStyle w:val="16"/>
          <w:rFonts w:ascii="仿宋" w:eastAsia="仿宋"/>
          <w:b w:val="0"/>
          <w:bCs/>
          <w:sz w:val="32"/>
          <w:szCs w:val="32"/>
        </w:rPr>
        <w:t>%</w:t>
      </w:r>
      <w:r>
        <w:rPr>
          <w:rStyle w:val="16"/>
          <w:rFonts w:hint="eastAsia" w:ascii="仿宋" w:eastAsia="仿宋"/>
          <w:b w:val="0"/>
          <w:bCs/>
          <w:sz w:val="32"/>
          <w:szCs w:val="32"/>
        </w:rPr>
        <w:t>。</w:t>
      </w:r>
    </w:p>
    <w:p>
      <w:pPr>
        <w:numPr>
          <w:ilvl w:val="0"/>
          <w:numId w:val="0"/>
        </w:numPr>
        <w:spacing w:line="600" w:lineRule="exact"/>
        <w:ind w:firstLine="643" w:firstLineChars="200"/>
        <w:rPr>
          <w:rStyle w:val="16"/>
          <w:rFonts w:hint="eastAsia" w:ascii="仿宋" w:eastAsia="仿宋"/>
          <w:b w:val="0"/>
          <w:bCs/>
          <w:sz w:val="32"/>
          <w:szCs w:val="32"/>
        </w:rPr>
      </w:pPr>
      <w:r>
        <w:rPr>
          <w:rStyle w:val="16"/>
          <w:rFonts w:hint="eastAsia" w:ascii="仿宋" w:eastAsia="仿宋"/>
          <w:bCs/>
          <w:sz w:val="32"/>
          <w:szCs w:val="32"/>
          <w:lang w:eastAsia="zh-CN"/>
        </w:rPr>
        <w:t>（</w:t>
      </w:r>
      <w:r>
        <w:rPr>
          <w:rStyle w:val="16"/>
          <w:rFonts w:hint="eastAsia" w:ascii="仿宋" w:eastAsia="仿宋"/>
          <w:bCs/>
          <w:sz w:val="32"/>
          <w:szCs w:val="32"/>
          <w:lang w:val="en-US" w:eastAsia="zh-CN"/>
        </w:rPr>
        <w:t>2</w:t>
      </w:r>
      <w:r>
        <w:rPr>
          <w:rStyle w:val="16"/>
          <w:rFonts w:hint="eastAsia" w:ascii="仿宋" w:eastAsia="仿宋"/>
          <w:bCs/>
          <w:sz w:val="32"/>
          <w:szCs w:val="32"/>
          <w:lang w:eastAsia="zh-CN"/>
        </w:rPr>
        <w:t>）</w:t>
      </w:r>
      <w:r>
        <w:rPr>
          <w:rStyle w:val="16"/>
          <w:rFonts w:hint="eastAsia" w:ascii="仿宋" w:eastAsia="仿宋"/>
          <w:bCs/>
          <w:sz w:val="32"/>
          <w:szCs w:val="32"/>
          <w:lang w:val="en-US" w:eastAsia="zh-CN"/>
        </w:rPr>
        <w:t>政协会议</w:t>
      </w:r>
      <w:r>
        <w:rPr>
          <w:rStyle w:val="16"/>
          <w:rFonts w:hint="eastAsia" w:ascii="仿宋" w:eastAsia="仿宋"/>
          <w:bCs/>
          <w:sz w:val="32"/>
          <w:szCs w:val="32"/>
        </w:rPr>
        <w:t>（项）</w:t>
      </w:r>
      <w:r>
        <w:rPr>
          <w:rStyle w:val="16"/>
          <w:rFonts w:ascii="仿宋" w:eastAsia="仿宋"/>
          <w:bCs/>
          <w:sz w:val="32"/>
          <w:szCs w:val="32"/>
        </w:rPr>
        <w:t>:</w:t>
      </w:r>
      <w:r>
        <w:rPr>
          <w:rStyle w:val="16"/>
          <w:rFonts w:ascii="仿宋" w:eastAsia="仿宋"/>
          <w:b w:val="0"/>
          <w:bCs/>
          <w:sz w:val="32"/>
          <w:szCs w:val="32"/>
        </w:rPr>
        <w:t xml:space="preserve"> </w:t>
      </w:r>
      <w:r>
        <w:rPr>
          <w:rStyle w:val="16"/>
          <w:rFonts w:hint="eastAsia" w:ascii="仿宋" w:eastAsia="仿宋"/>
          <w:b w:val="0"/>
          <w:bCs/>
          <w:sz w:val="32"/>
          <w:szCs w:val="32"/>
        </w:rPr>
        <w:t>支出决算为</w:t>
      </w:r>
      <w:r>
        <w:rPr>
          <w:rStyle w:val="16"/>
          <w:rFonts w:hint="eastAsia" w:ascii="仿宋" w:eastAsia="仿宋"/>
          <w:b w:val="0"/>
          <w:bCs/>
          <w:sz w:val="32"/>
          <w:szCs w:val="32"/>
          <w:lang w:val="en-US" w:eastAsia="zh-CN"/>
        </w:rPr>
        <w:t>38.80</w:t>
      </w:r>
      <w:r>
        <w:rPr>
          <w:rStyle w:val="16"/>
          <w:rFonts w:hint="eastAsia" w:ascii="仿宋" w:eastAsia="仿宋"/>
          <w:b w:val="0"/>
          <w:bCs/>
          <w:sz w:val="32"/>
          <w:szCs w:val="32"/>
        </w:rPr>
        <w:t>万元，完成预算</w:t>
      </w:r>
      <w:r>
        <w:rPr>
          <w:rStyle w:val="16"/>
          <w:rFonts w:hint="eastAsia" w:ascii="仿宋" w:eastAsia="仿宋"/>
          <w:b w:val="0"/>
          <w:bCs/>
          <w:sz w:val="32"/>
          <w:szCs w:val="32"/>
          <w:lang w:val="en-US" w:eastAsia="zh-CN"/>
        </w:rPr>
        <w:t>100</w:t>
      </w:r>
      <w:r>
        <w:rPr>
          <w:rStyle w:val="16"/>
          <w:rFonts w:ascii="仿宋" w:eastAsia="仿宋"/>
          <w:b w:val="0"/>
          <w:bCs/>
          <w:sz w:val="32"/>
          <w:szCs w:val="32"/>
        </w:rPr>
        <w:t>%</w:t>
      </w:r>
      <w:r>
        <w:rPr>
          <w:rStyle w:val="16"/>
          <w:rFonts w:hint="eastAsia" w:ascii="仿宋" w:eastAsia="仿宋"/>
          <w:b w:val="0"/>
          <w:bCs/>
          <w:sz w:val="32"/>
          <w:szCs w:val="32"/>
        </w:rPr>
        <w:t>。</w:t>
      </w:r>
    </w:p>
    <w:p>
      <w:pPr>
        <w:numPr>
          <w:ilvl w:val="0"/>
          <w:numId w:val="0"/>
        </w:numPr>
        <w:spacing w:line="600" w:lineRule="exact"/>
        <w:ind w:firstLine="643" w:firstLineChars="200"/>
        <w:rPr>
          <w:rStyle w:val="16"/>
          <w:rFonts w:hint="eastAsia" w:ascii="仿宋" w:eastAsia="仿宋"/>
          <w:b w:val="0"/>
          <w:bCs/>
          <w:sz w:val="32"/>
          <w:szCs w:val="32"/>
        </w:rPr>
      </w:pPr>
      <w:r>
        <w:rPr>
          <w:rStyle w:val="16"/>
          <w:rFonts w:hint="eastAsia" w:ascii="仿宋" w:eastAsia="仿宋"/>
          <w:bCs/>
          <w:sz w:val="32"/>
          <w:szCs w:val="32"/>
          <w:lang w:eastAsia="zh-CN"/>
        </w:rPr>
        <w:t>（</w:t>
      </w:r>
      <w:r>
        <w:rPr>
          <w:rStyle w:val="16"/>
          <w:rFonts w:hint="eastAsia" w:ascii="仿宋" w:eastAsia="仿宋"/>
          <w:bCs/>
          <w:sz w:val="32"/>
          <w:szCs w:val="32"/>
          <w:lang w:val="en-US" w:eastAsia="zh-CN"/>
        </w:rPr>
        <w:t>3</w:t>
      </w:r>
      <w:r>
        <w:rPr>
          <w:rStyle w:val="16"/>
          <w:rFonts w:hint="eastAsia" w:ascii="仿宋" w:eastAsia="仿宋"/>
          <w:bCs/>
          <w:sz w:val="32"/>
          <w:szCs w:val="32"/>
          <w:lang w:eastAsia="zh-CN"/>
        </w:rPr>
        <w:t>）</w:t>
      </w:r>
      <w:r>
        <w:rPr>
          <w:rStyle w:val="16"/>
          <w:rFonts w:hint="eastAsia" w:ascii="仿宋" w:eastAsia="仿宋"/>
          <w:bCs/>
          <w:sz w:val="32"/>
          <w:szCs w:val="32"/>
          <w:lang w:val="en-US" w:eastAsia="zh-CN"/>
        </w:rPr>
        <w:t>委员视察</w:t>
      </w:r>
      <w:r>
        <w:rPr>
          <w:rStyle w:val="16"/>
          <w:rFonts w:hint="eastAsia" w:ascii="仿宋" w:eastAsia="仿宋"/>
          <w:bCs/>
          <w:sz w:val="32"/>
          <w:szCs w:val="32"/>
        </w:rPr>
        <w:t>（项）</w:t>
      </w:r>
      <w:r>
        <w:rPr>
          <w:rStyle w:val="16"/>
          <w:rFonts w:ascii="仿宋" w:eastAsia="仿宋"/>
          <w:bCs/>
          <w:sz w:val="32"/>
          <w:szCs w:val="32"/>
        </w:rPr>
        <w:t>:</w:t>
      </w:r>
      <w:r>
        <w:rPr>
          <w:rStyle w:val="16"/>
          <w:rFonts w:hint="eastAsia" w:ascii="仿宋" w:eastAsia="仿宋"/>
          <w:b w:val="0"/>
          <w:bCs/>
          <w:sz w:val="32"/>
          <w:szCs w:val="32"/>
        </w:rPr>
        <w:t>支出决算为</w:t>
      </w:r>
      <w:r>
        <w:rPr>
          <w:rStyle w:val="16"/>
          <w:rFonts w:hint="eastAsia" w:ascii="仿宋" w:eastAsia="仿宋"/>
          <w:b w:val="0"/>
          <w:bCs/>
          <w:sz w:val="32"/>
          <w:szCs w:val="32"/>
          <w:lang w:val="en-US" w:eastAsia="zh-CN"/>
        </w:rPr>
        <w:t>20.25</w:t>
      </w:r>
      <w:r>
        <w:rPr>
          <w:rStyle w:val="16"/>
          <w:rFonts w:hint="eastAsia" w:ascii="仿宋" w:eastAsia="仿宋"/>
          <w:b w:val="0"/>
          <w:bCs/>
          <w:sz w:val="32"/>
          <w:szCs w:val="32"/>
        </w:rPr>
        <w:t>万元，完成预算</w:t>
      </w:r>
      <w:r>
        <w:rPr>
          <w:rStyle w:val="16"/>
          <w:rFonts w:hint="eastAsia" w:ascii="仿宋" w:eastAsia="仿宋"/>
          <w:b w:val="0"/>
          <w:bCs/>
          <w:sz w:val="32"/>
          <w:szCs w:val="32"/>
          <w:lang w:val="en-US" w:eastAsia="zh-CN"/>
        </w:rPr>
        <w:t>100</w:t>
      </w:r>
      <w:r>
        <w:rPr>
          <w:rStyle w:val="16"/>
          <w:rFonts w:ascii="仿宋" w:eastAsia="仿宋"/>
          <w:b w:val="0"/>
          <w:bCs/>
          <w:sz w:val="32"/>
          <w:szCs w:val="32"/>
        </w:rPr>
        <w:t>%</w:t>
      </w:r>
      <w:r>
        <w:rPr>
          <w:rStyle w:val="16"/>
          <w:rFonts w:hint="eastAsia" w:ascii="仿宋" w:eastAsia="仿宋"/>
          <w:b w:val="0"/>
          <w:bCs/>
          <w:sz w:val="32"/>
          <w:szCs w:val="32"/>
        </w:rPr>
        <w:t>。</w:t>
      </w:r>
    </w:p>
    <w:p>
      <w:pPr>
        <w:numPr>
          <w:ilvl w:val="0"/>
          <w:numId w:val="0"/>
        </w:numPr>
        <w:spacing w:line="600" w:lineRule="exact"/>
        <w:ind w:firstLine="643" w:firstLineChars="200"/>
        <w:rPr>
          <w:rFonts w:hint="eastAsia"/>
        </w:rPr>
      </w:pPr>
      <w:r>
        <w:rPr>
          <w:rStyle w:val="16"/>
          <w:rFonts w:hint="eastAsia" w:ascii="仿宋" w:eastAsia="仿宋"/>
          <w:bCs/>
          <w:sz w:val="32"/>
          <w:szCs w:val="32"/>
          <w:lang w:eastAsia="zh-CN"/>
        </w:rPr>
        <w:t>（</w:t>
      </w:r>
      <w:r>
        <w:rPr>
          <w:rStyle w:val="16"/>
          <w:rFonts w:hint="eastAsia" w:ascii="仿宋" w:eastAsia="仿宋"/>
          <w:bCs/>
          <w:sz w:val="32"/>
          <w:szCs w:val="32"/>
          <w:lang w:val="en-US" w:eastAsia="zh-CN"/>
        </w:rPr>
        <w:t>4</w:t>
      </w:r>
      <w:r>
        <w:rPr>
          <w:rStyle w:val="16"/>
          <w:rFonts w:hint="eastAsia" w:ascii="仿宋" w:eastAsia="仿宋"/>
          <w:bCs/>
          <w:sz w:val="32"/>
          <w:szCs w:val="32"/>
          <w:lang w:eastAsia="zh-CN"/>
        </w:rPr>
        <w:t>）</w:t>
      </w:r>
      <w:r>
        <w:rPr>
          <w:rStyle w:val="16"/>
          <w:rFonts w:hint="eastAsia" w:ascii="仿宋" w:eastAsia="仿宋"/>
          <w:bCs/>
          <w:sz w:val="32"/>
          <w:szCs w:val="32"/>
          <w:lang w:val="en-US" w:eastAsia="zh-CN"/>
        </w:rPr>
        <w:t>参政议政</w:t>
      </w:r>
      <w:r>
        <w:rPr>
          <w:rStyle w:val="16"/>
          <w:rFonts w:hint="eastAsia" w:ascii="仿宋" w:eastAsia="仿宋"/>
          <w:bCs/>
          <w:sz w:val="32"/>
          <w:szCs w:val="32"/>
        </w:rPr>
        <w:t>（项）</w:t>
      </w:r>
      <w:r>
        <w:rPr>
          <w:rStyle w:val="16"/>
          <w:rFonts w:ascii="仿宋" w:eastAsia="仿宋"/>
          <w:bCs/>
          <w:sz w:val="32"/>
          <w:szCs w:val="32"/>
        </w:rPr>
        <w:t>:</w:t>
      </w:r>
      <w:r>
        <w:rPr>
          <w:rStyle w:val="16"/>
          <w:rFonts w:ascii="仿宋" w:eastAsia="仿宋"/>
          <w:b w:val="0"/>
          <w:bCs/>
          <w:sz w:val="32"/>
          <w:szCs w:val="32"/>
        </w:rPr>
        <w:t xml:space="preserve"> </w:t>
      </w:r>
      <w:r>
        <w:rPr>
          <w:rStyle w:val="16"/>
          <w:rFonts w:hint="eastAsia" w:ascii="仿宋" w:eastAsia="仿宋"/>
          <w:b w:val="0"/>
          <w:bCs/>
          <w:sz w:val="32"/>
          <w:szCs w:val="32"/>
        </w:rPr>
        <w:t>支出决算为</w:t>
      </w:r>
      <w:r>
        <w:rPr>
          <w:rStyle w:val="16"/>
          <w:rFonts w:hint="eastAsia" w:ascii="仿宋" w:eastAsia="仿宋"/>
          <w:b w:val="0"/>
          <w:bCs/>
          <w:sz w:val="32"/>
          <w:szCs w:val="32"/>
          <w:lang w:val="en-US" w:eastAsia="zh-CN"/>
        </w:rPr>
        <w:t>35</w:t>
      </w:r>
      <w:r>
        <w:rPr>
          <w:rStyle w:val="16"/>
          <w:rFonts w:hint="eastAsia" w:ascii="仿宋" w:eastAsia="仿宋"/>
          <w:b w:val="0"/>
          <w:bCs/>
          <w:sz w:val="32"/>
          <w:szCs w:val="32"/>
        </w:rPr>
        <w:t>万元，完成预算</w:t>
      </w:r>
      <w:r>
        <w:rPr>
          <w:rStyle w:val="16"/>
          <w:rFonts w:hint="eastAsia" w:ascii="仿宋" w:eastAsia="仿宋"/>
          <w:b w:val="0"/>
          <w:bCs/>
          <w:sz w:val="32"/>
          <w:szCs w:val="32"/>
          <w:lang w:val="en-US" w:eastAsia="zh-CN"/>
        </w:rPr>
        <w:t>100</w:t>
      </w:r>
      <w:r>
        <w:rPr>
          <w:rStyle w:val="16"/>
          <w:rFonts w:ascii="仿宋" w:eastAsia="仿宋"/>
          <w:b w:val="0"/>
          <w:bCs/>
          <w:sz w:val="32"/>
          <w:szCs w:val="32"/>
        </w:rPr>
        <w:t>%</w:t>
      </w:r>
      <w:r>
        <w:rPr>
          <w:rStyle w:val="16"/>
          <w:rFonts w:hint="eastAsia" w:ascii="仿宋" w:eastAsia="仿宋"/>
          <w:b w:val="0"/>
          <w:bCs/>
          <w:sz w:val="32"/>
          <w:szCs w:val="32"/>
        </w:rPr>
        <w:t>。</w:t>
      </w:r>
    </w:p>
    <w:p>
      <w:pPr>
        <w:numPr>
          <w:ilvl w:val="0"/>
          <w:numId w:val="0"/>
        </w:numPr>
        <w:spacing w:line="600" w:lineRule="exact"/>
        <w:ind w:firstLine="643" w:firstLineChars="200"/>
        <w:rPr>
          <w:rStyle w:val="16"/>
          <w:rFonts w:hint="eastAsia" w:ascii="仿宋" w:eastAsia="仿宋"/>
          <w:bCs/>
          <w:sz w:val="32"/>
          <w:szCs w:val="32"/>
          <w:lang w:eastAsia="zh-CN"/>
        </w:rPr>
      </w:pPr>
      <w:r>
        <w:rPr>
          <w:rStyle w:val="16"/>
          <w:rFonts w:hint="eastAsia" w:ascii="仿宋" w:eastAsia="仿宋"/>
          <w:bCs/>
          <w:sz w:val="32"/>
          <w:szCs w:val="32"/>
          <w:lang w:val="en-US" w:eastAsia="zh-CN"/>
        </w:rPr>
        <w:t>2</w:t>
      </w:r>
      <w:r>
        <w:rPr>
          <w:rStyle w:val="16"/>
          <w:rFonts w:ascii="仿宋" w:eastAsia="仿宋"/>
          <w:bCs/>
          <w:sz w:val="32"/>
          <w:szCs w:val="32"/>
        </w:rPr>
        <w:t>.</w:t>
      </w:r>
      <w:r>
        <w:rPr>
          <w:rStyle w:val="16"/>
          <w:rFonts w:hint="eastAsia" w:ascii="仿宋" w:eastAsia="仿宋"/>
          <w:bCs/>
          <w:sz w:val="32"/>
          <w:szCs w:val="32"/>
        </w:rPr>
        <w:t>社会保障和就业（类）</w:t>
      </w:r>
      <w:r>
        <w:rPr>
          <w:rStyle w:val="16"/>
          <w:rFonts w:hint="eastAsia" w:ascii="仿宋" w:eastAsia="仿宋"/>
          <w:bCs/>
          <w:sz w:val="32"/>
          <w:szCs w:val="32"/>
          <w:lang w:val="en-US" w:eastAsia="zh-CN"/>
        </w:rPr>
        <w:t>行政事业养老支出</w:t>
      </w:r>
      <w:r>
        <w:rPr>
          <w:rStyle w:val="16"/>
          <w:rFonts w:hint="eastAsia" w:ascii="仿宋" w:eastAsia="仿宋"/>
          <w:bCs/>
          <w:sz w:val="32"/>
          <w:szCs w:val="32"/>
        </w:rPr>
        <w:t>（款</w:t>
      </w:r>
      <w:r>
        <w:rPr>
          <w:rStyle w:val="16"/>
          <w:rFonts w:hint="eastAsia" w:ascii="仿宋" w:eastAsia="仿宋"/>
          <w:bCs/>
          <w:sz w:val="32"/>
          <w:szCs w:val="32"/>
          <w:lang w:eastAsia="zh-CN"/>
        </w:rPr>
        <w:t>）</w:t>
      </w:r>
    </w:p>
    <w:p>
      <w:pPr>
        <w:numPr>
          <w:ilvl w:val="0"/>
          <w:numId w:val="0"/>
        </w:numPr>
        <w:spacing w:line="600" w:lineRule="exact"/>
        <w:ind w:firstLine="643" w:firstLineChars="200"/>
        <w:rPr>
          <w:rStyle w:val="16"/>
          <w:rFonts w:hint="eastAsia" w:ascii="仿宋" w:eastAsia="仿宋"/>
          <w:b w:val="0"/>
          <w:bCs/>
          <w:sz w:val="32"/>
          <w:szCs w:val="32"/>
        </w:rPr>
      </w:pPr>
      <w:r>
        <w:rPr>
          <w:rStyle w:val="16"/>
          <w:rFonts w:hint="eastAsia" w:ascii="仿宋" w:eastAsia="仿宋"/>
          <w:bCs/>
          <w:sz w:val="32"/>
          <w:szCs w:val="32"/>
          <w:lang w:eastAsia="zh-CN"/>
        </w:rPr>
        <w:t>（</w:t>
      </w:r>
      <w:r>
        <w:rPr>
          <w:rStyle w:val="16"/>
          <w:rFonts w:hint="eastAsia" w:ascii="仿宋" w:eastAsia="仿宋"/>
          <w:bCs/>
          <w:sz w:val="32"/>
          <w:szCs w:val="32"/>
          <w:lang w:val="en-US" w:eastAsia="zh-CN"/>
        </w:rPr>
        <w:t>1</w:t>
      </w:r>
      <w:r>
        <w:rPr>
          <w:rStyle w:val="16"/>
          <w:rFonts w:hint="eastAsia" w:ascii="仿宋" w:eastAsia="仿宋"/>
          <w:bCs/>
          <w:sz w:val="32"/>
          <w:szCs w:val="32"/>
          <w:lang w:eastAsia="zh-CN"/>
        </w:rPr>
        <w:t>）机关事业单位基本养老保险缴费支出</w:t>
      </w:r>
      <w:r>
        <w:rPr>
          <w:rStyle w:val="16"/>
          <w:rFonts w:hint="eastAsia" w:ascii="仿宋" w:eastAsia="仿宋"/>
          <w:bCs/>
          <w:sz w:val="32"/>
          <w:szCs w:val="32"/>
        </w:rPr>
        <w:t>（项）</w:t>
      </w:r>
      <w:r>
        <w:rPr>
          <w:rStyle w:val="16"/>
          <w:rFonts w:ascii="仿宋" w:eastAsia="仿宋"/>
          <w:bCs/>
          <w:sz w:val="32"/>
          <w:szCs w:val="32"/>
        </w:rPr>
        <w:t>:</w:t>
      </w:r>
      <w:r>
        <w:rPr>
          <w:rStyle w:val="16"/>
          <w:rFonts w:ascii="仿宋" w:eastAsia="仿宋"/>
          <w:b w:val="0"/>
          <w:bCs/>
          <w:sz w:val="32"/>
          <w:szCs w:val="32"/>
        </w:rPr>
        <w:t xml:space="preserve"> </w:t>
      </w:r>
      <w:r>
        <w:rPr>
          <w:rStyle w:val="16"/>
          <w:rFonts w:hint="eastAsia" w:ascii="仿宋" w:eastAsia="仿宋"/>
          <w:b w:val="0"/>
          <w:bCs/>
          <w:sz w:val="32"/>
          <w:szCs w:val="32"/>
        </w:rPr>
        <w:t>支出决算为</w:t>
      </w:r>
      <w:r>
        <w:rPr>
          <w:rStyle w:val="16"/>
          <w:rFonts w:hint="eastAsia" w:ascii="仿宋" w:eastAsia="仿宋"/>
          <w:b w:val="0"/>
          <w:bCs/>
          <w:sz w:val="32"/>
          <w:szCs w:val="32"/>
          <w:lang w:val="en-US" w:eastAsia="zh-CN"/>
        </w:rPr>
        <w:t>39.67</w:t>
      </w:r>
      <w:r>
        <w:rPr>
          <w:rStyle w:val="16"/>
          <w:rFonts w:hint="eastAsia" w:ascii="仿宋" w:eastAsia="仿宋"/>
          <w:b w:val="0"/>
          <w:bCs/>
          <w:sz w:val="32"/>
          <w:szCs w:val="32"/>
        </w:rPr>
        <w:t>万元，完成预算</w:t>
      </w:r>
      <w:r>
        <w:rPr>
          <w:rStyle w:val="16"/>
          <w:rFonts w:hint="eastAsia" w:ascii="仿宋" w:eastAsia="仿宋"/>
          <w:b w:val="0"/>
          <w:bCs/>
          <w:sz w:val="32"/>
          <w:szCs w:val="32"/>
          <w:lang w:val="en-US" w:eastAsia="zh-CN"/>
        </w:rPr>
        <w:t>100</w:t>
      </w:r>
      <w:r>
        <w:rPr>
          <w:rStyle w:val="16"/>
          <w:rFonts w:ascii="仿宋" w:eastAsia="仿宋"/>
          <w:b w:val="0"/>
          <w:bCs/>
          <w:sz w:val="32"/>
          <w:szCs w:val="32"/>
        </w:rPr>
        <w:t>%</w:t>
      </w:r>
      <w:r>
        <w:rPr>
          <w:rStyle w:val="16"/>
          <w:rFonts w:hint="eastAsia" w:ascii="仿宋" w:eastAsia="仿宋"/>
          <w:b w:val="0"/>
          <w:bCs/>
          <w:sz w:val="32"/>
          <w:szCs w:val="32"/>
        </w:rPr>
        <w:t>。</w:t>
      </w:r>
    </w:p>
    <w:p>
      <w:pPr>
        <w:numPr>
          <w:ilvl w:val="0"/>
          <w:numId w:val="0"/>
        </w:numPr>
        <w:spacing w:line="600" w:lineRule="exact"/>
        <w:ind w:firstLine="643" w:firstLineChars="200"/>
        <w:rPr>
          <w:rStyle w:val="16"/>
          <w:rFonts w:hint="eastAsia" w:ascii="仿宋" w:eastAsia="仿宋"/>
          <w:b w:val="0"/>
          <w:bCs/>
          <w:sz w:val="32"/>
          <w:szCs w:val="32"/>
        </w:rPr>
      </w:pPr>
      <w:r>
        <w:rPr>
          <w:rStyle w:val="16"/>
          <w:rFonts w:hint="eastAsia" w:ascii="仿宋" w:eastAsia="仿宋"/>
          <w:bCs/>
          <w:sz w:val="32"/>
          <w:szCs w:val="32"/>
          <w:lang w:eastAsia="zh-CN"/>
        </w:rPr>
        <w:t>（</w:t>
      </w:r>
      <w:r>
        <w:rPr>
          <w:rStyle w:val="16"/>
          <w:rFonts w:hint="eastAsia" w:ascii="仿宋" w:eastAsia="仿宋"/>
          <w:bCs/>
          <w:sz w:val="32"/>
          <w:szCs w:val="32"/>
          <w:lang w:val="en-US" w:eastAsia="zh-CN"/>
        </w:rPr>
        <w:t>2</w:t>
      </w:r>
      <w:r>
        <w:rPr>
          <w:rStyle w:val="16"/>
          <w:rFonts w:hint="eastAsia" w:ascii="仿宋" w:eastAsia="仿宋"/>
          <w:bCs/>
          <w:sz w:val="32"/>
          <w:szCs w:val="32"/>
          <w:lang w:eastAsia="zh-CN"/>
        </w:rPr>
        <w:t>）机关事业单位职业年金缴费支出</w:t>
      </w:r>
      <w:r>
        <w:rPr>
          <w:rStyle w:val="16"/>
          <w:rFonts w:hint="eastAsia" w:ascii="仿宋" w:eastAsia="仿宋"/>
          <w:bCs/>
          <w:sz w:val="32"/>
          <w:szCs w:val="32"/>
        </w:rPr>
        <w:t>（项）</w:t>
      </w:r>
      <w:r>
        <w:rPr>
          <w:rStyle w:val="16"/>
          <w:rFonts w:ascii="仿宋" w:eastAsia="仿宋"/>
          <w:bCs/>
          <w:sz w:val="32"/>
          <w:szCs w:val="32"/>
        </w:rPr>
        <w:t>:</w:t>
      </w:r>
      <w:r>
        <w:rPr>
          <w:rStyle w:val="16"/>
          <w:rFonts w:ascii="仿宋" w:eastAsia="仿宋"/>
          <w:b w:val="0"/>
          <w:bCs/>
          <w:sz w:val="32"/>
          <w:szCs w:val="32"/>
        </w:rPr>
        <w:t xml:space="preserve"> </w:t>
      </w:r>
      <w:r>
        <w:rPr>
          <w:rStyle w:val="16"/>
          <w:rFonts w:hint="eastAsia" w:ascii="仿宋" w:eastAsia="仿宋"/>
          <w:b w:val="0"/>
          <w:bCs/>
          <w:sz w:val="32"/>
          <w:szCs w:val="32"/>
        </w:rPr>
        <w:t>支出决算为</w:t>
      </w:r>
      <w:r>
        <w:rPr>
          <w:rStyle w:val="16"/>
          <w:rFonts w:hint="eastAsia" w:ascii="仿宋" w:eastAsia="仿宋"/>
          <w:b w:val="0"/>
          <w:bCs/>
          <w:sz w:val="32"/>
          <w:szCs w:val="32"/>
          <w:lang w:val="en-US" w:eastAsia="zh-CN"/>
        </w:rPr>
        <w:t>19.84</w:t>
      </w:r>
      <w:r>
        <w:rPr>
          <w:rStyle w:val="16"/>
          <w:rFonts w:hint="eastAsia" w:ascii="仿宋" w:eastAsia="仿宋"/>
          <w:b w:val="0"/>
          <w:bCs/>
          <w:sz w:val="32"/>
          <w:szCs w:val="32"/>
        </w:rPr>
        <w:t>万元，完成预算</w:t>
      </w:r>
      <w:r>
        <w:rPr>
          <w:rStyle w:val="16"/>
          <w:rFonts w:hint="eastAsia" w:ascii="仿宋" w:eastAsia="仿宋"/>
          <w:b w:val="0"/>
          <w:bCs/>
          <w:sz w:val="32"/>
          <w:szCs w:val="32"/>
          <w:lang w:val="en-US" w:eastAsia="zh-CN"/>
        </w:rPr>
        <w:t>100</w:t>
      </w:r>
      <w:r>
        <w:rPr>
          <w:rStyle w:val="16"/>
          <w:rFonts w:ascii="仿宋" w:eastAsia="仿宋"/>
          <w:b w:val="0"/>
          <w:bCs/>
          <w:sz w:val="32"/>
          <w:szCs w:val="32"/>
        </w:rPr>
        <w:t>%</w:t>
      </w:r>
      <w:r>
        <w:rPr>
          <w:rStyle w:val="16"/>
          <w:rFonts w:hint="eastAsia" w:ascii="仿宋" w:eastAsia="仿宋"/>
          <w:b w:val="0"/>
          <w:bCs/>
          <w:sz w:val="32"/>
          <w:szCs w:val="32"/>
        </w:rPr>
        <w:t>。</w:t>
      </w:r>
    </w:p>
    <w:p>
      <w:pPr>
        <w:numPr>
          <w:ilvl w:val="0"/>
          <w:numId w:val="0"/>
        </w:numPr>
        <w:spacing w:line="600" w:lineRule="exact"/>
        <w:ind w:firstLine="643" w:firstLineChars="200"/>
        <w:rPr>
          <w:rStyle w:val="16"/>
          <w:rFonts w:hint="eastAsia" w:ascii="仿宋" w:eastAsia="仿宋"/>
          <w:bCs/>
          <w:sz w:val="32"/>
          <w:szCs w:val="32"/>
        </w:rPr>
      </w:pPr>
      <w:r>
        <w:rPr>
          <w:rStyle w:val="16"/>
          <w:rFonts w:hint="eastAsia" w:ascii="仿宋" w:eastAsia="仿宋"/>
          <w:bCs/>
          <w:sz w:val="32"/>
          <w:szCs w:val="32"/>
          <w:lang w:val="en-US" w:eastAsia="zh-CN"/>
        </w:rPr>
        <w:t>3</w:t>
      </w:r>
      <w:r>
        <w:rPr>
          <w:rStyle w:val="16"/>
          <w:rFonts w:ascii="仿宋" w:eastAsia="仿宋"/>
          <w:bCs/>
          <w:sz w:val="32"/>
          <w:szCs w:val="32"/>
        </w:rPr>
        <w:t>.</w:t>
      </w:r>
      <w:r>
        <w:rPr>
          <w:rFonts w:hint="eastAsia" w:ascii="仿宋" w:eastAsia="仿宋"/>
          <w:b/>
          <w:bCs/>
          <w:sz w:val="32"/>
          <w:szCs w:val="32"/>
        </w:rPr>
        <w:t>卫生健康</w:t>
      </w:r>
      <w:r>
        <w:rPr>
          <w:rStyle w:val="16"/>
          <w:rFonts w:hint="eastAsia" w:ascii="仿宋" w:eastAsia="仿宋"/>
          <w:bCs/>
          <w:sz w:val="32"/>
          <w:szCs w:val="32"/>
        </w:rPr>
        <w:t>（类）</w:t>
      </w:r>
      <w:r>
        <w:rPr>
          <w:rStyle w:val="16"/>
          <w:rFonts w:hint="eastAsia" w:ascii="仿宋" w:eastAsia="仿宋"/>
          <w:bCs/>
          <w:sz w:val="32"/>
          <w:szCs w:val="32"/>
          <w:lang w:val="en-US" w:eastAsia="zh-CN"/>
        </w:rPr>
        <w:t>行政事业单位医疗</w:t>
      </w:r>
      <w:r>
        <w:rPr>
          <w:rStyle w:val="16"/>
          <w:rFonts w:hint="eastAsia" w:ascii="仿宋" w:eastAsia="仿宋"/>
          <w:bCs/>
          <w:sz w:val="32"/>
          <w:szCs w:val="32"/>
        </w:rPr>
        <w:t>（款）</w:t>
      </w:r>
    </w:p>
    <w:p>
      <w:pPr>
        <w:numPr>
          <w:ilvl w:val="0"/>
          <w:numId w:val="0"/>
        </w:numPr>
        <w:spacing w:line="600" w:lineRule="exact"/>
        <w:ind w:firstLine="643" w:firstLineChars="200"/>
        <w:rPr>
          <w:rStyle w:val="16"/>
          <w:rFonts w:hint="eastAsia" w:ascii="仿宋" w:eastAsia="仿宋"/>
          <w:b w:val="0"/>
          <w:bCs/>
          <w:sz w:val="32"/>
          <w:szCs w:val="32"/>
        </w:rPr>
      </w:pPr>
      <w:r>
        <w:rPr>
          <w:rStyle w:val="16"/>
          <w:rFonts w:hint="eastAsia" w:ascii="仿宋" w:eastAsia="仿宋"/>
          <w:bCs/>
          <w:sz w:val="32"/>
          <w:szCs w:val="32"/>
          <w:lang w:eastAsia="zh-CN"/>
        </w:rPr>
        <w:t>（</w:t>
      </w:r>
      <w:r>
        <w:rPr>
          <w:rStyle w:val="16"/>
          <w:rFonts w:hint="eastAsia" w:ascii="仿宋" w:eastAsia="仿宋"/>
          <w:bCs/>
          <w:sz w:val="32"/>
          <w:szCs w:val="32"/>
          <w:lang w:val="en-US" w:eastAsia="zh-CN"/>
        </w:rPr>
        <w:t>1</w:t>
      </w:r>
      <w:r>
        <w:rPr>
          <w:rStyle w:val="16"/>
          <w:rFonts w:hint="eastAsia" w:ascii="仿宋" w:eastAsia="仿宋"/>
          <w:bCs/>
          <w:sz w:val="32"/>
          <w:szCs w:val="32"/>
          <w:lang w:eastAsia="zh-CN"/>
        </w:rPr>
        <w:t>）</w:t>
      </w:r>
      <w:r>
        <w:rPr>
          <w:rStyle w:val="16"/>
          <w:rFonts w:hint="eastAsia" w:ascii="仿宋" w:eastAsia="仿宋"/>
          <w:bCs/>
          <w:sz w:val="32"/>
          <w:szCs w:val="32"/>
          <w:lang w:val="en-US" w:eastAsia="zh-CN"/>
        </w:rPr>
        <w:t>行政单位医疗</w:t>
      </w:r>
      <w:r>
        <w:rPr>
          <w:rStyle w:val="16"/>
          <w:rFonts w:hint="eastAsia" w:ascii="仿宋" w:eastAsia="仿宋"/>
          <w:bCs/>
          <w:sz w:val="32"/>
          <w:szCs w:val="32"/>
        </w:rPr>
        <w:t>（项）</w:t>
      </w:r>
      <w:r>
        <w:rPr>
          <w:rStyle w:val="16"/>
          <w:rFonts w:ascii="仿宋" w:eastAsia="仿宋"/>
          <w:bCs/>
          <w:sz w:val="32"/>
          <w:szCs w:val="32"/>
        </w:rPr>
        <w:t>:</w:t>
      </w:r>
      <w:r>
        <w:rPr>
          <w:rStyle w:val="16"/>
          <w:rFonts w:ascii="仿宋" w:eastAsia="仿宋"/>
          <w:b w:val="0"/>
          <w:bCs/>
          <w:sz w:val="32"/>
          <w:szCs w:val="32"/>
        </w:rPr>
        <w:t xml:space="preserve"> </w:t>
      </w:r>
      <w:r>
        <w:rPr>
          <w:rStyle w:val="16"/>
          <w:rFonts w:hint="eastAsia" w:ascii="仿宋" w:eastAsia="仿宋"/>
          <w:b w:val="0"/>
          <w:bCs/>
          <w:sz w:val="32"/>
          <w:szCs w:val="32"/>
        </w:rPr>
        <w:t>支出决算为</w:t>
      </w:r>
      <w:r>
        <w:rPr>
          <w:rStyle w:val="16"/>
          <w:rFonts w:hint="eastAsia" w:ascii="仿宋" w:eastAsia="仿宋"/>
          <w:b w:val="0"/>
          <w:bCs/>
          <w:sz w:val="32"/>
          <w:szCs w:val="32"/>
          <w:lang w:val="en-US" w:eastAsia="zh-CN"/>
        </w:rPr>
        <w:t>18.58</w:t>
      </w:r>
      <w:r>
        <w:rPr>
          <w:rStyle w:val="16"/>
          <w:rFonts w:hint="eastAsia" w:ascii="仿宋" w:eastAsia="仿宋"/>
          <w:b w:val="0"/>
          <w:bCs/>
          <w:sz w:val="32"/>
          <w:szCs w:val="32"/>
        </w:rPr>
        <w:t>万元，完成预算</w:t>
      </w:r>
      <w:r>
        <w:rPr>
          <w:rStyle w:val="16"/>
          <w:rFonts w:hint="eastAsia" w:ascii="仿宋" w:eastAsia="仿宋"/>
          <w:b w:val="0"/>
          <w:bCs/>
          <w:sz w:val="32"/>
          <w:szCs w:val="32"/>
          <w:lang w:val="en-US" w:eastAsia="zh-CN"/>
        </w:rPr>
        <w:t>100</w:t>
      </w:r>
      <w:r>
        <w:rPr>
          <w:rStyle w:val="16"/>
          <w:rFonts w:ascii="仿宋" w:eastAsia="仿宋"/>
          <w:b w:val="0"/>
          <w:bCs/>
          <w:sz w:val="32"/>
          <w:szCs w:val="32"/>
        </w:rPr>
        <w:t>%</w:t>
      </w:r>
      <w:r>
        <w:rPr>
          <w:rStyle w:val="16"/>
          <w:rFonts w:hint="eastAsia" w:ascii="仿宋" w:eastAsia="仿宋"/>
          <w:b w:val="0"/>
          <w:bCs/>
          <w:sz w:val="32"/>
          <w:szCs w:val="32"/>
        </w:rPr>
        <w:t>。</w:t>
      </w:r>
    </w:p>
    <w:p>
      <w:pPr>
        <w:numPr>
          <w:ilvl w:val="0"/>
          <w:numId w:val="0"/>
        </w:numPr>
        <w:spacing w:line="600" w:lineRule="exact"/>
        <w:ind w:firstLine="643" w:firstLineChars="200"/>
      </w:pPr>
      <w:r>
        <w:rPr>
          <w:rStyle w:val="16"/>
          <w:rFonts w:hint="eastAsia" w:ascii="仿宋" w:eastAsia="仿宋"/>
          <w:bCs/>
          <w:sz w:val="32"/>
          <w:szCs w:val="32"/>
          <w:lang w:eastAsia="zh-CN"/>
        </w:rPr>
        <w:t>（</w:t>
      </w:r>
      <w:r>
        <w:rPr>
          <w:rStyle w:val="16"/>
          <w:rFonts w:hint="eastAsia" w:ascii="仿宋" w:eastAsia="仿宋"/>
          <w:bCs/>
          <w:sz w:val="32"/>
          <w:szCs w:val="32"/>
          <w:lang w:val="en-US" w:eastAsia="zh-CN"/>
        </w:rPr>
        <w:t>2</w:t>
      </w:r>
      <w:r>
        <w:rPr>
          <w:rStyle w:val="16"/>
          <w:rFonts w:hint="eastAsia" w:ascii="仿宋" w:eastAsia="仿宋"/>
          <w:bCs/>
          <w:sz w:val="32"/>
          <w:szCs w:val="32"/>
          <w:lang w:eastAsia="zh-CN"/>
        </w:rPr>
        <w:t>）</w:t>
      </w:r>
      <w:r>
        <w:rPr>
          <w:rStyle w:val="16"/>
          <w:rFonts w:hint="eastAsia" w:ascii="仿宋" w:eastAsia="仿宋"/>
          <w:bCs/>
          <w:sz w:val="32"/>
          <w:szCs w:val="32"/>
          <w:lang w:val="en-US" w:eastAsia="zh-CN"/>
        </w:rPr>
        <w:t>公务员医疗补助</w:t>
      </w:r>
      <w:r>
        <w:rPr>
          <w:rStyle w:val="16"/>
          <w:rFonts w:hint="eastAsia" w:ascii="仿宋" w:eastAsia="仿宋"/>
          <w:bCs/>
          <w:sz w:val="32"/>
          <w:szCs w:val="32"/>
        </w:rPr>
        <w:t>（项）</w:t>
      </w:r>
      <w:r>
        <w:rPr>
          <w:rStyle w:val="16"/>
          <w:rFonts w:ascii="仿宋" w:eastAsia="仿宋"/>
          <w:bCs/>
          <w:sz w:val="32"/>
          <w:szCs w:val="32"/>
        </w:rPr>
        <w:t>:</w:t>
      </w:r>
      <w:r>
        <w:rPr>
          <w:rStyle w:val="16"/>
          <w:rFonts w:ascii="仿宋" w:eastAsia="仿宋"/>
          <w:b w:val="0"/>
          <w:bCs/>
          <w:sz w:val="32"/>
          <w:szCs w:val="32"/>
        </w:rPr>
        <w:t xml:space="preserve"> </w:t>
      </w:r>
      <w:r>
        <w:rPr>
          <w:rStyle w:val="16"/>
          <w:rFonts w:hint="eastAsia" w:ascii="仿宋" w:eastAsia="仿宋"/>
          <w:b w:val="0"/>
          <w:bCs/>
          <w:sz w:val="32"/>
          <w:szCs w:val="32"/>
        </w:rPr>
        <w:t>支出决算为</w:t>
      </w:r>
      <w:r>
        <w:rPr>
          <w:rStyle w:val="16"/>
          <w:rFonts w:hint="eastAsia" w:ascii="仿宋" w:eastAsia="仿宋"/>
          <w:b w:val="0"/>
          <w:bCs/>
          <w:sz w:val="32"/>
          <w:szCs w:val="32"/>
          <w:lang w:val="en-US" w:eastAsia="zh-CN"/>
        </w:rPr>
        <w:t>6.73</w:t>
      </w:r>
      <w:r>
        <w:rPr>
          <w:rStyle w:val="16"/>
          <w:rFonts w:hint="eastAsia" w:ascii="仿宋" w:eastAsia="仿宋"/>
          <w:b w:val="0"/>
          <w:bCs/>
          <w:sz w:val="32"/>
          <w:szCs w:val="32"/>
        </w:rPr>
        <w:t>万元，完成预算</w:t>
      </w:r>
      <w:r>
        <w:rPr>
          <w:rStyle w:val="16"/>
          <w:rFonts w:hint="eastAsia" w:ascii="仿宋" w:eastAsia="仿宋"/>
          <w:b w:val="0"/>
          <w:bCs/>
          <w:sz w:val="32"/>
          <w:szCs w:val="32"/>
          <w:lang w:val="en-US" w:eastAsia="zh-CN"/>
        </w:rPr>
        <w:t>100</w:t>
      </w:r>
      <w:r>
        <w:rPr>
          <w:rStyle w:val="16"/>
          <w:rFonts w:ascii="仿宋" w:eastAsia="仿宋"/>
          <w:b w:val="0"/>
          <w:bCs/>
          <w:sz w:val="32"/>
          <w:szCs w:val="32"/>
        </w:rPr>
        <w:t>%</w:t>
      </w:r>
      <w:r>
        <w:rPr>
          <w:rStyle w:val="16"/>
          <w:rFonts w:hint="eastAsia" w:ascii="仿宋" w:eastAsia="仿宋"/>
          <w:b w:val="0"/>
          <w:bCs/>
          <w:sz w:val="32"/>
          <w:szCs w:val="32"/>
        </w:rPr>
        <w:t>。</w:t>
      </w:r>
    </w:p>
    <w:p>
      <w:pPr>
        <w:spacing w:line="600" w:lineRule="exact"/>
        <w:ind w:firstLine="643" w:firstLineChars="200"/>
        <w:rPr>
          <w:rFonts w:ascii="仿宋" w:eastAsia="仿宋"/>
          <w:b/>
          <w:sz w:val="32"/>
          <w:szCs w:val="32"/>
        </w:rPr>
      </w:pPr>
      <w:r>
        <w:rPr>
          <w:rFonts w:hint="eastAsia" w:ascii="仿宋" w:eastAsia="仿宋"/>
          <w:b/>
          <w:sz w:val="32"/>
          <w:szCs w:val="32"/>
        </w:rPr>
        <w:t>4.住房保障支出（类）住房改革支出（款）住房公积金（项）:支出决算为</w:t>
      </w:r>
      <w:r>
        <w:rPr>
          <w:rFonts w:hint="eastAsia" w:ascii="仿宋" w:eastAsia="仿宋"/>
          <w:b/>
          <w:sz w:val="32"/>
          <w:szCs w:val="32"/>
          <w:lang w:val="en-US" w:eastAsia="zh-CN"/>
        </w:rPr>
        <w:t>37</w:t>
      </w:r>
      <w:r>
        <w:rPr>
          <w:rFonts w:hint="eastAsia" w:ascii="仿宋" w:eastAsia="仿宋"/>
          <w:b/>
          <w:sz w:val="32"/>
          <w:szCs w:val="32"/>
        </w:rPr>
        <w:t>万元，完成预算100%。</w:t>
      </w:r>
    </w:p>
    <w:p>
      <w:pPr>
        <w:tabs>
          <w:tab w:val="right" w:pos="8306"/>
        </w:tabs>
        <w:spacing w:line="600" w:lineRule="exact"/>
        <w:ind w:firstLine="640"/>
        <w:outlineLvl w:val="1"/>
        <w:rPr>
          <w:rStyle w:val="19"/>
        </w:rPr>
      </w:pPr>
      <w:bookmarkStart w:id="46" w:name="_Toc15377214"/>
      <w:bookmarkStart w:id="47" w:name="_Toc23641"/>
      <w:bookmarkStart w:id="48" w:name="_Toc15396608"/>
      <w:r>
        <w:rPr>
          <w:rFonts w:hint="eastAsia" w:ascii="黑体" w:eastAsia="黑体"/>
          <w:sz w:val="32"/>
          <w:szCs w:val="32"/>
        </w:rPr>
        <w:t>六</w:t>
      </w:r>
      <w:r>
        <w:rPr>
          <w:rFonts w:hint="eastAsia" w:ascii="黑体" w:eastAsia="黑体"/>
          <w:b/>
          <w:sz w:val="32"/>
          <w:szCs w:val="32"/>
        </w:rPr>
        <w:t>、一</w:t>
      </w:r>
      <w:r>
        <w:rPr>
          <w:rStyle w:val="19"/>
          <w:rFonts w:hint="eastAsia" w:ascii="黑体" w:eastAsia="黑体"/>
          <w:b w:val="0"/>
        </w:rPr>
        <w:t>般公共预算财政拨款基本支出决算情况说明</w:t>
      </w:r>
      <w:bookmarkEnd w:id="46"/>
      <w:bookmarkEnd w:id="47"/>
      <w:bookmarkEnd w:id="48"/>
      <w:r>
        <w:rPr>
          <w:rStyle w:val="19"/>
          <w:rFonts w:ascii="黑体" w:eastAsia="黑体"/>
          <w:b w:val="0"/>
        </w:rPr>
        <w:tab/>
      </w:r>
    </w:p>
    <w:p>
      <w:pPr>
        <w:spacing w:line="600" w:lineRule="exact"/>
        <w:ind w:firstLine="645"/>
        <w:rPr>
          <w:rFonts w:ascii="仿宋" w:eastAsia="仿宋"/>
          <w:sz w:val="32"/>
          <w:szCs w:val="32"/>
        </w:rPr>
      </w:pPr>
      <w:r>
        <w:rPr>
          <w:rFonts w:ascii="仿宋" w:eastAsia="仿宋"/>
          <w:sz w:val="32"/>
          <w:szCs w:val="32"/>
        </w:rPr>
        <w:t>20</w:t>
      </w:r>
      <w:r>
        <w:rPr>
          <w:rFonts w:hint="eastAsia" w:ascii="仿宋" w:eastAsia="仿宋"/>
          <w:sz w:val="32"/>
          <w:szCs w:val="32"/>
        </w:rPr>
        <w:t>21年一般公共预算财政拨款基本支出</w:t>
      </w:r>
      <w:r>
        <w:rPr>
          <w:rFonts w:hint="eastAsia" w:ascii="仿宋" w:eastAsia="仿宋"/>
          <w:sz w:val="32"/>
          <w:szCs w:val="32"/>
          <w:lang w:val="en-US" w:eastAsia="zh-CN"/>
        </w:rPr>
        <w:t>684.69</w:t>
      </w:r>
      <w:r>
        <w:rPr>
          <w:rFonts w:hint="eastAsia" w:ascii="仿宋" w:eastAsia="仿宋"/>
          <w:sz w:val="32"/>
          <w:szCs w:val="32"/>
        </w:rPr>
        <w:t>万元，其中：</w:t>
      </w:r>
    </w:p>
    <w:p>
      <w:pPr>
        <w:spacing w:line="600" w:lineRule="exact"/>
        <w:ind w:firstLine="645"/>
        <w:rPr>
          <w:rFonts w:ascii="仿宋" w:eastAsia="仿宋"/>
          <w:b/>
          <w:sz w:val="32"/>
          <w:szCs w:val="32"/>
        </w:rPr>
      </w:pPr>
      <w:r>
        <w:rPr>
          <w:rFonts w:hint="eastAsia" w:ascii="仿宋" w:eastAsia="仿宋"/>
          <w:sz w:val="32"/>
          <w:szCs w:val="32"/>
        </w:rPr>
        <w:t>人员经费</w:t>
      </w:r>
      <w:r>
        <w:rPr>
          <w:rFonts w:hint="eastAsia" w:ascii="仿宋" w:eastAsia="仿宋"/>
          <w:sz w:val="32"/>
          <w:szCs w:val="32"/>
          <w:lang w:val="en-US" w:eastAsia="zh-CN"/>
        </w:rPr>
        <w:t>545.89</w:t>
      </w:r>
      <w:r>
        <w:rPr>
          <w:rFonts w:hint="eastAsia" w:ascii="仿宋" w:eastAsia="仿宋"/>
          <w:sz w:val="32"/>
          <w:szCs w:val="32"/>
        </w:rPr>
        <w:t>万元，主要包括：基本工资</w:t>
      </w:r>
      <w:r>
        <w:rPr>
          <w:rFonts w:hint="eastAsia" w:ascii="仿宋" w:eastAsia="仿宋"/>
          <w:sz w:val="32"/>
          <w:szCs w:val="32"/>
          <w:lang w:val="en-US" w:eastAsia="zh-CN"/>
        </w:rPr>
        <w:t>101.87万元</w:t>
      </w:r>
      <w:r>
        <w:rPr>
          <w:rFonts w:hint="eastAsia" w:ascii="仿宋" w:eastAsia="仿宋"/>
          <w:sz w:val="32"/>
          <w:szCs w:val="32"/>
        </w:rPr>
        <w:t>、津贴补贴</w:t>
      </w:r>
      <w:r>
        <w:rPr>
          <w:rFonts w:hint="eastAsia" w:ascii="仿宋" w:eastAsia="仿宋"/>
          <w:sz w:val="32"/>
          <w:szCs w:val="32"/>
          <w:lang w:val="en-US" w:eastAsia="zh-CN"/>
        </w:rPr>
        <w:t>265.91万元</w:t>
      </w:r>
      <w:r>
        <w:rPr>
          <w:rFonts w:hint="eastAsia" w:ascii="仿宋" w:eastAsia="仿宋"/>
          <w:sz w:val="32"/>
          <w:szCs w:val="32"/>
        </w:rPr>
        <w:t>、奖金</w:t>
      </w:r>
      <w:r>
        <w:rPr>
          <w:rFonts w:hint="eastAsia" w:ascii="仿宋" w:eastAsia="仿宋"/>
          <w:sz w:val="32"/>
          <w:szCs w:val="32"/>
          <w:lang w:val="en-US" w:eastAsia="zh-CN"/>
        </w:rPr>
        <w:t>14.68万元</w:t>
      </w:r>
      <w:r>
        <w:rPr>
          <w:rFonts w:hint="eastAsia" w:ascii="仿宋" w:eastAsia="仿宋"/>
          <w:sz w:val="32"/>
          <w:szCs w:val="32"/>
        </w:rPr>
        <w:t>、机关事业单位基本养老保险缴费</w:t>
      </w:r>
      <w:r>
        <w:rPr>
          <w:rFonts w:hint="eastAsia" w:ascii="仿宋" w:eastAsia="仿宋"/>
          <w:sz w:val="32"/>
          <w:szCs w:val="32"/>
          <w:lang w:val="en-US" w:eastAsia="zh-CN"/>
        </w:rPr>
        <w:t>39.67万元</w:t>
      </w:r>
      <w:r>
        <w:rPr>
          <w:rFonts w:hint="eastAsia" w:ascii="仿宋" w:eastAsia="仿宋"/>
          <w:sz w:val="32"/>
          <w:szCs w:val="32"/>
        </w:rPr>
        <w:t>、职业年金缴费</w:t>
      </w:r>
      <w:r>
        <w:rPr>
          <w:rFonts w:hint="eastAsia" w:ascii="仿宋" w:eastAsia="仿宋"/>
          <w:sz w:val="32"/>
          <w:szCs w:val="32"/>
          <w:lang w:val="en-US" w:eastAsia="zh-CN"/>
        </w:rPr>
        <w:t>19.84万元</w:t>
      </w:r>
      <w:r>
        <w:rPr>
          <w:rFonts w:hint="eastAsia" w:ascii="仿宋" w:eastAsia="仿宋"/>
          <w:sz w:val="32"/>
          <w:szCs w:val="32"/>
        </w:rPr>
        <w:t>、职工基本医疗保险缴费</w:t>
      </w:r>
      <w:r>
        <w:rPr>
          <w:rFonts w:hint="eastAsia" w:ascii="仿宋" w:eastAsia="仿宋"/>
          <w:sz w:val="32"/>
          <w:szCs w:val="32"/>
          <w:lang w:val="en-US" w:eastAsia="zh-CN"/>
        </w:rPr>
        <w:t>18.58</w:t>
      </w:r>
      <w:r>
        <w:rPr>
          <w:rFonts w:hint="eastAsia" w:ascii="仿宋" w:eastAsia="仿宋"/>
          <w:sz w:val="32"/>
          <w:szCs w:val="32"/>
        </w:rPr>
        <w:t>万元、公务员医疗补助缴费</w:t>
      </w:r>
      <w:r>
        <w:rPr>
          <w:rFonts w:hint="eastAsia" w:ascii="仿宋" w:eastAsia="仿宋"/>
          <w:sz w:val="32"/>
          <w:szCs w:val="32"/>
          <w:lang w:val="en-US" w:eastAsia="zh-CN"/>
        </w:rPr>
        <w:t>6.73</w:t>
      </w:r>
      <w:r>
        <w:rPr>
          <w:rFonts w:hint="eastAsia" w:ascii="仿宋" w:eastAsia="仿宋"/>
          <w:sz w:val="32"/>
          <w:szCs w:val="32"/>
        </w:rPr>
        <w:t>万元、其他社会保障缴费</w:t>
      </w:r>
      <w:r>
        <w:rPr>
          <w:rFonts w:hint="eastAsia" w:ascii="仿宋" w:eastAsia="仿宋"/>
          <w:sz w:val="32"/>
          <w:szCs w:val="32"/>
          <w:lang w:val="en-US" w:eastAsia="zh-CN"/>
        </w:rPr>
        <w:t>4.30万元</w:t>
      </w:r>
      <w:r>
        <w:rPr>
          <w:rFonts w:hint="eastAsia" w:ascii="仿宋" w:eastAsia="仿宋"/>
          <w:sz w:val="32"/>
          <w:szCs w:val="32"/>
        </w:rPr>
        <w:t>、医疗费</w:t>
      </w:r>
      <w:r>
        <w:rPr>
          <w:rFonts w:hint="eastAsia" w:ascii="仿宋" w:eastAsia="仿宋"/>
          <w:sz w:val="32"/>
          <w:szCs w:val="32"/>
          <w:lang w:val="en-US" w:eastAsia="zh-CN"/>
        </w:rPr>
        <w:t>1.34万元、</w:t>
      </w:r>
      <w:r>
        <w:rPr>
          <w:rFonts w:hint="eastAsia" w:ascii="仿宋" w:eastAsia="仿宋"/>
          <w:sz w:val="32"/>
          <w:szCs w:val="32"/>
        </w:rPr>
        <w:t>抚恤金</w:t>
      </w:r>
      <w:r>
        <w:rPr>
          <w:rFonts w:hint="eastAsia" w:ascii="仿宋" w:eastAsia="仿宋"/>
          <w:sz w:val="32"/>
          <w:szCs w:val="32"/>
          <w:lang w:val="en-US" w:eastAsia="zh-CN"/>
        </w:rPr>
        <w:t>13.81万元</w:t>
      </w:r>
      <w:r>
        <w:rPr>
          <w:rFonts w:hint="eastAsia" w:ascii="仿宋" w:eastAsia="仿宋"/>
          <w:sz w:val="32"/>
          <w:szCs w:val="32"/>
        </w:rPr>
        <w:t>、生活补助</w:t>
      </w:r>
      <w:r>
        <w:rPr>
          <w:rFonts w:hint="eastAsia" w:ascii="仿宋" w:eastAsia="仿宋"/>
          <w:sz w:val="32"/>
          <w:szCs w:val="32"/>
          <w:lang w:val="en-US" w:eastAsia="zh-CN"/>
        </w:rPr>
        <w:t>21.07</w:t>
      </w:r>
      <w:r>
        <w:rPr>
          <w:rFonts w:hint="eastAsia" w:ascii="仿宋" w:eastAsia="仿宋"/>
          <w:sz w:val="32"/>
          <w:szCs w:val="32"/>
        </w:rPr>
        <w:t>、医疗费补助</w:t>
      </w:r>
      <w:r>
        <w:rPr>
          <w:rFonts w:hint="eastAsia" w:ascii="仿宋" w:eastAsia="仿宋"/>
          <w:sz w:val="32"/>
          <w:szCs w:val="32"/>
          <w:lang w:val="en-US" w:eastAsia="zh-CN"/>
        </w:rPr>
        <w:t>1.08万元、</w:t>
      </w:r>
      <w:r>
        <w:rPr>
          <w:rFonts w:hint="eastAsia" w:ascii="仿宋" w:eastAsia="仿宋"/>
          <w:sz w:val="32"/>
          <w:szCs w:val="32"/>
        </w:rPr>
        <w:t>奖励金</w:t>
      </w:r>
      <w:r>
        <w:rPr>
          <w:rFonts w:hint="eastAsia" w:ascii="仿宋" w:eastAsia="仿宋"/>
          <w:sz w:val="32"/>
          <w:szCs w:val="32"/>
          <w:lang w:val="en-US" w:eastAsia="zh-CN"/>
        </w:rPr>
        <w:t>0.006万元</w:t>
      </w:r>
      <w:r>
        <w:rPr>
          <w:rFonts w:hint="eastAsia" w:ascii="仿宋" w:eastAsia="仿宋"/>
          <w:sz w:val="32"/>
          <w:szCs w:val="32"/>
        </w:rPr>
        <w:t>、住房公积金</w:t>
      </w:r>
      <w:r>
        <w:rPr>
          <w:rFonts w:hint="eastAsia" w:ascii="仿宋" w:eastAsia="仿宋"/>
          <w:sz w:val="32"/>
          <w:szCs w:val="32"/>
          <w:lang w:val="en-US" w:eastAsia="zh-CN"/>
        </w:rPr>
        <w:t>37万元。</w:t>
      </w:r>
      <w:r>
        <w:rPr>
          <w:rFonts w:ascii="仿宋" w:eastAsia="仿宋"/>
          <w:sz w:val="32"/>
          <w:szCs w:val="32"/>
        </w:rPr>
        <w:br w:type="textWrapping"/>
      </w:r>
      <w:r>
        <w:rPr>
          <w:rFonts w:hint="eastAsia" w:ascii="仿宋" w:eastAsia="仿宋"/>
          <w:sz w:val="32"/>
          <w:szCs w:val="32"/>
        </w:rPr>
        <w:t>　　公用经费</w:t>
      </w:r>
      <w:r>
        <w:rPr>
          <w:rFonts w:hint="eastAsia" w:ascii="仿宋" w:eastAsia="仿宋"/>
          <w:sz w:val="32"/>
          <w:szCs w:val="32"/>
          <w:lang w:val="en-US" w:eastAsia="zh-CN"/>
        </w:rPr>
        <w:t>44.75</w:t>
      </w:r>
      <w:r>
        <w:rPr>
          <w:rFonts w:hint="eastAsia" w:ascii="仿宋" w:eastAsia="仿宋"/>
          <w:sz w:val="32"/>
          <w:szCs w:val="32"/>
        </w:rPr>
        <w:t>万元，主要包括：办公费</w:t>
      </w:r>
      <w:r>
        <w:rPr>
          <w:rFonts w:hint="eastAsia" w:ascii="仿宋" w:eastAsia="仿宋"/>
          <w:sz w:val="32"/>
          <w:szCs w:val="32"/>
          <w:lang w:val="en-US" w:eastAsia="zh-CN"/>
        </w:rPr>
        <w:t>14.55万元</w:t>
      </w:r>
      <w:r>
        <w:rPr>
          <w:rFonts w:hint="eastAsia" w:ascii="仿宋" w:eastAsia="仿宋"/>
          <w:sz w:val="32"/>
          <w:szCs w:val="32"/>
        </w:rPr>
        <w:t>、差旅费</w:t>
      </w:r>
      <w:r>
        <w:rPr>
          <w:rFonts w:hint="eastAsia" w:ascii="仿宋" w:eastAsia="仿宋"/>
          <w:sz w:val="32"/>
          <w:szCs w:val="32"/>
          <w:lang w:val="en-US" w:eastAsia="zh-CN"/>
        </w:rPr>
        <w:t>8万元</w:t>
      </w:r>
      <w:r>
        <w:rPr>
          <w:rFonts w:hint="eastAsia" w:ascii="仿宋" w:eastAsia="仿宋"/>
          <w:sz w:val="32"/>
          <w:szCs w:val="32"/>
        </w:rPr>
        <w:t>、维修（护）费</w:t>
      </w:r>
      <w:r>
        <w:rPr>
          <w:rFonts w:hint="eastAsia" w:ascii="仿宋" w:eastAsia="仿宋"/>
          <w:sz w:val="32"/>
          <w:szCs w:val="32"/>
          <w:lang w:val="en-US" w:eastAsia="zh-CN"/>
        </w:rPr>
        <w:t>0.41万元</w:t>
      </w:r>
      <w:r>
        <w:rPr>
          <w:rFonts w:hint="eastAsia" w:ascii="仿宋" w:eastAsia="仿宋"/>
          <w:sz w:val="32"/>
          <w:szCs w:val="32"/>
        </w:rPr>
        <w:t>、公务接待费</w:t>
      </w:r>
      <w:r>
        <w:rPr>
          <w:rFonts w:hint="eastAsia" w:ascii="仿宋" w:eastAsia="仿宋"/>
          <w:sz w:val="32"/>
          <w:szCs w:val="32"/>
          <w:lang w:val="en-US" w:eastAsia="zh-CN"/>
        </w:rPr>
        <w:t>1.25万元</w:t>
      </w:r>
      <w:r>
        <w:rPr>
          <w:rFonts w:hint="eastAsia" w:ascii="仿宋" w:eastAsia="仿宋"/>
          <w:sz w:val="32"/>
          <w:szCs w:val="32"/>
        </w:rPr>
        <w:t>、公务用车运行维护费</w:t>
      </w:r>
      <w:r>
        <w:rPr>
          <w:rFonts w:hint="eastAsia" w:ascii="仿宋" w:eastAsia="仿宋"/>
          <w:sz w:val="32"/>
          <w:szCs w:val="32"/>
          <w:lang w:val="en-US" w:eastAsia="zh-CN"/>
        </w:rPr>
        <w:t>20.55万元</w:t>
      </w:r>
      <w:r>
        <w:rPr>
          <w:rFonts w:hint="eastAsia" w:ascii="仿宋" w:eastAsia="仿宋"/>
          <w:sz w:val="32"/>
          <w:szCs w:val="32"/>
        </w:rPr>
        <w:t>。</w:t>
      </w:r>
    </w:p>
    <w:p>
      <w:pPr>
        <w:spacing w:line="600" w:lineRule="exact"/>
        <w:ind w:firstLine="640"/>
        <w:outlineLvl w:val="1"/>
        <w:rPr>
          <w:rStyle w:val="19"/>
          <w:rFonts w:ascii="黑体" w:eastAsia="黑体"/>
          <w:b w:val="0"/>
        </w:rPr>
      </w:pPr>
      <w:bookmarkStart w:id="49" w:name="_Toc17000"/>
      <w:bookmarkStart w:id="50" w:name="_Toc15377215"/>
      <w:bookmarkStart w:id="51" w:name="_Toc15396609"/>
      <w:r>
        <w:rPr>
          <w:rFonts w:hint="eastAsia" w:ascii="黑体" w:eastAsia="黑体"/>
          <w:sz w:val="32"/>
          <w:szCs w:val="32"/>
        </w:rPr>
        <w:t>七、</w:t>
      </w:r>
      <w:r>
        <w:rPr>
          <w:rStyle w:val="19"/>
          <w:rFonts w:hint="eastAsia" w:ascii="黑体" w:eastAsia="黑体"/>
        </w:rPr>
        <w:t>“</w:t>
      </w:r>
      <w:r>
        <w:rPr>
          <w:rStyle w:val="19"/>
          <w:rFonts w:hint="eastAsia" w:ascii="黑体" w:eastAsia="黑体"/>
          <w:b w:val="0"/>
        </w:rPr>
        <w:t>三公”经费财政拨款支出决算情况说明</w:t>
      </w:r>
      <w:bookmarkEnd w:id="49"/>
      <w:bookmarkEnd w:id="50"/>
      <w:bookmarkEnd w:id="51"/>
    </w:p>
    <w:p>
      <w:pPr>
        <w:spacing w:line="600" w:lineRule="exact"/>
        <w:ind w:firstLine="640"/>
        <w:outlineLvl w:val="2"/>
        <w:rPr>
          <w:rFonts w:ascii="仿宋" w:eastAsia="仿宋"/>
          <w:b/>
          <w:sz w:val="32"/>
          <w:szCs w:val="32"/>
        </w:rPr>
      </w:pPr>
      <w:bookmarkStart w:id="52" w:name="_Toc15377216"/>
      <w:r>
        <w:rPr>
          <w:rFonts w:hint="eastAsia" w:ascii="仿宋" w:eastAsia="仿宋"/>
          <w:b/>
          <w:sz w:val="32"/>
          <w:szCs w:val="32"/>
        </w:rPr>
        <w:t>（一）“三公”经费财政拨款支出决算总体情况说明</w:t>
      </w:r>
      <w:bookmarkEnd w:id="52"/>
    </w:p>
    <w:p>
      <w:pPr>
        <w:spacing w:line="600" w:lineRule="exact"/>
        <w:ind w:firstLine="640"/>
        <w:rPr>
          <w:rFonts w:ascii="仿宋" w:eastAsia="仿宋"/>
          <w:sz w:val="32"/>
          <w:szCs w:val="32"/>
        </w:rPr>
      </w:pPr>
      <w:r>
        <w:rPr>
          <w:rFonts w:ascii="仿宋" w:eastAsia="仿宋"/>
          <w:sz w:val="32"/>
          <w:szCs w:val="32"/>
        </w:rPr>
        <w:t>20</w:t>
      </w:r>
      <w:r>
        <w:rPr>
          <w:rFonts w:hint="eastAsia" w:ascii="仿宋" w:eastAsia="仿宋"/>
          <w:sz w:val="32"/>
          <w:szCs w:val="32"/>
        </w:rPr>
        <w:t>21年“三公”经费财政拨款支出决算为</w:t>
      </w:r>
      <w:r>
        <w:rPr>
          <w:rFonts w:hint="eastAsia" w:ascii="仿宋" w:eastAsia="仿宋"/>
          <w:sz w:val="32"/>
          <w:szCs w:val="32"/>
          <w:lang w:val="en-US" w:eastAsia="zh-CN"/>
        </w:rPr>
        <w:t>27.02</w:t>
      </w:r>
      <w:r>
        <w:rPr>
          <w:rFonts w:hint="eastAsia" w:ascii="仿宋" w:eastAsia="仿宋"/>
          <w:sz w:val="32"/>
          <w:szCs w:val="32"/>
        </w:rPr>
        <w:t>万元，完成预算</w:t>
      </w:r>
      <w:r>
        <w:rPr>
          <w:rFonts w:hint="eastAsia" w:ascii="仿宋" w:eastAsia="仿宋"/>
          <w:sz w:val="32"/>
          <w:szCs w:val="32"/>
          <w:lang w:val="en-US" w:eastAsia="zh-CN"/>
        </w:rPr>
        <w:t>100</w:t>
      </w:r>
      <w:r>
        <w:rPr>
          <w:rFonts w:ascii="仿宋" w:eastAsia="仿宋"/>
          <w:sz w:val="32"/>
          <w:szCs w:val="32"/>
        </w:rPr>
        <w:t>%</w:t>
      </w:r>
      <w:r>
        <w:rPr>
          <w:rFonts w:hint="eastAsia" w:ascii="仿宋" w:eastAsia="仿宋"/>
          <w:sz w:val="32"/>
          <w:szCs w:val="32"/>
        </w:rPr>
        <w:t>，决算数与预算数持平。</w:t>
      </w:r>
    </w:p>
    <w:p>
      <w:pPr>
        <w:spacing w:line="600" w:lineRule="exact"/>
        <w:ind w:firstLine="640"/>
        <w:outlineLvl w:val="2"/>
        <w:rPr>
          <w:rFonts w:ascii="仿宋" w:eastAsia="仿宋"/>
          <w:b/>
          <w:sz w:val="32"/>
          <w:szCs w:val="32"/>
        </w:rPr>
      </w:pPr>
      <w:bookmarkStart w:id="53" w:name="_Toc15377217"/>
      <w:r>
        <w:rPr>
          <w:rFonts w:hint="eastAsia" w:ascii="仿宋" w:eastAsia="仿宋"/>
          <w:b/>
          <w:sz w:val="32"/>
          <w:szCs w:val="32"/>
        </w:rPr>
        <w:t>（二）“三公”经费财政拨款支出决算具体情况说明</w:t>
      </w:r>
      <w:bookmarkEnd w:id="53"/>
    </w:p>
    <w:p>
      <w:pPr>
        <w:spacing w:line="600" w:lineRule="exact"/>
        <w:ind w:firstLine="640"/>
        <w:rPr>
          <w:rFonts w:ascii="仿宋" w:eastAsia="仿宋"/>
          <w:sz w:val="32"/>
          <w:szCs w:val="32"/>
        </w:rPr>
      </w:pPr>
      <w:r>
        <w:rPr>
          <w:rFonts w:ascii="仿宋" w:eastAsia="仿宋"/>
          <w:sz w:val="32"/>
          <w:szCs w:val="32"/>
        </w:rPr>
        <w:t>20</w:t>
      </w:r>
      <w:r>
        <w:rPr>
          <w:rFonts w:hint="eastAsia" w:ascii="仿宋" w:eastAsia="仿宋"/>
          <w:sz w:val="32"/>
          <w:szCs w:val="32"/>
        </w:rPr>
        <w:t>21年“三公”经费财政拨款支出决算中，因公出国（境）费支出决算</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；公务用车购置及运行维护费支出决算</w:t>
      </w:r>
      <w:r>
        <w:rPr>
          <w:rFonts w:hint="eastAsia" w:ascii="仿宋" w:eastAsia="仿宋"/>
          <w:sz w:val="32"/>
          <w:szCs w:val="32"/>
          <w:lang w:val="en-US" w:eastAsia="zh-CN"/>
        </w:rPr>
        <w:t>25.77</w:t>
      </w:r>
      <w:r>
        <w:rPr>
          <w:rFonts w:hint="eastAsia" w:ascii="仿宋" w:eastAsia="仿宋"/>
          <w:sz w:val="32"/>
          <w:szCs w:val="32"/>
        </w:rPr>
        <w:t>万元，占</w:t>
      </w:r>
      <w:r>
        <w:rPr>
          <w:rFonts w:hint="eastAsia" w:ascii="仿宋" w:eastAsia="仿宋"/>
          <w:sz w:val="32"/>
          <w:szCs w:val="32"/>
          <w:lang w:val="en-US" w:eastAsia="zh-CN"/>
        </w:rPr>
        <w:t>95.37</w:t>
      </w:r>
      <w:r>
        <w:rPr>
          <w:rFonts w:ascii="仿宋" w:eastAsia="仿宋"/>
          <w:sz w:val="32"/>
          <w:szCs w:val="32"/>
        </w:rPr>
        <w:t>%</w:t>
      </w:r>
      <w:r>
        <w:rPr>
          <w:rFonts w:hint="eastAsia" w:ascii="仿宋" w:eastAsia="仿宋"/>
          <w:sz w:val="32"/>
          <w:szCs w:val="32"/>
        </w:rPr>
        <w:t>；公务接待费支出决算</w:t>
      </w:r>
      <w:r>
        <w:rPr>
          <w:rFonts w:hint="eastAsia" w:ascii="仿宋" w:eastAsia="仿宋"/>
          <w:sz w:val="32"/>
          <w:szCs w:val="32"/>
          <w:lang w:val="en-US" w:eastAsia="zh-CN"/>
        </w:rPr>
        <w:t>1.25</w:t>
      </w:r>
      <w:r>
        <w:rPr>
          <w:rFonts w:hint="eastAsia" w:ascii="仿宋" w:eastAsia="仿宋"/>
          <w:sz w:val="32"/>
          <w:szCs w:val="32"/>
        </w:rPr>
        <w:t>万元，占</w:t>
      </w:r>
      <w:r>
        <w:rPr>
          <w:rFonts w:hint="eastAsia" w:ascii="仿宋" w:eastAsia="仿宋"/>
          <w:sz w:val="32"/>
          <w:szCs w:val="32"/>
          <w:lang w:val="en-US" w:eastAsia="zh-CN"/>
        </w:rPr>
        <w:t>4.63</w:t>
      </w:r>
      <w:r>
        <w:rPr>
          <w:rFonts w:ascii="仿宋" w:eastAsia="仿宋"/>
          <w:sz w:val="32"/>
          <w:szCs w:val="32"/>
        </w:rPr>
        <w:t>%</w:t>
      </w:r>
      <w:r>
        <w:rPr>
          <w:rFonts w:hint="eastAsia" w:ascii="仿宋" w:eastAsia="仿宋"/>
          <w:sz w:val="32"/>
          <w:szCs w:val="32"/>
        </w:rPr>
        <w:t>。具体情况如下：</w:t>
      </w:r>
    </w:p>
    <w:p>
      <w:pPr>
        <w:spacing w:line="600" w:lineRule="exact"/>
        <w:ind w:firstLine="640"/>
        <w:rPr>
          <w:rFonts w:hint="eastAsia" w:ascii="仿宋" w:eastAsia="仿宋"/>
          <w:sz w:val="32"/>
          <w:szCs w:val="32"/>
        </w:rPr>
      </w:pPr>
      <w:r>
        <w:rPr>
          <w:rFonts w:hint="eastAsia" w:ascii="仿宋" w:eastAsia="仿宋"/>
          <w:sz w:val="32"/>
          <w:szCs w:val="32"/>
        </w:rPr>
        <w:t>（图7：“三公”经费财政拨款支出结构）（饼状图）</w:t>
      </w:r>
    </w:p>
    <w:p>
      <w:pPr>
        <w:pStyle w:val="7"/>
        <w:rPr>
          <w:rFonts w:hint="eastAsia" w:ascii="仿宋" w:eastAsia="仿宋"/>
          <w:sz w:val="32"/>
          <w:szCs w:val="32"/>
        </w:rPr>
      </w:pPr>
      <w:bookmarkStart w:id="102" w:name="_GoBack"/>
      <w:r>
        <w:rPr>
          <w:rFonts w:hint="eastAsia" w:ascii="仿宋_GB2312" w:eastAsia="仿宋_GB2312"/>
          <w:sz w:val="32"/>
          <w:szCs w:val="32"/>
          <w:lang w:eastAsia="zh-CN"/>
        </w:rPr>
        <w:drawing>
          <wp:anchor distT="0" distB="0" distL="114300" distR="114300" simplePos="0" relativeHeight="251665408" behindDoc="0" locked="0" layoutInCell="1" allowOverlap="1">
            <wp:simplePos x="0" y="0"/>
            <wp:positionH relativeFrom="column">
              <wp:posOffset>394970</wp:posOffset>
            </wp:positionH>
            <wp:positionV relativeFrom="paragraph">
              <wp:posOffset>442595</wp:posOffset>
            </wp:positionV>
            <wp:extent cx="4546600" cy="2579370"/>
            <wp:effectExtent l="4445" t="4445" r="20955" b="6985"/>
            <wp:wrapSquare wrapText="bothSides"/>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bookmarkEnd w:id="102"/>
    </w:p>
    <w:p>
      <w:pPr>
        <w:rPr>
          <w:rFonts w:hint="eastAsia" w:ascii="仿宋" w:eastAsia="仿宋"/>
          <w:sz w:val="32"/>
          <w:szCs w:val="32"/>
        </w:rPr>
      </w:pPr>
    </w:p>
    <w:p>
      <w:pPr>
        <w:pStyle w:val="7"/>
        <w:rPr>
          <w:rFonts w:hint="eastAsia" w:ascii="仿宋" w:eastAsia="仿宋"/>
          <w:sz w:val="32"/>
          <w:szCs w:val="32"/>
        </w:rPr>
      </w:pPr>
    </w:p>
    <w:p/>
    <w:p>
      <w:pPr>
        <w:spacing w:line="600" w:lineRule="exact"/>
        <w:ind w:firstLine="640"/>
        <w:rPr>
          <w:rFonts w:ascii="仿宋_GB2312" w:eastAsia="仿宋_GB2312"/>
          <w:b/>
          <w:sz w:val="32"/>
          <w:szCs w:val="32"/>
        </w:rPr>
      </w:pPr>
    </w:p>
    <w:p>
      <w:pPr>
        <w:spacing w:line="600" w:lineRule="exact"/>
        <w:ind w:firstLine="640"/>
        <w:rPr>
          <w:rFonts w:ascii="仿宋_GB2312" w:eastAsia="仿宋_GB2312"/>
          <w:b/>
          <w:sz w:val="32"/>
          <w:szCs w:val="32"/>
        </w:rPr>
      </w:pPr>
    </w:p>
    <w:p>
      <w:pPr>
        <w:spacing w:line="600" w:lineRule="exact"/>
        <w:ind w:firstLine="640"/>
        <w:rPr>
          <w:rFonts w:ascii="仿宋_GB2312" w:eastAsia="仿宋_GB2312"/>
          <w:b/>
          <w:sz w:val="32"/>
          <w:szCs w:val="32"/>
        </w:rPr>
      </w:pPr>
    </w:p>
    <w:p>
      <w:pPr>
        <w:spacing w:line="600" w:lineRule="exact"/>
        <w:ind w:firstLine="640"/>
        <w:rPr>
          <w:rFonts w:ascii="仿宋_GB2312" w:eastAsia="仿宋_GB2312"/>
          <w:b/>
          <w:sz w:val="32"/>
          <w:szCs w:val="32"/>
        </w:rPr>
      </w:pPr>
    </w:p>
    <w:p>
      <w:pPr>
        <w:spacing w:line="600" w:lineRule="exact"/>
        <w:ind w:firstLine="640"/>
        <w:rPr>
          <w:rFonts w:ascii="仿宋_GB2312" w:eastAsia="仿宋_GB2312"/>
          <w:sz w:val="32"/>
          <w:szCs w:val="32"/>
        </w:rPr>
      </w:pPr>
      <w:r>
        <w:rPr>
          <w:rFonts w:ascii="仿宋_GB2312" w:eastAsia="仿宋_GB2312"/>
          <w:b/>
          <w:sz w:val="32"/>
          <w:szCs w:val="32"/>
        </w:rPr>
        <w:t>1.</w:t>
      </w:r>
      <w:r>
        <w:rPr>
          <w:rFonts w:hint="eastAsia" w:ascii="仿宋_GB2312" w:eastAsia="仿宋_GB2312"/>
          <w:b/>
          <w:sz w:val="32"/>
          <w:szCs w:val="32"/>
        </w:rPr>
        <w:t>因公出国（境）经费支出</w:t>
      </w:r>
      <w:r>
        <w:rPr>
          <w:rFonts w:hint="eastAsia" w:ascii="仿宋_GB2312" w:eastAsia="仿宋_GB2312"/>
          <w:sz w:val="32"/>
          <w:szCs w:val="32"/>
          <w:lang w:val="en-US" w:eastAsia="zh-CN"/>
        </w:rPr>
        <w:t>0</w:t>
      </w:r>
      <w:r>
        <w:rPr>
          <w:rFonts w:hint="eastAsia" w:ascii="仿宋_GB2312" w:eastAsia="仿宋_GB2312"/>
          <w:sz w:val="32"/>
          <w:szCs w:val="32"/>
        </w:rPr>
        <w:t>万元，</w:t>
      </w:r>
      <w:r>
        <w:rPr>
          <w:rStyle w:val="16"/>
          <w:rFonts w:hint="eastAsia" w:ascii="仿宋" w:eastAsia="仿宋"/>
          <w:b w:val="0"/>
          <w:bCs/>
          <w:sz w:val="32"/>
          <w:szCs w:val="32"/>
        </w:rPr>
        <w:t>完成预算</w:t>
      </w:r>
      <w:r>
        <w:rPr>
          <w:rStyle w:val="16"/>
          <w:rFonts w:hint="eastAsia" w:ascii="仿宋" w:eastAsia="仿宋"/>
          <w:b w:val="0"/>
          <w:bCs/>
          <w:sz w:val="32"/>
          <w:szCs w:val="32"/>
          <w:lang w:val="en-US" w:eastAsia="zh-CN"/>
        </w:rPr>
        <w:t>0</w:t>
      </w:r>
      <w:r>
        <w:rPr>
          <w:rStyle w:val="16"/>
          <w:rFonts w:ascii="仿宋" w:eastAsia="仿宋"/>
          <w:b w:val="0"/>
          <w:bCs/>
          <w:sz w:val="32"/>
          <w:szCs w:val="32"/>
        </w:rPr>
        <w:t>%</w:t>
      </w:r>
      <w:r>
        <w:rPr>
          <w:rStyle w:val="16"/>
          <w:rFonts w:hint="eastAsia" w:ascii="仿宋" w:eastAsia="仿宋"/>
          <w:b w:val="0"/>
          <w:bCs/>
          <w:sz w:val="32"/>
          <w:szCs w:val="32"/>
        </w:rPr>
        <w:t>。因公出国（境）支出决算与20</w:t>
      </w:r>
      <w:r>
        <w:rPr>
          <w:rStyle w:val="16"/>
          <w:rFonts w:hint="eastAsia" w:ascii="仿宋" w:eastAsia="仿宋"/>
          <w:b w:val="0"/>
          <w:bCs/>
          <w:sz w:val="32"/>
          <w:szCs w:val="32"/>
          <w:lang w:val="en-US" w:eastAsia="zh-CN"/>
        </w:rPr>
        <w:t>20</w:t>
      </w:r>
      <w:r>
        <w:rPr>
          <w:rStyle w:val="16"/>
          <w:rFonts w:hint="eastAsia" w:ascii="仿宋" w:eastAsia="仿宋"/>
          <w:b w:val="0"/>
          <w:bCs/>
          <w:sz w:val="32"/>
          <w:szCs w:val="32"/>
        </w:rPr>
        <w:t>年持平。主要原因是没有安排因公出国（境）。</w:t>
      </w:r>
    </w:p>
    <w:p>
      <w:pPr>
        <w:spacing w:line="600" w:lineRule="exact"/>
        <w:ind w:firstLine="640"/>
        <w:rPr>
          <w:rFonts w:ascii="仿宋_GB2312" w:eastAsia="仿宋_GB2312"/>
          <w:b/>
          <w:sz w:val="32"/>
          <w:szCs w:val="32"/>
        </w:rPr>
      </w:pPr>
      <w:r>
        <w:rPr>
          <w:rFonts w:ascii="仿宋_GB2312" w:eastAsia="仿宋_GB2312"/>
          <w:b/>
          <w:sz w:val="32"/>
          <w:szCs w:val="32"/>
        </w:rPr>
        <w:t>2.</w:t>
      </w:r>
      <w:r>
        <w:rPr>
          <w:rFonts w:hint="eastAsia" w:ascii="仿宋_GB2312" w:eastAsia="仿宋_GB2312"/>
          <w:b/>
          <w:sz w:val="32"/>
          <w:szCs w:val="32"/>
        </w:rPr>
        <w:t>公务用车购置及运行维护费支出</w:t>
      </w:r>
      <w:r>
        <w:rPr>
          <w:rFonts w:hint="eastAsia" w:ascii="仿宋_GB2312" w:eastAsia="仿宋_GB2312"/>
          <w:sz w:val="32"/>
          <w:szCs w:val="32"/>
          <w:lang w:val="en-US" w:eastAsia="zh-CN"/>
        </w:rPr>
        <w:t>25.77</w:t>
      </w:r>
      <w:r>
        <w:rPr>
          <w:rFonts w:hint="eastAsia" w:ascii="仿宋_GB2312" w:eastAsia="仿宋_GB2312"/>
          <w:sz w:val="32"/>
          <w:szCs w:val="32"/>
        </w:rPr>
        <w:t>万元,</w:t>
      </w:r>
      <w:r>
        <w:rPr>
          <w:rStyle w:val="16"/>
          <w:rFonts w:hint="eastAsia" w:ascii="仿宋" w:eastAsia="仿宋"/>
          <w:b w:val="0"/>
          <w:bCs/>
          <w:sz w:val="32"/>
          <w:szCs w:val="32"/>
        </w:rPr>
        <w:t>完成预算</w:t>
      </w:r>
      <w:r>
        <w:rPr>
          <w:rStyle w:val="16"/>
          <w:rFonts w:hint="eastAsia" w:ascii="仿宋" w:eastAsia="仿宋"/>
          <w:b w:val="0"/>
          <w:bCs/>
          <w:sz w:val="32"/>
          <w:szCs w:val="32"/>
          <w:lang w:val="en-US" w:eastAsia="zh-CN"/>
        </w:rPr>
        <w:t>95.37</w:t>
      </w:r>
      <w:r>
        <w:rPr>
          <w:rStyle w:val="16"/>
          <w:rFonts w:ascii="仿宋" w:eastAsia="仿宋"/>
          <w:b w:val="0"/>
          <w:bCs/>
          <w:sz w:val="32"/>
          <w:szCs w:val="32"/>
        </w:rPr>
        <w:t>%</w:t>
      </w:r>
      <w:r>
        <w:rPr>
          <w:rStyle w:val="16"/>
          <w:rFonts w:hint="eastAsia" w:ascii="仿宋" w:eastAsia="仿宋"/>
          <w:b w:val="0"/>
          <w:bCs/>
          <w:sz w:val="32"/>
          <w:szCs w:val="32"/>
        </w:rPr>
        <w:t>。</w:t>
      </w:r>
      <w:r>
        <w:rPr>
          <w:rFonts w:hint="eastAsia" w:ascii="仿宋_GB2312" w:eastAsia="仿宋_GB2312"/>
          <w:sz w:val="32"/>
          <w:szCs w:val="32"/>
        </w:rPr>
        <w:t>公务用车购置及运行维护费支出决算比</w:t>
      </w:r>
      <w:r>
        <w:rPr>
          <w:rFonts w:ascii="仿宋_GB2312" w:eastAsia="仿宋_GB2312"/>
          <w:sz w:val="32"/>
          <w:szCs w:val="32"/>
        </w:rPr>
        <w:t>20</w:t>
      </w:r>
      <w:r>
        <w:rPr>
          <w:rFonts w:hint="eastAsia" w:ascii="仿宋_GB2312" w:eastAsia="仿宋_GB2312"/>
          <w:sz w:val="32"/>
          <w:szCs w:val="32"/>
        </w:rPr>
        <w:t>20年增加</w:t>
      </w:r>
      <w:r>
        <w:rPr>
          <w:rFonts w:hint="eastAsia" w:ascii="仿宋_GB2312" w:eastAsia="仿宋_GB2312"/>
          <w:sz w:val="32"/>
          <w:szCs w:val="32"/>
          <w:lang w:val="en-US" w:eastAsia="zh-CN"/>
        </w:rPr>
        <w:t>2.57</w:t>
      </w:r>
      <w:r>
        <w:rPr>
          <w:rFonts w:hint="eastAsia" w:ascii="仿宋_GB2312" w:eastAsia="仿宋_GB2312"/>
          <w:sz w:val="32"/>
          <w:szCs w:val="32"/>
        </w:rPr>
        <w:t>万元，增长</w:t>
      </w:r>
      <w:r>
        <w:rPr>
          <w:rFonts w:hint="eastAsia" w:ascii="仿宋_GB2312" w:eastAsia="仿宋_GB2312"/>
          <w:sz w:val="32"/>
          <w:szCs w:val="32"/>
          <w:lang w:val="en-US" w:eastAsia="zh-CN"/>
        </w:rPr>
        <w:t>11.08</w:t>
      </w:r>
      <w:r>
        <w:rPr>
          <w:rFonts w:ascii="仿宋_GB2312" w:eastAsia="仿宋_GB2312"/>
          <w:sz w:val="32"/>
          <w:szCs w:val="32"/>
        </w:rPr>
        <w:t>%</w:t>
      </w:r>
      <w:r>
        <w:rPr>
          <w:rFonts w:hint="eastAsia" w:ascii="仿宋_GB2312" w:eastAsia="仿宋_GB2312"/>
          <w:sz w:val="32"/>
          <w:szCs w:val="32"/>
        </w:rPr>
        <w:t>。主要原因是</w:t>
      </w:r>
      <w:r>
        <w:rPr>
          <w:rFonts w:hint="eastAsia" w:ascii="仿宋_GB2312" w:eastAsia="仿宋_GB2312"/>
          <w:sz w:val="32"/>
          <w:szCs w:val="32"/>
          <w:lang w:val="en-US" w:eastAsia="zh-CN"/>
        </w:rPr>
        <w:t>本年度新增“有事来协商”专项工作，增加了相应的车辆运行费用</w:t>
      </w:r>
      <w:r>
        <w:rPr>
          <w:rFonts w:hint="eastAsia" w:ascii="仿宋_GB2312" w:eastAsia="仿宋_GB2312"/>
          <w:sz w:val="32"/>
          <w:szCs w:val="32"/>
        </w:rPr>
        <w:t>。</w:t>
      </w:r>
    </w:p>
    <w:p>
      <w:pPr>
        <w:pStyle w:val="27"/>
        <w:spacing w:before="0" w:beforeAutospacing="0" w:afterAutospacing="0" w:line="560" w:lineRule="exact"/>
        <w:ind w:firstLine="643" w:firstLineChars="200"/>
        <w:rPr>
          <w:rFonts w:ascii="仿宋_GB2312" w:hAnsi="仿宋_GB2312" w:eastAsia="仿宋_GB2312" w:cs="仿宋_GB2312"/>
          <w:sz w:val="32"/>
          <w:szCs w:val="32"/>
        </w:rPr>
      </w:pPr>
      <w:r>
        <w:rPr>
          <w:rFonts w:hint="eastAsia" w:ascii="仿宋_GB2312" w:eastAsia="仿宋_GB2312"/>
          <w:b/>
          <w:sz w:val="32"/>
          <w:szCs w:val="32"/>
        </w:rPr>
        <w:t>公务用车运行维护费支出</w:t>
      </w:r>
      <w:r>
        <w:rPr>
          <w:rFonts w:hint="eastAsia" w:ascii="仿宋_GB2312" w:eastAsia="仿宋_GB2312"/>
          <w:sz w:val="32"/>
          <w:szCs w:val="32"/>
          <w:lang w:val="en-US" w:eastAsia="zh-CN"/>
        </w:rPr>
        <w:t>25.77</w:t>
      </w:r>
      <w:r>
        <w:rPr>
          <w:rFonts w:hint="eastAsia" w:ascii="仿宋_GB2312" w:eastAsia="仿宋_GB2312"/>
          <w:sz w:val="32"/>
          <w:szCs w:val="32"/>
        </w:rPr>
        <w:t>万元。</w:t>
      </w:r>
      <w:r>
        <w:rPr>
          <w:rFonts w:ascii="仿宋_GB2312" w:hAnsi="仿宋_GB2312" w:eastAsia="仿宋_GB2312" w:cs="仿宋_GB2312"/>
          <w:sz w:val="32"/>
          <w:szCs w:val="32"/>
          <w:shd w:val="clear" w:color="auto" w:fill="FFFFFF"/>
        </w:rPr>
        <w:t>主要用于开展调研视察、“</w:t>
      </w:r>
      <w:r>
        <w:rPr>
          <w:rFonts w:hint="eastAsia" w:ascii="仿宋_GB2312" w:hAnsi="仿宋_GB2312" w:eastAsia="仿宋_GB2312" w:cs="仿宋_GB2312"/>
          <w:sz w:val="32"/>
          <w:szCs w:val="32"/>
          <w:shd w:val="clear" w:color="auto" w:fill="FFFFFF"/>
          <w:lang w:val="en-US" w:eastAsia="zh-CN"/>
        </w:rPr>
        <w:t>有事来协商</w:t>
      </w:r>
      <w:r>
        <w:rPr>
          <w:rFonts w:ascii="仿宋_GB2312" w:hAnsi="仿宋_GB2312" w:eastAsia="仿宋_GB2312" w:cs="仿宋_GB2312"/>
          <w:sz w:val="32"/>
          <w:szCs w:val="32"/>
          <w:shd w:val="clear" w:color="auto" w:fill="FFFFFF"/>
        </w:rPr>
        <w:t>”、“两联一进”</w:t>
      </w:r>
      <w:r>
        <w:rPr>
          <w:rFonts w:hint="eastAsia" w:ascii="仿宋_GB2312" w:hAnsi="仿宋_GB2312" w:eastAsia="仿宋_GB2312" w:cs="仿宋_GB2312"/>
          <w:sz w:val="32"/>
          <w:szCs w:val="32"/>
          <w:shd w:val="clear" w:color="auto" w:fill="FFFFFF"/>
          <w:lang w:val="en-US" w:eastAsia="zh-CN"/>
        </w:rPr>
        <w:t>工作</w:t>
      </w:r>
      <w:r>
        <w:rPr>
          <w:rFonts w:ascii="仿宋_GB2312" w:hAnsi="仿宋_GB2312" w:eastAsia="仿宋_GB2312" w:cs="仿宋_GB2312"/>
          <w:sz w:val="32"/>
          <w:szCs w:val="32"/>
          <w:shd w:val="clear" w:color="auto" w:fill="FFFFFF"/>
        </w:rPr>
        <w:t>以及单位领导干部出差等所需的公务用车燃料费、维修费、过路过桥费、保险费等支出。</w:t>
      </w:r>
    </w:p>
    <w:p>
      <w:pPr>
        <w:spacing w:line="600" w:lineRule="exact"/>
        <w:ind w:firstLine="640"/>
        <w:rPr>
          <w:rFonts w:ascii="仿宋_GB2312" w:eastAsia="仿宋_GB2312"/>
          <w:sz w:val="32"/>
          <w:szCs w:val="32"/>
        </w:rPr>
      </w:pPr>
      <w:r>
        <w:rPr>
          <w:rFonts w:ascii="仿宋_GB2312" w:eastAsia="仿宋_GB2312"/>
          <w:b/>
          <w:sz w:val="32"/>
          <w:szCs w:val="32"/>
        </w:rPr>
        <w:t>3.</w:t>
      </w:r>
      <w:r>
        <w:rPr>
          <w:rFonts w:hint="eastAsia" w:ascii="仿宋_GB2312" w:eastAsia="仿宋_GB2312"/>
          <w:b/>
          <w:sz w:val="32"/>
          <w:szCs w:val="32"/>
        </w:rPr>
        <w:t>公务接待费支出</w:t>
      </w:r>
      <w:r>
        <w:rPr>
          <w:rFonts w:hint="eastAsia" w:ascii="仿宋_GB2312" w:eastAsia="仿宋_GB2312"/>
          <w:sz w:val="32"/>
          <w:szCs w:val="32"/>
          <w:lang w:val="en-US" w:eastAsia="zh-CN"/>
        </w:rPr>
        <w:t>1.25</w:t>
      </w:r>
      <w:r>
        <w:rPr>
          <w:rFonts w:hint="eastAsia" w:ascii="仿宋_GB2312" w:eastAsia="仿宋_GB2312"/>
          <w:sz w:val="32"/>
          <w:szCs w:val="32"/>
        </w:rPr>
        <w:t>万元，</w:t>
      </w:r>
      <w:r>
        <w:rPr>
          <w:rStyle w:val="16"/>
          <w:rFonts w:hint="eastAsia" w:ascii="仿宋" w:eastAsia="仿宋"/>
          <w:b w:val="0"/>
          <w:bCs/>
          <w:sz w:val="32"/>
          <w:szCs w:val="32"/>
        </w:rPr>
        <w:t>完成预算</w:t>
      </w:r>
      <w:r>
        <w:rPr>
          <w:rStyle w:val="16"/>
          <w:rFonts w:hint="eastAsia" w:ascii="仿宋" w:eastAsia="仿宋"/>
          <w:b w:val="0"/>
          <w:bCs/>
          <w:sz w:val="32"/>
          <w:szCs w:val="32"/>
          <w:lang w:val="en-US" w:eastAsia="zh-CN"/>
        </w:rPr>
        <w:t>100</w:t>
      </w:r>
      <w:r>
        <w:rPr>
          <w:rStyle w:val="16"/>
          <w:rFonts w:ascii="仿宋" w:eastAsia="仿宋"/>
          <w:b w:val="0"/>
          <w:bCs/>
          <w:sz w:val="32"/>
          <w:szCs w:val="32"/>
        </w:rPr>
        <w:t>%</w:t>
      </w:r>
      <w:r>
        <w:rPr>
          <w:rStyle w:val="16"/>
          <w:rFonts w:hint="eastAsia" w:ascii="仿宋" w:eastAsia="仿宋"/>
          <w:b w:val="0"/>
          <w:bCs/>
          <w:sz w:val="32"/>
          <w:szCs w:val="32"/>
        </w:rPr>
        <w:t>。</w:t>
      </w:r>
      <w:r>
        <w:rPr>
          <w:rFonts w:hint="eastAsia" w:ascii="仿宋_GB2312" w:eastAsia="仿宋_GB2312"/>
          <w:sz w:val="32"/>
          <w:szCs w:val="32"/>
        </w:rPr>
        <w:t>公务接待费支出决算比</w:t>
      </w:r>
      <w:r>
        <w:rPr>
          <w:rFonts w:ascii="仿宋_GB2312" w:eastAsia="仿宋_GB2312"/>
          <w:sz w:val="32"/>
          <w:szCs w:val="32"/>
        </w:rPr>
        <w:t>20</w:t>
      </w:r>
      <w:r>
        <w:rPr>
          <w:rFonts w:hint="eastAsia" w:ascii="仿宋_GB2312" w:eastAsia="仿宋_GB2312"/>
          <w:sz w:val="32"/>
          <w:szCs w:val="32"/>
        </w:rPr>
        <w:t>20年减少</w:t>
      </w:r>
      <w:r>
        <w:rPr>
          <w:rFonts w:hint="eastAsia" w:ascii="仿宋_GB2312" w:eastAsia="仿宋_GB2312"/>
          <w:sz w:val="32"/>
          <w:szCs w:val="32"/>
          <w:lang w:val="en-US" w:eastAsia="zh-CN"/>
        </w:rPr>
        <w:t>0.75</w:t>
      </w:r>
      <w:r>
        <w:rPr>
          <w:rFonts w:hint="eastAsia" w:ascii="仿宋_GB2312" w:eastAsia="仿宋_GB2312"/>
          <w:sz w:val="32"/>
          <w:szCs w:val="32"/>
        </w:rPr>
        <w:t>万元，下降</w:t>
      </w:r>
      <w:r>
        <w:rPr>
          <w:rFonts w:hint="eastAsia" w:ascii="仿宋_GB2312" w:eastAsia="仿宋_GB2312"/>
          <w:sz w:val="32"/>
          <w:szCs w:val="32"/>
          <w:lang w:val="en-US" w:eastAsia="zh-CN"/>
        </w:rPr>
        <w:t>37.50</w:t>
      </w:r>
      <w:r>
        <w:rPr>
          <w:rFonts w:ascii="仿宋_GB2312" w:eastAsia="仿宋_GB2312"/>
          <w:sz w:val="32"/>
          <w:szCs w:val="32"/>
        </w:rPr>
        <w:t>%</w:t>
      </w:r>
      <w:r>
        <w:rPr>
          <w:rFonts w:hint="eastAsia" w:ascii="仿宋_GB2312" w:eastAsia="仿宋_GB2312"/>
          <w:sz w:val="32"/>
          <w:szCs w:val="32"/>
        </w:rPr>
        <w:t>。主要原因是</w:t>
      </w:r>
      <w:r>
        <w:rPr>
          <w:rFonts w:hint="eastAsia" w:ascii="仿宋_GB2312" w:eastAsia="仿宋_GB2312"/>
          <w:sz w:val="32"/>
          <w:szCs w:val="32"/>
          <w:lang w:val="en-US" w:eastAsia="zh-CN"/>
        </w:rPr>
        <w:t>厉行节约、严守“八项规定”</w:t>
      </w:r>
      <w:r>
        <w:rPr>
          <w:rFonts w:hint="eastAsia" w:ascii="仿宋_GB2312" w:eastAsia="仿宋_GB2312"/>
          <w:sz w:val="32"/>
          <w:szCs w:val="32"/>
        </w:rPr>
        <w:t>。其中：</w:t>
      </w:r>
    </w:p>
    <w:p>
      <w:pPr>
        <w:spacing w:line="600" w:lineRule="exact"/>
        <w:ind w:firstLine="640"/>
        <w:outlineLvl w:val="1"/>
        <w:rPr>
          <w:rFonts w:hint="eastAsia" w:ascii="仿宋_GB2312" w:eastAsia="仿宋_GB2312"/>
          <w:sz w:val="32"/>
          <w:szCs w:val="32"/>
          <w:lang w:eastAsia="zh-CN"/>
        </w:rPr>
      </w:pPr>
      <w:bookmarkStart w:id="54" w:name="_Toc20472"/>
      <w:r>
        <w:rPr>
          <w:rFonts w:hint="eastAsia" w:ascii="仿宋" w:eastAsia="仿宋"/>
          <w:b/>
          <w:sz w:val="32"/>
          <w:szCs w:val="32"/>
        </w:rPr>
        <w:t>国内公务接待支出</w:t>
      </w:r>
      <w:r>
        <w:rPr>
          <w:rFonts w:hint="eastAsia" w:ascii="仿宋" w:eastAsia="仿宋"/>
          <w:sz w:val="32"/>
          <w:szCs w:val="32"/>
          <w:lang w:val="en-US" w:eastAsia="zh-CN"/>
        </w:rPr>
        <w:t>1.25</w:t>
      </w:r>
      <w:r>
        <w:rPr>
          <w:rFonts w:hint="eastAsia" w:ascii="仿宋_GB2312" w:eastAsia="仿宋_GB2312"/>
          <w:sz w:val="32"/>
          <w:szCs w:val="32"/>
        </w:rPr>
        <w:t>万元，主要用于开展业务活动开支的用餐费。国内公务接待</w:t>
      </w:r>
      <w:r>
        <w:rPr>
          <w:rFonts w:hint="eastAsia" w:ascii="仿宋_GB2312" w:eastAsia="仿宋_GB2312"/>
          <w:sz w:val="32"/>
          <w:szCs w:val="32"/>
          <w:lang w:val="en-US" w:eastAsia="zh-CN"/>
        </w:rPr>
        <w:t>3</w:t>
      </w:r>
      <w:r>
        <w:rPr>
          <w:rFonts w:hint="eastAsia" w:ascii="仿宋_GB2312" w:eastAsia="仿宋_GB2312"/>
          <w:sz w:val="32"/>
          <w:szCs w:val="32"/>
        </w:rPr>
        <w:t>批次，</w:t>
      </w:r>
      <w:r>
        <w:rPr>
          <w:rFonts w:hint="eastAsia" w:ascii="仿宋_GB2312" w:eastAsia="仿宋_GB2312"/>
          <w:sz w:val="32"/>
          <w:szCs w:val="32"/>
          <w:lang w:val="en-US" w:eastAsia="zh-CN"/>
        </w:rPr>
        <w:t>68</w:t>
      </w:r>
      <w:r>
        <w:rPr>
          <w:rFonts w:hint="eastAsia" w:ascii="仿宋_GB2312" w:eastAsia="仿宋_GB2312"/>
          <w:sz w:val="32"/>
          <w:szCs w:val="32"/>
        </w:rPr>
        <w:t>人次（不包括陪同人员），共计支出</w:t>
      </w:r>
      <w:r>
        <w:rPr>
          <w:rFonts w:hint="eastAsia" w:ascii="仿宋_GB2312" w:eastAsia="仿宋_GB2312"/>
          <w:sz w:val="32"/>
          <w:szCs w:val="32"/>
          <w:lang w:val="en-US" w:eastAsia="zh-CN"/>
        </w:rPr>
        <w:t>1.25</w:t>
      </w:r>
      <w:r>
        <w:rPr>
          <w:rFonts w:hint="eastAsia" w:ascii="仿宋_GB2312" w:eastAsia="仿宋_GB2312"/>
          <w:sz w:val="32"/>
          <w:szCs w:val="32"/>
        </w:rPr>
        <w:t>万元</w:t>
      </w:r>
      <w:bookmarkStart w:id="55" w:name="_Toc15396610"/>
      <w:bookmarkStart w:id="56" w:name="_Toc15377218"/>
      <w:r>
        <w:rPr>
          <w:rFonts w:hint="eastAsia" w:ascii="仿宋_GB2312" w:eastAsia="仿宋_GB2312"/>
          <w:sz w:val="32"/>
          <w:szCs w:val="32"/>
          <w:lang w:eastAsia="zh-CN"/>
        </w:rPr>
        <w:t>。</w:t>
      </w:r>
      <w:bookmarkEnd w:id="54"/>
    </w:p>
    <w:p>
      <w:pPr>
        <w:spacing w:line="600" w:lineRule="exact"/>
        <w:ind w:firstLine="640"/>
        <w:outlineLvl w:val="1"/>
        <w:rPr>
          <w:rStyle w:val="19"/>
          <w:rFonts w:ascii="黑体" w:eastAsia="黑体"/>
        </w:rPr>
      </w:pPr>
      <w:bookmarkStart w:id="57" w:name="_Toc22589"/>
      <w:r>
        <w:rPr>
          <w:rFonts w:hint="eastAsia" w:ascii="黑体" w:eastAsia="黑体"/>
          <w:sz w:val="32"/>
          <w:szCs w:val="32"/>
        </w:rPr>
        <w:t>八、</w:t>
      </w:r>
      <w:r>
        <w:rPr>
          <w:rStyle w:val="19"/>
          <w:rFonts w:hint="eastAsia" w:ascii="黑体" w:eastAsia="黑体"/>
          <w:b w:val="0"/>
        </w:rPr>
        <w:t>政府性基金预算支出决算情况说明</w:t>
      </w:r>
      <w:bookmarkEnd w:id="55"/>
      <w:bookmarkEnd w:id="56"/>
      <w:bookmarkEnd w:id="57"/>
    </w:p>
    <w:p>
      <w:pPr>
        <w:spacing w:line="600" w:lineRule="exact"/>
        <w:ind w:firstLine="64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21年政府性基金预算财政拨款支出</w:t>
      </w:r>
      <w:r>
        <w:rPr>
          <w:rFonts w:hint="eastAsia" w:ascii="仿宋_GB2312" w:eastAsia="仿宋_GB2312"/>
          <w:sz w:val="32"/>
          <w:szCs w:val="32"/>
          <w:lang w:val="en-US" w:eastAsia="zh-CN"/>
        </w:rPr>
        <w:t>0</w:t>
      </w:r>
      <w:r>
        <w:rPr>
          <w:rFonts w:hint="eastAsia" w:ascii="仿宋_GB2312" w:eastAsia="仿宋_GB2312"/>
          <w:sz w:val="32"/>
          <w:szCs w:val="32"/>
        </w:rPr>
        <w:t>万元。</w:t>
      </w:r>
    </w:p>
    <w:p>
      <w:pPr>
        <w:spacing w:line="600" w:lineRule="exact"/>
        <w:ind w:firstLine="640"/>
        <w:rPr>
          <w:rFonts w:ascii="仿宋_GB2312" w:eastAsia="仿宋_GB2312"/>
          <w:sz w:val="32"/>
          <w:szCs w:val="32"/>
        </w:rPr>
      </w:pPr>
    </w:p>
    <w:p>
      <w:pPr>
        <w:numPr>
          <w:ilvl w:val="0"/>
          <w:numId w:val="4"/>
        </w:numPr>
        <w:spacing w:line="600" w:lineRule="exact"/>
        <w:ind w:firstLine="640"/>
        <w:outlineLvl w:val="1"/>
        <w:rPr>
          <w:rStyle w:val="19"/>
          <w:rFonts w:ascii="黑体" w:eastAsia="黑体"/>
          <w:b w:val="0"/>
        </w:rPr>
      </w:pPr>
      <w:bookmarkStart w:id="58" w:name="_Toc15377219"/>
      <w:bookmarkStart w:id="59" w:name="_Toc15396611"/>
      <w:bookmarkStart w:id="60" w:name="_Toc7168"/>
      <w:r>
        <w:rPr>
          <w:rStyle w:val="19"/>
          <w:rFonts w:hint="eastAsia" w:ascii="黑体" w:eastAsia="黑体"/>
          <w:b w:val="0"/>
        </w:rPr>
        <w:t>国有资本经营预算支出决算情况说明</w:t>
      </w:r>
      <w:bookmarkEnd w:id="58"/>
      <w:bookmarkEnd w:id="59"/>
      <w:bookmarkEnd w:id="60"/>
    </w:p>
    <w:p>
      <w:pPr>
        <w:spacing w:line="600" w:lineRule="exact"/>
        <w:ind w:firstLine="64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21年国有资本经营预算财政拨款支出</w:t>
      </w:r>
      <w:r>
        <w:rPr>
          <w:rFonts w:hint="eastAsia" w:ascii="仿宋_GB2312" w:eastAsia="仿宋_GB2312"/>
          <w:sz w:val="32"/>
          <w:szCs w:val="32"/>
          <w:lang w:val="en-US" w:eastAsia="zh-CN"/>
        </w:rPr>
        <w:t>0</w:t>
      </w:r>
      <w:r>
        <w:rPr>
          <w:rFonts w:hint="eastAsia" w:ascii="仿宋_GB2312" w:eastAsia="仿宋_GB2312"/>
          <w:sz w:val="32"/>
          <w:szCs w:val="32"/>
        </w:rPr>
        <w:t>万元。</w:t>
      </w:r>
    </w:p>
    <w:p>
      <w:pPr>
        <w:spacing w:line="580" w:lineRule="exact"/>
        <w:jc w:val="center"/>
        <w:rPr>
          <w:rFonts w:ascii="方正小标宋简体" w:eastAsia="方正小标宋简体" w:cs="方正小标宋简体"/>
          <w:sz w:val="44"/>
          <w:szCs w:val="44"/>
        </w:rPr>
      </w:pPr>
    </w:p>
    <w:p>
      <w:pPr>
        <w:numPr>
          <w:ilvl w:val="0"/>
          <w:numId w:val="4"/>
        </w:numPr>
        <w:spacing w:line="600" w:lineRule="exact"/>
        <w:ind w:firstLine="640"/>
        <w:outlineLvl w:val="1"/>
        <w:rPr>
          <w:rStyle w:val="19"/>
          <w:rFonts w:ascii="黑体" w:eastAsia="黑体"/>
          <w:b w:val="0"/>
        </w:rPr>
      </w:pPr>
      <w:bookmarkStart w:id="61" w:name="_Toc15396612"/>
      <w:bookmarkStart w:id="62" w:name="_Toc15377221"/>
      <w:bookmarkStart w:id="63" w:name="_Toc11446"/>
      <w:r>
        <w:rPr>
          <w:rStyle w:val="19"/>
          <w:rFonts w:hint="eastAsia" w:ascii="黑体" w:eastAsia="黑体"/>
          <w:b w:val="0"/>
        </w:rPr>
        <w:t>其他重要事项的情况说明</w:t>
      </w:r>
      <w:bookmarkEnd w:id="61"/>
      <w:bookmarkEnd w:id="62"/>
      <w:bookmarkEnd w:id="63"/>
    </w:p>
    <w:p>
      <w:pPr>
        <w:spacing w:line="600" w:lineRule="exact"/>
        <w:ind w:firstLine="643" w:firstLineChars="200"/>
        <w:outlineLvl w:val="2"/>
        <w:rPr>
          <w:rFonts w:ascii="仿宋" w:eastAsia="仿宋"/>
          <w:sz w:val="32"/>
          <w:szCs w:val="32"/>
        </w:rPr>
      </w:pPr>
      <w:bookmarkStart w:id="64" w:name="_Toc15377222"/>
      <w:r>
        <w:rPr>
          <w:rFonts w:hint="eastAsia" w:ascii="仿宋" w:eastAsia="仿宋"/>
          <w:b/>
          <w:sz w:val="32"/>
          <w:szCs w:val="32"/>
        </w:rPr>
        <w:t>（一）机关运行经费支出情况</w:t>
      </w:r>
      <w:bookmarkEnd w:id="64"/>
    </w:p>
    <w:p>
      <w:pPr>
        <w:spacing w:line="600" w:lineRule="exact"/>
        <w:ind w:firstLine="640" w:firstLineChars="200"/>
        <w:rPr>
          <w:rFonts w:hint="default" w:ascii="仿宋_GB2312" w:eastAsia="仿宋_GB2312"/>
          <w:sz w:val="32"/>
          <w:szCs w:val="32"/>
          <w:lang w:val="en-US" w:eastAsia="zh-CN"/>
        </w:rPr>
      </w:pPr>
      <w:r>
        <w:rPr>
          <w:rFonts w:ascii="仿宋_GB2312" w:eastAsia="仿宋_GB2312"/>
          <w:sz w:val="32"/>
          <w:szCs w:val="32"/>
        </w:rPr>
        <w:t>20</w:t>
      </w:r>
      <w:r>
        <w:rPr>
          <w:rFonts w:hint="eastAsia" w:ascii="仿宋_GB2312" w:eastAsia="仿宋_GB2312"/>
          <w:sz w:val="32"/>
          <w:szCs w:val="32"/>
        </w:rPr>
        <w:t>21年，</w:t>
      </w:r>
      <w:r>
        <w:rPr>
          <w:rFonts w:hint="eastAsia" w:ascii="仿宋_GB2312" w:eastAsia="仿宋_GB2312"/>
          <w:sz w:val="32"/>
          <w:szCs w:val="32"/>
          <w:lang w:val="en-US" w:eastAsia="zh-CN"/>
        </w:rPr>
        <w:t>政协</w:t>
      </w:r>
      <w:r>
        <w:rPr>
          <w:rFonts w:hint="eastAsia" w:ascii="仿宋_GB2312" w:eastAsia="仿宋_GB2312"/>
          <w:sz w:val="32"/>
          <w:szCs w:val="32"/>
        </w:rPr>
        <w:t>机关运行经费支出</w:t>
      </w:r>
      <w:r>
        <w:rPr>
          <w:rFonts w:hint="eastAsia" w:ascii="仿宋_GB2312" w:eastAsia="仿宋_GB2312"/>
          <w:sz w:val="32"/>
          <w:szCs w:val="32"/>
          <w:lang w:val="en-US" w:eastAsia="zh-CN"/>
        </w:rPr>
        <w:t>44.75</w:t>
      </w:r>
      <w:r>
        <w:rPr>
          <w:rFonts w:hint="eastAsia" w:ascii="仿宋_GB2312" w:eastAsia="仿宋_GB2312"/>
          <w:sz w:val="32"/>
          <w:szCs w:val="32"/>
        </w:rPr>
        <w:t>万元，比</w:t>
      </w:r>
      <w:r>
        <w:rPr>
          <w:rFonts w:ascii="仿宋_GB2312" w:eastAsia="仿宋_GB2312"/>
          <w:sz w:val="32"/>
          <w:szCs w:val="32"/>
        </w:rPr>
        <w:t>20</w:t>
      </w:r>
      <w:r>
        <w:rPr>
          <w:rFonts w:hint="eastAsia" w:ascii="仿宋_GB2312" w:eastAsia="仿宋_GB2312"/>
          <w:sz w:val="32"/>
          <w:szCs w:val="32"/>
        </w:rPr>
        <w:t>20年减少</w:t>
      </w:r>
      <w:r>
        <w:rPr>
          <w:rFonts w:hint="eastAsia" w:ascii="仿宋_GB2312" w:eastAsia="仿宋_GB2312"/>
          <w:sz w:val="32"/>
          <w:szCs w:val="32"/>
          <w:lang w:val="en-US" w:eastAsia="zh-CN"/>
        </w:rPr>
        <w:t>3.32</w:t>
      </w:r>
      <w:r>
        <w:rPr>
          <w:rFonts w:hint="eastAsia" w:ascii="仿宋_GB2312" w:eastAsia="仿宋_GB2312"/>
          <w:sz w:val="32"/>
          <w:szCs w:val="32"/>
        </w:rPr>
        <w:t>万元，下降</w:t>
      </w:r>
      <w:r>
        <w:rPr>
          <w:rFonts w:hint="eastAsia" w:ascii="仿宋_GB2312" w:eastAsia="仿宋_GB2312"/>
          <w:sz w:val="32"/>
          <w:szCs w:val="32"/>
          <w:lang w:val="en-US" w:eastAsia="zh-CN"/>
        </w:rPr>
        <w:t>6.91</w:t>
      </w:r>
      <w:r>
        <w:rPr>
          <w:rFonts w:ascii="仿宋_GB2312" w:eastAsia="仿宋_GB2312"/>
          <w:sz w:val="32"/>
          <w:szCs w:val="32"/>
        </w:rPr>
        <w:t>%</w:t>
      </w:r>
      <w:r>
        <w:rPr>
          <w:rFonts w:hint="eastAsia" w:ascii="仿宋_GB2312" w:eastAsia="仿宋_GB2312"/>
          <w:sz w:val="32"/>
          <w:szCs w:val="32"/>
          <w:lang w:eastAsia="zh-CN"/>
        </w:rPr>
        <w:t>，</w:t>
      </w:r>
      <w:r>
        <w:rPr>
          <w:rFonts w:hint="eastAsia" w:ascii="仿宋_GB2312" w:eastAsia="仿宋_GB2312"/>
          <w:sz w:val="32"/>
          <w:szCs w:val="32"/>
        </w:rPr>
        <w:t>主要原因是</w:t>
      </w:r>
      <w:r>
        <w:rPr>
          <w:rFonts w:hint="eastAsia" w:ascii="仿宋_GB2312" w:eastAsia="仿宋_GB2312"/>
          <w:sz w:val="32"/>
          <w:szCs w:val="32"/>
          <w:lang w:val="en-US" w:eastAsia="zh-CN"/>
        </w:rPr>
        <w:t>厉行节约、压减开支。</w:t>
      </w:r>
    </w:p>
    <w:p>
      <w:pPr>
        <w:autoSpaceDE w:val="0"/>
        <w:autoSpaceDN w:val="0"/>
        <w:adjustRightInd w:val="0"/>
        <w:spacing w:line="600" w:lineRule="exact"/>
        <w:ind w:firstLine="643" w:firstLineChars="200"/>
        <w:jc w:val="left"/>
        <w:outlineLvl w:val="2"/>
        <w:rPr>
          <w:rFonts w:ascii="仿宋" w:eastAsia="仿宋"/>
          <w:b/>
          <w:sz w:val="32"/>
          <w:szCs w:val="32"/>
        </w:rPr>
      </w:pPr>
      <w:bookmarkStart w:id="65" w:name="_Toc15377223"/>
      <w:r>
        <w:rPr>
          <w:rFonts w:hint="eastAsia" w:ascii="仿宋" w:eastAsia="仿宋"/>
          <w:b/>
          <w:sz w:val="32"/>
          <w:szCs w:val="32"/>
        </w:rPr>
        <w:t>（二）政府采购支出情况</w:t>
      </w:r>
      <w:bookmarkEnd w:id="65"/>
    </w:p>
    <w:p>
      <w:pPr>
        <w:spacing w:line="600" w:lineRule="exact"/>
        <w:ind w:firstLine="640" w:firstLineChars="200"/>
        <w:rPr>
          <w:rFonts w:hint="eastAsia" w:ascii="仿宋_GB2312" w:eastAsia="仿宋_GB2312"/>
          <w:sz w:val="32"/>
          <w:szCs w:val="32"/>
          <w:lang w:eastAsia="zh-CN"/>
        </w:rPr>
      </w:pPr>
      <w:r>
        <w:rPr>
          <w:rFonts w:ascii="仿宋_GB2312" w:eastAsia="仿宋_GB2312"/>
          <w:sz w:val="32"/>
          <w:szCs w:val="32"/>
        </w:rPr>
        <w:t>20</w:t>
      </w:r>
      <w:r>
        <w:rPr>
          <w:rFonts w:hint="eastAsia" w:ascii="仿宋_GB2312" w:eastAsia="仿宋_GB2312"/>
          <w:sz w:val="32"/>
          <w:szCs w:val="32"/>
        </w:rPr>
        <w:t>21年，</w:t>
      </w:r>
      <w:r>
        <w:rPr>
          <w:rFonts w:hint="eastAsia" w:ascii="仿宋_GB2312" w:eastAsia="仿宋_GB2312"/>
          <w:sz w:val="32"/>
          <w:szCs w:val="32"/>
          <w:lang w:val="en-US" w:eastAsia="zh-CN"/>
        </w:rPr>
        <w:t>政协机关</w:t>
      </w:r>
      <w:r>
        <w:rPr>
          <w:rFonts w:hint="eastAsia" w:ascii="仿宋_GB2312" w:eastAsia="仿宋_GB2312"/>
          <w:sz w:val="32"/>
          <w:szCs w:val="32"/>
        </w:rPr>
        <w:t>政府采购支出总额</w:t>
      </w:r>
      <w:r>
        <w:rPr>
          <w:rFonts w:hint="eastAsia" w:ascii="仿宋_GB2312" w:eastAsia="仿宋_GB2312"/>
          <w:sz w:val="32"/>
          <w:szCs w:val="32"/>
          <w:lang w:val="en-US" w:eastAsia="zh-CN"/>
        </w:rPr>
        <w:t>0</w:t>
      </w:r>
      <w:r>
        <w:rPr>
          <w:rFonts w:hint="eastAsia" w:ascii="仿宋_GB2312" w:eastAsia="仿宋_GB2312"/>
          <w:sz w:val="32"/>
          <w:szCs w:val="32"/>
        </w:rPr>
        <w:t>万元</w:t>
      </w:r>
      <w:r>
        <w:rPr>
          <w:rFonts w:hint="eastAsia" w:ascii="仿宋_GB2312" w:eastAsia="仿宋_GB2312"/>
          <w:sz w:val="32"/>
          <w:szCs w:val="32"/>
          <w:lang w:eastAsia="zh-CN"/>
        </w:rPr>
        <w:t>。</w:t>
      </w:r>
    </w:p>
    <w:p>
      <w:pPr>
        <w:autoSpaceDE w:val="0"/>
        <w:autoSpaceDN w:val="0"/>
        <w:adjustRightInd w:val="0"/>
        <w:spacing w:line="600" w:lineRule="exact"/>
        <w:ind w:firstLine="643" w:firstLineChars="200"/>
        <w:jc w:val="left"/>
        <w:outlineLvl w:val="2"/>
        <w:rPr>
          <w:rFonts w:ascii="仿宋" w:eastAsia="仿宋"/>
          <w:b/>
          <w:sz w:val="32"/>
          <w:szCs w:val="32"/>
        </w:rPr>
      </w:pPr>
      <w:bookmarkStart w:id="66" w:name="_Toc15377224"/>
      <w:r>
        <w:rPr>
          <w:rFonts w:hint="eastAsia" w:ascii="仿宋" w:eastAsia="仿宋"/>
          <w:b/>
          <w:sz w:val="32"/>
          <w:szCs w:val="32"/>
        </w:rPr>
        <w:t>（三）国有资产占有使用情况</w:t>
      </w:r>
      <w:bookmarkEnd w:id="66"/>
    </w:p>
    <w:p>
      <w:pPr>
        <w:autoSpaceDE w:val="0"/>
        <w:autoSpaceDN w:val="0"/>
        <w:adjustRightInd w:val="0"/>
        <w:spacing w:line="600" w:lineRule="exact"/>
        <w:ind w:firstLine="640" w:firstLineChars="200"/>
        <w:jc w:val="left"/>
        <w:rPr>
          <w:rFonts w:ascii="仿宋_GB2312" w:eastAsia="仿宋_GB2312"/>
          <w:sz w:val="32"/>
          <w:szCs w:val="32"/>
        </w:rPr>
      </w:pPr>
      <w:r>
        <w:rPr>
          <w:rFonts w:hint="eastAsia" w:ascii="仿宋_GB2312" w:eastAsia="仿宋_GB2312"/>
          <w:sz w:val="32"/>
          <w:szCs w:val="32"/>
        </w:rPr>
        <w:t>截至</w:t>
      </w:r>
      <w:r>
        <w:rPr>
          <w:rFonts w:ascii="仿宋_GB2312" w:eastAsia="仿宋_GB2312"/>
          <w:sz w:val="32"/>
          <w:szCs w:val="32"/>
        </w:rPr>
        <w:t>20</w:t>
      </w:r>
      <w:r>
        <w:rPr>
          <w:rFonts w:hint="eastAsia" w:ascii="仿宋_GB2312" w:eastAsia="仿宋_GB2312"/>
          <w:sz w:val="32"/>
          <w:szCs w:val="32"/>
        </w:rPr>
        <w:t>21年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w:t>
      </w:r>
      <w:r>
        <w:rPr>
          <w:rFonts w:hint="eastAsia" w:ascii="仿宋_GB2312" w:eastAsia="仿宋_GB2312"/>
          <w:sz w:val="32"/>
          <w:szCs w:val="32"/>
          <w:lang w:val="en-US" w:eastAsia="zh-CN"/>
        </w:rPr>
        <w:t>我机关</w:t>
      </w:r>
      <w:r>
        <w:rPr>
          <w:rFonts w:hint="eastAsia" w:ascii="仿宋_GB2312" w:eastAsia="仿宋_GB2312"/>
          <w:sz w:val="32"/>
          <w:szCs w:val="32"/>
        </w:rPr>
        <w:t>共有车辆</w:t>
      </w:r>
      <w:r>
        <w:rPr>
          <w:rFonts w:hint="eastAsia" w:ascii="仿宋_GB2312" w:eastAsia="仿宋_GB2312"/>
          <w:sz w:val="32"/>
          <w:szCs w:val="32"/>
          <w:lang w:val="en-US" w:eastAsia="zh-CN"/>
        </w:rPr>
        <w:t>4</w:t>
      </w:r>
      <w:r>
        <w:rPr>
          <w:rFonts w:hint="eastAsia" w:ascii="仿宋_GB2312" w:eastAsia="仿宋_GB2312"/>
          <w:sz w:val="32"/>
          <w:szCs w:val="32"/>
        </w:rPr>
        <w:t>辆，其中：主要领导干部用车</w:t>
      </w:r>
      <w:r>
        <w:rPr>
          <w:rFonts w:hint="eastAsia" w:ascii="仿宋_GB2312" w:eastAsia="仿宋_GB2312"/>
          <w:sz w:val="32"/>
          <w:szCs w:val="32"/>
          <w:lang w:val="en-US" w:eastAsia="zh-CN"/>
        </w:rPr>
        <w:t>4</w:t>
      </w:r>
      <w:r>
        <w:rPr>
          <w:rFonts w:hint="eastAsia" w:ascii="仿宋_GB2312" w:eastAsia="仿宋_GB2312"/>
          <w:sz w:val="32"/>
          <w:szCs w:val="32"/>
        </w:rPr>
        <w:t>辆</w:t>
      </w:r>
      <w:r>
        <w:rPr>
          <w:rFonts w:hint="eastAsia" w:ascii="仿宋_GB2312" w:eastAsia="仿宋_GB2312"/>
          <w:sz w:val="32"/>
          <w:szCs w:val="32"/>
          <w:lang w:eastAsia="zh-CN"/>
        </w:rPr>
        <w:t>，</w:t>
      </w:r>
      <w:r>
        <w:rPr>
          <w:rFonts w:hint="eastAsia" w:ascii="仿宋_GB2312" w:eastAsia="仿宋_GB2312"/>
          <w:sz w:val="32"/>
          <w:szCs w:val="32"/>
        </w:rPr>
        <w:t>单价</w:t>
      </w:r>
      <w:r>
        <w:rPr>
          <w:rFonts w:ascii="仿宋_GB2312" w:eastAsia="仿宋_GB2312"/>
          <w:sz w:val="32"/>
          <w:szCs w:val="32"/>
        </w:rPr>
        <w:t>50</w:t>
      </w:r>
      <w:r>
        <w:rPr>
          <w:rFonts w:hint="eastAsia" w:ascii="仿宋_GB2312" w:eastAsia="仿宋_GB2312"/>
          <w:sz w:val="32"/>
          <w:szCs w:val="32"/>
        </w:rPr>
        <w:t>万元以上通用设备</w:t>
      </w:r>
      <w:r>
        <w:rPr>
          <w:rFonts w:hint="eastAsia" w:ascii="仿宋_GB2312" w:eastAsia="仿宋_GB2312"/>
          <w:sz w:val="32"/>
          <w:szCs w:val="32"/>
          <w:lang w:val="en-US" w:eastAsia="zh-CN"/>
        </w:rPr>
        <w:t>0</w:t>
      </w:r>
      <w:r>
        <w:rPr>
          <w:rFonts w:hint="eastAsia" w:ascii="仿宋_GB2312" w:eastAsia="仿宋_GB2312"/>
          <w:sz w:val="32"/>
          <w:szCs w:val="32"/>
        </w:rPr>
        <w:t>台（套），单价</w:t>
      </w:r>
      <w:r>
        <w:rPr>
          <w:rFonts w:ascii="仿宋_GB2312" w:eastAsia="仿宋_GB2312"/>
          <w:sz w:val="32"/>
          <w:szCs w:val="32"/>
        </w:rPr>
        <w:t>100</w:t>
      </w:r>
      <w:r>
        <w:rPr>
          <w:rFonts w:hint="eastAsia" w:ascii="仿宋_GB2312" w:eastAsia="仿宋_GB2312"/>
          <w:sz w:val="32"/>
          <w:szCs w:val="32"/>
        </w:rPr>
        <w:t>万元以上专用设备</w:t>
      </w:r>
      <w:r>
        <w:rPr>
          <w:rFonts w:hint="eastAsia" w:ascii="仿宋_GB2312" w:eastAsia="仿宋_GB2312"/>
          <w:sz w:val="32"/>
          <w:szCs w:val="32"/>
          <w:lang w:val="en-US" w:eastAsia="zh-CN"/>
        </w:rPr>
        <w:t>0</w:t>
      </w:r>
      <w:r>
        <w:rPr>
          <w:rFonts w:hint="eastAsia" w:ascii="仿宋_GB2312" w:eastAsia="仿宋_GB2312"/>
          <w:sz w:val="32"/>
          <w:szCs w:val="32"/>
        </w:rPr>
        <w:t>台（套）。</w:t>
      </w:r>
    </w:p>
    <w:p>
      <w:pPr>
        <w:autoSpaceDE w:val="0"/>
        <w:autoSpaceDN w:val="0"/>
        <w:adjustRightInd w:val="0"/>
        <w:spacing w:line="600" w:lineRule="exact"/>
        <w:ind w:firstLine="643" w:firstLineChars="200"/>
        <w:jc w:val="left"/>
        <w:outlineLvl w:val="2"/>
        <w:rPr>
          <w:rFonts w:ascii="仿宋" w:eastAsia="仿宋"/>
          <w:b/>
          <w:sz w:val="32"/>
          <w:szCs w:val="32"/>
        </w:rPr>
      </w:pPr>
      <w:r>
        <w:rPr>
          <w:rFonts w:hint="eastAsia" w:ascii="仿宋" w:eastAsia="仿宋"/>
          <w:b/>
          <w:sz w:val="32"/>
          <w:szCs w:val="32"/>
        </w:rPr>
        <w:t>（四）预算绩效管理情况</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根据预算绩效管理要求，本单位在2021年度预算编制阶段，组织对</w:t>
      </w:r>
      <w:r>
        <w:rPr>
          <w:rFonts w:hint="eastAsia" w:ascii="仿宋_GB2312" w:eastAsia="仿宋_GB2312" w:cs="仿宋_GB2312"/>
          <w:sz w:val="32"/>
          <w:szCs w:val="32"/>
          <w:lang w:val="en-US" w:eastAsia="zh-CN"/>
        </w:rPr>
        <w:t>政协会议</w:t>
      </w:r>
      <w:r>
        <w:rPr>
          <w:rFonts w:hint="eastAsia" w:ascii="仿宋_GB2312" w:eastAsia="仿宋_GB2312" w:cs="仿宋_GB2312"/>
          <w:sz w:val="32"/>
          <w:szCs w:val="32"/>
        </w:rPr>
        <w:t>项目等</w:t>
      </w:r>
      <w:r>
        <w:rPr>
          <w:rFonts w:hint="eastAsia" w:ascii="仿宋_GB2312" w:eastAsia="仿宋_GB2312" w:cs="仿宋_GB2312"/>
          <w:sz w:val="32"/>
          <w:szCs w:val="32"/>
          <w:lang w:val="en-US" w:eastAsia="zh-CN"/>
        </w:rPr>
        <w:t>3</w:t>
      </w:r>
      <w:r>
        <w:rPr>
          <w:rFonts w:hint="eastAsia" w:ascii="仿宋_GB2312" w:eastAsia="仿宋_GB2312" w:cs="仿宋_GB2312"/>
          <w:sz w:val="32"/>
          <w:szCs w:val="32"/>
        </w:rPr>
        <w:t>个项目开展了预算事前绩效评估，对</w:t>
      </w:r>
      <w:r>
        <w:rPr>
          <w:rFonts w:hint="eastAsia" w:ascii="仿宋_GB2312" w:eastAsia="仿宋_GB2312" w:cs="仿宋_GB2312"/>
          <w:sz w:val="32"/>
          <w:szCs w:val="32"/>
          <w:lang w:val="en-US" w:eastAsia="zh-CN"/>
        </w:rPr>
        <w:t>3</w:t>
      </w:r>
      <w:r>
        <w:rPr>
          <w:rFonts w:hint="eastAsia" w:ascii="仿宋_GB2312" w:eastAsia="仿宋_GB2312" w:cs="仿宋_GB2312"/>
          <w:sz w:val="32"/>
          <w:szCs w:val="32"/>
        </w:rPr>
        <w:t>个项目编制了绩效目标，预算执行过程中，选取</w:t>
      </w:r>
      <w:r>
        <w:rPr>
          <w:rFonts w:hint="eastAsia" w:ascii="仿宋_GB2312" w:eastAsia="仿宋_GB2312" w:cs="仿宋_GB2312"/>
          <w:sz w:val="32"/>
          <w:szCs w:val="32"/>
          <w:lang w:val="en-US" w:eastAsia="zh-CN"/>
        </w:rPr>
        <w:t>3</w:t>
      </w:r>
      <w:r>
        <w:rPr>
          <w:rFonts w:hint="eastAsia" w:ascii="仿宋_GB2312" w:eastAsia="仿宋_GB2312" w:cs="仿宋_GB2312"/>
          <w:sz w:val="32"/>
          <w:szCs w:val="32"/>
        </w:rPr>
        <w:t>个项目开展绩效监控，年终执行完毕后，对</w:t>
      </w:r>
      <w:r>
        <w:rPr>
          <w:rFonts w:hint="eastAsia" w:ascii="仿宋_GB2312" w:eastAsia="仿宋_GB2312" w:cs="仿宋_GB2312"/>
          <w:sz w:val="32"/>
          <w:szCs w:val="32"/>
          <w:lang w:val="en-US" w:eastAsia="zh-CN"/>
        </w:rPr>
        <w:t>3</w:t>
      </w:r>
      <w:r>
        <w:rPr>
          <w:rFonts w:hint="eastAsia" w:ascii="仿宋_GB2312" w:eastAsia="仿宋_GB2312" w:cs="仿宋_GB2312"/>
          <w:sz w:val="32"/>
          <w:szCs w:val="32"/>
        </w:rPr>
        <w:t>个项目开展了绩效自评，2021年特定目标类部门预算项目绩效目标自评表见附件（第四部分）。</w:t>
      </w:r>
    </w:p>
    <w:p>
      <w:pPr>
        <w:pStyle w:val="2"/>
        <w:spacing w:before="93"/>
        <w:rPr>
          <w:highlight w:val="yellow"/>
        </w:rPr>
      </w:pPr>
    </w:p>
    <w:p>
      <w:pPr>
        <w:widowControl/>
        <w:jc w:val="left"/>
        <w:rPr>
          <w:rFonts w:ascii="仿宋_GB2312" w:eastAsia="仿宋_GB2312"/>
          <w:b/>
          <w:sz w:val="32"/>
          <w:szCs w:val="32"/>
        </w:rPr>
      </w:pPr>
      <w:r>
        <w:rPr>
          <w:rFonts w:ascii="仿宋_GB2312" w:eastAsia="仿宋_GB2312"/>
          <w:b/>
          <w:sz w:val="32"/>
          <w:szCs w:val="32"/>
        </w:rPr>
        <w:br w:type="page"/>
      </w:r>
    </w:p>
    <w:p>
      <w:pPr>
        <w:numPr>
          <w:ilvl w:val="0"/>
          <w:numId w:val="5"/>
        </w:numPr>
        <w:spacing w:line="600" w:lineRule="exact"/>
        <w:ind w:firstLine="660" w:firstLineChars="150"/>
        <w:jc w:val="center"/>
        <w:outlineLvl w:val="0"/>
        <w:rPr>
          <w:rStyle w:val="18"/>
          <w:rFonts w:ascii="黑体" w:eastAsia="黑体"/>
          <w:b w:val="0"/>
        </w:rPr>
      </w:pPr>
      <w:bookmarkStart w:id="67" w:name="_Toc15377225"/>
      <w:bookmarkStart w:id="68" w:name="_Toc20873"/>
      <w:bookmarkStart w:id="69" w:name="_Toc15396613"/>
      <w:r>
        <w:rPr>
          <w:rFonts w:hint="eastAsia" w:ascii="黑体" w:eastAsia="黑体"/>
          <w:sz w:val="44"/>
          <w:szCs w:val="44"/>
        </w:rPr>
        <w:t>名</w:t>
      </w:r>
      <w:r>
        <w:rPr>
          <w:rStyle w:val="18"/>
          <w:rFonts w:hint="eastAsia" w:ascii="黑体" w:eastAsia="黑体"/>
          <w:b w:val="0"/>
        </w:rPr>
        <w:t>词解释</w:t>
      </w:r>
      <w:bookmarkEnd w:id="67"/>
      <w:bookmarkEnd w:id="68"/>
      <w:bookmarkEnd w:id="69"/>
    </w:p>
    <w:p>
      <w:pPr>
        <w:spacing w:line="600" w:lineRule="exact"/>
        <w:jc w:val="left"/>
        <w:rPr>
          <w:rFonts w:ascii="宋体"/>
          <w:b/>
          <w:sz w:val="44"/>
          <w:szCs w:val="44"/>
        </w:rPr>
      </w:pPr>
    </w:p>
    <w:p>
      <w:pPr>
        <w:pStyle w:val="23"/>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color w:val="auto"/>
          <w:sz w:val="32"/>
          <w:szCs w:val="32"/>
        </w:rPr>
      </w:pPr>
      <w:r>
        <w:rPr>
          <w:rFonts w:ascii="仿宋_GB2312" w:eastAsia="仿宋_GB2312"/>
          <w:color w:val="auto"/>
          <w:sz w:val="32"/>
          <w:szCs w:val="32"/>
        </w:rPr>
        <w:t>1.</w:t>
      </w:r>
      <w:r>
        <w:rPr>
          <w:rFonts w:hint="eastAsia" w:ascii="仿宋_GB2312" w:eastAsia="仿宋_GB2312"/>
          <w:color w:val="auto"/>
          <w:sz w:val="32"/>
          <w:szCs w:val="32"/>
        </w:rPr>
        <w:t>财政拨款收入：指单位从同级财政部门取得的财政预算资金。</w:t>
      </w:r>
      <w:r>
        <w:rPr>
          <w:rFonts w:ascii="仿宋_GB2312" w:eastAsia="仿宋_GB2312"/>
          <w:color w:val="auto"/>
          <w:sz w:val="32"/>
          <w:szCs w:val="32"/>
        </w:rPr>
        <w:t xml:space="preserve"> </w:t>
      </w:r>
    </w:p>
    <w:p>
      <w:pPr>
        <w:pStyle w:val="23"/>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lang w:val="en-US" w:eastAsia="zh-CN"/>
        </w:rPr>
        <w:t>2</w:t>
      </w:r>
      <w:r>
        <w:rPr>
          <w:rFonts w:ascii="仿宋_GB2312" w:eastAsia="仿宋_GB2312"/>
          <w:color w:val="auto"/>
          <w:sz w:val="32"/>
          <w:szCs w:val="32"/>
        </w:rPr>
        <w:t>.</w:t>
      </w:r>
      <w:r>
        <w:rPr>
          <w:rFonts w:hint="eastAsia" w:ascii="仿宋_GB2312" w:eastAsia="仿宋_GB2312"/>
          <w:color w:val="auto"/>
          <w:sz w:val="32"/>
          <w:szCs w:val="32"/>
        </w:rPr>
        <w:t>年初结转和结余：指以前年度尚未完成、结转到本年按有关规定继续使用的资金。</w:t>
      </w:r>
      <w:r>
        <w:rPr>
          <w:rFonts w:ascii="仿宋_GB2312" w:eastAsia="仿宋_GB2312"/>
          <w:color w:val="auto"/>
          <w:sz w:val="32"/>
          <w:szCs w:val="32"/>
        </w:rPr>
        <w:t xml:space="preserve"> </w:t>
      </w:r>
    </w:p>
    <w:p>
      <w:pPr>
        <w:pStyle w:val="23"/>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lang w:val="en-US" w:eastAsia="zh-CN"/>
        </w:rPr>
        <w:t>3</w:t>
      </w:r>
      <w:r>
        <w:rPr>
          <w:rFonts w:ascii="仿宋_GB2312" w:eastAsia="仿宋_GB2312"/>
          <w:color w:val="auto"/>
          <w:sz w:val="32"/>
          <w:szCs w:val="32"/>
        </w:rPr>
        <w:t>.</w:t>
      </w:r>
      <w:r>
        <w:rPr>
          <w:rFonts w:hint="eastAsia" w:ascii="仿宋_GB2312" w:eastAsia="仿宋_GB2312"/>
          <w:color w:val="auto"/>
          <w:sz w:val="32"/>
          <w:szCs w:val="32"/>
        </w:rPr>
        <w:t>结余分配：指事业单位按照会计制度规定缴纳的所得税、提取的专用结余以及转入非财政拨款结余的金额等。</w:t>
      </w:r>
    </w:p>
    <w:p>
      <w:pPr>
        <w:pStyle w:val="23"/>
        <w:keepNext w:val="0"/>
        <w:keepLines w:val="0"/>
        <w:pageBreakBefore w:val="0"/>
        <w:widowControl w:val="0"/>
        <w:kinsoku/>
        <w:wordWrap/>
        <w:overflowPunct/>
        <w:topLinePunct w:val="0"/>
        <w:bidi w:val="0"/>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lang w:val="en-US" w:eastAsia="zh-CN"/>
        </w:rPr>
        <w:t>4.</w:t>
      </w:r>
      <w:r>
        <w:rPr>
          <w:rFonts w:hint="eastAsia" w:ascii="仿宋_GB2312" w:eastAsia="仿宋_GB2312"/>
          <w:color w:val="auto"/>
          <w:sz w:val="32"/>
          <w:szCs w:val="32"/>
        </w:rPr>
        <w:t>年末结转和结余：指单位按有关规定结转到下年或以后年度继续使用的资金。</w:t>
      </w:r>
    </w:p>
    <w:p>
      <w:pPr>
        <w:pStyle w:val="27"/>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firstLine="640" w:firstLineChars="200"/>
        <w:textAlignment w:val="auto"/>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lang w:val="en-US" w:eastAsia="zh-CN"/>
        </w:rPr>
        <w:t>5</w:t>
      </w:r>
      <w:r>
        <w:rPr>
          <w:rFonts w:hint="eastAsia" w:ascii="仿宋_GB2312" w:hAnsi="仿宋_GB2312" w:eastAsia="仿宋_GB2312" w:cs="仿宋_GB2312"/>
          <w:sz w:val="32"/>
          <w:szCs w:val="32"/>
          <w:shd w:val="clear" w:color="auto" w:fill="FFFFFF"/>
        </w:rPr>
        <w:t>.一般公共服务支出（类）政协事务（款）：指各级政治协商会议的支出。</w:t>
      </w:r>
    </w:p>
    <w:p>
      <w:pPr>
        <w:pStyle w:val="27"/>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firstLine="320" w:firstLineChars="100"/>
        <w:textAlignment w:val="auto"/>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（1）行政运行（项）：指行政单位的基本支出。</w:t>
      </w:r>
    </w:p>
    <w:p>
      <w:pPr>
        <w:pStyle w:val="27"/>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firstLine="320" w:firstLineChars="100"/>
        <w:textAlignment w:val="auto"/>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（2）一般行政管理事务（项）：指行政单位未单独设置顶级科目的其他项目支出。</w:t>
      </w:r>
    </w:p>
    <w:p>
      <w:pPr>
        <w:pStyle w:val="27"/>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firstLine="320" w:firstLineChars="100"/>
        <w:textAlignment w:val="auto"/>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（3）政协会议（项）：指各级政协召开“政协会”等专门会议的支出。</w:t>
      </w:r>
    </w:p>
    <w:p>
      <w:pPr>
        <w:pStyle w:val="27"/>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firstLine="320" w:firstLineChars="100"/>
        <w:textAlignment w:val="auto"/>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（4）委员视察（项）：指政协委员开展各类视察的支出。</w:t>
      </w:r>
    </w:p>
    <w:p>
      <w:pPr>
        <w:pStyle w:val="27"/>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firstLine="320" w:firstLineChars="100"/>
        <w:textAlignment w:val="auto"/>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（5）参政议政（项）：指政协为参政议政进行调研、检查等方面的支出。</w:t>
      </w:r>
    </w:p>
    <w:p>
      <w:pPr>
        <w:pStyle w:val="27"/>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firstLine="640" w:firstLineChars="200"/>
        <w:textAlignment w:val="auto"/>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 xml:space="preserve"> </w:t>
      </w:r>
      <w:r>
        <w:rPr>
          <w:rFonts w:hint="eastAsia" w:ascii="仿宋_GB2312" w:hAnsi="仿宋_GB2312" w:eastAsia="仿宋_GB2312" w:cs="仿宋_GB2312"/>
          <w:sz w:val="32"/>
          <w:szCs w:val="32"/>
          <w:shd w:val="clear" w:color="auto" w:fill="FFFFFF"/>
          <w:lang w:val="en-US" w:eastAsia="zh-CN"/>
        </w:rPr>
        <w:t>6</w:t>
      </w:r>
      <w:r>
        <w:rPr>
          <w:rFonts w:hint="eastAsia" w:ascii="仿宋_GB2312" w:hAnsi="仿宋_GB2312" w:eastAsia="仿宋_GB2312" w:cs="仿宋_GB2312"/>
          <w:sz w:val="32"/>
          <w:szCs w:val="32"/>
          <w:shd w:val="clear" w:color="auto" w:fill="FFFFFF"/>
        </w:rPr>
        <w:t>.社会保障和就业支出（类）行政事业单位养老支出（款）：指行政事业单位养老方面的支出。</w:t>
      </w:r>
    </w:p>
    <w:p>
      <w:pPr>
        <w:pStyle w:val="27"/>
        <w:keepNext w:val="0"/>
        <w:keepLines w:val="0"/>
        <w:pageBreakBefore w:val="0"/>
        <w:widowControl w:val="0"/>
        <w:kinsoku/>
        <w:wordWrap/>
        <w:overflowPunct/>
        <w:topLinePunct w:val="0"/>
        <w:bidi w:val="0"/>
        <w:snapToGrid/>
        <w:spacing w:before="0" w:beforeAutospacing="0" w:afterAutospacing="0" w:line="560" w:lineRule="exact"/>
        <w:ind w:firstLine="320" w:firstLineChars="100"/>
        <w:textAlignment w:val="auto"/>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（1）机关事业单位基本养老保险缴费支出（项）：指机关事业单位实施养老保险制度由单位缴纳的基本养老保险费支出。</w:t>
      </w:r>
    </w:p>
    <w:p>
      <w:pPr>
        <w:pStyle w:val="27"/>
        <w:keepNext w:val="0"/>
        <w:keepLines w:val="0"/>
        <w:pageBreakBefore w:val="0"/>
        <w:widowControl w:val="0"/>
        <w:kinsoku/>
        <w:wordWrap/>
        <w:overflowPunct/>
        <w:topLinePunct w:val="0"/>
        <w:bidi w:val="0"/>
        <w:snapToGrid/>
        <w:spacing w:before="0" w:beforeAutospacing="0" w:afterAutospacing="0" w:line="560" w:lineRule="exact"/>
        <w:ind w:firstLine="320" w:firstLineChars="100"/>
        <w:textAlignment w:val="auto"/>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（2）机关事业单位职业年金缴费支出（项）：指机关事业单位实施养老保险制度由单位实际缴纳的职业年金支出。</w:t>
      </w:r>
    </w:p>
    <w:p>
      <w:pPr>
        <w:pStyle w:val="27"/>
        <w:keepNext w:val="0"/>
        <w:keepLines w:val="0"/>
        <w:pageBreakBefore w:val="0"/>
        <w:widowControl w:val="0"/>
        <w:kinsoku/>
        <w:wordWrap/>
        <w:overflowPunct/>
        <w:topLinePunct w:val="0"/>
        <w:bidi w:val="0"/>
        <w:snapToGrid/>
        <w:spacing w:before="0" w:beforeAutospacing="0" w:afterAutospacing="0" w:line="560" w:lineRule="exact"/>
        <w:ind w:firstLine="640" w:firstLineChars="200"/>
        <w:textAlignment w:val="auto"/>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lang w:val="en-US" w:eastAsia="zh-CN"/>
        </w:rPr>
        <w:t>7.</w:t>
      </w:r>
      <w:r>
        <w:rPr>
          <w:rFonts w:hint="eastAsia" w:ascii="仿宋_GB2312" w:hAnsi="仿宋_GB2312" w:eastAsia="仿宋_GB2312" w:cs="仿宋_GB2312"/>
          <w:sz w:val="32"/>
          <w:szCs w:val="32"/>
          <w:shd w:val="clear" w:color="auto" w:fill="FFFFFF"/>
        </w:rPr>
        <w:t>卫生健康支出（类）行政事业单位医疗（款）：指行政事业单位医疗方面的支出。</w:t>
      </w:r>
    </w:p>
    <w:p>
      <w:pPr>
        <w:pStyle w:val="27"/>
        <w:keepNext w:val="0"/>
        <w:keepLines w:val="0"/>
        <w:pageBreakBefore w:val="0"/>
        <w:widowControl w:val="0"/>
        <w:kinsoku/>
        <w:wordWrap/>
        <w:overflowPunct/>
        <w:topLinePunct w:val="0"/>
        <w:bidi w:val="0"/>
        <w:snapToGrid/>
        <w:spacing w:before="0" w:beforeAutospacing="0" w:afterAutospacing="0" w:line="560" w:lineRule="exact"/>
        <w:ind w:firstLine="320" w:firstLineChars="100"/>
        <w:textAlignment w:val="auto"/>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（1）行政单位医疗（项）：指财政部门集中安排的行政单位基本医疗保险缴费经费。</w:t>
      </w:r>
    </w:p>
    <w:p>
      <w:pPr>
        <w:pStyle w:val="27"/>
        <w:keepNext w:val="0"/>
        <w:keepLines w:val="0"/>
        <w:pageBreakBefore w:val="0"/>
        <w:widowControl w:val="0"/>
        <w:kinsoku/>
        <w:wordWrap/>
        <w:overflowPunct/>
        <w:topLinePunct w:val="0"/>
        <w:bidi w:val="0"/>
        <w:snapToGrid/>
        <w:spacing w:before="0" w:beforeAutospacing="0" w:afterAutospacing="0" w:line="560" w:lineRule="exact"/>
        <w:ind w:firstLine="320" w:firstLineChars="100"/>
        <w:textAlignment w:val="auto"/>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（2）公务员医疗补助（项）：指财政部门集中安排的公务员医疗补助经费。</w:t>
      </w:r>
    </w:p>
    <w:p>
      <w:pPr>
        <w:pStyle w:val="27"/>
        <w:keepNext w:val="0"/>
        <w:keepLines w:val="0"/>
        <w:pageBreakBefore w:val="0"/>
        <w:widowControl w:val="0"/>
        <w:kinsoku/>
        <w:wordWrap/>
        <w:overflowPunct/>
        <w:topLinePunct w:val="0"/>
        <w:bidi w:val="0"/>
        <w:snapToGrid/>
        <w:spacing w:before="0" w:beforeAutospacing="0" w:afterAutospacing="0" w:line="560" w:lineRule="exact"/>
        <w:ind w:firstLine="640" w:firstLineChars="200"/>
        <w:textAlignment w:val="auto"/>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lang w:val="en-US" w:eastAsia="zh-CN"/>
        </w:rPr>
        <w:t>8</w:t>
      </w:r>
      <w:r>
        <w:rPr>
          <w:rFonts w:hint="eastAsia" w:ascii="仿宋_GB2312" w:hAnsi="仿宋_GB2312" w:eastAsia="仿宋_GB2312" w:cs="仿宋_GB2312"/>
          <w:sz w:val="32"/>
          <w:szCs w:val="32"/>
          <w:shd w:val="clear" w:color="auto" w:fill="FFFFFF"/>
        </w:rPr>
        <w:t>.住房保障（类）住房改革支出（款）住房公积金（项）：指行政事业单位按人力资源和社会保障部、财政部规定的基本工资和津补贴一级规定比例为职工缴纳的住房公积金。</w:t>
      </w:r>
    </w:p>
    <w:p>
      <w:pPr>
        <w:ind w:firstLine="640" w:firstLineChars="200"/>
        <w:rPr>
          <w:rFonts w:ascii="仿宋_GB2312" w:eastAsia="仿宋_GB2312"/>
          <w:sz w:val="32"/>
          <w:szCs w:val="32"/>
        </w:rPr>
      </w:pPr>
      <w:r>
        <w:rPr>
          <w:rFonts w:hint="eastAsia" w:ascii="仿宋_GB2312" w:eastAsia="仿宋_GB2312"/>
          <w:sz w:val="32"/>
          <w:szCs w:val="32"/>
          <w:lang w:val="en-US" w:eastAsia="zh-CN"/>
        </w:rPr>
        <w:t>9</w:t>
      </w:r>
      <w:r>
        <w:rPr>
          <w:rFonts w:ascii="仿宋_GB2312" w:eastAsia="仿宋_GB2312"/>
          <w:sz w:val="32"/>
          <w:szCs w:val="32"/>
        </w:rPr>
        <w:t>.</w:t>
      </w:r>
      <w:r>
        <w:rPr>
          <w:rFonts w:hint="eastAsia" w:ascii="仿宋_GB2312" w:eastAsia="仿宋_GB2312"/>
          <w:sz w:val="32"/>
          <w:szCs w:val="32"/>
        </w:rPr>
        <w:t>基本支出：指为保障机构正常运转、完成日常工作任务而发生的人员支出和公用支出。</w:t>
      </w:r>
    </w:p>
    <w:p>
      <w:pPr>
        <w:ind w:firstLine="640" w:firstLineChars="200"/>
        <w:rPr>
          <w:rFonts w:ascii="仿宋_GB2312" w:eastAsia="仿宋_GB2312"/>
          <w:sz w:val="32"/>
          <w:szCs w:val="32"/>
        </w:rPr>
      </w:pPr>
      <w:r>
        <w:rPr>
          <w:rFonts w:hint="eastAsia" w:ascii="仿宋_GB2312" w:eastAsia="仿宋_GB2312"/>
          <w:sz w:val="32"/>
          <w:szCs w:val="32"/>
          <w:lang w:val="en-US" w:eastAsia="zh-CN"/>
        </w:rPr>
        <w:t>10</w:t>
      </w:r>
      <w:r>
        <w:rPr>
          <w:rFonts w:ascii="仿宋_GB2312" w:eastAsia="仿宋_GB2312"/>
          <w:sz w:val="32"/>
          <w:szCs w:val="32"/>
        </w:rPr>
        <w:t>.</w:t>
      </w:r>
      <w:r>
        <w:rPr>
          <w:rFonts w:hint="eastAsia" w:ascii="仿宋_GB2312" w:eastAsia="仿宋_GB2312"/>
          <w:sz w:val="32"/>
          <w:szCs w:val="32"/>
        </w:rPr>
        <w:t>项目支出：指在基本支出之外为完成特定行政任务和事业发展目标所发生的支出。</w:t>
      </w:r>
      <w:r>
        <w:rPr>
          <w:rFonts w:ascii="仿宋_GB2312" w:eastAsia="仿宋_GB2312"/>
          <w:sz w:val="32"/>
          <w:szCs w:val="32"/>
        </w:rPr>
        <w:t xml:space="preserve"> </w:t>
      </w:r>
    </w:p>
    <w:p>
      <w:pPr>
        <w:pStyle w:val="23"/>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11</w:t>
      </w:r>
      <w:r>
        <w:rPr>
          <w:rFonts w:ascii="仿宋_GB2312" w:eastAsia="仿宋_GB2312"/>
          <w:color w:val="auto"/>
          <w:sz w:val="32"/>
          <w:szCs w:val="32"/>
        </w:rPr>
        <w:t>.</w:t>
      </w:r>
      <w:r>
        <w:rPr>
          <w:rFonts w:hint="eastAsia" w:ascii="仿宋_GB2312" w:eastAsia="仿宋_GB2312"/>
          <w:color w:val="auto"/>
          <w:sz w:val="32"/>
          <w:szCs w:val="32"/>
        </w:rPr>
        <w:t>“三公”经费：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3"/>
        <w:spacing w:line="560" w:lineRule="exact"/>
        <w:ind w:firstLine="640" w:firstLineChars="200"/>
        <w:rPr>
          <w:rStyle w:val="18"/>
          <w:rFonts w:ascii="黑体" w:eastAsia="黑体"/>
          <w:b w:val="0"/>
        </w:rPr>
      </w:pPr>
      <w:r>
        <w:rPr>
          <w:rFonts w:hint="eastAsia" w:ascii="仿宋_GB2312" w:eastAsia="仿宋_GB2312"/>
          <w:color w:val="auto"/>
          <w:sz w:val="32"/>
          <w:szCs w:val="32"/>
          <w:lang w:val="en-US" w:eastAsia="zh-CN"/>
        </w:rPr>
        <w:t>12</w:t>
      </w:r>
      <w:r>
        <w:rPr>
          <w:rFonts w:ascii="仿宋_GB2312" w:eastAsia="仿宋_GB2312"/>
          <w:color w:val="auto"/>
          <w:sz w:val="32"/>
          <w:szCs w:val="32"/>
        </w:rPr>
        <w:t>.</w:t>
      </w:r>
      <w:r>
        <w:rPr>
          <w:rFonts w:hint="eastAsia" w:ascii="仿宋_GB2312" w:eastAsia="仿宋_GB2312"/>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bookmarkStart w:id="70" w:name="_Toc15377226"/>
      <w:r>
        <w:rPr>
          <w:rFonts w:ascii="宋体"/>
          <w:b/>
          <w:sz w:val="44"/>
          <w:szCs w:val="44"/>
        </w:rPr>
        <w:br w:type="page"/>
      </w:r>
      <w:bookmarkStart w:id="71" w:name="_Toc15396614"/>
      <w:r>
        <w:rPr>
          <w:rFonts w:hint="eastAsia" w:ascii="宋体"/>
          <w:b/>
          <w:sz w:val="44"/>
          <w:szCs w:val="44"/>
          <w:lang w:val="en-US" w:eastAsia="zh-CN"/>
        </w:rPr>
        <w:t xml:space="preserve">            </w:t>
      </w:r>
      <w:r>
        <w:rPr>
          <w:rFonts w:hint="eastAsia" w:ascii="黑体" w:eastAsia="黑体"/>
          <w:sz w:val="44"/>
          <w:szCs w:val="44"/>
        </w:rPr>
        <w:t>第</w:t>
      </w:r>
      <w:r>
        <w:rPr>
          <w:rStyle w:val="18"/>
          <w:rFonts w:hint="eastAsia" w:ascii="黑体" w:eastAsia="黑体"/>
          <w:b w:val="0"/>
        </w:rPr>
        <w:t>四部分 附件</w:t>
      </w:r>
      <w:bookmarkEnd w:id="71"/>
    </w:p>
    <w:tbl>
      <w:tblPr>
        <w:tblStyle w:val="14"/>
        <w:tblpPr w:leftFromText="180" w:rightFromText="180" w:vertAnchor="text" w:horzAnchor="page" w:tblpX="1240" w:tblpY="666"/>
        <w:tblOverlap w:val="never"/>
        <w:tblW w:w="9811" w:type="dxa"/>
        <w:tblInd w:w="0" w:type="dxa"/>
        <w:tblLayout w:type="fixed"/>
        <w:tblCellMar>
          <w:top w:w="0" w:type="dxa"/>
          <w:left w:w="108" w:type="dxa"/>
          <w:bottom w:w="0" w:type="dxa"/>
          <w:right w:w="108" w:type="dxa"/>
        </w:tblCellMar>
      </w:tblPr>
      <w:tblGrid>
        <w:gridCol w:w="1976"/>
        <w:gridCol w:w="1142"/>
        <w:gridCol w:w="1635"/>
        <w:gridCol w:w="1189"/>
        <w:gridCol w:w="1224"/>
        <w:gridCol w:w="2409"/>
        <w:gridCol w:w="236"/>
      </w:tblGrid>
      <w:tr>
        <w:tblPrEx>
          <w:tblCellMar>
            <w:top w:w="0" w:type="dxa"/>
            <w:left w:w="108" w:type="dxa"/>
            <w:bottom w:w="0" w:type="dxa"/>
            <w:right w:w="108" w:type="dxa"/>
          </w:tblCellMar>
        </w:tblPrEx>
        <w:trPr>
          <w:trHeight w:val="675" w:hRule="atLeast"/>
        </w:trPr>
        <w:tc>
          <w:tcPr>
            <w:tcW w:w="9575" w:type="dxa"/>
            <w:gridSpan w:val="6"/>
            <w:tcBorders>
              <w:top w:val="nil"/>
              <w:left w:val="nil"/>
              <w:bottom w:val="nil"/>
              <w:right w:val="nil"/>
            </w:tcBorders>
            <w:shd w:val="clear" w:color="auto" w:fill="auto"/>
            <w:noWrap/>
            <w:vAlign w:val="center"/>
          </w:tcPr>
          <w:p>
            <w:pPr>
              <w:widowControl/>
              <w:ind w:firstLine="1285" w:firstLineChars="400"/>
              <w:textAlignment w:val="center"/>
              <w:rPr>
                <w:rFonts w:ascii="宋体" w:cs="宋体"/>
                <w:b/>
                <w:sz w:val="32"/>
                <w:szCs w:val="32"/>
              </w:rPr>
            </w:pPr>
            <w:r>
              <w:rPr>
                <w:rFonts w:hint="eastAsia" w:ascii="宋体" w:cs="宋体"/>
                <w:b/>
                <w:sz w:val="32"/>
                <w:szCs w:val="32"/>
              </w:rPr>
              <w:t>2021年特定目标类部门预算项目绩效目标自评</w:t>
            </w:r>
          </w:p>
        </w:tc>
        <w:tc>
          <w:tcPr>
            <w:tcW w:w="236" w:type="dxa"/>
            <w:tcBorders>
              <w:top w:val="nil"/>
              <w:left w:val="nil"/>
              <w:bottom w:val="nil"/>
              <w:right w:val="nil"/>
            </w:tcBorders>
            <w:shd w:val="clear" w:color="auto" w:fill="auto"/>
            <w:noWrap/>
            <w:vAlign w:val="center"/>
          </w:tcPr>
          <w:p>
            <w:pPr>
              <w:widowControl/>
              <w:jc w:val="center"/>
              <w:textAlignment w:val="center"/>
              <w:rPr>
                <w:rFonts w:ascii="宋体" w:cs="宋体"/>
                <w:b/>
                <w:kern w:val="0"/>
                <w:sz w:val="32"/>
                <w:szCs w:val="32"/>
              </w:rPr>
            </w:pPr>
          </w:p>
        </w:tc>
      </w:tr>
      <w:tr>
        <w:tblPrEx>
          <w:tblCellMar>
            <w:top w:w="0" w:type="dxa"/>
            <w:left w:w="108" w:type="dxa"/>
            <w:bottom w:w="0" w:type="dxa"/>
            <w:right w:w="108" w:type="dxa"/>
          </w:tblCellMar>
        </w:tblPrEx>
        <w:trPr>
          <w:gridAfter w:val="1"/>
          <w:wAfter w:w="236" w:type="dxa"/>
          <w:trHeight w:val="254" w:hRule="atLeast"/>
        </w:trPr>
        <w:tc>
          <w:tcPr>
            <w:tcW w:w="311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主管部门及代码</w:t>
            </w:r>
          </w:p>
        </w:tc>
        <w:tc>
          <w:tcPr>
            <w:tcW w:w="282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center"/>
              <w:rPr>
                <w:rFonts w:hint="default" w:ascii="宋体" w:eastAsia="宋体" w:cs="宋体"/>
                <w:sz w:val="24"/>
                <w:lang w:val="en-US" w:eastAsia="zh-CN"/>
              </w:rPr>
            </w:pPr>
            <w:r>
              <w:rPr>
                <w:rFonts w:hint="eastAsia" w:ascii="宋体" w:cs="宋体"/>
                <w:sz w:val="24"/>
                <w:lang w:val="en-US" w:eastAsia="zh-CN"/>
              </w:rPr>
              <w:t>政协红原县委员会办公室 104001</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实施单位</w:t>
            </w: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hint="default" w:ascii="宋体" w:eastAsia="宋体" w:cs="宋体"/>
                <w:sz w:val="24"/>
                <w:lang w:val="en-US" w:eastAsia="zh-CN"/>
              </w:rPr>
            </w:pPr>
            <w:r>
              <w:rPr>
                <w:rFonts w:hint="eastAsia" w:ascii="宋体" w:cs="宋体"/>
                <w:sz w:val="24"/>
                <w:lang w:val="en-US" w:eastAsia="zh-CN"/>
              </w:rPr>
              <w:t>政协红原县委员会办公室</w:t>
            </w:r>
          </w:p>
        </w:tc>
      </w:tr>
      <w:tr>
        <w:tblPrEx>
          <w:tblCellMar>
            <w:top w:w="0" w:type="dxa"/>
            <w:left w:w="108" w:type="dxa"/>
            <w:bottom w:w="0" w:type="dxa"/>
            <w:right w:w="108" w:type="dxa"/>
          </w:tblCellMar>
        </w:tblPrEx>
        <w:trPr>
          <w:gridAfter w:val="1"/>
          <w:wAfter w:w="236" w:type="dxa"/>
          <w:trHeight w:val="341" w:hRule="atLeast"/>
        </w:trPr>
        <w:tc>
          <w:tcPr>
            <w:tcW w:w="311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项目预算</w:t>
            </w:r>
            <w:r>
              <w:rPr>
                <w:rFonts w:hint="eastAsia" w:ascii="宋体" w:cs="宋体"/>
                <w:kern w:val="0"/>
                <w:sz w:val="24"/>
              </w:rPr>
              <w:br w:type="textWrapping"/>
            </w:r>
            <w:r>
              <w:rPr>
                <w:rFonts w:hint="eastAsia" w:ascii="宋体" w:cs="宋体"/>
                <w:kern w:val="0"/>
                <w:sz w:val="24"/>
              </w:rPr>
              <w:t>执行情况</w:t>
            </w:r>
            <w:r>
              <w:rPr>
                <w:rFonts w:hint="eastAsia" w:ascii="宋体" w:cs="宋体"/>
                <w:kern w:val="0"/>
                <w:sz w:val="24"/>
              </w:rPr>
              <w:br w:type="textWrapping"/>
            </w:r>
            <w:r>
              <w:rPr>
                <w:rFonts w:hint="eastAsia" w:ascii="宋体" w:cs="宋体"/>
                <w:kern w:val="0"/>
                <w:sz w:val="24"/>
              </w:rPr>
              <w:t>（万元）</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宋体" w:cs="宋体"/>
                <w:sz w:val="24"/>
              </w:rPr>
            </w:pPr>
            <w:r>
              <w:rPr>
                <w:rFonts w:hint="eastAsia" w:ascii="宋体" w:cs="宋体"/>
                <w:kern w:val="0"/>
                <w:sz w:val="24"/>
              </w:rPr>
              <w:t xml:space="preserve"> 预算数：</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hint="default" w:ascii="宋体" w:eastAsia="宋体" w:cs="宋体"/>
                <w:sz w:val="24"/>
                <w:lang w:val="en-US" w:eastAsia="zh-CN"/>
              </w:rPr>
            </w:pPr>
            <w:r>
              <w:rPr>
                <w:rFonts w:hint="eastAsia" w:ascii="宋体" w:cs="宋体"/>
                <w:sz w:val="24"/>
                <w:lang w:val="en-US" w:eastAsia="zh-CN"/>
              </w:rPr>
              <w:t>94.05</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宋体" w:cs="宋体"/>
                <w:sz w:val="24"/>
              </w:rPr>
            </w:pPr>
            <w:r>
              <w:rPr>
                <w:rFonts w:hint="eastAsia" w:ascii="宋体" w:cs="宋体"/>
                <w:kern w:val="0"/>
                <w:sz w:val="24"/>
              </w:rPr>
              <w:t xml:space="preserve"> 执行数：</w:t>
            </w: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right"/>
              <w:textAlignment w:val="center"/>
              <w:rPr>
                <w:rFonts w:hint="default" w:ascii="宋体" w:eastAsia="宋体" w:cs="宋体"/>
                <w:sz w:val="24"/>
                <w:lang w:val="en-US" w:eastAsia="zh-CN"/>
              </w:rPr>
            </w:pPr>
            <w:r>
              <w:rPr>
                <w:rFonts w:hint="eastAsia" w:ascii="宋体" w:cs="宋体"/>
                <w:sz w:val="24"/>
                <w:lang w:val="en-US" w:eastAsia="zh-CN"/>
              </w:rPr>
              <w:t>94.05</w:t>
            </w:r>
          </w:p>
        </w:tc>
      </w:tr>
      <w:tr>
        <w:tblPrEx>
          <w:tblCellMar>
            <w:top w:w="0" w:type="dxa"/>
            <w:left w:w="108" w:type="dxa"/>
            <w:bottom w:w="0" w:type="dxa"/>
            <w:right w:w="108" w:type="dxa"/>
          </w:tblCellMar>
        </w:tblPrEx>
        <w:trPr>
          <w:gridAfter w:val="1"/>
          <w:wAfter w:w="236" w:type="dxa"/>
          <w:trHeight w:val="555" w:hRule="atLeast"/>
        </w:trPr>
        <w:tc>
          <w:tcPr>
            <w:tcW w:w="311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宋体" w:cs="宋体"/>
                <w:kern w:val="0"/>
                <w:sz w:val="24"/>
              </w:rPr>
            </w:pPr>
            <w:r>
              <w:rPr>
                <w:rFonts w:hint="eastAsia" w:ascii="宋体" w:cs="宋体"/>
                <w:kern w:val="0"/>
                <w:sz w:val="24"/>
              </w:rPr>
              <w:t>其中：</w:t>
            </w:r>
          </w:p>
          <w:p>
            <w:pPr>
              <w:widowControl/>
              <w:spacing w:line="320" w:lineRule="exact"/>
              <w:jc w:val="left"/>
              <w:textAlignment w:val="center"/>
              <w:rPr>
                <w:rFonts w:ascii="宋体" w:cs="宋体"/>
                <w:sz w:val="24"/>
              </w:rPr>
            </w:pPr>
            <w:r>
              <w:rPr>
                <w:rFonts w:hint="eastAsia" w:ascii="宋体" w:cs="宋体"/>
                <w:kern w:val="0"/>
                <w:sz w:val="24"/>
              </w:rPr>
              <w:t>财政拨款</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hint="default" w:ascii="宋体" w:eastAsia="宋体" w:cs="宋体"/>
                <w:sz w:val="24"/>
                <w:lang w:val="en-US" w:eastAsia="zh-CN"/>
              </w:rPr>
            </w:pPr>
            <w:r>
              <w:rPr>
                <w:rFonts w:hint="eastAsia" w:ascii="宋体" w:cs="宋体"/>
                <w:sz w:val="24"/>
                <w:lang w:val="en-US" w:eastAsia="zh-CN"/>
              </w:rPr>
              <w:t>94.05</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宋体" w:cs="宋体"/>
                <w:kern w:val="0"/>
                <w:sz w:val="24"/>
              </w:rPr>
            </w:pPr>
            <w:r>
              <w:rPr>
                <w:rFonts w:hint="eastAsia" w:ascii="宋体" w:cs="宋体"/>
                <w:kern w:val="0"/>
                <w:sz w:val="24"/>
              </w:rPr>
              <w:t>其中：</w:t>
            </w:r>
          </w:p>
          <w:p>
            <w:pPr>
              <w:widowControl/>
              <w:spacing w:line="320" w:lineRule="exact"/>
              <w:jc w:val="left"/>
              <w:textAlignment w:val="center"/>
              <w:rPr>
                <w:rFonts w:ascii="宋体" w:cs="宋体"/>
                <w:sz w:val="24"/>
              </w:rPr>
            </w:pPr>
            <w:r>
              <w:rPr>
                <w:rFonts w:hint="eastAsia" w:ascii="宋体" w:cs="宋体"/>
                <w:kern w:val="0"/>
                <w:sz w:val="24"/>
              </w:rPr>
              <w:t>财政拨款</w:t>
            </w: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textAlignment w:val="center"/>
              <w:rPr>
                <w:rFonts w:hint="default" w:ascii="宋体" w:eastAsia="宋体" w:cs="宋体"/>
                <w:sz w:val="24"/>
                <w:lang w:val="en-US" w:eastAsia="zh-CN"/>
              </w:rPr>
            </w:pPr>
            <w:r>
              <w:rPr>
                <w:rFonts w:hint="eastAsia" w:ascii="宋体" w:cs="宋体"/>
                <w:sz w:val="24"/>
                <w:lang w:val="en-US" w:eastAsia="zh-CN"/>
              </w:rPr>
              <w:t>94.05</w:t>
            </w:r>
          </w:p>
        </w:tc>
      </w:tr>
      <w:tr>
        <w:tblPrEx>
          <w:tblCellMar>
            <w:top w:w="0" w:type="dxa"/>
            <w:left w:w="108" w:type="dxa"/>
            <w:bottom w:w="0" w:type="dxa"/>
            <w:right w:w="108" w:type="dxa"/>
          </w:tblCellMar>
        </w:tblPrEx>
        <w:trPr>
          <w:gridAfter w:val="1"/>
          <w:wAfter w:w="236" w:type="dxa"/>
          <w:trHeight w:val="341" w:hRule="atLeast"/>
        </w:trPr>
        <w:tc>
          <w:tcPr>
            <w:tcW w:w="311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宋体" w:cs="宋体"/>
                <w:sz w:val="24"/>
              </w:rPr>
            </w:pPr>
            <w:r>
              <w:rPr>
                <w:rFonts w:hint="eastAsia" w:ascii="宋体" w:cs="宋体"/>
                <w:kern w:val="0"/>
                <w:sz w:val="24"/>
              </w:rPr>
              <w:t>其他资金</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宋体" w:cs="宋体"/>
                <w:sz w:val="24"/>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left"/>
              <w:textAlignment w:val="center"/>
              <w:rPr>
                <w:rFonts w:ascii="宋体" w:cs="宋体"/>
                <w:sz w:val="24"/>
              </w:rPr>
            </w:pPr>
            <w:r>
              <w:rPr>
                <w:rFonts w:hint="eastAsia" w:ascii="宋体" w:cs="宋体"/>
                <w:kern w:val="0"/>
                <w:sz w:val="24"/>
              </w:rPr>
              <w:t>其他资金</w:t>
            </w: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p>
        </w:tc>
      </w:tr>
      <w:tr>
        <w:tblPrEx>
          <w:tblCellMar>
            <w:top w:w="0" w:type="dxa"/>
            <w:left w:w="108" w:type="dxa"/>
            <w:bottom w:w="0" w:type="dxa"/>
            <w:right w:w="108" w:type="dxa"/>
          </w:tblCellMar>
        </w:tblPrEx>
        <w:trPr>
          <w:gridAfter w:val="1"/>
          <w:wAfter w:w="236" w:type="dxa"/>
          <w:trHeight w:val="217" w:hRule="atLeast"/>
        </w:trPr>
        <w:tc>
          <w:tcPr>
            <w:tcW w:w="197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kern w:val="0"/>
                <w:sz w:val="24"/>
              </w:rPr>
            </w:pPr>
            <w:r>
              <w:rPr>
                <w:rFonts w:hint="eastAsia" w:ascii="宋体" w:cs="宋体"/>
                <w:kern w:val="0"/>
                <w:sz w:val="24"/>
              </w:rPr>
              <w:t>年度总体目标</w:t>
            </w:r>
          </w:p>
          <w:p>
            <w:pPr>
              <w:widowControl/>
              <w:spacing w:line="320" w:lineRule="exact"/>
              <w:jc w:val="center"/>
              <w:textAlignment w:val="center"/>
              <w:rPr>
                <w:rFonts w:ascii="宋体" w:cs="宋体"/>
                <w:sz w:val="24"/>
              </w:rPr>
            </w:pPr>
            <w:r>
              <w:rPr>
                <w:rFonts w:hint="eastAsia" w:ascii="宋体" w:cs="宋体"/>
                <w:kern w:val="0"/>
                <w:sz w:val="24"/>
              </w:rPr>
              <w:t>完成情况</w:t>
            </w:r>
          </w:p>
        </w:tc>
        <w:tc>
          <w:tcPr>
            <w:tcW w:w="396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预期目标</w:t>
            </w:r>
          </w:p>
        </w:tc>
        <w:tc>
          <w:tcPr>
            <w:tcW w:w="36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宋体" w:cs="宋体"/>
                <w:sz w:val="24"/>
              </w:rPr>
            </w:pPr>
            <w:r>
              <w:rPr>
                <w:rFonts w:hint="eastAsia" w:ascii="宋体" w:cs="宋体"/>
                <w:kern w:val="0"/>
                <w:sz w:val="24"/>
              </w:rPr>
              <w:t>目标实际完成情况</w:t>
            </w:r>
          </w:p>
        </w:tc>
      </w:tr>
      <w:tr>
        <w:tblPrEx>
          <w:tblCellMar>
            <w:top w:w="0" w:type="dxa"/>
            <w:left w:w="108" w:type="dxa"/>
            <w:bottom w:w="0" w:type="dxa"/>
            <w:right w:w="108" w:type="dxa"/>
          </w:tblCellMar>
        </w:tblPrEx>
        <w:trPr>
          <w:gridAfter w:val="1"/>
          <w:wAfter w:w="236" w:type="dxa"/>
          <w:trHeight w:val="797" w:hRule="atLeast"/>
        </w:trPr>
        <w:tc>
          <w:tcPr>
            <w:tcW w:w="197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tc>
        <w:tc>
          <w:tcPr>
            <w:tcW w:w="3966" w:type="dxa"/>
            <w:gridSpan w:val="3"/>
            <w:tcBorders>
              <w:top w:val="single" w:color="000000" w:sz="4" w:space="0"/>
              <w:left w:val="single" w:color="000000" w:sz="4" w:space="0"/>
              <w:bottom w:val="single" w:color="000000" w:sz="4" w:space="0"/>
              <w:right w:val="single" w:color="000000" w:sz="4" w:space="0"/>
            </w:tcBorders>
            <w:shd w:val="clear" w:color="auto" w:fill="auto"/>
            <w:noWrap/>
          </w:tcPr>
          <w:p>
            <w:pPr>
              <w:widowControl/>
              <w:spacing w:line="320" w:lineRule="exact"/>
              <w:jc w:val="left"/>
              <w:textAlignment w:val="top"/>
              <w:rPr>
                <w:rFonts w:hint="default" w:ascii="宋体" w:eastAsia="宋体" w:cs="宋体"/>
                <w:sz w:val="24"/>
                <w:lang w:val="en-US" w:eastAsia="zh-CN"/>
              </w:rPr>
            </w:pPr>
            <w:r>
              <w:rPr>
                <w:rFonts w:hint="eastAsia" w:ascii="宋体" w:cs="宋体"/>
                <w:sz w:val="24"/>
                <w:lang w:val="en-US" w:eastAsia="zh-CN"/>
              </w:rPr>
              <w:t>按照《2021年工作要点》完成各项会议、调研视察、委员座谈等</w:t>
            </w:r>
          </w:p>
        </w:tc>
        <w:tc>
          <w:tcPr>
            <w:tcW w:w="3633" w:type="dxa"/>
            <w:gridSpan w:val="2"/>
            <w:tcBorders>
              <w:top w:val="single" w:color="000000" w:sz="4" w:space="0"/>
              <w:left w:val="single" w:color="000000" w:sz="4" w:space="0"/>
              <w:bottom w:val="single" w:color="000000" w:sz="4" w:space="0"/>
              <w:right w:val="single" w:color="000000" w:sz="4" w:space="0"/>
            </w:tcBorders>
            <w:shd w:val="clear" w:color="auto" w:fill="auto"/>
            <w:noWrap/>
          </w:tcPr>
          <w:p>
            <w:pPr>
              <w:widowControl/>
              <w:spacing w:line="320" w:lineRule="exact"/>
              <w:jc w:val="left"/>
              <w:textAlignment w:val="top"/>
              <w:rPr>
                <w:rFonts w:hint="default" w:ascii="宋体" w:eastAsia="宋体" w:cs="宋体"/>
                <w:sz w:val="24"/>
                <w:lang w:val="en-US" w:eastAsia="zh-CN"/>
              </w:rPr>
            </w:pPr>
            <w:r>
              <w:rPr>
                <w:rFonts w:hint="eastAsia" w:ascii="宋体" w:cs="宋体"/>
                <w:sz w:val="24"/>
                <w:lang w:val="en-US" w:eastAsia="zh-CN"/>
              </w:rPr>
              <w:t>均按照《要点》落实</w:t>
            </w:r>
          </w:p>
        </w:tc>
      </w:tr>
      <w:tr>
        <w:tblPrEx>
          <w:tblCellMar>
            <w:top w:w="0" w:type="dxa"/>
            <w:left w:w="108" w:type="dxa"/>
            <w:bottom w:w="0" w:type="dxa"/>
            <w:right w:w="108" w:type="dxa"/>
          </w:tblCellMar>
        </w:tblPrEx>
        <w:trPr>
          <w:gridAfter w:val="1"/>
          <w:wAfter w:w="236" w:type="dxa"/>
          <w:trHeight w:val="693" w:hRule="atLeast"/>
        </w:trPr>
        <w:tc>
          <w:tcPr>
            <w:tcW w:w="1976" w:type="dxa"/>
            <w:vMerge w:val="restart"/>
            <w:tcBorders>
              <w:top w:val="single" w:color="000000" w:sz="4" w:space="0"/>
              <w:left w:val="single" w:color="000000" w:sz="4" w:space="0"/>
              <w:bottom w:val="nil"/>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年度绩效指标完成情况</w:t>
            </w:r>
          </w:p>
        </w:tc>
        <w:tc>
          <w:tcPr>
            <w:tcW w:w="1142"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kern w:val="0"/>
                <w:sz w:val="28"/>
                <w:szCs w:val="28"/>
              </w:rPr>
            </w:pPr>
            <w:r>
              <w:rPr>
                <w:rFonts w:hint="eastAsia" w:ascii="仿宋_GB2312" w:eastAsia="仿宋_GB2312" w:cs="仿宋_GB2312"/>
                <w:kern w:val="0"/>
                <w:sz w:val="28"/>
                <w:szCs w:val="28"/>
              </w:rPr>
              <w:t>一级</w:t>
            </w:r>
          </w:p>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kern w:val="0"/>
                <w:sz w:val="28"/>
                <w:szCs w:val="28"/>
              </w:rPr>
            </w:pPr>
            <w:r>
              <w:rPr>
                <w:rFonts w:hint="eastAsia" w:ascii="仿宋_GB2312" w:eastAsia="仿宋_GB2312" w:cs="仿宋_GB2312"/>
                <w:kern w:val="0"/>
                <w:sz w:val="28"/>
                <w:szCs w:val="28"/>
              </w:rPr>
              <w:t>二级</w:t>
            </w:r>
          </w:p>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kern w:val="0"/>
                <w:sz w:val="28"/>
                <w:szCs w:val="28"/>
              </w:rPr>
            </w:pPr>
            <w:r>
              <w:rPr>
                <w:rFonts w:hint="eastAsia" w:ascii="仿宋_GB2312" w:eastAsia="仿宋_GB2312" w:cs="仿宋_GB2312"/>
                <w:kern w:val="0"/>
                <w:sz w:val="28"/>
                <w:szCs w:val="28"/>
              </w:rPr>
              <w:t>三级</w:t>
            </w:r>
          </w:p>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指标</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预期指标值</w:t>
            </w: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center"/>
              <w:rPr>
                <w:rFonts w:ascii="仿宋_GB2312" w:eastAsia="仿宋_GB2312" w:cs="仿宋_GB2312"/>
                <w:sz w:val="28"/>
                <w:szCs w:val="28"/>
              </w:rPr>
            </w:pPr>
            <w:r>
              <w:rPr>
                <w:rFonts w:hint="eastAsia" w:ascii="仿宋_GB2312" w:eastAsia="仿宋_GB2312" w:cs="仿宋_GB2312"/>
                <w:kern w:val="0"/>
                <w:sz w:val="28"/>
                <w:szCs w:val="28"/>
              </w:rPr>
              <w:t>实际完成指标值</w:t>
            </w:r>
          </w:p>
        </w:tc>
      </w:tr>
      <w:tr>
        <w:tblPrEx>
          <w:tblCellMar>
            <w:top w:w="0" w:type="dxa"/>
            <w:left w:w="108" w:type="dxa"/>
            <w:bottom w:w="0" w:type="dxa"/>
            <w:right w:w="108" w:type="dxa"/>
          </w:tblCellMar>
        </w:tblPrEx>
        <w:trPr>
          <w:gridAfter w:val="1"/>
          <w:wAfter w:w="236" w:type="dxa"/>
          <w:trHeight w:val="415"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kern w:val="0"/>
                <w:sz w:val="28"/>
                <w:szCs w:val="28"/>
              </w:rPr>
            </w:pPr>
            <w:r>
              <w:rPr>
                <w:rFonts w:hint="eastAsia" w:ascii="仿宋_GB2312" w:eastAsia="仿宋_GB2312" w:cs="仿宋_GB2312"/>
                <w:kern w:val="0"/>
                <w:sz w:val="28"/>
                <w:szCs w:val="28"/>
              </w:rPr>
              <w:t>完成</w:t>
            </w:r>
          </w:p>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数量指标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default" w:ascii="仿宋_GB2312" w:eastAsia="仿宋_GB2312" w:cs="仿宋_GB2312"/>
                <w:sz w:val="28"/>
                <w:szCs w:val="28"/>
                <w:lang w:val="en-US" w:eastAsia="zh-CN"/>
              </w:rPr>
            </w:pPr>
            <w:r>
              <w:rPr>
                <w:rFonts w:hint="eastAsia" w:ascii="仿宋_GB2312" w:eastAsia="仿宋_GB2312" w:cs="仿宋_GB2312"/>
                <w:sz w:val="28"/>
                <w:szCs w:val="28"/>
                <w:lang w:val="en-US" w:eastAsia="zh-CN"/>
              </w:rPr>
              <w:t>12</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default" w:ascii="仿宋_GB2312" w:eastAsia="仿宋_GB2312" w:cs="仿宋_GB2312"/>
                <w:sz w:val="28"/>
                <w:szCs w:val="28"/>
                <w:lang w:val="en-US" w:eastAsia="zh-CN"/>
              </w:rPr>
            </w:pPr>
            <w:r>
              <w:rPr>
                <w:rFonts w:hint="eastAsia" w:ascii="仿宋_GB2312" w:eastAsia="仿宋_GB2312" w:cs="仿宋_GB2312"/>
                <w:sz w:val="28"/>
                <w:szCs w:val="28"/>
                <w:lang w:val="en-US" w:eastAsia="zh-CN"/>
              </w:rPr>
              <w:t>12</w:t>
            </w: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default" w:ascii="仿宋_GB2312" w:eastAsia="仿宋_GB2312" w:cs="仿宋_GB2312"/>
                <w:sz w:val="28"/>
                <w:szCs w:val="28"/>
                <w:lang w:val="en-US" w:eastAsia="zh-CN"/>
              </w:rPr>
            </w:pPr>
            <w:r>
              <w:rPr>
                <w:rFonts w:hint="eastAsia" w:ascii="仿宋_GB2312" w:eastAsia="仿宋_GB2312" w:cs="仿宋_GB2312"/>
                <w:sz w:val="28"/>
                <w:szCs w:val="28"/>
                <w:lang w:val="en-US" w:eastAsia="zh-CN"/>
              </w:rPr>
              <w:t>12</w:t>
            </w:r>
          </w:p>
        </w:tc>
      </w:tr>
      <w:tr>
        <w:tblPrEx>
          <w:tblCellMar>
            <w:top w:w="0" w:type="dxa"/>
            <w:left w:w="108" w:type="dxa"/>
            <w:bottom w:w="0" w:type="dxa"/>
            <w:right w:w="108" w:type="dxa"/>
          </w:tblCellMar>
        </w:tblPrEx>
        <w:trPr>
          <w:gridAfter w:val="1"/>
          <w:wAfter w:w="236" w:type="dxa"/>
          <w:trHeight w:val="415"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质量指标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r>
      <w:tr>
        <w:tblPrEx>
          <w:tblCellMar>
            <w:top w:w="0" w:type="dxa"/>
            <w:left w:w="108" w:type="dxa"/>
            <w:bottom w:w="0" w:type="dxa"/>
            <w:right w:w="108" w:type="dxa"/>
          </w:tblCellMar>
        </w:tblPrEx>
        <w:trPr>
          <w:gridAfter w:val="1"/>
          <w:wAfter w:w="236" w:type="dxa"/>
          <w:trHeight w:val="415"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时效指标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r>
      <w:tr>
        <w:tblPrEx>
          <w:tblCellMar>
            <w:top w:w="0" w:type="dxa"/>
            <w:left w:w="108" w:type="dxa"/>
            <w:bottom w:w="0" w:type="dxa"/>
            <w:right w:w="108" w:type="dxa"/>
          </w:tblCellMar>
        </w:tblPrEx>
        <w:trPr>
          <w:gridAfter w:val="1"/>
          <w:wAfter w:w="236" w:type="dxa"/>
          <w:trHeight w:val="480"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成本指标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default" w:ascii="仿宋_GB2312" w:eastAsia="仿宋_GB2312" w:cs="仿宋_GB2312"/>
                <w:sz w:val="28"/>
                <w:szCs w:val="28"/>
                <w:lang w:val="en-US" w:eastAsia="zh-CN"/>
              </w:rPr>
            </w:pPr>
            <w:r>
              <w:rPr>
                <w:rFonts w:hint="eastAsia" w:ascii="仿宋_GB2312" w:eastAsia="仿宋_GB2312" w:cs="仿宋_GB2312"/>
                <w:sz w:val="28"/>
                <w:szCs w:val="28"/>
                <w:lang w:val="en-US" w:eastAsia="zh-CN"/>
              </w:rPr>
              <w:t>办公费、差旅费、伙食费、交通费</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default" w:ascii="仿宋_GB2312" w:eastAsia="仿宋_GB2312" w:cs="仿宋_GB2312"/>
                <w:sz w:val="28"/>
                <w:szCs w:val="28"/>
                <w:lang w:val="en-US" w:eastAsia="zh-CN"/>
              </w:rPr>
            </w:pPr>
            <w:r>
              <w:rPr>
                <w:rFonts w:hint="eastAsia" w:ascii="仿宋_GB2312" w:eastAsia="仿宋_GB2312" w:cs="仿宋_GB2312"/>
                <w:sz w:val="28"/>
                <w:szCs w:val="28"/>
                <w:lang w:val="en-US" w:eastAsia="zh-CN"/>
              </w:rPr>
              <w:t>94.05</w:t>
            </w: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default" w:ascii="仿宋_GB2312" w:eastAsia="仿宋_GB2312" w:cs="仿宋_GB2312"/>
                <w:sz w:val="28"/>
                <w:szCs w:val="28"/>
                <w:lang w:val="en-US" w:eastAsia="zh-CN"/>
              </w:rPr>
            </w:pPr>
            <w:r>
              <w:rPr>
                <w:rFonts w:hint="eastAsia" w:ascii="仿宋_GB2312" w:eastAsia="仿宋_GB2312" w:cs="仿宋_GB2312"/>
                <w:sz w:val="28"/>
                <w:szCs w:val="28"/>
                <w:lang w:val="en-US" w:eastAsia="zh-CN"/>
              </w:rPr>
              <w:t>94.05</w:t>
            </w:r>
          </w:p>
        </w:tc>
      </w:tr>
      <w:tr>
        <w:tblPrEx>
          <w:tblCellMar>
            <w:top w:w="0" w:type="dxa"/>
            <w:left w:w="108" w:type="dxa"/>
            <w:bottom w:w="0" w:type="dxa"/>
            <w:right w:w="108" w:type="dxa"/>
          </w:tblCellMar>
        </w:tblPrEx>
        <w:trPr>
          <w:gridAfter w:val="1"/>
          <w:wAfter w:w="236" w:type="dxa"/>
          <w:trHeight w:val="480"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效益</w:t>
            </w:r>
            <w:r>
              <w:rPr>
                <w:rFonts w:hint="eastAsia" w:ascii="仿宋_GB2312" w:eastAsia="仿宋_GB2312" w:cs="仿宋_GB2312"/>
                <w:kern w:val="0"/>
                <w:sz w:val="28"/>
                <w:szCs w:val="28"/>
              </w:rPr>
              <w:br w:type="textWrapping"/>
            </w:r>
            <w:r>
              <w:rPr>
                <w:rFonts w:hint="eastAsia" w:ascii="仿宋_GB2312" w:eastAsia="仿宋_GB2312" w:cs="仿宋_GB2312"/>
                <w:kern w:val="0"/>
                <w:sz w:val="28"/>
                <w:szCs w:val="28"/>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经济效益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r>
      <w:tr>
        <w:tblPrEx>
          <w:tblCellMar>
            <w:top w:w="0" w:type="dxa"/>
            <w:left w:w="108" w:type="dxa"/>
            <w:bottom w:w="0" w:type="dxa"/>
            <w:right w:w="108" w:type="dxa"/>
          </w:tblCellMar>
        </w:tblPrEx>
        <w:trPr>
          <w:gridAfter w:val="1"/>
          <w:wAfter w:w="236" w:type="dxa"/>
          <w:trHeight w:val="480"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社会效益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default" w:ascii="仿宋_GB2312" w:eastAsia="仿宋_GB2312" w:cs="仿宋_GB2312"/>
                <w:sz w:val="28"/>
                <w:szCs w:val="28"/>
                <w:lang w:val="en-US" w:eastAsia="zh-CN"/>
              </w:rPr>
            </w:pPr>
            <w:r>
              <w:rPr>
                <w:rFonts w:hint="eastAsia" w:ascii="仿宋_GB2312" w:eastAsia="仿宋_GB2312" w:cs="仿宋_GB2312"/>
                <w:sz w:val="24"/>
                <w:szCs w:val="24"/>
                <w:lang w:val="en-US" w:eastAsia="zh-CN"/>
              </w:rPr>
              <w:t>通过开展专项工作，发挥政协参政议政等职能作用</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default" w:ascii="仿宋_GB2312" w:eastAsia="仿宋_GB2312" w:cs="仿宋_GB2312"/>
                <w:sz w:val="28"/>
                <w:szCs w:val="28"/>
                <w:lang w:val="en-US" w:eastAsia="zh-CN"/>
              </w:rPr>
            </w:pPr>
            <w:r>
              <w:rPr>
                <w:rFonts w:hint="eastAsia" w:ascii="仿宋_GB2312" w:eastAsia="仿宋_GB2312" w:cs="仿宋_GB2312"/>
                <w:sz w:val="28"/>
                <w:szCs w:val="28"/>
                <w:lang w:val="en-US" w:eastAsia="zh-CN"/>
              </w:rPr>
              <w:t>100%</w:t>
            </w: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default" w:ascii="仿宋_GB2312" w:eastAsia="仿宋_GB2312" w:cs="仿宋_GB2312"/>
                <w:sz w:val="28"/>
                <w:szCs w:val="28"/>
                <w:lang w:val="en-US" w:eastAsia="zh-CN"/>
              </w:rPr>
            </w:pPr>
            <w:r>
              <w:rPr>
                <w:rFonts w:hint="eastAsia" w:ascii="仿宋_GB2312" w:eastAsia="仿宋_GB2312" w:cs="仿宋_GB2312"/>
                <w:sz w:val="28"/>
                <w:szCs w:val="28"/>
                <w:lang w:val="en-US" w:eastAsia="zh-CN"/>
              </w:rPr>
              <w:t>100%</w:t>
            </w:r>
          </w:p>
        </w:tc>
      </w:tr>
      <w:tr>
        <w:tblPrEx>
          <w:tblCellMar>
            <w:top w:w="0" w:type="dxa"/>
            <w:left w:w="108" w:type="dxa"/>
            <w:bottom w:w="0" w:type="dxa"/>
            <w:right w:w="108" w:type="dxa"/>
          </w:tblCellMar>
        </w:tblPrEx>
        <w:trPr>
          <w:gridAfter w:val="1"/>
          <w:wAfter w:w="236" w:type="dxa"/>
          <w:trHeight w:val="577"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ind w:left="463" w:leftChars="87" w:hanging="280" w:hangingChars="100"/>
              <w:jc w:val="left"/>
              <w:textAlignment w:val="bottom"/>
              <w:rPr>
                <w:rFonts w:ascii="仿宋_GB2312" w:eastAsia="仿宋_GB2312" w:cs="仿宋_GB2312"/>
                <w:sz w:val="28"/>
                <w:szCs w:val="28"/>
              </w:rPr>
            </w:pPr>
            <w:r>
              <w:rPr>
                <w:rFonts w:hint="eastAsia" w:ascii="仿宋_GB2312" w:eastAsia="仿宋_GB2312" w:cs="仿宋_GB2312"/>
                <w:kern w:val="0"/>
                <w:sz w:val="28"/>
                <w:szCs w:val="28"/>
              </w:rPr>
              <w:t>生态效益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r>
      <w:tr>
        <w:tblPrEx>
          <w:tblCellMar>
            <w:top w:w="0" w:type="dxa"/>
            <w:left w:w="108" w:type="dxa"/>
            <w:bottom w:w="0" w:type="dxa"/>
            <w:right w:w="108" w:type="dxa"/>
          </w:tblCellMar>
        </w:tblPrEx>
        <w:trPr>
          <w:gridAfter w:val="1"/>
          <w:wAfter w:w="236" w:type="dxa"/>
          <w:trHeight w:val="480"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可持续影响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p>
        </w:tc>
      </w:tr>
      <w:tr>
        <w:tblPrEx>
          <w:tblCellMar>
            <w:top w:w="0" w:type="dxa"/>
            <w:left w:w="108" w:type="dxa"/>
            <w:bottom w:w="0" w:type="dxa"/>
            <w:right w:w="108" w:type="dxa"/>
          </w:tblCellMar>
        </w:tblPrEx>
        <w:trPr>
          <w:gridAfter w:val="1"/>
          <w:wAfter w:w="236" w:type="dxa"/>
          <w:trHeight w:val="530" w:hRule="atLeast"/>
        </w:trPr>
        <w:tc>
          <w:tcPr>
            <w:tcW w:w="1976" w:type="dxa"/>
            <w:vMerge w:val="continue"/>
            <w:tcBorders>
              <w:top w:val="nil"/>
              <w:left w:val="single" w:color="000000" w:sz="4" w:space="0"/>
              <w:bottom w:val="single" w:color="000000" w:sz="4" w:space="0"/>
              <w:right w:val="single" w:color="000000" w:sz="4" w:space="0"/>
            </w:tcBorders>
            <w:shd w:val="clear" w:color="auto" w:fill="auto"/>
            <w:noWrap/>
            <w:vAlign w:val="center"/>
          </w:tcPr>
          <w:p/>
        </w:tc>
        <w:tc>
          <w:tcPr>
            <w:tcW w:w="114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满意</w:t>
            </w:r>
            <w:r>
              <w:rPr>
                <w:rFonts w:hint="eastAsia" w:ascii="仿宋_GB2312" w:eastAsia="仿宋_GB2312" w:cs="仿宋_GB2312"/>
                <w:kern w:val="0"/>
                <w:sz w:val="28"/>
                <w:szCs w:val="28"/>
              </w:rPr>
              <w:br w:type="textWrapping"/>
            </w:r>
            <w:r>
              <w:rPr>
                <w:rFonts w:hint="eastAsia" w:ascii="仿宋_GB2312" w:eastAsia="仿宋_GB2312" w:cs="仿宋_GB2312"/>
                <w:kern w:val="0"/>
                <w:sz w:val="28"/>
                <w:szCs w:val="28"/>
              </w:rPr>
              <w:t>度指标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kern w:val="0"/>
                <w:sz w:val="28"/>
                <w:szCs w:val="28"/>
              </w:rPr>
            </w:pPr>
            <w:r>
              <w:rPr>
                <w:rFonts w:hint="eastAsia" w:ascii="仿宋_GB2312" w:eastAsia="仿宋_GB2312" w:cs="仿宋_GB2312"/>
                <w:kern w:val="0"/>
                <w:sz w:val="28"/>
                <w:szCs w:val="28"/>
              </w:rPr>
              <w:t>满意度</w:t>
            </w:r>
          </w:p>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default" w:ascii="仿宋_GB2312" w:eastAsia="仿宋_GB2312" w:cs="仿宋_GB2312"/>
                <w:sz w:val="28"/>
                <w:szCs w:val="28"/>
                <w:lang w:val="en-US" w:eastAsia="zh-CN"/>
              </w:rPr>
            </w:pPr>
            <w:r>
              <w:rPr>
                <w:rFonts w:hint="eastAsia" w:ascii="仿宋_GB2312" w:eastAsia="仿宋_GB2312" w:cs="仿宋_GB2312"/>
                <w:sz w:val="28"/>
                <w:szCs w:val="28"/>
                <w:lang w:val="en-US" w:eastAsia="zh-CN"/>
              </w:rPr>
              <w:t>服务对象</w:t>
            </w:r>
          </w:p>
        </w:tc>
        <w:tc>
          <w:tcPr>
            <w:tcW w:w="122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default" w:ascii="仿宋_GB2312" w:eastAsia="仿宋_GB2312" w:cs="仿宋_GB2312"/>
                <w:sz w:val="28"/>
                <w:szCs w:val="28"/>
                <w:lang w:val="en-US" w:eastAsia="zh-CN"/>
              </w:rPr>
            </w:pPr>
            <w:r>
              <w:rPr>
                <w:rFonts w:hint="eastAsia" w:ascii="仿宋_GB2312" w:eastAsia="仿宋_GB2312" w:cs="仿宋_GB2312"/>
                <w:sz w:val="28"/>
                <w:szCs w:val="28"/>
                <w:lang w:val="en-US" w:eastAsia="zh-CN"/>
              </w:rPr>
              <w:t>100%</w:t>
            </w:r>
          </w:p>
        </w:tc>
        <w:tc>
          <w:tcPr>
            <w:tcW w:w="240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default" w:ascii="仿宋_GB2312" w:eastAsia="仿宋_GB2312" w:cs="仿宋_GB2312"/>
                <w:sz w:val="28"/>
                <w:szCs w:val="28"/>
                <w:lang w:val="en-US" w:eastAsia="zh-CN"/>
              </w:rPr>
            </w:pPr>
            <w:r>
              <w:rPr>
                <w:rFonts w:hint="eastAsia" w:ascii="仿宋_GB2312" w:eastAsia="仿宋_GB2312" w:cs="仿宋_GB2312"/>
                <w:sz w:val="28"/>
                <w:szCs w:val="28"/>
                <w:lang w:val="en-US" w:eastAsia="zh-CN"/>
              </w:rPr>
              <w:t>100%</w:t>
            </w:r>
          </w:p>
        </w:tc>
      </w:tr>
    </w:tbl>
    <w:p>
      <w:pPr>
        <w:spacing w:line="572" w:lineRule="exact"/>
        <w:jc w:val="left"/>
        <w:outlineLvl w:val="0"/>
        <w:rPr>
          <w:rFonts w:hint="eastAsia" w:ascii="黑体" w:eastAsia="黑体"/>
          <w:sz w:val="44"/>
          <w:szCs w:val="44"/>
        </w:rPr>
      </w:pPr>
      <w:bookmarkStart w:id="72" w:name="_Toc23901"/>
      <w:r>
        <w:rPr>
          <w:rFonts w:hint="eastAsia" w:ascii="黑体" w:eastAsia="黑体" w:cs="黑体"/>
          <w:sz w:val="32"/>
          <w:szCs w:val="32"/>
        </w:rPr>
        <w:t>附件</w:t>
      </w:r>
      <w:bookmarkEnd w:id="72"/>
      <w:bookmarkStart w:id="73" w:name="_Toc15396618"/>
    </w:p>
    <w:p>
      <w:pPr>
        <w:spacing w:line="600" w:lineRule="exact"/>
        <w:jc w:val="center"/>
        <w:outlineLvl w:val="0"/>
        <w:rPr>
          <w:rFonts w:ascii="仿宋" w:eastAsia="仿宋"/>
        </w:rPr>
      </w:pPr>
      <w:bookmarkStart w:id="74" w:name="_Toc3430"/>
      <w:r>
        <w:rPr>
          <w:rFonts w:hint="eastAsia" w:ascii="黑体" w:eastAsia="黑体"/>
          <w:sz w:val="44"/>
          <w:szCs w:val="44"/>
        </w:rPr>
        <w:t>第</w:t>
      </w:r>
      <w:r>
        <w:rPr>
          <w:rStyle w:val="18"/>
          <w:rFonts w:hint="eastAsia" w:ascii="黑体" w:eastAsia="黑体"/>
          <w:b w:val="0"/>
        </w:rPr>
        <w:t>五部分 附表</w:t>
      </w:r>
      <w:bookmarkEnd w:id="70"/>
      <w:bookmarkEnd w:id="73"/>
      <w:bookmarkEnd w:id="74"/>
      <w:bookmarkStart w:id="75" w:name="_Toc15396619"/>
    </w:p>
    <w:p>
      <w:pPr>
        <w:pStyle w:val="4"/>
        <w:rPr>
          <w:rFonts w:ascii="仿宋" w:eastAsia="仿宋"/>
        </w:rPr>
      </w:pPr>
      <w:bookmarkStart w:id="76" w:name="_Toc31592"/>
      <w:r>
        <w:rPr>
          <w:rFonts w:hint="eastAsia" w:ascii="仿宋" w:eastAsia="仿宋"/>
          <w:b w:val="0"/>
        </w:rPr>
        <w:t>一、收</w:t>
      </w:r>
      <w:r>
        <w:rPr>
          <w:rStyle w:val="19"/>
          <w:rFonts w:hint="eastAsia" w:ascii="仿宋" w:eastAsia="仿宋"/>
          <w:b w:val="0"/>
          <w:bCs w:val="0"/>
        </w:rPr>
        <w:t>入支出决算总表</w:t>
      </w:r>
      <w:bookmarkEnd w:id="75"/>
      <w:bookmarkEnd w:id="76"/>
    </w:p>
    <w:p>
      <w:pPr>
        <w:pStyle w:val="4"/>
        <w:rPr>
          <w:rFonts w:ascii="仿宋" w:eastAsia="仿宋"/>
        </w:rPr>
      </w:pPr>
      <w:bookmarkStart w:id="77" w:name="_Toc15396620"/>
      <w:bookmarkStart w:id="78" w:name="_Toc3325"/>
      <w:r>
        <w:rPr>
          <w:rFonts w:hint="eastAsia" w:ascii="仿宋" w:eastAsia="仿宋"/>
          <w:b w:val="0"/>
        </w:rPr>
        <w:t>二、收</w:t>
      </w:r>
      <w:r>
        <w:rPr>
          <w:rStyle w:val="19"/>
          <w:rFonts w:hint="eastAsia" w:ascii="仿宋" w:eastAsia="仿宋"/>
          <w:b w:val="0"/>
          <w:bCs w:val="0"/>
        </w:rPr>
        <w:t>入决算表</w:t>
      </w:r>
      <w:bookmarkEnd w:id="77"/>
      <w:bookmarkEnd w:id="78"/>
    </w:p>
    <w:p>
      <w:pPr>
        <w:pStyle w:val="4"/>
        <w:rPr>
          <w:rFonts w:ascii="仿宋" w:eastAsia="仿宋"/>
        </w:rPr>
      </w:pPr>
      <w:bookmarkStart w:id="79" w:name="_Toc929"/>
      <w:bookmarkStart w:id="80" w:name="_Toc15396621"/>
      <w:r>
        <w:rPr>
          <w:rStyle w:val="19"/>
          <w:rFonts w:hint="eastAsia" w:ascii="仿宋" w:eastAsia="仿宋"/>
          <w:b w:val="0"/>
          <w:bCs w:val="0"/>
        </w:rPr>
        <w:t>三、</w:t>
      </w:r>
      <w:r>
        <w:rPr>
          <w:rFonts w:hint="eastAsia" w:ascii="仿宋" w:eastAsia="仿宋"/>
          <w:b w:val="0"/>
        </w:rPr>
        <w:t>支</w:t>
      </w:r>
      <w:r>
        <w:rPr>
          <w:rStyle w:val="19"/>
          <w:rFonts w:hint="eastAsia" w:ascii="仿宋" w:eastAsia="仿宋"/>
          <w:b w:val="0"/>
          <w:bCs w:val="0"/>
        </w:rPr>
        <w:t>出决算表</w:t>
      </w:r>
      <w:bookmarkEnd w:id="79"/>
      <w:bookmarkEnd w:id="80"/>
    </w:p>
    <w:p>
      <w:pPr>
        <w:pStyle w:val="4"/>
        <w:rPr>
          <w:rFonts w:ascii="仿宋" w:eastAsia="仿宋"/>
          <w:b w:val="0"/>
        </w:rPr>
      </w:pPr>
      <w:bookmarkStart w:id="81" w:name="_Toc8957"/>
      <w:bookmarkStart w:id="82" w:name="_Toc15396622"/>
      <w:r>
        <w:rPr>
          <w:rStyle w:val="19"/>
          <w:rFonts w:hint="eastAsia" w:ascii="仿宋" w:eastAsia="仿宋"/>
          <w:b w:val="0"/>
          <w:bCs w:val="0"/>
        </w:rPr>
        <w:t>四、</w:t>
      </w:r>
      <w:r>
        <w:rPr>
          <w:rFonts w:hint="eastAsia" w:ascii="仿宋" w:eastAsia="仿宋"/>
          <w:b w:val="0"/>
        </w:rPr>
        <w:t>财</w:t>
      </w:r>
      <w:r>
        <w:rPr>
          <w:rStyle w:val="19"/>
          <w:rFonts w:hint="eastAsia" w:ascii="仿宋" w:eastAsia="仿宋"/>
          <w:b w:val="0"/>
          <w:bCs w:val="0"/>
        </w:rPr>
        <w:t>政拨款收入支出决算总表</w:t>
      </w:r>
      <w:bookmarkEnd w:id="81"/>
      <w:bookmarkEnd w:id="82"/>
    </w:p>
    <w:p>
      <w:pPr>
        <w:pStyle w:val="4"/>
        <w:rPr>
          <w:rStyle w:val="19"/>
          <w:rFonts w:ascii="仿宋" w:eastAsia="仿宋"/>
          <w:b w:val="0"/>
          <w:bCs w:val="0"/>
        </w:rPr>
      </w:pPr>
      <w:bookmarkStart w:id="83" w:name="_Toc27328"/>
      <w:bookmarkStart w:id="84" w:name="_Toc15396623"/>
      <w:r>
        <w:rPr>
          <w:rStyle w:val="19"/>
          <w:rFonts w:hint="eastAsia" w:ascii="仿宋" w:eastAsia="仿宋"/>
          <w:b w:val="0"/>
          <w:bCs w:val="0"/>
        </w:rPr>
        <w:t>五、</w:t>
      </w:r>
      <w:r>
        <w:rPr>
          <w:rFonts w:hint="eastAsia" w:ascii="仿宋" w:eastAsia="仿宋"/>
          <w:b w:val="0"/>
        </w:rPr>
        <w:t>财</w:t>
      </w:r>
      <w:r>
        <w:rPr>
          <w:rStyle w:val="19"/>
          <w:rFonts w:hint="eastAsia" w:ascii="仿宋" w:eastAsia="仿宋"/>
          <w:b w:val="0"/>
          <w:bCs w:val="0"/>
        </w:rPr>
        <w:t>政拨款支出决算明细表</w:t>
      </w:r>
      <w:bookmarkEnd w:id="83"/>
      <w:bookmarkEnd w:id="84"/>
      <w:bookmarkStart w:id="85" w:name="_Toc15396624"/>
    </w:p>
    <w:p>
      <w:pPr>
        <w:pStyle w:val="4"/>
        <w:rPr>
          <w:rFonts w:ascii="仿宋" w:eastAsia="仿宋"/>
        </w:rPr>
      </w:pPr>
      <w:bookmarkStart w:id="86" w:name="_Toc21217"/>
      <w:r>
        <w:rPr>
          <w:rStyle w:val="19"/>
          <w:rFonts w:hint="eastAsia" w:ascii="仿宋" w:eastAsia="仿宋"/>
          <w:b w:val="0"/>
          <w:bCs w:val="0"/>
        </w:rPr>
        <w:t>六、</w:t>
      </w:r>
      <w:r>
        <w:rPr>
          <w:rFonts w:hint="eastAsia" w:ascii="仿宋" w:eastAsia="仿宋"/>
          <w:b w:val="0"/>
        </w:rPr>
        <w:t>一</w:t>
      </w:r>
      <w:r>
        <w:rPr>
          <w:rStyle w:val="19"/>
          <w:rFonts w:hint="eastAsia" w:ascii="仿宋" w:eastAsia="仿宋"/>
          <w:b w:val="0"/>
          <w:bCs w:val="0"/>
        </w:rPr>
        <w:t>般公共预算财政拨款支出决算表</w:t>
      </w:r>
      <w:bookmarkEnd w:id="85"/>
      <w:bookmarkEnd w:id="86"/>
    </w:p>
    <w:p>
      <w:pPr>
        <w:pStyle w:val="4"/>
        <w:rPr>
          <w:rFonts w:ascii="仿宋" w:eastAsia="仿宋"/>
        </w:rPr>
      </w:pPr>
      <w:bookmarkStart w:id="87" w:name="_Toc15396625"/>
      <w:bookmarkStart w:id="88" w:name="_Toc2417"/>
      <w:r>
        <w:rPr>
          <w:rStyle w:val="19"/>
          <w:rFonts w:hint="eastAsia" w:ascii="仿宋" w:eastAsia="仿宋"/>
          <w:b w:val="0"/>
          <w:bCs w:val="0"/>
        </w:rPr>
        <w:t>七、</w:t>
      </w:r>
      <w:r>
        <w:rPr>
          <w:rFonts w:hint="eastAsia" w:ascii="仿宋" w:eastAsia="仿宋"/>
          <w:b w:val="0"/>
        </w:rPr>
        <w:t>一</w:t>
      </w:r>
      <w:r>
        <w:rPr>
          <w:rStyle w:val="19"/>
          <w:rFonts w:hint="eastAsia" w:ascii="仿宋" w:eastAsia="仿宋"/>
          <w:b w:val="0"/>
          <w:bCs w:val="0"/>
        </w:rPr>
        <w:t>般公共预算财政拨款支出决算明细表</w:t>
      </w:r>
      <w:bookmarkEnd w:id="87"/>
      <w:bookmarkEnd w:id="88"/>
    </w:p>
    <w:p>
      <w:pPr>
        <w:pStyle w:val="4"/>
        <w:rPr>
          <w:rFonts w:ascii="仿宋" w:eastAsia="仿宋"/>
        </w:rPr>
      </w:pPr>
      <w:bookmarkStart w:id="89" w:name="_Toc20823"/>
      <w:bookmarkStart w:id="90" w:name="_Toc15396626"/>
      <w:r>
        <w:rPr>
          <w:rStyle w:val="19"/>
          <w:rFonts w:hint="eastAsia" w:ascii="仿宋" w:eastAsia="仿宋"/>
          <w:b w:val="0"/>
          <w:bCs w:val="0"/>
        </w:rPr>
        <w:t>八、</w:t>
      </w:r>
      <w:r>
        <w:rPr>
          <w:rFonts w:hint="eastAsia" w:ascii="仿宋" w:eastAsia="仿宋"/>
          <w:b w:val="0"/>
        </w:rPr>
        <w:t>一</w:t>
      </w:r>
      <w:r>
        <w:rPr>
          <w:rStyle w:val="19"/>
          <w:rFonts w:hint="eastAsia" w:ascii="仿宋" w:eastAsia="仿宋"/>
          <w:b w:val="0"/>
          <w:bCs w:val="0"/>
        </w:rPr>
        <w:t>般公共预算财政拨款基本支出决算表</w:t>
      </w:r>
      <w:bookmarkEnd w:id="89"/>
      <w:bookmarkEnd w:id="90"/>
    </w:p>
    <w:p>
      <w:pPr>
        <w:pStyle w:val="4"/>
        <w:rPr>
          <w:rFonts w:ascii="仿宋" w:eastAsia="仿宋"/>
        </w:rPr>
      </w:pPr>
      <w:bookmarkStart w:id="91" w:name="_Toc19861"/>
      <w:bookmarkStart w:id="92" w:name="_Toc15396627"/>
      <w:r>
        <w:rPr>
          <w:rStyle w:val="19"/>
          <w:rFonts w:hint="eastAsia" w:ascii="仿宋" w:eastAsia="仿宋"/>
          <w:b w:val="0"/>
          <w:bCs w:val="0"/>
        </w:rPr>
        <w:t>九、</w:t>
      </w:r>
      <w:r>
        <w:rPr>
          <w:rFonts w:hint="eastAsia" w:ascii="仿宋" w:eastAsia="仿宋"/>
          <w:b w:val="0"/>
        </w:rPr>
        <w:t>一</w:t>
      </w:r>
      <w:r>
        <w:rPr>
          <w:rStyle w:val="19"/>
          <w:rFonts w:hint="eastAsia" w:ascii="仿宋" w:eastAsia="仿宋"/>
          <w:b w:val="0"/>
          <w:bCs w:val="0"/>
        </w:rPr>
        <w:t>般公共预算财政拨款项目支出决算表</w:t>
      </w:r>
      <w:bookmarkEnd w:id="91"/>
      <w:bookmarkEnd w:id="92"/>
    </w:p>
    <w:p>
      <w:pPr>
        <w:pStyle w:val="4"/>
        <w:rPr>
          <w:rFonts w:ascii="仿宋" w:eastAsia="仿宋"/>
        </w:rPr>
      </w:pPr>
      <w:bookmarkStart w:id="93" w:name="_Toc15396628"/>
      <w:bookmarkStart w:id="94" w:name="_Toc22783"/>
      <w:r>
        <w:rPr>
          <w:rStyle w:val="19"/>
          <w:rFonts w:hint="eastAsia" w:ascii="仿宋" w:eastAsia="仿宋"/>
          <w:b w:val="0"/>
          <w:bCs w:val="0"/>
        </w:rPr>
        <w:t>十、</w:t>
      </w:r>
      <w:r>
        <w:rPr>
          <w:rFonts w:hint="eastAsia" w:ascii="仿宋" w:eastAsia="仿宋"/>
          <w:b w:val="0"/>
        </w:rPr>
        <w:t>一</w:t>
      </w:r>
      <w:r>
        <w:rPr>
          <w:rStyle w:val="19"/>
          <w:rFonts w:hint="eastAsia" w:ascii="仿宋" w:eastAsia="仿宋"/>
          <w:b w:val="0"/>
          <w:bCs w:val="0"/>
        </w:rPr>
        <w:t>般公共预算财政拨款“三公”经费支出决算表</w:t>
      </w:r>
      <w:bookmarkEnd w:id="93"/>
      <w:bookmarkEnd w:id="94"/>
    </w:p>
    <w:p>
      <w:pPr>
        <w:pStyle w:val="4"/>
        <w:rPr>
          <w:rFonts w:ascii="仿宋" w:eastAsia="仿宋"/>
        </w:rPr>
      </w:pPr>
      <w:bookmarkStart w:id="95" w:name="_Toc640"/>
      <w:bookmarkStart w:id="96" w:name="_Toc15396629"/>
      <w:r>
        <w:rPr>
          <w:rStyle w:val="19"/>
          <w:rFonts w:hint="eastAsia" w:ascii="仿宋" w:eastAsia="仿宋"/>
          <w:b w:val="0"/>
          <w:bCs w:val="0"/>
        </w:rPr>
        <w:t>十一、</w:t>
      </w:r>
      <w:r>
        <w:rPr>
          <w:rFonts w:hint="eastAsia" w:ascii="仿宋" w:eastAsia="仿宋"/>
          <w:b w:val="0"/>
        </w:rPr>
        <w:t>政</w:t>
      </w:r>
      <w:r>
        <w:rPr>
          <w:rStyle w:val="19"/>
          <w:rFonts w:hint="eastAsia" w:ascii="仿宋" w:eastAsia="仿宋"/>
          <w:b w:val="0"/>
          <w:bCs w:val="0"/>
        </w:rPr>
        <w:t>府性基金预算财政拨款收入支出决算表</w:t>
      </w:r>
      <w:bookmarkEnd w:id="95"/>
      <w:bookmarkEnd w:id="96"/>
    </w:p>
    <w:p>
      <w:pPr>
        <w:pStyle w:val="4"/>
        <w:rPr>
          <w:rFonts w:ascii="仿宋" w:eastAsia="仿宋"/>
        </w:rPr>
      </w:pPr>
      <w:bookmarkStart w:id="97" w:name="_Toc15396630"/>
      <w:bookmarkStart w:id="98" w:name="_Toc32301"/>
      <w:r>
        <w:rPr>
          <w:rStyle w:val="19"/>
          <w:rFonts w:hint="eastAsia" w:ascii="仿宋" w:eastAsia="仿宋"/>
          <w:b w:val="0"/>
          <w:bCs w:val="0"/>
        </w:rPr>
        <w:t>十二、</w:t>
      </w:r>
      <w:r>
        <w:rPr>
          <w:rFonts w:hint="eastAsia" w:ascii="仿宋" w:eastAsia="仿宋"/>
          <w:b w:val="0"/>
        </w:rPr>
        <w:t>政</w:t>
      </w:r>
      <w:r>
        <w:rPr>
          <w:rStyle w:val="19"/>
          <w:rFonts w:hint="eastAsia" w:ascii="仿宋" w:eastAsia="仿宋"/>
          <w:b w:val="0"/>
          <w:bCs w:val="0"/>
        </w:rPr>
        <w:t>府性基金预算财政拨款“三公”经费支出决算表</w:t>
      </w:r>
      <w:bookmarkEnd w:id="97"/>
      <w:bookmarkEnd w:id="98"/>
    </w:p>
    <w:p>
      <w:pPr>
        <w:pStyle w:val="4"/>
        <w:rPr>
          <w:rStyle w:val="19"/>
          <w:rFonts w:ascii="仿宋" w:eastAsia="仿宋"/>
          <w:b w:val="0"/>
          <w:bCs w:val="0"/>
        </w:rPr>
      </w:pPr>
      <w:bookmarkStart w:id="99" w:name="_Toc20552"/>
      <w:bookmarkStart w:id="100" w:name="_Toc15396631"/>
      <w:r>
        <w:rPr>
          <w:rStyle w:val="19"/>
          <w:rFonts w:hint="eastAsia" w:ascii="仿宋" w:eastAsia="仿宋"/>
          <w:b w:val="0"/>
          <w:bCs w:val="0"/>
        </w:rPr>
        <w:t>十三、</w:t>
      </w:r>
      <w:r>
        <w:rPr>
          <w:rFonts w:hint="eastAsia" w:ascii="仿宋" w:eastAsia="仿宋"/>
          <w:b w:val="0"/>
        </w:rPr>
        <w:t>国</w:t>
      </w:r>
      <w:r>
        <w:rPr>
          <w:rStyle w:val="19"/>
          <w:rFonts w:hint="eastAsia" w:ascii="仿宋" w:eastAsia="仿宋"/>
          <w:b w:val="0"/>
          <w:bCs w:val="0"/>
        </w:rPr>
        <w:t>有资本经营预算财政拨款收入支出决算表</w:t>
      </w:r>
      <w:bookmarkEnd w:id="99"/>
      <w:bookmarkEnd w:id="100"/>
    </w:p>
    <w:p>
      <w:pPr>
        <w:rPr>
          <w:rFonts w:eastAsia="仿宋"/>
        </w:rPr>
      </w:pPr>
      <w:bookmarkStart w:id="101" w:name="_Toc16771"/>
      <w:r>
        <w:rPr>
          <w:rStyle w:val="19"/>
          <w:rFonts w:hint="eastAsia" w:ascii="仿宋" w:eastAsia="仿宋"/>
          <w:b w:val="0"/>
          <w:bCs w:val="0"/>
        </w:rPr>
        <w:t>十四、国有资本经营预算财政拨款支出决算表</w:t>
      </w:r>
      <w:bookmarkEnd w:id="101"/>
    </w:p>
    <w:sectPr>
      <w:footerReference r:id="rId7"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11887915"/>
    </w:sdtPr>
    <w:sdtContent>
      <w:p>
        <w:pPr>
          <w:pStyle w:val="10"/>
          <w:jc w:val="center"/>
        </w:pPr>
        <w:r>
          <w:fldChar w:fldCharType="begin"/>
        </w:r>
        <w:r>
          <w:instrText xml:space="preserve">PAGE   \* MERGEFORMAT</w:instrText>
        </w:r>
        <w:r>
          <w:fldChar w:fldCharType="separate"/>
        </w:r>
        <w:r>
          <w:rPr>
            <w:lang w:val="zh-CN"/>
          </w:rPr>
          <w:t>8</w:t>
        </w:r>
        <w:r>
          <w:fldChar w:fldCharType="end"/>
        </w:r>
      </w:p>
    </w:sdtContent>
  </w:sdt>
  <w:p>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11887915"/>
    </w:sdtPr>
    <w:sdtContent>
      <w:p>
        <w:pPr>
          <w:pStyle w:val="10"/>
          <w:jc w:val="center"/>
        </w:pPr>
        <w:r>
          <w:fldChar w:fldCharType="begin"/>
        </w:r>
        <w:r>
          <w:instrText xml:space="preserve">PAGE   \* MERGEFORMAT</w:instrText>
        </w:r>
        <w:r>
          <w:fldChar w:fldCharType="separate"/>
        </w:r>
        <w:r>
          <w:rPr>
            <w:lang w:val="zh-CN"/>
          </w:rPr>
          <w:t>8</w:t>
        </w:r>
        <w:r>
          <w:fldChar w:fldCharType="end"/>
        </w:r>
      </w:p>
    </w:sdtContent>
  </w:sdt>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EDE2EB"/>
    <w:multiLevelType w:val="singleLevel"/>
    <w:tmpl w:val="B2EDE2EB"/>
    <w:lvl w:ilvl="0" w:tentative="0">
      <w:start w:val="1"/>
      <w:numFmt w:val="chineseCounting"/>
      <w:suff w:val="space"/>
      <w:lvlText w:val="第%1部分"/>
      <w:lvlJc w:val="left"/>
      <w:rPr>
        <w:rFonts w:hint="eastAsia"/>
      </w:rPr>
    </w:lvl>
  </w:abstractNum>
  <w:abstractNum w:abstractNumId="1">
    <w:nsid w:val="CF652CEC"/>
    <w:multiLevelType w:val="singleLevel"/>
    <w:tmpl w:val="CF652CEC"/>
    <w:lvl w:ilvl="0" w:tentative="0">
      <w:start w:val="9"/>
      <w:numFmt w:val="chineseCounting"/>
      <w:suff w:val="nothing"/>
      <w:lvlText w:val="%1、"/>
      <w:lvlJc w:val="left"/>
      <w:pPr>
        <w:ind w:left="0" w:firstLine="0"/>
      </w:pPr>
      <w:rPr>
        <w:rFonts w:hint="eastAsia"/>
      </w:rPr>
    </w:lvl>
  </w:abstractNum>
  <w:abstractNum w:abstractNumId="2">
    <w:nsid w:val="DF447D32"/>
    <w:multiLevelType w:val="singleLevel"/>
    <w:tmpl w:val="DF447D32"/>
    <w:lvl w:ilvl="0" w:tentative="0">
      <w:start w:val="1"/>
      <w:numFmt w:val="chineseCounting"/>
      <w:suff w:val="nothing"/>
      <w:lvlText w:val="%1、"/>
      <w:lvlJc w:val="left"/>
      <w:rPr>
        <w:rFonts w:hint="eastAsia"/>
      </w:rPr>
    </w:lvl>
  </w:abstractNum>
  <w:abstractNum w:abstractNumId="3">
    <w:nsid w:val="E2FA047D"/>
    <w:multiLevelType w:val="singleLevel"/>
    <w:tmpl w:val="E2FA047D"/>
    <w:lvl w:ilvl="0" w:tentative="0">
      <w:start w:val="3"/>
      <w:numFmt w:val="chineseCounting"/>
      <w:suff w:val="space"/>
      <w:lvlText w:val="第%1部分"/>
      <w:lvlJc w:val="left"/>
      <w:pPr>
        <w:ind w:left="0" w:firstLine="0"/>
      </w:pPr>
      <w:rPr>
        <w:rFonts w:hint="eastAsia" w:ascii="黑体" w:hAnsi="黑体" w:eastAsia="黑体" w:cs="黑体"/>
        <w:sz w:val="44"/>
        <w:szCs w:val="44"/>
      </w:r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ODQ0ZDRjNzUxNmI4YWUyNWUxMjhlNDNjYWNjNDEzMjAifQ=="/>
  </w:docVars>
  <w:rsids>
    <w:rsidRoot w:val="008C6A67"/>
    <w:rsid w:val="00151F0D"/>
    <w:rsid w:val="00190606"/>
    <w:rsid w:val="004F482C"/>
    <w:rsid w:val="008C6A67"/>
    <w:rsid w:val="01090078"/>
    <w:rsid w:val="02A1224E"/>
    <w:rsid w:val="02A429BD"/>
    <w:rsid w:val="037A3476"/>
    <w:rsid w:val="03DF238E"/>
    <w:rsid w:val="09F31262"/>
    <w:rsid w:val="0ABE0604"/>
    <w:rsid w:val="0ABF0394"/>
    <w:rsid w:val="0C5060AD"/>
    <w:rsid w:val="0CE05927"/>
    <w:rsid w:val="0D6A5EED"/>
    <w:rsid w:val="0D7F2CD7"/>
    <w:rsid w:val="0F211F11"/>
    <w:rsid w:val="0F36161D"/>
    <w:rsid w:val="0F965AE0"/>
    <w:rsid w:val="10022864"/>
    <w:rsid w:val="101056C3"/>
    <w:rsid w:val="10291CEF"/>
    <w:rsid w:val="119424F9"/>
    <w:rsid w:val="14F94530"/>
    <w:rsid w:val="17BE1A75"/>
    <w:rsid w:val="18D73135"/>
    <w:rsid w:val="18F172BE"/>
    <w:rsid w:val="18FA0521"/>
    <w:rsid w:val="19AA6784"/>
    <w:rsid w:val="1A3B1210"/>
    <w:rsid w:val="1A7B1DFD"/>
    <w:rsid w:val="1ADF325B"/>
    <w:rsid w:val="1B086322"/>
    <w:rsid w:val="1B2A2D6D"/>
    <w:rsid w:val="1B93140B"/>
    <w:rsid w:val="1BF95D16"/>
    <w:rsid w:val="1FB449B6"/>
    <w:rsid w:val="216E5C32"/>
    <w:rsid w:val="2294254E"/>
    <w:rsid w:val="234A4F2E"/>
    <w:rsid w:val="254411E1"/>
    <w:rsid w:val="2B70506B"/>
    <w:rsid w:val="2B837DF5"/>
    <w:rsid w:val="2BC73E01"/>
    <w:rsid w:val="2BEB7C4E"/>
    <w:rsid w:val="2ED17BC3"/>
    <w:rsid w:val="2F4F2978"/>
    <w:rsid w:val="2F600CCC"/>
    <w:rsid w:val="30033847"/>
    <w:rsid w:val="304C27B7"/>
    <w:rsid w:val="30724E79"/>
    <w:rsid w:val="30D005F6"/>
    <w:rsid w:val="30E15067"/>
    <w:rsid w:val="31B0424D"/>
    <w:rsid w:val="31D67CFB"/>
    <w:rsid w:val="329710D7"/>
    <w:rsid w:val="33584968"/>
    <w:rsid w:val="33DE65CB"/>
    <w:rsid w:val="34AB3FA0"/>
    <w:rsid w:val="34FB5B88"/>
    <w:rsid w:val="36041B6D"/>
    <w:rsid w:val="36567A49"/>
    <w:rsid w:val="38064CD5"/>
    <w:rsid w:val="380E194D"/>
    <w:rsid w:val="388C177A"/>
    <w:rsid w:val="3AFC6385"/>
    <w:rsid w:val="3CFF0FB5"/>
    <w:rsid w:val="3D213592"/>
    <w:rsid w:val="3D3316B9"/>
    <w:rsid w:val="3D3F16ED"/>
    <w:rsid w:val="3DC8643E"/>
    <w:rsid w:val="3E870A29"/>
    <w:rsid w:val="3ECC2CE4"/>
    <w:rsid w:val="3EFC2C5D"/>
    <w:rsid w:val="420F49FF"/>
    <w:rsid w:val="43154639"/>
    <w:rsid w:val="436636FD"/>
    <w:rsid w:val="43AE2954"/>
    <w:rsid w:val="447964F6"/>
    <w:rsid w:val="45760975"/>
    <w:rsid w:val="462220F5"/>
    <w:rsid w:val="469D6E9E"/>
    <w:rsid w:val="46F30D05"/>
    <w:rsid w:val="47493678"/>
    <w:rsid w:val="47F142FD"/>
    <w:rsid w:val="48104026"/>
    <w:rsid w:val="4A5A6347"/>
    <w:rsid w:val="4AEA67DF"/>
    <w:rsid w:val="4F5708D1"/>
    <w:rsid w:val="509B5F66"/>
    <w:rsid w:val="51E03B2A"/>
    <w:rsid w:val="51ED6743"/>
    <w:rsid w:val="548420A5"/>
    <w:rsid w:val="55397115"/>
    <w:rsid w:val="57C53878"/>
    <w:rsid w:val="58DD2C53"/>
    <w:rsid w:val="599B6EA3"/>
    <w:rsid w:val="59D53C82"/>
    <w:rsid w:val="5A7C4F26"/>
    <w:rsid w:val="5AAB04A7"/>
    <w:rsid w:val="5B2D05E0"/>
    <w:rsid w:val="5BDA7D2D"/>
    <w:rsid w:val="5C2B447E"/>
    <w:rsid w:val="5DB26EB3"/>
    <w:rsid w:val="5E763BA1"/>
    <w:rsid w:val="5EC66511"/>
    <w:rsid w:val="5F1A2355"/>
    <w:rsid w:val="60697CA1"/>
    <w:rsid w:val="6172644C"/>
    <w:rsid w:val="61F86532"/>
    <w:rsid w:val="62B9234F"/>
    <w:rsid w:val="63476BC2"/>
    <w:rsid w:val="65256ED5"/>
    <w:rsid w:val="65C8282F"/>
    <w:rsid w:val="66245AF8"/>
    <w:rsid w:val="6A012D1B"/>
    <w:rsid w:val="6B2F5459"/>
    <w:rsid w:val="6CF561B8"/>
    <w:rsid w:val="6D34392B"/>
    <w:rsid w:val="6DF77B9F"/>
    <w:rsid w:val="6F7016CD"/>
    <w:rsid w:val="707E64C2"/>
    <w:rsid w:val="71B136AD"/>
    <w:rsid w:val="72AA0851"/>
    <w:rsid w:val="73295E85"/>
    <w:rsid w:val="74A419DE"/>
    <w:rsid w:val="75173DA8"/>
    <w:rsid w:val="75A00CDB"/>
    <w:rsid w:val="76097738"/>
    <w:rsid w:val="78360F8B"/>
    <w:rsid w:val="78B46516"/>
    <w:rsid w:val="79073066"/>
    <w:rsid w:val="7B6018A2"/>
    <w:rsid w:val="7CAD108F"/>
    <w:rsid w:val="7D6C3C01"/>
    <w:rsid w:val="7EEE7F94"/>
    <w:rsid w:val="7FEA16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8"/>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19"/>
    <w:unhideWhenUsed/>
    <w:qFormat/>
    <w:uiPriority w:val="9"/>
    <w:pPr>
      <w:keepNext/>
      <w:keepLines/>
      <w:spacing w:before="260" w:after="260" w:line="415" w:lineRule="auto"/>
      <w:outlineLvl w:val="1"/>
    </w:pPr>
    <w:rPr>
      <w:rFonts w:ascii="Cambria" w:hAnsi="Cambria"/>
      <w:b/>
      <w:bCs/>
      <w:sz w:val="32"/>
      <w:szCs w:val="32"/>
    </w:rPr>
  </w:style>
  <w:style w:type="paragraph" w:styleId="5">
    <w:name w:val="heading 3"/>
    <w:basedOn w:val="1"/>
    <w:next w:val="1"/>
    <w:semiHidden/>
    <w:unhideWhenUsed/>
    <w:qFormat/>
    <w:uiPriority w:val="9"/>
    <w:pPr>
      <w:keepNext/>
      <w:keepLines/>
      <w:spacing w:before="260" w:after="260" w:line="415" w:lineRule="auto"/>
      <w:outlineLvl w:val="2"/>
    </w:pPr>
    <w:rPr>
      <w:b/>
      <w:bCs/>
      <w:sz w:val="32"/>
      <w:szCs w:val="32"/>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before="30" w:beforeLines="30"/>
    </w:pPr>
    <w:rPr>
      <w:rFonts w:ascii="仿宋_GB2312" w:eastAsia="仿宋_GB2312"/>
      <w:kern w:val="0"/>
      <w:sz w:val="30"/>
    </w:rPr>
  </w:style>
  <w:style w:type="paragraph" w:styleId="6">
    <w:name w:val="Body Text Indent"/>
    <w:basedOn w:val="1"/>
    <w:next w:val="7"/>
    <w:qFormat/>
    <w:uiPriority w:val="0"/>
    <w:pPr>
      <w:spacing w:after="120" w:line="240" w:lineRule="auto"/>
      <w:ind w:left="420" w:leftChars="200" w:firstLine="0" w:firstLineChars="0"/>
      <w:jc w:val="both"/>
    </w:pPr>
    <w:rPr>
      <w:rFonts w:eastAsia="宋体" w:cs="Times New Roman"/>
      <w:sz w:val="21"/>
      <w:szCs w:val="24"/>
    </w:rPr>
  </w:style>
  <w:style w:type="paragraph" w:styleId="7">
    <w:name w:val="Body Text First Indent 2"/>
    <w:basedOn w:val="6"/>
    <w:next w:val="1"/>
    <w:qFormat/>
    <w:uiPriority w:val="0"/>
    <w:pPr>
      <w:ind w:firstLine="420" w:firstLineChars="200"/>
    </w:pPr>
  </w:style>
  <w:style w:type="paragraph" w:styleId="8">
    <w:name w:val="toc 3"/>
    <w:basedOn w:val="1"/>
    <w:next w:val="1"/>
    <w:qFormat/>
    <w:uiPriority w:val="0"/>
    <w:pPr>
      <w:tabs>
        <w:tab w:val="right" w:leader="dot" w:pos="8296"/>
      </w:tabs>
      <w:ind w:left="400" w:leftChars="400"/>
    </w:pPr>
  </w:style>
  <w:style w:type="paragraph" w:styleId="9">
    <w:name w:val="Balloon Text"/>
    <w:basedOn w:val="1"/>
    <w:qFormat/>
    <w:uiPriority w:val="0"/>
    <w:rPr>
      <w:sz w:val="18"/>
      <w:szCs w:val="18"/>
    </w:rPr>
  </w:style>
  <w:style w:type="paragraph" w:styleId="10">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qFormat/>
    <w:uiPriority w:val="0"/>
    <w:pPr>
      <w:tabs>
        <w:tab w:val="right" w:leader="dot" w:pos="8296"/>
      </w:tabs>
      <w:spacing w:before="93"/>
      <w:jc w:val="center"/>
    </w:pPr>
    <w:rPr>
      <w:rFonts w:ascii="仿宋" w:eastAsia="仿宋"/>
      <w:sz w:val="28"/>
      <w:szCs w:val="28"/>
    </w:rPr>
  </w:style>
  <w:style w:type="paragraph" w:styleId="13">
    <w:name w:val="toc 2"/>
    <w:basedOn w:val="1"/>
    <w:next w:val="1"/>
    <w:qFormat/>
    <w:uiPriority w:val="0"/>
    <w:pPr>
      <w:tabs>
        <w:tab w:val="right" w:leader="dot" w:pos="8296"/>
      </w:tabs>
      <w:ind w:left="200" w:leftChars="200"/>
    </w:pPr>
  </w:style>
  <w:style w:type="character" w:styleId="16">
    <w:name w:val="Strong"/>
    <w:basedOn w:val="15"/>
    <w:qFormat/>
    <w:uiPriority w:val="0"/>
    <w:rPr>
      <w:b/>
    </w:rPr>
  </w:style>
  <w:style w:type="character" w:styleId="17">
    <w:name w:val="Hyperlink"/>
    <w:basedOn w:val="15"/>
    <w:qFormat/>
    <w:uiPriority w:val="0"/>
    <w:rPr>
      <w:color w:val="0000FF"/>
      <w:u w:val="single"/>
    </w:rPr>
  </w:style>
  <w:style w:type="character" w:customStyle="1" w:styleId="18">
    <w:name w:val="标题 1 字符"/>
    <w:basedOn w:val="15"/>
    <w:link w:val="3"/>
    <w:qFormat/>
    <w:uiPriority w:val="0"/>
    <w:rPr>
      <w:rFonts w:ascii="Times New Roman" w:hAnsi="Times New Roman" w:eastAsia="宋体" w:cs="Times New Roman"/>
      <w:b/>
      <w:bCs/>
      <w:kern w:val="44"/>
      <w:sz w:val="44"/>
      <w:szCs w:val="44"/>
      <w:lang w:val="en-US" w:eastAsia="zh-CN" w:bidi="ar-SA"/>
    </w:rPr>
  </w:style>
  <w:style w:type="character" w:customStyle="1" w:styleId="19">
    <w:name w:val="标题 2 字符"/>
    <w:basedOn w:val="15"/>
    <w:link w:val="4"/>
    <w:qFormat/>
    <w:uiPriority w:val="0"/>
    <w:rPr>
      <w:rFonts w:ascii="Cambria" w:hAnsi="Cambria" w:eastAsia="宋体" w:cs="Times New Roman"/>
      <w:b/>
      <w:bCs/>
      <w:kern w:val="2"/>
      <w:sz w:val="32"/>
      <w:szCs w:val="32"/>
      <w:lang w:val="en-US" w:eastAsia="zh-CN" w:bidi="ar-SA"/>
    </w:rPr>
  </w:style>
  <w:style w:type="character" w:customStyle="1" w:styleId="20">
    <w:name w:val="Header Char"/>
    <w:basedOn w:val="15"/>
    <w:qFormat/>
    <w:uiPriority w:val="0"/>
    <w:rPr>
      <w:rFonts w:ascii="Times New Roman" w:hAnsi="Times New Roman"/>
      <w:sz w:val="18"/>
      <w:szCs w:val="18"/>
    </w:rPr>
  </w:style>
  <w:style w:type="character" w:customStyle="1" w:styleId="21">
    <w:name w:val="Footer Char"/>
    <w:basedOn w:val="15"/>
    <w:qFormat/>
    <w:uiPriority w:val="0"/>
    <w:rPr>
      <w:rFonts w:ascii="Times New Roman" w:hAnsi="Times New Roman"/>
      <w:sz w:val="18"/>
      <w:szCs w:val="18"/>
    </w:rPr>
  </w:style>
  <w:style w:type="character" w:customStyle="1" w:styleId="22">
    <w:name w:val="Body Text Char"/>
    <w:basedOn w:val="15"/>
    <w:qFormat/>
    <w:uiPriority w:val="0"/>
    <w:rPr>
      <w:rFonts w:ascii="Times New Roman" w:hAnsi="Times New Roman"/>
      <w:szCs w:val="24"/>
    </w:rPr>
  </w:style>
  <w:style w:type="paragraph" w:customStyle="1" w:styleId="23">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4">
    <w:name w:val="List Paragraph"/>
    <w:basedOn w:val="1"/>
    <w:qFormat/>
    <w:uiPriority w:val="0"/>
    <w:pPr>
      <w:ind w:firstLine="200" w:firstLineChars="200"/>
    </w:pPr>
  </w:style>
  <w:style w:type="paragraph" w:customStyle="1" w:styleId="25">
    <w:name w:val="TOC 标题1"/>
    <w:basedOn w:val="3"/>
    <w:next w:val="1"/>
    <w:qFormat/>
    <w:uiPriority w:val="0"/>
    <w:pPr>
      <w:widowControl/>
      <w:spacing w:before="480" w:after="0" w:line="276" w:lineRule="auto"/>
      <w:jc w:val="left"/>
      <w:outlineLvl w:val="9"/>
    </w:pPr>
    <w:rPr>
      <w:rFonts w:ascii="Cambria" w:hAnsi="Cambria"/>
      <w:color w:val="376092"/>
      <w:kern w:val="0"/>
      <w:sz w:val="28"/>
      <w:szCs w:val="28"/>
    </w:rPr>
  </w:style>
  <w:style w:type="paragraph" w:customStyle="1" w:styleId="26">
    <w:name w:val="TOC 标题2"/>
    <w:basedOn w:val="3"/>
    <w:next w:val="1"/>
    <w:qFormat/>
    <w:uiPriority w:val="0"/>
    <w:pPr>
      <w:widowControl/>
      <w:spacing w:before="480" w:after="0" w:line="276" w:lineRule="auto"/>
      <w:jc w:val="left"/>
      <w:outlineLvl w:val="9"/>
    </w:pPr>
    <w:rPr>
      <w:rFonts w:ascii="Cambria" w:hAnsi="Cambria"/>
      <w:color w:val="376092"/>
      <w:kern w:val="0"/>
      <w:sz w:val="28"/>
      <w:szCs w:val="28"/>
    </w:rPr>
  </w:style>
  <w:style w:type="paragraph" w:customStyle="1" w:styleId="27">
    <w:name w:val="普通(网站) Char"/>
    <w:basedOn w:val="1"/>
    <w:qFormat/>
    <w:uiPriority w:val="0"/>
    <w:pPr>
      <w:spacing w:before="100" w:beforeAutospacing="1" w:after="100" w:afterAutospacing="1"/>
      <w:ind w:left="0" w:right="0"/>
      <w:jc w:val="left"/>
    </w:pPr>
    <w:rPr>
      <w:rFonts w:hint="eastAsia" w:ascii="宋体" w:hAnsi="宋体" w:eastAsia="宋体" w:cs="宋体"/>
      <w:kern w:val="0"/>
      <w:sz w:val="24"/>
      <w:szCs w:val="24"/>
      <w:lang w:val="en-US" w:eastAsia="zh-CN" w:bidi="ar"/>
    </w:rPr>
  </w:style>
  <w:style w:type="paragraph" w:customStyle="1" w:styleId="28">
    <w:name w:val="WPSOffice手动目录 1"/>
    <w:qFormat/>
    <w:uiPriority w:val="0"/>
    <w:pPr>
      <w:ind w:leftChars="0"/>
    </w:pPr>
    <w:rPr>
      <w:rFonts w:ascii="Times New Roman" w:hAnsi="Times New Roman" w:eastAsia="宋体" w:cs="Times New Roman"/>
      <w:sz w:val="20"/>
      <w:szCs w:val="20"/>
    </w:rPr>
  </w:style>
  <w:style w:type="paragraph" w:customStyle="1" w:styleId="29">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hart" Target="charts/chart7.xml"/><Relationship Id="rId14" Type="http://schemas.openxmlformats.org/officeDocument/2006/relationships/chart" Target="charts/chart6.xml"/><Relationship Id="rId13" Type="http://schemas.openxmlformats.org/officeDocument/2006/relationships/chart" Target="charts/chart5.xml"/><Relationship Id="rId12" Type="http://schemas.openxmlformats.org/officeDocument/2006/relationships/chart" Target="charts/chart4.xml"/><Relationship Id="rId11" Type="http://schemas.openxmlformats.org/officeDocument/2006/relationships/chart" Target="charts/chart3.xml"/><Relationship Id="rId10" Type="http://schemas.openxmlformats.org/officeDocument/2006/relationships/chart" Target="charts/chart2.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4.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5.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6.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3013177753338"/>
          <c:y val="0.141218920826365"/>
          <c:w val="0.870726388189901"/>
          <c:h val="0.66831370295892"/>
        </c:manualLayout>
      </c:layout>
      <c:barChart>
        <c:barDir val="col"/>
        <c:grouping val="clustered"/>
        <c:varyColors val="0"/>
        <c:ser>
          <c:idx val="0"/>
          <c:order val="0"/>
          <c:tx>
            <c:strRef>
              <c:f>Sheet1!$B$1</c:f>
              <c:strCache>
                <c:ptCount val="1"/>
                <c:pt idx="0">
                  <c:v>2020年</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2"/>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strRef>
              <c:f>Sheet1!$A$2:$A$5</c:f>
              <c:strCache>
                <c:ptCount val="4"/>
                <c:pt idx="0">
                  <c:v>收入</c:v>
                </c:pt>
                <c:pt idx="1">
                  <c:v>支出</c:v>
                </c:pt>
              </c:strCache>
            </c:strRef>
          </c:cat>
          <c:val>
            <c:numRef>
              <c:f>Sheet1!$B$2:$B$5</c:f>
              <c:numCache>
                <c:formatCode>General</c:formatCode>
                <c:ptCount val="4"/>
                <c:pt idx="0">
                  <c:v>637.24</c:v>
                </c:pt>
                <c:pt idx="1">
                  <c:v>637.24</c:v>
                </c:pt>
              </c:numCache>
            </c:numRef>
          </c:val>
        </c:ser>
        <c:ser>
          <c:idx val="1"/>
          <c:order val="1"/>
          <c:tx>
            <c:strRef>
              <c:f>Sheet1!$C$1</c:f>
              <c:strCache>
                <c:ptCount val="1"/>
                <c:pt idx="0">
                  <c:v>2021年</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2"/>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strRef>
              <c:f>Sheet1!$A$2:$A$5</c:f>
              <c:strCache>
                <c:ptCount val="4"/>
                <c:pt idx="0">
                  <c:v>收入</c:v>
                </c:pt>
                <c:pt idx="1">
                  <c:v>支出</c:v>
                </c:pt>
              </c:strCache>
            </c:strRef>
          </c:cat>
          <c:val>
            <c:numRef>
              <c:f>Sheet1!$C$2:$C$5</c:f>
              <c:numCache>
                <c:formatCode>General</c:formatCode>
                <c:ptCount val="4"/>
                <c:pt idx="0">
                  <c:v>699.38</c:v>
                </c:pt>
                <c:pt idx="1">
                  <c:v>699.38</c:v>
                </c:pt>
              </c:numCache>
            </c:numRef>
          </c:val>
        </c:ser>
        <c:ser>
          <c:idx val="2"/>
          <c:order val="2"/>
          <c:tx>
            <c:strRef>
              <c:f>Sheet1!$D$1</c:f>
              <c:strCache>
                <c:ptCount val="1"/>
                <c:pt idx="0">
                  <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invertIfNegative val="0"/>
          <c:dLbls>
            <c:delete val="1"/>
          </c:dLbls>
          <c:cat>
            <c:strRef>
              <c:f>Sheet1!$A$2:$A$5</c:f>
              <c:strCache>
                <c:ptCount val="4"/>
                <c:pt idx="0">
                  <c:v>收入</c:v>
                </c:pt>
                <c:pt idx="1">
                  <c:v>支出</c:v>
                </c:pt>
              </c:strCache>
            </c:strRef>
          </c:cat>
          <c:val>
            <c:numRef>
              <c:f>Sheet1!$D$2:$D$5</c:f>
              <c:numCache>
                <c:formatCode>General</c:formatCode>
                <c:ptCount val="4"/>
              </c:numCache>
            </c:numRef>
          </c:val>
        </c:ser>
        <c:dLbls>
          <c:showLegendKey val="0"/>
          <c:showVal val="0"/>
          <c:showCatName val="0"/>
          <c:showSerName val="0"/>
          <c:showPercent val="0"/>
          <c:showBubbleSize val="0"/>
        </c:dLbls>
        <c:gapWidth val="100"/>
        <c:overlap val="-24"/>
        <c:axId val="642215252"/>
        <c:axId val="30948704"/>
      </c:barChart>
      <c:catAx>
        <c:axId val="642215252"/>
        <c:scaling>
          <c:orientation val="minMax"/>
        </c:scaling>
        <c:delete val="0"/>
        <c:axPos val="b"/>
        <c:majorTickMark val="none"/>
        <c:minorTickMark val="none"/>
        <c:tickLblPos val="nextTo"/>
        <c:spPr>
          <a:noFill/>
          <a:ln w="9525" cap="flat" cmpd="sng" algn="ctr">
            <a:solidFill>
              <a:schemeClr val="tx2">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2"/>
                </a:solidFill>
                <a:latin typeface="+mn-lt"/>
                <a:ea typeface="+mn-ea"/>
                <a:cs typeface="+mn-cs"/>
              </a:defRPr>
            </a:pPr>
          </a:p>
        </c:txPr>
        <c:crossAx val="30948704"/>
        <c:crosses val="autoZero"/>
        <c:auto val="1"/>
        <c:lblAlgn val="ctr"/>
        <c:lblOffset val="100"/>
        <c:noMultiLvlLbl val="0"/>
      </c:catAx>
      <c:valAx>
        <c:axId val="30948704"/>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2"/>
                </a:solidFill>
                <a:latin typeface="+mn-lt"/>
                <a:ea typeface="+mn-ea"/>
                <a:cs typeface="+mn-cs"/>
              </a:defRPr>
            </a:pPr>
          </a:p>
        </c:txPr>
        <c:crossAx val="642215252"/>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2"/>
              </a:solidFill>
              <a:latin typeface="+mn-lt"/>
              <a:ea typeface="+mn-ea"/>
              <a:cs typeface="+mn-cs"/>
            </a:defRPr>
          </a:pPr>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15625"/>
          <c:y val="0.1845"/>
          <c:w val="0.570625"/>
          <c:h val="0.760833333333333"/>
        </c:manualLayout>
      </c:layout>
      <c:pieChart>
        <c:varyColors val="1"/>
        <c:ser>
          <c:idx val="0"/>
          <c:order val="0"/>
          <c:tx>
            <c:strRef>
              <c:f>Sheet1!$B$1</c:f>
              <c:strCache>
                <c:ptCount val="1"/>
                <c:pt idx="0">
                  <c:v>列1</c:v>
                </c:pt>
              </c:strCache>
            </c:strRef>
          </c:tx>
          <c:spPr/>
          <c:explosion val="0"/>
          <c:dPt>
            <c:idx val="0"/>
            <c:bubble3D val="0"/>
            <c:spPr>
              <a:solidFill>
                <a:schemeClr val="accent6"/>
              </a:solidFill>
              <a:ln w="19050">
                <a:solidFill>
                  <a:schemeClr val="lt1"/>
                </a:solidFill>
              </a:ln>
              <a:effectLst/>
            </c:spPr>
          </c:dPt>
          <c:dPt>
            <c:idx val="1"/>
            <c:bubble3D val="0"/>
            <c:spPr>
              <a:solidFill>
                <a:schemeClr val="accent5"/>
              </a:solidFill>
              <a:ln w="19050">
                <a:solidFill>
                  <a:schemeClr val="lt1"/>
                </a:solidFill>
              </a:ln>
              <a:effectLst/>
            </c:spPr>
          </c:dPt>
          <c:dPt>
            <c:idx val="2"/>
            <c:bubble3D val="0"/>
            <c:spPr>
              <a:solidFill>
                <a:schemeClr val="accent4"/>
              </a:solidFill>
              <a:ln w="19050">
                <a:solidFill>
                  <a:schemeClr val="lt1"/>
                </a:solidFill>
              </a:ln>
              <a:effectLst/>
            </c:spPr>
          </c:dPt>
          <c:dPt>
            <c:idx val="3"/>
            <c:bubble3D val="0"/>
            <c:spPr>
              <a:solidFill>
                <a:schemeClr val="accent6">
                  <a:lumMod val="60000"/>
                </a:schemeClr>
              </a:solidFill>
              <a:ln w="19050">
                <a:solidFill>
                  <a:schemeClr val="lt1"/>
                </a:solidFill>
              </a:ln>
              <a:effectLst/>
            </c:spPr>
          </c:dPt>
          <c:dLbls>
            <c:dLbl>
              <c:idx val="0"/>
              <c:layout>
                <c:manualLayout>
                  <c:x val="0.00734280374307864"/>
                  <c:y val="-0.223236001297522"/>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97.9</a:t>
                    </a:r>
                    <a:r>
                      <a:rPr lang="en-US" altLang="zh-CN"/>
                      <a:t>0%</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15:layout>
                    <c:manualLayout>
                      <c:w val="0.0915275994865212"/>
                      <c:h val="0.114161849710983"/>
                    </c:manualLayout>
                  </c15:layout>
                </c:ext>
              </c:extLst>
            </c:dLbl>
            <c:dLbl>
              <c:idx val="1"/>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2.1</a:t>
                    </a:r>
                    <a:r>
                      <a:rPr lang="en-US" altLang="zh-CN"/>
                      <a:t>%</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15:layout>
                    <c:manualLayout>
                      <c:w val="0.0752246469833119"/>
                      <c:h val="0.0734929810074319"/>
                    </c:manualLayout>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一般公共预算财政拨款收入</c:v>
                </c:pt>
                <c:pt idx="1">
                  <c:v>其他收入</c:v>
                </c:pt>
              </c:strCache>
            </c:strRef>
          </c:cat>
          <c:val>
            <c:numRef>
              <c:f>Sheet1!$B$2:$B$5</c:f>
              <c:numCache>
                <c:formatCode>General</c:formatCode>
                <c:ptCount val="4"/>
                <c:pt idx="0">
                  <c:v>97.9</c:v>
                </c:pt>
                <c:pt idx="1">
                  <c:v>2.1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15625"/>
          <c:y val="0.1845"/>
          <c:w val="0.570625"/>
          <c:h val="0.760833333333333"/>
        </c:manualLayout>
      </c:layout>
      <c:pieChart>
        <c:varyColors val="1"/>
        <c:ser>
          <c:idx val="0"/>
          <c:order val="0"/>
          <c:tx>
            <c:strRef>
              <c:f>Sheet1!$B$1</c:f>
              <c:strCache>
                <c:ptCount val="1"/>
                <c:pt idx="0">
                  <c:v>列1</c:v>
                </c:pt>
              </c:strCache>
            </c:strRef>
          </c:tx>
          <c:spPr/>
          <c:explosion val="0"/>
          <c:dPt>
            <c:idx val="0"/>
            <c:bubble3D val="0"/>
            <c:spPr>
              <a:solidFill>
                <a:schemeClr val="accent6"/>
              </a:solidFill>
              <a:ln w="19050">
                <a:solidFill>
                  <a:schemeClr val="lt1"/>
                </a:solidFill>
              </a:ln>
              <a:effectLst/>
            </c:spPr>
          </c:dPt>
          <c:dPt>
            <c:idx val="1"/>
            <c:bubble3D val="0"/>
            <c:spPr>
              <a:solidFill>
                <a:schemeClr val="accent5"/>
              </a:solidFill>
              <a:ln w="19050">
                <a:solidFill>
                  <a:schemeClr val="lt1"/>
                </a:solidFill>
              </a:ln>
              <a:effectLst/>
            </c:spPr>
          </c:dPt>
          <c:dPt>
            <c:idx val="2"/>
            <c:bubble3D val="0"/>
            <c:spPr>
              <a:solidFill>
                <a:schemeClr val="accent4"/>
              </a:solidFill>
              <a:ln w="19050">
                <a:solidFill>
                  <a:schemeClr val="lt1"/>
                </a:solidFill>
              </a:ln>
              <a:effectLst/>
            </c:spPr>
          </c:dPt>
          <c:dPt>
            <c:idx val="3"/>
            <c:bubble3D val="0"/>
            <c:spPr>
              <a:solidFill>
                <a:schemeClr val="accent6">
                  <a:lumMod val="60000"/>
                </a:schemeClr>
              </a:solidFill>
              <a:ln w="19050">
                <a:solidFill>
                  <a:schemeClr val="lt1"/>
                </a:solidFill>
              </a:ln>
              <a:effectLst/>
            </c:spPr>
          </c:dPt>
          <c:dLbls>
            <c:dLbl>
              <c:idx val="0"/>
              <c:layout>
                <c:manualLayout>
                  <c:x val="0.00734280374307864"/>
                  <c:y val="-0.223236001297522"/>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84.45%</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15:layout>
                    <c:manualLayout>
                      <c:w val="0.121840570317563"/>
                      <c:h val="0.108085579327591"/>
                    </c:manualLayout>
                  </c15:layout>
                </c:ext>
              </c:extLst>
            </c:dLbl>
            <c:dLbl>
              <c:idx val="1"/>
              <c:layout>
                <c:manualLayout>
                  <c:x val="0.0231519734679379"/>
                  <c:y val="0.121283693673749"/>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15.55%</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15:layout>
                    <c:manualLayout>
                      <c:w val="0.106779661016949"/>
                      <c:h val="0.0724666533943858"/>
                    </c:manualLayout>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基本支出</c:v>
                </c:pt>
                <c:pt idx="1">
                  <c:v>项目支出</c:v>
                </c:pt>
              </c:strCache>
            </c:strRef>
          </c:cat>
          <c:val>
            <c:numRef>
              <c:f>Sheet1!$B$2:$B$5</c:f>
              <c:numCache>
                <c:formatCode>0.00%</c:formatCode>
                <c:ptCount val="4"/>
                <c:pt idx="0">
                  <c:v>0.8445</c:v>
                </c:pt>
                <c:pt idx="1">
                  <c:v>0.1555</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3013177753338"/>
          <c:y val="0.141218920826365"/>
          <c:w val="0.870726388189901"/>
          <c:h val="0.66831370295892"/>
        </c:manualLayout>
      </c:layout>
      <c:barChart>
        <c:barDir val="col"/>
        <c:grouping val="clustered"/>
        <c:varyColors val="0"/>
        <c:ser>
          <c:idx val="0"/>
          <c:order val="0"/>
          <c:tx>
            <c:strRef>
              <c:f>Sheet1!$B$1</c:f>
              <c:strCache>
                <c:ptCount val="1"/>
                <c:pt idx="0">
                  <c:v>2020年</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2"/>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strRef>
              <c:f>Sheet1!$A$2:$A$5</c:f>
              <c:strCache>
                <c:ptCount val="4"/>
                <c:pt idx="0">
                  <c:v>收入</c:v>
                </c:pt>
                <c:pt idx="1">
                  <c:v>支出</c:v>
                </c:pt>
              </c:strCache>
            </c:strRef>
          </c:cat>
          <c:val>
            <c:numRef>
              <c:f>Sheet1!$B$2:$B$5</c:f>
              <c:numCache>
                <c:formatCode>General</c:formatCode>
                <c:ptCount val="4"/>
                <c:pt idx="0">
                  <c:v>637.24</c:v>
                </c:pt>
                <c:pt idx="1">
                  <c:v>637.24</c:v>
                </c:pt>
              </c:numCache>
            </c:numRef>
          </c:val>
        </c:ser>
        <c:ser>
          <c:idx val="1"/>
          <c:order val="1"/>
          <c:tx>
            <c:strRef>
              <c:f>Sheet1!$C$1</c:f>
              <c:strCache>
                <c:ptCount val="1"/>
                <c:pt idx="0">
                  <c:v>2021年</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2"/>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strRef>
              <c:f>Sheet1!$A$2:$A$5</c:f>
              <c:strCache>
                <c:ptCount val="4"/>
                <c:pt idx="0">
                  <c:v>收入</c:v>
                </c:pt>
                <c:pt idx="1">
                  <c:v>支出</c:v>
                </c:pt>
              </c:strCache>
            </c:strRef>
          </c:cat>
          <c:val>
            <c:numRef>
              <c:f>Sheet1!$C$2:$C$5</c:f>
              <c:numCache>
                <c:formatCode>General</c:formatCode>
                <c:ptCount val="4"/>
                <c:pt idx="0">
                  <c:v>684.69</c:v>
                </c:pt>
                <c:pt idx="1">
                  <c:v>684.69</c:v>
                </c:pt>
              </c:numCache>
            </c:numRef>
          </c:val>
        </c:ser>
        <c:ser>
          <c:idx val="2"/>
          <c:order val="2"/>
          <c:tx>
            <c:strRef>
              <c:f>Sheet1!$D$1</c:f>
              <c:strCache>
                <c:ptCount val="1"/>
                <c:pt idx="0">
                  <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invertIfNegative val="0"/>
          <c:dLbls>
            <c:delete val="1"/>
          </c:dLbls>
          <c:cat>
            <c:strRef>
              <c:f>Sheet1!$A$2:$A$5</c:f>
              <c:strCache>
                <c:ptCount val="4"/>
                <c:pt idx="0">
                  <c:v>收入</c:v>
                </c:pt>
                <c:pt idx="1">
                  <c:v>支出</c:v>
                </c:pt>
              </c:strCache>
            </c:strRef>
          </c:cat>
          <c:val>
            <c:numRef>
              <c:f>Sheet1!$D$2:$D$5</c:f>
              <c:numCache>
                <c:formatCode>General</c:formatCode>
                <c:ptCount val="4"/>
              </c:numCache>
            </c:numRef>
          </c:val>
        </c:ser>
        <c:dLbls>
          <c:showLegendKey val="0"/>
          <c:showVal val="0"/>
          <c:showCatName val="0"/>
          <c:showSerName val="0"/>
          <c:showPercent val="0"/>
          <c:showBubbleSize val="0"/>
        </c:dLbls>
        <c:gapWidth val="100"/>
        <c:overlap val="-24"/>
        <c:axId val="642215252"/>
        <c:axId val="30948704"/>
      </c:barChart>
      <c:catAx>
        <c:axId val="642215252"/>
        <c:scaling>
          <c:orientation val="minMax"/>
        </c:scaling>
        <c:delete val="0"/>
        <c:axPos val="b"/>
        <c:majorTickMark val="none"/>
        <c:minorTickMark val="none"/>
        <c:tickLblPos val="nextTo"/>
        <c:spPr>
          <a:noFill/>
          <a:ln w="9525" cap="flat" cmpd="sng" algn="ctr">
            <a:solidFill>
              <a:schemeClr val="tx2">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2"/>
                </a:solidFill>
                <a:latin typeface="+mn-lt"/>
                <a:ea typeface="+mn-ea"/>
                <a:cs typeface="+mn-cs"/>
              </a:defRPr>
            </a:pPr>
          </a:p>
        </c:txPr>
        <c:crossAx val="30948704"/>
        <c:crosses val="autoZero"/>
        <c:auto val="1"/>
        <c:lblAlgn val="ctr"/>
        <c:lblOffset val="100"/>
        <c:noMultiLvlLbl val="0"/>
      </c:catAx>
      <c:valAx>
        <c:axId val="30948704"/>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2"/>
                </a:solidFill>
                <a:latin typeface="+mn-lt"/>
                <a:ea typeface="+mn-ea"/>
                <a:cs typeface="+mn-cs"/>
              </a:defRPr>
            </a:pPr>
          </a:p>
        </c:txPr>
        <c:crossAx val="642215252"/>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2"/>
              </a:solidFill>
              <a:latin typeface="+mn-lt"/>
              <a:ea typeface="+mn-ea"/>
              <a:cs typeface="+mn-cs"/>
            </a:defRPr>
          </a:pPr>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0546478197344"/>
          <c:y val="0.141218920826365"/>
          <c:w val="0.870726388189901"/>
          <c:h val="0.66831370295892"/>
        </c:manualLayout>
      </c:layout>
      <c:barChart>
        <c:barDir val="col"/>
        <c:grouping val="clustered"/>
        <c:varyColors val="0"/>
        <c:ser>
          <c:idx val="0"/>
          <c:order val="0"/>
          <c:tx>
            <c:strRef>
              <c:f>Sheet1!$B$1</c:f>
              <c:strCache>
                <c:ptCount val="1"/>
                <c:pt idx="0">
                  <c:v>2020年</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2"/>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strRef>
              <c:f>Sheet1!$A$2:$A$5</c:f>
              <c:strCache>
                <c:ptCount val="4"/>
                <c:pt idx="0">
                  <c:v>收入</c:v>
                </c:pt>
                <c:pt idx="1">
                  <c:v>支出</c:v>
                </c:pt>
              </c:strCache>
            </c:strRef>
          </c:cat>
          <c:val>
            <c:numRef>
              <c:f>Sheet1!$B$2:$B$5</c:f>
              <c:numCache>
                <c:formatCode>General</c:formatCode>
                <c:ptCount val="4"/>
                <c:pt idx="0">
                  <c:v>637.24</c:v>
                </c:pt>
                <c:pt idx="1">
                  <c:v>637.24</c:v>
                </c:pt>
              </c:numCache>
            </c:numRef>
          </c:val>
        </c:ser>
        <c:ser>
          <c:idx val="1"/>
          <c:order val="1"/>
          <c:tx>
            <c:strRef>
              <c:f>Sheet1!$C$1</c:f>
              <c:strCache>
                <c:ptCount val="1"/>
                <c:pt idx="0">
                  <c:v>2021年</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2"/>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strRef>
              <c:f>Sheet1!$A$2:$A$5</c:f>
              <c:strCache>
                <c:ptCount val="4"/>
                <c:pt idx="0">
                  <c:v>收入</c:v>
                </c:pt>
                <c:pt idx="1">
                  <c:v>支出</c:v>
                </c:pt>
              </c:strCache>
            </c:strRef>
          </c:cat>
          <c:val>
            <c:numRef>
              <c:f>Sheet1!$C$2:$C$5</c:f>
              <c:numCache>
                <c:formatCode>General</c:formatCode>
                <c:ptCount val="4"/>
                <c:pt idx="0">
                  <c:v>684.69</c:v>
                </c:pt>
                <c:pt idx="1">
                  <c:v>684.69</c:v>
                </c:pt>
              </c:numCache>
            </c:numRef>
          </c:val>
        </c:ser>
        <c:ser>
          <c:idx val="2"/>
          <c:order val="2"/>
          <c:tx>
            <c:strRef>
              <c:f>Sheet1!$D$1</c:f>
              <c:strCache>
                <c:ptCount val="1"/>
                <c:pt idx="0">
                  <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invertIfNegative val="0"/>
          <c:dLbls>
            <c:delete val="1"/>
          </c:dLbls>
          <c:cat>
            <c:strRef>
              <c:f>Sheet1!$A$2:$A$5</c:f>
              <c:strCache>
                <c:ptCount val="4"/>
                <c:pt idx="0">
                  <c:v>收入</c:v>
                </c:pt>
                <c:pt idx="1">
                  <c:v>支出</c:v>
                </c:pt>
              </c:strCache>
            </c:strRef>
          </c:cat>
          <c:val>
            <c:numRef>
              <c:f>Sheet1!$D$2:$D$5</c:f>
              <c:numCache>
                <c:formatCode>General</c:formatCode>
                <c:ptCount val="4"/>
              </c:numCache>
            </c:numRef>
          </c:val>
        </c:ser>
        <c:dLbls>
          <c:showLegendKey val="0"/>
          <c:showVal val="0"/>
          <c:showCatName val="0"/>
          <c:showSerName val="0"/>
          <c:showPercent val="0"/>
          <c:showBubbleSize val="0"/>
        </c:dLbls>
        <c:gapWidth val="100"/>
        <c:overlap val="-24"/>
        <c:axId val="642215252"/>
        <c:axId val="30948704"/>
      </c:barChart>
      <c:catAx>
        <c:axId val="642215252"/>
        <c:scaling>
          <c:orientation val="minMax"/>
        </c:scaling>
        <c:delete val="0"/>
        <c:axPos val="b"/>
        <c:majorTickMark val="none"/>
        <c:minorTickMark val="none"/>
        <c:tickLblPos val="nextTo"/>
        <c:spPr>
          <a:noFill/>
          <a:ln w="9525" cap="flat" cmpd="sng" algn="ctr">
            <a:solidFill>
              <a:schemeClr val="tx2">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2"/>
                </a:solidFill>
                <a:latin typeface="+mn-lt"/>
                <a:ea typeface="+mn-ea"/>
                <a:cs typeface="+mn-cs"/>
              </a:defRPr>
            </a:pPr>
          </a:p>
        </c:txPr>
        <c:crossAx val="30948704"/>
        <c:crosses val="autoZero"/>
        <c:auto val="1"/>
        <c:lblAlgn val="ctr"/>
        <c:lblOffset val="100"/>
        <c:noMultiLvlLbl val="0"/>
      </c:catAx>
      <c:valAx>
        <c:axId val="30948704"/>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2"/>
                </a:solidFill>
                <a:latin typeface="+mn-lt"/>
                <a:ea typeface="+mn-ea"/>
                <a:cs typeface="+mn-cs"/>
              </a:defRPr>
            </a:pPr>
          </a:p>
        </c:txPr>
        <c:crossAx val="642215252"/>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2"/>
              </a:solidFill>
              <a:latin typeface="+mn-lt"/>
              <a:ea typeface="+mn-ea"/>
              <a:cs typeface="+mn-cs"/>
            </a:defRPr>
          </a:pPr>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15625"/>
          <c:y val="0.1845"/>
          <c:w val="0.570625"/>
          <c:h val="0.760833333333333"/>
        </c:manualLayout>
      </c:layout>
      <c:pieChart>
        <c:varyColors val="1"/>
        <c:ser>
          <c:idx val="0"/>
          <c:order val="0"/>
          <c:tx>
            <c:strRef>
              <c:f>Sheet1!$B$1</c:f>
              <c:strCache>
                <c:ptCount val="1"/>
                <c:pt idx="0">
                  <c:v>列1</c:v>
                </c:pt>
              </c:strCache>
            </c:strRef>
          </c:tx>
          <c:spPr/>
          <c:explosion val="0"/>
          <c:dPt>
            <c:idx val="0"/>
            <c:bubble3D val="0"/>
            <c:spPr>
              <a:solidFill>
                <a:schemeClr val="accent6"/>
              </a:solidFill>
              <a:ln w="19050">
                <a:solidFill>
                  <a:schemeClr val="lt1"/>
                </a:solidFill>
              </a:ln>
              <a:effectLst/>
            </c:spPr>
          </c:dPt>
          <c:dPt>
            <c:idx val="1"/>
            <c:bubble3D val="0"/>
            <c:spPr>
              <a:solidFill>
                <a:schemeClr val="accent5"/>
              </a:solidFill>
              <a:ln w="19050">
                <a:solidFill>
                  <a:schemeClr val="lt1"/>
                </a:solidFill>
              </a:ln>
              <a:effectLst/>
            </c:spPr>
          </c:dPt>
          <c:dPt>
            <c:idx val="2"/>
            <c:bubble3D val="0"/>
            <c:spPr>
              <a:solidFill>
                <a:schemeClr val="accent4"/>
              </a:solidFill>
              <a:ln w="19050">
                <a:solidFill>
                  <a:schemeClr val="lt1"/>
                </a:solidFill>
              </a:ln>
              <a:effectLst/>
            </c:spPr>
          </c:dPt>
          <c:dPt>
            <c:idx val="3"/>
            <c:bubble3D val="0"/>
            <c:spPr>
              <a:solidFill>
                <a:schemeClr val="accent6">
                  <a:lumMod val="60000"/>
                </a:schemeClr>
              </a:solidFill>
              <a:ln w="19050">
                <a:solidFill>
                  <a:schemeClr val="lt1"/>
                </a:solidFill>
              </a:ln>
              <a:effectLst/>
            </c:spPr>
          </c:dPt>
          <c:dLbls>
            <c:dLbl>
              <c:idx val="0"/>
              <c:layout/>
              <c:dLblPos val="bestFit"/>
              <c:showLegendKey val="0"/>
              <c:showVal val="1"/>
              <c:showCatName val="0"/>
              <c:showSerName val="0"/>
              <c:showPercent val="0"/>
              <c:showBubbleSize val="0"/>
              <c:extLst>
                <c:ext xmlns:c15="http://schemas.microsoft.com/office/drawing/2012/chart" uri="{CE6537A1-D6FC-4f65-9D91-7224C49458BB}">
                  <c15:layout>
                    <c:manualLayout>
                      <c:w val="0.0915275994865212"/>
                      <c:h val="0.114161849710983"/>
                    </c:manualLayout>
                  </c15:layout>
                </c:ext>
              </c:extLst>
            </c:dLbl>
            <c:dLbl>
              <c:idx val="1"/>
              <c:layout/>
              <c:dLblPos val="bestFit"/>
              <c:showLegendKey val="0"/>
              <c:showVal val="1"/>
              <c:showCatName val="0"/>
              <c:showSerName val="0"/>
              <c:showPercent val="0"/>
              <c:showBubbleSize val="0"/>
              <c:extLst>
                <c:ext xmlns:c15="http://schemas.microsoft.com/office/drawing/2012/chart" uri="{CE6537A1-D6FC-4f65-9D91-7224C49458BB}">
                  <c15:layout>
                    <c:manualLayout>
                      <c:w val="0.106779661016949"/>
                      <c:h val="0.0724666533943858"/>
                    </c:manualLayout>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一般公共服务</c:v>
                </c:pt>
                <c:pt idx="1">
                  <c:v>社会保障和就业</c:v>
                </c:pt>
                <c:pt idx="2">
                  <c:v>卫生健康</c:v>
                </c:pt>
                <c:pt idx="3">
                  <c:v>住房保障</c:v>
                </c:pt>
              </c:strCache>
            </c:strRef>
          </c:cat>
          <c:val>
            <c:numRef>
              <c:f>Sheet1!$B$2:$B$5</c:f>
              <c:numCache>
                <c:formatCode>0.00_ </c:formatCode>
                <c:ptCount val="4"/>
                <c:pt idx="0">
                  <c:v>82.21</c:v>
                </c:pt>
                <c:pt idx="1">
                  <c:v>8.69</c:v>
                </c:pt>
                <c:pt idx="2">
                  <c:v>3.7</c:v>
                </c:pt>
                <c:pt idx="3">
                  <c:v>5.4</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15625"/>
          <c:y val="0.1845"/>
          <c:w val="0.570625"/>
          <c:h val="0.760833333333333"/>
        </c:manualLayout>
      </c:layout>
      <c:pieChart>
        <c:varyColors val="1"/>
        <c:ser>
          <c:idx val="0"/>
          <c:order val="0"/>
          <c:tx>
            <c:strRef>
              <c:f>Sheet1!$B$1</c:f>
              <c:strCache>
                <c:ptCount val="1"/>
                <c:pt idx="0">
                  <c:v>列1</c:v>
                </c:pt>
              </c:strCache>
            </c:strRef>
          </c:tx>
          <c:spPr/>
          <c:explosion val="0"/>
          <c:dPt>
            <c:idx val="0"/>
            <c:bubble3D val="0"/>
            <c:spPr>
              <a:solidFill>
                <a:schemeClr val="accent6"/>
              </a:solidFill>
              <a:ln w="19050">
                <a:solidFill>
                  <a:schemeClr val="lt1"/>
                </a:solidFill>
              </a:ln>
              <a:effectLst/>
            </c:spPr>
          </c:dPt>
          <c:dPt>
            <c:idx val="1"/>
            <c:bubble3D val="0"/>
            <c:spPr>
              <a:solidFill>
                <a:schemeClr val="accent5"/>
              </a:solidFill>
              <a:ln w="19050">
                <a:solidFill>
                  <a:schemeClr val="lt1"/>
                </a:solidFill>
              </a:ln>
              <a:effectLst/>
            </c:spPr>
          </c:dPt>
          <c:dLbls>
            <c:dLbl>
              <c:idx val="0"/>
              <c:layout/>
              <c:dLblPos val="bestFit"/>
              <c:showLegendKey val="0"/>
              <c:showVal val="1"/>
              <c:showCatName val="0"/>
              <c:showSerName val="0"/>
              <c:showPercent val="0"/>
              <c:showBubbleSize val="0"/>
              <c:extLst>
                <c:ext xmlns:c15="http://schemas.microsoft.com/office/drawing/2012/chart" uri="{CE6537A1-D6FC-4f65-9D91-7224C49458BB}">
                  <c15:layout>
                    <c:manualLayout>
                      <c:w val="0.0915275994865212"/>
                      <c:h val="0.114161849710983"/>
                    </c:manualLayout>
                  </c15:layout>
                </c:ext>
              </c:extLst>
            </c:dLbl>
            <c:dLbl>
              <c:idx val="1"/>
              <c:layout/>
              <c:dLblPos val="bestFit"/>
              <c:showLegendKey val="0"/>
              <c:showVal val="1"/>
              <c:showCatName val="0"/>
              <c:showSerName val="0"/>
              <c:showPercent val="0"/>
              <c:showBubbleSize val="0"/>
              <c:extLst>
                <c:ext xmlns:c15="http://schemas.microsoft.com/office/drawing/2012/chart" uri="{CE6537A1-D6FC-4f65-9D91-7224C49458BB}">
                  <c15:layout>
                    <c:manualLayout>
                      <c:w val="0.106779661016949"/>
                      <c:h val="0.0724666533943858"/>
                    </c:manualLayout>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公务用车购置及运行维护费</c:v>
                </c:pt>
                <c:pt idx="1">
                  <c:v>公务接待费</c:v>
                </c:pt>
              </c:strCache>
            </c:strRef>
          </c:cat>
          <c:val>
            <c:numRef>
              <c:f>Sheet1!$B$2:$B$3</c:f>
              <c:numCache>
                <c:formatCode>0.00_ </c:formatCode>
                <c:ptCount val="2"/>
                <c:pt idx="0">
                  <c:v>25.77</c:v>
                </c:pt>
                <c:pt idx="1">
                  <c:v>1.25</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19</Pages>
  <Words>5941</Words>
  <Characters>6567</Characters>
  <Lines>44</Lines>
  <Paragraphs>12</Paragraphs>
  <TotalTime>0</TotalTime>
  <ScaleCrop>false</ScaleCrop>
  <LinksUpToDate>false</LinksUpToDate>
  <CharactersWithSpaces>6652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2020-08-05T01:49:00Z</dcterms:created>
  <dc:creator>曹颖</dc:creator>
  <cp:lastModifiedBy>oO月影子熙。</cp:lastModifiedBy>
  <cp:lastPrinted>2023-02-24T03:33:00Z</cp:lastPrinted>
  <dcterms:modified xsi:type="dcterms:W3CDTF">2023-10-24T09:05:51Z</dcterms:modified>
  <dc:title>四川省***</dc:title>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5178C934FDC5441DA47C104394BC8ACD_12</vt:lpwstr>
  </property>
</Properties>
</file>